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0C1497" w:rsidRPr="000C1497">
        <w:rPr>
          <w:rFonts w:hint="eastAsia"/>
        </w:rPr>
        <w:t>據悉，政府</w:t>
      </w:r>
      <w:proofErr w:type="gramStart"/>
      <w:r w:rsidR="000C1497" w:rsidRPr="000C1497">
        <w:rPr>
          <w:rFonts w:hint="eastAsia"/>
        </w:rPr>
        <w:t>推動綠能政策</w:t>
      </w:r>
      <w:proofErr w:type="gramEnd"/>
      <w:r w:rsidR="000C1497" w:rsidRPr="000C1497">
        <w:rPr>
          <w:rFonts w:hint="eastAsia"/>
        </w:rPr>
        <w:t>，規劃得以容許使用方式於農業設施屋頂或</w:t>
      </w:r>
      <w:r w:rsidR="00227163">
        <w:rPr>
          <w:rFonts w:hint="eastAsia"/>
        </w:rPr>
        <w:t>農業用地</w:t>
      </w:r>
      <w:r w:rsidR="000C1497" w:rsidRPr="000C1497">
        <w:rPr>
          <w:rFonts w:hint="eastAsia"/>
        </w:rPr>
        <w:t>上設置太陽光電發電設備，惟光電業者多未結合農業經營。究主管機關有無善盡職責落實查</w:t>
      </w:r>
      <w:r w:rsidR="00436CD4">
        <w:rPr>
          <w:rFonts w:hint="eastAsia"/>
        </w:rPr>
        <w:t>核？</w:t>
      </w:r>
      <w:r w:rsidR="000C1497" w:rsidRPr="000C1497">
        <w:rPr>
          <w:rFonts w:hint="eastAsia"/>
        </w:rPr>
        <w:t>相關法令規定及作業程序是否周妥？均有深入瞭解之必要案。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A22DE" w:rsidRPr="00E374AC" w:rsidRDefault="002A22DE" w:rsidP="002A22DE">
      <w:pPr>
        <w:pStyle w:val="11"/>
        <w:topLinePunct/>
        <w:ind w:left="680" w:firstLine="672"/>
        <w:rPr>
          <w:rFonts w:ascii="Times New Roman"/>
          <w:spacing w:val="-2"/>
        </w:rPr>
      </w:pPr>
      <w:bookmarkStart w:id="49" w:name="_Toc524902730"/>
      <w:r w:rsidRPr="00E374AC">
        <w:rPr>
          <w:rFonts w:ascii="Times New Roman"/>
          <w:spacing w:val="-2"/>
        </w:rPr>
        <w:t>我國「再生能源發展條例」於民國</w:t>
      </w:r>
      <w:r w:rsidR="005A588A">
        <w:rPr>
          <w:rFonts w:ascii="Times New Roman"/>
          <w:spacing w:val="-2"/>
        </w:rPr>
        <w:t>（</w:t>
      </w:r>
      <w:r w:rsidRPr="00E374AC">
        <w:rPr>
          <w:rFonts w:ascii="Times New Roman"/>
          <w:spacing w:val="-2"/>
        </w:rPr>
        <w:t>下同</w:t>
      </w:r>
      <w:r w:rsidR="005A588A" w:rsidRPr="005A588A">
        <w:rPr>
          <w:rFonts w:ascii="Times New Roman"/>
          <w:spacing w:val="-2"/>
        </w:rPr>
        <w:t>）</w:t>
      </w:r>
      <w:r w:rsidRPr="00E374AC">
        <w:rPr>
          <w:rFonts w:ascii="Times New Roman"/>
          <w:spacing w:val="-2"/>
        </w:rPr>
        <w:t>98</w:t>
      </w:r>
      <w:r w:rsidRPr="00E374AC">
        <w:rPr>
          <w:rFonts w:ascii="Times New Roman"/>
          <w:spacing w:val="-2"/>
        </w:rPr>
        <w:t>年</w:t>
      </w:r>
      <w:r w:rsidRPr="00E374AC">
        <w:rPr>
          <w:rFonts w:ascii="Times New Roman"/>
          <w:spacing w:val="-2"/>
        </w:rPr>
        <w:t>7</w:t>
      </w:r>
      <w:r w:rsidRPr="00E374AC">
        <w:rPr>
          <w:rFonts w:ascii="Times New Roman"/>
          <w:spacing w:val="-2"/>
        </w:rPr>
        <w:t>月</w:t>
      </w:r>
      <w:r w:rsidRPr="00E374AC">
        <w:rPr>
          <w:rFonts w:ascii="Times New Roman"/>
          <w:spacing w:val="-2"/>
        </w:rPr>
        <w:t>8</w:t>
      </w:r>
      <w:r w:rsidRPr="00E374AC">
        <w:rPr>
          <w:rFonts w:ascii="Times New Roman"/>
          <w:spacing w:val="-2"/>
        </w:rPr>
        <w:t>日公布施行，經濟部</w:t>
      </w:r>
      <w:r w:rsidRPr="00E374AC">
        <w:rPr>
          <w:rFonts w:ascii="Times New Roman" w:hint="eastAsia"/>
          <w:spacing w:val="-2"/>
        </w:rPr>
        <w:t>為</w:t>
      </w:r>
      <w:r w:rsidRPr="00E374AC">
        <w:rPr>
          <w:rFonts w:ascii="Times New Roman"/>
          <w:spacing w:val="-2"/>
        </w:rPr>
        <w:t>積極推動「陽光屋頂百萬座」政策，鼓勵合法建築物之屋頂得附屬設置太陽能光電發電設備</w:t>
      </w:r>
      <w:r w:rsidRPr="00E374AC">
        <w:rPr>
          <w:rFonts w:ascii="Times New Roman" w:hint="eastAsia"/>
          <w:spacing w:val="-2"/>
        </w:rPr>
        <w:t>，</w:t>
      </w:r>
      <w:r w:rsidRPr="00E374AC">
        <w:rPr>
          <w:rFonts w:ascii="Times New Roman"/>
          <w:spacing w:val="-2"/>
        </w:rPr>
        <w:t>於</w:t>
      </w:r>
      <w:r w:rsidRPr="00E374AC">
        <w:rPr>
          <w:rFonts w:ascii="Times New Roman"/>
          <w:spacing w:val="-2"/>
        </w:rPr>
        <w:t>99</w:t>
      </w:r>
      <w:r w:rsidRPr="00E374AC">
        <w:rPr>
          <w:rFonts w:ascii="Times New Roman"/>
          <w:spacing w:val="-2"/>
        </w:rPr>
        <w:t>年</w:t>
      </w:r>
      <w:r w:rsidRPr="00E374AC">
        <w:rPr>
          <w:rFonts w:ascii="Times New Roman"/>
          <w:spacing w:val="-2"/>
        </w:rPr>
        <w:t>4</w:t>
      </w:r>
      <w:r w:rsidRPr="00E374AC">
        <w:rPr>
          <w:rFonts w:ascii="Times New Roman"/>
          <w:spacing w:val="-2"/>
        </w:rPr>
        <w:t>月</w:t>
      </w:r>
      <w:r w:rsidRPr="00E374AC">
        <w:rPr>
          <w:rFonts w:ascii="Times New Roman"/>
          <w:spacing w:val="-2"/>
        </w:rPr>
        <w:t>30</w:t>
      </w:r>
      <w:r w:rsidRPr="00E374AC">
        <w:rPr>
          <w:rFonts w:ascii="Times New Roman"/>
          <w:spacing w:val="-2"/>
        </w:rPr>
        <w:t>日發布「再生能源發電設備認定辦法」</w:t>
      </w:r>
      <w:r w:rsidR="005A588A">
        <w:rPr>
          <w:rFonts w:ascii="Times New Roman"/>
          <w:spacing w:val="-2"/>
        </w:rPr>
        <w:t>（</w:t>
      </w:r>
      <w:r w:rsidRPr="00E374AC">
        <w:rPr>
          <w:rFonts w:ascii="Times New Roman"/>
          <w:spacing w:val="-2"/>
        </w:rPr>
        <w:t>100</w:t>
      </w:r>
      <w:r w:rsidRPr="00E374AC">
        <w:rPr>
          <w:rFonts w:ascii="Times New Roman"/>
          <w:spacing w:val="-2"/>
        </w:rPr>
        <w:t>年</w:t>
      </w:r>
      <w:r w:rsidRPr="00E374AC">
        <w:rPr>
          <w:rFonts w:ascii="Times New Roman"/>
          <w:spacing w:val="-2"/>
        </w:rPr>
        <w:t>2</w:t>
      </w:r>
      <w:r w:rsidRPr="00E374AC">
        <w:rPr>
          <w:rFonts w:ascii="Times New Roman"/>
          <w:spacing w:val="-2"/>
        </w:rPr>
        <w:t>月</w:t>
      </w:r>
      <w:r w:rsidRPr="00E374AC">
        <w:rPr>
          <w:rFonts w:ascii="Times New Roman"/>
          <w:spacing w:val="-2"/>
        </w:rPr>
        <w:t>25</w:t>
      </w:r>
      <w:r w:rsidRPr="00E374AC">
        <w:rPr>
          <w:rFonts w:ascii="Times New Roman"/>
          <w:spacing w:val="-2"/>
        </w:rPr>
        <w:t>日修正發布名稱為「再生能源發電設備設置管理辦法」，下稱設置管理辦法）</w:t>
      </w:r>
      <w:r w:rsidRPr="00E374AC">
        <w:rPr>
          <w:rFonts w:ascii="Times New Roman" w:hint="eastAsia"/>
          <w:spacing w:val="-2"/>
        </w:rPr>
        <w:t>，陸續核准申設案件。嗣後</w:t>
      </w:r>
      <w:r w:rsidRPr="00E374AC">
        <w:rPr>
          <w:rFonts w:ascii="Times New Roman"/>
          <w:spacing w:val="-2"/>
        </w:rPr>
        <w:t>行政院農業委員會</w:t>
      </w:r>
      <w:r w:rsidR="005A588A">
        <w:rPr>
          <w:rFonts w:ascii="Times New Roman"/>
          <w:spacing w:val="-2"/>
        </w:rPr>
        <w:t>（</w:t>
      </w:r>
      <w:r w:rsidRPr="00E374AC">
        <w:rPr>
          <w:rFonts w:ascii="Times New Roman"/>
          <w:spacing w:val="-2"/>
        </w:rPr>
        <w:t>下稱農委會</w:t>
      </w:r>
      <w:r w:rsidR="005A588A" w:rsidRPr="005A588A">
        <w:rPr>
          <w:rFonts w:ascii="Times New Roman"/>
          <w:spacing w:val="-2"/>
        </w:rPr>
        <w:t>）</w:t>
      </w:r>
      <w:r w:rsidRPr="00E374AC">
        <w:rPr>
          <w:rFonts w:ascii="Times New Roman"/>
          <w:spacing w:val="-2"/>
        </w:rPr>
        <w:t>配合國家再生能源政策之方向，於</w:t>
      </w:r>
      <w:r w:rsidRPr="00E374AC">
        <w:rPr>
          <w:rFonts w:ascii="Times New Roman"/>
          <w:spacing w:val="-2"/>
        </w:rPr>
        <w:t>102</w:t>
      </w:r>
      <w:r w:rsidRPr="00E374AC">
        <w:rPr>
          <w:rFonts w:ascii="Times New Roman"/>
          <w:spacing w:val="-2"/>
        </w:rPr>
        <w:t>年</w:t>
      </w:r>
      <w:r w:rsidRPr="00E374AC">
        <w:rPr>
          <w:rFonts w:ascii="Times New Roman"/>
          <w:spacing w:val="-2"/>
        </w:rPr>
        <w:t>10</w:t>
      </w:r>
      <w:r w:rsidRPr="00E374AC">
        <w:rPr>
          <w:rFonts w:ascii="Times New Roman"/>
          <w:spacing w:val="-2"/>
        </w:rPr>
        <w:t>月</w:t>
      </w:r>
      <w:r w:rsidRPr="00E374AC">
        <w:rPr>
          <w:rFonts w:ascii="Times New Roman"/>
          <w:spacing w:val="-2"/>
        </w:rPr>
        <w:t>9</w:t>
      </w:r>
      <w:r w:rsidRPr="00E374AC">
        <w:rPr>
          <w:rFonts w:ascii="Times New Roman"/>
          <w:spacing w:val="-2"/>
        </w:rPr>
        <w:t>日修正發布「申請農業用地作農業設施容許使用審查辦法」</w:t>
      </w:r>
      <w:r w:rsidR="005A588A">
        <w:rPr>
          <w:rFonts w:ascii="Times New Roman"/>
          <w:spacing w:val="-2"/>
        </w:rPr>
        <w:t>（</w:t>
      </w:r>
      <w:r w:rsidRPr="00E374AC">
        <w:rPr>
          <w:rFonts w:ascii="Times New Roman"/>
          <w:spacing w:val="-2"/>
        </w:rPr>
        <w:t>下稱容許辦法</w:t>
      </w:r>
      <w:r w:rsidR="005A588A" w:rsidRPr="005A588A">
        <w:rPr>
          <w:rFonts w:ascii="Times New Roman"/>
          <w:spacing w:val="-2"/>
        </w:rPr>
        <w:t>）</w:t>
      </w:r>
      <w:r w:rsidRPr="00E374AC">
        <w:rPr>
          <w:rFonts w:ascii="Times New Roman"/>
          <w:spacing w:val="-2"/>
        </w:rPr>
        <w:t>，增列第八章綠能設施專章</w:t>
      </w:r>
      <w:r w:rsidR="005A588A">
        <w:rPr>
          <w:rFonts w:ascii="Times New Roman"/>
          <w:spacing w:val="-2"/>
        </w:rPr>
        <w:t>（</w:t>
      </w:r>
      <w:r w:rsidRPr="00E374AC">
        <w:rPr>
          <w:rFonts w:ascii="Times New Roman"/>
          <w:spacing w:val="-2"/>
        </w:rPr>
        <w:t>第</w:t>
      </w:r>
      <w:r w:rsidRPr="00E374AC">
        <w:rPr>
          <w:rFonts w:ascii="Times New Roman"/>
          <w:spacing w:val="-2"/>
        </w:rPr>
        <w:t>27</w:t>
      </w:r>
      <w:r w:rsidRPr="00E374AC">
        <w:rPr>
          <w:rFonts w:ascii="Times New Roman"/>
          <w:spacing w:val="-2"/>
        </w:rPr>
        <w:t>條至第</w:t>
      </w:r>
      <w:r w:rsidRPr="00E374AC">
        <w:rPr>
          <w:rFonts w:ascii="Times New Roman"/>
          <w:spacing w:val="-2"/>
        </w:rPr>
        <w:t>30</w:t>
      </w:r>
      <w:r w:rsidRPr="00E374AC">
        <w:rPr>
          <w:rFonts w:ascii="Times New Roman"/>
          <w:spacing w:val="-2"/>
        </w:rPr>
        <w:t>條</w:t>
      </w:r>
      <w:r w:rsidR="005A588A" w:rsidRPr="005A588A">
        <w:rPr>
          <w:rFonts w:ascii="Times New Roman"/>
          <w:spacing w:val="-2"/>
        </w:rPr>
        <w:t>）</w:t>
      </w:r>
      <w:r w:rsidRPr="00E374AC">
        <w:rPr>
          <w:rFonts w:ascii="Times New Roman"/>
          <w:spacing w:val="-2"/>
        </w:rPr>
        <w:t>，</w:t>
      </w:r>
      <w:r w:rsidRPr="00E374AC">
        <w:rPr>
          <w:rFonts w:ascii="Times New Roman" w:hint="eastAsia"/>
          <w:spacing w:val="-2"/>
        </w:rPr>
        <w:t>其中</w:t>
      </w:r>
      <w:r w:rsidRPr="00E374AC">
        <w:rPr>
          <w:rFonts w:ascii="Times New Roman"/>
          <w:spacing w:val="-2"/>
        </w:rPr>
        <w:t>第</w:t>
      </w:r>
      <w:r w:rsidRPr="00E374AC">
        <w:rPr>
          <w:rFonts w:ascii="Times New Roman"/>
          <w:spacing w:val="-2"/>
        </w:rPr>
        <w:t>27</w:t>
      </w:r>
      <w:r w:rsidRPr="00E374AC">
        <w:rPr>
          <w:rFonts w:ascii="Times New Roman"/>
          <w:spacing w:val="-2"/>
        </w:rPr>
        <w:t>條將「再生能源發展條例」所定</w:t>
      </w:r>
      <w:r w:rsidRPr="00E374AC">
        <w:rPr>
          <w:rFonts w:ascii="Times New Roman" w:hint="eastAsia"/>
          <w:spacing w:val="-2"/>
        </w:rPr>
        <w:t>之</w:t>
      </w:r>
      <w:r w:rsidRPr="00E374AC">
        <w:rPr>
          <w:rFonts w:ascii="Times New Roman"/>
          <w:spacing w:val="-2"/>
        </w:rPr>
        <w:t>太陽能、風力及非抽蓄式水力設施，定義為綠能設施，</w:t>
      </w:r>
      <w:r w:rsidRPr="00E374AC">
        <w:rPr>
          <w:rFonts w:ascii="Times New Roman" w:hint="eastAsia"/>
          <w:spacing w:val="-2"/>
        </w:rPr>
        <w:t>加</w:t>
      </w:r>
      <w:r w:rsidRPr="00E374AC">
        <w:rPr>
          <w:rFonts w:ascii="Times New Roman"/>
          <w:spacing w:val="-2"/>
        </w:rPr>
        <w:t>以規範。</w:t>
      </w:r>
    </w:p>
    <w:p w:rsidR="002A22DE" w:rsidRPr="00BD787D" w:rsidRDefault="002A22DE" w:rsidP="002A22DE">
      <w:pPr>
        <w:pStyle w:val="11"/>
        <w:kinsoku w:val="0"/>
        <w:ind w:left="680" w:firstLine="680"/>
        <w:rPr>
          <w:rFonts w:ascii="Times New Roman"/>
        </w:rPr>
      </w:pPr>
      <w:r w:rsidRPr="00BD787D">
        <w:rPr>
          <w:rFonts w:ascii="Times New Roman"/>
        </w:rPr>
        <w:t>據報導，政府</w:t>
      </w:r>
      <w:r>
        <w:rPr>
          <w:rFonts w:ascii="Times New Roman" w:hint="eastAsia"/>
        </w:rPr>
        <w:t>以</w:t>
      </w:r>
      <w:r w:rsidRPr="00BD787D">
        <w:rPr>
          <w:rFonts w:ascii="Times New Roman"/>
        </w:rPr>
        <w:t>不影響農業經營之前提下，推動</w:t>
      </w:r>
      <w:r>
        <w:rPr>
          <w:rFonts w:ascii="Times New Roman" w:hint="eastAsia"/>
        </w:rPr>
        <w:t>經由</w:t>
      </w:r>
      <w:r w:rsidRPr="00BD787D">
        <w:rPr>
          <w:rFonts w:ascii="Times New Roman"/>
        </w:rPr>
        <w:t>容許使用方式於農業設施屋頂或農業用地上設置綠能設施，惟政策</w:t>
      </w:r>
      <w:r>
        <w:rPr>
          <w:rFonts w:ascii="Times New Roman" w:hint="eastAsia"/>
        </w:rPr>
        <w:t>實際</w:t>
      </w:r>
      <w:r w:rsidRPr="00BD787D">
        <w:rPr>
          <w:rFonts w:ascii="Times New Roman"/>
        </w:rPr>
        <w:t>執行結果，打著「農地種電」旗號之太陽光電設施</w:t>
      </w:r>
      <w:r>
        <w:rPr>
          <w:rFonts w:ascii="Times New Roman" w:hint="eastAsia"/>
        </w:rPr>
        <w:t>大量出現</w:t>
      </w:r>
      <w:r w:rsidRPr="00BD787D">
        <w:rPr>
          <w:rFonts w:ascii="Times New Roman"/>
        </w:rPr>
        <w:t>於中南部</w:t>
      </w:r>
      <w:r>
        <w:rPr>
          <w:rFonts w:ascii="Times New Roman" w:hint="eastAsia"/>
        </w:rPr>
        <w:t>地區，</w:t>
      </w:r>
      <w:r w:rsidR="00FD3640">
        <w:rPr>
          <w:rFonts w:ascii="Times New Roman" w:hint="eastAsia"/>
        </w:rPr>
        <w:t>而農業設施未能依</w:t>
      </w:r>
      <w:r w:rsidRPr="00BD787D">
        <w:rPr>
          <w:rFonts w:ascii="Times New Roman"/>
        </w:rPr>
        <w:t>原</w:t>
      </w:r>
      <w:r w:rsidR="00FD3640">
        <w:rPr>
          <w:rFonts w:ascii="Times New Roman" w:hint="eastAsia"/>
        </w:rPr>
        <w:t>核定</w:t>
      </w:r>
      <w:r w:rsidRPr="00BD787D">
        <w:rPr>
          <w:rFonts w:ascii="Times New Roman"/>
        </w:rPr>
        <w:t>經營計畫內容</w:t>
      </w:r>
      <w:r>
        <w:rPr>
          <w:rFonts w:ascii="Times New Roman"/>
        </w:rPr>
        <w:t>使用</w:t>
      </w:r>
      <w:r w:rsidR="00FD3640">
        <w:rPr>
          <w:rFonts w:ascii="Times New Roman" w:hint="eastAsia"/>
        </w:rPr>
        <w:t>，反以</w:t>
      </w:r>
      <w:r w:rsidRPr="00C77A8F">
        <w:rPr>
          <w:rFonts w:ascii="Times New Roman"/>
        </w:rPr>
        <w:t>附屬</w:t>
      </w:r>
      <w:r w:rsidRPr="00C77A8F">
        <w:rPr>
          <w:rFonts w:ascii="Times New Roman" w:hint="eastAsia"/>
        </w:rPr>
        <w:t>設置</w:t>
      </w:r>
      <w:r w:rsidRPr="00C77A8F">
        <w:rPr>
          <w:rFonts w:ascii="Times New Roman"/>
        </w:rPr>
        <w:t>之綠能設施發電，演變成發展綠能</w:t>
      </w:r>
      <w:r>
        <w:rPr>
          <w:rFonts w:ascii="Times New Roman" w:hint="eastAsia"/>
        </w:rPr>
        <w:t>、</w:t>
      </w:r>
      <w:r w:rsidRPr="00C77A8F">
        <w:rPr>
          <w:rFonts w:ascii="Times New Roman"/>
        </w:rPr>
        <w:t>掠奪農地資源之</w:t>
      </w:r>
      <w:r>
        <w:rPr>
          <w:rFonts w:ascii="Times New Roman" w:hint="eastAsia"/>
        </w:rPr>
        <w:t>亂象</w:t>
      </w:r>
      <w:r w:rsidRPr="00BD787D">
        <w:rPr>
          <w:rFonts w:ascii="Times New Roman"/>
        </w:rPr>
        <w:t>。究主管機關有無善盡職責落實查核</w:t>
      </w:r>
      <w:r w:rsidR="007F0205">
        <w:rPr>
          <w:rFonts w:ascii="Times New Roman" w:hint="eastAsia"/>
        </w:rPr>
        <w:t>？</w:t>
      </w:r>
      <w:r w:rsidRPr="00BD787D">
        <w:rPr>
          <w:rFonts w:ascii="Times New Roman"/>
        </w:rPr>
        <w:t>相關法令規定及作業程序是否周妥？本院認有深入瞭解之必要，爰立案調查。</w:t>
      </w:r>
    </w:p>
    <w:p w:rsidR="004F6710" w:rsidRDefault="002A22DE" w:rsidP="002A22DE">
      <w:pPr>
        <w:pStyle w:val="11"/>
        <w:ind w:left="680" w:firstLine="680"/>
      </w:pPr>
      <w:r w:rsidRPr="00BD787D">
        <w:rPr>
          <w:rFonts w:ascii="Times New Roman"/>
        </w:rPr>
        <w:t>本院為查明</w:t>
      </w:r>
      <w:r>
        <w:rPr>
          <w:rFonts w:ascii="Times New Roman" w:hint="eastAsia"/>
        </w:rPr>
        <w:t>實情</w:t>
      </w:r>
      <w:r w:rsidRPr="00BD787D">
        <w:rPr>
          <w:rFonts w:ascii="Times New Roman"/>
        </w:rPr>
        <w:t>，經函請農委會及經濟部就相關疑</w:t>
      </w:r>
      <w:r w:rsidRPr="00BD787D">
        <w:rPr>
          <w:rFonts w:ascii="Times New Roman"/>
        </w:rPr>
        <w:lastRenderedPageBreak/>
        <w:t>義</w:t>
      </w:r>
      <w:r>
        <w:rPr>
          <w:rFonts w:ascii="Times New Roman" w:hint="eastAsia"/>
        </w:rPr>
        <w:t>提出說明</w:t>
      </w:r>
      <w:r w:rsidRPr="00BD787D">
        <w:rPr>
          <w:rFonts w:ascii="Times New Roman"/>
        </w:rPr>
        <w:t>，另為</w:t>
      </w:r>
      <w:r>
        <w:rPr>
          <w:rFonts w:ascii="Times New Roman" w:hint="eastAsia"/>
        </w:rPr>
        <w:t>深入</w:t>
      </w:r>
      <w:r w:rsidRPr="00BD787D">
        <w:rPr>
          <w:rFonts w:ascii="Times New Roman"/>
        </w:rPr>
        <w:t>瞭解農業設施屋頂附屬設置綠能設施之現況，</w:t>
      </w:r>
      <w:r>
        <w:rPr>
          <w:rFonts w:ascii="Times New Roman" w:hint="eastAsia"/>
        </w:rPr>
        <w:t>除</w:t>
      </w:r>
      <w:r w:rsidRPr="00BD787D">
        <w:rPr>
          <w:rFonts w:ascii="Times New Roman"/>
        </w:rPr>
        <w:t>分別至彰化縣、雲林縣、嘉義縣及臺南市</w:t>
      </w:r>
      <w:r>
        <w:rPr>
          <w:rFonts w:ascii="Times New Roman" w:hint="eastAsia"/>
        </w:rPr>
        <w:t>進行</w:t>
      </w:r>
      <w:r w:rsidRPr="00BD787D">
        <w:rPr>
          <w:rFonts w:ascii="Times New Roman"/>
        </w:rPr>
        <w:t>實地履勘</w:t>
      </w:r>
      <w:r>
        <w:rPr>
          <w:rFonts w:ascii="Times New Roman" w:hint="eastAsia"/>
        </w:rPr>
        <w:t>外，亦再</w:t>
      </w:r>
      <w:r w:rsidRPr="00BD787D">
        <w:rPr>
          <w:rFonts w:ascii="Times New Roman"/>
        </w:rPr>
        <w:t>函請相關地方政府說明業務執行情形</w:t>
      </w:r>
      <w:r w:rsidR="009848F4">
        <w:rPr>
          <w:rFonts w:ascii="Times New Roman" w:hint="eastAsia"/>
        </w:rPr>
        <w:t>，期間</w:t>
      </w:r>
      <w:r w:rsidR="009848F4" w:rsidRPr="009848F4">
        <w:rPr>
          <w:rFonts w:ascii="Times New Roman" w:hint="eastAsia"/>
        </w:rPr>
        <w:t>中華民國太陽光電發電系統商業同業公會亦曾向本院陳訴</w:t>
      </w:r>
      <w:r w:rsidR="004A7D85">
        <w:rPr>
          <w:rFonts w:ascii="Times New Roman" w:hint="eastAsia"/>
        </w:rPr>
        <w:t>，</w:t>
      </w:r>
      <w:r w:rsidR="009848F4" w:rsidRPr="009848F4">
        <w:rPr>
          <w:rFonts w:ascii="Times New Roman" w:hint="eastAsia"/>
        </w:rPr>
        <w:t>102</w:t>
      </w:r>
      <w:r w:rsidR="009848F4" w:rsidRPr="009848F4">
        <w:rPr>
          <w:rFonts w:ascii="Times New Roman" w:hint="eastAsia"/>
        </w:rPr>
        <w:t>年</w:t>
      </w:r>
      <w:r w:rsidR="009848F4" w:rsidRPr="009848F4">
        <w:rPr>
          <w:rFonts w:ascii="Times New Roman" w:hint="eastAsia"/>
        </w:rPr>
        <w:t>10</w:t>
      </w:r>
      <w:r w:rsidR="009848F4" w:rsidRPr="009848F4">
        <w:rPr>
          <w:rFonts w:ascii="Times New Roman" w:hint="eastAsia"/>
        </w:rPr>
        <w:t>月</w:t>
      </w:r>
      <w:r w:rsidR="009848F4" w:rsidRPr="009848F4">
        <w:rPr>
          <w:rFonts w:ascii="Times New Roman" w:hint="eastAsia"/>
        </w:rPr>
        <w:t>9</w:t>
      </w:r>
      <w:r w:rsidR="009848F4" w:rsidRPr="009848F4">
        <w:rPr>
          <w:rFonts w:ascii="Times New Roman" w:hint="eastAsia"/>
        </w:rPr>
        <w:t>日至</w:t>
      </w:r>
      <w:r w:rsidR="009848F4" w:rsidRPr="009848F4">
        <w:rPr>
          <w:rFonts w:ascii="Times New Roman" w:hint="eastAsia"/>
        </w:rPr>
        <w:t>104</w:t>
      </w:r>
      <w:r w:rsidR="009848F4" w:rsidRPr="009848F4">
        <w:rPr>
          <w:rFonts w:ascii="Times New Roman" w:hint="eastAsia"/>
        </w:rPr>
        <w:t>年</w:t>
      </w:r>
      <w:r w:rsidR="009848F4" w:rsidRPr="009848F4">
        <w:rPr>
          <w:rFonts w:ascii="Times New Roman" w:hint="eastAsia"/>
        </w:rPr>
        <w:t>2</w:t>
      </w:r>
      <w:r w:rsidR="009848F4" w:rsidRPr="009848F4">
        <w:rPr>
          <w:rFonts w:ascii="Times New Roman" w:hint="eastAsia"/>
        </w:rPr>
        <w:t>月</w:t>
      </w:r>
      <w:r w:rsidR="009848F4" w:rsidRPr="009848F4">
        <w:rPr>
          <w:rFonts w:ascii="Times New Roman" w:hint="eastAsia"/>
        </w:rPr>
        <w:t>12</w:t>
      </w:r>
      <w:r w:rsidR="009848F4" w:rsidRPr="009848F4">
        <w:rPr>
          <w:rFonts w:ascii="Times New Roman" w:hint="eastAsia"/>
        </w:rPr>
        <w:t>日因法令未周延，造成</w:t>
      </w:r>
      <w:r w:rsidR="009848F4" w:rsidRPr="009848F4">
        <w:rPr>
          <w:rFonts w:ascii="Times New Roman"/>
        </w:rPr>
        <w:t>太陽光電</w:t>
      </w:r>
      <w:r w:rsidR="009848F4" w:rsidRPr="009848F4">
        <w:rPr>
          <w:rFonts w:ascii="Times New Roman" w:hint="eastAsia"/>
        </w:rPr>
        <w:t>發電</w:t>
      </w:r>
      <w:r w:rsidR="009848F4" w:rsidRPr="009848F4">
        <w:rPr>
          <w:rFonts w:ascii="Times New Roman"/>
        </w:rPr>
        <w:t>設</w:t>
      </w:r>
      <w:r w:rsidR="009848F4" w:rsidRPr="009848F4">
        <w:rPr>
          <w:rFonts w:ascii="Times New Roman" w:hint="eastAsia"/>
        </w:rPr>
        <w:t>備面臨廢止許可之疑義等</w:t>
      </w:r>
      <w:r>
        <w:rPr>
          <w:rFonts w:ascii="Times New Roman" w:hint="eastAsia"/>
        </w:rPr>
        <w:t>。</w:t>
      </w:r>
      <w:r w:rsidRPr="0085216A">
        <w:rPr>
          <w:rFonts w:ascii="Times New Roman"/>
          <w:bCs/>
        </w:rPr>
        <w:t>最後本案於</w:t>
      </w:r>
      <w:r>
        <w:rPr>
          <w:rFonts w:ascii="Times New Roman" w:hint="eastAsia"/>
          <w:bCs/>
        </w:rPr>
        <w:t>106</w:t>
      </w:r>
      <w:r>
        <w:rPr>
          <w:rFonts w:ascii="Times New Roman" w:hint="eastAsia"/>
          <w:bCs/>
        </w:rPr>
        <w:t>年</w:t>
      </w:r>
      <w:r>
        <w:rPr>
          <w:rFonts w:ascii="Times New Roman" w:hint="eastAsia"/>
          <w:bCs/>
        </w:rPr>
        <w:t>7</w:t>
      </w:r>
      <w:r>
        <w:rPr>
          <w:rFonts w:ascii="Times New Roman" w:hint="eastAsia"/>
          <w:bCs/>
        </w:rPr>
        <w:t>月</w:t>
      </w:r>
      <w:r>
        <w:rPr>
          <w:rFonts w:ascii="Times New Roman" w:hint="eastAsia"/>
          <w:bCs/>
        </w:rPr>
        <w:t>31</w:t>
      </w:r>
      <w:r>
        <w:rPr>
          <w:rFonts w:ascii="Times New Roman" w:hint="eastAsia"/>
          <w:bCs/>
        </w:rPr>
        <w:t>日</w:t>
      </w:r>
      <w:r>
        <w:rPr>
          <w:rFonts w:ascii="Times New Roman" w:hint="eastAsia"/>
        </w:rPr>
        <w:t>詢問</w:t>
      </w:r>
      <w:r w:rsidRPr="00BD787D">
        <w:rPr>
          <w:rFonts w:ascii="Times New Roman"/>
        </w:rPr>
        <w:t>農委會</w:t>
      </w:r>
      <w:r w:rsidRPr="00727745">
        <w:rPr>
          <w:rFonts w:ascii="Times New Roman"/>
        </w:rPr>
        <w:t>翁</w:t>
      </w:r>
      <w:r w:rsidR="00252569">
        <w:rPr>
          <w:rFonts w:ascii="Times New Roman" w:hint="eastAsia"/>
        </w:rPr>
        <w:t>○○</w:t>
      </w:r>
      <w:r w:rsidRPr="00727745">
        <w:rPr>
          <w:rFonts w:ascii="Times New Roman"/>
        </w:rPr>
        <w:t>副主任委員</w:t>
      </w:r>
      <w:r w:rsidRPr="00BD787D">
        <w:rPr>
          <w:rFonts w:ascii="Times New Roman"/>
        </w:rPr>
        <w:t>、經濟部</w:t>
      </w:r>
      <w:r>
        <w:rPr>
          <w:rFonts w:ascii="Times New Roman" w:hint="eastAsia"/>
        </w:rPr>
        <w:t>楊</w:t>
      </w:r>
      <w:r w:rsidR="00252569">
        <w:rPr>
          <w:rFonts w:ascii="Times New Roman" w:hint="eastAsia"/>
        </w:rPr>
        <w:t>○○</w:t>
      </w:r>
      <w:bookmarkStart w:id="50" w:name="_GoBack"/>
      <w:bookmarkEnd w:id="50"/>
      <w:r>
        <w:rPr>
          <w:rFonts w:ascii="Times New Roman" w:hint="eastAsia"/>
        </w:rPr>
        <w:t>常務次長</w:t>
      </w:r>
      <w:r w:rsidRPr="00727745">
        <w:rPr>
          <w:rFonts w:ascii="Times New Roman"/>
        </w:rPr>
        <w:t>暨相關主管人員</w:t>
      </w:r>
      <w:r>
        <w:rPr>
          <w:rFonts w:ascii="Times New Roman" w:hint="eastAsia"/>
        </w:rPr>
        <w:t>，</w:t>
      </w:r>
      <w:r w:rsidRPr="0085216A">
        <w:rPr>
          <w:rFonts w:ascii="Times New Roman"/>
          <w:bCs/>
        </w:rPr>
        <w:t>再參酌</w:t>
      </w:r>
      <w:r>
        <w:rPr>
          <w:rFonts w:ascii="Times New Roman" w:hint="eastAsia"/>
          <w:bCs/>
        </w:rPr>
        <w:t>該</w:t>
      </w:r>
      <w:r>
        <w:rPr>
          <w:rFonts w:ascii="Times New Roman" w:hint="eastAsia"/>
          <w:bCs/>
        </w:rPr>
        <w:t>2</w:t>
      </w:r>
      <w:r>
        <w:rPr>
          <w:rFonts w:ascii="Times New Roman" w:hint="eastAsia"/>
          <w:bCs/>
        </w:rPr>
        <w:t>機關</w:t>
      </w:r>
      <w:r w:rsidRPr="0085216A">
        <w:rPr>
          <w:rFonts w:ascii="Times New Roman" w:hint="eastAsia"/>
          <w:bCs/>
        </w:rPr>
        <w:t>於</w:t>
      </w:r>
      <w:r w:rsidRPr="0085216A">
        <w:rPr>
          <w:rFonts w:ascii="Times New Roman"/>
          <w:bCs/>
        </w:rPr>
        <w:t>詢問後補充</w:t>
      </w:r>
      <w:r>
        <w:rPr>
          <w:rFonts w:ascii="Times New Roman" w:hint="eastAsia"/>
          <w:bCs/>
        </w:rPr>
        <w:t>之</w:t>
      </w:r>
      <w:r w:rsidRPr="0085216A">
        <w:rPr>
          <w:rFonts w:ascii="Times New Roman"/>
          <w:bCs/>
        </w:rPr>
        <w:t>書面說明資料</w:t>
      </w:r>
      <w:r w:rsidRPr="00BD787D">
        <w:rPr>
          <w:rFonts w:ascii="Times New Roman"/>
        </w:rPr>
        <w:t>，業調查竣事，</w:t>
      </w:r>
      <w:r>
        <w:rPr>
          <w:rFonts w:hAnsi="標楷體" w:hint="eastAsia"/>
          <w:szCs w:val="36"/>
        </w:rPr>
        <w:t>茲將相關意見臚列如次：</w:t>
      </w:r>
    </w:p>
    <w:p w:rsidR="004628A5" w:rsidRDefault="004628A5" w:rsidP="0046636B">
      <w:pPr>
        <w:pStyle w:val="2"/>
        <w:numPr>
          <w:ilvl w:val="1"/>
          <w:numId w:val="1"/>
        </w:numPr>
        <w:kinsoku w:val="0"/>
        <w:ind w:left="1037" w:hanging="680"/>
        <w:rPr>
          <w:rFonts w:ascii="Times New Roman" w:hAnsi="Times New Roman"/>
          <w:b/>
        </w:rPr>
      </w:pPr>
      <w:bookmarkStart w:id="51" w:name="_Toc421794873"/>
      <w:bookmarkStart w:id="52" w:name="_Toc422834158"/>
      <w:r w:rsidRPr="004628A5">
        <w:rPr>
          <w:rFonts w:ascii="Times New Roman" w:hAnsi="Times New Roman"/>
          <w:b/>
        </w:rPr>
        <w:t>農委會於</w:t>
      </w:r>
      <w:r w:rsidRPr="004628A5">
        <w:rPr>
          <w:rFonts w:ascii="Times New Roman" w:hAnsi="Times New Roman"/>
          <w:b/>
        </w:rPr>
        <w:t>102</w:t>
      </w:r>
      <w:r w:rsidRPr="004628A5">
        <w:rPr>
          <w:rFonts w:ascii="Times New Roman" w:hAnsi="Times New Roman"/>
          <w:b/>
        </w:rPr>
        <w:t>年</w:t>
      </w:r>
      <w:r w:rsidRPr="004628A5">
        <w:rPr>
          <w:rFonts w:ascii="Times New Roman" w:hAnsi="Times New Roman"/>
          <w:b/>
        </w:rPr>
        <w:t>10</w:t>
      </w:r>
      <w:r w:rsidRPr="004628A5">
        <w:rPr>
          <w:rFonts w:ascii="Times New Roman" w:hAnsi="Times New Roman"/>
          <w:b/>
        </w:rPr>
        <w:t>月</w:t>
      </w:r>
      <w:r w:rsidRPr="004628A5">
        <w:rPr>
          <w:rFonts w:ascii="Times New Roman" w:hAnsi="Times New Roman"/>
          <w:b/>
        </w:rPr>
        <w:t>9</w:t>
      </w:r>
      <w:r w:rsidRPr="004628A5">
        <w:rPr>
          <w:rFonts w:ascii="Times New Roman" w:hAnsi="Times New Roman"/>
          <w:b/>
        </w:rPr>
        <w:t>日修正發布</w:t>
      </w:r>
      <w:r w:rsidRPr="004628A5">
        <w:rPr>
          <w:rFonts w:ascii="Times New Roman" w:hAnsi="Times New Roman" w:hint="eastAsia"/>
          <w:b/>
        </w:rPr>
        <w:t>之</w:t>
      </w:r>
      <w:r w:rsidRPr="004628A5">
        <w:rPr>
          <w:rFonts w:ascii="Times New Roman" w:hAnsi="Times New Roman"/>
          <w:b/>
        </w:rPr>
        <w:t>容許辦法，</w:t>
      </w:r>
      <w:r w:rsidRPr="004628A5">
        <w:rPr>
          <w:rFonts w:ascii="Times New Roman" w:hAnsi="Times New Roman" w:hint="eastAsia"/>
          <w:b/>
        </w:rPr>
        <w:t>針對</w:t>
      </w:r>
      <w:r w:rsidRPr="004628A5">
        <w:rPr>
          <w:rFonts w:ascii="Times New Roman" w:hAnsi="Times New Roman"/>
          <w:b/>
        </w:rPr>
        <w:t>農業設施屋頂附屬設置綠能設施，</w:t>
      </w:r>
      <w:r w:rsidRPr="004628A5">
        <w:rPr>
          <w:rFonts w:ascii="Times New Roman" w:hAnsi="Times New Roman" w:hint="eastAsia"/>
          <w:b/>
        </w:rPr>
        <w:t>係</w:t>
      </w:r>
      <w:r w:rsidRPr="004628A5">
        <w:rPr>
          <w:rFonts w:ascii="Times New Roman" w:hAnsi="Times New Roman"/>
          <w:b/>
        </w:rPr>
        <w:t>以現況入法，</w:t>
      </w:r>
      <w:r w:rsidRPr="004628A5">
        <w:rPr>
          <w:rFonts w:ascii="Times New Roman" w:hAnsi="Times New Roman" w:hint="eastAsia"/>
          <w:b/>
        </w:rPr>
        <w:t>欠缺</w:t>
      </w:r>
      <w:r w:rsidRPr="004628A5">
        <w:rPr>
          <w:rFonts w:ascii="Times New Roman" w:hAnsi="Times New Roman"/>
          <w:b/>
        </w:rPr>
        <w:t>審查機制，</w:t>
      </w:r>
      <w:r w:rsidRPr="004628A5">
        <w:rPr>
          <w:rFonts w:ascii="Times New Roman" w:hAnsi="Times New Roman" w:hint="eastAsia"/>
          <w:b/>
        </w:rPr>
        <w:t>導</w:t>
      </w:r>
      <w:r w:rsidRPr="004628A5">
        <w:rPr>
          <w:rFonts w:ascii="Times New Roman" w:hAnsi="Times New Roman"/>
          <w:b/>
        </w:rPr>
        <w:t>致心存僥倖</w:t>
      </w:r>
      <w:r w:rsidRPr="004628A5">
        <w:rPr>
          <w:rFonts w:ascii="Times New Roman" w:hAnsi="Times New Roman" w:hint="eastAsia"/>
          <w:b/>
        </w:rPr>
        <w:t>之</w:t>
      </w:r>
      <w:r w:rsidRPr="004628A5">
        <w:rPr>
          <w:rFonts w:ascii="Times New Roman" w:hAnsi="Times New Roman"/>
          <w:b/>
        </w:rPr>
        <w:t>申請人，</w:t>
      </w:r>
      <w:r w:rsidRPr="004628A5">
        <w:rPr>
          <w:rFonts w:ascii="Times New Roman" w:hAnsi="Times New Roman" w:hint="eastAsia"/>
          <w:b/>
        </w:rPr>
        <w:t>得以輕易憑藉著</w:t>
      </w:r>
      <w:r w:rsidRPr="004628A5">
        <w:rPr>
          <w:rFonts w:ascii="Times New Roman" w:hAnsi="Times New Roman"/>
          <w:b/>
        </w:rPr>
        <w:t>農業設施申請屋頂附屬設置綠能設施</w:t>
      </w:r>
      <w:r w:rsidRPr="004628A5">
        <w:rPr>
          <w:rFonts w:ascii="Times New Roman" w:hAnsi="Times New Roman" w:hint="eastAsia"/>
          <w:b/>
        </w:rPr>
        <w:t>，卻未能結合農業經營，造成</w:t>
      </w:r>
      <w:r w:rsidRPr="004628A5">
        <w:rPr>
          <w:rFonts w:ascii="Times New Roman" w:hAnsi="Times New Roman"/>
          <w:b/>
        </w:rPr>
        <w:t>「假種田、真種電」</w:t>
      </w:r>
      <w:r w:rsidRPr="004628A5">
        <w:rPr>
          <w:rFonts w:ascii="Times New Roman" w:hAnsi="Times New Roman" w:hint="eastAsia"/>
          <w:b/>
        </w:rPr>
        <w:t>之亂象叢生</w:t>
      </w:r>
      <w:r w:rsidRPr="004628A5">
        <w:rPr>
          <w:rFonts w:ascii="Times New Roman" w:hAnsi="Times New Roman"/>
          <w:b/>
        </w:rPr>
        <w:t>，</w:t>
      </w:r>
      <w:r w:rsidRPr="004628A5">
        <w:rPr>
          <w:rFonts w:ascii="Times New Roman" w:hAnsi="Times New Roman" w:hint="eastAsia"/>
          <w:b/>
        </w:rPr>
        <w:t>直至</w:t>
      </w:r>
      <w:r w:rsidRPr="004628A5">
        <w:rPr>
          <w:rFonts w:ascii="Times New Roman" w:hAnsi="Times New Roman"/>
          <w:b/>
        </w:rPr>
        <w:t>引發</w:t>
      </w:r>
      <w:r w:rsidRPr="004628A5">
        <w:rPr>
          <w:rFonts w:ascii="Times New Roman" w:hAnsi="Times New Roman" w:hint="eastAsia"/>
          <w:b/>
        </w:rPr>
        <w:t>社會</w:t>
      </w:r>
      <w:r w:rsidRPr="004628A5">
        <w:rPr>
          <w:rFonts w:ascii="Times New Roman" w:hAnsi="Times New Roman"/>
          <w:b/>
        </w:rPr>
        <w:t>關注</w:t>
      </w:r>
      <w:r w:rsidRPr="004628A5">
        <w:rPr>
          <w:rFonts w:ascii="Times New Roman" w:hAnsi="Times New Roman" w:hint="eastAsia"/>
          <w:b/>
        </w:rPr>
        <w:t>後</w:t>
      </w:r>
      <w:r w:rsidRPr="004628A5">
        <w:rPr>
          <w:rFonts w:ascii="Times New Roman" w:hAnsi="Times New Roman"/>
          <w:b/>
        </w:rPr>
        <w:t>，農委會</w:t>
      </w:r>
      <w:r w:rsidRPr="004628A5">
        <w:rPr>
          <w:rFonts w:ascii="Times New Roman" w:hAnsi="Times New Roman" w:hint="eastAsia"/>
          <w:b/>
        </w:rPr>
        <w:t>方於</w:t>
      </w:r>
      <w:r w:rsidRPr="004628A5">
        <w:rPr>
          <w:rFonts w:ascii="Times New Roman" w:hAnsi="Times New Roman"/>
          <w:b/>
        </w:rPr>
        <w:t>104</w:t>
      </w:r>
      <w:r w:rsidRPr="004628A5">
        <w:rPr>
          <w:rFonts w:ascii="Times New Roman" w:hAnsi="Times New Roman"/>
          <w:b/>
        </w:rPr>
        <w:t>年</w:t>
      </w:r>
      <w:r w:rsidRPr="004628A5">
        <w:rPr>
          <w:rFonts w:ascii="Times New Roman" w:hAnsi="Times New Roman"/>
          <w:b/>
        </w:rPr>
        <w:t>2</w:t>
      </w:r>
      <w:r w:rsidRPr="004628A5">
        <w:rPr>
          <w:rFonts w:ascii="Times New Roman" w:hAnsi="Times New Roman"/>
          <w:b/>
        </w:rPr>
        <w:t>月</w:t>
      </w:r>
      <w:r w:rsidRPr="004628A5">
        <w:rPr>
          <w:rFonts w:ascii="Times New Roman" w:hAnsi="Times New Roman"/>
          <w:b/>
        </w:rPr>
        <w:t>12</w:t>
      </w:r>
      <w:r w:rsidRPr="004628A5">
        <w:rPr>
          <w:rFonts w:ascii="Times New Roman" w:hAnsi="Times New Roman"/>
          <w:b/>
        </w:rPr>
        <w:t>日</w:t>
      </w:r>
      <w:r w:rsidRPr="004628A5">
        <w:rPr>
          <w:rFonts w:ascii="Times New Roman" w:hAnsi="Times New Roman" w:hint="eastAsia"/>
          <w:b/>
        </w:rPr>
        <w:t>建立行政</w:t>
      </w:r>
      <w:r w:rsidRPr="004628A5">
        <w:rPr>
          <w:rFonts w:ascii="Times New Roman" w:hAnsi="Times New Roman"/>
          <w:b/>
        </w:rPr>
        <w:t>實務審查流程，核有疏失。</w:t>
      </w:r>
    </w:p>
    <w:p w:rsidR="0046636B" w:rsidRPr="00837E8F" w:rsidRDefault="0046636B" w:rsidP="0046636B">
      <w:pPr>
        <w:pStyle w:val="3"/>
        <w:numPr>
          <w:ilvl w:val="2"/>
          <w:numId w:val="1"/>
        </w:numPr>
        <w:rPr>
          <w:rFonts w:hAnsi="標楷體"/>
          <w:color w:val="000000" w:themeColor="text1"/>
        </w:rPr>
      </w:pPr>
      <w:r w:rsidRPr="00837E8F">
        <w:rPr>
          <w:rFonts w:hAnsi="標楷體" w:hint="eastAsia"/>
          <w:color w:val="000000" w:themeColor="text1"/>
        </w:rPr>
        <w:t>依據</w:t>
      </w:r>
      <w:r w:rsidRPr="00837E8F">
        <w:rPr>
          <w:rFonts w:hAnsi="標楷體"/>
          <w:color w:val="000000" w:themeColor="text1"/>
        </w:rPr>
        <w:t>農委會於102年10月9日修正發布之容許辦法第4條規定：「申請農業用地作農業設施容許使用，應填具申請書及檢附下列文件各三份，向土地所在地之直轄市或縣（市）主管機關提出：一、申請人之國民身分證影本；屬法人者，應檢具法人登記證明文件影本。二、經營計畫。三、最近一個月內土地登記謄本及地籍圖謄本。但能申請網路電子謄本者，免予檢附；屬都市土地者，應另檢附都市計畫土地使用分區證明。四、設施配置圖，其比例尺不得小於五百分之一。但申請畜牧設施者，其比例尺不得小於一千二百分之ㄧ。五、土地使用同意書。但土地為申請人單獨所有者，免附。六、其他主管機關規定之文件。」同辦法第5條規定：「申請農業</w:t>
      </w:r>
      <w:r w:rsidRPr="00837E8F">
        <w:rPr>
          <w:rFonts w:hAnsi="標楷體"/>
          <w:color w:val="000000" w:themeColor="text1"/>
        </w:rPr>
        <w:lastRenderedPageBreak/>
        <w:t>用地作農業設施容許使用，經審查合於規定者，直轄市或縣（市）主管機關應核發農業用地作農業設施容許使用同意書。」同辦法第27條規定：「本辦法所稱綠能設施，指依再生能源發展條例第三條第一項第一款所定太陽能、風力及非抽蓄式水力設施。」同辦法第28條規定：「本辦法附表所定之各類農業設施</w:t>
      </w:r>
      <w:r w:rsidRPr="00837E8F">
        <w:rPr>
          <w:rStyle w:val="afe"/>
          <w:rFonts w:hAnsi="標楷體"/>
          <w:color w:val="000000" w:themeColor="text1"/>
        </w:rPr>
        <w:footnoteReference w:id="1"/>
      </w:r>
      <w:r w:rsidRPr="00837E8F">
        <w:rPr>
          <w:rFonts w:hAnsi="標楷體"/>
          <w:color w:val="000000" w:themeColor="text1"/>
        </w:rPr>
        <w:t>，得附屬設置綠能設施；該附屬設置之綠能設施免依第四條規定提出申請。」同辦法第33條規定：「依本辦法取得農業用地作農業設施容許使用者，應依原核定之計畫內容使用，並不得作為住宅、工廠或其他非農業使用。但經核准工廠登記之農業設施，不在此限。直轄市或縣</w:t>
      </w:r>
      <w:r w:rsidR="005A588A">
        <w:rPr>
          <w:rFonts w:hAnsi="標楷體"/>
          <w:color w:val="000000" w:themeColor="text1"/>
        </w:rPr>
        <w:t>（</w:t>
      </w:r>
      <w:r w:rsidRPr="00837E8F">
        <w:rPr>
          <w:rFonts w:hAnsi="標楷體"/>
          <w:color w:val="000000" w:themeColor="text1"/>
        </w:rPr>
        <w:t>市</w:t>
      </w:r>
      <w:r w:rsidR="005A588A" w:rsidRPr="005A588A">
        <w:rPr>
          <w:rFonts w:hAnsi="標楷體"/>
          <w:color w:val="000000" w:themeColor="text1"/>
        </w:rPr>
        <w:t>）</w:t>
      </w:r>
      <w:r w:rsidRPr="00837E8F">
        <w:rPr>
          <w:rFonts w:hAnsi="標楷體"/>
          <w:color w:val="000000" w:themeColor="text1"/>
        </w:rPr>
        <w:t>主管機關應對取得容許使用之農業設施及其坐落之農業用地造冊列管，並視實際需要抽查是否依核定計畫內容使用；未依計畫內容使用者，原核定機關得廢止其許可，並通知區域計畫或都市計畫主管機關依相關規定處理。但配合政策休耕、休養、停養者，不在此限。前項農業設施已依法領有建築執照者，原核定機關於廢止許可時，應一併通知建築主管機關處理。」</w:t>
      </w:r>
    </w:p>
    <w:p w:rsidR="0046636B" w:rsidRPr="00837E8F" w:rsidRDefault="0046636B" w:rsidP="0046636B">
      <w:pPr>
        <w:pStyle w:val="3"/>
        <w:numPr>
          <w:ilvl w:val="2"/>
          <w:numId w:val="1"/>
        </w:numPr>
        <w:kinsoku w:val="0"/>
        <w:ind w:left="1360" w:hanging="680"/>
        <w:rPr>
          <w:rFonts w:hAnsi="標楷體"/>
          <w:color w:val="000000" w:themeColor="text1"/>
        </w:rPr>
      </w:pPr>
      <w:r w:rsidRPr="00837E8F">
        <w:rPr>
          <w:rFonts w:hAnsi="標楷體"/>
          <w:color w:val="000000" w:themeColor="text1"/>
        </w:rPr>
        <w:t>查</w:t>
      </w:r>
      <w:r w:rsidRPr="00837E8F">
        <w:rPr>
          <w:rFonts w:hAnsi="標楷體" w:hint="eastAsia"/>
          <w:color w:val="000000" w:themeColor="text1"/>
        </w:rPr>
        <w:t>前開</w:t>
      </w:r>
      <w:r w:rsidRPr="00837E8F">
        <w:rPr>
          <w:rFonts w:hAnsi="標楷體"/>
          <w:color w:val="000000" w:themeColor="text1"/>
        </w:rPr>
        <w:t>容許辦法第28條</w:t>
      </w:r>
      <w:r w:rsidRPr="00837E8F">
        <w:rPr>
          <w:rFonts w:hAnsi="標楷體" w:hint="eastAsia"/>
          <w:color w:val="000000" w:themeColor="text1"/>
        </w:rPr>
        <w:t>所</w:t>
      </w:r>
      <w:r w:rsidRPr="00837E8F">
        <w:rPr>
          <w:rFonts w:hAnsi="標楷體"/>
          <w:color w:val="000000" w:themeColor="text1"/>
        </w:rPr>
        <w:t>規範之農業設施屋頂附屬設置綠能設施</w:t>
      </w:r>
      <w:r w:rsidR="005A588A">
        <w:rPr>
          <w:rFonts w:hAnsi="標楷體"/>
          <w:color w:val="000000" w:themeColor="text1"/>
        </w:rPr>
        <w:t>（</w:t>
      </w:r>
      <w:r w:rsidRPr="00837E8F">
        <w:rPr>
          <w:rFonts w:hAnsi="標楷體"/>
          <w:color w:val="000000" w:themeColor="text1"/>
        </w:rPr>
        <w:t>即營農屋頂型綠能設施</w:t>
      </w:r>
      <w:r w:rsidR="005A588A" w:rsidRPr="005A588A">
        <w:rPr>
          <w:rFonts w:hAnsi="標楷體"/>
          <w:color w:val="000000" w:themeColor="text1"/>
        </w:rPr>
        <w:t>）</w:t>
      </w:r>
      <w:r w:rsidRPr="00837E8F">
        <w:rPr>
          <w:rFonts w:hAnsi="標楷體"/>
          <w:color w:val="000000" w:themeColor="text1"/>
        </w:rPr>
        <w:t>，係屬「現況入法」。依據該條文規定，容許辦法附表所定之各類農業設施，得附屬設置綠能設施，而附屬設置之綠能設施免依第4條規定提出申請。</w:t>
      </w:r>
      <w:r w:rsidRPr="00837E8F">
        <w:rPr>
          <w:rFonts w:hAnsi="標楷體" w:hint="eastAsia"/>
          <w:color w:val="000000" w:themeColor="text1"/>
        </w:rPr>
        <w:t>因此，</w:t>
      </w:r>
      <w:r w:rsidRPr="00837E8F">
        <w:rPr>
          <w:rFonts w:hAnsi="標楷體"/>
          <w:color w:val="000000" w:themeColor="text1"/>
        </w:rPr>
        <w:t>太陽能光電申請人向地方農業主管機關申請取得農業設施之容許使用同意書，並向地方建築主管機關申請取得建築執照</w:t>
      </w:r>
      <w:r w:rsidRPr="00837E8F">
        <w:rPr>
          <w:rFonts w:hAnsi="標楷體" w:hint="eastAsia"/>
          <w:color w:val="000000" w:themeColor="text1"/>
        </w:rPr>
        <w:t>後</w:t>
      </w:r>
      <w:r w:rsidRPr="00837E8F">
        <w:rPr>
          <w:rFonts w:hAnsi="標楷體"/>
          <w:color w:val="000000" w:themeColor="text1"/>
        </w:rPr>
        <w:t>，</w:t>
      </w:r>
      <w:r w:rsidRPr="00837E8F">
        <w:rPr>
          <w:rFonts w:hAnsi="標楷體" w:hint="eastAsia"/>
          <w:color w:val="000000" w:themeColor="text1"/>
        </w:rPr>
        <w:t>再</w:t>
      </w:r>
      <w:r w:rsidRPr="00837E8F">
        <w:rPr>
          <w:rFonts w:hAnsi="標楷體"/>
          <w:color w:val="000000" w:themeColor="text1"/>
        </w:rPr>
        <w:t>以農業設施</w:t>
      </w:r>
      <w:r w:rsidR="005A588A">
        <w:rPr>
          <w:rFonts w:hAnsi="標楷體"/>
          <w:color w:val="000000" w:themeColor="text1"/>
        </w:rPr>
        <w:t>（</w:t>
      </w:r>
      <w:r w:rsidRPr="00837E8F">
        <w:rPr>
          <w:rFonts w:hAnsi="標楷體"/>
          <w:color w:val="000000" w:themeColor="text1"/>
        </w:rPr>
        <w:t>合法建物</w:t>
      </w:r>
      <w:r w:rsidR="005A588A" w:rsidRPr="005A588A">
        <w:rPr>
          <w:rFonts w:hAnsi="標楷體"/>
          <w:color w:val="000000" w:themeColor="text1"/>
        </w:rPr>
        <w:t>）</w:t>
      </w:r>
      <w:r w:rsidRPr="00837E8F">
        <w:rPr>
          <w:rFonts w:hAnsi="標楷體"/>
          <w:color w:val="000000" w:themeColor="text1"/>
        </w:rPr>
        <w:t>屋頂附屬</w:t>
      </w:r>
      <w:r w:rsidRPr="00837E8F">
        <w:rPr>
          <w:rFonts w:hAnsi="標楷體"/>
          <w:color w:val="000000" w:themeColor="text1"/>
        </w:rPr>
        <w:lastRenderedPageBreak/>
        <w:t>設置綠能設施，向能源主管機關申請再生能源設備同意備案時，</w:t>
      </w:r>
      <w:r w:rsidRPr="00837E8F">
        <w:rPr>
          <w:rFonts w:hAnsi="標楷體" w:hint="eastAsia"/>
          <w:color w:val="000000" w:themeColor="text1"/>
        </w:rPr>
        <w:t>就</w:t>
      </w:r>
      <w:r w:rsidRPr="00837E8F">
        <w:rPr>
          <w:rFonts w:hAnsi="標楷體"/>
          <w:color w:val="000000" w:themeColor="text1"/>
        </w:rPr>
        <w:t>綠能設施</w:t>
      </w:r>
      <w:r w:rsidRPr="00837E8F">
        <w:rPr>
          <w:rFonts w:hAnsi="標楷體" w:hint="eastAsia"/>
          <w:color w:val="000000" w:themeColor="text1"/>
        </w:rPr>
        <w:t>有否結合</w:t>
      </w:r>
      <w:r w:rsidRPr="00837E8F">
        <w:rPr>
          <w:rFonts w:hAnsi="標楷體"/>
          <w:color w:val="000000" w:themeColor="text1"/>
        </w:rPr>
        <w:t>農業</w:t>
      </w:r>
      <w:r w:rsidRPr="00837E8F">
        <w:rPr>
          <w:rFonts w:hAnsi="標楷體" w:hint="eastAsia"/>
          <w:color w:val="000000" w:themeColor="text1"/>
        </w:rPr>
        <w:t>經營之事實，毫無</w:t>
      </w:r>
      <w:r w:rsidRPr="00837E8F">
        <w:rPr>
          <w:rFonts w:hAnsi="標楷體"/>
          <w:color w:val="000000" w:themeColor="text1"/>
        </w:rPr>
        <w:t>審查機制，</w:t>
      </w:r>
      <w:r w:rsidRPr="00837E8F">
        <w:rPr>
          <w:rFonts w:hAnsi="標楷體" w:hint="eastAsia"/>
          <w:color w:val="000000" w:themeColor="text1"/>
        </w:rPr>
        <w:t>導</w:t>
      </w:r>
      <w:r w:rsidRPr="00837E8F">
        <w:rPr>
          <w:rFonts w:hAnsi="標楷體"/>
          <w:color w:val="000000" w:themeColor="text1"/>
        </w:rPr>
        <w:t>致申請人心存僥倖，</w:t>
      </w:r>
      <w:r w:rsidRPr="00837E8F">
        <w:rPr>
          <w:rFonts w:hAnsi="標楷體" w:hint="eastAsia"/>
          <w:color w:val="000000" w:themeColor="text1"/>
        </w:rPr>
        <w:t>得以輕易憑藉著</w:t>
      </w:r>
      <w:r w:rsidRPr="00837E8F">
        <w:rPr>
          <w:rFonts w:hAnsi="標楷體"/>
          <w:color w:val="000000" w:themeColor="text1"/>
        </w:rPr>
        <w:t>農業設施申請屋頂附屬設置綠能設施</w:t>
      </w:r>
      <w:r w:rsidRPr="00837E8F">
        <w:rPr>
          <w:rFonts w:hAnsi="標楷體" w:hint="eastAsia"/>
          <w:color w:val="000000" w:themeColor="text1"/>
        </w:rPr>
        <w:t>，造成</w:t>
      </w:r>
      <w:r w:rsidRPr="00837E8F">
        <w:rPr>
          <w:rFonts w:hAnsi="標楷體"/>
          <w:color w:val="000000" w:themeColor="text1"/>
        </w:rPr>
        <w:t>諸多案場徒有太陽能光電發電設施，</w:t>
      </w:r>
      <w:r w:rsidR="004628A5">
        <w:rPr>
          <w:rFonts w:hAnsi="標楷體" w:hint="eastAsia"/>
          <w:color w:val="000000" w:themeColor="text1"/>
        </w:rPr>
        <w:t>卻未依原核定計畫</w:t>
      </w:r>
      <w:r w:rsidRPr="00837E8F">
        <w:rPr>
          <w:rFonts w:hAnsi="標楷體"/>
          <w:color w:val="000000" w:themeColor="text1"/>
        </w:rPr>
        <w:t>從事</w:t>
      </w:r>
      <w:r w:rsidR="004628A5">
        <w:rPr>
          <w:rFonts w:hAnsi="標楷體" w:hint="eastAsia"/>
          <w:color w:val="000000" w:themeColor="text1"/>
        </w:rPr>
        <w:t>結合</w:t>
      </w:r>
      <w:r w:rsidRPr="00837E8F">
        <w:rPr>
          <w:rFonts w:hAnsi="標楷體"/>
          <w:color w:val="000000" w:themeColor="text1"/>
        </w:rPr>
        <w:t>農業經營</w:t>
      </w:r>
      <w:r w:rsidRPr="00837E8F">
        <w:rPr>
          <w:rFonts w:hAnsi="標楷體" w:hint="eastAsia"/>
          <w:color w:val="000000" w:themeColor="text1"/>
        </w:rPr>
        <w:t>之</w:t>
      </w:r>
      <w:r w:rsidRPr="00837E8F">
        <w:rPr>
          <w:rFonts w:hAnsi="標楷體"/>
          <w:color w:val="000000" w:themeColor="text1"/>
        </w:rPr>
        <w:t>情事。</w:t>
      </w:r>
    </w:p>
    <w:p w:rsidR="0046636B" w:rsidRPr="00837E8F" w:rsidRDefault="0046636B" w:rsidP="0046636B">
      <w:pPr>
        <w:pStyle w:val="3"/>
        <w:numPr>
          <w:ilvl w:val="2"/>
          <w:numId w:val="1"/>
        </w:numPr>
        <w:kinsoku w:val="0"/>
        <w:ind w:left="1360" w:hanging="680"/>
        <w:rPr>
          <w:rFonts w:hAnsi="標楷體"/>
          <w:color w:val="000000" w:themeColor="text1"/>
        </w:rPr>
      </w:pPr>
      <w:r w:rsidRPr="00837E8F">
        <w:rPr>
          <w:rFonts w:hAnsi="標楷體" w:hint="eastAsia"/>
          <w:color w:val="000000" w:themeColor="text1"/>
        </w:rPr>
        <w:t>針對前述情事，</w:t>
      </w:r>
      <w:r w:rsidRPr="00837E8F">
        <w:rPr>
          <w:rFonts w:hAnsi="標楷體"/>
          <w:color w:val="000000" w:themeColor="text1"/>
        </w:rPr>
        <w:t>臺南市政府</w:t>
      </w:r>
      <w:r w:rsidRPr="00837E8F">
        <w:rPr>
          <w:rFonts w:hAnsi="標楷體" w:hint="eastAsia"/>
          <w:color w:val="000000" w:themeColor="text1"/>
        </w:rPr>
        <w:t>於</w:t>
      </w:r>
      <w:r w:rsidRPr="00837E8F">
        <w:rPr>
          <w:rFonts w:hAnsi="標楷體"/>
          <w:color w:val="000000" w:themeColor="text1"/>
        </w:rPr>
        <w:t>本院實地履勘時表示：「農業設施結合綠能，有利農業經營發展，立意良好，惟業者不遵守法令，申請農業設施容許，但卻未依核定農業經營計畫辦理，實際上作綠能發電。尤其102年10月法令修正後，申請人即以取得容許使用同意逕向工務局申請建造，再向能源局申請同意備案，形成審查漏洞」。雲林縣政府</w:t>
      </w:r>
      <w:r w:rsidRPr="00837E8F">
        <w:rPr>
          <w:rFonts w:hAnsi="標楷體" w:hint="eastAsia"/>
          <w:color w:val="000000" w:themeColor="text1"/>
        </w:rPr>
        <w:t>亦</w:t>
      </w:r>
      <w:r w:rsidRPr="00837E8F">
        <w:rPr>
          <w:rFonts w:hAnsi="標楷體"/>
          <w:color w:val="000000" w:themeColor="text1"/>
        </w:rPr>
        <w:t>表示：「農委會於102年10月9日發布容許辦法增訂綠能專章，允許農業設施結合綠能設施，期能農電並存，提升農民收益。當時溫網室皆有取得</w:t>
      </w:r>
      <w:r w:rsidR="005A588A">
        <w:rPr>
          <w:rFonts w:hAnsi="標楷體"/>
          <w:color w:val="000000" w:themeColor="text1"/>
        </w:rPr>
        <w:t>（</w:t>
      </w:r>
      <w:r w:rsidRPr="00837E8F">
        <w:rPr>
          <w:rFonts w:hAnsi="標楷體"/>
          <w:color w:val="000000" w:themeColor="text1"/>
        </w:rPr>
        <w:t>純</w:t>
      </w:r>
      <w:r w:rsidR="005A588A" w:rsidRPr="005A588A">
        <w:rPr>
          <w:rFonts w:hAnsi="標楷體"/>
          <w:color w:val="000000" w:themeColor="text1"/>
        </w:rPr>
        <w:t>）</w:t>
      </w:r>
      <w:r w:rsidRPr="00837E8F">
        <w:rPr>
          <w:rFonts w:hAnsi="標楷體"/>
          <w:color w:val="000000" w:themeColor="text1"/>
        </w:rPr>
        <w:t>農業設施容許使用同意書，但因法令未規定附屬之太陽光電設施</w:t>
      </w:r>
      <w:r w:rsidRPr="00837E8F">
        <w:rPr>
          <w:rFonts w:hAnsi="標楷體" w:hint="eastAsia"/>
          <w:color w:val="000000" w:themeColor="text1"/>
        </w:rPr>
        <w:t>須</w:t>
      </w:r>
      <w:r w:rsidRPr="00837E8F">
        <w:rPr>
          <w:rFonts w:hAnsi="標楷體"/>
          <w:color w:val="000000" w:themeColor="text1"/>
        </w:rPr>
        <w:t>經農業單位審核，以致農業單位未能明確掌握實際附屬綠能設施，而建管單位亦未熟悉農業溫網室之態樣，逕發建、使照。溫網室與綠能設施之結合，則被詬病『假種田、真種電』的農田浩劫。」</w:t>
      </w:r>
      <w:r w:rsidRPr="00837E8F">
        <w:rPr>
          <w:rFonts w:hAnsi="標楷體" w:hint="eastAsia"/>
          <w:color w:val="000000" w:themeColor="text1"/>
        </w:rPr>
        <w:t>再據</w:t>
      </w:r>
      <w:r w:rsidRPr="00837E8F">
        <w:rPr>
          <w:rFonts w:hAnsi="標楷體"/>
          <w:color w:val="000000" w:themeColor="text1"/>
        </w:rPr>
        <w:t>嘉義縣政府查復表示</w:t>
      </w:r>
      <w:r w:rsidRPr="00837E8F">
        <w:rPr>
          <w:rFonts w:hAnsi="標楷體" w:hint="eastAsia"/>
          <w:color w:val="000000" w:themeColor="text1"/>
        </w:rPr>
        <w:t>：</w:t>
      </w:r>
      <w:r w:rsidRPr="00837E8F">
        <w:rPr>
          <w:rFonts w:hAnsi="標楷體"/>
          <w:color w:val="000000" w:themeColor="text1"/>
        </w:rPr>
        <w:t>該期間尚未建立農業設施屋頂附屬設置綠能設施之審查標準及作業，在未取得農業主管機關同意文件</w:t>
      </w:r>
      <w:r w:rsidRPr="00837E8F">
        <w:rPr>
          <w:rFonts w:hAnsi="標楷體" w:hint="eastAsia"/>
          <w:color w:val="000000" w:themeColor="text1"/>
        </w:rPr>
        <w:t>之下</w:t>
      </w:r>
      <w:r w:rsidRPr="00837E8F">
        <w:rPr>
          <w:rFonts w:hAnsi="標楷體"/>
          <w:color w:val="000000" w:themeColor="text1"/>
        </w:rPr>
        <w:t>，</w:t>
      </w:r>
      <w:r w:rsidRPr="00837E8F">
        <w:rPr>
          <w:rFonts w:hAnsi="標楷體" w:hint="eastAsia"/>
          <w:color w:val="000000" w:themeColor="text1"/>
        </w:rPr>
        <w:t>即可</w:t>
      </w:r>
      <w:r w:rsidRPr="00837E8F">
        <w:rPr>
          <w:rFonts w:hAnsi="標楷體"/>
          <w:color w:val="000000" w:themeColor="text1"/>
        </w:rPr>
        <w:t>向能源主管機關申請再生能源同意備案</w:t>
      </w:r>
      <w:r w:rsidRPr="00837E8F">
        <w:rPr>
          <w:rFonts w:hAnsi="標楷體" w:hint="eastAsia"/>
          <w:color w:val="000000" w:themeColor="text1"/>
        </w:rPr>
        <w:t>等語</w:t>
      </w:r>
      <w:r w:rsidRPr="00837E8F">
        <w:rPr>
          <w:rFonts w:hAnsi="標楷體"/>
          <w:color w:val="000000" w:themeColor="text1"/>
        </w:rPr>
        <w:t>。</w:t>
      </w:r>
    </w:p>
    <w:p w:rsidR="0046636B" w:rsidRPr="00837E8F" w:rsidRDefault="0046636B" w:rsidP="0046636B">
      <w:pPr>
        <w:pStyle w:val="3"/>
        <w:numPr>
          <w:ilvl w:val="2"/>
          <w:numId w:val="1"/>
        </w:numPr>
        <w:kinsoku w:val="0"/>
        <w:ind w:left="1360" w:hanging="680"/>
        <w:rPr>
          <w:rFonts w:hAnsi="標楷體"/>
          <w:color w:val="000000" w:themeColor="text1"/>
        </w:rPr>
      </w:pPr>
      <w:r w:rsidRPr="00837E8F">
        <w:rPr>
          <w:rFonts w:hAnsi="標楷體" w:hint="eastAsia"/>
          <w:color w:val="000000" w:themeColor="text1"/>
        </w:rPr>
        <w:t>再據</w:t>
      </w:r>
      <w:r w:rsidRPr="00837E8F">
        <w:rPr>
          <w:rFonts w:hAnsi="標楷體"/>
          <w:color w:val="000000" w:themeColor="text1"/>
        </w:rPr>
        <w:t>農委會提供之</w:t>
      </w:r>
      <w:r w:rsidRPr="00837E8F">
        <w:rPr>
          <w:rFonts w:hAnsi="標楷體" w:hint="eastAsia"/>
          <w:color w:val="000000" w:themeColor="text1"/>
        </w:rPr>
        <w:t>統計資料顯示，</w:t>
      </w:r>
      <w:r w:rsidRPr="00837E8F">
        <w:rPr>
          <w:rFonts w:hAnsi="標楷體"/>
          <w:color w:val="000000" w:themeColor="text1"/>
        </w:rPr>
        <w:t>農業設施屋頂附屬設置太陽光電同意備案</w:t>
      </w:r>
      <w:r w:rsidRPr="00837E8F">
        <w:rPr>
          <w:rFonts w:hAnsi="標楷體" w:hint="eastAsia"/>
          <w:color w:val="000000" w:themeColor="text1"/>
        </w:rPr>
        <w:t>之</w:t>
      </w:r>
      <w:r w:rsidRPr="00837E8F">
        <w:rPr>
          <w:rFonts w:hAnsi="標楷體"/>
          <w:color w:val="000000" w:themeColor="text1"/>
        </w:rPr>
        <w:t>件數</w:t>
      </w:r>
      <w:r w:rsidRPr="00837E8F">
        <w:rPr>
          <w:rFonts w:hAnsi="標楷體" w:hint="eastAsia"/>
          <w:color w:val="000000" w:themeColor="text1"/>
        </w:rPr>
        <w:t>從</w:t>
      </w:r>
      <w:r w:rsidRPr="00837E8F">
        <w:rPr>
          <w:rFonts w:hAnsi="標楷體"/>
          <w:color w:val="000000" w:themeColor="text1"/>
        </w:rPr>
        <w:t>102年</w:t>
      </w:r>
      <w:r w:rsidRPr="00837E8F">
        <w:rPr>
          <w:rFonts w:hAnsi="標楷體" w:hint="eastAsia"/>
          <w:color w:val="000000" w:themeColor="text1"/>
        </w:rPr>
        <w:t>之</w:t>
      </w:r>
      <w:r w:rsidRPr="00837E8F">
        <w:rPr>
          <w:rFonts w:hAnsi="標楷體"/>
          <w:color w:val="000000" w:themeColor="text1"/>
        </w:rPr>
        <w:t>413案</w:t>
      </w:r>
      <w:r w:rsidRPr="00837E8F">
        <w:rPr>
          <w:rFonts w:hAnsi="標楷體" w:hint="eastAsia"/>
          <w:color w:val="000000" w:themeColor="text1"/>
        </w:rPr>
        <w:t>，增加至</w:t>
      </w:r>
      <w:r w:rsidRPr="00837E8F">
        <w:rPr>
          <w:rFonts w:hAnsi="標楷體"/>
          <w:color w:val="000000" w:themeColor="text1"/>
        </w:rPr>
        <w:t>103年</w:t>
      </w:r>
      <w:r w:rsidRPr="00837E8F">
        <w:rPr>
          <w:rFonts w:hAnsi="標楷體" w:hint="eastAsia"/>
          <w:color w:val="000000" w:themeColor="text1"/>
        </w:rPr>
        <w:t>之</w:t>
      </w:r>
      <w:r w:rsidRPr="00837E8F">
        <w:rPr>
          <w:rFonts w:hAnsi="標楷體"/>
          <w:color w:val="000000" w:themeColor="text1"/>
        </w:rPr>
        <w:t>540案</w:t>
      </w:r>
      <w:r w:rsidRPr="00837E8F">
        <w:rPr>
          <w:rFonts w:hAnsi="標楷體" w:hint="eastAsia"/>
          <w:color w:val="000000" w:themeColor="text1"/>
        </w:rPr>
        <w:t>，</w:t>
      </w:r>
      <w:r w:rsidRPr="00837E8F">
        <w:rPr>
          <w:rFonts w:hAnsi="標楷體"/>
          <w:color w:val="000000" w:themeColor="text1"/>
        </w:rPr>
        <w:t>104年</w:t>
      </w:r>
      <w:r w:rsidRPr="00837E8F">
        <w:rPr>
          <w:rFonts w:hAnsi="標楷體" w:hint="eastAsia"/>
          <w:color w:val="000000" w:themeColor="text1"/>
        </w:rPr>
        <w:t>更達到</w:t>
      </w:r>
      <w:r w:rsidRPr="00837E8F">
        <w:rPr>
          <w:rFonts w:hAnsi="標楷體"/>
          <w:color w:val="000000" w:themeColor="text1"/>
        </w:rPr>
        <w:t>1,161案</w:t>
      </w:r>
      <w:r w:rsidRPr="00837E8F">
        <w:rPr>
          <w:rFonts w:hAnsi="標楷體" w:hint="eastAsia"/>
          <w:color w:val="000000" w:themeColor="text1"/>
        </w:rPr>
        <w:t>，該3年來總計2,114案。若從縣市別觀察，以雲林縣最多，102年至104年計有718案，占總件數</w:t>
      </w:r>
      <w:r w:rsidR="005A588A">
        <w:rPr>
          <w:rFonts w:hAnsi="標楷體" w:hint="eastAsia"/>
          <w:color w:val="000000" w:themeColor="text1"/>
        </w:rPr>
        <w:t>（</w:t>
      </w:r>
      <w:r w:rsidRPr="00837E8F">
        <w:rPr>
          <w:rFonts w:hAnsi="標楷體" w:hint="eastAsia"/>
          <w:color w:val="000000" w:themeColor="text1"/>
        </w:rPr>
        <w:t>2,114案</w:t>
      </w:r>
      <w:r w:rsidR="005A588A" w:rsidRPr="005A588A">
        <w:rPr>
          <w:rFonts w:hAnsi="標楷體" w:hint="eastAsia"/>
          <w:color w:val="000000" w:themeColor="text1"/>
        </w:rPr>
        <w:t>）</w:t>
      </w:r>
      <w:r w:rsidRPr="00837E8F">
        <w:rPr>
          <w:rFonts w:hAnsi="標楷體" w:hint="eastAsia"/>
          <w:color w:val="000000" w:themeColor="text1"/>
        </w:rPr>
        <w:t>之</w:t>
      </w:r>
      <w:r w:rsidRPr="00837E8F">
        <w:rPr>
          <w:rFonts w:hAnsi="標楷體" w:hint="eastAsia"/>
          <w:color w:val="000000" w:themeColor="text1"/>
        </w:rPr>
        <w:lastRenderedPageBreak/>
        <w:t>三成之多；而臺南市</w:t>
      </w:r>
      <w:r w:rsidRPr="00837E8F">
        <w:rPr>
          <w:rFonts w:hAnsi="標楷體"/>
          <w:color w:val="000000" w:themeColor="text1"/>
        </w:rPr>
        <w:t>同意備案</w:t>
      </w:r>
      <w:r w:rsidRPr="00837E8F">
        <w:rPr>
          <w:rFonts w:hAnsi="標楷體" w:hint="eastAsia"/>
          <w:color w:val="000000" w:themeColor="text1"/>
        </w:rPr>
        <w:t>之</w:t>
      </w:r>
      <w:r w:rsidRPr="00837E8F">
        <w:rPr>
          <w:rFonts w:hAnsi="標楷體"/>
          <w:color w:val="000000" w:themeColor="text1"/>
        </w:rPr>
        <w:t>件數</w:t>
      </w:r>
      <w:r w:rsidRPr="00837E8F">
        <w:rPr>
          <w:rFonts w:hAnsi="標楷體" w:hint="eastAsia"/>
          <w:color w:val="000000" w:themeColor="text1"/>
        </w:rPr>
        <w:t>從</w:t>
      </w:r>
      <w:r w:rsidRPr="00837E8F">
        <w:rPr>
          <w:rFonts w:hAnsi="標楷體"/>
          <w:color w:val="000000" w:themeColor="text1"/>
        </w:rPr>
        <w:t>102年</w:t>
      </w:r>
      <w:r w:rsidRPr="00837E8F">
        <w:rPr>
          <w:rFonts w:hAnsi="標楷體" w:hint="eastAsia"/>
          <w:color w:val="000000" w:themeColor="text1"/>
        </w:rPr>
        <w:t>之58</w:t>
      </w:r>
      <w:r w:rsidRPr="00837E8F">
        <w:rPr>
          <w:rFonts w:hAnsi="標楷體"/>
          <w:color w:val="000000" w:themeColor="text1"/>
        </w:rPr>
        <w:t>案</w:t>
      </w:r>
      <w:r w:rsidRPr="00837E8F">
        <w:rPr>
          <w:rFonts w:hAnsi="標楷體" w:hint="eastAsia"/>
          <w:color w:val="000000" w:themeColor="text1"/>
        </w:rPr>
        <w:t>，急速增加至</w:t>
      </w:r>
      <w:r w:rsidRPr="00837E8F">
        <w:rPr>
          <w:rFonts w:hAnsi="標楷體"/>
          <w:color w:val="000000" w:themeColor="text1"/>
        </w:rPr>
        <w:t>104年</w:t>
      </w:r>
      <w:r w:rsidRPr="00837E8F">
        <w:rPr>
          <w:rFonts w:hAnsi="標楷體" w:hint="eastAsia"/>
          <w:color w:val="000000" w:themeColor="text1"/>
        </w:rPr>
        <w:t>之423</w:t>
      </w:r>
      <w:r w:rsidRPr="00837E8F">
        <w:rPr>
          <w:rFonts w:hAnsi="標楷體"/>
          <w:color w:val="000000" w:themeColor="text1"/>
        </w:rPr>
        <w:t>案</w:t>
      </w:r>
      <w:r w:rsidRPr="00837E8F">
        <w:rPr>
          <w:rFonts w:hAnsi="標楷體" w:hint="eastAsia"/>
          <w:color w:val="000000" w:themeColor="text1"/>
        </w:rPr>
        <w:t>；又，該3年雲林縣、臺南市、彰化縣及嘉義縣</w:t>
      </w:r>
      <w:r w:rsidRPr="00837E8F">
        <w:rPr>
          <w:rFonts w:hAnsi="標楷體"/>
          <w:color w:val="000000" w:themeColor="text1"/>
        </w:rPr>
        <w:t>同意備案</w:t>
      </w:r>
      <w:r w:rsidRPr="00837E8F">
        <w:rPr>
          <w:rFonts w:hAnsi="標楷體" w:hint="eastAsia"/>
          <w:color w:val="000000" w:themeColor="text1"/>
        </w:rPr>
        <w:t>之</w:t>
      </w:r>
      <w:r w:rsidRPr="00837E8F">
        <w:rPr>
          <w:rFonts w:hAnsi="標楷體"/>
          <w:color w:val="000000" w:themeColor="text1"/>
        </w:rPr>
        <w:t>件數</w:t>
      </w:r>
      <w:r w:rsidRPr="00837E8F">
        <w:rPr>
          <w:rFonts w:hAnsi="標楷體" w:hint="eastAsia"/>
          <w:color w:val="000000" w:themeColor="text1"/>
        </w:rPr>
        <w:t>共計1,796案，占總件數</w:t>
      </w:r>
      <w:r w:rsidR="005A588A">
        <w:rPr>
          <w:rFonts w:hAnsi="標楷體" w:hint="eastAsia"/>
          <w:color w:val="000000" w:themeColor="text1"/>
        </w:rPr>
        <w:t>（</w:t>
      </w:r>
      <w:r w:rsidRPr="00837E8F">
        <w:rPr>
          <w:rFonts w:hAnsi="標楷體" w:hint="eastAsia"/>
          <w:color w:val="000000" w:themeColor="text1"/>
        </w:rPr>
        <w:t>2,114案</w:t>
      </w:r>
      <w:r w:rsidR="005A588A" w:rsidRPr="005A588A">
        <w:rPr>
          <w:rFonts w:hAnsi="標楷體" w:hint="eastAsia"/>
          <w:color w:val="000000" w:themeColor="text1"/>
        </w:rPr>
        <w:t>）</w:t>
      </w:r>
      <w:r w:rsidRPr="00837E8F">
        <w:rPr>
          <w:rFonts w:hAnsi="標楷體" w:hint="eastAsia"/>
          <w:color w:val="000000" w:themeColor="text1"/>
        </w:rPr>
        <w:t>之比率高達85%</w:t>
      </w:r>
      <w:r w:rsidR="005A588A">
        <w:rPr>
          <w:rFonts w:hAnsi="標楷體" w:hint="eastAsia"/>
          <w:color w:val="000000" w:themeColor="text1"/>
        </w:rPr>
        <w:t>（</w:t>
      </w:r>
      <w:r w:rsidRPr="00837E8F">
        <w:rPr>
          <w:rFonts w:hAnsi="標楷體" w:hint="eastAsia"/>
          <w:color w:val="000000" w:themeColor="text1"/>
        </w:rPr>
        <w:t>詳見下表</w:t>
      </w:r>
      <w:r w:rsidR="005A588A" w:rsidRPr="005A588A">
        <w:rPr>
          <w:rFonts w:hAnsi="標楷體" w:hint="eastAsia"/>
          <w:color w:val="000000" w:themeColor="text1"/>
        </w:rPr>
        <w:t>）</w:t>
      </w:r>
      <w:r w:rsidRPr="00837E8F">
        <w:rPr>
          <w:rFonts w:hAnsi="標楷體" w:hint="eastAsia"/>
          <w:color w:val="000000" w:themeColor="text1"/>
        </w:rPr>
        <w:t>。</w:t>
      </w:r>
    </w:p>
    <w:p w:rsidR="0046636B" w:rsidRPr="00D3175E" w:rsidRDefault="0046636B" w:rsidP="0046636B">
      <w:pPr>
        <w:pStyle w:val="3"/>
        <w:numPr>
          <w:ilvl w:val="2"/>
          <w:numId w:val="1"/>
        </w:numPr>
        <w:topLinePunct/>
        <w:ind w:left="1360" w:hanging="680"/>
        <w:rPr>
          <w:rFonts w:ascii="Times New Roman" w:hAnsi="Times New Roman"/>
        </w:rPr>
      </w:pPr>
      <w:r w:rsidRPr="00837E8F">
        <w:rPr>
          <w:rFonts w:hAnsi="標楷體" w:hint="eastAsia"/>
          <w:color w:val="000000" w:themeColor="text1"/>
        </w:rPr>
        <w:t>嗣</w:t>
      </w:r>
      <w:r w:rsidRPr="00837E8F">
        <w:rPr>
          <w:rFonts w:hAnsi="標楷體"/>
          <w:color w:val="000000" w:themeColor="text1"/>
        </w:rPr>
        <w:t>農委會</w:t>
      </w:r>
      <w:r w:rsidRPr="00837E8F">
        <w:rPr>
          <w:rFonts w:hAnsi="標楷體" w:hint="eastAsia"/>
          <w:color w:val="000000" w:themeColor="text1"/>
        </w:rPr>
        <w:t>為</w:t>
      </w:r>
      <w:r w:rsidRPr="00837E8F">
        <w:rPr>
          <w:rFonts w:hAnsi="標楷體"/>
          <w:color w:val="000000" w:themeColor="text1"/>
        </w:rPr>
        <w:t>落實容許辦法之政策立意</w:t>
      </w:r>
      <w:r w:rsidRPr="00837E8F">
        <w:rPr>
          <w:rFonts w:hAnsi="標楷體" w:hint="eastAsia"/>
          <w:color w:val="000000" w:themeColor="text1"/>
        </w:rPr>
        <w:t>，</w:t>
      </w:r>
      <w:r w:rsidRPr="00837E8F">
        <w:rPr>
          <w:rFonts w:hAnsi="標楷體"/>
          <w:color w:val="000000" w:themeColor="text1"/>
        </w:rPr>
        <w:t>確保農業設施屋頂附屬設置之綠能設施結合農業經營使用</w:t>
      </w:r>
      <w:r w:rsidRPr="00837E8F">
        <w:rPr>
          <w:rFonts w:hAnsi="標楷體" w:hint="eastAsia"/>
          <w:color w:val="000000" w:themeColor="text1"/>
        </w:rPr>
        <w:t>，針對前述</w:t>
      </w:r>
      <w:r w:rsidRPr="00837E8F">
        <w:rPr>
          <w:rFonts w:hAnsi="標楷體"/>
          <w:color w:val="000000" w:themeColor="text1"/>
        </w:rPr>
        <w:t>審查</w:t>
      </w:r>
      <w:r w:rsidRPr="00837E8F">
        <w:rPr>
          <w:rFonts w:hAnsi="標楷體" w:hint="eastAsia"/>
          <w:color w:val="000000" w:themeColor="text1"/>
        </w:rPr>
        <w:t>漏洞，遂訂定</w:t>
      </w:r>
      <w:r w:rsidRPr="00837E8F">
        <w:rPr>
          <w:rFonts w:hAnsi="標楷體"/>
          <w:color w:val="000000" w:themeColor="text1"/>
        </w:rPr>
        <w:t>農業設施屋頂附屬設置綠能設施之行政實務審查流程</w:t>
      </w:r>
      <w:r w:rsidRPr="00837E8F">
        <w:rPr>
          <w:rFonts w:hAnsi="標楷體" w:hint="eastAsia"/>
          <w:color w:val="000000" w:themeColor="text1"/>
        </w:rPr>
        <w:t>，並以</w:t>
      </w:r>
      <w:r w:rsidRPr="00837E8F">
        <w:rPr>
          <w:rFonts w:hAnsi="標楷體"/>
          <w:color w:val="000000" w:themeColor="text1"/>
        </w:rPr>
        <w:t>104年2月12日農企字第1040012074號函</w:t>
      </w:r>
      <w:r w:rsidRPr="00837E8F">
        <w:rPr>
          <w:rFonts w:hAnsi="標楷體" w:hint="eastAsia"/>
          <w:color w:val="000000" w:themeColor="text1"/>
        </w:rPr>
        <w:t>知</w:t>
      </w:r>
      <w:r w:rsidRPr="00837E8F">
        <w:rPr>
          <w:rFonts w:hAnsi="標楷體"/>
          <w:color w:val="000000" w:themeColor="text1"/>
        </w:rPr>
        <w:t>各地方政府</w:t>
      </w:r>
      <w:r w:rsidRPr="00837E8F">
        <w:rPr>
          <w:rFonts w:hAnsi="標楷體" w:hint="eastAsia"/>
          <w:color w:val="000000" w:themeColor="text1"/>
        </w:rPr>
        <w:t>遵循</w:t>
      </w:r>
      <w:r w:rsidRPr="00837E8F">
        <w:rPr>
          <w:rFonts w:hAnsi="標楷體"/>
          <w:color w:val="000000" w:themeColor="text1"/>
        </w:rPr>
        <w:t>辦理</w:t>
      </w:r>
      <w:r w:rsidRPr="00837E8F">
        <w:rPr>
          <w:rFonts w:hAnsi="標楷體" w:hint="eastAsia"/>
          <w:color w:val="000000" w:themeColor="text1"/>
        </w:rPr>
        <w:t>。前述</w:t>
      </w:r>
      <w:r w:rsidRPr="00837E8F">
        <w:rPr>
          <w:rFonts w:hAnsi="標楷體"/>
          <w:color w:val="000000" w:themeColor="text1"/>
        </w:rPr>
        <w:t>流程</w:t>
      </w:r>
      <w:r w:rsidRPr="00837E8F">
        <w:rPr>
          <w:rFonts w:hAnsi="標楷體" w:hint="eastAsia"/>
          <w:color w:val="000000" w:themeColor="text1"/>
        </w:rPr>
        <w:t>就</w:t>
      </w:r>
      <w:r w:rsidRPr="00837E8F">
        <w:rPr>
          <w:rFonts w:hAnsi="標楷體"/>
          <w:color w:val="000000" w:themeColor="text1"/>
        </w:rPr>
        <w:t>「農業設施併同申請綠能設施者」及「已有農業設施擬續申請綠能設施者」之行政審查</w:t>
      </w:r>
      <w:r w:rsidRPr="00837E8F">
        <w:rPr>
          <w:rFonts w:hAnsi="標楷體" w:hint="eastAsia"/>
          <w:color w:val="000000" w:themeColor="text1"/>
        </w:rPr>
        <w:t>，</w:t>
      </w:r>
      <w:r w:rsidRPr="00837E8F">
        <w:rPr>
          <w:rFonts w:hAnsi="標楷體"/>
          <w:color w:val="000000" w:themeColor="text1"/>
        </w:rPr>
        <w:t>分別規範申請人應於農業經營計畫</w:t>
      </w:r>
      <w:r w:rsidRPr="00837E8F">
        <w:rPr>
          <w:rFonts w:hAnsi="標楷體" w:hint="eastAsia"/>
          <w:color w:val="000000" w:themeColor="text1"/>
        </w:rPr>
        <w:t>中</w:t>
      </w:r>
      <w:r w:rsidRPr="00837E8F">
        <w:rPr>
          <w:rFonts w:hAnsi="標楷體"/>
          <w:color w:val="000000" w:themeColor="text1"/>
        </w:rPr>
        <w:t>說明農業經營與綠能設施之結合情形，地方政府於受理綠能申請案件</w:t>
      </w:r>
      <w:r w:rsidRPr="00837E8F">
        <w:rPr>
          <w:rFonts w:hAnsi="標楷體" w:hint="eastAsia"/>
          <w:color w:val="000000" w:themeColor="text1"/>
        </w:rPr>
        <w:t>後</w:t>
      </w:r>
      <w:r w:rsidRPr="00837E8F">
        <w:rPr>
          <w:rFonts w:hAnsi="標楷體"/>
          <w:color w:val="000000" w:themeColor="text1"/>
        </w:rPr>
        <w:t>，由農業主管機關審查是否符合容許辦法之申請基準或條件，以及農業設施與綠能設施之相容性，倘經審查核准，應於容許使用同意書之附註欄及函文中附帶說明「本申請案得附屬設置綠能設施，請依再生能源發展條例等相關規定，向再生能源主管機關申請辦理」。而能源主管機關核發再生能源設備同意備案文件時，亦須副知地方政府，提供綠能設施</w:t>
      </w:r>
      <w:r w:rsidRPr="00837E8F">
        <w:rPr>
          <w:rFonts w:hAnsi="標楷體" w:hint="eastAsia"/>
          <w:color w:val="000000" w:themeColor="text1"/>
        </w:rPr>
        <w:t>所</w:t>
      </w:r>
      <w:r w:rsidRPr="00837E8F">
        <w:rPr>
          <w:rFonts w:hAnsi="標楷體"/>
          <w:color w:val="000000" w:themeColor="text1"/>
        </w:rPr>
        <w:t>依附之農業設施項目、設置場址、建物建號等資料，</w:t>
      </w:r>
      <w:r w:rsidRPr="00837E8F">
        <w:rPr>
          <w:rFonts w:hAnsi="標楷體" w:hint="eastAsia"/>
          <w:color w:val="000000" w:themeColor="text1"/>
        </w:rPr>
        <w:t>以</w:t>
      </w:r>
      <w:r w:rsidRPr="00837E8F">
        <w:rPr>
          <w:rFonts w:hAnsi="標楷體"/>
          <w:color w:val="000000" w:themeColor="text1"/>
        </w:rPr>
        <w:t>利地方農業主管機關</w:t>
      </w:r>
      <w:r w:rsidRPr="00837E8F">
        <w:rPr>
          <w:rFonts w:hAnsi="標楷體" w:hint="eastAsia"/>
          <w:color w:val="000000" w:themeColor="text1"/>
        </w:rPr>
        <w:t>就</w:t>
      </w:r>
      <w:r w:rsidRPr="00837E8F">
        <w:rPr>
          <w:rFonts w:hAnsi="標楷體"/>
          <w:color w:val="000000" w:themeColor="text1"/>
        </w:rPr>
        <w:t>原核發農業設施容許使用同意文件之資料</w:t>
      </w:r>
      <w:r w:rsidRPr="00837E8F">
        <w:rPr>
          <w:rFonts w:hAnsi="標楷體" w:hint="eastAsia"/>
          <w:color w:val="000000" w:themeColor="text1"/>
        </w:rPr>
        <w:t>，</w:t>
      </w:r>
      <w:r w:rsidRPr="00837E8F">
        <w:rPr>
          <w:rFonts w:hAnsi="標楷體"/>
          <w:color w:val="000000" w:themeColor="text1"/>
        </w:rPr>
        <w:t>進行勾稽比對、列冊統計及後續列管查核等工作。</w:t>
      </w:r>
      <w:r w:rsidRPr="00837E8F">
        <w:rPr>
          <w:rFonts w:hAnsi="標楷體" w:hint="eastAsia"/>
          <w:color w:val="000000" w:themeColor="text1"/>
        </w:rPr>
        <w:t>前述</w:t>
      </w:r>
      <w:r w:rsidRPr="00837E8F">
        <w:rPr>
          <w:rFonts w:hAnsi="標楷體"/>
          <w:color w:val="000000" w:themeColor="text1"/>
        </w:rPr>
        <w:t>審查流程</w:t>
      </w:r>
      <w:r w:rsidRPr="00837E8F">
        <w:rPr>
          <w:rFonts w:hAnsi="標楷體" w:hint="eastAsia"/>
          <w:color w:val="000000" w:themeColor="text1"/>
        </w:rPr>
        <w:t>實施後，105年</w:t>
      </w:r>
      <w:r w:rsidRPr="00837E8F">
        <w:rPr>
          <w:rFonts w:hAnsi="標楷體"/>
          <w:color w:val="000000" w:themeColor="text1"/>
        </w:rPr>
        <w:t>農業設施屋頂附屬設置太陽光電同意備案</w:t>
      </w:r>
      <w:r w:rsidRPr="00837E8F">
        <w:rPr>
          <w:rFonts w:hAnsi="標楷體" w:hint="eastAsia"/>
          <w:color w:val="000000" w:themeColor="text1"/>
        </w:rPr>
        <w:t>之</w:t>
      </w:r>
      <w:r w:rsidRPr="00837E8F">
        <w:rPr>
          <w:rFonts w:hAnsi="標楷體"/>
          <w:color w:val="000000" w:themeColor="text1"/>
        </w:rPr>
        <w:t>件數</w:t>
      </w:r>
      <w:r w:rsidRPr="00837E8F">
        <w:rPr>
          <w:rFonts w:hAnsi="標楷體" w:hint="eastAsia"/>
          <w:color w:val="000000" w:themeColor="text1"/>
        </w:rPr>
        <w:t>降至748</w:t>
      </w:r>
      <w:r w:rsidRPr="00837E8F">
        <w:rPr>
          <w:rFonts w:hAnsi="標楷體"/>
          <w:color w:val="000000" w:themeColor="text1"/>
        </w:rPr>
        <w:t>案</w:t>
      </w:r>
      <w:r w:rsidRPr="00837E8F">
        <w:rPr>
          <w:rFonts w:hAnsi="標楷體" w:hint="eastAsia"/>
          <w:color w:val="000000" w:themeColor="text1"/>
        </w:rPr>
        <w:t>，106年截至5月為289案</w:t>
      </w:r>
      <w:r w:rsidR="005A588A">
        <w:rPr>
          <w:rFonts w:hAnsi="標楷體" w:hint="eastAsia"/>
          <w:color w:val="000000" w:themeColor="text1"/>
        </w:rPr>
        <w:t>（</w:t>
      </w:r>
      <w:r w:rsidRPr="00837E8F">
        <w:rPr>
          <w:rFonts w:hAnsi="標楷體" w:hint="eastAsia"/>
          <w:color w:val="000000" w:themeColor="text1"/>
        </w:rPr>
        <w:t>詳見下表</w:t>
      </w:r>
      <w:r w:rsidR="005A588A" w:rsidRPr="005A588A">
        <w:rPr>
          <w:rFonts w:hAnsi="標楷體" w:hint="eastAsia"/>
          <w:color w:val="000000" w:themeColor="text1"/>
        </w:rPr>
        <w:t>）</w:t>
      </w:r>
      <w:r w:rsidRPr="00837E8F">
        <w:rPr>
          <w:rFonts w:hAnsi="標楷體" w:hint="eastAsia"/>
          <w:color w:val="000000" w:themeColor="text1"/>
        </w:rPr>
        <w:t>。</w:t>
      </w:r>
    </w:p>
    <w:p w:rsidR="0046636B" w:rsidRPr="00136306" w:rsidRDefault="004628A5" w:rsidP="00713F6D">
      <w:pPr>
        <w:pStyle w:val="a3"/>
        <w:numPr>
          <w:ilvl w:val="0"/>
          <w:numId w:val="0"/>
        </w:numPr>
        <w:jc w:val="center"/>
        <w:rPr>
          <w:rFonts w:ascii="Times New Roman" w:hAnsi="Times New Roman"/>
        </w:rPr>
      </w:pPr>
      <w:r>
        <w:rPr>
          <w:rFonts w:ascii="Times New Roman" w:hAnsi="Times New Roman" w:hint="eastAsia"/>
        </w:rPr>
        <w:t>農</w:t>
      </w:r>
      <w:r w:rsidR="0046636B" w:rsidRPr="00136306">
        <w:rPr>
          <w:rFonts w:ascii="Times New Roman" w:hAnsi="Times New Roman"/>
        </w:rPr>
        <w:t>業設施屋頂附屬設置太陽光電同意備案之統計表</w:t>
      </w:r>
    </w:p>
    <w:p w:rsidR="0046636B" w:rsidRPr="00BD787D" w:rsidRDefault="0046636B" w:rsidP="0046636B">
      <w:pPr>
        <w:pStyle w:val="3"/>
        <w:numPr>
          <w:ilvl w:val="0"/>
          <w:numId w:val="0"/>
        </w:numPr>
        <w:ind w:leftChars="1194" w:left="4061" w:rightChars="-233" w:right="-793" w:firstLine="645"/>
        <w:rPr>
          <w:rFonts w:ascii="Times New Roman" w:hAnsi="Times New Roman"/>
        </w:rPr>
      </w:pPr>
      <w:r w:rsidRPr="00BD787D">
        <w:rPr>
          <w:rFonts w:ascii="Times New Roman" w:hAnsi="Times New Roman"/>
          <w:kern w:val="28"/>
          <w:sz w:val="28"/>
          <w:szCs w:val="28"/>
        </w:rPr>
        <w:t>單位：</w:t>
      </w:r>
      <w:r w:rsidRPr="00BD787D">
        <w:rPr>
          <w:rFonts w:ascii="Times New Roman" w:hAnsi="Times New Roman"/>
          <w:kern w:val="28"/>
          <w:sz w:val="28"/>
          <w:szCs w:val="28"/>
        </w:rPr>
        <w:t>KW</w:t>
      </w:r>
      <w:r w:rsidRPr="00BD787D">
        <w:rPr>
          <w:rFonts w:ascii="Times New Roman" w:hAnsi="Times New Roman"/>
          <w:kern w:val="28"/>
          <w:sz w:val="28"/>
          <w:szCs w:val="28"/>
        </w:rPr>
        <w:t>、統計時間：</w:t>
      </w:r>
      <w:r w:rsidRPr="00BD787D">
        <w:rPr>
          <w:rFonts w:ascii="Times New Roman" w:hAnsi="Times New Roman"/>
          <w:kern w:val="28"/>
          <w:sz w:val="28"/>
          <w:szCs w:val="28"/>
        </w:rPr>
        <w:t>106</w:t>
      </w:r>
      <w:r w:rsidRPr="00BD787D">
        <w:rPr>
          <w:rFonts w:ascii="Times New Roman" w:hAnsi="Times New Roman"/>
          <w:kern w:val="28"/>
          <w:sz w:val="28"/>
          <w:szCs w:val="28"/>
        </w:rPr>
        <w:t>年</w:t>
      </w:r>
      <w:r w:rsidRPr="00BD787D">
        <w:rPr>
          <w:rFonts w:ascii="Times New Roman" w:hAnsi="Times New Roman"/>
          <w:kern w:val="28"/>
          <w:sz w:val="28"/>
          <w:szCs w:val="28"/>
        </w:rPr>
        <w:t>5</w:t>
      </w:r>
      <w:r w:rsidRPr="00BD787D">
        <w:rPr>
          <w:rFonts w:ascii="Times New Roman" w:hAnsi="Times New Roman"/>
          <w:kern w:val="28"/>
          <w:sz w:val="28"/>
          <w:szCs w:val="28"/>
        </w:rPr>
        <w:t>月</w:t>
      </w:r>
      <w:r w:rsidRPr="00BD787D">
        <w:rPr>
          <w:rFonts w:ascii="Times New Roman" w:hAnsi="Times New Roman"/>
          <w:kern w:val="28"/>
          <w:sz w:val="28"/>
          <w:szCs w:val="28"/>
        </w:rPr>
        <w:t>31</w:t>
      </w:r>
      <w:r w:rsidRPr="00BD787D">
        <w:rPr>
          <w:rFonts w:ascii="Times New Roman" w:hAnsi="Times New Roman"/>
          <w:kern w:val="28"/>
          <w:sz w:val="28"/>
          <w:szCs w:val="28"/>
        </w:rPr>
        <w:t>日</w:t>
      </w:r>
    </w:p>
    <w:tbl>
      <w:tblPr>
        <w:tblW w:w="10404" w:type="dxa"/>
        <w:jc w:val="center"/>
        <w:tblCellMar>
          <w:left w:w="28" w:type="dxa"/>
          <w:right w:w="28" w:type="dxa"/>
        </w:tblCellMar>
        <w:tblLook w:val="04A0" w:firstRow="1" w:lastRow="0" w:firstColumn="1" w:lastColumn="0" w:noHBand="0" w:noVBand="1"/>
      </w:tblPr>
      <w:tblGrid>
        <w:gridCol w:w="1471"/>
        <w:gridCol w:w="643"/>
        <w:gridCol w:w="717"/>
        <w:gridCol w:w="600"/>
        <w:gridCol w:w="840"/>
        <w:gridCol w:w="639"/>
        <w:gridCol w:w="797"/>
        <w:gridCol w:w="690"/>
        <w:gridCol w:w="848"/>
        <w:gridCol w:w="802"/>
        <w:gridCol w:w="728"/>
        <w:gridCol w:w="792"/>
        <w:gridCol w:w="837"/>
      </w:tblGrid>
      <w:tr w:rsidR="0046636B" w:rsidRPr="00BD787D" w:rsidTr="00B9036B">
        <w:trPr>
          <w:trHeight w:val="20"/>
          <w:tblHeader/>
          <w:jc w:val="center"/>
        </w:trPr>
        <w:tc>
          <w:tcPr>
            <w:tcW w:w="1471" w:type="dxa"/>
            <w:vMerge w:val="restart"/>
            <w:tcBorders>
              <w:top w:val="single" w:sz="4" w:space="0" w:color="auto"/>
              <w:left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2"/>
                <w:szCs w:val="22"/>
              </w:rPr>
            </w:pPr>
            <w:r w:rsidRPr="00BD787D">
              <w:rPr>
                <w:rFonts w:ascii="Times New Roman"/>
                <w:b/>
                <w:bCs/>
                <w:color w:val="0D0D0D"/>
                <w:spacing w:val="-8"/>
                <w:kern w:val="0"/>
                <w:sz w:val="22"/>
                <w:szCs w:val="22"/>
              </w:rPr>
              <w:lastRenderedPageBreak/>
              <w:t>縣市別</w:t>
            </w:r>
            <w:r w:rsidRPr="00BD787D">
              <w:rPr>
                <w:rFonts w:ascii="Times New Roman"/>
                <w:b/>
                <w:bCs/>
                <w:color w:val="0D0D0D"/>
                <w:spacing w:val="-8"/>
                <w:kern w:val="0"/>
                <w:sz w:val="22"/>
                <w:szCs w:val="22"/>
              </w:rPr>
              <w:t>/</w:t>
            </w:r>
          </w:p>
          <w:p w:rsidR="0046636B" w:rsidRPr="00BD787D" w:rsidRDefault="0046636B" w:rsidP="00E02A3A">
            <w:pPr>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BD787D">
              <w:rPr>
                <w:rFonts w:ascii="Times New Roman"/>
                <w:b/>
                <w:bCs/>
                <w:color w:val="0D0D0D"/>
                <w:spacing w:val="-8"/>
                <w:kern w:val="0"/>
                <w:sz w:val="22"/>
                <w:szCs w:val="22"/>
              </w:rPr>
              <w:t>設施類別</w:t>
            </w:r>
          </w:p>
        </w:tc>
        <w:tc>
          <w:tcPr>
            <w:tcW w:w="1360" w:type="dxa"/>
            <w:gridSpan w:val="2"/>
            <w:tcBorders>
              <w:top w:val="single" w:sz="4" w:space="0" w:color="auto"/>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102</w:t>
            </w:r>
            <w:r w:rsidRPr="00BD787D">
              <w:rPr>
                <w:rFonts w:ascii="Times New Roman"/>
                <w:b/>
                <w:bCs/>
                <w:color w:val="0D0D0D"/>
                <w:spacing w:val="-8"/>
                <w:kern w:val="0"/>
                <w:sz w:val="22"/>
                <w:szCs w:val="22"/>
              </w:rPr>
              <w:t>年度</w:t>
            </w:r>
          </w:p>
        </w:tc>
        <w:tc>
          <w:tcPr>
            <w:tcW w:w="1440" w:type="dxa"/>
            <w:gridSpan w:val="2"/>
            <w:tcBorders>
              <w:top w:val="single" w:sz="4" w:space="0" w:color="auto"/>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103</w:t>
            </w:r>
            <w:r w:rsidRPr="00BD787D">
              <w:rPr>
                <w:rFonts w:ascii="Times New Roman"/>
                <w:b/>
                <w:bCs/>
                <w:color w:val="0D0D0D"/>
                <w:spacing w:val="-8"/>
                <w:kern w:val="0"/>
                <w:sz w:val="22"/>
                <w:szCs w:val="22"/>
              </w:rPr>
              <w:t>年度</w:t>
            </w:r>
          </w:p>
        </w:tc>
        <w:tc>
          <w:tcPr>
            <w:tcW w:w="1436" w:type="dxa"/>
            <w:gridSpan w:val="2"/>
            <w:tcBorders>
              <w:top w:val="single" w:sz="4" w:space="0" w:color="auto"/>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104</w:t>
            </w:r>
            <w:r w:rsidRPr="00BD787D">
              <w:rPr>
                <w:rFonts w:ascii="Times New Roman"/>
                <w:b/>
                <w:bCs/>
                <w:color w:val="0D0D0D"/>
                <w:spacing w:val="-8"/>
                <w:kern w:val="0"/>
                <w:sz w:val="22"/>
                <w:szCs w:val="22"/>
              </w:rPr>
              <w:t>年度</w:t>
            </w:r>
          </w:p>
        </w:tc>
        <w:tc>
          <w:tcPr>
            <w:tcW w:w="1538" w:type="dxa"/>
            <w:gridSpan w:val="2"/>
            <w:tcBorders>
              <w:top w:val="single" w:sz="4" w:space="0" w:color="auto"/>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105</w:t>
            </w:r>
            <w:r w:rsidRPr="00BD787D">
              <w:rPr>
                <w:rFonts w:ascii="Times New Roman"/>
                <w:b/>
                <w:bCs/>
                <w:color w:val="0D0D0D"/>
                <w:spacing w:val="-8"/>
                <w:kern w:val="0"/>
                <w:sz w:val="22"/>
                <w:szCs w:val="22"/>
              </w:rPr>
              <w:t>年度</w:t>
            </w:r>
          </w:p>
        </w:tc>
        <w:tc>
          <w:tcPr>
            <w:tcW w:w="1530" w:type="dxa"/>
            <w:gridSpan w:val="2"/>
            <w:tcBorders>
              <w:top w:val="single" w:sz="4" w:space="0" w:color="auto"/>
              <w:left w:val="nil"/>
              <w:bottom w:val="single" w:sz="4" w:space="0" w:color="auto"/>
              <w:right w:val="single" w:sz="4" w:space="0" w:color="auto"/>
            </w:tcBorders>
            <w:shd w:val="clear" w:color="auto" w:fill="D9E1F2"/>
            <w:vAlign w:val="center"/>
          </w:tcPr>
          <w:p w:rsidR="0046636B" w:rsidRPr="00BD787D" w:rsidRDefault="0046636B" w:rsidP="00E02A3A">
            <w:pPr>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106</w:t>
            </w:r>
            <w:r w:rsidRPr="00BD787D">
              <w:rPr>
                <w:rFonts w:ascii="Times New Roman"/>
                <w:b/>
                <w:bCs/>
                <w:color w:val="0D0D0D"/>
                <w:spacing w:val="-8"/>
                <w:kern w:val="0"/>
                <w:sz w:val="22"/>
                <w:szCs w:val="22"/>
              </w:rPr>
              <w:t>年</w:t>
            </w:r>
            <w:r w:rsidRPr="00BD787D">
              <w:rPr>
                <w:rFonts w:ascii="Times New Roman"/>
                <w:b/>
                <w:bCs/>
                <w:color w:val="0D0D0D"/>
                <w:spacing w:val="-8"/>
                <w:kern w:val="0"/>
                <w:sz w:val="22"/>
                <w:szCs w:val="22"/>
              </w:rPr>
              <w:t>5</w:t>
            </w:r>
            <w:r w:rsidRPr="00BD787D">
              <w:rPr>
                <w:rFonts w:ascii="Times New Roman"/>
                <w:b/>
                <w:bCs/>
                <w:color w:val="0D0D0D"/>
                <w:spacing w:val="-8"/>
                <w:kern w:val="0"/>
                <w:sz w:val="22"/>
                <w:szCs w:val="22"/>
              </w:rPr>
              <w:t>月底前</w:t>
            </w:r>
          </w:p>
        </w:tc>
        <w:tc>
          <w:tcPr>
            <w:tcW w:w="162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各年度加總</w:t>
            </w:r>
          </w:p>
        </w:tc>
      </w:tr>
      <w:tr w:rsidR="0046636B" w:rsidRPr="00BD787D" w:rsidTr="00B9036B">
        <w:trPr>
          <w:trHeight w:val="20"/>
          <w:tblHeader/>
          <w:jc w:val="center"/>
        </w:trPr>
        <w:tc>
          <w:tcPr>
            <w:tcW w:w="1471" w:type="dxa"/>
            <w:vMerge/>
            <w:tcBorders>
              <w:left w:val="single" w:sz="4" w:space="0" w:color="auto"/>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p>
        </w:tc>
        <w:tc>
          <w:tcPr>
            <w:tcW w:w="643" w:type="dxa"/>
            <w:tcBorders>
              <w:top w:val="nil"/>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ind w:leftChars="-13" w:left="1" w:hangingChars="20" w:hanging="45"/>
              <w:jc w:val="center"/>
              <w:rPr>
                <w:rFonts w:ascii="Times New Roman"/>
                <w:b/>
                <w:bCs/>
                <w:color w:val="0D0D0D"/>
                <w:spacing w:val="-8"/>
                <w:kern w:val="0"/>
                <w:sz w:val="22"/>
                <w:szCs w:val="22"/>
              </w:rPr>
            </w:pPr>
            <w:r w:rsidRPr="00BD787D">
              <w:rPr>
                <w:rFonts w:ascii="Times New Roman"/>
                <w:b/>
                <w:bCs/>
                <w:color w:val="0D0D0D"/>
                <w:spacing w:val="-8"/>
                <w:kern w:val="0"/>
                <w:sz w:val="22"/>
                <w:szCs w:val="22"/>
              </w:rPr>
              <w:t>案件數</w:t>
            </w:r>
          </w:p>
        </w:tc>
        <w:tc>
          <w:tcPr>
            <w:tcW w:w="717" w:type="dxa"/>
            <w:tcBorders>
              <w:top w:val="nil"/>
              <w:left w:val="nil"/>
              <w:bottom w:val="single" w:sz="4" w:space="0" w:color="auto"/>
              <w:right w:val="single" w:sz="4" w:space="0" w:color="auto"/>
            </w:tcBorders>
            <w:shd w:val="clear" w:color="auto" w:fill="D9E1F2"/>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總裝置電容量</w:t>
            </w:r>
          </w:p>
        </w:tc>
        <w:tc>
          <w:tcPr>
            <w:tcW w:w="600" w:type="dxa"/>
            <w:tcBorders>
              <w:top w:val="nil"/>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案件數</w:t>
            </w:r>
          </w:p>
        </w:tc>
        <w:tc>
          <w:tcPr>
            <w:tcW w:w="840" w:type="dxa"/>
            <w:tcBorders>
              <w:top w:val="nil"/>
              <w:left w:val="nil"/>
              <w:bottom w:val="single" w:sz="4" w:space="0" w:color="auto"/>
              <w:right w:val="single" w:sz="4" w:space="0" w:color="auto"/>
            </w:tcBorders>
            <w:shd w:val="clear" w:color="auto" w:fill="D9E1F2"/>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總裝置</w:t>
            </w:r>
            <w:r w:rsidRPr="00BD787D">
              <w:rPr>
                <w:rFonts w:ascii="Times New Roman"/>
                <w:b/>
                <w:bCs/>
                <w:color w:val="0D0D0D"/>
                <w:spacing w:val="-8"/>
                <w:kern w:val="0"/>
                <w:sz w:val="22"/>
                <w:szCs w:val="22"/>
              </w:rPr>
              <w:br/>
            </w:r>
            <w:r w:rsidRPr="00BD787D">
              <w:rPr>
                <w:rFonts w:ascii="Times New Roman"/>
                <w:b/>
                <w:bCs/>
                <w:color w:val="0D0D0D"/>
                <w:spacing w:val="-8"/>
                <w:kern w:val="0"/>
                <w:sz w:val="22"/>
                <w:szCs w:val="22"/>
              </w:rPr>
              <w:t>電容量</w:t>
            </w:r>
          </w:p>
        </w:tc>
        <w:tc>
          <w:tcPr>
            <w:tcW w:w="639" w:type="dxa"/>
            <w:tcBorders>
              <w:top w:val="nil"/>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案件數</w:t>
            </w:r>
          </w:p>
        </w:tc>
        <w:tc>
          <w:tcPr>
            <w:tcW w:w="797" w:type="dxa"/>
            <w:tcBorders>
              <w:top w:val="nil"/>
              <w:left w:val="nil"/>
              <w:bottom w:val="single" w:sz="4" w:space="0" w:color="auto"/>
              <w:right w:val="single" w:sz="4" w:space="0" w:color="auto"/>
            </w:tcBorders>
            <w:shd w:val="clear" w:color="auto" w:fill="D9E1F2"/>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總裝置</w:t>
            </w:r>
            <w:r w:rsidRPr="00BD787D">
              <w:rPr>
                <w:rFonts w:ascii="Times New Roman"/>
                <w:b/>
                <w:bCs/>
                <w:color w:val="0D0D0D"/>
                <w:spacing w:val="-8"/>
                <w:kern w:val="0"/>
                <w:sz w:val="22"/>
                <w:szCs w:val="22"/>
              </w:rPr>
              <w:br/>
            </w:r>
            <w:r w:rsidRPr="00BD787D">
              <w:rPr>
                <w:rFonts w:ascii="Times New Roman"/>
                <w:b/>
                <w:bCs/>
                <w:color w:val="0D0D0D"/>
                <w:spacing w:val="-8"/>
                <w:kern w:val="0"/>
                <w:sz w:val="22"/>
                <w:szCs w:val="22"/>
              </w:rPr>
              <w:t>電容量</w:t>
            </w:r>
          </w:p>
        </w:tc>
        <w:tc>
          <w:tcPr>
            <w:tcW w:w="690" w:type="dxa"/>
            <w:tcBorders>
              <w:top w:val="nil"/>
              <w:left w:val="nil"/>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案件數</w:t>
            </w:r>
          </w:p>
        </w:tc>
        <w:tc>
          <w:tcPr>
            <w:tcW w:w="848" w:type="dxa"/>
            <w:tcBorders>
              <w:top w:val="nil"/>
              <w:left w:val="nil"/>
              <w:bottom w:val="single" w:sz="4" w:space="0" w:color="auto"/>
              <w:right w:val="single" w:sz="4" w:space="0" w:color="auto"/>
            </w:tcBorders>
            <w:shd w:val="clear" w:color="auto" w:fill="D9E1F2"/>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總裝置</w:t>
            </w:r>
            <w:r w:rsidRPr="00BD787D">
              <w:rPr>
                <w:rFonts w:ascii="Times New Roman"/>
                <w:b/>
                <w:bCs/>
                <w:color w:val="0D0D0D"/>
                <w:spacing w:val="-8"/>
                <w:kern w:val="0"/>
                <w:sz w:val="22"/>
                <w:szCs w:val="22"/>
              </w:rPr>
              <w:br/>
            </w:r>
            <w:r w:rsidRPr="00BD787D">
              <w:rPr>
                <w:rFonts w:ascii="Times New Roman"/>
                <w:b/>
                <w:bCs/>
                <w:color w:val="0D0D0D"/>
                <w:spacing w:val="-8"/>
                <w:kern w:val="0"/>
                <w:sz w:val="22"/>
                <w:szCs w:val="22"/>
              </w:rPr>
              <w:t>電容量</w:t>
            </w:r>
          </w:p>
        </w:tc>
        <w:tc>
          <w:tcPr>
            <w:tcW w:w="802" w:type="dxa"/>
            <w:tcBorders>
              <w:top w:val="nil"/>
              <w:left w:val="nil"/>
              <w:bottom w:val="single" w:sz="4" w:space="0" w:color="auto"/>
              <w:right w:val="single" w:sz="4" w:space="0" w:color="auto"/>
            </w:tcBorders>
            <w:shd w:val="clear" w:color="auto" w:fill="D9E1F2"/>
            <w:vAlign w:val="center"/>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案件數</w:t>
            </w:r>
          </w:p>
        </w:tc>
        <w:tc>
          <w:tcPr>
            <w:tcW w:w="728" w:type="dxa"/>
            <w:tcBorders>
              <w:top w:val="single" w:sz="4" w:space="0" w:color="auto"/>
              <w:left w:val="single" w:sz="4" w:space="0" w:color="auto"/>
              <w:bottom w:val="single" w:sz="4" w:space="0" w:color="auto"/>
              <w:right w:val="single" w:sz="4" w:space="0" w:color="auto"/>
            </w:tcBorders>
            <w:shd w:val="clear" w:color="auto" w:fill="D9E1F2"/>
            <w:vAlign w:val="center"/>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總裝置電容量</w:t>
            </w:r>
          </w:p>
        </w:tc>
        <w:tc>
          <w:tcPr>
            <w:tcW w:w="792"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案件數</w:t>
            </w:r>
          </w:p>
        </w:tc>
        <w:tc>
          <w:tcPr>
            <w:tcW w:w="837"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46636B" w:rsidRPr="00BD787D" w:rsidRDefault="0046636B" w:rsidP="00E02A3A">
            <w:pPr>
              <w:widowControl/>
              <w:overflowPunct/>
              <w:autoSpaceDE/>
              <w:autoSpaceDN/>
              <w:spacing w:before="100" w:beforeAutospacing="1" w:after="100" w:afterAutospacing="1" w:line="300" w:lineRule="exact"/>
              <w:jc w:val="center"/>
              <w:rPr>
                <w:rFonts w:ascii="Times New Roman"/>
                <w:b/>
                <w:bCs/>
                <w:color w:val="0D0D0D"/>
                <w:spacing w:val="-8"/>
                <w:kern w:val="0"/>
                <w:sz w:val="22"/>
                <w:szCs w:val="22"/>
              </w:rPr>
            </w:pPr>
            <w:r w:rsidRPr="00BD787D">
              <w:rPr>
                <w:rFonts w:ascii="Times New Roman"/>
                <w:b/>
                <w:bCs/>
                <w:color w:val="0D0D0D"/>
                <w:spacing w:val="-8"/>
                <w:kern w:val="0"/>
                <w:sz w:val="22"/>
                <w:szCs w:val="22"/>
              </w:rPr>
              <w:t>總裝置</w:t>
            </w:r>
            <w:r w:rsidRPr="00BD787D">
              <w:rPr>
                <w:rFonts w:ascii="Times New Roman"/>
                <w:b/>
                <w:bCs/>
                <w:color w:val="0D0D0D"/>
                <w:spacing w:val="-8"/>
                <w:kern w:val="0"/>
                <w:sz w:val="22"/>
                <w:szCs w:val="22"/>
              </w:rPr>
              <w:br/>
            </w:r>
            <w:r w:rsidRPr="00BD787D">
              <w:rPr>
                <w:rFonts w:ascii="Times New Roman"/>
                <w:b/>
                <w:bCs/>
                <w:color w:val="0D0D0D"/>
                <w:spacing w:val="-8"/>
                <w:kern w:val="0"/>
                <w:sz w:val="22"/>
                <w:szCs w:val="22"/>
              </w:rPr>
              <w:t>電容量</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雲林縣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142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26,821</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246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56,365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330</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75,750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203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42,123</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55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14,383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976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215,443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2,432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55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13,554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34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3402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13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710</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405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119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20,502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7,678</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16,127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33,897</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1627</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225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59,329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94</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16,711</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26,684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175</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38451</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182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39,787</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54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13,979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632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135,612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Pr>
                <w:rFonts w:ascii="Times New Roman" w:hint="eastAsia"/>
                <w:b/>
                <w:bCs/>
                <w:color w:val="0D0D0D"/>
                <w:spacing w:val="-8"/>
                <w:kern w:val="0"/>
                <w:sz w:val="20"/>
              </w:rPr>
              <w:t>臺南</w:t>
            </w:r>
            <w:r w:rsidRPr="00BD787D">
              <w:rPr>
                <w:rFonts w:ascii="Times New Roman"/>
                <w:b/>
                <w:bCs/>
                <w:color w:val="0D0D0D"/>
                <w:spacing w:val="-8"/>
                <w:kern w:val="0"/>
                <w:sz w:val="20"/>
              </w:rPr>
              <w:t>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12,148</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83</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17,761</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423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34,633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127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27,494</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75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17,230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766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109,266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3,763</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3,794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216</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12,402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3,643</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215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278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23,818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1,793</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6,629</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7,778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290</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221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171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16,712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6,592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39</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7,337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14,453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103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23,561</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71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16,794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317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68,737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彰化縣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101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22,790</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60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11,911</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145</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27,034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172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29,661</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65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13,761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543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105,156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1,923</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1,516</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3,123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180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6,868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14</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739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1,215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2,394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1,418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172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56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5,937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20,127</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39</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9,180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108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21,517</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159</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28,118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13,409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443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92,352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嘉義縣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7,579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62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9,751</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94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15,722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117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20,267</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42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8,624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367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61,943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2,227</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995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784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366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50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27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4,422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505</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1,303</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854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1,134</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258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38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4,056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4,846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7,453</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14,084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109</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18,767</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38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8,315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302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53,465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屏東縣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43</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9,664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66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12,137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80</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14,958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81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16,678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38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9,956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308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63,391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822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5,105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17</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3,888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631</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20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56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10,466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17</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4,198</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2,583</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7,658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5,216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661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118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20,316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4,644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4,448</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3,412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10,830</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35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9,275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134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32,609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高雄市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1,989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1,307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69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4,895</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2,761</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7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1,214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127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12,166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216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1,122</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2,550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716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72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74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4,676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1,380</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185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59</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25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1,947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392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1,986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1,142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28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5,543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南投縣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579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204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1,231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8</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3,101</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3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1,038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6,153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619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708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29</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2,176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1,038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3,666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579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189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926</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1,779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嘉義市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left"/>
              <w:rPr>
                <w:rFonts w:ascii="Times New Roman"/>
                <w:b/>
                <w:bCs/>
                <w:color w:val="0D0D0D"/>
                <w:spacing w:val="-8"/>
                <w:kern w:val="0"/>
                <w:sz w:val="22"/>
                <w:szCs w:val="22"/>
              </w:rPr>
            </w:pP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8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color w:val="0D0D0D"/>
                <w:spacing w:val="-8"/>
                <w:sz w:val="22"/>
                <w:szCs w:val="22"/>
              </w:rPr>
            </w:pPr>
            <w:r w:rsidRPr="00CA2C52">
              <w:rPr>
                <w:rFonts w:ascii="Times New Roman" w:eastAsia="新細明體"/>
                <w:color w:val="0D0D0D"/>
                <w:spacing w:val="-8"/>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color w:val="0D0D0D"/>
                <w:spacing w:val="-8"/>
                <w:sz w:val="22"/>
                <w:szCs w:val="22"/>
              </w:rPr>
            </w:pPr>
            <w:r w:rsidRPr="00CA2C52">
              <w:rPr>
                <w:rFonts w:ascii="Times New Roman" w:eastAsia="新細明體"/>
                <w:color w:val="0D0D0D"/>
                <w:spacing w:val="-8"/>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color w:val="0D0D0D"/>
                <w:spacing w:val="-8"/>
                <w:sz w:val="22"/>
                <w:szCs w:val="22"/>
              </w:rPr>
            </w:pPr>
            <w:r w:rsidRPr="00CA2C52">
              <w:rPr>
                <w:rFonts w:ascii="Times New Roman" w:eastAsia="新細明體"/>
                <w:color w:val="0D0D0D"/>
                <w:spacing w:val="-8"/>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color w:val="0D0D0D"/>
                <w:spacing w:val="-8"/>
                <w:sz w:val="22"/>
                <w:szCs w:val="22"/>
              </w:rPr>
            </w:pPr>
            <w:r w:rsidRPr="00CA2C52">
              <w:rPr>
                <w:rFonts w:ascii="Times New Roman" w:eastAsia="新細明體"/>
                <w:color w:val="0D0D0D"/>
                <w:spacing w:val="-8"/>
                <w:sz w:val="22"/>
                <w:szCs w:val="22"/>
              </w:rPr>
              <w:t xml:space="preserve">      8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新竹縣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47</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3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101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24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30</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30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47</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47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Pr>
                <w:rFonts w:ascii="Times New Roman" w:hint="eastAsia"/>
                <w:b/>
                <w:bCs/>
                <w:color w:val="0D0D0D"/>
                <w:spacing w:val="-8"/>
                <w:kern w:val="0"/>
                <w:sz w:val="20"/>
              </w:rPr>
              <w:t>臺中</w:t>
            </w:r>
            <w:r w:rsidRPr="00BD787D">
              <w:rPr>
                <w:rFonts w:ascii="Times New Roman"/>
                <w:b/>
                <w:bCs/>
                <w:color w:val="0D0D0D"/>
                <w:spacing w:val="-8"/>
                <w:kern w:val="0"/>
                <w:sz w:val="20"/>
              </w:rPr>
              <w:t>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58</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549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410</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9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1,016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lastRenderedPageBreak/>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92</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121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58</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249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326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270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298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568 </w:t>
            </w:r>
          </w:p>
        </w:tc>
      </w:tr>
      <w:tr w:rsidR="0046636B" w:rsidRPr="00CA2C52"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2"/>
                <w:szCs w:val="22"/>
              </w:rPr>
            </w:pPr>
            <w:r w:rsidRPr="003F021D">
              <w:rPr>
                <w:rFonts w:ascii="Times New Roman"/>
                <w:b/>
                <w:bCs/>
                <w:color w:val="0D0D0D"/>
                <w:spacing w:val="-8"/>
                <w:kern w:val="0"/>
                <w:sz w:val="20"/>
              </w:rPr>
              <w:t>桃園市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130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86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5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236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b/>
                <w:bCs/>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p>
        </w:tc>
        <w:tc>
          <w:tcPr>
            <w:tcW w:w="717"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600"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639"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690"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86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86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130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150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苗栗縣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55</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55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50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金門縣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936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936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936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936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花蓮縣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493</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520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rightChars="-13" w:right="-44" w:firstLineChars="100" w:firstLine="204"/>
              <w:jc w:val="left"/>
              <w:rPr>
                <w:rFonts w:ascii="Times New Roman"/>
                <w:color w:val="0D0D0D"/>
                <w:spacing w:val="-8"/>
                <w:kern w:val="0"/>
                <w:sz w:val="20"/>
              </w:rPr>
            </w:pPr>
            <w:r w:rsidRPr="00BD787D">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26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493</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493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宜蘭縣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9</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2,018</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133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10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2,150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49</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49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8</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1,969</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133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9</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2,102</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Pr>
                <w:rFonts w:ascii="Times New Roman" w:hint="eastAsia"/>
                <w:b/>
                <w:bCs/>
                <w:color w:val="0D0D0D"/>
                <w:spacing w:val="-8"/>
                <w:kern w:val="0"/>
                <w:sz w:val="20"/>
              </w:rPr>
              <w:t>臺東</w:t>
            </w:r>
            <w:r w:rsidRPr="00BD787D">
              <w:rPr>
                <w:rFonts w:ascii="Times New Roman"/>
                <w:b/>
                <w:bCs/>
                <w:color w:val="0D0D0D"/>
                <w:spacing w:val="-8"/>
                <w:kern w:val="0"/>
                <w:sz w:val="20"/>
              </w:rPr>
              <w:t>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364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364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364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364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澎湖縣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663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92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5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b/>
                <w:bCs/>
                <w:color w:val="0D0D0D"/>
                <w:spacing w:val="-8"/>
                <w:kern w:val="0"/>
                <w:sz w:val="22"/>
                <w:szCs w:val="22"/>
              </w:rPr>
            </w:pPr>
            <w:r w:rsidRPr="00CA2C52">
              <w:rPr>
                <w:rFonts w:ascii="Times New Roman"/>
                <w:b/>
                <w:bCs/>
                <w:color w:val="0D0D0D"/>
                <w:spacing w:val="-8"/>
                <w:kern w:val="0"/>
                <w:sz w:val="22"/>
                <w:szCs w:val="22"/>
              </w:rPr>
              <w:t xml:space="preserve">   755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溫網室</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487</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16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502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46636B" w:rsidRPr="00BD787D" w:rsidRDefault="0046636B" w:rsidP="00E02A3A">
            <w:pPr>
              <w:widowControl/>
              <w:overflowPunct/>
              <w:autoSpaceDE/>
              <w:autoSpaceDN/>
              <w:spacing w:before="100" w:beforeAutospacing="1" w:after="100" w:afterAutospacing="1" w:line="300" w:lineRule="exact"/>
              <w:ind w:firstLineChars="100" w:firstLine="204"/>
              <w:jc w:val="left"/>
              <w:rPr>
                <w:rFonts w:ascii="Times New Roman"/>
                <w:color w:val="0D0D0D"/>
                <w:spacing w:val="-8"/>
                <w:kern w:val="0"/>
                <w:sz w:val="20"/>
              </w:rPr>
            </w:pPr>
            <w:r w:rsidRPr="00BD787D">
              <w:rPr>
                <w:rFonts w:ascii="Times New Roman"/>
                <w:color w:val="0D0D0D"/>
                <w:spacing w:val="-8"/>
                <w:kern w:val="0"/>
                <w:sz w:val="20"/>
              </w:rPr>
              <w:t>禽畜舍</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176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76 </w:t>
            </w:r>
          </w:p>
        </w:tc>
        <w:tc>
          <w:tcPr>
            <w:tcW w:w="792"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3 </w:t>
            </w:r>
          </w:p>
        </w:tc>
        <w:tc>
          <w:tcPr>
            <w:tcW w:w="837" w:type="dxa"/>
            <w:tcBorders>
              <w:top w:val="single" w:sz="4" w:space="0" w:color="auto"/>
              <w:left w:val="single" w:sz="4" w:space="0" w:color="auto"/>
              <w:bottom w:val="single" w:sz="4" w:space="0" w:color="auto"/>
              <w:right w:val="single" w:sz="4" w:space="0" w:color="auto"/>
            </w:tcBorders>
            <w:noWrap/>
          </w:tcPr>
          <w:p w:rsidR="0046636B" w:rsidRPr="00CA2C52" w:rsidRDefault="0046636B" w:rsidP="00E02A3A">
            <w:pPr>
              <w:overflowPunct/>
              <w:autoSpaceDE/>
              <w:autoSpaceDN/>
              <w:spacing w:before="100" w:beforeAutospacing="1" w:after="100" w:afterAutospacing="1" w:line="300" w:lineRule="exact"/>
              <w:ind w:right="32"/>
              <w:jc w:val="right"/>
              <w:rPr>
                <w:rFonts w:ascii="Times New Roman"/>
                <w:color w:val="0D0D0D"/>
                <w:spacing w:val="-8"/>
                <w:kern w:val="0"/>
                <w:sz w:val="22"/>
                <w:szCs w:val="22"/>
              </w:rPr>
            </w:pPr>
            <w:r w:rsidRPr="00CA2C52">
              <w:rPr>
                <w:rFonts w:ascii="Times New Roman"/>
                <w:color w:val="0D0D0D"/>
                <w:spacing w:val="-8"/>
                <w:kern w:val="0"/>
                <w:sz w:val="22"/>
                <w:szCs w:val="22"/>
              </w:rPr>
              <w:t xml:space="preserve">   253 </w:t>
            </w:r>
          </w:p>
        </w:tc>
      </w:tr>
      <w:tr w:rsidR="0046636B" w:rsidRPr="00BD787D" w:rsidTr="00B9036B">
        <w:trPr>
          <w:trHeight w:val="57"/>
          <w:jc w:val="center"/>
        </w:trPr>
        <w:tc>
          <w:tcPr>
            <w:tcW w:w="147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BD787D" w:rsidRDefault="0046636B" w:rsidP="00E02A3A">
            <w:pPr>
              <w:widowControl/>
              <w:overflowPunct/>
              <w:autoSpaceDE/>
              <w:autoSpaceDN/>
              <w:spacing w:before="100" w:beforeAutospacing="1" w:after="100" w:afterAutospacing="1" w:line="300" w:lineRule="exact"/>
              <w:jc w:val="left"/>
              <w:rPr>
                <w:rFonts w:ascii="Times New Roman"/>
                <w:b/>
                <w:bCs/>
                <w:color w:val="0D0D0D"/>
                <w:spacing w:val="-8"/>
                <w:kern w:val="0"/>
                <w:sz w:val="20"/>
              </w:rPr>
            </w:pPr>
            <w:r w:rsidRPr="00BD787D">
              <w:rPr>
                <w:rFonts w:ascii="Times New Roman"/>
                <w:b/>
                <w:bCs/>
                <w:color w:val="0D0D0D"/>
                <w:spacing w:val="-8"/>
                <w:kern w:val="0"/>
                <w:sz w:val="20"/>
              </w:rPr>
              <w:t>總計</w:t>
            </w:r>
          </w:p>
        </w:tc>
        <w:tc>
          <w:tcPr>
            <w:tcW w:w="643"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413</w:t>
            </w:r>
          </w:p>
        </w:tc>
        <w:tc>
          <w:tcPr>
            <w:tcW w:w="717"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81,650</w:t>
            </w:r>
          </w:p>
        </w:tc>
        <w:tc>
          <w:tcPr>
            <w:tcW w:w="600"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540</w:t>
            </w:r>
          </w:p>
        </w:tc>
        <w:tc>
          <w:tcPr>
            <w:tcW w:w="840"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109,987</w:t>
            </w:r>
          </w:p>
        </w:tc>
        <w:tc>
          <w:tcPr>
            <w:tcW w:w="6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1,161</w:t>
            </w:r>
          </w:p>
        </w:tc>
        <w:tc>
          <w:tcPr>
            <w:tcW w:w="797"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176,446</w:t>
            </w:r>
          </w:p>
        </w:tc>
        <w:tc>
          <w:tcPr>
            <w:tcW w:w="690"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748</w:t>
            </w:r>
          </w:p>
        </w:tc>
        <w:tc>
          <w:tcPr>
            <w:tcW w:w="848"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46636B" w:rsidRPr="00CA2C52" w:rsidRDefault="0046636B" w:rsidP="00E02A3A">
            <w:pPr>
              <w:widowControl/>
              <w:overflowPunct/>
              <w:autoSpaceDE/>
              <w:autoSpaceDN/>
              <w:spacing w:before="100" w:beforeAutospacing="1" w:after="100" w:afterAutospacing="1" w:line="300" w:lineRule="exact"/>
              <w:jc w:val="right"/>
              <w:rPr>
                <w:rFonts w:ascii="Times New Roman"/>
                <w:b/>
                <w:bCs/>
                <w:color w:val="0D0D0D"/>
                <w:spacing w:val="-8"/>
                <w:kern w:val="0"/>
                <w:sz w:val="22"/>
                <w:szCs w:val="22"/>
              </w:rPr>
            </w:pPr>
            <w:r w:rsidRPr="00CA2C52">
              <w:rPr>
                <w:rFonts w:ascii="Times New Roman"/>
                <w:b/>
                <w:bCs/>
                <w:color w:val="0D0D0D"/>
                <w:spacing w:val="-8"/>
                <w:kern w:val="0"/>
                <w:sz w:val="22"/>
                <w:szCs w:val="22"/>
              </w:rPr>
              <w:t>145,060</w:t>
            </w:r>
          </w:p>
        </w:tc>
        <w:tc>
          <w:tcPr>
            <w:tcW w:w="802" w:type="dxa"/>
            <w:tcBorders>
              <w:top w:val="single" w:sz="4" w:space="0" w:color="auto"/>
              <w:left w:val="single" w:sz="4" w:space="0" w:color="auto"/>
              <w:bottom w:val="single" w:sz="4" w:space="0" w:color="auto"/>
              <w:right w:val="single" w:sz="4" w:space="0" w:color="auto"/>
            </w:tcBorders>
            <w:shd w:val="clear" w:color="auto" w:fill="D9E1F2"/>
            <w:vAlign w:val="center"/>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b/>
                <w:bCs/>
                <w:color w:val="0D0D0D"/>
                <w:spacing w:val="-8"/>
                <w:sz w:val="22"/>
                <w:szCs w:val="22"/>
              </w:rPr>
            </w:pPr>
            <w:r w:rsidRPr="00CA2C52">
              <w:rPr>
                <w:rFonts w:ascii="Times New Roman" w:eastAsia="新細明體"/>
                <w:b/>
                <w:bCs/>
                <w:color w:val="0D0D0D"/>
                <w:spacing w:val="-8"/>
                <w:sz w:val="22"/>
                <w:szCs w:val="22"/>
              </w:rPr>
              <w:t xml:space="preserve">   289 </w:t>
            </w:r>
          </w:p>
        </w:tc>
        <w:tc>
          <w:tcPr>
            <w:tcW w:w="728" w:type="dxa"/>
            <w:tcBorders>
              <w:top w:val="single" w:sz="4" w:space="0" w:color="auto"/>
              <w:left w:val="single" w:sz="4" w:space="0" w:color="auto"/>
              <w:bottom w:val="single" w:sz="4" w:space="0" w:color="auto"/>
              <w:right w:val="single" w:sz="4" w:space="0" w:color="auto"/>
            </w:tcBorders>
            <w:shd w:val="clear" w:color="auto" w:fill="D9E1F2"/>
            <w:vAlign w:val="center"/>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b/>
                <w:bCs/>
                <w:color w:val="0D0D0D"/>
                <w:spacing w:val="-8"/>
                <w:sz w:val="22"/>
                <w:szCs w:val="22"/>
              </w:rPr>
            </w:pPr>
            <w:r w:rsidRPr="00CA2C52">
              <w:rPr>
                <w:rFonts w:ascii="Times New Roman" w:eastAsia="新細明體"/>
                <w:b/>
                <w:bCs/>
                <w:color w:val="0D0D0D"/>
                <w:spacing w:val="-8"/>
                <w:sz w:val="22"/>
                <w:szCs w:val="22"/>
              </w:rPr>
              <w:t xml:space="preserve">66,518 </w:t>
            </w:r>
          </w:p>
        </w:tc>
        <w:tc>
          <w:tcPr>
            <w:tcW w:w="792" w:type="dxa"/>
            <w:tcBorders>
              <w:top w:val="single" w:sz="4" w:space="0" w:color="auto"/>
              <w:left w:val="single" w:sz="4" w:space="0" w:color="auto"/>
              <w:bottom w:val="single" w:sz="4" w:space="0" w:color="auto"/>
              <w:right w:val="single" w:sz="4" w:space="0" w:color="auto"/>
            </w:tcBorders>
            <w:shd w:val="clear" w:color="auto" w:fill="D9E1F2"/>
            <w:noWrap/>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b/>
                <w:bCs/>
                <w:color w:val="0D0D0D"/>
                <w:spacing w:val="-8"/>
                <w:sz w:val="22"/>
                <w:szCs w:val="22"/>
              </w:rPr>
            </w:pPr>
            <w:r w:rsidRPr="00CA2C52">
              <w:rPr>
                <w:rFonts w:ascii="Times New Roman" w:eastAsia="新細明體"/>
                <w:b/>
                <w:bCs/>
                <w:color w:val="0D0D0D"/>
                <w:spacing w:val="-8"/>
                <w:sz w:val="22"/>
                <w:szCs w:val="22"/>
              </w:rPr>
              <w:t xml:space="preserve">3,151 </w:t>
            </w:r>
          </w:p>
        </w:tc>
        <w:tc>
          <w:tcPr>
            <w:tcW w:w="837" w:type="dxa"/>
            <w:tcBorders>
              <w:top w:val="single" w:sz="4" w:space="0" w:color="auto"/>
              <w:left w:val="single" w:sz="4" w:space="0" w:color="auto"/>
              <w:bottom w:val="single" w:sz="4" w:space="0" w:color="auto"/>
              <w:right w:val="single" w:sz="4" w:space="0" w:color="auto"/>
            </w:tcBorders>
            <w:shd w:val="clear" w:color="auto" w:fill="D9E1F2"/>
            <w:noWrap/>
          </w:tcPr>
          <w:p w:rsidR="0046636B" w:rsidRPr="00CA2C52" w:rsidRDefault="0046636B" w:rsidP="00E02A3A">
            <w:pPr>
              <w:overflowPunct/>
              <w:autoSpaceDE/>
              <w:autoSpaceDN/>
              <w:spacing w:before="100" w:beforeAutospacing="1" w:after="100" w:afterAutospacing="1" w:line="300" w:lineRule="exact"/>
              <w:jc w:val="right"/>
              <w:rPr>
                <w:rFonts w:ascii="Times New Roman" w:eastAsia="新細明體"/>
                <w:b/>
                <w:bCs/>
                <w:color w:val="0D0D0D"/>
                <w:spacing w:val="-8"/>
                <w:sz w:val="22"/>
                <w:szCs w:val="22"/>
              </w:rPr>
            </w:pPr>
            <w:r w:rsidRPr="00CA2C52">
              <w:rPr>
                <w:rFonts w:ascii="Times New Roman" w:eastAsia="新細明體"/>
                <w:b/>
                <w:bCs/>
                <w:color w:val="0D0D0D"/>
                <w:spacing w:val="-8"/>
                <w:sz w:val="22"/>
                <w:szCs w:val="22"/>
              </w:rPr>
              <w:t xml:space="preserve">579,661 </w:t>
            </w:r>
          </w:p>
        </w:tc>
      </w:tr>
    </w:tbl>
    <w:p w:rsidR="0046636B" w:rsidRDefault="0046636B" w:rsidP="0046636B">
      <w:pPr>
        <w:pStyle w:val="3"/>
        <w:numPr>
          <w:ilvl w:val="0"/>
          <w:numId w:val="0"/>
        </w:numPr>
        <w:kinsoku w:val="0"/>
        <w:spacing w:afterLines="50" w:after="228" w:line="320" w:lineRule="exact"/>
        <w:ind w:leftChars="-223" w:left="-5" w:hangingChars="290" w:hanging="754"/>
        <w:rPr>
          <w:rFonts w:ascii="Times New Roman" w:hAnsi="Times New Roman"/>
        </w:rPr>
      </w:pPr>
      <w:r w:rsidRPr="00BD787D">
        <w:rPr>
          <w:rFonts w:ascii="Times New Roman" w:hAnsi="Times New Roman"/>
          <w:sz w:val="24"/>
          <w:szCs w:val="24"/>
        </w:rPr>
        <w:t>資料來源：農委會</w:t>
      </w:r>
    </w:p>
    <w:p w:rsidR="009C0094" w:rsidRDefault="0046636B" w:rsidP="00932B55">
      <w:pPr>
        <w:pStyle w:val="3"/>
        <w:rPr>
          <w:b/>
        </w:rPr>
      </w:pPr>
      <w:r w:rsidRPr="009748A3">
        <w:t>綜上，農委會於102年10月9日修正發布</w:t>
      </w:r>
      <w:r w:rsidRPr="009748A3">
        <w:rPr>
          <w:rFonts w:hint="eastAsia"/>
        </w:rPr>
        <w:t>之</w:t>
      </w:r>
      <w:r w:rsidRPr="009748A3">
        <w:t>容許辦法，</w:t>
      </w:r>
      <w:r w:rsidRPr="009748A3">
        <w:rPr>
          <w:rFonts w:hint="eastAsia"/>
        </w:rPr>
        <w:t>針對</w:t>
      </w:r>
      <w:r w:rsidRPr="009748A3">
        <w:t>農業設施屋頂附屬設置綠能設施，</w:t>
      </w:r>
      <w:r w:rsidRPr="009748A3">
        <w:rPr>
          <w:rFonts w:hint="eastAsia"/>
        </w:rPr>
        <w:t>係</w:t>
      </w:r>
      <w:r w:rsidRPr="009748A3">
        <w:t>以現況入法，</w:t>
      </w:r>
      <w:r w:rsidR="004628A5">
        <w:rPr>
          <w:rFonts w:hint="eastAsia"/>
        </w:rPr>
        <w:t>欠缺</w:t>
      </w:r>
      <w:r w:rsidRPr="009748A3">
        <w:t>審查機制，</w:t>
      </w:r>
      <w:r w:rsidRPr="009748A3">
        <w:rPr>
          <w:rFonts w:hint="eastAsia"/>
        </w:rPr>
        <w:t>導</w:t>
      </w:r>
      <w:r w:rsidRPr="009748A3">
        <w:t>致心存僥倖</w:t>
      </w:r>
      <w:r w:rsidRPr="009748A3">
        <w:rPr>
          <w:rFonts w:hint="eastAsia"/>
        </w:rPr>
        <w:t>之</w:t>
      </w:r>
      <w:r w:rsidRPr="009748A3">
        <w:t>申請人，</w:t>
      </w:r>
      <w:r w:rsidRPr="009748A3">
        <w:rPr>
          <w:rFonts w:hint="eastAsia"/>
        </w:rPr>
        <w:t>得以輕易憑藉著</w:t>
      </w:r>
      <w:r w:rsidRPr="009748A3">
        <w:t>農業設施申請屋頂附屬設置綠能設施</w:t>
      </w:r>
      <w:r w:rsidR="004628A5">
        <w:rPr>
          <w:rFonts w:hint="eastAsia"/>
        </w:rPr>
        <w:t>，卻未能結合農業經營</w:t>
      </w:r>
      <w:r w:rsidRPr="009748A3">
        <w:rPr>
          <w:rFonts w:hint="eastAsia"/>
        </w:rPr>
        <w:t>，造成</w:t>
      </w:r>
      <w:r w:rsidRPr="009748A3">
        <w:t>「假種田、真種電」</w:t>
      </w:r>
      <w:r w:rsidRPr="009748A3">
        <w:rPr>
          <w:rFonts w:hint="eastAsia"/>
        </w:rPr>
        <w:t>之亂象叢生</w:t>
      </w:r>
      <w:r w:rsidRPr="009748A3">
        <w:t>，</w:t>
      </w:r>
      <w:r>
        <w:rPr>
          <w:rFonts w:hint="eastAsia"/>
        </w:rPr>
        <w:t>直至</w:t>
      </w:r>
      <w:r w:rsidRPr="009748A3">
        <w:t>引發</w:t>
      </w:r>
      <w:r w:rsidRPr="009748A3">
        <w:rPr>
          <w:rFonts w:hint="eastAsia"/>
        </w:rPr>
        <w:t>社會</w:t>
      </w:r>
      <w:r w:rsidRPr="009748A3">
        <w:t>關注</w:t>
      </w:r>
      <w:r w:rsidRPr="009748A3">
        <w:rPr>
          <w:rFonts w:hint="eastAsia"/>
        </w:rPr>
        <w:t>後</w:t>
      </w:r>
      <w:r w:rsidRPr="009748A3">
        <w:t>，農委會</w:t>
      </w:r>
      <w:r w:rsidRPr="009748A3">
        <w:rPr>
          <w:rFonts w:hint="eastAsia"/>
        </w:rPr>
        <w:t>方於</w:t>
      </w:r>
      <w:r w:rsidRPr="009748A3">
        <w:t>104年2月12日</w:t>
      </w:r>
      <w:r w:rsidRPr="009748A3">
        <w:rPr>
          <w:rFonts w:hint="eastAsia"/>
        </w:rPr>
        <w:t>建立行政</w:t>
      </w:r>
      <w:r w:rsidRPr="009748A3">
        <w:t>實務審查流程，核有疏失。</w:t>
      </w:r>
    </w:p>
    <w:p w:rsidR="009C0094" w:rsidRPr="00837E8F" w:rsidRDefault="00136285" w:rsidP="00C93A81">
      <w:pPr>
        <w:pStyle w:val="2"/>
        <w:ind w:left="1036"/>
        <w:rPr>
          <w:rFonts w:hAnsi="標楷體"/>
          <w:b/>
        </w:rPr>
      </w:pPr>
      <w:r>
        <w:rPr>
          <w:rFonts w:hAnsi="標楷體" w:hint="eastAsia"/>
          <w:b/>
        </w:rPr>
        <w:t>農委會統計</w:t>
      </w:r>
      <w:r w:rsidR="00932B55" w:rsidRPr="00837E8F">
        <w:rPr>
          <w:rFonts w:hAnsi="標楷體"/>
          <w:b/>
        </w:rPr>
        <w:t>自102年1月1日起至106年5月31日止</w:t>
      </w:r>
      <w:r w:rsidR="00932B55" w:rsidRPr="00837E8F">
        <w:rPr>
          <w:rFonts w:hAnsi="標楷體" w:hint="eastAsia"/>
          <w:b/>
        </w:rPr>
        <w:t>，</w:t>
      </w:r>
      <w:r w:rsidR="00932B55" w:rsidRPr="00837E8F">
        <w:rPr>
          <w:rFonts w:hAnsi="標楷體"/>
          <w:b/>
        </w:rPr>
        <w:t>農</w:t>
      </w:r>
      <w:r w:rsidR="00932B55" w:rsidRPr="00837E8F">
        <w:rPr>
          <w:rFonts w:hAnsi="標楷體"/>
          <w:b/>
        </w:rPr>
        <w:lastRenderedPageBreak/>
        <w:t>業設施屋頂附屬設置綠能設施同意備案</w:t>
      </w:r>
      <w:r w:rsidR="00932B55" w:rsidRPr="00837E8F">
        <w:rPr>
          <w:rFonts w:hAnsi="標楷體" w:hint="eastAsia"/>
          <w:b/>
        </w:rPr>
        <w:t>之件數</w:t>
      </w:r>
      <w:r w:rsidR="00932B55" w:rsidRPr="00837E8F">
        <w:rPr>
          <w:rFonts w:hAnsi="標楷體"/>
          <w:b/>
        </w:rPr>
        <w:t>，</w:t>
      </w:r>
      <w:r w:rsidR="00932B55" w:rsidRPr="00837E8F">
        <w:rPr>
          <w:rFonts w:hAnsi="標楷體" w:hint="eastAsia"/>
          <w:b/>
        </w:rPr>
        <w:t>總計</w:t>
      </w:r>
      <w:r w:rsidR="00932B55" w:rsidRPr="00837E8F">
        <w:rPr>
          <w:rFonts w:hAnsi="標楷體"/>
          <w:b/>
        </w:rPr>
        <w:t>已達3,151案，</w:t>
      </w:r>
      <w:r w:rsidR="00932B55" w:rsidRPr="00837E8F">
        <w:rPr>
          <w:rFonts w:hAnsi="標楷體" w:hint="eastAsia"/>
          <w:b/>
        </w:rPr>
        <w:t>且</w:t>
      </w:r>
      <w:r w:rsidR="00932B55" w:rsidRPr="00837E8F">
        <w:rPr>
          <w:rFonts w:hAnsi="標楷體"/>
          <w:b/>
        </w:rPr>
        <w:t>案件數量持續增加，</w:t>
      </w:r>
      <w:r w:rsidR="00932B55" w:rsidRPr="00837E8F">
        <w:rPr>
          <w:rFonts w:hAnsi="標楷體" w:hint="eastAsia"/>
          <w:b/>
        </w:rPr>
        <w:t>惟</w:t>
      </w:r>
      <w:r w:rsidR="00932B55" w:rsidRPr="00837E8F">
        <w:rPr>
          <w:rFonts w:hAnsi="標楷體"/>
          <w:b/>
        </w:rPr>
        <w:t>各案場</w:t>
      </w:r>
      <w:r w:rsidR="00932B55" w:rsidRPr="00837E8F">
        <w:rPr>
          <w:rFonts w:hAnsi="標楷體" w:hint="eastAsia"/>
          <w:b/>
        </w:rPr>
        <w:t>有否</w:t>
      </w:r>
      <w:r w:rsidR="00932B55" w:rsidRPr="00837E8F">
        <w:rPr>
          <w:rFonts w:hAnsi="標楷體"/>
          <w:b/>
        </w:rPr>
        <w:t>維持農業經營</w:t>
      </w:r>
      <w:r w:rsidR="00932B55" w:rsidRPr="00837E8F">
        <w:rPr>
          <w:rFonts w:hAnsi="標楷體" w:hint="eastAsia"/>
          <w:b/>
        </w:rPr>
        <w:t>之事實，以符合原核定農業經營計畫內容使用</w:t>
      </w:r>
      <w:r w:rsidR="00932B55" w:rsidRPr="00837E8F">
        <w:rPr>
          <w:rFonts w:hAnsi="標楷體"/>
          <w:b/>
        </w:rPr>
        <w:t>，地方政府</w:t>
      </w:r>
      <w:r w:rsidR="00932B55" w:rsidRPr="00837E8F">
        <w:rPr>
          <w:rFonts w:hAnsi="標楷體" w:hint="eastAsia"/>
          <w:b/>
        </w:rPr>
        <w:t>卻未能積極落實稽查，</w:t>
      </w:r>
      <w:r w:rsidR="00932B55" w:rsidRPr="00837E8F">
        <w:rPr>
          <w:rFonts w:hAnsi="標楷體"/>
          <w:b/>
        </w:rPr>
        <w:t>農委會</w:t>
      </w:r>
      <w:r w:rsidR="00932B55" w:rsidRPr="00837E8F">
        <w:rPr>
          <w:rFonts w:hAnsi="標楷體" w:hint="eastAsia"/>
          <w:b/>
        </w:rPr>
        <w:t>允</w:t>
      </w:r>
      <w:r w:rsidR="00932B55" w:rsidRPr="00837E8F">
        <w:rPr>
          <w:rFonts w:hAnsi="標楷體"/>
          <w:b/>
        </w:rPr>
        <w:t>應加強督導查核</w:t>
      </w:r>
      <w:r w:rsidR="00932B55" w:rsidRPr="00837E8F">
        <w:rPr>
          <w:rFonts w:hAnsi="標楷體" w:hint="eastAsia"/>
          <w:b/>
        </w:rPr>
        <w:t>工作，以</w:t>
      </w:r>
      <w:r w:rsidR="00932B55" w:rsidRPr="00837E8F">
        <w:rPr>
          <w:rFonts w:hAnsi="標楷體"/>
          <w:b/>
        </w:rPr>
        <w:t>遏止申請人違規投機心態，落實綠能設施應結合農業經營之政策目的。</w:t>
      </w:r>
    </w:p>
    <w:p w:rsidR="00932B55" w:rsidRPr="00BD787D" w:rsidRDefault="00932B55" w:rsidP="00932B55">
      <w:pPr>
        <w:pStyle w:val="3"/>
      </w:pPr>
      <w:r>
        <w:rPr>
          <w:rFonts w:hint="eastAsia"/>
        </w:rPr>
        <w:t>依據</w:t>
      </w:r>
      <w:r w:rsidR="00EC773D">
        <w:rPr>
          <w:rFonts w:hint="eastAsia"/>
        </w:rPr>
        <w:t>農委會於106年6月28日修正發布之</w:t>
      </w:r>
      <w:r w:rsidRPr="00BD787D">
        <w:t>容許辦法第33條規定：「依本辦法取得農業用地作農業設施容許使用者，應依原核定之計畫內容使用，並不得作為住宅、工廠或其</w:t>
      </w:r>
      <w:r w:rsidRPr="00880A70">
        <w:t>他非農業使用。但經核准工廠登記之農業設施，不在此限。直轄市或縣</w:t>
      </w:r>
      <w:r w:rsidR="005A588A">
        <w:t>（</w:t>
      </w:r>
      <w:r w:rsidRPr="00880A70">
        <w:t>市</w:t>
      </w:r>
      <w:r w:rsidR="005A588A" w:rsidRPr="005A588A">
        <w:t>）</w:t>
      </w:r>
      <w:r w:rsidRPr="00880A70">
        <w:t>主管機關應對取得容許使用之農業設施及其坐落之農業用地造冊列管，並視實際需要抽查是否依核定計畫內容使用；未依計畫內容使用者，原核定機關得廢止其許可，並通知區域計畫或都市計畫主管機關依相關規定處理。但配合政策休耕、休養</w:t>
      </w:r>
      <w:r w:rsidRPr="00BD787D">
        <w:t>、停養者，不在此限。前項農業設施已依法領有建築執照者，原核定機關於廢止許可時，應一併通知建築主管機關處理。第二項農業設施含綠能設施者，原核定機關於廢止許可時，應一併通知能源主管機關處理。」同辦法第35條規定：「直轄市或縣（市）主管機關為執行本辦法規定事項，得將權限之一部分委任或委辦所轄鄉（鎮、市、區）公所辦理，並依法公告。其作業方式由直轄市或縣（市）政府定之。」</w:t>
      </w:r>
    </w:p>
    <w:p w:rsidR="00932B55" w:rsidRPr="00BD787D" w:rsidRDefault="00932B55" w:rsidP="00932B55">
      <w:pPr>
        <w:pStyle w:val="3"/>
      </w:pPr>
      <w:r>
        <w:rPr>
          <w:rFonts w:hint="eastAsia"/>
        </w:rPr>
        <w:t>依據</w:t>
      </w:r>
      <w:r w:rsidRPr="00BD787D">
        <w:t>農委會提供之</w:t>
      </w:r>
      <w:r>
        <w:rPr>
          <w:rFonts w:hint="eastAsia"/>
        </w:rPr>
        <w:t>統計資料顯示，</w:t>
      </w:r>
      <w:r w:rsidRPr="00BD787D">
        <w:t>102年1月1日至106年5月31日農業設施屋頂附屬設置太陽光電同意備案</w:t>
      </w:r>
      <w:r>
        <w:rPr>
          <w:rFonts w:hint="eastAsia"/>
        </w:rPr>
        <w:t>之件數，總計已達</w:t>
      </w:r>
      <w:r w:rsidRPr="00BD787D">
        <w:t>3,151案</w:t>
      </w:r>
      <w:r>
        <w:rPr>
          <w:rFonts w:hint="eastAsia"/>
        </w:rPr>
        <w:t>。</w:t>
      </w:r>
      <w:r w:rsidRPr="00BD787D">
        <w:t>農委會為落實容許辦法之政策立意，確保農業設施屋頂附屬設置綠能設施，能確實結合農業經營，</w:t>
      </w:r>
      <w:r>
        <w:rPr>
          <w:rFonts w:hint="eastAsia"/>
        </w:rPr>
        <w:t>針對</w:t>
      </w:r>
      <w:r w:rsidRPr="00BD787D">
        <w:t>查核列管作業，</w:t>
      </w:r>
      <w:r w:rsidRPr="00BD787D">
        <w:lastRenderedPageBreak/>
        <w:t>曾分別於103年11月20日</w:t>
      </w:r>
      <w:r w:rsidRPr="00BD787D">
        <w:rPr>
          <w:rStyle w:val="afe"/>
          <w:rFonts w:ascii="Times New Roman" w:hAnsi="Times New Roman"/>
        </w:rPr>
        <w:footnoteReference w:id="2"/>
      </w:r>
      <w:r w:rsidRPr="00BD787D">
        <w:t>、104年1月23日</w:t>
      </w:r>
      <w:r w:rsidRPr="00BD787D">
        <w:rPr>
          <w:rStyle w:val="afe"/>
          <w:rFonts w:ascii="Times New Roman" w:hAnsi="Times New Roman"/>
        </w:rPr>
        <w:footnoteReference w:id="3"/>
      </w:r>
      <w:r w:rsidRPr="00BD787D">
        <w:t>、104年4月22日</w:t>
      </w:r>
      <w:r w:rsidRPr="00BD787D">
        <w:rPr>
          <w:rStyle w:val="afe"/>
          <w:rFonts w:ascii="Times New Roman" w:hAnsi="Times New Roman"/>
        </w:rPr>
        <w:footnoteReference w:id="4"/>
      </w:r>
      <w:r w:rsidRPr="00BD787D">
        <w:t>、104年9月23日</w:t>
      </w:r>
      <w:r w:rsidRPr="00BD787D">
        <w:rPr>
          <w:rStyle w:val="afe"/>
          <w:rFonts w:ascii="Times New Roman" w:hAnsi="Times New Roman"/>
        </w:rPr>
        <w:footnoteReference w:id="5"/>
      </w:r>
      <w:r w:rsidRPr="00BD787D">
        <w:t>及106年4月18日</w:t>
      </w:r>
      <w:r w:rsidRPr="00BD787D">
        <w:rPr>
          <w:rStyle w:val="afe"/>
          <w:rFonts w:ascii="Times New Roman" w:hAnsi="Times New Roman"/>
        </w:rPr>
        <w:footnoteReference w:id="6"/>
      </w:r>
      <w:r>
        <w:rPr>
          <w:rFonts w:hint="eastAsia"/>
        </w:rPr>
        <w:t>將</w:t>
      </w:r>
      <w:r w:rsidRPr="00BD787D">
        <w:t>農業設施屋頂附屬設置綠能設施之核准同意備案列冊資料</w:t>
      </w:r>
      <w:r>
        <w:rPr>
          <w:rFonts w:hint="eastAsia"/>
        </w:rPr>
        <w:t>，</w:t>
      </w:r>
      <w:r w:rsidRPr="00BD787D">
        <w:t>函請地方政府進行清查及勾稽比對，依法加強查處，</w:t>
      </w:r>
      <w:r>
        <w:rPr>
          <w:rFonts w:hint="eastAsia"/>
        </w:rPr>
        <w:t>並</w:t>
      </w:r>
      <w:r w:rsidRPr="00BD787D">
        <w:t>於每季結束後15日內函復查處情形。</w:t>
      </w:r>
    </w:p>
    <w:p w:rsidR="00932B55" w:rsidRPr="00BD787D" w:rsidRDefault="00932B55" w:rsidP="00932B55">
      <w:pPr>
        <w:pStyle w:val="3"/>
      </w:pPr>
      <w:r w:rsidRPr="003F021D">
        <w:t>依據農委會提供之「農業設施</w:t>
      </w:r>
      <w:r w:rsidR="00647E4E">
        <w:rPr>
          <w:rFonts w:hint="eastAsia"/>
        </w:rPr>
        <w:t>屋頂</w:t>
      </w:r>
      <w:r w:rsidRPr="003F021D">
        <w:t>附屬綠能設施廢止案件統計表」</w:t>
      </w:r>
      <w:r w:rsidRPr="003F021D">
        <w:rPr>
          <w:rFonts w:hint="eastAsia"/>
        </w:rPr>
        <w:t>顯示</w:t>
      </w:r>
      <w:r w:rsidRPr="003F021D">
        <w:t>，經查核後發現未依農業經營計畫內容使用</w:t>
      </w:r>
      <w:r w:rsidRPr="003F021D">
        <w:rPr>
          <w:rFonts w:hint="eastAsia"/>
        </w:rPr>
        <w:t>者</w:t>
      </w:r>
      <w:r w:rsidRPr="003F021D">
        <w:t>，由原核定機關依容許辦法第33條規定廢止農業設施容許使用同意</w:t>
      </w:r>
      <w:r w:rsidRPr="003F021D">
        <w:rPr>
          <w:rFonts w:hint="eastAsia"/>
        </w:rPr>
        <w:t>者</w:t>
      </w:r>
      <w:r w:rsidRPr="003F021D">
        <w:t>，</w:t>
      </w:r>
      <w:r>
        <w:rPr>
          <w:rFonts w:hint="eastAsia"/>
        </w:rPr>
        <w:t>截至</w:t>
      </w:r>
      <w:r w:rsidRPr="003F021D">
        <w:t>106年7月31日</w:t>
      </w:r>
      <w:r w:rsidRPr="003F021D">
        <w:rPr>
          <w:rFonts w:hint="eastAsia"/>
        </w:rPr>
        <w:t>雖已</w:t>
      </w:r>
      <w:r w:rsidRPr="003F021D">
        <w:t>有108案</w:t>
      </w:r>
      <w:r w:rsidR="005A588A">
        <w:t>（</w:t>
      </w:r>
      <w:r w:rsidRPr="003F021D">
        <w:rPr>
          <w:rFonts w:hint="eastAsia"/>
        </w:rPr>
        <w:t>其中</w:t>
      </w:r>
      <w:r w:rsidRPr="003F021D">
        <w:t>臺南市82案、雲林縣16案、屏東縣4案、嘉義縣3案、高雄市2案、苗栗縣1案</w:t>
      </w:r>
      <w:r w:rsidR="005A588A" w:rsidRPr="005A588A">
        <w:t>）</w:t>
      </w:r>
      <w:r w:rsidRPr="003F021D">
        <w:t>，違規農業設施項目主要為溫室、網室及菇類栽培場。</w:t>
      </w:r>
      <w:r w:rsidRPr="00BD787D">
        <w:t>惟</w:t>
      </w:r>
      <w:r>
        <w:rPr>
          <w:rFonts w:hint="eastAsia"/>
        </w:rPr>
        <w:t>地方政府實際查核狀況，依據</w:t>
      </w:r>
      <w:r w:rsidRPr="00BD787D">
        <w:t>彰化縣政府查復</w:t>
      </w:r>
      <w:r>
        <w:rPr>
          <w:rFonts w:hint="eastAsia"/>
        </w:rPr>
        <w:t>本院</w:t>
      </w:r>
      <w:r w:rsidRPr="00BD787D">
        <w:t>表示</w:t>
      </w:r>
      <w:r w:rsidRPr="000D7AFA">
        <w:rPr>
          <w:rFonts w:hint="eastAsia"/>
        </w:rPr>
        <w:t>：</w:t>
      </w:r>
      <w:r w:rsidRPr="00BD787D">
        <w:t>農委會於近期開始全面要求清查，該府目前仍在釐清</w:t>
      </w:r>
      <w:r>
        <w:rPr>
          <w:rFonts w:hint="eastAsia"/>
        </w:rPr>
        <w:t>其所持</w:t>
      </w:r>
      <w:r w:rsidRPr="00BD787D">
        <w:t>清冊</w:t>
      </w:r>
      <w:r>
        <w:rPr>
          <w:rFonts w:hint="eastAsia"/>
        </w:rPr>
        <w:t>與</w:t>
      </w:r>
      <w:r w:rsidRPr="00BD787D">
        <w:t>能源主管機關同意備案</w:t>
      </w:r>
      <w:r>
        <w:rPr>
          <w:rFonts w:hint="eastAsia"/>
        </w:rPr>
        <w:t>清冊</w:t>
      </w:r>
      <w:r w:rsidRPr="00BD787D">
        <w:t>之差異性等語。</w:t>
      </w:r>
      <w:r>
        <w:rPr>
          <w:rFonts w:hint="eastAsia"/>
        </w:rPr>
        <w:t>再據</w:t>
      </w:r>
      <w:r w:rsidRPr="00BD787D">
        <w:t>嘉義縣政府查復</w:t>
      </w:r>
      <w:r>
        <w:rPr>
          <w:rFonts w:hint="eastAsia"/>
        </w:rPr>
        <w:t>本院</w:t>
      </w:r>
      <w:r w:rsidRPr="00BD787D">
        <w:t>表示</w:t>
      </w:r>
      <w:r>
        <w:rPr>
          <w:rFonts w:hint="eastAsia"/>
        </w:rPr>
        <w:t>略以</w:t>
      </w:r>
      <w:r w:rsidRPr="000D7AFA">
        <w:rPr>
          <w:rFonts w:hint="eastAsia"/>
        </w:rPr>
        <w:t>：</w:t>
      </w:r>
      <w:r>
        <w:rPr>
          <w:rFonts w:hint="eastAsia"/>
        </w:rPr>
        <w:t>針對</w:t>
      </w:r>
      <w:r w:rsidRPr="00BD787D">
        <w:t>農委會函送</w:t>
      </w:r>
      <w:r>
        <w:rPr>
          <w:rFonts w:hint="eastAsia"/>
        </w:rPr>
        <w:t>之</w:t>
      </w:r>
      <w:r w:rsidRPr="00BD787D">
        <w:t>「102年至105年農業設施附屬設置綠能設施之太陽光電核准同意備案及設備登記等案件列冊資料」，</w:t>
      </w:r>
      <w:r>
        <w:rPr>
          <w:rFonts w:hint="eastAsia"/>
        </w:rPr>
        <w:t>該府</w:t>
      </w:r>
      <w:r w:rsidRPr="00BD787D">
        <w:t>尚在清查中，於清查確認後再將列冊資料函送</w:t>
      </w:r>
      <w:r w:rsidR="00CA473A">
        <w:rPr>
          <w:rFonts w:hint="eastAsia"/>
        </w:rPr>
        <w:t>農委</w:t>
      </w:r>
      <w:r w:rsidRPr="00BD787D">
        <w:t>會等語。臺南市政府則查復</w:t>
      </w:r>
      <w:r>
        <w:rPr>
          <w:rFonts w:hint="eastAsia"/>
        </w:rPr>
        <w:t>本院</w:t>
      </w:r>
      <w:r w:rsidRPr="00BD787D">
        <w:t>表示</w:t>
      </w:r>
      <w:r w:rsidRPr="000D7AFA">
        <w:rPr>
          <w:rFonts w:hint="eastAsia"/>
        </w:rPr>
        <w:t>：</w:t>
      </w:r>
      <w:r w:rsidRPr="00BD787D">
        <w:t>由於設置附屬綠能設施案件數量龐大且持續增加，而應改善案件列管期程冗長</w:t>
      </w:r>
      <w:r>
        <w:rPr>
          <w:rFonts w:hint="eastAsia"/>
        </w:rPr>
        <w:t>，</w:t>
      </w:r>
      <w:r w:rsidRPr="00BD787D">
        <w:t>該府人力</w:t>
      </w:r>
      <w:r>
        <w:rPr>
          <w:rFonts w:hint="eastAsia"/>
        </w:rPr>
        <w:t>又</w:t>
      </w:r>
      <w:r w:rsidRPr="00BD787D">
        <w:t>有限，</w:t>
      </w:r>
      <w:r>
        <w:rPr>
          <w:rFonts w:hint="eastAsia"/>
        </w:rPr>
        <w:t>故</w:t>
      </w:r>
      <w:r w:rsidRPr="00BD787D">
        <w:t>未能將查處情形按季</w:t>
      </w:r>
      <w:r>
        <w:rPr>
          <w:rFonts w:hint="eastAsia"/>
        </w:rPr>
        <w:t>函復</w:t>
      </w:r>
      <w:r w:rsidRPr="00BD787D">
        <w:t>農委會，爾後依規定將查處情形函送農委會，以利瞭解掌控等語。</w:t>
      </w:r>
      <w:r w:rsidRPr="00932B55">
        <w:rPr>
          <w:rFonts w:hint="eastAsia"/>
        </w:rPr>
        <w:t>由上可見，農委會雖多次將</w:t>
      </w:r>
      <w:r w:rsidRPr="00932B55">
        <w:t>農業設施屋頂附屬設置綠能設施之核准同意備案列冊資</w:t>
      </w:r>
      <w:r w:rsidRPr="00932B55">
        <w:lastRenderedPageBreak/>
        <w:t>料</w:t>
      </w:r>
      <w:r w:rsidRPr="00932B55">
        <w:rPr>
          <w:rFonts w:hint="eastAsia"/>
        </w:rPr>
        <w:t>，</w:t>
      </w:r>
      <w:r w:rsidRPr="00932B55">
        <w:t>函請地方政府進行清查</w:t>
      </w:r>
      <w:r w:rsidRPr="00932B55">
        <w:rPr>
          <w:rFonts w:hint="eastAsia"/>
        </w:rPr>
        <w:t>並按季函報</w:t>
      </w:r>
      <w:r w:rsidRPr="00932B55">
        <w:t>查處情形</w:t>
      </w:r>
      <w:r w:rsidRPr="00932B55">
        <w:rPr>
          <w:rFonts w:hint="eastAsia"/>
        </w:rPr>
        <w:t>，惟實際上地方政府卻未能積極辦理，致使</w:t>
      </w:r>
      <w:r w:rsidRPr="00932B55">
        <w:t>綠能設施應結合農業經營之政策目的</w:t>
      </w:r>
      <w:r w:rsidRPr="00932B55">
        <w:rPr>
          <w:rFonts w:hint="eastAsia"/>
        </w:rPr>
        <w:t>，無從落實</w:t>
      </w:r>
      <w:r w:rsidRPr="00880A70">
        <w:rPr>
          <w:rFonts w:hint="eastAsia"/>
        </w:rPr>
        <w:t>。</w:t>
      </w:r>
    </w:p>
    <w:p w:rsidR="00932B55" w:rsidRPr="009F2A7C" w:rsidRDefault="00932B55" w:rsidP="00932B55">
      <w:pPr>
        <w:pStyle w:val="3"/>
      </w:pPr>
      <w:r w:rsidRPr="009F2A7C">
        <w:t>另</w:t>
      </w:r>
      <w:r w:rsidRPr="009F2A7C">
        <w:rPr>
          <w:rFonts w:hint="eastAsia"/>
        </w:rPr>
        <w:t>據</w:t>
      </w:r>
      <w:r w:rsidRPr="009F2A7C">
        <w:t>農委會提供之「農業設施屋頂附屬設置綠能設施廢止案件之列冊資料」</w:t>
      </w:r>
      <w:r w:rsidR="005A588A">
        <w:t>（</w:t>
      </w:r>
      <w:r w:rsidRPr="009F2A7C">
        <w:t>統計至106年8月2日</w:t>
      </w:r>
      <w:r w:rsidR="005A588A" w:rsidRPr="005A588A">
        <w:t>）</w:t>
      </w:r>
      <w:r w:rsidRPr="009F2A7C">
        <w:rPr>
          <w:rFonts w:hint="eastAsia"/>
        </w:rPr>
        <w:t>顯示，經由地方農業主管機關進行清查工作後，發現有</w:t>
      </w:r>
      <w:r w:rsidRPr="009F2A7C">
        <w:t>農業設施已違規變更使用為塑膠工廠或搭建鐵皮屋，</w:t>
      </w:r>
      <w:r w:rsidRPr="009F2A7C">
        <w:rPr>
          <w:rFonts w:hint="eastAsia"/>
        </w:rPr>
        <w:t>並</w:t>
      </w:r>
      <w:r w:rsidRPr="009F2A7C">
        <w:t>經廢止農業設施容許使用同意，</w:t>
      </w:r>
      <w:r w:rsidRPr="009F2A7C">
        <w:rPr>
          <w:rFonts w:hint="eastAsia"/>
        </w:rPr>
        <w:t>嗣後</w:t>
      </w:r>
      <w:r w:rsidRPr="009F2A7C">
        <w:t>申請人</w:t>
      </w:r>
      <w:r w:rsidRPr="009F2A7C">
        <w:rPr>
          <w:rFonts w:hint="eastAsia"/>
        </w:rPr>
        <w:t>竟仍能</w:t>
      </w:r>
      <w:r w:rsidRPr="009F2A7C">
        <w:t>持已廢止容許使用同意之農業設施建築執照，向</w:t>
      </w:r>
      <w:r w:rsidR="00CA473A">
        <w:rPr>
          <w:rFonts w:hint="eastAsia"/>
        </w:rPr>
        <w:t>能源主管機關</w:t>
      </w:r>
      <w:r w:rsidRPr="009F2A7C">
        <w:t>申請農業設施屋頂附屬設置綠能設施</w:t>
      </w:r>
      <w:r>
        <w:rPr>
          <w:rFonts w:hint="eastAsia"/>
        </w:rPr>
        <w:t>之案例，</w:t>
      </w:r>
      <w:r w:rsidRPr="005F6027">
        <w:rPr>
          <w:rFonts w:hint="eastAsia"/>
        </w:rPr>
        <w:t>顯見透過</w:t>
      </w:r>
      <w:r>
        <w:rPr>
          <w:rFonts w:hint="eastAsia"/>
        </w:rPr>
        <w:t>持續</w:t>
      </w:r>
      <w:r w:rsidRPr="005F6027">
        <w:rPr>
          <w:rFonts w:hint="eastAsia"/>
        </w:rPr>
        <w:t>清查</w:t>
      </w:r>
      <w:r>
        <w:rPr>
          <w:rFonts w:hint="eastAsia"/>
        </w:rPr>
        <w:t>工作</w:t>
      </w:r>
      <w:r w:rsidRPr="005F6027">
        <w:rPr>
          <w:rFonts w:hint="eastAsia"/>
        </w:rPr>
        <w:t>，可杜絕「假種田、真種電」</w:t>
      </w:r>
      <w:r>
        <w:rPr>
          <w:rFonts w:hint="eastAsia"/>
        </w:rPr>
        <w:t>之情事</w:t>
      </w:r>
      <w:r w:rsidRPr="009F2A7C">
        <w:t>。</w:t>
      </w:r>
    </w:p>
    <w:p w:rsidR="009C0094" w:rsidRDefault="00932B55" w:rsidP="00932B55">
      <w:pPr>
        <w:pStyle w:val="3"/>
      </w:pPr>
      <w:r w:rsidRPr="00BD787D">
        <w:t>綜上，農委會配合國家再生能源政策，推動農電</w:t>
      </w:r>
      <w:r>
        <w:rPr>
          <w:rFonts w:hint="eastAsia"/>
        </w:rPr>
        <w:t>共生</w:t>
      </w:r>
      <w:r w:rsidRPr="00BD787D">
        <w:t>，</w:t>
      </w:r>
      <w:r>
        <w:rPr>
          <w:rFonts w:hint="eastAsia"/>
        </w:rPr>
        <w:t>仍</w:t>
      </w:r>
      <w:r w:rsidRPr="00BD787D">
        <w:t>應以農業為主，光電為輔。自102年1月1日起至106年5月31日止</w:t>
      </w:r>
      <w:r>
        <w:rPr>
          <w:rFonts w:hint="eastAsia"/>
        </w:rPr>
        <w:t>，</w:t>
      </w:r>
      <w:r w:rsidRPr="00BD787D">
        <w:t>農業設施屋頂附屬設置綠能設施同意備案</w:t>
      </w:r>
      <w:r>
        <w:rPr>
          <w:rFonts w:hint="eastAsia"/>
        </w:rPr>
        <w:t>之件數</w:t>
      </w:r>
      <w:r w:rsidRPr="00BD787D">
        <w:t>，已達3,151案，</w:t>
      </w:r>
      <w:r>
        <w:rPr>
          <w:rFonts w:hint="eastAsia"/>
        </w:rPr>
        <w:t>且</w:t>
      </w:r>
      <w:r w:rsidRPr="00BD787D">
        <w:t>案件數量持續增加，</w:t>
      </w:r>
      <w:r>
        <w:rPr>
          <w:rFonts w:hint="eastAsia"/>
        </w:rPr>
        <w:t>惟</w:t>
      </w:r>
      <w:r w:rsidRPr="00BD787D">
        <w:t>各</w:t>
      </w:r>
      <w:r>
        <w:t>案場</w:t>
      </w:r>
      <w:r>
        <w:rPr>
          <w:rFonts w:hint="eastAsia"/>
        </w:rPr>
        <w:t>有否</w:t>
      </w:r>
      <w:r w:rsidRPr="00BD787D">
        <w:t>維持農業經營</w:t>
      </w:r>
      <w:r>
        <w:rPr>
          <w:rFonts w:hint="eastAsia"/>
        </w:rPr>
        <w:t>，以符原核定農業經營計畫內容使用</w:t>
      </w:r>
      <w:r w:rsidRPr="00BD787D">
        <w:t>，地方政府</w:t>
      </w:r>
      <w:r>
        <w:rPr>
          <w:rFonts w:hint="eastAsia"/>
        </w:rPr>
        <w:t>卻未能積極落實稽查，</w:t>
      </w:r>
      <w:r w:rsidRPr="00BD787D">
        <w:t>農委會</w:t>
      </w:r>
      <w:r>
        <w:rPr>
          <w:rFonts w:hint="eastAsia"/>
        </w:rPr>
        <w:t>允</w:t>
      </w:r>
      <w:r w:rsidRPr="00BD787D">
        <w:t>應加強督導查核</w:t>
      </w:r>
      <w:r>
        <w:rPr>
          <w:rFonts w:hint="eastAsia"/>
        </w:rPr>
        <w:t>工作，以</w:t>
      </w:r>
      <w:r w:rsidRPr="00BD787D">
        <w:t>遏止申請人違規投機心態，</w:t>
      </w:r>
      <w:r>
        <w:rPr>
          <w:rFonts w:hint="eastAsia"/>
        </w:rPr>
        <w:t>並</w:t>
      </w:r>
      <w:r w:rsidRPr="00BD787D">
        <w:t>落實綠能設施應結合農業經營之政策目的。</w:t>
      </w:r>
    </w:p>
    <w:p w:rsidR="00FD66BE" w:rsidRPr="00FD66BE" w:rsidRDefault="00FD66BE" w:rsidP="00C93A81">
      <w:pPr>
        <w:pStyle w:val="2"/>
        <w:ind w:left="1036"/>
        <w:rPr>
          <w:b/>
        </w:rPr>
      </w:pPr>
      <w:r>
        <w:rPr>
          <w:rFonts w:hint="eastAsia"/>
          <w:b/>
        </w:rPr>
        <w:t>農委會對於</w:t>
      </w:r>
      <w:r w:rsidR="004B0E0A" w:rsidRPr="007D6227">
        <w:rPr>
          <w:rFonts w:ascii="Times New Roman" w:hAnsi="Times New Roman"/>
          <w:b/>
        </w:rPr>
        <w:t>農業設施屋頂附屬設置綠能設施</w:t>
      </w:r>
      <w:r w:rsidR="004B0E0A">
        <w:rPr>
          <w:rFonts w:ascii="Times New Roman" w:hAnsi="Times New Roman" w:hint="eastAsia"/>
          <w:b/>
        </w:rPr>
        <w:t>，</w:t>
      </w:r>
      <w:r w:rsidR="00DA6F02">
        <w:rPr>
          <w:rFonts w:ascii="Times New Roman" w:hAnsi="Times New Roman" w:hint="eastAsia"/>
          <w:b/>
        </w:rPr>
        <w:t>關於農業設施是否仍為</w:t>
      </w:r>
      <w:r w:rsidR="00DA6F02" w:rsidRPr="007D6227">
        <w:rPr>
          <w:rFonts w:ascii="Times New Roman" w:hAnsi="Times New Roman"/>
          <w:b/>
        </w:rPr>
        <w:t>農業生產之</w:t>
      </w:r>
      <w:r w:rsidR="00DA6F02">
        <w:rPr>
          <w:rFonts w:ascii="Times New Roman" w:hAnsi="Times New Roman" w:hint="eastAsia"/>
          <w:b/>
        </w:rPr>
        <w:t>用，所採之認定標準</w:t>
      </w:r>
      <w:r w:rsidR="00DA6F02" w:rsidRPr="007D6227">
        <w:rPr>
          <w:rFonts w:ascii="Times New Roman" w:hAnsi="Times New Roman" w:hint="eastAsia"/>
          <w:b/>
        </w:rPr>
        <w:t>未盡</w:t>
      </w:r>
      <w:r w:rsidR="00DA6F02">
        <w:rPr>
          <w:rFonts w:ascii="Times New Roman" w:hAnsi="Times New Roman" w:hint="eastAsia"/>
          <w:b/>
        </w:rPr>
        <w:t>周延</w:t>
      </w:r>
      <w:r w:rsidR="00DA6F02" w:rsidRPr="007D6227">
        <w:rPr>
          <w:rFonts w:ascii="Times New Roman" w:hAnsi="Times New Roman" w:hint="eastAsia"/>
          <w:b/>
        </w:rPr>
        <w:t>，</w:t>
      </w:r>
      <w:r w:rsidR="00DA6F02">
        <w:rPr>
          <w:rFonts w:ascii="Times New Roman" w:hAnsi="Times New Roman" w:hint="eastAsia"/>
          <w:b/>
        </w:rPr>
        <w:t>導致</w:t>
      </w:r>
      <w:r w:rsidR="00DA6F02" w:rsidRPr="007D6227">
        <w:rPr>
          <w:rFonts w:ascii="Times New Roman" w:hAnsi="Times New Roman" w:hint="eastAsia"/>
          <w:b/>
        </w:rPr>
        <w:t>地方政府</w:t>
      </w:r>
      <w:r w:rsidR="00DA6F02">
        <w:rPr>
          <w:rFonts w:ascii="Times New Roman" w:hAnsi="Times New Roman" w:hint="eastAsia"/>
          <w:b/>
        </w:rPr>
        <w:t>於</w:t>
      </w:r>
      <w:r w:rsidR="00DA6F02" w:rsidRPr="00CF7DA3">
        <w:rPr>
          <w:rFonts w:ascii="Times New Roman" w:hAnsi="Times New Roman" w:hint="eastAsia"/>
          <w:b/>
        </w:rPr>
        <w:t>稽查過程中</w:t>
      </w:r>
      <w:r w:rsidR="00DA6F02">
        <w:rPr>
          <w:rFonts w:ascii="Times New Roman" w:hAnsi="Times New Roman" w:hint="eastAsia"/>
          <w:b/>
        </w:rPr>
        <w:t>面臨諸多窒礙難行之處</w:t>
      </w:r>
      <w:r w:rsidR="00DA6F02" w:rsidRPr="007D6227">
        <w:rPr>
          <w:rFonts w:ascii="Times New Roman" w:hAnsi="Times New Roman" w:hint="eastAsia"/>
          <w:b/>
        </w:rPr>
        <w:t>，</w:t>
      </w:r>
      <w:r w:rsidR="00DA6F02">
        <w:rPr>
          <w:rFonts w:ascii="Times New Roman" w:hAnsi="Times New Roman" w:hint="eastAsia"/>
          <w:b/>
        </w:rPr>
        <w:t>造成</w:t>
      </w:r>
      <w:r w:rsidR="00DA6F02" w:rsidRPr="007D6227">
        <w:rPr>
          <w:rFonts w:ascii="Times New Roman" w:hAnsi="Times New Roman" w:hint="eastAsia"/>
          <w:b/>
        </w:rPr>
        <w:t>執法</w:t>
      </w:r>
      <w:r w:rsidR="00DA6F02">
        <w:rPr>
          <w:rFonts w:ascii="Times New Roman" w:hAnsi="Times New Roman" w:hint="eastAsia"/>
          <w:b/>
        </w:rPr>
        <w:t>多</w:t>
      </w:r>
      <w:r w:rsidR="00DA6F02" w:rsidRPr="007D6227">
        <w:rPr>
          <w:rFonts w:ascii="Times New Roman" w:hAnsi="Times New Roman" w:hint="eastAsia"/>
          <w:b/>
        </w:rPr>
        <w:t>有所顧忌</w:t>
      </w:r>
      <w:r w:rsidR="00DA6F02">
        <w:rPr>
          <w:rFonts w:ascii="Times New Roman" w:hAnsi="Times New Roman" w:hint="eastAsia"/>
          <w:b/>
        </w:rPr>
        <w:t>，應即檢討改進。</w:t>
      </w:r>
    </w:p>
    <w:p w:rsidR="00932B55" w:rsidRPr="00BD787D" w:rsidRDefault="00932B55" w:rsidP="00932B55">
      <w:pPr>
        <w:pStyle w:val="3"/>
      </w:pPr>
      <w:r w:rsidRPr="00BD787D">
        <w:t>農業設施屋頂附屬設置綠能設施</w:t>
      </w:r>
      <w:r>
        <w:rPr>
          <w:rFonts w:hint="eastAsia"/>
        </w:rPr>
        <w:t>後</w:t>
      </w:r>
      <w:r w:rsidRPr="00BD787D">
        <w:t>，該農業設施</w:t>
      </w:r>
      <w:r>
        <w:rPr>
          <w:rFonts w:hint="eastAsia"/>
        </w:rPr>
        <w:t>仍</w:t>
      </w:r>
      <w:r w:rsidRPr="00BD787D">
        <w:t>應依原核定之農業經營計畫內容使用，且綠能設施不得影響農業生產及經營，其農業生產之產量標準，依據農委會104年8月25日農企字第1040012614號函釋</w:t>
      </w:r>
      <w:r>
        <w:rPr>
          <w:rFonts w:hint="eastAsia"/>
        </w:rPr>
        <w:t>內容</w:t>
      </w:r>
      <w:r w:rsidRPr="00BD787D">
        <w:t>，係以申請人所提經營計畫之栽種作</w:t>
      </w:r>
      <w:r w:rsidRPr="00BD787D">
        <w:lastRenderedPageBreak/>
        <w:t>物，依農業統計年報</w:t>
      </w:r>
      <w:r>
        <w:rPr>
          <w:rFonts w:hint="eastAsia"/>
        </w:rPr>
        <w:t>所載</w:t>
      </w:r>
      <w:r w:rsidRPr="00BD787D">
        <w:t>該等作物近3年產量平均值之7成</w:t>
      </w:r>
      <w:r>
        <w:rPr>
          <w:rFonts w:hint="eastAsia"/>
        </w:rPr>
        <w:t>，</w:t>
      </w:r>
      <w:r w:rsidRPr="00BD787D">
        <w:t>估認最低生產量，作為合理農業經營事實之認定標準</w:t>
      </w:r>
      <w:r>
        <w:rPr>
          <w:rFonts w:hint="eastAsia"/>
        </w:rPr>
        <w:t>。若</w:t>
      </w:r>
      <w:r w:rsidRPr="00BD787D">
        <w:t>未符前揭規定，農業主管機關得依法廢止農業設施之容許使用同意書。</w:t>
      </w:r>
    </w:p>
    <w:p w:rsidR="00932B55" w:rsidRPr="00BD787D" w:rsidRDefault="00932B55" w:rsidP="006D51C4">
      <w:pPr>
        <w:pStyle w:val="3"/>
      </w:pPr>
      <w:r w:rsidRPr="00BD787D">
        <w:t>惟據地方政府查復</w:t>
      </w:r>
      <w:r>
        <w:rPr>
          <w:rFonts w:hint="eastAsia"/>
        </w:rPr>
        <w:t>結果</w:t>
      </w:r>
      <w:r w:rsidRPr="00BD787D">
        <w:t>，</w:t>
      </w:r>
      <w:r>
        <w:rPr>
          <w:rFonts w:hint="eastAsia"/>
        </w:rPr>
        <w:t>以</w:t>
      </w:r>
      <w:r w:rsidRPr="00BD787D">
        <w:t>前揭標準作為合理農業經營事實之認定標準，</w:t>
      </w:r>
      <w:r>
        <w:rPr>
          <w:rFonts w:hint="eastAsia"/>
        </w:rPr>
        <w:t>存</w:t>
      </w:r>
      <w:r w:rsidRPr="00BD787D">
        <w:t>有</w:t>
      </w:r>
      <w:r>
        <w:rPr>
          <w:rFonts w:hint="eastAsia"/>
        </w:rPr>
        <w:t>下列</w:t>
      </w:r>
      <w:r w:rsidRPr="00BD787D">
        <w:t>諸多困難之處：</w:t>
      </w:r>
    </w:p>
    <w:p w:rsidR="00932B55" w:rsidRPr="00683A7F" w:rsidRDefault="00932B55" w:rsidP="00932B55">
      <w:pPr>
        <w:pStyle w:val="4"/>
      </w:pPr>
      <w:r w:rsidRPr="00683A7F">
        <w:rPr>
          <w:rFonts w:hAnsi="Times New Roman"/>
        </w:rPr>
        <w:t>彰化縣政府</w:t>
      </w:r>
      <w:r w:rsidRPr="00683A7F">
        <w:rPr>
          <w:rFonts w:hAnsi="Times New Roman" w:hint="eastAsia"/>
        </w:rPr>
        <w:t>表示</w:t>
      </w:r>
      <w:r w:rsidRPr="00683A7F">
        <w:rPr>
          <w:rFonts w:hAnsi="Times New Roman"/>
        </w:rPr>
        <w:t>：</w:t>
      </w:r>
      <w:r w:rsidRPr="00683A7F">
        <w:t>彰化縣為苗木產業大縣，但苗木生長周期長且價值隨栽培時間增加，又苗木尚未有較明確之審認標準，較容易造成審查上的漏洞等語。</w:t>
      </w:r>
    </w:p>
    <w:p w:rsidR="00932B55" w:rsidRPr="00683A7F" w:rsidRDefault="00932B55" w:rsidP="00932B55">
      <w:pPr>
        <w:pStyle w:val="4"/>
      </w:pPr>
      <w:r w:rsidRPr="00683A7F">
        <w:rPr>
          <w:rFonts w:hAnsi="Times New Roman"/>
        </w:rPr>
        <w:t>雲林縣政府</w:t>
      </w:r>
      <w:r w:rsidRPr="00683A7F">
        <w:rPr>
          <w:rFonts w:hAnsi="Times New Roman" w:hint="eastAsia"/>
        </w:rPr>
        <w:t>表示</w:t>
      </w:r>
      <w:r w:rsidRPr="00683A7F">
        <w:rPr>
          <w:rFonts w:hAnsi="Times New Roman"/>
        </w:rPr>
        <w:t>：</w:t>
      </w:r>
      <w:r w:rsidRPr="00683A7F">
        <w:t>過溝山蕨、山蘇、石斛蘭、沉香、檀香、天仙果、神秘果、咖啡、竹笙、雞腿菇、鹿角靈芝等作物</w:t>
      </w:r>
      <w:r w:rsidRPr="00683A7F">
        <w:rPr>
          <w:rFonts w:hAnsi="標楷體" w:hint="eastAsia"/>
        </w:rPr>
        <w:t>，</w:t>
      </w:r>
      <w:r w:rsidRPr="00683A7F">
        <w:t>在農業統計年報上查無資料</w:t>
      </w:r>
      <w:r>
        <w:rPr>
          <w:rFonts w:hAnsi="標楷體" w:hint="eastAsia"/>
        </w:rPr>
        <w:t>；</w:t>
      </w:r>
      <w:r w:rsidRPr="00683A7F">
        <w:rPr>
          <w:rFonts w:hint="eastAsia"/>
        </w:rPr>
        <w:t>又</w:t>
      </w:r>
      <w:r w:rsidRPr="00683A7F">
        <w:t>竹笙、雞腿菇於國內無專門栽培案場，故農業試驗單位</w:t>
      </w:r>
      <w:r w:rsidRPr="00683A7F">
        <w:rPr>
          <w:rFonts w:hint="eastAsia"/>
        </w:rPr>
        <w:t>僅</w:t>
      </w:r>
      <w:r w:rsidRPr="00683A7F">
        <w:t>能提供栽培環境條件等背景資料，無法提供產量數據作為參考。該府現針對此類案場，著重在其田間作物栽培管理，如未有良善管理</w:t>
      </w:r>
      <w:r>
        <w:rPr>
          <w:rFonts w:hint="eastAsia"/>
        </w:rPr>
        <w:t>，</w:t>
      </w:r>
      <w:r w:rsidRPr="00683A7F">
        <w:t>則作物生長不良，產量即可能無法達到認定標準，以此要求申請人改善，然此方式無法獲得實際產量數據，難據以廢止不良案場，除了</w:t>
      </w:r>
      <w:r>
        <w:rPr>
          <w:rFonts w:hint="eastAsia"/>
        </w:rPr>
        <w:t>全無</w:t>
      </w:r>
      <w:r w:rsidRPr="00683A7F">
        <w:t>種植之案場較無疑義外，對於有種植卻管理不善</w:t>
      </w:r>
      <w:r w:rsidR="005A588A">
        <w:t>（</w:t>
      </w:r>
      <w:r w:rsidRPr="00683A7F">
        <w:t>應付查核種植</w:t>
      </w:r>
      <w:r w:rsidR="005A588A" w:rsidRPr="005A588A">
        <w:t>）</w:t>
      </w:r>
      <w:r>
        <w:t>之案場，如逕行廢止，</w:t>
      </w:r>
      <w:r w:rsidRPr="00683A7F">
        <w:t>恐有瑕疵</w:t>
      </w:r>
      <w:r>
        <w:rPr>
          <w:rFonts w:hint="eastAsia"/>
        </w:rPr>
        <w:t>，</w:t>
      </w:r>
      <w:r w:rsidRPr="00683A7F">
        <w:t>不利後續行政訴訟等語。</w:t>
      </w:r>
    </w:p>
    <w:p w:rsidR="00932B55" w:rsidRPr="00BD787D" w:rsidRDefault="00932B55" w:rsidP="00932B55">
      <w:pPr>
        <w:pStyle w:val="4"/>
      </w:pPr>
      <w:r w:rsidRPr="00BD787D">
        <w:t>嘉義縣政府</w:t>
      </w:r>
      <w:r>
        <w:rPr>
          <w:rFonts w:hint="eastAsia"/>
        </w:rPr>
        <w:t>表示</w:t>
      </w:r>
      <w:r w:rsidRPr="00BD787D">
        <w:t>：</w:t>
      </w:r>
    </w:p>
    <w:p w:rsidR="00932B55" w:rsidRPr="00BD787D" w:rsidRDefault="00932B55" w:rsidP="00932B55">
      <w:pPr>
        <w:pStyle w:val="5"/>
      </w:pPr>
      <w:r w:rsidRPr="00BD787D">
        <w:t>實務上審認有所困難，如種植作物並無統計年報品項可供參考，或種植有品項之作物</w:t>
      </w:r>
      <w:r w:rsidR="005A588A">
        <w:t>（</w:t>
      </w:r>
      <w:r w:rsidRPr="00BD787D">
        <w:t>如山蘇或葉菜類</w:t>
      </w:r>
      <w:r w:rsidR="005A588A" w:rsidRPr="005A588A">
        <w:t>）</w:t>
      </w:r>
      <w:r w:rsidRPr="00BD787D">
        <w:t>，其產量難確認有無到達7成。</w:t>
      </w:r>
    </w:p>
    <w:p w:rsidR="00932B55" w:rsidRPr="00BD787D" w:rsidRDefault="00932B55" w:rsidP="00932B55">
      <w:pPr>
        <w:pStyle w:val="5"/>
      </w:pPr>
      <w:r w:rsidRPr="00BD787D">
        <w:t>申請人大多以種植作物的株數、數量、田間管理紀錄為主，較難提出產量證明，且田間管理紀錄是否有舉證效力，尚難認定。</w:t>
      </w:r>
    </w:p>
    <w:p w:rsidR="00932B55" w:rsidRPr="00BD787D" w:rsidRDefault="00932B55" w:rsidP="00932B55">
      <w:pPr>
        <w:pStyle w:val="5"/>
      </w:pPr>
      <w:r w:rsidRPr="00BD787D">
        <w:lastRenderedPageBreak/>
        <w:t>該府曾受理無農業統計年報統計資料之作物品項包括：沉香、有機中草藥</w:t>
      </w:r>
      <w:r w:rsidR="005A588A">
        <w:t>（</w:t>
      </w:r>
      <w:r w:rsidRPr="00BD787D">
        <w:t>白鳳草</w:t>
      </w:r>
      <w:r w:rsidR="005A588A" w:rsidRPr="005A588A">
        <w:t>）</w:t>
      </w:r>
      <w:r w:rsidRPr="00BD787D">
        <w:t>、牛樟芝等作物。上開作物經函詢農業試驗單位，皆難</w:t>
      </w:r>
      <w:r>
        <w:rPr>
          <w:rFonts w:hint="eastAsia"/>
        </w:rPr>
        <w:t>以</w:t>
      </w:r>
      <w:r w:rsidRPr="00BD787D">
        <w:t>提供明確審查意見。</w:t>
      </w:r>
    </w:p>
    <w:p w:rsidR="00932B55" w:rsidRPr="00BD787D" w:rsidRDefault="00932B55" w:rsidP="00932B55">
      <w:pPr>
        <w:pStyle w:val="5"/>
      </w:pPr>
      <w:r w:rsidRPr="00BD787D">
        <w:t>有關查核產量作業，該府限期改善之案場大多以種植沉香、有機中草藥</w:t>
      </w:r>
      <w:r w:rsidR="005A588A">
        <w:t>（</w:t>
      </w:r>
      <w:r w:rsidRPr="00BD787D">
        <w:t>白鳳草</w:t>
      </w:r>
      <w:r w:rsidR="005A588A" w:rsidRPr="005A588A">
        <w:t>）</w:t>
      </w:r>
      <w:r w:rsidRPr="00BD787D">
        <w:t>為主，惟沉香係多年生木本植物，目前要求申請人依其經營計畫種植一定株數，惟每年產量應如何查核，難以認定。另有關種植有機中草藥白鳳草之案場，其行株距及產量多少</w:t>
      </w:r>
      <w:r>
        <w:rPr>
          <w:rFonts w:hint="eastAsia"/>
        </w:rPr>
        <w:t>方</w:t>
      </w:r>
      <w:r w:rsidRPr="00BD787D">
        <w:t>為合理，亦難以判斷。</w:t>
      </w:r>
    </w:p>
    <w:p w:rsidR="009C0094" w:rsidRDefault="00932B55" w:rsidP="006D51C4">
      <w:pPr>
        <w:pStyle w:val="3"/>
      </w:pPr>
      <w:r w:rsidRPr="001A5787">
        <w:t>綜上，農業設施屋頂附屬設置綠能設施</w:t>
      </w:r>
      <w:r w:rsidRPr="001A5787">
        <w:rPr>
          <w:rFonts w:hint="eastAsia"/>
        </w:rPr>
        <w:t>後，</w:t>
      </w:r>
      <w:r w:rsidRPr="001A5787">
        <w:t>該農業設施</w:t>
      </w:r>
      <w:r w:rsidRPr="001A5787">
        <w:rPr>
          <w:rFonts w:hint="eastAsia"/>
        </w:rPr>
        <w:t>仍</w:t>
      </w:r>
      <w:r w:rsidRPr="001A5787">
        <w:t>應依原核定之農業經營計畫內容使用，綠能設施不得影響農業生產及經營，</w:t>
      </w:r>
      <w:r w:rsidRPr="001A5787">
        <w:rPr>
          <w:rFonts w:hint="eastAsia"/>
        </w:rPr>
        <w:t>而</w:t>
      </w:r>
      <w:r>
        <w:rPr>
          <w:rFonts w:hint="eastAsia"/>
        </w:rPr>
        <w:t>是否仍為</w:t>
      </w:r>
      <w:r w:rsidRPr="001A5787">
        <w:t>農業生產之</w:t>
      </w:r>
      <w:r>
        <w:rPr>
          <w:rFonts w:hint="eastAsia"/>
        </w:rPr>
        <w:t>用</w:t>
      </w:r>
      <w:r w:rsidRPr="001A5787">
        <w:t>，</w:t>
      </w:r>
      <w:r w:rsidRPr="001A5787">
        <w:rPr>
          <w:rFonts w:hint="eastAsia"/>
        </w:rPr>
        <w:t>農委會</w:t>
      </w:r>
      <w:r w:rsidRPr="001A5787">
        <w:t>係</w:t>
      </w:r>
      <w:r>
        <w:rPr>
          <w:rFonts w:hint="eastAsia"/>
        </w:rPr>
        <w:t>以生產量作為認定標準，並</w:t>
      </w:r>
      <w:r w:rsidRPr="001A5787">
        <w:t>以申請人所提經營計畫之栽種作物，依農業統計年報</w:t>
      </w:r>
      <w:r w:rsidRPr="001A5787">
        <w:rPr>
          <w:rFonts w:hint="eastAsia"/>
        </w:rPr>
        <w:t>所載</w:t>
      </w:r>
      <w:r w:rsidRPr="001A5787">
        <w:t>該等作物近3年產量平均值之7成</w:t>
      </w:r>
      <w:r w:rsidRPr="001A5787">
        <w:rPr>
          <w:rFonts w:hint="eastAsia"/>
        </w:rPr>
        <w:t>，</w:t>
      </w:r>
      <w:r w:rsidRPr="001A5787">
        <w:t>估認最低生產量</w:t>
      </w:r>
      <w:r w:rsidRPr="001A5787">
        <w:rPr>
          <w:rFonts w:hint="eastAsia"/>
        </w:rPr>
        <w:t>。</w:t>
      </w:r>
      <w:r w:rsidRPr="001A5787">
        <w:t>惟地方政府於</w:t>
      </w:r>
      <w:r w:rsidRPr="001A5787">
        <w:rPr>
          <w:rFonts w:hint="eastAsia"/>
        </w:rPr>
        <w:t>稽查過程中，卻面臨諸多窒礙難行之處，包括：</w:t>
      </w:r>
      <w:r w:rsidRPr="001A5787">
        <w:t>農業統計年報</w:t>
      </w:r>
      <w:r w:rsidRPr="001A5787">
        <w:rPr>
          <w:rFonts w:hint="eastAsia"/>
        </w:rPr>
        <w:t>未載有</w:t>
      </w:r>
      <w:r w:rsidRPr="001A5787">
        <w:t>該作物品項</w:t>
      </w:r>
      <w:r w:rsidRPr="001A5787">
        <w:rPr>
          <w:rFonts w:hAnsi="標楷體" w:hint="eastAsia"/>
        </w:rPr>
        <w:t>；</w:t>
      </w:r>
      <w:r w:rsidR="00FD66BE">
        <w:rPr>
          <w:rFonts w:hint="eastAsia"/>
        </w:rPr>
        <w:t>申請</w:t>
      </w:r>
      <w:r w:rsidRPr="001A5787">
        <w:rPr>
          <w:rFonts w:hint="eastAsia"/>
        </w:rPr>
        <w:t>人係以</w:t>
      </w:r>
      <w:r w:rsidRPr="001A5787">
        <w:t>作物株數、數量、田間管理紀錄為主，難以提出產量證明</w:t>
      </w:r>
      <w:r w:rsidRPr="001A5787">
        <w:rPr>
          <w:rFonts w:hAnsi="標楷體" w:hint="eastAsia"/>
        </w:rPr>
        <w:t>；</w:t>
      </w:r>
      <w:r w:rsidRPr="001A5787">
        <w:t>農業試驗單位</w:t>
      </w:r>
      <w:r w:rsidRPr="001A5787">
        <w:rPr>
          <w:rFonts w:hint="eastAsia"/>
        </w:rPr>
        <w:t>對於部分作物，僅</w:t>
      </w:r>
      <w:r w:rsidRPr="001A5787">
        <w:t>能提供栽培環境條件等背景資料，無法提供產量數據作為參考</w:t>
      </w:r>
      <w:r w:rsidRPr="001A5787">
        <w:rPr>
          <w:rFonts w:hint="eastAsia"/>
        </w:rPr>
        <w:t>。由於地方</w:t>
      </w:r>
      <w:r w:rsidRPr="001A5787">
        <w:t>政府</w:t>
      </w:r>
      <w:r w:rsidRPr="001A5787">
        <w:rPr>
          <w:rFonts w:hint="eastAsia"/>
        </w:rPr>
        <w:t>未能</w:t>
      </w:r>
      <w:r w:rsidRPr="001A5787">
        <w:t>獲得實際產量數據，難</w:t>
      </w:r>
      <w:r w:rsidRPr="001A5787">
        <w:rPr>
          <w:rFonts w:hint="eastAsia"/>
        </w:rPr>
        <w:t>以認定</w:t>
      </w:r>
      <w:r w:rsidRPr="001A5787">
        <w:t>不良案場，</w:t>
      </w:r>
      <w:r w:rsidRPr="001A5787">
        <w:rPr>
          <w:rFonts w:hint="eastAsia"/>
        </w:rPr>
        <w:t>因而執法</w:t>
      </w:r>
      <w:r>
        <w:rPr>
          <w:rFonts w:hint="eastAsia"/>
        </w:rPr>
        <w:t>多</w:t>
      </w:r>
      <w:r w:rsidRPr="001A5787">
        <w:rPr>
          <w:rFonts w:hint="eastAsia"/>
        </w:rPr>
        <w:t>有所顧忌</w:t>
      </w:r>
      <w:r w:rsidRPr="001A5787">
        <w:t>。</w:t>
      </w:r>
      <w:r w:rsidRPr="001A5787">
        <w:rPr>
          <w:rFonts w:hint="eastAsia"/>
        </w:rPr>
        <w:t>顯見</w:t>
      </w:r>
      <w:r w:rsidRPr="001A5787">
        <w:t>農委會</w:t>
      </w:r>
      <w:r w:rsidRPr="001A5787">
        <w:rPr>
          <w:rFonts w:hint="eastAsia"/>
        </w:rPr>
        <w:t>對於案場有否</w:t>
      </w:r>
      <w:r w:rsidRPr="001A5787">
        <w:t>維持農業經營</w:t>
      </w:r>
      <w:r>
        <w:rPr>
          <w:rFonts w:hint="eastAsia"/>
        </w:rPr>
        <w:t>之用</w:t>
      </w:r>
      <w:r w:rsidRPr="001A5787">
        <w:rPr>
          <w:rFonts w:hint="eastAsia"/>
        </w:rPr>
        <w:t>，所採之認定</w:t>
      </w:r>
      <w:r w:rsidRPr="001A5787">
        <w:t>標準</w:t>
      </w:r>
      <w:r w:rsidRPr="001A5787">
        <w:rPr>
          <w:rFonts w:hint="eastAsia"/>
        </w:rPr>
        <w:t>，未盡周延，應即檢討改進</w:t>
      </w:r>
      <w:r w:rsidRPr="001A5787">
        <w:t>。</w:t>
      </w:r>
    </w:p>
    <w:p w:rsidR="000E2F23" w:rsidRPr="004830F8" w:rsidRDefault="000E2F23" w:rsidP="004830F8">
      <w:pPr>
        <w:pStyle w:val="2"/>
        <w:ind w:left="1036"/>
        <w:rPr>
          <w:b/>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bookmarkEnd w:id="51"/>
      <w:bookmarkEnd w:id="52"/>
      <w:r w:rsidRPr="004830F8">
        <w:rPr>
          <w:rFonts w:hint="eastAsia"/>
          <w:b/>
        </w:rPr>
        <w:t>能源局前於99年11月即接獲農委會之公文，請其</w:t>
      </w:r>
      <w:proofErr w:type="gramStart"/>
      <w:r w:rsidRPr="004830F8">
        <w:rPr>
          <w:rFonts w:hint="eastAsia"/>
          <w:b/>
        </w:rPr>
        <w:t>研</w:t>
      </w:r>
      <w:proofErr w:type="gramEnd"/>
      <w:r w:rsidRPr="004830F8">
        <w:rPr>
          <w:rFonts w:hint="eastAsia"/>
          <w:b/>
        </w:rPr>
        <w:t>議農業設施容許使用同意廢止後，</w:t>
      </w:r>
      <w:proofErr w:type="gramStart"/>
      <w:r w:rsidRPr="004830F8">
        <w:rPr>
          <w:rFonts w:hint="eastAsia"/>
          <w:b/>
        </w:rPr>
        <w:t>附屬綠能設施</w:t>
      </w:r>
      <w:proofErr w:type="gramEnd"/>
      <w:r w:rsidRPr="004830F8">
        <w:rPr>
          <w:rFonts w:hint="eastAsia"/>
          <w:b/>
        </w:rPr>
        <w:t>電能費用補貼之適法性及續處行政事項，惟未妥</w:t>
      </w:r>
      <w:proofErr w:type="gramStart"/>
      <w:r w:rsidRPr="004830F8">
        <w:rPr>
          <w:rFonts w:hint="eastAsia"/>
          <w:b/>
        </w:rPr>
        <w:t>適</w:t>
      </w:r>
      <w:proofErr w:type="gramEnd"/>
      <w:r w:rsidRPr="004830F8">
        <w:rPr>
          <w:rFonts w:hint="eastAsia"/>
          <w:b/>
        </w:rPr>
        <w:t>處理，103年至106年地方政府陸續出現廢止案件續處作業之爭</w:t>
      </w:r>
      <w:r w:rsidRPr="004830F8">
        <w:rPr>
          <w:rFonts w:hint="eastAsia"/>
          <w:b/>
        </w:rPr>
        <w:lastRenderedPageBreak/>
        <w:t>議，能源局遲至本院106年3月調查</w:t>
      </w:r>
      <w:proofErr w:type="gramStart"/>
      <w:r w:rsidRPr="004830F8">
        <w:rPr>
          <w:rFonts w:hint="eastAsia"/>
          <w:b/>
        </w:rPr>
        <w:t>期間，始簽</w:t>
      </w:r>
      <w:proofErr w:type="gramEnd"/>
      <w:r w:rsidRPr="004830F8">
        <w:rPr>
          <w:rFonts w:hint="eastAsia"/>
          <w:b/>
        </w:rPr>
        <w:t>辦後續處理原則，其長達6年3個月未建立相關行政處置程序</w:t>
      </w:r>
      <w:r w:rsidR="00BD4CAF">
        <w:rPr>
          <w:rFonts w:hint="eastAsia"/>
          <w:b/>
        </w:rPr>
        <w:t>，且因該程序涉及事實認定及裁量權之行使，尚不明確，地方政府</w:t>
      </w:r>
      <w:r w:rsidR="004830F8" w:rsidRPr="004830F8">
        <w:rPr>
          <w:rFonts w:hint="eastAsia"/>
          <w:b/>
        </w:rPr>
        <w:t>無所遵循，不利人民權益保障，</w:t>
      </w:r>
      <w:r w:rsidRPr="004830F8">
        <w:rPr>
          <w:rFonts w:hint="eastAsia"/>
          <w:b/>
        </w:rPr>
        <w:t>肇致農業用地種電亂</w:t>
      </w:r>
      <w:proofErr w:type="gramStart"/>
      <w:r w:rsidRPr="004830F8">
        <w:rPr>
          <w:rFonts w:hint="eastAsia"/>
          <w:b/>
        </w:rPr>
        <w:t>象</w:t>
      </w:r>
      <w:proofErr w:type="gramEnd"/>
      <w:r w:rsidRPr="004830F8">
        <w:rPr>
          <w:rFonts w:hint="eastAsia"/>
          <w:b/>
        </w:rPr>
        <w:t>頻生，核有</w:t>
      </w:r>
      <w:proofErr w:type="gramStart"/>
      <w:r w:rsidRPr="004830F8">
        <w:rPr>
          <w:rFonts w:hint="eastAsia"/>
          <w:b/>
        </w:rPr>
        <w:t>怠</w:t>
      </w:r>
      <w:proofErr w:type="gramEnd"/>
      <w:r w:rsidRPr="004830F8">
        <w:rPr>
          <w:rFonts w:hint="eastAsia"/>
          <w:b/>
        </w:rPr>
        <w:t>失。經濟部為設置管理辦法之中央主管機關，對於委任再生能源發電設備業務之所屬能源局，卻未能善盡監督之責，核有疏失。</w:t>
      </w:r>
    </w:p>
    <w:p w:rsidR="00F33D47" w:rsidRPr="0057218B" w:rsidRDefault="00F33D47" w:rsidP="00F33D47">
      <w:pPr>
        <w:pStyle w:val="3"/>
        <w:numPr>
          <w:ilvl w:val="2"/>
          <w:numId w:val="1"/>
        </w:numPr>
      </w:pPr>
      <w:r w:rsidRPr="004A1CDC">
        <w:t>按</w:t>
      </w:r>
      <w:r w:rsidR="00D06529" w:rsidRPr="00D06529">
        <w:rPr>
          <w:rFonts w:hint="eastAsia"/>
        </w:rPr>
        <w:t>「行政程序法」第15條第1</w:t>
      </w:r>
      <w:r w:rsidR="00D43A8D">
        <w:rPr>
          <w:rFonts w:hint="eastAsia"/>
        </w:rPr>
        <w:t>項</w:t>
      </w:r>
      <w:r w:rsidR="00D06529" w:rsidRPr="00D06529">
        <w:rPr>
          <w:rFonts w:hint="eastAsia"/>
        </w:rPr>
        <w:t>規定：「行政機關得依法</w:t>
      </w:r>
      <w:r w:rsidR="00D06529">
        <w:rPr>
          <w:rFonts w:hint="eastAsia"/>
        </w:rPr>
        <w:t>規將其權限之一部分，委任所屬下級機關執行</w:t>
      </w:r>
      <w:r w:rsidR="00D06529" w:rsidRPr="00D06529">
        <w:rPr>
          <w:rFonts w:hint="eastAsia"/>
        </w:rPr>
        <w:t>」</w:t>
      </w:r>
      <w:r w:rsidR="003E188E">
        <w:rPr>
          <w:rFonts w:hint="eastAsia"/>
        </w:rPr>
        <w:t>；次按</w:t>
      </w:r>
      <w:r w:rsidR="00B4695B">
        <w:rPr>
          <w:rFonts w:hint="eastAsia"/>
        </w:rPr>
        <w:t>「</w:t>
      </w:r>
      <w:r w:rsidR="00B4695B" w:rsidRPr="00B4695B">
        <w:rPr>
          <w:rFonts w:hint="eastAsia"/>
        </w:rPr>
        <w:t>中央行政機關組織基準法</w:t>
      </w:r>
      <w:r w:rsidR="00B4695B">
        <w:rPr>
          <w:rFonts w:hint="eastAsia"/>
        </w:rPr>
        <w:t>」第14條規定：「</w:t>
      </w:r>
      <w:r w:rsidR="00B4695B" w:rsidRPr="00B4695B">
        <w:rPr>
          <w:rFonts w:hint="eastAsia"/>
        </w:rPr>
        <w:t>上級機關對所隸屬機關依法規行使指揮監督權。不相隸屬機關之指揮監督，應以法規有明文規定者為限。</w:t>
      </w:r>
      <w:r w:rsidR="00B4695B">
        <w:rPr>
          <w:rFonts w:hint="eastAsia"/>
        </w:rPr>
        <w:t>」</w:t>
      </w:r>
      <w:r w:rsidR="003E188E">
        <w:rPr>
          <w:rFonts w:hint="eastAsia"/>
        </w:rPr>
        <w:t>另按</w:t>
      </w:r>
      <w:r w:rsidR="003E188E" w:rsidRPr="003E188E">
        <w:t>「地方制度法」第2條第3款規定：「委辦事項：指地方自治團體依法律、上級法規或規章規定，在上級政府指揮監督下，執行上級政府交付辦理之非屬該團體事務，而負其行政執行責任之事項。」</w:t>
      </w:r>
      <w:r w:rsidR="003E188E">
        <w:rPr>
          <w:rFonts w:hint="eastAsia"/>
        </w:rPr>
        <w:t>再按</w:t>
      </w:r>
      <w:r w:rsidR="003E188E" w:rsidRPr="003E188E">
        <w:rPr>
          <w:rFonts w:hint="eastAsia"/>
        </w:rPr>
        <w:t>設置管理辦法第2條規定：「本辦法所稱中央主管機關為經濟部。中央主管機關得視業務需要，將再生能源發電設備之同意備案、查驗、設備登記、撤銷、廢止及其他相關業務委任經濟部能源局或委辦直轄市、縣（市）政府辦理。」</w:t>
      </w:r>
      <w:r w:rsidR="003E188E">
        <w:rPr>
          <w:rFonts w:hint="eastAsia"/>
        </w:rPr>
        <w:t>同</w:t>
      </w:r>
      <w:r w:rsidRPr="00F33D47">
        <w:rPr>
          <w:rFonts w:hint="eastAsia"/>
        </w:rPr>
        <w:t>辦法第12條第2項規定：「再生能源發電設備有下列情形之一者，中央主管機關得廢止再生能源發電設備之同意備案或設備登記：一、再生能源發電設備設置情形與再生能源發電設備同意備案登記事項不符或違反其他法令規定。二、</w:t>
      </w:r>
      <w:r w:rsidR="00BD3659">
        <w:rPr>
          <w:rFonts w:hint="eastAsia"/>
        </w:rPr>
        <w:t>……</w:t>
      </w:r>
      <w:r w:rsidRPr="00F33D47">
        <w:rPr>
          <w:rFonts w:hint="eastAsia"/>
        </w:rPr>
        <w:t>。」同條第3項規定：「前項各款情形，按其情形得改善者，於廢止前得先通知限期改善。</w:t>
      </w:r>
      <w:r w:rsidRPr="003E188E">
        <w:rPr>
          <w:rFonts w:ascii="新細明體" w:eastAsia="新細明體" w:hAnsi="新細明體" w:hint="eastAsia"/>
        </w:rPr>
        <w:t>」</w:t>
      </w:r>
    </w:p>
    <w:p w:rsidR="00185FF8" w:rsidRPr="00F33D47" w:rsidRDefault="00185FF8" w:rsidP="00185FF8">
      <w:pPr>
        <w:pStyle w:val="3"/>
        <w:numPr>
          <w:ilvl w:val="2"/>
          <w:numId w:val="1"/>
        </w:numPr>
        <w:rPr>
          <w:color w:val="7030A0"/>
        </w:rPr>
      </w:pPr>
      <w:r w:rsidRPr="00F33D47">
        <w:t>經濟部自100年4月15</w:t>
      </w:r>
      <w:r>
        <w:t>日</w:t>
      </w:r>
      <w:r>
        <w:rPr>
          <w:rFonts w:hint="eastAsia"/>
        </w:rPr>
        <w:t>公告</w:t>
      </w:r>
      <w:r>
        <w:t>委任</w:t>
      </w:r>
      <w:r w:rsidRPr="00F33D47">
        <w:t>經濟部能源局</w:t>
      </w:r>
      <w:r>
        <w:rPr>
          <w:rFonts w:hint="eastAsia"/>
        </w:rPr>
        <w:t>(下稱能源局)</w:t>
      </w:r>
      <w:r>
        <w:t>辦理</w:t>
      </w:r>
      <w:r w:rsidRPr="00F33D47">
        <w:t>設置管理辦法有關再生能源發電設</w:t>
      </w:r>
      <w:r w:rsidRPr="00F33D47">
        <w:lastRenderedPageBreak/>
        <w:t>備之認定、查驗、完工證明、廢止及其他相關業務。</w:t>
      </w:r>
      <w:proofErr w:type="gramStart"/>
      <w:r w:rsidRPr="00F33D47">
        <w:t>嗣</w:t>
      </w:r>
      <w:r w:rsidRPr="00F33D47">
        <w:rPr>
          <w:rFonts w:hint="eastAsia"/>
        </w:rPr>
        <w:t>該部再就</w:t>
      </w:r>
      <w:proofErr w:type="gramEnd"/>
      <w:r w:rsidRPr="00F33D47">
        <w:t>設置管理辦法</w:t>
      </w:r>
      <w:r w:rsidRPr="00F33D47">
        <w:rPr>
          <w:rFonts w:hint="eastAsia"/>
        </w:rPr>
        <w:t>中有關</w:t>
      </w:r>
      <w:r w:rsidRPr="00F33D47">
        <w:t>裝置容量不及一定</w:t>
      </w:r>
      <w:proofErr w:type="gramStart"/>
      <w:r w:rsidRPr="00F33D47">
        <w:t>瓩數</w:t>
      </w:r>
      <w:r>
        <w:rPr>
          <w:rFonts w:hint="eastAsia"/>
        </w:rPr>
        <w:t>免</w:t>
      </w:r>
      <w:proofErr w:type="gramEnd"/>
      <w:r>
        <w:rPr>
          <w:rFonts w:hint="eastAsia"/>
        </w:rPr>
        <w:t>競標</w:t>
      </w:r>
      <w:r w:rsidRPr="00F33D47">
        <w:t>屋頂型太陽光電發電設備</w:t>
      </w:r>
      <w:r>
        <w:rPr>
          <w:rFonts w:hint="eastAsia"/>
        </w:rPr>
        <w:t>之</w:t>
      </w:r>
      <w:r w:rsidRPr="00F33D47">
        <w:t>同意備案、查驗、設備登記、撤銷、廢止、查核及其他相關業務</w:t>
      </w:r>
      <w:r w:rsidRPr="00F33D47">
        <w:rPr>
          <w:rFonts w:hint="eastAsia"/>
        </w:rPr>
        <w:t>，</w:t>
      </w:r>
      <w:r w:rsidRPr="00F33D47">
        <w:t>分別於103年6月27日、103年12月30日、105年1月8日、105年7月6日、106年1月17日陸續公告委辦新竹市、雲林縣、嘉義市、</w:t>
      </w:r>
      <w:proofErr w:type="gramStart"/>
      <w:r w:rsidRPr="00F33D47">
        <w:t>臺</w:t>
      </w:r>
      <w:proofErr w:type="gramEnd"/>
      <w:r w:rsidRPr="00F33D47">
        <w:t>南市、高雄市、屏東縣及澎湖縣</w:t>
      </w:r>
      <w:r w:rsidRPr="00F33D47">
        <w:rPr>
          <w:rFonts w:hint="eastAsia"/>
        </w:rPr>
        <w:t>等7個地方</w:t>
      </w:r>
      <w:r w:rsidRPr="00F33D47">
        <w:t>政府辦理</w:t>
      </w:r>
      <w:r>
        <w:rPr>
          <w:rFonts w:hint="eastAsia"/>
        </w:rPr>
        <w:t>，而</w:t>
      </w:r>
      <w:proofErr w:type="gramStart"/>
      <w:r>
        <w:rPr>
          <w:rFonts w:hint="eastAsia"/>
        </w:rPr>
        <w:t>非屬委辦</w:t>
      </w:r>
      <w:proofErr w:type="gramEnd"/>
      <w:r>
        <w:rPr>
          <w:rFonts w:hint="eastAsia"/>
        </w:rPr>
        <w:t>範圍者之</w:t>
      </w:r>
      <w:r w:rsidRPr="00F33D47">
        <w:t>同意備案、查驗、設備登記、撤銷、廢止、查核及其他相關業務</w:t>
      </w:r>
      <w:r>
        <w:rPr>
          <w:rFonts w:hint="eastAsia"/>
        </w:rPr>
        <w:t>，則委任能源局</w:t>
      </w:r>
      <w:r w:rsidRPr="00F33D47">
        <w:t>。</w:t>
      </w:r>
    </w:p>
    <w:p w:rsidR="00F33D47" w:rsidRPr="00F33D47" w:rsidRDefault="00D26132" w:rsidP="00F33D47">
      <w:pPr>
        <w:pStyle w:val="3"/>
        <w:numPr>
          <w:ilvl w:val="2"/>
          <w:numId w:val="1"/>
        </w:numPr>
      </w:pPr>
      <w:r>
        <w:rPr>
          <w:rFonts w:hint="eastAsia"/>
        </w:rPr>
        <w:t>經濟部</w:t>
      </w:r>
      <w:r w:rsidR="00F33D47" w:rsidRPr="00F33D47">
        <w:rPr>
          <w:rFonts w:hint="eastAsia"/>
        </w:rPr>
        <w:t>推動「陽光屋頂百萬座」政策，鼓勵合法建築物之屋頂得附屬設置太陽光電發電設備，於99年4月30日發布「再生能源發電設備認定辦法」，陸續依法</w:t>
      </w:r>
      <w:r w:rsidR="00F33D47" w:rsidRPr="00F33D47">
        <w:rPr>
          <w:rFonts w:ascii="Times New Roman" w:hint="eastAsia"/>
          <w:spacing w:val="-2"/>
        </w:rPr>
        <w:t>核准申設案件，農</w:t>
      </w:r>
      <w:r>
        <w:rPr>
          <w:rFonts w:ascii="Times New Roman" w:hint="eastAsia"/>
          <w:spacing w:val="-2"/>
        </w:rPr>
        <w:t>業</w:t>
      </w:r>
      <w:r w:rsidR="00BA2D33">
        <w:rPr>
          <w:rFonts w:ascii="Times New Roman" w:hint="eastAsia"/>
          <w:spacing w:val="-2"/>
        </w:rPr>
        <w:t>設施</w:t>
      </w:r>
      <w:proofErr w:type="gramStart"/>
      <w:r w:rsidR="00BA2D33">
        <w:rPr>
          <w:rFonts w:ascii="Times New Roman" w:hint="eastAsia"/>
          <w:spacing w:val="-2"/>
        </w:rPr>
        <w:t>附屬綠能設施</w:t>
      </w:r>
      <w:proofErr w:type="gramEnd"/>
      <w:r w:rsidR="00F33D47" w:rsidRPr="00F33D47">
        <w:rPr>
          <w:rFonts w:ascii="Times New Roman" w:hint="eastAsia"/>
          <w:spacing w:val="-2"/>
        </w:rPr>
        <w:t>案件亦自此開始</w:t>
      </w:r>
      <w:proofErr w:type="gramStart"/>
      <w:r w:rsidR="00F33D47" w:rsidRPr="00F33D47">
        <w:rPr>
          <w:rFonts w:ascii="Times New Roman" w:hint="eastAsia"/>
          <w:spacing w:val="-2"/>
        </w:rPr>
        <w:t>等情已如</w:t>
      </w:r>
      <w:proofErr w:type="gramEnd"/>
      <w:r w:rsidR="00F33D47" w:rsidRPr="00F33D47">
        <w:rPr>
          <w:rFonts w:ascii="Times New Roman" w:hint="eastAsia"/>
          <w:spacing w:val="-2"/>
        </w:rPr>
        <w:t>前述。因而，</w:t>
      </w:r>
      <w:r w:rsidR="00F33D47" w:rsidRPr="00F33D47">
        <w:t>農委會</w:t>
      </w:r>
      <w:proofErr w:type="gramStart"/>
      <w:r w:rsidR="00F33D47" w:rsidRPr="00F33D47">
        <w:rPr>
          <w:rFonts w:hint="eastAsia"/>
        </w:rPr>
        <w:t>嗣</w:t>
      </w:r>
      <w:proofErr w:type="gramEnd"/>
      <w:r w:rsidR="00F33D47" w:rsidRPr="00F33D47">
        <w:rPr>
          <w:rFonts w:hint="eastAsia"/>
        </w:rPr>
        <w:t>於</w:t>
      </w:r>
      <w:r w:rsidR="00F33D47" w:rsidRPr="00F33D47">
        <w:t>99年11月24日函</w:t>
      </w:r>
      <w:r w:rsidR="00F33D47" w:rsidRPr="00F33D47">
        <w:rPr>
          <w:vertAlign w:val="superscript"/>
        </w:rPr>
        <w:footnoteReference w:id="7"/>
      </w:r>
      <w:r w:rsidR="00F33D47" w:rsidRPr="00F33D47">
        <w:t>請</w:t>
      </w:r>
      <w:r w:rsidR="0075644D">
        <w:rPr>
          <w:rFonts w:hint="eastAsia"/>
        </w:rPr>
        <w:t>能源局</w:t>
      </w:r>
      <w:r w:rsidR="00F33D47" w:rsidRPr="00F33D47">
        <w:rPr>
          <w:rFonts w:hint="eastAsia"/>
        </w:rPr>
        <w:t>，</w:t>
      </w:r>
      <w:r w:rsidR="00F33D47" w:rsidRPr="00F33D47">
        <w:t>就</w:t>
      </w:r>
      <w:r w:rsidR="00F33D47" w:rsidRPr="00F33D47">
        <w:rPr>
          <w:rFonts w:ascii="新細明體" w:eastAsia="新細明體" w:hAnsi="新細明體" w:hint="eastAsia"/>
        </w:rPr>
        <w:t>「</w:t>
      </w:r>
      <w:r w:rsidR="00F33D47" w:rsidRPr="00F33D47">
        <w:t>地方農業主管機關廢止農業設施容許使用同意者，</w:t>
      </w:r>
      <w:r w:rsidR="00F33D47" w:rsidRPr="00F33D47">
        <w:rPr>
          <w:rFonts w:hint="eastAsia"/>
        </w:rPr>
        <w:t>該</w:t>
      </w:r>
      <w:r w:rsidR="00F33D47" w:rsidRPr="00F33D47">
        <w:t>農業設施上附屬設置之太陽光電設施</w:t>
      </w:r>
      <w:r w:rsidR="00F33D47" w:rsidRPr="00F33D47">
        <w:rPr>
          <w:rFonts w:hint="eastAsia"/>
        </w:rPr>
        <w:t>已</w:t>
      </w:r>
      <w:r w:rsidR="00F33D47" w:rsidRPr="00F33D47">
        <w:t>失所附麗，</w:t>
      </w:r>
      <w:r w:rsidR="00F33D47" w:rsidRPr="00F33D47">
        <w:rPr>
          <w:rFonts w:hint="eastAsia"/>
        </w:rPr>
        <w:t>其</w:t>
      </w:r>
      <w:r w:rsidR="00F33D47" w:rsidRPr="00F33D47">
        <w:t>涉及申請再生能源電能費用補貼之適法性及後續相關行政處理</w:t>
      </w:r>
      <w:r w:rsidR="00F33D47" w:rsidRPr="00F33D47">
        <w:rPr>
          <w:rFonts w:ascii="新細明體" w:eastAsia="新細明體" w:hAnsi="新細明體" w:hint="eastAsia"/>
        </w:rPr>
        <w:t>」</w:t>
      </w:r>
      <w:r w:rsidR="00F33D47" w:rsidRPr="00F33D47">
        <w:t>等事項</w:t>
      </w:r>
      <w:r w:rsidR="00F33D47" w:rsidRPr="00F33D47">
        <w:rPr>
          <w:rFonts w:hint="eastAsia"/>
        </w:rPr>
        <w:t>，</w:t>
      </w:r>
      <w:r w:rsidR="00F33D47" w:rsidRPr="00F33D47">
        <w:t>預為因應。能源局於100年3月11日函</w:t>
      </w:r>
      <w:r w:rsidR="00F33D47" w:rsidRPr="00F33D47">
        <w:rPr>
          <w:vertAlign w:val="superscript"/>
        </w:rPr>
        <w:footnoteReference w:id="8"/>
      </w:r>
      <w:r w:rsidR="00F33D47" w:rsidRPr="00F33D47">
        <w:t>復表示，太陽光電設施設置案之查核工作可與農業設施主管機關之抽查工作互相配合，如農業設施有未依農業使用計畫內容使用且經原核定機關廢止其農業設施容許使用同意者，</w:t>
      </w:r>
      <w:r w:rsidR="0075644D">
        <w:rPr>
          <w:rFonts w:hint="eastAsia"/>
        </w:rPr>
        <w:t>經濟</w:t>
      </w:r>
      <w:r w:rsidR="00F33D47" w:rsidRPr="00F33D47">
        <w:t>部可依據</w:t>
      </w:r>
      <w:r w:rsidR="00F33D47" w:rsidRPr="00F33D47">
        <w:rPr>
          <w:rFonts w:ascii="Times New Roman" w:hint="eastAsia"/>
          <w:spacing w:val="-2"/>
        </w:rPr>
        <w:t>設備設置管理辦法</w:t>
      </w:r>
      <w:r w:rsidR="00F33D47" w:rsidRPr="00F33D47">
        <w:t>第12條第2項規定，依法廢止其同意備案或設備登記，經營電力網之電業</w:t>
      </w:r>
      <w:r w:rsidR="005A588A">
        <w:t>（</w:t>
      </w:r>
      <w:r w:rsidR="002D7443">
        <w:rPr>
          <w:rFonts w:hint="eastAsia"/>
        </w:rPr>
        <w:t>台灣電力</w:t>
      </w:r>
      <w:r w:rsidR="00F33D47" w:rsidRPr="00F33D47">
        <w:t>股份有限公司</w:t>
      </w:r>
      <w:r w:rsidR="00F33D47" w:rsidRPr="00F33D47">
        <w:rPr>
          <w:rStyle w:val="afe"/>
        </w:rPr>
        <w:footnoteReference w:id="9"/>
      </w:r>
      <w:r w:rsidR="005A588A" w:rsidRPr="005A588A">
        <w:t>）</w:t>
      </w:r>
      <w:r w:rsidR="00F33D47" w:rsidRPr="00F33D47">
        <w:t>亦將進行解除</w:t>
      </w:r>
      <w:proofErr w:type="gramStart"/>
      <w:r w:rsidR="00F33D47" w:rsidRPr="00F33D47">
        <w:t>併</w:t>
      </w:r>
      <w:proofErr w:type="gramEnd"/>
      <w:r w:rsidR="00F33D47" w:rsidRPr="00F33D47">
        <w:t>聯及</w:t>
      </w:r>
      <w:proofErr w:type="gramStart"/>
      <w:r w:rsidR="00F33D47" w:rsidRPr="00F33D47">
        <w:t>停止躉購其</w:t>
      </w:r>
      <w:proofErr w:type="gramEnd"/>
      <w:r w:rsidR="00F33D47" w:rsidRPr="00F33D47">
        <w:t>電能</w:t>
      </w:r>
      <w:r w:rsidR="00F33D47" w:rsidRPr="00F33D47">
        <w:rPr>
          <w:rFonts w:hint="eastAsia"/>
        </w:rPr>
        <w:t>等語</w:t>
      </w:r>
      <w:r w:rsidR="00F33D47" w:rsidRPr="00F33D47">
        <w:t>。</w:t>
      </w:r>
    </w:p>
    <w:p w:rsidR="00F33D47" w:rsidRPr="00F33D47" w:rsidRDefault="00F33D47" w:rsidP="00F33D47">
      <w:pPr>
        <w:pStyle w:val="3"/>
        <w:numPr>
          <w:ilvl w:val="2"/>
          <w:numId w:val="1"/>
        </w:numPr>
      </w:pPr>
      <w:proofErr w:type="gramStart"/>
      <w:r w:rsidRPr="00F33D47">
        <w:lastRenderedPageBreak/>
        <w:t>惟查</w:t>
      </w:r>
      <w:proofErr w:type="gramEnd"/>
      <w:r w:rsidRPr="00F33D47">
        <w:t>：</w:t>
      </w:r>
    </w:p>
    <w:p w:rsidR="00F33D47" w:rsidRPr="00F33D47" w:rsidRDefault="00F33D47" w:rsidP="00F33D47">
      <w:pPr>
        <w:pStyle w:val="4"/>
        <w:numPr>
          <w:ilvl w:val="3"/>
          <w:numId w:val="1"/>
        </w:numPr>
      </w:pPr>
      <w:r w:rsidRPr="00F33D47">
        <w:rPr>
          <w:rFonts w:hint="eastAsia"/>
        </w:rPr>
        <w:t>依據</w:t>
      </w:r>
      <w:r w:rsidRPr="00F33D47">
        <w:t>農委會提供之「農業設施</w:t>
      </w:r>
      <w:proofErr w:type="gramStart"/>
      <w:r w:rsidRPr="00F33D47">
        <w:t>附屬綠能設施</w:t>
      </w:r>
      <w:proofErr w:type="gramEnd"/>
      <w:r w:rsidRPr="00F33D47">
        <w:t>廢止案件之列冊資料」</w:t>
      </w:r>
      <w:r w:rsidR="005A588A">
        <w:t>（</w:t>
      </w:r>
      <w:r w:rsidRPr="00F33D47">
        <w:t>統計至106年8月2日</w:t>
      </w:r>
      <w:r w:rsidR="005A588A" w:rsidRPr="005A588A">
        <w:t>）</w:t>
      </w:r>
      <w:r w:rsidRPr="00F33D47">
        <w:t>顯示，自104年4月1日開始</w:t>
      </w:r>
      <w:r w:rsidR="001726E3">
        <w:t>，已陸續有地方農業主管機關作成廢止容許使用同意之處分，同時副知</w:t>
      </w:r>
      <w:r w:rsidRPr="00F33D47">
        <w:t>能源局針對廢止設備登記之案件為適法處置，然</w:t>
      </w:r>
      <w:r w:rsidRPr="00F33D47">
        <w:rPr>
          <w:rFonts w:hint="eastAsia"/>
        </w:rPr>
        <w:t>108案中</w:t>
      </w:r>
      <w:r w:rsidRPr="00F33D47">
        <w:t>有1</w:t>
      </w:r>
      <w:r w:rsidR="00185FF8">
        <w:rPr>
          <w:rFonts w:hint="eastAsia"/>
        </w:rPr>
        <w:t>2</w:t>
      </w:r>
      <w:r w:rsidR="001726E3">
        <w:t>案由</w:t>
      </w:r>
      <w:r w:rsidRPr="00F33D47">
        <w:t>能源局函請申請人陳訴意見之處理時間逾6個月，甚者有1案處理時間為14個月</w:t>
      </w:r>
      <w:r w:rsidRPr="00F33D47">
        <w:rPr>
          <w:rFonts w:hint="eastAsia"/>
        </w:rPr>
        <w:t>，此有農委會提供統計清冊及相關</w:t>
      </w:r>
      <w:r w:rsidR="008F28DC">
        <w:rPr>
          <w:rFonts w:hint="eastAsia"/>
        </w:rPr>
        <w:t>容許使用同意</w:t>
      </w:r>
      <w:r w:rsidRPr="00F33D47">
        <w:rPr>
          <w:rFonts w:hint="eastAsia"/>
        </w:rPr>
        <w:t>廢止處分函文在卷可</w:t>
      </w:r>
      <w:proofErr w:type="gramStart"/>
      <w:r w:rsidRPr="00F33D47">
        <w:rPr>
          <w:rFonts w:hint="eastAsia"/>
        </w:rPr>
        <w:t>稽</w:t>
      </w:r>
      <w:proofErr w:type="gramEnd"/>
      <w:r w:rsidRPr="00F33D47">
        <w:rPr>
          <w:rFonts w:hint="eastAsia"/>
        </w:rPr>
        <w:t>。</w:t>
      </w:r>
    </w:p>
    <w:p w:rsidR="00F33D47" w:rsidRPr="00F33D47" w:rsidRDefault="00F33D47" w:rsidP="00F33D47">
      <w:pPr>
        <w:pStyle w:val="4"/>
        <w:numPr>
          <w:ilvl w:val="3"/>
          <w:numId w:val="1"/>
        </w:numPr>
      </w:pPr>
      <w:r w:rsidRPr="00F33D47">
        <w:rPr>
          <w:rFonts w:hint="eastAsia"/>
        </w:rPr>
        <w:t>再</w:t>
      </w:r>
      <w:r w:rsidRPr="00F33D47">
        <w:t>以臺南市政府</w:t>
      </w:r>
      <w:r w:rsidRPr="00F33D47">
        <w:rPr>
          <w:rFonts w:hAnsi="標楷體" w:hint="eastAsia"/>
        </w:rPr>
        <w:t>（</w:t>
      </w:r>
      <w:r w:rsidRPr="00F33D47">
        <w:t>經濟發展局</w:t>
      </w:r>
      <w:r w:rsidRPr="00F33D47">
        <w:rPr>
          <w:rFonts w:hAnsi="標楷體" w:hint="eastAsia"/>
        </w:rPr>
        <w:t>）</w:t>
      </w:r>
      <w:r w:rsidRPr="00F33D47">
        <w:rPr>
          <w:rFonts w:hint="eastAsia"/>
        </w:rPr>
        <w:t>針對</w:t>
      </w:r>
      <w:r w:rsidRPr="00F33D47">
        <w:t>六甲區</w:t>
      </w:r>
      <w:r w:rsidRPr="00F33D47">
        <w:tab/>
        <w:t>岩埤段35案及新營區後鎮段23案</w:t>
      </w:r>
      <w:r w:rsidRPr="00F33D47">
        <w:rPr>
          <w:rFonts w:hint="eastAsia"/>
        </w:rPr>
        <w:t>經</w:t>
      </w:r>
      <w:r w:rsidRPr="00F33D47">
        <w:t>廢止容許使用同意</w:t>
      </w:r>
      <w:r w:rsidRPr="00F33D47">
        <w:rPr>
          <w:vertAlign w:val="superscript"/>
        </w:rPr>
        <w:footnoteReference w:id="10"/>
      </w:r>
      <w:r w:rsidRPr="00F33D47">
        <w:t>後，廢止設備登記之辦理情形</w:t>
      </w:r>
      <w:r w:rsidRPr="00F33D47">
        <w:rPr>
          <w:vertAlign w:val="superscript"/>
        </w:rPr>
        <w:footnoteReference w:id="11"/>
      </w:r>
      <w:r w:rsidRPr="00F33D47">
        <w:t>為例：</w:t>
      </w:r>
    </w:p>
    <w:p w:rsidR="00F33D47" w:rsidRPr="00F33D47" w:rsidRDefault="00F33D47" w:rsidP="00F33D47">
      <w:pPr>
        <w:pStyle w:val="5"/>
        <w:numPr>
          <w:ilvl w:val="4"/>
          <w:numId w:val="1"/>
        </w:numPr>
      </w:pPr>
      <w:r w:rsidRPr="00F33D47">
        <w:t>臺南市政府</w:t>
      </w:r>
      <w:r w:rsidR="005A588A">
        <w:t>（</w:t>
      </w:r>
      <w:r w:rsidRPr="00F33D47">
        <w:t>經濟發展局</w:t>
      </w:r>
      <w:r w:rsidR="005A588A" w:rsidRPr="005A588A">
        <w:t>）</w:t>
      </w:r>
      <w:r w:rsidR="00BE2029">
        <w:rPr>
          <w:rFonts w:hint="eastAsia"/>
        </w:rPr>
        <w:t>因</w:t>
      </w:r>
      <w:r w:rsidRPr="00F33D47">
        <w:t>申請人已針對容許使用同意廢止之處分提起訴願，考量若隨即廢止其設備登記，將</w:t>
      </w:r>
      <w:r w:rsidR="00BE2029">
        <w:rPr>
          <w:rFonts w:hint="eastAsia"/>
        </w:rPr>
        <w:t>造成</w:t>
      </w:r>
      <w:r w:rsidR="00BE2029">
        <w:t>太陽光電發電設備之財產損失，爰比照</w:t>
      </w:r>
      <w:r w:rsidRPr="00F33D47">
        <w:t>能源局處理學甲區某案場於105年5月6日</w:t>
      </w:r>
      <w:r w:rsidRPr="00F33D47">
        <w:rPr>
          <w:vertAlign w:val="superscript"/>
        </w:rPr>
        <w:footnoteReference w:id="12"/>
      </w:r>
      <w:r w:rsidRPr="00F33D47">
        <w:t>函復申請人「將待容許使用同意廢止案訴願決定後再議」之方式，臺南市政府</w:t>
      </w:r>
      <w:r w:rsidR="005A588A">
        <w:t>（</w:t>
      </w:r>
      <w:r w:rsidRPr="00F33D47">
        <w:t>經濟發展局</w:t>
      </w:r>
      <w:r w:rsidR="005A588A" w:rsidRPr="005A588A">
        <w:t>）</w:t>
      </w:r>
      <w:r w:rsidRPr="00F33D47">
        <w:t>遂函復六甲區及新營區案場之申請人「</w:t>
      </w:r>
      <w:r w:rsidR="00BE2029">
        <w:rPr>
          <w:rFonts w:hint="eastAsia"/>
        </w:rPr>
        <w:t>……</w:t>
      </w:r>
      <w:r w:rsidRPr="00F33D47">
        <w:t>待訴願決定後賡續辦理廢止事宜。」</w:t>
      </w:r>
    </w:p>
    <w:p w:rsidR="00F33D47" w:rsidRPr="00F33D47" w:rsidRDefault="00F33D47" w:rsidP="00F33D47">
      <w:pPr>
        <w:pStyle w:val="5"/>
        <w:numPr>
          <w:ilvl w:val="4"/>
          <w:numId w:val="1"/>
        </w:numPr>
      </w:pPr>
      <w:r w:rsidRPr="00F33D47">
        <w:lastRenderedPageBreak/>
        <w:t>嗣申請人</w:t>
      </w:r>
      <w:r w:rsidR="002C4CAC">
        <w:rPr>
          <w:rFonts w:hint="eastAsia"/>
        </w:rPr>
        <w:t>對於</w:t>
      </w:r>
      <w:r w:rsidR="002C4CAC" w:rsidRPr="00F33D47">
        <w:t>臺南市政府</w:t>
      </w:r>
      <w:r w:rsidR="002C4CAC">
        <w:rPr>
          <w:rFonts w:hint="eastAsia"/>
        </w:rPr>
        <w:t>之</w:t>
      </w:r>
      <w:r w:rsidR="002C4CAC" w:rsidRPr="00F33D47">
        <w:t>訴願決定駁回</w:t>
      </w:r>
      <w:r w:rsidR="002C4CAC">
        <w:rPr>
          <w:rFonts w:hint="eastAsia"/>
        </w:rPr>
        <w:t xml:space="preserve">  </w:t>
      </w:r>
      <w:r w:rsidRPr="00F33D47">
        <w:t>不服</w:t>
      </w:r>
      <w:r w:rsidR="002C4CAC">
        <w:rPr>
          <w:rFonts w:hint="eastAsia"/>
        </w:rPr>
        <w:t>，</w:t>
      </w:r>
      <w:r w:rsidRPr="00F33D47">
        <w:t>臺南市政府</w:t>
      </w:r>
      <w:r w:rsidR="005A588A">
        <w:t>（</w:t>
      </w:r>
      <w:r w:rsidRPr="00F33D47">
        <w:t>經濟發展局</w:t>
      </w:r>
      <w:r w:rsidR="005A588A" w:rsidRPr="005A588A">
        <w:t>）</w:t>
      </w:r>
      <w:r w:rsidRPr="00F33D47">
        <w:t>為求謹慎及與其他縣市達成一致性之處理方式，於106年1月9日再次函</w:t>
      </w:r>
      <w:r w:rsidRPr="00F33D47">
        <w:rPr>
          <w:vertAlign w:val="superscript"/>
        </w:rPr>
        <w:footnoteReference w:id="13"/>
      </w:r>
      <w:r w:rsidR="001726E3">
        <w:t>請能源局提供後續相關廢止設備登記之作法。</w:t>
      </w:r>
      <w:r w:rsidRPr="00F33D47">
        <w:t>能源局遲至於106年4月24日始函</w:t>
      </w:r>
      <w:r w:rsidRPr="00F33D47">
        <w:rPr>
          <w:vertAlign w:val="superscript"/>
        </w:rPr>
        <w:footnoteReference w:id="14"/>
      </w:r>
      <w:r w:rsidRPr="00F33D47">
        <w:t>復臺南市政府</w:t>
      </w:r>
      <w:r w:rsidR="005A588A">
        <w:t>（</w:t>
      </w:r>
      <w:r w:rsidRPr="00F33D47">
        <w:t>經濟發展局</w:t>
      </w:r>
      <w:r w:rsidR="005A588A" w:rsidRPr="005A588A">
        <w:t>）</w:t>
      </w:r>
      <w:r w:rsidRPr="00F33D47">
        <w:t>，說明略以：「三、</w:t>
      </w:r>
      <w:r w:rsidR="00021F7E">
        <w:rPr>
          <w:rFonts w:hint="eastAsia"/>
        </w:rPr>
        <w:t>……</w:t>
      </w:r>
      <w:r w:rsidRPr="00F33D47">
        <w:t>（一）、</w:t>
      </w:r>
      <w:r w:rsidR="00021F7E">
        <w:rPr>
          <w:rFonts w:hint="eastAsia"/>
        </w:rPr>
        <w:t>……</w:t>
      </w:r>
      <w:r w:rsidRPr="00F33D47">
        <w:t>附屬設置於農業設施上之綠能設施，經農業主管機關廢止農業設施容許使用同意書者，本局依法通知再生能源發電設備認定申請人於期限內陳述意見。（二）、倘申請人屆期未陳述或陳述非屬本辦法可改善之情形者，本局即依法廢止該案再生能源發電設備認定文件。（三）、如申請人陳述提供相關改善措施，其措施尚屬可行者，本局將給予4個月改善期限，若屆期4個月申請人未能如期完成，本局視改善情形得展延2個月。（四）、如申請人未依上開期限完成改善者，本局即依法廢止該案再生能源發電設備認定文件。（五）、</w:t>
      </w:r>
      <w:r w:rsidRPr="00F33D47">
        <w:t>……</w:t>
      </w:r>
      <w:r w:rsidRPr="00F33D47">
        <w:t>本局現行作法供貴府卓參，惟不及100瓩屋頂太陽光電發電設備認定業務已委由貴府辦理，爰請貴府本於權責衡酌個案情形辦理。」據此，臺南市政府</w:t>
      </w:r>
      <w:r w:rsidR="005A588A">
        <w:t>（</w:t>
      </w:r>
      <w:r w:rsidRPr="00F33D47">
        <w:t>經濟發展局</w:t>
      </w:r>
      <w:r w:rsidR="005A588A" w:rsidRPr="005A588A">
        <w:t>）</w:t>
      </w:r>
      <w:r w:rsidRPr="00F33D47">
        <w:t>再於106年5月5日函</w:t>
      </w:r>
      <w:r w:rsidRPr="00F33D47">
        <w:rPr>
          <w:vertAlign w:val="superscript"/>
        </w:rPr>
        <w:footnoteReference w:id="15"/>
      </w:r>
      <w:r w:rsidRPr="00F33D47">
        <w:t>請申請人陳述意見，並獲申請人於106年5月16日函復表示該案已進入行政訴訟程序。</w:t>
      </w:r>
    </w:p>
    <w:p w:rsidR="00F33D47" w:rsidRPr="00F33D47" w:rsidRDefault="00F33D47" w:rsidP="00F33D47">
      <w:pPr>
        <w:pStyle w:val="5"/>
        <w:numPr>
          <w:ilvl w:val="4"/>
          <w:numId w:val="1"/>
        </w:numPr>
      </w:pPr>
      <w:r w:rsidRPr="00F33D47">
        <w:t>臺南市政府</w:t>
      </w:r>
      <w:r w:rsidR="005A588A">
        <w:t>（</w:t>
      </w:r>
      <w:r w:rsidRPr="00F33D47">
        <w:t>經濟發展局</w:t>
      </w:r>
      <w:r w:rsidR="005A588A" w:rsidRPr="005A588A">
        <w:t>）</w:t>
      </w:r>
      <w:r w:rsidRPr="00F33D47">
        <w:rPr>
          <w:rFonts w:hint="eastAsia"/>
        </w:rPr>
        <w:t>為求</w:t>
      </w:r>
      <w:r w:rsidRPr="00F33D47">
        <w:t>中央及地方行政作為之一致性，於106年6月13日再函</w:t>
      </w:r>
      <w:r w:rsidRPr="00F33D47">
        <w:rPr>
          <w:vertAlign w:val="superscript"/>
        </w:rPr>
        <w:footnoteReference w:id="16"/>
      </w:r>
      <w:r w:rsidRPr="00F33D47">
        <w:t>請能</w:t>
      </w:r>
      <w:r w:rsidRPr="00F33D47">
        <w:lastRenderedPageBreak/>
        <w:t>源局</w:t>
      </w:r>
      <w:r w:rsidRPr="00F33D47">
        <w:rPr>
          <w:rFonts w:hint="eastAsia"/>
        </w:rPr>
        <w:t>就有關</w:t>
      </w:r>
      <w:r w:rsidRPr="00F33D47">
        <w:t>申請人所稱「本案已進入行政訴訟，爭訟確定前勿廢止『同意備案』」</w:t>
      </w:r>
      <w:r w:rsidRPr="00F33D47">
        <w:rPr>
          <w:rFonts w:hint="eastAsia"/>
        </w:rPr>
        <w:t>，</w:t>
      </w:r>
      <w:r w:rsidRPr="00F33D47">
        <w:t>協助解釋是否符合該局前函之「改善措施」，俾利憑辦後續廢止事宜。</w:t>
      </w:r>
    </w:p>
    <w:p w:rsidR="00F33D47" w:rsidRPr="00F33D47" w:rsidRDefault="00F33D47" w:rsidP="00F33D47">
      <w:pPr>
        <w:pStyle w:val="5"/>
        <w:numPr>
          <w:ilvl w:val="4"/>
          <w:numId w:val="1"/>
        </w:numPr>
      </w:pPr>
      <w:r w:rsidRPr="00F33D47">
        <w:t>能源局於106年8月3日函</w:t>
      </w:r>
      <w:r w:rsidRPr="00F33D47">
        <w:rPr>
          <w:vertAlign w:val="superscript"/>
        </w:rPr>
        <w:footnoteReference w:id="17"/>
      </w:r>
      <w:r w:rsidRPr="00F33D47">
        <w:t>復臺南市政府</w:t>
      </w:r>
      <w:r w:rsidR="005A588A">
        <w:t>（</w:t>
      </w:r>
      <w:r w:rsidRPr="00F33D47">
        <w:t>經濟發展局</w:t>
      </w:r>
      <w:r w:rsidR="005A588A" w:rsidRPr="005A588A">
        <w:t>）</w:t>
      </w:r>
      <w:r w:rsidRPr="00F33D47">
        <w:t>略以：「四、</w:t>
      </w:r>
      <w:r w:rsidRPr="00F33D47">
        <w:t>……</w:t>
      </w:r>
      <w:r w:rsidRPr="00F33D47">
        <w:t>（一）有關本局所謂之『是否有改善可能』，應視是否載明『改善計畫』，包含原設置場址改善、遷移設置場址或其他改善規劃等。（二）依『訴願法』第93條及『行政訴訟法』第116條規定，行政處分之效力不因提起訴願或行政訴訟而停止執行，故農業容許使用同意書經農業主管機關廢止後，若未經撤銷者，其行政處分效力不因爭訟而停止。（三）</w:t>
      </w:r>
      <w:r w:rsidR="00C57BB7">
        <w:rPr>
          <w:rFonts w:hint="eastAsia"/>
        </w:rPr>
        <w:t>……</w:t>
      </w:r>
      <w:r w:rsidRPr="00F33D47">
        <w:t>本局106年4月24日</w:t>
      </w:r>
      <w:r w:rsidR="00C57BB7">
        <w:rPr>
          <w:rFonts w:hint="eastAsia"/>
        </w:rPr>
        <w:t>…</w:t>
      </w:r>
      <w:r w:rsidRPr="00F33D47">
        <w:t>函僅供卓參，而貴府來函所詢，經濟部業已將該業務委辦貴府，貴府得依實際情形及行政慣例，自行斟酌辦理。」</w:t>
      </w:r>
    </w:p>
    <w:p w:rsidR="00F33D47" w:rsidRPr="00F33D47" w:rsidRDefault="00F33D47" w:rsidP="00F33D47">
      <w:pPr>
        <w:pStyle w:val="5"/>
        <w:numPr>
          <w:ilvl w:val="4"/>
          <w:numId w:val="1"/>
        </w:numPr>
      </w:pPr>
      <w:r w:rsidRPr="00F33D47">
        <w:t>臺南市政府</w:t>
      </w:r>
      <w:r w:rsidR="005A588A">
        <w:t>（</w:t>
      </w:r>
      <w:r w:rsidRPr="00F33D47">
        <w:t>經濟發展局</w:t>
      </w:r>
      <w:r w:rsidR="005A588A" w:rsidRPr="005A588A">
        <w:t>）</w:t>
      </w:r>
      <w:r w:rsidR="001726E3">
        <w:t>遂依據</w:t>
      </w:r>
      <w:r w:rsidRPr="00F33D47">
        <w:t>能源局</w:t>
      </w:r>
      <w:r w:rsidRPr="00F33D47">
        <w:rPr>
          <w:rFonts w:hint="eastAsia"/>
        </w:rPr>
        <w:t>前述</w:t>
      </w:r>
      <w:r w:rsidRPr="00F33D47">
        <w:t>函復內容，於106年8月10日函請申請人陳述意見，並表示「設置場址改善、遷移設置場址或其他改善規劃等，訴願或行政訴訟不得作為陳述意見」，將俟申請人回復後續辦。</w:t>
      </w:r>
    </w:p>
    <w:p w:rsidR="00C838A5" w:rsidRPr="00C838A5" w:rsidRDefault="00F33D47" w:rsidP="00F33D47">
      <w:pPr>
        <w:pStyle w:val="4"/>
        <w:numPr>
          <w:ilvl w:val="3"/>
          <w:numId w:val="1"/>
        </w:numPr>
      </w:pPr>
      <w:r w:rsidRPr="00F33D47">
        <w:t>另</w:t>
      </w:r>
      <w:r w:rsidR="001726E3">
        <w:t>有關容許使用同意遭廢止後，其太陽光電發電設備處理方式，依據</w:t>
      </w:r>
      <w:r w:rsidRPr="00F33D47">
        <w:t>能源局106年3月15日簽辦公文，</w:t>
      </w:r>
      <w:r w:rsidRPr="00F33D47">
        <w:rPr>
          <w:rFonts w:hint="eastAsia"/>
        </w:rPr>
        <w:t>其</w:t>
      </w:r>
      <w:r w:rsidR="001726E3">
        <w:t>說明略以：</w:t>
      </w:r>
      <w:r w:rsidRPr="00F33D47">
        <w:t>能源局已接獲28件農業設施容許使用同意書經原處分機關廢止，涉及是否配合廢止其再生能源發電設備認定，因考量其廢止影響其權益甚鉅，擬依相關規定給予陳述意見或限</w:t>
      </w:r>
      <w:r w:rsidRPr="00F33D47">
        <w:lastRenderedPageBreak/>
        <w:t>期改善。並就不同樣態之違規事實，研擬相應處理程序及流程圖，於流程圖所示依法給予申請人陳述意見，倘陳述意見，視情況給予4個月改善期間，屆期未能完成改善，若申請人敘明理由者，則視情況給予2個月展延時間，屆期未能改善者，則逕為廢止其設備登記等語。該簽呈</w:t>
      </w:r>
      <w:r w:rsidRPr="00F33D47">
        <w:rPr>
          <w:rFonts w:hint="eastAsia"/>
        </w:rPr>
        <w:t>並</w:t>
      </w:r>
      <w:r w:rsidRPr="00F33D47">
        <w:t>於106年3月27日</w:t>
      </w:r>
      <w:r w:rsidR="001726E3">
        <w:rPr>
          <w:rFonts w:hint="eastAsia"/>
        </w:rPr>
        <w:t>經能源</w:t>
      </w:r>
      <w:r w:rsidRPr="00F33D47">
        <w:rPr>
          <w:rFonts w:hint="eastAsia"/>
        </w:rPr>
        <w:t>局</w:t>
      </w:r>
      <w:r w:rsidRPr="00F33D47">
        <w:t>局長核定</w:t>
      </w:r>
      <w:r w:rsidRPr="00F33D47">
        <w:rPr>
          <w:rFonts w:hint="eastAsia"/>
        </w:rPr>
        <w:t>在案</w:t>
      </w:r>
      <w:r w:rsidRPr="00F33D47">
        <w:t>。</w:t>
      </w:r>
      <w:proofErr w:type="gramStart"/>
      <w:r w:rsidRPr="00C838A5">
        <w:rPr>
          <w:rFonts w:hAnsi="標楷體" w:hint="eastAsia"/>
        </w:rPr>
        <w:t>惟查</w:t>
      </w:r>
      <w:proofErr w:type="gramEnd"/>
      <w:r w:rsidRPr="00C838A5">
        <w:rPr>
          <w:rFonts w:hAnsi="標楷體" w:hint="eastAsia"/>
        </w:rPr>
        <w:t>，該處理程序及流程圖，自106年3月15日簽辦，並未於同年月27</w:t>
      </w:r>
      <w:r w:rsidR="00924FCD">
        <w:rPr>
          <w:rFonts w:hAnsi="標楷體" w:hint="eastAsia"/>
        </w:rPr>
        <w:t>日</w:t>
      </w:r>
      <w:proofErr w:type="gramStart"/>
      <w:r w:rsidR="00924FCD">
        <w:rPr>
          <w:rFonts w:hAnsi="標楷體" w:hint="eastAsia"/>
        </w:rPr>
        <w:t>核定後通函</w:t>
      </w:r>
      <w:proofErr w:type="gramEnd"/>
      <w:r w:rsidR="00924FCD">
        <w:rPr>
          <w:rFonts w:hAnsi="標楷體" w:hint="eastAsia"/>
        </w:rPr>
        <w:t>下達</w:t>
      </w:r>
      <w:proofErr w:type="gramStart"/>
      <w:r w:rsidRPr="00C838A5">
        <w:rPr>
          <w:rFonts w:hAnsi="標楷體" w:hint="eastAsia"/>
        </w:rPr>
        <w:t>於各委辦</w:t>
      </w:r>
      <w:proofErr w:type="gramEnd"/>
      <w:r w:rsidR="00890770" w:rsidRPr="00C838A5">
        <w:rPr>
          <w:rFonts w:hAnsi="標楷體" w:hint="eastAsia"/>
        </w:rPr>
        <w:t>地方政府</w:t>
      </w:r>
      <w:r w:rsidRPr="00C838A5">
        <w:rPr>
          <w:rFonts w:hAnsi="標楷體" w:hint="eastAsia"/>
        </w:rPr>
        <w:t>，而係因</w:t>
      </w:r>
      <w:proofErr w:type="gramStart"/>
      <w:r w:rsidRPr="00C838A5">
        <w:rPr>
          <w:rFonts w:hAnsi="標楷體" w:hint="eastAsia"/>
        </w:rPr>
        <w:t>臺</w:t>
      </w:r>
      <w:proofErr w:type="gramEnd"/>
      <w:r w:rsidRPr="00C838A5">
        <w:rPr>
          <w:rFonts w:hAnsi="標楷體" w:hint="eastAsia"/>
        </w:rPr>
        <w:t>南市政府辦理所轄個案，三度請示</w:t>
      </w:r>
      <w:r w:rsidR="001726E3" w:rsidRPr="00C838A5">
        <w:rPr>
          <w:rFonts w:hAnsi="標楷體" w:hint="eastAsia"/>
        </w:rPr>
        <w:t>是否有一致性處理方式，</w:t>
      </w:r>
      <w:r w:rsidRPr="00C838A5">
        <w:rPr>
          <w:rFonts w:hAnsi="標楷體" w:hint="eastAsia"/>
        </w:rPr>
        <w:t>能源局始於106年4月24日查復</w:t>
      </w:r>
      <w:proofErr w:type="gramStart"/>
      <w:r w:rsidRPr="00C838A5">
        <w:rPr>
          <w:rFonts w:hAnsi="標楷體" w:hint="eastAsia"/>
        </w:rPr>
        <w:t>臺</w:t>
      </w:r>
      <w:proofErr w:type="gramEnd"/>
      <w:r w:rsidRPr="00C838A5">
        <w:rPr>
          <w:rFonts w:hAnsi="標楷體" w:hint="eastAsia"/>
        </w:rPr>
        <w:t>南市政府處理原則，再以副本方式函知其他委辦</w:t>
      </w:r>
      <w:r w:rsidR="00890770" w:rsidRPr="00C838A5">
        <w:rPr>
          <w:rFonts w:hAnsi="標楷體" w:hint="eastAsia"/>
        </w:rPr>
        <w:t>地方政府</w:t>
      </w:r>
      <w:r w:rsidRPr="00C838A5">
        <w:rPr>
          <w:rFonts w:hAnsi="標楷體" w:hint="eastAsia"/>
        </w:rPr>
        <w:t>。</w:t>
      </w:r>
    </w:p>
    <w:p w:rsidR="00F33D47" w:rsidRPr="004A1CDC" w:rsidRDefault="00F33D47" w:rsidP="00F33D47">
      <w:pPr>
        <w:pStyle w:val="4"/>
        <w:numPr>
          <w:ilvl w:val="3"/>
          <w:numId w:val="1"/>
        </w:numPr>
      </w:pPr>
      <w:r w:rsidRPr="00F33D47">
        <w:rPr>
          <w:rFonts w:hint="eastAsia"/>
        </w:rPr>
        <w:t>能源局106年3月27日</w:t>
      </w:r>
      <w:r w:rsidRPr="00716460">
        <w:rPr>
          <w:rFonts w:hint="eastAsia"/>
        </w:rPr>
        <w:t>核定簽呈所</w:t>
      </w:r>
      <w:r>
        <w:rPr>
          <w:rFonts w:hint="eastAsia"/>
        </w:rPr>
        <w:t>研擬</w:t>
      </w:r>
      <w:r w:rsidRPr="00716460">
        <w:rPr>
          <w:rFonts w:hint="eastAsia"/>
        </w:rPr>
        <w:t>「</w:t>
      </w:r>
      <w:r>
        <w:rPr>
          <w:rFonts w:hint="eastAsia"/>
        </w:rPr>
        <w:t>未陳述意見者逕為廢止，陳述意見者視情況給予</w:t>
      </w:r>
      <w:r w:rsidRPr="00716460">
        <w:rPr>
          <w:rFonts w:hint="eastAsia"/>
        </w:rPr>
        <w:t>4個月改善期間與得延長2個月」</w:t>
      </w:r>
      <w:r>
        <w:rPr>
          <w:rFonts w:hint="eastAsia"/>
        </w:rPr>
        <w:t>等</w:t>
      </w:r>
      <w:r w:rsidRPr="00716460">
        <w:rPr>
          <w:rFonts w:hint="eastAsia"/>
        </w:rPr>
        <w:t>處理方式</w:t>
      </w:r>
      <w:r>
        <w:rPr>
          <w:rFonts w:hint="eastAsia"/>
        </w:rPr>
        <w:t>，倘涉及</w:t>
      </w:r>
      <w:r w:rsidRPr="00B15351">
        <w:rPr>
          <w:rFonts w:hint="eastAsia"/>
        </w:rPr>
        <w:t>「</w:t>
      </w:r>
      <w:r>
        <w:rPr>
          <w:rFonts w:hint="eastAsia"/>
        </w:rPr>
        <w:t>判斷申請人提出之改善方案是否合理可行、訴願或訴訟得否視為改善說明、是否給予改善期間</w:t>
      </w:r>
      <w:r w:rsidRPr="00B15351">
        <w:rPr>
          <w:rFonts w:hint="eastAsia"/>
        </w:rPr>
        <w:t>」</w:t>
      </w:r>
      <w:r>
        <w:rPr>
          <w:rFonts w:hint="eastAsia"/>
        </w:rPr>
        <w:t>等事實認定及行使裁量權，皆涉及申請人設備登記廢止與否之權利</w:t>
      </w:r>
      <w:r w:rsidR="009941F4">
        <w:rPr>
          <w:rFonts w:hint="eastAsia"/>
        </w:rPr>
        <w:t>事項。是</w:t>
      </w:r>
      <w:proofErr w:type="gramStart"/>
      <w:r w:rsidR="009941F4">
        <w:rPr>
          <w:rFonts w:hint="eastAsia"/>
        </w:rPr>
        <w:t>以</w:t>
      </w:r>
      <w:proofErr w:type="gramEnd"/>
      <w:r w:rsidR="009941F4">
        <w:rPr>
          <w:rFonts w:hint="eastAsia"/>
        </w:rPr>
        <w:t>，</w:t>
      </w:r>
      <w:r>
        <w:rPr>
          <w:rFonts w:hint="eastAsia"/>
        </w:rPr>
        <w:t>能源局就</w:t>
      </w:r>
      <w:r w:rsidRPr="00716460">
        <w:rPr>
          <w:rFonts w:hint="eastAsia"/>
        </w:rPr>
        <w:t>106年3月27日核定簽呈所</w:t>
      </w:r>
      <w:proofErr w:type="gramStart"/>
      <w:r>
        <w:rPr>
          <w:rFonts w:hint="eastAsia"/>
        </w:rPr>
        <w:t>研</w:t>
      </w:r>
      <w:proofErr w:type="gramEnd"/>
      <w:r>
        <w:rPr>
          <w:rFonts w:hint="eastAsia"/>
        </w:rPr>
        <w:t>擬之處理方式與流程圖，及函</w:t>
      </w:r>
      <w:proofErr w:type="gramStart"/>
      <w:r>
        <w:rPr>
          <w:rFonts w:hint="eastAsia"/>
        </w:rPr>
        <w:t>復各委</w:t>
      </w:r>
      <w:proofErr w:type="gramEnd"/>
      <w:r>
        <w:rPr>
          <w:rFonts w:hint="eastAsia"/>
        </w:rPr>
        <w:t>辦機關處理原則所為之</w:t>
      </w:r>
      <w:r w:rsidR="002D7443">
        <w:rPr>
          <w:rFonts w:hint="eastAsia"/>
        </w:rPr>
        <w:t>答復</w:t>
      </w:r>
      <w:r>
        <w:rPr>
          <w:rFonts w:hint="eastAsia"/>
        </w:rPr>
        <w:t>，允應通盤考量並有一致性原則，</w:t>
      </w:r>
      <w:proofErr w:type="gramStart"/>
      <w:r>
        <w:rPr>
          <w:rFonts w:hint="eastAsia"/>
        </w:rPr>
        <w:t>使委辦</w:t>
      </w:r>
      <w:proofErr w:type="gramEnd"/>
      <w:r>
        <w:rPr>
          <w:rFonts w:hint="eastAsia"/>
        </w:rPr>
        <w:t>機關有所遵循，並保障人民權益。</w:t>
      </w:r>
    </w:p>
    <w:p w:rsidR="009B396D" w:rsidRDefault="00F33D47" w:rsidP="004830F8">
      <w:pPr>
        <w:pStyle w:val="3"/>
      </w:pPr>
      <w:r w:rsidRPr="004A1CDC">
        <w:t>綜上，</w:t>
      </w:r>
      <w:r w:rsidR="009B396D" w:rsidRPr="009B396D">
        <w:rPr>
          <w:rFonts w:hint="eastAsia"/>
        </w:rPr>
        <w:t>能源局前於99年11月即接獲農委會之公文，請其</w:t>
      </w:r>
      <w:proofErr w:type="gramStart"/>
      <w:r w:rsidR="009B396D" w:rsidRPr="009B396D">
        <w:rPr>
          <w:rFonts w:hint="eastAsia"/>
        </w:rPr>
        <w:t>研</w:t>
      </w:r>
      <w:proofErr w:type="gramEnd"/>
      <w:r w:rsidR="009B396D" w:rsidRPr="009B396D">
        <w:rPr>
          <w:rFonts w:hint="eastAsia"/>
        </w:rPr>
        <w:t>議農業設施容許使用同意廢止後，</w:t>
      </w:r>
      <w:proofErr w:type="gramStart"/>
      <w:r w:rsidR="009B396D" w:rsidRPr="009B396D">
        <w:rPr>
          <w:rFonts w:hint="eastAsia"/>
        </w:rPr>
        <w:t>附屬綠能設施</w:t>
      </w:r>
      <w:proofErr w:type="gramEnd"/>
      <w:r w:rsidR="009B396D" w:rsidRPr="009B396D">
        <w:rPr>
          <w:rFonts w:hint="eastAsia"/>
        </w:rPr>
        <w:t>電能費用補貼之適法性及續處行政事項，惟未妥</w:t>
      </w:r>
      <w:proofErr w:type="gramStart"/>
      <w:r w:rsidR="009B396D" w:rsidRPr="009B396D">
        <w:rPr>
          <w:rFonts w:hint="eastAsia"/>
        </w:rPr>
        <w:t>適</w:t>
      </w:r>
      <w:proofErr w:type="gramEnd"/>
      <w:r w:rsidR="009B396D" w:rsidRPr="009B396D">
        <w:rPr>
          <w:rFonts w:hint="eastAsia"/>
        </w:rPr>
        <w:t>處理，103年至106年地方政府陸續出現廢止案件續處作業之爭議，能源局遲至本院106年3月調查</w:t>
      </w:r>
      <w:proofErr w:type="gramStart"/>
      <w:r w:rsidR="009B396D" w:rsidRPr="009B396D">
        <w:rPr>
          <w:rFonts w:hint="eastAsia"/>
        </w:rPr>
        <w:t>期間，始簽</w:t>
      </w:r>
      <w:proofErr w:type="gramEnd"/>
      <w:r w:rsidR="009B396D" w:rsidRPr="009B396D">
        <w:rPr>
          <w:rFonts w:hint="eastAsia"/>
        </w:rPr>
        <w:t>辦後續處理原則，其長達6年3個月未建</w:t>
      </w:r>
      <w:r w:rsidR="009B396D" w:rsidRPr="009B396D">
        <w:rPr>
          <w:rFonts w:hint="eastAsia"/>
        </w:rPr>
        <w:lastRenderedPageBreak/>
        <w:t>立相關行政處置程序</w:t>
      </w:r>
      <w:r w:rsidR="00BD4CAF">
        <w:rPr>
          <w:rFonts w:hint="eastAsia"/>
        </w:rPr>
        <w:t>，且因該程序涉及事實認定及裁量權之行使，尚不明確，地方政府</w:t>
      </w:r>
      <w:r w:rsidR="004830F8" w:rsidRPr="004830F8">
        <w:rPr>
          <w:rFonts w:hint="eastAsia"/>
        </w:rPr>
        <w:t>無所遵循，不利人民權益保障，</w:t>
      </w:r>
      <w:r w:rsidR="009B396D" w:rsidRPr="009B396D">
        <w:rPr>
          <w:rFonts w:hint="eastAsia"/>
        </w:rPr>
        <w:t>肇致農業用地種電亂</w:t>
      </w:r>
      <w:proofErr w:type="gramStart"/>
      <w:r w:rsidR="009B396D" w:rsidRPr="009B396D">
        <w:rPr>
          <w:rFonts w:hint="eastAsia"/>
        </w:rPr>
        <w:t>象</w:t>
      </w:r>
      <w:proofErr w:type="gramEnd"/>
      <w:r w:rsidR="009B396D" w:rsidRPr="009B396D">
        <w:rPr>
          <w:rFonts w:hint="eastAsia"/>
        </w:rPr>
        <w:t>頻生，核有</w:t>
      </w:r>
      <w:proofErr w:type="gramStart"/>
      <w:r w:rsidR="009B396D" w:rsidRPr="009B396D">
        <w:rPr>
          <w:rFonts w:hint="eastAsia"/>
        </w:rPr>
        <w:t>怠</w:t>
      </w:r>
      <w:proofErr w:type="gramEnd"/>
      <w:r w:rsidR="009B396D" w:rsidRPr="009B396D">
        <w:rPr>
          <w:rFonts w:hint="eastAsia"/>
        </w:rPr>
        <w:t>失。經濟部為設置管理辦法之中央主管機關，對於委任再生能源發電設備業務之所屬能源局，卻未能善盡監督之責，核有疏失。</w:t>
      </w:r>
    </w:p>
    <w:p w:rsidR="00F33D47" w:rsidRPr="00BF539D" w:rsidRDefault="00BC434E" w:rsidP="00F33D47">
      <w:pPr>
        <w:pStyle w:val="2"/>
        <w:numPr>
          <w:ilvl w:val="1"/>
          <w:numId w:val="1"/>
        </w:numPr>
        <w:ind w:left="1036"/>
        <w:rPr>
          <w:b/>
        </w:rPr>
      </w:pPr>
      <w:r w:rsidRPr="00BC434E">
        <w:rPr>
          <w:rFonts w:hint="eastAsia"/>
          <w:b/>
        </w:rPr>
        <w:t>能源局</w:t>
      </w:r>
      <w:r w:rsidRPr="00BC434E">
        <w:rPr>
          <w:b/>
        </w:rPr>
        <w:t>辦理農業設施容許使用同意廢止後</w:t>
      </w:r>
      <w:r w:rsidRPr="00BC434E">
        <w:rPr>
          <w:rFonts w:hint="eastAsia"/>
          <w:b/>
        </w:rPr>
        <w:t>之</w:t>
      </w:r>
      <w:r w:rsidRPr="00BC434E">
        <w:rPr>
          <w:b/>
        </w:rPr>
        <w:t>設備登記廢止案件，</w:t>
      </w:r>
      <w:r w:rsidRPr="00BC434E">
        <w:rPr>
          <w:rFonts w:hint="eastAsia"/>
          <w:b/>
        </w:rPr>
        <w:t>僅</w:t>
      </w:r>
      <w:r w:rsidRPr="00BC434E">
        <w:rPr>
          <w:b/>
        </w:rPr>
        <w:t>列冊追蹤37</w:t>
      </w:r>
      <w:r w:rsidRPr="00BC434E">
        <w:rPr>
          <w:rFonts w:hint="eastAsia"/>
          <w:b/>
        </w:rPr>
        <w:t>案</w:t>
      </w:r>
      <w:r w:rsidRPr="00BC434E">
        <w:rPr>
          <w:b/>
        </w:rPr>
        <w:t>，</w:t>
      </w:r>
      <w:r w:rsidRPr="00BC434E">
        <w:rPr>
          <w:rFonts w:hint="eastAsia"/>
          <w:b/>
        </w:rPr>
        <w:t>除</w:t>
      </w:r>
      <w:r w:rsidRPr="00BC434E">
        <w:rPr>
          <w:b/>
        </w:rPr>
        <w:t>與農委會廢止清冊</w:t>
      </w:r>
      <w:r w:rsidRPr="00BC434E">
        <w:rPr>
          <w:rFonts w:hint="eastAsia"/>
          <w:b/>
        </w:rPr>
        <w:t>所列之</w:t>
      </w:r>
      <w:r w:rsidRPr="00BC434E">
        <w:rPr>
          <w:b/>
        </w:rPr>
        <w:t>108案數量</w:t>
      </w:r>
      <w:r w:rsidRPr="00BC434E">
        <w:rPr>
          <w:rFonts w:hint="eastAsia"/>
          <w:b/>
        </w:rPr>
        <w:t>，落差甚大外</w:t>
      </w:r>
      <w:r w:rsidRPr="00BC434E">
        <w:rPr>
          <w:b/>
        </w:rPr>
        <w:t>，</w:t>
      </w:r>
      <w:r w:rsidRPr="00BC434E">
        <w:rPr>
          <w:rFonts w:hint="eastAsia"/>
          <w:b/>
        </w:rPr>
        <w:t>且</w:t>
      </w:r>
      <w:r w:rsidRPr="00BC434E">
        <w:rPr>
          <w:b/>
        </w:rPr>
        <w:t>該37</w:t>
      </w:r>
      <w:r w:rsidRPr="00BC434E">
        <w:rPr>
          <w:rFonts w:hint="eastAsia"/>
          <w:b/>
        </w:rPr>
        <w:t>案竟能</w:t>
      </w:r>
      <w:r w:rsidRPr="00BC434E">
        <w:rPr>
          <w:b/>
        </w:rPr>
        <w:t>以「改善中」等理由</w:t>
      </w:r>
      <w:r w:rsidRPr="00BC434E">
        <w:rPr>
          <w:rFonts w:hint="eastAsia"/>
          <w:b/>
        </w:rPr>
        <w:t>，自105年容許使用同意遭廢止後持續</w:t>
      </w:r>
      <w:r w:rsidRPr="00BC434E">
        <w:rPr>
          <w:b/>
        </w:rPr>
        <w:t>獲電費補貼逾</w:t>
      </w:r>
      <w:r>
        <w:rPr>
          <w:rFonts w:hint="eastAsia"/>
          <w:b/>
        </w:rPr>
        <w:t>新臺幣</w:t>
      </w:r>
      <w:r w:rsidRPr="00BC434E">
        <w:rPr>
          <w:b/>
        </w:rPr>
        <w:t>2,000萬元，</w:t>
      </w:r>
      <w:r w:rsidRPr="00BC434E">
        <w:rPr>
          <w:rFonts w:hint="eastAsia"/>
          <w:b/>
        </w:rPr>
        <w:t>遑論再與農委會列冊案件逐一比對，公帑虛擲不知幾何，顯見能源局未能確實列管追蹤，又怠於執法，</w:t>
      </w:r>
      <w:r w:rsidRPr="00BC434E">
        <w:rPr>
          <w:b/>
        </w:rPr>
        <w:t>虛擲公帑</w:t>
      </w:r>
      <w:r w:rsidR="007F5125">
        <w:rPr>
          <w:rFonts w:hint="eastAsia"/>
          <w:b/>
        </w:rPr>
        <w:t>，核有疏失。經濟部</w:t>
      </w:r>
      <w:r w:rsidRPr="00BC434E">
        <w:rPr>
          <w:rFonts w:hint="eastAsia"/>
          <w:b/>
        </w:rPr>
        <w:t>未能善盡督導之責，</w:t>
      </w:r>
      <w:r w:rsidR="007F5125">
        <w:rPr>
          <w:rFonts w:hint="eastAsia"/>
          <w:b/>
        </w:rPr>
        <w:t>亦難辭</w:t>
      </w:r>
      <w:r w:rsidR="008F612A">
        <w:rPr>
          <w:rFonts w:hint="eastAsia"/>
          <w:b/>
        </w:rPr>
        <w:t>其咎</w:t>
      </w:r>
      <w:r w:rsidRPr="00BC434E">
        <w:rPr>
          <w:rFonts w:hint="eastAsia"/>
          <w:b/>
        </w:rPr>
        <w:t>。</w:t>
      </w:r>
    </w:p>
    <w:p w:rsidR="00F33D47" w:rsidRDefault="00F33D47" w:rsidP="00F33D47">
      <w:pPr>
        <w:pStyle w:val="3"/>
        <w:numPr>
          <w:ilvl w:val="2"/>
          <w:numId w:val="1"/>
        </w:numPr>
      </w:pPr>
      <w:r>
        <w:rPr>
          <w:rFonts w:hint="eastAsia"/>
        </w:rPr>
        <w:t>依據</w:t>
      </w:r>
      <w:r w:rsidR="00EB4A09">
        <w:rPr>
          <w:rFonts w:hint="eastAsia"/>
        </w:rPr>
        <w:t>「</w:t>
      </w:r>
      <w:r>
        <w:rPr>
          <w:rFonts w:hint="eastAsia"/>
        </w:rPr>
        <w:t>行政程序法</w:t>
      </w:r>
      <w:r w:rsidR="00EB4A09">
        <w:rPr>
          <w:rFonts w:hint="eastAsia"/>
        </w:rPr>
        <w:t>」</w:t>
      </w:r>
      <w:r>
        <w:rPr>
          <w:rFonts w:hint="eastAsia"/>
        </w:rPr>
        <w:t>第127條規定</w:t>
      </w:r>
      <w:r w:rsidRPr="00C446E3">
        <w:rPr>
          <w:rFonts w:hint="eastAsia"/>
        </w:rPr>
        <w:t>：</w:t>
      </w:r>
      <w:r w:rsidRPr="00F33D47">
        <w:rPr>
          <w:rFonts w:hint="eastAsia"/>
        </w:rPr>
        <w:t>「（第1項）授予利益之行政處分，其內容係提供一次或連續之金錢或可分物之給付者，經撤銷、廢止或條件成就而有溯及既往失效之情形時，受益人應返還因該處分所受領之給付。其行政處分經確認無效者，亦同。（第2項）前項返還範圍準用民法有關不當得利之規定。（第3項）行政機關依前二項規定請求返</w:t>
      </w:r>
      <w:r w:rsidRPr="00C446E3">
        <w:rPr>
          <w:rFonts w:hint="eastAsia"/>
        </w:rPr>
        <w:t>還時，應以書面行政處分確認返還範圍，並限期命受益人返還之。（第4項）前項行政處分未確定前，不得移送行政執行。」</w:t>
      </w:r>
      <w:r>
        <w:rPr>
          <w:rFonts w:hint="eastAsia"/>
        </w:rPr>
        <w:t>次依據</w:t>
      </w:r>
      <w:r w:rsidRPr="007967B1">
        <w:rPr>
          <w:rFonts w:hint="eastAsia"/>
        </w:rPr>
        <w:t>設置管理辦法第12條第2項</w:t>
      </w:r>
      <w:r>
        <w:rPr>
          <w:rFonts w:hint="eastAsia"/>
        </w:rPr>
        <w:t>第1款及</w:t>
      </w:r>
      <w:r w:rsidRPr="007967B1">
        <w:rPr>
          <w:rFonts w:hint="eastAsia"/>
        </w:rPr>
        <w:t>第3項規定</w:t>
      </w:r>
      <w:r>
        <w:rPr>
          <w:rFonts w:hint="eastAsia"/>
        </w:rPr>
        <w:t>略以，</w:t>
      </w:r>
      <w:r w:rsidRPr="007967B1">
        <w:rPr>
          <w:rFonts w:hint="eastAsia"/>
        </w:rPr>
        <w:t>再生能源發電設備</w:t>
      </w:r>
      <w:r>
        <w:rPr>
          <w:rFonts w:hint="eastAsia"/>
        </w:rPr>
        <w:t>倘有</w:t>
      </w:r>
      <w:r w:rsidRPr="007967B1">
        <w:rPr>
          <w:rFonts w:hint="eastAsia"/>
        </w:rPr>
        <w:t>違反其他法令規定</w:t>
      </w:r>
      <w:r>
        <w:rPr>
          <w:rFonts w:hint="eastAsia"/>
        </w:rPr>
        <w:t>之情形，</w:t>
      </w:r>
      <w:r w:rsidRPr="007967B1">
        <w:rPr>
          <w:rFonts w:hint="eastAsia"/>
        </w:rPr>
        <w:t>中央主管機關得廢止再生能源發電設備之同意備案或設備登記</w:t>
      </w:r>
      <w:r>
        <w:rPr>
          <w:rFonts w:hint="eastAsia"/>
        </w:rPr>
        <w:t>；若按其情形得改善者，於廢止前得先通知限期改善等規定，已如前述。至有關改善期間之給予，</w:t>
      </w:r>
      <w:r w:rsidR="00EB4A09">
        <w:t>依據</w:t>
      </w:r>
      <w:r w:rsidR="00FD4184">
        <w:rPr>
          <w:rFonts w:hint="eastAsia"/>
        </w:rPr>
        <w:t>經濟部</w:t>
      </w:r>
      <w:r w:rsidRPr="00A46BE8">
        <w:t>於106年2月8日查復資料</w:t>
      </w:r>
      <w:r>
        <w:rPr>
          <w:rFonts w:hint="eastAsia"/>
        </w:rPr>
        <w:t>以及</w:t>
      </w:r>
      <w:r w:rsidR="00FD4184">
        <w:rPr>
          <w:rFonts w:hint="eastAsia"/>
        </w:rPr>
        <w:t>能源局</w:t>
      </w:r>
      <w:r w:rsidRPr="00A46BE8">
        <w:t>106年3月</w:t>
      </w:r>
      <w:r>
        <w:rPr>
          <w:rFonts w:hint="eastAsia"/>
        </w:rPr>
        <w:t>27</w:t>
      </w:r>
      <w:r w:rsidRPr="00A46BE8">
        <w:t>日</w:t>
      </w:r>
      <w:r>
        <w:rPr>
          <w:rFonts w:hint="eastAsia"/>
        </w:rPr>
        <w:t>奉核定</w:t>
      </w:r>
      <w:r>
        <w:t>簽</w:t>
      </w:r>
      <w:r>
        <w:lastRenderedPageBreak/>
        <w:t>呈</w:t>
      </w:r>
      <w:r w:rsidRPr="00A46BE8">
        <w:t>所述之太陽光電發電設備認定廢止程序及流程圖</w:t>
      </w:r>
      <w:r>
        <w:rPr>
          <w:rFonts w:hint="eastAsia"/>
        </w:rPr>
        <w:t>顯示</w:t>
      </w:r>
      <w:r w:rsidRPr="00A46BE8">
        <w:t>，</w:t>
      </w:r>
      <w:r>
        <w:rPr>
          <w:rFonts w:hint="eastAsia"/>
        </w:rPr>
        <w:t>為</w:t>
      </w:r>
      <w:r w:rsidRPr="00A46BE8">
        <w:t>「申請人陳述意見，視情</w:t>
      </w:r>
      <w:r w:rsidRPr="007967B1">
        <w:t>況給予4個月改善期間」、「屆期未能改善完成者，申請人敘明理由，視情況給予2個月展延期間。」</w:t>
      </w:r>
      <w:r w:rsidR="00EB4A09">
        <w:rPr>
          <w:rFonts w:hint="eastAsia"/>
        </w:rPr>
        <w:t>經廢止設備登記文件者，則依「</w:t>
      </w:r>
      <w:r w:rsidR="002D7443">
        <w:rPr>
          <w:rFonts w:hint="eastAsia"/>
        </w:rPr>
        <w:t>台灣</w:t>
      </w:r>
      <w:r>
        <w:rPr>
          <w:rFonts w:hint="eastAsia"/>
        </w:rPr>
        <w:t>電力股份有限公司再生能源電能收購作業要點」</w:t>
      </w:r>
      <w:r w:rsidRPr="00C446E3">
        <w:rPr>
          <w:rFonts w:hint="eastAsia"/>
        </w:rPr>
        <w:t>第3點第7項規定</w:t>
      </w:r>
      <w:r w:rsidR="006479AC">
        <w:rPr>
          <w:rFonts w:hint="eastAsia"/>
        </w:rPr>
        <w:t>，</w:t>
      </w:r>
      <w:r w:rsidR="002D7443">
        <w:rPr>
          <w:rFonts w:hint="eastAsia"/>
        </w:rPr>
        <w:t>台灣電力</w:t>
      </w:r>
      <w:r>
        <w:rPr>
          <w:rFonts w:hint="eastAsia"/>
        </w:rPr>
        <w:t>股份有限公司應即終止</w:t>
      </w:r>
      <w:r w:rsidRPr="00C446E3">
        <w:rPr>
          <w:rFonts w:hint="eastAsia"/>
        </w:rPr>
        <w:t>購售電契約</w:t>
      </w:r>
      <w:r>
        <w:rPr>
          <w:rFonts w:hint="eastAsia"/>
        </w:rPr>
        <w:t>。</w:t>
      </w:r>
    </w:p>
    <w:p w:rsidR="00F33D47" w:rsidRPr="007967B1" w:rsidRDefault="00F33D47" w:rsidP="00F33D47">
      <w:pPr>
        <w:pStyle w:val="3"/>
        <w:numPr>
          <w:ilvl w:val="2"/>
          <w:numId w:val="1"/>
        </w:numPr>
      </w:pPr>
      <w:r w:rsidRPr="007967B1">
        <w:t>惟查：</w:t>
      </w:r>
    </w:p>
    <w:p w:rsidR="00F33D47" w:rsidRPr="00F33D47" w:rsidRDefault="00830E14" w:rsidP="00F33D47">
      <w:pPr>
        <w:pStyle w:val="4"/>
        <w:numPr>
          <w:ilvl w:val="3"/>
          <w:numId w:val="1"/>
        </w:numPr>
      </w:pPr>
      <w:r>
        <w:rPr>
          <w:rFonts w:hint="eastAsia"/>
        </w:rPr>
        <w:t>能源局</w:t>
      </w:r>
      <w:r w:rsidR="00F33D47" w:rsidRPr="00F33D47">
        <w:rPr>
          <w:rFonts w:hint="eastAsia"/>
        </w:rPr>
        <w:t>前於99年11月即接獲農委會之公文，請</w:t>
      </w:r>
      <w:r>
        <w:rPr>
          <w:rFonts w:hint="eastAsia"/>
        </w:rPr>
        <w:t>其</w:t>
      </w:r>
      <w:r w:rsidR="00F33D47" w:rsidRPr="00F33D47">
        <w:rPr>
          <w:rFonts w:hint="eastAsia"/>
        </w:rPr>
        <w:t>研議農業設施容許使用廢止後，其附屬綠能設施光電費用補貼之適法性及續處行政事項，惟未妥適處理，已如前述。</w:t>
      </w:r>
    </w:p>
    <w:p w:rsidR="00F33D47" w:rsidRPr="00F33D47" w:rsidRDefault="00F33D47" w:rsidP="00F33D47">
      <w:pPr>
        <w:pStyle w:val="4"/>
        <w:numPr>
          <w:ilvl w:val="3"/>
          <w:numId w:val="1"/>
        </w:numPr>
      </w:pPr>
      <w:r w:rsidRPr="00F33D47">
        <w:t>依據農委會提供之「農業設施附屬綠能設施廢止案件之列冊資料」</w:t>
      </w:r>
      <w:r w:rsidR="005A588A">
        <w:t>（</w:t>
      </w:r>
      <w:r w:rsidRPr="00F33D47">
        <w:t>統計至106年</w:t>
      </w:r>
      <w:r w:rsidRPr="00F33D47">
        <w:rPr>
          <w:rFonts w:hint="eastAsia"/>
        </w:rPr>
        <w:t>8</w:t>
      </w:r>
      <w:r w:rsidRPr="00F33D47">
        <w:t>月</w:t>
      </w:r>
      <w:r w:rsidRPr="00F33D47">
        <w:rPr>
          <w:rFonts w:hint="eastAsia"/>
        </w:rPr>
        <w:t>2</w:t>
      </w:r>
      <w:r w:rsidRPr="00F33D47">
        <w:t>日</w:t>
      </w:r>
      <w:r w:rsidR="005A588A" w:rsidRPr="005A588A">
        <w:t>）</w:t>
      </w:r>
      <w:r w:rsidRPr="00F33D47">
        <w:t>，各地方政府廢止農業用地容許使用同意之案件共計108案，其中農業主管機關作成廢止至能源局函請申請人陳述意見</w:t>
      </w:r>
      <w:r w:rsidRPr="00F33D47">
        <w:rPr>
          <w:rFonts w:hint="eastAsia"/>
        </w:rPr>
        <w:t>之時間</w:t>
      </w:r>
      <w:r w:rsidRPr="00F33D47">
        <w:t>逾6個月者，共計12案</w:t>
      </w:r>
      <w:r w:rsidRPr="00F33D47">
        <w:rPr>
          <w:rFonts w:hint="eastAsia"/>
        </w:rPr>
        <w:t>；</w:t>
      </w:r>
      <w:r w:rsidRPr="00F33D47">
        <w:t>能源局函請申請人陳述意見</w:t>
      </w:r>
      <w:r w:rsidRPr="00F33D47">
        <w:rPr>
          <w:rFonts w:hint="eastAsia"/>
        </w:rPr>
        <w:t>之</w:t>
      </w:r>
      <w:r w:rsidRPr="00F33D47">
        <w:t>發文日至</w:t>
      </w:r>
      <w:r w:rsidRPr="00F33D47">
        <w:rPr>
          <w:rFonts w:hint="eastAsia"/>
        </w:rPr>
        <w:t>該局限期</w:t>
      </w:r>
      <w:r w:rsidRPr="00F33D47">
        <w:t>改善</w:t>
      </w:r>
      <w:r w:rsidRPr="00F33D47">
        <w:rPr>
          <w:rFonts w:hint="eastAsia"/>
        </w:rPr>
        <w:t>之</w:t>
      </w:r>
      <w:r w:rsidRPr="00F33D47">
        <w:t>發文日逾6個月者，共計14案。</w:t>
      </w:r>
    </w:p>
    <w:p w:rsidR="00F33D47" w:rsidRPr="00F33D47" w:rsidRDefault="00F33D47" w:rsidP="00F33D47">
      <w:pPr>
        <w:pStyle w:val="4"/>
        <w:numPr>
          <w:ilvl w:val="3"/>
          <w:numId w:val="1"/>
        </w:numPr>
      </w:pPr>
      <w:r w:rsidRPr="00F33D47">
        <w:rPr>
          <w:rFonts w:hint="eastAsia"/>
        </w:rPr>
        <w:t>復以</w:t>
      </w:r>
      <w:r w:rsidRPr="00F33D47">
        <w:t>臺南市學甲區學甲寮段某地號農業設施附屬設置綠能設施案為例，能源局於105年3月15日接獲臺南市政府函副知該案容許使用同意廢止後，</w:t>
      </w:r>
      <w:r w:rsidR="006B6E7E">
        <w:rPr>
          <w:rFonts w:hint="eastAsia"/>
        </w:rPr>
        <w:t>能源</w:t>
      </w:r>
      <w:r w:rsidR="00B22894">
        <w:rPr>
          <w:rFonts w:hint="eastAsia"/>
        </w:rPr>
        <w:t>局</w:t>
      </w:r>
      <w:r w:rsidRPr="00F33D47">
        <w:t>於105年3月25日函請申請人陳述意見，申請人旋以「</w:t>
      </w:r>
      <w:r w:rsidR="00B22894">
        <w:rPr>
          <w:rFonts w:hint="eastAsia"/>
        </w:rPr>
        <w:t>……</w:t>
      </w:r>
      <w:r w:rsidR="006B6E7E">
        <w:t>已針對臺南市政府前揭行政處分提起訴願」回復能源局。</w:t>
      </w:r>
      <w:r w:rsidR="006B6E7E">
        <w:rPr>
          <w:rFonts w:hint="eastAsia"/>
        </w:rPr>
        <w:t>能源</w:t>
      </w:r>
      <w:r w:rsidRPr="00F33D47">
        <w:t>局於105年5月6日函復申請人將待農委會作成訴願決定後賡續辦理設備登記事宜。該訴願於105年10月25日遭駁回後，105年11月21日某立法委員召開「解決農地溫室太陽能業者困境」座談會，其會議紀錄說明「請經濟部能源局暫緩依地方政府廢止容許</w:t>
      </w:r>
      <w:r w:rsidRPr="00F33D47">
        <w:lastRenderedPageBreak/>
        <w:t>使用同意書之行政處分，作成撤銷光電設施設備登記之行政處分，俟輔導措施明確後，再作相關准駁之行政處理。」俟能源局於106年3月簽核確立太陽光電發電設備認定廢止程序，爰於106年5月1日依確立之原則函請申請人陳述意見。本案經</w:t>
      </w:r>
      <w:r w:rsidRPr="00F33D47">
        <w:rPr>
          <w:rFonts w:hint="eastAsia"/>
        </w:rPr>
        <w:t>臺灣</w:t>
      </w:r>
      <w:r w:rsidRPr="00F33D47">
        <w:t>高雄高等行政法院於106年6月7日</w:t>
      </w:r>
      <w:r w:rsidRPr="00F33D47">
        <w:rPr>
          <w:rFonts w:hint="eastAsia"/>
        </w:rPr>
        <w:t>判決</w:t>
      </w:r>
      <w:r w:rsidRPr="00F33D47">
        <w:t>申請人之訴駁回</w:t>
      </w:r>
      <w:r w:rsidRPr="00F33D47">
        <w:rPr>
          <w:vertAlign w:val="superscript"/>
        </w:rPr>
        <w:footnoteReference w:id="18"/>
      </w:r>
      <w:r w:rsidRPr="00F33D47">
        <w:t>，維持農委會105年10月25日農訴字第1050713577號訴願決定</w:t>
      </w:r>
      <w:r w:rsidR="005A588A">
        <w:t>（</w:t>
      </w:r>
      <w:r w:rsidRPr="00F33D47">
        <w:t>即本案容許使用同意廢止</w:t>
      </w:r>
      <w:r w:rsidR="005A588A" w:rsidRPr="005A588A">
        <w:t>）</w:t>
      </w:r>
      <w:r w:rsidRPr="00F33D47">
        <w:t>。詎能源局仍於106年6月16日</w:t>
      </w:r>
      <w:r w:rsidRPr="00F33D47">
        <w:rPr>
          <w:rFonts w:hint="eastAsia"/>
        </w:rPr>
        <w:t>發</w:t>
      </w:r>
      <w:r w:rsidRPr="00F33D47">
        <w:t>函給予申請人4個月改善期間。</w:t>
      </w:r>
    </w:p>
    <w:p w:rsidR="00F33D47" w:rsidRPr="00F33D47" w:rsidRDefault="00F33D47" w:rsidP="00F33D47">
      <w:pPr>
        <w:pStyle w:val="4"/>
        <w:numPr>
          <w:ilvl w:val="3"/>
          <w:numId w:val="1"/>
        </w:numPr>
      </w:pPr>
      <w:r w:rsidRPr="00F33D47">
        <w:rPr>
          <w:rFonts w:hint="eastAsia"/>
        </w:rPr>
        <w:t>針對</w:t>
      </w:r>
      <w:r w:rsidRPr="00F33D47">
        <w:t>申請人先以「訴願中」、續以「行政訴訟中」為由，再以「陳述意見」機會，提出「改善方案」，甚至於行政訴訟遭判決敗訴後，仍能</w:t>
      </w:r>
      <w:r w:rsidRPr="00F33D47">
        <w:rPr>
          <w:rFonts w:hint="eastAsia"/>
        </w:rPr>
        <w:t>獲得</w:t>
      </w:r>
      <w:r w:rsidRPr="00F33D47">
        <w:t>4個月改善</w:t>
      </w:r>
      <w:r w:rsidRPr="00F33D47">
        <w:rPr>
          <w:rFonts w:hint="eastAsia"/>
        </w:rPr>
        <w:t>時間</w:t>
      </w:r>
      <w:r w:rsidRPr="00F33D47">
        <w:t>等情，</w:t>
      </w:r>
      <w:r w:rsidRPr="00F33D47">
        <w:rPr>
          <w:rFonts w:hint="eastAsia"/>
        </w:rPr>
        <w:t>經</w:t>
      </w:r>
      <w:r w:rsidRPr="00F33D47">
        <w:t>詢據經濟部表示：「農業容許廢止處分，經判決確定後，係針對農業主管機關所為之行政行為給予合法之肯定，而本部能源局得給予附屬之太陽光電發電設備於4個月內改善的本質仍不為改變，即申請人仍有機會重新取得農業容許使用同意書或遷移設置場址等改善方式，並非以經判決駁回後，即須立即廢止。」</w:t>
      </w:r>
      <w:r w:rsidR="00426716">
        <w:rPr>
          <w:rFonts w:hint="eastAsia"/>
        </w:rPr>
        <w:t>惟能源局</w:t>
      </w:r>
      <w:r w:rsidRPr="00F33D47">
        <w:rPr>
          <w:rFonts w:hint="eastAsia"/>
        </w:rPr>
        <w:t>前述作法</w:t>
      </w:r>
      <w:r w:rsidRPr="00F33D47">
        <w:t>，易導致部分申請人藉</w:t>
      </w:r>
      <w:r w:rsidRPr="00F33D47">
        <w:rPr>
          <w:rFonts w:hint="eastAsia"/>
        </w:rPr>
        <w:t>由</w:t>
      </w:r>
      <w:r w:rsidRPr="00F33D47">
        <w:t>先後提出訴願、行政訴訟等救濟手段，應付容許使用同意廢止處分，並利用能源主管機關基於輔導與鼓勵之政策立場，爭取陳述意見與提出新農業經營計畫之改善時間，</w:t>
      </w:r>
      <w:r w:rsidRPr="00F33D47">
        <w:rPr>
          <w:rFonts w:hint="eastAsia"/>
        </w:rPr>
        <w:t>造成</w:t>
      </w:r>
      <w:r w:rsidRPr="00F33D47">
        <w:t>申請人對農業主管機關之查核、輔導改善甚或已作出容許使用同意廢止處分後，仍存有僥倖心態，認為尚有能源主管機關給予陳述意見與改善時間，</w:t>
      </w:r>
      <w:r w:rsidRPr="00F33D47">
        <w:rPr>
          <w:rFonts w:hint="eastAsia"/>
        </w:rPr>
        <w:t>以致</w:t>
      </w:r>
      <w:r w:rsidRPr="00F33D47">
        <w:t>違法農</w:t>
      </w:r>
      <w:r w:rsidR="005C2A16">
        <w:rPr>
          <w:rFonts w:hint="eastAsia"/>
        </w:rPr>
        <w:t>業用</w:t>
      </w:r>
      <w:r w:rsidRPr="00F33D47">
        <w:t>地種電</w:t>
      </w:r>
      <w:r w:rsidRPr="00F33D47">
        <w:lastRenderedPageBreak/>
        <w:t>情形</w:t>
      </w:r>
      <w:r w:rsidRPr="00F33D47">
        <w:rPr>
          <w:rFonts w:hint="eastAsia"/>
        </w:rPr>
        <w:t>遲遲</w:t>
      </w:r>
      <w:r w:rsidRPr="00F33D47">
        <w:t>無法</w:t>
      </w:r>
      <w:r w:rsidRPr="00F33D47">
        <w:rPr>
          <w:rFonts w:hint="eastAsia"/>
        </w:rPr>
        <w:t>獲得</w:t>
      </w:r>
      <w:r w:rsidRPr="00F33D47">
        <w:t>改善及有效遏止。</w:t>
      </w:r>
    </w:p>
    <w:p w:rsidR="00F33D47" w:rsidRPr="00F33D47" w:rsidRDefault="00924FCD" w:rsidP="00F33D47">
      <w:pPr>
        <w:pStyle w:val="4"/>
        <w:numPr>
          <w:ilvl w:val="3"/>
          <w:numId w:val="1"/>
        </w:numPr>
      </w:pPr>
      <w:r>
        <w:rPr>
          <w:rFonts w:hint="eastAsia"/>
        </w:rPr>
        <w:t>另</w:t>
      </w:r>
      <w:r w:rsidR="00F33D47" w:rsidRPr="00F33D47">
        <w:rPr>
          <w:rFonts w:hint="eastAsia"/>
        </w:rPr>
        <w:t>經查</w:t>
      </w:r>
      <w:proofErr w:type="gramStart"/>
      <w:r w:rsidR="00F33D47" w:rsidRPr="00F33D47">
        <w:t>臺</w:t>
      </w:r>
      <w:proofErr w:type="gramEnd"/>
      <w:r w:rsidR="00F33D47" w:rsidRPr="00F33D47">
        <w:t>南市政府、雲林縣政府針對「要求改善農業設施屋頂附屬</w:t>
      </w:r>
      <w:proofErr w:type="gramStart"/>
      <w:r w:rsidR="00F33D47" w:rsidRPr="00F33D47">
        <w:t>設置綠能設施</w:t>
      </w:r>
      <w:proofErr w:type="gramEnd"/>
      <w:r w:rsidR="00F33D47" w:rsidRPr="00F33D47">
        <w:t>應結合農業經營案件」</w:t>
      </w:r>
      <w:r w:rsidR="00F33D47" w:rsidRPr="00F33D47">
        <w:rPr>
          <w:rFonts w:hint="eastAsia"/>
        </w:rPr>
        <w:t>，</w:t>
      </w:r>
      <w:r w:rsidR="00F33D47" w:rsidRPr="00F33D47">
        <w:t>給予申請人之改善時間</w:t>
      </w:r>
      <w:r w:rsidR="005A588A">
        <w:t>（</w:t>
      </w:r>
      <w:r w:rsidR="00F33D47" w:rsidRPr="00F33D47">
        <w:t>即目前已違規但改善中，因而尚未廢止容許使用同意者</w:t>
      </w:r>
      <w:r w:rsidR="005A588A" w:rsidRPr="005A588A">
        <w:t>）</w:t>
      </w:r>
      <w:r w:rsidR="00F33D47" w:rsidRPr="00F33D47">
        <w:t>，</w:t>
      </w:r>
      <w:r w:rsidR="00F33D47" w:rsidRPr="00F33D47">
        <w:rPr>
          <w:rFonts w:hint="eastAsia"/>
        </w:rPr>
        <w:t>分別</w:t>
      </w:r>
      <w:r w:rsidR="00F33D47" w:rsidRPr="00F33D47">
        <w:t>為9個月、4個月至1年不等。</w:t>
      </w:r>
      <w:r w:rsidR="00F33D47" w:rsidRPr="00F33D47">
        <w:rPr>
          <w:rFonts w:hint="eastAsia"/>
        </w:rPr>
        <w:t>倘若</w:t>
      </w:r>
      <w:r w:rsidR="00F33D47" w:rsidRPr="00F33D47">
        <w:t>再考量農業主管機關對於農業設施違規使用之輔導與追蹤改善期間平均達1</w:t>
      </w:r>
      <w:r w:rsidR="00426716">
        <w:t>年，並計入</w:t>
      </w:r>
      <w:r w:rsidR="00F33D47" w:rsidRPr="00F33D47">
        <w:t>能源局</w:t>
      </w:r>
      <w:r w:rsidR="00F33D47" w:rsidRPr="00F33D47">
        <w:rPr>
          <w:rFonts w:hint="eastAsia"/>
        </w:rPr>
        <w:t>未能限期申請人提出</w:t>
      </w:r>
      <w:r w:rsidR="00F33D47" w:rsidRPr="00F33D47">
        <w:t>陳訴意見</w:t>
      </w:r>
      <w:r w:rsidR="00F33D47" w:rsidRPr="00F33D47">
        <w:rPr>
          <w:rFonts w:hint="eastAsia"/>
        </w:rPr>
        <w:t>，以</w:t>
      </w:r>
      <w:r w:rsidR="00F33D47" w:rsidRPr="00F33D47">
        <w:t>及4個月改善</w:t>
      </w:r>
      <w:r w:rsidR="00F33D47" w:rsidRPr="00F33D47">
        <w:rPr>
          <w:rFonts w:hint="eastAsia"/>
        </w:rPr>
        <w:t>期限，將</w:t>
      </w:r>
      <w:r w:rsidR="00F33D47" w:rsidRPr="00F33D47">
        <w:t>使農</w:t>
      </w:r>
      <w:r w:rsidR="00F22AAE">
        <w:rPr>
          <w:rFonts w:hint="eastAsia"/>
        </w:rPr>
        <w:t>業用</w:t>
      </w:r>
      <w:r w:rsidR="00F33D47" w:rsidRPr="00F33D47">
        <w:t>地種電違規案件之改善</w:t>
      </w:r>
      <w:r w:rsidR="00F33D47" w:rsidRPr="00F33D47">
        <w:rPr>
          <w:rFonts w:hint="eastAsia"/>
        </w:rPr>
        <w:t>進度</w:t>
      </w:r>
      <w:r w:rsidR="00F33D47" w:rsidRPr="00F33D47">
        <w:t>遙遙無期，</w:t>
      </w:r>
      <w:r w:rsidR="00F33D47" w:rsidRPr="00F33D47">
        <w:rPr>
          <w:rFonts w:hint="eastAsia"/>
        </w:rPr>
        <w:t>導致</w:t>
      </w:r>
      <w:r w:rsidR="00F33D47" w:rsidRPr="00F33D47">
        <w:t>目前108案遭容許使用同意廢止</w:t>
      </w:r>
      <w:r w:rsidR="00F33D47" w:rsidRPr="00F33D47">
        <w:rPr>
          <w:rFonts w:hint="eastAsia"/>
        </w:rPr>
        <w:t>之</w:t>
      </w:r>
      <w:r w:rsidR="00F33D47" w:rsidRPr="00F33D47">
        <w:t>案件，迄今</w:t>
      </w:r>
      <w:r w:rsidR="00F33D47" w:rsidRPr="00F33D47">
        <w:rPr>
          <w:rFonts w:hint="eastAsia"/>
        </w:rPr>
        <w:t>仍</w:t>
      </w:r>
      <w:r w:rsidR="00F33D47" w:rsidRPr="00F33D47">
        <w:t>處於「陳訴意見或改善中」，而申請人仍持續售電，賺取政府躉購電價補貼者，</w:t>
      </w:r>
      <w:r w:rsidR="00F33D47" w:rsidRPr="00F33D47">
        <w:rPr>
          <w:rFonts w:hint="eastAsia"/>
        </w:rPr>
        <w:t>多達</w:t>
      </w:r>
      <w:r w:rsidR="00F33D47" w:rsidRPr="00F33D47">
        <w:t>100案。</w:t>
      </w:r>
    </w:p>
    <w:p w:rsidR="00F33D47" w:rsidRPr="00F33D47" w:rsidRDefault="00F33D47" w:rsidP="00F33D47">
      <w:pPr>
        <w:pStyle w:val="3"/>
        <w:numPr>
          <w:ilvl w:val="2"/>
          <w:numId w:val="1"/>
        </w:numPr>
      </w:pPr>
      <w:r w:rsidRPr="00F33D47">
        <w:rPr>
          <w:rFonts w:hint="eastAsia"/>
        </w:rPr>
        <w:t>再查</w:t>
      </w:r>
      <w:r w:rsidRPr="00F33D47">
        <w:rPr>
          <w:rFonts w:ascii="新細明體" w:eastAsia="新細明體" w:hAnsi="新細明體" w:hint="eastAsia"/>
        </w:rPr>
        <w:t>：</w:t>
      </w:r>
    </w:p>
    <w:p w:rsidR="00F33D47" w:rsidRPr="00F33D47" w:rsidRDefault="00F33D47" w:rsidP="00F33D47">
      <w:pPr>
        <w:pStyle w:val="4"/>
        <w:numPr>
          <w:ilvl w:val="3"/>
          <w:numId w:val="1"/>
        </w:numPr>
      </w:pPr>
      <w:r w:rsidRPr="00F33D47">
        <w:rPr>
          <w:rFonts w:hint="eastAsia"/>
        </w:rPr>
        <w:t>依據</w:t>
      </w:r>
      <w:r w:rsidRPr="00F33D47">
        <w:t>能源局提供之「農業設施容許廢止追蹤表」</w:t>
      </w:r>
      <w:r w:rsidR="005A588A">
        <w:t>（</w:t>
      </w:r>
      <w:r w:rsidRPr="00F33D47">
        <w:t>統計至106年5月31日</w:t>
      </w:r>
      <w:r w:rsidR="005A588A" w:rsidRPr="005A588A">
        <w:t>）</w:t>
      </w:r>
      <w:r w:rsidRPr="00F33D47">
        <w:rPr>
          <w:rFonts w:hint="eastAsia"/>
        </w:rPr>
        <w:t>顯示</w:t>
      </w:r>
      <w:r w:rsidRPr="00F33D47">
        <w:t>，</w:t>
      </w:r>
      <w:r w:rsidRPr="00F33D47">
        <w:rPr>
          <w:rFonts w:hint="eastAsia"/>
        </w:rPr>
        <w:t>列管</w:t>
      </w:r>
      <w:r w:rsidRPr="00F33D47">
        <w:t>追蹤</w:t>
      </w:r>
      <w:r w:rsidRPr="00F33D47">
        <w:rPr>
          <w:rFonts w:hint="eastAsia"/>
        </w:rPr>
        <w:t>計有</w:t>
      </w:r>
      <w:r w:rsidRPr="00F33D47">
        <w:t>37案，與農委會列冊</w:t>
      </w:r>
      <w:r w:rsidRPr="00F33D47">
        <w:rPr>
          <w:rFonts w:hint="eastAsia"/>
        </w:rPr>
        <w:t>之108案，</w:t>
      </w:r>
      <w:r w:rsidRPr="00F33D47">
        <w:t>數量</w:t>
      </w:r>
      <w:r w:rsidRPr="00F33D47">
        <w:rPr>
          <w:rFonts w:hint="eastAsia"/>
        </w:rPr>
        <w:t>落差甚大，</w:t>
      </w:r>
      <w:r w:rsidRPr="00F33D47">
        <w:t>已如前述</w:t>
      </w:r>
      <w:r w:rsidRPr="00F33D47">
        <w:rPr>
          <w:rFonts w:hint="eastAsia"/>
        </w:rPr>
        <w:t>。而</w:t>
      </w:r>
      <w:r w:rsidRPr="00F33D47">
        <w:t>該37</w:t>
      </w:r>
      <w:r w:rsidRPr="00F33D47">
        <w:rPr>
          <w:rFonts w:hint="eastAsia"/>
        </w:rPr>
        <w:t>案</w:t>
      </w:r>
      <w:r w:rsidRPr="00F33D47">
        <w:t>多係自105年9月</w:t>
      </w:r>
      <w:r w:rsidRPr="00F33D47">
        <w:rPr>
          <w:rFonts w:hint="eastAsia"/>
        </w:rPr>
        <w:t>至</w:t>
      </w:r>
      <w:r w:rsidRPr="00F33D47">
        <w:t>11月間遭廢止容許使用</w:t>
      </w:r>
      <w:r w:rsidRPr="00F33D47">
        <w:rPr>
          <w:rFonts w:hint="eastAsia"/>
        </w:rPr>
        <w:t>者，迄今農業設施之</w:t>
      </w:r>
      <w:r w:rsidRPr="00F33D47">
        <w:t>違法狀態</w:t>
      </w:r>
      <w:r w:rsidRPr="00F33D47">
        <w:rPr>
          <w:rFonts w:hint="eastAsia"/>
        </w:rPr>
        <w:t>仍未</w:t>
      </w:r>
      <w:r w:rsidRPr="00F33D47">
        <w:t>排除，</w:t>
      </w:r>
      <w:r w:rsidRPr="00F33D47">
        <w:rPr>
          <w:rFonts w:hint="eastAsia"/>
        </w:rPr>
        <w:t>且</w:t>
      </w:r>
      <w:r w:rsidRPr="00F33D47">
        <w:t>統計至106年5月31日之「廢止後補貼金額估算」</w:t>
      </w:r>
      <w:r w:rsidRPr="00F33D47">
        <w:rPr>
          <w:rFonts w:hint="eastAsia"/>
        </w:rPr>
        <w:t>，數月間</w:t>
      </w:r>
      <w:r w:rsidRPr="00F33D47">
        <w:t>已逾</w:t>
      </w:r>
      <w:r w:rsidR="00B90DB1">
        <w:rPr>
          <w:rFonts w:hint="eastAsia"/>
        </w:rPr>
        <w:t>新臺幣(下同)</w:t>
      </w:r>
      <w:r w:rsidRPr="00F33D47">
        <w:t>2,000萬元，</w:t>
      </w:r>
      <w:r w:rsidRPr="00F33D47">
        <w:rPr>
          <w:rFonts w:hint="eastAsia"/>
        </w:rPr>
        <w:t>遑論倘與農委會列冊之108案逐一比對，持續享有再生能源補貼者，不知幾何。</w:t>
      </w:r>
    </w:p>
    <w:p w:rsidR="00F33D47" w:rsidRPr="00F33D47" w:rsidRDefault="00F33D47" w:rsidP="00F33D47">
      <w:pPr>
        <w:pStyle w:val="4"/>
        <w:numPr>
          <w:ilvl w:val="3"/>
          <w:numId w:val="1"/>
        </w:numPr>
      </w:pPr>
      <w:r w:rsidRPr="00F33D47">
        <w:rPr>
          <w:rFonts w:hint="eastAsia"/>
        </w:rPr>
        <w:t>能源局106年3月27日奉局長核定簽呈，僅針對農業設施容許使用遭廢止後，是否配合廢止其再生能源設備認定一事簽擬意見，然對於改善期間經過後，仍未能改善而遭廢止設備登記者，後續衍生應依行政程序法第127條規定，請求受益人於應返還之範圍內，返還所受領之電費補貼等相關事項</w:t>
      </w:r>
      <w:r w:rsidR="00426716">
        <w:rPr>
          <w:rFonts w:hint="eastAsia"/>
        </w:rPr>
        <w:t>均未討論。又如現今實務上，</w:t>
      </w:r>
      <w:r w:rsidRPr="00F33D47">
        <w:rPr>
          <w:rFonts w:hint="eastAsia"/>
        </w:rPr>
        <w:t>能源局尚有4案</w:t>
      </w:r>
      <w:r w:rsidRPr="00F33D47">
        <w:rPr>
          <w:rFonts w:hint="eastAsia"/>
        </w:rPr>
        <w:lastRenderedPageBreak/>
        <w:t>件係經申請人改善後重新取得農業設施容許使用同意書，因而未遭廢止設備登記文件之案例。則該改善期間</w:t>
      </w:r>
      <w:r w:rsidR="005A588A">
        <w:rPr>
          <w:rFonts w:hint="eastAsia"/>
        </w:rPr>
        <w:t>（</w:t>
      </w:r>
      <w:r w:rsidRPr="00F33D47">
        <w:rPr>
          <w:rFonts w:hint="eastAsia"/>
        </w:rPr>
        <w:t>自農業設施容許使用同意書廢止後，迄至重新取得另一農業設施容許使用同意書；或搬遷它處等其它改善方式</w:t>
      </w:r>
      <w:r w:rsidR="005A588A" w:rsidRPr="005A588A">
        <w:rPr>
          <w:rFonts w:hint="eastAsia"/>
        </w:rPr>
        <w:t>）</w:t>
      </w:r>
      <w:r w:rsidRPr="00F33D47">
        <w:rPr>
          <w:rFonts w:hint="eastAsia"/>
        </w:rPr>
        <w:t>，該再生能源設備登記之申請人是否無法律上之原因，而生受領電費補貼適法性之疑義</w:t>
      </w:r>
      <w:r w:rsidRPr="00F33D47">
        <w:rPr>
          <w:rFonts w:hAnsi="標楷體" w:hint="eastAsia"/>
        </w:rPr>
        <w:t>？</w:t>
      </w:r>
      <w:r w:rsidRPr="00F33D47">
        <w:rPr>
          <w:rFonts w:hint="eastAsia"/>
        </w:rPr>
        <w:t>有無公法上不當得利情形</w:t>
      </w:r>
      <w:r w:rsidRPr="00F33D47">
        <w:rPr>
          <w:rFonts w:hAnsi="標楷體" w:hint="eastAsia"/>
        </w:rPr>
        <w:t>？</w:t>
      </w:r>
      <w:r w:rsidR="00BD4CAF">
        <w:rPr>
          <w:rFonts w:hAnsi="標楷體" w:hint="eastAsia"/>
        </w:rPr>
        <w:t>能源局</w:t>
      </w:r>
      <w:r w:rsidR="008F23BB">
        <w:rPr>
          <w:rFonts w:hint="eastAsia"/>
        </w:rPr>
        <w:t>允應</w:t>
      </w:r>
      <w:r w:rsidR="00BD4CAF">
        <w:rPr>
          <w:rFonts w:hint="eastAsia"/>
        </w:rPr>
        <w:t>就</w:t>
      </w:r>
      <w:r w:rsidR="008F23BB">
        <w:rPr>
          <w:rFonts w:hint="eastAsia"/>
        </w:rPr>
        <w:t>前</w:t>
      </w:r>
      <w:proofErr w:type="gramStart"/>
      <w:r w:rsidR="008F23BB">
        <w:rPr>
          <w:rFonts w:hint="eastAsia"/>
        </w:rPr>
        <w:t>揭綠能</w:t>
      </w:r>
      <w:proofErr w:type="gramEnd"/>
      <w:r w:rsidR="008F23BB">
        <w:rPr>
          <w:rFonts w:hint="eastAsia"/>
        </w:rPr>
        <w:t>設施之</w:t>
      </w:r>
      <w:r w:rsidR="00BD4CAF">
        <w:rPr>
          <w:rFonts w:hint="eastAsia"/>
        </w:rPr>
        <w:t>補貼</w:t>
      </w:r>
      <w:r w:rsidR="008F23BB">
        <w:rPr>
          <w:rFonts w:hint="eastAsia"/>
        </w:rPr>
        <w:t>電費之適法性</w:t>
      </w:r>
      <w:r w:rsidR="00924FCD">
        <w:rPr>
          <w:rFonts w:hint="eastAsia"/>
        </w:rPr>
        <w:t>檢討</w:t>
      </w:r>
      <w:proofErr w:type="gramStart"/>
      <w:r w:rsidR="00924FCD">
        <w:rPr>
          <w:rFonts w:hint="eastAsia"/>
        </w:rPr>
        <w:t>研</w:t>
      </w:r>
      <w:proofErr w:type="gramEnd"/>
      <w:r w:rsidR="00924FCD">
        <w:rPr>
          <w:rFonts w:hint="eastAsia"/>
        </w:rPr>
        <w:t>議。</w:t>
      </w:r>
    </w:p>
    <w:p w:rsidR="00F33D47" w:rsidRPr="00A46BE8" w:rsidRDefault="00F33D47" w:rsidP="00F33D47">
      <w:pPr>
        <w:pStyle w:val="4"/>
        <w:numPr>
          <w:ilvl w:val="3"/>
          <w:numId w:val="1"/>
        </w:numPr>
      </w:pPr>
      <w:r w:rsidRPr="00F33D47">
        <w:rPr>
          <w:rFonts w:hint="eastAsia"/>
        </w:rPr>
        <w:t>針對前述情事</w:t>
      </w:r>
      <w:r w:rsidRPr="00F33D47">
        <w:t>，行政院吳政忠政務委員於106年4月28日召開「農地違規光電設施</w:t>
      </w:r>
      <w:proofErr w:type="gramStart"/>
      <w:r w:rsidRPr="00F33D47">
        <w:t>停止躉購電價</w:t>
      </w:r>
      <w:proofErr w:type="gramEnd"/>
      <w:r w:rsidRPr="00F33D47">
        <w:t>補貼</w:t>
      </w:r>
      <w:proofErr w:type="gramStart"/>
      <w:r w:rsidRPr="00F33D47">
        <w:t>研</w:t>
      </w:r>
      <w:proofErr w:type="gramEnd"/>
      <w:r w:rsidRPr="00F33D47">
        <w:t>商會議」，</w:t>
      </w:r>
      <w:r w:rsidRPr="00F33D47">
        <w:rPr>
          <w:rFonts w:hint="eastAsia"/>
        </w:rPr>
        <w:t>已</w:t>
      </w:r>
      <w:r w:rsidRPr="00F33D47">
        <w:t>決議：「目前已遭農業主管機關廢止許可之</w:t>
      </w:r>
      <w:proofErr w:type="gramStart"/>
      <w:r w:rsidRPr="00F33D47">
        <w:t>營農型</w:t>
      </w:r>
      <w:proofErr w:type="gramEnd"/>
      <w:r w:rsidRPr="00F33D47">
        <w:t>太陽光電設施，請經濟部依規定儘速</w:t>
      </w:r>
      <w:proofErr w:type="gramStart"/>
      <w:r w:rsidRPr="00F33D47">
        <w:t>停止躉購電價</w:t>
      </w:r>
      <w:proofErr w:type="gramEnd"/>
      <w:r w:rsidRPr="00F33D47">
        <w:t>補貼；爾後，</w:t>
      </w:r>
      <w:proofErr w:type="gramStart"/>
      <w:r w:rsidRPr="00F33D47">
        <w:t>營農型</w:t>
      </w:r>
      <w:proofErr w:type="gramEnd"/>
      <w:r w:rsidRPr="00F33D47">
        <w:t>光電設施案場，一經農業主管機關廢止容許使用許可，能源主管機關應同步</w:t>
      </w:r>
      <w:proofErr w:type="gramStart"/>
      <w:r w:rsidRPr="00F33D47">
        <w:t>停止躉購電價</w:t>
      </w:r>
      <w:proofErr w:type="gramEnd"/>
      <w:r w:rsidRPr="00F33D47">
        <w:t>補貼，請經濟部能源局及本院農委會1</w:t>
      </w:r>
      <w:proofErr w:type="gramStart"/>
      <w:r w:rsidRPr="00F33D47">
        <w:t>週</w:t>
      </w:r>
      <w:proofErr w:type="gramEnd"/>
      <w:r w:rsidRPr="00F33D47">
        <w:t>內</w:t>
      </w:r>
      <w:proofErr w:type="gramStart"/>
      <w:r w:rsidRPr="00F33D47">
        <w:t>研</w:t>
      </w:r>
      <w:proofErr w:type="gramEnd"/>
      <w:r w:rsidRPr="00F33D47">
        <w:t>商可行程序並儘速施行，以遏止違規投機行為並端正視聽</w:t>
      </w:r>
      <w:r w:rsidRPr="00F33D47">
        <w:t>…</w:t>
      </w:r>
      <w:proofErr w:type="gramStart"/>
      <w:r w:rsidRPr="00F33D47">
        <w:t>…</w:t>
      </w:r>
      <w:proofErr w:type="gramEnd"/>
      <w:r w:rsidRPr="00F33D47">
        <w:rPr>
          <w:rFonts w:hint="eastAsia"/>
        </w:rPr>
        <w:t>。</w:t>
      </w:r>
      <w:r w:rsidRPr="00F33D47">
        <w:t>」</w:t>
      </w:r>
      <w:proofErr w:type="gramStart"/>
      <w:r w:rsidRPr="00F33D47">
        <w:rPr>
          <w:rFonts w:hint="eastAsia"/>
        </w:rPr>
        <w:t>惟</w:t>
      </w:r>
      <w:proofErr w:type="gramEnd"/>
      <w:r w:rsidRPr="00F33D47">
        <w:rPr>
          <w:rFonts w:hint="eastAsia"/>
        </w:rPr>
        <w:t>，</w:t>
      </w:r>
      <w:r w:rsidRPr="00F33D47">
        <w:t>該會議後3</w:t>
      </w:r>
      <w:r w:rsidR="00157D79">
        <w:t>個月餘，</w:t>
      </w:r>
      <w:proofErr w:type="gramStart"/>
      <w:r w:rsidR="00157D79">
        <w:t>詢</w:t>
      </w:r>
      <w:proofErr w:type="gramEnd"/>
      <w:r w:rsidR="00157D79">
        <w:t>據</w:t>
      </w:r>
      <w:r w:rsidR="000B4CA7">
        <w:rPr>
          <w:rFonts w:hint="eastAsia"/>
        </w:rPr>
        <w:t>經濟部</w:t>
      </w:r>
      <w:r w:rsidRPr="00F33D47">
        <w:t>僅查復本院43件農業設施廢止案件清單及處理狀態，未能說明</w:t>
      </w:r>
      <w:r w:rsidRPr="00F33D47">
        <w:rPr>
          <w:rFonts w:hint="eastAsia"/>
        </w:rPr>
        <w:t>對於上級長官指示「同步</w:t>
      </w:r>
      <w:proofErr w:type="gramStart"/>
      <w:r w:rsidRPr="00F33D47">
        <w:rPr>
          <w:rFonts w:hint="eastAsia"/>
        </w:rPr>
        <w:t>停止躉購電價</w:t>
      </w:r>
      <w:proofErr w:type="gramEnd"/>
      <w:r w:rsidRPr="00F33D47">
        <w:rPr>
          <w:rFonts w:hint="eastAsia"/>
        </w:rPr>
        <w:t>補貼」一事，有無適法性評估、</w:t>
      </w:r>
      <w:proofErr w:type="gramStart"/>
      <w:r w:rsidRPr="00F33D47">
        <w:rPr>
          <w:rFonts w:hint="eastAsia"/>
        </w:rPr>
        <w:t>研</w:t>
      </w:r>
      <w:proofErr w:type="gramEnd"/>
      <w:r w:rsidRPr="00F33D47">
        <w:rPr>
          <w:rFonts w:hint="eastAsia"/>
        </w:rPr>
        <w:t>商或其他</w:t>
      </w:r>
      <w:r w:rsidRPr="00F33D47">
        <w:t>續處作為，</w:t>
      </w:r>
      <w:r w:rsidRPr="00F33D47">
        <w:rPr>
          <w:rFonts w:hint="eastAsia"/>
        </w:rPr>
        <w:t>顯有</w:t>
      </w:r>
      <w:proofErr w:type="gramStart"/>
      <w:r w:rsidRPr="00F33D47">
        <w:t>怠</w:t>
      </w:r>
      <w:proofErr w:type="gramEnd"/>
      <w:r w:rsidRPr="00F33D47">
        <w:t>失</w:t>
      </w:r>
      <w:r w:rsidR="00736104">
        <w:rPr>
          <w:rFonts w:hint="eastAsia"/>
        </w:rPr>
        <w:t>，</w:t>
      </w:r>
      <w:r w:rsidRPr="00F33D47">
        <w:rPr>
          <w:rFonts w:hint="eastAsia"/>
        </w:rPr>
        <w:t>而</w:t>
      </w:r>
      <w:r w:rsidR="00736104">
        <w:rPr>
          <w:rFonts w:hint="eastAsia"/>
        </w:rPr>
        <w:t>對於</w:t>
      </w:r>
      <w:r w:rsidRPr="00F33D47">
        <w:rPr>
          <w:rFonts w:hint="eastAsia"/>
        </w:rPr>
        <w:t>任令</w:t>
      </w:r>
      <w:r w:rsidRPr="00F33D47">
        <w:t>違法狀態</w:t>
      </w:r>
      <w:r w:rsidRPr="00F33D47">
        <w:rPr>
          <w:rFonts w:hint="eastAsia"/>
        </w:rPr>
        <w:t>既未</w:t>
      </w:r>
      <w:r w:rsidRPr="00655CAA">
        <w:t>排除，</w:t>
      </w:r>
      <w:r w:rsidRPr="00655CAA">
        <w:rPr>
          <w:rFonts w:hint="eastAsia"/>
        </w:rPr>
        <w:t>申請人尚能</w:t>
      </w:r>
      <w:r w:rsidRPr="00655CAA">
        <w:t>持續享有再生能源</w:t>
      </w:r>
      <w:r w:rsidRPr="00655CAA">
        <w:rPr>
          <w:rFonts w:hint="eastAsia"/>
        </w:rPr>
        <w:t>電費</w:t>
      </w:r>
      <w:r w:rsidRPr="00655CAA">
        <w:t>補貼</w:t>
      </w:r>
      <w:r w:rsidRPr="00655CAA">
        <w:rPr>
          <w:rFonts w:hint="eastAsia"/>
        </w:rPr>
        <w:t>，</w:t>
      </w:r>
      <w:r>
        <w:rPr>
          <w:rFonts w:hint="eastAsia"/>
        </w:rPr>
        <w:t>亦</w:t>
      </w:r>
      <w:r w:rsidRPr="00655CAA">
        <w:rPr>
          <w:rFonts w:hint="eastAsia"/>
        </w:rPr>
        <w:t>難辭管理失當之責。</w:t>
      </w:r>
    </w:p>
    <w:p w:rsidR="000E2F23" w:rsidRDefault="00157D79" w:rsidP="00F33D47">
      <w:pPr>
        <w:pStyle w:val="3"/>
        <w:numPr>
          <w:ilvl w:val="2"/>
          <w:numId w:val="1"/>
        </w:numPr>
      </w:pPr>
      <w:r>
        <w:t>綜上，</w:t>
      </w:r>
      <w:r w:rsidR="00CB4E79" w:rsidRPr="00CB4E79">
        <w:rPr>
          <w:rFonts w:hint="eastAsia"/>
        </w:rPr>
        <w:t>能源局</w:t>
      </w:r>
      <w:r w:rsidR="00CB4E79" w:rsidRPr="00CB4E79">
        <w:t>辦理農業設施容許使用同意廢止後</w:t>
      </w:r>
      <w:r w:rsidR="00CB4E79" w:rsidRPr="00CB4E79">
        <w:rPr>
          <w:rFonts w:hint="eastAsia"/>
        </w:rPr>
        <w:t>之</w:t>
      </w:r>
      <w:r w:rsidR="00CB4E79" w:rsidRPr="00CB4E79">
        <w:t>設備登記廢止案件，</w:t>
      </w:r>
      <w:r w:rsidR="00CB4E79" w:rsidRPr="00CB4E79">
        <w:rPr>
          <w:rFonts w:hint="eastAsia"/>
        </w:rPr>
        <w:t>僅</w:t>
      </w:r>
      <w:r w:rsidR="00CB4E79" w:rsidRPr="00CB4E79">
        <w:t>列冊追蹤37</w:t>
      </w:r>
      <w:r w:rsidR="00CB4E79" w:rsidRPr="00CB4E79">
        <w:rPr>
          <w:rFonts w:hint="eastAsia"/>
        </w:rPr>
        <w:t>案</w:t>
      </w:r>
      <w:r w:rsidR="00CB4E79" w:rsidRPr="00CB4E79">
        <w:t>，</w:t>
      </w:r>
      <w:r w:rsidR="00CB4E79" w:rsidRPr="00CB4E79">
        <w:rPr>
          <w:rFonts w:hint="eastAsia"/>
        </w:rPr>
        <w:t>除</w:t>
      </w:r>
      <w:r w:rsidR="00CB4E79" w:rsidRPr="00CB4E79">
        <w:t>與農委會廢止清冊</w:t>
      </w:r>
      <w:r w:rsidR="00CB4E79" w:rsidRPr="00CB4E79">
        <w:rPr>
          <w:rFonts w:hint="eastAsia"/>
        </w:rPr>
        <w:t>所列之</w:t>
      </w:r>
      <w:r w:rsidR="00CB4E79" w:rsidRPr="00CB4E79">
        <w:t>108案數量</w:t>
      </w:r>
      <w:r w:rsidR="00CB4E79" w:rsidRPr="00CB4E79">
        <w:rPr>
          <w:rFonts w:hint="eastAsia"/>
        </w:rPr>
        <w:t>，落差甚大外</w:t>
      </w:r>
      <w:r w:rsidR="00CB4E79" w:rsidRPr="00CB4E79">
        <w:t>，</w:t>
      </w:r>
      <w:r w:rsidR="00CB4E79" w:rsidRPr="00CB4E79">
        <w:rPr>
          <w:rFonts w:hint="eastAsia"/>
        </w:rPr>
        <w:t>且</w:t>
      </w:r>
      <w:r w:rsidR="00CB4E79" w:rsidRPr="00CB4E79">
        <w:t>該37</w:t>
      </w:r>
      <w:r w:rsidR="00CB4E79" w:rsidRPr="00CB4E79">
        <w:rPr>
          <w:rFonts w:hint="eastAsia"/>
        </w:rPr>
        <w:t>案竟能</w:t>
      </w:r>
      <w:r w:rsidR="00CB4E79" w:rsidRPr="00CB4E79">
        <w:t>以「改善中」等理由</w:t>
      </w:r>
      <w:r w:rsidR="00CB4E79" w:rsidRPr="00CB4E79">
        <w:rPr>
          <w:rFonts w:hint="eastAsia"/>
        </w:rPr>
        <w:t>，自105年容許使用同意遭廢止後持續</w:t>
      </w:r>
      <w:r w:rsidR="00CB4E79" w:rsidRPr="00CB4E79">
        <w:t>獲電費補貼逾2,000萬元，</w:t>
      </w:r>
      <w:r w:rsidR="00CB4E79" w:rsidRPr="00CB4E79">
        <w:rPr>
          <w:rFonts w:hint="eastAsia"/>
        </w:rPr>
        <w:t>遑論再與農</w:t>
      </w:r>
      <w:r w:rsidR="00CB4E79" w:rsidRPr="00CB4E79">
        <w:rPr>
          <w:rFonts w:hint="eastAsia"/>
        </w:rPr>
        <w:lastRenderedPageBreak/>
        <w:t>委會列冊案件逐一比對，公帑虛擲不知幾何，顯見能源局未能確實列管追蹤，又怠於執法，</w:t>
      </w:r>
      <w:r w:rsidR="00CB4E79" w:rsidRPr="00CB4E79">
        <w:t>虛擲公帑</w:t>
      </w:r>
      <w:r w:rsidR="00CB4E79" w:rsidRPr="00CB4E79">
        <w:rPr>
          <w:rFonts w:hint="eastAsia"/>
        </w:rPr>
        <w:t>，核有疏失。經濟部未能善盡督導之責，亦難辭其咎。</w:t>
      </w:r>
    </w:p>
    <w:p w:rsidR="00966154" w:rsidRDefault="00966154" w:rsidP="00F33D47">
      <w:pPr>
        <w:pStyle w:val="2"/>
        <w:numPr>
          <w:ilvl w:val="1"/>
          <w:numId w:val="1"/>
        </w:numPr>
        <w:ind w:left="1021"/>
        <w:rPr>
          <w:b/>
        </w:rPr>
      </w:pPr>
      <w:r w:rsidRPr="00966154">
        <w:rPr>
          <w:rFonts w:hint="eastAsia"/>
          <w:b/>
        </w:rPr>
        <w:t>能源局於105年辦理</w:t>
      </w:r>
      <w:proofErr w:type="gramStart"/>
      <w:r w:rsidRPr="00966154">
        <w:rPr>
          <w:rFonts w:hint="eastAsia"/>
          <w:b/>
        </w:rPr>
        <w:t>臺</w:t>
      </w:r>
      <w:proofErr w:type="gramEnd"/>
      <w:r w:rsidRPr="00966154">
        <w:rPr>
          <w:rFonts w:hint="eastAsia"/>
          <w:b/>
        </w:rPr>
        <w:t>南市六甲區七甲段之再生能源發電設備登記案，認為</w:t>
      </w:r>
      <w:proofErr w:type="gramStart"/>
      <w:r w:rsidRPr="00966154">
        <w:rPr>
          <w:rFonts w:hint="eastAsia"/>
          <w:b/>
        </w:rPr>
        <w:t>臺</w:t>
      </w:r>
      <w:proofErr w:type="gramEnd"/>
      <w:r w:rsidRPr="00966154">
        <w:rPr>
          <w:rFonts w:hint="eastAsia"/>
          <w:b/>
        </w:rPr>
        <w:t>南市政府雖於現</w:t>
      </w:r>
      <w:proofErr w:type="gramStart"/>
      <w:r w:rsidRPr="00966154">
        <w:rPr>
          <w:rFonts w:hint="eastAsia"/>
          <w:b/>
        </w:rPr>
        <w:t>勘</w:t>
      </w:r>
      <w:proofErr w:type="gramEnd"/>
      <w:r w:rsidRPr="00966154">
        <w:rPr>
          <w:rFonts w:hint="eastAsia"/>
          <w:b/>
        </w:rPr>
        <w:t>表示農業設施與原農業容許</w:t>
      </w:r>
      <w:r w:rsidR="002D7443" w:rsidRPr="00966154">
        <w:rPr>
          <w:rFonts w:hint="eastAsia"/>
          <w:b/>
        </w:rPr>
        <w:t>使</w:t>
      </w:r>
      <w:r w:rsidRPr="00966154">
        <w:rPr>
          <w:rFonts w:hint="eastAsia"/>
          <w:b/>
        </w:rPr>
        <w:t>用同意書不符，惟</w:t>
      </w:r>
      <w:proofErr w:type="gramStart"/>
      <w:r w:rsidRPr="00966154">
        <w:rPr>
          <w:rFonts w:hint="eastAsia"/>
          <w:b/>
        </w:rPr>
        <w:t>彼此間卻因</w:t>
      </w:r>
      <w:proofErr w:type="gramEnd"/>
      <w:r w:rsidRPr="00966154">
        <w:rPr>
          <w:rFonts w:hint="eastAsia"/>
          <w:b/>
        </w:rPr>
        <w:t>未有相關行政防範作為，以致在明知農業設施違規情形，但卻未廢止容許使用同意下，仍予核發設備登記文件，為免</w:t>
      </w:r>
      <w:proofErr w:type="gramStart"/>
      <w:r w:rsidRPr="00966154">
        <w:rPr>
          <w:rFonts w:hint="eastAsia"/>
          <w:b/>
        </w:rPr>
        <w:t>俟</w:t>
      </w:r>
      <w:proofErr w:type="gramEnd"/>
      <w:r w:rsidRPr="00966154">
        <w:rPr>
          <w:rFonts w:hint="eastAsia"/>
          <w:b/>
        </w:rPr>
        <w:t>因廢止容許使用同意所生後續行政處理成本，關於防範機制，亟待農委會及經濟部協調處置，以符實需。</w:t>
      </w:r>
    </w:p>
    <w:p w:rsidR="00F33D47" w:rsidRPr="00F33D47" w:rsidRDefault="00F33D47" w:rsidP="00F33D47">
      <w:pPr>
        <w:pStyle w:val="3"/>
        <w:numPr>
          <w:ilvl w:val="2"/>
          <w:numId w:val="1"/>
        </w:numPr>
        <w:kinsoku w:val="0"/>
        <w:ind w:left="1360" w:hanging="680"/>
        <w:rPr>
          <w:rFonts w:hAnsi="標楷體"/>
        </w:rPr>
      </w:pPr>
      <w:r w:rsidRPr="009A6F1E">
        <w:rPr>
          <w:rFonts w:hAnsi="標楷體"/>
          <w:color w:val="000000" w:themeColor="text1"/>
        </w:rPr>
        <w:t>農委會於104年2月12日</w:t>
      </w:r>
      <w:r w:rsidRPr="009A6F1E">
        <w:rPr>
          <w:rFonts w:hAnsi="標楷體" w:hint="eastAsia"/>
          <w:color w:val="000000" w:themeColor="text1"/>
        </w:rPr>
        <w:t>函</w:t>
      </w:r>
      <w:r w:rsidRPr="009A6F1E">
        <w:rPr>
          <w:rFonts w:hAnsi="標楷體"/>
          <w:color w:val="000000" w:themeColor="text1"/>
        </w:rPr>
        <w:t>釋</w:t>
      </w:r>
      <w:r w:rsidRPr="009A6F1E">
        <w:rPr>
          <w:rFonts w:hAnsi="標楷體" w:hint="eastAsia"/>
          <w:color w:val="000000" w:themeColor="text1"/>
        </w:rPr>
        <w:t>有關</w:t>
      </w:r>
      <w:r w:rsidRPr="009A6F1E">
        <w:rPr>
          <w:rFonts w:hAnsi="標楷體"/>
          <w:color w:val="000000" w:themeColor="text1"/>
        </w:rPr>
        <w:t>農業設施附屬設置綠能設施</w:t>
      </w:r>
      <w:r w:rsidRPr="009A6F1E">
        <w:rPr>
          <w:rFonts w:hAnsi="標楷體" w:hint="eastAsia"/>
          <w:color w:val="000000" w:themeColor="text1"/>
        </w:rPr>
        <w:t>之</w:t>
      </w:r>
      <w:r w:rsidRPr="009A6F1E">
        <w:rPr>
          <w:rFonts w:hAnsi="標楷體"/>
          <w:color w:val="000000" w:themeColor="text1"/>
        </w:rPr>
        <w:t>行政審查程序，</w:t>
      </w:r>
      <w:r w:rsidRPr="009A6F1E">
        <w:rPr>
          <w:rFonts w:hAnsi="標楷體" w:hint="eastAsia"/>
          <w:color w:val="000000" w:themeColor="text1"/>
        </w:rPr>
        <w:t>規範</w:t>
      </w:r>
      <w:r w:rsidRPr="009A6F1E">
        <w:rPr>
          <w:rFonts w:hAnsi="標楷體"/>
          <w:color w:val="000000" w:themeColor="text1"/>
        </w:rPr>
        <w:t>農業主管機關同意申請案得附屬設置綠能設施後，申請人方能向能源主管機關申請綠能設施同意備案</w:t>
      </w:r>
      <w:r w:rsidRPr="009A6F1E">
        <w:rPr>
          <w:rFonts w:hAnsi="標楷體" w:hint="eastAsia"/>
          <w:color w:val="000000" w:themeColor="text1"/>
        </w:rPr>
        <w:t>，已如前述。</w:t>
      </w:r>
      <w:r w:rsidRPr="00F33D47">
        <w:rPr>
          <w:rFonts w:hAnsi="標楷體" w:hint="eastAsia"/>
          <w:color w:val="000000" w:themeColor="text1"/>
        </w:rPr>
        <w:t>嗣</w:t>
      </w:r>
      <w:r w:rsidRPr="00F33D47">
        <w:rPr>
          <w:rFonts w:hAnsi="標楷體"/>
          <w:color w:val="000000" w:themeColor="text1"/>
        </w:rPr>
        <w:t>經濟部</w:t>
      </w:r>
      <w:r w:rsidRPr="00F33D47">
        <w:rPr>
          <w:rFonts w:hAnsi="標楷體" w:hint="eastAsia"/>
          <w:color w:val="000000" w:themeColor="text1"/>
        </w:rPr>
        <w:t>為</w:t>
      </w:r>
      <w:r w:rsidRPr="00F33D47">
        <w:rPr>
          <w:rFonts w:hAnsi="標楷體"/>
          <w:color w:val="000000" w:themeColor="text1"/>
        </w:rPr>
        <w:t>配合農委會落實容許辦法之政策立意，確保農業設施附屬設置綠能設施確實結合農業經營，爰於</w:t>
      </w:r>
      <w:r w:rsidR="005B3929">
        <w:rPr>
          <w:rFonts w:hAnsi="標楷體" w:hint="eastAsia"/>
          <w:color w:val="000000" w:themeColor="text1"/>
        </w:rPr>
        <w:t>104</w:t>
      </w:r>
      <w:r w:rsidRPr="00F33D47">
        <w:rPr>
          <w:rFonts w:hAnsi="標楷體"/>
          <w:color w:val="000000" w:themeColor="text1"/>
        </w:rPr>
        <w:t>年7月3日修正「再生能源發電設備設置管理辦法」第6條第1項之附件「第三型再生能源發電設備</w:t>
      </w:r>
      <w:r w:rsidR="005D5611">
        <w:rPr>
          <w:rStyle w:val="afe"/>
          <w:rFonts w:hAnsi="標楷體"/>
          <w:color w:val="000000" w:themeColor="text1"/>
        </w:rPr>
        <w:footnoteReference w:id="19"/>
      </w:r>
      <w:r w:rsidRPr="00F33D47">
        <w:rPr>
          <w:rFonts w:hAnsi="標楷體"/>
          <w:color w:val="000000" w:themeColor="text1"/>
        </w:rPr>
        <w:t>申請同意備案檢附文書說明」第2點第6項，</w:t>
      </w:r>
      <w:r w:rsidRPr="00F33D47">
        <w:rPr>
          <w:rFonts w:hAnsi="標楷體" w:hint="eastAsia"/>
          <w:color w:val="000000" w:themeColor="text1"/>
        </w:rPr>
        <w:t>明定</w:t>
      </w:r>
      <w:r w:rsidRPr="00F33D47">
        <w:rPr>
          <w:rFonts w:hAnsi="標楷體"/>
          <w:color w:val="000000" w:themeColor="text1"/>
        </w:rPr>
        <w:t>農業設施容許使用同意文件為申請再生能源發電設備認定必備文件。</w:t>
      </w:r>
    </w:p>
    <w:p w:rsidR="00F33D47" w:rsidRPr="00F33D47" w:rsidRDefault="00F33D47" w:rsidP="00F33D47">
      <w:pPr>
        <w:pStyle w:val="3"/>
        <w:numPr>
          <w:ilvl w:val="2"/>
          <w:numId w:val="1"/>
        </w:numPr>
        <w:rPr>
          <w:rFonts w:hAnsi="標楷體"/>
        </w:rPr>
      </w:pPr>
      <w:r w:rsidRPr="00F33D47">
        <w:rPr>
          <w:rFonts w:hAnsi="標楷體" w:hint="eastAsia"/>
        </w:rPr>
        <w:t>查</w:t>
      </w:r>
      <w:r w:rsidRPr="00F33D47">
        <w:rPr>
          <w:rFonts w:hAnsi="標楷體"/>
        </w:rPr>
        <w:t>農委會為避免綠能設施興建方式未符容許辦法</w:t>
      </w:r>
      <w:r w:rsidRPr="00F33D47">
        <w:rPr>
          <w:rFonts w:hAnsi="標楷體" w:hint="eastAsia"/>
        </w:rPr>
        <w:t>者</w:t>
      </w:r>
      <w:r w:rsidRPr="00F33D47">
        <w:rPr>
          <w:rFonts w:hAnsi="標楷體"/>
        </w:rPr>
        <w:t>，仍能取得能源主管機關之設備登記文件，</w:t>
      </w:r>
      <w:r w:rsidRPr="00F33D47">
        <w:rPr>
          <w:rFonts w:hAnsi="標楷體" w:hint="eastAsia"/>
        </w:rPr>
        <w:t>進而</w:t>
      </w:r>
      <w:r w:rsidRPr="00F33D47">
        <w:rPr>
          <w:rFonts w:hAnsi="標楷體"/>
        </w:rPr>
        <w:t>享有政府躉購電價補貼之不合理情形，曾於104年12月15日、105年2月4日兩</w:t>
      </w:r>
      <w:r w:rsidRPr="00F33D47">
        <w:rPr>
          <w:rFonts w:hAnsi="標楷體" w:hint="eastAsia"/>
        </w:rPr>
        <w:t>次</w:t>
      </w:r>
      <w:r w:rsidR="001B48D3">
        <w:rPr>
          <w:rFonts w:hAnsi="標楷體"/>
        </w:rPr>
        <w:t>主動函請</w:t>
      </w:r>
      <w:r w:rsidRPr="00F33D47">
        <w:rPr>
          <w:rFonts w:hAnsi="標楷體"/>
        </w:rPr>
        <w:t>能源局於設備登記核發作業時，通知農業主管機關完工會勘，審查農</w:t>
      </w:r>
      <w:r w:rsidR="001B48D3">
        <w:rPr>
          <w:rFonts w:hAnsi="標楷體"/>
        </w:rPr>
        <w:t>業設施有無違反相關法令規定，避免衍生後</w:t>
      </w:r>
      <w:r w:rsidR="001B48D3">
        <w:rPr>
          <w:rFonts w:hAnsi="標楷體"/>
        </w:rPr>
        <w:lastRenderedPageBreak/>
        <w:t>續適法性之執行困擾。</w:t>
      </w:r>
      <w:r w:rsidRPr="00F33D47">
        <w:rPr>
          <w:rFonts w:hAnsi="標楷體"/>
        </w:rPr>
        <w:t>能源局於105年3月1日函復略以：「……本局將配合貴會所提建議，於辦理查驗作業時將另函通知當地直轄市、縣</w:t>
      </w:r>
      <w:r w:rsidR="005A588A">
        <w:rPr>
          <w:rFonts w:hAnsi="標楷體"/>
        </w:rPr>
        <w:t>（</w:t>
      </w:r>
      <w:r w:rsidRPr="00F33D47">
        <w:rPr>
          <w:rFonts w:hAnsi="標楷體"/>
        </w:rPr>
        <w:t>市</w:t>
      </w:r>
      <w:r w:rsidR="005A588A" w:rsidRPr="005A588A">
        <w:rPr>
          <w:rFonts w:hAnsi="標楷體"/>
        </w:rPr>
        <w:t>）</w:t>
      </w:r>
      <w:r w:rsidRPr="00F33D47">
        <w:rPr>
          <w:rFonts w:hAnsi="標楷體"/>
        </w:rPr>
        <w:t>農業主管機關表示意見。」</w:t>
      </w:r>
      <w:r w:rsidRPr="00F33D47">
        <w:rPr>
          <w:rFonts w:hAnsi="標楷體" w:hint="eastAsia"/>
        </w:rPr>
        <w:t>惟查</w:t>
      </w:r>
      <w:r w:rsidRPr="00F33D47">
        <w:rPr>
          <w:rFonts w:hAnsi="標楷體"/>
        </w:rPr>
        <w:t>：</w:t>
      </w:r>
    </w:p>
    <w:p w:rsidR="00F33D47" w:rsidRPr="00F33D47" w:rsidRDefault="00F33D47" w:rsidP="00F33D47">
      <w:pPr>
        <w:pStyle w:val="4"/>
        <w:numPr>
          <w:ilvl w:val="3"/>
          <w:numId w:val="1"/>
        </w:numPr>
        <w:rPr>
          <w:rFonts w:hAnsi="標楷體"/>
        </w:rPr>
      </w:pPr>
      <w:r w:rsidRPr="00F33D47">
        <w:rPr>
          <w:rFonts w:hAnsi="標楷體"/>
        </w:rPr>
        <w:t>臺南市六甲區七甲段某地號上之農業設施附屬設置太陽光電發電設備案，總裝置容量305.76瓩</w:t>
      </w:r>
      <w:r w:rsidR="005A588A">
        <w:rPr>
          <w:rFonts w:hAnsi="標楷體"/>
        </w:rPr>
        <w:t>（</w:t>
      </w:r>
      <w:r w:rsidR="00261038">
        <w:rPr>
          <w:rFonts w:hAnsi="標楷體"/>
        </w:rPr>
        <w:t>屬</w:t>
      </w:r>
      <w:r w:rsidR="001B48D3">
        <w:rPr>
          <w:rFonts w:hAnsi="標楷體" w:hint="eastAsia"/>
        </w:rPr>
        <w:t>委任</w:t>
      </w:r>
      <w:r w:rsidRPr="00F33D47">
        <w:rPr>
          <w:rFonts w:hAnsi="標楷體"/>
        </w:rPr>
        <w:t>能源局辦理案件</w:t>
      </w:r>
      <w:r w:rsidR="005A588A" w:rsidRPr="005A588A">
        <w:rPr>
          <w:rFonts w:hAnsi="標楷體"/>
        </w:rPr>
        <w:t>）</w:t>
      </w:r>
      <w:r w:rsidR="00261038">
        <w:rPr>
          <w:rFonts w:hAnsi="標楷體"/>
        </w:rPr>
        <w:t>，</w:t>
      </w:r>
      <w:r w:rsidRPr="00F33D47">
        <w:rPr>
          <w:rFonts w:hAnsi="標楷體"/>
        </w:rPr>
        <w:t>能源局</w:t>
      </w:r>
      <w:r w:rsidRPr="00F33D47">
        <w:rPr>
          <w:rFonts w:hAnsi="標楷體" w:hint="eastAsia"/>
        </w:rPr>
        <w:t>於</w:t>
      </w:r>
      <w:r w:rsidRPr="00F33D47">
        <w:rPr>
          <w:rFonts w:hAnsi="標楷體"/>
        </w:rPr>
        <w:t>104年5月21日核發再生能源發電設備同意備案文件</w:t>
      </w:r>
      <w:r w:rsidRPr="00F33D47">
        <w:rPr>
          <w:rFonts w:hAnsi="標楷體" w:hint="eastAsia"/>
        </w:rPr>
        <w:t>後，</w:t>
      </w:r>
      <w:r w:rsidRPr="00F33D47">
        <w:rPr>
          <w:rFonts w:hAnsi="標楷體"/>
        </w:rPr>
        <w:t>申請人於</w:t>
      </w:r>
      <w:r w:rsidRPr="00F33D47">
        <w:rPr>
          <w:rFonts w:hAnsi="標楷體" w:hint="eastAsia"/>
        </w:rPr>
        <w:t>104</w:t>
      </w:r>
      <w:r w:rsidRPr="00F33D47">
        <w:rPr>
          <w:rFonts w:hAnsi="標楷體"/>
        </w:rPr>
        <w:t>年12月14</w:t>
      </w:r>
      <w:r w:rsidR="001B48D3">
        <w:rPr>
          <w:rFonts w:hAnsi="標楷體"/>
        </w:rPr>
        <w:t>日提出申請再生能源發電設備登記，</w:t>
      </w:r>
      <w:r w:rsidR="001B48D3">
        <w:rPr>
          <w:rFonts w:hAnsi="標楷體" w:hint="eastAsia"/>
        </w:rPr>
        <w:t>能源</w:t>
      </w:r>
      <w:r w:rsidRPr="00F33D47">
        <w:rPr>
          <w:rFonts w:hAnsi="標楷體"/>
        </w:rPr>
        <w:t>局</w:t>
      </w:r>
      <w:r w:rsidRPr="00F33D47">
        <w:rPr>
          <w:rFonts w:hAnsi="標楷體" w:hint="eastAsia"/>
        </w:rPr>
        <w:t>並</w:t>
      </w:r>
      <w:r w:rsidRPr="00F33D47">
        <w:rPr>
          <w:rFonts w:hAnsi="標楷體"/>
        </w:rPr>
        <w:t>於105年1月15日函請申請人、臺南市政府農業局及工務局於</w:t>
      </w:r>
      <w:r w:rsidRPr="00F33D47">
        <w:rPr>
          <w:rFonts w:hAnsi="標楷體" w:hint="eastAsia"/>
        </w:rPr>
        <w:t>105年1</w:t>
      </w:r>
      <w:r w:rsidRPr="00F33D47">
        <w:rPr>
          <w:rFonts w:hAnsi="標楷體"/>
        </w:rPr>
        <w:t>月22日實施現場查驗。</w:t>
      </w:r>
    </w:p>
    <w:p w:rsidR="00F33D47" w:rsidRPr="00F33D47" w:rsidRDefault="00F33D47" w:rsidP="00F33D47">
      <w:pPr>
        <w:pStyle w:val="4"/>
        <w:numPr>
          <w:ilvl w:val="3"/>
          <w:numId w:val="1"/>
        </w:numPr>
        <w:rPr>
          <w:rFonts w:hAnsi="標楷體"/>
        </w:rPr>
      </w:pPr>
      <w:r w:rsidRPr="00F33D47">
        <w:rPr>
          <w:rFonts w:hAnsi="標楷體"/>
        </w:rPr>
        <w:t>臺南市政府工務局</w:t>
      </w:r>
      <w:r w:rsidRPr="00F33D47">
        <w:rPr>
          <w:rFonts w:hAnsi="標楷體" w:hint="eastAsia"/>
        </w:rPr>
        <w:t>先</w:t>
      </w:r>
      <w:r w:rsidRPr="00F33D47">
        <w:rPr>
          <w:rFonts w:hAnsi="標楷體"/>
        </w:rPr>
        <w:t>於105年1月21日函</w:t>
      </w:r>
      <w:r w:rsidR="00261038">
        <w:rPr>
          <w:rFonts w:hAnsi="標楷體"/>
        </w:rPr>
        <w:t>復</w:t>
      </w:r>
      <w:r w:rsidRPr="00F33D47">
        <w:rPr>
          <w:rFonts w:hAnsi="標楷體"/>
        </w:rPr>
        <w:t>能源局說明：「查旨揭建築執照竣工未含太陽光電板，僅餘支撐架，尚符合前開規定（『建築法』第4條及『設置再生能源設施免請領雜項執照標準』第3條），非法所不許。惟本局核發建築執照乃依據本府核准之農業設施容許使用項目，相關規定請逕向本府農業局洽詢。」</w:t>
      </w:r>
      <w:r w:rsidR="001B48D3">
        <w:rPr>
          <w:rFonts w:hAnsi="標楷體" w:hint="eastAsia"/>
        </w:rPr>
        <w:t>臺南市政</w:t>
      </w:r>
      <w:r w:rsidRPr="00F33D47">
        <w:rPr>
          <w:rFonts w:hAnsi="標楷體"/>
        </w:rPr>
        <w:t>府農業局</w:t>
      </w:r>
      <w:r w:rsidRPr="00F33D47">
        <w:rPr>
          <w:rFonts w:hAnsi="標楷體" w:hint="eastAsia"/>
        </w:rPr>
        <w:t>於105年1</w:t>
      </w:r>
      <w:r w:rsidRPr="00F33D47">
        <w:rPr>
          <w:rFonts w:hAnsi="標楷體"/>
        </w:rPr>
        <w:t>月22日現勘</w:t>
      </w:r>
      <w:r w:rsidRPr="00F33D47">
        <w:rPr>
          <w:rFonts w:hAnsi="標楷體" w:hint="eastAsia"/>
        </w:rPr>
        <w:t>時即</w:t>
      </w:r>
      <w:r w:rsidRPr="00F33D47">
        <w:rPr>
          <w:rFonts w:hAnsi="標楷體"/>
        </w:rPr>
        <w:t>表示：「臺南市政府103年12月11日府農務字第1031176370號函原核定網室結構種類為鋼骨造無牆，外披覆透光黑網，現地網室結構為頂蓋鋪設太陽板，外牆透光黑網，其頂蓋為不透光材質，與前開同意書內容不符。」</w:t>
      </w:r>
      <w:r w:rsidRPr="00F33D47">
        <w:rPr>
          <w:rFonts w:hAnsi="標楷體" w:hint="eastAsia"/>
        </w:rPr>
        <w:t>惟</w:t>
      </w:r>
      <w:r w:rsidRPr="00F33D47">
        <w:rPr>
          <w:rFonts w:hAnsi="標楷體"/>
        </w:rPr>
        <w:t>能源局於105年4月15日函復申請人，同意發給該案設備登記文件，函中並引述臺南市政府農業局現勘意見，請申請人逕洽該府</w:t>
      </w:r>
      <w:r w:rsidR="005A588A">
        <w:rPr>
          <w:rFonts w:hAnsi="標楷體"/>
        </w:rPr>
        <w:t>（</w:t>
      </w:r>
      <w:r w:rsidRPr="00F33D47">
        <w:rPr>
          <w:rFonts w:hAnsi="標楷體"/>
        </w:rPr>
        <w:t>農業局</w:t>
      </w:r>
      <w:r w:rsidR="005A588A" w:rsidRPr="005A588A">
        <w:rPr>
          <w:rFonts w:hAnsi="標楷體"/>
        </w:rPr>
        <w:t>）</w:t>
      </w:r>
      <w:r w:rsidRPr="00F33D47">
        <w:rPr>
          <w:rFonts w:hAnsi="標楷體"/>
        </w:rPr>
        <w:t>釐清。</w:t>
      </w:r>
    </w:p>
    <w:p w:rsidR="00F33D47" w:rsidRPr="00F33D47" w:rsidRDefault="00F33D47" w:rsidP="00F33D47">
      <w:pPr>
        <w:pStyle w:val="4"/>
        <w:numPr>
          <w:ilvl w:val="3"/>
          <w:numId w:val="1"/>
        </w:numPr>
        <w:rPr>
          <w:rFonts w:hAnsi="標楷體"/>
        </w:rPr>
      </w:pPr>
      <w:r w:rsidRPr="00F33D47">
        <w:rPr>
          <w:rFonts w:hAnsi="標楷體" w:hint="eastAsia"/>
        </w:rPr>
        <w:t>針對前述</w:t>
      </w:r>
      <w:r w:rsidRPr="00F33D47">
        <w:rPr>
          <w:rFonts w:hAnsi="標楷體"/>
        </w:rPr>
        <w:t>臺南市政府</w:t>
      </w:r>
      <w:r w:rsidR="005A588A">
        <w:rPr>
          <w:rFonts w:hAnsi="標楷體"/>
        </w:rPr>
        <w:t>（</w:t>
      </w:r>
      <w:r w:rsidRPr="00F33D47">
        <w:rPr>
          <w:rFonts w:hAnsi="標楷體"/>
        </w:rPr>
        <w:t>農業局</w:t>
      </w:r>
      <w:r w:rsidR="005A588A" w:rsidRPr="005A588A">
        <w:rPr>
          <w:rFonts w:hAnsi="標楷體"/>
        </w:rPr>
        <w:t>）</w:t>
      </w:r>
      <w:r w:rsidRPr="00F33D47">
        <w:rPr>
          <w:rFonts w:hAnsi="標楷體"/>
        </w:rPr>
        <w:t>於現勘時</w:t>
      </w:r>
      <w:r w:rsidRPr="00F33D47">
        <w:rPr>
          <w:rFonts w:hAnsi="標楷體" w:hint="eastAsia"/>
        </w:rPr>
        <w:t>既已明確</w:t>
      </w:r>
      <w:r w:rsidRPr="00F33D47">
        <w:rPr>
          <w:rFonts w:hAnsi="標楷體"/>
        </w:rPr>
        <w:t>告知</w:t>
      </w:r>
      <w:r w:rsidRPr="00F33D47">
        <w:rPr>
          <w:rFonts w:hAnsi="標楷體" w:hint="eastAsia"/>
        </w:rPr>
        <w:t>有關</w:t>
      </w:r>
      <w:r w:rsidRPr="00F33D47">
        <w:rPr>
          <w:rFonts w:hAnsi="標楷體"/>
        </w:rPr>
        <w:t>案場現況之網室結構</w:t>
      </w:r>
      <w:r w:rsidRPr="00F33D47">
        <w:rPr>
          <w:rFonts w:hAnsi="標楷體" w:hint="eastAsia"/>
        </w:rPr>
        <w:t>，</w:t>
      </w:r>
      <w:r w:rsidRPr="00F33D47">
        <w:rPr>
          <w:rFonts w:hAnsi="標楷體"/>
        </w:rPr>
        <w:t>與原核定同意書內容不符</w:t>
      </w:r>
      <w:r w:rsidRPr="00F33D47">
        <w:rPr>
          <w:rFonts w:hAnsi="標楷體" w:hint="eastAsia"/>
        </w:rPr>
        <w:t>，</w:t>
      </w:r>
      <w:r w:rsidR="001B48D3">
        <w:rPr>
          <w:rFonts w:hAnsi="標楷體"/>
        </w:rPr>
        <w:t>應為</w:t>
      </w:r>
      <w:r w:rsidRPr="00F33D47">
        <w:rPr>
          <w:rFonts w:hAnsi="標楷體"/>
        </w:rPr>
        <w:t>設置管理辦法第11條第1項第4</w:t>
      </w:r>
      <w:r w:rsidRPr="00F33D47">
        <w:rPr>
          <w:rFonts w:hAnsi="標楷體"/>
        </w:rPr>
        <w:lastRenderedPageBreak/>
        <w:t>款規定「</w:t>
      </w:r>
      <w:r w:rsidRPr="00F33D47">
        <w:rPr>
          <w:rFonts w:hAnsi="標楷體"/>
        </w:rPr>
        <w:tab/>
        <w:t>有違反法令之情形」</w:t>
      </w:r>
      <w:r w:rsidRPr="00F33D47">
        <w:rPr>
          <w:rFonts w:hAnsi="標楷體" w:hint="eastAsia"/>
        </w:rPr>
        <w:t>，能源局卻</w:t>
      </w:r>
      <w:r w:rsidRPr="00F33D47">
        <w:rPr>
          <w:rFonts w:hAnsi="標楷體"/>
        </w:rPr>
        <w:t>仍同意發給設備登記</w:t>
      </w:r>
      <w:r w:rsidRPr="00F33D47">
        <w:rPr>
          <w:rFonts w:hAnsi="標楷體" w:hint="eastAsia"/>
        </w:rPr>
        <w:t>一事，依據</w:t>
      </w:r>
      <w:r w:rsidRPr="00F33D47">
        <w:rPr>
          <w:rFonts w:hAnsi="標楷體"/>
        </w:rPr>
        <w:t>臺南市政府於106年7月27日查復</w:t>
      </w:r>
      <w:r w:rsidRPr="00F33D47">
        <w:rPr>
          <w:rFonts w:hAnsi="標楷體" w:hint="eastAsia"/>
        </w:rPr>
        <w:t>本院</w:t>
      </w:r>
      <w:r w:rsidRPr="00F33D47">
        <w:rPr>
          <w:rFonts w:hAnsi="標楷體"/>
        </w:rPr>
        <w:t>表示：「……</w:t>
      </w:r>
      <w:r w:rsidR="005A588A">
        <w:rPr>
          <w:rFonts w:hAnsi="標楷體"/>
        </w:rPr>
        <w:t>（</w:t>
      </w:r>
      <w:r w:rsidRPr="00F33D47">
        <w:rPr>
          <w:rFonts w:hAnsi="標楷體"/>
        </w:rPr>
        <w:t>能源局</w:t>
      </w:r>
      <w:r w:rsidR="005A588A" w:rsidRPr="005A588A">
        <w:rPr>
          <w:rFonts w:hAnsi="標楷體"/>
        </w:rPr>
        <w:t>）</w:t>
      </w:r>
      <w:r w:rsidRPr="00F33D47">
        <w:rPr>
          <w:rFonts w:hAnsi="標楷體"/>
        </w:rPr>
        <w:t>並未函文檢送當日會勘紀錄供本府後續憑辦……仍予核發設備登記文件，故本府未能有效阻卻該類有所疑慮案件之後續申辦作業。」</w:t>
      </w:r>
      <w:r w:rsidRPr="00F33D47">
        <w:rPr>
          <w:rFonts w:hAnsi="標楷體" w:hint="eastAsia"/>
        </w:rPr>
        <w:t>惟經濟部</w:t>
      </w:r>
      <w:r w:rsidRPr="00F33D47">
        <w:rPr>
          <w:rFonts w:hAnsi="標楷體"/>
        </w:rPr>
        <w:t>查復</w:t>
      </w:r>
      <w:r w:rsidRPr="00F33D47">
        <w:rPr>
          <w:rFonts w:hAnsi="標楷體" w:hint="eastAsia"/>
        </w:rPr>
        <w:t>本院</w:t>
      </w:r>
      <w:r w:rsidRPr="00F33D47">
        <w:rPr>
          <w:rFonts w:hAnsi="標楷體"/>
        </w:rPr>
        <w:t>表示略以：「本案設置場址於現勘後，至核發再生能源發電設備登記共歷時近3個月時間，臺南市政府農業局並未函知本部能源局該設置場址是否有確實違反容許辦法，或有相關後續之行</w:t>
      </w:r>
      <w:r w:rsidR="001B48D3">
        <w:rPr>
          <w:rFonts w:hAnsi="標楷體"/>
        </w:rPr>
        <w:t>政行為，且該設置場址之建物與建築法之規定無違，其他文書亦符合</w:t>
      </w:r>
      <w:r w:rsidRPr="00F33D47">
        <w:rPr>
          <w:rFonts w:hAnsi="標楷體"/>
        </w:rPr>
        <w:t>設置管理辦法第10條規定，自無疑義。本於依法行政原則，依設備設置管理辦法第11條規定，……發給再生能源發電設備登記文件。」</w:t>
      </w:r>
    </w:p>
    <w:p w:rsidR="00F33D47" w:rsidRPr="00F33D47" w:rsidRDefault="00F33D47" w:rsidP="00F33D47">
      <w:pPr>
        <w:pStyle w:val="4"/>
        <w:numPr>
          <w:ilvl w:val="3"/>
          <w:numId w:val="1"/>
        </w:numPr>
        <w:rPr>
          <w:rFonts w:hAnsi="標楷體"/>
        </w:rPr>
      </w:pPr>
      <w:r w:rsidRPr="00F33D47">
        <w:rPr>
          <w:rFonts w:hAnsi="標楷體" w:hint="eastAsia"/>
        </w:rPr>
        <w:t>由上可見，</w:t>
      </w:r>
      <w:r w:rsidRPr="00F33D47">
        <w:rPr>
          <w:rFonts w:hAnsi="標楷體"/>
        </w:rPr>
        <w:t>為避免綠能設施興建方式未符容許辦法</w:t>
      </w:r>
      <w:r w:rsidRPr="00F33D47">
        <w:rPr>
          <w:rFonts w:hAnsi="標楷體" w:hint="eastAsia"/>
        </w:rPr>
        <w:t>者</w:t>
      </w:r>
      <w:r w:rsidRPr="00F33D47">
        <w:rPr>
          <w:rFonts w:hAnsi="標楷體"/>
        </w:rPr>
        <w:t>，仍能取得能源主管機關之設備登記文件，</w:t>
      </w:r>
      <w:r w:rsidRPr="00F33D47">
        <w:rPr>
          <w:rFonts w:hAnsi="標楷體" w:hint="eastAsia"/>
        </w:rPr>
        <w:t>進而</w:t>
      </w:r>
      <w:r w:rsidRPr="00F33D47">
        <w:rPr>
          <w:rFonts w:hAnsi="標楷體"/>
        </w:rPr>
        <w:t>享有政府躉購電價補貼之不合理情形，</w:t>
      </w:r>
      <w:r w:rsidRPr="00F33D47">
        <w:rPr>
          <w:rFonts w:hAnsi="標楷體" w:hint="eastAsia"/>
        </w:rPr>
        <w:t>能源局雖已配合農委會</w:t>
      </w:r>
      <w:r w:rsidRPr="00F33D47">
        <w:rPr>
          <w:rFonts w:hAnsi="標楷體"/>
        </w:rPr>
        <w:t>所提建議，於辦理查驗作業時另函通知當地</w:t>
      </w:r>
      <w:r w:rsidRPr="00F33D47">
        <w:rPr>
          <w:rFonts w:hAnsi="標楷體" w:hint="eastAsia"/>
        </w:rPr>
        <w:t>政府</w:t>
      </w:r>
      <w:r w:rsidRPr="00F33D47">
        <w:rPr>
          <w:rFonts w:hAnsi="標楷體"/>
        </w:rPr>
        <w:t>農業主管機關表示意見。</w:t>
      </w:r>
      <w:r w:rsidR="00A833C2">
        <w:rPr>
          <w:rFonts w:hAnsi="標楷體" w:hint="eastAsia"/>
        </w:rPr>
        <w:t>惟因</w:t>
      </w:r>
      <w:r w:rsidR="001B48D3">
        <w:rPr>
          <w:rFonts w:hAnsi="標楷體" w:hint="eastAsia"/>
        </w:rPr>
        <w:t>彼此</w:t>
      </w:r>
      <w:r w:rsidRPr="00F33D47">
        <w:rPr>
          <w:rFonts w:hAnsi="標楷體" w:hint="eastAsia"/>
        </w:rPr>
        <w:t>間毫無協調整合機制，各行其是，致生</w:t>
      </w:r>
      <w:r w:rsidRPr="00F33D47">
        <w:rPr>
          <w:rFonts w:hAnsi="標楷體"/>
        </w:rPr>
        <w:t>農業設施</w:t>
      </w:r>
      <w:r w:rsidRPr="00F33D47">
        <w:rPr>
          <w:rFonts w:hAnsi="標楷體" w:hint="eastAsia"/>
        </w:rPr>
        <w:t>在</w:t>
      </w:r>
      <w:r w:rsidRPr="00F33D47">
        <w:rPr>
          <w:rFonts w:hAnsi="標楷體"/>
        </w:rPr>
        <w:t>違規情形</w:t>
      </w:r>
      <w:r w:rsidRPr="00F33D47">
        <w:rPr>
          <w:rFonts w:hAnsi="標楷體" w:hint="eastAsia"/>
        </w:rPr>
        <w:t>之下，卻仍可獲發</w:t>
      </w:r>
      <w:r w:rsidRPr="00F33D47">
        <w:rPr>
          <w:rFonts w:hAnsi="標楷體"/>
        </w:rPr>
        <w:t>設備登記文件</w:t>
      </w:r>
      <w:r w:rsidRPr="00F33D47">
        <w:rPr>
          <w:rFonts w:hAnsi="標楷體" w:hint="eastAsia"/>
        </w:rPr>
        <w:t>。另</w:t>
      </w:r>
      <w:r w:rsidRPr="00F33D47">
        <w:rPr>
          <w:rFonts w:hAnsi="標楷體"/>
        </w:rPr>
        <w:t>臺南市政府雖</w:t>
      </w:r>
      <w:r w:rsidRPr="00F33D47">
        <w:rPr>
          <w:rFonts w:hAnsi="標楷體" w:hint="eastAsia"/>
        </w:rPr>
        <w:t>稱其</w:t>
      </w:r>
      <w:r w:rsidRPr="00F33D47">
        <w:rPr>
          <w:rFonts w:hAnsi="標楷體"/>
        </w:rPr>
        <w:t>未獲函送會勘紀錄，</w:t>
      </w:r>
      <w:r w:rsidRPr="00F33D47">
        <w:rPr>
          <w:rFonts w:hAnsi="標楷體" w:hint="eastAsia"/>
        </w:rPr>
        <w:t>自</w:t>
      </w:r>
      <w:r w:rsidRPr="00F33D47">
        <w:rPr>
          <w:rFonts w:hAnsi="標楷體"/>
        </w:rPr>
        <w:t>無所知悉該案後續進度</w:t>
      </w:r>
      <w:r w:rsidRPr="00F33D47">
        <w:rPr>
          <w:rFonts w:hAnsi="標楷體" w:hint="eastAsia"/>
        </w:rPr>
        <w:t>等語</w:t>
      </w:r>
      <w:r w:rsidRPr="00F33D47">
        <w:rPr>
          <w:rFonts w:hAnsi="標楷體"/>
        </w:rPr>
        <w:t>，惟查核農地違規情形</w:t>
      </w:r>
      <w:r w:rsidRPr="00F33D47">
        <w:rPr>
          <w:rFonts w:hAnsi="標楷體" w:hint="eastAsia"/>
        </w:rPr>
        <w:t>係</w:t>
      </w:r>
      <w:r w:rsidRPr="00F33D47">
        <w:rPr>
          <w:rFonts w:hAnsi="標楷體"/>
        </w:rPr>
        <w:t>屬</w:t>
      </w:r>
      <w:r w:rsidRPr="00F33D47">
        <w:rPr>
          <w:rFonts w:hAnsi="標楷體" w:hint="eastAsia"/>
        </w:rPr>
        <w:t>該府職掌</w:t>
      </w:r>
      <w:r w:rsidRPr="00F33D47">
        <w:rPr>
          <w:rFonts w:hAnsi="標楷體"/>
        </w:rPr>
        <w:t>範圍，</w:t>
      </w:r>
      <w:r w:rsidRPr="00F33D47">
        <w:rPr>
          <w:rFonts w:hAnsi="標楷體" w:hint="eastAsia"/>
        </w:rPr>
        <w:t>於</w:t>
      </w:r>
      <w:r w:rsidRPr="00F33D47">
        <w:rPr>
          <w:rFonts w:hAnsi="標楷體"/>
        </w:rPr>
        <w:t>現勘後</w:t>
      </w:r>
      <w:r w:rsidRPr="00F33D47">
        <w:rPr>
          <w:rFonts w:hAnsi="標楷體" w:hint="eastAsia"/>
        </w:rPr>
        <w:t>若發現違規情事，自應儘速積極</w:t>
      </w:r>
      <w:r w:rsidRPr="00F33D47">
        <w:rPr>
          <w:rFonts w:hAnsi="標楷體"/>
        </w:rPr>
        <w:t>為適法之處置</w:t>
      </w:r>
      <w:r w:rsidRPr="00F33D47">
        <w:rPr>
          <w:rFonts w:hAnsi="標楷體" w:hint="eastAsia"/>
        </w:rPr>
        <w:t>，然</w:t>
      </w:r>
      <w:r w:rsidRPr="00F33D47">
        <w:rPr>
          <w:rFonts w:hAnsi="標楷體"/>
        </w:rPr>
        <w:t>查農委會提供之「附屬綠能之農業設施經廢止案件違規查核」</w:t>
      </w:r>
      <w:r w:rsidR="005A588A">
        <w:rPr>
          <w:rFonts w:hAnsi="標楷體"/>
        </w:rPr>
        <w:t>（</w:t>
      </w:r>
      <w:r w:rsidRPr="00F33D47">
        <w:rPr>
          <w:rFonts w:hAnsi="標楷體"/>
        </w:rPr>
        <w:t>統計至106年8月2日</w:t>
      </w:r>
      <w:r w:rsidR="005A588A" w:rsidRPr="005A588A">
        <w:rPr>
          <w:rFonts w:hAnsi="標楷體"/>
        </w:rPr>
        <w:t>）</w:t>
      </w:r>
      <w:r w:rsidRPr="00F33D47">
        <w:rPr>
          <w:rFonts w:hAnsi="標楷體" w:hint="eastAsia"/>
        </w:rPr>
        <w:t>及</w:t>
      </w:r>
      <w:r w:rsidRPr="00F33D47">
        <w:rPr>
          <w:rFonts w:hAnsi="標楷體"/>
        </w:rPr>
        <w:t>臺南市政府所提供之「臺南市政府要求改善農業設施屋頂附屬設置綠能設施應結合農業經營案件統計表」</w:t>
      </w:r>
      <w:r w:rsidR="005A588A">
        <w:rPr>
          <w:rFonts w:hAnsi="標楷體"/>
        </w:rPr>
        <w:t>（</w:t>
      </w:r>
      <w:r w:rsidRPr="00F33D47">
        <w:rPr>
          <w:rFonts w:hAnsi="標楷體"/>
        </w:rPr>
        <w:t>統計至</w:t>
      </w:r>
      <w:r w:rsidRPr="00F33D47">
        <w:rPr>
          <w:rFonts w:hAnsi="標楷體"/>
        </w:rPr>
        <w:lastRenderedPageBreak/>
        <w:t>106年5月31日</w:t>
      </w:r>
      <w:r w:rsidR="005A588A" w:rsidRPr="005A588A">
        <w:rPr>
          <w:rFonts w:hAnsi="標楷體"/>
        </w:rPr>
        <w:t>）</w:t>
      </w:r>
      <w:r w:rsidRPr="00F33D47">
        <w:rPr>
          <w:rFonts w:hAnsi="標楷體" w:hint="eastAsia"/>
        </w:rPr>
        <w:t>，皆</w:t>
      </w:r>
      <w:r w:rsidRPr="00F33D47">
        <w:rPr>
          <w:rFonts w:hAnsi="標楷體"/>
        </w:rPr>
        <w:t>未列有臺南市六甲區七甲段案件</w:t>
      </w:r>
      <w:r w:rsidRPr="00F33D47">
        <w:rPr>
          <w:rFonts w:hAnsi="標楷體" w:hint="eastAsia"/>
        </w:rPr>
        <w:t>，足見臺南市政府對於農業設施未依原核定</w:t>
      </w:r>
      <w:r w:rsidRPr="00F33D47">
        <w:rPr>
          <w:rFonts w:hAnsi="標楷體"/>
        </w:rPr>
        <w:t>農業使用計畫內容</w:t>
      </w:r>
      <w:r w:rsidRPr="00F33D47">
        <w:rPr>
          <w:rFonts w:hAnsi="標楷體" w:hint="eastAsia"/>
        </w:rPr>
        <w:t>使用者，未能依法處置，任由違規情事持續存在</w:t>
      </w:r>
      <w:r w:rsidRPr="00F33D47">
        <w:rPr>
          <w:rFonts w:hAnsi="標楷體"/>
        </w:rPr>
        <w:t>。</w:t>
      </w:r>
    </w:p>
    <w:p w:rsidR="00F33D47" w:rsidRPr="00F33D47" w:rsidRDefault="00F33D47" w:rsidP="00F33D47">
      <w:pPr>
        <w:pStyle w:val="3"/>
        <w:numPr>
          <w:ilvl w:val="2"/>
          <w:numId w:val="1"/>
        </w:numPr>
        <w:rPr>
          <w:rFonts w:hAnsi="標楷體"/>
        </w:rPr>
      </w:pPr>
      <w:r w:rsidRPr="00F33D47">
        <w:rPr>
          <w:rFonts w:hAnsi="標楷體"/>
        </w:rPr>
        <w:t>本院於調查中尚發現</w:t>
      </w:r>
      <w:r w:rsidRPr="00F33D47">
        <w:rPr>
          <w:rFonts w:hAnsi="標楷體" w:hint="eastAsia"/>
        </w:rPr>
        <w:t>下列情事</w:t>
      </w:r>
      <w:r w:rsidRPr="00F33D47">
        <w:rPr>
          <w:rFonts w:hAnsi="標楷體"/>
        </w:rPr>
        <w:t>：</w:t>
      </w:r>
    </w:p>
    <w:p w:rsidR="00F33D47" w:rsidRPr="00F33D47" w:rsidRDefault="00F33D47" w:rsidP="00F33D47">
      <w:pPr>
        <w:pStyle w:val="4"/>
        <w:numPr>
          <w:ilvl w:val="3"/>
          <w:numId w:val="1"/>
        </w:numPr>
        <w:rPr>
          <w:rFonts w:hAnsi="標楷體"/>
        </w:rPr>
      </w:pPr>
      <w:r w:rsidRPr="00F33D47">
        <w:rPr>
          <w:rFonts w:hAnsi="標楷體"/>
        </w:rPr>
        <w:t>臺南市六甲區岩埤段共計29筆土地之設備登記案場，依據於105年4月14日之完工會勘紀錄所載略以：「四、協調結論：（一）本案農業設施現場完工情況是否符合申請『農業用地作農業設施容許使用審查辦法』有關網室搭建之相關規定，六甲區公所會勘意見如下：……，網室應以可透光之塑膠布或遮陰網搭建，依本所核發容許使用同意書核定構造種類為『輕鋼鐵構造』</w:t>
      </w:r>
      <w:r w:rsidR="005A588A">
        <w:rPr>
          <w:rFonts w:hAnsi="標楷體"/>
        </w:rPr>
        <w:t>（</w:t>
      </w:r>
      <w:r w:rsidRPr="00F33D47">
        <w:rPr>
          <w:rFonts w:hAnsi="標楷體"/>
        </w:rPr>
        <w:t>外批覆透光黑網</w:t>
      </w:r>
      <w:r w:rsidR="005A588A" w:rsidRPr="005A588A">
        <w:rPr>
          <w:rFonts w:hAnsi="標楷體"/>
        </w:rPr>
        <w:t>）</w:t>
      </w:r>
      <w:r w:rsidRPr="00F33D47">
        <w:rPr>
          <w:rFonts w:hAnsi="標楷體"/>
        </w:rPr>
        <w:t>」現狀網室屋頂為太陽能板與前開規定及原定構造不符。」該申請案於會勘隔日</w:t>
      </w:r>
      <w:r w:rsidRPr="00F33D47">
        <w:rPr>
          <w:rFonts w:hAnsi="標楷體" w:hint="eastAsia"/>
        </w:rPr>
        <w:t>之</w:t>
      </w:r>
      <w:r w:rsidRPr="00F33D47">
        <w:rPr>
          <w:rFonts w:hAnsi="標楷體"/>
        </w:rPr>
        <w:t>105年4月15日獲發設備登記文件，</w:t>
      </w:r>
      <w:r w:rsidRPr="00F33D47">
        <w:rPr>
          <w:rFonts w:hAnsi="標楷體" w:hint="eastAsia"/>
        </w:rPr>
        <w:t>惟</w:t>
      </w:r>
      <w:r w:rsidRPr="00F33D47">
        <w:rPr>
          <w:rFonts w:hAnsi="標楷體"/>
        </w:rPr>
        <w:t>該案場於</w:t>
      </w:r>
      <w:r w:rsidR="002D50C9">
        <w:rPr>
          <w:rFonts w:hAnsi="標楷體" w:hint="eastAsia"/>
        </w:rPr>
        <w:t>105</w:t>
      </w:r>
      <w:r w:rsidRPr="00F33D47">
        <w:rPr>
          <w:rFonts w:hAnsi="標楷體"/>
        </w:rPr>
        <w:t>年7月7日遭六甲區公所廢止容許使用同意。</w:t>
      </w:r>
    </w:p>
    <w:p w:rsidR="00F33D47" w:rsidRPr="00F33D47" w:rsidRDefault="00F33D47" w:rsidP="00F33D47">
      <w:pPr>
        <w:pStyle w:val="4"/>
        <w:numPr>
          <w:ilvl w:val="3"/>
          <w:numId w:val="1"/>
        </w:numPr>
        <w:rPr>
          <w:rFonts w:hAnsi="標楷體"/>
        </w:rPr>
      </w:pPr>
      <w:r w:rsidRPr="00F33D47">
        <w:rPr>
          <w:rFonts w:hAnsi="標楷體"/>
        </w:rPr>
        <w:t>類此情形亦發生於臺南市新營區後鎮段共計23筆土地之設備登記案場，依據105年4月8日完工會勘紀錄所載：「未依原核定計畫搭建及使用……。」</w:t>
      </w:r>
      <w:r w:rsidRPr="00F33D47">
        <w:rPr>
          <w:rFonts w:hAnsi="標楷體" w:hint="eastAsia"/>
        </w:rPr>
        <w:t>惟</w:t>
      </w:r>
      <w:r w:rsidRPr="00F33D47">
        <w:rPr>
          <w:rFonts w:hAnsi="標楷體"/>
        </w:rPr>
        <w:t>該申請案仍分別於105年4月27日及5月6日獲發設備登記文件，</w:t>
      </w:r>
      <w:r w:rsidRPr="00F33D47">
        <w:rPr>
          <w:rFonts w:hAnsi="標楷體" w:hint="eastAsia"/>
        </w:rPr>
        <w:t>嗣後卻</w:t>
      </w:r>
      <w:r w:rsidRPr="00F33D47">
        <w:rPr>
          <w:rFonts w:hAnsi="標楷體"/>
        </w:rPr>
        <w:t>於</w:t>
      </w:r>
      <w:r w:rsidR="002D50C9">
        <w:rPr>
          <w:rFonts w:hAnsi="標楷體" w:hint="eastAsia"/>
        </w:rPr>
        <w:t>105</w:t>
      </w:r>
      <w:r w:rsidRPr="00F33D47">
        <w:rPr>
          <w:rFonts w:hAnsi="標楷體"/>
        </w:rPr>
        <w:t>年9月23日遭新營區公所廢止容許使用同意。</w:t>
      </w:r>
    </w:p>
    <w:p w:rsidR="00F33D47" w:rsidRPr="00F33D47" w:rsidRDefault="00F33D47" w:rsidP="00F33D47">
      <w:pPr>
        <w:pStyle w:val="4"/>
        <w:numPr>
          <w:ilvl w:val="3"/>
          <w:numId w:val="1"/>
        </w:numPr>
        <w:rPr>
          <w:rFonts w:hAnsi="標楷體"/>
        </w:rPr>
      </w:pPr>
      <w:r w:rsidRPr="00F33D47">
        <w:rPr>
          <w:rFonts w:hAnsi="標楷體" w:hint="eastAsia"/>
        </w:rPr>
        <w:t>針對前述情事，</w:t>
      </w:r>
      <w:r w:rsidRPr="00F33D47">
        <w:rPr>
          <w:rFonts w:hAnsi="標楷體"/>
        </w:rPr>
        <w:t>本院</w:t>
      </w:r>
      <w:r w:rsidRPr="00F33D47">
        <w:rPr>
          <w:rFonts w:hAnsi="標楷體" w:hint="eastAsia"/>
        </w:rPr>
        <w:t>於</w:t>
      </w:r>
      <w:r w:rsidRPr="00F33D47">
        <w:rPr>
          <w:rFonts w:hAnsi="標楷體"/>
        </w:rPr>
        <w:t>106年8月間電洽臺南市政府經濟發展局表示</w:t>
      </w:r>
      <w:r w:rsidRPr="00F33D47">
        <w:rPr>
          <w:rFonts w:hAnsi="標楷體" w:hint="eastAsia"/>
        </w:rPr>
        <w:t>：</w:t>
      </w:r>
      <w:r w:rsidRPr="00F33D47">
        <w:rPr>
          <w:rFonts w:hAnsi="標楷體"/>
        </w:rPr>
        <w:t>臺南市六甲區岩埤段29筆土地及新營區後鎮段23筆土地，自105年7月7日及9月23日遭廢止</w:t>
      </w:r>
      <w:r w:rsidRPr="00F33D47">
        <w:rPr>
          <w:rFonts w:hAnsi="標楷體" w:hint="eastAsia"/>
        </w:rPr>
        <w:t>容許使用同意</w:t>
      </w:r>
      <w:r w:rsidRPr="00F33D47">
        <w:rPr>
          <w:rFonts w:hAnsi="標楷體"/>
        </w:rPr>
        <w:t>後，其設備</w:t>
      </w:r>
      <w:r w:rsidRPr="00F33D47">
        <w:rPr>
          <w:rFonts w:hAnsi="標楷體" w:hint="eastAsia"/>
        </w:rPr>
        <w:t>登記</w:t>
      </w:r>
      <w:r w:rsidRPr="00F33D47">
        <w:rPr>
          <w:rFonts w:hAnsi="標楷體"/>
        </w:rPr>
        <w:t>廢止案迄至106年8月18日仍在「陳述意見中」</w:t>
      </w:r>
      <w:r w:rsidRPr="00F33D47">
        <w:rPr>
          <w:rFonts w:hAnsi="標楷體" w:hint="eastAsia"/>
        </w:rPr>
        <w:t>，</w:t>
      </w:r>
      <w:r w:rsidR="002D50C9">
        <w:rPr>
          <w:rFonts w:hAnsi="標楷體"/>
        </w:rPr>
        <w:t>依據</w:t>
      </w:r>
      <w:r w:rsidRPr="00F33D47">
        <w:rPr>
          <w:rFonts w:hAnsi="標楷體"/>
        </w:rPr>
        <w:t>能</w:t>
      </w:r>
      <w:r w:rsidRPr="00F33D47">
        <w:rPr>
          <w:rFonts w:hAnsi="標楷體"/>
        </w:rPr>
        <w:lastRenderedPageBreak/>
        <w:t>源局函釋</w:t>
      </w:r>
      <w:r w:rsidRPr="00F33D47">
        <w:rPr>
          <w:rFonts w:hAnsi="標楷體"/>
          <w:vertAlign w:val="superscript"/>
        </w:rPr>
        <w:footnoteReference w:id="20"/>
      </w:r>
      <w:r w:rsidRPr="00F33D47">
        <w:rPr>
          <w:rFonts w:hAnsi="標楷體"/>
        </w:rPr>
        <w:t>之原則，將視申請案件有無改善之可能，再據以辦理設備登記廢止程序。</w:t>
      </w:r>
    </w:p>
    <w:p w:rsidR="00F33D47" w:rsidRPr="00F33D47" w:rsidRDefault="00F33D47" w:rsidP="00F33D47">
      <w:pPr>
        <w:pStyle w:val="4"/>
        <w:numPr>
          <w:ilvl w:val="3"/>
          <w:numId w:val="1"/>
        </w:numPr>
      </w:pPr>
      <w:r w:rsidRPr="00F33D47">
        <w:rPr>
          <w:rFonts w:hAnsi="標楷體" w:hint="eastAsia"/>
        </w:rPr>
        <w:t>檢視</w:t>
      </w:r>
      <w:r w:rsidRPr="00F33D47">
        <w:rPr>
          <w:rFonts w:hAnsi="標楷體"/>
        </w:rPr>
        <w:t>前揭申請案之辦理流程，皆係農業主管機關於「再生能源設備認定」流程之末-「設備登記」之完工查驗會勘現場，反映現況與原核定農業經營計畫內容不符，</w:t>
      </w:r>
      <w:r w:rsidRPr="00F33D47">
        <w:rPr>
          <w:rFonts w:hAnsi="標楷體" w:hint="eastAsia"/>
        </w:rPr>
        <w:t>而</w:t>
      </w:r>
      <w:r w:rsidRPr="00F33D47">
        <w:rPr>
          <w:rFonts w:hAnsi="標楷體"/>
        </w:rPr>
        <w:t>能源局</w:t>
      </w:r>
      <w:r w:rsidRPr="00F33D47">
        <w:rPr>
          <w:rFonts w:hAnsi="標楷體" w:hint="eastAsia"/>
        </w:rPr>
        <w:t>雖</w:t>
      </w:r>
      <w:r w:rsidRPr="00F33D47">
        <w:rPr>
          <w:rFonts w:hAnsi="標楷體"/>
        </w:rPr>
        <w:t>認為農業主管機關會同完工查驗僅為行政協助性質，且基於現場再生能源發電設備之模組種類、型號、規格及數量、總裝置容量、電號等</w:t>
      </w:r>
      <w:r w:rsidRPr="00F33D47">
        <w:rPr>
          <w:rFonts w:hAnsi="標楷體" w:hint="eastAsia"/>
        </w:rPr>
        <w:t>，</w:t>
      </w:r>
      <w:r w:rsidR="002D50C9">
        <w:rPr>
          <w:rFonts w:hAnsi="標楷體"/>
        </w:rPr>
        <w:t>皆與申請資料相符，依</w:t>
      </w:r>
      <w:r w:rsidRPr="00F33D47">
        <w:rPr>
          <w:rFonts w:hAnsi="標楷體"/>
        </w:rPr>
        <w:t>設置管理辦法相關規定，</w:t>
      </w:r>
      <w:r w:rsidRPr="00F33D47">
        <w:rPr>
          <w:rFonts w:hAnsi="標楷體" w:hint="eastAsia"/>
        </w:rPr>
        <w:t>故</w:t>
      </w:r>
      <w:r w:rsidRPr="00F33D47">
        <w:rPr>
          <w:rFonts w:hAnsi="標楷體"/>
        </w:rPr>
        <w:t>仍發給設備登記文件</w:t>
      </w:r>
      <w:r w:rsidRPr="00F33D47">
        <w:rPr>
          <w:rFonts w:hAnsi="標楷體" w:hint="eastAsia"/>
        </w:rPr>
        <w:t>。惟嗣後</w:t>
      </w:r>
      <w:r w:rsidRPr="00F33D47">
        <w:rPr>
          <w:rFonts w:hAnsi="標楷體"/>
        </w:rPr>
        <w:t>該案場</w:t>
      </w:r>
      <w:r w:rsidRPr="00F33D47">
        <w:rPr>
          <w:rFonts w:hAnsi="標楷體" w:hint="eastAsia"/>
        </w:rPr>
        <w:t>因其</w:t>
      </w:r>
      <w:r w:rsidRPr="00F33D47">
        <w:rPr>
          <w:rFonts w:hAnsi="標楷體"/>
        </w:rPr>
        <w:t>現況與原核定農業經營計畫內容不符</w:t>
      </w:r>
      <w:r w:rsidRPr="00F33D47">
        <w:rPr>
          <w:rFonts w:hAnsi="標楷體" w:hint="eastAsia"/>
        </w:rPr>
        <w:t>，而</w:t>
      </w:r>
      <w:r w:rsidRPr="00F33D47">
        <w:rPr>
          <w:rFonts w:hAnsi="標楷體"/>
        </w:rPr>
        <w:t>旋即遭廢止容許使用</w:t>
      </w:r>
      <w:r w:rsidRPr="00F33D47">
        <w:rPr>
          <w:rFonts w:hAnsi="標楷體" w:hint="eastAsia"/>
        </w:rPr>
        <w:t>同意。以上情事再次凸顯能源主管機關與農業主管機關間毫無協調整合機制，彼此各自為政，致生</w:t>
      </w:r>
      <w:r w:rsidRPr="00F33D47">
        <w:rPr>
          <w:rFonts w:hAnsi="標楷體"/>
        </w:rPr>
        <w:t>農業設施</w:t>
      </w:r>
      <w:r w:rsidRPr="00F33D47">
        <w:rPr>
          <w:rFonts w:hAnsi="標楷體" w:hint="eastAsia"/>
        </w:rPr>
        <w:t>在</w:t>
      </w:r>
      <w:r w:rsidRPr="00F33D47">
        <w:rPr>
          <w:rFonts w:hAnsi="標楷體"/>
        </w:rPr>
        <w:t>違規情形</w:t>
      </w:r>
      <w:r w:rsidRPr="00F33D47">
        <w:rPr>
          <w:rFonts w:hAnsi="標楷體" w:hint="eastAsia"/>
        </w:rPr>
        <w:t>之下，竟仍可獲發</w:t>
      </w:r>
      <w:r w:rsidRPr="00F33D47">
        <w:rPr>
          <w:rFonts w:hAnsi="標楷體"/>
        </w:rPr>
        <w:t>設備登記文件</w:t>
      </w:r>
      <w:r w:rsidRPr="00F33D47">
        <w:rPr>
          <w:rFonts w:hAnsi="標楷體" w:hint="eastAsia"/>
        </w:rPr>
        <w:t>現象</w:t>
      </w:r>
      <w:r w:rsidRPr="00F33D47">
        <w:rPr>
          <w:rFonts w:hAnsi="標楷體"/>
        </w:rPr>
        <w:t>。</w:t>
      </w:r>
    </w:p>
    <w:p w:rsidR="008963A3" w:rsidRDefault="00F33D47" w:rsidP="00F33D47">
      <w:pPr>
        <w:pStyle w:val="3"/>
        <w:numPr>
          <w:ilvl w:val="2"/>
          <w:numId w:val="1"/>
        </w:numPr>
      </w:pPr>
      <w:r w:rsidRPr="00F33D47">
        <w:rPr>
          <w:rFonts w:hint="eastAsia"/>
        </w:rPr>
        <w:t>綜上，</w:t>
      </w:r>
      <w:r w:rsidR="00516241" w:rsidRPr="008963A3">
        <w:rPr>
          <w:rFonts w:hint="eastAsia"/>
        </w:rPr>
        <w:t>能源局</w:t>
      </w:r>
      <w:r w:rsidR="00516241">
        <w:rPr>
          <w:rFonts w:hint="eastAsia"/>
        </w:rPr>
        <w:t>於</w:t>
      </w:r>
      <w:r w:rsidR="008963A3" w:rsidRPr="008963A3">
        <w:rPr>
          <w:rFonts w:hint="eastAsia"/>
        </w:rPr>
        <w:t>105年辦理</w:t>
      </w:r>
      <w:proofErr w:type="gramStart"/>
      <w:r w:rsidR="008963A3" w:rsidRPr="008963A3">
        <w:rPr>
          <w:rFonts w:hint="eastAsia"/>
        </w:rPr>
        <w:t>臺</w:t>
      </w:r>
      <w:proofErr w:type="gramEnd"/>
      <w:r w:rsidR="008963A3" w:rsidRPr="008963A3">
        <w:rPr>
          <w:rFonts w:hint="eastAsia"/>
        </w:rPr>
        <w:t>南市六甲區七甲段之</w:t>
      </w:r>
      <w:r w:rsidR="00516241">
        <w:rPr>
          <w:rFonts w:hint="eastAsia"/>
        </w:rPr>
        <w:t>再生能源發電</w:t>
      </w:r>
      <w:r w:rsidR="008963A3" w:rsidRPr="008963A3">
        <w:rPr>
          <w:rFonts w:hint="eastAsia"/>
        </w:rPr>
        <w:t>設備登記案，認為</w:t>
      </w:r>
      <w:proofErr w:type="gramStart"/>
      <w:r w:rsidR="008963A3" w:rsidRPr="008963A3">
        <w:rPr>
          <w:rFonts w:hint="eastAsia"/>
        </w:rPr>
        <w:t>臺</w:t>
      </w:r>
      <w:proofErr w:type="gramEnd"/>
      <w:r w:rsidR="008963A3" w:rsidRPr="008963A3">
        <w:rPr>
          <w:rFonts w:hint="eastAsia"/>
        </w:rPr>
        <w:t>南市政府雖於現</w:t>
      </w:r>
      <w:proofErr w:type="gramStart"/>
      <w:r w:rsidR="008963A3" w:rsidRPr="008963A3">
        <w:rPr>
          <w:rFonts w:hint="eastAsia"/>
        </w:rPr>
        <w:t>勘</w:t>
      </w:r>
      <w:proofErr w:type="gramEnd"/>
      <w:r w:rsidR="008963A3" w:rsidRPr="008963A3">
        <w:rPr>
          <w:rFonts w:hint="eastAsia"/>
        </w:rPr>
        <w:t>表示農業設施與原農業容</w:t>
      </w:r>
      <w:r w:rsidR="002D7443" w:rsidRPr="008963A3">
        <w:rPr>
          <w:rFonts w:hint="eastAsia"/>
        </w:rPr>
        <w:t>許</w:t>
      </w:r>
      <w:r w:rsidR="008963A3" w:rsidRPr="008963A3">
        <w:rPr>
          <w:rFonts w:hint="eastAsia"/>
        </w:rPr>
        <w:t>使用同意書不符，</w:t>
      </w:r>
      <w:r w:rsidR="00E76394">
        <w:rPr>
          <w:rFonts w:hint="eastAsia"/>
        </w:rPr>
        <w:t>惟</w:t>
      </w:r>
      <w:proofErr w:type="gramStart"/>
      <w:r w:rsidR="00E76394">
        <w:rPr>
          <w:rFonts w:hint="eastAsia"/>
        </w:rPr>
        <w:t>彼此間</w:t>
      </w:r>
      <w:r w:rsidR="008963A3" w:rsidRPr="008963A3">
        <w:rPr>
          <w:rFonts w:hint="eastAsia"/>
        </w:rPr>
        <w:t>卻</w:t>
      </w:r>
      <w:r w:rsidR="00E76394">
        <w:rPr>
          <w:rFonts w:hint="eastAsia"/>
        </w:rPr>
        <w:t>因</w:t>
      </w:r>
      <w:proofErr w:type="gramEnd"/>
      <w:r w:rsidR="008963A3" w:rsidRPr="008963A3">
        <w:rPr>
          <w:rFonts w:hint="eastAsia"/>
        </w:rPr>
        <w:t>未有相關行政</w:t>
      </w:r>
      <w:r w:rsidR="006609E6">
        <w:rPr>
          <w:rFonts w:hint="eastAsia"/>
        </w:rPr>
        <w:t>防範作</w:t>
      </w:r>
      <w:r w:rsidR="008963A3" w:rsidRPr="008963A3">
        <w:rPr>
          <w:rFonts w:hint="eastAsia"/>
        </w:rPr>
        <w:t>為，</w:t>
      </w:r>
      <w:r w:rsidR="00E76394">
        <w:rPr>
          <w:rFonts w:hint="eastAsia"/>
        </w:rPr>
        <w:t>以致</w:t>
      </w:r>
      <w:r w:rsidR="008963A3" w:rsidRPr="008963A3">
        <w:rPr>
          <w:rFonts w:hint="eastAsia"/>
        </w:rPr>
        <w:t>在明知農業設施違規情形，</w:t>
      </w:r>
      <w:r w:rsidR="005346E7">
        <w:rPr>
          <w:rFonts w:hint="eastAsia"/>
        </w:rPr>
        <w:t>但卻</w:t>
      </w:r>
      <w:r w:rsidR="008963A3" w:rsidRPr="008963A3">
        <w:rPr>
          <w:rFonts w:hint="eastAsia"/>
        </w:rPr>
        <w:t>未廢止容許使用同意</w:t>
      </w:r>
      <w:r w:rsidR="005346E7">
        <w:rPr>
          <w:rFonts w:hint="eastAsia"/>
        </w:rPr>
        <w:t>下</w:t>
      </w:r>
      <w:r w:rsidR="008963A3" w:rsidRPr="008963A3">
        <w:rPr>
          <w:rFonts w:hint="eastAsia"/>
        </w:rPr>
        <w:t>，仍予核發設備登記文件</w:t>
      </w:r>
      <w:r w:rsidR="008158F5">
        <w:rPr>
          <w:rFonts w:hint="eastAsia"/>
        </w:rPr>
        <w:t>，為免</w:t>
      </w:r>
      <w:proofErr w:type="gramStart"/>
      <w:r w:rsidR="00A72EEC">
        <w:rPr>
          <w:rFonts w:hint="eastAsia"/>
        </w:rPr>
        <w:t>俟</w:t>
      </w:r>
      <w:proofErr w:type="gramEnd"/>
      <w:r w:rsidR="008158F5">
        <w:rPr>
          <w:rFonts w:hint="eastAsia"/>
        </w:rPr>
        <w:t>因</w:t>
      </w:r>
      <w:r w:rsidR="008158F5" w:rsidRPr="008963A3">
        <w:rPr>
          <w:rFonts w:hint="eastAsia"/>
        </w:rPr>
        <w:t>廢止容許使用同意</w:t>
      </w:r>
      <w:r w:rsidR="008158F5">
        <w:rPr>
          <w:rFonts w:hint="eastAsia"/>
        </w:rPr>
        <w:t>所生</w:t>
      </w:r>
      <w:r w:rsidR="00A72EEC">
        <w:rPr>
          <w:rFonts w:hint="eastAsia"/>
        </w:rPr>
        <w:t>後續行政處理成本，</w:t>
      </w:r>
      <w:r w:rsidR="00E76394">
        <w:rPr>
          <w:rFonts w:hint="eastAsia"/>
        </w:rPr>
        <w:t>關於防範機制</w:t>
      </w:r>
      <w:r w:rsidR="008963A3" w:rsidRPr="008963A3">
        <w:rPr>
          <w:rFonts w:hint="eastAsia"/>
        </w:rPr>
        <w:t>，亟待</w:t>
      </w:r>
      <w:r w:rsidR="00A72EEC">
        <w:rPr>
          <w:rFonts w:hint="eastAsia"/>
        </w:rPr>
        <w:t>農</w:t>
      </w:r>
      <w:r w:rsidR="00E5056C">
        <w:rPr>
          <w:rFonts w:hint="eastAsia"/>
        </w:rPr>
        <w:t>委會</w:t>
      </w:r>
      <w:r w:rsidR="00A72EEC">
        <w:rPr>
          <w:rFonts w:hint="eastAsia"/>
        </w:rPr>
        <w:t>及</w:t>
      </w:r>
      <w:r w:rsidR="00E5056C">
        <w:rPr>
          <w:rFonts w:hint="eastAsia"/>
        </w:rPr>
        <w:t>經濟部</w:t>
      </w:r>
      <w:r w:rsidR="008963A3" w:rsidRPr="008963A3">
        <w:rPr>
          <w:rFonts w:hint="eastAsia"/>
        </w:rPr>
        <w:t>協調</w:t>
      </w:r>
      <w:r w:rsidR="00A72EEC">
        <w:rPr>
          <w:rFonts w:hint="eastAsia"/>
        </w:rPr>
        <w:t>處置</w:t>
      </w:r>
      <w:r w:rsidR="008963A3" w:rsidRPr="008963A3">
        <w:rPr>
          <w:rFonts w:hint="eastAsia"/>
        </w:rPr>
        <w:t>，以符實需。</w:t>
      </w:r>
    </w:p>
    <w:p w:rsidR="00F33D47" w:rsidRPr="000517CC" w:rsidRDefault="00F33D47" w:rsidP="00F33D47">
      <w:pPr>
        <w:pStyle w:val="2"/>
        <w:numPr>
          <w:ilvl w:val="1"/>
          <w:numId w:val="1"/>
        </w:numPr>
        <w:ind w:left="1036"/>
        <w:rPr>
          <w:b/>
        </w:rPr>
      </w:pPr>
      <w:r w:rsidRPr="000517CC">
        <w:rPr>
          <w:rFonts w:hint="eastAsia"/>
          <w:b/>
        </w:rPr>
        <w:t>能源局與農委會對於農業設施屋頂附屬設置綠能設施之容許使</w:t>
      </w:r>
      <w:r w:rsidR="00442D4D">
        <w:rPr>
          <w:rFonts w:hint="eastAsia"/>
          <w:b/>
        </w:rPr>
        <w:t>用同意廢止案件資料，怠於建立交換機制以有效掌握廢止情況；且</w:t>
      </w:r>
      <w:r w:rsidRPr="000517CC">
        <w:rPr>
          <w:rFonts w:hint="eastAsia"/>
          <w:b/>
        </w:rPr>
        <w:t>能源局對於委辦地方政府之案件，亦未能全盤瞭解處理廢止案件辦理狀況，均不</w:t>
      </w:r>
      <w:r w:rsidRPr="000517CC">
        <w:rPr>
          <w:rFonts w:hint="eastAsia"/>
          <w:b/>
        </w:rPr>
        <w:lastRenderedPageBreak/>
        <w:t>利於業務之管理，</w:t>
      </w:r>
      <w:r>
        <w:rPr>
          <w:rFonts w:hint="eastAsia"/>
          <w:b/>
        </w:rPr>
        <w:t>應予檢討改進</w:t>
      </w:r>
      <w:r w:rsidRPr="000517CC">
        <w:rPr>
          <w:rFonts w:hint="eastAsia"/>
          <w:b/>
        </w:rPr>
        <w:t>。</w:t>
      </w:r>
    </w:p>
    <w:p w:rsidR="00F33D47" w:rsidRPr="00F33D47" w:rsidRDefault="00F33D47" w:rsidP="00F33D47">
      <w:pPr>
        <w:pStyle w:val="3"/>
        <w:numPr>
          <w:ilvl w:val="2"/>
          <w:numId w:val="1"/>
        </w:numPr>
      </w:pPr>
      <w:r w:rsidRPr="00D12C5F">
        <w:rPr>
          <w:rFonts w:hint="eastAsia"/>
        </w:rPr>
        <w:t>農業設施屋頂附屬設置綠能設</w:t>
      </w:r>
      <w:r w:rsidRPr="00F33D47">
        <w:rPr>
          <w:rFonts w:hint="eastAsia"/>
        </w:rPr>
        <w:t>施，未能依原核定經營計畫內容使用，遭地方農業主管機關廢止農業設施容許使用同意之案件，依農委會提供之統計資料，截至105年12月31日止計有81</w:t>
      </w:r>
      <w:r w:rsidR="00A833C2">
        <w:rPr>
          <w:rFonts w:hint="eastAsia"/>
        </w:rPr>
        <w:t>案，惟</w:t>
      </w:r>
      <w:r w:rsidRPr="00F33D47">
        <w:rPr>
          <w:rFonts w:hint="eastAsia"/>
        </w:rPr>
        <w:t>能源局僅列有33</w:t>
      </w:r>
      <w:r w:rsidR="00A833C2">
        <w:rPr>
          <w:rFonts w:hint="eastAsia"/>
        </w:rPr>
        <w:t>案。詢據</w:t>
      </w:r>
      <w:r w:rsidRPr="00F33D47">
        <w:rPr>
          <w:rFonts w:hint="eastAsia"/>
        </w:rPr>
        <w:t>能源局於106年6月28日表示，係因該局以再生能源發電設備認定之「同意備案編號」及「設備登記編號」為計算，實務上可能有1個農業容許使用同意分期開發設置綠能設施，即有多個設備認定；或有多個容許使用同意共同申請1個設備認定之情形，故有其案件上之落差。</w:t>
      </w:r>
    </w:p>
    <w:p w:rsidR="00F33D47" w:rsidRPr="00F33D47" w:rsidRDefault="00F33D47" w:rsidP="00F33D47">
      <w:pPr>
        <w:pStyle w:val="3"/>
        <w:numPr>
          <w:ilvl w:val="2"/>
          <w:numId w:val="1"/>
        </w:numPr>
      </w:pPr>
      <w:r w:rsidRPr="00F33D47">
        <w:rPr>
          <w:rFonts w:hint="eastAsia"/>
        </w:rPr>
        <w:t>然查</w:t>
      </w:r>
      <w:r w:rsidRPr="00F33D47">
        <w:rPr>
          <w:rFonts w:ascii="新細明體" w:eastAsia="新細明體" w:hAnsi="新細明體" w:hint="eastAsia"/>
        </w:rPr>
        <w:t>：</w:t>
      </w:r>
    </w:p>
    <w:p w:rsidR="00F33D47" w:rsidRPr="00F33D47" w:rsidRDefault="00A833C2" w:rsidP="00F33D47">
      <w:pPr>
        <w:pStyle w:val="4"/>
        <w:numPr>
          <w:ilvl w:val="3"/>
          <w:numId w:val="1"/>
        </w:numPr>
      </w:pPr>
      <w:r>
        <w:rPr>
          <w:rFonts w:hint="eastAsia"/>
        </w:rPr>
        <w:t>經續行核對</w:t>
      </w:r>
      <w:r w:rsidR="00F33D47" w:rsidRPr="00F33D47">
        <w:rPr>
          <w:rFonts w:hint="eastAsia"/>
        </w:rPr>
        <w:t>能源局106年5月31日列冊資料，計有124</w:t>
      </w:r>
      <w:r>
        <w:rPr>
          <w:rFonts w:hint="eastAsia"/>
        </w:rPr>
        <w:t>案，其中由</w:t>
      </w:r>
      <w:r w:rsidR="00F33D47" w:rsidRPr="00F33D47">
        <w:rPr>
          <w:rFonts w:hint="eastAsia"/>
        </w:rPr>
        <w:t>能源局處理案件為24案，其餘100案為委辦臺南市政府之案件；該局總計收到43件農業容許使用同意廢止案，惟列於「農業設施容許廢止追蹤表」者卻僅有37件。</w:t>
      </w:r>
    </w:p>
    <w:p w:rsidR="00F33D47" w:rsidRPr="00F33D47" w:rsidRDefault="00F33D47" w:rsidP="00F33D47">
      <w:pPr>
        <w:pStyle w:val="4"/>
        <w:numPr>
          <w:ilvl w:val="3"/>
          <w:numId w:val="1"/>
        </w:numPr>
      </w:pPr>
      <w:r w:rsidRPr="00F33D47">
        <w:rPr>
          <w:rFonts w:hint="eastAsia"/>
        </w:rPr>
        <w:t>又依農委會提供截至106年8月2日之資料顯示，農業設施屋頂附屬設置綠能設施，其容許使用同意廢止案件計有108</w:t>
      </w:r>
      <w:r w:rsidR="00A833C2">
        <w:rPr>
          <w:rFonts w:hint="eastAsia"/>
        </w:rPr>
        <w:t>案，而</w:t>
      </w:r>
      <w:r w:rsidRPr="00F33D47">
        <w:rPr>
          <w:rFonts w:hint="eastAsia"/>
        </w:rPr>
        <w:t>能源局卻未能提供相對應案件之數據。</w:t>
      </w:r>
    </w:p>
    <w:p w:rsidR="00F33D47" w:rsidRPr="00F33D47" w:rsidRDefault="00A833C2" w:rsidP="00F33D47">
      <w:pPr>
        <w:pStyle w:val="4"/>
        <w:numPr>
          <w:ilvl w:val="3"/>
          <w:numId w:val="1"/>
        </w:numPr>
      </w:pPr>
      <w:r>
        <w:rPr>
          <w:rFonts w:hint="eastAsia"/>
        </w:rPr>
        <w:t>經核對</w:t>
      </w:r>
      <w:r w:rsidR="00F33D47" w:rsidRPr="00F33D47">
        <w:rPr>
          <w:rFonts w:hint="eastAsia"/>
        </w:rPr>
        <w:t>能源局106年2月8日與106年8月15日先後查復之「經濟部能源局辦理農業容許使用廢止案件」，卻有「屏東縣萬丹鄉、雲林縣二崙鄉、高雄市湖內區、高雄市岡山區」等4件已廢止案件，前後列冊資料不一。且經本院洽請該局查明，迄至106年8月18日仍未能釐清。</w:t>
      </w:r>
    </w:p>
    <w:p w:rsidR="00F33D47" w:rsidRPr="00F33D47" w:rsidRDefault="00A833C2" w:rsidP="00F33D47">
      <w:pPr>
        <w:pStyle w:val="4"/>
        <w:numPr>
          <w:ilvl w:val="3"/>
          <w:numId w:val="1"/>
        </w:numPr>
      </w:pPr>
      <w:r>
        <w:rPr>
          <w:rFonts w:hint="eastAsia"/>
        </w:rPr>
        <w:t>按案件數據資料為一切行政作為之基礎，能源局</w:t>
      </w:r>
      <w:r w:rsidR="00F33D47" w:rsidRPr="00F33D47">
        <w:rPr>
          <w:rFonts w:hint="eastAsia"/>
        </w:rPr>
        <w:t>與農委會允應就清冊列管一事積極</w:t>
      </w:r>
      <w:proofErr w:type="gramStart"/>
      <w:r w:rsidR="00F33D47" w:rsidRPr="00F33D47">
        <w:rPr>
          <w:rFonts w:hint="eastAsia"/>
        </w:rPr>
        <w:t>研</w:t>
      </w:r>
      <w:proofErr w:type="gramEnd"/>
      <w:r w:rsidR="00F33D47" w:rsidRPr="00F33D47">
        <w:rPr>
          <w:rFonts w:hint="eastAsia"/>
        </w:rPr>
        <w:t>商，以有效掌握農地種電案件情況。</w:t>
      </w:r>
    </w:p>
    <w:p w:rsidR="00F33D47" w:rsidRDefault="00A833C2" w:rsidP="00F33D47">
      <w:pPr>
        <w:pStyle w:val="3"/>
        <w:numPr>
          <w:ilvl w:val="2"/>
          <w:numId w:val="1"/>
        </w:numPr>
      </w:pPr>
      <w:r>
        <w:rPr>
          <w:rFonts w:hint="eastAsia"/>
        </w:rPr>
        <w:lastRenderedPageBreak/>
        <w:t>綜上，</w:t>
      </w:r>
      <w:r w:rsidR="00F33D47" w:rsidRPr="00F33D47">
        <w:rPr>
          <w:rFonts w:hint="eastAsia"/>
        </w:rPr>
        <w:t>能源局與農委會對於農業設施屋</w:t>
      </w:r>
      <w:r w:rsidR="00F33D47" w:rsidRPr="000925B0">
        <w:rPr>
          <w:rFonts w:hint="eastAsia"/>
        </w:rPr>
        <w:t>頂附屬設置綠能設施</w:t>
      </w:r>
      <w:r w:rsidR="00F33D47">
        <w:rPr>
          <w:rFonts w:hint="eastAsia"/>
        </w:rPr>
        <w:t>之容許使用同意廢止</w:t>
      </w:r>
      <w:r w:rsidR="00F33D47" w:rsidRPr="000925B0">
        <w:rPr>
          <w:rFonts w:hint="eastAsia"/>
        </w:rPr>
        <w:t>案件</w:t>
      </w:r>
      <w:r>
        <w:rPr>
          <w:rFonts w:hint="eastAsia"/>
        </w:rPr>
        <w:t>資料，怠於建立交換機制以有效掌握廢止情況；且</w:t>
      </w:r>
      <w:r w:rsidR="00F33D47">
        <w:rPr>
          <w:rFonts w:hint="eastAsia"/>
        </w:rPr>
        <w:t>能源局對於委辦地方政府之案件，亦未能</w:t>
      </w:r>
      <w:r w:rsidR="00F33D47" w:rsidRPr="00620A56">
        <w:rPr>
          <w:rFonts w:hint="eastAsia"/>
        </w:rPr>
        <w:t>全盤</w:t>
      </w:r>
      <w:r w:rsidR="00F33D47">
        <w:rPr>
          <w:rFonts w:hint="eastAsia"/>
        </w:rPr>
        <w:t>瞭解處理廢止案件辦理狀況，均不利於業務之管理，應予檢討改進。</w:t>
      </w:r>
    </w:p>
    <w:p w:rsidR="0072390B" w:rsidRPr="00F33D47" w:rsidRDefault="0072390B" w:rsidP="0072390B">
      <w:pPr>
        <w:pStyle w:val="1"/>
        <w:numPr>
          <w:ilvl w:val="0"/>
          <w:numId w:val="0"/>
        </w:numPr>
        <w:ind w:left="2381" w:hanging="2381"/>
      </w:pPr>
    </w:p>
    <w:p w:rsidR="0072390B" w:rsidRDefault="0072390B" w:rsidP="0072390B">
      <w:pPr>
        <w:pStyle w:val="1"/>
        <w:numPr>
          <w:ilvl w:val="0"/>
          <w:numId w:val="0"/>
        </w:numPr>
        <w:ind w:left="2381" w:hanging="2381"/>
      </w:pPr>
    </w:p>
    <w:p w:rsidR="0072390B" w:rsidRDefault="0072390B" w:rsidP="0072390B">
      <w:pPr>
        <w:pStyle w:val="1"/>
        <w:numPr>
          <w:ilvl w:val="0"/>
          <w:numId w:val="0"/>
        </w:numPr>
        <w:ind w:left="2381" w:hanging="2381"/>
      </w:pPr>
      <w:r>
        <w:br w:type="page"/>
      </w:r>
    </w:p>
    <w:p w:rsidR="00E25849" w:rsidRDefault="00E25849" w:rsidP="004E05A1">
      <w:pPr>
        <w:pStyle w:val="1"/>
        <w:ind w:left="2380" w:hanging="2380"/>
      </w:pPr>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B7770" w:rsidRDefault="00FB7770" w:rsidP="00AE2C0E">
      <w:pPr>
        <w:pStyle w:val="2"/>
        <w:ind w:left="1036"/>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Pr>
          <w:rFonts w:hint="eastAsia"/>
        </w:rPr>
        <w:t>調查意見</w:t>
      </w:r>
      <w:r w:rsidR="00D30680">
        <w:rPr>
          <w:rFonts w:hint="eastAsia"/>
        </w:rPr>
        <w:t>一</w:t>
      </w:r>
      <w:r w:rsidR="00987BBB">
        <w:rPr>
          <w:rFonts w:hint="eastAsia"/>
        </w:rPr>
        <w:t>，</w:t>
      </w:r>
      <w:r w:rsidR="00D30680">
        <w:rPr>
          <w:rFonts w:hint="eastAsia"/>
        </w:rPr>
        <w:t>提案糾正行政院農業委員會；調查意見</w:t>
      </w:r>
      <w:r w:rsidR="00253BDB">
        <w:rPr>
          <w:rFonts w:hint="eastAsia"/>
        </w:rPr>
        <w:t>四</w:t>
      </w:r>
      <w:r w:rsidR="00D30680">
        <w:rPr>
          <w:rFonts w:hint="eastAsia"/>
        </w:rPr>
        <w:t>、五</w:t>
      </w:r>
      <w:r w:rsidR="00987BBB">
        <w:rPr>
          <w:rFonts w:hint="eastAsia"/>
        </w:rPr>
        <w:t>，</w:t>
      </w:r>
      <w:r w:rsidR="002E57E3">
        <w:rPr>
          <w:rFonts w:hint="eastAsia"/>
        </w:rPr>
        <w:t>提案糾正經濟部</w:t>
      </w:r>
      <w:r w:rsidR="009B59AF">
        <w:rPr>
          <w:rFonts w:hint="eastAsia"/>
        </w:rPr>
        <w:t>、經濟部能源局</w:t>
      </w:r>
      <w:r w:rsidR="00D30680">
        <w:rPr>
          <w:rFonts w:hint="eastAsia"/>
        </w:rPr>
        <w:t>。</w:t>
      </w:r>
      <w:bookmarkEnd w:id="80"/>
      <w:bookmarkEnd w:id="81"/>
      <w:bookmarkEnd w:id="82"/>
      <w:bookmarkEnd w:id="83"/>
      <w:bookmarkEnd w:id="84"/>
      <w:bookmarkEnd w:id="85"/>
      <w:bookmarkEnd w:id="86"/>
    </w:p>
    <w:p w:rsidR="00E25849" w:rsidRDefault="00E25849" w:rsidP="00AE2C0E">
      <w:pPr>
        <w:pStyle w:val="2"/>
        <w:ind w:left="1036"/>
      </w:pPr>
      <w:bookmarkStart w:id="106" w:name="_Toc421794877"/>
      <w:bookmarkStart w:id="107" w:name="_Toc421795443"/>
      <w:bookmarkStart w:id="108" w:name="_Toc421796024"/>
      <w:bookmarkStart w:id="109" w:name="_Toc422728959"/>
      <w:bookmarkStart w:id="110" w:name="_Toc422834162"/>
      <w:r>
        <w:rPr>
          <w:rFonts w:hint="eastAsia"/>
        </w:rPr>
        <w:t>調查意見</w:t>
      </w:r>
      <w:r w:rsidR="00AF2317">
        <w:rPr>
          <w:rFonts w:hint="eastAsia"/>
        </w:rPr>
        <w:t>二、三、</w:t>
      </w:r>
      <w:r w:rsidR="00987BBB">
        <w:rPr>
          <w:rFonts w:hint="eastAsia"/>
        </w:rPr>
        <w:t>六、</w:t>
      </w:r>
      <w:r w:rsidR="00AF2317">
        <w:rPr>
          <w:rFonts w:hint="eastAsia"/>
        </w:rPr>
        <w:t>七</w:t>
      </w:r>
      <w:r>
        <w:rPr>
          <w:rFonts w:hint="eastAsia"/>
        </w:rPr>
        <w:t>，函請</w:t>
      </w:r>
      <w:r w:rsidR="002E57E3">
        <w:rPr>
          <w:rFonts w:hint="eastAsia"/>
        </w:rPr>
        <w:t>行政院分別轉飭行政院農業委員會及經濟部</w:t>
      </w:r>
      <w:r>
        <w:rPr>
          <w:rFonts w:hint="eastAsia"/>
        </w:rPr>
        <w:t>確實檢討改進</w:t>
      </w:r>
      <w:r w:rsidR="00D30680">
        <w:rPr>
          <w:rFonts w:hint="eastAsia"/>
        </w:rPr>
        <w:t>見復。</w:t>
      </w:r>
      <w:bookmarkEnd w:id="87"/>
      <w:bookmarkEnd w:id="88"/>
      <w:bookmarkEnd w:id="89"/>
      <w:bookmarkEnd w:id="90"/>
      <w:bookmarkEnd w:id="91"/>
      <w:bookmarkEnd w:id="92"/>
      <w:bookmarkEnd w:id="93"/>
      <w:bookmarkEnd w:id="94"/>
      <w:bookmarkEnd w:id="106"/>
      <w:bookmarkEnd w:id="107"/>
      <w:bookmarkEnd w:id="108"/>
      <w:bookmarkEnd w:id="109"/>
      <w:bookmarkEnd w:id="110"/>
    </w:p>
    <w:p w:rsidR="005B6331" w:rsidRDefault="005B6331" w:rsidP="00AE2C0E">
      <w:pPr>
        <w:pStyle w:val="2"/>
        <w:ind w:left="1036"/>
      </w:pPr>
      <w:r>
        <w:rPr>
          <w:rFonts w:hint="eastAsia"/>
        </w:rPr>
        <w:t>調查意見，函</w:t>
      </w:r>
      <w:r w:rsidRPr="005B6331">
        <w:rPr>
          <w:rFonts w:hint="eastAsia"/>
        </w:rPr>
        <w:t>中華民國太陽光電發電系統商業同業公會</w:t>
      </w:r>
      <w:r>
        <w:rPr>
          <w:rFonts w:hint="eastAsia"/>
        </w:rPr>
        <w:t>。</w:t>
      </w:r>
    </w:p>
    <w:p w:rsidR="00E25849" w:rsidRDefault="00E25849" w:rsidP="00AE2C0E">
      <w:pPr>
        <w:pStyle w:val="2"/>
        <w:ind w:left="1036"/>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5"/>
      <w:bookmarkEnd w:id="96"/>
      <w:bookmarkEnd w:id="97"/>
      <w:bookmarkEnd w:id="98"/>
      <w:bookmarkEnd w:id="99"/>
      <w:bookmarkEnd w:id="100"/>
      <w:bookmarkEnd w:id="101"/>
      <w:bookmarkEnd w:id="102"/>
      <w:bookmarkEnd w:id="103"/>
      <w:bookmarkEnd w:id="104"/>
      <w:bookmarkEnd w:id="105"/>
      <w:r>
        <w:rPr>
          <w:rFonts w:hint="eastAsia"/>
          <w:color w:val="000000"/>
        </w:rPr>
        <w:t>檢附派查函及相關附件，送請</w:t>
      </w:r>
      <w:r w:rsidR="00AE2C0E">
        <w:rPr>
          <w:rFonts w:hint="eastAsia"/>
          <w:color w:val="000000"/>
        </w:rPr>
        <w:t>財政</w:t>
      </w:r>
      <w:r>
        <w:rPr>
          <w:rFonts w:hint="eastAsia"/>
          <w:color w:val="000000"/>
        </w:rPr>
        <w:t>及</w:t>
      </w:r>
      <w:r w:rsidR="00AE2C0E">
        <w:rPr>
          <w:rFonts w:hint="eastAsia"/>
          <w:color w:val="000000"/>
        </w:rPr>
        <w:t>經濟</w:t>
      </w:r>
      <w:r>
        <w:rPr>
          <w:rFonts w:hint="eastAsia"/>
          <w:color w:val="000000"/>
        </w:rPr>
        <w:t>委員會處理。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683F2F">
        <w:rPr>
          <w:rFonts w:hint="eastAsia"/>
          <w:b w:val="0"/>
          <w:bCs/>
          <w:snapToGrid/>
          <w:spacing w:val="12"/>
          <w:kern w:val="0"/>
          <w:sz w:val="40"/>
        </w:rPr>
        <w:t>方萬富</w:t>
      </w:r>
    </w:p>
    <w:p w:rsidR="00E25849" w:rsidRPr="00683F2F" w:rsidRDefault="00683F2F">
      <w:pPr>
        <w:pStyle w:val="aa"/>
        <w:spacing w:before="0" w:after="0"/>
        <w:ind w:leftChars="1100" w:left="3742" w:firstLineChars="500" w:firstLine="2221"/>
        <w:rPr>
          <w:b w:val="0"/>
          <w:bCs/>
          <w:snapToGrid/>
          <w:spacing w:val="12"/>
          <w:kern w:val="0"/>
          <w:sz w:val="40"/>
          <w:szCs w:val="40"/>
        </w:rPr>
      </w:pPr>
      <w:r w:rsidRPr="00683F2F">
        <w:rPr>
          <w:rFonts w:hint="eastAsia"/>
          <w:b w:val="0"/>
          <w:bCs/>
          <w:snapToGrid/>
          <w:spacing w:val="12"/>
          <w:kern w:val="0"/>
          <w:sz w:val="40"/>
          <w:szCs w:val="40"/>
        </w:rPr>
        <w:t>李月德</w:t>
      </w: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0969EA">
        <w:rPr>
          <w:rFonts w:hAnsi="標楷體" w:hint="eastAsia"/>
          <w:bCs/>
        </w:rPr>
        <w:t>6</w:t>
      </w:r>
      <w:r>
        <w:rPr>
          <w:rFonts w:hAnsi="標楷體" w:hint="eastAsia"/>
          <w:bCs/>
        </w:rPr>
        <w:t xml:space="preserve">　年　</w:t>
      </w:r>
      <w:r w:rsidR="002F4D2E">
        <w:rPr>
          <w:rFonts w:hAnsi="標楷體" w:hint="eastAsia"/>
          <w:bCs/>
        </w:rPr>
        <w:t xml:space="preserve"> </w:t>
      </w:r>
      <w:r w:rsidR="00683F2F">
        <w:rPr>
          <w:rFonts w:hAnsi="標楷體" w:hint="eastAsia"/>
          <w:bCs/>
        </w:rPr>
        <w:t>9</w:t>
      </w:r>
      <w:r w:rsidR="00A07B4B">
        <w:rPr>
          <w:rFonts w:hAnsi="標楷體" w:hint="eastAsia"/>
          <w:bCs/>
        </w:rPr>
        <w:t xml:space="preserve"> </w:t>
      </w:r>
      <w:r>
        <w:rPr>
          <w:rFonts w:hAnsi="標楷體" w:hint="eastAsia"/>
          <w:bCs/>
        </w:rPr>
        <w:t xml:space="preserve">　月　</w:t>
      </w:r>
      <w:r w:rsidR="00683F2F">
        <w:rPr>
          <w:rFonts w:hAnsi="標楷體" w:hint="eastAsia"/>
          <w:bCs/>
        </w:rPr>
        <w:t xml:space="preserve"> 6 </w:t>
      </w:r>
      <w:r>
        <w:rPr>
          <w:rFonts w:hAnsi="標楷體" w:hint="eastAsia"/>
          <w:bCs/>
        </w:rPr>
        <w:t xml:space="preserve">　日</w:t>
      </w:r>
    </w:p>
    <w:p w:rsidR="00416721" w:rsidRDefault="00416721">
      <w:pPr>
        <w:widowControl/>
        <w:overflowPunct/>
        <w:autoSpaceDE/>
        <w:autoSpaceDN/>
        <w:jc w:val="left"/>
        <w:rPr>
          <w:bCs/>
          <w:kern w:val="0"/>
        </w:rPr>
      </w:pPr>
    </w:p>
    <w:p w:rsidR="00F816CB" w:rsidRDefault="00F816CB">
      <w:pPr>
        <w:widowControl/>
        <w:overflowPunct/>
        <w:autoSpaceDE/>
        <w:autoSpaceDN/>
        <w:jc w:val="left"/>
        <w:rPr>
          <w:kern w:val="32"/>
        </w:rPr>
      </w:pPr>
    </w:p>
    <w:sectPr w:rsidR="00F816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52" w:rsidRDefault="00020652">
      <w:r>
        <w:separator/>
      </w:r>
    </w:p>
  </w:endnote>
  <w:endnote w:type="continuationSeparator" w:id="0">
    <w:p w:rsidR="00020652" w:rsidRDefault="0002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sө">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D" w:rsidRDefault="00924FC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52569">
      <w:rPr>
        <w:rStyle w:val="ac"/>
        <w:noProof/>
        <w:sz w:val="24"/>
      </w:rPr>
      <w:t>21</w:t>
    </w:r>
    <w:r>
      <w:rPr>
        <w:rStyle w:val="ac"/>
        <w:sz w:val="24"/>
      </w:rPr>
      <w:fldChar w:fldCharType="end"/>
    </w:r>
  </w:p>
  <w:p w:rsidR="00924FCD" w:rsidRDefault="00924FC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52" w:rsidRDefault="00020652">
      <w:r>
        <w:separator/>
      </w:r>
    </w:p>
  </w:footnote>
  <w:footnote w:type="continuationSeparator" w:id="0">
    <w:p w:rsidR="00020652" w:rsidRDefault="00020652">
      <w:r>
        <w:continuationSeparator/>
      </w:r>
    </w:p>
  </w:footnote>
  <w:footnote w:id="1">
    <w:p w:rsidR="00924FCD" w:rsidRDefault="00924FCD" w:rsidP="0046636B">
      <w:pPr>
        <w:pStyle w:val="afc"/>
      </w:pPr>
      <w:r>
        <w:rPr>
          <w:rStyle w:val="afe"/>
        </w:rPr>
        <w:footnoteRef/>
      </w:r>
      <w:r>
        <w:t xml:space="preserve"> </w:t>
      </w:r>
      <w:r>
        <w:rPr>
          <w:rFonts w:hint="eastAsia"/>
        </w:rPr>
        <w:t>指農作產銷設施、林業設施、自然保育設施、水產養殖設施、畜牧設施</w:t>
      </w:r>
      <w:r>
        <w:rPr>
          <w:rFonts w:hAnsi="標楷體" w:hint="eastAsia"/>
        </w:rPr>
        <w:t>。</w:t>
      </w:r>
    </w:p>
  </w:footnote>
  <w:footnote w:id="2">
    <w:p w:rsidR="00924FCD" w:rsidRPr="00FC400F" w:rsidRDefault="00924FCD" w:rsidP="00932B55">
      <w:pPr>
        <w:pStyle w:val="afc"/>
      </w:pPr>
      <w:r>
        <w:rPr>
          <w:rStyle w:val="afe"/>
        </w:rPr>
        <w:footnoteRef/>
      </w:r>
      <w:r>
        <w:t xml:space="preserve"> </w:t>
      </w:r>
      <w:r>
        <w:rPr>
          <w:rFonts w:hint="eastAsia"/>
        </w:rPr>
        <w:t>行政院農業委員會</w:t>
      </w:r>
      <w:r w:rsidRPr="00FC400F">
        <w:rPr>
          <w:rFonts w:hint="eastAsia"/>
        </w:rPr>
        <w:t>103年11月20日農企字第1030012866號函</w:t>
      </w:r>
      <w:r>
        <w:rPr>
          <w:rFonts w:hint="eastAsia"/>
        </w:rPr>
        <w:t>。</w:t>
      </w:r>
    </w:p>
  </w:footnote>
  <w:footnote w:id="3">
    <w:p w:rsidR="00924FCD" w:rsidRPr="00FC400F" w:rsidRDefault="00924FCD" w:rsidP="00932B55">
      <w:pPr>
        <w:pStyle w:val="afc"/>
      </w:pPr>
      <w:r>
        <w:rPr>
          <w:rStyle w:val="afe"/>
        </w:rPr>
        <w:footnoteRef/>
      </w:r>
      <w:r>
        <w:rPr>
          <w:rFonts w:hint="eastAsia"/>
        </w:rPr>
        <w:t xml:space="preserve"> </w:t>
      </w:r>
      <w:r w:rsidRPr="00EC773D">
        <w:rPr>
          <w:rFonts w:hint="eastAsia"/>
        </w:rPr>
        <w:t>行政院農業委員會</w:t>
      </w:r>
      <w:r w:rsidRPr="00FC400F">
        <w:rPr>
          <w:rFonts w:hint="eastAsia"/>
        </w:rPr>
        <w:t>104年1月23日農企字第1040202463號</w:t>
      </w:r>
      <w:r>
        <w:rPr>
          <w:rFonts w:hint="eastAsia"/>
        </w:rPr>
        <w:t>函。</w:t>
      </w:r>
    </w:p>
  </w:footnote>
  <w:footnote w:id="4">
    <w:p w:rsidR="00924FCD" w:rsidRPr="00FC400F" w:rsidRDefault="00924FCD" w:rsidP="00932B55">
      <w:pPr>
        <w:pStyle w:val="afc"/>
      </w:pPr>
      <w:r>
        <w:rPr>
          <w:rStyle w:val="afe"/>
        </w:rPr>
        <w:footnoteRef/>
      </w:r>
      <w:r>
        <w:rPr>
          <w:rFonts w:hint="eastAsia"/>
        </w:rPr>
        <w:t xml:space="preserve"> </w:t>
      </w:r>
      <w:r w:rsidRPr="00EC773D">
        <w:rPr>
          <w:rFonts w:hint="eastAsia"/>
        </w:rPr>
        <w:t>行政院農業委員會</w:t>
      </w:r>
      <w:r w:rsidRPr="00FC400F">
        <w:rPr>
          <w:rFonts w:hint="eastAsia"/>
        </w:rPr>
        <w:t>104年4月22日農企字第1040012321號</w:t>
      </w:r>
      <w:r>
        <w:rPr>
          <w:rFonts w:hint="eastAsia"/>
        </w:rPr>
        <w:t>函。</w:t>
      </w:r>
    </w:p>
  </w:footnote>
  <w:footnote w:id="5">
    <w:p w:rsidR="00924FCD" w:rsidRPr="00FC400F" w:rsidRDefault="00924FCD" w:rsidP="00932B55">
      <w:pPr>
        <w:pStyle w:val="afc"/>
      </w:pPr>
      <w:r>
        <w:rPr>
          <w:rStyle w:val="afe"/>
        </w:rPr>
        <w:footnoteRef/>
      </w:r>
      <w:r>
        <w:rPr>
          <w:rFonts w:hint="eastAsia"/>
        </w:rPr>
        <w:t xml:space="preserve"> </w:t>
      </w:r>
      <w:r w:rsidRPr="00EC773D">
        <w:rPr>
          <w:rFonts w:hint="eastAsia"/>
        </w:rPr>
        <w:t>行政院農業委員會</w:t>
      </w:r>
      <w:r w:rsidRPr="00FC400F">
        <w:rPr>
          <w:rFonts w:hint="eastAsia"/>
        </w:rPr>
        <w:t>104年9月23日農企字第1040012719號</w:t>
      </w:r>
      <w:r>
        <w:rPr>
          <w:rFonts w:hint="eastAsia"/>
        </w:rPr>
        <w:t>函。</w:t>
      </w:r>
    </w:p>
  </w:footnote>
  <w:footnote w:id="6">
    <w:p w:rsidR="00924FCD" w:rsidRPr="00FC400F" w:rsidRDefault="00924FCD" w:rsidP="00932B55">
      <w:pPr>
        <w:pStyle w:val="afc"/>
      </w:pPr>
      <w:r>
        <w:rPr>
          <w:rStyle w:val="afe"/>
        </w:rPr>
        <w:footnoteRef/>
      </w:r>
      <w:r>
        <w:rPr>
          <w:rFonts w:hint="eastAsia"/>
        </w:rPr>
        <w:t xml:space="preserve"> </w:t>
      </w:r>
      <w:r w:rsidRPr="00EC773D">
        <w:rPr>
          <w:rFonts w:hint="eastAsia"/>
        </w:rPr>
        <w:t>行政院農業委員會</w:t>
      </w:r>
      <w:r w:rsidRPr="00FC400F">
        <w:rPr>
          <w:rFonts w:hint="eastAsia"/>
        </w:rPr>
        <w:t>106年4月18日農企字第1060012475號函</w:t>
      </w:r>
      <w:r>
        <w:rPr>
          <w:rFonts w:hint="eastAsia"/>
        </w:rPr>
        <w:t>。</w:t>
      </w:r>
    </w:p>
  </w:footnote>
  <w:footnote w:id="7">
    <w:p w:rsidR="00924FCD" w:rsidRDefault="00924FCD" w:rsidP="00F33D47">
      <w:pPr>
        <w:pStyle w:val="afc"/>
      </w:pPr>
      <w:r>
        <w:rPr>
          <w:rStyle w:val="afe"/>
        </w:rPr>
        <w:footnoteRef/>
      </w:r>
      <w:r>
        <w:t xml:space="preserve"> </w:t>
      </w:r>
      <w:r>
        <w:rPr>
          <w:rFonts w:hint="eastAsia"/>
        </w:rPr>
        <w:t>行政院</w:t>
      </w:r>
      <w:r w:rsidRPr="00A406A9">
        <w:rPr>
          <w:rFonts w:hint="eastAsia"/>
        </w:rPr>
        <w:t>農</w:t>
      </w:r>
      <w:r>
        <w:rPr>
          <w:rFonts w:hint="eastAsia"/>
        </w:rPr>
        <w:t>業</w:t>
      </w:r>
      <w:r w:rsidRPr="00A406A9">
        <w:rPr>
          <w:rFonts w:hint="eastAsia"/>
        </w:rPr>
        <w:t>委</w:t>
      </w:r>
      <w:r>
        <w:rPr>
          <w:rFonts w:hint="eastAsia"/>
        </w:rPr>
        <w:t>員</w:t>
      </w:r>
      <w:r w:rsidRPr="00A406A9">
        <w:rPr>
          <w:rFonts w:hint="eastAsia"/>
        </w:rPr>
        <w:t>會99年11月24日</w:t>
      </w:r>
      <w:r w:rsidRPr="00B51276">
        <w:rPr>
          <w:rFonts w:hint="eastAsia"/>
        </w:rPr>
        <w:t>農企字第0990011239號函</w:t>
      </w:r>
      <w:r>
        <w:rPr>
          <w:rFonts w:hint="eastAsia"/>
        </w:rPr>
        <w:t>。</w:t>
      </w:r>
    </w:p>
  </w:footnote>
  <w:footnote w:id="8">
    <w:p w:rsidR="00924FCD" w:rsidRDefault="00924FCD" w:rsidP="00F33D47">
      <w:pPr>
        <w:pStyle w:val="afc"/>
      </w:pPr>
      <w:r>
        <w:rPr>
          <w:rStyle w:val="afe"/>
        </w:rPr>
        <w:footnoteRef/>
      </w:r>
      <w:r>
        <w:t xml:space="preserve"> </w:t>
      </w:r>
      <w:r>
        <w:rPr>
          <w:rFonts w:hint="eastAsia"/>
        </w:rPr>
        <w:t>經濟部能源局100年3月11日</w:t>
      </w:r>
      <w:proofErr w:type="gramStart"/>
      <w:r>
        <w:rPr>
          <w:rFonts w:hint="eastAsia"/>
        </w:rPr>
        <w:t>能技字</w:t>
      </w:r>
      <w:proofErr w:type="gramEnd"/>
      <w:r>
        <w:rPr>
          <w:rFonts w:hint="eastAsia"/>
        </w:rPr>
        <w:t>第09900303840號函。</w:t>
      </w:r>
    </w:p>
  </w:footnote>
  <w:footnote w:id="9">
    <w:p w:rsidR="00924FCD" w:rsidRPr="009F555D" w:rsidRDefault="00924FCD" w:rsidP="00F33D47">
      <w:pPr>
        <w:pStyle w:val="afc"/>
      </w:pPr>
      <w:r>
        <w:rPr>
          <w:rStyle w:val="afe"/>
        </w:rPr>
        <w:footnoteRef/>
      </w:r>
      <w:r>
        <w:rPr>
          <w:rFonts w:hint="eastAsia"/>
        </w:rPr>
        <w:t xml:space="preserve"> 台</w:t>
      </w:r>
      <w:r w:rsidRPr="003D1095">
        <w:rPr>
          <w:rFonts w:hint="eastAsia"/>
        </w:rPr>
        <w:t>灣電力股份有限公司</w:t>
      </w:r>
      <w:r>
        <w:rPr>
          <w:rFonts w:hint="eastAsia"/>
        </w:rPr>
        <w:t>100年7月5日為配合政府推動再生能源政策及鼓勵國內再生能源發電應用發展，特依再生能源發展條例及電業法相關規定，訂定「台</w:t>
      </w:r>
      <w:r w:rsidRPr="008C3D38">
        <w:rPr>
          <w:rFonts w:hint="eastAsia"/>
        </w:rPr>
        <w:t>灣電力股份有限公司再生能源電能收購作業要點」</w:t>
      </w:r>
      <w:r>
        <w:rPr>
          <w:rFonts w:hint="eastAsia"/>
        </w:rPr>
        <w:t>。該要點第2點規定</w:t>
      </w:r>
      <w:r w:rsidRPr="003D1095">
        <w:rPr>
          <w:rFonts w:hint="eastAsia"/>
        </w:rPr>
        <w:t>：「</w:t>
      </w:r>
      <w:r>
        <w:rPr>
          <w:rFonts w:hint="eastAsia"/>
        </w:rPr>
        <w:t>再生能源發電設備設置者（以下簡稱設置者）設置經中央主管機關（經濟部）依再生能源發展條例相關規定認定之第一型、第二型、第三型再生能源發電設備（以下簡稱發電設備），悉依本要點向本公司辦理購售電相關事宜。</w:t>
      </w:r>
      <w:r w:rsidRPr="003D1095">
        <w:rPr>
          <w:rFonts w:hint="eastAsia"/>
        </w:rPr>
        <w:t>」</w:t>
      </w:r>
      <w:r>
        <w:rPr>
          <w:rFonts w:hint="eastAsia"/>
        </w:rPr>
        <w:t>同要點第3點第7項規定</w:t>
      </w:r>
      <w:r w:rsidRPr="009F555D">
        <w:rPr>
          <w:rFonts w:hint="eastAsia"/>
        </w:rPr>
        <w:t>：「已簽訂之購售電契約如因發電設備同意備案文件失效或無法取得主管機關核發之電業執照、自用發電設備登記證、設備登記文件時，本公司應即終止該契約，</w:t>
      </w:r>
      <w:r w:rsidRPr="009F555D">
        <w:t>…</w:t>
      </w:r>
      <w:proofErr w:type="gramStart"/>
      <w:r w:rsidRPr="009F555D">
        <w:t>…</w:t>
      </w:r>
      <w:proofErr w:type="gramEnd"/>
    </w:p>
    <w:p w:rsidR="00924FCD" w:rsidRPr="003D1095" w:rsidRDefault="00924FCD" w:rsidP="00F33D47">
      <w:pPr>
        <w:pStyle w:val="afc"/>
      </w:pPr>
      <w:r>
        <w:rPr>
          <w:rFonts w:hint="eastAsia"/>
        </w:rPr>
        <w:t>。</w:t>
      </w:r>
      <w:r w:rsidRPr="009F555D">
        <w:rPr>
          <w:rFonts w:hint="eastAsia"/>
        </w:rPr>
        <w:t>」</w:t>
      </w:r>
    </w:p>
  </w:footnote>
  <w:footnote w:id="10">
    <w:p w:rsidR="00924FCD" w:rsidRPr="00F63361" w:rsidRDefault="00924FCD" w:rsidP="00F33D47">
      <w:pPr>
        <w:pStyle w:val="afc"/>
      </w:pPr>
      <w:r>
        <w:rPr>
          <w:rStyle w:val="afe"/>
        </w:rPr>
        <w:footnoteRef/>
      </w:r>
      <w:proofErr w:type="gramStart"/>
      <w:r>
        <w:rPr>
          <w:rFonts w:hint="eastAsia"/>
        </w:rPr>
        <w:t>臺</w:t>
      </w:r>
      <w:proofErr w:type="gramEnd"/>
      <w:r>
        <w:rPr>
          <w:rFonts w:hint="eastAsia"/>
        </w:rPr>
        <w:t>南市</w:t>
      </w:r>
      <w:r w:rsidRPr="00752DF5">
        <w:rPr>
          <w:rFonts w:hint="eastAsia"/>
        </w:rPr>
        <w:t>六甲區岩</w:t>
      </w:r>
      <w:proofErr w:type="gramStart"/>
      <w:r w:rsidRPr="00752DF5">
        <w:rPr>
          <w:rFonts w:hint="eastAsia"/>
        </w:rPr>
        <w:t>埤</w:t>
      </w:r>
      <w:proofErr w:type="gramEnd"/>
      <w:r w:rsidRPr="00752DF5">
        <w:rPr>
          <w:rFonts w:hint="eastAsia"/>
        </w:rPr>
        <w:t>段35案</w:t>
      </w:r>
      <w:r>
        <w:rPr>
          <w:rFonts w:hint="eastAsia"/>
        </w:rPr>
        <w:t>於105年7月7日遭六甲區公所廢止容許使用同意；</w:t>
      </w:r>
      <w:r w:rsidRPr="00752DF5">
        <w:rPr>
          <w:rFonts w:hint="eastAsia"/>
        </w:rPr>
        <w:t>新營區後鎮段23案</w:t>
      </w:r>
      <w:r>
        <w:rPr>
          <w:rFonts w:hint="eastAsia"/>
        </w:rPr>
        <w:t>於105年9月23日遭新營區公所廢止容許使用同意。</w:t>
      </w:r>
    </w:p>
  </w:footnote>
  <w:footnote w:id="11">
    <w:p w:rsidR="00924FCD" w:rsidRPr="00D87904" w:rsidRDefault="00924FCD" w:rsidP="00F33D47">
      <w:pPr>
        <w:pStyle w:val="afc"/>
      </w:pPr>
      <w:r>
        <w:rPr>
          <w:rStyle w:val="afe"/>
        </w:rPr>
        <w:footnoteRef/>
      </w:r>
      <w:r>
        <w:rPr>
          <w:rFonts w:hint="eastAsia"/>
        </w:rPr>
        <w:t>屬經濟部委辦</w:t>
      </w:r>
      <w:proofErr w:type="gramStart"/>
      <w:r>
        <w:rPr>
          <w:rFonts w:hint="eastAsia"/>
        </w:rPr>
        <w:t>臺</w:t>
      </w:r>
      <w:proofErr w:type="gramEnd"/>
      <w:r>
        <w:rPr>
          <w:rFonts w:hint="eastAsia"/>
        </w:rPr>
        <w:t>南市政府之</w:t>
      </w:r>
      <w:r w:rsidRPr="008F2077">
        <w:rPr>
          <w:rFonts w:hint="eastAsia"/>
        </w:rPr>
        <w:t>再生能源發電設備</w:t>
      </w:r>
      <w:r>
        <w:rPr>
          <w:rFonts w:hint="eastAsia"/>
        </w:rPr>
        <w:t>案件</w:t>
      </w:r>
    </w:p>
  </w:footnote>
  <w:footnote w:id="12">
    <w:p w:rsidR="00924FCD" w:rsidRPr="00E60BCD" w:rsidRDefault="00924FCD" w:rsidP="00F33D47">
      <w:pPr>
        <w:pStyle w:val="afc"/>
      </w:pPr>
      <w:r>
        <w:rPr>
          <w:rStyle w:val="afe"/>
        </w:rPr>
        <w:footnoteRef/>
      </w:r>
      <w:r>
        <w:rPr>
          <w:rFonts w:hint="eastAsia"/>
        </w:rPr>
        <w:t>經濟部能源局105年5月6日</w:t>
      </w:r>
      <w:proofErr w:type="gramStart"/>
      <w:r>
        <w:rPr>
          <w:rFonts w:hint="eastAsia"/>
        </w:rPr>
        <w:t>能技字</w:t>
      </w:r>
      <w:proofErr w:type="gramEnd"/>
      <w:r>
        <w:rPr>
          <w:rFonts w:hint="eastAsia"/>
        </w:rPr>
        <w:t>第10500090440號函</w:t>
      </w:r>
    </w:p>
  </w:footnote>
  <w:footnote w:id="13">
    <w:p w:rsidR="00924FCD" w:rsidRPr="005B7DDE" w:rsidRDefault="00924FCD" w:rsidP="00F33D47">
      <w:pPr>
        <w:pStyle w:val="afc"/>
      </w:pPr>
      <w:r>
        <w:rPr>
          <w:rStyle w:val="afe"/>
        </w:rPr>
        <w:footnoteRef/>
      </w:r>
      <w:r>
        <w:t xml:space="preserve"> </w:t>
      </w:r>
      <w:proofErr w:type="gramStart"/>
      <w:r w:rsidRPr="005B7DDE">
        <w:rPr>
          <w:rFonts w:hint="eastAsia"/>
        </w:rPr>
        <w:t>臺</w:t>
      </w:r>
      <w:proofErr w:type="gramEnd"/>
      <w:r w:rsidRPr="005B7DDE">
        <w:rPr>
          <w:rFonts w:hint="eastAsia"/>
        </w:rPr>
        <w:t>南市政府106年1月9</w:t>
      </w:r>
      <w:r>
        <w:rPr>
          <w:rFonts w:hint="eastAsia"/>
        </w:rPr>
        <w:t>日</w:t>
      </w:r>
      <w:proofErr w:type="gramStart"/>
      <w:r w:rsidRPr="005B7DDE">
        <w:rPr>
          <w:rFonts w:hint="eastAsia"/>
        </w:rPr>
        <w:t>府經能字</w:t>
      </w:r>
      <w:proofErr w:type="gramEnd"/>
      <w:r w:rsidRPr="005B7DDE">
        <w:rPr>
          <w:rFonts w:hint="eastAsia"/>
        </w:rPr>
        <w:t>第1060038364號函</w:t>
      </w:r>
    </w:p>
  </w:footnote>
  <w:footnote w:id="14">
    <w:p w:rsidR="00924FCD" w:rsidRPr="005B7DDE" w:rsidRDefault="00924FCD" w:rsidP="00F33D47">
      <w:pPr>
        <w:pStyle w:val="afc"/>
      </w:pPr>
      <w:r>
        <w:rPr>
          <w:rStyle w:val="afe"/>
        </w:rPr>
        <w:footnoteRef/>
      </w:r>
      <w:r>
        <w:rPr>
          <w:rFonts w:hint="eastAsia"/>
        </w:rPr>
        <w:t xml:space="preserve"> </w:t>
      </w:r>
      <w:r w:rsidRPr="005B7DDE">
        <w:rPr>
          <w:rFonts w:hint="eastAsia"/>
        </w:rPr>
        <w:t>經濟部能源局106年4月24日</w:t>
      </w:r>
      <w:proofErr w:type="gramStart"/>
      <w:r w:rsidRPr="005B7DDE">
        <w:rPr>
          <w:rFonts w:hint="eastAsia"/>
        </w:rPr>
        <w:t>能技字</w:t>
      </w:r>
      <w:proofErr w:type="gramEnd"/>
      <w:r w:rsidRPr="005B7DDE">
        <w:rPr>
          <w:rFonts w:hint="eastAsia"/>
        </w:rPr>
        <w:t>第10604020280號</w:t>
      </w:r>
    </w:p>
  </w:footnote>
  <w:footnote w:id="15">
    <w:p w:rsidR="00924FCD" w:rsidRPr="00886061" w:rsidRDefault="00924FCD" w:rsidP="00F33D47">
      <w:pPr>
        <w:pStyle w:val="afc"/>
      </w:pPr>
      <w:r>
        <w:rPr>
          <w:rStyle w:val="afe"/>
        </w:rPr>
        <w:footnoteRef/>
      </w:r>
      <w:r>
        <w:t xml:space="preserve"> </w:t>
      </w:r>
      <w:proofErr w:type="gramStart"/>
      <w:r w:rsidRPr="00886061">
        <w:rPr>
          <w:rFonts w:hint="eastAsia"/>
        </w:rPr>
        <w:t>臺</w:t>
      </w:r>
      <w:proofErr w:type="gramEnd"/>
      <w:r w:rsidRPr="00886061">
        <w:rPr>
          <w:rFonts w:hint="eastAsia"/>
        </w:rPr>
        <w:t>南市政府106年5月5日</w:t>
      </w:r>
      <w:proofErr w:type="gramStart"/>
      <w:r w:rsidRPr="00886061">
        <w:rPr>
          <w:rFonts w:hint="eastAsia"/>
        </w:rPr>
        <w:t>府經能字</w:t>
      </w:r>
      <w:proofErr w:type="gramEnd"/>
      <w:r w:rsidRPr="00886061">
        <w:rPr>
          <w:rFonts w:hint="eastAsia"/>
        </w:rPr>
        <w:t>1060434044A~J號函</w:t>
      </w:r>
    </w:p>
  </w:footnote>
  <w:footnote w:id="16">
    <w:p w:rsidR="00924FCD" w:rsidRDefault="00924FCD" w:rsidP="00F33D47">
      <w:pPr>
        <w:pStyle w:val="afc"/>
      </w:pPr>
      <w:r>
        <w:rPr>
          <w:rStyle w:val="afe"/>
        </w:rPr>
        <w:footnoteRef/>
      </w:r>
      <w:r>
        <w:t xml:space="preserve"> </w:t>
      </w:r>
      <w:proofErr w:type="gramStart"/>
      <w:r w:rsidRPr="00DF7519">
        <w:rPr>
          <w:rFonts w:hint="eastAsia"/>
        </w:rPr>
        <w:t>臺</w:t>
      </w:r>
      <w:proofErr w:type="gramEnd"/>
      <w:r w:rsidRPr="00DF7519">
        <w:rPr>
          <w:rFonts w:hint="eastAsia"/>
        </w:rPr>
        <w:t>南市政府106年6月13日二度以</w:t>
      </w:r>
      <w:proofErr w:type="gramStart"/>
      <w:r w:rsidRPr="00DF7519">
        <w:rPr>
          <w:rFonts w:hint="eastAsia"/>
        </w:rPr>
        <w:t>府經能字</w:t>
      </w:r>
      <w:proofErr w:type="gramEnd"/>
      <w:r w:rsidRPr="00DF7519">
        <w:rPr>
          <w:rFonts w:hint="eastAsia"/>
        </w:rPr>
        <w:t>1060601996號函</w:t>
      </w:r>
      <w:r>
        <w:rPr>
          <w:rFonts w:hint="eastAsia"/>
        </w:rPr>
        <w:t>。</w:t>
      </w:r>
    </w:p>
  </w:footnote>
  <w:footnote w:id="17">
    <w:p w:rsidR="00924FCD" w:rsidRDefault="00924FCD" w:rsidP="00F33D47">
      <w:pPr>
        <w:pStyle w:val="afc"/>
      </w:pPr>
      <w:r>
        <w:rPr>
          <w:rStyle w:val="afe"/>
        </w:rPr>
        <w:footnoteRef/>
      </w:r>
      <w:r>
        <w:t xml:space="preserve"> </w:t>
      </w:r>
      <w:r w:rsidRPr="000065D0">
        <w:rPr>
          <w:rFonts w:hint="eastAsia"/>
        </w:rPr>
        <w:t>經濟部能源局106年8月3日</w:t>
      </w:r>
      <w:proofErr w:type="gramStart"/>
      <w:r w:rsidRPr="000065D0">
        <w:rPr>
          <w:rFonts w:hint="eastAsia"/>
        </w:rPr>
        <w:t>能技字</w:t>
      </w:r>
      <w:proofErr w:type="gramEnd"/>
      <w:r w:rsidRPr="000065D0">
        <w:rPr>
          <w:rFonts w:hint="eastAsia"/>
        </w:rPr>
        <w:t>第10600129010號</w:t>
      </w:r>
      <w:r>
        <w:rPr>
          <w:rFonts w:hint="eastAsia"/>
        </w:rPr>
        <w:t>。</w:t>
      </w:r>
    </w:p>
  </w:footnote>
  <w:footnote w:id="18">
    <w:p w:rsidR="00924FCD" w:rsidRPr="00383D26" w:rsidRDefault="00924FCD" w:rsidP="00F33D47">
      <w:pPr>
        <w:pStyle w:val="afc"/>
      </w:pPr>
      <w:r>
        <w:rPr>
          <w:rStyle w:val="afe"/>
        </w:rPr>
        <w:footnoteRef/>
      </w:r>
      <w:r>
        <w:t xml:space="preserve"> </w:t>
      </w:r>
      <w:r>
        <w:rPr>
          <w:rFonts w:hint="eastAsia"/>
        </w:rPr>
        <w:t>臺灣</w:t>
      </w:r>
      <w:r w:rsidRPr="00BD787D">
        <w:rPr>
          <w:rFonts w:ascii="Times New Roman"/>
        </w:rPr>
        <w:t>高雄高等行政法院</w:t>
      </w:r>
      <w:r w:rsidRPr="00383D26">
        <w:rPr>
          <w:rFonts w:ascii="Times New Roman"/>
        </w:rPr>
        <w:t>106</w:t>
      </w:r>
      <w:r w:rsidRPr="00383D26">
        <w:rPr>
          <w:rFonts w:ascii="Times New Roman"/>
        </w:rPr>
        <w:t>年</w:t>
      </w:r>
      <w:r w:rsidRPr="00383D26">
        <w:rPr>
          <w:rFonts w:ascii="Times New Roman"/>
        </w:rPr>
        <w:t>6</w:t>
      </w:r>
      <w:r w:rsidRPr="00383D26">
        <w:rPr>
          <w:rFonts w:ascii="Times New Roman"/>
        </w:rPr>
        <w:t>月</w:t>
      </w:r>
      <w:r w:rsidRPr="00383D26">
        <w:rPr>
          <w:rFonts w:ascii="Times New Roman"/>
        </w:rPr>
        <w:t>7</w:t>
      </w:r>
      <w:r w:rsidRPr="00383D26">
        <w:rPr>
          <w:rFonts w:ascii="Times New Roman"/>
        </w:rPr>
        <w:t>日</w:t>
      </w:r>
      <w:proofErr w:type="gramStart"/>
      <w:r w:rsidRPr="00BD787D">
        <w:rPr>
          <w:rFonts w:ascii="Times New Roman"/>
        </w:rPr>
        <w:t>105</w:t>
      </w:r>
      <w:r w:rsidRPr="00BD787D">
        <w:rPr>
          <w:rFonts w:ascii="Times New Roman"/>
        </w:rPr>
        <w:t>年度訴字第</w:t>
      </w:r>
      <w:r w:rsidRPr="00BD787D">
        <w:rPr>
          <w:rFonts w:ascii="Times New Roman"/>
        </w:rPr>
        <w:t>532</w:t>
      </w:r>
      <w:r w:rsidRPr="00BD787D">
        <w:rPr>
          <w:rFonts w:ascii="Times New Roman"/>
        </w:rPr>
        <w:t>號</w:t>
      </w:r>
      <w:proofErr w:type="gramEnd"/>
      <w:r w:rsidRPr="00BD787D">
        <w:rPr>
          <w:rFonts w:ascii="Times New Roman"/>
        </w:rPr>
        <w:t>判決</w:t>
      </w:r>
      <w:r>
        <w:rPr>
          <w:rFonts w:ascii="Times New Roman" w:hint="eastAsia"/>
        </w:rPr>
        <w:t>。</w:t>
      </w:r>
    </w:p>
  </w:footnote>
  <w:footnote w:id="19">
    <w:p w:rsidR="00924FCD" w:rsidRPr="005D5611" w:rsidRDefault="00924FCD">
      <w:pPr>
        <w:pStyle w:val="afc"/>
      </w:pPr>
      <w:r>
        <w:rPr>
          <w:rStyle w:val="afe"/>
        </w:rPr>
        <w:footnoteRef/>
      </w:r>
      <w:r>
        <w:t xml:space="preserve"> </w:t>
      </w:r>
      <w:r>
        <w:rPr>
          <w:rFonts w:hint="eastAsia"/>
        </w:rPr>
        <w:t>指裝置容量不及五百</w:t>
      </w:r>
      <w:proofErr w:type="gramStart"/>
      <w:r>
        <w:rPr>
          <w:rFonts w:hint="eastAsia"/>
        </w:rPr>
        <w:t>瓩</w:t>
      </w:r>
      <w:proofErr w:type="gramEnd"/>
      <w:r>
        <w:rPr>
          <w:rFonts w:hint="eastAsia"/>
        </w:rPr>
        <w:t>並利用再生能源發電之自用發電設備。</w:t>
      </w:r>
    </w:p>
  </w:footnote>
  <w:footnote w:id="20">
    <w:p w:rsidR="00924FCD" w:rsidRDefault="00924FCD" w:rsidP="00F33D47">
      <w:pPr>
        <w:pStyle w:val="afc"/>
      </w:pPr>
      <w:r>
        <w:rPr>
          <w:rStyle w:val="afe"/>
        </w:rPr>
        <w:footnoteRef/>
      </w:r>
      <w:r>
        <w:rPr>
          <w:rFonts w:hint="eastAsia"/>
        </w:rPr>
        <w:t>經濟部能源局</w:t>
      </w:r>
      <w:r w:rsidRPr="00CC4988">
        <w:rPr>
          <w:rFonts w:hint="eastAsia"/>
        </w:rPr>
        <w:t>106年4月24日</w:t>
      </w:r>
      <w:r>
        <w:rPr>
          <w:rFonts w:hint="eastAsia"/>
        </w:rPr>
        <w:t>及</w:t>
      </w:r>
      <w:r w:rsidRPr="00CC4988">
        <w:rPr>
          <w:rFonts w:hint="eastAsia"/>
        </w:rPr>
        <w:t>8月3日</w:t>
      </w:r>
      <w:proofErr w:type="gramStart"/>
      <w:r w:rsidRPr="00CC4988">
        <w:rPr>
          <w:rFonts w:hint="eastAsia"/>
        </w:rPr>
        <w:t>能技字</w:t>
      </w:r>
      <w:proofErr w:type="gramEnd"/>
      <w:r w:rsidRPr="00CC4988">
        <w:rPr>
          <w:rFonts w:hint="eastAsia"/>
        </w:rPr>
        <w:t>第10604020280</w:t>
      </w:r>
      <w:r>
        <w:rPr>
          <w:rFonts w:hint="eastAsia"/>
        </w:rPr>
        <w:t>及</w:t>
      </w:r>
      <w:r w:rsidRPr="00CC4988">
        <w:rPr>
          <w:rFonts w:hint="eastAsia"/>
        </w:rPr>
        <w:t>10600129010號函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F74F3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F440C91C"/>
    <w:lvl w:ilvl="0" w:tplc="CFF6A94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5"/>
    <w:lvlOverride w:ilvl="0">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93"/>
    <w:rsid w:val="00006961"/>
    <w:rsid w:val="000112BF"/>
    <w:rsid w:val="00011331"/>
    <w:rsid w:val="00012233"/>
    <w:rsid w:val="00015F5C"/>
    <w:rsid w:val="00017318"/>
    <w:rsid w:val="00020652"/>
    <w:rsid w:val="000212FD"/>
    <w:rsid w:val="00021C83"/>
    <w:rsid w:val="00021F7E"/>
    <w:rsid w:val="000246F7"/>
    <w:rsid w:val="000249E6"/>
    <w:rsid w:val="0003114D"/>
    <w:rsid w:val="00032395"/>
    <w:rsid w:val="00035E28"/>
    <w:rsid w:val="00036D76"/>
    <w:rsid w:val="00040322"/>
    <w:rsid w:val="00043534"/>
    <w:rsid w:val="000442F8"/>
    <w:rsid w:val="00044ED7"/>
    <w:rsid w:val="000517CC"/>
    <w:rsid w:val="00052367"/>
    <w:rsid w:val="000532AF"/>
    <w:rsid w:val="00053467"/>
    <w:rsid w:val="000547DA"/>
    <w:rsid w:val="000551EF"/>
    <w:rsid w:val="00057F32"/>
    <w:rsid w:val="0006021A"/>
    <w:rsid w:val="00062A25"/>
    <w:rsid w:val="0006321C"/>
    <w:rsid w:val="0006374D"/>
    <w:rsid w:val="000648A9"/>
    <w:rsid w:val="00070969"/>
    <w:rsid w:val="00070C1F"/>
    <w:rsid w:val="00070F4E"/>
    <w:rsid w:val="00072786"/>
    <w:rsid w:val="00072AF8"/>
    <w:rsid w:val="00073CB5"/>
    <w:rsid w:val="0007425C"/>
    <w:rsid w:val="00074312"/>
    <w:rsid w:val="00076597"/>
    <w:rsid w:val="00077553"/>
    <w:rsid w:val="00080D90"/>
    <w:rsid w:val="00081707"/>
    <w:rsid w:val="00083FC1"/>
    <w:rsid w:val="000851A2"/>
    <w:rsid w:val="0008529E"/>
    <w:rsid w:val="00092442"/>
    <w:rsid w:val="0009352E"/>
    <w:rsid w:val="000947A9"/>
    <w:rsid w:val="000969EA"/>
    <w:rsid w:val="00096B96"/>
    <w:rsid w:val="000A2F3F"/>
    <w:rsid w:val="000A615C"/>
    <w:rsid w:val="000B0B4A"/>
    <w:rsid w:val="000B279A"/>
    <w:rsid w:val="000B4CA7"/>
    <w:rsid w:val="000B545C"/>
    <w:rsid w:val="000B61D2"/>
    <w:rsid w:val="000B637D"/>
    <w:rsid w:val="000B70A7"/>
    <w:rsid w:val="000B73DD"/>
    <w:rsid w:val="000C001A"/>
    <w:rsid w:val="000C046F"/>
    <w:rsid w:val="000C1497"/>
    <w:rsid w:val="000C1699"/>
    <w:rsid w:val="000C266E"/>
    <w:rsid w:val="000C495F"/>
    <w:rsid w:val="000C527A"/>
    <w:rsid w:val="000C5E66"/>
    <w:rsid w:val="000D35C8"/>
    <w:rsid w:val="000D5061"/>
    <w:rsid w:val="000D56F9"/>
    <w:rsid w:val="000D5AE1"/>
    <w:rsid w:val="000D7677"/>
    <w:rsid w:val="000E0AE2"/>
    <w:rsid w:val="000E2F23"/>
    <w:rsid w:val="000E47F3"/>
    <w:rsid w:val="000E6431"/>
    <w:rsid w:val="000E6C47"/>
    <w:rsid w:val="000F1A8B"/>
    <w:rsid w:val="000F1FDC"/>
    <w:rsid w:val="000F21A5"/>
    <w:rsid w:val="000F23BF"/>
    <w:rsid w:val="000F5540"/>
    <w:rsid w:val="00102B9F"/>
    <w:rsid w:val="001037CB"/>
    <w:rsid w:val="00103FB9"/>
    <w:rsid w:val="0010418C"/>
    <w:rsid w:val="001056FC"/>
    <w:rsid w:val="001075DF"/>
    <w:rsid w:val="00112637"/>
    <w:rsid w:val="00112ABC"/>
    <w:rsid w:val="00116FF8"/>
    <w:rsid w:val="00117D3E"/>
    <w:rsid w:val="0012001E"/>
    <w:rsid w:val="00120751"/>
    <w:rsid w:val="00126A55"/>
    <w:rsid w:val="00130832"/>
    <w:rsid w:val="001317CA"/>
    <w:rsid w:val="00133F08"/>
    <w:rsid w:val="001345E6"/>
    <w:rsid w:val="0013597A"/>
    <w:rsid w:val="00136285"/>
    <w:rsid w:val="0013679A"/>
    <w:rsid w:val="00137352"/>
    <w:rsid w:val="001378B0"/>
    <w:rsid w:val="00140E55"/>
    <w:rsid w:val="00142494"/>
    <w:rsid w:val="00142E00"/>
    <w:rsid w:val="00145F68"/>
    <w:rsid w:val="00146937"/>
    <w:rsid w:val="00146FD5"/>
    <w:rsid w:val="0014780D"/>
    <w:rsid w:val="00152793"/>
    <w:rsid w:val="00153B7E"/>
    <w:rsid w:val="001545A9"/>
    <w:rsid w:val="00157D79"/>
    <w:rsid w:val="001637C7"/>
    <w:rsid w:val="0016480E"/>
    <w:rsid w:val="00167499"/>
    <w:rsid w:val="00170DB6"/>
    <w:rsid w:val="0017228C"/>
    <w:rsid w:val="001726E3"/>
    <w:rsid w:val="00173628"/>
    <w:rsid w:val="00174297"/>
    <w:rsid w:val="00175889"/>
    <w:rsid w:val="00180E06"/>
    <w:rsid w:val="001817B3"/>
    <w:rsid w:val="00181A39"/>
    <w:rsid w:val="0018232D"/>
    <w:rsid w:val="00182BC6"/>
    <w:rsid w:val="00183014"/>
    <w:rsid w:val="001842D4"/>
    <w:rsid w:val="00185FF8"/>
    <w:rsid w:val="00186E63"/>
    <w:rsid w:val="0019183D"/>
    <w:rsid w:val="00191BB1"/>
    <w:rsid w:val="00193B58"/>
    <w:rsid w:val="001959C2"/>
    <w:rsid w:val="00195D68"/>
    <w:rsid w:val="00196F1C"/>
    <w:rsid w:val="001A1EDC"/>
    <w:rsid w:val="001A408E"/>
    <w:rsid w:val="001A51E3"/>
    <w:rsid w:val="001A7968"/>
    <w:rsid w:val="001B19D9"/>
    <w:rsid w:val="001B2E98"/>
    <w:rsid w:val="001B33E6"/>
    <w:rsid w:val="001B3483"/>
    <w:rsid w:val="001B3C1E"/>
    <w:rsid w:val="001B4494"/>
    <w:rsid w:val="001B4860"/>
    <w:rsid w:val="001B48D3"/>
    <w:rsid w:val="001B5E26"/>
    <w:rsid w:val="001B77A2"/>
    <w:rsid w:val="001C053E"/>
    <w:rsid w:val="001C0D8B"/>
    <w:rsid w:val="001C0DA8"/>
    <w:rsid w:val="001C32FB"/>
    <w:rsid w:val="001C3E27"/>
    <w:rsid w:val="001C7339"/>
    <w:rsid w:val="001D2877"/>
    <w:rsid w:val="001D38BD"/>
    <w:rsid w:val="001D4AD7"/>
    <w:rsid w:val="001D71EA"/>
    <w:rsid w:val="001D720C"/>
    <w:rsid w:val="001E0D8A"/>
    <w:rsid w:val="001E23EC"/>
    <w:rsid w:val="001E265F"/>
    <w:rsid w:val="001E67BA"/>
    <w:rsid w:val="001E74C2"/>
    <w:rsid w:val="001F4F82"/>
    <w:rsid w:val="001F5A48"/>
    <w:rsid w:val="001F6260"/>
    <w:rsid w:val="001F63F9"/>
    <w:rsid w:val="00200007"/>
    <w:rsid w:val="00201E88"/>
    <w:rsid w:val="002025F9"/>
    <w:rsid w:val="002030A5"/>
    <w:rsid w:val="00203131"/>
    <w:rsid w:val="00210515"/>
    <w:rsid w:val="00212706"/>
    <w:rsid w:val="002128FE"/>
    <w:rsid w:val="00212E88"/>
    <w:rsid w:val="00213C9C"/>
    <w:rsid w:val="0021428A"/>
    <w:rsid w:val="0021483B"/>
    <w:rsid w:val="00215100"/>
    <w:rsid w:val="002171D5"/>
    <w:rsid w:val="0022009E"/>
    <w:rsid w:val="00220912"/>
    <w:rsid w:val="00223241"/>
    <w:rsid w:val="00223781"/>
    <w:rsid w:val="0022425C"/>
    <w:rsid w:val="00224690"/>
    <w:rsid w:val="002246DE"/>
    <w:rsid w:val="00227163"/>
    <w:rsid w:val="002301FF"/>
    <w:rsid w:val="00231EFF"/>
    <w:rsid w:val="00233D09"/>
    <w:rsid w:val="00236A01"/>
    <w:rsid w:val="002417CB"/>
    <w:rsid w:val="00241CB4"/>
    <w:rsid w:val="0024593B"/>
    <w:rsid w:val="00246D44"/>
    <w:rsid w:val="0024725E"/>
    <w:rsid w:val="00252569"/>
    <w:rsid w:val="00252BC4"/>
    <w:rsid w:val="00253BDB"/>
    <w:rsid w:val="00254014"/>
    <w:rsid w:val="002546E3"/>
    <w:rsid w:val="00254B39"/>
    <w:rsid w:val="002564AB"/>
    <w:rsid w:val="00260627"/>
    <w:rsid w:val="002606A5"/>
    <w:rsid w:val="00261038"/>
    <w:rsid w:val="00261CDA"/>
    <w:rsid w:val="00262C5F"/>
    <w:rsid w:val="002631C0"/>
    <w:rsid w:val="002644EE"/>
    <w:rsid w:val="0026504D"/>
    <w:rsid w:val="00265E20"/>
    <w:rsid w:val="00266531"/>
    <w:rsid w:val="00273A2F"/>
    <w:rsid w:val="0027634E"/>
    <w:rsid w:val="00280986"/>
    <w:rsid w:val="00281ECE"/>
    <w:rsid w:val="002831C7"/>
    <w:rsid w:val="002840C6"/>
    <w:rsid w:val="00290728"/>
    <w:rsid w:val="00292943"/>
    <w:rsid w:val="00295174"/>
    <w:rsid w:val="00296172"/>
    <w:rsid w:val="002962CC"/>
    <w:rsid w:val="00296B92"/>
    <w:rsid w:val="002A1BE6"/>
    <w:rsid w:val="002A22DE"/>
    <w:rsid w:val="002A2C22"/>
    <w:rsid w:val="002A2D8F"/>
    <w:rsid w:val="002A537A"/>
    <w:rsid w:val="002A5BE0"/>
    <w:rsid w:val="002A7269"/>
    <w:rsid w:val="002A7A81"/>
    <w:rsid w:val="002B02EB"/>
    <w:rsid w:val="002B4BA1"/>
    <w:rsid w:val="002C0602"/>
    <w:rsid w:val="002C0E43"/>
    <w:rsid w:val="002C1B04"/>
    <w:rsid w:val="002C4CAC"/>
    <w:rsid w:val="002D13B3"/>
    <w:rsid w:val="002D4C51"/>
    <w:rsid w:val="002D50C9"/>
    <w:rsid w:val="002D5C16"/>
    <w:rsid w:val="002D7443"/>
    <w:rsid w:val="002E5531"/>
    <w:rsid w:val="002E57E3"/>
    <w:rsid w:val="002E61A1"/>
    <w:rsid w:val="002F131A"/>
    <w:rsid w:val="002F2476"/>
    <w:rsid w:val="002F3DFF"/>
    <w:rsid w:val="002F4D2E"/>
    <w:rsid w:val="002F5E05"/>
    <w:rsid w:val="002F7374"/>
    <w:rsid w:val="0030019A"/>
    <w:rsid w:val="00307A76"/>
    <w:rsid w:val="00311923"/>
    <w:rsid w:val="00311D9C"/>
    <w:rsid w:val="003121DE"/>
    <w:rsid w:val="00315A16"/>
    <w:rsid w:val="00317053"/>
    <w:rsid w:val="0032092E"/>
    <w:rsid w:val="0032109C"/>
    <w:rsid w:val="0032130F"/>
    <w:rsid w:val="00322B45"/>
    <w:rsid w:val="00323809"/>
    <w:rsid w:val="00323D41"/>
    <w:rsid w:val="00324BE3"/>
    <w:rsid w:val="00325414"/>
    <w:rsid w:val="00326301"/>
    <w:rsid w:val="00326E23"/>
    <w:rsid w:val="003302F1"/>
    <w:rsid w:val="00330749"/>
    <w:rsid w:val="0033225E"/>
    <w:rsid w:val="0033770D"/>
    <w:rsid w:val="00340ED5"/>
    <w:rsid w:val="003422D0"/>
    <w:rsid w:val="003444B9"/>
    <w:rsid w:val="0034470E"/>
    <w:rsid w:val="003448B7"/>
    <w:rsid w:val="00345C63"/>
    <w:rsid w:val="00347C97"/>
    <w:rsid w:val="00351538"/>
    <w:rsid w:val="00352DB0"/>
    <w:rsid w:val="00353AAB"/>
    <w:rsid w:val="003557CA"/>
    <w:rsid w:val="003573E1"/>
    <w:rsid w:val="003608A0"/>
    <w:rsid w:val="00361063"/>
    <w:rsid w:val="00362BFE"/>
    <w:rsid w:val="00370215"/>
    <w:rsid w:val="0037094A"/>
    <w:rsid w:val="00371ED3"/>
    <w:rsid w:val="00372FFC"/>
    <w:rsid w:val="0037443D"/>
    <w:rsid w:val="003768C3"/>
    <w:rsid w:val="0037721E"/>
    <w:rsid w:val="0037728A"/>
    <w:rsid w:val="00380B7D"/>
    <w:rsid w:val="00381A99"/>
    <w:rsid w:val="003829C2"/>
    <w:rsid w:val="00382E41"/>
    <w:rsid w:val="003830B2"/>
    <w:rsid w:val="00384724"/>
    <w:rsid w:val="0038540E"/>
    <w:rsid w:val="00390DD8"/>
    <w:rsid w:val="003919B7"/>
    <w:rsid w:val="00391D57"/>
    <w:rsid w:val="00392079"/>
    <w:rsid w:val="00392292"/>
    <w:rsid w:val="003949E1"/>
    <w:rsid w:val="00394C2F"/>
    <w:rsid w:val="00394F45"/>
    <w:rsid w:val="00397958"/>
    <w:rsid w:val="003A2492"/>
    <w:rsid w:val="003A30AA"/>
    <w:rsid w:val="003A58E7"/>
    <w:rsid w:val="003A5927"/>
    <w:rsid w:val="003A624D"/>
    <w:rsid w:val="003B1017"/>
    <w:rsid w:val="003B3C07"/>
    <w:rsid w:val="003B6081"/>
    <w:rsid w:val="003B6775"/>
    <w:rsid w:val="003C131B"/>
    <w:rsid w:val="003C1644"/>
    <w:rsid w:val="003C3306"/>
    <w:rsid w:val="003C5FE2"/>
    <w:rsid w:val="003C7DEA"/>
    <w:rsid w:val="003D04AB"/>
    <w:rsid w:val="003D05FB"/>
    <w:rsid w:val="003D1B16"/>
    <w:rsid w:val="003D2F01"/>
    <w:rsid w:val="003D45BF"/>
    <w:rsid w:val="003D508A"/>
    <w:rsid w:val="003D537F"/>
    <w:rsid w:val="003D7B75"/>
    <w:rsid w:val="003E019B"/>
    <w:rsid w:val="003E0208"/>
    <w:rsid w:val="003E188E"/>
    <w:rsid w:val="003E4B57"/>
    <w:rsid w:val="003E5C38"/>
    <w:rsid w:val="003E6A4E"/>
    <w:rsid w:val="003E7EDA"/>
    <w:rsid w:val="003F046C"/>
    <w:rsid w:val="003F0F5E"/>
    <w:rsid w:val="003F27E1"/>
    <w:rsid w:val="003F2D52"/>
    <w:rsid w:val="003F437A"/>
    <w:rsid w:val="003F48F5"/>
    <w:rsid w:val="003F596A"/>
    <w:rsid w:val="003F5C2B"/>
    <w:rsid w:val="003F7259"/>
    <w:rsid w:val="00402240"/>
    <w:rsid w:val="004023E9"/>
    <w:rsid w:val="00402CC9"/>
    <w:rsid w:val="0040454A"/>
    <w:rsid w:val="00404A00"/>
    <w:rsid w:val="00413F83"/>
    <w:rsid w:val="0041413B"/>
    <w:rsid w:val="0041490C"/>
    <w:rsid w:val="004160E6"/>
    <w:rsid w:val="00416191"/>
    <w:rsid w:val="004162AF"/>
    <w:rsid w:val="00416721"/>
    <w:rsid w:val="00421EF0"/>
    <w:rsid w:val="004224FA"/>
    <w:rsid w:val="004227FB"/>
    <w:rsid w:val="004237AD"/>
    <w:rsid w:val="00423B4F"/>
    <w:rsid w:val="00423D07"/>
    <w:rsid w:val="00426716"/>
    <w:rsid w:val="00427936"/>
    <w:rsid w:val="00431C70"/>
    <w:rsid w:val="00432979"/>
    <w:rsid w:val="004352FA"/>
    <w:rsid w:val="00436CD4"/>
    <w:rsid w:val="00440807"/>
    <w:rsid w:val="00442C34"/>
    <w:rsid w:val="00442D4D"/>
    <w:rsid w:val="0044346F"/>
    <w:rsid w:val="00445B04"/>
    <w:rsid w:val="00446568"/>
    <w:rsid w:val="0044788D"/>
    <w:rsid w:val="00455D03"/>
    <w:rsid w:val="00455D69"/>
    <w:rsid w:val="00460B4C"/>
    <w:rsid w:val="00461967"/>
    <w:rsid w:val="004628A5"/>
    <w:rsid w:val="00464B4B"/>
    <w:rsid w:val="0046520A"/>
    <w:rsid w:val="0046636B"/>
    <w:rsid w:val="004664F5"/>
    <w:rsid w:val="004672AB"/>
    <w:rsid w:val="004709F2"/>
    <w:rsid w:val="004714FE"/>
    <w:rsid w:val="00471779"/>
    <w:rsid w:val="004726FF"/>
    <w:rsid w:val="00477BAA"/>
    <w:rsid w:val="004830F8"/>
    <w:rsid w:val="00483375"/>
    <w:rsid w:val="0049007B"/>
    <w:rsid w:val="00491585"/>
    <w:rsid w:val="00491F2B"/>
    <w:rsid w:val="00495053"/>
    <w:rsid w:val="00496DEB"/>
    <w:rsid w:val="00497B25"/>
    <w:rsid w:val="004A0550"/>
    <w:rsid w:val="004A10B8"/>
    <w:rsid w:val="004A1CDC"/>
    <w:rsid w:val="004A1F59"/>
    <w:rsid w:val="004A29BE"/>
    <w:rsid w:val="004A3225"/>
    <w:rsid w:val="004A33EE"/>
    <w:rsid w:val="004A3AA8"/>
    <w:rsid w:val="004A7D85"/>
    <w:rsid w:val="004B0E0A"/>
    <w:rsid w:val="004B0E72"/>
    <w:rsid w:val="004B13C7"/>
    <w:rsid w:val="004B1858"/>
    <w:rsid w:val="004B46D2"/>
    <w:rsid w:val="004B5318"/>
    <w:rsid w:val="004B778F"/>
    <w:rsid w:val="004C0609"/>
    <w:rsid w:val="004C249A"/>
    <w:rsid w:val="004C29E2"/>
    <w:rsid w:val="004C3B40"/>
    <w:rsid w:val="004C6F32"/>
    <w:rsid w:val="004C7967"/>
    <w:rsid w:val="004D141F"/>
    <w:rsid w:val="004D2184"/>
    <w:rsid w:val="004D2742"/>
    <w:rsid w:val="004D6310"/>
    <w:rsid w:val="004D65EE"/>
    <w:rsid w:val="004E0062"/>
    <w:rsid w:val="004E05A1"/>
    <w:rsid w:val="004E167C"/>
    <w:rsid w:val="004E1A59"/>
    <w:rsid w:val="004E1E9B"/>
    <w:rsid w:val="004E4E02"/>
    <w:rsid w:val="004E4E42"/>
    <w:rsid w:val="004E67B0"/>
    <w:rsid w:val="004E6E9B"/>
    <w:rsid w:val="004F5E57"/>
    <w:rsid w:val="004F6710"/>
    <w:rsid w:val="00500B32"/>
    <w:rsid w:val="00500C3E"/>
    <w:rsid w:val="005016E2"/>
    <w:rsid w:val="00502275"/>
    <w:rsid w:val="00502747"/>
    <w:rsid w:val="00502849"/>
    <w:rsid w:val="00503812"/>
    <w:rsid w:val="00504334"/>
    <w:rsid w:val="0050498D"/>
    <w:rsid w:val="005073BE"/>
    <w:rsid w:val="00507A5F"/>
    <w:rsid w:val="00507B13"/>
    <w:rsid w:val="005104D7"/>
    <w:rsid w:val="00510B9E"/>
    <w:rsid w:val="00511251"/>
    <w:rsid w:val="00512CA4"/>
    <w:rsid w:val="005152CA"/>
    <w:rsid w:val="00516241"/>
    <w:rsid w:val="005163B7"/>
    <w:rsid w:val="00517DB1"/>
    <w:rsid w:val="005208B4"/>
    <w:rsid w:val="00521DBC"/>
    <w:rsid w:val="0052251C"/>
    <w:rsid w:val="0053338A"/>
    <w:rsid w:val="005346E7"/>
    <w:rsid w:val="00536BC2"/>
    <w:rsid w:val="00536E02"/>
    <w:rsid w:val="00540B55"/>
    <w:rsid w:val="00542403"/>
    <w:rsid w:val="005425E1"/>
    <w:rsid w:val="005427C5"/>
    <w:rsid w:val="00542855"/>
    <w:rsid w:val="00542C0D"/>
    <w:rsid w:val="00542CF6"/>
    <w:rsid w:val="00545547"/>
    <w:rsid w:val="005463C9"/>
    <w:rsid w:val="00553C03"/>
    <w:rsid w:val="00556E5C"/>
    <w:rsid w:val="00561AD0"/>
    <w:rsid w:val="00563692"/>
    <w:rsid w:val="005647EB"/>
    <w:rsid w:val="005660CD"/>
    <w:rsid w:val="0056659C"/>
    <w:rsid w:val="00570358"/>
    <w:rsid w:val="00571679"/>
    <w:rsid w:val="005719DF"/>
    <w:rsid w:val="0057218B"/>
    <w:rsid w:val="005741FA"/>
    <w:rsid w:val="005771FC"/>
    <w:rsid w:val="00583607"/>
    <w:rsid w:val="00583676"/>
    <w:rsid w:val="005844E7"/>
    <w:rsid w:val="00586347"/>
    <w:rsid w:val="00590139"/>
    <w:rsid w:val="005908B8"/>
    <w:rsid w:val="00590CE3"/>
    <w:rsid w:val="00592349"/>
    <w:rsid w:val="00592714"/>
    <w:rsid w:val="005928E8"/>
    <w:rsid w:val="00592D53"/>
    <w:rsid w:val="005940FC"/>
    <w:rsid w:val="0059512E"/>
    <w:rsid w:val="005A04A6"/>
    <w:rsid w:val="005A588A"/>
    <w:rsid w:val="005A656B"/>
    <w:rsid w:val="005A6DD2"/>
    <w:rsid w:val="005B0C57"/>
    <w:rsid w:val="005B2D12"/>
    <w:rsid w:val="005B3929"/>
    <w:rsid w:val="005B6331"/>
    <w:rsid w:val="005C2A16"/>
    <w:rsid w:val="005C2F53"/>
    <w:rsid w:val="005C385D"/>
    <w:rsid w:val="005C5E7B"/>
    <w:rsid w:val="005D0D87"/>
    <w:rsid w:val="005D3B20"/>
    <w:rsid w:val="005D4B63"/>
    <w:rsid w:val="005D4FEF"/>
    <w:rsid w:val="005D5611"/>
    <w:rsid w:val="005D7F62"/>
    <w:rsid w:val="005E4759"/>
    <w:rsid w:val="005E4A0B"/>
    <w:rsid w:val="005E5C68"/>
    <w:rsid w:val="005E65C0"/>
    <w:rsid w:val="005E6B28"/>
    <w:rsid w:val="005E7FD1"/>
    <w:rsid w:val="005F0390"/>
    <w:rsid w:val="005F1AB1"/>
    <w:rsid w:val="005F432D"/>
    <w:rsid w:val="00600351"/>
    <w:rsid w:val="0060172E"/>
    <w:rsid w:val="00601EE8"/>
    <w:rsid w:val="00603AA5"/>
    <w:rsid w:val="00605611"/>
    <w:rsid w:val="00606946"/>
    <w:rsid w:val="006072CD"/>
    <w:rsid w:val="0061029A"/>
    <w:rsid w:val="006113EE"/>
    <w:rsid w:val="00612023"/>
    <w:rsid w:val="006130D2"/>
    <w:rsid w:val="00614190"/>
    <w:rsid w:val="00614AC4"/>
    <w:rsid w:val="00614C3C"/>
    <w:rsid w:val="006157F0"/>
    <w:rsid w:val="0061616A"/>
    <w:rsid w:val="00616610"/>
    <w:rsid w:val="00620437"/>
    <w:rsid w:val="00622A99"/>
    <w:rsid w:val="00622E67"/>
    <w:rsid w:val="00623EB9"/>
    <w:rsid w:val="00625C95"/>
    <w:rsid w:val="00626EDC"/>
    <w:rsid w:val="006320FC"/>
    <w:rsid w:val="006351A1"/>
    <w:rsid w:val="00635361"/>
    <w:rsid w:val="00637FA8"/>
    <w:rsid w:val="00643D81"/>
    <w:rsid w:val="00645091"/>
    <w:rsid w:val="0064561A"/>
    <w:rsid w:val="0064577F"/>
    <w:rsid w:val="006470EC"/>
    <w:rsid w:val="006479AC"/>
    <w:rsid w:val="00647E4E"/>
    <w:rsid w:val="00650EFE"/>
    <w:rsid w:val="00651C11"/>
    <w:rsid w:val="00652774"/>
    <w:rsid w:val="00652A32"/>
    <w:rsid w:val="006542D6"/>
    <w:rsid w:val="00654FE1"/>
    <w:rsid w:val="0065598E"/>
    <w:rsid w:val="00655AF2"/>
    <w:rsid w:val="00655BC5"/>
    <w:rsid w:val="00655BD4"/>
    <w:rsid w:val="006568BE"/>
    <w:rsid w:val="0066025D"/>
    <w:rsid w:val="00660634"/>
    <w:rsid w:val="0066091A"/>
    <w:rsid w:val="006609E6"/>
    <w:rsid w:val="006724D6"/>
    <w:rsid w:val="00673454"/>
    <w:rsid w:val="00674B45"/>
    <w:rsid w:val="006773EC"/>
    <w:rsid w:val="00680504"/>
    <w:rsid w:val="00681CD9"/>
    <w:rsid w:val="0068268E"/>
    <w:rsid w:val="006829CF"/>
    <w:rsid w:val="00683E30"/>
    <w:rsid w:val="00683F2F"/>
    <w:rsid w:val="00684EDA"/>
    <w:rsid w:val="0068602B"/>
    <w:rsid w:val="00687024"/>
    <w:rsid w:val="00687473"/>
    <w:rsid w:val="00690821"/>
    <w:rsid w:val="00690F68"/>
    <w:rsid w:val="00691C1C"/>
    <w:rsid w:val="00694C7F"/>
    <w:rsid w:val="00695E22"/>
    <w:rsid w:val="00696895"/>
    <w:rsid w:val="006A4523"/>
    <w:rsid w:val="006A5780"/>
    <w:rsid w:val="006A7A83"/>
    <w:rsid w:val="006B08E4"/>
    <w:rsid w:val="006B155F"/>
    <w:rsid w:val="006B3759"/>
    <w:rsid w:val="006B6E7E"/>
    <w:rsid w:val="006B7093"/>
    <w:rsid w:val="006B7417"/>
    <w:rsid w:val="006B7A68"/>
    <w:rsid w:val="006C285E"/>
    <w:rsid w:val="006C689F"/>
    <w:rsid w:val="006D08A5"/>
    <w:rsid w:val="006D12B5"/>
    <w:rsid w:val="006D29BF"/>
    <w:rsid w:val="006D3691"/>
    <w:rsid w:val="006D51C4"/>
    <w:rsid w:val="006D5E3E"/>
    <w:rsid w:val="006E3CE7"/>
    <w:rsid w:val="006E5EF0"/>
    <w:rsid w:val="006F02F2"/>
    <w:rsid w:val="006F3563"/>
    <w:rsid w:val="006F42B9"/>
    <w:rsid w:val="006F5498"/>
    <w:rsid w:val="006F6103"/>
    <w:rsid w:val="007013C3"/>
    <w:rsid w:val="00702FFB"/>
    <w:rsid w:val="00703936"/>
    <w:rsid w:val="00704E00"/>
    <w:rsid w:val="00705471"/>
    <w:rsid w:val="00705535"/>
    <w:rsid w:val="00707A3D"/>
    <w:rsid w:val="0071143E"/>
    <w:rsid w:val="00711B06"/>
    <w:rsid w:val="00713A02"/>
    <w:rsid w:val="00713F6D"/>
    <w:rsid w:val="007157DB"/>
    <w:rsid w:val="0071605A"/>
    <w:rsid w:val="0072014F"/>
    <w:rsid w:val="007209E7"/>
    <w:rsid w:val="0072390B"/>
    <w:rsid w:val="00726182"/>
    <w:rsid w:val="00726960"/>
    <w:rsid w:val="00727635"/>
    <w:rsid w:val="00732329"/>
    <w:rsid w:val="0073304D"/>
    <w:rsid w:val="007337CA"/>
    <w:rsid w:val="007343BE"/>
    <w:rsid w:val="00734CE4"/>
    <w:rsid w:val="00735123"/>
    <w:rsid w:val="00736104"/>
    <w:rsid w:val="0073720E"/>
    <w:rsid w:val="0073737F"/>
    <w:rsid w:val="007374DD"/>
    <w:rsid w:val="00741837"/>
    <w:rsid w:val="00742F36"/>
    <w:rsid w:val="007445D5"/>
    <w:rsid w:val="007453E6"/>
    <w:rsid w:val="007457E9"/>
    <w:rsid w:val="00745F4C"/>
    <w:rsid w:val="007512A9"/>
    <w:rsid w:val="0075346A"/>
    <w:rsid w:val="0075644D"/>
    <w:rsid w:val="00757016"/>
    <w:rsid w:val="00760474"/>
    <w:rsid w:val="007616BA"/>
    <w:rsid w:val="007619FE"/>
    <w:rsid w:val="00763AC8"/>
    <w:rsid w:val="007651DA"/>
    <w:rsid w:val="00765A8F"/>
    <w:rsid w:val="00766B72"/>
    <w:rsid w:val="00770E35"/>
    <w:rsid w:val="00771319"/>
    <w:rsid w:val="00772395"/>
    <w:rsid w:val="0077253B"/>
    <w:rsid w:val="0077309D"/>
    <w:rsid w:val="007732C6"/>
    <w:rsid w:val="00777221"/>
    <w:rsid w:val="007774EE"/>
    <w:rsid w:val="00781822"/>
    <w:rsid w:val="00783B45"/>
    <w:rsid w:val="00783F21"/>
    <w:rsid w:val="00787159"/>
    <w:rsid w:val="00787E4B"/>
    <w:rsid w:val="0079043A"/>
    <w:rsid w:val="007915C7"/>
    <w:rsid w:val="00791668"/>
    <w:rsid w:val="007918C2"/>
    <w:rsid w:val="00791AA1"/>
    <w:rsid w:val="00793A0B"/>
    <w:rsid w:val="00794805"/>
    <w:rsid w:val="007974A1"/>
    <w:rsid w:val="007A0628"/>
    <w:rsid w:val="007A13CD"/>
    <w:rsid w:val="007A3793"/>
    <w:rsid w:val="007B651F"/>
    <w:rsid w:val="007B6B23"/>
    <w:rsid w:val="007B6E4D"/>
    <w:rsid w:val="007C1B0E"/>
    <w:rsid w:val="007C1BA2"/>
    <w:rsid w:val="007C21C1"/>
    <w:rsid w:val="007C2312"/>
    <w:rsid w:val="007C2B48"/>
    <w:rsid w:val="007C431D"/>
    <w:rsid w:val="007C48CB"/>
    <w:rsid w:val="007C5416"/>
    <w:rsid w:val="007C55DE"/>
    <w:rsid w:val="007C6B40"/>
    <w:rsid w:val="007D20E9"/>
    <w:rsid w:val="007D2107"/>
    <w:rsid w:val="007D6E95"/>
    <w:rsid w:val="007D75E4"/>
    <w:rsid w:val="007D7881"/>
    <w:rsid w:val="007D7E3A"/>
    <w:rsid w:val="007E0E10"/>
    <w:rsid w:val="007E3AFB"/>
    <w:rsid w:val="007E4768"/>
    <w:rsid w:val="007E777B"/>
    <w:rsid w:val="007F0205"/>
    <w:rsid w:val="007F2070"/>
    <w:rsid w:val="007F5125"/>
    <w:rsid w:val="007F78A4"/>
    <w:rsid w:val="00801082"/>
    <w:rsid w:val="008018B7"/>
    <w:rsid w:val="00803796"/>
    <w:rsid w:val="008053F5"/>
    <w:rsid w:val="00806736"/>
    <w:rsid w:val="00807AF7"/>
    <w:rsid w:val="00810198"/>
    <w:rsid w:val="008158F5"/>
    <w:rsid w:val="00815DA8"/>
    <w:rsid w:val="0082194D"/>
    <w:rsid w:val="00821FF6"/>
    <w:rsid w:val="008221F9"/>
    <w:rsid w:val="00822DC9"/>
    <w:rsid w:val="0082408F"/>
    <w:rsid w:val="008247FE"/>
    <w:rsid w:val="00824D41"/>
    <w:rsid w:val="00825ACB"/>
    <w:rsid w:val="00826EF5"/>
    <w:rsid w:val="00827B10"/>
    <w:rsid w:val="00830E14"/>
    <w:rsid w:val="00831693"/>
    <w:rsid w:val="00833325"/>
    <w:rsid w:val="00835535"/>
    <w:rsid w:val="00837E8F"/>
    <w:rsid w:val="00840104"/>
    <w:rsid w:val="00840A2C"/>
    <w:rsid w:val="00840C1F"/>
    <w:rsid w:val="00841A9B"/>
    <w:rsid w:val="00841FC5"/>
    <w:rsid w:val="00845709"/>
    <w:rsid w:val="0084664A"/>
    <w:rsid w:val="00851848"/>
    <w:rsid w:val="00852404"/>
    <w:rsid w:val="00852695"/>
    <w:rsid w:val="00854C9A"/>
    <w:rsid w:val="00855D99"/>
    <w:rsid w:val="008576BD"/>
    <w:rsid w:val="00860463"/>
    <w:rsid w:val="00867427"/>
    <w:rsid w:val="008708DA"/>
    <w:rsid w:val="008733DA"/>
    <w:rsid w:val="00875A5D"/>
    <w:rsid w:val="00877CAB"/>
    <w:rsid w:val="00880308"/>
    <w:rsid w:val="008806A8"/>
    <w:rsid w:val="00880A2F"/>
    <w:rsid w:val="00883EC1"/>
    <w:rsid w:val="00884627"/>
    <w:rsid w:val="00884BEC"/>
    <w:rsid w:val="00884E76"/>
    <w:rsid w:val="008850E4"/>
    <w:rsid w:val="0088616B"/>
    <w:rsid w:val="00890770"/>
    <w:rsid w:val="008939AB"/>
    <w:rsid w:val="008955E9"/>
    <w:rsid w:val="008963A3"/>
    <w:rsid w:val="008978AE"/>
    <w:rsid w:val="008A12F5"/>
    <w:rsid w:val="008A451B"/>
    <w:rsid w:val="008B1587"/>
    <w:rsid w:val="008B1B01"/>
    <w:rsid w:val="008B2B85"/>
    <w:rsid w:val="008B3BCD"/>
    <w:rsid w:val="008B3EE9"/>
    <w:rsid w:val="008B4483"/>
    <w:rsid w:val="008B5078"/>
    <w:rsid w:val="008B6DF8"/>
    <w:rsid w:val="008B76F4"/>
    <w:rsid w:val="008C106C"/>
    <w:rsid w:val="008C10F1"/>
    <w:rsid w:val="008C125E"/>
    <w:rsid w:val="008C1926"/>
    <w:rsid w:val="008C1E99"/>
    <w:rsid w:val="008C6D20"/>
    <w:rsid w:val="008C726F"/>
    <w:rsid w:val="008D10E4"/>
    <w:rsid w:val="008D3FE4"/>
    <w:rsid w:val="008D6D10"/>
    <w:rsid w:val="008E0085"/>
    <w:rsid w:val="008E0A4A"/>
    <w:rsid w:val="008E25A6"/>
    <w:rsid w:val="008E2AA6"/>
    <w:rsid w:val="008E311B"/>
    <w:rsid w:val="008E3DF7"/>
    <w:rsid w:val="008F23BB"/>
    <w:rsid w:val="008F28DC"/>
    <w:rsid w:val="008F3310"/>
    <w:rsid w:val="008F46E7"/>
    <w:rsid w:val="008F612A"/>
    <w:rsid w:val="008F6DBE"/>
    <w:rsid w:val="008F6F0B"/>
    <w:rsid w:val="008F77A0"/>
    <w:rsid w:val="0090179A"/>
    <w:rsid w:val="00903FBA"/>
    <w:rsid w:val="00905299"/>
    <w:rsid w:val="00906F81"/>
    <w:rsid w:val="00907BA7"/>
    <w:rsid w:val="0091064E"/>
    <w:rsid w:val="00910686"/>
    <w:rsid w:val="00911FC5"/>
    <w:rsid w:val="00913002"/>
    <w:rsid w:val="00914974"/>
    <w:rsid w:val="00915ACC"/>
    <w:rsid w:val="0091785F"/>
    <w:rsid w:val="0092142D"/>
    <w:rsid w:val="0092192B"/>
    <w:rsid w:val="009232F9"/>
    <w:rsid w:val="00924FCD"/>
    <w:rsid w:val="0093085D"/>
    <w:rsid w:val="00931A10"/>
    <w:rsid w:val="00931A73"/>
    <w:rsid w:val="00932B55"/>
    <w:rsid w:val="00933220"/>
    <w:rsid w:val="00934500"/>
    <w:rsid w:val="00937A12"/>
    <w:rsid w:val="0094406D"/>
    <w:rsid w:val="0094597F"/>
    <w:rsid w:val="00947967"/>
    <w:rsid w:val="00950EF3"/>
    <w:rsid w:val="0095415F"/>
    <w:rsid w:val="00955201"/>
    <w:rsid w:val="00956F33"/>
    <w:rsid w:val="00962A77"/>
    <w:rsid w:val="00964D30"/>
    <w:rsid w:val="00965200"/>
    <w:rsid w:val="00965B30"/>
    <w:rsid w:val="00965FF7"/>
    <w:rsid w:val="00966154"/>
    <w:rsid w:val="0096626D"/>
    <w:rsid w:val="009668B3"/>
    <w:rsid w:val="00966A15"/>
    <w:rsid w:val="00967298"/>
    <w:rsid w:val="00971471"/>
    <w:rsid w:val="00972F77"/>
    <w:rsid w:val="00973314"/>
    <w:rsid w:val="0097514E"/>
    <w:rsid w:val="00975E5E"/>
    <w:rsid w:val="009818F9"/>
    <w:rsid w:val="009848F4"/>
    <w:rsid w:val="009849C2"/>
    <w:rsid w:val="00984D24"/>
    <w:rsid w:val="009858EB"/>
    <w:rsid w:val="00985A07"/>
    <w:rsid w:val="00987BBB"/>
    <w:rsid w:val="0099190F"/>
    <w:rsid w:val="00992458"/>
    <w:rsid w:val="009941F4"/>
    <w:rsid w:val="00994BB5"/>
    <w:rsid w:val="009A0DCF"/>
    <w:rsid w:val="009A1C1F"/>
    <w:rsid w:val="009A219D"/>
    <w:rsid w:val="009A227C"/>
    <w:rsid w:val="009A3F47"/>
    <w:rsid w:val="009A6F1E"/>
    <w:rsid w:val="009B0046"/>
    <w:rsid w:val="009B396D"/>
    <w:rsid w:val="009B59AF"/>
    <w:rsid w:val="009C0094"/>
    <w:rsid w:val="009C0AF1"/>
    <w:rsid w:val="009C1440"/>
    <w:rsid w:val="009C2107"/>
    <w:rsid w:val="009C2475"/>
    <w:rsid w:val="009C24AC"/>
    <w:rsid w:val="009C5D36"/>
    <w:rsid w:val="009C5D9E"/>
    <w:rsid w:val="009C62C7"/>
    <w:rsid w:val="009D2C3E"/>
    <w:rsid w:val="009D7852"/>
    <w:rsid w:val="009E0625"/>
    <w:rsid w:val="009E29D9"/>
    <w:rsid w:val="009E2F17"/>
    <w:rsid w:val="009E3034"/>
    <w:rsid w:val="009E3CBB"/>
    <w:rsid w:val="009E4441"/>
    <w:rsid w:val="009E547F"/>
    <w:rsid w:val="009E549F"/>
    <w:rsid w:val="009F1322"/>
    <w:rsid w:val="009F2480"/>
    <w:rsid w:val="009F25EC"/>
    <w:rsid w:val="009F28A8"/>
    <w:rsid w:val="009F32BD"/>
    <w:rsid w:val="009F473E"/>
    <w:rsid w:val="009F682A"/>
    <w:rsid w:val="009F6C42"/>
    <w:rsid w:val="00A022BE"/>
    <w:rsid w:val="00A04A93"/>
    <w:rsid w:val="00A06887"/>
    <w:rsid w:val="00A07B4B"/>
    <w:rsid w:val="00A105E0"/>
    <w:rsid w:val="00A1319E"/>
    <w:rsid w:val="00A1589C"/>
    <w:rsid w:val="00A20223"/>
    <w:rsid w:val="00A22D68"/>
    <w:rsid w:val="00A24A67"/>
    <w:rsid w:val="00A24C95"/>
    <w:rsid w:val="00A2599A"/>
    <w:rsid w:val="00A26094"/>
    <w:rsid w:val="00A27479"/>
    <w:rsid w:val="00A301BF"/>
    <w:rsid w:val="00A302B2"/>
    <w:rsid w:val="00A32B67"/>
    <w:rsid w:val="00A331B4"/>
    <w:rsid w:val="00A3484E"/>
    <w:rsid w:val="00A356D3"/>
    <w:rsid w:val="00A36656"/>
    <w:rsid w:val="00A36ADA"/>
    <w:rsid w:val="00A401C6"/>
    <w:rsid w:val="00A438D8"/>
    <w:rsid w:val="00A44704"/>
    <w:rsid w:val="00A45225"/>
    <w:rsid w:val="00A46BE8"/>
    <w:rsid w:val="00A46E59"/>
    <w:rsid w:val="00A473F5"/>
    <w:rsid w:val="00A515EE"/>
    <w:rsid w:val="00A51F9D"/>
    <w:rsid w:val="00A52C80"/>
    <w:rsid w:val="00A52F09"/>
    <w:rsid w:val="00A5416A"/>
    <w:rsid w:val="00A639F4"/>
    <w:rsid w:val="00A67151"/>
    <w:rsid w:val="00A676AA"/>
    <w:rsid w:val="00A72EEC"/>
    <w:rsid w:val="00A7341B"/>
    <w:rsid w:val="00A80C0A"/>
    <w:rsid w:val="00A81A32"/>
    <w:rsid w:val="00A81A70"/>
    <w:rsid w:val="00A833C2"/>
    <w:rsid w:val="00A835BD"/>
    <w:rsid w:val="00A87073"/>
    <w:rsid w:val="00A87567"/>
    <w:rsid w:val="00A90730"/>
    <w:rsid w:val="00A90A83"/>
    <w:rsid w:val="00A92ABE"/>
    <w:rsid w:val="00A960DF"/>
    <w:rsid w:val="00A97B15"/>
    <w:rsid w:val="00AA2E6E"/>
    <w:rsid w:val="00AA42D5"/>
    <w:rsid w:val="00AA72C1"/>
    <w:rsid w:val="00AB0CDC"/>
    <w:rsid w:val="00AB1B91"/>
    <w:rsid w:val="00AB2FAB"/>
    <w:rsid w:val="00AB3369"/>
    <w:rsid w:val="00AB5C14"/>
    <w:rsid w:val="00AB67BE"/>
    <w:rsid w:val="00AB6D9D"/>
    <w:rsid w:val="00AC15D9"/>
    <w:rsid w:val="00AC1ECB"/>
    <w:rsid w:val="00AC1EE7"/>
    <w:rsid w:val="00AC333F"/>
    <w:rsid w:val="00AC4082"/>
    <w:rsid w:val="00AC585C"/>
    <w:rsid w:val="00AC679C"/>
    <w:rsid w:val="00AC7428"/>
    <w:rsid w:val="00AD1925"/>
    <w:rsid w:val="00AD401B"/>
    <w:rsid w:val="00AE067D"/>
    <w:rsid w:val="00AE0C29"/>
    <w:rsid w:val="00AE2C0E"/>
    <w:rsid w:val="00AE4220"/>
    <w:rsid w:val="00AE68AA"/>
    <w:rsid w:val="00AF1181"/>
    <w:rsid w:val="00AF229C"/>
    <w:rsid w:val="00AF2317"/>
    <w:rsid w:val="00AF2F79"/>
    <w:rsid w:val="00AF3040"/>
    <w:rsid w:val="00AF4653"/>
    <w:rsid w:val="00AF62DB"/>
    <w:rsid w:val="00AF7B58"/>
    <w:rsid w:val="00AF7DB7"/>
    <w:rsid w:val="00B10D02"/>
    <w:rsid w:val="00B1120B"/>
    <w:rsid w:val="00B11C1A"/>
    <w:rsid w:val="00B12662"/>
    <w:rsid w:val="00B140AF"/>
    <w:rsid w:val="00B1431B"/>
    <w:rsid w:val="00B15C71"/>
    <w:rsid w:val="00B1676C"/>
    <w:rsid w:val="00B201E2"/>
    <w:rsid w:val="00B22894"/>
    <w:rsid w:val="00B22DB9"/>
    <w:rsid w:val="00B2366E"/>
    <w:rsid w:val="00B27A6D"/>
    <w:rsid w:val="00B307F9"/>
    <w:rsid w:val="00B36E10"/>
    <w:rsid w:val="00B37DCB"/>
    <w:rsid w:val="00B40DBB"/>
    <w:rsid w:val="00B4319D"/>
    <w:rsid w:val="00B43507"/>
    <w:rsid w:val="00B443E4"/>
    <w:rsid w:val="00B4695B"/>
    <w:rsid w:val="00B46E77"/>
    <w:rsid w:val="00B50733"/>
    <w:rsid w:val="00B5311C"/>
    <w:rsid w:val="00B5484D"/>
    <w:rsid w:val="00B563EA"/>
    <w:rsid w:val="00B56CDF"/>
    <w:rsid w:val="00B60E51"/>
    <w:rsid w:val="00B63A54"/>
    <w:rsid w:val="00B6643F"/>
    <w:rsid w:val="00B73CC7"/>
    <w:rsid w:val="00B75D57"/>
    <w:rsid w:val="00B77D18"/>
    <w:rsid w:val="00B80268"/>
    <w:rsid w:val="00B8313A"/>
    <w:rsid w:val="00B8386D"/>
    <w:rsid w:val="00B84EAF"/>
    <w:rsid w:val="00B9036B"/>
    <w:rsid w:val="00B90DB1"/>
    <w:rsid w:val="00B916F8"/>
    <w:rsid w:val="00B93503"/>
    <w:rsid w:val="00BA051B"/>
    <w:rsid w:val="00BA07C1"/>
    <w:rsid w:val="00BA14FF"/>
    <w:rsid w:val="00BA18F5"/>
    <w:rsid w:val="00BA2A98"/>
    <w:rsid w:val="00BA2D33"/>
    <w:rsid w:val="00BA31E8"/>
    <w:rsid w:val="00BA479F"/>
    <w:rsid w:val="00BA55E0"/>
    <w:rsid w:val="00BA5FF5"/>
    <w:rsid w:val="00BA6BD4"/>
    <w:rsid w:val="00BA6C7A"/>
    <w:rsid w:val="00BA7CAE"/>
    <w:rsid w:val="00BB17D1"/>
    <w:rsid w:val="00BB1B8B"/>
    <w:rsid w:val="00BB1DE3"/>
    <w:rsid w:val="00BB3752"/>
    <w:rsid w:val="00BB3C66"/>
    <w:rsid w:val="00BB5815"/>
    <w:rsid w:val="00BB6688"/>
    <w:rsid w:val="00BB7CC4"/>
    <w:rsid w:val="00BC0223"/>
    <w:rsid w:val="00BC11BE"/>
    <w:rsid w:val="00BC26D4"/>
    <w:rsid w:val="00BC434E"/>
    <w:rsid w:val="00BC575A"/>
    <w:rsid w:val="00BC59D5"/>
    <w:rsid w:val="00BC762B"/>
    <w:rsid w:val="00BD1255"/>
    <w:rsid w:val="00BD3659"/>
    <w:rsid w:val="00BD3D0E"/>
    <w:rsid w:val="00BD4CAF"/>
    <w:rsid w:val="00BE013C"/>
    <w:rsid w:val="00BE0C80"/>
    <w:rsid w:val="00BE0EAF"/>
    <w:rsid w:val="00BE15C3"/>
    <w:rsid w:val="00BE1FFB"/>
    <w:rsid w:val="00BE2029"/>
    <w:rsid w:val="00BE334A"/>
    <w:rsid w:val="00BE419C"/>
    <w:rsid w:val="00BE428F"/>
    <w:rsid w:val="00BE5470"/>
    <w:rsid w:val="00BE6AE4"/>
    <w:rsid w:val="00BE6C92"/>
    <w:rsid w:val="00BF2A42"/>
    <w:rsid w:val="00C03D8C"/>
    <w:rsid w:val="00C04745"/>
    <w:rsid w:val="00C05477"/>
    <w:rsid w:val="00C055EC"/>
    <w:rsid w:val="00C079E1"/>
    <w:rsid w:val="00C10DC9"/>
    <w:rsid w:val="00C11465"/>
    <w:rsid w:val="00C12FB3"/>
    <w:rsid w:val="00C1376D"/>
    <w:rsid w:val="00C16753"/>
    <w:rsid w:val="00C16B3D"/>
    <w:rsid w:val="00C17341"/>
    <w:rsid w:val="00C21B6D"/>
    <w:rsid w:val="00C24EEF"/>
    <w:rsid w:val="00C25CF6"/>
    <w:rsid w:val="00C2668F"/>
    <w:rsid w:val="00C26C36"/>
    <w:rsid w:val="00C31CC6"/>
    <w:rsid w:val="00C32768"/>
    <w:rsid w:val="00C3370D"/>
    <w:rsid w:val="00C348A1"/>
    <w:rsid w:val="00C3513A"/>
    <w:rsid w:val="00C35C2B"/>
    <w:rsid w:val="00C36FAE"/>
    <w:rsid w:val="00C406B6"/>
    <w:rsid w:val="00C40D85"/>
    <w:rsid w:val="00C4290F"/>
    <w:rsid w:val="00C431DF"/>
    <w:rsid w:val="00C44EBC"/>
    <w:rsid w:val="00C45179"/>
    <w:rsid w:val="00C456BD"/>
    <w:rsid w:val="00C5229A"/>
    <w:rsid w:val="00C530DC"/>
    <w:rsid w:val="00C5350D"/>
    <w:rsid w:val="00C57BB7"/>
    <w:rsid w:val="00C61025"/>
    <w:rsid w:val="00C6123C"/>
    <w:rsid w:val="00C6311A"/>
    <w:rsid w:val="00C63AFF"/>
    <w:rsid w:val="00C6498A"/>
    <w:rsid w:val="00C70188"/>
    <w:rsid w:val="00C7060B"/>
    <w:rsid w:val="00C7084D"/>
    <w:rsid w:val="00C7315E"/>
    <w:rsid w:val="00C73B56"/>
    <w:rsid w:val="00C74796"/>
    <w:rsid w:val="00C75895"/>
    <w:rsid w:val="00C75DE1"/>
    <w:rsid w:val="00C8255F"/>
    <w:rsid w:val="00C830B6"/>
    <w:rsid w:val="00C838A5"/>
    <w:rsid w:val="00C83C9F"/>
    <w:rsid w:val="00C86A74"/>
    <w:rsid w:val="00C87D15"/>
    <w:rsid w:val="00C9011C"/>
    <w:rsid w:val="00C91AFA"/>
    <w:rsid w:val="00C93A81"/>
    <w:rsid w:val="00C94840"/>
    <w:rsid w:val="00CA04A3"/>
    <w:rsid w:val="00CA1931"/>
    <w:rsid w:val="00CA2A6B"/>
    <w:rsid w:val="00CA473A"/>
    <w:rsid w:val="00CA4EE3"/>
    <w:rsid w:val="00CB027F"/>
    <w:rsid w:val="00CB111D"/>
    <w:rsid w:val="00CB2525"/>
    <w:rsid w:val="00CB267A"/>
    <w:rsid w:val="00CB4AF0"/>
    <w:rsid w:val="00CB4E79"/>
    <w:rsid w:val="00CB51EB"/>
    <w:rsid w:val="00CB5F8B"/>
    <w:rsid w:val="00CC0EBB"/>
    <w:rsid w:val="00CC4A0B"/>
    <w:rsid w:val="00CC4CB2"/>
    <w:rsid w:val="00CC509C"/>
    <w:rsid w:val="00CC6297"/>
    <w:rsid w:val="00CC638E"/>
    <w:rsid w:val="00CC69FB"/>
    <w:rsid w:val="00CC7690"/>
    <w:rsid w:val="00CD1986"/>
    <w:rsid w:val="00CD3F23"/>
    <w:rsid w:val="00CD4204"/>
    <w:rsid w:val="00CD45F3"/>
    <w:rsid w:val="00CD54BF"/>
    <w:rsid w:val="00CD7338"/>
    <w:rsid w:val="00CE0882"/>
    <w:rsid w:val="00CE1E77"/>
    <w:rsid w:val="00CE4D5C"/>
    <w:rsid w:val="00CE5602"/>
    <w:rsid w:val="00CE5DBD"/>
    <w:rsid w:val="00CF05DA"/>
    <w:rsid w:val="00CF2EAE"/>
    <w:rsid w:val="00CF497A"/>
    <w:rsid w:val="00CF58EB"/>
    <w:rsid w:val="00CF5EC7"/>
    <w:rsid w:val="00CF6FEC"/>
    <w:rsid w:val="00D0106E"/>
    <w:rsid w:val="00D01836"/>
    <w:rsid w:val="00D01A6E"/>
    <w:rsid w:val="00D03757"/>
    <w:rsid w:val="00D056F6"/>
    <w:rsid w:val="00D06383"/>
    <w:rsid w:val="00D06529"/>
    <w:rsid w:val="00D06A09"/>
    <w:rsid w:val="00D1052B"/>
    <w:rsid w:val="00D12245"/>
    <w:rsid w:val="00D13097"/>
    <w:rsid w:val="00D16C73"/>
    <w:rsid w:val="00D20E85"/>
    <w:rsid w:val="00D210D8"/>
    <w:rsid w:val="00D2356C"/>
    <w:rsid w:val="00D239AA"/>
    <w:rsid w:val="00D24615"/>
    <w:rsid w:val="00D26132"/>
    <w:rsid w:val="00D26EDF"/>
    <w:rsid w:val="00D27204"/>
    <w:rsid w:val="00D30680"/>
    <w:rsid w:val="00D332C9"/>
    <w:rsid w:val="00D333B7"/>
    <w:rsid w:val="00D37842"/>
    <w:rsid w:val="00D37C64"/>
    <w:rsid w:val="00D37D2F"/>
    <w:rsid w:val="00D420F5"/>
    <w:rsid w:val="00D42DC2"/>
    <w:rsid w:val="00D43A8D"/>
    <w:rsid w:val="00D4414B"/>
    <w:rsid w:val="00D448D8"/>
    <w:rsid w:val="00D473FF"/>
    <w:rsid w:val="00D52EF1"/>
    <w:rsid w:val="00D537E1"/>
    <w:rsid w:val="00D5577C"/>
    <w:rsid w:val="00D55BB2"/>
    <w:rsid w:val="00D6091A"/>
    <w:rsid w:val="00D6605A"/>
    <w:rsid w:val="00D6695F"/>
    <w:rsid w:val="00D66F55"/>
    <w:rsid w:val="00D6773A"/>
    <w:rsid w:val="00D713EB"/>
    <w:rsid w:val="00D72A4D"/>
    <w:rsid w:val="00D75644"/>
    <w:rsid w:val="00D76231"/>
    <w:rsid w:val="00D7783A"/>
    <w:rsid w:val="00D81656"/>
    <w:rsid w:val="00D83D87"/>
    <w:rsid w:val="00D83DC6"/>
    <w:rsid w:val="00D84058"/>
    <w:rsid w:val="00D84A6D"/>
    <w:rsid w:val="00D859EB"/>
    <w:rsid w:val="00D863AB"/>
    <w:rsid w:val="00D86A30"/>
    <w:rsid w:val="00D87725"/>
    <w:rsid w:val="00D90405"/>
    <w:rsid w:val="00D9066C"/>
    <w:rsid w:val="00D943E9"/>
    <w:rsid w:val="00D95369"/>
    <w:rsid w:val="00D967B1"/>
    <w:rsid w:val="00D97CB4"/>
    <w:rsid w:val="00D97DD4"/>
    <w:rsid w:val="00DA165F"/>
    <w:rsid w:val="00DA20F0"/>
    <w:rsid w:val="00DA4571"/>
    <w:rsid w:val="00DA5A8A"/>
    <w:rsid w:val="00DA6F02"/>
    <w:rsid w:val="00DA7636"/>
    <w:rsid w:val="00DB1170"/>
    <w:rsid w:val="00DB2681"/>
    <w:rsid w:val="00DB26CD"/>
    <w:rsid w:val="00DB3884"/>
    <w:rsid w:val="00DB441C"/>
    <w:rsid w:val="00DB44AF"/>
    <w:rsid w:val="00DB5B50"/>
    <w:rsid w:val="00DB7FB6"/>
    <w:rsid w:val="00DC093E"/>
    <w:rsid w:val="00DC1F58"/>
    <w:rsid w:val="00DC26EB"/>
    <w:rsid w:val="00DC339B"/>
    <w:rsid w:val="00DC5D40"/>
    <w:rsid w:val="00DC69A7"/>
    <w:rsid w:val="00DD30E9"/>
    <w:rsid w:val="00DD4F47"/>
    <w:rsid w:val="00DD5CCC"/>
    <w:rsid w:val="00DD65C7"/>
    <w:rsid w:val="00DD7FBB"/>
    <w:rsid w:val="00DE0B9F"/>
    <w:rsid w:val="00DE294F"/>
    <w:rsid w:val="00DE2A9E"/>
    <w:rsid w:val="00DE2B45"/>
    <w:rsid w:val="00DE4238"/>
    <w:rsid w:val="00DE657F"/>
    <w:rsid w:val="00DE71B9"/>
    <w:rsid w:val="00DF00AA"/>
    <w:rsid w:val="00DF0E9D"/>
    <w:rsid w:val="00DF1218"/>
    <w:rsid w:val="00DF16C0"/>
    <w:rsid w:val="00DF4D8F"/>
    <w:rsid w:val="00DF6462"/>
    <w:rsid w:val="00DF6ED8"/>
    <w:rsid w:val="00E02127"/>
    <w:rsid w:val="00E02852"/>
    <w:rsid w:val="00E02A3A"/>
    <w:rsid w:val="00E02FA0"/>
    <w:rsid w:val="00E036DC"/>
    <w:rsid w:val="00E03ECB"/>
    <w:rsid w:val="00E04A70"/>
    <w:rsid w:val="00E05C8D"/>
    <w:rsid w:val="00E0749D"/>
    <w:rsid w:val="00E10454"/>
    <w:rsid w:val="00E112E5"/>
    <w:rsid w:val="00E122D8"/>
    <w:rsid w:val="00E12CC8"/>
    <w:rsid w:val="00E13153"/>
    <w:rsid w:val="00E15352"/>
    <w:rsid w:val="00E157DD"/>
    <w:rsid w:val="00E16AE8"/>
    <w:rsid w:val="00E17A10"/>
    <w:rsid w:val="00E2066B"/>
    <w:rsid w:val="00E21CC7"/>
    <w:rsid w:val="00E24D9E"/>
    <w:rsid w:val="00E25849"/>
    <w:rsid w:val="00E267F2"/>
    <w:rsid w:val="00E27E56"/>
    <w:rsid w:val="00E3197E"/>
    <w:rsid w:val="00E33BA1"/>
    <w:rsid w:val="00E342F8"/>
    <w:rsid w:val="00E351ED"/>
    <w:rsid w:val="00E404DB"/>
    <w:rsid w:val="00E41AFF"/>
    <w:rsid w:val="00E43A1E"/>
    <w:rsid w:val="00E43B2B"/>
    <w:rsid w:val="00E5056C"/>
    <w:rsid w:val="00E54303"/>
    <w:rsid w:val="00E56024"/>
    <w:rsid w:val="00E57557"/>
    <w:rsid w:val="00E6034B"/>
    <w:rsid w:val="00E6549E"/>
    <w:rsid w:val="00E65EDE"/>
    <w:rsid w:val="00E66D6D"/>
    <w:rsid w:val="00E70F81"/>
    <w:rsid w:val="00E713C4"/>
    <w:rsid w:val="00E722AB"/>
    <w:rsid w:val="00E72AC6"/>
    <w:rsid w:val="00E73356"/>
    <w:rsid w:val="00E76394"/>
    <w:rsid w:val="00E7677A"/>
    <w:rsid w:val="00E77055"/>
    <w:rsid w:val="00E77460"/>
    <w:rsid w:val="00E83ABC"/>
    <w:rsid w:val="00E83DC1"/>
    <w:rsid w:val="00E844F2"/>
    <w:rsid w:val="00E874F0"/>
    <w:rsid w:val="00E90AD0"/>
    <w:rsid w:val="00E916D8"/>
    <w:rsid w:val="00E92FCB"/>
    <w:rsid w:val="00E93C0C"/>
    <w:rsid w:val="00E95097"/>
    <w:rsid w:val="00E96C89"/>
    <w:rsid w:val="00EA147F"/>
    <w:rsid w:val="00EA2EA9"/>
    <w:rsid w:val="00EA3EE5"/>
    <w:rsid w:val="00EA4A27"/>
    <w:rsid w:val="00EA4FA6"/>
    <w:rsid w:val="00EB17C9"/>
    <w:rsid w:val="00EB1A25"/>
    <w:rsid w:val="00EB2796"/>
    <w:rsid w:val="00EB3E76"/>
    <w:rsid w:val="00EB4972"/>
    <w:rsid w:val="00EB4A09"/>
    <w:rsid w:val="00EB596A"/>
    <w:rsid w:val="00EB5D20"/>
    <w:rsid w:val="00EB6997"/>
    <w:rsid w:val="00EC1081"/>
    <w:rsid w:val="00EC7363"/>
    <w:rsid w:val="00EC773D"/>
    <w:rsid w:val="00ED03AB"/>
    <w:rsid w:val="00ED09E1"/>
    <w:rsid w:val="00ED1963"/>
    <w:rsid w:val="00ED1CD4"/>
    <w:rsid w:val="00ED1D2B"/>
    <w:rsid w:val="00ED64B5"/>
    <w:rsid w:val="00EE5E2B"/>
    <w:rsid w:val="00EE5E2D"/>
    <w:rsid w:val="00EE6732"/>
    <w:rsid w:val="00EE7CCA"/>
    <w:rsid w:val="00EF3661"/>
    <w:rsid w:val="00EF60D2"/>
    <w:rsid w:val="00EF6AF1"/>
    <w:rsid w:val="00EF795D"/>
    <w:rsid w:val="00F048A4"/>
    <w:rsid w:val="00F05254"/>
    <w:rsid w:val="00F11A31"/>
    <w:rsid w:val="00F1228F"/>
    <w:rsid w:val="00F14CC0"/>
    <w:rsid w:val="00F16A14"/>
    <w:rsid w:val="00F16DBA"/>
    <w:rsid w:val="00F220F3"/>
    <w:rsid w:val="00F22AAE"/>
    <w:rsid w:val="00F240EA"/>
    <w:rsid w:val="00F24A04"/>
    <w:rsid w:val="00F3043C"/>
    <w:rsid w:val="00F31C8F"/>
    <w:rsid w:val="00F33D47"/>
    <w:rsid w:val="00F35741"/>
    <w:rsid w:val="00F35766"/>
    <w:rsid w:val="00F362D7"/>
    <w:rsid w:val="00F36C16"/>
    <w:rsid w:val="00F37D7B"/>
    <w:rsid w:val="00F5314C"/>
    <w:rsid w:val="00F53CF1"/>
    <w:rsid w:val="00F54A5C"/>
    <w:rsid w:val="00F5523E"/>
    <w:rsid w:val="00F5688C"/>
    <w:rsid w:val="00F57138"/>
    <w:rsid w:val="00F578A5"/>
    <w:rsid w:val="00F60048"/>
    <w:rsid w:val="00F620B6"/>
    <w:rsid w:val="00F620F3"/>
    <w:rsid w:val="00F62DCD"/>
    <w:rsid w:val="00F635DD"/>
    <w:rsid w:val="00F637CB"/>
    <w:rsid w:val="00F65DB7"/>
    <w:rsid w:val="00F6627B"/>
    <w:rsid w:val="00F70368"/>
    <w:rsid w:val="00F707D2"/>
    <w:rsid w:val="00F71ECD"/>
    <w:rsid w:val="00F7336E"/>
    <w:rsid w:val="00F734F2"/>
    <w:rsid w:val="00F73742"/>
    <w:rsid w:val="00F75052"/>
    <w:rsid w:val="00F75F1D"/>
    <w:rsid w:val="00F76235"/>
    <w:rsid w:val="00F779F4"/>
    <w:rsid w:val="00F80245"/>
    <w:rsid w:val="00F804D3"/>
    <w:rsid w:val="00F816CB"/>
    <w:rsid w:val="00F81CD2"/>
    <w:rsid w:val="00F82641"/>
    <w:rsid w:val="00F90F18"/>
    <w:rsid w:val="00F9131F"/>
    <w:rsid w:val="00F937E4"/>
    <w:rsid w:val="00F95C32"/>
    <w:rsid w:val="00F95EE7"/>
    <w:rsid w:val="00F95F30"/>
    <w:rsid w:val="00F97059"/>
    <w:rsid w:val="00FA39E6"/>
    <w:rsid w:val="00FA7BC9"/>
    <w:rsid w:val="00FB33F2"/>
    <w:rsid w:val="00FB378E"/>
    <w:rsid w:val="00FB37F1"/>
    <w:rsid w:val="00FB47C0"/>
    <w:rsid w:val="00FB501B"/>
    <w:rsid w:val="00FB598B"/>
    <w:rsid w:val="00FB7770"/>
    <w:rsid w:val="00FB7A75"/>
    <w:rsid w:val="00FC1368"/>
    <w:rsid w:val="00FC164E"/>
    <w:rsid w:val="00FC476D"/>
    <w:rsid w:val="00FC5F23"/>
    <w:rsid w:val="00FD0119"/>
    <w:rsid w:val="00FD0C1B"/>
    <w:rsid w:val="00FD3640"/>
    <w:rsid w:val="00FD3B91"/>
    <w:rsid w:val="00FD4184"/>
    <w:rsid w:val="00FD5497"/>
    <w:rsid w:val="00FD576B"/>
    <w:rsid w:val="00FD579E"/>
    <w:rsid w:val="00FD58E8"/>
    <w:rsid w:val="00FD66BE"/>
    <w:rsid w:val="00FD67D5"/>
    <w:rsid w:val="00FD6845"/>
    <w:rsid w:val="00FD68C9"/>
    <w:rsid w:val="00FD7D47"/>
    <w:rsid w:val="00FE3063"/>
    <w:rsid w:val="00FE4516"/>
    <w:rsid w:val="00FE5436"/>
    <w:rsid w:val="00FE64C8"/>
    <w:rsid w:val="00FF1DEF"/>
    <w:rsid w:val="00FF3456"/>
    <w:rsid w:val="00FF4232"/>
    <w:rsid w:val="00FF4CF7"/>
    <w:rsid w:val="00FF5420"/>
    <w:rsid w:val="00FF6A17"/>
    <w:rsid w:val="00FF7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6B9B78-9230-458B-A0B1-9855586A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C15D9"/>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99"/>
    <w:qFormat/>
    <w:rsid w:val="00687024"/>
    <w:pPr>
      <w:ind w:leftChars="200" w:left="480"/>
    </w:pPr>
  </w:style>
  <w:style w:type="paragraph" w:styleId="afa">
    <w:name w:val="Balloon Text"/>
    <w:basedOn w:val="a6"/>
    <w:link w:val="afb"/>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BA18F5"/>
    <w:rPr>
      <w:rFonts w:ascii="標楷體" w:eastAsia="標楷體" w:hAnsi="Arial"/>
      <w:bCs/>
      <w:kern w:val="32"/>
      <w:sz w:val="32"/>
      <w:szCs w:val="36"/>
    </w:rPr>
  </w:style>
  <w:style w:type="paragraph" w:styleId="afc">
    <w:name w:val="footnote text"/>
    <w:basedOn w:val="a6"/>
    <w:link w:val="afd"/>
    <w:uiPriority w:val="99"/>
    <w:unhideWhenUsed/>
    <w:rsid w:val="004E6E9B"/>
    <w:pPr>
      <w:snapToGrid w:val="0"/>
      <w:jc w:val="left"/>
    </w:pPr>
    <w:rPr>
      <w:sz w:val="20"/>
    </w:rPr>
  </w:style>
  <w:style w:type="character" w:customStyle="1" w:styleId="afd">
    <w:name w:val="註腳文字 字元"/>
    <w:basedOn w:val="a7"/>
    <w:link w:val="afc"/>
    <w:uiPriority w:val="99"/>
    <w:rsid w:val="004E6E9B"/>
    <w:rPr>
      <w:rFonts w:ascii="標楷體" w:eastAsia="標楷體"/>
      <w:kern w:val="2"/>
    </w:rPr>
  </w:style>
  <w:style w:type="character" w:styleId="afe">
    <w:name w:val="footnote reference"/>
    <w:basedOn w:val="a7"/>
    <w:uiPriority w:val="99"/>
    <w:semiHidden/>
    <w:unhideWhenUsed/>
    <w:rsid w:val="004E6E9B"/>
    <w:rPr>
      <w:vertAlign w:val="superscript"/>
    </w:rPr>
  </w:style>
  <w:style w:type="character" w:customStyle="1" w:styleId="50">
    <w:name w:val="標題 5 字元"/>
    <w:basedOn w:val="a7"/>
    <w:link w:val="5"/>
    <w:rsid w:val="00170DB6"/>
    <w:rPr>
      <w:rFonts w:ascii="標楷體" w:eastAsia="標楷體" w:hAnsi="Arial"/>
      <w:bCs/>
      <w:kern w:val="32"/>
      <w:sz w:val="32"/>
      <w:szCs w:val="36"/>
    </w:rPr>
  </w:style>
  <w:style w:type="character" w:customStyle="1" w:styleId="60">
    <w:name w:val="標題 6 字元"/>
    <w:basedOn w:val="a7"/>
    <w:link w:val="6"/>
    <w:rsid w:val="00170DB6"/>
    <w:rPr>
      <w:rFonts w:ascii="標楷體" w:eastAsia="標楷體" w:hAnsi="Arial"/>
      <w:kern w:val="32"/>
      <w:sz w:val="32"/>
      <w:szCs w:val="36"/>
    </w:rPr>
  </w:style>
  <w:style w:type="character" w:customStyle="1" w:styleId="20">
    <w:name w:val="標題 2 字元"/>
    <w:basedOn w:val="a7"/>
    <w:link w:val="2"/>
    <w:rsid w:val="005F1AB1"/>
    <w:rPr>
      <w:rFonts w:ascii="標楷體" w:eastAsia="標楷體" w:hAnsi="Arial"/>
      <w:bCs/>
      <w:kern w:val="32"/>
      <w:sz w:val="32"/>
      <w:szCs w:val="48"/>
    </w:rPr>
  </w:style>
  <w:style w:type="character" w:customStyle="1" w:styleId="70">
    <w:name w:val="標題 7 字元"/>
    <w:basedOn w:val="a7"/>
    <w:link w:val="7"/>
    <w:rsid w:val="00E96C89"/>
    <w:rPr>
      <w:rFonts w:ascii="標楷體" w:eastAsia="標楷體" w:hAnsi="Arial"/>
      <w:bCs/>
      <w:kern w:val="32"/>
      <w:sz w:val="32"/>
      <w:szCs w:val="36"/>
    </w:rPr>
  </w:style>
  <w:style w:type="numbering" w:customStyle="1" w:styleId="13">
    <w:name w:val="無清單1"/>
    <w:next w:val="a9"/>
    <w:uiPriority w:val="99"/>
    <w:semiHidden/>
    <w:rsid w:val="00D13097"/>
  </w:style>
  <w:style w:type="character" w:customStyle="1" w:styleId="10">
    <w:name w:val="標題 1 字元"/>
    <w:link w:val="1"/>
    <w:rsid w:val="00D13097"/>
    <w:rPr>
      <w:rFonts w:ascii="標楷體" w:eastAsia="標楷體" w:hAnsi="Arial"/>
      <w:bCs/>
      <w:kern w:val="32"/>
      <w:sz w:val="32"/>
      <w:szCs w:val="52"/>
    </w:rPr>
  </w:style>
  <w:style w:type="paragraph" w:styleId="Web">
    <w:name w:val="Normal (Web)"/>
    <w:basedOn w:val="a6"/>
    <w:uiPriority w:val="99"/>
    <w:rsid w:val="00D1309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semiHidden/>
    <w:rsid w:val="00D13097"/>
    <w:rPr>
      <w:sz w:val="18"/>
      <w:szCs w:val="18"/>
    </w:rPr>
  </w:style>
  <w:style w:type="paragraph" w:styleId="aff0">
    <w:name w:val="annotation text"/>
    <w:basedOn w:val="a6"/>
    <w:link w:val="aff1"/>
    <w:semiHidden/>
    <w:rsid w:val="00D13097"/>
    <w:pPr>
      <w:overflowPunct/>
      <w:autoSpaceDE/>
      <w:autoSpaceDN/>
      <w:jc w:val="left"/>
    </w:pPr>
    <w:rPr>
      <w:rFonts w:ascii="Times New Roman" w:eastAsia="新細明體"/>
      <w:sz w:val="24"/>
      <w:szCs w:val="24"/>
    </w:rPr>
  </w:style>
  <w:style w:type="character" w:customStyle="1" w:styleId="aff1">
    <w:name w:val="註解文字 字元"/>
    <w:basedOn w:val="a7"/>
    <w:link w:val="aff0"/>
    <w:semiHidden/>
    <w:rsid w:val="00D13097"/>
    <w:rPr>
      <w:kern w:val="2"/>
      <w:sz w:val="24"/>
      <w:szCs w:val="24"/>
    </w:rPr>
  </w:style>
  <w:style w:type="paragraph" w:styleId="aff2">
    <w:name w:val="annotation subject"/>
    <w:basedOn w:val="aff0"/>
    <w:next w:val="aff0"/>
    <w:link w:val="aff3"/>
    <w:semiHidden/>
    <w:rsid w:val="00D13097"/>
    <w:rPr>
      <w:b/>
      <w:bCs/>
    </w:rPr>
  </w:style>
  <w:style w:type="character" w:customStyle="1" w:styleId="aff3">
    <w:name w:val="註解主旨 字元"/>
    <w:basedOn w:val="aff1"/>
    <w:link w:val="aff2"/>
    <w:semiHidden/>
    <w:rsid w:val="00D13097"/>
    <w:rPr>
      <w:b/>
      <w:bCs/>
      <w:kern w:val="2"/>
      <w:sz w:val="24"/>
      <w:szCs w:val="24"/>
    </w:rPr>
  </w:style>
  <w:style w:type="character" w:customStyle="1" w:styleId="ae">
    <w:name w:val="頁首 字元"/>
    <w:link w:val="ad"/>
    <w:rsid w:val="00D13097"/>
    <w:rPr>
      <w:rFonts w:ascii="標楷體" w:eastAsia="標楷體"/>
      <w:kern w:val="2"/>
    </w:rPr>
  </w:style>
  <w:style w:type="character" w:customStyle="1" w:styleId="af5">
    <w:name w:val="頁尾 字元"/>
    <w:link w:val="af4"/>
    <w:rsid w:val="00D13097"/>
    <w:rPr>
      <w:rFonts w:ascii="標楷體" w:eastAsia="標楷體"/>
      <w:kern w:val="2"/>
    </w:rPr>
  </w:style>
  <w:style w:type="character" w:customStyle="1" w:styleId="dialogtext1">
    <w:name w:val="dialog_text1"/>
    <w:rsid w:val="00D13097"/>
    <w:rPr>
      <w:rFonts w:ascii="sө" w:hAnsi="sө" w:hint="default"/>
      <w:color w:val="000000"/>
      <w:sz w:val="24"/>
      <w:szCs w:val="24"/>
    </w:rPr>
  </w:style>
  <w:style w:type="paragraph" w:styleId="HTML">
    <w:name w:val="HTML Preformatted"/>
    <w:basedOn w:val="a6"/>
    <w:link w:val="HTML0"/>
    <w:uiPriority w:val="99"/>
    <w:rsid w:val="00D130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D13097"/>
    <w:rPr>
      <w:rFonts w:ascii="Arial Unicode MS" w:eastAsia="Arial Unicode MS" w:hAnsi="Arial Unicode MS" w:cs="Arial Unicode MS"/>
      <w:color w:val="000000"/>
    </w:rPr>
  </w:style>
  <w:style w:type="paragraph" w:styleId="aff4">
    <w:name w:val="Title"/>
    <w:basedOn w:val="a6"/>
    <w:next w:val="a6"/>
    <w:link w:val="aff5"/>
    <w:qFormat/>
    <w:rsid w:val="00D13097"/>
    <w:pPr>
      <w:overflowPunct/>
      <w:autoSpaceDE/>
      <w:autoSpaceDN/>
      <w:spacing w:line="500" w:lineRule="exact"/>
      <w:ind w:left="200" w:hangingChars="200" w:hanging="200"/>
      <w:jc w:val="left"/>
      <w:outlineLvl w:val="0"/>
    </w:pPr>
    <w:rPr>
      <w:rFonts w:ascii="Cambria" w:hAnsi="Cambria"/>
      <w:b/>
      <w:bCs/>
      <w:sz w:val="28"/>
      <w:szCs w:val="32"/>
    </w:rPr>
  </w:style>
  <w:style w:type="character" w:customStyle="1" w:styleId="aff5">
    <w:name w:val="標題 字元"/>
    <w:basedOn w:val="a7"/>
    <w:link w:val="aff4"/>
    <w:rsid w:val="00D13097"/>
    <w:rPr>
      <w:rFonts w:ascii="Cambria" w:eastAsia="標楷體" w:hAnsi="Cambria"/>
      <w:b/>
      <w:bCs/>
      <w:kern w:val="2"/>
      <w:sz w:val="28"/>
      <w:szCs w:val="32"/>
    </w:rPr>
  </w:style>
  <w:style w:type="character" w:styleId="aff6">
    <w:name w:val="Strong"/>
    <w:qFormat/>
    <w:rsid w:val="00D13097"/>
    <w:rPr>
      <w:b/>
      <w:bCs/>
    </w:rPr>
  </w:style>
  <w:style w:type="paragraph" w:styleId="aff7">
    <w:name w:val="Subtitle"/>
    <w:basedOn w:val="a6"/>
    <w:next w:val="a6"/>
    <w:link w:val="aff8"/>
    <w:qFormat/>
    <w:rsid w:val="00D13097"/>
    <w:pPr>
      <w:overflowPunct/>
      <w:autoSpaceDE/>
      <w:autoSpaceDN/>
      <w:spacing w:line="500" w:lineRule="exact"/>
      <w:ind w:left="200" w:hangingChars="200" w:hanging="200"/>
      <w:jc w:val="left"/>
      <w:outlineLvl w:val="1"/>
    </w:pPr>
    <w:rPr>
      <w:rFonts w:ascii="Times New Roman"/>
      <w:b/>
      <w:iCs/>
      <w:sz w:val="28"/>
      <w:szCs w:val="24"/>
    </w:rPr>
  </w:style>
  <w:style w:type="character" w:customStyle="1" w:styleId="aff8">
    <w:name w:val="副標題 字元"/>
    <w:basedOn w:val="a7"/>
    <w:link w:val="aff7"/>
    <w:rsid w:val="00D13097"/>
    <w:rPr>
      <w:rFonts w:eastAsia="標楷體"/>
      <w:b/>
      <w:iCs/>
      <w:kern w:val="2"/>
      <w:sz w:val="28"/>
      <w:szCs w:val="24"/>
    </w:rPr>
  </w:style>
  <w:style w:type="character" w:styleId="aff9">
    <w:name w:val="FollowedHyperlink"/>
    <w:uiPriority w:val="99"/>
    <w:unhideWhenUsed/>
    <w:rsid w:val="00D130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0627">
      <w:bodyDiv w:val="1"/>
      <w:marLeft w:val="0"/>
      <w:marRight w:val="0"/>
      <w:marTop w:val="0"/>
      <w:marBottom w:val="0"/>
      <w:divBdr>
        <w:top w:val="none" w:sz="0" w:space="0" w:color="auto"/>
        <w:left w:val="none" w:sz="0" w:space="0" w:color="auto"/>
        <w:bottom w:val="none" w:sz="0" w:space="0" w:color="auto"/>
        <w:right w:val="none" w:sz="0" w:space="0" w:color="auto"/>
      </w:divBdr>
    </w:div>
    <w:div w:id="17782080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E577-B8B1-4745-8C55-4C215952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31</Pages>
  <Words>3062</Words>
  <Characters>17457</Characters>
  <Application>Microsoft Office Word</Application>
  <DocSecurity>0</DocSecurity>
  <Lines>145</Lines>
  <Paragraphs>40</Paragraphs>
  <ScaleCrop>false</ScaleCrop>
  <Company>cy</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周慶安</cp:lastModifiedBy>
  <cp:revision>4</cp:revision>
  <cp:lastPrinted>2017-09-01T01:16:00Z</cp:lastPrinted>
  <dcterms:created xsi:type="dcterms:W3CDTF">2017-09-06T06:41:00Z</dcterms:created>
  <dcterms:modified xsi:type="dcterms:W3CDTF">2017-09-06T06:49:00Z</dcterms:modified>
</cp:coreProperties>
</file>