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27" w:rsidRPr="000F0F71" w:rsidRDefault="006C06AE">
      <w:pPr>
        <w:pStyle w:val="a6"/>
        <w:kinsoku w:val="0"/>
        <w:spacing w:before="0"/>
        <w:ind w:leftChars="700" w:left="2381" w:firstLine="0"/>
        <w:rPr>
          <w:b/>
          <w:bCs/>
          <w:snapToGrid/>
          <w:color w:val="000000" w:themeColor="text1"/>
          <w:spacing w:val="200"/>
          <w:kern w:val="0"/>
          <w:sz w:val="40"/>
        </w:rPr>
      </w:pPr>
      <w:r w:rsidRPr="000F0F71">
        <w:rPr>
          <w:rFonts w:hint="eastAsia"/>
          <w:b/>
          <w:bCs/>
          <w:snapToGrid/>
          <w:color w:val="000000" w:themeColor="text1"/>
          <w:spacing w:val="200"/>
          <w:kern w:val="0"/>
          <w:sz w:val="40"/>
        </w:rPr>
        <w:t>調查</w:t>
      </w:r>
      <w:r w:rsidR="00E21627" w:rsidRPr="000F0F71">
        <w:rPr>
          <w:rFonts w:hint="eastAsia"/>
          <w:b/>
          <w:bCs/>
          <w:snapToGrid/>
          <w:color w:val="000000" w:themeColor="text1"/>
          <w:spacing w:val="200"/>
          <w:kern w:val="0"/>
          <w:sz w:val="40"/>
        </w:rPr>
        <w:t>報告</w:t>
      </w:r>
    </w:p>
    <w:p w:rsidR="00E21627" w:rsidRPr="000F0F71" w:rsidRDefault="00E21627" w:rsidP="002E582C">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F0F71">
        <w:rPr>
          <w:rFonts w:hint="eastAsia"/>
          <w:color w:val="000000" w:themeColor="text1"/>
        </w:rPr>
        <w:t>案</w:t>
      </w:r>
      <w:r w:rsidR="001744BB">
        <w:rPr>
          <w:rFonts w:hint="eastAsia"/>
          <w:color w:val="000000" w:themeColor="text1"/>
        </w:rPr>
        <w:t xml:space="preserve"> </w:t>
      </w:r>
      <w:r w:rsidRPr="000F0F71">
        <w:rPr>
          <w:rFonts w:hint="eastAsia"/>
          <w:color w:val="000000" w:themeColor="text1"/>
        </w:rPr>
        <w:t xml:space="preserve">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E582C" w:rsidRPr="000F0F71">
        <w:rPr>
          <w:rFonts w:hAnsi="標楷體" w:hint="eastAsia"/>
          <w:color w:val="000000" w:themeColor="text1"/>
          <w:szCs w:val="32"/>
        </w:rPr>
        <w:t>據訴，經濟部93年3月8日經商字第0930203870號函釋涉牴觸公司法第196條第1項規定及相關最高法院裁判意旨，應予廢止等情案。</w:t>
      </w:r>
    </w:p>
    <w:p w:rsidR="007549A2" w:rsidRPr="000F0F71" w:rsidRDefault="007549A2" w:rsidP="00F92F66">
      <w:pPr>
        <w:pStyle w:val="1"/>
        <w:ind w:left="2380" w:hanging="2380"/>
        <w:rPr>
          <w:bCs w:val="0"/>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r w:rsidRPr="000F0F71">
        <w:rPr>
          <w:rFonts w:hint="eastAsia"/>
          <w:bCs w:val="0"/>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549A2" w:rsidRPr="000F0F71" w:rsidRDefault="007549A2" w:rsidP="007549A2">
      <w:pPr>
        <w:tabs>
          <w:tab w:val="left" w:pos="567"/>
        </w:tabs>
        <w:kinsoku w:val="0"/>
        <w:ind w:leftChars="200" w:left="680" w:firstLineChars="200" w:firstLine="680"/>
        <w:jc w:val="both"/>
        <w:rPr>
          <w:rFonts w:ascii="標楷體"/>
          <w:bCs/>
          <w:color w:val="000000" w:themeColor="text1"/>
          <w:kern w:val="0"/>
        </w:rPr>
      </w:pPr>
      <w:bookmarkStart w:id="55" w:name="_Toc524902730"/>
      <w:r w:rsidRPr="000F0F71">
        <w:rPr>
          <w:rFonts w:ascii="標楷體" w:hint="eastAsia"/>
          <w:bCs/>
          <w:color w:val="000000" w:themeColor="text1"/>
          <w:kern w:val="0"/>
        </w:rPr>
        <w:t>據陳訴人指稱，經濟部民國（下同）93年3月8日經商字第09302030870號函</w:t>
      </w:r>
      <w:r w:rsidRPr="000F0F71">
        <w:rPr>
          <w:rFonts w:ascii="標楷體" w:hint="eastAsia"/>
          <w:color w:val="000000" w:themeColor="text1"/>
          <w:kern w:val="0"/>
        </w:rPr>
        <w:t>（下稱經濟部93年3月8日函釋）</w:t>
      </w:r>
      <w:r w:rsidRPr="000F0F71">
        <w:rPr>
          <w:rFonts w:ascii="標楷體" w:hint="eastAsia"/>
          <w:bCs/>
          <w:color w:val="000000" w:themeColor="text1"/>
          <w:kern w:val="0"/>
        </w:rPr>
        <w:t>允許公司章程授權董事會自行議定董</w:t>
      </w:r>
      <w:r w:rsidR="00356F7B" w:rsidRPr="000F0F71">
        <w:rPr>
          <w:rFonts w:ascii="標楷體" w:hint="eastAsia"/>
          <w:bCs/>
          <w:color w:val="000000" w:themeColor="text1"/>
          <w:kern w:val="0"/>
        </w:rPr>
        <w:t>事</w:t>
      </w:r>
      <w:r w:rsidRPr="000F0F71">
        <w:rPr>
          <w:rFonts w:ascii="標楷體" w:hint="eastAsia"/>
          <w:bCs/>
          <w:color w:val="000000" w:themeColor="text1"/>
          <w:kern w:val="0"/>
        </w:rPr>
        <w:t>報酬，牴觸公司法第196條所定「董事之報酬未經章程訂明，應由股東會議定」之強行規定，且違反最高法院裁判意旨，應屬無效。因涉及公司治理及股東、債權人之保護等重要議題，爰立案調查。案經向經濟部</w:t>
      </w:r>
      <w:r w:rsidRPr="000F0F71">
        <w:rPr>
          <w:rFonts w:hint="eastAsia"/>
          <w:color w:val="000000" w:themeColor="text1"/>
          <w:kern w:val="0"/>
        </w:rPr>
        <w:t>、金融監督管理委員會（下稱金管會）調閱相關卷證資料</w:t>
      </w:r>
      <w:r w:rsidRPr="000F0F71">
        <w:rPr>
          <w:rFonts w:ascii="標楷體" w:hint="eastAsia"/>
          <w:bCs/>
          <w:color w:val="000000" w:themeColor="text1"/>
          <w:kern w:val="0"/>
        </w:rPr>
        <w:t>；邀請</w:t>
      </w:r>
      <w:r w:rsidRPr="000F0F71">
        <w:rPr>
          <w:rFonts w:ascii="標楷體" w:hint="eastAsia"/>
          <w:color w:val="000000" w:themeColor="text1"/>
          <w:kern w:val="0"/>
        </w:rPr>
        <w:t>政治大學法學院林院長</w:t>
      </w:r>
      <w:r w:rsidR="001744BB">
        <w:rPr>
          <w:rFonts w:ascii="標楷體" w:hAnsi="標楷體" w:hint="eastAsia"/>
          <w:color w:val="000000" w:themeColor="text1"/>
          <w:kern w:val="0"/>
        </w:rPr>
        <w:t>○○</w:t>
      </w:r>
      <w:r w:rsidRPr="000F0F71">
        <w:rPr>
          <w:rFonts w:ascii="標楷體" w:hint="eastAsia"/>
          <w:color w:val="000000" w:themeColor="text1"/>
          <w:kern w:val="0"/>
        </w:rPr>
        <w:t>、輔仁大學財經法律學系郭教授</w:t>
      </w:r>
      <w:r w:rsidR="001744BB">
        <w:rPr>
          <w:rFonts w:ascii="標楷體" w:hAnsi="標楷體" w:hint="eastAsia"/>
          <w:color w:val="000000" w:themeColor="text1"/>
          <w:kern w:val="0"/>
        </w:rPr>
        <w:t>○○</w:t>
      </w:r>
      <w:r w:rsidRPr="000F0F71">
        <w:rPr>
          <w:rFonts w:ascii="標楷體" w:hint="eastAsia"/>
          <w:color w:val="000000" w:themeColor="text1"/>
          <w:kern w:val="0"/>
        </w:rPr>
        <w:t>、臺灣大學法學院邵教授</w:t>
      </w:r>
      <w:r w:rsidR="001744BB">
        <w:rPr>
          <w:rFonts w:ascii="標楷體" w:hAnsi="標楷體" w:hint="eastAsia"/>
          <w:color w:val="000000" w:themeColor="text1"/>
          <w:kern w:val="0"/>
        </w:rPr>
        <w:t>○○</w:t>
      </w:r>
      <w:r w:rsidRPr="000F0F71">
        <w:rPr>
          <w:rFonts w:ascii="標楷體" w:hint="eastAsia"/>
          <w:color w:val="000000" w:themeColor="text1"/>
          <w:kern w:val="0"/>
        </w:rPr>
        <w:t>、中國文化大學法律學系戴教授</w:t>
      </w:r>
      <w:r w:rsidR="001744BB">
        <w:rPr>
          <w:rFonts w:ascii="標楷體" w:hAnsi="標楷體" w:hint="eastAsia"/>
          <w:color w:val="000000" w:themeColor="text1"/>
          <w:kern w:val="0"/>
        </w:rPr>
        <w:t>○○</w:t>
      </w:r>
      <w:r w:rsidRPr="000F0F71">
        <w:rPr>
          <w:rFonts w:ascii="標楷體" w:hint="eastAsia"/>
          <w:color w:val="000000" w:themeColor="text1"/>
          <w:kern w:val="0"/>
        </w:rPr>
        <w:t>及</w:t>
      </w:r>
      <w:r w:rsidR="001B2B8B" w:rsidRPr="000F0F71">
        <w:rPr>
          <w:rFonts w:hint="eastAsia"/>
          <w:color w:val="000000" w:themeColor="text1"/>
        </w:rPr>
        <w:t>財團法人證券投資人及期貨交易人保護中心</w:t>
      </w:r>
      <w:r w:rsidR="007D5646" w:rsidRPr="000F0F71">
        <w:rPr>
          <w:rFonts w:ascii="標楷體" w:hint="eastAsia"/>
          <w:color w:val="000000" w:themeColor="text1"/>
          <w:kern w:val="0"/>
        </w:rPr>
        <w:t>（下稱投保中心）</w:t>
      </w:r>
      <w:r w:rsidRPr="000F0F71">
        <w:rPr>
          <w:rFonts w:ascii="標楷體" w:hint="eastAsia"/>
          <w:color w:val="000000" w:themeColor="text1"/>
          <w:kern w:val="0"/>
        </w:rPr>
        <w:t>邱董事長</w:t>
      </w:r>
      <w:r w:rsidR="001744BB">
        <w:rPr>
          <w:rFonts w:ascii="標楷體" w:hAnsi="標楷體" w:hint="eastAsia"/>
          <w:color w:val="000000" w:themeColor="text1"/>
          <w:kern w:val="0"/>
        </w:rPr>
        <w:t>○○</w:t>
      </w:r>
      <w:r w:rsidRPr="000F0F71">
        <w:rPr>
          <w:rFonts w:ascii="標楷體" w:hint="eastAsia"/>
          <w:color w:val="000000" w:themeColor="text1"/>
          <w:kern w:val="0"/>
        </w:rPr>
        <w:t>等</w:t>
      </w:r>
      <w:r w:rsidRPr="000F0F71">
        <w:rPr>
          <w:rFonts w:ascii="標楷體" w:hint="eastAsia"/>
          <w:bCs/>
          <w:color w:val="000000" w:themeColor="text1"/>
          <w:kern w:val="0"/>
        </w:rPr>
        <w:t>學者專家</w:t>
      </w:r>
      <w:r w:rsidRPr="000F0F71">
        <w:rPr>
          <w:rFonts w:ascii="標楷體" w:hAnsi="標楷體" w:hint="eastAsia"/>
          <w:color w:val="000000" w:themeColor="text1"/>
          <w:kern w:val="0"/>
        </w:rPr>
        <w:t>提供專業諮詢意見</w:t>
      </w:r>
      <w:r w:rsidRPr="000F0F71">
        <w:rPr>
          <w:rFonts w:ascii="標楷體" w:hint="eastAsia"/>
          <w:color w:val="000000" w:themeColor="text1"/>
          <w:kern w:val="0"/>
        </w:rPr>
        <w:t>；並</w:t>
      </w:r>
      <w:r w:rsidRPr="000F0F71">
        <w:rPr>
          <w:rFonts w:hint="eastAsia"/>
          <w:color w:val="000000" w:themeColor="text1"/>
          <w:kern w:val="0"/>
        </w:rPr>
        <w:t>詢問經濟部商業司司長李</w:t>
      </w:r>
      <w:r w:rsidR="001744BB">
        <w:rPr>
          <w:rFonts w:ascii="標楷體" w:hAnsi="標楷體" w:hint="eastAsia"/>
          <w:color w:val="000000" w:themeColor="text1"/>
          <w:kern w:val="0"/>
        </w:rPr>
        <w:t>○</w:t>
      </w:r>
      <w:r w:rsidRPr="000F0F71">
        <w:rPr>
          <w:rFonts w:hint="eastAsia"/>
          <w:color w:val="000000" w:themeColor="text1"/>
          <w:kern w:val="0"/>
        </w:rPr>
        <w:t>、</w:t>
      </w:r>
      <w:r w:rsidRPr="000F0F71">
        <w:rPr>
          <w:rFonts w:ascii="標楷體" w:hint="eastAsia"/>
          <w:color w:val="000000" w:themeColor="text1"/>
          <w:kern w:val="0"/>
          <w:szCs w:val="32"/>
        </w:rPr>
        <w:t>金管會證券及期貨局副局長</w:t>
      </w:r>
      <w:r w:rsidRPr="000F0F71">
        <w:rPr>
          <w:rFonts w:ascii="標楷體"/>
          <w:color w:val="000000" w:themeColor="text1"/>
          <w:kern w:val="0"/>
          <w:szCs w:val="32"/>
        </w:rPr>
        <w:t>張</w:t>
      </w:r>
      <w:r w:rsidR="001744BB">
        <w:rPr>
          <w:rFonts w:ascii="標楷體" w:hAnsi="標楷體" w:hint="eastAsia"/>
          <w:color w:val="000000" w:themeColor="text1"/>
          <w:kern w:val="0"/>
          <w:szCs w:val="32"/>
        </w:rPr>
        <w:t>○○</w:t>
      </w:r>
      <w:r w:rsidRPr="000F0F71">
        <w:rPr>
          <w:rFonts w:ascii="標楷體" w:hint="eastAsia"/>
          <w:color w:val="000000" w:themeColor="text1"/>
          <w:kern w:val="0"/>
          <w:szCs w:val="32"/>
        </w:rPr>
        <w:t>及相關業管人員，已調查竣事</w:t>
      </w:r>
      <w:r w:rsidRPr="000F0F71">
        <w:rPr>
          <w:rFonts w:hint="eastAsia"/>
          <w:color w:val="000000" w:themeColor="text1"/>
          <w:kern w:val="0"/>
        </w:rPr>
        <w:t>，茲就調查意見臚列如下：</w:t>
      </w:r>
    </w:p>
    <w:p w:rsidR="007549A2" w:rsidRPr="000F0F71" w:rsidRDefault="007549A2" w:rsidP="007549A2">
      <w:pPr>
        <w:numPr>
          <w:ilvl w:val="1"/>
          <w:numId w:val="1"/>
        </w:numPr>
        <w:kinsoku w:val="0"/>
        <w:jc w:val="both"/>
        <w:outlineLvl w:val="1"/>
        <w:rPr>
          <w:rFonts w:ascii="標楷體" w:hAnsi="Arial"/>
          <w:b/>
          <w:bCs/>
          <w:color w:val="000000" w:themeColor="text1"/>
          <w:kern w:val="0"/>
          <w:szCs w:val="48"/>
        </w:rPr>
      </w:pPr>
      <w:bookmarkStart w:id="56" w:name="_Toc70241815"/>
      <w:bookmarkStart w:id="57" w:name="_Toc70242204"/>
      <w:bookmarkStart w:id="58" w:name="_Toc525066147"/>
      <w:bookmarkStart w:id="59" w:name="_Toc525070838"/>
      <w:bookmarkStart w:id="60" w:name="_Toc525938378"/>
      <w:bookmarkStart w:id="61" w:name="_Toc525939226"/>
      <w:bookmarkStart w:id="62" w:name="_Toc525939731"/>
      <w:bookmarkStart w:id="63" w:name="_Toc529218271"/>
      <w:bookmarkStart w:id="64" w:name="_Toc529222688"/>
      <w:bookmarkStart w:id="65" w:name="_Toc529223110"/>
      <w:bookmarkStart w:id="66" w:name="_Toc529223861"/>
      <w:bookmarkStart w:id="67" w:name="_Toc529228264"/>
      <w:bookmarkStart w:id="68" w:name="_Toc2400394"/>
      <w:bookmarkStart w:id="69" w:name="_Toc4316188"/>
      <w:bookmarkStart w:id="70" w:name="_Toc4473329"/>
      <w:bookmarkStart w:id="71" w:name="_Toc69556896"/>
      <w:bookmarkStart w:id="72" w:name="_Toc69556945"/>
      <w:bookmarkStart w:id="73" w:name="_Toc69609819"/>
      <w:r w:rsidRPr="000F0F71">
        <w:rPr>
          <w:rFonts w:ascii="標楷體" w:hAnsi="Arial" w:hint="eastAsia"/>
          <w:b/>
          <w:bCs/>
          <w:color w:val="000000" w:themeColor="text1"/>
          <w:kern w:val="0"/>
          <w:szCs w:val="48"/>
        </w:rPr>
        <w:t>經濟部為公司法主管機關，</w:t>
      </w:r>
      <w:r w:rsidR="00652631" w:rsidRPr="000F0F71">
        <w:rPr>
          <w:rFonts w:ascii="標楷體" w:hAnsi="Arial" w:hint="eastAsia"/>
          <w:b/>
          <w:bCs/>
          <w:color w:val="000000" w:themeColor="text1"/>
          <w:kern w:val="0"/>
          <w:szCs w:val="48"/>
        </w:rPr>
        <w:t>對適用該法所生之疑義</w:t>
      </w:r>
      <w:r w:rsidRPr="000F0F71">
        <w:rPr>
          <w:rFonts w:ascii="標楷體" w:hAnsi="Arial" w:hint="eastAsia"/>
          <w:b/>
          <w:bCs/>
          <w:color w:val="000000" w:themeColor="text1"/>
          <w:kern w:val="0"/>
          <w:szCs w:val="48"/>
        </w:rPr>
        <w:t>，雖得自行</w:t>
      </w:r>
      <w:r w:rsidR="00C04EEB" w:rsidRPr="000F0F71">
        <w:rPr>
          <w:rFonts w:ascii="標楷體" w:hAnsi="Arial" w:hint="eastAsia"/>
          <w:b/>
          <w:bCs/>
          <w:color w:val="000000" w:themeColor="text1"/>
          <w:kern w:val="0"/>
          <w:szCs w:val="48"/>
        </w:rPr>
        <w:t>研議釋明，惟若涉及人民權益</w:t>
      </w:r>
      <w:r w:rsidR="00B8547C" w:rsidRPr="000F0F71">
        <w:rPr>
          <w:rFonts w:ascii="標楷體" w:hAnsi="Arial" w:hint="eastAsia"/>
          <w:b/>
          <w:bCs/>
          <w:color w:val="000000" w:themeColor="text1"/>
          <w:kern w:val="0"/>
          <w:szCs w:val="48"/>
        </w:rPr>
        <w:t>，具有重要意義</w:t>
      </w:r>
      <w:r w:rsidR="00C04EEB" w:rsidRPr="000F0F71">
        <w:rPr>
          <w:rFonts w:ascii="標楷體" w:hAnsi="Arial" w:hint="eastAsia"/>
          <w:b/>
          <w:bCs/>
          <w:color w:val="000000" w:themeColor="text1"/>
          <w:kern w:val="0"/>
          <w:szCs w:val="48"/>
        </w:rPr>
        <w:t>，而有統一見解必要之解釋函令或解釋函</w:t>
      </w:r>
      <w:r w:rsidRPr="000F0F71">
        <w:rPr>
          <w:rFonts w:ascii="標楷體" w:hAnsi="Arial" w:hint="eastAsia"/>
          <w:b/>
          <w:bCs/>
          <w:color w:val="000000" w:themeColor="text1"/>
          <w:kern w:val="0"/>
          <w:szCs w:val="48"/>
        </w:rPr>
        <w:t>，仍應循法制作業妥慎研</w:t>
      </w:r>
      <w:r w:rsidR="00C04EEB" w:rsidRPr="000F0F71">
        <w:rPr>
          <w:rFonts w:ascii="標楷體" w:hAnsi="Arial" w:hint="eastAsia"/>
          <w:b/>
          <w:bCs/>
          <w:color w:val="000000" w:themeColor="text1"/>
          <w:kern w:val="0"/>
          <w:szCs w:val="48"/>
        </w:rPr>
        <w:t>議</w:t>
      </w:r>
      <w:r w:rsidRPr="000F0F71">
        <w:rPr>
          <w:rFonts w:ascii="標楷體" w:hAnsi="Arial" w:hint="eastAsia"/>
          <w:b/>
          <w:bCs/>
          <w:color w:val="000000" w:themeColor="text1"/>
          <w:kern w:val="0"/>
          <w:szCs w:val="48"/>
        </w:rPr>
        <w:t>，並依行政程序法</w:t>
      </w:r>
      <w:r w:rsidR="00652631" w:rsidRPr="000F0F71">
        <w:rPr>
          <w:rFonts w:ascii="標楷體" w:hAnsi="Arial" w:hint="eastAsia"/>
          <w:b/>
          <w:bCs/>
          <w:color w:val="000000" w:themeColor="text1"/>
          <w:kern w:val="0"/>
          <w:szCs w:val="48"/>
        </w:rPr>
        <w:t>，</w:t>
      </w:r>
      <w:r w:rsidR="00C04EEB" w:rsidRPr="000F0F71">
        <w:rPr>
          <w:rFonts w:ascii="標楷體" w:hAnsi="Arial" w:hint="eastAsia"/>
          <w:b/>
          <w:bCs/>
          <w:color w:val="000000" w:themeColor="text1"/>
          <w:kern w:val="0"/>
          <w:szCs w:val="48"/>
        </w:rPr>
        <w:t>將該解釋令（函）</w:t>
      </w:r>
      <w:r w:rsidRPr="000F0F71">
        <w:rPr>
          <w:rFonts w:ascii="標楷體" w:hAnsi="Arial" w:hint="eastAsia"/>
          <w:b/>
          <w:bCs/>
          <w:color w:val="000000" w:themeColor="text1"/>
          <w:kern w:val="0"/>
          <w:szCs w:val="48"/>
        </w:rPr>
        <w:t>發布</w:t>
      </w:r>
      <w:r w:rsidR="00652631" w:rsidRPr="000F0F71">
        <w:rPr>
          <w:rFonts w:ascii="標楷體" w:hAnsi="Arial" w:hint="eastAsia"/>
          <w:b/>
          <w:bCs/>
          <w:color w:val="000000" w:themeColor="text1"/>
          <w:kern w:val="0"/>
          <w:szCs w:val="48"/>
        </w:rPr>
        <w:t>之</w:t>
      </w:r>
      <w:r w:rsidRPr="000F0F71">
        <w:rPr>
          <w:rFonts w:ascii="標楷體" w:hAnsi="Arial" w:hint="eastAsia"/>
          <w:b/>
          <w:bCs/>
          <w:color w:val="000000" w:themeColor="text1"/>
          <w:kern w:val="0"/>
          <w:szCs w:val="48"/>
        </w:rPr>
        <w:t>。經濟部</w:t>
      </w:r>
      <w:r w:rsidR="00652631" w:rsidRPr="000F0F71">
        <w:rPr>
          <w:rFonts w:ascii="標楷體" w:hAnsi="Arial" w:hint="eastAsia"/>
          <w:b/>
          <w:bCs/>
          <w:color w:val="000000" w:themeColor="text1"/>
          <w:kern w:val="0"/>
          <w:szCs w:val="48"/>
        </w:rPr>
        <w:t>就</w:t>
      </w:r>
      <w:r w:rsidR="008631FD" w:rsidRPr="000F0F71">
        <w:rPr>
          <w:rFonts w:ascii="標楷體" w:hAnsi="Arial" w:hint="eastAsia"/>
          <w:b/>
          <w:bCs/>
          <w:color w:val="000000" w:themeColor="text1"/>
          <w:kern w:val="0"/>
          <w:szCs w:val="48"/>
        </w:rPr>
        <w:t>董事</w:t>
      </w:r>
      <w:r w:rsidR="00652631" w:rsidRPr="000F0F71">
        <w:rPr>
          <w:rFonts w:ascii="標楷體" w:hAnsi="Arial" w:hint="eastAsia"/>
          <w:b/>
          <w:bCs/>
          <w:color w:val="000000" w:themeColor="text1"/>
          <w:kern w:val="0"/>
          <w:szCs w:val="48"/>
        </w:rPr>
        <w:t>報酬所生疑義</w:t>
      </w:r>
      <w:r w:rsidR="00C04EEB" w:rsidRPr="000F0F71">
        <w:rPr>
          <w:rFonts w:ascii="標楷體" w:hAnsi="Arial" w:hint="eastAsia"/>
          <w:b/>
          <w:bCs/>
          <w:color w:val="000000" w:themeColor="text1"/>
          <w:kern w:val="0"/>
          <w:szCs w:val="48"/>
        </w:rPr>
        <w:t>而為之函釋，對公司股東權益具有</w:t>
      </w:r>
      <w:r w:rsidR="003707E6" w:rsidRPr="000F0F71">
        <w:rPr>
          <w:rFonts w:ascii="標楷體" w:hAnsi="Arial" w:hint="eastAsia"/>
          <w:b/>
          <w:bCs/>
          <w:color w:val="000000" w:themeColor="text1"/>
          <w:kern w:val="0"/>
          <w:szCs w:val="48"/>
        </w:rPr>
        <w:t>重要</w:t>
      </w:r>
      <w:r w:rsidR="00C04EEB" w:rsidRPr="000F0F71">
        <w:rPr>
          <w:rFonts w:ascii="標楷體" w:hAnsi="Arial" w:hint="eastAsia"/>
          <w:b/>
          <w:bCs/>
          <w:color w:val="000000" w:themeColor="text1"/>
          <w:kern w:val="0"/>
          <w:szCs w:val="48"/>
        </w:rPr>
        <w:t>之意義，如屬通案性質，需統一見解作為行政機關遵行之行為指示規則時，自應</w:t>
      </w:r>
      <w:r w:rsidR="00652631" w:rsidRPr="000F0F71">
        <w:rPr>
          <w:rFonts w:ascii="標楷體" w:hAnsi="Arial" w:hint="eastAsia"/>
          <w:b/>
          <w:bCs/>
          <w:color w:val="000000" w:themeColor="text1"/>
          <w:kern w:val="0"/>
          <w:szCs w:val="48"/>
        </w:rPr>
        <w:t>踐行</w:t>
      </w:r>
      <w:r w:rsidR="00C04EEB" w:rsidRPr="000F0F71">
        <w:rPr>
          <w:rFonts w:ascii="標楷體" w:hAnsi="Arial" w:hint="eastAsia"/>
          <w:b/>
          <w:bCs/>
          <w:color w:val="000000" w:themeColor="text1"/>
          <w:kern w:val="0"/>
          <w:szCs w:val="48"/>
        </w:rPr>
        <w:t>應有之</w:t>
      </w:r>
      <w:r w:rsidRPr="000F0F71">
        <w:rPr>
          <w:rFonts w:ascii="標楷體" w:hAnsi="Arial" w:hint="eastAsia"/>
          <w:b/>
          <w:bCs/>
          <w:color w:val="000000" w:themeColor="text1"/>
          <w:kern w:val="0"/>
          <w:szCs w:val="48"/>
        </w:rPr>
        <w:t>法定程序</w:t>
      </w:r>
      <w:r w:rsidR="00C04EEB" w:rsidRPr="000F0F71">
        <w:rPr>
          <w:rFonts w:ascii="標楷體" w:hAnsi="Arial" w:hint="eastAsia"/>
          <w:b/>
          <w:bCs/>
          <w:color w:val="000000" w:themeColor="text1"/>
          <w:kern w:val="0"/>
          <w:szCs w:val="48"/>
        </w:rPr>
        <w:t>，以符合公正公開之行政程序</w:t>
      </w:r>
      <w:r w:rsidR="00C04EEB" w:rsidRPr="000F0F71">
        <w:rPr>
          <w:rFonts w:ascii="標楷體" w:hAnsi="Arial" w:hint="eastAsia"/>
          <w:b/>
          <w:bCs/>
          <w:color w:val="000000" w:themeColor="text1"/>
          <w:kern w:val="0"/>
          <w:szCs w:val="48"/>
        </w:rPr>
        <w:lastRenderedPageBreak/>
        <w:t>並增進人民對行政之信賴。該部</w:t>
      </w:r>
      <w:r w:rsidRPr="000F0F71">
        <w:rPr>
          <w:rFonts w:ascii="標楷體" w:hAnsi="Arial" w:hint="eastAsia"/>
          <w:b/>
          <w:bCs/>
          <w:color w:val="000000" w:themeColor="text1"/>
          <w:kern w:val="0"/>
          <w:szCs w:val="48"/>
        </w:rPr>
        <w:t>逕將93年3月8日個案答復民眾</w:t>
      </w:r>
      <w:r w:rsidR="008631FD" w:rsidRPr="000F0F71">
        <w:rPr>
          <w:rFonts w:ascii="標楷體" w:hAnsi="Arial" w:hint="eastAsia"/>
          <w:b/>
          <w:bCs/>
          <w:color w:val="000000" w:themeColor="text1"/>
          <w:kern w:val="0"/>
          <w:szCs w:val="48"/>
        </w:rPr>
        <w:t>董事</w:t>
      </w:r>
      <w:r w:rsidR="00B33F80" w:rsidRPr="000F0F71">
        <w:rPr>
          <w:rFonts w:ascii="標楷體" w:hAnsi="Arial" w:hint="eastAsia"/>
          <w:b/>
          <w:bCs/>
          <w:color w:val="000000" w:themeColor="text1"/>
          <w:kern w:val="0"/>
          <w:szCs w:val="48"/>
        </w:rPr>
        <w:t>報酬</w:t>
      </w:r>
      <w:r w:rsidR="00C04EEB" w:rsidRPr="000F0F71">
        <w:rPr>
          <w:rFonts w:ascii="標楷體" w:hAnsi="Arial" w:hint="eastAsia"/>
          <w:b/>
          <w:bCs/>
          <w:color w:val="000000" w:themeColor="text1"/>
          <w:kern w:val="0"/>
          <w:szCs w:val="48"/>
        </w:rPr>
        <w:t>疑義</w:t>
      </w:r>
      <w:r w:rsidRPr="000F0F71">
        <w:rPr>
          <w:rFonts w:ascii="標楷體" w:hAnsi="Arial" w:hint="eastAsia"/>
          <w:b/>
          <w:bCs/>
          <w:color w:val="000000" w:themeColor="text1"/>
          <w:kern w:val="0"/>
          <w:szCs w:val="48"/>
        </w:rPr>
        <w:t>之函文，對內下達為通案適用之依據，對外於商工法規查詢系統中公告為公司法第196條董</w:t>
      </w:r>
      <w:r w:rsidR="00C309E7" w:rsidRPr="000F0F71">
        <w:rPr>
          <w:rFonts w:ascii="標楷體" w:hAnsi="Arial" w:hint="eastAsia"/>
          <w:b/>
          <w:bCs/>
          <w:color w:val="000000" w:themeColor="text1"/>
          <w:kern w:val="0"/>
          <w:szCs w:val="48"/>
        </w:rPr>
        <w:t>事</w:t>
      </w:r>
      <w:r w:rsidRPr="000F0F71">
        <w:rPr>
          <w:rFonts w:ascii="標楷體" w:hAnsi="Arial" w:hint="eastAsia"/>
          <w:b/>
          <w:bCs/>
          <w:color w:val="000000" w:themeColor="text1"/>
          <w:kern w:val="0"/>
          <w:szCs w:val="48"/>
        </w:rPr>
        <w:t>報酬疑義之函釋，</w:t>
      </w:r>
      <w:r w:rsidR="00C04EEB" w:rsidRPr="000F0F71">
        <w:rPr>
          <w:rFonts w:ascii="標楷體" w:hAnsi="Arial" w:hint="eastAsia"/>
          <w:b/>
          <w:bCs/>
          <w:color w:val="000000" w:themeColor="text1"/>
          <w:kern w:val="0"/>
          <w:szCs w:val="48"/>
        </w:rPr>
        <w:t>未踐行由其首長簽署並發布之程序</w:t>
      </w:r>
      <w:r w:rsidRPr="000F0F71">
        <w:rPr>
          <w:rFonts w:ascii="標楷體" w:hAnsi="Arial" w:hint="eastAsia"/>
          <w:b/>
          <w:bCs/>
          <w:color w:val="000000" w:themeColor="text1"/>
          <w:kern w:val="0"/>
          <w:szCs w:val="48"/>
        </w:rPr>
        <w:t>，</w:t>
      </w:r>
      <w:bookmarkEnd w:id="56"/>
      <w:bookmarkEnd w:id="57"/>
      <w:r w:rsidR="00C04EEB" w:rsidRPr="000F0F71">
        <w:rPr>
          <w:rFonts w:ascii="標楷體" w:hAnsi="Arial" w:hint="eastAsia"/>
          <w:b/>
          <w:bCs/>
          <w:color w:val="000000" w:themeColor="text1"/>
          <w:kern w:val="0"/>
          <w:szCs w:val="48"/>
        </w:rPr>
        <w:t>核</w:t>
      </w:r>
      <w:r w:rsidRPr="000F0F71">
        <w:rPr>
          <w:rFonts w:ascii="標楷體" w:hAnsi="Arial" w:hint="eastAsia"/>
          <w:b/>
          <w:bCs/>
          <w:color w:val="000000" w:themeColor="text1"/>
          <w:kern w:val="0"/>
          <w:szCs w:val="48"/>
        </w:rPr>
        <w:t>有瑕疵。</w:t>
      </w:r>
    </w:p>
    <w:p w:rsidR="007549A2" w:rsidRPr="000F0F71" w:rsidRDefault="007549A2" w:rsidP="00991911">
      <w:pPr>
        <w:pStyle w:val="3"/>
        <w:rPr>
          <w:color w:val="000000" w:themeColor="text1"/>
        </w:rPr>
      </w:pPr>
      <w:r w:rsidRPr="000F0F71">
        <w:rPr>
          <w:rFonts w:hint="eastAsia"/>
          <w:b/>
          <w:color w:val="000000" w:themeColor="text1"/>
        </w:rPr>
        <w:t>主管機關因適用法律或命令所生疑義</w:t>
      </w:r>
      <w:r w:rsidR="00C04EEB" w:rsidRPr="000F0F71">
        <w:rPr>
          <w:rFonts w:hint="eastAsia"/>
          <w:b/>
          <w:color w:val="000000" w:themeColor="text1"/>
        </w:rPr>
        <w:t>而為之函</w:t>
      </w:r>
      <w:r w:rsidR="00991911" w:rsidRPr="000F0F71">
        <w:rPr>
          <w:rFonts w:hint="eastAsia"/>
          <w:b/>
          <w:color w:val="000000" w:themeColor="text1"/>
        </w:rPr>
        <w:t>令或解釋函</w:t>
      </w:r>
      <w:r w:rsidRPr="000F0F71">
        <w:rPr>
          <w:rFonts w:hint="eastAsia"/>
          <w:b/>
          <w:color w:val="000000" w:themeColor="text1"/>
        </w:rPr>
        <w:t>，</w:t>
      </w:r>
      <w:r w:rsidR="00991911" w:rsidRPr="000F0F71">
        <w:rPr>
          <w:rFonts w:hint="eastAsia"/>
          <w:b/>
          <w:color w:val="000000" w:themeColor="text1"/>
        </w:rPr>
        <w:t>如屬通案性質，</w:t>
      </w:r>
      <w:r w:rsidRPr="000F0F71">
        <w:rPr>
          <w:rFonts w:hint="eastAsia"/>
          <w:b/>
          <w:color w:val="000000" w:themeColor="text1"/>
        </w:rPr>
        <w:t>應</w:t>
      </w:r>
      <w:r w:rsidR="00991911" w:rsidRPr="000F0F71">
        <w:rPr>
          <w:rFonts w:hint="eastAsia"/>
          <w:b/>
          <w:color w:val="000000" w:themeColor="text1"/>
        </w:rPr>
        <w:t>循法制作業程序，妥慎研釋，並</w:t>
      </w:r>
      <w:r w:rsidRPr="000F0F71">
        <w:rPr>
          <w:rFonts w:hint="eastAsia"/>
          <w:b/>
          <w:color w:val="000000" w:themeColor="text1"/>
        </w:rPr>
        <w:t>依行政程序法規定</w:t>
      </w:r>
      <w:r w:rsidR="00991911" w:rsidRPr="000F0F71">
        <w:rPr>
          <w:rFonts w:hint="eastAsia"/>
          <w:b/>
          <w:color w:val="000000" w:themeColor="text1"/>
        </w:rPr>
        <w:t>，由首長簽署發布</w:t>
      </w:r>
      <w:r w:rsidRPr="000F0F71">
        <w:rPr>
          <w:rFonts w:hint="eastAsia"/>
          <w:color w:val="000000" w:themeColor="text1"/>
        </w:rPr>
        <w:t>：</w:t>
      </w:r>
    </w:p>
    <w:p w:rsidR="00C04EEB"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按司法院釋字第2號解釋略以，適用法律或命令發生疑義時，則有適用職權之中央或地方機關，皆應自行研究，以確定其意義，而為適用。次按行政程序法第 159條第2項第2款規定：「行政規則包括下列各款之規定：……</w:t>
      </w:r>
      <w:r w:rsidR="00937A54"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二、為協助下級機關或屬官統一解釋法令、認定事實、及行使裁量權，而訂頒之解釋性規定及裁量基準。」同法第160第2項規定：「行政機關訂定前條第2項第2款之行政規則，應由其首長簽署，並登載於政府公報發布之。</w:t>
      </w:r>
      <w:r w:rsidR="004F5526" w:rsidRPr="000F0F71">
        <w:rPr>
          <w:rFonts w:ascii="標楷體" w:hAnsi="Arial" w:hint="eastAsia"/>
          <w:bCs/>
          <w:color w:val="000000" w:themeColor="text1"/>
          <w:kern w:val="0"/>
          <w:szCs w:val="36"/>
        </w:rPr>
        <w:t>」</w:t>
      </w:r>
      <w:r w:rsidR="00C04EEB" w:rsidRPr="000F0F71">
        <w:rPr>
          <w:rFonts w:ascii="標楷體" w:hAnsi="Arial" w:hint="eastAsia"/>
          <w:bCs/>
          <w:color w:val="000000" w:themeColor="text1"/>
          <w:kern w:val="0"/>
          <w:szCs w:val="36"/>
        </w:rPr>
        <w:t>故解釋性之行政規則（解釋函）不能僅以內部函轉下達之宣示方式為已足，尚須以經首長簽署並對外刊登公報發布之宣示方式</w:t>
      </w:r>
      <w:r w:rsidR="00104FA5" w:rsidRPr="000F0F71">
        <w:rPr>
          <w:rFonts w:ascii="標楷體" w:hAnsi="Arial" w:hint="eastAsia"/>
          <w:bCs/>
          <w:color w:val="000000" w:themeColor="text1"/>
          <w:kern w:val="0"/>
          <w:szCs w:val="36"/>
        </w:rPr>
        <w:t>，以符合公正公開之行政程序並增進人民對行政之信賴</w:t>
      </w:r>
      <w:r w:rsidR="00C04EEB"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上開「解釋性行政規則」，依司法院釋字第407號解釋，係指主管機關基於職權執行特定法律之規定，而為必要之釋示，供本機關或下級機關所屬公務員行使職權時之依據。又，機關應踐行之法制作業程序，依「中央行政機關法制作業應注意事項」第1</w:t>
      </w:r>
      <w:r w:rsidR="00466881" w:rsidRPr="000F0F71">
        <w:rPr>
          <w:rFonts w:ascii="標楷體" w:hAnsi="Arial" w:hint="eastAsia"/>
          <w:bCs/>
          <w:color w:val="000000" w:themeColor="text1"/>
          <w:kern w:val="0"/>
          <w:szCs w:val="36"/>
        </w:rPr>
        <w:t>3</w:t>
      </w:r>
      <w:r w:rsidRPr="000F0F71">
        <w:rPr>
          <w:rFonts w:ascii="標楷體" w:hAnsi="Arial" w:hint="eastAsia"/>
          <w:bCs/>
          <w:color w:val="000000" w:themeColor="text1"/>
          <w:kern w:val="0"/>
          <w:szCs w:val="36"/>
        </w:rPr>
        <w:t>點規定：「行政程序法第159條第2項第2款之行政規則者，其訂定或修正，應由其首長簽署，並登載於政府公報以令發布之……；其訂定、修正或廢止之生效日期，均應於令中敘明。」第18點規定：「各機</w:t>
      </w:r>
      <w:r w:rsidRPr="000F0F71">
        <w:rPr>
          <w:rFonts w:ascii="標楷體" w:hAnsi="Arial" w:hint="eastAsia"/>
          <w:bCs/>
          <w:color w:val="000000" w:themeColor="text1"/>
          <w:kern w:val="0"/>
          <w:szCs w:val="36"/>
        </w:rPr>
        <w:lastRenderedPageBreak/>
        <w:t>關適用法規有疑義時，應就疑義之法條及疑點研析各種疑見之得失，擇採適法可行之見解。……</w:t>
      </w:r>
      <w:r w:rsidR="00937A54"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」第19點規定：「法規之解釋令（函）於擬釋時，應有法制人員參與。」</w:t>
      </w:r>
      <w:r w:rsidR="00C37FAA" w:rsidRPr="000F0F71">
        <w:rPr>
          <w:rFonts w:ascii="標楷體" w:hAnsi="Arial" w:hint="eastAsia"/>
          <w:bCs/>
          <w:color w:val="000000" w:themeColor="text1"/>
          <w:kern w:val="0"/>
          <w:szCs w:val="36"/>
        </w:rPr>
        <w:t>此外</w:t>
      </w:r>
      <w:r w:rsidR="00053B37" w:rsidRPr="000F0F71">
        <w:rPr>
          <w:rFonts w:ascii="標楷體" w:hAnsi="Arial" w:hint="eastAsia"/>
          <w:bCs/>
          <w:color w:val="000000" w:themeColor="text1"/>
          <w:kern w:val="0"/>
          <w:szCs w:val="36"/>
        </w:rPr>
        <w:t>，</w:t>
      </w:r>
      <w:r w:rsidR="00C8493A" w:rsidRPr="000F0F71">
        <w:rPr>
          <w:rFonts w:ascii="標楷體" w:hAnsi="Arial" w:hint="eastAsia"/>
          <w:bCs/>
          <w:color w:val="000000" w:themeColor="text1"/>
          <w:kern w:val="0"/>
          <w:szCs w:val="36"/>
        </w:rPr>
        <w:t>各機關訂定、修正或廢止</w:t>
      </w:r>
      <w:r w:rsidR="00053B37" w:rsidRPr="000F0F71">
        <w:rPr>
          <w:rFonts w:ascii="標楷體" w:hAnsi="Arial" w:hint="eastAsia"/>
          <w:bCs/>
          <w:color w:val="000000" w:themeColor="text1"/>
          <w:kern w:val="0"/>
          <w:szCs w:val="36"/>
        </w:rPr>
        <w:t>行政程序法第159條第2項第2款之行政規則</w:t>
      </w:r>
      <w:r w:rsidR="00C8493A" w:rsidRPr="000F0F71">
        <w:rPr>
          <w:rFonts w:ascii="標楷體" w:hAnsi="Arial" w:hint="eastAsia"/>
          <w:bCs/>
          <w:color w:val="000000" w:themeColor="text1"/>
          <w:kern w:val="0"/>
          <w:szCs w:val="36"/>
        </w:rPr>
        <w:t>時，</w:t>
      </w:r>
      <w:r w:rsidR="008119EF" w:rsidRPr="000F0F71">
        <w:rPr>
          <w:rFonts w:ascii="標楷體" w:hAnsi="Arial" w:hint="eastAsia"/>
          <w:bCs/>
          <w:color w:val="000000" w:themeColor="text1"/>
          <w:kern w:val="0"/>
          <w:szCs w:val="36"/>
        </w:rPr>
        <w:t>依「全國法規電腦處理作業規範」</w:t>
      </w:r>
      <w:r w:rsidR="00053B37" w:rsidRPr="000F0F71">
        <w:rPr>
          <w:rFonts w:ascii="標楷體" w:hAnsi="Arial" w:hint="eastAsia"/>
          <w:bCs/>
          <w:color w:val="000000" w:themeColor="text1"/>
          <w:kern w:val="0"/>
          <w:szCs w:val="36"/>
        </w:rPr>
        <w:t>伍</w:t>
      </w:r>
      <w:r w:rsidR="00B8547C" w:rsidRPr="000F0F71">
        <w:rPr>
          <w:rFonts w:ascii="標楷體" w:hAnsi="Arial" w:hint="eastAsia"/>
          <w:bCs/>
          <w:color w:val="000000" w:themeColor="text1"/>
          <w:kern w:val="0"/>
          <w:szCs w:val="36"/>
        </w:rPr>
        <w:t>之</w:t>
      </w:r>
      <w:r w:rsidR="00053B37" w:rsidRPr="000F0F71">
        <w:rPr>
          <w:rFonts w:ascii="標楷體" w:hAnsi="Arial" w:hint="eastAsia"/>
          <w:bCs/>
          <w:color w:val="000000" w:themeColor="text1"/>
          <w:kern w:val="0"/>
          <w:szCs w:val="36"/>
        </w:rPr>
        <w:t>一</w:t>
      </w:r>
      <w:r w:rsidR="00B8547C" w:rsidRPr="000F0F71">
        <w:rPr>
          <w:rFonts w:ascii="標楷體" w:hAnsi="Arial" w:hint="eastAsia"/>
          <w:bCs/>
          <w:color w:val="000000" w:themeColor="text1"/>
          <w:kern w:val="0"/>
          <w:szCs w:val="36"/>
        </w:rPr>
        <w:t>之</w:t>
      </w:r>
      <w:r w:rsidR="00053B37" w:rsidRPr="000F0F71">
        <w:rPr>
          <w:rFonts w:ascii="MS Mincho" w:eastAsiaTheme="minorEastAsia" w:hAnsi="MS Mincho" w:cs="MS Mincho" w:hint="eastAsia"/>
          <w:bCs/>
          <w:color w:val="000000" w:themeColor="text1"/>
          <w:kern w:val="0"/>
          <w:szCs w:val="36"/>
        </w:rPr>
        <w:t>㈤</w:t>
      </w:r>
      <w:r w:rsidR="008119EF" w:rsidRPr="000F0F71">
        <w:rPr>
          <w:rFonts w:ascii="標楷體" w:hAnsi="Arial" w:hint="eastAsia"/>
          <w:bCs/>
          <w:color w:val="000000" w:themeColor="text1"/>
          <w:kern w:val="0"/>
          <w:szCs w:val="36"/>
        </w:rPr>
        <w:t>規定，</w:t>
      </w:r>
      <w:r w:rsidR="00C37FAA" w:rsidRPr="000F0F71">
        <w:rPr>
          <w:rFonts w:ascii="標楷體" w:hAnsi="Arial" w:hint="eastAsia"/>
          <w:bCs/>
          <w:color w:val="000000" w:themeColor="text1"/>
          <w:kern w:val="0"/>
          <w:szCs w:val="36"/>
        </w:rPr>
        <w:t>該機關辦理法規資料建置作業之專責人員</w:t>
      </w:r>
      <w:r w:rsidR="00B8547C" w:rsidRPr="000F0F71">
        <w:rPr>
          <w:rFonts w:ascii="標楷體" w:hAnsi="Arial" w:hint="eastAsia"/>
          <w:bCs/>
          <w:color w:val="000000" w:themeColor="text1"/>
          <w:kern w:val="0"/>
          <w:szCs w:val="36"/>
        </w:rPr>
        <w:t>，</w:t>
      </w:r>
      <w:r w:rsidR="008119EF" w:rsidRPr="000F0F71">
        <w:rPr>
          <w:rFonts w:ascii="標楷體" w:hAnsi="Arial" w:hint="eastAsia"/>
          <w:bCs/>
          <w:color w:val="000000" w:themeColor="text1"/>
          <w:kern w:val="0"/>
          <w:szCs w:val="36"/>
        </w:rPr>
        <w:t>應</w:t>
      </w:r>
      <w:r w:rsidR="00FA6DC6" w:rsidRPr="000F0F71">
        <w:rPr>
          <w:rFonts w:hint="eastAsia"/>
          <w:color w:val="000000" w:themeColor="text1"/>
        </w:rPr>
        <w:t>至公報資訊網介接資料，並</w:t>
      </w:r>
      <w:r w:rsidR="008119EF" w:rsidRPr="000F0F71">
        <w:rPr>
          <w:rFonts w:ascii="標楷體" w:hAnsi="Arial" w:hint="eastAsia"/>
          <w:bCs/>
          <w:color w:val="000000" w:themeColor="text1"/>
          <w:kern w:val="0"/>
          <w:szCs w:val="36"/>
        </w:rPr>
        <w:t>於發布後</w:t>
      </w:r>
      <w:r w:rsidR="001B2B8B" w:rsidRPr="000F0F71">
        <w:rPr>
          <w:rFonts w:ascii="標楷體" w:hAnsi="Arial" w:hint="eastAsia"/>
          <w:bCs/>
          <w:color w:val="000000" w:themeColor="text1"/>
          <w:kern w:val="0"/>
          <w:szCs w:val="36"/>
        </w:rPr>
        <w:t>5</w:t>
      </w:r>
      <w:r w:rsidR="008119EF" w:rsidRPr="000F0F71">
        <w:rPr>
          <w:rFonts w:ascii="標楷體" w:hAnsi="Arial" w:hint="eastAsia"/>
          <w:bCs/>
          <w:color w:val="000000" w:themeColor="text1"/>
          <w:kern w:val="0"/>
          <w:szCs w:val="36"/>
        </w:rPr>
        <w:t>個工作日內，</w:t>
      </w:r>
      <w:r w:rsidR="00053B37" w:rsidRPr="000F0F71">
        <w:rPr>
          <w:rFonts w:ascii="標楷體" w:hAnsi="Arial" w:hint="eastAsia"/>
          <w:bCs/>
          <w:color w:val="000000" w:themeColor="text1"/>
          <w:kern w:val="0"/>
          <w:szCs w:val="36"/>
        </w:rPr>
        <w:t>至</w:t>
      </w:r>
      <w:r w:rsidR="00951D94" w:rsidRPr="000F0F71">
        <w:rPr>
          <w:rFonts w:ascii="標楷體" w:hAnsi="Arial" w:hint="eastAsia"/>
          <w:bCs/>
          <w:color w:val="000000" w:themeColor="text1"/>
          <w:kern w:val="0"/>
          <w:szCs w:val="36"/>
        </w:rPr>
        <w:t>「全國法規資料庫</w:t>
      </w:r>
      <w:r w:rsidR="008119EF" w:rsidRPr="000F0F71">
        <w:rPr>
          <w:rFonts w:ascii="標楷體" w:hAnsi="Arial" w:hint="eastAsia"/>
          <w:bCs/>
          <w:color w:val="000000" w:themeColor="text1"/>
          <w:kern w:val="0"/>
          <w:szCs w:val="36"/>
        </w:rPr>
        <w:t>通報網站</w:t>
      </w:r>
      <w:r w:rsidR="00951D94" w:rsidRPr="000F0F71">
        <w:rPr>
          <w:rFonts w:ascii="標楷體" w:hAnsi="Arial" w:hint="eastAsia"/>
          <w:bCs/>
          <w:color w:val="000000" w:themeColor="text1"/>
          <w:kern w:val="0"/>
          <w:szCs w:val="36"/>
        </w:rPr>
        <w:t>」</w:t>
      </w:r>
      <w:r w:rsidR="00053B37" w:rsidRPr="000F0F71">
        <w:rPr>
          <w:rFonts w:ascii="標楷體" w:hAnsi="Arial" w:hint="eastAsia"/>
          <w:bCs/>
          <w:color w:val="000000" w:themeColor="text1"/>
          <w:kern w:val="0"/>
          <w:szCs w:val="36"/>
        </w:rPr>
        <w:t>辦理確認作業</w:t>
      </w:r>
      <w:r w:rsidR="008119EF"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綜據上開法令，主管機關因適用法令所生疑義</w:t>
      </w:r>
      <w:r w:rsidR="008119EF" w:rsidRPr="000F0F71">
        <w:rPr>
          <w:rFonts w:ascii="標楷體" w:hAnsi="Arial" w:hint="eastAsia"/>
          <w:bCs/>
          <w:color w:val="000000" w:themeColor="text1"/>
          <w:kern w:val="0"/>
          <w:szCs w:val="36"/>
        </w:rPr>
        <w:t>，涉及人民權益</w:t>
      </w:r>
      <w:r w:rsidR="00B8547C" w:rsidRPr="000F0F71">
        <w:rPr>
          <w:rFonts w:ascii="標楷體" w:hAnsi="Arial" w:hint="eastAsia"/>
          <w:bCs/>
          <w:color w:val="000000" w:themeColor="text1"/>
          <w:kern w:val="0"/>
          <w:szCs w:val="36"/>
        </w:rPr>
        <w:t>，具有重要意義</w:t>
      </w:r>
      <w:r w:rsidR="008119EF" w:rsidRPr="000F0F71">
        <w:rPr>
          <w:rFonts w:ascii="標楷體" w:hAnsi="Arial" w:hint="eastAsia"/>
          <w:bCs/>
          <w:color w:val="000000" w:themeColor="text1"/>
          <w:kern w:val="0"/>
          <w:szCs w:val="36"/>
        </w:rPr>
        <w:t>，而有統一見解必要之解釋函令或解釋函，如屬通案性質，應循法制作業妥慎研議，</w:t>
      </w:r>
      <w:r w:rsidR="00C37FAA" w:rsidRPr="000F0F71">
        <w:rPr>
          <w:rFonts w:ascii="標楷體" w:hAnsi="Arial" w:hint="eastAsia"/>
          <w:bCs/>
          <w:color w:val="000000" w:themeColor="text1"/>
          <w:kern w:val="0"/>
          <w:szCs w:val="36"/>
        </w:rPr>
        <w:t>並</w:t>
      </w:r>
      <w:r w:rsidR="008119EF" w:rsidRPr="000F0F71">
        <w:rPr>
          <w:rFonts w:ascii="標楷體" w:hAnsi="Arial" w:hint="eastAsia"/>
          <w:bCs/>
          <w:color w:val="000000" w:themeColor="text1"/>
          <w:kern w:val="0"/>
          <w:szCs w:val="36"/>
        </w:rPr>
        <w:t>依行政程序法，將該解釋令（函）</w:t>
      </w:r>
      <w:r w:rsidR="007565AD" w:rsidRPr="000F0F71">
        <w:rPr>
          <w:rFonts w:ascii="標楷體" w:hAnsi="Arial" w:hint="eastAsia"/>
          <w:bCs/>
          <w:color w:val="000000" w:themeColor="text1"/>
          <w:kern w:val="0"/>
          <w:szCs w:val="36"/>
        </w:rPr>
        <w:t>由其首長簽署發</w:t>
      </w:r>
      <w:r w:rsidR="008119EF" w:rsidRPr="000F0F71">
        <w:rPr>
          <w:rFonts w:ascii="標楷體" w:hAnsi="Arial" w:hint="eastAsia"/>
          <w:bCs/>
          <w:color w:val="000000" w:themeColor="text1"/>
          <w:kern w:val="0"/>
          <w:szCs w:val="36"/>
        </w:rPr>
        <w:t>布</w:t>
      </w:r>
      <w:r w:rsidR="007565AD" w:rsidRPr="000F0F71">
        <w:rPr>
          <w:rFonts w:ascii="標楷體" w:hAnsi="Arial" w:hint="eastAsia"/>
          <w:bCs/>
          <w:color w:val="000000" w:themeColor="text1"/>
          <w:kern w:val="0"/>
          <w:szCs w:val="36"/>
        </w:rPr>
        <w:t>，</w:t>
      </w:r>
      <w:r w:rsidR="00C37FAA" w:rsidRPr="000F0F71">
        <w:rPr>
          <w:rFonts w:ascii="標楷體" w:hAnsi="Arial" w:hint="eastAsia"/>
          <w:bCs/>
          <w:color w:val="000000" w:themeColor="text1"/>
          <w:kern w:val="0"/>
          <w:szCs w:val="36"/>
        </w:rPr>
        <w:t>並</w:t>
      </w:r>
      <w:r w:rsidR="00053B37" w:rsidRPr="000F0F71">
        <w:rPr>
          <w:rFonts w:ascii="標楷體" w:hAnsi="Arial" w:hint="eastAsia"/>
          <w:bCs/>
          <w:color w:val="000000" w:themeColor="text1"/>
          <w:kern w:val="0"/>
          <w:szCs w:val="36"/>
        </w:rPr>
        <w:t>介接資料至</w:t>
      </w:r>
      <w:r w:rsidR="00C37FAA" w:rsidRPr="000F0F71">
        <w:rPr>
          <w:rFonts w:ascii="標楷體" w:hAnsi="Arial" w:hint="eastAsia"/>
          <w:bCs/>
          <w:color w:val="000000" w:themeColor="text1"/>
          <w:kern w:val="0"/>
          <w:szCs w:val="36"/>
        </w:rPr>
        <w:t>公報資訊</w:t>
      </w:r>
      <w:r w:rsidR="00B8547C" w:rsidRPr="000F0F71">
        <w:rPr>
          <w:rFonts w:ascii="標楷體" w:hAnsi="Arial" w:hint="eastAsia"/>
          <w:bCs/>
          <w:color w:val="000000" w:themeColor="text1"/>
          <w:kern w:val="0"/>
          <w:szCs w:val="36"/>
        </w:rPr>
        <w:t>系統</w:t>
      </w:r>
      <w:r w:rsidR="00C37FAA" w:rsidRPr="000F0F71">
        <w:rPr>
          <w:rFonts w:ascii="標楷體" w:hAnsi="Arial" w:hint="eastAsia"/>
          <w:bCs/>
          <w:color w:val="000000" w:themeColor="text1"/>
          <w:kern w:val="0"/>
          <w:szCs w:val="36"/>
        </w:rPr>
        <w:t>及</w:t>
      </w:r>
      <w:r w:rsidR="00053B37" w:rsidRPr="000F0F71">
        <w:rPr>
          <w:rFonts w:ascii="標楷體" w:hAnsi="Arial" w:hint="eastAsia"/>
          <w:bCs/>
          <w:color w:val="000000" w:themeColor="text1"/>
          <w:kern w:val="0"/>
          <w:szCs w:val="36"/>
        </w:rPr>
        <w:t>全國法規資料庫</w:t>
      </w:r>
      <w:r w:rsidR="00C37FAA" w:rsidRPr="000F0F71">
        <w:rPr>
          <w:rFonts w:ascii="標楷體" w:hAnsi="Arial" w:hint="eastAsia"/>
          <w:bCs/>
          <w:color w:val="000000" w:themeColor="text1"/>
          <w:kern w:val="0"/>
          <w:szCs w:val="36"/>
        </w:rPr>
        <w:t>，以符合公正公開之行政程序及增進人民對行政之信賴。</w:t>
      </w:r>
    </w:p>
    <w:p w:rsidR="007549A2" w:rsidRPr="000F0F71" w:rsidRDefault="007549A2" w:rsidP="007549A2">
      <w:pPr>
        <w:numPr>
          <w:ilvl w:val="2"/>
          <w:numId w:val="1"/>
        </w:numPr>
        <w:kinsoku w:val="0"/>
        <w:ind w:left="1361" w:hanging="681"/>
        <w:jc w:val="both"/>
        <w:outlineLvl w:val="2"/>
        <w:rPr>
          <w:rFonts w:ascii="標楷體" w:hAnsi="Arial"/>
          <w:bCs/>
          <w:color w:val="000000" w:themeColor="text1"/>
          <w:kern w:val="0"/>
          <w:szCs w:val="36"/>
        </w:rPr>
      </w:pPr>
      <w:r w:rsidRPr="000F0F71">
        <w:rPr>
          <w:rFonts w:ascii="標楷體" w:hAnsi="Arial" w:hint="eastAsia"/>
          <w:b/>
          <w:bCs/>
          <w:color w:val="000000" w:themeColor="text1"/>
          <w:kern w:val="0"/>
          <w:szCs w:val="36"/>
        </w:rPr>
        <w:t>公司法第196條</w:t>
      </w:r>
      <w:r w:rsidR="003707E6" w:rsidRPr="000F0F71">
        <w:rPr>
          <w:rFonts w:ascii="標楷體" w:hAnsi="Arial" w:hint="eastAsia"/>
          <w:b/>
          <w:bCs/>
          <w:color w:val="000000" w:themeColor="text1"/>
          <w:kern w:val="0"/>
          <w:szCs w:val="36"/>
        </w:rPr>
        <w:t>及第227條規定，</w:t>
      </w:r>
      <w:r w:rsidR="008631FD" w:rsidRPr="000F0F71">
        <w:rPr>
          <w:rFonts w:ascii="標楷體" w:hint="eastAsia"/>
          <w:b/>
          <w:bCs/>
          <w:color w:val="000000" w:themeColor="text1"/>
          <w:kern w:val="0"/>
        </w:rPr>
        <w:t>董事及監察人（下稱董監）</w:t>
      </w:r>
      <w:r w:rsidRPr="000F0F71">
        <w:rPr>
          <w:rFonts w:ascii="標楷體" w:hAnsi="Arial" w:hint="eastAsia"/>
          <w:b/>
          <w:bCs/>
          <w:color w:val="000000" w:themeColor="text1"/>
          <w:kern w:val="0"/>
          <w:szCs w:val="36"/>
        </w:rPr>
        <w:t>報酬</w:t>
      </w:r>
      <w:r w:rsidR="003707E6" w:rsidRPr="000F0F71">
        <w:rPr>
          <w:rFonts w:ascii="標楷體" w:hAnsi="Arial" w:hint="eastAsia"/>
          <w:b/>
          <w:bCs/>
          <w:color w:val="000000" w:themeColor="text1"/>
          <w:kern w:val="0"/>
          <w:szCs w:val="36"/>
        </w:rPr>
        <w:t>未經章程訂明者，應由股東會議定之</w:t>
      </w:r>
      <w:r w:rsidRPr="000F0F71">
        <w:rPr>
          <w:rFonts w:ascii="標楷體" w:hAnsi="Arial" w:hint="eastAsia"/>
          <w:b/>
          <w:bCs/>
          <w:color w:val="000000" w:themeColor="text1"/>
          <w:kern w:val="0"/>
          <w:szCs w:val="36"/>
        </w:rPr>
        <w:t>；最高法院判決認為章程訂明授權董事會議定者，須有一定限制，不得概括授權。經濟部93年3月8日函復民眾，認為所詢個案</w:t>
      </w:r>
      <w:r w:rsidR="003707E6" w:rsidRPr="000F0F71">
        <w:rPr>
          <w:rFonts w:ascii="標楷體" w:hAnsi="Arial" w:hint="eastAsia"/>
          <w:b/>
          <w:bCs/>
          <w:color w:val="000000" w:themeColor="text1"/>
          <w:kern w:val="0"/>
          <w:szCs w:val="36"/>
        </w:rPr>
        <w:t>，公司章程得授權董事會</w:t>
      </w:r>
      <w:r w:rsidRPr="000F0F71">
        <w:rPr>
          <w:rFonts w:ascii="標楷體" w:hAnsi="Arial" w:hint="eastAsia"/>
          <w:b/>
          <w:bCs/>
          <w:color w:val="000000" w:themeColor="text1"/>
          <w:kern w:val="0"/>
          <w:szCs w:val="36"/>
        </w:rPr>
        <w:t>依同業通常水準支給議定，所持見解與公司法第196條及司法實務見解尚非一致，有法律適用之疑義：</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本院函調經濟部93年3月8日函擬釋過程及相關研議文書，該部復稱：該函釋係大中國際聯合會計師事務函詢</w:t>
      </w:r>
      <w:r w:rsidR="008631FD" w:rsidRPr="000F0F71">
        <w:rPr>
          <w:rFonts w:ascii="標楷體" w:hAnsi="Arial" w:hint="eastAsia"/>
          <w:color w:val="000000" w:themeColor="text1"/>
          <w:szCs w:val="36"/>
        </w:rPr>
        <w:t>董事</w:t>
      </w:r>
      <w:r w:rsidRPr="000F0F71">
        <w:rPr>
          <w:rFonts w:ascii="標楷體" w:hAnsi="Arial" w:hint="eastAsia"/>
          <w:color w:val="000000" w:themeColor="text1"/>
          <w:szCs w:val="36"/>
        </w:rPr>
        <w:t>報酬如何由章程明定之疑義，依據最高法院77年度台上字第2158號判決、該部87年8月31日經商字第87217402號函（下稱經濟部87年8月31日函）、90年9月24日經</w:t>
      </w:r>
      <w:r w:rsidRPr="000F0F71">
        <w:rPr>
          <w:rFonts w:ascii="標楷體" w:hAnsi="Arial" w:hint="eastAsia"/>
          <w:color w:val="000000" w:themeColor="text1"/>
          <w:szCs w:val="36"/>
        </w:rPr>
        <w:lastRenderedPageBreak/>
        <w:t>商字第09002206960號函（下稱經濟部90年9月24日函），所做回復函文，其性質可認屬行政法上觀念通知等語，並檢附93年3月8日及87年8月31日公文函稿。又該部於本院約詢時表示：經濟部93年3月8日、87年8月31日函均係對民眾函詢之回復函文，性質可認屬行政法上觀念通知。該等函釋雖係針對個案之答</w:t>
      </w:r>
      <w:r w:rsidR="00937A54" w:rsidRPr="000F0F71">
        <w:rPr>
          <w:rFonts w:ascii="標楷體" w:hAnsi="Arial" w:hint="eastAsia"/>
          <w:color w:val="000000" w:themeColor="text1"/>
          <w:szCs w:val="36"/>
        </w:rPr>
        <w:t>復</w:t>
      </w:r>
      <w:r w:rsidRPr="000F0F71">
        <w:rPr>
          <w:rFonts w:ascii="標楷體" w:hAnsi="Arial" w:hint="eastAsia"/>
          <w:color w:val="000000" w:themeColor="text1"/>
          <w:szCs w:val="36"/>
        </w:rPr>
        <w:t>，但其原則可通案適用於其他公司。該函釋與最高法院判決並無抵觸等語。</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惟查，公司法第196條第1項規定：「董事之報酬未經章程訂明者，應由股東會議定，不得事後追認。」</w:t>
      </w:r>
      <w:r w:rsidR="003707E6" w:rsidRPr="000F0F71">
        <w:rPr>
          <w:rFonts w:ascii="標楷體" w:hAnsi="Arial" w:hint="eastAsia"/>
          <w:color w:val="000000" w:themeColor="text1"/>
          <w:szCs w:val="36"/>
        </w:rPr>
        <w:t>第227條</w:t>
      </w:r>
      <w:r w:rsidR="004E5277" w:rsidRPr="000F0F71">
        <w:rPr>
          <w:rFonts w:ascii="標楷體" w:hAnsi="Arial" w:hint="eastAsia"/>
          <w:color w:val="000000" w:themeColor="text1"/>
          <w:szCs w:val="36"/>
        </w:rPr>
        <w:t>規定於</w:t>
      </w:r>
      <w:r w:rsidR="003707E6" w:rsidRPr="000F0F71">
        <w:rPr>
          <w:rFonts w:ascii="標楷體" w:hAnsi="Arial" w:hint="eastAsia"/>
          <w:color w:val="000000" w:themeColor="text1"/>
          <w:szCs w:val="36"/>
        </w:rPr>
        <w:t>監察人準用之。</w:t>
      </w:r>
      <w:r w:rsidRPr="000F0F71">
        <w:rPr>
          <w:rFonts w:ascii="標楷體" w:hAnsi="Arial" w:hint="eastAsia"/>
          <w:color w:val="000000" w:themeColor="text1"/>
          <w:szCs w:val="36"/>
        </w:rPr>
        <w:t>最高法院77</w:t>
      </w:r>
      <w:r w:rsidR="00466881" w:rsidRPr="000F0F71">
        <w:rPr>
          <w:rFonts w:ascii="標楷體" w:hAnsi="Arial" w:hint="eastAsia"/>
          <w:color w:val="000000" w:themeColor="text1"/>
          <w:szCs w:val="36"/>
        </w:rPr>
        <w:t>年度台</w:t>
      </w:r>
      <w:r w:rsidRPr="000F0F71">
        <w:rPr>
          <w:rFonts w:ascii="標楷體" w:hAnsi="Arial" w:hint="eastAsia"/>
          <w:color w:val="000000" w:themeColor="text1"/>
          <w:szCs w:val="36"/>
        </w:rPr>
        <w:t>上字第1號、77</w:t>
      </w:r>
      <w:r w:rsidR="00466881" w:rsidRPr="000F0F71">
        <w:rPr>
          <w:rFonts w:ascii="標楷體" w:hAnsi="Arial" w:hint="eastAsia"/>
          <w:color w:val="000000" w:themeColor="text1"/>
          <w:szCs w:val="36"/>
        </w:rPr>
        <w:t>年度台</w:t>
      </w:r>
      <w:r w:rsidRPr="000F0F71">
        <w:rPr>
          <w:rFonts w:ascii="標楷體" w:hAnsi="Arial" w:hint="eastAsia"/>
          <w:color w:val="000000" w:themeColor="text1"/>
          <w:szCs w:val="36"/>
        </w:rPr>
        <w:t>上字第2158號、93</w:t>
      </w:r>
      <w:r w:rsidR="00466881" w:rsidRPr="000F0F71">
        <w:rPr>
          <w:rFonts w:ascii="標楷體" w:hAnsi="Arial" w:hint="eastAsia"/>
          <w:color w:val="000000" w:themeColor="text1"/>
          <w:szCs w:val="36"/>
        </w:rPr>
        <w:t>年度台</w:t>
      </w:r>
      <w:r w:rsidRPr="000F0F71">
        <w:rPr>
          <w:rFonts w:ascii="標楷體" w:hAnsi="Arial" w:hint="eastAsia"/>
          <w:color w:val="000000" w:themeColor="text1"/>
          <w:szCs w:val="36"/>
        </w:rPr>
        <w:t>上字第1224號判決均闡釋公司章程訂明授權董事會議定</w:t>
      </w:r>
      <w:r w:rsidR="008631FD" w:rsidRPr="000F0F71">
        <w:rPr>
          <w:rFonts w:ascii="標楷體" w:hAnsi="Arial" w:hint="eastAsia"/>
          <w:color w:val="000000" w:themeColor="text1"/>
          <w:szCs w:val="36"/>
        </w:rPr>
        <w:t>董事</w:t>
      </w:r>
      <w:r w:rsidRPr="000F0F71">
        <w:rPr>
          <w:rFonts w:ascii="標楷體" w:hAnsi="Arial" w:hint="eastAsia"/>
          <w:color w:val="000000" w:themeColor="text1"/>
          <w:szCs w:val="36"/>
        </w:rPr>
        <w:t>報酬，須有一定限制，不得概括授權。惟經濟部93年3月8日函釋認為公司得以章程「授權董事會議依同業通常水準支給議定」。該函釋所謂「同業通常水準」，與公司法196條第1項之「章程訂明」，及最高法院歷年來之判決意旨均有不同，顯有法律適用之疑義。</w:t>
      </w:r>
    </w:p>
    <w:p w:rsidR="007549A2" w:rsidRPr="000F0F71" w:rsidRDefault="00B1210A" w:rsidP="007549A2">
      <w:pPr>
        <w:numPr>
          <w:ilvl w:val="2"/>
          <w:numId w:val="1"/>
        </w:numPr>
        <w:kinsoku w:val="0"/>
        <w:ind w:left="1360" w:hanging="680"/>
        <w:jc w:val="both"/>
        <w:outlineLvl w:val="2"/>
        <w:rPr>
          <w:rFonts w:ascii="標楷體" w:hAnsi="Arial"/>
          <w:b/>
          <w:bCs/>
          <w:color w:val="000000" w:themeColor="text1"/>
          <w:kern w:val="0"/>
          <w:szCs w:val="36"/>
        </w:rPr>
      </w:pPr>
      <w:r w:rsidRPr="000F0F71">
        <w:rPr>
          <w:rFonts w:ascii="標楷體" w:hAnsi="Arial" w:hint="eastAsia"/>
          <w:b/>
          <w:bCs/>
          <w:color w:val="000000" w:themeColor="text1"/>
          <w:kern w:val="0"/>
          <w:szCs w:val="36"/>
        </w:rPr>
        <w:t>經濟部有關董</w:t>
      </w:r>
      <w:r w:rsidR="009B4BC0" w:rsidRPr="000F0F71">
        <w:rPr>
          <w:rFonts w:ascii="標楷體" w:hAnsi="Arial" w:hint="eastAsia"/>
          <w:b/>
          <w:bCs/>
          <w:color w:val="000000" w:themeColor="text1"/>
          <w:kern w:val="0"/>
          <w:szCs w:val="36"/>
        </w:rPr>
        <w:t>事</w:t>
      </w:r>
      <w:r w:rsidRPr="000F0F71">
        <w:rPr>
          <w:rFonts w:ascii="標楷體" w:hAnsi="Arial" w:hint="eastAsia"/>
          <w:b/>
          <w:bCs/>
          <w:color w:val="000000" w:themeColor="text1"/>
          <w:kern w:val="0"/>
          <w:szCs w:val="36"/>
        </w:rPr>
        <w:t>報酬之函釋</w:t>
      </w:r>
      <w:r w:rsidR="003707E6" w:rsidRPr="000F0F71">
        <w:rPr>
          <w:rFonts w:ascii="標楷體" w:hAnsi="Arial" w:hint="eastAsia"/>
          <w:b/>
          <w:bCs/>
          <w:color w:val="000000" w:themeColor="text1"/>
          <w:kern w:val="0"/>
          <w:szCs w:val="36"/>
        </w:rPr>
        <w:t>，具有拘束</w:t>
      </w:r>
      <w:r w:rsidR="00A27969" w:rsidRPr="000F0F71">
        <w:rPr>
          <w:rFonts w:ascii="標楷體" w:hAnsi="Arial" w:hint="eastAsia"/>
          <w:b/>
          <w:bCs/>
          <w:color w:val="000000" w:themeColor="text1"/>
          <w:kern w:val="0"/>
          <w:szCs w:val="36"/>
        </w:rPr>
        <w:t>中央各行政</w:t>
      </w:r>
      <w:r w:rsidR="003707E6" w:rsidRPr="000F0F71">
        <w:rPr>
          <w:rFonts w:ascii="標楷體" w:hAnsi="Arial" w:hint="eastAsia"/>
          <w:b/>
          <w:bCs/>
          <w:color w:val="000000" w:themeColor="text1"/>
          <w:kern w:val="0"/>
          <w:szCs w:val="36"/>
        </w:rPr>
        <w:t>機關之效力</w:t>
      </w:r>
      <w:r w:rsidRPr="000F0F71">
        <w:rPr>
          <w:rFonts w:ascii="標楷體" w:hAnsi="Arial" w:hint="eastAsia"/>
          <w:b/>
          <w:bCs/>
          <w:color w:val="000000" w:themeColor="text1"/>
          <w:kern w:val="0"/>
          <w:szCs w:val="36"/>
        </w:rPr>
        <w:t>，</w:t>
      </w:r>
      <w:r w:rsidR="003707E6" w:rsidRPr="000F0F71">
        <w:rPr>
          <w:rFonts w:ascii="標楷體" w:hAnsi="Arial" w:hint="eastAsia"/>
          <w:b/>
          <w:bCs/>
          <w:color w:val="000000" w:themeColor="text1"/>
          <w:kern w:val="0"/>
          <w:szCs w:val="36"/>
        </w:rPr>
        <w:t>且</w:t>
      </w:r>
      <w:r w:rsidR="00E70B64" w:rsidRPr="000F0F71">
        <w:rPr>
          <w:rFonts w:ascii="標楷體" w:hAnsi="Arial" w:hint="eastAsia"/>
          <w:b/>
          <w:bCs/>
          <w:color w:val="000000" w:themeColor="text1"/>
          <w:kern w:val="0"/>
          <w:szCs w:val="36"/>
        </w:rPr>
        <w:t>對</w:t>
      </w:r>
      <w:r w:rsidR="003707E6" w:rsidRPr="000F0F71">
        <w:rPr>
          <w:rFonts w:ascii="標楷體" w:hAnsi="Arial" w:hint="eastAsia"/>
          <w:b/>
          <w:bCs/>
          <w:color w:val="000000" w:themeColor="text1"/>
          <w:kern w:val="0"/>
          <w:szCs w:val="36"/>
        </w:rPr>
        <w:t>公司股東</w:t>
      </w:r>
      <w:r w:rsidRPr="000F0F71">
        <w:rPr>
          <w:rFonts w:ascii="標楷體" w:hAnsi="Arial" w:hint="eastAsia"/>
          <w:b/>
          <w:bCs/>
          <w:color w:val="000000" w:themeColor="text1"/>
          <w:kern w:val="0"/>
          <w:szCs w:val="36"/>
        </w:rPr>
        <w:t>權益</w:t>
      </w:r>
      <w:r w:rsidR="00E70B64" w:rsidRPr="000F0F71">
        <w:rPr>
          <w:rFonts w:ascii="標楷體" w:hAnsi="Arial" w:hint="eastAsia"/>
          <w:b/>
          <w:bCs/>
          <w:color w:val="000000" w:themeColor="text1"/>
          <w:kern w:val="0"/>
          <w:szCs w:val="36"/>
        </w:rPr>
        <w:t>具有</w:t>
      </w:r>
      <w:r w:rsidRPr="000F0F71">
        <w:rPr>
          <w:rFonts w:ascii="標楷體" w:hAnsi="Arial" w:hint="eastAsia"/>
          <w:b/>
          <w:bCs/>
          <w:color w:val="000000" w:themeColor="text1"/>
          <w:kern w:val="0"/>
          <w:szCs w:val="36"/>
        </w:rPr>
        <w:t>重要</w:t>
      </w:r>
      <w:r w:rsidR="00E70B64" w:rsidRPr="000F0F71">
        <w:rPr>
          <w:rFonts w:ascii="標楷體" w:hAnsi="Arial" w:hint="eastAsia"/>
          <w:b/>
          <w:bCs/>
          <w:color w:val="000000" w:themeColor="text1"/>
          <w:kern w:val="0"/>
          <w:szCs w:val="36"/>
        </w:rPr>
        <w:t>意義</w:t>
      </w:r>
      <w:r w:rsidR="003707E6" w:rsidRPr="000F0F71">
        <w:rPr>
          <w:rFonts w:ascii="標楷體" w:hAnsi="Arial" w:hint="eastAsia"/>
          <w:b/>
          <w:bCs/>
          <w:color w:val="000000" w:themeColor="text1"/>
          <w:kern w:val="0"/>
          <w:szCs w:val="36"/>
        </w:rPr>
        <w:t>，</w:t>
      </w:r>
      <w:r w:rsidRPr="000F0F71">
        <w:rPr>
          <w:rFonts w:ascii="標楷體" w:hAnsi="Arial" w:hint="eastAsia"/>
          <w:b/>
          <w:bCs/>
          <w:color w:val="000000" w:themeColor="text1"/>
          <w:kern w:val="0"/>
          <w:szCs w:val="36"/>
        </w:rPr>
        <w:t>該</w:t>
      </w:r>
      <w:r w:rsidR="007549A2" w:rsidRPr="000F0F71">
        <w:rPr>
          <w:rFonts w:ascii="標楷體" w:hAnsi="Arial" w:hint="eastAsia"/>
          <w:b/>
          <w:bCs/>
          <w:color w:val="000000" w:themeColor="text1"/>
          <w:kern w:val="0"/>
          <w:szCs w:val="36"/>
        </w:rPr>
        <w:t>部未循法制作業程序，逕將93年3月8日個案答復民眾之函文，</w:t>
      </w:r>
      <w:r w:rsidR="00E70B64" w:rsidRPr="000F0F71">
        <w:rPr>
          <w:rFonts w:ascii="標楷體" w:hAnsi="Arial" w:hint="eastAsia"/>
          <w:b/>
          <w:bCs/>
          <w:color w:val="000000" w:themeColor="text1"/>
          <w:kern w:val="0"/>
          <w:szCs w:val="36"/>
        </w:rPr>
        <w:t>下達</w:t>
      </w:r>
      <w:r w:rsidR="007549A2" w:rsidRPr="000F0F71">
        <w:rPr>
          <w:rFonts w:ascii="標楷體" w:hAnsi="Arial" w:hint="eastAsia"/>
          <w:b/>
          <w:bCs/>
          <w:color w:val="000000" w:themeColor="text1"/>
          <w:kern w:val="0"/>
          <w:szCs w:val="36"/>
        </w:rPr>
        <w:t>作為</w:t>
      </w:r>
      <w:r w:rsidR="00E70B64" w:rsidRPr="000F0F71">
        <w:rPr>
          <w:rFonts w:ascii="標楷體" w:hAnsi="Arial" w:hint="eastAsia"/>
          <w:b/>
          <w:bCs/>
          <w:color w:val="000000" w:themeColor="text1"/>
          <w:kern w:val="0"/>
          <w:szCs w:val="36"/>
        </w:rPr>
        <w:t>各機關</w:t>
      </w:r>
      <w:r w:rsidR="007549A2" w:rsidRPr="000F0F71">
        <w:rPr>
          <w:rFonts w:ascii="標楷體" w:hAnsi="Arial" w:hint="eastAsia"/>
          <w:b/>
          <w:bCs/>
          <w:color w:val="000000" w:themeColor="text1"/>
          <w:kern w:val="0"/>
          <w:szCs w:val="36"/>
        </w:rPr>
        <w:t>通案適用之依據，並於商工法規查詢系統中公告為公司法第196條董</w:t>
      </w:r>
      <w:r w:rsidR="009B4BC0" w:rsidRPr="000F0F71">
        <w:rPr>
          <w:rFonts w:ascii="標楷體" w:hAnsi="Arial" w:hint="eastAsia"/>
          <w:b/>
          <w:bCs/>
          <w:color w:val="000000" w:themeColor="text1"/>
          <w:kern w:val="0"/>
          <w:szCs w:val="36"/>
        </w:rPr>
        <w:t>事</w:t>
      </w:r>
      <w:r w:rsidR="007549A2" w:rsidRPr="000F0F71">
        <w:rPr>
          <w:rFonts w:ascii="標楷體" w:hAnsi="Arial" w:hint="eastAsia"/>
          <w:b/>
          <w:bCs/>
          <w:color w:val="000000" w:themeColor="text1"/>
          <w:kern w:val="0"/>
          <w:szCs w:val="36"/>
        </w:rPr>
        <w:t>報酬疑義之函釋，顯失妥慎：</w:t>
      </w:r>
    </w:p>
    <w:p w:rsidR="007549A2"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w:t>
      </w:r>
      <w:r w:rsidR="00B1210A" w:rsidRPr="000F0F71">
        <w:rPr>
          <w:rFonts w:ascii="標楷體" w:hAnsi="Arial" w:hint="eastAsia"/>
          <w:bCs/>
          <w:color w:val="000000" w:themeColor="text1"/>
          <w:kern w:val="0"/>
          <w:szCs w:val="36"/>
        </w:rPr>
        <w:t>按</w:t>
      </w:r>
      <w:r w:rsidR="00E70B64" w:rsidRPr="000F0F71">
        <w:rPr>
          <w:rFonts w:ascii="標楷體" w:hAnsi="Arial" w:hint="eastAsia"/>
          <w:bCs/>
          <w:color w:val="000000" w:themeColor="text1"/>
          <w:kern w:val="0"/>
          <w:szCs w:val="36"/>
        </w:rPr>
        <w:t>行政規則</w:t>
      </w:r>
      <w:r w:rsidR="00A27969" w:rsidRPr="000F0F71">
        <w:rPr>
          <w:rFonts w:ascii="標楷體" w:hAnsi="Arial" w:hint="eastAsia"/>
          <w:bCs/>
          <w:color w:val="000000" w:themeColor="text1"/>
          <w:kern w:val="0"/>
          <w:szCs w:val="36"/>
        </w:rPr>
        <w:t>基於制定機關之「指示權」，其拘束力不但及於行政主體之內，且</w:t>
      </w:r>
      <w:r w:rsidR="00E70B64" w:rsidRPr="000F0F71">
        <w:rPr>
          <w:rFonts w:ascii="標楷體" w:hAnsi="Arial" w:hint="eastAsia"/>
          <w:bCs/>
          <w:color w:val="000000" w:themeColor="text1"/>
          <w:kern w:val="0"/>
          <w:szCs w:val="36"/>
        </w:rPr>
        <w:t>可能同時對人民</w:t>
      </w:r>
      <w:r w:rsidR="00A27969" w:rsidRPr="000F0F71">
        <w:rPr>
          <w:rFonts w:ascii="標楷體" w:hAnsi="Arial" w:hint="eastAsia"/>
          <w:bCs/>
          <w:color w:val="000000" w:themeColor="text1"/>
          <w:kern w:val="0"/>
          <w:szCs w:val="36"/>
        </w:rPr>
        <w:t>發</w:t>
      </w:r>
      <w:r w:rsidR="00A27969" w:rsidRPr="000F0F71">
        <w:rPr>
          <w:rFonts w:ascii="標楷體" w:hAnsi="Arial" w:hint="eastAsia"/>
          <w:bCs/>
          <w:color w:val="000000" w:themeColor="text1"/>
          <w:kern w:val="0"/>
          <w:szCs w:val="36"/>
        </w:rPr>
        <w:lastRenderedPageBreak/>
        <w:t>生</w:t>
      </w:r>
      <w:r w:rsidR="00E70B64" w:rsidRPr="000F0F71">
        <w:rPr>
          <w:rFonts w:ascii="標楷體" w:hAnsi="Arial" w:hint="eastAsia"/>
          <w:bCs/>
          <w:color w:val="000000" w:themeColor="text1"/>
          <w:kern w:val="0"/>
          <w:szCs w:val="36"/>
        </w:rPr>
        <w:t>重要的意義。</w:t>
      </w:r>
      <w:r w:rsidR="004E5277" w:rsidRPr="000F0F71">
        <w:rPr>
          <w:rFonts w:ascii="標楷體" w:hAnsi="Arial" w:hint="eastAsia"/>
          <w:bCs/>
          <w:color w:val="000000" w:themeColor="text1"/>
          <w:kern w:val="0"/>
          <w:szCs w:val="36"/>
        </w:rPr>
        <w:t>經查詢經濟部商工行政法規系統</w:t>
      </w:r>
      <w:r w:rsidR="004E5277" w:rsidRPr="000F0F71">
        <w:rPr>
          <w:rFonts w:ascii="標楷體" w:hAnsi="Arial"/>
          <w:bCs/>
          <w:color w:val="000000" w:themeColor="text1"/>
          <w:kern w:val="0"/>
          <w:szCs w:val="36"/>
          <w:vertAlign w:val="superscript"/>
        </w:rPr>
        <w:footnoteReference w:id="1"/>
      </w:r>
      <w:r w:rsidR="004E5277" w:rsidRPr="000F0F71">
        <w:rPr>
          <w:rFonts w:ascii="標楷體" w:hAnsi="Arial" w:hint="eastAsia"/>
          <w:bCs/>
          <w:color w:val="000000" w:themeColor="text1"/>
          <w:kern w:val="0"/>
          <w:szCs w:val="36"/>
        </w:rPr>
        <w:t>，註明該部93年3月8日函係公司法第196條「董事報酬疑義」之函釋。</w:t>
      </w:r>
      <w:r w:rsidR="00415358" w:rsidRPr="000F0F71">
        <w:rPr>
          <w:rFonts w:ascii="標楷體" w:hAnsi="Arial" w:hint="eastAsia"/>
          <w:bCs/>
          <w:color w:val="000000" w:themeColor="text1"/>
          <w:kern w:val="0"/>
          <w:szCs w:val="36"/>
        </w:rPr>
        <w:t>另</w:t>
      </w:r>
      <w:r w:rsidR="00E70B64" w:rsidRPr="000F0F71">
        <w:rPr>
          <w:rFonts w:ascii="標楷體" w:hAnsi="Arial" w:hint="eastAsia"/>
          <w:bCs/>
          <w:color w:val="000000" w:themeColor="text1"/>
          <w:kern w:val="0"/>
          <w:szCs w:val="36"/>
        </w:rPr>
        <w:t>依金管會提供105年度稅後虧損但平均董事報酬(不含酬勞)不減反增之</w:t>
      </w:r>
      <w:r w:rsidR="000339D3">
        <w:rPr>
          <w:rFonts w:ascii="標楷體" w:hAnsi="Arial" w:hint="eastAsia"/>
          <w:bCs/>
          <w:color w:val="000000" w:themeColor="text1"/>
          <w:kern w:val="0"/>
          <w:szCs w:val="36"/>
        </w:rPr>
        <w:t>74</w:t>
      </w:r>
      <w:r w:rsidR="00E70B64" w:rsidRPr="000F0F71">
        <w:rPr>
          <w:rFonts w:ascii="標楷體" w:hAnsi="Arial" w:hint="eastAsia"/>
          <w:bCs/>
          <w:color w:val="000000" w:themeColor="text1"/>
          <w:kern w:val="0"/>
          <w:szCs w:val="36"/>
        </w:rPr>
        <w:t>家</w:t>
      </w:r>
      <w:r w:rsidR="009463C5" w:rsidRPr="000F0F71">
        <w:rPr>
          <w:rFonts w:ascii="標楷體" w:hAnsi="Arial" w:hint="eastAsia"/>
          <w:bCs/>
          <w:color w:val="000000" w:themeColor="text1"/>
          <w:kern w:val="0"/>
          <w:szCs w:val="36"/>
        </w:rPr>
        <w:t>上</w:t>
      </w:r>
      <w:r w:rsidR="00E4381A" w:rsidRPr="000F0F71">
        <w:rPr>
          <w:rFonts w:ascii="標楷體" w:hAnsi="Arial" w:hint="eastAsia"/>
          <w:bCs/>
          <w:color w:val="000000" w:themeColor="text1"/>
          <w:kern w:val="0"/>
          <w:szCs w:val="36"/>
        </w:rPr>
        <w:t>市（</w:t>
      </w:r>
      <w:r w:rsidR="009463C5" w:rsidRPr="000F0F71">
        <w:rPr>
          <w:rFonts w:ascii="標楷體" w:hAnsi="Arial" w:hint="eastAsia"/>
          <w:bCs/>
          <w:color w:val="000000" w:themeColor="text1"/>
          <w:kern w:val="0"/>
          <w:szCs w:val="36"/>
        </w:rPr>
        <w:t>櫃</w:t>
      </w:r>
      <w:r w:rsidR="00E4381A" w:rsidRPr="000F0F71">
        <w:rPr>
          <w:rFonts w:ascii="標楷體" w:hAnsi="Arial" w:hint="eastAsia"/>
          <w:bCs/>
          <w:color w:val="000000" w:themeColor="text1"/>
          <w:kern w:val="0"/>
          <w:szCs w:val="36"/>
        </w:rPr>
        <w:t>）</w:t>
      </w:r>
      <w:r w:rsidR="00E70B64" w:rsidRPr="000F0F71">
        <w:rPr>
          <w:rFonts w:ascii="標楷體" w:hAnsi="Arial" w:hint="eastAsia"/>
          <w:bCs/>
          <w:color w:val="000000" w:themeColor="text1"/>
          <w:kern w:val="0"/>
          <w:szCs w:val="36"/>
        </w:rPr>
        <w:t>公司中，除2家於章程明訂上限標準，於特定金額內授權董事會依一定之標準支給外，其他74家公司就董事報酬之決定，皆於章程中載明「授權董事會……參酌國內同業水準議定」</w:t>
      </w:r>
      <w:r w:rsidR="00415358" w:rsidRPr="000F0F71">
        <w:rPr>
          <w:rFonts w:ascii="標楷體" w:hAnsi="Arial" w:hint="eastAsia"/>
          <w:bCs/>
          <w:color w:val="000000" w:themeColor="text1"/>
          <w:kern w:val="0"/>
          <w:szCs w:val="36"/>
        </w:rPr>
        <w:t>，</w:t>
      </w:r>
      <w:r w:rsidR="00A27969" w:rsidRPr="000F0F71">
        <w:rPr>
          <w:rFonts w:ascii="標楷體" w:hAnsi="Arial" w:hint="eastAsia"/>
          <w:bCs/>
          <w:color w:val="000000" w:themeColor="text1"/>
          <w:kern w:val="0"/>
          <w:szCs w:val="36"/>
        </w:rPr>
        <w:t>顯示</w:t>
      </w:r>
      <w:r w:rsidR="00415358" w:rsidRPr="000F0F71">
        <w:rPr>
          <w:rFonts w:ascii="標楷體" w:hAnsi="Arial" w:hint="eastAsia"/>
          <w:bCs/>
          <w:color w:val="000000" w:themeColor="text1"/>
          <w:kern w:val="0"/>
          <w:szCs w:val="36"/>
        </w:rPr>
        <w:t>全國</w:t>
      </w:r>
      <w:r w:rsidR="00E70B64" w:rsidRPr="000F0F71">
        <w:rPr>
          <w:rFonts w:ascii="標楷體" w:hAnsi="Arial" w:hint="eastAsia"/>
          <w:bCs/>
          <w:color w:val="000000" w:themeColor="text1"/>
          <w:kern w:val="0"/>
          <w:szCs w:val="36"/>
        </w:rPr>
        <w:t>公司</w:t>
      </w:r>
      <w:r w:rsidR="00415358" w:rsidRPr="000F0F71">
        <w:rPr>
          <w:rFonts w:ascii="標楷體" w:hAnsi="Arial" w:hint="eastAsia"/>
          <w:bCs/>
          <w:color w:val="000000" w:themeColor="text1"/>
          <w:kern w:val="0"/>
          <w:szCs w:val="36"/>
        </w:rPr>
        <w:t>普遍</w:t>
      </w:r>
      <w:r w:rsidR="00A27969" w:rsidRPr="000F0F71">
        <w:rPr>
          <w:rFonts w:ascii="標楷體" w:hAnsi="Arial" w:hint="eastAsia"/>
          <w:bCs/>
          <w:color w:val="000000" w:themeColor="text1"/>
          <w:kern w:val="0"/>
          <w:szCs w:val="36"/>
        </w:rPr>
        <w:t>依據</w:t>
      </w:r>
      <w:r w:rsidR="00E70B64" w:rsidRPr="000F0F71">
        <w:rPr>
          <w:rFonts w:ascii="標楷體" w:hAnsi="Arial" w:hint="eastAsia"/>
          <w:bCs/>
          <w:color w:val="000000" w:themeColor="text1"/>
          <w:kern w:val="0"/>
          <w:szCs w:val="36"/>
        </w:rPr>
        <w:t>上開函釋，</w:t>
      </w:r>
      <w:r w:rsidR="00415358" w:rsidRPr="000F0F71">
        <w:rPr>
          <w:rFonts w:ascii="標楷體" w:hAnsi="Arial" w:hint="eastAsia"/>
          <w:bCs/>
          <w:color w:val="000000" w:themeColor="text1"/>
          <w:kern w:val="0"/>
          <w:szCs w:val="36"/>
        </w:rPr>
        <w:t>以「同業水準」作為章程</w:t>
      </w:r>
      <w:r w:rsidR="00A27969" w:rsidRPr="000F0F71">
        <w:rPr>
          <w:rFonts w:ascii="標楷體" w:hAnsi="Arial" w:hint="eastAsia"/>
          <w:bCs/>
          <w:color w:val="000000" w:themeColor="text1"/>
          <w:kern w:val="0"/>
          <w:szCs w:val="36"/>
        </w:rPr>
        <w:t>授權董事會</w:t>
      </w:r>
      <w:r w:rsidR="00415358" w:rsidRPr="000F0F71">
        <w:rPr>
          <w:rFonts w:ascii="標楷體" w:hAnsi="Arial" w:hint="eastAsia"/>
          <w:bCs/>
          <w:color w:val="000000" w:themeColor="text1"/>
          <w:kern w:val="0"/>
          <w:szCs w:val="36"/>
        </w:rPr>
        <w:t>議定</w:t>
      </w:r>
      <w:r w:rsidR="008631FD" w:rsidRPr="000F0F71">
        <w:rPr>
          <w:rFonts w:ascii="標楷體" w:hAnsi="Arial" w:hint="eastAsia"/>
          <w:bCs/>
          <w:color w:val="000000" w:themeColor="text1"/>
          <w:kern w:val="0"/>
          <w:szCs w:val="36"/>
        </w:rPr>
        <w:t>董事</w:t>
      </w:r>
      <w:r w:rsidR="00415358" w:rsidRPr="000F0F71">
        <w:rPr>
          <w:rFonts w:ascii="標楷體" w:hAnsi="Arial" w:hint="eastAsia"/>
          <w:bCs/>
          <w:color w:val="000000" w:themeColor="text1"/>
          <w:kern w:val="0"/>
          <w:szCs w:val="36"/>
        </w:rPr>
        <w:t>報酬之限制</w:t>
      </w:r>
      <w:r w:rsidR="00A27969" w:rsidRPr="000F0F71">
        <w:rPr>
          <w:rFonts w:ascii="標楷體" w:hAnsi="Arial" w:hint="eastAsia"/>
          <w:bCs/>
          <w:color w:val="000000" w:themeColor="text1"/>
          <w:kern w:val="0"/>
          <w:szCs w:val="36"/>
        </w:rPr>
        <w:t>。</w:t>
      </w:r>
      <w:r w:rsidR="00E70B64" w:rsidRPr="000F0F71">
        <w:rPr>
          <w:rFonts w:ascii="標楷體" w:hAnsi="Arial" w:hint="eastAsia"/>
          <w:bCs/>
          <w:color w:val="000000" w:themeColor="text1"/>
          <w:kern w:val="0"/>
          <w:szCs w:val="36"/>
        </w:rPr>
        <w:t>司法判決亦援引該函釋作為主管機關對公司法第196條之解釋性行政規則</w:t>
      </w:r>
      <w:r w:rsidR="00A27969" w:rsidRPr="000F0F71">
        <w:rPr>
          <w:rFonts w:ascii="標楷體" w:hAnsi="Arial" w:hint="eastAsia"/>
          <w:bCs/>
          <w:color w:val="000000" w:themeColor="text1"/>
          <w:kern w:val="0"/>
          <w:szCs w:val="36"/>
        </w:rPr>
        <w:t>（參見</w:t>
      </w:r>
      <w:r w:rsidR="004E5277" w:rsidRPr="000F0F71">
        <w:rPr>
          <w:rFonts w:ascii="標楷體" w:hAnsi="Arial" w:hint="eastAsia"/>
          <w:bCs/>
          <w:color w:val="000000" w:themeColor="text1"/>
          <w:kern w:val="0"/>
          <w:szCs w:val="36"/>
        </w:rPr>
        <w:t>臺灣高等法院花蓮分院98年度撤更(一)字第1 號民事判決</w:t>
      </w:r>
      <w:r w:rsidR="004E5277" w:rsidRPr="000F0F71">
        <w:rPr>
          <w:rStyle w:val="af2"/>
          <w:rFonts w:ascii="標楷體" w:hAnsi="Arial"/>
          <w:bCs/>
          <w:color w:val="000000" w:themeColor="text1"/>
          <w:kern w:val="0"/>
          <w:szCs w:val="36"/>
        </w:rPr>
        <w:footnoteReference w:id="2"/>
      </w:r>
      <w:r w:rsidR="00A27969" w:rsidRPr="000F0F71">
        <w:rPr>
          <w:rFonts w:ascii="標楷體" w:hAnsi="Arial" w:hint="eastAsia"/>
          <w:bCs/>
          <w:color w:val="000000" w:themeColor="text1"/>
          <w:kern w:val="0"/>
          <w:szCs w:val="36"/>
        </w:rPr>
        <w:t>）</w:t>
      </w:r>
      <w:r w:rsidR="00E70B64" w:rsidRPr="000F0F71">
        <w:rPr>
          <w:rFonts w:ascii="標楷體" w:hAnsi="Arial" w:hint="eastAsia"/>
          <w:bCs/>
          <w:color w:val="000000" w:themeColor="text1"/>
          <w:kern w:val="0"/>
          <w:szCs w:val="36"/>
        </w:rPr>
        <w:t>，足見經濟部上開函釋具有實質法源之效力。</w:t>
      </w:r>
      <w:r w:rsidR="00900268" w:rsidRPr="000F0F71">
        <w:rPr>
          <w:rFonts w:ascii="標楷體" w:hAnsi="Arial" w:hint="eastAsia"/>
          <w:bCs/>
          <w:color w:val="000000" w:themeColor="text1"/>
          <w:kern w:val="0"/>
          <w:szCs w:val="36"/>
        </w:rPr>
        <w:t>然</w:t>
      </w:r>
      <w:r w:rsidRPr="000F0F71">
        <w:rPr>
          <w:rFonts w:ascii="標楷體" w:hAnsi="Arial" w:hint="eastAsia"/>
          <w:bCs/>
          <w:color w:val="000000" w:themeColor="text1"/>
          <w:kern w:val="0"/>
          <w:szCs w:val="36"/>
        </w:rPr>
        <w:t>卷查該函釋做成前，僅由經濟部商業司業務承辦人員擬稿，上陳司長核定後判行，並未</w:t>
      </w:r>
      <w:r w:rsidR="00C37FAA" w:rsidRPr="000F0F71">
        <w:rPr>
          <w:rFonts w:ascii="標楷體" w:hAnsi="Arial" w:hint="eastAsia"/>
          <w:bCs/>
          <w:color w:val="000000" w:themeColor="text1"/>
          <w:kern w:val="0"/>
          <w:szCs w:val="36"/>
        </w:rPr>
        <w:t>就所涉疑義之法條及疑點</w:t>
      </w:r>
      <w:r w:rsidR="004E5277" w:rsidRPr="000F0F71">
        <w:rPr>
          <w:rFonts w:ascii="標楷體" w:hAnsi="Arial" w:hint="eastAsia"/>
          <w:bCs/>
          <w:color w:val="000000" w:themeColor="text1"/>
          <w:kern w:val="0"/>
          <w:szCs w:val="36"/>
        </w:rPr>
        <w:t>，</w:t>
      </w:r>
      <w:r w:rsidR="00C37FAA" w:rsidRPr="000F0F71">
        <w:rPr>
          <w:rFonts w:ascii="標楷體" w:hAnsi="Arial" w:hint="eastAsia"/>
          <w:bCs/>
          <w:color w:val="000000" w:themeColor="text1"/>
          <w:kern w:val="0"/>
          <w:szCs w:val="36"/>
        </w:rPr>
        <w:t>研析各種疑見之得失、擇採適法可行之見解等，</w:t>
      </w:r>
      <w:r w:rsidRPr="000F0F71">
        <w:rPr>
          <w:rFonts w:ascii="標楷體" w:hAnsi="Arial" w:hint="eastAsia"/>
          <w:bCs/>
          <w:color w:val="000000" w:themeColor="text1"/>
          <w:kern w:val="0"/>
          <w:szCs w:val="36"/>
        </w:rPr>
        <w:t>會請法制單位表示意見</w:t>
      </w:r>
      <w:r w:rsidR="00900268"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而經濟部將該函下達及公告為通案處理公司法第196條董</w:t>
      </w:r>
      <w:r w:rsidR="00C309E7" w:rsidRPr="000F0F71">
        <w:rPr>
          <w:rFonts w:ascii="標楷體" w:hAnsi="Arial" w:hint="eastAsia"/>
          <w:bCs/>
          <w:color w:val="000000" w:themeColor="text1"/>
          <w:kern w:val="0"/>
          <w:szCs w:val="36"/>
        </w:rPr>
        <w:t>事</w:t>
      </w:r>
      <w:r w:rsidRPr="000F0F71">
        <w:rPr>
          <w:rFonts w:ascii="標楷體" w:hAnsi="Arial" w:hint="eastAsia"/>
          <w:bCs/>
          <w:color w:val="000000" w:themeColor="text1"/>
          <w:kern w:val="0"/>
          <w:szCs w:val="36"/>
        </w:rPr>
        <w:t>報酬疑義之函釋，亦查無</w:t>
      </w:r>
      <w:r w:rsidR="00C37FAA" w:rsidRPr="000F0F71">
        <w:rPr>
          <w:rFonts w:ascii="標楷體" w:hAnsi="Arial" w:hint="eastAsia"/>
          <w:bCs/>
          <w:color w:val="000000" w:themeColor="text1"/>
          <w:kern w:val="0"/>
          <w:szCs w:val="36"/>
        </w:rPr>
        <w:t>簽報首長簽署及刊登公報、介接公報資訊</w:t>
      </w:r>
      <w:r w:rsidR="004E5277" w:rsidRPr="000F0F71">
        <w:rPr>
          <w:rFonts w:ascii="標楷體" w:hAnsi="Arial" w:hint="eastAsia"/>
          <w:bCs/>
          <w:color w:val="000000" w:themeColor="text1"/>
          <w:kern w:val="0"/>
          <w:szCs w:val="36"/>
        </w:rPr>
        <w:t>系統</w:t>
      </w:r>
      <w:r w:rsidR="00B1210A" w:rsidRPr="000F0F71">
        <w:rPr>
          <w:rFonts w:ascii="標楷體" w:hAnsi="Arial" w:hint="eastAsia"/>
          <w:bCs/>
          <w:color w:val="000000" w:themeColor="text1"/>
          <w:kern w:val="0"/>
          <w:szCs w:val="36"/>
        </w:rPr>
        <w:t>及全國法規資料庫</w:t>
      </w:r>
      <w:r w:rsidRPr="000F0F71">
        <w:rPr>
          <w:rFonts w:ascii="標楷體" w:hAnsi="Arial" w:hint="eastAsia"/>
          <w:bCs/>
          <w:color w:val="000000" w:themeColor="text1"/>
          <w:kern w:val="0"/>
          <w:szCs w:val="36"/>
        </w:rPr>
        <w:t>之</w:t>
      </w:r>
      <w:r w:rsidR="00C37FAA" w:rsidRPr="000F0F71">
        <w:rPr>
          <w:rFonts w:ascii="標楷體" w:hAnsi="Arial" w:hint="eastAsia"/>
          <w:bCs/>
          <w:color w:val="000000" w:themeColor="text1"/>
          <w:kern w:val="0"/>
          <w:szCs w:val="36"/>
        </w:rPr>
        <w:t>紀錄</w:t>
      </w:r>
      <w:r w:rsidR="00104FA5" w:rsidRPr="000F0F71">
        <w:rPr>
          <w:rFonts w:ascii="標楷體" w:hAnsi="Arial" w:hint="eastAsia"/>
          <w:bCs/>
          <w:color w:val="000000" w:themeColor="text1"/>
          <w:kern w:val="0"/>
          <w:szCs w:val="36"/>
        </w:rPr>
        <w:t>，顯未循法制作業規定審慎行之</w:t>
      </w:r>
      <w:r w:rsidR="00D56C18" w:rsidRPr="000F0F71">
        <w:rPr>
          <w:rFonts w:ascii="標楷體" w:hAnsi="Arial" w:hint="eastAsia"/>
          <w:bCs/>
          <w:color w:val="000000" w:themeColor="text1"/>
          <w:kern w:val="0"/>
          <w:szCs w:val="36"/>
        </w:rPr>
        <w:t>，核有瑕疵</w:t>
      </w:r>
      <w:r w:rsidRPr="000F0F71">
        <w:rPr>
          <w:rFonts w:ascii="標楷體" w:hAnsi="Arial" w:hint="eastAsia"/>
          <w:bCs/>
          <w:color w:val="000000" w:themeColor="text1"/>
          <w:kern w:val="0"/>
          <w:szCs w:val="36"/>
        </w:rPr>
        <w:t>。</w:t>
      </w:r>
    </w:p>
    <w:p w:rsidR="007549A2" w:rsidRPr="000F0F71" w:rsidRDefault="007549A2" w:rsidP="007549A2">
      <w:pPr>
        <w:numPr>
          <w:ilvl w:val="2"/>
          <w:numId w:val="1"/>
        </w:numPr>
        <w:kinsoku w:val="0"/>
        <w:ind w:left="1360" w:hanging="680"/>
        <w:jc w:val="both"/>
        <w:outlineLvl w:val="2"/>
        <w:rPr>
          <w:rFonts w:ascii="標楷體" w:hAnsi="Arial"/>
          <w:b/>
          <w:bCs/>
          <w:color w:val="000000" w:themeColor="text1"/>
          <w:kern w:val="0"/>
          <w:szCs w:val="36"/>
        </w:rPr>
      </w:pPr>
      <w:r w:rsidRPr="000F0F71">
        <w:rPr>
          <w:rFonts w:ascii="標楷體" w:hAnsi="Arial" w:hint="eastAsia"/>
          <w:b/>
          <w:bCs/>
          <w:color w:val="000000" w:themeColor="text1"/>
          <w:kern w:val="0"/>
          <w:szCs w:val="36"/>
        </w:rPr>
        <w:t>經濟部於本院詢問時，表示將妥慎研議並以行政規則發布，允應落實執行，以符法制：</w:t>
      </w:r>
    </w:p>
    <w:p w:rsidR="007549A2"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綜上，經濟部雖認為93年3月8日函係函復民眾個案疑義，僅屬行政法上觀念通知。惟該部為</w:t>
      </w:r>
      <w:r w:rsidRPr="000F0F71">
        <w:rPr>
          <w:rFonts w:ascii="標楷體" w:hAnsi="Arial" w:hint="eastAsia"/>
          <w:bCs/>
          <w:color w:val="000000" w:themeColor="text1"/>
          <w:kern w:val="0"/>
          <w:szCs w:val="36"/>
        </w:rPr>
        <w:lastRenderedPageBreak/>
        <w:t>公司法主管機關，公司法</w:t>
      </w:r>
      <w:r w:rsidR="00415358" w:rsidRPr="000F0F71">
        <w:rPr>
          <w:rFonts w:ascii="標楷體" w:hAnsi="Arial" w:hint="eastAsia"/>
          <w:bCs/>
          <w:color w:val="000000" w:themeColor="text1"/>
          <w:kern w:val="0"/>
          <w:szCs w:val="36"/>
        </w:rPr>
        <w:t>有關</w:t>
      </w:r>
      <w:r w:rsidR="008631FD" w:rsidRPr="000F0F71">
        <w:rPr>
          <w:rFonts w:ascii="標楷體" w:hAnsi="Arial" w:hint="eastAsia"/>
          <w:bCs/>
          <w:color w:val="000000" w:themeColor="text1"/>
          <w:kern w:val="0"/>
          <w:szCs w:val="36"/>
        </w:rPr>
        <w:t>董事</w:t>
      </w:r>
      <w:r w:rsidR="00415358" w:rsidRPr="000F0F71">
        <w:rPr>
          <w:rFonts w:ascii="標楷體" w:hAnsi="Arial" w:hint="eastAsia"/>
          <w:bCs/>
          <w:color w:val="000000" w:themeColor="text1"/>
          <w:kern w:val="0"/>
          <w:szCs w:val="36"/>
        </w:rPr>
        <w:t>報酬之函釋，對公司股東具有重要之意義</w:t>
      </w:r>
      <w:r w:rsidRPr="000F0F71">
        <w:rPr>
          <w:rFonts w:ascii="標楷體" w:hAnsi="Arial" w:hint="eastAsia"/>
          <w:bCs/>
          <w:color w:val="000000" w:themeColor="text1"/>
          <w:kern w:val="0"/>
          <w:szCs w:val="36"/>
        </w:rPr>
        <w:t>，自應循法制作業程序，妥慎研究確認，並以行政程序法第 159條第2項第2款所定之「解釋性行政規則」發布之。該部逕將個案答復民眾之函文，對內下達為通案適用之依據，</w:t>
      </w:r>
      <w:r w:rsidR="00415358" w:rsidRPr="000F0F71">
        <w:rPr>
          <w:rFonts w:ascii="標楷體" w:hAnsi="Arial" w:hint="eastAsia"/>
          <w:bCs/>
          <w:color w:val="000000" w:themeColor="text1"/>
          <w:kern w:val="0"/>
          <w:szCs w:val="36"/>
        </w:rPr>
        <w:t>對外於商工法規查詢系統中公告為公司法第196條</w:t>
      </w:r>
      <w:r w:rsidR="008631FD" w:rsidRPr="000F0F71">
        <w:rPr>
          <w:rFonts w:ascii="標楷體" w:hAnsi="Arial" w:hint="eastAsia"/>
          <w:bCs/>
          <w:color w:val="000000" w:themeColor="text1"/>
          <w:kern w:val="0"/>
          <w:szCs w:val="36"/>
        </w:rPr>
        <w:t>董事</w:t>
      </w:r>
      <w:r w:rsidR="00415358" w:rsidRPr="000F0F71">
        <w:rPr>
          <w:rFonts w:ascii="標楷體" w:hAnsi="Arial" w:hint="eastAsia"/>
          <w:bCs/>
          <w:color w:val="000000" w:themeColor="text1"/>
          <w:kern w:val="0"/>
          <w:szCs w:val="36"/>
        </w:rPr>
        <w:t>報酬疑義之函釋，未踐行由其首長簽署並發布，及介接資料至公報資訊網及全國法規資料庫，核有瑕疵</w:t>
      </w:r>
      <w:r w:rsidRPr="000F0F71">
        <w:rPr>
          <w:rFonts w:ascii="標楷體" w:hAnsi="Arial" w:hint="eastAsia"/>
          <w:bCs/>
          <w:color w:val="000000" w:themeColor="text1"/>
          <w:kern w:val="0"/>
          <w:szCs w:val="36"/>
        </w:rPr>
        <w:t>。而實務上公司普遍依據經濟部93年3月8月函釋內容，於章程內訂定授權董事會依「同業通常水準」決定</w:t>
      </w:r>
      <w:r w:rsidR="008631FD" w:rsidRPr="000F0F71">
        <w:rPr>
          <w:rFonts w:ascii="標楷體" w:hAnsi="Arial" w:hint="eastAsia"/>
          <w:bCs/>
          <w:color w:val="000000" w:themeColor="text1"/>
          <w:kern w:val="0"/>
          <w:szCs w:val="36"/>
        </w:rPr>
        <w:t>董事</w:t>
      </w:r>
      <w:r w:rsidRPr="000F0F71">
        <w:rPr>
          <w:rFonts w:ascii="標楷體" w:hAnsi="Arial" w:hint="eastAsia"/>
          <w:bCs/>
          <w:color w:val="000000" w:themeColor="text1"/>
          <w:kern w:val="0"/>
          <w:szCs w:val="36"/>
        </w:rPr>
        <w:t>報酬，足見該函釋已具有實質法源之地位。經濟部於本院約詢時，表示將重行檢視其必要性，考量發布正式之行政規則發布等語，允應落實執行，以符法制。</w:t>
      </w:r>
    </w:p>
    <w:p w:rsidR="007549A2" w:rsidRPr="000F0F71" w:rsidRDefault="007549A2" w:rsidP="007549A2">
      <w:pPr>
        <w:numPr>
          <w:ilvl w:val="1"/>
          <w:numId w:val="1"/>
        </w:numPr>
        <w:kinsoku w:val="0"/>
        <w:jc w:val="both"/>
        <w:outlineLvl w:val="1"/>
        <w:rPr>
          <w:rFonts w:ascii="標楷體" w:hAnsi="Arial"/>
          <w:b/>
          <w:bCs/>
          <w:color w:val="000000" w:themeColor="text1"/>
          <w:kern w:val="0"/>
          <w:szCs w:val="48"/>
        </w:rPr>
      </w:pPr>
      <w:r w:rsidRPr="000F0F71">
        <w:rPr>
          <w:rFonts w:ascii="標楷體" w:hAnsi="Arial" w:hint="eastAsia"/>
          <w:b/>
          <w:bCs/>
          <w:color w:val="000000" w:themeColor="text1"/>
          <w:kern w:val="0"/>
          <w:szCs w:val="48"/>
        </w:rPr>
        <w:t>公司法第196條第1項採股東會中心主義，如要求所有公司董</w:t>
      </w:r>
      <w:r w:rsidR="009B4BC0" w:rsidRPr="000F0F71">
        <w:rPr>
          <w:rFonts w:ascii="標楷體" w:hAnsi="Arial" w:hint="eastAsia"/>
          <w:b/>
          <w:bCs/>
          <w:color w:val="000000" w:themeColor="text1"/>
          <w:kern w:val="0"/>
          <w:szCs w:val="48"/>
        </w:rPr>
        <w:t>事報</w:t>
      </w:r>
      <w:r w:rsidRPr="000F0F71">
        <w:rPr>
          <w:rFonts w:ascii="標楷體" w:hAnsi="Arial" w:hint="eastAsia"/>
          <w:b/>
          <w:bCs/>
          <w:color w:val="000000" w:themeColor="text1"/>
          <w:kern w:val="0"/>
          <w:szCs w:val="48"/>
        </w:rPr>
        <w:t>酬之具體金額均須經股東會議定，固然不符合現代企業經營型態及實務運作，然該法條未否定得由章程訂明一定之限制，授權董事會議定之。經濟部上開函釋稱公司章程得以「同業通常水準」，作為授權董事會決定董</w:t>
      </w:r>
      <w:r w:rsidR="009B4BC0" w:rsidRPr="000F0F71">
        <w:rPr>
          <w:rFonts w:ascii="標楷體" w:hAnsi="Arial" w:hint="eastAsia"/>
          <w:b/>
          <w:bCs/>
          <w:color w:val="000000" w:themeColor="text1"/>
          <w:kern w:val="0"/>
          <w:szCs w:val="48"/>
        </w:rPr>
        <w:t>事</w:t>
      </w:r>
      <w:r w:rsidRPr="000F0F71">
        <w:rPr>
          <w:rFonts w:ascii="標楷體" w:hAnsi="Arial" w:hint="eastAsia"/>
          <w:b/>
          <w:bCs/>
          <w:color w:val="000000" w:themeColor="text1"/>
          <w:kern w:val="0"/>
          <w:szCs w:val="48"/>
        </w:rPr>
        <w:t>報酬之限制，諒係考量公司彈性決策，及簡化</w:t>
      </w:r>
      <w:r w:rsidR="009B4BC0"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48"/>
        </w:rPr>
        <w:t>報酬之決定程序</w:t>
      </w:r>
      <w:r w:rsidR="00B1210A" w:rsidRPr="000F0F71">
        <w:rPr>
          <w:rFonts w:ascii="標楷體" w:hAnsi="Arial" w:hint="eastAsia"/>
          <w:b/>
          <w:bCs/>
          <w:color w:val="000000" w:themeColor="text1"/>
          <w:kern w:val="0"/>
          <w:szCs w:val="48"/>
        </w:rPr>
        <w:t>之需要</w:t>
      </w:r>
      <w:r w:rsidRPr="000F0F71">
        <w:rPr>
          <w:rFonts w:ascii="標楷體" w:hAnsi="Arial" w:hint="eastAsia"/>
          <w:b/>
          <w:bCs/>
          <w:color w:val="000000" w:themeColor="text1"/>
          <w:kern w:val="0"/>
          <w:szCs w:val="48"/>
        </w:rPr>
        <w:t>。然而所謂「同業通常水準」過於空泛、抽象，不但未考量同業公司間資本額、經營模式、盈虧狀況之差異極大；未要求公司應考量</w:t>
      </w:r>
      <w:r w:rsidR="009B4BC0"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48"/>
        </w:rPr>
        <w:t>個人績效、貢獻程度、承擔之風險等因素；亦未引導公司建立議定</w:t>
      </w:r>
      <w:r w:rsidR="008631FD"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48"/>
        </w:rPr>
        <w:t>報酬之合理標準與機制，與公司治理原則殊有未合。經濟部允應邀集相關機關研議更為周延之限制，以落實公司法第196條之規範目的。</w:t>
      </w:r>
    </w:p>
    <w:p w:rsidR="007549A2" w:rsidRPr="000F0F71" w:rsidRDefault="007549A2" w:rsidP="007549A2">
      <w:pPr>
        <w:numPr>
          <w:ilvl w:val="2"/>
          <w:numId w:val="1"/>
        </w:numPr>
        <w:kinsoku w:val="0"/>
        <w:ind w:left="1360" w:hanging="680"/>
        <w:jc w:val="both"/>
        <w:outlineLvl w:val="2"/>
        <w:rPr>
          <w:rFonts w:ascii="標楷體" w:hAnsi="Arial"/>
          <w:b/>
          <w:bCs/>
          <w:color w:val="000000" w:themeColor="text1"/>
          <w:kern w:val="0"/>
          <w:szCs w:val="36"/>
        </w:rPr>
      </w:pPr>
      <w:r w:rsidRPr="000F0F71">
        <w:rPr>
          <w:rFonts w:ascii="標楷體" w:hAnsi="Arial" w:hint="eastAsia"/>
          <w:b/>
          <w:bCs/>
          <w:color w:val="000000" w:themeColor="text1"/>
          <w:kern w:val="0"/>
          <w:szCs w:val="36"/>
        </w:rPr>
        <w:t>本院諮詢專家學者，對於公司法第196條採股東會中心之立法政策是否妥適、法律規定與司法及行政</w:t>
      </w:r>
      <w:r w:rsidRPr="000F0F71">
        <w:rPr>
          <w:rFonts w:ascii="標楷體" w:hAnsi="Arial" w:hint="eastAsia"/>
          <w:b/>
          <w:bCs/>
          <w:color w:val="000000" w:themeColor="text1"/>
          <w:kern w:val="0"/>
          <w:szCs w:val="36"/>
        </w:rPr>
        <w:lastRenderedPageBreak/>
        <w:t>實務間所生之差異應如何調合等節，雖有不同之解讀，然均認為經濟部上揭函釋以「同業通常水準支給議定」，做為公司章程授權董事會議之唯一限制，過於抽象、空泛，有重行研釋之必要：</w:t>
      </w:r>
    </w:p>
    <w:p w:rsidR="007549A2"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本院於106年6月6日辦理諮詢會議，邀請政治大學法學院林院長</w:t>
      </w:r>
      <w:r w:rsidR="001744BB">
        <w:rPr>
          <w:rFonts w:ascii="標楷體" w:hAnsi="標楷體" w:hint="eastAsia"/>
          <w:bCs/>
          <w:color w:val="000000" w:themeColor="text1"/>
          <w:kern w:val="0"/>
          <w:szCs w:val="36"/>
        </w:rPr>
        <w:t>○○</w:t>
      </w:r>
      <w:r w:rsidRPr="000F0F71">
        <w:rPr>
          <w:rFonts w:ascii="標楷體" w:hAnsi="Arial" w:hint="eastAsia"/>
          <w:bCs/>
          <w:color w:val="000000" w:themeColor="text1"/>
          <w:kern w:val="0"/>
          <w:szCs w:val="36"/>
        </w:rPr>
        <w:t>、輔仁大學財經法律學系郭教授</w:t>
      </w:r>
      <w:r w:rsidR="001744BB" w:rsidRPr="001744BB">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、臺灣大學法學院邵教授</w:t>
      </w:r>
      <w:r w:rsidR="001744BB" w:rsidRPr="001744BB">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、中國文化大學法律學系戴教授</w:t>
      </w:r>
      <w:r w:rsidR="001744BB" w:rsidRPr="001744BB">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及投保中心邱董事長</w:t>
      </w:r>
      <w:r w:rsidR="001744BB" w:rsidRPr="001744BB">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等5位學者專家與會</w:t>
      </w:r>
      <w:r w:rsidRPr="000F0F71">
        <w:rPr>
          <w:rFonts w:ascii="標楷體" w:hAnsi="標楷體" w:hint="eastAsia"/>
          <w:bCs/>
          <w:color w:val="000000" w:themeColor="text1"/>
          <w:kern w:val="0"/>
          <w:szCs w:val="36"/>
        </w:rPr>
        <w:t>提供專業諮詢意見</w:t>
      </w:r>
      <w:r w:rsidRPr="000F0F71">
        <w:rPr>
          <w:rFonts w:ascii="標楷體" w:hAnsi="Arial" w:hint="eastAsia"/>
          <w:bCs/>
          <w:color w:val="000000" w:themeColor="text1"/>
          <w:kern w:val="0"/>
          <w:szCs w:val="36"/>
        </w:rPr>
        <w:t>。相關意見略以：</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公司法第196條採股東會中心主義之立法意旨，在避免公司因董事自行決定報酬而產生利益衝突，但實務上股東會難以知悉董事所承擔之責任與風險，故實質運作朝向董事會中心主義。英美法制係以董事會為中心，但為解決利益衝突，於董事會下設薪酬委員會，避免董事自行決定薪酬。依公司法第196條，章程得附加一定限制，授權董事會決定</w:t>
      </w:r>
      <w:r w:rsidR="009B4BC0" w:rsidRPr="000F0F71">
        <w:rPr>
          <w:rFonts w:ascii="標楷體" w:hAnsi="Arial" w:hint="eastAsia"/>
          <w:bCs/>
          <w:color w:val="000000" w:themeColor="text1"/>
          <w:kern w:val="0"/>
          <w:szCs w:val="48"/>
        </w:rPr>
        <w:t>董事</w:t>
      </w:r>
      <w:r w:rsidRPr="000F0F71">
        <w:rPr>
          <w:rFonts w:ascii="標楷體" w:hAnsi="Arial" w:hint="eastAsia"/>
          <w:color w:val="000000" w:themeColor="text1"/>
          <w:szCs w:val="36"/>
        </w:rPr>
        <w:t>個別報酬，但不允許蓋括授權。從經濟部函釋觀之，似乎實質運作模式係朝向董事會議定模式，之所以採此模式乃因面臨實質運作跟形式規定如何調和之問題。</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經濟部</w:t>
      </w:r>
      <w:r w:rsidRPr="000F0F71">
        <w:rPr>
          <w:rFonts w:ascii="標楷體" w:hAnsi="Arial"/>
          <w:color w:val="000000" w:themeColor="text1"/>
          <w:szCs w:val="36"/>
        </w:rPr>
        <w:t>函釋似與公司法第196條規定有違。</w:t>
      </w:r>
      <w:r w:rsidRPr="000F0F71">
        <w:rPr>
          <w:rFonts w:ascii="標楷體" w:hAnsi="Arial" w:hint="eastAsia"/>
          <w:color w:val="000000" w:themeColor="text1"/>
          <w:szCs w:val="36"/>
        </w:rPr>
        <w:t>然</w:t>
      </w:r>
      <w:r w:rsidRPr="000F0F71">
        <w:rPr>
          <w:rFonts w:ascii="標楷體" w:hAnsi="Arial"/>
          <w:color w:val="000000" w:themeColor="text1"/>
          <w:szCs w:val="36"/>
        </w:rPr>
        <w:t>對於</w:t>
      </w:r>
      <w:r w:rsidRPr="000F0F71">
        <w:rPr>
          <w:rFonts w:ascii="標楷體" w:hAnsi="Arial" w:hint="eastAsia"/>
          <w:color w:val="000000" w:themeColor="text1"/>
          <w:szCs w:val="36"/>
        </w:rPr>
        <w:t>該</w:t>
      </w:r>
      <w:r w:rsidRPr="000F0F71">
        <w:rPr>
          <w:rFonts w:ascii="標楷體" w:hAnsi="Arial"/>
          <w:color w:val="000000" w:themeColor="text1"/>
          <w:szCs w:val="36"/>
        </w:rPr>
        <w:t>函釋</w:t>
      </w:r>
      <w:r w:rsidRPr="000F0F71">
        <w:rPr>
          <w:rFonts w:ascii="標楷體" w:hAnsi="Arial" w:hint="eastAsia"/>
          <w:color w:val="000000" w:themeColor="text1"/>
          <w:szCs w:val="36"/>
        </w:rPr>
        <w:t>之</w:t>
      </w:r>
      <w:r w:rsidRPr="000F0F71">
        <w:rPr>
          <w:rFonts w:ascii="標楷體" w:hAnsi="Arial"/>
          <w:color w:val="000000" w:themeColor="text1"/>
          <w:szCs w:val="36"/>
        </w:rPr>
        <w:t>評價，須思考公司法第196條</w:t>
      </w:r>
      <w:r w:rsidRPr="000F0F71">
        <w:rPr>
          <w:rFonts w:ascii="標楷體" w:hAnsi="Arial" w:hint="eastAsia"/>
          <w:color w:val="000000" w:themeColor="text1"/>
          <w:szCs w:val="36"/>
        </w:rPr>
        <w:t>之</w:t>
      </w:r>
      <w:r w:rsidRPr="000F0F71">
        <w:rPr>
          <w:rFonts w:ascii="標楷體" w:hAnsi="Arial"/>
          <w:color w:val="000000" w:themeColor="text1"/>
          <w:szCs w:val="36"/>
        </w:rPr>
        <w:t>妥適性。</w:t>
      </w:r>
      <w:r w:rsidRPr="000F0F71">
        <w:rPr>
          <w:rFonts w:ascii="標楷體" w:hAnsi="Arial" w:hint="eastAsia"/>
          <w:color w:val="000000" w:themeColor="text1"/>
          <w:szCs w:val="36"/>
        </w:rPr>
        <w:t>公司法採取</w:t>
      </w:r>
      <w:r w:rsidRPr="000F0F71">
        <w:rPr>
          <w:rFonts w:ascii="標楷體" w:hAnsi="Arial"/>
          <w:color w:val="000000" w:themeColor="text1"/>
          <w:szCs w:val="36"/>
        </w:rPr>
        <w:t>股東會中心原則，在實際運作上必</w:t>
      </w:r>
      <w:r w:rsidRPr="000F0F71">
        <w:rPr>
          <w:rFonts w:ascii="標楷體" w:hAnsi="Arial" w:hint="eastAsia"/>
          <w:color w:val="000000" w:themeColor="text1"/>
          <w:szCs w:val="36"/>
        </w:rPr>
        <w:t>然</w:t>
      </w:r>
      <w:r w:rsidRPr="000F0F71">
        <w:rPr>
          <w:rFonts w:ascii="標楷體" w:hAnsi="Arial"/>
          <w:color w:val="000000" w:themeColor="text1"/>
          <w:szCs w:val="36"/>
        </w:rPr>
        <w:t>遭遇相當的困擾，因此</w:t>
      </w:r>
      <w:r w:rsidRPr="000F0F71">
        <w:rPr>
          <w:rFonts w:ascii="標楷體" w:hAnsi="Arial" w:hint="eastAsia"/>
          <w:color w:val="000000" w:themeColor="text1"/>
          <w:szCs w:val="36"/>
        </w:rPr>
        <w:t>允許公司</w:t>
      </w:r>
      <w:r w:rsidRPr="000F0F71">
        <w:rPr>
          <w:rFonts w:ascii="標楷體" w:hAnsi="Arial"/>
          <w:color w:val="000000" w:themeColor="text1"/>
          <w:szCs w:val="36"/>
        </w:rPr>
        <w:t>透過章程規定或股東會決議，將董事報酬決定權授予董事會行之的作法，受到行政實務上的高度容忍。然而，若不能透過修法的方式對於董事會權限予以明確的定位，而</w:t>
      </w:r>
      <w:r w:rsidRPr="000F0F71">
        <w:rPr>
          <w:rFonts w:ascii="標楷體" w:hAnsi="Arial" w:hint="eastAsia"/>
          <w:color w:val="000000" w:themeColor="text1"/>
          <w:szCs w:val="36"/>
        </w:rPr>
        <w:t>僅</w:t>
      </w:r>
      <w:r w:rsidRPr="000F0F71">
        <w:rPr>
          <w:rFonts w:ascii="標楷體" w:hAnsi="Arial"/>
          <w:color w:val="000000" w:themeColor="text1"/>
          <w:szCs w:val="36"/>
        </w:rPr>
        <w:t>依賴行政、司法機關在解釋論上的配合，恐無法滿足商業實務上高度需求的法安</w:t>
      </w:r>
      <w:r w:rsidRPr="000F0F71">
        <w:rPr>
          <w:rFonts w:ascii="標楷體" w:hAnsi="Arial"/>
          <w:color w:val="000000" w:themeColor="text1"/>
          <w:szCs w:val="36"/>
        </w:rPr>
        <w:lastRenderedPageBreak/>
        <w:t>定性。</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董事最應取得的是成功報酬（酬勞），亦即把公司經營好，領取盈餘的一部分。但非每家公司皆會獲利，如此將無人出任艱困公司的董事。因此公司法第196條規定給予董事報酬，但</w:t>
      </w:r>
      <w:r w:rsidRPr="000F0F71">
        <w:rPr>
          <w:rFonts w:ascii="標楷體" w:hAnsi="Arial" w:hint="eastAsia"/>
          <w:color w:val="000000" w:themeColor="text1"/>
          <w:szCs w:val="32"/>
        </w:rPr>
        <w:t>因股東未參與經營，故實務運作由股東會訂定一定標準授權董事會決定。股東會授權應該具體，但經濟部93年函釋之授權董事會依據同業通常水準支給議定，過於抽象。應加上一定之具體限制，例如以不超過上一年度營業額一定範圍內或公司資本額一定範圍內，再授權董事會議定具體數額，始相對合理。</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多數公司章程以「同業通常水準」作為授權的標準，在此一標準的貫徹下，不同公司之董事間可能形成「不同工卻同酬」的情形，而有劣幣驅逐良幣之虞；其次，公司董事會多不會認為自己之成員素質未達於平均標準，因此在此一標準下，其極有可能會給予董事略多於「同業通常水準」的報酬，在這種「不落人後」的心態下，董事報酬也可能產生不合理地節節高昇的情形。且該標準失之模糊，在股東或法院就董事報酬數額之合理性進行事後審查時，此一標準之助益可能不大，實質上幾與空白授權無異。</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日本會社法亦採股東會中心主義，依該國實務見解，股東會授權董事會決定董事報酬，其授權應有額度上限</w:t>
      </w:r>
      <w:r w:rsidRPr="000F0F71">
        <w:rPr>
          <w:rFonts w:ascii="標楷體" w:hAnsi="Arial"/>
          <w:color w:val="000000" w:themeColor="text1"/>
          <w:szCs w:val="36"/>
          <w:vertAlign w:val="superscript"/>
        </w:rPr>
        <w:footnoteReference w:id="3"/>
      </w:r>
      <w:r w:rsidRPr="000F0F71">
        <w:rPr>
          <w:rFonts w:ascii="標楷體" w:hAnsi="Arial" w:hint="eastAsia"/>
          <w:color w:val="000000" w:themeColor="text1"/>
          <w:szCs w:val="36"/>
        </w:rPr>
        <w:t>，可供參考。</w:t>
      </w:r>
    </w:p>
    <w:p w:rsidR="007549A2" w:rsidRPr="000F0F71" w:rsidRDefault="007549A2" w:rsidP="007549A2">
      <w:pPr>
        <w:numPr>
          <w:ilvl w:val="2"/>
          <w:numId w:val="1"/>
        </w:numPr>
        <w:kinsoku w:val="0"/>
        <w:ind w:left="1360" w:hanging="680"/>
        <w:jc w:val="both"/>
        <w:outlineLvl w:val="2"/>
        <w:rPr>
          <w:rFonts w:ascii="標楷體" w:hAnsi="Arial"/>
          <w:bCs/>
          <w:color w:val="000000" w:themeColor="text1"/>
          <w:kern w:val="0"/>
          <w:szCs w:val="36"/>
        </w:rPr>
      </w:pPr>
      <w:r w:rsidRPr="000F0F71">
        <w:rPr>
          <w:rFonts w:ascii="標楷體" w:hAnsi="Arial" w:hint="eastAsia"/>
          <w:b/>
          <w:bCs/>
          <w:color w:val="000000" w:themeColor="text1"/>
          <w:kern w:val="0"/>
          <w:szCs w:val="36"/>
        </w:rPr>
        <w:lastRenderedPageBreak/>
        <w:t>經濟部93年3月8日函釋固係考量公司彈性決策及簡化</w:t>
      </w:r>
      <w:r w:rsidR="009B4BC0"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36"/>
        </w:rPr>
        <w:t>報酬決定程序</w:t>
      </w:r>
      <w:r w:rsidR="00B1210A" w:rsidRPr="000F0F71">
        <w:rPr>
          <w:rFonts w:ascii="標楷體" w:hAnsi="Arial" w:hint="eastAsia"/>
          <w:b/>
          <w:bCs/>
          <w:color w:val="000000" w:themeColor="text1"/>
          <w:kern w:val="0"/>
          <w:szCs w:val="36"/>
        </w:rPr>
        <w:t>之需要，</w:t>
      </w:r>
      <w:r w:rsidRPr="000F0F71">
        <w:rPr>
          <w:rFonts w:ascii="標楷體" w:hAnsi="Arial" w:hint="eastAsia"/>
          <w:b/>
          <w:bCs/>
          <w:color w:val="000000" w:themeColor="text1"/>
          <w:kern w:val="0"/>
          <w:szCs w:val="36"/>
        </w:rPr>
        <w:t>但該項限制過於空泛、抽象，與公司治理原則未合，且難以追究濫權董事之責任：</w:t>
      </w:r>
    </w:p>
    <w:p w:rsidR="007549A2"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經濟部對於專家學者前開意見，表示106年5月31日止全國股份有限公司共16萬餘家，該93年3月8日函釋係考量公司資本額、經營模式等差異下所定之一定限制(最大公約數)，且因公司資本額、經營模式等均常隨外在經濟環境、產業發展、公司經營績效而變動。如強令公司於章程訂一定數額或比例，恐有僵化欠缺彈性之虞，考量國內外經濟發展眾多變動因素下，實宜允許公司有彈性決策餘地等語，應屬實情。惟查：</w:t>
      </w:r>
    </w:p>
    <w:p w:rsidR="007549A2" w:rsidRPr="000F0F71" w:rsidRDefault="007549A2" w:rsidP="007549A2">
      <w:pPr>
        <w:numPr>
          <w:ilvl w:val="3"/>
          <w:numId w:val="1"/>
        </w:numPr>
        <w:ind w:left="1741"/>
        <w:jc w:val="both"/>
        <w:outlineLvl w:val="3"/>
        <w:rPr>
          <w:rFonts w:ascii="標楷體" w:hAnsi="Arial"/>
          <w:b/>
          <w:color w:val="000000" w:themeColor="text1"/>
          <w:szCs w:val="36"/>
        </w:rPr>
      </w:pPr>
      <w:r w:rsidRPr="000F0F71">
        <w:rPr>
          <w:rFonts w:ascii="標楷體" w:hAnsi="Arial" w:hint="eastAsia"/>
          <w:b/>
          <w:color w:val="000000" w:themeColor="text1"/>
          <w:szCs w:val="36"/>
        </w:rPr>
        <w:t>公司法第196條第1項及最高法院歷年來之判決並未否定公司得於章程中訂明一定限制，授權由董事會議定之適法性，但禁止以概括授權為之。</w:t>
      </w:r>
    </w:p>
    <w:p w:rsidR="007549A2" w:rsidRPr="000F0F71" w:rsidRDefault="007549A2" w:rsidP="007549A2">
      <w:pPr>
        <w:ind w:leftChars="507" w:left="1725" w:firstLineChars="200" w:firstLine="680"/>
        <w:jc w:val="both"/>
        <w:outlineLvl w:val="3"/>
        <w:rPr>
          <w:rFonts w:ascii="標楷體" w:hAnsi="Arial"/>
          <w:color w:val="000000" w:themeColor="text1"/>
          <w:szCs w:val="36"/>
        </w:rPr>
      </w:pPr>
      <w:r w:rsidRPr="000F0F71">
        <w:rPr>
          <w:rFonts w:ascii="標楷體" w:hAnsi="Arial" w:hint="eastAsia"/>
          <w:color w:val="000000" w:themeColor="text1"/>
          <w:szCs w:val="36"/>
        </w:rPr>
        <w:t>98年1月21日修正公布之公司法第196條第1項規定：「董事之報酬，未經章程訂明者，應由股東會議定，不得事後追認。」其修正理由為：「原公司法第196條規定，董事之報酬，章程未訂明者，應由股東會決議定之。本條原意為避免董事利用其為公司經營者之地位與權利，恣意索取高額報酬，故不以董事會決議為足，而須將董事報酬委由章程與股東會決議定之。…</w:t>
      </w:r>
      <w:r w:rsidR="00937A54" w:rsidRPr="000F0F71">
        <w:rPr>
          <w:rFonts w:ascii="標楷體" w:hAnsi="Arial" w:hint="eastAsia"/>
          <w:color w:val="000000" w:themeColor="text1"/>
          <w:szCs w:val="36"/>
        </w:rPr>
        <w:t>…。</w:t>
      </w:r>
      <w:r w:rsidRPr="000F0F71">
        <w:rPr>
          <w:rFonts w:ascii="標楷體" w:hAnsi="Arial" w:hint="eastAsia"/>
          <w:color w:val="000000" w:themeColor="text1"/>
          <w:szCs w:val="36"/>
        </w:rPr>
        <w:t>」準此，有關董事之報酬應依章程訂明或股東會議</w:t>
      </w:r>
      <w:r w:rsidRPr="000F0F71">
        <w:rPr>
          <w:rFonts w:ascii="標楷體" w:hAnsi="Arial" w:hint="eastAsia"/>
          <w:color w:val="000000" w:themeColor="text1"/>
          <w:szCs w:val="36"/>
        </w:rPr>
        <w:lastRenderedPageBreak/>
        <w:t>定。又參酌最高法院77年</w:t>
      </w:r>
      <w:r w:rsidR="00466881" w:rsidRPr="000F0F71">
        <w:rPr>
          <w:rFonts w:ascii="標楷體" w:hAnsi="Arial" w:hint="eastAsia"/>
          <w:color w:val="000000" w:themeColor="text1"/>
          <w:szCs w:val="36"/>
        </w:rPr>
        <w:t>度</w:t>
      </w:r>
      <w:r w:rsidRPr="000F0F71">
        <w:rPr>
          <w:rFonts w:ascii="標楷體" w:hAnsi="Arial" w:hint="eastAsia"/>
          <w:color w:val="000000" w:themeColor="text1"/>
          <w:szCs w:val="36"/>
        </w:rPr>
        <w:t>台上字第1號、77年</w:t>
      </w:r>
      <w:r w:rsidR="00466881" w:rsidRPr="000F0F71">
        <w:rPr>
          <w:rFonts w:ascii="標楷體" w:hAnsi="Arial" w:hint="eastAsia"/>
          <w:color w:val="000000" w:themeColor="text1"/>
          <w:szCs w:val="36"/>
        </w:rPr>
        <w:t>度</w:t>
      </w:r>
      <w:r w:rsidRPr="000F0F71">
        <w:rPr>
          <w:rFonts w:ascii="標楷體" w:hAnsi="Arial" w:hint="eastAsia"/>
          <w:color w:val="000000" w:themeColor="text1"/>
          <w:szCs w:val="36"/>
        </w:rPr>
        <w:t>台上字第2158號、93年</w:t>
      </w:r>
      <w:r w:rsidR="00466881" w:rsidRPr="000F0F71">
        <w:rPr>
          <w:rFonts w:ascii="標楷體" w:hAnsi="Arial" w:hint="eastAsia"/>
          <w:color w:val="000000" w:themeColor="text1"/>
          <w:szCs w:val="36"/>
        </w:rPr>
        <w:t>度</w:t>
      </w:r>
      <w:r w:rsidRPr="000F0F71">
        <w:rPr>
          <w:rFonts w:ascii="標楷體" w:hAnsi="Arial" w:hint="eastAsia"/>
          <w:color w:val="000000" w:themeColor="text1"/>
          <w:szCs w:val="36"/>
        </w:rPr>
        <w:t>台上字第1224號判決意旨，均認為章程訂明授權董事會議定</w:t>
      </w:r>
      <w:r w:rsidR="009B4BC0" w:rsidRPr="000F0F71">
        <w:rPr>
          <w:rFonts w:ascii="標楷體" w:hAnsi="Arial" w:hint="eastAsia"/>
          <w:bCs/>
          <w:color w:val="000000" w:themeColor="text1"/>
          <w:kern w:val="0"/>
          <w:szCs w:val="48"/>
        </w:rPr>
        <w:t>董事</w:t>
      </w:r>
      <w:r w:rsidRPr="000F0F71">
        <w:rPr>
          <w:rFonts w:ascii="標楷體" w:hAnsi="Arial" w:hint="eastAsia"/>
          <w:color w:val="000000" w:themeColor="text1"/>
          <w:szCs w:val="36"/>
        </w:rPr>
        <w:t>報酬，須有一定限制，不得概括授權。且最高法院98</w:t>
      </w:r>
      <w:r w:rsidR="00466881" w:rsidRPr="000F0F71">
        <w:rPr>
          <w:rFonts w:ascii="標楷體" w:hAnsi="Arial" w:hint="eastAsia"/>
          <w:color w:val="000000" w:themeColor="text1"/>
          <w:szCs w:val="36"/>
        </w:rPr>
        <w:t>年度台</w:t>
      </w:r>
      <w:r w:rsidRPr="000F0F71">
        <w:rPr>
          <w:rFonts w:ascii="標楷體" w:hAnsi="Arial" w:hint="eastAsia"/>
          <w:color w:val="000000" w:themeColor="text1"/>
          <w:szCs w:val="36"/>
        </w:rPr>
        <w:t>上字第935號判決「…</w:t>
      </w:r>
      <w:r w:rsidR="00937A54" w:rsidRPr="000F0F71">
        <w:rPr>
          <w:rFonts w:ascii="標楷體" w:hAnsi="Arial" w:hint="eastAsia"/>
          <w:color w:val="000000" w:themeColor="text1"/>
          <w:szCs w:val="36"/>
        </w:rPr>
        <w:t>…</w:t>
      </w:r>
      <w:r w:rsidRPr="000F0F71">
        <w:rPr>
          <w:rFonts w:ascii="標楷體" w:hAnsi="Arial" w:hint="eastAsia"/>
          <w:color w:val="000000" w:themeColor="text1"/>
          <w:szCs w:val="36"/>
        </w:rPr>
        <w:t>股東常會通過修訂公司章程第24條『董監之酬勞由董事會議定之』之決議，對於董事之報酬無具體規定，應屬概括授權，為原審所確定，既未決議訂定董事報酬之總額或盈餘之一定比率，要與首揭法條所謂經章程訂明者有間。則該決議無效，不因事後之追認而使之有效</w:t>
      </w:r>
      <w:r w:rsidR="00571F8A" w:rsidRPr="000F0F71">
        <w:rPr>
          <w:rFonts w:hint="eastAsia"/>
          <w:color w:val="000000" w:themeColor="text1"/>
        </w:rPr>
        <w:t>……</w:t>
      </w:r>
      <w:r w:rsidRPr="000F0F71">
        <w:rPr>
          <w:rFonts w:ascii="標楷體" w:hAnsi="Arial" w:hint="eastAsia"/>
          <w:color w:val="000000" w:themeColor="text1"/>
          <w:szCs w:val="36"/>
        </w:rPr>
        <w:t>。」可知司法實務咸認為無具體規定之概括授權董事報酬委由董事會議定，與公司法第196條立法意旨未合。</w:t>
      </w:r>
    </w:p>
    <w:p w:rsidR="007549A2" w:rsidRPr="000F0F71" w:rsidRDefault="007549A2" w:rsidP="007549A2">
      <w:pPr>
        <w:numPr>
          <w:ilvl w:val="3"/>
          <w:numId w:val="1"/>
        </w:numPr>
        <w:ind w:left="1741"/>
        <w:jc w:val="both"/>
        <w:outlineLvl w:val="3"/>
        <w:rPr>
          <w:rFonts w:ascii="標楷體" w:hAnsi="Arial"/>
          <w:b/>
          <w:color w:val="000000" w:themeColor="text1"/>
          <w:szCs w:val="36"/>
        </w:rPr>
      </w:pPr>
      <w:r w:rsidRPr="000F0F71">
        <w:rPr>
          <w:rFonts w:ascii="標楷體" w:hAnsi="Arial" w:hint="eastAsia"/>
          <w:b/>
          <w:color w:val="000000" w:themeColor="text1"/>
          <w:szCs w:val="36"/>
        </w:rPr>
        <w:t>經濟部</w:t>
      </w:r>
      <w:r w:rsidR="00104FA5" w:rsidRPr="000F0F71">
        <w:rPr>
          <w:rFonts w:ascii="標楷體" w:hAnsi="Arial" w:hint="eastAsia"/>
          <w:b/>
          <w:color w:val="000000" w:themeColor="text1"/>
          <w:szCs w:val="36"/>
        </w:rPr>
        <w:t>單</w:t>
      </w:r>
      <w:r w:rsidRPr="000F0F71">
        <w:rPr>
          <w:rFonts w:ascii="標楷體" w:hAnsi="Arial" w:hint="eastAsia"/>
          <w:b/>
          <w:color w:val="000000" w:themeColor="text1"/>
          <w:szCs w:val="36"/>
        </w:rPr>
        <w:t>以「同業通常水準」作為</w:t>
      </w:r>
      <w:r w:rsidR="00104FA5" w:rsidRPr="000F0F71">
        <w:rPr>
          <w:rFonts w:ascii="標楷體" w:hAnsi="Arial" w:hint="eastAsia"/>
          <w:b/>
          <w:color w:val="000000" w:themeColor="text1"/>
          <w:szCs w:val="36"/>
        </w:rPr>
        <w:t>章程授權</w:t>
      </w:r>
      <w:r w:rsidRPr="000F0F71">
        <w:rPr>
          <w:rFonts w:ascii="標楷體" w:hAnsi="Arial" w:hint="eastAsia"/>
          <w:b/>
          <w:color w:val="000000" w:themeColor="text1"/>
          <w:szCs w:val="36"/>
        </w:rPr>
        <w:t>董事會議定</w:t>
      </w:r>
      <w:r w:rsidR="008631FD" w:rsidRPr="000F0F71">
        <w:rPr>
          <w:rFonts w:ascii="標楷體" w:hAnsi="Arial" w:hint="eastAsia"/>
          <w:b/>
          <w:color w:val="000000" w:themeColor="text1"/>
          <w:szCs w:val="36"/>
        </w:rPr>
        <w:t>董事</w:t>
      </w:r>
      <w:r w:rsidRPr="000F0F71">
        <w:rPr>
          <w:rFonts w:ascii="標楷體" w:hAnsi="Arial" w:hint="eastAsia"/>
          <w:b/>
          <w:color w:val="000000" w:themeColor="text1"/>
          <w:szCs w:val="36"/>
        </w:rPr>
        <w:t>報酬之一</w:t>
      </w:r>
      <w:r w:rsidR="00104FA5" w:rsidRPr="000F0F71">
        <w:rPr>
          <w:rFonts w:ascii="標楷體" w:hAnsi="Arial" w:hint="eastAsia"/>
          <w:b/>
          <w:color w:val="000000" w:themeColor="text1"/>
          <w:szCs w:val="36"/>
        </w:rPr>
        <w:t>定</w:t>
      </w:r>
      <w:r w:rsidRPr="000F0F71">
        <w:rPr>
          <w:rFonts w:ascii="標楷體" w:hAnsi="Arial" w:hint="eastAsia"/>
          <w:b/>
          <w:color w:val="000000" w:themeColor="text1"/>
          <w:szCs w:val="36"/>
        </w:rPr>
        <w:t>限制，不符公司治理原則。</w:t>
      </w:r>
    </w:p>
    <w:p w:rsidR="007549A2" w:rsidRPr="000F0F71" w:rsidRDefault="007549A2" w:rsidP="007549A2">
      <w:pPr>
        <w:ind w:leftChars="507" w:left="1725"/>
        <w:jc w:val="both"/>
        <w:outlineLvl w:val="3"/>
        <w:rPr>
          <w:rFonts w:ascii="標楷體" w:hAnsi="Arial"/>
          <w:color w:val="000000" w:themeColor="text1"/>
          <w:szCs w:val="36"/>
        </w:rPr>
      </w:pPr>
      <w:r w:rsidRPr="000F0F71">
        <w:rPr>
          <w:rFonts w:ascii="標楷體" w:hAnsi="Arial" w:hint="eastAsia"/>
          <w:color w:val="000000" w:themeColor="text1"/>
          <w:szCs w:val="36"/>
        </w:rPr>
        <w:t xml:space="preserve">    有關「同業通常水準」之內涵，經濟部雖表示同業通常水準有一定範圍及界線，並非漫無上限，現行「所得稅法</w:t>
      </w:r>
      <w:r w:rsidR="00705B1D" w:rsidRPr="000F0F71">
        <w:rPr>
          <w:rStyle w:val="af2"/>
          <w:rFonts w:ascii="標楷體" w:hAnsi="Arial"/>
          <w:color w:val="000000" w:themeColor="text1"/>
          <w:szCs w:val="36"/>
        </w:rPr>
        <w:footnoteReference w:id="4"/>
      </w:r>
      <w:r w:rsidRPr="000F0F71">
        <w:rPr>
          <w:rFonts w:ascii="標楷體" w:hAnsi="Arial" w:hint="eastAsia"/>
          <w:color w:val="000000" w:themeColor="text1"/>
          <w:szCs w:val="36"/>
        </w:rPr>
        <w:t>」、「股票上市或於證券商營業處所買賣公司薪資報酬委員會設置及行使職權辦法</w:t>
      </w:r>
      <w:r w:rsidR="00705B1D" w:rsidRPr="000F0F71">
        <w:rPr>
          <w:rStyle w:val="af2"/>
          <w:rFonts w:ascii="標楷體" w:hAnsi="Arial"/>
          <w:color w:val="000000" w:themeColor="text1"/>
          <w:szCs w:val="36"/>
        </w:rPr>
        <w:footnoteReference w:id="5"/>
      </w:r>
      <w:r w:rsidRPr="000F0F71">
        <w:rPr>
          <w:rFonts w:ascii="標楷體" w:hAnsi="Arial" w:hint="eastAsia"/>
          <w:color w:val="000000" w:themeColor="text1"/>
          <w:szCs w:val="36"/>
        </w:rPr>
        <w:t>」（下稱薪酬委員會職權辦法）、「執行業務所得查核辦法</w:t>
      </w:r>
      <w:r w:rsidR="00705B1D" w:rsidRPr="000F0F71">
        <w:rPr>
          <w:rStyle w:val="af2"/>
          <w:rFonts w:ascii="標楷體" w:hAnsi="Arial"/>
          <w:color w:val="000000" w:themeColor="text1"/>
          <w:szCs w:val="36"/>
        </w:rPr>
        <w:footnoteReference w:id="6"/>
      </w:r>
      <w:r w:rsidRPr="000F0F71">
        <w:rPr>
          <w:rFonts w:ascii="標楷體" w:hAnsi="Arial" w:hint="eastAsia"/>
          <w:color w:val="000000" w:themeColor="text1"/>
          <w:szCs w:val="36"/>
        </w:rPr>
        <w:t>」內均係使用「同業通常水準」</w:t>
      </w:r>
      <w:r w:rsidRPr="000F0F71">
        <w:rPr>
          <w:rFonts w:ascii="標楷體" w:hAnsi="Arial" w:hint="eastAsia"/>
          <w:color w:val="000000" w:themeColor="text1"/>
          <w:szCs w:val="36"/>
        </w:rPr>
        <w:lastRenderedPageBreak/>
        <w:t>用語；金管會亦表示各</w:t>
      </w:r>
      <w:r w:rsidR="004F5526" w:rsidRPr="000F0F71">
        <w:rPr>
          <w:rFonts w:ascii="標楷體" w:hAnsi="Arial" w:hint="eastAsia"/>
          <w:color w:val="000000" w:themeColor="text1"/>
          <w:szCs w:val="36"/>
        </w:rPr>
        <w:t>上市（櫃）</w:t>
      </w:r>
      <w:r w:rsidRPr="000F0F71">
        <w:rPr>
          <w:rFonts w:ascii="標楷體" w:hAnsi="Arial" w:hint="eastAsia"/>
          <w:color w:val="000000" w:themeColor="text1"/>
          <w:szCs w:val="36"/>
        </w:rPr>
        <w:t>公司同業通常水準支給情形，可參考公司之股東會年報</w:t>
      </w:r>
      <w:r w:rsidRPr="000F0F71">
        <w:rPr>
          <w:rFonts w:ascii="標楷體" w:hAnsi="Arial"/>
          <w:color w:val="000000" w:themeColor="text1"/>
          <w:szCs w:val="36"/>
          <w:vertAlign w:val="superscript"/>
        </w:rPr>
        <w:footnoteReference w:id="7"/>
      </w:r>
      <w:r w:rsidRPr="000F0F71">
        <w:rPr>
          <w:rFonts w:ascii="標楷體" w:hAnsi="Arial" w:hint="eastAsia"/>
          <w:color w:val="000000" w:themeColor="text1"/>
          <w:szCs w:val="36"/>
        </w:rPr>
        <w:t>、公開資訊觀測站</w:t>
      </w:r>
      <w:r w:rsidRPr="000F0F71">
        <w:rPr>
          <w:rFonts w:ascii="標楷體" w:hAnsi="Arial"/>
          <w:color w:val="000000" w:themeColor="text1"/>
          <w:szCs w:val="36"/>
          <w:vertAlign w:val="superscript"/>
        </w:rPr>
        <w:footnoteReference w:id="8"/>
      </w:r>
      <w:r w:rsidRPr="000F0F71">
        <w:rPr>
          <w:rFonts w:ascii="標楷體" w:hAnsi="Arial" w:hint="eastAsia"/>
          <w:color w:val="000000" w:themeColor="text1"/>
          <w:szCs w:val="36"/>
        </w:rPr>
        <w:t>及其他民間出版之資料</w:t>
      </w:r>
      <w:r w:rsidRPr="000F0F71">
        <w:rPr>
          <w:rFonts w:ascii="標楷體" w:hAnsi="Arial"/>
          <w:color w:val="000000" w:themeColor="text1"/>
          <w:szCs w:val="36"/>
          <w:vertAlign w:val="superscript"/>
        </w:rPr>
        <w:footnoteReference w:id="9"/>
      </w:r>
      <w:r w:rsidRPr="000F0F71">
        <w:rPr>
          <w:rFonts w:ascii="標楷體" w:hAnsi="Arial" w:hint="eastAsia"/>
          <w:color w:val="000000" w:themeColor="text1"/>
          <w:szCs w:val="36"/>
        </w:rPr>
        <w:t>等語，所述固非無據，惟所謂「同業通常水準」一詞，雖亦見於其他法令當中，但仍屬不確定之法律概念，其具體涵義在不同法令間，可能有不同的解釋。況依公司法第18條規定，公司所營事業除許可業務應載明於章程外，其餘不受限制</w:t>
      </w:r>
      <w:r w:rsidR="00104FA5" w:rsidRPr="000F0F71">
        <w:rPr>
          <w:rFonts w:ascii="標楷體" w:hAnsi="Arial" w:hint="eastAsia"/>
          <w:color w:val="000000" w:themeColor="text1"/>
          <w:szCs w:val="36"/>
        </w:rPr>
        <w:t>，在公司多角化經營之情形下</w:t>
      </w:r>
      <w:r w:rsidRPr="000F0F71">
        <w:rPr>
          <w:rFonts w:ascii="標楷體" w:hAnsi="Arial" w:hint="eastAsia"/>
          <w:color w:val="000000" w:themeColor="text1"/>
          <w:szCs w:val="36"/>
        </w:rPr>
        <w:t>，如何依公司章程登載事項明確界定「同業」，非毫無疑義。而縱然同業公司間，其資本額、經營模式、盈虧狀況之差異極大；而個別董事間之出資方式、風險負擔亦不相同，如何依「同業通常水準」決定其報酬？</w:t>
      </w:r>
      <w:r w:rsidR="00104FA5" w:rsidRPr="000F0F71">
        <w:rPr>
          <w:rFonts w:ascii="標楷體" w:hAnsi="Arial" w:hint="eastAsia"/>
          <w:color w:val="000000" w:themeColor="text1"/>
          <w:szCs w:val="36"/>
        </w:rPr>
        <w:t>亦</w:t>
      </w:r>
      <w:r w:rsidRPr="000F0F71">
        <w:rPr>
          <w:rFonts w:ascii="標楷體" w:hAnsi="Arial" w:hint="eastAsia"/>
          <w:color w:val="000000" w:themeColor="text1"/>
          <w:szCs w:val="36"/>
        </w:rPr>
        <w:t>令人質疑。又依「上市上櫃公司治理實務守則」第26條第2項規定：「</w:t>
      </w:r>
      <w:r w:rsidR="009463C5" w:rsidRPr="000F0F71">
        <w:rPr>
          <w:rFonts w:ascii="標楷體" w:hAnsi="Arial" w:hint="eastAsia"/>
          <w:color w:val="000000" w:themeColor="text1"/>
          <w:szCs w:val="36"/>
        </w:rPr>
        <w:t>上市</w:t>
      </w:r>
      <w:r w:rsidR="00E4381A" w:rsidRPr="000F0F71">
        <w:rPr>
          <w:rFonts w:ascii="標楷體" w:hAnsi="Arial" w:hint="eastAsia"/>
          <w:color w:val="000000" w:themeColor="text1"/>
          <w:szCs w:val="36"/>
        </w:rPr>
        <w:t>（</w:t>
      </w:r>
      <w:r w:rsidRPr="000F0F71">
        <w:rPr>
          <w:rFonts w:ascii="標楷體" w:hAnsi="Arial" w:hint="eastAsia"/>
          <w:color w:val="000000" w:themeColor="text1"/>
          <w:szCs w:val="36"/>
        </w:rPr>
        <w:t>櫃</w:t>
      </w:r>
      <w:r w:rsidR="00E4381A" w:rsidRPr="000F0F71">
        <w:rPr>
          <w:rFonts w:ascii="標楷體" w:hAnsi="Arial" w:hint="eastAsia"/>
          <w:color w:val="000000" w:themeColor="text1"/>
          <w:szCs w:val="36"/>
        </w:rPr>
        <w:t>）</w:t>
      </w:r>
      <w:r w:rsidRPr="000F0F71">
        <w:rPr>
          <w:rFonts w:ascii="標楷體" w:hAnsi="Arial" w:hint="eastAsia"/>
          <w:color w:val="000000" w:themeColor="text1"/>
          <w:szCs w:val="36"/>
        </w:rPr>
        <w:t>公司應依相關法令規定明訂董事之酬金，董事之酬金應充分反映個人表現及公司長期經營績效，並應綜合考量公司經營風險。對於獨立董事得酌訂與一般董事不同之合理酬金。」薪酬委員會職權辦法第7條亦規定，上市（櫃）公司薪資報酬委員會（下稱薪酬委員會）應訂定並定期檢討</w:t>
      </w:r>
      <w:r w:rsidR="008631FD" w:rsidRPr="000F0F71">
        <w:rPr>
          <w:rFonts w:ascii="標楷體" w:hAnsi="Arial" w:hint="eastAsia"/>
          <w:color w:val="000000" w:themeColor="text1"/>
          <w:szCs w:val="36"/>
        </w:rPr>
        <w:t>董事</w:t>
      </w:r>
      <w:r w:rsidRPr="000F0F71">
        <w:rPr>
          <w:rFonts w:ascii="標楷體" w:hAnsi="Arial" w:hint="eastAsia"/>
          <w:color w:val="000000" w:themeColor="text1"/>
          <w:szCs w:val="36"/>
        </w:rPr>
        <w:t>績效評估與薪資報酬之政策、制度、標準與結構；薪酬委員會提交董事會之建議，應參考同業通常水準支給情形，考量與個人表現、公司經營績效及未來風險之關</w:t>
      </w:r>
      <w:r w:rsidRPr="000F0F71">
        <w:rPr>
          <w:rFonts w:ascii="標楷體" w:hAnsi="Arial" w:hint="eastAsia"/>
          <w:color w:val="000000" w:themeColor="text1"/>
          <w:szCs w:val="36"/>
        </w:rPr>
        <w:lastRenderedPageBreak/>
        <w:t>連合理性，且不應引導董事及經理人為追求薪資報酬而從事逾越公司風險胃納之行為。由上開公司治理及薪酬委員會之相關規定觀之，經濟部93年3月8日函釋僅以「同業通常水準」之單一標準作為董事會議定</w:t>
      </w:r>
      <w:r w:rsidR="009B4BC0" w:rsidRPr="000F0F71">
        <w:rPr>
          <w:rFonts w:ascii="標楷體" w:hAnsi="Arial" w:hint="eastAsia"/>
          <w:color w:val="000000" w:themeColor="text1"/>
          <w:szCs w:val="36"/>
        </w:rPr>
        <w:t>董事</w:t>
      </w:r>
      <w:r w:rsidRPr="000F0F71">
        <w:rPr>
          <w:rFonts w:ascii="標楷體" w:hAnsi="Arial" w:hint="eastAsia"/>
          <w:color w:val="000000" w:themeColor="text1"/>
          <w:szCs w:val="36"/>
        </w:rPr>
        <w:t>報酬之限制，不但未考量同業公司間資本額、經營模式、盈虧狀況之差異極大；未要求公司應考量</w:t>
      </w:r>
      <w:r w:rsidR="009B4BC0" w:rsidRPr="000F0F71">
        <w:rPr>
          <w:rFonts w:ascii="標楷體" w:hAnsi="Arial" w:hint="eastAsia"/>
          <w:color w:val="000000" w:themeColor="text1"/>
          <w:szCs w:val="36"/>
        </w:rPr>
        <w:t>董事</w:t>
      </w:r>
      <w:r w:rsidRPr="000F0F71">
        <w:rPr>
          <w:rFonts w:ascii="標楷體" w:hAnsi="Arial" w:hint="eastAsia"/>
          <w:color w:val="000000" w:themeColor="text1"/>
          <w:szCs w:val="36"/>
        </w:rPr>
        <w:t>個人績效、貢獻程度、承擔之風險等因素；亦未引導公司建立議定</w:t>
      </w:r>
      <w:r w:rsidR="009B4BC0" w:rsidRPr="000F0F71">
        <w:rPr>
          <w:rFonts w:ascii="標楷體" w:hAnsi="Arial" w:hint="eastAsia"/>
          <w:color w:val="000000" w:themeColor="text1"/>
          <w:szCs w:val="36"/>
        </w:rPr>
        <w:t>董事</w:t>
      </w:r>
      <w:r w:rsidRPr="000F0F71">
        <w:rPr>
          <w:rFonts w:ascii="標楷體" w:hAnsi="Arial" w:hint="eastAsia"/>
          <w:color w:val="000000" w:themeColor="text1"/>
          <w:szCs w:val="36"/>
        </w:rPr>
        <w:t>報酬之合理標準與機制，不符公司治理原則。</w:t>
      </w:r>
    </w:p>
    <w:p w:rsidR="007549A2" w:rsidRPr="000F0F71" w:rsidRDefault="007549A2" w:rsidP="007549A2">
      <w:pPr>
        <w:numPr>
          <w:ilvl w:val="3"/>
          <w:numId w:val="1"/>
        </w:numPr>
        <w:ind w:left="1741"/>
        <w:jc w:val="both"/>
        <w:outlineLvl w:val="3"/>
        <w:rPr>
          <w:rFonts w:ascii="標楷體" w:hAnsi="Arial"/>
          <w:b/>
          <w:color w:val="000000" w:themeColor="text1"/>
          <w:szCs w:val="36"/>
        </w:rPr>
      </w:pPr>
      <w:r w:rsidRPr="000F0F71">
        <w:rPr>
          <w:rFonts w:ascii="標楷體" w:hAnsi="Arial" w:hint="eastAsia"/>
          <w:b/>
          <w:color w:val="000000" w:themeColor="text1"/>
          <w:szCs w:val="36"/>
        </w:rPr>
        <w:t>「同業通常水準」不但失之模糊，且將導致難以追究濫權董事之責任。</w:t>
      </w:r>
    </w:p>
    <w:p w:rsidR="007549A2" w:rsidRPr="000F0F71" w:rsidRDefault="007549A2" w:rsidP="007549A2">
      <w:pPr>
        <w:ind w:leftChars="507" w:left="1725"/>
        <w:jc w:val="both"/>
        <w:outlineLvl w:val="3"/>
        <w:rPr>
          <w:rFonts w:ascii="標楷體" w:hAnsi="Arial"/>
          <w:color w:val="000000" w:themeColor="text1"/>
          <w:szCs w:val="36"/>
        </w:rPr>
      </w:pPr>
      <w:r w:rsidRPr="000F0F71">
        <w:rPr>
          <w:rFonts w:ascii="標楷體" w:hAnsi="Arial" w:hint="eastAsia"/>
          <w:color w:val="000000" w:themeColor="text1"/>
          <w:szCs w:val="36"/>
        </w:rPr>
        <w:t xml:space="preserve">    公司法第196條立法意旨，係為避免董事利用其為公司經營者之地位與權利，恣意索取高額報酬。經濟部認為倘發生該等情事，得另依公司</w:t>
      </w:r>
      <w:r w:rsidR="00253C38">
        <w:rPr>
          <w:rFonts w:ascii="標楷體" w:hAnsi="Arial" w:hint="eastAsia"/>
          <w:color w:val="000000" w:themeColor="text1"/>
          <w:szCs w:val="36"/>
        </w:rPr>
        <w:t>法</w:t>
      </w:r>
      <w:r w:rsidRPr="000F0F71">
        <w:rPr>
          <w:rFonts w:ascii="標楷體" w:hAnsi="Arial" w:hint="eastAsia"/>
          <w:color w:val="000000" w:themeColor="text1"/>
          <w:szCs w:val="36"/>
        </w:rPr>
        <w:t>第23條有關公司負責人應忠實執行業務並盡善良管理人之注意義務，如有違反致公司受有損害者，負損害賠償責任，立法上亦有課責之設計等語。惟本院諮詢專家學者指出，上揭函釋「同業通常水準」的標準失之模糊，股東或法院就董事報酬合理性進行事後審查時，該標準的助益可能不大，實質上幾與空白授權無異。且據投保中心表示，公司法第214條少數股東對董事訴訟之要件極為嚴格</w:t>
      </w:r>
      <w:r w:rsidR="00D11D34" w:rsidRPr="000F0F71">
        <w:rPr>
          <w:rStyle w:val="af2"/>
          <w:rFonts w:ascii="標楷體" w:hAnsi="Arial"/>
          <w:color w:val="000000" w:themeColor="text1"/>
          <w:szCs w:val="36"/>
        </w:rPr>
        <w:footnoteReference w:id="10"/>
      </w:r>
      <w:r w:rsidRPr="000F0F71">
        <w:rPr>
          <w:rFonts w:ascii="標楷體" w:hAnsi="Arial" w:hint="eastAsia"/>
          <w:color w:val="000000" w:themeColor="text1"/>
          <w:szCs w:val="36"/>
        </w:rPr>
        <w:t>，縱然</w:t>
      </w:r>
      <w:r w:rsidR="009B4BC0" w:rsidRPr="000F0F71">
        <w:rPr>
          <w:rFonts w:ascii="標楷體" w:hAnsi="Arial" w:hint="eastAsia"/>
          <w:color w:val="000000" w:themeColor="text1"/>
          <w:szCs w:val="36"/>
        </w:rPr>
        <w:t>董事</w:t>
      </w:r>
      <w:r w:rsidRPr="000F0F71">
        <w:rPr>
          <w:rFonts w:ascii="標楷體" w:hAnsi="Arial" w:hint="eastAsia"/>
          <w:color w:val="000000" w:themeColor="text1"/>
          <w:szCs w:val="36"/>
        </w:rPr>
        <w:t>領取不相當之高額報酬，亦難以</w:t>
      </w:r>
      <w:r w:rsidR="00104FA5" w:rsidRPr="000F0F71">
        <w:rPr>
          <w:rFonts w:ascii="標楷體" w:hAnsi="Arial" w:hint="eastAsia"/>
          <w:color w:val="000000" w:themeColor="text1"/>
          <w:szCs w:val="36"/>
        </w:rPr>
        <w:t>構成</w:t>
      </w:r>
      <w:r w:rsidRPr="000F0F71">
        <w:rPr>
          <w:rFonts w:ascii="標楷體" w:hAnsi="Arial" w:hint="eastAsia"/>
          <w:color w:val="000000" w:themeColor="text1"/>
          <w:szCs w:val="36"/>
        </w:rPr>
        <w:t>董事違反法令或章程而造成公司損害等要件</w:t>
      </w:r>
      <w:r w:rsidR="00104FA5" w:rsidRPr="000F0F71">
        <w:rPr>
          <w:rFonts w:ascii="標楷體" w:hAnsi="Arial" w:hint="eastAsia"/>
          <w:color w:val="000000" w:themeColor="text1"/>
          <w:szCs w:val="36"/>
        </w:rPr>
        <w:t>而得予課責</w:t>
      </w:r>
      <w:r w:rsidRPr="000F0F71">
        <w:rPr>
          <w:rFonts w:ascii="標楷體" w:hAnsi="Arial" w:hint="eastAsia"/>
          <w:color w:val="000000" w:themeColor="text1"/>
          <w:szCs w:val="36"/>
        </w:rPr>
        <w:t>。</w:t>
      </w:r>
    </w:p>
    <w:p w:rsidR="007549A2" w:rsidRPr="000F0F71" w:rsidRDefault="007549A2" w:rsidP="007549A2">
      <w:pPr>
        <w:numPr>
          <w:ilvl w:val="2"/>
          <w:numId w:val="1"/>
        </w:numPr>
        <w:kinsoku w:val="0"/>
        <w:ind w:left="1360" w:hanging="680"/>
        <w:jc w:val="both"/>
        <w:outlineLvl w:val="2"/>
        <w:rPr>
          <w:rFonts w:ascii="標楷體" w:hAnsi="Arial"/>
          <w:b/>
          <w:bCs/>
          <w:color w:val="000000" w:themeColor="text1"/>
          <w:kern w:val="0"/>
          <w:szCs w:val="36"/>
        </w:rPr>
      </w:pPr>
      <w:r w:rsidRPr="000F0F71">
        <w:rPr>
          <w:rFonts w:ascii="標楷體" w:hAnsi="Arial" w:hint="eastAsia"/>
          <w:b/>
          <w:bCs/>
          <w:color w:val="000000" w:themeColor="text1"/>
          <w:kern w:val="0"/>
          <w:szCs w:val="36"/>
        </w:rPr>
        <w:t>為落實公司法第196條之立法目的，經濟部對於93</w:t>
      </w:r>
      <w:r w:rsidRPr="000F0F71">
        <w:rPr>
          <w:rFonts w:ascii="標楷體" w:hAnsi="Arial" w:hint="eastAsia"/>
          <w:b/>
          <w:bCs/>
          <w:color w:val="000000" w:themeColor="text1"/>
          <w:kern w:val="0"/>
          <w:szCs w:val="36"/>
        </w:rPr>
        <w:lastRenderedPageBreak/>
        <w:t>年3月8日函釋，允應邀集相關部會及學者專家，妥慎研議補充，並以行政規則發布：</w:t>
      </w:r>
    </w:p>
    <w:p w:rsidR="007549A2" w:rsidRPr="000F0F71" w:rsidRDefault="007549A2" w:rsidP="007549A2">
      <w:pPr>
        <w:kinsoku w:val="0"/>
        <w:ind w:leftChars="400" w:left="1361"/>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綜上，經濟部93年3月8日函釋稱公司章程得以「同業通常水準」，作為授權董事會決定</w:t>
      </w:r>
      <w:r w:rsidR="009B4BC0" w:rsidRPr="000F0F71">
        <w:rPr>
          <w:rFonts w:ascii="標楷體" w:hAnsi="Arial" w:hint="eastAsia"/>
          <w:color w:val="000000" w:themeColor="text1"/>
          <w:szCs w:val="36"/>
        </w:rPr>
        <w:t>董事</w:t>
      </w:r>
      <w:r w:rsidRPr="000F0F71">
        <w:rPr>
          <w:rFonts w:ascii="標楷體" w:hAnsi="Arial" w:hint="eastAsia"/>
          <w:bCs/>
          <w:color w:val="000000" w:themeColor="text1"/>
          <w:kern w:val="0"/>
          <w:szCs w:val="36"/>
        </w:rPr>
        <w:t>報酬之唯一限制，固緣於公司法採取股東會中心與公司實務存有差距，考量公司彈性決策之需要，及簡化</w:t>
      </w:r>
      <w:r w:rsidR="009B4BC0" w:rsidRPr="000F0F71">
        <w:rPr>
          <w:rFonts w:ascii="標楷體" w:hAnsi="Arial" w:hint="eastAsia"/>
          <w:color w:val="000000" w:themeColor="text1"/>
          <w:szCs w:val="36"/>
        </w:rPr>
        <w:t>董事</w:t>
      </w:r>
      <w:r w:rsidRPr="000F0F71">
        <w:rPr>
          <w:rFonts w:ascii="標楷體" w:hAnsi="Arial" w:hint="eastAsia"/>
          <w:bCs/>
          <w:color w:val="000000" w:themeColor="text1"/>
          <w:kern w:val="0"/>
          <w:szCs w:val="36"/>
        </w:rPr>
        <w:t>報酬之決定程序。但該項限制過於抽象，與概括授權幾無差異，亦與公司治理原則未合。經濟部於本案詢問時，表示將邀集金管會等相關部會及專家學者開會檢討，參酌國外相關法制之發展，研議是否補充一定條件，並將以行政規則發布等語，允應落實執行。</w:t>
      </w:r>
    </w:p>
    <w:p w:rsidR="007549A2" w:rsidRPr="000F0F71" w:rsidRDefault="007549A2" w:rsidP="007549A2">
      <w:pPr>
        <w:numPr>
          <w:ilvl w:val="1"/>
          <w:numId w:val="1"/>
        </w:numPr>
        <w:kinsoku w:val="0"/>
        <w:jc w:val="both"/>
        <w:outlineLvl w:val="1"/>
        <w:rPr>
          <w:rFonts w:ascii="標楷體" w:hAnsi="Arial"/>
          <w:bCs/>
          <w:color w:val="000000" w:themeColor="text1"/>
          <w:kern w:val="0"/>
          <w:szCs w:val="48"/>
        </w:rPr>
      </w:pPr>
      <w:r w:rsidRPr="000F0F71">
        <w:rPr>
          <w:rFonts w:ascii="標楷體" w:hAnsi="Arial" w:hint="eastAsia"/>
          <w:b/>
          <w:bCs/>
          <w:color w:val="000000" w:themeColor="text1"/>
          <w:kern w:val="0"/>
          <w:szCs w:val="48"/>
        </w:rPr>
        <w:t>證券交易法於99年11月24日</w:t>
      </w:r>
      <w:r w:rsidR="00F21487" w:rsidRPr="000F0F71">
        <w:rPr>
          <w:rFonts w:ascii="標楷體" w:hAnsi="Arial" w:hint="eastAsia"/>
          <w:b/>
          <w:bCs/>
          <w:color w:val="000000" w:themeColor="text1"/>
          <w:kern w:val="0"/>
          <w:szCs w:val="48"/>
        </w:rPr>
        <w:t>增訂</w:t>
      </w:r>
      <w:r w:rsidRPr="000F0F71">
        <w:rPr>
          <w:rFonts w:ascii="標楷體" w:hAnsi="Arial" w:hint="eastAsia"/>
          <w:b/>
          <w:bCs/>
          <w:color w:val="000000" w:themeColor="text1"/>
          <w:kern w:val="0"/>
          <w:szCs w:val="48"/>
        </w:rPr>
        <w:t>第14條之6，明定股票在證券交易所上市或於證券商營業處所買賣之公司應設置薪酬委員會。金管會依該條授權，訂頒薪酬委員會設置及</w:t>
      </w:r>
      <w:r w:rsidR="00B1210A" w:rsidRPr="000F0F71">
        <w:rPr>
          <w:rFonts w:ascii="標楷體" w:hAnsi="Arial" w:hint="eastAsia"/>
          <w:b/>
          <w:bCs/>
          <w:color w:val="000000" w:themeColor="text1"/>
          <w:kern w:val="0"/>
          <w:szCs w:val="48"/>
        </w:rPr>
        <w:t>行使</w:t>
      </w:r>
      <w:r w:rsidRPr="000F0F71">
        <w:rPr>
          <w:rFonts w:ascii="標楷體" w:hAnsi="Arial" w:hint="eastAsia"/>
          <w:b/>
          <w:bCs/>
          <w:color w:val="000000" w:themeColor="text1"/>
          <w:kern w:val="0"/>
          <w:szCs w:val="48"/>
        </w:rPr>
        <w:t>職權</w:t>
      </w:r>
      <w:r w:rsidR="00B1210A" w:rsidRPr="000F0F71">
        <w:rPr>
          <w:rFonts w:ascii="標楷體" w:hAnsi="Arial" w:hint="eastAsia"/>
          <w:b/>
          <w:bCs/>
          <w:color w:val="000000" w:themeColor="text1"/>
          <w:kern w:val="0"/>
          <w:szCs w:val="48"/>
        </w:rPr>
        <w:t>辦法</w:t>
      </w:r>
      <w:r w:rsidRPr="000F0F71">
        <w:rPr>
          <w:rFonts w:ascii="標楷體" w:hAnsi="Arial" w:hint="eastAsia"/>
          <w:b/>
          <w:bCs/>
          <w:color w:val="000000" w:themeColor="text1"/>
          <w:kern w:val="0"/>
          <w:szCs w:val="48"/>
        </w:rPr>
        <w:t>，另透過資訊揭露及市場監督，引導上市（櫃）公司訂定合理之</w:t>
      </w:r>
      <w:r w:rsidR="009B4BC0"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48"/>
        </w:rPr>
        <w:t>酬金，</w:t>
      </w:r>
      <w:r w:rsidR="00104FA5" w:rsidRPr="000F0F71">
        <w:rPr>
          <w:rFonts w:ascii="標楷體" w:hAnsi="Arial" w:hint="eastAsia"/>
          <w:b/>
          <w:bCs/>
          <w:color w:val="000000" w:themeColor="text1"/>
          <w:kern w:val="0"/>
          <w:szCs w:val="48"/>
        </w:rPr>
        <w:t>不無改進</w:t>
      </w:r>
      <w:r w:rsidRPr="000F0F71">
        <w:rPr>
          <w:rFonts w:ascii="標楷體" w:hAnsi="Arial" w:hint="eastAsia"/>
          <w:b/>
          <w:bCs/>
          <w:color w:val="000000" w:themeColor="text1"/>
          <w:kern w:val="0"/>
          <w:szCs w:val="48"/>
        </w:rPr>
        <w:t>之作為</w:t>
      </w:r>
      <w:r w:rsidR="00104FA5" w:rsidRPr="000F0F71">
        <w:rPr>
          <w:rFonts w:ascii="標楷體" w:hAnsi="Arial" w:hint="eastAsia"/>
          <w:b/>
          <w:bCs/>
          <w:color w:val="000000" w:themeColor="text1"/>
          <w:kern w:val="0"/>
          <w:szCs w:val="48"/>
        </w:rPr>
        <w:t>，</w:t>
      </w:r>
      <w:r w:rsidRPr="000F0F71">
        <w:rPr>
          <w:rFonts w:ascii="標楷體" w:hAnsi="Arial" w:hint="eastAsia"/>
          <w:b/>
          <w:bCs/>
          <w:color w:val="000000" w:themeColor="text1"/>
          <w:kern w:val="0"/>
          <w:szCs w:val="48"/>
        </w:rPr>
        <w:t>惟</w:t>
      </w:r>
      <w:r w:rsidR="005976FD" w:rsidRPr="000F0F71">
        <w:rPr>
          <w:rFonts w:ascii="標楷體" w:hAnsi="Arial" w:hint="eastAsia"/>
          <w:b/>
          <w:bCs/>
          <w:color w:val="000000" w:themeColor="text1"/>
          <w:kern w:val="0"/>
          <w:szCs w:val="48"/>
        </w:rPr>
        <w:t>近年來</w:t>
      </w:r>
      <w:r w:rsidR="00D56C18" w:rsidRPr="000F0F71">
        <w:rPr>
          <w:rFonts w:ascii="標楷體" w:hAnsi="Arial" w:hint="eastAsia"/>
          <w:b/>
          <w:bCs/>
          <w:color w:val="000000" w:themeColor="text1"/>
          <w:kern w:val="0"/>
          <w:szCs w:val="48"/>
        </w:rPr>
        <w:t>上市（櫃）公司</w:t>
      </w:r>
      <w:r w:rsidRPr="000F0F71">
        <w:rPr>
          <w:rFonts w:ascii="標楷體" w:hAnsi="Arial" w:hint="eastAsia"/>
          <w:b/>
          <w:bCs/>
          <w:color w:val="000000" w:themeColor="text1"/>
          <w:kern w:val="0"/>
          <w:szCs w:val="48"/>
        </w:rPr>
        <w:t>稅後虧損，董事酬金不減反增</w:t>
      </w:r>
      <w:r w:rsidR="00D56C18" w:rsidRPr="000F0F71">
        <w:rPr>
          <w:rFonts w:ascii="標楷體" w:hAnsi="Arial" w:hint="eastAsia"/>
          <w:b/>
          <w:bCs/>
          <w:color w:val="000000" w:themeColor="text1"/>
          <w:kern w:val="0"/>
          <w:szCs w:val="48"/>
        </w:rPr>
        <w:t>者，不在少數，且有增加之趨勢</w:t>
      </w:r>
      <w:r w:rsidRPr="000F0F71">
        <w:rPr>
          <w:rFonts w:ascii="標楷體" w:hAnsi="Arial" w:hint="eastAsia"/>
          <w:b/>
          <w:bCs/>
          <w:color w:val="000000" w:themeColor="text1"/>
          <w:kern w:val="0"/>
          <w:szCs w:val="48"/>
        </w:rPr>
        <w:t>，為杜絕實務上</w:t>
      </w:r>
      <w:r w:rsidR="008631FD" w:rsidRPr="000F0F71">
        <w:rPr>
          <w:rFonts w:ascii="標楷體" w:hAnsi="Arial" w:hint="eastAsia"/>
          <w:b/>
          <w:bCs/>
          <w:color w:val="000000" w:themeColor="text1"/>
          <w:kern w:val="0"/>
          <w:szCs w:val="48"/>
        </w:rPr>
        <w:t>董事</w:t>
      </w:r>
      <w:r w:rsidRPr="000F0F71">
        <w:rPr>
          <w:rFonts w:ascii="標楷體" w:hAnsi="Arial" w:hint="eastAsia"/>
          <w:b/>
          <w:bCs/>
          <w:color w:val="000000" w:themeColor="text1"/>
          <w:kern w:val="0"/>
          <w:szCs w:val="48"/>
        </w:rPr>
        <w:t>恣意向公司索取高額報酬，</w:t>
      </w:r>
      <w:r w:rsidR="00104FA5" w:rsidRPr="000F0F71">
        <w:rPr>
          <w:rFonts w:ascii="標楷體" w:hAnsi="Arial" w:hint="eastAsia"/>
          <w:b/>
          <w:bCs/>
          <w:color w:val="000000" w:themeColor="text1"/>
          <w:kern w:val="0"/>
          <w:szCs w:val="48"/>
        </w:rPr>
        <w:t>致危害股東</w:t>
      </w:r>
      <w:r w:rsidRPr="000F0F71">
        <w:rPr>
          <w:rFonts w:ascii="標楷體" w:hAnsi="Arial" w:hint="eastAsia"/>
          <w:b/>
          <w:bCs/>
          <w:color w:val="000000" w:themeColor="text1"/>
          <w:kern w:val="0"/>
          <w:szCs w:val="48"/>
        </w:rPr>
        <w:t>投資</w:t>
      </w:r>
      <w:r w:rsidR="00104FA5" w:rsidRPr="000F0F71">
        <w:rPr>
          <w:rFonts w:ascii="標楷體" w:hAnsi="Arial" w:hint="eastAsia"/>
          <w:b/>
          <w:bCs/>
          <w:color w:val="000000" w:themeColor="text1"/>
          <w:kern w:val="0"/>
          <w:szCs w:val="48"/>
        </w:rPr>
        <w:t>權益</w:t>
      </w:r>
      <w:r w:rsidRPr="000F0F71">
        <w:rPr>
          <w:rFonts w:ascii="標楷體" w:hAnsi="Arial" w:hint="eastAsia"/>
          <w:b/>
          <w:bCs/>
          <w:color w:val="000000" w:themeColor="text1"/>
          <w:kern w:val="0"/>
          <w:szCs w:val="48"/>
        </w:rPr>
        <w:t>，金管會允宜</w:t>
      </w:r>
      <w:r w:rsidR="00D56C18" w:rsidRPr="000F0F71">
        <w:rPr>
          <w:rFonts w:ascii="標楷體" w:hAnsi="Arial" w:hint="eastAsia"/>
          <w:b/>
          <w:bCs/>
          <w:color w:val="000000" w:themeColor="text1"/>
          <w:kern w:val="0"/>
          <w:szCs w:val="48"/>
        </w:rPr>
        <w:t>就經濟部重行檢討93年3月8日函釋之際，</w:t>
      </w:r>
      <w:r w:rsidRPr="000F0F71">
        <w:rPr>
          <w:rFonts w:ascii="標楷體" w:hAnsi="Arial" w:hint="eastAsia"/>
          <w:b/>
          <w:bCs/>
          <w:color w:val="000000" w:themeColor="text1"/>
          <w:kern w:val="0"/>
          <w:szCs w:val="48"/>
        </w:rPr>
        <w:t>檢討現行法令</w:t>
      </w:r>
      <w:r w:rsidR="00D56C18" w:rsidRPr="000F0F71">
        <w:rPr>
          <w:rFonts w:ascii="標楷體" w:hAnsi="Arial" w:hint="eastAsia"/>
          <w:b/>
          <w:bCs/>
          <w:color w:val="000000" w:themeColor="text1"/>
          <w:kern w:val="0"/>
          <w:szCs w:val="48"/>
        </w:rPr>
        <w:t>及相關機制</w:t>
      </w:r>
      <w:r w:rsidRPr="000F0F71">
        <w:rPr>
          <w:rFonts w:ascii="標楷體" w:hAnsi="Arial" w:hint="eastAsia"/>
          <w:b/>
          <w:bCs/>
          <w:color w:val="000000" w:themeColor="text1"/>
          <w:kern w:val="0"/>
          <w:szCs w:val="48"/>
        </w:rPr>
        <w:t>之周延性</w:t>
      </w:r>
      <w:r w:rsidR="00B1210A" w:rsidRPr="000F0F71">
        <w:rPr>
          <w:rFonts w:ascii="標楷體" w:hAnsi="Arial" w:hint="eastAsia"/>
          <w:b/>
          <w:bCs/>
          <w:color w:val="000000" w:themeColor="text1"/>
          <w:kern w:val="0"/>
          <w:szCs w:val="48"/>
        </w:rPr>
        <w:t>，</w:t>
      </w:r>
      <w:r w:rsidR="00D56C18" w:rsidRPr="000F0F71">
        <w:rPr>
          <w:rFonts w:ascii="標楷體" w:hAnsi="Arial" w:hint="eastAsia"/>
          <w:b/>
          <w:bCs/>
          <w:color w:val="000000" w:themeColor="text1"/>
          <w:kern w:val="0"/>
          <w:szCs w:val="48"/>
        </w:rPr>
        <w:t>以</w:t>
      </w:r>
      <w:r w:rsidR="00B1210A" w:rsidRPr="000F0F71">
        <w:rPr>
          <w:rFonts w:ascii="標楷體" w:hAnsi="Arial" w:hint="eastAsia"/>
          <w:b/>
          <w:bCs/>
          <w:color w:val="000000" w:themeColor="text1"/>
          <w:kern w:val="0"/>
          <w:szCs w:val="48"/>
        </w:rPr>
        <w:t>強化薪酬委員會之功能。</w:t>
      </w:r>
    </w:p>
    <w:p w:rsidR="007549A2" w:rsidRPr="000F0F71" w:rsidRDefault="007549A2" w:rsidP="007549A2">
      <w:pPr>
        <w:kinsoku w:val="0"/>
        <w:ind w:leftChars="300" w:left="1020"/>
        <w:jc w:val="both"/>
        <w:outlineLvl w:val="2"/>
        <w:rPr>
          <w:rFonts w:ascii="標楷體" w:hAnsi="Arial"/>
          <w:bCs/>
          <w:color w:val="000000" w:themeColor="text1"/>
          <w:kern w:val="0"/>
          <w:szCs w:val="36"/>
        </w:rPr>
      </w:pPr>
      <w:r w:rsidRPr="000F0F71">
        <w:rPr>
          <w:rFonts w:ascii="標楷體" w:hAnsi="Arial" w:hint="eastAsia"/>
          <w:bCs/>
          <w:color w:val="000000" w:themeColor="text1"/>
          <w:kern w:val="0"/>
          <w:szCs w:val="36"/>
        </w:rPr>
        <w:t xml:space="preserve">    </w:t>
      </w:r>
      <w:r w:rsidR="00CD32F5" w:rsidRPr="000F0F71">
        <w:rPr>
          <w:rFonts w:ascii="標楷體" w:hAnsi="Arial" w:hint="eastAsia"/>
          <w:bCs/>
          <w:color w:val="000000" w:themeColor="text1"/>
          <w:kern w:val="0"/>
          <w:szCs w:val="36"/>
        </w:rPr>
        <w:t>證券交易法於99年11月24日增訂第14條之6規定：「（第1項）股票已在證券交易所上市或於證券商營業處所買賣之公司應設置薪酬委員會；其成員專業資格、所定職權之行使及相關事項之辦法，由主管機關定之。（第2項）前項薪資報酬應包括董監及經理人之薪資、股票選擇權與其他具有實質獎勵之措施。」</w:t>
      </w:r>
      <w:r w:rsidRPr="000F0F71">
        <w:rPr>
          <w:rFonts w:ascii="標楷體" w:hAnsi="Arial" w:hint="eastAsia"/>
          <w:bCs/>
          <w:color w:val="000000" w:themeColor="text1"/>
          <w:kern w:val="0"/>
          <w:szCs w:val="36"/>
        </w:rPr>
        <w:t>陳訴人指稱現行上市</w:t>
      </w:r>
      <w:r w:rsidR="00CD32F5"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櫃</w:t>
      </w:r>
      <w:r w:rsidR="00CD32F5"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公司，不乏援引經</w:t>
      </w:r>
      <w:r w:rsidRPr="000F0F71">
        <w:rPr>
          <w:rFonts w:ascii="標楷體" w:hAnsi="Arial" w:hint="eastAsia"/>
          <w:bCs/>
          <w:color w:val="000000" w:themeColor="text1"/>
          <w:kern w:val="0"/>
          <w:szCs w:val="36"/>
        </w:rPr>
        <w:lastRenderedPageBreak/>
        <w:t>濟部</w:t>
      </w:r>
      <w:r w:rsidR="00CD32F5" w:rsidRPr="000F0F71">
        <w:rPr>
          <w:rFonts w:ascii="標楷體" w:hAnsi="Arial" w:hint="eastAsia"/>
          <w:bCs/>
          <w:color w:val="000000" w:themeColor="text1"/>
          <w:kern w:val="0"/>
          <w:szCs w:val="36"/>
        </w:rPr>
        <w:t>93年3月8日</w:t>
      </w:r>
      <w:r w:rsidRPr="000F0F71">
        <w:rPr>
          <w:rFonts w:ascii="標楷體" w:hAnsi="Arial" w:hint="eastAsia"/>
          <w:bCs/>
          <w:color w:val="000000" w:themeColor="text1"/>
          <w:kern w:val="0"/>
          <w:szCs w:val="36"/>
        </w:rPr>
        <w:t>函釋，於章程內訂明授權董事會</w:t>
      </w:r>
      <w:r w:rsidR="00CD32F5" w:rsidRPr="000F0F71">
        <w:rPr>
          <w:rFonts w:ascii="標楷體" w:hAnsi="Arial" w:hint="eastAsia"/>
          <w:bCs/>
          <w:color w:val="000000" w:themeColor="text1"/>
          <w:kern w:val="0"/>
          <w:szCs w:val="36"/>
        </w:rPr>
        <w:t>，由薪酬委員會</w:t>
      </w:r>
      <w:r w:rsidRPr="000F0F71">
        <w:rPr>
          <w:rFonts w:ascii="標楷體" w:hAnsi="Arial" w:hint="eastAsia"/>
          <w:bCs/>
          <w:color w:val="000000" w:themeColor="text1"/>
          <w:kern w:val="0"/>
          <w:szCs w:val="36"/>
        </w:rPr>
        <w:t>議定</w:t>
      </w:r>
      <w:r w:rsidR="00CD32F5" w:rsidRPr="000F0F71">
        <w:rPr>
          <w:rFonts w:ascii="標楷體" w:hAnsi="Arial" w:hint="eastAsia"/>
          <w:bCs/>
          <w:color w:val="000000" w:themeColor="text1"/>
          <w:kern w:val="0"/>
          <w:szCs w:val="36"/>
        </w:rPr>
        <w:t>董</w:t>
      </w:r>
      <w:r w:rsidR="00963474" w:rsidRPr="000F0F71">
        <w:rPr>
          <w:rFonts w:ascii="標楷體" w:hAnsi="Arial" w:hint="eastAsia"/>
          <w:bCs/>
          <w:color w:val="000000" w:themeColor="text1"/>
          <w:kern w:val="0"/>
          <w:szCs w:val="36"/>
        </w:rPr>
        <w:t>事</w:t>
      </w:r>
      <w:r w:rsidR="00CD32F5" w:rsidRPr="000F0F71">
        <w:rPr>
          <w:rFonts w:ascii="標楷體" w:hAnsi="Arial" w:hint="eastAsia"/>
          <w:bCs/>
          <w:color w:val="000000" w:themeColor="text1"/>
          <w:kern w:val="0"/>
          <w:szCs w:val="36"/>
        </w:rPr>
        <w:t>報酬</w:t>
      </w:r>
      <w:r w:rsidRPr="000F0F71">
        <w:rPr>
          <w:rFonts w:ascii="標楷體" w:hAnsi="Arial" w:hint="eastAsia"/>
          <w:bCs/>
          <w:color w:val="000000" w:themeColor="text1"/>
          <w:kern w:val="0"/>
          <w:szCs w:val="36"/>
        </w:rPr>
        <w:t>。並舉某公司實例略以：該公司薪酬委員會由獨立董事2人、外聘1人共3人所組成，董事會依薪酬委員會所提之薪酬</w:t>
      </w:r>
      <w:r w:rsidR="00CD32F5" w:rsidRPr="000F0F71">
        <w:rPr>
          <w:rFonts w:ascii="標楷體" w:hAnsi="Arial" w:hint="eastAsia"/>
          <w:bCs/>
          <w:color w:val="000000" w:themeColor="text1"/>
          <w:kern w:val="0"/>
          <w:szCs w:val="36"/>
        </w:rPr>
        <w:t>建議</w:t>
      </w:r>
      <w:r w:rsidRPr="000F0F71">
        <w:rPr>
          <w:rFonts w:ascii="標楷體" w:hAnsi="Arial" w:hint="eastAsia"/>
          <w:bCs/>
          <w:color w:val="000000" w:themeColor="text1"/>
          <w:kern w:val="0"/>
          <w:szCs w:val="36"/>
        </w:rPr>
        <w:t>案，決議僅給予獨立董事及薪酬委員報酬，對其他董事3人分文不給，違反利益迴避等語。有關上市（櫃）公司薪酬委員會之運作情形、與公司法第196條第1項及經濟部93年3月8日函釋之關係等節，茲分述如下：</w:t>
      </w:r>
    </w:p>
    <w:p w:rsidR="00900268" w:rsidRPr="000F0F71" w:rsidRDefault="007549A2" w:rsidP="00900268">
      <w:pPr>
        <w:pStyle w:val="3"/>
        <w:rPr>
          <w:color w:val="000000" w:themeColor="text1"/>
        </w:rPr>
      </w:pPr>
      <w:r w:rsidRPr="000F0F71">
        <w:rPr>
          <w:rFonts w:hint="eastAsia"/>
          <w:b/>
          <w:color w:val="000000" w:themeColor="text1"/>
        </w:rPr>
        <w:t>證券交易法</w:t>
      </w:r>
      <w:r w:rsidR="00900268" w:rsidRPr="000F0F71">
        <w:rPr>
          <w:rFonts w:hint="eastAsia"/>
          <w:b/>
          <w:color w:val="000000" w:themeColor="text1"/>
        </w:rPr>
        <w:t>為落實公司董監及經理人薪酬制度之合理化，於99年11月24日增訂第14條之6，仿效英美立法例，強制上市（櫃）公司應設置</w:t>
      </w:r>
      <w:r w:rsidRPr="000F0F71">
        <w:rPr>
          <w:rFonts w:hint="eastAsia"/>
          <w:b/>
          <w:color w:val="000000" w:themeColor="text1"/>
        </w:rPr>
        <w:t>薪酬委員會。</w:t>
      </w:r>
      <w:r w:rsidR="00900268" w:rsidRPr="000F0F71">
        <w:rPr>
          <w:rFonts w:hint="eastAsia"/>
          <w:b/>
          <w:color w:val="000000" w:themeColor="text1"/>
        </w:rPr>
        <w:t>惟實施以來，公司稅後連續虧損</w:t>
      </w:r>
      <w:r w:rsidR="00CD32F5" w:rsidRPr="000F0F71">
        <w:rPr>
          <w:rFonts w:hint="eastAsia"/>
          <w:b/>
          <w:color w:val="000000" w:themeColor="text1"/>
        </w:rPr>
        <w:t>而</w:t>
      </w:r>
      <w:r w:rsidR="00900268" w:rsidRPr="000F0F71">
        <w:rPr>
          <w:rFonts w:hint="eastAsia"/>
          <w:b/>
          <w:color w:val="000000" w:themeColor="text1"/>
        </w:rPr>
        <w:t>董事酬金不減反增之公司仍不在少數，</w:t>
      </w:r>
      <w:r w:rsidR="00CD32F5" w:rsidRPr="000F0F71">
        <w:rPr>
          <w:rFonts w:hint="eastAsia"/>
          <w:b/>
          <w:color w:val="000000" w:themeColor="text1"/>
        </w:rPr>
        <w:t>顯示</w:t>
      </w:r>
      <w:r w:rsidR="00900268" w:rsidRPr="000F0F71">
        <w:rPr>
          <w:rFonts w:hint="eastAsia"/>
          <w:b/>
          <w:color w:val="000000" w:themeColor="text1"/>
        </w:rPr>
        <w:t>薪酬委員會</w:t>
      </w:r>
      <w:r w:rsidR="00CD32F5" w:rsidRPr="000F0F71">
        <w:rPr>
          <w:rFonts w:hint="eastAsia"/>
          <w:b/>
          <w:color w:val="000000" w:themeColor="text1"/>
        </w:rPr>
        <w:t>之</w:t>
      </w:r>
      <w:r w:rsidR="00900268" w:rsidRPr="000F0F71">
        <w:rPr>
          <w:rFonts w:hint="eastAsia"/>
          <w:b/>
          <w:color w:val="000000" w:themeColor="text1"/>
        </w:rPr>
        <w:t>功能</w:t>
      </w:r>
      <w:r w:rsidR="00757006" w:rsidRPr="000F0F71">
        <w:rPr>
          <w:rFonts w:hint="eastAsia"/>
          <w:b/>
          <w:color w:val="000000" w:themeColor="text1"/>
        </w:rPr>
        <w:t>有待強化</w:t>
      </w:r>
      <w:r w:rsidR="00900268" w:rsidRPr="000F0F71">
        <w:rPr>
          <w:rFonts w:hint="eastAsia"/>
          <w:b/>
          <w:color w:val="000000" w:themeColor="text1"/>
        </w:rPr>
        <w:t>。</w:t>
      </w:r>
    </w:p>
    <w:p w:rsidR="00757006" w:rsidRPr="000F0F71" w:rsidRDefault="00757006" w:rsidP="00757006">
      <w:pPr>
        <w:numPr>
          <w:ilvl w:val="3"/>
          <w:numId w:val="1"/>
        </w:numPr>
        <w:ind w:left="1741"/>
        <w:jc w:val="both"/>
        <w:outlineLvl w:val="3"/>
        <w:rPr>
          <w:color w:val="000000" w:themeColor="text1"/>
        </w:rPr>
      </w:pPr>
      <w:r w:rsidRPr="000F0F71">
        <w:rPr>
          <w:rFonts w:hint="eastAsia"/>
          <w:color w:val="000000" w:themeColor="text1"/>
        </w:rPr>
        <w:t>詢據金管會表示：實務上董</w:t>
      </w:r>
      <w:r w:rsidR="008631FD" w:rsidRPr="000F0F71">
        <w:rPr>
          <w:rFonts w:hint="eastAsia"/>
          <w:color w:val="000000" w:themeColor="text1"/>
        </w:rPr>
        <w:t>事</w:t>
      </w:r>
      <w:r w:rsidRPr="000F0F71">
        <w:rPr>
          <w:rFonts w:hint="eastAsia"/>
          <w:color w:val="000000" w:themeColor="text1"/>
        </w:rPr>
        <w:t>報酬之決定，係依公司法第</w:t>
      </w:r>
      <w:r w:rsidRPr="000F0F71">
        <w:rPr>
          <w:rFonts w:hint="eastAsia"/>
          <w:color w:val="000000" w:themeColor="text1"/>
        </w:rPr>
        <w:t>196</w:t>
      </w:r>
      <w:r w:rsidRPr="000F0F71">
        <w:rPr>
          <w:rFonts w:hint="eastAsia"/>
          <w:color w:val="000000" w:themeColor="text1"/>
        </w:rPr>
        <w:t>條及經濟部</w:t>
      </w:r>
      <w:r w:rsidRPr="000F0F71">
        <w:rPr>
          <w:rFonts w:hint="eastAsia"/>
          <w:color w:val="000000" w:themeColor="text1"/>
        </w:rPr>
        <w:t>93</w:t>
      </w:r>
      <w:r w:rsidRPr="000F0F71">
        <w:rPr>
          <w:rFonts w:hint="eastAsia"/>
          <w:color w:val="000000" w:themeColor="text1"/>
        </w:rPr>
        <w:t>年</w:t>
      </w:r>
      <w:r w:rsidRPr="000F0F71">
        <w:rPr>
          <w:rFonts w:hint="eastAsia"/>
          <w:color w:val="000000" w:themeColor="text1"/>
        </w:rPr>
        <w:t>3</w:t>
      </w:r>
      <w:r w:rsidRPr="000F0F71">
        <w:rPr>
          <w:rFonts w:hint="eastAsia"/>
          <w:color w:val="000000" w:themeColor="text1"/>
        </w:rPr>
        <w:t>月</w:t>
      </w:r>
      <w:r w:rsidRPr="000F0F71">
        <w:rPr>
          <w:rFonts w:hint="eastAsia"/>
          <w:color w:val="000000" w:themeColor="text1"/>
        </w:rPr>
        <w:t>8</w:t>
      </w:r>
      <w:r w:rsidRPr="000F0F71">
        <w:rPr>
          <w:rFonts w:hint="eastAsia"/>
          <w:color w:val="000000" w:themeColor="text1"/>
        </w:rPr>
        <w:t>日函釋運作等語。而公司實務普遍依據經濟部上開函釋，於章程中授權董事會「依同業通常水準」議定，導致董</w:t>
      </w:r>
      <w:r w:rsidR="008631FD" w:rsidRPr="000F0F71">
        <w:rPr>
          <w:rFonts w:hint="eastAsia"/>
          <w:color w:val="000000" w:themeColor="text1"/>
        </w:rPr>
        <w:t>事</w:t>
      </w:r>
      <w:r w:rsidRPr="000F0F71">
        <w:rPr>
          <w:rFonts w:hint="eastAsia"/>
          <w:color w:val="000000" w:themeColor="text1"/>
        </w:rPr>
        <w:t>報酬之決定機關，已由股東會中心轉變為董事會中心。證券交易法於</w:t>
      </w:r>
      <w:r w:rsidRPr="000F0F71">
        <w:rPr>
          <w:rFonts w:hint="eastAsia"/>
          <w:color w:val="000000" w:themeColor="text1"/>
        </w:rPr>
        <w:t>99</w:t>
      </w:r>
      <w:r w:rsidRPr="000F0F71">
        <w:rPr>
          <w:rFonts w:hint="eastAsia"/>
          <w:color w:val="000000" w:themeColor="text1"/>
        </w:rPr>
        <w:t>年</w:t>
      </w:r>
      <w:r w:rsidRPr="000F0F71">
        <w:rPr>
          <w:rFonts w:hint="eastAsia"/>
          <w:color w:val="000000" w:themeColor="text1"/>
        </w:rPr>
        <w:t>11</w:t>
      </w:r>
      <w:r w:rsidRPr="000F0F71">
        <w:rPr>
          <w:rFonts w:hint="eastAsia"/>
          <w:color w:val="000000" w:themeColor="text1"/>
        </w:rPr>
        <w:t>月</w:t>
      </w:r>
      <w:r w:rsidRPr="000F0F71">
        <w:rPr>
          <w:rFonts w:hint="eastAsia"/>
          <w:color w:val="000000" w:themeColor="text1"/>
        </w:rPr>
        <w:t>24</w:t>
      </w:r>
      <w:r w:rsidR="00253C38">
        <w:rPr>
          <w:rFonts w:hint="eastAsia"/>
          <w:color w:val="000000" w:themeColor="text1"/>
        </w:rPr>
        <w:t>日</w:t>
      </w:r>
      <w:r w:rsidRPr="000F0F71">
        <w:rPr>
          <w:rFonts w:hint="eastAsia"/>
          <w:color w:val="000000" w:themeColor="text1"/>
        </w:rPr>
        <w:t>，仿效英美立法例增訂第</w:t>
      </w:r>
      <w:r w:rsidRPr="000F0F71">
        <w:rPr>
          <w:rFonts w:hint="eastAsia"/>
          <w:color w:val="000000" w:themeColor="text1"/>
        </w:rPr>
        <w:t>14</w:t>
      </w:r>
      <w:r w:rsidRPr="000F0F71">
        <w:rPr>
          <w:rFonts w:hint="eastAsia"/>
          <w:color w:val="000000" w:themeColor="text1"/>
        </w:rPr>
        <w:t>條之</w:t>
      </w:r>
      <w:r w:rsidRPr="000F0F71">
        <w:rPr>
          <w:rFonts w:hint="eastAsia"/>
          <w:color w:val="000000" w:themeColor="text1"/>
        </w:rPr>
        <w:t>6</w:t>
      </w:r>
      <w:r w:rsidR="00CD32F5" w:rsidRPr="000F0F71">
        <w:rPr>
          <w:rFonts w:hint="eastAsia"/>
          <w:color w:val="000000" w:themeColor="text1"/>
        </w:rPr>
        <w:t>，其</w:t>
      </w:r>
      <w:r w:rsidRPr="000F0F71">
        <w:rPr>
          <w:rFonts w:hint="eastAsia"/>
          <w:color w:val="000000" w:themeColor="text1"/>
        </w:rPr>
        <w:t>立法目的在為落實公司董監及經理人薪酬制度之合理化，於董事會下設置獨立及專業之薪酬委員會，就薪資報酬向董事會提出建議。</w:t>
      </w:r>
    </w:p>
    <w:p w:rsidR="00757006" w:rsidRPr="000F0F71" w:rsidRDefault="00757006" w:rsidP="00757006">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惟依證券交易所</w:t>
      </w:r>
      <w:r w:rsidR="00C55374" w:rsidRPr="000F0F71">
        <w:rPr>
          <w:rFonts w:ascii="標楷體" w:hAnsi="Arial" w:hint="eastAsia"/>
          <w:color w:val="000000" w:themeColor="text1"/>
          <w:szCs w:val="36"/>
        </w:rPr>
        <w:t>（下稱證交所）</w:t>
      </w:r>
      <w:r w:rsidRPr="000F0F71">
        <w:rPr>
          <w:rFonts w:ascii="標楷體" w:hAnsi="Arial" w:hint="eastAsia"/>
          <w:color w:val="000000" w:themeColor="text1"/>
          <w:szCs w:val="36"/>
        </w:rPr>
        <w:t>於106年1月25日公布104年度稅後虧損，但105年董事酬金總額或平均董事酬金不減反增之上市（櫃）公司總計達203家</w:t>
      </w:r>
      <w:r w:rsidR="005C2A57" w:rsidRPr="000F0F71">
        <w:rPr>
          <w:rFonts w:ascii="標楷體" w:hAnsi="Arial" w:hint="eastAsia"/>
          <w:color w:val="000000" w:themeColor="text1"/>
          <w:szCs w:val="36"/>
        </w:rPr>
        <w:t>，較前</w:t>
      </w:r>
      <w:r w:rsidR="00772393" w:rsidRPr="000F0F71">
        <w:rPr>
          <w:rFonts w:ascii="標楷體" w:hAnsi="Arial" w:hint="eastAsia"/>
          <w:color w:val="000000" w:themeColor="text1"/>
          <w:szCs w:val="36"/>
        </w:rPr>
        <w:t>1</w:t>
      </w:r>
      <w:r w:rsidR="005C2A57" w:rsidRPr="000F0F71">
        <w:rPr>
          <w:rFonts w:ascii="標楷體" w:hAnsi="Arial" w:hint="eastAsia"/>
          <w:color w:val="000000" w:themeColor="text1"/>
          <w:szCs w:val="36"/>
        </w:rPr>
        <w:t>年度之179家增加約13％</w:t>
      </w:r>
      <w:r w:rsidRPr="000F0F71">
        <w:rPr>
          <w:rFonts w:ascii="標楷體" w:hAnsi="Arial" w:hint="eastAsia"/>
          <w:color w:val="000000" w:themeColor="text1"/>
          <w:szCs w:val="36"/>
        </w:rPr>
        <w:t>，引起外界關注。經函請金管會就203家虧損公司篩選稅後虧損公司董</w:t>
      </w:r>
      <w:r w:rsidR="008631FD" w:rsidRPr="000F0F71">
        <w:rPr>
          <w:rFonts w:ascii="標楷體" w:hAnsi="Arial" w:hint="eastAsia"/>
          <w:color w:val="000000" w:themeColor="text1"/>
          <w:szCs w:val="36"/>
        </w:rPr>
        <w:t>事</w:t>
      </w:r>
      <w:r w:rsidRPr="000F0F71">
        <w:rPr>
          <w:rFonts w:ascii="標楷體" w:hAnsi="Arial" w:hint="eastAsia"/>
          <w:color w:val="000000" w:themeColor="text1"/>
          <w:szCs w:val="36"/>
        </w:rPr>
        <w:t>報酬(不含酬勞)增加之</w:t>
      </w:r>
      <w:r w:rsidRPr="000F0F71">
        <w:rPr>
          <w:rFonts w:ascii="標楷體" w:hAnsi="Arial" w:hint="eastAsia"/>
          <w:color w:val="000000" w:themeColor="text1"/>
          <w:szCs w:val="36"/>
        </w:rPr>
        <w:lastRenderedPageBreak/>
        <w:t>公司，計上市公司35家、上櫃公司</w:t>
      </w:r>
      <w:r w:rsidR="000339D3">
        <w:rPr>
          <w:rFonts w:ascii="標楷體" w:hAnsi="Arial" w:hint="eastAsia"/>
          <w:color w:val="000000" w:themeColor="text1"/>
          <w:szCs w:val="36"/>
        </w:rPr>
        <w:t>39</w:t>
      </w:r>
      <w:r w:rsidRPr="000F0F71">
        <w:rPr>
          <w:rFonts w:ascii="標楷體" w:hAnsi="Arial" w:hint="eastAsia"/>
          <w:color w:val="000000" w:themeColor="text1"/>
          <w:szCs w:val="36"/>
        </w:rPr>
        <w:t>家，共7</w:t>
      </w:r>
      <w:r w:rsidR="000339D3">
        <w:rPr>
          <w:rFonts w:ascii="標楷體" w:hAnsi="Arial" w:hint="eastAsia"/>
          <w:color w:val="000000" w:themeColor="text1"/>
          <w:szCs w:val="36"/>
        </w:rPr>
        <w:t>4</w:t>
      </w:r>
      <w:r w:rsidRPr="000F0F71">
        <w:rPr>
          <w:rFonts w:ascii="標楷體" w:hAnsi="Arial" w:hint="eastAsia"/>
          <w:color w:val="000000" w:themeColor="text1"/>
          <w:szCs w:val="36"/>
        </w:rPr>
        <w:t>家。對此，本院諮詢專家學者之意見略以：</w:t>
      </w:r>
    </w:p>
    <w:p w:rsidR="00757006" w:rsidRPr="000F0F71" w:rsidRDefault="00757006" w:rsidP="00757006">
      <w:pPr>
        <w:numPr>
          <w:ilvl w:val="4"/>
          <w:numId w:val="1"/>
        </w:numPr>
        <w:kinsoku w:val="0"/>
        <w:jc w:val="both"/>
        <w:outlineLvl w:val="4"/>
        <w:rPr>
          <w:rFonts w:ascii="標楷體" w:hAnsi="Arial"/>
          <w:bCs/>
          <w:color w:val="000000" w:themeColor="text1"/>
          <w:szCs w:val="36"/>
        </w:rPr>
      </w:pPr>
      <w:r w:rsidRPr="000F0F71">
        <w:rPr>
          <w:rFonts w:ascii="標楷體" w:hAnsi="Arial" w:hint="eastAsia"/>
          <w:bCs/>
          <w:color w:val="000000" w:themeColor="text1"/>
          <w:szCs w:val="36"/>
        </w:rPr>
        <w:t>我國</w:t>
      </w:r>
      <w:r w:rsidR="00BF25A3" w:rsidRPr="000F0F71">
        <w:rPr>
          <w:rFonts w:hint="eastAsia"/>
          <w:color w:val="000000" w:themeColor="text1"/>
        </w:rPr>
        <w:t>證券交易法</w:t>
      </w:r>
      <w:r w:rsidRPr="000F0F71">
        <w:rPr>
          <w:rFonts w:ascii="標楷體" w:hAnsi="Arial" w:hint="eastAsia"/>
          <w:bCs/>
          <w:color w:val="000000" w:themeColor="text1"/>
          <w:szCs w:val="36"/>
        </w:rPr>
        <w:t>第14條之2未強制規定設置獨立董事，薪酬</w:t>
      </w:r>
      <w:r w:rsidR="00253C38">
        <w:rPr>
          <w:rFonts w:ascii="標楷體" w:hAnsi="Arial" w:hint="eastAsia"/>
          <w:bCs/>
          <w:color w:val="000000" w:themeColor="text1"/>
          <w:szCs w:val="36"/>
        </w:rPr>
        <w:t>委員</w:t>
      </w:r>
      <w:r w:rsidRPr="000F0F71">
        <w:rPr>
          <w:rFonts w:ascii="標楷體" w:hAnsi="Arial" w:hint="eastAsia"/>
          <w:bCs/>
          <w:color w:val="000000" w:themeColor="text1"/>
          <w:szCs w:val="36"/>
        </w:rPr>
        <w:t>會僅有向董事會建議之權，且薪酬委員係由董事會委聘，獨立性存疑，實質功能有限，對於不符合公司治理原則之薪酬建議，法律責任之追究有其難度。</w:t>
      </w:r>
    </w:p>
    <w:p w:rsidR="00757006" w:rsidRPr="000F0F71" w:rsidRDefault="00757006" w:rsidP="00757006">
      <w:pPr>
        <w:numPr>
          <w:ilvl w:val="4"/>
          <w:numId w:val="1"/>
        </w:numPr>
        <w:kinsoku w:val="0"/>
        <w:jc w:val="both"/>
        <w:outlineLvl w:val="4"/>
        <w:rPr>
          <w:rFonts w:ascii="標楷體" w:hAnsi="Arial"/>
          <w:bCs/>
          <w:color w:val="000000" w:themeColor="text1"/>
          <w:szCs w:val="36"/>
        </w:rPr>
      </w:pPr>
      <w:r w:rsidRPr="000F0F71">
        <w:rPr>
          <w:rFonts w:ascii="標楷體" w:hAnsi="Arial"/>
          <w:bCs/>
          <w:color w:val="000000" w:themeColor="text1"/>
          <w:szCs w:val="36"/>
        </w:rPr>
        <w:t>薪酬委員（不論是否由獨立董事擔任）與公司間存有委任契約關係，若未善盡其提出薪酬建議之義務，自有其法律責任。誠然，其責任之追究並不容易，惟立法或行政機關</w:t>
      </w:r>
      <w:r w:rsidRPr="000F0F71">
        <w:rPr>
          <w:rFonts w:ascii="標楷體" w:hAnsi="Arial" w:hint="eastAsia"/>
          <w:bCs/>
          <w:color w:val="000000" w:themeColor="text1"/>
          <w:szCs w:val="36"/>
        </w:rPr>
        <w:t>若</w:t>
      </w:r>
      <w:r w:rsidRPr="000F0F71">
        <w:rPr>
          <w:rFonts w:ascii="標楷體" w:hAnsi="Arial"/>
          <w:bCs/>
          <w:color w:val="000000" w:themeColor="text1"/>
          <w:szCs w:val="36"/>
        </w:rPr>
        <w:t>予以更嚴密的規範，對於適當之薪酬結構的建立，應有一定之幫助。</w:t>
      </w:r>
    </w:p>
    <w:p w:rsidR="00757006" w:rsidRPr="000F0F71" w:rsidRDefault="00757006" w:rsidP="00757006">
      <w:pPr>
        <w:numPr>
          <w:ilvl w:val="4"/>
          <w:numId w:val="1"/>
        </w:numPr>
        <w:kinsoku w:val="0"/>
        <w:jc w:val="both"/>
        <w:outlineLvl w:val="4"/>
        <w:rPr>
          <w:rFonts w:ascii="標楷體" w:hAnsi="Arial"/>
          <w:bCs/>
          <w:color w:val="000000" w:themeColor="text1"/>
          <w:szCs w:val="36"/>
        </w:rPr>
      </w:pPr>
      <w:r w:rsidRPr="000F0F71">
        <w:rPr>
          <w:rFonts w:ascii="標楷體" w:hAnsi="Arial"/>
          <w:bCs/>
          <w:color w:val="000000" w:themeColor="text1"/>
          <w:szCs w:val="36"/>
        </w:rPr>
        <w:t>未來</w:t>
      </w:r>
      <w:r w:rsidRPr="000F0F71">
        <w:rPr>
          <w:rFonts w:ascii="標楷體" w:hAnsi="Arial"/>
          <w:color w:val="000000" w:themeColor="text1"/>
          <w:szCs w:val="36"/>
        </w:rPr>
        <w:t>關於</w:t>
      </w:r>
      <w:r w:rsidRPr="000F0F71">
        <w:rPr>
          <w:rFonts w:ascii="標楷體" w:hAnsi="Arial"/>
          <w:bCs/>
          <w:color w:val="000000" w:themeColor="text1"/>
          <w:szCs w:val="36"/>
        </w:rPr>
        <w:t>董事報酬的訂定若轉向董事會中心來設計，亦可同時考慮適度維持股東會所能扮演的制衡角色（例如考慮引進美國法上的say</w:t>
      </w:r>
      <w:r w:rsidRPr="000F0F71">
        <w:rPr>
          <w:rFonts w:ascii="標楷體" w:hAnsi="Arial" w:hint="eastAsia"/>
          <w:bCs/>
          <w:color w:val="000000" w:themeColor="text1"/>
          <w:szCs w:val="36"/>
        </w:rPr>
        <w:t xml:space="preserve"> </w:t>
      </w:r>
      <w:r w:rsidRPr="000F0F71">
        <w:rPr>
          <w:rFonts w:ascii="標楷體" w:hAnsi="Arial"/>
          <w:bCs/>
          <w:color w:val="000000" w:themeColor="text1"/>
          <w:szCs w:val="36"/>
        </w:rPr>
        <w:t>on-pay制度</w:t>
      </w:r>
      <w:r w:rsidRPr="000F0F71">
        <w:rPr>
          <w:rFonts w:ascii="標楷體" w:hAnsi="Arial" w:hint="eastAsia"/>
          <w:bCs/>
          <w:color w:val="000000" w:themeColor="text1"/>
          <w:szCs w:val="36"/>
        </w:rPr>
        <w:t>）。</w:t>
      </w:r>
    </w:p>
    <w:p w:rsidR="00757006" w:rsidRPr="000F0F71" w:rsidRDefault="00757006" w:rsidP="00757006">
      <w:pPr>
        <w:numPr>
          <w:ilvl w:val="3"/>
          <w:numId w:val="1"/>
        </w:numPr>
        <w:ind w:left="1741"/>
        <w:jc w:val="both"/>
        <w:outlineLvl w:val="3"/>
        <w:rPr>
          <w:color w:val="000000" w:themeColor="text1"/>
        </w:rPr>
      </w:pPr>
      <w:r w:rsidRPr="000F0F71">
        <w:rPr>
          <w:rFonts w:hint="eastAsia"/>
          <w:color w:val="000000" w:themeColor="text1"/>
        </w:rPr>
        <w:t>綜上，我國證券交易法為</w:t>
      </w:r>
      <w:r w:rsidR="00E97AA9" w:rsidRPr="000F0F71">
        <w:rPr>
          <w:rFonts w:hint="eastAsia"/>
          <w:color w:val="000000" w:themeColor="text1"/>
        </w:rPr>
        <w:t>建立合理之</w:t>
      </w:r>
      <w:r w:rsidRPr="000F0F71">
        <w:rPr>
          <w:rFonts w:hint="eastAsia"/>
          <w:color w:val="000000" w:themeColor="text1"/>
        </w:rPr>
        <w:t>公司董監薪酬制度，雖於</w:t>
      </w:r>
      <w:r w:rsidRPr="000F0F71">
        <w:rPr>
          <w:rFonts w:hint="eastAsia"/>
          <w:color w:val="000000" w:themeColor="text1"/>
        </w:rPr>
        <w:t>99</w:t>
      </w:r>
      <w:r w:rsidRPr="000F0F71">
        <w:rPr>
          <w:rFonts w:hint="eastAsia"/>
          <w:color w:val="000000" w:themeColor="text1"/>
        </w:rPr>
        <w:t>年</w:t>
      </w:r>
      <w:r w:rsidRPr="000F0F71">
        <w:rPr>
          <w:rFonts w:hint="eastAsia"/>
          <w:color w:val="000000" w:themeColor="text1"/>
        </w:rPr>
        <w:t>11</w:t>
      </w:r>
      <w:r w:rsidRPr="000F0F71">
        <w:rPr>
          <w:rFonts w:hint="eastAsia"/>
          <w:color w:val="000000" w:themeColor="text1"/>
        </w:rPr>
        <w:t>月</w:t>
      </w:r>
      <w:r w:rsidRPr="000F0F71">
        <w:rPr>
          <w:rFonts w:hint="eastAsia"/>
          <w:color w:val="000000" w:themeColor="text1"/>
        </w:rPr>
        <w:t>24</w:t>
      </w:r>
      <w:r w:rsidRPr="000F0F71">
        <w:rPr>
          <w:rFonts w:hint="eastAsia"/>
          <w:color w:val="000000" w:themeColor="text1"/>
        </w:rPr>
        <w:t>日增訂第</w:t>
      </w:r>
      <w:r w:rsidRPr="000F0F71">
        <w:rPr>
          <w:rFonts w:hint="eastAsia"/>
          <w:color w:val="000000" w:themeColor="text1"/>
        </w:rPr>
        <w:t>14</w:t>
      </w:r>
      <w:r w:rsidRPr="000F0F71">
        <w:rPr>
          <w:rFonts w:hint="eastAsia"/>
          <w:color w:val="000000" w:themeColor="text1"/>
        </w:rPr>
        <w:t>條之</w:t>
      </w:r>
      <w:r w:rsidRPr="000F0F71">
        <w:rPr>
          <w:rFonts w:hint="eastAsia"/>
          <w:color w:val="000000" w:themeColor="text1"/>
        </w:rPr>
        <w:t>6</w:t>
      </w:r>
      <w:r w:rsidRPr="000F0F71">
        <w:rPr>
          <w:rFonts w:hint="eastAsia"/>
          <w:color w:val="000000" w:themeColor="text1"/>
        </w:rPr>
        <w:t>，強制上市（櫃）公司</w:t>
      </w:r>
      <w:r w:rsidR="00E97AA9" w:rsidRPr="000F0F71">
        <w:rPr>
          <w:rFonts w:hint="eastAsia"/>
          <w:color w:val="000000" w:themeColor="text1"/>
        </w:rPr>
        <w:t>於董事會下</w:t>
      </w:r>
      <w:r w:rsidRPr="000F0F71">
        <w:rPr>
          <w:rFonts w:hint="eastAsia"/>
          <w:color w:val="000000" w:themeColor="text1"/>
        </w:rPr>
        <w:t>設置</w:t>
      </w:r>
      <w:r w:rsidR="00E97AA9" w:rsidRPr="000F0F71">
        <w:rPr>
          <w:rFonts w:hint="eastAsia"/>
          <w:color w:val="000000" w:themeColor="text1"/>
        </w:rPr>
        <w:t>獨立及專業之</w:t>
      </w:r>
      <w:r w:rsidRPr="000F0F71">
        <w:rPr>
          <w:rFonts w:hint="eastAsia"/>
          <w:color w:val="000000" w:themeColor="text1"/>
        </w:rPr>
        <w:t>薪酬委員會。</w:t>
      </w:r>
      <w:r w:rsidR="00E97AA9" w:rsidRPr="000F0F71">
        <w:rPr>
          <w:rFonts w:hint="eastAsia"/>
          <w:color w:val="000000" w:themeColor="text1"/>
        </w:rPr>
        <w:t>然而</w:t>
      </w:r>
      <w:r w:rsidRPr="000F0F71">
        <w:rPr>
          <w:rFonts w:hint="eastAsia"/>
          <w:color w:val="000000" w:themeColor="text1"/>
        </w:rPr>
        <w:t>實施以來，公司稅後連續虧損，董事酬金不減反增之公司仍不在少數</w:t>
      </w:r>
      <w:r w:rsidR="00E97AA9" w:rsidRPr="000F0F71">
        <w:rPr>
          <w:rFonts w:hint="eastAsia"/>
          <w:color w:val="000000" w:themeColor="text1"/>
        </w:rPr>
        <w:t>。</w:t>
      </w:r>
      <w:r w:rsidRPr="000F0F71">
        <w:rPr>
          <w:rFonts w:hint="eastAsia"/>
          <w:color w:val="000000" w:themeColor="text1"/>
        </w:rPr>
        <w:t>專家學者</w:t>
      </w:r>
      <w:r w:rsidR="00E97AA9" w:rsidRPr="000F0F71">
        <w:rPr>
          <w:rFonts w:hint="eastAsia"/>
          <w:color w:val="000000" w:themeColor="text1"/>
        </w:rPr>
        <w:t>指出其原因在於薪</w:t>
      </w:r>
      <w:r w:rsidRPr="000F0F71">
        <w:rPr>
          <w:rFonts w:hint="eastAsia"/>
          <w:color w:val="000000" w:themeColor="text1"/>
        </w:rPr>
        <w:t>酬委員由董事會委聘</w:t>
      </w:r>
      <w:r w:rsidR="00E97AA9" w:rsidRPr="000F0F71">
        <w:rPr>
          <w:rFonts w:hint="eastAsia"/>
          <w:color w:val="000000" w:themeColor="text1"/>
        </w:rPr>
        <w:t>，其獨立性不足，且其提出之薪酬建議僅供給董事會參考，而無拘束力等語。為發揮制度設計之目的，薪酬委員會功能仍有待</w:t>
      </w:r>
      <w:r w:rsidRPr="000F0F71">
        <w:rPr>
          <w:rFonts w:hint="eastAsia"/>
          <w:color w:val="000000" w:themeColor="text1"/>
        </w:rPr>
        <w:t>強化</w:t>
      </w:r>
      <w:r w:rsidR="00E97AA9" w:rsidRPr="000F0F71">
        <w:rPr>
          <w:rFonts w:hint="eastAsia"/>
          <w:color w:val="000000" w:themeColor="text1"/>
        </w:rPr>
        <w:t>。</w:t>
      </w:r>
    </w:p>
    <w:p w:rsidR="007549A2" w:rsidRPr="000F0F71" w:rsidRDefault="007549A2" w:rsidP="002E20FA">
      <w:pPr>
        <w:pStyle w:val="3"/>
        <w:rPr>
          <w:b/>
          <w:color w:val="000000" w:themeColor="text1"/>
        </w:rPr>
      </w:pPr>
      <w:r w:rsidRPr="000F0F71">
        <w:rPr>
          <w:rFonts w:hint="eastAsia"/>
          <w:b/>
          <w:color w:val="000000" w:themeColor="text1"/>
        </w:rPr>
        <w:t>金管會</w:t>
      </w:r>
      <w:r w:rsidR="000C1A50" w:rsidRPr="000F0F71">
        <w:rPr>
          <w:rFonts w:hint="eastAsia"/>
          <w:b/>
          <w:color w:val="000000" w:themeColor="text1"/>
        </w:rPr>
        <w:t>為強化監督機制，除依證券交易法之授權，</w:t>
      </w:r>
      <w:r w:rsidRPr="000F0F71">
        <w:rPr>
          <w:rFonts w:hint="eastAsia"/>
          <w:b/>
          <w:color w:val="000000" w:themeColor="text1"/>
        </w:rPr>
        <w:t>訂定薪酬委員會職權行使辦法</w:t>
      </w:r>
      <w:r w:rsidR="000C1A50" w:rsidRPr="000F0F71">
        <w:rPr>
          <w:rFonts w:hint="eastAsia"/>
          <w:b/>
          <w:color w:val="000000" w:themeColor="text1"/>
        </w:rPr>
        <w:t>外</w:t>
      </w:r>
      <w:r w:rsidRPr="000F0F71">
        <w:rPr>
          <w:rFonts w:hint="eastAsia"/>
          <w:b/>
          <w:color w:val="000000" w:themeColor="text1"/>
        </w:rPr>
        <w:t>，並透過資訊揭露及市場監督，引導公司訂定合理之薪資，</w:t>
      </w:r>
      <w:r w:rsidR="00104FA5" w:rsidRPr="000F0F71">
        <w:rPr>
          <w:rFonts w:hint="eastAsia"/>
          <w:b/>
          <w:color w:val="000000" w:themeColor="text1"/>
        </w:rPr>
        <w:t>雖不無改進</w:t>
      </w:r>
      <w:r w:rsidRPr="000F0F71">
        <w:rPr>
          <w:rFonts w:hint="eastAsia"/>
          <w:b/>
          <w:color w:val="000000" w:themeColor="text1"/>
        </w:rPr>
        <w:t>之作為</w:t>
      </w:r>
      <w:r w:rsidR="00104FA5" w:rsidRPr="000F0F71">
        <w:rPr>
          <w:rFonts w:hint="eastAsia"/>
          <w:b/>
          <w:color w:val="000000" w:themeColor="text1"/>
        </w:rPr>
        <w:t>，</w:t>
      </w:r>
      <w:r w:rsidR="00E97AA9" w:rsidRPr="000F0F71">
        <w:rPr>
          <w:rFonts w:hint="eastAsia"/>
          <w:b/>
          <w:color w:val="000000" w:themeColor="text1"/>
        </w:rPr>
        <w:t>惟上開辦法</w:t>
      </w:r>
      <w:r w:rsidR="006C08ED" w:rsidRPr="000F0F71">
        <w:rPr>
          <w:rFonts w:hint="eastAsia"/>
          <w:b/>
          <w:color w:val="000000" w:themeColor="text1"/>
        </w:rPr>
        <w:t>及監督機制</w:t>
      </w:r>
      <w:r w:rsidR="00FA3B13" w:rsidRPr="000F0F71">
        <w:rPr>
          <w:rFonts w:hint="eastAsia"/>
          <w:b/>
          <w:color w:val="000000" w:themeColor="text1"/>
        </w:rPr>
        <w:t>仍有未足之處。</w:t>
      </w:r>
      <w:r w:rsidR="00FA3B13" w:rsidRPr="000F0F71">
        <w:rPr>
          <w:rFonts w:hint="eastAsia"/>
          <w:b/>
          <w:color w:val="000000" w:themeColor="text1"/>
        </w:rPr>
        <w:lastRenderedPageBreak/>
        <w:t>舉例言之，該辦法僅規定薪酬委員會行使職權之原則，然</w:t>
      </w:r>
      <w:r w:rsidR="005C2A57" w:rsidRPr="000F0F71">
        <w:rPr>
          <w:rFonts w:hint="eastAsia"/>
          <w:b/>
          <w:color w:val="000000" w:themeColor="text1"/>
        </w:rPr>
        <w:t>未</w:t>
      </w:r>
      <w:r w:rsidR="006C08ED" w:rsidRPr="000F0F71">
        <w:rPr>
          <w:rFonts w:hint="eastAsia"/>
          <w:b/>
          <w:color w:val="000000" w:themeColor="text1"/>
        </w:rPr>
        <w:t>列舉</w:t>
      </w:r>
      <w:r w:rsidR="00FA3B13" w:rsidRPr="000F0F71">
        <w:rPr>
          <w:rFonts w:hint="eastAsia"/>
          <w:b/>
          <w:color w:val="000000" w:themeColor="text1"/>
        </w:rPr>
        <w:t>董監</w:t>
      </w:r>
      <w:r w:rsidR="00104FA5" w:rsidRPr="000F0F71">
        <w:rPr>
          <w:rFonts w:hint="eastAsia"/>
          <w:b/>
          <w:color w:val="000000" w:themeColor="text1"/>
        </w:rPr>
        <w:t>績效評估</w:t>
      </w:r>
      <w:r w:rsidR="00FA3B13" w:rsidRPr="000F0F71">
        <w:rPr>
          <w:rFonts w:hint="eastAsia"/>
          <w:b/>
          <w:color w:val="000000" w:themeColor="text1"/>
        </w:rPr>
        <w:t>之參考標準</w:t>
      </w:r>
      <w:r w:rsidR="006C08ED" w:rsidRPr="000F0F71">
        <w:rPr>
          <w:rFonts w:hint="eastAsia"/>
          <w:b/>
          <w:color w:val="000000" w:themeColor="text1"/>
        </w:rPr>
        <w:t>，</w:t>
      </w:r>
      <w:r w:rsidR="00FC4E4D" w:rsidRPr="000F0F71">
        <w:rPr>
          <w:rFonts w:hint="eastAsia"/>
          <w:b/>
          <w:color w:val="000000" w:themeColor="text1"/>
        </w:rPr>
        <w:t>及如何落實至</w:t>
      </w:r>
      <w:r w:rsidR="005D7508" w:rsidRPr="000F0F71">
        <w:rPr>
          <w:rFonts w:hint="eastAsia"/>
          <w:b/>
          <w:color w:val="000000" w:themeColor="text1"/>
        </w:rPr>
        <w:t>個別</w:t>
      </w:r>
      <w:r w:rsidR="00FA3B13" w:rsidRPr="000F0F71">
        <w:rPr>
          <w:rFonts w:hint="eastAsia"/>
          <w:b/>
          <w:color w:val="000000" w:themeColor="text1"/>
        </w:rPr>
        <w:t>薪酬</w:t>
      </w:r>
      <w:r w:rsidR="006C08ED" w:rsidRPr="000F0F71">
        <w:rPr>
          <w:rFonts w:hint="eastAsia"/>
          <w:b/>
          <w:color w:val="000000" w:themeColor="text1"/>
        </w:rPr>
        <w:t>之具體作法</w:t>
      </w:r>
      <w:r w:rsidR="00FA3B13" w:rsidRPr="000F0F71">
        <w:rPr>
          <w:rFonts w:hint="eastAsia"/>
          <w:b/>
          <w:color w:val="000000" w:themeColor="text1"/>
        </w:rPr>
        <w:t>，亦未列明</w:t>
      </w:r>
      <w:r w:rsidR="00FC4E4D" w:rsidRPr="000F0F71">
        <w:rPr>
          <w:rFonts w:hint="eastAsia"/>
          <w:b/>
          <w:color w:val="000000" w:themeColor="text1"/>
        </w:rPr>
        <w:t>公司</w:t>
      </w:r>
      <w:r w:rsidR="006C08ED" w:rsidRPr="000F0F71">
        <w:rPr>
          <w:rFonts w:hint="eastAsia"/>
          <w:b/>
          <w:color w:val="000000" w:themeColor="text1"/>
        </w:rPr>
        <w:t>於</w:t>
      </w:r>
      <w:r w:rsidR="00FC4E4D" w:rsidRPr="000F0F71">
        <w:rPr>
          <w:rFonts w:hint="eastAsia"/>
          <w:b/>
          <w:color w:val="000000" w:themeColor="text1"/>
        </w:rPr>
        <w:t>特定情事</w:t>
      </w:r>
      <w:r w:rsidR="006241AD" w:rsidRPr="000F0F71">
        <w:rPr>
          <w:rFonts w:hint="eastAsia"/>
          <w:b/>
          <w:color w:val="000000" w:themeColor="text1"/>
        </w:rPr>
        <w:t>時</w:t>
      </w:r>
      <w:r w:rsidR="00FC4E4D" w:rsidRPr="000F0F71">
        <w:rPr>
          <w:rFonts w:hint="eastAsia"/>
          <w:b/>
          <w:color w:val="000000" w:themeColor="text1"/>
        </w:rPr>
        <w:t>（如長期虧損），</w:t>
      </w:r>
      <w:r w:rsidR="006C08ED" w:rsidRPr="000F0F71">
        <w:rPr>
          <w:rFonts w:hint="eastAsia"/>
          <w:b/>
          <w:color w:val="000000" w:themeColor="text1"/>
        </w:rPr>
        <w:t>應如何合理限制</w:t>
      </w:r>
      <w:r w:rsidR="00FC4E4D" w:rsidRPr="000F0F71">
        <w:rPr>
          <w:rFonts w:hint="eastAsia"/>
          <w:b/>
          <w:color w:val="000000" w:themeColor="text1"/>
        </w:rPr>
        <w:t>董監薪酬</w:t>
      </w:r>
      <w:r w:rsidR="00F245A4" w:rsidRPr="000F0F71">
        <w:rPr>
          <w:rFonts w:hint="eastAsia"/>
          <w:b/>
          <w:color w:val="000000" w:themeColor="text1"/>
        </w:rPr>
        <w:t>；</w:t>
      </w:r>
      <w:r w:rsidR="00FC4E4D" w:rsidRPr="000F0F71">
        <w:rPr>
          <w:rFonts w:hint="eastAsia"/>
          <w:b/>
          <w:color w:val="000000" w:themeColor="text1"/>
        </w:rPr>
        <w:t>另</w:t>
      </w:r>
      <w:r w:rsidR="00E97AA9" w:rsidRPr="000F0F71">
        <w:rPr>
          <w:rFonts w:hint="eastAsia"/>
          <w:b/>
          <w:color w:val="000000" w:themeColor="text1"/>
        </w:rPr>
        <w:t>資訊揭露部分，</w:t>
      </w:r>
      <w:r w:rsidR="00F245A4" w:rsidRPr="000F0F71">
        <w:rPr>
          <w:rFonts w:hint="eastAsia"/>
          <w:b/>
          <w:color w:val="000000" w:themeColor="text1"/>
        </w:rPr>
        <w:t>證交</w:t>
      </w:r>
      <w:r w:rsidR="005C2A57" w:rsidRPr="000F0F71">
        <w:rPr>
          <w:rFonts w:hint="eastAsia"/>
          <w:b/>
          <w:color w:val="000000" w:themeColor="text1"/>
        </w:rPr>
        <w:t>所</w:t>
      </w:r>
      <w:r w:rsidR="000434AB" w:rsidRPr="000F0F71">
        <w:rPr>
          <w:rFonts w:hint="eastAsia"/>
          <w:b/>
          <w:color w:val="000000" w:themeColor="text1"/>
        </w:rPr>
        <w:t>每年</w:t>
      </w:r>
      <w:r w:rsidR="005C2A57" w:rsidRPr="000F0F71">
        <w:rPr>
          <w:rFonts w:hint="eastAsia"/>
          <w:b/>
          <w:color w:val="000000" w:themeColor="text1"/>
        </w:rPr>
        <w:t>公布虧損但董監</w:t>
      </w:r>
      <w:r w:rsidR="000434AB" w:rsidRPr="000F0F71">
        <w:rPr>
          <w:rFonts w:hint="eastAsia"/>
          <w:b/>
          <w:color w:val="000000" w:themeColor="text1"/>
        </w:rPr>
        <w:t>酬金增加</w:t>
      </w:r>
      <w:r w:rsidR="005C2A57" w:rsidRPr="000F0F71">
        <w:rPr>
          <w:rFonts w:hint="eastAsia"/>
          <w:b/>
          <w:color w:val="000000" w:themeColor="text1"/>
        </w:rPr>
        <w:t>之公司</w:t>
      </w:r>
      <w:r w:rsidR="00F245A4" w:rsidRPr="000F0F71">
        <w:rPr>
          <w:rFonts w:hint="eastAsia"/>
          <w:b/>
          <w:color w:val="000000" w:themeColor="text1"/>
        </w:rPr>
        <w:t>，然</w:t>
      </w:r>
      <w:r w:rsidR="006D6458" w:rsidRPr="000F0F71">
        <w:rPr>
          <w:rFonts w:hint="eastAsia"/>
          <w:b/>
          <w:color w:val="000000" w:themeColor="text1"/>
        </w:rPr>
        <w:t>因</w:t>
      </w:r>
      <w:r w:rsidR="002E20FA" w:rsidRPr="000F0F71">
        <w:rPr>
          <w:rFonts w:hint="eastAsia"/>
          <w:b/>
          <w:color w:val="000000" w:themeColor="text1"/>
        </w:rPr>
        <w:t>董監酬金</w:t>
      </w:r>
      <w:r w:rsidR="000434AB" w:rsidRPr="000F0F71">
        <w:rPr>
          <w:rFonts w:hint="eastAsia"/>
          <w:b/>
          <w:color w:val="000000" w:themeColor="text1"/>
        </w:rPr>
        <w:t>涵括</w:t>
      </w:r>
      <w:r w:rsidR="006C08ED" w:rsidRPr="000F0F71">
        <w:rPr>
          <w:rFonts w:hint="eastAsia"/>
          <w:b/>
          <w:color w:val="000000" w:themeColor="text1"/>
        </w:rPr>
        <w:t>之</w:t>
      </w:r>
      <w:r w:rsidR="006D6458" w:rsidRPr="000F0F71">
        <w:rPr>
          <w:rFonts w:hint="eastAsia"/>
          <w:b/>
          <w:color w:val="000000" w:themeColor="text1"/>
        </w:rPr>
        <w:t>範圍</w:t>
      </w:r>
      <w:r w:rsidR="006C08ED" w:rsidRPr="000F0F71">
        <w:rPr>
          <w:rFonts w:hint="eastAsia"/>
          <w:b/>
          <w:color w:val="000000" w:themeColor="text1"/>
        </w:rPr>
        <w:t>甚</w:t>
      </w:r>
      <w:r w:rsidR="006D6458" w:rsidRPr="000F0F71">
        <w:rPr>
          <w:rFonts w:hint="eastAsia"/>
          <w:b/>
          <w:color w:val="000000" w:themeColor="text1"/>
        </w:rPr>
        <w:t>廣</w:t>
      </w:r>
      <w:r w:rsidR="000434AB" w:rsidRPr="000F0F71">
        <w:rPr>
          <w:rFonts w:hint="eastAsia"/>
          <w:b/>
          <w:color w:val="000000" w:themeColor="text1"/>
        </w:rPr>
        <w:t>，</w:t>
      </w:r>
      <w:r w:rsidR="006C08ED" w:rsidRPr="000F0F71">
        <w:rPr>
          <w:rFonts w:hint="eastAsia"/>
          <w:b/>
          <w:color w:val="000000" w:themeColor="text1"/>
        </w:rPr>
        <w:t>而</w:t>
      </w:r>
      <w:r w:rsidR="00E95A57" w:rsidRPr="000F0F71">
        <w:rPr>
          <w:rFonts w:hint="eastAsia"/>
          <w:b/>
          <w:color w:val="000000" w:themeColor="text1"/>
        </w:rPr>
        <w:t>各公司之</w:t>
      </w:r>
      <w:r w:rsidR="002E20FA" w:rsidRPr="000F0F71">
        <w:rPr>
          <w:rFonts w:hint="eastAsia"/>
          <w:b/>
          <w:color w:val="000000" w:themeColor="text1"/>
        </w:rPr>
        <w:t>產業前景、營運績效變化趨勢、發展策略、董</w:t>
      </w:r>
      <w:r w:rsidR="000434AB" w:rsidRPr="000F0F71">
        <w:rPr>
          <w:rFonts w:hint="eastAsia"/>
          <w:b/>
          <w:color w:val="000000" w:themeColor="text1"/>
        </w:rPr>
        <w:t>事</w:t>
      </w:r>
      <w:r w:rsidR="002E20FA" w:rsidRPr="000F0F71">
        <w:rPr>
          <w:rFonts w:hint="eastAsia"/>
          <w:b/>
          <w:color w:val="000000" w:themeColor="text1"/>
        </w:rPr>
        <w:t>經驗與貢獻程度等</w:t>
      </w:r>
      <w:r w:rsidR="00E95A57" w:rsidRPr="000F0F71">
        <w:rPr>
          <w:rFonts w:hint="eastAsia"/>
          <w:b/>
          <w:color w:val="000000" w:themeColor="text1"/>
        </w:rPr>
        <w:t>差異甚大</w:t>
      </w:r>
      <w:r w:rsidR="000434AB" w:rsidRPr="000F0F71">
        <w:rPr>
          <w:rFonts w:hint="eastAsia"/>
          <w:b/>
          <w:color w:val="000000" w:themeColor="text1"/>
        </w:rPr>
        <w:t>，逕以公司稅後是否虧損</w:t>
      </w:r>
      <w:r w:rsidR="00025B28" w:rsidRPr="000F0F71">
        <w:rPr>
          <w:rFonts w:hint="eastAsia"/>
          <w:b/>
          <w:color w:val="000000" w:themeColor="text1"/>
        </w:rPr>
        <w:t>及董監酬金是否增加</w:t>
      </w:r>
      <w:r w:rsidR="006241AD" w:rsidRPr="000F0F71">
        <w:rPr>
          <w:rFonts w:hint="eastAsia"/>
          <w:b/>
          <w:color w:val="000000" w:themeColor="text1"/>
        </w:rPr>
        <w:t>兩項標準</w:t>
      </w:r>
      <w:r w:rsidR="000434AB" w:rsidRPr="000F0F71">
        <w:rPr>
          <w:rFonts w:hint="eastAsia"/>
          <w:b/>
          <w:color w:val="000000" w:themeColor="text1"/>
        </w:rPr>
        <w:t>，論斷</w:t>
      </w:r>
      <w:r w:rsidR="00025B28" w:rsidRPr="000F0F71">
        <w:rPr>
          <w:rFonts w:hint="eastAsia"/>
          <w:b/>
          <w:color w:val="000000" w:themeColor="text1"/>
        </w:rPr>
        <w:t>其</w:t>
      </w:r>
      <w:r w:rsidR="000434AB" w:rsidRPr="000F0F71">
        <w:rPr>
          <w:rFonts w:hint="eastAsia"/>
          <w:b/>
          <w:color w:val="000000" w:themeColor="text1"/>
        </w:rPr>
        <w:t>有無落實公司治理或董監酬</w:t>
      </w:r>
      <w:r w:rsidR="006D6458" w:rsidRPr="000F0F71">
        <w:rPr>
          <w:rFonts w:hint="eastAsia"/>
          <w:b/>
          <w:color w:val="000000" w:themeColor="text1"/>
        </w:rPr>
        <w:t>金</w:t>
      </w:r>
      <w:r w:rsidR="002E20FA" w:rsidRPr="000F0F71">
        <w:rPr>
          <w:rFonts w:hint="eastAsia"/>
          <w:b/>
          <w:color w:val="000000" w:themeColor="text1"/>
        </w:rPr>
        <w:t>偏高</w:t>
      </w:r>
      <w:r w:rsidR="006C08ED" w:rsidRPr="000F0F71">
        <w:rPr>
          <w:rFonts w:hint="eastAsia"/>
          <w:b/>
          <w:color w:val="000000" w:themeColor="text1"/>
        </w:rPr>
        <w:t>，或危及股東權益等</w:t>
      </w:r>
      <w:r w:rsidR="000434AB" w:rsidRPr="000F0F71">
        <w:rPr>
          <w:rFonts w:hint="eastAsia"/>
          <w:b/>
          <w:color w:val="000000" w:themeColor="text1"/>
        </w:rPr>
        <w:t>，似有欠周延</w:t>
      </w:r>
      <w:r w:rsidR="00E95A57" w:rsidRPr="000F0F71">
        <w:rPr>
          <w:rFonts w:hint="eastAsia"/>
          <w:b/>
          <w:color w:val="000000" w:themeColor="text1"/>
        </w:rPr>
        <w:t>，</w:t>
      </w:r>
      <w:r w:rsidR="002A6582" w:rsidRPr="000F0F71">
        <w:rPr>
          <w:rFonts w:hint="eastAsia"/>
          <w:b/>
          <w:color w:val="000000" w:themeColor="text1"/>
        </w:rPr>
        <w:t>非無再行研酌之必要。</w:t>
      </w:r>
    </w:p>
    <w:p w:rsidR="007549A2" w:rsidRPr="000F0F71" w:rsidRDefault="002A6582" w:rsidP="002A658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證券交易法於99年11月24日增訂第14條之6後，</w:t>
      </w:r>
      <w:r w:rsidR="007549A2" w:rsidRPr="000F0F71">
        <w:rPr>
          <w:rFonts w:ascii="標楷體" w:hAnsi="Arial" w:hint="eastAsia"/>
          <w:color w:val="000000" w:themeColor="text1"/>
          <w:szCs w:val="36"/>
        </w:rPr>
        <w:t>金管會於100年3月18日依</w:t>
      </w:r>
      <w:r w:rsidRPr="000F0F71">
        <w:rPr>
          <w:rFonts w:ascii="標楷體" w:hAnsi="Arial" w:hint="eastAsia"/>
          <w:color w:val="000000" w:themeColor="text1"/>
          <w:szCs w:val="36"/>
        </w:rPr>
        <w:t>該</w:t>
      </w:r>
      <w:r w:rsidR="00CD32F5" w:rsidRPr="000F0F71">
        <w:rPr>
          <w:rFonts w:ascii="標楷體" w:hAnsi="Arial" w:hint="eastAsia"/>
          <w:color w:val="000000" w:themeColor="text1"/>
          <w:szCs w:val="36"/>
        </w:rPr>
        <w:t>條</w:t>
      </w:r>
      <w:r w:rsidR="007549A2" w:rsidRPr="000F0F71">
        <w:rPr>
          <w:rFonts w:ascii="標楷體" w:hAnsi="Arial" w:hint="eastAsia"/>
          <w:color w:val="000000" w:themeColor="text1"/>
          <w:szCs w:val="36"/>
        </w:rPr>
        <w:t>授權</w:t>
      </w:r>
      <w:r w:rsidRPr="000F0F71">
        <w:rPr>
          <w:rFonts w:ascii="標楷體" w:hAnsi="Arial" w:hint="eastAsia"/>
          <w:color w:val="000000" w:themeColor="text1"/>
          <w:szCs w:val="36"/>
        </w:rPr>
        <w:t>，</w:t>
      </w:r>
      <w:r w:rsidR="007549A2" w:rsidRPr="000F0F71">
        <w:rPr>
          <w:rFonts w:ascii="標楷體" w:hAnsi="Arial" w:hint="eastAsia"/>
          <w:color w:val="000000" w:themeColor="text1"/>
          <w:szCs w:val="36"/>
        </w:rPr>
        <w:t>訂定薪酬委員會職權辦法。</w:t>
      </w:r>
      <w:r w:rsidR="000C1A50" w:rsidRPr="000F0F71">
        <w:rPr>
          <w:rFonts w:ascii="標楷體" w:hAnsi="Arial" w:hint="eastAsia"/>
          <w:color w:val="000000" w:themeColor="text1"/>
          <w:szCs w:val="36"/>
        </w:rPr>
        <w:t>又</w:t>
      </w:r>
      <w:r w:rsidR="00E95A57" w:rsidRPr="000F0F71">
        <w:rPr>
          <w:rFonts w:ascii="標楷體" w:hAnsi="Arial" w:hint="eastAsia"/>
          <w:color w:val="000000" w:themeColor="text1"/>
          <w:szCs w:val="36"/>
        </w:rPr>
        <w:t>該</w:t>
      </w:r>
      <w:r w:rsidR="007549A2" w:rsidRPr="000F0F71">
        <w:rPr>
          <w:rFonts w:ascii="標楷體" w:hAnsi="Arial" w:hint="eastAsia"/>
          <w:color w:val="000000" w:themeColor="text1"/>
          <w:szCs w:val="36"/>
        </w:rPr>
        <w:t>會</w:t>
      </w:r>
      <w:r w:rsidR="000C1A50" w:rsidRPr="000F0F71">
        <w:rPr>
          <w:rFonts w:ascii="標楷體" w:hAnsi="Arial" w:hint="eastAsia"/>
          <w:color w:val="000000" w:themeColor="text1"/>
          <w:szCs w:val="36"/>
        </w:rPr>
        <w:t>為強化資訊透明及外界監督機制，自</w:t>
      </w:r>
      <w:r w:rsidR="007549A2" w:rsidRPr="000F0F71">
        <w:rPr>
          <w:rFonts w:ascii="標楷體" w:hAnsi="Arial" w:hint="eastAsia"/>
          <w:color w:val="000000" w:themeColor="text1"/>
          <w:szCs w:val="36"/>
        </w:rPr>
        <w:t>102年度第2季起，要求證交所及</w:t>
      </w:r>
      <w:r w:rsidR="004B7949" w:rsidRPr="000F0F71">
        <w:rPr>
          <w:rFonts w:ascii="標楷體" w:hAnsi="Arial" w:hint="eastAsia"/>
          <w:color w:val="000000" w:themeColor="text1"/>
          <w:szCs w:val="36"/>
        </w:rPr>
        <w:t>證券</w:t>
      </w:r>
      <w:r w:rsidR="007549A2" w:rsidRPr="000F0F71">
        <w:rPr>
          <w:rFonts w:ascii="標楷體" w:hAnsi="Arial" w:hint="eastAsia"/>
          <w:color w:val="000000" w:themeColor="text1"/>
          <w:szCs w:val="36"/>
        </w:rPr>
        <w:t>櫃</w:t>
      </w:r>
      <w:r w:rsidR="00C55374" w:rsidRPr="000F0F71">
        <w:rPr>
          <w:rFonts w:ascii="標楷體" w:hAnsi="Arial" w:hint="eastAsia"/>
          <w:color w:val="000000" w:themeColor="text1"/>
          <w:szCs w:val="36"/>
        </w:rPr>
        <w:t>檯</w:t>
      </w:r>
      <w:r w:rsidR="007549A2" w:rsidRPr="000F0F71">
        <w:rPr>
          <w:rFonts w:ascii="標楷體" w:hAnsi="Arial" w:hint="eastAsia"/>
          <w:color w:val="000000" w:themeColor="text1"/>
          <w:szCs w:val="36"/>
        </w:rPr>
        <w:t>買</w:t>
      </w:r>
      <w:r w:rsidR="00C55374" w:rsidRPr="000F0F71">
        <w:rPr>
          <w:rFonts w:ascii="標楷體" w:hAnsi="Arial" w:hint="eastAsia"/>
          <w:color w:val="000000" w:themeColor="text1"/>
          <w:szCs w:val="36"/>
        </w:rPr>
        <w:t>賣</w:t>
      </w:r>
      <w:r w:rsidR="007549A2" w:rsidRPr="000F0F71">
        <w:rPr>
          <w:rFonts w:ascii="標楷體" w:hAnsi="Arial" w:hint="eastAsia"/>
          <w:color w:val="000000" w:themeColor="text1"/>
          <w:szCs w:val="36"/>
        </w:rPr>
        <w:t>中心</w:t>
      </w:r>
      <w:r w:rsidR="00C55374" w:rsidRPr="000F0F71">
        <w:rPr>
          <w:rFonts w:ascii="標楷體" w:hAnsi="Arial" w:hint="eastAsia"/>
          <w:color w:val="000000" w:themeColor="text1"/>
          <w:szCs w:val="36"/>
        </w:rPr>
        <w:t>（下稱櫃買中心）</w:t>
      </w:r>
      <w:r w:rsidR="007549A2" w:rsidRPr="000F0F71">
        <w:rPr>
          <w:rFonts w:ascii="標楷體" w:hAnsi="Arial" w:hint="eastAsia"/>
          <w:color w:val="000000" w:themeColor="text1"/>
          <w:szCs w:val="36"/>
        </w:rPr>
        <w:t>將薪酬委員會運作情形納入內部控制查核項目</w:t>
      </w:r>
      <w:r w:rsidR="007549A2" w:rsidRPr="000F0F71">
        <w:rPr>
          <w:rFonts w:ascii="標楷體" w:hAnsi="Arial"/>
          <w:color w:val="000000" w:themeColor="text1"/>
          <w:szCs w:val="36"/>
          <w:vertAlign w:val="superscript"/>
        </w:rPr>
        <w:footnoteReference w:id="11"/>
      </w:r>
      <w:r w:rsidR="007549A2" w:rsidRPr="000F0F71">
        <w:rPr>
          <w:rFonts w:ascii="標楷體" w:hAnsi="Arial" w:hint="eastAsia"/>
          <w:color w:val="000000" w:themeColor="text1"/>
          <w:szCs w:val="36"/>
        </w:rPr>
        <w:t>，採</w:t>
      </w:r>
      <w:r w:rsidR="000C1A50" w:rsidRPr="000F0F71">
        <w:rPr>
          <w:rFonts w:ascii="標楷體" w:hAnsi="Arial" w:hint="eastAsia"/>
          <w:color w:val="000000" w:themeColor="text1"/>
          <w:szCs w:val="36"/>
        </w:rPr>
        <w:t>取</w:t>
      </w:r>
      <w:r w:rsidR="007549A2" w:rsidRPr="000F0F71">
        <w:rPr>
          <w:rFonts w:ascii="標楷體" w:hAnsi="Arial" w:hint="eastAsia"/>
          <w:color w:val="000000" w:themeColor="text1"/>
          <w:szCs w:val="36"/>
        </w:rPr>
        <w:t>揭露董監酬金相關資訊方式，以提供投資人判斷依據。相關機制如下：</w:t>
      </w:r>
    </w:p>
    <w:p w:rsidR="007549A2" w:rsidRPr="000F0F71" w:rsidRDefault="007549A2" w:rsidP="002A6582">
      <w:pPr>
        <w:pStyle w:val="5"/>
        <w:rPr>
          <w:color w:val="000000" w:themeColor="text1"/>
        </w:rPr>
      </w:pPr>
      <w:r w:rsidRPr="000F0F71">
        <w:rPr>
          <w:rFonts w:hint="eastAsia"/>
          <w:color w:val="000000" w:themeColor="text1"/>
        </w:rPr>
        <w:t>資訊公開部分，公開發行公司應於股東會年報揭露其董監薪酬政策及董監酬金數額。而</w:t>
      </w:r>
      <w:r w:rsidRPr="000F0F71">
        <w:rPr>
          <w:rFonts w:hAnsi="標楷體" w:hint="eastAsia"/>
          <w:color w:val="000000" w:themeColor="text1"/>
          <w:szCs w:val="32"/>
        </w:rPr>
        <w:t>最近2年度連續</w:t>
      </w:r>
      <w:r w:rsidRPr="000F0F71">
        <w:rPr>
          <w:rFonts w:hint="eastAsia"/>
          <w:color w:val="000000" w:themeColor="text1"/>
        </w:rPr>
        <w:t>稅後</w:t>
      </w:r>
      <w:r w:rsidRPr="000F0F71">
        <w:rPr>
          <w:rFonts w:hAnsi="標楷體" w:hint="eastAsia"/>
          <w:color w:val="000000" w:themeColor="text1"/>
          <w:szCs w:val="32"/>
        </w:rPr>
        <w:t>虧損、董事或監察人持股成數不</w:t>
      </w:r>
      <w:r w:rsidRPr="000F0F71">
        <w:rPr>
          <w:rFonts w:hint="eastAsia"/>
          <w:color w:val="000000" w:themeColor="text1"/>
        </w:rPr>
        <w:t>足情事連續達3個月以上、董監設質比率大</w:t>
      </w:r>
      <w:r w:rsidRPr="000F0F71">
        <w:rPr>
          <w:rFonts w:hint="eastAsia"/>
          <w:color w:val="000000" w:themeColor="text1"/>
        </w:rPr>
        <w:lastRenderedPageBreak/>
        <w:t>於50%、</w:t>
      </w:r>
      <w:r w:rsidRPr="000F0F71">
        <w:rPr>
          <w:color w:val="000000" w:themeColor="text1"/>
        </w:rPr>
        <w:t>董監</w:t>
      </w:r>
      <w:r w:rsidRPr="000F0F71">
        <w:rPr>
          <w:rFonts w:hint="eastAsia"/>
          <w:color w:val="000000" w:themeColor="text1"/>
        </w:rPr>
        <w:t>酬金占稅後淨利逾2%，且個別董監領取酬金超過</w:t>
      </w:r>
      <w:r w:rsidR="00B53EE8" w:rsidRPr="000F0F71">
        <w:rPr>
          <w:rFonts w:hint="eastAsia"/>
          <w:color w:val="000000" w:themeColor="text1"/>
        </w:rPr>
        <w:t>新臺幣</w:t>
      </w:r>
      <w:r w:rsidRPr="000F0F71">
        <w:rPr>
          <w:rFonts w:hint="eastAsia"/>
          <w:color w:val="000000" w:themeColor="text1"/>
        </w:rPr>
        <w:t>1,500萬元者，應揭露個別董監之酬金。又金管會於100年1月12日將原連續2年稅後虧損，修正為最近年度稅後虧損；104年1月29日再</w:t>
      </w:r>
      <w:r w:rsidR="00F21487" w:rsidRPr="000F0F71">
        <w:rPr>
          <w:rFonts w:hint="eastAsia"/>
          <w:color w:val="000000" w:themeColor="text1"/>
        </w:rPr>
        <w:t>增訂</w:t>
      </w:r>
      <w:r w:rsidRPr="000F0F71">
        <w:rPr>
          <w:color w:val="000000" w:themeColor="text1"/>
        </w:rPr>
        <w:t>最近</w:t>
      </w:r>
      <w:r w:rsidRPr="000F0F71">
        <w:rPr>
          <w:rFonts w:hint="eastAsia"/>
          <w:color w:val="000000" w:themeColor="text1"/>
        </w:rPr>
        <w:t>2</w:t>
      </w:r>
      <w:r w:rsidRPr="000F0F71">
        <w:rPr>
          <w:color w:val="000000" w:themeColor="text1"/>
        </w:rPr>
        <w:t>年度</w:t>
      </w:r>
      <w:r w:rsidRPr="000F0F71">
        <w:rPr>
          <w:rFonts w:hint="eastAsia"/>
          <w:color w:val="000000" w:themeColor="text1"/>
        </w:rPr>
        <w:t>個體或個別財務報告曾出現</w:t>
      </w:r>
      <w:r w:rsidRPr="000F0F71">
        <w:rPr>
          <w:color w:val="000000" w:themeColor="text1"/>
        </w:rPr>
        <w:t>稅後虧損者，</w:t>
      </w:r>
      <w:r w:rsidRPr="000F0F71">
        <w:rPr>
          <w:rFonts w:hint="eastAsia"/>
          <w:color w:val="000000" w:themeColor="text1"/>
        </w:rPr>
        <w:t>亦應揭露個別酬金。</w:t>
      </w:r>
    </w:p>
    <w:p w:rsidR="007549A2" w:rsidRPr="000F0F71" w:rsidRDefault="007549A2" w:rsidP="002A6582">
      <w:pPr>
        <w:pStyle w:val="5"/>
        <w:rPr>
          <w:color w:val="000000" w:themeColor="text1"/>
        </w:rPr>
      </w:pPr>
      <w:r w:rsidRPr="000F0F71">
        <w:rPr>
          <w:rFonts w:hint="eastAsia"/>
          <w:color w:val="000000" w:themeColor="text1"/>
        </w:rPr>
        <w:t>公開資訊觀測站部分，公司應於每年3月底在公開資訊觀測站揭露董監酬金占稅後損益百分比、平均董監酬金、董監酬金發放數額及與稅後損益變動之關聯性與合理性說明。另公司治理專區於每年4月15日揭露公司稅後損益衰退，但董監酬金增加達一定程度之公司名單、</w:t>
      </w:r>
      <w:r w:rsidR="00772393" w:rsidRPr="000F0F71">
        <w:rPr>
          <w:rFonts w:hint="eastAsia"/>
          <w:color w:val="000000" w:themeColor="text1"/>
        </w:rPr>
        <w:t>2</w:t>
      </w:r>
      <w:r w:rsidRPr="000F0F71">
        <w:rPr>
          <w:rFonts w:hint="eastAsia"/>
          <w:color w:val="000000" w:themeColor="text1"/>
        </w:rPr>
        <w:t>年度比較及公司之說明，俾供投資人參酌。</w:t>
      </w:r>
    </w:p>
    <w:p w:rsidR="007549A2" w:rsidRPr="000F0F71" w:rsidRDefault="007549A2" w:rsidP="002A6582">
      <w:pPr>
        <w:pStyle w:val="5"/>
        <w:rPr>
          <w:color w:val="000000" w:themeColor="text1"/>
        </w:rPr>
      </w:pPr>
      <w:r w:rsidRPr="000F0F71">
        <w:rPr>
          <w:rFonts w:hint="eastAsia"/>
          <w:color w:val="000000" w:themeColor="text1"/>
        </w:rPr>
        <w:t>監督機制部分，針對稅後損益衰退且酬金增加達一定比例公司，證交所及櫃買中心將列入財務業務平時管理選案指標及內部控制優先受查對象，並將請公司於股東會說明董監酬金發放之合理性，另投保中心將以股東身分積極參與上市</w:t>
      </w:r>
      <w:r w:rsidR="00E4381A" w:rsidRPr="000F0F71">
        <w:rPr>
          <w:rFonts w:hint="eastAsia"/>
          <w:color w:val="000000" w:themeColor="text1"/>
        </w:rPr>
        <w:t>（</w:t>
      </w:r>
      <w:r w:rsidRPr="000F0F71">
        <w:rPr>
          <w:rFonts w:hint="eastAsia"/>
          <w:color w:val="000000" w:themeColor="text1"/>
        </w:rPr>
        <w:t>櫃</w:t>
      </w:r>
      <w:r w:rsidR="00E4381A" w:rsidRPr="000F0F71">
        <w:rPr>
          <w:rFonts w:hint="eastAsia"/>
          <w:color w:val="000000" w:themeColor="text1"/>
        </w:rPr>
        <w:t>）</w:t>
      </w:r>
      <w:r w:rsidRPr="000F0F71">
        <w:rPr>
          <w:rFonts w:hint="eastAsia"/>
          <w:color w:val="000000" w:themeColor="text1"/>
        </w:rPr>
        <w:t>公司之股東會，瞭解公司發放董監薪酬之情形</w:t>
      </w:r>
      <w:r w:rsidRPr="000F0F71">
        <w:rPr>
          <w:color w:val="000000" w:themeColor="text1"/>
          <w:vertAlign w:val="superscript"/>
        </w:rPr>
        <w:footnoteReference w:id="12"/>
      </w:r>
      <w:r w:rsidRPr="000F0F71">
        <w:rPr>
          <w:rFonts w:hint="eastAsia"/>
          <w:color w:val="000000" w:themeColor="text1"/>
        </w:rPr>
        <w:t>。</w:t>
      </w:r>
    </w:p>
    <w:p w:rsidR="00972628" w:rsidRPr="000F0F71" w:rsidRDefault="000434AB" w:rsidP="000434AB">
      <w:pPr>
        <w:pStyle w:val="5"/>
        <w:rPr>
          <w:color w:val="000000" w:themeColor="text1"/>
        </w:rPr>
      </w:pPr>
      <w:r w:rsidRPr="000F0F71">
        <w:rPr>
          <w:rFonts w:hint="eastAsia"/>
          <w:color w:val="000000" w:themeColor="text1"/>
        </w:rPr>
        <w:t>另</w:t>
      </w:r>
      <w:r w:rsidR="000418A5" w:rsidRPr="000F0F71">
        <w:rPr>
          <w:rFonts w:hint="eastAsia"/>
          <w:color w:val="000000" w:themeColor="text1"/>
        </w:rPr>
        <w:t>薪酬委員會成員未強制由獨立董事擔任</w:t>
      </w:r>
      <w:r w:rsidR="00B53EE8" w:rsidRPr="000F0F71">
        <w:rPr>
          <w:rFonts w:hint="eastAsia"/>
          <w:color w:val="000000" w:themeColor="text1"/>
        </w:rPr>
        <w:t>一</w:t>
      </w:r>
      <w:r w:rsidRPr="000F0F71">
        <w:rPr>
          <w:rFonts w:hint="eastAsia"/>
          <w:color w:val="000000" w:themeColor="text1"/>
        </w:rPr>
        <w:t>節，</w:t>
      </w:r>
      <w:r w:rsidR="007549A2" w:rsidRPr="000F0F71">
        <w:rPr>
          <w:rFonts w:hint="eastAsia"/>
          <w:color w:val="000000" w:themeColor="text1"/>
        </w:rPr>
        <w:t>詢據金管會表示，薪酬委員會職權辦法要求上市</w:t>
      </w:r>
      <w:r w:rsidR="00C37EAA" w:rsidRPr="000F0F71">
        <w:rPr>
          <w:rFonts w:hint="eastAsia"/>
          <w:color w:val="000000" w:themeColor="text1"/>
        </w:rPr>
        <w:t>（</w:t>
      </w:r>
      <w:r w:rsidR="007549A2" w:rsidRPr="000F0F71">
        <w:rPr>
          <w:rFonts w:hint="eastAsia"/>
          <w:color w:val="000000" w:themeColor="text1"/>
        </w:rPr>
        <w:t>櫃</w:t>
      </w:r>
      <w:r w:rsidR="00C37EAA" w:rsidRPr="000F0F71">
        <w:rPr>
          <w:rFonts w:hint="eastAsia"/>
          <w:color w:val="000000" w:themeColor="text1"/>
        </w:rPr>
        <w:t>）</w:t>
      </w:r>
      <w:r w:rsidR="007549A2" w:rsidRPr="000F0F71">
        <w:rPr>
          <w:rFonts w:hint="eastAsia"/>
          <w:color w:val="000000" w:themeColor="text1"/>
        </w:rPr>
        <w:t>公司應設置薪酬委員會，其成員</w:t>
      </w:r>
      <w:r w:rsidR="007549A2" w:rsidRPr="000F0F71">
        <w:rPr>
          <w:rFonts w:hint="eastAsia"/>
          <w:color w:val="000000" w:themeColor="text1"/>
        </w:rPr>
        <w:lastRenderedPageBreak/>
        <w:t>至少</w:t>
      </w:r>
      <w:r w:rsidR="008631FD" w:rsidRPr="000F0F71">
        <w:rPr>
          <w:rFonts w:hint="eastAsia"/>
          <w:color w:val="000000" w:themeColor="text1"/>
        </w:rPr>
        <w:t>3</w:t>
      </w:r>
      <w:r w:rsidR="007549A2" w:rsidRPr="000F0F71">
        <w:rPr>
          <w:rFonts w:hint="eastAsia"/>
          <w:color w:val="000000" w:themeColor="text1"/>
        </w:rPr>
        <w:t>人，立法當時考量上市（櫃）公司未全面要求設置獨立董事，而公司即使設置獨立董事，人數亦未必達3人。</w:t>
      </w:r>
      <w:r w:rsidR="000418A5" w:rsidRPr="000F0F71">
        <w:rPr>
          <w:rFonts w:hint="eastAsia"/>
          <w:color w:val="000000" w:themeColor="text1"/>
        </w:rPr>
        <w:t>又</w:t>
      </w:r>
      <w:r w:rsidR="007549A2" w:rsidRPr="000F0F71">
        <w:rPr>
          <w:rFonts w:hint="eastAsia"/>
          <w:color w:val="000000" w:themeColor="text1"/>
        </w:rPr>
        <w:t>外國立法例除美國外，其他如英國、香港、新加坡、日本、韓國均未要求薪酬委員會全數由獨立董事組成。惟薪酬委員會成員之獨立性資格，已比照獨立董事為一致性規範。該會</w:t>
      </w:r>
      <w:r w:rsidR="000418A5" w:rsidRPr="000F0F71">
        <w:rPr>
          <w:rFonts w:hint="eastAsia"/>
          <w:color w:val="000000" w:themeColor="text1"/>
        </w:rPr>
        <w:t>已</w:t>
      </w:r>
      <w:r w:rsidR="007549A2" w:rsidRPr="000F0F71">
        <w:rPr>
          <w:rFonts w:hint="eastAsia"/>
          <w:color w:val="000000" w:themeColor="text1"/>
        </w:rPr>
        <w:t>循序漸進推動獨</w:t>
      </w:r>
      <w:r w:rsidR="00253C38" w:rsidRPr="000C7922">
        <w:rPr>
          <w:rFonts w:hint="eastAsia"/>
          <w:color w:val="FF0000"/>
        </w:rPr>
        <w:t>立</w:t>
      </w:r>
      <w:r w:rsidR="007549A2" w:rsidRPr="000F0F71">
        <w:rPr>
          <w:rFonts w:hint="eastAsia"/>
          <w:color w:val="000000" w:themeColor="text1"/>
        </w:rPr>
        <w:t>董事法制化工作，未來將俟上市（櫃）公司全面完成設立獨立董事後，視執行情形檢討有無修正相關規範之必要等語</w:t>
      </w:r>
      <w:r w:rsidR="00972628" w:rsidRPr="000F0F71">
        <w:rPr>
          <w:rFonts w:hint="eastAsia"/>
          <w:color w:val="000000" w:themeColor="text1"/>
        </w:rPr>
        <w:t>。</w:t>
      </w:r>
    </w:p>
    <w:p w:rsidR="000418A5" w:rsidRPr="000F0F71" w:rsidRDefault="00C37EAA" w:rsidP="006241AD">
      <w:pPr>
        <w:numPr>
          <w:ilvl w:val="3"/>
          <w:numId w:val="1"/>
        </w:numPr>
        <w:ind w:left="1741"/>
        <w:jc w:val="both"/>
        <w:outlineLvl w:val="3"/>
        <w:rPr>
          <w:color w:val="000000" w:themeColor="text1"/>
        </w:rPr>
      </w:pPr>
      <w:r w:rsidRPr="000F0F71">
        <w:rPr>
          <w:rFonts w:hint="eastAsia"/>
          <w:color w:val="000000" w:themeColor="text1"/>
        </w:rPr>
        <w:t>綜據上開機制，</w:t>
      </w:r>
      <w:r w:rsidR="00972628" w:rsidRPr="000F0F71">
        <w:rPr>
          <w:rFonts w:hint="eastAsia"/>
          <w:color w:val="000000" w:themeColor="text1"/>
        </w:rPr>
        <w:t>金管會</w:t>
      </w:r>
      <w:r w:rsidRPr="000F0F71">
        <w:rPr>
          <w:rFonts w:hint="eastAsia"/>
          <w:color w:val="000000" w:themeColor="text1"/>
        </w:rPr>
        <w:t>除</w:t>
      </w:r>
      <w:r w:rsidR="00972628" w:rsidRPr="000F0F71">
        <w:rPr>
          <w:rFonts w:hint="eastAsia"/>
          <w:color w:val="000000" w:themeColor="text1"/>
        </w:rPr>
        <w:t>訂定薪酬委員會職權辦法，</w:t>
      </w:r>
      <w:r w:rsidRPr="000F0F71">
        <w:rPr>
          <w:rFonts w:hint="eastAsia"/>
          <w:color w:val="000000" w:themeColor="text1"/>
        </w:rPr>
        <w:t>並</w:t>
      </w:r>
      <w:r w:rsidR="00972628" w:rsidRPr="000F0F71">
        <w:rPr>
          <w:rFonts w:hint="eastAsia"/>
          <w:color w:val="000000" w:themeColor="text1"/>
        </w:rPr>
        <w:t>透過資訊揭露及市場監督，引導上市（櫃）公司訂定合理之薪資，足認該會已有</w:t>
      </w:r>
      <w:r w:rsidR="006C08ED" w:rsidRPr="000F0F71">
        <w:rPr>
          <w:rFonts w:hint="eastAsia"/>
          <w:color w:val="000000" w:themeColor="text1"/>
        </w:rPr>
        <w:t>改進</w:t>
      </w:r>
      <w:r w:rsidR="00972628" w:rsidRPr="000F0F71">
        <w:rPr>
          <w:rFonts w:hint="eastAsia"/>
          <w:color w:val="000000" w:themeColor="text1"/>
        </w:rPr>
        <w:t>之作為。</w:t>
      </w:r>
      <w:r w:rsidR="000418A5" w:rsidRPr="000F0F71">
        <w:rPr>
          <w:rFonts w:hint="eastAsia"/>
          <w:color w:val="000000" w:themeColor="text1"/>
        </w:rPr>
        <w:t>惟</w:t>
      </w:r>
      <w:r w:rsidR="006241AD" w:rsidRPr="000F0F71">
        <w:rPr>
          <w:rFonts w:hint="eastAsia"/>
          <w:color w:val="000000" w:themeColor="text1"/>
        </w:rPr>
        <w:t>上開辦法及監督機制仍有未足之處。舉例而言</w:t>
      </w:r>
      <w:r w:rsidRPr="000F0F71">
        <w:rPr>
          <w:rFonts w:hint="eastAsia"/>
          <w:color w:val="000000" w:themeColor="text1"/>
        </w:rPr>
        <w:t>，</w:t>
      </w:r>
      <w:r w:rsidR="00F50A78" w:rsidRPr="000F0F71">
        <w:rPr>
          <w:rFonts w:hint="eastAsia"/>
          <w:color w:val="000000" w:themeColor="text1"/>
        </w:rPr>
        <w:t>薪酬委員會職權辦法第</w:t>
      </w:r>
      <w:r w:rsidR="00F50A78" w:rsidRPr="000F0F71">
        <w:rPr>
          <w:rFonts w:hint="eastAsia"/>
          <w:color w:val="000000" w:themeColor="text1"/>
        </w:rPr>
        <w:t>7</w:t>
      </w:r>
      <w:r w:rsidR="00F50A78" w:rsidRPr="000F0F71">
        <w:rPr>
          <w:rFonts w:hint="eastAsia"/>
          <w:color w:val="000000" w:themeColor="text1"/>
        </w:rPr>
        <w:t>條僅規定薪酬委員</w:t>
      </w:r>
      <w:r w:rsidRPr="000F0F71">
        <w:rPr>
          <w:rFonts w:hint="eastAsia"/>
          <w:color w:val="000000" w:themeColor="text1"/>
        </w:rPr>
        <w:t>會</w:t>
      </w:r>
      <w:r w:rsidR="00F50A78" w:rsidRPr="000F0F71">
        <w:rPr>
          <w:rFonts w:hint="eastAsia"/>
          <w:color w:val="000000" w:themeColor="text1"/>
        </w:rPr>
        <w:t>履行職權時應注意之各項原則，</w:t>
      </w:r>
      <w:r w:rsidR="006C08ED" w:rsidRPr="000F0F71">
        <w:rPr>
          <w:rFonts w:hint="eastAsia"/>
          <w:color w:val="000000" w:themeColor="text1"/>
        </w:rPr>
        <w:t>然未列舉薪酬委員會評估</w:t>
      </w:r>
      <w:r w:rsidR="006241AD" w:rsidRPr="000F0F71">
        <w:rPr>
          <w:rFonts w:hint="eastAsia"/>
          <w:color w:val="000000" w:themeColor="text1"/>
        </w:rPr>
        <w:t>並檢討</w:t>
      </w:r>
      <w:r w:rsidR="006C08ED" w:rsidRPr="000F0F71">
        <w:rPr>
          <w:rFonts w:hint="eastAsia"/>
          <w:color w:val="000000" w:themeColor="text1"/>
        </w:rPr>
        <w:t>董監績效之參考標準</w:t>
      </w:r>
      <w:r w:rsidR="003B244A" w:rsidRPr="000F0F71">
        <w:rPr>
          <w:rFonts w:hint="eastAsia"/>
          <w:color w:val="000000" w:themeColor="text1"/>
        </w:rPr>
        <w:t>、</w:t>
      </w:r>
      <w:r w:rsidR="006241AD" w:rsidRPr="000F0F71">
        <w:rPr>
          <w:rFonts w:hint="eastAsia"/>
          <w:color w:val="000000" w:themeColor="text1"/>
        </w:rPr>
        <w:t>績效</w:t>
      </w:r>
      <w:r w:rsidR="003B244A" w:rsidRPr="000F0F71">
        <w:rPr>
          <w:rFonts w:hint="eastAsia"/>
          <w:color w:val="000000" w:themeColor="text1"/>
        </w:rPr>
        <w:t>評</w:t>
      </w:r>
      <w:r w:rsidR="006241AD" w:rsidRPr="000F0F71">
        <w:rPr>
          <w:rFonts w:hint="eastAsia"/>
          <w:color w:val="000000" w:themeColor="text1"/>
        </w:rPr>
        <w:t>核</w:t>
      </w:r>
      <w:r w:rsidR="003B244A" w:rsidRPr="000F0F71">
        <w:rPr>
          <w:rFonts w:hint="eastAsia"/>
          <w:color w:val="000000" w:themeColor="text1"/>
        </w:rPr>
        <w:t>結果</w:t>
      </w:r>
      <w:r w:rsidR="006C08ED" w:rsidRPr="000F0F71">
        <w:rPr>
          <w:rFonts w:hint="eastAsia"/>
          <w:color w:val="000000" w:themeColor="text1"/>
        </w:rPr>
        <w:t>如何落實至</w:t>
      </w:r>
      <w:r w:rsidR="003B244A" w:rsidRPr="000F0F71">
        <w:rPr>
          <w:rFonts w:hint="eastAsia"/>
          <w:color w:val="000000" w:themeColor="text1"/>
        </w:rPr>
        <w:t>董監</w:t>
      </w:r>
      <w:r w:rsidR="006C08ED" w:rsidRPr="000F0F71">
        <w:rPr>
          <w:rFonts w:hint="eastAsia"/>
          <w:color w:val="000000" w:themeColor="text1"/>
        </w:rPr>
        <w:t>薪酬之具體作法</w:t>
      </w:r>
      <w:r w:rsidR="006241AD" w:rsidRPr="000F0F71">
        <w:rPr>
          <w:rFonts w:hint="eastAsia"/>
          <w:color w:val="000000" w:themeColor="text1"/>
        </w:rPr>
        <w:t>、</w:t>
      </w:r>
      <w:r w:rsidR="003B244A" w:rsidRPr="000F0F71">
        <w:rPr>
          <w:rFonts w:hint="eastAsia"/>
          <w:color w:val="000000" w:themeColor="text1"/>
        </w:rPr>
        <w:t>如何正確評估董監個人表現及未來風險之關連合理性等</w:t>
      </w:r>
      <w:r w:rsidR="006C08ED" w:rsidRPr="000F0F71">
        <w:rPr>
          <w:rFonts w:hint="eastAsia"/>
          <w:color w:val="000000" w:themeColor="text1"/>
        </w:rPr>
        <w:t>，亦未列明公司於特定情事</w:t>
      </w:r>
      <w:r w:rsidR="006241AD" w:rsidRPr="000F0F71">
        <w:rPr>
          <w:rFonts w:hint="eastAsia"/>
          <w:color w:val="000000" w:themeColor="text1"/>
        </w:rPr>
        <w:t>時</w:t>
      </w:r>
      <w:r w:rsidR="006C08ED" w:rsidRPr="000F0F71">
        <w:rPr>
          <w:rFonts w:hint="eastAsia"/>
          <w:color w:val="000000" w:themeColor="text1"/>
        </w:rPr>
        <w:t>（</w:t>
      </w:r>
      <w:r w:rsidR="003B244A" w:rsidRPr="000F0F71">
        <w:rPr>
          <w:rFonts w:hint="eastAsia"/>
          <w:color w:val="000000" w:themeColor="text1"/>
        </w:rPr>
        <w:t>例</w:t>
      </w:r>
      <w:r w:rsidR="006C08ED" w:rsidRPr="000F0F71">
        <w:rPr>
          <w:rFonts w:hint="eastAsia"/>
          <w:color w:val="000000" w:themeColor="text1"/>
        </w:rPr>
        <w:t>如</w:t>
      </w:r>
      <w:r w:rsidR="003B244A" w:rsidRPr="000F0F71">
        <w:rPr>
          <w:rFonts w:hint="eastAsia"/>
          <w:color w:val="000000" w:themeColor="text1"/>
        </w:rPr>
        <w:t>公司</w:t>
      </w:r>
      <w:r w:rsidR="006C08ED" w:rsidRPr="000F0F71">
        <w:rPr>
          <w:rFonts w:hint="eastAsia"/>
          <w:color w:val="000000" w:themeColor="text1"/>
        </w:rPr>
        <w:t>長期虧損），</w:t>
      </w:r>
      <w:r w:rsidR="003B244A" w:rsidRPr="000F0F71">
        <w:rPr>
          <w:rFonts w:hint="eastAsia"/>
          <w:color w:val="000000" w:themeColor="text1"/>
        </w:rPr>
        <w:t>應</w:t>
      </w:r>
      <w:r w:rsidR="006C08ED" w:rsidRPr="000F0F71">
        <w:rPr>
          <w:rFonts w:hint="eastAsia"/>
          <w:color w:val="000000" w:themeColor="text1"/>
        </w:rPr>
        <w:t>如何合理限制董監</w:t>
      </w:r>
      <w:r w:rsidR="003B244A" w:rsidRPr="000F0F71">
        <w:rPr>
          <w:rFonts w:hint="eastAsia"/>
          <w:color w:val="000000" w:themeColor="text1"/>
        </w:rPr>
        <w:t>報酬及發放紅利之比例等</w:t>
      </w:r>
      <w:r w:rsidR="00F50A78" w:rsidRPr="000F0F71">
        <w:rPr>
          <w:rFonts w:hint="eastAsia"/>
          <w:color w:val="000000" w:themeColor="text1"/>
        </w:rPr>
        <w:t>，恐不利於</w:t>
      </w:r>
      <w:r w:rsidR="006241AD" w:rsidRPr="000F0F71">
        <w:rPr>
          <w:rFonts w:hint="eastAsia"/>
          <w:color w:val="000000" w:themeColor="text1"/>
        </w:rPr>
        <w:t>薪酬委員會</w:t>
      </w:r>
      <w:r w:rsidR="00F50A78" w:rsidRPr="000F0F71">
        <w:rPr>
          <w:rFonts w:hint="eastAsia"/>
          <w:color w:val="000000" w:themeColor="text1"/>
        </w:rPr>
        <w:t>行使職權。此外，</w:t>
      </w:r>
      <w:r w:rsidR="006241AD" w:rsidRPr="000F0F71">
        <w:rPr>
          <w:rFonts w:hint="eastAsia"/>
          <w:color w:val="000000" w:themeColor="text1"/>
        </w:rPr>
        <w:t>資訊揭露</w:t>
      </w:r>
      <w:r w:rsidR="003B244A" w:rsidRPr="000F0F71">
        <w:rPr>
          <w:rFonts w:hint="eastAsia"/>
          <w:color w:val="000000" w:themeColor="text1"/>
        </w:rPr>
        <w:t>部分，</w:t>
      </w:r>
      <w:r w:rsidR="00F50A78" w:rsidRPr="000F0F71">
        <w:rPr>
          <w:rFonts w:hint="eastAsia"/>
          <w:color w:val="000000" w:themeColor="text1"/>
        </w:rPr>
        <w:t>證交所</w:t>
      </w:r>
      <w:r w:rsidR="000418A5" w:rsidRPr="000F0F71">
        <w:rPr>
          <w:rFonts w:hint="eastAsia"/>
          <w:color w:val="000000" w:themeColor="text1"/>
        </w:rPr>
        <w:t>係公布前</w:t>
      </w:r>
      <w:r w:rsidR="00772393" w:rsidRPr="000F0F71">
        <w:rPr>
          <w:rFonts w:hint="eastAsia"/>
          <w:color w:val="000000" w:themeColor="text1"/>
        </w:rPr>
        <w:t>1</w:t>
      </w:r>
      <w:r w:rsidR="000418A5" w:rsidRPr="000F0F71">
        <w:rPr>
          <w:rFonts w:hint="eastAsia"/>
          <w:color w:val="000000" w:themeColor="text1"/>
        </w:rPr>
        <w:t>年度稅後虧損但董事酬金增加之公司</w:t>
      </w:r>
      <w:r w:rsidR="00F50A78" w:rsidRPr="000F0F71">
        <w:rPr>
          <w:rFonts w:hint="eastAsia"/>
          <w:color w:val="000000" w:themeColor="text1"/>
        </w:rPr>
        <w:t>，外界將之稱為「肥貓公司」。</w:t>
      </w:r>
      <w:r w:rsidR="000418A5" w:rsidRPr="000F0F71">
        <w:rPr>
          <w:rFonts w:hint="eastAsia"/>
          <w:color w:val="000000" w:themeColor="text1"/>
        </w:rPr>
        <w:t>惟</w:t>
      </w:r>
      <w:r w:rsidR="00F50A78" w:rsidRPr="000F0F71">
        <w:rPr>
          <w:rFonts w:hint="eastAsia"/>
          <w:color w:val="000000" w:themeColor="text1"/>
        </w:rPr>
        <w:t>依公開發行公司年報應行記載事項準則</w:t>
      </w:r>
      <w:r w:rsidRPr="000F0F71">
        <w:rPr>
          <w:rFonts w:hint="eastAsia"/>
          <w:color w:val="000000" w:themeColor="text1"/>
        </w:rPr>
        <w:t>，</w:t>
      </w:r>
      <w:r w:rsidR="00F50A78" w:rsidRPr="000F0F71">
        <w:rPr>
          <w:rFonts w:hint="eastAsia"/>
          <w:color w:val="000000" w:themeColor="text1"/>
        </w:rPr>
        <w:t>董監及經理人之酬金</w:t>
      </w:r>
      <w:r w:rsidR="000418A5" w:rsidRPr="000F0F71">
        <w:rPr>
          <w:rFonts w:hint="eastAsia"/>
          <w:color w:val="000000" w:themeColor="text1"/>
        </w:rPr>
        <w:t>範圍</w:t>
      </w:r>
      <w:r w:rsidR="00F50A78" w:rsidRPr="000F0F71">
        <w:rPr>
          <w:rFonts w:hint="eastAsia"/>
          <w:color w:val="000000" w:themeColor="text1"/>
        </w:rPr>
        <w:t>，</w:t>
      </w:r>
      <w:r w:rsidR="000418A5" w:rsidRPr="000F0F71">
        <w:rPr>
          <w:rFonts w:hint="eastAsia"/>
          <w:color w:val="000000" w:themeColor="text1"/>
        </w:rPr>
        <w:t>包括公司實際給付之</w:t>
      </w:r>
      <w:r w:rsidR="00F50A78" w:rsidRPr="000F0F71">
        <w:rPr>
          <w:rFonts w:hint="eastAsia"/>
          <w:color w:val="000000" w:themeColor="text1"/>
        </w:rPr>
        <w:t>現金</w:t>
      </w:r>
      <w:r w:rsidR="000418A5" w:rsidRPr="000F0F71">
        <w:rPr>
          <w:rFonts w:hint="eastAsia"/>
          <w:color w:val="000000" w:themeColor="text1"/>
        </w:rPr>
        <w:t>報酬、</w:t>
      </w:r>
      <w:r w:rsidR="00F50A78" w:rsidRPr="000F0F71">
        <w:rPr>
          <w:rFonts w:hint="eastAsia"/>
          <w:color w:val="000000" w:themeColor="text1"/>
        </w:rPr>
        <w:t>退休福利或離職給付、各項津貼、</w:t>
      </w:r>
      <w:r w:rsidR="000418A5" w:rsidRPr="000F0F71">
        <w:rPr>
          <w:rFonts w:hint="eastAsia"/>
          <w:color w:val="000000" w:themeColor="text1"/>
        </w:rPr>
        <w:t>業務執行費用，以及前</w:t>
      </w:r>
      <w:r w:rsidR="00772393" w:rsidRPr="000F0F71">
        <w:rPr>
          <w:rFonts w:hint="eastAsia"/>
          <w:color w:val="000000" w:themeColor="text1"/>
        </w:rPr>
        <w:t>1</w:t>
      </w:r>
      <w:r w:rsidR="000418A5" w:rsidRPr="000F0F71">
        <w:rPr>
          <w:rFonts w:hint="eastAsia"/>
          <w:color w:val="000000" w:themeColor="text1"/>
        </w:rPr>
        <w:t>年度盈餘經股東會通過後分配之酬勞，另加計兼任員工實際領取之薪資、獎金、特支費及退職退休金</w:t>
      </w:r>
      <w:r w:rsidR="00F50A78" w:rsidRPr="000F0F71">
        <w:rPr>
          <w:rFonts w:hint="eastAsia"/>
          <w:color w:val="000000" w:themeColor="text1"/>
        </w:rPr>
        <w:t>等</w:t>
      </w:r>
      <w:r w:rsidR="003B244A" w:rsidRPr="000F0F71">
        <w:rPr>
          <w:rFonts w:hint="eastAsia"/>
          <w:color w:val="000000" w:themeColor="text1"/>
        </w:rPr>
        <w:t>，是以各公司酬金總額增</w:t>
      </w:r>
      <w:r w:rsidR="003B244A" w:rsidRPr="000F0F71">
        <w:rPr>
          <w:rFonts w:hint="eastAsia"/>
          <w:color w:val="000000" w:themeColor="text1"/>
        </w:rPr>
        <w:lastRenderedPageBreak/>
        <w:t>加之原因</w:t>
      </w:r>
      <w:r w:rsidR="00D74F68" w:rsidRPr="000F0F71">
        <w:rPr>
          <w:rFonts w:hint="eastAsia"/>
          <w:color w:val="000000" w:themeColor="text1"/>
        </w:rPr>
        <w:t>，</w:t>
      </w:r>
      <w:r w:rsidR="003B244A" w:rsidRPr="000F0F71">
        <w:rPr>
          <w:rFonts w:hint="eastAsia"/>
          <w:color w:val="000000" w:themeColor="text1"/>
        </w:rPr>
        <w:t>容有不同，</w:t>
      </w:r>
      <w:r w:rsidR="00D74F68" w:rsidRPr="000F0F71">
        <w:rPr>
          <w:rFonts w:hint="eastAsia"/>
          <w:color w:val="000000" w:themeColor="text1"/>
        </w:rPr>
        <w:t>尚</w:t>
      </w:r>
      <w:r w:rsidR="003B244A" w:rsidRPr="000F0F71">
        <w:rPr>
          <w:rFonts w:hint="eastAsia"/>
          <w:color w:val="000000" w:themeColor="text1"/>
        </w:rPr>
        <w:t>非可一概而論。然</w:t>
      </w:r>
      <w:r w:rsidRPr="000F0F71">
        <w:rPr>
          <w:rFonts w:hint="eastAsia"/>
          <w:color w:val="000000" w:themeColor="text1"/>
        </w:rPr>
        <w:t>相關資訊</w:t>
      </w:r>
      <w:r w:rsidR="006241AD" w:rsidRPr="000F0F71">
        <w:rPr>
          <w:rFonts w:hint="eastAsia"/>
          <w:color w:val="000000" w:themeColor="text1"/>
        </w:rPr>
        <w:t>公開前</w:t>
      </w:r>
      <w:r w:rsidRPr="000F0F71">
        <w:rPr>
          <w:rFonts w:hint="eastAsia"/>
          <w:color w:val="000000" w:themeColor="text1"/>
        </w:rPr>
        <w:t>，並未篩選董監酬金</w:t>
      </w:r>
      <w:r w:rsidR="003B244A" w:rsidRPr="000F0F71">
        <w:rPr>
          <w:rFonts w:hint="eastAsia"/>
          <w:color w:val="000000" w:themeColor="text1"/>
        </w:rPr>
        <w:t>是否確實</w:t>
      </w:r>
      <w:r w:rsidRPr="000F0F71">
        <w:rPr>
          <w:rFonts w:hint="eastAsia"/>
          <w:color w:val="000000" w:themeColor="text1"/>
        </w:rPr>
        <w:t>不合理之公司</w:t>
      </w:r>
      <w:r w:rsidR="006241AD" w:rsidRPr="000F0F71">
        <w:rPr>
          <w:rFonts w:hint="eastAsia"/>
          <w:color w:val="000000" w:themeColor="text1"/>
        </w:rPr>
        <w:t>。</w:t>
      </w:r>
      <w:r w:rsidRPr="000F0F71">
        <w:rPr>
          <w:rFonts w:hint="eastAsia"/>
          <w:color w:val="000000" w:themeColor="text1"/>
        </w:rPr>
        <w:t>此外，董監酬金</w:t>
      </w:r>
      <w:r w:rsidR="00F50A78" w:rsidRPr="000F0F71">
        <w:rPr>
          <w:rFonts w:hint="eastAsia"/>
          <w:color w:val="000000" w:themeColor="text1"/>
        </w:rPr>
        <w:t>應考量產業前景、營運績效變化、發展策略、</w:t>
      </w:r>
      <w:r w:rsidR="00D74F68" w:rsidRPr="000F0F71">
        <w:rPr>
          <w:rFonts w:hint="eastAsia"/>
          <w:color w:val="000000" w:themeColor="text1"/>
        </w:rPr>
        <w:t>個人</w:t>
      </w:r>
      <w:r w:rsidR="00F50A78" w:rsidRPr="000F0F71">
        <w:rPr>
          <w:rFonts w:hint="eastAsia"/>
          <w:color w:val="000000" w:themeColor="text1"/>
        </w:rPr>
        <w:t>貢獻程度等因素，而公司有無落實公司治理，應依「上市上櫃公司治理實務守則」所列各項標準</w:t>
      </w:r>
      <w:r w:rsidR="00E95A57" w:rsidRPr="000F0F71">
        <w:rPr>
          <w:rFonts w:hint="eastAsia"/>
          <w:color w:val="000000" w:themeColor="text1"/>
        </w:rPr>
        <w:t>之評鑑結果認定</w:t>
      </w:r>
      <w:r w:rsidR="00D74F68" w:rsidRPr="000F0F71">
        <w:rPr>
          <w:rFonts w:hint="eastAsia"/>
          <w:color w:val="000000" w:themeColor="text1"/>
        </w:rPr>
        <w:t>。公開資訊觀測站</w:t>
      </w:r>
      <w:r w:rsidR="00F50A78" w:rsidRPr="000F0F71">
        <w:rPr>
          <w:rFonts w:hint="eastAsia"/>
          <w:color w:val="000000" w:themeColor="text1"/>
        </w:rPr>
        <w:t>逕以公司稅後虧損及董監酬金</w:t>
      </w:r>
      <w:r w:rsidR="00D74F68" w:rsidRPr="000F0F71">
        <w:rPr>
          <w:rFonts w:hint="eastAsia"/>
          <w:color w:val="000000" w:themeColor="text1"/>
        </w:rPr>
        <w:t>總額</w:t>
      </w:r>
      <w:r w:rsidR="00F50A78" w:rsidRPr="000F0F71">
        <w:rPr>
          <w:rFonts w:hint="eastAsia"/>
          <w:color w:val="000000" w:themeColor="text1"/>
        </w:rPr>
        <w:t>增加</w:t>
      </w:r>
      <w:r w:rsidR="00D74F68" w:rsidRPr="000F0F71">
        <w:rPr>
          <w:rFonts w:hint="eastAsia"/>
          <w:color w:val="000000" w:themeColor="text1"/>
        </w:rPr>
        <w:t>兩項標準，未審酌董監酬金發放數額及與稅後損益變動之關聯性與合理性</w:t>
      </w:r>
      <w:r w:rsidR="00F50A78" w:rsidRPr="000F0F71">
        <w:rPr>
          <w:rFonts w:hint="eastAsia"/>
          <w:color w:val="000000" w:themeColor="text1"/>
        </w:rPr>
        <w:t>，</w:t>
      </w:r>
      <w:r w:rsidR="00D74F68" w:rsidRPr="000F0F71">
        <w:rPr>
          <w:rFonts w:hint="eastAsia"/>
          <w:color w:val="000000" w:themeColor="text1"/>
        </w:rPr>
        <w:t>即要求</w:t>
      </w:r>
      <w:r w:rsidR="00E95A57" w:rsidRPr="000F0F71">
        <w:rPr>
          <w:rFonts w:hint="eastAsia"/>
          <w:color w:val="000000" w:themeColor="text1"/>
        </w:rPr>
        <w:t>投資人注意</w:t>
      </w:r>
      <w:r w:rsidR="006241AD" w:rsidRPr="000F0F71">
        <w:rPr>
          <w:rFonts w:hint="eastAsia"/>
          <w:color w:val="000000" w:themeColor="text1"/>
        </w:rPr>
        <w:t>該等</w:t>
      </w:r>
      <w:r w:rsidR="00E95A57" w:rsidRPr="000F0F71">
        <w:rPr>
          <w:rFonts w:hint="eastAsia"/>
          <w:color w:val="000000" w:themeColor="text1"/>
        </w:rPr>
        <w:t>公司治理之落實程度</w:t>
      </w:r>
      <w:r w:rsidR="00F50A78" w:rsidRPr="000F0F71">
        <w:rPr>
          <w:rFonts w:hint="eastAsia"/>
          <w:color w:val="000000" w:themeColor="text1"/>
        </w:rPr>
        <w:t>，似有欠周延，非無再行研酌之必要。</w:t>
      </w:r>
    </w:p>
    <w:p w:rsidR="007549A2" w:rsidRPr="000F0F71" w:rsidRDefault="007549A2" w:rsidP="007549A2">
      <w:pPr>
        <w:numPr>
          <w:ilvl w:val="3"/>
          <w:numId w:val="1"/>
        </w:numPr>
        <w:ind w:left="1741"/>
        <w:jc w:val="both"/>
        <w:outlineLvl w:val="3"/>
        <w:rPr>
          <w:rFonts w:ascii="標楷體" w:hAnsi="Arial"/>
          <w:color w:val="000000" w:themeColor="text1"/>
          <w:szCs w:val="36"/>
        </w:rPr>
      </w:pPr>
      <w:r w:rsidRPr="000F0F71">
        <w:rPr>
          <w:rFonts w:ascii="標楷體" w:hAnsi="Arial" w:hint="eastAsia"/>
          <w:color w:val="000000" w:themeColor="text1"/>
          <w:szCs w:val="36"/>
        </w:rPr>
        <w:t>至於陳情人所陳，某公司薪酬委員會係由獨立董事2人及外聘薪酬委員1人所組成，104年董事會討論事項中，薪酬委員會提案內容僅討論獨立董事及薪酬委員報酬，對其他董事報酬分文不給，有無違反利益迴避</w:t>
      </w:r>
      <w:r w:rsidR="00B53EE8" w:rsidRPr="000F0F71">
        <w:rPr>
          <w:rFonts w:ascii="標楷體" w:hAnsi="Arial" w:hint="eastAsia"/>
          <w:color w:val="000000" w:themeColor="text1"/>
          <w:szCs w:val="36"/>
        </w:rPr>
        <w:t>一</w:t>
      </w:r>
      <w:r w:rsidRPr="000F0F71">
        <w:rPr>
          <w:rFonts w:ascii="標楷體" w:hAnsi="Arial" w:hint="eastAsia"/>
          <w:color w:val="000000" w:themeColor="text1"/>
          <w:szCs w:val="36"/>
        </w:rPr>
        <w:t>節。詢據經濟部表示，公司法第206條規定，董事(含獨立董事)對於會議事項，與其自身有利害關係者，應於當次董事會說明其利害關係之重要內容，如有損害於公司利益之虞時，不得加入討論及表決且論及表決時應予迴避等語。該個案有無違反公司法相關規定，自應循個案爭議解決途徑行之。</w:t>
      </w:r>
    </w:p>
    <w:p w:rsidR="007549A2" w:rsidRPr="000F0F71" w:rsidRDefault="007549A2" w:rsidP="007549A2">
      <w:pPr>
        <w:numPr>
          <w:ilvl w:val="2"/>
          <w:numId w:val="1"/>
        </w:numPr>
        <w:kinsoku w:val="0"/>
        <w:ind w:left="1360" w:hanging="680"/>
        <w:jc w:val="both"/>
        <w:outlineLvl w:val="2"/>
        <w:rPr>
          <w:rFonts w:ascii="標楷體" w:hAnsi="Arial"/>
          <w:b/>
          <w:bCs/>
          <w:color w:val="000000" w:themeColor="text1"/>
          <w:kern w:val="0"/>
          <w:szCs w:val="36"/>
        </w:rPr>
      </w:pPr>
      <w:r w:rsidRPr="000F0F71">
        <w:rPr>
          <w:rFonts w:ascii="標楷體" w:hAnsi="Arial" w:hint="eastAsia"/>
          <w:b/>
          <w:bCs/>
          <w:color w:val="000000" w:themeColor="text1"/>
          <w:kern w:val="0"/>
          <w:szCs w:val="36"/>
        </w:rPr>
        <w:t>小結：</w:t>
      </w:r>
    </w:p>
    <w:p w:rsidR="007549A2" w:rsidRPr="000F0F71" w:rsidRDefault="007549A2" w:rsidP="007549A2">
      <w:pPr>
        <w:kinsoku w:val="0"/>
        <w:ind w:leftChars="400" w:left="1361"/>
        <w:jc w:val="both"/>
        <w:outlineLvl w:val="2"/>
        <w:rPr>
          <w:rFonts w:ascii="標楷體" w:hAnsi="Arial"/>
          <w:color w:val="000000" w:themeColor="text1"/>
          <w:kern w:val="0"/>
          <w:szCs w:val="36"/>
        </w:rPr>
      </w:pPr>
      <w:r w:rsidRPr="000F0F71">
        <w:rPr>
          <w:rFonts w:ascii="標楷體" w:hAnsi="Arial" w:hint="eastAsia"/>
          <w:bCs/>
          <w:color w:val="000000" w:themeColor="text1"/>
          <w:kern w:val="0"/>
          <w:szCs w:val="36"/>
        </w:rPr>
        <w:t xml:space="preserve">    綜上，證券交易法第14條之6第1項強制股票在證交所上市或於證券商營業處所買賣之公司應設置薪酬委員會，其立法理由在於阻止當公司連續虧損時，董監酬金總額仍大幅度增加之弊端，故委由薪酬委員會定期評估並訂定董監等之薪資報酬</w:t>
      </w:r>
      <w:r w:rsidR="00474883" w:rsidRPr="000F0F71">
        <w:rPr>
          <w:rFonts w:ascii="標楷體" w:hAnsi="Arial" w:hint="eastAsia"/>
          <w:bCs/>
          <w:color w:val="000000" w:themeColor="text1"/>
          <w:kern w:val="0"/>
          <w:szCs w:val="36"/>
        </w:rPr>
        <w:t>。</w:t>
      </w:r>
      <w:r w:rsidRPr="000F0F71">
        <w:rPr>
          <w:rFonts w:ascii="標楷體" w:hAnsi="Arial" w:hint="eastAsia"/>
          <w:bCs/>
          <w:color w:val="000000" w:themeColor="text1"/>
          <w:kern w:val="0"/>
          <w:szCs w:val="36"/>
        </w:rPr>
        <w:t>然而就證交所公布之資料發現，公司虧損董事酬金增加之情事</w:t>
      </w:r>
      <w:r w:rsidR="00E95A57" w:rsidRPr="000F0F71">
        <w:rPr>
          <w:rFonts w:ascii="標楷體" w:hAnsi="Arial" w:hint="eastAsia"/>
          <w:bCs/>
          <w:color w:val="000000" w:themeColor="text1"/>
          <w:kern w:val="0"/>
          <w:szCs w:val="36"/>
        </w:rPr>
        <w:t>仍不在少數</w:t>
      </w:r>
      <w:r w:rsidRPr="000F0F71">
        <w:rPr>
          <w:rFonts w:ascii="標楷體" w:hAnsi="Arial" w:hint="eastAsia"/>
          <w:bCs/>
          <w:color w:val="000000" w:themeColor="text1"/>
          <w:kern w:val="0"/>
          <w:szCs w:val="36"/>
        </w:rPr>
        <w:t>。</w:t>
      </w:r>
      <w:r w:rsidR="00E95A57" w:rsidRPr="000F0F71">
        <w:rPr>
          <w:rFonts w:ascii="標楷體" w:hAnsi="Arial" w:hint="eastAsia"/>
          <w:bCs/>
          <w:color w:val="000000" w:themeColor="text1"/>
          <w:kern w:val="0"/>
          <w:szCs w:val="36"/>
        </w:rPr>
        <w:t>鑑於</w:t>
      </w:r>
      <w:r w:rsidR="00E95A57" w:rsidRPr="000F0F71">
        <w:rPr>
          <w:rFonts w:ascii="標楷體" w:hAnsi="Arial" w:hint="eastAsia"/>
          <w:color w:val="000000" w:themeColor="text1"/>
          <w:szCs w:val="36"/>
        </w:rPr>
        <w:t>薪酬委員由董事</w:t>
      </w:r>
      <w:r w:rsidR="00E95A57" w:rsidRPr="000F0F71">
        <w:rPr>
          <w:rFonts w:ascii="標楷體" w:hAnsi="Arial" w:hint="eastAsia"/>
          <w:color w:val="000000" w:themeColor="text1"/>
          <w:szCs w:val="36"/>
        </w:rPr>
        <w:lastRenderedPageBreak/>
        <w:t>會委聘，僅有向董事會建議之權，功能不易彰顯，</w:t>
      </w:r>
      <w:r w:rsidRPr="000F0F71">
        <w:rPr>
          <w:rFonts w:ascii="標楷體" w:hAnsi="Arial" w:hint="eastAsia"/>
          <w:bCs/>
          <w:color w:val="000000" w:themeColor="text1"/>
          <w:kern w:val="0"/>
          <w:szCs w:val="36"/>
        </w:rPr>
        <w:t>為杜絕實務上董監恣意向公司索取高額報酬，保護投資大眾，金管會允宜就經濟部重行檢討93年3月8日函釋之際，檢視</w:t>
      </w:r>
      <w:r w:rsidR="00D74F68" w:rsidRPr="000F0F71">
        <w:rPr>
          <w:rFonts w:ascii="標楷體" w:hAnsi="Arial" w:hint="eastAsia"/>
          <w:bCs/>
          <w:color w:val="000000" w:themeColor="text1"/>
          <w:kern w:val="0"/>
          <w:szCs w:val="36"/>
        </w:rPr>
        <w:t>相關法令之周延性</w:t>
      </w:r>
      <w:r w:rsidRPr="000F0F71">
        <w:rPr>
          <w:rFonts w:ascii="標楷體" w:hAnsi="Arial" w:hint="eastAsia"/>
          <w:bCs/>
          <w:color w:val="000000" w:themeColor="text1"/>
          <w:kern w:val="0"/>
          <w:szCs w:val="36"/>
        </w:rPr>
        <w:t>並落實</w:t>
      </w:r>
      <w:r w:rsidR="00D74F68" w:rsidRPr="000F0F71">
        <w:rPr>
          <w:rFonts w:ascii="標楷體" w:hAnsi="Arial" w:hint="eastAsia"/>
          <w:bCs/>
          <w:color w:val="000000" w:themeColor="text1"/>
          <w:kern w:val="0"/>
          <w:szCs w:val="36"/>
        </w:rPr>
        <w:t>監督</w:t>
      </w:r>
      <w:r w:rsidRPr="000F0F71">
        <w:rPr>
          <w:rFonts w:ascii="標楷體" w:hAnsi="Arial" w:hint="eastAsia"/>
          <w:bCs/>
          <w:color w:val="000000" w:themeColor="text1"/>
          <w:kern w:val="0"/>
          <w:szCs w:val="36"/>
        </w:rPr>
        <w:t>機制，促進公司董監酬金</w:t>
      </w:r>
      <w:r w:rsidR="00E95A57" w:rsidRPr="000F0F71">
        <w:rPr>
          <w:rFonts w:ascii="標楷體" w:hAnsi="Arial" w:hint="eastAsia"/>
          <w:bCs/>
          <w:color w:val="000000" w:themeColor="text1"/>
          <w:kern w:val="0"/>
          <w:szCs w:val="36"/>
        </w:rPr>
        <w:t>之</w:t>
      </w:r>
      <w:r w:rsidRPr="000F0F71">
        <w:rPr>
          <w:rFonts w:ascii="標楷體" w:hAnsi="Arial" w:hint="eastAsia"/>
          <w:bCs/>
          <w:color w:val="000000" w:themeColor="text1"/>
          <w:kern w:val="0"/>
          <w:szCs w:val="36"/>
        </w:rPr>
        <w:t>合理化</w:t>
      </w:r>
      <w:r w:rsidR="00E95A57" w:rsidRPr="000F0F71">
        <w:rPr>
          <w:rFonts w:ascii="標楷體" w:hAnsi="Arial" w:hint="eastAsia"/>
          <w:bCs/>
          <w:color w:val="000000" w:themeColor="text1"/>
          <w:kern w:val="0"/>
          <w:szCs w:val="36"/>
        </w:rPr>
        <w:t>。</w:t>
      </w:r>
    </w:p>
    <w:bookmarkEnd w:id="5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rsidR="007549A2" w:rsidRPr="000F0F71" w:rsidRDefault="007549A2" w:rsidP="007549A2">
      <w:pPr>
        <w:numPr>
          <w:ilvl w:val="0"/>
          <w:numId w:val="1"/>
        </w:numPr>
        <w:kinsoku w:val="0"/>
        <w:jc w:val="both"/>
        <w:outlineLvl w:val="0"/>
        <w:rPr>
          <w:rFonts w:ascii="標楷體" w:hAnsi="Arial"/>
          <w:bCs/>
          <w:color w:val="000000" w:themeColor="text1"/>
          <w:kern w:val="0"/>
          <w:szCs w:val="52"/>
        </w:rPr>
      </w:pPr>
      <w:r w:rsidRPr="000F0F71">
        <w:rPr>
          <w:rFonts w:ascii="標楷體" w:hAnsi="Arial" w:hint="eastAsia"/>
          <w:bCs/>
          <w:color w:val="000000" w:themeColor="text1"/>
          <w:kern w:val="0"/>
          <w:szCs w:val="52"/>
        </w:rPr>
        <w:t>處理辦法：</w:t>
      </w:r>
    </w:p>
    <w:p w:rsidR="007549A2" w:rsidRPr="000F0F71" w:rsidRDefault="001744BB" w:rsidP="007549A2">
      <w:pPr>
        <w:numPr>
          <w:ilvl w:val="1"/>
          <w:numId w:val="1"/>
        </w:numPr>
        <w:kinsoku w:val="0"/>
        <w:ind w:left="1020" w:hanging="680"/>
        <w:jc w:val="both"/>
        <w:outlineLvl w:val="1"/>
        <w:rPr>
          <w:rFonts w:ascii="標楷體" w:hAnsi="Arial"/>
          <w:bCs/>
          <w:color w:val="000000" w:themeColor="text1"/>
          <w:kern w:val="0"/>
          <w:szCs w:val="48"/>
        </w:rPr>
      </w:pPr>
      <w:r>
        <w:rPr>
          <w:rFonts w:ascii="標楷體" w:hAnsi="Arial" w:hint="eastAsia"/>
          <w:bCs/>
          <w:color w:val="000000" w:themeColor="text1"/>
          <w:kern w:val="0"/>
          <w:szCs w:val="48"/>
        </w:rPr>
        <w:t>抄</w:t>
      </w:r>
      <w:r w:rsidR="007549A2" w:rsidRPr="000F0F71">
        <w:rPr>
          <w:rFonts w:ascii="標楷體" w:hAnsi="Arial" w:hint="eastAsia"/>
          <w:bCs/>
          <w:color w:val="000000" w:themeColor="text1"/>
          <w:kern w:val="0"/>
          <w:szCs w:val="48"/>
        </w:rPr>
        <w:t>調查意見一、二</w:t>
      </w:r>
      <w:bookmarkStart w:id="74" w:name="_GoBack"/>
      <w:bookmarkEnd w:id="74"/>
      <w:r w:rsidR="007549A2" w:rsidRPr="000F0F71">
        <w:rPr>
          <w:rFonts w:ascii="標楷體" w:hAnsi="Arial" w:hint="eastAsia"/>
          <w:bCs/>
          <w:color w:val="000000" w:themeColor="text1"/>
          <w:kern w:val="0"/>
          <w:szCs w:val="48"/>
        </w:rPr>
        <w:t>，函請經濟部確實檢討改進見復。</w:t>
      </w:r>
    </w:p>
    <w:p w:rsidR="007549A2" w:rsidRPr="000F0F71" w:rsidRDefault="001744BB" w:rsidP="006241AD">
      <w:pPr>
        <w:pStyle w:val="2"/>
        <w:rPr>
          <w:color w:val="000000" w:themeColor="text1"/>
        </w:rPr>
      </w:pPr>
      <w:r>
        <w:rPr>
          <w:rFonts w:hint="eastAsia"/>
          <w:color w:val="000000" w:themeColor="text1"/>
        </w:rPr>
        <w:t>抄</w:t>
      </w:r>
      <w:r w:rsidR="007549A2" w:rsidRPr="000F0F71">
        <w:rPr>
          <w:rFonts w:hint="eastAsia"/>
          <w:color w:val="000000" w:themeColor="text1"/>
        </w:rPr>
        <w:t>調查意見三，函請金</w:t>
      </w:r>
      <w:r w:rsidR="0031486F" w:rsidRPr="000F0F71">
        <w:rPr>
          <w:rFonts w:hint="eastAsia"/>
          <w:color w:val="000000" w:themeColor="text1"/>
        </w:rPr>
        <w:t>融監督</w:t>
      </w:r>
      <w:r w:rsidR="007549A2" w:rsidRPr="000F0F71">
        <w:rPr>
          <w:rFonts w:hint="eastAsia"/>
          <w:color w:val="000000" w:themeColor="text1"/>
        </w:rPr>
        <w:t>管</w:t>
      </w:r>
      <w:r w:rsidR="0031486F" w:rsidRPr="000F0F71">
        <w:rPr>
          <w:rFonts w:hint="eastAsia"/>
          <w:color w:val="000000" w:themeColor="text1"/>
        </w:rPr>
        <w:t>理委員</w:t>
      </w:r>
      <w:r w:rsidR="007549A2" w:rsidRPr="000F0F71">
        <w:rPr>
          <w:rFonts w:hint="eastAsia"/>
          <w:color w:val="000000" w:themeColor="text1"/>
        </w:rPr>
        <w:t>會</w:t>
      </w:r>
      <w:r w:rsidR="006241AD" w:rsidRPr="000F0F71">
        <w:rPr>
          <w:rFonts w:hint="eastAsia"/>
          <w:color w:val="000000" w:themeColor="text1"/>
        </w:rPr>
        <w:t>檢討改進見復</w:t>
      </w:r>
      <w:r w:rsidR="007549A2" w:rsidRPr="000F0F71">
        <w:rPr>
          <w:rFonts w:hint="eastAsia"/>
          <w:color w:val="000000" w:themeColor="text1"/>
        </w:rPr>
        <w:t>。</w:t>
      </w:r>
    </w:p>
    <w:p w:rsidR="007549A2" w:rsidRPr="000F0F71" w:rsidRDefault="001744BB" w:rsidP="007549A2">
      <w:pPr>
        <w:numPr>
          <w:ilvl w:val="1"/>
          <w:numId w:val="1"/>
        </w:numPr>
        <w:kinsoku w:val="0"/>
        <w:ind w:left="1020" w:hanging="680"/>
        <w:jc w:val="both"/>
        <w:outlineLvl w:val="1"/>
        <w:rPr>
          <w:rFonts w:ascii="標楷體" w:hAnsi="Arial"/>
          <w:bCs/>
          <w:color w:val="000000" w:themeColor="text1"/>
          <w:kern w:val="0"/>
          <w:szCs w:val="48"/>
        </w:rPr>
      </w:pPr>
      <w:r>
        <w:rPr>
          <w:rFonts w:ascii="標楷體" w:hAnsi="Arial" w:hint="eastAsia"/>
          <w:bCs/>
          <w:color w:val="000000" w:themeColor="text1"/>
          <w:kern w:val="0"/>
          <w:szCs w:val="48"/>
        </w:rPr>
        <w:t>影附</w:t>
      </w:r>
      <w:r w:rsidR="007549A2" w:rsidRPr="000F0F71">
        <w:rPr>
          <w:rFonts w:ascii="標楷體" w:hAnsi="Arial" w:hint="eastAsia"/>
          <w:bCs/>
          <w:color w:val="000000" w:themeColor="text1"/>
          <w:kern w:val="0"/>
          <w:szCs w:val="48"/>
        </w:rPr>
        <w:t>調查意見，函</w:t>
      </w:r>
      <w:r>
        <w:rPr>
          <w:rFonts w:ascii="標楷體" w:hAnsi="Arial" w:hint="eastAsia"/>
          <w:bCs/>
          <w:color w:val="000000" w:themeColor="text1"/>
          <w:kern w:val="0"/>
          <w:szCs w:val="48"/>
        </w:rPr>
        <w:t>復</w:t>
      </w:r>
      <w:r w:rsidR="007549A2" w:rsidRPr="000F0F71">
        <w:rPr>
          <w:rFonts w:ascii="標楷體" w:hAnsi="Arial" w:hint="eastAsia"/>
          <w:bCs/>
          <w:color w:val="000000" w:themeColor="text1"/>
          <w:kern w:val="0"/>
          <w:szCs w:val="48"/>
        </w:rPr>
        <w:t>陳訴人。</w:t>
      </w:r>
    </w:p>
    <w:p w:rsidR="007549A2" w:rsidRPr="000F0F71" w:rsidRDefault="007549A2" w:rsidP="001744BB">
      <w:pPr>
        <w:kinsoku w:val="0"/>
        <w:ind w:left="1020"/>
        <w:jc w:val="both"/>
        <w:outlineLvl w:val="1"/>
        <w:rPr>
          <w:rFonts w:ascii="標楷體" w:hAnsi="Arial"/>
          <w:bCs/>
          <w:color w:val="000000" w:themeColor="text1"/>
          <w:kern w:val="0"/>
          <w:szCs w:val="48"/>
        </w:rPr>
      </w:pPr>
    </w:p>
    <w:p w:rsidR="007549A2" w:rsidRPr="000F0F71" w:rsidRDefault="007549A2" w:rsidP="007549A2">
      <w:pPr>
        <w:pStyle w:val="1"/>
        <w:numPr>
          <w:ilvl w:val="0"/>
          <w:numId w:val="0"/>
        </w:numPr>
        <w:ind w:left="699" w:hanging="699"/>
        <w:rPr>
          <w:color w:val="000000" w:themeColor="text1"/>
        </w:rPr>
      </w:pPr>
    </w:p>
    <w:p w:rsidR="007549A2" w:rsidRPr="000F0F71" w:rsidRDefault="007549A2" w:rsidP="007549A2">
      <w:pPr>
        <w:pStyle w:val="1"/>
        <w:numPr>
          <w:ilvl w:val="0"/>
          <w:numId w:val="0"/>
        </w:numPr>
        <w:ind w:left="699" w:hanging="699"/>
        <w:rPr>
          <w:color w:val="000000" w:themeColor="text1"/>
        </w:rPr>
      </w:pPr>
    </w:p>
    <w:p w:rsidR="007549A2" w:rsidRPr="000F0F71" w:rsidRDefault="007549A2" w:rsidP="007549A2">
      <w:pPr>
        <w:pStyle w:val="1"/>
        <w:numPr>
          <w:ilvl w:val="0"/>
          <w:numId w:val="0"/>
        </w:numPr>
        <w:ind w:left="699" w:hanging="699"/>
        <w:rPr>
          <w:color w:val="000000" w:themeColor="text1"/>
        </w:rPr>
      </w:pPr>
    </w:p>
    <w:p w:rsidR="007549A2" w:rsidRPr="000F0F71" w:rsidRDefault="007549A2" w:rsidP="007549A2">
      <w:pPr>
        <w:pStyle w:val="1"/>
        <w:numPr>
          <w:ilvl w:val="0"/>
          <w:numId w:val="0"/>
        </w:numPr>
        <w:ind w:left="699" w:hanging="699"/>
        <w:rPr>
          <w:color w:val="000000" w:themeColor="text1"/>
        </w:rPr>
      </w:pPr>
    </w:p>
    <w:p w:rsidR="007549A2" w:rsidRPr="000F0F71" w:rsidRDefault="007549A2" w:rsidP="007549A2">
      <w:pPr>
        <w:pStyle w:val="1"/>
        <w:numPr>
          <w:ilvl w:val="0"/>
          <w:numId w:val="0"/>
        </w:numPr>
        <w:ind w:left="699" w:hanging="699"/>
        <w:rPr>
          <w:color w:val="000000" w:themeColor="text1"/>
        </w:rPr>
      </w:pPr>
    </w:p>
    <w:p w:rsidR="007549A2" w:rsidRDefault="007549A2" w:rsidP="00563FA1">
      <w:pPr>
        <w:kinsoku w:val="0"/>
        <w:spacing w:line="720" w:lineRule="exact"/>
        <w:ind w:leftChars="1100" w:left="3742"/>
        <w:jc w:val="both"/>
        <w:rPr>
          <w:rFonts w:ascii="標楷體" w:hint="eastAsia"/>
          <w:bCs/>
          <w:color w:val="000000" w:themeColor="text1"/>
          <w:spacing w:val="12"/>
          <w:kern w:val="0"/>
          <w:sz w:val="40"/>
        </w:rPr>
      </w:pPr>
      <w:r w:rsidRPr="000F0F71">
        <w:rPr>
          <w:rFonts w:ascii="標楷體" w:hint="eastAsia"/>
          <w:bCs/>
          <w:color w:val="000000" w:themeColor="text1"/>
          <w:spacing w:val="12"/>
          <w:kern w:val="0"/>
          <w:sz w:val="40"/>
        </w:rPr>
        <w:t>調查委員：</w:t>
      </w:r>
      <w:r w:rsidR="00563FA1">
        <w:rPr>
          <w:rFonts w:ascii="標楷體" w:hint="eastAsia"/>
          <w:bCs/>
          <w:color w:val="000000" w:themeColor="text1"/>
          <w:spacing w:val="12"/>
          <w:kern w:val="0"/>
          <w:sz w:val="40"/>
        </w:rPr>
        <w:t>方萬富</w:t>
      </w:r>
    </w:p>
    <w:p w:rsidR="00563FA1" w:rsidRDefault="00563FA1" w:rsidP="00563FA1">
      <w:pPr>
        <w:kinsoku w:val="0"/>
        <w:spacing w:line="720" w:lineRule="exact"/>
        <w:ind w:leftChars="1750" w:left="5953"/>
        <w:jc w:val="both"/>
        <w:rPr>
          <w:rFonts w:ascii="標楷體" w:hint="eastAsia"/>
          <w:bCs/>
          <w:color w:val="000000" w:themeColor="text1"/>
          <w:spacing w:val="12"/>
          <w:kern w:val="0"/>
          <w:sz w:val="40"/>
        </w:rPr>
      </w:pPr>
      <w:r>
        <w:rPr>
          <w:rFonts w:ascii="標楷體" w:hint="eastAsia"/>
          <w:bCs/>
          <w:color w:val="000000" w:themeColor="text1"/>
          <w:spacing w:val="12"/>
          <w:kern w:val="0"/>
          <w:sz w:val="40"/>
        </w:rPr>
        <w:t>陳慶財</w:t>
      </w:r>
    </w:p>
    <w:p w:rsidR="007549A2" w:rsidRPr="000F0F71" w:rsidRDefault="00563FA1" w:rsidP="00563FA1">
      <w:pPr>
        <w:kinsoku w:val="0"/>
        <w:spacing w:line="720" w:lineRule="exact"/>
        <w:ind w:leftChars="1750" w:left="5953"/>
        <w:jc w:val="both"/>
        <w:rPr>
          <w:rFonts w:ascii="標楷體"/>
          <w:bCs/>
          <w:color w:val="000000" w:themeColor="text1"/>
          <w:spacing w:val="12"/>
          <w:kern w:val="0"/>
          <w:sz w:val="36"/>
        </w:rPr>
      </w:pPr>
      <w:r>
        <w:rPr>
          <w:rFonts w:ascii="標楷體" w:hint="eastAsia"/>
          <w:bCs/>
          <w:color w:val="000000" w:themeColor="text1"/>
          <w:spacing w:val="12"/>
          <w:kern w:val="0"/>
          <w:sz w:val="40"/>
        </w:rPr>
        <w:t>楊美鈴</w:t>
      </w:r>
    </w:p>
    <w:p w:rsidR="007549A2" w:rsidRPr="000F0F71" w:rsidRDefault="007549A2" w:rsidP="007549A2">
      <w:pPr>
        <w:kinsoku w:val="0"/>
        <w:ind w:leftChars="1100" w:left="3742" w:firstLineChars="500" w:firstLine="2021"/>
        <w:jc w:val="both"/>
        <w:rPr>
          <w:rFonts w:ascii="標楷體"/>
          <w:bCs/>
          <w:color w:val="000000" w:themeColor="text1"/>
          <w:spacing w:val="12"/>
          <w:kern w:val="0"/>
          <w:sz w:val="36"/>
        </w:rPr>
      </w:pPr>
    </w:p>
    <w:p w:rsidR="007549A2" w:rsidRPr="000F0F71" w:rsidRDefault="007549A2" w:rsidP="007549A2">
      <w:pPr>
        <w:kinsoku w:val="0"/>
        <w:ind w:leftChars="1100" w:left="3742" w:firstLineChars="500" w:firstLine="2021"/>
        <w:jc w:val="both"/>
        <w:rPr>
          <w:rFonts w:ascii="標楷體"/>
          <w:bCs/>
          <w:color w:val="000000" w:themeColor="text1"/>
          <w:spacing w:val="12"/>
          <w:kern w:val="0"/>
          <w:sz w:val="36"/>
        </w:rPr>
      </w:pPr>
    </w:p>
    <w:bookmarkEnd w:id="45"/>
    <w:bookmarkEnd w:id="46"/>
    <w:bookmarkEnd w:id="47"/>
    <w:bookmarkEnd w:id="48"/>
    <w:bookmarkEnd w:id="49"/>
    <w:bookmarkEnd w:id="50"/>
    <w:bookmarkEnd w:id="51"/>
    <w:bookmarkEnd w:id="52"/>
    <w:bookmarkEnd w:id="53"/>
    <w:bookmarkEnd w:id="54"/>
    <w:sectPr w:rsidR="007549A2" w:rsidRPr="000F0F71" w:rsidSect="0023624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07" w:rsidRDefault="00202607">
      <w:r>
        <w:separator/>
      </w:r>
    </w:p>
  </w:endnote>
  <w:endnote w:type="continuationSeparator" w:id="0">
    <w:p w:rsidR="00202607" w:rsidRDefault="0020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93" w:rsidRDefault="00772393">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744BB">
      <w:rPr>
        <w:rStyle w:val="a7"/>
        <w:noProof/>
        <w:sz w:val="24"/>
      </w:rPr>
      <w:t>2</w:t>
    </w:r>
    <w:r>
      <w:rPr>
        <w:rStyle w:val="a7"/>
        <w:sz w:val="24"/>
      </w:rPr>
      <w:fldChar w:fldCharType="end"/>
    </w:r>
  </w:p>
  <w:p w:rsidR="00772393" w:rsidRDefault="007723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07" w:rsidRDefault="00202607">
      <w:r>
        <w:separator/>
      </w:r>
    </w:p>
  </w:footnote>
  <w:footnote w:type="continuationSeparator" w:id="0">
    <w:p w:rsidR="00202607" w:rsidRDefault="00202607">
      <w:r>
        <w:continuationSeparator/>
      </w:r>
    </w:p>
  </w:footnote>
  <w:footnote w:id="1">
    <w:p w:rsidR="00772393" w:rsidRPr="00AF3259" w:rsidRDefault="00772393" w:rsidP="004E5277">
      <w:pPr>
        <w:pStyle w:val="af0"/>
      </w:pPr>
      <w:r>
        <w:rPr>
          <w:rStyle w:val="af2"/>
        </w:rPr>
        <w:footnoteRef/>
      </w:r>
      <w:r w:rsidRPr="009D4D20">
        <w:rPr>
          <w:rFonts w:hint="eastAsia"/>
          <w:sz w:val="24"/>
          <w:szCs w:val="24"/>
        </w:rPr>
        <w:t>該系統網址為</w:t>
      </w:r>
      <w:hyperlink r:id="rId1" w:history="1">
        <w:r w:rsidRPr="000F3A7E">
          <w:rPr>
            <w:rStyle w:val="a9"/>
            <w:sz w:val="24"/>
            <w:szCs w:val="24"/>
          </w:rPr>
          <w:t>http://gcis.nat.gov.tw/elaw</w:t>
        </w:r>
      </w:hyperlink>
      <w:r>
        <w:rPr>
          <w:rFonts w:hint="eastAsia"/>
          <w:sz w:val="24"/>
          <w:szCs w:val="24"/>
        </w:rPr>
        <w:t>。</w:t>
      </w:r>
    </w:p>
  </w:footnote>
  <w:footnote w:id="2">
    <w:p w:rsidR="00772393" w:rsidRPr="004E5277" w:rsidRDefault="00772393" w:rsidP="004E5277">
      <w:pPr>
        <w:pStyle w:val="af0"/>
      </w:pPr>
      <w:r>
        <w:rPr>
          <w:rStyle w:val="af2"/>
        </w:rPr>
        <w:footnoteRef/>
      </w:r>
      <w:r>
        <w:t xml:space="preserve"> </w:t>
      </w:r>
      <w:r w:rsidRPr="004E5277">
        <w:rPr>
          <w:rFonts w:hint="eastAsia"/>
          <w:sz w:val="24"/>
          <w:szCs w:val="24"/>
        </w:rPr>
        <w:t>該判決表示：「原告依經濟部商業司</w:t>
      </w:r>
      <w:r>
        <w:rPr>
          <w:rFonts w:hint="eastAsia"/>
          <w:sz w:val="24"/>
          <w:szCs w:val="24"/>
        </w:rPr>
        <w:t>0930203870</w:t>
      </w:r>
      <w:r w:rsidRPr="004E5277">
        <w:rPr>
          <w:rFonts w:hint="eastAsia"/>
          <w:sz w:val="24"/>
          <w:szCs w:val="24"/>
        </w:rPr>
        <w:t>號函釋內容主張公司章程經股東會決議，訂明董監報酬授權董事會議定，縱未設一定限制，並非無效云云，惟此乃行政機關之見解，並無拘束法院之效力</w:t>
      </w:r>
      <w:r>
        <w:rPr>
          <w:rFonts w:hint="eastAsia"/>
          <w:sz w:val="24"/>
          <w:szCs w:val="24"/>
        </w:rPr>
        <w:t>。……。</w:t>
      </w:r>
      <w:r w:rsidRPr="004E5277">
        <w:rPr>
          <w:rFonts w:hint="eastAsia"/>
          <w:sz w:val="24"/>
          <w:szCs w:val="24"/>
        </w:rPr>
        <w:t>」</w:t>
      </w:r>
    </w:p>
  </w:footnote>
  <w:footnote w:id="3">
    <w:p w:rsidR="00772393" w:rsidRDefault="00772393" w:rsidP="007549A2">
      <w:pPr>
        <w:pStyle w:val="af0"/>
      </w:pPr>
      <w:r>
        <w:rPr>
          <w:rStyle w:val="af2"/>
        </w:rPr>
        <w:footnoteRef/>
      </w:r>
      <w:r w:rsidRPr="009D4D20">
        <w:rPr>
          <w:rFonts w:hint="eastAsia"/>
          <w:sz w:val="24"/>
          <w:szCs w:val="24"/>
        </w:rPr>
        <w:t>日本會社法第</w:t>
      </w:r>
      <w:r w:rsidRPr="009D4D20">
        <w:rPr>
          <w:sz w:val="24"/>
          <w:szCs w:val="24"/>
        </w:rPr>
        <w:t>361</w:t>
      </w:r>
      <w:r w:rsidRPr="009D4D20">
        <w:rPr>
          <w:rFonts w:hint="eastAsia"/>
          <w:sz w:val="24"/>
          <w:szCs w:val="24"/>
        </w:rPr>
        <w:t>條規定：「取締役の報酬、賞与その他の職務執行の対価として株式会社から受ける財産上の利益【以下この章において「報酬等」という。】についての次に掲げる事項は、定款に当該事項を定めていないときは、株主総会の決議によって定める。一　報酬等のうち額が確定しているものについては、その額。二　報酬等のうち額が確定していないものについては、その具体的な算定方法。三　報酬等のうち金銭でないものについては、その具体的な内容。」（關於董事之報酬、獎金及其他作為執行職務對價，從股份有限公司接受之下列各款財產上利益【以下稱「報酬等」】，於章程中未規定者，由股東會議定之：</w:t>
      </w:r>
      <w:r w:rsidRPr="009D4D20">
        <w:rPr>
          <w:rFonts w:hint="eastAsia"/>
          <w:sz w:val="24"/>
          <w:szCs w:val="24"/>
        </w:rPr>
        <w:t>1</w:t>
      </w:r>
      <w:r w:rsidRPr="009D4D20">
        <w:rPr>
          <w:rFonts w:hint="eastAsia"/>
          <w:sz w:val="24"/>
          <w:szCs w:val="24"/>
        </w:rPr>
        <w:t>、「報酬等」中金額確定者，其金額。</w:t>
      </w:r>
      <w:r w:rsidRPr="009D4D20">
        <w:rPr>
          <w:rFonts w:hint="eastAsia"/>
          <w:sz w:val="24"/>
          <w:szCs w:val="24"/>
        </w:rPr>
        <w:t>2</w:t>
      </w:r>
      <w:r w:rsidRPr="009D4D20">
        <w:rPr>
          <w:rFonts w:hint="eastAsia"/>
          <w:sz w:val="24"/>
          <w:szCs w:val="24"/>
        </w:rPr>
        <w:t>、「報酬等」中金額不確定者，其具體之計算方法。</w:t>
      </w:r>
      <w:r w:rsidRPr="009D4D20">
        <w:rPr>
          <w:rFonts w:hint="eastAsia"/>
          <w:sz w:val="24"/>
          <w:szCs w:val="24"/>
        </w:rPr>
        <w:t>3</w:t>
      </w:r>
      <w:r w:rsidRPr="009D4D20">
        <w:rPr>
          <w:rFonts w:hint="eastAsia"/>
          <w:sz w:val="24"/>
          <w:szCs w:val="24"/>
        </w:rPr>
        <w:t>、「報酬等」中有非屬金錢者，其具體內容。）</w:t>
      </w:r>
    </w:p>
  </w:footnote>
  <w:footnote w:id="4">
    <w:p w:rsidR="00772393" w:rsidRPr="00BD21F8" w:rsidRDefault="00772393" w:rsidP="00705B1D">
      <w:pPr>
        <w:pStyle w:val="af0"/>
        <w:rPr>
          <w:color w:val="000000" w:themeColor="text1"/>
        </w:rPr>
      </w:pPr>
      <w:r>
        <w:rPr>
          <w:rStyle w:val="af2"/>
        </w:rPr>
        <w:footnoteRef/>
      </w:r>
      <w:r>
        <w:t xml:space="preserve"> </w:t>
      </w:r>
      <w:r w:rsidRPr="00BD21F8">
        <w:rPr>
          <w:rFonts w:hint="eastAsia"/>
          <w:color w:val="000000" w:themeColor="text1"/>
          <w:sz w:val="24"/>
          <w:szCs w:val="24"/>
        </w:rPr>
        <w:t>所得稅法第</w:t>
      </w:r>
      <w:r w:rsidRPr="00BD21F8">
        <w:rPr>
          <w:rFonts w:hint="eastAsia"/>
          <w:color w:val="000000" w:themeColor="text1"/>
          <w:sz w:val="24"/>
          <w:szCs w:val="24"/>
        </w:rPr>
        <w:t>32</w:t>
      </w:r>
      <w:r w:rsidRPr="00BD21F8">
        <w:rPr>
          <w:rFonts w:hint="eastAsia"/>
          <w:color w:val="000000" w:themeColor="text1"/>
          <w:sz w:val="24"/>
          <w:szCs w:val="24"/>
        </w:rPr>
        <w:t>條規定：「營利事業職工之薪資、合於左列規定者，得以費用或損失列支：……。二、合夥及獨資組織之職工薪資、執行業務之合夥人及資本主之薪資，不論營業盈虧必須支付，且不超過</w:t>
      </w:r>
      <w:r w:rsidRPr="00BD21F8">
        <w:rPr>
          <w:rFonts w:hint="eastAsia"/>
          <w:b/>
          <w:color w:val="000000" w:themeColor="text1"/>
          <w:sz w:val="24"/>
          <w:szCs w:val="24"/>
        </w:rPr>
        <w:t>同業通常水準</w:t>
      </w:r>
      <w:r w:rsidRPr="00BD21F8">
        <w:rPr>
          <w:rFonts w:hint="eastAsia"/>
          <w:color w:val="000000" w:themeColor="text1"/>
          <w:sz w:val="24"/>
          <w:szCs w:val="24"/>
        </w:rPr>
        <w:t>者。」</w:t>
      </w:r>
    </w:p>
  </w:footnote>
  <w:footnote w:id="5">
    <w:p w:rsidR="00772393" w:rsidRPr="00BD21F8" w:rsidRDefault="00772393" w:rsidP="00705B1D">
      <w:pPr>
        <w:pStyle w:val="af0"/>
        <w:rPr>
          <w:color w:val="000000" w:themeColor="text1"/>
        </w:rPr>
      </w:pPr>
      <w:r w:rsidRPr="00BD21F8">
        <w:rPr>
          <w:rStyle w:val="af2"/>
          <w:color w:val="000000" w:themeColor="text1"/>
        </w:rPr>
        <w:footnoteRef/>
      </w:r>
      <w:r w:rsidRPr="00BD21F8">
        <w:rPr>
          <w:rFonts w:hint="eastAsia"/>
          <w:color w:val="000000" w:themeColor="text1"/>
          <w:sz w:val="24"/>
          <w:szCs w:val="24"/>
        </w:rPr>
        <w:t>「股票上市或於證券商營業處所買賣公司薪資報酬委員會設置及行使職權辦法」第</w:t>
      </w:r>
      <w:r w:rsidRPr="00BD21F8">
        <w:rPr>
          <w:rFonts w:hint="eastAsia"/>
          <w:color w:val="000000" w:themeColor="text1"/>
          <w:sz w:val="24"/>
          <w:szCs w:val="24"/>
        </w:rPr>
        <w:t>7</w:t>
      </w:r>
      <w:r w:rsidRPr="00BD21F8">
        <w:rPr>
          <w:rFonts w:hint="eastAsia"/>
          <w:color w:val="000000" w:themeColor="text1"/>
          <w:sz w:val="24"/>
          <w:szCs w:val="24"/>
        </w:rPr>
        <w:t>條第</w:t>
      </w:r>
      <w:r w:rsidRPr="00BD21F8">
        <w:rPr>
          <w:rFonts w:hint="eastAsia"/>
          <w:color w:val="000000" w:themeColor="text1"/>
          <w:sz w:val="24"/>
          <w:szCs w:val="24"/>
        </w:rPr>
        <w:t>2</w:t>
      </w:r>
      <w:r w:rsidRPr="00BD21F8">
        <w:rPr>
          <w:rFonts w:hint="eastAsia"/>
          <w:color w:val="000000" w:themeColor="text1"/>
          <w:sz w:val="24"/>
          <w:szCs w:val="24"/>
        </w:rPr>
        <w:t>項規定：「薪資報酬委員會履行前項職權時，應依下列原則為之：一、董監及經理人之績效評估及薪資報酬應參考</w:t>
      </w:r>
      <w:r w:rsidRPr="00BD21F8">
        <w:rPr>
          <w:rFonts w:hint="eastAsia"/>
          <w:b/>
          <w:color w:val="000000" w:themeColor="text1"/>
          <w:sz w:val="24"/>
          <w:szCs w:val="24"/>
        </w:rPr>
        <w:t>同業通常水準</w:t>
      </w:r>
      <w:r w:rsidRPr="00BD21F8">
        <w:rPr>
          <w:rFonts w:hint="eastAsia"/>
          <w:color w:val="000000" w:themeColor="text1"/>
          <w:sz w:val="24"/>
          <w:szCs w:val="24"/>
        </w:rPr>
        <w:t>支給情形，並考量與個人表現、公司經營績效及未來風險之關連合理性。……。」</w:t>
      </w:r>
    </w:p>
  </w:footnote>
  <w:footnote w:id="6">
    <w:p w:rsidR="00772393" w:rsidRPr="00BD21F8" w:rsidRDefault="00772393" w:rsidP="00705B1D">
      <w:pPr>
        <w:pStyle w:val="af0"/>
        <w:rPr>
          <w:color w:val="000000" w:themeColor="text1"/>
        </w:rPr>
      </w:pPr>
      <w:r w:rsidRPr="00BD21F8">
        <w:rPr>
          <w:rStyle w:val="af2"/>
          <w:color w:val="000000" w:themeColor="text1"/>
        </w:rPr>
        <w:footnoteRef/>
      </w:r>
      <w:r w:rsidRPr="00BD21F8">
        <w:rPr>
          <w:rFonts w:hint="eastAsia"/>
          <w:color w:val="000000" w:themeColor="text1"/>
          <w:sz w:val="24"/>
          <w:szCs w:val="24"/>
        </w:rPr>
        <w:t>「執行業務所得查核辦法」第</w:t>
      </w:r>
      <w:r w:rsidRPr="00BD21F8">
        <w:rPr>
          <w:rFonts w:hint="eastAsia"/>
          <w:color w:val="000000" w:themeColor="text1"/>
          <w:sz w:val="24"/>
          <w:szCs w:val="24"/>
        </w:rPr>
        <w:t>18</w:t>
      </w:r>
      <w:r w:rsidRPr="00BD21F8">
        <w:rPr>
          <w:rFonts w:hint="eastAsia"/>
          <w:color w:val="000000" w:themeColor="text1"/>
          <w:sz w:val="24"/>
          <w:szCs w:val="24"/>
        </w:rPr>
        <w:t>條規定：「薪資支出：……。二、執行業務者，除聯合執行業務者已於契約內訂定，其薪資得在不超過</w:t>
      </w:r>
      <w:r w:rsidRPr="00BD21F8">
        <w:rPr>
          <w:rFonts w:hint="eastAsia"/>
          <w:b/>
          <w:color w:val="000000" w:themeColor="text1"/>
          <w:sz w:val="24"/>
          <w:szCs w:val="24"/>
        </w:rPr>
        <w:t>同業通常水準</w:t>
      </w:r>
      <w:r w:rsidRPr="00BD21F8">
        <w:rPr>
          <w:rFonts w:hint="eastAsia"/>
          <w:color w:val="000000" w:themeColor="text1"/>
          <w:sz w:val="24"/>
          <w:szCs w:val="24"/>
        </w:rPr>
        <w:t>核實認列外，不得於其事務所列報薪資費用。」</w:t>
      </w:r>
    </w:p>
  </w:footnote>
  <w:footnote w:id="7">
    <w:p w:rsidR="00772393" w:rsidRDefault="00772393" w:rsidP="007549A2">
      <w:pPr>
        <w:pStyle w:val="af0"/>
      </w:pPr>
      <w:r>
        <w:rPr>
          <w:rStyle w:val="af2"/>
        </w:rPr>
        <w:footnoteRef/>
      </w:r>
      <w:r w:rsidRPr="009D4D20">
        <w:rPr>
          <w:rFonts w:hint="eastAsia"/>
          <w:sz w:val="24"/>
          <w:szCs w:val="24"/>
        </w:rPr>
        <w:t>上市</w:t>
      </w:r>
      <w:r>
        <w:rPr>
          <w:rFonts w:hint="eastAsia"/>
          <w:sz w:val="24"/>
          <w:szCs w:val="24"/>
        </w:rPr>
        <w:t>（</w:t>
      </w:r>
      <w:r w:rsidRPr="009D4D20">
        <w:rPr>
          <w:rFonts w:hint="eastAsia"/>
          <w:sz w:val="24"/>
          <w:szCs w:val="24"/>
        </w:rPr>
        <w:t>櫃</w:t>
      </w:r>
      <w:r>
        <w:rPr>
          <w:rFonts w:hint="eastAsia"/>
          <w:sz w:val="24"/>
          <w:szCs w:val="24"/>
        </w:rPr>
        <w:t>）</w:t>
      </w:r>
      <w:r w:rsidRPr="009D4D20">
        <w:rPr>
          <w:rFonts w:hint="eastAsia"/>
          <w:sz w:val="24"/>
          <w:szCs w:val="24"/>
        </w:rPr>
        <w:t>公司應於股東會年報揭露其董監薪酬政策及董監酬金</w:t>
      </w:r>
      <w:r w:rsidRPr="009D4D20">
        <w:rPr>
          <w:rFonts w:hint="eastAsia"/>
          <w:sz w:val="24"/>
          <w:szCs w:val="24"/>
        </w:rPr>
        <w:t>(</w:t>
      </w:r>
      <w:r w:rsidRPr="009D4D20">
        <w:rPr>
          <w:rFonts w:hint="eastAsia"/>
          <w:sz w:val="24"/>
          <w:szCs w:val="24"/>
        </w:rPr>
        <w:t>採彙總配合級距方式揭露</w:t>
      </w:r>
      <w:r w:rsidRPr="009D4D20">
        <w:rPr>
          <w:rFonts w:hint="eastAsia"/>
          <w:sz w:val="24"/>
          <w:szCs w:val="24"/>
        </w:rPr>
        <w:t>)</w:t>
      </w:r>
      <w:r w:rsidRPr="009D4D20">
        <w:rPr>
          <w:rFonts w:hint="eastAsia"/>
          <w:sz w:val="24"/>
          <w:szCs w:val="24"/>
        </w:rPr>
        <w:t>，符合特定情況之公司（如最近年度虧損、持股成數不足、質押比例過高），則應個別揭露董監酬金。</w:t>
      </w:r>
    </w:p>
  </w:footnote>
  <w:footnote w:id="8">
    <w:p w:rsidR="00772393" w:rsidRDefault="00772393" w:rsidP="007549A2">
      <w:pPr>
        <w:pStyle w:val="af0"/>
      </w:pPr>
      <w:r>
        <w:rPr>
          <w:rStyle w:val="af2"/>
        </w:rPr>
        <w:footnoteRef/>
      </w:r>
      <w:r w:rsidRPr="009D4D20">
        <w:rPr>
          <w:rFonts w:hint="eastAsia"/>
          <w:sz w:val="24"/>
          <w:szCs w:val="24"/>
        </w:rPr>
        <w:t>公開資訊觀測站已彙整各公司整體董事薪資報酬總額及平均薪資報酬，可利用該等資訊計算各業別之平均薪資報酬。</w:t>
      </w:r>
    </w:p>
  </w:footnote>
  <w:footnote w:id="9">
    <w:p w:rsidR="00772393" w:rsidRDefault="00772393" w:rsidP="007549A2">
      <w:pPr>
        <w:pStyle w:val="af0"/>
      </w:pPr>
      <w:r>
        <w:rPr>
          <w:rStyle w:val="af2"/>
        </w:rPr>
        <w:footnoteRef/>
      </w:r>
      <w:r w:rsidRPr="009D4D20">
        <w:rPr>
          <w:rFonts w:hint="eastAsia"/>
          <w:sz w:val="24"/>
          <w:szCs w:val="24"/>
        </w:rPr>
        <w:t>公司可透過</w:t>
      </w:r>
      <w:r w:rsidRPr="009D4D20">
        <w:rPr>
          <w:rFonts w:hint="eastAsia"/>
          <w:sz w:val="24"/>
          <w:szCs w:val="24"/>
        </w:rPr>
        <w:t>IOMA(Institute of Management &amp; Administration)</w:t>
      </w:r>
      <w:r w:rsidRPr="009D4D20">
        <w:rPr>
          <w:rFonts w:hint="eastAsia"/>
          <w:sz w:val="24"/>
          <w:szCs w:val="24"/>
        </w:rPr>
        <w:t>、</w:t>
      </w:r>
      <w:r w:rsidRPr="009D4D20">
        <w:rPr>
          <w:rFonts w:hint="eastAsia"/>
          <w:sz w:val="24"/>
          <w:szCs w:val="24"/>
        </w:rPr>
        <w:t>Forbes</w:t>
      </w:r>
      <w:r w:rsidRPr="009D4D20">
        <w:rPr>
          <w:rFonts w:hint="eastAsia"/>
          <w:sz w:val="24"/>
          <w:szCs w:val="24"/>
        </w:rPr>
        <w:t>或其他人力資源出版品等查詢相關產業高階人員之平均薪資報酬。</w:t>
      </w:r>
    </w:p>
  </w:footnote>
  <w:footnote w:id="10">
    <w:p w:rsidR="00772393" w:rsidRPr="00D11D34" w:rsidRDefault="00772393" w:rsidP="00D11D34">
      <w:pPr>
        <w:pStyle w:val="af0"/>
      </w:pPr>
      <w:r w:rsidRPr="00A15628">
        <w:rPr>
          <w:rStyle w:val="af2"/>
          <w:color w:val="000000" w:themeColor="text1"/>
        </w:rPr>
        <w:footnoteRef/>
      </w:r>
      <w:r w:rsidRPr="00A15628">
        <w:rPr>
          <w:color w:val="000000" w:themeColor="text1"/>
        </w:rPr>
        <w:t xml:space="preserve"> </w:t>
      </w:r>
      <w:r w:rsidRPr="00A15628">
        <w:rPr>
          <w:rFonts w:hint="eastAsia"/>
          <w:color w:val="000000" w:themeColor="text1"/>
          <w:sz w:val="24"/>
          <w:szCs w:val="24"/>
        </w:rPr>
        <w:t>公司法第</w:t>
      </w:r>
      <w:r w:rsidRPr="00A15628">
        <w:rPr>
          <w:rFonts w:hint="eastAsia"/>
          <w:color w:val="000000" w:themeColor="text1"/>
          <w:sz w:val="24"/>
          <w:szCs w:val="24"/>
        </w:rPr>
        <w:t>214</w:t>
      </w:r>
      <w:r w:rsidRPr="00A15628">
        <w:rPr>
          <w:rFonts w:hint="eastAsia"/>
          <w:color w:val="000000" w:themeColor="text1"/>
          <w:sz w:val="24"/>
          <w:szCs w:val="24"/>
        </w:rPr>
        <w:t>條第</w:t>
      </w:r>
      <w:r w:rsidRPr="00A15628">
        <w:rPr>
          <w:rFonts w:hint="eastAsia"/>
          <w:color w:val="000000" w:themeColor="text1"/>
          <w:sz w:val="24"/>
          <w:szCs w:val="24"/>
        </w:rPr>
        <w:t>1</w:t>
      </w:r>
      <w:r w:rsidRPr="00A15628">
        <w:rPr>
          <w:rFonts w:hint="eastAsia"/>
          <w:color w:val="000000" w:themeColor="text1"/>
          <w:sz w:val="24"/>
          <w:szCs w:val="24"/>
        </w:rPr>
        <w:t>項規定：「繼續一年以上，持有已發行股份總數百分之</w:t>
      </w:r>
      <w:r>
        <w:rPr>
          <w:rFonts w:hint="eastAsia"/>
          <w:color w:val="000000" w:themeColor="text1"/>
          <w:sz w:val="24"/>
          <w:szCs w:val="24"/>
        </w:rPr>
        <w:t>3</w:t>
      </w:r>
      <w:r w:rsidRPr="00A15628">
        <w:rPr>
          <w:rFonts w:hint="eastAsia"/>
          <w:color w:val="000000" w:themeColor="text1"/>
          <w:sz w:val="24"/>
          <w:szCs w:val="24"/>
        </w:rPr>
        <w:t>以上之股東，得以書面請求監察人為公司對董事提起訴訟。」</w:t>
      </w:r>
    </w:p>
  </w:footnote>
  <w:footnote w:id="11">
    <w:p w:rsidR="00772393" w:rsidRDefault="00772393" w:rsidP="007549A2">
      <w:pPr>
        <w:pStyle w:val="af0"/>
      </w:pPr>
      <w:r>
        <w:rPr>
          <w:rStyle w:val="af2"/>
        </w:rPr>
        <w:footnoteRef/>
      </w:r>
      <w:r w:rsidRPr="009D4D20">
        <w:rPr>
          <w:rFonts w:hint="eastAsia"/>
          <w:sz w:val="24"/>
          <w:szCs w:val="24"/>
        </w:rPr>
        <w:t>證交所及櫃買中心自</w:t>
      </w:r>
      <w:r w:rsidRPr="009D4D20">
        <w:rPr>
          <w:rFonts w:hint="eastAsia"/>
          <w:sz w:val="24"/>
          <w:szCs w:val="24"/>
        </w:rPr>
        <w:t>102</w:t>
      </w:r>
      <w:r w:rsidRPr="009D4D20">
        <w:rPr>
          <w:rFonts w:hint="eastAsia"/>
          <w:sz w:val="24"/>
          <w:szCs w:val="24"/>
        </w:rPr>
        <w:t>年度第</w:t>
      </w:r>
      <w:r w:rsidRPr="009D4D20">
        <w:rPr>
          <w:rFonts w:hint="eastAsia"/>
          <w:sz w:val="24"/>
          <w:szCs w:val="24"/>
        </w:rPr>
        <w:t>2</w:t>
      </w:r>
      <w:r w:rsidRPr="009D4D20">
        <w:rPr>
          <w:rFonts w:hint="eastAsia"/>
          <w:sz w:val="24"/>
          <w:szCs w:val="24"/>
        </w:rPr>
        <w:t>季起將薪酬委員會運作情形納入內部控制查核項目，經金管會彙整上市公司薪酬委員會運作有以下主要缺失略以：</w:t>
      </w:r>
      <w:r w:rsidRPr="009D4D20">
        <w:rPr>
          <w:rFonts w:hint="eastAsia"/>
          <w:sz w:val="24"/>
          <w:szCs w:val="24"/>
        </w:rPr>
        <w:t xml:space="preserve">1. </w:t>
      </w:r>
      <w:r w:rsidRPr="009D4D20">
        <w:rPr>
          <w:rFonts w:hint="eastAsia"/>
          <w:sz w:val="24"/>
          <w:szCs w:val="24"/>
        </w:rPr>
        <w:t>未依薪酬委員會職權辦法定期評估董監及經理人個人績效目標達成情形，及未訂定個別薪資報酬之內容及數額。</w:t>
      </w:r>
      <w:r w:rsidRPr="009D4D20">
        <w:rPr>
          <w:rFonts w:hint="eastAsia"/>
          <w:sz w:val="24"/>
          <w:szCs w:val="24"/>
        </w:rPr>
        <w:t xml:space="preserve">2. </w:t>
      </w:r>
      <w:r w:rsidRPr="009D4D20">
        <w:rPr>
          <w:rFonts w:hint="eastAsia"/>
          <w:sz w:val="24"/>
          <w:szCs w:val="24"/>
        </w:rPr>
        <w:t>未訂定薪酬委員會組織規程或所訂之規程有未符薪酬委員會職權辦法及有未訂定薪酬委員會運作管理之內部控制等情事。</w:t>
      </w:r>
      <w:r w:rsidRPr="009D4D20">
        <w:rPr>
          <w:rFonts w:hint="eastAsia"/>
          <w:sz w:val="24"/>
          <w:szCs w:val="24"/>
        </w:rPr>
        <w:t xml:space="preserve">3. </w:t>
      </w:r>
      <w:r w:rsidRPr="009D4D20">
        <w:rPr>
          <w:rFonts w:hint="eastAsia"/>
          <w:sz w:val="24"/>
          <w:szCs w:val="24"/>
        </w:rPr>
        <w:t>薪酬委員會議程相關缺失包括召集程序未以書面方式辦理及議事錄未登載出席人數或出席人員未予簽章等情事。</w:t>
      </w:r>
      <w:r w:rsidRPr="009D4D20">
        <w:rPr>
          <w:rFonts w:hint="eastAsia"/>
          <w:sz w:val="24"/>
          <w:szCs w:val="24"/>
        </w:rPr>
        <w:t xml:space="preserve">4. </w:t>
      </w:r>
      <w:r w:rsidRPr="009D4D20">
        <w:rPr>
          <w:rFonts w:hint="eastAsia"/>
          <w:sz w:val="24"/>
          <w:szCs w:val="24"/>
        </w:rPr>
        <w:t>薪酬委員會委員因故解任，未於規定期間內補選。據金管會表示，證交所及櫃買中心已按季追蹤其改善情形。</w:t>
      </w:r>
    </w:p>
  </w:footnote>
  <w:footnote w:id="12">
    <w:p w:rsidR="00772393" w:rsidRPr="009D4D20" w:rsidRDefault="00772393" w:rsidP="007549A2">
      <w:pPr>
        <w:pStyle w:val="af0"/>
        <w:rPr>
          <w:sz w:val="24"/>
          <w:szCs w:val="24"/>
        </w:rPr>
      </w:pPr>
      <w:r>
        <w:rPr>
          <w:rStyle w:val="af2"/>
        </w:rPr>
        <w:footnoteRef/>
      </w:r>
      <w:r w:rsidRPr="009D4D20">
        <w:rPr>
          <w:rFonts w:hint="eastAsia"/>
          <w:sz w:val="24"/>
          <w:szCs w:val="24"/>
        </w:rPr>
        <w:t>有關投保中心以股東身分積極參與上市</w:t>
      </w:r>
      <w:r>
        <w:rPr>
          <w:rFonts w:hint="eastAsia"/>
          <w:sz w:val="24"/>
          <w:szCs w:val="24"/>
        </w:rPr>
        <w:t>（</w:t>
      </w:r>
      <w:r w:rsidRPr="009D4D20">
        <w:rPr>
          <w:rFonts w:hint="eastAsia"/>
          <w:sz w:val="24"/>
          <w:szCs w:val="24"/>
        </w:rPr>
        <w:t>櫃</w:t>
      </w:r>
      <w:r>
        <w:rPr>
          <w:rFonts w:hint="eastAsia"/>
          <w:sz w:val="24"/>
          <w:szCs w:val="24"/>
        </w:rPr>
        <w:t>）</w:t>
      </w:r>
      <w:r w:rsidRPr="009D4D20">
        <w:rPr>
          <w:rFonts w:hint="eastAsia"/>
          <w:sz w:val="24"/>
          <w:szCs w:val="24"/>
        </w:rPr>
        <w:t>公司之股東會</w:t>
      </w:r>
      <w:r w:rsidRPr="00B53EE8">
        <w:rPr>
          <w:rFonts w:hint="eastAsia"/>
          <w:color w:val="FF0000"/>
          <w:sz w:val="24"/>
          <w:szCs w:val="24"/>
        </w:rPr>
        <w:t>一</w:t>
      </w:r>
      <w:r w:rsidRPr="009D4D20">
        <w:rPr>
          <w:rFonts w:hint="eastAsia"/>
          <w:sz w:val="24"/>
          <w:szCs w:val="24"/>
        </w:rPr>
        <w:t>節，據金管會表示：投保中心檢視前</w:t>
      </w:r>
      <w:r>
        <w:rPr>
          <w:rFonts w:hint="eastAsia"/>
          <w:sz w:val="24"/>
          <w:szCs w:val="24"/>
        </w:rPr>
        <w:t>1</w:t>
      </w:r>
      <w:r w:rsidRPr="009D4D20">
        <w:rPr>
          <w:rFonts w:hint="eastAsia"/>
          <w:sz w:val="24"/>
          <w:szCs w:val="24"/>
        </w:rPr>
        <w:t>年度稅後損益衰退，但董監酬金增加達一定程度之公司，其稅後損益與董監酬金變動之關聯性與合理性說明。如發現不詳盡或不合理者，即函請公司就其董監酬金發放情形提出說明。公司如無法就投保中心函詢其董監酬金發放提出說明，或未提出具體改善措施，投保中心將派員出席股東會，請該公司於股東會中向股東說明相關酬金發放情形，俾以股東力量督促公司發放合理董監酬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9AA053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themeColor="text1"/>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1A16B8"/>
    <w:multiLevelType w:val="hybridMultilevel"/>
    <w:tmpl w:val="85B29788"/>
    <w:lvl w:ilvl="0" w:tplc="D0BC3706">
      <w:start w:val="1"/>
      <w:numFmt w:val="decimal"/>
      <w:lvlText w:val="%1"/>
      <w:lvlJc w:val="left"/>
      <w:pPr>
        <w:ind w:left="480" w:hanging="480"/>
      </w:pPr>
      <w:rPr>
        <w:rFonts w:eastAsia="新細明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1531AD"/>
    <w:multiLevelType w:val="hybridMultilevel"/>
    <w:tmpl w:val="70887444"/>
    <w:lvl w:ilvl="0" w:tplc="24309FE4">
      <w:start w:val="1"/>
      <w:numFmt w:val="decimal"/>
      <w:lvlText w:val="%1"/>
      <w:lvlJc w:val="left"/>
      <w:pPr>
        <w:ind w:left="480" w:hanging="480"/>
      </w:pPr>
      <w:rPr>
        <w:rFonts w:eastAsia="新細明體" w:hint="eastAsia"/>
        <w:b w:val="0"/>
        <w:i w:val="0"/>
        <w:position w:val="-6"/>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ttachedTemplate r:id="rId1"/>
  <w:mailMerge>
    <w:mainDocumentType w:val="mailingLabels"/>
    <w:linkToQuery/>
    <w:dataType w:val="textFile"/>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D4"/>
    <w:rsid w:val="00000BE3"/>
    <w:rsid w:val="000047CA"/>
    <w:rsid w:val="00015A5E"/>
    <w:rsid w:val="00025B28"/>
    <w:rsid w:val="000339D3"/>
    <w:rsid w:val="00033EAB"/>
    <w:rsid w:val="000418A5"/>
    <w:rsid w:val="000434AB"/>
    <w:rsid w:val="000470CF"/>
    <w:rsid w:val="0005201B"/>
    <w:rsid w:val="00053B37"/>
    <w:rsid w:val="00062F4C"/>
    <w:rsid w:val="00064924"/>
    <w:rsid w:val="0006678D"/>
    <w:rsid w:val="00066B3B"/>
    <w:rsid w:val="000739AC"/>
    <w:rsid w:val="000B514C"/>
    <w:rsid w:val="000C1466"/>
    <w:rsid w:val="000C1A50"/>
    <w:rsid w:val="000C25CE"/>
    <w:rsid w:val="000C7922"/>
    <w:rsid w:val="000F0F71"/>
    <w:rsid w:val="000F3198"/>
    <w:rsid w:val="000F5266"/>
    <w:rsid w:val="001033D6"/>
    <w:rsid w:val="00104FA5"/>
    <w:rsid w:val="00111667"/>
    <w:rsid w:val="00126E4E"/>
    <w:rsid w:val="00133357"/>
    <w:rsid w:val="0014289D"/>
    <w:rsid w:val="001744BB"/>
    <w:rsid w:val="00184AEA"/>
    <w:rsid w:val="001873F0"/>
    <w:rsid w:val="00192BCD"/>
    <w:rsid w:val="001A1985"/>
    <w:rsid w:val="001A6AA1"/>
    <w:rsid w:val="001B2B8B"/>
    <w:rsid w:val="001C6EDA"/>
    <w:rsid w:val="001E2D96"/>
    <w:rsid w:val="001E63CE"/>
    <w:rsid w:val="001F103E"/>
    <w:rsid w:val="001F2D6F"/>
    <w:rsid w:val="002004E6"/>
    <w:rsid w:val="00201308"/>
    <w:rsid w:val="00202607"/>
    <w:rsid w:val="00222D61"/>
    <w:rsid w:val="002238F6"/>
    <w:rsid w:val="002326E8"/>
    <w:rsid w:val="00236242"/>
    <w:rsid w:val="00240835"/>
    <w:rsid w:val="002427B1"/>
    <w:rsid w:val="00253C38"/>
    <w:rsid w:val="00267202"/>
    <w:rsid w:val="00270E26"/>
    <w:rsid w:val="00275F78"/>
    <w:rsid w:val="002864B4"/>
    <w:rsid w:val="00286811"/>
    <w:rsid w:val="00296279"/>
    <w:rsid w:val="002A05E1"/>
    <w:rsid w:val="002A6582"/>
    <w:rsid w:val="002E0B19"/>
    <w:rsid w:val="002E1C22"/>
    <w:rsid w:val="002E20FA"/>
    <w:rsid w:val="002E2CC0"/>
    <w:rsid w:val="002E582C"/>
    <w:rsid w:val="002F1AC4"/>
    <w:rsid w:val="002F2EFD"/>
    <w:rsid w:val="0030207B"/>
    <w:rsid w:val="0031486F"/>
    <w:rsid w:val="0032160F"/>
    <w:rsid w:val="0032193A"/>
    <w:rsid w:val="00356F7B"/>
    <w:rsid w:val="00363562"/>
    <w:rsid w:val="003707E6"/>
    <w:rsid w:val="00372F17"/>
    <w:rsid w:val="00375948"/>
    <w:rsid w:val="00381B4C"/>
    <w:rsid w:val="003A1187"/>
    <w:rsid w:val="003A4321"/>
    <w:rsid w:val="003B244A"/>
    <w:rsid w:val="003B4CBF"/>
    <w:rsid w:val="003C2098"/>
    <w:rsid w:val="003C653F"/>
    <w:rsid w:val="003D13D8"/>
    <w:rsid w:val="003D40C6"/>
    <w:rsid w:val="003E38AE"/>
    <w:rsid w:val="003E6AFA"/>
    <w:rsid w:val="003F38E4"/>
    <w:rsid w:val="0040692C"/>
    <w:rsid w:val="00411F43"/>
    <w:rsid w:val="00415358"/>
    <w:rsid w:val="0042603F"/>
    <w:rsid w:val="00431FD2"/>
    <w:rsid w:val="00453493"/>
    <w:rsid w:val="00466881"/>
    <w:rsid w:val="004704BB"/>
    <w:rsid w:val="00474883"/>
    <w:rsid w:val="00476768"/>
    <w:rsid w:val="004914EB"/>
    <w:rsid w:val="004B7949"/>
    <w:rsid w:val="004D7C3F"/>
    <w:rsid w:val="004E09F7"/>
    <w:rsid w:val="004E0CC0"/>
    <w:rsid w:val="004E5277"/>
    <w:rsid w:val="004F5526"/>
    <w:rsid w:val="00524337"/>
    <w:rsid w:val="00527113"/>
    <w:rsid w:val="00535C30"/>
    <w:rsid w:val="005417A8"/>
    <w:rsid w:val="0054590D"/>
    <w:rsid w:val="00563D02"/>
    <w:rsid w:val="00563FA1"/>
    <w:rsid w:val="00571F8A"/>
    <w:rsid w:val="00577C0F"/>
    <w:rsid w:val="00581A39"/>
    <w:rsid w:val="005942CD"/>
    <w:rsid w:val="00597517"/>
    <w:rsid w:val="005976FD"/>
    <w:rsid w:val="005C1870"/>
    <w:rsid w:val="005C2A57"/>
    <w:rsid w:val="005D11B4"/>
    <w:rsid w:val="005D7508"/>
    <w:rsid w:val="005E0FDD"/>
    <w:rsid w:val="005E1560"/>
    <w:rsid w:val="005F359A"/>
    <w:rsid w:val="00621AD5"/>
    <w:rsid w:val="006241AD"/>
    <w:rsid w:val="006273A8"/>
    <w:rsid w:val="00632432"/>
    <w:rsid w:val="006427F2"/>
    <w:rsid w:val="00652631"/>
    <w:rsid w:val="00657EE1"/>
    <w:rsid w:val="00664E4B"/>
    <w:rsid w:val="0067726B"/>
    <w:rsid w:val="006866BD"/>
    <w:rsid w:val="00690EE4"/>
    <w:rsid w:val="00690F29"/>
    <w:rsid w:val="00695725"/>
    <w:rsid w:val="00695A78"/>
    <w:rsid w:val="006A0972"/>
    <w:rsid w:val="006C06AE"/>
    <w:rsid w:val="006C08ED"/>
    <w:rsid w:val="006D6458"/>
    <w:rsid w:val="006E76E1"/>
    <w:rsid w:val="006F1480"/>
    <w:rsid w:val="00705B1D"/>
    <w:rsid w:val="00710C4A"/>
    <w:rsid w:val="007137DA"/>
    <w:rsid w:val="00726CC2"/>
    <w:rsid w:val="00732986"/>
    <w:rsid w:val="00733ED5"/>
    <w:rsid w:val="007549A2"/>
    <w:rsid w:val="007565AD"/>
    <w:rsid w:val="00757006"/>
    <w:rsid w:val="00760990"/>
    <w:rsid w:val="0076515D"/>
    <w:rsid w:val="007662BF"/>
    <w:rsid w:val="00772393"/>
    <w:rsid w:val="00772E57"/>
    <w:rsid w:val="00774AD6"/>
    <w:rsid w:val="0078015C"/>
    <w:rsid w:val="00786A41"/>
    <w:rsid w:val="007A4331"/>
    <w:rsid w:val="007A7221"/>
    <w:rsid w:val="007B201E"/>
    <w:rsid w:val="007C6535"/>
    <w:rsid w:val="007D35D4"/>
    <w:rsid w:val="007D5646"/>
    <w:rsid w:val="007F5B1F"/>
    <w:rsid w:val="008031C0"/>
    <w:rsid w:val="00803760"/>
    <w:rsid w:val="008119EF"/>
    <w:rsid w:val="00821F2E"/>
    <w:rsid w:val="00826CEE"/>
    <w:rsid w:val="0082727F"/>
    <w:rsid w:val="00830982"/>
    <w:rsid w:val="008528FD"/>
    <w:rsid w:val="008631FD"/>
    <w:rsid w:val="008864B3"/>
    <w:rsid w:val="008A4309"/>
    <w:rsid w:val="008E4C3B"/>
    <w:rsid w:val="008F5341"/>
    <w:rsid w:val="00900268"/>
    <w:rsid w:val="00923E41"/>
    <w:rsid w:val="00931041"/>
    <w:rsid w:val="00937A54"/>
    <w:rsid w:val="009424A0"/>
    <w:rsid w:val="009463C5"/>
    <w:rsid w:val="00951D94"/>
    <w:rsid w:val="00957CC3"/>
    <w:rsid w:val="00963474"/>
    <w:rsid w:val="00972628"/>
    <w:rsid w:val="00975E84"/>
    <w:rsid w:val="00982BD8"/>
    <w:rsid w:val="009834B5"/>
    <w:rsid w:val="00991911"/>
    <w:rsid w:val="009A6448"/>
    <w:rsid w:val="009B4BC0"/>
    <w:rsid w:val="009C0A08"/>
    <w:rsid w:val="009D12BA"/>
    <w:rsid w:val="009D4D20"/>
    <w:rsid w:val="009D52B8"/>
    <w:rsid w:val="009E771C"/>
    <w:rsid w:val="00A00340"/>
    <w:rsid w:val="00A15628"/>
    <w:rsid w:val="00A22F39"/>
    <w:rsid w:val="00A26639"/>
    <w:rsid w:val="00A27969"/>
    <w:rsid w:val="00A3047A"/>
    <w:rsid w:val="00A362BA"/>
    <w:rsid w:val="00A46CD8"/>
    <w:rsid w:val="00A50A9F"/>
    <w:rsid w:val="00A57329"/>
    <w:rsid w:val="00A673CF"/>
    <w:rsid w:val="00A73023"/>
    <w:rsid w:val="00A90B75"/>
    <w:rsid w:val="00A943FD"/>
    <w:rsid w:val="00AA1192"/>
    <w:rsid w:val="00AA4F06"/>
    <w:rsid w:val="00AD5F51"/>
    <w:rsid w:val="00AD6DB2"/>
    <w:rsid w:val="00AF566B"/>
    <w:rsid w:val="00B06E18"/>
    <w:rsid w:val="00B10390"/>
    <w:rsid w:val="00B1210A"/>
    <w:rsid w:val="00B15DEC"/>
    <w:rsid w:val="00B24730"/>
    <w:rsid w:val="00B26E58"/>
    <w:rsid w:val="00B3051F"/>
    <w:rsid w:val="00B33651"/>
    <w:rsid w:val="00B33F80"/>
    <w:rsid w:val="00B453EC"/>
    <w:rsid w:val="00B53EE8"/>
    <w:rsid w:val="00B70466"/>
    <w:rsid w:val="00B77213"/>
    <w:rsid w:val="00B77FA5"/>
    <w:rsid w:val="00B85154"/>
    <w:rsid w:val="00B8547C"/>
    <w:rsid w:val="00B96947"/>
    <w:rsid w:val="00BB567C"/>
    <w:rsid w:val="00BC0AB9"/>
    <w:rsid w:val="00BC6EFE"/>
    <w:rsid w:val="00BD1443"/>
    <w:rsid w:val="00BD21F8"/>
    <w:rsid w:val="00BE79E8"/>
    <w:rsid w:val="00BF25A3"/>
    <w:rsid w:val="00C04EEB"/>
    <w:rsid w:val="00C050FB"/>
    <w:rsid w:val="00C07E26"/>
    <w:rsid w:val="00C1360C"/>
    <w:rsid w:val="00C2124B"/>
    <w:rsid w:val="00C23997"/>
    <w:rsid w:val="00C25C8F"/>
    <w:rsid w:val="00C305B8"/>
    <w:rsid w:val="00C309E7"/>
    <w:rsid w:val="00C37957"/>
    <w:rsid w:val="00C37EAA"/>
    <w:rsid w:val="00C37FAA"/>
    <w:rsid w:val="00C55182"/>
    <w:rsid w:val="00C55374"/>
    <w:rsid w:val="00C8493A"/>
    <w:rsid w:val="00C86A97"/>
    <w:rsid w:val="00C97B0E"/>
    <w:rsid w:val="00CB6AA8"/>
    <w:rsid w:val="00CB6F0C"/>
    <w:rsid w:val="00CC1B14"/>
    <w:rsid w:val="00CD32F5"/>
    <w:rsid w:val="00D030F3"/>
    <w:rsid w:val="00D11D34"/>
    <w:rsid w:val="00D12185"/>
    <w:rsid w:val="00D329F5"/>
    <w:rsid w:val="00D47F77"/>
    <w:rsid w:val="00D56C18"/>
    <w:rsid w:val="00D624D9"/>
    <w:rsid w:val="00D67C86"/>
    <w:rsid w:val="00D71F7A"/>
    <w:rsid w:val="00D74F68"/>
    <w:rsid w:val="00D82B10"/>
    <w:rsid w:val="00D84C8D"/>
    <w:rsid w:val="00D97059"/>
    <w:rsid w:val="00DA1AB6"/>
    <w:rsid w:val="00DE5802"/>
    <w:rsid w:val="00DF5C33"/>
    <w:rsid w:val="00DF76ED"/>
    <w:rsid w:val="00E011B0"/>
    <w:rsid w:val="00E121D4"/>
    <w:rsid w:val="00E14707"/>
    <w:rsid w:val="00E21627"/>
    <w:rsid w:val="00E4381A"/>
    <w:rsid w:val="00E45D1D"/>
    <w:rsid w:val="00E66E30"/>
    <w:rsid w:val="00E70B64"/>
    <w:rsid w:val="00E75A75"/>
    <w:rsid w:val="00E81A17"/>
    <w:rsid w:val="00E83610"/>
    <w:rsid w:val="00E85E80"/>
    <w:rsid w:val="00E93FBC"/>
    <w:rsid w:val="00E95A57"/>
    <w:rsid w:val="00E97AA9"/>
    <w:rsid w:val="00EA54F5"/>
    <w:rsid w:val="00EB0322"/>
    <w:rsid w:val="00EB5065"/>
    <w:rsid w:val="00EC447D"/>
    <w:rsid w:val="00ED14AA"/>
    <w:rsid w:val="00EE7628"/>
    <w:rsid w:val="00EF3BC2"/>
    <w:rsid w:val="00EF578D"/>
    <w:rsid w:val="00F1093B"/>
    <w:rsid w:val="00F118F4"/>
    <w:rsid w:val="00F21487"/>
    <w:rsid w:val="00F2163A"/>
    <w:rsid w:val="00F245A4"/>
    <w:rsid w:val="00F46B24"/>
    <w:rsid w:val="00F50A78"/>
    <w:rsid w:val="00F56A45"/>
    <w:rsid w:val="00F805B1"/>
    <w:rsid w:val="00F81F8D"/>
    <w:rsid w:val="00F857A1"/>
    <w:rsid w:val="00F87269"/>
    <w:rsid w:val="00F92F66"/>
    <w:rsid w:val="00FA3B13"/>
    <w:rsid w:val="00FA6DC6"/>
    <w:rsid w:val="00FC4484"/>
    <w:rsid w:val="00FC4E4D"/>
    <w:rsid w:val="00FF2BF4"/>
    <w:rsid w:val="00FF4DE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4707"/>
    <w:pPr>
      <w:widowControl w:val="0"/>
    </w:pPr>
    <w:rPr>
      <w:rFonts w:eastAsia="標楷體"/>
      <w:kern w:val="2"/>
      <w:sz w:val="32"/>
    </w:rPr>
  </w:style>
  <w:style w:type="paragraph" w:styleId="1">
    <w:name w:val="heading 1"/>
    <w:basedOn w:val="a1"/>
    <w:qFormat/>
    <w:rsid w:val="00E14707"/>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E14707"/>
    <w:pPr>
      <w:numPr>
        <w:ilvl w:val="1"/>
        <w:numId w:val="1"/>
      </w:numPr>
      <w:kinsoku w:val="0"/>
      <w:jc w:val="both"/>
      <w:outlineLvl w:val="1"/>
    </w:pPr>
    <w:rPr>
      <w:rFonts w:ascii="標楷體" w:hAnsi="Arial"/>
      <w:bCs/>
      <w:kern w:val="0"/>
      <w:szCs w:val="48"/>
    </w:rPr>
  </w:style>
  <w:style w:type="paragraph" w:styleId="3">
    <w:name w:val="heading 3"/>
    <w:basedOn w:val="a1"/>
    <w:qFormat/>
    <w:rsid w:val="00E14707"/>
    <w:pPr>
      <w:numPr>
        <w:ilvl w:val="2"/>
        <w:numId w:val="1"/>
      </w:numPr>
      <w:kinsoku w:val="0"/>
      <w:ind w:left="1393"/>
      <w:jc w:val="both"/>
      <w:outlineLvl w:val="2"/>
    </w:pPr>
    <w:rPr>
      <w:rFonts w:ascii="標楷體" w:hAnsi="Arial"/>
      <w:bCs/>
      <w:kern w:val="0"/>
      <w:szCs w:val="36"/>
    </w:rPr>
  </w:style>
  <w:style w:type="paragraph" w:styleId="4">
    <w:name w:val="heading 4"/>
    <w:aliases w:val="表格"/>
    <w:basedOn w:val="a1"/>
    <w:link w:val="40"/>
    <w:qFormat/>
    <w:rsid w:val="00E14707"/>
    <w:pPr>
      <w:numPr>
        <w:ilvl w:val="3"/>
        <w:numId w:val="1"/>
      </w:numPr>
      <w:jc w:val="both"/>
      <w:outlineLvl w:val="3"/>
    </w:pPr>
    <w:rPr>
      <w:rFonts w:ascii="標楷體" w:hAnsi="Arial"/>
      <w:szCs w:val="36"/>
    </w:rPr>
  </w:style>
  <w:style w:type="paragraph" w:styleId="5">
    <w:name w:val="heading 5"/>
    <w:basedOn w:val="a1"/>
    <w:link w:val="50"/>
    <w:qFormat/>
    <w:rsid w:val="00E14707"/>
    <w:pPr>
      <w:numPr>
        <w:ilvl w:val="4"/>
        <w:numId w:val="1"/>
      </w:numPr>
      <w:kinsoku w:val="0"/>
      <w:jc w:val="both"/>
      <w:outlineLvl w:val="4"/>
    </w:pPr>
    <w:rPr>
      <w:rFonts w:ascii="標楷體" w:hAnsi="Arial"/>
      <w:bCs/>
      <w:szCs w:val="36"/>
    </w:rPr>
  </w:style>
  <w:style w:type="paragraph" w:styleId="6">
    <w:name w:val="heading 6"/>
    <w:basedOn w:val="a1"/>
    <w:qFormat/>
    <w:rsid w:val="00E14707"/>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14707"/>
    <w:pPr>
      <w:numPr>
        <w:ilvl w:val="6"/>
        <w:numId w:val="1"/>
      </w:numPr>
      <w:kinsoku w:val="0"/>
      <w:jc w:val="both"/>
      <w:outlineLvl w:val="6"/>
    </w:pPr>
    <w:rPr>
      <w:rFonts w:ascii="標楷體" w:hAnsi="Arial"/>
      <w:bCs/>
      <w:szCs w:val="36"/>
    </w:rPr>
  </w:style>
  <w:style w:type="paragraph" w:styleId="8">
    <w:name w:val="heading 8"/>
    <w:basedOn w:val="a1"/>
    <w:qFormat/>
    <w:rsid w:val="00E14707"/>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6C06AE"/>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14707"/>
    <w:pPr>
      <w:spacing w:before="720" w:after="720"/>
      <w:ind w:left="7371"/>
    </w:pPr>
    <w:rPr>
      <w:rFonts w:ascii="標楷體"/>
      <w:b/>
      <w:snapToGrid w:val="0"/>
      <w:spacing w:val="10"/>
      <w:sz w:val="36"/>
    </w:rPr>
  </w:style>
  <w:style w:type="paragraph" w:styleId="a6">
    <w:name w:val="endnote text"/>
    <w:basedOn w:val="a1"/>
    <w:semiHidden/>
    <w:rsid w:val="00E14707"/>
    <w:pPr>
      <w:spacing w:before="240"/>
      <w:ind w:left="1021" w:hanging="1021"/>
      <w:jc w:val="both"/>
    </w:pPr>
    <w:rPr>
      <w:rFonts w:ascii="標楷體"/>
      <w:snapToGrid w:val="0"/>
      <w:spacing w:val="10"/>
    </w:rPr>
  </w:style>
  <w:style w:type="paragraph" w:styleId="51">
    <w:name w:val="toc 5"/>
    <w:basedOn w:val="a1"/>
    <w:next w:val="a1"/>
    <w:autoRedefine/>
    <w:semiHidden/>
    <w:rsid w:val="00E14707"/>
    <w:pPr>
      <w:ind w:leftChars="400" w:left="600" w:rightChars="200" w:right="200" w:hangingChars="200" w:hanging="200"/>
    </w:pPr>
    <w:rPr>
      <w:rFonts w:ascii="標楷體"/>
    </w:rPr>
  </w:style>
  <w:style w:type="character" w:styleId="a7">
    <w:name w:val="page number"/>
    <w:basedOn w:val="a2"/>
    <w:semiHidden/>
    <w:rsid w:val="00E14707"/>
    <w:rPr>
      <w:rFonts w:ascii="標楷體" w:eastAsia="標楷體"/>
      <w:sz w:val="20"/>
    </w:rPr>
  </w:style>
  <w:style w:type="paragraph" w:styleId="60">
    <w:name w:val="toc 6"/>
    <w:basedOn w:val="a1"/>
    <w:next w:val="a1"/>
    <w:autoRedefine/>
    <w:semiHidden/>
    <w:rsid w:val="00E14707"/>
    <w:pPr>
      <w:ind w:leftChars="500" w:left="500"/>
    </w:pPr>
    <w:rPr>
      <w:rFonts w:ascii="標楷體"/>
    </w:rPr>
  </w:style>
  <w:style w:type="paragraph" w:customStyle="1" w:styleId="10">
    <w:name w:val="段落樣式1"/>
    <w:basedOn w:val="a1"/>
    <w:qFormat/>
    <w:rsid w:val="00E14707"/>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E1470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14707"/>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E14707"/>
    <w:pPr>
      <w:kinsoku w:val="0"/>
      <w:ind w:leftChars="100" w:left="300" w:rightChars="200" w:right="200" w:hangingChars="200" w:hanging="200"/>
    </w:pPr>
    <w:rPr>
      <w:rFonts w:ascii="標楷體"/>
      <w:noProof/>
    </w:rPr>
  </w:style>
  <w:style w:type="paragraph" w:styleId="30">
    <w:name w:val="toc 3"/>
    <w:basedOn w:val="a1"/>
    <w:next w:val="a1"/>
    <w:autoRedefine/>
    <w:semiHidden/>
    <w:rsid w:val="00E14707"/>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E14707"/>
    <w:pPr>
      <w:kinsoku w:val="0"/>
      <w:ind w:leftChars="300" w:left="500" w:rightChars="200" w:right="200" w:hangingChars="200" w:hanging="200"/>
      <w:jc w:val="both"/>
    </w:pPr>
    <w:rPr>
      <w:rFonts w:ascii="標楷體"/>
    </w:rPr>
  </w:style>
  <w:style w:type="paragraph" w:styleId="70">
    <w:name w:val="toc 7"/>
    <w:basedOn w:val="a1"/>
    <w:next w:val="a1"/>
    <w:autoRedefine/>
    <w:semiHidden/>
    <w:rsid w:val="00E14707"/>
    <w:pPr>
      <w:ind w:leftChars="600" w:left="800" w:hangingChars="200" w:hanging="200"/>
    </w:pPr>
    <w:rPr>
      <w:rFonts w:ascii="標楷體"/>
    </w:rPr>
  </w:style>
  <w:style w:type="paragraph" w:styleId="80">
    <w:name w:val="toc 8"/>
    <w:basedOn w:val="a1"/>
    <w:next w:val="a1"/>
    <w:autoRedefine/>
    <w:semiHidden/>
    <w:rsid w:val="00E14707"/>
    <w:pPr>
      <w:ind w:leftChars="700" w:left="900" w:hangingChars="200" w:hanging="200"/>
    </w:pPr>
    <w:rPr>
      <w:rFonts w:ascii="標楷體"/>
    </w:rPr>
  </w:style>
  <w:style w:type="paragraph" w:styleId="91">
    <w:name w:val="toc 9"/>
    <w:basedOn w:val="a1"/>
    <w:next w:val="a1"/>
    <w:autoRedefine/>
    <w:semiHidden/>
    <w:rsid w:val="00E14707"/>
    <w:pPr>
      <w:ind w:leftChars="1600" w:left="3840"/>
    </w:pPr>
  </w:style>
  <w:style w:type="paragraph" w:styleId="a8">
    <w:name w:val="header"/>
    <w:basedOn w:val="a1"/>
    <w:semiHidden/>
    <w:rsid w:val="00E14707"/>
    <w:pPr>
      <w:tabs>
        <w:tab w:val="center" w:pos="4153"/>
        <w:tab w:val="right" w:pos="8306"/>
      </w:tabs>
      <w:snapToGrid w:val="0"/>
    </w:pPr>
    <w:rPr>
      <w:sz w:val="20"/>
    </w:rPr>
  </w:style>
  <w:style w:type="paragraph" w:customStyle="1" w:styleId="31">
    <w:name w:val="段落樣式3"/>
    <w:basedOn w:val="21"/>
    <w:rsid w:val="00E14707"/>
    <w:pPr>
      <w:ind w:leftChars="400" w:left="400"/>
    </w:pPr>
  </w:style>
  <w:style w:type="character" w:styleId="a9">
    <w:name w:val="Hyperlink"/>
    <w:basedOn w:val="a2"/>
    <w:semiHidden/>
    <w:rsid w:val="00E14707"/>
    <w:rPr>
      <w:color w:val="0000FF"/>
      <w:u w:val="single"/>
    </w:rPr>
  </w:style>
  <w:style w:type="paragraph" w:customStyle="1" w:styleId="aa">
    <w:name w:val="簽名日期"/>
    <w:basedOn w:val="a1"/>
    <w:rsid w:val="00E14707"/>
    <w:pPr>
      <w:kinsoku w:val="0"/>
      <w:jc w:val="distribute"/>
    </w:pPr>
    <w:rPr>
      <w:kern w:val="0"/>
    </w:rPr>
  </w:style>
  <w:style w:type="paragraph" w:customStyle="1" w:styleId="0">
    <w:name w:val="段落樣式0"/>
    <w:basedOn w:val="21"/>
    <w:rsid w:val="00E14707"/>
    <w:pPr>
      <w:ind w:leftChars="200" w:left="200" w:firstLineChars="0" w:firstLine="0"/>
    </w:pPr>
  </w:style>
  <w:style w:type="paragraph" w:customStyle="1" w:styleId="ab">
    <w:name w:val="附件"/>
    <w:basedOn w:val="a6"/>
    <w:rsid w:val="00E14707"/>
    <w:pPr>
      <w:kinsoku w:val="0"/>
      <w:spacing w:before="0"/>
      <w:ind w:left="1047" w:hangingChars="300" w:hanging="1047"/>
    </w:pPr>
    <w:rPr>
      <w:snapToGrid/>
      <w:spacing w:val="0"/>
      <w:kern w:val="0"/>
    </w:rPr>
  </w:style>
  <w:style w:type="paragraph" w:customStyle="1" w:styleId="42">
    <w:name w:val="段落樣式4"/>
    <w:basedOn w:val="31"/>
    <w:rsid w:val="00E14707"/>
    <w:pPr>
      <w:ind w:leftChars="500" w:left="500"/>
    </w:pPr>
  </w:style>
  <w:style w:type="paragraph" w:customStyle="1" w:styleId="52">
    <w:name w:val="段落樣式5"/>
    <w:basedOn w:val="42"/>
    <w:rsid w:val="00E14707"/>
    <w:pPr>
      <w:ind w:leftChars="600" w:left="600"/>
    </w:pPr>
  </w:style>
  <w:style w:type="paragraph" w:customStyle="1" w:styleId="61">
    <w:name w:val="段落樣式6"/>
    <w:basedOn w:val="52"/>
    <w:rsid w:val="00E14707"/>
    <w:pPr>
      <w:ind w:leftChars="700" w:left="700"/>
    </w:pPr>
  </w:style>
  <w:style w:type="paragraph" w:customStyle="1" w:styleId="71">
    <w:name w:val="段落樣式7"/>
    <w:basedOn w:val="61"/>
    <w:rsid w:val="00E14707"/>
  </w:style>
  <w:style w:type="paragraph" w:customStyle="1" w:styleId="81">
    <w:name w:val="段落樣式8"/>
    <w:basedOn w:val="71"/>
    <w:rsid w:val="00E14707"/>
    <w:pPr>
      <w:ind w:leftChars="800" w:left="800"/>
    </w:pPr>
  </w:style>
  <w:style w:type="paragraph" w:customStyle="1" w:styleId="a0">
    <w:name w:val="表樣式"/>
    <w:basedOn w:val="a1"/>
    <w:next w:val="a1"/>
    <w:rsid w:val="00E14707"/>
    <w:pPr>
      <w:numPr>
        <w:numId w:val="2"/>
      </w:numPr>
      <w:jc w:val="both"/>
    </w:pPr>
    <w:rPr>
      <w:rFonts w:ascii="標楷體"/>
      <w:kern w:val="0"/>
    </w:rPr>
  </w:style>
  <w:style w:type="paragraph" w:styleId="ac">
    <w:name w:val="Body Text Indent"/>
    <w:basedOn w:val="a1"/>
    <w:semiHidden/>
    <w:rsid w:val="00E14707"/>
    <w:pPr>
      <w:ind w:left="698" w:hangingChars="200" w:hanging="698"/>
    </w:pPr>
  </w:style>
  <w:style w:type="paragraph" w:customStyle="1" w:styleId="ad">
    <w:name w:val="調查報告"/>
    <w:basedOn w:val="a6"/>
    <w:rsid w:val="00E14707"/>
    <w:pPr>
      <w:kinsoku w:val="0"/>
      <w:spacing w:before="0"/>
      <w:ind w:left="1701" w:firstLine="0"/>
    </w:pPr>
    <w:rPr>
      <w:b/>
      <w:snapToGrid/>
      <w:spacing w:val="200"/>
      <w:kern w:val="0"/>
      <w:sz w:val="36"/>
    </w:rPr>
  </w:style>
  <w:style w:type="paragraph" w:customStyle="1" w:styleId="a">
    <w:name w:val="圖樣式"/>
    <w:basedOn w:val="a1"/>
    <w:next w:val="a1"/>
    <w:rsid w:val="00E14707"/>
    <w:pPr>
      <w:numPr>
        <w:numId w:val="3"/>
      </w:numPr>
      <w:tabs>
        <w:tab w:val="clear" w:pos="1440"/>
      </w:tabs>
      <w:ind w:left="400" w:hangingChars="400" w:hanging="400"/>
      <w:jc w:val="both"/>
    </w:pPr>
    <w:rPr>
      <w:rFonts w:ascii="標楷體"/>
    </w:rPr>
  </w:style>
  <w:style w:type="paragraph" w:styleId="ae">
    <w:name w:val="footer"/>
    <w:basedOn w:val="a1"/>
    <w:semiHidden/>
    <w:rsid w:val="00E14707"/>
    <w:pPr>
      <w:tabs>
        <w:tab w:val="center" w:pos="4153"/>
        <w:tab w:val="right" w:pos="8306"/>
      </w:tabs>
      <w:snapToGrid w:val="0"/>
    </w:pPr>
    <w:rPr>
      <w:sz w:val="20"/>
    </w:rPr>
  </w:style>
  <w:style w:type="paragraph" w:styleId="af">
    <w:name w:val="table of figures"/>
    <w:basedOn w:val="a1"/>
    <w:next w:val="a1"/>
    <w:semiHidden/>
    <w:rsid w:val="00E14707"/>
    <w:pPr>
      <w:ind w:left="400" w:hangingChars="400" w:hanging="400"/>
    </w:pPr>
  </w:style>
  <w:style w:type="paragraph" w:styleId="af0">
    <w:name w:val="footnote text"/>
    <w:basedOn w:val="a1"/>
    <w:link w:val="af1"/>
    <w:uiPriority w:val="99"/>
    <w:unhideWhenUsed/>
    <w:rsid w:val="003D40C6"/>
    <w:pPr>
      <w:snapToGrid w:val="0"/>
    </w:pPr>
    <w:rPr>
      <w:sz w:val="20"/>
    </w:rPr>
  </w:style>
  <w:style w:type="character" w:customStyle="1" w:styleId="af1">
    <w:name w:val="註腳文字 字元"/>
    <w:basedOn w:val="a2"/>
    <w:link w:val="af0"/>
    <w:uiPriority w:val="99"/>
    <w:rsid w:val="003D40C6"/>
    <w:rPr>
      <w:rFonts w:eastAsia="標楷體"/>
      <w:kern w:val="2"/>
    </w:rPr>
  </w:style>
  <w:style w:type="character" w:styleId="af2">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20">
    <w:name w:val="標題 2 字元"/>
    <w:aliases w:val="標題110/111 字元"/>
    <w:basedOn w:val="a2"/>
    <w:link w:val="2"/>
    <w:rsid w:val="0032160F"/>
    <w:rPr>
      <w:rFonts w:ascii="標楷體" w:eastAsia="標楷體" w:hAnsi="Arial"/>
      <w:bCs/>
      <w:sz w:val="32"/>
      <w:szCs w:val="48"/>
    </w:rPr>
  </w:style>
  <w:style w:type="paragraph" w:styleId="af3">
    <w:name w:val="Balloon Text"/>
    <w:basedOn w:val="a1"/>
    <w:link w:val="af4"/>
    <w:uiPriority w:val="99"/>
    <w:semiHidden/>
    <w:unhideWhenUsed/>
    <w:rsid w:val="000470CF"/>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0470CF"/>
    <w:rPr>
      <w:rFonts w:asciiTheme="majorHAnsi" w:eastAsiaTheme="majorEastAsia" w:hAnsiTheme="majorHAnsi" w:cstheme="majorBidi"/>
      <w:kern w:val="2"/>
      <w:sz w:val="18"/>
      <w:szCs w:val="18"/>
    </w:rPr>
  </w:style>
  <w:style w:type="paragraph" w:styleId="Web">
    <w:name w:val="Normal (Web)"/>
    <w:basedOn w:val="a1"/>
    <w:uiPriority w:val="99"/>
    <w:semiHidden/>
    <w:unhideWhenUsed/>
    <w:rsid w:val="00B453EC"/>
    <w:pPr>
      <w:widowControl/>
      <w:spacing w:before="100" w:beforeAutospacing="1" w:after="100" w:afterAutospacing="1"/>
    </w:pPr>
    <w:rPr>
      <w:rFonts w:ascii="新細明體" w:eastAsia="新細明體" w:hAnsi="新細明體" w:cs="新細明體"/>
      <w:kern w:val="0"/>
      <w:sz w:val="24"/>
      <w:szCs w:val="24"/>
    </w:rPr>
  </w:style>
  <w:style w:type="character" w:customStyle="1" w:styleId="tgc">
    <w:name w:val="_tgc"/>
    <w:basedOn w:val="a2"/>
    <w:rsid w:val="007F5B1F"/>
  </w:style>
  <w:style w:type="paragraph" w:customStyle="1" w:styleId="Default">
    <w:name w:val="Default"/>
    <w:rsid w:val="00D030F3"/>
    <w:pPr>
      <w:widowControl w:val="0"/>
      <w:autoSpaceDE w:val="0"/>
      <w:autoSpaceDN w:val="0"/>
      <w:adjustRightInd w:val="0"/>
    </w:pPr>
    <w:rPr>
      <w:rFonts w:ascii="標楷體" w:eastAsia="標楷體" w:cs="標楷體"/>
      <w:color w:val="000000"/>
      <w:sz w:val="24"/>
      <w:szCs w:val="24"/>
    </w:rPr>
  </w:style>
  <w:style w:type="paragraph" w:styleId="af5">
    <w:name w:val="List Paragraph"/>
    <w:basedOn w:val="a1"/>
    <w:uiPriority w:val="34"/>
    <w:qFormat/>
    <w:rsid w:val="0076515D"/>
    <w:pPr>
      <w:ind w:leftChars="200" w:left="480"/>
    </w:pPr>
  </w:style>
  <w:style w:type="character" w:customStyle="1" w:styleId="50">
    <w:name w:val="標題 5 字元"/>
    <w:basedOn w:val="a2"/>
    <w:link w:val="5"/>
    <w:rsid w:val="007B201E"/>
    <w:rPr>
      <w:rFonts w:ascii="標楷體" w:eastAsia="標楷體" w:hAnsi="Arial"/>
      <w:bCs/>
      <w:kern w:val="2"/>
      <w:sz w:val="32"/>
      <w:szCs w:val="36"/>
    </w:rPr>
  </w:style>
  <w:style w:type="character" w:customStyle="1" w:styleId="40">
    <w:name w:val="標題 4 字元"/>
    <w:aliases w:val="表格 字元"/>
    <w:basedOn w:val="a2"/>
    <w:link w:val="4"/>
    <w:rsid w:val="002E1C22"/>
    <w:rPr>
      <w:rFonts w:ascii="標楷體" w:eastAsia="標楷體" w:hAnsi="Arial"/>
      <w:kern w:val="2"/>
      <w:sz w:val="32"/>
      <w:szCs w:val="36"/>
    </w:rPr>
  </w:style>
  <w:style w:type="character" w:customStyle="1" w:styleId="90">
    <w:name w:val="標題 9 字元"/>
    <w:basedOn w:val="a2"/>
    <w:link w:val="9"/>
    <w:uiPriority w:val="9"/>
    <w:rsid w:val="006C06AE"/>
    <w:rPr>
      <w:rFonts w:ascii="標楷體" w:eastAsia="標楷體" w:hAnsiTheme="majorHAnsi" w:cstheme="majorBidi"/>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4707"/>
    <w:pPr>
      <w:widowControl w:val="0"/>
    </w:pPr>
    <w:rPr>
      <w:rFonts w:eastAsia="標楷體"/>
      <w:kern w:val="2"/>
      <w:sz w:val="32"/>
    </w:rPr>
  </w:style>
  <w:style w:type="paragraph" w:styleId="1">
    <w:name w:val="heading 1"/>
    <w:basedOn w:val="a1"/>
    <w:qFormat/>
    <w:rsid w:val="00E14707"/>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E14707"/>
    <w:pPr>
      <w:numPr>
        <w:ilvl w:val="1"/>
        <w:numId w:val="1"/>
      </w:numPr>
      <w:kinsoku w:val="0"/>
      <w:jc w:val="both"/>
      <w:outlineLvl w:val="1"/>
    </w:pPr>
    <w:rPr>
      <w:rFonts w:ascii="標楷體" w:hAnsi="Arial"/>
      <w:bCs/>
      <w:kern w:val="0"/>
      <w:szCs w:val="48"/>
    </w:rPr>
  </w:style>
  <w:style w:type="paragraph" w:styleId="3">
    <w:name w:val="heading 3"/>
    <w:basedOn w:val="a1"/>
    <w:qFormat/>
    <w:rsid w:val="00E14707"/>
    <w:pPr>
      <w:numPr>
        <w:ilvl w:val="2"/>
        <w:numId w:val="1"/>
      </w:numPr>
      <w:kinsoku w:val="0"/>
      <w:ind w:left="1393"/>
      <w:jc w:val="both"/>
      <w:outlineLvl w:val="2"/>
    </w:pPr>
    <w:rPr>
      <w:rFonts w:ascii="標楷體" w:hAnsi="Arial"/>
      <w:bCs/>
      <w:kern w:val="0"/>
      <w:szCs w:val="36"/>
    </w:rPr>
  </w:style>
  <w:style w:type="paragraph" w:styleId="4">
    <w:name w:val="heading 4"/>
    <w:aliases w:val="表格"/>
    <w:basedOn w:val="a1"/>
    <w:link w:val="40"/>
    <w:qFormat/>
    <w:rsid w:val="00E14707"/>
    <w:pPr>
      <w:numPr>
        <w:ilvl w:val="3"/>
        <w:numId w:val="1"/>
      </w:numPr>
      <w:jc w:val="both"/>
      <w:outlineLvl w:val="3"/>
    </w:pPr>
    <w:rPr>
      <w:rFonts w:ascii="標楷體" w:hAnsi="Arial"/>
      <w:szCs w:val="36"/>
    </w:rPr>
  </w:style>
  <w:style w:type="paragraph" w:styleId="5">
    <w:name w:val="heading 5"/>
    <w:basedOn w:val="a1"/>
    <w:link w:val="50"/>
    <w:qFormat/>
    <w:rsid w:val="00E14707"/>
    <w:pPr>
      <w:numPr>
        <w:ilvl w:val="4"/>
        <w:numId w:val="1"/>
      </w:numPr>
      <w:kinsoku w:val="0"/>
      <w:jc w:val="both"/>
      <w:outlineLvl w:val="4"/>
    </w:pPr>
    <w:rPr>
      <w:rFonts w:ascii="標楷體" w:hAnsi="Arial"/>
      <w:bCs/>
      <w:szCs w:val="36"/>
    </w:rPr>
  </w:style>
  <w:style w:type="paragraph" w:styleId="6">
    <w:name w:val="heading 6"/>
    <w:basedOn w:val="a1"/>
    <w:qFormat/>
    <w:rsid w:val="00E14707"/>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14707"/>
    <w:pPr>
      <w:numPr>
        <w:ilvl w:val="6"/>
        <w:numId w:val="1"/>
      </w:numPr>
      <w:kinsoku w:val="0"/>
      <w:jc w:val="both"/>
      <w:outlineLvl w:val="6"/>
    </w:pPr>
    <w:rPr>
      <w:rFonts w:ascii="標楷體" w:hAnsi="Arial"/>
      <w:bCs/>
      <w:szCs w:val="36"/>
    </w:rPr>
  </w:style>
  <w:style w:type="paragraph" w:styleId="8">
    <w:name w:val="heading 8"/>
    <w:basedOn w:val="a1"/>
    <w:qFormat/>
    <w:rsid w:val="00E14707"/>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6C06AE"/>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14707"/>
    <w:pPr>
      <w:spacing w:before="720" w:after="720"/>
      <w:ind w:left="7371"/>
    </w:pPr>
    <w:rPr>
      <w:rFonts w:ascii="標楷體"/>
      <w:b/>
      <w:snapToGrid w:val="0"/>
      <w:spacing w:val="10"/>
      <w:sz w:val="36"/>
    </w:rPr>
  </w:style>
  <w:style w:type="paragraph" w:styleId="a6">
    <w:name w:val="endnote text"/>
    <w:basedOn w:val="a1"/>
    <w:semiHidden/>
    <w:rsid w:val="00E14707"/>
    <w:pPr>
      <w:spacing w:before="240"/>
      <w:ind w:left="1021" w:hanging="1021"/>
      <w:jc w:val="both"/>
    </w:pPr>
    <w:rPr>
      <w:rFonts w:ascii="標楷體"/>
      <w:snapToGrid w:val="0"/>
      <w:spacing w:val="10"/>
    </w:rPr>
  </w:style>
  <w:style w:type="paragraph" w:styleId="51">
    <w:name w:val="toc 5"/>
    <w:basedOn w:val="a1"/>
    <w:next w:val="a1"/>
    <w:autoRedefine/>
    <w:semiHidden/>
    <w:rsid w:val="00E14707"/>
    <w:pPr>
      <w:ind w:leftChars="400" w:left="600" w:rightChars="200" w:right="200" w:hangingChars="200" w:hanging="200"/>
    </w:pPr>
    <w:rPr>
      <w:rFonts w:ascii="標楷體"/>
    </w:rPr>
  </w:style>
  <w:style w:type="character" w:styleId="a7">
    <w:name w:val="page number"/>
    <w:basedOn w:val="a2"/>
    <w:semiHidden/>
    <w:rsid w:val="00E14707"/>
    <w:rPr>
      <w:rFonts w:ascii="標楷體" w:eastAsia="標楷體"/>
      <w:sz w:val="20"/>
    </w:rPr>
  </w:style>
  <w:style w:type="paragraph" w:styleId="60">
    <w:name w:val="toc 6"/>
    <w:basedOn w:val="a1"/>
    <w:next w:val="a1"/>
    <w:autoRedefine/>
    <w:semiHidden/>
    <w:rsid w:val="00E14707"/>
    <w:pPr>
      <w:ind w:leftChars="500" w:left="500"/>
    </w:pPr>
    <w:rPr>
      <w:rFonts w:ascii="標楷體"/>
    </w:rPr>
  </w:style>
  <w:style w:type="paragraph" w:customStyle="1" w:styleId="10">
    <w:name w:val="段落樣式1"/>
    <w:basedOn w:val="a1"/>
    <w:qFormat/>
    <w:rsid w:val="00E14707"/>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E1470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14707"/>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E14707"/>
    <w:pPr>
      <w:kinsoku w:val="0"/>
      <w:ind w:leftChars="100" w:left="300" w:rightChars="200" w:right="200" w:hangingChars="200" w:hanging="200"/>
    </w:pPr>
    <w:rPr>
      <w:rFonts w:ascii="標楷體"/>
      <w:noProof/>
    </w:rPr>
  </w:style>
  <w:style w:type="paragraph" w:styleId="30">
    <w:name w:val="toc 3"/>
    <w:basedOn w:val="a1"/>
    <w:next w:val="a1"/>
    <w:autoRedefine/>
    <w:semiHidden/>
    <w:rsid w:val="00E14707"/>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E14707"/>
    <w:pPr>
      <w:kinsoku w:val="0"/>
      <w:ind w:leftChars="300" w:left="500" w:rightChars="200" w:right="200" w:hangingChars="200" w:hanging="200"/>
      <w:jc w:val="both"/>
    </w:pPr>
    <w:rPr>
      <w:rFonts w:ascii="標楷體"/>
    </w:rPr>
  </w:style>
  <w:style w:type="paragraph" w:styleId="70">
    <w:name w:val="toc 7"/>
    <w:basedOn w:val="a1"/>
    <w:next w:val="a1"/>
    <w:autoRedefine/>
    <w:semiHidden/>
    <w:rsid w:val="00E14707"/>
    <w:pPr>
      <w:ind w:leftChars="600" w:left="800" w:hangingChars="200" w:hanging="200"/>
    </w:pPr>
    <w:rPr>
      <w:rFonts w:ascii="標楷體"/>
    </w:rPr>
  </w:style>
  <w:style w:type="paragraph" w:styleId="80">
    <w:name w:val="toc 8"/>
    <w:basedOn w:val="a1"/>
    <w:next w:val="a1"/>
    <w:autoRedefine/>
    <w:semiHidden/>
    <w:rsid w:val="00E14707"/>
    <w:pPr>
      <w:ind w:leftChars="700" w:left="900" w:hangingChars="200" w:hanging="200"/>
    </w:pPr>
    <w:rPr>
      <w:rFonts w:ascii="標楷體"/>
    </w:rPr>
  </w:style>
  <w:style w:type="paragraph" w:styleId="91">
    <w:name w:val="toc 9"/>
    <w:basedOn w:val="a1"/>
    <w:next w:val="a1"/>
    <w:autoRedefine/>
    <w:semiHidden/>
    <w:rsid w:val="00E14707"/>
    <w:pPr>
      <w:ind w:leftChars="1600" w:left="3840"/>
    </w:pPr>
  </w:style>
  <w:style w:type="paragraph" w:styleId="a8">
    <w:name w:val="header"/>
    <w:basedOn w:val="a1"/>
    <w:semiHidden/>
    <w:rsid w:val="00E14707"/>
    <w:pPr>
      <w:tabs>
        <w:tab w:val="center" w:pos="4153"/>
        <w:tab w:val="right" w:pos="8306"/>
      </w:tabs>
      <w:snapToGrid w:val="0"/>
    </w:pPr>
    <w:rPr>
      <w:sz w:val="20"/>
    </w:rPr>
  </w:style>
  <w:style w:type="paragraph" w:customStyle="1" w:styleId="31">
    <w:name w:val="段落樣式3"/>
    <w:basedOn w:val="21"/>
    <w:rsid w:val="00E14707"/>
    <w:pPr>
      <w:ind w:leftChars="400" w:left="400"/>
    </w:pPr>
  </w:style>
  <w:style w:type="character" w:styleId="a9">
    <w:name w:val="Hyperlink"/>
    <w:basedOn w:val="a2"/>
    <w:semiHidden/>
    <w:rsid w:val="00E14707"/>
    <w:rPr>
      <w:color w:val="0000FF"/>
      <w:u w:val="single"/>
    </w:rPr>
  </w:style>
  <w:style w:type="paragraph" w:customStyle="1" w:styleId="aa">
    <w:name w:val="簽名日期"/>
    <w:basedOn w:val="a1"/>
    <w:rsid w:val="00E14707"/>
    <w:pPr>
      <w:kinsoku w:val="0"/>
      <w:jc w:val="distribute"/>
    </w:pPr>
    <w:rPr>
      <w:kern w:val="0"/>
    </w:rPr>
  </w:style>
  <w:style w:type="paragraph" w:customStyle="1" w:styleId="0">
    <w:name w:val="段落樣式0"/>
    <w:basedOn w:val="21"/>
    <w:rsid w:val="00E14707"/>
    <w:pPr>
      <w:ind w:leftChars="200" w:left="200" w:firstLineChars="0" w:firstLine="0"/>
    </w:pPr>
  </w:style>
  <w:style w:type="paragraph" w:customStyle="1" w:styleId="ab">
    <w:name w:val="附件"/>
    <w:basedOn w:val="a6"/>
    <w:rsid w:val="00E14707"/>
    <w:pPr>
      <w:kinsoku w:val="0"/>
      <w:spacing w:before="0"/>
      <w:ind w:left="1047" w:hangingChars="300" w:hanging="1047"/>
    </w:pPr>
    <w:rPr>
      <w:snapToGrid/>
      <w:spacing w:val="0"/>
      <w:kern w:val="0"/>
    </w:rPr>
  </w:style>
  <w:style w:type="paragraph" w:customStyle="1" w:styleId="42">
    <w:name w:val="段落樣式4"/>
    <w:basedOn w:val="31"/>
    <w:rsid w:val="00E14707"/>
    <w:pPr>
      <w:ind w:leftChars="500" w:left="500"/>
    </w:pPr>
  </w:style>
  <w:style w:type="paragraph" w:customStyle="1" w:styleId="52">
    <w:name w:val="段落樣式5"/>
    <w:basedOn w:val="42"/>
    <w:rsid w:val="00E14707"/>
    <w:pPr>
      <w:ind w:leftChars="600" w:left="600"/>
    </w:pPr>
  </w:style>
  <w:style w:type="paragraph" w:customStyle="1" w:styleId="61">
    <w:name w:val="段落樣式6"/>
    <w:basedOn w:val="52"/>
    <w:rsid w:val="00E14707"/>
    <w:pPr>
      <w:ind w:leftChars="700" w:left="700"/>
    </w:pPr>
  </w:style>
  <w:style w:type="paragraph" w:customStyle="1" w:styleId="71">
    <w:name w:val="段落樣式7"/>
    <w:basedOn w:val="61"/>
    <w:rsid w:val="00E14707"/>
  </w:style>
  <w:style w:type="paragraph" w:customStyle="1" w:styleId="81">
    <w:name w:val="段落樣式8"/>
    <w:basedOn w:val="71"/>
    <w:rsid w:val="00E14707"/>
    <w:pPr>
      <w:ind w:leftChars="800" w:left="800"/>
    </w:pPr>
  </w:style>
  <w:style w:type="paragraph" w:customStyle="1" w:styleId="a0">
    <w:name w:val="表樣式"/>
    <w:basedOn w:val="a1"/>
    <w:next w:val="a1"/>
    <w:rsid w:val="00E14707"/>
    <w:pPr>
      <w:numPr>
        <w:numId w:val="2"/>
      </w:numPr>
      <w:jc w:val="both"/>
    </w:pPr>
    <w:rPr>
      <w:rFonts w:ascii="標楷體"/>
      <w:kern w:val="0"/>
    </w:rPr>
  </w:style>
  <w:style w:type="paragraph" w:styleId="ac">
    <w:name w:val="Body Text Indent"/>
    <w:basedOn w:val="a1"/>
    <w:semiHidden/>
    <w:rsid w:val="00E14707"/>
    <w:pPr>
      <w:ind w:left="698" w:hangingChars="200" w:hanging="698"/>
    </w:pPr>
  </w:style>
  <w:style w:type="paragraph" w:customStyle="1" w:styleId="ad">
    <w:name w:val="調查報告"/>
    <w:basedOn w:val="a6"/>
    <w:rsid w:val="00E14707"/>
    <w:pPr>
      <w:kinsoku w:val="0"/>
      <w:spacing w:before="0"/>
      <w:ind w:left="1701" w:firstLine="0"/>
    </w:pPr>
    <w:rPr>
      <w:b/>
      <w:snapToGrid/>
      <w:spacing w:val="200"/>
      <w:kern w:val="0"/>
      <w:sz w:val="36"/>
    </w:rPr>
  </w:style>
  <w:style w:type="paragraph" w:customStyle="1" w:styleId="a">
    <w:name w:val="圖樣式"/>
    <w:basedOn w:val="a1"/>
    <w:next w:val="a1"/>
    <w:rsid w:val="00E14707"/>
    <w:pPr>
      <w:numPr>
        <w:numId w:val="3"/>
      </w:numPr>
      <w:tabs>
        <w:tab w:val="clear" w:pos="1440"/>
      </w:tabs>
      <w:ind w:left="400" w:hangingChars="400" w:hanging="400"/>
      <w:jc w:val="both"/>
    </w:pPr>
    <w:rPr>
      <w:rFonts w:ascii="標楷體"/>
    </w:rPr>
  </w:style>
  <w:style w:type="paragraph" w:styleId="ae">
    <w:name w:val="footer"/>
    <w:basedOn w:val="a1"/>
    <w:semiHidden/>
    <w:rsid w:val="00E14707"/>
    <w:pPr>
      <w:tabs>
        <w:tab w:val="center" w:pos="4153"/>
        <w:tab w:val="right" w:pos="8306"/>
      </w:tabs>
      <w:snapToGrid w:val="0"/>
    </w:pPr>
    <w:rPr>
      <w:sz w:val="20"/>
    </w:rPr>
  </w:style>
  <w:style w:type="paragraph" w:styleId="af">
    <w:name w:val="table of figures"/>
    <w:basedOn w:val="a1"/>
    <w:next w:val="a1"/>
    <w:semiHidden/>
    <w:rsid w:val="00E14707"/>
    <w:pPr>
      <w:ind w:left="400" w:hangingChars="400" w:hanging="400"/>
    </w:pPr>
  </w:style>
  <w:style w:type="paragraph" w:styleId="af0">
    <w:name w:val="footnote text"/>
    <w:basedOn w:val="a1"/>
    <w:link w:val="af1"/>
    <w:uiPriority w:val="99"/>
    <w:unhideWhenUsed/>
    <w:rsid w:val="003D40C6"/>
    <w:pPr>
      <w:snapToGrid w:val="0"/>
    </w:pPr>
    <w:rPr>
      <w:sz w:val="20"/>
    </w:rPr>
  </w:style>
  <w:style w:type="character" w:customStyle="1" w:styleId="af1">
    <w:name w:val="註腳文字 字元"/>
    <w:basedOn w:val="a2"/>
    <w:link w:val="af0"/>
    <w:uiPriority w:val="99"/>
    <w:rsid w:val="003D40C6"/>
    <w:rPr>
      <w:rFonts w:eastAsia="標楷體"/>
      <w:kern w:val="2"/>
    </w:rPr>
  </w:style>
  <w:style w:type="character" w:styleId="af2">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20">
    <w:name w:val="標題 2 字元"/>
    <w:aliases w:val="標題110/111 字元"/>
    <w:basedOn w:val="a2"/>
    <w:link w:val="2"/>
    <w:rsid w:val="0032160F"/>
    <w:rPr>
      <w:rFonts w:ascii="標楷體" w:eastAsia="標楷體" w:hAnsi="Arial"/>
      <w:bCs/>
      <w:sz w:val="32"/>
      <w:szCs w:val="48"/>
    </w:rPr>
  </w:style>
  <w:style w:type="paragraph" w:styleId="af3">
    <w:name w:val="Balloon Text"/>
    <w:basedOn w:val="a1"/>
    <w:link w:val="af4"/>
    <w:uiPriority w:val="99"/>
    <w:semiHidden/>
    <w:unhideWhenUsed/>
    <w:rsid w:val="000470CF"/>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0470CF"/>
    <w:rPr>
      <w:rFonts w:asciiTheme="majorHAnsi" w:eastAsiaTheme="majorEastAsia" w:hAnsiTheme="majorHAnsi" w:cstheme="majorBidi"/>
      <w:kern w:val="2"/>
      <w:sz w:val="18"/>
      <w:szCs w:val="18"/>
    </w:rPr>
  </w:style>
  <w:style w:type="paragraph" w:styleId="Web">
    <w:name w:val="Normal (Web)"/>
    <w:basedOn w:val="a1"/>
    <w:uiPriority w:val="99"/>
    <w:semiHidden/>
    <w:unhideWhenUsed/>
    <w:rsid w:val="00B453EC"/>
    <w:pPr>
      <w:widowControl/>
      <w:spacing w:before="100" w:beforeAutospacing="1" w:after="100" w:afterAutospacing="1"/>
    </w:pPr>
    <w:rPr>
      <w:rFonts w:ascii="新細明體" w:eastAsia="新細明體" w:hAnsi="新細明體" w:cs="新細明體"/>
      <w:kern w:val="0"/>
      <w:sz w:val="24"/>
      <w:szCs w:val="24"/>
    </w:rPr>
  </w:style>
  <w:style w:type="character" w:customStyle="1" w:styleId="tgc">
    <w:name w:val="_tgc"/>
    <w:basedOn w:val="a2"/>
    <w:rsid w:val="007F5B1F"/>
  </w:style>
  <w:style w:type="paragraph" w:customStyle="1" w:styleId="Default">
    <w:name w:val="Default"/>
    <w:rsid w:val="00D030F3"/>
    <w:pPr>
      <w:widowControl w:val="0"/>
      <w:autoSpaceDE w:val="0"/>
      <w:autoSpaceDN w:val="0"/>
      <w:adjustRightInd w:val="0"/>
    </w:pPr>
    <w:rPr>
      <w:rFonts w:ascii="標楷體" w:eastAsia="標楷體" w:cs="標楷體"/>
      <w:color w:val="000000"/>
      <w:sz w:val="24"/>
      <w:szCs w:val="24"/>
    </w:rPr>
  </w:style>
  <w:style w:type="paragraph" w:styleId="af5">
    <w:name w:val="List Paragraph"/>
    <w:basedOn w:val="a1"/>
    <w:uiPriority w:val="34"/>
    <w:qFormat/>
    <w:rsid w:val="0076515D"/>
    <w:pPr>
      <w:ind w:leftChars="200" w:left="480"/>
    </w:pPr>
  </w:style>
  <w:style w:type="character" w:customStyle="1" w:styleId="50">
    <w:name w:val="標題 5 字元"/>
    <w:basedOn w:val="a2"/>
    <w:link w:val="5"/>
    <w:rsid w:val="007B201E"/>
    <w:rPr>
      <w:rFonts w:ascii="標楷體" w:eastAsia="標楷體" w:hAnsi="Arial"/>
      <w:bCs/>
      <w:kern w:val="2"/>
      <w:sz w:val="32"/>
      <w:szCs w:val="36"/>
    </w:rPr>
  </w:style>
  <w:style w:type="character" w:customStyle="1" w:styleId="40">
    <w:name w:val="標題 4 字元"/>
    <w:aliases w:val="表格 字元"/>
    <w:basedOn w:val="a2"/>
    <w:link w:val="4"/>
    <w:rsid w:val="002E1C22"/>
    <w:rPr>
      <w:rFonts w:ascii="標楷體" w:eastAsia="標楷體" w:hAnsi="Arial"/>
      <w:kern w:val="2"/>
      <w:sz w:val="32"/>
      <w:szCs w:val="36"/>
    </w:rPr>
  </w:style>
  <w:style w:type="character" w:customStyle="1" w:styleId="90">
    <w:name w:val="標題 9 字元"/>
    <w:basedOn w:val="a2"/>
    <w:link w:val="9"/>
    <w:uiPriority w:val="9"/>
    <w:rsid w:val="006C06AE"/>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900">
      <w:bodyDiv w:val="1"/>
      <w:marLeft w:val="0"/>
      <w:marRight w:val="0"/>
      <w:marTop w:val="0"/>
      <w:marBottom w:val="0"/>
      <w:divBdr>
        <w:top w:val="none" w:sz="0" w:space="0" w:color="auto"/>
        <w:left w:val="none" w:sz="0" w:space="0" w:color="auto"/>
        <w:bottom w:val="none" w:sz="0" w:space="0" w:color="auto"/>
        <w:right w:val="none" w:sz="0" w:space="0" w:color="auto"/>
      </w:divBdr>
      <w:divsChild>
        <w:div w:id="1551067047">
          <w:marLeft w:val="0"/>
          <w:marRight w:val="0"/>
          <w:marTop w:val="0"/>
          <w:marBottom w:val="0"/>
          <w:divBdr>
            <w:top w:val="none" w:sz="0" w:space="0" w:color="auto"/>
            <w:left w:val="single" w:sz="6" w:space="0" w:color="AC9A80"/>
            <w:bottom w:val="single" w:sz="6" w:space="0" w:color="AC9A80"/>
            <w:right w:val="single" w:sz="6" w:space="0" w:color="AC9A80"/>
          </w:divBdr>
          <w:divsChild>
            <w:div w:id="183173589">
              <w:marLeft w:val="0"/>
              <w:marRight w:val="0"/>
              <w:marTop w:val="0"/>
              <w:marBottom w:val="0"/>
              <w:divBdr>
                <w:top w:val="none" w:sz="0" w:space="0" w:color="auto"/>
                <w:left w:val="none" w:sz="0" w:space="0" w:color="auto"/>
                <w:bottom w:val="none" w:sz="0" w:space="0" w:color="auto"/>
                <w:right w:val="none" w:sz="0" w:space="0" w:color="auto"/>
              </w:divBdr>
              <w:divsChild>
                <w:div w:id="719792298">
                  <w:marLeft w:val="0"/>
                  <w:marRight w:val="0"/>
                  <w:marTop w:val="0"/>
                  <w:marBottom w:val="0"/>
                  <w:divBdr>
                    <w:top w:val="none" w:sz="0" w:space="0" w:color="auto"/>
                    <w:left w:val="none" w:sz="0" w:space="0" w:color="auto"/>
                    <w:bottom w:val="none" w:sz="0" w:space="0" w:color="auto"/>
                    <w:right w:val="none" w:sz="0" w:space="0" w:color="auto"/>
                  </w:divBdr>
                  <w:divsChild>
                    <w:div w:id="1947344319">
                      <w:marLeft w:val="7"/>
                      <w:marRight w:val="0"/>
                      <w:marTop w:val="0"/>
                      <w:marBottom w:val="0"/>
                      <w:divBdr>
                        <w:top w:val="none" w:sz="0" w:space="0" w:color="auto"/>
                        <w:left w:val="none" w:sz="0" w:space="0" w:color="auto"/>
                        <w:bottom w:val="none" w:sz="0" w:space="0" w:color="auto"/>
                        <w:right w:val="none" w:sz="0" w:space="0" w:color="auto"/>
                      </w:divBdr>
                      <w:divsChild>
                        <w:div w:id="18634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098666">
      <w:bodyDiv w:val="1"/>
      <w:marLeft w:val="0"/>
      <w:marRight w:val="0"/>
      <w:marTop w:val="0"/>
      <w:marBottom w:val="0"/>
      <w:divBdr>
        <w:top w:val="none" w:sz="0" w:space="0" w:color="auto"/>
        <w:left w:val="none" w:sz="0" w:space="0" w:color="auto"/>
        <w:bottom w:val="none" w:sz="0" w:space="0" w:color="auto"/>
        <w:right w:val="none" w:sz="0" w:space="0" w:color="auto"/>
      </w:divBdr>
      <w:divsChild>
        <w:div w:id="1339893560">
          <w:marLeft w:val="0"/>
          <w:marRight w:val="0"/>
          <w:marTop w:val="0"/>
          <w:marBottom w:val="0"/>
          <w:divBdr>
            <w:top w:val="none" w:sz="0" w:space="0" w:color="auto"/>
            <w:left w:val="none" w:sz="0" w:space="0" w:color="auto"/>
            <w:bottom w:val="none" w:sz="0" w:space="0" w:color="auto"/>
            <w:right w:val="none" w:sz="0" w:space="0" w:color="auto"/>
          </w:divBdr>
          <w:divsChild>
            <w:div w:id="802888244">
              <w:marLeft w:val="0"/>
              <w:marRight w:val="0"/>
              <w:marTop w:val="0"/>
              <w:marBottom w:val="0"/>
              <w:divBdr>
                <w:top w:val="none" w:sz="0" w:space="0" w:color="auto"/>
                <w:left w:val="none" w:sz="0" w:space="0" w:color="auto"/>
                <w:bottom w:val="none" w:sz="0" w:space="0" w:color="auto"/>
                <w:right w:val="none" w:sz="0" w:space="0" w:color="auto"/>
              </w:divBdr>
            </w:div>
            <w:div w:id="1580558139">
              <w:marLeft w:val="0"/>
              <w:marRight w:val="0"/>
              <w:marTop w:val="0"/>
              <w:marBottom w:val="0"/>
              <w:divBdr>
                <w:top w:val="none" w:sz="0" w:space="0" w:color="auto"/>
                <w:left w:val="none" w:sz="0" w:space="0" w:color="auto"/>
                <w:bottom w:val="none" w:sz="0" w:space="0" w:color="auto"/>
                <w:right w:val="none" w:sz="0" w:space="0" w:color="auto"/>
              </w:divBdr>
            </w:div>
            <w:div w:id="1862157231">
              <w:marLeft w:val="0"/>
              <w:marRight w:val="0"/>
              <w:marTop w:val="0"/>
              <w:marBottom w:val="0"/>
              <w:divBdr>
                <w:top w:val="none" w:sz="0" w:space="0" w:color="auto"/>
                <w:left w:val="none" w:sz="0" w:space="0" w:color="auto"/>
                <w:bottom w:val="none" w:sz="0" w:space="0" w:color="auto"/>
                <w:right w:val="none" w:sz="0" w:space="0" w:color="auto"/>
              </w:divBdr>
              <w:divsChild>
                <w:div w:id="139739356">
                  <w:marLeft w:val="0"/>
                  <w:marRight w:val="0"/>
                  <w:marTop w:val="0"/>
                  <w:marBottom w:val="0"/>
                  <w:divBdr>
                    <w:top w:val="none" w:sz="0" w:space="0" w:color="auto"/>
                    <w:left w:val="none" w:sz="0" w:space="0" w:color="auto"/>
                    <w:bottom w:val="none" w:sz="0" w:space="0" w:color="auto"/>
                    <w:right w:val="none" w:sz="0" w:space="0" w:color="auto"/>
                  </w:divBdr>
                </w:div>
                <w:div w:id="522982784">
                  <w:marLeft w:val="0"/>
                  <w:marRight w:val="0"/>
                  <w:marTop w:val="0"/>
                  <w:marBottom w:val="0"/>
                  <w:divBdr>
                    <w:top w:val="none" w:sz="0" w:space="0" w:color="auto"/>
                    <w:left w:val="none" w:sz="0" w:space="0" w:color="auto"/>
                    <w:bottom w:val="none" w:sz="0" w:space="0" w:color="auto"/>
                    <w:right w:val="none" w:sz="0" w:space="0" w:color="auto"/>
                  </w:divBdr>
                </w:div>
                <w:div w:id="1102841105">
                  <w:marLeft w:val="0"/>
                  <w:marRight w:val="0"/>
                  <w:marTop w:val="0"/>
                  <w:marBottom w:val="0"/>
                  <w:divBdr>
                    <w:top w:val="none" w:sz="0" w:space="0" w:color="auto"/>
                    <w:left w:val="none" w:sz="0" w:space="0" w:color="auto"/>
                    <w:bottom w:val="none" w:sz="0" w:space="0" w:color="auto"/>
                    <w:right w:val="none" w:sz="0" w:space="0" w:color="auto"/>
                  </w:divBdr>
                </w:div>
                <w:div w:id="1416315218">
                  <w:marLeft w:val="0"/>
                  <w:marRight w:val="0"/>
                  <w:marTop w:val="0"/>
                  <w:marBottom w:val="0"/>
                  <w:divBdr>
                    <w:top w:val="none" w:sz="0" w:space="0" w:color="auto"/>
                    <w:left w:val="none" w:sz="0" w:space="0" w:color="auto"/>
                    <w:bottom w:val="none" w:sz="0" w:space="0" w:color="auto"/>
                    <w:right w:val="none" w:sz="0" w:space="0" w:color="auto"/>
                  </w:divBdr>
                </w:div>
                <w:div w:id="1531530616">
                  <w:marLeft w:val="0"/>
                  <w:marRight w:val="0"/>
                  <w:marTop w:val="0"/>
                  <w:marBottom w:val="0"/>
                  <w:divBdr>
                    <w:top w:val="none" w:sz="0" w:space="0" w:color="auto"/>
                    <w:left w:val="none" w:sz="0" w:space="0" w:color="auto"/>
                    <w:bottom w:val="none" w:sz="0" w:space="0" w:color="auto"/>
                    <w:right w:val="none" w:sz="0" w:space="0" w:color="auto"/>
                  </w:divBdr>
                </w:div>
              </w:divsChild>
            </w:div>
            <w:div w:id="1880587346">
              <w:marLeft w:val="0"/>
              <w:marRight w:val="0"/>
              <w:marTop w:val="0"/>
              <w:marBottom w:val="0"/>
              <w:divBdr>
                <w:top w:val="none" w:sz="0" w:space="0" w:color="auto"/>
                <w:left w:val="none" w:sz="0" w:space="0" w:color="auto"/>
                <w:bottom w:val="none" w:sz="0" w:space="0" w:color="auto"/>
                <w:right w:val="none" w:sz="0" w:space="0" w:color="auto"/>
              </w:divBdr>
            </w:div>
            <w:div w:id="2029334600">
              <w:marLeft w:val="0"/>
              <w:marRight w:val="0"/>
              <w:marTop w:val="0"/>
              <w:marBottom w:val="0"/>
              <w:divBdr>
                <w:top w:val="none" w:sz="0" w:space="0" w:color="auto"/>
                <w:left w:val="none" w:sz="0" w:space="0" w:color="auto"/>
                <w:bottom w:val="none" w:sz="0" w:space="0" w:color="auto"/>
                <w:right w:val="none" w:sz="0" w:space="0" w:color="auto"/>
              </w:divBdr>
            </w:div>
            <w:div w:id="212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082">
      <w:bodyDiv w:val="1"/>
      <w:marLeft w:val="0"/>
      <w:marRight w:val="0"/>
      <w:marTop w:val="0"/>
      <w:marBottom w:val="0"/>
      <w:divBdr>
        <w:top w:val="none" w:sz="0" w:space="0" w:color="auto"/>
        <w:left w:val="none" w:sz="0" w:space="0" w:color="auto"/>
        <w:bottom w:val="none" w:sz="0" w:space="0" w:color="auto"/>
        <w:right w:val="none" w:sz="0" w:space="0" w:color="auto"/>
      </w:divBdr>
      <w:divsChild>
        <w:div w:id="731734993">
          <w:marLeft w:val="0"/>
          <w:marRight w:val="0"/>
          <w:marTop w:val="0"/>
          <w:marBottom w:val="0"/>
          <w:divBdr>
            <w:top w:val="none" w:sz="0" w:space="0" w:color="auto"/>
            <w:left w:val="none" w:sz="0" w:space="0" w:color="auto"/>
            <w:bottom w:val="none" w:sz="0" w:space="0" w:color="auto"/>
            <w:right w:val="none" w:sz="0" w:space="0" w:color="auto"/>
          </w:divBdr>
          <w:divsChild>
            <w:div w:id="15331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cis.nat.gov.tw/e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82EC-FEA4-4759-8E79-CF4EE013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10875</Words>
  <Characters>287</Characters>
  <Application>Microsoft Office Word</Application>
  <DocSecurity>0</DocSecurity>
  <Lines>15</Lines>
  <Paragraphs>189</Paragraphs>
  <ScaleCrop>false</ScaleCrop>
  <Company>cy</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2017-08-15T06:21:00Z</cp:lastPrinted>
  <dcterms:created xsi:type="dcterms:W3CDTF">2017-08-15T08:35:00Z</dcterms:created>
  <dcterms:modified xsi:type="dcterms:W3CDTF">2017-08-15T08:35:00Z</dcterms:modified>
</cp:coreProperties>
</file>