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27" w:rsidRPr="001050CA" w:rsidRDefault="00292688">
      <w:pPr>
        <w:pStyle w:val="a7"/>
        <w:kinsoku w:val="0"/>
        <w:spacing w:before="0"/>
        <w:ind w:leftChars="700" w:left="2381" w:firstLine="0"/>
        <w:rPr>
          <w:rFonts w:hAnsi="標楷體"/>
          <w:b/>
          <w:bCs/>
          <w:snapToGrid/>
          <w:spacing w:val="200"/>
          <w:kern w:val="0"/>
          <w:sz w:val="40"/>
        </w:rPr>
      </w:pPr>
      <w:r w:rsidRPr="001050CA">
        <w:rPr>
          <w:rFonts w:hAnsi="標楷體" w:hint="eastAsia"/>
          <w:b/>
          <w:bCs/>
          <w:snapToGrid/>
          <w:spacing w:val="200"/>
          <w:kern w:val="0"/>
          <w:sz w:val="40"/>
        </w:rPr>
        <w:t>調查</w:t>
      </w:r>
      <w:r w:rsidR="00E21627" w:rsidRPr="001050CA">
        <w:rPr>
          <w:rFonts w:hAnsi="標楷體" w:hint="eastAsia"/>
          <w:b/>
          <w:bCs/>
          <w:snapToGrid/>
          <w:spacing w:val="200"/>
          <w:kern w:val="0"/>
          <w:sz w:val="40"/>
        </w:rPr>
        <w:t>報告</w:t>
      </w:r>
    </w:p>
    <w:p w:rsidR="00E21627" w:rsidRPr="00D423A5" w:rsidRDefault="00E2162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050CA">
        <w:rPr>
          <w:rFonts w:hAnsi="標楷體"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04B4E" w:rsidRPr="00404B4E">
        <w:rPr>
          <w:rFonts w:hAnsi="標楷體"/>
        </w:rPr>
        <w:t>據審計部104年度澎湖縣總決算審核報告，澎湖縣政府建設、工務及文化等部門連續5個年度預算實現數未達6成，預算編列與計畫執行脫節情形迄未能有效改善等情案</w:t>
      </w:r>
      <w:r w:rsidR="00EE31B9" w:rsidRPr="00404B4E">
        <w:rPr>
          <w:rFonts w:hAnsi="標楷體"/>
        </w:rPr>
        <w:t>。</w:t>
      </w:r>
    </w:p>
    <w:p w:rsidR="002E2CC0" w:rsidRPr="00D423A5" w:rsidRDefault="000E7D47" w:rsidP="00481660">
      <w:pPr>
        <w:pStyle w:val="1"/>
        <w:ind w:left="2380" w:hanging="2380"/>
        <w:rPr>
          <w:rFonts w:hAnsi="標楷體"/>
          <w:b/>
        </w:rPr>
      </w:pPr>
      <w:bookmarkStart w:id="23" w:name="_Toc524892370"/>
      <w:bookmarkStart w:id="24" w:name="_Toc524895640"/>
      <w:bookmarkStart w:id="25" w:name="_Toc524896186"/>
      <w:bookmarkStart w:id="26" w:name="_Toc524896216"/>
      <w:bookmarkStart w:id="27" w:name="_Toc524902722"/>
      <w:bookmarkStart w:id="28" w:name="_Toc525066141"/>
      <w:bookmarkStart w:id="29" w:name="_Toc525070831"/>
      <w:bookmarkStart w:id="30" w:name="_Toc525938371"/>
      <w:bookmarkStart w:id="31" w:name="_Toc525939219"/>
      <w:bookmarkStart w:id="32" w:name="_Toc525939724"/>
      <w:bookmarkStart w:id="33" w:name="_Toc529218258"/>
      <w:bookmarkStart w:id="34" w:name="_Toc529222681"/>
      <w:bookmarkStart w:id="35" w:name="_Toc529223103"/>
      <w:bookmarkStart w:id="36" w:name="_Toc529223854"/>
      <w:bookmarkStart w:id="37" w:name="_Toc529228250"/>
      <w:bookmarkStart w:id="38" w:name="_Toc2400386"/>
      <w:bookmarkStart w:id="39" w:name="_Toc4316181"/>
      <w:bookmarkStart w:id="40" w:name="_Toc4473322"/>
      <w:bookmarkStart w:id="41" w:name="_Toc69556889"/>
      <w:bookmarkStart w:id="42" w:name="_Toc69556938"/>
      <w:bookmarkStart w:id="43" w:name="_Toc69609812"/>
      <w:bookmarkStart w:id="44" w:name="_Toc70241808"/>
      <w:bookmarkStart w:id="45" w:name="_Toc70242197"/>
      <w:r w:rsidRPr="00D423A5">
        <w:rPr>
          <w:rFonts w:hAnsi="標楷體" w:hint="eastAsia"/>
          <w:b/>
        </w:rPr>
        <w:t>調查意見</w:t>
      </w:r>
      <w:r w:rsidR="002E2CC0" w:rsidRPr="00D423A5">
        <w:rPr>
          <w:rFonts w:hAnsi="標楷體" w:hint="eastAsia"/>
          <w:b/>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BA0763" w:rsidRPr="00D423A5" w:rsidRDefault="0095388E" w:rsidP="008A4A12">
      <w:pPr>
        <w:pStyle w:val="1"/>
        <w:numPr>
          <w:ilvl w:val="0"/>
          <w:numId w:val="0"/>
        </w:numPr>
        <w:ind w:leftChars="200" w:left="680" w:firstLineChars="200" w:firstLine="680"/>
        <w:rPr>
          <w:rFonts w:hAnsi="標楷體"/>
        </w:rPr>
      </w:pPr>
      <w:r w:rsidRPr="00D423A5">
        <w:rPr>
          <w:rFonts w:hAnsi="標楷體" w:hint="eastAsia"/>
          <w:szCs w:val="32"/>
        </w:rPr>
        <w:t>鑑於地方政府長期以來</w:t>
      </w:r>
      <w:r w:rsidRPr="00D423A5">
        <w:rPr>
          <w:rFonts w:hAnsi="標楷體" w:hint="eastAsia"/>
        </w:rPr>
        <w:t>財政狀況多屬不佳，歲入自有財源占比低，大多仰賴中央政府補助收入挹注，財政自主性顯著偏低，</w:t>
      </w:r>
      <w:r w:rsidRPr="00D423A5">
        <w:rPr>
          <w:rFonts w:hAnsi="標楷體" w:hint="eastAsia"/>
          <w:szCs w:val="32"/>
        </w:rPr>
        <w:t>澎湖縣政府亦面臨此窘境，</w:t>
      </w:r>
      <w:r w:rsidR="009E2817" w:rsidRPr="00D423A5">
        <w:rPr>
          <w:rFonts w:hAnsi="標楷體" w:hint="eastAsia"/>
          <w:szCs w:val="32"/>
        </w:rPr>
        <w:t>故對</w:t>
      </w:r>
      <w:r w:rsidR="009163E4" w:rsidRPr="00D423A5">
        <w:rPr>
          <w:rFonts w:hAnsi="標楷體" w:hint="eastAsia"/>
          <w:szCs w:val="32"/>
        </w:rPr>
        <w:t>有限之預算資源，更應妥善用在刀口上，以發揮最大之經濟效益，惟</w:t>
      </w:r>
      <w:r w:rsidR="008A4A12" w:rsidRPr="00D423A5">
        <w:rPr>
          <w:rFonts w:hAnsi="標楷體" w:hint="eastAsia"/>
        </w:rPr>
        <w:t>據審計部</w:t>
      </w:r>
      <w:r w:rsidR="008A4A12" w:rsidRPr="00D423A5">
        <w:rPr>
          <w:rFonts w:hAnsi="標楷體"/>
          <w:szCs w:val="32"/>
        </w:rPr>
        <w:t>104年度澎湖縣總決算審核報告</w:t>
      </w:r>
      <w:r w:rsidR="008A4A12" w:rsidRPr="00D423A5">
        <w:rPr>
          <w:rFonts w:hAnsi="標楷體" w:hint="eastAsia"/>
          <w:szCs w:val="32"/>
        </w:rPr>
        <w:t>指出</w:t>
      </w:r>
      <w:r w:rsidR="008A4A12" w:rsidRPr="00D423A5">
        <w:rPr>
          <w:rFonts w:hAnsi="標楷體"/>
          <w:szCs w:val="32"/>
        </w:rPr>
        <w:t>，澎湖縣政府建設</w:t>
      </w:r>
      <w:r w:rsidR="00B07012">
        <w:rPr>
          <w:rFonts w:hAnsi="標楷體" w:hint="eastAsia"/>
          <w:szCs w:val="32"/>
        </w:rPr>
        <w:t>處</w:t>
      </w:r>
      <w:r w:rsidR="008A4A12" w:rsidRPr="00D423A5">
        <w:rPr>
          <w:rFonts w:hAnsi="標楷體"/>
          <w:szCs w:val="32"/>
        </w:rPr>
        <w:t>、工務</w:t>
      </w:r>
      <w:r w:rsidR="00B07012">
        <w:rPr>
          <w:rFonts w:hAnsi="標楷體" w:hint="eastAsia"/>
          <w:szCs w:val="32"/>
        </w:rPr>
        <w:t>處</w:t>
      </w:r>
      <w:r w:rsidR="008A4A12" w:rsidRPr="00D423A5">
        <w:rPr>
          <w:rFonts w:hAnsi="標楷體"/>
          <w:szCs w:val="32"/>
        </w:rPr>
        <w:t>及文化</w:t>
      </w:r>
      <w:r w:rsidR="00B07012">
        <w:rPr>
          <w:rFonts w:hAnsi="標楷體" w:hint="eastAsia"/>
          <w:szCs w:val="32"/>
        </w:rPr>
        <w:t>局</w:t>
      </w:r>
      <w:r w:rsidR="008A4A12" w:rsidRPr="00D423A5">
        <w:rPr>
          <w:rFonts w:hAnsi="標楷體"/>
          <w:szCs w:val="32"/>
        </w:rPr>
        <w:t>連續5個年度預算實現數未達6成，預算編列與計畫執行</w:t>
      </w:r>
      <w:r w:rsidR="00754F95">
        <w:rPr>
          <w:rFonts w:hAnsi="標楷體" w:hint="eastAsia"/>
          <w:szCs w:val="32"/>
        </w:rPr>
        <w:t>有</w:t>
      </w:r>
      <w:r w:rsidR="008A4A12" w:rsidRPr="00D423A5">
        <w:rPr>
          <w:rFonts w:hAnsi="標楷體"/>
          <w:szCs w:val="32"/>
        </w:rPr>
        <w:t>脫節</w:t>
      </w:r>
      <w:r w:rsidR="00754F95">
        <w:rPr>
          <w:rFonts w:hAnsi="標楷體" w:hint="eastAsia"/>
          <w:szCs w:val="32"/>
        </w:rPr>
        <w:t>之</w:t>
      </w:r>
      <w:r w:rsidR="008A4A12" w:rsidRPr="00D423A5">
        <w:rPr>
          <w:rFonts w:hAnsi="標楷體"/>
          <w:szCs w:val="32"/>
        </w:rPr>
        <w:t>情形</w:t>
      </w:r>
      <w:r w:rsidR="008A4A12" w:rsidRPr="00D423A5">
        <w:rPr>
          <w:rFonts w:hAnsi="標楷體" w:hint="eastAsia"/>
          <w:szCs w:val="32"/>
        </w:rPr>
        <w:t>，</w:t>
      </w:r>
      <w:r w:rsidR="009163E4" w:rsidRPr="00D423A5">
        <w:rPr>
          <w:rFonts w:hAnsi="標楷體" w:hint="eastAsia"/>
          <w:szCs w:val="32"/>
        </w:rPr>
        <w:t>為深究並釐清問題之所在</w:t>
      </w:r>
      <w:r w:rsidR="00FE6314">
        <w:rPr>
          <w:rFonts w:hAnsi="標楷體" w:hint="eastAsia"/>
          <w:szCs w:val="32"/>
        </w:rPr>
        <w:t>、</w:t>
      </w:r>
      <w:r w:rsidR="002E5FF6" w:rsidRPr="00D423A5">
        <w:rPr>
          <w:rFonts w:hAnsi="標楷體" w:hint="eastAsia"/>
          <w:szCs w:val="32"/>
        </w:rPr>
        <w:t>該府改善作為及具體改善成效</w:t>
      </w:r>
      <w:r w:rsidR="009163E4" w:rsidRPr="00D423A5">
        <w:rPr>
          <w:rFonts w:hAnsi="標楷體" w:hint="eastAsia"/>
          <w:szCs w:val="32"/>
        </w:rPr>
        <w:t>，本院</w:t>
      </w:r>
      <w:r w:rsidR="002E5FF6" w:rsidRPr="00D423A5">
        <w:rPr>
          <w:rFonts w:hAnsi="標楷體" w:hint="eastAsia"/>
          <w:szCs w:val="32"/>
        </w:rPr>
        <w:t>爰</w:t>
      </w:r>
      <w:r w:rsidR="009163E4" w:rsidRPr="00D423A5">
        <w:rPr>
          <w:rFonts w:hAnsi="標楷體" w:hint="eastAsia"/>
          <w:szCs w:val="32"/>
        </w:rPr>
        <w:t>立案調查，期能發現問題</w:t>
      </w:r>
      <w:r w:rsidR="009E2817" w:rsidRPr="00D423A5">
        <w:rPr>
          <w:rFonts w:hAnsi="標楷體" w:hint="eastAsia"/>
          <w:szCs w:val="32"/>
        </w:rPr>
        <w:t>癥結</w:t>
      </w:r>
      <w:r w:rsidR="009163E4" w:rsidRPr="00D423A5">
        <w:rPr>
          <w:rFonts w:hAnsi="標楷體" w:hint="eastAsia"/>
          <w:szCs w:val="32"/>
        </w:rPr>
        <w:t>，進而協助該府解決問題</w:t>
      </w:r>
      <w:r w:rsidR="00684D97">
        <w:rPr>
          <w:rFonts w:hAnsi="標楷體" w:hint="eastAsia"/>
          <w:szCs w:val="32"/>
        </w:rPr>
        <w:t>，先予敘明</w:t>
      </w:r>
      <w:r w:rsidR="009163E4" w:rsidRPr="00D423A5">
        <w:rPr>
          <w:rFonts w:hAnsi="標楷體" w:hint="eastAsia"/>
          <w:szCs w:val="32"/>
        </w:rPr>
        <w:t>。</w:t>
      </w:r>
    </w:p>
    <w:p w:rsidR="008A4A12" w:rsidRPr="00D423A5" w:rsidRDefault="008A4A12" w:rsidP="008A4A12">
      <w:pPr>
        <w:pStyle w:val="1"/>
        <w:numPr>
          <w:ilvl w:val="0"/>
          <w:numId w:val="0"/>
        </w:numPr>
        <w:ind w:leftChars="200" w:left="680" w:firstLineChars="200" w:firstLine="680"/>
        <w:rPr>
          <w:rFonts w:hAnsi="標楷體"/>
        </w:rPr>
      </w:pPr>
      <w:r w:rsidRPr="00D423A5">
        <w:rPr>
          <w:rFonts w:hAnsi="標楷體" w:hint="eastAsia"/>
          <w:szCs w:val="32"/>
        </w:rPr>
        <w:t>案經向澎湖縣政府及審計部調閱相關卷證資料，復於民國</w:t>
      </w:r>
      <w:r w:rsidR="009163E4" w:rsidRPr="00D423A5">
        <w:rPr>
          <w:rFonts w:hAnsi="標楷體" w:hint="eastAsia"/>
          <w:szCs w:val="32"/>
        </w:rPr>
        <w:t>（下同）</w:t>
      </w:r>
      <w:r w:rsidRPr="00D423A5">
        <w:rPr>
          <w:rFonts w:hAnsi="標楷體" w:hint="eastAsia"/>
          <w:szCs w:val="32"/>
        </w:rPr>
        <w:t>106年4月10日詢問澎湖縣副縣長</w:t>
      </w:r>
      <w:r w:rsidR="00CE68DE" w:rsidRPr="00CE68DE">
        <w:rPr>
          <w:rFonts w:hAnsi="標楷體" w:hint="eastAsia"/>
          <w:szCs w:val="32"/>
        </w:rPr>
        <w:t>林皆興</w:t>
      </w:r>
      <w:r w:rsidR="00134127">
        <w:rPr>
          <w:rFonts w:hAnsi="標楷體" w:hint="eastAsia"/>
          <w:szCs w:val="32"/>
        </w:rPr>
        <w:t>及所屬</w:t>
      </w:r>
      <w:r w:rsidRPr="00D423A5">
        <w:rPr>
          <w:rFonts w:hAnsi="標楷體" w:hint="eastAsia"/>
          <w:szCs w:val="32"/>
        </w:rPr>
        <w:t>建設處處長</w:t>
      </w:r>
      <w:r w:rsidR="00CE68DE" w:rsidRPr="00CE68DE">
        <w:rPr>
          <w:rFonts w:hAnsi="標楷體" w:hint="eastAsia"/>
          <w:szCs w:val="32"/>
        </w:rPr>
        <w:t>洪棟霖</w:t>
      </w:r>
      <w:r w:rsidRPr="00D423A5">
        <w:rPr>
          <w:rFonts w:hAnsi="標楷體" w:hint="eastAsia"/>
          <w:szCs w:val="32"/>
        </w:rPr>
        <w:t>、工務處處長</w:t>
      </w:r>
      <w:r w:rsidR="00CE68DE" w:rsidRPr="00CE68DE">
        <w:rPr>
          <w:rFonts w:hAnsi="標楷體" w:hint="eastAsia"/>
          <w:szCs w:val="32"/>
        </w:rPr>
        <w:t>蔡淇賢</w:t>
      </w:r>
      <w:r w:rsidRPr="00D423A5">
        <w:rPr>
          <w:rFonts w:hAnsi="標楷體" w:hint="eastAsia"/>
          <w:szCs w:val="32"/>
        </w:rPr>
        <w:t>、旅遊處處長</w:t>
      </w:r>
      <w:r w:rsidR="00CE68DE" w:rsidRPr="00CE68DE">
        <w:rPr>
          <w:rFonts w:hAnsi="標楷體" w:hint="eastAsia"/>
          <w:szCs w:val="32"/>
        </w:rPr>
        <w:t>王馨珮</w:t>
      </w:r>
      <w:r w:rsidRPr="00D423A5">
        <w:rPr>
          <w:rFonts w:hAnsi="標楷體" w:hint="eastAsia"/>
          <w:szCs w:val="32"/>
        </w:rPr>
        <w:t>、文化局局長</w:t>
      </w:r>
      <w:r w:rsidR="00CE68DE" w:rsidRPr="00CE68DE">
        <w:rPr>
          <w:rFonts w:hAnsi="標楷體" w:hint="eastAsia"/>
          <w:szCs w:val="32"/>
        </w:rPr>
        <w:t>曾慧香</w:t>
      </w:r>
      <w:r w:rsidRPr="00D423A5">
        <w:rPr>
          <w:rFonts w:hAnsi="標楷體" w:hint="eastAsia"/>
          <w:szCs w:val="32"/>
        </w:rPr>
        <w:t>、主計處處長</w:t>
      </w:r>
      <w:r w:rsidR="00CE68DE" w:rsidRPr="00CE68DE">
        <w:rPr>
          <w:rFonts w:hAnsi="標楷體" w:hint="eastAsia"/>
          <w:szCs w:val="32"/>
        </w:rPr>
        <w:t>許金珍</w:t>
      </w:r>
      <w:r w:rsidRPr="00D423A5">
        <w:rPr>
          <w:rFonts w:hAnsi="標楷體" w:hint="eastAsia"/>
          <w:szCs w:val="32"/>
        </w:rPr>
        <w:t>、民政處處長</w:t>
      </w:r>
      <w:r w:rsidR="00CE68DE" w:rsidRPr="00CE68DE">
        <w:rPr>
          <w:rFonts w:hAnsi="標楷體" w:hint="eastAsia"/>
          <w:szCs w:val="32"/>
        </w:rPr>
        <w:t>陳啟川</w:t>
      </w:r>
      <w:r w:rsidRPr="00D423A5">
        <w:rPr>
          <w:rFonts w:hAnsi="標楷體" w:hint="eastAsia"/>
          <w:szCs w:val="32"/>
        </w:rPr>
        <w:t>、財政處處長</w:t>
      </w:r>
      <w:r w:rsidR="00CE68DE" w:rsidRPr="00CE68DE">
        <w:rPr>
          <w:rFonts w:hAnsi="標楷體" w:hint="eastAsia"/>
          <w:szCs w:val="32"/>
        </w:rPr>
        <w:t>鄭嘉薇</w:t>
      </w:r>
      <w:bookmarkStart w:id="46" w:name="_GoBack"/>
      <w:bookmarkEnd w:id="46"/>
      <w:r w:rsidRPr="00D423A5">
        <w:rPr>
          <w:rFonts w:hAnsi="標楷體" w:hint="eastAsia"/>
          <w:szCs w:val="32"/>
        </w:rPr>
        <w:t>暨上開機關相關業務人員等；另</w:t>
      </w:r>
      <w:r w:rsidR="00012204">
        <w:rPr>
          <w:rFonts w:hAnsi="標楷體" w:hint="eastAsia"/>
          <w:szCs w:val="32"/>
        </w:rPr>
        <w:t>為瞭解該府目前停辦及執行進度落後之計畫最新辦理情形，</w:t>
      </w:r>
      <w:r w:rsidR="00012204" w:rsidRPr="00D423A5">
        <w:rPr>
          <w:rFonts w:hAnsi="標楷體" w:hint="eastAsia"/>
          <w:szCs w:val="32"/>
        </w:rPr>
        <w:t>於同年7月18日</w:t>
      </w:r>
      <w:r w:rsidR="00012204">
        <w:rPr>
          <w:rFonts w:hAnsi="標楷體" w:hint="eastAsia"/>
          <w:szCs w:val="32"/>
        </w:rPr>
        <w:t>實地</w:t>
      </w:r>
      <w:r w:rsidR="00012204" w:rsidRPr="00D423A5">
        <w:rPr>
          <w:rFonts w:hAnsi="標楷體" w:hint="eastAsia"/>
          <w:szCs w:val="32"/>
        </w:rPr>
        <w:t>履勘</w:t>
      </w:r>
      <w:r w:rsidR="00012204">
        <w:rPr>
          <w:rFonts w:hAnsi="標楷體" w:hint="eastAsia"/>
          <w:szCs w:val="32"/>
        </w:rPr>
        <w:t>青灣</w:t>
      </w:r>
      <w:r w:rsidR="00012204" w:rsidRPr="00D423A5">
        <w:rPr>
          <w:rFonts w:hAnsi="標楷體" w:hint="eastAsia"/>
          <w:szCs w:val="32"/>
        </w:rPr>
        <w:t>仙人掌公園、</w:t>
      </w:r>
      <w:r w:rsidR="00012204" w:rsidRPr="00012204">
        <w:rPr>
          <w:rFonts w:hAnsi="標楷體" w:hint="eastAsia"/>
          <w:szCs w:val="32"/>
        </w:rPr>
        <w:t>澎湖區漁會製冰冷凍廠</w:t>
      </w:r>
      <w:r w:rsidR="00012204">
        <w:rPr>
          <w:rFonts w:hAnsi="標楷體" w:hint="eastAsia"/>
          <w:szCs w:val="32"/>
        </w:rPr>
        <w:t>及</w:t>
      </w:r>
      <w:r w:rsidR="00012204" w:rsidRPr="00D423A5">
        <w:rPr>
          <w:rFonts w:hAnsi="標楷體" w:hint="eastAsia"/>
          <w:szCs w:val="32"/>
        </w:rPr>
        <w:t>大倉</w:t>
      </w:r>
      <w:r w:rsidR="00012204">
        <w:rPr>
          <w:rFonts w:hAnsi="標楷體" w:hint="eastAsia"/>
          <w:szCs w:val="32"/>
        </w:rPr>
        <w:t>觀光文化園區瞭解現況</w:t>
      </w:r>
      <w:r w:rsidR="00012204" w:rsidRPr="00D423A5">
        <w:rPr>
          <w:rFonts w:hAnsi="標楷體" w:hint="eastAsia"/>
          <w:szCs w:val="32"/>
        </w:rPr>
        <w:t>並聽取簡報</w:t>
      </w:r>
      <w:r w:rsidRPr="00D423A5">
        <w:rPr>
          <w:rFonts w:hAnsi="標楷體" w:hint="eastAsia"/>
          <w:szCs w:val="32"/>
        </w:rPr>
        <w:t>，</w:t>
      </w:r>
      <w:r w:rsidRPr="00D423A5">
        <w:rPr>
          <w:rFonts w:hAnsi="標楷體" w:hint="eastAsia"/>
        </w:rPr>
        <w:t>業已調查竣事，茲臚列調查意見如下：</w:t>
      </w:r>
    </w:p>
    <w:p w:rsidR="00C07ECB" w:rsidRPr="00C07ECB" w:rsidRDefault="00C07ECB" w:rsidP="00C07ECB">
      <w:pPr>
        <w:numPr>
          <w:ilvl w:val="1"/>
          <w:numId w:val="1"/>
        </w:numPr>
        <w:kinsoku w:val="0"/>
        <w:jc w:val="both"/>
        <w:outlineLvl w:val="1"/>
        <w:rPr>
          <w:rFonts w:ascii="標楷體" w:hAnsi="標楷體"/>
          <w:b/>
          <w:bCs/>
          <w:kern w:val="0"/>
          <w:szCs w:val="48"/>
        </w:rPr>
      </w:pPr>
      <w:bookmarkStart w:id="47" w:name="_Toc524895641"/>
      <w:bookmarkStart w:id="48" w:name="_Toc524896187"/>
      <w:bookmarkStart w:id="49" w:name="_Toc524896217"/>
      <w:bookmarkStart w:id="50" w:name="_Toc525066142"/>
      <w:bookmarkStart w:id="51" w:name="_Toc4316182"/>
      <w:bookmarkStart w:id="52" w:name="_Toc4473323"/>
      <w:bookmarkStart w:id="53" w:name="_Toc69556890"/>
      <w:bookmarkStart w:id="54" w:name="_Toc69556939"/>
      <w:bookmarkStart w:id="55" w:name="_Toc69609813"/>
      <w:bookmarkStart w:id="56" w:name="_Toc70241809"/>
      <w:bookmarkStart w:id="57" w:name="_Toc529218259"/>
      <w:bookmarkStart w:id="58" w:name="_Toc529222682"/>
      <w:bookmarkStart w:id="59" w:name="_Toc529223104"/>
      <w:bookmarkStart w:id="60" w:name="_Toc529223855"/>
      <w:bookmarkStart w:id="61" w:name="_Toc529228251"/>
      <w:bookmarkEnd w:id="47"/>
      <w:bookmarkEnd w:id="48"/>
      <w:bookmarkEnd w:id="49"/>
      <w:bookmarkEnd w:id="50"/>
      <w:bookmarkEnd w:id="51"/>
      <w:bookmarkEnd w:id="52"/>
      <w:bookmarkEnd w:id="53"/>
      <w:bookmarkEnd w:id="54"/>
      <w:bookmarkEnd w:id="55"/>
      <w:bookmarkEnd w:id="56"/>
      <w:r w:rsidRPr="00C07ECB">
        <w:rPr>
          <w:rFonts w:ascii="標楷體" w:hAnsi="標楷體" w:hint="eastAsia"/>
          <w:b/>
          <w:bCs/>
          <w:kern w:val="0"/>
          <w:szCs w:val="48"/>
        </w:rPr>
        <w:t>澎湖縣政府建設處、工務處及文化局連續5個年度</w:t>
      </w:r>
      <w:r w:rsidRPr="00C07ECB">
        <w:rPr>
          <w:rFonts w:ascii="標楷體" w:hAnsi="標楷體" w:hint="eastAsia"/>
          <w:b/>
          <w:bCs/>
          <w:kern w:val="0"/>
          <w:szCs w:val="32"/>
        </w:rPr>
        <w:t>（100-104年）</w:t>
      </w:r>
      <w:r w:rsidRPr="00C07ECB">
        <w:rPr>
          <w:rFonts w:ascii="標楷體" w:hAnsi="標楷體" w:hint="eastAsia"/>
          <w:b/>
          <w:bCs/>
          <w:kern w:val="0"/>
          <w:szCs w:val="48"/>
        </w:rPr>
        <w:t>預算實現數未達6成，105年度</w:t>
      </w:r>
      <w:r w:rsidRPr="00C07ECB">
        <w:rPr>
          <w:rFonts w:ascii="標楷體" w:hAnsi="標楷體" w:hint="eastAsia"/>
          <w:b/>
          <w:bCs/>
          <w:kern w:val="0"/>
          <w:szCs w:val="32"/>
        </w:rPr>
        <w:t>預算執行率</w:t>
      </w:r>
      <w:r w:rsidRPr="00C07ECB">
        <w:rPr>
          <w:rFonts w:ascii="標楷體" w:hAnsi="標楷體" w:hint="eastAsia"/>
          <w:b/>
          <w:bCs/>
          <w:kern w:val="0"/>
          <w:szCs w:val="48"/>
        </w:rPr>
        <w:t>除文化局</w:t>
      </w:r>
      <w:r w:rsidRPr="00C07ECB">
        <w:rPr>
          <w:rFonts w:ascii="標楷體" w:hAnsi="標楷體" w:hint="eastAsia"/>
          <w:b/>
          <w:bCs/>
          <w:kern w:val="0"/>
          <w:szCs w:val="32"/>
        </w:rPr>
        <w:t>已改善提高至70.59%，建設處仍僅</w:t>
      </w:r>
      <w:r w:rsidRPr="00C07ECB">
        <w:rPr>
          <w:rFonts w:ascii="標楷體" w:hAnsi="標楷體" w:hint="eastAsia"/>
          <w:b/>
          <w:bCs/>
          <w:kern w:val="0"/>
          <w:szCs w:val="32"/>
        </w:rPr>
        <w:lastRenderedPageBreak/>
        <w:t>32.58%、工務處36.79%，又旅遊處亦僅42.48%</w:t>
      </w:r>
      <w:r w:rsidRPr="00C07ECB">
        <w:rPr>
          <w:rFonts w:ascii="標楷體" w:hAnsi="標楷體" w:hint="eastAsia"/>
          <w:b/>
          <w:bCs/>
          <w:kern w:val="0"/>
          <w:szCs w:val="48"/>
        </w:rPr>
        <w:t>，均未能有效改善；另截至105年底，該府主管新臺幣3,000萬元以上重大公共建設計畫預算共34個，平均預算執行率僅31.31%，高達1</w:t>
      </w:r>
      <w:r w:rsidR="00870CD1">
        <w:rPr>
          <w:rFonts w:ascii="標楷體" w:hAnsi="標楷體" w:hint="eastAsia"/>
          <w:b/>
          <w:bCs/>
          <w:kern w:val="0"/>
          <w:szCs w:val="48"/>
        </w:rPr>
        <w:t>8</w:t>
      </w:r>
      <w:r w:rsidRPr="00C07ECB">
        <w:rPr>
          <w:rFonts w:ascii="標楷體" w:hAnsi="標楷體" w:hint="eastAsia"/>
          <w:b/>
          <w:bCs/>
          <w:kern w:val="0"/>
          <w:szCs w:val="48"/>
        </w:rPr>
        <w:t>個計畫執行率未達5成，預算執行率欠佳，足見該府預算編列與計畫執行脫節情形迄今仍未能有效改善，影響預算資源運用效能，核有違失。</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按預算以提供政府於一定期間完成作業所需經費為目的，此乃預算法第1條開宗明義揭示，準此，政府預算編列本為控管機關一定期間完成作業所需經費，透過預算來規劃及有效率的使用有限資源係編列預算之特定目的所在，且預算法第55條規定，各機關應按其法定預算，並依中央主計機關之規定編造歲入、歲出分配預算。前項分配預算，應依實施計畫按月或按期分配，均於預算實施前為之。又直轄市及縣(市)單位預算執行要點第2點規定各機關應依歲入、歲出分配預算及計畫進度切實嚴格執行，足見預算與計畫執行進度應妥為搭配，以能有效實現政府施政計畫目標。</w:t>
      </w:r>
    </w:p>
    <w:p w:rsidR="00C07ECB" w:rsidRPr="00C07ECB" w:rsidRDefault="00870CD1" w:rsidP="00C07ECB">
      <w:pPr>
        <w:numPr>
          <w:ilvl w:val="2"/>
          <w:numId w:val="1"/>
        </w:numPr>
        <w:kinsoku w:val="0"/>
        <w:jc w:val="both"/>
        <w:outlineLvl w:val="2"/>
        <w:rPr>
          <w:rFonts w:ascii="標楷體" w:hAnsi="標楷體"/>
          <w:bCs/>
          <w:kern w:val="0"/>
          <w:szCs w:val="36"/>
        </w:rPr>
      </w:pPr>
      <w:r>
        <w:rPr>
          <w:rFonts w:ascii="標楷體" w:hAnsi="標楷體" w:hint="eastAsia"/>
          <w:bCs/>
          <w:kern w:val="0"/>
          <w:szCs w:val="36"/>
        </w:rPr>
        <w:t>惟</w:t>
      </w:r>
      <w:r w:rsidR="00C07ECB" w:rsidRPr="00C07ECB">
        <w:rPr>
          <w:rFonts w:ascii="標楷體" w:hAnsi="標楷體" w:hint="eastAsia"/>
          <w:bCs/>
          <w:kern w:val="0"/>
          <w:szCs w:val="36"/>
        </w:rPr>
        <w:t>查澎湖縣政府除旅遊處外，建設</w:t>
      </w:r>
      <w:r>
        <w:rPr>
          <w:rFonts w:ascii="標楷體" w:hAnsi="標楷體" w:hint="eastAsia"/>
          <w:bCs/>
          <w:kern w:val="0"/>
          <w:szCs w:val="36"/>
        </w:rPr>
        <w:t>處</w:t>
      </w:r>
      <w:r w:rsidR="00C07ECB" w:rsidRPr="00C07ECB">
        <w:rPr>
          <w:rFonts w:ascii="標楷體" w:hAnsi="標楷體" w:hint="eastAsia"/>
          <w:bCs/>
          <w:kern w:val="0"/>
          <w:szCs w:val="36"/>
        </w:rPr>
        <w:t>、工務</w:t>
      </w:r>
      <w:r>
        <w:rPr>
          <w:rFonts w:ascii="標楷體" w:hAnsi="標楷體" w:hint="eastAsia"/>
          <w:bCs/>
          <w:kern w:val="0"/>
          <w:szCs w:val="36"/>
        </w:rPr>
        <w:t>處</w:t>
      </w:r>
      <w:r w:rsidR="00C07ECB" w:rsidRPr="00C07ECB">
        <w:rPr>
          <w:rFonts w:ascii="標楷體" w:hAnsi="標楷體" w:hint="eastAsia"/>
          <w:bCs/>
          <w:kern w:val="0"/>
          <w:szCs w:val="36"/>
        </w:rPr>
        <w:t>及文化</w:t>
      </w:r>
      <w:r>
        <w:rPr>
          <w:rFonts w:ascii="標楷體" w:hAnsi="標楷體" w:hint="eastAsia"/>
          <w:bCs/>
          <w:kern w:val="0"/>
          <w:szCs w:val="36"/>
        </w:rPr>
        <w:t>局</w:t>
      </w:r>
      <w:r w:rsidR="00C07ECB" w:rsidRPr="00C07ECB">
        <w:rPr>
          <w:rFonts w:ascii="標楷體" w:hAnsi="標楷體" w:hint="eastAsia"/>
          <w:bCs/>
          <w:kern w:val="0"/>
          <w:szCs w:val="36"/>
        </w:rPr>
        <w:t>連續5個年度（100至104年）預算實現數未達6成，</w:t>
      </w:r>
      <w:r w:rsidR="00C07ECB" w:rsidRPr="00C07ECB">
        <w:rPr>
          <w:rFonts w:ascii="標楷體" w:hAnsi="標楷體"/>
          <w:bCs/>
          <w:kern w:val="0"/>
          <w:szCs w:val="32"/>
        </w:rPr>
        <w:t>預算編列與計畫執行脫節情形迄</w:t>
      </w:r>
      <w:r w:rsidR="00C07ECB" w:rsidRPr="00C07ECB">
        <w:rPr>
          <w:rFonts w:ascii="標楷體" w:hAnsi="標楷體"/>
          <w:bCs/>
          <w:kern w:val="0"/>
          <w:szCs w:val="36"/>
        </w:rPr>
        <w:t>未能</w:t>
      </w:r>
      <w:r w:rsidR="00C07ECB" w:rsidRPr="00C07ECB">
        <w:rPr>
          <w:rFonts w:ascii="標楷體" w:hAnsi="標楷體"/>
          <w:bCs/>
          <w:kern w:val="0"/>
          <w:szCs w:val="32"/>
        </w:rPr>
        <w:t>有效改善</w:t>
      </w:r>
      <w:r w:rsidR="00C07ECB" w:rsidRPr="00C07ECB">
        <w:rPr>
          <w:rFonts w:ascii="標楷體" w:hAnsi="標楷體" w:hint="eastAsia"/>
          <w:bCs/>
          <w:kern w:val="0"/>
          <w:szCs w:val="32"/>
        </w:rPr>
        <w:t>，該等單位預算執行率經彙整</w:t>
      </w:r>
      <w:r w:rsidR="00C07ECB" w:rsidRPr="00C07ECB">
        <w:rPr>
          <w:rFonts w:ascii="標楷體" w:hAnsi="標楷體" w:hint="eastAsia"/>
          <w:bCs/>
          <w:kern w:val="0"/>
          <w:szCs w:val="36"/>
        </w:rPr>
        <w:t>詳如下表13，審計部澎湖</w:t>
      </w:r>
      <w:r w:rsidR="00520562">
        <w:rPr>
          <w:rFonts w:ascii="標楷體" w:hAnsi="標楷體" w:hint="eastAsia"/>
          <w:bCs/>
          <w:kern w:val="0"/>
          <w:szCs w:val="36"/>
        </w:rPr>
        <w:t>縣</w:t>
      </w:r>
      <w:r w:rsidR="00C07ECB" w:rsidRPr="00C07ECB">
        <w:rPr>
          <w:rFonts w:ascii="標楷體" w:hAnsi="標楷體" w:hint="eastAsia"/>
          <w:bCs/>
          <w:kern w:val="0"/>
          <w:szCs w:val="36"/>
        </w:rPr>
        <w:t>審計室長期以來亦不斷提出審核意見請該府確實改善。</w:t>
      </w:r>
    </w:p>
    <w:p w:rsidR="00C07ECB" w:rsidRPr="00C07ECB" w:rsidRDefault="00C07ECB" w:rsidP="00C07ECB">
      <w:pPr>
        <w:kinsoku w:val="0"/>
        <w:ind w:left="696"/>
        <w:jc w:val="both"/>
        <w:outlineLvl w:val="2"/>
        <w:rPr>
          <w:rFonts w:ascii="標楷體" w:hAnsi="標楷體"/>
          <w:bCs/>
          <w:kern w:val="0"/>
          <w:szCs w:val="36"/>
        </w:rPr>
      </w:pPr>
    </w:p>
    <w:p w:rsidR="00C07ECB" w:rsidRPr="00C07ECB" w:rsidRDefault="00C07ECB" w:rsidP="00C07ECB">
      <w:pPr>
        <w:kinsoku w:val="0"/>
        <w:ind w:leftChars="-33" w:left="-13" w:hangingChars="33" w:hanging="99"/>
        <w:jc w:val="both"/>
        <w:outlineLvl w:val="0"/>
        <w:rPr>
          <w:rFonts w:ascii="標楷體" w:hAnsi="Arial"/>
          <w:b/>
          <w:bCs/>
          <w:kern w:val="0"/>
          <w:sz w:val="28"/>
          <w:szCs w:val="28"/>
        </w:rPr>
      </w:pPr>
      <w:r w:rsidRPr="00C07ECB">
        <w:rPr>
          <w:rFonts w:ascii="標楷體" w:hAnsi="Arial" w:hint="eastAsia"/>
          <w:b/>
          <w:bCs/>
          <w:kern w:val="0"/>
          <w:sz w:val="28"/>
          <w:szCs w:val="28"/>
        </w:rPr>
        <w:t>表13、100-104年度澎湖縣政府建設</w:t>
      </w:r>
      <w:r w:rsidR="00B07012">
        <w:rPr>
          <w:rFonts w:ascii="標楷體" w:hAnsi="Arial" w:hint="eastAsia"/>
          <w:b/>
          <w:bCs/>
          <w:kern w:val="0"/>
          <w:sz w:val="28"/>
          <w:szCs w:val="28"/>
        </w:rPr>
        <w:t>處</w:t>
      </w:r>
      <w:r w:rsidRPr="00C07ECB">
        <w:rPr>
          <w:rFonts w:ascii="標楷體" w:hAnsi="Arial" w:hint="eastAsia"/>
          <w:b/>
          <w:bCs/>
          <w:kern w:val="0"/>
          <w:sz w:val="28"/>
          <w:szCs w:val="28"/>
        </w:rPr>
        <w:t>等</w:t>
      </w:r>
      <w:r w:rsidR="00B07012">
        <w:rPr>
          <w:rFonts w:ascii="標楷體" w:hAnsi="Arial" w:hint="eastAsia"/>
          <w:b/>
          <w:bCs/>
          <w:kern w:val="0"/>
          <w:sz w:val="28"/>
          <w:szCs w:val="28"/>
        </w:rPr>
        <w:t>單位</w:t>
      </w:r>
      <w:r w:rsidRPr="00C07ECB">
        <w:rPr>
          <w:rFonts w:ascii="標楷體" w:hAnsi="Arial" w:hint="eastAsia"/>
          <w:b/>
          <w:bCs/>
          <w:kern w:val="0"/>
          <w:sz w:val="28"/>
          <w:szCs w:val="28"/>
        </w:rPr>
        <w:t>預算執行率</w:t>
      </w:r>
    </w:p>
    <w:p w:rsidR="00C07ECB" w:rsidRPr="00C07ECB" w:rsidRDefault="00C07ECB" w:rsidP="00C07ECB">
      <w:pPr>
        <w:kinsoku w:val="0"/>
        <w:ind w:left="2411" w:firstLineChars="1800" w:firstLine="5403"/>
        <w:jc w:val="both"/>
        <w:outlineLvl w:val="0"/>
        <w:rPr>
          <w:rFonts w:ascii="標楷體" w:hAnsi="Arial"/>
          <w:bCs/>
          <w:kern w:val="0"/>
          <w:sz w:val="28"/>
          <w:szCs w:val="28"/>
        </w:rPr>
      </w:pPr>
      <w:r w:rsidRPr="00C07ECB">
        <w:rPr>
          <w:rFonts w:ascii="標楷體" w:hAnsi="Arial" w:hint="eastAsia"/>
          <w:bCs/>
          <w:kern w:val="0"/>
          <w:sz w:val="28"/>
          <w:szCs w:val="28"/>
        </w:rPr>
        <w:t>單位：%</w:t>
      </w:r>
    </w:p>
    <w:tbl>
      <w:tblPr>
        <w:tblStyle w:val="af8"/>
        <w:tblW w:w="9356" w:type="dxa"/>
        <w:tblInd w:w="108" w:type="dxa"/>
        <w:tblLook w:val="04A0" w:firstRow="1" w:lastRow="0" w:firstColumn="1" w:lastColumn="0" w:noHBand="0" w:noVBand="1"/>
      </w:tblPr>
      <w:tblGrid>
        <w:gridCol w:w="1276"/>
        <w:gridCol w:w="1559"/>
        <w:gridCol w:w="1560"/>
        <w:gridCol w:w="1559"/>
        <w:gridCol w:w="1603"/>
        <w:gridCol w:w="1799"/>
      </w:tblGrid>
      <w:tr w:rsidR="00C07ECB" w:rsidRPr="00C07ECB" w:rsidTr="00A14B3F">
        <w:trPr>
          <w:trHeight w:val="667"/>
          <w:tblHeader/>
        </w:trPr>
        <w:tc>
          <w:tcPr>
            <w:tcW w:w="1276" w:type="dxa"/>
            <w:vAlign w:val="center"/>
          </w:tcPr>
          <w:p w:rsidR="00C07ECB" w:rsidRPr="00C07ECB" w:rsidRDefault="00B07012" w:rsidP="00C07ECB">
            <w:pPr>
              <w:jc w:val="center"/>
              <w:outlineLvl w:val="2"/>
              <w:rPr>
                <w:rFonts w:ascii="標楷體" w:hAnsi="標楷體"/>
                <w:b/>
                <w:bCs/>
                <w:kern w:val="0"/>
                <w:sz w:val="28"/>
                <w:szCs w:val="28"/>
              </w:rPr>
            </w:pPr>
            <w:r>
              <w:rPr>
                <w:rFonts w:ascii="標楷體" w:hAnsi="標楷體" w:hint="eastAsia"/>
                <w:b/>
                <w:bCs/>
                <w:kern w:val="0"/>
                <w:sz w:val="28"/>
                <w:szCs w:val="28"/>
              </w:rPr>
              <w:lastRenderedPageBreak/>
              <w:t>單位</w:t>
            </w:r>
          </w:p>
        </w:tc>
        <w:tc>
          <w:tcPr>
            <w:tcW w:w="1559" w:type="dxa"/>
            <w:vAlign w:val="center"/>
          </w:tcPr>
          <w:p w:rsidR="00C07ECB" w:rsidRPr="00C07ECB" w:rsidRDefault="00C07ECB" w:rsidP="00C07ECB">
            <w:pPr>
              <w:jc w:val="center"/>
              <w:outlineLvl w:val="2"/>
              <w:rPr>
                <w:rFonts w:ascii="標楷體" w:hAnsi="標楷體"/>
                <w:b/>
                <w:bCs/>
                <w:kern w:val="0"/>
                <w:sz w:val="28"/>
                <w:szCs w:val="28"/>
              </w:rPr>
            </w:pPr>
            <w:r w:rsidRPr="00C07ECB">
              <w:rPr>
                <w:rFonts w:ascii="標楷體" w:hAnsi="標楷體" w:hint="eastAsia"/>
                <w:b/>
                <w:bCs/>
                <w:kern w:val="0"/>
                <w:sz w:val="28"/>
                <w:szCs w:val="28"/>
              </w:rPr>
              <w:t>100年度</w:t>
            </w:r>
          </w:p>
        </w:tc>
        <w:tc>
          <w:tcPr>
            <w:tcW w:w="1560" w:type="dxa"/>
            <w:vAlign w:val="center"/>
          </w:tcPr>
          <w:p w:rsidR="00C07ECB" w:rsidRPr="00C07ECB" w:rsidRDefault="00C07ECB" w:rsidP="00C07ECB">
            <w:pPr>
              <w:jc w:val="center"/>
              <w:outlineLvl w:val="2"/>
              <w:rPr>
                <w:rFonts w:ascii="標楷體" w:hAnsi="標楷體"/>
                <w:b/>
                <w:bCs/>
                <w:kern w:val="0"/>
                <w:sz w:val="28"/>
                <w:szCs w:val="28"/>
              </w:rPr>
            </w:pPr>
            <w:r w:rsidRPr="00C07ECB">
              <w:rPr>
                <w:rFonts w:ascii="標楷體" w:hAnsi="標楷體" w:hint="eastAsia"/>
                <w:b/>
                <w:bCs/>
                <w:kern w:val="0"/>
                <w:sz w:val="28"/>
                <w:szCs w:val="28"/>
              </w:rPr>
              <w:t>101年度</w:t>
            </w:r>
          </w:p>
        </w:tc>
        <w:tc>
          <w:tcPr>
            <w:tcW w:w="1559" w:type="dxa"/>
            <w:vAlign w:val="center"/>
          </w:tcPr>
          <w:p w:rsidR="00C07ECB" w:rsidRPr="00C07ECB" w:rsidRDefault="00C07ECB" w:rsidP="00C07ECB">
            <w:pPr>
              <w:jc w:val="center"/>
              <w:outlineLvl w:val="2"/>
              <w:rPr>
                <w:rFonts w:ascii="標楷體" w:hAnsi="標楷體"/>
                <w:b/>
                <w:bCs/>
                <w:kern w:val="0"/>
                <w:sz w:val="28"/>
                <w:szCs w:val="28"/>
              </w:rPr>
            </w:pPr>
            <w:r w:rsidRPr="00C07ECB">
              <w:rPr>
                <w:rFonts w:ascii="標楷體" w:hAnsi="標楷體" w:hint="eastAsia"/>
                <w:b/>
                <w:bCs/>
                <w:kern w:val="0"/>
                <w:sz w:val="28"/>
                <w:szCs w:val="28"/>
              </w:rPr>
              <w:t>102年度</w:t>
            </w:r>
          </w:p>
        </w:tc>
        <w:tc>
          <w:tcPr>
            <w:tcW w:w="1603" w:type="dxa"/>
            <w:vAlign w:val="center"/>
          </w:tcPr>
          <w:p w:rsidR="00C07ECB" w:rsidRPr="00C07ECB" w:rsidRDefault="00C07ECB" w:rsidP="00C07ECB">
            <w:pPr>
              <w:jc w:val="center"/>
              <w:outlineLvl w:val="2"/>
              <w:rPr>
                <w:rFonts w:ascii="標楷體" w:hAnsi="標楷體"/>
                <w:b/>
                <w:bCs/>
                <w:kern w:val="0"/>
                <w:sz w:val="28"/>
                <w:szCs w:val="28"/>
              </w:rPr>
            </w:pPr>
            <w:r w:rsidRPr="00C07ECB">
              <w:rPr>
                <w:rFonts w:ascii="標楷體" w:hAnsi="標楷體" w:hint="eastAsia"/>
                <w:b/>
                <w:bCs/>
                <w:kern w:val="0"/>
                <w:sz w:val="28"/>
                <w:szCs w:val="28"/>
              </w:rPr>
              <w:t>103年度</w:t>
            </w:r>
          </w:p>
        </w:tc>
        <w:tc>
          <w:tcPr>
            <w:tcW w:w="1799" w:type="dxa"/>
            <w:vAlign w:val="center"/>
          </w:tcPr>
          <w:p w:rsidR="00C07ECB" w:rsidRPr="00C07ECB" w:rsidRDefault="00C07ECB" w:rsidP="00C07ECB">
            <w:pPr>
              <w:jc w:val="center"/>
              <w:outlineLvl w:val="2"/>
              <w:rPr>
                <w:rFonts w:ascii="標楷體" w:hAnsi="標楷體"/>
                <w:b/>
                <w:bCs/>
                <w:kern w:val="0"/>
                <w:sz w:val="28"/>
                <w:szCs w:val="28"/>
              </w:rPr>
            </w:pPr>
            <w:r w:rsidRPr="00C07ECB">
              <w:rPr>
                <w:rFonts w:ascii="標楷體" w:hAnsi="標楷體" w:hint="eastAsia"/>
                <w:b/>
                <w:bCs/>
                <w:kern w:val="0"/>
                <w:sz w:val="28"/>
                <w:szCs w:val="28"/>
              </w:rPr>
              <w:t>104年度</w:t>
            </w:r>
          </w:p>
        </w:tc>
      </w:tr>
      <w:tr w:rsidR="00C07ECB" w:rsidRPr="00C07ECB" w:rsidTr="00A14B3F">
        <w:trPr>
          <w:trHeight w:val="386"/>
        </w:trPr>
        <w:tc>
          <w:tcPr>
            <w:tcW w:w="1276" w:type="dxa"/>
            <w:vAlign w:val="center"/>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建設處</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9.18</w:t>
            </w:r>
          </w:p>
        </w:tc>
        <w:tc>
          <w:tcPr>
            <w:tcW w:w="1560"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13.09</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18.01</w:t>
            </w:r>
          </w:p>
        </w:tc>
        <w:tc>
          <w:tcPr>
            <w:tcW w:w="1603"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12.64</w:t>
            </w:r>
          </w:p>
        </w:tc>
        <w:tc>
          <w:tcPr>
            <w:tcW w:w="179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22.50</w:t>
            </w:r>
          </w:p>
        </w:tc>
      </w:tr>
      <w:tr w:rsidR="00C07ECB" w:rsidRPr="00C07ECB" w:rsidTr="00A14B3F">
        <w:trPr>
          <w:trHeight w:val="405"/>
        </w:trPr>
        <w:tc>
          <w:tcPr>
            <w:tcW w:w="1276" w:type="dxa"/>
            <w:vAlign w:val="center"/>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工務處</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52.07</w:t>
            </w:r>
          </w:p>
        </w:tc>
        <w:tc>
          <w:tcPr>
            <w:tcW w:w="1560"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29.28</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39.68</w:t>
            </w:r>
          </w:p>
        </w:tc>
        <w:tc>
          <w:tcPr>
            <w:tcW w:w="1603"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56.03</w:t>
            </w:r>
          </w:p>
        </w:tc>
        <w:tc>
          <w:tcPr>
            <w:tcW w:w="179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21.48</w:t>
            </w:r>
          </w:p>
        </w:tc>
      </w:tr>
      <w:tr w:rsidR="00C07ECB" w:rsidRPr="00C07ECB" w:rsidTr="00A14B3F">
        <w:trPr>
          <w:trHeight w:val="425"/>
        </w:trPr>
        <w:tc>
          <w:tcPr>
            <w:tcW w:w="1276" w:type="dxa"/>
            <w:vAlign w:val="center"/>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旅遊處</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65.86</w:t>
            </w:r>
          </w:p>
        </w:tc>
        <w:tc>
          <w:tcPr>
            <w:tcW w:w="1560"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70.95</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73.52</w:t>
            </w:r>
          </w:p>
        </w:tc>
        <w:tc>
          <w:tcPr>
            <w:tcW w:w="1603"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57.54</w:t>
            </w:r>
          </w:p>
        </w:tc>
        <w:tc>
          <w:tcPr>
            <w:tcW w:w="179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48.75</w:t>
            </w:r>
          </w:p>
        </w:tc>
      </w:tr>
      <w:tr w:rsidR="00C07ECB" w:rsidRPr="00C07ECB" w:rsidTr="00A14B3F">
        <w:trPr>
          <w:trHeight w:val="418"/>
        </w:trPr>
        <w:tc>
          <w:tcPr>
            <w:tcW w:w="1276" w:type="dxa"/>
            <w:vAlign w:val="center"/>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文化局</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51.25</w:t>
            </w:r>
          </w:p>
        </w:tc>
        <w:tc>
          <w:tcPr>
            <w:tcW w:w="1560"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57.62</w:t>
            </w:r>
          </w:p>
        </w:tc>
        <w:tc>
          <w:tcPr>
            <w:tcW w:w="155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57.46</w:t>
            </w:r>
          </w:p>
        </w:tc>
        <w:tc>
          <w:tcPr>
            <w:tcW w:w="1603"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45.41</w:t>
            </w:r>
          </w:p>
        </w:tc>
        <w:tc>
          <w:tcPr>
            <w:tcW w:w="1799" w:type="dxa"/>
            <w:vAlign w:val="center"/>
          </w:tcPr>
          <w:p w:rsidR="00C07ECB" w:rsidRPr="00C07ECB" w:rsidRDefault="00C07ECB" w:rsidP="00C07ECB">
            <w:pPr>
              <w:jc w:val="right"/>
              <w:rPr>
                <w:rFonts w:ascii="標楷體" w:hAnsi="標楷體"/>
                <w:sz w:val="28"/>
                <w:szCs w:val="28"/>
              </w:rPr>
            </w:pPr>
            <w:r w:rsidRPr="00C07ECB">
              <w:rPr>
                <w:rFonts w:ascii="標楷體" w:hAnsi="標楷體"/>
                <w:sz w:val="28"/>
                <w:szCs w:val="28"/>
              </w:rPr>
              <w:t>40.66</w:t>
            </w:r>
          </w:p>
        </w:tc>
      </w:tr>
    </w:tbl>
    <w:p w:rsidR="00C07ECB" w:rsidRPr="00C07ECB" w:rsidRDefault="00C07ECB" w:rsidP="00C07ECB">
      <w:pPr>
        <w:kinsoku w:val="0"/>
        <w:ind w:leftChars="-43" w:left="-146" w:firstLineChars="50" w:firstLine="150"/>
        <w:jc w:val="both"/>
        <w:outlineLvl w:val="0"/>
        <w:rPr>
          <w:rFonts w:ascii="標楷體" w:hAnsi="Arial"/>
          <w:bCs/>
          <w:kern w:val="0"/>
          <w:sz w:val="28"/>
          <w:szCs w:val="28"/>
        </w:rPr>
      </w:pPr>
      <w:r w:rsidRPr="00C07ECB">
        <w:rPr>
          <w:rFonts w:ascii="標楷體" w:hAnsi="Arial" w:hint="eastAsia"/>
          <w:bCs/>
          <w:kern w:val="0"/>
          <w:sz w:val="28"/>
          <w:szCs w:val="28"/>
        </w:rPr>
        <w:t>資</w:t>
      </w:r>
      <w:r w:rsidRPr="00C07ECB">
        <w:rPr>
          <w:rFonts w:ascii="標楷體" w:hAnsi="Arial" w:hint="eastAsia"/>
          <w:bCs/>
          <w:kern w:val="0"/>
          <w:sz w:val="24"/>
          <w:szCs w:val="24"/>
        </w:rPr>
        <w:t>料來源：審計部104年度決算審核報告。</w:t>
      </w:r>
    </w:p>
    <w:p w:rsidR="00C07ECB" w:rsidRPr="00C07ECB" w:rsidRDefault="00C07ECB" w:rsidP="00C07ECB">
      <w:pPr>
        <w:kinsoku w:val="0"/>
        <w:ind w:leftChars="-43" w:left="-146" w:firstLineChars="50" w:firstLine="150"/>
        <w:jc w:val="both"/>
        <w:outlineLvl w:val="0"/>
        <w:rPr>
          <w:rFonts w:ascii="標楷體" w:hAnsi="Arial"/>
          <w:bCs/>
          <w:kern w:val="0"/>
          <w:sz w:val="28"/>
          <w:szCs w:val="28"/>
        </w:rPr>
      </w:pP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本院為</w:t>
      </w:r>
      <w:r w:rsidRPr="00C07ECB">
        <w:rPr>
          <w:rFonts w:ascii="標楷體" w:hAnsi="標楷體" w:hint="eastAsia"/>
          <w:bCs/>
          <w:kern w:val="0"/>
          <w:szCs w:val="32"/>
        </w:rPr>
        <w:t>瞭解</w:t>
      </w:r>
      <w:r w:rsidRPr="00C07ECB">
        <w:rPr>
          <w:rFonts w:ascii="標楷體" w:hAnsi="Arial" w:hint="eastAsia"/>
          <w:bCs/>
          <w:kern w:val="0"/>
          <w:szCs w:val="36"/>
        </w:rPr>
        <w:t>澎湖縣政府就審計部意見賡續辦理情形，經請該府</w:t>
      </w:r>
      <w:r w:rsidRPr="00C07ECB">
        <w:rPr>
          <w:rFonts w:ascii="標楷體" w:hAnsi="標楷體" w:hint="eastAsia"/>
          <w:bCs/>
          <w:kern w:val="0"/>
          <w:szCs w:val="36"/>
        </w:rPr>
        <w:t>提供</w:t>
      </w:r>
      <w:r w:rsidRPr="00C07ECB">
        <w:rPr>
          <w:rFonts w:ascii="標楷體" w:hAnsi="標楷體" w:hint="eastAsia"/>
          <w:bCs/>
          <w:kern w:val="0"/>
          <w:szCs w:val="32"/>
        </w:rPr>
        <w:t>105</w:t>
      </w:r>
      <w:r w:rsidRPr="00C07ECB">
        <w:rPr>
          <w:rFonts w:ascii="標楷體" w:hAnsi="標楷體" w:hint="eastAsia"/>
          <w:bCs/>
          <w:kern w:val="0"/>
          <w:szCs w:val="36"/>
        </w:rPr>
        <w:t>年度各局</w:t>
      </w:r>
      <w:r w:rsidR="00870CD1">
        <w:rPr>
          <w:rFonts w:ascii="標楷體" w:hAnsi="標楷體" w:hint="eastAsia"/>
          <w:bCs/>
          <w:kern w:val="0"/>
          <w:szCs w:val="36"/>
        </w:rPr>
        <w:t>（</w:t>
      </w:r>
      <w:r w:rsidRPr="00C07ECB">
        <w:rPr>
          <w:rFonts w:ascii="標楷體" w:hAnsi="標楷體" w:hint="eastAsia"/>
          <w:bCs/>
          <w:kern w:val="0"/>
          <w:szCs w:val="36"/>
        </w:rPr>
        <w:t>處</w:t>
      </w:r>
      <w:r w:rsidR="00870CD1">
        <w:rPr>
          <w:rFonts w:ascii="標楷體" w:hAnsi="標楷體" w:hint="eastAsia"/>
          <w:bCs/>
          <w:kern w:val="0"/>
          <w:szCs w:val="36"/>
        </w:rPr>
        <w:t>）</w:t>
      </w:r>
      <w:r w:rsidRPr="00C07ECB">
        <w:rPr>
          <w:rFonts w:ascii="標楷體" w:hAnsi="標楷體" w:hint="eastAsia"/>
          <w:bCs/>
          <w:kern w:val="0"/>
          <w:szCs w:val="36"/>
        </w:rPr>
        <w:t>歲出預算執行率，詳如下表14，由表內數據資料</w:t>
      </w:r>
      <w:r w:rsidR="00870CD1">
        <w:rPr>
          <w:rFonts w:ascii="標楷體" w:hAnsi="標楷體" w:hint="eastAsia"/>
          <w:bCs/>
          <w:kern w:val="0"/>
          <w:szCs w:val="36"/>
        </w:rPr>
        <w:t>分析</w:t>
      </w:r>
      <w:r w:rsidRPr="00C07ECB">
        <w:rPr>
          <w:rFonts w:ascii="標楷體" w:hAnsi="標楷體" w:hint="eastAsia"/>
          <w:bCs/>
          <w:kern w:val="0"/>
          <w:szCs w:val="36"/>
        </w:rPr>
        <w:t>可見，除文化局預算執行率由104年度之40.66%提高至70.59%，已見改善外，建設處之預算執行率仍僅32.58%、工務處36.79%，另旅遊處亦僅42.48%，執行率均欠佳，顯見該等單位迄105年度，預算編列與計畫執行脫節情形仍未能有效改善。</w:t>
      </w:r>
    </w:p>
    <w:p w:rsidR="00C07ECB" w:rsidRPr="00C07ECB" w:rsidRDefault="00C07ECB" w:rsidP="00C07ECB">
      <w:pPr>
        <w:kinsoku w:val="0"/>
        <w:ind w:left="3110" w:hanging="699"/>
        <w:jc w:val="both"/>
        <w:outlineLvl w:val="0"/>
        <w:rPr>
          <w:rFonts w:ascii="標楷體" w:hAnsi="Arial"/>
          <w:bCs/>
          <w:kern w:val="0"/>
          <w:szCs w:val="52"/>
        </w:rPr>
      </w:pPr>
    </w:p>
    <w:p w:rsidR="00C07ECB" w:rsidRPr="00C07ECB" w:rsidRDefault="00C07ECB" w:rsidP="00C07ECB">
      <w:pPr>
        <w:kinsoku w:val="0"/>
        <w:ind w:left="1134" w:hanging="1134"/>
        <w:jc w:val="both"/>
        <w:outlineLvl w:val="0"/>
        <w:rPr>
          <w:rFonts w:ascii="標楷體" w:hAnsi="標楷體"/>
          <w:b/>
          <w:bCs/>
          <w:kern w:val="0"/>
          <w:sz w:val="28"/>
          <w:szCs w:val="28"/>
        </w:rPr>
      </w:pPr>
      <w:r w:rsidRPr="00C07ECB">
        <w:rPr>
          <w:rFonts w:ascii="標楷體" w:hAnsi="標楷體" w:hint="eastAsia"/>
          <w:b/>
          <w:bCs/>
          <w:kern w:val="0"/>
          <w:sz w:val="28"/>
          <w:szCs w:val="28"/>
        </w:rPr>
        <w:t>表14、105年度澎湖縣政府建設</w:t>
      </w:r>
      <w:r w:rsidR="00B07012">
        <w:rPr>
          <w:rFonts w:ascii="標楷體" w:hAnsi="標楷體" w:hint="eastAsia"/>
          <w:b/>
          <w:bCs/>
          <w:kern w:val="0"/>
          <w:sz w:val="28"/>
          <w:szCs w:val="28"/>
        </w:rPr>
        <w:t>處等單位</w:t>
      </w:r>
      <w:r w:rsidRPr="00C07ECB">
        <w:rPr>
          <w:rFonts w:ascii="標楷體" w:hAnsi="標楷體" w:hint="eastAsia"/>
          <w:b/>
          <w:bCs/>
          <w:kern w:val="0"/>
          <w:sz w:val="28"/>
          <w:szCs w:val="28"/>
        </w:rPr>
        <w:t>預算執行率</w:t>
      </w:r>
    </w:p>
    <w:p w:rsidR="00C07ECB" w:rsidRPr="00870CD1" w:rsidRDefault="00C07ECB" w:rsidP="00870CD1">
      <w:pPr>
        <w:kinsoku w:val="0"/>
        <w:ind w:leftChars="50" w:left="170" w:firstLineChars="2522" w:firstLine="6561"/>
        <w:jc w:val="both"/>
        <w:outlineLvl w:val="0"/>
        <w:rPr>
          <w:rFonts w:ascii="標楷體" w:hAnsi="標楷體"/>
          <w:bCs/>
          <w:kern w:val="0"/>
          <w:sz w:val="24"/>
          <w:szCs w:val="24"/>
        </w:rPr>
      </w:pPr>
      <w:r w:rsidRPr="00870CD1">
        <w:rPr>
          <w:rFonts w:ascii="標楷體" w:hAnsi="標楷體" w:hint="eastAsia"/>
          <w:bCs/>
          <w:kern w:val="0"/>
          <w:sz w:val="24"/>
          <w:szCs w:val="24"/>
        </w:rPr>
        <w:t>單位：新臺幣元；%</w:t>
      </w:r>
    </w:p>
    <w:tbl>
      <w:tblPr>
        <w:tblW w:w="9639" w:type="dxa"/>
        <w:tblInd w:w="28" w:type="dxa"/>
        <w:tblCellMar>
          <w:left w:w="28" w:type="dxa"/>
          <w:right w:w="28" w:type="dxa"/>
        </w:tblCellMar>
        <w:tblLook w:val="04A0" w:firstRow="1" w:lastRow="0" w:firstColumn="1" w:lastColumn="0" w:noHBand="0" w:noVBand="1"/>
      </w:tblPr>
      <w:tblGrid>
        <w:gridCol w:w="1250"/>
        <w:gridCol w:w="1927"/>
        <w:gridCol w:w="1984"/>
        <w:gridCol w:w="1276"/>
        <w:gridCol w:w="1927"/>
        <w:gridCol w:w="1275"/>
      </w:tblGrid>
      <w:tr w:rsidR="00C07ECB" w:rsidRPr="00C07ECB" w:rsidTr="00A14B3F">
        <w:trPr>
          <w:trHeight w:val="884"/>
          <w:tblHeader/>
        </w:trPr>
        <w:tc>
          <w:tcPr>
            <w:tcW w:w="1250" w:type="dxa"/>
            <w:tcBorders>
              <w:top w:val="single" w:sz="4" w:space="0" w:color="auto"/>
              <w:left w:val="single" w:sz="8" w:space="0" w:color="auto"/>
              <w:bottom w:val="single" w:sz="4" w:space="0" w:color="000000"/>
              <w:right w:val="single" w:sz="4" w:space="0" w:color="auto"/>
              <w:tl2br w:val="single" w:sz="4" w:space="0" w:color="auto"/>
            </w:tcBorders>
            <w:shd w:val="clear" w:color="auto" w:fill="auto"/>
            <w:vAlign w:val="center"/>
          </w:tcPr>
          <w:p w:rsidR="00C07ECB" w:rsidRPr="00C07ECB" w:rsidRDefault="00C07ECB" w:rsidP="00C07ECB">
            <w:pPr>
              <w:widowControl/>
              <w:ind w:firstLineChars="132" w:firstLine="397"/>
              <w:rPr>
                <w:rFonts w:ascii="標楷體" w:hAnsi="標楷體" w:cs="新細明體"/>
                <w:b/>
                <w:bCs/>
                <w:kern w:val="0"/>
                <w:sz w:val="28"/>
                <w:szCs w:val="28"/>
              </w:rPr>
            </w:pPr>
            <w:r w:rsidRPr="00C07ECB">
              <w:rPr>
                <w:rFonts w:ascii="標楷體" w:hAnsi="標楷體" w:cs="新細明體" w:hint="eastAsia"/>
                <w:b/>
                <w:bCs/>
                <w:kern w:val="0"/>
                <w:sz w:val="28"/>
                <w:szCs w:val="28"/>
              </w:rPr>
              <w:t>項目</w:t>
            </w:r>
          </w:p>
          <w:p w:rsidR="00C07ECB" w:rsidRPr="00C07ECB" w:rsidRDefault="00C07ECB" w:rsidP="00C07ECB">
            <w:pPr>
              <w:widowControl/>
              <w:rPr>
                <w:rFonts w:ascii="標楷體" w:hAnsi="標楷體" w:cs="新細明體"/>
                <w:b/>
                <w:bCs/>
                <w:kern w:val="0"/>
                <w:sz w:val="28"/>
                <w:szCs w:val="28"/>
              </w:rPr>
            </w:pPr>
          </w:p>
          <w:p w:rsidR="00C07ECB" w:rsidRPr="00C07ECB" w:rsidRDefault="00B07012" w:rsidP="00C07ECB">
            <w:pPr>
              <w:widowControl/>
              <w:rPr>
                <w:rFonts w:ascii="標楷體" w:hAnsi="標楷體" w:cs="新細明體"/>
                <w:b/>
                <w:bCs/>
                <w:kern w:val="0"/>
                <w:sz w:val="28"/>
                <w:szCs w:val="28"/>
              </w:rPr>
            </w:pPr>
            <w:r>
              <w:rPr>
                <w:rFonts w:ascii="標楷體" w:hAnsi="標楷體" w:cs="新細明體" w:hint="eastAsia"/>
                <w:b/>
                <w:bCs/>
                <w:kern w:val="0"/>
                <w:sz w:val="28"/>
                <w:szCs w:val="28"/>
              </w:rPr>
              <w:t>單位</w:t>
            </w:r>
          </w:p>
        </w:tc>
        <w:tc>
          <w:tcPr>
            <w:tcW w:w="1927" w:type="dxa"/>
            <w:tcBorders>
              <w:top w:val="single" w:sz="4" w:space="0" w:color="auto"/>
              <w:left w:val="nil"/>
              <w:bottom w:val="single" w:sz="4" w:space="0" w:color="auto"/>
              <w:right w:val="single" w:sz="4" w:space="0" w:color="auto"/>
            </w:tcBorders>
            <w:shd w:val="clear" w:color="auto" w:fill="auto"/>
            <w:vAlign w:val="center"/>
          </w:tcPr>
          <w:p w:rsidR="00C07ECB" w:rsidRPr="00C07ECB" w:rsidRDefault="00C07ECB" w:rsidP="00C07ECB">
            <w:pPr>
              <w:widowControl/>
              <w:jc w:val="center"/>
              <w:rPr>
                <w:rFonts w:ascii="標楷體" w:hAnsi="標楷體" w:cs="新細明體"/>
                <w:b/>
                <w:kern w:val="0"/>
                <w:sz w:val="28"/>
                <w:szCs w:val="28"/>
              </w:rPr>
            </w:pPr>
            <w:r w:rsidRPr="00C07ECB">
              <w:rPr>
                <w:rFonts w:ascii="標楷體" w:hAnsi="標楷體" w:cs="新細明體" w:hint="eastAsia"/>
                <w:b/>
                <w:kern w:val="0"/>
                <w:sz w:val="28"/>
                <w:szCs w:val="28"/>
              </w:rPr>
              <w:t>預算數（A）</w:t>
            </w:r>
          </w:p>
        </w:tc>
        <w:tc>
          <w:tcPr>
            <w:tcW w:w="1984" w:type="dxa"/>
            <w:tcBorders>
              <w:top w:val="single" w:sz="4" w:space="0" w:color="auto"/>
              <w:left w:val="nil"/>
              <w:bottom w:val="single" w:sz="4" w:space="0" w:color="auto"/>
              <w:right w:val="single" w:sz="4" w:space="0" w:color="auto"/>
            </w:tcBorders>
            <w:shd w:val="clear" w:color="auto" w:fill="auto"/>
            <w:vAlign w:val="center"/>
          </w:tcPr>
          <w:p w:rsidR="00C07ECB" w:rsidRPr="00C07ECB" w:rsidRDefault="00C07ECB" w:rsidP="00C07ECB">
            <w:pPr>
              <w:widowControl/>
              <w:jc w:val="center"/>
              <w:rPr>
                <w:rFonts w:ascii="標楷體" w:hAnsi="標楷體" w:cs="新細明體"/>
                <w:b/>
                <w:kern w:val="0"/>
                <w:sz w:val="28"/>
                <w:szCs w:val="28"/>
              </w:rPr>
            </w:pPr>
            <w:r w:rsidRPr="00C07ECB">
              <w:rPr>
                <w:rFonts w:ascii="標楷體" w:hAnsi="標楷體" w:cs="新細明體" w:hint="eastAsia"/>
                <w:b/>
                <w:kern w:val="0"/>
                <w:sz w:val="28"/>
                <w:szCs w:val="28"/>
              </w:rPr>
              <w:t>實現數（B）</w:t>
            </w:r>
          </w:p>
        </w:tc>
        <w:tc>
          <w:tcPr>
            <w:tcW w:w="1276" w:type="dxa"/>
            <w:tcBorders>
              <w:top w:val="single" w:sz="4" w:space="0" w:color="auto"/>
              <w:left w:val="nil"/>
              <w:bottom w:val="single" w:sz="4" w:space="0" w:color="auto"/>
              <w:right w:val="single" w:sz="4" w:space="0" w:color="auto"/>
            </w:tcBorders>
            <w:shd w:val="clear" w:color="auto" w:fill="auto"/>
            <w:vAlign w:val="center"/>
          </w:tcPr>
          <w:p w:rsidR="00C07ECB" w:rsidRPr="00C07ECB" w:rsidRDefault="00C07ECB" w:rsidP="00C07ECB">
            <w:pPr>
              <w:widowControl/>
              <w:jc w:val="center"/>
              <w:rPr>
                <w:rFonts w:ascii="標楷體" w:hAnsi="標楷體" w:cs="新細明體"/>
                <w:b/>
                <w:kern w:val="0"/>
                <w:sz w:val="28"/>
                <w:szCs w:val="28"/>
              </w:rPr>
            </w:pPr>
            <w:r w:rsidRPr="00C07ECB">
              <w:rPr>
                <w:rFonts w:ascii="標楷體" w:hAnsi="標楷體" w:cs="新細明體" w:hint="eastAsia"/>
                <w:b/>
                <w:kern w:val="0"/>
                <w:sz w:val="28"/>
                <w:szCs w:val="28"/>
              </w:rPr>
              <w:t>比率(%)</w:t>
            </w:r>
          </w:p>
          <w:p w:rsidR="00C07ECB" w:rsidRPr="00C07ECB" w:rsidRDefault="00C07ECB" w:rsidP="00C07ECB">
            <w:pPr>
              <w:widowControl/>
              <w:jc w:val="center"/>
              <w:rPr>
                <w:rFonts w:ascii="標楷體" w:hAnsi="標楷體" w:cs="新細明體"/>
                <w:b/>
                <w:kern w:val="0"/>
                <w:sz w:val="28"/>
                <w:szCs w:val="28"/>
              </w:rPr>
            </w:pPr>
            <w:r w:rsidRPr="00C07ECB">
              <w:rPr>
                <w:rFonts w:ascii="標楷體" w:hAnsi="標楷體" w:cs="新細明體" w:hint="eastAsia"/>
                <w:b/>
                <w:kern w:val="0"/>
                <w:sz w:val="28"/>
                <w:szCs w:val="28"/>
              </w:rPr>
              <w:t>（B）/(A)</w:t>
            </w:r>
          </w:p>
        </w:tc>
        <w:tc>
          <w:tcPr>
            <w:tcW w:w="1927" w:type="dxa"/>
            <w:tcBorders>
              <w:top w:val="single" w:sz="4" w:space="0" w:color="auto"/>
              <w:left w:val="nil"/>
              <w:bottom w:val="single" w:sz="4" w:space="0" w:color="auto"/>
              <w:right w:val="single" w:sz="4" w:space="0" w:color="auto"/>
            </w:tcBorders>
            <w:shd w:val="clear" w:color="auto" w:fill="auto"/>
            <w:vAlign w:val="center"/>
          </w:tcPr>
          <w:p w:rsidR="00C07ECB" w:rsidRPr="00C07ECB" w:rsidRDefault="00C07ECB" w:rsidP="00C07ECB">
            <w:pPr>
              <w:widowControl/>
              <w:jc w:val="center"/>
              <w:rPr>
                <w:rFonts w:ascii="標楷體" w:hAnsi="標楷體" w:cs="新細明體"/>
                <w:b/>
                <w:kern w:val="0"/>
                <w:sz w:val="28"/>
                <w:szCs w:val="28"/>
              </w:rPr>
            </w:pPr>
            <w:r w:rsidRPr="00C07ECB">
              <w:rPr>
                <w:rFonts w:ascii="標楷體" w:hAnsi="標楷體" w:cs="新細明體" w:hint="eastAsia"/>
                <w:b/>
                <w:kern w:val="0"/>
                <w:sz w:val="28"/>
                <w:szCs w:val="28"/>
              </w:rPr>
              <w:t>保留數</w:t>
            </w:r>
          </w:p>
        </w:tc>
        <w:tc>
          <w:tcPr>
            <w:tcW w:w="1275" w:type="dxa"/>
            <w:tcBorders>
              <w:top w:val="single" w:sz="4" w:space="0" w:color="auto"/>
              <w:left w:val="nil"/>
              <w:bottom w:val="single" w:sz="4" w:space="0" w:color="auto"/>
              <w:right w:val="single" w:sz="8" w:space="0" w:color="auto"/>
            </w:tcBorders>
            <w:shd w:val="clear" w:color="auto" w:fill="auto"/>
            <w:vAlign w:val="center"/>
          </w:tcPr>
          <w:p w:rsidR="00C07ECB" w:rsidRPr="00C07ECB" w:rsidRDefault="00C07ECB" w:rsidP="00C07ECB">
            <w:pPr>
              <w:widowControl/>
              <w:rPr>
                <w:rFonts w:ascii="標楷體" w:hAnsi="標楷體" w:cs="新細明體"/>
                <w:b/>
                <w:kern w:val="0"/>
                <w:sz w:val="28"/>
                <w:szCs w:val="28"/>
              </w:rPr>
            </w:pPr>
            <w:r w:rsidRPr="00C07ECB">
              <w:rPr>
                <w:rFonts w:ascii="標楷體" w:hAnsi="標楷體" w:cs="新細明體" w:hint="eastAsia"/>
                <w:b/>
                <w:kern w:val="0"/>
                <w:sz w:val="28"/>
                <w:szCs w:val="28"/>
              </w:rPr>
              <w:t>占預算比率（%）</w:t>
            </w:r>
          </w:p>
        </w:tc>
      </w:tr>
      <w:tr w:rsidR="00C07ECB" w:rsidRPr="00C07ECB" w:rsidTr="00A14B3F">
        <w:trPr>
          <w:trHeight w:val="558"/>
        </w:trPr>
        <w:tc>
          <w:tcPr>
            <w:tcW w:w="1250" w:type="dxa"/>
            <w:tcBorders>
              <w:top w:val="nil"/>
              <w:left w:val="single" w:sz="8" w:space="0" w:color="auto"/>
              <w:bottom w:val="single" w:sz="4" w:space="0" w:color="auto"/>
              <w:right w:val="single" w:sz="4" w:space="0" w:color="auto"/>
            </w:tcBorders>
            <w:shd w:val="clear" w:color="auto" w:fill="auto"/>
            <w:vAlign w:val="center"/>
            <w:hideMark/>
          </w:tcPr>
          <w:p w:rsidR="00C07ECB" w:rsidRPr="00C07ECB" w:rsidRDefault="00C07ECB" w:rsidP="00C07ECB">
            <w:pPr>
              <w:widowControl/>
              <w:jc w:val="center"/>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建設處</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324,911,000</w:t>
            </w:r>
          </w:p>
        </w:tc>
        <w:tc>
          <w:tcPr>
            <w:tcW w:w="1984"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105,863,232</w:t>
            </w:r>
          </w:p>
        </w:tc>
        <w:tc>
          <w:tcPr>
            <w:tcW w:w="1276"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32.58</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187,719,312</w:t>
            </w:r>
          </w:p>
        </w:tc>
        <w:tc>
          <w:tcPr>
            <w:tcW w:w="1275" w:type="dxa"/>
            <w:tcBorders>
              <w:top w:val="nil"/>
              <w:left w:val="nil"/>
              <w:bottom w:val="single" w:sz="4" w:space="0" w:color="auto"/>
              <w:right w:val="single" w:sz="8"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57.78%</w:t>
            </w:r>
          </w:p>
        </w:tc>
      </w:tr>
      <w:tr w:rsidR="00C07ECB" w:rsidRPr="00C07ECB" w:rsidTr="00A14B3F">
        <w:trPr>
          <w:trHeight w:val="552"/>
        </w:trPr>
        <w:tc>
          <w:tcPr>
            <w:tcW w:w="1250" w:type="dxa"/>
            <w:tcBorders>
              <w:top w:val="nil"/>
              <w:left w:val="single" w:sz="8" w:space="0" w:color="auto"/>
              <w:bottom w:val="single" w:sz="4" w:space="0" w:color="auto"/>
              <w:right w:val="single" w:sz="4" w:space="0" w:color="auto"/>
            </w:tcBorders>
            <w:shd w:val="clear" w:color="auto" w:fill="auto"/>
            <w:vAlign w:val="center"/>
            <w:hideMark/>
          </w:tcPr>
          <w:p w:rsidR="00C07ECB" w:rsidRPr="00C07ECB" w:rsidRDefault="00C07ECB" w:rsidP="00C07ECB">
            <w:pPr>
              <w:widowControl/>
              <w:jc w:val="center"/>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工務處</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756,346,000</w:t>
            </w:r>
          </w:p>
        </w:tc>
        <w:tc>
          <w:tcPr>
            <w:tcW w:w="1984"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278,236,213</w:t>
            </w:r>
          </w:p>
        </w:tc>
        <w:tc>
          <w:tcPr>
            <w:tcW w:w="1276"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36.79</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332,480,619</w:t>
            </w:r>
          </w:p>
        </w:tc>
        <w:tc>
          <w:tcPr>
            <w:tcW w:w="1275" w:type="dxa"/>
            <w:tcBorders>
              <w:top w:val="nil"/>
              <w:left w:val="nil"/>
              <w:bottom w:val="single" w:sz="4" w:space="0" w:color="auto"/>
              <w:right w:val="single" w:sz="8"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43.96%</w:t>
            </w:r>
          </w:p>
        </w:tc>
      </w:tr>
      <w:tr w:rsidR="00C07ECB" w:rsidRPr="00C07ECB" w:rsidTr="00A14B3F">
        <w:trPr>
          <w:trHeight w:val="621"/>
        </w:trPr>
        <w:tc>
          <w:tcPr>
            <w:tcW w:w="1250" w:type="dxa"/>
            <w:tcBorders>
              <w:top w:val="nil"/>
              <w:left w:val="single" w:sz="8" w:space="0" w:color="auto"/>
              <w:bottom w:val="single" w:sz="4" w:space="0" w:color="auto"/>
              <w:right w:val="single" w:sz="4" w:space="0" w:color="auto"/>
            </w:tcBorders>
            <w:shd w:val="clear" w:color="auto" w:fill="auto"/>
            <w:vAlign w:val="center"/>
            <w:hideMark/>
          </w:tcPr>
          <w:p w:rsidR="00C07ECB" w:rsidRPr="00C07ECB" w:rsidRDefault="00C07ECB" w:rsidP="00C07ECB">
            <w:pPr>
              <w:widowControl/>
              <w:jc w:val="center"/>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旅遊處</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679,222,000</w:t>
            </w:r>
          </w:p>
        </w:tc>
        <w:tc>
          <w:tcPr>
            <w:tcW w:w="1984"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color w:val="000000"/>
                <w:kern w:val="0"/>
                <w:sz w:val="28"/>
                <w:szCs w:val="28"/>
              </w:rPr>
            </w:pPr>
            <w:r w:rsidRPr="00C07ECB">
              <w:rPr>
                <w:rFonts w:ascii="標楷體" w:hAnsi="標楷體" w:cs="新細明體" w:hint="eastAsia"/>
                <w:color w:val="000000"/>
                <w:kern w:val="0"/>
                <w:sz w:val="28"/>
                <w:szCs w:val="28"/>
              </w:rPr>
              <w:t>288,555,641</w:t>
            </w:r>
          </w:p>
        </w:tc>
        <w:tc>
          <w:tcPr>
            <w:tcW w:w="1276"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42.48</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367,839,528</w:t>
            </w:r>
          </w:p>
        </w:tc>
        <w:tc>
          <w:tcPr>
            <w:tcW w:w="1275" w:type="dxa"/>
            <w:tcBorders>
              <w:top w:val="nil"/>
              <w:left w:val="nil"/>
              <w:bottom w:val="single" w:sz="4" w:space="0" w:color="auto"/>
              <w:right w:val="single" w:sz="8"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54.16%</w:t>
            </w:r>
          </w:p>
        </w:tc>
      </w:tr>
      <w:tr w:rsidR="00C07ECB" w:rsidRPr="00C07ECB" w:rsidTr="00A14B3F">
        <w:trPr>
          <w:trHeight w:val="498"/>
        </w:trPr>
        <w:tc>
          <w:tcPr>
            <w:tcW w:w="1250" w:type="dxa"/>
            <w:tcBorders>
              <w:top w:val="nil"/>
              <w:left w:val="single" w:sz="8" w:space="0" w:color="auto"/>
              <w:bottom w:val="single" w:sz="4" w:space="0" w:color="auto"/>
              <w:right w:val="single" w:sz="4" w:space="0" w:color="auto"/>
            </w:tcBorders>
            <w:shd w:val="clear" w:color="auto" w:fill="auto"/>
            <w:vAlign w:val="center"/>
            <w:hideMark/>
          </w:tcPr>
          <w:p w:rsidR="00C07ECB" w:rsidRPr="00C07ECB" w:rsidRDefault="00C07ECB" w:rsidP="00C07ECB">
            <w:pPr>
              <w:widowControl/>
              <w:spacing w:line="400" w:lineRule="exact"/>
              <w:jc w:val="center"/>
              <w:rPr>
                <w:rFonts w:ascii="標楷體" w:hAnsi="標楷體" w:cs="新細明體"/>
                <w:kern w:val="0"/>
                <w:sz w:val="28"/>
                <w:szCs w:val="28"/>
              </w:rPr>
            </w:pPr>
            <w:r w:rsidRPr="00C07ECB">
              <w:rPr>
                <w:rFonts w:ascii="標楷體" w:hAnsi="標楷體" w:cs="新細明體" w:hint="eastAsia"/>
                <w:kern w:val="0"/>
                <w:sz w:val="28"/>
                <w:szCs w:val="28"/>
              </w:rPr>
              <w:t>文化局</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184,450,000</w:t>
            </w:r>
          </w:p>
        </w:tc>
        <w:tc>
          <w:tcPr>
            <w:tcW w:w="1984"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130,198,364</w:t>
            </w:r>
          </w:p>
        </w:tc>
        <w:tc>
          <w:tcPr>
            <w:tcW w:w="1276"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70.59</w:t>
            </w:r>
          </w:p>
        </w:tc>
        <w:tc>
          <w:tcPr>
            <w:tcW w:w="1927" w:type="dxa"/>
            <w:tcBorders>
              <w:top w:val="nil"/>
              <w:left w:val="nil"/>
              <w:bottom w:val="single" w:sz="4" w:space="0" w:color="auto"/>
              <w:right w:val="single" w:sz="4"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19,317,115</w:t>
            </w:r>
          </w:p>
        </w:tc>
        <w:tc>
          <w:tcPr>
            <w:tcW w:w="1275" w:type="dxa"/>
            <w:tcBorders>
              <w:top w:val="nil"/>
              <w:left w:val="nil"/>
              <w:bottom w:val="single" w:sz="4" w:space="0" w:color="auto"/>
              <w:right w:val="single" w:sz="8" w:space="0" w:color="auto"/>
            </w:tcBorders>
            <w:shd w:val="clear" w:color="auto" w:fill="auto"/>
            <w:noWrap/>
            <w:vAlign w:val="center"/>
            <w:hideMark/>
          </w:tcPr>
          <w:p w:rsidR="00C07ECB" w:rsidRPr="00C07ECB" w:rsidRDefault="00C07ECB" w:rsidP="00C07ECB">
            <w:pPr>
              <w:widowControl/>
              <w:jc w:val="right"/>
              <w:rPr>
                <w:rFonts w:ascii="標楷體" w:hAnsi="標楷體" w:cs="新細明體"/>
                <w:kern w:val="0"/>
                <w:sz w:val="28"/>
                <w:szCs w:val="28"/>
              </w:rPr>
            </w:pPr>
            <w:r w:rsidRPr="00C07ECB">
              <w:rPr>
                <w:rFonts w:ascii="標楷體" w:hAnsi="標楷體" w:cs="新細明體" w:hint="eastAsia"/>
                <w:kern w:val="0"/>
                <w:sz w:val="28"/>
                <w:szCs w:val="28"/>
              </w:rPr>
              <w:t>10.47%</w:t>
            </w:r>
          </w:p>
        </w:tc>
      </w:tr>
    </w:tbl>
    <w:p w:rsidR="00C07ECB" w:rsidRPr="00C07ECB" w:rsidRDefault="00C07ECB" w:rsidP="00C07ECB">
      <w:pPr>
        <w:kinsoku w:val="0"/>
        <w:ind w:left="3110" w:hanging="3110"/>
        <w:jc w:val="both"/>
        <w:outlineLvl w:val="0"/>
        <w:rPr>
          <w:rFonts w:ascii="標楷體" w:hAnsi="標楷體"/>
          <w:bCs/>
          <w:kern w:val="0"/>
          <w:sz w:val="24"/>
          <w:szCs w:val="24"/>
        </w:rPr>
      </w:pPr>
      <w:r w:rsidRPr="00C07ECB">
        <w:rPr>
          <w:rFonts w:ascii="標楷體" w:hAnsi="標楷體" w:hint="eastAsia"/>
          <w:bCs/>
          <w:kern w:val="0"/>
          <w:sz w:val="24"/>
          <w:szCs w:val="24"/>
        </w:rPr>
        <w:t>資料來源：依據澎湖縣政府提供資料彙整。</w:t>
      </w:r>
    </w:p>
    <w:p w:rsidR="00C07ECB" w:rsidRPr="00C07ECB" w:rsidRDefault="00C07ECB" w:rsidP="00C07ECB">
      <w:pPr>
        <w:kinsoku w:val="0"/>
        <w:ind w:left="3110" w:hanging="699"/>
        <w:jc w:val="both"/>
        <w:outlineLvl w:val="0"/>
        <w:rPr>
          <w:rFonts w:ascii="標楷體" w:hAnsi="標楷體"/>
          <w:bCs/>
          <w:kern w:val="0"/>
          <w:szCs w:val="52"/>
        </w:rPr>
      </w:pPr>
    </w:p>
    <w:p w:rsidR="00C07ECB" w:rsidRPr="00870CD1" w:rsidRDefault="00C07ECB" w:rsidP="00C07ECB">
      <w:pPr>
        <w:pStyle w:val="3"/>
        <w:rPr>
          <w:rFonts w:hAnsi="標楷體"/>
        </w:rPr>
      </w:pPr>
      <w:r w:rsidRPr="00870CD1">
        <w:rPr>
          <w:rFonts w:hint="eastAsia"/>
        </w:rPr>
        <w:t>又，經本院調查發現，澎湖縣政府部分計畫於起始年度即全額編列預算，有如文化局之望安花宅古厝</w:t>
      </w:r>
      <w:r w:rsidRPr="00870CD1">
        <w:rPr>
          <w:rFonts w:hint="eastAsia"/>
        </w:rPr>
        <w:lastRenderedPageBreak/>
        <w:t>修復計畫、西嶼彈藥本庫修復及再利用工程、文澳城隍廟修復工程；工務處山水30高地聯外道路拓寬工程；建設處102-城鎮風貌型塑整體計畫，且此等計畫於以前年度之執行結果已有進度落後情事，惟該府並未能檢討預算分配與執行未能配合之癥結，研謀改善或即時調整預算配置，導致每年預算執行率均偏低。據澎湖縣政府說明，為提高計畫執行率、預算達成率，該府修正「澎湖縣政府年度施政計畫評核作業要點」建立考核回饋機制，加強計畫執行成效之追蹤，並將年度考核結果通知相關單位作為預算編審及施政計畫審議之參考，有關個案計畫編審情形，雖未明文訂定相關規範，惟就實務運作面而言，該府主計處所主辦之年度概算審查作業，均邀集財政處、行政處會同各單位說明辦理延續性計畫或相關計畫之執行概況，予以提供概算編列之參據。另就「澎湖縣政府公共工程審議作業要點」修正部分已有初步研議，惟因人力更迭尚有相關細部仍需研討中，將儘速完成檢討並發布修正內容等語。然經本院調查發現，截至105年底該府主管新臺幣（下同）3,000萬元以上之重大公共建設計畫預算共34個，平均執行率僅31.31%，</w:t>
      </w:r>
      <w:r w:rsidR="00870CD1" w:rsidRPr="00870CD1">
        <w:rPr>
          <w:rFonts w:hAnsi="標楷體" w:hint="eastAsia"/>
        </w:rPr>
        <w:t>其中高達18個計畫執行率未達5</w:t>
      </w:r>
      <w:r w:rsidR="008F7201">
        <w:rPr>
          <w:rFonts w:hAnsi="標楷體" w:hint="eastAsia"/>
        </w:rPr>
        <w:t>成</w:t>
      </w:r>
      <w:r w:rsidR="00870CD1" w:rsidRPr="00870CD1">
        <w:rPr>
          <w:rFonts w:hAnsi="標楷體" w:hint="eastAsia"/>
        </w:rPr>
        <w:t>、執行率未達7</w:t>
      </w:r>
      <w:r w:rsidR="008F7201">
        <w:rPr>
          <w:rFonts w:hAnsi="標楷體" w:hint="eastAsia"/>
        </w:rPr>
        <w:t>成</w:t>
      </w:r>
      <w:r w:rsidR="00870CD1" w:rsidRPr="00870CD1">
        <w:rPr>
          <w:rFonts w:hAnsi="標楷體" w:hint="eastAsia"/>
        </w:rPr>
        <w:t>之案件數亦有22件</w:t>
      </w:r>
      <w:r w:rsidRPr="00870CD1">
        <w:rPr>
          <w:rFonts w:hAnsi="標楷體" w:hint="eastAsia"/>
        </w:rPr>
        <w:t>，</w:t>
      </w:r>
      <w:r w:rsidR="00954AAA" w:rsidRPr="00870CD1">
        <w:rPr>
          <w:rFonts w:hAnsi="標楷體" w:hint="eastAsia"/>
        </w:rPr>
        <w:t>且以年度來看，該府</w:t>
      </w:r>
      <w:r w:rsidR="00954AAA" w:rsidRPr="00870CD1">
        <w:rPr>
          <w:rFonts w:hAnsi="標楷體" w:hint="eastAsia"/>
          <w:spacing w:val="10"/>
        </w:rPr>
        <w:t>100至105年度列管重大公共建設計畫預算執行率</w:t>
      </w:r>
      <w:r w:rsidR="00954AAA" w:rsidRPr="00870CD1">
        <w:rPr>
          <w:rFonts w:hAnsi="標楷體"/>
          <w:spacing w:val="10"/>
        </w:rPr>
        <w:tab/>
      </w:r>
      <w:r w:rsidR="00954AAA" w:rsidRPr="00870CD1">
        <w:rPr>
          <w:rFonts w:hAnsi="標楷體" w:hint="eastAsia"/>
          <w:spacing w:val="10"/>
        </w:rPr>
        <w:t>分別為</w:t>
      </w:r>
      <w:r w:rsidR="00954AAA" w:rsidRPr="00870CD1">
        <w:rPr>
          <w:rFonts w:hAnsi="標楷體"/>
          <w:spacing w:val="10"/>
        </w:rPr>
        <w:t>38.01</w:t>
      </w:r>
      <w:r w:rsidR="00954AAA" w:rsidRPr="00870CD1">
        <w:rPr>
          <w:rFonts w:hAnsi="標楷體" w:hint="eastAsia"/>
          <w:spacing w:val="10"/>
        </w:rPr>
        <w:t>%（</w:t>
      </w:r>
      <w:r w:rsidR="00954AAA" w:rsidRPr="00870CD1">
        <w:rPr>
          <w:rFonts w:hAnsi="標楷體"/>
          <w:spacing w:val="10"/>
        </w:rPr>
        <w:t>100</w:t>
      </w:r>
      <w:r w:rsidR="00954AAA" w:rsidRPr="00870CD1">
        <w:rPr>
          <w:rFonts w:hAnsi="標楷體"/>
          <w:spacing w:val="10"/>
        </w:rPr>
        <w:tab/>
      </w:r>
      <w:r w:rsidR="00954AAA" w:rsidRPr="00870CD1">
        <w:rPr>
          <w:rFonts w:hAnsi="標楷體" w:hint="eastAsia"/>
          <w:spacing w:val="10"/>
        </w:rPr>
        <w:t>年）</w:t>
      </w:r>
      <w:r w:rsidR="00954AAA" w:rsidRPr="00870CD1">
        <w:rPr>
          <w:rFonts w:hAnsi="標楷體"/>
          <w:spacing w:val="10"/>
        </w:rPr>
        <w:tab/>
      </w:r>
      <w:r w:rsidR="00954AAA" w:rsidRPr="00870CD1">
        <w:rPr>
          <w:rFonts w:hAnsi="標楷體" w:hint="eastAsia"/>
          <w:spacing w:val="10"/>
        </w:rPr>
        <w:t>、</w:t>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t>28.77</w:t>
      </w:r>
      <w:r w:rsidR="00954AAA" w:rsidRPr="00870CD1">
        <w:rPr>
          <w:rFonts w:hAnsi="標楷體" w:hint="eastAsia"/>
          <w:spacing w:val="10"/>
        </w:rPr>
        <w:t>%（</w:t>
      </w:r>
      <w:r w:rsidR="00954AAA" w:rsidRPr="00870CD1">
        <w:rPr>
          <w:rFonts w:hAnsi="標楷體"/>
          <w:spacing w:val="10"/>
        </w:rPr>
        <w:t>10</w:t>
      </w:r>
      <w:r w:rsidR="00954AAA" w:rsidRPr="00870CD1">
        <w:rPr>
          <w:rFonts w:hAnsi="標楷體" w:hint="eastAsia"/>
          <w:spacing w:val="10"/>
        </w:rPr>
        <w:t>1年）、</w:t>
      </w:r>
      <w:r w:rsidR="00954AAA" w:rsidRPr="00870CD1">
        <w:rPr>
          <w:rFonts w:hAnsi="標楷體"/>
          <w:spacing w:val="10"/>
        </w:rPr>
        <w:tab/>
        <w:t>40.99</w:t>
      </w:r>
      <w:r w:rsidR="00954AAA" w:rsidRPr="00870CD1">
        <w:rPr>
          <w:rFonts w:hAnsi="標楷體" w:hint="eastAsia"/>
          <w:spacing w:val="10"/>
        </w:rPr>
        <w:t>%</w:t>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hint="eastAsia"/>
          <w:spacing w:val="10"/>
        </w:rPr>
        <w:t>（</w:t>
      </w:r>
      <w:r w:rsidR="00954AAA" w:rsidRPr="00870CD1">
        <w:rPr>
          <w:rFonts w:hAnsi="標楷體"/>
          <w:spacing w:val="10"/>
        </w:rPr>
        <w:t>102</w:t>
      </w:r>
      <w:r w:rsidR="00954AAA" w:rsidRPr="00870CD1">
        <w:rPr>
          <w:rFonts w:hAnsi="標楷體" w:hint="eastAsia"/>
          <w:spacing w:val="10"/>
        </w:rPr>
        <w:t>年）、</w:t>
      </w:r>
      <w:r w:rsidR="00954AAA" w:rsidRPr="00870CD1">
        <w:rPr>
          <w:rFonts w:hAnsi="標楷體"/>
          <w:spacing w:val="10"/>
        </w:rPr>
        <w:tab/>
        <w:t>23.24</w:t>
      </w:r>
      <w:r w:rsidR="00954AAA" w:rsidRPr="00870CD1">
        <w:rPr>
          <w:rFonts w:hAnsi="標楷體" w:hint="eastAsia"/>
          <w:spacing w:val="10"/>
        </w:rPr>
        <w:t>%（</w:t>
      </w:r>
      <w:r w:rsidR="00954AAA" w:rsidRPr="00870CD1">
        <w:rPr>
          <w:rFonts w:hAnsi="標楷體"/>
          <w:spacing w:val="10"/>
        </w:rPr>
        <w:t>103</w:t>
      </w:r>
      <w:r w:rsidR="00954AAA" w:rsidRPr="00870CD1">
        <w:rPr>
          <w:rFonts w:hAnsi="標楷體" w:hint="eastAsia"/>
          <w:spacing w:val="10"/>
        </w:rPr>
        <w:t>年）、</w:t>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r>
      <w:r w:rsidR="00954AAA" w:rsidRPr="00870CD1">
        <w:rPr>
          <w:rFonts w:hAnsi="標楷體"/>
          <w:spacing w:val="10"/>
        </w:rPr>
        <w:tab/>
        <w:t>20.96</w:t>
      </w:r>
      <w:r w:rsidR="00954AAA" w:rsidRPr="00870CD1">
        <w:rPr>
          <w:rFonts w:hAnsi="標楷體" w:hint="eastAsia"/>
          <w:spacing w:val="10"/>
        </w:rPr>
        <w:t>%（</w:t>
      </w:r>
      <w:r w:rsidR="00954AAA" w:rsidRPr="00870CD1">
        <w:rPr>
          <w:rFonts w:hAnsi="標楷體"/>
          <w:spacing w:val="10"/>
        </w:rPr>
        <w:t>104</w:t>
      </w:r>
      <w:r w:rsidR="00954AAA" w:rsidRPr="00870CD1">
        <w:rPr>
          <w:rFonts w:hAnsi="標楷體" w:hint="eastAsia"/>
          <w:spacing w:val="10"/>
        </w:rPr>
        <w:t>年），</w:t>
      </w:r>
      <w:r w:rsidR="00954AAA" w:rsidRPr="00870CD1">
        <w:rPr>
          <w:rFonts w:hAnsi="標楷體" w:hint="eastAsia"/>
        </w:rPr>
        <w:t>31.31%（</w:t>
      </w:r>
      <w:r w:rsidR="00954AAA" w:rsidRPr="00870CD1">
        <w:rPr>
          <w:rFonts w:hAnsi="標楷體" w:hint="eastAsia"/>
          <w:spacing w:val="10"/>
        </w:rPr>
        <w:t>105年）</w:t>
      </w:r>
      <w:r w:rsidR="00954AAA" w:rsidRPr="00870CD1">
        <w:rPr>
          <w:rFonts w:hAnsi="標楷體" w:hint="eastAsia"/>
        </w:rPr>
        <w:t>，已</w:t>
      </w:r>
      <w:r w:rsidR="00954AAA" w:rsidRPr="00870CD1">
        <w:rPr>
          <w:rFonts w:hAnsi="標楷體" w:hint="eastAsia"/>
          <w:spacing w:val="10"/>
        </w:rPr>
        <w:t>連續6年未達50％，</w:t>
      </w:r>
      <w:r w:rsidRPr="00870CD1">
        <w:rPr>
          <w:rFonts w:hAnsi="標楷體" w:hint="eastAsia"/>
        </w:rPr>
        <w:t>計畫預算編列與執行仍呈現脫節，顯見該府冀由前開計畫管制評核等相關措施以改善提高計畫執行率</w:t>
      </w:r>
      <w:r w:rsidR="00870CD1">
        <w:rPr>
          <w:rFonts w:hAnsi="標楷體" w:hint="eastAsia"/>
        </w:rPr>
        <w:t>及</w:t>
      </w:r>
      <w:r w:rsidRPr="00870CD1">
        <w:rPr>
          <w:rFonts w:hAnsi="標楷體" w:hint="eastAsia"/>
        </w:rPr>
        <w:t>預算達成率之期待難以落實，仍無法有效改善問題。</w:t>
      </w:r>
    </w:p>
    <w:p w:rsidR="00870CD1" w:rsidRPr="00C07ECB" w:rsidRDefault="00870CD1" w:rsidP="00870CD1">
      <w:pPr>
        <w:pStyle w:val="3"/>
        <w:rPr>
          <w:rFonts w:cs="新細明體"/>
          <w:color w:val="000000"/>
          <w:spacing w:val="-6"/>
          <w:szCs w:val="32"/>
        </w:rPr>
      </w:pPr>
      <w:r w:rsidRPr="00C07ECB">
        <w:rPr>
          <w:rFonts w:hint="eastAsia"/>
        </w:rPr>
        <w:t>本院為瞭解澎湖縣政府預算執行率落後之癥結原因，經請該府到院說明並就主管3,000萬元以上之重大公共建設計畫105年度預算執行率未達70%之原因予以分析歸納彙整，據該府查復計有招標作業延誤5項、計畫執行與預算編列落差4項、計畫變更3項、天然因素3項、履約管理與爭議處理2項、停辦2項、規劃設計延誤2項、人力需求2項、施工作業延誤2項、土地取得延誤1項、變更設計延誤1項。其中計畫執行率落後原因以招標作業延誤、計畫執行與預算編列落差及計畫變更等原因占最高，是以，該府實應確實加強計畫執行能力並應妥善編列預算，以避免計畫長期執行落後，致預算執行欠缺效率。</w:t>
      </w:r>
    </w:p>
    <w:p w:rsidR="00C07ECB" w:rsidRPr="00C07ECB" w:rsidRDefault="00C07ECB" w:rsidP="00C07ECB">
      <w:pPr>
        <w:numPr>
          <w:ilvl w:val="2"/>
          <w:numId w:val="1"/>
        </w:numPr>
        <w:kinsoku w:val="0"/>
        <w:jc w:val="both"/>
        <w:outlineLvl w:val="2"/>
        <w:rPr>
          <w:rFonts w:ascii="標楷體" w:hAnsi="標楷體" w:cs="新細明體"/>
          <w:bCs/>
          <w:color w:val="000000"/>
          <w:spacing w:val="-6"/>
          <w:kern w:val="0"/>
          <w:szCs w:val="32"/>
        </w:rPr>
      </w:pPr>
      <w:r w:rsidRPr="00C07ECB">
        <w:rPr>
          <w:rFonts w:ascii="標楷體" w:hAnsi="標楷體" w:hint="eastAsia"/>
          <w:bCs/>
          <w:kern w:val="0"/>
          <w:szCs w:val="36"/>
        </w:rPr>
        <w:t>另該府於105年度新增3,000萬元以上之重大計畫共9個，其中高達6個計畫之預算執行率均未達5成，其中農漁局</w:t>
      </w:r>
      <w:r w:rsidRPr="00C07ECB">
        <w:rPr>
          <w:rFonts w:ascii="標楷體" w:hAnsi="標楷體" w:hint="eastAsia"/>
          <w:bCs/>
          <w:kern w:val="0"/>
          <w:szCs w:val="36"/>
        </w:rPr>
        <w:tab/>
        <w:t>-澎湖區漁會製冰冷凍廠興建工程，執行率甚至為0%、教育處-</w:t>
      </w:r>
      <w:r w:rsidRPr="00C07ECB">
        <w:rPr>
          <w:rFonts w:ascii="標楷體" w:hAnsi="標楷體" w:hint="eastAsia"/>
          <w:bCs/>
          <w:kern w:val="0"/>
          <w:szCs w:val="36"/>
        </w:rPr>
        <w:tab/>
        <w:t>多功能綜合體育館興建工程執行率僅0.07%、工務處</w:t>
      </w:r>
      <w:r w:rsidRPr="00C07ECB">
        <w:rPr>
          <w:rFonts w:ascii="標楷體" w:hAnsi="標楷體" w:hint="eastAsia"/>
          <w:bCs/>
          <w:kern w:val="0"/>
          <w:szCs w:val="36"/>
        </w:rPr>
        <w:tab/>
        <w:t>-市區道路人本環境建設計畫</w:t>
      </w:r>
      <w:r w:rsidRPr="00C07ECB">
        <w:rPr>
          <w:rFonts w:ascii="標楷體" w:hAnsi="標楷體" w:hint="eastAsia"/>
          <w:bCs/>
          <w:kern w:val="0"/>
          <w:szCs w:val="36"/>
        </w:rPr>
        <w:tab/>
        <w:t>執行率僅</w:t>
      </w:r>
      <w:r w:rsidRPr="00C07ECB">
        <w:rPr>
          <w:rFonts w:ascii="標楷體" w:hAnsi="標楷體" w:hint="eastAsia"/>
          <w:bCs/>
          <w:kern w:val="0"/>
          <w:szCs w:val="36"/>
        </w:rPr>
        <w:tab/>
        <w:t>25.03%、建設處</w:t>
      </w:r>
      <w:r w:rsidRPr="00C07ECB">
        <w:rPr>
          <w:rFonts w:ascii="標楷體" w:hAnsi="標楷體" w:hint="eastAsia"/>
          <w:bCs/>
          <w:kern w:val="0"/>
          <w:szCs w:val="36"/>
        </w:rPr>
        <w:tab/>
        <w:t>-遊憩據點特色加值計畫(黃金海岸世界海洋故事園區)執行率亦僅為15.8%。詳如下表15，亦證</w:t>
      </w:r>
      <w:r w:rsidR="00870CD1">
        <w:rPr>
          <w:rFonts w:ascii="標楷體" w:hAnsi="標楷體" w:hint="eastAsia"/>
          <w:bCs/>
          <w:kern w:val="0"/>
          <w:szCs w:val="36"/>
        </w:rPr>
        <w:t>該府</w:t>
      </w:r>
      <w:r w:rsidRPr="00C07ECB">
        <w:rPr>
          <w:rFonts w:ascii="標楷體" w:hAnsi="標楷體" w:hint="eastAsia"/>
          <w:bCs/>
          <w:kern w:val="0"/>
          <w:szCs w:val="36"/>
        </w:rPr>
        <w:t>預算執行能力欠佳。</w:t>
      </w:r>
    </w:p>
    <w:p w:rsidR="00A14B3F" w:rsidRPr="00C07ECB" w:rsidRDefault="00A14B3F" w:rsidP="00C07ECB">
      <w:pPr>
        <w:kinsoku w:val="0"/>
        <w:ind w:left="3110" w:hanging="699"/>
        <w:jc w:val="both"/>
        <w:outlineLvl w:val="0"/>
        <w:rPr>
          <w:rFonts w:ascii="標楷體" w:hAnsi="Arial"/>
          <w:bCs/>
          <w:kern w:val="0"/>
          <w:szCs w:val="52"/>
        </w:rPr>
      </w:pPr>
    </w:p>
    <w:p w:rsidR="00C07ECB" w:rsidRPr="00C07ECB" w:rsidRDefault="00C07ECB" w:rsidP="00C07ECB">
      <w:pPr>
        <w:kinsoku w:val="0"/>
        <w:ind w:leftChars="84" w:left="7887" w:hangingChars="2530" w:hanging="7601"/>
        <w:outlineLvl w:val="0"/>
        <w:rPr>
          <w:rFonts w:ascii="標楷體" w:hAnsi="標楷體"/>
          <w:bCs/>
          <w:kern w:val="0"/>
          <w:sz w:val="28"/>
          <w:szCs w:val="28"/>
        </w:rPr>
      </w:pPr>
      <w:r w:rsidRPr="00C07ECB">
        <w:rPr>
          <w:rFonts w:ascii="標楷體" w:hAnsi="標楷體" w:hint="eastAsia"/>
          <w:b/>
          <w:bCs/>
          <w:kern w:val="0"/>
          <w:sz w:val="28"/>
          <w:szCs w:val="28"/>
        </w:rPr>
        <w:t>表15、105年新增3,000萬元以上執行率未達5成之計</w:t>
      </w:r>
      <w:r w:rsidRPr="00C07ECB">
        <w:rPr>
          <w:rFonts w:ascii="標楷體" w:hAnsi="標楷體" w:hint="eastAsia"/>
          <w:bCs/>
          <w:kern w:val="0"/>
          <w:sz w:val="28"/>
          <w:szCs w:val="28"/>
        </w:rPr>
        <w:t>畫</w:t>
      </w:r>
    </w:p>
    <w:p w:rsidR="00C07ECB" w:rsidRPr="00C07ECB" w:rsidRDefault="00C07ECB" w:rsidP="00C07ECB">
      <w:pPr>
        <w:kinsoku w:val="0"/>
        <w:ind w:leftChars="211" w:left="7928" w:hangingChars="2400" w:hanging="7210"/>
        <w:jc w:val="both"/>
        <w:outlineLvl w:val="0"/>
        <w:rPr>
          <w:rFonts w:ascii="標楷體" w:hAnsi="標楷體"/>
          <w:bCs/>
          <w:kern w:val="0"/>
          <w:sz w:val="24"/>
          <w:szCs w:val="24"/>
        </w:rPr>
      </w:pPr>
      <w:r w:rsidRPr="00C07ECB">
        <w:rPr>
          <w:rFonts w:ascii="標楷體" w:hAnsi="標楷體" w:hint="eastAsia"/>
          <w:b/>
          <w:bCs/>
          <w:kern w:val="0"/>
          <w:sz w:val="28"/>
          <w:szCs w:val="28"/>
        </w:rPr>
        <w:t xml:space="preserve">   </w:t>
      </w:r>
      <w:r w:rsidRPr="00C07ECB">
        <w:rPr>
          <w:rFonts w:ascii="標楷體" w:hAnsi="標楷體" w:hint="eastAsia"/>
          <w:bCs/>
          <w:kern w:val="0"/>
          <w:sz w:val="28"/>
          <w:szCs w:val="28"/>
        </w:rPr>
        <w:t xml:space="preserve">                                           </w:t>
      </w:r>
      <w:r w:rsidRPr="00C07ECB">
        <w:rPr>
          <w:rFonts w:ascii="標楷體" w:hAnsi="標楷體" w:hint="eastAsia"/>
          <w:bCs/>
          <w:kern w:val="0"/>
          <w:sz w:val="24"/>
          <w:szCs w:val="24"/>
        </w:rPr>
        <w:t xml:space="preserve">單位：％   </w:t>
      </w:r>
    </w:p>
    <w:tbl>
      <w:tblPr>
        <w:tblStyle w:val="af8"/>
        <w:tblW w:w="8788" w:type="dxa"/>
        <w:tblInd w:w="392" w:type="dxa"/>
        <w:tblLook w:val="04A0" w:firstRow="1" w:lastRow="0" w:firstColumn="1" w:lastColumn="0" w:noHBand="0" w:noVBand="1"/>
      </w:tblPr>
      <w:tblGrid>
        <w:gridCol w:w="1417"/>
        <w:gridCol w:w="5670"/>
        <w:gridCol w:w="1701"/>
      </w:tblGrid>
      <w:tr w:rsidR="00C07ECB" w:rsidRPr="00C07ECB" w:rsidTr="00A14B3F">
        <w:trPr>
          <w:trHeight w:val="386"/>
          <w:tblHeader/>
        </w:trPr>
        <w:tc>
          <w:tcPr>
            <w:tcW w:w="1417" w:type="dxa"/>
            <w:vAlign w:val="center"/>
          </w:tcPr>
          <w:p w:rsidR="00C07ECB" w:rsidRPr="00C07ECB" w:rsidRDefault="00B07012" w:rsidP="00C07ECB">
            <w:pPr>
              <w:jc w:val="center"/>
              <w:rPr>
                <w:rFonts w:ascii="標楷體" w:hAnsi="標楷體" w:cs="新細明體"/>
                <w:b/>
                <w:sz w:val="28"/>
                <w:szCs w:val="28"/>
              </w:rPr>
            </w:pPr>
            <w:r>
              <w:rPr>
                <w:rFonts w:ascii="標楷體" w:hAnsi="標楷體" w:cs="新細明體" w:hint="eastAsia"/>
                <w:b/>
                <w:sz w:val="28"/>
                <w:szCs w:val="28"/>
              </w:rPr>
              <w:t>單位</w:t>
            </w:r>
          </w:p>
        </w:tc>
        <w:tc>
          <w:tcPr>
            <w:tcW w:w="5670" w:type="dxa"/>
            <w:vAlign w:val="center"/>
          </w:tcPr>
          <w:p w:rsidR="00C07ECB" w:rsidRPr="00C07ECB" w:rsidRDefault="00C07ECB" w:rsidP="00C07ECB">
            <w:pPr>
              <w:jc w:val="center"/>
              <w:rPr>
                <w:rFonts w:ascii="標楷體" w:hAnsi="標楷體" w:cs="新細明體"/>
                <w:b/>
                <w:sz w:val="28"/>
                <w:szCs w:val="28"/>
              </w:rPr>
            </w:pPr>
            <w:r w:rsidRPr="00C07ECB">
              <w:rPr>
                <w:rFonts w:ascii="標楷體" w:hAnsi="標楷體" w:cs="新細明體" w:hint="eastAsia"/>
                <w:b/>
                <w:sz w:val="28"/>
                <w:szCs w:val="28"/>
              </w:rPr>
              <w:t>計畫名稱</w:t>
            </w:r>
          </w:p>
        </w:tc>
        <w:tc>
          <w:tcPr>
            <w:tcW w:w="1701" w:type="dxa"/>
            <w:vAlign w:val="center"/>
          </w:tcPr>
          <w:p w:rsidR="00C07ECB" w:rsidRPr="00C07ECB" w:rsidRDefault="00C07ECB" w:rsidP="00C07ECB">
            <w:pPr>
              <w:jc w:val="center"/>
              <w:rPr>
                <w:rFonts w:ascii="標楷體" w:hAnsi="標楷體" w:cs="新細明體"/>
                <w:b/>
                <w:sz w:val="28"/>
                <w:szCs w:val="28"/>
              </w:rPr>
            </w:pPr>
            <w:r w:rsidRPr="00C07ECB">
              <w:rPr>
                <w:rFonts w:ascii="標楷體" w:hAnsi="標楷體" w:cs="新細明體" w:hint="eastAsia"/>
                <w:b/>
                <w:sz w:val="28"/>
                <w:szCs w:val="28"/>
              </w:rPr>
              <w:t>執行率</w:t>
            </w:r>
          </w:p>
        </w:tc>
      </w:tr>
      <w:tr w:rsidR="00C07ECB" w:rsidRPr="00C07ECB" w:rsidTr="00A14B3F">
        <w:trPr>
          <w:trHeight w:val="405"/>
        </w:trPr>
        <w:tc>
          <w:tcPr>
            <w:tcW w:w="1417"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農漁局</w:t>
            </w: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hint="eastAsia"/>
                <w:sz w:val="28"/>
                <w:szCs w:val="28"/>
              </w:rPr>
              <w:t>澎湖區漁會製冰冷凍廠興建工程</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cs="新細明體" w:hint="eastAsia"/>
                <w:sz w:val="28"/>
                <w:szCs w:val="28"/>
              </w:rPr>
              <w:t>0%</w:t>
            </w:r>
          </w:p>
        </w:tc>
      </w:tr>
      <w:tr w:rsidR="00C07ECB" w:rsidRPr="00C07ECB" w:rsidTr="00A14B3F">
        <w:trPr>
          <w:trHeight w:val="425"/>
        </w:trPr>
        <w:tc>
          <w:tcPr>
            <w:tcW w:w="1417"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教育處</w:t>
            </w: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hint="eastAsia"/>
                <w:sz w:val="28"/>
                <w:szCs w:val="28"/>
              </w:rPr>
              <w:t>多功能綜合體育館興建工程</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0.07%</w:t>
            </w:r>
          </w:p>
        </w:tc>
      </w:tr>
      <w:tr w:rsidR="00C07ECB" w:rsidRPr="00C07ECB" w:rsidTr="00A14B3F">
        <w:trPr>
          <w:trHeight w:val="403"/>
        </w:trPr>
        <w:tc>
          <w:tcPr>
            <w:tcW w:w="1417" w:type="dxa"/>
            <w:vMerge w:val="restart"/>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工務處</w:t>
            </w: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hint="eastAsia"/>
                <w:sz w:val="28"/>
                <w:szCs w:val="28"/>
              </w:rPr>
              <w:t>市區道路人本環境建設計畫</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25.03%</w:t>
            </w:r>
          </w:p>
        </w:tc>
      </w:tr>
      <w:tr w:rsidR="00C07ECB" w:rsidRPr="00C07ECB" w:rsidTr="00A14B3F">
        <w:trPr>
          <w:trHeight w:val="423"/>
        </w:trPr>
        <w:tc>
          <w:tcPr>
            <w:tcW w:w="1417" w:type="dxa"/>
            <w:vMerge/>
            <w:vAlign w:val="center"/>
          </w:tcPr>
          <w:p w:rsidR="00C07ECB" w:rsidRPr="00C07ECB" w:rsidRDefault="00C07ECB" w:rsidP="00C07ECB">
            <w:pPr>
              <w:jc w:val="center"/>
              <w:rPr>
                <w:rFonts w:ascii="標楷體" w:hAnsi="標楷體" w:cs="新細明體"/>
                <w:sz w:val="28"/>
                <w:szCs w:val="28"/>
              </w:rPr>
            </w:pP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hint="eastAsia"/>
                <w:sz w:val="28"/>
                <w:szCs w:val="28"/>
              </w:rPr>
              <w:t>澎湖縣環島自行車道第2期工程</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15.58%</w:t>
            </w:r>
          </w:p>
        </w:tc>
      </w:tr>
      <w:tr w:rsidR="00C07ECB" w:rsidRPr="00C07ECB" w:rsidTr="00A14B3F">
        <w:trPr>
          <w:trHeight w:val="844"/>
        </w:trPr>
        <w:tc>
          <w:tcPr>
            <w:tcW w:w="1417" w:type="dxa"/>
            <w:vMerge w:val="restart"/>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建設處</w:t>
            </w: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hint="eastAsia"/>
                <w:sz w:val="28"/>
                <w:szCs w:val="28"/>
              </w:rPr>
              <w:t>遊憩據點特色加值計畫(黃金海岸世界海洋故事園區)</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hint="eastAsia"/>
                <w:sz w:val="28"/>
                <w:szCs w:val="28"/>
              </w:rPr>
              <w:t>15.8%</w:t>
            </w:r>
          </w:p>
        </w:tc>
      </w:tr>
      <w:tr w:rsidR="00C07ECB" w:rsidRPr="00C07ECB" w:rsidTr="00A14B3F">
        <w:trPr>
          <w:trHeight w:val="417"/>
        </w:trPr>
        <w:tc>
          <w:tcPr>
            <w:tcW w:w="1417" w:type="dxa"/>
            <w:vMerge/>
            <w:vAlign w:val="center"/>
          </w:tcPr>
          <w:p w:rsidR="00C07ECB" w:rsidRPr="00C07ECB" w:rsidRDefault="00C07ECB" w:rsidP="00C07ECB">
            <w:pPr>
              <w:jc w:val="center"/>
              <w:rPr>
                <w:rFonts w:ascii="標楷體" w:hAnsi="標楷體" w:cs="新細明體"/>
                <w:sz w:val="28"/>
                <w:szCs w:val="28"/>
              </w:rPr>
            </w:pPr>
          </w:p>
        </w:tc>
        <w:tc>
          <w:tcPr>
            <w:tcW w:w="5670" w:type="dxa"/>
            <w:vAlign w:val="center"/>
          </w:tcPr>
          <w:p w:rsidR="00C07ECB" w:rsidRPr="00C07ECB" w:rsidRDefault="00C07ECB" w:rsidP="00C07ECB">
            <w:pPr>
              <w:rPr>
                <w:rFonts w:ascii="標楷體" w:hAnsi="標楷體" w:cs="新細明體"/>
                <w:sz w:val="28"/>
                <w:szCs w:val="28"/>
              </w:rPr>
            </w:pPr>
            <w:r w:rsidRPr="00C07ECB">
              <w:rPr>
                <w:rFonts w:ascii="標楷體" w:hAnsi="標楷體" w:cs="新細明體" w:hint="eastAsia"/>
                <w:kern w:val="0"/>
                <w:sz w:val="28"/>
                <w:szCs w:val="28"/>
              </w:rPr>
              <w:t>城鎮風貌型塑整體計畫</w:t>
            </w:r>
          </w:p>
        </w:tc>
        <w:tc>
          <w:tcPr>
            <w:tcW w:w="1701" w:type="dxa"/>
            <w:vAlign w:val="center"/>
          </w:tcPr>
          <w:p w:rsidR="00C07ECB" w:rsidRPr="00C07ECB" w:rsidRDefault="00C07ECB" w:rsidP="00C07ECB">
            <w:pPr>
              <w:jc w:val="center"/>
              <w:rPr>
                <w:rFonts w:ascii="標楷體" w:hAnsi="標楷體" w:cs="新細明體"/>
                <w:sz w:val="28"/>
                <w:szCs w:val="28"/>
              </w:rPr>
            </w:pPr>
            <w:r w:rsidRPr="00C07ECB">
              <w:rPr>
                <w:rFonts w:ascii="標楷體" w:hAnsi="標楷體" w:cs="新細明體" w:hint="eastAsia"/>
                <w:kern w:val="0"/>
                <w:sz w:val="28"/>
                <w:szCs w:val="28"/>
              </w:rPr>
              <w:t>33.12%</w:t>
            </w:r>
          </w:p>
        </w:tc>
      </w:tr>
    </w:tbl>
    <w:p w:rsidR="00C07ECB" w:rsidRPr="00C07ECB" w:rsidRDefault="00C07ECB" w:rsidP="00C07ECB">
      <w:pPr>
        <w:kinsoku w:val="0"/>
        <w:ind w:left="3110" w:hanging="2826"/>
        <w:outlineLvl w:val="0"/>
        <w:rPr>
          <w:rFonts w:ascii="標楷體" w:hAnsi="標楷體"/>
          <w:bCs/>
          <w:kern w:val="0"/>
          <w:sz w:val="24"/>
          <w:szCs w:val="24"/>
        </w:rPr>
      </w:pPr>
      <w:r w:rsidRPr="00C07ECB">
        <w:rPr>
          <w:rFonts w:ascii="標楷體" w:hAnsi="標楷體" w:hint="eastAsia"/>
          <w:bCs/>
          <w:kern w:val="0"/>
          <w:sz w:val="24"/>
          <w:szCs w:val="24"/>
        </w:rPr>
        <w:t>資料來源：據澎湖縣政府提供資料彙整。</w:t>
      </w:r>
    </w:p>
    <w:p w:rsidR="00C07ECB" w:rsidRPr="00C07ECB" w:rsidRDefault="00C07ECB" w:rsidP="00C07ECB">
      <w:pPr>
        <w:kinsoku w:val="0"/>
        <w:ind w:left="3110" w:hanging="2826"/>
        <w:outlineLvl w:val="0"/>
        <w:rPr>
          <w:rFonts w:ascii="標楷體" w:hAnsi="標楷體"/>
          <w:bCs/>
          <w:kern w:val="0"/>
          <w:sz w:val="28"/>
          <w:szCs w:val="28"/>
        </w:rPr>
      </w:pP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綜上，澎湖縣政府建設處、工務處及文化局連續5個年度（100-104年）預算實現數未達6成，105年度預算執行率除文化局已改善提高至70.59%，建設處仍僅32.58%、工務處36.79%，又旅遊處亦僅42.48%，均未能有效改善；另截至105年底，該府主管3,000萬元以上重大公共建設計畫預算共34個，平均預算執行率僅31.31%，高達1</w:t>
      </w:r>
      <w:r w:rsidR="00870CD1">
        <w:rPr>
          <w:rFonts w:ascii="標楷體" w:hAnsi="標楷體" w:hint="eastAsia"/>
          <w:bCs/>
          <w:kern w:val="0"/>
          <w:szCs w:val="36"/>
        </w:rPr>
        <w:t>8</w:t>
      </w:r>
      <w:r w:rsidRPr="00C07ECB">
        <w:rPr>
          <w:rFonts w:ascii="標楷體" w:hAnsi="標楷體" w:hint="eastAsia"/>
          <w:bCs/>
          <w:kern w:val="0"/>
          <w:szCs w:val="36"/>
        </w:rPr>
        <w:t>個計畫執行率未達5成，預算執行率欠佳，足見該府預算編列與計畫執行脫節情形迄今仍未能有效改善，影響預算資源運用效能，核有違失。</w:t>
      </w:r>
    </w:p>
    <w:p w:rsidR="00C07ECB" w:rsidRPr="00C07ECB" w:rsidRDefault="00C07ECB" w:rsidP="00C07ECB">
      <w:pPr>
        <w:numPr>
          <w:ilvl w:val="1"/>
          <w:numId w:val="1"/>
        </w:numPr>
        <w:kinsoku w:val="0"/>
        <w:jc w:val="both"/>
        <w:outlineLvl w:val="1"/>
        <w:rPr>
          <w:rFonts w:ascii="標楷體" w:hAnsi="標楷體"/>
          <w:b/>
          <w:bCs/>
          <w:kern w:val="0"/>
          <w:szCs w:val="48"/>
        </w:rPr>
      </w:pPr>
      <w:r w:rsidRPr="00C07ECB">
        <w:rPr>
          <w:rFonts w:ascii="標楷體" w:hAnsi="標楷體" w:hint="eastAsia"/>
          <w:b/>
          <w:bCs/>
          <w:kern w:val="0"/>
          <w:szCs w:val="48"/>
        </w:rPr>
        <w:t>澎湖縣政府辦理轄內重大建設</w:t>
      </w:r>
      <w:r w:rsidRPr="00C07ECB">
        <w:rPr>
          <w:rFonts w:ascii="標楷體" w:hAnsi="標楷體" w:cs="標楷體" w:hint="eastAsia"/>
          <w:b/>
          <w:bCs/>
          <w:kern w:val="0"/>
          <w:szCs w:val="32"/>
        </w:rPr>
        <w:t>計畫之擬定與規劃未盡審慎周延，</w:t>
      </w:r>
      <w:r w:rsidRPr="00C07ECB">
        <w:rPr>
          <w:rFonts w:ascii="標楷體" w:hAnsi="標楷體" w:hint="eastAsia"/>
          <w:b/>
          <w:bCs/>
          <w:kern w:val="0"/>
          <w:szCs w:val="48"/>
        </w:rPr>
        <w:t>經濟效益評估及財務可行性分析作業未臻詳實</w:t>
      </w:r>
      <w:r w:rsidRPr="00C07ECB">
        <w:rPr>
          <w:rFonts w:ascii="標楷體" w:hAnsi="標楷體" w:cs="標楷體" w:hint="eastAsia"/>
          <w:b/>
          <w:bCs/>
          <w:kern w:val="0"/>
          <w:szCs w:val="32"/>
        </w:rPr>
        <w:t>，導致</w:t>
      </w:r>
      <w:r w:rsidRPr="00C07ECB">
        <w:rPr>
          <w:rFonts w:ascii="標楷體" w:hAnsi="標楷體" w:hint="eastAsia"/>
          <w:b/>
          <w:bCs/>
          <w:kern w:val="0"/>
          <w:szCs w:val="48"/>
        </w:rPr>
        <w:t>近年來計畫停建、變更頻仍，且已編列預算因此長期保留無法執行，此除造成公帑虛擲、投入人力浪費及影響資源分配效率外，更斲傷政府威信，允應研謀改善措施，以有效解決。</w:t>
      </w:r>
    </w:p>
    <w:p w:rsidR="00C07ECB" w:rsidRPr="00C07ECB" w:rsidRDefault="00C07ECB" w:rsidP="00C07ECB">
      <w:pPr>
        <w:numPr>
          <w:ilvl w:val="2"/>
          <w:numId w:val="1"/>
        </w:numPr>
        <w:kinsoku w:val="0"/>
        <w:jc w:val="both"/>
        <w:outlineLvl w:val="2"/>
        <w:rPr>
          <w:rFonts w:ascii="標楷體" w:hAnsi="Arial"/>
          <w:bCs/>
          <w:kern w:val="0"/>
          <w:szCs w:val="36"/>
        </w:rPr>
      </w:pPr>
      <w:r w:rsidRPr="00C07ECB">
        <w:rPr>
          <w:rFonts w:ascii="標楷體" w:hAnsi="Arial" w:hint="eastAsia"/>
          <w:bCs/>
          <w:kern w:val="0"/>
          <w:szCs w:val="36"/>
        </w:rPr>
        <w:t>按</w:t>
      </w:r>
      <w:r w:rsidRPr="00C07ECB">
        <w:rPr>
          <w:rFonts w:ascii="標楷體" w:hAnsi="Arial" w:hint="eastAsia"/>
          <w:bCs/>
          <w:snapToGrid w:val="0"/>
          <w:kern w:val="0"/>
          <w:szCs w:val="36"/>
        </w:rPr>
        <w:t>預算法第34條規定，重要公共工程建設及重大施政計畫，應先製作選擇方案及替代方案之成本效益分析報告，並提供財源籌措及資金運用之說明，始得編列概算及預算案</w:t>
      </w:r>
      <w:r w:rsidR="007A3ADB">
        <w:rPr>
          <w:rFonts w:ascii="標楷體" w:hAnsi="Arial" w:hint="eastAsia"/>
          <w:bCs/>
          <w:snapToGrid w:val="0"/>
          <w:kern w:val="0"/>
          <w:szCs w:val="36"/>
        </w:rPr>
        <w:t>；</w:t>
      </w:r>
      <w:r w:rsidRPr="00C07ECB">
        <w:rPr>
          <w:rFonts w:ascii="標楷體" w:hAnsi="Arial" w:hint="eastAsia"/>
          <w:bCs/>
          <w:snapToGrid w:val="0"/>
          <w:kern w:val="0"/>
          <w:szCs w:val="36"/>
        </w:rPr>
        <w:t>次按</w:t>
      </w:r>
      <w:r w:rsidRPr="00C07ECB">
        <w:rPr>
          <w:rFonts w:ascii="標楷體" w:hAnsi="Arial" w:hint="eastAsia"/>
          <w:bCs/>
          <w:kern w:val="0"/>
          <w:szCs w:val="36"/>
        </w:rPr>
        <w:t>中央及地方政府預算籌編原則第2點政府預算收支之基本原則第3款規定：「政府各項消費支出應力求節約，本緊縮及節能原則確實檢討，新興重大支出，須同時籌有確切之財源後始可辦理，重要公共工程建設及重大施政計畫，應先行製作選擇方案及替代方案之成本效益分析報告，並開發自償性財源，凡經評估適宜由民間辦理之業務，應優先由民間興辦或促進民間參與。另為落實永續經營之政策，各機關提報重要公共建設應妥善規劃維護管理措施及財源，以利未來營運。</w:t>
      </w:r>
      <w:r w:rsidRPr="00C07ECB">
        <w:rPr>
          <w:rFonts w:ascii="標楷體" w:hAnsi="Arial" w:hint="eastAsia"/>
          <w:bCs/>
          <w:snapToGrid w:val="0"/>
          <w:kern w:val="0"/>
          <w:szCs w:val="36"/>
        </w:rPr>
        <w:t>」</w:t>
      </w:r>
      <w:r w:rsidRPr="00C07ECB">
        <w:rPr>
          <w:rFonts w:ascii="標楷體" w:hAnsi="Arial" w:hint="eastAsia"/>
          <w:bCs/>
          <w:kern w:val="0"/>
          <w:szCs w:val="36"/>
        </w:rPr>
        <w:t>衡諸上揭規定已</w:t>
      </w:r>
      <w:r w:rsidRPr="00C07ECB">
        <w:rPr>
          <w:rFonts w:ascii="標楷體" w:hAnsi="Arial" w:hint="eastAsia"/>
          <w:bCs/>
          <w:snapToGrid w:val="0"/>
          <w:kern w:val="0"/>
          <w:szCs w:val="36"/>
        </w:rPr>
        <w:t>明確規範重大公共工程建設及重大施政計畫之擬定評估相關機制，俾各機關審慎規劃，使政府資源得以妥善運用，以避免執行機關濫用。</w:t>
      </w:r>
      <w:r w:rsidRPr="00C07ECB">
        <w:rPr>
          <w:rFonts w:ascii="標楷體" w:hAnsi="Arial" w:hint="eastAsia"/>
          <w:bCs/>
          <w:kern w:val="0"/>
          <w:szCs w:val="36"/>
        </w:rPr>
        <w:t>惟查澎湖縣政府近年來推動辦理多項重大公共建設計畫成效未盡理想，計畫之擬定與規劃未盡審慎周延，經濟效益評估及財務可行性分析作業未臻詳實，導致近年來計畫停建、變更頻仍，有如大倉觀光文化園區計畫及中正橋與永安橋改建工程均已停建、青灣仙人掌公園計畫因執行期程延宕及廠商違反公司法等規定而與廠商終止契約待重新招商中、臺華輪汰舊換新計畫於103年核定後</w:t>
      </w:r>
      <w:r w:rsidR="007A3ADB">
        <w:rPr>
          <w:rFonts w:ascii="標楷體" w:hAnsi="Arial" w:hint="eastAsia"/>
          <w:bCs/>
          <w:kern w:val="0"/>
          <w:szCs w:val="36"/>
        </w:rPr>
        <w:t>，</w:t>
      </w:r>
      <w:r w:rsidRPr="00C07ECB">
        <w:rPr>
          <w:rFonts w:ascii="標楷體" w:hAnsi="Arial" w:hint="eastAsia"/>
          <w:bCs/>
          <w:kern w:val="0"/>
          <w:szCs w:val="36"/>
        </w:rPr>
        <w:t>經變更重新規劃迄今始將修正計畫陳報行政院核定，核</w:t>
      </w:r>
      <w:r w:rsidR="007A3ADB">
        <w:rPr>
          <w:rFonts w:ascii="標楷體" w:hAnsi="Arial" w:hint="eastAsia"/>
          <w:bCs/>
          <w:kern w:val="0"/>
          <w:szCs w:val="36"/>
        </w:rPr>
        <w:t>均</w:t>
      </w:r>
      <w:r w:rsidRPr="00C07ECB">
        <w:rPr>
          <w:rFonts w:ascii="標楷體" w:hAnsi="Arial" w:hint="eastAsia"/>
          <w:bCs/>
          <w:kern w:val="0"/>
          <w:szCs w:val="36"/>
        </w:rPr>
        <w:t>有違失。</w:t>
      </w:r>
    </w:p>
    <w:p w:rsidR="00C07ECB" w:rsidRPr="00C07ECB" w:rsidRDefault="00C07ECB" w:rsidP="00C07ECB">
      <w:pPr>
        <w:numPr>
          <w:ilvl w:val="2"/>
          <w:numId w:val="1"/>
        </w:numPr>
        <w:kinsoku w:val="0"/>
        <w:jc w:val="both"/>
        <w:outlineLvl w:val="2"/>
        <w:rPr>
          <w:rFonts w:ascii="標楷體" w:hAnsi="Arial"/>
          <w:bCs/>
          <w:kern w:val="0"/>
          <w:szCs w:val="36"/>
        </w:rPr>
      </w:pPr>
      <w:r w:rsidRPr="00C07ECB">
        <w:rPr>
          <w:rFonts w:ascii="標楷體" w:hAnsi="標楷體" w:hint="eastAsia"/>
          <w:bCs/>
          <w:kern w:val="0"/>
          <w:szCs w:val="36"/>
        </w:rPr>
        <w:t>以該府辦理大倉觀光文化園區計畫觀之，</w:t>
      </w:r>
      <w:r w:rsidRPr="00C07ECB">
        <w:rPr>
          <w:rFonts w:ascii="標楷體" w:hAnsi="Arial" w:hint="eastAsia"/>
          <w:bCs/>
          <w:kern w:val="0"/>
          <w:szCs w:val="36"/>
        </w:rPr>
        <w:t>該府對該計畫之擬定未盡審慎周延，實際僅</w:t>
      </w:r>
      <w:r w:rsidRPr="00C07ECB">
        <w:rPr>
          <w:rFonts w:ascii="標楷體" w:hAnsi="標楷體" w:hint="eastAsia"/>
          <w:kern w:val="0"/>
          <w:szCs w:val="32"/>
        </w:rPr>
        <w:t>規劃</w:t>
      </w:r>
      <w:r w:rsidRPr="00C07ECB">
        <w:rPr>
          <w:rFonts w:ascii="標楷體" w:hAnsi="Arial" w:hint="eastAsia"/>
          <w:bCs/>
          <w:kern w:val="0"/>
          <w:szCs w:val="36"/>
        </w:rPr>
        <w:t>辦理媽祖觀光文化園區區域計畫一項，與原規劃內容不一，其餘漁村聚落生活園區等5個區域計畫，或停辦或</w:t>
      </w:r>
      <w:r w:rsidRPr="00C07ECB">
        <w:rPr>
          <w:rFonts w:ascii="標楷體" w:hAnsi="Arial" w:hint="eastAsia"/>
          <w:bCs/>
          <w:kern w:val="0"/>
          <w:szCs w:val="32"/>
        </w:rPr>
        <w:t>併入</w:t>
      </w:r>
      <w:r w:rsidRPr="00C07ECB">
        <w:rPr>
          <w:rFonts w:ascii="標楷體" w:hAnsi="Arial" w:hint="eastAsia"/>
          <w:bCs/>
          <w:kern w:val="0"/>
          <w:szCs w:val="36"/>
        </w:rPr>
        <w:t>其他計畫辦理，或已完成初步規劃卻無經費可執行，或尚未辦理規劃，或僅完成部分計畫工作內容……等等；另計畫內對於遊憩容受力評估、設施容受力評估、聯外交通運輸評估及觀光遊憩人次評估均未盡妥適，加以計畫經濟效益評估及財務可行性分析未臻確實，致該計畫於推動執行4年後，該府於104年3月17日以財政、環評及民意考量等因素（該縣財政困難，財源均依賴中央補助辦理，自籌經費辦理實力有未逮、倘全數自籌將產生排擠效應，影響其他縣政建設、民間捐款僅500餘萬元未達預定目標、引入大量人潮及開發行為恐將影響大倉島現有環境及生態、對口港預定重光港及西衛港均未完成整建，其聯外道路亦未興建，如需執行尚須耗費鉅資、民調結果支持興建比率為20%，不支持為55%，民意傾向不再興建……等等）宣布不再續建，已完成設施及媽祖雕像截至本院調查為止，該府尚無具體處理計畫，雕像部分僅初擬朝「標售」或「提供其他機關使用」等方式辦理，肇致已完成設施及媽祖雕像閒置，已投入2.52億餘元之鉅額計畫經費迄今未能發揮效能，無法產生預期效益，並衍生賠償承包廠商損失問題，爭議金額高達1.54億餘元。又本院於本（106）年7月18日實地履勘該園區，發現現場荒蕪一片，除雜草叢生外，廢棄工程用具、鋼筋等散見各處，圍籬傾倒、鋼筋鏽蝕裸露，媽祖雕像基座完成多時，迄今已見鋼筋鏽蝕，內部尚堆砌雜物；又部分媽祖雕像銅製板片（按：該府表示約2/7，5/7留置於承包廠商處）遭包裝堆置於</w:t>
      </w:r>
      <w:r w:rsidR="007A3ADB">
        <w:rPr>
          <w:rFonts w:ascii="標楷體" w:hAnsi="Arial" w:hint="eastAsia"/>
          <w:bCs/>
          <w:kern w:val="0"/>
          <w:szCs w:val="36"/>
        </w:rPr>
        <w:t>園區</w:t>
      </w:r>
      <w:r w:rsidRPr="00C07ECB">
        <w:rPr>
          <w:rFonts w:ascii="標楷體" w:hAnsi="Arial" w:hint="eastAsia"/>
          <w:bCs/>
          <w:kern w:val="0"/>
          <w:szCs w:val="36"/>
        </w:rPr>
        <w:t>臨海空地且已放置多時，如未能妥善保存，板片恐已受潮損傷，對後續標售不無造成影響。</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且該府辦理中正橋與永安橋改建工程計畫，本案計畫經費11億元</w:t>
      </w:r>
      <w:r w:rsidR="00052945">
        <w:rPr>
          <w:rFonts w:ascii="標楷體" w:hAnsi="標楷體" w:hint="eastAsia"/>
          <w:bCs/>
          <w:kern w:val="0"/>
          <w:szCs w:val="36"/>
        </w:rPr>
        <w:t>（</w:t>
      </w:r>
      <w:r w:rsidRPr="00C07ECB">
        <w:rPr>
          <w:rFonts w:ascii="標楷體" w:hAnsi="標楷體" w:hint="eastAsia"/>
          <w:bCs/>
          <w:kern w:val="0"/>
          <w:szCs w:val="36"/>
        </w:rPr>
        <w:t>交通部公路總局於103年9月</w:t>
      </w:r>
      <w:r w:rsidR="00052945">
        <w:rPr>
          <w:rFonts w:ascii="標楷體" w:hAnsi="標楷體" w:hint="eastAsia"/>
          <w:bCs/>
          <w:kern w:val="0"/>
          <w:szCs w:val="36"/>
        </w:rPr>
        <w:t>間</w:t>
      </w:r>
      <w:r w:rsidRPr="00C07ECB">
        <w:rPr>
          <w:rFonts w:ascii="標楷體" w:hAnsi="標楷體" w:hint="eastAsia"/>
          <w:bCs/>
          <w:kern w:val="0"/>
          <w:szCs w:val="36"/>
        </w:rPr>
        <w:t>同意補助8億元，該府自籌配合款3億元</w:t>
      </w:r>
      <w:r w:rsidR="00052945">
        <w:rPr>
          <w:rFonts w:ascii="標楷體" w:hAnsi="標楷體" w:hint="eastAsia"/>
          <w:bCs/>
          <w:kern w:val="0"/>
          <w:szCs w:val="36"/>
        </w:rPr>
        <w:t>）</w:t>
      </w:r>
      <w:r w:rsidRPr="00C07ECB">
        <w:rPr>
          <w:rFonts w:ascii="標楷體" w:hAnsi="標楷體" w:hint="eastAsia"/>
          <w:bCs/>
          <w:kern w:val="0"/>
          <w:szCs w:val="36"/>
        </w:rPr>
        <w:t>，於同年11、12月辦理公開招標，然因無人投標而流標，嗣經該府於104年3月5日開會檢討後，</w:t>
      </w:r>
      <w:r w:rsidR="00052945">
        <w:rPr>
          <w:rFonts w:ascii="標楷體" w:hAnsi="標楷體" w:hint="eastAsia"/>
          <w:bCs/>
          <w:kern w:val="0"/>
          <w:szCs w:val="36"/>
        </w:rPr>
        <w:t>以</w:t>
      </w:r>
      <w:r w:rsidRPr="00C07ECB">
        <w:rPr>
          <w:rFonts w:ascii="標楷體" w:hAnsi="標楷體" w:hint="eastAsia"/>
          <w:bCs/>
          <w:kern w:val="0"/>
          <w:szCs w:val="36"/>
        </w:rPr>
        <w:t>考量財政問題</w:t>
      </w:r>
      <w:r w:rsidR="00052945">
        <w:rPr>
          <w:rFonts w:ascii="標楷體" w:hAnsi="標楷體" w:hint="eastAsia"/>
          <w:bCs/>
          <w:kern w:val="0"/>
          <w:szCs w:val="36"/>
        </w:rPr>
        <w:t>，</w:t>
      </w:r>
      <w:r w:rsidRPr="00C07ECB">
        <w:rPr>
          <w:rFonts w:ascii="標楷體" w:hAnsi="標楷體" w:hint="eastAsia"/>
          <w:bCs/>
          <w:kern w:val="0"/>
          <w:szCs w:val="36"/>
        </w:rPr>
        <w:t>決定調降計畫總經費為9億5,000元(補助經費維持8億元，該府自籌款下修為1億5,000元)，並將計畫予以變更，原計畫係將橋體提高離水8公尺、橋面拓寬為24公尺，變更為離水4公尺、縮窄橋面為20公尺。案經交通部公路總局於同年5月26日同意修正計畫</w:t>
      </w:r>
      <w:r w:rsidR="00052945">
        <w:rPr>
          <w:rFonts w:ascii="標楷體" w:hAnsi="標楷體" w:hint="eastAsia"/>
          <w:bCs/>
          <w:kern w:val="0"/>
          <w:szCs w:val="36"/>
        </w:rPr>
        <w:t>，</w:t>
      </w:r>
      <w:r w:rsidRPr="00C07ECB">
        <w:rPr>
          <w:rFonts w:ascii="標楷體" w:hAnsi="標楷體" w:hint="eastAsia"/>
          <w:bCs/>
          <w:kern w:val="0"/>
          <w:szCs w:val="36"/>
        </w:rPr>
        <w:t>嗣澎湖縣議會於第18屆第2次定期會第9次會議決議</w:t>
      </w:r>
      <w:r w:rsidR="00052945">
        <w:rPr>
          <w:rFonts w:ascii="標楷體" w:hAnsi="標楷體" w:hint="eastAsia"/>
          <w:bCs/>
          <w:kern w:val="0"/>
          <w:szCs w:val="36"/>
        </w:rPr>
        <w:t>並</w:t>
      </w:r>
      <w:r w:rsidRPr="00C07ECB">
        <w:rPr>
          <w:rFonts w:ascii="標楷體" w:hAnsi="標楷體" w:hint="eastAsia"/>
          <w:bCs/>
          <w:kern w:val="0"/>
          <w:szCs w:val="36"/>
        </w:rPr>
        <w:t>於104年11月12日澎議字第1040002119號函澎湖縣政府以：「中正橋、永安橋設計變更改建案，已失原先大橋設計呈現海洋意象增加觀光吸引力之本意，不符主流民意期待，應即停止改建</w:t>
      </w:r>
      <w:r w:rsidR="00052945">
        <w:rPr>
          <w:rFonts w:ascii="標楷體" w:hAnsi="標楷體" w:hint="eastAsia"/>
          <w:bCs/>
          <w:kern w:val="0"/>
          <w:szCs w:val="36"/>
        </w:rPr>
        <w:t>。</w:t>
      </w:r>
      <w:r w:rsidRPr="00C07ECB">
        <w:rPr>
          <w:rFonts w:ascii="標楷體" w:hAnsi="標楷體" w:hint="eastAsia"/>
          <w:bCs/>
          <w:kern w:val="0"/>
          <w:szCs w:val="36"/>
        </w:rPr>
        <w:t>」</w:t>
      </w:r>
      <w:r w:rsidR="00052945">
        <w:rPr>
          <w:rFonts w:ascii="標楷體" w:hAnsi="標楷體" w:hint="eastAsia"/>
          <w:bCs/>
          <w:kern w:val="0"/>
          <w:szCs w:val="36"/>
        </w:rPr>
        <w:t>又</w:t>
      </w:r>
      <w:r w:rsidRPr="00C07ECB">
        <w:rPr>
          <w:rFonts w:ascii="標楷體" w:hAnsi="標楷體" w:hint="eastAsia"/>
          <w:bCs/>
          <w:kern w:val="0"/>
          <w:szCs w:val="36"/>
        </w:rPr>
        <w:t>於同年12月15日澎湖縣議會再次函澎湖縣政府，略以：請尊重民意停止改建，欲繼續改建應依原計畫推動。</w:t>
      </w:r>
      <w:r w:rsidR="00052945">
        <w:rPr>
          <w:rFonts w:ascii="標楷體" w:hAnsi="標楷體" w:hint="eastAsia"/>
          <w:bCs/>
          <w:kern w:val="0"/>
          <w:szCs w:val="36"/>
        </w:rPr>
        <w:t>另</w:t>
      </w:r>
      <w:r w:rsidRPr="00C07ECB">
        <w:rPr>
          <w:rFonts w:ascii="標楷體" w:hAnsi="標楷體" w:hint="eastAsia"/>
          <w:bCs/>
          <w:kern w:val="0"/>
          <w:szCs w:val="36"/>
        </w:rPr>
        <w:t>澎湖縣議會復於第18屆第6次臨時會審議決議第1案第34項「(1)縣府工務處……其餘預算全數凍結，俟中正、永安橋改建案，取得本會確認共識後，始得動支。」該府遂於105年1月5日以府工土字第1041009440號函復澎湖縣議會，將辦理停止改建作業相關事宜。該計畫已投入810萬規劃設計費，惟規劃後再予變更，且變更後又停止改建，此除造成公帑虛擲，且導致投入人力浪費。澎湖縣政府對本案進行檢討，未來計畫之擬定務必周延及謹慎，並加強與議會之溝通，避免類似情形再次發生。另針對重大計畫應就先期可行評估加強審核，務必將各項影響因素納入考量，期使計畫內容完善，如期完成。足證該府辦理重大計畫欠缺審慎周延。</w:t>
      </w:r>
    </w:p>
    <w:p w:rsidR="00C07ECB" w:rsidRPr="00C07ECB" w:rsidRDefault="00C07ECB" w:rsidP="00C07ECB">
      <w:pPr>
        <w:numPr>
          <w:ilvl w:val="2"/>
          <w:numId w:val="1"/>
        </w:numPr>
        <w:kinsoku w:val="0"/>
        <w:jc w:val="both"/>
        <w:outlineLvl w:val="2"/>
        <w:rPr>
          <w:rFonts w:ascii="標楷體" w:hAnsi="Arial"/>
          <w:bCs/>
          <w:kern w:val="0"/>
          <w:szCs w:val="36"/>
        </w:rPr>
      </w:pPr>
      <w:r w:rsidRPr="00C07ECB">
        <w:rPr>
          <w:rFonts w:ascii="標楷體" w:hAnsi="Arial" w:hint="eastAsia"/>
          <w:bCs/>
          <w:kern w:val="0"/>
          <w:szCs w:val="36"/>
        </w:rPr>
        <w:t>又，澎湖縣政府辦理青灣仙人掌公園興建營運移轉案，自96年度至99年度，各項細部計畫已投入1.1億餘元。99年度該府於競爭型國際觀光魅力據點示範計畫中賡續辦理青灣仙人掌園區第5期細部設計、園區潛水、浮潛設施基礎設施新建工程，再投入8,994萬餘元，累計共投入經費2億餘元，並於101年12月10日與澎湖仙人掌開發股份有限公司簽訂「民間參與澎湖青灣仙人掌公園整建興建及營運案開發經營契約」</w:t>
      </w:r>
      <w:r w:rsidR="00FE1C9E">
        <w:rPr>
          <w:rFonts w:ascii="標楷體" w:hAnsi="Arial" w:hint="eastAsia"/>
          <w:bCs/>
          <w:kern w:val="0"/>
          <w:szCs w:val="36"/>
        </w:rPr>
        <w:t>。</w:t>
      </w:r>
      <w:r w:rsidRPr="00C07ECB">
        <w:rPr>
          <w:rFonts w:ascii="標楷體" w:hAnsi="Arial" w:hint="eastAsia"/>
          <w:bCs/>
          <w:kern w:val="0"/>
          <w:szCs w:val="36"/>
        </w:rPr>
        <w:t>惟據審計部指出，因該府未依契約規定期限，取得第1、2期工程建築物之使用執照，又未妥適規劃及詳實審查第4期工程委託細部設計內容，導致已完成驗收之設計內容須大幅修正，增加公帑辨理契約變更，復未積極辦理第4期委託規劃設計之變更契約，任由設計書圖修正作業持續延宕，於驗收合格後又歷時1年9個月始完成修正，且工程開工後旋即停工辦理變更設計，嚴重延宕青灣仙人掌公園計畫執行期程等缺失。本計畫因該府上開執行缺失，加上廠商無法如期完成園區整備對外正式開放營運及廠商另案</w:t>
      </w:r>
      <w:r w:rsidRPr="00C07ECB">
        <w:rPr>
          <w:rFonts w:ascii="標楷體" w:hAnsi="標楷體" w:hint="eastAsia"/>
          <w:bCs/>
          <w:kern w:val="0"/>
          <w:szCs w:val="36"/>
        </w:rPr>
        <w:t>違反公司法第9條第1項、商業會計法第71條第5款及刑法第214條規定，經臺灣澎湖地方法院刑事判決確定，該違法情事</w:t>
      </w:r>
      <w:r w:rsidRPr="00C07ECB">
        <w:rPr>
          <w:rFonts w:ascii="標楷體" w:hAnsi="Arial" w:hint="eastAsia"/>
          <w:bCs/>
          <w:kern w:val="0"/>
          <w:szCs w:val="36"/>
        </w:rPr>
        <w:t>嚴重影響縣政府形象，該府於105年9月1日與廠商合意終止契約，後續將依程序修正招商契約重新招商。本院於本年7月18日履勘該園區發現潛水、浮潛設施，男女淋浴間各僅5間，間數過少，正式營運恐不敷需求，且該園區投入成本高達2億餘元，現已閒置多時，區內雜草叢生、設施荒廢老舊，</w:t>
      </w:r>
      <w:r w:rsidR="00FE1C9E">
        <w:rPr>
          <w:rFonts w:ascii="標楷體" w:hAnsi="Arial" w:hint="eastAsia"/>
          <w:bCs/>
          <w:kern w:val="0"/>
          <w:szCs w:val="36"/>
        </w:rPr>
        <w:t>現場環境</w:t>
      </w:r>
      <w:r w:rsidRPr="00C07ECB">
        <w:rPr>
          <w:rFonts w:ascii="標楷體" w:hAnsi="Arial" w:hint="eastAsia"/>
          <w:bCs/>
          <w:kern w:val="0"/>
          <w:szCs w:val="36"/>
        </w:rPr>
        <w:t>髒亂</w:t>
      </w:r>
      <w:r w:rsidR="00FE1C9E">
        <w:rPr>
          <w:rFonts w:ascii="標楷體" w:hAnsi="Arial" w:hint="eastAsia"/>
          <w:bCs/>
          <w:kern w:val="0"/>
          <w:szCs w:val="36"/>
        </w:rPr>
        <w:t>、</w:t>
      </w:r>
      <w:r w:rsidRPr="00C07ECB">
        <w:rPr>
          <w:rFonts w:ascii="標楷體" w:hAnsi="Arial" w:hint="eastAsia"/>
          <w:bCs/>
          <w:kern w:val="0"/>
          <w:szCs w:val="36"/>
        </w:rPr>
        <w:t>堆砌</w:t>
      </w:r>
      <w:r w:rsidR="00FE1C9E">
        <w:rPr>
          <w:rFonts w:ascii="標楷體" w:hAnsi="Arial" w:hint="eastAsia"/>
          <w:bCs/>
          <w:kern w:val="0"/>
          <w:szCs w:val="36"/>
        </w:rPr>
        <w:t>垃圾雜物</w:t>
      </w:r>
      <w:r w:rsidRPr="00C07ECB">
        <w:rPr>
          <w:rFonts w:ascii="標楷體" w:hAnsi="Arial" w:hint="eastAsia"/>
          <w:bCs/>
          <w:kern w:val="0"/>
          <w:szCs w:val="36"/>
        </w:rPr>
        <w:t>，且自終止契約迄今已近1年，該府仍未完成營運資產鑑價評估作業，加上未來仍須再辦理重新招商作業，園區何時方能正式啟用營運，顯遙遙無期，造成已投資鉅額公帑興建之建物及設施，無法發揮預期效益及達成計畫目標，核有效能過低之情事。</w:t>
      </w:r>
    </w:p>
    <w:p w:rsidR="00C07ECB" w:rsidRPr="00C07ECB" w:rsidRDefault="00C07ECB" w:rsidP="00C07ECB">
      <w:pPr>
        <w:numPr>
          <w:ilvl w:val="2"/>
          <w:numId w:val="1"/>
        </w:numPr>
        <w:kinsoku w:val="0"/>
        <w:jc w:val="both"/>
        <w:outlineLvl w:val="2"/>
        <w:rPr>
          <w:rFonts w:ascii="標楷體" w:hAnsi="標楷體" w:cs="標楷體"/>
          <w:bCs/>
          <w:kern w:val="0"/>
          <w:szCs w:val="32"/>
        </w:rPr>
      </w:pPr>
      <w:r w:rsidRPr="00C07ECB">
        <w:rPr>
          <w:rFonts w:ascii="標楷體" w:hAnsi="Arial" w:hint="eastAsia"/>
          <w:bCs/>
          <w:kern w:val="0"/>
          <w:szCs w:val="36"/>
        </w:rPr>
        <w:t>再者，該府辦理臺華輪汰舊換新計畫，亦基於公共利益與地方民意需求，於105年12月15日變更計畫，取消「新臺華輪委託經營與管理採購案」，並依照政府採購法第48條辦理廢標</w:t>
      </w:r>
      <w:r w:rsidR="00FE1C9E">
        <w:rPr>
          <w:rFonts w:ascii="標楷體" w:hAnsi="Arial" w:hint="eastAsia"/>
          <w:bCs/>
          <w:kern w:val="0"/>
          <w:szCs w:val="36"/>
        </w:rPr>
        <w:t>。</w:t>
      </w:r>
      <w:r w:rsidRPr="00C07ECB">
        <w:rPr>
          <w:rFonts w:ascii="標楷體" w:hAnsi="Arial" w:hint="eastAsia"/>
          <w:bCs/>
          <w:kern w:val="0"/>
          <w:szCs w:val="36"/>
        </w:rPr>
        <w:t>據該府統計本計畫已投入經費</w:t>
      </w:r>
      <w:r w:rsidRPr="00C07ECB">
        <w:rPr>
          <w:rFonts w:ascii="標楷體" w:hAnsi="Arial" w:cs="標楷體" w:hint="eastAsia"/>
          <w:bCs/>
          <w:kern w:val="0"/>
          <w:szCs w:val="32"/>
        </w:rPr>
        <w:t>1,750萬元（包含規劃設計1,330萬元，專案管理含監造第1期款360萬元，行政事務費60萬元）。經查，該計畫自103年經行政院核定後，嗣因原計畫所規劃之</w:t>
      </w:r>
      <w:r w:rsidRPr="00C07ECB">
        <w:rPr>
          <w:rFonts w:ascii="標楷體" w:hAnsi="標楷體" w:hint="eastAsia"/>
          <w:bCs/>
          <w:kern w:val="0"/>
          <w:szCs w:val="36"/>
        </w:rPr>
        <w:t>船速未符多數鄉親需求等原因而予以變更計畫，造成投入人力浪費，新計畫與原計畫規劃不同之處在於船速、船班、</w:t>
      </w:r>
      <w:r w:rsidRPr="00C07ECB">
        <w:rPr>
          <w:rFonts w:ascii="標楷體" w:hAnsi="標楷體" w:hint="eastAsia"/>
          <w:bCs/>
          <w:kern w:val="0"/>
          <w:szCs w:val="32"/>
        </w:rPr>
        <w:t>航線及船舶建造等，足見該府對於該計畫之規劃未盡審慎周延，</w:t>
      </w:r>
      <w:r w:rsidRPr="00C07ECB">
        <w:rPr>
          <w:rFonts w:ascii="標楷體" w:hAnsi="Arial" w:cs="標楷體" w:hint="eastAsia"/>
          <w:bCs/>
          <w:kern w:val="0"/>
          <w:szCs w:val="32"/>
        </w:rPr>
        <w:t>核有疏失，且</w:t>
      </w:r>
      <w:r w:rsidRPr="00C07ECB">
        <w:rPr>
          <w:rFonts w:ascii="標楷體" w:hAnsi="標楷體" w:hint="eastAsia"/>
          <w:bCs/>
          <w:kern w:val="0"/>
          <w:szCs w:val="32"/>
        </w:rPr>
        <w:t>因計畫變更亦導致該計畫已編列6億餘元經費</w:t>
      </w:r>
      <w:r w:rsidRPr="00C07ECB">
        <w:rPr>
          <w:rFonts w:ascii="標楷體" w:hAnsi="Arial" w:cs="標楷體" w:hint="eastAsia"/>
          <w:bCs/>
          <w:kern w:val="0"/>
          <w:szCs w:val="32"/>
        </w:rPr>
        <w:t>迄今無法動支，</w:t>
      </w:r>
      <w:r w:rsidRPr="00C07ECB">
        <w:rPr>
          <w:rFonts w:ascii="標楷體" w:hAnsi="標楷體" w:cs="標楷體" w:hint="eastAsia"/>
          <w:bCs/>
          <w:kern w:val="0"/>
          <w:szCs w:val="32"/>
        </w:rPr>
        <w:t>105年度預算執行率僅0.12%，此亦</w:t>
      </w:r>
      <w:r w:rsidRPr="00C07ECB">
        <w:rPr>
          <w:rFonts w:ascii="標楷體" w:hAnsi="標楷體" w:hint="eastAsia"/>
          <w:bCs/>
          <w:kern w:val="0"/>
          <w:szCs w:val="36"/>
        </w:rPr>
        <w:t>影響該府資源使用效能，又新</w:t>
      </w:r>
      <w:r w:rsidRPr="00C07ECB">
        <w:rPr>
          <w:rFonts w:ascii="標楷體" w:hAnsi="標楷體" w:cs="標楷體" w:hint="eastAsia"/>
          <w:bCs/>
          <w:kern w:val="0"/>
          <w:szCs w:val="32"/>
        </w:rPr>
        <w:t>計畫目前尚</w:t>
      </w:r>
      <w:r w:rsidRPr="00C07ECB">
        <w:rPr>
          <w:rFonts w:ascii="標楷體" w:hAnsi="Arial" w:cs="標楷體" w:hint="eastAsia"/>
          <w:bCs/>
          <w:kern w:val="0"/>
          <w:szCs w:val="32"/>
        </w:rPr>
        <w:t>待行政院核定，何時方能執行實屬未知，</w:t>
      </w:r>
      <w:r w:rsidR="00FE1C9E" w:rsidRPr="00C07ECB">
        <w:rPr>
          <w:rFonts w:ascii="標楷體" w:hAnsi="Arial" w:cs="標楷體" w:hint="eastAsia"/>
          <w:bCs/>
          <w:kern w:val="0"/>
          <w:szCs w:val="32"/>
        </w:rPr>
        <w:t>此</w:t>
      </w:r>
      <w:r w:rsidRPr="00C07ECB">
        <w:rPr>
          <w:rFonts w:ascii="標楷體" w:hAnsi="Arial" w:cs="標楷體" w:hint="eastAsia"/>
          <w:bCs/>
          <w:kern w:val="0"/>
          <w:szCs w:val="32"/>
        </w:rPr>
        <w:t>亦造成民眾對於政府施政欠缺效能之不佳觀感，斲傷政府威信</w:t>
      </w:r>
      <w:r w:rsidRPr="00C07ECB">
        <w:rPr>
          <w:rFonts w:ascii="標楷體" w:hAnsi="標楷體" w:cs="標楷體" w:hint="eastAsia"/>
          <w:bCs/>
          <w:kern w:val="0"/>
          <w:szCs w:val="32"/>
        </w:rPr>
        <w:t>。</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cs="標楷體" w:hint="eastAsia"/>
          <w:bCs/>
          <w:kern w:val="0"/>
          <w:szCs w:val="32"/>
        </w:rPr>
        <w:t>另</w:t>
      </w:r>
      <w:r w:rsidRPr="00C07ECB">
        <w:rPr>
          <w:rFonts w:ascii="標楷體" w:hAnsi="標楷體" w:hint="eastAsia"/>
          <w:bCs/>
          <w:snapToGrid w:val="0"/>
          <w:kern w:val="0"/>
          <w:szCs w:val="36"/>
        </w:rPr>
        <w:t>澎防部遷建計畫(第2、3階段)及101-102年度澎防部新址徵收計畫</w:t>
      </w:r>
      <w:r w:rsidR="00FE1C9E">
        <w:rPr>
          <w:rFonts w:ascii="標楷體" w:hAnsi="標楷體" w:hint="eastAsia"/>
          <w:bCs/>
          <w:snapToGrid w:val="0"/>
          <w:kern w:val="0"/>
          <w:szCs w:val="36"/>
        </w:rPr>
        <w:t>，</w:t>
      </w:r>
      <w:r w:rsidRPr="00C07ECB">
        <w:rPr>
          <w:rFonts w:ascii="標楷體" w:hAnsi="標楷體" w:hint="eastAsia"/>
          <w:bCs/>
          <w:snapToGrid w:val="0"/>
          <w:kern w:val="0"/>
          <w:szCs w:val="36"/>
        </w:rPr>
        <w:t>分別於100年及101年開始辦理，然</w:t>
      </w:r>
      <w:r w:rsidR="00FE1C9E">
        <w:rPr>
          <w:rFonts w:ascii="標楷體" w:hAnsi="標楷體" w:hint="eastAsia"/>
          <w:bCs/>
          <w:snapToGrid w:val="0"/>
          <w:kern w:val="0"/>
          <w:szCs w:val="36"/>
        </w:rPr>
        <w:t>因</w:t>
      </w:r>
      <w:r w:rsidRPr="00C07ECB">
        <w:rPr>
          <w:rFonts w:ascii="標楷體" w:hAnsi="標楷體" w:hint="eastAsia"/>
          <w:bCs/>
          <w:snapToGrid w:val="0"/>
          <w:kern w:val="0"/>
          <w:szCs w:val="36"/>
        </w:rPr>
        <w:t>計畫執行欠佳，澎湖縣議會於104年6月18日府行管字第1040033616號函請該府就各種面向深入評估檢討，如有必要再向中央提出計畫變更，以確保地方公共建設服務之提供。嗣後該府暫緩辦理新址工程，並將「澎防部莒光營區遷建計畫」變更區分為短期及長期計畫，於106年3月10日將變更計畫函送交通部協助轉陳行政院同意。該等計畫顯均未確實評估，導致計畫執行延宕多年無法順利完成，該府亦有疏失。</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綜上，澎湖縣政府長期以來自有經費不足，仰賴中央政府補助收入挹注，</w:t>
      </w:r>
      <w:r w:rsidRPr="00C07ECB">
        <w:rPr>
          <w:rFonts w:ascii="標楷體" w:hAnsi="標楷體" w:hint="eastAsia"/>
          <w:bCs/>
          <w:snapToGrid w:val="0"/>
          <w:kern w:val="0"/>
          <w:szCs w:val="36"/>
        </w:rPr>
        <w:t>財政</w:t>
      </w:r>
      <w:r w:rsidRPr="00C07ECB">
        <w:rPr>
          <w:rFonts w:ascii="標楷體" w:hAnsi="標楷體" w:hint="eastAsia"/>
          <w:bCs/>
          <w:kern w:val="0"/>
          <w:szCs w:val="36"/>
        </w:rPr>
        <w:t>自主性顯著偏低，除應積極開源節流，以改善財政困境，對於計畫之執行更應審慎避免浪費，然而本院調查發現，該府諸多計畫未能審慎執行，導致計畫停建、變更頻仍，計畫執行延宕亦造成已編列預算長期保留無法執行，影響政府施政形象，經彙整統計前述停建、停辦及改建之計畫，總投入成本已高達4.78億餘元，經費之運用顯未達預期效益，且浪費該政府有限資源，此除造成公帑虛擲、投入人力浪費及影響資源分配效率外，更斲傷政府威信，是以，澎湖縣政府允應研謀改善措施，以有效解決，未來推行各項重大公共建設計畫允宜審慎評估、確實規劃並妥善辦理可行性研究，以避免草率提報計畫，導致執行延宕，影響重大公共建設之推行。</w:t>
      </w:r>
    </w:p>
    <w:p w:rsidR="00C07ECB" w:rsidRPr="00C07ECB" w:rsidRDefault="00C07ECB" w:rsidP="00C07ECB">
      <w:pPr>
        <w:numPr>
          <w:ilvl w:val="1"/>
          <w:numId w:val="1"/>
        </w:numPr>
        <w:kinsoku w:val="0"/>
        <w:jc w:val="both"/>
        <w:outlineLvl w:val="1"/>
        <w:rPr>
          <w:rFonts w:ascii="標楷體" w:hAnsi="標楷體"/>
          <w:b/>
          <w:bCs/>
          <w:kern w:val="0"/>
          <w:szCs w:val="48"/>
        </w:rPr>
      </w:pPr>
      <w:r w:rsidRPr="00C07ECB">
        <w:rPr>
          <w:rFonts w:ascii="標楷體" w:hAnsi="標楷體" w:cs="標楷體" w:hint="eastAsia"/>
          <w:b/>
          <w:bCs/>
          <w:kern w:val="0"/>
          <w:szCs w:val="32"/>
        </w:rPr>
        <w:t>澎湖縣政府截至105年度歲出應付保留數高達41</w:t>
      </w:r>
      <w:r w:rsidR="00FE1C9E">
        <w:rPr>
          <w:rFonts w:ascii="標楷體" w:hAnsi="標楷體" w:cs="標楷體" w:hint="eastAsia"/>
          <w:b/>
          <w:bCs/>
          <w:kern w:val="0"/>
          <w:szCs w:val="32"/>
        </w:rPr>
        <w:t>.7</w:t>
      </w:r>
      <w:r w:rsidRPr="00C07ECB">
        <w:rPr>
          <w:rFonts w:ascii="標楷體" w:hAnsi="標楷體" w:cs="標楷體" w:hint="eastAsia"/>
          <w:b/>
          <w:bCs/>
          <w:kern w:val="0"/>
          <w:szCs w:val="32"/>
        </w:rPr>
        <w:t>億</w:t>
      </w:r>
      <w:r w:rsidR="00FE1C9E">
        <w:rPr>
          <w:rFonts w:ascii="標楷體" w:hAnsi="標楷體" w:cs="標楷體" w:hint="eastAsia"/>
          <w:b/>
          <w:bCs/>
          <w:kern w:val="0"/>
          <w:szCs w:val="32"/>
        </w:rPr>
        <w:t>餘</w:t>
      </w:r>
      <w:r w:rsidRPr="00C07ECB">
        <w:rPr>
          <w:rFonts w:ascii="標楷體" w:hAnsi="標楷體" w:cs="標楷體" w:hint="eastAsia"/>
          <w:b/>
          <w:bCs/>
          <w:kern w:val="0"/>
          <w:szCs w:val="32"/>
        </w:rPr>
        <w:t>元，實現率相當低，鉅額之預算保留，造成預算資源未能合理配置與有效運用，</w:t>
      </w:r>
      <w:r w:rsidR="00321415">
        <w:rPr>
          <w:rFonts w:ascii="標楷體" w:hAnsi="標楷體" w:cs="標楷體" w:hint="eastAsia"/>
          <w:b/>
          <w:bCs/>
          <w:kern w:val="0"/>
          <w:szCs w:val="32"/>
        </w:rPr>
        <w:t>核有違失，</w:t>
      </w:r>
      <w:r w:rsidRPr="00C07ECB">
        <w:rPr>
          <w:rFonts w:ascii="標楷體" w:hAnsi="標楷體" w:hint="eastAsia"/>
          <w:b/>
          <w:bCs/>
          <w:kern w:val="0"/>
          <w:szCs w:val="48"/>
        </w:rPr>
        <w:t>為避免以前年度應付保留數久懸帳上</w:t>
      </w:r>
      <w:r w:rsidRPr="00C07ECB">
        <w:rPr>
          <w:rFonts w:ascii="標楷體" w:hAnsi="標楷體" w:cs="標楷體" w:hint="eastAsia"/>
          <w:b/>
          <w:bCs/>
          <w:kern w:val="0"/>
          <w:szCs w:val="32"/>
        </w:rPr>
        <w:t>，影響施政成效，允應積極檢討改善、加強進度控管，以達成預期目標</w:t>
      </w:r>
      <w:r w:rsidRPr="00C07ECB">
        <w:rPr>
          <w:rFonts w:ascii="標楷體" w:hAnsi="標楷體" w:hint="eastAsia"/>
          <w:b/>
          <w:bCs/>
          <w:kern w:val="0"/>
          <w:szCs w:val="48"/>
        </w:rPr>
        <w:t>。</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按直轄市及縣(市)單位預算執行要點第2點規定:</w:t>
      </w:r>
      <w:r w:rsidRPr="00C07ECB">
        <w:rPr>
          <w:rFonts w:ascii="標楷體" w:hAnsi="標楷體" w:hint="eastAsia"/>
          <w:bCs/>
          <w:kern w:val="0"/>
          <w:szCs w:val="32"/>
        </w:rPr>
        <w:t>「</w:t>
      </w:r>
      <w:r w:rsidRPr="00C07ECB">
        <w:rPr>
          <w:rFonts w:ascii="標楷體" w:hAnsi="標楷體" w:cs="標楷體"/>
          <w:bCs/>
          <w:kern w:val="3"/>
          <w:szCs w:val="32"/>
        </w:rPr>
        <w:t>各機關應依歲入、歲出分配預算及計畫進度切實嚴格執行，並適時以成果或產出達成情形，辦理計畫及預算執行績效評核作業，以作為考核施政成效及核列以後年度預算之參據</w:t>
      </w:r>
      <w:r w:rsidRPr="00C07ECB">
        <w:rPr>
          <w:rFonts w:ascii="標楷體" w:hAnsi="標楷體" w:cs="標楷體" w:hint="eastAsia"/>
          <w:bCs/>
          <w:kern w:val="3"/>
          <w:szCs w:val="32"/>
        </w:rPr>
        <w:t>。</w:t>
      </w:r>
      <w:r w:rsidRPr="00C07ECB">
        <w:rPr>
          <w:rFonts w:ascii="標楷體" w:hAnsi="標楷體" w:hint="eastAsia"/>
          <w:bCs/>
          <w:kern w:val="0"/>
          <w:szCs w:val="32"/>
        </w:rPr>
        <w:t>」同要點</w:t>
      </w:r>
      <w:r w:rsidRPr="00C07ECB">
        <w:rPr>
          <w:rFonts w:ascii="標楷體" w:hAnsi="標楷體" w:hint="eastAsia"/>
          <w:bCs/>
          <w:kern w:val="0"/>
          <w:szCs w:val="36"/>
        </w:rPr>
        <w:t>第19點規定:「為加強預算之執行，避免發生進度嚴重落後及經費鉅額保留，所列計畫於編定預算案後，應依下列原則先進行相關籌劃作業之安排：（一）……以前年度執行結果如有進度落後情形，應積極檢討改善……。」是以，各機關應確實依據歲出分配預算及計畫進度，切實嚴格執行，以避免計畫進度嚴重落後及預算鉅額保留。</w:t>
      </w:r>
    </w:p>
    <w:p w:rsidR="00C07ECB" w:rsidRPr="00C07ECB" w:rsidRDefault="00C07ECB" w:rsidP="00C07ECB">
      <w:pPr>
        <w:numPr>
          <w:ilvl w:val="2"/>
          <w:numId w:val="1"/>
        </w:numPr>
        <w:kinsoku w:val="0"/>
        <w:jc w:val="both"/>
        <w:outlineLvl w:val="2"/>
        <w:rPr>
          <w:rFonts w:ascii="標楷體" w:hAnsi="標楷體"/>
          <w:bCs/>
          <w:kern w:val="0"/>
          <w:szCs w:val="36"/>
        </w:rPr>
      </w:pPr>
      <w:r w:rsidRPr="00C07ECB">
        <w:rPr>
          <w:rFonts w:ascii="標楷體" w:hAnsi="標楷體" w:hint="eastAsia"/>
          <w:bCs/>
          <w:kern w:val="0"/>
          <w:szCs w:val="36"/>
        </w:rPr>
        <w:t>惟查澎湖縣政府建設處、工務處、文化局及旅遊處長期以來預算執行率偏低，建設處、工務處、文化局已連續5個年度（100至104年度）預算執行率未達6成，該府旅遊處亦連續2年度預算執行率亦均未達6成（103至104年）；至105年度該府各</w:t>
      </w:r>
      <w:r w:rsidR="00021480">
        <w:rPr>
          <w:rFonts w:ascii="標楷體" w:hAnsi="標楷體" w:hint="eastAsia"/>
          <w:bCs/>
          <w:kern w:val="0"/>
          <w:szCs w:val="36"/>
        </w:rPr>
        <w:t>局（處）</w:t>
      </w:r>
      <w:r w:rsidRPr="00C07ECB">
        <w:rPr>
          <w:rFonts w:ascii="標楷體" w:hAnsi="標楷體" w:hint="eastAsia"/>
          <w:bCs/>
          <w:kern w:val="0"/>
          <w:szCs w:val="36"/>
        </w:rPr>
        <w:t>之歲出預算執行率改善情形，除文化局預算執行率已改善提高至70.59%，建設處仍僅32.58%、工務處36.79%，另旅遊處亦僅42.48%。截至105年度，旅遊處已連續3個年度（103至105年度）預算執行率未達6成、文化局連續5個年度（100至104年度）、建設處及工務處甚至連續6個年度（100至105年度）均未達6成，導致該府預算鉅額保留，經統計該府保留至106年度繼續執行之預算數總計高達41億7,391萬餘元，其中建設處23億827萬餘元、旅遊處7億3,790萬餘元、工務處6億9,256萬餘元、文化局1億2,835萬餘元，分別為其106年度法定預算數之741.94％、287.86％、160.55％及63.86%，詳如下表16。據該府說明預算</w:t>
      </w:r>
      <w:r w:rsidRPr="00C07ECB">
        <w:rPr>
          <w:rFonts w:ascii="標楷體" w:hAnsi="標楷體" w:cs="標楷體" w:hint="eastAsia"/>
          <w:bCs/>
          <w:kern w:val="0"/>
          <w:szCs w:val="32"/>
        </w:rPr>
        <w:t>須予保留原因，主要係重大公共建設計畫因政策變更停建或緩辦、計畫尚未經權責機關核定即編列預算、屬延續性計畫，惟預算於計畫起始年度即全額編列及以前年度執行結果已有進度落後情事，未能有效改善或即時調整預算配置等等原因造成。足見計畫執行不利亦導致已編預算無法有效利用。</w:t>
      </w:r>
    </w:p>
    <w:p w:rsidR="00C07ECB" w:rsidRPr="00C07ECB" w:rsidRDefault="00C07ECB" w:rsidP="00C61E52">
      <w:pPr>
        <w:spacing w:beforeLines="50" w:before="228"/>
        <w:ind w:leftChars="-46" w:left="832" w:hangingChars="329" w:hanging="988"/>
        <w:jc w:val="both"/>
        <w:outlineLvl w:val="2"/>
        <w:rPr>
          <w:rFonts w:ascii="標楷體" w:hAnsi="標楷體"/>
          <w:b/>
          <w:bCs/>
          <w:kern w:val="0"/>
          <w:sz w:val="28"/>
          <w:szCs w:val="28"/>
        </w:rPr>
      </w:pPr>
      <w:r w:rsidRPr="00C07ECB">
        <w:rPr>
          <w:rFonts w:ascii="標楷體" w:hAnsi="標楷體" w:hint="eastAsia"/>
          <w:b/>
          <w:bCs/>
          <w:kern w:val="0"/>
          <w:sz w:val="28"/>
          <w:szCs w:val="28"/>
        </w:rPr>
        <w:t>表16、105年度及以前年度歲出應付保留數占106年度歲出預算數</w:t>
      </w: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1559"/>
        <w:gridCol w:w="1985"/>
        <w:gridCol w:w="1843"/>
        <w:gridCol w:w="1701"/>
        <w:gridCol w:w="1275"/>
      </w:tblGrid>
      <w:tr w:rsidR="00C07ECB" w:rsidRPr="00C07ECB" w:rsidTr="00A14B3F">
        <w:trPr>
          <w:trHeight w:val="110"/>
        </w:trPr>
        <w:tc>
          <w:tcPr>
            <w:tcW w:w="9781" w:type="dxa"/>
            <w:gridSpan w:val="6"/>
            <w:tcBorders>
              <w:top w:val="nil"/>
              <w:left w:val="nil"/>
              <w:bottom w:val="single" w:sz="4" w:space="0" w:color="auto"/>
              <w:right w:val="nil"/>
            </w:tcBorders>
            <w:vAlign w:val="center"/>
            <w:hideMark/>
          </w:tcPr>
          <w:p w:rsidR="00C07ECB" w:rsidRPr="00C07ECB" w:rsidRDefault="00C07ECB" w:rsidP="00C07ECB">
            <w:pPr>
              <w:overflowPunct w:val="0"/>
              <w:jc w:val="right"/>
              <w:rPr>
                <w:rFonts w:ascii="標楷體" w:hAnsi="標楷體"/>
                <w:sz w:val="24"/>
                <w:szCs w:val="24"/>
              </w:rPr>
            </w:pPr>
            <w:r w:rsidRPr="00C07ECB">
              <w:rPr>
                <w:rFonts w:ascii="標楷體" w:hAnsi="標楷體" w:hint="eastAsia"/>
                <w:sz w:val="24"/>
                <w:szCs w:val="24"/>
              </w:rPr>
              <w:t>單位：新臺幣千元、％</w:t>
            </w:r>
          </w:p>
        </w:tc>
      </w:tr>
      <w:tr w:rsidR="00C07ECB" w:rsidRPr="00C07ECB" w:rsidTr="00A14B3F">
        <w:trPr>
          <w:trHeight w:val="39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260" w:lineRule="exact"/>
              <w:jc w:val="distribute"/>
              <w:rPr>
                <w:rFonts w:ascii="標楷體" w:hAnsi="標楷體"/>
                <w:b/>
                <w:sz w:val="28"/>
                <w:szCs w:val="28"/>
              </w:rPr>
            </w:pPr>
            <w:r w:rsidRPr="00C07ECB">
              <w:rPr>
                <w:rFonts w:ascii="標楷體" w:hAnsi="標楷體" w:hint="eastAsia"/>
                <w:b/>
                <w:sz w:val="28"/>
                <w:szCs w:val="28"/>
              </w:rPr>
              <w:t>單位名稱</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center"/>
              <w:rPr>
                <w:rFonts w:ascii="標楷體" w:hAnsi="標楷體"/>
                <w:b/>
                <w:sz w:val="28"/>
                <w:szCs w:val="28"/>
              </w:rPr>
            </w:pPr>
            <w:r w:rsidRPr="00C07ECB">
              <w:rPr>
                <w:rFonts w:ascii="標楷體" w:hAnsi="標楷體" w:hint="eastAsia"/>
                <w:b/>
                <w:sz w:val="28"/>
                <w:szCs w:val="28"/>
              </w:rPr>
              <w:t>應付保留數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center"/>
              <w:rPr>
                <w:rFonts w:ascii="標楷體" w:hAnsi="標楷體"/>
                <w:b/>
                <w:sz w:val="28"/>
                <w:szCs w:val="28"/>
              </w:rPr>
            </w:pPr>
            <w:r w:rsidRPr="00C07ECB">
              <w:rPr>
                <w:rFonts w:ascii="標楷體" w:hAnsi="標楷體" w:hint="eastAsia"/>
                <w:b/>
                <w:sz w:val="28"/>
                <w:szCs w:val="28"/>
              </w:rPr>
              <w:t>106年度</w:t>
            </w:r>
          </w:p>
          <w:p w:rsidR="00C07ECB" w:rsidRPr="00C07ECB" w:rsidRDefault="00C07ECB" w:rsidP="00C07ECB">
            <w:pPr>
              <w:spacing w:line="400" w:lineRule="exact"/>
              <w:jc w:val="center"/>
              <w:rPr>
                <w:rFonts w:ascii="標楷體" w:hAnsi="標楷體"/>
                <w:b/>
                <w:sz w:val="28"/>
                <w:szCs w:val="28"/>
              </w:rPr>
            </w:pPr>
            <w:r w:rsidRPr="00C07ECB">
              <w:rPr>
                <w:rFonts w:ascii="標楷體" w:hAnsi="標楷體" w:hint="eastAsia"/>
                <w:b/>
                <w:sz w:val="28"/>
                <w:szCs w:val="28"/>
              </w:rPr>
              <w:t>預算數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distribute"/>
              <w:rPr>
                <w:rFonts w:ascii="標楷體" w:hAnsi="標楷體"/>
                <w:b/>
                <w:sz w:val="28"/>
                <w:szCs w:val="28"/>
              </w:rPr>
            </w:pPr>
            <w:r w:rsidRPr="00C07ECB">
              <w:rPr>
                <w:rFonts w:ascii="標楷體" w:hAnsi="標楷體" w:hint="eastAsia"/>
                <w:b/>
                <w:sz w:val="28"/>
                <w:szCs w:val="28"/>
              </w:rPr>
              <w:t>應付保留數占預算數比率</w:t>
            </w:r>
          </w:p>
        </w:tc>
      </w:tr>
      <w:tr w:rsidR="00C07ECB" w:rsidRPr="00C07ECB" w:rsidTr="00A14B3F">
        <w:trPr>
          <w:trHeight w:val="69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widowControl/>
              <w:rPr>
                <w:rFonts w:ascii="標楷體" w:hAnsi="標楷體"/>
                <w:b/>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center"/>
              <w:rPr>
                <w:rFonts w:ascii="標楷體" w:hAnsi="標楷體"/>
                <w:b/>
                <w:sz w:val="28"/>
                <w:szCs w:val="28"/>
              </w:rPr>
            </w:pPr>
            <w:r w:rsidRPr="00C07ECB">
              <w:rPr>
                <w:rFonts w:ascii="標楷體" w:hAnsi="標楷體" w:hint="eastAsia"/>
                <w:b/>
                <w:sz w:val="28"/>
                <w:szCs w:val="28"/>
              </w:rPr>
              <w:t>105年度</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distribute"/>
              <w:rPr>
                <w:rFonts w:ascii="標楷體" w:hAnsi="標楷體"/>
                <w:b/>
                <w:sz w:val="28"/>
                <w:szCs w:val="28"/>
              </w:rPr>
            </w:pPr>
            <w:r w:rsidRPr="00C07ECB">
              <w:rPr>
                <w:rFonts w:ascii="標楷體" w:hAnsi="標楷體" w:hint="eastAsia"/>
                <w:b/>
                <w:sz w:val="28"/>
                <w:szCs w:val="28"/>
              </w:rPr>
              <w:t>以前年度未結清數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spacing w:line="400" w:lineRule="exact"/>
              <w:jc w:val="center"/>
              <w:rPr>
                <w:rFonts w:ascii="標楷體" w:hAnsi="標楷體"/>
                <w:b/>
                <w:sz w:val="28"/>
                <w:szCs w:val="28"/>
              </w:rPr>
            </w:pPr>
            <w:r w:rsidRPr="00C07ECB">
              <w:rPr>
                <w:rFonts w:ascii="標楷體" w:hAnsi="標楷體" w:hint="eastAsia"/>
                <w:b/>
                <w:sz w:val="28"/>
                <w:szCs w:val="28"/>
              </w:rPr>
              <w:t>合計</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widowControl/>
              <w:spacing w:line="400" w:lineRule="exact"/>
              <w:rPr>
                <w:rFonts w:ascii="標楷體" w:hAnsi="標楷體"/>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7ECB" w:rsidRPr="00C07ECB" w:rsidRDefault="00C07ECB" w:rsidP="00C07ECB">
            <w:pPr>
              <w:widowControl/>
              <w:spacing w:line="400" w:lineRule="exact"/>
              <w:rPr>
                <w:rFonts w:ascii="標楷體" w:hAnsi="標楷體"/>
                <w:b/>
                <w:sz w:val="28"/>
                <w:szCs w:val="28"/>
              </w:rPr>
            </w:pPr>
          </w:p>
        </w:tc>
      </w:tr>
      <w:tr w:rsidR="00C07ECB" w:rsidRPr="00C07ECB" w:rsidTr="00A14B3F">
        <w:trPr>
          <w:trHeight w:val="639"/>
        </w:trPr>
        <w:tc>
          <w:tcPr>
            <w:tcW w:w="1418"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spacing w:line="400" w:lineRule="exact"/>
              <w:jc w:val="center"/>
              <w:rPr>
                <w:rFonts w:ascii="標楷體" w:hAnsi="標楷體"/>
                <w:color w:val="000000"/>
                <w:sz w:val="28"/>
                <w:szCs w:val="28"/>
              </w:rPr>
            </w:pPr>
            <w:r w:rsidRPr="00C07ECB">
              <w:rPr>
                <w:rFonts w:ascii="標楷體" w:hAnsi="標楷體" w:hint="eastAsia"/>
                <w:color w:val="000000"/>
                <w:sz w:val="28"/>
                <w:szCs w:val="28"/>
              </w:rPr>
              <w:t>澎湖縣</w:t>
            </w:r>
          </w:p>
          <w:p w:rsidR="00C07ECB" w:rsidRPr="00C07ECB" w:rsidRDefault="00C07ECB" w:rsidP="00C07ECB">
            <w:pPr>
              <w:spacing w:line="400" w:lineRule="exact"/>
              <w:jc w:val="center"/>
              <w:rPr>
                <w:rFonts w:ascii="標楷體" w:hAnsi="標楷體"/>
                <w:color w:val="000000"/>
                <w:sz w:val="28"/>
                <w:szCs w:val="28"/>
              </w:rPr>
            </w:pPr>
            <w:r w:rsidRPr="00C07ECB">
              <w:rPr>
                <w:rFonts w:ascii="標楷體" w:hAnsi="標楷體" w:hint="eastAsia"/>
                <w:color w:val="000000"/>
                <w:sz w:val="28"/>
                <w:szCs w:val="28"/>
              </w:rPr>
              <w:t>政府</w:t>
            </w:r>
          </w:p>
        </w:tc>
        <w:tc>
          <w:tcPr>
            <w:tcW w:w="1559"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center"/>
              <w:rPr>
                <w:rFonts w:ascii="標楷體" w:hAnsi="標楷體"/>
                <w:color w:val="000000"/>
                <w:sz w:val="28"/>
                <w:szCs w:val="28"/>
              </w:rPr>
            </w:pPr>
            <w:r w:rsidRPr="00C07ECB">
              <w:rPr>
                <w:rFonts w:ascii="標楷體" w:hAnsi="標楷體" w:hint="eastAsia"/>
                <w:color w:val="000000"/>
                <w:sz w:val="28"/>
                <w:szCs w:val="28"/>
              </w:rPr>
              <w:t>968,708</w:t>
            </w:r>
          </w:p>
        </w:tc>
        <w:tc>
          <w:tcPr>
            <w:tcW w:w="198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center"/>
              <w:rPr>
                <w:rFonts w:ascii="標楷體" w:hAnsi="標楷體"/>
                <w:color w:val="000000"/>
                <w:sz w:val="28"/>
                <w:szCs w:val="28"/>
              </w:rPr>
            </w:pPr>
            <w:r w:rsidRPr="00C07ECB">
              <w:rPr>
                <w:rFonts w:ascii="標楷體" w:hAnsi="標楷體" w:hint="eastAsia"/>
                <w:color w:val="000000"/>
                <w:sz w:val="28"/>
                <w:szCs w:val="28"/>
              </w:rPr>
              <w:t>3,205,209</w:t>
            </w:r>
          </w:p>
        </w:tc>
        <w:tc>
          <w:tcPr>
            <w:tcW w:w="1843"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center"/>
              <w:rPr>
                <w:rFonts w:ascii="標楷體" w:hAnsi="標楷體"/>
                <w:color w:val="000000"/>
                <w:sz w:val="28"/>
                <w:szCs w:val="28"/>
              </w:rPr>
            </w:pPr>
            <w:r w:rsidRPr="00C07ECB">
              <w:rPr>
                <w:rFonts w:ascii="標楷體" w:hAnsi="標楷體" w:hint="eastAsia"/>
                <w:color w:val="000000"/>
                <w:sz w:val="28"/>
                <w:szCs w:val="28"/>
              </w:rPr>
              <w:t>4,173,917</w:t>
            </w:r>
          </w:p>
        </w:tc>
        <w:tc>
          <w:tcPr>
            <w:tcW w:w="1701"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center"/>
              <w:rPr>
                <w:rFonts w:ascii="標楷體" w:hAnsi="標楷體"/>
                <w:color w:val="000000"/>
                <w:sz w:val="28"/>
                <w:szCs w:val="28"/>
              </w:rPr>
            </w:pPr>
            <w:r w:rsidRPr="00C07ECB">
              <w:rPr>
                <w:rFonts w:ascii="標楷體" w:hAnsi="標楷體" w:hint="eastAsia"/>
                <w:color w:val="000000"/>
                <w:sz w:val="28"/>
                <w:szCs w:val="28"/>
              </w:rPr>
              <w:t>4,836,618</w:t>
            </w:r>
          </w:p>
        </w:tc>
        <w:tc>
          <w:tcPr>
            <w:tcW w:w="127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center"/>
              <w:rPr>
                <w:rFonts w:ascii="標楷體" w:hAnsi="標楷體"/>
                <w:color w:val="000000"/>
                <w:sz w:val="28"/>
                <w:szCs w:val="28"/>
              </w:rPr>
            </w:pPr>
            <w:r w:rsidRPr="00C07ECB">
              <w:rPr>
                <w:rFonts w:ascii="標楷體" w:hAnsi="標楷體" w:hint="eastAsia"/>
                <w:color w:val="000000"/>
                <w:sz w:val="28"/>
                <w:szCs w:val="28"/>
              </w:rPr>
              <w:t>86.30%</w:t>
            </w:r>
          </w:p>
        </w:tc>
      </w:tr>
      <w:tr w:rsidR="00C07ECB" w:rsidRPr="00C07ECB" w:rsidTr="00A14B3F">
        <w:trPr>
          <w:trHeight w:val="419"/>
        </w:trPr>
        <w:tc>
          <w:tcPr>
            <w:tcW w:w="1418"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spacing w:line="400" w:lineRule="exact"/>
              <w:jc w:val="center"/>
              <w:rPr>
                <w:rFonts w:ascii="標楷體" w:hAnsi="標楷體" w:cs="新細明體"/>
                <w:color w:val="000000"/>
                <w:sz w:val="28"/>
                <w:szCs w:val="28"/>
              </w:rPr>
            </w:pPr>
            <w:r w:rsidRPr="00C07ECB">
              <w:rPr>
                <w:rFonts w:ascii="標楷體" w:hAnsi="標楷體" w:hint="eastAsia"/>
                <w:color w:val="000000"/>
                <w:sz w:val="28"/>
                <w:szCs w:val="28"/>
              </w:rPr>
              <w:t>建設處</w:t>
            </w:r>
          </w:p>
        </w:tc>
        <w:tc>
          <w:tcPr>
            <w:tcW w:w="1559"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color w:val="000000"/>
                <w:sz w:val="28"/>
                <w:szCs w:val="28"/>
              </w:rPr>
            </w:pPr>
            <w:r w:rsidRPr="00C07ECB">
              <w:rPr>
                <w:rFonts w:ascii="標楷體" w:hAnsi="標楷體" w:hint="eastAsia"/>
                <w:color w:val="000000"/>
                <w:sz w:val="28"/>
                <w:szCs w:val="28"/>
              </w:rPr>
              <w:t>187,719</w:t>
            </w:r>
          </w:p>
        </w:tc>
        <w:tc>
          <w:tcPr>
            <w:tcW w:w="198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2,120,557</w:t>
            </w:r>
          </w:p>
        </w:tc>
        <w:tc>
          <w:tcPr>
            <w:tcW w:w="1843"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2,308,276</w:t>
            </w:r>
          </w:p>
        </w:tc>
        <w:tc>
          <w:tcPr>
            <w:tcW w:w="1701"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311,112</w:t>
            </w:r>
          </w:p>
        </w:tc>
        <w:tc>
          <w:tcPr>
            <w:tcW w:w="127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741.94%</w:t>
            </w:r>
          </w:p>
        </w:tc>
      </w:tr>
      <w:tr w:rsidR="00C07ECB" w:rsidRPr="00C07ECB" w:rsidTr="00A14B3F">
        <w:trPr>
          <w:trHeight w:val="551"/>
        </w:trPr>
        <w:tc>
          <w:tcPr>
            <w:tcW w:w="1418"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spacing w:line="400" w:lineRule="exact"/>
              <w:jc w:val="center"/>
              <w:rPr>
                <w:rFonts w:ascii="標楷體" w:hAnsi="標楷體" w:cs="新細明體"/>
                <w:color w:val="000000"/>
                <w:sz w:val="28"/>
                <w:szCs w:val="28"/>
              </w:rPr>
            </w:pPr>
            <w:r w:rsidRPr="00C07ECB">
              <w:rPr>
                <w:rFonts w:ascii="標楷體" w:hAnsi="標楷體" w:hint="eastAsia"/>
                <w:color w:val="000000"/>
                <w:sz w:val="28"/>
                <w:szCs w:val="28"/>
              </w:rPr>
              <w:t>旅遊處</w:t>
            </w:r>
          </w:p>
        </w:tc>
        <w:tc>
          <w:tcPr>
            <w:tcW w:w="1559"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color w:val="000000"/>
                <w:sz w:val="28"/>
                <w:szCs w:val="28"/>
              </w:rPr>
            </w:pPr>
            <w:r w:rsidRPr="00C07ECB">
              <w:rPr>
                <w:rFonts w:ascii="標楷體" w:hAnsi="標楷體" w:hint="eastAsia"/>
                <w:color w:val="000000"/>
                <w:sz w:val="28"/>
                <w:szCs w:val="28"/>
              </w:rPr>
              <w:t>367,840</w:t>
            </w:r>
          </w:p>
        </w:tc>
        <w:tc>
          <w:tcPr>
            <w:tcW w:w="198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370,064</w:t>
            </w:r>
          </w:p>
        </w:tc>
        <w:tc>
          <w:tcPr>
            <w:tcW w:w="1843"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737,904</w:t>
            </w:r>
          </w:p>
        </w:tc>
        <w:tc>
          <w:tcPr>
            <w:tcW w:w="1701"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256,344</w:t>
            </w:r>
          </w:p>
        </w:tc>
        <w:tc>
          <w:tcPr>
            <w:tcW w:w="127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287.86%</w:t>
            </w:r>
          </w:p>
        </w:tc>
      </w:tr>
      <w:tr w:rsidR="00C07ECB" w:rsidRPr="00C07ECB" w:rsidTr="00A14B3F">
        <w:trPr>
          <w:trHeight w:val="408"/>
        </w:trPr>
        <w:tc>
          <w:tcPr>
            <w:tcW w:w="1418"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spacing w:line="400" w:lineRule="exact"/>
              <w:jc w:val="center"/>
              <w:rPr>
                <w:rFonts w:ascii="標楷體" w:hAnsi="標楷體" w:cs="新細明體"/>
                <w:color w:val="000000"/>
                <w:sz w:val="28"/>
                <w:szCs w:val="28"/>
              </w:rPr>
            </w:pPr>
            <w:r w:rsidRPr="00C07ECB">
              <w:rPr>
                <w:rFonts w:ascii="標楷體" w:hAnsi="標楷體" w:hint="eastAsia"/>
                <w:color w:val="000000"/>
                <w:sz w:val="28"/>
                <w:szCs w:val="28"/>
              </w:rPr>
              <w:t>工務處</w:t>
            </w:r>
          </w:p>
        </w:tc>
        <w:tc>
          <w:tcPr>
            <w:tcW w:w="1559"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color w:val="000000"/>
                <w:sz w:val="28"/>
                <w:szCs w:val="28"/>
              </w:rPr>
            </w:pPr>
            <w:r w:rsidRPr="00C07ECB">
              <w:rPr>
                <w:rFonts w:ascii="標楷體" w:hAnsi="標楷體" w:hint="eastAsia"/>
                <w:color w:val="000000"/>
                <w:sz w:val="28"/>
                <w:szCs w:val="28"/>
              </w:rPr>
              <w:t>332,481</w:t>
            </w:r>
          </w:p>
        </w:tc>
        <w:tc>
          <w:tcPr>
            <w:tcW w:w="198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360,080</w:t>
            </w:r>
          </w:p>
        </w:tc>
        <w:tc>
          <w:tcPr>
            <w:tcW w:w="1843"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692,561</w:t>
            </w:r>
          </w:p>
        </w:tc>
        <w:tc>
          <w:tcPr>
            <w:tcW w:w="1701"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431,357</w:t>
            </w:r>
          </w:p>
        </w:tc>
        <w:tc>
          <w:tcPr>
            <w:tcW w:w="127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160.55%</w:t>
            </w:r>
          </w:p>
        </w:tc>
      </w:tr>
      <w:tr w:rsidR="00C07ECB" w:rsidRPr="00C07ECB" w:rsidTr="00A14B3F">
        <w:trPr>
          <w:trHeight w:val="529"/>
        </w:trPr>
        <w:tc>
          <w:tcPr>
            <w:tcW w:w="1418"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spacing w:line="400" w:lineRule="exact"/>
              <w:jc w:val="center"/>
              <w:rPr>
                <w:rFonts w:ascii="標楷體" w:hAnsi="標楷體" w:cs="新細明體"/>
                <w:sz w:val="28"/>
                <w:szCs w:val="28"/>
              </w:rPr>
            </w:pPr>
            <w:r w:rsidRPr="00C07ECB">
              <w:rPr>
                <w:rFonts w:ascii="標楷體" w:hAnsi="標楷體" w:hint="eastAsia"/>
                <w:sz w:val="28"/>
                <w:szCs w:val="28"/>
              </w:rPr>
              <w:t>文化局</w:t>
            </w:r>
          </w:p>
        </w:tc>
        <w:tc>
          <w:tcPr>
            <w:tcW w:w="1559"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19,317</w:t>
            </w:r>
          </w:p>
        </w:tc>
        <w:tc>
          <w:tcPr>
            <w:tcW w:w="198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109,039</w:t>
            </w:r>
          </w:p>
        </w:tc>
        <w:tc>
          <w:tcPr>
            <w:tcW w:w="1843"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128,356</w:t>
            </w:r>
          </w:p>
        </w:tc>
        <w:tc>
          <w:tcPr>
            <w:tcW w:w="1701"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200,991</w:t>
            </w:r>
          </w:p>
        </w:tc>
        <w:tc>
          <w:tcPr>
            <w:tcW w:w="1275" w:type="dxa"/>
            <w:tcBorders>
              <w:top w:val="single" w:sz="4" w:space="0" w:color="auto"/>
              <w:left w:val="single" w:sz="4" w:space="0" w:color="auto"/>
              <w:bottom w:val="single" w:sz="4" w:space="0" w:color="auto"/>
              <w:right w:val="single" w:sz="4" w:space="0" w:color="auto"/>
            </w:tcBorders>
            <w:vAlign w:val="center"/>
          </w:tcPr>
          <w:p w:rsidR="00C07ECB" w:rsidRPr="00C07ECB" w:rsidRDefault="00C07ECB" w:rsidP="00C07ECB">
            <w:pPr>
              <w:jc w:val="right"/>
              <w:rPr>
                <w:rFonts w:ascii="標楷體" w:hAnsi="標楷體" w:cs="新細明體"/>
                <w:sz w:val="28"/>
                <w:szCs w:val="28"/>
              </w:rPr>
            </w:pPr>
            <w:r w:rsidRPr="00C07ECB">
              <w:rPr>
                <w:rFonts w:ascii="標楷體" w:hAnsi="標楷體" w:hint="eastAsia"/>
                <w:sz w:val="28"/>
                <w:szCs w:val="28"/>
              </w:rPr>
              <w:t>63.86%</w:t>
            </w:r>
          </w:p>
        </w:tc>
      </w:tr>
      <w:tr w:rsidR="00C07ECB" w:rsidRPr="00C07ECB" w:rsidTr="00A14B3F">
        <w:trPr>
          <w:trHeight w:val="383"/>
        </w:trPr>
        <w:tc>
          <w:tcPr>
            <w:tcW w:w="1418"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spacing w:line="400" w:lineRule="exact"/>
              <w:jc w:val="center"/>
              <w:rPr>
                <w:rFonts w:ascii="標楷體" w:hAnsi="標楷體"/>
                <w:sz w:val="28"/>
                <w:szCs w:val="28"/>
              </w:rPr>
            </w:pPr>
            <w:r w:rsidRPr="00C07ECB">
              <w:rPr>
                <w:rFonts w:ascii="標楷體" w:hAnsi="標楷體" w:hint="eastAsia"/>
                <w:sz w:val="28"/>
                <w:szCs w:val="28"/>
              </w:rPr>
              <w:t>其他</w:t>
            </w:r>
            <w:r w:rsidRPr="00FD0D89">
              <w:rPr>
                <w:rFonts w:ascii="標楷體" w:hAnsi="標楷體" w:hint="eastAsia"/>
                <w:sz w:val="20"/>
              </w:rPr>
              <w:t>（註）</w:t>
            </w:r>
          </w:p>
        </w:tc>
        <w:tc>
          <w:tcPr>
            <w:tcW w:w="1559"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61,351</w:t>
            </w:r>
          </w:p>
        </w:tc>
        <w:tc>
          <w:tcPr>
            <w:tcW w:w="1985"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245,469</w:t>
            </w:r>
          </w:p>
        </w:tc>
        <w:tc>
          <w:tcPr>
            <w:tcW w:w="1843"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306,820</w:t>
            </w:r>
          </w:p>
        </w:tc>
        <w:tc>
          <w:tcPr>
            <w:tcW w:w="1701"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3,636,814</w:t>
            </w:r>
          </w:p>
        </w:tc>
        <w:tc>
          <w:tcPr>
            <w:tcW w:w="1275" w:type="dxa"/>
            <w:tcBorders>
              <w:top w:val="single" w:sz="4" w:space="0" w:color="auto"/>
              <w:left w:val="single" w:sz="4" w:space="0" w:color="auto"/>
              <w:bottom w:val="single" w:sz="4" w:space="0" w:color="auto"/>
              <w:right w:val="single" w:sz="4" w:space="0" w:color="auto"/>
            </w:tcBorders>
          </w:tcPr>
          <w:p w:rsidR="00C07ECB" w:rsidRPr="00C07ECB" w:rsidRDefault="00C07ECB" w:rsidP="00C07ECB">
            <w:pPr>
              <w:jc w:val="right"/>
              <w:rPr>
                <w:rFonts w:ascii="標楷體" w:hAnsi="標楷體"/>
                <w:sz w:val="28"/>
                <w:szCs w:val="28"/>
              </w:rPr>
            </w:pPr>
            <w:r w:rsidRPr="00C07ECB">
              <w:rPr>
                <w:rFonts w:ascii="標楷體" w:hAnsi="標楷體" w:hint="eastAsia"/>
                <w:sz w:val="28"/>
                <w:szCs w:val="28"/>
              </w:rPr>
              <w:t>8.44%</w:t>
            </w:r>
          </w:p>
        </w:tc>
      </w:tr>
    </w:tbl>
    <w:p w:rsidR="00C07ECB" w:rsidRDefault="00C07ECB" w:rsidP="00AE13A6">
      <w:pPr>
        <w:kinsoku w:val="0"/>
        <w:ind w:left="1418" w:hanging="1418"/>
        <w:jc w:val="both"/>
        <w:outlineLvl w:val="0"/>
        <w:rPr>
          <w:rFonts w:ascii="標楷體" w:hAnsi="標楷體" w:cs="新細明體"/>
          <w:bCs/>
          <w:kern w:val="0"/>
          <w:sz w:val="24"/>
          <w:szCs w:val="24"/>
        </w:rPr>
      </w:pPr>
      <w:r w:rsidRPr="00C07ECB">
        <w:rPr>
          <w:rFonts w:ascii="標楷體" w:hAnsi="標楷體" w:cs="新細明體" w:hint="eastAsia"/>
          <w:bCs/>
          <w:kern w:val="0"/>
          <w:sz w:val="24"/>
          <w:szCs w:val="24"/>
        </w:rPr>
        <w:t>資料來源：據澎湖縣政府提供資料彙整。（註）除表列</w:t>
      </w:r>
      <w:r w:rsidR="00021480">
        <w:rPr>
          <w:rFonts w:ascii="標楷體" w:hAnsi="標楷體" w:cs="新細明體" w:hint="eastAsia"/>
          <w:bCs/>
          <w:kern w:val="0"/>
          <w:sz w:val="24"/>
          <w:szCs w:val="24"/>
        </w:rPr>
        <w:t>局（處）</w:t>
      </w:r>
      <w:r w:rsidRPr="00C07ECB">
        <w:rPr>
          <w:rFonts w:ascii="標楷體" w:hAnsi="標楷體" w:cs="新細明體" w:hint="eastAsia"/>
          <w:bCs/>
          <w:kern w:val="0"/>
          <w:sz w:val="24"/>
          <w:szCs w:val="24"/>
        </w:rPr>
        <w:t>之外之單位總和。</w:t>
      </w:r>
    </w:p>
    <w:p w:rsidR="00C07ECB" w:rsidRDefault="00C07ECB" w:rsidP="00C61E52">
      <w:pPr>
        <w:numPr>
          <w:ilvl w:val="2"/>
          <w:numId w:val="1"/>
        </w:numPr>
        <w:kinsoku w:val="0"/>
        <w:spacing w:beforeLines="50" w:before="228"/>
        <w:ind w:left="1394"/>
        <w:jc w:val="both"/>
        <w:outlineLvl w:val="2"/>
        <w:rPr>
          <w:rFonts w:ascii="標楷體" w:hAnsi="標楷體"/>
          <w:bCs/>
          <w:kern w:val="0"/>
          <w:szCs w:val="36"/>
        </w:rPr>
      </w:pPr>
      <w:r w:rsidRPr="00C07ECB">
        <w:rPr>
          <w:rFonts w:ascii="標楷體" w:hAnsi="標楷體" w:hint="eastAsia"/>
          <w:bCs/>
          <w:kern w:val="0"/>
          <w:szCs w:val="36"/>
        </w:rPr>
        <w:t>又本院為瞭解該府建設處、工務處、旅遊處及文化局以前年度歲出轉入數執行情形，經請該府提供資料彙整如下表17，從表內數據資料發現，該府建設處、工務處、旅遊處及文化局以前年度歲出轉入數分別為23億1,923萬餘元、7億4,096萬餘元、4億2,425萬餘元及2億6,620萬餘元，截至105年12月底止，累計實現數分別為1億4,545萬餘元、3億5,509萬餘元、5,399萬餘元及7,477萬餘元占轉入數比率分別為6.27％、47.92％、12.73％及28.09％，執行情形均不佳。足見該府以前年度（104年度以前）計畫執行結果已有進度落後等情事，導致預算鉅額保留，經轉入次年度（105年度）繼續執行，然而執行成效亦不彰，該府允應積極檢討改善。</w:t>
      </w:r>
    </w:p>
    <w:p w:rsidR="00C07ECB" w:rsidRPr="00C07ECB" w:rsidRDefault="00C07ECB" w:rsidP="00C61E52">
      <w:pPr>
        <w:spacing w:beforeLines="50" w:before="228"/>
        <w:ind w:leftChars="4" w:left="14" w:firstLineChars="300" w:firstLine="901"/>
        <w:jc w:val="both"/>
        <w:outlineLvl w:val="2"/>
        <w:rPr>
          <w:rFonts w:ascii="標楷體" w:hAnsi="標楷體"/>
          <w:b/>
          <w:bCs/>
          <w:kern w:val="0"/>
          <w:sz w:val="28"/>
          <w:szCs w:val="28"/>
        </w:rPr>
      </w:pPr>
      <w:r w:rsidRPr="00C07ECB">
        <w:rPr>
          <w:rFonts w:ascii="標楷體" w:hAnsi="標楷體" w:hint="eastAsia"/>
          <w:b/>
          <w:bCs/>
          <w:kern w:val="0"/>
          <w:sz w:val="28"/>
          <w:szCs w:val="28"/>
        </w:rPr>
        <w:t>表17、以前年度歲出轉入數執行情形</w:t>
      </w:r>
    </w:p>
    <w:p w:rsidR="00C07ECB" w:rsidRPr="00C07ECB" w:rsidRDefault="00C07ECB" w:rsidP="00A719F0">
      <w:pPr>
        <w:ind w:leftChars="4" w:left="14" w:firstLineChars="2557" w:firstLine="6652"/>
        <w:jc w:val="both"/>
        <w:outlineLvl w:val="2"/>
        <w:rPr>
          <w:rFonts w:ascii="標楷體" w:hAnsi="標楷體"/>
          <w:bCs/>
          <w:kern w:val="0"/>
          <w:sz w:val="24"/>
          <w:szCs w:val="24"/>
        </w:rPr>
      </w:pPr>
      <w:r w:rsidRPr="00C07ECB">
        <w:rPr>
          <w:rFonts w:ascii="標楷體" w:hAnsi="標楷體" w:hint="eastAsia"/>
          <w:bCs/>
          <w:kern w:val="0"/>
          <w:sz w:val="24"/>
          <w:szCs w:val="24"/>
        </w:rPr>
        <w:t>單位：</w:t>
      </w:r>
      <w:r w:rsidR="00A719F0">
        <w:rPr>
          <w:rFonts w:ascii="標楷體" w:hAnsi="標楷體" w:hint="eastAsia"/>
          <w:bCs/>
          <w:kern w:val="0"/>
          <w:sz w:val="24"/>
          <w:szCs w:val="24"/>
        </w:rPr>
        <w:t>新臺幣</w:t>
      </w:r>
      <w:r w:rsidRPr="00C07ECB">
        <w:rPr>
          <w:rFonts w:ascii="標楷體" w:hAnsi="標楷體" w:hint="eastAsia"/>
          <w:bCs/>
          <w:kern w:val="0"/>
          <w:sz w:val="24"/>
          <w:szCs w:val="24"/>
        </w:rPr>
        <w:t>元、%</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632"/>
        <w:gridCol w:w="2796"/>
        <w:gridCol w:w="1400"/>
      </w:tblGrid>
      <w:tr w:rsidR="00C07ECB" w:rsidRPr="00C07ECB" w:rsidTr="00A14B3F">
        <w:trPr>
          <w:trHeight w:val="563"/>
          <w:tblHeader/>
        </w:trPr>
        <w:tc>
          <w:tcPr>
            <w:tcW w:w="1252" w:type="dxa"/>
            <w:shd w:val="clear" w:color="auto" w:fill="auto"/>
            <w:vAlign w:val="center"/>
          </w:tcPr>
          <w:p w:rsidR="00C07ECB" w:rsidRPr="00C07ECB" w:rsidRDefault="00B07012" w:rsidP="00C07ECB">
            <w:pPr>
              <w:spacing w:line="300" w:lineRule="exact"/>
              <w:jc w:val="center"/>
              <w:rPr>
                <w:rFonts w:ascii="標楷體" w:hAnsi="標楷體"/>
                <w:b/>
                <w:sz w:val="28"/>
                <w:szCs w:val="28"/>
              </w:rPr>
            </w:pPr>
            <w:r>
              <w:rPr>
                <w:rFonts w:ascii="標楷體" w:hAnsi="標楷體" w:hint="eastAsia"/>
                <w:b/>
                <w:sz w:val="28"/>
                <w:szCs w:val="28"/>
              </w:rPr>
              <w:t>單位</w:t>
            </w:r>
          </w:p>
        </w:tc>
        <w:tc>
          <w:tcPr>
            <w:tcW w:w="2674" w:type="dxa"/>
            <w:shd w:val="clear" w:color="auto" w:fill="auto"/>
            <w:vAlign w:val="center"/>
          </w:tcPr>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以前年度</w:t>
            </w:r>
          </w:p>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歲出轉入數（A）</w:t>
            </w:r>
          </w:p>
        </w:tc>
        <w:tc>
          <w:tcPr>
            <w:tcW w:w="2880" w:type="dxa"/>
            <w:shd w:val="clear" w:color="auto" w:fill="auto"/>
            <w:vAlign w:val="center"/>
          </w:tcPr>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105年1至12月</w:t>
            </w:r>
          </w:p>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累計實現數（B）</w:t>
            </w:r>
          </w:p>
        </w:tc>
        <w:tc>
          <w:tcPr>
            <w:tcW w:w="1439" w:type="dxa"/>
            <w:shd w:val="clear" w:color="auto" w:fill="auto"/>
            <w:vAlign w:val="center"/>
          </w:tcPr>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w:t>
            </w:r>
          </w:p>
          <w:p w:rsidR="00C07ECB" w:rsidRPr="00C07ECB" w:rsidRDefault="00C07ECB" w:rsidP="00C07ECB">
            <w:pPr>
              <w:spacing w:line="300" w:lineRule="exact"/>
              <w:jc w:val="center"/>
              <w:rPr>
                <w:rFonts w:ascii="標楷體" w:hAnsi="標楷體"/>
                <w:b/>
                <w:sz w:val="28"/>
                <w:szCs w:val="28"/>
              </w:rPr>
            </w:pPr>
            <w:r w:rsidRPr="00C07ECB">
              <w:rPr>
                <w:rFonts w:ascii="標楷體" w:hAnsi="標楷體" w:hint="eastAsia"/>
                <w:b/>
                <w:sz w:val="28"/>
                <w:szCs w:val="28"/>
              </w:rPr>
              <w:t>（B）/（A）</w:t>
            </w:r>
          </w:p>
        </w:tc>
      </w:tr>
      <w:tr w:rsidR="00C07ECB" w:rsidRPr="00C07ECB" w:rsidTr="00A14B3F">
        <w:trPr>
          <w:trHeight w:val="454"/>
        </w:trPr>
        <w:tc>
          <w:tcPr>
            <w:tcW w:w="1252" w:type="dxa"/>
            <w:shd w:val="clear" w:color="auto" w:fill="auto"/>
            <w:vAlign w:val="center"/>
          </w:tcPr>
          <w:p w:rsidR="00C07ECB" w:rsidRPr="00C07ECB" w:rsidRDefault="00C07ECB" w:rsidP="00C07ECB">
            <w:pPr>
              <w:spacing w:line="300" w:lineRule="exact"/>
              <w:jc w:val="center"/>
              <w:rPr>
                <w:rFonts w:ascii="標楷體" w:hAnsi="標楷體"/>
                <w:sz w:val="28"/>
                <w:szCs w:val="28"/>
              </w:rPr>
            </w:pPr>
            <w:r w:rsidRPr="00C07ECB">
              <w:rPr>
                <w:rFonts w:ascii="標楷體" w:hAnsi="標楷體" w:hint="eastAsia"/>
                <w:sz w:val="28"/>
                <w:szCs w:val="28"/>
              </w:rPr>
              <w:t>建設處</w:t>
            </w:r>
          </w:p>
        </w:tc>
        <w:tc>
          <w:tcPr>
            <w:tcW w:w="2674"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2,319,231,420</w:t>
            </w:r>
          </w:p>
        </w:tc>
        <w:tc>
          <w:tcPr>
            <w:tcW w:w="2880"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145,457,288</w:t>
            </w:r>
          </w:p>
        </w:tc>
        <w:tc>
          <w:tcPr>
            <w:tcW w:w="1439"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6.27</w:t>
            </w:r>
          </w:p>
        </w:tc>
      </w:tr>
      <w:tr w:rsidR="00C07ECB" w:rsidRPr="00C07ECB" w:rsidTr="00A14B3F">
        <w:trPr>
          <w:trHeight w:val="454"/>
        </w:trPr>
        <w:tc>
          <w:tcPr>
            <w:tcW w:w="1252" w:type="dxa"/>
            <w:shd w:val="clear" w:color="auto" w:fill="auto"/>
            <w:vAlign w:val="center"/>
          </w:tcPr>
          <w:p w:rsidR="00C07ECB" w:rsidRPr="00C07ECB" w:rsidRDefault="00C07ECB" w:rsidP="00C07ECB">
            <w:pPr>
              <w:spacing w:line="300" w:lineRule="exact"/>
              <w:jc w:val="center"/>
              <w:rPr>
                <w:rFonts w:ascii="標楷體" w:hAnsi="標楷體"/>
                <w:sz w:val="28"/>
                <w:szCs w:val="28"/>
              </w:rPr>
            </w:pPr>
            <w:r w:rsidRPr="00C07ECB">
              <w:rPr>
                <w:rFonts w:ascii="標楷體" w:hAnsi="標楷體" w:hint="eastAsia"/>
                <w:sz w:val="28"/>
                <w:szCs w:val="28"/>
              </w:rPr>
              <w:t>工務處</w:t>
            </w:r>
          </w:p>
        </w:tc>
        <w:tc>
          <w:tcPr>
            <w:tcW w:w="2674"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740,965,690</w:t>
            </w:r>
          </w:p>
        </w:tc>
        <w:tc>
          <w:tcPr>
            <w:tcW w:w="2880"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355,099,737</w:t>
            </w:r>
          </w:p>
        </w:tc>
        <w:tc>
          <w:tcPr>
            <w:tcW w:w="1439"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47.92</w:t>
            </w:r>
          </w:p>
        </w:tc>
      </w:tr>
      <w:tr w:rsidR="00C07ECB" w:rsidRPr="00C07ECB" w:rsidTr="00A14B3F">
        <w:trPr>
          <w:trHeight w:val="454"/>
        </w:trPr>
        <w:tc>
          <w:tcPr>
            <w:tcW w:w="1252" w:type="dxa"/>
            <w:shd w:val="clear" w:color="auto" w:fill="auto"/>
            <w:vAlign w:val="center"/>
          </w:tcPr>
          <w:p w:rsidR="00C07ECB" w:rsidRPr="00C07ECB" w:rsidRDefault="00C07ECB" w:rsidP="00C07ECB">
            <w:pPr>
              <w:spacing w:line="300" w:lineRule="exact"/>
              <w:jc w:val="center"/>
              <w:rPr>
                <w:rFonts w:ascii="標楷體" w:hAnsi="標楷體"/>
                <w:sz w:val="28"/>
                <w:szCs w:val="28"/>
              </w:rPr>
            </w:pPr>
            <w:r w:rsidRPr="00C07ECB">
              <w:rPr>
                <w:rFonts w:ascii="標楷體" w:hAnsi="標楷體"/>
                <w:sz w:val="28"/>
                <w:szCs w:val="28"/>
              </w:rPr>
              <w:t>旅遊處</w:t>
            </w:r>
          </w:p>
        </w:tc>
        <w:tc>
          <w:tcPr>
            <w:tcW w:w="2674"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424,257,936</w:t>
            </w:r>
          </w:p>
        </w:tc>
        <w:tc>
          <w:tcPr>
            <w:tcW w:w="2880"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53,996,718</w:t>
            </w:r>
          </w:p>
        </w:tc>
        <w:tc>
          <w:tcPr>
            <w:tcW w:w="1439"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12.73</w:t>
            </w:r>
          </w:p>
        </w:tc>
      </w:tr>
      <w:tr w:rsidR="00C07ECB" w:rsidRPr="00C07ECB" w:rsidTr="00A14B3F">
        <w:trPr>
          <w:trHeight w:val="454"/>
        </w:trPr>
        <w:tc>
          <w:tcPr>
            <w:tcW w:w="1252" w:type="dxa"/>
            <w:shd w:val="clear" w:color="auto" w:fill="auto"/>
            <w:vAlign w:val="center"/>
          </w:tcPr>
          <w:p w:rsidR="00C07ECB" w:rsidRPr="00C07ECB" w:rsidRDefault="00C07ECB" w:rsidP="00C07ECB">
            <w:pPr>
              <w:spacing w:line="300" w:lineRule="exact"/>
              <w:jc w:val="center"/>
              <w:rPr>
                <w:rFonts w:ascii="標楷體" w:hAnsi="標楷體"/>
                <w:sz w:val="28"/>
                <w:szCs w:val="28"/>
              </w:rPr>
            </w:pPr>
            <w:r w:rsidRPr="00C07ECB">
              <w:rPr>
                <w:rFonts w:ascii="標楷體" w:hAnsi="標楷體" w:hint="eastAsia"/>
                <w:sz w:val="28"/>
                <w:szCs w:val="28"/>
              </w:rPr>
              <w:t>文化局</w:t>
            </w:r>
          </w:p>
        </w:tc>
        <w:tc>
          <w:tcPr>
            <w:tcW w:w="2674"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266,201,378</w:t>
            </w:r>
          </w:p>
        </w:tc>
        <w:tc>
          <w:tcPr>
            <w:tcW w:w="2880"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74,770,874</w:t>
            </w:r>
          </w:p>
        </w:tc>
        <w:tc>
          <w:tcPr>
            <w:tcW w:w="1439" w:type="dxa"/>
            <w:shd w:val="clear" w:color="auto" w:fill="auto"/>
            <w:vAlign w:val="center"/>
          </w:tcPr>
          <w:p w:rsidR="00C07ECB" w:rsidRPr="00C07ECB" w:rsidRDefault="00C07ECB" w:rsidP="00C07ECB">
            <w:pPr>
              <w:spacing w:line="300" w:lineRule="exact"/>
              <w:jc w:val="right"/>
              <w:rPr>
                <w:rFonts w:ascii="標楷體" w:hAnsi="標楷體"/>
                <w:sz w:val="28"/>
                <w:szCs w:val="28"/>
              </w:rPr>
            </w:pPr>
            <w:r w:rsidRPr="00C07ECB">
              <w:rPr>
                <w:rFonts w:ascii="標楷體" w:hAnsi="標楷體" w:hint="eastAsia"/>
                <w:sz w:val="28"/>
                <w:szCs w:val="28"/>
              </w:rPr>
              <w:t>28.09</w:t>
            </w:r>
          </w:p>
        </w:tc>
      </w:tr>
    </w:tbl>
    <w:p w:rsidR="00C07ECB" w:rsidRDefault="00C07ECB" w:rsidP="00C07ECB">
      <w:pPr>
        <w:kinsoku w:val="0"/>
        <w:ind w:left="3110" w:hanging="2401"/>
        <w:jc w:val="both"/>
        <w:outlineLvl w:val="0"/>
        <w:rPr>
          <w:rFonts w:ascii="標楷體" w:hAnsi="標楷體" w:cs="新細明體"/>
          <w:bCs/>
          <w:kern w:val="0"/>
          <w:sz w:val="24"/>
          <w:szCs w:val="24"/>
        </w:rPr>
      </w:pPr>
      <w:r w:rsidRPr="00C07ECB">
        <w:rPr>
          <w:rFonts w:ascii="標楷體" w:hAnsi="標楷體" w:cs="新細明體" w:hint="eastAsia"/>
          <w:bCs/>
          <w:kern w:val="0"/>
          <w:sz w:val="24"/>
          <w:szCs w:val="24"/>
        </w:rPr>
        <w:t>資料來源：澎湖縣政府</w:t>
      </w:r>
    </w:p>
    <w:p w:rsidR="00FD0D89" w:rsidRPr="00D423A5" w:rsidRDefault="00FD0D89" w:rsidP="00C61E52">
      <w:pPr>
        <w:pStyle w:val="3"/>
        <w:spacing w:beforeLines="50" w:before="228"/>
        <w:ind w:left="1394"/>
        <w:rPr>
          <w:rFonts w:hAnsi="標楷體"/>
        </w:rPr>
      </w:pPr>
      <w:r w:rsidRPr="00D423A5">
        <w:rPr>
          <w:rFonts w:hAnsi="標楷體" w:hint="eastAsia"/>
        </w:rPr>
        <w:t>綜上，澎湖縣政府截至105年度歲出應付保留數高達41</w:t>
      </w:r>
      <w:r w:rsidR="00FE1C9E">
        <w:rPr>
          <w:rFonts w:hAnsi="標楷體" w:hint="eastAsia"/>
        </w:rPr>
        <w:t>.7</w:t>
      </w:r>
      <w:r w:rsidRPr="00D423A5">
        <w:rPr>
          <w:rFonts w:hAnsi="標楷體" w:hint="eastAsia"/>
        </w:rPr>
        <w:t>億</w:t>
      </w:r>
      <w:r w:rsidR="00FE1C9E">
        <w:rPr>
          <w:rFonts w:hAnsi="標楷體" w:hint="eastAsia"/>
        </w:rPr>
        <w:t>餘</w:t>
      </w:r>
      <w:r w:rsidRPr="00D423A5">
        <w:rPr>
          <w:rFonts w:hAnsi="標楷體" w:hint="eastAsia"/>
        </w:rPr>
        <w:t>元，實現率相當低，</w:t>
      </w:r>
      <w:r w:rsidRPr="00D423A5">
        <w:rPr>
          <w:rFonts w:hAnsi="標楷體" w:cs="標楷體" w:hint="eastAsia"/>
          <w:szCs w:val="32"/>
        </w:rPr>
        <w:t>鉅額之</w:t>
      </w:r>
      <w:r w:rsidRPr="00D423A5">
        <w:rPr>
          <w:rFonts w:hAnsi="標楷體" w:hint="eastAsia"/>
        </w:rPr>
        <w:t>預算保留，致預算資源未能合理配置與有效運用，</w:t>
      </w:r>
      <w:r w:rsidR="00321415">
        <w:rPr>
          <w:rFonts w:hAnsi="標楷體" w:hint="eastAsia"/>
        </w:rPr>
        <w:t>核有違失，</w:t>
      </w:r>
      <w:r w:rsidRPr="00D423A5">
        <w:rPr>
          <w:rFonts w:hAnsi="標楷體" w:hint="eastAsia"/>
        </w:rPr>
        <w:t>為避免以前年度應付保留數久懸帳上，影響施政成效，允應積極檢討改善、加強進度控管，以達成預期目標。</w:t>
      </w:r>
    </w:p>
    <w:p w:rsidR="00CB22EF" w:rsidRPr="00D423A5" w:rsidRDefault="00CB22EF" w:rsidP="00FD0D89">
      <w:pPr>
        <w:numPr>
          <w:ilvl w:val="2"/>
          <w:numId w:val="1"/>
        </w:numPr>
        <w:kinsoku w:val="0"/>
        <w:jc w:val="both"/>
        <w:outlineLvl w:val="2"/>
        <w:rPr>
          <w:rFonts w:hAnsi="標楷體"/>
        </w:rPr>
        <w:sectPr w:rsidR="00CB22EF" w:rsidRPr="00D423A5" w:rsidSect="00662952">
          <w:footerReference w:type="default" r:id="rId8"/>
          <w:pgSz w:w="11907" w:h="16840" w:code="9"/>
          <w:pgMar w:top="1701" w:right="1418" w:bottom="1418" w:left="1418" w:header="851" w:footer="851" w:gutter="227"/>
          <w:cols w:space="425"/>
          <w:docGrid w:type="linesAndChars" w:linePitch="457" w:charSpace="4127"/>
        </w:sectPr>
      </w:pPr>
    </w:p>
    <w:bookmarkEnd w:id="57"/>
    <w:bookmarkEnd w:id="58"/>
    <w:bookmarkEnd w:id="59"/>
    <w:bookmarkEnd w:id="60"/>
    <w:bookmarkEnd w:id="61"/>
    <w:p w:rsidR="002E2CC0" w:rsidRPr="00D423A5" w:rsidRDefault="000E7D47" w:rsidP="00481660">
      <w:pPr>
        <w:pStyle w:val="1"/>
        <w:ind w:left="2380" w:hanging="2380"/>
        <w:rPr>
          <w:rFonts w:hAnsi="標楷體"/>
          <w:bCs w:val="0"/>
        </w:rPr>
      </w:pPr>
      <w:r w:rsidRPr="00D423A5">
        <w:rPr>
          <w:rFonts w:hAnsi="標楷體" w:hint="eastAsia"/>
          <w:b/>
          <w:bCs w:val="0"/>
        </w:rPr>
        <w:t>處理辦法</w:t>
      </w:r>
      <w:r w:rsidR="002E2CC0" w:rsidRPr="00D423A5">
        <w:rPr>
          <w:rFonts w:hAnsi="標楷體" w:hint="eastAsia"/>
          <w:b/>
          <w:bCs w:val="0"/>
        </w:rPr>
        <w:t>：</w:t>
      </w:r>
    </w:p>
    <w:p w:rsidR="00385A64" w:rsidRPr="00D423A5" w:rsidRDefault="00385A64" w:rsidP="00385A64">
      <w:pPr>
        <w:pStyle w:val="2"/>
        <w:rPr>
          <w:rFonts w:hAnsi="標楷體"/>
          <w:bCs w:val="0"/>
        </w:rPr>
      </w:pPr>
      <w:r w:rsidRPr="00D423A5">
        <w:rPr>
          <w:rFonts w:hAnsi="標楷體" w:hint="eastAsia"/>
          <w:bCs w:val="0"/>
        </w:rPr>
        <w:t>調查意見一至</w:t>
      </w:r>
      <w:r w:rsidR="00153A12" w:rsidRPr="00D423A5">
        <w:rPr>
          <w:rFonts w:hAnsi="標楷體" w:hint="eastAsia"/>
          <w:bCs w:val="0"/>
        </w:rPr>
        <w:t>三提案糾正</w:t>
      </w:r>
      <w:r w:rsidRPr="00D423A5">
        <w:rPr>
          <w:rFonts w:hAnsi="標楷體" w:hint="eastAsia"/>
          <w:bCs w:val="0"/>
        </w:rPr>
        <w:t>澎湖縣政府。</w:t>
      </w:r>
    </w:p>
    <w:p w:rsidR="00385A64" w:rsidRPr="00D423A5" w:rsidRDefault="00385A64" w:rsidP="00385A64">
      <w:pPr>
        <w:pStyle w:val="2"/>
        <w:rPr>
          <w:rFonts w:hAnsi="標楷體"/>
          <w:bCs w:val="0"/>
        </w:rPr>
      </w:pPr>
      <w:r w:rsidRPr="00D423A5">
        <w:rPr>
          <w:rFonts w:hAnsi="標楷體" w:hint="eastAsia"/>
          <w:bCs w:val="0"/>
        </w:rPr>
        <w:t>調查意見一至三，函送審計部參考。</w:t>
      </w:r>
    </w:p>
    <w:p w:rsidR="00385A64" w:rsidRPr="00D423A5" w:rsidRDefault="00385A64" w:rsidP="00385A64">
      <w:pPr>
        <w:pStyle w:val="2"/>
        <w:rPr>
          <w:rFonts w:hAnsi="標楷體"/>
          <w:bCs w:val="0"/>
        </w:rPr>
      </w:pPr>
      <w:r w:rsidRPr="00D423A5">
        <w:rPr>
          <w:rFonts w:hAnsi="標楷體" w:hint="eastAsia"/>
          <w:bCs w:val="0"/>
        </w:rPr>
        <w:t>檢附派查函及相關附件，送請財政及經濟委員會處理。</w:t>
      </w:r>
    </w:p>
    <w:p w:rsidR="00385A64" w:rsidRPr="00D423A5" w:rsidRDefault="00385A64" w:rsidP="00385A64">
      <w:pPr>
        <w:pStyle w:val="2"/>
        <w:numPr>
          <w:ilvl w:val="0"/>
          <w:numId w:val="0"/>
        </w:numPr>
        <w:ind w:left="348"/>
        <w:rPr>
          <w:rFonts w:hAnsi="標楷體"/>
          <w:bCs w:val="0"/>
        </w:rPr>
      </w:pPr>
    </w:p>
    <w:p w:rsidR="00C4627D" w:rsidRPr="00D423A5" w:rsidRDefault="00C4627D" w:rsidP="00C4627D">
      <w:pPr>
        <w:kinsoku w:val="0"/>
        <w:ind w:leftChars="1100" w:left="3742"/>
        <w:jc w:val="both"/>
        <w:rPr>
          <w:rFonts w:ascii="標楷體" w:hAnsi="標楷體"/>
          <w:bCs/>
          <w:color w:val="000000"/>
          <w:kern w:val="0"/>
          <w:sz w:val="40"/>
        </w:rPr>
      </w:pPr>
      <w:r w:rsidRPr="00D423A5">
        <w:rPr>
          <w:rFonts w:ascii="標楷體" w:hAnsi="標楷體" w:hint="eastAsia"/>
          <w:bCs/>
          <w:color w:val="000000"/>
          <w:spacing w:val="12"/>
          <w:kern w:val="0"/>
          <w:sz w:val="40"/>
        </w:rPr>
        <w:t>調查委員：</w:t>
      </w:r>
      <w:r w:rsidR="00C65C46">
        <w:rPr>
          <w:rFonts w:ascii="標楷體" w:hAnsi="標楷體" w:hint="eastAsia"/>
          <w:bCs/>
          <w:color w:val="000000"/>
          <w:spacing w:val="12"/>
          <w:kern w:val="0"/>
          <w:sz w:val="40"/>
        </w:rPr>
        <w:t>劉德勳</w:t>
      </w:r>
    </w:p>
    <w:p w:rsidR="00C4627D" w:rsidRPr="00C65C46" w:rsidRDefault="00C65C46" w:rsidP="00C4627D">
      <w:pPr>
        <w:kinsoku w:val="0"/>
        <w:ind w:leftChars="1100" w:left="3742" w:firstLineChars="500" w:firstLine="2221"/>
        <w:jc w:val="both"/>
        <w:rPr>
          <w:rFonts w:ascii="標楷體" w:hAnsi="標楷體"/>
          <w:bCs/>
          <w:color w:val="000000"/>
          <w:spacing w:val="12"/>
          <w:kern w:val="0"/>
          <w:sz w:val="40"/>
          <w:szCs w:val="40"/>
        </w:rPr>
      </w:pPr>
      <w:r>
        <w:rPr>
          <w:rFonts w:ascii="標楷體" w:hAnsi="標楷體" w:hint="eastAsia"/>
          <w:bCs/>
          <w:color w:val="000000"/>
          <w:spacing w:val="12"/>
          <w:kern w:val="0"/>
          <w:sz w:val="40"/>
          <w:szCs w:val="40"/>
        </w:rPr>
        <w:t>尹祚芊</w:t>
      </w:r>
    </w:p>
    <w:p w:rsidR="00C4627D" w:rsidRPr="00C65C46" w:rsidRDefault="00C65C46" w:rsidP="00C4627D">
      <w:pPr>
        <w:kinsoku w:val="0"/>
        <w:ind w:leftChars="1100" w:left="3742" w:firstLineChars="500" w:firstLine="2221"/>
        <w:jc w:val="both"/>
        <w:rPr>
          <w:rFonts w:ascii="標楷體" w:hAnsi="標楷體"/>
          <w:bCs/>
          <w:color w:val="000000"/>
          <w:spacing w:val="12"/>
          <w:kern w:val="0"/>
          <w:sz w:val="40"/>
          <w:szCs w:val="40"/>
        </w:rPr>
      </w:pPr>
      <w:r>
        <w:rPr>
          <w:rFonts w:ascii="標楷體" w:hAnsi="標楷體" w:hint="eastAsia"/>
          <w:bCs/>
          <w:color w:val="000000"/>
          <w:spacing w:val="12"/>
          <w:kern w:val="0"/>
          <w:sz w:val="40"/>
          <w:szCs w:val="40"/>
        </w:rPr>
        <w:t>王美玉</w:t>
      </w:r>
    </w:p>
    <w:sectPr w:rsidR="00C4627D" w:rsidRPr="00C65C46" w:rsidSect="00AB14C1">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6C" w:rsidRDefault="0042246C">
      <w:r>
        <w:separator/>
      </w:r>
    </w:p>
  </w:endnote>
  <w:endnote w:type="continuationSeparator" w:id="0">
    <w:p w:rsidR="0042246C" w:rsidRDefault="0042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9E" w:rsidRDefault="00FE1C9E">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CE68DE">
      <w:rPr>
        <w:rStyle w:val="a8"/>
        <w:noProof/>
        <w:sz w:val="24"/>
      </w:rPr>
      <w:t>2</w:t>
    </w:r>
    <w:r>
      <w:rPr>
        <w:rStyle w:val="a8"/>
        <w:sz w:val="24"/>
      </w:rPr>
      <w:fldChar w:fldCharType="end"/>
    </w:r>
  </w:p>
  <w:p w:rsidR="00FE1C9E" w:rsidRDefault="00FE1C9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6C" w:rsidRDefault="0042246C">
      <w:r>
        <w:separator/>
      </w:r>
    </w:p>
  </w:footnote>
  <w:footnote w:type="continuationSeparator" w:id="0">
    <w:p w:rsidR="0042246C" w:rsidRDefault="00422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B782946"/>
    <w:lvl w:ilvl="0">
      <w:start w:val="1"/>
      <w:numFmt w:val="ideographLegalTraditional"/>
      <w:pStyle w:val="1"/>
      <w:suff w:val="nothing"/>
      <w:lvlText w:val="%1、"/>
      <w:lvlJc w:val="left"/>
      <w:pPr>
        <w:ind w:left="3110"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D4"/>
    <w:rsid w:val="000047CA"/>
    <w:rsid w:val="00010B2A"/>
    <w:rsid w:val="0001157A"/>
    <w:rsid w:val="00012204"/>
    <w:rsid w:val="00020AAB"/>
    <w:rsid w:val="00021480"/>
    <w:rsid w:val="00021AA2"/>
    <w:rsid w:val="000317E1"/>
    <w:rsid w:val="00033342"/>
    <w:rsid w:val="00034DE6"/>
    <w:rsid w:val="00044F43"/>
    <w:rsid w:val="00052945"/>
    <w:rsid w:val="00063E0C"/>
    <w:rsid w:val="00064924"/>
    <w:rsid w:val="000709D6"/>
    <w:rsid w:val="00073C82"/>
    <w:rsid w:val="00076DF1"/>
    <w:rsid w:val="00090E3D"/>
    <w:rsid w:val="000917BF"/>
    <w:rsid w:val="000A75EC"/>
    <w:rsid w:val="000B01B0"/>
    <w:rsid w:val="000B1D17"/>
    <w:rsid w:val="000B7261"/>
    <w:rsid w:val="000C5667"/>
    <w:rsid w:val="000E0C0A"/>
    <w:rsid w:val="000E24E5"/>
    <w:rsid w:val="000E5CBB"/>
    <w:rsid w:val="000E7D47"/>
    <w:rsid w:val="000F05B7"/>
    <w:rsid w:val="000F0925"/>
    <w:rsid w:val="000F3198"/>
    <w:rsid w:val="000F48DB"/>
    <w:rsid w:val="000F5266"/>
    <w:rsid w:val="000F78B2"/>
    <w:rsid w:val="00100043"/>
    <w:rsid w:val="001050CA"/>
    <w:rsid w:val="001176CF"/>
    <w:rsid w:val="00122F58"/>
    <w:rsid w:val="00124923"/>
    <w:rsid w:val="00133CAA"/>
    <w:rsid w:val="00134127"/>
    <w:rsid w:val="00134BE0"/>
    <w:rsid w:val="00153414"/>
    <w:rsid w:val="00153A12"/>
    <w:rsid w:val="00174A3C"/>
    <w:rsid w:val="00184AEA"/>
    <w:rsid w:val="00184B5F"/>
    <w:rsid w:val="0018707F"/>
    <w:rsid w:val="00196DF7"/>
    <w:rsid w:val="001976D3"/>
    <w:rsid w:val="001A0145"/>
    <w:rsid w:val="001A2EBB"/>
    <w:rsid w:val="001B434F"/>
    <w:rsid w:val="001B49E4"/>
    <w:rsid w:val="001C2D8A"/>
    <w:rsid w:val="001C537A"/>
    <w:rsid w:val="001E635A"/>
    <w:rsid w:val="001E63CE"/>
    <w:rsid w:val="001E684C"/>
    <w:rsid w:val="001E7392"/>
    <w:rsid w:val="001F2285"/>
    <w:rsid w:val="00201E4F"/>
    <w:rsid w:val="00212449"/>
    <w:rsid w:val="00212F40"/>
    <w:rsid w:val="002238F6"/>
    <w:rsid w:val="0022773A"/>
    <w:rsid w:val="0023039A"/>
    <w:rsid w:val="002318A8"/>
    <w:rsid w:val="00236242"/>
    <w:rsid w:val="00240835"/>
    <w:rsid w:val="002417B8"/>
    <w:rsid w:val="002421BE"/>
    <w:rsid w:val="00256A61"/>
    <w:rsid w:val="00263AED"/>
    <w:rsid w:val="002676DD"/>
    <w:rsid w:val="00271EF4"/>
    <w:rsid w:val="00275F78"/>
    <w:rsid w:val="002861B9"/>
    <w:rsid w:val="00286811"/>
    <w:rsid w:val="002922A6"/>
    <w:rsid w:val="00292688"/>
    <w:rsid w:val="00293921"/>
    <w:rsid w:val="00296279"/>
    <w:rsid w:val="002B0183"/>
    <w:rsid w:val="002B1B18"/>
    <w:rsid w:val="002B490F"/>
    <w:rsid w:val="002B5982"/>
    <w:rsid w:val="002C0F6A"/>
    <w:rsid w:val="002D297F"/>
    <w:rsid w:val="002E0D9D"/>
    <w:rsid w:val="002E25B9"/>
    <w:rsid w:val="002E2CC0"/>
    <w:rsid w:val="002E5FF6"/>
    <w:rsid w:val="002F003F"/>
    <w:rsid w:val="002F1AF6"/>
    <w:rsid w:val="002F2A7F"/>
    <w:rsid w:val="002F300D"/>
    <w:rsid w:val="00321415"/>
    <w:rsid w:val="0032160F"/>
    <w:rsid w:val="003221DE"/>
    <w:rsid w:val="0032555F"/>
    <w:rsid w:val="00326EFE"/>
    <w:rsid w:val="0032780C"/>
    <w:rsid w:val="00331336"/>
    <w:rsid w:val="00334778"/>
    <w:rsid w:val="003370EF"/>
    <w:rsid w:val="003413AF"/>
    <w:rsid w:val="0034568D"/>
    <w:rsid w:val="00350824"/>
    <w:rsid w:val="00353223"/>
    <w:rsid w:val="00355600"/>
    <w:rsid w:val="00363562"/>
    <w:rsid w:val="00372BB6"/>
    <w:rsid w:val="003733C1"/>
    <w:rsid w:val="00374C24"/>
    <w:rsid w:val="00375E51"/>
    <w:rsid w:val="00384685"/>
    <w:rsid w:val="00385A64"/>
    <w:rsid w:val="0039210D"/>
    <w:rsid w:val="003A1187"/>
    <w:rsid w:val="003A293A"/>
    <w:rsid w:val="003B4B52"/>
    <w:rsid w:val="003B7BAB"/>
    <w:rsid w:val="003C51E9"/>
    <w:rsid w:val="003C653F"/>
    <w:rsid w:val="003D182E"/>
    <w:rsid w:val="003D40C6"/>
    <w:rsid w:val="003D4780"/>
    <w:rsid w:val="003E38AE"/>
    <w:rsid w:val="003F38E4"/>
    <w:rsid w:val="003F5888"/>
    <w:rsid w:val="00404B4E"/>
    <w:rsid w:val="00405153"/>
    <w:rsid w:val="0040692C"/>
    <w:rsid w:val="004078C6"/>
    <w:rsid w:val="004103FD"/>
    <w:rsid w:val="00411C32"/>
    <w:rsid w:val="004154AD"/>
    <w:rsid w:val="00415BB1"/>
    <w:rsid w:val="00417CC6"/>
    <w:rsid w:val="00420609"/>
    <w:rsid w:val="0042246C"/>
    <w:rsid w:val="00424773"/>
    <w:rsid w:val="00425208"/>
    <w:rsid w:val="00440583"/>
    <w:rsid w:val="0044093B"/>
    <w:rsid w:val="00443542"/>
    <w:rsid w:val="00453493"/>
    <w:rsid w:val="00456844"/>
    <w:rsid w:val="00456B43"/>
    <w:rsid w:val="004631BA"/>
    <w:rsid w:val="004716A1"/>
    <w:rsid w:val="00473F27"/>
    <w:rsid w:val="00477B0D"/>
    <w:rsid w:val="00481660"/>
    <w:rsid w:val="00481991"/>
    <w:rsid w:val="00482B2D"/>
    <w:rsid w:val="00487D0E"/>
    <w:rsid w:val="0049208E"/>
    <w:rsid w:val="00493AC3"/>
    <w:rsid w:val="00494061"/>
    <w:rsid w:val="004A1871"/>
    <w:rsid w:val="004A36F8"/>
    <w:rsid w:val="004A4E70"/>
    <w:rsid w:val="004D7C3F"/>
    <w:rsid w:val="004E0CC0"/>
    <w:rsid w:val="004F152C"/>
    <w:rsid w:val="004F1DC6"/>
    <w:rsid w:val="004F378A"/>
    <w:rsid w:val="004F4DBD"/>
    <w:rsid w:val="00501B0A"/>
    <w:rsid w:val="005041D7"/>
    <w:rsid w:val="005061E5"/>
    <w:rsid w:val="0050793B"/>
    <w:rsid w:val="00517049"/>
    <w:rsid w:val="00520562"/>
    <w:rsid w:val="005216DD"/>
    <w:rsid w:val="0052640C"/>
    <w:rsid w:val="00527E24"/>
    <w:rsid w:val="00535C30"/>
    <w:rsid w:val="0053622C"/>
    <w:rsid w:val="0053789E"/>
    <w:rsid w:val="005417A8"/>
    <w:rsid w:val="00547643"/>
    <w:rsid w:val="005523D3"/>
    <w:rsid w:val="005547E0"/>
    <w:rsid w:val="005746AC"/>
    <w:rsid w:val="005808A1"/>
    <w:rsid w:val="00597517"/>
    <w:rsid w:val="005A74A4"/>
    <w:rsid w:val="005B13C5"/>
    <w:rsid w:val="005B236D"/>
    <w:rsid w:val="005B7537"/>
    <w:rsid w:val="005C237E"/>
    <w:rsid w:val="005E0FB9"/>
    <w:rsid w:val="005E16B0"/>
    <w:rsid w:val="005E3C09"/>
    <w:rsid w:val="005F1265"/>
    <w:rsid w:val="005F5409"/>
    <w:rsid w:val="005F65A0"/>
    <w:rsid w:val="005F6D55"/>
    <w:rsid w:val="0060199C"/>
    <w:rsid w:val="00605F8B"/>
    <w:rsid w:val="006117AB"/>
    <w:rsid w:val="0061347F"/>
    <w:rsid w:val="00615B93"/>
    <w:rsid w:val="00616499"/>
    <w:rsid w:val="00617735"/>
    <w:rsid w:val="00621AD5"/>
    <w:rsid w:val="00624F2B"/>
    <w:rsid w:val="006273A8"/>
    <w:rsid w:val="00633D1D"/>
    <w:rsid w:val="006427F2"/>
    <w:rsid w:val="0064580B"/>
    <w:rsid w:val="00645A45"/>
    <w:rsid w:val="00647C73"/>
    <w:rsid w:val="00655C0D"/>
    <w:rsid w:val="00662952"/>
    <w:rsid w:val="00664E4B"/>
    <w:rsid w:val="00666D7E"/>
    <w:rsid w:val="00667440"/>
    <w:rsid w:val="00684C5C"/>
    <w:rsid w:val="00684D97"/>
    <w:rsid w:val="006866BD"/>
    <w:rsid w:val="00690F29"/>
    <w:rsid w:val="00695B7F"/>
    <w:rsid w:val="00696A17"/>
    <w:rsid w:val="006B4C95"/>
    <w:rsid w:val="006C3FC1"/>
    <w:rsid w:val="006D2F04"/>
    <w:rsid w:val="006E206A"/>
    <w:rsid w:val="006E3E8F"/>
    <w:rsid w:val="006E76E1"/>
    <w:rsid w:val="006E7ECF"/>
    <w:rsid w:val="006F1480"/>
    <w:rsid w:val="006F3228"/>
    <w:rsid w:val="006F52CF"/>
    <w:rsid w:val="007014C8"/>
    <w:rsid w:val="00710C4A"/>
    <w:rsid w:val="007116CF"/>
    <w:rsid w:val="007156EF"/>
    <w:rsid w:val="0072544D"/>
    <w:rsid w:val="00727869"/>
    <w:rsid w:val="007416AF"/>
    <w:rsid w:val="007541A9"/>
    <w:rsid w:val="00754F95"/>
    <w:rsid w:val="007636C8"/>
    <w:rsid w:val="007662BF"/>
    <w:rsid w:val="00774AD6"/>
    <w:rsid w:val="00783154"/>
    <w:rsid w:val="00791A9C"/>
    <w:rsid w:val="0079530A"/>
    <w:rsid w:val="007969E9"/>
    <w:rsid w:val="007A3ADB"/>
    <w:rsid w:val="007A4331"/>
    <w:rsid w:val="007A5E36"/>
    <w:rsid w:val="007A5ED0"/>
    <w:rsid w:val="007B6CDF"/>
    <w:rsid w:val="007C3ADB"/>
    <w:rsid w:val="007C7C53"/>
    <w:rsid w:val="007D086C"/>
    <w:rsid w:val="007E062F"/>
    <w:rsid w:val="007E2570"/>
    <w:rsid w:val="007E7A85"/>
    <w:rsid w:val="007F1932"/>
    <w:rsid w:val="007F34CF"/>
    <w:rsid w:val="007F3EB6"/>
    <w:rsid w:val="008016A8"/>
    <w:rsid w:val="00801880"/>
    <w:rsid w:val="00803760"/>
    <w:rsid w:val="00804DEF"/>
    <w:rsid w:val="0080790E"/>
    <w:rsid w:val="0082035B"/>
    <w:rsid w:val="00821F2E"/>
    <w:rsid w:val="00823ECD"/>
    <w:rsid w:val="00824247"/>
    <w:rsid w:val="008304A5"/>
    <w:rsid w:val="008330A1"/>
    <w:rsid w:val="008345A1"/>
    <w:rsid w:val="00836FED"/>
    <w:rsid w:val="008400C6"/>
    <w:rsid w:val="0084566E"/>
    <w:rsid w:val="008532F0"/>
    <w:rsid w:val="00853515"/>
    <w:rsid w:val="00855FB5"/>
    <w:rsid w:val="0085772F"/>
    <w:rsid w:val="008646E5"/>
    <w:rsid w:val="008660E6"/>
    <w:rsid w:val="00867B22"/>
    <w:rsid w:val="00870CD1"/>
    <w:rsid w:val="00872BBD"/>
    <w:rsid w:val="008833EC"/>
    <w:rsid w:val="00884728"/>
    <w:rsid w:val="00885A8A"/>
    <w:rsid w:val="008908BB"/>
    <w:rsid w:val="008A3495"/>
    <w:rsid w:val="008A4A12"/>
    <w:rsid w:val="008A6520"/>
    <w:rsid w:val="008B0775"/>
    <w:rsid w:val="008C1378"/>
    <w:rsid w:val="008C32C9"/>
    <w:rsid w:val="008C4C7E"/>
    <w:rsid w:val="008D6CB4"/>
    <w:rsid w:val="008E4C3B"/>
    <w:rsid w:val="008F7201"/>
    <w:rsid w:val="00910CD5"/>
    <w:rsid w:val="009163E4"/>
    <w:rsid w:val="00920816"/>
    <w:rsid w:val="009224AD"/>
    <w:rsid w:val="00923C7E"/>
    <w:rsid w:val="00923E41"/>
    <w:rsid w:val="009304FC"/>
    <w:rsid w:val="00931041"/>
    <w:rsid w:val="00931FA7"/>
    <w:rsid w:val="00933DF1"/>
    <w:rsid w:val="00935125"/>
    <w:rsid w:val="00947B2C"/>
    <w:rsid w:val="009508F0"/>
    <w:rsid w:val="0095388E"/>
    <w:rsid w:val="00954AAA"/>
    <w:rsid w:val="00956635"/>
    <w:rsid w:val="00957522"/>
    <w:rsid w:val="0096777B"/>
    <w:rsid w:val="00973299"/>
    <w:rsid w:val="009758BA"/>
    <w:rsid w:val="00976949"/>
    <w:rsid w:val="00977967"/>
    <w:rsid w:val="0098157A"/>
    <w:rsid w:val="00983506"/>
    <w:rsid w:val="00987DF6"/>
    <w:rsid w:val="009922DB"/>
    <w:rsid w:val="009C2801"/>
    <w:rsid w:val="009C4480"/>
    <w:rsid w:val="009D52B8"/>
    <w:rsid w:val="009E104D"/>
    <w:rsid w:val="009E1133"/>
    <w:rsid w:val="009E2817"/>
    <w:rsid w:val="009E6997"/>
    <w:rsid w:val="009E771C"/>
    <w:rsid w:val="009F71C2"/>
    <w:rsid w:val="00A0323E"/>
    <w:rsid w:val="00A14B3F"/>
    <w:rsid w:val="00A22F39"/>
    <w:rsid w:val="00A325B0"/>
    <w:rsid w:val="00A34D02"/>
    <w:rsid w:val="00A35237"/>
    <w:rsid w:val="00A37A5A"/>
    <w:rsid w:val="00A442E6"/>
    <w:rsid w:val="00A4533B"/>
    <w:rsid w:val="00A472BD"/>
    <w:rsid w:val="00A52869"/>
    <w:rsid w:val="00A57329"/>
    <w:rsid w:val="00A6373D"/>
    <w:rsid w:val="00A66E4D"/>
    <w:rsid w:val="00A672E8"/>
    <w:rsid w:val="00A673CF"/>
    <w:rsid w:val="00A719F0"/>
    <w:rsid w:val="00A71FB4"/>
    <w:rsid w:val="00A77437"/>
    <w:rsid w:val="00A85DA2"/>
    <w:rsid w:val="00A90B75"/>
    <w:rsid w:val="00A96E0B"/>
    <w:rsid w:val="00AA10AD"/>
    <w:rsid w:val="00AA4F06"/>
    <w:rsid w:val="00AA554E"/>
    <w:rsid w:val="00AB054D"/>
    <w:rsid w:val="00AB14C1"/>
    <w:rsid w:val="00AB34FB"/>
    <w:rsid w:val="00AC6EB0"/>
    <w:rsid w:val="00AD4563"/>
    <w:rsid w:val="00AD66F6"/>
    <w:rsid w:val="00AE13A6"/>
    <w:rsid w:val="00AE55F3"/>
    <w:rsid w:val="00AF566B"/>
    <w:rsid w:val="00AF759B"/>
    <w:rsid w:val="00B010DA"/>
    <w:rsid w:val="00B07012"/>
    <w:rsid w:val="00B073FA"/>
    <w:rsid w:val="00B07A49"/>
    <w:rsid w:val="00B15FE8"/>
    <w:rsid w:val="00B173E3"/>
    <w:rsid w:val="00B21D96"/>
    <w:rsid w:val="00B24730"/>
    <w:rsid w:val="00B3051F"/>
    <w:rsid w:val="00B32124"/>
    <w:rsid w:val="00B33651"/>
    <w:rsid w:val="00B35790"/>
    <w:rsid w:val="00B3657B"/>
    <w:rsid w:val="00B377A7"/>
    <w:rsid w:val="00B4455C"/>
    <w:rsid w:val="00B52B16"/>
    <w:rsid w:val="00B70466"/>
    <w:rsid w:val="00B73115"/>
    <w:rsid w:val="00B7523E"/>
    <w:rsid w:val="00B77213"/>
    <w:rsid w:val="00B77C3D"/>
    <w:rsid w:val="00B82791"/>
    <w:rsid w:val="00B87C49"/>
    <w:rsid w:val="00B87E6E"/>
    <w:rsid w:val="00B9146D"/>
    <w:rsid w:val="00BA0763"/>
    <w:rsid w:val="00BA2960"/>
    <w:rsid w:val="00BA3699"/>
    <w:rsid w:val="00BA467B"/>
    <w:rsid w:val="00BB6673"/>
    <w:rsid w:val="00BC0C4F"/>
    <w:rsid w:val="00BC42F6"/>
    <w:rsid w:val="00BD193D"/>
    <w:rsid w:val="00BD70BA"/>
    <w:rsid w:val="00BE22EB"/>
    <w:rsid w:val="00BF301E"/>
    <w:rsid w:val="00BF6C99"/>
    <w:rsid w:val="00C05D3D"/>
    <w:rsid w:val="00C07ECB"/>
    <w:rsid w:val="00C2772A"/>
    <w:rsid w:val="00C305B8"/>
    <w:rsid w:val="00C33A69"/>
    <w:rsid w:val="00C37E08"/>
    <w:rsid w:val="00C4627D"/>
    <w:rsid w:val="00C61E52"/>
    <w:rsid w:val="00C65C46"/>
    <w:rsid w:val="00C6693B"/>
    <w:rsid w:val="00C67F80"/>
    <w:rsid w:val="00C742D8"/>
    <w:rsid w:val="00C805DF"/>
    <w:rsid w:val="00C82311"/>
    <w:rsid w:val="00C952C8"/>
    <w:rsid w:val="00C97432"/>
    <w:rsid w:val="00C9752B"/>
    <w:rsid w:val="00CB0088"/>
    <w:rsid w:val="00CB22EF"/>
    <w:rsid w:val="00CB62BF"/>
    <w:rsid w:val="00CB6AA8"/>
    <w:rsid w:val="00CC0140"/>
    <w:rsid w:val="00CC1B14"/>
    <w:rsid w:val="00CC2B0E"/>
    <w:rsid w:val="00CD1642"/>
    <w:rsid w:val="00CE6170"/>
    <w:rsid w:val="00CE68DE"/>
    <w:rsid w:val="00D12185"/>
    <w:rsid w:val="00D21BA2"/>
    <w:rsid w:val="00D3470D"/>
    <w:rsid w:val="00D3633E"/>
    <w:rsid w:val="00D423A5"/>
    <w:rsid w:val="00D53AAE"/>
    <w:rsid w:val="00D5629E"/>
    <w:rsid w:val="00D624D9"/>
    <w:rsid w:val="00D71F7A"/>
    <w:rsid w:val="00D71FC2"/>
    <w:rsid w:val="00D7249B"/>
    <w:rsid w:val="00D7252E"/>
    <w:rsid w:val="00D77A64"/>
    <w:rsid w:val="00D81CD2"/>
    <w:rsid w:val="00D82B10"/>
    <w:rsid w:val="00D837A4"/>
    <w:rsid w:val="00D84359"/>
    <w:rsid w:val="00D84C8D"/>
    <w:rsid w:val="00D867B9"/>
    <w:rsid w:val="00D96F15"/>
    <w:rsid w:val="00DA0AA5"/>
    <w:rsid w:val="00DC5D35"/>
    <w:rsid w:val="00DC5F94"/>
    <w:rsid w:val="00DD4C1B"/>
    <w:rsid w:val="00DE2732"/>
    <w:rsid w:val="00DE3D9F"/>
    <w:rsid w:val="00DE5802"/>
    <w:rsid w:val="00DE702C"/>
    <w:rsid w:val="00DF37C9"/>
    <w:rsid w:val="00DF5C33"/>
    <w:rsid w:val="00DF619A"/>
    <w:rsid w:val="00E00819"/>
    <w:rsid w:val="00E014E2"/>
    <w:rsid w:val="00E01AD1"/>
    <w:rsid w:val="00E121D4"/>
    <w:rsid w:val="00E21627"/>
    <w:rsid w:val="00E242BB"/>
    <w:rsid w:val="00E3186B"/>
    <w:rsid w:val="00E35D05"/>
    <w:rsid w:val="00E40F52"/>
    <w:rsid w:val="00E42557"/>
    <w:rsid w:val="00E4465A"/>
    <w:rsid w:val="00E44D61"/>
    <w:rsid w:val="00E5070D"/>
    <w:rsid w:val="00E52DDD"/>
    <w:rsid w:val="00E5697A"/>
    <w:rsid w:val="00E65236"/>
    <w:rsid w:val="00E75A75"/>
    <w:rsid w:val="00E76E19"/>
    <w:rsid w:val="00E87601"/>
    <w:rsid w:val="00E904B0"/>
    <w:rsid w:val="00E911BC"/>
    <w:rsid w:val="00E92B6E"/>
    <w:rsid w:val="00E92E72"/>
    <w:rsid w:val="00E93FBC"/>
    <w:rsid w:val="00EA168A"/>
    <w:rsid w:val="00EB4D53"/>
    <w:rsid w:val="00EB56B7"/>
    <w:rsid w:val="00EB5D72"/>
    <w:rsid w:val="00EC3929"/>
    <w:rsid w:val="00EC4C7F"/>
    <w:rsid w:val="00EC54A6"/>
    <w:rsid w:val="00EE14DF"/>
    <w:rsid w:val="00EE31B9"/>
    <w:rsid w:val="00EF0503"/>
    <w:rsid w:val="00EF3274"/>
    <w:rsid w:val="00F005E3"/>
    <w:rsid w:val="00F0149D"/>
    <w:rsid w:val="00F07853"/>
    <w:rsid w:val="00F13C20"/>
    <w:rsid w:val="00F227E6"/>
    <w:rsid w:val="00F275D4"/>
    <w:rsid w:val="00F36058"/>
    <w:rsid w:val="00F40705"/>
    <w:rsid w:val="00F428A6"/>
    <w:rsid w:val="00F463EC"/>
    <w:rsid w:val="00F60E68"/>
    <w:rsid w:val="00F80DF9"/>
    <w:rsid w:val="00F85B10"/>
    <w:rsid w:val="00F864CF"/>
    <w:rsid w:val="00F964AB"/>
    <w:rsid w:val="00FB2CE5"/>
    <w:rsid w:val="00FB61FA"/>
    <w:rsid w:val="00FC538F"/>
    <w:rsid w:val="00FD0D89"/>
    <w:rsid w:val="00FD247A"/>
    <w:rsid w:val="00FE1C9E"/>
    <w:rsid w:val="00FE6314"/>
    <w:rsid w:val="00FF1B42"/>
    <w:rsid w:val="00FF1DA9"/>
    <w:rsid w:val="00FF22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FBC3790-165B-4F85-8FFC-08FE4384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1DC6"/>
    <w:pPr>
      <w:widowControl w:val="0"/>
    </w:pPr>
    <w:rPr>
      <w:rFonts w:eastAsia="標楷體"/>
      <w:kern w:val="2"/>
      <w:sz w:val="32"/>
    </w:rPr>
  </w:style>
  <w:style w:type="paragraph" w:styleId="1">
    <w:name w:val="heading 1"/>
    <w:basedOn w:val="a1"/>
    <w:link w:val="10"/>
    <w:qFormat/>
    <w:rsid w:val="004F1DC6"/>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4F1DC6"/>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4F1DC6"/>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4F1DC6"/>
    <w:pPr>
      <w:numPr>
        <w:ilvl w:val="3"/>
        <w:numId w:val="1"/>
      </w:numPr>
      <w:jc w:val="both"/>
      <w:outlineLvl w:val="3"/>
    </w:pPr>
    <w:rPr>
      <w:rFonts w:ascii="標楷體" w:hAnsi="Arial"/>
      <w:szCs w:val="36"/>
    </w:rPr>
  </w:style>
  <w:style w:type="paragraph" w:styleId="5">
    <w:name w:val="heading 5"/>
    <w:basedOn w:val="a1"/>
    <w:qFormat/>
    <w:rsid w:val="004F1DC6"/>
    <w:pPr>
      <w:numPr>
        <w:ilvl w:val="4"/>
        <w:numId w:val="1"/>
      </w:numPr>
      <w:kinsoku w:val="0"/>
      <w:jc w:val="both"/>
      <w:outlineLvl w:val="4"/>
    </w:pPr>
    <w:rPr>
      <w:rFonts w:ascii="標楷體" w:hAnsi="Arial"/>
      <w:bCs/>
      <w:szCs w:val="36"/>
    </w:rPr>
  </w:style>
  <w:style w:type="paragraph" w:styleId="6">
    <w:name w:val="heading 6"/>
    <w:basedOn w:val="a1"/>
    <w:qFormat/>
    <w:rsid w:val="004F1DC6"/>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F1DC6"/>
    <w:pPr>
      <w:numPr>
        <w:ilvl w:val="6"/>
        <w:numId w:val="1"/>
      </w:numPr>
      <w:kinsoku w:val="0"/>
      <w:jc w:val="both"/>
      <w:outlineLvl w:val="6"/>
    </w:pPr>
    <w:rPr>
      <w:rFonts w:ascii="標楷體" w:hAnsi="Arial"/>
      <w:bCs/>
      <w:szCs w:val="36"/>
    </w:rPr>
  </w:style>
  <w:style w:type="paragraph" w:styleId="8">
    <w:name w:val="heading 8"/>
    <w:basedOn w:val="a1"/>
    <w:qFormat/>
    <w:rsid w:val="004F1DC6"/>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F1DC6"/>
    <w:pPr>
      <w:spacing w:before="720" w:after="720"/>
      <w:ind w:left="7371"/>
    </w:pPr>
    <w:rPr>
      <w:rFonts w:ascii="標楷體"/>
      <w:b/>
      <w:snapToGrid w:val="0"/>
      <w:spacing w:val="10"/>
      <w:sz w:val="36"/>
    </w:rPr>
  </w:style>
  <w:style w:type="paragraph" w:styleId="a7">
    <w:name w:val="endnote text"/>
    <w:basedOn w:val="a1"/>
    <w:semiHidden/>
    <w:rsid w:val="004F1DC6"/>
    <w:pPr>
      <w:spacing w:before="240"/>
      <w:ind w:left="1021" w:hanging="1021"/>
      <w:jc w:val="both"/>
    </w:pPr>
    <w:rPr>
      <w:rFonts w:ascii="標楷體"/>
      <w:snapToGrid w:val="0"/>
      <w:spacing w:val="10"/>
    </w:rPr>
  </w:style>
  <w:style w:type="paragraph" w:styleId="50">
    <w:name w:val="toc 5"/>
    <w:basedOn w:val="a1"/>
    <w:next w:val="a1"/>
    <w:autoRedefine/>
    <w:semiHidden/>
    <w:rsid w:val="004F1DC6"/>
    <w:pPr>
      <w:ind w:leftChars="400" w:left="600" w:rightChars="200" w:right="200" w:hangingChars="200" w:hanging="200"/>
    </w:pPr>
    <w:rPr>
      <w:rFonts w:ascii="標楷體"/>
    </w:rPr>
  </w:style>
  <w:style w:type="character" w:styleId="a8">
    <w:name w:val="page number"/>
    <w:basedOn w:val="a2"/>
    <w:semiHidden/>
    <w:rsid w:val="004F1DC6"/>
    <w:rPr>
      <w:rFonts w:ascii="標楷體" w:eastAsia="標楷體"/>
      <w:sz w:val="20"/>
    </w:rPr>
  </w:style>
  <w:style w:type="paragraph" w:styleId="60">
    <w:name w:val="toc 6"/>
    <w:basedOn w:val="a1"/>
    <w:next w:val="a1"/>
    <w:autoRedefine/>
    <w:semiHidden/>
    <w:rsid w:val="004F1DC6"/>
    <w:pPr>
      <w:ind w:leftChars="500" w:left="500"/>
    </w:pPr>
    <w:rPr>
      <w:rFonts w:ascii="標楷體"/>
    </w:rPr>
  </w:style>
  <w:style w:type="paragraph" w:customStyle="1" w:styleId="11">
    <w:name w:val="段落樣式1"/>
    <w:basedOn w:val="a1"/>
    <w:rsid w:val="004F1DC6"/>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F1DC6"/>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4F1DC6"/>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F1DC6"/>
    <w:pPr>
      <w:kinsoku w:val="0"/>
      <w:ind w:leftChars="100" w:left="300" w:rightChars="200" w:right="200" w:hangingChars="200" w:hanging="200"/>
    </w:pPr>
    <w:rPr>
      <w:rFonts w:ascii="標楷體"/>
      <w:noProof/>
    </w:rPr>
  </w:style>
  <w:style w:type="paragraph" w:styleId="31">
    <w:name w:val="toc 3"/>
    <w:basedOn w:val="a1"/>
    <w:next w:val="a1"/>
    <w:autoRedefine/>
    <w:semiHidden/>
    <w:rsid w:val="004F1DC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F1DC6"/>
    <w:pPr>
      <w:kinsoku w:val="0"/>
      <w:ind w:leftChars="300" w:left="500" w:rightChars="200" w:right="200" w:hangingChars="200" w:hanging="200"/>
      <w:jc w:val="both"/>
    </w:pPr>
    <w:rPr>
      <w:rFonts w:ascii="標楷體"/>
    </w:rPr>
  </w:style>
  <w:style w:type="paragraph" w:styleId="70">
    <w:name w:val="toc 7"/>
    <w:basedOn w:val="a1"/>
    <w:next w:val="a1"/>
    <w:autoRedefine/>
    <w:semiHidden/>
    <w:rsid w:val="004F1DC6"/>
    <w:pPr>
      <w:ind w:leftChars="600" w:left="800" w:hangingChars="200" w:hanging="200"/>
    </w:pPr>
    <w:rPr>
      <w:rFonts w:ascii="標楷體"/>
    </w:rPr>
  </w:style>
  <w:style w:type="paragraph" w:styleId="80">
    <w:name w:val="toc 8"/>
    <w:basedOn w:val="a1"/>
    <w:next w:val="a1"/>
    <w:autoRedefine/>
    <w:semiHidden/>
    <w:rsid w:val="004F1DC6"/>
    <w:pPr>
      <w:ind w:leftChars="700" w:left="900" w:hangingChars="200" w:hanging="200"/>
    </w:pPr>
    <w:rPr>
      <w:rFonts w:ascii="標楷體"/>
    </w:rPr>
  </w:style>
  <w:style w:type="paragraph" w:styleId="9">
    <w:name w:val="toc 9"/>
    <w:basedOn w:val="a1"/>
    <w:next w:val="a1"/>
    <w:autoRedefine/>
    <w:semiHidden/>
    <w:rsid w:val="004F1DC6"/>
    <w:pPr>
      <w:ind w:leftChars="1600" w:left="3840"/>
    </w:pPr>
  </w:style>
  <w:style w:type="paragraph" w:styleId="a9">
    <w:name w:val="header"/>
    <w:basedOn w:val="a1"/>
    <w:link w:val="aa"/>
    <w:uiPriority w:val="99"/>
    <w:rsid w:val="004F1DC6"/>
    <w:pPr>
      <w:tabs>
        <w:tab w:val="center" w:pos="4153"/>
        <w:tab w:val="right" w:pos="8306"/>
      </w:tabs>
      <w:snapToGrid w:val="0"/>
    </w:pPr>
    <w:rPr>
      <w:sz w:val="20"/>
    </w:rPr>
  </w:style>
  <w:style w:type="paragraph" w:customStyle="1" w:styleId="32">
    <w:name w:val="段落樣式3"/>
    <w:basedOn w:val="21"/>
    <w:rsid w:val="004F1DC6"/>
    <w:pPr>
      <w:ind w:leftChars="400" w:left="400"/>
    </w:pPr>
  </w:style>
  <w:style w:type="character" w:styleId="ab">
    <w:name w:val="Hyperlink"/>
    <w:basedOn w:val="a2"/>
    <w:semiHidden/>
    <w:rsid w:val="004F1DC6"/>
    <w:rPr>
      <w:color w:val="0000FF"/>
      <w:u w:val="single"/>
    </w:rPr>
  </w:style>
  <w:style w:type="paragraph" w:customStyle="1" w:styleId="ac">
    <w:name w:val="簽名日期"/>
    <w:basedOn w:val="a1"/>
    <w:rsid w:val="004F1DC6"/>
    <w:pPr>
      <w:kinsoku w:val="0"/>
      <w:jc w:val="distribute"/>
    </w:pPr>
    <w:rPr>
      <w:kern w:val="0"/>
    </w:rPr>
  </w:style>
  <w:style w:type="paragraph" w:customStyle="1" w:styleId="0">
    <w:name w:val="段落樣式0"/>
    <w:basedOn w:val="21"/>
    <w:rsid w:val="004F1DC6"/>
    <w:pPr>
      <w:ind w:leftChars="200" w:left="200" w:firstLineChars="0" w:firstLine="0"/>
    </w:pPr>
  </w:style>
  <w:style w:type="paragraph" w:customStyle="1" w:styleId="ad">
    <w:name w:val="附件"/>
    <w:basedOn w:val="a7"/>
    <w:rsid w:val="004F1DC6"/>
    <w:pPr>
      <w:kinsoku w:val="0"/>
      <w:spacing w:before="0"/>
      <w:ind w:left="1047" w:hangingChars="300" w:hanging="1047"/>
    </w:pPr>
    <w:rPr>
      <w:snapToGrid/>
      <w:spacing w:val="0"/>
      <w:kern w:val="0"/>
    </w:rPr>
  </w:style>
  <w:style w:type="paragraph" w:customStyle="1" w:styleId="41">
    <w:name w:val="段落樣式4"/>
    <w:basedOn w:val="32"/>
    <w:rsid w:val="004F1DC6"/>
    <w:pPr>
      <w:ind w:leftChars="500" w:left="500"/>
    </w:pPr>
  </w:style>
  <w:style w:type="paragraph" w:customStyle="1" w:styleId="51">
    <w:name w:val="段落樣式5"/>
    <w:basedOn w:val="41"/>
    <w:rsid w:val="004F1DC6"/>
    <w:pPr>
      <w:ind w:leftChars="600" w:left="600"/>
    </w:pPr>
  </w:style>
  <w:style w:type="paragraph" w:customStyle="1" w:styleId="61">
    <w:name w:val="段落樣式6"/>
    <w:basedOn w:val="51"/>
    <w:rsid w:val="004F1DC6"/>
    <w:pPr>
      <w:ind w:leftChars="700" w:left="700"/>
    </w:pPr>
  </w:style>
  <w:style w:type="paragraph" w:customStyle="1" w:styleId="71">
    <w:name w:val="段落樣式7"/>
    <w:basedOn w:val="61"/>
    <w:rsid w:val="004F1DC6"/>
  </w:style>
  <w:style w:type="paragraph" w:customStyle="1" w:styleId="81">
    <w:name w:val="段落樣式8"/>
    <w:basedOn w:val="71"/>
    <w:rsid w:val="004F1DC6"/>
    <w:pPr>
      <w:ind w:leftChars="800" w:left="800"/>
    </w:pPr>
  </w:style>
  <w:style w:type="paragraph" w:customStyle="1" w:styleId="a0">
    <w:name w:val="表樣式"/>
    <w:basedOn w:val="a1"/>
    <w:next w:val="a1"/>
    <w:rsid w:val="004F1DC6"/>
    <w:pPr>
      <w:numPr>
        <w:numId w:val="2"/>
      </w:numPr>
      <w:jc w:val="both"/>
    </w:pPr>
    <w:rPr>
      <w:rFonts w:ascii="標楷體"/>
      <w:kern w:val="0"/>
    </w:rPr>
  </w:style>
  <w:style w:type="paragraph" w:styleId="ae">
    <w:name w:val="Body Text Indent"/>
    <w:basedOn w:val="a1"/>
    <w:semiHidden/>
    <w:rsid w:val="004F1DC6"/>
    <w:pPr>
      <w:ind w:left="698" w:hangingChars="200" w:hanging="698"/>
    </w:pPr>
  </w:style>
  <w:style w:type="paragraph" w:customStyle="1" w:styleId="af">
    <w:name w:val="調查報告"/>
    <w:basedOn w:val="a7"/>
    <w:rsid w:val="004F1DC6"/>
    <w:pPr>
      <w:kinsoku w:val="0"/>
      <w:spacing w:before="0"/>
      <w:ind w:left="1701" w:firstLine="0"/>
    </w:pPr>
    <w:rPr>
      <w:b/>
      <w:snapToGrid/>
      <w:spacing w:val="200"/>
      <w:kern w:val="0"/>
      <w:sz w:val="36"/>
    </w:rPr>
  </w:style>
  <w:style w:type="paragraph" w:customStyle="1" w:styleId="a">
    <w:name w:val="圖樣式"/>
    <w:basedOn w:val="a1"/>
    <w:next w:val="a1"/>
    <w:rsid w:val="004F1DC6"/>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4F1DC6"/>
    <w:pPr>
      <w:tabs>
        <w:tab w:val="center" w:pos="4153"/>
        <w:tab w:val="right" w:pos="8306"/>
      </w:tabs>
      <w:snapToGrid w:val="0"/>
    </w:pPr>
    <w:rPr>
      <w:sz w:val="20"/>
    </w:rPr>
  </w:style>
  <w:style w:type="paragraph" w:styleId="af2">
    <w:name w:val="table of figures"/>
    <w:basedOn w:val="a1"/>
    <w:next w:val="a1"/>
    <w:semiHidden/>
    <w:rsid w:val="004F1DC6"/>
    <w:pPr>
      <w:ind w:left="400" w:hangingChars="400" w:hanging="400"/>
    </w:pPr>
  </w:style>
  <w:style w:type="paragraph" w:styleId="af3">
    <w:name w:val="footnote text"/>
    <w:basedOn w:val="a1"/>
    <w:link w:val="af4"/>
    <w:uiPriority w:val="99"/>
    <w:semiHidden/>
    <w:unhideWhenUsed/>
    <w:rsid w:val="003D40C6"/>
    <w:pPr>
      <w:snapToGrid w:val="0"/>
    </w:pPr>
    <w:rPr>
      <w:sz w:val="20"/>
    </w:rPr>
  </w:style>
  <w:style w:type="character" w:customStyle="1" w:styleId="af4">
    <w:name w:val="註腳文字 字元"/>
    <w:basedOn w:val="a2"/>
    <w:link w:val="af3"/>
    <w:uiPriority w:val="99"/>
    <w:semiHidden/>
    <w:rsid w:val="003D40C6"/>
    <w:rPr>
      <w:rFonts w:eastAsia="標楷體"/>
      <w:kern w:val="2"/>
    </w:rPr>
  </w:style>
  <w:style w:type="character" w:styleId="af5">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20">
    <w:name w:val="標題 2 字元"/>
    <w:aliases w:val="標題110/111 字元"/>
    <w:basedOn w:val="a2"/>
    <w:link w:val="2"/>
    <w:rsid w:val="0032160F"/>
    <w:rPr>
      <w:rFonts w:ascii="標楷體" w:eastAsia="標楷體" w:hAnsi="Arial"/>
      <w:bCs/>
      <w:sz w:val="32"/>
      <w:szCs w:val="48"/>
    </w:rPr>
  </w:style>
  <w:style w:type="paragraph" w:styleId="af6">
    <w:name w:val="Balloon Text"/>
    <w:basedOn w:val="a1"/>
    <w:link w:val="af7"/>
    <w:uiPriority w:val="99"/>
    <w:semiHidden/>
    <w:unhideWhenUsed/>
    <w:rsid w:val="002E25B9"/>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2E25B9"/>
    <w:rPr>
      <w:rFonts w:asciiTheme="majorHAnsi" w:eastAsiaTheme="majorEastAsia" w:hAnsiTheme="majorHAnsi" w:cstheme="majorBidi"/>
      <w:kern w:val="2"/>
      <w:sz w:val="18"/>
      <w:szCs w:val="18"/>
    </w:rPr>
  </w:style>
  <w:style w:type="table" w:styleId="af8">
    <w:name w:val="Table Grid"/>
    <w:basedOn w:val="a3"/>
    <w:uiPriority w:val="59"/>
    <w:rsid w:val="005041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1D7"/>
    <w:pPr>
      <w:widowControl w:val="0"/>
      <w:autoSpaceDE w:val="0"/>
      <w:autoSpaceDN w:val="0"/>
      <w:adjustRightInd w:val="0"/>
    </w:pPr>
    <w:rPr>
      <w:rFonts w:ascii="標楷體" w:eastAsia="標楷體" w:hAnsiTheme="minorHAnsi" w:cs="標楷體"/>
      <w:color w:val="000000"/>
      <w:sz w:val="24"/>
      <w:szCs w:val="24"/>
    </w:rPr>
  </w:style>
  <w:style w:type="numbering" w:customStyle="1" w:styleId="13">
    <w:name w:val="無清單1"/>
    <w:next w:val="a4"/>
    <w:uiPriority w:val="99"/>
    <w:semiHidden/>
    <w:unhideWhenUsed/>
    <w:rsid w:val="008C4C7E"/>
  </w:style>
  <w:style w:type="paragraph" w:customStyle="1" w:styleId="af9">
    <w:name w:val="分項段落"/>
    <w:basedOn w:val="a1"/>
    <w:rsid w:val="008C4C7E"/>
    <w:rPr>
      <w:rFonts w:eastAsia="新細明體"/>
      <w:sz w:val="24"/>
    </w:rPr>
  </w:style>
  <w:style w:type="table" w:customStyle="1" w:styleId="14">
    <w:name w:val="表格格線1"/>
    <w:basedOn w:val="a3"/>
    <w:next w:val="af8"/>
    <w:uiPriority w:val="59"/>
    <w:rsid w:val="008C4C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頁首 字元"/>
    <w:basedOn w:val="a2"/>
    <w:link w:val="a9"/>
    <w:uiPriority w:val="99"/>
    <w:rsid w:val="008C4C7E"/>
    <w:rPr>
      <w:rFonts w:eastAsia="標楷體"/>
      <w:kern w:val="2"/>
    </w:rPr>
  </w:style>
  <w:style w:type="character" w:customStyle="1" w:styleId="af1">
    <w:name w:val="頁尾 字元"/>
    <w:basedOn w:val="a2"/>
    <w:link w:val="af0"/>
    <w:uiPriority w:val="99"/>
    <w:rsid w:val="008C4C7E"/>
    <w:rPr>
      <w:rFonts w:eastAsia="標楷體"/>
      <w:kern w:val="2"/>
    </w:rPr>
  </w:style>
  <w:style w:type="paragraph" w:styleId="afa">
    <w:name w:val="List Paragraph"/>
    <w:basedOn w:val="a1"/>
    <w:uiPriority w:val="34"/>
    <w:qFormat/>
    <w:rsid w:val="008C4C7E"/>
    <w:pPr>
      <w:ind w:leftChars="200" w:left="480"/>
    </w:pPr>
    <w:rPr>
      <w:rFonts w:eastAsia="新細明體"/>
      <w:sz w:val="24"/>
      <w:szCs w:val="24"/>
    </w:rPr>
  </w:style>
  <w:style w:type="character" w:customStyle="1" w:styleId="textalian1">
    <w:name w:val="textalian1"/>
    <w:uiPriority w:val="99"/>
    <w:rsid w:val="008C4C7E"/>
  </w:style>
  <w:style w:type="character" w:customStyle="1" w:styleId="30">
    <w:name w:val="標題 3 字元"/>
    <w:basedOn w:val="a2"/>
    <w:link w:val="3"/>
    <w:rsid w:val="00212449"/>
    <w:rPr>
      <w:rFonts w:ascii="標楷體" w:eastAsia="標楷體" w:hAnsi="Arial"/>
      <w:bCs/>
      <w:sz w:val="32"/>
      <w:szCs w:val="36"/>
    </w:rPr>
  </w:style>
  <w:style w:type="character" w:customStyle="1" w:styleId="a6">
    <w:name w:val="簽名 字元"/>
    <w:basedOn w:val="a2"/>
    <w:link w:val="a5"/>
    <w:semiHidden/>
    <w:rsid w:val="00C4627D"/>
    <w:rPr>
      <w:rFonts w:ascii="標楷體" w:eastAsia="標楷體"/>
      <w:b/>
      <w:snapToGrid w:val="0"/>
      <w:spacing w:val="10"/>
      <w:kern w:val="2"/>
      <w:sz w:val="36"/>
    </w:rPr>
  </w:style>
  <w:style w:type="character" w:customStyle="1" w:styleId="10">
    <w:name w:val="標題 1 字元"/>
    <w:link w:val="1"/>
    <w:rsid w:val="00C4627D"/>
    <w:rPr>
      <w:rFonts w:ascii="標楷體" w:eastAsia="標楷體" w:hAnsi="Arial"/>
      <w:bCs/>
      <w:sz w:val="32"/>
      <w:szCs w:val="52"/>
    </w:rPr>
  </w:style>
  <w:style w:type="table" w:customStyle="1" w:styleId="23">
    <w:name w:val="表格格線2"/>
    <w:basedOn w:val="a3"/>
    <w:next w:val="af8"/>
    <w:uiPriority w:val="59"/>
    <w:rsid w:val="000F05B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附表樣式"/>
    <w:basedOn w:val="a1"/>
    <w:qFormat/>
    <w:rsid w:val="00A472BD"/>
    <w:pPr>
      <w:keepNext/>
      <w:overflowPunct w:val="0"/>
      <w:autoSpaceDE w:val="0"/>
      <w:autoSpaceDN w:val="0"/>
      <w:ind w:left="400" w:hangingChars="400" w:hanging="400"/>
      <w:jc w:val="both"/>
      <w:outlineLvl w:val="0"/>
    </w:pPr>
    <w:rPr>
      <w:rFonts w:ascii="標楷體"/>
      <w:kern w:val="32"/>
    </w:rPr>
  </w:style>
  <w:style w:type="table" w:customStyle="1" w:styleId="33">
    <w:name w:val="表格格線3"/>
    <w:basedOn w:val="a3"/>
    <w:next w:val="af8"/>
    <w:uiPriority w:val="59"/>
    <w:rsid w:val="00933DF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0A2B-1814-4CF2-81F7-039BC84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8197</Words>
  <Characters>1359</Characters>
  <Application>Microsoft Office Word</Application>
  <DocSecurity>4</DocSecurity>
  <Lines>11</Lines>
  <Paragraphs>19</Paragraphs>
  <ScaleCrop>false</ScaleCrop>
  <Company>cy</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廖春媛</cp:lastModifiedBy>
  <cp:revision>2</cp:revision>
  <cp:lastPrinted>2017-08-04T03:32:00Z</cp:lastPrinted>
  <dcterms:created xsi:type="dcterms:W3CDTF">2019-04-09T07:12:00Z</dcterms:created>
  <dcterms:modified xsi:type="dcterms:W3CDTF">2019-04-09T07:12:00Z</dcterms:modified>
</cp:coreProperties>
</file>