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2B6" w:rsidRPr="005A65DC" w:rsidRDefault="009B522C">
      <w:pPr>
        <w:pStyle w:val="ab"/>
        <w:kinsoku w:val="0"/>
        <w:spacing w:before="0"/>
        <w:ind w:leftChars="700" w:left="2381" w:firstLine="0"/>
        <w:rPr>
          <w:bCs/>
          <w:snapToGrid/>
          <w:color w:val="000000"/>
          <w:spacing w:val="200"/>
          <w:kern w:val="0"/>
          <w:sz w:val="40"/>
        </w:rPr>
      </w:pPr>
      <w:r w:rsidRPr="005A65DC">
        <w:rPr>
          <w:rFonts w:hint="eastAsia"/>
          <w:bCs/>
          <w:snapToGrid/>
          <w:color w:val="000000"/>
          <w:spacing w:val="200"/>
          <w:kern w:val="0"/>
          <w:sz w:val="40"/>
        </w:rPr>
        <w:t>調查</w:t>
      </w:r>
      <w:r w:rsidR="009D0BF7">
        <w:rPr>
          <w:rFonts w:hint="eastAsia"/>
          <w:bCs/>
          <w:snapToGrid/>
          <w:color w:val="000000"/>
          <w:spacing w:val="200"/>
          <w:kern w:val="0"/>
          <w:sz w:val="40"/>
        </w:rPr>
        <w:t>意見</w:t>
      </w:r>
    </w:p>
    <w:p w:rsidR="008632B6" w:rsidRPr="005A65DC" w:rsidRDefault="009B522C">
      <w:pPr>
        <w:pStyle w:val="1"/>
        <w:ind w:left="2380" w:hanging="2380"/>
        <w:rPr>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A65DC">
        <w:rPr>
          <w:rFonts w:hint="eastAsia"/>
          <w:color w:val="000000"/>
        </w:rPr>
        <w:t>案　　由：</w:t>
      </w:r>
      <w:bookmarkEnd w:id="0"/>
      <w:bookmarkEnd w:id="1"/>
      <w:bookmarkEnd w:id="2"/>
      <w:bookmarkEnd w:id="3"/>
      <w:bookmarkEnd w:id="4"/>
      <w:bookmarkEnd w:id="5"/>
      <w:bookmarkEnd w:id="6"/>
      <w:bookmarkEnd w:id="7"/>
      <w:bookmarkEnd w:id="8"/>
      <w:bookmarkEnd w:id="9"/>
      <w:r w:rsidR="00753D54" w:rsidRPr="005A65DC">
        <w:rPr>
          <w:rFonts w:hint="eastAsia"/>
          <w:color w:val="000000"/>
        </w:rPr>
        <w:t>據悉，目前在臺外籍專業人士雖其個人取得永久居留權，但依我國現行法規，其在臺所生子女只能依親居留，致子女成年後之受教權、居留權、工作權等均受到諸多限制，究現行法規有無檢討？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p>
    <w:p w:rsidR="00753D54" w:rsidRPr="005A65DC" w:rsidRDefault="00753D54" w:rsidP="00753D54">
      <w:pPr>
        <w:pStyle w:val="1"/>
        <w:rPr>
          <w:color w:val="000000"/>
        </w:rPr>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9952978"/>
      <w:r w:rsidRPr="005A65DC">
        <w:rPr>
          <w:rFonts w:hint="eastAsia"/>
          <w:color w:val="000000"/>
        </w:rPr>
        <w:t>調查意見</w:t>
      </w:r>
    </w:p>
    <w:p w:rsidR="00753D54" w:rsidRPr="005A65DC" w:rsidRDefault="00753D54" w:rsidP="00753D54">
      <w:pPr>
        <w:pStyle w:val="10"/>
        <w:ind w:left="680" w:firstLine="680"/>
        <w:rPr>
          <w:noProof/>
          <w:color w:val="000000"/>
        </w:rPr>
      </w:pPr>
      <w:r w:rsidRPr="005A65DC">
        <w:rPr>
          <w:rFonts w:ascii="Times New Roman"/>
          <w:color w:val="000000"/>
        </w:rPr>
        <w:t>本案緣</w:t>
      </w:r>
      <w:r w:rsidR="000F678C" w:rsidRPr="005A65DC">
        <w:rPr>
          <w:rFonts w:ascii="Times New Roman"/>
          <w:color w:val="000000"/>
        </w:rPr>
        <w:t>歐洲在台商務協會（</w:t>
      </w:r>
      <w:r w:rsidR="000F678C" w:rsidRPr="005A65DC">
        <w:rPr>
          <w:rFonts w:ascii="Times New Roman"/>
          <w:color w:val="000000"/>
        </w:rPr>
        <w:t>ECCT</w:t>
      </w:r>
      <w:r w:rsidR="000F678C" w:rsidRPr="005A65DC">
        <w:rPr>
          <w:rFonts w:ascii="Times New Roman"/>
          <w:color w:val="000000"/>
        </w:rPr>
        <w:t>）</w:t>
      </w:r>
      <w:r w:rsidR="003569B5" w:rsidRPr="005A65DC">
        <w:rPr>
          <w:rFonts w:ascii="Times New Roman"/>
          <w:color w:val="000000"/>
        </w:rPr>
        <w:t>於「</w:t>
      </w:r>
      <w:r w:rsidR="008A7FF3" w:rsidRPr="005A65DC">
        <w:rPr>
          <w:rFonts w:ascii="Times New Roman"/>
          <w:color w:val="000000"/>
        </w:rPr>
        <w:t>2016</w:t>
      </w:r>
      <w:r w:rsidR="003569B5" w:rsidRPr="005A65DC">
        <w:rPr>
          <w:rFonts w:ascii="Times New Roman"/>
          <w:color w:val="000000"/>
        </w:rPr>
        <w:t>建議書</w:t>
      </w:r>
      <w:r w:rsidR="003569B5" w:rsidRPr="005A65DC">
        <w:rPr>
          <w:rFonts w:hint="eastAsia"/>
          <w:color w:val="000000"/>
        </w:rPr>
        <w:t>」</w:t>
      </w:r>
      <w:r w:rsidR="008A7FF3" w:rsidRPr="005A65DC">
        <w:rPr>
          <w:rFonts w:hint="eastAsia"/>
          <w:color w:val="000000"/>
        </w:rPr>
        <w:t>及</w:t>
      </w:r>
      <w:r w:rsidR="003569B5" w:rsidRPr="005A65DC">
        <w:rPr>
          <w:rFonts w:hint="eastAsia"/>
          <w:color w:val="000000"/>
        </w:rPr>
        <w:t>「</w:t>
      </w:r>
      <w:r w:rsidR="000F678C" w:rsidRPr="005A65DC">
        <w:rPr>
          <w:rFonts w:hint="eastAsia"/>
          <w:color w:val="000000"/>
        </w:rPr>
        <w:t>2017</w:t>
      </w:r>
      <w:r w:rsidR="003569B5" w:rsidRPr="005A65DC">
        <w:rPr>
          <w:rFonts w:hint="eastAsia"/>
          <w:color w:val="000000"/>
        </w:rPr>
        <w:t>建議書」</w:t>
      </w:r>
      <w:r w:rsidR="000F678C" w:rsidRPr="005A65DC">
        <w:rPr>
          <w:rFonts w:hint="eastAsia"/>
          <w:color w:val="000000"/>
        </w:rPr>
        <w:t>指出，我國對長期居留之外籍人士基本權益保障不周</w:t>
      </w:r>
      <w:r w:rsidR="008A7FF3" w:rsidRPr="005A65DC">
        <w:rPr>
          <w:rFonts w:hint="eastAsia"/>
          <w:color w:val="000000"/>
        </w:rPr>
        <w:t>，</w:t>
      </w:r>
      <w:r w:rsidR="000F678C" w:rsidRPr="005A65DC">
        <w:rPr>
          <w:rFonts w:hint="eastAsia"/>
          <w:color w:val="000000"/>
        </w:rPr>
        <w:t>不利於吸引外籍人才</w:t>
      </w:r>
      <w:r w:rsidR="008A7FF3" w:rsidRPr="005A65DC">
        <w:rPr>
          <w:rStyle w:val="aff1"/>
          <w:color w:val="000000"/>
        </w:rPr>
        <w:footnoteReference w:id="1"/>
      </w:r>
      <w:r w:rsidR="000F678C" w:rsidRPr="005A65DC">
        <w:rPr>
          <w:rFonts w:hint="eastAsia"/>
          <w:color w:val="000000"/>
        </w:rPr>
        <w:t>；另</w:t>
      </w:r>
      <w:r w:rsidRPr="005A65DC">
        <w:rPr>
          <w:rFonts w:hint="eastAsia"/>
          <w:color w:val="000000"/>
        </w:rPr>
        <w:t>德國</w:t>
      </w:r>
      <w:r w:rsidRPr="005A65DC">
        <w:rPr>
          <w:rFonts w:ascii="Times New Roman"/>
          <w:color w:val="000000"/>
        </w:rPr>
        <w:t>籍軟體工程師雷傑森（</w:t>
      </w:r>
      <w:r w:rsidR="00DD454A" w:rsidRPr="005A65DC">
        <w:rPr>
          <w:rFonts w:ascii="Times New Roman"/>
          <w:color w:val="000000"/>
        </w:rPr>
        <w:t>Ral</w:t>
      </w:r>
      <w:r w:rsidRPr="005A65DC">
        <w:rPr>
          <w:rFonts w:ascii="Times New Roman"/>
          <w:color w:val="000000"/>
        </w:rPr>
        <w:t>p</w:t>
      </w:r>
      <w:r w:rsidR="00DD454A" w:rsidRPr="005A65DC">
        <w:rPr>
          <w:rFonts w:ascii="Times New Roman" w:hint="eastAsia"/>
          <w:color w:val="000000"/>
        </w:rPr>
        <w:t>h</w:t>
      </w:r>
      <w:r w:rsidRPr="005A65DC">
        <w:rPr>
          <w:rFonts w:ascii="Times New Roman"/>
          <w:color w:val="000000"/>
        </w:rPr>
        <w:t xml:space="preserve"> Jensen</w:t>
      </w:r>
      <w:r w:rsidRPr="005A65DC">
        <w:rPr>
          <w:rFonts w:ascii="Times New Roman"/>
          <w:color w:val="000000"/>
        </w:rPr>
        <w:t>）投書媒體表示，</w:t>
      </w:r>
      <w:r w:rsidRPr="005A65DC">
        <w:rPr>
          <w:rFonts w:hint="eastAsia"/>
          <w:color w:val="000000"/>
        </w:rPr>
        <w:t>雖其本人已取得我國永久居留權，其3名子女自幼隨其在臺生活成長，成年後</w:t>
      </w:r>
      <w:r w:rsidR="00684F36" w:rsidRPr="005A65DC">
        <w:rPr>
          <w:rStyle w:val="aff1"/>
          <w:color w:val="000000"/>
        </w:rPr>
        <w:footnoteReference w:id="2"/>
      </w:r>
      <w:r w:rsidRPr="005A65DC">
        <w:rPr>
          <w:rFonts w:hint="eastAsia"/>
          <w:color w:val="000000"/>
        </w:rPr>
        <w:t>卻不被許可在臺工作，不得已離開</w:t>
      </w:r>
      <w:r w:rsidR="00406F77" w:rsidRPr="005A65DC">
        <w:rPr>
          <w:rFonts w:hint="eastAsia"/>
          <w:color w:val="000000"/>
        </w:rPr>
        <w:t>臺</w:t>
      </w:r>
      <w:r w:rsidRPr="005A65DC">
        <w:rPr>
          <w:rFonts w:hint="eastAsia"/>
          <w:color w:val="000000"/>
        </w:rPr>
        <w:t>灣，家庭成員被迫分居各地。鑑於我國現行法規對於取得永久居留</w:t>
      </w:r>
      <w:r w:rsidR="003569B5" w:rsidRPr="005A65DC">
        <w:rPr>
          <w:rFonts w:hint="eastAsia"/>
          <w:color w:val="000000"/>
        </w:rPr>
        <w:t>權</w:t>
      </w:r>
      <w:r w:rsidRPr="005A65DC">
        <w:rPr>
          <w:rFonts w:hint="eastAsia"/>
          <w:color w:val="000000"/>
        </w:rPr>
        <w:t>外籍人士之子女，成年後僅能依親居留，致其受教權、居留權、工作權等受諸多限制，有深入瞭解之必要。</w:t>
      </w:r>
      <w:r w:rsidRPr="005A65DC">
        <w:rPr>
          <w:rFonts w:ascii="Times New Roman"/>
          <w:bCs/>
          <w:color w:val="000000"/>
        </w:rPr>
        <w:t>為釐清案情</w:t>
      </w:r>
      <w:r w:rsidRPr="005A65DC">
        <w:rPr>
          <w:rFonts w:ascii="Times New Roman" w:hint="eastAsia"/>
          <w:bCs/>
          <w:color w:val="000000"/>
        </w:rPr>
        <w:t>，</w:t>
      </w:r>
      <w:r w:rsidR="00F065AB" w:rsidRPr="005A65DC">
        <w:rPr>
          <w:rFonts w:hint="eastAsia"/>
          <w:color w:val="000000"/>
        </w:rPr>
        <w:t>經向國家發展委員會（下稱國發會）、勞動部、內政部、教育部</w:t>
      </w:r>
      <w:r w:rsidRPr="005A65DC">
        <w:rPr>
          <w:rFonts w:hint="eastAsia"/>
          <w:color w:val="000000"/>
        </w:rPr>
        <w:t>等調取相關卷證資料到院</w:t>
      </w:r>
      <w:r w:rsidRPr="005A65DC">
        <w:rPr>
          <w:rStyle w:val="aff1"/>
          <w:color w:val="000000"/>
        </w:rPr>
        <w:footnoteReference w:id="3"/>
      </w:r>
      <w:r w:rsidRPr="005A65DC">
        <w:rPr>
          <w:rFonts w:hint="eastAsia"/>
          <w:color w:val="000000"/>
        </w:rPr>
        <w:t>，並約</w:t>
      </w:r>
      <w:r w:rsidR="00E94F13" w:rsidRPr="005A65DC">
        <w:rPr>
          <w:rFonts w:hint="eastAsia"/>
          <w:color w:val="000000"/>
        </w:rPr>
        <w:t>請</w:t>
      </w:r>
      <w:r w:rsidRPr="005A65DC">
        <w:rPr>
          <w:rFonts w:hint="eastAsia"/>
          <w:color w:val="000000"/>
        </w:rPr>
        <w:t>勞動部廖蕙芳政務次長、內政</w:t>
      </w:r>
      <w:r w:rsidR="006F1F0C" w:rsidRPr="005A65DC">
        <w:rPr>
          <w:rFonts w:hint="eastAsia"/>
          <w:color w:val="000000"/>
        </w:rPr>
        <w:t>部邱昌嶽常務次長、教育部姚立德政務次長及國發會高仙桂常務副主委等</w:t>
      </w:r>
      <w:r w:rsidRPr="005A65DC">
        <w:rPr>
          <w:rFonts w:hAnsi="標楷體" w:hint="eastAsia"/>
          <w:bCs/>
          <w:color w:val="000000"/>
        </w:rPr>
        <w:t>相關業務主管人員</w:t>
      </w:r>
      <w:r w:rsidR="00E94F13" w:rsidRPr="005A65DC">
        <w:rPr>
          <w:rFonts w:hAnsi="標楷體" w:hint="eastAsia"/>
          <w:bCs/>
          <w:color w:val="000000"/>
        </w:rPr>
        <w:t>到院說明</w:t>
      </w:r>
      <w:r w:rsidRPr="005A65DC">
        <w:rPr>
          <w:rFonts w:hAnsi="標楷體" w:hint="eastAsia"/>
          <w:bCs/>
          <w:color w:val="000000"/>
        </w:rPr>
        <w:t>，</w:t>
      </w:r>
      <w:r w:rsidRPr="005A65DC">
        <w:rPr>
          <w:rFonts w:hint="eastAsia"/>
          <w:noProof/>
          <w:color w:val="000000"/>
        </w:rPr>
        <w:t>業已調查竣事，茲列述調查意見如次：</w:t>
      </w:r>
    </w:p>
    <w:p w:rsidR="00753D54" w:rsidRPr="005A65DC" w:rsidRDefault="00753D54" w:rsidP="009B522C">
      <w:pPr>
        <w:pStyle w:val="2"/>
        <w:overflowPunct w:val="0"/>
        <w:autoSpaceDE w:val="0"/>
        <w:autoSpaceDN w:val="0"/>
        <w:ind w:leftChars="102" w:left="1033" w:hanging="686"/>
        <w:rPr>
          <w:rFonts w:ascii="Times New Roman" w:hAnsi="Times New Roman"/>
          <w:b/>
          <w:color w:val="000000"/>
        </w:rPr>
      </w:pPr>
      <w:r w:rsidRPr="005A65DC">
        <w:rPr>
          <w:rFonts w:ascii="Times New Roman" w:hAnsi="Times New Roman" w:hint="eastAsia"/>
          <w:b/>
          <w:color w:val="000000"/>
          <w:spacing w:val="-2"/>
        </w:rPr>
        <w:lastRenderedPageBreak/>
        <w:t>家庭團聚權係國際公約揭櫫之普世基本人權，入出國及移民法為吸引優秀</w:t>
      </w:r>
      <w:r w:rsidR="00653757" w:rsidRPr="005A65DC">
        <w:rPr>
          <w:rFonts w:ascii="Times New Roman" w:hAnsi="Times New Roman" w:hint="eastAsia"/>
          <w:b/>
          <w:color w:val="000000"/>
          <w:spacing w:val="-2"/>
        </w:rPr>
        <w:t>國際</w:t>
      </w:r>
      <w:r w:rsidRPr="005A65DC">
        <w:rPr>
          <w:rFonts w:ascii="Times New Roman" w:hAnsi="Times New Roman" w:hint="eastAsia"/>
          <w:b/>
          <w:color w:val="000000"/>
          <w:spacing w:val="-2"/>
        </w:rPr>
        <w:t>人才來臺，</w:t>
      </w:r>
      <w:r w:rsidR="00653757" w:rsidRPr="005A65DC">
        <w:rPr>
          <w:rFonts w:ascii="Times New Roman" w:hAnsi="Times New Roman" w:hint="eastAsia"/>
          <w:b/>
          <w:color w:val="000000"/>
          <w:spacing w:val="-2"/>
        </w:rPr>
        <w:t>及</w:t>
      </w:r>
      <w:r w:rsidRPr="005A65DC">
        <w:rPr>
          <w:rFonts w:ascii="Times New Roman" w:hAnsi="Times New Roman" w:hint="eastAsia"/>
          <w:b/>
          <w:color w:val="000000"/>
          <w:spacing w:val="-2"/>
        </w:rPr>
        <w:t>獎勵對我國有特殊貢獻之外籍人士，雖放寬</w:t>
      </w:r>
      <w:r w:rsidR="00653757" w:rsidRPr="005A65DC">
        <w:rPr>
          <w:rFonts w:ascii="Times New Roman" w:hAnsi="Times New Roman" w:hint="eastAsia"/>
          <w:b/>
          <w:color w:val="000000"/>
          <w:spacing w:val="-2"/>
        </w:rPr>
        <w:t>外國人</w:t>
      </w:r>
      <w:r w:rsidRPr="005A65DC">
        <w:rPr>
          <w:rFonts w:ascii="Times New Roman" w:hAnsi="Times New Roman" w:hint="eastAsia"/>
          <w:b/>
          <w:color w:val="000000"/>
          <w:spacing w:val="-2"/>
        </w:rPr>
        <w:t>取得永久居留權之門檻，然除投資移民外，未開放</w:t>
      </w:r>
      <w:r w:rsidR="0080622B" w:rsidRPr="005A65DC">
        <w:rPr>
          <w:rFonts w:ascii="Times New Roman" w:hAnsi="Times New Roman" w:hint="eastAsia"/>
          <w:b/>
          <w:color w:val="000000"/>
          <w:spacing w:val="-2"/>
        </w:rPr>
        <w:t>專業外籍人士</w:t>
      </w:r>
      <w:r w:rsidRPr="005A65DC">
        <w:rPr>
          <w:rFonts w:ascii="Times New Roman" w:hAnsi="Times New Roman" w:hint="eastAsia"/>
          <w:b/>
          <w:color w:val="000000"/>
          <w:spacing w:val="-2"/>
        </w:rPr>
        <w:t>之未成年子女申請永久居留，對其家庭團聚權之保障容有未周。為</w:t>
      </w:r>
      <w:r w:rsidRPr="005A65DC">
        <w:rPr>
          <w:rFonts w:hint="eastAsia"/>
          <w:b/>
          <w:color w:val="000000"/>
        </w:rPr>
        <w:t>貫徹我國</w:t>
      </w:r>
      <w:r w:rsidRPr="005A65DC">
        <w:rPr>
          <w:rFonts w:hAnsi="標楷體" w:cs="Courier New" w:hint="eastAsia"/>
          <w:b/>
          <w:color w:val="000000"/>
          <w:szCs w:val="32"/>
        </w:rPr>
        <w:t>「人權立國」之基本國策</w:t>
      </w:r>
      <w:r w:rsidRPr="005A65DC">
        <w:rPr>
          <w:rFonts w:hint="eastAsia"/>
          <w:b/>
          <w:color w:val="000000"/>
        </w:rPr>
        <w:t>，營造友善之攬才及留才環境</w:t>
      </w:r>
      <w:r w:rsidRPr="005A65DC">
        <w:rPr>
          <w:rFonts w:hAnsi="標楷體" w:cs="Courier New" w:hint="eastAsia"/>
          <w:b/>
          <w:color w:val="000000"/>
          <w:szCs w:val="32"/>
        </w:rPr>
        <w:t>，</w:t>
      </w:r>
      <w:r w:rsidR="00703E90" w:rsidRPr="005A65DC">
        <w:rPr>
          <w:rFonts w:hAnsi="標楷體" w:cs="Courier New" w:hint="eastAsia"/>
          <w:b/>
          <w:color w:val="000000"/>
          <w:szCs w:val="32"/>
        </w:rPr>
        <w:t>行政院及</w:t>
      </w:r>
      <w:r w:rsidRPr="005A65DC">
        <w:rPr>
          <w:rFonts w:hint="eastAsia"/>
          <w:b/>
          <w:color w:val="000000"/>
        </w:rPr>
        <w:t>內政部允</w:t>
      </w:r>
      <w:r w:rsidR="00703E90" w:rsidRPr="005A65DC">
        <w:rPr>
          <w:rFonts w:hint="eastAsia"/>
          <w:b/>
          <w:color w:val="000000"/>
        </w:rPr>
        <w:t>宜</w:t>
      </w:r>
      <w:r w:rsidRPr="005A65DC">
        <w:rPr>
          <w:rFonts w:hint="eastAsia"/>
          <w:b/>
          <w:color w:val="000000"/>
        </w:rPr>
        <w:t>儘速推動</w:t>
      </w:r>
      <w:r w:rsidR="00704763" w:rsidRPr="005A65DC">
        <w:rPr>
          <w:rFonts w:hint="eastAsia"/>
          <w:b/>
          <w:color w:val="000000"/>
        </w:rPr>
        <w:t>修</w:t>
      </w:r>
      <w:r w:rsidRPr="005A65DC">
        <w:rPr>
          <w:rFonts w:hint="eastAsia"/>
          <w:b/>
          <w:color w:val="000000"/>
        </w:rPr>
        <w:t>法。</w:t>
      </w:r>
    </w:p>
    <w:p w:rsidR="00753D54" w:rsidRPr="005A65DC" w:rsidRDefault="00753D54" w:rsidP="009B522C">
      <w:pPr>
        <w:pStyle w:val="3"/>
        <w:overflowPunct w:val="0"/>
        <w:autoSpaceDE w:val="0"/>
        <w:autoSpaceDN w:val="0"/>
        <w:ind w:leftChars="0" w:left="1345" w:firstLineChars="0" w:hanging="665"/>
        <w:rPr>
          <w:rFonts w:ascii="Times New Roman" w:hAnsi="Times New Roman"/>
          <w:color w:val="000000"/>
          <w:spacing w:val="-4"/>
        </w:rPr>
      </w:pPr>
      <w:r w:rsidRPr="005A65DC">
        <w:rPr>
          <w:rFonts w:ascii="Times New Roman" w:hAnsi="Times New Roman" w:hint="eastAsia"/>
          <w:b/>
          <w:color w:val="000000"/>
          <w:spacing w:val="-4"/>
        </w:rPr>
        <w:t>為保障國際公約揭示家庭團聚之基本人權，本諸合理差別待遇原則，對取得永久居留權利之外國人，宜一併考量其家庭成員之居留權、工作權及選擇職業之自由</w:t>
      </w:r>
      <w:r w:rsidRPr="005A65DC">
        <w:rPr>
          <w:rFonts w:ascii="Times New Roman" w:hAnsi="Times New Roman" w:hint="eastAsia"/>
          <w:color w:val="000000"/>
          <w:spacing w:val="-4"/>
        </w:rPr>
        <w:t>：</w:t>
      </w:r>
    </w:p>
    <w:p w:rsidR="00753D54" w:rsidRPr="005A65DC" w:rsidRDefault="00753D54" w:rsidP="009B522C">
      <w:pPr>
        <w:pStyle w:val="4"/>
        <w:overflowPunct w:val="0"/>
        <w:autoSpaceDE w:val="0"/>
        <w:autoSpaceDN w:val="0"/>
        <w:ind w:leftChars="0" w:left="1684" w:firstLineChars="0" w:hanging="664"/>
        <w:rPr>
          <w:rFonts w:ascii="Times New Roman" w:hAnsi="Times New Roman"/>
          <w:color w:val="000000"/>
          <w:spacing w:val="-4"/>
        </w:rPr>
      </w:pPr>
      <w:r w:rsidRPr="005A65DC">
        <w:rPr>
          <w:rFonts w:ascii="Times New Roman" w:hAnsi="Times New Roman" w:hint="eastAsia"/>
          <w:color w:val="000000"/>
          <w:spacing w:val="-4"/>
        </w:rPr>
        <w:t>按國家對外國人基本權利之保障，不採昔日「本國法僅保護本國人之原則」，對於境內之外國人負有「達文明國家或國際最低標準及要求」之義務。且國家對外國人相關法制之建構，除應循遵法律保留原則外，其規定內容</w:t>
      </w:r>
      <w:r w:rsidR="00D42031" w:rsidRPr="005A65DC">
        <w:rPr>
          <w:rFonts w:ascii="Times New Roman" w:hAnsi="Times New Roman" w:hint="eastAsia"/>
          <w:color w:val="000000"/>
          <w:spacing w:val="-4"/>
        </w:rPr>
        <w:t>宜</w:t>
      </w:r>
      <w:r w:rsidRPr="005A65DC">
        <w:rPr>
          <w:rFonts w:ascii="Times New Roman" w:hAnsi="Times New Roman" w:hint="eastAsia"/>
          <w:color w:val="000000"/>
          <w:spacing w:val="-4"/>
        </w:rPr>
        <w:t>符合合理差別待遇原則</w:t>
      </w:r>
      <w:r w:rsidRPr="005A65DC">
        <w:rPr>
          <w:rStyle w:val="aff1"/>
          <w:rFonts w:ascii="Times New Roman" w:hAnsi="Times New Roman"/>
          <w:color w:val="000000"/>
          <w:spacing w:val="-4"/>
        </w:rPr>
        <w:footnoteReference w:id="4"/>
      </w:r>
      <w:r w:rsidRPr="005A65DC">
        <w:rPr>
          <w:rFonts w:ascii="Times New Roman" w:hAnsi="Times New Roman" w:hint="eastAsia"/>
          <w:color w:val="000000"/>
          <w:spacing w:val="-4"/>
        </w:rPr>
        <w:t>。質言之，國家為優先保護本國國民，雖得對境內之外國人之權利加以限制，仍</w:t>
      </w:r>
      <w:r w:rsidR="00D42031" w:rsidRPr="005A65DC">
        <w:rPr>
          <w:rFonts w:ascii="Times New Roman" w:hAnsi="Times New Roman" w:hint="eastAsia"/>
          <w:color w:val="000000"/>
          <w:spacing w:val="-4"/>
        </w:rPr>
        <w:t>應</w:t>
      </w:r>
      <w:r w:rsidRPr="005A65DC">
        <w:rPr>
          <w:rFonts w:ascii="Times New Roman" w:hAnsi="Times New Roman" w:hint="eastAsia"/>
          <w:color w:val="000000"/>
          <w:spacing w:val="-4"/>
        </w:rPr>
        <w:t>依法律及其授權之法規命令行之，且</w:t>
      </w:r>
      <w:r w:rsidR="000E3756" w:rsidRPr="005A65DC">
        <w:rPr>
          <w:rFonts w:ascii="Times New Roman" w:hAnsi="Times New Roman" w:hint="eastAsia"/>
          <w:color w:val="000000"/>
          <w:spacing w:val="-4"/>
        </w:rPr>
        <w:t>基於合理差別待遇原則，政府應考量經濟發展需求，建立吸引外籍人才之環境，</w:t>
      </w:r>
      <w:r w:rsidRPr="005A65DC">
        <w:rPr>
          <w:rFonts w:ascii="Times New Roman" w:hAnsi="Times New Roman" w:hint="eastAsia"/>
          <w:color w:val="000000"/>
          <w:spacing w:val="-4"/>
        </w:rPr>
        <w:t>對於</w:t>
      </w:r>
      <w:r w:rsidR="000E3756" w:rsidRPr="005A65DC">
        <w:rPr>
          <w:rFonts w:ascii="Times New Roman" w:hAnsi="Times New Roman" w:hint="eastAsia"/>
          <w:color w:val="000000"/>
          <w:spacing w:val="-4"/>
        </w:rPr>
        <w:t>獲得</w:t>
      </w:r>
      <w:r w:rsidRPr="005A65DC">
        <w:rPr>
          <w:rFonts w:ascii="Times New Roman" w:hAnsi="Times New Roman" w:hint="eastAsia"/>
          <w:color w:val="000000"/>
          <w:spacing w:val="-4"/>
        </w:rPr>
        <w:t>永久居留權之</w:t>
      </w:r>
      <w:r w:rsidR="000E3756" w:rsidRPr="005A65DC">
        <w:rPr>
          <w:rFonts w:ascii="Times New Roman" w:hAnsi="Times New Roman" w:hint="eastAsia"/>
          <w:color w:val="000000"/>
          <w:spacing w:val="-4"/>
        </w:rPr>
        <w:t>專業</w:t>
      </w:r>
      <w:r w:rsidRPr="005A65DC">
        <w:rPr>
          <w:rFonts w:ascii="Times New Roman" w:hAnsi="Times New Roman" w:hint="eastAsia"/>
          <w:color w:val="000000"/>
          <w:spacing w:val="-4"/>
        </w:rPr>
        <w:t>外籍人士及其家庭成員，</w:t>
      </w:r>
      <w:r w:rsidR="000E3756" w:rsidRPr="005A65DC">
        <w:rPr>
          <w:rFonts w:ascii="Times New Roman" w:hAnsi="Times New Roman" w:hint="eastAsia"/>
          <w:color w:val="000000"/>
          <w:spacing w:val="-4"/>
        </w:rPr>
        <w:t>宜給予</w:t>
      </w:r>
      <w:r w:rsidRPr="005A65DC">
        <w:rPr>
          <w:rFonts w:ascii="Times New Roman" w:hAnsi="Times New Roman" w:hint="eastAsia"/>
          <w:color w:val="000000"/>
          <w:spacing w:val="-4"/>
        </w:rPr>
        <w:t>優惠之待遇。</w:t>
      </w:r>
    </w:p>
    <w:p w:rsidR="00753D54" w:rsidRPr="005A65DC" w:rsidRDefault="00753D54" w:rsidP="009B522C">
      <w:pPr>
        <w:pStyle w:val="4"/>
        <w:overflowPunct w:val="0"/>
        <w:autoSpaceDE w:val="0"/>
        <w:autoSpaceDN w:val="0"/>
        <w:ind w:leftChars="0" w:left="1700" w:firstLineChars="0" w:hanging="680"/>
        <w:rPr>
          <w:color w:val="000000"/>
        </w:rPr>
      </w:pPr>
      <w:r w:rsidRPr="005A65DC">
        <w:rPr>
          <w:rFonts w:hint="eastAsia"/>
          <w:color w:val="000000"/>
        </w:rPr>
        <w:t>我國於</w:t>
      </w:r>
      <w:r w:rsidR="0079173D" w:rsidRPr="005A65DC">
        <w:rPr>
          <w:rFonts w:hint="eastAsia"/>
          <w:color w:val="000000"/>
        </w:rPr>
        <w:t>民國（下同）</w:t>
      </w:r>
      <w:r w:rsidRPr="005A65DC">
        <w:rPr>
          <w:rFonts w:hint="eastAsia"/>
          <w:color w:val="000000"/>
        </w:rPr>
        <w:t>98年4月22日公布「公民與政治權利國際公約及經濟社會文化權利國際公約施行法」（下稱兩公約施行法），</w:t>
      </w:r>
      <w:r w:rsidR="00C8367B" w:rsidRPr="005A65DC">
        <w:rPr>
          <w:rFonts w:hint="eastAsia"/>
          <w:color w:val="000000"/>
        </w:rPr>
        <w:t>於同年5月14日批准通過聯合國「公民與政治權利國際公約」（下稱公政公約）及「經濟社會文化權利國際公約」（下稱</w:t>
      </w:r>
      <w:r w:rsidR="00C8367B" w:rsidRPr="005A65DC">
        <w:rPr>
          <w:rFonts w:hint="eastAsia"/>
          <w:color w:val="000000"/>
        </w:rPr>
        <w:lastRenderedPageBreak/>
        <w:t>經社文公約），</w:t>
      </w:r>
      <w:r w:rsidRPr="005A65DC">
        <w:rPr>
          <w:rFonts w:hint="eastAsia"/>
          <w:color w:val="000000"/>
        </w:rPr>
        <w:t>同年12月10日施行</w:t>
      </w:r>
      <w:r w:rsidR="00C8367B" w:rsidRPr="005A65DC">
        <w:rPr>
          <w:rFonts w:hint="eastAsia"/>
          <w:color w:val="000000"/>
        </w:rPr>
        <w:t>兩公約施行法</w:t>
      </w:r>
      <w:r w:rsidRPr="005A65DC">
        <w:rPr>
          <w:rFonts w:hint="eastAsia"/>
          <w:color w:val="000000"/>
        </w:rPr>
        <w:t>，宣示我國與國際人權接軌之決心。由兩公約施行法第2條及第3條規定，兩公約所揭示保障人權之規定，具有國內法律之效力；適用兩公約規定，應參照其立法意旨及兩公約人權事務委員會之解釋。是</w:t>
      </w:r>
      <w:r w:rsidR="00474718" w:rsidRPr="005A65DC">
        <w:rPr>
          <w:rFonts w:hint="eastAsia"/>
          <w:color w:val="000000"/>
        </w:rPr>
        <w:t>以</w:t>
      </w:r>
      <w:r w:rsidRPr="005A65DC">
        <w:rPr>
          <w:rFonts w:hint="eastAsia"/>
          <w:color w:val="000000"/>
        </w:rPr>
        <w:t>無論兩公約條文之規定或其人權事務委員會一般意見書之解釋，均係處理外國人居留及工作許可之法源，而主管機關對於相關法律之解釋，亦應合乎兩公約之規定</w:t>
      </w:r>
      <w:r w:rsidR="00F065AB" w:rsidRPr="005A65DC">
        <w:rPr>
          <w:rFonts w:hint="eastAsia"/>
          <w:color w:val="000000"/>
        </w:rPr>
        <w:t>，</w:t>
      </w:r>
      <w:r w:rsidRPr="005A65DC">
        <w:rPr>
          <w:rFonts w:hint="eastAsia"/>
          <w:color w:val="000000"/>
        </w:rPr>
        <w:t>各相關機關應貫徹</w:t>
      </w:r>
      <w:r w:rsidRPr="005A65DC">
        <w:rPr>
          <w:rFonts w:ascii="Times New Roman" w:hAnsi="Times New Roman"/>
          <w:color w:val="000000"/>
        </w:rPr>
        <w:t>公約揭示之尊重</w:t>
      </w:r>
      <w:r w:rsidR="005E1270" w:rsidRPr="005A65DC">
        <w:rPr>
          <w:rFonts w:ascii="Times New Roman" w:hAnsi="Times New Roman" w:hint="eastAsia"/>
          <w:color w:val="000000"/>
        </w:rPr>
        <w:t>（</w:t>
      </w:r>
      <w:r w:rsidRPr="005A65DC">
        <w:rPr>
          <w:rFonts w:ascii="Times New Roman" w:hAnsi="Times New Roman"/>
          <w:color w:val="000000"/>
        </w:rPr>
        <w:t>respect</w:t>
      </w:r>
      <w:r w:rsidR="005E1270" w:rsidRPr="005A65DC">
        <w:rPr>
          <w:rFonts w:ascii="Times New Roman" w:hAnsi="Times New Roman" w:hint="eastAsia"/>
          <w:color w:val="000000"/>
        </w:rPr>
        <w:t>）</w:t>
      </w:r>
      <w:r w:rsidRPr="005A65DC">
        <w:rPr>
          <w:rFonts w:ascii="Times New Roman" w:hAnsi="Times New Roman"/>
          <w:color w:val="000000"/>
        </w:rPr>
        <w:t>、保護</w:t>
      </w:r>
      <w:r w:rsidR="005E1270" w:rsidRPr="005A65DC">
        <w:rPr>
          <w:rFonts w:ascii="Times New Roman" w:hAnsi="Times New Roman" w:hint="eastAsia"/>
          <w:color w:val="000000"/>
        </w:rPr>
        <w:t>（</w:t>
      </w:r>
      <w:r w:rsidRPr="005A65DC">
        <w:rPr>
          <w:rFonts w:ascii="Times New Roman" w:hAnsi="Times New Roman"/>
          <w:color w:val="000000"/>
        </w:rPr>
        <w:t>protect</w:t>
      </w:r>
      <w:r w:rsidR="005E1270" w:rsidRPr="005A65DC">
        <w:rPr>
          <w:rFonts w:ascii="Times New Roman" w:hAnsi="Times New Roman" w:hint="eastAsia"/>
          <w:color w:val="000000"/>
        </w:rPr>
        <w:t>）</w:t>
      </w:r>
      <w:r w:rsidRPr="005A65DC">
        <w:rPr>
          <w:rFonts w:ascii="Times New Roman" w:hAnsi="Times New Roman"/>
          <w:color w:val="000000"/>
        </w:rPr>
        <w:t>及落實</w:t>
      </w:r>
      <w:r w:rsidR="005E1270" w:rsidRPr="005A65DC">
        <w:rPr>
          <w:rFonts w:ascii="Times New Roman" w:hAnsi="Times New Roman" w:hint="eastAsia"/>
          <w:color w:val="000000"/>
        </w:rPr>
        <w:t>（</w:t>
      </w:r>
      <w:r w:rsidRPr="005A65DC">
        <w:rPr>
          <w:rFonts w:ascii="Times New Roman" w:hAnsi="Times New Roman"/>
          <w:color w:val="000000"/>
        </w:rPr>
        <w:t>fulfill</w:t>
      </w:r>
      <w:r w:rsidR="005E1270" w:rsidRPr="005A65DC">
        <w:rPr>
          <w:rFonts w:ascii="Times New Roman" w:hAnsi="Times New Roman" w:hint="eastAsia"/>
          <w:color w:val="000000"/>
        </w:rPr>
        <w:t>）</w:t>
      </w:r>
      <w:r w:rsidRPr="005A65DC">
        <w:rPr>
          <w:rFonts w:ascii="Times New Roman" w:hAnsi="Times New Roman"/>
          <w:color w:val="000000"/>
        </w:rPr>
        <w:t>人權之義務。公政公約第</w:t>
      </w:r>
      <w:r w:rsidRPr="005A65DC">
        <w:rPr>
          <w:rFonts w:ascii="Times New Roman" w:hAnsi="Times New Roman"/>
          <w:color w:val="000000"/>
        </w:rPr>
        <w:t>23</w:t>
      </w:r>
      <w:r w:rsidRPr="005A65DC">
        <w:rPr>
          <w:rFonts w:ascii="Times New Roman" w:hAnsi="Times New Roman"/>
          <w:color w:val="000000"/>
        </w:rPr>
        <w:t>條規定：「家庭為社會之自然基本團體單位，應受社會及國家之保護」；又經社文公約第</w:t>
      </w:r>
      <w:r w:rsidRPr="005A65DC">
        <w:rPr>
          <w:rFonts w:ascii="Times New Roman" w:hAnsi="Times New Roman"/>
          <w:color w:val="000000"/>
        </w:rPr>
        <w:t>10</w:t>
      </w:r>
      <w:r w:rsidRPr="005A65DC">
        <w:rPr>
          <w:rFonts w:ascii="Times New Roman" w:hAnsi="Times New Roman"/>
          <w:color w:val="000000"/>
        </w:rPr>
        <w:t>條「家庭為社會之自然基本團體單位，應儘力廣予保護與協助。」其基本內涵，據聯合國</w:t>
      </w:r>
      <w:r w:rsidR="005E1270" w:rsidRPr="005A65DC">
        <w:rPr>
          <w:rFonts w:ascii="Times New Roman" w:hAnsi="Times New Roman"/>
          <w:color w:val="000000"/>
        </w:rPr>
        <w:t>人權事務委員會及經濟社會文化權利委員會「一般性意見</w:t>
      </w:r>
      <w:r w:rsidR="005E1270" w:rsidRPr="005A65DC">
        <w:rPr>
          <w:rFonts w:ascii="Times New Roman" w:hAnsi="Times New Roman" w:hint="eastAsia"/>
          <w:color w:val="000000"/>
        </w:rPr>
        <w:t>（</w:t>
      </w:r>
      <w:r w:rsidRPr="005A65DC">
        <w:rPr>
          <w:rFonts w:ascii="Times New Roman" w:hAnsi="Times New Roman"/>
          <w:color w:val="000000"/>
        </w:rPr>
        <w:t>general comments</w:t>
      </w:r>
      <w:r w:rsidR="005E1270" w:rsidRPr="005A65DC">
        <w:rPr>
          <w:rFonts w:ascii="Times New Roman" w:hAnsi="Times New Roman" w:hint="eastAsia"/>
          <w:color w:val="000000"/>
        </w:rPr>
        <w:t>）</w:t>
      </w:r>
      <w:r w:rsidRPr="005A65DC">
        <w:rPr>
          <w:rFonts w:ascii="Times New Roman" w:hAnsi="Times New Roman"/>
          <w:color w:val="000000"/>
        </w:rPr>
        <w:t>」第</w:t>
      </w:r>
      <w:r w:rsidRPr="005A65DC">
        <w:rPr>
          <w:rFonts w:ascii="Times New Roman" w:hAnsi="Times New Roman"/>
          <w:color w:val="000000"/>
        </w:rPr>
        <w:t>19</w:t>
      </w:r>
      <w:r w:rsidRPr="005A65DC">
        <w:rPr>
          <w:rFonts w:ascii="Times New Roman" w:hAnsi="Times New Roman"/>
          <w:color w:val="000000"/>
        </w:rPr>
        <w:t>號指出：「成立家庭的權利原則上意味著能夠生兒育女和在一起生活</w:t>
      </w:r>
      <w:r w:rsidRPr="005A65DC">
        <w:rPr>
          <w:rFonts w:ascii="Times New Roman" w:hAnsi="Times New Roman"/>
          <w:color w:val="000000"/>
        </w:rPr>
        <w:t>……</w:t>
      </w:r>
      <w:r w:rsidRPr="005A65DC">
        <w:rPr>
          <w:rFonts w:ascii="Times New Roman" w:hAnsi="Times New Roman"/>
          <w:color w:val="000000"/>
        </w:rPr>
        <w:t>為使夫</w:t>
      </w:r>
      <w:r w:rsidRPr="005A65DC">
        <w:rPr>
          <w:rFonts w:hint="eastAsia"/>
          <w:color w:val="000000"/>
        </w:rPr>
        <w:t>婦能夠在一起生活，就要在各國內部，並在需要時與其他國家合作，採取適當的措施，確保家庭的團圓或重聚，尤其是家庭成員因政治、經濟或類似原因分離的時候」、「為了真正落實公約第23條規定的保障，締約國需要採取立法、行政或其他措施……由於公約還承認家庭獲得社會保障的權利，締約國的報告應指明國家和其他社會機構如何給予家庭必要的保障。」從而</w:t>
      </w:r>
      <w:r w:rsidRPr="005A65DC">
        <w:rPr>
          <w:rFonts w:hint="eastAsia"/>
          <w:color w:val="000000"/>
          <w:spacing w:val="-2"/>
          <w:szCs w:val="32"/>
        </w:rPr>
        <w:t>相關機關</w:t>
      </w:r>
      <w:r w:rsidRPr="005A65DC">
        <w:rPr>
          <w:color w:val="000000"/>
          <w:spacing w:val="-2"/>
          <w:szCs w:val="32"/>
        </w:rPr>
        <w:t>應依據</w:t>
      </w:r>
      <w:r w:rsidRPr="005A65DC">
        <w:rPr>
          <w:rFonts w:hint="eastAsia"/>
          <w:color w:val="000000"/>
          <w:spacing w:val="-2"/>
          <w:szCs w:val="32"/>
        </w:rPr>
        <w:t>前開施行法</w:t>
      </w:r>
      <w:r w:rsidRPr="005A65DC">
        <w:rPr>
          <w:color w:val="000000"/>
          <w:spacing w:val="-2"/>
          <w:szCs w:val="32"/>
        </w:rPr>
        <w:t>採取立法、行政及其他措施</w:t>
      </w:r>
      <w:r w:rsidRPr="005A65DC">
        <w:rPr>
          <w:rFonts w:hint="eastAsia"/>
          <w:color w:val="000000"/>
          <w:spacing w:val="-2"/>
          <w:szCs w:val="32"/>
        </w:rPr>
        <w:t>，</w:t>
      </w:r>
      <w:r w:rsidRPr="005A65DC">
        <w:rPr>
          <w:rFonts w:ascii="Times New Roman" w:hAnsi="Times New Roman" w:hint="eastAsia"/>
          <w:color w:val="000000"/>
          <w:spacing w:val="-2"/>
          <w:szCs w:val="32"/>
        </w:rPr>
        <w:t>對取得永久居留權之外國人，</w:t>
      </w:r>
      <w:r w:rsidR="0080622B" w:rsidRPr="005A65DC">
        <w:rPr>
          <w:rFonts w:ascii="Times New Roman" w:hAnsi="Times New Roman" w:hint="eastAsia"/>
          <w:color w:val="000000"/>
          <w:spacing w:val="-2"/>
          <w:szCs w:val="32"/>
        </w:rPr>
        <w:t>保障</w:t>
      </w:r>
      <w:r w:rsidRPr="005A65DC">
        <w:rPr>
          <w:rFonts w:ascii="Times New Roman" w:hAnsi="Times New Roman" w:hint="eastAsia"/>
          <w:color w:val="000000"/>
          <w:spacing w:val="-2"/>
          <w:szCs w:val="32"/>
        </w:rPr>
        <w:t>其子女之居留權、工作權及選擇職業之自由，</w:t>
      </w:r>
      <w:r w:rsidRPr="005A65DC">
        <w:rPr>
          <w:rFonts w:hint="eastAsia"/>
          <w:color w:val="000000"/>
        </w:rPr>
        <w:t>以維護家庭完整，</w:t>
      </w:r>
      <w:r w:rsidRPr="005A65DC">
        <w:rPr>
          <w:color w:val="000000"/>
          <w:spacing w:val="-2"/>
          <w:szCs w:val="32"/>
        </w:rPr>
        <w:t>確實保障家庭生活</w:t>
      </w:r>
      <w:r w:rsidRPr="005A65DC">
        <w:rPr>
          <w:rFonts w:hint="eastAsia"/>
          <w:color w:val="000000"/>
          <w:spacing w:val="-2"/>
          <w:szCs w:val="32"/>
        </w:rPr>
        <w:t>之基本權利。</w:t>
      </w:r>
    </w:p>
    <w:p w:rsidR="00753D54" w:rsidRPr="005A65DC" w:rsidRDefault="00753D54" w:rsidP="009B522C">
      <w:pPr>
        <w:pStyle w:val="3"/>
        <w:overflowPunct w:val="0"/>
        <w:autoSpaceDE w:val="0"/>
        <w:autoSpaceDN w:val="0"/>
        <w:ind w:leftChars="0" w:left="1361" w:firstLineChars="0" w:hanging="681"/>
        <w:rPr>
          <w:b/>
          <w:color w:val="000000"/>
        </w:rPr>
      </w:pPr>
      <w:r w:rsidRPr="005A65DC">
        <w:rPr>
          <w:rFonts w:hint="eastAsia"/>
          <w:b/>
          <w:color w:val="000000"/>
        </w:rPr>
        <w:lastRenderedPageBreak/>
        <w:t>入出國及移民法於91年及96年修法時，雖放寬外籍人士取得永久居留權之限制，然除投資移民之配偶、未成年子女得隨同申請永久居留外，其他</w:t>
      </w:r>
      <w:r w:rsidR="0080622B" w:rsidRPr="005A65DC">
        <w:rPr>
          <w:rFonts w:hint="eastAsia"/>
          <w:b/>
          <w:color w:val="000000"/>
        </w:rPr>
        <w:t>外籍專業人士</w:t>
      </w:r>
      <w:r w:rsidRPr="005A65DC">
        <w:rPr>
          <w:rFonts w:hint="eastAsia"/>
          <w:b/>
          <w:color w:val="000000"/>
        </w:rPr>
        <w:t>之子女仍須以依親名義申請在臺居留，致其工作權</w:t>
      </w:r>
      <w:r w:rsidR="00653757" w:rsidRPr="005A65DC">
        <w:rPr>
          <w:rFonts w:hint="eastAsia"/>
          <w:b/>
          <w:color w:val="000000"/>
        </w:rPr>
        <w:t>及可從事之職業</w:t>
      </w:r>
      <w:r w:rsidRPr="005A65DC">
        <w:rPr>
          <w:rFonts w:hint="eastAsia"/>
          <w:b/>
          <w:color w:val="000000"/>
        </w:rPr>
        <w:t>受嚴格之限制：</w:t>
      </w:r>
    </w:p>
    <w:p w:rsidR="00753D54" w:rsidRPr="005A65DC" w:rsidRDefault="00753D54" w:rsidP="009B522C">
      <w:pPr>
        <w:pStyle w:val="4"/>
        <w:overflowPunct w:val="0"/>
        <w:autoSpaceDE w:val="0"/>
        <w:autoSpaceDN w:val="0"/>
        <w:ind w:leftChars="0" w:left="1700" w:firstLineChars="0" w:hanging="680"/>
        <w:rPr>
          <w:color w:val="000000"/>
        </w:rPr>
      </w:pPr>
      <w:r w:rsidRPr="005A65DC">
        <w:rPr>
          <w:rFonts w:hint="eastAsia"/>
          <w:color w:val="000000"/>
        </w:rPr>
        <w:t>入出國及移民法原規定外國人須在臺合法連續居留7年，且居留期間，每年在臺居住須達270日以上者，始得申請永久居留（修正前第23條）。嗣於91年5月29日將每年居住超過270日之規定減為183日，另規定對我國有特殊貢獻或我國所需之高級專業人才，得不受合法連續居留一定期間之限制，由內政部組成審查委員會審議是類申請案件。96年12月26日將連續居留7年之期間縮減為5年，並將不受居留期間限制之人士增列「在文化、藝術、科技、體</w:t>
      </w:r>
      <w:r w:rsidR="00C8367B" w:rsidRPr="005A65DC">
        <w:rPr>
          <w:rFonts w:hint="eastAsia"/>
          <w:color w:val="000000"/>
        </w:rPr>
        <w:t>育、產業等各專業領域，參加國際公認之比賽、競技、評鑑得有首獎者</w:t>
      </w:r>
      <w:r w:rsidRPr="005A65DC">
        <w:rPr>
          <w:rFonts w:hint="eastAsia"/>
          <w:color w:val="000000"/>
        </w:rPr>
        <w:t>」及投資移民事由（現行條文第25條）。是以入出國及移民法為吸引投資移民及技術移民，已放寬一定條件之外籍人士取得永久居留權之限制。</w:t>
      </w:r>
    </w:p>
    <w:p w:rsidR="00753D54" w:rsidRPr="005A65DC" w:rsidRDefault="00753D54" w:rsidP="009B522C">
      <w:pPr>
        <w:pStyle w:val="4"/>
        <w:overflowPunct w:val="0"/>
        <w:autoSpaceDE w:val="0"/>
        <w:autoSpaceDN w:val="0"/>
        <w:ind w:leftChars="0" w:left="1700" w:firstLineChars="0" w:hanging="680"/>
        <w:rPr>
          <w:color w:val="000000"/>
        </w:rPr>
      </w:pPr>
      <w:r w:rsidRPr="005A65DC">
        <w:rPr>
          <w:rFonts w:hint="eastAsia"/>
          <w:color w:val="000000"/>
        </w:rPr>
        <w:t>內政部為解決外籍人士取得永久居留權後，其配偶及未成年子女之居留問題，於103年4月22日修正發布「外國人停留居留及永久居留辦法」。依該辦法規定，僅投資移民之配偶及未成年子女得申請永久居留（該辦法第15條）；因其他事由取得永久居留</w:t>
      </w:r>
      <w:r w:rsidR="00DA50E7" w:rsidRPr="005A65DC">
        <w:rPr>
          <w:rFonts w:hint="eastAsia"/>
          <w:color w:val="000000"/>
        </w:rPr>
        <w:t>權</w:t>
      </w:r>
      <w:r w:rsidRPr="005A65DC">
        <w:rPr>
          <w:rFonts w:hint="eastAsia"/>
          <w:color w:val="000000"/>
        </w:rPr>
        <w:t>者（包括居留滿一定期間者、對於我國有特殊貢獻者、為我國所需之高級專業人才及在各專業領域獲得首獎者等），其子女成年後仍</w:t>
      </w:r>
      <w:r w:rsidR="00C871A1" w:rsidRPr="005A65DC">
        <w:rPr>
          <w:rFonts w:hint="eastAsia"/>
          <w:color w:val="000000"/>
        </w:rPr>
        <w:t>須</w:t>
      </w:r>
      <w:r w:rsidRPr="005A65DC">
        <w:rPr>
          <w:rFonts w:hint="eastAsia"/>
          <w:color w:val="000000"/>
        </w:rPr>
        <w:t>以依親名義申請延期居留</w:t>
      </w:r>
      <w:r w:rsidR="00CE0E63" w:rsidRPr="005A65DC">
        <w:rPr>
          <w:rFonts w:hint="eastAsia"/>
          <w:color w:val="000000"/>
        </w:rPr>
        <w:t>（第8條第2項）</w:t>
      </w:r>
      <w:r w:rsidRPr="005A65DC">
        <w:rPr>
          <w:rFonts w:hint="eastAsia"/>
          <w:color w:val="000000"/>
        </w:rPr>
        <w:t>，且至多延長</w:t>
      </w:r>
      <w:r w:rsidR="008E61D9" w:rsidRPr="005A65DC">
        <w:rPr>
          <w:rFonts w:hint="eastAsia"/>
          <w:color w:val="000000"/>
        </w:rPr>
        <w:t>留臺</w:t>
      </w:r>
      <w:r w:rsidRPr="005A65DC">
        <w:rPr>
          <w:rFonts w:hint="eastAsia"/>
          <w:color w:val="000000"/>
        </w:rPr>
        <w:t>6年。詢據內政部雖表示，該外國子女在延長居留期間如獲得聘僱許可，即可將依親事由轉</w:t>
      </w:r>
      <w:r w:rsidRPr="005A65DC">
        <w:rPr>
          <w:rFonts w:hint="eastAsia"/>
          <w:color w:val="000000"/>
        </w:rPr>
        <w:lastRenderedPageBreak/>
        <w:t>成工作事由，而在臺就業期間滿5年且符合一定條件，即可申請永久居留等語。所述雖非無據，惟外國子女縱然得以依親事由延長居留，但居留期間仍面臨申請工作許可之層層限制</w:t>
      </w:r>
      <w:r w:rsidR="00474718" w:rsidRPr="005A65DC">
        <w:rPr>
          <w:rFonts w:hint="eastAsia"/>
          <w:color w:val="000000"/>
        </w:rPr>
        <w:t>；</w:t>
      </w:r>
      <w:r w:rsidRPr="005A65DC">
        <w:rPr>
          <w:rFonts w:hint="eastAsia"/>
          <w:color w:val="000000"/>
        </w:rPr>
        <w:t>對照投資移民之外國未成年子女，因得併同申請永久居留，其成年後，即得以永久居留之身分在臺工作</w:t>
      </w:r>
      <w:r w:rsidR="0013258B" w:rsidRPr="005A65DC">
        <w:rPr>
          <w:rFonts w:hint="eastAsia"/>
          <w:color w:val="000000"/>
        </w:rPr>
        <w:t>，較為嚴苛</w:t>
      </w:r>
      <w:r w:rsidRPr="005A65DC">
        <w:rPr>
          <w:rFonts w:hint="eastAsia"/>
          <w:color w:val="000000"/>
        </w:rPr>
        <w:t>（依就業服務法第51條規定，永久居留權人從事工作不受工作種類、工作經驗及薪資門檻等限制，亦無需經雇主申請許可）。又據國發會表示：</w:t>
      </w:r>
      <w:r w:rsidR="0080622B" w:rsidRPr="005A65DC">
        <w:rPr>
          <w:rFonts w:hint="eastAsia"/>
          <w:color w:val="000000"/>
        </w:rPr>
        <w:t>以</w:t>
      </w:r>
      <w:r w:rsidRPr="005A65DC">
        <w:rPr>
          <w:rFonts w:hint="eastAsia"/>
          <w:color w:val="000000"/>
        </w:rPr>
        <w:t>雷傑森之女雷</w:t>
      </w:r>
      <w:r w:rsidR="0013258B" w:rsidRPr="005A65DC">
        <w:rPr>
          <w:rFonts w:hint="eastAsia"/>
          <w:color w:val="000000"/>
        </w:rPr>
        <w:t>堤</w:t>
      </w:r>
      <w:r w:rsidR="00C8367B" w:rsidRPr="005A65DC">
        <w:rPr>
          <w:rFonts w:hint="eastAsia"/>
          <w:color w:val="000000"/>
        </w:rPr>
        <w:t>娜為例，其為了留在臺灣，必須向國立臺灣</w:t>
      </w:r>
      <w:r w:rsidRPr="005A65DC">
        <w:rPr>
          <w:rFonts w:hint="eastAsia"/>
          <w:color w:val="000000"/>
        </w:rPr>
        <w:t>藝</w:t>
      </w:r>
      <w:r w:rsidR="00474718" w:rsidRPr="005A65DC">
        <w:rPr>
          <w:rFonts w:hint="eastAsia"/>
          <w:color w:val="000000"/>
        </w:rPr>
        <w:t>術</w:t>
      </w:r>
      <w:r w:rsidRPr="005A65DC">
        <w:rPr>
          <w:rFonts w:hint="eastAsia"/>
          <w:color w:val="000000"/>
        </w:rPr>
        <w:t>大</w:t>
      </w:r>
      <w:r w:rsidR="00474718" w:rsidRPr="005A65DC">
        <w:rPr>
          <w:rFonts w:hint="eastAsia"/>
          <w:color w:val="000000"/>
        </w:rPr>
        <w:t>學</w:t>
      </w:r>
      <w:r w:rsidRPr="005A65DC">
        <w:rPr>
          <w:rFonts w:hint="eastAsia"/>
          <w:color w:val="000000"/>
        </w:rPr>
        <w:t>舞蹈</w:t>
      </w:r>
      <w:r w:rsidR="00CE0E63" w:rsidRPr="005A65DC">
        <w:rPr>
          <w:rFonts w:hint="eastAsia"/>
          <w:color w:val="000000"/>
        </w:rPr>
        <w:t>學</w:t>
      </w:r>
      <w:r w:rsidRPr="005A65DC">
        <w:rPr>
          <w:rFonts w:hint="eastAsia"/>
          <w:color w:val="000000"/>
        </w:rPr>
        <w:t>系申請延畢數年，因一旦學校畢業即面臨工作問題，然其無法符合相關工作經驗或薪資門</w:t>
      </w:r>
      <w:r w:rsidR="0080622B" w:rsidRPr="005A65DC">
        <w:rPr>
          <w:rFonts w:hint="eastAsia"/>
          <w:color w:val="000000"/>
        </w:rPr>
        <w:t>檻</w:t>
      </w:r>
      <w:r w:rsidRPr="005A65DC">
        <w:rPr>
          <w:rFonts w:hint="eastAsia"/>
          <w:color w:val="000000"/>
        </w:rPr>
        <w:t>等語。足見現行永久居留之規定，除投資移民外，對其他事由取得永久居留</w:t>
      </w:r>
      <w:r w:rsidR="00C8367B" w:rsidRPr="005A65DC">
        <w:rPr>
          <w:rFonts w:hint="eastAsia"/>
          <w:color w:val="000000"/>
        </w:rPr>
        <w:t>權</w:t>
      </w:r>
      <w:r w:rsidRPr="005A65DC">
        <w:rPr>
          <w:rFonts w:hint="eastAsia"/>
          <w:color w:val="000000"/>
        </w:rPr>
        <w:t>之外國人，未提供其未成年子女亦得隨同申請永久居留，對其家庭團聚權之保障未周，不利於吸引外國優秀人才</w:t>
      </w:r>
      <w:r w:rsidRPr="005A65DC">
        <w:rPr>
          <w:rFonts w:hAnsi="標楷體" w:hint="eastAsia"/>
          <w:color w:val="000000"/>
        </w:rPr>
        <w:t>，</w:t>
      </w:r>
      <w:r w:rsidRPr="005A65DC">
        <w:rPr>
          <w:rFonts w:hint="eastAsia"/>
          <w:color w:val="000000"/>
        </w:rPr>
        <w:t>有為德不卒之感</w:t>
      </w:r>
      <w:r w:rsidR="00474718" w:rsidRPr="005A65DC">
        <w:rPr>
          <w:rFonts w:hint="eastAsia"/>
          <w:color w:val="000000"/>
        </w:rPr>
        <w:t>，實應</w:t>
      </w:r>
      <w:r w:rsidR="00474718" w:rsidRPr="005A65DC">
        <w:rPr>
          <w:rFonts w:hAnsi="標楷體" w:hint="eastAsia"/>
          <w:color w:val="000000"/>
        </w:rPr>
        <w:t>增加渠等在臺永久居留誘因</w:t>
      </w:r>
      <w:r w:rsidRPr="005A65DC">
        <w:rPr>
          <w:rFonts w:hint="eastAsia"/>
          <w:color w:val="000000"/>
        </w:rPr>
        <w:t>。</w:t>
      </w:r>
    </w:p>
    <w:p w:rsidR="00200AEB" w:rsidRPr="005A65DC" w:rsidRDefault="00200AEB" w:rsidP="00200AEB">
      <w:pPr>
        <w:pStyle w:val="3"/>
        <w:overflowPunct w:val="0"/>
        <w:autoSpaceDE w:val="0"/>
        <w:autoSpaceDN w:val="0"/>
        <w:ind w:leftChars="0" w:left="1361" w:firstLineChars="0" w:hanging="681"/>
        <w:rPr>
          <w:b/>
          <w:color w:val="000000"/>
        </w:rPr>
      </w:pPr>
      <w:r w:rsidRPr="005A65DC">
        <w:rPr>
          <w:rFonts w:hint="eastAsia"/>
          <w:b/>
          <w:color w:val="000000"/>
        </w:rPr>
        <w:t>我國人才供給赤字嚴重，建構友善外籍人士之環境，提升其等來臺、留臺意願，實屬刻不容緩：</w:t>
      </w:r>
    </w:p>
    <w:p w:rsidR="00200AEB" w:rsidRPr="005A65DC" w:rsidRDefault="00684F36" w:rsidP="00684F36">
      <w:pPr>
        <w:pStyle w:val="4"/>
        <w:ind w:left="1700" w:hanging="680"/>
        <w:rPr>
          <w:color w:val="000000"/>
        </w:rPr>
      </w:pPr>
      <w:r w:rsidRPr="005A65DC">
        <w:rPr>
          <w:rFonts w:hint="eastAsia"/>
          <w:color w:val="000000"/>
        </w:rPr>
        <w:t>據牛津經濟研究院</w:t>
      </w:r>
      <w:r w:rsidRPr="005A65DC">
        <w:rPr>
          <w:rFonts w:ascii="Times New Roman" w:hAnsi="Times New Roman"/>
          <w:color w:val="000000"/>
        </w:rPr>
        <w:t>（</w:t>
      </w:r>
      <w:r w:rsidRPr="005A65DC">
        <w:rPr>
          <w:rFonts w:ascii="Times New Roman" w:hAnsi="Times New Roman"/>
          <w:color w:val="000000"/>
        </w:rPr>
        <w:t>Oxford Economics</w:t>
      </w:r>
      <w:r w:rsidRPr="005A65DC">
        <w:rPr>
          <w:rFonts w:ascii="Times New Roman" w:hAnsi="Times New Roman"/>
          <w:color w:val="000000"/>
        </w:rPr>
        <w:t>）</w:t>
      </w:r>
      <w:r w:rsidRPr="005A65DC">
        <w:rPr>
          <w:rFonts w:hint="eastAsia"/>
          <w:color w:val="000000"/>
        </w:rPr>
        <w:t>於101</w:t>
      </w:r>
      <w:r w:rsidRPr="005A65DC">
        <w:rPr>
          <w:rFonts w:ascii="Times New Roman" w:hAnsi="Times New Roman"/>
          <w:color w:val="000000"/>
        </w:rPr>
        <w:t>年發表「全球人才</w:t>
      </w:r>
      <w:r w:rsidRPr="005A65DC">
        <w:rPr>
          <w:rFonts w:ascii="Times New Roman" w:hAnsi="Times New Roman"/>
          <w:color w:val="000000"/>
        </w:rPr>
        <w:t>2021</w:t>
      </w:r>
      <w:r w:rsidRPr="005A65DC">
        <w:rPr>
          <w:rFonts w:ascii="Times New Roman" w:hAnsi="Times New Roman"/>
          <w:color w:val="000000"/>
        </w:rPr>
        <w:t>」（</w:t>
      </w:r>
      <w:r w:rsidRPr="005A65DC">
        <w:rPr>
          <w:rFonts w:ascii="Times New Roman" w:hAnsi="Times New Roman"/>
          <w:color w:val="000000"/>
        </w:rPr>
        <w:t>Global Talent 2021</w:t>
      </w:r>
      <w:r w:rsidRPr="005A65DC">
        <w:rPr>
          <w:rFonts w:ascii="Times New Roman" w:hAnsi="Times New Roman"/>
          <w:color w:val="000000"/>
        </w:rPr>
        <w:t>）研究報告</w:t>
      </w:r>
      <w:r w:rsidRPr="005A65DC">
        <w:rPr>
          <w:rStyle w:val="aff1"/>
          <w:rFonts w:ascii="Times New Roman" w:hAnsi="Times New Roman"/>
          <w:color w:val="000000"/>
        </w:rPr>
        <w:footnoteReference w:id="5"/>
      </w:r>
      <w:r w:rsidRPr="005A65DC">
        <w:rPr>
          <w:rFonts w:ascii="Times New Roman" w:hAnsi="Times New Roman"/>
          <w:color w:val="000000"/>
        </w:rPr>
        <w:t>揭示，臺灣將於</w:t>
      </w:r>
      <w:r w:rsidRPr="005A65DC">
        <w:rPr>
          <w:rFonts w:ascii="Times New Roman" w:hAnsi="Times New Roman"/>
          <w:color w:val="000000"/>
        </w:rPr>
        <w:t>110</w:t>
      </w:r>
      <w:r w:rsidRPr="005A65DC">
        <w:rPr>
          <w:rFonts w:ascii="Times New Roman" w:hAnsi="Times New Roman"/>
          <w:color w:val="000000"/>
        </w:rPr>
        <w:t>年成為人才赤字（</w:t>
      </w:r>
      <w:r w:rsidRPr="005A65DC">
        <w:rPr>
          <w:rFonts w:ascii="Times New Roman" w:hAnsi="Times New Roman"/>
          <w:color w:val="000000"/>
        </w:rPr>
        <w:t>talent deficit</w:t>
      </w:r>
      <w:r w:rsidRPr="005A65DC">
        <w:rPr>
          <w:rFonts w:hint="eastAsia"/>
          <w:color w:val="000000"/>
        </w:rPr>
        <w:t>）最嚴重之國家，顯見我國延攬外籍專業人士亟待努力。</w:t>
      </w:r>
    </w:p>
    <w:p w:rsidR="00684F36" w:rsidRPr="005A65DC" w:rsidRDefault="00684F36" w:rsidP="00684F36">
      <w:pPr>
        <w:pStyle w:val="4"/>
        <w:ind w:left="1700" w:hanging="680"/>
        <w:rPr>
          <w:color w:val="000000"/>
        </w:rPr>
      </w:pPr>
      <w:r w:rsidRPr="005A65DC">
        <w:rPr>
          <w:rFonts w:hint="eastAsia"/>
          <w:color w:val="000000"/>
        </w:rPr>
        <w:t>因少子化及高齡化衝擊，我國人口結構正面臨高齡化、少子女化以及工作年齡人口逐年下降之轉變，國發會</w:t>
      </w:r>
      <w:r w:rsidRPr="005A65DC">
        <w:rPr>
          <w:color w:val="000000"/>
        </w:rPr>
        <w:t>105</w:t>
      </w:r>
      <w:r w:rsidRPr="005A65DC">
        <w:rPr>
          <w:rFonts w:hint="eastAsia"/>
          <w:color w:val="000000"/>
        </w:rPr>
        <w:t>年</w:t>
      </w:r>
      <w:r w:rsidRPr="005A65DC">
        <w:rPr>
          <w:color w:val="000000"/>
        </w:rPr>
        <w:t>8</w:t>
      </w:r>
      <w:r w:rsidRPr="005A65DC">
        <w:rPr>
          <w:rFonts w:hint="eastAsia"/>
          <w:color w:val="000000"/>
        </w:rPr>
        <w:t>月發布之</w:t>
      </w:r>
      <w:r w:rsidRPr="005A65DC">
        <w:rPr>
          <w:color w:val="000000"/>
        </w:rPr>
        <w:t>105</w:t>
      </w:r>
      <w:r w:rsidRPr="005A65DC">
        <w:rPr>
          <w:rFonts w:hint="eastAsia"/>
          <w:color w:val="000000"/>
        </w:rPr>
        <w:t>年至</w:t>
      </w:r>
      <w:r w:rsidRPr="005A65DC">
        <w:rPr>
          <w:color w:val="000000"/>
        </w:rPr>
        <w:t>150</w:t>
      </w:r>
      <w:r w:rsidR="00C8367B" w:rsidRPr="005A65DC">
        <w:rPr>
          <w:rFonts w:hint="eastAsia"/>
          <w:color w:val="000000"/>
        </w:rPr>
        <w:t>年人</w:t>
      </w:r>
      <w:r w:rsidR="00C8367B" w:rsidRPr="005A65DC">
        <w:rPr>
          <w:rFonts w:hint="eastAsia"/>
          <w:color w:val="000000"/>
        </w:rPr>
        <w:lastRenderedPageBreak/>
        <w:t>口推估報告指出，我國於</w:t>
      </w:r>
      <w:r w:rsidRPr="005A65DC">
        <w:rPr>
          <w:color w:val="000000"/>
        </w:rPr>
        <w:t>82</w:t>
      </w:r>
      <w:r w:rsidRPr="005A65DC">
        <w:rPr>
          <w:rFonts w:hint="eastAsia"/>
          <w:color w:val="000000"/>
        </w:rPr>
        <w:t>年時，老年人口占總人口比率超過</w:t>
      </w:r>
      <w:r w:rsidRPr="005A65DC">
        <w:rPr>
          <w:color w:val="000000"/>
        </w:rPr>
        <w:t>7%</w:t>
      </w:r>
      <w:r w:rsidRPr="005A65DC">
        <w:rPr>
          <w:rFonts w:hint="eastAsia"/>
          <w:color w:val="000000"/>
        </w:rPr>
        <w:t>，進入高齡化社會；此比率將於</w:t>
      </w:r>
      <w:r w:rsidRPr="005A65DC">
        <w:rPr>
          <w:color w:val="000000"/>
        </w:rPr>
        <w:t>107</w:t>
      </w:r>
      <w:r w:rsidRPr="005A65DC">
        <w:rPr>
          <w:rFonts w:hint="eastAsia"/>
          <w:color w:val="000000"/>
        </w:rPr>
        <w:t>年超過</w:t>
      </w:r>
      <w:r w:rsidRPr="005A65DC">
        <w:rPr>
          <w:color w:val="000000"/>
        </w:rPr>
        <w:t>14%</w:t>
      </w:r>
      <w:r w:rsidRPr="005A65DC">
        <w:rPr>
          <w:rFonts w:hint="eastAsia"/>
          <w:color w:val="000000"/>
        </w:rPr>
        <w:t>，成為高齡社會；而未來於</w:t>
      </w:r>
      <w:r w:rsidRPr="005A65DC">
        <w:rPr>
          <w:color w:val="000000"/>
        </w:rPr>
        <w:t>114</w:t>
      </w:r>
      <w:r w:rsidRPr="005A65DC">
        <w:rPr>
          <w:rFonts w:hint="eastAsia"/>
          <w:color w:val="000000"/>
        </w:rPr>
        <w:t>年，此比率若超過</w:t>
      </w:r>
      <w:r w:rsidRPr="005A65DC">
        <w:rPr>
          <w:color w:val="000000"/>
        </w:rPr>
        <w:t>20%</w:t>
      </w:r>
      <w:r w:rsidRPr="005A65DC">
        <w:rPr>
          <w:rFonts w:hint="eastAsia"/>
          <w:color w:val="000000"/>
        </w:rPr>
        <w:t>，將成為超高齡社會之國家。其後</w:t>
      </w:r>
      <w:r w:rsidRPr="005A65DC">
        <w:rPr>
          <w:color w:val="000000"/>
        </w:rPr>
        <w:t>15-64</w:t>
      </w:r>
      <w:r w:rsidRPr="005A65DC">
        <w:rPr>
          <w:rFonts w:hint="eastAsia"/>
          <w:color w:val="000000"/>
        </w:rPr>
        <w:t>歲工作年齡人口將持續減少，青壯年人口對社會經濟支持之負擔加重，即使生育率回升，也無法及時補充具有生產力的缺口。勞動參與率</w:t>
      </w:r>
      <w:r w:rsidR="00C02DE4" w:rsidRPr="005A65DC">
        <w:rPr>
          <w:rFonts w:hint="eastAsia"/>
          <w:color w:val="000000"/>
        </w:rPr>
        <w:t>亦</w:t>
      </w:r>
      <w:r w:rsidRPr="005A65DC">
        <w:rPr>
          <w:rFonts w:hint="eastAsia"/>
          <w:color w:val="000000"/>
        </w:rPr>
        <w:t>逐年下降，為吸引多元優秀人才留臺服務，應提升我國生產力及國家競爭力，並研擬國家政策延攬多元人才進入臺灣勞動市場。為解決國際人才來（留）臺遭遇之各類問題，行政院105年10月19日核定實施「完善我國留才環境方案」，從簽證、工作、居留、金融、稅務、保險及國際生活等7大面向研提27項改革策略，期可建構更加友善外籍人士之環境，提升渠等來臺、留臺之意願。</w:t>
      </w:r>
    </w:p>
    <w:p w:rsidR="00753D54" w:rsidRPr="005A65DC" w:rsidRDefault="0023482B" w:rsidP="009B522C">
      <w:pPr>
        <w:pStyle w:val="3"/>
        <w:overflowPunct w:val="0"/>
        <w:autoSpaceDE w:val="0"/>
        <w:autoSpaceDN w:val="0"/>
        <w:ind w:leftChars="0" w:left="1361" w:firstLineChars="0" w:hanging="681"/>
        <w:rPr>
          <w:b/>
          <w:color w:val="000000"/>
        </w:rPr>
      </w:pPr>
      <w:r w:rsidRPr="005A65DC">
        <w:rPr>
          <w:rFonts w:hint="eastAsia"/>
          <w:b/>
          <w:color w:val="000000"/>
        </w:rPr>
        <w:t>行政院及</w:t>
      </w:r>
      <w:r w:rsidR="00753D54" w:rsidRPr="005A65DC">
        <w:rPr>
          <w:rFonts w:hint="eastAsia"/>
          <w:b/>
          <w:color w:val="000000"/>
        </w:rPr>
        <w:t>內政部於</w:t>
      </w:r>
      <w:r w:rsidR="00474718" w:rsidRPr="005A65DC">
        <w:rPr>
          <w:rFonts w:hint="eastAsia"/>
          <w:b/>
          <w:color w:val="000000"/>
        </w:rPr>
        <w:t>本院調查本案期間</w:t>
      </w:r>
      <w:r w:rsidR="00753D54" w:rsidRPr="005A65DC">
        <w:rPr>
          <w:rFonts w:hint="eastAsia"/>
          <w:b/>
          <w:color w:val="000000"/>
        </w:rPr>
        <w:t>之改善措施，應儘速推動</w:t>
      </w:r>
      <w:r w:rsidR="00704763" w:rsidRPr="005A65DC">
        <w:rPr>
          <w:rFonts w:hint="eastAsia"/>
          <w:b/>
          <w:color w:val="000000"/>
        </w:rPr>
        <w:t>修</w:t>
      </w:r>
      <w:r w:rsidR="00753D54" w:rsidRPr="005A65DC">
        <w:rPr>
          <w:rFonts w:hint="eastAsia"/>
          <w:b/>
          <w:color w:val="000000"/>
        </w:rPr>
        <w:t>法：</w:t>
      </w:r>
    </w:p>
    <w:p w:rsidR="00753D54" w:rsidRPr="005A65DC" w:rsidRDefault="00474718" w:rsidP="0080622B">
      <w:pPr>
        <w:pStyle w:val="4"/>
        <w:numPr>
          <w:ilvl w:val="0"/>
          <w:numId w:val="0"/>
        </w:numPr>
        <w:ind w:leftChars="400" w:left="1361" w:firstLineChars="200" w:firstLine="680"/>
        <w:rPr>
          <w:color w:val="000000"/>
        </w:rPr>
      </w:pPr>
      <w:r w:rsidRPr="005A65DC">
        <w:rPr>
          <w:rFonts w:hint="eastAsia"/>
          <w:color w:val="000000"/>
        </w:rPr>
        <w:t>於</w:t>
      </w:r>
      <w:r w:rsidR="00753D54" w:rsidRPr="005A65DC">
        <w:rPr>
          <w:rFonts w:hint="eastAsia"/>
          <w:color w:val="000000"/>
        </w:rPr>
        <w:t>本</w:t>
      </w:r>
      <w:r w:rsidRPr="005A65DC">
        <w:rPr>
          <w:rFonts w:hint="eastAsia"/>
          <w:color w:val="000000"/>
        </w:rPr>
        <w:t>院調查本案</w:t>
      </w:r>
      <w:r w:rsidR="00753D54" w:rsidRPr="005A65DC">
        <w:rPr>
          <w:rFonts w:hint="eastAsia"/>
          <w:color w:val="000000"/>
        </w:rPr>
        <w:t>期間，內政部於106年2月18日召開「研商入出國及移民法修正草案會議」、106年4月7日召開「入出國及移民法修法進程協調會事宜研商會議」，重新草擬修法草案第25條第5項，增訂申請永久居留之外國人未成年子女或年滿20歲未婚且身心障礙而無法自理生活之子女，得隨同本人申請永久居留</w:t>
      </w:r>
      <w:r w:rsidR="00753D54" w:rsidRPr="005A65DC">
        <w:rPr>
          <w:rFonts w:hAnsi="標楷體" w:hint="eastAsia"/>
          <w:color w:val="000000"/>
        </w:rPr>
        <w:t>。</w:t>
      </w:r>
      <w:r w:rsidR="0023482B" w:rsidRPr="005A65DC">
        <w:rPr>
          <w:rFonts w:hAnsi="標楷體" w:hint="eastAsia"/>
          <w:color w:val="000000"/>
        </w:rPr>
        <w:t>又行政院研擬「外國專業人才延攬及僱用法草案」</w:t>
      </w:r>
      <w:r w:rsidR="0023482B" w:rsidRPr="005A65DC">
        <w:rPr>
          <w:rStyle w:val="aff1"/>
          <w:rFonts w:hAnsi="標楷體"/>
          <w:color w:val="000000"/>
        </w:rPr>
        <w:footnoteReference w:id="6"/>
      </w:r>
      <w:r w:rsidR="0023482B" w:rsidRPr="005A65DC">
        <w:rPr>
          <w:rFonts w:hAnsi="標楷體" w:hint="eastAsia"/>
          <w:color w:val="000000"/>
        </w:rPr>
        <w:t>於106年4月20日送請立法</w:t>
      </w:r>
      <w:r w:rsidR="0023482B" w:rsidRPr="005A65DC">
        <w:rPr>
          <w:rFonts w:hAnsi="標楷體" w:hint="eastAsia"/>
          <w:color w:val="000000"/>
        </w:rPr>
        <w:lastRenderedPageBreak/>
        <w:t>院審議，該草案規定外籍專業人士子女得一併取得永久居留權，而其等取得永久居留權後，即得依就業服務法第51條規定，逕向勞動部申請個人化工作許可，不受特定雇主、工作內容、學經歷、薪資等資格限制。鑑於該等外國子女多在臺接受教育，與我國關係密切，對國人就業機會影響有限，且有助於提升我國國際化，相關</w:t>
      </w:r>
      <w:r w:rsidR="00753D54" w:rsidRPr="005A65DC">
        <w:rPr>
          <w:rFonts w:hAnsi="標楷體" w:hint="eastAsia"/>
          <w:color w:val="000000"/>
        </w:rPr>
        <w:t>修法內容允宜儘速推動實現。</w:t>
      </w:r>
    </w:p>
    <w:p w:rsidR="00753D54" w:rsidRPr="005A65DC" w:rsidRDefault="00753D54" w:rsidP="009B522C">
      <w:pPr>
        <w:pStyle w:val="3"/>
        <w:overflowPunct w:val="0"/>
        <w:autoSpaceDE w:val="0"/>
        <w:autoSpaceDN w:val="0"/>
        <w:ind w:leftChars="0" w:left="1361" w:firstLineChars="0" w:hanging="681"/>
        <w:rPr>
          <w:rFonts w:ascii="Times New Roman" w:hAnsi="Times New Roman"/>
          <w:b/>
          <w:color w:val="000000"/>
        </w:rPr>
      </w:pPr>
      <w:r w:rsidRPr="005A65DC">
        <w:rPr>
          <w:rFonts w:hint="eastAsia"/>
          <w:b/>
          <w:color w:val="000000"/>
        </w:rPr>
        <w:t>小結</w:t>
      </w:r>
    </w:p>
    <w:p w:rsidR="00753D54" w:rsidRPr="005A65DC" w:rsidRDefault="00704763" w:rsidP="0080622B">
      <w:pPr>
        <w:pStyle w:val="4"/>
        <w:numPr>
          <w:ilvl w:val="0"/>
          <w:numId w:val="0"/>
        </w:numPr>
        <w:ind w:leftChars="400" w:left="1361" w:firstLineChars="200" w:firstLine="680"/>
        <w:rPr>
          <w:rFonts w:ascii="Times New Roman" w:hAnsi="Times New Roman"/>
          <w:color w:val="000000"/>
        </w:rPr>
      </w:pPr>
      <w:r w:rsidRPr="005A65DC">
        <w:rPr>
          <w:rFonts w:hint="eastAsia"/>
          <w:color w:val="000000"/>
        </w:rPr>
        <w:t>基於人權的普世價值，</w:t>
      </w:r>
      <w:r w:rsidR="00753D54" w:rsidRPr="005A65DC">
        <w:rPr>
          <w:rFonts w:hint="eastAsia"/>
          <w:color w:val="000000"/>
        </w:rPr>
        <w:t>政府不僅應保障及提升本國人民基本權利，對取得永久居留權且舉家長期在臺</w:t>
      </w:r>
      <w:r w:rsidR="0080622B" w:rsidRPr="005A65DC">
        <w:rPr>
          <w:rFonts w:hint="eastAsia"/>
          <w:color w:val="000000"/>
        </w:rPr>
        <w:t>生活</w:t>
      </w:r>
      <w:r w:rsidR="00753D54" w:rsidRPr="005A65DC">
        <w:rPr>
          <w:rFonts w:hint="eastAsia"/>
          <w:color w:val="000000"/>
        </w:rPr>
        <w:t>之外國人，亦須妥善對待之。然</w:t>
      </w:r>
      <w:r w:rsidR="0080622B" w:rsidRPr="005A65DC">
        <w:rPr>
          <w:rFonts w:hint="eastAsia"/>
          <w:color w:val="000000"/>
        </w:rPr>
        <w:t>依</w:t>
      </w:r>
      <w:r w:rsidR="00753D54" w:rsidRPr="005A65DC">
        <w:rPr>
          <w:rFonts w:hint="eastAsia"/>
          <w:color w:val="000000"/>
        </w:rPr>
        <w:t>我國現行法制，其等子女成年後，雖得以依親事由辦理延長居留，</w:t>
      </w:r>
      <w:r w:rsidR="0080622B" w:rsidRPr="005A65DC">
        <w:rPr>
          <w:rFonts w:hint="eastAsia"/>
          <w:color w:val="000000"/>
        </w:rPr>
        <w:t>但</w:t>
      </w:r>
      <w:r w:rsidR="00753D54" w:rsidRPr="005A65DC">
        <w:rPr>
          <w:rFonts w:hint="eastAsia"/>
          <w:color w:val="000000"/>
        </w:rPr>
        <w:t>在未取得永久居留</w:t>
      </w:r>
      <w:r w:rsidR="00DA50E7" w:rsidRPr="005A65DC">
        <w:rPr>
          <w:rFonts w:hint="eastAsia"/>
          <w:color w:val="000000"/>
        </w:rPr>
        <w:t>權</w:t>
      </w:r>
      <w:r w:rsidR="00753D54" w:rsidRPr="005A65DC">
        <w:rPr>
          <w:rFonts w:hint="eastAsia"/>
          <w:color w:val="000000"/>
        </w:rPr>
        <w:t>前，工作權</w:t>
      </w:r>
      <w:r w:rsidRPr="005A65DC">
        <w:rPr>
          <w:rFonts w:hint="eastAsia"/>
          <w:color w:val="000000"/>
        </w:rPr>
        <w:t>及職業自由仍</w:t>
      </w:r>
      <w:r w:rsidR="00753D54" w:rsidRPr="005A65DC">
        <w:rPr>
          <w:rFonts w:hint="eastAsia"/>
          <w:color w:val="000000"/>
        </w:rPr>
        <w:t>受嚴格之限制</w:t>
      </w:r>
      <w:r w:rsidR="003D5A69" w:rsidRPr="005A65DC">
        <w:rPr>
          <w:rFonts w:hint="eastAsia"/>
          <w:color w:val="000000"/>
        </w:rPr>
        <w:t>，</w:t>
      </w:r>
      <w:r w:rsidR="0080622B" w:rsidRPr="005A65DC">
        <w:rPr>
          <w:rFonts w:hint="eastAsia"/>
          <w:color w:val="000000"/>
        </w:rPr>
        <w:t>致其</w:t>
      </w:r>
      <w:r w:rsidR="003D5A69" w:rsidRPr="005A65DC">
        <w:rPr>
          <w:rFonts w:hint="eastAsia"/>
          <w:color w:val="000000"/>
        </w:rPr>
        <w:t>不得已離</w:t>
      </w:r>
      <w:r w:rsidR="00010472" w:rsidRPr="005A65DC">
        <w:rPr>
          <w:rFonts w:hint="eastAsia"/>
          <w:color w:val="000000"/>
        </w:rPr>
        <w:t>臺</w:t>
      </w:r>
      <w:r w:rsidR="003D5A69" w:rsidRPr="005A65DC">
        <w:rPr>
          <w:rFonts w:hint="eastAsia"/>
          <w:color w:val="000000"/>
        </w:rPr>
        <w:t>工作，</w:t>
      </w:r>
      <w:r w:rsidR="00753D54" w:rsidRPr="005A65DC">
        <w:rPr>
          <w:rFonts w:hint="eastAsia"/>
          <w:color w:val="000000"/>
        </w:rPr>
        <w:t>與父母分離，</w:t>
      </w:r>
      <w:r w:rsidR="0080622B" w:rsidRPr="005A65DC">
        <w:rPr>
          <w:rFonts w:hint="eastAsia"/>
          <w:color w:val="000000"/>
        </w:rPr>
        <w:t>實</w:t>
      </w:r>
      <w:r w:rsidR="00753D54" w:rsidRPr="005A65DC">
        <w:rPr>
          <w:rFonts w:hint="eastAsia"/>
          <w:color w:val="000000"/>
        </w:rPr>
        <w:t>有違國際公約宣示任何人均享有「家庭團聚權」之意旨。</w:t>
      </w:r>
      <w:r w:rsidR="00753D54" w:rsidRPr="005A65DC">
        <w:rPr>
          <w:rFonts w:hAnsi="標楷體" w:cs="Courier New" w:hint="eastAsia"/>
          <w:color w:val="000000"/>
          <w:szCs w:val="32"/>
        </w:rPr>
        <w:t>內政部於本</w:t>
      </w:r>
      <w:r w:rsidR="00474718" w:rsidRPr="005A65DC">
        <w:rPr>
          <w:rFonts w:hAnsi="標楷體" w:cs="Courier New" w:hint="eastAsia"/>
          <w:color w:val="000000"/>
          <w:szCs w:val="32"/>
        </w:rPr>
        <w:t>院</w:t>
      </w:r>
      <w:r w:rsidR="00753D54" w:rsidRPr="005A65DC">
        <w:rPr>
          <w:rFonts w:hAnsi="標楷體" w:cs="Courier New" w:hint="eastAsia"/>
          <w:color w:val="000000"/>
          <w:szCs w:val="32"/>
        </w:rPr>
        <w:t>調查</w:t>
      </w:r>
      <w:r w:rsidR="00474718" w:rsidRPr="005A65DC">
        <w:rPr>
          <w:rFonts w:hAnsi="標楷體" w:cs="Courier New" w:hint="eastAsia"/>
          <w:color w:val="000000"/>
          <w:szCs w:val="32"/>
        </w:rPr>
        <w:t>本案</w:t>
      </w:r>
      <w:r w:rsidR="00753D54" w:rsidRPr="005A65DC">
        <w:rPr>
          <w:rFonts w:hAnsi="標楷體" w:cs="Courier New" w:hint="eastAsia"/>
          <w:color w:val="000000"/>
          <w:szCs w:val="32"/>
        </w:rPr>
        <w:t>期間業研議修法草案，增訂永久居留之外國人未成年子女得隨同本人申請永久居留，允宜</w:t>
      </w:r>
      <w:r w:rsidR="0013258B" w:rsidRPr="005A65DC">
        <w:rPr>
          <w:rFonts w:hAnsi="標楷體" w:hint="eastAsia"/>
          <w:color w:val="000000"/>
        </w:rPr>
        <w:t>儘</w:t>
      </w:r>
      <w:r w:rsidR="00753D54" w:rsidRPr="005A65DC">
        <w:rPr>
          <w:rFonts w:hAnsi="標楷體" w:cs="Courier New" w:hint="eastAsia"/>
          <w:color w:val="000000"/>
          <w:szCs w:val="32"/>
        </w:rPr>
        <w:t>速推動立法</w:t>
      </w:r>
      <w:r w:rsidR="00753D54" w:rsidRPr="005A65DC">
        <w:rPr>
          <w:rFonts w:hint="eastAsia"/>
          <w:color w:val="000000"/>
        </w:rPr>
        <w:t>，以吸納更多人才來臺，營造友善攬才及留才環境。</w:t>
      </w:r>
    </w:p>
    <w:p w:rsidR="00753D54" w:rsidRPr="005A65DC" w:rsidRDefault="00753D54" w:rsidP="0023482B">
      <w:pPr>
        <w:pStyle w:val="2"/>
        <w:rPr>
          <w:b/>
          <w:color w:val="000000"/>
        </w:rPr>
      </w:pPr>
      <w:r w:rsidRPr="005A65DC">
        <w:rPr>
          <w:rFonts w:hint="eastAsia"/>
          <w:b/>
          <w:color w:val="000000"/>
        </w:rPr>
        <w:t>就業服務法</w:t>
      </w:r>
      <w:r w:rsidR="00D42031" w:rsidRPr="005A65DC">
        <w:rPr>
          <w:rFonts w:hint="eastAsia"/>
          <w:b/>
          <w:color w:val="000000"/>
        </w:rPr>
        <w:t>及</w:t>
      </w:r>
      <w:r w:rsidRPr="005A65DC">
        <w:rPr>
          <w:rFonts w:hint="eastAsia"/>
          <w:b/>
          <w:color w:val="000000"/>
        </w:rPr>
        <w:t>相關</w:t>
      </w:r>
      <w:r w:rsidR="00D42031" w:rsidRPr="005A65DC">
        <w:rPr>
          <w:rFonts w:hint="eastAsia"/>
          <w:b/>
          <w:color w:val="000000"/>
        </w:rPr>
        <w:t>子</w:t>
      </w:r>
      <w:r w:rsidRPr="005A65DC">
        <w:rPr>
          <w:rFonts w:hint="eastAsia"/>
          <w:b/>
          <w:color w:val="000000"/>
        </w:rPr>
        <w:t>法未考量永久居留之外籍</w:t>
      </w:r>
      <w:r w:rsidR="00D42031" w:rsidRPr="005A65DC">
        <w:rPr>
          <w:rFonts w:hint="eastAsia"/>
          <w:b/>
          <w:color w:val="000000"/>
        </w:rPr>
        <w:t>專業</w:t>
      </w:r>
      <w:r w:rsidRPr="005A65DC">
        <w:rPr>
          <w:rFonts w:hint="eastAsia"/>
          <w:b/>
          <w:color w:val="000000"/>
        </w:rPr>
        <w:t>人士子女在臺工作及職業選擇自由之權</w:t>
      </w:r>
      <w:r w:rsidR="00D42031" w:rsidRPr="005A65DC">
        <w:rPr>
          <w:rFonts w:hint="eastAsia"/>
          <w:b/>
          <w:color w:val="000000"/>
        </w:rPr>
        <w:t>益</w:t>
      </w:r>
      <w:r w:rsidRPr="005A65DC">
        <w:rPr>
          <w:rFonts w:hint="eastAsia"/>
          <w:b/>
          <w:color w:val="000000"/>
        </w:rPr>
        <w:t>，致其等須循僑外生評點制</w:t>
      </w:r>
      <w:r w:rsidR="00D42031" w:rsidRPr="005A65DC">
        <w:rPr>
          <w:rFonts w:hint="eastAsia"/>
          <w:b/>
          <w:color w:val="000000"/>
        </w:rPr>
        <w:t>，</w:t>
      </w:r>
      <w:r w:rsidRPr="005A65DC">
        <w:rPr>
          <w:rFonts w:hint="eastAsia"/>
          <w:b/>
          <w:color w:val="000000"/>
        </w:rPr>
        <w:t>於符合一定之學歷、工作經驗及薪資等要件下，</w:t>
      </w:r>
      <w:r w:rsidR="00E537A0" w:rsidRPr="005A65DC">
        <w:rPr>
          <w:rFonts w:hint="eastAsia"/>
          <w:b/>
          <w:color w:val="000000"/>
        </w:rPr>
        <w:t>始得</w:t>
      </w:r>
      <w:r w:rsidRPr="005A65DC">
        <w:rPr>
          <w:rFonts w:hint="eastAsia"/>
          <w:b/>
          <w:color w:val="000000"/>
        </w:rPr>
        <w:t>透過</w:t>
      </w:r>
      <w:r w:rsidR="0013258B" w:rsidRPr="005A65DC">
        <w:rPr>
          <w:rFonts w:hint="eastAsia"/>
          <w:b/>
          <w:color w:val="000000"/>
        </w:rPr>
        <w:t>雇</w:t>
      </w:r>
      <w:r w:rsidRPr="005A65DC">
        <w:rPr>
          <w:rFonts w:hint="eastAsia"/>
          <w:b/>
          <w:color w:val="000000"/>
        </w:rPr>
        <w:t>主申請工作許可</w:t>
      </w:r>
      <w:r w:rsidR="00D42031" w:rsidRPr="005A65DC">
        <w:rPr>
          <w:rFonts w:hint="eastAsia"/>
          <w:b/>
          <w:color w:val="000000"/>
        </w:rPr>
        <w:t>，容有未周</w:t>
      </w:r>
      <w:r w:rsidRPr="005A65DC">
        <w:rPr>
          <w:rFonts w:hint="eastAsia"/>
          <w:b/>
          <w:color w:val="000000"/>
        </w:rPr>
        <w:t>。勞動部允宜</w:t>
      </w:r>
      <w:r w:rsidR="00D42031" w:rsidRPr="005A65DC">
        <w:rPr>
          <w:rFonts w:hint="eastAsia"/>
          <w:b/>
          <w:color w:val="000000"/>
        </w:rPr>
        <w:t>參酌外國立法例</w:t>
      </w:r>
      <w:r w:rsidR="0023482B" w:rsidRPr="005A65DC">
        <w:rPr>
          <w:rFonts w:hint="eastAsia"/>
          <w:b/>
          <w:color w:val="000000"/>
        </w:rPr>
        <w:t>，在不影響國人就業，及有助於我國經濟發展之前提下，</w:t>
      </w:r>
      <w:r w:rsidR="00D42031" w:rsidRPr="005A65DC">
        <w:rPr>
          <w:rFonts w:hint="eastAsia"/>
          <w:b/>
          <w:color w:val="000000"/>
        </w:rPr>
        <w:t>適度放寬其等在臺就業</w:t>
      </w:r>
      <w:r w:rsidR="00E537A0" w:rsidRPr="005A65DC">
        <w:rPr>
          <w:rFonts w:hint="eastAsia"/>
          <w:b/>
          <w:color w:val="000000"/>
        </w:rPr>
        <w:t>之</w:t>
      </w:r>
      <w:r w:rsidR="00D42031" w:rsidRPr="005A65DC">
        <w:rPr>
          <w:rFonts w:hint="eastAsia"/>
          <w:b/>
          <w:color w:val="000000"/>
        </w:rPr>
        <w:t>限制</w:t>
      </w:r>
      <w:r w:rsidRPr="005A65DC">
        <w:rPr>
          <w:rFonts w:ascii="Times New Roman" w:hAnsi="Times New Roman" w:hint="eastAsia"/>
          <w:b/>
          <w:color w:val="000000"/>
        </w:rPr>
        <w:t>。</w:t>
      </w:r>
    </w:p>
    <w:p w:rsidR="00753D54" w:rsidRPr="005A65DC" w:rsidRDefault="00753D54" w:rsidP="009B522C">
      <w:pPr>
        <w:pStyle w:val="3"/>
        <w:overflowPunct w:val="0"/>
        <w:autoSpaceDE w:val="0"/>
        <w:autoSpaceDN w:val="0"/>
        <w:ind w:leftChars="0" w:left="1361" w:firstLineChars="0" w:hanging="681"/>
        <w:rPr>
          <w:color w:val="000000"/>
        </w:rPr>
      </w:pPr>
      <w:r w:rsidRPr="005A65DC">
        <w:rPr>
          <w:rFonts w:hint="eastAsia"/>
          <w:b/>
          <w:color w:val="000000"/>
        </w:rPr>
        <w:t>就業服務法對外國人工作之限制，尚符合平等原則之要求，惟本於合理差別待遇原則，對取得永久居留權之外國人，其子女</w:t>
      </w:r>
      <w:r w:rsidR="0080622B" w:rsidRPr="005A65DC">
        <w:rPr>
          <w:rFonts w:hint="eastAsia"/>
          <w:b/>
          <w:color w:val="000000"/>
        </w:rPr>
        <w:t>之</w:t>
      </w:r>
      <w:r w:rsidRPr="005A65DC">
        <w:rPr>
          <w:rFonts w:hint="eastAsia"/>
          <w:b/>
          <w:color w:val="000000"/>
        </w:rPr>
        <w:t>工作權利與職業</w:t>
      </w:r>
      <w:r w:rsidR="00FF45F9" w:rsidRPr="005A65DC">
        <w:rPr>
          <w:rFonts w:hint="eastAsia"/>
          <w:b/>
          <w:color w:val="000000"/>
        </w:rPr>
        <w:t>選擇</w:t>
      </w:r>
      <w:r w:rsidRPr="005A65DC">
        <w:rPr>
          <w:rFonts w:hint="eastAsia"/>
          <w:b/>
          <w:color w:val="000000"/>
        </w:rPr>
        <w:t>自由</w:t>
      </w:r>
      <w:r w:rsidRPr="005A65DC">
        <w:rPr>
          <w:rFonts w:hint="eastAsia"/>
          <w:b/>
          <w:color w:val="000000"/>
        </w:rPr>
        <w:lastRenderedPageBreak/>
        <w:t>宜給予較為優惠之待遇；而各國移民法制多依</w:t>
      </w:r>
      <w:r w:rsidR="0080622B" w:rsidRPr="005A65DC">
        <w:rPr>
          <w:rFonts w:hint="eastAsia"/>
          <w:b/>
          <w:color w:val="000000"/>
        </w:rPr>
        <w:t>外國人</w:t>
      </w:r>
      <w:r w:rsidR="002A1FE7" w:rsidRPr="005A65DC">
        <w:rPr>
          <w:rFonts w:hint="eastAsia"/>
          <w:b/>
          <w:color w:val="000000"/>
        </w:rPr>
        <w:t>才</w:t>
      </w:r>
      <w:r w:rsidRPr="005A65DC">
        <w:rPr>
          <w:rFonts w:hint="eastAsia"/>
          <w:b/>
          <w:color w:val="000000"/>
        </w:rPr>
        <w:t>之居留內容，對</w:t>
      </w:r>
      <w:r w:rsidR="0080622B" w:rsidRPr="005A65DC">
        <w:rPr>
          <w:rFonts w:hint="eastAsia"/>
          <w:b/>
          <w:color w:val="000000"/>
        </w:rPr>
        <w:t>其子</w:t>
      </w:r>
      <w:r w:rsidRPr="005A65DC">
        <w:rPr>
          <w:rFonts w:hint="eastAsia"/>
          <w:b/>
          <w:color w:val="000000"/>
        </w:rPr>
        <w:t>女之工作權為不同之設計，值得參酌：</w:t>
      </w:r>
    </w:p>
    <w:p w:rsidR="00753D54" w:rsidRPr="005A65DC" w:rsidRDefault="00753D54" w:rsidP="009B522C">
      <w:pPr>
        <w:pStyle w:val="4"/>
        <w:overflowPunct w:val="0"/>
        <w:autoSpaceDE w:val="0"/>
        <w:autoSpaceDN w:val="0"/>
        <w:ind w:leftChars="0" w:left="1700" w:firstLineChars="0" w:hanging="680"/>
        <w:rPr>
          <w:b/>
          <w:color w:val="000000"/>
        </w:rPr>
      </w:pPr>
      <w:r w:rsidRPr="005A65DC">
        <w:rPr>
          <w:rFonts w:hint="eastAsia"/>
          <w:color w:val="000000"/>
        </w:rPr>
        <w:t>就業服務法為優先保障本國人民工作權，對於外國人在臺工作，以受聘僱並經</w:t>
      </w:r>
      <w:r w:rsidR="0080622B" w:rsidRPr="005A65DC">
        <w:rPr>
          <w:rFonts w:hint="eastAsia"/>
          <w:color w:val="000000"/>
        </w:rPr>
        <w:t>主管機關</w:t>
      </w:r>
      <w:r w:rsidRPr="005A65DC">
        <w:rPr>
          <w:rFonts w:hint="eastAsia"/>
          <w:color w:val="000000"/>
        </w:rPr>
        <w:t>許可為原則。該法第42條規定：「為保障國民工作權，聘僱外國人工作，不得妨礙本國人之就業機會、勞動條件、國民經濟發展及社會安定。」第43條規定：「除本法另有規定外，外國人未經雇主申請許可，不得在中華民國境內工作。」該法並設「外國人之聘僱與管理」專章（第5章）。相關規定自國家資源有限，及對本國國民應積極履行社會保障之義務觀之，自不違反平等原則之要求。惟外國人之居留、婚姻、家庭權密不可分，其家庭成員之工作權或職業選擇之自由又係家庭團聚不能或缺之必要條件。為吸引外國高科技及學術人才來臺居留，貢獻所長，對於隨同來臺生活之配偶或子女，其工作權利與職業自由，宜與一般外僑有所區別，給予較為優惠之待遇。</w:t>
      </w:r>
    </w:p>
    <w:p w:rsidR="00753D54" w:rsidRPr="005A65DC" w:rsidRDefault="00753D54" w:rsidP="00FF7684">
      <w:pPr>
        <w:pStyle w:val="4"/>
        <w:ind w:left="1700" w:hanging="680"/>
        <w:rPr>
          <w:b/>
          <w:color w:val="000000"/>
        </w:rPr>
      </w:pPr>
      <w:r w:rsidRPr="005A65DC">
        <w:rPr>
          <w:rFonts w:hint="eastAsia"/>
          <w:color w:val="000000"/>
        </w:rPr>
        <w:t>各國移民法制為落實家庭團聚權之保障，多依</w:t>
      </w:r>
      <w:r w:rsidR="0080622B" w:rsidRPr="005A65DC">
        <w:rPr>
          <w:rFonts w:hint="eastAsia"/>
          <w:color w:val="000000"/>
        </w:rPr>
        <w:t>外國</w:t>
      </w:r>
      <w:r w:rsidRPr="005A65DC">
        <w:rPr>
          <w:rFonts w:hint="eastAsia"/>
          <w:color w:val="000000"/>
        </w:rPr>
        <w:t>人之居留內容，對隨同居留之子女工作權為不同之設計。例如英國2016年「依親居留簽證申請辦</w:t>
      </w:r>
      <w:r w:rsidRPr="005A65DC">
        <w:rPr>
          <w:rFonts w:hAnsi="標楷體" w:hint="eastAsia"/>
          <w:color w:val="000000"/>
        </w:rPr>
        <w:t>法」(</w:t>
      </w:r>
      <w:r w:rsidRPr="005A65DC">
        <w:rPr>
          <w:rFonts w:ascii="Times New Roman" w:hAnsi="Times New Roman"/>
          <w:color w:val="000000"/>
        </w:rPr>
        <w:t>Dependent Guide</w:t>
      </w:r>
      <w:r w:rsidRPr="005A65DC">
        <w:rPr>
          <w:rFonts w:hAnsi="標楷體" w:hint="eastAsia"/>
          <w:color w:val="000000"/>
        </w:rPr>
        <w:t>)第39</w:t>
      </w:r>
      <w:r w:rsidRPr="005A65DC">
        <w:rPr>
          <w:rFonts w:hint="eastAsia"/>
          <w:color w:val="000000"/>
        </w:rPr>
        <w:t>點規定，持有「依親簽證」者與英國公民一樣享有工作權；法國勞動</w:t>
      </w:r>
      <w:r w:rsidRPr="005A65DC">
        <w:rPr>
          <w:rFonts w:hAnsi="標楷體" w:hint="eastAsia"/>
          <w:color w:val="000000"/>
        </w:rPr>
        <w:t>法</w:t>
      </w:r>
      <w:r w:rsidR="00FF7684" w:rsidRPr="005A65DC">
        <w:rPr>
          <w:rFonts w:hAnsi="標楷體"/>
          <w:color w:val="000000"/>
        </w:rPr>
        <w:t>(</w:t>
      </w:r>
      <w:r w:rsidR="00FF7684" w:rsidRPr="005A65DC">
        <w:rPr>
          <w:rFonts w:ascii="Times New Roman" w:hAnsi="Times New Roman"/>
          <w:color w:val="000000"/>
          <w:lang w:eastAsia="zh-Hans"/>
        </w:rPr>
        <w:t>Code du travail</w:t>
      </w:r>
      <w:r w:rsidR="00FF7684" w:rsidRPr="005A65DC">
        <w:rPr>
          <w:rFonts w:hAnsi="標楷體"/>
          <w:color w:val="000000"/>
        </w:rPr>
        <w:t>)</w:t>
      </w:r>
      <w:r w:rsidRPr="005A65DC">
        <w:rPr>
          <w:rFonts w:hAnsi="標楷體" w:hint="eastAsia"/>
          <w:color w:val="000000"/>
        </w:rPr>
        <w:t>及外</w:t>
      </w:r>
      <w:r w:rsidRPr="005A65DC">
        <w:rPr>
          <w:rFonts w:hint="eastAsia"/>
          <w:color w:val="000000"/>
        </w:rPr>
        <w:t>國人權益法案</w:t>
      </w:r>
      <w:r w:rsidR="00FF7684" w:rsidRPr="005A65DC">
        <w:rPr>
          <w:rFonts w:hint="eastAsia"/>
          <w:color w:val="000000"/>
        </w:rPr>
        <w:t>(</w:t>
      </w:r>
      <w:r w:rsidR="00FF7684" w:rsidRPr="005A65DC">
        <w:rPr>
          <w:rFonts w:ascii="Times New Roman" w:hAnsi="Times New Roman"/>
          <w:color w:val="000000"/>
        </w:rPr>
        <w:t>Loi du 7 mars 2016 relative au droit des étrangers en France</w:t>
      </w:r>
      <w:r w:rsidR="00FF7684" w:rsidRPr="005A65DC">
        <w:rPr>
          <w:rFonts w:hint="eastAsia"/>
          <w:color w:val="000000"/>
        </w:rPr>
        <w:t>)</w:t>
      </w:r>
      <w:r w:rsidRPr="005A65DC">
        <w:rPr>
          <w:rFonts w:hint="eastAsia"/>
          <w:color w:val="000000"/>
        </w:rPr>
        <w:t>規定，具依親居留權（</w:t>
      </w:r>
      <w:r w:rsidRPr="005A65DC">
        <w:rPr>
          <w:rFonts w:ascii="Times New Roman" w:hAnsi="Times New Roman"/>
          <w:color w:val="000000"/>
        </w:rPr>
        <w:t>privée et familiale</w:t>
      </w:r>
      <w:r w:rsidRPr="005A65DC">
        <w:rPr>
          <w:rFonts w:hint="eastAsia"/>
          <w:color w:val="000000"/>
        </w:rPr>
        <w:t>）的外國人享有工作權的保障（居留證上即明示「許可工作</w:t>
      </w:r>
      <w:r w:rsidRPr="005A65DC">
        <w:rPr>
          <w:rFonts w:ascii="Times New Roman" w:hAnsi="Times New Roman"/>
          <w:color w:val="000000"/>
        </w:rPr>
        <w:t xml:space="preserve">autorise son titulaire </w:t>
      </w:r>
      <w:r w:rsidR="00CD0919" w:rsidRPr="005A65DC">
        <w:rPr>
          <w:rFonts w:ascii="Times New Roman" w:hAnsi="Times New Roman"/>
          <w:color w:val="000000"/>
        </w:rPr>
        <w:t xml:space="preserve">à </w:t>
      </w:r>
      <w:r w:rsidRPr="005A65DC">
        <w:rPr>
          <w:rFonts w:ascii="Times New Roman" w:hAnsi="Times New Roman"/>
          <w:color w:val="000000"/>
        </w:rPr>
        <w:t>trava</w:t>
      </w:r>
      <w:r w:rsidR="00CD0919" w:rsidRPr="005A65DC">
        <w:rPr>
          <w:rFonts w:ascii="Times New Roman" w:hAnsi="Times New Roman"/>
          <w:color w:val="000000"/>
        </w:rPr>
        <w:t>i</w:t>
      </w:r>
      <w:r w:rsidRPr="005A65DC">
        <w:rPr>
          <w:rFonts w:ascii="Times New Roman" w:hAnsi="Times New Roman"/>
          <w:color w:val="000000"/>
        </w:rPr>
        <w:t>ller</w:t>
      </w:r>
      <w:r w:rsidRPr="005A65DC">
        <w:rPr>
          <w:rFonts w:hint="eastAsia"/>
          <w:color w:val="000000"/>
        </w:rPr>
        <w:t>」）；紐西蘭2009年移民法</w:t>
      </w:r>
      <w:r w:rsidR="00FF7684" w:rsidRPr="005A65DC">
        <w:rPr>
          <w:rFonts w:hint="eastAsia"/>
          <w:color w:val="000000"/>
        </w:rPr>
        <w:t>(</w:t>
      </w:r>
      <w:r w:rsidR="00FF7684" w:rsidRPr="005A65DC">
        <w:rPr>
          <w:rFonts w:ascii="Times New Roman" w:hAnsi="Times New Roman"/>
          <w:color w:val="000000"/>
        </w:rPr>
        <w:t>Immigration Act</w:t>
      </w:r>
      <w:r w:rsidR="00FF7684" w:rsidRPr="005A65DC">
        <w:rPr>
          <w:rFonts w:hint="eastAsia"/>
          <w:color w:val="000000"/>
        </w:rPr>
        <w:t>)</w:t>
      </w:r>
      <w:r w:rsidRPr="005A65DC">
        <w:rPr>
          <w:rFonts w:hint="eastAsia"/>
          <w:color w:val="000000"/>
        </w:rPr>
        <w:t>規定移民人士子女如</w:t>
      </w:r>
      <w:r w:rsidRPr="005A65DC">
        <w:rPr>
          <w:rFonts w:hint="eastAsia"/>
          <w:color w:val="000000"/>
        </w:rPr>
        <w:lastRenderedPageBreak/>
        <w:t>以「學生簽證」就學，完成義務教育後，可於雇主擔保與聘用後，合法申請工作簽證；如原為依親居留簽證，即可直接工作，居留2年期間每年在紐</w:t>
      </w:r>
      <w:r w:rsidR="002A1FE7" w:rsidRPr="005A65DC">
        <w:rPr>
          <w:rFonts w:hint="eastAsia"/>
          <w:color w:val="000000"/>
        </w:rPr>
        <w:t>西蘭</w:t>
      </w:r>
      <w:r w:rsidRPr="005A65DC">
        <w:rPr>
          <w:rFonts w:hint="eastAsia"/>
          <w:color w:val="000000"/>
        </w:rPr>
        <w:t>居住達184</w:t>
      </w:r>
      <w:r w:rsidR="002A1FE7" w:rsidRPr="005A65DC">
        <w:rPr>
          <w:rFonts w:hint="eastAsia"/>
          <w:color w:val="000000"/>
        </w:rPr>
        <w:t>天以上，且</w:t>
      </w:r>
      <w:r w:rsidRPr="005A65DC">
        <w:rPr>
          <w:rFonts w:hint="eastAsia"/>
          <w:color w:val="000000"/>
        </w:rPr>
        <w:t>有繳稅證明，即可申請永久居留簽證</w:t>
      </w:r>
      <w:r w:rsidR="002A79DF" w:rsidRPr="005A65DC">
        <w:rPr>
          <w:rFonts w:ascii="Times New Roman" w:hAnsi="Times New Roman"/>
          <w:color w:val="000000"/>
        </w:rPr>
        <w:t>（</w:t>
      </w:r>
      <w:r w:rsidRPr="005A65DC">
        <w:rPr>
          <w:rFonts w:ascii="Times New Roman" w:hAnsi="Times New Roman"/>
          <w:color w:val="000000"/>
        </w:rPr>
        <w:t>Permanent Resident Visa</w:t>
      </w:r>
      <w:r w:rsidR="002A79DF" w:rsidRPr="005A65DC">
        <w:rPr>
          <w:rFonts w:ascii="Times New Roman" w:hAnsi="Times New Roman"/>
          <w:color w:val="000000"/>
        </w:rPr>
        <w:t>）</w:t>
      </w:r>
      <w:r w:rsidRPr="005A65DC">
        <w:rPr>
          <w:rFonts w:hint="eastAsia"/>
          <w:color w:val="000000"/>
        </w:rPr>
        <w:t>；香港則規定專業人才的受養人(包括配偶及子女)</w:t>
      </w:r>
      <w:r w:rsidR="002A1FE7" w:rsidRPr="005A65DC">
        <w:rPr>
          <w:rFonts w:hint="eastAsia"/>
          <w:color w:val="000000"/>
        </w:rPr>
        <w:t>獲批簽證</w:t>
      </w:r>
      <w:r w:rsidRPr="005A65DC">
        <w:rPr>
          <w:rFonts w:hint="eastAsia"/>
          <w:color w:val="000000"/>
        </w:rPr>
        <w:t>後，可以在香港受僱工作，不受任何限制</w:t>
      </w:r>
      <w:r w:rsidR="003D5A69" w:rsidRPr="005A65DC">
        <w:rPr>
          <w:rFonts w:hint="eastAsia"/>
          <w:color w:val="000000"/>
        </w:rPr>
        <w:t>，均</w:t>
      </w:r>
      <w:r w:rsidR="0080622B" w:rsidRPr="005A65DC">
        <w:rPr>
          <w:rFonts w:hint="eastAsia"/>
          <w:color w:val="000000"/>
        </w:rPr>
        <w:t>給予隨同居留之子女合法工作之權利</w:t>
      </w:r>
      <w:r w:rsidR="0098673D" w:rsidRPr="005A65DC">
        <w:rPr>
          <w:rStyle w:val="aff1"/>
          <w:color w:val="000000"/>
        </w:rPr>
        <w:footnoteReference w:id="7"/>
      </w:r>
      <w:r w:rsidR="0080622B" w:rsidRPr="005A65DC">
        <w:rPr>
          <w:rFonts w:hint="eastAsia"/>
          <w:color w:val="000000"/>
        </w:rPr>
        <w:t>，可供參酌</w:t>
      </w:r>
      <w:r w:rsidRPr="005A65DC">
        <w:rPr>
          <w:rFonts w:hint="eastAsia"/>
          <w:color w:val="000000"/>
        </w:rPr>
        <w:t>。</w:t>
      </w:r>
    </w:p>
    <w:p w:rsidR="00753D54" w:rsidRPr="005A65DC" w:rsidRDefault="00753D54" w:rsidP="009B522C">
      <w:pPr>
        <w:pStyle w:val="3"/>
        <w:overflowPunct w:val="0"/>
        <w:autoSpaceDE w:val="0"/>
        <w:autoSpaceDN w:val="0"/>
        <w:ind w:leftChars="0" w:left="1361" w:firstLineChars="0" w:hanging="681"/>
        <w:rPr>
          <w:b/>
          <w:color w:val="000000"/>
        </w:rPr>
      </w:pPr>
      <w:r w:rsidRPr="005A65DC">
        <w:rPr>
          <w:rFonts w:hint="eastAsia"/>
          <w:b/>
          <w:color w:val="000000"/>
        </w:rPr>
        <w:t>現行就業服務法令對於隨同永久居留外國人在臺成長之子女，未設優惠待遇，致其等面臨就業之困難</w:t>
      </w:r>
      <w:r w:rsidR="003D5A69" w:rsidRPr="005A65DC">
        <w:rPr>
          <w:rFonts w:hint="eastAsia"/>
          <w:b/>
          <w:color w:val="000000"/>
        </w:rPr>
        <w:t>，容有檢討之空間</w:t>
      </w:r>
      <w:r w:rsidRPr="005A65DC">
        <w:rPr>
          <w:rFonts w:hint="eastAsia"/>
          <w:b/>
          <w:color w:val="000000"/>
        </w:rPr>
        <w:t>：</w:t>
      </w:r>
    </w:p>
    <w:p w:rsidR="00753D54" w:rsidRPr="005A65DC" w:rsidRDefault="00753D54" w:rsidP="009B522C">
      <w:pPr>
        <w:pStyle w:val="4"/>
        <w:overflowPunct w:val="0"/>
        <w:autoSpaceDE w:val="0"/>
        <w:autoSpaceDN w:val="0"/>
        <w:ind w:leftChars="0" w:left="1700" w:firstLineChars="0" w:hanging="680"/>
        <w:rPr>
          <w:color w:val="000000"/>
        </w:rPr>
      </w:pPr>
      <w:r w:rsidRPr="005A65DC">
        <w:rPr>
          <w:rFonts w:hint="eastAsia"/>
          <w:color w:val="000000"/>
        </w:rPr>
        <w:t>本案例雷傑森先生投書表示：其女大學在臺就讀藝術科系，但成年後如欲在臺從事藝術工作，須符合「外國人從事就業服務法第46條第1項第1款至第6款工作資格及審查標準」所定：具2</w:t>
      </w:r>
      <w:r w:rsidR="00C8367B" w:rsidRPr="005A65DC">
        <w:rPr>
          <w:rFonts w:hint="eastAsia"/>
          <w:color w:val="000000"/>
        </w:rPr>
        <w:t>年演出工作經驗，且受聘僱月平均薪資須達新臺</w:t>
      </w:r>
      <w:r w:rsidRPr="005A65DC">
        <w:rPr>
          <w:rFonts w:hint="eastAsia"/>
          <w:color w:val="000000"/>
        </w:rPr>
        <w:t>幣</w:t>
      </w:r>
      <w:r w:rsidR="005F4A25" w:rsidRPr="005A65DC">
        <w:rPr>
          <w:rFonts w:hint="eastAsia"/>
          <w:color w:val="000000"/>
        </w:rPr>
        <w:t>（下同）</w:t>
      </w:r>
      <w:r w:rsidRPr="005A65DC">
        <w:rPr>
          <w:rFonts w:hint="eastAsia"/>
          <w:color w:val="000000"/>
        </w:rPr>
        <w:t>4萬7,971元等條件。對於甫自大學畢業之學生而言，難以申請工作許可，最後其女選擇離開臺灣轉至他國工作，而與在臺家庭成員分隔兩地等語。又據國發會表示，雖近年來政府推動之評點制度已放寬外籍畢業生</w:t>
      </w:r>
      <w:r w:rsidR="008E61D9" w:rsidRPr="005A65DC">
        <w:rPr>
          <w:rFonts w:hint="eastAsia"/>
          <w:color w:val="000000"/>
        </w:rPr>
        <w:t>留臺</w:t>
      </w:r>
      <w:r w:rsidR="006A406E" w:rsidRPr="005A65DC">
        <w:rPr>
          <w:rFonts w:hint="eastAsia"/>
          <w:color w:val="000000"/>
        </w:rPr>
        <w:t>工作資格限制，但仍有多位外籍人士在座談會中或透過外國</w:t>
      </w:r>
      <w:r w:rsidRPr="005A65DC">
        <w:rPr>
          <w:rFonts w:hint="eastAsia"/>
          <w:color w:val="000000"/>
        </w:rPr>
        <w:t>商會反映，應再放寬已取得永久居留權之外籍人士成年子女在臺工作之限制等語。足見現行就業服務法令對於隨同</w:t>
      </w:r>
      <w:r w:rsidR="0080622B" w:rsidRPr="005A65DC">
        <w:rPr>
          <w:rFonts w:hint="eastAsia"/>
          <w:color w:val="000000"/>
        </w:rPr>
        <w:t>外籍專業人士</w:t>
      </w:r>
      <w:r w:rsidRPr="005A65DC">
        <w:rPr>
          <w:rFonts w:hint="eastAsia"/>
          <w:color w:val="000000"/>
        </w:rPr>
        <w:t>來臺</w:t>
      </w:r>
      <w:r w:rsidR="0080622B" w:rsidRPr="005A65DC">
        <w:rPr>
          <w:rFonts w:hint="eastAsia"/>
          <w:color w:val="000000"/>
        </w:rPr>
        <w:t>生活</w:t>
      </w:r>
      <w:r w:rsidRPr="005A65DC">
        <w:rPr>
          <w:rFonts w:hint="eastAsia"/>
          <w:color w:val="000000"/>
        </w:rPr>
        <w:t>之子女，仍</w:t>
      </w:r>
      <w:r w:rsidR="0080622B" w:rsidRPr="005A65DC">
        <w:rPr>
          <w:rFonts w:hint="eastAsia"/>
          <w:color w:val="000000"/>
        </w:rPr>
        <w:t>視同</w:t>
      </w:r>
      <w:r w:rsidRPr="005A65DC">
        <w:rPr>
          <w:rFonts w:hint="eastAsia"/>
          <w:color w:val="000000"/>
        </w:rPr>
        <w:t>一般外僑，</w:t>
      </w:r>
      <w:r w:rsidR="0080622B" w:rsidRPr="005A65DC">
        <w:rPr>
          <w:rFonts w:hint="eastAsia"/>
          <w:color w:val="000000"/>
        </w:rPr>
        <w:t>對其</w:t>
      </w:r>
      <w:r w:rsidRPr="005A65DC">
        <w:rPr>
          <w:rFonts w:hint="eastAsia"/>
          <w:color w:val="000000"/>
        </w:rPr>
        <w:t>得從事之職業</w:t>
      </w:r>
      <w:r w:rsidR="0080622B" w:rsidRPr="005A65DC">
        <w:rPr>
          <w:rFonts w:hint="eastAsia"/>
          <w:color w:val="000000"/>
        </w:rPr>
        <w:t>種類、</w:t>
      </w:r>
      <w:r w:rsidRPr="005A65DC">
        <w:rPr>
          <w:rFonts w:hint="eastAsia"/>
          <w:color w:val="000000"/>
        </w:rPr>
        <w:t>工作資格、審查條件均</w:t>
      </w:r>
      <w:r w:rsidR="0080622B" w:rsidRPr="005A65DC">
        <w:rPr>
          <w:rFonts w:hint="eastAsia"/>
          <w:color w:val="000000"/>
        </w:rPr>
        <w:t>加以</w:t>
      </w:r>
      <w:r w:rsidRPr="005A65DC">
        <w:rPr>
          <w:rFonts w:hint="eastAsia"/>
          <w:color w:val="000000"/>
        </w:rPr>
        <w:t>嚴格之限制，致其面臨就業之困</w:t>
      </w:r>
      <w:r w:rsidRPr="005A65DC">
        <w:rPr>
          <w:rFonts w:hint="eastAsia"/>
          <w:color w:val="000000"/>
        </w:rPr>
        <w:lastRenderedPageBreak/>
        <w:t>難。</w:t>
      </w:r>
    </w:p>
    <w:p w:rsidR="00753D54" w:rsidRPr="005A65DC" w:rsidRDefault="00753D54" w:rsidP="009B522C">
      <w:pPr>
        <w:pStyle w:val="4"/>
        <w:overflowPunct w:val="0"/>
        <w:autoSpaceDE w:val="0"/>
        <w:autoSpaceDN w:val="0"/>
        <w:ind w:leftChars="0" w:left="1700" w:firstLineChars="0" w:hanging="680"/>
        <w:rPr>
          <w:color w:val="000000"/>
        </w:rPr>
      </w:pPr>
      <w:r w:rsidRPr="005A65DC">
        <w:rPr>
          <w:rFonts w:hint="eastAsia"/>
          <w:color w:val="000000"/>
        </w:rPr>
        <w:t>就業服務法第46條第1項第1至6款規定，外國人從事之專業工作僅限於專門性或技術性之工作（第1款）、僑外資事業之主管（第2款）、學校教師（第3款）、補習班專任外國語文教師（第4款）、運動教練及運動員（第5款）、藝術及演藝工作（第6款）。依「外國人從事就業服務法第46條第1項第1款至第6款工作資格及審查標準」第5條及第5條之1規定，外國人申請工作許可之條件及資格如下：</w:t>
      </w:r>
    </w:p>
    <w:p w:rsidR="00753D54" w:rsidRPr="005A65DC" w:rsidRDefault="00753D54" w:rsidP="009B522C">
      <w:pPr>
        <w:pStyle w:val="5"/>
        <w:overflowPunct w:val="0"/>
        <w:autoSpaceDE w:val="0"/>
        <w:autoSpaceDN w:val="0"/>
        <w:ind w:leftChars="0" w:left="2041" w:firstLineChars="0" w:hanging="680"/>
        <w:rPr>
          <w:color w:val="000000"/>
        </w:rPr>
      </w:pPr>
      <w:r w:rsidRPr="005A65DC">
        <w:rPr>
          <w:rFonts w:hint="eastAsia"/>
          <w:color w:val="000000"/>
        </w:rPr>
        <w:t>依薪資、工作經驗條件申請</w:t>
      </w:r>
    </w:p>
    <w:p w:rsidR="00753D54" w:rsidRPr="005A65DC" w:rsidRDefault="00753D54" w:rsidP="00753D54">
      <w:pPr>
        <w:pStyle w:val="42"/>
        <w:ind w:leftChars="606" w:left="2061" w:firstLine="680"/>
        <w:rPr>
          <w:color w:val="000000"/>
        </w:rPr>
      </w:pPr>
      <w:r w:rsidRPr="005A65DC">
        <w:rPr>
          <w:rFonts w:hint="eastAsia"/>
          <w:color w:val="000000"/>
        </w:rPr>
        <w:t>目前一般外國人從事專門性或技術性（即就業服務法第46條第1項第1款）工作，應符合下列資格之一</w:t>
      </w:r>
      <w:r w:rsidR="00341209" w:rsidRPr="005A65DC">
        <w:rPr>
          <w:rFonts w:hint="eastAsia"/>
          <w:color w:val="000000"/>
        </w:rPr>
        <w:t>：依「專門職業及技術人員考試法」取得證書或執業資格、大學畢業後須</w:t>
      </w:r>
      <w:r w:rsidRPr="005A65DC">
        <w:rPr>
          <w:rFonts w:hint="eastAsia"/>
          <w:color w:val="000000"/>
        </w:rPr>
        <w:t>具2年以上工作經驗，或具碩士以上學位者、服務跨國企業滿1年以上經指派來臺工作、未具學歷而有5年以上工作經驗，並有創</w:t>
      </w:r>
      <w:r w:rsidR="005F4A25" w:rsidRPr="005A65DC">
        <w:rPr>
          <w:rFonts w:hint="eastAsia"/>
          <w:color w:val="000000"/>
        </w:rPr>
        <w:t>見或特殊表現者。且外國人之受聘僱月平均薪資，除另有規定外，須達</w:t>
      </w:r>
      <w:r w:rsidRPr="005A65DC">
        <w:rPr>
          <w:rFonts w:hint="eastAsia"/>
          <w:color w:val="000000"/>
        </w:rPr>
        <w:t>4萬7,971元。經由雇主提出申請許可後，始得留臺工作。</w:t>
      </w:r>
    </w:p>
    <w:p w:rsidR="00753D54" w:rsidRPr="005A65DC" w:rsidRDefault="00753D54" w:rsidP="009B522C">
      <w:pPr>
        <w:pStyle w:val="5"/>
        <w:overflowPunct w:val="0"/>
        <w:autoSpaceDE w:val="0"/>
        <w:autoSpaceDN w:val="0"/>
        <w:ind w:leftChars="0" w:left="2041" w:firstLineChars="0" w:hanging="680"/>
        <w:rPr>
          <w:color w:val="000000"/>
        </w:rPr>
      </w:pPr>
      <w:r w:rsidRPr="005A65DC">
        <w:rPr>
          <w:rFonts w:hint="eastAsia"/>
          <w:color w:val="000000"/>
        </w:rPr>
        <w:t>依僑外生評點制申請</w:t>
      </w:r>
    </w:p>
    <w:p w:rsidR="00753D54" w:rsidRPr="005A65DC" w:rsidRDefault="00753D54" w:rsidP="00753D54">
      <w:pPr>
        <w:pStyle w:val="42"/>
        <w:ind w:leftChars="600" w:left="2041" w:firstLine="680"/>
        <w:rPr>
          <w:color w:val="000000"/>
        </w:rPr>
      </w:pPr>
      <w:r w:rsidRPr="005A65DC">
        <w:rPr>
          <w:rFonts w:hint="eastAsia"/>
          <w:color w:val="000000"/>
        </w:rPr>
        <w:t>依照現行僑外生</w:t>
      </w:r>
      <w:r w:rsidR="008E61D9" w:rsidRPr="005A65DC">
        <w:rPr>
          <w:rFonts w:hint="eastAsia"/>
          <w:color w:val="000000"/>
        </w:rPr>
        <w:t>留臺</w:t>
      </w:r>
      <w:r w:rsidRPr="005A65DC">
        <w:rPr>
          <w:rFonts w:hint="eastAsia"/>
          <w:color w:val="000000"/>
        </w:rPr>
        <w:t>工作規定，僑外生自我國大學以上畢業，</w:t>
      </w:r>
      <w:r w:rsidR="008E61D9" w:rsidRPr="005A65DC">
        <w:rPr>
          <w:rFonts w:hint="eastAsia"/>
          <w:color w:val="000000"/>
        </w:rPr>
        <w:t>留臺</w:t>
      </w:r>
      <w:r w:rsidRPr="005A65DC">
        <w:rPr>
          <w:rFonts w:hint="eastAsia"/>
          <w:color w:val="000000"/>
        </w:rPr>
        <w:t>從事專門技術工作，採「評點配額制」申請許可。即</w:t>
      </w:r>
      <w:r w:rsidR="008E61D9" w:rsidRPr="005A65DC">
        <w:rPr>
          <w:rFonts w:hint="eastAsia"/>
          <w:color w:val="000000"/>
        </w:rPr>
        <w:t>留臺</w:t>
      </w:r>
      <w:r w:rsidRPr="005A65DC">
        <w:rPr>
          <w:rFonts w:hint="eastAsia"/>
          <w:color w:val="000000"/>
        </w:rPr>
        <w:t>工作之僑外生，經合法工作居留連續滿5年，則可另行依據相關資格限制，申請繼續留臺工作或永久居留、歸化或定居等，成為我國未來之經濟移民。</w:t>
      </w:r>
    </w:p>
    <w:p w:rsidR="00474718" w:rsidRPr="005A65DC" w:rsidRDefault="00753D54" w:rsidP="009B522C">
      <w:pPr>
        <w:pStyle w:val="4"/>
        <w:overflowPunct w:val="0"/>
        <w:autoSpaceDE w:val="0"/>
        <w:autoSpaceDN w:val="0"/>
        <w:ind w:leftChars="0" w:left="1700" w:firstLineChars="0" w:hanging="680"/>
        <w:rPr>
          <w:color w:val="000000"/>
        </w:rPr>
      </w:pPr>
      <w:r w:rsidRPr="005A65DC">
        <w:rPr>
          <w:rFonts w:hint="eastAsia"/>
          <w:color w:val="000000"/>
        </w:rPr>
        <w:t>勞動部表示：主要國家針對外籍專業人士之子女，除未成年子女基於家庭團聚考量，隨同專業人士</w:t>
      </w:r>
      <w:r w:rsidRPr="005A65DC">
        <w:rPr>
          <w:rFonts w:hint="eastAsia"/>
          <w:color w:val="000000"/>
        </w:rPr>
        <w:lastRenderedPageBreak/>
        <w:t>於取得永久居留</w:t>
      </w:r>
      <w:r w:rsidR="00DA50E7" w:rsidRPr="005A65DC">
        <w:rPr>
          <w:rFonts w:hint="eastAsia"/>
          <w:color w:val="000000"/>
        </w:rPr>
        <w:t>權</w:t>
      </w:r>
      <w:r w:rsidRPr="005A65DC">
        <w:rPr>
          <w:rFonts w:hint="eastAsia"/>
          <w:color w:val="000000"/>
        </w:rPr>
        <w:t>後，始可隨同居留取得工作許可外，各國對成年子女工作許可各有其規範。爭議個案之子女並未向該部提出僑外生評點制之申請，亦無申請從事就業服務法第46條第1項第6款之演藝類工作。因</w:t>
      </w:r>
      <w:r w:rsidR="00474718" w:rsidRPr="005A65DC">
        <w:rPr>
          <w:rFonts w:hint="eastAsia"/>
          <w:color w:val="000000"/>
        </w:rPr>
        <w:t>該</w:t>
      </w:r>
      <w:r w:rsidRPr="005A65DC">
        <w:rPr>
          <w:rFonts w:hint="eastAsia"/>
          <w:color w:val="000000"/>
        </w:rPr>
        <w:t>法第46條第1項第1款有學歷、工作經驗以及最低薪資4萬7,971元之限制，爰除僑外生評點制外以及該法第46條第1項第1款之工作外，其女得申請從事同法第46條第1項第2款至第6款規定之工作類型。此外，考量藝術及演藝工作多元化發展之特質，實務上確實有外國人</w:t>
      </w:r>
      <w:r w:rsidR="00474718" w:rsidRPr="005A65DC">
        <w:rPr>
          <w:rFonts w:hint="eastAsia"/>
          <w:color w:val="000000"/>
        </w:rPr>
        <w:t>受邀表演，因</w:t>
      </w:r>
      <w:r w:rsidRPr="005A65DC">
        <w:rPr>
          <w:rFonts w:hint="eastAsia"/>
          <w:color w:val="000000"/>
        </w:rPr>
        <w:t>未有正式表演經驗</w:t>
      </w:r>
      <w:r w:rsidR="00474718" w:rsidRPr="005A65DC">
        <w:rPr>
          <w:rFonts w:hint="eastAsia"/>
          <w:color w:val="000000"/>
        </w:rPr>
        <w:t>，</w:t>
      </w:r>
      <w:r w:rsidRPr="005A65DC">
        <w:rPr>
          <w:rFonts w:hint="eastAsia"/>
          <w:color w:val="000000"/>
        </w:rPr>
        <w:t>致無法檢具演藝證明的情形等語。</w:t>
      </w:r>
    </w:p>
    <w:p w:rsidR="00753D54" w:rsidRPr="005A65DC" w:rsidRDefault="00753D54" w:rsidP="009B522C">
      <w:pPr>
        <w:pStyle w:val="4"/>
        <w:overflowPunct w:val="0"/>
        <w:autoSpaceDE w:val="0"/>
        <w:autoSpaceDN w:val="0"/>
        <w:ind w:leftChars="0" w:left="1700" w:firstLineChars="0" w:hanging="680"/>
        <w:rPr>
          <w:color w:val="000000"/>
        </w:rPr>
      </w:pPr>
      <w:r w:rsidRPr="005A65DC">
        <w:rPr>
          <w:rFonts w:hint="eastAsia"/>
          <w:color w:val="000000"/>
        </w:rPr>
        <w:t>經統計，在臺外籍專業人士迄106年1月9日止，總計55,408人，其在臺子女計10,332人</w:t>
      </w:r>
      <w:r w:rsidRPr="005A65DC">
        <w:rPr>
          <w:rStyle w:val="aff1"/>
          <w:color w:val="000000"/>
        </w:rPr>
        <w:footnoteReference w:id="8"/>
      </w:r>
      <w:r w:rsidRPr="005A65DC">
        <w:rPr>
          <w:rFonts w:hint="eastAsia"/>
          <w:color w:val="000000"/>
        </w:rPr>
        <w:t>。該等子女因在臺接受教育，與我國關係密切，且人數有限，如</w:t>
      </w:r>
      <w:r w:rsidR="008E61D9" w:rsidRPr="005A65DC">
        <w:rPr>
          <w:rFonts w:hint="eastAsia"/>
          <w:color w:val="000000"/>
        </w:rPr>
        <w:t>留臺</w:t>
      </w:r>
      <w:r w:rsidRPr="005A65DC">
        <w:rPr>
          <w:rFonts w:hint="eastAsia"/>
          <w:color w:val="000000"/>
        </w:rPr>
        <w:t>工作，不但對國人工作權益之影響不大，且有利於提升我國國際化。據國發會表示，該會邀集商會及長期關注外籍人才議題之專家學者召開數次座談，會中仍有多位外籍人士表示，應再放寬已取得永久居留權之外籍人士成年子女在臺工作之限制等語。內政部則表示：外國人士在臺灣要取得工作權，應符合勞動部所訂相關法規，建議勞動部可就該等外籍人士之配偶子女在工作權部分檢討放寬相關之認定條件及簡化辦理流程等語。顯示現行就業服務法令對於隨同永久居留外國人來臺之子女，未設優惠待遇，而評點制度雖已放寬外籍畢業生留臺工作資格限制，然因其等甫畢業起薪不高，難有工作經驗，且受就業服</w:t>
      </w:r>
      <w:r w:rsidRPr="005A65DC">
        <w:rPr>
          <w:rFonts w:hint="eastAsia"/>
          <w:color w:val="000000"/>
        </w:rPr>
        <w:lastRenderedPageBreak/>
        <w:t>務法第46條第1項第1款至第6款受僱工作種類之限制，確導致其在臺就業之困難，現行規定容有檢討之空間。</w:t>
      </w:r>
    </w:p>
    <w:p w:rsidR="00753D54" w:rsidRPr="005A65DC" w:rsidRDefault="00474718" w:rsidP="009B522C">
      <w:pPr>
        <w:pStyle w:val="3"/>
        <w:overflowPunct w:val="0"/>
        <w:autoSpaceDE w:val="0"/>
        <w:autoSpaceDN w:val="0"/>
        <w:ind w:leftChars="0" w:left="1361" w:firstLineChars="0" w:hanging="681"/>
        <w:rPr>
          <w:color w:val="000000"/>
        </w:rPr>
      </w:pPr>
      <w:r w:rsidRPr="005A65DC">
        <w:rPr>
          <w:rFonts w:hint="eastAsia"/>
          <w:b/>
          <w:color w:val="000000"/>
        </w:rPr>
        <w:t>本院調查本案期間</w:t>
      </w:r>
      <w:r w:rsidR="00753D54" w:rsidRPr="005A65DC">
        <w:rPr>
          <w:rFonts w:hint="eastAsia"/>
          <w:b/>
          <w:color w:val="000000"/>
        </w:rPr>
        <w:t>，勞動部規劃增設會商及專案許可機制，應值得肯定：</w:t>
      </w:r>
      <w:r w:rsidR="00753D54" w:rsidRPr="005A65DC">
        <w:rPr>
          <w:color w:val="000000"/>
        </w:rPr>
        <w:t xml:space="preserve"> </w:t>
      </w:r>
    </w:p>
    <w:p w:rsidR="00753D54" w:rsidRPr="005A65DC" w:rsidRDefault="00753D54" w:rsidP="00F97FD3">
      <w:pPr>
        <w:pStyle w:val="4"/>
        <w:ind w:left="1700" w:hanging="680"/>
        <w:rPr>
          <w:color w:val="000000"/>
        </w:rPr>
      </w:pPr>
      <w:r w:rsidRPr="005A65DC">
        <w:rPr>
          <w:rFonts w:hint="eastAsia"/>
          <w:color w:val="000000"/>
        </w:rPr>
        <w:t>在臺永久居留之外籍專業人士其成年子女，多係自幼跟隨父母來臺，接受我國教育資源培育，對國內文化及語言與生活已有一定程度瞭解，並具海外或僑外居地之語言、文化、人脈及生活經驗等特質，有利我國拓展海外市場及營運僑外居地事業；教育部接受本院詢問時亦表示，該部贊同外國人學生畢業後可以</w:t>
      </w:r>
      <w:r w:rsidR="008E61D9" w:rsidRPr="005A65DC">
        <w:rPr>
          <w:rFonts w:hint="eastAsia"/>
          <w:color w:val="000000"/>
        </w:rPr>
        <w:t>留臺</w:t>
      </w:r>
      <w:r w:rsidRPr="005A65DC">
        <w:rPr>
          <w:rFonts w:hint="eastAsia"/>
          <w:color w:val="000000"/>
        </w:rPr>
        <w:t>一段期間內，暫時補足我國就業人力的缺口，同時又可以驗證在臺所學</w:t>
      </w:r>
      <w:r w:rsidR="00F97FD3" w:rsidRPr="005A65DC">
        <w:rPr>
          <w:rFonts w:hint="eastAsia"/>
          <w:color w:val="000000"/>
        </w:rPr>
        <w:t>等語。因此，從實質面觀之，放寬外籍專業人士之子女在臺就業，尚不致對國人就業產生不利之影響，且有助於我國經濟發展</w:t>
      </w:r>
      <w:r w:rsidRPr="005A65DC">
        <w:rPr>
          <w:rFonts w:hAnsi="標楷體" w:hint="eastAsia"/>
          <w:color w:val="000000"/>
        </w:rPr>
        <w:t>。</w:t>
      </w:r>
    </w:p>
    <w:p w:rsidR="00830FDF" w:rsidRPr="005A65DC" w:rsidRDefault="00FD6975" w:rsidP="00EA0860">
      <w:pPr>
        <w:pStyle w:val="4"/>
        <w:ind w:left="1700" w:hanging="680"/>
        <w:rPr>
          <w:color w:val="000000"/>
        </w:rPr>
      </w:pPr>
      <w:r w:rsidRPr="005A65DC">
        <w:rPr>
          <w:rFonts w:hint="eastAsia"/>
          <w:color w:val="000000"/>
        </w:rPr>
        <w:t>針對外國人受聘僱從事就業服務法第46條第1項第6款規定之藝術及演藝工作，應出具從</w:t>
      </w:r>
      <w:r w:rsidR="00EA0860" w:rsidRPr="005A65DC">
        <w:rPr>
          <w:rFonts w:hint="eastAsia"/>
          <w:color w:val="000000"/>
        </w:rPr>
        <w:t>事藝術、演藝工作證明文件或其所屬國官方機構出具之推薦或證明文件等情，</w:t>
      </w:r>
      <w:r w:rsidRPr="005A65DC">
        <w:rPr>
          <w:rFonts w:hint="eastAsia"/>
          <w:color w:val="000000"/>
        </w:rPr>
        <w:t>本院於106年4月17日詢問勞動部出具官方機構證明文件之可行性，該部表示</w:t>
      </w:r>
      <w:r w:rsidR="00EA0860" w:rsidRPr="005A65DC">
        <w:rPr>
          <w:rFonts w:hint="eastAsia"/>
          <w:color w:val="000000"/>
        </w:rPr>
        <w:t>已規劃修正「外國人從事就業服務法第46條第1項第1款至第6款工作資格及審查標準」規定，</w:t>
      </w:r>
      <w:r w:rsidR="00EA0860" w:rsidRPr="005A65DC">
        <w:rPr>
          <w:rFonts w:hint="eastAsia"/>
          <w:b/>
          <w:color w:val="000000"/>
        </w:rPr>
        <w:t>增設會商機制</w:t>
      </w:r>
      <w:r w:rsidR="00EA0860" w:rsidRPr="005A65DC">
        <w:rPr>
          <w:rFonts w:hint="eastAsia"/>
          <w:color w:val="000000"/>
        </w:rPr>
        <w:t>。由雇主提出申請，經該部會商中央目的事業主管機關後專案同意，並於106年4月11日起進行法規預告作業</w:t>
      </w:r>
      <w:r w:rsidR="00EA0860" w:rsidRPr="005A65DC">
        <w:rPr>
          <w:rStyle w:val="aff1"/>
          <w:color w:val="000000"/>
        </w:rPr>
        <w:footnoteReference w:id="9"/>
      </w:r>
      <w:r w:rsidR="00EA0860" w:rsidRPr="005A65DC">
        <w:rPr>
          <w:rFonts w:hint="eastAsia"/>
          <w:color w:val="000000"/>
        </w:rPr>
        <w:t>，未來會商機制即可取代演出實績之證明。</w:t>
      </w:r>
    </w:p>
    <w:p w:rsidR="00EA0860" w:rsidRPr="005A65DC" w:rsidRDefault="00EA0860" w:rsidP="00EA0860">
      <w:pPr>
        <w:pStyle w:val="4"/>
        <w:ind w:left="1700" w:hanging="680"/>
        <w:rPr>
          <w:color w:val="000000"/>
        </w:rPr>
      </w:pPr>
      <w:r w:rsidRPr="005A65DC">
        <w:rPr>
          <w:rFonts w:hint="eastAsia"/>
          <w:color w:val="000000"/>
        </w:rPr>
        <w:t>該審查標準發布實施後，外籍人士子女之雇主即</w:t>
      </w:r>
      <w:r w:rsidRPr="005A65DC">
        <w:rPr>
          <w:rFonts w:hint="eastAsia"/>
          <w:color w:val="000000"/>
        </w:rPr>
        <w:lastRenderedPageBreak/>
        <w:t>可向該部申請個案會商。在「外國專業人才延攬及僱用法」立法通過前，放寬外籍專業人士子女在臺就業限制，應值得肯定。</w:t>
      </w:r>
    </w:p>
    <w:p w:rsidR="00753D54" w:rsidRPr="005A65DC" w:rsidRDefault="00753D54" w:rsidP="009B522C">
      <w:pPr>
        <w:pStyle w:val="3"/>
        <w:overflowPunct w:val="0"/>
        <w:autoSpaceDE w:val="0"/>
        <w:autoSpaceDN w:val="0"/>
        <w:ind w:leftChars="0" w:left="1361" w:firstLineChars="0" w:hanging="681"/>
        <w:rPr>
          <w:color w:val="000000"/>
        </w:rPr>
      </w:pPr>
      <w:r w:rsidRPr="005A65DC">
        <w:rPr>
          <w:rFonts w:hint="eastAsia"/>
          <w:b/>
          <w:color w:val="000000"/>
        </w:rPr>
        <w:t>小結</w:t>
      </w:r>
      <w:r w:rsidRPr="005A65DC">
        <w:rPr>
          <w:color w:val="000000"/>
        </w:rPr>
        <w:br/>
      </w:r>
      <w:r w:rsidR="00F97FD3" w:rsidRPr="005A65DC">
        <w:rPr>
          <w:rFonts w:hint="eastAsia"/>
          <w:color w:val="000000"/>
        </w:rPr>
        <w:t xml:space="preserve">    </w:t>
      </w:r>
      <w:r w:rsidR="002C6F26" w:rsidRPr="005A65DC">
        <w:rPr>
          <w:rFonts w:hint="eastAsia"/>
          <w:color w:val="000000"/>
        </w:rPr>
        <w:t>綜上，國家有義務依據國際條約及一定之國際狀況，區分各種外國人來臺</w:t>
      </w:r>
      <w:r w:rsidRPr="005A65DC">
        <w:rPr>
          <w:rFonts w:hint="eastAsia"/>
          <w:color w:val="000000"/>
        </w:rPr>
        <w:t>事由，賦予其不同的權利義務，此乃基於平等原則中「本質相同同其處理，本質相異異其處理」之理念，因此不排除差別待遇</w:t>
      </w:r>
      <w:r w:rsidRPr="005A65DC">
        <w:rPr>
          <w:rStyle w:val="aff1"/>
          <w:color w:val="000000"/>
        </w:rPr>
        <w:footnoteReference w:id="10"/>
      </w:r>
      <w:r w:rsidRPr="005A65DC">
        <w:rPr>
          <w:rFonts w:hint="eastAsia"/>
          <w:color w:val="000000"/>
        </w:rPr>
        <w:t>。現行法令對在臺永久居留之外籍專業人士，其</w:t>
      </w:r>
      <w:r w:rsidR="00FA2129" w:rsidRPr="005A65DC">
        <w:rPr>
          <w:rFonts w:hint="eastAsia"/>
          <w:color w:val="000000"/>
        </w:rPr>
        <w:t>成年子女之</w:t>
      </w:r>
      <w:r w:rsidRPr="005A65DC">
        <w:rPr>
          <w:rFonts w:hint="eastAsia"/>
          <w:color w:val="000000"/>
        </w:rPr>
        <w:t>工作許可</w:t>
      </w:r>
      <w:r w:rsidR="00FA2129" w:rsidRPr="005A65DC">
        <w:rPr>
          <w:rFonts w:hint="eastAsia"/>
          <w:color w:val="000000"/>
        </w:rPr>
        <w:t>，並未充分考量渠等</w:t>
      </w:r>
      <w:r w:rsidR="002C6F26" w:rsidRPr="005A65DC">
        <w:rPr>
          <w:rFonts w:hint="eastAsia"/>
          <w:color w:val="000000"/>
        </w:rPr>
        <w:t>在臺工作及職業選擇自由之權益，</w:t>
      </w:r>
      <w:r w:rsidRPr="005A65DC">
        <w:rPr>
          <w:rFonts w:hint="eastAsia"/>
          <w:color w:val="000000"/>
        </w:rPr>
        <w:t>亦未參酌各</w:t>
      </w:r>
      <w:r w:rsidR="0080622B" w:rsidRPr="005A65DC">
        <w:rPr>
          <w:rFonts w:hint="eastAsia"/>
          <w:color w:val="000000"/>
        </w:rPr>
        <w:t>國</w:t>
      </w:r>
      <w:r w:rsidRPr="005A65DC">
        <w:rPr>
          <w:rFonts w:hint="eastAsia"/>
          <w:color w:val="000000"/>
        </w:rPr>
        <w:t>競才攬才之相關設計，仍適用僑外生評點制、學經歷及薪資之規定，容有未周。</w:t>
      </w:r>
      <w:r w:rsidR="00474718" w:rsidRPr="005A65DC">
        <w:rPr>
          <w:rFonts w:hint="eastAsia"/>
          <w:color w:val="000000"/>
        </w:rPr>
        <w:t>本院調查本案期間</w:t>
      </w:r>
      <w:r w:rsidRPr="005A65DC">
        <w:rPr>
          <w:rFonts w:hint="eastAsia"/>
          <w:color w:val="000000"/>
        </w:rPr>
        <w:t>，勞動部已放寬工作資格限制並增加會商機制，在不妨礙本國人就業</w:t>
      </w:r>
      <w:r w:rsidR="00FD36FF" w:rsidRPr="005A65DC">
        <w:rPr>
          <w:rFonts w:hint="eastAsia"/>
          <w:color w:val="000000"/>
        </w:rPr>
        <w:t>及有助於我國經濟發展</w:t>
      </w:r>
      <w:r w:rsidRPr="005A65DC">
        <w:rPr>
          <w:rFonts w:hint="eastAsia"/>
          <w:color w:val="000000"/>
        </w:rPr>
        <w:t>之前提下</w:t>
      </w:r>
      <w:r w:rsidR="00FD36FF" w:rsidRPr="005A65DC">
        <w:rPr>
          <w:rFonts w:hint="eastAsia"/>
          <w:color w:val="000000"/>
        </w:rPr>
        <w:t>，</w:t>
      </w:r>
      <w:r w:rsidRPr="005A65DC">
        <w:rPr>
          <w:rFonts w:hint="eastAsia"/>
          <w:color w:val="000000"/>
        </w:rPr>
        <w:t>適度放寬</w:t>
      </w:r>
      <w:r w:rsidRPr="005A65DC">
        <w:rPr>
          <w:rFonts w:ascii="Times New Roman" w:hAnsi="Times New Roman" w:hint="eastAsia"/>
          <w:color w:val="000000"/>
          <w:spacing w:val="-2"/>
        </w:rPr>
        <w:t>外籍專業人士之子女</w:t>
      </w:r>
      <w:r w:rsidRPr="005A65DC">
        <w:rPr>
          <w:rFonts w:ascii="Times New Roman" w:hAnsi="Times New Roman" w:hint="eastAsia"/>
          <w:color w:val="000000"/>
        </w:rPr>
        <w:t>在臺就業限制，保障其工作權及選擇職業之自由，應值得肯定。</w:t>
      </w:r>
      <w:r w:rsidR="00FA2129" w:rsidRPr="005A65DC">
        <w:rPr>
          <w:rFonts w:ascii="Times New Roman" w:hAnsi="Times New Roman" w:hint="eastAsia"/>
          <w:color w:val="000000"/>
        </w:rPr>
        <w:t xml:space="preserve">　</w:t>
      </w:r>
    </w:p>
    <w:p w:rsidR="00753D54" w:rsidRPr="005A65DC" w:rsidRDefault="00753D54" w:rsidP="009B522C">
      <w:pPr>
        <w:pStyle w:val="1"/>
        <w:kinsoku/>
        <w:overflowPunct w:val="0"/>
        <w:autoSpaceDE w:val="0"/>
        <w:autoSpaceDN w:val="0"/>
        <w:ind w:left="2381" w:hanging="2381"/>
        <w:rPr>
          <w:color w:val="000000"/>
        </w:rPr>
      </w:pPr>
      <w:r w:rsidRPr="005A65DC">
        <w:rPr>
          <w:color w:val="000000"/>
        </w:rPr>
        <w:br w:type="page"/>
      </w:r>
      <w:r w:rsidRPr="005A65DC">
        <w:rPr>
          <w:rFonts w:hint="eastAsia"/>
          <w:color w:val="000000"/>
        </w:rPr>
        <w:lastRenderedPageBreak/>
        <w:t>處理辦法：</w:t>
      </w:r>
      <w:bookmarkEnd w:id="40"/>
    </w:p>
    <w:p w:rsidR="00753D54" w:rsidRPr="005A65DC" w:rsidRDefault="00753D54" w:rsidP="00753D54">
      <w:pPr>
        <w:pStyle w:val="2"/>
        <w:ind w:left="1020" w:hanging="680"/>
        <w:rPr>
          <w:color w:val="000000"/>
        </w:rPr>
      </w:pPr>
      <w:bookmarkStart w:id="41" w:name="_Toc380994514"/>
      <w:bookmarkStart w:id="42" w:name="_Toc383339132"/>
      <w:bookmarkStart w:id="43" w:name="_Toc384890492"/>
      <w:bookmarkStart w:id="44" w:name="_Toc363814697"/>
      <w:bookmarkStart w:id="45" w:name="_Toc421794876"/>
      <w:bookmarkStart w:id="46" w:name="_Toc421795442"/>
      <w:bookmarkStart w:id="47" w:name="_Toc421796023"/>
      <w:bookmarkStart w:id="48" w:name="_Toc422728958"/>
      <w:bookmarkStart w:id="49" w:name="_Toc422834161"/>
      <w:bookmarkStart w:id="50" w:name="_Toc449952979"/>
      <w:r w:rsidRPr="005A65DC">
        <w:rPr>
          <w:rFonts w:hint="eastAsia"/>
          <w:color w:val="000000"/>
        </w:rPr>
        <w:t>調查意見</w:t>
      </w:r>
      <w:bookmarkEnd w:id="41"/>
      <w:bookmarkEnd w:id="42"/>
      <w:bookmarkEnd w:id="43"/>
      <w:r w:rsidRPr="005A65DC">
        <w:rPr>
          <w:rFonts w:hint="eastAsia"/>
          <w:color w:val="000000"/>
        </w:rPr>
        <w:t>，函請行政院、內政部、勞動部參考辦理。</w:t>
      </w:r>
    </w:p>
    <w:p w:rsidR="00753D54" w:rsidRPr="005A65DC" w:rsidRDefault="00753D54" w:rsidP="00753D54">
      <w:pPr>
        <w:pStyle w:val="2"/>
        <w:rPr>
          <w:color w:val="000000"/>
        </w:rPr>
      </w:pPr>
      <w:bookmarkStart w:id="51" w:name="_Toc449952981"/>
      <w:bookmarkEnd w:id="44"/>
      <w:bookmarkEnd w:id="45"/>
      <w:bookmarkEnd w:id="46"/>
      <w:bookmarkEnd w:id="47"/>
      <w:bookmarkEnd w:id="48"/>
      <w:bookmarkEnd w:id="49"/>
      <w:bookmarkEnd w:id="50"/>
      <w:r w:rsidRPr="005A65DC">
        <w:rPr>
          <w:rFonts w:hint="eastAsia"/>
          <w:color w:val="000000"/>
        </w:rPr>
        <w:t>調查報告送請本院人權保障委員會參考</w:t>
      </w:r>
    </w:p>
    <w:p w:rsidR="009D0BF7" w:rsidRDefault="00753D54" w:rsidP="009D0BF7">
      <w:pPr>
        <w:pStyle w:val="2"/>
        <w:kinsoku/>
        <w:overflowPunct w:val="0"/>
        <w:autoSpaceDE w:val="0"/>
        <w:autoSpaceDN w:val="0"/>
        <w:ind w:left="1021" w:hanging="681"/>
        <w:rPr>
          <w:color w:val="000000"/>
        </w:rPr>
      </w:pPr>
      <w:r w:rsidRPr="005A65DC">
        <w:rPr>
          <w:rFonts w:hint="eastAsia"/>
          <w:color w:val="000000"/>
        </w:rPr>
        <w:t>檢附派查函及相關附件，送請內政及少數民族委員會處理。</w:t>
      </w:r>
      <w:bookmarkEnd w:id="51"/>
    </w:p>
    <w:p w:rsidR="009D0BF7" w:rsidRDefault="009D0BF7" w:rsidP="009D0BF7">
      <w:pPr>
        <w:pStyle w:val="2"/>
        <w:numPr>
          <w:ilvl w:val="0"/>
          <w:numId w:val="0"/>
        </w:numPr>
        <w:kinsoku/>
        <w:overflowPunct w:val="0"/>
        <w:autoSpaceDE w:val="0"/>
        <w:autoSpaceDN w:val="0"/>
        <w:ind w:left="1021"/>
        <w:rPr>
          <w:color w:val="000000"/>
        </w:rPr>
      </w:pPr>
    </w:p>
    <w:p w:rsidR="009D0BF7" w:rsidRDefault="009D0BF7" w:rsidP="009D0BF7">
      <w:pPr>
        <w:pStyle w:val="2"/>
        <w:numPr>
          <w:ilvl w:val="0"/>
          <w:numId w:val="0"/>
        </w:numPr>
        <w:kinsoku/>
        <w:overflowPunct w:val="0"/>
        <w:autoSpaceDE w:val="0"/>
        <w:autoSpaceDN w:val="0"/>
        <w:ind w:left="1021"/>
        <w:rPr>
          <w:color w:val="000000"/>
        </w:rPr>
      </w:pPr>
    </w:p>
    <w:p w:rsidR="009D0BF7" w:rsidRDefault="009D0BF7" w:rsidP="009D0BF7">
      <w:pPr>
        <w:pStyle w:val="2"/>
        <w:numPr>
          <w:ilvl w:val="0"/>
          <w:numId w:val="0"/>
        </w:numPr>
        <w:kinsoku/>
        <w:overflowPunct w:val="0"/>
        <w:autoSpaceDE w:val="0"/>
        <w:autoSpaceDN w:val="0"/>
        <w:ind w:left="1021"/>
        <w:rPr>
          <w:color w:val="000000"/>
        </w:rPr>
      </w:pPr>
    </w:p>
    <w:p w:rsidR="009D0BF7" w:rsidRDefault="009D0BF7" w:rsidP="009D0BF7">
      <w:pPr>
        <w:pStyle w:val="2"/>
        <w:numPr>
          <w:ilvl w:val="0"/>
          <w:numId w:val="0"/>
        </w:numPr>
        <w:kinsoku/>
        <w:overflowPunct w:val="0"/>
        <w:autoSpaceDE w:val="0"/>
        <w:autoSpaceDN w:val="0"/>
        <w:ind w:left="1021"/>
        <w:rPr>
          <w:rFonts w:hint="eastAsia"/>
          <w:color w:val="000000"/>
        </w:rPr>
      </w:pPr>
      <w:bookmarkStart w:id="52" w:name="_GoBack"/>
      <w:bookmarkEnd w:id="52"/>
    </w:p>
    <w:p w:rsidR="00753D54" w:rsidRPr="009D0BF7" w:rsidRDefault="00753D54" w:rsidP="009D0BF7">
      <w:pPr>
        <w:pStyle w:val="2"/>
        <w:numPr>
          <w:ilvl w:val="0"/>
          <w:numId w:val="0"/>
        </w:numPr>
        <w:kinsoku/>
        <w:overflowPunct w:val="0"/>
        <w:autoSpaceDE w:val="0"/>
        <w:autoSpaceDN w:val="0"/>
        <w:ind w:left="1021"/>
        <w:rPr>
          <w:color w:val="000000"/>
        </w:rPr>
      </w:pPr>
      <w:r w:rsidRPr="009D0BF7">
        <w:rPr>
          <w:rFonts w:hint="eastAsia"/>
          <w:color w:val="000000"/>
          <w:spacing w:val="12"/>
          <w:sz w:val="40"/>
        </w:rPr>
        <w:t>調查委員：</w:t>
      </w:r>
      <w:r w:rsidR="009D0BF7" w:rsidRPr="009D0BF7">
        <w:rPr>
          <w:rFonts w:hint="eastAsia"/>
          <w:color w:val="000000"/>
          <w:spacing w:val="12"/>
          <w:sz w:val="40"/>
        </w:rPr>
        <w:t>林委員雅鋒</w:t>
      </w:r>
      <w:r w:rsidR="009D0BF7">
        <w:rPr>
          <w:rFonts w:hAnsi="標楷體" w:hint="eastAsia"/>
          <w:color w:val="000000"/>
          <w:spacing w:val="12"/>
          <w:sz w:val="40"/>
        </w:rPr>
        <w:t>、</w:t>
      </w:r>
      <w:r w:rsidR="009D0BF7">
        <w:rPr>
          <w:rFonts w:hint="eastAsia"/>
          <w:color w:val="000000"/>
          <w:spacing w:val="12"/>
          <w:sz w:val="40"/>
        </w:rPr>
        <w:t>尹委員祚芊</w:t>
      </w:r>
    </w:p>
    <w:p w:rsidR="00753D54" w:rsidRPr="005A65DC" w:rsidRDefault="00753D54" w:rsidP="00753D54">
      <w:pPr>
        <w:pStyle w:val="aa"/>
        <w:spacing w:before="0" w:after="0"/>
        <w:ind w:leftChars="1100" w:left="3742" w:firstLineChars="500" w:firstLine="2021"/>
        <w:rPr>
          <w:b w:val="0"/>
          <w:bCs/>
          <w:snapToGrid/>
          <w:color w:val="000000"/>
          <w:spacing w:val="12"/>
          <w:kern w:val="0"/>
        </w:rPr>
      </w:pPr>
    </w:p>
    <w:p w:rsidR="00753D54" w:rsidRPr="005A65DC" w:rsidRDefault="00753D54" w:rsidP="00753D54">
      <w:pPr>
        <w:pStyle w:val="aa"/>
        <w:spacing w:before="0" w:after="0"/>
        <w:ind w:leftChars="1100" w:left="3742" w:firstLineChars="500" w:firstLine="2021"/>
        <w:rPr>
          <w:b w:val="0"/>
          <w:bCs/>
          <w:snapToGrid/>
          <w:color w:val="000000"/>
          <w:spacing w:val="12"/>
          <w:kern w:val="0"/>
        </w:rPr>
      </w:pPr>
    </w:p>
    <w:p w:rsidR="00753D54" w:rsidRPr="005A65DC" w:rsidRDefault="00753D54" w:rsidP="00753D54">
      <w:pPr>
        <w:pStyle w:val="aa"/>
        <w:spacing w:before="0" w:after="0"/>
        <w:ind w:leftChars="1100" w:left="3742" w:firstLineChars="500" w:firstLine="2021"/>
        <w:rPr>
          <w:b w:val="0"/>
          <w:bCs/>
          <w:snapToGrid/>
          <w:color w:val="000000"/>
          <w:spacing w:val="12"/>
          <w:kern w:val="0"/>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753D54" w:rsidRPr="005A65DC" w:rsidRDefault="00753D54" w:rsidP="00753D54">
      <w:pPr>
        <w:pStyle w:val="aa"/>
        <w:spacing w:before="0" w:after="0"/>
        <w:ind w:leftChars="1100" w:left="3742" w:firstLineChars="500" w:firstLine="2021"/>
        <w:rPr>
          <w:b w:val="0"/>
          <w:bCs/>
          <w:snapToGrid/>
          <w:color w:val="000000"/>
          <w:spacing w:val="12"/>
          <w:kern w:val="0"/>
        </w:rPr>
      </w:pPr>
    </w:p>
    <w:sectPr w:rsidR="00753D54" w:rsidRPr="005A65DC">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3EE" w:rsidRDefault="000D23EE">
      <w:r>
        <w:separator/>
      </w:r>
    </w:p>
  </w:endnote>
  <w:endnote w:type="continuationSeparator" w:id="0">
    <w:p w:rsidR="000D23EE" w:rsidRDefault="000D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26" w:rsidRDefault="002C6F2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D0BF7">
      <w:rPr>
        <w:rStyle w:val="ac"/>
        <w:noProof/>
        <w:sz w:val="24"/>
      </w:rPr>
      <w:t>14</w:t>
    </w:r>
    <w:r>
      <w:rPr>
        <w:rStyle w:val="ac"/>
        <w:sz w:val="24"/>
      </w:rPr>
      <w:fldChar w:fldCharType="end"/>
    </w:r>
  </w:p>
  <w:p w:rsidR="002C6F26" w:rsidRDefault="002C6F2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3EE" w:rsidRDefault="000D23EE">
      <w:r>
        <w:separator/>
      </w:r>
    </w:p>
  </w:footnote>
  <w:footnote w:type="continuationSeparator" w:id="0">
    <w:p w:rsidR="000D23EE" w:rsidRDefault="000D23EE">
      <w:r>
        <w:continuationSeparator/>
      </w:r>
    </w:p>
  </w:footnote>
  <w:footnote w:id="1">
    <w:p w:rsidR="002C6F26" w:rsidRPr="001627BE" w:rsidRDefault="002C6F26">
      <w:pPr>
        <w:pStyle w:val="aff"/>
        <w:rPr>
          <w:color w:val="000000"/>
        </w:rPr>
      </w:pPr>
      <w:r w:rsidRPr="001627BE">
        <w:rPr>
          <w:rStyle w:val="aff1"/>
          <w:color w:val="000000"/>
        </w:rPr>
        <w:footnoteRef/>
      </w:r>
      <w:r w:rsidRPr="001627BE">
        <w:rPr>
          <w:color w:val="000000"/>
        </w:rPr>
        <w:t xml:space="preserve"> </w:t>
      </w:r>
      <w:r w:rsidRPr="001627BE">
        <w:rPr>
          <w:rFonts w:hint="eastAsia"/>
          <w:color w:val="000000"/>
        </w:rPr>
        <w:t>歐洲在台商務協會（European Chamber of Commerce Taiwan），2017Position Papers建議書，51頁，取自國家發展委員會網站；聯合報，《歐商會：吸引外籍人士 先消除不平等待遇》， 105年11月11日，取自</w:t>
      </w:r>
      <w:hyperlink r:id="rId1" w:history="1">
        <w:r w:rsidRPr="003569B5">
          <w:rPr>
            <w:rStyle w:val="ae"/>
            <w:color w:val="FF0000"/>
            <w:u w:val="none"/>
          </w:rPr>
          <w:t>https://udn.com/news/story/7238/2098847</w:t>
        </w:r>
      </w:hyperlink>
      <w:r w:rsidRPr="003569B5">
        <w:rPr>
          <w:rFonts w:hint="eastAsia"/>
          <w:color w:val="FF0000"/>
        </w:rPr>
        <w:t>。</w:t>
      </w:r>
    </w:p>
  </w:footnote>
  <w:footnote w:id="2">
    <w:p w:rsidR="002C6F26" w:rsidRPr="001627BE" w:rsidRDefault="002C6F26" w:rsidP="00684F36">
      <w:pPr>
        <w:pStyle w:val="aff"/>
        <w:rPr>
          <w:color w:val="000000"/>
        </w:rPr>
      </w:pPr>
      <w:r w:rsidRPr="001627BE">
        <w:rPr>
          <w:rStyle w:val="aff1"/>
          <w:color w:val="000000"/>
        </w:rPr>
        <w:footnoteRef/>
      </w:r>
      <w:r w:rsidRPr="001627BE">
        <w:rPr>
          <w:color w:val="000000"/>
        </w:rPr>
        <w:t xml:space="preserve"> </w:t>
      </w:r>
      <w:r w:rsidRPr="001627BE">
        <w:rPr>
          <w:rFonts w:hint="eastAsia"/>
          <w:color w:val="000000"/>
        </w:rPr>
        <w:t>依入出國及移民法第25條申請永久居留之規定略以，外國人在我國合法連續居留5年，每年居住超過183日，並須符合下列要件：1.20歲以上；2.品行端正；3.有相當之財產或技能，足以自立；4.符合我國國家利益。</w:t>
      </w:r>
    </w:p>
  </w:footnote>
  <w:footnote w:id="3">
    <w:p w:rsidR="002C6F26" w:rsidRPr="001627BE" w:rsidRDefault="002C6F26" w:rsidP="00753D54">
      <w:pPr>
        <w:pStyle w:val="aff"/>
        <w:rPr>
          <w:color w:val="000000"/>
        </w:rPr>
      </w:pPr>
      <w:r w:rsidRPr="001627BE">
        <w:rPr>
          <w:rStyle w:val="aff1"/>
          <w:color w:val="000000"/>
        </w:rPr>
        <w:footnoteRef/>
      </w:r>
      <w:r w:rsidRPr="003569B5">
        <w:rPr>
          <w:rFonts w:hint="eastAsia"/>
          <w:color w:val="000000"/>
        </w:rPr>
        <w:t>國家發展委員會105年12月16日發力字第1050026120號函、內政部106年1月9日內授移字第1060950488號函、勞動部105年12月27日勞動發管字1050517302號函、教育部105年12月30日臺教授國字第1050149118號函</w:t>
      </w:r>
    </w:p>
  </w:footnote>
  <w:footnote w:id="4">
    <w:p w:rsidR="002C6F26" w:rsidRPr="00EE5E11" w:rsidRDefault="002C6F26" w:rsidP="00753D54">
      <w:pPr>
        <w:pStyle w:val="aff"/>
      </w:pPr>
      <w:r>
        <w:rPr>
          <w:rStyle w:val="aff1"/>
        </w:rPr>
        <w:footnoteRef/>
      </w:r>
      <w:r w:rsidRPr="00EE5E11">
        <w:rPr>
          <w:rFonts w:hint="eastAsia"/>
        </w:rPr>
        <w:t>李震山，論外國人之憲法權利 ，收錄於氏著：人性尊嚴與人權保障學術論文集，元照，2001 年11 月修訂再版，頁383-424。</w:t>
      </w:r>
    </w:p>
  </w:footnote>
  <w:footnote w:id="5">
    <w:p w:rsidR="002C6F26" w:rsidRPr="00684F36" w:rsidRDefault="002C6F26" w:rsidP="00684F36">
      <w:pPr>
        <w:pStyle w:val="aff"/>
        <w:wordWrap w:val="0"/>
      </w:pPr>
      <w:r>
        <w:rPr>
          <w:rStyle w:val="aff1"/>
        </w:rPr>
        <w:footnoteRef/>
      </w:r>
      <w:r>
        <w:t xml:space="preserve"> </w:t>
      </w:r>
      <w:r w:rsidRPr="00684F36">
        <w:t>Oxford Economics(2012),</w:t>
      </w:r>
      <w:r w:rsidRPr="00684F36">
        <w:t>“</w:t>
      </w:r>
      <w:r w:rsidRPr="00684F36">
        <w:t>Global Talent 2021.</w:t>
      </w:r>
      <w:r w:rsidRPr="00684F36">
        <w:t>”</w:t>
      </w:r>
      <w:r w:rsidRPr="00C819AA">
        <w:t xml:space="preserve"> Retrieved from </w:t>
      </w:r>
      <w:r w:rsidRPr="00684F36">
        <w:t>https://www.oxfordeconomics.com/Media/Default/Thought%20Leadership/global-talent-2021.pdf</w:t>
      </w:r>
      <w:r>
        <w:rPr>
          <w:rFonts w:hint="eastAsia"/>
        </w:rPr>
        <w:t>。</w:t>
      </w:r>
    </w:p>
  </w:footnote>
  <w:footnote w:id="6">
    <w:p w:rsidR="002C6F26" w:rsidRPr="0023482B" w:rsidRDefault="002C6F26">
      <w:pPr>
        <w:pStyle w:val="aff"/>
      </w:pPr>
      <w:r>
        <w:rPr>
          <w:rStyle w:val="aff1"/>
        </w:rPr>
        <w:footnoteRef/>
      </w:r>
      <w:r>
        <w:rPr>
          <w:rFonts w:hint="eastAsia"/>
        </w:rPr>
        <w:t>行政院</w:t>
      </w:r>
      <w:r w:rsidRPr="0023482B">
        <w:rPr>
          <w:rFonts w:hint="eastAsia"/>
        </w:rPr>
        <w:t>鑑於外籍專業人士相關規定散見於各部會所主管之法規，逐項修正將曠日廢時，國發會依據行政院核定之「完善我國留才環境方案」27項因應策略中，涉及修法事宜之12項因應策略，以及配合產業發展政策所需，研擬「外國專業人才延攬及僱用法草案」，規劃對外國人在我國從事專業工作、實習及尋職等，給予簽證、居留、租稅、保險等相關特別許可及誘因。</w:t>
      </w:r>
    </w:p>
  </w:footnote>
  <w:footnote w:id="7">
    <w:p w:rsidR="0098673D" w:rsidRPr="005A65DC" w:rsidRDefault="0098673D">
      <w:pPr>
        <w:pStyle w:val="aff"/>
        <w:rPr>
          <w:color w:val="000000"/>
        </w:rPr>
      </w:pPr>
      <w:r w:rsidRPr="005A65DC">
        <w:rPr>
          <w:rStyle w:val="aff1"/>
          <w:color w:val="000000"/>
        </w:rPr>
        <w:footnoteRef/>
      </w:r>
      <w:r w:rsidRPr="005A65DC">
        <w:rPr>
          <w:rFonts w:hint="eastAsia"/>
          <w:color w:val="000000"/>
        </w:rPr>
        <w:t xml:space="preserve"> 內政部106年1月9日內授移字第1060950488號函。</w:t>
      </w:r>
    </w:p>
  </w:footnote>
  <w:footnote w:id="8">
    <w:p w:rsidR="002C6F26" w:rsidRPr="00764A9B" w:rsidRDefault="002C6F26" w:rsidP="00753D54">
      <w:pPr>
        <w:pStyle w:val="aff"/>
      </w:pPr>
      <w:r>
        <w:rPr>
          <w:rStyle w:val="aff1"/>
        </w:rPr>
        <w:footnoteRef/>
      </w:r>
      <w:r>
        <w:t xml:space="preserve"> </w:t>
      </w:r>
      <w:r>
        <w:rPr>
          <w:rFonts w:hint="eastAsia"/>
        </w:rPr>
        <w:t>內政部106年1月9日內授移字第1060950488號函。</w:t>
      </w:r>
    </w:p>
  </w:footnote>
  <w:footnote w:id="9">
    <w:p w:rsidR="002C6F26" w:rsidRPr="006A3C85" w:rsidRDefault="002C6F26" w:rsidP="00EA0860">
      <w:pPr>
        <w:pStyle w:val="aff"/>
      </w:pPr>
      <w:r>
        <w:rPr>
          <w:rStyle w:val="aff1"/>
        </w:rPr>
        <w:footnoteRef/>
      </w:r>
      <w:r>
        <w:rPr>
          <w:rFonts w:hint="eastAsia"/>
        </w:rPr>
        <w:t>勞動部106年4月11日勞動發管字第10605013221號公告。</w:t>
      </w:r>
    </w:p>
  </w:footnote>
  <w:footnote w:id="10">
    <w:p w:rsidR="002C6F26" w:rsidRPr="00DF01D3" w:rsidRDefault="002C6F26" w:rsidP="00753D54">
      <w:pPr>
        <w:pStyle w:val="aff"/>
      </w:pPr>
      <w:r>
        <w:rPr>
          <w:rStyle w:val="aff1"/>
        </w:rPr>
        <w:footnoteRef/>
      </w:r>
      <w:r w:rsidRPr="00DF01D3">
        <w:rPr>
          <w:rFonts w:hint="eastAsia"/>
        </w:rPr>
        <w:t>李震山，</w:t>
      </w:r>
      <w:r>
        <w:rPr>
          <w:rFonts w:hint="eastAsia"/>
        </w:rPr>
        <w:t>前揭文</w:t>
      </w:r>
      <w:r w:rsidRPr="00DF01D3">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363"/>
    <w:multiLevelType w:val="hybridMultilevel"/>
    <w:tmpl w:val="2298A3E6"/>
    <w:lvl w:ilvl="0" w:tplc="98825E38">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13DF8"/>
    <w:multiLevelType w:val="hybridMultilevel"/>
    <w:tmpl w:val="18C2479A"/>
    <w:lvl w:ilvl="0" w:tplc="2132FCC8">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957CBB"/>
    <w:multiLevelType w:val="hybridMultilevel"/>
    <w:tmpl w:val="E46EE18C"/>
    <w:lvl w:ilvl="0" w:tplc="1D2A2A3E">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FE23A2"/>
    <w:multiLevelType w:val="hybridMultilevel"/>
    <w:tmpl w:val="538810E0"/>
    <w:lvl w:ilvl="0" w:tplc="A28ECB48">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185A7B"/>
    <w:multiLevelType w:val="hybridMultilevel"/>
    <w:tmpl w:val="D4B603C8"/>
    <w:lvl w:ilvl="0" w:tplc="BC7460DA">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AC7CF1"/>
    <w:multiLevelType w:val="hybridMultilevel"/>
    <w:tmpl w:val="FB76A460"/>
    <w:lvl w:ilvl="0" w:tplc="D5047B3C">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4FDC416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15:restartNumberingAfterBreak="0">
    <w:nsid w:val="14B62F75"/>
    <w:multiLevelType w:val="hybridMultilevel"/>
    <w:tmpl w:val="B61E1BCA"/>
    <w:lvl w:ilvl="0" w:tplc="B7BC4778">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4A7C86"/>
    <w:multiLevelType w:val="hybridMultilevel"/>
    <w:tmpl w:val="C5F4AB00"/>
    <w:lvl w:ilvl="0" w:tplc="B046248A">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321AD6"/>
    <w:multiLevelType w:val="hybridMultilevel"/>
    <w:tmpl w:val="7DAA4B60"/>
    <w:lvl w:ilvl="0" w:tplc="79A42AB2">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660B31"/>
    <w:multiLevelType w:val="hybridMultilevel"/>
    <w:tmpl w:val="769A7114"/>
    <w:lvl w:ilvl="0" w:tplc="1024A844">
      <w:start w:val="1"/>
      <w:numFmt w:val="decimal"/>
      <w:lvlText w:val="%1."/>
      <w:lvlJc w:val="left"/>
      <w:pPr>
        <w:ind w:left="306" w:hanging="360"/>
      </w:pPr>
      <w:rPr>
        <w:rFonts w:hint="default"/>
      </w:rPr>
    </w:lvl>
    <w:lvl w:ilvl="1" w:tplc="8EA28952">
      <w:start w:val="1"/>
      <w:numFmt w:val="decimal"/>
      <w:lvlText w:val="(%2)"/>
      <w:lvlJc w:val="left"/>
      <w:pPr>
        <w:ind w:left="786" w:hanging="360"/>
      </w:pPr>
      <w:rPr>
        <w:rFonts w:hint="default"/>
      </w:r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3" w15:restartNumberingAfterBreak="0">
    <w:nsid w:val="2A7C126A"/>
    <w:multiLevelType w:val="hybridMultilevel"/>
    <w:tmpl w:val="BF14EDAA"/>
    <w:lvl w:ilvl="0" w:tplc="7BE437B0">
      <w:start w:val="1"/>
      <w:numFmt w:val="decimal"/>
      <w:lvlText w:val="%1."/>
      <w:lvlJc w:val="left"/>
      <w:pPr>
        <w:ind w:left="306" w:hanging="36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4" w15:restartNumberingAfterBreak="0">
    <w:nsid w:val="2FFE6294"/>
    <w:multiLevelType w:val="hybridMultilevel"/>
    <w:tmpl w:val="2C808D92"/>
    <w:lvl w:ilvl="0" w:tplc="11064E76">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A96F3D"/>
    <w:multiLevelType w:val="hybridMultilevel"/>
    <w:tmpl w:val="9FB2F1EC"/>
    <w:lvl w:ilvl="0" w:tplc="759A0CC6">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9C34F6"/>
    <w:multiLevelType w:val="hybridMultilevel"/>
    <w:tmpl w:val="DCC4E038"/>
    <w:lvl w:ilvl="0" w:tplc="98825E38">
      <w:start w:val="1"/>
      <w:numFmt w:val="decimal"/>
      <w:lvlText w:val="%1."/>
      <w:lvlJc w:val="left"/>
      <w:pPr>
        <w:ind w:left="306" w:hanging="36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7" w15:restartNumberingAfterBreak="0">
    <w:nsid w:val="3CFE143F"/>
    <w:multiLevelType w:val="hybridMultilevel"/>
    <w:tmpl w:val="5558A284"/>
    <w:lvl w:ilvl="0" w:tplc="1986A22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6D6B1D"/>
    <w:multiLevelType w:val="hybridMultilevel"/>
    <w:tmpl w:val="8C727FAA"/>
    <w:lvl w:ilvl="0" w:tplc="77CE77BA">
      <w:start w:val="1"/>
      <w:numFmt w:val="decimal"/>
      <w:lvlText w:val="%1."/>
      <w:lvlJc w:val="left"/>
      <w:pPr>
        <w:ind w:left="306" w:hanging="36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20" w15:restartNumberingAfterBreak="0">
    <w:nsid w:val="4A5F5684"/>
    <w:multiLevelType w:val="hybridMultilevel"/>
    <w:tmpl w:val="D006F5DA"/>
    <w:lvl w:ilvl="0" w:tplc="644C39B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DA91EBB"/>
    <w:multiLevelType w:val="hybridMultilevel"/>
    <w:tmpl w:val="5AA24BD6"/>
    <w:lvl w:ilvl="0" w:tplc="62E2FFEC">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361C8E"/>
    <w:multiLevelType w:val="hybridMultilevel"/>
    <w:tmpl w:val="4F141D82"/>
    <w:lvl w:ilvl="0" w:tplc="C916E93E">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B97AD1"/>
    <w:multiLevelType w:val="hybridMultilevel"/>
    <w:tmpl w:val="23084CEE"/>
    <w:lvl w:ilvl="0" w:tplc="6D18A0A0">
      <w:start w:val="1"/>
      <w:numFmt w:val="decimal"/>
      <w:lvlText w:val="(%1)"/>
      <w:lvlJc w:val="left"/>
      <w:pPr>
        <w:ind w:left="786" w:hanging="360"/>
      </w:pPr>
      <w:rPr>
        <w:rFonts w:hint="default"/>
      </w:rPr>
    </w:lvl>
    <w:lvl w:ilvl="1" w:tplc="DC02E15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194A69"/>
    <w:multiLevelType w:val="hybridMultilevel"/>
    <w:tmpl w:val="CA14016A"/>
    <w:lvl w:ilvl="0" w:tplc="FB14D090">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9114E4"/>
    <w:multiLevelType w:val="hybridMultilevel"/>
    <w:tmpl w:val="3BAA36A8"/>
    <w:lvl w:ilvl="0" w:tplc="EC82C122">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156480"/>
    <w:multiLevelType w:val="hybridMultilevel"/>
    <w:tmpl w:val="ACF4B462"/>
    <w:lvl w:ilvl="0" w:tplc="4F54E006">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AA11FD"/>
    <w:multiLevelType w:val="hybridMultilevel"/>
    <w:tmpl w:val="AE207A56"/>
    <w:lvl w:ilvl="0" w:tplc="4E3CA992">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616CF7"/>
    <w:multiLevelType w:val="hybridMultilevel"/>
    <w:tmpl w:val="34A60B94"/>
    <w:lvl w:ilvl="0" w:tplc="357079A2">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D13BB7"/>
    <w:multiLevelType w:val="hybridMultilevel"/>
    <w:tmpl w:val="5F640894"/>
    <w:lvl w:ilvl="0" w:tplc="1294FF66">
      <w:start w:val="1"/>
      <w:numFmt w:val="decimal"/>
      <w:lvlText w:val="%1."/>
      <w:lvlJc w:val="left"/>
      <w:pPr>
        <w:ind w:left="306" w:hanging="360"/>
      </w:pPr>
      <w:rPr>
        <w:rFonts w:hint="default"/>
      </w:rPr>
    </w:lvl>
    <w:lvl w:ilvl="1" w:tplc="872C269C">
      <w:start w:val="1"/>
      <w:numFmt w:val="decimal"/>
      <w:lvlText w:val="(%2)"/>
      <w:lvlJc w:val="left"/>
      <w:pPr>
        <w:ind w:left="786" w:hanging="360"/>
      </w:pPr>
      <w:rPr>
        <w:rFonts w:hint="default"/>
      </w:r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2" w15:restartNumberingAfterBreak="0">
    <w:nsid w:val="72574874"/>
    <w:multiLevelType w:val="hybridMultilevel"/>
    <w:tmpl w:val="884AEFF0"/>
    <w:lvl w:ilvl="0" w:tplc="46BE4B86">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4C02EA"/>
    <w:multiLevelType w:val="hybridMultilevel"/>
    <w:tmpl w:val="6E12440A"/>
    <w:lvl w:ilvl="0" w:tplc="FDC8AAF6">
      <w:start w:val="1"/>
      <w:numFmt w:val="decimal"/>
      <w:lvlText w:val="%1."/>
      <w:lvlJc w:val="left"/>
      <w:pPr>
        <w:ind w:left="306" w:hanging="360"/>
      </w:pPr>
      <w:rPr>
        <w:rFonts w:hint="default"/>
      </w:rPr>
    </w:lvl>
    <w:lvl w:ilvl="1" w:tplc="AE1AA85C">
      <w:start w:val="1"/>
      <w:numFmt w:val="decimal"/>
      <w:lvlText w:val="(%2)"/>
      <w:lvlJc w:val="left"/>
      <w:pPr>
        <w:ind w:left="786" w:hanging="360"/>
      </w:pPr>
      <w:rPr>
        <w:rFonts w:hint="default"/>
      </w:r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4" w15:restartNumberingAfterBreak="0">
    <w:nsid w:val="751F0065"/>
    <w:multiLevelType w:val="hybridMultilevel"/>
    <w:tmpl w:val="8902AE4C"/>
    <w:lvl w:ilvl="0" w:tplc="1B7A8564">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F43AE4"/>
    <w:multiLevelType w:val="hybridMultilevel"/>
    <w:tmpl w:val="49968CBE"/>
    <w:lvl w:ilvl="0" w:tplc="1E60C0C8">
      <w:start w:val="1"/>
      <w:numFmt w:val="decimal"/>
      <w:lvlText w:val="%1."/>
      <w:lvlJc w:val="left"/>
      <w:pPr>
        <w:ind w:left="306" w:hanging="36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6" w15:restartNumberingAfterBreak="0">
    <w:nsid w:val="770F3C34"/>
    <w:multiLevelType w:val="hybridMultilevel"/>
    <w:tmpl w:val="B18A8DA4"/>
    <w:lvl w:ilvl="0" w:tplc="0E845A62">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597389"/>
    <w:multiLevelType w:val="hybridMultilevel"/>
    <w:tmpl w:val="B08A0E66"/>
    <w:lvl w:ilvl="0" w:tplc="1B7A8564">
      <w:start w:val="1"/>
      <w:numFmt w:val="decimal"/>
      <w:lvlText w:val="%1."/>
      <w:lvlJc w:val="left"/>
      <w:pPr>
        <w:ind w:left="306" w:hanging="36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8" w15:restartNumberingAfterBreak="0">
    <w:nsid w:val="7D68475E"/>
    <w:multiLevelType w:val="hybridMultilevel"/>
    <w:tmpl w:val="3D927072"/>
    <w:lvl w:ilvl="0" w:tplc="E88CEFE6">
      <w:start w:val="1"/>
      <w:numFmt w:val="decimal"/>
      <w:lvlText w:val="%1."/>
      <w:lvlJc w:val="left"/>
      <w:pPr>
        <w:ind w:left="3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0"/>
  </w:num>
  <w:num w:numId="3">
    <w:abstractNumId w:val="2"/>
  </w:num>
  <w:num w:numId="4">
    <w:abstractNumId w:val="20"/>
  </w:num>
  <w:num w:numId="5">
    <w:abstractNumId w:val="17"/>
  </w:num>
  <w:num w:numId="6">
    <w:abstractNumId w:val="23"/>
  </w:num>
  <w:num w:numId="7">
    <w:abstractNumId w:val="24"/>
  </w:num>
  <w:num w:numId="8">
    <w:abstractNumId w:val="18"/>
  </w:num>
  <w:num w:numId="9">
    <w:abstractNumId w:val="35"/>
  </w:num>
  <w:num w:numId="10">
    <w:abstractNumId w:val="33"/>
  </w:num>
  <w:num w:numId="11">
    <w:abstractNumId w:val="12"/>
  </w:num>
  <w:num w:numId="12">
    <w:abstractNumId w:val="31"/>
  </w:num>
  <w:num w:numId="13">
    <w:abstractNumId w:val="13"/>
  </w:num>
  <w:num w:numId="14">
    <w:abstractNumId w:val="14"/>
  </w:num>
  <w:num w:numId="15">
    <w:abstractNumId w:val="0"/>
  </w:num>
  <w:num w:numId="16">
    <w:abstractNumId w:val="16"/>
  </w:num>
  <w:num w:numId="17">
    <w:abstractNumId w:val="15"/>
  </w:num>
  <w:num w:numId="18">
    <w:abstractNumId w:val="34"/>
  </w:num>
  <w:num w:numId="19">
    <w:abstractNumId w:val="37"/>
  </w:num>
  <w:num w:numId="20">
    <w:abstractNumId w:val="26"/>
  </w:num>
  <w:num w:numId="21">
    <w:abstractNumId w:val="25"/>
  </w:num>
  <w:num w:numId="22">
    <w:abstractNumId w:val="19"/>
  </w:num>
  <w:num w:numId="23">
    <w:abstractNumId w:val="3"/>
  </w:num>
  <w:num w:numId="24">
    <w:abstractNumId w:val="1"/>
  </w:num>
  <w:num w:numId="25">
    <w:abstractNumId w:val="8"/>
  </w:num>
  <w:num w:numId="26">
    <w:abstractNumId w:val="21"/>
  </w:num>
  <w:num w:numId="27">
    <w:abstractNumId w:val="27"/>
  </w:num>
  <w:num w:numId="28">
    <w:abstractNumId w:val="29"/>
  </w:num>
  <w:num w:numId="29">
    <w:abstractNumId w:val="36"/>
  </w:num>
  <w:num w:numId="30">
    <w:abstractNumId w:val="5"/>
  </w:num>
  <w:num w:numId="31">
    <w:abstractNumId w:val="4"/>
  </w:num>
  <w:num w:numId="32">
    <w:abstractNumId w:val="11"/>
  </w:num>
  <w:num w:numId="33">
    <w:abstractNumId w:val="9"/>
  </w:num>
  <w:num w:numId="34">
    <w:abstractNumId w:val="28"/>
  </w:num>
  <w:num w:numId="35">
    <w:abstractNumId w:val="32"/>
  </w:num>
  <w:num w:numId="36">
    <w:abstractNumId w:val="30"/>
  </w:num>
  <w:num w:numId="37">
    <w:abstractNumId w:val="6"/>
  </w:num>
  <w:num w:numId="38">
    <w:abstractNumId w:val="38"/>
  </w:num>
  <w:num w:numId="39">
    <w:abstractNumId w:val="22"/>
  </w:num>
  <w:num w:numId="4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54"/>
    <w:rsid w:val="00010472"/>
    <w:rsid w:val="00034234"/>
    <w:rsid w:val="00043277"/>
    <w:rsid w:val="00082AD0"/>
    <w:rsid w:val="000A683B"/>
    <w:rsid w:val="000C0E1D"/>
    <w:rsid w:val="000D23EE"/>
    <w:rsid w:val="000E3756"/>
    <w:rsid w:val="000F678C"/>
    <w:rsid w:val="001018E5"/>
    <w:rsid w:val="0013258B"/>
    <w:rsid w:val="001627BE"/>
    <w:rsid w:val="00170817"/>
    <w:rsid w:val="00174056"/>
    <w:rsid w:val="00176AFB"/>
    <w:rsid w:val="00177F0D"/>
    <w:rsid w:val="00191E98"/>
    <w:rsid w:val="001B6721"/>
    <w:rsid w:val="001E3EC6"/>
    <w:rsid w:val="00200AEB"/>
    <w:rsid w:val="00205ED5"/>
    <w:rsid w:val="00210FF2"/>
    <w:rsid w:val="00226AB8"/>
    <w:rsid w:val="0023482B"/>
    <w:rsid w:val="00256785"/>
    <w:rsid w:val="0027357E"/>
    <w:rsid w:val="00282CAD"/>
    <w:rsid w:val="002A1FE7"/>
    <w:rsid w:val="002A582A"/>
    <w:rsid w:val="002A79DF"/>
    <w:rsid w:val="002C6F26"/>
    <w:rsid w:val="002E03FA"/>
    <w:rsid w:val="00327804"/>
    <w:rsid w:val="00331790"/>
    <w:rsid w:val="00341209"/>
    <w:rsid w:val="00342D97"/>
    <w:rsid w:val="003569B5"/>
    <w:rsid w:val="003B087A"/>
    <w:rsid w:val="003C78A9"/>
    <w:rsid w:val="003D5A69"/>
    <w:rsid w:val="003E3824"/>
    <w:rsid w:val="003E5781"/>
    <w:rsid w:val="00406F77"/>
    <w:rsid w:val="00433ED4"/>
    <w:rsid w:val="00434498"/>
    <w:rsid w:val="0045171E"/>
    <w:rsid w:val="00474718"/>
    <w:rsid w:val="00476EB1"/>
    <w:rsid w:val="004C15AB"/>
    <w:rsid w:val="00522ADC"/>
    <w:rsid w:val="00536384"/>
    <w:rsid w:val="00593F99"/>
    <w:rsid w:val="005A65DC"/>
    <w:rsid w:val="005C17E3"/>
    <w:rsid w:val="005D078C"/>
    <w:rsid w:val="005E1270"/>
    <w:rsid w:val="005F20F5"/>
    <w:rsid w:val="005F4A25"/>
    <w:rsid w:val="00653757"/>
    <w:rsid w:val="0066599F"/>
    <w:rsid w:val="00684F36"/>
    <w:rsid w:val="00695625"/>
    <w:rsid w:val="006A32DF"/>
    <w:rsid w:val="006A3B11"/>
    <w:rsid w:val="006A406E"/>
    <w:rsid w:val="006F1F0C"/>
    <w:rsid w:val="00703E90"/>
    <w:rsid w:val="00704763"/>
    <w:rsid w:val="00712A1F"/>
    <w:rsid w:val="00752650"/>
    <w:rsid w:val="00753D54"/>
    <w:rsid w:val="00780224"/>
    <w:rsid w:val="0079173D"/>
    <w:rsid w:val="0079648B"/>
    <w:rsid w:val="00796858"/>
    <w:rsid w:val="007C15F5"/>
    <w:rsid w:val="007E0EC1"/>
    <w:rsid w:val="0080622B"/>
    <w:rsid w:val="0081787F"/>
    <w:rsid w:val="00821129"/>
    <w:rsid w:val="00830FDF"/>
    <w:rsid w:val="00846450"/>
    <w:rsid w:val="008632B6"/>
    <w:rsid w:val="00880450"/>
    <w:rsid w:val="008A75E9"/>
    <w:rsid w:val="008A7FF3"/>
    <w:rsid w:val="008D1C13"/>
    <w:rsid w:val="008D3F12"/>
    <w:rsid w:val="008E61D9"/>
    <w:rsid w:val="008F31F7"/>
    <w:rsid w:val="008F33DC"/>
    <w:rsid w:val="0093675C"/>
    <w:rsid w:val="009400D9"/>
    <w:rsid w:val="00970B11"/>
    <w:rsid w:val="0098673D"/>
    <w:rsid w:val="009875C3"/>
    <w:rsid w:val="009B522C"/>
    <w:rsid w:val="009D02F3"/>
    <w:rsid w:val="009D0BF7"/>
    <w:rsid w:val="00A24056"/>
    <w:rsid w:val="00A26867"/>
    <w:rsid w:val="00A412BE"/>
    <w:rsid w:val="00A84C2C"/>
    <w:rsid w:val="00AB592B"/>
    <w:rsid w:val="00AD7F4A"/>
    <w:rsid w:val="00B3721A"/>
    <w:rsid w:val="00B5677E"/>
    <w:rsid w:val="00B72277"/>
    <w:rsid w:val="00B83C81"/>
    <w:rsid w:val="00BB2C6B"/>
    <w:rsid w:val="00BD2824"/>
    <w:rsid w:val="00BF2F7D"/>
    <w:rsid w:val="00BF6597"/>
    <w:rsid w:val="00C02DE4"/>
    <w:rsid w:val="00C042A5"/>
    <w:rsid w:val="00C819AA"/>
    <w:rsid w:val="00C8367B"/>
    <w:rsid w:val="00C871A1"/>
    <w:rsid w:val="00CD0919"/>
    <w:rsid w:val="00CE0E63"/>
    <w:rsid w:val="00D102B4"/>
    <w:rsid w:val="00D23541"/>
    <w:rsid w:val="00D37E90"/>
    <w:rsid w:val="00D42031"/>
    <w:rsid w:val="00D70B7C"/>
    <w:rsid w:val="00DA50E7"/>
    <w:rsid w:val="00DB7523"/>
    <w:rsid w:val="00DD454A"/>
    <w:rsid w:val="00DF112E"/>
    <w:rsid w:val="00E00358"/>
    <w:rsid w:val="00E04148"/>
    <w:rsid w:val="00E14088"/>
    <w:rsid w:val="00E35DBB"/>
    <w:rsid w:val="00E37779"/>
    <w:rsid w:val="00E37FE8"/>
    <w:rsid w:val="00E537A0"/>
    <w:rsid w:val="00E94F13"/>
    <w:rsid w:val="00EA0860"/>
    <w:rsid w:val="00EA6D58"/>
    <w:rsid w:val="00EE0028"/>
    <w:rsid w:val="00EF1517"/>
    <w:rsid w:val="00F065AB"/>
    <w:rsid w:val="00F97FD3"/>
    <w:rsid w:val="00FA2129"/>
    <w:rsid w:val="00FA2EC3"/>
    <w:rsid w:val="00FD36FF"/>
    <w:rsid w:val="00FD6975"/>
    <w:rsid w:val="00FE0BCB"/>
    <w:rsid w:val="00FE0EA6"/>
    <w:rsid w:val="00FF45F9"/>
    <w:rsid w:val="00FF76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AE4AB5-D53A-4D14-86CD-D14196F3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pPr>
    <w:rPr>
      <w:rFonts w:eastAsia="標楷體"/>
      <w:kern w:val="2"/>
      <w:sz w:val="32"/>
    </w:rPr>
  </w:style>
  <w:style w:type="paragraph" w:styleId="1">
    <w:name w:val="heading 1"/>
    <w:aliases w:val="壹,題號1"/>
    <w:basedOn w:val="a6"/>
    <w:qFormat/>
    <w:pPr>
      <w:numPr>
        <w:numId w:val="1"/>
      </w:numPr>
      <w:kinsoku w:val="0"/>
      <w:jc w:val="both"/>
      <w:outlineLvl w:val="0"/>
    </w:pPr>
    <w:rPr>
      <w:rFonts w:ascii="標楷體" w:hAnsi="Arial"/>
      <w:bCs/>
      <w:kern w:val="0"/>
      <w:szCs w:val="52"/>
    </w:rPr>
  </w:style>
  <w:style w:type="paragraph" w:styleId="2">
    <w:name w:val="heading 2"/>
    <w:aliases w:val="標題110/111,標題110/111 字元,節,節1"/>
    <w:basedOn w:val="a6"/>
    <w:qFormat/>
    <w:pPr>
      <w:numPr>
        <w:ilvl w:val="1"/>
        <w:numId w:val="1"/>
      </w:numPr>
      <w:kinsoku w:val="0"/>
      <w:jc w:val="both"/>
      <w:outlineLvl w:val="1"/>
    </w:pPr>
    <w:rPr>
      <w:rFonts w:ascii="標楷體" w:hAnsi="Arial"/>
      <w:bCs/>
      <w:kern w:val="0"/>
      <w:szCs w:val="48"/>
    </w:rPr>
  </w:style>
  <w:style w:type="paragraph" w:styleId="3">
    <w:name w:val="heading 3"/>
    <w:aliases w:val="(一)"/>
    <w:basedOn w:val="a6"/>
    <w:link w:val="30"/>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表格"/>
    <w:basedOn w:val="a6"/>
    <w:link w:val="40"/>
    <w:qFormat/>
    <w:pPr>
      <w:numPr>
        <w:ilvl w:val="3"/>
        <w:numId w:val="1"/>
      </w:numPr>
      <w:ind w:leftChars="300" w:left="500" w:hangingChars="200" w:hanging="200"/>
      <w:jc w:val="both"/>
      <w:outlineLvl w:val="3"/>
    </w:pPr>
    <w:rPr>
      <w:rFonts w:ascii="標楷體" w:hAnsi="Arial"/>
      <w:szCs w:val="36"/>
    </w:rPr>
  </w:style>
  <w:style w:type="paragraph" w:styleId="5">
    <w:name w:val="heading 5"/>
    <w:basedOn w:val="a6"/>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6"/>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6"/>
    <w:uiPriority w:val="99"/>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6"/>
    <w:uiPriority w:val="99"/>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6"/>
    <w:link w:val="90"/>
    <w:uiPriority w:val="9"/>
    <w:unhideWhenUsed/>
    <w:qFormat/>
    <w:rsid w:val="00753D54"/>
    <w:pPr>
      <w:overflowPunct w:val="0"/>
      <w:autoSpaceDE w:val="0"/>
      <w:autoSpaceDN w:val="0"/>
      <w:jc w:val="both"/>
      <w:outlineLvl w:val="8"/>
    </w:pPr>
    <w:rPr>
      <w:rFonts w:ascii="標楷體"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pPr>
      <w:spacing w:before="720" w:after="720"/>
      <w:ind w:left="7371"/>
    </w:pPr>
    <w:rPr>
      <w:rFonts w:ascii="標楷體"/>
      <w:b/>
      <w:snapToGrid w:val="0"/>
      <w:spacing w:val="10"/>
      <w:sz w:val="36"/>
    </w:rPr>
  </w:style>
  <w:style w:type="paragraph" w:styleId="ab">
    <w:name w:val="endnote text"/>
    <w:basedOn w:val="a6"/>
    <w:semiHidden/>
    <w:pPr>
      <w:spacing w:before="240"/>
      <w:ind w:left="1021" w:hanging="1021"/>
      <w:jc w:val="both"/>
    </w:pPr>
    <w:rPr>
      <w:rFonts w:ascii="標楷體"/>
      <w:snapToGrid w:val="0"/>
      <w:spacing w:val="10"/>
    </w:rPr>
  </w:style>
  <w:style w:type="paragraph" w:styleId="50">
    <w:name w:val="toc 5"/>
    <w:basedOn w:val="a6"/>
    <w:next w:val="a6"/>
    <w:autoRedefine/>
    <w:semiHidden/>
    <w:pPr>
      <w:ind w:leftChars="400" w:left="600" w:rightChars="200" w:right="200" w:hangingChars="200" w:hanging="200"/>
    </w:pPr>
    <w:rPr>
      <w:rFonts w:ascii="標楷體"/>
    </w:rPr>
  </w:style>
  <w:style w:type="character" w:styleId="ac">
    <w:name w:val="page number"/>
    <w:semiHidden/>
    <w:rPr>
      <w:rFonts w:ascii="標楷體" w:eastAsia="標楷體"/>
      <w:sz w:val="20"/>
    </w:rPr>
  </w:style>
  <w:style w:type="paragraph" w:styleId="60">
    <w:name w:val="toc 6"/>
    <w:basedOn w:val="a6"/>
    <w:next w:val="a6"/>
    <w:autoRedefine/>
    <w:semiHidden/>
    <w:pPr>
      <w:ind w:leftChars="500" w:left="500"/>
    </w:pPr>
    <w:rPr>
      <w:rFonts w:ascii="標楷體"/>
    </w:rPr>
  </w:style>
  <w:style w:type="paragraph" w:customStyle="1" w:styleId="10">
    <w:name w:val="段落樣式1"/>
    <w:basedOn w:val="a6"/>
    <w:qFormat/>
    <w:pPr>
      <w:tabs>
        <w:tab w:val="left" w:pos="567"/>
      </w:tabs>
      <w:kinsoku w:val="0"/>
      <w:ind w:leftChars="200" w:left="200" w:firstLineChars="200" w:firstLine="200"/>
      <w:jc w:val="both"/>
    </w:pPr>
    <w:rPr>
      <w:rFonts w:ascii="標楷體"/>
      <w:kern w:val="0"/>
    </w:rPr>
  </w:style>
  <w:style w:type="paragraph" w:customStyle="1" w:styleId="20">
    <w:name w:val="段落樣式2"/>
    <w:basedOn w:val="a6"/>
    <w:qFormat/>
    <w:pPr>
      <w:tabs>
        <w:tab w:val="left" w:pos="567"/>
      </w:tabs>
      <w:ind w:leftChars="300" w:left="300" w:firstLineChars="200" w:firstLine="200"/>
      <w:jc w:val="both"/>
    </w:pPr>
    <w:rPr>
      <w:rFonts w:ascii="標楷體"/>
      <w:kern w:val="0"/>
    </w:rPr>
  </w:style>
  <w:style w:type="paragraph" w:styleId="11">
    <w:name w:val="toc 1"/>
    <w:basedOn w:val="a6"/>
    <w:next w:val="a6"/>
    <w:autoRedefine/>
    <w:uiPriority w:val="39"/>
    <w:pPr>
      <w:kinsoku w:val="0"/>
      <w:ind w:left="2443" w:rightChars="200" w:right="698" w:hangingChars="700" w:hanging="2443"/>
      <w:jc w:val="both"/>
    </w:pPr>
    <w:rPr>
      <w:rFonts w:ascii="標楷體"/>
      <w:noProof/>
      <w:szCs w:val="32"/>
    </w:rPr>
  </w:style>
  <w:style w:type="paragraph" w:styleId="21">
    <w:name w:val="toc 2"/>
    <w:basedOn w:val="a6"/>
    <w:next w:val="a6"/>
    <w:autoRedefine/>
    <w:uiPriority w:val="39"/>
    <w:pPr>
      <w:kinsoku w:val="0"/>
      <w:ind w:leftChars="100" w:left="300" w:rightChars="200" w:right="200" w:hangingChars="200" w:hanging="200"/>
    </w:pPr>
    <w:rPr>
      <w:rFonts w:ascii="標楷體"/>
      <w:noProof/>
    </w:rPr>
  </w:style>
  <w:style w:type="paragraph" w:styleId="31">
    <w:name w:val="toc 3"/>
    <w:basedOn w:val="a6"/>
    <w:next w:val="a6"/>
    <w:autoRedefine/>
    <w:uiPriority w:val="39"/>
    <w:pPr>
      <w:kinsoku w:val="0"/>
      <w:ind w:leftChars="200" w:left="400" w:rightChars="200" w:right="200" w:hangingChars="200" w:hanging="200"/>
      <w:jc w:val="both"/>
    </w:pPr>
    <w:rPr>
      <w:rFonts w:ascii="標楷體"/>
      <w:noProof/>
    </w:rPr>
  </w:style>
  <w:style w:type="paragraph" w:styleId="41">
    <w:name w:val="toc 4"/>
    <w:basedOn w:val="a6"/>
    <w:next w:val="a6"/>
    <w:autoRedefine/>
    <w:semiHidden/>
    <w:pPr>
      <w:kinsoku w:val="0"/>
      <w:ind w:leftChars="300" w:left="500" w:rightChars="200" w:right="200" w:hangingChars="200" w:hanging="200"/>
      <w:jc w:val="both"/>
    </w:pPr>
    <w:rPr>
      <w:rFonts w:ascii="標楷體"/>
    </w:rPr>
  </w:style>
  <w:style w:type="paragraph" w:styleId="70">
    <w:name w:val="toc 7"/>
    <w:basedOn w:val="a6"/>
    <w:next w:val="a6"/>
    <w:autoRedefine/>
    <w:semiHidden/>
    <w:pPr>
      <w:ind w:leftChars="600" w:left="800" w:hangingChars="200" w:hanging="200"/>
    </w:pPr>
    <w:rPr>
      <w:rFonts w:ascii="標楷體"/>
    </w:rPr>
  </w:style>
  <w:style w:type="paragraph" w:styleId="80">
    <w:name w:val="toc 8"/>
    <w:basedOn w:val="a6"/>
    <w:next w:val="a6"/>
    <w:autoRedefine/>
    <w:semiHidden/>
    <w:pPr>
      <w:ind w:leftChars="700" w:left="900" w:hangingChars="200" w:hanging="200"/>
    </w:pPr>
    <w:rPr>
      <w:rFonts w:ascii="標楷體"/>
    </w:rPr>
  </w:style>
  <w:style w:type="paragraph" w:styleId="91">
    <w:name w:val="toc 9"/>
    <w:basedOn w:val="a6"/>
    <w:next w:val="a6"/>
    <w:autoRedefine/>
    <w:semiHidden/>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2">
    <w:name w:val="段落樣式3"/>
    <w:basedOn w:val="20"/>
    <w:qFormat/>
    <w:pPr>
      <w:ind w:leftChars="400" w:left="400"/>
    </w:pPr>
  </w:style>
  <w:style w:type="character" w:styleId="ae">
    <w:name w:val="Hyperlink"/>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0"/>
    <w:qFormat/>
    <w:pPr>
      <w:ind w:leftChars="200" w:left="200" w:firstLineChars="0" w:firstLine="0"/>
    </w:pPr>
  </w:style>
  <w:style w:type="paragraph" w:customStyle="1" w:styleId="af0">
    <w:name w:val="附件"/>
    <w:basedOn w:val="ab"/>
    <w:pPr>
      <w:kinsoku w:val="0"/>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1">
    <w:name w:val="段落樣式5"/>
    <w:basedOn w:val="42"/>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style>
  <w:style w:type="paragraph" w:customStyle="1" w:styleId="81">
    <w:name w:val="段落樣式8"/>
    <w:basedOn w:val="71"/>
    <w:qFormat/>
    <w:pPr>
      <w:ind w:leftChars="800" w:left="800"/>
    </w:pPr>
  </w:style>
  <w:style w:type="paragraph" w:customStyle="1" w:styleId="a0">
    <w:name w:val="表樣式"/>
    <w:basedOn w:val="a6"/>
    <w:next w:val="a6"/>
    <w:pPr>
      <w:numPr>
        <w:numId w:val="2"/>
      </w:numPr>
      <w:jc w:val="both"/>
    </w:pPr>
    <w:rPr>
      <w:rFonts w:ascii="標楷體"/>
      <w:kern w:val="0"/>
    </w:rPr>
  </w:style>
  <w:style w:type="paragraph" w:styleId="af1">
    <w:name w:val="Body Text Indent"/>
    <w:basedOn w:val="a6"/>
    <w:semiHidden/>
    <w:pPr>
      <w:ind w:left="698" w:hangingChars="200" w:hanging="698"/>
    </w:pPr>
  </w:style>
  <w:style w:type="paragraph" w:customStyle="1" w:styleId="af2">
    <w:name w:val="調查報告"/>
    <w:basedOn w:val="ab"/>
    <w:pPr>
      <w:kinsoku w:val="0"/>
      <w:spacing w:before="0"/>
      <w:ind w:left="1701" w:firstLine="0"/>
    </w:pPr>
    <w:rPr>
      <w:b/>
      <w:snapToGrid/>
      <w:spacing w:val="200"/>
      <w:kern w:val="0"/>
      <w:sz w:val="36"/>
    </w:rPr>
  </w:style>
  <w:style w:type="character" w:customStyle="1" w:styleId="90">
    <w:name w:val="標題 9 字元"/>
    <w:link w:val="9"/>
    <w:uiPriority w:val="9"/>
    <w:rsid w:val="00753D54"/>
    <w:rPr>
      <w:rFonts w:ascii="標楷體" w:eastAsia="標楷體" w:hAnsi="Cambria"/>
      <w:kern w:val="32"/>
      <w:sz w:val="32"/>
      <w:szCs w:val="36"/>
    </w:rPr>
  </w:style>
  <w:style w:type="paragraph" w:customStyle="1" w:styleId="a">
    <w:name w:val="圖樣式"/>
    <w:basedOn w:val="a6"/>
    <w:next w:val="a6"/>
    <w:pPr>
      <w:numPr>
        <w:numId w:val="3"/>
      </w:numPr>
      <w:tabs>
        <w:tab w:val="clear" w:pos="1440"/>
      </w:tabs>
      <w:ind w:left="400" w:hangingChars="400" w:hanging="400"/>
      <w:jc w:val="both"/>
    </w:pPr>
    <w:rPr>
      <w:rFonts w:ascii="標楷體"/>
    </w:rPr>
  </w:style>
  <w:style w:type="paragraph" w:styleId="af3">
    <w:name w:val="footer"/>
    <w:basedOn w:val="a6"/>
    <w:link w:val="af4"/>
    <w:uiPriority w:val="99"/>
    <w:pPr>
      <w:tabs>
        <w:tab w:val="center" w:pos="4153"/>
        <w:tab w:val="right" w:pos="8306"/>
      </w:tabs>
      <w:snapToGrid w:val="0"/>
    </w:pPr>
    <w:rPr>
      <w:sz w:val="20"/>
    </w:rPr>
  </w:style>
  <w:style w:type="paragraph" w:styleId="af5">
    <w:name w:val="table of figures"/>
    <w:basedOn w:val="a6"/>
    <w:next w:val="a6"/>
    <w:semiHidden/>
    <w:pPr>
      <w:ind w:left="400" w:hangingChars="400" w:hanging="400"/>
    </w:pPr>
  </w:style>
  <w:style w:type="paragraph" w:customStyle="1" w:styleId="af6">
    <w:name w:val="附表樣式"/>
    <w:basedOn w:val="a6"/>
    <w:qFormat/>
    <w:rsid w:val="00753D54"/>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6"/>
    <w:rsid w:val="00753D54"/>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7">
    <w:name w:val="附圖樣式"/>
    <w:basedOn w:val="a6"/>
    <w:qFormat/>
    <w:rsid w:val="00753D54"/>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6"/>
    <w:rsid w:val="00753D54"/>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753D54"/>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753D54"/>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753D54"/>
    <w:pPr>
      <w:numPr>
        <w:numId w:val="5"/>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table" w:styleId="af9">
    <w:name w:val="Table Grid"/>
    <w:basedOn w:val="a8"/>
    <w:uiPriority w:val="59"/>
    <w:rsid w:val="00753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753D54"/>
    <w:pPr>
      <w:spacing w:line="300" w:lineRule="exact"/>
    </w:pPr>
    <w:rPr>
      <w:sz w:val="24"/>
      <w:szCs w:val="24"/>
    </w:rPr>
  </w:style>
  <w:style w:type="paragraph" w:customStyle="1" w:styleId="120">
    <w:name w:val="表格12"/>
    <w:basedOn w:val="14"/>
    <w:rsid w:val="00753D54"/>
    <w:pPr>
      <w:spacing w:line="300" w:lineRule="exact"/>
    </w:pPr>
    <w:rPr>
      <w:sz w:val="24"/>
      <w:szCs w:val="24"/>
    </w:rPr>
  </w:style>
  <w:style w:type="paragraph" w:customStyle="1" w:styleId="a4">
    <w:name w:val="附錄"/>
    <w:basedOn w:val="a6"/>
    <w:qFormat/>
    <w:rsid w:val="00753D54"/>
    <w:pPr>
      <w:keepNext/>
      <w:numPr>
        <w:numId w:val="6"/>
      </w:numPr>
      <w:overflowPunct w:val="0"/>
      <w:autoSpaceDE w:val="0"/>
      <w:autoSpaceDN w:val="0"/>
      <w:ind w:left="350" w:hangingChars="350" w:hanging="350"/>
      <w:jc w:val="both"/>
      <w:outlineLvl w:val="0"/>
    </w:pPr>
    <w:rPr>
      <w:rFonts w:ascii="標楷體"/>
      <w:kern w:val="32"/>
    </w:rPr>
  </w:style>
  <w:style w:type="paragraph" w:styleId="afa">
    <w:name w:val="List Paragraph"/>
    <w:basedOn w:val="a6"/>
    <w:uiPriority w:val="99"/>
    <w:qFormat/>
    <w:rsid w:val="00753D54"/>
    <w:pPr>
      <w:overflowPunct w:val="0"/>
      <w:autoSpaceDE w:val="0"/>
      <w:autoSpaceDN w:val="0"/>
      <w:ind w:leftChars="200" w:left="480"/>
      <w:jc w:val="both"/>
    </w:pPr>
    <w:rPr>
      <w:rFonts w:ascii="標楷體"/>
    </w:rPr>
  </w:style>
  <w:style w:type="paragraph" w:styleId="afb">
    <w:name w:val="Balloon Text"/>
    <w:basedOn w:val="a6"/>
    <w:link w:val="afc"/>
    <w:uiPriority w:val="99"/>
    <w:semiHidden/>
    <w:unhideWhenUsed/>
    <w:rsid w:val="00753D54"/>
    <w:pPr>
      <w:overflowPunct w:val="0"/>
      <w:autoSpaceDE w:val="0"/>
      <w:autoSpaceDN w:val="0"/>
      <w:jc w:val="both"/>
    </w:pPr>
    <w:rPr>
      <w:rFonts w:ascii="Cambria" w:eastAsia="新細明體" w:hAnsi="Cambria"/>
      <w:sz w:val="18"/>
      <w:szCs w:val="18"/>
    </w:rPr>
  </w:style>
  <w:style w:type="character" w:customStyle="1" w:styleId="afc">
    <w:name w:val="註解方塊文字 字元"/>
    <w:link w:val="afb"/>
    <w:uiPriority w:val="99"/>
    <w:semiHidden/>
    <w:rsid w:val="00753D54"/>
    <w:rPr>
      <w:rFonts w:ascii="Cambria" w:hAnsi="Cambria"/>
      <w:kern w:val="2"/>
      <w:sz w:val="18"/>
      <w:szCs w:val="18"/>
    </w:rPr>
  </w:style>
  <w:style w:type="paragraph" w:customStyle="1" w:styleId="a5">
    <w:name w:val="照片標題"/>
    <w:qFormat/>
    <w:rsid w:val="00753D54"/>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753D54"/>
    <w:pPr>
      <w:keepNext/>
      <w:numPr>
        <w:numId w:val="8"/>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753D54"/>
    <w:pPr>
      <w:overflowPunct w:val="0"/>
      <w:autoSpaceDE w:val="0"/>
      <w:autoSpaceDN w:val="0"/>
      <w:ind w:leftChars="1000" w:left="1000"/>
    </w:pPr>
    <w:rPr>
      <w:kern w:val="32"/>
    </w:rPr>
  </w:style>
  <w:style w:type="paragraph" w:customStyle="1" w:styleId="afd">
    <w:name w:val="調查委員"/>
    <w:basedOn w:val="aa"/>
    <w:qFormat/>
    <w:rsid w:val="00753D54"/>
    <w:pPr>
      <w:overflowPunct w:val="0"/>
      <w:autoSpaceDE w:val="0"/>
      <w:autoSpaceDN w:val="0"/>
      <w:spacing w:before="0" w:after="0"/>
      <w:ind w:left="0"/>
    </w:pPr>
    <w:rPr>
      <w:bCs/>
      <w:szCs w:val="28"/>
    </w:rPr>
  </w:style>
  <w:style w:type="paragraph" w:customStyle="1" w:styleId="afe">
    <w:name w:val="協查人員"/>
    <w:basedOn w:val="aa"/>
    <w:qFormat/>
    <w:rsid w:val="00753D54"/>
    <w:pPr>
      <w:overflowPunct w:val="0"/>
      <w:autoSpaceDE w:val="0"/>
      <w:autoSpaceDN w:val="0"/>
      <w:spacing w:beforeLines="50" w:before="228" w:after="0"/>
      <w:ind w:leftChars="1100" w:left="3742"/>
    </w:pPr>
    <w:rPr>
      <w:b w:val="0"/>
      <w:bCs/>
      <w:snapToGrid/>
      <w:kern w:val="0"/>
      <w:szCs w:val="36"/>
    </w:rPr>
  </w:style>
  <w:style w:type="paragraph" w:styleId="aff">
    <w:name w:val="footnote text"/>
    <w:basedOn w:val="a6"/>
    <w:link w:val="aff0"/>
    <w:uiPriority w:val="99"/>
    <w:semiHidden/>
    <w:unhideWhenUsed/>
    <w:rsid w:val="00753D54"/>
    <w:pPr>
      <w:overflowPunct w:val="0"/>
      <w:autoSpaceDE w:val="0"/>
      <w:autoSpaceDN w:val="0"/>
      <w:snapToGrid w:val="0"/>
    </w:pPr>
    <w:rPr>
      <w:rFonts w:ascii="標楷體"/>
      <w:sz w:val="20"/>
    </w:rPr>
  </w:style>
  <w:style w:type="character" w:customStyle="1" w:styleId="aff0">
    <w:name w:val="註腳文字 字元"/>
    <w:link w:val="aff"/>
    <w:uiPriority w:val="99"/>
    <w:semiHidden/>
    <w:rsid w:val="00753D54"/>
    <w:rPr>
      <w:rFonts w:ascii="標楷體" w:eastAsia="標楷體"/>
      <w:kern w:val="2"/>
    </w:rPr>
  </w:style>
  <w:style w:type="character" w:styleId="aff1">
    <w:name w:val="footnote reference"/>
    <w:uiPriority w:val="99"/>
    <w:semiHidden/>
    <w:unhideWhenUsed/>
    <w:rsid w:val="00753D54"/>
    <w:rPr>
      <w:vertAlign w:val="superscript"/>
    </w:rPr>
  </w:style>
  <w:style w:type="paragraph" w:customStyle="1" w:styleId="Default">
    <w:name w:val="Default"/>
    <w:rsid w:val="00753D54"/>
    <w:pPr>
      <w:widowControl w:val="0"/>
      <w:autoSpaceDE w:val="0"/>
      <w:autoSpaceDN w:val="0"/>
      <w:adjustRightInd w:val="0"/>
    </w:pPr>
    <w:rPr>
      <w:rFonts w:ascii="微軟正黑體" w:eastAsia="微軟正黑體" w:cs="微軟正黑體"/>
      <w:color w:val="000000"/>
      <w:sz w:val="24"/>
      <w:szCs w:val="24"/>
    </w:rPr>
  </w:style>
  <w:style w:type="character" w:styleId="aff2">
    <w:name w:val="Placeholder Text"/>
    <w:uiPriority w:val="99"/>
    <w:semiHidden/>
    <w:rsid w:val="00753D54"/>
    <w:rPr>
      <w:color w:val="808080"/>
    </w:rPr>
  </w:style>
  <w:style w:type="character" w:customStyle="1" w:styleId="40">
    <w:name w:val="標題 4 字元"/>
    <w:aliases w:val="表格 字元"/>
    <w:link w:val="4"/>
    <w:rsid w:val="00753D54"/>
    <w:rPr>
      <w:rFonts w:ascii="標楷體" w:eastAsia="標楷體" w:hAnsi="Arial"/>
      <w:kern w:val="2"/>
      <w:sz w:val="32"/>
      <w:szCs w:val="36"/>
    </w:rPr>
  </w:style>
  <w:style w:type="character" w:customStyle="1" w:styleId="30">
    <w:name w:val="標題 3 字元"/>
    <w:aliases w:val="(一) 字元"/>
    <w:link w:val="3"/>
    <w:rsid w:val="00753D54"/>
    <w:rPr>
      <w:rFonts w:ascii="標楷體" w:eastAsia="標楷體" w:hAnsi="Arial"/>
      <w:bCs/>
      <w:sz w:val="32"/>
      <w:szCs w:val="36"/>
    </w:rPr>
  </w:style>
  <w:style w:type="character" w:styleId="aff3">
    <w:name w:val="Strong"/>
    <w:qFormat/>
    <w:rsid w:val="00753D54"/>
    <w:rPr>
      <w:b/>
      <w:bCs/>
    </w:rPr>
  </w:style>
  <w:style w:type="character" w:styleId="aff4">
    <w:name w:val="FollowedHyperlink"/>
    <w:uiPriority w:val="99"/>
    <w:semiHidden/>
    <w:unhideWhenUsed/>
    <w:rsid w:val="00753D54"/>
    <w:rPr>
      <w:color w:val="800080"/>
      <w:u w:val="single"/>
    </w:rPr>
  </w:style>
  <w:style w:type="paragraph" w:styleId="22">
    <w:name w:val="Body Text Indent 2"/>
    <w:basedOn w:val="a6"/>
    <w:link w:val="23"/>
    <w:uiPriority w:val="99"/>
    <w:semiHidden/>
    <w:unhideWhenUsed/>
    <w:rsid w:val="00753D54"/>
    <w:pPr>
      <w:overflowPunct w:val="0"/>
      <w:autoSpaceDE w:val="0"/>
      <w:autoSpaceDN w:val="0"/>
      <w:spacing w:after="120" w:line="480" w:lineRule="auto"/>
      <w:ind w:leftChars="200" w:left="480"/>
      <w:jc w:val="both"/>
    </w:pPr>
    <w:rPr>
      <w:rFonts w:ascii="標楷體"/>
    </w:rPr>
  </w:style>
  <w:style w:type="character" w:customStyle="1" w:styleId="23">
    <w:name w:val="本文縮排 2 字元"/>
    <w:link w:val="22"/>
    <w:uiPriority w:val="99"/>
    <w:semiHidden/>
    <w:rsid w:val="00753D54"/>
    <w:rPr>
      <w:rFonts w:ascii="標楷體" w:eastAsia="標楷體"/>
      <w:kern w:val="2"/>
      <w:sz w:val="32"/>
    </w:rPr>
  </w:style>
  <w:style w:type="paragraph" w:styleId="Web">
    <w:name w:val="Normal (Web)"/>
    <w:basedOn w:val="a6"/>
    <w:uiPriority w:val="99"/>
    <w:semiHidden/>
    <w:unhideWhenUsed/>
    <w:rsid w:val="00753D54"/>
    <w:pPr>
      <w:widowControl/>
      <w:spacing w:after="150" w:line="384" w:lineRule="atLeast"/>
    </w:pPr>
    <w:rPr>
      <w:rFonts w:ascii="新細明體" w:eastAsia="新細明體" w:hAnsi="新細明體" w:cs="新細明體"/>
      <w:kern w:val="0"/>
      <w:sz w:val="24"/>
      <w:szCs w:val="24"/>
    </w:rPr>
  </w:style>
  <w:style w:type="character" w:customStyle="1" w:styleId="font12blue1">
    <w:name w:val="font12blue1"/>
    <w:rsid w:val="00753D54"/>
    <w:rPr>
      <w:rFonts w:ascii="Arial Black" w:hAnsi="Arial Black" w:hint="default"/>
      <w:color w:val="288BBC"/>
    </w:rPr>
  </w:style>
  <w:style w:type="paragraph" w:styleId="aff5">
    <w:name w:val="Body Text"/>
    <w:basedOn w:val="a6"/>
    <w:link w:val="aff6"/>
    <w:uiPriority w:val="99"/>
    <w:semiHidden/>
    <w:unhideWhenUsed/>
    <w:rsid w:val="00753D54"/>
    <w:pPr>
      <w:overflowPunct w:val="0"/>
      <w:autoSpaceDE w:val="0"/>
      <w:autoSpaceDN w:val="0"/>
      <w:spacing w:after="120"/>
      <w:jc w:val="both"/>
    </w:pPr>
    <w:rPr>
      <w:rFonts w:ascii="標楷體"/>
    </w:rPr>
  </w:style>
  <w:style w:type="character" w:customStyle="1" w:styleId="aff6">
    <w:name w:val="本文 字元"/>
    <w:link w:val="aff5"/>
    <w:uiPriority w:val="99"/>
    <w:semiHidden/>
    <w:rsid w:val="00753D54"/>
    <w:rPr>
      <w:rFonts w:ascii="標楷體" w:eastAsia="標楷體"/>
      <w:kern w:val="2"/>
      <w:sz w:val="32"/>
    </w:rPr>
  </w:style>
  <w:style w:type="character" w:customStyle="1" w:styleId="af4">
    <w:name w:val="頁尾 字元"/>
    <w:link w:val="af3"/>
    <w:uiPriority w:val="99"/>
    <w:rsid w:val="00753D54"/>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dn.com/news/story/7238/20988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8A3F0-0166-4B54-A769-FB6C9BD2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1135</Words>
  <Characters>6474</Characters>
  <Application>Microsoft Office Word</Application>
  <DocSecurity>0</DocSecurity>
  <Lines>53</Lines>
  <Paragraphs>15</Paragraphs>
  <ScaleCrop>false</ScaleCrop>
  <Company>cy</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2</cp:revision>
  <cp:lastPrinted>2017-07-04T03:40:00Z</cp:lastPrinted>
  <dcterms:created xsi:type="dcterms:W3CDTF">2017-07-06T03:02:00Z</dcterms:created>
  <dcterms:modified xsi:type="dcterms:W3CDTF">2017-07-06T03:02:00Z</dcterms:modified>
</cp:coreProperties>
</file>