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52" w:rsidRPr="005B464B" w:rsidRDefault="00C82F32" w:rsidP="005B784B">
      <w:pPr>
        <w:pStyle w:val="af6"/>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r>
        <w:rPr>
          <w:rFonts w:hAnsi="標楷體" w:hint="eastAsia"/>
        </w:rPr>
        <w:t>調</w:t>
      </w:r>
      <w:r w:rsidR="00720C52" w:rsidRPr="005B464B">
        <w:rPr>
          <w:rFonts w:hAnsi="標楷體" w:hint="eastAsia"/>
        </w:rPr>
        <w:t>查報告</w:t>
      </w:r>
    </w:p>
    <w:p w:rsidR="00720C52" w:rsidRPr="005B464B" w:rsidRDefault="00720C52" w:rsidP="00720C52">
      <w:pPr>
        <w:pStyle w:val="1"/>
        <w:numPr>
          <w:ilvl w:val="0"/>
          <w:numId w:val="1"/>
        </w:numPr>
        <w:ind w:left="2380" w:hanging="2380"/>
        <w:rPr>
          <w:rFonts w:hAnsi="標楷體"/>
        </w:rPr>
      </w:pPr>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bookmarkStart w:id="47" w:name="_Toc484506755"/>
      <w:bookmarkStart w:id="48" w:name="_Toc485138843"/>
      <w:r w:rsidRPr="005B464B">
        <w:rPr>
          <w:rFonts w:hAnsi="標楷體" w:hint="eastAsia"/>
          <w:b/>
        </w:rPr>
        <w:t>案　　由</w:t>
      </w:r>
      <w:r w:rsidRPr="005B464B">
        <w:rPr>
          <w:rFonts w:hAnsi="標楷體" w:hint="eastAsia"/>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5B464B">
        <w:rPr>
          <w:rFonts w:hAnsi="標楷體" w:hint="eastAsia"/>
        </w:rPr>
        <w:t>公立大學整</w:t>
      </w:r>
      <w:proofErr w:type="gramStart"/>
      <w:r w:rsidRPr="005B464B">
        <w:rPr>
          <w:rFonts w:hAnsi="標楷體" w:hint="eastAsia"/>
        </w:rPr>
        <w:t>併</w:t>
      </w:r>
      <w:proofErr w:type="gramEnd"/>
      <w:r w:rsidRPr="005B464B">
        <w:rPr>
          <w:rFonts w:hAnsi="標楷體" w:hint="eastAsia"/>
        </w:rPr>
        <w:t>及私立大專校院退場影響教育品質及師生權益甚</w:t>
      </w:r>
      <w:proofErr w:type="gramStart"/>
      <w:r w:rsidRPr="005B464B">
        <w:rPr>
          <w:rFonts w:hAnsi="標楷體" w:hint="eastAsia"/>
        </w:rPr>
        <w:t>鉅</w:t>
      </w:r>
      <w:proofErr w:type="gramEnd"/>
      <w:r w:rsidRPr="005B464B">
        <w:rPr>
          <w:rFonts w:hAnsi="標楷體" w:hint="eastAsia"/>
        </w:rPr>
        <w:t>，為維護重大社會公益，其有關法規、制度及配套措施是否完備？權責機關之監督、執行有無善盡責任？</w:t>
      </w:r>
      <w:proofErr w:type="gramStart"/>
      <w:r w:rsidRPr="005B464B">
        <w:rPr>
          <w:rFonts w:hAnsi="標楷體" w:hint="eastAsia"/>
        </w:rPr>
        <w:t>均有深入</w:t>
      </w:r>
      <w:proofErr w:type="gramEnd"/>
      <w:r w:rsidRPr="005B464B">
        <w:rPr>
          <w:rFonts w:hAnsi="標楷體" w:hint="eastAsia"/>
        </w:rPr>
        <w:t>瞭解之必要案。</w:t>
      </w:r>
      <w:bookmarkEnd w:id="47"/>
      <w:bookmarkEnd w:id="48"/>
      <w:r w:rsidRPr="005B464B">
        <w:rPr>
          <w:rFonts w:hAnsi="標楷體"/>
        </w:rPr>
        <w:t xml:space="preserve"> </w:t>
      </w:r>
    </w:p>
    <w:p w:rsidR="00E25849" w:rsidRPr="005B464B" w:rsidRDefault="00FC7202" w:rsidP="004E05A1">
      <w:pPr>
        <w:pStyle w:val="1"/>
        <w:ind w:left="2380" w:hanging="2380"/>
        <w:rPr>
          <w:rFonts w:hAnsi="標楷體"/>
        </w:rPr>
      </w:pPr>
      <w:bookmarkStart w:id="49" w:name="_Toc485138861"/>
      <w:r w:rsidRPr="005B464B">
        <w:rPr>
          <w:rFonts w:hAnsi="標楷體" w:hint="eastAsia"/>
          <w:b/>
        </w:rPr>
        <w:t>調查意見</w:t>
      </w:r>
      <w:r w:rsidRPr="005B464B">
        <w:rPr>
          <w:rFonts w:hAnsi="標楷體"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49"/>
    </w:p>
    <w:p w:rsidR="002A3F6A" w:rsidRPr="005B464B" w:rsidRDefault="002A3F6A" w:rsidP="002A3F6A">
      <w:pPr>
        <w:pStyle w:val="11"/>
        <w:ind w:left="680" w:firstLine="680"/>
        <w:rPr>
          <w:rFonts w:hAnsi="標楷體"/>
          <w:szCs w:val="32"/>
        </w:rPr>
      </w:pPr>
      <w:bookmarkStart w:id="50" w:name="_Toc524902730"/>
      <w:r w:rsidRPr="005B464B">
        <w:rPr>
          <w:rFonts w:hAnsi="標楷體" w:hint="eastAsia"/>
        </w:rPr>
        <w:t>高等教育</w:t>
      </w:r>
      <w:r w:rsidR="00356DF7" w:rsidRPr="005B464B">
        <w:rPr>
          <w:rFonts w:hAnsi="標楷體" w:hint="eastAsia"/>
        </w:rPr>
        <w:t>乃人才培育的最後</w:t>
      </w:r>
      <w:proofErr w:type="gramStart"/>
      <w:r w:rsidR="00356DF7" w:rsidRPr="005B464B">
        <w:rPr>
          <w:rFonts w:hAnsi="標楷體" w:hint="eastAsia"/>
        </w:rPr>
        <w:t>一</w:t>
      </w:r>
      <w:proofErr w:type="gramEnd"/>
      <w:r w:rsidR="00356DF7" w:rsidRPr="005B464B">
        <w:rPr>
          <w:rFonts w:hAnsi="標楷體" w:hint="eastAsia"/>
        </w:rPr>
        <w:t>哩，更是國家競爭力所</w:t>
      </w:r>
      <w:proofErr w:type="gramStart"/>
      <w:r w:rsidR="00356DF7" w:rsidRPr="005B464B">
        <w:rPr>
          <w:rFonts w:hAnsi="標楷體" w:hint="eastAsia"/>
        </w:rPr>
        <w:t>繫</w:t>
      </w:r>
      <w:proofErr w:type="gramEnd"/>
      <w:r w:rsidR="00356DF7" w:rsidRPr="005B464B">
        <w:rPr>
          <w:rFonts w:hAnsi="標楷體" w:hint="eastAsia"/>
        </w:rPr>
        <w:t>；</w:t>
      </w:r>
      <w:r w:rsidRPr="005B464B">
        <w:rPr>
          <w:rFonts w:hAnsi="標楷體" w:hint="eastAsia"/>
        </w:rPr>
        <w:t>觀諸</w:t>
      </w:r>
      <w:r w:rsidRPr="005B464B">
        <w:rPr>
          <w:rFonts w:hAnsi="標楷體" w:hint="eastAsia"/>
          <w:szCs w:val="32"/>
        </w:rPr>
        <w:t>國際經驗，大</w:t>
      </w:r>
      <w:proofErr w:type="gramStart"/>
      <w:r w:rsidRPr="005B464B">
        <w:rPr>
          <w:rFonts w:hAnsi="標楷體" w:hint="eastAsia"/>
          <w:szCs w:val="32"/>
        </w:rPr>
        <w:t>學藉</w:t>
      </w:r>
      <w:proofErr w:type="gramEnd"/>
      <w:r w:rsidRPr="005B464B">
        <w:rPr>
          <w:rFonts w:hAnsi="標楷體" w:hint="eastAsia"/>
          <w:szCs w:val="32"/>
        </w:rPr>
        <w:t>由整</w:t>
      </w:r>
      <w:proofErr w:type="gramStart"/>
      <w:r w:rsidRPr="005B464B">
        <w:rPr>
          <w:rFonts w:hAnsi="標楷體" w:hint="eastAsia"/>
          <w:szCs w:val="32"/>
        </w:rPr>
        <w:t>併</w:t>
      </w:r>
      <w:proofErr w:type="gramEnd"/>
      <w:r w:rsidRPr="005B464B">
        <w:rPr>
          <w:rFonts w:hAnsi="標楷體" w:hint="eastAsia"/>
          <w:szCs w:val="32"/>
        </w:rPr>
        <w:t>以增強實力並擴展資源，業已風起雲湧，諸如中國自西元（下同）2000年起推動「985工程」</w:t>
      </w:r>
      <w:r w:rsidR="003F1604" w:rsidRPr="005B464B">
        <w:rPr>
          <w:rFonts w:hAnsi="標楷體" w:hint="eastAsia"/>
          <w:szCs w:val="32"/>
        </w:rPr>
        <w:t>，</w:t>
      </w:r>
      <w:r w:rsidRPr="005B464B">
        <w:rPr>
          <w:rFonts w:hAnsi="標楷體" w:hint="eastAsia"/>
          <w:szCs w:val="32"/>
        </w:rPr>
        <w:t>冀能「做</w:t>
      </w:r>
      <w:proofErr w:type="gramStart"/>
      <w:r w:rsidRPr="005B464B">
        <w:rPr>
          <w:rFonts w:hAnsi="標楷體" w:hint="eastAsia"/>
          <w:szCs w:val="32"/>
        </w:rPr>
        <w:t>大做強</w:t>
      </w:r>
      <w:proofErr w:type="gramEnd"/>
      <w:r w:rsidRPr="005B464B">
        <w:rPr>
          <w:rFonts w:hAnsi="標楷體" w:hint="eastAsia"/>
          <w:szCs w:val="32"/>
        </w:rPr>
        <w:t>」百所大學，渠後之「211工程」更著眼於大學整</w:t>
      </w:r>
      <w:proofErr w:type="gramStart"/>
      <w:r w:rsidRPr="005B464B">
        <w:rPr>
          <w:rFonts w:hAnsi="標楷體" w:hint="eastAsia"/>
          <w:szCs w:val="32"/>
        </w:rPr>
        <w:t>併</w:t>
      </w:r>
      <w:proofErr w:type="gramEnd"/>
      <w:r w:rsidRPr="005B464B">
        <w:rPr>
          <w:rFonts w:hAnsi="標楷體" w:hint="eastAsia"/>
          <w:szCs w:val="32"/>
        </w:rPr>
        <w:t>之策劃與落實；比我國更早面臨高齡且少子女化社會現象挑戰</w:t>
      </w:r>
      <w:r w:rsidR="00356DF7" w:rsidRPr="005B464B">
        <w:rPr>
          <w:rFonts w:hAnsi="標楷體" w:hint="eastAsia"/>
          <w:szCs w:val="32"/>
        </w:rPr>
        <w:t>的日本</w:t>
      </w:r>
      <w:r w:rsidRPr="005B464B">
        <w:rPr>
          <w:rFonts w:hAnsi="標楷體" w:hint="eastAsia"/>
          <w:szCs w:val="32"/>
        </w:rPr>
        <w:t>，自2001年起亦推出國立大學結構改革方案</w:t>
      </w:r>
      <w:r w:rsidRPr="005B464B">
        <w:rPr>
          <w:rStyle w:val="aff2"/>
          <w:rFonts w:hAnsi="標楷體"/>
          <w:szCs w:val="32"/>
        </w:rPr>
        <w:footnoteReference w:id="1"/>
      </w:r>
      <w:r w:rsidRPr="005B464B">
        <w:rPr>
          <w:rFonts w:hAnsi="標楷體" w:hint="eastAsia"/>
          <w:szCs w:val="32"/>
        </w:rPr>
        <w:t>，大幅減少該國國立大學數量即為其中策略之</w:t>
      </w:r>
      <w:proofErr w:type="gramStart"/>
      <w:r w:rsidRPr="005B464B">
        <w:rPr>
          <w:rFonts w:hAnsi="標楷體" w:hint="eastAsia"/>
          <w:szCs w:val="32"/>
        </w:rPr>
        <w:t>一</w:t>
      </w:r>
      <w:proofErr w:type="gramEnd"/>
      <w:r w:rsidRPr="005B464B">
        <w:rPr>
          <w:rFonts w:hAnsi="標楷體" w:hint="eastAsia"/>
          <w:szCs w:val="32"/>
        </w:rPr>
        <w:t>。</w:t>
      </w:r>
    </w:p>
    <w:p w:rsidR="002A3F6A" w:rsidRPr="005B464B" w:rsidRDefault="00356DF7" w:rsidP="002A3F6A">
      <w:pPr>
        <w:pStyle w:val="11"/>
        <w:overflowPunct/>
        <w:ind w:left="680" w:firstLine="680"/>
        <w:rPr>
          <w:rFonts w:hAnsi="標楷體"/>
          <w:szCs w:val="32"/>
        </w:rPr>
      </w:pPr>
      <w:r w:rsidRPr="005B464B">
        <w:rPr>
          <w:rFonts w:hAnsi="標楷體" w:hint="eastAsia"/>
        </w:rPr>
        <w:t>過去20年</w:t>
      </w:r>
      <w:r w:rsidR="002A3F6A" w:rsidRPr="005B464B">
        <w:rPr>
          <w:rFonts w:hAnsi="標楷體" w:hint="eastAsia"/>
          <w:szCs w:val="32"/>
        </w:rPr>
        <w:t>我國高等教育</w:t>
      </w:r>
      <w:r w:rsidR="002A3F6A" w:rsidRPr="005B464B">
        <w:rPr>
          <w:rFonts w:hAnsi="標楷體" w:hint="eastAsia"/>
        </w:rPr>
        <w:t>學校總量急速擴張後，又遭逢</w:t>
      </w:r>
      <w:r w:rsidRPr="005B464B">
        <w:rPr>
          <w:rFonts w:hAnsi="標楷體" w:hint="eastAsia"/>
        </w:rPr>
        <w:t>難以逆轉人口老化與低出生率的挑戰</w:t>
      </w:r>
      <w:r w:rsidR="002A3F6A" w:rsidRPr="005B464B">
        <w:rPr>
          <w:rFonts w:hAnsi="標楷體" w:hint="eastAsia"/>
        </w:rPr>
        <w:t>，致大學</w:t>
      </w:r>
      <w:r w:rsidRPr="005B464B">
        <w:rPr>
          <w:rFonts w:hAnsi="標楷體" w:hint="eastAsia"/>
        </w:rPr>
        <w:t>之</w:t>
      </w:r>
      <w:r w:rsidR="00D32F40" w:rsidRPr="005B464B">
        <w:rPr>
          <w:rFonts w:hAnsi="標楷體" w:hint="eastAsia"/>
        </w:rPr>
        <w:t>經營</w:t>
      </w:r>
      <w:r w:rsidRPr="005B464B">
        <w:rPr>
          <w:rFonts w:hAnsi="標楷體" w:hint="eastAsia"/>
        </w:rPr>
        <w:t>益顯困難</w:t>
      </w:r>
      <w:r w:rsidR="002A3F6A" w:rsidRPr="005B464B">
        <w:rPr>
          <w:rFonts w:hAnsi="標楷體" w:hint="eastAsia"/>
        </w:rPr>
        <w:t>；有鑑於此，教育部前部長吳思華曾於民國（下同）103年提出5年後大學</w:t>
      </w:r>
      <w:proofErr w:type="gramStart"/>
      <w:r w:rsidR="002A3F6A" w:rsidRPr="005B464B">
        <w:rPr>
          <w:rFonts w:hAnsi="標楷體" w:hint="eastAsia"/>
        </w:rPr>
        <w:t>應瘦身至</w:t>
      </w:r>
      <w:proofErr w:type="gramEnd"/>
      <w:r w:rsidR="002A3F6A" w:rsidRPr="005B464B">
        <w:rPr>
          <w:rFonts w:hAnsi="標楷體" w:hint="eastAsia"/>
        </w:rPr>
        <w:t>100所的目標，教育部更於104年表示，112學年</w:t>
      </w:r>
      <w:r w:rsidR="00D263AE" w:rsidRPr="005B464B">
        <w:rPr>
          <w:rFonts w:hAnsi="標楷體" w:hint="eastAsia"/>
        </w:rPr>
        <w:t>度</w:t>
      </w:r>
      <w:r w:rsidR="002A3F6A" w:rsidRPr="005B464B">
        <w:rPr>
          <w:rFonts w:hAnsi="標楷體" w:hint="eastAsia"/>
        </w:rPr>
        <w:t>的大專學生人數將比102學年減少31.5</w:t>
      </w:r>
      <w:r w:rsidR="00D263AE" w:rsidRPr="005B464B">
        <w:rPr>
          <w:rFonts w:hAnsi="標楷體" w:hint="eastAsia"/>
        </w:rPr>
        <w:t>萬人，以每名學生學費各新臺幣（下同）5萬元（公立）和10萬元（私立）估算</w:t>
      </w:r>
      <w:r w:rsidR="002A3F6A" w:rsidRPr="005B464B">
        <w:rPr>
          <w:rFonts w:hAnsi="標楷體" w:hint="eastAsia"/>
        </w:rPr>
        <w:t>，高教學費收入勢將減少300億元，因而公布「高等教育創新轉型方案」</w:t>
      </w:r>
      <w:r w:rsidR="002A3F6A" w:rsidRPr="005B464B">
        <w:rPr>
          <w:rFonts w:hAnsi="標楷體"/>
        </w:rPr>
        <w:t>，預估</w:t>
      </w:r>
      <w:r w:rsidR="002A3F6A" w:rsidRPr="005B464B">
        <w:rPr>
          <w:rFonts w:hAnsi="標楷體" w:hint="eastAsia"/>
        </w:rPr>
        <w:t>國內應有</w:t>
      </w:r>
      <w:r w:rsidR="002A3F6A" w:rsidRPr="005B464B">
        <w:rPr>
          <w:rFonts w:hAnsi="標楷體"/>
        </w:rPr>
        <w:t>60所大學</w:t>
      </w:r>
      <w:r w:rsidR="002A3F6A" w:rsidRPr="005B464B">
        <w:rPr>
          <w:rFonts w:hAnsi="標楷體" w:hint="eastAsia"/>
        </w:rPr>
        <w:t>需</w:t>
      </w:r>
      <w:r w:rsidR="002A3F6A" w:rsidRPr="005B464B">
        <w:rPr>
          <w:rFonts w:hAnsi="標楷體"/>
        </w:rPr>
        <w:t>退場</w:t>
      </w:r>
      <w:r w:rsidR="002A3F6A" w:rsidRPr="005B464B">
        <w:rPr>
          <w:rFonts w:hAnsi="標楷體" w:hint="eastAsia"/>
        </w:rPr>
        <w:t>，包含20至40所私校的退場和8至12所國立大學之整</w:t>
      </w:r>
      <w:proofErr w:type="gramStart"/>
      <w:r w:rsidR="002A3F6A" w:rsidRPr="005B464B">
        <w:rPr>
          <w:rFonts w:hAnsi="標楷體" w:hint="eastAsia"/>
        </w:rPr>
        <w:t>併</w:t>
      </w:r>
      <w:proofErr w:type="gramEnd"/>
      <w:r w:rsidR="002A3F6A" w:rsidRPr="005B464B">
        <w:rPr>
          <w:rStyle w:val="aff2"/>
          <w:rFonts w:hAnsi="標楷體"/>
        </w:rPr>
        <w:footnoteReference w:id="2"/>
      </w:r>
      <w:r w:rsidR="002A3F6A" w:rsidRPr="005B464B">
        <w:rPr>
          <w:rFonts w:hAnsi="標楷體" w:hint="eastAsia"/>
          <w:szCs w:val="32"/>
        </w:rPr>
        <w:t>。</w:t>
      </w:r>
      <w:r w:rsidR="00D263AE" w:rsidRPr="005B464B">
        <w:rPr>
          <w:rFonts w:hAnsi="標楷體" w:hint="eastAsia"/>
          <w:szCs w:val="32"/>
        </w:rPr>
        <w:t>大學之整</w:t>
      </w:r>
      <w:proofErr w:type="gramStart"/>
      <w:r w:rsidR="00D263AE" w:rsidRPr="005B464B">
        <w:rPr>
          <w:rFonts w:hAnsi="標楷體" w:hint="eastAsia"/>
          <w:szCs w:val="32"/>
        </w:rPr>
        <w:t>併</w:t>
      </w:r>
      <w:proofErr w:type="gramEnd"/>
      <w:r w:rsidR="00D263AE" w:rsidRPr="005B464B">
        <w:rPr>
          <w:rFonts w:hAnsi="標楷體" w:hint="eastAsia"/>
          <w:szCs w:val="32"/>
        </w:rPr>
        <w:t>與退場顯然已成為</w:t>
      </w:r>
      <w:r w:rsidR="00D263AE" w:rsidRPr="005B464B">
        <w:rPr>
          <w:rFonts w:hAnsi="標楷體" w:hint="eastAsia"/>
          <w:szCs w:val="32"/>
        </w:rPr>
        <w:lastRenderedPageBreak/>
        <w:t>當前教育政策之重大課題，更為維繫提升高等教育品質與競爭力之重要策略，其實施情形與效益值得關注，是以本院</w:t>
      </w:r>
      <w:proofErr w:type="gramStart"/>
      <w:r w:rsidR="00D263AE" w:rsidRPr="005B464B">
        <w:rPr>
          <w:rFonts w:hAnsi="標楷體" w:hint="eastAsia"/>
          <w:szCs w:val="32"/>
        </w:rPr>
        <w:t>特</w:t>
      </w:r>
      <w:proofErr w:type="gramEnd"/>
      <w:r w:rsidR="00D263AE" w:rsidRPr="005B464B">
        <w:rPr>
          <w:rFonts w:hAnsi="標楷體" w:hint="eastAsia"/>
          <w:szCs w:val="32"/>
        </w:rPr>
        <w:t>予立案調查</w:t>
      </w:r>
      <w:r w:rsidR="002A3F6A" w:rsidRPr="005B464B">
        <w:rPr>
          <w:rFonts w:hAnsi="標楷體" w:hint="eastAsia"/>
          <w:szCs w:val="32"/>
        </w:rPr>
        <w:t>。</w:t>
      </w:r>
    </w:p>
    <w:p w:rsidR="00703C9E" w:rsidRPr="005B464B" w:rsidRDefault="003F1604" w:rsidP="002A3F6A">
      <w:pPr>
        <w:pStyle w:val="11"/>
        <w:ind w:left="680" w:firstLine="680"/>
      </w:pPr>
      <w:r w:rsidRPr="005B464B">
        <w:rPr>
          <w:rFonts w:hAnsi="標楷體" w:hint="eastAsia"/>
        </w:rPr>
        <w:t>基於前兩案</w:t>
      </w:r>
      <w:r w:rsidRPr="005B464B">
        <w:rPr>
          <w:rStyle w:val="aff2"/>
          <w:rFonts w:hAnsi="標楷體"/>
        </w:rPr>
        <w:footnoteReference w:id="3"/>
      </w:r>
      <w:r w:rsidRPr="005B464B">
        <w:rPr>
          <w:rFonts w:hAnsi="標楷體" w:hint="eastAsia"/>
        </w:rPr>
        <w:t>之基礎架構，本案經調閱行政院、國家發展委員會（下稱國發會）及教育部等機關卷證資料</w:t>
      </w:r>
      <w:r w:rsidRPr="005B464B">
        <w:rPr>
          <w:rStyle w:val="aff2"/>
          <w:rFonts w:hAnsi="標楷體"/>
        </w:rPr>
        <w:footnoteReference w:id="4"/>
      </w:r>
      <w:r w:rsidRPr="005B464B">
        <w:rPr>
          <w:rFonts w:hAnsi="標楷體" w:hint="eastAsia"/>
        </w:rPr>
        <w:t>，並於105年12月7日邀請國立屏東大學教授林俊昇(國立屏東商業技術學院前校長)、文藻外語大學校長周守民(國立</w:t>
      </w:r>
      <w:proofErr w:type="gramStart"/>
      <w:r w:rsidRPr="005B464B">
        <w:rPr>
          <w:rFonts w:hAnsi="標楷體" w:hint="eastAsia"/>
        </w:rPr>
        <w:t>臺</w:t>
      </w:r>
      <w:proofErr w:type="gramEnd"/>
      <w:r w:rsidRPr="005B464B">
        <w:rPr>
          <w:rFonts w:hAnsi="標楷體" w:hint="eastAsia"/>
        </w:rPr>
        <w:t>中護理專科學校前校長)、教育部前政務次長陳德華、亞洲大學講座教授楊國賜(國立嘉義技術學院前校長)、中華大學教授戴曉霞等人到院提供諮詢意見；復於同年月12日、106年1月6日、2月10日、3月22日、3月23日、4月18日、4月19日及21日分赴國立屏東大學、國立</w:t>
      </w:r>
      <w:proofErr w:type="gramStart"/>
      <w:r w:rsidRPr="005B464B">
        <w:rPr>
          <w:rFonts w:hAnsi="標楷體" w:hint="eastAsia"/>
        </w:rPr>
        <w:t>臺</w:t>
      </w:r>
      <w:proofErr w:type="gramEnd"/>
      <w:r w:rsidRPr="005B464B">
        <w:rPr>
          <w:rFonts w:hAnsi="標楷體" w:hint="eastAsia"/>
        </w:rPr>
        <w:t>中科技大學、永達技術學院、高鳳學校財團法人屏東縣</w:t>
      </w:r>
      <w:proofErr w:type="gramStart"/>
      <w:r w:rsidRPr="005B464B">
        <w:rPr>
          <w:rFonts w:hAnsi="標楷體" w:hint="eastAsia"/>
        </w:rPr>
        <w:t>私立崇</w:t>
      </w:r>
      <w:proofErr w:type="gramEnd"/>
      <w:r w:rsidRPr="005B464B">
        <w:rPr>
          <w:rFonts w:hAnsi="標楷體" w:hint="eastAsia"/>
        </w:rPr>
        <w:t>華國民小學（下稱崇華國小）、國立高雄海洋科技大學、國立高雄應用科技大學、國立高雄第一科技大學、育達科技大學、康寧大學</w:t>
      </w:r>
      <w:proofErr w:type="gramStart"/>
      <w:r w:rsidRPr="005B464B">
        <w:rPr>
          <w:rFonts w:hAnsi="標楷體" w:hint="eastAsia"/>
        </w:rPr>
        <w:t>臺</w:t>
      </w:r>
      <w:proofErr w:type="gramEnd"/>
      <w:r w:rsidRPr="005B464B">
        <w:rPr>
          <w:rFonts w:hAnsi="標楷體" w:hint="eastAsia"/>
        </w:rPr>
        <w:t>南校區、中信金融管理學院及聖約翰科技大學等校進行現場履</w:t>
      </w:r>
      <w:proofErr w:type="gramStart"/>
      <w:r w:rsidRPr="005B464B">
        <w:rPr>
          <w:rFonts w:hAnsi="標楷體" w:hint="eastAsia"/>
        </w:rPr>
        <w:t>勘</w:t>
      </w:r>
      <w:proofErr w:type="gramEnd"/>
      <w:r w:rsidRPr="005B464B">
        <w:rPr>
          <w:rFonts w:hAnsi="標楷體" w:hint="eastAsia"/>
        </w:rPr>
        <w:t>暨各校代表座談，同時邀請國立中山大學教授林煥祥(國立花蓮教育大學前校長)與朝陽科技大學教授黃富順(國立嘉義師範學院前校長)，分別參加國立屏東大學與國立</w:t>
      </w:r>
      <w:proofErr w:type="gramStart"/>
      <w:r w:rsidRPr="005B464B">
        <w:rPr>
          <w:rFonts w:hAnsi="標楷體" w:hint="eastAsia"/>
        </w:rPr>
        <w:t>臺</w:t>
      </w:r>
      <w:proofErr w:type="gramEnd"/>
      <w:r w:rsidRPr="005B464B">
        <w:rPr>
          <w:rFonts w:hAnsi="標楷體" w:hint="eastAsia"/>
        </w:rPr>
        <w:t>中科技大學場次之座談以提供諮詢意見，各場履</w:t>
      </w:r>
      <w:proofErr w:type="gramStart"/>
      <w:r w:rsidRPr="005B464B">
        <w:rPr>
          <w:rFonts w:hAnsi="標楷體" w:hint="eastAsia"/>
        </w:rPr>
        <w:t>勘</w:t>
      </w:r>
      <w:proofErr w:type="gramEnd"/>
      <w:r w:rsidRPr="005B464B">
        <w:rPr>
          <w:rFonts w:hAnsi="標楷體" w:hint="eastAsia"/>
        </w:rPr>
        <w:t>暨座談會均通知教育部主管人員陪同，並就本案調查委員提問</w:t>
      </w:r>
      <w:r w:rsidRPr="005B464B">
        <w:rPr>
          <w:rFonts w:hAnsi="標楷體"/>
        </w:rPr>
        <w:t>進行說</w:t>
      </w:r>
      <w:r w:rsidRPr="005B464B">
        <w:rPr>
          <w:rFonts w:hAnsi="標楷體"/>
        </w:rPr>
        <w:lastRenderedPageBreak/>
        <w:t>明</w:t>
      </w:r>
      <w:r w:rsidRPr="005B464B">
        <w:rPr>
          <w:rFonts w:hAnsi="標楷體" w:hint="eastAsia"/>
        </w:rPr>
        <w:t>；</w:t>
      </w:r>
      <w:proofErr w:type="gramStart"/>
      <w:r w:rsidRPr="005B464B">
        <w:rPr>
          <w:rFonts w:hAnsi="標楷體" w:hint="eastAsia"/>
        </w:rPr>
        <w:t>嗣</w:t>
      </w:r>
      <w:proofErr w:type="gramEnd"/>
      <w:r w:rsidRPr="005B464B">
        <w:rPr>
          <w:rFonts w:hAnsi="標楷體" w:hint="eastAsia"/>
        </w:rPr>
        <w:t>於同年3月10日與13日院外訪談國立政治大學校長周行一與教育部前部長吳思華，以蒐羅有關意見；復於同年3月20日邀請醒吾科技大學前校長周添城、龍華科技大學校長葛自祥及</w:t>
      </w:r>
      <w:r w:rsidRPr="005B464B">
        <w:rPr>
          <w:rFonts w:hAnsi="標楷體" w:hint="eastAsia"/>
          <w:lang w:eastAsia="zh-HK"/>
        </w:rPr>
        <w:t>東吳</w:t>
      </w:r>
      <w:r w:rsidRPr="005B464B">
        <w:rPr>
          <w:rFonts w:hAnsi="標楷體" w:hint="eastAsia"/>
        </w:rPr>
        <w:t>大學</w:t>
      </w:r>
      <w:r w:rsidRPr="005B464B">
        <w:rPr>
          <w:rFonts w:hAnsi="標楷體" w:hint="eastAsia"/>
          <w:lang w:eastAsia="zh-HK"/>
        </w:rPr>
        <w:t>副校長</w:t>
      </w:r>
      <w:r w:rsidRPr="005B464B">
        <w:rPr>
          <w:rFonts w:hAnsi="標楷體" w:hint="eastAsia"/>
        </w:rPr>
        <w:t>董保城等人到院提供諮詢意見；又於同年5月1日邀請南華大學校長林聰明(教育部前次長)、國立清華大學教授彭宗平(元智大學前校長)、國立政治大學教授湯志民(臺北市政府教育局前局長)、中國醫藥大學講座教授黃榮村(教育部前部長)、</w:t>
      </w:r>
      <w:r w:rsidRPr="005B464B">
        <w:rPr>
          <w:rFonts w:hAnsi="標楷體"/>
        </w:rPr>
        <w:t>國立政治大學</w:t>
      </w:r>
      <w:r w:rsidRPr="005B464B">
        <w:rPr>
          <w:rFonts w:hAnsi="標楷體" w:hint="eastAsia"/>
        </w:rPr>
        <w:t>教授劉宗德等人到院提供諮詢意見；本案調查委員更於106年3月27日本院教育及文化、內政及少數民族委員會聯合巡察國立</w:t>
      </w:r>
      <w:proofErr w:type="gramStart"/>
      <w:r w:rsidRPr="005B464B">
        <w:rPr>
          <w:rFonts w:hAnsi="標楷體" w:hint="eastAsia"/>
        </w:rPr>
        <w:t>臺</w:t>
      </w:r>
      <w:proofErr w:type="gramEnd"/>
      <w:r w:rsidRPr="005B464B">
        <w:rPr>
          <w:rFonts w:hAnsi="標楷體" w:hint="eastAsia"/>
        </w:rPr>
        <w:t>南藝術大學時，瞭解該校與國立成功大學合併之曲折。</w:t>
      </w:r>
      <w:r w:rsidR="00EB180F" w:rsidRPr="005B464B">
        <w:rPr>
          <w:rFonts w:hint="eastAsia"/>
        </w:rPr>
        <w:t>全案業經</w:t>
      </w:r>
      <w:r w:rsidR="00EB180F" w:rsidRPr="005B464B">
        <w:rPr>
          <w:rFonts w:hAnsi="標楷體" w:hint="eastAsia"/>
        </w:rPr>
        <w:t>調查完竣</w:t>
      </w:r>
      <w:r w:rsidR="00EB180F" w:rsidRPr="005B464B">
        <w:rPr>
          <w:rFonts w:hint="eastAsia"/>
        </w:rPr>
        <w:t>，</w:t>
      </w:r>
      <w:proofErr w:type="gramStart"/>
      <w:r w:rsidR="00EB180F" w:rsidRPr="005B464B">
        <w:rPr>
          <w:rFonts w:hint="eastAsia"/>
        </w:rPr>
        <w:t>列述調查</w:t>
      </w:r>
      <w:proofErr w:type="gramEnd"/>
      <w:r w:rsidR="00EB180F" w:rsidRPr="005B464B">
        <w:rPr>
          <w:rFonts w:hint="eastAsia"/>
        </w:rPr>
        <w:t>意見如下：</w:t>
      </w:r>
    </w:p>
    <w:p w:rsidR="00D263AE" w:rsidRPr="005B464B" w:rsidRDefault="00D263AE" w:rsidP="002A3F6A">
      <w:pPr>
        <w:pStyle w:val="11"/>
        <w:ind w:left="680" w:firstLine="680"/>
        <w:rPr>
          <w:rFonts w:hAnsi="標楷體"/>
        </w:rPr>
      </w:pPr>
    </w:p>
    <w:p w:rsidR="00152A1B" w:rsidRPr="005B464B" w:rsidRDefault="00D32F40" w:rsidP="00E53741">
      <w:pPr>
        <w:pStyle w:val="11"/>
        <w:numPr>
          <w:ilvl w:val="0"/>
          <w:numId w:val="40"/>
        </w:numPr>
        <w:ind w:leftChars="0" w:left="426" w:firstLineChars="0"/>
        <w:rPr>
          <w:rFonts w:hAnsi="標楷體"/>
          <w:b/>
        </w:rPr>
      </w:pPr>
      <w:r w:rsidRPr="005B464B">
        <w:rPr>
          <w:rFonts w:hAnsi="標楷體" w:hint="eastAsia"/>
          <w:b/>
        </w:rPr>
        <w:t>總面向</w:t>
      </w:r>
      <w:r w:rsidR="008B4C80" w:rsidRPr="005B464B">
        <w:rPr>
          <w:rFonts w:hAnsi="標楷體" w:hint="eastAsia"/>
          <w:b/>
        </w:rPr>
        <w:t>：</w:t>
      </w:r>
    </w:p>
    <w:p w:rsidR="00D974E1" w:rsidRPr="005B464B" w:rsidRDefault="00EB51DB" w:rsidP="00181A44">
      <w:pPr>
        <w:pStyle w:val="2"/>
      </w:pPr>
      <w:bookmarkStart w:id="51" w:name="_Toc485138862"/>
      <w:r w:rsidRPr="005B464B">
        <w:rPr>
          <w:rFonts w:hint="eastAsia"/>
          <w:b/>
        </w:rPr>
        <w:t>自</w:t>
      </w:r>
      <w:r w:rsidR="002F1AC7" w:rsidRPr="005B464B">
        <w:rPr>
          <w:rFonts w:hint="eastAsia"/>
          <w:b/>
        </w:rPr>
        <w:t>85</w:t>
      </w:r>
      <w:r w:rsidRPr="005B464B">
        <w:rPr>
          <w:rFonts w:hint="eastAsia"/>
          <w:b/>
        </w:rPr>
        <w:t>年起，在</w:t>
      </w:r>
      <w:r w:rsidRPr="005B464B">
        <w:rPr>
          <w:rFonts w:hAnsi="標楷體" w:hint="eastAsia"/>
          <w:b/>
        </w:rPr>
        <w:t>「廣設大學」</w:t>
      </w:r>
      <w:r w:rsidRPr="005B464B">
        <w:rPr>
          <w:rFonts w:ascii="新細明體" w:eastAsia="新細明體" w:hAnsi="新細明體" w:hint="eastAsia"/>
          <w:b/>
        </w:rPr>
        <w:t>、</w:t>
      </w:r>
      <w:r w:rsidRPr="005B464B">
        <w:rPr>
          <w:rFonts w:hAnsi="標楷體" w:hint="eastAsia"/>
          <w:b/>
        </w:rPr>
        <w:t>「</w:t>
      </w:r>
      <w:proofErr w:type="gramStart"/>
      <w:r w:rsidRPr="005B464B">
        <w:rPr>
          <w:rFonts w:hAnsi="標楷體" w:hint="eastAsia"/>
          <w:b/>
        </w:rPr>
        <w:t>一</w:t>
      </w:r>
      <w:proofErr w:type="gramEnd"/>
      <w:r w:rsidRPr="005B464B">
        <w:rPr>
          <w:rFonts w:hAnsi="標楷體" w:hint="eastAsia"/>
          <w:b/>
        </w:rPr>
        <w:t>縣市</w:t>
      </w:r>
      <w:proofErr w:type="gramStart"/>
      <w:r w:rsidRPr="005B464B">
        <w:rPr>
          <w:rFonts w:hAnsi="標楷體" w:hint="eastAsia"/>
          <w:b/>
        </w:rPr>
        <w:t>一</w:t>
      </w:r>
      <w:proofErr w:type="gramEnd"/>
      <w:r w:rsidRPr="005B464B">
        <w:rPr>
          <w:rFonts w:hAnsi="標楷體" w:hint="eastAsia"/>
          <w:b/>
        </w:rPr>
        <w:t>大學」政策指引下，</w:t>
      </w:r>
      <w:r w:rsidRPr="005B464B">
        <w:rPr>
          <w:rFonts w:hint="eastAsia"/>
          <w:b/>
        </w:rPr>
        <w:t>公私立大專校院數量</w:t>
      </w:r>
      <w:proofErr w:type="gramStart"/>
      <w:r w:rsidRPr="005B464B">
        <w:rPr>
          <w:rFonts w:hint="eastAsia"/>
          <w:b/>
        </w:rPr>
        <w:t>遽</w:t>
      </w:r>
      <w:proofErr w:type="gramEnd"/>
      <w:r w:rsidRPr="005B464B">
        <w:rPr>
          <w:rFonts w:hint="eastAsia"/>
          <w:b/>
        </w:rPr>
        <w:t>增</w:t>
      </w:r>
      <w:r w:rsidR="002F1AC7" w:rsidRPr="005B464B">
        <w:rPr>
          <w:rFonts w:hint="eastAsia"/>
          <w:b/>
        </w:rPr>
        <w:t>，</w:t>
      </w:r>
      <w:r w:rsidR="00B8693E" w:rsidRPr="005B464B">
        <w:rPr>
          <w:rFonts w:hint="eastAsia"/>
          <w:b/>
        </w:rPr>
        <w:t>從</w:t>
      </w:r>
      <w:r w:rsidR="002F1AC7" w:rsidRPr="005B464B">
        <w:rPr>
          <w:rFonts w:hint="eastAsia"/>
          <w:b/>
        </w:rPr>
        <w:t>85</w:t>
      </w:r>
      <w:r w:rsidR="00D263AE" w:rsidRPr="005B464B">
        <w:rPr>
          <w:rFonts w:hint="eastAsia"/>
          <w:b/>
        </w:rPr>
        <w:t>年</w:t>
      </w:r>
      <w:r w:rsidR="00076FAC" w:rsidRPr="005B464B">
        <w:rPr>
          <w:rFonts w:hint="eastAsia"/>
          <w:b/>
        </w:rPr>
        <w:t>的</w:t>
      </w:r>
      <w:r w:rsidR="002F1AC7" w:rsidRPr="005B464B">
        <w:rPr>
          <w:b/>
        </w:rPr>
        <w:t>67</w:t>
      </w:r>
      <w:r w:rsidR="002F1AC7" w:rsidRPr="005B464B">
        <w:rPr>
          <w:rFonts w:hint="eastAsia"/>
          <w:b/>
        </w:rPr>
        <w:t>所</w:t>
      </w:r>
      <w:r w:rsidR="00194B29">
        <w:rPr>
          <w:rFonts w:hint="eastAsia"/>
          <w:b/>
        </w:rPr>
        <w:t>急速</w:t>
      </w:r>
      <w:r w:rsidR="00076FAC" w:rsidRPr="005B464B">
        <w:rPr>
          <w:rFonts w:hint="eastAsia"/>
          <w:b/>
        </w:rPr>
        <w:t>增</w:t>
      </w:r>
      <w:r w:rsidR="002F1AC7" w:rsidRPr="005B464B">
        <w:rPr>
          <w:rFonts w:hint="eastAsia"/>
          <w:b/>
        </w:rPr>
        <w:t>至89學年</w:t>
      </w:r>
      <w:r w:rsidR="00076FAC" w:rsidRPr="005B464B">
        <w:rPr>
          <w:rFonts w:hint="eastAsia"/>
          <w:b/>
        </w:rPr>
        <w:t>的</w:t>
      </w:r>
      <w:r w:rsidR="002F1AC7" w:rsidRPr="005B464B">
        <w:rPr>
          <w:rFonts w:hint="eastAsia"/>
          <w:b/>
        </w:rPr>
        <w:t>150所</w:t>
      </w:r>
      <w:r w:rsidR="00226CA4" w:rsidRPr="005B464B">
        <w:rPr>
          <w:rFonts w:hint="eastAsia"/>
          <w:b/>
        </w:rPr>
        <w:t>。而於</w:t>
      </w:r>
      <w:r w:rsidRPr="005B464B">
        <w:rPr>
          <w:rFonts w:hint="eastAsia"/>
          <w:b/>
        </w:rPr>
        <w:t>大量專科升格、</w:t>
      </w:r>
      <w:r w:rsidR="00A13BDC" w:rsidRPr="005B464B">
        <w:rPr>
          <w:rFonts w:hint="eastAsia"/>
          <w:b/>
        </w:rPr>
        <w:t>技職教育大學化的同時，我國高中生人數卻</w:t>
      </w:r>
      <w:r w:rsidRPr="005B464B">
        <w:rPr>
          <w:rFonts w:hint="eastAsia"/>
          <w:b/>
        </w:rPr>
        <w:t>由</w:t>
      </w:r>
      <w:r w:rsidR="00AA73CC" w:rsidRPr="005B464B">
        <w:rPr>
          <w:rFonts w:hint="eastAsia"/>
          <w:b/>
        </w:rPr>
        <w:t>99萬餘</w:t>
      </w:r>
      <w:r w:rsidRPr="005B464B">
        <w:rPr>
          <w:rFonts w:hint="eastAsia"/>
          <w:b/>
        </w:rPr>
        <w:t>人逐年下降至</w:t>
      </w:r>
      <w:r w:rsidR="00AA73CC" w:rsidRPr="005B464B">
        <w:rPr>
          <w:rFonts w:hint="eastAsia"/>
          <w:b/>
        </w:rPr>
        <w:t>95萬餘</w:t>
      </w:r>
      <w:r w:rsidRPr="005B464B">
        <w:rPr>
          <w:rFonts w:hint="eastAsia"/>
          <w:b/>
        </w:rPr>
        <w:t>人，</w:t>
      </w:r>
      <w:r w:rsidR="00471BC5" w:rsidRPr="005B464B">
        <w:rPr>
          <w:rFonts w:hint="eastAsia"/>
          <w:b/>
        </w:rPr>
        <w:t>足見</w:t>
      </w:r>
      <w:r w:rsidR="00181A44" w:rsidRPr="005B464B">
        <w:rPr>
          <w:rFonts w:hint="eastAsia"/>
          <w:b/>
        </w:rPr>
        <w:t>教育部未善盡政策規劃職責及</w:t>
      </w:r>
      <w:r w:rsidR="0005396C" w:rsidRPr="005B464B">
        <w:rPr>
          <w:rFonts w:hint="eastAsia"/>
          <w:b/>
        </w:rPr>
        <w:t>學</w:t>
      </w:r>
      <w:r w:rsidR="00181A44" w:rsidRPr="005B464B">
        <w:rPr>
          <w:rFonts w:hint="eastAsia"/>
          <w:b/>
        </w:rPr>
        <w:t>校數量控管</w:t>
      </w:r>
      <w:r w:rsidR="00617865" w:rsidRPr="005B464B">
        <w:rPr>
          <w:rFonts w:hint="eastAsia"/>
          <w:b/>
        </w:rPr>
        <w:t>。</w:t>
      </w:r>
      <w:r w:rsidR="00A818A1" w:rsidRPr="005B464B">
        <w:rPr>
          <w:rFonts w:hint="eastAsia"/>
          <w:b/>
        </w:rPr>
        <w:t>復以</w:t>
      </w:r>
      <w:r w:rsidR="00D974E1" w:rsidRPr="005B464B">
        <w:rPr>
          <w:rFonts w:hint="eastAsia"/>
          <w:b/>
        </w:rPr>
        <w:t>亦未妥盡政策論理辯護，致大學合併</w:t>
      </w:r>
      <w:r w:rsidR="00500031" w:rsidRPr="005B464B">
        <w:rPr>
          <w:rFonts w:hint="eastAsia"/>
          <w:b/>
        </w:rPr>
        <w:t>及退場</w:t>
      </w:r>
      <w:r w:rsidR="00D974E1" w:rsidRPr="005B464B">
        <w:rPr>
          <w:rFonts w:hint="eastAsia"/>
          <w:b/>
        </w:rPr>
        <w:t>之時程與效益，</w:t>
      </w:r>
      <w:proofErr w:type="gramStart"/>
      <w:r w:rsidR="00D974E1" w:rsidRPr="005B464B">
        <w:rPr>
          <w:rFonts w:hint="eastAsia"/>
          <w:b/>
        </w:rPr>
        <w:t>均與</w:t>
      </w:r>
      <w:proofErr w:type="gramEnd"/>
      <w:r w:rsidR="00D974E1" w:rsidRPr="005B464B">
        <w:rPr>
          <w:rFonts w:hAnsi="標楷體" w:hint="eastAsia"/>
          <w:b/>
        </w:rPr>
        <w:t>「大學法」</w:t>
      </w:r>
      <w:r w:rsidR="00D974E1" w:rsidRPr="005B464B">
        <w:rPr>
          <w:rFonts w:hint="eastAsia"/>
          <w:b/>
        </w:rPr>
        <w:t>立法意旨及社會期待相</w:t>
      </w:r>
      <w:r w:rsidR="006B6730" w:rsidRPr="005B464B">
        <w:rPr>
          <w:rFonts w:hint="eastAsia"/>
          <w:b/>
        </w:rPr>
        <w:t>去</w:t>
      </w:r>
      <w:r w:rsidR="00D974E1" w:rsidRPr="005B464B">
        <w:rPr>
          <w:rFonts w:hint="eastAsia"/>
          <w:b/>
        </w:rPr>
        <w:t>甚遠，</w:t>
      </w:r>
      <w:proofErr w:type="gramStart"/>
      <w:r w:rsidR="00D974E1" w:rsidRPr="005B464B">
        <w:rPr>
          <w:rFonts w:hint="eastAsia"/>
          <w:b/>
        </w:rPr>
        <w:t>斲</w:t>
      </w:r>
      <w:proofErr w:type="gramEnd"/>
      <w:r w:rsidR="00D974E1" w:rsidRPr="005B464B">
        <w:rPr>
          <w:rFonts w:hint="eastAsia"/>
          <w:b/>
        </w:rPr>
        <w:t>傷我國高等教育整體競爭力與資源綜效</w:t>
      </w:r>
      <w:r w:rsidR="00787DC9" w:rsidRPr="005B464B">
        <w:rPr>
          <w:rFonts w:hint="eastAsia"/>
          <w:b/>
          <w:kern w:val="0"/>
        </w:rPr>
        <w:t>，</w:t>
      </w:r>
      <w:proofErr w:type="gramStart"/>
      <w:r w:rsidR="00787DC9" w:rsidRPr="005B464B">
        <w:rPr>
          <w:rFonts w:hint="eastAsia"/>
          <w:b/>
          <w:kern w:val="0"/>
        </w:rPr>
        <w:t>均待行政院</w:t>
      </w:r>
      <w:proofErr w:type="gramEnd"/>
      <w:r w:rsidR="00787DC9" w:rsidRPr="005B464B">
        <w:rPr>
          <w:rFonts w:hint="eastAsia"/>
          <w:b/>
          <w:kern w:val="0"/>
        </w:rPr>
        <w:t>積極督導盤整</w:t>
      </w:r>
      <w:r w:rsidR="00181A44" w:rsidRPr="005B464B">
        <w:rPr>
          <w:rFonts w:hint="eastAsia"/>
        </w:rPr>
        <w:t>。</w:t>
      </w:r>
      <w:bookmarkEnd w:id="51"/>
    </w:p>
    <w:p w:rsidR="00D974E1" w:rsidRPr="005B464B" w:rsidRDefault="00D974E1" w:rsidP="00D974E1">
      <w:pPr>
        <w:pStyle w:val="3"/>
        <w:numPr>
          <w:ilvl w:val="2"/>
          <w:numId w:val="1"/>
        </w:numPr>
      </w:pPr>
      <w:r w:rsidRPr="005B464B">
        <w:rPr>
          <w:rFonts w:hAnsi="標楷體" w:hint="eastAsia"/>
        </w:rPr>
        <w:t>「</w:t>
      </w:r>
      <w:r w:rsidRPr="005B464B">
        <w:rPr>
          <w:rFonts w:hint="eastAsia"/>
        </w:rPr>
        <w:t>教育部組織法</w:t>
      </w:r>
      <w:r w:rsidRPr="005B464B">
        <w:rPr>
          <w:rFonts w:hAnsi="標楷體" w:hint="eastAsia"/>
        </w:rPr>
        <w:t>」</w:t>
      </w:r>
      <w:r w:rsidRPr="005B464B">
        <w:rPr>
          <w:rFonts w:hint="eastAsia"/>
        </w:rPr>
        <w:t>第2條略</w:t>
      </w:r>
      <w:proofErr w:type="gramStart"/>
      <w:r w:rsidRPr="005B464B">
        <w:rPr>
          <w:rFonts w:hint="eastAsia"/>
        </w:rPr>
        <w:t>以</w:t>
      </w:r>
      <w:proofErr w:type="gramEnd"/>
      <w:r w:rsidRPr="005B464B">
        <w:rPr>
          <w:rFonts w:hint="eastAsia"/>
        </w:rPr>
        <w:t>，</w:t>
      </w:r>
      <w:r w:rsidRPr="005B464B">
        <w:rPr>
          <w:rFonts w:ascii="Times New Roman" w:hAnsi="Times New Roman" w:hint="eastAsia"/>
        </w:rPr>
        <w:t>教育部執掌我國高等教育與技術職業教育政策之規劃、大專校院發展、招生、資源分配、品質提升及行政監督等事宜</w:t>
      </w:r>
      <w:r w:rsidRPr="005B464B">
        <w:rPr>
          <w:rFonts w:hint="eastAsia"/>
        </w:rPr>
        <w:t>；另按</w:t>
      </w:r>
      <w:r w:rsidRPr="005B464B">
        <w:rPr>
          <w:rFonts w:hAnsi="標楷體" w:hint="eastAsia"/>
        </w:rPr>
        <w:t>「</w:t>
      </w:r>
      <w:r w:rsidRPr="005B464B">
        <w:rPr>
          <w:rFonts w:hint="eastAsia"/>
        </w:rPr>
        <w:t>大學法</w:t>
      </w:r>
      <w:r w:rsidRPr="005B464B">
        <w:rPr>
          <w:rFonts w:hAnsi="標楷體" w:hint="eastAsia"/>
        </w:rPr>
        <w:t>」</w:t>
      </w:r>
      <w:r w:rsidRPr="005B464B">
        <w:rPr>
          <w:rStyle w:val="aff2"/>
        </w:rPr>
        <w:footnoteReference w:id="5"/>
      </w:r>
      <w:r w:rsidRPr="005B464B">
        <w:rPr>
          <w:rFonts w:hint="eastAsia"/>
        </w:rPr>
        <w:t>，</w:t>
      </w:r>
      <w:proofErr w:type="gramStart"/>
      <w:r w:rsidRPr="005B464B">
        <w:rPr>
          <w:rFonts w:hint="eastAsia"/>
        </w:rPr>
        <w:t>教育部得衡酌</w:t>
      </w:r>
      <w:proofErr w:type="gramEnd"/>
      <w:r w:rsidRPr="005B464B">
        <w:rPr>
          <w:rFonts w:hint="eastAsia"/>
        </w:rPr>
        <w:t>高等教育整體發展，</w:t>
      </w:r>
      <w:r w:rsidRPr="005B464B">
        <w:rPr>
          <w:rFonts w:hint="eastAsia"/>
        </w:rPr>
        <w:lastRenderedPageBreak/>
        <w:t>擬訂國立大學合併計畫報行政院核定後，由各該國立大學執行(第7條第2項參照)；前項合併之條件、程序、經費補助與行政協助方式、合併計畫內容、合併國立大學之權利與義務及其他相關事項之辦法，由教育部定之(第7條第3項參照)。</w:t>
      </w:r>
      <w:proofErr w:type="gramStart"/>
      <w:r w:rsidRPr="005B464B">
        <w:rPr>
          <w:rFonts w:hint="eastAsia"/>
        </w:rPr>
        <w:t>此外，</w:t>
      </w:r>
      <w:proofErr w:type="gramEnd"/>
      <w:r w:rsidRPr="005B464B">
        <w:rPr>
          <w:rFonts w:hAnsi="標楷體" w:hint="eastAsia"/>
        </w:rPr>
        <w:t>「</w:t>
      </w:r>
      <w:r w:rsidRPr="005B464B">
        <w:rPr>
          <w:rFonts w:hint="eastAsia"/>
        </w:rPr>
        <w:t>專科以上學校及其分校分部專科部技術型高級中等學校部設立變更停辦辦法</w:t>
      </w:r>
      <w:r w:rsidRPr="005B464B">
        <w:rPr>
          <w:rFonts w:hAnsi="標楷體" w:hint="eastAsia"/>
        </w:rPr>
        <w:t>」</w:t>
      </w:r>
      <w:r w:rsidRPr="005B464B">
        <w:rPr>
          <w:rFonts w:hint="eastAsia"/>
        </w:rPr>
        <w:t>第25條亦明文，</w:t>
      </w:r>
      <w:proofErr w:type="gramStart"/>
      <w:r w:rsidRPr="005B464B">
        <w:rPr>
          <w:rFonts w:hint="eastAsia"/>
        </w:rPr>
        <w:t>教育部得衡酌</w:t>
      </w:r>
      <w:proofErr w:type="gramEnd"/>
      <w:r w:rsidRPr="005B464B">
        <w:rPr>
          <w:rFonts w:hint="eastAsia"/>
        </w:rPr>
        <w:t>高等教育發展趨勢、專科以上學校分布狀況及教育資源配置情形，建議及協助專科以上學校進行合併規劃。</w:t>
      </w:r>
      <w:proofErr w:type="gramStart"/>
      <w:r w:rsidRPr="005B464B">
        <w:rPr>
          <w:rFonts w:hint="eastAsia"/>
        </w:rPr>
        <w:t>準</w:t>
      </w:r>
      <w:proofErr w:type="gramEnd"/>
      <w:r w:rsidRPr="005B464B">
        <w:rPr>
          <w:rFonts w:hint="eastAsia"/>
        </w:rPr>
        <w:t>此，教育部為我國國立大學合併事宜之主管機關，且該部推動國立大學合併，應以有效協助學校整合教育資源及提升整體競爭力為目標(</w:t>
      </w:r>
      <w:r w:rsidRPr="005B464B">
        <w:rPr>
          <w:rFonts w:hAnsi="標楷體" w:hint="eastAsia"/>
        </w:rPr>
        <w:t>「</w:t>
      </w:r>
      <w:r w:rsidRPr="005B464B">
        <w:rPr>
          <w:rFonts w:hint="eastAsia"/>
        </w:rPr>
        <w:t>國立大學合併推動辦法</w:t>
      </w:r>
      <w:r w:rsidRPr="005B464B">
        <w:rPr>
          <w:rFonts w:hAnsi="標楷體" w:hint="eastAsia"/>
        </w:rPr>
        <w:t>」</w:t>
      </w:r>
      <w:r w:rsidRPr="005B464B">
        <w:rPr>
          <w:rFonts w:hint="eastAsia"/>
        </w:rPr>
        <w:t>第2條參照)。</w:t>
      </w:r>
      <w:proofErr w:type="gramStart"/>
      <w:r w:rsidR="00787DC9" w:rsidRPr="005B464B">
        <w:rPr>
          <w:rFonts w:hint="eastAsia"/>
        </w:rPr>
        <w:t>復按</w:t>
      </w:r>
      <w:proofErr w:type="gramEnd"/>
      <w:r w:rsidR="00787DC9" w:rsidRPr="005B464B">
        <w:rPr>
          <w:rFonts w:hAnsi="標楷體" w:hint="eastAsia"/>
          <w:szCs w:val="32"/>
        </w:rPr>
        <w:t>「私立學校法」</w:t>
      </w:r>
      <w:r w:rsidR="00787DC9" w:rsidRPr="005B464B">
        <w:rPr>
          <w:rFonts w:hint="eastAsia"/>
        </w:rPr>
        <w:t>第55條規定，</w:t>
      </w:r>
      <w:r w:rsidR="00787DC9" w:rsidRPr="005B464B">
        <w:rPr>
          <w:rFonts w:hAnsi="標楷體" w:hint="eastAsia"/>
          <w:szCs w:val="32"/>
        </w:rPr>
        <w:t>「</w:t>
      </w:r>
      <w:r w:rsidR="00787DC9" w:rsidRPr="005B464B">
        <w:rPr>
          <w:rFonts w:hint="eastAsia"/>
        </w:rPr>
        <w:t>學校法人所設私立學校辦理不善、違反本法或有關教育法規，經學校主管機關糾正或限期整頓改善，屆期仍未改善者，經徵詢『私立學校諮詢會』</w:t>
      </w:r>
      <w:r w:rsidR="00093D2B" w:rsidRPr="005B464B">
        <w:rPr>
          <w:rStyle w:val="aff2"/>
          <w:rFonts w:hAnsi="標楷體"/>
        </w:rPr>
        <w:footnoteReference w:id="6"/>
      </w:r>
      <w:r w:rsidR="00787DC9" w:rsidRPr="005B464B">
        <w:rPr>
          <w:rFonts w:hint="eastAsia"/>
        </w:rPr>
        <w:t>意見後，視其情節輕重為下列處分</w:t>
      </w:r>
      <w:r w:rsidR="00787DC9" w:rsidRPr="005B464B">
        <w:rPr>
          <w:rFonts w:hAnsi="標楷體" w:hint="eastAsia"/>
        </w:rPr>
        <w:t>：</w:t>
      </w:r>
      <w:r w:rsidR="00787DC9" w:rsidRPr="005B464B">
        <w:rPr>
          <w:rFonts w:hAnsi="標楷體" w:hint="eastAsia"/>
          <w:szCs w:val="32"/>
        </w:rPr>
        <w:t>一、停止所設私立學校部分或全部之獎勵、補助。二、停止所設私立學校部分或全部班級之招生。」</w:t>
      </w:r>
      <w:r w:rsidR="00787DC9" w:rsidRPr="005B464B">
        <w:rPr>
          <w:rFonts w:hint="eastAsia"/>
        </w:rPr>
        <w:t>同法第70條第1項規定，</w:t>
      </w:r>
      <w:r w:rsidR="00787DC9" w:rsidRPr="005B464B">
        <w:rPr>
          <w:rFonts w:hAnsi="標楷體" w:hint="eastAsia"/>
        </w:rPr>
        <w:t>「</w:t>
      </w:r>
      <w:r w:rsidR="00787DC9" w:rsidRPr="005B464B">
        <w:rPr>
          <w:rFonts w:hint="eastAsia"/>
        </w:rPr>
        <w:t>私立學校有下列情形之</w:t>
      </w:r>
      <w:proofErr w:type="gramStart"/>
      <w:r w:rsidR="00787DC9" w:rsidRPr="005B464B">
        <w:rPr>
          <w:rFonts w:hint="eastAsia"/>
        </w:rPr>
        <w:t>一</w:t>
      </w:r>
      <w:proofErr w:type="gramEnd"/>
      <w:r w:rsidR="00787DC9" w:rsidRPr="005B464B">
        <w:rPr>
          <w:rFonts w:hint="eastAsia"/>
        </w:rPr>
        <w:t>者，其學校法人應報經學校主管機關核定後停辦</w:t>
      </w:r>
      <w:r w:rsidR="00787DC9" w:rsidRPr="005B464B">
        <w:rPr>
          <w:rFonts w:hAnsi="標楷體" w:hint="eastAsia"/>
        </w:rPr>
        <w:t>：一、辦學目的有窒礙難行，或遭遇重大困難不能繼續辦理。二、經學校主管機關依本法規定限期命其為適法之處置，或整頓改善，屆期未處置、改善，或處置、改善無效果。」同條第2項</w:t>
      </w:r>
      <w:r w:rsidR="00787DC9" w:rsidRPr="005B464B">
        <w:rPr>
          <w:rFonts w:hAnsi="標楷體" w:hint="eastAsia"/>
        </w:rPr>
        <w:lastRenderedPageBreak/>
        <w:t>規定：「前項情形，學校法人未自行申請學校主管機關核定停辦者，學校主管機關於必要時徵詢</w:t>
      </w:r>
      <w:r w:rsidR="00787DC9" w:rsidRPr="005B464B">
        <w:rPr>
          <w:rFonts w:hint="eastAsia"/>
        </w:rPr>
        <w:t>『</w:t>
      </w:r>
      <w:r w:rsidR="00787DC9" w:rsidRPr="005B464B">
        <w:rPr>
          <w:rFonts w:hAnsi="標楷體" w:hint="eastAsia"/>
        </w:rPr>
        <w:t>私立學校諮詢會</w:t>
      </w:r>
      <w:r w:rsidR="00787DC9" w:rsidRPr="005B464B">
        <w:rPr>
          <w:rFonts w:hint="eastAsia"/>
        </w:rPr>
        <w:t>』</w:t>
      </w:r>
      <w:r w:rsidR="00787DC9" w:rsidRPr="005B464B">
        <w:rPr>
          <w:rFonts w:hAnsi="標楷體" w:hint="eastAsia"/>
        </w:rPr>
        <w:t>意見後，得命其停辦。」</w:t>
      </w:r>
    </w:p>
    <w:p w:rsidR="00D974E1" w:rsidRPr="005B464B" w:rsidRDefault="00D974E1" w:rsidP="00D974E1">
      <w:pPr>
        <w:pStyle w:val="3"/>
        <w:numPr>
          <w:ilvl w:val="2"/>
          <w:numId w:val="1"/>
        </w:numPr>
        <w:overflowPunct/>
        <w:ind w:left="1360" w:hanging="680"/>
        <w:rPr>
          <w:lang w:eastAsia="x-none"/>
        </w:rPr>
      </w:pPr>
      <w:r w:rsidRPr="005B464B">
        <w:rPr>
          <w:rFonts w:hint="eastAsia"/>
        </w:rPr>
        <w:t>茲依</w:t>
      </w:r>
      <w:r w:rsidRPr="005B464B">
        <w:rPr>
          <w:rFonts w:hint="eastAsia"/>
          <w:bCs w:val="0"/>
          <w:kern w:val="0"/>
          <w:lang w:val="x-none"/>
        </w:rPr>
        <w:t>國家發展委員會</w:t>
      </w:r>
      <w:r w:rsidRPr="005B464B">
        <w:rPr>
          <w:rFonts w:hAnsi="標楷體" w:hint="eastAsia"/>
        </w:rPr>
        <w:t>（下稱</w:t>
      </w:r>
      <w:r w:rsidRPr="005B464B">
        <w:rPr>
          <w:rFonts w:hint="eastAsia"/>
        </w:rPr>
        <w:t>國發會</w:t>
      </w:r>
      <w:r w:rsidRPr="005B464B">
        <w:rPr>
          <w:rFonts w:hAnsi="標楷體" w:hint="eastAsia"/>
        </w:rPr>
        <w:t>）</w:t>
      </w:r>
      <w:r w:rsidRPr="005B464B">
        <w:rPr>
          <w:rFonts w:hint="eastAsia"/>
        </w:rPr>
        <w:t>重要統計資料略述，70年時我國人口出生數有41萬4千餘人，此後逐年減少</w:t>
      </w:r>
      <w:r w:rsidR="00AF2F85" w:rsidRPr="005B464B">
        <w:rPr>
          <w:rFonts w:hint="eastAsia"/>
        </w:rPr>
        <w:t>，</w:t>
      </w:r>
      <w:r w:rsidRPr="005B464B">
        <w:rPr>
          <w:rFonts w:hint="eastAsia"/>
        </w:rPr>
        <w:t>至96年</w:t>
      </w:r>
      <w:r w:rsidR="00AF2F85" w:rsidRPr="005B464B">
        <w:rPr>
          <w:rFonts w:hint="eastAsia"/>
        </w:rPr>
        <w:t>時</w:t>
      </w:r>
      <w:r w:rsidRPr="005B464B">
        <w:rPr>
          <w:rFonts w:hint="eastAsia"/>
        </w:rPr>
        <w:t>，出生人數較之前者，已折半減少至20萬4千餘人，於99年甚至下降為16萬7千餘人之低點，推估至108年以降，</w:t>
      </w:r>
      <w:proofErr w:type="gramStart"/>
      <w:r w:rsidRPr="005B464B">
        <w:rPr>
          <w:rFonts w:hint="eastAsia"/>
        </w:rPr>
        <w:t>均為20萬</w:t>
      </w:r>
      <w:proofErr w:type="gramEnd"/>
      <w:r w:rsidRPr="005B464B">
        <w:rPr>
          <w:rFonts w:hint="eastAsia"/>
        </w:rPr>
        <w:t>人以下(詳如下表</w:t>
      </w:r>
      <w:r w:rsidR="005C5DEC" w:rsidRPr="005B464B">
        <w:rPr>
          <w:rFonts w:hint="eastAsia"/>
        </w:rPr>
        <w:t>1</w:t>
      </w:r>
      <w:r w:rsidRPr="005B464B">
        <w:rPr>
          <w:rFonts w:hint="eastAsia"/>
        </w:rPr>
        <w:t>6)；少子女化趨勢早已逾越教育部</w:t>
      </w:r>
      <w:r w:rsidRPr="005B464B">
        <w:rPr>
          <w:rFonts w:hAnsi="標楷體" w:hint="eastAsia"/>
        </w:rPr>
        <w:t>內部分析及控制之機制。事實上，教育</w:t>
      </w:r>
      <w:r w:rsidR="003D1FC6" w:rsidRPr="005B464B">
        <w:rPr>
          <w:rFonts w:hint="eastAsia"/>
        </w:rPr>
        <w:t>部統計處</w:t>
      </w:r>
      <w:r w:rsidRPr="005B464B">
        <w:rPr>
          <w:rFonts w:hint="eastAsia"/>
        </w:rPr>
        <w:t>早自93學年度起，</w:t>
      </w:r>
      <w:r w:rsidR="003D1FC6" w:rsidRPr="005B464B">
        <w:rPr>
          <w:rFonts w:hint="eastAsia"/>
        </w:rPr>
        <w:t>每</w:t>
      </w:r>
      <w:r w:rsidRPr="005B464B">
        <w:rPr>
          <w:rFonts w:hint="eastAsia"/>
        </w:rPr>
        <w:t>年均提出技職體系招生呈現困境，應針對招生不足、評鑑成績不佳科系、未達專業評鑑標準或招生缺額過高之學校，予以</w:t>
      </w:r>
      <w:proofErr w:type="gramStart"/>
      <w:r w:rsidRPr="005B464B">
        <w:rPr>
          <w:rFonts w:hint="eastAsia"/>
        </w:rPr>
        <w:t>停招或減招</w:t>
      </w:r>
      <w:proofErr w:type="gramEnd"/>
      <w:r w:rsidRPr="005B464B">
        <w:rPr>
          <w:rFonts w:hint="eastAsia"/>
        </w:rPr>
        <w:t>、新設學校之註冊率普遍不高，部分</w:t>
      </w:r>
      <w:proofErr w:type="gramStart"/>
      <w:r w:rsidRPr="005B464B">
        <w:rPr>
          <w:rFonts w:hint="eastAsia"/>
        </w:rPr>
        <w:t>學制生源不足</w:t>
      </w:r>
      <w:proofErr w:type="gramEnd"/>
      <w:r w:rsidRPr="005B464B">
        <w:rPr>
          <w:rFonts w:hint="eastAsia"/>
        </w:rPr>
        <w:t>，須配合需求調整</w:t>
      </w:r>
      <w:r w:rsidRPr="005B464B">
        <w:rPr>
          <w:rFonts w:hint="eastAsia"/>
          <w:b/>
        </w:rPr>
        <w:t>，</w:t>
      </w:r>
      <w:r w:rsidRPr="005B464B">
        <w:rPr>
          <w:rFonts w:hint="eastAsia"/>
        </w:rPr>
        <w:t>以適應社會脈動及就業市場需求等意見</w:t>
      </w:r>
      <w:r w:rsidRPr="005B464B">
        <w:rPr>
          <w:vertAlign w:val="superscript"/>
        </w:rPr>
        <w:footnoteReference w:id="7"/>
      </w:r>
      <w:r w:rsidRPr="005B464B">
        <w:rPr>
          <w:rFonts w:hint="eastAsia"/>
        </w:rPr>
        <w:t>；至105年，該部發表「104學年大專校院新生註冊率變動分析」</w:t>
      </w:r>
      <w:r w:rsidRPr="005B464B">
        <w:rPr>
          <w:rStyle w:val="aff2"/>
        </w:rPr>
        <w:footnoteReference w:id="8"/>
      </w:r>
      <w:r w:rsidRPr="005B464B">
        <w:rPr>
          <w:rFonts w:hint="eastAsia"/>
        </w:rPr>
        <w:t>指出：「我國高等教育由菁英化轉移至普及化發展，大學錄取率屢創新高，惟近10年新生註冊率呈增減互見之勢，98及102學年度更回落至</w:t>
      </w:r>
      <w:proofErr w:type="gramStart"/>
      <w:r w:rsidRPr="005B464B">
        <w:rPr>
          <w:rFonts w:hint="eastAsia"/>
        </w:rPr>
        <w:t>8成</w:t>
      </w:r>
      <w:proofErr w:type="gramEnd"/>
      <w:r w:rsidRPr="005B464B">
        <w:rPr>
          <w:rFonts w:hint="eastAsia"/>
        </w:rPr>
        <w:t>以下，顯示招生供需出現失衡現象，加上國內出生率逐年降低對</w:t>
      </w:r>
      <w:proofErr w:type="gramStart"/>
      <w:r w:rsidRPr="005B464B">
        <w:rPr>
          <w:rFonts w:hint="eastAsia"/>
        </w:rPr>
        <w:t>高教生源之</w:t>
      </w:r>
      <w:proofErr w:type="gramEnd"/>
      <w:r w:rsidRPr="005B464B">
        <w:rPr>
          <w:rFonts w:hint="eastAsia"/>
        </w:rPr>
        <w:t>影響，預期將</w:t>
      </w:r>
      <w:r w:rsidR="00383CC1" w:rsidRPr="005B464B">
        <w:rPr>
          <w:rFonts w:hint="eastAsia"/>
        </w:rPr>
        <w:t>自</w:t>
      </w:r>
      <w:r w:rsidRPr="005B464B">
        <w:rPr>
          <w:rFonts w:hint="eastAsia"/>
        </w:rPr>
        <w:t>105學年起明顯出現，若干大專校院可能面臨資源閒置或被迫退場景況。」等語；日前(106年3月29日)教育部於立法院教育及文化委員會專題報告時更預估，117學年度大專校院學士班和專科人數將降為72.3萬人，較102學年度減少41.3萬人，15年內減少比率將近</w:t>
      </w:r>
      <w:proofErr w:type="gramStart"/>
      <w:r w:rsidRPr="005B464B">
        <w:rPr>
          <w:rFonts w:hint="eastAsia"/>
        </w:rPr>
        <w:t>4</w:t>
      </w:r>
      <w:r w:rsidRPr="005B464B">
        <w:rPr>
          <w:rFonts w:hint="eastAsia"/>
        </w:rPr>
        <w:lastRenderedPageBreak/>
        <w:t>成</w:t>
      </w:r>
      <w:proofErr w:type="gramEnd"/>
      <w:r w:rsidRPr="005B464B">
        <w:rPr>
          <w:rStyle w:val="aff2"/>
          <w:bCs w:val="0"/>
          <w:kern w:val="0"/>
          <w:lang w:val="x-none"/>
        </w:rPr>
        <w:footnoteReference w:id="9"/>
      </w:r>
      <w:r w:rsidRPr="005B464B">
        <w:rPr>
          <w:rFonts w:hint="eastAsia"/>
        </w:rPr>
        <w:t>；均揭露我國高等教育</w:t>
      </w:r>
      <w:proofErr w:type="gramStart"/>
      <w:r w:rsidRPr="005B464B">
        <w:rPr>
          <w:rFonts w:hint="eastAsia"/>
        </w:rPr>
        <w:t>面臨生源不足</w:t>
      </w:r>
      <w:proofErr w:type="gramEnd"/>
      <w:r w:rsidRPr="005B464B">
        <w:rPr>
          <w:rFonts w:hint="eastAsia"/>
        </w:rPr>
        <w:t>之困境。</w:t>
      </w:r>
    </w:p>
    <w:p w:rsidR="001B2201" w:rsidRPr="005B464B" w:rsidRDefault="001B2201" w:rsidP="001B2201"/>
    <w:p w:rsidR="00D974E1" w:rsidRPr="005B464B" w:rsidRDefault="00D974E1" w:rsidP="002F7397">
      <w:pPr>
        <w:pStyle w:val="a3"/>
        <w:jc w:val="center"/>
      </w:pPr>
      <w:r w:rsidRPr="005B464B">
        <w:rPr>
          <w:rFonts w:hint="eastAsia"/>
        </w:rPr>
        <w:t>我國</w:t>
      </w:r>
      <w:r w:rsidRPr="005B464B">
        <w:t>50至1</w:t>
      </w:r>
      <w:r w:rsidRPr="005B464B">
        <w:rPr>
          <w:rFonts w:hint="eastAsia"/>
        </w:rPr>
        <w:t>50</w:t>
      </w:r>
      <w:r w:rsidRPr="005B464B">
        <w:t>年</w:t>
      </w:r>
      <w:r w:rsidRPr="005B464B">
        <w:rPr>
          <w:rFonts w:hint="eastAsia"/>
        </w:rPr>
        <w:t>之人口統計及推</w:t>
      </w:r>
      <w:proofErr w:type="gramStart"/>
      <w:r w:rsidRPr="005B464B">
        <w:rPr>
          <w:rFonts w:hint="eastAsia"/>
        </w:rPr>
        <w:t>估摘述</w:t>
      </w:r>
      <w:proofErr w:type="gramEnd"/>
    </w:p>
    <w:tbl>
      <w:tblPr>
        <w:tblW w:w="4077" w:type="pct"/>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31"/>
        <w:gridCol w:w="2387"/>
        <w:gridCol w:w="2410"/>
      </w:tblGrid>
      <w:tr w:rsidR="00E53741" w:rsidRPr="005B464B" w:rsidTr="005C5DEC">
        <w:trPr>
          <w:trHeight w:val="300"/>
          <w:tblHeader/>
        </w:trPr>
        <w:tc>
          <w:tcPr>
            <w:tcW w:w="2431" w:type="dxa"/>
            <w:shd w:val="clear" w:color="auto" w:fill="auto"/>
            <w:vAlign w:val="center"/>
          </w:tcPr>
          <w:p w:rsidR="00D974E1" w:rsidRPr="005B464B" w:rsidRDefault="00D974E1" w:rsidP="001C64D2">
            <w:pPr>
              <w:spacing w:line="300" w:lineRule="exact"/>
              <w:jc w:val="center"/>
              <w:outlineLvl w:val="4"/>
              <w:rPr>
                <w:rFonts w:hAnsi="標楷體"/>
                <w:b/>
                <w:bCs/>
                <w:sz w:val="26"/>
                <w:szCs w:val="26"/>
              </w:rPr>
            </w:pPr>
            <w:proofErr w:type="gramStart"/>
            <w:r w:rsidRPr="005B464B">
              <w:rPr>
                <w:rFonts w:hAnsi="標楷體" w:hint="eastAsia"/>
                <w:b/>
                <w:bCs/>
                <w:sz w:val="26"/>
                <w:szCs w:val="26"/>
              </w:rPr>
              <w:t>年別</w:t>
            </w:r>
            <w:proofErr w:type="gramEnd"/>
          </w:p>
        </w:tc>
        <w:tc>
          <w:tcPr>
            <w:tcW w:w="2387" w:type="dxa"/>
            <w:shd w:val="clear" w:color="auto" w:fill="auto"/>
            <w:vAlign w:val="center"/>
          </w:tcPr>
          <w:p w:rsidR="00D974E1" w:rsidRPr="005B464B" w:rsidRDefault="00D974E1" w:rsidP="001C64D2">
            <w:pPr>
              <w:spacing w:line="300" w:lineRule="exact"/>
              <w:jc w:val="center"/>
              <w:outlineLvl w:val="4"/>
              <w:rPr>
                <w:rFonts w:hAnsi="標楷體"/>
                <w:b/>
                <w:bCs/>
                <w:sz w:val="26"/>
                <w:szCs w:val="26"/>
              </w:rPr>
            </w:pPr>
            <w:r w:rsidRPr="005B464B">
              <w:rPr>
                <w:rFonts w:hAnsi="標楷體"/>
                <w:b/>
                <w:bCs/>
                <w:sz w:val="26"/>
                <w:szCs w:val="26"/>
              </w:rPr>
              <w:t>總人口(百萬人</w:t>
            </w:r>
            <w:r w:rsidRPr="005B464B">
              <w:rPr>
                <w:rFonts w:hAnsi="標楷體" w:hint="eastAsia"/>
                <w:b/>
                <w:bCs/>
                <w:sz w:val="26"/>
                <w:szCs w:val="26"/>
              </w:rPr>
              <w:t>)</w:t>
            </w:r>
          </w:p>
        </w:tc>
        <w:tc>
          <w:tcPr>
            <w:tcW w:w="2410" w:type="dxa"/>
            <w:shd w:val="clear" w:color="auto" w:fill="auto"/>
            <w:vAlign w:val="center"/>
          </w:tcPr>
          <w:p w:rsidR="00D974E1" w:rsidRPr="005B464B" w:rsidRDefault="00D974E1" w:rsidP="001C64D2">
            <w:pPr>
              <w:spacing w:line="300" w:lineRule="exact"/>
              <w:jc w:val="center"/>
              <w:outlineLvl w:val="4"/>
              <w:rPr>
                <w:rFonts w:hAnsi="標楷體"/>
                <w:b/>
                <w:bCs/>
                <w:sz w:val="26"/>
                <w:szCs w:val="26"/>
              </w:rPr>
            </w:pPr>
            <w:r w:rsidRPr="005B464B">
              <w:rPr>
                <w:rFonts w:hAnsi="標楷體" w:hint="eastAsia"/>
                <w:b/>
                <w:bCs/>
                <w:sz w:val="26"/>
                <w:szCs w:val="26"/>
              </w:rPr>
              <w:t>出生數(千人)</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50年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11.2</w:t>
            </w:r>
          </w:p>
        </w:tc>
        <w:tc>
          <w:tcPr>
            <w:tcW w:w="2410" w:type="dxa"/>
            <w:shd w:val="clear" w:color="auto" w:fill="auto"/>
            <w:vAlign w:val="center"/>
          </w:tcPr>
          <w:p w:rsidR="00D974E1" w:rsidRPr="005B464B" w:rsidRDefault="00D974E1" w:rsidP="001C64D2">
            <w:pPr>
              <w:adjustRightInd w:val="0"/>
              <w:snapToGrid w:val="0"/>
              <w:spacing w:line="320" w:lineRule="exact"/>
              <w:jc w:val="center"/>
              <w:rPr>
                <w:rFonts w:cs="Arial Unicode MS"/>
                <w:kern w:val="0"/>
                <w:sz w:val="26"/>
                <w:szCs w:val="26"/>
              </w:rPr>
            </w:pPr>
            <w:r w:rsidRPr="005B464B">
              <w:rPr>
                <w:rFonts w:cs="Arial Unicode MS" w:hint="eastAsia"/>
                <w:kern w:val="0"/>
                <w:sz w:val="26"/>
                <w:szCs w:val="26"/>
              </w:rPr>
              <w:t>423</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b/>
                <w:kern w:val="0"/>
                <w:sz w:val="26"/>
                <w:szCs w:val="26"/>
              </w:rPr>
              <w:t>70</w:t>
            </w:r>
            <w:r w:rsidRPr="005B464B">
              <w:rPr>
                <w:rFonts w:cs="Arial Unicode MS" w:hint="eastAsia"/>
                <w:b/>
                <w:kern w:val="0"/>
                <w:sz w:val="26"/>
                <w:szCs w:val="26"/>
              </w:rPr>
              <w:t>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b/>
                <w:kern w:val="0"/>
                <w:sz w:val="26"/>
                <w:szCs w:val="26"/>
              </w:rPr>
              <w:t>18.</w:t>
            </w:r>
            <w:r w:rsidRPr="005B464B">
              <w:rPr>
                <w:rFonts w:cs="Arial Unicode MS" w:hint="eastAsia"/>
                <w:b/>
                <w:kern w:val="0"/>
                <w:sz w:val="26"/>
                <w:szCs w:val="26"/>
              </w:rPr>
              <w:t>2</w:t>
            </w:r>
          </w:p>
        </w:tc>
        <w:tc>
          <w:tcPr>
            <w:tcW w:w="2410"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b/>
                <w:kern w:val="0"/>
                <w:sz w:val="26"/>
                <w:szCs w:val="26"/>
              </w:rPr>
              <w:t>41</w:t>
            </w:r>
            <w:r w:rsidRPr="005B464B">
              <w:rPr>
                <w:rFonts w:cs="Arial Unicode MS" w:hint="eastAsia"/>
                <w:b/>
                <w:kern w:val="0"/>
                <w:sz w:val="26"/>
                <w:szCs w:val="26"/>
              </w:rPr>
              <w:t>4</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80</w:t>
            </w:r>
            <w:r w:rsidRPr="005B464B">
              <w:rPr>
                <w:rFonts w:cs="Arial Unicode MS" w:hint="eastAsia"/>
                <w:kern w:val="0"/>
                <w:sz w:val="26"/>
                <w:szCs w:val="26"/>
              </w:rPr>
              <w:t>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20.6</w:t>
            </w:r>
          </w:p>
        </w:tc>
        <w:tc>
          <w:tcPr>
            <w:tcW w:w="2410" w:type="dxa"/>
            <w:shd w:val="clear" w:color="auto" w:fill="auto"/>
            <w:vAlign w:val="center"/>
          </w:tcPr>
          <w:p w:rsidR="00D974E1" w:rsidRPr="005B464B" w:rsidRDefault="00D974E1" w:rsidP="001C64D2">
            <w:pPr>
              <w:adjustRightInd w:val="0"/>
              <w:snapToGrid w:val="0"/>
              <w:spacing w:line="320" w:lineRule="exact"/>
              <w:jc w:val="center"/>
              <w:rPr>
                <w:rFonts w:cs="Arial Unicode MS"/>
                <w:kern w:val="0"/>
                <w:sz w:val="26"/>
                <w:szCs w:val="26"/>
              </w:rPr>
            </w:pPr>
            <w:r w:rsidRPr="005B464B">
              <w:rPr>
                <w:rFonts w:cs="Arial Unicode MS"/>
                <w:kern w:val="0"/>
                <w:sz w:val="26"/>
                <w:szCs w:val="26"/>
              </w:rPr>
              <w:t>32</w:t>
            </w:r>
            <w:r w:rsidRPr="005B464B">
              <w:rPr>
                <w:rFonts w:cs="Arial Unicode MS" w:hint="eastAsia"/>
                <w:kern w:val="0"/>
                <w:sz w:val="26"/>
                <w:szCs w:val="26"/>
              </w:rPr>
              <w:t>2</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90</w:t>
            </w:r>
            <w:r w:rsidRPr="005B464B">
              <w:rPr>
                <w:rFonts w:cs="Arial Unicode MS" w:hint="eastAsia"/>
                <w:kern w:val="0"/>
                <w:sz w:val="26"/>
                <w:szCs w:val="26"/>
              </w:rPr>
              <w:t>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22.</w:t>
            </w:r>
            <w:r w:rsidRPr="005B464B">
              <w:rPr>
                <w:rFonts w:cs="Arial Unicode MS" w:hint="eastAsia"/>
                <w:kern w:val="0"/>
                <w:sz w:val="26"/>
                <w:szCs w:val="26"/>
              </w:rPr>
              <w:t>4</w:t>
            </w:r>
          </w:p>
        </w:tc>
        <w:tc>
          <w:tcPr>
            <w:tcW w:w="2410" w:type="dxa"/>
            <w:shd w:val="clear" w:color="auto" w:fill="auto"/>
            <w:vAlign w:val="center"/>
          </w:tcPr>
          <w:p w:rsidR="00D974E1" w:rsidRPr="005B464B" w:rsidRDefault="00D974E1" w:rsidP="001C64D2">
            <w:pPr>
              <w:adjustRightInd w:val="0"/>
              <w:snapToGrid w:val="0"/>
              <w:spacing w:line="320" w:lineRule="exact"/>
              <w:jc w:val="center"/>
              <w:rPr>
                <w:rFonts w:cs="Arial Unicode MS"/>
                <w:kern w:val="0"/>
                <w:sz w:val="26"/>
                <w:szCs w:val="26"/>
              </w:rPr>
            </w:pPr>
            <w:r w:rsidRPr="005B464B">
              <w:rPr>
                <w:rFonts w:cs="Arial Unicode MS"/>
                <w:kern w:val="0"/>
                <w:sz w:val="26"/>
                <w:szCs w:val="26"/>
              </w:rPr>
              <w:t>260</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b/>
                <w:kern w:val="0"/>
                <w:sz w:val="26"/>
                <w:szCs w:val="26"/>
              </w:rPr>
              <w:t>96</w:t>
            </w:r>
            <w:r w:rsidRPr="005B464B">
              <w:rPr>
                <w:rFonts w:cs="Arial Unicode MS" w:hint="eastAsia"/>
                <w:b/>
                <w:kern w:val="0"/>
                <w:sz w:val="26"/>
                <w:szCs w:val="26"/>
              </w:rPr>
              <w:t>年</w:t>
            </w:r>
          </w:p>
        </w:tc>
        <w:tc>
          <w:tcPr>
            <w:tcW w:w="2387" w:type="dxa"/>
            <w:shd w:val="clear" w:color="auto" w:fill="auto"/>
            <w:vAlign w:val="center"/>
          </w:tcPr>
          <w:p w:rsidR="00D974E1" w:rsidRPr="005B464B" w:rsidRDefault="00D974E1" w:rsidP="001C64D2">
            <w:pPr>
              <w:widowControl/>
              <w:snapToGrid w:val="0"/>
              <w:spacing w:line="320" w:lineRule="exact"/>
              <w:jc w:val="center"/>
              <w:rPr>
                <w:rFonts w:cs="Arial Unicode MS"/>
                <w:b/>
                <w:kern w:val="0"/>
                <w:sz w:val="26"/>
                <w:szCs w:val="26"/>
              </w:rPr>
            </w:pPr>
            <w:r w:rsidRPr="005B464B">
              <w:rPr>
                <w:rFonts w:cs="Arial Unicode MS"/>
                <w:b/>
                <w:kern w:val="0"/>
                <w:sz w:val="26"/>
                <w:szCs w:val="26"/>
              </w:rPr>
              <w:t>2</w:t>
            </w:r>
            <w:r w:rsidRPr="005B464B">
              <w:rPr>
                <w:rFonts w:cs="Arial Unicode MS" w:hint="eastAsia"/>
                <w:b/>
                <w:kern w:val="0"/>
                <w:sz w:val="26"/>
                <w:szCs w:val="26"/>
              </w:rPr>
              <w:t>3</w:t>
            </w:r>
            <w:r w:rsidRPr="005B464B">
              <w:rPr>
                <w:rFonts w:cs="Arial Unicode MS"/>
                <w:b/>
                <w:kern w:val="0"/>
                <w:sz w:val="26"/>
                <w:szCs w:val="26"/>
              </w:rPr>
              <w:t>.</w:t>
            </w:r>
            <w:r w:rsidRPr="005B464B">
              <w:rPr>
                <w:rFonts w:cs="Arial Unicode MS" w:hint="eastAsia"/>
                <w:b/>
                <w:kern w:val="0"/>
                <w:sz w:val="26"/>
                <w:szCs w:val="26"/>
              </w:rPr>
              <w:t>0</w:t>
            </w:r>
          </w:p>
        </w:tc>
        <w:tc>
          <w:tcPr>
            <w:tcW w:w="2410"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b/>
                <w:kern w:val="0"/>
                <w:sz w:val="26"/>
                <w:szCs w:val="26"/>
              </w:rPr>
              <w:t>20</w:t>
            </w:r>
            <w:r w:rsidRPr="005B464B">
              <w:rPr>
                <w:rFonts w:cs="Arial Unicode MS" w:hint="eastAsia"/>
                <w:b/>
                <w:kern w:val="0"/>
                <w:sz w:val="26"/>
                <w:szCs w:val="26"/>
              </w:rPr>
              <w:t>4</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97</w:t>
            </w:r>
            <w:r w:rsidRPr="005B464B">
              <w:rPr>
                <w:rFonts w:cs="Arial Unicode MS" w:hint="eastAsia"/>
                <w:kern w:val="0"/>
                <w:sz w:val="26"/>
                <w:szCs w:val="26"/>
              </w:rPr>
              <w:t>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2</w:t>
            </w:r>
            <w:r w:rsidRPr="005B464B">
              <w:rPr>
                <w:rFonts w:cs="Arial Unicode MS" w:hint="eastAsia"/>
                <w:kern w:val="0"/>
                <w:sz w:val="26"/>
                <w:szCs w:val="26"/>
              </w:rPr>
              <w:t>3.0</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kern w:val="0"/>
                <w:sz w:val="26"/>
                <w:szCs w:val="26"/>
              </w:rPr>
              <w:t>19</w:t>
            </w:r>
            <w:r w:rsidRPr="005B464B">
              <w:rPr>
                <w:rFonts w:cs="Arial Unicode MS" w:hint="eastAsia"/>
                <w:kern w:val="0"/>
                <w:sz w:val="26"/>
                <w:szCs w:val="26"/>
              </w:rPr>
              <w:t>9</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98</w:t>
            </w:r>
            <w:r w:rsidRPr="005B464B">
              <w:rPr>
                <w:rFonts w:cs="Arial Unicode MS" w:hint="eastAsia"/>
                <w:kern w:val="0"/>
                <w:sz w:val="26"/>
                <w:szCs w:val="26"/>
              </w:rPr>
              <w:t>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23.</w:t>
            </w:r>
            <w:r w:rsidRPr="005B464B">
              <w:rPr>
                <w:rFonts w:cs="Arial Unicode MS" w:hint="eastAsia"/>
                <w:kern w:val="0"/>
                <w:sz w:val="26"/>
                <w:szCs w:val="26"/>
              </w:rPr>
              <w:t>1</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kern w:val="0"/>
                <w:sz w:val="26"/>
                <w:szCs w:val="26"/>
              </w:rPr>
              <w:t>19</w:t>
            </w:r>
            <w:r w:rsidRPr="005B464B">
              <w:rPr>
                <w:rFonts w:cs="Arial Unicode MS" w:hint="eastAsia"/>
                <w:kern w:val="0"/>
                <w:sz w:val="26"/>
                <w:szCs w:val="26"/>
              </w:rPr>
              <w:t>1</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hint="eastAsia"/>
                <w:b/>
                <w:kern w:val="0"/>
                <w:sz w:val="26"/>
                <w:szCs w:val="26"/>
              </w:rPr>
              <w:t>99年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hint="eastAsia"/>
                <w:b/>
                <w:kern w:val="0"/>
                <w:sz w:val="26"/>
                <w:szCs w:val="26"/>
              </w:rPr>
              <w:t>23.2</w:t>
            </w:r>
          </w:p>
        </w:tc>
        <w:tc>
          <w:tcPr>
            <w:tcW w:w="2410"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b/>
                <w:kern w:val="0"/>
                <w:sz w:val="26"/>
                <w:szCs w:val="26"/>
              </w:rPr>
              <w:t>167</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100年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23.2</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197</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101年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23.3</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229</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102年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23.4</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199</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103年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23.4</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210</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104年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23.5</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214</w:t>
            </w:r>
          </w:p>
        </w:tc>
      </w:tr>
      <w:tr w:rsidR="00E53741" w:rsidRPr="005B464B" w:rsidTr="001C64D2">
        <w:trPr>
          <w:trHeight w:val="268"/>
        </w:trPr>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hint="eastAsia"/>
                <w:b/>
                <w:kern w:val="0"/>
                <w:sz w:val="26"/>
                <w:szCs w:val="26"/>
              </w:rPr>
              <w:t>105年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b/>
                <w:kern w:val="0"/>
                <w:sz w:val="26"/>
                <w:szCs w:val="26"/>
              </w:rPr>
            </w:pPr>
            <w:r w:rsidRPr="005B464B">
              <w:rPr>
                <w:rFonts w:cs="Arial Unicode MS" w:hint="eastAsia"/>
                <w:b/>
                <w:kern w:val="0"/>
                <w:sz w:val="26"/>
                <w:szCs w:val="26"/>
              </w:rPr>
              <w:t>23.5</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b/>
                <w:kern w:val="0"/>
                <w:sz w:val="26"/>
                <w:szCs w:val="26"/>
              </w:rPr>
            </w:pPr>
            <w:r w:rsidRPr="005B464B">
              <w:rPr>
                <w:rFonts w:cs="Arial Unicode MS" w:hint="eastAsia"/>
                <w:b/>
                <w:kern w:val="0"/>
                <w:sz w:val="26"/>
                <w:szCs w:val="26"/>
              </w:rPr>
              <w:t>208</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106年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23.6</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206</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107年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23.6</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203</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108年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23.7</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199</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1</w:t>
            </w:r>
            <w:r w:rsidRPr="005B464B">
              <w:rPr>
                <w:rFonts w:cs="Arial Unicode MS" w:hint="eastAsia"/>
                <w:kern w:val="0"/>
                <w:sz w:val="26"/>
                <w:szCs w:val="26"/>
              </w:rPr>
              <w:t>09年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23.</w:t>
            </w:r>
            <w:r w:rsidRPr="005B464B">
              <w:rPr>
                <w:rFonts w:cs="Arial Unicode MS" w:hint="eastAsia"/>
                <w:kern w:val="0"/>
                <w:sz w:val="26"/>
                <w:szCs w:val="26"/>
              </w:rPr>
              <w:t>7</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kern w:val="0"/>
                <w:sz w:val="26"/>
                <w:szCs w:val="26"/>
              </w:rPr>
              <w:t>1</w:t>
            </w:r>
            <w:r w:rsidRPr="005B464B">
              <w:rPr>
                <w:rFonts w:cs="Arial Unicode MS" w:hint="eastAsia"/>
                <w:kern w:val="0"/>
                <w:sz w:val="26"/>
                <w:szCs w:val="26"/>
              </w:rPr>
              <w:t>96</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110年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23.7</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193</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120年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23.5</w:t>
            </w:r>
          </w:p>
        </w:tc>
        <w:tc>
          <w:tcPr>
            <w:tcW w:w="2410" w:type="dxa"/>
            <w:shd w:val="clear" w:color="auto" w:fill="auto"/>
            <w:vAlign w:val="center"/>
          </w:tcPr>
          <w:p w:rsidR="00D974E1" w:rsidRPr="005B464B" w:rsidRDefault="00D974E1" w:rsidP="001C64D2">
            <w:pPr>
              <w:snapToGrid w:val="0"/>
              <w:spacing w:line="320" w:lineRule="exact"/>
              <w:jc w:val="center"/>
              <w:rPr>
                <w:rFonts w:cs="Arial Unicode MS"/>
                <w:kern w:val="0"/>
                <w:sz w:val="26"/>
                <w:szCs w:val="26"/>
              </w:rPr>
            </w:pPr>
            <w:r w:rsidRPr="005B464B">
              <w:rPr>
                <w:rFonts w:cs="Arial Unicode MS" w:hint="eastAsia"/>
                <w:kern w:val="0"/>
                <w:sz w:val="26"/>
                <w:szCs w:val="26"/>
              </w:rPr>
              <w:t>159</w:t>
            </w:r>
          </w:p>
        </w:tc>
      </w:tr>
      <w:tr w:rsidR="00E53741" w:rsidRPr="005B464B" w:rsidTr="001C64D2">
        <w:tc>
          <w:tcPr>
            <w:tcW w:w="2431"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kern w:val="0"/>
                <w:sz w:val="26"/>
                <w:szCs w:val="26"/>
              </w:rPr>
              <w:t>1</w:t>
            </w:r>
            <w:r w:rsidRPr="005B464B">
              <w:rPr>
                <w:rFonts w:cs="Arial Unicode MS" w:hint="eastAsia"/>
                <w:kern w:val="0"/>
                <w:sz w:val="26"/>
                <w:szCs w:val="26"/>
              </w:rPr>
              <w:t>50年</w:t>
            </w:r>
          </w:p>
        </w:tc>
        <w:tc>
          <w:tcPr>
            <w:tcW w:w="2387"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18.4</w:t>
            </w:r>
          </w:p>
        </w:tc>
        <w:tc>
          <w:tcPr>
            <w:tcW w:w="2410" w:type="dxa"/>
            <w:shd w:val="clear" w:color="auto" w:fill="auto"/>
            <w:vAlign w:val="center"/>
          </w:tcPr>
          <w:p w:rsidR="00D974E1" w:rsidRPr="005B464B" w:rsidRDefault="00D974E1" w:rsidP="001C64D2">
            <w:pPr>
              <w:widowControl/>
              <w:adjustRightInd w:val="0"/>
              <w:snapToGrid w:val="0"/>
              <w:spacing w:line="320" w:lineRule="exact"/>
              <w:jc w:val="center"/>
              <w:rPr>
                <w:rFonts w:cs="Arial Unicode MS"/>
                <w:kern w:val="0"/>
                <w:sz w:val="26"/>
                <w:szCs w:val="26"/>
              </w:rPr>
            </w:pPr>
            <w:r w:rsidRPr="005B464B">
              <w:rPr>
                <w:rFonts w:cs="Arial Unicode MS" w:hint="eastAsia"/>
                <w:kern w:val="0"/>
                <w:sz w:val="26"/>
                <w:szCs w:val="26"/>
              </w:rPr>
              <w:t>100</w:t>
            </w:r>
          </w:p>
        </w:tc>
      </w:tr>
    </w:tbl>
    <w:p w:rsidR="00D974E1" w:rsidRPr="005B464B" w:rsidRDefault="00D974E1" w:rsidP="00D974E1">
      <w:pPr>
        <w:pStyle w:val="3"/>
        <w:numPr>
          <w:ilvl w:val="0"/>
          <w:numId w:val="0"/>
        </w:numPr>
        <w:spacing w:line="240" w:lineRule="exact"/>
        <w:ind w:leftChars="250" w:left="850"/>
        <w:jc w:val="left"/>
        <w:rPr>
          <w:kern w:val="0"/>
          <w:sz w:val="24"/>
          <w:szCs w:val="24"/>
        </w:rPr>
      </w:pPr>
      <w:r w:rsidRPr="005B464B">
        <w:rPr>
          <w:kern w:val="0"/>
          <w:sz w:val="24"/>
          <w:szCs w:val="24"/>
        </w:rPr>
        <w:t>資料來源：</w:t>
      </w:r>
      <w:r w:rsidRPr="005B464B">
        <w:rPr>
          <w:rFonts w:hint="eastAsia"/>
          <w:kern w:val="0"/>
          <w:sz w:val="24"/>
          <w:szCs w:val="24"/>
        </w:rPr>
        <w:t>國發會網站/重要統計資料/106年2月份</w:t>
      </w:r>
      <w:r w:rsidRPr="005B464B">
        <w:rPr>
          <w:kern w:val="0"/>
          <w:sz w:val="24"/>
          <w:szCs w:val="24"/>
        </w:rPr>
        <w:t>重要統計資料手冊</w:t>
      </w:r>
      <w:r w:rsidRPr="005B464B">
        <w:rPr>
          <w:rStyle w:val="aff2"/>
          <w:kern w:val="0"/>
          <w:sz w:val="24"/>
          <w:szCs w:val="24"/>
        </w:rPr>
        <w:footnoteReference w:id="10"/>
      </w:r>
      <w:r w:rsidRPr="005B464B">
        <w:rPr>
          <w:rFonts w:hint="eastAsia"/>
          <w:kern w:val="0"/>
          <w:sz w:val="24"/>
          <w:szCs w:val="24"/>
        </w:rPr>
        <w:t>。</w:t>
      </w:r>
    </w:p>
    <w:p w:rsidR="00D974E1" w:rsidRPr="005B464B" w:rsidRDefault="00D974E1" w:rsidP="00D974E1">
      <w:pPr>
        <w:pStyle w:val="3"/>
        <w:numPr>
          <w:ilvl w:val="0"/>
          <w:numId w:val="0"/>
        </w:numPr>
        <w:spacing w:line="240" w:lineRule="exact"/>
        <w:ind w:leftChars="-1" w:left="-3" w:firstLineChars="328" w:firstLine="853"/>
        <w:jc w:val="left"/>
        <w:rPr>
          <w:kern w:val="0"/>
          <w:sz w:val="24"/>
          <w:szCs w:val="24"/>
        </w:rPr>
      </w:pPr>
    </w:p>
    <w:p w:rsidR="00D974E1" w:rsidRPr="005B464B" w:rsidRDefault="00D974E1" w:rsidP="00D974E1">
      <w:pPr>
        <w:pStyle w:val="3"/>
        <w:numPr>
          <w:ilvl w:val="2"/>
          <w:numId w:val="1"/>
        </w:numPr>
      </w:pPr>
      <w:proofErr w:type="gramStart"/>
      <w:r w:rsidRPr="005B464B">
        <w:rPr>
          <w:rFonts w:hint="eastAsia"/>
        </w:rPr>
        <w:t>此外，</w:t>
      </w:r>
      <w:proofErr w:type="gramEnd"/>
      <w:r w:rsidRPr="005B464B">
        <w:rPr>
          <w:rFonts w:hint="eastAsia"/>
        </w:rPr>
        <w:t>行政院85年</w:t>
      </w:r>
      <w:r w:rsidR="00383CC1" w:rsidRPr="005B464B">
        <w:rPr>
          <w:rFonts w:hAnsi="標楷體" w:hint="eastAsia"/>
        </w:rPr>
        <w:t>「</w:t>
      </w:r>
      <w:r w:rsidRPr="005B464B">
        <w:rPr>
          <w:rFonts w:hint="eastAsia"/>
        </w:rPr>
        <w:t>教育改革總</w:t>
      </w:r>
      <w:proofErr w:type="gramStart"/>
      <w:r w:rsidRPr="005B464B">
        <w:rPr>
          <w:rFonts w:hint="eastAsia"/>
        </w:rPr>
        <w:t>諮</w:t>
      </w:r>
      <w:proofErr w:type="gramEnd"/>
      <w:r w:rsidRPr="005B464B">
        <w:rPr>
          <w:rFonts w:hint="eastAsia"/>
        </w:rPr>
        <w:t>議報告書</w:t>
      </w:r>
      <w:r w:rsidR="00383CC1" w:rsidRPr="005B464B">
        <w:rPr>
          <w:rFonts w:hAnsi="標楷體" w:hint="eastAsia"/>
        </w:rPr>
        <w:t>」</w:t>
      </w:r>
      <w:r w:rsidRPr="005B464B">
        <w:rPr>
          <w:rFonts w:hint="eastAsia"/>
        </w:rPr>
        <w:t>指出</w:t>
      </w:r>
      <w:r w:rsidRPr="005B464B">
        <w:rPr>
          <w:rStyle w:val="aff2"/>
          <w:sz w:val="28"/>
          <w:szCs w:val="28"/>
        </w:rPr>
        <w:footnoteReference w:id="11"/>
      </w:r>
      <w:r w:rsidRPr="005B464B">
        <w:rPr>
          <w:rFonts w:hint="eastAsia"/>
        </w:rPr>
        <w:t>，公立高等教育學府應維持適當規模，始得顯現其應有的效益:現有公立高等教育學府，部分規模太小，以致教育資源重複難獲應有之效益，可考慮予以合併或擴充至適當規模；教育部90年發表</w:t>
      </w:r>
      <w:r w:rsidRPr="005B464B">
        <w:rPr>
          <w:rFonts w:hAnsi="標楷體" w:hint="eastAsia"/>
        </w:rPr>
        <w:t>「</w:t>
      </w:r>
      <w:r w:rsidRPr="005B464B">
        <w:rPr>
          <w:rFonts w:hint="eastAsia"/>
        </w:rPr>
        <w:t>大學教育政策白皮書</w:t>
      </w:r>
      <w:r w:rsidRPr="005B464B">
        <w:rPr>
          <w:rFonts w:hAnsi="標楷體" w:hint="eastAsia"/>
        </w:rPr>
        <w:t>」</w:t>
      </w:r>
      <w:r w:rsidRPr="005B464B">
        <w:rPr>
          <w:vertAlign w:val="superscript"/>
        </w:rPr>
        <w:footnoteReference w:id="12"/>
      </w:r>
      <w:r w:rsidRPr="005B464B">
        <w:rPr>
          <w:rFonts w:hint="eastAsia"/>
        </w:rPr>
        <w:t>，亦分析當時高等教育有普及</w:t>
      </w:r>
      <w:r w:rsidRPr="005B464B">
        <w:rPr>
          <w:rFonts w:hint="eastAsia"/>
        </w:rPr>
        <w:lastRenderedPageBreak/>
        <w:t>化、質量失衡、教育資源排擠、與社會的互動不足</w:t>
      </w:r>
      <w:r w:rsidRPr="005B464B">
        <w:rPr>
          <w:rFonts w:hAnsi="標楷體"/>
        </w:rPr>
        <w:t>…</w:t>
      </w:r>
      <w:proofErr w:type="gramStart"/>
      <w:r w:rsidRPr="005B464B">
        <w:rPr>
          <w:rFonts w:hAnsi="標楷體"/>
        </w:rPr>
        <w:t>…</w:t>
      </w:r>
      <w:proofErr w:type="gramEnd"/>
      <w:r w:rsidRPr="005B464B">
        <w:rPr>
          <w:rFonts w:hint="eastAsia"/>
        </w:rPr>
        <w:t>等問題，並指出為避免大學過度擴充及惡性競爭，導致教育資源浪費及人力供需失衡等負面衝擊，將漸進推動各項改革，例如不宜再新設公立大學、新設之私立大學應考量區域之分布並從嚴評估、政府應定期公開就業市場供需資料供學校及學生參考使用、大學運作資訊應公開以發揮市場監督功能、建立淘汰機制等；91年行政院高等教育宏觀規劃委員會所提</w:t>
      </w:r>
      <w:r w:rsidRPr="005B464B">
        <w:rPr>
          <w:rFonts w:hAnsi="標楷體" w:hint="eastAsia"/>
        </w:rPr>
        <w:t>「</w:t>
      </w:r>
      <w:r w:rsidRPr="005B464B">
        <w:rPr>
          <w:rFonts w:hint="eastAsia"/>
        </w:rPr>
        <w:t>高等教育宏觀規劃報告書</w:t>
      </w:r>
      <w:r w:rsidRPr="005B464B">
        <w:rPr>
          <w:rFonts w:hAnsi="標楷體" w:hint="eastAsia"/>
        </w:rPr>
        <w:t>」</w:t>
      </w:r>
      <w:r w:rsidRPr="005B464B">
        <w:rPr>
          <w:rFonts w:hint="eastAsia"/>
        </w:rPr>
        <w:t>，亦</w:t>
      </w:r>
      <w:proofErr w:type="gramStart"/>
      <w:r w:rsidRPr="005B464B">
        <w:rPr>
          <w:rFonts w:hint="eastAsia"/>
        </w:rPr>
        <w:t>鑑</w:t>
      </w:r>
      <w:proofErr w:type="gramEnd"/>
      <w:r w:rsidRPr="005B464B">
        <w:rPr>
          <w:rFonts w:hint="eastAsia"/>
        </w:rPr>
        <w:t>於出生人口遞減，就高教學校供需政策提出具體建議略</w:t>
      </w:r>
      <w:proofErr w:type="gramStart"/>
      <w:r w:rsidRPr="005B464B">
        <w:rPr>
          <w:rFonts w:hint="eastAsia"/>
        </w:rPr>
        <w:t>以</w:t>
      </w:r>
      <w:proofErr w:type="gramEnd"/>
      <w:r w:rsidRPr="005B464B">
        <w:rPr>
          <w:rFonts w:hint="eastAsia"/>
        </w:rPr>
        <w:t>：</w:t>
      </w:r>
      <w:r w:rsidRPr="005B464B">
        <w:rPr>
          <w:rFonts w:hAnsi="標楷體" w:hint="eastAsia"/>
        </w:rPr>
        <w:t>「</w:t>
      </w:r>
      <w:r w:rsidRPr="005B464B">
        <w:rPr>
          <w:rFonts w:hint="eastAsia"/>
        </w:rPr>
        <w:t>推動公立大學校院實施公法人後之整</w:t>
      </w:r>
      <w:proofErr w:type="gramStart"/>
      <w:r w:rsidRPr="005B464B">
        <w:rPr>
          <w:rFonts w:hint="eastAsia"/>
        </w:rPr>
        <w:t>併</w:t>
      </w:r>
      <w:proofErr w:type="gramEnd"/>
      <w:r w:rsidRPr="005B464B">
        <w:rPr>
          <w:rFonts w:hint="eastAsia"/>
        </w:rPr>
        <w:t>。</w:t>
      </w:r>
      <w:r w:rsidRPr="005B464B">
        <w:rPr>
          <w:rFonts w:hAnsi="標楷體" w:hint="eastAsia"/>
        </w:rPr>
        <w:t>」凡此</w:t>
      </w:r>
      <w:r w:rsidRPr="005B464B">
        <w:rPr>
          <w:rFonts w:hint="eastAsia"/>
        </w:rPr>
        <w:t>在</w:t>
      </w:r>
      <w:proofErr w:type="gramStart"/>
      <w:r w:rsidRPr="005B464B">
        <w:rPr>
          <w:rFonts w:hint="eastAsia"/>
        </w:rPr>
        <w:t>在</w:t>
      </w:r>
      <w:proofErr w:type="gramEnd"/>
      <w:r w:rsidRPr="005B464B">
        <w:rPr>
          <w:rFonts w:hint="eastAsia"/>
        </w:rPr>
        <w:t>顯示相關共識：</w:t>
      </w:r>
      <w:r w:rsidRPr="005B464B">
        <w:rPr>
          <w:rFonts w:hAnsi="標楷體" w:hint="eastAsia"/>
        </w:rPr>
        <w:t>「</w:t>
      </w:r>
      <w:r w:rsidRPr="005B464B">
        <w:rPr>
          <w:rFonts w:hint="eastAsia"/>
        </w:rPr>
        <w:t>大學之設立評估，應從嚴辦理，且應通盤考量整體分布情形，而大學之淘汰機制允應及早建置落實，以發揮監督功能、避免惡性競爭。</w:t>
      </w:r>
      <w:r w:rsidRPr="005B464B">
        <w:rPr>
          <w:rFonts w:hAnsi="標楷體" w:hint="eastAsia"/>
        </w:rPr>
        <w:t>」</w:t>
      </w:r>
    </w:p>
    <w:p w:rsidR="00D974E1" w:rsidRPr="005B464B" w:rsidRDefault="00D974E1" w:rsidP="00D974E1">
      <w:pPr>
        <w:pStyle w:val="3"/>
        <w:numPr>
          <w:ilvl w:val="2"/>
          <w:numId w:val="1"/>
        </w:numPr>
      </w:pPr>
      <w:r w:rsidRPr="005B464B">
        <w:rPr>
          <w:rFonts w:hint="eastAsia"/>
        </w:rPr>
        <w:t>然而，我國自</w:t>
      </w:r>
      <w:r w:rsidRPr="005B464B">
        <w:t>83</w:t>
      </w:r>
      <w:r w:rsidRPr="005B464B">
        <w:rPr>
          <w:rFonts w:hint="eastAsia"/>
        </w:rPr>
        <w:t>年</w:t>
      </w:r>
      <w:r w:rsidRPr="005B464B">
        <w:t>410</w:t>
      </w:r>
      <w:r w:rsidRPr="005B464B">
        <w:rPr>
          <w:rFonts w:hint="eastAsia"/>
        </w:rPr>
        <w:t>教改大遊行「廣設高中大學」之訴求後，大專校院數量逐漸擴增，由</w:t>
      </w:r>
      <w:r w:rsidRPr="005B464B">
        <w:t>82</w:t>
      </w:r>
      <w:r w:rsidRPr="005B464B">
        <w:rPr>
          <w:rFonts w:hint="eastAsia"/>
        </w:rPr>
        <w:t>年（</w:t>
      </w:r>
      <w:r w:rsidRPr="005B464B">
        <w:t>81</w:t>
      </w:r>
      <w:r w:rsidRPr="005B464B">
        <w:rPr>
          <w:rFonts w:hint="eastAsia"/>
        </w:rPr>
        <w:t>學年度）的</w:t>
      </w:r>
      <w:r w:rsidRPr="005B464B">
        <w:t>51</w:t>
      </w:r>
      <w:r w:rsidRPr="005B464B">
        <w:rPr>
          <w:rFonts w:hint="eastAsia"/>
        </w:rPr>
        <w:t>校增至</w:t>
      </w:r>
      <w:r w:rsidRPr="005B464B">
        <w:t>10</w:t>
      </w:r>
      <w:r w:rsidRPr="005B464B">
        <w:rPr>
          <w:rFonts w:hint="eastAsia"/>
        </w:rPr>
        <w:t>2年（</w:t>
      </w:r>
      <w:r w:rsidRPr="005B464B">
        <w:t>10</w:t>
      </w:r>
      <w:r w:rsidRPr="005B464B">
        <w:rPr>
          <w:rFonts w:hint="eastAsia"/>
        </w:rPr>
        <w:t>1學年度）的</w:t>
      </w:r>
      <w:r w:rsidRPr="005B464B">
        <w:t>14</w:t>
      </w:r>
      <w:r w:rsidRPr="005B464B">
        <w:rPr>
          <w:rFonts w:hint="eastAsia"/>
        </w:rPr>
        <w:t>8校（另有專科14所），成長幾近</w:t>
      </w:r>
      <w:r w:rsidRPr="005B464B">
        <w:t>3</w:t>
      </w:r>
      <w:r w:rsidRPr="005B464B">
        <w:rPr>
          <w:rFonts w:hint="eastAsia"/>
        </w:rPr>
        <w:t>倍，102年之大學部新生（含日間部與進修部），總招生人數已達</w:t>
      </w:r>
      <w:r w:rsidRPr="005B464B">
        <w:t xml:space="preserve">27.4 </w:t>
      </w:r>
      <w:r w:rsidRPr="005B464B">
        <w:rPr>
          <w:rFonts w:hint="eastAsia"/>
        </w:rPr>
        <w:t>萬人，超過高中高職每年畢業生總數的</w:t>
      </w:r>
      <w:r w:rsidRPr="005B464B">
        <w:t>27</w:t>
      </w:r>
      <w:r w:rsidRPr="005B464B">
        <w:rPr>
          <w:rFonts w:hint="eastAsia"/>
        </w:rPr>
        <w:t>萬人，幾乎已達人人均可上大學的情況</w:t>
      </w:r>
      <w:r w:rsidRPr="005B464B">
        <w:rPr>
          <w:rStyle w:val="aff2"/>
          <w:rFonts w:hAnsi="標楷體"/>
        </w:rPr>
        <w:footnoteReference w:id="13"/>
      </w:r>
      <w:r w:rsidRPr="005B464B">
        <w:rPr>
          <w:rFonts w:hint="eastAsia"/>
        </w:rPr>
        <w:t>；</w:t>
      </w:r>
      <w:proofErr w:type="gramStart"/>
      <w:r w:rsidRPr="005B464B">
        <w:rPr>
          <w:rFonts w:hint="eastAsia"/>
        </w:rPr>
        <w:t>縱</w:t>
      </w:r>
      <w:proofErr w:type="gramEnd"/>
      <w:r w:rsidRPr="005B464B">
        <w:rPr>
          <w:rFonts w:hint="eastAsia"/>
        </w:rPr>
        <w:t>教育部稱，該部自88年起推動「地區性國立大學校院合併試辦計畫」、「國立大學校院區域資源整合發展計畫」、「研究型大學整合計畫」等計畫，並於93年組成「大學合併推動委員會」，且陸續修正相關法制作業以為因應，然以93學年至104學年度我國大專校院校數變化情形觀之(如下表</w:t>
      </w:r>
      <w:r w:rsidR="005C5DEC" w:rsidRPr="005B464B">
        <w:rPr>
          <w:rFonts w:hint="eastAsia"/>
        </w:rPr>
        <w:t>1</w:t>
      </w:r>
      <w:r w:rsidRPr="005B464B">
        <w:rPr>
          <w:rFonts w:hint="eastAsia"/>
        </w:rPr>
        <w:t>7)，93學年度過後，整體學</w:t>
      </w:r>
      <w:r w:rsidRPr="005B464B">
        <w:rPr>
          <w:rFonts w:hint="eastAsia"/>
        </w:rPr>
        <w:lastRenderedPageBreak/>
        <w:t>校數量一度不減反增，</w:t>
      </w:r>
      <w:proofErr w:type="gramStart"/>
      <w:r w:rsidRPr="005B464B">
        <w:rPr>
          <w:rFonts w:hint="eastAsia"/>
        </w:rPr>
        <w:t>又查據教育部</w:t>
      </w:r>
      <w:proofErr w:type="gramEnd"/>
      <w:r w:rsidRPr="005B464B">
        <w:rPr>
          <w:rFonts w:hint="eastAsia"/>
        </w:rPr>
        <w:t>資料顯示，歷年完成公立大學合併之案件計有7件，並以</w:t>
      </w:r>
      <w:proofErr w:type="gramStart"/>
      <w:r w:rsidRPr="005B464B">
        <w:rPr>
          <w:rFonts w:hint="eastAsia"/>
        </w:rPr>
        <w:t>該部指稱</w:t>
      </w:r>
      <w:proofErr w:type="gramEnd"/>
      <w:r w:rsidRPr="005B464B">
        <w:rPr>
          <w:rFonts w:hint="eastAsia"/>
        </w:rPr>
        <w:t>：「</w:t>
      </w:r>
      <w:r w:rsidRPr="005B464B">
        <w:rPr>
          <w:rFonts w:hAnsi="標楷體" w:hint="eastAsia"/>
        </w:rPr>
        <w:t>『</w:t>
      </w:r>
      <w:r w:rsidRPr="005B464B">
        <w:rPr>
          <w:rFonts w:hint="eastAsia"/>
        </w:rPr>
        <w:t>國立大學合併推動審議會</w:t>
      </w:r>
      <w:r w:rsidRPr="005B464B">
        <w:rPr>
          <w:rFonts w:hAnsi="標楷體" w:hint="eastAsia"/>
        </w:rPr>
        <w:t>』</w:t>
      </w:r>
      <w:r w:rsidRPr="005B464B">
        <w:rPr>
          <w:rFonts w:hint="eastAsia"/>
        </w:rPr>
        <w:t>第</w:t>
      </w:r>
      <w:r w:rsidRPr="005B464B">
        <w:t>1</w:t>
      </w:r>
      <w:r w:rsidRPr="005B464B">
        <w:rPr>
          <w:rFonts w:hint="eastAsia"/>
        </w:rPr>
        <w:t>屆會議規劃之合併政策方向：不以負面量化指標作為合併條件、尊重學校合併意願、不以資源作為鼓勵學校合併手段、不減少招生規模。</w:t>
      </w:r>
      <w:r w:rsidR="00143C23" w:rsidRPr="005B464B">
        <w:rPr>
          <w:rFonts w:hAnsi="標楷體" w:hint="eastAsia"/>
        </w:rPr>
        <w:t>…</w:t>
      </w:r>
      <w:proofErr w:type="gramStart"/>
      <w:r w:rsidR="00143C23" w:rsidRPr="005B464B">
        <w:rPr>
          <w:rFonts w:hAnsi="標楷體" w:hint="eastAsia"/>
        </w:rPr>
        <w:t>…</w:t>
      </w:r>
      <w:proofErr w:type="gramEnd"/>
      <w:r w:rsidRPr="005B464B">
        <w:rPr>
          <w:rFonts w:hint="eastAsia"/>
        </w:rPr>
        <w:t>合併案之推動，考量影響面向廣泛，教育部並無推動合併</w:t>
      </w:r>
      <w:r w:rsidR="00E353D7" w:rsidRPr="005B464B">
        <w:rPr>
          <w:rFonts w:hint="eastAsia"/>
        </w:rPr>
        <w:t>先後</w:t>
      </w:r>
      <w:r w:rsidRPr="005B464B">
        <w:rPr>
          <w:rFonts w:hint="eastAsia"/>
        </w:rPr>
        <w:t>之順序。由於國立大學校院合併涉及組織、人員重整、資源分配等重要事項，學校需費時盤整及溝通，且學校意願涉及後續執行之配合度，</w:t>
      </w:r>
      <w:proofErr w:type="gramStart"/>
      <w:r w:rsidRPr="005B464B">
        <w:rPr>
          <w:rFonts w:hint="eastAsia"/>
        </w:rPr>
        <w:t>爰</w:t>
      </w:r>
      <w:proofErr w:type="gramEnd"/>
      <w:r w:rsidRPr="005B464B">
        <w:rPr>
          <w:rFonts w:hint="eastAsia"/>
        </w:rPr>
        <w:t>教育部目前以推動學校主動申請合併案為主，暫無政策引導之合併案。」等語，以整體推動數量與進展而言，實難謂相關政策作為已積極回應前述少子女化趨勢與政策白皮書及規劃報告之建言。此</w:t>
      </w:r>
      <w:proofErr w:type="gramStart"/>
      <w:r w:rsidRPr="005B464B">
        <w:rPr>
          <w:rFonts w:hint="eastAsia"/>
        </w:rPr>
        <w:t>併</w:t>
      </w:r>
      <w:proofErr w:type="gramEnd"/>
      <w:r w:rsidRPr="005B464B">
        <w:rPr>
          <w:rFonts w:hint="eastAsia"/>
        </w:rPr>
        <w:t>有本案諮詢專家意見指出「目前國內大學總計有47 所國立大學校院，分布在各縣市，除了新竹縣、連江縣外，各</w:t>
      </w:r>
      <w:proofErr w:type="gramStart"/>
      <w:r w:rsidRPr="005B464B">
        <w:rPr>
          <w:rFonts w:hint="eastAsia"/>
        </w:rPr>
        <w:t>縣市均有國立</w:t>
      </w:r>
      <w:proofErr w:type="gramEnd"/>
      <w:r w:rsidRPr="005B464B">
        <w:rPr>
          <w:rFonts w:hint="eastAsia"/>
        </w:rPr>
        <w:t>大學校院，但規模普遍過小。學生超過1萬人者僅18所，5,000人以下者有10所學校。目前國內總計</w:t>
      </w:r>
      <w:r w:rsidR="00383CC1" w:rsidRPr="005B464B">
        <w:rPr>
          <w:rFonts w:hint="eastAsia"/>
        </w:rPr>
        <w:t>的</w:t>
      </w:r>
      <w:r w:rsidRPr="005B464B">
        <w:rPr>
          <w:rFonts w:hint="eastAsia"/>
        </w:rPr>
        <w:t>96所私立大學校院情況亦同，1萬人以上者有31所，1萬人以下者有65所，5,000人以下者26所</w:t>
      </w:r>
      <w:r w:rsidR="00383CC1" w:rsidRPr="005B464B">
        <w:rPr>
          <w:rFonts w:hint="eastAsia"/>
        </w:rPr>
        <w:t>；</w:t>
      </w:r>
      <w:r w:rsidRPr="005B464B">
        <w:rPr>
          <w:rFonts w:hint="eastAsia"/>
        </w:rPr>
        <w:t>5,000人以下學校，除非學校非依賴學費為主要收入來源，否則未來經營都會面臨困難。」等語同證。</w:t>
      </w:r>
    </w:p>
    <w:p w:rsidR="00D974E1" w:rsidRPr="005B464B" w:rsidRDefault="00D974E1" w:rsidP="00D974E1">
      <w:pPr>
        <w:pStyle w:val="a3"/>
        <w:jc w:val="center"/>
        <w:rPr>
          <w:b/>
        </w:rPr>
      </w:pPr>
      <w:r w:rsidRPr="005B464B">
        <w:rPr>
          <w:noProof/>
        </w:rPr>
        <w:lastRenderedPageBreak/>
        <w:drawing>
          <wp:anchor distT="0" distB="0" distL="114300" distR="114300" simplePos="0" relativeHeight="251660288" behindDoc="1" locked="0" layoutInCell="1" allowOverlap="1" wp14:anchorId="2DFC38C7" wp14:editId="401AE9FB">
            <wp:simplePos x="0" y="0"/>
            <wp:positionH relativeFrom="column">
              <wp:posOffset>130810</wp:posOffset>
            </wp:positionH>
            <wp:positionV relativeFrom="paragraph">
              <wp:posOffset>415290</wp:posOffset>
            </wp:positionV>
            <wp:extent cx="5529580" cy="3798570"/>
            <wp:effectExtent l="0" t="0" r="0" b="0"/>
            <wp:wrapThrough wrapText="bothSides">
              <wp:wrapPolygon edited="0">
                <wp:start x="0" y="0"/>
                <wp:lineTo x="0" y="21448"/>
                <wp:lineTo x="21506" y="21448"/>
                <wp:lineTo x="21506" y="0"/>
                <wp:lineTo x="0" y="0"/>
              </wp:wrapPolygon>
            </wp:wrapThrough>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9580" cy="3798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64B">
        <w:rPr>
          <w:rFonts w:hint="eastAsia"/>
          <w:b/>
        </w:rPr>
        <w:t>大專校院新生註冊概況-依學校體系別分</w:t>
      </w:r>
    </w:p>
    <w:p w:rsidR="00D974E1" w:rsidRPr="005B464B" w:rsidRDefault="00E55978" w:rsidP="00D974E1">
      <w:pPr>
        <w:pStyle w:val="3"/>
        <w:numPr>
          <w:ilvl w:val="0"/>
          <w:numId w:val="0"/>
        </w:numPr>
        <w:rPr>
          <w:sz w:val="24"/>
          <w:szCs w:val="24"/>
        </w:rPr>
      </w:pPr>
      <w:r w:rsidRPr="005B464B">
        <w:rPr>
          <w:rFonts w:hint="eastAsia"/>
          <w:noProof/>
          <w:sz w:val="24"/>
          <w:szCs w:val="24"/>
        </w:rPr>
        <w:drawing>
          <wp:anchor distT="0" distB="0" distL="114300" distR="114300" simplePos="0" relativeHeight="251663360" behindDoc="1" locked="0" layoutInCell="1" allowOverlap="1" wp14:anchorId="638F2B28" wp14:editId="067789BB">
            <wp:simplePos x="0" y="0"/>
            <wp:positionH relativeFrom="column">
              <wp:posOffset>468630</wp:posOffset>
            </wp:positionH>
            <wp:positionV relativeFrom="paragraph">
              <wp:posOffset>49530</wp:posOffset>
            </wp:positionV>
            <wp:extent cx="5477510" cy="1099820"/>
            <wp:effectExtent l="0" t="0" r="8890" b="5080"/>
            <wp:wrapThrough wrapText="bothSides">
              <wp:wrapPolygon edited="0">
                <wp:start x="0" y="0"/>
                <wp:lineTo x="0" y="21326"/>
                <wp:lineTo x="21560" y="21326"/>
                <wp:lineTo x="21560" y="0"/>
                <wp:lineTo x="0" y="0"/>
              </wp:wrapPolygon>
            </wp:wrapThrough>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7510"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64B">
        <w:rPr>
          <w:noProof/>
          <w:sz w:val="24"/>
          <w:szCs w:val="24"/>
        </w:rPr>
        <mc:AlternateContent>
          <mc:Choice Requires="wps">
            <w:drawing>
              <wp:anchor distT="0" distB="0" distL="114300" distR="114300" simplePos="0" relativeHeight="251659263" behindDoc="0" locked="0" layoutInCell="1" allowOverlap="1" wp14:anchorId="32EB8980" wp14:editId="1106C0AE">
                <wp:simplePos x="0" y="0"/>
                <wp:positionH relativeFrom="column">
                  <wp:posOffset>-1270</wp:posOffset>
                </wp:positionH>
                <wp:positionV relativeFrom="paragraph">
                  <wp:posOffset>-192617</wp:posOffset>
                </wp:positionV>
                <wp:extent cx="516255" cy="140398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403985"/>
                        </a:xfrm>
                        <a:prstGeom prst="rect">
                          <a:avLst/>
                        </a:prstGeom>
                        <a:solidFill>
                          <a:srgbClr val="FFFFFF"/>
                        </a:solidFill>
                        <a:ln w="9525">
                          <a:noFill/>
                          <a:miter lim="800000"/>
                          <a:headEnd/>
                          <a:tailEnd/>
                        </a:ln>
                      </wps:spPr>
                      <wps:txbx>
                        <w:txbxContent>
                          <w:p w:rsidR="0001697A" w:rsidRPr="00DA000E" w:rsidRDefault="0001697A">
                            <w:pPr>
                              <w:rPr>
                                <w:sz w:val="24"/>
                                <w:szCs w:val="24"/>
                              </w:rPr>
                            </w:pPr>
                            <w:proofErr w:type="gramStart"/>
                            <w:r w:rsidRPr="00DA000E">
                              <w:rPr>
                                <w:rFonts w:hint="eastAsia"/>
                                <w:sz w:val="24"/>
                                <w:szCs w:val="24"/>
                              </w:rPr>
                              <w:t>註</w:t>
                            </w:r>
                            <w:proofErr w:type="gramEnd"/>
                            <w:r w:rsidRPr="00DA000E">
                              <w:rPr>
                                <w:rFonts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pt;margin-top:-15.15pt;width:40.65pt;height:110.55pt;z-index:25165926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" stroked="f">
                <v:textbox style="mso-fit-shape-to-text:t">
                  <w:txbxContent>
                    <w:p w:rsidR="0001697A" w:rsidRPr="00DA000E" w:rsidRDefault="0001697A">
                      <w:pPr>
                        <w:rPr>
                          <w:sz w:val="24"/>
                          <w:szCs w:val="24"/>
                        </w:rPr>
                      </w:pPr>
                      <w:proofErr w:type="gramStart"/>
                      <w:r w:rsidRPr="00DA000E">
                        <w:rPr>
                          <w:rFonts w:hint="eastAsia"/>
                          <w:sz w:val="24"/>
                          <w:szCs w:val="24"/>
                        </w:rPr>
                        <w:t>註</w:t>
                      </w:r>
                      <w:proofErr w:type="gramEnd"/>
                      <w:r w:rsidRPr="00DA000E">
                        <w:rPr>
                          <w:rFonts w:hint="eastAsia"/>
                          <w:sz w:val="24"/>
                          <w:szCs w:val="24"/>
                        </w:rPr>
                        <w:t>：</w:t>
                      </w:r>
                    </w:p>
                  </w:txbxContent>
                </v:textbox>
              </v:shape>
            </w:pict>
          </mc:Fallback>
        </mc:AlternateContent>
      </w:r>
    </w:p>
    <w:p w:rsidR="00D974E1" w:rsidRPr="005B464B" w:rsidRDefault="00D974E1" w:rsidP="005C5DEC">
      <w:pPr>
        <w:pStyle w:val="3"/>
        <w:numPr>
          <w:ilvl w:val="0"/>
          <w:numId w:val="0"/>
        </w:numPr>
        <w:spacing w:line="240" w:lineRule="exact"/>
        <w:ind w:leftChars="100" w:left="1615" w:hangingChars="490" w:hanging="1275"/>
        <w:jc w:val="left"/>
        <w:rPr>
          <w:kern w:val="0"/>
          <w:sz w:val="24"/>
          <w:szCs w:val="24"/>
        </w:rPr>
      </w:pPr>
      <w:r w:rsidRPr="005B464B">
        <w:rPr>
          <w:kern w:val="0"/>
          <w:sz w:val="24"/>
          <w:szCs w:val="24"/>
        </w:rPr>
        <w:t>資料來源：</w:t>
      </w:r>
      <w:r w:rsidRPr="005B464B">
        <w:rPr>
          <w:rFonts w:hint="eastAsia"/>
          <w:kern w:val="0"/>
          <w:sz w:val="24"/>
          <w:szCs w:val="24"/>
        </w:rPr>
        <w:t>教育部統計處，應用統計分析：「104學年大專校院新生註冊率變動分析」。</w:t>
      </w:r>
    </w:p>
    <w:p w:rsidR="00D974E1" w:rsidRPr="005B464B" w:rsidRDefault="00D974E1" w:rsidP="00D974E1">
      <w:pPr>
        <w:pStyle w:val="3"/>
        <w:numPr>
          <w:ilvl w:val="0"/>
          <w:numId w:val="0"/>
        </w:numPr>
        <w:spacing w:line="240" w:lineRule="exact"/>
      </w:pPr>
    </w:p>
    <w:p w:rsidR="008153EA" w:rsidRPr="005B464B" w:rsidRDefault="00CD744D" w:rsidP="00D974E1">
      <w:pPr>
        <w:pStyle w:val="3"/>
        <w:numPr>
          <w:ilvl w:val="2"/>
          <w:numId w:val="1"/>
        </w:numPr>
      </w:pPr>
      <w:proofErr w:type="gramStart"/>
      <w:r w:rsidRPr="005B464B">
        <w:rPr>
          <w:rFonts w:hint="eastAsia"/>
        </w:rPr>
        <w:t>此外，</w:t>
      </w:r>
      <w:proofErr w:type="gramEnd"/>
      <w:r w:rsidRPr="005B464B">
        <w:rPr>
          <w:rFonts w:hAnsi="標楷體" w:hint="eastAsia"/>
        </w:rPr>
        <w:t>教育部政策引導國內專科大量升格技術學院、科技大學，以致技職體系逐漸向一般教育體系傾斜，且高職學生</w:t>
      </w:r>
      <w:r w:rsidRPr="005B464B">
        <w:rPr>
          <w:rFonts w:hint="eastAsia"/>
        </w:rPr>
        <w:t>畢業後升學之比例偏高，產業需求對接普遍不足，均嚴重衝擊基礎技術人力，近年已引發產業及學界諸多議論</w:t>
      </w:r>
      <w:r w:rsidR="0023224C" w:rsidRPr="005B464B">
        <w:rPr>
          <w:rFonts w:hint="eastAsia"/>
        </w:rPr>
        <w:t>，列舉部分現象如</w:t>
      </w:r>
      <w:proofErr w:type="gramStart"/>
      <w:r w:rsidR="0023224C" w:rsidRPr="005B464B">
        <w:rPr>
          <w:rFonts w:hint="eastAsia"/>
        </w:rPr>
        <w:t>后</w:t>
      </w:r>
      <w:proofErr w:type="gramEnd"/>
      <w:r w:rsidR="0023224C" w:rsidRPr="005B464B">
        <w:rPr>
          <w:rFonts w:hint="eastAsia"/>
        </w:rPr>
        <w:t>：</w:t>
      </w:r>
    </w:p>
    <w:p w:rsidR="00CD744D" w:rsidRPr="005B464B" w:rsidRDefault="00CD744D" w:rsidP="008153EA">
      <w:pPr>
        <w:pStyle w:val="4"/>
      </w:pPr>
      <w:r w:rsidRPr="005B464B">
        <w:rPr>
          <w:rFonts w:hint="eastAsia"/>
        </w:rPr>
        <w:t>如本院前案</w:t>
      </w:r>
      <w:r w:rsidRPr="005B464B">
        <w:rPr>
          <w:rStyle w:val="aff2"/>
        </w:rPr>
        <w:footnoteReference w:id="14"/>
      </w:r>
      <w:r w:rsidR="00646E08" w:rsidRPr="005B464B">
        <w:rPr>
          <w:rFonts w:hint="eastAsia"/>
        </w:rPr>
        <w:t>調查意見指出，</w:t>
      </w:r>
      <w:r w:rsidRPr="005B464B">
        <w:rPr>
          <w:rFonts w:hint="eastAsia"/>
        </w:rPr>
        <w:t>教育部長期未善盡高等教育及技職教育政策規劃引導職責，致我國</w:t>
      </w:r>
      <w:r w:rsidRPr="005B464B">
        <w:rPr>
          <w:rFonts w:hint="eastAsia"/>
        </w:rPr>
        <w:lastRenderedPageBreak/>
        <w:t>高等教育邁向普及型後，雖提供升學機會數量劇增，惟一般教育與技職教育之目標、過程等界線卻逐漸模糊，教育定位不明，</w:t>
      </w:r>
      <w:proofErr w:type="gramStart"/>
      <w:r w:rsidRPr="005B464B">
        <w:rPr>
          <w:rFonts w:hint="eastAsia"/>
        </w:rPr>
        <w:t>況</w:t>
      </w:r>
      <w:proofErr w:type="gramEnd"/>
      <w:r w:rsidRPr="005B464B">
        <w:rPr>
          <w:rFonts w:hint="eastAsia"/>
        </w:rPr>
        <w:t>部分後期成立之大學運作指標</w:t>
      </w:r>
      <w:proofErr w:type="gramStart"/>
      <w:r w:rsidRPr="005B464B">
        <w:rPr>
          <w:rFonts w:hint="eastAsia"/>
        </w:rPr>
        <w:t>更</w:t>
      </w:r>
      <w:r w:rsidR="00162D39" w:rsidRPr="005B464B">
        <w:rPr>
          <w:rFonts w:hint="eastAsia"/>
        </w:rPr>
        <w:t>向技職校</w:t>
      </w:r>
      <w:proofErr w:type="gramEnd"/>
      <w:r w:rsidR="00162D39" w:rsidRPr="005B464B">
        <w:rPr>
          <w:rFonts w:hint="eastAsia"/>
        </w:rPr>
        <w:t>院</w:t>
      </w:r>
      <w:r w:rsidRPr="005B464B">
        <w:rPr>
          <w:rFonts w:hint="eastAsia"/>
        </w:rPr>
        <w:t>傾斜</w:t>
      </w:r>
      <w:r w:rsidR="00646E08" w:rsidRPr="005B464B">
        <w:rPr>
          <w:rFonts w:hint="eastAsia"/>
        </w:rPr>
        <w:t>，恐難彰顯學術或務實特色，落實人才培育目標</w:t>
      </w:r>
      <w:r w:rsidRPr="005B464B">
        <w:rPr>
          <w:rFonts w:hint="eastAsia"/>
        </w:rPr>
        <w:t>等語；復如本院前案</w:t>
      </w:r>
      <w:r w:rsidRPr="005B464B">
        <w:rPr>
          <w:rStyle w:val="aff2"/>
        </w:rPr>
        <w:footnoteReference w:id="15"/>
      </w:r>
      <w:r w:rsidRPr="005B464B">
        <w:rPr>
          <w:rFonts w:hint="eastAsia"/>
        </w:rPr>
        <w:t>調查意見亦指出，「我國高等教育體系出現明顯向低成本之服務業相關科系傾斜態勢，各目的事業主管機關針對我國產業結構與人力供需之對接尚不明確，實難</w:t>
      </w:r>
      <w:proofErr w:type="gramStart"/>
      <w:r w:rsidRPr="005B464B">
        <w:rPr>
          <w:rFonts w:hint="eastAsia"/>
        </w:rPr>
        <w:t>對焦系所</w:t>
      </w:r>
      <w:proofErr w:type="gramEnd"/>
      <w:r w:rsidRPr="005B464B">
        <w:rPr>
          <w:rFonts w:hint="eastAsia"/>
        </w:rPr>
        <w:t>發展需求，且目前赴歐美留學生數量呈下降趨勢，教育部似未嚴肅以待，均不利國家整體人才培育及產業結構配置需求</w:t>
      </w:r>
      <w:r w:rsidRPr="005B464B">
        <w:t>…</w:t>
      </w:r>
      <w:proofErr w:type="gramStart"/>
      <w:r w:rsidRPr="005B464B">
        <w:t>…</w:t>
      </w:r>
      <w:proofErr w:type="gramEnd"/>
      <w:r w:rsidRPr="005B464B">
        <w:rPr>
          <w:rFonts w:hint="eastAsia"/>
        </w:rPr>
        <w:t>」等語可</w:t>
      </w:r>
      <w:proofErr w:type="gramStart"/>
      <w:r w:rsidRPr="005B464B">
        <w:rPr>
          <w:rFonts w:hint="eastAsia"/>
        </w:rPr>
        <w:t>稽</w:t>
      </w:r>
      <w:proofErr w:type="gramEnd"/>
      <w:r w:rsidRPr="005B464B">
        <w:rPr>
          <w:rFonts w:hint="eastAsia"/>
        </w:rPr>
        <w:t>。</w:t>
      </w:r>
    </w:p>
    <w:p w:rsidR="00C31ADB" w:rsidRPr="005B464B" w:rsidRDefault="00C31ADB" w:rsidP="008153EA">
      <w:pPr>
        <w:pStyle w:val="4"/>
      </w:pPr>
      <w:r w:rsidRPr="005B464B">
        <w:rPr>
          <w:rFonts w:hint="eastAsia"/>
        </w:rPr>
        <w:t>教育部102年「人才培育白皮書」亦載明，「近年來我國產業的轉型與外移，使產業人力需求起了相當的變化，領域別與階層別的人力，皆應適度調整，然而人力資源規劃卻未隨社會與產業的變化而適時修正，特別是高等教育過度的發展，培育出較過去多約</w:t>
      </w:r>
      <w:r w:rsidRPr="005B464B">
        <w:t>3</w:t>
      </w:r>
      <w:r w:rsidRPr="005B464B">
        <w:rPr>
          <w:rFonts w:hint="eastAsia"/>
        </w:rPr>
        <w:t>倍的大學人力，卻未能有效回應社會與產業的需求」。又，教育部業於104年6月18日修正公布「專科學校法」，新增科技大學向下改制之法源依據，如增訂由專科改制之技術學院或由技術學院改名之科技大學得改制為專科學校，及由職業學校改制之專科學校得再改制為職業學校之要件及程序，並增訂技術學院或科技大學辦學績效不佳，教育部得命其改制為專科學校、專科學校辦學績效不佳，經限期改善而無效果者，</w:t>
      </w:r>
      <w:proofErr w:type="gramStart"/>
      <w:r w:rsidRPr="005B464B">
        <w:rPr>
          <w:rFonts w:hint="eastAsia"/>
        </w:rPr>
        <w:t>該部得命</w:t>
      </w:r>
      <w:proofErr w:type="gramEnd"/>
      <w:r w:rsidRPr="005B464B">
        <w:rPr>
          <w:rFonts w:hint="eastAsia"/>
        </w:rPr>
        <w:t>其停辦、專科學校改名、合併</w:t>
      </w:r>
      <w:r w:rsidRPr="005B464B">
        <w:rPr>
          <w:rFonts w:hint="eastAsia"/>
        </w:rPr>
        <w:lastRenderedPageBreak/>
        <w:t>之相關規定（同法第7條、第8條及第9條參照）</w:t>
      </w:r>
      <w:r w:rsidRPr="005B464B">
        <w:rPr>
          <w:rStyle w:val="aff2"/>
        </w:rPr>
        <w:footnoteReference w:id="16"/>
      </w:r>
      <w:r w:rsidRPr="005B464B">
        <w:rPr>
          <w:rFonts w:hint="eastAsia"/>
        </w:rPr>
        <w:t>。因此，過去高職改制而成專科，及由專科、技術學院升格的科技大學等，若因校務發展需要，或學校遭遇重大困難、不能繼續辦理，將可向教育部申請向下調整學制。此亦彰顯，過去在未能謹慎整體</w:t>
      </w:r>
      <w:proofErr w:type="gramStart"/>
      <w:r w:rsidRPr="005B464B">
        <w:rPr>
          <w:rFonts w:hint="eastAsia"/>
        </w:rPr>
        <w:t>擘</w:t>
      </w:r>
      <w:proofErr w:type="gramEnd"/>
      <w:r w:rsidRPr="005B464B">
        <w:rPr>
          <w:rFonts w:hint="eastAsia"/>
        </w:rPr>
        <w:t>劃及評估情形之下，教育部對於我國高等教育普通大學目的及技職教育之功能</w:t>
      </w:r>
      <w:r w:rsidR="003236FD" w:rsidRPr="005B464B">
        <w:rPr>
          <w:rFonts w:hint="eastAsia"/>
        </w:rPr>
        <w:t>似</w:t>
      </w:r>
      <w:r w:rsidRPr="005B464B">
        <w:rPr>
          <w:rFonts w:hint="eastAsia"/>
        </w:rPr>
        <w:t>未審慎</w:t>
      </w:r>
      <w:proofErr w:type="gramStart"/>
      <w:r w:rsidR="00004F4F" w:rsidRPr="005B464B">
        <w:rPr>
          <w:rFonts w:hint="eastAsia"/>
        </w:rPr>
        <w:t>擘</w:t>
      </w:r>
      <w:proofErr w:type="gramEnd"/>
      <w:r w:rsidR="00004F4F" w:rsidRPr="005B464B">
        <w:rPr>
          <w:rFonts w:hint="eastAsia"/>
        </w:rPr>
        <w:t>劃與評估</w:t>
      </w:r>
      <w:r w:rsidRPr="005B464B">
        <w:rPr>
          <w:rFonts w:hint="eastAsia"/>
        </w:rPr>
        <w:t>整體高教政策藍圖。</w:t>
      </w:r>
    </w:p>
    <w:p w:rsidR="00C31ADB" w:rsidRPr="005B464B" w:rsidRDefault="00C31ADB" w:rsidP="008153EA">
      <w:pPr>
        <w:pStyle w:val="4"/>
      </w:pPr>
      <w:proofErr w:type="gramStart"/>
      <w:r w:rsidRPr="005B464B">
        <w:rPr>
          <w:rFonts w:hint="eastAsia"/>
        </w:rPr>
        <w:t>另</w:t>
      </w:r>
      <w:proofErr w:type="gramEnd"/>
      <w:r w:rsidRPr="005B464B">
        <w:rPr>
          <w:rFonts w:hint="eastAsia"/>
        </w:rPr>
        <w:t>，依行政院</w:t>
      </w:r>
      <w:r w:rsidRPr="005B464B">
        <w:rPr>
          <w:rFonts w:hAnsi="標楷體" w:hint="eastAsia"/>
        </w:rPr>
        <w:t>「</w:t>
      </w:r>
      <w:r w:rsidRPr="005B464B">
        <w:rPr>
          <w:rFonts w:hint="eastAsia"/>
        </w:rPr>
        <w:t>國家發展計畫</w:t>
      </w:r>
      <w:r w:rsidRPr="005B464B">
        <w:rPr>
          <w:rFonts w:hAnsi="標楷體" w:hint="eastAsia"/>
        </w:rPr>
        <w:t>（</w:t>
      </w:r>
      <w:r w:rsidRPr="005B464B">
        <w:t>106</w:t>
      </w:r>
      <w:r w:rsidRPr="005B464B">
        <w:rPr>
          <w:rFonts w:hint="eastAsia"/>
        </w:rPr>
        <w:t>至</w:t>
      </w:r>
      <w:r w:rsidRPr="005B464B">
        <w:t>109</w:t>
      </w:r>
      <w:r w:rsidRPr="005B464B">
        <w:rPr>
          <w:rFonts w:hint="eastAsia"/>
        </w:rPr>
        <w:t>年四年計畫暨</w:t>
      </w:r>
      <w:r w:rsidRPr="005B464B">
        <w:t>106</w:t>
      </w:r>
      <w:r w:rsidRPr="005B464B">
        <w:rPr>
          <w:rFonts w:hint="eastAsia"/>
        </w:rPr>
        <w:t>年計畫）</w:t>
      </w:r>
      <w:r w:rsidRPr="005B464B">
        <w:rPr>
          <w:rFonts w:hAnsi="標楷體" w:hint="eastAsia"/>
        </w:rPr>
        <w:t>」</w:t>
      </w:r>
      <w:r w:rsidRPr="005B464B">
        <w:rPr>
          <w:rStyle w:val="aff2"/>
          <w:rFonts w:hAnsi="標楷體"/>
        </w:rPr>
        <w:footnoteReference w:id="17"/>
      </w:r>
      <w:r w:rsidRPr="005B464B">
        <w:rPr>
          <w:rFonts w:hAnsi="標楷體" w:hint="eastAsia"/>
        </w:rPr>
        <w:t>二、大專校院轉型及退場機制</w:t>
      </w:r>
      <w:r w:rsidRPr="005B464B">
        <w:rPr>
          <w:rFonts w:hAnsi="標楷體"/>
        </w:rPr>
        <w:t>(106</w:t>
      </w:r>
      <w:r w:rsidRPr="005B464B">
        <w:rPr>
          <w:rFonts w:hAnsi="標楷體" w:hint="eastAsia"/>
        </w:rPr>
        <w:t>至</w:t>
      </w:r>
      <w:r w:rsidRPr="005B464B">
        <w:rPr>
          <w:rFonts w:hAnsi="標楷體"/>
        </w:rPr>
        <w:t>109</w:t>
      </w:r>
      <w:r w:rsidRPr="005B464B">
        <w:rPr>
          <w:rFonts w:hAnsi="標楷體" w:hint="eastAsia"/>
        </w:rPr>
        <w:t>年</w:t>
      </w:r>
      <w:r w:rsidRPr="005B464B">
        <w:rPr>
          <w:rFonts w:hAnsi="標楷體"/>
        </w:rPr>
        <w:t>)</w:t>
      </w:r>
      <w:r w:rsidRPr="005B464B">
        <w:rPr>
          <w:rFonts w:hint="eastAsia"/>
        </w:rPr>
        <w:t>載明，在少子女化的衝擊下，大學供需失衡，學校營運困難，已影響學生受教品質。為維持高等教育品質，政府將於</w:t>
      </w:r>
      <w:r w:rsidRPr="005B464B">
        <w:t>106</w:t>
      </w:r>
      <w:r w:rsidRPr="005B464B">
        <w:rPr>
          <w:rFonts w:hint="eastAsia"/>
        </w:rPr>
        <w:t>年設置「大專校院轉型及退場基金」，在保障教職員權益及學生受教權之前提下，鼓勵學校有效運用現有資源，調整現行規模及營運模式，推動大專校院轉型發展，或協助學校法人停辦所設大專校院後，設立其他類型學校、改辦其他教育、文化或社會福利事業或解散清算。又，本院前案調查意見針對未來我國學術能量隱憂亦指出</w:t>
      </w:r>
      <w:r w:rsidRPr="005B464B">
        <w:rPr>
          <w:rStyle w:val="aff2"/>
        </w:rPr>
        <w:footnoteReference w:id="18"/>
      </w:r>
      <w:r w:rsidRPr="005B464B">
        <w:rPr>
          <w:rFonts w:hint="eastAsia"/>
        </w:rPr>
        <w:t>，</w:t>
      </w:r>
      <w:r w:rsidRPr="005B464B">
        <w:rPr>
          <w:rFonts w:hAnsi="標楷體" w:hint="eastAsia"/>
        </w:rPr>
        <w:t>「</w:t>
      </w:r>
      <w:r w:rsidRPr="005B464B">
        <w:rPr>
          <w:rFonts w:hint="eastAsia"/>
        </w:rPr>
        <w:t>在少子女化現象延燒下，我國高等教育</w:t>
      </w:r>
      <w:proofErr w:type="gramStart"/>
      <w:r w:rsidRPr="005B464B">
        <w:rPr>
          <w:rFonts w:hint="eastAsia"/>
        </w:rPr>
        <w:t>之生源逐年</w:t>
      </w:r>
      <w:proofErr w:type="gramEnd"/>
      <w:r w:rsidRPr="005B464B">
        <w:rPr>
          <w:rFonts w:hint="eastAsia"/>
        </w:rPr>
        <w:t>嚴重短缺，</w:t>
      </w:r>
      <w:proofErr w:type="gramStart"/>
      <w:r w:rsidRPr="005B464B">
        <w:rPr>
          <w:rFonts w:hint="eastAsia"/>
        </w:rPr>
        <w:t>爰</w:t>
      </w:r>
      <w:proofErr w:type="gramEnd"/>
      <w:r w:rsidRPr="005B464B">
        <w:rPr>
          <w:rFonts w:hint="eastAsia"/>
        </w:rPr>
        <w:t>教育部於98年發布大學總量發展規模與資源條件標準，以落實大學自主理念、促進大學未來發展整體規劃、維持大學基本教學品質，並於100年修正發布名稱及全文，納入了科技大</w:t>
      </w:r>
      <w:r w:rsidRPr="005B464B">
        <w:rPr>
          <w:rFonts w:hint="eastAsia"/>
        </w:rPr>
        <w:lastRenderedPageBreak/>
        <w:t>學、技術學院及專科學校</w:t>
      </w:r>
      <w:r w:rsidRPr="005B464B">
        <w:rPr>
          <w:rFonts w:hAnsi="標楷體" w:hint="eastAsia"/>
        </w:rPr>
        <w:t>…</w:t>
      </w:r>
      <w:proofErr w:type="gramStart"/>
      <w:r w:rsidRPr="005B464B">
        <w:rPr>
          <w:rFonts w:hAnsi="標楷體" w:hint="eastAsia"/>
        </w:rPr>
        <w:t>…</w:t>
      </w:r>
      <w:proofErr w:type="gramEnd"/>
      <w:r w:rsidRPr="005B464B">
        <w:rPr>
          <w:rFonts w:hint="eastAsia"/>
        </w:rPr>
        <w:t>在整體</w:t>
      </w:r>
      <w:proofErr w:type="gramStart"/>
      <w:r w:rsidRPr="005B464B">
        <w:rPr>
          <w:rFonts w:hint="eastAsia"/>
        </w:rPr>
        <w:t>高教生源</w:t>
      </w:r>
      <w:proofErr w:type="gramEnd"/>
      <w:r w:rsidRPr="005B464B">
        <w:rPr>
          <w:rFonts w:hAnsi="標楷體" w:hint="eastAsia"/>
        </w:rPr>
        <w:t>、</w:t>
      </w:r>
      <w:r w:rsidRPr="005B464B">
        <w:rPr>
          <w:rFonts w:hint="eastAsia"/>
        </w:rPr>
        <w:t>教師逐漸減少前提下，我國學</w:t>
      </w:r>
      <w:proofErr w:type="gramStart"/>
      <w:r w:rsidRPr="005B464B">
        <w:rPr>
          <w:rFonts w:hint="eastAsia"/>
        </w:rPr>
        <w:t>研</w:t>
      </w:r>
      <w:proofErr w:type="gramEnd"/>
      <w:r w:rsidRPr="005B464B">
        <w:rPr>
          <w:rFonts w:hint="eastAsia"/>
        </w:rPr>
        <w:t>人才未來恐將減少，後續學術研發能量及人才出走之衝擊均亟待解決</w:t>
      </w:r>
      <w:r w:rsidRPr="005B464B">
        <w:rPr>
          <w:rFonts w:hAnsi="標楷體" w:hint="eastAsia"/>
        </w:rPr>
        <w:t>」等語可參</w:t>
      </w:r>
      <w:r w:rsidRPr="005B464B">
        <w:rPr>
          <w:rFonts w:hint="eastAsia"/>
        </w:rPr>
        <w:t>。是</w:t>
      </w:r>
      <w:proofErr w:type="gramStart"/>
      <w:r w:rsidRPr="005B464B">
        <w:rPr>
          <w:rFonts w:hint="eastAsia"/>
        </w:rPr>
        <w:t>以</w:t>
      </w:r>
      <w:proofErr w:type="gramEnd"/>
      <w:r w:rsidRPr="005B464B">
        <w:rPr>
          <w:rFonts w:hint="eastAsia"/>
        </w:rPr>
        <w:t>，在現實環境及有限資源分配下，部分私校為求招生並回應高教競爭市場，雖辦學積極並致力發展特色，惟本院前系列調查案歷次履</w:t>
      </w:r>
      <w:proofErr w:type="gramStart"/>
      <w:r w:rsidRPr="005B464B">
        <w:rPr>
          <w:rFonts w:hint="eastAsia"/>
        </w:rPr>
        <w:t>勘</w:t>
      </w:r>
      <w:proofErr w:type="gramEnd"/>
      <w:r w:rsidRPr="005B464B">
        <w:rPr>
          <w:rFonts w:hint="eastAsia"/>
        </w:rPr>
        <w:t>結果亦顯示，目前各校新興科系開設</w:t>
      </w:r>
      <w:proofErr w:type="gramStart"/>
      <w:r w:rsidRPr="005B464B">
        <w:rPr>
          <w:rFonts w:hint="eastAsia"/>
        </w:rPr>
        <w:t>方向雖符應</w:t>
      </w:r>
      <w:proofErr w:type="gramEnd"/>
      <w:r w:rsidRPr="005B464B">
        <w:rPr>
          <w:rFonts w:hint="eastAsia"/>
        </w:rPr>
        <w:t>高齡社會</w:t>
      </w:r>
      <w:r w:rsidR="00964EBE" w:rsidRPr="005B464B">
        <w:rPr>
          <w:rFonts w:hint="eastAsia"/>
        </w:rPr>
        <w:t>需求，</w:t>
      </w:r>
      <w:proofErr w:type="gramStart"/>
      <w:r w:rsidR="00964EBE" w:rsidRPr="005B464B">
        <w:rPr>
          <w:rFonts w:hint="eastAsia"/>
        </w:rPr>
        <w:t>然未見</w:t>
      </w:r>
      <w:proofErr w:type="gramEnd"/>
      <w:r w:rsidR="00964EBE" w:rsidRPr="005B464B">
        <w:rPr>
          <w:rFonts w:hint="eastAsia"/>
        </w:rPr>
        <w:t>整體人才培育管制及長期市場供需</w:t>
      </w:r>
      <w:r w:rsidRPr="005B464B">
        <w:rPr>
          <w:rFonts w:hint="eastAsia"/>
        </w:rPr>
        <w:t>評估，</w:t>
      </w:r>
      <w:proofErr w:type="gramStart"/>
      <w:r w:rsidRPr="005B464B">
        <w:rPr>
          <w:rFonts w:hint="eastAsia"/>
        </w:rPr>
        <w:t>況</w:t>
      </w:r>
      <w:proofErr w:type="gramEnd"/>
      <w:r w:rsidRPr="005B464B">
        <w:rPr>
          <w:rFonts w:hint="eastAsia"/>
        </w:rPr>
        <w:t>部分私立普通大學積極完備軟硬體以回應就業市場，</w:t>
      </w:r>
      <w:r w:rsidR="00964EBE" w:rsidRPr="005B464B">
        <w:rPr>
          <w:rFonts w:hint="eastAsia"/>
        </w:rPr>
        <w:t>頗</w:t>
      </w:r>
      <w:proofErr w:type="gramStart"/>
      <w:r w:rsidRPr="005B464B">
        <w:rPr>
          <w:rFonts w:hint="eastAsia"/>
        </w:rPr>
        <w:t>近似技</w:t>
      </w:r>
      <w:proofErr w:type="gramEnd"/>
      <w:r w:rsidRPr="005B464B">
        <w:rPr>
          <w:rFonts w:hint="eastAsia"/>
        </w:rPr>
        <w:t>職訓練模式，此</w:t>
      </w:r>
      <w:r w:rsidR="008D554F" w:rsidRPr="005B464B">
        <w:rPr>
          <w:rFonts w:hint="eastAsia"/>
        </w:rPr>
        <w:t>等作為雖有鏈結產業</w:t>
      </w:r>
      <w:r w:rsidR="00966F54" w:rsidRPr="005B464B">
        <w:rPr>
          <w:rFonts w:hint="eastAsia"/>
        </w:rPr>
        <w:t>需求意圖，惟對於</w:t>
      </w:r>
      <w:r w:rsidRPr="005B464B">
        <w:rPr>
          <w:rFonts w:hint="eastAsia"/>
        </w:rPr>
        <w:t>我國大學學術能量匯聚及國際競爭力之</w:t>
      </w:r>
      <w:r w:rsidR="00966F54" w:rsidRPr="005B464B">
        <w:rPr>
          <w:rFonts w:hint="eastAsia"/>
        </w:rPr>
        <w:t>未來</w:t>
      </w:r>
      <w:r w:rsidRPr="005B464B">
        <w:rPr>
          <w:rFonts w:hint="eastAsia"/>
        </w:rPr>
        <w:t>整體影響</w:t>
      </w:r>
      <w:r w:rsidR="00966F54" w:rsidRPr="005B464B">
        <w:rPr>
          <w:rFonts w:hint="eastAsia"/>
        </w:rPr>
        <w:t>究</w:t>
      </w:r>
      <w:r w:rsidRPr="005B464B">
        <w:rPr>
          <w:rFonts w:hint="eastAsia"/>
        </w:rPr>
        <w:t>如何，</w:t>
      </w:r>
      <w:proofErr w:type="gramStart"/>
      <w:r w:rsidRPr="005B464B">
        <w:rPr>
          <w:rFonts w:hint="eastAsia"/>
        </w:rPr>
        <w:t>均待主管機關</w:t>
      </w:r>
      <w:proofErr w:type="gramEnd"/>
      <w:r w:rsidR="00966F54" w:rsidRPr="005B464B">
        <w:rPr>
          <w:rFonts w:hint="eastAsia"/>
        </w:rPr>
        <w:t>確實</w:t>
      </w:r>
      <w:r w:rsidRPr="005B464B">
        <w:rPr>
          <w:rFonts w:hint="eastAsia"/>
        </w:rPr>
        <w:t>評估。</w:t>
      </w:r>
    </w:p>
    <w:p w:rsidR="007110F6" w:rsidRPr="005B464B" w:rsidRDefault="00BE5ED9" w:rsidP="005635CD">
      <w:pPr>
        <w:pStyle w:val="3"/>
        <w:numPr>
          <w:ilvl w:val="2"/>
          <w:numId w:val="1"/>
        </w:numPr>
        <w:ind w:leftChars="294" w:left="1681"/>
      </w:pPr>
      <w:r w:rsidRPr="005B464B">
        <w:rPr>
          <w:rFonts w:hint="eastAsia"/>
        </w:rPr>
        <w:t>又</w:t>
      </w:r>
      <w:r w:rsidR="007110F6" w:rsidRPr="005B464B">
        <w:rPr>
          <w:rFonts w:hint="eastAsia"/>
        </w:rPr>
        <w:t>「大學法」第1條開宗明義載明大學之目的</w:t>
      </w:r>
      <w:r w:rsidRPr="005B464B">
        <w:rPr>
          <w:rFonts w:hint="eastAsia"/>
        </w:rPr>
        <w:t>在「研究學術，培育人才，提升文化，服務社會，促進國家發展</w:t>
      </w:r>
      <w:r w:rsidR="007110F6" w:rsidRPr="005B464B">
        <w:rPr>
          <w:rFonts w:hint="eastAsia"/>
        </w:rPr>
        <w:t>」</w:t>
      </w:r>
      <w:r w:rsidRPr="005B464B">
        <w:rPr>
          <w:rFonts w:hint="eastAsia"/>
        </w:rPr>
        <w:t>。</w:t>
      </w:r>
      <w:r w:rsidR="007110F6" w:rsidRPr="005B464B">
        <w:rPr>
          <w:rFonts w:hint="eastAsia"/>
        </w:rPr>
        <w:t>教育部90年出版</w:t>
      </w:r>
      <w:r w:rsidR="0021044F" w:rsidRPr="005B464B">
        <w:rPr>
          <w:rFonts w:hint="eastAsia"/>
        </w:rPr>
        <w:t>之</w:t>
      </w:r>
      <w:r w:rsidR="007110F6" w:rsidRPr="005B464B">
        <w:rPr>
          <w:rFonts w:hint="eastAsia"/>
        </w:rPr>
        <w:t>「大學教育政策白皮書」亦載明「在尊重學術自由與大學自主之餘，尤應加強學術工作的責任，嚴守學術道德規範，增加研究與教學工作的自我評量，才能提高大學的績效。</w:t>
      </w:r>
      <w:proofErr w:type="gramStart"/>
      <w:r w:rsidR="007110F6" w:rsidRPr="005B464B">
        <w:rPr>
          <w:rFonts w:hint="eastAsia"/>
        </w:rPr>
        <w:t>此外，</w:t>
      </w:r>
      <w:proofErr w:type="gramEnd"/>
      <w:r w:rsidR="007110F6" w:rsidRPr="005B464B">
        <w:rPr>
          <w:rFonts w:hint="eastAsia"/>
        </w:rPr>
        <w:t>品質的維護乃是大學的重要工作，除教學、研究與推廣服務外，尚包括學生素質的提升與學術環境的維護與改善…</w:t>
      </w:r>
      <w:proofErr w:type="gramStart"/>
      <w:r w:rsidR="007110F6" w:rsidRPr="005B464B">
        <w:rPr>
          <w:rFonts w:hint="eastAsia"/>
        </w:rPr>
        <w:t>…</w:t>
      </w:r>
      <w:proofErr w:type="gramEnd"/>
      <w:r w:rsidR="007110F6" w:rsidRPr="005B464B">
        <w:rPr>
          <w:rFonts w:hint="eastAsia"/>
        </w:rPr>
        <w:t>」等，揭</w:t>
      </w:r>
      <w:proofErr w:type="gramStart"/>
      <w:r w:rsidR="007110F6" w:rsidRPr="005B464B">
        <w:rPr>
          <w:rFonts w:hint="eastAsia"/>
        </w:rPr>
        <w:t>櫫</w:t>
      </w:r>
      <w:proofErr w:type="gramEnd"/>
      <w:r w:rsidR="007110F6" w:rsidRPr="005B464B">
        <w:rPr>
          <w:rFonts w:hint="eastAsia"/>
        </w:rPr>
        <w:t>大學之理念包括「研究學術、探索真理；大學自主、學術自由；追求卓越、提昇品質；結合社區、善盡責任；邁向國際、學術輸出」等。而</w:t>
      </w:r>
      <w:r w:rsidR="0021044F" w:rsidRPr="005B464B">
        <w:rPr>
          <w:rFonts w:hint="eastAsia"/>
        </w:rPr>
        <w:t>如前述，</w:t>
      </w:r>
      <w:r w:rsidR="007110F6" w:rsidRPr="005B464B">
        <w:rPr>
          <w:rFonts w:hint="eastAsia"/>
        </w:rPr>
        <w:t>目前</w:t>
      </w:r>
      <w:r w:rsidR="00B424A5" w:rsidRPr="005B464B">
        <w:rPr>
          <w:rFonts w:hint="eastAsia"/>
        </w:rPr>
        <w:t>不少大學</w:t>
      </w:r>
      <w:r w:rsidR="007110F6" w:rsidRPr="005B464B">
        <w:rPr>
          <w:rFonts w:hint="eastAsia"/>
        </w:rPr>
        <w:t>為因應少子女化之招生</w:t>
      </w:r>
      <w:r w:rsidR="00AB0D90" w:rsidRPr="005B464B">
        <w:rPr>
          <w:rFonts w:hint="eastAsia"/>
        </w:rPr>
        <w:t>困難</w:t>
      </w:r>
      <w:r w:rsidR="007110F6" w:rsidRPr="005B464B">
        <w:rPr>
          <w:rFonts w:hint="eastAsia"/>
        </w:rPr>
        <w:t>及解決產學落差等問題，</w:t>
      </w:r>
      <w:r w:rsidR="00AB0D90" w:rsidRPr="005B464B">
        <w:rPr>
          <w:rFonts w:hint="eastAsia"/>
        </w:rPr>
        <w:t>習以</w:t>
      </w:r>
      <w:r w:rsidR="007110F6" w:rsidRPr="005B464B">
        <w:rPr>
          <w:rFonts w:hint="eastAsia"/>
        </w:rPr>
        <w:t>回應就業市場</w:t>
      </w:r>
      <w:r w:rsidR="00AE52E9" w:rsidRPr="005B464B">
        <w:rPr>
          <w:rFonts w:hint="eastAsia"/>
        </w:rPr>
        <w:t>為辦學依據</w:t>
      </w:r>
      <w:r w:rsidR="007110F6" w:rsidRPr="005B464B">
        <w:rPr>
          <w:rFonts w:hint="eastAsia"/>
        </w:rPr>
        <w:t>，</w:t>
      </w:r>
      <w:r w:rsidR="00BD2E0C" w:rsidRPr="005B464B">
        <w:rPr>
          <w:rFonts w:hint="eastAsia"/>
        </w:rPr>
        <w:t>長</w:t>
      </w:r>
      <w:r w:rsidR="007110F6" w:rsidRPr="005B464B">
        <w:rPr>
          <w:rFonts w:hint="eastAsia"/>
        </w:rPr>
        <w:t>此以往</w:t>
      </w:r>
      <w:r w:rsidR="00BD2E0C" w:rsidRPr="005B464B">
        <w:rPr>
          <w:rFonts w:hint="eastAsia"/>
        </w:rPr>
        <w:t>，</w:t>
      </w:r>
      <w:r w:rsidR="007110F6" w:rsidRPr="005B464B">
        <w:rPr>
          <w:rFonts w:hint="eastAsia"/>
        </w:rPr>
        <w:t>恐將對</w:t>
      </w:r>
      <w:r w:rsidR="00BD2E0C" w:rsidRPr="005B464B">
        <w:rPr>
          <w:rFonts w:hint="eastAsia"/>
        </w:rPr>
        <w:t>高教發展及整體學術能量造成不利影響</w:t>
      </w:r>
      <w:r w:rsidR="007110F6" w:rsidRPr="005B464B">
        <w:rPr>
          <w:rFonts w:hint="eastAsia"/>
        </w:rPr>
        <w:t>，實不容忽視。學者</w:t>
      </w:r>
      <w:proofErr w:type="gramStart"/>
      <w:r w:rsidR="007110F6" w:rsidRPr="005B464B">
        <w:rPr>
          <w:rFonts w:hint="eastAsia"/>
        </w:rPr>
        <w:t>蓋浙生</w:t>
      </w:r>
      <w:proofErr w:type="gramEnd"/>
      <w:r w:rsidR="007110F6" w:rsidRPr="005B464B">
        <w:rPr>
          <w:rFonts w:hint="eastAsia"/>
        </w:rPr>
        <w:t>（民93）</w:t>
      </w:r>
      <w:r w:rsidR="000D15EF" w:rsidRPr="005B464B">
        <w:rPr>
          <w:rFonts w:hint="eastAsia"/>
        </w:rPr>
        <w:lastRenderedPageBreak/>
        <w:t>的</w:t>
      </w:r>
      <w:r w:rsidR="007110F6" w:rsidRPr="005B464B">
        <w:rPr>
          <w:rFonts w:hint="eastAsia"/>
        </w:rPr>
        <w:t>研究指出</w:t>
      </w:r>
      <w:r w:rsidR="007110F6" w:rsidRPr="005B464B">
        <w:rPr>
          <w:rStyle w:val="aff2"/>
        </w:rPr>
        <w:footnoteReference w:id="19"/>
      </w:r>
      <w:r w:rsidR="007110F6" w:rsidRPr="005B464B">
        <w:rPr>
          <w:rFonts w:hint="eastAsia"/>
        </w:rPr>
        <w:t>，「</w:t>
      </w:r>
      <w:r w:rsidR="007110F6" w:rsidRPr="005B464B">
        <w:rPr>
          <w:rFonts w:hAnsi="標楷體" w:hint="eastAsia"/>
        </w:rPr>
        <w:t>…</w:t>
      </w:r>
      <w:proofErr w:type="gramStart"/>
      <w:r w:rsidR="007110F6" w:rsidRPr="005B464B">
        <w:rPr>
          <w:rFonts w:hAnsi="標楷體" w:hint="eastAsia"/>
        </w:rPr>
        <w:t>…</w:t>
      </w:r>
      <w:proofErr w:type="gramEnd"/>
      <w:r w:rsidR="007110F6" w:rsidRPr="005B464B">
        <w:rPr>
          <w:rFonts w:ascii="Arial" w:cs="Arial"/>
        </w:rPr>
        <w:t>高等教育在市場運作上，只能</w:t>
      </w:r>
      <w:proofErr w:type="gramStart"/>
      <w:r w:rsidR="007110F6" w:rsidRPr="005B464B">
        <w:rPr>
          <w:rFonts w:ascii="Arial" w:cs="Arial"/>
        </w:rPr>
        <w:t>說是一種準</w:t>
      </w:r>
      <w:proofErr w:type="gramEnd"/>
      <w:r w:rsidR="007110F6" w:rsidRPr="005B464B">
        <w:rPr>
          <w:rFonts w:ascii="Arial" w:cs="Arial"/>
        </w:rPr>
        <w:t>市場的機制，對高等教育發展而言，是契機而非危機。設若臺灣未來高等教育發展無法避免此一趨勢的來臨，政府應該主動提出若干配套措施，釋放若干誘因，鼓勵大學朝此一方向邁進</w:t>
      </w:r>
      <w:r w:rsidR="007110F6" w:rsidRPr="005B464B">
        <w:rPr>
          <w:rFonts w:hAnsi="標楷體" w:hint="eastAsia"/>
        </w:rPr>
        <w:t>…</w:t>
      </w:r>
      <w:proofErr w:type="gramStart"/>
      <w:r w:rsidR="007110F6" w:rsidRPr="005B464B">
        <w:rPr>
          <w:rFonts w:hAnsi="標楷體" w:hint="eastAsia"/>
        </w:rPr>
        <w:t>…</w:t>
      </w:r>
      <w:proofErr w:type="gramEnd"/>
      <w:r w:rsidR="007110F6" w:rsidRPr="005B464B">
        <w:rPr>
          <w:rFonts w:hint="eastAsia"/>
        </w:rPr>
        <w:t>」等語。又學者邱天助（民102）亦指出</w:t>
      </w:r>
      <w:r w:rsidR="007110F6" w:rsidRPr="005B464B">
        <w:rPr>
          <w:rStyle w:val="aff2"/>
        </w:rPr>
        <w:footnoteReference w:id="20"/>
      </w:r>
      <w:r w:rsidR="007110F6" w:rsidRPr="005B464B">
        <w:rPr>
          <w:rFonts w:hint="eastAsia"/>
        </w:rPr>
        <w:t>，「教育產業化與技術化在某種程度下對國家經濟提供正面的助益，但它也改變了知識的本質和價值。</w:t>
      </w:r>
      <w:r w:rsidR="007110F6" w:rsidRPr="005B464B">
        <w:rPr>
          <w:rFonts w:hAnsi="標楷體" w:hint="eastAsia"/>
        </w:rPr>
        <w:t>…</w:t>
      </w:r>
      <w:proofErr w:type="gramStart"/>
      <w:r w:rsidR="007110F6" w:rsidRPr="005B464B">
        <w:rPr>
          <w:rFonts w:hAnsi="標楷體" w:hint="eastAsia"/>
        </w:rPr>
        <w:t>…</w:t>
      </w:r>
      <w:proofErr w:type="gramEnd"/>
      <w:r w:rsidR="007110F6" w:rsidRPr="005B464B">
        <w:rPr>
          <w:rFonts w:hint="eastAsia"/>
        </w:rPr>
        <w:t>教育產業化原意是以大學在知識和技術上的優勢，來帶動產業的發展。但是，台灣目前的模式卻是倒過頭來，由產業老闆以就業的需求來指導大學的發展，大學教育成為企業發展的跟屁蟲， 所謂人才的培育</w:t>
      </w:r>
      <w:proofErr w:type="gramStart"/>
      <w:r w:rsidR="007110F6" w:rsidRPr="005B464B">
        <w:rPr>
          <w:rFonts w:hint="eastAsia"/>
        </w:rPr>
        <w:t>窄</w:t>
      </w:r>
      <w:proofErr w:type="gramEnd"/>
      <w:r w:rsidR="007110F6" w:rsidRPr="005B464B">
        <w:rPr>
          <w:rFonts w:hint="eastAsia"/>
        </w:rPr>
        <w:t>化成就業技能的訓練</w:t>
      </w:r>
      <w:r w:rsidR="007110F6" w:rsidRPr="005B464B">
        <w:rPr>
          <w:rFonts w:hAnsi="標楷體" w:hint="eastAsia"/>
        </w:rPr>
        <w:t>…</w:t>
      </w:r>
      <w:proofErr w:type="gramStart"/>
      <w:r w:rsidR="007110F6" w:rsidRPr="005B464B">
        <w:rPr>
          <w:rFonts w:hAnsi="標楷體" w:hint="eastAsia"/>
        </w:rPr>
        <w:t>…</w:t>
      </w:r>
      <w:proofErr w:type="gramEnd"/>
      <w:r w:rsidR="007110F6" w:rsidRPr="005B464B">
        <w:rPr>
          <w:rFonts w:hint="eastAsia"/>
        </w:rPr>
        <w:t>」等語，均提醒政府在高等教育朝向市場競爭的發展下，宜有</w:t>
      </w:r>
      <w:r w:rsidR="001049EB" w:rsidRPr="005B464B">
        <w:rPr>
          <w:rFonts w:hint="eastAsia"/>
        </w:rPr>
        <w:t>更</w:t>
      </w:r>
      <w:r w:rsidR="007110F6" w:rsidRPr="005B464B">
        <w:rPr>
          <w:rFonts w:hint="eastAsia"/>
        </w:rPr>
        <w:t>深入之政策思考</w:t>
      </w:r>
      <w:r w:rsidR="001049EB" w:rsidRPr="005B464B">
        <w:rPr>
          <w:rFonts w:hint="eastAsia"/>
        </w:rPr>
        <w:t>和</w:t>
      </w:r>
      <w:r w:rsidR="007110F6" w:rsidRPr="005B464B">
        <w:rPr>
          <w:rFonts w:hint="eastAsia"/>
        </w:rPr>
        <w:t>配套等積極作為，以確保大學價值及其功能，並維持</w:t>
      </w:r>
      <w:r w:rsidR="00B370A8" w:rsidRPr="005B464B">
        <w:rPr>
          <w:rFonts w:hint="eastAsia"/>
        </w:rPr>
        <w:t>一定的</w:t>
      </w:r>
      <w:r w:rsidR="007110F6" w:rsidRPr="005B464B">
        <w:rPr>
          <w:rFonts w:hint="eastAsia"/>
        </w:rPr>
        <w:t>高等人才培育水準，</w:t>
      </w:r>
      <w:r w:rsidR="00817B1B" w:rsidRPr="005B464B">
        <w:rPr>
          <w:rFonts w:hint="eastAsia"/>
        </w:rPr>
        <w:t>以</w:t>
      </w:r>
      <w:r w:rsidR="00F83993" w:rsidRPr="005B464B">
        <w:rPr>
          <w:rFonts w:hint="eastAsia"/>
        </w:rPr>
        <w:t>提升</w:t>
      </w:r>
      <w:r w:rsidR="007110F6" w:rsidRPr="005B464B">
        <w:rPr>
          <w:rFonts w:hint="eastAsia"/>
        </w:rPr>
        <w:t>國際競爭力。</w:t>
      </w:r>
    </w:p>
    <w:p w:rsidR="007110F6" w:rsidRPr="005B464B" w:rsidRDefault="007110F6" w:rsidP="005635CD">
      <w:pPr>
        <w:pStyle w:val="3"/>
        <w:ind w:leftChars="294" w:left="1681"/>
      </w:pPr>
      <w:proofErr w:type="gramStart"/>
      <w:r w:rsidRPr="005B464B">
        <w:rPr>
          <w:rFonts w:hint="eastAsia"/>
        </w:rPr>
        <w:t>此外，</w:t>
      </w:r>
      <w:proofErr w:type="gramEnd"/>
      <w:r w:rsidRPr="005B464B">
        <w:rPr>
          <w:rFonts w:hint="eastAsia"/>
        </w:rPr>
        <w:t>教育部評鑑工具部分已進行革新計畫，該部指出，刻正</w:t>
      </w:r>
      <w:proofErr w:type="gramStart"/>
      <w:r w:rsidRPr="005B464B">
        <w:rPr>
          <w:rFonts w:hint="eastAsia"/>
        </w:rPr>
        <w:t>研議技</w:t>
      </w:r>
      <w:proofErr w:type="gramEnd"/>
      <w:r w:rsidRPr="005B464B">
        <w:rPr>
          <w:rFonts w:hint="eastAsia"/>
        </w:rPr>
        <w:t>專校院</w:t>
      </w:r>
      <w:r w:rsidR="00F0350E" w:rsidRPr="005B464B">
        <w:rPr>
          <w:rFonts w:hint="eastAsia"/>
        </w:rPr>
        <w:t>2.0</w:t>
      </w:r>
      <w:r w:rsidRPr="005B464B">
        <w:rPr>
          <w:rFonts w:hint="eastAsia"/>
        </w:rPr>
        <w:t>評鑑指標，以教師教學品質、學生學習成效及資訊公開為軸心，依規劃時程預定於106年底公告指標，並適用於107學年度受評學校</w:t>
      </w:r>
      <w:r w:rsidRPr="005B464B">
        <w:rPr>
          <w:rFonts w:hAnsi="標楷體" w:hint="eastAsia"/>
        </w:rPr>
        <w:t>…</w:t>
      </w:r>
      <w:proofErr w:type="gramStart"/>
      <w:r w:rsidRPr="005B464B">
        <w:rPr>
          <w:rFonts w:hAnsi="標楷體" w:hint="eastAsia"/>
        </w:rPr>
        <w:t>…</w:t>
      </w:r>
      <w:proofErr w:type="gramEnd"/>
      <w:r w:rsidRPr="005B464B">
        <w:rPr>
          <w:rFonts w:hint="eastAsia"/>
        </w:rPr>
        <w:t>等語。又，106學年度起該部不再辦理系所科評鑑（含追蹤評鑑、再評鑑及專案評鑑），</w:t>
      </w:r>
      <w:r w:rsidR="00444E34" w:rsidRPr="005B464B">
        <w:rPr>
          <w:rFonts w:hint="eastAsia"/>
        </w:rPr>
        <w:t>將</w:t>
      </w:r>
      <w:r w:rsidRPr="005B464B">
        <w:rPr>
          <w:rFonts w:hint="eastAsia"/>
        </w:rPr>
        <w:t>回歸由學校專業發展自主規劃。</w:t>
      </w:r>
      <w:proofErr w:type="gramStart"/>
      <w:r w:rsidRPr="005B464B">
        <w:rPr>
          <w:rFonts w:hint="eastAsia"/>
        </w:rPr>
        <w:t>另</w:t>
      </w:r>
      <w:proofErr w:type="gramEnd"/>
      <w:r w:rsidRPr="005B464B">
        <w:rPr>
          <w:rFonts w:hint="eastAsia"/>
        </w:rPr>
        <w:t>，因應高等教育評鑑政策的改變與橋接國際高等教育品保趨勢，</w:t>
      </w:r>
      <w:proofErr w:type="gramStart"/>
      <w:r w:rsidRPr="005B464B">
        <w:rPr>
          <w:rFonts w:hint="eastAsia"/>
        </w:rPr>
        <w:t>高評中心</w:t>
      </w:r>
      <w:proofErr w:type="gramEnd"/>
      <w:r w:rsidRPr="005B464B">
        <w:rPr>
          <w:rFonts w:hint="eastAsia"/>
        </w:rPr>
        <w:t>已朝下列方向規劃發展：專責評鑑與服務、國際輸出與接軌、評鑑人才發</w:t>
      </w:r>
      <w:r w:rsidRPr="005B464B">
        <w:rPr>
          <w:rFonts w:hint="eastAsia"/>
        </w:rPr>
        <w:lastRenderedPageBreak/>
        <w:t>展與培訓、強化評鑑智庫功能，並持續強化各項作為，以符高等教育評鑑需求等語。</w:t>
      </w:r>
      <w:proofErr w:type="gramStart"/>
      <w:r w:rsidRPr="005B464B">
        <w:rPr>
          <w:rFonts w:hint="eastAsia"/>
        </w:rPr>
        <w:t>此外，</w:t>
      </w:r>
      <w:r w:rsidR="000668DC" w:rsidRPr="005B464B">
        <w:rPr>
          <w:rFonts w:hint="eastAsia"/>
        </w:rPr>
        <w:t>有鑑</w:t>
      </w:r>
      <w:proofErr w:type="gramEnd"/>
      <w:r w:rsidR="000668DC" w:rsidRPr="005B464B">
        <w:rPr>
          <w:rFonts w:hint="eastAsia"/>
        </w:rPr>
        <w:t>於以</w:t>
      </w:r>
      <w:r w:rsidRPr="005B464B">
        <w:rPr>
          <w:rFonts w:hint="eastAsia"/>
        </w:rPr>
        <w:t>負面量化指標作為條件進行合併篩選，易</w:t>
      </w:r>
      <w:r w:rsidR="000668DC" w:rsidRPr="005B464B">
        <w:rPr>
          <w:rFonts w:hint="eastAsia"/>
        </w:rPr>
        <w:t>增</w:t>
      </w:r>
      <w:r w:rsidRPr="005B464B">
        <w:rPr>
          <w:rFonts w:hint="eastAsia"/>
        </w:rPr>
        <w:t>合併案推動難度（如將評鑑結果不</w:t>
      </w:r>
      <w:r w:rsidR="0065726C" w:rsidRPr="005B464B">
        <w:rPr>
          <w:rFonts w:hint="eastAsia"/>
        </w:rPr>
        <w:t>佳者列為優先整</w:t>
      </w:r>
      <w:proofErr w:type="gramStart"/>
      <w:r w:rsidR="0065726C" w:rsidRPr="005B464B">
        <w:rPr>
          <w:rFonts w:hint="eastAsia"/>
        </w:rPr>
        <w:t>併</w:t>
      </w:r>
      <w:proofErr w:type="gramEnd"/>
      <w:r w:rsidR="0065726C" w:rsidRPr="005B464B">
        <w:rPr>
          <w:rFonts w:hint="eastAsia"/>
        </w:rPr>
        <w:t>對象，恐降低其他學校與其合併之意願），</w:t>
      </w:r>
      <w:proofErr w:type="gramStart"/>
      <w:r w:rsidR="0065726C" w:rsidRPr="005B464B">
        <w:rPr>
          <w:rFonts w:hint="eastAsia"/>
        </w:rPr>
        <w:t>爰</w:t>
      </w:r>
      <w:proofErr w:type="gramEnd"/>
      <w:r w:rsidR="0065726C" w:rsidRPr="005B464B">
        <w:rPr>
          <w:rFonts w:hint="eastAsia"/>
        </w:rPr>
        <w:t>教育部</w:t>
      </w:r>
      <w:r w:rsidRPr="005B464B">
        <w:rPr>
          <w:rFonts w:hint="eastAsia"/>
        </w:rPr>
        <w:t>後續</w:t>
      </w:r>
      <w:r w:rsidR="000668DC" w:rsidRPr="005B464B">
        <w:rPr>
          <w:rFonts w:hint="eastAsia"/>
        </w:rPr>
        <w:t>不再</w:t>
      </w:r>
      <w:r w:rsidRPr="005B464B">
        <w:rPr>
          <w:rFonts w:hint="eastAsia"/>
        </w:rPr>
        <w:t>以負面量化指標作為合併篩選條件。然配合</w:t>
      </w:r>
      <w:r w:rsidRPr="005B464B">
        <w:t>評鑑與負面處分脫勾之政策</w:t>
      </w:r>
      <w:r w:rsidRPr="005B464B">
        <w:rPr>
          <w:rStyle w:val="aff2"/>
        </w:rPr>
        <w:footnoteReference w:id="21"/>
      </w:r>
      <w:r w:rsidRPr="005B464B">
        <w:rPr>
          <w:rFonts w:hint="eastAsia"/>
        </w:rPr>
        <w:t>，該</w:t>
      </w:r>
      <w:proofErr w:type="gramStart"/>
      <w:r w:rsidRPr="005B464B">
        <w:rPr>
          <w:rFonts w:hint="eastAsia"/>
        </w:rPr>
        <w:t>部刻正研議私</w:t>
      </w:r>
      <w:proofErr w:type="gramEnd"/>
      <w:r w:rsidRPr="005B464B">
        <w:rPr>
          <w:rFonts w:hint="eastAsia"/>
        </w:rPr>
        <w:t>校輔導指標之篩選標準，檢討評鑑指標之合理性。</w:t>
      </w:r>
      <w:proofErr w:type="gramStart"/>
      <w:r w:rsidRPr="005B464B">
        <w:rPr>
          <w:rFonts w:hint="eastAsia"/>
        </w:rPr>
        <w:t>爰</w:t>
      </w:r>
      <w:proofErr w:type="gramEnd"/>
      <w:r w:rsidRPr="005B464B">
        <w:rPr>
          <w:rFonts w:hint="eastAsia"/>
        </w:rPr>
        <w:t>此，目前針對大學整</w:t>
      </w:r>
      <w:proofErr w:type="gramStart"/>
      <w:r w:rsidRPr="005B464B">
        <w:rPr>
          <w:rFonts w:hint="eastAsia"/>
        </w:rPr>
        <w:t>併</w:t>
      </w:r>
      <w:proofErr w:type="gramEnd"/>
      <w:r w:rsidRPr="005B464B">
        <w:rPr>
          <w:rFonts w:hint="eastAsia"/>
        </w:rPr>
        <w:t>之強制性不足，又相關改革雖助益學校自主，惟於評鑑工具與政府資源分配逐漸</w:t>
      </w:r>
      <w:proofErr w:type="gramStart"/>
      <w:r w:rsidRPr="005B464B">
        <w:rPr>
          <w:rFonts w:hint="eastAsia"/>
        </w:rPr>
        <w:t>脫勾下</w:t>
      </w:r>
      <w:proofErr w:type="gramEnd"/>
      <w:r w:rsidRPr="005B464B">
        <w:rPr>
          <w:rFonts w:hint="eastAsia"/>
        </w:rPr>
        <w:t>，爾後教育部針對大專校院整體發展特色之引導仍有待其他政策精進，期能於大學自治</w:t>
      </w:r>
      <w:r w:rsidR="0065726C" w:rsidRPr="005B464B">
        <w:rPr>
          <w:rFonts w:hint="eastAsia"/>
        </w:rPr>
        <w:t>及國家</w:t>
      </w:r>
      <w:r w:rsidRPr="005B464B">
        <w:rPr>
          <w:rFonts w:hint="eastAsia"/>
        </w:rPr>
        <w:t>發展角色中尋求平衡，以提升國家競爭力。</w:t>
      </w:r>
    </w:p>
    <w:p w:rsidR="00D974E1" w:rsidRPr="005B464B" w:rsidRDefault="00D974E1" w:rsidP="00D974E1">
      <w:pPr>
        <w:pStyle w:val="3"/>
        <w:numPr>
          <w:ilvl w:val="2"/>
          <w:numId w:val="1"/>
        </w:numPr>
      </w:pPr>
      <w:r w:rsidRPr="005B464B">
        <w:rPr>
          <w:rFonts w:hint="eastAsia"/>
        </w:rPr>
        <w:t>復據教育部表示，依</w:t>
      </w:r>
      <w:r w:rsidRPr="005B464B">
        <w:rPr>
          <w:rFonts w:hAnsi="標楷體" w:hint="eastAsia"/>
        </w:rPr>
        <w:t>「</w:t>
      </w:r>
      <w:r w:rsidRPr="005B464B">
        <w:rPr>
          <w:rFonts w:hint="eastAsia"/>
        </w:rPr>
        <w:t>大學法</w:t>
      </w:r>
      <w:r w:rsidRPr="005B464B">
        <w:rPr>
          <w:rFonts w:hAnsi="標楷體" w:hint="eastAsia"/>
        </w:rPr>
        <w:t>」</w:t>
      </w:r>
      <w:r w:rsidRPr="005B464B">
        <w:t>第7條第2項</w:t>
      </w:r>
      <w:r w:rsidRPr="005B464B">
        <w:rPr>
          <w:rFonts w:hint="eastAsia"/>
        </w:rPr>
        <w:t>國立大學合併</w:t>
      </w:r>
      <w:r w:rsidRPr="005B464B">
        <w:t>由上而下</w:t>
      </w:r>
      <w:r w:rsidRPr="005B464B">
        <w:rPr>
          <w:rFonts w:hint="eastAsia"/>
        </w:rPr>
        <w:t>推動者，成功機率低，目前亦無</w:t>
      </w:r>
      <w:r w:rsidRPr="005B464B">
        <w:t>此類</w:t>
      </w:r>
      <w:r w:rsidRPr="005B464B">
        <w:rPr>
          <w:rFonts w:hint="eastAsia"/>
        </w:rPr>
        <w:t>合併</w:t>
      </w:r>
      <w:r w:rsidRPr="005B464B">
        <w:t>成功案例</w:t>
      </w:r>
      <w:r w:rsidRPr="005B464B">
        <w:rPr>
          <w:rFonts w:hint="eastAsia"/>
        </w:rPr>
        <w:t>，而</w:t>
      </w:r>
      <w:r w:rsidRPr="005B464B">
        <w:rPr>
          <w:rFonts w:hAnsi="標楷體" w:hint="eastAsia"/>
          <w:szCs w:val="32"/>
        </w:rPr>
        <w:t>近十餘年來</w:t>
      </w:r>
      <w:r w:rsidRPr="005B464B">
        <w:rPr>
          <w:rFonts w:hint="eastAsia"/>
        </w:rPr>
        <w:t>完成之7件</w:t>
      </w:r>
      <w:r w:rsidRPr="005B464B">
        <w:rPr>
          <w:rStyle w:val="aff2"/>
        </w:rPr>
        <w:footnoteReference w:id="22"/>
      </w:r>
      <w:r w:rsidRPr="005B464B">
        <w:rPr>
          <w:rFonts w:hint="eastAsia"/>
        </w:rPr>
        <w:t>公立大學合併案，</w:t>
      </w:r>
      <w:proofErr w:type="gramStart"/>
      <w:r w:rsidRPr="005B464B">
        <w:rPr>
          <w:rFonts w:hint="eastAsia"/>
        </w:rPr>
        <w:t>均屬</w:t>
      </w:r>
      <w:proofErr w:type="gramEnd"/>
      <w:r w:rsidRPr="005B464B">
        <w:rPr>
          <w:rFonts w:hAnsi="標楷體" w:hint="eastAsia"/>
        </w:rPr>
        <w:t>「</w:t>
      </w:r>
      <w:r w:rsidRPr="005B464B">
        <w:rPr>
          <w:rFonts w:hint="eastAsia"/>
        </w:rPr>
        <w:t>大學法</w:t>
      </w:r>
      <w:r w:rsidRPr="005B464B">
        <w:rPr>
          <w:rFonts w:hAnsi="標楷體" w:hint="eastAsia"/>
        </w:rPr>
        <w:t>」</w:t>
      </w:r>
      <w:r w:rsidRPr="005B464B">
        <w:rPr>
          <w:rFonts w:hint="eastAsia"/>
        </w:rPr>
        <w:t>第7條第1項所定之學校由下而上主動推動類型；</w:t>
      </w:r>
      <w:r w:rsidRPr="005B464B">
        <w:rPr>
          <w:rFonts w:hAnsi="標楷體" w:hint="eastAsia"/>
          <w:szCs w:val="32"/>
        </w:rPr>
        <w:t>茲將各案合併概況與報核實施期程表</w:t>
      </w:r>
      <w:proofErr w:type="gramStart"/>
      <w:r w:rsidRPr="005B464B">
        <w:rPr>
          <w:rFonts w:hAnsi="標楷體" w:hint="eastAsia"/>
          <w:szCs w:val="32"/>
        </w:rPr>
        <w:t>列如</w:t>
      </w:r>
      <w:proofErr w:type="gramEnd"/>
      <w:r w:rsidRPr="005B464B">
        <w:rPr>
          <w:rFonts w:hAnsi="標楷體" w:hint="eastAsia"/>
          <w:szCs w:val="32"/>
        </w:rPr>
        <w:t>下：</w:t>
      </w:r>
    </w:p>
    <w:p w:rsidR="00000C7C" w:rsidRPr="005B464B" w:rsidRDefault="00000C7C" w:rsidP="00000C7C">
      <w:pPr>
        <w:pStyle w:val="2"/>
        <w:numPr>
          <w:ilvl w:val="0"/>
          <w:numId w:val="0"/>
        </w:numPr>
        <w:ind w:left="1021"/>
      </w:pPr>
    </w:p>
    <w:p w:rsidR="00000C7C" w:rsidRPr="005B464B" w:rsidRDefault="00000C7C" w:rsidP="00000C7C">
      <w:pPr>
        <w:pStyle w:val="2"/>
        <w:numPr>
          <w:ilvl w:val="0"/>
          <w:numId w:val="0"/>
        </w:numPr>
        <w:ind w:left="1021"/>
      </w:pPr>
    </w:p>
    <w:p w:rsidR="00000C7C" w:rsidRPr="005B464B" w:rsidRDefault="00000C7C" w:rsidP="00000C7C">
      <w:pPr>
        <w:pStyle w:val="2"/>
        <w:numPr>
          <w:ilvl w:val="0"/>
          <w:numId w:val="0"/>
        </w:numPr>
        <w:ind w:left="1021"/>
      </w:pPr>
    </w:p>
    <w:p w:rsidR="00D974E1" w:rsidRPr="005B464B" w:rsidRDefault="00D974E1" w:rsidP="00D974E1">
      <w:pPr>
        <w:pStyle w:val="a3"/>
        <w:spacing w:line="400" w:lineRule="exact"/>
        <w:jc w:val="center"/>
        <w:rPr>
          <w:b/>
        </w:rPr>
      </w:pPr>
      <w:r w:rsidRPr="005B464B">
        <w:rPr>
          <w:rFonts w:hint="eastAsia"/>
          <w:b/>
        </w:rPr>
        <w:lastRenderedPageBreak/>
        <w:t>近十餘年我國推動公立大專校院合併名單與報核情形</w:t>
      </w:r>
    </w:p>
    <w:tbl>
      <w:tblPr>
        <w:tblStyle w:val="afb"/>
        <w:tblW w:w="5321" w:type="pct"/>
        <w:tblInd w:w="-318" w:type="dxa"/>
        <w:tblLook w:val="04A0" w:firstRow="1" w:lastRow="0" w:firstColumn="1" w:lastColumn="0" w:noHBand="0" w:noVBand="1"/>
      </w:tblPr>
      <w:tblGrid>
        <w:gridCol w:w="1986"/>
        <w:gridCol w:w="2551"/>
        <w:gridCol w:w="2349"/>
        <w:gridCol w:w="2756"/>
      </w:tblGrid>
      <w:tr w:rsidR="00E53741" w:rsidRPr="005B464B" w:rsidTr="001C64D2">
        <w:trPr>
          <w:trHeight w:val="516"/>
          <w:tblHeader/>
        </w:trPr>
        <w:tc>
          <w:tcPr>
            <w:tcW w:w="1030" w:type="pct"/>
            <w:vAlign w:val="center"/>
          </w:tcPr>
          <w:p w:rsidR="00D974E1" w:rsidRPr="005B464B" w:rsidRDefault="00D974E1" w:rsidP="001C64D2">
            <w:pPr>
              <w:jc w:val="center"/>
              <w:rPr>
                <w:rFonts w:hAnsi="標楷體"/>
                <w:b/>
                <w:sz w:val="26"/>
                <w:szCs w:val="26"/>
              </w:rPr>
            </w:pPr>
            <w:proofErr w:type="gramStart"/>
            <w:r w:rsidRPr="005B464B">
              <w:rPr>
                <w:rFonts w:hAnsi="標楷體"/>
                <w:b/>
                <w:sz w:val="26"/>
                <w:szCs w:val="26"/>
              </w:rPr>
              <w:t>合併後校名</w:t>
            </w:r>
            <w:proofErr w:type="gramEnd"/>
          </w:p>
        </w:tc>
        <w:tc>
          <w:tcPr>
            <w:tcW w:w="1323" w:type="pct"/>
            <w:vAlign w:val="center"/>
          </w:tcPr>
          <w:p w:rsidR="00D974E1" w:rsidRPr="005B464B" w:rsidRDefault="00D974E1" w:rsidP="001C64D2">
            <w:pPr>
              <w:jc w:val="center"/>
              <w:rPr>
                <w:rFonts w:hAnsi="標楷體"/>
                <w:b/>
                <w:sz w:val="26"/>
                <w:szCs w:val="26"/>
              </w:rPr>
            </w:pPr>
            <w:r w:rsidRPr="005B464B">
              <w:rPr>
                <w:rFonts w:hAnsi="標楷體" w:hint="eastAsia"/>
                <w:b/>
                <w:sz w:val="26"/>
                <w:szCs w:val="26"/>
              </w:rPr>
              <w:t>合併前原校名</w:t>
            </w:r>
          </w:p>
        </w:tc>
        <w:tc>
          <w:tcPr>
            <w:tcW w:w="1218" w:type="pct"/>
            <w:vAlign w:val="center"/>
          </w:tcPr>
          <w:p w:rsidR="00D974E1" w:rsidRPr="005B464B" w:rsidRDefault="00D974E1" w:rsidP="001C64D2">
            <w:pPr>
              <w:jc w:val="center"/>
              <w:rPr>
                <w:rFonts w:hAnsi="標楷體"/>
                <w:b/>
                <w:sz w:val="26"/>
                <w:szCs w:val="26"/>
              </w:rPr>
            </w:pPr>
            <w:r w:rsidRPr="005B464B">
              <w:rPr>
                <w:rFonts w:hAnsi="標楷體"/>
                <w:b/>
                <w:sz w:val="26"/>
                <w:szCs w:val="26"/>
              </w:rPr>
              <w:t>報行政院公文</w:t>
            </w:r>
          </w:p>
        </w:tc>
        <w:tc>
          <w:tcPr>
            <w:tcW w:w="1429" w:type="pct"/>
            <w:vAlign w:val="center"/>
          </w:tcPr>
          <w:p w:rsidR="00D974E1" w:rsidRPr="005B464B" w:rsidRDefault="00D974E1" w:rsidP="001C64D2">
            <w:pPr>
              <w:pStyle w:val="afc"/>
              <w:ind w:leftChars="0" w:left="0"/>
              <w:jc w:val="center"/>
              <w:rPr>
                <w:rFonts w:hAnsi="標楷體"/>
                <w:b/>
                <w:sz w:val="26"/>
                <w:szCs w:val="26"/>
              </w:rPr>
            </w:pPr>
            <w:r w:rsidRPr="005B464B">
              <w:rPr>
                <w:rFonts w:hAnsi="標楷體"/>
                <w:b/>
                <w:sz w:val="26"/>
                <w:szCs w:val="26"/>
              </w:rPr>
              <w:t>行政院</w:t>
            </w:r>
            <w:r w:rsidRPr="005B464B">
              <w:rPr>
                <w:rFonts w:hAnsi="標楷體" w:hint="eastAsia"/>
                <w:b/>
                <w:sz w:val="26"/>
                <w:szCs w:val="26"/>
              </w:rPr>
              <w:t>回復</w:t>
            </w:r>
            <w:r w:rsidRPr="005B464B">
              <w:rPr>
                <w:rFonts w:hAnsi="標楷體"/>
                <w:b/>
                <w:sz w:val="26"/>
                <w:szCs w:val="26"/>
              </w:rPr>
              <w:t>情形</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hint="eastAsia"/>
                <w:b/>
                <w:sz w:val="26"/>
                <w:szCs w:val="26"/>
              </w:rPr>
              <w:t>國立嘉義大學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國立嘉義師範學院</w:t>
            </w:r>
          </w:p>
          <w:p w:rsidR="00D974E1" w:rsidRPr="005B464B" w:rsidRDefault="00D974E1" w:rsidP="001C64D2">
            <w:pPr>
              <w:jc w:val="distribute"/>
              <w:rPr>
                <w:rFonts w:hAnsi="標楷體"/>
                <w:sz w:val="26"/>
                <w:szCs w:val="26"/>
              </w:rPr>
            </w:pPr>
            <w:r w:rsidRPr="005B464B">
              <w:rPr>
                <w:rFonts w:hAnsi="標楷體" w:hint="eastAsia"/>
                <w:sz w:val="26"/>
                <w:szCs w:val="26"/>
              </w:rPr>
              <w:t>國立嘉義技術學院</w:t>
            </w:r>
          </w:p>
        </w:tc>
        <w:tc>
          <w:tcPr>
            <w:tcW w:w="1218" w:type="pct"/>
          </w:tcPr>
          <w:p w:rsidR="00D974E1" w:rsidRPr="005B464B" w:rsidRDefault="00D974E1" w:rsidP="001C64D2">
            <w:pPr>
              <w:jc w:val="distribute"/>
              <w:rPr>
                <w:rFonts w:hAnsi="標楷體"/>
                <w:sz w:val="26"/>
                <w:szCs w:val="26"/>
              </w:rPr>
            </w:pPr>
            <w:r w:rsidRPr="005B464B">
              <w:rPr>
                <w:rFonts w:hAnsi="標楷體" w:hint="eastAsia"/>
                <w:sz w:val="26"/>
                <w:szCs w:val="26"/>
              </w:rPr>
              <w:t>88年2月24日</w:t>
            </w:r>
            <w:r w:rsidRPr="005B464B">
              <w:rPr>
                <w:rFonts w:hAnsi="標楷體"/>
                <w:sz w:val="26"/>
                <w:szCs w:val="26"/>
              </w:rPr>
              <w:br/>
            </w:r>
            <w:r w:rsidRPr="005B464B">
              <w:rPr>
                <w:rFonts w:hAnsi="標楷體" w:hint="eastAsia"/>
                <w:sz w:val="26"/>
                <w:szCs w:val="26"/>
              </w:rPr>
              <w:t>台（88）高（一）字</w:t>
            </w:r>
            <w:r w:rsidRPr="005B464B">
              <w:rPr>
                <w:rFonts w:hAnsi="標楷體"/>
                <w:sz w:val="26"/>
                <w:szCs w:val="26"/>
              </w:rPr>
              <w:t>第88019578號函</w:t>
            </w:r>
          </w:p>
        </w:tc>
        <w:tc>
          <w:tcPr>
            <w:tcW w:w="1429" w:type="pct"/>
          </w:tcPr>
          <w:p w:rsidR="00D974E1" w:rsidRPr="005B464B" w:rsidRDefault="00D974E1" w:rsidP="001C64D2">
            <w:pPr>
              <w:pStyle w:val="afc"/>
              <w:ind w:leftChars="0" w:left="0"/>
              <w:jc w:val="distribute"/>
              <w:rPr>
                <w:rFonts w:hAnsi="標楷體"/>
                <w:sz w:val="26"/>
                <w:szCs w:val="26"/>
              </w:rPr>
            </w:pPr>
            <w:r w:rsidRPr="005B464B">
              <w:rPr>
                <w:rFonts w:hAnsi="標楷體" w:hint="eastAsia"/>
                <w:sz w:val="26"/>
                <w:szCs w:val="26"/>
              </w:rPr>
              <w:t>88年3月5日</w:t>
            </w:r>
            <w:r w:rsidRPr="005B464B">
              <w:rPr>
                <w:rFonts w:hAnsi="標楷體"/>
                <w:sz w:val="26"/>
                <w:szCs w:val="26"/>
              </w:rPr>
              <w:br/>
              <w:t>台88教</w:t>
            </w:r>
            <w:r w:rsidRPr="005B464B">
              <w:rPr>
                <w:rFonts w:hAnsi="標楷體" w:hint="eastAsia"/>
                <w:sz w:val="26"/>
                <w:szCs w:val="26"/>
              </w:rPr>
              <w:t>08577號函</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hint="eastAsia"/>
                <w:b/>
                <w:sz w:val="26"/>
                <w:szCs w:val="26"/>
              </w:rPr>
              <w:t>國立臺灣</w:t>
            </w:r>
            <w:r w:rsidRPr="005B464B">
              <w:rPr>
                <w:rFonts w:hAnsi="標楷體"/>
                <w:b/>
                <w:sz w:val="26"/>
                <w:szCs w:val="26"/>
              </w:rPr>
              <w:br/>
            </w:r>
            <w:r w:rsidRPr="005B464B">
              <w:rPr>
                <w:rFonts w:hAnsi="標楷體" w:hint="eastAsia"/>
                <w:b/>
                <w:sz w:val="26"/>
                <w:szCs w:val="26"/>
              </w:rPr>
              <w:t>師範大學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國立臺灣師範大學</w:t>
            </w:r>
          </w:p>
          <w:p w:rsidR="00D974E1" w:rsidRPr="005B464B" w:rsidRDefault="00D974E1" w:rsidP="001C64D2">
            <w:pPr>
              <w:jc w:val="distribute"/>
              <w:rPr>
                <w:rFonts w:hAnsi="標楷體"/>
                <w:sz w:val="26"/>
                <w:szCs w:val="26"/>
              </w:rPr>
            </w:pPr>
            <w:r w:rsidRPr="005B464B">
              <w:rPr>
                <w:rFonts w:hAnsi="標楷體" w:hint="eastAsia"/>
                <w:sz w:val="26"/>
                <w:szCs w:val="26"/>
              </w:rPr>
              <w:t>國立僑生大學</w:t>
            </w:r>
          </w:p>
        </w:tc>
        <w:tc>
          <w:tcPr>
            <w:tcW w:w="1218" w:type="pct"/>
          </w:tcPr>
          <w:p w:rsidR="00D974E1" w:rsidRPr="005B464B" w:rsidRDefault="00D974E1" w:rsidP="001C64D2">
            <w:pPr>
              <w:jc w:val="distribute"/>
              <w:rPr>
                <w:rFonts w:hAnsi="標楷體"/>
                <w:sz w:val="26"/>
                <w:szCs w:val="26"/>
              </w:rPr>
            </w:pPr>
            <w:r w:rsidRPr="005B464B">
              <w:rPr>
                <w:rFonts w:hAnsi="標楷體" w:hint="eastAsia"/>
                <w:sz w:val="26"/>
                <w:szCs w:val="26"/>
              </w:rPr>
              <w:t>95年2月9日</w:t>
            </w:r>
            <w:r w:rsidRPr="005B464B">
              <w:rPr>
                <w:rFonts w:hAnsi="標楷體"/>
                <w:sz w:val="26"/>
                <w:szCs w:val="26"/>
              </w:rPr>
              <w:br/>
            </w:r>
            <w:r w:rsidRPr="005B464B">
              <w:rPr>
                <w:rFonts w:hAnsi="標楷體" w:hint="eastAsia"/>
                <w:sz w:val="26"/>
                <w:szCs w:val="26"/>
              </w:rPr>
              <w:t>台</w:t>
            </w:r>
            <w:r w:rsidRPr="005B464B">
              <w:rPr>
                <w:rFonts w:hAnsi="標楷體"/>
                <w:sz w:val="26"/>
                <w:szCs w:val="26"/>
              </w:rPr>
              <w:t>中（二）字第0950017336號函</w:t>
            </w:r>
          </w:p>
        </w:tc>
        <w:tc>
          <w:tcPr>
            <w:tcW w:w="1429" w:type="pct"/>
          </w:tcPr>
          <w:p w:rsidR="00D974E1" w:rsidRPr="005B464B" w:rsidRDefault="00D974E1" w:rsidP="001C64D2">
            <w:pPr>
              <w:pStyle w:val="afc"/>
              <w:ind w:leftChars="0" w:left="0"/>
              <w:jc w:val="distribute"/>
              <w:rPr>
                <w:rFonts w:hAnsi="標楷體"/>
                <w:sz w:val="26"/>
                <w:szCs w:val="26"/>
              </w:rPr>
            </w:pPr>
            <w:r w:rsidRPr="005B464B">
              <w:rPr>
                <w:rFonts w:hAnsi="標楷體" w:hint="eastAsia"/>
                <w:sz w:val="26"/>
                <w:szCs w:val="26"/>
              </w:rPr>
              <w:t>95年3月22日</w:t>
            </w:r>
            <w:r w:rsidRPr="005B464B">
              <w:rPr>
                <w:rFonts w:hAnsi="標楷體"/>
                <w:sz w:val="26"/>
                <w:szCs w:val="26"/>
              </w:rPr>
              <w:br/>
              <w:t>院</w:t>
            </w:r>
            <w:proofErr w:type="gramStart"/>
            <w:r w:rsidRPr="005B464B">
              <w:rPr>
                <w:rFonts w:hAnsi="標楷體"/>
                <w:sz w:val="26"/>
                <w:szCs w:val="26"/>
              </w:rPr>
              <w:t>臺教字</w:t>
            </w:r>
            <w:proofErr w:type="gramEnd"/>
            <w:r w:rsidRPr="005B464B">
              <w:rPr>
                <w:rFonts w:hAnsi="標楷體"/>
                <w:sz w:val="26"/>
                <w:szCs w:val="26"/>
              </w:rPr>
              <w:t>第0950012613號函</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b/>
                <w:sz w:val="26"/>
                <w:szCs w:val="26"/>
              </w:rPr>
              <w:t>國立東華大學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國立東華大學</w:t>
            </w:r>
          </w:p>
          <w:p w:rsidR="00D974E1" w:rsidRPr="005B464B" w:rsidRDefault="00D974E1" w:rsidP="001C64D2">
            <w:pPr>
              <w:jc w:val="distribute"/>
              <w:rPr>
                <w:rFonts w:hAnsi="標楷體"/>
                <w:sz w:val="26"/>
                <w:szCs w:val="26"/>
              </w:rPr>
            </w:pPr>
            <w:r w:rsidRPr="005B464B">
              <w:rPr>
                <w:rFonts w:hAnsi="標楷體" w:hint="eastAsia"/>
                <w:sz w:val="26"/>
                <w:szCs w:val="26"/>
              </w:rPr>
              <w:t>國立花蓮教育大學</w:t>
            </w:r>
          </w:p>
        </w:tc>
        <w:tc>
          <w:tcPr>
            <w:tcW w:w="1218" w:type="pct"/>
          </w:tcPr>
          <w:p w:rsidR="00D974E1" w:rsidRPr="005B464B" w:rsidRDefault="00D974E1" w:rsidP="001C64D2">
            <w:pPr>
              <w:jc w:val="distribute"/>
              <w:rPr>
                <w:rFonts w:hAnsi="標楷體"/>
                <w:sz w:val="26"/>
                <w:szCs w:val="26"/>
              </w:rPr>
            </w:pPr>
            <w:r w:rsidRPr="005B464B">
              <w:rPr>
                <w:rFonts w:hAnsi="標楷體"/>
                <w:sz w:val="26"/>
                <w:szCs w:val="26"/>
              </w:rPr>
              <w:t>97年6月30日</w:t>
            </w:r>
            <w:r w:rsidRPr="005B464B">
              <w:rPr>
                <w:rFonts w:hAnsi="標楷體" w:hint="eastAsia"/>
                <w:sz w:val="26"/>
                <w:szCs w:val="26"/>
              </w:rPr>
              <w:br/>
            </w:r>
            <w:r w:rsidRPr="005B464B">
              <w:rPr>
                <w:rFonts w:hAnsi="標楷體"/>
                <w:sz w:val="26"/>
                <w:szCs w:val="26"/>
              </w:rPr>
              <w:t>台高</w:t>
            </w:r>
            <w:r w:rsidRPr="005B464B">
              <w:rPr>
                <w:rFonts w:hAnsi="標楷體" w:hint="eastAsia"/>
                <w:sz w:val="26"/>
                <w:szCs w:val="26"/>
              </w:rPr>
              <w:t>(</w:t>
            </w:r>
            <w:r w:rsidRPr="005B464B">
              <w:rPr>
                <w:rFonts w:hAnsi="標楷體"/>
                <w:sz w:val="26"/>
                <w:szCs w:val="26"/>
              </w:rPr>
              <w:t>三</w:t>
            </w:r>
            <w:r w:rsidRPr="005B464B">
              <w:rPr>
                <w:rFonts w:hAnsi="標楷體" w:hint="eastAsia"/>
                <w:sz w:val="26"/>
                <w:szCs w:val="26"/>
              </w:rPr>
              <w:t>)</w:t>
            </w:r>
            <w:r w:rsidRPr="005B464B">
              <w:rPr>
                <w:rFonts w:hAnsi="標楷體"/>
                <w:sz w:val="26"/>
                <w:szCs w:val="26"/>
              </w:rPr>
              <w:t>字第0970123434號函</w:t>
            </w:r>
          </w:p>
        </w:tc>
        <w:tc>
          <w:tcPr>
            <w:tcW w:w="1429" w:type="pct"/>
          </w:tcPr>
          <w:p w:rsidR="00D974E1" w:rsidRPr="005B464B" w:rsidRDefault="00D974E1" w:rsidP="001C64D2">
            <w:pPr>
              <w:rPr>
                <w:rFonts w:hAnsi="標楷體"/>
                <w:sz w:val="26"/>
                <w:szCs w:val="26"/>
              </w:rPr>
            </w:pPr>
            <w:r w:rsidRPr="005B464B">
              <w:rPr>
                <w:rFonts w:hAnsi="標楷體"/>
                <w:sz w:val="26"/>
                <w:szCs w:val="26"/>
              </w:rPr>
              <w:t>97年7月11日院</w:t>
            </w:r>
            <w:proofErr w:type="gramStart"/>
            <w:r w:rsidRPr="005B464B">
              <w:rPr>
                <w:rFonts w:hAnsi="標楷體"/>
                <w:sz w:val="26"/>
                <w:szCs w:val="26"/>
              </w:rPr>
              <w:t>臺教字</w:t>
            </w:r>
            <w:proofErr w:type="gramEnd"/>
            <w:r w:rsidRPr="005B464B">
              <w:rPr>
                <w:rFonts w:hAnsi="標楷體"/>
                <w:sz w:val="26"/>
                <w:szCs w:val="26"/>
              </w:rPr>
              <w:t>第0970027852號函，原則同意</w:t>
            </w:r>
            <w:r w:rsidRPr="005B464B">
              <w:rPr>
                <w:rFonts w:hAnsi="標楷體" w:hint="eastAsia"/>
                <w:sz w:val="26"/>
                <w:szCs w:val="26"/>
              </w:rPr>
              <w:t>。</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b/>
                <w:sz w:val="26"/>
                <w:szCs w:val="26"/>
              </w:rPr>
              <w:t>國立</w:t>
            </w:r>
            <w:proofErr w:type="gramStart"/>
            <w:r w:rsidRPr="005B464B">
              <w:rPr>
                <w:rFonts w:hAnsi="標楷體"/>
                <w:b/>
                <w:sz w:val="26"/>
                <w:szCs w:val="26"/>
              </w:rPr>
              <w:t>臺</w:t>
            </w:r>
            <w:proofErr w:type="gramEnd"/>
            <w:r w:rsidRPr="005B464B">
              <w:rPr>
                <w:rFonts w:hAnsi="標楷體"/>
                <w:b/>
                <w:sz w:val="26"/>
                <w:szCs w:val="26"/>
              </w:rPr>
              <w:t>中</w:t>
            </w:r>
            <w:r w:rsidRPr="005B464B">
              <w:rPr>
                <w:rFonts w:hAnsi="標楷體" w:hint="eastAsia"/>
                <w:b/>
                <w:sz w:val="26"/>
                <w:szCs w:val="26"/>
              </w:rPr>
              <w:br/>
            </w:r>
            <w:r w:rsidRPr="005B464B">
              <w:rPr>
                <w:rFonts w:hAnsi="標楷體"/>
                <w:b/>
                <w:sz w:val="26"/>
                <w:szCs w:val="26"/>
              </w:rPr>
              <w:t>科技大學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w:t>
            </w:r>
            <w:proofErr w:type="gramStart"/>
            <w:r w:rsidRPr="005B464B">
              <w:rPr>
                <w:rFonts w:hAnsi="標楷體" w:hint="eastAsia"/>
                <w:sz w:val="26"/>
                <w:szCs w:val="26"/>
              </w:rPr>
              <w:t>臺</w:t>
            </w:r>
            <w:proofErr w:type="gramEnd"/>
            <w:r w:rsidRPr="005B464B">
              <w:rPr>
                <w:rFonts w:hAnsi="標楷體" w:hint="eastAsia"/>
                <w:sz w:val="26"/>
                <w:szCs w:val="26"/>
              </w:rPr>
              <w:t>中技術學院</w:t>
            </w:r>
          </w:p>
          <w:p w:rsidR="00D974E1" w:rsidRPr="005B464B" w:rsidRDefault="00D974E1" w:rsidP="001C64D2">
            <w:pPr>
              <w:jc w:val="distribute"/>
              <w:rPr>
                <w:rFonts w:hAnsi="標楷體"/>
                <w:sz w:val="26"/>
                <w:szCs w:val="26"/>
              </w:rPr>
            </w:pPr>
            <w:r w:rsidRPr="005B464B">
              <w:rPr>
                <w:rFonts w:hAnsi="標楷體" w:hint="eastAsia"/>
                <w:sz w:val="26"/>
                <w:szCs w:val="26"/>
              </w:rPr>
              <w:t>國立</w:t>
            </w:r>
            <w:proofErr w:type="gramStart"/>
            <w:r w:rsidRPr="005B464B">
              <w:rPr>
                <w:rFonts w:hAnsi="標楷體" w:hint="eastAsia"/>
                <w:sz w:val="26"/>
                <w:szCs w:val="26"/>
              </w:rPr>
              <w:t>臺</w:t>
            </w:r>
            <w:proofErr w:type="gramEnd"/>
            <w:r w:rsidRPr="005B464B">
              <w:rPr>
                <w:rFonts w:hAnsi="標楷體" w:hint="eastAsia"/>
                <w:sz w:val="26"/>
                <w:szCs w:val="26"/>
              </w:rPr>
              <w:t>中護理</w:t>
            </w:r>
            <w:r w:rsidRPr="005B464B">
              <w:rPr>
                <w:rFonts w:hAnsi="標楷體"/>
                <w:sz w:val="26"/>
                <w:szCs w:val="26"/>
              </w:rPr>
              <w:br/>
            </w:r>
            <w:r w:rsidRPr="005B464B">
              <w:rPr>
                <w:rFonts w:hAnsi="標楷體" w:hint="eastAsia"/>
                <w:sz w:val="26"/>
                <w:szCs w:val="26"/>
              </w:rPr>
              <w:t>專科學校</w:t>
            </w:r>
          </w:p>
        </w:tc>
        <w:tc>
          <w:tcPr>
            <w:tcW w:w="1218" w:type="pct"/>
          </w:tcPr>
          <w:p w:rsidR="00D974E1" w:rsidRPr="005B464B" w:rsidRDefault="00D974E1" w:rsidP="001C64D2">
            <w:pPr>
              <w:jc w:val="distribute"/>
              <w:rPr>
                <w:rFonts w:hAnsi="標楷體"/>
                <w:sz w:val="26"/>
                <w:szCs w:val="26"/>
              </w:rPr>
            </w:pPr>
            <w:r w:rsidRPr="005B464B">
              <w:rPr>
                <w:rFonts w:hAnsi="標楷體" w:hint="eastAsia"/>
                <w:sz w:val="26"/>
                <w:szCs w:val="26"/>
              </w:rPr>
              <w:t>100年11月18日</w:t>
            </w:r>
            <w:proofErr w:type="gramStart"/>
            <w:r w:rsidRPr="005B464B">
              <w:rPr>
                <w:rFonts w:hAnsi="標楷體" w:hint="eastAsia"/>
                <w:sz w:val="26"/>
                <w:szCs w:val="26"/>
              </w:rPr>
              <w:t>臺</w:t>
            </w:r>
            <w:proofErr w:type="gramEnd"/>
            <w:r w:rsidRPr="005B464B">
              <w:rPr>
                <w:rFonts w:hAnsi="標楷體" w:hint="eastAsia"/>
                <w:sz w:val="26"/>
                <w:szCs w:val="26"/>
              </w:rPr>
              <w:t>技（一）字第1000209556號函；</w:t>
            </w:r>
          </w:p>
          <w:p w:rsidR="00D974E1" w:rsidRPr="005B464B" w:rsidRDefault="00D974E1" w:rsidP="001C64D2">
            <w:pPr>
              <w:jc w:val="distribute"/>
              <w:rPr>
                <w:rFonts w:hAnsi="標楷體"/>
                <w:sz w:val="26"/>
                <w:szCs w:val="26"/>
              </w:rPr>
            </w:pPr>
            <w:r w:rsidRPr="005B464B">
              <w:rPr>
                <w:rFonts w:hAnsi="標楷體"/>
                <w:sz w:val="26"/>
                <w:szCs w:val="26"/>
              </w:rPr>
              <w:t>100年12月1日</w:t>
            </w:r>
            <w:r w:rsidRPr="005B464B">
              <w:rPr>
                <w:rFonts w:hAnsi="標楷體" w:hint="eastAsia"/>
                <w:sz w:val="26"/>
                <w:szCs w:val="26"/>
              </w:rPr>
              <w:br/>
            </w:r>
            <w:proofErr w:type="gramStart"/>
            <w:r w:rsidRPr="005B464B">
              <w:rPr>
                <w:rFonts w:hAnsi="標楷體"/>
                <w:sz w:val="26"/>
                <w:szCs w:val="26"/>
              </w:rPr>
              <w:t>台技</w:t>
            </w:r>
            <w:proofErr w:type="gramEnd"/>
            <w:r w:rsidRPr="005B464B">
              <w:rPr>
                <w:rFonts w:hAnsi="標楷體" w:hint="eastAsia"/>
                <w:sz w:val="26"/>
                <w:szCs w:val="26"/>
              </w:rPr>
              <w:t>(</w:t>
            </w:r>
            <w:proofErr w:type="gramStart"/>
            <w:r w:rsidRPr="005B464B">
              <w:rPr>
                <w:rFonts w:hAnsi="標楷體"/>
                <w:sz w:val="26"/>
                <w:szCs w:val="26"/>
              </w:rPr>
              <w:t>一</w:t>
            </w:r>
            <w:proofErr w:type="gramEnd"/>
            <w:r w:rsidRPr="005B464B">
              <w:rPr>
                <w:rFonts w:hAnsi="標楷體" w:hint="eastAsia"/>
                <w:sz w:val="26"/>
                <w:szCs w:val="26"/>
              </w:rPr>
              <w:t>)</w:t>
            </w:r>
            <w:r w:rsidRPr="005B464B">
              <w:rPr>
                <w:rFonts w:hAnsi="標楷體"/>
                <w:sz w:val="26"/>
                <w:szCs w:val="26"/>
              </w:rPr>
              <w:t>字第1000218509B號函</w:t>
            </w:r>
          </w:p>
          <w:p w:rsidR="00D974E1" w:rsidRPr="005B464B" w:rsidRDefault="00D974E1" w:rsidP="001C64D2">
            <w:pPr>
              <w:jc w:val="left"/>
              <w:rPr>
                <w:rFonts w:hAnsi="標楷體"/>
                <w:sz w:val="26"/>
                <w:szCs w:val="26"/>
              </w:rPr>
            </w:pPr>
            <w:r w:rsidRPr="005B464B">
              <w:rPr>
                <w:rFonts w:hAnsi="標楷體" w:hint="eastAsia"/>
                <w:sz w:val="26"/>
                <w:szCs w:val="26"/>
              </w:rPr>
              <w:t>（函復行政院合併生效日）</w:t>
            </w:r>
          </w:p>
        </w:tc>
        <w:tc>
          <w:tcPr>
            <w:tcW w:w="1429" w:type="pct"/>
          </w:tcPr>
          <w:p w:rsidR="00D974E1" w:rsidRPr="005B464B" w:rsidRDefault="00D974E1" w:rsidP="001C64D2">
            <w:pPr>
              <w:rPr>
                <w:rFonts w:hAnsi="標楷體"/>
                <w:sz w:val="26"/>
                <w:szCs w:val="26"/>
              </w:rPr>
            </w:pPr>
            <w:r w:rsidRPr="005B464B">
              <w:rPr>
                <w:rFonts w:hAnsi="標楷體"/>
                <w:sz w:val="26"/>
                <w:szCs w:val="26"/>
              </w:rPr>
              <w:t>100年11月30日院</w:t>
            </w:r>
            <w:proofErr w:type="gramStart"/>
            <w:r w:rsidRPr="005B464B">
              <w:rPr>
                <w:rFonts w:hAnsi="標楷體"/>
                <w:sz w:val="26"/>
                <w:szCs w:val="26"/>
              </w:rPr>
              <w:t>臺教字</w:t>
            </w:r>
            <w:proofErr w:type="gramEnd"/>
            <w:r w:rsidRPr="005B464B">
              <w:rPr>
                <w:rFonts w:hAnsi="標楷體"/>
                <w:sz w:val="26"/>
                <w:szCs w:val="26"/>
              </w:rPr>
              <w:t>第1000107978號函，准予照辦。</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b/>
                <w:sz w:val="26"/>
                <w:szCs w:val="26"/>
              </w:rPr>
              <w:t>國立屏東大學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國立屏東教育大學</w:t>
            </w:r>
          </w:p>
          <w:p w:rsidR="00D974E1" w:rsidRPr="005B464B" w:rsidRDefault="00D974E1" w:rsidP="001C64D2">
            <w:pPr>
              <w:jc w:val="distribute"/>
              <w:rPr>
                <w:rFonts w:hAnsi="標楷體"/>
                <w:sz w:val="26"/>
                <w:szCs w:val="26"/>
              </w:rPr>
            </w:pPr>
            <w:r w:rsidRPr="005B464B">
              <w:rPr>
                <w:rFonts w:hAnsi="標楷體" w:hint="eastAsia"/>
                <w:sz w:val="26"/>
                <w:szCs w:val="26"/>
              </w:rPr>
              <w:t>國立屏東商業</w:t>
            </w:r>
            <w:r w:rsidRPr="005B464B">
              <w:rPr>
                <w:rFonts w:hAnsi="標楷體"/>
                <w:sz w:val="26"/>
                <w:szCs w:val="26"/>
              </w:rPr>
              <w:br/>
            </w:r>
            <w:r w:rsidRPr="005B464B">
              <w:rPr>
                <w:rFonts w:hAnsi="標楷體" w:hint="eastAsia"/>
                <w:sz w:val="26"/>
                <w:szCs w:val="26"/>
              </w:rPr>
              <w:t>技術學院</w:t>
            </w:r>
          </w:p>
        </w:tc>
        <w:tc>
          <w:tcPr>
            <w:tcW w:w="1218" w:type="pct"/>
          </w:tcPr>
          <w:p w:rsidR="00D974E1" w:rsidRPr="005B464B" w:rsidRDefault="00D974E1" w:rsidP="001C64D2">
            <w:pPr>
              <w:jc w:val="distribute"/>
              <w:rPr>
                <w:rFonts w:hAnsi="標楷體"/>
                <w:sz w:val="26"/>
                <w:szCs w:val="26"/>
              </w:rPr>
            </w:pPr>
            <w:r w:rsidRPr="005B464B">
              <w:rPr>
                <w:rFonts w:hAnsi="標楷體"/>
                <w:sz w:val="26"/>
                <w:szCs w:val="26"/>
              </w:rPr>
              <w:t>102年5月22日</w:t>
            </w:r>
            <w:r w:rsidRPr="005B464B">
              <w:rPr>
                <w:rFonts w:hAnsi="標楷體" w:hint="eastAsia"/>
                <w:sz w:val="26"/>
                <w:szCs w:val="26"/>
              </w:rPr>
              <w:br/>
            </w:r>
            <w:proofErr w:type="gramStart"/>
            <w:r w:rsidRPr="005B464B">
              <w:rPr>
                <w:rFonts w:hAnsi="標楷體"/>
                <w:sz w:val="26"/>
                <w:szCs w:val="26"/>
              </w:rPr>
              <w:t>臺</w:t>
            </w:r>
            <w:proofErr w:type="gramEnd"/>
            <w:r w:rsidRPr="005B464B">
              <w:rPr>
                <w:rFonts w:hAnsi="標楷體"/>
                <w:sz w:val="26"/>
                <w:szCs w:val="26"/>
              </w:rPr>
              <w:t>教高</w:t>
            </w:r>
            <w:r w:rsidRPr="005B464B">
              <w:rPr>
                <w:rFonts w:hAnsi="標楷體" w:hint="eastAsia"/>
                <w:sz w:val="26"/>
                <w:szCs w:val="26"/>
              </w:rPr>
              <w:t>(</w:t>
            </w:r>
            <w:r w:rsidRPr="005B464B">
              <w:rPr>
                <w:rFonts w:hAnsi="標楷體"/>
                <w:sz w:val="26"/>
                <w:szCs w:val="26"/>
              </w:rPr>
              <w:t>三</w:t>
            </w:r>
            <w:r w:rsidRPr="005B464B">
              <w:rPr>
                <w:rFonts w:hAnsi="標楷體" w:hint="eastAsia"/>
                <w:sz w:val="26"/>
                <w:szCs w:val="26"/>
              </w:rPr>
              <w:t>)</w:t>
            </w:r>
            <w:r w:rsidRPr="005B464B">
              <w:rPr>
                <w:rFonts w:hAnsi="標楷體"/>
                <w:sz w:val="26"/>
                <w:szCs w:val="26"/>
              </w:rPr>
              <w:t>字第1020074360號函</w:t>
            </w:r>
            <w:r w:rsidRPr="005B464B">
              <w:rPr>
                <w:rFonts w:hAnsi="標楷體" w:hint="eastAsia"/>
                <w:sz w:val="26"/>
                <w:szCs w:val="26"/>
              </w:rPr>
              <w:t>；103年1月2日</w:t>
            </w:r>
            <w:proofErr w:type="gramStart"/>
            <w:r w:rsidRPr="005B464B">
              <w:rPr>
                <w:rFonts w:hAnsi="標楷體" w:hint="eastAsia"/>
                <w:sz w:val="26"/>
                <w:szCs w:val="26"/>
              </w:rPr>
              <w:t>臺</w:t>
            </w:r>
            <w:proofErr w:type="gramEnd"/>
            <w:r w:rsidRPr="005B464B">
              <w:rPr>
                <w:rFonts w:hAnsi="標楷體" w:hint="eastAsia"/>
                <w:sz w:val="26"/>
                <w:szCs w:val="26"/>
              </w:rPr>
              <w:t>教高(三)字第1020197832號函</w:t>
            </w:r>
          </w:p>
        </w:tc>
        <w:tc>
          <w:tcPr>
            <w:tcW w:w="1429" w:type="pct"/>
          </w:tcPr>
          <w:p w:rsidR="00D974E1" w:rsidRPr="005B464B" w:rsidRDefault="00D974E1" w:rsidP="001C64D2">
            <w:pPr>
              <w:pStyle w:val="afc"/>
              <w:ind w:leftChars="0" w:left="0"/>
              <w:rPr>
                <w:rFonts w:hAnsi="標楷體"/>
                <w:sz w:val="26"/>
                <w:szCs w:val="26"/>
              </w:rPr>
            </w:pPr>
            <w:r w:rsidRPr="005B464B">
              <w:rPr>
                <w:rFonts w:hAnsi="標楷體"/>
                <w:sz w:val="26"/>
                <w:szCs w:val="26"/>
              </w:rPr>
              <w:t>103年3月31日院</w:t>
            </w:r>
            <w:proofErr w:type="gramStart"/>
            <w:r w:rsidRPr="005B464B">
              <w:rPr>
                <w:rFonts w:hAnsi="標楷體"/>
                <w:sz w:val="26"/>
                <w:szCs w:val="26"/>
              </w:rPr>
              <w:t>臺教字</w:t>
            </w:r>
            <w:proofErr w:type="gramEnd"/>
            <w:r w:rsidRPr="005B464B">
              <w:rPr>
                <w:rFonts w:hAnsi="標楷體"/>
                <w:sz w:val="26"/>
                <w:szCs w:val="26"/>
              </w:rPr>
              <w:t>第1030010991號函，原則同意</w:t>
            </w:r>
            <w:r w:rsidRPr="005B464B">
              <w:rPr>
                <w:rFonts w:hAnsi="標楷體" w:hint="eastAsia"/>
                <w:sz w:val="26"/>
                <w:szCs w:val="26"/>
              </w:rPr>
              <w:t>。</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hint="eastAsia"/>
                <w:b/>
                <w:sz w:val="26"/>
                <w:szCs w:val="26"/>
              </w:rPr>
              <w:t>臺北市立</w:t>
            </w:r>
            <w:r w:rsidRPr="005B464B">
              <w:rPr>
                <w:rFonts w:hAnsi="標楷體"/>
                <w:b/>
                <w:sz w:val="26"/>
                <w:szCs w:val="26"/>
              </w:rPr>
              <w:br/>
            </w:r>
            <w:r w:rsidRPr="005B464B">
              <w:rPr>
                <w:rFonts w:hAnsi="標楷體" w:hint="eastAsia"/>
                <w:b/>
                <w:sz w:val="26"/>
                <w:szCs w:val="26"/>
              </w:rPr>
              <w:t>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臺北市立教育大學</w:t>
            </w:r>
          </w:p>
          <w:p w:rsidR="00D974E1" w:rsidRPr="005B464B" w:rsidRDefault="00D974E1" w:rsidP="001C64D2">
            <w:pPr>
              <w:jc w:val="distribute"/>
              <w:rPr>
                <w:rFonts w:hAnsi="標楷體"/>
                <w:sz w:val="26"/>
                <w:szCs w:val="26"/>
              </w:rPr>
            </w:pPr>
            <w:r w:rsidRPr="005B464B">
              <w:rPr>
                <w:rFonts w:hAnsi="標楷體" w:hint="eastAsia"/>
                <w:sz w:val="26"/>
                <w:szCs w:val="26"/>
              </w:rPr>
              <w:t>臺北市立體育學院</w:t>
            </w:r>
          </w:p>
        </w:tc>
        <w:tc>
          <w:tcPr>
            <w:tcW w:w="2647" w:type="pct"/>
            <w:gridSpan w:val="2"/>
          </w:tcPr>
          <w:p w:rsidR="00D974E1" w:rsidRPr="005B464B" w:rsidRDefault="00D974E1" w:rsidP="001C64D2">
            <w:pPr>
              <w:pStyle w:val="afc"/>
              <w:ind w:leftChars="0" w:left="0"/>
              <w:rPr>
                <w:rFonts w:hAnsi="標楷體"/>
                <w:sz w:val="26"/>
                <w:szCs w:val="26"/>
              </w:rPr>
            </w:pPr>
            <w:r w:rsidRPr="005B464B">
              <w:rPr>
                <w:rFonts w:hAnsi="標楷體" w:hint="eastAsia"/>
                <w:sz w:val="26"/>
                <w:szCs w:val="26"/>
              </w:rPr>
              <w:t>臺北市政府102年3月11日</w:t>
            </w:r>
            <w:proofErr w:type="gramStart"/>
            <w:r w:rsidRPr="005B464B">
              <w:rPr>
                <w:rFonts w:hAnsi="標楷體" w:hint="eastAsia"/>
                <w:sz w:val="26"/>
                <w:szCs w:val="26"/>
              </w:rPr>
              <w:t>府授教綜字</w:t>
            </w:r>
            <w:proofErr w:type="gramEnd"/>
            <w:r w:rsidRPr="005B464B">
              <w:rPr>
                <w:rFonts w:hAnsi="標楷體" w:hint="eastAsia"/>
                <w:sz w:val="26"/>
                <w:szCs w:val="26"/>
              </w:rPr>
              <w:t>第10233233100號函報教育部；教育部102年6月21日</w:t>
            </w:r>
            <w:proofErr w:type="gramStart"/>
            <w:r w:rsidRPr="005B464B">
              <w:rPr>
                <w:rFonts w:hAnsi="標楷體" w:hint="eastAsia"/>
                <w:sz w:val="26"/>
                <w:szCs w:val="26"/>
              </w:rPr>
              <w:t>臺</w:t>
            </w:r>
            <w:proofErr w:type="gramEnd"/>
            <w:r w:rsidRPr="005B464B">
              <w:rPr>
                <w:rFonts w:hAnsi="標楷體" w:hint="eastAsia"/>
                <w:sz w:val="26"/>
                <w:szCs w:val="26"/>
              </w:rPr>
              <w:t>教高（三）字第1020091432號函復核定在案，無需報行政院。</w:t>
            </w:r>
          </w:p>
        </w:tc>
      </w:tr>
      <w:tr w:rsidR="00E53741" w:rsidRPr="005B464B" w:rsidTr="001C64D2">
        <w:tc>
          <w:tcPr>
            <w:tcW w:w="1030" w:type="pct"/>
            <w:vAlign w:val="center"/>
          </w:tcPr>
          <w:p w:rsidR="00D974E1" w:rsidRPr="005B464B" w:rsidRDefault="00D974E1" w:rsidP="001C64D2">
            <w:pPr>
              <w:jc w:val="distribute"/>
              <w:rPr>
                <w:rFonts w:hAnsi="標楷體"/>
                <w:b/>
                <w:sz w:val="26"/>
                <w:szCs w:val="26"/>
              </w:rPr>
            </w:pPr>
            <w:r w:rsidRPr="005B464B">
              <w:rPr>
                <w:rFonts w:hAnsi="標楷體"/>
                <w:b/>
                <w:sz w:val="26"/>
                <w:szCs w:val="26"/>
              </w:rPr>
              <w:t>國立清華大學</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國立清華大學</w:t>
            </w:r>
          </w:p>
          <w:p w:rsidR="00D974E1" w:rsidRPr="005B464B" w:rsidRDefault="00D974E1" w:rsidP="001C64D2">
            <w:pPr>
              <w:jc w:val="distribute"/>
              <w:rPr>
                <w:rFonts w:hAnsi="標楷體"/>
                <w:sz w:val="26"/>
                <w:szCs w:val="26"/>
              </w:rPr>
            </w:pPr>
            <w:r w:rsidRPr="005B464B">
              <w:rPr>
                <w:rFonts w:hAnsi="標楷體" w:hint="eastAsia"/>
                <w:sz w:val="26"/>
                <w:szCs w:val="26"/>
              </w:rPr>
              <w:t>國立新竹教育大學</w:t>
            </w:r>
          </w:p>
        </w:tc>
        <w:tc>
          <w:tcPr>
            <w:tcW w:w="1218" w:type="pct"/>
          </w:tcPr>
          <w:p w:rsidR="00D974E1" w:rsidRPr="005B464B" w:rsidRDefault="00D974E1" w:rsidP="001C64D2">
            <w:pPr>
              <w:jc w:val="distribute"/>
              <w:rPr>
                <w:rFonts w:hAnsi="標楷體"/>
                <w:sz w:val="26"/>
                <w:szCs w:val="26"/>
              </w:rPr>
            </w:pPr>
            <w:r w:rsidRPr="005B464B">
              <w:rPr>
                <w:rFonts w:hAnsi="標楷體"/>
                <w:sz w:val="26"/>
                <w:szCs w:val="26"/>
              </w:rPr>
              <w:t>105年5月11日</w:t>
            </w:r>
            <w:r w:rsidRPr="005B464B">
              <w:rPr>
                <w:rFonts w:hAnsi="標楷體" w:hint="eastAsia"/>
                <w:sz w:val="26"/>
                <w:szCs w:val="26"/>
              </w:rPr>
              <w:br/>
            </w:r>
            <w:proofErr w:type="gramStart"/>
            <w:r w:rsidRPr="005B464B">
              <w:rPr>
                <w:rFonts w:hAnsi="標楷體"/>
                <w:sz w:val="26"/>
                <w:szCs w:val="26"/>
              </w:rPr>
              <w:t>臺</w:t>
            </w:r>
            <w:proofErr w:type="gramEnd"/>
            <w:r w:rsidRPr="005B464B">
              <w:rPr>
                <w:rFonts w:hAnsi="標楷體"/>
                <w:sz w:val="26"/>
                <w:szCs w:val="26"/>
              </w:rPr>
              <w:t>教高</w:t>
            </w:r>
            <w:r w:rsidRPr="005B464B">
              <w:rPr>
                <w:rFonts w:hAnsi="標楷體" w:hint="eastAsia"/>
                <w:sz w:val="26"/>
                <w:szCs w:val="26"/>
              </w:rPr>
              <w:t>(</w:t>
            </w:r>
            <w:r w:rsidRPr="005B464B">
              <w:rPr>
                <w:rFonts w:hAnsi="標楷體"/>
                <w:sz w:val="26"/>
                <w:szCs w:val="26"/>
              </w:rPr>
              <w:t>三</w:t>
            </w:r>
            <w:r w:rsidRPr="005B464B">
              <w:rPr>
                <w:rFonts w:hAnsi="標楷體" w:hint="eastAsia"/>
                <w:sz w:val="26"/>
                <w:szCs w:val="26"/>
              </w:rPr>
              <w:t>)</w:t>
            </w:r>
            <w:r w:rsidRPr="005B464B">
              <w:rPr>
                <w:rFonts w:hAnsi="標楷體"/>
                <w:sz w:val="26"/>
                <w:szCs w:val="26"/>
              </w:rPr>
              <w:t>字第1050065698號函</w:t>
            </w:r>
            <w:r w:rsidRPr="005B464B">
              <w:rPr>
                <w:rFonts w:hAnsi="標楷體" w:hint="eastAsia"/>
                <w:sz w:val="26"/>
                <w:szCs w:val="26"/>
              </w:rPr>
              <w:t>；</w:t>
            </w:r>
          </w:p>
          <w:p w:rsidR="00D974E1" w:rsidRPr="005B464B" w:rsidRDefault="00D974E1" w:rsidP="001C64D2">
            <w:pPr>
              <w:jc w:val="distribute"/>
              <w:rPr>
                <w:rFonts w:hAnsi="標楷體"/>
                <w:sz w:val="26"/>
                <w:szCs w:val="26"/>
              </w:rPr>
            </w:pPr>
            <w:r w:rsidRPr="005B464B">
              <w:rPr>
                <w:rFonts w:hAnsi="標楷體"/>
                <w:sz w:val="26"/>
                <w:szCs w:val="26"/>
              </w:rPr>
              <w:t>105年8月4日</w:t>
            </w:r>
            <w:r w:rsidRPr="005B464B">
              <w:rPr>
                <w:rFonts w:hAnsi="標楷體" w:hint="eastAsia"/>
                <w:sz w:val="26"/>
                <w:szCs w:val="26"/>
              </w:rPr>
              <w:br/>
            </w:r>
            <w:proofErr w:type="gramStart"/>
            <w:r w:rsidRPr="005B464B">
              <w:rPr>
                <w:rFonts w:hAnsi="標楷體"/>
                <w:sz w:val="26"/>
                <w:szCs w:val="26"/>
              </w:rPr>
              <w:t>臺</w:t>
            </w:r>
            <w:proofErr w:type="gramEnd"/>
            <w:r w:rsidRPr="005B464B">
              <w:rPr>
                <w:rFonts w:hAnsi="標楷體"/>
                <w:sz w:val="26"/>
                <w:szCs w:val="26"/>
              </w:rPr>
              <w:t>教高</w:t>
            </w:r>
            <w:r w:rsidRPr="005B464B">
              <w:rPr>
                <w:rFonts w:hAnsi="標楷體" w:hint="eastAsia"/>
                <w:sz w:val="26"/>
                <w:szCs w:val="26"/>
              </w:rPr>
              <w:t>(</w:t>
            </w:r>
            <w:r w:rsidRPr="005B464B">
              <w:rPr>
                <w:rFonts w:hAnsi="標楷體"/>
                <w:sz w:val="26"/>
                <w:szCs w:val="26"/>
              </w:rPr>
              <w:t>三</w:t>
            </w:r>
            <w:r w:rsidRPr="005B464B">
              <w:rPr>
                <w:rFonts w:hAnsi="標楷體" w:hint="eastAsia"/>
                <w:sz w:val="26"/>
                <w:szCs w:val="26"/>
              </w:rPr>
              <w:t>)</w:t>
            </w:r>
            <w:r w:rsidRPr="005B464B">
              <w:rPr>
                <w:rFonts w:hAnsi="標楷體"/>
                <w:sz w:val="26"/>
                <w:szCs w:val="26"/>
              </w:rPr>
              <w:t>字第1050107531號函</w:t>
            </w:r>
            <w:r w:rsidRPr="005B464B">
              <w:rPr>
                <w:rFonts w:hAnsi="標楷體" w:hint="eastAsia"/>
                <w:sz w:val="26"/>
                <w:szCs w:val="26"/>
              </w:rPr>
              <w:t>。</w:t>
            </w:r>
          </w:p>
        </w:tc>
        <w:tc>
          <w:tcPr>
            <w:tcW w:w="1429" w:type="pct"/>
          </w:tcPr>
          <w:p w:rsidR="00D974E1" w:rsidRPr="005B464B" w:rsidRDefault="00D974E1" w:rsidP="00D974E1">
            <w:pPr>
              <w:pStyle w:val="afc"/>
              <w:numPr>
                <w:ilvl w:val="0"/>
                <w:numId w:val="17"/>
              </w:numPr>
              <w:ind w:leftChars="0"/>
              <w:rPr>
                <w:rFonts w:hAnsi="標楷體"/>
                <w:sz w:val="26"/>
                <w:szCs w:val="26"/>
              </w:rPr>
            </w:pPr>
            <w:r w:rsidRPr="005B464B">
              <w:rPr>
                <w:rFonts w:hAnsi="標楷體" w:hint="eastAsia"/>
                <w:sz w:val="26"/>
                <w:szCs w:val="26"/>
              </w:rPr>
              <w:t>105年5月17日院</w:t>
            </w:r>
            <w:proofErr w:type="gramStart"/>
            <w:r w:rsidRPr="005B464B">
              <w:rPr>
                <w:rFonts w:hAnsi="標楷體" w:hint="eastAsia"/>
                <w:sz w:val="26"/>
                <w:szCs w:val="26"/>
              </w:rPr>
              <w:t>臺教字</w:t>
            </w:r>
            <w:proofErr w:type="gramEnd"/>
            <w:r w:rsidRPr="005B464B">
              <w:rPr>
                <w:rFonts w:hAnsi="標楷體" w:hint="eastAsia"/>
                <w:sz w:val="26"/>
                <w:szCs w:val="26"/>
              </w:rPr>
              <w:t>第1050023810號函，因該院即將改組，該案宜</w:t>
            </w:r>
            <w:proofErr w:type="gramStart"/>
            <w:r w:rsidRPr="005B464B">
              <w:rPr>
                <w:rFonts w:hAnsi="標楷體" w:hint="eastAsia"/>
                <w:sz w:val="26"/>
                <w:szCs w:val="26"/>
              </w:rPr>
              <w:t>俟</w:t>
            </w:r>
            <w:proofErr w:type="gramEnd"/>
            <w:r w:rsidRPr="005B464B">
              <w:rPr>
                <w:rFonts w:hAnsi="標楷體" w:hint="eastAsia"/>
                <w:sz w:val="26"/>
                <w:szCs w:val="26"/>
              </w:rPr>
              <w:t>接任部長確認後再行報院。</w:t>
            </w:r>
          </w:p>
          <w:p w:rsidR="00D974E1" w:rsidRPr="005B464B" w:rsidRDefault="00D974E1" w:rsidP="00D974E1">
            <w:pPr>
              <w:pStyle w:val="afc"/>
              <w:numPr>
                <w:ilvl w:val="0"/>
                <w:numId w:val="17"/>
              </w:numPr>
              <w:ind w:leftChars="0"/>
              <w:rPr>
                <w:rFonts w:hAnsi="標楷體"/>
                <w:sz w:val="26"/>
                <w:szCs w:val="26"/>
              </w:rPr>
            </w:pPr>
            <w:r w:rsidRPr="005B464B">
              <w:rPr>
                <w:rFonts w:hAnsi="標楷體"/>
                <w:sz w:val="26"/>
                <w:szCs w:val="26"/>
              </w:rPr>
              <w:t>105年9月13日院</w:t>
            </w:r>
            <w:proofErr w:type="gramStart"/>
            <w:r w:rsidRPr="005B464B">
              <w:rPr>
                <w:rFonts w:hAnsi="標楷體"/>
                <w:sz w:val="26"/>
                <w:szCs w:val="26"/>
              </w:rPr>
              <w:t>臺教字</w:t>
            </w:r>
            <w:proofErr w:type="gramEnd"/>
            <w:r w:rsidRPr="005B464B">
              <w:rPr>
                <w:rFonts w:hAnsi="標楷體"/>
                <w:sz w:val="26"/>
                <w:szCs w:val="26"/>
              </w:rPr>
              <w:t>第</w:t>
            </w:r>
            <w:r w:rsidRPr="005B464B">
              <w:rPr>
                <w:rFonts w:hAnsi="標楷體"/>
                <w:sz w:val="26"/>
                <w:szCs w:val="26"/>
              </w:rPr>
              <w:lastRenderedPageBreak/>
              <w:t>1050175642號函</w:t>
            </w:r>
            <w:r w:rsidRPr="005B464B">
              <w:rPr>
                <w:rFonts w:hAnsi="標楷體" w:hint="eastAsia"/>
                <w:sz w:val="26"/>
                <w:szCs w:val="26"/>
              </w:rPr>
              <w:t>，</w:t>
            </w:r>
            <w:r w:rsidRPr="005B464B">
              <w:rPr>
                <w:rFonts w:hAnsi="標楷體"/>
                <w:sz w:val="26"/>
                <w:szCs w:val="26"/>
              </w:rPr>
              <w:t>原則同意</w:t>
            </w:r>
            <w:r w:rsidRPr="005B464B">
              <w:rPr>
                <w:rFonts w:hAnsi="標楷體" w:hint="eastAsia"/>
                <w:sz w:val="26"/>
                <w:szCs w:val="26"/>
              </w:rPr>
              <w:t>。</w:t>
            </w:r>
          </w:p>
        </w:tc>
      </w:tr>
      <w:tr w:rsidR="00E53741" w:rsidRPr="005B464B" w:rsidTr="001C64D2">
        <w:tc>
          <w:tcPr>
            <w:tcW w:w="1030" w:type="pct"/>
            <w:vAlign w:val="center"/>
          </w:tcPr>
          <w:p w:rsidR="00D974E1" w:rsidRPr="005B464B" w:rsidRDefault="00D974E1" w:rsidP="001C64D2">
            <w:pPr>
              <w:jc w:val="distribute"/>
              <w:rPr>
                <w:rFonts w:hAnsi="標楷體"/>
                <w:b/>
                <w:sz w:val="26"/>
                <w:szCs w:val="26"/>
                <w:vertAlign w:val="superscript"/>
              </w:rPr>
            </w:pPr>
            <w:r w:rsidRPr="005B464B">
              <w:rPr>
                <w:rFonts w:hAnsi="標楷體"/>
                <w:b/>
                <w:sz w:val="26"/>
                <w:szCs w:val="26"/>
              </w:rPr>
              <w:lastRenderedPageBreak/>
              <w:t>國立高雄</w:t>
            </w:r>
            <w:r w:rsidRPr="005B464B">
              <w:rPr>
                <w:rFonts w:hAnsi="標楷體" w:hint="eastAsia"/>
                <w:b/>
                <w:sz w:val="26"/>
                <w:szCs w:val="26"/>
              </w:rPr>
              <w:br/>
            </w:r>
            <w:r w:rsidRPr="005B464B">
              <w:rPr>
                <w:rFonts w:hAnsi="標楷體"/>
                <w:b/>
                <w:sz w:val="26"/>
                <w:szCs w:val="26"/>
              </w:rPr>
              <w:t>科技大學</w:t>
            </w:r>
            <w:r w:rsidRPr="005B464B">
              <w:rPr>
                <w:rFonts w:hAnsi="標楷體" w:hint="eastAsia"/>
                <w:b/>
                <w:sz w:val="26"/>
                <w:szCs w:val="26"/>
                <w:vertAlign w:val="superscript"/>
              </w:rPr>
              <w:t>a</w:t>
            </w:r>
          </w:p>
        </w:tc>
        <w:tc>
          <w:tcPr>
            <w:tcW w:w="1323" w:type="pct"/>
            <w:vAlign w:val="center"/>
          </w:tcPr>
          <w:p w:rsidR="00D974E1" w:rsidRPr="005B464B" w:rsidRDefault="00D974E1" w:rsidP="001C64D2">
            <w:pPr>
              <w:jc w:val="distribute"/>
              <w:rPr>
                <w:rFonts w:hAnsi="標楷體"/>
                <w:sz w:val="26"/>
                <w:szCs w:val="26"/>
              </w:rPr>
            </w:pPr>
            <w:r w:rsidRPr="005B464B">
              <w:rPr>
                <w:rFonts w:hAnsi="標楷體" w:hint="eastAsia"/>
                <w:sz w:val="26"/>
                <w:szCs w:val="26"/>
              </w:rPr>
              <w:t>國立高雄海洋</w:t>
            </w:r>
            <w:r w:rsidRPr="005B464B">
              <w:rPr>
                <w:rFonts w:hAnsi="標楷體"/>
                <w:sz w:val="26"/>
                <w:szCs w:val="26"/>
              </w:rPr>
              <w:br/>
            </w:r>
            <w:r w:rsidRPr="005B464B">
              <w:rPr>
                <w:rFonts w:hAnsi="標楷體" w:hint="eastAsia"/>
                <w:sz w:val="26"/>
                <w:szCs w:val="26"/>
              </w:rPr>
              <w:t>科技大學</w:t>
            </w:r>
          </w:p>
          <w:p w:rsidR="00D974E1" w:rsidRPr="005B464B" w:rsidRDefault="00D974E1" w:rsidP="001C64D2">
            <w:pPr>
              <w:jc w:val="distribute"/>
              <w:rPr>
                <w:rFonts w:hAnsi="標楷體"/>
                <w:sz w:val="26"/>
                <w:szCs w:val="26"/>
              </w:rPr>
            </w:pPr>
            <w:r w:rsidRPr="005B464B">
              <w:rPr>
                <w:rFonts w:hAnsi="標楷體" w:hint="eastAsia"/>
                <w:sz w:val="26"/>
                <w:szCs w:val="26"/>
              </w:rPr>
              <w:t>國立高雄第一</w:t>
            </w:r>
            <w:r w:rsidRPr="005B464B">
              <w:rPr>
                <w:rFonts w:hAnsi="標楷體"/>
                <w:sz w:val="26"/>
                <w:szCs w:val="26"/>
              </w:rPr>
              <w:br/>
            </w:r>
            <w:r w:rsidRPr="005B464B">
              <w:rPr>
                <w:rFonts w:hAnsi="標楷體" w:hint="eastAsia"/>
                <w:sz w:val="26"/>
                <w:szCs w:val="26"/>
              </w:rPr>
              <w:t>科技大學</w:t>
            </w:r>
          </w:p>
        </w:tc>
        <w:tc>
          <w:tcPr>
            <w:tcW w:w="1218" w:type="pct"/>
          </w:tcPr>
          <w:p w:rsidR="00D974E1" w:rsidRPr="005B464B" w:rsidRDefault="00D974E1" w:rsidP="001C64D2">
            <w:pPr>
              <w:jc w:val="distribute"/>
              <w:rPr>
                <w:rFonts w:hAnsi="標楷體"/>
                <w:sz w:val="26"/>
                <w:szCs w:val="26"/>
              </w:rPr>
            </w:pPr>
            <w:r w:rsidRPr="005B464B">
              <w:rPr>
                <w:rFonts w:hAnsi="標楷體"/>
                <w:sz w:val="26"/>
                <w:szCs w:val="26"/>
              </w:rPr>
              <w:t>105年3月28日</w:t>
            </w:r>
            <w:r w:rsidRPr="005B464B">
              <w:rPr>
                <w:rFonts w:hAnsi="標楷體" w:hint="eastAsia"/>
                <w:sz w:val="26"/>
                <w:szCs w:val="26"/>
              </w:rPr>
              <w:br/>
            </w:r>
            <w:proofErr w:type="gramStart"/>
            <w:r w:rsidRPr="005B464B">
              <w:rPr>
                <w:rFonts w:hAnsi="標楷體"/>
                <w:sz w:val="26"/>
                <w:szCs w:val="26"/>
              </w:rPr>
              <w:t>臺教技</w:t>
            </w:r>
            <w:proofErr w:type="gramEnd"/>
            <w:r w:rsidRPr="005B464B">
              <w:rPr>
                <w:rFonts w:hAnsi="標楷體" w:hint="eastAsia"/>
                <w:sz w:val="26"/>
                <w:szCs w:val="26"/>
              </w:rPr>
              <w:t>(</w:t>
            </w:r>
            <w:r w:rsidRPr="005B464B">
              <w:rPr>
                <w:rFonts w:hAnsi="標楷體"/>
                <w:sz w:val="26"/>
                <w:szCs w:val="26"/>
              </w:rPr>
              <w:t>二</w:t>
            </w:r>
            <w:r w:rsidRPr="005B464B">
              <w:rPr>
                <w:rFonts w:hAnsi="標楷體" w:hint="eastAsia"/>
                <w:sz w:val="26"/>
                <w:szCs w:val="26"/>
              </w:rPr>
              <w:t>)</w:t>
            </w:r>
            <w:r w:rsidRPr="005B464B">
              <w:rPr>
                <w:rFonts w:hAnsi="標楷體"/>
                <w:sz w:val="26"/>
                <w:szCs w:val="26"/>
              </w:rPr>
              <w:t>字第1050036987號函</w:t>
            </w:r>
            <w:r w:rsidRPr="005B464B">
              <w:rPr>
                <w:rFonts w:hAnsi="標楷體" w:hint="eastAsia"/>
                <w:sz w:val="26"/>
                <w:szCs w:val="26"/>
              </w:rPr>
              <w:t>；105年5月11日</w:t>
            </w:r>
            <w:proofErr w:type="gramStart"/>
            <w:r w:rsidRPr="005B464B">
              <w:rPr>
                <w:rFonts w:hAnsi="標楷體" w:hint="eastAsia"/>
                <w:sz w:val="26"/>
                <w:szCs w:val="26"/>
              </w:rPr>
              <w:t>臺教技</w:t>
            </w:r>
            <w:proofErr w:type="gramEnd"/>
            <w:r w:rsidRPr="005B464B">
              <w:rPr>
                <w:rFonts w:hAnsi="標楷體" w:hint="eastAsia"/>
                <w:sz w:val="26"/>
                <w:szCs w:val="26"/>
              </w:rPr>
              <w:t>(二)字第1050048074號函；</w:t>
            </w:r>
          </w:p>
          <w:p w:rsidR="00D974E1" w:rsidRPr="005B464B" w:rsidRDefault="00D974E1" w:rsidP="001C64D2">
            <w:pPr>
              <w:rPr>
                <w:rFonts w:hAnsi="標楷體"/>
                <w:sz w:val="26"/>
                <w:szCs w:val="26"/>
              </w:rPr>
            </w:pPr>
            <w:r w:rsidRPr="005B464B">
              <w:rPr>
                <w:rFonts w:hAnsi="標楷體" w:hint="eastAsia"/>
                <w:sz w:val="26"/>
                <w:szCs w:val="26"/>
              </w:rPr>
              <w:t>106年3月23日</w:t>
            </w:r>
            <w:proofErr w:type="gramStart"/>
            <w:r w:rsidRPr="005B464B">
              <w:rPr>
                <w:rFonts w:hAnsi="標楷體" w:hint="eastAsia"/>
                <w:sz w:val="26"/>
                <w:szCs w:val="26"/>
              </w:rPr>
              <w:t>臺教技</w:t>
            </w:r>
            <w:proofErr w:type="gramEnd"/>
            <w:r w:rsidRPr="005B464B">
              <w:rPr>
                <w:rFonts w:hAnsi="標楷體" w:hint="eastAsia"/>
                <w:sz w:val="26"/>
                <w:szCs w:val="26"/>
              </w:rPr>
              <w:t>（二）字第1060034362號函。</w:t>
            </w:r>
          </w:p>
        </w:tc>
        <w:tc>
          <w:tcPr>
            <w:tcW w:w="1429" w:type="pct"/>
          </w:tcPr>
          <w:p w:rsidR="00D974E1" w:rsidRPr="005B464B" w:rsidRDefault="00D974E1" w:rsidP="00D974E1">
            <w:pPr>
              <w:pStyle w:val="afc"/>
              <w:numPr>
                <w:ilvl w:val="0"/>
                <w:numId w:val="16"/>
              </w:numPr>
              <w:ind w:leftChars="0"/>
              <w:rPr>
                <w:rFonts w:hAnsi="標楷體"/>
                <w:sz w:val="26"/>
                <w:szCs w:val="26"/>
              </w:rPr>
            </w:pPr>
            <w:r w:rsidRPr="005B464B">
              <w:rPr>
                <w:rFonts w:hAnsi="標楷體" w:hint="eastAsia"/>
                <w:sz w:val="26"/>
                <w:szCs w:val="26"/>
              </w:rPr>
              <w:t>以105年4月6日院</w:t>
            </w:r>
            <w:proofErr w:type="gramStart"/>
            <w:r w:rsidRPr="005B464B">
              <w:rPr>
                <w:rFonts w:hAnsi="標楷體" w:hint="eastAsia"/>
                <w:sz w:val="26"/>
                <w:szCs w:val="26"/>
              </w:rPr>
              <w:t>臺教字</w:t>
            </w:r>
            <w:proofErr w:type="gramEnd"/>
            <w:r w:rsidRPr="005B464B">
              <w:rPr>
                <w:rFonts w:hAnsi="標楷體" w:hint="eastAsia"/>
                <w:sz w:val="26"/>
                <w:szCs w:val="26"/>
              </w:rPr>
              <w:t>第1050015382號，與105年5月18日院</w:t>
            </w:r>
            <w:proofErr w:type="gramStart"/>
            <w:r w:rsidRPr="005B464B">
              <w:rPr>
                <w:rFonts w:hAnsi="標楷體" w:hint="eastAsia"/>
                <w:sz w:val="26"/>
                <w:szCs w:val="26"/>
              </w:rPr>
              <w:t>臺教字</w:t>
            </w:r>
            <w:proofErr w:type="gramEnd"/>
            <w:r w:rsidRPr="005B464B">
              <w:rPr>
                <w:rFonts w:hAnsi="標楷體" w:hint="eastAsia"/>
                <w:sz w:val="26"/>
                <w:szCs w:val="26"/>
              </w:rPr>
              <w:t>第1050023793號函，</w:t>
            </w:r>
            <w:proofErr w:type="gramStart"/>
            <w:r w:rsidRPr="005B464B">
              <w:rPr>
                <w:rFonts w:hAnsi="標楷體" w:hint="eastAsia"/>
                <w:sz w:val="26"/>
                <w:szCs w:val="26"/>
              </w:rPr>
              <w:t>二度函退修正</w:t>
            </w:r>
            <w:proofErr w:type="gramEnd"/>
            <w:r w:rsidRPr="005B464B">
              <w:rPr>
                <w:rFonts w:hAnsi="標楷體" w:hint="eastAsia"/>
                <w:sz w:val="26"/>
                <w:szCs w:val="26"/>
              </w:rPr>
              <w:t>本案。</w:t>
            </w:r>
          </w:p>
          <w:p w:rsidR="00D974E1" w:rsidRPr="005B464B" w:rsidRDefault="00D974E1" w:rsidP="00D974E1">
            <w:pPr>
              <w:pStyle w:val="afc"/>
              <w:numPr>
                <w:ilvl w:val="0"/>
                <w:numId w:val="16"/>
              </w:numPr>
              <w:ind w:leftChars="0"/>
              <w:rPr>
                <w:rFonts w:hAnsi="標楷體"/>
                <w:sz w:val="26"/>
                <w:szCs w:val="26"/>
              </w:rPr>
            </w:pPr>
            <w:r w:rsidRPr="005B464B">
              <w:rPr>
                <w:rFonts w:hAnsi="標楷體" w:hint="eastAsia"/>
                <w:sz w:val="26"/>
                <w:szCs w:val="26"/>
              </w:rPr>
              <w:t>教育部查復本院並稱，因105年5月新舊政府交替，該院即將改組，該案宜</w:t>
            </w:r>
            <w:proofErr w:type="gramStart"/>
            <w:r w:rsidRPr="005B464B">
              <w:rPr>
                <w:rFonts w:hAnsi="標楷體" w:hint="eastAsia"/>
                <w:sz w:val="26"/>
                <w:szCs w:val="26"/>
              </w:rPr>
              <w:t>俟</w:t>
            </w:r>
            <w:proofErr w:type="gramEnd"/>
            <w:r w:rsidRPr="005B464B">
              <w:rPr>
                <w:rFonts w:hAnsi="標楷體" w:hint="eastAsia"/>
                <w:sz w:val="26"/>
                <w:szCs w:val="26"/>
              </w:rPr>
              <w:t>接任部長確認後再行報院。</w:t>
            </w:r>
          </w:p>
        </w:tc>
      </w:tr>
    </w:tbl>
    <w:p w:rsidR="00D974E1" w:rsidRPr="005B464B" w:rsidRDefault="00D974E1" w:rsidP="00000C7C">
      <w:pPr>
        <w:pStyle w:val="5"/>
        <w:numPr>
          <w:ilvl w:val="0"/>
          <w:numId w:val="0"/>
        </w:numPr>
        <w:spacing w:line="240" w:lineRule="exact"/>
        <w:ind w:leftChars="-125" w:left="142" w:hangingChars="218" w:hanging="567"/>
        <w:rPr>
          <w:sz w:val="24"/>
          <w:szCs w:val="24"/>
        </w:rPr>
      </w:pPr>
      <w:proofErr w:type="gramStart"/>
      <w:r w:rsidRPr="005B464B">
        <w:rPr>
          <w:rFonts w:hint="eastAsia"/>
          <w:sz w:val="24"/>
          <w:szCs w:val="24"/>
        </w:rPr>
        <w:t>註</w:t>
      </w:r>
      <w:proofErr w:type="gramEnd"/>
      <w:r w:rsidR="00000C7C" w:rsidRPr="005B464B">
        <w:rPr>
          <w:rFonts w:hint="eastAsia"/>
          <w:sz w:val="24"/>
          <w:szCs w:val="24"/>
        </w:rPr>
        <w:t>a</w:t>
      </w:r>
      <w:r w:rsidRPr="005B464B">
        <w:rPr>
          <w:rFonts w:hint="eastAsia"/>
          <w:sz w:val="24"/>
          <w:szCs w:val="24"/>
        </w:rPr>
        <w:t>：</w:t>
      </w:r>
      <w:r w:rsidR="00000C7C" w:rsidRPr="005B464B">
        <w:rPr>
          <w:rFonts w:hint="eastAsia"/>
          <w:sz w:val="24"/>
          <w:szCs w:val="24"/>
        </w:rPr>
        <w:t>該案原擬規劃</w:t>
      </w:r>
      <w:r w:rsidR="009F789F" w:rsidRPr="005B464B">
        <w:rPr>
          <w:rFonts w:hint="eastAsia"/>
          <w:sz w:val="24"/>
          <w:szCs w:val="24"/>
        </w:rPr>
        <w:t>由</w:t>
      </w:r>
      <w:r w:rsidR="00000C7C" w:rsidRPr="005B464B">
        <w:rPr>
          <w:rFonts w:hint="eastAsia"/>
          <w:sz w:val="24"/>
          <w:szCs w:val="24"/>
        </w:rPr>
        <w:t>國立高雄應用科技大學、國立高雄海洋科技大學與國立高雄第一科技大學等三校合併；後續因故改為國立高雄海洋科技大學與國立高雄第一科技大學二校合併。至本案調查時，</w:t>
      </w:r>
      <w:proofErr w:type="gramStart"/>
      <w:r w:rsidR="00000C7C" w:rsidRPr="005B464B">
        <w:rPr>
          <w:rFonts w:hint="eastAsia"/>
          <w:sz w:val="24"/>
          <w:szCs w:val="24"/>
        </w:rPr>
        <w:t>兩校送請</w:t>
      </w:r>
      <w:proofErr w:type="gramEnd"/>
      <w:r w:rsidR="00000C7C" w:rsidRPr="005B464B">
        <w:rPr>
          <w:rFonts w:hint="eastAsia"/>
          <w:sz w:val="24"/>
          <w:szCs w:val="24"/>
        </w:rPr>
        <w:t>教育部審議之合併案已逾時兩載，惟迄今教育部以</w:t>
      </w:r>
      <w:r w:rsidR="00000C7C" w:rsidRPr="005B464B">
        <w:rPr>
          <w:rFonts w:hAnsi="標楷體" w:hint="eastAsia"/>
          <w:sz w:val="24"/>
          <w:szCs w:val="24"/>
        </w:rPr>
        <w:t>「校友仍有異見」</w:t>
      </w:r>
      <w:r w:rsidR="009F789F" w:rsidRPr="005B464B">
        <w:rPr>
          <w:rFonts w:hAnsi="標楷體" w:hint="eastAsia"/>
          <w:sz w:val="24"/>
          <w:szCs w:val="24"/>
        </w:rPr>
        <w:t>為由，</w:t>
      </w:r>
      <w:r w:rsidR="00000C7C" w:rsidRPr="005B464B">
        <w:rPr>
          <w:rFonts w:hint="eastAsia"/>
          <w:sz w:val="24"/>
          <w:szCs w:val="24"/>
        </w:rPr>
        <w:t>尚未送行政院核定。</w:t>
      </w:r>
    </w:p>
    <w:p w:rsidR="00D974E1" w:rsidRPr="005B464B" w:rsidRDefault="00D974E1" w:rsidP="00D974E1">
      <w:pPr>
        <w:pStyle w:val="5"/>
        <w:numPr>
          <w:ilvl w:val="0"/>
          <w:numId w:val="0"/>
        </w:numPr>
        <w:spacing w:line="240" w:lineRule="exact"/>
        <w:ind w:left="-426"/>
        <w:rPr>
          <w:sz w:val="24"/>
          <w:szCs w:val="24"/>
        </w:rPr>
      </w:pPr>
      <w:r w:rsidRPr="005B464B">
        <w:rPr>
          <w:rFonts w:hint="eastAsia"/>
          <w:sz w:val="24"/>
          <w:szCs w:val="24"/>
        </w:rPr>
        <w:t>資料來源：整理自教育部查復資料。</w:t>
      </w:r>
    </w:p>
    <w:p w:rsidR="00D974E1" w:rsidRPr="005B464B" w:rsidRDefault="00D974E1" w:rsidP="00D974E1">
      <w:pPr>
        <w:pStyle w:val="11"/>
        <w:spacing w:line="240" w:lineRule="exact"/>
        <w:ind w:left="680" w:firstLine="520"/>
        <w:rPr>
          <w:sz w:val="24"/>
          <w:szCs w:val="24"/>
        </w:rPr>
      </w:pPr>
    </w:p>
    <w:p w:rsidR="00D974E1" w:rsidRPr="005B464B" w:rsidRDefault="00D974E1" w:rsidP="00D974E1">
      <w:pPr>
        <w:pStyle w:val="3"/>
        <w:numPr>
          <w:ilvl w:val="2"/>
          <w:numId w:val="1"/>
        </w:numPr>
      </w:pPr>
      <w:r w:rsidRPr="005B464B">
        <w:rPr>
          <w:rFonts w:hint="eastAsia"/>
        </w:rPr>
        <w:t>關於前述教育部指稱「由該部主導推動合併者，成功機率低」等情，</w:t>
      </w:r>
      <w:proofErr w:type="gramStart"/>
      <w:r w:rsidRPr="005B464B">
        <w:rPr>
          <w:rFonts w:hint="eastAsia"/>
        </w:rPr>
        <w:t>該部以過去</w:t>
      </w:r>
      <w:proofErr w:type="gramEnd"/>
      <w:r w:rsidRPr="005B464B">
        <w:rPr>
          <w:rFonts w:hint="eastAsia"/>
        </w:rPr>
        <w:t>國立成功大學與國立</w:t>
      </w:r>
      <w:proofErr w:type="gramStart"/>
      <w:r w:rsidRPr="005B464B">
        <w:rPr>
          <w:rFonts w:hint="eastAsia"/>
        </w:rPr>
        <w:t>臺</w:t>
      </w:r>
      <w:proofErr w:type="gramEnd"/>
      <w:r w:rsidRPr="005B464B">
        <w:rPr>
          <w:rFonts w:hint="eastAsia"/>
        </w:rPr>
        <w:t>南藝術大學合併為例說明，提及此二校雙方意願較低，也無彼此溝通討論之會議，甚至教育部欲籌組工作小組邀集雙方會談也遭到極大抗爭，該合併案因而破局等情。而本案調查亦發現，歷來已完成、</w:t>
      </w:r>
      <w:proofErr w:type="gramStart"/>
      <w:r w:rsidRPr="005B464B">
        <w:rPr>
          <w:rFonts w:hint="eastAsia"/>
        </w:rPr>
        <w:t>研</w:t>
      </w:r>
      <w:proofErr w:type="gramEnd"/>
      <w:r w:rsidRPr="005B464B">
        <w:rPr>
          <w:rFonts w:hint="eastAsia"/>
        </w:rPr>
        <w:t>議</w:t>
      </w:r>
      <w:proofErr w:type="gramStart"/>
      <w:r w:rsidRPr="005B464B">
        <w:rPr>
          <w:rFonts w:hint="eastAsia"/>
        </w:rPr>
        <w:t>中或刻正踐行</w:t>
      </w:r>
      <w:proofErr w:type="gramEnd"/>
      <w:r w:rsidRPr="005B464B">
        <w:rPr>
          <w:rFonts w:hint="eastAsia"/>
        </w:rPr>
        <w:t>合併程序者，均深受政治文化與校園生態牽動，甚而形成干擾，諸如：本院諮詢專家意見指出，國立</w:t>
      </w:r>
      <w:r w:rsidRPr="005B464B">
        <w:rPr>
          <w:rFonts w:hAnsi="標楷體" w:hint="eastAsia"/>
          <w:szCs w:val="32"/>
        </w:rPr>
        <w:t>嘉義師範學院與國立嘉義技術學院合併為國立嘉義大學之起因，乃自行政院高層長官授意於嘉義</w:t>
      </w:r>
      <w:r w:rsidR="00F56694" w:rsidRPr="005B464B">
        <w:rPr>
          <w:rFonts w:hAnsi="標楷體" w:hint="eastAsia"/>
          <w:szCs w:val="32"/>
        </w:rPr>
        <w:t>地區成立第一所大學，縱使是時教育部政策並不同意新增大學院校，然</w:t>
      </w:r>
      <w:r w:rsidRPr="005B464B">
        <w:rPr>
          <w:rFonts w:hAnsi="標楷體" w:hint="eastAsia"/>
          <w:szCs w:val="32"/>
        </w:rPr>
        <w:t>於此背景下，</w:t>
      </w:r>
      <w:proofErr w:type="gramStart"/>
      <w:r w:rsidRPr="005B464B">
        <w:rPr>
          <w:rFonts w:hAnsi="標楷體" w:hint="eastAsia"/>
          <w:szCs w:val="32"/>
        </w:rPr>
        <w:t>該部仍支持</w:t>
      </w:r>
      <w:proofErr w:type="gramEnd"/>
      <w:r w:rsidRPr="005B464B">
        <w:rPr>
          <w:rFonts w:hAnsi="標楷體" w:hint="eastAsia"/>
          <w:szCs w:val="32"/>
        </w:rPr>
        <w:t>並輔導該合併案，對於校友反對意</w:t>
      </w:r>
      <w:r w:rsidRPr="005B464B">
        <w:rPr>
          <w:rFonts w:hAnsi="標楷體" w:hint="eastAsia"/>
          <w:szCs w:val="32"/>
        </w:rPr>
        <w:lastRenderedPageBreak/>
        <w:t>見砲聲隆隆之情形，亦採取積極溝通方式協處，因而促成合併。又，本調查案於106年3月22日及23日赴高雄訪查國立高雄應用科技大學、國立</w:t>
      </w:r>
      <w:r w:rsidRPr="005B464B">
        <w:rPr>
          <w:rFonts w:hint="eastAsia"/>
        </w:rPr>
        <w:t>高雄海洋科技大學與國立高雄第一科技大學等3校之相關合併過程爭議情形，亦發現目前對於國立高雄海洋科技大學與國立高雄第一科技大學2校合併案，於國立高雄海洋科技大學校內呈現教師會（贊成合併）與校友會（反對合併）不同立場之情況，且雙方均極力向教育部與立法委員陳情，至本案調查</w:t>
      </w:r>
      <w:proofErr w:type="gramStart"/>
      <w:r w:rsidRPr="005B464B">
        <w:rPr>
          <w:rFonts w:hint="eastAsia"/>
        </w:rPr>
        <w:t>期間，</w:t>
      </w:r>
      <w:proofErr w:type="gramEnd"/>
      <w:r w:rsidRPr="005B464B">
        <w:rPr>
          <w:rFonts w:hint="eastAsia"/>
        </w:rPr>
        <w:t>教育部乃至行政院均未能對該合併案拍板定調，有關歧見仍紛擾不息。由此觀之，校園外之政治角力以及來自校友之壓力，對於合併之影響，</w:t>
      </w:r>
      <w:proofErr w:type="gramStart"/>
      <w:r w:rsidRPr="005B464B">
        <w:rPr>
          <w:rFonts w:hint="eastAsia"/>
        </w:rPr>
        <w:t>厥</w:t>
      </w:r>
      <w:proofErr w:type="gramEnd"/>
      <w:r w:rsidRPr="005B464B">
        <w:rPr>
          <w:rFonts w:hint="eastAsia"/>
        </w:rPr>
        <w:t>為關鍵。</w:t>
      </w:r>
    </w:p>
    <w:p w:rsidR="00D974E1" w:rsidRPr="005B464B" w:rsidRDefault="00D974E1" w:rsidP="00D974E1">
      <w:pPr>
        <w:pStyle w:val="3"/>
        <w:numPr>
          <w:ilvl w:val="2"/>
          <w:numId w:val="1"/>
        </w:numPr>
        <w:ind w:leftChars="200"/>
      </w:pPr>
      <w:proofErr w:type="gramStart"/>
      <w:r w:rsidRPr="005B464B">
        <w:rPr>
          <w:rFonts w:hint="eastAsia"/>
        </w:rPr>
        <w:t>查據教育部</w:t>
      </w:r>
      <w:proofErr w:type="gramEnd"/>
      <w:r w:rsidRPr="005B464B">
        <w:t>102</w:t>
      </w:r>
      <w:r w:rsidRPr="005B464B">
        <w:rPr>
          <w:rFonts w:hint="eastAsia"/>
        </w:rPr>
        <w:t>年</w:t>
      </w:r>
      <w:r w:rsidRPr="005B464B">
        <w:t>1</w:t>
      </w:r>
      <w:r w:rsidRPr="005B464B">
        <w:rPr>
          <w:rFonts w:hint="eastAsia"/>
        </w:rPr>
        <w:t>月</w:t>
      </w:r>
      <w:r w:rsidRPr="005B464B">
        <w:t>3</w:t>
      </w:r>
      <w:r w:rsidRPr="005B464B">
        <w:rPr>
          <w:rFonts w:hint="eastAsia"/>
        </w:rPr>
        <w:t>日「國立大學合併推動審議會」第</w:t>
      </w:r>
      <w:r w:rsidRPr="005B464B">
        <w:t>2</w:t>
      </w:r>
      <w:r w:rsidRPr="005B464B">
        <w:rPr>
          <w:rFonts w:hint="eastAsia"/>
        </w:rPr>
        <w:t>次委員會會議決議略</w:t>
      </w:r>
      <w:proofErr w:type="gramStart"/>
      <w:r w:rsidRPr="005B464B">
        <w:rPr>
          <w:rFonts w:hint="eastAsia"/>
        </w:rPr>
        <w:t>以</w:t>
      </w:r>
      <w:proofErr w:type="gramEnd"/>
      <w:r w:rsidRPr="005B464B">
        <w:rPr>
          <w:rFonts w:hint="eastAsia"/>
        </w:rPr>
        <w:t>：</w:t>
      </w:r>
      <w:r w:rsidRPr="005B464B">
        <w:t>(</w:t>
      </w:r>
      <w:proofErr w:type="gramStart"/>
      <w:r w:rsidRPr="005B464B">
        <w:rPr>
          <w:rFonts w:hint="eastAsia"/>
        </w:rPr>
        <w:t>一</w:t>
      </w:r>
      <w:proofErr w:type="gramEnd"/>
      <w:r w:rsidRPr="005B464B">
        <w:t>)</w:t>
      </w:r>
      <w:r w:rsidRPr="005B464B">
        <w:rPr>
          <w:rFonts w:hint="eastAsia"/>
        </w:rPr>
        <w:t>國立大學整</w:t>
      </w:r>
      <w:proofErr w:type="gramStart"/>
      <w:r w:rsidRPr="005B464B">
        <w:rPr>
          <w:rFonts w:hint="eastAsia"/>
        </w:rPr>
        <w:t>併</w:t>
      </w:r>
      <w:proofErr w:type="gramEnd"/>
      <w:r w:rsidRPr="005B464B">
        <w:rPr>
          <w:rFonts w:hint="eastAsia"/>
        </w:rPr>
        <w:t>構想規劃草案應強化整</w:t>
      </w:r>
      <w:proofErr w:type="gramStart"/>
      <w:r w:rsidRPr="005B464B">
        <w:rPr>
          <w:rFonts w:hint="eastAsia"/>
        </w:rPr>
        <w:t>併</w:t>
      </w:r>
      <w:proofErr w:type="gramEnd"/>
      <w:r w:rsidRPr="005B464B">
        <w:rPr>
          <w:rFonts w:hint="eastAsia"/>
        </w:rPr>
        <w:t>推動之整體論述；顯示，大學合併上位政策規劃之重要性。又，針對上開所述之影響合併的外部因素，無論是本院諮詢專家意見或實地訪談案關學校人員，均表示教育部基於教育事務最高主管決策機關之地位，就國立大學合併一事所為之決定，亦</w:t>
      </w:r>
      <w:r w:rsidR="00084F72" w:rsidRPr="005B464B">
        <w:rPr>
          <w:rFonts w:hint="eastAsia"/>
        </w:rPr>
        <w:t>足以</w:t>
      </w:r>
      <w:r w:rsidRPr="005B464B">
        <w:rPr>
          <w:rFonts w:hint="eastAsia"/>
        </w:rPr>
        <w:t>彰顯政府施政理念與決心，</w:t>
      </w:r>
      <w:proofErr w:type="gramStart"/>
      <w:r w:rsidRPr="005B464B">
        <w:rPr>
          <w:rFonts w:hint="eastAsia"/>
        </w:rPr>
        <w:t>爰</w:t>
      </w:r>
      <w:proofErr w:type="gramEnd"/>
      <w:r w:rsidRPr="005B464B">
        <w:rPr>
          <w:rFonts w:hint="eastAsia"/>
        </w:rPr>
        <w:t>建議該部對於國立大學合併政策應行具體規劃對策，後續則應力行政策論理辯護，以避免高等教育貽誤合併良機而削減國家競爭力。諮詢專家之相關</w:t>
      </w:r>
      <w:proofErr w:type="gramStart"/>
      <w:r w:rsidRPr="005B464B">
        <w:rPr>
          <w:rFonts w:hint="eastAsia"/>
        </w:rPr>
        <w:t>意見略如</w:t>
      </w:r>
      <w:proofErr w:type="gramEnd"/>
      <w:r w:rsidRPr="005B464B">
        <w:rPr>
          <w:rFonts w:hint="eastAsia"/>
        </w:rPr>
        <w:t>：「</w:t>
      </w:r>
      <w:r w:rsidRPr="005B464B">
        <w:rPr>
          <w:rFonts w:hAnsi="標楷體" w:hint="eastAsia"/>
          <w:szCs w:val="32"/>
        </w:rPr>
        <w:t>高校合併議題也談了很多年，我認為政策目標應明確。就政策面而言，目標無非就是『求卓越』或『求生存』兩大類</w:t>
      </w:r>
      <w:r w:rsidRPr="005B464B">
        <w:rPr>
          <w:rFonts w:hint="eastAsia"/>
        </w:rPr>
        <w:t>…</w:t>
      </w:r>
      <w:proofErr w:type="gramStart"/>
      <w:r w:rsidRPr="005B464B">
        <w:rPr>
          <w:rFonts w:hint="eastAsia"/>
        </w:rPr>
        <w:t>…</w:t>
      </w:r>
      <w:proofErr w:type="gramEnd"/>
      <w:r w:rsidRPr="005B464B">
        <w:rPr>
          <w:rFonts w:hAnsi="標楷體" w:hint="eastAsia"/>
          <w:szCs w:val="32"/>
        </w:rPr>
        <w:t>臺灣的大學應有不同層級，不同人才培養之目標，公立大學應配合教育部分層分類，因為經費不可能均等，否則</w:t>
      </w:r>
      <w:proofErr w:type="gramStart"/>
      <w:r w:rsidRPr="005B464B">
        <w:rPr>
          <w:rFonts w:hAnsi="標楷體" w:hint="eastAsia"/>
          <w:szCs w:val="32"/>
        </w:rPr>
        <w:t>走向均貧</w:t>
      </w:r>
      <w:proofErr w:type="gramEnd"/>
      <w:r w:rsidRPr="005B464B">
        <w:rPr>
          <w:rFonts w:hAnsi="標楷體" w:hint="eastAsia"/>
          <w:szCs w:val="32"/>
        </w:rPr>
        <w:t>，教育部應課予各大學不同責任或目標並給予不同經費」、「大學合併並非解決大學過剩或</w:t>
      </w:r>
      <w:r w:rsidRPr="005B464B">
        <w:rPr>
          <w:rFonts w:hAnsi="標楷體" w:hint="eastAsia"/>
          <w:szCs w:val="32"/>
        </w:rPr>
        <w:lastRenderedPageBreak/>
        <w:t>節省經費等供需問題，而是提升品質、競爭力，給學生更好的環境</w:t>
      </w:r>
      <w:r w:rsidRPr="005B464B">
        <w:rPr>
          <w:rFonts w:hint="eastAsia"/>
        </w:rPr>
        <w:t>…</w:t>
      </w:r>
      <w:proofErr w:type="gramStart"/>
      <w:r w:rsidRPr="005B464B">
        <w:rPr>
          <w:rFonts w:hint="eastAsia"/>
        </w:rPr>
        <w:t>…</w:t>
      </w:r>
      <w:proofErr w:type="gramEnd"/>
      <w:r w:rsidRPr="005B464B">
        <w:rPr>
          <w:rFonts w:hAnsi="標楷體" w:hint="eastAsia"/>
          <w:szCs w:val="32"/>
        </w:rPr>
        <w:t>合併一定是要花錢，但非僅僅爭取資源，政策性考量是很重要的</w:t>
      </w:r>
      <w:r w:rsidRPr="005B464B">
        <w:rPr>
          <w:rFonts w:hint="eastAsia"/>
        </w:rPr>
        <w:t>…</w:t>
      </w:r>
      <w:proofErr w:type="gramStart"/>
      <w:r w:rsidRPr="005B464B">
        <w:rPr>
          <w:rFonts w:hint="eastAsia"/>
        </w:rPr>
        <w:t>…</w:t>
      </w:r>
      <w:proofErr w:type="gramEnd"/>
      <w:r w:rsidRPr="005B464B">
        <w:rPr>
          <w:rFonts w:hAnsi="標楷體" w:hint="eastAsia"/>
          <w:szCs w:val="32"/>
        </w:rPr>
        <w:t>政府貫徹政策的決心是否足夠</w:t>
      </w:r>
      <w:r w:rsidR="00F56694" w:rsidRPr="005B464B">
        <w:rPr>
          <w:rFonts w:hAnsi="標楷體" w:hint="eastAsia"/>
          <w:szCs w:val="32"/>
        </w:rPr>
        <w:t>也</w:t>
      </w:r>
      <w:r w:rsidRPr="005B464B">
        <w:rPr>
          <w:rFonts w:hAnsi="標楷體" w:hint="eastAsia"/>
          <w:szCs w:val="32"/>
        </w:rPr>
        <w:t>是合併政策之關鍵。另外，亦需考量學校內部人員之需求及</w:t>
      </w:r>
      <w:proofErr w:type="gramStart"/>
      <w:r w:rsidRPr="005B464B">
        <w:rPr>
          <w:rFonts w:hAnsi="標楷體" w:hint="eastAsia"/>
          <w:szCs w:val="32"/>
        </w:rPr>
        <w:t>急迫性究為何</w:t>
      </w:r>
      <w:proofErr w:type="gramEnd"/>
      <w:r w:rsidRPr="005B464B">
        <w:rPr>
          <w:rFonts w:hAnsi="標楷體" w:hint="eastAsia"/>
          <w:szCs w:val="32"/>
        </w:rPr>
        <w:t>？尤其少子女化後問題將越來越急迫。最後雙方包容度及整</w:t>
      </w:r>
      <w:proofErr w:type="gramStart"/>
      <w:r w:rsidRPr="005B464B">
        <w:rPr>
          <w:rFonts w:hAnsi="標楷體" w:hint="eastAsia"/>
          <w:szCs w:val="32"/>
        </w:rPr>
        <w:t>併</w:t>
      </w:r>
      <w:proofErr w:type="gramEnd"/>
      <w:r w:rsidRPr="005B464B">
        <w:rPr>
          <w:rFonts w:hAnsi="標楷體" w:hint="eastAsia"/>
          <w:szCs w:val="32"/>
        </w:rPr>
        <w:t>願景亦為推動合併政策成功與否之關鍵。</w:t>
      </w:r>
      <w:r w:rsidRPr="005B464B">
        <w:rPr>
          <w:rFonts w:hint="eastAsia"/>
        </w:rPr>
        <w:t>…</w:t>
      </w:r>
      <w:proofErr w:type="gramStart"/>
      <w:r w:rsidRPr="005B464B">
        <w:rPr>
          <w:rFonts w:hint="eastAsia"/>
        </w:rPr>
        <w:t>…</w:t>
      </w:r>
      <w:proofErr w:type="gramEnd"/>
      <w:r w:rsidRPr="005B464B">
        <w:rPr>
          <w:rFonts w:hAnsi="標楷體" w:hint="eastAsia"/>
          <w:szCs w:val="32"/>
        </w:rPr>
        <w:t>政府應擔負更重要的角色，目前教育部主導性仍不足，</w:t>
      </w:r>
      <w:proofErr w:type="gramStart"/>
      <w:r w:rsidRPr="005B464B">
        <w:rPr>
          <w:rFonts w:hAnsi="標楷體" w:hint="eastAsia"/>
          <w:szCs w:val="32"/>
        </w:rPr>
        <w:t>雖組委員會</w:t>
      </w:r>
      <w:proofErr w:type="gramEnd"/>
      <w:r w:rsidRPr="005B464B">
        <w:rPr>
          <w:rFonts w:hAnsi="標楷體" w:hint="eastAsia"/>
          <w:szCs w:val="32"/>
        </w:rPr>
        <w:t>，但已退居為協調角色而已。」等語；相關學校人員方面，更指出「教育部當初做的承諾，是政策，所以也才有誘因，結果</w:t>
      </w:r>
      <w:r w:rsidR="00F56694" w:rsidRPr="005B464B">
        <w:rPr>
          <w:rFonts w:hAnsi="標楷體" w:hint="eastAsia"/>
          <w:szCs w:val="32"/>
        </w:rPr>
        <w:t>『</w:t>
      </w:r>
      <w:r w:rsidRPr="005B464B">
        <w:rPr>
          <w:rFonts w:hAnsi="標楷體" w:hint="eastAsia"/>
          <w:szCs w:val="32"/>
        </w:rPr>
        <w:t>前朝一過</w:t>
      </w:r>
      <w:proofErr w:type="gramStart"/>
      <w:r w:rsidRPr="005B464B">
        <w:rPr>
          <w:rFonts w:hAnsi="標楷體" w:hint="eastAsia"/>
          <w:szCs w:val="32"/>
        </w:rPr>
        <w:t>、</w:t>
      </w:r>
      <w:proofErr w:type="gramEnd"/>
      <w:r w:rsidRPr="005B464B">
        <w:rPr>
          <w:rFonts w:hAnsi="標楷體" w:hint="eastAsia"/>
          <w:szCs w:val="32"/>
        </w:rPr>
        <w:t>後朝不認</w:t>
      </w:r>
      <w:r w:rsidR="00F56694" w:rsidRPr="005B464B">
        <w:rPr>
          <w:rFonts w:hAnsi="標楷體" w:hint="eastAsia"/>
          <w:szCs w:val="32"/>
        </w:rPr>
        <w:t>』</w:t>
      </w:r>
      <w:r w:rsidRPr="005B464B">
        <w:rPr>
          <w:rFonts w:hAnsi="標楷體" w:hint="eastAsia"/>
          <w:szCs w:val="32"/>
        </w:rPr>
        <w:t>，政府實不該失信於民」、「(合併)</w:t>
      </w:r>
      <w:r w:rsidR="00F56694" w:rsidRPr="005B464B">
        <w:rPr>
          <w:rFonts w:hAnsi="標楷體" w:hint="eastAsia"/>
          <w:szCs w:val="32"/>
        </w:rPr>
        <w:t>牽涉政府公信力，</w:t>
      </w:r>
      <w:proofErr w:type="gramStart"/>
      <w:r w:rsidRPr="005B464B">
        <w:rPr>
          <w:rFonts w:hAnsi="標楷體" w:hint="eastAsia"/>
          <w:szCs w:val="32"/>
        </w:rPr>
        <w:t>感覺似換了</w:t>
      </w:r>
      <w:proofErr w:type="gramEnd"/>
      <w:r w:rsidRPr="005B464B">
        <w:rPr>
          <w:rFonts w:hAnsi="標楷體" w:hint="eastAsia"/>
          <w:szCs w:val="32"/>
        </w:rPr>
        <w:t>政府，政策就沒有延續，立法委員</w:t>
      </w:r>
      <w:proofErr w:type="gramStart"/>
      <w:r w:rsidRPr="005B464B">
        <w:rPr>
          <w:rFonts w:hAnsi="標楷體" w:hint="eastAsia"/>
          <w:szCs w:val="32"/>
        </w:rPr>
        <w:t>一</w:t>
      </w:r>
      <w:proofErr w:type="gramEnd"/>
      <w:r w:rsidRPr="005B464B">
        <w:rPr>
          <w:rFonts w:hAnsi="標楷體" w:hint="eastAsia"/>
          <w:szCs w:val="32"/>
        </w:rPr>
        <w:t>干涉，政策也就變了。」等語，對於國立大學合併政策似隨主政者之不同以及外部因素干擾而改弦更張等情，強烈表達不信任。</w:t>
      </w:r>
    </w:p>
    <w:p w:rsidR="00D974E1" w:rsidRPr="005B464B" w:rsidRDefault="00D974E1" w:rsidP="00D974E1">
      <w:pPr>
        <w:pStyle w:val="3"/>
        <w:numPr>
          <w:ilvl w:val="2"/>
          <w:numId w:val="1"/>
        </w:numPr>
      </w:pPr>
      <w:r w:rsidRPr="005B464B">
        <w:rPr>
          <w:rFonts w:hint="eastAsia"/>
        </w:rPr>
        <w:t>綜觀歷年推動之合併案，調查發現學校合併不單僅是校園空間與事務之整合，而係牽涉校友歷史情感層面之複雜事件，前述之外部干擾即源自於此。舉例而言，本案諮詢專家意見</w:t>
      </w:r>
      <w:r w:rsidRPr="005B464B">
        <w:rPr>
          <w:rFonts w:hAnsi="標楷體" w:hint="eastAsia"/>
          <w:szCs w:val="32"/>
        </w:rPr>
        <w:t>提及</w:t>
      </w:r>
      <w:r w:rsidRPr="005B464B">
        <w:rPr>
          <w:rFonts w:hint="eastAsia"/>
        </w:rPr>
        <w:t>國立花蓮教育大學</w:t>
      </w:r>
      <w:r w:rsidRPr="005B464B">
        <w:rPr>
          <w:rFonts w:hAnsi="標楷體" w:hint="eastAsia"/>
          <w:szCs w:val="32"/>
        </w:rPr>
        <w:t>與</w:t>
      </w:r>
      <w:r w:rsidRPr="005B464B">
        <w:rPr>
          <w:rFonts w:hint="eastAsia"/>
        </w:rPr>
        <w:t>國立</w:t>
      </w:r>
      <w:r w:rsidRPr="005B464B">
        <w:rPr>
          <w:rFonts w:hAnsi="標楷體" w:hint="eastAsia"/>
          <w:szCs w:val="32"/>
        </w:rPr>
        <w:t>東華大學合併一案，特別強調合併學校應重視對歷史的尊重與對校友的關懷，並稱「該2校，曾由2校校長到教育部召開</w:t>
      </w:r>
      <w:r w:rsidR="00F56694" w:rsidRPr="005B464B">
        <w:rPr>
          <w:rFonts w:hAnsi="標楷體" w:hint="eastAsia"/>
          <w:szCs w:val="32"/>
        </w:rPr>
        <w:t>合併討論會議</w:t>
      </w:r>
      <w:r w:rsidRPr="005B464B">
        <w:rPr>
          <w:rFonts w:hAnsi="標楷體" w:hint="eastAsia"/>
          <w:szCs w:val="32"/>
        </w:rPr>
        <w:t>，當時除了有教育部部長主持外，</w:t>
      </w:r>
      <w:r w:rsidR="00037EBE" w:rsidRPr="005B464B">
        <w:rPr>
          <w:rFonts w:hAnsi="標楷體" w:hint="eastAsia"/>
          <w:szCs w:val="32"/>
        </w:rPr>
        <w:t>4位</w:t>
      </w:r>
      <w:r w:rsidRPr="005B464B">
        <w:rPr>
          <w:rFonts w:hAnsi="標楷體" w:hint="eastAsia"/>
          <w:szCs w:val="32"/>
        </w:rPr>
        <w:t>歷任教育部長也</w:t>
      </w:r>
      <w:proofErr w:type="gramStart"/>
      <w:r w:rsidRPr="005B464B">
        <w:rPr>
          <w:rFonts w:hAnsi="標楷體" w:hint="eastAsia"/>
          <w:szCs w:val="32"/>
        </w:rPr>
        <w:t>都在場</w:t>
      </w:r>
      <w:proofErr w:type="gramEnd"/>
      <w:r w:rsidRPr="005B464B">
        <w:rPr>
          <w:rFonts w:hAnsi="標楷體" w:hint="eastAsia"/>
          <w:szCs w:val="32"/>
        </w:rPr>
        <w:t>，該次教育部會議決議兩校各提3</w:t>
      </w:r>
      <w:r w:rsidR="00312F86" w:rsidRPr="005B464B">
        <w:rPr>
          <w:rFonts w:hAnsi="標楷體" w:hint="eastAsia"/>
          <w:szCs w:val="32"/>
        </w:rPr>
        <w:t>個校名，皆不准沿用原校名，</w:t>
      </w:r>
      <w:r w:rsidRPr="005B464B">
        <w:rPr>
          <w:rFonts w:hAnsi="標楷體" w:hint="eastAsia"/>
          <w:szCs w:val="32"/>
        </w:rPr>
        <w:t>還做成會議紀錄，沒想到最後在合併案通過後，卻使用『國立東華大學』這個校名，實在匪夷所思</w:t>
      </w:r>
      <w:r w:rsidRPr="005B464B">
        <w:rPr>
          <w:rFonts w:hint="eastAsia"/>
        </w:rPr>
        <w:t>…</w:t>
      </w:r>
      <w:proofErr w:type="gramStart"/>
      <w:r w:rsidRPr="005B464B">
        <w:rPr>
          <w:rFonts w:hint="eastAsia"/>
        </w:rPr>
        <w:t>…</w:t>
      </w:r>
      <w:proofErr w:type="gramEnd"/>
      <w:r w:rsidRPr="005B464B">
        <w:rPr>
          <w:rFonts w:hint="eastAsia"/>
        </w:rPr>
        <w:t>(後來)</w:t>
      </w:r>
      <w:r w:rsidRPr="005B464B">
        <w:rPr>
          <w:rFonts w:hAnsi="標楷體" w:hint="eastAsia"/>
          <w:szCs w:val="32"/>
        </w:rPr>
        <w:t>很多校友也都反映類似的意見。</w:t>
      </w:r>
      <w:r w:rsidRPr="005B464B">
        <w:rPr>
          <w:rFonts w:hint="eastAsia"/>
        </w:rPr>
        <w:t>」等語；又，據本院赴國立高雄應用科技大學、國立高雄海洋科技大學與國立高雄第一科技</w:t>
      </w:r>
      <w:r w:rsidRPr="005B464B">
        <w:rPr>
          <w:rFonts w:hint="eastAsia"/>
        </w:rPr>
        <w:lastRenderedPageBreak/>
        <w:t>大學等3校實地履</w:t>
      </w:r>
      <w:proofErr w:type="gramStart"/>
      <w:r w:rsidRPr="005B464B">
        <w:rPr>
          <w:rFonts w:hint="eastAsia"/>
        </w:rPr>
        <w:t>勘</w:t>
      </w:r>
      <w:proofErr w:type="gramEnd"/>
      <w:r w:rsidRPr="005B464B">
        <w:rPr>
          <w:rFonts w:hint="eastAsia"/>
        </w:rPr>
        <w:t>座談時發現，教育部102年9月17日曾函復</w:t>
      </w:r>
      <w:r w:rsidRPr="005B464B">
        <w:rPr>
          <w:rStyle w:val="aff2"/>
        </w:rPr>
        <w:footnoteReference w:id="23"/>
      </w:r>
      <w:r w:rsidRPr="005B464B">
        <w:rPr>
          <w:rFonts w:hint="eastAsia"/>
        </w:rPr>
        <w:t>國立高雄海洋科技大學與國立高雄第一科技大學同意該2校合併後以「國立高</w:t>
      </w:r>
      <w:r w:rsidR="00037EBE" w:rsidRPr="005B464B">
        <w:rPr>
          <w:rFonts w:hint="eastAsia"/>
        </w:rPr>
        <w:t>雄科技大學」為校名，其後，國立高雄應用科技大學即函報教育部爭取</w:t>
      </w:r>
      <w:r w:rsidRPr="005B464B">
        <w:rPr>
          <w:rFonts w:hint="eastAsia"/>
        </w:rPr>
        <w:t>正名為「國立高雄科技大學」，經教育部103年1月29日</w:t>
      </w:r>
      <w:proofErr w:type="gramStart"/>
      <w:r w:rsidRPr="005B464B">
        <w:rPr>
          <w:rFonts w:hint="eastAsia"/>
        </w:rPr>
        <w:t>函復該校</w:t>
      </w:r>
      <w:proofErr w:type="gramEnd"/>
      <w:r w:rsidRPr="005B464B">
        <w:rPr>
          <w:rFonts w:hint="eastAsia"/>
        </w:rPr>
        <w:t>略</w:t>
      </w:r>
      <w:proofErr w:type="gramStart"/>
      <w:r w:rsidRPr="005B464B">
        <w:rPr>
          <w:rFonts w:hint="eastAsia"/>
        </w:rPr>
        <w:t>以</w:t>
      </w:r>
      <w:proofErr w:type="gramEnd"/>
      <w:r w:rsidRPr="005B464B">
        <w:rPr>
          <w:rFonts w:hint="eastAsia"/>
        </w:rPr>
        <w:t>，為有效推展國立大學校院合併政策，建請參與3校合併後再議，顯示該3校於</w:t>
      </w:r>
      <w:proofErr w:type="gramStart"/>
      <w:r w:rsidRPr="005B464B">
        <w:rPr>
          <w:rFonts w:hint="eastAsia"/>
        </w:rPr>
        <w:t>研</w:t>
      </w:r>
      <w:proofErr w:type="gramEnd"/>
      <w:r w:rsidRPr="005B464B">
        <w:rPr>
          <w:rFonts w:hint="eastAsia"/>
        </w:rPr>
        <w:t>議合併過程中，確有爭取「國立高雄科技大學」校名情事；</w:t>
      </w:r>
      <w:proofErr w:type="gramStart"/>
      <w:r w:rsidRPr="005B464B">
        <w:rPr>
          <w:rFonts w:hint="eastAsia"/>
        </w:rPr>
        <w:t>此外，</w:t>
      </w:r>
      <w:proofErr w:type="gramEnd"/>
      <w:r w:rsidRPr="005B464B">
        <w:rPr>
          <w:rFonts w:hint="eastAsia"/>
        </w:rPr>
        <w:t>教育大學與一般大學合併後，校名未見「教育」二字，國立高雄海洋科技大學校友亦擔心與他校合併後，校名未見「海洋」二字，恐有導致教學特色消失之</w:t>
      </w:r>
      <w:r w:rsidR="00037EBE" w:rsidRPr="005B464B">
        <w:rPr>
          <w:rFonts w:hint="eastAsia"/>
        </w:rPr>
        <w:t>虞</w:t>
      </w:r>
      <w:r w:rsidRPr="005B464B">
        <w:rPr>
          <w:rFonts w:hint="eastAsia"/>
        </w:rPr>
        <w:t>。</w:t>
      </w:r>
      <w:r w:rsidR="00037EBE" w:rsidRPr="005B464B">
        <w:rPr>
          <w:rFonts w:hint="eastAsia"/>
        </w:rPr>
        <w:t>由此可見</w:t>
      </w:r>
      <w:r w:rsidRPr="005B464B">
        <w:rPr>
          <w:rFonts w:hint="eastAsia"/>
        </w:rPr>
        <w:t>，校友與各該關係人對於原學校之情感以及對於合併後之學校發展疑慮，藉學校命名問題延伸發酵。</w:t>
      </w:r>
      <w:proofErr w:type="gramStart"/>
      <w:r w:rsidRPr="005B464B">
        <w:rPr>
          <w:rFonts w:hint="eastAsia"/>
        </w:rPr>
        <w:t>惟</w:t>
      </w:r>
      <w:proofErr w:type="gramEnd"/>
      <w:r w:rsidRPr="005B464B">
        <w:rPr>
          <w:rFonts w:hint="eastAsia"/>
        </w:rPr>
        <w:t>，教學特色之存續仍在於未來之實質教學成效，又合併後學校之命名，應如何兼</w:t>
      </w:r>
      <w:r w:rsidR="00312F86" w:rsidRPr="005B464B">
        <w:rPr>
          <w:rFonts w:hint="eastAsia"/>
        </w:rPr>
        <w:t>顧</w:t>
      </w:r>
      <w:r w:rsidRPr="005B464B">
        <w:rPr>
          <w:rFonts w:hint="eastAsia"/>
        </w:rPr>
        <w:t>歷史記憶與公平性的問題，</w:t>
      </w:r>
      <w:proofErr w:type="gramStart"/>
      <w:r w:rsidRPr="005B464B">
        <w:rPr>
          <w:rFonts w:hint="eastAsia"/>
        </w:rPr>
        <w:t>容屬技術</w:t>
      </w:r>
      <w:proofErr w:type="gramEnd"/>
      <w:r w:rsidRPr="005B464B">
        <w:rPr>
          <w:rFonts w:hint="eastAsia"/>
        </w:rPr>
        <w:t>層次議題，實不應反向延緩國立大學合併政策之進程；提升我國高等教育競爭力之「大局」，猶待教育部</w:t>
      </w:r>
      <w:proofErr w:type="gramStart"/>
      <w:r w:rsidRPr="005B464B">
        <w:rPr>
          <w:rFonts w:hint="eastAsia"/>
        </w:rPr>
        <w:t>擘</w:t>
      </w:r>
      <w:proofErr w:type="gramEnd"/>
      <w:r w:rsidRPr="005B464B">
        <w:rPr>
          <w:rFonts w:hint="eastAsia"/>
        </w:rPr>
        <w:t>劃，並應由該部肩負政策推動之責任，協助各合併案之意見疏通。</w:t>
      </w:r>
    </w:p>
    <w:p w:rsidR="0073671F" w:rsidRPr="005B464B" w:rsidRDefault="00D974E1" w:rsidP="0073671F">
      <w:pPr>
        <w:pStyle w:val="3"/>
      </w:pPr>
      <w:r w:rsidRPr="005B464B">
        <w:rPr>
          <w:rFonts w:hAnsi="標楷體" w:hint="eastAsia"/>
          <w:szCs w:val="32"/>
        </w:rPr>
        <w:t>綜上，</w:t>
      </w:r>
      <w:r w:rsidR="00864935" w:rsidRPr="005B464B">
        <w:rPr>
          <w:rFonts w:hint="eastAsia"/>
        </w:rPr>
        <w:t>我國自</w:t>
      </w:r>
      <w:r w:rsidR="00864935" w:rsidRPr="005B464B">
        <w:t>83</w:t>
      </w:r>
      <w:r w:rsidR="00864935" w:rsidRPr="005B464B">
        <w:rPr>
          <w:rFonts w:hint="eastAsia"/>
        </w:rPr>
        <w:t>年</w:t>
      </w:r>
      <w:r w:rsidR="00864935" w:rsidRPr="005B464B">
        <w:t>410</w:t>
      </w:r>
      <w:r w:rsidR="00864935" w:rsidRPr="005B464B">
        <w:rPr>
          <w:rFonts w:hint="eastAsia"/>
        </w:rPr>
        <w:t>教改大遊行「廣設高中大學」</w:t>
      </w:r>
      <w:r w:rsidR="00A11FF3" w:rsidRPr="005B464B">
        <w:rPr>
          <w:rFonts w:hint="eastAsia"/>
        </w:rPr>
        <w:t>及所謂</w:t>
      </w:r>
      <w:r w:rsidR="00A11FF3" w:rsidRPr="005B464B">
        <w:rPr>
          <w:rFonts w:hAnsi="標楷體" w:hint="eastAsia"/>
        </w:rPr>
        <w:t>「</w:t>
      </w:r>
      <w:proofErr w:type="gramStart"/>
      <w:r w:rsidR="00A11FF3" w:rsidRPr="005B464B">
        <w:rPr>
          <w:rFonts w:hAnsi="標楷體" w:hint="eastAsia"/>
        </w:rPr>
        <w:t>一</w:t>
      </w:r>
      <w:proofErr w:type="gramEnd"/>
      <w:r w:rsidR="00A11FF3" w:rsidRPr="005B464B">
        <w:rPr>
          <w:rFonts w:hAnsi="標楷體" w:hint="eastAsia"/>
        </w:rPr>
        <w:t>縣市</w:t>
      </w:r>
      <w:proofErr w:type="gramStart"/>
      <w:r w:rsidR="00A11FF3" w:rsidRPr="005B464B">
        <w:rPr>
          <w:rFonts w:hAnsi="標楷體" w:hint="eastAsia"/>
        </w:rPr>
        <w:t>一</w:t>
      </w:r>
      <w:proofErr w:type="gramEnd"/>
      <w:r w:rsidR="00A11FF3" w:rsidRPr="005B464B">
        <w:rPr>
          <w:rFonts w:hAnsi="標楷體" w:hint="eastAsia"/>
        </w:rPr>
        <w:t>大學」</w:t>
      </w:r>
      <w:r w:rsidR="00A11FF3" w:rsidRPr="005B464B">
        <w:rPr>
          <w:rFonts w:hint="eastAsia"/>
        </w:rPr>
        <w:t>等</w:t>
      </w:r>
      <w:r w:rsidR="00864935" w:rsidRPr="005B464B">
        <w:rPr>
          <w:rFonts w:hint="eastAsia"/>
        </w:rPr>
        <w:t>訴求後，大專校院數量逐漸擴增</w:t>
      </w:r>
      <w:r w:rsidR="006008BB" w:rsidRPr="005B464B">
        <w:rPr>
          <w:rFonts w:hAnsi="標楷體" w:hint="eastAsia"/>
          <w:szCs w:val="32"/>
        </w:rPr>
        <w:t>，從</w:t>
      </w:r>
      <w:r w:rsidR="006008BB" w:rsidRPr="005B464B">
        <w:rPr>
          <w:rFonts w:hAnsi="標楷體"/>
          <w:szCs w:val="32"/>
        </w:rPr>
        <w:t>85</w:t>
      </w:r>
      <w:r w:rsidR="006008BB" w:rsidRPr="005B464B">
        <w:rPr>
          <w:rFonts w:hAnsi="標楷體" w:hint="eastAsia"/>
          <w:szCs w:val="32"/>
        </w:rPr>
        <w:t>年</w:t>
      </w:r>
      <w:r w:rsidR="00050C6C" w:rsidRPr="005B464B">
        <w:rPr>
          <w:rFonts w:hAnsi="標楷體" w:hint="eastAsia"/>
          <w:szCs w:val="32"/>
        </w:rPr>
        <w:t>的</w:t>
      </w:r>
      <w:r w:rsidR="006008BB" w:rsidRPr="005B464B">
        <w:rPr>
          <w:rFonts w:hAnsi="標楷體"/>
          <w:szCs w:val="32"/>
        </w:rPr>
        <w:t>67</w:t>
      </w:r>
      <w:r w:rsidR="006008BB" w:rsidRPr="005B464B">
        <w:rPr>
          <w:rFonts w:hAnsi="標楷體" w:hint="eastAsia"/>
          <w:szCs w:val="32"/>
        </w:rPr>
        <w:t>所</w:t>
      </w:r>
      <w:r w:rsidR="00050C6C" w:rsidRPr="005B464B">
        <w:rPr>
          <w:rFonts w:hAnsi="標楷體" w:hint="eastAsia"/>
          <w:szCs w:val="32"/>
        </w:rPr>
        <w:t>增</w:t>
      </w:r>
      <w:r w:rsidR="006008BB" w:rsidRPr="005B464B">
        <w:rPr>
          <w:rFonts w:hAnsi="標楷體" w:hint="eastAsia"/>
          <w:szCs w:val="32"/>
        </w:rPr>
        <w:t>至</w:t>
      </w:r>
      <w:r w:rsidR="006008BB" w:rsidRPr="005B464B">
        <w:rPr>
          <w:rFonts w:hAnsi="標楷體"/>
          <w:szCs w:val="32"/>
        </w:rPr>
        <w:t>89</w:t>
      </w:r>
      <w:r w:rsidR="006008BB" w:rsidRPr="005B464B">
        <w:rPr>
          <w:rFonts w:hAnsi="標楷體" w:hint="eastAsia"/>
          <w:szCs w:val="32"/>
        </w:rPr>
        <w:t>學年</w:t>
      </w:r>
      <w:r w:rsidR="00050C6C" w:rsidRPr="005B464B">
        <w:rPr>
          <w:rFonts w:hAnsi="標楷體" w:hint="eastAsia"/>
          <w:szCs w:val="32"/>
        </w:rPr>
        <w:t>的</w:t>
      </w:r>
      <w:r w:rsidR="006008BB" w:rsidRPr="005B464B">
        <w:rPr>
          <w:rFonts w:hAnsi="標楷體"/>
          <w:szCs w:val="32"/>
        </w:rPr>
        <w:t>150</w:t>
      </w:r>
      <w:r w:rsidR="006008BB" w:rsidRPr="005B464B">
        <w:rPr>
          <w:rFonts w:hAnsi="標楷體" w:hint="eastAsia"/>
          <w:szCs w:val="32"/>
        </w:rPr>
        <w:t>所</w:t>
      </w:r>
      <w:r w:rsidR="00C025C3" w:rsidRPr="005B464B">
        <w:rPr>
          <w:rFonts w:hAnsi="標楷體" w:hint="eastAsia"/>
          <w:szCs w:val="32"/>
        </w:rPr>
        <w:t>，</w:t>
      </w:r>
      <w:r w:rsidR="00DF3830" w:rsidRPr="005B464B">
        <w:rPr>
          <w:rFonts w:hAnsi="標楷體" w:hint="eastAsia"/>
          <w:szCs w:val="32"/>
        </w:rPr>
        <w:t>爾後</w:t>
      </w:r>
      <w:r w:rsidR="00BC605F" w:rsidRPr="005B464B">
        <w:rPr>
          <w:rFonts w:hAnsi="標楷體" w:hint="eastAsia"/>
          <w:szCs w:val="32"/>
        </w:rPr>
        <w:t>出現</w:t>
      </w:r>
      <w:r w:rsidR="00050C6C" w:rsidRPr="005B464B">
        <w:rPr>
          <w:rFonts w:hint="eastAsia"/>
        </w:rPr>
        <w:t>幾乎</w:t>
      </w:r>
      <w:r w:rsidR="00C025C3" w:rsidRPr="005B464B">
        <w:rPr>
          <w:rFonts w:hint="eastAsia"/>
        </w:rPr>
        <w:t>人人均可上大學的情況</w:t>
      </w:r>
      <w:r w:rsidR="006F4A9B" w:rsidRPr="005B464B">
        <w:rPr>
          <w:rFonts w:hAnsi="標楷體" w:hint="eastAsia"/>
          <w:szCs w:val="32"/>
        </w:rPr>
        <w:t>。然而，</w:t>
      </w:r>
      <w:r w:rsidR="00AA75E7" w:rsidRPr="005B464B">
        <w:rPr>
          <w:rFonts w:hAnsi="標楷體" w:hint="eastAsia"/>
          <w:szCs w:val="32"/>
        </w:rPr>
        <w:t>在</w:t>
      </w:r>
      <w:r w:rsidR="00572757" w:rsidRPr="005B464B">
        <w:rPr>
          <w:rFonts w:hAnsi="標楷體" w:hint="eastAsia"/>
          <w:szCs w:val="32"/>
        </w:rPr>
        <w:t>大量專科升格、技職教育大學化的同時，我國高中生總</w:t>
      </w:r>
      <w:r w:rsidR="006008BB" w:rsidRPr="005B464B">
        <w:rPr>
          <w:rFonts w:hAnsi="標楷體" w:hint="eastAsia"/>
          <w:szCs w:val="32"/>
        </w:rPr>
        <w:t>數卻由</w:t>
      </w:r>
      <w:r w:rsidR="006008BB" w:rsidRPr="005B464B">
        <w:rPr>
          <w:rFonts w:hAnsi="標楷體"/>
          <w:szCs w:val="32"/>
        </w:rPr>
        <w:t>99</w:t>
      </w:r>
      <w:r w:rsidR="006008BB" w:rsidRPr="005B464B">
        <w:rPr>
          <w:rFonts w:hAnsi="標楷體" w:hint="eastAsia"/>
          <w:szCs w:val="32"/>
        </w:rPr>
        <w:t>萬餘人逐年下降至</w:t>
      </w:r>
      <w:r w:rsidR="006008BB" w:rsidRPr="005B464B">
        <w:rPr>
          <w:rFonts w:hAnsi="標楷體"/>
          <w:szCs w:val="32"/>
        </w:rPr>
        <w:t>95</w:t>
      </w:r>
      <w:r w:rsidR="006008BB" w:rsidRPr="005B464B">
        <w:rPr>
          <w:rFonts w:hAnsi="標楷體" w:hint="eastAsia"/>
          <w:szCs w:val="32"/>
        </w:rPr>
        <w:t>萬餘人</w:t>
      </w:r>
      <w:r w:rsidR="00A97894" w:rsidRPr="005B464B">
        <w:rPr>
          <w:rFonts w:hAnsi="標楷體" w:hint="eastAsia"/>
          <w:szCs w:val="32"/>
        </w:rPr>
        <w:t>，揭開少子女化趨勢之序幕。</w:t>
      </w:r>
      <w:r w:rsidR="009E0FD4" w:rsidRPr="005B464B">
        <w:rPr>
          <w:rFonts w:hAnsi="標楷體" w:hint="eastAsia"/>
          <w:szCs w:val="32"/>
        </w:rPr>
        <w:t>然在</w:t>
      </w:r>
      <w:r w:rsidR="0073671F" w:rsidRPr="005B464B">
        <w:rPr>
          <w:rFonts w:hAnsi="標楷體" w:hint="eastAsia"/>
        </w:rPr>
        <w:t>教育部政策引導國內專科大量升格技術學院、科技大學</w:t>
      </w:r>
      <w:r w:rsidR="002E6E0C" w:rsidRPr="005B464B">
        <w:rPr>
          <w:rFonts w:hAnsi="標楷體" w:hint="eastAsia"/>
        </w:rPr>
        <w:t>下</w:t>
      </w:r>
      <w:r w:rsidR="00050C6C" w:rsidRPr="005B464B">
        <w:rPr>
          <w:rFonts w:hAnsi="標楷體" w:hint="eastAsia"/>
        </w:rPr>
        <w:t>，</w:t>
      </w:r>
      <w:r w:rsidR="0073671F" w:rsidRPr="005B464B">
        <w:rPr>
          <w:rFonts w:hAnsi="標楷體" w:hint="eastAsia"/>
        </w:rPr>
        <w:t>技職體系逐漸向一般</w:t>
      </w:r>
      <w:r w:rsidR="0073671F" w:rsidRPr="005B464B">
        <w:rPr>
          <w:rFonts w:hAnsi="標楷體" w:hint="eastAsia"/>
        </w:rPr>
        <w:lastRenderedPageBreak/>
        <w:t>教育體系傾斜，且高職學生</w:t>
      </w:r>
      <w:r w:rsidR="0073671F" w:rsidRPr="005B464B">
        <w:rPr>
          <w:rFonts w:hint="eastAsia"/>
        </w:rPr>
        <w:t>畢業後升學之比例偏高，產業需求對接普遍不足，均嚴重衝擊基礎技術人力，近年已引發產業及學界諸多議論</w:t>
      </w:r>
      <w:r w:rsidR="0073671F" w:rsidRPr="005B464B">
        <w:rPr>
          <w:rFonts w:hAnsi="標楷體" w:hint="eastAsia"/>
          <w:szCs w:val="32"/>
        </w:rPr>
        <w:t>。</w:t>
      </w:r>
      <w:r w:rsidR="00233287" w:rsidRPr="005B464B">
        <w:rPr>
          <w:rFonts w:hAnsi="標楷體" w:hint="eastAsia"/>
          <w:szCs w:val="32"/>
        </w:rPr>
        <w:t>基此</w:t>
      </w:r>
      <w:r w:rsidR="0073671F" w:rsidRPr="005B464B">
        <w:rPr>
          <w:rFonts w:hAnsi="標楷體" w:hint="eastAsia"/>
          <w:szCs w:val="32"/>
        </w:rPr>
        <w:t>，</w:t>
      </w:r>
      <w:r w:rsidR="0073671F" w:rsidRPr="005B464B">
        <w:rPr>
          <w:rFonts w:hint="eastAsia"/>
          <w:kern w:val="0"/>
          <w:lang w:val="x-none"/>
        </w:rPr>
        <w:t>少子女化趨勢早為教育部</w:t>
      </w:r>
      <w:r w:rsidR="0073671F" w:rsidRPr="005B464B">
        <w:rPr>
          <w:rFonts w:hAnsi="標楷體" w:hint="eastAsia"/>
          <w:kern w:val="0"/>
        </w:rPr>
        <w:t>內部分析及控制之機制</w:t>
      </w:r>
      <w:r w:rsidR="0073671F" w:rsidRPr="005B464B">
        <w:rPr>
          <w:rFonts w:hAnsi="標楷體" w:hint="eastAsia"/>
          <w:kern w:val="0"/>
          <w:lang w:val="x-none" w:eastAsia="x-none"/>
        </w:rPr>
        <w:t>，</w:t>
      </w:r>
      <w:r w:rsidR="0073671F" w:rsidRPr="005B464B">
        <w:rPr>
          <w:rFonts w:hAnsi="標楷體" w:hint="eastAsia"/>
          <w:kern w:val="0"/>
          <w:lang w:val="x-none"/>
        </w:rPr>
        <w:t>歷年已對高等教育不當擴充情形予以示警，惟教育部</w:t>
      </w:r>
      <w:r w:rsidR="006008BB" w:rsidRPr="005B464B">
        <w:rPr>
          <w:rFonts w:hAnsi="標楷體" w:hint="eastAsia"/>
          <w:szCs w:val="32"/>
        </w:rPr>
        <w:t>未善盡國立大學合併之政策規劃職責</w:t>
      </w:r>
      <w:r w:rsidR="00FA2D34" w:rsidRPr="005B464B">
        <w:rPr>
          <w:rFonts w:hAnsi="標楷體" w:hint="eastAsia"/>
          <w:szCs w:val="32"/>
        </w:rPr>
        <w:t>及私校數量控管</w:t>
      </w:r>
      <w:r w:rsidR="006008BB" w:rsidRPr="005B464B">
        <w:rPr>
          <w:rFonts w:hAnsi="標楷體" w:hint="eastAsia"/>
          <w:szCs w:val="32"/>
        </w:rPr>
        <w:t>，</w:t>
      </w:r>
      <w:r w:rsidR="0073671F" w:rsidRPr="005B464B">
        <w:rPr>
          <w:rFonts w:hAnsi="標楷體" w:hint="eastAsia"/>
          <w:kern w:val="0"/>
          <w:lang w:val="x-none"/>
        </w:rPr>
        <w:t>以我國</w:t>
      </w:r>
      <w:r w:rsidR="0073671F" w:rsidRPr="005B464B">
        <w:rPr>
          <w:rFonts w:hint="eastAsia"/>
        </w:rPr>
        <w:t>近十餘年完成公立大學合併之7案</w:t>
      </w:r>
      <w:r w:rsidR="00C745BC" w:rsidRPr="005B464B">
        <w:rPr>
          <w:rFonts w:hint="eastAsia"/>
        </w:rPr>
        <w:t>及私校退場轉型4所</w:t>
      </w:r>
      <w:r w:rsidR="0073671F" w:rsidRPr="005B464B">
        <w:rPr>
          <w:rFonts w:hint="eastAsia"/>
        </w:rPr>
        <w:t>觀之，整體推動情形，實難謂已積極回應前述</w:t>
      </w:r>
      <w:r w:rsidR="0073671F" w:rsidRPr="005B464B">
        <w:rPr>
          <w:rFonts w:hint="eastAsia"/>
          <w:kern w:val="0"/>
          <w:lang w:val="x-none"/>
        </w:rPr>
        <w:t>少子女化</w:t>
      </w:r>
      <w:r w:rsidR="0073671F" w:rsidRPr="005B464B">
        <w:rPr>
          <w:rFonts w:hint="eastAsia"/>
        </w:rPr>
        <w:t>趨勢與相關建言。</w:t>
      </w:r>
      <w:r w:rsidR="006008BB" w:rsidRPr="005B464B">
        <w:rPr>
          <w:rFonts w:hAnsi="標楷體" w:hint="eastAsia"/>
          <w:szCs w:val="32"/>
        </w:rPr>
        <w:t>復以我國大學合併事務深受政治因素與校園生態干擾，</w:t>
      </w:r>
      <w:proofErr w:type="gramStart"/>
      <w:r w:rsidR="006008BB" w:rsidRPr="005B464B">
        <w:rPr>
          <w:rFonts w:hAnsi="標楷體" w:hint="eastAsia"/>
          <w:szCs w:val="32"/>
        </w:rPr>
        <w:t>該部亦未妥</w:t>
      </w:r>
      <w:proofErr w:type="gramEnd"/>
      <w:r w:rsidR="006008BB" w:rsidRPr="005B464B">
        <w:rPr>
          <w:rFonts w:hAnsi="標楷體" w:hint="eastAsia"/>
          <w:szCs w:val="32"/>
        </w:rPr>
        <w:t>盡政策論理辯護工作，致大學合併之規模、時程與效益，</w:t>
      </w:r>
      <w:proofErr w:type="gramStart"/>
      <w:r w:rsidR="006008BB" w:rsidRPr="005B464B">
        <w:rPr>
          <w:rFonts w:hAnsi="標楷體" w:hint="eastAsia"/>
          <w:szCs w:val="32"/>
        </w:rPr>
        <w:t>均與</w:t>
      </w:r>
      <w:proofErr w:type="gramEnd"/>
      <w:r w:rsidR="006008BB" w:rsidRPr="005B464B">
        <w:rPr>
          <w:rFonts w:hAnsi="標楷體" w:hint="eastAsia"/>
          <w:szCs w:val="32"/>
        </w:rPr>
        <w:t>「大學法」立法意旨及社會期待相</w:t>
      </w:r>
      <w:r w:rsidR="00050C6C" w:rsidRPr="005B464B">
        <w:rPr>
          <w:rFonts w:hAnsi="標楷體" w:hint="eastAsia"/>
          <w:szCs w:val="32"/>
        </w:rPr>
        <w:t>去</w:t>
      </w:r>
      <w:r w:rsidR="006008BB" w:rsidRPr="005B464B">
        <w:rPr>
          <w:rFonts w:hAnsi="標楷體" w:hint="eastAsia"/>
          <w:szCs w:val="32"/>
        </w:rPr>
        <w:t>甚遠，</w:t>
      </w:r>
      <w:r w:rsidR="0073671F" w:rsidRPr="005B464B">
        <w:rPr>
          <w:rFonts w:hint="eastAsia"/>
        </w:rPr>
        <w:t>又，合併常見來自外部阻力，教育部對此</w:t>
      </w:r>
      <w:proofErr w:type="gramStart"/>
      <w:r w:rsidR="0073671F" w:rsidRPr="005B464B">
        <w:rPr>
          <w:rFonts w:hint="eastAsia"/>
        </w:rPr>
        <w:t>之</w:t>
      </w:r>
      <w:proofErr w:type="gramEnd"/>
      <w:r w:rsidR="0073671F" w:rsidRPr="005B464B">
        <w:rPr>
          <w:rFonts w:hint="eastAsia"/>
        </w:rPr>
        <w:t>因應處理實與自身政策立場與推動決心有關，後續允由該部確認並具體規劃政策與配套措施。</w:t>
      </w:r>
    </w:p>
    <w:p w:rsidR="00050C6C" w:rsidRPr="005B464B" w:rsidRDefault="00050C6C" w:rsidP="00050C6C"/>
    <w:p w:rsidR="000E32B0" w:rsidRPr="005B464B" w:rsidRDefault="00E53741" w:rsidP="000E32B0">
      <w:pPr>
        <w:pStyle w:val="11"/>
        <w:numPr>
          <w:ilvl w:val="0"/>
          <w:numId w:val="40"/>
        </w:numPr>
        <w:ind w:leftChars="0" w:left="426" w:firstLineChars="0"/>
        <w:rPr>
          <w:rFonts w:hAnsi="標楷體"/>
          <w:b/>
        </w:rPr>
      </w:pPr>
      <w:r w:rsidRPr="005B464B">
        <w:rPr>
          <w:rFonts w:hAnsi="標楷體" w:hint="eastAsia"/>
          <w:b/>
        </w:rPr>
        <w:t>公校合併</w:t>
      </w:r>
      <w:r w:rsidR="00050C6C" w:rsidRPr="005B464B">
        <w:rPr>
          <w:rFonts w:hAnsi="標楷體" w:hint="eastAsia"/>
          <w:b/>
        </w:rPr>
        <w:t>面向</w:t>
      </w:r>
    </w:p>
    <w:p w:rsidR="007E19C5" w:rsidRPr="005B464B" w:rsidRDefault="007E19C5" w:rsidP="007E19C5">
      <w:pPr>
        <w:pStyle w:val="2"/>
        <w:numPr>
          <w:ilvl w:val="1"/>
          <w:numId w:val="1"/>
        </w:numPr>
        <w:rPr>
          <w:b/>
        </w:rPr>
      </w:pPr>
      <w:bookmarkStart w:id="52" w:name="_Toc485138863"/>
      <w:r w:rsidRPr="005B464B">
        <w:rPr>
          <w:rFonts w:hint="eastAsia"/>
          <w:b/>
        </w:rPr>
        <w:t>為解決高等教育資源過於分散、學校規模偏小之問題，我國公立大學合併係</w:t>
      </w:r>
      <w:proofErr w:type="gramStart"/>
      <w:r w:rsidRPr="005B464B">
        <w:rPr>
          <w:rFonts w:hint="eastAsia"/>
          <w:b/>
        </w:rPr>
        <w:t>採</w:t>
      </w:r>
      <w:proofErr w:type="gramEnd"/>
      <w:r w:rsidRPr="005B464B">
        <w:rPr>
          <w:rFonts w:hint="eastAsia"/>
          <w:b/>
        </w:rPr>
        <w:t>擴大規模模式，惟學校規模擴大後，發展導向</w:t>
      </w:r>
      <w:r w:rsidR="00AB4C6A" w:rsidRPr="005B464B">
        <w:rPr>
          <w:rFonts w:hint="eastAsia"/>
          <w:b/>
        </w:rPr>
        <w:t>卻並不明確</w:t>
      </w:r>
      <w:r w:rsidRPr="005B464B">
        <w:rPr>
          <w:rFonts w:hint="eastAsia"/>
          <w:b/>
        </w:rPr>
        <w:t>，且歷經逾20</w:t>
      </w:r>
      <w:r w:rsidR="00AB4C6A" w:rsidRPr="005B464B">
        <w:rPr>
          <w:rFonts w:hint="eastAsia"/>
          <w:b/>
        </w:rPr>
        <w:t>載</w:t>
      </w:r>
      <w:r w:rsidR="009F480F" w:rsidRPr="005B464B">
        <w:rPr>
          <w:rFonts w:hint="eastAsia"/>
          <w:b/>
        </w:rPr>
        <w:t>之合併政策</w:t>
      </w:r>
      <w:r w:rsidR="00AB4C6A" w:rsidRPr="005B464B">
        <w:rPr>
          <w:rFonts w:hint="eastAsia"/>
          <w:b/>
        </w:rPr>
        <w:t>推動</w:t>
      </w:r>
      <w:r w:rsidR="009F480F" w:rsidRPr="005B464B">
        <w:rPr>
          <w:rFonts w:hint="eastAsia"/>
          <w:b/>
        </w:rPr>
        <w:t>，仍</w:t>
      </w:r>
      <w:r w:rsidR="00AB4C6A" w:rsidRPr="005B464B">
        <w:rPr>
          <w:rFonts w:hint="eastAsia"/>
          <w:b/>
        </w:rPr>
        <w:t>呈</w:t>
      </w:r>
      <w:r w:rsidR="009F480F" w:rsidRPr="005B464B">
        <w:rPr>
          <w:rFonts w:hint="eastAsia"/>
          <w:b/>
        </w:rPr>
        <w:t>「小校林立」；</w:t>
      </w:r>
      <w:r w:rsidRPr="005B464B">
        <w:rPr>
          <w:rFonts w:hint="eastAsia"/>
          <w:b/>
        </w:rPr>
        <w:t>政府允應</w:t>
      </w:r>
      <w:proofErr w:type="gramStart"/>
      <w:r w:rsidRPr="005B464B">
        <w:rPr>
          <w:rFonts w:hint="eastAsia"/>
          <w:b/>
        </w:rPr>
        <w:t>採</w:t>
      </w:r>
      <w:proofErr w:type="gramEnd"/>
      <w:r w:rsidRPr="005B464B">
        <w:rPr>
          <w:rFonts w:hint="eastAsia"/>
          <w:b/>
        </w:rPr>
        <w:t>更積極</w:t>
      </w:r>
      <w:r w:rsidR="00AB4C6A" w:rsidRPr="005B464B">
        <w:rPr>
          <w:rFonts w:hint="eastAsia"/>
          <w:b/>
        </w:rPr>
        <w:t>作為</w:t>
      </w:r>
      <w:r w:rsidRPr="005B464B">
        <w:rPr>
          <w:rFonts w:hint="eastAsia"/>
          <w:b/>
        </w:rPr>
        <w:t>，並務實</w:t>
      </w:r>
      <w:proofErr w:type="gramStart"/>
      <w:r w:rsidRPr="005B464B">
        <w:rPr>
          <w:rFonts w:hint="eastAsia"/>
          <w:b/>
        </w:rPr>
        <w:t>釐</w:t>
      </w:r>
      <w:proofErr w:type="gramEnd"/>
      <w:r w:rsidRPr="005B464B">
        <w:rPr>
          <w:rFonts w:hint="eastAsia"/>
          <w:b/>
        </w:rPr>
        <w:t>清學校未來發展目標及提供對應之配套措施，以提升大學經營效益與教育品質</w:t>
      </w:r>
      <w:r w:rsidR="007B6F58" w:rsidRPr="005B464B">
        <w:rPr>
          <w:rFonts w:hint="eastAsia"/>
          <w:b/>
        </w:rPr>
        <w:t>。</w:t>
      </w:r>
      <w:bookmarkEnd w:id="52"/>
    </w:p>
    <w:p w:rsidR="007E19C5" w:rsidRPr="005B464B" w:rsidRDefault="007E19C5" w:rsidP="007E19C5">
      <w:pPr>
        <w:pStyle w:val="3"/>
        <w:numPr>
          <w:ilvl w:val="2"/>
          <w:numId w:val="1"/>
        </w:numPr>
      </w:pPr>
      <w:r w:rsidRPr="005B464B">
        <w:rPr>
          <w:rFonts w:hint="eastAsia"/>
        </w:rPr>
        <w:t>我國自</w:t>
      </w:r>
      <w:r w:rsidRPr="005B464B">
        <w:t>83</w:t>
      </w:r>
      <w:r w:rsidRPr="005B464B">
        <w:rPr>
          <w:rFonts w:hint="eastAsia"/>
        </w:rPr>
        <w:t>年</w:t>
      </w:r>
      <w:r w:rsidRPr="005B464B">
        <w:t>410</w:t>
      </w:r>
      <w:r w:rsidRPr="005B464B">
        <w:rPr>
          <w:rFonts w:hint="eastAsia"/>
        </w:rPr>
        <w:t>教改大遊行</w:t>
      </w:r>
      <w:r w:rsidR="009F480F" w:rsidRPr="005B464B">
        <w:rPr>
          <w:rFonts w:hint="eastAsia"/>
        </w:rPr>
        <w:t>提出</w:t>
      </w:r>
      <w:r w:rsidRPr="005B464B">
        <w:rPr>
          <w:rFonts w:hint="eastAsia"/>
        </w:rPr>
        <w:t>「廣設高中大學」之訴求後，大專校院數量逐漸擴增</w:t>
      </w:r>
      <w:r w:rsidR="004A722F" w:rsidRPr="005B464B">
        <w:rPr>
          <w:rFonts w:hint="eastAsia"/>
        </w:rPr>
        <w:t>至</w:t>
      </w:r>
      <w:r w:rsidR="00D558E1" w:rsidRPr="005B464B">
        <w:rPr>
          <w:rFonts w:hint="eastAsia"/>
        </w:rPr>
        <w:t>幾乎已</w:t>
      </w:r>
      <w:r w:rsidRPr="005B464B">
        <w:rPr>
          <w:rFonts w:hint="eastAsia"/>
        </w:rPr>
        <w:t>人人均可上大學的</w:t>
      </w:r>
      <w:r w:rsidR="00E513A1" w:rsidRPr="005B464B">
        <w:rPr>
          <w:rFonts w:hint="eastAsia"/>
        </w:rPr>
        <w:t>地步</w:t>
      </w:r>
      <w:r w:rsidR="004A722F" w:rsidRPr="005B464B">
        <w:rPr>
          <w:rFonts w:hint="eastAsia"/>
        </w:rPr>
        <w:t>，已如前述</w:t>
      </w:r>
      <w:r w:rsidRPr="005B464B">
        <w:rPr>
          <w:rFonts w:hint="eastAsia"/>
        </w:rPr>
        <w:t>。</w:t>
      </w:r>
      <w:r w:rsidR="005C36B9" w:rsidRPr="005B464B">
        <w:rPr>
          <w:rFonts w:hAnsi="標楷體" w:hint="eastAsia"/>
        </w:rPr>
        <w:t>前開</w:t>
      </w:r>
      <w:proofErr w:type="gramStart"/>
      <w:r w:rsidR="005C36B9" w:rsidRPr="005B464B">
        <w:rPr>
          <w:rFonts w:hAnsi="標楷體" w:hint="eastAsia"/>
        </w:rPr>
        <w:t>期間，</w:t>
      </w:r>
      <w:proofErr w:type="gramEnd"/>
      <w:r w:rsidR="005C36B9" w:rsidRPr="005B464B">
        <w:rPr>
          <w:rFonts w:hAnsi="標楷體" w:hint="eastAsia"/>
        </w:rPr>
        <w:t>國內外高等教育競爭壓力</w:t>
      </w:r>
      <w:proofErr w:type="gramStart"/>
      <w:r w:rsidRPr="005B464B">
        <w:rPr>
          <w:rFonts w:hAnsi="標楷體" w:hint="eastAsia"/>
        </w:rPr>
        <w:t>併</w:t>
      </w:r>
      <w:r w:rsidR="005C36B9" w:rsidRPr="005B464B">
        <w:rPr>
          <w:rFonts w:hAnsi="標楷體" w:hint="eastAsia"/>
        </w:rPr>
        <w:t>同</w:t>
      </w:r>
      <w:r w:rsidR="004573EB" w:rsidRPr="005B464B">
        <w:rPr>
          <w:rFonts w:hAnsi="標楷體" w:hint="eastAsia"/>
        </w:rPr>
        <w:t>少</w:t>
      </w:r>
      <w:proofErr w:type="gramEnd"/>
      <w:r w:rsidR="004573EB" w:rsidRPr="005B464B">
        <w:rPr>
          <w:rFonts w:hAnsi="標楷體" w:hint="eastAsia"/>
        </w:rPr>
        <w:t>子女化</w:t>
      </w:r>
      <w:r w:rsidRPr="005B464B">
        <w:rPr>
          <w:rFonts w:hAnsi="標楷體" w:hint="eastAsia"/>
        </w:rPr>
        <w:t>態勢，導致大學經營漸趨艱困，遂有合併發展之倡議；</w:t>
      </w:r>
      <w:proofErr w:type="gramStart"/>
      <w:r w:rsidR="004A722F" w:rsidRPr="005B464B">
        <w:rPr>
          <w:rFonts w:hAnsi="標楷體" w:hint="eastAsia"/>
        </w:rPr>
        <w:t>綜經</w:t>
      </w:r>
      <w:r w:rsidRPr="005B464B">
        <w:rPr>
          <w:rFonts w:hint="eastAsia"/>
        </w:rPr>
        <w:t>91年</w:t>
      </w:r>
      <w:proofErr w:type="gramEnd"/>
      <w:r w:rsidRPr="005B464B">
        <w:rPr>
          <w:rFonts w:hint="eastAsia"/>
        </w:rPr>
        <w:t>行政院高等教育宏觀規劃委員會</w:t>
      </w:r>
      <w:r w:rsidRPr="005B464B">
        <w:rPr>
          <w:rFonts w:hAnsi="標楷體" w:hint="eastAsia"/>
        </w:rPr>
        <w:t>「</w:t>
      </w:r>
      <w:r w:rsidRPr="005B464B">
        <w:rPr>
          <w:rFonts w:hint="eastAsia"/>
        </w:rPr>
        <w:t>高等教育宏觀規劃報告</w:t>
      </w:r>
      <w:r w:rsidRPr="005B464B">
        <w:rPr>
          <w:rFonts w:hint="eastAsia"/>
        </w:rPr>
        <w:lastRenderedPageBreak/>
        <w:t>書</w:t>
      </w:r>
      <w:r w:rsidRPr="005B464B">
        <w:rPr>
          <w:rFonts w:hAnsi="標楷體" w:hint="eastAsia"/>
        </w:rPr>
        <w:t>」</w:t>
      </w:r>
      <w:r w:rsidRPr="005B464B">
        <w:rPr>
          <w:rFonts w:hint="eastAsia"/>
        </w:rPr>
        <w:t>，就高教學校供需政策之具體建議推動公立大學校院整</w:t>
      </w:r>
      <w:proofErr w:type="gramStart"/>
      <w:r w:rsidRPr="005B464B">
        <w:rPr>
          <w:rFonts w:hint="eastAsia"/>
        </w:rPr>
        <w:t>併</w:t>
      </w:r>
      <w:proofErr w:type="gramEnd"/>
      <w:r w:rsidR="004A722F" w:rsidRPr="005B464B">
        <w:rPr>
          <w:rFonts w:hint="eastAsia"/>
        </w:rPr>
        <w:t>，以及</w:t>
      </w:r>
      <w:r w:rsidR="006C619F" w:rsidRPr="005B464B">
        <w:rPr>
          <w:rFonts w:hAnsi="標楷體" w:hint="eastAsia"/>
        </w:rPr>
        <w:t>「</w:t>
      </w:r>
      <w:r w:rsidR="004A722F" w:rsidRPr="005B464B">
        <w:rPr>
          <w:rFonts w:hint="eastAsia"/>
        </w:rPr>
        <w:t>大學法</w:t>
      </w:r>
      <w:r w:rsidR="006C619F" w:rsidRPr="005B464B">
        <w:rPr>
          <w:rFonts w:hAnsi="標楷體" w:hint="eastAsia"/>
        </w:rPr>
        <w:t>」</w:t>
      </w:r>
      <w:r w:rsidR="004A722F" w:rsidRPr="005B464B">
        <w:rPr>
          <w:rFonts w:hint="eastAsia"/>
        </w:rPr>
        <w:t>第7條於94年、100</w:t>
      </w:r>
      <w:r w:rsidR="00BC53ED" w:rsidRPr="005B464B">
        <w:rPr>
          <w:rFonts w:hint="eastAsia"/>
        </w:rPr>
        <w:t>年兩度之</w:t>
      </w:r>
      <w:r w:rsidR="004A722F" w:rsidRPr="005B464B">
        <w:rPr>
          <w:rFonts w:hint="eastAsia"/>
        </w:rPr>
        <w:t>修訂</w:t>
      </w:r>
      <w:r w:rsidR="00BC53ED" w:rsidRPr="005B464B">
        <w:rPr>
          <w:rFonts w:hint="eastAsia"/>
        </w:rPr>
        <w:t>與執行</w:t>
      </w:r>
      <w:r w:rsidR="004A722F" w:rsidRPr="005B464B">
        <w:rPr>
          <w:rFonts w:hint="eastAsia"/>
        </w:rPr>
        <w:t>，</w:t>
      </w:r>
      <w:r w:rsidRPr="005B464B">
        <w:rPr>
          <w:rFonts w:hint="eastAsia"/>
        </w:rPr>
        <w:t>惟</w:t>
      </w:r>
      <w:r w:rsidR="00BC53ED" w:rsidRPr="005B464B">
        <w:rPr>
          <w:rFonts w:hint="eastAsia"/>
        </w:rPr>
        <w:t>以</w:t>
      </w:r>
      <w:r w:rsidRPr="005B464B">
        <w:rPr>
          <w:rFonts w:hint="eastAsia"/>
        </w:rPr>
        <w:t>93至104學年度我國大專校院校數變化情形觀之(如下表</w:t>
      </w:r>
      <w:r w:rsidR="006C619F" w:rsidRPr="005B464B">
        <w:rPr>
          <w:rFonts w:hint="eastAsia"/>
        </w:rPr>
        <w:t>19</w:t>
      </w:r>
      <w:r w:rsidRPr="005B464B">
        <w:rPr>
          <w:rFonts w:hint="eastAsia"/>
        </w:rPr>
        <w:t>)</w:t>
      </w:r>
      <w:r w:rsidR="003D6988" w:rsidRPr="005B464B">
        <w:rPr>
          <w:rFonts w:hint="eastAsia"/>
        </w:rPr>
        <w:t>，</w:t>
      </w:r>
      <w:r w:rsidRPr="005B464B">
        <w:rPr>
          <w:rFonts w:hint="eastAsia"/>
        </w:rPr>
        <w:t>學校</w:t>
      </w:r>
      <w:r w:rsidR="003D6988" w:rsidRPr="005B464B">
        <w:rPr>
          <w:rFonts w:hint="eastAsia"/>
        </w:rPr>
        <w:t>總</w:t>
      </w:r>
      <w:r w:rsidRPr="005B464B">
        <w:rPr>
          <w:rFonts w:hint="eastAsia"/>
        </w:rPr>
        <w:t>數量</w:t>
      </w:r>
      <w:r w:rsidR="003D6988" w:rsidRPr="005B464B">
        <w:rPr>
          <w:rFonts w:hint="eastAsia"/>
        </w:rPr>
        <w:t>仍</w:t>
      </w:r>
      <w:r w:rsidRPr="005B464B">
        <w:rPr>
          <w:rFonts w:hint="eastAsia"/>
        </w:rPr>
        <w:t>維持在160</w:t>
      </w:r>
      <w:r w:rsidR="003D6988" w:rsidRPr="005B464B">
        <w:rPr>
          <w:rFonts w:hint="eastAsia"/>
        </w:rPr>
        <w:t>所上下，未見明顯縮減</w:t>
      </w:r>
      <w:r w:rsidRPr="005B464B">
        <w:rPr>
          <w:rFonts w:hint="eastAsia"/>
        </w:rPr>
        <w:t>。</w:t>
      </w:r>
    </w:p>
    <w:p w:rsidR="007E19C5" w:rsidRPr="005B464B" w:rsidRDefault="007E19C5" w:rsidP="007E19C5">
      <w:pPr>
        <w:pStyle w:val="a3"/>
        <w:jc w:val="center"/>
        <w:rPr>
          <w:b/>
        </w:rPr>
      </w:pPr>
      <w:r w:rsidRPr="005B464B">
        <w:rPr>
          <w:rFonts w:hint="eastAsia"/>
          <w:b/>
        </w:rPr>
        <w:t>93-104學年度我國大專校院校數變化情形</w:t>
      </w:r>
    </w:p>
    <w:tbl>
      <w:tblPr>
        <w:tblStyle w:val="afb"/>
        <w:tblW w:w="0" w:type="auto"/>
        <w:tblInd w:w="697" w:type="dxa"/>
        <w:tblLook w:val="04A0" w:firstRow="1" w:lastRow="0" w:firstColumn="1" w:lastColumn="0" w:noHBand="0" w:noVBand="1"/>
      </w:tblPr>
      <w:tblGrid>
        <w:gridCol w:w="1254"/>
        <w:gridCol w:w="2977"/>
        <w:gridCol w:w="2410"/>
        <w:gridCol w:w="1722"/>
      </w:tblGrid>
      <w:tr w:rsidR="00E53741" w:rsidRPr="005B464B" w:rsidTr="004A722F">
        <w:trPr>
          <w:tblHeader/>
        </w:trPr>
        <w:tc>
          <w:tcPr>
            <w:tcW w:w="1254" w:type="dxa"/>
            <w:shd w:val="clear" w:color="auto" w:fill="C6D9F1" w:themeFill="text2" w:themeFillTint="33"/>
            <w:vAlign w:val="center"/>
          </w:tcPr>
          <w:p w:rsidR="007E19C5" w:rsidRPr="005B464B" w:rsidRDefault="007E19C5" w:rsidP="004A722F">
            <w:pPr>
              <w:spacing w:line="320" w:lineRule="exact"/>
              <w:jc w:val="center"/>
              <w:rPr>
                <w:sz w:val="28"/>
                <w:szCs w:val="28"/>
              </w:rPr>
            </w:pPr>
            <w:r w:rsidRPr="005B464B">
              <w:rPr>
                <w:rFonts w:hint="eastAsia"/>
                <w:sz w:val="28"/>
                <w:szCs w:val="28"/>
              </w:rPr>
              <w:t>學年度</w:t>
            </w:r>
          </w:p>
        </w:tc>
        <w:tc>
          <w:tcPr>
            <w:tcW w:w="2977" w:type="dxa"/>
            <w:shd w:val="clear" w:color="auto" w:fill="C6D9F1" w:themeFill="text2" w:themeFillTint="33"/>
            <w:vAlign w:val="center"/>
          </w:tcPr>
          <w:p w:rsidR="005B464B" w:rsidRDefault="007E19C5" w:rsidP="004A722F">
            <w:pPr>
              <w:spacing w:line="320" w:lineRule="exact"/>
              <w:jc w:val="center"/>
              <w:rPr>
                <w:sz w:val="28"/>
                <w:szCs w:val="28"/>
              </w:rPr>
            </w:pPr>
            <w:r w:rsidRPr="005B464B">
              <w:rPr>
                <w:rFonts w:hint="eastAsia"/>
                <w:sz w:val="28"/>
                <w:szCs w:val="28"/>
              </w:rPr>
              <w:t>一般大學(含師範)</w:t>
            </w:r>
          </w:p>
          <w:p w:rsidR="007E19C5" w:rsidRPr="005B464B" w:rsidRDefault="007E19C5" w:rsidP="004A722F">
            <w:pPr>
              <w:spacing w:line="320" w:lineRule="exact"/>
              <w:jc w:val="center"/>
              <w:rPr>
                <w:sz w:val="28"/>
                <w:szCs w:val="28"/>
              </w:rPr>
            </w:pPr>
            <w:r w:rsidRPr="005B464B">
              <w:rPr>
                <w:rFonts w:hint="eastAsia"/>
                <w:sz w:val="28"/>
                <w:szCs w:val="28"/>
              </w:rPr>
              <w:t>校數</w:t>
            </w:r>
          </w:p>
        </w:tc>
        <w:tc>
          <w:tcPr>
            <w:tcW w:w="2410" w:type="dxa"/>
            <w:shd w:val="clear" w:color="auto" w:fill="C6D9F1" w:themeFill="text2" w:themeFillTint="33"/>
            <w:vAlign w:val="center"/>
          </w:tcPr>
          <w:p w:rsidR="007E19C5" w:rsidRPr="005B464B" w:rsidRDefault="007E19C5" w:rsidP="004A722F">
            <w:pPr>
              <w:spacing w:line="320" w:lineRule="exact"/>
              <w:jc w:val="center"/>
              <w:rPr>
                <w:sz w:val="28"/>
                <w:szCs w:val="28"/>
              </w:rPr>
            </w:pPr>
            <w:r w:rsidRPr="005B464B">
              <w:rPr>
                <w:rFonts w:hint="eastAsia"/>
                <w:sz w:val="28"/>
                <w:szCs w:val="28"/>
              </w:rPr>
              <w:t>技專校院校數</w:t>
            </w:r>
          </w:p>
        </w:tc>
        <w:tc>
          <w:tcPr>
            <w:tcW w:w="1722" w:type="dxa"/>
            <w:shd w:val="clear" w:color="auto" w:fill="C6D9F1" w:themeFill="text2" w:themeFillTint="33"/>
            <w:vAlign w:val="center"/>
          </w:tcPr>
          <w:p w:rsidR="007E19C5" w:rsidRPr="005B464B" w:rsidRDefault="007E19C5" w:rsidP="004A722F">
            <w:pPr>
              <w:spacing w:line="320" w:lineRule="exact"/>
              <w:jc w:val="center"/>
              <w:rPr>
                <w:sz w:val="28"/>
                <w:szCs w:val="28"/>
              </w:rPr>
            </w:pPr>
            <w:r w:rsidRPr="005B464B">
              <w:rPr>
                <w:rFonts w:hint="eastAsia"/>
                <w:sz w:val="28"/>
                <w:szCs w:val="28"/>
              </w:rPr>
              <w:t>校數合計</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93</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70</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89</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159</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94</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70</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92</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162</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95</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70</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93</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163</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96</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93</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164</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97</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69</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93</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162</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98</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93</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164</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99</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92</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163</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100</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92</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163</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101</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91</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162</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102</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70</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91</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161</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103</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88</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159</w:t>
            </w:r>
          </w:p>
        </w:tc>
      </w:tr>
      <w:tr w:rsidR="00E53741" w:rsidRPr="005B464B" w:rsidTr="004A722F">
        <w:tc>
          <w:tcPr>
            <w:tcW w:w="1254" w:type="dxa"/>
            <w:vAlign w:val="center"/>
          </w:tcPr>
          <w:p w:rsidR="007E19C5" w:rsidRPr="005B464B" w:rsidRDefault="007E19C5" w:rsidP="004A722F">
            <w:pPr>
              <w:spacing w:line="320" w:lineRule="exact"/>
              <w:jc w:val="center"/>
              <w:rPr>
                <w:sz w:val="28"/>
                <w:szCs w:val="28"/>
              </w:rPr>
            </w:pPr>
            <w:r w:rsidRPr="005B464B">
              <w:rPr>
                <w:rFonts w:hint="eastAsia"/>
                <w:sz w:val="28"/>
                <w:szCs w:val="28"/>
              </w:rPr>
              <w:t>104</w:t>
            </w:r>
          </w:p>
        </w:tc>
        <w:tc>
          <w:tcPr>
            <w:tcW w:w="2977" w:type="dxa"/>
            <w:vAlign w:val="center"/>
          </w:tcPr>
          <w:p w:rsidR="007E19C5" w:rsidRPr="005B464B" w:rsidRDefault="007E19C5" w:rsidP="004A722F">
            <w:pPr>
              <w:spacing w:line="320" w:lineRule="exact"/>
              <w:jc w:val="center"/>
              <w:rPr>
                <w:sz w:val="28"/>
                <w:szCs w:val="28"/>
              </w:rPr>
            </w:pPr>
            <w:r w:rsidRPr="005B464B">
              <w:rPr>
                <w:rFonts w:hint="eastAsia"/>
                <w:sz w:val="28"/>
                <w:szCs w:val="28"/>
              </w:rPr>
              <w:t>71</w:t>
            </w:r>
          </w:p>
        </w:tc>
        <w:tc>
          <w:tcPr>
            <w:tcW w:w="2410" w:type="dxa"/>
            <w:vAlign w:val="center"/>
          </w:tcPr>
          <w:p w:rsidR="007E19C5" w:rsidRPr="005B464B" w:rsidRDefault="007E19C5" w:rsidP="004A722F">
            <w:pPr>
              <w:spacing w:line="320" w:lineRule="exact"/>
              <w:jc w:val="center"/>
              <w:rPr>
                <w:sz w:val="28"/>
                <w:szCs w:val="28"/>
              </w:rPr>
            </w:pPr>
            <w:r w:rsidRPr="005B464B">
              <w:rPr>
                <w:rFonts w:hint="eastAsia"/>
                <w:sz w:val="28"/>
                <w:szCs w:val="28"/>
              </w:rPr>
              <w:t>87</w:t>
            </w:r>
          </w:p>
        </w:tc>
        <w:tc>
          <w:tcPr>
            <w:tcW w:w="1722" w:type="dxa"/>
            <w:vAlign w:val="center"/>
          </w:tcPr>
          <w:p w:rsidR="007E19C5" w:rsidRPr="005B464B" w:rsidRDefault="007E19C5" w:rsidP="004A722F">
            <w:pPr>
              <w:spacing w:line="320" w:lineRule="exact"/>
              <w:jc w:val="center"/>
              <w:rPr>
                <w:sz w:val="28"/>
                <w:szCs w:val="28"/>
              </w:rPr>
            </w:pPr>
            <w:r w:rsidRPr="005B464B">
              <w:rPr>
                <w:rFonts w:hint="eastAsia"/>
                <w:sz w:val="28"/>
                <w:szCs w:val="28"/>
              </w:rPr>
              <w:t>158</w:t>
            </w:r>
          </w:p>
        </w:tc>
      </w:tr>
    </w:tbl>
    <w:p w:rsidR="007E19C5" w:rsidRPr="005B464B" w:rsidRDefault="007E19C5" w:rsidP="00221AFA">
      <w:pPr>
        <w:pStyle w:val="3"/>
        <w:numPr>
          <w:ilvl w:val="0"/>
          <w:numId w:val="0"/>
        </w:numPr>
        <w:spacing w:line="240" w:lineRule="exact"/>
        <w:ind w:leftChars="167" w:left="1843" w:hangingChars="490" w:hanging="1275"/>
        <w:rPr>
          <w:sz w:val="24"/>
          <w:szCs w:val="24"/>
        </w:rPr>
      </w:pPr>
      <w:r w:rsidRPr="005B464B">
        <w:rPr>
          <w:rFonts w:hint="eastAsia"/>
          <w:sz w:val="24"/>
          <w:szCs w:val="24"/>
        </w:rPr>
        <w:t>資料來源：本院依據「</w:t>
      </w:r>
      <w:r w:rsidRPr="005B464B">
        <w:rPr>
          <w:rFonts w:hint="eastAsia"/>
          <w:kern w:val="0"/>
          <w:sz w:val="24"/>
          <w:szCs w:val="24"/>
        </w:rPr>
        <w:t>教育部統計處應用統計分析-『104學年大專校院新生註冊率變動分析』」</w:t>
      </w:r>
      <w:proofErr w:type="gramStart"/>
      <w:r w:rsidRPr="005B464B">
        <w:rPr>
          <w:rFonts w:hint="eastAsia"/>
          <w:sz w:val="24"/>
          <w:szCs w:val="24"/>
        </w:rPr>
        <w:t>彙整製表</w:t>
      </w:r>
      <w:proofErr w:type="gramEnd"/>
      <w:r w:rsidRPr="005B464B">
        <w:rPr>
          <w:rFonts w:hint="eastAsia"/>
          <w:sz w:val="24"/>
          <w:szCs w:val="24"/>
        </w:rPr>
        <w:t>。</w:t>
      </w:r>
    </w:p>
    <w:p w:rsidR="007E19C5" w:rsidRPr="005B464B" w:rsidRDefault="007E19C5" w:rsidP="007E19C5">
      <w:pPr>
        <w:pStyle w:val="3"/>
        <w:numPr>
          <w:ilvl w:val="0"/>
          <w:numId w:val="0"/>
        </w:numPr>
        <w:spacing w:line="240" w:lineRule="exact"/>
        <w:ind w:left="1361"/>
        <w:rPr>
          <w:sz w:val="24"/>
          <w:szCs w:val="24"/>
        </w:rPr>
      </w:pPr>
    </w:p>
    <w:p w:rsidR="007E19C5" w:rsidRPr="005B464B" w:rsidRDefault="007E19C5" w:rsidP="007E19C5">
      <w:pPr>
        <w:pStyle w:val="3"/>
        <w:numPr>
          <w:ilvl w:val="2"/>
          <w:numId w:val="1"/>
        </w:numPr>
        <w:rPr>
          <w:b/>
        </w:rPr>
      </w:pPr>
      <w:r w:rsidRPr="005B464B">
        <w:rPr>
          <w:rFonts w:hint="eastAsia"/>
        </w:rPr>
        <w:t>教育部表示，依</w:t>
      </w:r>
      <w:r w:rsidRPr="005B464B">
        <w:rPr>
          <w:rFonts w:hAnsi="標楷體" w:hint="eastAsia"/>
        </w:rPr>
        <w:t>「</w:t>
      </w:r>
      <w:r w:rsidRPr="005B464B">
        <w:rPr>
          <w:rFonts w:hint="eastAsia"/>
        </w:rPr>
        <w:t>大學法</w:t>
      </w:r>
      <w:r w:rsidRPr="005B464B">
        <w:rPr>
          <w:rFonts w:hAnsi="標楷體" w:hint="eastAsia"/>
        </w:rPr>
        <w:t>」</w:t>
      </w:r>
      <w:r w:rsidRPr="005B464B">
        <w:t>第7條第2項</w:t>
      </w:r>
      <w:r w:rsidRPr="005B464B">
        <w:rPr>
          <w:rFonts w:hint="eastAsia"/>
        </w:rPr>
        <w:t>國立大學合併</w:t>
      </w:r>
      <w:r w:rsidRPr="005B464B">
        <w:t>由上而下</w:t>
      </w:r>
      <w:r w:rsidRPr="005B464B">
        <w:rPr>
          <w:rFonts w:hint="eastAsia"/>
        </w:rPr>
        <w:t>推動者，成功機率低，目前亦無</w:t>
      </w:r>
      <w:r w:rsidRPr="005B464B">
        <w:t>此類</w:t>
      </w:r>
      <w:r w:rsidRPr="005B464B">
        <w:rPr>
          <w:rFonts w:hint="eastAsia"/>
        </w:rPr>
        <w:t>合併</w:t>
      </w:r>
      <w:r w:rsidRPr="005B464B">
        <w:t>成功案例</w:t>
      </w:r>
      <w:r w:rsidRPr="005B464B">
        <w:rPr>
          <w:rFonts w:hint="eastAsia"/>
        </w:rPr>
        <w:t>，而</w:t>
      </w:r>
      <w:r w:rsidRPr="005B464B">
        <w:rPr>
          <w:rFonts w:hAnsi="標楷體" w:hint="eastAsia"/>
          <w:szCs w:val="32"/>
        </w:rPr>
        <w:t>近十餘年來</w:t>
      </w:r>
      <w:r w:rsidRPr="005B464B">
        <w:rPr>
          <w:rFonts w:hint="eastAsia"/>
        </w:rPr>
        <w:t>完成之7件</w:t>
      </w:r>
      <w:r w:rsidRPr="005B464B">
        <w:rPr>
          <w:rStyle w:val="aff2"/>
        </w:rPr>
        <w:footnoteReference w:id="24"/>
      </w:r>
      <w:r w:rsidRPr="005B464B">
        <w:rPr>
          <w:rFonts w:hint="eastAsia"/>
        </w:rPr>
        <w:t>公立大學合併案，</w:t>
      </w:r>
      <w:proofErr w:type="gramStart"/>
      <w:r w:rsidRPr="005B464B">
        <w:rPr>
          <w:rFonts w:hint="eastAsia"/>
        </w:rPr>
        <w:t>均屬</w:t>
      </w:r>
      <w:proofErr w:type="gramEnd"/>
      <w:r w:rsidRPr="005B464B">
        <w:rPr>
          <w:rFonts w:hAnsi="標楷體" w:hint="eastAsia"/>
        </w:rPr>
        <w:t>「</w:t>
      </w:r>
      <w:r w:rsidRPr="005B464B">
        <w:rPr>
          <w:rFonts w:hint="eastAsia"/>
        </w:rPr>
        <w:t>大學法</w:t>
      </w:r>
      <w:r w:rsidRPr="005B464B">
        <w:rPr>
          <w:rFonts w:hAnsi="標楷體" w:hint="eastAsia"/>
        </w:rPr>
        <w:t>」</w:t>
      </w:r>
      <w:r w:rsidRPr="005B464B">
        <w:rPr>
          <w:rFonts w:hint="eastAsia"/>
        </w:rPr>
        <w:t>第7條第1項所定之學校由下而上主動推動類型；</w:t>
      </w:r>
      <w:r w:rsidRPr="005B464B">
        <w:rPr>
          <w:rFonts w:hAnsi="標楷體" w:hint="eastAsia"/>
          <w:szCs w:val="32"/>
        </w:rPr>
        <w:t>各案合併概況與報核實施期程</w:t>
      </w:r>
      <w:proofErr w:type="gramStart"/>
      <w:r w:rsidRPr="005B464B">
        <w:rPr>
          <w:rFonts w:hAnsi="標楷體" w:hint="eastAsia"/>
          <w:szCs w:val="32"/>
        </w:rPr>
        <w:t>如</w:t>
      </w:r>
      <w:r w:rsidR="004A722F" w:rsidRPr="005B464B">
        <w:rPr>
          <w:rFonts w:hAnsi="標楷體" w:hint="eastAsia"/>
          <w:szCs w:val="32"/>
        </w:rPr>
        <w:t>前表</w:t>
      </w:r>
      <w:proofErr w:type="gramEnd"/>
      <w:r w:rsidR="004A722F" w:rsidRPr="005B464B">
        <w:rPr>
          <w:rFonts w:hAnsi="標楷體" w:hint="eastAsia"/>
          <w:szCs w:val="32"/>
        </w:rPr>
        <w:t>18。</w:t>
      </w:r>
      <w:r w:rsidRPr="005B464B">
        <w:rPr>
          <w:rFonts w:hint="eastAsia"/>
          <w:bCs w:val="0"/>
        </w:rPr>
        <w:t>歷年公立大專校院合併後，無論學生人數、教職員人數、學院系所數量、校務基金決算數額等，</w:t>
      </w:r>
      <w:proofErr w:type="gramStart"/>
      <w:r w:rsidRPr="005B464B">
        <w:rPr>
          <w:rFonts w:hint="eastAsia"/>
          <w:bCs w:val="0"/>
        </w:rPr>
        <w:t>概</w:t>
      </w:r>
      <w:r w:rsidR="00A13B61" w:rsidRPr="005B464B">
        <w:rPr>
          <w:rFonts w:hint="eastAsia"/>
          <w:bCs w:val="0"/>
        </w:rPr>
        <w:t>呈</w:t>
      </w:r>
      <w:r w:rsidRPr="005B464B">
        <w:rPr>
          <w:rFonts w:hint="eastAsia"/>
          <w:bCs w:val="0"/>
        </w:rPr>
        <w:t>規模</w:t>
      </w:r>
      <w:proofErr w:type="gramEnd"/>
      <w:r w:rsidRPr="005B464B">
        <w:rPr>
          <w:rFonts w:hint="eastAsia"/>
          <w:bCs w:val="0"/>
        </w:rPr>
        <w:t>擴大之勢(如下表</w:t>
      </w:r>
      <w:r w:rsidR="004573EB" w:rsidRPr="005B464B">
        <w:rPr>
          <w:rFonts w:hint="eastAsia"/>
          <w:bCs w:val="0"/>
        </w:rPr>
        <w:t>20</w:t>
      </w:r>
      <w:r w:rsidRPr="005B464B">
        <w:rPr>
          <w:rFonts w:hint="eastAsia"/>
          <w:bCs w:val="0"/>
        </w:rPr>
        <w:t>~表</w:t>
      </w:r>
      <w:r w:rsidR="004A722F" w:rsidRPr="005B464B">
        <w:rPr>
          <w:rFonts w:hint="eastAsia"/>
          <w:bCs w:val="0"/>
        </w:rPr>
        <w:t>25</w:t>
      </w:r>
      <w:r w:rsidRPr="005B464B">
        <w:rPr>
          <w:rFonts w:hint="eastAsia"/>
          <w:bCs w:val="0"/>
        </w:rPr>
        <w:t>)</w:t>
      </w:r>
      <w:r w:rsidR="004A722F" w:rsidRPr="005B464B">
        <w:rPr>
          <w:rFonts w:hint="eastAsia"/>
          <w:bCs w:val="0"/>
        </w:rPr>
        <w:t>；以</w:t>
      </w:r>
      <w:r w:rsidR="00D558E1" w:rsidRPr="005B464B">
        <w:rPr>
          <w:rFonts w:hint="eastAsia"/>
        </w:rPr>
        <w:t>此</w:t>
      </w:r>
      <w:r w:rsidR="00957426" w:rsidRPr="005B464B">
        <w:rPr>
          <w:rFonts w:hint="eastAsia"/>
        </w:rPr>
        <w:t>觀之</w:t>
      </w:r>
      <w:r w:rsidR="004A722F" w:rsidRPr="005B464B">
        <w:rPr>
          <w:rFonts w:hint="eastAsia"/>
        </w:rPr>
        <w:t>，</w:t>
      </w:r>
      <w:r w:rsidR="004A722F" w:rsidRPr="005B464B">
        <w:rPr>
          <w:rFonts w:hint="eastAsia"/>
          <w:bCs w:val="0"/>
        </w:rPr>
        <w:t>尚難謂</w:t>
      </w:r>
      <w:r w:rsidR="007D19C8" w:rsidRPr="005B464B">
        <w:rPr>
          <w:rFonts w:hint="eastAsia"/>
          <w:bCs w:val="0"/>
        </w:rPr>
        <w:t>我國公立大學合併係</w:t>
      </w:r>
      <w:r w:rsidR="004A722F" w:rsidRPr="005B464B">
        <w:rPr>
          <w:rFonts w:hint="eastAsia"/>
          <w:bCs w:val="0"/>
        </w:rPr>
        <w:t>以</w:t>
      </w:r>
      <w:proofErr w:type="gramStart"/>
      <w:r w:rsidR="004A722F" w:rsidRPr="005B464B">
        <w:rPr>
          <w:rFonts w:hint="eastAsia"/>
          <w:bCs w:val="0"/>
        </w:rPr>
        <w:t>解決生源不足</w:t>
      </w:r>
      <w:proofErr w:type="gramEnd"/>
      <w:r w:rsidR="004A722F" w:rsidRPr="005B464B">
        <w:rPr>
          <w:rFonts w:hint="eastAsia"/>
          <w:bCs w:val="0"/>
        </w:rPr>
        <w:lastRenderedPageBreak/>
        <w:t>而欲縮減高等教育規模為目的</w:t>
      </w:r>
      <w:r w:rsidR="00BC53ED" w:rsidRPr="005B464B">
        <w:rPr>
          <w:rFonts w:hint="eastAsia"/>
          <w:bCs w:val="0"/>
        </w:rPr>
        <w:t>。</w:t>
      </w:r>
    </w:p>
    <w:p w:rsidR="007E19C5" w:rsidRPr="005B464B" w:rsidRDefault="007E19C5" w:rsidP="007E19C5">
      <w:pPr>
        <w:pStyle w:val="a3"/>
        <w:spacing w:line="400" w:lineRule="exact"/>
        <w:jc w:val="center"/>
        <w:rPr>
          <w:b/>
        </w:rPr>
      </w:pPr>
      <w:r w:rsidRPr="005B464B">
        <w:rPr>
          <w:rFonts w:hint="eastAsia"/>
          <w:b/>
        </w:rPr>
        <w:t>公立大學合併案學生人數變化情形表</w:t>
      </w:r>
    </w:p>
    <w:tbl>
      <w:tblPr>
        <w:tblStyle w:val="afb"/>
        <w:tblW w:w="5000" w:type="pct"/>
        <w:tblLook w:val="04A0" w:firstRow="1" w:lastRow="0" w:firstColumn="1" w:lastColumn="0" w:noHBand="0" w:noVBand="1"/>
      </w:tblPr>
      <w:tblGrid>
        <w:gridCol w:w="1952"/>
        <w:gridCol w:w="2694"/>
        <w:gridCol w:w="1134"/>
        <w:gridCol w:w="1560"/>
        <w:gridCol w:w="1720"/>
      </w:tblGrid>
      <w:tr w:rsidR="00E53741" w:rsidRPr="005B464B" w:rsidTr="004A722F">
        <w:trPr>
          <w:tblHeader/>
        </w:trPr>
        <w:tc>
          <w:tcPr>
            <w:tcW w:w="1077" w:type="pct"/>
            <w:vAlign w:val="center"/>
          </w:tcPr>
          <w:p w:rsidR="007E19C5" w:rsidRPr="005B464B" w:rsidRDefault="007E19C5" w:rsidP="004A722F">
            <w:pPr>
              <w:jc w:val="center"/>
              <w:rPr>
                <w:rFonts w:hAnsi="標楷體"/>
                <w:b/>
                <w:sz w:val="24"/>
                <w:szCs w:val="24"/>
              </w:rPr>
            </w:pPr>
            <w:proofErr w:type="gramStart"/>
            <w:r w:rsidRPr="005B464B">
              <w:rPr>
                <w:rFonts w:hAnsi="標楷體"/>
                <w:b/>
                <w:sz w:val="24"/>
                <w:szCs w:val="24"/>
              </w:rPr>
              <w:t>合併後校名</w:t>
            </w:r>
            <w:proofErr w:type="gramEnd"/>
          </w:p>
        </w:tc>
        <w:tc>
          <w:tcPr>
            <w:tcW w:w="2113" w:type="pct"/>
            <w:gridSpan w:val="2"/>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合併前原學校學生人數</w:t>
            </w:r>
          </w:p>
        </w:tc>
        <w:tc>
          <w:tcPr>
            <w:tcW w:w="861" w:type="pc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105學年度</w:t>
            </w:r>
          </w:p>
          <w:p w:rsidR="007E19C5" w:rsidRPr="005B464B" w:rsidRDefault="007E19C5" w:rsidP="004A722F">
            <w:pPr>
              <w:jc w:val="center"/>
              <w:rPr>
                <w:rFonts w:hAnsi="標楷體"/>
                <w:b/>
                <w:sz w:val="24"/>
                <w:szCs w:val="24"/>
              </w:rPr>
            </w:pPr>
            <w:r w:rsidRPr="005B464B">
              <w:rPr>
                <w:rFonts w:hAnsi="標楷體" w:hint="eastAsia"/>
                <w:b/>
                <w:sz w:val="24"/>
                <w:szCs w:val="24"/>
              </w:rPr>
              <w:t>學生人數</w:t>
            </w:r>
          </w:p>
        </w:tc>
        <w:tc>
          <w:tcPr>
            <w:tcW w:w="950" w:type="pct"/>
            <w:shd w:val="clear" w:color="auto" w:fill="B8CCE4" w:themeFill="accent1" w:themeFillTint="66"/>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變化幅度</w:t>
            </w:r>
          </w:p>
          <w:p w:rsidR="007E19C5" w:rsidRPr="005B464B" w:rsidRDefault="007E19C5" w:rsidP="004A722F">
            <w:pPr>
              <w:jc w:val="center"/>
              <w:rPr>
                <w:rFonts w:hAnsi="標楷體"/>
                <w:b/>
                <w:sz w:val="24"/>
                <w:szCs w:val="24"/>
              </w:rPr>
            </w:pPr>
            <w:r w:rsidRPr="005B464B">
              <w:rPr>
                <w:rFonts w:hAnsi="標楷體" w:hint="eastAsia"/>
                <w:b/>
                <w:sz w:val="24"/>
                <w:szCs w:val="24"/>
              </w:rPr>
              <w:t>(單位：人)</w:t>
            </w:r>
          </w:p>
        </w:tc>
      </w:tr>
      <w:tr w:rsidR="00E53741" w:rsidRPr="005B464B" w:rsidTr="004A722F">
        <w:trPr>
          <w:trHeight w:val="264"/>
        </w:trPr>
        <w:tc>
          <w:tcPr>
            <w:tcW w:w="1077"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國立嘉義大學</w:t>
            </w: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國立嘉義師範學院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1,967</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12,217</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+5944</w:t>
            </w:r>
          </w:p>
        </w:tc>
      </w:tr>
      <w:tr w:rsidR="00E53741" w:rsidRPr="005B464B" w:rsidTr="004A722F">
        <w:trPr>
          <w:trHeight w:val="351"/>
        </w:trPr>
        <w:tc>
          <w:tcPr>
            <w:tcW w:w="1077" w:type="pct"/>
            <w:vMerge/>
            <w:vAlign w:val="center"/>
          </w:tcPr>
          <w:p w:rsidR="007E19C5" w:rsidRPr="005B464B" w:rsidRDefault="007E19C5" w:rsidP="004A722F">
            <w:pPr>
              <w:jc w:val="center"/>
              <w:rPr>
                <w:rFonts w:hAnsi="標楷體"/>
                <w:b/>
                <w:sz w:val="24"/>
                <w:szCs w:val="24"/>
              </w:rPr>
            </w:pP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4,306</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387"/>
        </w:trPr>
        <w:tc>
          <w:tcPr>
            <w:tcW w:w="1077"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國立臺灣</w:t>
            </w:r>
            <w:r w:rsidRPr="005B464B">
              <w:rPr>
                <w:rFonts w:hAnsi="標楷體"/>
                <w:b/>
                <w:sz w:val="24"/>
                <w:szCs w:val="24"/>
              </w:rPr>
              <w:br/>
            </w:r>
            <w:r w:rsidRPr="005B464B">
              <w:rPr>
                <w:rFonts w:hAnsi="標楷體" w:hint="eastAsia"/>
                <w:b/>
                <w:sz w:val="24"/>
                <w:szCs w:val="24"/>
              </w:rPr>
              <w:t>師範大學</w:t>
            </w: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國立臺灣師範大學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14,142</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15,758</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+581</w:t>
            </w:r>
          </w:p>
        </w:tc>
      </w:tr>
      <w:tr w:rsidR="00E53741" w:rsidRPr="005B464B" w:rsidTr="004A722F">
        <w:trPr>
          <w:trHeight w:val="228"/>
        </w:trPr>
        <w:tc>
          <w:tcPr>
            <w:tcW w:w="1077" w:type="pct"/>
            <w:vMerge/>
            <w:vAlign w:val="center"/>
          </w:tcPr>
          <w:p w:rsidR="007E19C5" w:rsidRPr="005B464B" w:rsidRDefault="007E19C5" w:rsidP="004A722F">
            <w:pPr>
              <w:jc w:val="center"/>
              <w:rPr>
                <w:rFonts w:hAnsi="標楷體"/>
                <w:b/>
                <w:sz w:val="24"/>
                <w:szCs w:val="24"/>
              </w:rPr>
            </w:pP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國立僑生大學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1,035</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1077"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國立東華大學</w:t>
            </w: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國立東華大學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6,543</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10,174</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+36</w:t>
            </w:r>
          </w:p>
        </w:tc>
      </w:tr>
      <w:tr w:rsidR="00E53741" w:rsidRPr="005B464B" w:rsidTr="004A722F">
        <w:trPr>
          <w:trHeight w:val="316"/>
        </w:trPr>
        <w:tc>
          <w:tcPr>
            <w:tcW w:w="1077" w:type="pct"/>
            <w:vMerge/>
            <w:vAlign w:val="center"/>
          </w:tcPr>
          <w:p w:rsidR="007E19C5" w:rsidRPr="005B464B" w:rsidRDefault="007E19C5" w:rsidP="004A722F">
            <w:pPr>
              <w:jc w:val="center"/>
              <w:rPr>
                <w:rFonts w:hAnsi="標楷體"/>
                <w:b/>
                <w:sz w:val="24"/>
                <w:szCs w:val="24"/>
              </w:rPr>
            </w:pP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國立花蓮教育大學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3,595</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81"/>
        </w:trPr>
        <w:tc>
          <w:tcPr>
            <w:tcW w:w="1077"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w:t>
            </w:r>
            <w:proofErr w:type="gramStart"/>
            <w:r w:rsidRPr="005B464B">
              <w:rPr>
                <w:rFonts w:hAnsi="標楷體"/>
                <w:b/>
                <w:sz w:val="24"/>
                <w:szCs w:val="24"/>
              </w:rPr>
              <w:t>臺</w:t>
            </w:r>
            <w:proofErr w:type="gramEnd"/>
            <w:r w:rsidRPr="005B464B">
              <w:rPr>
                <w:rFonts w:hAnsi="標楷體"/>
                <w:b/>
                <w:sz w:val="24"/>
                <w:szCs w:val="24"/>
              </w:rPr>
              <w:t>中</w:t>
            </w:r>
            <w:r w:rsidRPr="005B464B">
              <w:rPr>
                <w:rFonts w:hAnsi="標楷體" w:hint="eastAsia"/>
                <w:b/>
                <w:sz w:val="24"/>
                <w:szCs w:val="24"/>
              </w:rPr>
              <w:br/>
            </w:r>
            <w:r w:rsidRPr="005B464B">
              <w:rPr>
                <w:rFonts w:hAnsi="標楷體"/>
                <w:b/>
                <w:sz w:val="24"/>
                <w:szCs w:val="24"/>
              </w:rPr>
              <w:t>科技大學</w:t>
            </w: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18,486</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20,965</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+924</w:t>
            </w:r>
          </w:p>
        </w:tc>
      </w:tr>
      <w:tr w:rsidR="00E53741" w:rsidRPr="005B464B" w:rsidTr="004A722F">
        <w:trPr>
          <w:trHeight w:val="392"/>
        </w:trPr>
        <w:tc>
          <w:tcPr>
            <w:tcW w:w="1077" w:type="pct"/>
            <w:vMerge/>
            <w:vAlign w:val="center"/>
          </w:tcPr>
          <w:p w:rsidR="007E19C5" w:rsidRPr="005B464B" w:rsidRDefault="007E19C5" w:rsidP="004A722F">
            <w:pPr>
              <w:jc w:val="center"/>
              <w:rPr>
                <w:rFonts w:hAnsi="標楷體"/>
                <w:b/>
                <w:sz w:val="24"/>
                <w:szCs w:val="24"/>
              </w:rPr>
            </w:pP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中護理專科學校</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1,555</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64"/>
        </w:trPr>
        <w:tc>
          <w:tcPr>
            <w:tcW w:w="1077"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國立屏東大學</w:t>
            </w: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4,639</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8,747</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+54</w:t>
            </w:r>
          </w:p>
        </w:tc>
      </w:tr>
      <w:tr w:rsidR="00E53741" w:rsidRPr="005B464B" w:rsidTr="004A722F">
        <w:trPr>
          <w:trHeight w:val="346"/>
        </w:trPr>
        <w:tc>
          <w:tcPr>
            <w:tcW w:w="1077" w:type="pct"/>
            <w:vMerge/>
            <w:vAlign w:val="center"/>
          </w:tcPr>
          <w:p w:rsidR="007E19C5" w:rsidRPr="005B464B" w:rsidRDefault="007E19C5" w:rsidP="004A722F">
            <w:pPr>
              <w:jc w:val="center"/>
              <w:rPr>
                <w:rFonts w:hAnsi="標楷體"/>
                <w:b/>
                <w:sz w:val="24"/>
                <w:szCs w:val="24"/>
              </w:rPr>
            </w:pP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國立屏東商業技術學院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4,054</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1077" w:type="pct"/>
            <w:vMerge w:val="restart"/>
            <w:vAlign w:val="center"/>
          </w:tcPr>
          <w:p w:rsidR="007E19C5" w:rsidRPr="005B464B" w:rsidRDefault="007E19C5" w:rsidP="004A722F">
            <w:pPr>
              <w:jc w:val="center"/>
              <w:rPr>
                <w:rFonts w:hAnsi="標楷體"/>
                <w:b/>
                <w:sz w:val="24"/>
                <w:szCs w:val="24"/>
                <w:vertAlign w:val="superscript"/>
              </w:rPr>
            </w:pPr>
            <w:r w:rsidRPr="005B464B">
              <w:rPr>
                <w:rFonts w:hAnsi="標楷體" w:hint="eastAsia"/>
                <w:b/>
                <w:sz w:val="24"/>
                <w:szCs w:val="24"/>
              </w:rPr>
              <w:t>臺北市立大學</w:t>
            </w:r>
            <w:r w:rsidRPr="005B464B">
              <w:rPr>
                <w:rFonts w:hAnsi="標楷體" w:hint="eastAsia"/>
                <w:b/>
                <w:sz w:val="24"/>
                <w:szCs w:val="24"/>
                <w:vertAlign w:val="superscript"/>
              </w:rPr>
              <w:t>a</w:t>
            </w: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4,800</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7,631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+518</w:t>
            </w:r>
          </w:p>
        </w:tc>
      </w:tr>
      <w:tr w:rsidR="00E53741" w:rsidRPr="005B464B" w:rsidTr="004A722F">
        <w:trPr>
          <w:trHeight w:val="490"/>
        </w:trPr>
        <w:tc>
          <w:tcPr>
            <w:tcW w:w="1077" w:type="pct"/>
            <w:vMerge/>
            <w:vAlign w:val="center"/>
          </w:tcPr>
          <w:p w:rsidR="007E19C5" w:rsidRPr="005B464B" w:rsidRDefault="007E19C5" w:rsidP="004A722F">
            <w:pPr>
              <w:jc w:val="center"/>
              <w:rPr>
                <w:rFonts w:hAnsi="標楷體"/>
                <w:b/>
                <w:sz w:val="24"/>
                <w:szCs w:val="24"/>
              </w:rPr>
            </w:pPr>
          </w:p>
        </w:tc>
        <w:tc>
          <w:tcPr>
            <w:tcW w:w="1487"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臺北市立體育學院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2,313</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bl>
    <w:p w:rsidR="007E19C5" w:rsidRPr="005B464B" w:rsidRDefault="007E19C5" w:rsidP="003F1604">
      <w:pPr>
        <w:pStyle w:val="5"/>
        <w:numPr>
          <w:ilvl w:val="0"/>
          <w:numId w:val="0"/>
        </w:numPr>
        <w:spacing w:line="240" w:lineRule="exact"/>
        <w:ind w:left="567" w:hangingChars="218" w:hanging="567"/>
        <w:rPr>
          <w:sz w:val="24"/>
          <w:szCs w:val="24"/>
        </w:rPr>
      </w:pPr>
      <w:proofErr w:type="gramStart"/>
      <w:r w:rsidRPr="005B464B">
        <w:rPr>
          <w:rFonts w:hint="eastAsia"/>
          <w:sz w:val="24"/>
          <w:szCs w:val="24"/>
        </w:rPr>
        <w:t>註</w:t>
      </w:r>
      <w:proofErr w:type="gramEnd"/>
      <w:r w:rsidR="003F1604" w:rsidRPr="005B464B">
        <w:rPr>
          <w:rFonts w:hint="eastAsia"/>
          <w:sz w:val="24"/>
          <w:szCs w:val="24"/>
        </w:rPr>
        <w:t>a</w:t>
      </w:r>
      <w:r w:rsidRPr="005B464B">
        <w:rPr>
          <w:rFonts w:hint="eastAsia"/>
          <w:sz w:val="24"/>
          <w:szCs w:val="24"/>
        </w:rPr>
        <w:t>：</w:t>
      </w:r>
      <w:r w:rsidR="003F1604" w:rsidRPr="005B464B">
        <w:rPr>
          <w:rFonts w:hint="eastAsia"/>
          <w:sz w:val="24"/>
          <w:szCs w:val="24"/>
        </w:rPr>
        <w:t>臺北市政府基於市政管理與發展人才之需求，擬建設一所「都會特色創新大學」，</w:t>
      </w:r>
      <w:proofErr w:type="gramStart"/>
      <w:r w:rsidR="003F1604" w:rsidRPr="005B464B">
        <w:rPr>
          <w:rFonts w:hint="eastAsia"/>
          <w:sz w:val="24"/>
          <w:szCs w:val="24"/>
        </w:rPr>
        <w:t>爰</w:t>
      </w:r>
      <w:proofErr w:type="gramEnd"/>
      <w:r w:rsidR="003F1604" w:rsidRPr="005B464B">
        <w:rPr>
          <w:rFonts w:hint="eastAsia"/>
          <w:sz w:val="24"/>
          <w:szCs w:val="24"/>
        </w:rPr>
        <w:t>於102年合併之。(資料來源：臺北市立大學網站</w:t>
      </w:r>
      <w:r w:rsidR="003F1604" w:rsidRPr="005B464B">
        <w:rPr>
          <w:sz w:val="24"/>
          <w:szCs w:val="24"/>
        </w:rPr>
        <w:t>http://www.utaipei.edu.tw/files/11-1000-2692.php</w:t>
      </w:r>
      <w:r w:rsidR="003F1604" w:rsidRPr="005B464B">
        <w:rPr>
          <w:rFonts w:hint="eastAsia"/>
          <w:sz w:val="24"/>
          <w:szCs w:val="24"/>
        </w:rPr>
        <w:t>。)</w:t>
      </w:r>
    </w:p>
    <w:p w:rsidR="007E19C5" w:rsidRPr="005B464B" w:rsidRDefault="007E19C5" w:rsidP="007E19C5">
      <w:pPr>
        <w:pStyle w:val="5"/>
        <w:numPr>
          <w:ilvl w:val="0"/>
          <w:numId w:val="0"/>
        </w:numPr>
        <w:spacing w:line="240" w:lineRule="exact"/>
        <w:rPr>
          <w:sz w:val="24"/>
          <w:szCs w:val="24"/>
        </w:rPr>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7E19C5" w:rsidRDefault="007E19C5" w:rsidP="007E19C5">
      <w:pPr>
        <w:pStyle w:val="3"/>
        <w:numPr>
          <w:ilvl w:val="0"/>
          <w:numId w:val="0"/>
        </w:numPr>
        <w:spacing w:line="240" w:lineRule="exact"/>
        <w:rPr>
          <w:sz w:val="24"/>
          <w:szCs w:val="24"/>
        </w:rPr>
      </w:pPr>
    </w:p>
    <w:p w:rsidR="00CA52A1" w:rsidRDefault="00CA52A1" w:rsidP="007E19C5">
      <w:pPr>
        <w:pStyle w:val="3"/>
        <w:numPr>
          <w:ilvl w:val="0"/>
          <w:numId w:val="0"/>
        </w:numPr>
        <w:spacing w:line="240" w:lineRule="exact"/>
        <w:rPr>
          <w:sz w:val="24"/>
          <w:szCs w:val="24"/>
        </w:rPr>
      </w:pPr>
    </w:p>
    <w:p w:rsidR="00CA52A1" w:rsidRDefault="00CA52A1" w:rsidP="007E19C5">
      <w:pPr>
        <w:pStyle w:val="3"/>
        <w:numPr>
          <w:ilvl w:val="0"/>
          <w:numId w:val="0"/>
        </w:numPr>
        <w:spacing w:line="240" w:lineRule="exact"/>
        <w:rPr>
          <w:sz w:val="24"/>
          <w:szCs w:val="24"/>
        </w:rPr>
      </w:pPr>
    </w:p>
    <w:p w:rsidR="00CA52A1" w:rsidRPr="005B464B" w:rsidRDefault="00CA52A1" w:rsidP="007E19C5">
      <w:pPr>
        <w:pStyle w:val="3"/>
        <w:numPr>
          <w:ilvl w:val="0"/>
          <w:numId w:val="0"/>
        </w:numPr>
        <w:spacing w:line="240" w:lineRule="exact"/>
        <w:rPr>
          <w:sz w:val="24"/>
          <w:szCs w:val="24"/>
        </w:rPr>
      </w:pPr>
    </w:p>
    <w:p w:rsidR="007E19C5" w:rsidRPr="005B464B" w:rsidRDefault="007E19C5" w:rsidP="007E19C5">
      <w:pPr>
        <w:pStyle w:val="a3"/>
        <w:spacing w:line="400" w:lineRule="exact"/>
        <w:jc w:val="center"/>
      </w:pPr>
      <w:r w:rsidRPr="005B464B">
        <w:rPr>
          <w:rFonts w:hint="eastAsia"/>
          <w:b/>
        </w:rPr>
        <w:t>公立大學合併案專任教師人數變化情形表</w:t>
      </w:r>
    </w:p>
    <w:tbl>
      <w:tblPr>
        <w:tblStyle w:val="afb"/>
        <w:tblW w:w="5000" w:type="pct"/>
        <w:tblLook w:val="04A0" w:firstRow="1" w:lastRow="0" w:firstColumn="1" w:lastColumn="0" w:noHBand="0" w:noVBand="1"/>
      </w:tblPr>
      <w:tblGrid>
        <w:gridCol w:w="1809"/>
        <w:gridCol w:w="2836"/>
        <w:gridCol w:w="1134"/>
        <w:gridCol w:w="1560"/>
        <w:gridCol w:w="1721"/>
      </w:tblGrid>
      <w:tr w:rsidR="00E53741" w:rsidRPr="005B464B" w:rsidTr="004A722F">
        <w:trPr>
          <w:tblHeader/>
        </w:trPr>
        <w:tc>
          <w:tcPr>
            <w:tcW w:w="998" w:type="pct"/>
            <w:vAlign w:val="center"/>
          </w:tcPr>
          <w:p w:rsidR="007E19C5" w:rsidRPr="005B464B" w:rsidRDefault="007E19C5" w:rsidP="004A722F">
            <w:pPr>
              <w:jc w:val="center"/>
              <w:rPr>
                <w:rFonts w:hAnsi="標楷體"/>
                <w:b/>
                <w:sz w:val="24"/>
                <w:szCs w:val="24"/>
              </w:rPr>
            </w:pPr>
            <w:proofErr w:type="gramStart"/>
            <w:r w:rsidRPr="005B464B">
              <w:rPr>
                <w:rFonts w:hAnsi="標楷體"/>
                <w:b/>
                <w:sz w:val="24"/>
                <w:szCs w:val="24"/>
              </w:rPr>
              <w:t>合併後校名</w:t>
            </w:r>
            <w:proofErr w:type="gramEnd"/>
          </w:p>
        </w:tc>
        <w:tc>
          <w:tcPr>
            <w:tcW w:w="2191" w:type="pct"/>
            <w:gridSpan w:val="2"/>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合併前原學校專任教師人數</w:t>
            </w:r>
          </w:p>
        </w:tc>
        <w:tc>
          <w:tcPr>
            <w:tcW w:w="861" w:type="pc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105學年度</w:t>
            </w:r>
          </w:p>
          <w:p w:rsidR="007E19C5" w:rsidRPr="005B464B" w:rsidRDefault="007E19C5" w:rsidP="004A722F">
            <w:pPr>
              <w:jc w:val="center"/>
              <w:rPr>
                <w:rFonts w:hAnsi="標楷體"/>
                <w:b/>
                <w:sz w:val="24"/>
                <w:szCs w:val="24"/>
              </w:rPr>
            </w:pPr>
            <w:r w:rsidRPr="005B464B">
              <w:rPr>
                <w:rFonts w:hAnsi="標楷體" w:hint="eastAsia"/>
                <w:b/>
                <w:sz w:val="24"/>
                <w:szCs w:val="24"/>
              </w:rPr>
              <w:t>專任教師</w:t>
            </w:r>
          </w:p>
          <w:p w:rsidR="007E19C5" w:rsidRPr="005B464B" w:rsidRDefault="007E19C5" w:rsidP="004A722F">
            <w:pPr>
              <w:jc w:val="center"/>
              <w:rPr>
                <w:rFonts w:hAnsi="標楷體"/>
                <w:b/>
                <w:sz w:val="24"/>
                <w:szCs w:val="24"/>
              </w:rPr>
            </w:pPr>
            <w:r w:rsidRPr="005B464B">
              <w:rPr>
                <w:rFonts w:hAnsi="標楷體" w:hint="eastAsia"/>
                <w:b/>
                <w:sz w:val="24"/>
                <w:szCs w:val="24"/>
              </w:rPr>
              <w:t>人數</w:t>
            </w:r>
          </w:p>
        </w:tc>
        <w:tc>
          <w:tcPr>
            <w:tcW w:w="950" w:type="pct"/>
            <w:shd w:val="clear" w:color="auto" w:fill="B8CCE4" w:themeFill="accent1" w:themeFillTint="66"/>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變化幅度</w:t>
            </w:r>
          </w:p>
          <w:p w:rsidR="007E19C5" w:rsidRPr="005B464B" w:rsidRDefault="007E19C5" w:rsidP="004A722F">
            <w:pPr>
              <w:jc w:val="center"/>
              <w:rPr>
                <w:rFonts w:hAnsi="標楷體"/>
                <w:b/>
                <w:sz w:val="24"/>
                <w:szCs w:val="24"/>
              </w:rPr>
            </w:pPr>
            <w:r w:rsidRPr="005B464B">
              <w:rPr>
                <w:rFonts w:hAnsi="標楷體" w:hint="eastAsia"/>
                <w:b/>
                <w:sz w:val="24"/>
                <w:szCs w:val="24"/>
              </w:rPr>
              <w:t>(單位：人)</w:t>
            </w: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國立嘉義大學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國立嘉義師範學院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122</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520</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+98</w:t>
            </w:r>
          </w:p>
        </w:tc>
      </w:tr>
      <w:tr w:rsidR="00E53741" w:rsidRPr="005B464B" w:rsidTr="004A722F">
        <w:trPr>
          <w:trHeight w:val="351"/>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300</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387"/>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國立臺灣</w:t>
            </w:r>
            <w:r w:rsidRPr="005B464B">
              <w:rPr>
                <w:rFonts w:hAnsi="標楷體"/>
                <w:b/>
                <w:sz w:val="24"/>
                <w:szCs w:val="24"/>
              </w:rPr>
              <w:br/>
            </w:r>
            <w:r w:rsidRPr="005B464B">
              <w:rPr>
                <w:rFonts w:hAnsi="標楷體" w:hint="eastAsia"/>
                <w:b/>
                <w:sz w:val="24"/>
                <w:szCs w:val="24"/>
              </w:rPr>
              <w:t>師範大學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國立臺灣師範大學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746</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881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+70</w:t>
            </w:r>
          </w:p>
        </w:tc>
      </w:tr>
      <w:tr w:rsidR="00E53741" w:rsidRPr="005B464B" w:rsidTr="004A722F">
        <w:trPr>
          <w:trHeight w:val="228"/>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國立僑生大學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65</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國立東華大學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國立東華大學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341</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501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-32</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國立花蓮教育大學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192</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81"/>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w:t>
            </w:r>
            <w:proofErr w:type="gramStart"/>
            <w:r w:rsidRPr="005B464B">
              <w:rPr>
                <w:rFonts w:hAnsi="標楷體"/>
                <w:b/>
                <w:sz w:val="24"/>
                <w:szCs w:val="24"/>
              </w:rPr>
              <w:t>臺</w:t>
            </w:r>
            <w:proofErr w:type="gramEnd"/>
            <w:r w:rsidRPr="005B464B">
              <w:rPr>
                <w:rFonts w:hAnsi="標楷體"/>
                <w:b/>
                <w:sz w:val="24"/>
                <w:szCs w:val="24"/>
              </w:rPr>
              <w:t>中</w:t>
            </w:r>
            <w:r w:rsidRPr="005B464B">
              <w:rPr>
                <w:rFonts w:hAnsi="標楷體" w:hint="eastAsia"/>
                <w:b/>
                <w:sz w:val="24"/>
                <w:szCs w:val="24"/>
              </w:rPr>
              <w:br/>
            </w:r>
            <w:r w:rsidRPr="005B464B">
              <w:rPr>
                <w:rFonts w:hAnsi="標楷體"/>
                <w:b/>
                <w:sz w:val="24"/>
                <w:szCs w:val="24"/>
              </w:rPr>
              <w:t>科技大學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342</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388</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vertAlign w:val="superscript"/>
              </w:rPr>
            </w:pPr>
            <w:r w:rsidRPr="005B464B">
              <w:rPr>
                <w:rFonts w:hAnsi="標楷體" w:hint="eastAsia"/>
                <w:sz w:val="28"/>
                <w:szCs w:val="28"/>
              </w:rPr>
              <w:t>-6</w:t>
            </w:r>
            <w:r w:rsidRPr="005B464B">
              <w:rPr>
                <w:rFonts w:hAnsi="標楷體" w:hint="eastAsia"/>
                <w:sz w:val="28"/>
                <w:szCs w:val="28"/>
                <w:vertAlign w:val="superscript"/>
              </w:rPr>
              <w:t>a</w:t>
            </w:r>
          </w:p>
        </w:tc>
      </w:tr>
      <w:tr w:rsidR="00E53741" w:rsidRPr="005B464B" w:rsidTr="004A722F">
        <w:trPr>
          <w:trHeight w:val="417"/>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中護理專科學校</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52</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lastRenderedPageBreak/>
              <w:t>國立屏東大學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199</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351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r>
      <w:tr w:rsidR="00E53741" w:rsidRPr="005B464B" w:rsidTr="004A722F">
        <w:trPr>
          <w:trHeight w:val="445"/>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國立屏東商業技術學院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151</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臺北市立大學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232</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349</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+5</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臺北市立體育學院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112</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bl>
    <w:p w:rsidR="007E19C5" w:rsidRPr="005B464B" w:rsidRDefault="007E19C5" w:rsidP="003F1604">
      <w:pPr>
        <w:pStyle w:val="3"/>
        <w:numPr>
          <w:ilvl w:val="0"/>
          <w:numId w:val="0"/>
        </w:numPr>
        <w:spacing w:line="240" w:lineRule="exact"/>
        <w:ind w:leftChars="-42" w:left="424" w:hangingChars="218" w:hanging="567"/>
        <w:rPr>
          <w:sz w:val="24"/>
          <w:szCs w:val="24"/>
        </w:rPr>
      </w:pPr>
      <w:proofErr w:type="gramStart"/>
      <w:r w:rsidRPr="005B464B">
        <w:rPr>
          <w:rFonts w:hint="eastAsia"/>
          <w:sz w:val="24"/>
          <w:szCs w:val="24"/>
        </w:rPr>
        <w:t>註</w:t>
      </w:r>
      <w:proofErr w:type="gramEnd"/>
      <w:r w:rsidR="003F1604" w:rsidRPr="005B464B">
        <w:rPr>
          <w:rFonts w:hint="eastAsia"/>
          <w:sz w:val="24"/>
          <w:szCs w:val="24"/>
        </w:rPr>
        <w:t>a</w:t>
      </w:r>
      <w:r w:rsidRPr="005B464B">
        <w:rPr>
          <w:rFonts w:hint="eastAsia"/>
          <w:sz w:val="24"/>
          <w:szCs w:val="24"/>
        </w:rPr>
        <w:t>：</w:t>
      </w:r>
      <w:proofErr w:type="gramStart"/>
      <w:r w:rsidR="003F1604" w:rsidRPr="005B464B">
        <w:rPr>
          <w:rFonts w:hint="eastAsia"/>
          <w:sz w:val="24"/>
          <w:szCs w:val="24"/>
        </w:rPr>
        <w:t>查據國立臺</w:t>
      </w:r>
      <w:proofErr w:type="gramEnd"/>
      <w:r w:rsidR="003F1604" w:rsidRPr="005B464B">
        <w:rPr>
          <w:rFonts w:hint="eastAsia"/>
          <w:sz w:val="24"/>
          <w:szCs w:val="24"/>
        </w:rPr>
        <w:t>中科技大學履</w:t>
      </w:r>
      <w:proofErr w:type="gramStart"/>
      <w:r w:rsidR="003F1604" w:rsidRPr="005B464B">
        <w:rPr>
          <w:rFonts w:hint="eastAsia"/>
          <w:sz w:val="24"/>
          <w:szCs w:val="24"/>
        </w:rPr>
        <w:t>勘</w:t>
      </w:r>
      <w:proofErr w:type="gramEnd"/>
      <w:r w:rsidR="003F1604" w:rsidRPr="005B464B">
        <w:rPr>
          <w:rFonts w:hint="eastAsia"/>
          <w:sz w:val="24"/>
          <w:szCs w:val="24"/>
        </w:rPr>
        <w:t>書面資料指出，合校後編制員額未改變，惟未核撥教職員員額。</w:t>
      </w:r>
      <w:proofErr w:type="gramStart"/>
      <w:r w:rsidR="003F1604" w:rsidRPr="005B464B">
        <w:rPr>
          <w:rFonts w:hint="eastAsia"/>
          <w:sz w:val="24"/>
          <w:szCs w:val="24"/>
        </w:rPr>
        <w:t>另查據教育部</w:t>
      </w:r>
      <w:proofErr w:type="gramEnd"/>
      <w:r w:rsidR="003F1604" w:rsidRPr="005B464B">
        <w:rPr>
          <w:rFonts w:hint="eastAsia"/>
          <w:sz w:val="24"/>
          <w:szCs w:val="24"/>
        </w:rPr>
        <w:t>表示，國立</w:t>
      </w:r>
      <w:proofErr w:type="gramStart"/>
      <w:r w:rsidR="003F1604" w:rsidRPr="005B464B">
        <w:rPr>
          <w:rFonts w:hint="eastAsia"/>
          <w:sz w:val="24"/>
          <w:szCs w:val="24"/>
        </w:rPr>
        <w:t>臺</w:t>
      </w:r>
      <w:proofErr w:type="gramEnd"/>
      <w:r w:rsidR="003F1604" w:rsidRPr="005B464B">
        <w:rPr>
          <w:rFonts w:hint="eastAsia"/>
          <w:sz w:val="24"/>
          <w:szCs w:val="24"/>
        </w:rPr>
        <w:t>中科技大學合併後專任師資減少係因改制大學同時規劃原附設高商學制逐年縮減所致。該校依核定之「附設高級商業</w:t>
      </w:r>
      <w:proofErr w:type="gramStart"/>
      <w:r w:rsidR="003F1604" w:rsidRPr="005B464B">
        <w:rPr>
          <w:rFonts w:hint="eastAsia"/>
          <w:sz w:val="24"/>
          <w:szCs w:val="24"/>
        </w:rPr>
        <w:t>職業學校停招及</w:t>
      </w:r>
      <w:proofErr w:type="gramEnd"/>
      <w:r w:rsidR="003F1604" w:rsidRPr="005B464B">
        <w:rPr>
          <w:rFonts w:hint="eastAsia"/>
          <w:sz w:val="24"/>
          <w:szCs w:val="24"/>
        </w:rPr>
        <w:t>合併計畫」自</w:t>
      </w:r>
      <w:r w:rsidR="003F1604" w:rsidRPr="005B464B">
        <w:rPr>
          <w:sz w:val="24"/>
          <w:szCs w:val="24"/>
        </w:rPr>
        <w:t>101</w:t>
      </w:r>
      <w:r w:rsidR="003F1604" w:rsidRPr="005B464B">
        <w:rPr>
          <w:rFonts w:hint="eastAsia"/>
          <w:sz w:val="24"/>
          <w:szCs w:val="24"/>
        </w:rPr>
        <w:t>年起逐年辦理教師移撥</w:t>
      </w:r>
      <w:proofErr w:type="gramStart"/>
      <w:r w:rsidR="003F1604" w:rsidRPr="005B464B">
        <w:rPr>
          <w:rFonts w:hint="eastAsia"/>
          <w:sz w:val="24"/>
          <w:szCs w:val="24"/>
        </w:rPr>
        <w:t>臺</w:t>
      </w:r>
      <w:proofErr w:type="gramEnd"/>
      <w:r w:rsidR="003F1604" w:rsidRPr="005B464B">
        <w:rPr>
          <w:rFonts w:hint="eastAsia"/>
          <w:sz w:val="24"/>
          <w:szCs w:val="24"/>
        </w:rPr>
        <w:t>中家商，至</w:t>
      </w:r>
      <w:r w:rsidR="003F1604" w:rsidRPr="005B464B">
        <w:rPr>
          <w:sz w:val="24"/>
          <w:szCs w:val="24"/>
        </w:rPr>
        <w:t>103</w:t>
      </w:r>
      <w:r w:rsidR="003F1604" w:rsidRPr="005B464B">
        <w:rPr>
          <w:rFonts w:hint="eastAsia"/>
          <w:sz w:val="24"/>
          <w:szCs w:val="24"/>
        </w:rPr>
        <w:t>學年度結束前計有</w:t>
      </w:r>
      <w:r w:rsidR="003F1604" w:rsidRPr="005B464B">
        <w:rPr>
          <w:sz w:val="24"/>
          <w:szCs w:val="24"/>
        </w:rPr>
        <w:t>16</w:t>
      </w:r>
      <w:r w:rsidR="003F1604" w:rsidRPr="005B464B">
        <w:rPr>
          <w:rFonts w:hint="eastAsia"/>
          <w:sz w:val="24"/>
          <w:szCs w:val="24"/>
        </w:rPr>
        <w:t>位專任教師完成移撥及</w:t>
      </w:r>
      <w:r w:rsidR="003F1604" w:rsidRPr="005B464B">
        <w:rPr>
          <w:sz w:val="24"/>
          <w:szCs w:val="24"/>
        </w:rPr>
        <w:t>3</w:t>
      </w:r>
      <w:r w:rsidR="003F1604" w:rsidRPr="005B464B">
        <w:rPr>
          <w:rFonts w:hint="eastAsia"/>
          <w:sz w:val="24"/>
          <w:szCs w:val="24"/>
        </w:rPr>
        <w:t>位</w:t>
      </w:r>
      <w:r w:rsidR="003F1604" w:rsidRPr="005B464B">
        <w:rPr>
          <w:rFonts w:hint="eastAsia"/>
          <w:bCs w:val="0"/>
          <w:sz w:val="24"/>
          <w:szCs w:val="24"/>
        </w:rPr>
        <w:t>自願退休。</w:t>
      </w:r>
    </w:p>
    <w:p w:rsidR="007E19C5" w:rsidRPr="005B464B" w:rsidRDefault="007E19C5" w:rsidP="007E19C5">
      <w:pPr>
        <w:pStyle w:val="3"/>
        <w:numPr>
          <w:ilvl w:val="0"/>
          <w:numId w:val="0"/>
        </w:numPr>
        <w:spacing w:line="240" w:lineRule="exact"/>
        <w:rPr>
          <w:sz w:val="24"/>
          <w:szCs w:val="24"/>
        </w:rPr>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7E19C5" w:rsidRDefault="007E19C5" w:rsidP="007E19C5">
      <w:pPr>
        <w:pStyle w:val="3"/>
        <w:numPr>
          <w:ilvl w:val="0"/>
          <w:numId w:val="0"/>
        </w:numPr>
        <w:spacing w:line="240" w:lineRule="exact"/>
      </w:pPr>
    </w:p>
    <w:p w:rsidR="00CA52A1" w:rsidRDefault="00CA52A1" w:rsidP="007E19C5">
      <w:pPr>
        <w:pStyle w:val="3"/>
        <w:numPr>
          <w:ilvl w:val="0"/>
          <w:numId w:val="0"/>
        </w:numPr>
        <w:spacing w:line="240" w:lineRule="exact"/>
      </w:pPr>
    </w:p>
    <w:p w:rsidR="00CA52A1" w:rsidRDefault="00CA52A1" w:rsidP="007E19C5">
      <w:pPr>
        <w:pStyle w:val="3"/>
        <w:numPr>
          <w:ilvl w:val="0"/>
          <w:numId w:val="0"/>
        </w:numPr>
        <w:spacing w:line="240" w:lineRule="exact"/>
      </w:pPr>
    </w:p>
    <w:p w:rsidR="00CA52A1" w:rsidRPr="005B464B" w:rsidRDefault="00CA52A1" w:rsidP="007E19C5">
      <w:pPr>
        <w:pStyle w:val="3"/>
        <w:numPr>
          <w:ilvl w:val="0"/>
          <w:numId w:val="0"/>
        </w:numPr>
        <w:spacing w:line="240" w:lineRule="exact"/>
      </w:pPr>
    </w:p>
    <w:p w:rsidR="007E19C5" w:rsidRPr="005B464B" w:rsidRDefault="007E19C5" w:rsidP="007E19C5">
      <w:pPr>
        <w:pStyle w:val="a3"/>
        <w:spacing w:line="400" w:lineRule="exact"/>
        <w:jc w:val="center"/>
      </w:pPr>
      <w:r w:rsidRPr="005B464B">
        <w:rPr>
          <w:rFonts w:hint="eastAsia"/>
          <w:b/>
        </w:rPr>
        <w:t>公立大學合併案兼任教師人數變化情形表</w:t>
      </w:r>
    </w:p>
    <w:tbl>
      <w:tblPr>
        <w:tblStyle w:val="afb"/>
        <w:tblW w:w="5000" w:type="pct"/>
        <w:tblLook w:val="04A0" w:firstRow="1" w:lastRow="0" w:firstColumn="1" w:lastColumn="0" w:noHBand="0" w:noVBand="1"/>
      </w:tblPr>
      <w:tblGrid>
        <w:gridCol w:w="1809"/>
        <w:gridCol w:w="2836"/>
        <w:gridCol w:w="1134"/>
        <w:gridCol w:w="1560"/>
        <w:gridCol w:w="1721"/>
      </w:tblGrid>
      <w:tr w:rsidR="00E53741" w:rsidRPr="005B464B" w:rsidTr="004A722F">
        <w:trPr>
          <w:tblHeader/>
        </w:trPr>
        <w:tc>
          <w:tcPr>
            <w:tcW w:w="998" w:type="pct"/>
            <w:vAlign w:val="center"/>
          </w:tcPr>
          <w:p w:rsidR="007E19C5" w:rsidRPr="005B464B" w:rsidRDefault="007E19C5" w:rsidP="004A722F">
            <w:pPr>
              <w:jc w:val="center"/>
              <w:rPr>
                <w:rFonts w:hAnsi="標楷體"/>
                <w:b/>
                <w:sz w:val="24"/>
                <w:szCs w:val="24"/>
              </w:rPr>
            </w:pPr>
            <w:proofErr w:type="gramStart"/>
            <w:r w:rsidRPr="005B464B">
              <w:rPr>
                <w:rFonts w:hAnsi="標楷體"/>
                <w:b/>
                <w:sz w:val="24"/>
                <w:szCs w:val="24"/>
              </w:rPr>
              <w:t>合併後校名</w:t>
            </w:r>
            <w:proofErr w:type="gramEnd"/>
          </w:p>
        </w:tc>
        <w:tc>
          <w:tcPr>
            <w:tcW w:w="2191" w:type="pct"/>
            <w:gridSpan w:val="2"/>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合併前原學校兼任教師人數</w:t>
            </w:r>
          </w:p>
        </w:tc>
        <w:tc>
          <w:tcPr>
            <w:tcW w:w="861" w:type="pc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105學年度</w:t>
            </w:r>
          </w:p>
          <w:p w:rsidR="007E19C5" w:rsidRPr="005B464B" w:rsidRDefault="007E19C5" w:rsidP="004A722F">
            <w:pPr>
              <w:jc w:val="center"/>
              <w:rPr>
                <w:rFonts w:hAnsi="標楷體"/>
                <w:b/>
                <w:sz w:val="24"/>
                <w:szCs w:val="24"/>
              </w:rPr>
            </w:pPr>
            <w:r w:rsidRPr="005B464B">
              <w:rPr>
                <w:rFonts w:hAnsi="標楷體" w:hint="eastAsia"/>
                <w:b/>
                <w:sz w:val="24"/>
                <w:szCs w:val="24"/>
              </w:rPr>
              <w:t>兼任教師</w:t>
            </w:r>
          </w:p>
          <w:p w:rsidR="007E19C5" w:rsidRPr="005B464B" w:rsidRDefault="007E19C5" w:rsidP="004A722F">
            <w:pPr>
              <w:jc w:val="center"/>
              <w:rPr>
                <w:rFonts w:hAnsi="標楷體"/>
                <w:b/>
                <w:sz w:val="24"/>
                <w:szCs w:val="24"/>
              </w:rPr>
            </w:pPr>
            <w:r w:rsidRPr="005B464B">
              <w:rPr>
                <w:rFonts w:hAnsi="標楷體" w:hint="eastAsia"/>
                <w:b/>
                <w:sz w:val="24"/>
                <w:szCs w:val="24"/>
              </w:rPr>
              <w:t>人數</w:t>
            </w:r>
          </w:p>
        </w:tc>
        <w:tc>
          <w:tcPr>
            <w:tcW w:w="950" w:type="pct"/>
            <w:shd w:val="clear" w:color="auto" w:fill="B8CCE4" w:themeFill="accent1" w:themeFillTint="66"/>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變化幅度</w:t>
            </w:r>
          </w:p>
          <w:p w:rsidR="007E19C5" w:rsidRPr="005B464B" w:rsidRDefault="007E19C5" w:rsidP="004A722F">
            <w:pPr>
              <w:jc w:val="center"/>
              <w:rPr>
                <w:rFonts w:hAnsi="標楷體"/>
                <w:b/>
                <w:sz w:val="24"/>
                <w:szCs w:val="24"/>
              </w:rPr>
            </w:pPr>
            <w:r w:rsidRPr="005B464B">
              <w:rPr>
                <w:rFonts w:hAnsi="標楷體" w:hint="eastAsia"/>
                <w:b/>
                <w:sz w:val="24"/>
                <w:szCs w:val="24"/>
              </w:rPr>
              <w:t>(單位：人)</w:t>
            </w: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國立嘉義大學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國立嘉義師範學院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62</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213</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+117</w:t>
            </w:r>
          </w:p>
        </w:tc>
      </w:tr>
      <w:tr w:rsidR="00E53741" w:rsidRPr="005B464B" w:rsidTr="004A722F">
        <w:trPr>
          <w:trHeight w:val="351"/>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34</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387"/>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國立臺灣</w:t>
            </w:r>
            <w:r w:rsidRPr="005B464B">
              <w:rPr>
                <w:rFonts w:hAnsi="標楷體"/>
                <w:b/>
                <w:sz w:val="24"/>
                <w:szCs w:val="24"/>
              </w:rPr>
              <w:br/>
            </w:r>
            <w:r w:rsidRPr="005B464B">
              <w:rPr>
                <w:rFonts w:hAnsi="標楷體" w:hint="eastAsia"/>
                <w:b/>
                <w:sz w:val="24"/>
                <w:szCs w:val="24"/>
              </w:rPr>
              <w:t>師範大學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國立臺灣師範大學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430</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622</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+134</w:t>
            </w:r>
          </w:p>
        </w:tc>
      </w:tr>
      <w:tr w:rsidR="00E53741" w:rsidRPr="005B464B" w:rsidTr="004A722F">
        <w:trPr>
          <w:trHeight w:val="228"/>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國立僑生大學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58</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國立東華大學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國立東華大學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190</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141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-115</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國立花蓮教育大學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66</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81"/>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w:t>
            </w:r>
            <w:proofErr w:type="gramStart"/>
            <w:r w:rsidRPr="005B464B">
              <w:rPr>
                <w:rFonts w:hAnsi="標楷體"/>
                <w:b/>
                <w:sz w:val="24"/>
                <w:szCs w:val="24"/>
              </w:rPr>
              <w:t>臺</w:t>
            </w:r>
            <w:proofErr w:type="gramEnd"/>
            <w:r w:rsidRPr="005B464B">
              <w:rPr>
                <w:rFonts w:hAnsi="標楷體"/>
                <w:b/>
                <w:sz w:val="24"/>
                <w:szCs w:val="24"/>
              </w:rPr>
              <w:t>中</w:t>
            </w:r>
            <w:r w:rsidRPr="005B464B">
              <w:rPr>
                <w:rFonts w:hAnsi="標楷體" w:hint="eastAsia"/>
                <w:b/>
                <w:sz w:val="24"/>
                <w:szCs w:val="24"/>
              </w:rPr>
              <w:br/>
            </w:r>
            <w:r w:rsidRPr="005B464B">
              <w:rPr>
                <w:rFonts w:hAnsi="標楷體"/>
                <w:b/>
                <w:sz w:val="24"/>
                <w:szCs w:val="24"/>
              </w:rPr>
              <w:t>科技大學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648</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775</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+60</w:t>
            </w:r>
          </w:p>
        </w:tc>
      </w:tr>
      <w:tr w:rsidR="00E53741" w:rsidRPr="005B464B" w:rsidTr="004A722F">
        <w:trPr>
          <w:trHeight w:val="463"/>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中護理專科學校</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67</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國立屏東大學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73</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224</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vertAlign w:val="superscript"/>
              </w:rPr>
            </w:pPr>
            <w:r w:rsidRPr="005B464B">
              <w:rPr>
                <w:rFonts w:hAnsi="標楷體" w:hint="eastAsia"/>
                <w:sz w:val="28"/>
                <w:szCs w:val="28"/>
              </w:rPr>
              <w:t>-7</w:t>
            </w:r>
            <w:r w:rsidRPr="005B464B">
              <w:rPr>
                <w:rFonts w:hAnsi="標楷體" w:hint="eastAsia"/>
                <w:sz w:val="28"/>
                <w:szCs w:val="28"/>
                <w:vertAlign w:val="superscript"/>
              </w:rPr>
              <w:t>a</w:t>
            </w:r>
          </w:p>
        </w:tc>
      </w:tr>
      <w:tr w:rsidR="00E53741" w:rsidRPr="005B464B" w:rsidTr="004A722F">
        <w:trPr>
          <w:trHeight w:val="475"/>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國立屏東商業技術學院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158</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臺北市立大學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臺北市立教育大學</w:t>
            </w:r>
          </w:p>
        </w:tc>
        <w:tc>
          <w:tcPr>
            <w:tcW w:w="626" w:type="pct"/>
            <w:vAlign w:val="center"/>
          </w:tcPr>
          <w:p w:rsidR="007E19C5" w:rsidRPr="005B464B" w:rsidRDefault="007E19C5" w:rsidP="004A722F">
            <w:pPr>
              <w:spacing w:line="480" w:lineRule="exact"/>
              <w:jc w:val="center"/>
              <w:rPr>
                <w:rFonts w:hAnsi="標楷體"/>
                <w:sz w:val="28"/>
                <w:szCs w:val="28"/>
              </w:rPr>
            </w:pPr>
            <w:r w:rsidRPr="005B464B">
              <w:rPr>
                <w:rFonts w:hAnsi="標楷體" w:hint="eastAsia"/>
                <w:sz w:val="28"/>
                <w:szCs w:val="28"/>
              </w:rPr>
              <w:t>283</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611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+176</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臺北市立體育學院</w:t>
            </w:r>
          </w:p>
        </w:tc>
        <w:tc>
          <w:tcPr>
            <w:tcW w:w="626" w:type="pct"/>
            <w:vAlign w:val="center"/>
          </w:tcPr>
          <w:p w:rsidR="007E19C5" w:rsidRPr="005B464B" w:rsidRDefault="007E19C5" w:rsidP="004A722F">
            <w:pPr>
              <w:spacing w:line="480" w:lineRule="exact"/>
              <w:jc w:val="center"/>
              <w:rPr>
                <w:rFonts w:hAnsi="標楷體"/>
                <w:sz w:val="28"/>
                <w:szCs w:val="28"/>
              </w:rPr>
            </w:pPr>
            <w:r w:rsidRPr="005B464B">
              <w:rPr>
                <w:rFonts w:hAnsi="標楷體" w:hint="eastAsia"/>
                <w:sz w:val="28"/>
                <w:szCs w:val="28"/>
              </w:rPr>
              <w:t>152</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bl>
    <w:p w:rsidR="007E19C5" w:rsidRPr="005B464B" w:rsidRDefault="007E19C5" w:rsidP="003F1604">
      <w:pPr>
        <w:pStyle w:val="3"/>
        <w:numPr>
          <w:ilvl w:val="0"/>
          <w:numId w:val="0"/>
        </w:numPr>
        <w:spacing w:line="240" w:lineRule="exact"/>
        <w:ind w:left="567" w:hangingChars="218" w:hanging="567"/>
        <w:rPr>
          <w:sz w:val="24"/>
          <w:szCs w:val="24"/>
        </w:rPr>
      </w:pPr>
      <w:proofErr w:type="gramStart"/>
      <w:r w:rsidRPr="005B464B">
        <w:rPr>
          <w:rFonts w:hint="eastAsia"/>
          <w:sz w:val="24"/>
          <w:szCs w:val="24"/>
        </w:rPr>
        <w:t>註</w:t>
      </w:r>
      <w:proofErr w:type="gramEnd"/>
      <w:r w:rsidR="003F1604" w:rsidRPr="005B464B">
        <w:rPr>
          <w:rFonts w:hint="eastAsia"/>
          <w:kern w:val="2"/>
          <w:sz w:val="24"/>
          <w:szCs w:val="24"/>
        </w:rPr>
        <w:t>a</w:t>
      </w:r>
      <w:r w:rsidRPr="005B464B">
        <w:rPr>
          <w:rFonts w:hint="eastAsia"/>
          <w:sz w:val="24"/>
          <w:szCs w:val="24"/>
        </w:rPr>
        <w:t>：</w:t>
      </w:r>
      <w:r w:rsidR="003F1604" w:rsidRPr="005B464B">
        <w:rPr>
          <w:rFonts w:hint="eastAsia"/>
          <w:kern w:val="2"/>
          <w:sz w:val="24"/>
          <w:szCs w:val="24"/>
        </w:rPr>
        <w:t>國立</w:t>
      </w:r>
      <w:r w:rsidRPr="005B464B">
        <w:rPr>
          <w:rFonts w:hint="eastAsia"/>
          <w:kern w:val="2"/>
          <w:sz w:val="24"/>
          <w:szCs w:val="24"/>
        </w:rPr>
        <w:t>屏東大學合併後員額減少一節，</w:t>
      </w:r>
      <w:proofErr w:type="gramStart"/>
      <w:r w:rsidRPr="005B464B">
        <w:rPr>
          <w:rFonts w:hint="eastAsia"/>
          <w:kern w:val="2"/>
          <w:sz w:val="24"/>
          <w:szCs w:val="24"/>
        </w:rPr>
        <w:t>查據教育部</w:t>
      </w:r>
      <w:proofErr w:type="gramEnd"/>
      <w:r w:rsidRPr="005B464B">
        <w:rPr>
          <w:rFonts w:hint="eastAsia"/>
          <w:kern w:val="2"/>
          <w:sz w:val="24"/>
          <w:szCs w:val="24"/>
        </w:rPr>
        <w:t>稱，</w:t>
      </w:r>
      <w:r w:rsidR="003F1604" w:rsidRPr="005B464B">
        <w:rPr>
          <w:rFonts w:hint="eastAsia"/>
          <w:kern w:val="2"/>
          <w:sz w:val="24"/>
          <w:szCs w:val="24"/>
        </w:rPr>
        <w:t>國立</w:t>
      </w:r>
      <w:r w:rsidRPr="005B464B">
        <w:rPr>
          <w:rFonts w:hint="eastAsia"/>
          <w:kern w:val="2"/>
          <w:sz w:val="24"/>
          <w:szCs w:val="24"/>
        </w:rPr>
        <w:t>屏東大學</w:t>
      </w:r>
      <w:r w:rsidR="003F1604" w:rsidRPr="005B464B">
        <w:rPr>
          <w:rFonts w:hint="eastAsia"/>
          <w:kern w:val="2"/>
          <w:sz w:val="24"/>
          <w:szCs w:val="24"/>
        </w:rPr>
        <w:t>兼任教師減少</w:t>
      </w:r>
      <w:r w:rsidRPr="005B464B">
        <w:rPr>
          <w:rFonts w:hint="eastAsia"/>
          <w:kern w:val="2"/>
          <w:sz w:val="24"/>
          <w:szCs w:val="24"/>
        </w:rPr>
        <w:t>係因進行整體性系所調整。</w:t>
      </w:r>
    </w:p>
    <w:p w:rsidR="007E19C5" w:rsidRPr="005B464B" w:rsidRDefault="007E19C5" w:rsidP="007E19C5">
      <w:pPr>
        <w:pStyle w:val="3"/>
        <w:numPr>
          <w:ilvl w:val="0"/>
          <w:numId w:val="0"/>
        </w:numPr>
        <w:spacing w:line="240" w:lineRule="exact"/>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7E19C5" w:rsidRDefault="007E19C5" w:rsidP="007E19C5">
      <w:pPr>
        <w:pStyle w:val="3"/>
        <w:numPr>
          <w:ilvl w:val="0"/>
          <w:numId w:val="0"/>
        </w:numPr>
        <w:spacing w:line="240" w:lineRule="exact"/>
      </w:pPr>
    </w:p>
    <w:p w:rsidR="00CA52A1" w:rsidRPr="005B464B" w:rsidRDefault="00CA52A1" w:rsidP="007E19C5">
      <w:pPr>
        <w:pStyle w:val="3"/>
        <w:numPr>
          <w:ilvl w:val="0"/>
          <w:numId w:val="0"/>
        </w:numPr>
        <w:spacing w:line="240" w:lineRule="exact"/>
      </w:pPr>
    </w:p>
    <w:p w:rsidR="007E19C5" w:rsidRPr="005B464B" w:rsidRDefault="007E19C5" w:rsidP="007E19C5">
      <w:pPr>
        <w:pStyle w:val="a3"/>
        <w:spacing w:line="400" w:lineRule="exact"/>
        <w:jc w:val="center"/>
      </w:pPr>
      <w:r w:rsidRPr="005B464B">
        <w:rPr>
          <w:rFonts w:hint="eastAsia"/>
          <w:b/>
        </w:rPr>
        <w:lastRenderedPageBreak/>
        <w:t>公立大學合併案職員人數變化情形表</w:t>
      </w:r>
    </w:p>
    <w:tbl>
      <w:tblPr>
        <w:tblStyle w:val="afb"/>
        <w:tblW w:w="5000" w:type="pct"/>
        <w:tblLook w:val="04A0" w:firstRow="1" w:lastRow="0" w:firstColumn="1" w:lastColumn="0" w:noHBand="0" w:noVBand="1"/>
      </w:tblPr>
      <w:tblGrid>
        <w:gridCol w:w="1809"/>
        <w:gridCol w:w="2836"/>
        <w:gridCol w:w="1134"/>
        <w:gridCol w:w="1560"/>
        <w:gridCol w:w="1721"/>
      </w:tblGrid>
      <w:tr w:rsidR="00E53741" w:rsidRPr="005B464B" w:rsidTr="004A722F">
        <w:trPr>
          <w:tblHeader/>
        </w:trPr>
        <w:tc>
          <w:tcPr>
            <w:tcW w:w="998" w:type="pct"/>
            <w:vAlign w:val="center"/>
          </w:tcPr>
          <w:p w:rsidR="007E19C5" w:rsidRPr="005B464B" w:rsidRDefault="007E19C5" w:rsidP="004A722F">
            <w:pPr>
              <w:jc w:val="center"/>
              <w:rPr>
                <w:rFonts w:hAnsi="標楷體"/>
                <w:b/>
                <w:sz w:val="24"/>
                <w:szCs w:val="24"/>
              </w:rPr>
            </w:pPr>
            <w:proofErr w:type="gramStart"/>
            <w:r w:rsidRPr="005B464B">
              <w:rPr>
                <w:rFonts w:hAnsi="標楷體"/>
                <w:b/>
                <w:sz w:val="24"/>
                <w:szCs w:val="24"/>
              </w:rPr>
              <w:t>合併後校名</w:t>
            </w:r>
            <w:proofErr w:type="gramEnd"/>
          </w:p>
        </w:tc>
        <w:tc>
          <w:tcPr>
            <w:tcW w:w="2191" w:type="pct"/>
            <w:gridSpan w:val="2"/>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合併前原學校職員人數</w:t>
            </w:r>
          </w:p>
        </w:tc>
        <w:tc>
          <w:tcPr>
            <w:tcW w:w="861" w:type="pc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105學年度</w:t>
            </w:r>
          </w:p>
          <w:p w:rsidR="007E19C5" w:rsidRPr="005B464B" w:rsidRDefault="007E19C5" w:rsidP="004A722F">
            <w:pPr>
              <w:jc w:val="center"/>
              <w:rPr>
                <w:rFonts w:hAnsi="標楷體"/>
                <w:b/>
                <w:sz w:val="24"/>
                <w:szCs w:val="24"/>
              </w:rPr>
            </w:pPr>
            <w:r w:rsidRPr="005B464B">
              <w:rPr>
                <w:rFonts w:hAnsi="標楷體" w:hint="eastAsia"/>
                <w:b/>
                <w:sz w:val="24"/>
                <w:szCs w:val="24"/>
              </w:rPr>
              <w:t>職員人數</w:t>
            </w:r>
          </w:p>
        </w:tc>
        <w:tc>
          <w:tcPr>
            <w:tcW w:w="950" w:type="pct"/>
            <w:shd w:val="clear" w:color="auto" w:fill="B8CCE4" w:themeFill="accent1" w:themeFillTint="66"/>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變化幅度</w:t>
            </w:r>
          </w:p>
          <w:p w:rsidR="007E19C5" w:rsidRPr="005B464B" w:rsidRDefault="007E19C5" w:rsidP="004A722F">
            <w:pPr>
              <w:jc w:val="center"/>
              <w:rPr>
                <w:rFonts w:hAnsi="標楷體"/>
                <w:b/>
                <w:sz w:val="24"/>
                <w:szCs w:val="24"/>
              </w:rPr>
            </w:pPr>
            <w:r w:rsidRPr="005B464B">
              <w:rPr>
                <w:rFonts w:hAnsi="標楷體" w:hint="eastAsia"/>
                <w:b/>
                <w:sz w:val="24"/>
                <w:szCs w:val="24"/>
              </w:rPr>
              <w:t>(單位：人)</w:t>
            </w: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國立嘉義大學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國立嘉義師範學院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95</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343</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+110</w:t>
            </w:r>
          </w:p>
        </w:tc>
      </w:tr>
      <w:tr w:rsidR="00E53741" w:rsidRPr="005B464B" w:rsidTr="004A722F">
        <w:trPr>
          <w:trHeight w:val="351"/>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138</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387"/>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國立臺灣</w:t>
            </w:r>
            <w:r w:rsidRPr="005B464B">
              <w:rPr>
                <w:rFonts w:hAnsi="標楷體"/>
                <w:b/>
                <w:sz w:val="24"/>
                <w:szCs w:val="24"/>
              </w:rPr>
              <w:br/>
            </w:r>
            <w:r w:rsidRPr="005B464B">
              <w:rPr>
                <w:rFonts w:hAnsi="標楷體" w:hint="eastAsia"/>
                <w:b/>
                <w:sz w:val="24"/>
                <w:szCs w:val="24"/>
              </w:rPr>
              <w:t>師範大學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國立臺灣師範大學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576</w:t>
            </w:r>
          </w:p>
        </w:tc>
        <w:tc>
          <w:tcPr>
            <w:tcW w:w="861" w:type="pct"/>
            <w:vMerge w:val="restart"/>
            <w:vAlign w:val="center"/>
          </w:tcPr>
          <w:p w:rsidR="007E19C5" w:rsidRPr="005B464B" w:rsidRDefault="007E19C5" w:rsidP="004A722F">
            <w:pPr>
              <w:jc w:val="center"/>
              <w:rPr>
                <w:rFonts w:hAnsi="標楷體"/>
                <w:sz w:val="28"/>
                <w:szCs w:val="28"/>
                <w:vertAlign w:val="superscript"/>
              </w:rPr>
            </w:pPr>
            <w:r w:rsidRPr="005B464B">
              <w:rPr>
                <w:rFonts w:hAnsi="標楷體" w:hint="eastAsia"/>
                <w:sz w:val="28"/>
                <w:szCs w:val="28"/>
              </w:rPr>
              <w:t>853</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+118</w:t>
            </w:r>
          </w:p>
        </w:tc>
      </w:tr>
      <w:tr w:rsidR="00E53741" w:rsidRPr="005B464B" w:rsidTr="004A722F">
        <w:trPr>
          <w:trHeight w:val="228"/>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國立僑生大學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159</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國立東華大學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國立東華大學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278</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386</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-24</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國立花蓮教育大學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132</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81"/>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w:t>
            </w:r>
            <w:proofErr w:type="gramStart"/>
            <w:r w:rsidRPr="005B464B">
              <w:rPr>
                <w:rFonts w:hAnsi="標楷體"/>
                <w:b/>
                <w:sz w:val="24"/>
                <w:szCs w:val="24"/>
              </w:rPr>
              <w:t>臺</w:t>
            </w:r>
            <w:proofErr w:type="gramEnd"/>
            <w:r w:rsidRPr="005B464B">
              <w:rPr>
                <w:rFonts w:hAnsi="標楷體"/>
                <w:b/>
                <w:sz w:val="24"/>
                <w:szCs w:val="24"/>
              </w:rPr>
              <w:t>中</w:t>
            </w:r>
            <w:r w:rsidRPr="005B464B">
              <w:rPr>
                <w:rFonts w:hAnsi="標楷體" w:hint="eastAsia"/>
                <w:b/>
                <w:sz w:val="24"/>
                <w:szCs w:val="24"/>
              </w:rPr>
              <w:br/>
            </w:r>
            <w:r w:rsidRPr="005B464B">
              <w:rPr>
                <w:rFonts w:hAnsi="標楷體"/>
                <w:b/>
                <w:sz w:val="24"/>
                <w:szCs w:val="24"/>
              </w:rPr>
              <w:t>科技大學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223</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302</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+7</w:t>
            </w:r>
          </w:p>
        </w:tc>
      </w:tr>
      <w:tr w:rsidR="00E53741" w:rsidRPr="005B464B" w:rsidTr="004A722F">
        <w:trPr>
          <w:trHeight w:val="443"/>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中護理專科學校</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72</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國立屏東大學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161</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223</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-9</w:t>
            </w:r>
            <w:r w:rsidR="009F3CDF" w:rsidRPr="005B464B">
              <w:rPr>
                <w:rFonts w:hAnsi="標楷體" w:hint="eastAsia"/>
                <w:sz w:val="28"/>
                <w:szCs w:val="28"/>
                <w:vertAlign w:val="superscript"/>
              </w:rPr>
              <w:t xml:space="preserve"> a</w:t>
            </w:r>
          </w:p>
        </w:tc>
      </w:tr>
      <w:tr w:rsidR="00E53741" w:rsidRPr="005B464B" w:rsidTr="004A722F">
        <w:trPr>
          <w:trHeight w:val="469"/>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國立屏東商業技術學院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71</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臺北市立大學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88</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121</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臺北市立體育學院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34</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bl>
    <w:p w:rsidR="009F3CDF" w:rsidRPr="009F3CDF" w:rsidRDefault="009F3CDF" w:rsidP="009F3CDF">
      <w:pPr>
        <w:pStyle w:val="3"/>
        <w:numPr>
          <w:ilvl w:val="0"/>
          <w:numId w:val="0"/>
        </w:numPr>
        <w:spacing w:line="240" w:lineRule="exact"/>
        <w:ind w:left="567" w:hangingChars="218" w:hanging="567"/>
        <w:rPr>
          <w:sz w:val="24"/>
          <w:szCs w:val="24"/>
        </w:rPr>
      </w:pPr>
      <w:proofErr w:type="gramStart"/>
      <w:r w:rsidRPr="005B464B">
        <w:rPr>
          <w:rFonts w:hint="eastAsia"/>
          <w:sz w:val="24"/>
          <w:szCs w:val="24"/>
        </w:rPr>
        <w:t>註</w:t>
      </w:r>
      <w:proofErr w:type="gramEnd"/>
      <w:r w:rsidRPr="005B464B">
        <w:rPr>
          <w:rFonts w:hint="eastAsia"/>
          <w:kern w:val="2"/>
          <w:sz w:val="24"/>
          <w:szCs w:val="24"/>
        </w:rPr>
        <w:t>a</w:t>
      </w:r>
      <w:r w:rsidRPr="005B464B">
        <w:rPr>
          <w:rFonts w:hint="eastAsia"/>
          <w:sz w:val="24"/>
          <w:szCs w:val="24"/>
        </w:rPr>
        <w:t>：</w:t>
      </w:r>
      <w:r w:rsidRPr="005B464B">
        <w:rPr>
          <w:rFonts w:hint="eastAsia"/>
          <w:kern w:val="2"/>
          <w:sz w:val="24"/>
          <w:szCs w:val="24"/>
        </w:rPr>
        <w:t>國立屏東大學合併後員額減少一節，</w:t>
      </w:r>
      <w:proofErr w:type="gramStart"/>
      <w:r w:rsidRPr="005B464B">
        <w:rPr>
          <w:rFonts w:hint="eastAsia"/>
          <w:kern w:val="2"/>
          <w:sz w:val="24"/>
          <w:szCs w:val="24"/>
        </w:rPr>
        <w:t>查據教育部</w:t>
      </w:r>
      <w:proofErr w:type="gramEnd"/>
      <w:r w:rsidRPr="005B464B">
        <w:rPr>
          <w:rFonts w:hint="eastAsia"/>
          <w:kern w:val="2"/>
          <w:sz w:val="24"/>
          <w:szCs w:val="24"/>
        </w:rPr>
        <w:t>稱，國立屏東大學</w:t>
      </w:r>
      <w:r>
        <w:rPr>
          <w:rFonts w:hint="eastAsia"/>
          <w:kern w:val="2"/>
          <w:sz w:val="24"/>
          <w:szCs w:val="24"/>
        </w:rPr>
        <w:t>職員人數</w:t>
      </w:r>
      <w:r w:rsidRPr="005B464B">
        <w:rPr>
          <w:rFonts w:hint="eastAsia"/>
          <w:kern w:val="2"/>
          <w:sz w:val="24"/>
          <w:szCs w:val="24"/>
        </w:rPr>
        <w:t>減少係因適逢部分職員人力退休整</w:t>
      </w:r>
      <w:proofErr w:type="gramStart"/>
      <w:r w:rsidRPr="005B464B">
        <w:rPr>
          <w:rFonts w:hint="eastAsia"/>
          <w:kern w:val="2"/>
          <w:sz w:val="24"/>
          <w:szCs w:val="24"/>
        </w:rPr>
        <w:t>併</w:t>
      </w:r>
      <w:proofErr w:type="gramEnd"/>
      <w:r w:rsidRPr="005B464B">
        <w:rPr>
          <w:rFonts w:hint="eastAsia"/>
          <w:kern w:val="2"/>
          <w:sz w:val="24"/>
          <w:szCs w:val="24"/>
        </w:rPr>
        <w:t>所致。</w:t>
      </w:r>
    </w:p>
    <w:p w:rsidR="007E19C5" w:rsidRPr="005B464B" w:rsidRDefault="007E19C5" w:rsidP="007E19C5">
      <w:pPr>
        <w:pStyle w:val="3"/>
        <w:numPr>
          <w:ilvl w:val="0"/>
          <w:numId w:val="0"/>
        </w:numPr>
        <w:spacing w:line="240" w:lineRule="exact"/>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7E19C5" w:rsidRDefault="007E19C5" w:rsidP="007E19C5">
      <w:pPr>
        <w:pStyle w:val="3"/>
        <w:numPr>
          <w:ilvl w:val="0"/>
          <w:numId w:val="0"/>
        </w:numPr>
        <w:spacing w:line="240" w:lineRule="exact"/>
      </w:pPr>
    </w:p>
    <w:p w:rsidR="00CA52A1" w:rsidRDefault="00CA52A1" w:rsidP="007E19C5">
      <w:pPr>
        <w:pStyle w:val="3"/>
        <w:numPr>
          <w:ilvl w:val="0"/>
          <w:numId w:val="0"/>
        </w:numPr>
        <w:spacing w:line="240" w:lineRule="exact"/>
      </w:pPr>
    </w:p>
    <w:p w:rsidR="00CA52A1" w:rsidRPr="005B464B" w:rsidRDefault="00CA52A1" w:rsidP="007E19C5">
      <w:pPr>
        <w:pStyle w:val="3"/>
        <w:numPr>
          <w:ilvl w:val="0"/>
          <w:numId w:val="0"/>
        </w:numPr>
        <w:spacing w:line="240" w:lineRule="exact"/>
      </w:pPr>
    </w:p>
    <w:p w:rsidR="007E19C5" w:rsidRPr="005B464B" w:rsidRDefault="007E19C5" w:rsidP="007E19C5">
      <w:pPr>
        <w:pStyle w:val="a3"/>
        <w:spacing w:line="400" w:lineRule="exact"/>
        <w:jc w:val="center"/>
      </w:pPr>
      <w:r w:rsidRPr="005B464B">
        <w:rPr>
          <w:rFonts w:hint="eastAsia"/>
          <w:b/>
        </w:rPr>
        <w:t>公立大學合併案學院數量變化情形表</w:t>
      </w:r>
    </w:p>
    <w:tbl>
      <w:tblPr>
        <w:tblStyle w:val="afb"/>
        <w:tblW w:w="5000" w:type="pct"/>
        <w:tblLook w:val="04A0" w:firstRow="1" w:lastRow="0" w:firstColumn="1" w:lastColumn="0" w:noHBand="0" w:noVBand="1"/>
      </w:tblPr>
      <w:tblGrid>
        <w:gridCol w:w="1809"/>
        <w:gridCol w:w="2836"/>
        <w:gridCol w:w="1134"/>
        <w:gridCol w:w="1560"/>
        <w:gridCol w:w="1721"/>
      </w:tblGrid>
      <w:tr w:rsidR="00E53741" w:rsidRPr="005B464B" w:rsidTr="004A722F">
        <w:trPr>
          <w:tblHeader/>
        </w:trPr>
        <w:tc>
          <w:tcPr>
            <w:tcW w:w="998" w:type="pct"/>
            <w:vAlign w:val="center"/>
          </w:tcPr>
          <w:p w:rsidR="007E19C5" w:rsidRPr="005B464B" w:rsidRDefault="007E19C5" w:rsidP="004A722F">
            <w:pPr>
              <w:jc w:val="center"/>
              <w:rPr>
                <w:rFonts w:hAnsi="標楷體"/>
                <w:b/>
                <w:sz w:val="24"/>
                <w:szCs w:val="24"/>
              </w:rPr>
            </w:pPr>
            <w:proofErr w:type="gramStart"/>
            <w:r w:rsidRPr="005B464B">
              <w:rPr>
                <w:rFonts w:hAnsi="標楷體"/>
                <w:b/>
                <w:sz w:val="24"/>
                <w:szCs w:val="24"/>
              </w:rPr>
              <w:t>合併後校名</w:t>
            </w:r>
            <w:proofErr w:type="gramEnd"/>
          </w:p>
        </w:tc>
        <w:tc>
          <w:tcPr>
            <w:tcW w:w="2191" w:type="pct"/>
            <w:gridSpan w:val="2"/>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合併前原學校學院數量</w:t>
            </w:r>
          </w:p>
        </w:tc>
        <w:tc>
          <w:tcPr>
            <w:tcW w:w="861" w:type="pc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105學年度</w:t>
            </w:r>
          </w:p>
          <w:p w:rsidR="007E19C5" w:rsidRPr="005B464B" w:rsidRDefault="007E19C5" w:rsidP="004A722F">
            <w:pPr>
              <w:jc w:val="center"/>
              <w:rPr>
                <w:rFonts w:hAnsi="標楷體"/>
                <w:b/>
                <w:sz w:val="24"/>
                <w:szCs w:val="24"/>
              </w:rPr>
            </w:pPr>
            <w:r w:rsidRPr="005B464B">
              <w:rPr>
                <w:rFonts w:hAnsi="標楷體" w:hint="eastAsia"/>
                <w:b/>
                <w:sz w:val="24"/>
                <w:szCs w:val="24"/>
              </w:rPr>
              <w:t>學院數</w:t>
            </w:r>
          </w:p>
        </w:tc>
        <w:tc>
          <w:tcPr>
            <w:tcW w:w="950" w:type="pct"/>
            <w:shd w:val="clear" w:color="auto" w:fill="B8CCE4" w:themeFill="accent1" w:themeFillTint="66"/>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變化幅度</w:t>
            </w:r>
          </w:p>
          <w:p w:rsidR="007E19C5" w:rsidRPr="005B464B" w:rsidRDefault="007E19C5" w:rsidP="004A722F">
            <w:pPr>
              <w:jc w:val="center"/>
              <w:rPr>
                <w:rFonts w:hAnsi="標楷體"/>
                <w:b/>
                <w:sz w:val="24"/>
                <w:szCs w:val="24"/>
              </w:rPr>
            </w:pPr>
            <w:r w:rsidRPr="005B464B">
              <w:rPr>
                <w:rFonts w:hAnsi="標楷體" w:hint="eastAsia"/>
                <w:b/>
                <w:sz w:val="24"/>
                <w:szCs w:val="24"/>
              </w:rPr>
              <w:t>(單位：</w:t>
            </w:r>
            <w:proofErr w:type="gramStart"/>
            <w:r w:rsidRPr="005B464B">
              <w:rPr>
                <w:rFonts w:hAnsi="標楷體" w:hint="eastAsia"/>
                <w:b/>
                <w:sz w:val="24"/>
                <w:szCs w:val="24"/>
              </w:rPr>
              <w:t>個</w:t>
            </w:r>
            <w:proofErr w:type="gramEnd"/>
            <w:r w:rsidRPr="005B464B">
              <w:rPr>
                <w:rFonts w:hAnsi="標楷體" w:hint="eastAsia"/>
                <w:b/>
                <w:sz w:val="24"/>
                <w:szCs w:val="24"/>
              </w:rPr>
              <w:t>)</w:t>
            </w: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國立嘉義大學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國立嘉義師範學院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6</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+4</w:t>
            </w:r>
          </w:p>
        </w:tc>
      </w:tr>
      <w:tr w:rsidR="00E53741" w:rsidRPr="005B464B" w:rsidTr="004A722F">
        <w:trPr>
          <w:trHeight w:val="351"/>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國立嘉義技術學院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387"/>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國立臺灣</w:t>
            </w:r>
            <w:r w:rsidRPr="005B464B">
              <w:rPr>
                <w:rFonts w:hAnsi="標楷體"/>
                <w:b/>
                <w:sz w:val="24"/>
                <w:szCs w:val="24"/>
              </w:rPr>
              <w:br/>
            </w:r>
            <w:r w:rsidRPr="005B464B">
              <w:rPr>
                <w:rFonts w:hAnsi="標楷體" w:hint="eastAsia"/>
                <w:b/>
                <w:sz w:val="24"/>
                <w:szCs w:val="24"/>
              </w:rPr>
              <w:t>師範大學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國立臺灣師範大學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6</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9</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+3</w:t>
            </w:r>
          </w:p>
        </w:tc>
      </w:tr>
      <w:tr w:rsidR="00E53741" w:rsidRPr="005B464B" w:rsidTr="004A722F">
        <w:trPr>
          <w:trHeight w:val="228"/>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國立僑生大學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0</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國立東華大學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國立東華大學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5</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8</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國立花蓮教育大學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4</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81"/>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w:t>
            </w:r>
            <w:proofErr w:type="gramStart"/>
            <w:r w:rsidRPr="005B464B">
              <w:rPr>
                <w:rFonts w:hAnsi="標楷體"/>
                <w:b/>
                <w:sz w:val="24"/>
                <w:szCs w:val="24"/>
              </w:rPr>
              <w:t>臺</w:t>
            </w:r>
            <w:proofErr w:type="gramEnd"/>
            <w:r w:rsidRPr="005B464B">
              <w:rPr>
                <w:rFonts w:hAnsi="標楷體"/>
                <w:b/>
                <w:sz w:val="24"/>
                <w:szCs w:val="24"/>
              </w:rPr>
              <w:t>中</w:t>
            </w:r>
            <w:r w:rsidRPr="005B464B">
              <w:rPr>
                <w:rFonts w:hAnsi="標楷體" w:hint="eastAsia"/>
                <w:b/>
                <w:sz w:val="24"/>
                <w:szCs w:val="24"/>
              </w:rPr>
              <w:br/>
            </w:r>
            <w:r w:rsidRPr="005B464B">
              <w:rPr>
                <w:rFonts w:hAnsi="標楷體"/>
                <w:b/>
                <w:sz w:val="24"/>
                <w:szCs w:val="24"/>
              </w:rPr>
              <w:t>科技大學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5學群</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5</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0</w:t>
            </w:r>
          </w:p>
        </w:tc>
      </w:tr>
      <w:tr w:rsidR="00E53741" w:rsidRPr="005B464B" w:rsidTr="004A722F">
        <w:trPr>
          <w:trHeight w:val="407"/>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中護理專科學校</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0</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64"/>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b/>
                <w:sz w:val="24"/>
                <w:szCs w:val="24"/>
              </w:rPr>
              <w:t>國立屏東大學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5</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r>
      <w:tr w:rsidR="00E53741" w:rsidRPr="005B464B" w:rsidTr="004A722F">
        <w:trPr>
          <w:trHeight w:val="47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國立屏東商業技術學院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r w:rsidR="00E53741" w:rsidRPr="005B464B" w:rsidTr="004A722F">
        <w:trPr>
          <w:trHeight w:val="299"/>
        </w:trPr>
        <w:tc>
          <w:tcPr>
            <w:tcW w:w="998" w:type="pct"/>
            <w:vMerge w:val="restart"/>
            <w:vAlign w:val="center"/>
          </w:tcPr>
          <w:p w:rsidR="007E19C5" w:rsidRPr="005B464B" w:rsidRDefault="007E19C5" w:rsidP="004A722F">
            <w:pPr>
              <w:jc w:val="center"/>
              <w:rPr>
                <w:rFonts w:hAnsi="標楷體"/>
                <w:b/>
                <w:sz w:val="24"/>
                <w:szCs w:val="24"/>
              </w:rPr>
            </w:pPr>
            <w:r w:rsidRPr="005B464B">
              <w:rPr>
                <w:rFonts w:hAnsi="標楷體" w:hint="eastAsia"/>
                <w:b/>
                <w:sz w:val="24"/>
                <w:szCs w:val="24"/>
              </w:rPr>
              <w:t>臺北市立大學</w:t>
            </w: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臺北市立教育大學</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3</w:t>
            </w:r>
          </w:p>
        </w:tc>
        <w:tc>
          <w:tcPr>
            <w:tcW w:w="861" w:type="pct"/>
            <w:vMerge w:val="restart"/>
            <w:vAlign w:val="center"/>
          </w:tcPr>
          <w:p w:rsidR="007E19C5" w:rsidRPr="005B464B" w:rsidRDefault="007E19C5" w:rsidP="004A722F">
            <w:pPr>
              <w:jc w:val="center"/>
              <w:rPr>
                <w:rFonts w:hAnsi="標楷體"/>
                <w:sz w:val="28"/>
                <w:szCs w:val="28"/>
              </w:rPr>
            </w:pPr>
            <w:r w:rsidRPr="005B464B">
              <w:rPr>
                <w:rFonts w:hAnsi="標楷體" w:hint="eastAsia"/>
                <w:sz w:val="28"/>
                <w:szCs w:val="28"/>
              </w:rPr>
              <w:t>5</w:t>
            </w:r>
          </w:p>
        </w:tc>
        <w:tc>
          <w:tcPr>
            <w:tcW w:w="950" w:type="pct"/>
            <w:vMerge w:val="restart"/>
            <w:shd w:val="clear" w:color="auto" w:fill="B8CCE4" w:themeFill="accent1" w:themeFillTint="66"/>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r>
      <w:tr w:rsidR="00E53741" w:rsidRPr="005B464B" w:rsidTr="004A722F">
        <w:trPr>
          <w:trHeight w:val="316"/>
        </w:trPr>
        <w:tc>
          <w:tcPr>
            <w:tcW w:w="998" w:type="pct"/>
            <w:vMerge/>
            <w:vAlign w:val="center"/>
          </w:tcPr>
          <w:p w:rsidR="007E19C5" w:rsidRPr="005B464B" w:rsidRDefault="007E19C5" w:rsidP="004A722F">
            <w:pPr>
              <w:jc w:val="center"/>
              <w:rPr>
                <w:rFonts w:hAnsi="標楷體"/>
                <w:b/>
                <w:sz w:val="24"/>
                <w:szCs w:val="24"/>
              </w:rPr>
            </w:pPr>
          </w:p>
        </w:tc>
        <w:tc>
          <w:tcPr>
            <w:tcW w:w="1565" w:type="pct"/>
            <w:vAlign w:val="center"/>
          </w:tcPr>
          <w:p w:rsidR="007E19C5" w:rsidRPr="005B464B" w:rsidRDefault="007E19C5" w:rsidP="004A722F">
            <w:pPr>
              <w:jc w:val="center"/>
              <w:rPr>
                <w:rFonts w:hAnsi="標楷體"/>
                <w:sz w:val="24"/>
                <w:szCs w:val="24"/>
              </w:rPr>
            </w:pPr>
            <w:r w:rsidRPr="005B464B">
              <w:rPr>
                <w:rFonts w:hAnsi="標楷體" w:hint="eastAsia"/>
                <w:sz w:val="24"/>
                <w:szCs w:val="24"/>
              </w:rPr>
              <w:t>臺北市立體育學院</w:t>
            </w:r>
          </w:p>
        </w:tc>
        <w:tc>
          <w:tcPr>
            <w:tcW w:w="626" w:type="pct"/>
            <w:vAlign w:val="center"/>
          </w:tcPr>
          <w:p w:rsidR="007E19C5" w:rsidRPr="005B464B" w:rsidRDefault="007E19C5" w:rsidP="004A722F">
            <w:pPr>
              <w:jc w:val="center"/>
              <w:rPr>
                <w:rFonts w:hAnsi="標楷體"/>
                <w:sz w:val="28"/>
                <w:szCs w:val="28"/>
              </w:rPr>
            </w:pPr>
            <w:r w:rsidRPr="005B464B">
              <w:rPr>
                <w:rFonts w:hAnsi="標楷體" w:hint="eastAsia"/>
                <w:sz w:val="28"/>
                <w:szCs w:val="28"/>
              </w:rPr>
              <w:t>1</w:t>
            </w:r>
          </w:p>
        </w:tc>
        <w:tc>
          <w:tcPr>
            <w:tcW w:w="861" w:type="pct"/>
            <w:vMerge/>
            <w:vAlign w:val="center"/>
          </w:tcPr>
          <w:p w:rsidR="007E19C5" w:rsidRPr="005B464B" w:rsidRDefault="007E19C5" w:rsidP="004A722F">
            <w:pPr>
              <w:jc w:val="center"/>
              <w:rPr>
                <w:rFonts w:hAnsi="標楷體"/>
                <w:sz w:val="28"/>
                <w:szCs w:val="28"/>
              </w:rPr>
            </w:pPr>
          </w:p>
        </w:tc>
        <w:tc>
          <w:tcPr>
            <w:tcW w:w="950" w:type="pct"/>
            <w:vMerge/>
            <w:shd w:val="clear" w:color="auto" w:fill="B8CCE4" w:themeFill="accent1" w:themeFillTint="66"/>
            <w:vAlign w:val="center"/>
          </w:tcPr>
          <w:p w:rsidR="007E19C5" w:rsidRPr="005B464B" w:rsidRDefault="007E19C5" w:rsidP="004A722F">
            <w:pPr>
              <w:jc w:val="center"/>
              <w:rPr>
                <w:rFonts w:hAnsi="標楷體"/>
                <w:sz w:val="28"/>
                <w:szCs w:val="28"/>
              </w:rPr>
            </w:pPr>
          </w:p>
        </w:tc>
      </w:tr>
    </w:tbl>
    <w:p w:rsidR="007E19C5" w:rsidRPr="005B464B" w:rsidRDefault="007E19C5" w:rsidP="007E19C5">
      <w:pPr>
        <w:pStyle w:val="3"/>
        <w:numPr>
          <w:ilvl w:val="0"/>
          <w:numId w:val="0"/>
        </w:numPr>
        <w:spacing w:line="240" w:lineRule="exact"/>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7E19C5" w:rsidRPr="005B464B" w:rsidRDefault="007E19C5" w:rsidP="007E19C5">
      <w:pPr>
        <w:pStyle w:val="3"/>
        <w:numPr>
          <w:ilvl w:val="0"/>
          <w:numId w:val="0"/>
        </w:numPr>
        <w:spacing w:line="240" w:lineRule="exact"/>
      </w:pPr>
    </w:p>
    <w:p w:rsidR="007E19C5" w:rsidRPr="005B464B" w:rsidRDefault="007E19C5" w:rsidP="007E19C5">
      <w:pPr>
        <w:pStyle w:val="a3"/>
        <w:spacing w:line="400" w:lineRule="exact"/>
        <w:jc w:val="center"/>
        <w:rPr>
          <w:rFonts w:hAnsi="Arial"/>
          <w:sz w:val="32"/>
          <w:szCs w:val="36"/>
        </w:rPr>
      </w:pPr>
      <w:r w:rsidRPr="005B464B">
        <w:rPr>
          <w:rFonts w:hint="eastAsia"/>
          <w:b/>
        </w:rPr>
        <w:lastRenderedPageBreak/>
        <w:t>公立大學合併案校務基金決算數變化情形表</w:t>
      </w:r>
    </w:p>
    <w:tbl>
      <w:tblPr>
        <w:tblStyle w:val="afb"/>
        <w:tblW w:w="5301" w:type="pct"/>
        <w:tblLook w:val="04A0" w:firstRow="1" w:lastRow="0" w:firstColumn="1" w:lastColumn="0" w:noHBand="0" w:noVBand="1"/>
      </w:tblPr>
      <w:tblGrid>
        <w:gridCol w:w="1807"/>
        <w:gridCol w:w="2417"/>
        <w:gridCol w:w="1702"/>
        <w:gridCol w:w="1771"/>
        <w:gridCol w:w="1908"/>
      </w:tblGrid>
      <w:tr w:rsidR="00E53741" w:rsidRPr="005B464B" w:rsidTr="00221AFA">
        <w:trPr>
          <w:tblHeader/>
        </w:trPr>
        <w:tc>
          <w:tcPr>
            <w:tcW w:w="941" w:type="pct"/>
            <w:shd w:val="clear" w:color="auto" w:fill="auto"/>
            <w:vAlign w:val="center"/>
          </w:tcPr>
          <w:p w:rsidR="00221AFA" w:rsidRPr="005B464B" w:rsidRDefault="00221AFA" w:rsidP="00221AFA">
            <w:pPr>
              <w:jc w:val="center"/>
              <w:rPr>
                <w:rFonts w:hAnsi="標楷體"/>
                <w:b/>
                <w:sz w:val="24"/>
                <w:szCs w:val="24"/>
              </w:rPr>
            </w:pPr>
            <w:proofErr w:type="gramStart"/>
            <w:r w:rsidRPr="005B464B">
              <w:rPr>
                <w:rFonts w:hAnsi="標楷體"/>
                <w:b/>
                <w:sz w:val="24"/>
                <w:szCs w:val="24"/>
              </w:rPr>
              <w:t>合併後校名</w:t>
            </w:r>
            <w:proofErr w:type="gramEnd"/>
          </w:p>
        </w:tc>
        <w:tc>
          <w:tcPr>
            <w:tcW w:w="2144" w:type="pct"/>
            <w:gridSpan w:val="2"/>
            <w:shd w:val="clear" w:color="auto" w:fill="auto"/>
            <w:vAlign w:val="center"/>
          </w:tcPr>
          <w:p w:rsidR="00221AFA" w:rsidRPr="005B464B" w:rsidRDefault="00221AFA" w:rsidP="00221AFA">
            <w:pPr>
              <w:jc w:val="center"/>
              <w:rPr>
                <w:rFonts w:hAnsi="標楷體"/>
                <w:b/>
                <w:sz w:val="24"/>
                <w:szCs w:val="24"/>
              </w:rPr>
            </w:pPr>
            <w:r w:rsidRPr="005B464B">
              <w:rPr>
                <w:rFonts w:hAnsi="標楷體" w:hint="eastAsia"/>
                <w:b/>
                <w:sz w:val="24"/>
                <w:szCs w:val="24"/>
              </w:rPr>
              <w:t>合併前原學校校務基金決算數</w:t>
            </w:r>
          </w:p>
        </w:tc>
        <w:tc>
          <w:tcPr>
            <w:tcW w:w="922" w:type="pct"/>
            <w:shd w:val="clear" w:color="auto" w:fill="auto"/>
            <w:vAlign w:val="center"/>
          </w:tcPr>
          <w:p w:rsidR="00221AFA" w:rsidRPr="005B464B" w:rsidRDefault="00221AFA" w:rsidP="00221AFA">
            <w:pPr>
              <w:jc w:val="center"/>
              <w:rPr>
                <w:rFonts w:hAnsi="標楷體"/>
                <w:b/>
                <w:sz w:val="24"/>
                <w:szCs w:val="24"/>
              </w:rPr>
            </w:pPr>
            <w:r w:rsidRPr="005B464B">
              <w:rPr>
                <w:rFonts w:hAnsi="標楷體" w:hint="eastAsia"/>
                <w:b/>
                <w:sz w:val="24"/>
                <w:szCs w:val="24"/>
              </w:rPr>
              <w:t>104學年度</w:t>
            </w:r>
          </w:p>
          <w:p w:rsidR="00221AFA" w:rsidRPr="005B464B" w:rsidRDefault="00221AFA" w:rsidP="00221AFA">
            <w:pPr>
              <w:jc w:val="center"/>
              <w:rPr>
                <w:rFonts w:hAnsi="標楷體"/>
                <w:b/>
                <w:sz w:val="24"/>
                <w:szCs w:val="24"/>
              </w:rPr>
            </w:pPr>
            <w:r w:rsidRPr="005B464B">
              <w:rPr>
                <w:rFonts w:hAnsi="標楷體" w:hint="eastAsia"/>
                <w:b/>
                <w:sz w:val="24"/>
                <w:szCs w:val="24"/>
              </w:rPr>
              <w:t>校務基金</w:t>
            </w:r>
          </w:p>
          <w:p w:rsidR="00221AFA" w:rsidRPr="005B464B" w:rsidRDefault="00221AFA" w:rsidP="00221AFA">
            <w:pPr>
              <w:jc w:val="center"/>
              <w:rPr>
                <w:rFonts w:hAnsi="標楷體"/>
                <w:b/>
                <w:sz w:val="24"/>
                <w:szCs w:val="24"/>
              </w:rPr>
            </w:pPr>
            <w:r w:rsidRPr="005B464B">
              <w:rPr>
                <w:rFonts w:hAnsi="標楷體" w:hint="eastAsia"/>
                <w:b/>
                <w:sz w:val="24"/>
                <w:szCs w:val="24"/>
              </w:rPr>
              <w:t>決算數</w:t>
            </w:r>
          </w:p>
        </w:tc>
        <w:tc>
          <w:tcPr>
            <w:tcW w:w="993" w:type="pct"/>
            <w:shd w:val="clear" w:color="auto" w:fill="auto"/>
            <w:vAlign w:val="center"/>
          </w:tcPr>
          <w:p w:rsidR="00221AFA" w:rsidRPr="005B464B" w:rsidRDefault="00221AFA" w:rsidP="00221AFA">
            <w:pPr>
              <w:jc w:val="center"/>
              <w:rPr>
                <w:rFonts w:hAnsi="標楷體"/>
                <w:b/>
                <w:sz w:val="24"/>
                <w:szCs w:val="24"/>
              </w:rPr>
            </w:pPr>
            <w:r w:rsidRPr="005B464B">
              <w:rPr>
                <w:rFonts w:hAnsi="標楷體" w:hint="eastAsia"/>
                <w:b/>
                <w:sz w:val="24"/>
                <w:szCs w:val="24"/>
              </w:rPr>
              <w:t>變化幅度</w:t>
            </w:r>
            <w:r w:rsidRPr="005B464B">
              <w:rPr>
                <w:rFonts w:hAnsi="標楷體" w:hint="eastAsia"/>
                <w:sz w:val="28"/>
                <w:szCs w:val="28"/>
                <w:vertAlign w:val="superscript"/>
              </w:rPr>
              <w:t>a</w:t>
            </w:r>
          </w:p>
          <w:p w:rsidR="00221AFA" w:rsidRPr="005B464B" w:rsidRDefault="00221AFA" w:rsidP="00221AFA">
            <w:pPr>
              <w:jc w:val="center"/>
              <w:rPr>
                <w:rFonts w:hAnsi="標楷體"/>
                <w:b/>
                <w:sz w:val="24"/>
                <w:szCs w:val="24"/>
              </w:rPr>
            </w:pPr>
            <w:r w:rsidRPr="005B464B">
              <w:rPr>
                <w:rFonts w:hAnsi="標楷體" w:hint="eastAsia"/>
                <w:b/>
                <w:sz w:val="24"/>
                <w:szCs w:val="24"/>
              </w:rPr>
              <w:t>(單位：元)</w:t>
            </w:r>
          </w:p>
        </w:tc>
      </w:tr>
      <w:tr w:rsidR="00E53741" w:rsidRPr="005B464B" w:rsidTr="00221AFA">
        <w:trPr>
          <w:trHeight w:val="264"/>
        </w:trPr>
        <w:tc>
          <w:tcPr>
            <w:tcW w:w="941" w:type="pct"/>
            <w:vMerge w:val="restart"/>
            <w:shd w:val="clear" w:color="auto" w:fill="auto"/>
            <w:vAlign w:val="center"/>
          </w:tcPr>
          <w:p w:rsidR="00221AFA" w:rsidRPr="005B464B" w:rsidRDefault="00221AFA" w:rsidP="00221AFA">
            <w:pPr>
              <w:jc w:val="center"/>
              <w:rPr>
                <w:rFonts w:hAnsi="標楷體"/>
                <w:b/>
                <w:sz w:val="24"/>
                <w:szCs w:val="24"/>
              </w:rPr>
            </w:pPr>
            <w:r w:rsidRPr="005B464B">
              <w:rPr>
                <w:rFonts w:hAnsi="標楷體" w:hint="eastAsia"/>
                <w:b/>
                <w:sz w:val="24"/>
                <w:szCs w:val="24"/>
              </w:rPr>
              <w:t>國立嘉義大學</w:t>
            </w: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國立嘉義師範學院</w:t>
            </w:r>
          </w:p>
        </w:tc>
        <w:tc>
          <w:tcPr>
            <w:tcW w:w="886"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-(單位決算)</w:t>
            </w:r>
          </w:p>
        </w:tc>
        <w:tc>
          <w:tcPr>
            <w:tcW w:w="922"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13億1,170萬</w:t>
            </w:r>
          </w:p>
        </w:tc>
        <w:tc>
          <w:tcPr>
            <w:tcW w:w="993"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+13億1,170萬</w:t>
            </w:r>
          </w:p>
        </w:tc>
      </w:tr>
      <w:tr w:rsidR="00E53741" w:rsidRPr="005B464B" w:rsidTr="00221AFA">
        <w:trPr>
          <w:trHeight w:val="351"/>
        </w:trPr>
        <w:tc>
          <w:tcPr>
            <w:tcW w:w="941" w:type="pct"/>
            <w:vMerge/>
            <w:shd w:val="clear" w:color="auto" w:fill="auto"/>
            <w:vAlign w:val="center"/>
          </w:tcPr>
          <w:p w:rsidR="00221AFA" w:rsidRPr="005B464B" w:rsidRDefault="00221AFA" w:rsidP="00221AFA">
            <w:pPr>
              <w:jc w:val="center"/>
              <w:rPr>
                <w:rFonts w:hAnsi="標楷體"/>
                <w:b/>
                <w:sz w:val="24"/>
                <w:szCs w:val="24"/>
              </w:rPr>
            </w:pP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國立嘉義技術學院</w:t>
            </w:r>
          </w:p>
        </w:tc>
        <w:tc>
          <w:tcPr>
            <w:tcW w:w="886"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-(單位決算)</w:t>
            </w:r>
          </w:p>
        </w:tc>
        <w:tc>
          <w:tcPr>
            <w:tcW w:w="922" w:type="pct"/>
            <w:vMerge/>
            <w:shd w:val="clear" w:color="auto" w:fill="auto"/>
            <w:vAlign w:val="center"/>
          </w:tcPr>
          <w:p w:rsidR="00221AFA" w:rsidRPr="005B464B" w:rsidRDefault="00221AFA" w:rsidP="00221AFA">
            <w:pPr>
              <w:jc w:val="center"/>
              <w:rPr>
                <w:rFonts w:hAnsi="標楷體"/>
                <w:sz w:val="26"/>
                <w:szCs w:val="26"/>
              </w:rPr>
            </w:pPr>
          </w:p>
        </w:tc>
        <w:tc>
          <w:tcPr>
            <w:tcW w:w="993" w:type="pct"/>
            <w:vMerge/>
            <w:shd w:val="clear" w:color="auto" w:fill="auto"/>
            <w:vAlign w:val="center"/>
          </w:tcPr>
          <w:p w:rsidR="00221AFA" w:rsidRPr="005B464B" w:rsidRDefault="00221AFA" w:rsidP="00221AFA">
            <w:pPr>
              <w:jc w:val="center"/>
              <w:rPr>
                <w:rFonts w:hAnsi="標楷體"/>
                <w:sz w:val="26"/>
                <w:szCs w:val="26"/>
              </w:rPr>
            </w:pPr>
          </w:p>
        </w:tc>
      </w:tr>
      <w:tr w:rsidR="00E53741" w:rsidRPr="005B464B" w:rsidTr="00221AFA">
        <w:trPr>
          <w:trHeight w:val="387"/>
        </w:trPr>
        <w:tc>
          <w:tcPr>
            <w:tcW w:w="941" w:type="pct"/>
            <w:vMerge w:val="restart"/>
            <w:shd w:val="clear" w:color="auto" w:fill="auto"/>
            <w:vAlign w:val="center"/>
          </w:tcPr>
          <w:p w:rsidR="00221AFA" w:rsidRPr="005B464B" w:rsidRDefault="00221AFA" w:rsidP="00221AFA">
            <w:pPr>
              <w:jc w:val="center"/>
              <w:rPr>
                <w:rFonts w:hAnsi="標楷體"/>
                <w:b/>
                <w:sz w:val="24"/>
                <w:szCs w:val="24"/>
              </w:rPr>
            </w:pPr>
            <w:r w:rsidRPr="005B464B">
              <w:rPr>
                <w:rFonts w:hAnsi="標楷體" w:hint="eastAsia"/>
                <w:b/>
                <w:sz w:val="24"/>
                <w:szCs w:val="24"/>
              </w:rPr>
              <w:t>國立臺灣</w:t>
            </w:r>
            <w:r w:rsidRPr="005B464B">
              <w:rPr>
                <w:rFonts w:hAnsi="標楷體"/>
                <w:b/>
                <w:sz w:val="24"/>
                <w:szCs w:val="24"/>
              </w:rPr>
              <w:br/>
            </w:r>
            <w:r w:rsidRPr="005B464B">
              <w:rPr>
                <w:rFonts w:hAnsi="標楷體" w:hint="eastAsia"/>
                <w:b/>
                <w:sz w:val="24"/>
                <w:szCs w:val="24"/>
              </w:rPr>
              <w:t>師範大學</w:t>
            </w: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國立臺灣師範大學</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13億8,484萬</w:t>
            </w:r>
          </w:p>
        </w:tc>
        <w:tc>
          <w:tcPr>
            <w:tcW w:w="922"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21億8,416萬</w:t>
            </w:r>
          </w:p>
        </w:tc>
        <w:tc>
          <w:tcPr>
            <w:tcW w:w="993"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+7億7,932萬</w:t>
            </w:r>
          </w:p>
        </w:tc>
      </w:tr>
      <w:tr w:rsidR="00E53741" w:rsidRPr="005B464B" w:rsidTr="00221AFA">
        <w:trPr>
          <w:trHeight w:val="228"/>
        </w:trPr>
        <w:tc>
          <w:tcPr>
            <w:tcW w:w="941" w:type="pct"/>
            <w:vMerge/>
            <w:shd w:val="clear" w:color="auto" w:fill="auto"/>
            <w:vAlign w:val="center"/>
          </w:tcPr>
          <w:p w:rsidR="00221AFA" w:rsidRPr="005B464B" w:rsidRDefault="00221AFA" w:rsidP="00221AFA">
            <w:pPr>
              <w:jc w:val="center"/>
              <w:rPr>
                <w:rFonts w:hAnsi="標楷體"/>
                <w:b/>
                <w:sz w:val="24"/>
                <w:szCs w:val="24"/>
              </w:rPr>
            </w:pP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國立僑生大學</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0</w:t>
            </w:r>
          </w:p>
        </w:tc>
        <w:tc>
          <w:tcPr>
            <w:tcW w:w="922" w:type="pct"/>
            <w:vMerge/>
            <w:shd w:val="clear" w:color="auto" w:fill="auto"/>
            <w:vAlign w:val="center"/>
          </w:tcPr>
          <w:p w:rsidR="00221AFA" w:rsidRPr="005B464B" w:rsidRDefault="00221AFA" w:rsidP="00221AFA">
            <w:pPr>
              <w:jc w:val="center"/>
              <w:rPr>
                <w:rFonts w:hAnsi="標楷體"/>
                <w:sz w:val="26"/>
                <w:szCs w:val="26"/>
              </w:rPr>
            </w:pPr>
          </w:p>
        </w:tc>
        <w:tc>
          <w:tcPr>
            <w:tcW w:w="993" w:type="pct"/>
            <w:vMerge/>
            <w:shd w:val="clear" w:color="auto" w:fill="auto"/>
            <w:vAlign w:val="center"/>
          </w:tcPr>
          <w:p w:rsidR="00221AFA" w:rsidRPr="005B464B" w:rsidRDefault="00221AFA" w:rsidP="00221AFA">
            <w:pPr>
              <w:jc w:val="center"/>
              <w:rPr>
                <w:rFonts w:hAnsi="標楷體"/>
                <w:sz w:val="26"/>
                <w:szCs w:val="26"/>
              </w:rPr>
            </w:pPr>
          </w:p>
        </w:tc>
      </w:tr>
      <w:tr w:rsidR="00E53741" w:rsidRPr="005B464B" w:rsidTr="00221AFA">
        <w:trPr>
          <w:trHeight w:val="299"/>
        </w:trPr>
        <w:tc>
          <w:tcPr>
            <w:tcW w:w="941" w:type="pct"/>
            <w:vMerge w:val="restart"/>
            <w:shd w:val="clear" w:color="auto" w:fill="auto"/>
            <w:vAlign w:val="center"/>
          </w:tcPr>
          <w:p w:rsidR="00221AFA" w:rsidRPr="005B464B" w:rsidRDefault="00221AFA" w:rsidP="00221AFA">
            <w:pPr>
              <w:jc w:val="center"/>
              <w:rPr>
                <w:rFonts w:hAnsi="標楷體"/>
                <w:b/>
                <w:sz w:val="24"/>
                <w:szCs w:val="24"/>
              </w:rPr>
            </w:pPr>
            <w:r w:rsidRPr="005B464B">
              <w:rPr>
                <w:rFonts w:hAnsi="標楷體"/>
                <w:b/>
                <w:sz w:val="24"/>
                <w:szCs w:val="24"/>
              </w:rPr>
              <w:t>國立東華大學</w:t>
            </w: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國立東華大學</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10億1,624萬</w:t>
            </w:r>
          </w:p>
        </w:tc>
        <w:tc>
          <w:tcPr>
            <w:tcW w:w="922"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13億1,736萬</w:t>
            </w:r>
          </w:p>
        </w:tc>
        <w:tc>
          <w:tcPr>
            <w:tcW w:w="993"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-4億309萬</w:t>
            </w:r>
          </w:p>
        </w:tc>
      </w:tr>
      <w:tr w:rsidR="00E53741" w:rsidRPr="005B464B" w:rsidTr="00221AFA">
        <w:trPr>
          <w:trHeight w:val="316"/>
        </w:trPr>
        <w:tc>
          <w:tcPr>
            <w:tcW w:w="941" w:type="pct"/>
            <w:vMerge/>
            <w:shd w:val="clear" w:color="auto" w:fill="auto"/>
            <w:vAlign w:val="center"/>
          </w:tcPr>
          <w:p w:rsidR="00221AFA" w:rsidRPr="005B464B" w:rsidRDefault="00221AFA" w:rsidP="00221AFA">
            <w:pPr>
              <w:jc w:val="center"/>
              <w:rPr>
                <w:rFonts w:hAnsi="標楷體"/>
                <w:b/>
                <w:sz w:val="24"/>
                <w:szCs w:val="24"/>
              </w:rPr>
            </w:pP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國立花蓮教育大學</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7億421萬</w:t>
            </w:r>
          </w:p>
        </w:tc>
        <w:tc>
          <w:tcPr>
            <w:tcW w:w="922" w:type="pct"/>
            <w:vMerge/>
            <w:shd w:val="clear" w:color="auto" w:fill="auto"/>
            <w:vAlign w:val="center"/>
          </w:tcPr>
          <w:p w:rsidR="00221AFA" w:rsidRPr="005B464B" w:rsidRDefault="00221AFA" w:rsidP="00221AFA">
            <w:pPr>
              <w:jc w:val="center"/>
              <w:rPr>
                <w:rFonts w:hAnsi="標楷體"/>
                <w:sz w:val="26"/>
                <w:szCs w:val="26"/>
              </w:rPr>
            </w:pPr>
          </w:p>
        </w:tc>
        <w:tc>
          <w:tcPr>
            <w:tcW w:w="993" w:type="pct"/>
            <w:vMerge/>
            <w:shd w:val="clear" w:color="auto" w:fill="auto"/>
            <w:vAlign w:val="center"/>
          </w:tcPr>
          <w:p w:rsidR="00221AFA" w:rsidRPr="005B464B" w:rsidRDefault="00221AFA" w:rsidP="00221AFA">
            <w:pPr>
              <w:jc w:val="center"/>
              <w:rPr>
                <w:rFonts w:hAnsi="標楷體"/>
                <w:sz w:val="26"/>
                <w:szCs w:val="26"/>
              </w:rPr>
            </w:pPr>
          </w:p>
        </w:tc>
      </w:tr>
      <w:tr w:rsidR="00E53741" w:rsidRPr="005B464B" w:rsidTr="00221AFA">
        <w:trPr>
          <w:trHeight w:val="281"/>
        </w:trPr>
        <w:tc>
          <w:tcPr>
            <w:tcW w:w="941" w:type="pct"/>
            <w:vMerge w:val="restart"/>
            <w:shd w:val="clear" w:color="auto" w:fill="auto"/>
            <w:vAlign w:val="center"/>
          </w:tcPr>
          <w:p w:rsidR="00221AFA" w:rsidRPr="005B464B" w:rsidRDefault="00221AFA" w:rsidP="00221AFA">
            <w:pPr>
              <w:jc w:val="center"/>
              <w:rPr>
                <w:rFonts w:hAnsi="標楷體"/>
                <w:b/>
                <w:sz w:val="24"/>
                <w:szCs w:val="24"/>
              </w:rPr>
            </w:pPr>
            <w:r w:rsidRPr="005B464B">
              <w:rPr>
                <w:rFonts w:hAnsi="標楷體"/>
                <w:b/>
                <w:sz w:val="24"/>
                <w:szCs w:val="24"/>
              </w:rPr>
              <w:t>國立</w:t>
            </w:r>
            <w:proofErr w:type="gramStart"/>
            <w:r w:rsidRPr="005B464B">
              <w:rPr>
                <w:rFonts w:hAnsi="標楷體"/>
                <w:b/>
                <w:sz w:val="24"/>
                <w:szCs w:val="24"/>
              </w:rPr>
              <w:t>臺</w:t>
            </w:r>
            <w:proofErr w:type="gramEnd"/>
            <w:r w:rsidRPr="005B464B">
              <w:rPr>
                <w:rFonts w:hAnsi="標楷體"/>
                <w:b/>
                <w:sz w:val="24"/>
                <w:szCs w:val="24"/>
              </w:rPr>
              <w:t>中</w:t>
            </w:r>
            <w:r w:rsidRPr="005B464B">
              <w:rPr>
                <w:rFonts w:hAnsi="標楷體" w:hint="eastAsia"/>
                <w:b/>
                <w:sz w:val="24"/>
                <w:szCs w:val="24"/>
              </w:rPr>
              <w:br/>
            </w:r>
            <w:r w:rsidRPr="005B464B">
              <w:rPr>
                <w:rFonts w:hAnsi="標楷體"/>
                <w:b/>
                <w:sz w:val="24"/>
                <w:szCs w:val="24"/>
              </w:rPr>
              <w:t>科技大學</w:t>
            </w: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中技術學院</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10億9,414萬</w:t>
            </w:r>
          </w:p>
        </w:tc>
        <w:tc>
          <w:tcPr>
            <w:tcW w:w="922"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24億6,374萬</w:t>
            </w:r>
          </w:p>
        </w:tc>
        <w:tc>
          <w:tcPr>
            <w:tcW w:w="993"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+11億8,713萬</w:t>
            </w:r>
          </w:p>
        </w:tc>
      </w:tr>
      <w:tr w:rsidR="00E53741" w:rsidRPr="005B464B" w:rsidTr="00221AFA">
        <w:trPr>
          <w:trHeight w:val="650"/>
        </w:trPr>
        <w:tc>
          <w:tcPr>
            <w:tcW w:w="941" w:type="pct"/>
            <w:vMerge/>
            <w:shd w:val="clear" w:color="auto" w:fill="auto"/>
            <w:vAlign w:val="center"/>
          </w:tcPr>
          <w:p w:rsidR="00221AFA" w:rsidRPr="005B464B" w:rsidRDefault="00221AFA" w:rsidP="00221AFA">
            <w:pPr>
              <w:jc w:val="center"/>
              <w:rPr>
                <w:rFonts w:hAnsi="標楷體"/>
                <w:b/>
                <w:sz w:val="24"/>
                <w:szCs w:val="24"/>
              </w:rPr>
            </w:pP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w:t>
            </w:r>
            <w:proofErr w:type="gramStart"/>
            <w:r w:rsidRPr="005B464B">
              <w:rPr>
                <w:rFonts w:hAnsi="標楷體" w:hint="eastAsia"/>
                <w:sz w:val="24"/>
                <w:szCs w:val="24"/>
              </w:rPr>
              <w:t>臺</w:t>
            </w:r>
            <w:proofErr w:type="gramEnd"/>
            <w:r w:rsidRPr="005B464B">
              <w:rPr>
                <w:rFonts w:hAnsi="標楷體" w:hint="eastAsia"/>
                <w:sz w:val="24"/>
                <w:szCs w:val="24"/>
              </w:rPr>
              <w:t>中護理</w:t>
            </w:r>
            <w:r w:rsidRPr="005B464B">
              <w:rPr>
                <w:rFonts w:hAnsi="標楷體"/>
                <w:sz w:val="24"/>
                <w:szCs w:val="24"/>
              </w:rPr>
              <w:br/>
            </w:r>
            <w:r w:rsidRPr="005B464B">
              <w:rPr>
                <w:rFonts w:hAnsi="標楷體" w:hint="eastAsia"/>
                <w:sz w:val="24"/>
                <w:szCs w:val="24"/>
              </w:rPr>
              <w:t>專科學校</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1億8,247萬</w:t>
            </w:r>
          </w:p>
        </w:tc>
        <w:tc>
          <w:tcPr>
            <w:tcW w:w="922" w:type="pct"/>
            <w:vMerge/>
            <w:shd w:val="clear" w:color="auto" w:fill="auto"/>
            <w:vAlign w:val="center"/>
          </w:tcPr>
          <w:p w:rsidR="00221AFA" w:rsidRPr="005B464B" w:rsidRDefault="00221AFA" w:rsidP="00221AFA">
            <w:pPr>
              <w:jc w:val="center"/>
              <w:rPr>
                <w:rFonts w:hAnsi="標楷體"/>
                <w:sz w:val="26"/>
                <w:szCs w:val="26"/>
              </w:rPr>
            </w:pPr>
          </w:p>
        </w:tc>
        <w:tc>
          <w:tcPr>
            <w:tcW w:w="993" w:type="pct"/>
            <w:vMerge/>
            <w:shd w:val="clear" w:color="auto" w:fill="auto"/>
            <w:vAlign w:val="center"/>
          </w:tcPr>
          <w:p w:rsidR="00221AFA" w:rsidRPr="005B464B" w:rsidRDefault="00221AFA" w:rsidP="00221AFA">
            <w:pPr>
              <w:jc w:val="center"/>
              <w:rPr>
                <w:rFonts w:hAnsi="標楷體"/>
                <w:sz w:val="26"/>
                <w:szCs w:val="26"/>
              </w:rPr>
            </w:pPr>
          </w:p>
        </w:tc>
      </w:tr>
      <w:tr w:rsidR="00E53741" w:rsidRPr="005B464B" w:rsidTr="00221AFA">
        <w:trPr>
          <w:trHeight w:val="264"/>
        </w:trPr>
        <w:tc>
          <w:tcPr>
            <w:tcW w:w="941" w:type="pct"/>
            <w:vMerge w:val="restart"/>
            <w:shd w:val="clear" w:color="auto" w:fill="auto"/>
            <w:vAlign w:val="center"/>
          </w:tcPr>
          <w:p w:rsidR="00221AFA" w:rsidRPr="005B464B" w:rsidRDefault="00221AFA" w:rsidP="00221AFA">
            <w:pPr>
              <w:jc w:val="center"/>
              <w:rPr>
                <w:rFonts w:hAnsi="標楷體"/>
                <w:b/>
                <w:sz w:val="24"/>
                <w:szCs w:val="24"/>
              </w:rPr>
            </w:pPr>
            <w:r w:rsidRPr="005B464B">
              <w:rPr>
                <w:rFonts w:hAnsi="標楷體"/>
                <w:b/>
                <w:sz w:val="24"/>
                <w:szCs w:val="24"/>
              </w:rPr>
              <w:t>國立屏東大學</w:t>
            </w: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國立屏東教育大學</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11億8,532萬</w:t>
            </w:r>
          </w:p>
        </w:tc>
        <w:tc>
          <w:tcPr>
            <w:tcW w:w="922"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24億5,639萬</w:t>
            </w:r>
          </w:p>
        </w:tc>
        <w:tc>
          <w:tcPr>
            <w:tcW w:w="993"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+1億2,673萬</w:t>
            </w:r>
          </w:p>
        </w:tc>
      </w:tr>
      <w:tr w:rsidR="00E53741" w:rsidRPr="005B464B" w:rsidTr="00221AFA">
        <w:trPr>
          <w:trHeight w:val="667"/>
        </w:trPr>
        <w:tc>
          <w:tcPr>
            <w:tcW w:w="941" w:type="pct"/>
            <w:vMerge/>
            <w:shd w:val="clear" w:color="auto" w:fill="auto"/>
            <w:vAlign w:val="center"/>
          </w:tcPr>
          <w:p w:rsidR="00221AFA" w:rsidRPr="005B464B" w:rsidRDefault="00221AFA" w:rsidP="00221AFA">
            <w:pPr>
              <w:jc w:val="center"/>
              <w:rPr>
                <w:rFonts w:hAnsi="標楷體"/>
                <w:b/>
                <w:sz w:val="24"/>
                <w:szCs w:val="24"/>
              </w:rPr>
            </w:pP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國立屏東商業</w:t>
            </w:r>
            <w:r w:rsidRPr="005B464B">
              <w:rPr>
                <w:rFonts w:hAnsi="標楷體"/>
                <w:sz w:val="24"/>
                <w:szCs w:val="24"/>
              </w:rPr>
              <w:br/>
            </w:r>
            <w:r w:rsidRPr="005B464B">
              <w:rPr>
                <w:rFonts w:hAnsi="標楷體" w:hint="eastAsia"/>
                <w:sz w:val="24"/>
                <w:szCs w:val="24"/>
              </w:rPr>
              <w:t>技術學院</w:t>
            </w:r>
          </w:p>
        </w:tc>
        <w:tc>
          <w:tcPr>
            <w:tcW w:w="886" w:type="pct"/>
            <w:shd w:val="clear" w:color="auto" w:fill="auto"/>
            <w:vAlign w:val="center"/>
          </w:tcPr>
          <w:p w:rsidR="00221AFA" w:rsidRPr="005B464B" w:rsidRDefault="00221AFA" w:rsidP="00221AFA">
            <w:pPr>
              <w:rPr>
                <w:rFonts w:hAnsi="標楷體"/>
                <w:sz w:val="25"/>
                <w:szCs w:val="25"/>
              </w:rPr>
            </w:pPr>
            <w:r w:rsidRPr="005B464B">
              <w:rPr>
                <w:rFonts w:hAnsi="標楷體" w:hint="eastAsia"/>
                <w:sz w:val="25"/>
                <w:szCs w:val="25"/>
              </w:rPr>
              <w:t>11億4,434萬</w:t>
            </w:r>
          </w:p>
        </w:tc>
        <w:tc>
          <w:tcPr>
            <w:tcW w:w="922" w:type="pct"/>
            <w:vMerge/>
            <w:shd w:val="clear" w:color="auto" w:fill="auto"/>
            <w:vAlign w:val="center"/>
          </w:tcPr>
          <w:p w:rsidR="00221AFA" w:rsidRPr="005B464B" w:rsidRDefault="00221AFA" w:rsidP="00221AFA">
            <w:pPr>
              <w:jc w:val="center"/>
              <w:rPr>
                <w:rFonts w:hAnsi="標楷體"/>
                <w:sz w:val="28"/>
                <w:szCs w:val="28"/>
              </w:rPr>
            </w:pPr>
          </w:p>
        </w:tc>
        <w:tc>
          <w:tcPr>
            <w:tcW w:w="993" w:type="pct"/>
            <w:vMerge/>
            <w:shd w:val="clear" w:color="auto" w:fill="auto"/>
            <w:vAlign w:val="center"/>
          </w:tcPr>
          <w:p w:rsidR="00221AFA" w:rsidRPr="005B464B" w:rsidRDefault="00221AFA" w:rsidP="00221AFA">
            <w:pPr>
              <w:jc w:val="center"/>
              <w:rPr>
                <w:rFonts w:hAnsi="標楷體"/>
                <w:sz w:val="28"/>
                <w:szCs w:val="28"/>
              </w:rPr>
            </w:pPr>
          </w:p>
        </w:tc>
      </w:tr>
      <w:tr w:rsidR="00E53741" w:rsidRPr="005B464B" w:rsidTr="00221AFA">
        <w:trPr>
          <w:trHeight w:val="299"/>
        </w:trPr>
        <w:tc>
          <w:tcPr>
            <w:tcW w:w="941" w:type="pct"/>
            <w:vMerge w:val="restart"/>
            <w:shd w:val="clear" w:color="auto" w:fill="auto"/>
            <w:vAlign w:val="center"/>
          </w:tcPr>
          <w:p w:rsidR="00221AFA" w:rsidRPr="005B464B" w:rsidRDefault="00221AFA" w:rsidP="00221AFA">
            <w:pPr>
              <w:jc w:val="center"/>
              <w:rPr>
                <w:rFonts w:hAnsi="標楷體"/>
                <w:b/>
                <w:sz w:val="24"/>
                <w:szCs w:val="24"/>
              </w:rPr>
            </w:pPr>
            <w:r w:rsidRPr="005B464B">
              <w:rPr>
                <w:rFonts w:hAnsi="標楷體" w:hint="eastAsia"/>
                <w:b/>
                <w:sz w:val="24"/>
                <w:szCs w:val="24"/>
              </w:rPr>
              <w:t>臺北市立大學</w:t>
            </w: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臺北市立教育大學</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-1,044萬</w:t>
            </w:r>
          </w:p>
        </w:tc>
        <w:tc>
          <w:tcPr>
            <w:tcW w:w="922" w:type="pct"/>
            <w:vMerge w:val="restart"/>
            <w:shd w:val="clear" w:color="auto" w:fill="auto"/>
            <w:vAlign w:val="center"/>
          </w:tcPr>
          <w:p w:rsidR="00221AFA" w:rsidRPr="005B464B" w:rsidRDefault="00221AFA" w:rsidP="00221AFA">
            <w:pPr>
              <w:jc w:val="center"/>
              <w:rPr>
                <w:rFonts w:hAnsi="標楷體"/>
                <w:sz w:val="26"/>
                <w:szCs w:val="26"/>
              </w:rPr>
            </w:pPr>
            <w:r w:rsidRPr="005B464B">
              <w:rPr>
                <w:rFonts w:hAnsi="標楷體" w:hint="eastAsia"/>
                <w:sz w:val="26"/>
                <w:szCs w:val="26"/>
              </w:rPr>
              <w:t>-3億8,767萬</w:t>
            </w:r>
          </w:p>
        </w:tc>
        <w:tc>
          <w:tcPr>
            <w:tcW w:w="993" w:type="pct"/>
            <w:vMerge w:val="restart"/>
            <w:shd w:val="clear" w:color="auto" w:fill="auto"/>
            <w:vAlign w:val="center"/>
          </w:tcPr>
          <w:p w:rsidR="00221AFA" w:rsidRPr="005B464B" w:rsidRDefault="00221AFA" w:rsidP="00221AFA">
            <w:pPr>
              <w:jc w:val="center"/>
              <w:rPr>
                <w:rFonts w:hAnsi="標楷體"/>
                <w:sz w:val="28"/>
                <w:szCs w:val="28"/>
              </w:rPr>
            </w:pPr>
            <w:r w:rsidRPr="005B464B">
              <w:rPr>
                <w:rFonts w:hAnsi="標楷體" w:hint="eastAsia"/>
                <w:sz w:val="28"/>
                <w:szCs w:val="28"/>
              </w:rPr>
              <w:t>-4億3,727</w:t>
            </w:r>
            <w:r w:rsidRPr="005B464B">
              <w:rPr>
                <w:rFonts w:hAnsi="標楷體" w:hint="eastAsia"/>
                <w:sz w:val="26"/>
                <w:szCs w:val="26"/>
              </w:rPr>
              <w:t>萬</w:t>
            </w:r>
          </w:p>
        </w:tc>
      </w:tr>
      <w:tr w:rsidR="00E53741" w:rsidRPr="005B464B" w:rsidTr="00221AFA">
        <w:trPr>
          <w:trHeight w:val="316"/>
        </w:trPr>
        <w:tc>
          <w:tcPr>
            <w:tcW w:w="941" w:type="pct"/>
            <w:vMerge/>
            <w:shd w:val="clear" w:color="auto" w:fill="auto"/>
            <w:vAlign w:val="center"/>
          </w:tcPr>
          <w:p w:rsidR="00221AFA" w:rsidRPr="005B464B" w:rsidRDefault="00221AFA" w:rsidP="00221AFA">
            <w:pPr>
              <w:jc w:val="center"/>
              <w:rPr>
                <w:rFonts w:hAnsi="標楷體"/>
                <w:b/>
                <w:sz w:val="24"/>
                <w:szCs w:val="24"/>
              </w:rPr>
            </w:pPr>
          </w:p>
        </w:tc>
        <w:tc>
          <w:tcPr>
            <w:tcW w:w="1258" w:type="pct"/>
            <w:shd w:val="clear" w:color="auto" w:fill="auto"/>
            <w:vAlign w:val="center"/>
          </w:tcPr>
          <w:p w:rsidR="00221AFA" w:rsidRPr="005B464B" w:rsidRDefault="00221AFA" w:rsidP="00221AFA">
            <w:pPr>
              <w:jc w:val="center"/>
              <w:rPr>
                <w:rFonts w:hAnsi="標楷體"/>
                <w:sz w:val="24"/>
                <w:szCs w:val="24"/>
              </w:rPr>
            </w:pPr>
            <w:r w:rsidRPr="005B464B">
              <w:rPr>
                <w:rFonts w:hAnsi="標楷體" w:hint="eastAsia"/>
                <w:sz w:val="24"/>
                <w:szCs w:val="24"/>
              </w:rPr>
              <w:t>臺北市立體育學院</w:t>
            </w:r>
          </w:p>
        </w:tc>
        <w:tc>
          <w:tcPr>
            <w:tcW w:w="886" w:type="pct"/>
            <w:shd w:val="clear" w:color="auto" w:fill="auto"/>
            <w:vAlign w:val="center"/>
          </w:tcPr>
          <w:p w:rsidR="00221AFA" w:rsidRPr="005B464B" w:rsidRDefault="00221AFA" w:rsidP="00221AFA">
            <w:pPr>
              <w:jc w:val="center"/>
              <w:rPr>
                <w:rFonts w:hAnsi="標楷體"/>
                <w:sz w:val="25"/>
                <w:szCs w:val="25"/>
              </w:rPr>
            </w:pPr>
            <w:r w:rsidRPr="005B464B">
              <w:rPr>
                <w:rFonts w:hAnsi="標楷體" w:hint="eastAsia"/>
                <w:sz w:val="25"/>
                <w:szCs w:val="25"/>
              </w:rPr>
              <w:t>6,004萬</w:t>
            </w:r>
          </w:p>
        </w:tc>
        <w:tc>
          <w:tcPr>
            <w:tcW w:w="922" w:type="pct"/>
            <w:vMerge/>
            <w:shd w:val="clear" w:color="auto" w:fill="auto"/>
            <w:vAlign w:val="center"/>
          </w:tcPr>
          <w:p w:rsidR="00221AFA" w:rsidRPr="005B464B" w:rsidRDefault="00221AFA" w:rsidP="00221AFA">
            <w:pPr>
              <w:jc w:val="center"/>
              <w:rPr>
                <w:rFonts w:hAnsi="標楷體"/>
                <w:sz w:val="28"/>
                <w:szCs w:val="28"/>
              </w:rPr>
            </w:pPr>
          </w:p>
        </w:tc>
        <w:tc>
          <w:tcPr>
            <w:tcW w:w="993" w:type="pct"/>
            <w:vMerge/>
            <w:shd w:val="clear" w:color="auto" w:fill="auto"/>
            <w:vAlign w:val="center"/>
          </w:tcPr>
          <w:p w:rsidR="00221AFA" w:rsidRPr="005B464B" w:rsidRDefault="00221AFA" w:rsidP="00221AFA">
            <w:pPr>
              <w:jc w:val="center"/>
              <w:rPr>
                <w:rFonts w:hAnsi="標楷體"/>
                <w:sz w:val="28"/>
                <w:szCs w:val="28"/>
              </w:rPr>
            </w:pPr>
          </w:p>
        </w:tc>
      </w:tr>
    </w:tbl>
    <w:p w:rsidR="007E19C5" w:rsidRPr="005B464B" w:rsidRDefault="007E19C5" w:rsidP="007E19C5">
      <w:pPr>
        <w:pStyle w:val="3"/>
        <w:numPr>
          <w:ilvl w:val="0"/>
          <w:numId w:val="0"/>
        </w:numPr>
        <w:spacing w:line="240" w:lineRule="exact"/>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7E19C5" w:rsidRPr="005B464B" w:rsidRDefault="007E19C5" w:rsidP="007E19C5">
      <w:pPr>
        <w:pStyle w:val="3"/>
        <w:numPr>
          <w:ilvl w:val="0"/>
          <w:numId w:val="0"/>
        </w:numPr>
        <w:spacing w:line="240" w:lineRule="exact"/>
      </w:pPr>
    </w:p>
    <w:p w:rsidR="001318E6" w:rsidRPr="005B464B" w:rsidRDefault="0034676B" w:rsidP="007E19C5">
      <w:pPr>
        <w:pStyle w:val="3"/>
        <w:numPr>
          <w:ilvl w:val="2"/>
          <w:numId w:val="1"/>
        </w:numPr>
      </w:pPr>
      <w:r w:rsidRPr="005B464B">
        <w:rPr>
          <w:rFonts w:hint="eastAsia"/>
        </w:rPr>
        <w:t>就</w:t>
      </w:r>
      <w:r w:rsidR="004A722F" w:rsidRPr="005B464B">
        <w:rPr>
          <w:rFonts w:hint="eastAsia"/>
        </w:rPr>
        <w:t>生員縮減之前</w:t>
      </w:r>
      <w:r w:rsidR="006C619F" w:rsidRPr="005B464B">
        <w:rPr>
          <w:rFonts w:hint="eastAsia"/>
        </w:rPr>
        <w:t>提</w:t>
      </w:r>
      <w:r w:rsidR="004A722F" w:rsidRPr="005B464B">
        <w:rPr>
          <w:rFonts w:hint="eastAsia"/>
        </w:rPr>
        <w:t>背景而言，我國公立大學合併仍呈規模</w:t>
      </w:r>
      <w:r w:rsidR="003F1604" w:rsidRPr="005B464B">
        <w:rPr>
          <w:rFonts w:hint="eastAsia"/>
        </w:rPr>
        <w:t>擴大</w:t>
      </w:r>
      <w:r w:rsidR="004A722F" w:rsidRPr="005B464B">
        <w:rPr>
          <w:rFonts w:hint="eastAsia"/>
        </w:rPr>
        <w:t>趨勢，</w:t>
      </w:r>
      <w:r w:rsidR="004A722F" w:rsidRPr="005B464B">
        <w:rPr>
          <w:rFonts w:hint="eastAsia"/>
          <w:bCs w:val="0"/>
        </w:rPr>
        <w:t>恐衍生之問題是：</w:t>
      </w:r>
      <w:r w:rsidR="004A722F" w:rsidRPr="005B464B">
        <w:rPr>
          <w:rFonts w:hint="eastAsia"/>
        </w:rPr>
        <w:t>國立嘉義大學、</w:t>
      </w:r>
      <w:r w:rsidR="004A722F" w:rsidRPr="005B464B">
        <w:t>國立東華大學</w:t>
      </w:r>
      <w:r w:rsidR="004A722F" w:rsidRPr="005B464B">
        <w:rPr>
          <w:rFonts w:hint="eastAsia"/>
        </w:rPr>
        <w:t>經合併後，學生人數擠身萬人之列，國立</w:t>
      </w:r>
      <w:proofErr w:type="gramStart"/>
      <w:r w:rsidR="004A722F" w:rsidRPr="005B464B">
        <w:rPr>
          <w:rFonts w:hint="eastAsia"/>
        </w:rPr>
        <w:t>臺</w:t>
      </w:r>
      <w:proofErr w:type="gramEnd"/>
      <w:r w:rsidR="004A722F" w:rsidRPr="005B464B">
        <w:rPr>
          <w:rFonts w:hint="eastAsia"/>
        </w:rPr>
        <w:t>中科技大學合併後之學生人數，更突破2萬人，</w:t>
      </w:r>
      <w:r w:rsidR="003F1604" w:rsidRPr="005B464B">
        <w:rPr>
          <w:rFonts w:hint="eastAsia"/>
        </w:rPr>
        <w:t>該</w:t>
      </w:r>
      <w:r w:rsidR="004A722F" w:rsidRPr="005B464B">
        <w:rPr>
          <w:rFonts w:hint="eastAsia"/>
        </w:rPr>
        <w:t>情</w:t>
      </w:r>
      <w:r w:rsidR="003F1604" w:rsidRPr="005B464B">
        <w:rPr>
          <w:rFonts w:hint="eastAsia"/>
        </w:rPr>
        <w:t>況</w:t>
      </w:r>
      <w:r w:rsidR="004A722F" w:rsidRPr="005B464B">
        <w:rPr>
          <w:rFonts w:hint="eastAsia"/>
        </w:rPr>
        <w:t>對於整體高等教育環境或私立大學經營之衝擊為何？</w:t>
      </w:r>
      <w:proofErr w:type="gramStart"/>
      <w:r w:rsidR="004A722F" w:rsidRPr="005B464B">
        <w:rPr>
          <w:rFonts w:hint="eastAsia"/>
        </w:rPr>
        <w:t>另</w:t>
      </w:r>
      <w:proofErr w:type="gramEnd"/>
      <w:r w:rsidR="004A722F" w:rsidRPr="005B464B">
        <w:rPr>
          <w:rFonts w:hint="eastAsia"/>
        </w:rPr>
        <w:t>，前</w:t>
      </w:r>
      <w:r w:rsidR="00E444DA" w:rsidRPr="005B464B">
        <w:rPr>
          <w:rFonts w:hint="eastAsia"/>
        </w:rPr>
        <w:t>開各</w:t>
      </w:r>
      <w:r w:rsidR="004A722F" w:rsidRPr="005B464B">
        <w:rPr>
          <w:rFonts w:hint="eastAsia"/>
        </w:rPr>
        <w:t>該大學規模改變後，是否符合所屬類型學校之</w:t>
      </w:r>
      <w:proofErr w:type="gramStart"/>
      <w:r w:rsidR="004A722F" w:rsidRPr="005B464B">
        <w:rPr>
          <w:rFonts w:hint="eastAsia"/>
        </w:rPr>
        <w:t>最</w:t>
      </w:r>
      <w:proofErr w:type="gramEnd"/>
      <w:r w:rsidR="004A722F" w:rsidRPr="005B464B">
        <w:rPr>
          <w:rFonts w:hint="eastAsia"/>
        </w:rPr>
        <w:t>適規模與成本效率？</w:t>
      </w:r>
      <w:r w:rsidR="004A722F" w:rsidRPr="005B464B">
        <w:rPr>
          <w:rFonts w:hAnsi="標楷體" w:hint="eastAsia"/>
        </w:rPr>
        <w:t>實應由教育部基於高等教育政策主管機關高</w:t>
      </w:r>
      <w:r w:rsidR="003F1604" w:rsidRPr="005B464B">
        <w:rPr>
          <w:rFonts w:hAnsi="標楷體" w:hint="eastAsia"/>
        </w:rPr>
        <w:t>度</w:t>
      </w:r>
      <w:r w:rsidR="004A722F" w:rsidRPr="005B464B">
        <w:rPr>
          <w:rFonts w:hAnsi="標楷體" w:hint="eastAsia"/>
        </w:rPr>
        <w:t>，通盤檢視並</w:t>
      </w:r>
      <w:proofErr w:type="gramStart"/>
      <w:r w:rsidR="004A722F" w:rsidRPr="005B464B">
        <w:rPr>
          <w:rFonts w:hAnsi="標楷體" w:hint="eastAsia"/>
        </w:rPr>
        <w:t>積極</w:t>
      </w:r>
      <w:r w:rsidRPr="005B464B">
        <w:rPr>
          <w:rFonts w:hAnsi="標楷體" w:hint="eastAsia"/>
        </w:rPr>
        <w:t>妥處</w:t>
      </w:r>
      <w:proofErr w:type="gramEnd"/>
      <w:r w:rsidR="004A722F" w:rsidRPr="005B464B">
        <w:rPr>
          <w:rFonts w:hAnsi="標楷體" w:hint="eastAsia"/>
        </w:rPr>
        <w:t>。</w:t>
      </w:r>
    </w:p>
    <w:p w:rsidR="007E19C5" w:rsidRPr="005B464B" w:rsidRDefault="007E19C5" w:rsidP="007E19C5">
      <w:pPr>
        <w:pStyle w:val="3"/>
        <w:numPr>
          <w:ilvl w:val="2"/>
          <w:numId w:val="1"/>
        </w:numPr>
      </w:pPr>
      <w:proofErr w:type="gramStart"/>
      <w:r w:rsidRPr="005B464B">
        <w:rPr>
          <w:rFonts w:hint="eastAsia"/>
        </w:rPr>
        <w:t>此外，</w:t>
      </w:r>
      <w:proofErr w:type="gramEnd"/>
      <w:r w:rsidRPr="005B464B">
        <w:rPr>
          <w:rFonts w:hint="eastAsia"/>
        </w:rPr>
        <w:t>據本院諮詢專家學者指出，至104學年度，不含臺北市立大學、國立新竹教育大學及宗教</w:t>
      </w:r>
      <w:proofErr w:type="gramStart"/>
      <w:r w:rsidRPr="005B464B">
        <w:rPr>
          <w:rFonts w:hint="eastAsia"/>
        </w:rPr>
        <w:t>研</w:t>
      </w:r>
      <w:proofErr w:type="gramEnd"/>
      <w:r w:rsidRPr="005B464B">
        <w:rPr>
          <w:rFonts w:hint="eastAsia"/>
        </w:rPr>
        <w:t>修學院之47所公立之大專校院中，學生人數未達1萬人者，有29校，仍逾半數。換言之，歷經</w:t>
      </w:r>
      <w:r w:rsidR="00221AFA" w:rsidRPr="005B464B">
        <w:rPr>
          <w:rFonts w:hAnsi="標楷體" w:hint="eastAsia"/>
        </w:rPr>
        <w:t>「</w:t>
      </w:r>
      <w:r w:rsidRPr="005B464B">
        <w:rPr>
          <w:rFonts w:hint="eastAsia"/>
        </w:rPr>
        <w:t>大學法</w:t>
      </w:r>
      <w:r w:rsidR="00221AFA" w:rsidRPr="005B464B">
        <w:rPr>
          <w:rFonts w:hAnsi="標楷體" w:hint="eastAsia"/>
        </w:rPr>
        <w:t>」</w:t>
      </w:r>
      <w:r w:rsidRPr="005B464B">
        <w:rPr>
          <w:rFonts w:hint="eastAsia"/>
        </w:rPr>
        <w:t>第7條修訂逾20年，我國公立大學</w:t>
      </w:r>
      <w:proofErr w:type="gramStart"/>
      <w:r w:rsidRPr="005B464B">
        <w:rPr>
          <w:rFonts w:hint="eastAsia"/>
        </w:rPr>
        <w:t>整體猶</w:t>
      </w:r>
      <w:r w:rsidR="003F1604" w:rsidRPr="005B464B">
        <w:rPr>
          <w:rFonts w:hint="eastAsia"/>
        </w:rPr>
        <w:t>呈</w:t>
      </w:r>
      <w:proofErr w:type="gramEnd"/>
      <w:r w:rsidRPr="005B464B">
        <w:rPr>
          <w:rFonts w:hint="eastAsia"/>
        </w:rPr>
        <w:t>「小校林立」之勢。惟按教育部106年6月3日發布「大專</w:t>
      </w:r>
      <w:r w:rsidRPr="005B464B">
        <w:rPr>
          <w:rFonts w:hint="eastAsia"/>
        </w:rPr>
        <w:lastRenderedPageBreak/>
        <w:t>校院學生及畢業生人數預測分析報告</w:t>
      </w:r>
      <w:r w:rsidRPr="005B464B">
        <w:t>(106</w:t>
      </w:r>
      <w:r w:rsidRPr="005B464B">
        <w:rPr>
          <w:rFonts w:hint="eastAsia"/>
        </w:rPr>
        <w:t>～</w:t>
      </w:r>
      <w:r w:rsidRPr="005B464B">
        <w:t>121</w:t>
      </w:r>
      <w:r w:rsidRPr="005B464B">
        <w:rPr>
          <w:rFonts w:hint="eastAsia"/>
        </w:rPr>
        <w:t>學年度</w:t>
      </w:r>
      <w:r w:rsidRPr="005B464B">
        <w:t>)</w:t>
      </w:r>
      <w:r w:rsidRPr="005B464B">
        <w:rPr>
          <w:rFonts w:hint="eastAsia"/>
        </w:rPr>
        <w:t>」</w:t>
      </w:r>
      <w:r w:rsidRPr="005B464B">
        <w:rPr>
          <w:rStyle w:val="aff2"/>
        </w:rPr>
        <w:footnoteReference w:id="25"/>
      </w:r>
      <w:r w:rsidRPr="005B464B">
        <w:rPr>
          <w:rFonts w:hint="eastAsia"/>
        </w:rPr>
        <w:t>，預估於113學年度，我國大專校院學生人數將跌破100萬人至97.6萬人左右(如下圖)，屆時林立之小校恐將面臨更嚴峻之經營壓力。</w:t>
      </w:r>
    </w:p>
    <w:p w:rsidR="007E19C5" w:rsidRPr="005B464B" w:rsidRDefault="007E19C5" w:rsidP="007E19C5">
      <w:pPr>
        <w:pStyle w:val="3"/>
        <w:numPr>
          <w:ilvl w:val="0"/>
          <w:numId w:val="0"/>
        </w:numPr>
        <w:ind w:left="1361"/>
      </w:pPr>
      <w:r w:rsidRPr="005B464B">
        <w:rPr>
          <w:rFonts w:hint="eastAsia"/>
          <w:noProof/>
        </w:rPr>
        <w:drawing>
          <wp:inline distT="0" distB="0" distL="0" distR="0" wp14:anchorId="4B1A8A22" wp14:editId="543219A9">
            <wp:extent cx="5268685" cy="3037058"/>
            <wp:effectExtent l="0" t="0" r="825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8940" cy="3037205"/>
                    </a:xfrm>
                    <a:prstGeom prst="rect">
                      <a:avLst/>
                    </a:prstGeom>
                    <a:noFill/>
                    <a:ln>
                      <a:noFill/>
                    </a:ln>
                  </pic:spPr>
                </pic:pic>
              </a:graphicData>
            </a:graphic>
          </wp:inline>
        </w:drawing>
      </w:r>
    </w:p>
    <w:p w:rsidR="006C619F" w:rsidRPr="005B464B" w:rsidRDefault="006C619F" w:rsidP="006C619F">
      <w:pPr>
        <w:pStyle w:val="a1"/>
        <w:rPr>
          <w:rFonts w:hAnsi="標楷體"/>
          <w:b/>
        </w:rPr>
      </w:pPr>
      <w:r w:rsidRPr="005B464B">
        <w:rPr>
          <w:rFonts w:hAnsi="標楷體" w:cs="DFKaiShu-SB-Estd-BF" w:hint="eastAsia"/>
          <w:b/>
          <w:kern w:val="0"/>
          <w:szCs w:val="32"/>
        </w:rPr>
        <w:t>大專校院學生人數趨勢推估</w:t>
      </w:r>
    </w:p>
    <w:p w:rsidR="007E19C5" w:rsidRPr="005B464B" w:rsidRDefault="007E19C5" w:rsidP="006C619F">
      <w:pPr>
        <w:pStyle w:val="3"/>
        <w:numPr>
          <w:ilvl w:val="0"/>
          <w:numId w:val="0"/>
        </w:numPr>
        <w:spacing w:line="240" w:lineRule="exact"/>
        <w:ind w:leftChars="417" w:left="2693" w:hangingChars="490" w:hanging="1275"/>
        <w:jc w:val="left"/>
        <w:rPr>
          <w:sz w:val="24"/>
          <w:szCs w:val="24"/>
        </w:rPr>
      </w:pPr>
      <w:r w:rsidRPr="005B464B">
        <w:rPr>
          <w:rFonts w:hint="eastAsia"/>
          <w:sz w:val="24"/>
          <w:szCs w:val="24"/>
        </w:rPr>
        <w:t>資料來源：教育部106年6月3日發布「大專校院學生及畢業生人數預測分析報告</w:t>
      </w:r>
      <w:r w:rsidRPr="005B464B">
        <w:rPr>
          <w:sz w:val="24"/>
          <w:szCs w:val="24"/>
        </w:rPr>
        <w:t>(106</w:t>
      </w:r>
      <w:r w:rsidRPr="005B464B">
        <w:rPr>
          <w:rFonts w:hint="eastAsia"/>
          <w:sz w:val="24"/>
          <w:szCs w:val="24"/>
        </w:rPr>
        <w:t>～</w:t>
      </w:r>
      <w:r w:rsidRPr="005B464B">
        <w:rPr>
          <w:sz w:val="24"/>
          <w:szCs w:val="24"/>
        </w:rPr>
        <w:t>121</w:t>
      </w:r>
      <w:r w:rsidRPr="005B464B">
        <w:rPr>
          <w:rFonts w:hint="eastAsia"/>
          <w:sz w:val="24"/>
          <w:szCs w:val="24"/>
        </w:rPr>
        <w:t>學年度</w:t>
      </w:r>
      <w:r w:rsidRPr="005B464B">
        <w:rPr>
          <w:sz w:val="24"/>
          <w:szCs w:val="24"/>
        </w:rPr>
        <w:t>)</w:t>
      </w:r>
      <w:r w:rsidRPr="005B464B">
        <w:rPr>
          <w:rFonts w:hint="eastAsia"/>
          <w:sz w:val="24"/>
          <w:szCs w:val="24"/>
        </w:rPr>
        <w:t>」，頁6。</w:t>
      </w:r>
    </w:p>
    <w:p w:rsidR="007E19C5" w:rsidRPr="005B464B" w:rsidRDefault="007E19C5" w:rsidP="007E19C5">
      <w:pPr>
        <w:pStyle w:val="3"/>
        <w:numPr>
          <w:ilvl w:val="0"/>
          <w:numId w:val="0"/>
        </w:numPr>
        <w:spacing w:line="240" w:lineRule="exact"/>
        <w:ind w:left="1361"/>
        <w:rPr>
          <w:sz w:val="24"/>
          <w:szCs w:val="24"/>
        </w:rPr>
      </w:pPr>
    </w:p>
    <w:p w:rsidR="007E19C5" w:rsidRPr="005B464B" w:rsidRDefault="007E19C5" w:rsidP="007E19C5">
      <w:pPr>
        <w:pStyle w:val="3"/>
        <w:numPr>
          <w:ilvl w:val="2"/>
          <w:numId w:val="1"/>
        </w:numPr>
      </w:pPr>
      <w:r w:rsidRPr="005B464B">
        <w:rPr>
          <w:rFonts w:hAnsi="標楷體" w:hint="eastAsia"/>
          <w:szCs w:val="32"/>
        </w:rPr>
        <w:t>學者傅祖壇</w:t>
      </w:r>
      <w:r w:rsidR="003F1604" w:rsidRPr="005B464B">
        <w:rPr>
          <w:rFonts w:hAnsi="標楷體" w:hint="eastAsia"/>
          <w:szCs w:val="32"/>
        </w:rPr>
        <w:t>於</w:t>
      </w:r>
      <w:r w:rsidRPr="005B464B">
        <w:rPr>
          <w:rFonts w:hAnsi="標楷體" w:hint="eastAsia"/>
          <w:szCs w:val="32"/>
        </w:rPr>
        <w:t>「臺灣高等教育院校之學校品質、經營效率與</w:t>
      </w:r>
      <w:proofErr w:type="gramStart"/>
      <w:r w:rsidRPr="005B464B">
        <w:rPr>
          <w:rFonts w:hAnsi="標楷體" w:hint="eastAsia"/>
          <w:szCs w:val="32"/>
        </w:rPr>
        <w:t>最</w:t>
      </w:r>
      <w:proofErr w:type="gramEnd"/>
      <w:r w:rsidRPr="005B464B">
        <w:rPr>
          <w:rFonts w:hAnsi="標楷體" w:hint="eastAsia"/>
          <w:szCs w:val="32"/>
        </w:rPr>
        <w:t>適規模分析」</w:t>
      </w:r>
      <w:r w:rsidRPr="005B464B">
        <w:rPr>
          <w:szCs w:val="32"/>
          <w:vertAlign w:val="superscript"/>
        </w:rPr>
        <w:footnoteReference w:id="26"/>
      </w:r>
      <w:proofErr w:type="gramStart"/>
      <w:r w:rsidRPr="005B464B">
        <w:rPr>
          <w:rFonts w:hAnsi="標楷體" w:hint="eastAsia"/>
          <w:szCs w:val="32"/>
        </w:rPr>
        <w:t>一</w:t>
      </w:r>
      <w:proofErr w:type="gramEnd"/>
      <w:r w:rsidRPr="005B464B">
        <w:rPr>
          <w:rFonts w:hAnsi="標楷體" w:hint="eastAsia"/>
          <w:szCs w:val="32"/>
        </w:rPr>
        <w:t>文</w:t>
      </w:r>
      <w:r w:rsidR="000B71D7" w:rsidRPr="005B464B">
        <w:rPr>
          <w:rFonts w:hAnsi="標楷體" w:hint="eastAsia"/>
          <w:szCs w:val="32"/>
        </w:rPr>
        <w:t>中</w:t>
      </w:r>
      <w:r w:rsidRPr="005B464B">
        <w:rPr>
          <w:rFonts w:hAnsi="標楷體" w:hint="eastAsia"/>
          <w:szCs w:val="32"/>
        </w:rPr>
        <w:t>指出：「實證結果亦顯示，</w:t>
      </w:r>
      <w:r w:rsidRPr="005B464B">
        <w:rPr>
          <w:rFonts w:hint="eastAsia"/>
        </w:rPr>
        <w:t>就目前之學校品質而言，臺灣高等教育之</w:t>
      </w:r>
      <w:proofErr w:type="gramStart"/>
      <w:r w:rsidRPr="005B464B">
        <w:rPr>
          <w:rFonts w:hint="eastAsia"/>
        </w:rPr>
        <w:t>最</w:t>
      </w:r>
      <w:proofErr w:type="gramEnd"/>
      <w:r w:rsidRPr="005B464B">
        <w:rPr>
          <w:rFonts w:hint="eastAsia"/>
        </w:rPr>
        <w:t>適規模約為</w:t>
      </w:r>
      <w:r w:rsidRPr="005B464B">
        <w:t>1</w:t>
      </w:r>
      <w:r w:rsidRPr="005B464B">
        <w:rPr>
          <w:rFonts w:hint="eastAsia"/>
        </w:rPr>
        <w:t>萬人學生數，因此，約有</w:t>
      </w:r>
      <w:r w:rsidRPr="005B464B">
        <w:t>40</w:t>
      </w:r>
      <w:r w:rsidR="006C619F" w:rsidRPr="005B464B">
        <w:t>％</w:t>
      </w:r>
      <w:r w:rsidRPr="005B464B">
        <w:rPr>
          <w:rFonts w:hint="eastAsia"/>
        </w:rPr>
        <w:t>之大學或技職院校之規模均超過</w:t>
      </w:r>
      <w:proofErr w:type="gramStart"/>
      <w:r w:rsidRPr="005B464B">
        <w:rPr>
          <w:rFonts w:hint="eastAsia"/>
        </w:rPr>
        <w:t>最</w:t>
      </w:r>
      <w:proofErr w:type="gramEnd"/>
      <w:r w:rsidRPr="005B464B">
        <w:rPr>
          <w:rFonts w:hint="eastAsia"/>
        </w:rPr>
        <w:t>適水準，應考慮調降規模，以收規模經濟之利，而這些學校大體上以私立大學或技</w:t>
      </w:r>
      <w:r w:rsidRPr="005B464B">
        <w:rPr>
          <w:rFonts w:hAnsi="標楷體" w:hint="eastAsia"/>
          <w:szCs w:val="32"/>
        </w:rPr>
        <w:t>職為主。</w:t>
      </w:r>
      <w:proofErr w:type="gramStart"/>
      <w:r w:rsidRPr="005B464B">
        <w:rPr>
          <w:rFonts w:hAnsi="標楷體" w:hint="eastAsia"/>
          <w:szCs w:val="32"/>
        </w:rPr>
        <w:t>反之，</w:t>
      </w:r>
      <w:proofErr w:type="gramEnd"/>
      <w:r w:rsidRPr="005B464B">
        <w:rPr>
          <w:rFonts w:hAnsi="標楷體" w:hint="eastAsia"/>
          <w:szCs w:val="32"/>
        </w:rPr>
        <w:t>約有</w:t>
      </w:r>
      <w:r w:rsidRPr="005B464B">
        <w:rPr>
          <w:rFonts w:hAnsi="標楷體"/>
          <w:szCs w:val="32"/>
        </w:rPr>
        <w:t>60</w:t>
      </w:r>
      <w:r w:rsidR="006C619F" w:rsidRPr="005B464B">
        <w:rPr>
          <w:rFonts w:hAnsi="標楷體"/>
          <w:szCs w:val="32"/>
        </w:rPr>
        <w:t>％</w:t>
      </w:r>
      <w:r w:rsidRPr="005B464B">
        <w:rPr>
          <w:rFonts w:hAnsi="標楷體" w:hint="eastAsia"/>
          <w:szCs w:val="32"/>
        </w:rPr>
        <w:t>之學校其規模仍未達</w:t>
      </w:r>
      <w:proofErr w:type="gramStart"/>
      <w:r w:rsidRPr="005B464B">
        <w:rPr>
          <w:rFonts w:hAnsi="標楷體" w:hint="eastAsia"/>
          <w:szCs w:val="32"/>
        </w:rPr>
        <w:t>最</w:t>
      </w:r>
      <w:proofErr w:type="gramEnd"/>
      <w:r w:rsidRPr="005B464B">
        <w:rPr>
          <w:rFonts w:hAnsi="標楷體" w:hint="eastAsia"/>
          <w:szCs w:val="32"/>
        </w:rPr>
        <w:t>適規模，其中有</w:t>
      </w:r>
      <w:r w:rsidRPr="005B464B">
        <w:rPr>
          <w:rFonts w:hAnsi="標楷體"/>
          <w:szCs w:val="32"/>
        </w:rPr>
        <w:t>38</w:t>
      </w:r>
      <w:r w:rsidR="006C619F" w:rsidRPr="005B464B">
        <w:rPr>
          <w:rFonts w:hAnsi="標楷體"/>
          <w:szCs w:val="32"/>
        </w:rPr>
        <w:t>％</w:t>
      </w:r>
      <w:r w:rsidRPr="005B464B">
        <w:rPr>
          <w:rFonts w:hAnsi="標楷體" w:hint="eastAsia"/>
          <w:szCs w:val="32"/>
        </w:rPr>
        <w:t>應可增加規模，而這</w:t>
      </w:r>
      <w:r w:rsidRPr="005B464B">
        <w:rPr>
          <w:rFonts w:hAnsi="標楷體" w:hint="eastAsia"/>
          <w:szCs w:val="32"/>
        </w:rPr>
        <w:lastRenderedPageBreak/>
        <w:t>些學校多屬公立院校。…</w:t>
      </w:r>
      <w:proofErr w:type="gramStart"/>
      <w:r w:rsidRPr="005B464B">
        <w:rPr>
          <w:rFonts w:hAnsi="標楷體" w:hint="eastAsia"/>
          <w:szCs w:val="32"/>
        </w:rPr>
        <w:t>…</w:t>
      </w:r>
      <w:proofErr w:type="gramEnd"/>
      <w:r w:rsidRPr="005B464B">
        <w:rPr>
          <w:rFonts w:hAnsi="標楷體" w:hint="eastAsia"/>
          <w:kern w:val="2"/>
          <w:szCs w:val="32"/>
        </w:rPr>
        <w:t>實際運作上，各學校在</w:t>
      </w:r>
      <w:r w:rsidR="00EA253E" w:rsidRPr="005B464B">
        <w:rPr>
          <w:rFonts w:hint="eastAsia"/>
        </w:rPr>
        <w:t>考慮調整</w:t>
      </w:r>
      <w:r w:rsidRPr="005B464B">
        <w:rPr>
          <w:rFonts w:hint="eastAsia"/>
        </w:rPr>
        <w:t>規模時，亦須顧及市場需求。最適規模水準只是從供給面角度來告知學校規模調整之方向及效益，並未顧及需求面影響。但在</w:t>
      </w:r>
      <w:r w:rsidR="004573EB" w:rsidRPr="005B464B">
        <w:rPr>
          <w:rFonts w:hint="eastAsia"/>
        </w:rPr>
        <w:t>少子女化</w:t>
      </w:r>
      <w:r w:rsidR="002D4F25" w:rsidRPr="005B464B">
        <w:rPr>
          <w:rFonts w:hint="eastAsia"/>
        </w:rPr>
        <w:t>背景下，市場需求會持續下降；因此，學校若因太小而應擴大</w:t>
      </w:r>
      <w:r w:rsidRPr="005B464B">
        <w:rPr>
          <w:rFonts w:hint="eastAsia"/>
        </w:rPr>
        <w:t>以達經濟規模（例如，本文分析結果顯示師範體系大學應擴大規模，但此類大學生之市場需求量卻不大），則採取跨校合併方式來擴大規模，會比自我擴大招生方式，來得可行。另外，若要降低學校規模，則可減少那些與市場需求不符或競爭力較差之系所名額。」</w:t>
      </w:r>
      <w:proofErr w:type="gramStart"/>
      <w:r w:rsidRPr="005B464B">
        <w:rPr>
          <w:rFonts w:hint="eastAsia"/>
        </w:rPr>
        <w:t>等語</w:t>
      </w:r>
      <w:r w:rsidR="001318E6" w:rsidRPr="005B464B">
        <w:rPr>
          <w:rFonts w:hint="eastAsia"/>
        </w:rPr>
        <w:t>益證</w:t>
      </w:r>
      <w:proofErr w:type="gramEnd"/>
      <w:r w:rsidR="001318E6" w:rsidRPr="005B464B">
        <w:rPr>
          <w:rFonts w:hint="eastAsia"/>
        </w:rPr>
        <w:t>：</w:t>
      </w:r>
      <w:r w:rsidRPr="005B464B">
        <w:rPr>
          <w:rFonts w:hint="eastAsia"/>
        </w:rPr>
        <w:t>我國公立大學與私立大學</w:t>
      </w:r>
      <w:proofErr w:type="gramStart"/>
      <w:r w:rsidRPr="005B464B">
        <w:rPr>
          <w:rFonts w:hint="eastAsia"/>
        </w:rPr>
        <w:t>最</w:t>
      </w:r>
      <w:proofErr w:type="gramEnd"/>
      <w:r w:rsidRPr="005B464B">
        <w:rPr>
          <w:rFonts w:hint="eastAsia"/>
        </w:rPr>
        <w:t>適規模</w:t>
      </w:r>
      <w:proofErr w:type="gramStart"/>
      <w:r w:rsidRPr="005B464B">
        <w:rPr>
          <w:rFonts w:hint="eastAsia"/>
        </w:rPr>
        <w:t>洵</w:t>
      </w:r>
      <w:proofErr w:type="gramEnd"/>
      <w:r w:rsidRPr="005B464B">
        <w:rPr>
          <w:rFonts w:hint="eastAsia"/>
        </w:rPr>
        <w:t>屬有別，調整方向與模式亦有不同，惟因</w:t>
      </w:r>
      <w:r w:rsidR="004573EB" w:rsidRPr="005B464B">
        <w:rPr>
          <w:rFonts w:hint="eastAsia"/>
        </w:rPr>
        <w:t>少子女化</w:t>
      </w:r>
      <w:r w:rsidRPr="005B464B">
        <w:rPr>
          <w:rFonts w:hint="eastAsia"/>
        </w:rPr>
        <w:t>，市場需求持續下降，教育部令公立大學合併以「1+1不小於2」之模式發展，又將來小校林立</w:t>
      </w:r>
      <w:r w:rsidR="001318E6" w:rsidRPr="005B464B">
        <w:rPr>
          <w:rFonts w:hint="eastAsia"/>
        </w:rPr>
        <w:t>情勢續存</w:t>
      </w:r>
      <w:r w:rsidRPr="005B464B">
        <w:rPr>
          <w:rFonts w:hint="eastAsia"/>
        </w:rPr>
        <w:t>，在供需嚴重失衡之</w:t>
      </w:r>
      <w:r w:rsidR="001318E6" w:rsidRPr="005B464B">
        <w:rPr>
          <w:rFonts w:hint="eastAsia"/>
        </w:rPr>
        <w:t>高教生態</w:t>
      </w:r>
      <w:r w:rsidRPr="005B464B">
        <w:rPr>
          <w:rFonts w:hint="eastAsia"/>
        </w:rPr>
        <w:t>中，</w:t>
      </w:r>
      <w:r w:rsidR="001318E6" w:rsidRPr="005B464B">
        <w:rPr>
          <w:rFonts w:hint="eastAsia"/>
        </w:rPr>
        <w:t>學校</w:t>
      </w:r>
      <w:r w:rsidRPr="005B464B">
        <w:rPr>
          <w:rFonts w:hint="eastAsia"/>
        </w:rPr>
        <w:t>如何維持生存或競爭力？相關問題亟待嚴正面對。</w:t>
      </w:r>
    </w:p>
    <w:p w:rsidR="007E19C5" w:rsidRPr="005B464B" w:rsidRDefault="007E19C5" w:rsidP="007E19C5">
      <w:pPr>
        <w:pStyle w:val="3"/>
        <w:numPr>
          <w:ilvl w:val="2"/>
          <w:numId w:val="1"/>
        </w:numPr>
        <w:rPr>
          <w:rFonts w:eastAsia="MS Mincho" w:hAnsi="標楷體"/>
          <w:szCs w:val="32"/>
          <w:lang w:eastAsia="ja-JP"/>
        </w:rPr>
      </w:pPr>
      <w:r w:rsidRPr="005B464B">
        <w:rPr>
          <w:rFonts w:hint="eastAsia"/>
          <w:bCs w:val="0"/>
        </w:rPr>
        <w:t>綜上，我國推動公立大學合併，似非單純</w:t>
      </w:r>
      <w:r w:rsidR="002D4F25" w:rsidRPr="005B464B">
        <w:rPr>
          <w:rFonts w:hint="eastAsia"/>
          <w:bCs w:val="0"/>
        </w:rPr>
        <w:t>為</w:t>
      </w:r>
      <w:r w:rsidRPr="005B464B">
        <w:rPr>
          <w:rFonts w:hint="eastAsia"/>
          <w:bCs w:val="0"/>
        </w:rPr>
        <w:t>解決</w:t>
      </w:r>
      <w:r w:rsidR="004573EB" w:rsidRPr="005B464B">
        <w:rPr>
          <w:rFonts w:hint="eastAsia"/>
          <w:bCs w:val="0"/>
        </w:rPr>
        <w:t>少子女化</w:t>
      </w:r>
      <w:r w:rsidRPr="005B464B">
        <w:rPr>
          <w:rFonts w:hint="eastAsia"/>
          <w:bCs w:val="0"/>
        </w:rPr>
        <w:t>問題，而有將學校「做大」之勢，然「做大」後之「</w:t>
      </w:r>
      <w:proofErr w:type="gramStart"/>
      <w:r w:rsidRPr="005B464B">
        <w:rPr>
          <w:rFonts w:hint="eastAsia"/>
          <w:bCs w:val="0"/>
        </w:rPr>
        <w:t>做強</w:t>
      </w:r>
      <w:proofErr w:type="gramEnd"/>
      <w:r w:rsidRPr="005B464B">
        <w:rPr>
          <w:rFonts w:hint="eastAsia"/>
          <w:bCs w:val="0"/>
        </w:rPr>
        <w:t>」策略，仍待</w:t>
      </w:r>
      <w:proofErr w:type="gramStart"/>
      <w:r w:rsidRPr="005B464B">
        <w:rPr>
          <w:rFonts w:hint="eastAsia"/>
          <w:bCs w:val="0"/>
        </w:rPr>
        <w:t>釐</w:t>
      </w:r>
      <w:proofErr w:type="gramEnd"/>
      <w:r w:rsidRPr="005B464B">
        <w:rPr>
          <w:rFonts w:hint="eastAsia"/>
          <w:bCs w:val="0"/>
        </w:rPr>
        <w:t>清。又，整體</w:t>
      </w:r>
      <w:proofErr w:type="gramStart"/>
      <w:r w:rsidRPr="005B464B">
        <w:rPr>
          <w:rFonts w:hint="eastAsia"/>
          <w:bCs w:val="0"/>
        </w:rPr>
        <w:t>高等教育生源嚴重</w:t>
      </w:r>
      <w:proofErr w:type="gramEnd"/>
      <w:r w:rsidRPr="005B464B">
        <w:rPr>
          <w:rFonts w:hint="eastAsia"/>
          <w:bCs w:val="0"/>
        </w:rPr>
        <w:t>縮減，教育部自行推估結果亦指出，至113學年度學生人數將跌破100萬人，</w:t>
      </w:r>
      <w:r w:rsidR="000B71D7" w:rsidRPr="005B464B">
        <w:rPr>
          <w:rFonts w:hint="eastAsia"/>
          <w:bCs w:val="0"/>
        </w:rPr>
        <w:t>然</w:t>
      </w:r>
      <w:r w:rsidRPr="005B464B">
        <w:rPr>
          <w:rFonts w:hint="eastAsia"/>
          <w:bCs w:val="0"/>
        </w:rPr>
        <w:t>我國高等教育學校數量未見明顯</w:t>
      </w:r>
      <w:r w:rsidR="002D4F25" w:rsidRPr="005B464B">
        <w:rPr>
          <w:rFonts w:hint="eastAsia"/>
          <w:bCs w:val="0"/>
        </w:rPr>
        <w:t>縮</w:t>
      </w:r>
      <w:r w:rsidR="000B71D7" w:rsidRPr="005B464B">
        <w:rPr>
          <w:rFonts w:hint="eastAsia"/>
          <w:bCs w:val="0"/>
        </w:rPr>
        <w:t>減，且呈</w:t>
      </w:r>
      <w:r w:rsidRPr="005B464B">
        <w:rPr>
          <w:rFonts w:hint="eastAsia"/>
          <w:bCs w:val="0"/>
        </w:rPr>
        <w:t>小校林立之態勢，將如何因應發展，實為嚴肅且無法迴避之課題。</w:t>
      </w:r>
      <w:proofErr w:type="gramStart"/>
      <w:r w:rsidRPr="005B464B">
        <w:rPr>
          <w:rFonts w:hint="eastAsia"/>
          <w:bCs w:val="0"/>
        </w:rPr>
        <w:t>併</w:t>
      </w:r>
      <w:proofErr w:type="gramEnd"/>
      <w:r w:rsidRPr="005B464B">
        <w:rPr>
          <w:rFonts w:hint="eastAsia"/>
          <w:bCs w:val="0"/>
        </w:rPr>
        <w:t>以本院諮詢學者專家指出</w:t>
      </w:r>
      <w:r w:rsidRPr="005B464B">
        <w:rPr>
          <w:rFonts w:hAnsi="標楷體" w:hint="eastAsia"/>
          <w:szCs w:val="32"/>
        </w:rPr>
        <w:t>「大學合併並非解決大學過剩或節省經費等供需問題，而是提升品質、競爭力，給學生更好的環境</w:t>
      </w:r>
      <w:r w:rsidRPr="005B464B">
        <w:rPr>
          <w:rFonts w:hint="eastAsia"/>
        </w:rPr>
        <w:t>…</w:t>
      </w:r>
      <w:proofErr w:type="gramStart"/>
      <w:r w:rsidRPr="005B464B">
        <w:rPr>
          <w:rFonts w:hint="eastAsia"/>
        </w:rPr>
        <w:t>…</w:t>
      </w:r>
      <w:proofErr w:type="gramEnd"/>
      <w:r w:rsidRPr="005B464B">
        <w:rPr>
          <w:rFonts w:hAnsi="標楷體" w:hint="eastAsia"/>
          <w:szCs w:val="32"/>
        </w:rPr>
        <w:t>合併一定是要花錢，但非僅僅爭取資源，政策性考量是很重要的</w:t>
      </w:r>
      <w:r w:rsidRPr="005B464B">
        <w:rPr>
          <w:rFonts w:hint="eastAsia"/>
        </w:rPr>
        <w:t>…</w:t>
      </w:r>
      <w:proofErr w:type="gramStart"/>
      <w:r w:rsidRPr="005B464B">
        <w:rPr>
          <w:rFonts w:hint="eastAsia"/>
        </w:rPr>
        <w:t>…</w:t>
      </w:r>
      <w:proofErr w:type="gramEnd"/>
      <w:r w:rsidRPr="005B464B">
        <w:rPr>
          <w:rFonts w:hAnsi="標楷體" w:hint="eastAsia"/>
          <w:szCs w:val="32"/>
        </w:rPr>
        <w:t>政府貫徹政策的決心是否足夠亦是合併政策之關鍵。」等</w:t>
      </w:r>
      <w:proofErr w:type="gramStart"/>
      <w:r w:rsidRPr="005B464B">
        <w:rPr>
          <w:rFonts w:hAnsi="標楷體" w:hint="eastAsia"/>
          <w:szCs w:val="32"/>
        </w:rPr>
        <w:t>語同供主管機關</w:t>
      </w:r>
      <w:proofErr w:type="gramEnd"/>
      <w:r w:rsidRPr="005B464B">
        <w:rPr>
          <w:rFonts w:hAnsi="標楷體" w:hint="eastAsia"/>
          <w:szCs w:val="32"/>
        </w:rPr>
        <w:t>參酌</w:t>
      </w:r>
      <w:r w:rsidR="002D4F25" w:rsidRPr="005B464B">
        <w:rPr>
          <w:rFonts w:hAnsi="標楷體" w:hint="eastAsia"/>
          <w:szCs w:val="32"/>
        </w:rPr>
        <w:t>並</w:t>
      </w:r>
      <w:r w:rsidRPr="005B464B">
        <w:rPr>
          <w:rFonts w:hAnsi="標楷體" w:hint="eastAsia"/>
          <w:szCs w:val="32"/>
        </w:rPr>
        <w:t>檢討改進。</w:t>
      </w:r>
    </w:p>
    <w:p w:rsidR="00D974E1" w:rsidRPr="005B464B" w:rsidRDefault="00D974E1" w:rsidP="00A00A1C">
      <w:pPr>
        <w:pStyle w:val="2"/>
        <w:rPr>
          <w:b/>
        </w:rPr>
      </w:pPr>
      <w:bookmarkStart w:id="53" w:name="_Toc485138864"/>
      <w:r w:rsidRPr="005B464B">
        <w:rPr>
          <w:rFonts w:hint="eastAsia"/>
          <w:b/>
        </w:rPr>
        <w:lastRenderedPageBreak/>
        <w:t>教育部宣稱為減少合併阻力，鼓勵學校適用「大學法」第7條第1項，採取「由下而上」模式合併，此模式之法定程序毋須報經行政院核定，容有別於法定由教育部主導「由上而下」者；然實務上，學校依前開規定推動合併之案件，依</w:t>
      </w:r>
      <w:proofErr w:type="gramStart"/>
      <w:r w:rsidRPr="005B464B">
        <w:rPr>
          <w:rFonts w:hint="eastAsia"/>
          <w:b/>
        </w:rPr>
        <w:t>行政院函頒之</w:t>
      </w:r>
      <w:proofErr w:type="gramEnd"/>
      <w:r w:rsidRPr="005B464B">
        <w:rPr>
          <w:rFonts w:hint="eastAsia"/>
          <w:b/>
        </w:rPr>
        <w:t>「</w:t>
      </w:r>
      <w:r w:rsidRPr="005B464B">
        <w:rPr>
          <w:b/>
        </w:rPr>
        <w:t>行政院</w:t>
      </w:r>
      <w:r w:rsidRPr="005B464B">
        <w:rPr>
          <w:rFonts w:hint="eastAsia"/>
          <w:b/>
        </w:rPr>
        <w:t>與所屬機關權責劃分表</w:t>
      </w:r>
      <w:r w:rsidRPr="005B464B">
        <w:rPr>
          <w:b/>
        </w:rPr>
        <w:t>（個別事項）</w:t>
      </w:r>
      <w:r w:rsidRPr="005B464B">
        <w:rPr>
          <w:rFonts w:hint="eastAsia"/>
          <w:b/>
        </w:rPr>
        <w:t>」，仍須經行政院核定，不但有違「大學法」第7條第1項</w:t>
      </w:r>
      <w:r w:rsidR="00AE4673" w:rsidRPr="005B464B">
        <w:rPr>
          <w:rFonts w:hint="eastAsia"/>
          <w:b/>
        </w:rPr>
        <w:t>精神</w:t>
      </w:r>
      <w:r w:rsidRPr="005B464B">
        <w:rPr>
          <w:rFonts w:hint="eastAsia"/>
          <w:b/>
        </w:rPr>
        <w:t>，且因核定期程與決定</w:t>
      </w:r>
      <w:proofErr w:type="gramStart"/>
      <w:r w:rsidRPr="005B464B">
        <w:rPr>
          <w:rFonts w:hint="eastAsia"/>
          <w:b/>
        </w:rPr>
        <w:t>基準均未具體</w:t>
      </w:r>
      <w:proofErr w:type="gramEnd"/>
      <w:r w:rsidRPr="005B464B">
        <w:rPr>
          <w:rFonts w:hint="eastAsia"/>
          <w:b/>
        </w:rPr>
        <w:t>明確，致大學合併屢屢延宕，核有</w:t>
      </w:r>
      <w:proofErr w:type="gramStart"/>
      <w:r w:rsidRPr="005B464B">
        <w:rPr>
          <w:rFonts w:hint="eastAsia"/>
          <w:b/>
        </w:rPr>
        <w:t>釐</w:t>
      </w:r>
      <w:proofErr w:type="gramEnd"/>
      <w:r w:rsidRPr="005B464B">
        <w:rPr>
          <w:rFonts w:hint="eastAsia"/>
          <w:b/>
        </w:rPr>
        <w:t>清檢討之必要。</w:t>
      </w:r>
      <w:bookmarkEnd w:id="53"/>
    </w:p>
    <w:p w:rsidR="00D974E1" w:rsidRPr="005B464B" w:rsidRDefault="00D974E1" w:rsidP="00D974E1">
      <w:pPr>
        <w:pStyle w:val="3"/>
        <w:numPr>
          <w:ilvl w:val="2"/>
          <w:numId w:val="1"/>
        </w:numPr>
      </w:pPr>
      <w:r w:rsidRPr="005B464B">
        <w:rPr>
          <w:rFonts w:hint="eastAsia"/>
        </w:rPr>
        <w:t>按國立大學合併之推動方式，依其程序可區分為由學校主動</w:t>
      </w:r>
      <w:r w:rsidRPr="005B464B">
        <w:rPr>
          <w:rFonts w:hAnsi="標楷體" w:hint="eastAsia"/>
        </w:rPr>
        <w:t>「由下而上」進行者，及由教育部主導「由上而下」推動者；「</w:t>
      </w:r>
      <w:r w:rsidRPr="005B464B">
        <w:rPr>
          <w:rFonts w:hint="eastAsia"/>
        </w:rPr>
        <w:t>大學法</w:t>
      </w:r>
      <w:r w:rsidRPr="005B464B">
        <w:rPr>
          <w:rFonts w:hAnsi="標楷體" w:hint="eastAsia"/>
        </w:rPr>
        <w:t>」</w:t>
      </w:r>
      <w:r w:rsidRPr="005B464B">
        <w:rPr>
          <w:rFonts w:hint="eastAsia"/>
        </w:rPr>
        <w:t>第7條第1項規定：「大學得擬訂合併計畫，國立大學經校務會議同意，直轄市立、縣（市）立大學經所屬地方政府同意，私立大學經董事會同意，報教育部核定後執行。」及同條第2項規定：「</w:t>
      </w:r>
      <w:proofErr w:type="gramStart"/>
      <w:r w:rsidRPr="005B464B">
        <w:rPr>
          <w:rFonts w:hint="eastAsia"/>
        </w:rPr>
        <w:t>教育部得衡酌</w:t>
      </w:r>
      <w:proofErr w:type="gramEnd"/>
      <w:r w:rsidRPr="005B464B">
        <w:rPr>
          <w:rFonts w:hint="eastAsia"/>
        </w:rPr>
        <w:t>高等教育整體發展、教育資源分布、學校地緣位置等條件，並輔以經費補助及行政協助方式，擬訂國立大學合併計畫報行政院核定後，由各該國立大學執行。」即係分就上開二方式，明定其所應適用之推動與核定程序。</w:t>
      </w:r>
    </w:p>
    <w:p w:rsidR="00D974E1" w:rsidRPr="005B464B" w:rsidRDefault="00D974E1" w:rsidP="00D974E1">
      <w:pPr>
        <w:pStyle w:val="3"/>
        <w:numPr>
          <w:ilvl w:val="2"/>
          <w:numId w:val="1"/>
        </w:numPr>
        <w:rPr>
          <w:rFonts w:hAnsi="標楷體"/>
        </w:rPr>
      </w:pPr>
      <w:r w:rsidRPr="005B464B">
        <w:rPr>
          <w:rFonts w:hint="eastAsia"/>
        </w:rPr>
        <w:t>對照</w:t>
      </w:r>
      <w:r w:rsidRPr="005B464B">
        <w:rPr>
          <w:rFonts w:hAnsi="標楷體" w:hint="eastAsia"/>
        </w:rPr>
        <w:t>「</w:t>
      </w:r>
      <w:r w:rsidRPr="005B464B">
        <w:rPr>
          <w:rFonts w:hint="eastAsia"/>
        </w:rPr>
        <w:t>大學法</w:t>
      </w:r>
      <w:r w:rsidRPr="005B464B">
        <w:rPr>
          <w:rFonts w:hAnsi="標楷體" w:hint="eastAsia"/>
        </w:rPr>
        <w:t>」</w:t>
      </w:r>
      <w:r w:rsidRPr="005B464B">
        <w:rPr>
          <w:rFonts w:hint="eastAsia"/>
        </w:rPr>
        <w:t>第7條第1項及第2項之條文可知，國立大學之合併，若係</w:t>
      </w:r>
      <w:r w:rsidRPr="005B464B">
        <w:rPr>
          <w:rFonts w:hAnsi="標楷體" w:hint="eastAsia"/>
        </w:rPr>
        <w:t>由教育部主導「由上而下」推動者，教育部須於</w:t>
      </w:r>
      <w:r w:rsidRPr="005B464B">
        <w:rPr>
          <w:rFonts w:hint="eastAsia"/>
        </w:rPr>
        <w:t>合併計畫報行政院核定後，始可交由各該國立大學據以執行；惟若係由學校自主</w:t>
      </w:r>
      <w:r w:rsidRPr="005B464B">
        <w:rPr>
          <w:rFonts w:hAnsi="標楷體" w:hint="eastAsia"/>
        </w:rPr>
        <w:t>「由下而上」進行者，</w:t>
      </w:r>
      <w:r w:rsidRPr="005B464B">
        <w:rPr>
          <w:rFonts w:hint="eastAsia"/>
        </w:rPr>
        <w:t>合併計畫則僅須經教育部核定後即可執行。顯見立法者已分就國立大學推動合併之不同態樣，律定不同之核定權責與程序。惟依行政院</w:t>
      </w:r>
      <w:proofErr w:type="gramStart"/>
      <w:r w:rsidRPr="005B464B">
        <w:rPr>
          <w:rFonts w:hint="eastAsia"/>
        </w:rPr>
        <w:t>所函頒之</w:t>
      </w:r>
      <w:proofErr w:type="gramEnd"/>
      <w:r w:rsidRPr="005B464B">
        <w:rPr>
          <w:rFonts w:hint="eastAsia"/>
        </w:rPr>
        <w:t>「</w:t>
      </w:r>
      <w:r w:rsidRPr="005B464B">
        <w:t>行政院</w:t>
      </w:r>
      <w:r w:rsidRPr="005B464B">
        <w:rPr>
          <w:rFonts w:hint="eastAsia"/>
        </w:rPr>
        <w:t>與所屬機關權責劃分表</w:t>
      </w:r>
      <w:r w:rsidRPr="005B464B">
        <w:t>（個別事項）</w:t>
      </w:r>
      <w:r w:rsidRPr="005B464B">
        <w:rPr>
          <w:rFonts w:hint="eastAsia"/>
        </w:rPr>
        <w:t>」所載，有關國立專科</w:t>
      </w:r>
      <w:r w:rsidRPr="005B464B">
        <w:t>以上學校及其</w:t>
      </w:r>
      <w:r w:rsidRPr="005B464B">
        <w:lastRenderedPageBreak/>
        <w:t>分校、分部之設立、遷校、合併與改制</w:t>
      </w:r>
      <w:r w:rsidRPr="005B464B">
        <w:rPr>
          <w:rFonts w:hint="eastAsia"/>
        </w:rPr>
        <w:t>等事項</w:t>
      </w:r>
      <w:r w:rsidRPr="005B464B">
        <w:t>，教育部</w:t>
      </w:r>
      <w:r w:rsidRPr="005B464B">
        <w:rPr>
          <w:rFonts w:hint="eastAsia"/>
        </w:rPr>
        <w:t>僅係</w:t>
      </w:r>
      <w:r w:rsidRPr="005B464B">
        <w:rPr>
          <w:rFonts w:hAnsi="標楷體" w:hint="eastAsia"/>
        </w:rPr>
        <w:t>「</w:t>
      </w:r>
      <w:r w:rsidRPr="005B464B">
        <w:t>擬報或核轉</w:t>
      </w:r>
      <w:r w:rsidRPr="005B464B">
        <w:rPr>
          <w:rFonts w:hAnsi="標楷體" w:hint="eastAsia"/>
        </w:rPr>
        <w:t>」</w:t>
      </w:r>
      <w:r w:rsidRPr="005B464B">
        <w:t>，</w:t>
      </w:r>
      <w:proofErr w:type="gramStart"/>
      <w:r w:rsidRPr="005B464B">
        <w:rPr>
          <w:rFonts w:hint="eastAsia"/>
        </w:rPr>
        <w:t>並均</w:t>
      </w:r>
      <w:r w:rsidRPr="005B464B">
        <w:t>由行政院</w:t>
      </w:r>
      <w:proofErr w:type="gramEnd"/>
      <w:r w:rsidRPr="005B464B">
        <w:rPr>
          <w:rFonts w:hAnsi="標楷體" w:hint="eastAsia"/>
        </w:rPr>
        <w:t>「</w:t>
      </w:r>
      <w:r w:rsidRPr="005B464B">
        <w:t>核定</w:t>
      </w:r>
      <w:r w:rsidRPr="005B464B">
        <w:rPr>
          <w:rFonts w:hAnsi="標楷體" w:hint="eastAsia"/>
        </w:rPr>
        <w:t>」</w:t>
      </w:r>
      <w:r w:rsidRPr="005B464B">
        <w:rPr>
          <w:rFonts w:hint="eastAsia"/>
        </w:rPr>
        <w:t>；未予區分</w:t>
      </w:r>
      <w:r w:rsidRPr="005B464B">
        <w:rPr>
          <w:rFonts w:hAnsi="標楷體" w:hint="eastAsia"/>
        </w:rPr>
        <w:t>「由上而下」或「由下而上」之不同合併</w:t>
      </w:r>
      <w:proofErr w:type="gramStart"/>
      <w:r w:rsidRPr="005B464B">
        <w:rPr>
          <w:rFonts w:hAnsi="標楷體" w:hint="eastAsia"/>
        </w:rPr>
        <w:t>態樣而異</w:t>
      </w:r>
      <w:proofErr w:type="gramEnd"/>
      <w:r w:rsidRPr="005B464B">
        <w:rPr>
          <w:rFonts w:hAnsi="標楷體" w:hint="eastAsia"/>
        </w:rPr>
        <w:t>其核定權限。是</w:t>
      </w:r>
      <w:proofErr w:type="gramStart"/>
      <w:r w:rsidRPr="005B464B">
        <w:rPr>
          <w:rFonts w:hAnsi="標楷體" w:hint="eastAsia"/>
        </w:rPr>
        <w:t>以</w:t>
      </w:r>
      <w:proofErr w:type="gramEnd"/>
      <w:r w:rsidRPr="005B464B">
        <w:rPr>
          <w:rFonts w:hAnsi="標楷體" w:hint="eastAsia"/>
        </w:rPr>
        <w:t>，行政院前揭權責劃分規定，就「由下而上」之大學合併案部分，與「</w:t>
      </w:r>
      <w:r w:rsidRPr="005B464B">
        <w:rPr>
          <w:rFonts w:hint="eastAsia"/>
        </w:rPr>
        <w:t>大學法</w:t>
      </w:r>
      <w:r w:rsidRPr="005B464B">
        <w:rPr>
          <w:rFonts w:hAnsi="標楷體" w:hint="eastAsia"/>
        </w:rPr>
        <w:t>」第7條第1項規定，似</w:t>
      </w:r>
      <w:proofErr w:type="gramStart"/>
      <w:r w:rsidRPr="005B464B">
        <w:rPr>
          <w:rFonts w:hAnsi="標楷體" w:hint="eastAsia"/>
        </w:rPr>
        <w:t>有未洽</w:t>
      </w:r>
      <w:proofErr w:type="gramEnd"/>
      <w:r w:rsidRPr="005B464B">
        <w:rPr>
          <w:rFonts w:hAnsi="標楷體" w:hint="eastAsia"/>
        </w:rPr>
        <w:t>。</w:t>
      </w:r>
    </w:p>
    <w:p w:rsidR="00D974E1" w:rsidRPr="005B464B" w:rsidRDefault="00D974E1" w:rsidP="00D974E1">
      <w:pPr>
        <w:pStyle w:val="3"/>
        <w:numPr>
          <w:ilvl w:val="2"/>
          <w:numId w:val="1"/>
        </w:numPr>
        <w:rPr>
          <w:rFonts w:hAnsi="標楷體"/>
        </w:rPr>
      </w:pPr>
      <w:r w:rsidRPr="005B464B">
        <w:rPr>
          <w:rFonts w:hAnsi="標楷體" w:hint="eastAsia"/>
        </w:rPr>
        <w:t>就此，</w:t>
      </w:r>
      <w:proofErr w:type="gramStart"/>
      <w:r w:rsidRPr="005B464B">
        <w:rPr>
          <w:rFonts w:hAnsi="標楷體" w:hint="eastAsia"/>
        </w:rPr>
        <w:t>詢</w:t>
      </w:r>
      <w:proofErr w:type="gramEnd"/>
      <w:r w:rsidRPr="005B464B">
        <w:rPr>
          <w:rFonts w:hAnsi="標楷體" w:hint="eastAsia"/>
        </w:rPr>
        <w:t>據教育部說明略</w:t>
      </w:r>
      <w:proofErr w:type="gramStart"/>
      <w:r w:rsidRPr="005B464B">
        <w:rPr>
          <w:rFonts w:hAnsi="標楷體" w:hint="eastAsia"/>
        </w:rPr>
        <w:t>以</w:t>
      </w:r>
      <w:proofErr w:type="gramEnd"/>
      <w:r w:rsidRPr="005B464B">
        <w:rPr>
          <w:rFonts w:hAnsi="標楷體" w:hint="eastAsia"/>
        </w:rPr>
        <w:t>：「係</w:t>
      </w:r>
      <w:r w:rsidRPr="005B464B">
        <w:rPr>
          <w:rFonts w:hAnsi="標楷體"/>
        </w:rPr>
        <w:t>因國立大學校院合併涉及整體國家資源運用、人才培育及員額配置等面向，基於行政院督導教育事務之權責及資源補助審查之考量，</w:t>
      </w:r>
      <w:r w:rsidRPr="005B464B">
        <w:rPr>
          <w:rFonts w:hAnsi="標楷體" w:hint="eastAsia"/>
        </w:rPr>
        <w:t>故</w:t>
      </w:r>
      <w:r w:rsidRPr="005B464B">
        <w:rPr>
          <w:rFonts w:hAnsi="標楷體"/>
        </w:rPr>
        <w:t>不論是前開第1項</w:t>
      </w:r>
      <w:r w:rsidR="00AE4673" w:rsidRPr="005B464B">
        <w:rPr>
          <w:rFonts w:hAnsi="標楷體" w:hint="eastAsia"/>
        </w:rPr>
        <w:t>「</w:t>
      </w:r>
      <w:r w:rsidRPr="005B464B">
        <w:rPr>
          <w:rFonts w:hAnsi="標楷體"/>
        </w:rPr>
        <w:t>由下而上</w:t>
      </w:r>
      <w:r w:rsidR="00AE4673" w:rsidRPr="005B464B">
        <w:rPr>
          <w:rFonts w:hAnsi="標楷體" w:hint="eastAsia"/>
        </w:rPr>
        <w:t>」</w:t>
      </w:r>
      <w:r w:rsidRPr="005B464B">
        <w:rPr>
          <w:rFonts w:hAnsi="標楷體"/>
        </w:rPr>
        <w:t>或第2項</w:t>
      </w:r>
      <w:r w:rsidR="00AE4673" w:rsidRPr="005B464B">
        <w:rPr>
          <w:rFonts w:hAnsi="標楷體" w:hint="eastAsia"/>
        </w:rPr>
        <w:t>「</w:t>
      </w:r>
      <w:r w:rsidRPr="005B464B">
        <w:rPr>
          <w:rFonts w:hAnsi="標楷體"/>
        </w:rPr>
        <w:t>由上而下</w:t>
      </w:r>
      <w:r w:rsidR="00AE4673" w:rsidRPr="005B464B">
        <w:rPr>
          <w:rFonts w:hAnsi="標楷體" w:hint="eastAsia"/>
        </w:rPr>
        <w:t>」</w:t>
      </w:r>
      <w:r w:rsidRPr="005B464B">
        <w:rPr>
          <w:rFonts w:hAnsi="標楷體"/>
        </w:rPr>
        <w:t>推動之國立大學合併案，</w:t>
      </w:r>
      <w:r w:rsidRPr="005B464B">
        <w:rPr>
          <w:rFonts w:hAnsi="標楷體" w:hint="eastAsia"/>
        </w:rPr>
        <w:t>經本</w:t>
      </w:r>
      <w:r w:rsidRPr="005B464B">
        <w:rPr>
          <w:rFonts w:hAnsi="標楷體"/>
        </w:rPr>
        <w:t>部審議會審議完畢</w:t>
      </w:r>
      <w:r w:rsidRPr="005B464B">
        <w:rPr>
          <w:rFonts w:hAnsi="標楷體" w:hint="eastAsia"/>
        </w:rPr>
        <w:t>後</w:t>
      </w:r>
      <w:r w:rsidRPr="005B464B">
        <w:rPr>
          <w:rFonts w:hAnsi="標楷體"/>
        </w:rPr>
        <w:t>，</w:t>
      </w:r>
      <w:proofErr w:type="gramStart"/>
      <w:r w:rsidRPr="005B464B">
        <w:rPr>
          <w:rFonts w:hAnsi="標楷體"/>
        </w:rPr>
        <w:t>均</w:t>
      </w:r>
      <w:r w:rsidRPr="005B464B">
        <w:rPr>
          <w:rFonts w:hAnsi="標楷體" w:hint="eastAsia"/>
        </w:rPr>
        <w:t>須</w:t>
      </w:r>
      <w:r w:rsidRPr="005B464B">
        <w:rPr>
          <w:rFonts w:hAnsi="標楷體"/>
        </w:rPr>
        <w:t>報請</w:t>
      </w:r>
      <w:proofErr w:type="gramEnd"/>
      <w:r w:rsidRPr="005B464B">
        <w:rPr>
          <w:rFonts w:hAnsi="標楷體"/>
        </w:rPr>
        <w:t>行政院同意（第1項）或核定（第2項）後再執行</w:t>
      </w:r>
      <w:r w:rsidRPr="005B464B">
        <w:rPr>
          <w:rFonts w:hAnsi="標楷體" w:hint="eastAsia"/>
        </w:rPr>
        <w:t>」。</w:t>
      </w:r>
      <w:r w:rsidRPr="005B464B">
        <w:rPr>
          <w:rFonts w:hint="eastAsia"/>
        </w:rPr>
        <w:t>證諸</w:t>
      </w:r>
      <w:proofErr w:type="gramStart"/>
      <w:r w:rsidRPr="005B464B">
        <w:rPr>
          <w:rFonts w:hint="eastAsia"/>
        </w:rPr>
        <w:t>該部所提供</w:t>
      </w:r>
      <w:proofErr w:type="gramEnd"/>
      <w:r w:rsidRPr="005B464B">
        <w:rPr>
          <w:rFonts w:hint="eastAsia"/>
        </w:rPr>
        <w:t>之近十餘年來公立大學合併案資料(參閱</w:t>
      </w:r>
      <w:r w:rsidRPr="005B464B">
        <w:rPr>
          <w:rFonts w:hAnsi="標楷體" w:hint="eastAsia"/>
          <w:szCs w:val="32"/>
        </w:rPr>
        <w:t>調查意見</w:t>
      </w:r>
      <w:proofErr w:type="gramStart"/>
      <w:r w:rsidRPr="005B464B">
        <w:rPr>
          <w:rFonts w:hAnsi="標楷體" w:hint="eastAsia"/>
          <w:szCs w:val="32"/>
        </w:rPr>
        <w:t>一</w:t>
      </w:r>
      <w:proofErr w:type="gramEnd"/>
      <w:r w:rsidRPr="005B464B">
        <w:rPr>
          <w:rFonts w:hAnsi="標楷體" w:hint="eastAsia"/>
          <w:szCs w:val="32"/>
        </w:rPr>
        <w:t>之表</w:t>
      </w:r>
      <w:r w:rsidR="005C5DEC" w:rsidRPr="005B464B">
        <w:rPr>
          <w:rFonts w:hAnsi="標楷體" w:hint="eastAsia"/>
          <w:szCs w:val="32"/>
        </w:rPr>
        <w:t>1</w:t>
      </w:r>
      <w:r w:rsidRPr="005B464B">
        <w:rPr>
          <w:rFonts w:hAnsi="標楷體" w:hint="eastAsia"/>
          <w:szCs w:val="32"/>
        </w:rPr>
        <w:t>8)</w:t>
      </w:r>
      <w:r w:rsidRPr="005B464B">
        <w:rPr>
          <w:rFonts w:hint="eastAsia"/>
        </w:rPr>
        <w:t>，除</w:t>
      </w:r>
      <w:r w:rsidRPr="005B464B">
        <w:rPr>
          <w:rFonts w:hAnsi="標楷體" w:hint="eastAsia"/>
          <w:szCs w:val="32"/>
        </w:rPr>
        <w:t>臺北市立教育大學與臺北市立體育學院合併案，因非屬國立大學合併案，故不受「</w:t>
      </w:r>
      <w:r w:rsidRPr="005B464B">
        <w:t>行政院</w:t>
      </w:r>
      <w:r w:rsidRPr="005B464B">
        <w:rPr>
          <w:rFonts w:hint="eastAsia"/>
        </w:rPr>
        <w:t>與所屬機關權責劃分表</w:t>
      </w:r>
      <w:r w:rsidRPr="005B464B">
        <w:t>（個別事項）</w:t>
      </w:r>
      <w:r w:rsidRPr="005B464B">
        <w:rPr>
          <w:rFonts w:hAnsi="標楷體" w:hint="eastAsia"/>
          <w:szCs w:val="32"/>
        </w:rPr>
        <w:t>」</w:t>
      </w:r>
      <w:proofErr w:type="gramStart"/>
      <w:r w:rsidRPr="005B464B">
        <w:t>規</w:t>
      </w:r>
      <w:proofErr w:type="gramEnd"/>
      <w:r w:rsidRPr="005B464B">
        <w:rPr>
          <w:rFonts w:hint="eastAsia"/>
        </w:rPr>
        <w:t>制，依</w:t>
      </w:r>
      <w:r w:rsidRPr="005B464B">
        <w:rPr>
          <w:rFonts w:hAnsi="標楷體" w:hint="eastAsia"/>
        </w:rPr>
        <w:t>「</w:t>
      </w:r>
      <w:r w:rsidRPr="005B464B">
        <w:rPr>
          <w:rFonts w:hint="eastAsia"/>
        </w:rPr>
        <w:t>大學法</w:t>
      </w:r>
      <w:r w:rsidRPr="005B464B">
        <w:rPr>
          <w:rFonts w:hAnsi="標楷體" w:hint="eastAsia"/>
        </w:rPr>
        <w:t>」</w:t>
      </w:r>
      <w:r w:rsidRPr="005B464B">
        <w:rPr>
          <w:rFonts w:hint="eastAsia"/>
        </w:rPr>
        <w:t>第7條第1項規定，僅須經教育部核定後即可執行；其餘7案，教育部雖均認為屬於學校</w:t>
      </w:r>
      <w:r w:rsidRPr="005B464B">
        <w:rPr>
          <w:rFonts w:hAnsi="標楷體" w:hint="eastAsia"/>
        </w:rPr>
        <w:t>「</w:t>
      </w:r>
      <w:r w:rsidRPr="005B464B">
        <w:rPr>
          <w:rFonts w:hint="eastAsia"/>
        </w:rPr>
        <w:t>由下而上</w:t>
      </w:r>
      <w:r w:rsidRPr="005B464B">
        <w:rPr>
          <w:rFonts w:hAnsi="標楷體" w:hint="eastAsia"/>
        </w:rPr>
        <w:t>」自</w:t>
      </w:r>
      <w:r w:rsidRPr="005B464B">
        <w:rPr>
          <w:rFonts w:hint="eastAsia"/>
        </w:rPr>
        <w:t>主推動類型，惟各校之合併計畫報教育部後，該部之審議結果</w:t>
      </w:r>
      <w:proofErr w:type="gramStart"/>
      <w:r w:rsidRPr="005B464B">
        <w:rPr>
          <w:rFonts w:hint="eastAsia"/>
        </w:rPr>
        <w:t>確實均</w:t>
      </w:r>
      <w:r w:rsidR="00AE4673" w:rsidRPr="005B464B">
        <w:rPr>
          <w:rFonts w:hint="eastAsia"/>
        </w:rPr>
        <w:t>需</w:t>
      </w:r>
      <w:r w:rsidRPr="005B464B">
        <w:rPr>
          <w:rFonts w:hint="eastAsia"/>
        </w:rPr>
        <w:t>再</w:t>
      </w:r>
      <w:proofErr w:type="gramEnd"/>
      <w:r w:rsidRPr="005B464B">
        <w:rPr>
          <w:rFonts w:hint="eastAsia"/>
        </w:rPr>
        <w:t>陳報行政院核定後始</w:t>
      </w:r>
      <w:r w:rsidR="00AE4673" w:rsidRPr="005B464B">
        <w:rPr>
          <w:rFonts w:hint="eastAsia"/>
        </w:rPr>
        <w:t>可</w:t>
      </w:r>
      <w:r w:rsidRPr="005B464B">
        <w:rPr>
          <w:rFonts w:hint="eastAsia"/>
        </w:rPr>
        <w:t>執行。</w:t>
      </w:r>
    </w:p>
    <w:p w:rsidR="00D974E1" w:rsidRPr="005B464B" w:rsidRDefault="00D974E1" w:rsidP="00D974E1">
      <w:pPr>
        <w:pStyle w:val="3"/>
        <w:numPr>
          <w:ilvl w:val="2"/>
          <w:numId w:val="1"/>
        </w:numPr>
      </w:pPr>
      <w:r w:rsidRPr="005B464B">
        <w:rPr>
          <w:rFonts w:hint="eastAsia"/>
        </w:rPr>
        <w:t>經核，「</w:t>
      </w:r>
      <w:r w:rsidRPr="005B464B">
        <w:t>行政院</w:t>
      </w:r>
      <w:r w:rsidRPr="005B464B">
        <w:rPr>
          <w:rFonts w:hint="eastAsia"/>
        </w:rPr>
        <w:t>與所屬機關權責劃分表</w:t>
      </w:r>
      <w:r w:rsidRPr="005B464B">
        <w:t>（個別事項）</w:t>
      </w:r>
      <w:r w:rsidRPr="005B464B">
        <w:rPr>
          <w:rFonts w:hint="eastAsia"/>
        </w:rPr>
        <w:t>」將</w:t>
      </w:r>
      <w:r w:rsidRPr="005B464B">
        <w:rPr>
          <w:rFonts w:hAnsi="標楷體" w:hint="eastAsia"/>
        </w:rPr>
        <w:t>「</w:t>
      </w:r>
      <w:r w:rsidRPr="005B464B">
        <w:rPr>
          <w:rFonts w:hint="eastAsia"/>
        </w:rPr>
        <w:t>由下而上</w:t>
      </w:r>
      <w:r w:rsidRPr="005B464B">
        <w:rPr>
          <w:rFonts w:hAnsi="標楷體" w:hint="eastAsia"/>
        </w:rPr>
        <w:t>」</w:t>
      </w:r>
      <w:r w:rsidRPr="005B464B">
        <w:rPr>
          <w:rFonts w:hint="eastAsia"/>
        </w:rPr>
        <w:t>及</w:t>
      </w:r>
      <w:r w:rsidRPr="005B464B">
        <w:rPr>
          <w:rFonts w:hAnsi="標楷體" w:hint="eastAsia"/>
        </w:rPr>
        <w:t>「</w:t>
      </w:r>
      <w:r w:rsidRPr="005B464B">
        <w:rPr>
          <w:rFonts w:hint="eastAsia"/>
        </w:rPr>
        <w:t>由上而下</w:t>
      </w:r>
      <w:r w:rsidRPr="005B464B">
        <w:rPr>
          <w:rFonts w:hAnsi="標楷體" w:hint="eastAsia"/>
        </w:rPr>
        <w:t>」</w:t>
      </w:r>
      <w:r w:rsidRPr="005B464B">
        <w:rPr>
          <w:rFonts w:hint="eastAsia"/>
        </w:rPr>
        <w:t>之國立大學整</w:t>
      </w:r>
      <w:proofErr w:type="gramStart"/>
      <w:r w:rsidRPr="005B464B">
        <w:rPr>
          <w:rFonts w:hint="eastAsia"/>
        </w:rPr>
        <w:t>併</w:t>
      </w:r>
      <w:proofErr w:type="gramEnd"/>
      <w:r w:rsidRPr="005B464B">
        <w:rPr>
          <w:rFonts w:hint="eastAsia"/>
        </w:rPr>
        <w:t>核定權，統由行政院管轄乙節，</w:t>
      </w:r>
      <w:proofErr w:type="gramStart"/>
      <w:r w:rsidRPr="005B464B">
        <w:rPr>
          <w:rFonts w:hint="eastAsia"/>
        </w:rPr>
        <w:t>縱依教育部</w:t>
      </w:r>
      <w:proofErr w:type="gramEnd"/>
      <w:r w:rsidRPr="005B464B">
        <w:rPr>
          <w:rFonts w:hint="eastAsia"/>
        </w:rPr>
        <w:t>前開說明，係有行政院基於</w:t>
      </w:r>
      <w:r w:rsidRPr="005B464B">
        <w:rPr>
          <w:rFonts w:hAnsi="標楷體"/>
        </w:rPr>
        <w:t>國家整體資源運用</w:t>
      </w:r>
      <w:r w:rsidRPr="005B464B">
        <w:rPr>
          <w:rFonts w:hint="eastAsia"/>
        </w:rPr>
        <w:t>之考量；</w:t>
      </w:r>
      <w:r w:rsidRPr="005B464B">
        <w:rPr>
          <w:rFonts w:hAnsi="標楷體" w:hint="eastAsia"/>
        </w:rPr>
        <w:t>惟「</w:t>
      </w:r>
      <w:r w:rsidRPr="005B464B">
        <w:rPr>
          <w:rFonts w:hint="eastAsia"/>
        </w:rPr>
        <w:t>大學法</w:t>
      </w:r>
      <w:r w:rsidRPr="005B464B">
        <w:rPr>
          <w:rFonts w:hAnsi="標楷體" w:hint="eastAsia"/>
        </w:rPr>
        <w:t>」第7條第1項既已明定「由下而上」之大學合併案核定權為教育部權責，並與同條第2項「由上而下」之大學</w:t>
      </w:r>
      <w:proofErr w:type="gramStart"/>
      <w:r w:rsidRPr="005B464B">
        <w:rPr>
          <w:rFonts w:hAnsi="標楷體" w:hint="eastAsia"/>
        </w:rPr>
        <w:t>合併案異其</w:t>
      </w:r>
      <w:proofErr w:type="gramEnd"/>
      <w:r w:rsidRPr="005B464B">
        <w:rPr>
          <w:rFonts w:hAnsi="標楷體" w:hint="eastAsia"/>
        </w:rPr>
        <w:t>核定程序，上開權責劃分表猶</w:t>
      </w:r>
      <w:proofErr w:type="gramStart"/>
      <w:r w:rsidRPr="005B464B">
        <w:rPr>
          <w:rFonts w:hAnsi="標楷體" w:hint="eastAsia"/>
        </w:rPr>
        <w:t>逕</w:t>
      </w:r>
      <w:proofErr w:type="gramEnd"/>
      <w:r w:rsidRPr="005B464B">
        <w:rPr>
          <w:rFonts w:hAnsi="標楷體" w:hint="eastAsia"/>
        </w:rPr>
        <w:t>以行政規則變更法律所定之事務分配，依</w:t>
      </w:r>
      <w:r w:rsidRPr="005B464B">
        <w:rPr>
          <w:rFonts w:hAnsi="標楷體" w:hint="eastAsia"/>
        </w:rPr>
        <w:lastRenderedPageBreak/>
        <w:t>「憲法」第172條「</w:t>
      </w:r>
      <w:r w:rsidRPr="005B464B">
        <w:rPr>
          <w:rFonts w:hAnsi="標楷體"/>
        </w:rPr>
        <w:t>命令與憲法或法律牴觸者無效</w:t>
      </w:r>
      <w:r w:rsidRPr="005B464B">
        <w:rPr>
          <w:rFonts w:hAnsi="標楷體" w:hint="eastAsia"/>
        </w:rPr>
        <w:t>」及「中央法規標準法」第11條「法律不得牴觸憲法，命令不得牴觸憲法或法律…</w:t>
      </w:r>
      <w:proofErr w:type="gramStart"/>
      <w:r w:rsidRPr="005B464B">
        <w:rPr>
          <w:rFonts w:hAnsi="標楷體" w:hint="eastAsia"/>
        </w:rPr>
        <w:t>…</w:t>
      </w:r>
      <w:proofErr w:type="gramEnd"/>
      <w:r w:rsidRPr="005B464B">
        <w:rPr>
          <w:rFonts w:hAnsi="標楷體" w:hint="eastAsia"/>
        </w:rPr>
        <w:t>」等規定，系爭權責劃分表就「</w:t>
      </w:r>
      <w:r w:rsidRPr="005B464B">
        <w:rPr>
          <w:rFonts w:hint="eastAsia"/>
        </w:rPr>
        <w:t>由下而上」之大學合併案部分，其適法性自屬有</w:t>
      </w:r>
      <w:proofErr w:type="gramStart"/>
      <w:r w:rsidRPr="005B464B">
        <w:rPr>
          <w:rFonts w:hint="eastAsia"/>
        </w:rPr>
        <w:t>疑</w:t>
      </w:r>
      <w:proofErr w:type="gramEnd"/>
      <w:r w:rsidRPr="005B464B">
        <w:rPr>
          <w:rFonts w:hint="eastAsia"/>
        </w:rPr>
        <w:t>；且易予外界行政院「越俎代庖」、「政治凌駕教育」之負面觀感，教育部更恐難脫「裁量怠惰」及</w:t>
      </w:r>
      <w:r w:rsidRPr="005B464B">
        <w:rPr>
          <w:rFonts w:hAnsi="標楷體" w:hint="eastAsia"/>
        </w:rPr>
        <w:t>「</w:t>
      </w:r>
      <w:r w:rsidRPr="005B464B">
        <w:rPr>
          <w:rFonts w:hint="eastAsia"/>
        </w:rPr>
        <w:t>延宕合併期程</w:t>
      </w:r>
      <w:r w:rsidRPr="005B464B">
        <w:rPr>
          <w:rFonts w:hAnsi="標楷體" w:hint="eastAsia"/>
        </w:rPr>
        <w:t>」</w:t>
      </w:r>
      <w:r w:rsidRPr="005B464B">
        <w:rPr>
          <w:rFonts w:hint="eastAsia"/>
        </w:rPr>
        <w:t>等指摘，而有害政府整體形象。</w:t>
      </w:r>
    </w:p>
    <w:p w:rsidR="00D974E1" w:rsidRPr="005B464B" w:rsidRDefault="00D974E1" w:rsidP="00D974E1">
      <w:pPr>
        <w:pStyle w:val="3"/>
        <w:numPr>
          <w:ilvl w:val="2"/>
          <w:numId w:val="1"/>
        </w:numPr>
      </w:pPr>
      <w:r w:rsidRPr="005B464B">
        <w:rPr>
          <w:rFonts w:hint="eastAsia"/>
        </w:rPr>
        <w:t>茲以國立高雄海洋科技大學與國立高雄第一科技大學2校合併案為例，該2校之合併計畫書於去(105)年3月15日即已依教育部技專校院設立變更及停辦審議會意見修正計畫內容後再報教育部，經教育部於</w:t>
      </w:r>
      <w:r w:rsidRPr="005B464B">
        <w:t>105年3月28日</w:t>
      </w:r>
      <w:r w:rsidRPr="005B464B">
        <w:rPr>
          <w:rFonts w:hint="eastAsia"/>
        </w:rPr>
        <w:t>及105年5月11日二次函報行政院，惟遭該院先後於105年4月6日及105年5月18日退回再處理</w:t>
      </w:r>
      <w:r w:rsidRPr="005B464B">
        <w:t>，教育部</w:t>
      </w:r>
      <w:r w:rsidR="00CF2F09" w:rsidRPr="005B464B">
        <w:rPr>
          <w:rFonts w:hint="eastAsia"/>
        </w:rPr>
        <w:t>至</w:t>
      </w:r>
      <w:r w:rsidRPr="005B464B">
        <w:rPr>
          <w:rFonts w:hint="eastAsia"/>
        </w:rPr>
        <w:t>此即未再提報行政院。</w:t>
      </w:r>
      <w:proofErr w:type="gramStart"/>
      <w:r w:rsidRPr="005B464B">
        <w:rPr>
          <w:rFonts w:hint="eastAsia"/>
        </w:rPr>
        <w:t>迄本案</w:t>
      </w:r>
      <w:proofErr w:type="gramEnd"/>
      <w:r w:rsidRPr="005B464B">
        <w:rPr>
          <w:rFonts w:hint="eastAsia"/>
        </w:rPr>
        <w:t>調查</w:t>
      </w:r>
      <w:proofErr w:type="gramStart"/>
      <w:r w:rsidRPr="005B464B">
        <w:rPr>
          <w:rFonts w:hint="eastAsia"/>
        </w:rPr>
        <w:t>期間，</w:t>
      </w:r>
      <w:proofErr w:type="gramEnd"/>
      <w:r w:rsidRPr="005B464B">
        <w:rPr>
          <w:rFonts w:hint="eastAsia"/>
        </w:rPr>
        <w:t>調查委員於106年3月22日及23日赴國立高雄海洋科技大學、國立高雄應用科技大學與國立高雄第一科技大學等3校訪查相關合併過程爭議情形時，國立高雄海洋科技大學及國立高雄第一科技</w:t>
      </w:r>
      <w:proofErr w:type="gramStart"/>
      <w:r w:rsidRPr="005B464B">
        <w:rPr>
          <w:rFonts w:hint="eastAsia"/>
        </w:rPr>
        <w:t>大學均就</w:t>
      </w:r>
      <w:proofErr w:type="gramEnd"/>
      <w:r w:rsidRPr="005B464B">
        <w:rPr>
          <w:rFonts w:hint="eastAsia"/>
        </w:rPr>
        <w:t>2校合併計畫</w:t>
      </w:r>
      <w:proofErr w:type="gramStart"/>
      <w:r w:rsidRPr="005B464B">
        <w:rPr>
          <w:rFonts w:hint="eastAsia"/>
        </w:rPr>
        <w:t>書報部後未</w:t>
      </w:r>
      <w:proofErr w:type="gramEnd"/>
      <w:r w:rsidRPr="005B464B">
        <w:rPr>
          <w:rFonts w:hint="eastAsia"/>
        </w:rPr>
        <w:t>獲回應乙節，表達業造成校務規劃與推動之高度不確定，及影響師生權益，並陳稱「學校該走的程序都走完了…</w:t>
      </w:r>
      <w:proofErr w:type="gramStart"/>
      <w:r w:rsidRPr="005B464B">
        <w:rPr>
          <w:rFonts w:hint="eastAsia"/>
        </w:rPr>
        <w:t>…</w:t>
      </w:r>
      <w:proofErr w:type="gramEnd"/>
      <w:r w:rsidRPr="005B464B">
        <w:rPr>
          <w:rFonts w:hint="eastAsia"/>
        </w:rPr>
        <w:t>且合併案係由本校的行政人員及教師</w:t>
      </w:r>
      <w:r w:rsidR="00CF2F09" w:rsidRPr="005B464B">
        <w:rPr>
          <w:rFonts w:hAnsi="標楷體" w:hint="eastAsia"/>
        </w:rPr>
        <w:t>『</w:t>
      </w:r>
      <w:r w:rsidRPr="005B464B">
        <w:rPr>
          <w:rFonts w:hint="eastAsia"/>
        </w:rPr>
        <w:t>由下而上</w:t>
      </w:r>
      <w:r w:rsidR="00CF2F09" w:rsidRPr="005B464B">
        <w:rPr>
          <w:rFonts w:hAnsi="標楷體" w:hint="eastAsia"/>
        </w:rPr>
        <w:t>』</w:t>
      </w:r>
      <w:r w:rsidRPr="005B464B">
        <w:rPr>
          <w:rFonts w:hint="eastAsia"/>
        </w:rPr>
        <w:t>投票通過，應給予尊重，不清楚教育部為何遲遲未做決定且延宕許久」、「我們一直等待，很希望教育部明確告知」、「合併案報教育部後被退回2次，中間教育部要求補件修改等都已完成，</w:t>
      </w:r>
      <w:proofErr w:type="gramStart"/>
      <w:r w:rsidRPr="005B464B">
        <w:rPr>
          <w:rFonts w:hint="eastAsia"/>
        </w:rPr>
        <w:t>現在僅等教育部</w:t>
      </w:r>
      <w:proofErr w:type="gramEnd"/>
      <w:r w:rsidRPr="005B464B">
        <w:rPr>
          <w:rFonts w:hint="eastAsia"/>
        </w:rPr>
        <w:t>回應」等語，調查委員</w:t>
      </w:r>
      <w:proofErr w:type="gramStart"/>
      <w:r w:rsidRPr="005B464B">
        <w:rPr>
          <w:rFonts w:hint="eastAsia"/>
        </w:rPr>
        <w:t>爰</w:t>
      </w:r>
      <w:proofErr w:type="gramEnd"/>
      <w:r w:rsidRPr="005B464B">
        <w:rPr>
          <w:rFonts w:hint="eastAsia"/>
        </w:rPr>
        <w:t>促請隨行之教育部代表儘速依法定程序辦理，該</w:t>
      </w:r>
      <w:proofErr w:type="gramStart"/>
      <w:r w:rsidRPr="005B464B">
        <w:rPr>
          <w:rFonts w:hint="eastAsia"/>
        </w:rPr>
        <w:t>部於106年3月23日始復</w:t>
      </w:r>
      <w:proofErr w:type="gramEnd"/>
      <w:r w:rsidRPr="005B464B">
        <w:rPr>
          <w:rFonts w:hint="eastAsia"/>
        </w:rPr>
        <w:t>將本案計畫書函送行政院核定</w:t>
      </w:r>
      <w:r w:rsidR="006C619F" w:rsidRPr="005B464B">
        <w:rPr>
          <w:rFonts w:hint="eastAsia"/>
        </w:rPr>
        <w:t>；</w:t>
      </w:r>
      <w:proofErr w:type="gramStart"/>
      <w:r w:rsidR="006C619F" w:rsidRPr="005B464B">
        <w:rPr>
          <w:rFonts w:hint="eastAsia"/>
        </w:rPr>
        <w:t>惟查截至</w:t>
      </w:r>
      <w:proofErr w:type="gramEnd"/>
      <w:r w:rsidR="006C619F" w:rsidRPr="005B464B">
        <w:rPr>
          <w:rFonts w:hint="eastAsia"/>
        </w:rPr>
        <w:t>106年6月初</w:t>
      </w:r>
      <w:r w:rsidR="006C619F" w:rsidRPr="005B464B">
        <w:rPr>
          <w:rStyle w:val="aff2"/>
        </w:rPr>
        <w:lastRenderedPageBreak/>
        <w:footnoteReference w:id="27"/>
      </w:r>
      <w:r w:rsidR="006C619F" w:rsidRPr="005B464B">
        <w:rPr>
          <w:rFonts w:hint="eastAsia"/>
        </w:rPr>
        <w:t>，行政院仍未就該案為准駁之核定，</w:t>
      </w:r>
      <w:r w:rsidRPr="005B464B">
        <w:rPr>
          <w:rFonts w:hint="eastAsia"/>
        </w:rPr>
        <w:t>顯見現行實務作法，不但有違</w:t>
      </w:r>
      <w:r w:rsidRPr="005B464B">
        <w:rPr>
          <w:rFonts w:hAnsi="標楷體" w:hint="eastAsia"/>
        </w:rPr>
        <w:t>「</w:t>
      </w:r>
      <w:r w:rsidRPr="005B464B">
        <w:rPr>
          <w:rFonts w:hint="eastAsia"/>
        </w:rPr>
        <w:t>大學法</w:t>
      </w:r>
      <w:r w:rsidRPr="005B464B">
        <w:rPr>
          <w:rFonts w:hAnsi="標楷體" w:hint="eastAsia"/>
        </w:rPr>
        <w:t>」</w:t>
      </w:r>
      <w:r w:rsidRPr="005B464B">
        <w:rPr>
          <w:rFonts w:hint="eastAsia"/>
        </w:rPr>
        <w:t>第7條第1項規定，</w:t>
      </w:r>
      <w:proofErr w:type="gramStart"/>
      <w:r w:rsidRPr="005B464B">
        <w:rPr>
          <w:rFonts w:hint="eastAsia"/>
        </w:rPr>
        <w:t>且確有</w:t>
      </w:r>
      <w:proofErr w:type="gramEnd"/>
      <w:r w:rsidRPr="005B464B">
        <w:rPr>
          <w:rFonts w:hint="eastAsia"/>
        </w:rPr>
        <w:t>「政治凌駕教育」、</w:t>
      </w:r>
      <w:r w:rsidRPr="005B464B">
        <w:rPr>
          <w:rFonts w:hAnsi="標楷體" w:hint="eastAsia"/>
        </w:rPr>
        <w:t>「</w:t>
      </w:r>
      <w:r w:rsidRPr="005B464B">
        <w:rPr>
          <w:rFonts w:hint="eastAsia"/>
        </w:rPr>
        <w:t>延宕合併期程</w:t>
      </w:r>
      <w:r w:rsidRPr="005B464B">
        <w:rPr>
          <w:rFonts w:hAnsi="標楷體" w:hint="eastAsia"/>
        </w:rPr>
        <w:t>」等之不利影響，允應切實檢討改善。</w:t>
      </w:r>
    </w:p>
    <w:p w:rsidR="00D974E1" w:rsidRPr="005B464B" w:rsidRDefault="00D974E1" w:rsidP="00D974E1">
      <w:pPr>
        <w:pStyle w:val="3"/>
        <w:numPr>
          <w:ilvl w:val="2"/>
          <w:numId w:val="1"/>
        </w:numPr>
        <w:rPr>
          <w:rFonts w:hAnsi="標楷體"/>
        </w:rPr>
      </w:pPr>
      <w:r w:rsidRPr="005B464B">
        <w:rPr>
          <w:rFonts w:hint="eastAsia"/>
        </w:rPr>
        <w:t>綜上，</w:t>
      </w:r>
      <w:r w:rsidRPr="005B464B">
        <w:rPr>
          <w:rFonts w:hAnsi="標楷體" w:hint="eastAsia"/>
        </w:rPr>
        <w:t>「</w:t>
      </w:r>
      <w:r w:rsidRPr="005B464B">
        <w:rPr>
          <w:rFonts w:hint="eastAsia"/>
        </w:rPr>
        <w:t>大學法</w:t>
      </w:r>
      <w:r w:rsidRPr="005B464B">
        <w:rPr>
          <w:rFonts w:hAnsi="標楷體" w:hint="eastAsia"/>
        </w:rPr>
        <w:t>」第7條第1項及第2項係分就國立大學「由下而上」及「由上而下」之合併案，律定不同之推動與核定程序。教育部宣稱為減少合併阻力，鼓勵學校適用「</w:t>
      </w:r>
      <w:r w:rsidRPr="005B464B">
        <w:rPr>
          <w:rFonts w:hint="eastAsia"/>
        </w:rPr>
        <w:t>大學法</w:t>
      </w:r>
      <w:r w:rsidRPr="005B464B">
        <w:rPr>
          <w:rFonts w:hAnsi="標楷體" w:hint="eastAsia"/>
        </w:rPr>
        <w:t>」第7條第1項，採取「由下而上」模式合併，此模式之法定程序毋須報經行政院核定，容有別於法定由教育部主導「由上而下」者；然而實務上，學校依前開規定推動合併之案件，依</w:t>
      </w:r>
      <w:proofErr w:type="gramStart"/>
      <w:r w:rsidRPr="005B464B">
        <w:rPr>
          <w:rFonts w:hAnsi="標楷體" w:hint="eastAsia"/>
        </w:rPr>
        <w:t>行政院函頒之</w:t>
      </w:r>
      <w:proofErr w:type="gramEnd"/>
      <w:r w:rsidRPr="005B464B">
        <w:rPr>
          <w:rFonts w:hAnsi="標楷體" w:hint="eastAsia"/>
        </w:rPr>
        <w:t>「</w:t>
      </w:r>
      <w:r w:rsidRPr="005B464B">
        <w:rPr>
          <w:rFonts w:hAnsi="標楷體"/>
        </w:rPr>
        <w:t>行政院</w:t>
      </w:r>
      <w:r w:rsidRPr="005B464B">
        <w:rPr>
          <w:rFonts w:hAnsi="標楷體" w:hint="eastAsia"/>
        </w:rPr>
        <w:t>與所屬機關權責劃分表</w:t>
      </w:r>
      <w:r w:rsidRPr="005B464B">
        <w:rPr>
          <w:rFonts w:hAnsi="標楷體"/>
        </w:rPr>
        <w:t>（個別事項）</w:t>
      </w:r>
      <w:r w:rsidRPr="005B464B">
        <w:rPr>
          <w:rFonts w:hAnsi="標楷體" w:hint="eastAsia"/>
        </w:rPr>
        <w:t>」，仍須經行政院核定，不但有違「</w:t>
      </w:r>
      <w:r w:rsidRPr="005B464B">
        <w:rPr>
          <w:rFonts w:hint="eastAsia"/>
        </w:rPr>
        <w:t>大學法</w:t>
      </w:r>
      <w:r w:rsidRPr="005B464B">
        <w:rPr>
          <w:rFonts w:hAnsi="標楷體" w:hint="eastAsia"/>
        </w:rPr>
        <w:t>」第7條第1項規定，且因核定期程與決定</w:t>
      </w:r>
      <w:proofErr w:type="gramStart"/>
      <w:r w:rsidRPr="005B464B">
        <w:rPr>
          <w:rFonts w:hAnsi="標楷體" w:hint="eastAsia"/>
        </w:rPr>
        <w:t>基準均未具體</w:t>
      </w:r>
      <w:proofErr w:type="gramEnd"/>
      <w:r w:rsidRPr="005B464B">
        <w:rPr>
          <w:rFonts w:hAnsi="標楷體" w:hint="eastAsia"/>
        </w:rPr>
        <w:t>明確，恐有導致「政治凌駕教育」、「延宕合併期程」等之虞。行政院允應督同教育部確實檢討上開程序是否周妥，並</w:t>
      </w:r>
      <w:proofErr w:type="gramStart"/>
      <w:r w:rsidRPr="005B464B">
        <w:rPr>
          <w:rFonts w:hAnsi="標楷體" w:hint="eastAsia"/>
        </w:rPr>
        <w:t>研</w:t>
      </w:r>
      <w:proofErr w:type="gramEnd"/>
      <w:r w:rsidRPr="005B464B">
        <w:rPr>
          <w:rFonts w:hAnsi="標楷體" w:hint="eastAsia"/>
        </w:rPr>
        <w:t>提符合法制之相應作為，</w:t>
      </w:r>
      <w:proofErr w:type="gramStart"/>
      <w:r w:rsidRPr="005B464B">
        <w:rPr>
          <w:rFonts w:hAnsi="標楷體" w:hint="eastAsia"/>
        </w:rPr>
        <w:t>俾</w:t>
      </w:r>
      <w:proofErr w:type="gramEnd"/>
      <w:r w:rsidRPr="005B464B">
        <w:rPr>
          <w:rFonts w:hAnsi="標楷體" w:hint="eastAsia"/>
        </w:rPr>
        <w:t>貫徹行政機關「依法行政」原則。</w:t>
      </w:r>
    </w:p>
    <w:p w:rsidR="00A00A1C" w:rsidRPr="005B464B" w:rsidRDefault="00A00A1C" w:rsidP="00A00A1C"/>
    <w:p w:rsidR="00D974E1" w:rsidRPr="005B464B" w:rsidRDefault="00D974E1" w:rsidP="00A00A1C">
      <w:pPr>
        <w:pStyle w:val="2"/>
        <w:rPr>
          <w:b/>
        </w:rPr>
      </w:pPr>
      <w:bookmarkStart w:id="54" w:name="_Toc485138865"/>
      <w:r w:rsidRPr="005B464B">
        <w:rPr>
          <w:rFonts w:hint="eastAsia"/>
          <w:b/>
        </w:rPr>
        <w:t>國立大學合併類型，無論係考量體制或功能而採取同質或異質整合，</w:t>
      </w:r>
      <w:proofErr w:type="gramStart"/>
      <w:r w:rsidRPr="005B464B">
        <w:rPr>
          <w:rFonts w:hint="eastAsia"/>
          <w:b/>
        </w:rPr>
        <w:t>均屬利弊</w:t>
      </w:r>
      <w:proofErr w:type="gramEnd"/>
      <w:r w:rsidRPr="005B464B">
        <w:rPr>
          <w:rFonts w:hint="eastAsia"/>
          <w:b/>
        </w:rPr>
        <w:t>互見，惟各該模式之合併阻力與待決問題</w:t>
      </w:r>
      <w:proofErr w:type="gramStart"/>
      <w:r w:rsidRPr="005B464B">
        <w:rPr>
          <w:rFonts w:hint="eastAsia"/>
          <w:b/>
        </w:rPr>
        <w:t>洵</w:t>
      </w:r>
      <w:proofErr w:type="gramEnd"/>
      <w:r w:rsidRPr="005B464B">
        <w:rPr>
          <w:rFonts w:hint="eastAsia"/>
          <w:b/>
        </w:rPr>
        <w:t>有區別，且亦阻礙合併進展及效益，教育部允應會同有關單位及學校</w:t>
      </w:r>
      <w:proofErr w:type="gramStart"/>
      <w:r w:rsidRPr="005B464B">
        <w:rPr>
          <w:rFonts w:hint="eastAsia"/>
          <w:b/>
        </w:rPr>
        <w:t>謀求妥處</w:t>
      </w:r>
      <w:r w:rsidR="00CF2F09" w:rsidRPr="005B464B">
        <w:rPr>
          <w:rFonts w:hint="eastAsia"/>
          <w:b/>
        </w:rPr>
        <w:t>對策</w:t>
      </w:r>
      <w:proofErr w:type="gramEnd"/>
      <w:r w:rsidRPr="005B464B">
        <w:rPr>
          <w:rFonts w:hint="eastAsia"/>
          <w:b/>
        </w:rPr>
        <w:t>；</w:t>
      </w:r>
      <w:proofErr w:type="gramStart"/>
      <w:r w:rsidRPr="005B464B">
        <w:rPr>
          <w:rFonts w:hint="eastAsia"/>
          <w:b/>
        </w:rPr>
        <w:t>此外，</w:t>
      </w:r>
      <w:proofErr w:type="gramEnd"/>
      <w:r w:rsidRPr="005B464B">
        <w:rPr>
          <w:rFonts w:hint="eastAsia"/>
          <w:b/>
        </w:rPr>
        <w:t>大學合併仍以追求卓越為目標，學校定位及教學研究發展等事項於合併</w:t>
      </w:r>
      <w:proofErr w:type="gramStart"/>
      <w:r w:rsidRPr="005B464B">
        <w:rPr>
          <w:rFonts w:hint="eastAsia"/>
          <w:b/>
        </w:rPr>
        <w:t>後均生質變</w:t>
      </w:r>
      <w:proofErr w:type="gramEnd"/>
      <w:r w:rsidRPr="005B464B">
        <w:rPr>
          <w:rFonts w:hint="eastAsia"/>
          <w:b/>
        </w:rPr>
        <w:t>，適當之經費支援及輔導，乃屬必要，後續允由教育部正視協處。</w:t>
      </w:r>
      <w:bookmarkEnd w:id="54"/>
    </w:p>
    <w:p w:rsidR="00D974E1" w:rsidRPr="005B464B" w:rsidRDefault="00D974E1" w:rsidP="00D974E1">
      <w:pPr>
        <w:pStyle w:val="3"/>
        <w:numPr>
          <w:ilvl w:val="2"/>
          <w:numId w:val="1"/>
        </w:numPr>
      </w:pPr>
      <w:r w:rsidRPr="005B464B">
        <w:rPr>
          <w:rFonts w:hint="eastAsia"/>
        </w:rPr>
        <w:t>「國立大學合併推動辦法」第5條規定：「教育部考量下列條件後，</w:t>
      </w:r>
      <w:proofErr w:type="gramStart"/>
      <w:r w:rsidRPr="005B464B">
        <w:rPr>
          <w:rFonts w:hint="eastAsia"/>
        </w:rPr>
        <w:t>得擬具</w:t>
      </w:r>
      <w:proofErr w:type="gramEnd"/>
      <w:r w:rsidRPr="005B464B">
        <w:rPr>
          <w:rFonts w:hint="eastAsia"/>
        </w:rPr>
        <w:t>合併學校名單連同合併構</w:t>
      </w:r>
      <w:r w:rsidRPr="005B464B">
        <w:rPr>
          <w:rFonts w:hint="eastAsia"/>
        </w:rPr>
        <w:lastRenderedPageBreak/>
        <w:t>想，提交審議會審議：一、學校之學術領域分布廣度。二、學校之招生規模及教職員數量。三、學校之每位學生所獲教育資源，包括校舍空間、土地面積、圖書及經費等。四、學校自籌經費能力。五、學校接受評鑑結果。六、學校坐落地理位置。七、與鄰近學校教學及研究之互補程度及跨校交流情形。八、學生實際註冊率。九、其他有助於整合教育資源及提升學校競爭力之條件。」復依「</w:t>
      </w:r>
      <w:hyperlink r:id="rId12" w:history="1">
        <w:r w:rsidRPr="005B464B">
          <w:rPr>
            <w:rFonts w:hint="eastAsia"/>
          </w:rPr>
          <w:t>專科以上學校及其分校分部專科部技術型高級中等學校部設立變更停辦辦法</w:t>
        </w:r>
      </w:hyperlink>
      <w:r w:rsidRPr="005B464B">
        <w:rPr>
          <w:rFonts w:hint="eastAsia"/>
        </w:rPr>
        <w:t>」第2條第3項</w:t>
      </w:r>
      <w:r w:rsidRPr="005B464B">
        <w:t>規定</w:t>
      </w:r>
      <w:r w:rsidRPr="005B464B">
        <w:rPr>
          <w:rFonts w:hint="eastAsia"/>
        </w:rPr>
        <w:t>，學校依合併型態，分為「存續合併」與「新設合併」二類。「存續合併」指合併後僅一校存續，其他學校變更為存續學校之一部分、分部、分校或專科部；「新設合併」指合併後以成立另一所新設專科以上學校視之，並另定新校名。亦即，教育部推動國立大學合併，應考量上開學校條件，視個別情形推動不同類型之合併；或者，學校由下而上自行</w:t>
      </w:r>
      <w:proofErr w:type="gramStart"/>
      <w:r w:rsidRPr="005B464B">
        <w:rPr>
          <w:rFonts w:hint="eastAsia"/>
        </w:rPr>
        <w:t>研</w:t>
      </w:r>
      <w:proofErr w:type="gramEnd"/>
      <w:r w:rsidRPr="005B464B">
        <w:rPr>
          <w:rFonts w:hint="eastAsia"/>
        </w:rPr>
        <w:t>商合併時，亦應就各該</w:t>
      </w:r>
      <w:r w:rsidRPr="005B464B">
        <w:t>資源整合、校內溝通流程、校務會議通過、</w:t>
      </w:r>
      <w:r w:rsidRPr="005B464B">
        <w:rPr>
          <w:rFonts w:hint="eastAsia"/>
        </w:rPr>
        <w:t>報教育</w:t>
      </w:r>
      <w:r w:rsidRPr="005B464B">
        <w:t>部審議程序</w:t>
      </w:r>
      <w:r w:rsidRPr="005B464B">
        <w:rPr>
          <w:rFonts w:hint="eastAsia"/>
        </w:rPr>
        <w:t>以及</w:t>
      </w:r>
      <w:r w:rsidRPr="005B464B">
        <w:t>究</w:t>
      </w:r>
      <w:proofErr w:type="gramStart"/>
      <w:r w:rsidRPr="005B464B">
        <w:t>採</w:t>
      </w:r>
      <w:proofErr w:type="gramEnd"/>
      <w:r w:rsidRPr="005B464B">
        <w:t>「存續合併」</w:t>
      </w:r>
      <w:r w:rsidRPr="005B464B">
        <w:rPr>
          <w:rFonts w:hint="eastAsia"/>
        </w:rPr>
        <w:t>或</w:t>
      </w:r>
      <w:r w:rsidRPr="005B464B">
        <w:t>「新設合併」</w:t>
      </w:r>
      <w:r w:rsidRPr="005B464B">
        <w:rPr>
          <w:rFonts w:hint="eastAsia"/>
        </w:rPr>
        <w:t>方式等事項，予以</w:t>
      </w:r>
      <w:proofErr w:type="gramStart"/>
      <w:r w:rsidRPr="005B464B">
        <w:rPr>
          <w:rFonts w:hint="eastAsia"/>
        </w:rPr>
        <w:t>研</w:t>
      </w:r>
      <w:proofErr w:type="gramEnd"/>
      <w:r w:rsidRPr="005B464B">
        <w:rPr>
          <w:rFonts w:hint="eastAsia"/>
        </w:rPr>
        <w:t>商討論。</w:t>
      </w:r>
      <w:proofErr w:type="gramStart"/>
      <w:r w:rsidRPr="005B464B">
        <w:rPr>
          <w:rFonts w:hint="eastAsia"/>
        </w:rPr>
        <w:t>此外，</w:t>
      </w:r>
      <w:proofErr w:type="gramEnd"/>
      <w:r w:rsidRPr="005B464B">
        <w:rPr>
          <w:rFonts w:hint="eastAsia"/>
        </w:rPr>
        <w:t>按</w:t>
      </w:r>
      <w:r w:rsidRPr="005B464B">
        <w:t>「</w:t>
      </w:r>
      <w:r w:rsidRPr="005B464B">
        <w:rPr>
          <w:rFonts w:hAnsi="標楷體" w:hint="eastAsia"/>
        </w:rPr>
        <w:t>大學系統組織及運作辦法</w:t>
      </w:r>
      <w:r w:rsidRPr="005B464B">
        <w:t>」</w:t>
      </w:r>
      <w:r w:rsidRPr="005B464B">
        <w:rPr>
          <w:rFonts w:hAnsi="標楷體" w:hint="eastAsia"/>
        </w:rPr>
        <w:t>第2條：「大學為提升教學品質及研究水準，有效整合大學資源，得聯合其他大學共同成立大學系統。」</w:t>
      </w:r>
      <w:proofErr w:type="gramStart"/>
      <w:r w:rsidRPr="005B464B">
        <w:rPr>
          <w:rFonts w:hAnsi="標楷體" w:hint="eastAsia"/>
        </w:rPr>
        <w:t>爰</w:t>
      </w:r>
      <w:proofErr w:type="gramEnd"/>
      <w:r w:rsidRPr="005B464B">
        <w:rPr>
          <w:rFonts w:hint="eastAsia"/>
        </w:rPr>
        <w:t>除上述現行規定</w:t>
      </w:r>
      <w:r w:rsidR="00CF2F09" w:rsidRPr="005B464B">
        <w:rPr>
          <w:rFonts w:hAnsi="標楷體" w:hint="eastAsia"/>
        </w:rPr>
        <w:t>「</w:t>
      </w:r>
      <w:r w:rsidRPr="005B464B">
        <w:rPr>
          <w:rFonts w:hint="eastAsia"/>
        </w:rPr>
        <w:t>由上而下</w:t>
      </w:r>
      <w:r w:rsidR="00CF2F09" w:rsidRPr="005B464B">
        <w:rPr>
          <w:rFonts w:hAnsi="標楷體" w:hint="eastAsia"/>
        </w:rPr>
        <w:t>」</w:t>
      </w:r>
      <w:r w:rsidRPr="005B464B">
        <w:rPr>
          <w:rFonts w:hint="eastAsia"/>
        </w:rPr>
        <w:t>或</w:t>
      </w:r>
      <w:r w:rsidR="00CF2F09" w:rsidRPr="005B464B">
        <w:rPr>
          <w:rFonts w:hAnsi="標楷體" w:hint="eastAsia"/>
        </w:rPr>
        <w:t>「</w:t>
      </w:r>
      <w:r w:rsidRPr="005B464B">
        <w:rPr>
          <w:rFonts w:hint="eastAsia"/>
        </w:rPr>
        <w:t>由下而上</w:t>
      </w:r>
      <w:r w:rsidR="00CF2F09" w:rsidRPr="005B464B">
        <w:rPr>
          <w:rFonts w:hAnsi="標楷體" w:hint="eastAsia"/>
        </w:rPr>
        <w:t>」</w:t>
      </w:r>
      <w:r w:rsidRPr="005B464B">
        <w:rPr>
          <w:rFonts w:hint="eastAsia"/>
        </w:rPr>
        <w:t>法定兩形式外，</w:t>
      </w:r>
      <w:r w:rsidR="00CF2F09" w:rsidRPr="005B464B">
        <w:rPr>
          <w:rFonts w:hint="eastAsia"/>
        </w:rPr>
        <w:t>尚可</w:t>
      </w:r>
      <w:r w:rsidRPr="005B464B">
        <w:rPr>
          <w:rFonts w:hint="eastAsia"/>
        </w:rPr>
        <w:t>參考國外大學籌組策略聯盟</w:t>
      </w:r>
      <w:r w:rsidRPr="005B464B">
        <w:rPr>
          <w:rFonts w:hAnsi="標楷體" w:hint="eastAsia"/>
        </w:rPr>
        <w:t>、</w:t>
      </w:r>
      <w:r w:rsidRPr="005B464B">
        <w:rPr>
          <w:rFonts w:hint="eastAsia"/>
        </w:rPr>
        <w:t>共享設備資源等合作模式</w:t>
      </w:r>
      <w:r w:rsidRPr="005B464B">
        <w:rPr>
          <w:rStyle w:val="aff2"/>
        </w:rPr>
        <w:footnoteReference w:id="28"/>
      </w:r>
      <w:r w:rsidRPr="005B464B">
        <w:rPr>
          <w:rFonts w:hint="eastAsia"/>
        </w:rPr>
        <w:t>，我國各類型</w:t>
      </w:r>
      <w:r w:rsidRPr="005B464B">
        <w:rPr>
          <w:rFonts w:hAnsi="標楷體" w:hint="eastAsia"/>
        </w:rPr>
        <w:t>「大學系統」</w:t>
      </w:r>
      <w:r w:rsidRPr="005B464B">
        <w:rPr>
          <w:rStyle w:val="aff2"/>
          <w:rFonts w:hAnsi="標楷體"/>
        </w:rPr>
        <w:footnoteReference w:id="29"/>
      </w:r>
      <w:r w:rsidRPr="005B464B">
        <w:rPr>
          <w:rFonts w:hAnsi="標楷體" w:hint="eastAsia"/>
        </w:rPr>
        <w:t>分別具備交通</w:t>
      </w:r>
      <w:r w:rsidRPr="005B464B">
        <w:rPr>
          <w:rFonts w:hAnsi="標楷體" w:hint="eastAsia"/>
        </w:rPr>
        <w:lastRenderedPageBreak/>
        <w:t>便利、性質相近或互補等條件，發展背景雖與我國大學合併歷程及結果未盡一致，然部分</w:t>
      </w:r>
      <w:proofErr w:type="gramStart"/>
      <w:r w:rsidRPr="005B464B">
        <w:rPr>
          <w:rFonts w:hAnsi="標楷體" w:hint="eastAsia"/>
        </w:rPr>
        <w:t>學校間亦曾</w:t>
      </w:r>
      <w:proofErr w:type="gramEnd"/>
      <w:r w:rsidRPr="005B464B">
        <w:rPr>
          <w:rFonts w:hAnsi="標楷體" w:hint="eastAsia"/>
        </w:rPr>
        <w:t>進入</w:t>
      </w:r>
      <w:proofErr w:type="gramStart"/>
      <w:r w:rsidRPr="005B464B">
        <w:rPr>
          <w:rFonts w:hAnsi="標楷體" w:hint="eastAsia"/>
        </w:rPr>
        <w:t>併</w:t>
      </w:r>
      <w:proofErr w:type="gramEnd"/>
      <w:r w:rsidRPr="005B464B">
        <w:rPr>
          <w:rFonts w:hAnsi="標楷體" w:hint="eastAsia"/>
        </w:rPr>
        <w:t>校之討論階段，後續發展則待長期關注。</w:t>
      </w:r>
    </w:p>
    <w:p w:rsidR="00D974E1" w:rsidRPr="005B464B" w:rsidRDefault="00D974E1" w:rsidP="00D974E1">
      <w:pPr>
        <w:pStyle w:val="3"/>
        <w:numPr>
          <w:ilvl w:val="2"/>
          <w:numId w:val="1"/>
        </w:numPr>
      </w:pPr>
      <w:r w:rsidRPr="005B464B">
        <w:rPr>
          <w:rFonts w:hint="eastAsia"/>
        </w:rPr>
        <w:t>惟據教育部</w:t>
      </w:r>
      <w:r w:rsidRPr="005B464B">
        <w:t>102</w:t>
      </w:r>
      <w:r w:rsidRPr="005B464B">
        <w:rPr>
          <w:rFonts w:hint="eastAsia"/>
        </w:rPr>
        <w:t>年</w:t>
      </w:r>
      <w:r w:rsidRPr="005B464B">
        <w:t>1</w:t>
      </w:r>
      <w:r w:rsidRPr="005B464B">
        <w:rPr>
          <w:rFonts w:hint="eastAsia"/>
        </w:rPr>
        <w:t>月</w:t>
      </w:r>
      <w:r w:rsidRPr="005B464B">
        <w:t>3</w:t>
      </w:r>
      <w:r w:rsidRPr="005B464B">
        <w:rPr>
          <w:rFonts w:hint="eastAsia"/>
        </w:rPr>
        <w:t>日「國立大學合併推動審議會」第</w:t>
      </w:r>
      <w:r w:rsidRPr="005B464B">
        <w:t>2</w:t>
      </w:r>
      <w:r w:rsidRPr="005B464B">
        <w:rPr>
          <w:rFonts w:hint="eastAsia"/>
        </w:rPr>
        <w:t>次委員會會議決議略</w:t>
      </w:r>
      <w:proofErr w:type="gramStart"/>
      <w:r w:rsidRPr="005B464B">
        <w:rPr>
          <w:rFonts w:hint="eastAsia"/>
        </w:rPr>
        <w:t>以</w:t>
      </w:r>
      <w:proofErr w:type="gramEnd"/>
      <w:r w:rsidRPr="005B464B">
        <w:rPr>
          <w:rFonts w:hint="eastAsia"/>
        </w:rPr>
        <w:t>：…</w:t>
      </w:r>
      <w:proofErr w:type="gramStart"/>
      <w:r w:rsidRPr="005B464B">
        <w:rPr>
          <w:rFonts w:hint="eastAsia"/>
        </w:rPr>
        <w:t>…</w:t>
      </w:r>
      <w:proofErr w:type="gramEnd"/>
      <w:r w:rsidRPr="005B464B">
        <w:t>(</w:t>
      </w:r>
      <w:r w:rsidRPr="005B464B">
        <w:rPr>
          <w:rFonts w:hint="eastAsia"/>
        </w:rPr>
        <w:t>二</w:t>
      </w:r>
      <w:r w:rsidRPr="005B464B">
        <w:t>)</w:t>
      </w:r>
      <w:r w:rsidRPr="005B464B">
        <w:rPr>
          <w:rFonts w:hint="eastAsia"/>
        </w:rPr>
        <w:t>初步以學校地理位置及學校招生數（單一縣市超過</w:t>
      </w:r>
      <w:r w:rsidRPr="005B464B">
        <w:t>2</w:t>
      </w:r>
      <w:r w:rsidRPr="005B464B">
        <w:rPr>
          <w:rFonts w:hint="eastAsia"/>
        </w:rPr>
        <w:t>所國立大學且學生數低於</w:t>
      </w:r>
      <w:r w:rsidRPr="005B464B">
        <w:t>1</w:t>
      </w:r>
      <w:r w:rsidRPr="005B464B">
        <w:rPr>
          <w:rFonts w:hint="eastAsia"/>
        </w:rPr>
        <w:t>萬人之學校）為篩選條件並先選出國立陽明大學等</w:t>
      </w:r>
      <w:r w:rsidRPr="005B464B">
        <w:t>19</w:t>
      </w:r>
      <w:r w:rsidRPr="005B464B">
        <w:rPr>
          <w:rFonts w:hint="eastAsia"/>
        </w:rPr>
        <w:t>校，就合併提供意見或學校之規劃</w:t>
      </w:r>
      <w:r w:rsidRPr="005B464B">
        <w:rPr>
          <w:rStyle w:val="aff2"/>
        </w:rPr>
        <w:footnoteReference w:id="30"/>
      </w:r>
      <w:r w:rsidRPr="005B464B">
        <w:rPr>
          <w:rFonts w:hint="eastAsia"/>
        </w:rPr>
        <w:t>；本案諮詢專家意見亦稱「</w:t>
      </w:r>
      <w:r w:rsidRPr="005B464B">
        <w:rPr>
          <w:rFonts w:hAnsi="標楷體" w:hint="eastAsia"/>
          <w:szCs w:val="32"/>
        </w:rPr>
        <w:t>100年立法院主動修法後，教育部便積極推動大學合併，惟其基本態度，不希望學校以合併名義要求資源經費，因此基本上不給合併經費之承諾，但保證基本運作之經費不會減少，建築等新計畫可申請補助。</w:t>
      </w:r>
      <w:r w:rsidRPr="005B464B">
        <w:rPr>
          <w:rFonts w:hint="eastAsia"/>
        </w:rPr>
        <w:t>…</w:t>
      </w:r>
      <w:proofErr w:type="gramStart"/>
      <w:r w:rsidRPr="005B464B">
        <w:rPr>
          <w:rFonts w:hint="eastAsia"/>
        </w:rPr>
        <w:t>…</w:t>
      </w:r>
      <w:proofErr w:type="gramEnd"/>
      <w:r w:rsidRPr="005B464B">
        <w:rPr>
          <w:rFonts w:hint="eastAsia"/>
        </w:rPr>
        <w:t>教育大學的合併，與80年代中期推動中小學師資培育多元化政策有關，師範校院必須配合轉型。其中</w:t>
      </w:r>
      <w:proofErr w:type="gramStart"/>
      <w:r w:rsidRPr="005B464B">
        <w:rPr>
          <w:rFonts w:hint="eastAsia"/>
        </w:rPr>
        <w:t>臺</w:t>
      </w:r>
      <w:proofErr w:type="gramEnd"/>
      <w:r w:rsidRPr="005B464B">
        <w:rPr>
          <w:rFonts w:hint="eastAsia"/>
        </w:rPr>
        <w:t>師大、彰師大、高師大以分科培育人才，學校發展與一般大學差別不大，轉型的問題較小(規模大、歷史久)。至於9所師範學院，規模都小(僅3~4千人)、同質性也高，整</w:t>
      </w:r>
      <w:r w:rsidR="00CF2F09" w:rsidRPr="005B464B">
        <w:rPr>
          <w:rFonts w:hint="eastAsia"/>
        </w:rPr>
        <w:t>體</w:t>
      </w:r>
      <w:r w:rsidRPr="005B464B">
        <w:rPr>
          <w:rFonts w:hint="eastAsia"/>
        </w:rPr>
        <w:t>發展</w:t>
      </w:r>
      <w:proofErr w:type="gramStart"/>
      <w:r w:rsidRPr="005B464B">
        <w:rPr>
          <w:rFonts w:hint="eastAsia"/>
        </w:rPr>
        <w:t>囿</w:t>
      </w:r>
      <w:proofErr w:type="gramEnd"/>
      <w:r w:rsidRPr="005B464B">
        <w:rPr>
          <w:rFonts w:hint="eastAsia"/>
        </w:rPr>
        <w:t>於同一框架中，行政院</w:t>
      </w:r>
      <w:r w:rsidR="000B71D7" w:rsidRPr="005B464B">
        <w:rPr>
          <w:rFonts w:hint="eastAsia"/>
        </w:rPr>
        <w:t>即</w:t>
      </w:r>
      <w:r w:rsidR="00CF2F09" w:rsidRPr="005B464B">
        <w:rPr>
          <w:rFonts w:hint="eastAsia"/>
        </w:rPr>
        <w:t>曾</w:t>
      </w:r>
      <w:r w:rsidRPr="005B464B">
        <w:rPr>
          <w:rFonts w:hint="eastAsia"/>
        </w:rPr>
        <w:t>要求如欲改制</w:t>
      </w:r>
      <w:r w:rsidR="000B71D7" w:rsidRPr="005B464B">
        <w:rPr>
          <w:rFonts w:hint="eastAsia"/>
        </w:rPr>
        <w:t>為</w:t>
      </w:r>
      <w:r w:rsidRPr="005B464B">
        <w:rPr>
          <w:rFonts w:hint="eastAsia"/>
        </w:rPr>
        <w:t>教育大學，</w:t>
      </w:r>
      <w:r w:rsidR="00CF2F09" w:rsidRPr="005B464B">
        <w:rPr>
          <w:rFonts w:hint="eastAsia"/>
        </w:rPr>
        <w:t>必須</w:t>
      </w:r>
      <w:r w:rsidRPr="005B464B">
        <w:rPr>
          <w:rFonts w:hint="eastAsia"/>
        </w:rPr>
        <w:t>尋找與鄰近大學合併，其中</w:t>
      </w:r>
      <w:proofErr w:type="gramStart"/>
      <w:r w:rsidRPr="005B464B">
        <w:rPr>
          <w:rFonts w:hint="eastAsia"/>
        </w:rPr>
        <w:t>臺</w:t>
      </w:r>
      <w:proofErr w:type="gramEnd"/>
      <w:r w:rsidRPr="005B464B">
        <w:rPr>
          <w:rFonts w:hint="eastAsia"/>
        </w:rPr>
        <w:t>南師範學院與</w:t>
      </w:r>
      <w:proofErr w:type="gramStart"/>
      <w:r w:rsidRPr="005B464B">
        <w:rPr>
          <w:rFonts w:hint="eastAsia"/>
        </w:rPr>
        <w:t>臺</w:t>
      </w:r>
      <w:proofErr w:type="gramEnd"/>
      <w:r w:rsidRPr="005B464B">
        <w:rPr>
          <w:rFonts w:hint="eastAsia"/>
        </w:rPr>
        <w:t>東師範學院二校在陳水扁總統任內推動</w:t>
      </w:r>
      <w:proofErr w:type="gramStart"/>
      <w:r w:rsidRPr="005B464B">
        <w:rPr>
          <w:rFonts w:hint="eastAsia"/>
        </w:rPr>
        <w:t>一</w:t>
      </w:r>
      <w:proofErr w:type="gramEnd"/>
      <w:r w:rsidRPr="005B464B">
        <w:rPr>
          <w:rFonts w:hint="eastAsia"/>
        </w:rPr>
        <w:t>縣市</w:t>
      </w:r>
      <w:proofErr w:type="gramStart"/>
      <w:r w:rsidRPr="005B464B">
        <w:rPr>
          <w:rFonts w:hint="eastAsia"/>
        </w:rPr>
        <w:t>一</w:t>
      </w:r>
      <w:proofErr w:type="gramEnd"/>
      <w:r w:rsidRPr="005B464B">
        <w:rPr>
          <w:rFonts w:hint="eastAsia"/>
        </w:rPr>
        <w:t>大學的政策而直接改制為大學，其他師範學院都尋求與鄰近大學合併。」、「『</w:t>
      </w:r>
      <w:r w:rsidRPr="005B464B">
        <w:rPr>
          <w:rFonts w:hAnsi="標楷體" w:hint="eastAsia"/>
          <w:szCs w:val="32"/>
        </w:rPr>
        <w:t>單一縣市超過2所國立大學，學生人數低於一定標準者優先合併』僅是門檻，符合此門檻</w:t>
      </w:r>
      <w:r w:rsidRPr="005B464B">
        <w:rPr>
          <w:rFonts w:hAnsi="標楷體" w:hint="eastAsia"/>
          <w:szCs w:val="32"/>
        </w:rPr>
        <w:lastRenderedPageBreak/>
        <w:t>就先提到(大學合併)</w:t>
      </w:r>
      <w:r w:rsidR="00CF2F09" w:rsidRPr="005B464B">
        <w:rPr>
          <w:rFonts w:hAnsi="標楷體" w:hint="eastAsia"/>
          <w:szCs w:val="32"/>
        </w:rPr>
        <w:t>審議會上討論。在審議會討論時</w:t>
      </w:r>
      <w:r w:rsidRPr="005B464B">
        <w:rPr>
          <w:rFonts w:hAnsi="標楷體" w:hint="eastAsia"/>
          <w:szCs w:val="32"/>
        </w:rPr>
        <w:t>，會把學校所有資料拿出來討論，以國立</w:t>
      </w:r>
      <w:proofErr w:type="gramStart"/>
      <w:r w:rsidRPr="005B464B">
        <w:rPr>
          <w:rFonts w:hAnsi="標楷體" w:hint="eastAsia"/>
          <w:szCs w:val="32"/>
        </w:rPr>
        <w:t>臺</w:t>
      </w:r>
      <w:proofErr w:type="gramEnd"/>
      <w:r w:rsidRPr="005B464B">
        <w:rPr>
          <w:rFonts w:hAnsi="標楷體" w:hint="eastAsia"/>
          <w:szCs w:val="32"/>
        </w:rPr>
        <w:t>南藝術大學為例，</w:t>
      </w:r>
      <w:proofErr w:type="gramStart"/>
      <w:r w:rsidRPr="005B464B">
        <w:rPr>
          <w:rFonts w:hAnsi="標楷體" w:hint="eastAsia"/>
          <w:szCs w:val="32"/>
        </w:rPr>
        <w:t>該校沒拿</w:t>
      </w:r>
      <w:proofErr w:type="gramEnd"/>
      <w:r w:rsidRPr="005B464B">
        <w:rPr>
          <w:rFonts w:hAnsi="標楷體" w:hint="eastAsia"/>
          <w:szCs w:val="32"/>
        </w:rPr>
        <w:t>到教學卓越補助</w:t>
      </w:r>
      <w:r w:rsidR="000B71D7" w:rsidRPr="005B464B">
        <w:rPr>
          <w:rFonts w:hAnsi="標楷體" w:hint="eastAsia"/>
          <w:szCs w:val="32"/>
        </w:rPr>
        <w:t>計畫</w:t>
      </w:r>
      <w:r w:rsidRPr="005B464B">
        <w:rPr>
          <w:rFonts w:hAnsi="標楷體" w:hint="eastAsia"/>
          <w:szCs w:val="32"/>
        </w:rPr>
        <w:t>、學生人數很少、財務情況也很不好、新生註冊率更不是太理想，所以才會被考慮為優先合併。</w:t>
      </w:r>
      <w:r w:rsidRPr="005B464B">
        <w:rPr>
          <w:rFonts w:hint="eastAsia"/>
        </w:rPr>
        <w:t>…</w:t>
      </w:r>
      <w:proofErr w:type="gramStart"/>
      <w:r w:rsidRPr="005B464B">
        <w:rPr>
          <w:rFonts w:hint="eastAsia"/>
        </w:rPr>
        <w:t>…</w:t>
      </w:r>
      <w:proofErr w:type="gramEnd"/>
      <w:r w:rsidRPr="005B464B">
        <w:rPr>
          <w:rFonts w:hAnsi="標楷體" w:hint="eastAsia"/>
          <w:szCs w:val="32"/>
        </w:rPr>
        <w:t>公立大學有政策考量，前段應該走國際，後段應該走區域，這是大方向，但是真正討論個案的時候，還是要看每</w:t>
      </w:r>
      <w:proofErr w:type="gramStart"/>
      <w:r w:rsidRPr="005B464B">
        <w:rPr>
          <w:rFonts w:hAnsi="標楷體" w:hint="eastAsia"/>
          <w:szCs w:val="32"/>
        </w:rPr>
        <w:t>個</w:t>
      </w:r>
      <w:proofErr w:type="gramEnd"/>
      <w:r w:rsidRPr="005B464B">
        <w:rPr>
          <w:rFonts w:hAnsi="標楷體" w:hint="eastAsia"/>
          <w:szCs w:val="32"/>
        </w:rPr>
        <w:t>個案的情況</w:t>
      </w:r>
      <w:r w:rsidRPr="005B464B">
        <w:rPr>
          <w:rFonts w:hint="eastAsia"/>
        </w:rPr>
        <w:t>」等語。顯示，時至102年，我國推動國立大學合併時，已受限學校數量多且規模小之現實，甚有部分公立學校之招生、財務與教學品質</w:t>
      </w:r>
      <w:proofErr w:type="gramStart"/>
      <w:r w:rsidRPr="005B464B">
        <w:rPr>
          <w:rFonts w:hint="eastAsia"/>
        </w:rPr>
        <w:t>皆屬堪慮</w:t>
      </w:r>
      <w:proofErr w:type="gramEnd"/>
      <w:r w:rsidRPr="005B464B">
        <w:rPr>
          <w:rFonts w:hint="eastAsia"/>
        </w:rPr>
        <w:t>，</w:t>
      </w:r>
      <w:r w:rsidR="000B71D7" w:rsidRPr="005B464B">
        <w:rPr>
          <w:rFonts w:hint="eastAsia"/>
        </w:rPr>
        <w:t>卻仍</w:t>
      </w:r>
      <w:r w:rsidRPr="005B464B">
        <w:rPr>
          <w:rFonts w:hint="eastAsia"/>
        </w:rPr>
        <w:t>延續過去「</w:t>
      </w:r>
      <w:proofErr w:type="gramStart"/>
      <w:r w:rsidRPr="005B464B">
        <w:rPr>
          <w:rFonts w:hint="eastAsia"/>
        </w:rPr>
        <w:t>一</w:t>
      </w:r>
      <w:proofErr w:type="gramEnd"/>
      <w:r w:rsidRPr="005B464B">
        <w:rPr>
          <w:rFonts w:hint="eastAsia"/>
        </w:rPr>
        <w:t>縣市</w:t>
      </w:r>
      <w:proofErr w:type="gramStart"/>
      <w:r w:rsidRPr="005B464B">
        <w:rPr>
          <w:rFonts w:hint="eastAsia"/>
        </w:rPr>
        <w:t>一</w:t>
      </w:r>
      <w:proofErr w:type="gramEnd"/>
      <w:r w:rsidRPr="005B464B">
        <w:rPr>
          <w:rFonts w:hint="eastAsia"/>
        </w:rPr>
        <w:t>大學」政策，限縮考量條件，並優先以地理位置及學校規模，作為學校合併</w:t>
      </w:r>
      <w:r w:rsidR="00CF2F09" w:rsidRPr="005B464B">
        <w:rPr>
          <w:rFonts w:hint="eastAsia"/>
        </w:rPr>
        <w:t>的</w:t>
      </w:r>
      <w:r w:rsidRPr="005B464B">
        <w:rPr>
          <w:rFonts w:hint="eastAsia"/>
        </w:rPr>
        <w:t>考量因素。</w:t>
      </w:r>
    </w:p>
    <w:p w:rsidR="00D974E1" w:rsidRPr="005B464B" w:rsidRDefault="00D974E1" w:rsidP="00D974E1">
      <w:pPr>
        <w:pStyle w:val="3"/>
        <w:numPr>
          <w:ilvl w:val="2"/>
          <w:numId w:val="1"/>
        </w:numPr>
      </w:pPr>
      <w:r w:rsidRPr="005B464B">
        <w:rPr>
          <w:rFonts w:hint="eastAsia"/>
        </w:rPr>
        <w:t>茲以歷來已完成之7件公立大學合併案而言，實務上，除依形態分類，有國立東華大學與國立</w:t>
      </w:r>
      <w:r w:rsidRPr="005B464B">
        <w:t>花蓮</w:t>
      </w:r>
      <w:r w:rsidRPr="005B464B">
        <w:rPr>
          <w:rFonts w:hint="eastAsia"/>
        </w:rPr>
        <w:t>教育</w:t>
      </w:r>
      <w:r w:rsidRPr="005B464B">
        <w:t>大學合併</w:t>
      </w:r>
      <w:r w:rsidRPr="005B464B">
        <w:rPr>
          <w:rFonts w:hint="eastAsia"/>
        </w:rPr>
        <w:t>為國立東華大學的存續合併，以及</w:t>
      </w:r>
      <w:r w:rsidRPr="005B464B">
        <w:t>國立屏東</w:t>
      </w:r>
      <w:r w:rsidRPr="005B464B">
        <w:rPr>
          <w:rFonts w:hint="eastAsia"/>
        </w:rPr>
        <w:t>教育大學</w:t>
      </w:r>
      <w:r w:rsidRPr="005B464B">
        <w:t>與國立屏東商業技術學院合併</w:t>
      </w:r>
      <w:r w:rsidRPr="005B464B">
        <w:rPr>
          <w:rFonts w:hint="eastAsia"/>
        </w:rPr>
        <w:t>成為</w:t>
      </w:r>
      <w:r w:rsidRPr="005B464B">
        <w:t>國立屏東大學</w:t>
      </w:r>
      <w:r w:rsidRPr="005B464B">
        <w:rPr>
          <w:rFonts w:hint="eastAsia"/>
        </w:rPr>
        <w:t>的新設</w:t>
      </w:r>
      <w:proofErr w:type="gramStart"/>
      <w:r w:rsidRPr="005B464B">
        <w:rPr>
          <w:rFonts w:hint="eastAsia"/>
        </w:rPr>
        <w:t>合併等例</w:t>
      </w:r>
      <w:proofErr w:type="gramEnd"/>
      <w:r w:rsidRPr="005B464B">
        <w:rPr>
          <w:rFonts w:hint="eastAsia"/>
        </w:rPr>
        <w:t>，考量教育大學發展性，尚有教育大學與他校合併者，諸如國立嘉義師範學院與國立嘉義技術學院合併為國立嘉義大學、國立新竹教育大學與國立清華大學合併為國立清華大學。</w:t>
      </w:r>
      <w:proofErr w:type="gramStart"/>
      <w:r w:rsidRPr="005B464B">
        <w:rPr>
          <w:rFonts w:hint="eastAsia"/>
        </w:rPr>
        <w:t>另</w:t>
      </w:r>
      <w:proofErr w:type="gramEnd"/>
      <w:r w:rsidRPr="005B464B">
        <w:rPr>
          <w:rFonts w:hint="eastAsia"/>
        </w:rPr>
        <w:t>，基於學術與教學特色之互補發展，亦有國立</w:t>
      </w:r>
      <w:proofErr w:type="gramStart"/>
      <w:r w:rsidRPr="005B464B">
        <w:rPr>
          <w:rFonts w:hint="eastAsia"/>
        </w:rPr>
        <w:t>臺</w:t>
      </w:r>
      <w:proofErr w:type="gramEnd"/>
      <w:r w:rsidRPr="005B464B">
        <w:rPr>
          <w:rFonts w:hint="eastAsia"/>
        </w:rPr>
        <w:t>中技術學院與國立</w:t>
      </w:r>
      <w:proofErr w:type="gramStart"/>
      <w:r w:rsidRPr="005B464B">
        <w:rPr>
          <w:rFonts w:hint="eastAsia"/>
        </w:rPr>
        <w:t>臺</w:t>
      </w:r>
      <w:proofErr w:type="gramEnd"/>
      <w:r w:rsidRPr="005B464B">
        <w:rPr>
          <w:rFonts w:hint="eastAsia"/>
        </w:rPr>
        <w:t>中護理專科學校合併為</w:t>
      </w:r>
      <w:r w:rsidRPr="005B464B">
        <w:t>國立</w:t>
      </w:r>
      <w:proofErr w:type="gramStart"/>
      <w:r w:rsidRPr="005B464B">
        <w:t>臺</w:t>
      </w:r>
      <w:proofErr w:type="gramEnd"/>
      <w:r w:rsidRPr="005B464B">
        <w:t>中科技大學</w:t>
      </w:r>
      <w:r w:rsidRPr="005B464B">
        <w:rPr>
          <w:rFonts w:hint="eastAsia"/>
        </w:rPr>
        <w:t>、國立高雄海洋科技大學與國立高雄第一科技大學擬合併為國立高雄科技大學(尚未完成)</w:t>
      </w:r>
      <w:proofErr w:type="gramStart"/>
      <w:r w:rsidRPr="005B464B">
        <w:rPr>
          <w:rFonts w:hint="eastAsia"/>
        </w:rPr>
        <w:t>等例</w:t>
      </w:r>
      <w:proofErr w:type="gramEnd"/>
      <w:r w:rsidRPr="005B464B">
        <w:rPr>
          <w:rFonts w:hint="eastAsia"/>
        </w:rPr>
        <w:t>。</w:t>
      </w:r>
      <w:proofErr w:type="gramStart"/>
      <w:r w:rsidRPr="005B464B">
        <w:rPr>
          <w:rFonts w:hint="eastAsia"/>
        </w:rPr>
        <w:t>此外，鑒於</w:t>
      </w:r>
      <w:proofErr w:type="gramEnd"/>
      <w:r w:rsidRPr="005B464B">
        <w:rPr>
          <w:rFonts w:hint="eastAsia"/>
        </w:rPr>
        <w:t>我國高等教育於教育部執掌係</w:t>
      </w:r>
      <w:proofErr w:type="gramStart"/>
      <w:r w:rsidRPr="005B464B">
        <w:rPr>
          <w:rFonts w:hint="eastAsia"/>
        </w:rPr>
        <w:t>採</w:t>
      </w:r>
      <w:proofErr w:type="gramEnd"/>
      <w:r w:rsidRPr="005B464B">
        <w:rPr>
          <w:rFonts w:hint="eastAsia"/>
        </w:rPr>
        <w:t>一般大學與技專校院分流體系(分由該部高等教育司及技職教育司2單位權管)，國立大學合併之分類，亦有普通教育與技職教育合併類型，例如國立嘉義大學、</w:t>
      </w:r>
      <w:r w:rsidRPr="005B464B">
        <w:t>國立屏東大學</w:t>
      </w:r>
      <w:r w:rsidRPr="005B464B">
        <w:rPr>
          <w:rFonts w:hint="eastAsia"/>
        </w:rPr>
        <w:t>，以及曾</w:t>
      </w:r>
      <w:proofErr w:type="gramStart"/>
      <w:r w:rsidRPr="005B464B">
        <w:rPr>
          <w:rFonts w:hint="eastAsia"/>
        </w:rPr>
        <w:t>研</w:t>
      </w:r>
      <w:proofErr w:type="gramEnd"/>
      <w:r w:rsidRPr="005B464B">
        <w:rPr>
          <w:rFonts w:hint="eastAsia"/>
        </w:rPr>
        <w:lastRenderedPageBreak/>
        <w:t>議推動之「國立政治大學與國立臺灣科技大學合併案」</w:t>
      </w:r>
      <w:r w:rsidRPr="005B464B">
        <w:rPr>
          <w:rStyle w:val="aff2"/>
        </w:rPr>
        <w:footnoteReference w:id="31"/>
      </w:r>
      <w:r w:rsidRPr="005B464B">
        <w:rPr>
          <w:rFonts w:hint="eastAsia"/>
        </w:rPr>
        <w:t>，</w:t>
      </w:r>
      <w:r w:rsidR="00410848" w:rsidRPr="005B464B">
        <w:rPr>
          <w:rFonts w:hint="eastAsia"/>
        </w:rPr>
        <w:t>皆</w:t>
      </w:r>
      <w:r w:rsidRPr="005B464B">
        <w:rPr>
          <w:rFonts w:hint="eastAsia"/>
        </w:rPr>
        <w:t>屬此類合併。顯示，推動國立大學合併之因素，基於諸多現實考量，實有多種組合與變化型態。</w:t>
      </w:r>
    </w:p>
    <w:p w:rsidR="00D974E1" w:rsidRPr="005B464B" w:rsidRDefault="00D974E1" w:rsidP="00D974E1">
      <w:pPr>
        <w:pStyle w:val="3"/>
        <w:numPr>
          <w:ilvl w:val="2"/>
          <w:numId w:val="1"/>
        </w:numPr>
      </w:pPr>
      <w:r w:rsidRPr="005B464B">
        <w:rPr>
          <w:rFonts w:hint="eastAsia"/>
        </w:rPr>
        <w:t>學者戴曉霞「高等教育整</w:t>
      </w:r>
      <w:proofErr w:type="gramStart"/>
      <w:r w:rsidRPr="005B464B">
        <w:rPr>
          <w:rFonts w:hint="eastAsia"/>
        </w:rPr>
        <w:t>併</w:t>
      </w:r>
      <w:proofErr w:type="gramEnd"/>
      <w:r w:rsidRPr="005B464B">
        <w:rPr>
          <w:rFonts w:hint="eastAsia"/>
        </w:rPr>
        <w:t>之國際比較」</w:t>
      </w:r>
      <w:r w:rsidRPr="005B464B">
        <w:rPr>
          <w:rStyle w:val="aff2"/>
        </w:rPr>
        <w:footnoteReference w:id="32"/>
      </w:r>
      <w:r w:rsidRPr="005B464B">
        <w:rPr>
          <w:rFonts w:hint="eastAsia"/>
        </w:rPr>
        <w:t>一文，指出「『合併』為整</w:t>
      </w:r>
      <w:proofErr w:type="gramStart"/>
      <w:r w:rsidRPr="005B464B">
        <w:rPr>
          <w:rFonts w:hint="eastAsia"/>
        </w:rPr>
        <w:t>併</w:t>
      </w:r>
      <w:proofErr w:type="gramEnd"/>
      <w:r w:rsidRPr="005B464B">
        <w:rPr>
          <w:rFonts w:hint="eastAsia"/>
        </w:rPr>
        <w:t>的模式之一，合併意指兩個或以上原本獨立的機構放棄其原本獨立的法律地位、自主和文化認同，整合成一個新的機構，原機構所有的資產、負債、責任，包括人員都轉移到新組成的機構。不論在高等教育界或企業界，人們對於合併常有一種浪漫的期待，將之視為『門當戶對』的對等結合，其結果必然是1+1</w:t>
      </w:r>
      <w:r w:rsidRPr="005B464B">
        <w:rPr>
          <w:rFonts w:ascii="Arial" w:cs="Arial"/>
        </w:rPr>
        <w:t>&gt;</w:t>
      </w:r>
      <w:r w:rsidRPr="005B464B">
        <w:rPr>
          <w:rFonts w:hint="eastAsia"/>
        </w:rPr>
        <w:t>2；事實上，合併結果的複雜性遠超過人們的期待</w:t>
      </w:r>
      <w:r w:rsidR="00410848" w:rsidRPr="005B464B">
        <w:rPr>
          <w:rFonts w:hint="eastAsia"/>
        </w:rPr>
        <w:t>和想像</w:t>
      </w:r>
      <w:r w:rsidRPr="005B464B">
        <w:rPr>
          <w:rFonts w:hint="eastAsia"/>
        </w:rPr>
        <w:t>，在合併的案例中，雖然1+1</w:t>
      </w:r>
      <w:r w:rsidRPr="005B464B">
        <w:rPr>
          <w:rFonts w:ascii="Arial" w:cs="Arial"/>
        </w:rPr>
        <w:t>&gt;</w:t>
      </w:r>
      <w:r w:rsidRPr="005B464B">
        <w:rPr>
          <w:rFonts w:hint="eastAsia"/>
        </w:rPr>
        <w:t>2的結果並非不可能，但先決條件是雙方要有高度的目標共同性、相互瞭解、互信與善意、合併之前有完整的規劃、合併之間和之後有暢通有效的溝通。即使如此，合併的雙方(</w:t>
      </w:r>
      <w:proofErr w:type="gramStart"/>
      <w:r w:rsidRPr="005B464B">
        <w:rPr>
          <w:rFonts w:hint="eastAsia"/>
        </w:rPr>
        <w:t>或數方</w:t>
      </w:r>
      <w:proofErr w:type="gramEnd"/>
      <w:r w:rsidRPr="005B464B">
        <w:rPr>
          <w:rFonts w:hint="eastAsia"/>
        </w:rPr>
        <w:t>)在合併的過程及結果要能達到真正的對等</w:t>
      </w:r>
      <w:proofErr w:type="gramStart"/>
      <w:r w:rsidRPr="005B464B">
        <w:rPr>
          <w:rFonts w:hint="eastAsia"/>
        </w:rPr>
        <w:t>並非易事</w:t>
      </w:r>
      <w:proofErr w:type="gramEnd"/>
      <w:r w:rsidRPr="005B464B">
        <w:rPr>
          <w:rFonts w:hint="eastAsia"/>
        </w:rPr>
        <w:t>，因為在談判和整合的過程中，若沒有任何一方採取主動，整個過程將很難推動，但若有任何一方採取較積極的作法，則可能引起『支配』、『卡位』的猜疑，導致互信基礎的動搖，最後終究難以避免衝突和摩擦」等情；另本案諮詢專家意見指出：「</w:t>
      </w:r>
      <w:r w:rsidRPr="005B464B">
        <w:rPr>
          <w:rFonts w:hAnsi="標楷體" w:hint="eastAsia"/>
          <w:szCs w:val="32"/>
        </w:rPr>
        <w:t>公立大學合併最早追溯至50年，省立農學院及省立法</w:t>
      </w:r>
      <w:r w:rsidRPr="005B464B">
        <w:rPr>
          <w:rFonts w:hAnsi="標楷體" w:hint="eastAsia"/>
          <w:szCs w:val="32"/>
        </w:rPr>
        <w:lastRenderedPageBreak/>
        <w:t>商學院合併為省立中興大學，後89年法商學院恢復獨立成為國立</w:t>
      </w:r>
      <w:proofErr w:type="gramStart"/>
      <w:r w:rsidRPr="005B464B">
        <w:rPr>
          <w:rFonts w:hAnsi="標楷體" w:hint="eastAsia"/>
          <w:szCs w:val="32"/>
        </w:rPr>
        <w:t>臺</w:t>
      </w:r>
      <w:proofErr w:type="gramEnd"/>
      <w:r w:rsidRPr="005B464B">
        <w:rPr>
          <w:rFonts w:hAnsi="標楷體" w:hint="eastAsia"/>
          <w:szCs w:val="32"/>
        </w:rPr>
        <w:t>北大學；97年國立體育學院與國立臺灣體育學院合併為國立臺灣體育大學，惟98年整</w:t>
      </w:r>
      <w:proofErr w:type="gramStart"/>
      <w:r w:rsidRPr="005B464B">
        <w:rPr>
          <w:rFonts w:hAnsi="標楷體" w:hint="eastAsia"/>
          <w:szCs w:val="32"/>
        </w:rPr>
        <w:t>併</w:t>
      </w:r>
      <w:proofErr w:type="gramEnd"/>
      <w:r w:rsidRPr="005B464B">
        <w:rPr>
          <w:rFonts w:hAnsi="標楷體" w:hint="eastAsia"/>
          <w:szCs w:val="32"/>
        </w:rPr>
        <w:t>破局分手」等語，皆</w:t>
      </w:r>
      <w:r w:rsidRPr="005B464B">
        <w:rPr>
          <w:rFonts w:hint="eastAsia"/>
        </w:rPr>
        <w:t>反映大學院校之合併乃係複雜之動態歷程，因應不同型態與目的之合併，遭遇困境亦不相同，且不盡然能竟事功。</w:t>
      </w:r>
    </w:p>
    <w:p w:rsidR="00D974E1" w:rsidRPr="005B464B" w:rsidRDefault="00D974E1" w:rsidP="00D974E1">
      <w:pPr>
        <w:pStyle w:val="3"/>
        <w:numPr>
          <w:ilvl w:val="2"/>
          <w:numId w:val="1"/>
        </w:numPr>
      </w:pPr>
      <w:r w:rsidRPr="005B464B">
        <w:rPr>
          <w:rFonts w:hint="eastAsia"/>
        </w:rPr>
        <w:t>是</w:t>
      </w:r>
      <w:proofErr w:type="gramStart"/>
      <w:r w:rsidRPr="005B464B">
        <w:rPr>
          <w:rFonts w:hint="eastAsia"/>
        </w:rPr>
        <w:t>以</w:t>
      </w:r>
      <w:proofErr w:type="gramEnd"/>
      <w:r w:rsidRPr="005B464B">
        <w:rPr>
          <w:rFonts w:hint="eastAsia"/>
        </w:rPr>
        <w:t>，本案欲藉不同類型合併實例之經驗，以及探究無法完成合併者之原因，務實</w:t>
      </w:r>
      <w:proofErr w:type="gramStart"/>
      <w:r w:rsidRPr="005B464B">
        <w:rPr>
          <w:rFonts w:hint="eastAsia"/>
        </w:rPr>
        <w:t>釐</w:t>
      </w:r>
      <w:proofErr w:type="gramEnd"/>
      <w:r w:rsidRPr="005B464B">
        <w:rPr>
          <w:rFonts w:hint="eastAsia"/>
        </w:rPr>
        <w:t>清學校合併問題與挑戰，期調查成果供未來合併政策推動與執行上之參考。</w:t>
      </w:r>
      <w:proofErr w:type="gramStart"/>
      <w:r w:rsidRPr="005B464B">
        <w:rPr>
          <w:rFonts w:hint="eastAsia"/>
        </w:rPr>
        <w:t>茲述調查</w:t>
      </w:r>
      <w:proofErr w:type="gramEnd"/>
      <w:r w:rsidRPr="005B464B">
        <w:rPr>
          <w:rFonts w:hint="eastAsia"/>
        </w:rPr>
        <w:t>發現之數項影響合併順遂與否及其實質效益因素如下：</w:t>
      </w:r>
    </w:p>
    <w:p w:rsidR="00D974E1" w:rsidRPr="005B464B" w:rsidRDefault="00D974E1" w:rsidP="00D974E1">
      <w:pPr>
        <w:pStyle w:val="4"/>
        <w:numPr>
          <w:ilvl w:val="3"/>
          <w:numId w:val="1"/>
        </w:numPr>
      </w:pPr>
      <w:r w:rsidRPr="005B464B">
        <w:rPr>
          <w:rFonts w:hint="eastAsia"/>
          <w:b/>
        </w:rPr>
        <w:t>各界擔憂技職教育招生情形，如</w:t>
      </w:r>
      <w:proofErr w:type="gramStart"/>
      <w:r w:rsidRPr="005B464B">
        <w:rPr>
          <w:rFonts w:hint="eastAsia"/>
          <w:b/>
        </w:rPr>
        <w:t>採</w:t>
      </w:r>
      <w:proofErr w:type="gramEnd"/>
      <w:r w:rsidRPr="005B464B">
        <w:rPr>
          <w:rFonts w:hint="eastAsia"/>
          <w:b/>
        </w:rPr>
        <w:t>一般大學與技專校院合併者，允應顧及相關招生名額與管道之保障；又此類合併，將有學術標準不一致情形，亦使教師存疑，如欲推動合併，教育部與</w:t>
      </w:r>
      <w:proofErr w:type="gramStart"/>
      <w:r w:rsidRPr="005B464B">
        <w:rPr>
          <w:rFonts w:hint="eastAsia"/>
          <w:b/>
        </w:rPr>
        <w:t>學校均應預謀</w:t>
      </w:r>
      <w:proofErr w:type="gramEnd"/>
      <w:r w:rsidRPr="005B464B">
        <w:rPr>
          <w:rFonts w:hint="eastAsia"/>
          <w:b/>
        </w:rPr>
        <w:t>因應之道</w:t>
      </w:r>
      <w:r w:rsidRPr="005B464B">
        <w:rPr>
          <w:rFonts w:hint="eastAsia"/>
        </w:rPr>
        <w:t>：</w:t>
      </w:r>
    </w:p>
    <w:p w:rsidR="00D974E1" w:rsidRPr="005B464B" w:rsidRDefault="00D974E1" w:rsidP="00D974E1">
      <w:pPr>
        <w:pStyle w:val="4"/>
        <w:numPr>
          <w:ilvl w:val="0"/>
          <w:numId w:val="0"/>
        </w:numPr>
        <w:ind w:left="1701"/>
      </w:pPr>
      <w:r w:rsidRPr="005B464B">
        <w:rPr>
          <w:rFonts w:hint="eastAsia"/>
          <w:b/>
        </w:rPr>
        <w:t xml:space="preserve">    </w:t>
      </w:r>
      <w:r w:rsidRPr="005B464B">
        <w:rPr>
          <w:rFonts w:hint="eastAsia"/>
        </w:rPr>
        <w:t>以國立政治大學與國立臺灣科技大學合併未果</w:t>
      </w:r>
      <w:proofErr w:type="gramStart"/>
      <w:r w:rsidRPr="005B464B">
        <w:rPr>
          <w:rFonts w:hint="eastAsia"/>
        </w:rPr>
        <w:t>ㄧ</w:t>
      </w:r>
      <w:proofErr w:type="gramEnd"/>
      <w:r w:rsidRPr="005B464B">
        <w:rPr>
          <w:rFonts w:hint="eastAsia"/>
        </w:rPr>
        <w:t>案為例，</w:t>
      </w:r>
      <w:proofErr w:type="gramStart"/>
      <w:r w:rsidRPr="005B464B">
        <w:rPr>
          <w:rFonts w:hint="eastAsia"/>
        </w:rPr>
        <w:t>詢</w:t>
      </w:r>
      <w:proofErr w:type="gramEnd"/>
      <w:r w:rsidRPr="005B464B">
        <w:rPr>
          <w:rFonts w:hint="eastAsia"/>
        </w:rPr>
        <w:t>據該案相關人員表示，</w:t>
      </w:r>
      <w:r w:rsidRPr="005B464B">
        <w:rPr>
          <w:rFonts w:hAnsi="標楷體" w:hint="eastAsia"/>
          <w:szCs w:val="32"/>
        </w:rPr>
        <w:t>由於教育部內權責分工的問題，該2校分屬高教司及技</w:t>
      </w:r>
      <w:proofErr w:type="gramStart"/>
      <w:r w:rsidRPr="005B464B">
        <w:rPr>
          <w:rFonts w:hAnsi="標楷體" w:hint="eastAsia"/>
          <w:szCs w:val="32"/>
        </w:rPr>
        <w:t>職司轄管</w:t>
      </w:r>
      <w:proofErr w:type="gramEnd"/>
      <w:r w:rsidRPr="005B464B">
        <w:rPr>
          <w:rFonts w:hAnsi="標楷體" w:hint="eastAsia"/>
          <w:szCs w:val="32"/>
        </w:rPr>
        <w:t>，如兩校合併後，產生的第一個問題，即為技職體系少了一個龍頭。第二，由於目前高職招生通常以</w:t>
      </w:r>
      <w:r w:rsidRPr="005B464B">
        <w:rPr>
          <w:rFonts w:hint="eastAsia"/>
        </w:rPr>
        <w:t>國立臺灣科技大學</w:t>
      </w:r>
      <w:r w:rsidRPr="005B464B">
        <w:rPr>
          <w:rFonts w:hAnsi="標楷體" w:hint="eastAsia"/>
          <w:szCs w:val="32"/>
        </w:rPr>
        <w:t>為標竿，高職生進入</w:t>
      </w:r>
      <w:r w:rsidRPr="005B464B">
        <w:rPr>
          <w:rFonts w:hint="eastAsia"/>
        </w:rPr>
        <w:t>國立臺灣科技大學</w:t>
      </w:r>
      <w:r w:rsidRPr="005B464B">
        <w:rPr>
          <w:rFonts w:hAnsi="標楷體" w:hint="eastAsia"/>
          <w:szCs w:val="32"/>
        </w:rPr>
        <w:t>較為容易，甚</w:t>
      </w:r>
      <w:proofErr w:type="gramStart"/>
      <w:r w:rsidRPr="005B464B">
        <w:rPr>
          <w:rFonts w:hAnsi="標楷體" w:hint="eastAsia"/>
          <w:szCs w:val="32"/>
        </w:rPr>
        <w:t>可說技職</w:t>
      </w:r>
      <w:proofErr w:type="gramEnd"/>
      <w:r w:rsidRPr="005B464B">
        <w:rPr>
          <w:rFonts w:hAnsi="標楷體" w:hint="eastAsia"/>
          <w:szCs w:val="32"/>
        </w:rPr>
        <w:t>體系因</w:t>
      </w:r>
      <w:r w:rsidRPr="005B464B">
        <w:rPr>
          <w:rFonts w:hint="eastAsia"/>
        </w:rPr>
        <w:t>國立臺灣科技大學</w:t>
      </w:r>
      <w:r w:rsidRPr="005B464B">
        <w:rPr>
          <w:rFonts w:hAnsi="標楷體" w:hint="eastAsia"/>
          <w:szCs w:val="32"/>
        </w:rPr>
        <w:t>而存在，如與</w:t>
      </w:r>
      <w:r w:rsidRPr="005B464B">
        <w:rPr>
          <w:rFonts w:hint="eastAsia"/>
        </w:rPr>
        <w:t>國立政治大學</w:t>
      </w:r>
      <w:r w:rsidRPr="005B464B">
        <w:rPr>
          <w:rFonts w:hAnsi="標楷體" w:hint="eastAsia"/>
          <w:szCs w:val="32"/>
        </w:rPr>
        <w:t>合併，則對於高職生升學較為不利，故高職校長</w:t>
      </w:r>
      <w:r w:rsidR="00410848" w:rsidRPr="005B464B">
        <w:rPr>
          <w:rFonts w:hAnsi="標楷體" w:hint="eastAsia"/>
          <w:szCs w:val="32"/>
        </w:rPr>
        <w:t>持</w:t>
      </w:r>
      <w:r w:rsidRPr="005B464B">
        <w:rPr>
          <w:rFonts w:hAnsi="標楷體" w:hint="eastAsia"/>
          <w:szCs w:val="32"/>
        </w:rPr>
        <w:t>反對看法</w:t>
      </w:r>
      <w:r w:rsidRPr="005B464B">
        <w:rPr>
          <w:rFonts w:hint="eastAsia"/>
        </w:rPr>
        <w:t>。另有諮詢專家意見述及，國立</w:t>
      </w:r>
      <w:r w:rsidRPr="005B464B">
        <w:rPr>
          <w:rFonts w:hAnsi="標楷體" w:hint="eastAsia"/>
          <w:szCs w:val="32"/>
        </w:rPr>
        <w:t>中山大學校務會議與</w:t>
      </w:r>
      <w:r w:rsidRPr="005B464B">
        <w:rPr>
          <w:rFonts w:hint="eastAsia"/>
        </w:rPr>
        <w:t>國立</w:t>
      </w:r>
      <w:r w:rsidRPr="005B464B">
        <w:rPr>
          <w:rFonts w:hAnsi="標楷體" w:hint="eastAsia"/>
          <w:szCs w:val="32"/>
        </w:rPr>
        <w:t>高雄海洋科技大學亦曾考慮合併，惟科技大學與一般大學之學術標準要求不一，</w:t>
      </w:r>
      <w:r w:rsidRPr="005B464B">
        <w:rPr>
          <w:rFonts w:hint="eastAsia"/>
        </w:rPr>
        <w:t>國立</w:t>
      </w:r>
      <w:r w:rsidRPr="005B464B">
        <w:rPr>
          <w:rFonts w:hAnsi="標楷體" w:hint="eastAsia"/>
          <w:szCs w:val="32"/>
        </w:rPr>
        <w:t>高雄海洋科技大學最終仍選擇與</w:t>
      </w:r>
      <w:r w:rsidRPr="005B464B">
        <w:rPr>
          <w:rFonts w:hint="eastAsia"/>
        </w:rPr>
        <w:t>國立</w:t>
      </w:r>
      <w:r w:rsidRPr="005B464B">
        <w:rPr>
          <w:rFonts w:hAnsi="標楷體" w:hint="eastAsia"/>
          <w:szCs w:val="32"/>
        </w:rPr>
        <w:t>高雄第一科大合併。</w:t>
      </w:r>
    </w:p>
    <w:p w:rsidR="00D974E1" w:rsidRPr="005B464B" w:rsidRDefault="00D974E1" w:rsidP="00D974E1">
      <w:pPr>
        <w:pStyle w:val="4"/>
        <w:numPr>
          <w:ilvl w:val="3"/>
          <w:numId w:val="1"/>
        </w:numPr>
      </w:pPr>
      <w:r w:rsidRPr="005B464B">
        <w:rPr>
          <w:rFonts w:hint="eastAsia"/>
          <w:b/>
        </w:rPr>
        <w:lastRenderedPageBreak/>
        <w:t>學校校務會議決定合併案時，時有事後爭議議事程序(表決數額)情事，後續允宜事前</w:t>
      </w:r>
      <w:proofErr w:type="gramStart"/>
      <w:r w:rsidRPr="005B464B">
        <w:rPr>
          <w:rFonts w:hint="eastAsia"/>
          <w:b/>
        </w:rPr>
        <w:t>釐</w:t>
      </w:r>
      <w:proofErr w:type="gramEnd"/>
      <w:r w:rsidRPr="005B464B">
        <w:rPr>
          <w:rFonts w:hint="eastAsia"/>
          <w:b/>
        </w:rPr>
        <w:t>清相關法令規章適用問題，以確保合併程序標準化、明確化：</w:t>
      </w:r>
    </w:p>
    <w:p w:rsidR="00D974E1" w:rsidRPr="005B464B" w:rsidRDefault="00D974E1" w:rsidP="00D974E1">
      <w:pPr>
        <w:pStyle w:val="4"/>
        <w:numPr>
          <w:ilvl w:val="0"/>
          <w:numId w:val="0"/>
        </w:numPr>
        <w:ind w:left="1701"/>
      </w:pPr>
      <w:r w:rsidRPr="005B464B">
        <w:rPr>
          <w:rFonts w:hint="eastAsia"/>
          <w:b/>
        </w:rPr>
        <w:t xml:space="preserve">    </w:t>
      </w:r>
      <w:r w:rsidRPr="005B464B">
        <w:rPr>
          <w:rFonts w:hint="eastAsia"/>
        </w:rPr>
        <w:t>國立新竹教育大學與國立清華大學合併案即</w:t>
      </w:r>
      <w:r w:rsidR="00410848" w:rsidRPr="005B464B">
        <w:rPr>
          <w:rFonts w:hint="eastAsia"/>
        </w:rPr>
        <w:t>發生</w:t>
      </w:r>
      <w:r w:rsidRPr="005B464B">
        <w:rPr>
          <w:rFonts w:hint="eastAsia"/>
        </w:rPr>
        <w:t>類此情事，該案並經本院調查在案</w:t>
      </w:r>
      <w:r w:rsidRPr="005B464B">
        <w:rPr>
          <w:rStyle w:val="aff2"/>
        </w:rPr>
        <w:footnoteReference w:id="33"/>
      </w:r>
      <w:r w:rsidRPr="005B464B">
        <w:rPr>
          <w:rFonts w:hint="eastAsia"/>
        </w:rPr>
        <w:t>，相關調查意見為：「</w:t>
      </w:r>
      <w:bookmarkStart w:id="55" w:name="_Toc463444523"/>
      <w:r w:rsidRPr="005B464B">
        <w:rPr>
          <w:rFonts w:hint="eastAsia"/>
        </w:rPr>
        <w:t>為推動後續大學合併案，基於大學自治之原則，針對目前大學組織規程之整體適用疑義、合併流程不明確問題及教育部導引合併案顯未</w:t>
      </w:r>
      <w:proofErr w:type="gramStart"/>
      <w:r w:rsidRPr="005B464B">
        <w:rPr>
          <w:rFonts w:hint="eastAsia"/>
        </w:rPr>
        <w:t>臻</w:t>
      </w:r>
      <w:proofErr w:type="gramEnd"/>
      <w:r w:rsidRPr="005B464B">
        <w:rPr>
          <w:rFonts w:hint="eastAsia"/>
        </w:rPr>
        <w:t>積極等情形，行政院允宜儘速督促教育部通盤</w:t>
      </w:r>
      <w:proofErr w:type="gramStart"/>
      <w:r w:rsidRPr="005B464B">
        <w:rPr>
          <w:rFonts w:hint="eastAsia"/>
        </w:rPr>
        <w:t>研</w:t>
      </w:r>
      <w:proofErr w:type="gramEnd"/>
      <w:r w:rsidRPr="005B464B">
        <w:rPr>
          <w:rFonts w:hint="eastAsia"/>
        </w:rPr>
        <w:t>議檢討，積極宣導周知，</w:t>
      </w:r>
      <w:proofErr w:type="gramStart"/>
      <w:r w:rsidRPr="005B464B">
        <w:rPr>
          <w:rFonts w:hint="eastAsia"/>
        </w:rPr>
        <w:t>俾</w:t>
      </w:r>
      <w:proofErr w:type="gramEnd"/>
      <w:r w:rsidRPr="005B464B">
        <w:rPr>
          <w:rFonts w:hint="eastAsia"/>
        </w:rPr>
        <w:t>利相關政策之遂行</w:t>
      </w:r>
      <w:bookmarkEnd w:id="55"/>
      <w:r w:rsidRPr="005B464B">
        <w:rPr>
          <w:rFonts w:hint="eastAsia"/>
        </w:rPr>
        <w:t>」。</w:t>
      </w:r>
      <w:proofErr w:type="gramStart"/>
      <w:r w:rsidRPr="005B464B">
        <w:rPr>
          <w:rFonts w:hint="eastAsia"/>
        </w:rPr>
        <w:t>另</w:t>
      </w:r>
      <w:proofErr w:type="gramEnd"/>
      <w:r w:rsidRPr="005B464B">
        <w:rPr>
          <w:rFonts w:hint="eastAsia"/>
        </w:rPr>
        <w:t>，教育部核處中之國立高雄海洋科技大學與國立高雄第一科技大學合併案，亦有國立海洋科技大學校友會質疑</w:t>
      </w:r>
      <w:proofErr w:type="gramStart"/>
      <w:r w:rsidRPr="005B464B">
        <w:rPr>
          <w:rFonts w:hint="eastAsia"/>
        </w:rPr>
        <w:t>併</w:t>
      </w:r>
      <w:proofErr w:type="gramEnd"/>
      <w:r w:rsidRPr="005B464B">
        <w:rPr>
          <w:rFonts w:hint="eastAsia"/>
        </w:rPr>
        <w:t>校案應否適用校務會議議事規則以3分之2為表決門檻情事，</w:t>
      </w:r>
      <w:proofErr w:type="gramStart"/>
      <w:r w:rsidRPr="005B464B">
        <w:rPr>
          <w:rFonts w:hint="eastAsia"/>
        </w:rPr>
        <w:t>均證相關</w:t>
      </w:r>
      <w:proofErr w:type="gramEnd"/>
      <w:r w:rsidRPr="005B464B">
        <w:rPr>
          <w:rFonts w:hint="eastAsia"/>
        </w:rPr>
        <w:t>程序允有</w:t>
      </w:r>
      <w:proofErr w:type="gramStart"/>
      <w:r w:rsidRPr="005B464B">
        <w:rPr>
          <w:rFonts w:hint="eastAsia"/>
        </w:rPr>
        <w:t>釐</w:t>
      </w:r>
      <w:proofErr w:type="gramEnd"/>
      <w:r w:rsidRPr="005B464B">
        <w:rPr>
          <w:rFonts w:hint="eastAsia"/>
        </w:rPr>
        <w:t>清處理之必要，以防杜爭議。</w:t>
      </w:r>
    </w:p>
    <w:p w:rsidR="00D974E1" w:rsidRPr="005B464B" w:rsidRDefault="00D974E1" w:rsidP="00D974E1">
      <w:pPr>
        <w:pStyle w:val="4"/>
        <w:numPr>
          <w:ilvl w:val="3"/>
          <w:numId w:val="1"/>
        </w:numPr>
        <w:rPr>
          <w:rFonts w:hAnsi="標楷體"/>
          <w:szCs w:val="32"/>
        </w:rPr>
      </w:pPr>
      <w:r w:rsidRPr="005B464B">
        <w:rPr>
          <w:rFonts w:hint="eastAsia"/>
          <w:b/>
        </w:rPr>
        <w:t>本位主義乃影響合併效益之致命傷，允宜於合併各階段中強化暢通溝通管道；另如屬學校規模上有落差之合併案，合併後原較小型學校人員之意見，易因民主投票表決機制遭否決，更激化本位主義心態，</w:t>
      </w:r>
      <w:proofErr w:type="gramStart"/>
      <w:r w:rsidRPr="005B464B">
        <w:rPr>
          <w:rFonts w:hint="eastAsia"/>
          <w:b/>
        </w:rPr>
        <w:t>爰</w:t>
      </w:r>
      <w:proofErr w:type="gramEnd"/>
      <w:r w:rsidRPr="005B464B">
        <w:rPr>
          <w:rFonts w:hint="eastAsia"/>
          <w:b/>
        </w:rPr>
        <w:t>宜強化事前推演工作並加強合併計畫變更之監督機制：</w:t>
      </w:r>
    </w:p>
    <w:p w:rsidR="00D974E1" w:rsidRPr="005B464B" w:rsidRDefault="00D974E1" w:rsidP="00D974E1">
      <w:pPr>
        <w:pStyle w:val="4"/>
        <w:numPr>
          <w:ilvl w:val="0"/>
          <w:numId w:val="0"/>
        </w:numPr>
        <w:ind w:left="1701"/>
        <w:rPr>
          <w:rFonts w:hAnsi="標楷體"/>
          <w:bCs/>
          <w:szCs w:val="32"/>
        </w:rPr>
      </w:pPr>
      <w:r w:rsidRPr="005B464B">
        <w:rPr>
          <w:rFonts w:hint="eastAsia"/>
          <w:b/>
        </w:rPr>
        <w:t xml:space="preserve">    </w:t>
      </w:r>
      <w:r w:rsidRPr="005B464B">
        <w:rPr>
          <w:rFonts w:hAnsi="標楷體" w:hint="eastAsia"/>
          <w:bCs/>
          <w:szCs w:val="32"/>
        </w:rPr>
        <w:t>教育部人員於101年9月赴法國及英國考察「大學整</w:t>
      </w:r>
      <w:proofErr w:type="gramStart"/>
      <w:r w:rsidRPr="005B464B">
        <w:rPr>
          <w:rFonts w:hAnsi="標楷體" w:hint="eastAsia"/>
          <w:bCs/>
          <w:szCs w:val="32"/>
        </w:rPr>
        <w:t>併</w:t>
      </w:r>
      <w:proofErr w:type="gramEnd"/>
      <w:r w:rsidRPr="005B464B">
        <w:rPr>
          <w:rFonts w:hAnsi="標楷體" w:hint="eastAsia"/>
          <w:bCs/>
          <w:szCs w:val="32"/>
        </w:rPr>
        <w:t>與國際交流」一案，據英國曼徹斯特大學合併經驗指出：「整</w:t>
      </w:r>
      <w:proofErr w:type="gramStart"/>
      <w:r w:rsidRPr="005B464B">
        <w:rPr>
          <w:rFonts w:hAnsi="標楷體" w:hint="eastAsia"/>
          <w:bCs/>
          <w:szCs w:val="32"/>
        </w:rPr>
        <w:t>併</w:t>
      </w:r>
      <w:proofErr w:type="gramEnd"/>
      <w:r w:rsidRPr="005B464B">
        <w:rPr>
          <w:rFonts w:hAnsi="標楷體" w:hint="eastAsia"/>
          <w:bCs/>
          <w:szCs w:val="32"/>
        </w:rPr>
        <w:t>過程最容易導致衝突和矛盾的就是所謂的本位主義」等</w:t>
      </w:r>
      <w:r w:rsidRPr="005B464B">
        <w:rPr>
          <w:rStyle w:val="aff2"/>
          <w:rFonts w:hAnsi="標楷體"/>
          <w:bCs/>
          <w:szCs w:val="32"/>
        </w:rPr>
        <w:footnoteReference w:id="34"/>
      </w:r>
      <w:r w:rsidRPr="005B464B">
        <w:rPr>
          <w:rFonts w:hAnsi="標楷體" w:hint="eastAsia"/>
          <w:bCs/>
          <w:szCs w:val="32"/>
        </w:rPr>
        <w:t>，就此</w:t>
      </w:r>
      <w:proofErr w:type="gramStart"/>
      <w:r w:rsidRPr="005B464B">
        <w:rPr>
          <w:rFonts w:hAnsi="標楷體" w:hint="eastAsia"/>
          <w:bCs/>
          <w:szCs w:val="32"/>
        </w:rPr>
        <w:t>詢</w:t>
      </w:r>
      <w:proofErr w:type="gramEnd"/>
      <w:r w:rsidRPr="005B464B">
        <w:rPr>
          <w:rFonts w:hAnsi="標楷體" w:hint="eastAsia"/>
          <w:bCs/>
          <w:szCs w:val="32"/>
        </w:rPr>
        <w:t>據</w:t>
      </w:r>
      <w:r w:rsidRPr="005B464B">
        <w:rPr>
          <w:rFonts w:hAnsi="標楷體" w:hint="eastAsia"/>
          <w:bCs/>
          <w:szCs w:val="32"/>
        </w:rPr>
        <w:lastRenderedPageBreak/>
        <w:t>本案各場履</w:t>
      </w:r>
      <w:proofErr w:type="gramStart"/>
      <w:r w:rsidRPr="005B464B">
        <w:rPr>
          <w:rFonts w:hAnsi="標楷體" w:hint="eastAsia"/>
          <w:bCs/>
          <w:szCs w:val="32"/>
        </w:rPr>
        <w:t>勘</w:t>
      </w:r>
      <w:proofErr w:type="gramEnd"/>
      <w:r w:rsidRPr="005B464B">
        <w:rPr>
          <w:rFonts w:hAnsi="標楷體" w:hint="eastAsia"/>
          <w:bCs/>
          <w:szCs w:val="32"/>
        </w:rPr>
        <w:t>訪視學校人員，獲得高度共鳴，咸認本位主義確為合併過程之嚴重問題。</w:t>
      </w:r>
    </w:p>
    <w:p w:rsidR="00D974E1" w:rsidRPr="005B464B" w:rsidRDefault="00D974E1" w:rsidP="00D974E1">
      <w:pPr>
        <w:pStyle w:val="4"/>
        <w:numPr>
          <w:ilvl w:val="0"/>
          <w:numId w:val="0"/>
        </w:numPr>
        <w:ind w:left="1701"/>
        <w:rPr>
          <w:rFonts w:hAnsi="標楷體"/>
          <w:szCs w:val="32"/>
        </w:rPr>
      </w:pPr>
      <w:r w:rsidRPr="005B464B">
        <w:rPr>
          <w:rFonts w:hAnsi="標楷體" w:hint="eastAsia"/>
          <w:bCs/>
          <w:szCs w:val="32"/>
        </w:rPr>
        <w:t xml:space="preserve">    </w:t>
      </w:r>
      <w:r w:rsidRPr="005B464B">
        <w:rPr>
          <w:rFonts w:hint="eastAsia"/>
        </w:rPr>
        <w:t>國立</w:t>
      </w:r>
      <w:proofErr w:type="gramStart"/>
      <w:r w:rsidRPr="005B464B">
        <w:rPr>
          <w:rFonts w:hint="eastAsia"/>
        </w:rPr>
        <w:t>臺</w:t>
      </w:r>
      <w:proofErr w:type="gramEnd"/>
      <w:r w:rsidRPr="005B464B">
        <w:rPr>
          <w:rFonts w:hint="eastAsia"/>
        </w:rPr>
        <w:t>中技術學院與國立</w:t>
      </w:r>
      <w:proofErr w:type="gramStart"/>
      <w:r w:rsidRPr="005B464B">
        <w:rPr>
          <w:rFonts w:hint="eastAsia"/>
        </w:rPr>
        <w:t>臺</w:t>
      </w:r>
      <w:proofErr w:type="gramEnd"/>
      <w:r w:rsidRPr="005B464B">
        <w:rPr>
          <w:rFonts w:hint="eastAsia"/>
        </w:rPr>
        <w:t>中護理專科學校合併為</w:t>
      </w:r>
      <w:r w:rsidRPr="005B464B">
        <w:t>國立</w:t>
      </w:r>
      <w:proofErr w:type="gramStart"/>
      <w:r w:rsidRPr="005B464B">
        <w:t>臺</w:t>
      </w:r>
      <w:proofErr w:type="gramEnd"/>
      <w:r w:rsidRPr="005B464B">
        <w:t>中科技大學</w:t>
      </w:r>
      <w:r w:rsidRPr="005B464B">
        <w:rPr>
          <w:rFonts w:hint="eastAsia"/>
        </w:rPr>
        <w:t>一案，係目前學校合併規模上落差較大之案例(如下表</w:t>
      </w:r>
      <w:r w:rsidR="004573EB" w:rsidRPr="005B464B">
        <w:rPr>
          <w:rFonts w:hint="eastAsia"/>
        </w:rPr>
        <w:t>26</w:t>
      </w:r>
      <w:r w:rsidRPr="005B464B">
        <w:rPr>
          <w:rFonts w:hint="eastAsia"/>
        </w:rPr>
        <w:t>)，此有諮詢專家指出「當時</w:t>
      </w:r>
      <w:proofErr w:type="gramStart"/>
      <w:r w:rsidRPr="005B464B">
        <w:rPr>
          <w:rFonts w:hAnsi="標楷體" w:hint="eastAsia"/>
          <w:szCs w:val="32"/>
        </w:rPr>
        <w:t>臺</w:t>
      </w:r>
      <w:proofErr w:type="gramEnd"/>
      <w:r w:rsidRPr="005B464B">
        <w:rPr>
          <w:rFonts w:hAnsi="標楷體" w:hint="eastAsia"/>
          <w:szCs w:val="32"/>
        </w:rPr>
        <w:t>中技術學院想『改大』(升格大學)，</w:t>
      </w:r>
      <w:proofErr w:type="gramStart"/>
      <w:r w:rsidRPr="005B464B">
        <w:rPr>
          <w:rFonts w:hAnsi="標楷體" w:hint="eastAsia"/>
          <w:szCs w:val="32"/>
        </w:rPr>
        <w:t>臺</w:t>
      </w:r>
      <w:proofErr w:type="gramEnd"/>
      <w:r w:rsidRPr="005B464B">
        <w:rPr>
          <w:rFonts w:hAnsi="標楷體" w:hint="eastAsia"/>
          <w:szCs w:val="32"/>
        </w:rPr>
        <w:t>中護專想『</w:t>
      </w:r>
      <w:proofErr w:type="gramStart"/>
      <w:r w:rsidRPr="005B464B">
        <w:rPr>
          <w:rFonts w:hAnsi="標楷體" w:hint="eastAsia"/>
          <w:szCs w:val="32"/>
        </w:rPr>
        <w:t>跳大</w:t>
      </w:r>
      <w:proofErr w:type="gramEnd"/>
      <w:r w:rsidRPr="005B464B">
        <w:rPr>
          <w:rFonts w:hAnsi="標楷體" w:hint="eastAsia"/>
          <w:szCs w:val="32"/>
        </w:rPr>
        <w:t>』(不經過學院階段，合併後直接升格為大學)，最後促成本案」之合併背景；</w:t>
      </w:r>
      <w:proofErr w:type="gramStart"/>
      <w:r w:rsidRPr="005B464B">
        <w:rPr>
          <w:rFonts w:hAnsi="標楷體" w:hint="eastAsia"/>
          <w:szCs w:val="32"/>
        </w:rPr>
        <w:t>又查據相關</w:t>
      </w:r>
      <w:proofErr w:type="gramEnd"/>
      <w:r w:rsidRPr="005B464B">
        <w:rPr>
          <w:rFonts w:hAnsi="標楷體" w:hint="eastAsia"/>
          <w:szCs w:val="32"/>
        </w:rPr>
        <w:t>學校人員意見表示：「真正合併後，校方並未照合併</w:t>
      </w:r>
      <w:proofErr w:type="gramStart"/>
      <w:r w:rsidRPr="005B464B">
        <w:rPr>
          <w:rFonts w:hAnsi="標楷體" w:hint="eastAsia"/>
          <w:szCs w:val="32"/>
        </w:rPr>
        <w:t>計畫書走</w:t>
      </w:r>
      <w:proofErr w:type="gramEnd"/>
      <w:r w:rsidRPr="005B464B">
        <w:rPr>
          <w:rFonts w:hAnsi="標楷體" w:hint="eastAsia"/>
          <w:szCs w:val="32"/>
        </w:rPr>
        <w:t>，尤其是會計、人事等行政主管職編制之問題依然存在，原本規劃要有的組長或專門委員職缺，有些也不見了。</w:t>
      </w:r>
      <w:r w:rsidRPr="005B464B">
        <w:rPr>
          <w:rFonts w:hint="eastAsia"/>
        </w:rPr>
        <w:t>…</w:t>
      </w:r>
      <w:proofErr w:type="gramStart"/>
      <w:r w:rsidRPr="005B464B">
        <w:rPr>
          <w:rFonts w:hint="eastAsia"/>
        </w:rPr>
        <w:t>…</w:t>
      </w:r>
      <w:proofErr w:type="gramEnd"/>
      <w:r w:rsidRPr="005B464B">
        <w:rPr>
          <w:rFonts w:hAnsi="標楷體" w:hint="eastAsia"/>
          <w:szCs w:val="32"/>
        </w:rPr>
        <w:t>計畫書中</w:t>
      </w:r>
      <w:proofErr w:type="gramStart"/>
      <w:r w:rsidRPr="005B464B">
        <w:rPr>
          <w:rFonts w:hAnsi="標楷體" w:hint="eastAsia"/>
          <w:szCs w:val="32"/>
        </w:rPr>
        <w:t>臺</w:t>
      </w:r>
      <w:proofErr w:type="gramEnd"/>
      <w:r w:rsidRPr="005B464B">
        <w:rPr>
          <w:rFonts w:hAnsi="標楷體" w:hint="eastAsia"/>
          <w:szCs w:val="32"/>
        </w:rPr>
        <w:t>中科技大學當時應屬新設合併，惟後來卻演變成存續合併，由原較大學校之校長留任，合併後，大校以多數優勢反悔了意向書，</w:t>
      </w:r>
      <w:proofErr w:type="gramStart"/>
      <w:r w:rsidRPr="005B464B">
        <w:rPr>
          <w:rFonts w:hAnsi="標楷體" w:hint="eastAsia"/>
          <w:szCs w:val="32"/>
        </w:rPr>
        <w:t>註</w:t>
      </w:r>
      <w:proofErr w:type="gramEnd"/>
      <w:r w:rsidRPr="005B464B">
        <w:rPr>
          <w:rFonts w:hAnsi="標楷體" w:hint="eastAsia"/>
          <w:szCs w:val="32"/>
        </w:rPr>
        <w:t>定了合併後出現很多問題，當時向教育部反映，教育部也曾幫忙出公文提醒學校要注意合併計畫書，但沒有用。</w:t>
      </w:r>
      <w:r w:rsidRPr="005B464B">
        <w:rPr>
          <w:rFonts w:hint="eastAsia"/>
        </w:rPr>
        <w:t>…</w:t>
      </w:r>
      <w:proofErr w:type="gramStart"/>
      <w:r w:rsidRPr="005B464B">
        <w:rPr>
          <w:rFonts w:hint="eastAsia"/>
        </w:rPr>
        <w:t>…</w:t>
      </w:r>
      <w:proofErr w:type="gramEnd"/>
      <w:r w:rsidRPr="005B464B">
        <w:rPr>
          <w:rFonts w:hAnsi="標楷體" w:hint="eastAsia"/>
          <w:szCs w:val="32"/>
        </w:rPr>
        <w:t>教育部應負主導監督之責，保護小校。」等語。</w:t>
      </w:r>
    </w:p>
    <w:p w:rsidR="00D974E1" w:rsidRPr="005B464B" w:rsidRDefault="00D974E1" w:rsidP="00D974E1">
      <w:pPr>
        <w:pStyle w:val="a3"/>
        <w:jc w:val="center"/>
      </w:pPr>
      <w:r w:rsidRPr="005B464B">
        <w:rPr>
          <w:rFonts w:hint="eastAsia"/>
          <w:b/>
        </w:rPr>
        <w:t>國立</w:t>
      </w:r>
      <w:proofErr w:type="gramStart"/>
      <w:r w:rsidRPr="005B464B">
        <w:rPr>
          <w:rFonts w:hint="eastAsia"/>
          <w:b/>
        </w:rPr>
        <w:t>臺</w:t>
      </w:r>
      <w:proofErr w:type="gramEnd"/>
      <w:r w:rsidRPr="005B464B">
        <w:rPr>
          <w:rFonts w:hint="eastAsia"/>
          <w:b/>
        </w:rPr>
        <w:t>中科技大學之學校人員數量落差情形</w:t>
      </w:r>
    </w:p>
    <w:tbl>
      <w:tblPr>
        <w:tblStyle w:val="afb"/>
        <w:tblW w:w="5223" w:type="pct"/>
        <w:tblLook w:val="04A0" w:firstRow="1" w:lastRow="0" w:firstColumn="1" w:lastColumn="0" w:noHBand="0" w:noVBand="1"/>
      </w:tblPr>
      <w:tblGrid>
        <w:gridCol w:w="1669"/>
        <w:gridCol w:w="2692"/>
        <w:gridCol w:w="2834"/>
        <w:gridCol w:w="2269"/>
      </w:tblGrid>
      <w:tr w:rsidR="00E53741" w:rsidRPr="005B464B" w:rsidTr="001C64D2">
        <w:trPr>
          <w:tblHeader/>
        </w:trPr>
        <w:tc>
          <w:tcPr>
            <w:tcW w:w="882" w:type="pct"/>
            <w:vAlign w:val="center"/>
          </w:tcPr>
          <w:p w:rsidR="00D974E1" w:rsidRPr="005B464B" w:rsidRDefault="00D974E1" w:rsidP="001C64D2">
            <w:pPr>
              <w:jc w:val="center"/>
              <w:rPr>
                <w:rFonts w:hAnsi="標楷體"/>
                <w:b/>
                <w:sz w:val="26"/>
                <w:szCs w:val="26"/>
              </w:rPr>
            </w:pPr>
            <w:proofErr w:type="gramStart"/>
            <w:r w:rsidRPr="005B464B">
              <w:rPr>
                <w:rFonts w:hAnsi="標楷體"/>
                <w:b/>
                <w:sz w:val="26"/>
                <w:szCs w:val="26"/>
              </w:rPr>
              <w:t>合併後校名</w:t>
            </w:r>
            <w:proofErr w:type="gramEnd"/>
          </w:p>
        </w:tc>
        <w:tc>
          <w:tcPr>
            <w:tcW w:w="1422" w:type="pct"/>
            <w:vAlign w:val="center"/>
          </w:tcPr>
          <w:p w:rsidR="00D974E1" w:rsidRPr="005B464B" w:rsidRDefault="00D974E1" w:rsidP="001C64D2">
            <w:pPr>
              <w:jc w:val="center"/>
              <w:rPr>
                <w:rFonts w:hAnsi="標楷體"/>
                <w:b/>
                <w:sz w:val="26"/>
                <w:szCs w:val="26"/>
              </w:rPr>
            </w:pPr>
            <w:proofErr w:type="gramStart"/>
            <w:r w:rsidRPr="005B464B">
              <w:rPr>
                <w:rFonts w:hAnsi="標楷體" w:hint="eastAsia"/>
                <w:b/>
                <w:sz w:val="26"/>
                <w:szCs w:val="26"/>
              </w:rPr>
              <w:t>合併前校名</w:t>
            </w:r>
            <w:proofErr w:type="gramEnd"/>
          </w:p>
        </w:tc>
        <w:tc>
          <w:tcPr>
            <w:tcW w:w="1497" w:type="pct"/>
            <w:vAlign w:val="center"/>
          </w:tcPr>
          <w:p w:rsidR="00D974E1" w:rsidRPr="005B464B" w:rsidRDefault="00D974E1" w:rsidP="001C64D2">
            <w:pPr>
              <w:jc w:val="center"/>
              <w:rPr>
                <w:rFonts w:hAnsi="標楷體"/>
                <w:b/>
                <w:sz w:val="26"/>
                <w:szCs w:val="26"/>
              </w:rPr>
            </w:pPr>
            <w:r w:rsidRPr="005B464B">
              <w:rPr>
                <w:rFonts w:hAnsi="標楷體" w:hint="eastAsia"/>
                <w:b/>
                <w:sz w:val="26"/>
                <w:szCs w:val="26"/>
              </w:rPr>
              <w:t>原學校專任教師人數</w:t>
            </w:r>
          </w:p>
        </w:tc>
        <w:tc>
          <w:tcPr>
            <w:tcW w:w="1199" w:type="pct"/>
            <w:vAlign w:val="center"/>
          </w:tcPr>
          <w:p w:rsidR="00D974E1" w:rsidRPr="005B464B" w:rsidRDefault="00D974E1" w:rsidP="001C64D2">
            <w:pPr>
              <w:jc w:val="center"/>
              <w:rPr>
                <w:rFonts w:hAnsi="標楷體"/>
                <w:b/>
                <w:sz w:val="26"/>
                <w:szCs w:val="26"/>
              </w:rPr>
            </w:pPr>
            <w:r w:rsidRPr="005B464B">
              <w:rPr>
                <w:rFonts w:hAnsi="標楷體" w:hint="eastAsia"/>
                <w:b/>
                <w:sz w:val="26"/>
                <w:szCs w:val="26"/>
              </w:rPr>
              <w:t>原學校職員人數</w:t>
            </w:r>
          </w:p>
        </w:tc>
      </w:tr>
      <w:tr w:rsidR="00E53741" w:rsidRPr="005B464B" w:rsidTr="001C64D2">
        <w:trPr>
          <w:trHeight w:val="281"/>
        </w:trPr>
        <w:tc>
          <w:tcPr>
            <w:tcW w:w="882" w:type="pct"/>
            <w:vMerge w:val="restart"/>
            <w:vAlign w:val="center"/>
          </w:tcPr>
          <w:p w:rsidR="00D974E1" w:rsidRPr="005B464B" w:rsidRDefault="00D974E1" w:rsidP="001C64D2">
            <w:pPr>
              <w:jc w:val="center"/>
              <w:rPr>
                <w:rFonts w:hAnsi="標楷體"/>
                <w:b/>
                <w:sz w:val="26"/>
                <w:szCs w:val="26"/>
              </w:rPr>
            </w:pPr>
            <w:r w:rsidRPr="005B464B">
              <w:rPr>
                <w:rFonts w:hAnsi="標楷體"/>
                <w:b/>
                <w:sz w:val="26"/>
                <w:szCs w:val="26"/>
              </w:rPr>
              <w:t>國立</w:t>
            </w:r>
            <w:proofErr w:type="gramStart"/>
            <w:r w:rsidRPr="005B464B">
              <w:rPr>
                <w:rFonts w:hAnsi="標楷體"/>
                <w:b/>
                <w:sz w:val="26"/>
                <w:szCs w:val="26"/>
              </w:rPr>
              <w:t>臺</w:t>
            </w:r>
            <w:proofErr w:type="gramEnd"/>
            <w:r w:rsidRPr="005B464B">
              <w:rPr>
                <w:rFonts w:hAnsi="標楷體"/>
                <w:b/>
                <w:sz w:val="26"/>
                <w:szCs w:val="26"/>
              </w:rPr>
              <w:t>中</w:t>
            </w:r>
            <w:r w:rsidRPr="005B464B">
              <w:rPr>
                <w:rFonts w:hAnsi="標楷體" w:hint="eastAsia"/>
                <w:b/>
                <w:sz w:val="26"/>
                <w:szCs w:val="26"/>
              </w:rPr>
              <w:br/>
            </w:r>
            <w:r w:rsidRPr="005B464B">
              <w:rPr>
                <w:rFonts w:hAnsi="標楷體"/>
                <w:b/>
                <w:sz w:val="26"/>
                <w:szCs w:val="26"/>
              </w:rPr>
              <w:t>科技大學</w:t>
            </w:r>
          </w:p>
        </w:tc>
        <w:tc>
          <w:tcPr>
            <w:tcW w:w="1422" w:type="pct"/>
            <w:vAlign w:val="center"/>
          </w:tcPr>
          <w:p w:rsidR="00D974E1" w:rsidRPr="005B464B" w:rsidRDefault="00D974E1" w:rsidP="001C64D2">
            <w:pPr>
              <w:jc w:val="center"/>
              <w:rPr>
                <w:rFonts w:hAnsi="標楷體"/>
                <w:sz w:val="26"/>
                <w:szCs w:val="26"/>
              </w:rPr>
            </w:pPr>
            <w:r w:rsidRPr="005B464B">
              <w:rPr>
                <w:rFonts w:hAnsi="標楷體" w:hint="eastAsia"/>
                <w:sz w:val="26"/>
                <w:szCs w:val="26"/>
              </w:rPr>
              <w:t>國立</w:t>
            </w:r>
            <w:proofErr w:type="gramStart"/>
            <w:r w:rsidRPr="005B464B">
              <w:rPr>
                <w:rFonts w:hAnsi="標楷體" w:hint="eastAsia"/>
                <w:sz w:val="26"/>
                <w:szCs w:val="26"/>
              </w:rPr>
              <w:t>臺</w:t>
            </w:r>
            <w:proofErr w:type="gramEnd"/>
            <w:r w:rsidRPr="005B464B">
              <w:rPr>
                <w:rFonts w:hAnsi="標楷體" w:hint="eastAsia"/>
                <w:sz w:val="26"/>
                <w:szCs w:val="26"/>
              </w:rPr>
              <w:t>中技術學院</w:t>
            </w:r>
          </w:p>
        </w:tc>
        <w:tc>
          <w:tcPr>
            <w:tcW w:w="1497" w:type="pct"/>
            <w:vAlign w:val="center"/>
          </w:tcPr>
          <w:p w:rsidR="00D974E1" w:rsidRPr="005B464B" w:rsidRDefault="00D974E1" w:rsidP="001C64D2">
            <w:pPr>
              <w:jc w:val="center"/>
              <w:rPr>
                <w:rFonts w:hAnsi="標楷體"/>
                <w:sz w:val="26"/>
                <w:szCs w:val="26"/>
              </w:rPr>
            </w:pPr>
            <w:r w:rsidRPr="005B464B">
              <w:rPr>
                <w:rFonts w:hAnsi="標楷體" w:hint="eastAsia"/>
                <w:sz w:val="26"/>
                <w:szCs w:val="26"/>
              </w:rPr>
              <w:t>342</w:t>
            </w:r>
          </w:p>
        </w:tc>
        <w:tc>
          <w:tcPr>
            <w:tcW w:w="1199" w:type="pct"/>
            <w:vAlign w:val="center"/>
          </w:tcPr>
          <w:p w:rsidR="00D974E1" w:rsidRPr="005B464B" w:rsidRDefault="00D974E1" w:rsidP="001C64D2">
            <w:pPr>
              <w:jc w:val="center"/>
              <w:rPr>
                <w:rFonts w:hAnsi="標楷體"/>
                <w:sz w:val="26"/>
                <w:szCs w:val="26"/>
              </w:rPr>
            </w:pPr>
            <w:r w:rsidRPr="005B464B">
              <w:rPr>
                <w:rFonts w:hAnsi="標楷體" w:hint="eastAsia"/>
                <w:sz w:val="26"/>
                <w:szCs w:val="26"/>
              </w:rPr>
              <w:t>223</w:t>
            </w:r>
          </w:p>
        </w:tc>
      </w:tr>
      <w:tr w:rsidR="00E53741" w:rsidRPr="005B464B" w:rsidTr="001C64D2">
        <w:trPr>
          <w:trHeight w:val="425"/>
        </w:trPr>
        <w:tc>
          <w:tcPr>
            <w:tcW w:w="882" w:type="pct"/>
            <w:vMerge/>
            <w:vAlign w:val="center"/>
          </w:tcPr>
          <w:p w:rsidR="00D974E1" w:rsidRPr="005B464B" w:rsidRDefault="00D974E1" w:rsidP="001C64D2">
            <w:pPr>
              <w:jc w:val="center"/>
              <w:rPr>
                <w:rFonts w:hAnsi="標楷體"/>
                <w:b/>
                <w:sz w:val="26"/>
                <w:szCs w:val="26"/>
              </w:rPr>
            </w:pPr>
          </w:p>
        </w:tc>
        <w:tc>
          <w:tcPr>
            <w:tcW w:w="1422" w:type="pct"/>
            <w:vAlign w:val="center"/>
          </w:tcPr>
          <w:p w:rsidR="00D974E1" w:rsidRPr="005B464B" w:rsidRDefault="00D974E1" w:rsidP="001C64D2">
            <w:pPr>
              <w:jc w:val="center"/>
              <w:rPr>
                <w:rFonts w:hAnsi="標楷體"/>
                <w:sz w:val="26"/>
                <w:szCs w:val="26"/>
              </w:rPr>
            </w:pPr>
            <w:r w:rsidRPr="005B464B">
              <w:rPr>
                <w:rFonts w:hAnsi="標楷體" w:hint="eastAsia"/>
                <w:sz w:val="26"/>
                <w:szCs w:val="26"/>
              </w:rPr>
              <w:t>國立</w:t>
            </w:r>
            <w:proofErr w:type="gramStart"/>
            <w:r w:rsidRPr="005B464B">
              <w:rPr>
                <w:rFonts w:hAnsi="標楷體" w:hint="eastAsia"/>
                <w:sz w:val="26"/>
                <w:szCs w:val="26"/>
              </w:rPr>
              <w:t>臺</w:t>
            </w:r>
            <w:proofErr w:type="gramEnd"/>
            <w:r w:rsidRPr="005B464B">
              <w:rPr>
                <w:rFonts w:hAnsi="標楷體" w:hint="eastAsia"/>
                <w:sz w:val="26"/>
                <w:szCs w:val="26"/>
              </w:rPr>
              <w:t>中護理專科學校</w:t>
            </w:r>
          </w:p>
        </w:tc>
        <w:tc>
          <w:tcPr>
            <w:tcW w:w="1497" w:type="pct"/>
            <w:vAlign w:val="center"/>
          </w:tcPr>
          <w:p w:rsidR="00D974E1" w:rsidRPr="005B464B" w:rsidRDefault="00D974E1" w:rsidP="001C64D2">
            <w:pPr>
              <w:jc w:val="center"/>
              <w:rPr>
                <w:rFonts w:hAnsi="標楷體"/>
                <w:sz w:val="26"/>
                <w:szCs w:val="26"/>
              </w:rPr>
            </w:pPr>
            <w:r w:rsidRPr="005B464B">
              <w:rPr>
                <w:rFonts w:hAnsi="標楷體" w:hint="eastAsia"/>
                <w:sz w:val="26"/>
                <w:szCs w:val="26"/>
              </w:rPr>
              <w:t>52</w:t>
            </w:r>
          </w:p>
        </w:tc>
        <w:tc>
          <w:tcPr>
            <w:tcW w:w="1199" w:type="pct"/>
            <w:vAlign w:val="center"/>
          </w:tcPr>
          <w:p w:rsidR="00D974E1" w:rsidRPr="005B464B" w:rsidRDefault="00D974E1" w:rsidP="001C64D2">
            <w:pPr>
              <w:jc w:val="center"/>
              <w:rPr>
                <w:rFonts w:hAnsi="標楷體"/>
                <w:sz w:val="26"/>
                <w:szCs w:val="26"/>
              </w:rPr>
            </w:pPr>
            <w:r w:rsidRPr="005B464B">
              <w:rPr>
                <w:rFonts w:hAnsi="標楷體" w:hint="eastAsia"/>
                <w:sz w:val="26"/>
                <w:szCs w:val="26"/>
              </w:rPr>
              <w:t>72</w:t>
            </w:r>
          </w:p>
        </w:tc>
      </w:tr>
    </w:tbl>
    <w:p w:rsidR="00D974E1" w:rsidRPr="005B464B" w:rsidRDefault="00D974E1" w:rsidP="00D974E1">
      <w:pPr>
        <w:pStyle w:val="4"/>
        <w:numPr>
          <w:ilvl w:val="0"/>
          <w:numId w:val="0"/>
        </w:numPr>
        <w:spacing w:line="240" w:lineRule="exact"/>
        <w:rPr>
          <w:sz w:val="24"/>
          <w:szCs w:val="24"/>
        </w:rPr>
      </w:pPr>
      <w:r w:rsidRPr="005B464B">
        <w:rPr>
          <w:rFonts w:hint="eastAsia"/>
          <w:sz w:val="24"/>
          <w:szCs w:val="24"/>
        </w:rPr>
        <w:t>資料來源：本院依據教育部查復資料</w:t>
      </w:r>
      <w:proofErr w:type="gramStart"/>
      <w:r w:rsidRPr="005B464B">
        <w:rPr>
          <w:rFonts w:hint="eastAsia"/>
          <w:sz w:val="24"/>
          <w:szCs w:val="24"/>
        </w:rPr>
        <w:t>彙整製表</w:t>
      </w:r>
      <w:proofErr w:type="gramEnd"/>
      <w:r w:rsidRPr="005B464B">
        <w:rPr>
          <w:rFonts w:hint="eastAsia"/>
          <w:sz w:val="24"/>
          <w:szCs w:val="24"/>
        </w:rPr>
        <w:t>。</w:t>
      </w:r>
    </w:p>
    <w:p w:rsidR="00D974E1" w:rsidRPr="005B464B" w:rsidRDefault="00D974E1" w:rsidP="00D974E1">
      <w:pPr>
        <w:pStyle w:val="4"/>
        <w:numPr>
          <w:ilvl w:val="0"/>
          <w:numId w:val="0"/>
        </w:numPr>
        <w:spacing w:line="240" w:lineRule="exact"/>
      </w:pPr>
    </w:p>
    <w:p w:rsidR="00D974E1" w:rsidRPr="005B464B" w:rsidRDefault="00D974E1" w:rsidP="00D974E1">
      <w:pPr>
        <w:pStyle w:val="4"/>
        <w:numPr>
          <w:ilvl w:val="3"/>
          <w:numId w:val="1"/>
        </w:numPr>
      </w:pPr>
      <w:r w:rsidRPr="005B464B">
        <w:rPr>
          <w:rFonts w:hint="eastAsia"/>
          <w:b/>
        </w:rPr>
        <w:t>學校資源互補性之合併案(含教育大學與他類型大學之合併)，於合併後往往涉及系所之重新定位，如無積極輔導扶助，難以發揮合併綜效：</w:t>
      </w:r>
    </w:p>
    <w:p w:rsidR="00D974E1" w:rsidRPr="005B464B" w:rsidRDefault="00D974E1" w:rsidP="00D974E1">
      <w:pPr>
        <w:pStyle w:val="4"/>
        <w:numPr>
          <w:ilvl w:val="0"/>
          <w:numId w:val="0"/>
        </w:numPr>
        <w:ind w:left="1701"/>
      </w:pPr>
      <w:r w:rsidRPr="005B464B">
        <w:rPr>
          <w:rFonts w:hint="eastAsia"/>
          <w:b/>
        </w:rPr>
        <w:t xml:space="preserve">    </w:t>
      </w:r>
      <w:r w:rsidRPr="005B464B">
        <w:rPr>
          <w:rFonts w:hAnsi="標楷體" w:hint="eastAsia"/>
          <w:szCs w:val="32"/>
        </w:rPr>
        <w:t>本案諮詢專家意見提及「合併後如不努力只是省了人事成本，對於高教發展助益不大。有時</w:t>
      </w:r>
      <w:r w:rsidRPr="005B464B">
        <w:rPr>
          <w:rFonts w:hAnsi="標楷體" w:hint="eastAsia"/>
          <w:szCs w:val="32"/>
        </w:rPr>
        <w:lastRenderedPageBreak/>
        <w:t>選擇距離遙遠的大學合併只是假合併而已」、「以屏東大學把過去</w:t>
      </w:r>
      <w:proofErr w:type="gramStart"/>
      <w:r w:rsidRPr="005B464B">
        <w:rPr>
          <w:rFonts w:hAnsi="標楷體" w:hint="eastAsia"/>
          <w:szCs w:val="32"/>
        </w:rPr>
        <w:t>屏教大跟屏商</w:t>
      </w:r>
      <w:proofErr w:type="gramEnd"/>
      <w:r w:rsidRPr="005B464B">
        <w:rPr>
          <w:rFonts w:hAnsi="標楷體" w:hint="eastAsia"/>
          <w:szCs w:val="32"/>
        </w:rPr>
        <w:t>的科系轉成一般科系為例，建議教育部應給一筆基金，</w:t>
      </w:r>
      <w:proofErr w:type="gramStart"/>
      <w:r w:rsidRPr="005B464B">
        <w:rPr>
          <w:rFonts w:hAnsi="標楷體" w:hint="eastAsia"/>
          <w:szCs w:val="32"/>
        </w:rPr>
        <w:t>少說要10億、20億</w:t>
      </w:r>
      <w:proofErr w:type="gramEnd"/>
      <w:r w:rsidRPr="005B464B">
        <w:rPr>
          <w:rFonts w:hAnsi="標楷體" w:hint="eastAsia"/>
          <w:szCs w:val="32"/>
        </w:rPr>
        <w:t>，作為轉型用，這樣的經費對於提升教授的研究能量、培養年輕學者，都是很重要的」等語；國立屏東大學於本院召開座談會議時表達：「合校轉型前，理學院學系的任務是培養理科教學人才，但轉型後，定位不同，科</w:t>
      </w:r>
      <w:proofErr w:type="gramStart"/>
      <w:r w:rsidRPr="005B464B">
        <w:rPr>
          <w:rFonts w:hAnsi="標楷體" w:hint="eastAsia"/>
          <w:szCs w:val="32"/>
        </w:rPr>
        <w:t>研</w:t>
      </w:r>
      <w:proofErr w:type="gramEnd"/>
      <w:r w:rsidRPr="005B464B">
        <w:rPr>
          <w:rFonts w:hAnsi="標楷體" w:hint="eastAsia"/>
          <w:szCs w:val="32"/>
        </w:rPr>
        <w:t>能量需要強化。」、「</w:t>
      </w:r>
      <w:r w:rsidR="000B71D7" w:rsidRPr="005B464B">
        <w:rPr>
          <w:rFonts w:hAnsi="標楷體" w:hint="eastAsia"/>
          <w:szCs w:val="32"/>
        </w:rPr>
        <w:t>當時教育部推動兩校合併的氛圍，有種</w:t>
      </w:r>
      <w:proofErr w:type="gramStart"/>
      <w:r w:rsidR="000B71D7" w:rsidRPr="005B464B">
        <w:rPr>
          <w:rFonts w:hAnsi="標楷體" w:hint="eastAsia"/>
          <w:szCs w:val="32"/>
        </w:rPr>
        <w:t>半壓半</w:t>
      </w:r>
      <w:proofErr w:type="gramEnd"/>
      <w:r w:rsidR="000B71D7" w:rsidRPr="005B464B">
        <w:rPr>
          <w:rFonts w:hAnsi="標楷體" w:hint="eastAsia"/>
          <w:szCs w:val="32"/>
        </w:rPr>
        <w:t>強、讓人</w:t>
      </w:r>
      <w:r w:rsidR="00F567DE" w:rsidRPr="005B464B">
        <w:rPr>
          <w:rFonts w:hAnsi="標楷體" w:hint="eastAsia"/>
          <w:szCs w:val="32"/>
        </w:rPr>
        <w:t>有</w:t>
      </w:r>
      <w:r w:rsidR="000B71D7" w:rsidRPr="005B464B">
        <w:rPr>
          <w:rFonts w:hAnsi="標楷體" w:hint="eastAsia"/>
          <w:szCs w:val="32"/>
        </w:rPr>
        <w:t>不合併不行</w:t>
      </w:r>
      <w:r w:rsidRPr="005B464B">
        <w:rPr>
          <w:rFonts w:hAnsi="標楷體" w:hint="eastAsia"/>
          <w:szCs w:val="32"/>
        </w:rPr>
        <w:t>的感受，合併後，我們也努力要實踐合校後作為一所大學的理想，但在現實面，獲得的支持</w:t>
      </w:r>
      <w:proofErr w:type="gramStart"/>
      <w:r w:rsidRPr="005B464B">
        <w:rPr>
          <w:rFonts w:hAnsi="標楷體" w:hint="eastAsia"/>
          <w:szCs w:val="32"/>
        </w:rPr>
        <w:t>不</w:t>
      </w:r>
      <w:proofErr w:type="gramEnd"/>
      <w:r w:rsidRPr="005B464B">
        <w:rPr>
          <w:rFonts w:hAnsi="標楷體" w:hint="eastAsia"/>
          <w:szCs w:val="32"/>
        </w:rPr>
        <w:t>若預期地豐沛</w:t>
      </w:r>
      <w:r w:rsidRPr="005B464B">
        <w:rPr>
          <w:rFonts w:hint="eastAsia"/>
        </w:rPr>
        <w:t>…</w:t>
      </w:r>
      <w:proofErr w:type="gramStart"/>
      <w:r w:rsidRPr="005B464B">
        <w:rPr>
          <w:rFonts w:hint="eastAsia"/>
        </w:rPr>
        <w:t>…</w:t>
      </w:r>
      <w:proofErr w:type="gramEnd"/>
      <w:r w:rsidRPr="005B464B">
        <w:rPr>
          <w:rFonts w:hAnsi="標楷體" w:hint="eastAsia"/>
          <w:szCs w:val="32"/>
        </w:rPr>
        <w:t>從人力上來看，</w:t>
      </w:r>
      <w:proofErr w:type="gramStart"/>
      <w:r w:rsidRPr="005B464B">
        <w:rPr>
          <w:rFonts w:hAnsi="標楷體" w:hint="eastAsia"/>
          <w:szCs w:val="32"/>
        </w:rPr>
        <w:t>屏商的</w:t>
      </w:r>
      <w:proofErr w:type="gramEnd"/>
      <w:r w:rsidRPr="005B464B">
        <w:rPr>
          <w:rFonts w:hAnsi="標楷體" w:hint="eastAsia"/>
          <w:szCs w:val="32"/>
        </w:rPr>
        <w:t>應用英語負擔很多</w:t>
      </w:r>
      <w:proofErr w:type="gramStart"/>
      <w:r w:rsidRPr="005B464B">
        <w:rPr>
          <w:rFonts w:hAnsi="標楷體" w:hint="eastAsia"/>
          <w:szCs w:val="32"/>
        </w:rPr>
        <w:t>原本屏商的</w:t>
      </w:r>
      <w:proofErr w:type="gramEnd"/>
      <w:r w:rsidRPr="005B464B">
        <w:rPr>
          <w:rFonts w:hAnsi="標楷體" w:hint="eastAsia"/>
          <w:szCs w:val="32"/>
        </w:rPr>
        <w:t>通識教育課程，</w:t>
      </w:r>
      <w:proofErr w:type="gramStart"/>
      <w:r w:rsidRPr="005B464B">
        <w:rPr>
          <w:rFonts w:hAnsi="標楷體" w:hint="eastAsia"/>
          <w:szCs w:val="32"/>
        </w:rPr>
        <w:t>與屏教大</w:t>
      </w:r>
      <w:proofErr w:type="gramEnd"/>
      <w:r w:rsidRPr="005B464B">
        <w:rPr>
          <w:rFonts w:hAnsi="標楷體" w:hint="eastAsia"/>
          <w:szCs w:val="32"/>
        </w:rPr>
        <w:t>的英語系的內容、招生對象，連教材亦有落差，雖然名稱相近，實務上卻不易整合，</w:t>
      </w:r>
      <w:proofErr w:type="gramStart"/>
      <w:r w:rsidRPr="005B464B">
        <w:rPr>
          <w:rFonts w:hAnsi="標楷體" w:hint="eastAsia"/>
          <w:szCs w:val="32"/>
        </w:rPr>
        <w:t>縱經數年</w:t>
      </w:r>
      <w:proofErr w:type="gramEnd"/>
      <w:r w:rsidRPr="005B464B">
        <w:rPr>
          <w:rFonts w:hAnsi="標楷體" w:hint="eastAsia"/>
          <w:szCs w:val="32"/>
        </w:rPr>
        <w:t>運作，還是覺得難以整合」等語，益</w:t>
      </w:r>
      <w:proofErr w:type="gramStart"/>
      <w:r w:rsidRPr="005B464B">
        <w:rPr>
          <w:rFonts w:hAnsi="標楷體" w:hint="eastAsia"/>
          <w:szCs w:val="32"/>
        </w:rPr>
        <w:t>凸</w:t>
      </w:r>
      <w:proofErr w:type="gramEnd"/>
      <w:r w:rsidRPr="005B464B">
        <w:rPr>
          <w:rFonts w:hAnsi="標楷體" w:hint="eastAsia"/>
          <w:szCs w:val="32"/>
        </w:rPr>
        <w:t>顯合併決非</w:t>
      </w:r>
      <w:proofErr w:type="gramStart"/>
      <w:r w:rsidRPr="005B464B">
        <w:rPr>
          <w:rFonts w:hAnsi="標楷體" w:hint="eastAsia"/>
          <w:szCs w:val="32"/>
        </w:rPr>
        <w:t>一蹴</w:t>
      </w:r>
      <w:proofErr w:type="gramEnd"/>
      <w:r w:rsidRPr="005B464B">
        <w:rPr>
          <w:rFonts w:hAnsi="標楷體" w:hint="eastAsia"/>
          <w:szCs w:val="32"/>
        </w:rPr>
        <w:t>可幾，學校發展任務之重新定位有賴資源與支援</w:t>
      </w:r>
      <w:proofErr w:type="gramStart"/>
      <w:r w:rsidRPr="005B464B">
        <w:rPr>
          <w:rFonts w:hAnsi="標楷體" w:hint="eastAsia"/>
          <w:szCs w:val="32"/>
        </w:rPr>
        <w:t>挹</w:t>
      </w:r>
      <w:proofErr w:type="gramEnd"/>
      <w:r w:rsidRPr="005B464B">
        <w:rPr>
          <w:rFonts w:hAnsi="標楷體" w:hint="eastAsia"/>
          <w:szCs w:val="32"/>
        </w:rPr>
        <w:t>注。</w:t>
      </w:r>
    </w:p>
    <w:p w:rsidR="00D974E1" w:rsidRPr="005B464B" w:rsidRDefault="00D974E1" w:rsidP="00D974E1">
      <w:pPr>
        <w:pStyle w:val="3"/>
        <w:numPr>
          <w:ilvl w:val="2"/>
          <w:numId w:val="1"/>
        </w:numPr>
        <w:rPr>
          <w:bCs w:val="0"/>
        </w:rPr>
      </w:pPr>
      <w:r w:rsidRPr="005B464B">
        <w:rPr>
          <w:rFonts w:hint="eastAsia"/>
          <w:bCs w:val="0"/>
        </w:rPr>
        <w:t>綜上，教育部國立大學</w:t>
      </w:r>
      <w:r w:rsidR="000B71D7" w:rsidRPr="005B464B">
        <w:rPr>
          <w:rFonts w:hint="eastAsia"/>
          <w:bCs w:val="0"/>
        </w:rPr>
        <w:t>合併</w:t>
      </w:r>
      <w:r w:rsidRPr="005B464B">
        <w:rPr>
          <w:rFonts w:hint="eastAsia"/>
          <w:bCs w:val="0"/>
        </w:rPr>
        <w:t>政策已限縮條件於學校地理位置鄰近及學校規模兩者，雖屬務實，然實質合併仍受合併後之新設學校規章制度、財務條件及本位心態等因素影響，未來推動學校</w:t>
      </w:r>
      <w:proofErr w:type="gramStart"/>
      <w:r w:rsidRPr="005B464B">
        <w:rPr>
          <w:rFonts w:hint="eastAsia"/>
          <w:bCs w:val="0"/>
        </w:rPr>
        <w:t>合併允</w:t>
      </w:r>
      <w:proofErr w:type="gramEnd"/>
      <w:r w:rsidRPr="005B464B">
        <w:rPr>
          <w:rFonts w:hint="eastAsia"/>
          <w:bCs w:val="0"/>
        </w:rPr>
        <w:t>宜強化相關配套，於合併初期，更宜強化輔導協助機制。</w:t>
      </w:r>
    </w:p>
    <w:p w:rsidR="00410848" w:rsidRPr="005B464B" w:rsidRDefault="00410848" w:rsidP="00410848"/>
    <w:p w:rsidR="00D974E1" w:rsidRPr="005B464B" w:rsidRDefault="00E53741" w:rsidP="00E53741">
      <w:pPr>
        <w:pStyle w:val="11"/>
        <w:numPr>
          <w:ilvl w:val="0"/>
          <w:numId w:val="40"/>
        </w:numPr>
        <w:ind w:leftChars="0" w:left="426" w:firstLineChars="0"/>
        <w:rPr>
          <w:rFonts w:hAnsi="標楷體"/>
          <w:b/>
        </w:rPr>
      </w:pPr>
      <w:r w:rsidRPr="005B464B">
        <w:rPr>
          <w:rFonts w:hAnsi="標楷體" w:hint="eastAsia"/>
          <w:b/>
        </w:rPr>
        <w:t>私校轉型及退場</w:t>
      </w:r>
      <w:r w:rsidR="00410848" w:rsidRPr="005B464B">
        <w:rPr>
          <w:rFonts w:hAnsi="標楷體" w:hint="eastAsia"/>
          <w:b/>
        </w:rPr>
        <w:t>面向</w:t>
      </w:r>
    </w:p>
    <w:p w:rsidR="005635CD" w:rsidRPr="005B464B" w:rsidRDefault="005635CD" w:rsidP="005635CD">
      <w:pPr>
        <w:pStyle w:val="2"/>
        <w:rPr>
          <w:b/>
        </w:rPr>
      </w:pPr>
      <w:bookmarkStart w:id="56" w:name="_Toc482031276"/>
      <w:bookmarkStart w:id="57" w:name="_Toc482109480"/>
      <w:bookmarkStart w:id="58" w:name="_Toc485138866"/>
      <w:bookmarkStart w:id="59" w:name="_Toc482031286"/>
      <w:bookmarkStart w:id="60" w:name="_Toc482109490"/>
      <w:r w:rsidRPr="005B464B">
        <w:rPr>
          <w:rFonts w:hint="eastAsia"/>
          <w:b/>
          <w:kern w:val="0"/>
        </w:rPr>
        <w:t>教育部未審度人口少子女化趨勢，過度擴張大專校院數量，整體高教政策藍圖模糊、且</w:t>
      </w:r>
      <w:r w:rsidRPr="005B464B">
        <w:rPr>
          <w:rFonts w:hAnsi="標楷體" w:hint="eastAsia"/>
          <w:b/>
        </w:rPr>
        <w:t>相關盤整機制不足</w:t>
      </w:r>
      <w:r w:rsidRPr="005B464B">
        <w:rPr>
          <w:rFonts w:hint="eastAsia"/>
          <w:b/>
          <w:kern w:val="0"/>
        </w:rPr>
        <w:t>，後續退場及轉型SOP</w:t>
      </w:r>
      <w:r w:rsidRPr="005B464B">
        <w:rPr>
          <w:rFonts w:hAnsi="標楷體" w:hint="eastAsia"/>
          <w:b/>
        </w:rPr>
        <w:t>闕如</w:t>
      </w:r>
      <w:r w:rsidRPr="005B464B">
        <w:rPr>
          <w:rFonts w:hAnsi="標楷體" w:hint="eastAsia"/>
          <w:b/>
          <w:kern w:val="0"/>
        </w:rPr>
        <w:t>、</w:t>
      </w:r>
      <w:r w:rsidRPr="005B464B">
        <w:rPr>
          <w:rFonts w:hint="eastAsia"/>
          <w:b/>
          <w:kern w:val="0"/>
        </w:rPr>
        <w:t>期程冗長，欠缺有效預警機制；受限於校內外干擾因素，致近年私立大專校院，僅4所停辦</w:t>
      </w:r>
      <w:r w:rsidRPr="005B464B">
        <w:rPr>
          <w:rFonts w:hAnsi="標楷體" w:hint="eastAsia"/>
          <w:b/>
          <w:kern w:val="0"/>
        </w:rPr>
        <w:t>、</w:t>
      </w:r>
      <w:r w:rsidRPr="005B464B">
        <w:rPr>
          <w:rFonts w:hint="eastAsia"/>
          <w:b/>
          <w:kern w:val="0"/>
        </w:rPr>
        <w:t>轉型或合併，整體進度膠著，</w:t>
      </w:r>
      <w:proofErr w:type="gramStart"/>
      <w:r w:rsidR="005B464B">
        <w:rPr>
          <w:rFonts w:hint="eastAsia"/>
          <w:b/>
          <w:kern w:val="0"/>
        </w:rPr>
        <w:t>該</w:t>
      </w:r>
      <w:r w:rsidR="005B464B">
        <w:rPr>
          <w:rFonts w:hint="eastAsia"/>
          <w:b/>
          <w:kern w:val="0"/>
        </w:rPr>
        <w:lastRenderedPageBreak/>
        <w:t>部</w:t>
      </w:r>
      <w:r w:rsidRPr="005B464B">
        <w:rPr>
          <w:rFonts w:hint="eastAsia"/>
          <w:b/>
          <w:kern w:val="0"/>
        </w:rPr>
        <w:t>亦未</w:t>
      </w:r>
      <w:proofErr w:type="gramEnd"/>
      <w:r w:rsidRPr="005B464B">
        <w:rPr>
          <w:rFonts w:hint="eastAsia"/>
          <w:b/>
          <w:kern w:val="0"/>
        </w:rPr>
        <w:t>發揮政策工具效能，致多數學校持觀望立場，影響師生權益</w:t>
      </w:r>
      <w:r w:rsidRPr="005B464B">
        <w:rPr>
          <w:rFonts w:hAnsi="標楷體" w:hint="eastAsia"/>
          <w:b/>
          <w:kern w:val="0"/>
        </w:rPr>
        <w:t>、</w:t>
      </w:r>
      <w:r w:rsidRPr="005B464B">
        <w:rPr>
          <w:rFonts w:hint="eastAsia"/>
          <w:b/>
          <w:kern w:val="0"/>
        </w:rPr>
        <w:t>資源配置及國家競爭力甚</w:t>
      </w:r>
      <w:proofErr w:type="gramStart"/>
      <w:r w:rsidRPr="005B464B">
        <w:rPr>
          <w:rFonts w:hint="eastAsia"/>
          <w:b/>
          <w:kern w:val="0"/>
        </w:rPr>
        <w:t>鉅</w:t>
      </w:r>
      <w:proofErr w:type="gramEnd"/>
      <w:r w:rsidRPr="005B464B">
        <w:rPr>
          <w:rFonts w:hint="eastAsia"/>
          <w:b/>
          <w:kern w:val="0"/>
        </w:rPr>
        <w:t>，已成為政府當前</w:t>
      </w:r>
      <w:proofErr w:type="gramStart"/>
      <w:r w:rsidRPr="005B464B">
        <w:rPr>
          <w:rFonts w:hint="eastAsia"/>
          <w:b/>
          <w:kern w:val="0"/>
        </w:rPr>
        <w:t>施政亟</w:t>
      </w:r>
      <w:proofErr w:type="gramEnd"/>
      <w:r w:rsidRPr="005B464B">
        <w:rPr>
          <w:rFonts w:hint="eastAsia"/>
          <w:b/>
          <w:kern w:val="0"/>
        </w:rPr>
        <w:t>為嚴峻且迫切之挑戰。</w:t>
      </w:r>
      <w:bookmarkEnd w:id="56"/>
      <w:bookmarkEnd w:id="57"/>
      <w:bookmarkEnd w:id="58"/>
    </w:p>
    <w:p w:rsidR="005635CD" w:rsidRPr="005B464B" w:rsidRDefault="005635CD" w:rsidP="005635CD">
      <w:pPr>
        <w:pStyle w:val="3"/>
        <w:numPr>
          <w:ilvl w:val="2"/>
          <w:numId w:val="1"/>
        </w:numPr>
      </w:pPr>
      <w:bookmarkStart w:id="61" w:name="_Toc481412869"/>
      <w:bookmarkStart w:id="62" w:name="_Toc481486428"/>
      <w:bookmarkStart w:id="63" w:name="_Toc481505918"/>
      <w:bookmarkStart w:id="64" w:name="_Toc481599604"/>
      <w:bookmarkStart w:id="65" w:name="_Toc481599704"/>
      <w:bookmarkStart w:id="66" w:name="_Toc482030654"/>
      <w:bookmarkStart w:id="67" w:name="_Toc482031277"/>
      <w:bookmarkStart w:id="68" w:name="_Toc482109481"/>
      <w:r w:rsidRPr="005B464B">
        <w:rPr>
          <w:rFonts w:hAnsi="標楷體" w:hint="eastAsia"/>
          <w:szCs w:val="32"/>
        </w:rPr>
        <w:t>「</w:t>
      </w:r>
      <w:r w:rsidRPr="005B464B">
        <w:rPr>
          <w:rFonts w:hint="eastAsia"/>
        </w:rPr>
        <w:t>大學法</w:t>
      </w:r>
      <w:r w:rsidRPr="005B464B">
        <w:rPr>
          <w:rFonts w:hAnsi="標楷體" w:hint="eastAsia"/>
        </w:rPr>
        <w:t>」</w:t>
      </w:r>
      <w:r w:rsidRPr="005B464B">
        <w:rPr>
          <w:rFonts w:hint="eastAsia"/>
        </w:rPr>
        <w:t>第4條第2項規定</w:t>
      </w:r>
      <w:r w:rsidRPr="005B464B">
        <w:rPr>
          <w:rFonts w:hAnsi="標楷體" w:hint="eastAsia"/>
        </w:rPr>
        <w:t>：「</w:t>
      </w:r>
      <w:r w:rsidRPr="005B464B">
        <w:rPr>
          <w:rFonts w:hint="eastAsia"/>
        </w:rPr>
        <w:t>國立大學及私立大學之設立、變更或停辦，由教育部依照教育政策，並審察各地實際情形核定或調整之；直轄市立、縣 (市) 立大學之設立、變更或停辦，由各級政府依序報經教育部核定或調整之。私立大學並應依『私立學校法』之規定辦理</w:t>
      </w:r>
      <w:r w:rsidRPr="005B464B">
        <w:rPr>
          <w:rFonts w:hAnsi="標楷體" w:hint="eastAsia"/>
        </w:rPr>
        <w:t>」；同法</w:t>
      </w:r>
      <w:r w:rsidRPr="005B464B">
        <w:rPr>
          <w:rFonts w:hint="eastAsia"/>
        </w:rPr>
        <w:t>第12條規定</w:t>
      </w:r>
      <w:r w:rsidRPr="005B464B">
        <w:rPr>
          <w:rFonts w:hAnsi="標楷體" w:hint="eastAsia"/>
        </w:rPr>
        <w:t>：「大學之學生人數規模應與大學之資源條件相符，其標準由教育部定之；並得作為各大學規劃增設及調整院、系、所、學程與招生名額之審酌依據</w:t>
      </w:r>
      <w:r w:rsidRPr="005B464B">
        <w:rPr>
          <w:rFonts w:hint="eastAsia"/>
        </w:rPr>
        <w:t>。</w:t>
      </w:r>
      <w:r w:rsidRPr="005B464B">
        <w:rPr>
          <w:rFonts w:hAnsi="標楷體" w:hint="eastAsia"/>
        </w:rPr>
        <w:t>」</w:t>
      </w:r>
      <w:proofErr w:type="gramStart"/>
      <w:r w:rsidRPr="005B464B">
        <w:rPr>
          <w:rFonts w:hint="eastAsia"/>
        </w:rPr>
        <w:t>復按</w:t>
      </w:r>
      <w:proofErr w:type="gramEnd"/>
      <w:r w:rsidRPr="005B464B">
        <w:rPr>
          <w:rFonts w:hAnsi="標楷體" w:hint="eastAsia"/>
          <w:szCs w:val="32"/>
        </w:rPr>
        <w:t>「私立學校法」</w:t>
      </w:r>
      <w:r w:rsidRPr="005B464B">
        <w:rPr>
          <w:rFonts w:hint="eastAsia"/>
        </w:rPr>
        <w:t>第55條規定，</w:t>
      </w:r>
      <w:r w:rsidRPr="005B464B">
        <w:rPr>
          <w:rFonts w:hAnsi="標楷體" w:hint="eastAsia"/>
          <w:szCs w:val="32"/>
        </w:rPr>
        <w:t>「</w:t>
      </w:r>
      <w:r w:rsidRPr="005B464B">
        <w:rPr>
          <w:rFonts w:hint="eastAsia"/>
        </w:rPr>
        <w:t>學校法人所設私立學校辦理不善、違反本法或有關教育法規，經學校主管機關糾正或限期整頓改善，屆期仍未改善者，經徵詢『私立學校諮詢會』意見後，視其情節輕重為下列處分</w:t>
      </w:r>
      <w:r w:rsidRPr="005B464B">
        <w:rPr>
          <w:rFonts w:hAnsi="標楷體" w:hint="eastAsia"/>
        </w:rPr>
        <w:t>：</w:t>
      </w:r>
      <w:r w:rsidRPr="005B464B">
        <w:rPr>
          <w:rFonts w:hAnsi="標楷體" w:hint="eastAsia"/>
          <w:szCs w:val="32"/>
        </w:rPr>
        <w:t>一、停止所設私立學校部分或全部之獎勵、補助。二、停止所設私立學校部分或全部班級之招生。」</w:t>
      </w:r>
      <w:r w:rsidRPr="005B464B">
        <w:rPr>
          <w:rFonts w:hint="eastAsia"/>
        </w:rPr>
        <w:t>同法第70條第1項規定，</w:t>
      </w:r>
      <w:r w:rsidRPr="005B464B">
        <w:rPr>
          <w:rFonts w:hAnsi="標楷體" w:hint="eastAsia"/>
        </w:rPr>
        <w:t>「</w:t>
      </w:r>
      <w:r w:rsidRPr="005B464B">
        <w:rPr>
          <w:rFonts w:hint="eastAsia"/>
        </w:rPr>
        <w:t>私立學校有下列情形之</w:t>
      </w:r>
      <w:proofErr w:type="gramStart"/>
      <w:r w:rsidRPr="005B464B">
        <w:rPr>
          <w:rFonts w:hint="eastAsia"/>
        </w:rPr>
        <w:t>一</w:t>
      </w:r>
      <w:proofErr w:type="gramEnd"/>
      <w:r w:rsidRPr="005B464B">
        <w:rPr>
          <w:rFonts w:hint="eastAsia"/>
        </w:rPr>
        <w:t>者，其學校法人應報經學校主管機關核定後停辦</w:t>
      </w:r>
      <w:r w:rsidRPr="005B464B">
        <w:rPr>
          <w:rFonts w:hAnsi="標楷體" w:hint="eastAsia"/>
        </w:rPr>
        <w:t>：一、辦學目的有窒礙難行，或遭遇重大困難不能繼續辦理。二、經學校主管機關依本法規定限期命其為適法之處置，或整頓改善，屆期未處置、改善，或處置、改善無效果。」同條第2項規定：「前項情形，學校法人未自行申請學校主管機關核定停辦者，學校主管機關於必要時徵詢</w:t>
      </w:r>
      <w:r w:rsidRPr="005B464B">
        <w:rPr>
          <w:rFonts w:hint="eastAsia"/>
        </w:rPr>
        <w:t>『</w:t>
      </w:r>
      <w:r w:rsidRPr="005B464B">
        <w:rPr>
          <w:rFonts w:hAnsi="標楷體" w:hint="eastAsia"/>
        </w:rPr>
        <w:t>私立學校諮詢會</w:t>
      </w:r>
      <w:r w:rsidRPr="005B464B">
        <w:rPr>
          <w:rFonts w:hint="eastAsia"/>
        </w:rPr>
        <w:t>』</w:t>
      </w:r>
      <w:r w:rsidRPr="005B464B">
        <w:rPr>
          <w:rFonts w:hAnsi="標楷體" w:hint="eastAsia"/>
        </w:rPr>
        <w:t>意見後，得命其停辦。」</w:t>
      </w:r>
      <w:r w:rsidRPr="005B464B">
        <w:rPr>
          <w:rFonts w:hint="eastAsia"/>
        </w:rPr>
        <w:t>同法第71</w:t>
      </w:r>
      <w:r w:rsidRPr="005B464B">
        <w:rPr>
          <w:rFonts w:hAnsi="標楷體" w:hint="eastAsia"/>
          <w:szCs w:val="32"/>
        </w:rPr>
        <w:t>條第1項則賦予私校變更之依據，「學校法人因情事變更，致不能達到捐助章程所定目的，已依前條規定停辦所設各私立學校後，經董事會決議及法人主</w:t>
      </w:r>
      <w:r w:rsidRPr="005B464B">
        <w:rPr>
          <w:rFonts w:hAnsi="標楷體" w:hint="eastAsia"/>
          <w:szCs w:val="32"/>
        </w:rPr>
        <w:lastRenderedPageBreak/>
        <w:t>管機關許可，得變更其目的，改辦理其他教育、文化或社會福利事業。」</w:t>
      </w:r>
      <w:r w:rsidRPr="005B464B">
        <w:rPr>
          <w:rFonts w:hint="eastAsia"/>
        </w:rPr>
        <w:t>又按</w:t>
      </w:r>
      <w:r w:rsidRPr="005B464B">
        <w:rPr>
          <w:rFonts w:hAnsi="標楷體" w:hint="eastAsia"/>
        </w:rPr>
        <w:t>「</w:t>
      </w:r>
      <w:r w:rsidRPr="005B464B">
        <w:rPr>
          <w:rFonts w:hint="eastAsia"/>
        </w:rPr>
        <w:t>專科以上學校總量發展規模與資源條件標準</w:t>
      </w:r>
      <w:r w:rsidRPr="005B464B">
        <w:rPr>
          <w:rFonts w:hAnsi="標楷體" w:hint="eastAsia"/>
        </w:rPr>
        <w:t>」(下稱</w:t>
      </w:r>
      <w:r w:rsidRPr="005B464B">
        <w:rPr>
          <w:rFonts w:hint="eastAsia"/>
        </w:rPr>
        <w:t>專科以上總量標準</w:t>
      </w:r>
      <w:r w:rsidRPr="005B464B">
        <w:rPr>
          <w:rFonts w:hAnsi="標楷體" w:hint="eastAsia"/>
        </w:rPr>
        <w:t>)</w:t>
      </w:r>
      <w:r w:rsidRPr="005B464B">
        <w:rPr>
          <w:rFonts w:hint="eastAsia"/>
        </w:rPr>
        <w:t>第8條規定略</w:t>
      </w:r>
      <w:proofErr w:type="gramStart"/>
      <w:r w:rsidRPr="005B464B">
        <w:rPr>
          <w:rFonts w:hint="eastAsia"/>
        </w:rPr>
        <w:t>以</w:t>
      </w:r>
      <w:proofErr w:type="gramEnd"/>
      <w:r w:rsidRPr="005B464B">
        <w:rPr>
          <w:rFonts w:hint="eastAsia"/>
        </w:rPr>
        <w:t>，專科以上學校有下列情事之</w:t>
      </w:r>
      <w:proofErr w:type="gramStart"/>
      <w:r w:rsidRPr="005B464B">
        <w:rPr>
          <w:rFonts w:hint="eastAsia"/>
        </w:rPr>
        <w:t>一</w:t>
      </w:r>
      <w:proofErr w:type="gramEnd"/>
      <w:r w:rsidRPr="005B464B">
        <w:rPr>
          <w:rFonts w:hint="eastAsia"/>
        </w:rPr>
        <w:t>者，教育部得調整其招生名額總量或各院、所、系、科與學位學程之招生名額</w:t>
      </w:r>
      <w:r w:rsidRPr="005B464B">
        <w:rPr>
          <w:rFonts w:hAnsi="標楷體" w:hint="eastAsia"/>
          <w:szCs w:val="32"/>
        </w:rPr>
        <w:t>…</w:t>
      </w:r>
      <w:proofErr w:type="gramStart"/>
      <w:r w:rsidRPr="005B464B">
        <w:rPr>
          <w:rFonts w:hAnsi="標楷體"/>
          <w:szCs w:val="32"/>
        </w:rPr>
        <w:t>…</w:t>
      </w:r>
      <w:proofErr w:type="gramEnd"/>
      <w:r w:rsidRPr="005B464B">
        <w:rPr>
          <w:rFonts w:hint="eastAsia"/>
        </w:rPr>
        <w:t>。</w:t>
      </w:r>
      <w:proofErr w:type="gramStart"/>
      <w:r w:rsidRPr="005B464B">
        <w:rPr>
          <w:rFonts w:hint="eastAsia"/>
        </w:rPr>
        <w:t>此外，</w:t>
      </w:r>
      <w:proofErr w:type="gramEnd"/>
      <w:r w:rsidRPr="005B464B">
        <w:rPr>
          <w:rFonts w:hAnsi="標楷體" w:hint="eastAsia"/>
        </w:rPr>
        <w:t>「技術與職業教育法」於104年1月公布施行，第4條明文：「為培育符合國家經濟及產業發展需求之人才，制定宏觀技職教育政策綱領，行政院應定期邀集教育部、勞動部、經濟部、</w:t>
      </w:r>
      <w:r w:rsidRPr="005B464B">
        <w:rPr>
          <w:rFonts w:hAnsi="標楷體" w:hint="eastAsia"/>
          <w:kern w:val="2"/>
          <w:szCs w:val="32"/>
        </w:rPr>
        <w:t>國發會</w:t>
      </w:r>
      <w:r w:rsidRPr="005B464B">
        <w:rPr>
          <w:rFonts w:hAnsi="標楷體" w:hint="eastAsia"/>
        </w:rPr>
        <w:t>及其他相關部會首長，召開技職教育審議會</w:t>
      </w:r>
      <w:r w:rsidRPr="005B464B">
        <w:rPr>
          <w:rFonts w:hAnsi="標楷體"/>
        </w:rPr>
        <w:t>…</w:t>
      </w:r>
      <w:proofErr w:type="gramStart"/>
      <w:r w:rsidRPr="005B464B">
        <w:rPr>
          <w:rFonts w:hAnsi="標楷體"/>
        </w:rPr>
        <w:t>…</w:t>
      </w:r>
      <w:proofErr w:type="gramEnd"/>
      <w:r w:rsidRPr="005B464B">
        <w:rPr>
          <w:rFonts w:hAnsi="標楷體" w:hint="eastAsia"/>
        </w:rPr>
        <w:t>」，則賦予行政院於整體人才培育機制管理與運作更明確之督導權責</w:t>
      </w:r>
      <w:r w:rsidRPr="005B464B">
        <w:rPr>
          <w:rFonts w:hint="eastAsia"/>
        </w:rPr>
        <w:t>。是</w:t>
      </w:r>
      <w:proofErr w:type="gramStart"/>
      <w:r w:rsidRPr="005B464B">
        <w:rPr>
          <w:rFonts w:hint="eastAsia"/>
        </w:rPr>
        <w:t>以</w:t>
      </w:r>
      <w:proofErr w:type="gramEnd"/>
      <w:r w:rsidRPr="005B464B">
        <w:rPr>
          <w:rFonts w:hint="eastAsia"/>
        </w:rPr>
        <w:t>，大學及其分校、分部設立、變更、停辦，</w:t>
      </w:r>
      <w:proofErr w:type="gramStart"/>
      <w:r w:rsidRPr="005B464B">
        <w:rPr>
          <w:rFonts w:hint="eastAsia"/>
        </w:rPr>
        <w:t>均須經</w:t>
      </w:r>
      <w:proofErr w:type="gramEnd"/>
      <w:r w:rsidRPr="005B464B">
        <w:rPr>
          <w:rFonts w:hint="eastAsia"/>
        </w:rPr>
        <w:t>教育部核准，然針對教育部核准新設大專校院</w:t>
      </w:r>
      <w:r w:rsidRPr="005B464B">
        <w:rPr>
          <w:rFonts w:hAnsi="標楷體" w:hint="eastAsia"/>
        </w:rPr>
        <w:t>、</w:t>
      </w:r>
      <w:r w:rsidRPr="005B464B">
        <w:rPr>
          <w:rFonts w:hint="eastAsia"/>
        </w:rPr>
        <w:t>整體教育資源之經濟規模，</w:t>
      </w:r>
      <w:proofErr w:type="gramStart"/>
      <w:r w:rsidRPr="005B464B">
        <w:rPr>
          <w:rFonts w:hint="eastAsia"/>
        </w:rPr>
        <w:t>及鏈結</w:t>
      </w:r>
      <w:proofErr w:type="gramEnd"/>
      <w:r w:rsidRPr="005B464B">
        <w:rPr>
          <w:rFonts w:hint="eastAsia"/>
        </w:rPr>
        <w:t>國家發展需求等，且後續</w:t>
      </w:r>
      <w:proofErr w:type="gramStart"/>
      <w:r w:rsidRPr="005B464B">
        <w:rPr>
          <w:rFonts w:hint="eastAsia"/>
        </w:rPr>
        <w:t>恐</w:t>
      </w:r>
      <w:proofErr w:type="gramEnd"/>
      <w:r w:rsidRPr="005B464B">
        <w:rPr>
          <w:rFonts w:hint="eastAsia"/>
        </w:rPr>
        <w:t>涉及部分大學變更法人主管機關情事，</w:t>
      </w:r>
      <w:r w:rsidR="00965EA9" w:rsidRPr="005B464B">
        <w:rPr>
          <w:rFonts w:hint="eastAsia"/>
        </w:rPr>
        <w:t>政府</w:t>
      </w:r>
      <w:r w:rsidR="008E17D5" w:rsidRPr="005B464B">
        <w:rPr>
          <w:rFonts w:hint="eastAsia"/>
        </w:rPr>
        <w:t>應檢討</w:t>
      </w:r>
      <w:r w:rsidRPr="005B464B">
        <w:rPr>
          <w:rFonts w:hint="eastAsia"/>
        </w:rPr>
        <w:t>重要政策統籌督導或協調</w:t>
      </w:r>
      <w:r w:rsidR="008E17D5" w:rsidRPr="005B464B">
        <w:rPr>
          <w:rFonts w:hint="eastAsia"/>
        </w:rPr>
        <w:t>事項</w:t>
      </w:r>
      <w:r w:rsidRPr="005B464B">
        <w:rPr>
          <w:rFonts w:hint="eastAsia"/>
        </w:rPr>
        <w:t>。</w:t>
      </w:r>
      <w:bookmarkEnd w:id="61"/>
      <w:bookmarkEnd w:id="62"/>
      <w:bookmarkEnd w:id="63"/>
      <w:bookmarkEnd w:id="64"/>
      <w:bookmarkEnd w:id="65"/>
      <w:bookmarkEnd w:id="66"/>
      <w:bookmarkEnd w:id="67"/>
      <w:bookmarkEnd w:id="68"/>
    </w:p>
    <w:p w:rsidR="005635CD" w:rsidRPr="005B464B" w:rsidRDefault="005635CD" w:rsidP="005635CD">
      <w:pPr>
        <w:pStyle w:val="3"/>
        <w:numPr>
          <w:ilvl w:val="2"/>
          <w:numId w:val="1"/>
        </w:numPr>
      </w:pPr>
      <w:bookmarkStart w:id="69" w:name="_Toc481412870"/>
      <w:bookmarkStart w:id="70" w:name="_Toc481486429"/>
      <w:bookmarkStart w:id="71" w:name="_Toc481505919"/>
      <w:bookmarkStart w:id="72" w:name="_Toc481599605"/>
      <w:bookmarkStart w:id="73" w:name="_Toc481599705"/>
      <w:bookmarkStart w:id="74" w:name="_Toc482030655"/>
      <w:bookmarkStart w:id="75" w:name="_Toc482031278"/>
      <w:bookmarkStart w:id="76" w:name="_Toc482109482"/>
      <w:r w:rsidRPr="005B464B">
        <w:rPr>
          <w:rFonts w:hint="eastAsia"/>
        </w:rPr>
        <w:t>經查，</w:t>
      </w:r>
      <w:proofErr w:type="gramStart"/>
      <w:r w:rsidRPr="005B464B">
        <w:rPr>
          <w:rFonts w:hint="eastAsia"/>
        </w:rPr>
        <w:t>由於受少子女</w:t>
      </w:r>
      <w:proofErr w:type="gramEnd"/>
      <w:r w:rsidRPr="005B464B">
        <w:rPr>
          <w:rFonts w:hint="eastAsia"/>
        </w:rPr>
        <w:t>化趨勢影響，出生人口數急遽下降，近20年來高等教育新生入學人數長期呈現明顯遞減之態勢。我國87年出生人口數約27.1萬人，較</w:t>
      </w:r>
      <w:proofErr w:type="gramStart"/>
      <w:r w:rsidRPr="005B464B">
        <w:rPr>
          <w:rFonts w:hint="eastAsia"/>
        </w:rPr>
        <w:t>86年已驟降</w:t>
      </w:r>
      <w:proofErr w:type="gramEnd"/>
      <w:r w:rsidRPr="005B464B">
        <w:rPr>
          <w:rFonts w:hint="eastAsia"/>
        </w:rPr>
        <w:t>5.5萬人，即已開啟人口</w:t>
      </w:r>
      <w:proofErr w:type="gramStart"/>
      <w:r w:rsidRPr="005B464B">
        <w:rPr>
          <w:rFonts w:hint="eastAsia"/>
        </w:rPr>
        <w:t>遽</w:t>
      </w:r>
      <w:proofErr w:type="gramEnd"/>
      <w:r w:rsidRPr="005B464B">
        <w:rPr>
          <w:rFonts w:hint="eastAsia"/>
        </w:rPr>
        <w:t>減之少子女化序幕。而89至104學年度大一入學新生人數對應出生人口年度為70至85年，70年出生人口為41萬4,069人，85年出生人口為32萬5,545人，15年間共減少8萬多新生人口，至99年更下跌至</w:t>
      </w:r>
      <w:r w:rsidRPr="005B464B">
        <w:t>16</w:t>
      </w:r>
      <w:r w:rsidRPr="005B464B">
        <w:rPr>
          <w:rFonts w:hint="eastAsia"/>
        </w:rPr>
        <w:t>萬</w:t>
      </w:r>
      <w:r w:rsidRPr="005B464B">
        <w:t>6,886</w:t>
      </w:r>
      <w:r w:rsidRPr="005B464B">
        <w:rPr>
          <w:rFonts w:hint="eastAsia"/>
        </w:rPr>
        <w:t>人，100年及102年則分別略升為</w:t>
      </w:r>
      <w:r w:rsidRPr="005B464B">
        <w:t>19</w:t>
      </w:r>
      <w:r w:rsidRPr="005B464B">
        <w:rPr>
          <w:rFonts w:hint="eastAsia"/>
        </w:rPr>
        <w:t>萬</w:t>
      </w:r>
      <w:r w:rsidRPr="005B464B">
        <w:t>6,627</w:t>
      </w:r>
      <w:r w:rsidRPr="005B464B">
        <w:rPr>
          <w:rFonts w:hint="eastAsia"/>
        </w:rPr>
        <w:t>人</w:t>
      </w:r>
      <w:r w:rsidRPr="005B464B">
        <w:rPr>
          <w:rFonts w:hAnsi="標楷體" w:hint="eastAsia"/>
        </w:rPr>
        <w:t>、</w:t>
      </w:r>
      <w:r w:rsidRPr="005B464B">
        <w:t>19</w:t>
      </w:r>
      <w:r w:rsidRPr="005B464B">
        <w:rPr>
          <w:rFonts w:hint="eastAsia"/>
        </w:rPr>
        <w:t>萬</w:t>
      </w:r>
      <w:r w:rsidRPr="005B464B">
        <w:t>9,113</w:t>
      </w:r>
      <w:r w:rsidRPr="005B464B">
        <w:rPr>
          <w:rFonts w:hint="eastAsia"/>
        </w:rPr>
        <w:t>人。</w:t>
      </w:r>
      <w:proofErr w:type="gramStart"/>
      <w:r w:rsidRPr="005B464B">
        <w:rPr>
          <w:rFonts w:hint="eastAsia"/>
        </w:rPr>
        <w:t>迄</w:t>
      </w:r>
      <w:proofErr w:type="gramEnd"/>
      <w:r w:rsidRPr="005B464B">
        <w:rPr>
          <w:rFonts w:hint="eastAsia"/>
        </w:rPr>
        <w:t>105年我國出生人口雖略回升為</w:t>
      </w:r>
      <w:r w:rsidRPr="005B464B">
        <w:t>20</w:t>
      </w:r>
      <w:r w:rsidRPr="005B464B">
        <w:rPr>
          <w:rFonts w:hint="eastAsia"/>
        </w:rPr>
        <w:t>萬</w:t>
      </w:r>
      <w:r w:rsidRPr="005B464B">
        <w:t>8,440</w:t>
      </w:r>
      <w:r w:rsidRPr="005B464B">
        <w:rPr>
          <w:rFonts w:hint="eastAsia"/>
        </w:rPr>
        <w:t>人，然</w:t>
      </w:r>
      <w:proofErr w:type="gramStart"/>
      <w:r w:rsidRPr="005B464B">
        <w:rPr>
          <w:rFonts w:hint="eastAsia"/>
        </w:rPr>
        <w:t>揆諸近</w:t>
      </w:r>
      <w:proofErr w:type="gramEnd"/>
      <w:r w:rsidRPr="005B464B">
        <w:rPr>
          <w:rFonts w:hint="eastAsia"/>
        </w:rPr>
        <w:t>30年發展，我國出生人口幾已折半。</w:t>
      </w:r>
      <w:proofErr w:type="gramStart"/>
      <w:r w:rsidRPr="005B464B">
        <w:rPr>
          <w:rFonts w:hint="eastAsia"/>
        </w:rPr>
        <w:t>惟查</w:t>
      </w:r>
      <w:proofErr w:type="gramEnd"/>
      <w:r w:rsidRPr="005B464B">
        <w:rPr>
          <w:rFonts w:hint="eastAsia"/>
        </w:rPr>
        <w:t>，教育部在教改</w:t>
      </w:r>
      <w:r w:rsidRPr="005B464B">
        <w:rPr>
          <w:rFonts w:hAnsi="標楷體" w:hint="eastAsia"/>
        </w:rPr>
        <w:t>「廣設高中大學」之政</w:t>
      </w:r>
      <w:r w:rsidRPr="005B464B">
        <w:rPr>
          <w:rFonts w:hAnsi="標楷體" w:hint="eastAsia"/>
        </w:rPr>
        <w:lastRenderedPageBreak/>
        <w:t>策下</w:t>
      </w:r>
      <w:r w:rsidRPr="005B464B">
        <w:rPr>
          <w:rStyle w:val="aff2"/>
          <w:rFonts w:hAnsi="標楷體"/>
        </w:rPr>
        <w:footnoteReference w:id="35"/>
      </w:r>
      <w:r w:rsidRPr="005B464B">
        <w:rPr>
          <w:rFonts w:hint="eastAsia"/>
        </w:rPr>
        <w:t>，擴增我國高等教育機構總數自85年的</w:t>
      </w:r>
      <w:r w:rsidRPr="005B464B">
        <w:t>67</w:t>
      </w:r>
      <w:r w:rsidRPr="005B464B">
        <w:rPr>
          <w:rFonts w:hint="eastAsia"/>
        </w:rPr>
        <w:t>所大專校院，至89學年之150所，</w:t>
      </w:r>
      <w:proofErr w:type="gramStart"/>
      <w:r w:rsidRPr="005B464B">
        <w:rPr>
          <w:rFonts w:hint="eastAsia"/>
        </w:rPr>
        <w:t>渠後又</w:t>
      </w:r>
      <w:proofErr w:type="gramEnd"/>
      <w:r w:rsidRPr="005B464B">
        <w:rPr>
          <w:rFonts w:hint="eastAsia"/>
        </w:rPr>
        <w:t>逐年再增加至96學年的164校，直至98學年起方略呈減少趨勢，105學年度時總計達158校。其中，85年至96年間新設大專校院中，私立大專校院部分約有38所(含改制)之多。足見，教育部顯然並未考量我國出生人口</w:t>
      </w:r>
      <w:proofErr w:type="gramStart"/>
      <w:r w:rsidRPr="005B464B">
        <w:rPr>
          <w:rFonts w:hint="eastAsia"/>
        </w:rPr>
        <w:t>遽</w:t>
      </w:r>
      <w:proofErr w:type="gramEnd"/>
      <w:r w:rsidRPr="005B464B">
        <w:rPr>
          <w:rFonts w:hint="eastAsia"/>
        </w:rPr>
        <w:t>降及教育資源有限分配等事實，審慎規劃整體高等教育發展藍圖，於10餘年間大舉開放新設之大專校院，以致種下亟待當前政府解決之嚴峻問題。</w:t>
      </w:r>
      <w:bookmarkEnd w:id="69"/>
      <w:bookmarkEnd w:id="70"/>
      <w:bookmarkEnd w:id="71"/>
      <w:bookmarkEnd w:id="72"/>
      <w:bookmarkEnd w:id="73"/>
      <w:bookmarkEnd w:id="74"/>
      <w:bookmarkEnd w:id="75"/>
      <w:bookmarkEnd w:id="76"/>
    </w:p>
    <w:p w:rsidR="005635CD" w:rsidRPr="005B464B" w:rsidRDefault="005635CD" w:rsidP="005635CD">
      <w:pPr>
        <w:pStyle w:val="3"/>
        <w:numPr>
          <w:ilvl w:val="2"/>
          <w:numId w:val="1"/>
        </w:numPr>
        <w:ind w:left="1360" w:hanging="680"/>
      </w:pPr>
      <w:bookmarkStart w:id="77" w:name="_Toc481412871"/>
      <w:bookmarkStart w:id="78" w:name="_Toc481486430"/>
      <w:bookmarkStart w:id="79" w:name="_Toc481505920"/>
      <w:bookmarkStart w:id="80" w:name="_Toc481599606"/>
      <w:bookmarkStart w:id="81" w:name="_Toc481599706"/>
      <w:bookmarkStart w:id="82" w:name="_Toc482030656"/>
      <w:bookmarkStart w:id="83" w:name="_Toc482031279"/>
      <w:bookmarkStart w:id="84" w:name="_Toc482109483"/>
      <w:r w:rsidRPr="005B464B">
        <w:rPr>
          <w:rFonts w:hint="eastAsia"/>
        </w:rPr>
        <w:t>復查，我國大專</w:t>
      </w:r>
      <w:proofErr w:type="gramStart"/>
      <w:r w:rsidRPr="005B464B">
        <w:rPr>
          <w:rFonts w:hint="eastAsia"/>
        </w:rPr>
        <w:t>校院近5年</w:t>
      </w:r>
      <w:proofErr w:type="gramEnd"/>
      <w:r w:rsidRPr="005B464B">
        <w:rPr>
          <w:rFonts w:hint="eastAsia"/>
        </w:rPr>
        <w:t>各學制班別招生名額亦明顯下降，一般大學105學年度日間學制學士班招生名額較101學年度減少2,165名(約2％)，技專校院日間學制四年制學士班招生名額較101學年度減少15,653名(約14％)，而近</w:t>
      </w:r>
      <w:r w:rsidRPr="005B464B">
        <w:t>5</w:t>
      </w:r>
      <w:r w:rsidRPr="005B464B">
        <w:rPr>
          <w:rFonts w:hint="eastAsia"/>
        </w:rPr>
        <w:t>年大專校院</w:t>
      </w:r>
      <w:r w:rsidRPr="005B464B">
        <w:t>(</w:t>
      </w:r>
      <w:r w:rsidRPr="005B464B">
        <w:rPr>
          <w:rFonts w:hint="eastAsia"/>
        </w:rPr>
        <w:t>含日間及進修部大學四年制、二專</w:t>
      </w:r>
      <w:r w:rsidRPr="005B464B">
        <w:t>)</w:t>
      </w:r>
      <w:r w:rsidRPr="005B464B">
        <w:rPr>
          <w:rFonts w:hint="eastAsia"/>
        </w:rPr>
        <w:t>招生平均有</w:t>
      </w:r>
      <w:r w:rsidRPr="005B464B">
        <w:t>4.6</w:t>
      </w:r>
      <w:r w:rsidRPr="005B464B">
        <w:rPr>
          <w:rFonts w:hint="eastAsia"/>
        </w:rPr>
        <w:t>萬人之缺額。又依教育部推估</w:t>
      </w:r>
      <w:r w:rsidRPr="005B464B">
        <w:rPr>
          <w:rStyle w:val="aff2"/>
        </w:rPr>
        <w:footnoteReference w:id="36"/>
      </w:r>
      <w:r w:rsidRPr="005B464B">
        <w:rPr>
          <w:rFonts w:hint="eastAsia"/>
        </w:rPr>
        <w:t>，</w:t>
      </w:r>
      <w:r w:rsidRPr="005B464B">
        <w:t>111</w:t>
      </w:r>
      <w:r w:rsidRPr="005B464B">
        <w:rPr>
          <w:rFonts w:hint="eastAsia"/>
        </w:rPr>
        <w:t>學年起，大專校院</w:t>
      </w:r>
      <w:r w:rsidRPr="005B464B">
        <w:t>1</w:t>
      </w:r>
      <w:r w:rsidRPr="005B464B">
        <w:rPr>
          <w:rFonts w:hint="eastAsia"/>
        </w:rPr>
        <w:t>年級學生人數將降至</w:t>
      </w:r>
      <w:r w:rsidRPr="005B464B">
        <w:t>20</w:t>
      </w:r>
      <w:r w:rsidRPr="005B464B">
        <w:rPr>
          <w:rFonts w:hint="eastAsia"/>
        </w:rPr>
        <w:t>萬人以下，且至</w:t>
      </w:r>
      <w:r w:rsidRPr="005B464B">
        <w:t>120</w:t>
      </w:r>
      <w:r w:rsidRPr="005B464B">
        <w:rPr>
          <w:rFonts w:hint="eastAsia"/>
        </w:rPr>
        <w:t>學年為止的</w:t>
      </w:r>
      <w:r w:rsidRPr="005B464B">
        <w:t>16</w:t>
      </w:r>
      <w:r w:rsidRPr="005B464B">
        <w:rPr>
          <w:rFonts w:hint="eastAsia"/>
        </w:rPr>
        <w:t>年間，大學</w:t>
      </w:r>
      <w:r w:rsidRPr="005B464B">
        <w:t>1</w:t>
      </w:r>
      <w:r w:rsidRPr="005B464B">
        <w:rPr>
          <w:rFonts w:hint="eastAsia"/>
        </w:rPr>
        <w:t>年級新生人數平均年減</w:t>
      </w:r>
      <w:r w:rsidRPr="005B464B">
        <w:t>5</w:t>
      </w:r>
      <w:r w:rsidRPr="005B464B">
        <w:rPr>
          <w:rFonts w:hint="eastAsia"/>
        </w:rPr>
        <w:t>千人，年減幅度為</w:t>
      </w:r>
      <w:r w:rsidRPr="005B464B">
        <w:t>2.19</w:t>
      </w:r>
      <w:r w:rsidRPr="005B464B">
        <w:rPr>
          <w:rFonts w:hint="eastAsia"/>
        </w:rPr>
        <w:t>％，除</w:t>
      </w:r>
      <w:r w:rsidRPr="005B464B">
        <w:t>107</w:t>
      </w:r>
      <w:r w:rsidRPr="005B464B">
        <w:rPr>
          <w:rFonts w:hint="eastAsia"/>
        </w:rPr>
        <w:t>、</w:t>
      </w:r>
      <w:r w:rsidRPr="005B464B">
        <w:t>118</w:t>
      </w:r>
      <w:r w:rsidRPr="005B464B">
        <w:rPr>
          <w:rFonts w:hint="eastAsia"/>
        </w:rPr>
        <w:t>及</w:t>
      </w:r>
      <w:r w:rsidRPr="005B464B">
        <w:t>119</w:t>
      </w:r>
      <w:r w:rsidRPr="005B464B">
        <w:rPr>
          <w:rFonts w:hint="eastAsia"/>
        </w:rPr>
        <w:t>學年略</w:t>
      </w:r>
      <w:proofErr w:type="gramStart"/>
      <w:r w:rsidRPr="005B464B">
        <w:rPr>
          <w:rFonts w:hint="eastAsia"/>
        </w:rPr>
        <w:t>呈增勢外</w:t>
      </w:r>
      <w:proofErr w:type="gramEnd"/>
      <w:r w:rsidRPr="005B464B">
        <w:rPr>
          <w:rFonts w:hint="eastAsia"/>
        </w:rPr>
        <w:t>，其餘</w:t>
      </w:r>
      <w:proofErr w:type="gramStart"/>
      <w:r w:rsidRPr="005B464B">
        <w:rPr>
          <w:rFonts w:hint="eastAsia"/>
        </w:rPr>
        <w:t>各年均處縮減</w:t>
      </w:r>
      <w:proofErr w:type="gramEnd"/>
      <w:r w:rsidRPr="005B464B">
        <w:rPr>
          <w:rFonts w:hint="eastAsia"/>
        </w:rPr>
        <w:t>局面。顯示高等教育受到少子女化影響甚</w:t>
      </w:r>
      <w:proofErr w:type="gramStart"/>
      <w:r w:rsidRPr="005B464B">
        <w:rPr>
          <w:rFonts w:hint="eastAsia"/>
        </w:rPr>
        <w:t>鉅</w:t>
      </w:r>
      <w:proofErr w:type="gramEnd"/>
      <w:r w:rsidRPr="005B464B">
        <w:rPr>
          <w:rFonts w:hint="eastAsia"/>
        </w:rPr>
        <w:t>，尤以私校數量較多的技專校院，更出現供過於求的現象，教育部勢將面臨私立大專校院更為嚴峻之「轉型」及「退場」等挑戰。</w:t>
      </w:r>
      <w:bookmarkEnd w:id="77"/>
      <w:bookmarkEnd w:id="78"/>
      <w:bookmarkEnd w:id="79"/>
      <w:bookmarkEnd w:id="80"/>
      <w:bookmarkEnd w:id="81"/>
      <w:bookmarkEnd w:id="82"/>
      <w:bookmarkEnd w:id="83"/>
      <w:bookmarkEnd w:id="84"/>
    </w:p>
    <w:p w:rsidR="005635CD" w:rsidRPr="005B464B" w:rsidRDefault="005635CD" w:rsidP="005635CD">
      <w:pPr>
        <w:pStyle w:val="3"/>
        <w:numPr>
          <w:ilvl w:val="2"/>
          <w:numId w:val="1"/>
        </w:numPr>
      </w:pPr>
      <w:bookmarkStart w:id="85" w:name="_Toc481486431"/>
      <w:bookmarkStart w:id="86" w:name="_Toc481505921"/>
      <w:bookmarkStart w:id="87" w:name="_Toc481599607"/>
      <w:bookmarkStart w:id="88" w:name="_Toc481599707"/>
      <w:bookmarkStart w:id="89" w:name="_Toc482030657"/>
      <w:bookmarkStart w:id="90" w:name="_Toc482031280"/>
      <w:bookmarkStart w:id="91" w:name="_Toc482109484"/>
      <w:r w:rsidRPr="005B464B">
        <w:rPr>
          <w:rFonts w:hint="eastAsia"/>
        </w:rPr>
        <w:t>其實，教育部</w:t>
      </w:r>
      <w:r w:rsidRPr="005B464B">
        <w:rPr>
          <w:rFonts w:hAnsi="標楷體"/>
        </w:rPr>
        <w:t>9</w:t>
      </w:r>
      <w:r w:rsidRPr="005B464B">
        <w:rPr>
          <w:rFonts w:hAnsi="標楷體" w:hint="eastAsia"/>
        </w:rPr>
        <w:t>0年出版大學教育政策白皮書之「大學教育發展策略」中，業已載明學校數量已趨飽和，為期大學資源的有效整合，今後發展重點應由</w:t>
      </w:r>
      <w:r w:rsidRPr="005B464B">
        <w:rPr>
          <w:rFonts w:hAnsi="標楷體" w:hint="eastAsia"/>
        </w:rPr>
        <w:lastRenderedPageBreak/>
        <w:t>量的增加改為質的提昇等語</w:t>
      </w:r>
      <w:r w:rsidRPr="005B464B">
        <w:rPr>
          <w:rFonts w:hint="eastAsia"/>
        </w:rPr>
        <w:t>。且依本院過去調查發現</w:t>
      </w:r>
      <w:r w:rsidRPr="005B464B">
        <w:rPr>
          <w:rStyle w:val="aff2"/>
        </w:rPr>
        <w:footnoteReference w:id="37"/>
      </w:r>
      <w:r w:rsidRPr="005B464B">
        <w:rPr>
          <w:rFonts w:hint="eastAsia"/>
        </w:rPr>
        <w:t>，教育部90年發表大學教育政策白皮書，即分析當時高等教育有普及化、質量失衡、教育資源排擠、與社會的互動不足…</w:t>
      </w:r>
      <w:proofErr w:type="gramStart"/>
      <w:r w:rsidRPr="005B464B">
        <w:rPr>
          <w:rFonts w:hint="eastAsia"/>
        </w:rPr>
        <w:t>…</w:t>
      </w:r>
      <w:proofErr w:type="gramEnd"/>
      <w:r w:rsidRPr="005B464B">
        <w:rPr>
          <w:rFonts w:hint="eastAsia"/>
        </w:rPr>
        <w:t>等問題，顯見</w:t>
      </w:r>
      <w:r w:rsidRPr="005B464B">
        <w:rPr>
          <w:rFonts w:hAnsi="標楷體" w:hint="eastAsia"/>
          <w:kern w:val="0"/>
          <w:lang w:val="x-none"/>
        </w:rPr>
        <w:t>少子女化趨勢早有警示，且</w:t>
      </w:r>
      <w:r w:rsidRPr="005B464B">
        <w:rPr>
          <w:rFonts w:hAnsi="標楷體" w:hint="eastAsia"/>
          <w:kern w:val="0"/>
        </w:rPr>
        <w:t>教育部內部分析及控制之機制</w:t>
      </w:r>
      <w:r w:rsidRPr="005B464B">
        <w:rPr>
          <w:rFonts w:hAnsi="標楷體" w:hint="eastAsia"/>
          <w:kern w:val="0"/>
          <w:lang w:val="x-none" w:eastAsia="x-none"/>
        </w:rPr>
        <w:t>，</w:t>
      </w:r>
      <w:r w:rsidRPr="005B464B">
        <w:rPr>
          <w:rFonts w:hAnsi="標楷體" w:hint="eastAsia"/>
          <w:kern w:val="0"/>
          <w:lang w:val="x-none"/>
        </w:rPr>
        <w:t>歷年已對高等教育不當擴充提出警語，</w:t>
      </w:r>
      <w:proofErr w:type="gramStart"/>
      <w:r w:rsidRPr="005B464B">
        <w:rPr>
          <w:rFonts w:hAnsi="標楷體" w:hint="eastAsia"/>
          <w:kern w:val="0"/>
          <w:lang w:val="x-none"/>
        </w:rPr>
        <w:t>然主事</w:t>
      </w:r>
      <w:proofErr w:type="gramEnd"/>
      <w:r w:rsidRPr="005B464B">
        <w:rPr>
          <w:rFonts w:hAnsi="標楷體" w:hint="eastAsia"/>
          <w:kern w:val="0"/>
          <w:lang w:val="x-none"/>
        </w:rPr>
        <w:t>者都置若罔聞，再三放任高等教育擴充，政策自相矛盾等語。</w:t>
      </w:r>
      <w:r w:rsidRPr="005B464B">
        <w:rPr>
          <w:rFonts w:hAnsi="標楷體" w:hint="eastAsia"/>
          <w:szCs w:val="32"/>
        </w:rPr>
        <w:t>本案</w:t>
      </w:r>
      <w:r w:rsidRPr="005B464B">
        <w:rPr>
          <w:rFonts w:hint="eastAsia"/>
        </w:rPr>
        <w:t>106年3月20日</w:t>
      </w:r>
      <w:r w:rsidRPr="005B464B">
        <w:rPr>
          <w:rFonts w:hAnsi="標楷體" w:hint="eastAsia"/>
        </w:rPr>
        <w:t>諮詢專家學者意見時亦指稱，</w:t>
      </w:r>
      <w:r w:rsidRPr="005B464B">
        <w:t>2000</w:t>
      </w:r>
      <w:r w:rsidRPr="005B464B">
        <w:rPr>
          <w:rFonts w:hint="eastAsia"/>
        </w:rPr>
        <w:t>年的政府知道</w:t>
      </w:r>
      <w:r w:rsidRPr="005B464B">
        <w:t>1998</w:t>
      </w:r>
      <w:r w:rsidRPr="005B464B">
        <w:rPr>
          <w:rFonts w:hint="eastAsia"/>
        </w:rPr>
        <w:t>年</w:t>
      </w:r>
      <w:proofErr w:type="gramStart"/>
      <w:r w:rsidRPr="005B464B">
        <w:rPr>
          <w:rFonts w:hint="eastAsia"/>
        </w:rPr>
        <w:t>始生源已驟</w:t>
      </w:r>
      <w:proofErr w:type="gramEnd"/>
      <w:r w:rsidRPr="005B464B">
        <w:rPr>
          <w:rFonts w:hint="eastAsia"/>
        </w:rPr>
        <w:t>降，竟同意設立立德、興國，而且兩校距離只有</w:t>
      </w:r>
      <w:r w:rsidRPr="005B464B">
        <w:t>500</w:t>
      </w:r>
      <w:r w:rsidRPr="005B464B">
        <w:rPr>
          <w:rFonts w:hint="eastAsia"/>
        </w:rPr>
        <w:t>公尺，</w:t>
      </w:r>
      <w:r w:rsidRPr="005B464B">
        <w:t>2005</w:t>
      </w:r>
      <w:r w:rsidRPr="005B464B">
        <w:rPr>
          <w:rFonts w:hint="eastAsia"/>
        </w:rPr>
        <w:t>年更將</w:t>
      </w:r>
      <w:r w:rsidRPr="005B464B">
        <w:t>6</w:t>
      </w:r>
      <w:r w:rsidRPr="005B464B">
        <w:rPr>
          <w:rFonts w:hint="eastAsia"/>
        </w:rPr>
        <w:t>所師範學院升格為</w:t>
      </w:r>
      <w:r w:rsidRPr="005B464B">
        <w:t>3</w:t>
      </w:r>
      <w:r w:rsidRPr="005B464B">
        <w:rPr>
          <w:rFonts w:hint="eastAsia"/>
        </w:rPr>
        <w:t>所教育大學(原有</w:t>
      </w:r>
      <w:r w:rsidRPr="005B464B">
        <w:t>1</w:t>
      </w:r>
      <w:r w:rsidRPr="005B464B">
        <w:rPr>
          <w:rFonts w:hint="eastAsia"/>
        </w:rPr>
        <w:t>個學院增加成</w:t>
      </w:r>
      <w:r w:rsidRPr="005B464B">
        <w:t>3</w:t>
      </w:r>
      <w:r w:rsidRPr="005B464B">
        <w:rPr>
          <w:rFonts w:hint="eastAsia"/>
        </w:rPr>
        <w:t>個學院)，故</w:t>
      </w:r>
      <w:proofErr w:type="gramStart"/>
      <w:r w:rsidRPr="005B464B">
        <w:rPr>
          <w:rFonts w:hint="eastAsia"/>
        </w:rPr>
        <w:t>云</w:t>
      </w:r>
      <w:proofErr w:type="gramEnd"/>
      <w:r w:rsidRPr="005B464B">
        <w:rPr>
          <w:rFonts w:hint="eastAsia"/>
        </w:rPr>
        <w:t>教育部某種程度是在推波助瀾，該部政策規劃沒有中心策略…</w:t>
      </w:r>
      <w:proofErr w:type="gramStart"/>
      <w:r w:rsidRPr="005B464B">
        <w:rPr>
          <w:rFonts w:hint="eastAsia"/>
        </w:rPr>
        <w:t>…</w:t>
      </w:r>
      <w:proofErr w:type="gramEnd"/>
      <w:r w:rsidRPr="005B464B">
        <w:rPr>
          <w:rFonts w:hint="eastAsia"/>
        </w:rPr>
        <w:t>等語。足見，教育部除未配合人口趨勢外，內部各單位之勾</w:t>
      </w:r>
      <w:proofErr w:type="gramStart"/>
      <w:r w:rsidRPr="005B464B">
        <w:rPr>
          <w:rFonts w:hint="eastAsia"/>
        </w:rPr>
        <w:t>稽</w:t>
      </w:r>
      <w:proofErr w:type="gramEnd"/>
      <w:r w:rsidRPr="005B464B">
        <w:rPr>
          <w:rFonts w:hint="eastAsia"/>
        </w:rPr>
        <w:t>機制亦不足，整體高教政策規劃</w:t>
      </w:r>
      <w:proofErr w:type="gramStart"/>
      <w:r w:rsidRPr="005B464B">
        <w:rPr>
          <w:rFonts w:hint="eastAsia"/>
        </w:rPr>
        <w:t>洵</w:t>
      </w:r>
      <w:proofErr w:type="gramEnd"/>
      <w:r w:rsidRPr="005B464B">
        <w:rPr>
          <w:rFonts w:hint="eastAsia"/>
        </w:rPr>
        <w:t>有缺失。</w:t>
      </w:r>
      <w:bookmarkEnd w:id="85"/>
      <w:bookmarkEnd w:id="86"/>
      <w:bookmarkEnd w:id="87"/>
      <w:bookmarkEnd w:id="88"/>
      <w:bookmarkEnd w:id="89"/>
      <w:bookmarkEnd w:id="90"/>
      <w:bookmarkEnd w:id="91"/>
    </w:p>
    <w:p w:rsidR="005635CD" w:rsidRPr="005B464B" w:rsidRDefault="005635CD" w:rsidP="005635CD">
      <w:pPr>
        <w:pStyle w:val="3"/>
        <w:numPr>
          <w:ilvl w:val="2"/>
          <w:numId w:val="1"/>
        </w:numPr>
      </w:pPr>
      <w:bookmarkStart w:id="92" w:name="_Toc481412872"/>
      <w:bookmarkStart w:id="93" w:name="_Toc481486432"/>
      <w:bookmarkStart w:id="94" w:name="_Toc481505922"/>
      <w:bookmarkStart w:id="95" w:name="_Toc481599608"/>
      <w:bookmarkStart w:id="96" w:name="_Toc481599708"/>
      <w:bookmarkStart w:id="97" w:name="_Toc482030658"/>
      <w:bookmarkStart w:id="98" w:name="_Toc482031281"/>
      <w:bookmarkStart w:id="99" w:name="_Toc482109485"/>
      <w:proofErr w:type="gramStart"/>
      <w:r w:rsidRPr="005B464B">
        <w:rPr>
          <w:rFonts w:hint="eastAsia"/>
        </w:rPr>
        <w:t>此外，</w:t>
      </w:r>
      <w:proofErr w:type="gramEnd"/>
      <w:r w:rsidRPr="005B464B">
        <w:rPr>
          <w:rFonts w:hint="eastAsia"/>
        </w:rPr>
        <w:t>教育部為因應少子女化對高等教育帶來的衝擊，雖已推動總量管制</w:t>
      </w:r>
      <w:r w:rsidRPr="005B464B">
        <w:rPr>
          <w:rFonts w:hAnsi="標楷體" w:hint="eastAsia"/>
        </w:rPr>
        <w:t>、</w:t>
      </w:r>
      <w:r w:rsidRPr="005B464B">
        <w:rPr>
          <w:rFonts w:hint="eastAsia"/>
        </w:rPr>
        <w:t>建立大學招生名額調整機制</w:t>
      </w:r>
      <w:r w:rsidRPr="005B464B">
        <w:rPr>
          <w:rStyle w:val="aff2"/>
        </w:rPr>
        <w:footnoteReference w:id="38"/>
      </w:r>
      <w:r w:rsidRPr="005B464B">
        <w:rPr>
          <w:rFonts w:hint="eastAsia"/>
        </w:rPr>
        <w:t>，然我國近</w:t>
      </w:r>
      <w:r w:rsidRPr="005B464B">
        <w:t>10</w:t>
      </w:r>
      <w:r w:rsidRPr="005B464B">
        <w:rPr>
          <w:rFonts w:hint="eastAsia"/>
        </w:rPr>
        <w:t>年大專校院新生註冊率呈增減互見之勢，本院101年專案調查報告</w:t>
      </w:r>
      <w:r w:rsidRPr="005B464B">
        <w:rPr>
          <w:rStyle w:val="aff2"/>
        </w:rPr>
        <w:footnoteReference w:id="39"/>
      </w:r>
      <w:r w:rsidRPr="005B464B">
        <w:rPr>
          <w:rFonts w:hint="eastAsia"/>
        </w:rPr>
        <w:t>指出，我國99學年度已有11所大學院校招生報到率低於50％，其中有4所更低於20％，</w:t>
      </w:r>
      <w:proofErr w:type="gramStart"/>
      <w:r w:rsidRPr="005B464B">
        <w:rPr>
          <w:rFonts w:hint="eastAsia"/>
        </w:rPr>
        <w:t>此類建校</w:t>
      </w:r>
      <w:proofErr w:type="gramEnd"/>
      <w:r w:rsidRPr="005B464B">
        <w:rPr>
          <w:rFonts w:hint="eastAsia"/>
        </w:rPr>
        <w:t>約10年左右之學校，已先行面臨了退場與否的考驗，</w:t>
      </w:r>
      <w:proofErr w:type="gramStart"/>
      <w:r w:rsidRPr="005B464B">
        <w:rPr>
          <w:rFonts w:hint="eastAsia"/>
        </w:rPr>
        <w:t>而當少子女</w:t>
      </w:r>
      <w:proofErr w:type="gramEnd"/>
      <w:r w:rsidRPr="005B464B">
        <w:rPr>
          <w:rFonts w:hint="eastAsia"/>
        </w:rPr>
        <w:t>化浪潮自105年明顯</w:t>
      </w:r>
      <w:proofErr w:type="gramStart"/>
      <w:r w:rsidRPr="005B464B">
        <w:rPr>
          <w:rFonts w:hint="eastAsia"/>
        </w:rPr>
        <w:t>來襲後</w:t>
      </w:r>
      <w:proofErr w:type="gramEnd"/>
      <w:r w:rsidRPr="005B464B">
        <w:rPr>
          <w:rFonts w:hint="eastAsia"/>
        </w:rPr>
        <w:t>，形勢必將更為嚴峻等語。本案經查，103學年度仍有10所私立技專校院招生註</w:t>
      </w:r>
      <w:r w:rsidRPr="005B464B">
        <w:rPr>
          <w:rFonts w:hint="eastAsia"/>
        </w:rPr>
        <w:lastRenderedPageBreak/>
        <w:t>冊率在50％以下</w:t>
      </w:r>
      <w:r w:rsidRPr="005B464B">
        <w:t>(</w:t>
      </w:r>
      <w:r w:rsidRPr="005B464B">
        <w:rPr>
          <w:rFonts w:hint="eastAsia"/>
        </w:rPr>
        <w:t>含50％</w:t>
      </w:r>
      <w:r w:rsidRPr="005B464B">
        <w:t>)</w:t>
      </w:r>
      <w:r w:rsidRPr="005B464B">
        <w:rPr>
          <w:rFonts w:hint="eastAsia"/>
        </w:rPr>
        <w:t>，104學年度大專校院中</w:t>
      </w:r>
      <w:r w:rsidRPr="005B464B">
        <w:t>23</w:t>
      </w:r>
      <w:r w:rsidRPr="005B464B">
        <w:rPr>
          <w:rFonts w:hint="eastAsia"/>
        </w:rPr>
        <w:t>所新生註冊率低於</w:t>
      </w:r>
      <w:proofErr w:type="gramStart"/>
      <w:r w:rsidRPr="005B464B">
        <w:t>7</w:t>
      </w:r>
      <w:r w:rsidRPr="005B464B">
        <w:rPr>
          <w:rFonts w:hint="eastAsia"/>
        </w:rPr>
        <w:t>成</w:t>
      </w:r>
      <w:proofErr w:type="gramEnd"/>
      <w:r w:rsidRPr="005B464B">
        <w:rPr>
          <w:rFonts w:hint="eastAsia"/>
        </w:rPr>
        <w:t>，其中</w:t>
      </w:r>
      <w:r w:rsidRPr="005B464B">
        <w:t>19</w:t>
      </w:r>
      <w:r w:rsidRPr="005B464B">
        <w:rPr>
          <w:rFonts w:hint="eastAsia"/>
        </w:rPr>
        <w:t>所為</w:t>
      </w:r>
      <w:r w:rsidRPr="005B464B">
        <w:rPr>
          <w:rFonts w:hAnsi="標楷體" w:hint="eastAsia"/>
        </w:rPr>
        <w:t>「</w:t>
      </w:r>
      <w:r w:rsidRPr="005B464B">
        <w:rPr>
          <w:rFonts w:hint="eastAsia"/>
        </w:rPr>
        <w:t>技專校院</w:t>
      </w:r>
      <w:r w:rsidRPr="005B464B">
        <w:rPr>
          <w:rFonts w:hAnsi="標楷體" w:hint="eastAsia"/>
        </w:rPr>
        <w:t>」</w:t>
      </w:r>
      <w:r w:rsidRPr="005B464B">
        <w:rPr>
          <w:rFonts w:hint="eastAsia"/>
        </w:rPr>
        <w:t>，而當中8所招生註冊率更低於</w:t>
      </w:r>
      <w:proofErr w:type="gramStart"/>
      <w:r w:rsidRPr="005B464B">
        <w:rPr>
          <w:rFonts w:hint="eastAsia"/>
        </w:rPr>
        <w:t>5成</w:t>
      </w:r>
      <w:proofErr w:type="gramEnd"/>
      <w:r w:rsidRPr="005B464B">
        <w:rPr>
          <w:rFonts w:hint="eastAsia"/>
        </w:rPr>
        <w:t>；103學年度</w:t>
      </w:r>
      <w:r w:rsidRPr="005B464B">
        <w:rPr>
          <w:rFonts w:hAnsi="標楷體" w:hint="eastAsia"/>
        </w:rPr>
        <w:t>、</w:t>
      </w:r>
      <w:r w:rsidRPr="005B464B">
        <w:rPr>
          <w:rFonts w:hint="eastAsia"/>
        </w:rPr>
        <w:t>104學年度則分別有2所</w:t>
      </w:r>
      <w:r w:rsidRPr="005B464B">
        <w:rPr>
          <w:rFonts w:hAnsi="標楷體" w:hint="eastAsia"/>
        </w:rPr>
        <w:t>、</w:t>
      </w:r>
      <w:r w:rsidRPr="005B464B">
        <w:rPr>
          <w:rFonts w:hint="eastAsia"/>
        </w:rPr>
        <w:t>1所</w:t>
      </w:r>
      <w:r w:rsidRPr="005B464B">
        <w:rPr>
          <w:rFonts w:hAnsi="標楷體" w:hint="eastAsia"/>
        </w:rPr>
        <w:t>「</w:t>
      </w:r>
      <w:r w:rsidRPr="005B464B">
        <w:rPr>
          <w:rFonts w:hint="eastAsia"/>
        </w:rPr>
        <w:t>大學校院</w:t>
      </w:r>
      <w:r w:rsidRPr="005B464B">
        <w:rPr>
          <w:rFonts w:hAnsi="標楷體" w:hint="eastAsia"/>
        </w:rPr>
        <w:t>」</w:t>
      </w:r>
      <w:r w:rsidRPr="005B464B">
        <w:rPr>
          <w:rFonts w:hint="eastAsia"/>
        </w:rPr>
        <w:t>招生註冊率在</w:t>
      </w:r>
      <w:proofErr w:type="gramStart"/>
      <w:r w:rsidRPr="005B464B">
        <w:rPr>
          <w:rFonts w:hint="eastAsia"/>
        </w:rPr>
        <w:t>5成</w:t>
      </w:r>
      <w:proofErr w:type="gramEnd"/>
      <w:r w:rsidRPr="005B464B">
        <w:rPr>
          <w:rFonts w:hint="eastAsia"/>
        </w:rPr>
        <w:t>以下。整體而言，</w:t>
      </w:r>
      <w:r w:rsidRPr="005B464B">
        <w:t>98</w:t>
      </w:r>
      <w:r w:rsidRPr="005B464B">
        <w:rPr>
          <w:rFonts w:hint="eastAsia"/>
        </w:rPr>
        <w:t>及</w:t>
      </w:r>
      <w:r w:rsidRPr="005B464B">
        <w:t>102</w:t>
      </w:r>
      <w:r w:rsidRPr="005B464B">
        <w:rPr>
          <w:rFonts w:hint="eastAsia"/>
        </w:rPr>
        <w:t>學年註冊率回落至</w:t>
      </w:r>
      <w:proofErr w:type="gramStart"/>
      <w:r w:rsidRPr="005B464B">
        <w:t>8</w:t>
      </w:r>
      <w:r w:rsidRPr="005B464B">
        <w:rPr>
          <w:rFonts w:hint="eastAsia"/>
        </w:rPr>
        <w:t>成</w:t>
      </w:r>
      <w:proofErr w:type="gramEnd"/>
      <w:r w:rsidRPr="005B464B">
        <w:rPr>
          <w:rFonts w:hint="eastAsia"/>
        </w:rPr>
        <w:t>以下，</w:t>
      </w:r>
      <w:r w:rsidRPr="005B464B">
        <w:t>104</w:t>
      </w:r>
      <w:r w:rsidRPr="005B464B">
        <w:rPr>
          <w:rFonts w:hint="eastAsia"/>
        </w:rPr>
        <w:t>學年公立大專校院平均註冊率為</w:t>
      </w:r>
      <w:r w:rsidRPr="005B464B">
        <w:t>91.1％</w:t>
      </w:r>
      <w:r w:rsidRPr="005B464B">
        <w:rPr>
          <w:rFonts w:hint="eastAsia"/>
        </w:rPr>
        <w:t>，遠高於私校之</w:t>
      </w:r>
      <w:r w:rsidRPr="005B464B">
        <w:t>81.1％</w:t>
      </w:r>
      <w:r w:rsidRPr="005B464B">
        <w:rPr>
          <w:rFonts w:hint="eastAsia"/>
        </w:rPr>
        <w:t>，其中私校招生缺額為</w:t>
      </w:r>
      <w:r w:rsidRPr="005B464B">
        <w:t>5</w:t>
      </w:r>
      <w:r w:rsidRPr="005B464B">
        <w:rPr>
          <w:rFonts w:hint="eastAsia"/>
        </w:rPr>
        <w:t>萬</w:t>
      </w:r>
      <w:r w:rsidRPr="005B464B">
        <w:t>1,409</w:t>
      </w:r>
      <w:r w:rsidRPr="005B464B">
        <w:rPr>
          <w:rFonts w:hint="eastAsia"/>
        </w:rPr>
        <w:t>人，較上學年減少</w:t>
      </w:r>
      <w:r w:rsidRPr="005B464B">
        <w:t>6,288</w:t>
      </w:r>
      <w:r w:rsidRPr="005B464B">
        <w:rPr>
          <w:rFonts w:hint="eastAsia"/>
        </w:rPr>
        <w:t>人，相當公立學校招生缺額</w:t>
      </w:r>
      <w:r w:rsidRPr="005B464B">
        <w:rPr>
          <w:rFonts w:hAnsi="標楷體"/>
        </w:rPr>
        <w:t>(</w:t>
      </w:r>
      <w:r w:rsidRPr="005B464B">
        <w:rPr>
          <w:rFonts w:hint="eastAsia"/>
        </w:rPr>
        <w:t>10,957人</w:t>
      </w:r>
      <w:r w:rsidRPr="005B464B">
        <w:rPr>
          <w:rFonts w:hAnsi="標楷體"/>
        </w:rPr>
        <w:t>)</w:t>
      </w:r>
      <w:r w:rsidRPr="005B464B">
        <w:rPr>
          <w:rFonts w:hint="eastAsia"/>
        </w:rPr>
        <w:t>的</w:t>
      </w:r>
      <w:r w:rsidRPr="005B464B">
        <w:t>4.7</w:t>
      </w:r>
      <w:r w:rsidRPr="005B464B">
        <w:rPr>
          <w:rFonts w:hint="eastAsia"/>
        </w:rPr>
        <w:t>倍，私立技專校院平均註冊率更僅有</w:t>
      </w:r>
      <w:r w:rsidRPr="005B464B">
        <w:t>76.0％</w:t>
      </w:r>
      <w:r w:rsidRPr="005B464B">
        <w:rPr>
          <w:rStyle w:val="aff2"/>
        </w:rPr>
        <w:footnoteReference w:id="40"/>
      </w:r>
      <w:r w:rsidRPr="005B464B">
        <w:rPr>
          <w:rFonts w:hint="eastAsia"/>
        </w:rPr>
        <w:t>。至</w:t>
      </w:r>
      <w:r w:rsidRPr="005B464B">
        <w:t>90</w:t>
      </w:r>
      <w:r w:rsidRPr="005B464B">
        <w:rPr>
          <w:rFonts w:hint="eastAsia"/>
        </w:rPr>
        <w:t>學年後新設立或改制大學院校計</w:t>
      </w:r>
      <w:r w:rsidRPr="005B464B">
        <w:t>30</w:t>
      </w:r>
      <w:r w:rsidRPr="005B464B">
        <w:rPr>
          <w:rFonts w:hint="eastAsia"/>
        </w:rPr>
        <w:t>所</w:t>
      </w:r>
      <w:r w:rsidRPr="005B464B">
        <w:rPr>
          <w:rStyle w:val="aff2"/>
        </w:rPr>
        <w:footnoteReference w:id="41"/>
      </w:r>
      <w:r w:rsidRPr="005B464B">
        <w:rPr>
          <w:rFonts w:hint="eastAsia"/>
        </w:rPr>
        <w:t>，</w:t>
      </w:r>
      <w:r w:rsidRPr="005B464B">
        <w:t>104</w:t>
      </w:r>
      <w:r w:rsidRPr="005B464B">
        <w:rPr>
          <w:rFonts w:hint="eastAsia"/>
        </w:rPr>
        <w:t>學年新生註冊率有</w:t>
      </w:r>
      <w:r w:rsidRPr="005B464B">
        <w:t>8</w:t>
      </w:r>
      <w:r w:rsidRPr="005B464B">
        <w:rPr>
          <w:rFonts w:hint="eastAsia"/>
        </w:rPr>
        <w:t>所未達</w:t>
      </w:r>
      <w:proofErr w:type="gramStart"/>
      <w:r w:rsidRPr="005B464B">
        <w:t>7</w:t>
      </w:r>
      <w:r w:rsidRPr="005B464B">
        <w:rPr>
          <w:rFonts w:hint="eastAsia"/>
        </w:rPr>
        <w:t>成</w:t>
      </w:r>
      <w:proofErr w:type="gramEnd"/>
      <w:r w:rsidRPr="005B464B">
        <w:rPr>
          <w:rFonts w:hint="eastAsia"/>
        </w:rPr>
        <w:t>，更顯示教育部於</w:t>
      </w:r>
      <w:r w:rsidRPr="005B464B">
        <w:t>90</w:t>
      </w:r>
      <w:r w:rsidRPr="005B464B">
        <w:rPr>
          <w:rFonts w:hint="eastAsia"/>
        </w:rPr>
        <w:t>學年後新設或改制學校之整體招生情形並不理想。基此，部分私立大專校院即將</w:t>
      </w:r>
      <w:proofErr w:type="gramStart"/>
      <w:r w:rsidRPr="005B464B">
        <w:rPr>
          <w:rFonts w:hint="eastAsia"/>
        </w:rPr>
        <w:t>面臨生源不足</w:t>
      </w:r>
      <w:proofErr w:type="gramEnd"/>
      <w:r w:rsidRPr="005B464B">
        <w:rPr>
          <w:rFonts w:hint="eastAsia"/>
        </w:rPr>
        <w:t>問題，</w:t>
      </w:r>
      <w:proofErr w:type="gramStart"/>
      <w:r w:rsidRPr="005B464B">
        <w:rPr>
          <w:rFonts w:hint="eastAsia"/>
        </w:rPr>
        <w:t>而生源短缺</w:t>
      </w:r>
      <w:proofErr w:type="gramEnd"/>
      <w:r w:rsidRPr="005B464B">
        <w:rPr>
          <w:rFonts w:hint="eastAsia"/>
        </w:rPr>
        <w:t>必導致學雜費收入減少，財務困難</w:t>
      </w:r>
      <w:r w:rsidRPr="005B464B">
        <w:rPr>
          <w:rFonts w:hAnsi="標楷體" w:hint="eastAsia"/>
        </w:rPr>
        <w:t>、</w:t>
      </w:r>
      <w:r w:rsidRPr="005B464B">
        <w:rPr>
          <w:rFonts w:hint="eastAsia"/>
        </w:rPr>
        <w:t>招生漸趨困難之私立大專校院系科，恐首當其衝面臨輔導轉型、合併或</w:t>
      </w:r>
      <w:proofErr w:type="gramStart"/>
      <w:r w:rsidRPr="005B464B">
        <w:rPr>
          <w:rFonts w:hint="eastAsia"/>
        </w:rPr>
        <w:t>停招等</w:t>
      </w:r>
      <w:proofErr w:type="gramEnd"/>
      <w:r w:rsidRPr="005B464B">
        <w:rPr>
          <w:rFonts w:hint="eastAsia"/>
        </w:rPr>
        <w:t>問題。</w:t>
      </w:r>
      <w:bookmarkEnd w:id="92"/>
      <w:bookmarkEnd w:id="93"/>
      <w:bookmarkEnd w:id="94"/>
      <w:bookmarkEnd w:id="95"/>
      <w:bookmarkEnd w:id="96"/>
      <w:bookmarkEnd w:id="97"/>
      <w:bookmarkEnd w:id="98"/>
      <w:bookmarkEnd w:id="99"/>
    </w:p>
    <w:p w:rsidR="005635CD" w:rsidRPr="005B464B" w:rsidRDefault="005635CD" w:rsidP="005635CD">
      <w:pPr>
        <w:pStyle w:val="3"/>
        <w:numPr>
          <w:ilvl w:val="2"/>
          <w:numId w:val="1"/>
        </w:numPr>
      </w:pPr>
      <w:bookmarkStart w:id="100" w:name="_Toc481412873"/>
      <w:bookmarkStart w:id="101" w:name="_Toc481486433"/>
      <w:bookmarkStart w:id="102" w:name="_Toc481505923"/>
      <w:bookmarkStart w:id="103" w:name="_Toc481599609"/>
      <w:bookmarkStart w:id="104" w:name="_Toc481599709"/>
      <w:bookmarkStart w:id="105" w:name="_Toc482030659"/>
      <w:bookmarkStart w:id="106" w:name="_Toc482031282"/>
      <w:bookmarkStart w:id="107" w:name="_Toc482109486"/>
      <w:r w:rsidRPr="005B464B">
        <w:rPr>
          <w:rFonts w:hint="eastAsia"/>
        </w:rPr>
        <w:t>另查，教育部於102年9月18日訂定「教育部輔導私立大專校院改善及停辦實施原則」，對於經營出現危機的學校能主動介入協助，並依情節輕重，針對每一所專案輔導學校組成輔導小組，情節較輕者先提報校務發展計畫，如校務發展計畫經審核未通過，或情節嚴重之學校，輔導</w:t>
      </w:r>
      <w:proofErr w:type="gramStart"/>
      <w:r w:rsidRPr="005B464B">
        <w:rPr>
          <w:rFonts w:hint="eastAsia"/>
        </w:rPr>
        <w:t>小組將命學校</w:t>
      </w:r>
      <w:proofErr w:type="gramEnd"/>
      <w:r w:rsidRPr="005B464B">
        <w:rPr>
          <w:rFonts w:hint="eastAsia"/>
        </w:rPr>
        <w:t>或學校法人提報改善計畫，並明定註冊率、財務等改善目標，以達輔導目的；而針對</w:t>
      </w:r>
      <w:r w:rsidRPr="005B464B">
        <w:tab/>
      </w:r>
      <w:r w:rsidRPr="005B464B">
        <w:rPr>
          <w:rFonts w:hint="eastAsia"/>
        </w:rPr>
        <w:t>輔導學校如有無法達</w:t>
      </w:r>
      <w:r w:rsidRPr="005B464B">
        <w:rPr>
          <w:rFonts w:hint="eastAsia"/>
        </w:rPr>
        <w:lastRenderedPageBreak/>
        <w:t>到改善目標之情事，該部將提</w:t>
      </w:r>
      <w:r w:rsidRPr="005B464B">
        <w:rPr>
          <w:rFonts w:hAnsi="標楷體" w:hint="eastAsia"/>
        </w:rPr>
        <w:t>「</w:t>
      </w:r>
      <w:r w:rsidRPr="005B464B">
        <w:rPr>
          <w:rFonts w:hint="eastAsia"/>
        </w:rPr>
        <w:t>私校諮詢會議</w:t>
      </w:r>
      <w:r w:rsidRPr="005B464B">
        <w:rPr>
          <w:rFonts w:hAnsi="標楷體" w:hint="eastAsia"/>
        </w:rPr>
        <w:t>」</w:t>
      </w:r>
      <w:r w:rsidRPr="005B464B">
        <w:rPr>
          <w:rFonts w:hint="eastAsia"/>
        </w:rPr>
        <w:t>討論</w:t>
      </w:r>
      <w:proofErr w:type="gramStart"/>
      <w:r w:rsidRPr="005B464B">
        <w:rPr>
          <w:rFonts w:hint="eastAsia"/>
        </w:rPr>
        <w:t>予以停招</w:t>
      </w:r>
      <w:proofErr w:type="gramEnd"/>
      <w:r w:rsidRPr="005B464B">
        <w:rPr>
          <w:rFonts w:hint="eastAsia"/>
        </w:rPr>
        <w:t>、停止獎補助或停辦等行政處分等。惟依教育部提供近年申請停辦</w:t>
      </w:r>
      <w:r w:rsidRPr="005B464B">
        <w:rPr>
          <w:rFonts w:hAnsi="標楷體" w:hint="eastAsia"/>
        </w:rPr>
        <w:t>、</w:t>
      </w:r>
      <w:r w:rsidRPr="005B464B">
        <w:rPr>
          <w:rFonts w:hint="eastAsia"/>
        </w:rPr>
        <w:t>轉型或合併等之私立大專校院資料顯示，僅有高鳳數位內容學院103年2月27日停辦</w:t>
      </w:r>
      <w:r w:rsidRPr="005B464B">
        <w:rPr>
          <w:rStyle w:val="aff2"/>
        </w:rPr>
        <w:footnoteReference w:id="42"/>
      </w:r>
      <w:r w:rsidRPr="005B464B">
        <w:rPr>
          <w:rFonts w:hAnsi="標楷體" w:hint="eastAsia"/>
        </w:rPr>
        <w:t>及永達技術學院</w:t>
      </w:r>
      <w:r w:rsidRPr="005B464B">
        <w:rPr>
          <w:rFonts w:hAnsi="標楷體"/>
        </w:rPr>
        <w:t>103年8月6日停辦；</w:t>
      </w:r>
      <w:r w:rsidRPr="005B464B">
        <w:rPr>
          <w:rFonts w:hAnsi="標楷體" w:hint="eastAsia"/>
        </w:rPr>
        <w:t>及核准興國管理學院變更為「中信金融管理學院」與於</w:t>
      </w:r>
      <w:r w:rsidRPr="005B464B">
        <w:rPr>
          <w:rFonts w:hAnsi="標楷體"/>
        </w:rPr>
        <w:t>104</w:t>
      </w:r>
      <w:r w:rsidRPr="005B464B">
        <w:rPr>
          <w:rFonts w:hAnsi="標楷體" w:hint="eastAsia"/>
        </w:rPr>
        <w:t>年</w:t>
      </w:r>
      <w:r w:rsidRPr="005B464B">
        <w:rPr>
          <w:rFonts w:hAnsi="標楷體"/>
        </w:rPr>
        <w:t>7</w:t>
      </w:r>
      <w:r w:rsidRPr="005B464B">
        <w:rPr>
          <w:rFonts w:hAnsi="標楷體" w:hint="eastAsia"/>
        </w:rPr>
        <w:t>月</w:t>
      </w:r>
      <w:r w:rsidRPr="005B464B">
        <w:rPr>
          <w:rFonts w:hAnsi="標楷體"/>
        </w:rPr>
        <w:t>22</w:t>
      </w:r>
      <w:r w:rsidRPr="005B464B">
        <w:rPr>
          <w:rFonts w:hAnsi="標楷體" w:hint="eastAsia"/>
        </w:rPr>
        <w:t>日核定「康寧大學」與「康寧醫護暨管理專科學校」自</w:t>
      </w:r>
      <w:r w:rsidRPr="005B464B">
        <w:rPr>
          <w:rFonts w:hAnsi="標楷體"/>
        </w:rPr>
        <w:t>104</w:t>
      </w:r>
      <w:r w:rsidRPr="005B464B">
        <w:rPr>
          <w:rFonts w:hAnsi="標楷體" w:hint="eastAsia"/>
        </w:rPr>
        <w:t>學年度</w:t>
      </w:r>
      <w:r w:rsidRPr="005B464B">
        <w:rPr>
          <w:rFonts w:hAnsi="標楷體"/>
        </w:rPr>
        <w:t>(8</w:t>
      </w:r>
      <w:r w:rsidRPr="005B464B">
        <w:rPr>
          <w:rFonts w:hAnsi="標楷體" w:hint="eastAsia"/>
        </w:rPr>
        <w:t>月</w:t>
      </w:r>
      <w:r w:rsidRPr="005B464B">
        <w:rPr>
          <w:rFonts w:hAnsi="標楷體"/>
        </w:rPr>
        <w:t>1</w:t>
      </w:r>
      <w:r w:rsidRPr="005B464B">
        <w:rPr>
          <w:rFonts w:hAnsi="標楷體" w:hint="eastAsia"/>
        </w:rPr>
        <w:t>日</w:t>
      </w:r>
      <w:r w:rsidRPr="005B464B">
        <w:rPr>
          <w:rFonts w:hAnsi="標楷體"/>
        </w:rPr>
        <w:t>)</w:t>
      </w:r>
      <w:r w:rsidRPr="005B464B">
        <w:rPr>
          <w:rFonts w:hAnsi="標楷體" w:hint="eastAsia"/>
        </w:rPr>
        <w:t>起合併為「康寧學校財團法人康寧大學」等案</w:t>
      </w:r>
      <w:r w:rsidRPr="005B464B">
        <w:rPr>
          <w:rFonts w:hint="eastAsia"/>
        </w:rPr>
        <w:t>。</w:t>
      </w:r>
      <w:proofErr w:type="gramStart"/>
      <w:r w:rsidRPr="005B464B">
        <w:rPr>
          <w:rFonts w:hint="eastAsia"/>
        </w:rPr>
        <w:t>此外，</w:t>
      </w:r>
      <w:proofErr w:type="gramEnd"/>
      <w:r w:rsidRPr="005B464B">
        <w:rPr>
          <w:rFonts w:hint="eastAsia"/>
        </w:rPr>
        <w:t>教育部雖實施招生名額調控機制</w:t>
      </w:r>
      <w:r w:rsidRPr="005B464B">
        <w:rPr>
          <w:rFonts w:hAnsi="標楷體" w:hint="eastAsia"/>
        </w:rPr>
        <w:t>、凍結招生名額、引導學校</w:t>
      </w:r>
      <w:proofErr w:type="gramStart"/>
      <w:r w:rsidRPr="005B464B">
        <w:rPr>
          <w:rFonts w:hAnsi="標楷體" w:hint="eastAsia"/>
        </w:rPr>
        <w:t>主動調減招生</w:t>
      </w:r>
      <w:proofErr w:type="gramEnd"/>
      <w:r w:rsidRPr="005B464B">
        <w:rPr>
          <w:rFonts w:hAnsi="標楷體" w:hint="eastAsia"/>
        </w:rPr>
        <w:t>名額，及修正並訂定新生註冊</w:t>
      </w:r>
      <w:proofErr w:type="gramStart"/>
      <w:r w:rsidRPr="005B464B">
        <w:rPr>
          <w:rFonts w:hAnsi="標楷體" w:hint="eastAsia"/>
        </w:rPr>
        <w:t>率調減招生</w:t>
      </w:r>
      <w:proofErr w:type="gramEnd"/>
      <w:r w:rsidRPr="005B464B">
        <w:rPr>
          <w:rFonts w:hAnsi="標楷體" w:hint="eastAsia"/>
        </w:rPr>
        <w:t>名額之規定及原則，依修正之新生註冊率，及招生缺失，判定流用、擴增、整</w:t>
      </w:r>
      <w:proofErr w:type="gramStart"/>
      <w:r w:rsidRPr="005B464B">
        <w:rPr>
          <w:rFonts w:hAnsi="標楷體" w:hint="eastAsia"/>
        </w:rPr>
        <w:t>併</w:t>
      </w:r>
      <w:proofErr w:type="gramEnd"/>
      <w:r w:rsidRPr="005B464B">
        <w:rPr>
          <w:rFonts w:hAnsi="標楷體" w:hint="eastAsia"/>
        </w:rPr>
        <w:t>等作為。然相關作為受限內外干擾因素，教育部迄今仍未依「私立學校法」第55條規定</w:t>
      </w:r>
      <w:proofErr w:type="gramStart"/>
      <w:r w:rsidRPr="005B464B">
        <w:rPr>
          <w:rFonts w:hAnsi="標楷體" w:hint="eastAsia"/>
        </w:rPr>
        <w:t>命令停招</w:t>
      </w:r>
      <w:proofErr w:type="gramEnd"/>
      <w:r w:rsidRPr="005B464B">
        <w:rPr>
          <w:rFonts w:hAnsi="標楷體" w:hint="eastAsia"/>
        </w:rPr>
        <w:t>，並</w:t>
      </w:r>
      <w:proofErr w:type="gramStart"/>
      <w:r w:rsidRPr="005B464B">
        <w:rPr>
          <w:rFonts w:hAnsi="標楷體" w:hint="eastAsia"/>
        </w:rPr>
        <w:t>俟</w:t>
      </w:r>
      <w:proofErr w:type="gramEnd"/>
      <w:r w:rsidRPr="005B464B">
        <w:rPr>
          <w:rFonts w:hAnsi="標楷體" w:hint="eastAsia"/>
        </w:rPr>
        <w:t>學校無在學學生後，命其停辦。</w:t>
      </w:r>
      <w:proofErr w:type="gramStart"/>
      <w:r w:rsidRPr="005B464B">
        <w:rPr>
          <w:rFonts w:hint="eastAsia"/>
        </w:rPr>
        <w:t>況</w:t>
      </w:r>
      <w:proofErr w:type="gramEnd"/>
      <w:r w:rsidRPr="005B464B">
        <w:rPr>
          <w:rFonts w:hint="eastAsia"/>
        </w:rPr>
        <w:t>依</w:t>
      </w:r>
      <w:r w:rsidRPr="005B464B">
        <w:rPr>
          <w:rFonts w:hAnsi="標楷體" w:hint="eastAsia"/>
          <w:szCs w:val="32"/>
        </w:rPr>
        <w:t>教育部提供105年私立大專校院中，方</w:t>
      </w:r>
      <w:proofErr w:type="gramStart"/>
      <w:r w:rsidRPr="005B464B">
        <w:rPr>
          <w:rFonts w:hAnsi="標楷體" w:hint="eastAsia"/>
          <w:szCs w:val="32"/>
        </w:rPr>
        <w:t>採</w:t>
      </w:r>
      <w:proofErr w:type="gramEnd"/>
      <w:r w:rsidRPr="005B464B">
        <w:rPr>
          <w:rFonts w:hAnsi="標楷體" w:hint="eastAsia"/>
          <w:szCs w:val="32"/>
        </w:rPr>
        <w:t>專案輔導者計有十餘所，迄未</w:t>
      </w:r>
      <w:r w:rsidRPr="005B464B">
        <w:rPr>
          <w:rFonts w:hint="eastAsia"/>
        </w:rPr>
        <w:t>見明確SOP可循，多數學校仍持觀望心態</w:t>
      </w:r>
      <w:r w:rsidRPr="005B464B">
        <w:rPr>
          <w:rFonts w:hAnsi="標楷體" w:hint="eastAsia"/>
          <w:szCs w:val="32"/>
        </w:rPr>
        <w:t>，</w:t>
      </w:r>
      <w:bookmarkStart w:id="108" w:name="_Toc481412874"/>
      <w:bookmarkEnd w:id="100"/>
      <w:bookmarkEnd w:id="101"/>
      <w:r w:rsidRPr="005B464B">
        <w:rPr>
          <w:rFonts w:hAnsi="標楷體" w:hint="eastAsia"/>
        </w:rPr>
        <w:t>且因相關法令進度緩不濟急，為儘速處理私校退場及轉型問題，亟待行政院</w:t>
      </w:r>
      <w:r w:rsidRPr="005B464B">
        <w:rPr>
          <w:rFonts w:hint="eastAsia"/>
        </w:rPr>
        <w:t>督導教育部</w:t>
      </w:r>
      <w:r w:rsidRPr="005B464B">
        <w:rPr>
          <w:rFonts w:hAnsi="標楷體" w:hint="eastAsia"/>
        </w:rPr>
        <w:t>後續</w:t>
      </w:r>
      <w:r w:rsidRPr="005B464B">
        <w:rPr>
          <w:rFonts w:hint="eastAsia"/>
        </w:rPr>
        <w:t>積極</w:t>
      </w:r>
      <w:r w:rsidRPr="005B464B">
        <w:rPr>
          <w:rFonts w:hAnsi="標楷體" w:hint="eastAsia"/>
        </w:rPr>
        <w:t>處理</w:t>
      </w:r>
      <w:r w:rsidRPr="005B464B">
        <w:rPr>
          <w:rFonts w:hint="eastAsia"/>
        </w:rPr>
        <w:t>。</w:t>
      </w:r>
      <w:bookmarkEnd w:id="102"/>
      <w:bookmarkEnd w:id="103"/>
      <w:bookmarkEnd w:id="104"/>
      <w:bookmarkEnd w:id="105"/>
      <w:bookmarkEnd w:id="106"/>
      <w:bookmarkEnd w:id="107"/>
    </w:p>
    <w:p w:rsidR="005635CD" w:rsidRPr="005B464B" w:rsidRDefault="005635CD" w:rsidP="005635CD">
      <w:pPr>
        <w:pStyle w:val="3"/>
        <w:numPr>
          <w:ilvl w:val="2"/>
          <w:numId w:val="1"/>
        </w:numPr>
      </w:pPr>
      <w:bookmarkStart w:id="109" w:name="_Toc481505924"/>
      <w:bookmarkStart w:id="110" w:name="_Toc481599710"/>
      <w:bookmarkStart w:id="111" w:name="_Toc482030660"/>
      <w:bookmarkStart w:id="112" w:name="_Toc482031283"/>
      <w:bookmarkStart w:id="113" w:name="_Toc482109487"/>
      <w:bookmarkStart w:id="114" w:name="_Toc481486434"/>
      <w:r w:rsidRPr="005B464B">
        <w:rPr>
          <w:rFonts w:hint="eastAsia"/>
        </w:rPr>
        <w:t>就此，本案</w:t>
      </w:r>
      <w:proofErr w:type="gramStart"/>
      <w:r w:rsidRPr="005B464B">
        <w:rPr>
          <w:rFonts w:hint="eastAsia"/>
        </w:rPr>
        <w:t>詢</w:t>
      </w:r>
      <w:proofErr w:type="gramEnd"/>
      <w:r w:rsidRPr="005B464B">
        <w:rPr>
          <w:rFonts w:hint="eastAsia"/>
        </w:rPr>
        <w:t>據前教育部部長吳教授思華指出，</w:t>
      </w:r>
      <w:r w:rsidRPr="005B464B">
        <w:rPr>
          <w:rFonts w:hAnsi="標楷體" w:hint="eastAsia"/>
          <w:szCs w:val="32"/>
        </w:rPr>
        <w:t>100所大學是之前多次校長會議討論的基本共識，以人口結構、以師生比的情況，100所算是上限，超過100所就會發生現今的亂</w:t>
      </w:r>
      <w:proofErr w:type="gramStart"/>
      <w:r w:rsidRPr="005B464B">
        <w:rPr>
          <w:rFonts w:hAnsi="標楷體" w:hint="eastAsia"/>
          <w:szCs w:val="32"/>
        </w:rPr>
        <w:t>象</w:t>
      </w:r>
      <w:proofErr w:type="gramEnd"/>
      <w:r w:rsidRPr="005B464B">
        <w:rPr>
          <w:rFonts w:hint="eastAsia"/>
        </w:rPr>
        <w:t>等語。惟經教育部函復本院稱，由於各大學校院規模不一，學生人數並非推斷學校規模之惟一標準，</w:t>
      </w:r>
      <w:proofErr w:type="gramStart"/>
      <w:r w:rsidRPr="005B464B">
        <w:rPr>
          <w:rFonts w:hint="eastAsia"/>
        </w:rPr>
        <w:t>爰</w:t>
      </w:r>
      <w:proofErr w:type="gramEnd"/>
      <w:r w:rsidRPr="005B464B">
        <w:rPr>
          <w:rFonts w:hint="eastAsia"/>
        </w:rPr>
        <w:t>無法推估我國大專校院校數之</w:t>
      </w:r>
      <w:proofErr w:type="gramStart"/>
      <w:r w:rsidRPr="005B464B">
        <w:rPr>
          <w:rFonts w:hint="eastAsia"/>
        </w:rPr>
        <w:t>最</w:t>
      </w:r>
      <w:proofErr w:type="gramEnd"/>
      <w:r w:rsidRPr="005B464B">
        <w:rPr>
          <w:rFonts w:hint="eastAsia"/>
        </w:rPr>
        <w:t>適規模。惟依教育部之國際比較資料顯</w:t>
      </w:r>
      <w:r w:rsidRPr="005B464B">
        <w:rPr>
          <w:rFonts w:hint="eastAsia"/>
        </w:rPr>
        <w:lastRenderedPageBreak/>
        <w:t>示，我國104學年度大專</w:t>
      </w:r>
      <w:proofErr w:type="gramStart"/>
      <w:r w:rsidRPr="005B464B">
        <w:rPr>
          <w:rFonts w:hint="eastAsia"/>
        </w:rPr>
        <w:t>校院淨在學</w:t>
      </w:r>
      <w:proofErr w:type="gramEnd"/>
      <w:r w:rsidRPr="005B464B">
        <w:rPr>
          <w:rFonts w:hint="eastAsia"/>
        </w:rPr>
        <w:t>率</w:t>
      </w:r>
      <w:r w:rsidRPr="005B464B">
        <w:rPr>
          <w:rStyle w:val="aff2"/>
        </w:rPr>
        <w:footnoteReference w:id="43"/>
      </w:r>
      <w:r w:rsidRPr="005B464B">
        <w:rPr>
          <w:rFonts w:hint="eastAsia"/>
        </w:rPr>
        <w:t>，高等教育</w:t>
      </w:r>
      <w:r w:rsidRPr="005B464B">
        <w:t>(18-21</w:t>
      </w:r>
      <w:r w:rsidRPr="005B464B">
        <w:rPr>
          <w:rFonts w:hint="eastAsia"/>
        </w:rPr>
        <w:t>歲</w:t>
      </w:r>
      <w:r w:rsidRPr="005B464B">
        <w:t>)</w:t>
      </w:r>
      <w:r w:rsidRPr="005B464B">
        <w:rPr>
          <w:rFonts w:hint="eastAsia"/>
        </w:rPr>
        <w:t>為</w:t>
      </w:r>
      <w:r w:rsidRPr="005B464B">
        <w:t>70.9％</w:t>
      </w:r>
      <w:r w:rsidRPr="005B464B">
        <w:rPr>
          <w:rFonts w:hint="eastAsia"/>
        </w:rPr>
        <w:t>，較</w:t>
      </w:r>
      <w:r w:rsidRPr="005B464B">
        <w:t>10</w:t>
      </w:r>
      <w:r w:rsidRPr="005B464B">
        <w:rPr>
          <w:rFonts w:hint="eastAsia"/>
        </w:rPr>
        <w:t>年前</w:t>
      </w:r>
      <w:proofErr w:type="gramStart"/>
      <w:r w:rsidRPr="005B464B">
        <w:rPr>
          <w:rFonts w:hint="eastAsia"/>
        </w:rPr>
        <w:t>遽</w:t>
      </w:r>
      <w:proofErr w:type="gramEnd"/>
      <w:r w:rsidRPr="005B464B">
        <w:rPr>
          <w:rFonts w:hint="eastAsia"/>
        </w:rPr>
        <w:t>增</w:t>
      </w:r>
      <w:r w:rsidRPr="005B464B">
        <w:t>13.5</w:t>
      </w:r>
      <w:r w:rsidRPr="005B464B">
        <w:rPr>
          <w:rFonts w:hint="eastAsia"/>
        </w:rPr>
        <w:t>個百分點，與南韓的</w:t>
      </w:r>
      <w:r w:rsidRPr="005B464B">
        <w:t>67.9％</w:t>
      </w:r>
      <w:r w:rsidRPr="005B464B">
        <w:rPr>
          <w:rFonts w:hint="eastAsia"/>
        </w:rPr>
        <w:t>差距不大，但明顯高於美國的</w:t>
      </w:r>
      <w:r w:rsidRPr="005B464B">
        <w:t>49.0％</w:t>
      </w:r>
      <w:r w:rsidRPr="005B464B">
        <w:rPr>
          <w:rFonts w:hint="eastAsia"/>
        </w:rPr>
        <w:t>、英國的</w:t>
      </w:r>
      <w:r w:rsidRPr="005B464B">
        <w:t>33.8％</w:t>
      </w:r>
      <w:r w:rsidRPr="005B464B">
        <w:rPr>
          <w:rFonts w:hint="eastAsia"/>
        </w:rPr>
        <w:t>及</w:t>
      </w:r>
      <w:r w:rsidRPr="005B464B">
        <w:t xml:space="preserve">OECD </w:t>
      </w:r>
      <w:r w:rsidRPr="005B464B">
        <w:rPr>
          <w:rFonts w:hint="eastAsia"/>
        </w:rPr>
        <w:t>國家平均之31.4％。又大專學生粗在學率而言</w:t>
      </w:r>
      <w:r w:rsidRPr="005B464B">
        <w:rPr>
          <w:rStyle w:val="aff2"/>
        </w:rPr>
        <w:footnoteReference w:id="44"/>
      </w:r>
      <w:r w:rsidRPr="005B464B">
        <w:rPr>
          <w:rFonts w:hint="eastAsia"/>
        </w:rPr>
        <w:t>，我國103年為83.8</w:t>
      </w:r>
      <w:r w:rsidRPr="005B464B">
        <w:t>％</w:t>
      </w:r>
      <w:r w:rsidRPr="005B464B">
        <w:rPr>
          <w:rFonts w:hint="eastAsia"/>
        </w:rPr>
        <w:t>，且高於日本的</w:t>
      </w:r>
      <w:r w:rsidRPr="005B464B">
        <w:t>63.4％</w:t>
      </w:r>
      <w:r w:rsidRPr="005B464B">
        <w:rPr>
          <w:rFonts w:hint="eastAsia"/>
        </w:rPr>
        <w:t>、英國的</w:t>
      </w:r>
      <w:r w:rsidRPr="005B464B">
        <w:t>56.5％</w:t>
      </w:r>
      <w:r w:rsidRPr="005B464B">
        <w:rPr>
          <w:rFonts w:hint="eastAsia"/>
        </w:rPr>
        <w:t>等，就國際比較言，我國大專校院之在學率尚屬偏高。又依學者研究指出</w:t>
      </w:r>
      <w:r w:rsidRPr="005B464B">
        <w:rPr>
          <w:rStyle w:val="aff2"/>
        </w:rPr>
        <w:footnoteReference w:id="45"/>
      </w:r>
      <w:r w:rsidRPr="005B464B">
        <w:rPr>
          <w:rFonts w:hint="eastAsia"/>
        </w:rPr>
        <w:t>，學校品質與</w:t>
      </w:r>
      <w:proofErr w:type="gramStart"/>
      <w:r w:rsidRPr="005B464B">
        <w:rPr>
          <w:rFonts w:hint="eastAsia"/>
        </w:rPr>
        <w:t>最</w:t>
      </w:r>
      <w:proofErr w:type="gramEnd"/>
      <w:r w:rsidRPr="005B464B">
        <w:rPr>
          <w:rFonts w:hint="eastAsia"/>
        </w:rPr>
        <w:t>適經濟規模成正比，就學校品質而言，臺灣高等教育</w:t>
      </w:r>
      <w:proofErr w:type="gramStart"/>
      <w:r w:rsidRPr="005B464B">
        <w:rPr>
          <w:rFonts w:hint="eastAsia"/>
        </w:rPr>
        <w:t>最</w:t>
      </w:r>
      <w:proofErr w:type="gramEnd"/>
      <w:r w:rsidRPr="005B464B">
        <w:rPr>
          <w:rFonts w:hint="eastAsia"/>
        </w:rPr>
        <w:t>適規模為1萬人學生數，目前約有</w:t>
      </w:r>
      <w:proofErr w:type="gramStart"/>
      <w:r w:rsidRPr="005B464B">
        <w:rPr>
          <w:rFonts w:hint="eastAsia"/>
        </w:rPr>
        <w:t>4成</w:t>
      </w:r>
      <w:proofErr w:type="gramEnd"/>
      <w:r w:rsidRPr="005B464B">
        <w:rPr>
          <w:rFonts w:hint="eastAsia"/>
        </w:rPr>
        <w:t>大學及技專校院之規模超過</w:t>
      </w:r>
      <w:proofErr w:type="gramStart"/>
      <w:r w:rsidRPr="005B464B">
        <w:rPr>
          <w:rFonts w:hint="eastAsia"/>
        </w:rPr>
        <w:t>最</w:t>
      </w:r>
      <w:proofErr w:type="gramEnd"/>
      <w:r w:rsidRPr="005B464B">
        <w:rPr>
          <w:rFonts w:hint="eastAsia"/>
        </w:rPr>
        <w:t>適規模水準，而有</w:t>
      </w:r>
      <w:proofErr w:type="gramStart"/>
      <w:r w:rsidRPr="005B464B">
        <w:rPr>
          <w:rFonts w:hint="eastAsia"/>
        </w:rPr>
        <w:t>6成</w:t>
      </w:r>
      <w:proofErr w:type="gramEnd"/>
      <w:r w:rsidRPr="005B464B">
        <w:rPr>
          <w:rFonts w:hint="eastAsia"/>
        </w:rPr>
        <w:t>未達</w:t>
      </w:r>
      <w:proofErr w:type="gramStart"/>
      <w:r w:rsidRPr="005B464B">
        <w:rPr>
          <w:rFonts w:hint="eastAsia"/>
        </w:rPr>
        <w:t>最</w:t>
      </w:r>
      <w:proofErr w:type="gramEnd"/>
      <w:r w:rsidRPr="005B464B">
        <w:rPr>
          <w:rFonts w:hint="eastAsia"/>
        </w:rPr>
        <w:t>適規模，</w:t>
      </w:r>
      <w:r w:rsidRPr="005B464B">
        <w:rPr>
          <w:rFonts w:hAnsi="標楷體" w:hint="eastAsia"/>
        </w:rPr>
        <w:t>足資</w:t>
      </w:r>
      <w:r w:rsidRPr="005B464B">
        <w:rPr>
          <w:rFonts w:hint="eastAsia"/>
        </w:rPr>
        <w:t>教育部參考。</w:t>
      </w:r>
      <w:bookmarkEnd w:id="109"/>
      <w:bookmarkEnd w:id="110"/>
      <w:bookmarkEnd w:id="111"/>
      <w:bookmarkEnd w:id="112"/>
      <w:bookmarkEnd w:id="113"/>
    </w:p>
    <w:p w:rsidR="005635CD" w:rsidRPr="005B464B" w:rsidRDefault="005635CD" w:rsidP="005635CD">
      <w:pPr>
        <w:pStyle w:val="3"/>
        <w:numPr>
          <w:ilvl w:val="2"/>
          <w:numId w:val="1"/>
        </w:numPr>
        <w:ind w:leftChars="200"/>
      </w:pPr>
      <w:bookmarkStart w:id="115" w:name="_Toc481486435"/>
      <w:bookmarkStart w:id="116" w:name="_Toc481505925"/>
      <w:bookmarkStart w:id="117" w:name="_Toc481599611"/>
      <w:bookmarkStart w:id="118" w:name="_Toc481599711"/>
      <w:bookmarkStart w:id="119" w:name="_Toc482030661"/>
      <w:bookmarkStart w:id="120" w:name="_Toc482031284"/>
      <w:bookmarkStart w:id="121" w:name="_Toc482109488"/>
      <w:bookmarkEnd w:id="108"/>
      <w:bookmarkEnd w:id="114"/>
      <w:proofErr w:type="gramStart"/>
      <w:r w:rsidRPr="005B464B">
        <w:rPr>
          <w:rFonts w:hAnsi="標楷體" w:hint="eastAsia"/>
        </w:rPr>
        <w:t>另</w:t>
      </w:r>
      <w:proofErr w:type="gramEnd"/>
      <w:r w:rsidRPr="005B464B">
        <w:rPr>
          <w:rFonts w:hAnsi="標楷體" w:hint="eastAsia"/>
        </w:rPr>
        <w:t>，本院</w:t>
      </w:r>
      <w:r w:rsidRPr="005B464B">
        <w:rPr>
          <w:rFonts w:hint="eastAsia"/>
        </w:rPr>
        <w:t>106年3月20日</w:t>
      </w:r>
      <w:r w:rsidRPr="005B464B">
        <w:rPr>
          <w:rFonts w:hAnsi="標楷體" w:hint="eastAsia"/>
        </w:rPr>
        <w:t>諮詢專家學者意見指稱，</w:t>
      </w:r>
      <w:r w:rsidRPr="005B464B">
        <w:rPr>
          <w:rFonts w:hAnsi="標楷體" w:hint="eastAsia"/>
          <w:szCs w:val="32"/>
          <w:lang w:eastAsia="zh-HK"/>
        </w:rPr>
        <w:t>政府應該</w:t>
      </w:r>
      <w:r w:rsidRPr="005B464B">
        <w:rPr>
          <w:rFonts w:hAnsi="標楷體" w:hint="eastAsia"/>
          <w:szCs w:val="32"/>
        </w:rPr>
        <w:t>提供</w:t>
      </w:r>
      <w:r w:rsidRPr="005B464B">
        <w:rPr>
          <w:rFonts w:hAnsi="標楷體" w:hint="eastAsia"/>
          <w:szCs w:val="32"/>
          <w:lang w:eastAsia="zh-HK"/>
        </w:rPr>
        <w:t>誘因</w:t>
      </w:r>
      <w:r w:rsidRPr="005B464B">
        <w:rPr>
          <w:rFonts w:hAnsi="標楷體" w:hint="eastAsia"/>
          <w:szCs w:val="32"/>
        </w:rPr>
        <w:t>。</w:t>
      </w:r>
      <w:proofErr w:type="gramStart"/>
      <w:r w:rsidRPr="005B464B">
        <w:rPr>
          <w:rFonts w:hAnsi="標楷體" w:hint="eastAsia"/>
          <w:szCs w:val="32"/>
        </w:rPr>
        <w:t>如賣</w:t>
      </w:r>
      <w:r w:rsidRPr="005B464B">
        <w:rPr>
          <w:rFonts w:hAnsi="標楷體" w:hint="eastAsia"/>
          <w:szCs w:val="32"/>
          <w:lang w:eastAsia="zh-HK"/>
        </w:rPr>
        <w:t>校產</w:t>
      </w:r>
      <w:proofErr w:type="gramEnd"/>
      <w:r w:rsidRPr="005B464B">
        <w:rPr>
          <w:rFonts w:hAnsi="標楷體" w:hint="eastAsia"/>
          <w:szCs w:val="32"/>
          <w:lang w:eastAsia="zh-HK"/>
        </w:rPr>
        <w:t>，財政部國產署、賦稅署</w:t>
      </w:r>
      <w:r w:rsidRPr="005B464B">
        <w:rPr>
          <w:rFonts w:hAnsi="標楷體"/>
          <w:szCs w:val="32"/>
          <w:lang w:eastAsia="zh-HK"/>
        </w:rPr>
        <w:t>(</w:t>
      </w:r>
      <w:r w:rsidRPr="005B464B">
        <w:rPr>
          <w:rFonts w:hAnsi="標楷體" w:hint="eastAsia"/>
          <w:szCs w:val="32"/>
          <w:lang w:eastAsia="zh-HK"/>
        </w:rPr>
        <w:t>稅捐</w:t>
      </w:r>
      <w:r w:rsidRPr="005B464B">
        <w:rPr>
          <w:rFonts w:hAnsi="標楷體"/>
          <w:szCs w:val="32"/>
          <w:lang w:eastAsia="zh-HK"/>
        </w:rPr>
        <w:t>)</w:t>
      </w:r>
      <w:r w:rsidRPr="005B464B">
        <w:rPr>
          <w:rFonts w:hAnsi="標楷體" w:hint="eastAsia"/>
          <w:szCs w:val="32"/>
          <w:lang w:eastAsia="zh-HK"/>
        </w:rPr>
        <w:t>、內政部地政司</w:t>
      </w:r>
      <w:r w:rsidRPr="005B464B">
        <w:rPr>
          <w:rFonts w:hAnsi="標楷體"/>
          <w:szCs w:val="32"/>
          <w:lang w:eastAsia="zh-HK"/>
        </w:rPr>
        <w:t>(</w:t>
      </w:r>
      <w:r w:rsidRPr="005B464B">
        <w:rPr>
          <w:rFonts w:hAnsi="標楷體" w:hint="eastAsia"/>
          <w:szCs w:val="32"/>
          <w:lang w:eastAsia="zh-HK"/>
        </w:rPr>
        <w:t>民法繼承</w:t>
      </w:r>
      <w:r w:rsidRPr="005B464B">
        <w:rPr>
          <w:rFonts w:hAnsi="標楷體"/>
          <w:szCs w:val="32"/>
          <w:lang w:eastAsia="zh-HK"/>
        </w:rPr>
        <w:t>)</w:t>
      </w:r>
      <w:r w:rsidRPr="005B464B">
        <w:rPr>
          <w:rFonts w:hAnsi="標楷體" w:hint="eastAsia"/>
          <w:szCs w:val="32"/>
          <w:lang w:eastAsia="zh-HK"/>
        </w:rPr>
        <w:t>就有意見，所以要行政院的層級</w:t>
      </w:r>
      <w:r w:rsidRPr="005B464B">
        <w:rPr>
          <w:rFonts w:hAnsi="標楷體" w:hint="eastAsia"/>
          <w:szCs w:val="32"/>
        </w:rPr>
        <w:t>，</w:t>
      </w:r>
      <w:r w:rsidRPr="005B464B">
        <w:rPr>
          <w:rFonts w:hAnsi="標楷體" w:hint="eastAsia"/>
          <w:szCs w:val="32"/>
          <w:lang w:eastAsia="zh-HK"/>
        </w:rPr>
        <w:t>成立專案小組來處理，校地若符合國家的戰略需求</w:t>
      </w:r>
      <w:r w:rsidRPr="005B464B">
        <w:rPr>
          <w:rFonts w:hAnsi="標楷體"/>
          <w:szCs w:val="32"/>
        </w:rPr>
        <w:t>(</w:t>
      </w:r>
      <w:r w:rsidRPr="005B464B">
        <w:rPr>
          <w:rFonts w:hAnsi="標楷體" w:hint="eastAsia"/>
          <w:szCs w:val="32"/>
          <w:lang w:eastAsia="zh-HK"/>
        </w:rPr>
        <w:t>如因應國際商業化</w:t>
      </w:r>
      <w:r w:rsidRPr="005B464B">
        <w:rPr>
          <w:rFonts w:hAnsi="標楷體" w:hint="eastAsia"/>
        </w:rPr>
        <w:t>發展</w:t>
      </w:r>
      <w:r w:rsidRPr="005B464B">
        <w:rPr>
          <w:rFonts w:hAnsi="標楷體" w:hint="eastAsia"/>
          <w:szCs w:val="32"/>
        </w:rPr>
        <w:t>，</w:t>
      </w:r>
      <w:r w:rsidRPr="005B464B">
        <w:rPr>
          <w:rFonts w:hAnsi="標楷體" w:hint="eastAsia"/>
          <w:szCs w:val="32"/>
          <w:lang w:eastAsia="zh-HK"/>
        </w:rPr>
        <w:t>提供外國人住宿)，政府</w:t>
      </w:r>
      <w:r w:rsidRPr="005B464B">
        <w:rPr>
          <w:rFonts w:hAnsi="標楷體" w:hint="eastAsia"/>
          <w:szCs w:val="32"/>
        </w:rPr>
        <w:t>應</w:t>
      </w:r>
      <w:r w:rsidRPr="005B464B">
        <w:rPr>
          <w:rFonts w:hAnsi="標楷體" w:hint="eastAsia"/>
          <w:szCs w:val="32"/>
          <w:lang w:eastAsia="zh-HK"/>
        </w:rPr>
        <w:t>可</w:t>
      </w:r>
      <w:r w:rsidRPr="005B464B">
        <w:rPr>
          <w:rFonts w:hAnsi="標楷體" w:hint="eastAsia"/>
          <w:szCs w:val="32"/>
        </w:rPr>
        <w:t>考慮</w:t>
      </w:r>
      <w:r w:rsidRPr="005B464B">
        <w:rPr>
          <w:rFonts w:hAnsi="標楷體" w:hint="eastAsia"/>
          <w:szCs w:val="32"/>
          <w:lang w:eastAsia="zh-HK"/>
        </w:rPr>
        <w:t>買地</w:t>
      </w:r>
      <w:r w:rsidRPr="005B464B">
        <w:rPr>
          <w:rFonts w:hAnsi="標楷體" w:hint="eastAsia"/>
          <w:szCs w:val="32"/>
        </w:rPr>
        <w:t>等語</w:t>
      </w:r>
      <w:r w:rsidRPr="005B464B">
        <w:rPr>
          <w:rFonts w:hAnsi="標楷體" w:hint="eastAsia"/>
        </w:rPr>
        <w:t>。又依本院於同年5月1日諮詢專家學者意見亦指出，</w:t>
      </w:r>
      <w:r w:rsidRPr="005B464B">
        <w:rPr>
          <w:rFonts w:hAnsi="標楷體" w:hint="eastAsia"/>
          <w:kern w:val="0"/>
          <w:szCs w:val="32"/>
        </w:rPr>
        <w:t>「</w:t>
      </w:r>
      <w:r w:rsidRPr="005B464B">
        <w:rPr>
          <w:rFonts w:hAnsi="標楷體"/>
          <w:szCs w:val="32"/>
        </w:rPr>
        <w:t>私立大專校院轉型及退場條例</w:t>
      </w:r>
      <w:r w:rsidRPr="005B464B">
        <w:rPr>
          <w:rFonts w:hAnsi="標楷體" w:hint="eastAsia"/>
          <w:kern w:val="0"/>
          <w:szCs w:val="32"/>
        </w:rPr>
        <w:t>」</w:t>
      </w:r>
      <w:r w:rsidRPr="005B464B">
        <w:rPr>
          <w:rFonts w:hAnsi="標楷體" w:hint="eastAsia"/>
          <w:szCs w:val="32"/>
        </w:rPr>
        <w:t>(草案)有專案輔導的法令，但還需要有預警的機制及明確的指標，教育部有</w:t>
      </w:r>
      <w:proofErr w:type="gramStart"/>
      <w:r w:rsidRPr="005B464B">
        <w:rPr>
          <w:rFonts w:hAnsi="標楷體" w:hint="eastAsia"/>
          <w:szCs w:val="32"/>
        </w:rPr>
        <w:t>清楚的</w:t>
      </w:r>
      <w:proofErr w:type="gramEnd"/>
      <w:r w:rsidRPr="005B464B">
        <w:rPr>
          <w:rFonts w:hAnsi="標楷體" w:hint="eastAsia"/>
          <w:szCs w:val="32"/>
        </w:rPr>
        <w:t>SOP介入私校輔導，學校才有可能比較信服等語</w:t>
      </w:r>
      <w:r w:rsidRPr="005B464B">
        <w:rPr>
          <w:rFonts w:hAnsi="標楷體" w:hint="eastAsia"/>
        </w:rPr>
        <w:t>。顯見，教育部長期未能審慎規劃高教規模及藍圖，整體政策思維不足，又缺乏有效政策引導，針對大學停辦或轉型之整體SOP闕如。</w:t>
      </w:r>
      <w:proofErr w:type="gramStart"/>
      <w:r w:rsidRPr="005B464B">
        <w:rPr>
          <w:rFonts w:hAnsi="標楷體" w:hint="eastAsia"/>
        </w:rPr>
        <w:t>殊</w:t>
      </w:r>
      <w:proofErr w:type="gramEnd"/>
      <w:r w:rsidRPr="005B464B">
        <w:rPr>
          <w:rFonts w:hAnsi="標楷體" w:hint="eastAsia"/>
        </w:rPr>
        <w:t>不論</w:t>
      </w:r>
      <w:r w:rsidRPr="005B464B">
        <w:rPr>
          <w:rFonts w:hAnsi="標楷體" w:hint="eastAsia"/>
        </w:rPr>
        <w:lastRenderedPageBreak/>
        <w:t>私校</w:t>
      </w:r>
      <w:proofErr w:type="gramStart"/>
      <w:r w:rsidRPr="005B464B">
        <w:rPr>
          <w:rFonts w:hAnsi="標楷體" w:hint="eastAsia"/>
        </w:rPr>
        <w:t>校</w:t>
      </w:r>
      <w:proofErr w:type="gramEnd"/>
      <w:r w:rsidRPr="005B464B">
        <w:rPr>
          <w:rFonts w:hAnsi="標楷體" w:hint="eastAsia"/>
        </w:rPr>
        <w:t>產是否回歸公益性用途，單就資產處分部分即已涉及政府各部會權責，是</w:t>
      </w:r>
      <w:proofErr w:type="gramStart"/>
      <w:r w:rsidRPr="005B464B">
        <w:rPr>
          <w:rFonts w:hAnsi="標楷體" w:hint="eastAsia"/>
        </w:rPr>
        <w:t>以</w:t>
      </w:r>
      <w:proofErr w:type="gramEnd"/>
      <w:r w:rsidRPr="005B464B">
        <w:rPr>
          <w:rFonts w:hAnsi="標楷體" w:hint="eastAsia"/>
        </w:rPr>
        <w:t>，針對我國高教面對少子女化之解決途徑實</w:t>
      </w:r>
      <w:proofErr w:type="gramStart"/>
      <w:r w:rsidRPr="005B464B">
        <w:rPr>
          <w:rFonts w:hAnsi="標楷體" w:hint="eastAsia"/>
        </w:rPr>
        <w:t>難僅課責</w:t>
      </w:r>
      <w:proofErr w:type="gramEnd"/>
      <w:r w:rsidRPr="005B464B">
        <w:rPr>
          <w:rFonts w:hAnsi="標楷體" w:hint="eastAsia"/>
        </w:rPr>
        <w:t>教育部，部分學校之轉型尚涉及其他主管機關權責，行政院未能及早督導整合、儘速協調處理，恐牽動國家長期之競爭力，後續允應積極檢討改善。</w:t>
      </w:r>
      <w:bookmarkEnd w:id="115"/>
      <w:bookmarkEnd w:id="116"/>
      <w:bookmarkEnd w:id="117"/>
      <w:bookmarkEnd w:id="118"/>
      <w:bookmarkEnd w:id="119"/>
      <w:bookmarkEnd w:id="120"/>
      <w:bookmarkEnd w:id="121"/>
    </w:p>
    <w:p w:rsidR="005635CD" w:rsidRPr="005B464B" w:rsidRDefault="005635CD" w:rsidP="005635CD">
      <w:pPr>
        <w:pStyle w:val="3"/>
        <w:numPr>
          <w:ilvl w:val="2"/>
          <w:numId w:val="1"/>
        </w:numPr>
      </w:pPr>
      <w:bookmarkStart w:id="122" w:name="_Toc481412875"/>
      <w:bookmarkStart w:id="123" w:name="_Toc481486436"/>
      <w:bookmarkStart w:id="124" w:name="_Toc481505926"/>
      <w:bookmarkStart w:id="125" w:name="_Toc481599612"/>
      <w:bookmarkStart w:id="126" w:name="_Toc481599712"/>
      <w:bookmarkStart w:id="127" w:name="_Toc482030662"/>
      <w:bookmarkStart w:id="128" w:name="_Toc482031285"/>
      <w:bookmarkStart w:id="129" w:name="_Toc482109489"/>
      <w:r w:rsidRPr="005B464B">
        <w:rPr>
          <w:rFonts w:hint="eastAsia"/>
        </w:rPr>
        <w:t>綜上，</w:t>
      </w:r>
      <w:r w:rsidRPr="005B464B">
        <w:rPr>
          <w:rFonts w:hAnsi="標楷體" w:hint="eastAsia"/>
        </w:rPr>
        <w:t>在高教擴張趨勢下，我國大學已從傳統菁英式教育演變為普及式教育</w:t>
      </w:r>
      <w:r w:rsidRPr="005B464B">
        <w:rPr>
          <w:rStyle w:val="aff2"/>
          <w:rFonts w:hAnsi="標楷體"/>
        </w:rPr>
        <w:footnoteReference w:id="46"/>
      </w:r>
      <w:r w:rsidRPr="005B464B">
        <w:rPr>
          <w:rFonts w:hAnsi="標楷體" w:hint="eastAsia"/>
        </w:rPr>
        <w:t>。惟以教育部</w:t>
      </w:r>
      <w:r w:rsidRPr="005B464B">
        <w:t>90</w:t>
      </w:r>
      <w:r w:rsidRPr="005B464B">
        <w:rPr>
          <w:rFonts w:hint="eastAsia"/>
        </w:rPr>
        <w:t>學年後新設立或改制計</w:t>
      </w:r>
      <w:r w:rsidRPr="005B464B">
        <w:t>30</w:t>
      </w:r>
      <w:r w:rsidRPr="005B464B">
        <w:rPr>
          <w:rFonts w:hint="eastAsia"/>
        </w:rPr>
        <w:t>所學校觀之，</w:t>
      </w:r>
      <w:r w:rsidRPr="005B464B">
        <w:t>104</w:t>
      </w:r>
      <w:r w:rsidRPr="005B464B">
        <w:rPr>
          <w:rFonts w:hint="eastAsia"/>
        </w:rPr>
        <w:t>學年新生註冊率有</w:t>
      </w:r>
      <w:r w:rsidRPr="005B464B">
        <w:t>8</w:t>
      </w:r>
      <w:r w:rsidRPr="005B464B">
        <w:rPr>
          <w:rFonts w:hint="eastAsia"/>
        </w:rPr>
        <w:t>所未達</w:t>
      </w:r>
      <w:proofErr w:type="gramStart"/>
      <w:r w:rsidRPr="005B464B">
        <w:t>7</w:t>
      </w:r>
      <w:r w:rsidRPr="005B464B">
        <w:rPr>
          <w:rFonts w:hint="eastAsia"/>
        </w:rPr>
        <w:t>成</w:t>
      </w:r>
      <w:proofErr w:type="gramEnd"/>
      <w:r w:rsidRPr="005B464B">
        <w:rPr>
          <w:rFonts w:hint="eastAsia"/>
        </w:rPr>
        <w:t>，該等學校之整體招生情形並不理想，更突顯教育部忽視人口</w:t>
      </w:r>
      <w:proofErr w:type="gramStart"/>
      <w:r w:rsidRPr="005B464B">
        <w:rPr>
          <w:rFonts w:hint="eastAsia"/>
        </w:rPr>
        <w:t>結構呈少子女</w:t>
      </w:r>
      <w:proofErr w:type="gramEnd"/>
      <w:r w:rsidRPr="005B464B">
        <w:rPr>
          <w:rFonts w:hint="eastAsia"/>
        </w:rPr>
        <w:t>化之趨勢。然</w:t>
      </w:r>
      <w:r w:rsidRPr="005B464B">
        <w:rPr>
          <w:rFonts w:hAnsi="標楷體" w:hint="eastAsia"/>
        </w:rPr>
        <w:t>行政院長期未落實督導教育部整體高教退場及轉型政策，且未發揮政策工具效能、退場與轉型實際作業期程冗長，</w:t>
      </w:r>
      <w:r w:rsidRPr="005B464B">
        <w:rPr>
          <w:rFonts w:hint="eastAsia"/>
        </w:rPr>
        <w:t>相關法令進度緩不濟急，</w:t>
      </w:r>
      <w:r w:rsidRPr="005B464B">
        <w:rPr>
          <w:rFonts w:hAnsi="標楷體" w:hint="eastAsia"/>
        </w:rPr>
        <w:t>欠缺SOP及有效之預警機制，整體進度膠著，多數學校持觀望立場，於未來少子女化趨勢持續發酵下，恐嚴重影響師生權益、高教資源配置及國家競爭力，成為政府</w:t>
      </w:r>
      <w:proofErr w:type="gramStart"/>
      <w:r w:rsidRPr="005B464B">
        <w:rPr>
          <w:rFonts w:hAnsi="標楷體" w:hint="eastAsia"/>
        </w:rPr>
        <w:t>施政亟</w:t>
      </w:r>
      <w:proofErr w:type="gramEnd"/>
      <w:r w:rsidRPr="005B464B">
        <w:rPr>
          <w:rFonts w:hAnsi="標楷體" w:hint="eastAsia"/>
        </w:rPr>
        <w:t>為嚴峻且迫切之挑戰。</w:t>
      </w:r>
      <w:bookmarkEnd w:id="122"/>
      <w:bookmarkEnd w:id="123"/>
      <w:bookmarkEnd w:id="124"/>
      <w:bookmarkEnd w:id="125"/>
      <w:bookmarkEnd w:id="126"/>
      <w:bookmarkEnd w:id="127"/>
      <w:bookmarkEnd w:id="128"/>
      <w:bookmarkEnd w:id="129"/>
    </w:p>
    <w:p w:rsidR="005635CD" w:rsidRPr="005B464B" w:rsidRDefault="005635CD" w:rsidP="005635CD"/>
    <w:p w:rsidR="00D974E1" w:rsidRPr="005B464B" w:rsidRDefault="00D974E1" w:rsidP="00D974E1">
      <w:pPr>
        <w:pStyle w:val="2"/>
        <w:numPr>
          <w:ilvl w:val="1"/>
          <w:numId w:val="1"/>
        </w:numPr>
        <w:rPr>
          <w:b/>
        </w:rPr>
      </w:pPr>
      <w:bookmarkStart w:id="130" w:name="_Toc485138867"/>
      <w:r w:rsidRPr="005B464B">
        <w:rPr>
          <w:rFonts w:hint="eastAsia"/>
          <w:b/>
        </w:rPr>
        <w:t>於「私立學校法」公共化精神下，學校法人申請改辦文化或社會福利事業，需經新目的事業主管機關同意，</w:t>
      </w:r>
      <w:proofErr w:type="gramStart"/>
      <w:r w:rsidRPr="005B464B">
        <w:rPr>
          <w:rFonts w:hint="eastAsia"/>
          <w:b/>
        </w:rPr>
        <w:t>如涉地目</w:t>
      </w:r>
      <w:proofErr w:type="gramEnd"/>
      <w:r w:rsidRPr="005B464B">
        <w:rPr>
          <w:rFonts w:hint="eastAsia"/>
          <w:b/>
        </w:rPr>
        <w:t>變更需經內政部、地方政府之協調，</w:t>
      </w:r>
      <w:proofErr w:type="gramStart"/>
      <w:r w:rsidRPr="005B464B">
        <w:rPr>
          <w:rFonts w:hint="eastAsia"/>
          <w:b/>
        </w:rPr>
        <w:t>囿</w:t>
      </w:r>
      <w:proofErr w:type="gramEnd"/>
      <w:r w:rsidRPr="005B464B">
        <w:rPr>
          <w:rFonts w:hint="eastAsia"/>
          <w:b/>
        </w:rPr>
        <w:t>於跨部會協調機制作業</w:t>
      </w:r>
      <w:r w:rsidRPr="005B464B">
        <w:rPr>
          <w:b/>
        </w:rPr>
        <w:t>複雜繁瑣</w:t>
      </w:r>
      <w:r w:rsidRPr="005B464B">
        <w:rPr>
          <w:rFonts w:hint="eastAsia"/>
          <w:b/>
        </w:rPr>
        <w:t>、程序</w:t>
      </w:r>
      <w:r w:rsidRPr="005B464B">
        <w:rPr>
          <w:b/>
        </w:rPr>
        <w:t>冗長</w:t>
      </w:r>
      <w:r w:rsidRPr="005B464B">
        <w:rPr>
          <w:rFonts w:hint="eastAsia"/>
          <w:b/>
        </w:rPr>
        <w:t>等情，迄無改辦成功案例，</w:t>
      </w:r>
      <w:r w:rsidRPr="005B464B">
        <w:rPr>
          <w:b/>
        </w:rPr>
        <w:t>實已失立法</w:t>
      </w:r>
      <w:r w:rsidRPr="005B464B">
        <w:rPr>
          <w:rFonts w:hint="eastAsia"/>
          <w:b/>
        </w:rPr>
        <w:t>促進校產活化與再利用之</w:t>
      </w:r>
      <w:r w:rsidRPr="005B464B">
        <w:rPr>
          <w:b/>
        </w:rPr>
        <w:t>美意</w:t>
      </w:r>
      <w:r w:rsidRPr="005B464B">
        <w:rPr>
          <w:rFonts w:hint="eastAsia"/>
          <w:b/>
        </w:rPr>
        <w:t>；</w:t>
      </w:r>
      <w:proofErr w:type="gramStart"/>
      <w:r w:rsidRPr="005B464B">
        <w:rPr>
          <w:rFonts w:hint="eastAsia"/>
          <w:b/>
        </w:rPr>
        <w:t>另</w:t>
      </w:r>
      <w:proofErr w:type="gramEnd"/>
      <w:r w:rsidRPr="005B464B">
        <w:rPr>
          <w:rFonts w:hint="eastAsia"/>
          <w:b/>
        </w:rPr>
        <w:t>，教育部對於永達技術學院停辦階段之後</w:t>
      </w:r>
      <w:r w:rsidRPr="005B464B">
        <w:rPr>
          <w:rFonts w:hint="eastAsia"/>
          <w:b/>
        </w:rPr>
        <w:lastRenderedPageBreak/>
        <w:t>續處置略顯消極，允宜儘速檢討因應。</w:t>
      </w:r>
      <w:bookmarkEnd w:id="59"/>
      <w:bookmarkEnd w:id="60"/>
      <w:bookmarkEnd w:id="130"/>
    </w:p>
    <w:p w:rsidR="00D974E1" w:rsidRPr="005B464B" w:rsidRDefault="00D974E1" w:rsidP="00D974E1">
      <w:pPr>
        <w:pStyle w:val="3"/>
        <w:widowControl/>
        <w:numPr>
          <w:ilvl w:val="2"/>
          <w:numId w:val="1"/>
        </w:num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b/>
        </w:rPr>
      </w:pPr>
      <w:bookmarkStart w:id="131" w:name="_Toc481599714"/>
      <w:bookmarkStart w:id="132" w:name="_Toc482030664"/>
      <w:bookmarkStart w:id="133" w:name="_Toc482031287"/>
      <w:bookmarkStart w:id="134" w:name="_Toc482109491"/>
      <w:r w:rsidRPr="005B464B">
        <w:rPr>
          <w:rFonts w:hAnsi="標楷體" w:hint="eastAsia"/>
          <w:kern w:val="0"/>
          <w:szCs w:val="32"/>
        </w:rPr>
        <w:t>按「私立學校法」第1條規定：「為促進私立學校多元健全發展，提高其公共性及自主性，以鼓勵私人興學，並增加國民就學及公平選擇之機會，特制定本法。本法未規定者，依</w:t>
      </w:r>
      <w:r w:rsidRPr="005B464B">
        <w:rPr>
          <w:rFonts w:hint="eastAsia"/>
        </w:rPr>
        <w:t>『</w:t>
      </w:r>
      <w:r w:rsidRPr="005B464B">
        <w:rPr>
          <w:rFonts w:hAnsi="標楷體" w:hint="eastAsia"/>
          <w:kern w:val="0"/>
          <w:szCs w:val="32"/>
        </w:rPr>
        <w:t>民法</w:t>
      </w:r>
      <w:r w:rsidRPr="005B464B">
        <w:rPr>
          <w:rFonts w:hint="eastAsia"/>
        </w:rPr>
        <w:t>』</w:t>
      </w:r>
      <w:r w:rsidRPr="005B464B">
        <w:rPr>
          <w:rFonts w:hAnsi="標楷體" w:hint="eastAsia"/>
          <w:kern w:val="0"/>
          <w:szCs w:val="32"/>
        </w:rPr>
        <w:t>及其他有關法令規定。」第49條規定：「學校法人就不動產之處分或設定負擔，應經董事會之決議，並報經學校主管機關核轉法人主管機關核准後辦理；其購置或出租不動產者，亦同。前項不動產之處分或設定負擔，應符合下列規定：1、不動產之處分，以不妨礙學校發展、校務進行為限。2、不動產以與教學無直接關係或經核定廢置之校地、建築物為限，始得設定負擔。依其他法律之規定，於學校法人之不動產具有法定抵押權者，依其規定。」第71條規定：「學校法人因情事變更，致不能達到捐助章程所定目的，已依前條規定停辦所設各私立學校後，經董事會決議及法人主管機關許可，得變更其目的，改辦理其他教育、文化或社會福利事業。法人主管機關應斟酌捐助人之意思，並徵得變更後之目的事業主管機關同意及徵詢</w:t>
      </w:r>
      <w:r w:rsidRPr="005B464B">
        <w:rPr>
          <w:rFonts w:hint="eastAsia"/>
        </w:rPr>
        <w:t>『</w:t>
      </w:r>
      <w:r w:rsidRPr="005B464B">
        <w:rPr>
          <w:rFonts w:hAnsi="標楷體" w:hint="eastAsia"/>
          <w:kern w:val="0"/>
          <w:szCs w:val="32"/>
        </w:rPr>
        <w:t>私立學校諮詢會</w:t>
      </w:r>
      <w:r w:rsidRPr="005B464B">
        <w:rPr>
          <w:rFonts w:hint="eastAsia"/>
        </w:rPr>
        <w:t>』</w:t>
      </w:r>
      <w:r w:rsidRPr="005B464B">
        <w:rPr>
          <w:rFonts w:hAnsi="標楷體" w:hint="eastAsia"/>
          <w:kern w:val="0"/>
          <w:szCs w:val="32"/>
        </w:rPr>
        <w:t>意見後，許可其變更，同時轉請該管法院辦理變更登記。學校法人依第1項規定變更為其他教育、文化或社會福利事業之財團法人時，原依『土地稅法』第28條之1受贈土地者，免依該法規定處罰，其應追補之土地增值稅，准予記存，並於該土地下次移轉時，一併繳納之。但下次移轉係因變更後之財團法人解散，且其捐助章程已明定該土地歸屬於法人住所所在地之地方自治團體者，免徵之。前項記存之土地增值稅，於該土地移轉時應優先於一切債權及抵押權受償。」第74條規定：「學校法人解散清算後，</w:t>
      </w:r>
      <w:r w:rsidRPr="005B464B">
        <w:rPr>
          <w:rFonts w:hAnsi="標楷體" w:hint="eastAsia"/>
          <w:kern w:val="0"/>
          <w:szCs w:val="32"/>
        </w:rPr>
        <w:lastRenderedPageBreak/>
        <w:t>除合併之情形外，其賸餘財產之歸屬，依下列各款順序辦理。但不得歸屬於自然人或以營利為目的之團體：1、依捐助章程之規定。2、依董事會決議，並報經法人主管機關核定，捐贈予公立學校、其他私立學校之學校法人，或辦理教育、文化、社會福利事業之財團法人。3、歸屬於學校法人所在地之直轄市、縣(市)。但不動產，歸屬於不動產所在地之直轄市、縣(市)。直轄市、縣(市)政府運用前項學校法人之賸餘財產，以辦理教育文化、社會福利事項為限。」第80條第1項規定，轉型及退場學校處分不動產等行為如未經教育部同意者，該部將按「私立學校法」規定，對學校法人董事長、董事、監察人、私立學校校長、主辦及經辦相關業務之人員，處新臺幣（下同）30萬元以上，150萬元以下罰鍰。</w:t>
      </w:r>
      <w:bookmarkEnd w:id="131"/>
      <w:bookmarkEnd w:id="132"/>
      <w:bookmarkEnd w:id="133"/>
      <w:bookmarkEnd w:id="134"/>
    </w:p>
    <w:p w:rsidR="00D974E1" w:rsidRPr="005B464B" w:rsidRDefault="00D974E1" w:rsidP="00D974E1">
      <w:pPr>
        <w:pStyle w:val="3"/>
        <w:widowControl/>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pPr>
      <w:bookmarkStart w:id="135" w:name="_Toc481599715"/>
      <w:bookmarkStart w:id="136" w:name="_Toc482030665"/>
      <w:bookmarkStart w:id="137" w:name="_Toc482031288"/>
      <w:bookmarkStart w:id="138" w:name="_Toc482109492"/>
      <w:r w:rsidRPr="005B464B">
        <w:rPr>
          <w:rFonts w:hint="eastAsia"/>
        </w:rPr>
        <w:t>經查，教育部103年7月1日發布「教育部促進學校財團法人辦理不動產活化實施原則」，其目的係為協助私立學校因應校務發展需要進行土地及校舍調整，並於維持公共性之原則下，促進學校法人辦理不動產活化，以創造最大附加價值，並視學校法人為運作階段、停辦階段、改辦階段而有不同處理準則，扼要說明如下：</w:t>
      </w:r>
      <w:bookmarkEnd w:id="135"/>
      <w:bookmarkEnd w:id="136"/>
      <w:bookmarkEnd w:id="137"/>
      <w:bookmarkEnd w:id="138"/>
    </w:p>
    <w:p w:rsidR="00D974E1" w:rsidRPr="005B464B" w:rsidRDefault="00D974E1" w:rsidP="00D974E1">
      <w:pPr>
        <w:pStyle w:val="4"/>
        <w:numPr>
          <w:ilvl w:val="3"/>
          <w:numId w:val="1"/>
        </w:numPr>
      </w:pPr>
      <w:r w:rsidRPr="005B464B">
        <w:rPr>
          <w:rFonts w:hint="eastAsia"/>
        </w:rPr>
        <w:t>運作階段：學校法人於學校運作階段，為辦理不動產活化，經教育部核准後得依</w:t>
      </w:r>
      <w:r w:rsidRPr="005B464B">
        <w:rPr>
          <w:rFonts w:hAnsi="標楷體" w:hint="eastAsia"/>
          <w:kern w:val="0"/>
          <w:szCs w:val="32"/>
        </w:rPr>
        <w:t>「私立學校法」</w:t>
      </w:r>
      <w:r w:rsidRPr="005B464B">
        <w:rPr>
          <w:rFonts w:hint="eastAsia"/>
        </w:rPr>
        <w:t>第49條規定辦理不動產處分或出租(包括</w:t>
      </w:r>
      <w:proofErr w:type="gramStart"/>
      <w:r w:rsidRPr="005B464B">
        <w:rPr>
          <w:rFonts w:hint="eastAsia"/>
        </w:rPr>
        <w:t>併</w:t>
      </w:r>
      <w:proofErr w:type="gramEnd"/>
      <w:r w:rsidRPr="005B464B">
        <w:rPr>
          <w:rFonts w:hint="eastAsia"/>
        </w:rPr>
        <w:t>同設定地上權之行為，下稱出租)，並應符合下列要件：</w:t>
      </w:r>
    </w:p>
    <w:p w:rsidR="00D974E1" w:rsidRPr="005B464B" w:rsidRDefault="00D974E1" w:rsidP="00D974E1">
      <w:pPr>
        <w:pStyle w:val="5"/>
        <w:numPr>
          <w:ilvl w:val="4"/>
          <w:numId w:val="1"/>
        </w:numPr>
      </w:pPr>
      <w:r w:rsidRPr="005B464B">
        <w:rPr>
          <w:rFonts w:hint="eastAsia"/>
        </w:rPr>
        <w:t>處分或出租後之剩餘可開發土地及校舍，仍應符合各級學校設立基準，並維持一定品質之校園機能。</w:t>
      </w:r>
    </w:p>
    <w:p w:rsidR="00D974E1" w:rsidRPr="005B464B" w:rsidRDefault="00D974E1" w:rsidP="00D974E1">
      <w:pPr>
        <w:pStyle w:val="5"/>
        <w:numPr>
          <w:ilvl w:val="4"/>
          <w:numId w:val="1"/>
        </w:numPr>
      </w:pPr>
      <w:r w:rsidRPr="005B464B">
        <w:rPr>
          <w:rFonts w:hint="eastAsia"/>
        </w:rPr>
        <w:lastRenderedPageBreak/>
        <w:t>處分及出租所得應納入學校基金，並應優先用於提升該學校之教育品質、清償本於教職員工聘僱契約所積欠應支付之薪資及彌補學校當年度以前收支不足等用途，學校必要時得訂定收支規定。</w:t>
      </w:r>
    </w:p>
    <w:p w:rsidR="00D974E1" w:rsidRPr="005B464B" w:rsidRDefault="00D974E1" w:rsidP="00D974E1">
      <w:pPr>
        <w:pStyle w:val="5"/>
        <w:numPr>
          <w:ilvl w:val="4"/>
          <w:numId w:val="1"/>
        </w:numPr>
      </w:pPr>
      <w:r w:rsidRPr="005B464B">
        <w:rPr>
          <w:rFonts w:hint="eastAsia"/>
        </w:rPr>
        <w:t>不動產之出租，承租人對土地之使用，應符合</w:t>
      </w:r>
      <w:r w:rsidRPr="005B464B">
        <w:rPr>
          <w:rFonts w:hAnsi="標楷體" w:hint="eastAsia"/>
          <w:kern w:val="0"/>
          <w:szCs w:val="32"/>
        </w:rPr>
        <w:t>「</w:t>
      </w:r>
      <w:r w:rsidRPr="005B464B">
        <w:rPr>
          <w:rFonts w:hint="eastAsia"/>
        </w:rPr>
        <w:t>都市計畫法</w:t>
      </w:r>
      <w:r w:rsidRPr="005B464B">
        <w:rPr>
          <w:rFonts w:hAnsi="標楷體" w:hint="eastAsia"/>
          <w:kern w:val="0"/>
          <w:szCs w:val="32"/>
        </w:rPr>
        <w:t>」</w:t>
      </w:r>
      <w:r w:rsidRPr="005B464B">
        <w:rPr>
          <w:rFonts w:hint="eastAsia"/>
        </w:rPr>
        <w:t>、</w:t>
      </w:r>
      <w:r w:rsidRPr="005B464B">
        <w:rPr>
          <w:rFonts w:hAnsi="標楷體" w:hint="eastAsia"/>
          <w:kern w:val="0"/>
          <w:szCs w:val="32"/>
        </w:rPr>
        <w:t>「</w:t>
      </w:r>
      <w:r w:rsidRPr="005B464B">
        <w:rPr>
          <w:rFonts w:hint="eastAsia"/>
        </w:rPr>
        <w:t>區域計畫法</w:t>
      </w:r>
      <w:r w:rsidRPr="005B464B">
        <w:rPr>
          <w:rFonts w:hAnsi="標楷體" w:hint="eastAsia"/>
          <w:kern w:val="0"/>
          <w:szCs w:val="32"/>
        </w:rPr>
        <w:t>」</w:t>
      </w:r>
      <w:r w:rsidRPr="005B464B">
        <w:rPr>
          <w:rFonts w:hint="eastAsia"/>
        </w:rPr>
        <w:t>及</w:t>
      </w:r>
      <w:r w:rsidRPr="005B464B">
        <w:rPr>
          <w:rFonts w:hAnsi="標楷體" w:hint="eastAsia"/>
          <w:kern w:val="0"/>
          <w:szCs w:val="32"/>
        </w:rPr>
        <w:t>「</w:t>
      </w:r>
      <w:r w:rsidRPr="005B464B">
        <w:rPr>
          <w:rFonts w:hint="eastAsia"/>
        </w:rPr>
        <w:t>環境影響評估法</w:t>
      </w:r>
      <w:r w:rsidRPr="005B464B">
        <w:rPr>
          <w:rFonts w:hAnsi="標楷體" w:hint="eastAsia"/>
          <w:kern w:val="0"/>
          <w:szCs w:val="32"/>
        </w:rPr>
        <w:t>」</w:t>
      </w:r>
      <w:r w:rsidRPr="005B464B">
        <w:rPr>
          <w:rFonts w:hint="eastAsia"/>
        </w:rPr>
        <w:t>等相關規定；對建築物之使用，應符合</w:t>
      </w:r>
      <w:r w:rsidRPr="005B464B">
        <w:rPr>
          <w:rFonts w:hAnsi="標楷體" w:hint="eastAsia"/>
          <w:kern w:val="0"/>
          <w:szCs w:val="32"/>
        </w:rPr>
        <w:t>「</w:t>
      </w:r>
      <w:r w:rsidRPr="005B464B">
        <w:rPr>
          <w:rFonts w:hint="eastAsia"/>
        </w:rPr>
        <w:t>建築法</w:t>
      </w:r>
      <w:r w:rsidRPr="005B464B">
        <w:rPr>
          <w:rFonts w:hAnsi="標楷體" w:hint="eastAsia"/>
          <w:kern w:val="0"/>
          <w:szCs w:val="32"/>
        </w:rPr>
        <w:t>」</w:t>
      </w:r>
      <w:r w:rsidRPr="005B464B">
        <w:rPr>
          <w:rFonts w:hint="eastAsia"/>
        </w:rPr>
        <w:t>等相關規定。</w:t>
      </w:r>
    </w:p>
    <w:p w:rsidR="00D974E1" w:rsidRPr="005B464B" w:rsidRDefault="00D974E1" w:rsidP="00D974E1">
      <w:pPr>
        <w:pStyle w:val="4"/>
        <w:numPr>
          <w:ilvl w:val="3"/>
          <w:numId w:val="1"/>
        </w:numPr>
      </w:pPr>
      <w:r w:rsidRPr="005B464B">
        <w:rPr>
          <w:rFonts w:hint="eastAsia"/>
        </w:rPr>
        <w:t>停辦階段：學校法人依</w:t>
      </w:r>
      <w:r w:rsidRPr="005B464B">
        <w:rPr>
          <w:rFonts w:hAnsi="標楷體" w:hint="eastAsia"/>
          <w:kern w:val="0"/>
          <w:szCs w:val="32"/>
        </w:rPr>
        <w:t>「私立學校法」</w:t>
      </w:r>
      <w:r w:rsidRPr="005B464B">
        <w:rPr>
          <w:rFonts w:hint="eastAsia"/>
        </w:rPr>
        <w:t>第70條規定停辦所設學校階段，得依實際需要處分或出租不動產之部分或全部，其相關規劃應納入停辦計畫，經教育部核定後始得辦理，並應符合下列要件：</w:t>
      </w:r>
    </w:p>
    <w:p w:rsidR="00D974E1" w:rsidRPr="005B464B" w:rsidRDefault="00D974E1" w:rsidP="00D974E1">
      <w:pPr>
        <w:pStyle w:val="5"/>
        <w:numPr>
          <w:ilvl w:val="4"/>
          <w:numId w:val="1"/>
        </w:numPr>
      </w:pPr>
      <w:r w:rsidRPr="005B464B">
        <w:rPr>
          <w:rFonts w:hint="eastAsia"/>
        </w:rPr>
        <w:t>有關不動產處分及出租所得，學校法人應優先用於清償本於教職員工聘僱契約所積欠應支付之薪資、安置費等，不得歸屬於自然人或以營利為目的之團體，財產如有賸餘，得依</w:t>
      </w:r>
      <w:r w:rsidRPr="005B464B">
        <w:rPr>
          <w:rFonts w:hAnsi="標楷體" w:hint="eastAsia"/>
          <w:kern w:val="0"/>
          <w:szCs w:val="32"/>
        </w:rPr>
        <w:t>「私立學校法」</w:t>
      </w:r>
      <w:r w:rsidRPr="005B464B">
        <w:rPr>
          <w:rFonts w:hint="eastAsia"/>
        </w:rPr>
        <w:t>第71條規定，作為改辦教育、文化及社會福利事業所需，或於解散清算後依</w:t>
      </w:r>
      <w:r w:rsidRPr="005B464B">
        <w:rPr>
          <w:rFonts w:hAnsi="標楷體" w:hint="eastAsia"/>
          <w:kern w:val="0"/>
          <w:szCs w:val="32"/>
        </w:rPr>
        <w:t>「私立學校法」</w:t>
      </w:r>
      <w:r w:rsidRPr="005B464B">
        <w:rPr>
          <w:rFonts w:hint="eastAsia"/>
        </w:rPr>
        <w:t>第74條所定財產歸屬之順序辦理。</w:t>
      </w:r>
    </w:p>
    <w:p w:rsidR="00D974E1" w:rsidRPr="005B464B" w:rsidRDefault="00D974E1" w:rsidP="00D974E1">
      <w:pPr>
        <w:pStyle w:val="5"/>
        <w:numPr>
          <w:ilvl w:val="4"/>
          <w:numId w:val="1"/>
        </w:numPr>
      </w:pPr>
      <w:r w:rsidRPr="005B464B">
        <w:rPr>
          <w:rFonts w:hint="eastAsia"/>
        </w:rPr>
        <w:t>不動產之出租，承租人對土地之使用，應符合</w:t>
      </w:r>
      <w:r w:rsidRPr="005B464B">
        <w:rPr>
          <w:rFonts w:hAnsi="標楷體" w:hint="eastAsia"/>
          <w:kern w:val="0"/>
          <w:szCs w:val="32"/>
        </w:rPr>
        <w:t>「</w:t>
      </w:r>
      <w:r w:rsidRPr="005B464B">
        <w:rPr>
          <w:rFonts w:hint="eastAsia"/>
        </w:rPr>
        <w:t>都市計畫法</w:t>
      </w:r>
      <w:r w:rsidRPr="005B464B">
        <w:rPr>
          <w:rFonts w:hAnsi="標楷體" w:hint="eastAsia"/>
          <w:kern w:val="0"/>
          <w:szCs w:val="32"/>
        </w:rPr>
        <w:t>」</w:t>
      </w:r>
      <w:r w:rsidRPr="005B464B">
        <w:rPr>
          <w:rFonts w:hint="eastAsia"/>
        </w:rPr>
        <w:t>、</w:t>
      </w:r>
      <w:r w:rsidRPr="005B464B">
        <w:rPr>
          <w:rFonts w:hAnsi="標楷體" w:hint="eastAsia"/>
          <w:kern w:val="0"/>
          <w:szCs w:val="32"/>
        </w:rPr>
        <w:t>「</w:t>
      </w:r>
      <w:r w:rsidRPr="005B464B">
        <w:rPr>
          <w:rFonts w:hint="eastAsia"/>
        </w:rPr>
        <w:t>區域計畫法</w:t>
      </w:r>
      <w:r w:rsidRPr="005B464B">
        <w:rPr>
          <w:rFonts w:hAnsi="標楷體" w:hint="eastAsia"/>
          <w:kern w:val="0"/>
          <w:szCs w:val="32"/>
        </w:rPr>
        <w:t>」</w:t>
      </w:r>
      <w:r w:rsidRPr="005B464B">
        <w:rPr>
          <w:rFonts w:hint="eastAsia"/>
        </w:rPr>
        <w:t>及</w:t>
      </w:r>
      <w:r w:rsidRPr="005B464B">
        <w:rPr>
          <w:rFonts w:hAnsi="標楷體" w:hint="eastAsia"/>
          <w:kern w:val="0"/>
          <w:szCs w:val="32"/>
        </w:rPr>
        <w:t>「</w:t>
      </w:r>
      <w:r w:rsidRPr="005B464B">
        <w:rPr>
          <w:rFonts w:hint="eastAsia"/>
        </w:rPr>
        <w:t>環境影響評估法</w:t>
      </w:r>
      <w:r w:rsidRPr="005B464B">
        <w:rPr>
          <w:rFonts w:hAnsi="標楷體" w:hint="eastAsia"/>
          <w:kern w:val="0"/>
          <w:szCs w:val="32"/>
        </w:rPr>
        <w:t>」</w:t>
      </w:r>
      <w:r w:rsidRPr="005B464B">
        <w:rPr>
          <w:rFonts w:hint="eastAsia"/>
        </w:rPr>
        <w:t>等相關規定；對建築物之使用，應符合</w:t>
      </w:r>
      <w:r w:rsidRPr="005B464B">
        <w:rPr>
          <w:rFonts w:hAnsi="標楷體" w:hint="eastAsia"/>
          <w:kern w:val="0"/>
          <w:szCs w:val="32"/>
        </w:rPr>
        <w:t>「</w:t>
      </w:r>
      <w:r w:rsidRPr="005B464B">
        <w:rPr>
          <w:rFonts w:hint="eastAsia"/>
        </w:rPr>
        <w:t>建築法</w:t>
      </w:r>
      <w:r w:rsidRPr="005B464B">
        <w:rPr>
          <w:rFonts w:hAnsi="標楷體" w:hint="eastAsia"/>
          <w:kern w:val="0"/>
          <w:szCs w:val="32"/>
        </w:rPr>
        <w:t>」</w:t>
      </w:r>
      <w:r w:rsidRPr="005B464B">
        <w:rPr>
          <w:rFonts w:hint="eastAsia"/>
        </w:rPr>
        <w:t>等相關規定。</w:t>
      </w:r>
    </w:p>
    <w:p w:rsidR="00D974E1" w:rsidRPr="005B464B" w:rsidRDefault="00D974E1" w:rsidP="00D974E1">
      <w:pPr>
        <w:pStyle w:val="4"/>
        <w:numPr>
          <w:ilvl w:val="3"/>
          <w:numId w:val="1"/>
        </w:numPr>
      </w:pPr>
      <w:r w:rsidRPr="005B464B">
        <w:rPr>
          <w:rFonts w:hint="eastAsia"/>
        </w:rPr>
        <w:t>改辦階段：學校法人依</w:t>
      </w:r>
      <w:r w:rsidRPr="005B464B">
        <w:rPr>
          <w:rFonts w:hAnsi="標楷體" w:hint="eastAsia"/>
          <w:kern w:val="0"/>
          <w:szCs w:val="32"/>
        </w:rPr>
        <w:t>「私立學校法」</w:t>
      </w:r>
      <w:r w:rsidRPr="005B464B">
        <w:rPr>
          <w:rFonts w:hint="eastAsia"/>
        </w:rPr>
        <w:t>第71條規定改辦其他教育、文化或社會福利事業後，應由改辦後之法人依</w:t>
      </w:r>
      <w:r w:rsidRPr="005B464B">
        <w:rPr>
          <w:rFonts w:hAnsi="標楷體" w:hint="eastAsia"/>
          <w:kern w:val="0"/>
          <w:szCs w:val="32"/>
        </w:rPr>
        <w:t>「</w:t>
      </w:r>
      <w:r w:rsidRPr="005B464B">
        <w:rPr>
          <w:rFonts w:hint="eastAsia"/>
        </w:rPr>
        <w:t>都市計畫法</w:t>
      </w:r>
      <w:r w:rsidRPr="005B464B">
        <w:rPr>
          <w:rFonts w:hAnsi="標楷體" w:hint="eastAsia"/>
          <w:kern w:val="0"/>
          <w:szCs w:val="32"/>
        </w:rPr>
        <w:t>」</w:t>
      </w:r>
      <w:r w:rsidRPr="005B464B">
        <w:rPr>
          <w:rFonts w:hint="eastAsia"/>
        </w:rPr>
        <w:t>或</w:t>
      </w:r>
      <w:r w:rsidRPr="005B464B">
        <w:rPr>
          <w:rFonts w:hAnsi="標楷體" w:hint="eastAsia"/>
          <w:kern w:val="0"/>
          <w:szCs w:val="32"/>
        </w:rPr>
        <w:t>「</w:t>
      </w:r>
      <w:r w:rsidRPr="005B464B">
        <w:rPr>
          <w:rFonts w:hint="eastAsia"/>
        </w:rPr>
        <w:t>區域計畫法</w:t>
      </w:r>
      <w:r w:rsidRPr="005B464B">
        <w:rPr>
          <w:rFonts w:hAnsi="標楷體" w:hint="eastAsia"/>
          <w:kern w:val="0"/>
          <w:szCs w:val="32"/>
        </w:rPr>
        <w:t>」</w:t>
      </w:r>
      <w:r w:rsidRPr="005B464B">
        <w:rPr>
          <w:rFonts w:hint="eastAsia"/>
        </w:rPr>
        <w:t>等相關規定向各地方政府或內政部申請辦理土地變更，以符合改辦後事業所需。</w:t>
      </w:r>
    </w:p>
    <w:p w:rsidR="00D974E1" w:rsidRPr="005B464B" w:rsidRDefault="00D974E1" w:rsidP="00D974E1">
      <w:pPr>
        <w:pStyle w:val="3"/>
        <w:numPr>
          <w:ilvl w:val="2"/>
          <w:numId w:val="1"/>
        </w:numPr>
      </w:pPr>
      <w:bookmarkStart w:id="139" w:name="_Toc481599716"/>
      <w:bookmarkStart w:id="140" w:name="_Toc482030666"/>
      <w:bookmarkStart w:id="141" w:name="_Toc482031289"/>
      <w:bookmarkStart w:id="142" w:name="_Toc482109493"/>
      <w:r w:rsidRPr="005B464B">
        <w:rPr>
          <w:rFonts w:hint="eastAsia"/>
        </w:rPr>
        <w:lastRenderedPageBreak/>
        <w:t>次查，教育部104年3月</w:t>
      </w:r>
      <w:r w:rsidRPr="005B464B">
        <w:t>27日發布</w:t>
      </w:r>
      <w:r w:rsidRPr="005B464B">
        <w:rPr>
          <w:rFonts w:hint="eastAsia"/>
        </w:rPr>
        <w:t>「高等教育創新轉型方案」相關內容：</w:t>
      </w:r>
      <w:bookmarkEnd w:id="139"/>
      <w:bookmarkEnd w:id="140"/>
      <w:bookmarkEnd w:id="141"/>
      <w:bookmarkEnd w:id="142"/>
    </w:p>
    <w:p w:rsidR="00D974E1" w:rsidRPr="005B464B" w:rsidRDefault="00D974E1" w:rsidP="00D974E1">
      <w:pPr>
        <w:pStyle w:val="4"/>
        <w:numPr>
          <w:ilvl w:val="3"/>
          <w:numId w:val="1"/>
        </w:numPr>
      </w:pPr>
      <w:r w:rsidRPr="005B464B">
        <w:rPr>
          <w:rFonts w:hint="eastAsia"/>
        </w:rPr>
        <w:t>學校法人改辦理其他教育、文化或社會福利事業，實務上可能之興辦標的如下：</w:t>
      </w:r>
    </w:p>
    <w:p w:rsidR="00D974E1" w:rsidRPr="005B464B" w:rsidRDefault="00D974E1" w:rsidP="00D974E1">
      <w:pPr>
        <w:pStyle w:val="5"/>
        <w:numPr>
          <w:ilvl w:val="4"/>
          <w:numId w:val="1"/>
        </w:numPr>
      </w:pPr>
      <w:r w:rsidRPr="005B464B">
        <w:rPr>
          <w:rFonts w:hint="eastAsia"/>
        </w:rPr>
        <w:t>老人照護：如日間照護中心、老年大學、銀髮學院、養生村等。</w:t>
      </w:r>
    </w:p>
    <w:p w:rsidR="00D974E1" w:rsidRPr="005B464B" w:rsidRDefault="00D974E1" w:rsidP="00D974E1">
      <w:pPr>
        <w:pStyle w:val="5"/>
        <w:numPr>
          <w:ilvl w:val="4"/>
          <w:numId w:val="1"/>
        </w:numPr>
      </w:pPr>
      <w:r w:rsidRPr="005B464B">
        <w:rPr>
          <w:rFonts w:hint="eastAsia"/>
        </w:rPr>
        <w:t>職業訓練：如引進企業專案培養</w:t>
      </w:r>
      <w:r w:rsidRPr="005B464B">
        <w:t>(</w:t>
      </w:r>
      <w:r w:rsidRPr="005B464B">
        <w:rPr>
          <w:rFonts w:hint="eastAsia"/>
        </w:rPr>
        <w:t>訂單式培養</w:t>
      </w:r>
      <w:r w:rsidRPr="005B464B">
        <w:t>)</w:t>
      </w:r>
      <w:r w:rsidRPr="005B464B">
        <w:rPr>
          <w:rFonts w:hint="eastAsia"/>
        </w:rPr>
        <w:t>、特定型態的學院</w:t>
      </w:r>
      <w:r w:rsidRPr="005B464B">
        <w:t>(</w:t>
      </w:r>
      <w:r w:rsidRPr="005B464B">
        <w:rPr>
          <w:rFonts w:hint="eastAsia"/>
        </w:rPr>
        <w:t>如卡內基學院、王文華的夢想學院等</w:t>
      </w:r>
      <w:r w:rsidRPr="005B464B">
        <w:t>)</w:t>
      </w:r>
      <w:r w:rsidRPr="005B464B">
        <w:rPr>
          <w:rFonts w:hint="eastAsia"/>
        </w:rPr>
        <w:t>。</w:t>
      </w:r>
    </w:p>
    <w:p w:rsidR="00D974E1" w:rsidRPr="005B464B" w:rsidRDefault="00D974E1" w:rsidP="00D974E1">
      <w:pPr>
        <w:pStyle w:val="5"/>
        <w:numPr>
          <w:ilvl w:val="4"/>
          <w:numId w:val="1"/>
        </w:numPr>
      </w:pPr>
      <w:r w:rsidRPr="005B464B">
        <w:rPr>
          <w:rFonts w:hint="eastAsia"/>
        </w:rPr>
        <w:t>兒少照顧：如兒童故事館、體驗館、幼兒園等。</w:t>
      </w:r>
    </w:p>
    <w:p w:rsidR="00D974E1" w:rsidRPr="005B464B" w:rsidRDefault="00D974E1" w:rsidP="00D974E1">
      <w:pPr>
        <w:pStyle w:val="5"/>
        <w:numPr>
          <w:ilvl w:val="4"/>
          <w:numId w:val="1"/>
        </w:numPr>
      </w:pPr>
      <w:r w:rsidRPr="005B464B">
        <w:rPr>
          <w:rFonts w:hint="eastAsia"/>
        </w:rPr>
        <w:t>社會住宅。</w:t>
      </w:r>
    </w:p>
    <w:p w:rsidR="00D974E1" w:rsidRPr="005B464B" w:rsidRDefault="00D974E1" w:rsidP="00D974E1">
      <w:pPr>
        <w:pStyle w:val="4"/>
        <w:numPr>
          <w:ilvl w:val="3"/>
          <w:numId w:val="1"/>
        </w:numPr>
      </w:pPr>
      <w:r w:rsidRPr="005B464B">
        <w:rPr>
          <w:rFonts w:hint="eastAsia"/>
        </w:rPr>
        <w:t>該部103年7月24日前召開「學校校園空間再利用</w:t>
      </w:r>
      <w:proofErr w:type="gramStart"/>
      <w:r w:rsidRPr="005B464B">
        <w:rPr>
          <w:rFonts w:hint="eastAsia"/>
        </w:rPr>
        <w:t>研</w:t>
      </w:r>
      <w:proofErr w:type="gramEnd"/>
      <w:r w:rsidRPr="005B464B">
        <w:rPr>
          <w:rFonts w:hint="eastAsia"/>
        </w:rPr>
        <w:t>商會議」蒐集各部會與地方政府關於老人照護、職訓、兒少照顧與社會住宅之需求，</w:t>
      </w:r>
      <w:proofErr w:type="gramStart"/>
      <w:r w:rsidRPr="005B464B">
        <w:rPr>
          <w:rFonts w:hint="eastAsia"/>
        </w:rPr>
        <w:t>俾</w:t>
      </w:r>
      <w:proofErr w:type="gramEnd"/>
      <w:r w:rsidRPr="005B464B">
        <w:rPr>
          <w:rFonts w:hint="eastAsia"/>
        </w:rPr>
        <w:t>作後續學校參考。</w:t>
      </w:r>
    </w:p>
    <w:p w:rsidR="00D974E1" w:rsidRPr="005B464B" w:rsidRDefault="00D974E1" w:rsidP="00D974E1">
      <w:pPr>
        <w:pStyle w:val="4"/>
        <w:numPr>
          <w:ilvl w:val="3"/>
          <w:numId w:val="1"/>
        </w:numPr>
        <w:rPr>
          <w:rFonts w:ascii="Calibri Light" w:hAnsi="Calibri Light"/>
          <w:sz w:val="28"/>
          <w:szCs w:val="28"/>
        </w:rPr>
      </w:pPr>
      <w:r w:rsidRPr="005B464B">
        <w:rPr>
          <w:rFonts w:hint="eastAsia"/>
        </w:rPr>
        <w:t>教育部</w:t>
      </w:r>
      <w:r w:rsidRPr="005B464B">
        <w:t>組成</w:t>
      </w:r>
      <w:r w:rsidRPr="005B464B">
        <w:rPr>
          <w:rFonts w:hint="eastAsia"/>
        </w:rPr>
        <w:t>跨部會小組，就</w:t>
      </w:r>
      <w:r w:rsidRPr="005B464B">
        <w:t>加速資產活化辦理時程</w:t>
      </w:r>
      <w:r w:rsidRPr="005B464B">
        <w:rPr>
          <w:rFonts w:hint="eastAsia"/>
        </w:rPr>
        <w:t>部分，應邀集相關法規主管部會(如衛生福利部、內政部、</w:t>
      </w:r>
      <w:proofErr w:type="gramStart"/>
      <w:r w:rsidRPr="005B464B">
        <w:rPr>
          <w:rFonts w:hint="eastAsia"/>
        </w:rPr>
        <w:t>勞動部等</w:t>
      </w:r>
      <w:proofErr w:type="gramEnd"/>
      <w:r w:rsidRPr="005B464B">
        <w:rPr>
          <w:rFonts w:hint="eastAsia"/>
        </w:rPr>
        <w:t>)及各地方政府，視個案情形予以協助學校法人依「私立學校法」第</w:t>
      </w:r>
      <w:r w:rsidRPr="005B464B">
        <w:t>71</w:t>
      </w:r>
      <w:r w:rsidRPr="005B464B">
        <w:rPr>
          <w:rFonts w:hint="eastAsia"/>
        </w:rPr>
        <w:t>條改辦其他教育文化或社會福利事業者，若涉及土地變更者，都市土地可得認定為重大設施，以符合「都市計畫法」第</w:t>
      </w:r>
      <w:r w:rsidRPr="005B464B">
        <w:t>27</w:t>
      </w:r>
      <w:r w:rsidRPr="005B464B">
        <w:rPr>
          <w:rFonts w:hint="eastAsia"/>
        </w:rPr>
        <w:t>條</w:t>
      </w:r>
      <w:proofErr w:type="gramStart"/>
      <w:r w:rsidRPr="005B464B">
        <w:rPr>
          <w:rFonts w:hint="eastAsia"/>
        </w:rPr>
        <w:t>辦理迅行變更</w:t>
      </w:r>
      <w:proofErr w:type="gramEnd"/>
      <w:r w:rsidRPr="005B464B">
        <w:rPr>
          <w:rFonts w:hint="eastAsia"/>
        </w:rPr>
        <w:t>。非都市土地則依相關規定，並會同相關單位協助儘快變更編定或變更計畫用途，必要時，並由行政院進行協調。</w:t>
      </w:r>
    </w:p>
    <w:p w:rsidR="00D974E1" w:rsidRPr="005B464B" w:rsidRDefault="00D974E1" w:rsidP="00D974E1">
      <w:pPr>
        <w:pStyle w:val="3"/>
        <w:numPr>
          <w:ilvl w:val="2"/>
          <w:numId w:val="1"/>
        </w:numPr>
        <w:rPr>
          <w:rFonts w:hAnsi="標楷體"/>
          <w:kern w:val="0"/>
          <w:szCs w:val="32"/>
        </w:rPr>
      </w:pPr>
      <w:bookmarkStart w:id="143" w:name="_Toc481599717"/>
      <w:bookmarkStart w:id="144" w:name="_Toc482030667"/>
      <w:bookmarkStart w:id="145" w:name="_Toc482031290"/>
      <w:bookmarkStart w:id="146" w:name="_Toc482109494"/>
      <w:proofErr w:type="gramStart"/>
      <w:r w:rsidRPr="005B464B">
        <w:rPr>
          <w:rFonts w:hint="eastAsia"/>
        </w:rPr>
        <w:t>惟查</w:t>
      </w:r>
      <w:proofErr w:type="gramEnd"/>
      <w:r w:rsidRPr="005B464B">
        <w:rPr>
          <w:rFonts w:hint="eastAsia"/>
        </w:rPr>
        <w:t>，現行於維持公共性之原則下，尚無</w:t>
      </w:r>
      <w:r w:rsidRPr="005B464B">
        <w:rPr>
          <w:rFonts w:hAnsi="標楷體"/>
          <w:kern w:val="0"/>
          <w:szCs w:val="32"/>
        </w:rPr>
        <w:t>學校</w:t>
      </w:r>
      <w:r w:rsidRPr="005B464B">
        <w:t>法人改辦</w:t>
      </w:r>
      <w:r w:rsidRPr="005B464B">
        <w:rPr>
          <w:rFonts w:hint="eastAsia"/>
        </w:rPr>
        <w:t>其他目的事業(如</w:t>
      </w:r>
      <w:r w:rsidRPr="005B464B">
        <w:t>文化或社會福利事業</w:t>
      </w:r>
      <w:r w:rsidRPr="005B464B">
        <w:rPr>
          <w:rFonts w:hint="eastAsia"/>
        </w:rPr>
        <w:t>等)之案例，</w:t>
      </w:r>
      <w:r w:rsidRPr="005B464B">
        <w:t>探究其原因</w:t>
      </w:r>
      <w:r w:rsidRPr="005B464B">
        <w:rPr>
          <w:rFonts w:hint="eastAsia"/>
        </w:rPr>
        <w:t>，首先，依照行政院研究發展考核委員會(現已整</w:t>
      </w:r>
      <w:proofErr w:type="gramStart"/>
      <w:r w:rsidRPr="005B464B">
        <w:rPr>
          <w:rFonts w:hint="eastAsia"/>
        </w:rPr>
        <w:t>併</w:t>
      </w:r>
      <w:proofErr w:type="gramEnd"/>
      <w:r w:rsidRPr="005B464B">
        <w:rPr>
          <w:rFonts w:hint="eastAsia"/>
        </w:rPr>
        <w:t>為國家發展委員會)101年4月「因應少子女化我國大專校院整</w:t>
      </w:r>
      <w:proofErr w:type="gramStart"/>
      <w:r w:rsidRPr="005B464B">
        <w:rPr>
          <w:rFonts w:hint="eastAsia"/>
        </w:rPr>
        <w:t>併</w:t>
      </w:r>
      <w:proofErr w:type="gramEnd"/>
      <w:r w:rsidRPr="005B464B">
        <w:rPr>
          <w:rFonts w:hint="eastAsia"/>
        </w:rPr>
        <w:t>、轉型與退場機</w:t>
      </w:r>
      <w:r w:rsidRPr="005B464B">
        <w:rPr>
          <w:rFonts w:hint="eastAsia"/>
        </w:rPr>
        <w:lastRenderedPageBreak/>
        <w:t>制之研究」委託研究報告指出，以學校轉型為老人福利機構為例，學校土地原屬教育事業用地，要透過地方政府的監管單位進行認定，才能變更為社會福利用地；學校建物要通過消防與建物的檢查，必須符合老人與身心障礙各種法律規定。如此</w:t>
      </w:r>
      <w:proofErr w:type="gramStart"/>
      <w:r w:rsidRPr="005B464B">
        <w:rPr>
          <w:rFonts w:hint="eastAsia"/>
        </w:rPr>
        <w:t>一來，</w:t>
      </w:r>
      <w:proofErr w:type="gramEnd"/>
      <w:r w:rsidRPr="005B464B">
        <w:rPr>
          <w:rFonts w:hint="eastAsia"/>
        </w:rPr>
        <w:t>學校欲轉型為老人福利機構，必須透過多個部會的審核，其行政程序</w:t>
      </w:r>
      <w:proofErr w:type="gramStart"/>
      <w:r w:rsidRPr="005B464B">
        <w:rPr>
          <w:rFonts w:hint="eastAsia"/>
        </w:rPr>
        <w:t>曠</w:t>
      </w:r>
      <w:proofErr w:type="gramEnd"/>
      <w:r w:rsidRPr="005B464B">
        <w:rPr>
          <w:rFonts w:hint="eastAsia"/>
        </w:rPr>
        <w:t>日費時，難以解決學校轉型的燃眉之急。政府要推動私立學校轉型</w:t>
      </w:r>
      <w:r w:rsidR="000B71D7" w:rsidRPr="005B464B">
        <w:rPr>
          <w:rFonts w:hint="eastAsia"/>
        </w:rPr>
        <w:t>為</w:t>
      </w:r>
      <w:r w:rsidRPr="005B464B">
        <w:rPr>
          <w:rFonts w:hint="eastAsia"/>
        </w:rPr>
        <w:t>非營利模式，或社會福利機構等方式繼續經營，若能夠協助跨部會間協調，並徵得地方政府以及在地團體的同意之下推動，各方面的阻力會小得多。</w:t>
      </w:r>
      <w:proofErr w:type="gramStart"/>
      <w:r w:rsidRPr="005B464B">
        <w:rPr>
          <w:rFonts w:hint="eastAsia"/>
        </w:rPr>
        <w:t>再者，</w:t>
      </w:r>
      <w:proofErr w:type="gramEnd"/>
      <w:r w:rsidRPr="005B464B">
        <w:rPr>
          <w:rFonts w:hint="eastAsia"/>
        </w:rPr>
        <w:t>本案106年3月13日</w:t>
      </w:r>
      <w:r w:rsidRPr="005B464B">
        <w:rPr>
          <w:rFonts w:hAnsi="標楷體" w:hint="eastAsia"/>
        </w:rPr>
        <w:t>諮詢前</w:t>
      </w:r>
      <w:r w:rsidRPr="005B464B">
        <w:rPr>
          <w:rFonts w:hint="eastAsia"/>
        </w:rPr>
        <w:t>教育部部長吳教授思華指稱，</w:t>
      </w:r>
      <w:r w:rsidRPr="005B464B">
        <w:rPr>
          <w:rFonts w:hAnsi="標楷體" w:hint="eastAsia"/>
          <w:szCs w:val="32"/>
        </w:rPr>
        <w:t>其任內</w:t>
      </w:r>
      <w:r w:rsidRPr="005B464B">
        <w:rPr>
          <w:rFonts w:hAnsi="標楷體"/>
          <w:szCs w:val="32"/>
        </w:rPr>
        <w:t>擬訂「高等教育創新轉型條例」</w:t>
      </w:r>
      <w:r w:rsidRPr="005B464B">
        <w:rPr>
          <w:rFonts w:hAnsi="標楷體" w:hint="eastAsia"/>
          <w:szCs w:val="32"/>
        </w:rPr>
        <w:t>(草案)第15條規定：「</w:t>
      </w:r>
      <w:r w:rsidRPr="005B464B">
        <w:rPr>
          <w:rFonts w:hAnsi="標楷體"/>
          <w:szCs w:val="32"/>
        </w:rPr>
        <w:t>私立大專校院停辦後，其學校法人改辦其他教育、文化或社會福利事業，其所需用地屬於都市計畫土地者，各目的事業主管機關應優先協調都市計畫主管機關，依</w:t>
      </w:r>
      <w:r w:rsidRPr="005B464B">
        <w:rPr>
          <w:rFonts w:hAnsi="標楷體" w:hint="eastAsia"/>
          <w:szCs w:val="32"/>
        </w:rPr>
        <w:t>『都市計畫法』</w:t>
      </w:r>
      <w:r w:rsidRPr="005B464B">
        <w:rPr>
          <w:rFonts w:hAnsi="標楷體"/>
          <w:szCs w:val="32"/>
        </w:rPr>
        <w:t>第</w:t>
      </w:r>
      <w:r w:rsidRPr="005B464B">
        <w:rPr>
          <w:rFonts w:hAnsi="標楷體" w:hint="eastAsia"/>
          <w:szCs w:val="32"/>
        </w:rPr>
        <w:t>30</w:t>
      </w:r>
      <w:r w:rsidRPr="005B464B">
        <w:rPr>
          <w:rFonts w:hAnsi="標楷體"/>
          <w:szCs w:val="32"/>
        </w:rPr>
        <w:t>條規定辦理公共設施用地多目標使用，若未符適用情形者，再依同法第</w:t>
      </w:r>
      <w:r w:rsidRPr="005B464B">
        <w:rPr>
          <w:rFonts w:hAnsi="標楷體" w:hint="eastAsia"/>
          <w:szCs w:val="32"/>
        </w:rPr>
        <w:t>27</w:t>
      </w:r>
      <w:r w:rsidRPr="005B464B">
        <w:rPr>
          <w:rFonts w:hAnsi="標楷體"/>
          <w:szCs w:val="32"/>
        </w:rPr>
        <w:t>條規定</w:t>
      </w:r>
      <w:proofErr w:type="gramStart"/>
      <w:r w:rsidRPr="005B464B">
        <w:rPr>
          <w:rFonts w:hAnsi="標楷體"/>
          <w:szCs w:val="32"/>
        </w:rPr>
        <w:t>辦理迅行變更</w:t>
      </w:r>
      <w:proofErr w:type="gramEnd"/>
      <w:r w:rsidRPr="005B464B">
        <w:rPr>
          <w:rFonts w:hAnsi="標楷體" w:hint="eastAsia"/>
          <w:szCs w:val="32"/>
        </w:rPr>
        <w:t>」</w:t>
      </w:r>
      <w:r w:rsidRPr="005B464B">
        <w:rPr>
          <w:rFonts w:hAnsi="標楷體"/>
          <w:szCs w:val="32"/>
        </w:rPr>
        <w:t>。</w:t>
      </w:r>
      <w:r w:rsidRPr="005B464B">
        <w:rPr>
          <w:rFonts w:hAnsi="標楷體" w:hint="eastAsia"/>
          <w:szCs w:val="32"/>
        </w:rPr>
        <w:t>不過，坦白講，這一條在行政院協調的時候很困難，校地變更成其他目的使用，主管機關也換成別的目的事業主管機關，如學校法人能不能轉型成社福法人，同意權在衛生福利部(下稱</w:t>
      </w:r>
      <w:proofErr w:type="gramStart"/>
      <w:r w:rsidRPr="005B464B">
        <w:rPr>
          <w:rFonts w:hAnsi="標楷體" w:hint="eastAsia"/>
          <w:szCs w:val="32"/>
        </w:rPr>
        <w:t>衛福部</w:t>
      </w:r>
      <w:proofErr w:type="gramEnd"/>
      <w:r w:rsidRPr="005B464B">
        <w:rPr>
          <w:rFonts w:hAnsi="標楷體" w:hint="eastAsia"/>
          <w:szCs w:val="32"/>
        </w:rPr>
        <w:t>)，一旦</w:t>
      </w:r>
      <w:proofErr w:type="gramStart"/>
      <w:r w:rsidRPr="005B464B">
        <w:rPr>
          <w:rFonts w:hAnsi="標楷體" w:hint="eastAsia"/>
          <w:szCs w:val="32"/>
        </w:rPr>
        <w:t>衛福部</w:t>
      </w:r>
      <w:proofErr w:type="gramEnd"/>
      <w:r w:rsidRPr="005B464B">
        <w:rPr>
          <w:rFonts w:hAnsi="標楷體" w:hint="eastAsia"/>
          <w:szCs w:val="32"/>
        </w:rPr>
        <w:t>同意就要協助這個社福法人</w:t>
      </w:r>
      <w:proofErr w:type="gramStart"/>
      <w:r w:rsidRPr="005B464B">
        <w:rPr>
          <w:rFonts w:hAnsi="標楷體" w:hint="eastAsia"/>
          <w:szCs w:val="32"/>
        </w:rPr>
        <w:t>辦好社福</w:t>
      </w:r>
      <w:proofErr w:type="gramEnd"/>
      <w:r w:rsidRPr="005B464B">
        <w:rPr>
          <w:rFonts w:hAnsi="標楷體" w:hint="eastAsia"/>
          <w:szCs w:val="32"/>
        </w:rPr>
        <w:t>事業，但是，當時</w:t>
      </w:r>
      <w:proofErr w:type="gramStart"/>
      <w:r w:rsidRPr="005B464B">
        <w:rPr>
          <w:rFonts w:hAnsi="標楷體" w:hint="eastAsia"/>
          <w:szCs w:val="32"/>
        </w:rPr>
        <w:t>衛福部最</w:t>
      </w:r>
      <w:proofErr w:type="gramEnd"/>
      <w:r w:rsidRPr="005B464B">
        <w:rPr>
          <w:rFonts w:hAnsi="標楷體" w:hint="eastAsia"/>
          <w:szCs w:val="32"/>
        </w:rPr>
        <w:t>不贊成，</w:t>
      </w:r>
      <w:proofErr w:type="gramStart"/>
      <w:r w:rsidRPr="005B464B">
        <w:rPr>
          <w:rFonts w:hAnsi="標楷體" w:hint="eastAsia"/>
          <w:szCs w:val="32"/>
        </w:rPr>
        <w:t>衛福部</w:t>
      </w:r>
      <w:proofErr w:type="gramEnd"/>
      <w:r w:rsidRPr="005B464B">
        <w:rPr>
          <w:rFonts w:hAnsi="標楷體" w:hint="eastAsia"/>
          <w:szCs w:val="32"/>
        </w:rPr>
        <w:t>覺得為什麼教育部要把責任推</w:t>
      </w:r>
      <w:proofErr w:type="gramStart"/>
      <w:r w:rsidRPr="005B464B">
        <w:rPr>
          <w:rFonts w:hAnsi="標楷體" w:hint="eastAsia"/>
          <w:szCs w:val="32"/>
        </w:rPr>
        <w:t>給衛福部，由衛福部</w:t>
      </w:r>
      <w:proofErr w:type="gramEnd"/>
      <w:r w:rsidRPr="005B464B">
        <w:rPr>
          <w:rFonts w:hAnsi="標楷體" w:hint="eastAsia"/>
          <w:szCs w:val="32"/>
        </w:rPr>
        <w:t>輔導學校做後段轉型事宜，</w:t>
      </w:r>
      <w:proofErr w:type="gramStart"/>
      <w:r w:rsidRPr="005B464B">
        <w:rPr>
          <w:rFonts w:hAnsi="標楷體" w:hint="eastAsia"/>
          <w:szCs w:val="32"/>
        </w:rPr>
        <w:t>衛福部不</w:t>
      </w:r>
      <w:proofErr w:type="gramEnd"/>
      <w:r w:rsidRPr="005B464B">
        <w:rPr>
          <w:rFonts w:hAnsi="標楷體" w:hint="eastAsia"/>
          <w:szCs w:val="32"/>
        </w:rPr>
        <w:t>支持，</w:t>
      </w:r>
      <w:r w:rsidRPr="005B464B">
        <w:rPr>
          <w:rFonts w:hAnsi="標楷體"/>
          <w:szCs w:val="32"/>
        </w:rPr>
        <w:t>「高等教育創新轉型條例」</w:t>
      </w:r>
      <w:r w:rsidRPr="005B464B">
        <w:rPr>
          <w:rFonts w:hAnsi="標楷體" w:hint="eastAsia"/>
          <w:szCs w:val="32"/>
        </w:rPr>
        <w:t>(草案)在行政院卡很久，主要就是因為這一條規定。而且，</w:t>
      </w:r>
      <w:r w:rsidRPr="005B464B">
        <w:rPr>
          <w:rFonts w:hint="eastAsia"/>
        </w:rPr>
        <w:t>本院諮詢其他專家學者意見亦指出，</w:t>
      </w:r>
      <w:r w:rsidRPr="005B464B">
        <w:rPr>
          <w:rFonts w:hAnsi="標楷體"/>
          <w:szCs w:val="32"/>
        </w:rPr>
        <w:t>「</w:t>
      </w:r>
      <w:r w:rsidRPr="005B464B">
        <w:rPr>
          <w:rFonts w:hint="eastAsia"/>
        </w:rPr>
        <w:t>學校法人對於辦學以外之事業非屬本身擅長事項，且改</w:t>
      </w:r>
      <w:r w:rsidRPr="005B464B">
        <w:rPr>
          <w:rFonts w:hint="eastAsia"/>
        </w:rPr>
        <w:lastRenderedPageBreak/>
        <w:t>辦</w:t>
      </w:r>
      <w:r w:rsidRPr="005B464B">
        <w:rPr>
          <w:rFonts w:hAnsi="標楷體" w:hint="eastAsia"/>
          <w:szCs w:val="32"/>
        </w:rPr>
        <w:t>過程</w:t>
      </w:r>
      <w:r w:rsidRPr="005B464B">
        <w:rPr>
          <w:rFonts w:hint="eastAsia"/>
        </w:rPr>
        <w:t>中恐又涉及土地</w:t>
      </w:r>
      <w:proofErr w:type="gramStart"/>
      <w:r w:rsidRPr="005B464B">
        <w:rPr>
          <w:rFonts w:hint="eastAsia"/>
        </w:rPr>
        <w:t>地</w:t>
      </w:r>
      <w:proofErr w:type="gramEnd"/>
      <w:r w:rsidRPr="005B464B">
        <w:rPr>
          <w:rFonts w:hint="eastAsia"/>
        </w:rPr>
        <w:t>目變更之冗長程序。大學能否順利轉型，也與學校本身的</w:t>
      </w:r>
      <w:proofErr w:type="gramStart"/>
      <w:r w:rsidRPr="005B464B">
        <w:rPr>
          <w:rFonts w:hint="eastAsia"/>
        </w:rPr>
        <w:t>屬性及類科</w:t>
      </w:r>
      <w:proofErr w:type="gramEnd"/>
      <w:r w:rsidRPr="005B464B">
        <w:rPr>
          <w:rFonts w:hint="eastAsia"/>
        </w:rPr>
        <w:t>有關。例如工科</w:t>
      </w:r>
      <w:r w:rsidRPr="005B464B">
        <w:rPr>
          <w:rFonts w:hAnsi="標楷體" w:hint="eastAsia"/>
          <w:szCs w:val="32"/>
        </w:rPr>
        <w:t>為主</w:t>
      </w:r>
      <w:r w:rsidRPr="005B464B">
        <w:rPr>
          <w:rFonts w:hint="eastAsia"/>
        </w:rPr>
        <w:t>的大學有許多重型機器設備，為了逐漸轉型成老人院，必須再投入新的花費，但為了兼顧招生又不能賣掉原先的設備，這樣轉型能成功嗎？董事會</w:t>
      </w:r>
      <w:proofErr w:type="gramStart"/>
      <w:r w:rsidRPr="005B464B">
        <w:rPr>
          <w:rFonts w:hint="eastAsia"/>
        </w:rPr>
        <w:t>願意轉嗎</w:t>
      </w:r>
      <w:proofErr w:type="gramEnd"/>
      <w:r w:rsidRPr="005B464B">
        <w:rPr>
          <w:rFonts w:hint="eastAsia"/>
        </w:rPr>
        <w:t>？</w:t>
      </w:r>
      <w:bookmarkEnd w:id="143"/>
      <w:r w:rsidRPr="005B464B">
        <w:rPr>
          <w:rFonts w:hAnsi="標楷體" w:hint="eastAsia"/>
          <w:szCs w:val="32"/>
        </w:rPr>
        <w:t>」</w:t>
      </w:r>
      <w:bookmarkEnd w:id="144"/>
      <w:bookmarkEnd w:id="145"/>
      <w:bookmarkEnd w:id="146"/>
    </w:p>
    <w:p w:rsidR="00D974E1" w:rsidRPr="005B464B" w:rsidRDefault="00D974E1" w:rsidP="00D974E1">
      <w:pPr>
        <w:pStyle w:val="3"/>
        <w:numPr>
          <w:ilvl w:val="2"/>
          <w:numId w:val="1"/>
        </w:numPr>
        <w:rPr>
          <w:rFonts w:hAnsi="標楷體"/>
          <w:kern w:val="0"/>
          <w:szCs w:val="32"/>
        </w:rPr>
      </w:pPr>
      <w:bookmarkStart w:id="147" w:name="_Toc481599718"/>
      <w:bookmarkStart w:id="148" w:name="_Toc482030668"/>
      <w:bookmarkStart w:id="149" w:name="_Toc482031291"/>
      <w:bookmarkStart w:id="150" w:name="_Toc482109495"/>
      <w:proofErr w:type="gramStart"/>
      <w:r w:rsidRPr="005B464B">
        <w:rPr>
          <w:rFonts w:hint="eastAsia"/>
        </w:rPr>
        <w:t>此外</w:t>
      </w:r>
      <w:r w:rsidRPr="005B464B">
        <w:rPr>
          <w:rFonts w:hAnsi="標楷體" w:hint="eastAsia"/>
          <w:szCs w:val="32"/>
        </w:rPr>
        <w:t>，</w:t>
      </w:r>
      <w:proofErr w:type="gramEnd"/>
      <w:r w:rsidRPr="005B464B">
        <w:rPr>
          <w:rFonts w:hAnsi="標楷體" w:hint="eastAsia"/>
          <w:szCs w:val="32"/>
        </w:rPr>
        <w:t>部分學校於本院履</w:t>
      </w:r>
      <w:proofErr w:type="gramStart"/>
      <w:r w:rsidRPr="005B464B">
        <w:rPr>
          <w:rFonts w:hAnsi="標楷體" w:hint="eastAsia"/>
          <w:szCs w:val="32"/>
        </w:rPr>
        <w:t>勘</w:t>
      </w:r>
      <w:proofErr w:type="gramEnd"/>
      <w:r w:rsidRPr="005B464B">
        <w:rPr>
          <w:rFonts w:hAnsi="標楷體" w:hint="eastAsia"/>
          <w:szCs w:val="32"/>
        </w:rPr>
        <w:t>時表示，不論是退場</w:t>
      </w:r>
      <w:proofErr w:type="gramStart"/>
      <w:r w:rsidRPr="005B464B">
        <w:rPr>
          <w:rFonts w:hAnsi="標楷體" w:hint="eastAsia"/>
          <w:kern w:val="0"/>
          <w:szCs w:val="32"/>
        </w:rPr>
        <w:t>後校地校</w:t>
      </w:r>
      <w:proofErr w:type="gramEnd"/>
      <w:r w:rsidRPr="005B464B">
        <w:rPr>
          <w:rFonts w:hAnsi="標楷體" w:hint="eastAsia"/>
          <w:kern w:val="0"/>
          <w:szCs w:val="32"/>
        </w:rPr>
        <w:t>產的歸屬、轉型為其他福利機構或改辦其他慈善事業，目前在法律層級的規範仍</w:t>
      </w:r>
      <w:r w:rsidR="00075373" w:rsidRPr="005B464B">
        <w:rPr>
          <w:rFonts w:hAnsi="標楷體" w:hint="eastAsia"/>
          <w:kern w:val="0"/>
          <w:szCs w:val="32"/>
        </w:rPr>
        <w:t>有</w:t>
      </w:r>
      <w:r w:rsidRPr="005B464B">
        <w:rPr>
          <w:rFonts w:hAnsi="標楷體" w:hint="eastAsia"/>
          <w:kern w:val="0"/>
          <w:szCs w:val="32"/>
        </w:rPr>
        <w:t>不足或不適用，應儘速完備相關法規，</w:t>
      </w:r>
      <w:proofErr w:type="gramStart"/>
      <w:r w:rsidRPr="005B464B">
        <w:rPr>
          <w:rFonts w:hAnsi="標楷體" w:hint="eastAsia"/>
          <w:kern w:val="0"/>
          <w:szCs w:val="32"/>
        </w:rPr>
        <w:t>以利私校</w:t>
      </w:r>
      <w:proofErr w:type="gramEnd"/>
      <w:r w:rsidRPr="005B464B">
        <w:rPr>
          <w:rFonts w:hAnsi="標楷體" w:hint="eastAsia"/>
          <w:kern w:val="0"/>
          <w:szCs w:val="32"/>
        </w:rPr>
        <w:t>董事會遵行。現階段教育當局不樂見大學退場後繼續</w:t>
      </w:r>
      <w:r w:rsidR="000B71D7" w:rsidRPr="005B464B">
        <w:rPr>
          <w:rFonts w:hAnsi="標楷體" w:hint="eastAsia"/>
          <w:kern w:val="0"/>
          <w:szCs w:val="32"/>
        </w:rPr>
        <w:t>做</w:t>
      </w:r>
      <w:r w:rsidRPr="005B464B">
        <w:rPr>
          <w:rFonts w:hAnsi="標楷體" w:hint="eastAsia"/>
          <w:kern w:val="0"/>
          <w:szCs w:val="32"/>
        </w:rPr>
        <w:t>大學使用，而大學規模龐大欲轉型處理不易，建議可分割或分區處理，其所涉及的土地開發計畫、環評、建物使用執照問題，能未雨綢繆，設法解決。學校轉型除非繼續當學校使用，否則將面臨土地開發計畫、環境影響評估、使用執照變更等眾多棘手問題，</w:t>
      </w:r>
      <w:proofErr w:type="gramStart"/>
      <w:r w:rsidRPr="005B464B">
        <w:rPr>
          <w:rFonts w:hAnsi="標楷體" w:hint="eastAsia"/>
          <w:kern w:val="0"/>
          <w:szCs w:val="32"/>
        </w:rPr>
        <w:t>曠</w:t>
      </w:r>
      <w:proofErr w:type="gramEnd"/>
      <w:r w:rsidRPr="005B464B">
        <w:rPr>
          <w:rFonts w:hAnsi="標楷體" w:hint="eastAsia"/>
          <w:kern w:val="0"/>
          <w:szCs w:val="32"/>
        </w:rPr>
        <w:t>日廢時，讓有意</w:t>
      </w:r>
      <w:proofErr w:type="gramStart"/>
      <w:r w:rsidRPr="005B464B">
        <w:rPr>
          <w:rFonts w:hAnsi="標楷體" w:hint="eastAsia"/>
          <w:kern w:val="0"/>
          <w:szCs w:val="32"/>
        </w:rPr>
        <w:t>承接者退怯</w:t>
      </w:r>
      <w:proofErr w:type="gramEnd"/>
      <w:r w:rsidRPr="005B464B">
        <w:rPr>
          <w:rFonts w:hAnsi="標楷體" w:hint="eastAsia"/>
          <w:kern w:val="0"/>
          <w:szCs w:val="32"/>
        </w:rPr>
        <w:t>，建議中央進行跨部會協調，修改相關法令規定或另立</w:t>
      </w:r>
      <w:proofErr w:type="gramStart"/>
      <w:r w:rsidRPr="005B464B">
        <w:rPr>
          <w:rFonts w:hAnsi="標楷體" w:hint="eastAsia"/>
          <w:kern w:val="0"/>
          <w:szCs w:val="32"/>
        </w:rPr>
        <w:t>專法專章</w:t>
      </w:r>
      <w:proofErr w:type="gramEnd"/>
      <w:r w:rsidRPr="005B464B">
        <w:rPr>
          <w:rFonts w:hAnsi="標楷體" w:hint="eastAsia"/>
          <w:kern w:val="0"/>
          <w:szCs w:val="32"/>
        </w:rPr>
        <w:t>，以處理大學轉型改辦問題。校舍空間之處理常常涉及原有校舍是否符合擬興辦事業主管機關之需求規範，更有甚者為須就原有校舍重新規劃、設計及修繕，始能符合變更後目的事業主管機關之規定。是</w:t>
      </w:r>
      <w:proofErr w:type="gramStart"/>
      <w:r w:rsidRPr="005B464B">
        <w:rPr>
          <w:rFonts w:hAnsi="標楷體" w:hint="eastAsia"/>
          <w:kern w:val="0"/>
          <w:szCs w:val="32"/>
        </w:rPr>
        <w:t>以</w:t>
      </w:r>
      <w:proofErr w:type="gramEnd"/>
      <w:r w:rsidRPr="005B464B">
        <w:rPr>
          <w:rFonts w:hAnsi="標楷體" w:hint="eastAsia"/>
          <w:kern w:val="0"/>
          <w:szCs w:val="32"/>
        </w:rPr>
        <w:t>，學校法人之財務能力即成為能否改辦其他教育文化或社會福利事業之關鍵。事實上，學校於運作階段亦面臨校園空間活化之問題，受到很多政府部門的阻礙，速度不夠快，如出租創業基地等問題。</w:t>
      </w:r>
      <w:r w:rsidRPr="005B464B">
        <w:rPr>
          <w:rFonts w:hint="eastAsia"/>
        </w:rPr>
        <w:t>聖約翰科技大學</w:t>
      </w:r>
      <w:r w:rsidRPr="005B464B">
        <w:rPr>
          <w:rFonts w:hAnsi="標楷體" w:hint="eastAsia"/>
          <w:kern w:val="0"/>
          <w:szCs w:val="32"/>
        </w:rPr>
        <w:t>即指出，該校目前有11公頃多土地，有三分之一可以應用，包括鼓勵創業、技職再造資源可以從事生產等，希望經濟部也能儘快開放。</w:t>
      </w:r>
      <w:bookmarkEnd w:id="147"/>
      <w:bookmarkEnd w:id="148"/>
      <w:bookmarkEnd w:id="149"/>
      <w:bookmarkEnd w:id="150"/>
    </w:p>
    <w:p w:rsidR="00D974E1" w:rsidRPr="005B464B" w:rsidRDefault="00D974E1" w:rsidP="00D974E1">
      <w:pPr>
        <w:pStyle w:val="3"/>
        <w:numPr>
          <w:ilvl w:val="2"/>
          <w:numId w:val="1"/>
        </w:numPr>
        <w:rPr>
          <w:rFonts w:hAnsi="標楷體"/>
          <w:kern w:val="0"/>
          <w:szCs w:val="32"/>
        </w:rPr>
      </w:pPr>
      <w:bookmarkStart w:id="151" w:name="_Toc481599719"/>
      <w:bookmarkStart w:id="152" w:name="_Toc482030669"/>
      <w:bookmarkStart w:id="153" w:name="_Toc482031292"/>
      <w:bookmarkStart w:id="154" w:name="_Toc482109496"/>
      <w:r w:rsidRPr="005B464B">
        <w:rPr>
          <w:rFonts w:hAnsi="標楷體" w:hint="eastAsia"/>
          <w:kern w:val="0"/>
          <w:szCs w:val="32"/>
        </w:rPr>
        <w:lastRenderedPageBreak/>
        <w:t>另查，教育部103年8月6日核可永達技術學院停辦，依照教育部當時</w:t>
      </w:r>
      <w:r w:rsidRPr="005B464B">
        <w:rPr>
          <w:rFonts w:hint="eastAsia"/>
        </w:rPr>
        <w:t>103年3月3日「教育部輔導私立大專校院改善及停辦實施原則」第11條規定，學校停辦後，學校法人後續</w:t>
      </w:r>
      <w:r w:rsidRPr="005B464B">
        <w:rPr>
          <w:rFonts w:hAnsi="標楷體" w:hint="eastAsia"/>
          <w:kern w:val="0"/>
          <w:szCs w:val="32"/>
        </w:rPr>
        <w:t>處理</w:t>
      </w:r>
      <w:r w:rsidRPr="005B464B">
        <w:rPr>
          <w:rFonts w:hint="eastAsia"/>
        </w:rPr>
        <w:t>之規劃除得整頓改善後恢復辦理之情形外，應與其他學校法人合併，或變更法人目的，改辦其他教育、文化與社會福利事業，或報請解散。該原則第12條亦規定，學校經停辦3年內仍未能恢復辦理，學校</w:t>
      </w:r>
      <w:proofErr w:type="gramStart"/>
      <w:r w:rsidRPr="005B464B">
        <w:rPr>
          <w:rFonts w:hint="eastAsia"/>
        </w:rPr>
        <w:t>法人復無其他</w:t>
      </w:r>
      <w:proofErr w:type="gramEnd"/>
      <w:r w:rsidRPr="005B464B">
        <w:rPr>
          <w:rFonts w:hint="eastAsia"/>
        </w:rPr>
        <w:t>學校續行經營者，且未報請教育部同意解散者，</w:t>
      </w:r>
      <w:proofErr w:type="gramStart"/>
      <w:r w:rsidRPr="005B464B">
        <w:rPr>
          <w:rFonts w:hint="eastAsia"/>
        </w:rPr>
        <w:t>該部依</w:t>
      </w:r>
      <w:proofErr w:type="gramEnd"/>
      <w:r w:rsidRPr="005B464B">
        <w:rPr>
          <w:rFonts w:hAnsi="標楷體" w:hint="eastAsia"/>
          <w:kern w:val="0"/>
          <w:szCs w:val="32"/>
        </w:rPr>
        <w:t>「私立學校法」</w:t>
      </w:r>
      <w:r w:rsidRPr="005B464B">
        <w:rPr>
          <w:rFonts w:hint="eastAsia"/>
        </w:rPr>
        <w:t>規定經徵詢</w:t>
      </w:r>
      <w:r w:rsidRPr="005B464B">
        <w:rPr>
          <w:rFonts w:hAnsi="標楷體" w:hint="eastAsia"/>
        </w:rPr>
        <w:t>「</w:t>
      </w:r>
      <w:r w:rsidRPr="005B464B">
        <w:rPr>
          <w:rFonts w:hint="eastAsia"/>
        </w:rPr>
        <w:t>私立學校諮詢會</w:t>
      </w:r>
      <w:r w:rsidRPr="005B464B">
        <w:rPr>
          <w:rFonts w:hAnsi="標楷體" w:hint="eastAsia"/>
        </w:rPr>
        <w:t>」</w:t>
      </w:r>
      <w:r w:rsidRPr="005B464B">
        <w:rPr>
          <w:rFonts w:hint="eastAsia"/>
        </w:rPr>
        <w:t>意見後，得命其解散</w:t>
      </w:r>
      <w:r w:rsidRPr="005B464B">
        <w:rPr>
          <w:rStyle w:val="aff2"/>
        </w:rPr>
        <w:footnoteReference w:id="47"/>
      </w:r>
      <w:r w:rsidRPr="005B464B">
        <w:rPr>
          <w:rFonts w:hint="eastAsia"/>
        </w:rPr>
        <w:t>。然而</w:t>
      </w:r>
      <w:r w:rsidRPr="005B464B">
        <w:rPr>
          <w:rFonts w:hAnsi="標楷體" w:hint="eastAsia"/>
          <w:kern w:val="0"/>
          <w:szCs w:val="32"/>
        </w:rPr>
        <w:t>，永達技術學院停辦後104年6月15日</w:t>
      </w:r>
      <w:proofErr w:type="gramStart"/>
      <w:r w:rsidRPr="005B464B">
        <w:rPr>
          <w:rFonts w:hAnsi="標楷體" w:hint="eastAsia"/>
          <w:kern w:val="0"/>
          <w:szCs w:val="32"/>
        </w:rPr>
        <w:t>函送擬轉型</w:t>
      </w:r>
      <w:proofErr w:type="gramEnd"/>
      <w:r w:rsidRPr="005B464B">
        <w:rPr>
          <w:rFonts w:hAnsi="標楷體" w:hint="eastAsia"/>
          <w:kern w:val="0"/>
          <w:szCs w:val="32"/>
        </w:rPr>
        <w:t>為社會福利基金會之改辦計畫書，因送交改辦計畫等資料未包含最新1期會計師查核報告、財務報表及財產清冊，加上部分董事對改辦仍有疑義，遭教育部退回請</w:t>
      </w:r>
      <w:r w:rsidRPr="005B464B">
        <w:rPr>
          <w:rFonts w:hint="eastAsia"/>
        </w:rPr>
        <w:t>學校</w:t>
      </w:r>
      <w:r w:rsidRPr="005B464B">
        <w:rPr>
          <w:rFonts w:hAnsi="標楷體" w:hint="eastAsia"/>
          <w:kern w:val="0"/>
          <w:szCs w:val="32"/>
        </w:rPr>
        <w:t>法人達成共識後再報。</w:t>
      </w:r>
      <w:proofErr w:type="gramStart"/>
      <w:r w:rsidRPr="005B464B">
        <w:rPr>
          <w:rFonts w:hAnsi="標楷體" w:hint="eastAsia"/>
          <w:kern w:val="0"/>
          <w:szCs w:val="32"/>
        </w:rPr>
        <w:t>迨</w:t>
      </w:r>
      <w:proofErr w:type="gramEnd"/>
      <w:r w:rsidRPr="005B464B">
        <w:rPr>
          <w:rFonts w:hAnsi="標楷體" w:hint="eastAsia"/>
          <w:kern w:val="0"/>
          <w:szCs w:val="32"/>
        </w:rPr>
        <w:t>該法人105年4月21日函送改辦教育文化基金會計畫書給教育部，辦理終身教育為主軸之非正規教育，教育部於105年7月</w:t>
      </w:r>
      <w:proofErr w:type="gramStart"/>
      <w:r w:rsidRPr="005B464B">
        <w:rPr>
          <w:rFonts w:hAnsi="標楷體" w:hint="eastAsia"/>
          <w:kern w:val="0"/>
          <w:szCs w:val="32"/>
        </w:rPr>
        <w:t>業函復該</w:t>
      </w:r>
      <w:proofErr w:type="gramEnd"/>
      <w:r w:rsidRPr="005B464B">
        <w:rPr>
          <w:rFonts w:hAnsi="標楷體" w:hint="eastAsia"/>
          <w:kern w:val="0"/>
          <w:szCs w:val="32"/>
        </w:rPr>
        <w:t>校審查意見，並請學校修正後再報，可見教育部對於永達技術學院停辦階段之後續處置略顯消極。</w:t>
      </w:r>
      <w:bookmarkEnd w:id="151"/>
      <w:bookmarkEnd w:id="152"/>
      <w:bookmarkEnd w:id="153"/>
      <w:bookmarkEnd w:id="154"/>
    </w:p>
    <w:p w:rsidR="00D974E1" w:rsidRPr="005B464B" w:rsidRDefault="00D974E1" w:rsidP="00D974E1">
      <w:pPr>
        <w:pStyle w:val="3"/>
        <w:numPr>
          <w:ilvl w:val="2"/>
          <w:numId w:val="1"/>
        </w:numPr>
      </w:pPr>
      <w:bookmarkStart w:id="155" w:name="_Toc482030670"/>
      <w:bookmarkStart w:id="156" w:name="_Toc482031293"/>
      <w:bookmarkStart w:id="157" w:name="_Toc482109497"/>
      <w:bookmarkStart w:id="158" w:name="_Toc481599720"/>
      <w:r w:rsidRPr="005B464B">
        <w:rPr>
          <w:rFonts w:hint="eastAsia"/>
        </w:rPr>
        <w:t>另本院諮詢專家指稱，永達的校地係承租自</w:t>
      </w:r>
      <w:r w:rsidRPr="005B464B">
        <w:rPr>
          <w:rFonts w:hAnsi="標楷體" w:hint="eastAsia"/>
          <w:kern w:val="0"/>
          <w:szCs w:val="32"/>
        </w:rPr>
        <w:t>台灣糖業股份有限公司</w:t>
      </w:r>
      <w:r w:rsidRPr="005B464B">
        <w:rPr>
          <w:rFonts w:hAnsi="標楷體"/>
          <w:kern w:val="0"/>
          <w:szCs w:val="32"/>
        </w:rPr>
        <w:t>(</w:t>
      </w:r>
      <w:r w:rsidRPr="005B464B">
        <w:rPr>
          <w:rFonts w:hAnsi="標楷體" w:hint="eastAsia"/>
          <w:kern w:val="0"/>
          <w:szCs w:val="32"/>
        </w:rPr>
        <w:t>下稱台糖公司</w:t>
      </w:r>
      <w:r w:rsidRPr="005B464B">
        <w:rPr>
          <w:rFonts w:hAnsi="標楷體"/>
          <w:kern w:val="0"/>
          <w:szCs w:val="32"/>
        </w:rPr>
        <w:t>)</w:t>
      </w:r>
      <w:r w:rsidRPr="005B464B">
        <w:rPr>
          <w:rFonts w:hint="eastAsia"/>
        </w:rPr>
        <w:t>，地上建物為永達所有，</w:t>
      </w:r>
      <w:proofErr w:type="gramStart"/>
      <w:r w:rsidRPr="005B464B">
        <w:rPr>
          <w:rFonts w:hint="eastAsia"/>
        </w:rPr>
        <w:t>若校產</w:t>
      </w:r>
      <w:proofErr w:type="gramEnd"/>
      <w:r w:rsidRPr="005B464B">
        <w:rPr>
          <w:rFonts w:hint="eastAsia"/>
        </w:rPr>
        <w:t>處分清算後，銀行要求歸還土地，除非學校拆除地上建物，否則無法歸還土地，其他很多私校(大約10-20所)也是向台糖租用土地，此一問題需及早解決，最好成立小組幫忙校產處分課題等語。基此，近年許多新設私立大專校院土地亦向</w:t>
      </w:r>
      <w:r w:rsidRPr="005B464B">
        <w:rPr>
          <w:rFonts w:hAnsi="標楷體" w:hint="eastAsia"/>
          <w:kern w:val="0"/>
          <w:szCs w:val="32"/>
        </w:rPr>
        <w:t>台糖公司</w:t>
      </w:r>
      <w:r w:rsidRPr="005B464B">
        <w:rPr>
          <w:rFonts w:hint="eastAsia"/>
        </w:rPr>
        <w:t>承租，若學校停辦後遭停租，所涉地上權</w:t>
      </w:r>
      <w:r w:rsidRPr="005B464B">
        <w:rPr>
          <w:rFonts w:hint="eastAsia"/>
        </w:rPr>
        <w:lastRenderedPageBreak/>
        <w:t>設定與校地回饋等問題之屬性切割將更形複雜。</w:t>
      </w:r>
      <w:bookmarkEnd w:id="155"/>
      <w:bookmarkEnd w:id="156"/>
      <w:bookmarkEnd w:id="157"/>
    </w:p>
    <w:p w:rsidR="00D974E1" w:rsidRPr="005B464B" w:rsidRDefault="00D974E1" w:rsidP="00D974E1">
      <w:pPr>
        <w:pStyle w:val="3"/>
        <w:numPr>
          <w:ilvl w:val="2"/>
          <w:numId w:val="1"/>
        </w:numPr>
      </w:pPr>
      <w:bookmarkStart w:id="159" w:name="_Toc482030671"/>
      <w:bookmarkStart w:id="160" w:name="_Toc482031294"/>
      <w:bookmarkStart w:id="161" w:name="_Toc482109498"/>
      <w:r w:rsidRPr="005B464B">
        <w:rPr>
          <w:rFonts w:hAnsi="標楷體" w:hint="eastAsia"/>
          <w:kern w:val="0"/>
          <w:szCs w:val="32"/>
        </w:rPr>
        <w:t>綜上，</w:t>
      </w:r>
      <w:r w:rsidRPr="005B464B">
        <w:rPr>
          <w:rFonts w:hint="eastAsia"/>
        </w:rPr>
        <w:t>於「私立學校法」公共化精神下，學校法人申請改辦文化或社會福利事業，需經新目的事業主管機關同意，</w:t>
      </w:r>
      <w:proofErr w:type="gramStart"/>
      <w:r w:rsidRPr="005B464B">
        <w:rPr>
          <w:rFonts w:hint="eastAsia"/>
        </w:rPr>
        <w:t>如涉地目</w:t>
      </w:r>
      <w:proofErr w:type="gramEnd"/>
      <w:r w:rsidRPr="005B464B">
        <w:rPr>
          <w:rFonts w:hint="eastAsia"/>
        </w:rPr>
        <w:t>變更需經內政部、地方政府之協調，</w:t>
      </w:r>
      <w:proofErr w:type="gramStart"/>
      <w:r w:rsidRPr="005B464B">
        <w:rPr>
          <w:rFonts w:hint="eastAsia"/>
        </w:rPr>
        <w:t>囿</w:t>
      </w:r>
      <w:proofErr w:type="gramEnd"/>
      <w:r w:rsidRPr="005B464B">
        <w:rPr>
          <w:rFonts w:hint="eastAsia"/>
        </w:rPr>
        <w:t>於跨部會協調作業</w:t>
      </w:r>
      <w:r w:rsidRPr="005B464B">
        <w:t>複雜繁瑣</w:t>
      </w:r>
      <w:r w:rsidRPr="005B464B">
        <w:rPr>
          <w:rFonts w:hint="eastAsia"/>
        </w:rPr>
        <w:t>、程序</w:t>
      </w:r>
      <w:r w:rsidRPr="005B464B">
        <w:t>冗長</w:t>
      </w:r>
      <w:r w:rsidRPr="005B464B">
        <w:rPr>
          <w:rFonts w:hint="eastAsia"/>
        </w:rPr>
        <w:t>等阻力，迄今尚無相關改辦成功案例，</w:t>
      </w:r>
      <w:r w:rsidRPr="005B464B">
        <w:t>實已失立法</w:t>
      </w:r>
      <w:r w:rsidRPr="005B464B">
        <w:rPr>
          <w:rFonts w:hint="eastAsia"/>
        </w:rPr>
        <w:t>促進校產活化與再利用之</w:t>
      </w:r>
      <w:r w:rsidRPr="005B464B">
        <w:t>美意</w:t>
      </w:r>
      <w:r w:rsidRPr="005B464B">
        <w:rPr>
          <w:rFonts w:hint="eastAsia"/>
        </w:rPr>
        <w:t>；</w:t>
      </w:r>
      <w:proofErr w:type="gramStart"/>
      <w:r w:rsidRPr="005B464B">
        <w:rPr>
          <w:rFonts w:hint="eastAsia"/>
        </w:rPr>
        <w:t>另</w:t>
      </w:r>
      <w:proofErr w:type="gramEnd"/>
      <w:r w:rsidRPr="005B464B">
        <w:rPr>
          <w:rFonts w:hint="eastAsia"/>
        </w:rPr>
        <w:t>，教育部對於永達技術學院停辦階段之後續處置略顯消極，允應儘速檢討因應</w:t>
      </w:r>
      <w:r w:rsidRPr="005B464B">
        <w:rPr>
          <w:rFonts w:hAnsi="標楷體" w:hint="eastAsia"/>
          <w:kern w:val="0"/>
          <w:szCs w:val="32"/>
        </w:rPr>
        <w:t>。</w:t>
      </w:r>
      <w:bookmarkEnd w:id="158"/>
      <w:bookmarkEnd w:id="159"/>
      <w:bookmarkEnd w:id="160"/>
      <w:bookmarkEnd w:id="161"/>
    </w:p>
    <w:p w:rsidR="00D974E1" w:rsidRPr="005B464B" w:rsidRDefault="00D974E1" w:rsidP="00D974E1">
      <w:pPr>
        <w:pStyle w:val="3"/>
        <w:numPr>
          <w:ilvl w:val="0"/>
          <w:numId w:val="0"/>
        </w:numPr>
        <w:ind w:left="1361"/>
      </w:pPr>
    </w:p>
    <w:p w:rsidR="00D974E1" w:rsidRPr="005B464B" w:rsidRDefault="00D974E1" w:rsidP="00D974E1">
      <w:pPr>
        <w:pStyle w:val="2"/>
        <w:numPr>
          <w:ilvl w:val="1"/>
          <w:numId w:val="1"/>
        </w:numPr>
        <w:rPr>
          <w:b/>
        </w:rPr>
      </w:pPr>
      <w:bookmarkStart w:id="162" w:name="_Toc482031295"/>
      <w:bookmarkStart w:id="163" w:name="_Toc482109499"/>
      <w:bookmarkStart w:id="164" w:name="_Toc485138868"/>
      <w:r w:rsidRPr="005B464B">
        <w:rPr>
          <w:rFonts w:hint="eastAsia"/>
          <w:b/>
        </w:rPr>
        <w:t>經由</w:t>
      </w:r>
      <w:r w:rsidRPr="005B464B">
        <w:rPr>
          <w:rFonts w:hint="eastAsia"/>
          <w:b/>
          <w:lang w:eastAsia="zh-HK"/>
        </w:rPr>
        <w:t>實地履</w:t>
      </w:r>
      <w:proofErr w:type="gramStart"/>
      <w:r w:rsidRPr="005B464B">
        <w:rPr>
          <w:rFonts w:hint="eastAsia"/>
          <w:b/>
          <w:lang w:eastAsia="zh-HK"/>
        </w:rPr>
        <w:t>勘</w:t>
      </w:r>
      <w:proofErr w:type="gramEnd"/>
      <w:r w:rsidRPr="005B464B">
        <w:rPr>
          <w:rFonts w:hint="eastAsia"/>
          <w:b/>
          <w:lang w:eastAsia="zh-HK"/>
        </w:rPr>
        <w:t>及專家學者諮詢，</w:t>
      </w:r>
      <w:r w:rsidRPr="005B464B">
        <w:rPr>
          <w:rFonts w:hint="eastAsia"/>
          <w:b/>
        </w:rPr>
        <w:t>本案</w:t>
      </w:r>
      <w:r w:rsidRPr="005B464B">
        <w:rPr>
          <w:rFonts w:hint="eastAsia"/>
          <w:b/>
          <w:lang w:eastAsia="zh-HK"/>
        </w:rPr>
        <w:t>了解</w:t>
      </w:r>
      <w:r w:rsidRPr="005B464B">
        <w:rPr>
          <w:rFonts w:hint="eastAsia"/>
          <w:b/>
        </w:rPr>
        <w:t>辦學及</w:t>
      </w:r>
      <w:r w:rsidRPr="005B464B">
        <w:rPr>
          <w:rFonts w:hint="eastAsia"/>
          <w:b/>
          <w:lang w:eastAsia="zh-HK"/>
        </w:rPr>
        <w:t>轉型</w:t>
      </w:r>
      <w:r w:rsidRPr="005B464B">
        <w:rPr>
          <w:rFonts w:hint="eastAsia"/>
          <w:b/>
        </w:rPr>
        <w:t>階段之私立大專校院經</w:t>
      </w:r>
      <w:r w:rsidRPr="005B464B">
        <w:rPr>
          <w:rFonts w:hint="eastAsia"/>
          <w:b/>
          <w:lang w:eastAsia="zh-HK"/>
        </w:rPr>
        <w:t>營近況，發現</w:t>
      </w:r>
      <w:r w:rsidRPr="005B464B">
        <w:rPr>
          <w:rFonts w:hint="eastAsia"/>
          <w:b/>
        </w:rPr>
        <w:t>多所</w:t>
      </w:r>
      <w:r w:rsidRPr="005B464B">
        <w:rPr>
          <w:rFonts w:hint="eastAsia"/>
          <w:b/>
          <w:lang w:eastAsia="zh-HK"/>
        </w:rPr>
        <w:t>學校財務收支僵化，難以為繼</w:t>
      </w:r>
      <w:r w:rsidRPr="005B464B">
        <w:rPr>
          <w:rFonts w:hint="eastAsia"/>
          <w:b/>
        </w:rPr>
        <w:t>，其營運模式有待教育部協助輔導</w:t>
      </w:r>
      <w:r w:rsidRPr="005B464B">
        <w:rPr>
          <w:rFonts w:hint="eastAsia"/>
          <w:b/>
          <w:lang w:eastAsia="zh-HK"/>
        </w:rPr>
        <w:t>，</w:t>
      </w:r>
      <w:r w:rsidRPr="005B464B">
        <w:rPr>
          <w:rFonts w:hint="eastAsia"/>
          <w:b/>
        </w:rPr>
        <w:t>其</w:t>
      </w:r>
      <w:r w:rsidRPr="005B464B">
        <w:rPr>
          <w:rFonts w:hint="eastAsia"/>
          <w:b/>
          <w:lang w:eastAsia="zh-HK"/>
        </w:rPr>
        <w:t>中不乏認真辦學及轉型中之學校亦遭逢相同困境，</w:t>
      </w:r>
      <w:r w:rsidRPr="005B464B">
        <w:rPr>
          <w:rFonts w:hint="eastAsia"/>
          <w:b/>
        </w:rPr>
        <w:t>教育</w:t>
      </w:r>
      <w:r w:rsidRPr="005B464B">
        <w:rPr>
          <w:rFonts w:hint="eastAsia"/>
          <w:b/>
          <w:lang w:eastAsia="zh-HK"/>
        </w:rPr>
        <w:t>部</w:t>
      </w:r>
      <w:r w:rsidRPr="005B464B">
        <w:rPr>
          <w:rFonts w:hint="eastAsia"/>
          <w:b/>
        </w:rPr>
        <w:t>允</w:t>
      </w:r>
      <w:r w:rsidR="00075373" w:rsidRPr="005B464B">
        <w:rPr>
          <w:rFonts w:hint="eastAsia"/>
          <w:b/>
          <w:lang w:eastAsia="zh-HK"/>
        </w:rPr>
        <w:t>應</w:t>
      </w:r>
      <w:r w:rsidRPr="005B464B">
        <w:rPr>
          <w:rFonts w:hint="eastAsia"/>
          <w:b/>
          <w:lang w:eastAsia="zh-HK"/>
        </w:rPr>
        <w:t>正視，並提供學校經營之適度彈性，</w:t>
      </w:r>
      <w:proofErr w:type="gramStart"/>
      <w:r w:rsidRPr="005B464B">
        <w:rPr>
          <w:rFonts w:hint="eastAsia"/>
          <w:b/>
        </w:rPr>
        <w:t>俾</w:t>
      </w:r>
      <w:proofErr w:type="gramEnd"/>
      <w:r w:rsidRPr="005B464B">
        <w:rPr>
          <w:rFonts w:hint="eastAsia"/>
          <w:b/>
          <w:lang w:eastAsia="zh-HK"/>
        </w:rPr>
        <w:t>利其</w:t>
      </w:r>
      <w:r w:rsidRPr="005B464B">
        <w:rPr>
          <w:b/>
          <w:lang w:eastAsia="zh-HK"/>
        </w:rPr>
        <w:t>良性</w:t>
      </w:r>
      <w:r w:rsidRPr="005B464B">
        <w:rPr>
          <w:rFonts w:hint="eastAsia"/>
          <w:b/>
          <w:lang w:eastAsia="zh-HK"/>
        </w:rPr>
        <w:t>發展</w:t>
      </w:r>
      <w:r w:rsidRPr="005B464B">
        <w:rPr>
          <w:b/>
          <w:lang w:eastAsia="zh-HK"/>
        </w:rPr>
        <w:t>優勢</w:t>
      </w:r>
      <w:r w:rsidRPr="005B464B">
        <w:rPr>
          <w:rFonts w:hint="eastAsia"/>
          <w:b/>
          <w:lang w:eastAsia="zh-HK"/>
        </w:rPr>
        <w:t>及亮點領域</w:t>
      </w:r>
      <w:r w:rsidRPr="005B464B">
        <w:rPr>
          <w:rFonts w:hint="eastAsia"/>
          <w:b/>
        </w:rPr>
        <w:t>。</w:t>
      </w:r>
      <w:bookmarkEnd w:id="162"/>
      <w:bookmarkEnd w:id="163"/>
      <w:bookmarkEnd w:id="164"/>
    </w:p>
    <w:p w:rsidR="00D974E1" w:rsidRPr="005B464B" w:rsidRDefault="00D974E1" w:rsidP="00D974E1">
      <w:pPr>
        <w:pStyle w:val="3"/>
        <w:numPr>
          <w:ilvl w:val="2"/>
          <w:numId w:val="1"/>
        </w:numPr>
        <w:rPr>
          <w:rFonts w:hAnsi="標楷體"/>
          <w:kern w:val="0"/>
          <w:szCs w:val="32"/>
        </w:rPr>
      </w:pPr>
      <w:bookmarkStart w:id="165" w:name="_Toc481599722"/>
      <w:bookmarkStart w:id="166" w:name="_Toc482030673"/>
      <w:bookmarkStart w:id="167" w:name="_Toc482031296"/>
      <w:bookmarkStart w:id="168" w:name="_Toc482109500"/>
      <w:r w:rsidRPr="005B464B">
        <w:rPr>
          <w:rFonts w:hAnsi="標楷體" w:hint="eastAsia"/>
          <w:kern w:val="0"/>
          <w:szCs w:val="32"/>
        </w:rPr>
        <w:t>按「私立學校法」第50條規定：「學校法人所設私立學校為增進教學效果，並充實學校財源，於訂定章則報經學校主管機關及目的事業主管機關核准後，得設立與教學、實習、實驗、研究、推廣相關之附屬機構；其以投資方式、依法接受政府機關、民營企業或私人委託、合作經營或其他法定方式，辦理與教學、實習、實驗、研究、推廣相關事業者，亦同。前項附屬機構或相關事業之財務，應與學校之財務嚴格劃分，其盈餘應用於改善師資、充實設備及撥充學校基金，除法令另有規定或學校主管機關核准者外，不得以任何方式對特定之人給予特殊利益；停辦時所賸餘之財產，應歸屬於學校法人。依第1項規定辦理之附屬機構或相關事業，不得影響學校正常運作；其業務與財務仍應受學校法人之</w:t>
      </w:r>
      <w:r w:rsidRPr="005B464B">
        <w:rPr>
          <w:rFonts w:hAnsi="標楷體" w:hint="eastAsia"/>
          <w:kern w:val="0"/>
          <w:szCs w:val="32"/>
        </w:rPr>
        <w:lastRenderedPageBreak/>
        <w:t>監督。」第57條規定：「</w:t>
      </w:r>
      <w:r w:rsidRPr="005B464B">
        <w:rPr>
          <w:rFonts w:hAnsi="標楷體"/>
          <w:kern w:val="0"/>
          <w:szCs w:val="32"/>
        </w:rPr>
        <w:t>…</w:t>
      </w:r>
      <w:proofErr w:type="gramStart"/>
      <w:r w:rsidRPr="005B464B">
        <w:rPr>
          <w:rFonts w:hAnsi="標楷體"/>
          <w:kern w:val="0"/>
          <w:szCs w:val="32"/>
        </w:rPr>
        <w:t>…</w:t>
      </w:r>
      <w:proofErr w:type="gramEnd"/>
      <w:r w:rsidRPr="005B464B">
        <w:rPr>
          <w:rFonts w:hAnsi="標楷體" w:hint="eastAsia"/>
          <w:kern w:val="0"/>
          <w:szCs w:val="32"/>
        </w:rPr>
        <w:t>學校主管機關為促進各私立學校之發展，應組成評鑑會或委託學術團體或專業評鑑機構，定期辦理私立學校評鑑，並公告其結果，作為政府教育經費補助及學校調整發展規模之參考。私立學校經學校主管機關評鑑辦理完善，績效卓著者，除依法予以獎勵外，其辦理下列事項，報經主管機關同意後，得不受本法及相關法令規定之限制：1、增設系、所、學程、科、組、班。2、招生之系、所、學程、科、組、班及人數；入學方式及其名額之分配。3、</w:t>
      </w:r>
      <w:proofErr w:type="gramStart"/>
      <w:r w:rsidRPr="005B464B">
        <w:rPr>
          <w:rFonts w:hAnsi="標楷體" w:hint="eastAsia"/>
          <w:kern w:val="0"/>
          <w:szCs w:val="32"/>
        </w:rPr>
        <w:t>遴</w:t>
      </w:r>
      <w:proofErr w:type="gramEnd"/>
      <w:r w:rsidRPr="005B464B">
        <w:rPr>
          <w:rFonts w:hAnsi="標楷體" w:hint="eastAsia"/>
          <w:kern w:val="0"/>
          <w:szCs w:val="32"/>
        </w:rPr>
        <w:t>聘校長、專任教師之年齡。4、向學生收取費用之項目、用途及數額。但以學校具有完善之助學機制者為限。5、辦理學校型態之實驗教育或學校內之教育實驗。</w:t>
      </w:r>
      <w:r w:rsidRPr="005B464B">
        <w:rPr>
          <w:rFonts w:hAnsi="標楷體"/>
          <w:kern w:val="0"/>
          <w:szCs w:val="32"/>
        </w:rPr>
        <w:t>…</w:t>
      </w:r>
      <w:proofErr w:type="gramStart"/>
      <w:r w:rsidRPr="005B464B">
        <w:rPr>
          <w:rFonts w:hAnsi="標楷體"/>
          <w:kern w:val="0"/>
          <w:szCs w:val="32"/>
        </w:rPr>
        <w:t>…</w:t>
      </w:r>
      <w:proofErr w:type="gramEnd"/>
      <w:r w:rsidRPr="005B464B">
        <w:rPr>
          <w:rFonts w:hAnsi="標楷體" w:hint="eastAsia"/>
          <w:kern w:val="0"/>
          <w:szCs w:val="32"/>
        </w:rPr>
        <w:t>。」第59條規定：「各級政府編列年度教育經費預算時，應參酌學校健全發展之需要，審酌學校法人及所設私立學校內部控制制度之</w:t>
      </w:r>
      <w:proofErr w:type="gramStart"/>
      <w:r w:rsidRPr="005B464B">
        <w:rPr>
          <w:rFonts w:hAnsi="標楷體" w:hint="eastAsia"/>
          <w:kern w:val="0"/>
          <w:szCs w:val="32"/>
        </w:rPr>
        <w:t>健全、</w:t>
      </w:r>
      <w:proofErr w:type="gramEnd"/>
      <w:r w:rsidRPr="005B464B">
        <w:rPr>
          <w:rFonts w:hAnsi="標楷體" w:hint="eastAsia"/>
          <w:kern w:val="0"/>
          <w:szCs w:val="32"/>
        </w:rPr>
        <w:t>辦學之特色等實際情形，明定獎勵、補助原則，對私立學校予以獎勵、補助；就社會需求而公立學校未能充分提供，且教育資源不足之地區或類科，並得優先予以獎勵、補助；其獎勵、補助之條件、原則及審查程序等事項之辦法，由學校主管機關定之。」</w:t>
      </w:r>
      <w:bookmarkEnd w:id="165"/>
      <w:bookmarkEnd w:id="166"/>
      <w:bookmarkEnd w:id="167"/>
      <w:bookmarkEnd w:id="168"/>
    </w:p>
    <w:p w:rsidR="00D974E1" w:rsidRPr="005B464B" w:rsidRDefault="00D974E1" w:rsidP="00D974E1">
      <w:pPr>
        <w:pStyle w:val="3"/>
        <w:numPr>
          <w:ilvl w:val="2"/>
          <w:numId w:val="1"/>
        </w:numPr>
      </w:pPr>
      <w:bookmarkStart w:id="169" w:name="_Toc481599723"/>
      <w:bookmarkStart w:id="170" w:name="_Toc482030674"/>
      <w:bookmarkStart w:id="171" w:name="_Toc482031297"/>
      <w:bookmarkStart w:id="172" w:name="_Toc482109501"/>
      <w:r w:rsidRPr="005B464B">
        <w:rPr>
          <w:rFonts w:hint="eastAsia"/>
        </w:rPr>
        <w:t>次查，</w:t>
      </w:r>
      <w:r w:rsidRPr="005B464B">
        <w:t>教育部統計處105年4月20日</w:t>
      </w:r>
      <w:r w:rsidRPr="005B464B">
        <w:rPr>
          <w:rFonts w:hAnsi="標楷體" w:hint="eastAsia"/>
          <w:kern w:val="0"/>
          <w:szCs w:val="32"/>
        </w:rPr>
        <w:t>「</w:t>
      </w:r>
      <w:r w:rsidRPr="005B464B">
        <w:t>教育統計簡訊《第49號》</w:t>
      </w:r>
      <w:r w:rsidRPr="005B464B">
        <w:rPr>
          <w:rFonts w:hAnsi="標楷體" w:hint="eastAsia"/>
          <w:kern w:val="0"/>
          <w:szCs w:val="32"/>
        </w:rPr>
        <w:t>」</w:t>
      </w:r>
      <w:r w:rsidRPr="005B464B">
        <w:rPr>
          <w:rFonts w:hint="eastAsia"/>
        </w:rPr>
        <w:t>指出，</w:t>
      </w:r>
      <w:r w:rsidRPr="005B464B">
        <w:t>由高級中等教育推估之畢業生</w:t>
      </w:r>
      <w:proofErr w:type="gramStart"/>
      <w:r w:rsidRPr="005B464B">
        <w:t>向後推計</w:t>
      </w:r>
      <w:proofErr w:type="gramEnd"/>
      <w:r w:rsidRPr="005B464B">
        <w:t>，105學年大專校院1年級學生數(包含大學</w:t>
      </w:r>
      <w:r w:rsidRPr="005B464B">
        <w:rPr>
          <w:rFonts w:hint="eastAsia"/>
        </w:rPr>
        <w:t>4</w:t>
      </w:r>
      <w:r w:rsidRPr="005B464B">
        <w:t>年制1年級、</w:t>
      </w:r>
      <w:r w:rsidRPr="005B464B">
        <w:rPr>
          <w:rFonts w:hint="eastAsia"/>
        </w:rPr>
        <w:t>2</w:t>
      </w:r>
      <w:r w:rsidRPr="005B464B">
        <w:t>專1年級及</w:t>
      </w:r>
      <w:r w:rsidRPr="005B464B">
        <w:rPr>
          <w:rFonts w:hint="eastAsia"/>
        </w:rPr>
        <w:t>5</w:t>
      </w:r>
      <w:r w:rsidRPr="005B464B">
        <w:t>專4年級學生)因虎年及</w:t>
      </w:r>
      <w:r w:rsidR="004573EB" w:rsidRPr="005B464B">
        <w:t>少子女化</w:t>
      </w:r>
      <w:r w:rsidRPr="005B464B">
        <w:t>效應減至25.5萬人(中推估)，較104學年減少1.5萬人，明顯的</w:t>
      </w:r>
      <w:r w:rsidRPr="005B464B">
        <w:rPr>
          <w:rFonts w:hint="eastAsia"/>
        </w:rPr>
        <w:t>下降</w:t>
      </w:r>
      <w:r w:rsidRPr="005B464B">
        <w:t>將一直延續到111學年，</w:t>
      </w:r>
      <w:r w:rsidRPr="005B464B">
        <w:rPr>
          <w:rFonts w:hint="eastAsia"/>
        </w:rPr>
        <w:t>且將</w:t>
      </w:r>
      <w:r w:rsidRPr="005B464B">
        <w:t>降至20萬人以下，120學年大專校院1年級學生數為18.9萬人，僅及104學年新生人數的</w:t>
      </w:r>
      <w:proofErr w:type="gramStart"/>
      <w:r w:rsidRPr="005B464B">
        <w:t>7成</w:t>
      </w:r>
      <w:proofErr w:type="gramEnd"/>
      <w:r w:rsidRPr="005B464B">
        <w:t>，累計減幅約</w:t>
      </w:r>
      <w:proofErr w:type="gramStart"/>
      <w:r w:rsidRPr="005B464B">
        <w:t>3成</w:t>
      </w:r>
      <w:proofErr w:type="gramEnd"/>
      <w:r w:rsidRPr="005B464B">
        <w:rPr>
          <w:rFonts w:hint="eastAsia"/>
        </w:rPr>
        <w:t>。在既有之高等教育框架下，私立</w:t>
      </w:r>
      <w:r w:rsidRPr="005B464B">
        <w:rPr>
          <w:rFonts w:hint="eastAsia"/>
        </w:rPr>
        <w:lastRenderedPageBreak/>
        <w:t>大專校院十分仰賴學雜費收入，如根據教育部「</w:t>
      </w:r>
      <w:r w:rsidRPr="005B464B">
        <w:t>中華民國教育統計</w:t>
      </w:r>
      <w:r w:rsidRPr="005B464B">
        <w:rPr>
          <w:rFonts w:hint="eastAsia"/>
        </w:rPr>
        <w:t>(103年版)」所示，102學年度其收入來源以學雜費最高，占</w:t>
      </w:r>
      <w:r w:rsidRPr="005B464B">
        <w:t>65.6</w:t>
      </w:r>
      <w:r w:rsidR="006C619F" w:rsidRPr="005B464B">
        <w:t>％</w:t>
      </w:r>
      <w:r w:rsidRPr="005B464B">
        <w:rPr>
          <w:rFonts w:hint="eastAsia"/>
        </w:rPr>
        <w:t>，而政府補助占</w:t>
      </w:r>
      <w:r w:rsidRPr="005B464B">
        <w:t>11.4</w:t>
      </w:r>
      <w:r w:rsidR="006C619F" w:rsidRPr="005B464B">
        <w:t>％</w:t>
      </w:r>
      <w:r w:rsidRPr="005B464B">
        <w:rPr>
          <w:rFonts w:hint="eastAsia"/>
        </w:rPr>
        <w:t>，顯見高教</w:t>
      </w:r>
      <w:proofErr w:type="gramStart"/>
      <w:r w:rsidRPr="005B464B">
        <w:rPr>
          <w:rFonts w:hint="eastAsia"/>
        </w:rPr>
        <w:t>市場生源變化</w:t>
      </w:r>
      <w:proofErr w:type="gramEnd"/>
      <w:r w:rsidRPr="005B464B">
        <w:rPr>
          <w:rFonts w:hint="eastAsia"/>
        </w:rPr>
        <w:t>對私立大專校</w:t>
      </w:r>
      <w:r w:rsidR="00075373" w:rsidRPr="005B464B">
        <w:rPr>
          <w:rFonts w:hint="eastAsia"/>
        </w:rPr>
        <w:t>院</w:t>
      </w:r>
      <w:r w:rsidRPr="005B464B">
        <w:rPr>
          <w:rFonts w:hint="eastAsia"/>
        </w:rPr>
        <w:t>之財務造成影響</w:t>
      </w:r>
      <w:r w:rsidR="000B71D7" w:rsidRPr="005B464B">
        <w:rPr>
          <w:rFonts w:hint="eastAsia"/>
        </w:rPr>
        <w:t>較巨</w:t>
      </w:r>
      <w:r w:rsidRPr="005B464B">
        <w:rPr>
          <w:rFonts w:hint="eastAsia"/>
        </w:rPr>
        <w:t>，此可由本案實地履</w:t>
      </w:r>
      <w:proofErr w:type="gramStart"/>
      <w:r w:rsidRPr="005B464B">
        <w:rPr>
          <w:rFonts w:hint="eastAsia"/>
        </w:rPr>
        <w:t>勘</w:t>
      </w:r>
      <w:proofErr w:type="gramEnd"/>
      <w:r w:rsidRPr="005B464B">
        <w:rPr>
          <w:rFonts w:hint="eastAsia"/>
        </w:rPr>
        <w:t>及諮詢辦學及轉型階段私立大專校院之財務近況獲得印證，概述如下：</w:t>
      </w:r>
      <w:bookmarkEnd w:id="169"/>
      <w:bookmarkEnd w:id="170"/>
      <w:bookmarkEnd w:id="171"/>
      <w:bookmarkEnd w:id="172"/>
    </w:p>
    <w:p w:rsidR="00D974E1" w:rsidRPr="005B464B" w:rsidRDefault="00D974E1" w:rsidP="00D974E1">
      <w:pPr>
        <w:pStyle w:val="4"/>
        <w:numPr>
          <w:ilvl w:val="3"/>
          <w:numId w:val="1"/>
        </w:numPr>
        <w:rPr>
          <w:rFonts w:hAnsi="標楷體"/>
          <w:szCs w:val="32"/>
        </w:rPr>
      </w:pPr>
      <w:r w:rsidRPr="005B464B">
        <w:rPr>
          <w:rFonts w:hint="eastAsia"/>
        </w:rPr>
        <w:t>育達科技大學部分</w:t>
      </w:r>
      <w:r w:rsidRPr="005B464B">
        <w:rPr>
          <w:rFonts w:hint="eastAsia"/>
          <w:lang w:eastAsia="zh-HK"/>
        </w:rPr>
        <w:t>：</w:t>
      </w:r>
      <w:r w:rsidRPr="005B464B">
        <w:rPr>
          <w:rFonts w:hint="eastAsia"/>
        </w:rPr>
        <w:t>本院106年4月18日履</w:t>
      </w:r>
      <w:proofErr w:type="gramStart"/>
      <w:r w:rsidRPr="005B464B">
        <w:rPr>
          <w:rFonts w:hint="eastAsia"/>
        </w:rPr>
        <w:t>勘</w:t>
      </w:r>
      <w:proofErr w:type="gramEnd"/>
      <w:r w:rsidRPr="005B464B">
        <w:rPr>
          <w:rFonts w:hint="eastAsia"/>
        </w:rPr>
        <w:t>該校時之簡報資料及該校網站公布財務資訊顯示，</w:t>
      </w:r>
      <w:r w:rsidRPr="005B464B">
        <w:t>102</w:t>
      </w:r>
      <w:r w:rsidRPr="005B464B">
        <w:rPr>
          <w:rFonts w:hint="eastAsia"/>
          <w:lang w:eastAsia="zh-HK"/>
        </w:rPr>
        <w:t>學年度至</w:t>
      </w:r>
      <w:r w:rsidRPr="005B464B">
        <w:t>1</w:t>
      </w:r>
      <w:r w:rsidRPr="005B464B">
        <w:rPr>
          <w:lang w:eastAsia="zh-HK"/>
        </w:rPr>
        <w:t>0</w:t>
      </w:r>
      <w:r w:rsidRPr="005B464B">
        <w:rPr>
          <w:rFonts w:hint="eastAsia"/>
        </w:rPr>
        <w:t>4</w:t>
      </w:r>
      <w:r w:rsidRPr="005B464B">
        <w:rPr>
          <w:rFonts w:hint="eastAsia"/>
          <w:lang w:eastAsia="zh-HK"/>
        </w:rPr>
        <w:t>學年度</w:t>
      </w:r>
      <w:r w:rsidRPr="005B464B">
        <w:rPr>
          <w:rFonts w:hint="eastAsia"/>
        </w:rPr>
        <w:t>整體學生人數自6,778人減少至5,465人，學雜費收入由5.17億餘元降為4.21億元</w:t>
      </w:r>
      <w:r w:rsidRPr="005B464B">
        <w:rPr>
          <w:rFonts w:hint="eastAsia"/>
          <w:lang w:eastAsia="zh-HK"/>
        </w:rPr>
        <w:t>，收支</w:t>
      </w:r>
      <w:r w:rsidRPr="005B464B">
        <w:rPr>
          <w:rFonts w:hAnsi="標楷體" w:hint="eastAsia"/>
          <w:szCs w:val="32"/>
          <w:lang w:eastAsia="zh-HK"/>
        </w:rPr>
        <w:t>餘</w:t>
      </w:r>
      <w:proofErr w:type="gramStart"/>
      <w:r w:rsidRPr="005B464B">
        <w:rPr>
          <w:rFonts w:hAnsi="標楷體" w:hint="eastAsia"/>
          <w:szCs w:val="32"/>
          <w:lang w:eastAsia="zh-HK"/>
        </w:rPr>
        <w:t>絀</w:t>
      </w:r>
      <w:proofErr w:type="gramEnd"/>
      <w:r w:rsidRPr="005B464B">
        <w:rPr>
          <w:rFonts w:hint="eastAsia"/>
        </w:rPr>
        <w:t>由</w:t>
      </w:r>
      <w:r w:rsidRPr="005B464B">
        <w:rPr>
          <w:rFonts w:hint="eastAsia"/>
          <w:lang w:eastAsia="zh-HK"/>
        </w:rPr>
        <w:t>0.44億元</w:t>
      </w:r>
      <w:r w:rsidRPr="005B464B">
        <w:rPr>
          <w:rFonts w:hint="eastAsia"/>
        </w:rPr>
        <w:t>減為</w:t>
      </w:r>
      <w:r w:rsidRPr="005B464B">
        <w:rPr>
          <w:rFonts w:hint="eastAsia"/>
          <w:lang w:eastAsia="zh-HK"/>
        </w:rPr>
        <w:t>0.13億元</w:t>
      </w:r>
      <w:r w:rsidRPr="005B464B">
        <w:rPr>
          <w:rFonts w:hAnsi="標楷體" w:hint="eastAsia"/>
          <w:szCs w:val="32"/>
          <w:lang w:eastAsia="zh-HK"/>
        </w:rPr>
        <w:t>，</w:t>
      </w:r>
      <w:r w:rsidRPr="005B464B">
        <w:rPr>
          <w:rFonts w:hAnsi="標楷體" w:hint="eastAsia"/>
          <w:szCs w:val="32"/>
        </w:rPr>
        <w:t>而</w:t>
      </w:r>
      <w:r w:rsidRPr="005B464B">
        <w:rPr>
          <w:rFonts w:hAnsi="標楷體" w:hint="eastAsia"/>
          <w:szCs w:val="32"/>
          <w:lang w:eastAsia="zh-HK"/>
        </w:rPr>
        <w:t>校務發展基金</w:t>
      </w:r>
      <w:r w:rsidRPr="005B464B">
        <w:rPr>
          <w:rFonts w:hAnsi="標楷體" w:hint="eastAsia"/>
          <w:szCs w:val="32"/>
        </w:rPr>
        <w:t>保</w:t>
      </w:r>
      <w:r w:rsidRPr="005B464B">
        <w:rPr>
          <w:rFonts w:hAnsi="標楷體" w:hint="eastAsia"/>
          <w:szCs w:val="32"/>
          <w:lang w:eastAsia="zh-HK"/>
        </w:rPr>
        <w:t>有</w:t>
      </w:r>
      <w:r w:rsidRPr="005B464B">
        <w:rPr>
          <w:rFonts w:hAnsi="標楷體"/>
          <w:szCs w:val="32"/>
        </w:rPr>
        <w:t>6.57</w:t>
      </w:r>
      <w:r w:rsidRPr="005B464B">
        <w:rPr>
          <w:rFonts w:hint="eastAsia"/>
          <w:lang w:eastAsia="zh-HK"/>
        </w:rPr>
        <w:t>億元</w:t>
      </w:r>
      <w:r w:rsidRPr="005B464B">
        <w:rPr>
          <w:rFonts w:hint="eastAsia"/>
        </w:rPr>
        <w:t>，</w:t>
      </w:r>
      <w:r w:rsidRPr="005B464B">
        <w:rPr>
          <w:rFonts w:hAnsi="標楷體" w:hint="eastAsia"/>
          <w:szCs w:val="32"/>
          <w:lang w:eastAsia="zh-HK"/>
        </w:rPr>
        <w:t>舉債指數</w:t>
      </w:r>
      <w:r w:rsidRPr="005B464B">
        <w:rPr>
          <w:rFonts w:hAnsi="標楷體"/>
          <w:szCs w:val="32"/>
          <w:lang w:eastAsia="zh-HK"/>
        </w:rPr>
        <w:t>0</w:t>
      </w:r>
      <w:r w:rsidRPr="005B464B">
        <w:rPr>
          <w:rFonts w:hint="eastAsia"/>
          <w:lang w:eastAsia="zh-HK"/>
        </w:rPr>
        <w:t>。</w:t>
      </w:r>
    </w:p>
    <w:p w:rsidR="00D974E1" w:rsidRPr="005B464B" w:rsidRDefault="00D974E1" w:rsidP="00D974E1">
      <w:pPr>
        <w:pStyle w:val="4"/>
        <w:numPr>
          <w:ilvl w:val="3"/>
          <w:numId w:val="1"/>
        </w:numPr>
      </w:pPr>
      <w:r w:rsidRPr="005B464B">
        <w:rPr>
          <w:rFonts w:hint="eastAsia"/>
        </w:rPr>
        <w:t>康寧大學部分</w:t>
      </w:r>
      <w:r w:rsidRPr="005B464B">
        <w:rPr>
          <w:rFonts w:hint="eastAsia"/>
          <w:lang w:eastAsia="zh-HK"/>
        </w:rPr>
        <w:t>：</w:t>
      </w:r>
      <w:r w:rsidRPr="005B464B">
        <w:rPr>
          <w:rFonts w:hint="eastAsia"/>
        </w:rPr>
        <w:t>本院106年4月1</w:t>
      </w:r>
      <w:r w:rsidRPr="005B464B">
        <w:t>9</w:t>
      </w:r>
      <w:r w:rsidRPr="005B464B">
        <w:rPr>
          <w:rFonts w:hint="eastAsia"/>
        </w:rPr>
        <w:t>日履</w:t>
      </w:r>
      <w:proofErr w:type="gramStart"/>
      <w:r w:rsidRPr="005B464B">
        <w:rPr>
          <w:rFonts w:hint="eastAsia"/>
        </w:rPr>
        <w:t>勘</w:t>
      </w:r>
      <w:proofErr w:type="gramEnd"/>
      <w:r w:rsidRPr="005B464B">
        <w:rPr>
          <w:rFonts w:hint="eastAsia"/>
        </w:rPr>
        <w:t>該校時之簡報資料及該校網站公布財務資訊顯示，103學年度至105學年度整體學生人數分別為5,232人、5,412人、5,262人，學雜費收入占總收入超過</w:t>
      </w:r>
      <w:proofErr w:type="gramStart"/>
      <w:r w:rsidRPr="005B464B">
        <w:rPr>
          <w:rFonts w:hint="eastAsia"/>
        </w:rPr>
        <w:t>6成</w:t>
      </w:r>
      <w:proofErr w:type="gramEnd"/>
      <w:r w:rsidRPr="005B464B">
        <w:rPr>
          <w:rFonts w:hint="eastAsia"/>
        </w:rPr>
        <w:t>3，收支餘</w:t>
      </w:r>
      <w:proofErr w:type="gramStart"/>
      <w:r w:rsidRPr="005B464B">
        <w:rPr>
          <w:rFonts w:hint="eastAsia"/>
        </w:rPr>
        <w:t>絀</w:t>
      </w:r>
      <w:proofErr w:type="gramEnd"/>
      <w:r w:rsidRPr="005B464B">
        <w:rPr>
          <w:rFonts w:hint="eastAsia"/>
        </w:rPr>
        <w:t>各為-0.38億元、0.02億元、-0.75億元，而負債比例由5</w:t>
      </w:r>
      <w:r w:rsidR="006C619F" w:rsidRPr="005B464B">
        <w:rPr>
          <w:rFonts w:hint="eastAsia"/>
        </w:rPr>
        <w:t>％</w:t>
      </w:r>
      <w:r w:rsidRPr="005B464B">
        <w:rPr>
          <w:rFonts w:hint="eastAsia"/>
        </w:rPr>
        <w:t>下降至4</w:t>
      </w:r>
      <w:r w:rsidR="006C619F" w:rsidRPr="005B464B">
        <w:rPr>
          <w:rFonts w:hint="eastAsia"/>
        </w:rPr>
        <w:t>％</w:t>
      </w:r>
      <w:r w:rsidRPr="005B464B">
        <w:rPr>
          <w:rFonts w:hint="eastAsia"/>
        </w:rPr>
        <w:t>，低於教育部規定之</w:t>
      </w:r>
      <w:r w:rsidRPr="005B464B">
        <w:rPr>
          <w:rFonts w:hint="eastAsia"/>
          <w:lang w:eastAsia="zh-HK"/>
        </w:rPr>
        <w:t>舉債指數上限5</w:t>
      </w:r>
      <w:r w:rsidR="006C619F" w:rsidRPr="005B464B">
        <w:rPr>
          <w:rFonts w:hint="eastAsia"/>
          <w:lang w:eastAsia="zh-HK"/>
        </w:rPr>
        <w:t>％</w:t>
      </w:r>
      <w:r w:rsidRPr="005B464B">
        <w:rPr>
          <w:rFonts w:hint="eastAsia"/>
        </w:rPr>
        <w:t>。</w:t>
      </w:r>
      <w:r w:rsidRPr="005B464B">
        <w:rPr>
          <w:rFonts w:hint="eastAsia"/>
          <w:lang w:eastAsia="zh-HK"/>
        </w:rPr>
        <w:t>未來5年學生人數預計</w:t>
      </w:r>
      <w:r w:rsidRPr="005B464B">
        <w:rPr>
          <w:rFonts w:hint="eastAsia"/>
        </w:rPr>
        <w:t>會</w:t>
      </w:r>
      <w:r w:rsidRPr="005B464B">
        <w:rPr>
          <w:rFonts w:hint="eastAsia"/>
          <w:lang w:eastAsia="zh-HK"/>
        </w:rPr>
        <w:t>守住4,000人，並輔以長照職業訓練基地收入替代逐年可能流失</w:t>
      </w:r>
      <w:r w:rsidRPr="005B464B">
        <w:rPr>
          <w:rFonts w:hint="eastAsia"/>
        </w:rPr>
        <w:t>之</w:t>
      </w:r>
      <w:r w:rsidRPr="005B464B">
        <w:rPr>
          <w:rFonts w:hint="eastAsia"/>
          <w:lang w:eastAsia="zh-HK"/>
        </w:rPr>
        <w:t>大學招生缺口。</w:t>
      </w:r>
    </w:p>
    <w:p w:rsidR="00D974E1" w:rsidRPr="005B464B" w:rsidRDefault="00D974E1" w:rsidP="00D974E1">
      <w:pPr>
        <w:pStyle w:val="4"/>
        <w:numPr>
          <w:ilvl w:val="3"/>
          <w:numId w:val="1"/>
        </w:numPr>
      </w:pPr>
      <w:r w:rsidRPr="005B464B">
        <w:rPr>
          <w:rFonts w:hint="eastAsia"/>
        </w:rPr>
        <w:t>中信金融管理學院部分</w:t>
      </w:r>
      <w:r w:rsidRPr="005B464B">
        <w:rPr>
          <w:rFonts w:hint="eastAsia"/>
          <w:lang w:eastAsia="zh-HK"/>
        </w:rPr>
        <w:t>：</w:t>
      </w:r>
      <w:r w:rsidRPr="005B464B">
        <w:rPr>
          <w:rFonts w:hint="eastAsia"/>
        </w:rPr>
        <w:t>本院106年4月19日履</w:t>
      </w:r>
      <w:proofErr w:type="gramStart"/>
      <w:r w:rsidRPr="005B464B">
        <w:rPr>
          <w:rFonts w:hint="eastAsia"/>
        </w:rPr>
        <w:t>勘</w:t>
      </w:r>
      <w:proofErr w:type="gramEnd"/>
      <w:r w:rsidRPr="005B464B">
        <w:rPr>
          <w:rFonts w:hint="eastAsia"/>
        </w:rPr>
        <w:t>該校時之簡報資料顯示，中國信託金融控股股份有限公司（下稱</w:t>
      </w:r>
      <w:r w:rsidRPr="005B464B">
        <w:rPr>
          <w:rFonts w:hint="eastAsia"/>
          <w:lang w:eastAsia="zh-HK"/>
        </w:rPr>
        <w:t>中信金控</w:t>
      </w:r>
      <w:r w:rsidRPr="005B464B">
        <w:rPr>
          <w:rFonts w:hint="eastAsia"/>
        </w:rPr>
        <w:t>）承諾由其所屬台灣彩券</w:t>
      </w:r>
      <w:proofErr w:type="gramStart"/>
      <w:r w:rsidRPr="005B464B">
        <w:rPr>
          <w:rFonts w:hint="eastAsia"/>
        </w:rPr>
        <w:t>104</w:t>
      </w:r>
      <w:proofErr w:type="gramEnd"/>
      <w:r w:rsidRPr="005B464B">
        <w:rPr>
          <w:rFonts w:hint="eastAsia"/>
        </w:rPr>
        <w:t>年度至</w:t>
      </w:r>
      <w:proofErr w:type="gramStart"/>
      <w:r w:rsidRPr="005B464B">
        <w:rPr>
          <w:rFonts w:hint="eastAsia"/>
        </w:rPr>
        <w:t>108</w:t>
      </w:r>
      <w:proofErr w:type="gramEnd"/>
      <w:r w:rsidRPr="005B464B">
        <w:rPr>
          <w:rFonts w:hint="eastAsia"/>
        </w:rPr>
        <w:t>年度逐年捐贈該校共計3億元，該校</w:t>
      </w:r>
      <w:r w:rsidRPr="005B464B">
        <w:rPr>
          <w:rFonts w:hint="eastAsia"/>
          <w:lang w:eastAsia="zh-HK"/>
        </w:rPr>
        <w:t>104學年度至</w:t>
      </w:r>
      <w:r w:rsidRPr="005B464B">
        <w:rPr>
          <w:rFonts w:hint="eastAsia"/>
        </w:rPr>
        <w:t>1</w:t>
      </w:r>
      <w:r w:rsidRPr="005B464B">
        <w:rPr>
          <w:rFonts w:hint="eastAsia"/>
          <w:lang w:eastAsia="zh-HK"/>
        </w:rPr>
        <w:t>05學年度註冊率達100</w:t>
      </w:r>
      <w:r w:rsidR="006C619F" w:rsidRPr="005B464B">
        <w:rPr>
          <w:rFonts w:hint="eastAsia"/>
          <w:lang w:eastAsia="zh-HK"/>
        </w:rPr>
        <w:t>％</w:t>
      </w:r>
      <w:r w:rsidRPr="005B464B">
        <w:rPr>
          <w:rFonts w:hint="eastAsia"/>
        </w:rPr>
        <w:t>，</w:t>
      </w:r>
      <w:r w:rsidRPr="005B464B">
        <w:rPr>
          <w:rFonts w:hint="eastAsia"/>
          <w:lang w:eastAsia="zh-HK"/>
        </w:rPr>
        <w:t>學雜費收入</w:t>
      </w:r>
      <w:r w:rsidRPr="005B464B">
        <w:rPr>
          <w:rFonts w:hint="eastAsia"/>
        </w:rPr>
        <w:t>各只</w:t>
      </w:r>
      <w:r w:rsidRPr="005B464B">
        <w:rPr>
          <w:rFonts w:hint="eastAsia"/>
          <w:lang w:eastAsia="zh-HK"/>
        </w:rPr>
        <w:t>占總收入</w:t>
      </w:r>
      <w:r w:rsidRPr="005B464B">
        <w:rPr>
          <w:rFonts w:hint="eastAsia"/>
        </w:rPr>
        <w:t>之</w:t>
      </w:r>
      <w:r w:rsidRPr="005B464B">
        <w:rPr>
          <w:rFonts w:hint="eastAsia"/>
          <w:lang w:eastAsia="zh-HK"/>
        </w:rPr>
        <w:t>0.77</w:t>
      </w:r>
      <w:r w:rsidR="006C619F" w:rsidRPr="005B464B">
        <w:rPr>
          <w:rFonts w:hint="eastAsia"/>
          <w:lang w:eastAsia="zh-HK"/>
        </w:rPr>
        <w:t>％</w:t>
      </w:r>
      <w:r w:rsidRPr="005B464B">
        <w:rPr>
          <w:rFonts w:hint="eastAsia"/>
          <w:lang w:eastAsia="zh-HK"/>
        </w:rPr>
        <w:t>、13.04</w:t>
      </w:r>
      <w:r w:rsidR="006C619F" w:rsidRPr="005B464B">
        <w:rPr>
          <w:rFonts w:hint="eastAsia"/>
          <w:lang w:eastAsia="zh-HK"/>
        </w:rPr>
        <w:t>％</w:t>
      </w:r>
      <w:r w:rsidRPr="005B464B">
        <w:rPr>
          <w:rFonts w:hint="eastAsia"/>
        </w:rPr>
        <w:t>，受惠於</w:t>
      </w:r>
      <w:r w:rsidRPr="005B464B">
        <w:rPr>
          <w:rFonts w:hint="eastAsia"/>
          <w:lang w:eastAsia="zh-HK"/>
        </w:rPr>
        <w:t>中信</w:t>
      </w:r>
      <w:proofErr w:type="gramStart"/>
      <w:r w:rsidRPr="005B464B">
        <w:rPr>
          <w:rFonts w:hint="eastAsia"/>
          <w:lang w:eastAsia="zh-HK"/>
        </w:rPr>
        <w:t>金控捐</w:t>
      </w:r>
      <w:proofErr w:type="gramEnd"/>
      <w:r w:rsidRPr="005B464B">
        <w:rPr>
          <w:rFonts w:hint="eastAsia"/>
          <w:lang w:eastAsia="zh-HK"/>
        </w:rPr>
        <w:t>資助學1.77億餘元、1.66億餘元，</w:t>
      </w:r>
      <w:r w:rsidRPr="005B464B">
        <w:rPr>
          <w:rFonts w:hint="eastAsia"/>
        </w:rPr>
        <w:t>收支餘</w:t>
      </w:r>
      <w:proofErr w:type="gramStart"/>
      <w:r w:rsidRPr="005B464B">
        <w:rPr>
          <w:rFonts w:hint="eastAsia"/>
        </w:rPr>
        <w:t>絀</w:t>
      </w:r>
      <w:proofErr w:type="gramEnd"/>
      <w:r w:rsidRPr="005B464B">
        <w:rPr>
          <w:rFonts w:hint="eastAsia"/>
        </w:rPr>
        <w:t>分別</w:t>
      </w:r>
      <w:r w:rsidRPr="005B464B">
        <w:rPr>
          <w:rFonts w:hint="eastAsia"/>
          <w:lang w:eastAsia="zh-HK"/>
        </w:rPr>
        <w:t>為0.46億餘元、0.01億餘元。</w:t>
      </w:r>
    </w:p>
    <w:p w:rsidR="00D974E1" w:rsidRPr="005B464B" w:rsidRDefault="00D974E1" w:rsidP="00D974E1">
      <w:pPr>
        <w:pStyle w:val="4"/>
        <w:numPr>
          <w:ilvl w:val="3"/>
          <w:numId w:val="1"/>
        </w:numPr>
      </w:pPr>
      <w:r w:rsidRPr="005B464B">
        <w:rPr>
          <w:rFonts w:hint="eastAsia"/>
        </w:rPr>
        <w:lastRenderedPageBreak/>
        <w:t>聖約翰科技大學部分</w:t>
      </w:r>
      <w:r w:rsidRPr="005B464B">
        <w:rPr>
          <w:rFonts w:hint="eastAsia"/>
          <w:lang w:eastAsia="zh-HK"/>
        </w:rPr>
        <w:t>：</w:t>
      </w:r>
      <w:r w:rsidRPr="005B464B">
        <w:rPr>
          <w:rFonts w:hint="eastAsia"/>
        </w:rPr>
        <w:t>本院106年4月21日履</w:t>
      </w:r>
      <w:proofErr w:type="gramStart"/>
      <w:r w:rsidRPr="005B464B">
        <w:rPr>
          <w:rFonts w:hint="eastAsia"/>
        </w:rPr>
        <w:t>勘</w:t>
      </w:r>
      <w:proofErr w:type="gramEnd"/>
      <w:r w:rsidRPr="005B464B">
        <w:rPr>
          <w:rFonts w:hint="eastAsia"/>
        </w:rPr>
        <w:t>該校時之簡報資料及該校網站公布</w:t>
      </w:r>
      <w:r w:rsidRPr="005B464B">
        <w:t>財務資訊</w:t>
      </w:r>
      <w:r w:rsidRPr="005B464B">
        <w:rPr>
          <w:rFonts w:hint="eastAsia"/>
        </w:rPr>
        <w:t>顯示，101</w:t>
      </w:r>
      <w:r w:rsidRPr="005B464B">
        <w:rPr>
          <w:rFonts w:hint="eastAsia"/>
          <w:lang w:eastAsia="zh-HK"/>
        </w:rPr>
        <w:t>學年度至</w:t>
      </w:r>
      <w:r w:rsidRPr="005B464B">
        <w:rPr>
          <w:rFonts w:hint="eastAsia"/>
        </w:rPr>
        <w:t>1</w:t>
      </w:r>
      <w:r w:rsidRPr="005B464B">
        <w:rPr>
          <w:rFonts w:hint="eastAsia"/>
          <w:lang w:eastAsia="zh-HK"/>
        </w:rPr>
        <w:t>05學年度</w:t>
      </w:r>
      <w:r w:rsidRPr="005B464B">
        <w:rPr>
          <w:rFonts w:hint="eastAsia"/>
        </w:rPr>
        <w:t>整體學生人數由7,319人減少至4,730人</w:t>
      </w:r>
      <w:r w:rsidRPr="005B464B">
        <w:rPr>
          <w:rFonts w:hint="eastAsia"/>
          <w:lang w:eastAsia="zh-HK"/>
        </w:rPr>
        <w:t>，</w:t>
      </w:r>
      <w:r w:rsidRPr="005B464B">
        <w:rPr>
          <w:rFonts w:hint="eastAsia"/>
        </w:rPr>
        <w:t>學雜費收入占總收入超過</w:t>
      </w:r>
      <w:proofErr w:type="gramStart"/>
      <w:r w:rsidRPr="005B464B">
        <w:rPr>
          <w:rFonts w:hint="eastAsia"/>
        </w:rPr>
        <w:t>7成</w:t>
      </w:r>
      <w:proofErr w:type="gramEnd"/>
      <w:r w:rsidRPr="005B464B">
        <w:rPr>
          <w:rFonts w:hint="eastAsia"/>
        </w:rPr>
        <w:t>，101學年度</w:t>
      </w:r>
      <w:r w:rsidRPr="005B464B">
        <w:rPr>
          <w:rFonts w:hint="eastAsia"/>
          <w:lang w:eastAsia="zh-HK"/>
        </w:rPr>
        <w:t>收支餘</w:t>
      </w:r>
      <w:proofErr w:type="gramStart"/>
      <w:r w:rsidRPr="005B464B">
        <w:rPr>
          <w:rFonts w:hint="eastAsia"/>
        </w:rPr>
        <w:t>絀</w:t>
      </w:r>
      <w:proofErr w:type="gramEnd"/>
      <w:r w:rsidRPr="005B464B">
        <w:rPr>
          <w:rFonts w:hint="eastAsia"/>
        </w:rPr>
        <w:t>6,836萬餘元，自102學年度起由盈</w:t>
      </w:r>
      <w:r w:rsidRPr="005B464B">
        <w:rPr>
          <w:rFonts w:hint="eastAsia"/>
          <w:lang w:eastAsia="zh-HK"/>
        </w:rPr>
        <w:t>轉虧</w:t>
      </w:r>
      <w:r w:rsidRPr="005B464B">
        <w:rPr>
          <w:rFonts w:hint="eastAsia"/>
        </w:rPr>
        <w:t>，至105學年度為-8,471萬餘元</w:t>
      </w:r>
      <w:r w:rsidRPr="005B464B">
        <w:rPr>
          <w:rFonts w:hint="eastAsia"/>
          <w:lang w:eastAsia="zh-HK"/>
        </w:rPr>
        <w:t>。</w:t>
      </w:r>
    </w:p>
    <w:p w:rsidR="00D974E1" w:rsidRPr="005B464B" w:rsidRDefault="00D974E1" w:rsidP="00D974E1">
      <w:pPr>
        <w:pStyle w:val="4"/>
        <w:numPr>
          <w:ilvl w:val="3"/>
          <w:numId w:val="1"/>
        </w:numPr>
      </w:pPr>
      <w:r w:rsidRPr="005B464B">
        <w:rPr>
          <w:rFonts w:ascii="Arial" w:cs="Arial"/>
        </w:rPr>
        <w:t>景文科技大學</w:t>
      </w:r>
      <w:r w:rsidRPr="005B464B">
        <w:rPr>
          <w:rFonts w:hint="eastAsia"/>
        </w:rPr>
        <w:t>部分</w:t>
      </w:r>
      <w:r w:rsidRPr="005B464B">
        <w:rPr>
          <w:rFonts w:hint="eastAsia"/>
          <w:lang w:eastAsia="zh-HK"/>
        </w:rPr>
        <w:t>：</w:t>
      </w:r>
      <w:r w:rsidRPr="005B464B">
        <w:rPr>
          <w:rFonts w:hAnsi="標楷體" w:hint="eastAsia"/>
        </w:rPr>
        <w:t>本院諮詢專家學者意見指出，</w:t>
      </w:r>
      <w:proofErr w:type="gramStart"/>
      <w:r w:rsidRPr="005B464B">
        <w:rPr>
          <w:rFonts w:hint="eastAsia"/>
        </w:rPr>
        <w:t>該校由全體</w:t>
      </w:r>
      <w:proofErr w:type="gramEnd"/>
      <w:r w:rsidRPr="005B464B">
        <w:t>13</w:t>
      </w:r>
      <w:r w:rsidRPr="005B464B">
        <w:rPr>
          <w:rFonts w:hint="eastAsia"/>
        </w:rPr>
        <w:t>位公益董事負責經營，但預估106學年度發生-0.18億餘元之餘</w:t>
      </w:r>
      <w:proofErr w:type="gramStart"/>
      <w:r w:rsidRPr="005B464B">
        <w:rPr>
          <w:rFonts w:hint="eastAsia"/>
        </w:rPr>
        <w:t>絀</w:t>
      </w:r>
      <w:proofErr w:type="gramEnd"/>
      <w:r w:rsidRPr="005B464B">
        <w:rPr>
          <w:rFonts w:hint="eastAsia"/>
        </w:rPr>
        <w:t>，因為生源將減少0.4萬人，降至0.7萬人，該校學雜費在公益董事參與經營後未曾調整，應該是全國私立大學技專校院最低的，既使董事會成員全數為公益董事，學校也是經營這麼樣的辛苦等語。</w:t>
      </w:r>
    </w:p>
    <w:p w:rsidR="00D974E1" w:rsidRPr="005B464B" w:rsidRDefault="00D974E1" w:rsidP="00D974E1">
      <w:pPr>
        <w:pStyle w:val="4"/>
        <w:numPr>
          <w:ilvl w:val="3"/>
          <w:numId w:val="1"/>
        </w:numPr>
      </w:pPr>
      <w:r w:rsidRPr="005B464B">
        <w:rPr>
          <w:rFonts w:ascii="Arial" w:cs="Arial"/>
        </w:rPr>
        <w:t>亞洲大學</w:t>
      </w:r>
      <w:r w:rsidRPr="005B464B">
        <w:rPr>
          <w:rFonts w:hint="eastAsia"/>
        </w:rPr>
        <w:t>部分：本院諮詢專家學者意見指出，該校接受教育部通識教育課程之經費補助，卻裁撤通識教育課程之講授教師，課程亦緊縮，在</w:t>
      </w:r>
      <w:proofErr w:type="gramStart"/>
      <w:r w:rsidRPr="005B464B">
        <w:rPr>
          <w:rFonts w:hint="eastAsia"/>
        </w:rPr>
        <w:t>在</w:t>
      </w:r>
      <w:proofErr w:type="gramEnd"/>
      <w:r w:rsidRPr="005B464B">
        <w:rPr>
          <w:rFonts w:hint="eastAsia"/>
        </w:rPr>
        <w:t>透露出警訊，該校本是有聲望、聲譽之學校，為什麼要縮減通識教育課程，應該是學校有財政負荷上之考量，必須整頓班級、經費、處理預算支出等語。</w:t>
      </w:r>
    </w:p>
    <w:p w:rsidR="00D974E1" w:rsidRPr="005B464B" w:rsidRDefault="00D974E1" w:rsidP="00D974E1">
      <w:pPr>
        <w:pStyle w:val="4"/>
        <w:numPr>
          <w:ilvl w:val="3"/>
          <w:numId w:val="1"/>
        </w:numPr>
      </w:pPr>
      <w:r w:rsidRPr="005B464B">
        <w:rPr>
          <w:rFonts w:hAnsi="標楷體" w:hint="eastAsia"/>
          <w:szCs w:val="32"/>
        </w:rPr>
        <w:t>亞太創意技術學院</w:t>
      </w:r>
      <w:r w:rsidRPr="005B464B">
        <w:rPr>
          <w:rFonts w:hint="eastAsia"/>
        </w:rPr>
        <w:t>部分</w:t>
      </w:r>
      <w:r w:rsidRPr="005B464B">
        <w:rPr>
          <w:rFonts w:hint="eastAsia"/>
          <w:lang w:eastAsia="zh-HK"/>
        </w:rPr>
        <w:t>：</w:t>
      </w:r>
      <w:r w:rsidRPr="005B464B">
        <w:rPr>
          <w:rFonts w:hAnsi="標楷體" w:hint="eastAsia"/>
        </w:rPr>
        <w:t>本院諮詢專家學者意見指出，觀察近期</w:t>
      </w:r>
      <w:r w:rsidRPr="005B464B">
        <w:rPr>
          <w:rFonts w:hAnsi="標楷體" w:hint="eastAsia"/>
          <w:szCs w:val="32"/>
        </w:rPr>
        <w:t>爭議事件，教育部應是被欺騙了，</w:t>
      </w:r>
      <w:proofErr w:type="gramStart"/>
      <w:r w:rsidRPr="005B464B">
        <w:rPr>
          <w:rFonts w:hAnsi="標楷體" w:hint="eastAsia"/>
          <w:szCs w:val="32"/>
        </w:rPr>
        <w:t>怡</w:t>
      </w:r>
      <w:proofErr w:type="gramEnd"/>
      <w:r w:rsidRPr="005B464B">
        <w:rPr>
          <w:rFonts w:hAnsi="標楷體" w:hint="eastAsia"/>
          <w:szCs w:val="32"/>
        </w:rPr>
        <w:t>盛集團不但資金沒有到位，還撤除公益董事，也將校內建築物改為集團總部辦公室的一部分，該校一直在做垂死掙扎，現在卻被</w:t>
      </w:r>
      <w:proofErr w:type="gramStart"/>
      <w:r w:rsidRPr="005B464B">
        <w:rPr>
          <w:rFonts w:hAnsi="標楷體" w:hint="eastAsia"/>
          <w:szCs w:val="32"/>
        </w:rPr>
        <w:t>怡</w:t>
      </w:r>
      <w:proofErr w:type="gramEnd"/>
      <w:r w:rsidRPr="005B464B">
        <w:rPr>
          <w:rFonts w:hAnsi="標楷體" w:hint="eastAsia"/>
          <w:szCs w:val="32"/>
        </w:rPr>
        <w:t>盛集團操弄在手上等語。</w:t>
      </w:r>
    </w:p>
    <w:p w:rsidR="00D974E1" w:rsidRPr="005B464B" w:rsidRDefault="00D974E1" w:rsidP="00D974E1">
      <w:pPr>
        <w:pStyle w:val="3"/>
        <w:numPr>
          <w:ilvl w:val="2"/>
          <w:numId w:val="1"/>
        </w:numPr>
      </w:pPr>
      <w:bookmarkStart w:id="173" w:name="_Toc481599724"/>
      <w:bookmarkStart w:id="174" w:name="_Toc482030675"/>
      <w:bookmarkStart w:id="175" w:name="_Toc482031298"/>
      <w:bookmarkStart w:id="176" w:name="_Toc482109502"/>
      <w:r w:rsidRPr="005B464B">
        <w:rPr>
          <w:rFonts w:hint="eastAsia"/>
        </w:rPr>
        <w:t>又查，本案實地履</w:t>
      </w:r>
      <w:proofErr w:type="gramStart"/>
      <w:r w:rsidRPr="005B464B">
        <w:rPr>
          <w:rFonts w:hint="eastAsia"/>
        </w:rPr>
        <w:t>勘</w:t>
      </w:r>
      <w:proofErr w:type="gramEnd"/>
      <w:r w:rsidRPr="005B464B">
        <w:rPr>
          <w:rFonts w:hint="eastAsia"/>
        </w:rPr>
        <w:t>前開辦學及轉型階段之私立大專校院，根據校方提供書面簡報資料得知，其面對</w:t>
      </w:r>
      <w:r w:rsidR="004573EB" w:rsidRPr="005B464B">
        <w:t>少子女化</w:t>
      </w:r>
      <w:r w:rsidRPr="005B464B">
        <w:t>衝擊</w:t>
      </w:r>
      <w:r w:rsidRPr="005B464B">
        <w:rPr>
          <w:rFonts w:hint="eastAsia"/>
        </w:rPr>
        <w:t>之積極</w:t>
      </w:r>
      <w:r w:rsidRPr="005B464B">
        <w:t>因應策略</w:t>
      </w:r>
      <w:r w:rsidRPr="005B464B">
        <w:rPr>
          <w:rFonts w:hint="eastAsia"/>
        </w:rPr>
        <w:t>，包括：</w:t>
      </w:r>
      <w:r w:rsidRPr="005B464B">
        <w:t>積極創新轉</w:t>
      </w:r>
      <w:r w:rsidRPr="005B464B">
        <w:lastRenderedPageBreak/>
        <w:t>型爭取外部資源</w:t>
      </w:r>
      <w:r w:rsidRPr="005B464B">
        <w:rPr>
          <w:rFonts w:hint="eastAsia"/>
        </w:rPr>
        <w:t>、</w:t>
      </w:r>
      <w:r w:rsidRPr="005B464B">
        <w:t>推動組織精簡降低人事成本</w:t>
      </w:r>
      <w:r w:rsidRPr="005B464B">
        <w:rPr>
          <w:rFonts w:hint="eastAsia"/>
        </w:rPr>
        <w:t>、</w:t>
      </w:r>
      <w:r w:rsidRPr="005B464B">
        <w:t>拓展國際合作擴大</w:t>
      </w:r>
      <w:proofErr w:type="gramStart"/>
      <w:r w:rsidRPr="005B464B">
        <w:t>境外生源</w:t>
      </w:r>
      <w:proofErr w:type="gramEnd"/>
      <w:r w:rsidRPr="005B464B">
        <w:rPr>
          <w:rFonts w:hint="eastAsia"/>
        </w:rPr>
        <w:t>、</w:t>
      </w:r>
      <w:r w:rsidRPr="005B464B">
        <w:t>創造特色亮點結合在地產業</w:t>
      </w:r>
      <w:r w:rsidRPr="005B464B">
        <w:rPr>
          <w:rFonts w:hint="eastAsia"/>
        </w:rPr>
        <w:t>、</w:t>
      </w:r>
      <w:r w:rsidRPr="005B464B">
        <w:t>建立策略聯盟穩定學生來源、強化國際移動力、國際認證提昇競爭力</w:t>
      </w:r>
      <w:r w:rsidRPr="005B464B">
        <w:rPr>
          <w:rFonts w:hint="eastAsia"/>
        </w:rPr>
        <w:t>，</w:t>
      </w:r>
      <w:r w:rsidRPr="005B464B">
        <w:t>新南向</w:t>
      </w:r>
      <w:proofErr w:type="gramStart"/>
      <w:r w:rsidRPr="005B464B">
        <w:t>政策跨域產業</w:t>
      </w:r>
      <w:proofErr w:type="gramEnd"/>
      <w:r w:rsidRPr="005B464B">
        <w:t>鏈結</w:t>
      </w:r>
      <w:r w:rsidRPr="005B464B">
        <w:rPr>
          <w:rFonts w:hint="eastAsia"/>
        </w:rPr>
        <w:t>等，至於，校方對於教育部就學校未來發展所提建議事項，摘要如下：</w:t>
      </w:r>
      <w:bookmarkEnd w:id="173"/>
      <w:bookmarkEnd w:id="174"/>
      <w:bookmarkEnd w:id="175"/>
      <w:bookmarkEnd w:id="176"/>
    </w:p>
    <w:p w:rsidR="00D974E1" w:rsidRPr="005B464B" w:rsidRDefault="00D974E1" w:rsidP="00D974E1">
      <w:pPr>
        <w:pStyle w:val="4"/>
        <w:numPr>
          <w:ilvl w:val="3"/>
          <w:numId w:val="1"/>
        </w:numPr>
      </w:pPr>
      <w:r w:rsidRPr="005B464B">
        <w:rPr>
          <w:rFonts w:hint="eastAsia"/>
        </w:rPr>
        <w:t>教育部獎勵款核配基準宜以全校之新生註冊率</w:t>
      </w:r>
      <w:r w:rsidRPr="005B464B">
        <w:t>(</w:t>
      </w:r>
      <w:r w:rsidRPr="005B464B">
        <w:rPr>
          <w:rFonts w:hint="eastAsia"/>
        </w:rPr>
        <w:t>包含日間部、</w:t>
      </w:r>
      <w:proofErr w:type="gramStart"/>
      <w:r w:rsidRPr="005B464B">
        <w:rPr>
          <w:rFonts w:hint="eastAsia"/>
        </w:rPr>
        <w:t>進修部及碩士</w:t>
      </w:r>
      <w:proofErr w:type="gramEnd"/>
      <w:r w:rsidRPr="005B464B">
        <w:rPr>
          <w:rFonts w:hint="eastAsia"/>
        </w:rPr>
        <w:t>班新生</w:t>
      </w:r>
      <w:r w:rsidRPr="005B464B">
        <w:t>)</w:t>
      </w:r>
      <w:r w:rsidRPr="005B464B">
        <w:rPr>
          <w:rFonts w:hint="eastAsia"/>
        </w:rPr>
        <w:t>為基準。</w:t>
      </w:r>
    </w:p>
    <w:p w:rsidR="00D974E1" w:rsidRPr="005B464B" w:rsidRDefault="00D974E1" w:rsidP="00D974E1">
      <w:pPr>
        <w:pStyle w:val="4"/>
        <w:numPr>
          <w:ilvl w:val="3"/>
          <w:numId w:val="1"/>
        </w:numPr>
      </w:pPr>
      <w:r w:rsidRPr="005B464B">
        <w:rPr>
          <w:rFonts w:hint="eastAsia"/>
        </w:rPr>
        <w:t>不宜將所有大學放在同一標準下衡量(如註冊率)，以達成各大學不同的社會責任。或者，放寬註冊率，讓學校多方調節發展。</w:t>
      </w:r>
    </w:p>
    <w:p w:rsidR="00D974E1" w:rsidRPr="005B464B" w:rsidRDefault="00D974E1" w:rsidP="00D974E1">
      <w:pPr>
        <w:pStyle w:val="4"/>
        <w:numPr>
          <w:ilvl w:val="3"/>
          <w:numId w:val="1"/>
        </w:numPr>
      </w:pPr>
      <w:r w:rsidRPr="005B464B">
        <w:rPr>
          <w:rFonts w:hint="eastAsia"/>
        </w:rPr>
        <w:t>加速高教轉型法規的鬆綁，如公勞保年資銜接、補助教職員優退</w:t>
      </w:r>
      <w:proofErr w:type="gramStart"/>
      <w:r w:rsidRPr="005B464B">
        <w:rPr>
          <w:rFonts w:hint="eastAsia"/>
        </w:rPr>
        <w:t>慰</w:t>
      </w:r>
      <w:proofErr w:type="gramEnd"/>
      <w:r w:rsidRPr="005B464B">
        <w:rPr>
          <w:rFonts w:hint="eastAsia"/>
        </w:rPr>
        <w:t>助金等。</w:t>
      </w:r>
    </w:p>
    <w:p w:rsidR="00D974E1" w:rsidRPr="005B464B" w:rsidRDefault="00D974E1" w:rsidP="00D974E1">
      <w:pPr>
        <w:pStyle w:val="4"/>
        <w:numPr>
          <w:ilvl w:val="3"/>
          <w:numId w:val="1"/>
        </w:numPr>
      </w:pPr>
      <w:r w:rsidRPr="005B464B">
        <w:rPr>
          <w:rFonts w:hint="eastAsia"/>
        </w:rPr>
        <w:t>公私立大學同</w:t>
      </w:r>
      <w:proofErr w:type="gramStart"/>
      <w:r w:rsidRPr="005B464B">
        <w:rPr>
          <w:rFonts w:hint="eastAsia"/>
        </w:rPr>
        <w:t>額減招</w:t>
      </w:r>
      <w:proofErr w:type="gramEnd"/>
      <w:r w:rsidR="00075373" w:rsidRPr="005B464B">
        <w:rPr>
          <w:rStyle w:val="aff2"/>
        </w:rPr>
        <w:footnoteReference w:id="48"/>
      </w:r>
      <w:r w:rsidRPr="005B464B">
        <w:rPr>
          <w:rFonts w:hint="eastAsia"/>
        </w:rPr>
        <w:t>：過去韓國面對</w:t>
      </w:r>
      <w:r w:rsidR="004573EB" w:rsidRPr="005B464B">
        <w:rPr>
          <w:rFonts w:hint="eastAsia"/>
        </w:rPr>
        <w:t>少子女化</w:t>
      </w:r>
      <w:r w:rsidRPr="005B464B">
        <w:rPr>
          <w:rFonts w:hint="eastAsia"/>
        </w:rPr>
        <w:t>的高教轉型作法是第1階段全面</w:t>
      </w:r>
      <w:proofErr w:type="gramStart"/>
      <w:r w:rsidRPr="005B464B">
        <w:rPr>
          <w:rFonts w:hint="eastAsia"/>
        </w:rPr>
        <w:t>同額減量</w:t>
      </w:r>
      <w:proofErr w:type="gramEnd"/>
      <w:r w:rsidRPr="005B464B">
        <w:rPr>
          <w:rFonts w:hint="eastAsia"/>
        </w:rPr>
        <w:t>，各大學招生名額每年各減3</w:t>
      </w:r>
      <w:r w:rsidR="006C619F" w:rsidRPr="005B464B">
        <w:rPr>
          <w:rFonts w:hint="eastAsia"/>
        </w:rPr>
        <w:t>％</w:t>
      </w:r>
      <w:r w:rsidRPr="005B464B">
        <w:rPr>
          <w:rFonts w:hint="eastAsia"/>
        </w:rPr>
        <w:t>，表現太差的學校甚至要減到6</w:t>
      </w:r>
      <w:r w:rsidR="006C619F" w:rsidRPr="005B464B">
        <w:rPr>
          <w:rFonts w:hint="eastAsia"/>
        </w:rPr>
        <w:t>％</w:t>
      </w:r>
      <w:r w:rsidRPr="005B464B">
        <w:rPr>
          <w:rFonts w:hint="eastAsia"/>
        </w:rPr>
        <w:t>，當大家調到一個比較安全的水位後，下一步才會進入大調整的階段。</w:t>
      </w:r>
    </w:p>
    <w:p w:rsidR="00D974E1" w:rsidRPr="005B464B" w:rsidRDefault="00D974E1" w:rsidP="00D974E1">
      <w:pPr>
        <w:pStyle w:val="4"/>
        <w:numPr>
          <w:ilvl w:val="3"/>
          <w:numId w:val="1"/>
        </w:numPr>
      </w:pPr>
      <w:r w:rsidRPr="005B464B">
        <w:rPr>
          <w:rFonts w:hint="eastAsia"/>
        </w:rPr>
        <w:t>自我減量縮小規模：將教師、職員與學生數縮小到能夠自立自強的規模。或者，對於大學校院總量管制能鬆綁，南北校區能因地規劃相關科系：如護理系科。</w:t>
      </w:r>
    </w:p>
    <w:p w:rsidR="00D974E1" w:rsidRPr="005B464B" w:rsidRDefault="00D974E1" w:rsidP="00D974E1">
      <w:pPr>
        <w:pStyle w:val="4"/>
        <w:numPr>
          <w:ilvl w:val="3"/>
          <w:numId w:val="1"/>
        </w:numPr>
      </w:pPr>
      <w:r w:rsidRPr="005B464B">
        <w:rPr>
          <w:rFonts w:hint="eastAsia"/>
        </w:rPr>
        <w:t>鬆綁對各大學的管理，讓各大學回歸企業化，自負盈虧。</w:t>
      </w:r>
    </w:p>
    <w:p w:rsidR="00D974E1" w:rsidRPr="005B464B" w:rsidRDefault="00D974E1" w:rsidP="00D974E1">
      <w:pPr>
        <w:pStyle w:val="4"/>
        <w:numPr>
          <w:ilvl w:val="3"/>
          <w:numId w:val="1"/>
        </w:numPr>
      </w:pPr>
      <w:r w:rsidRPr="005B464B">
        <w:rPr>
          <w:rFonts w:hint="eastAsia"/>
        </w:rPr>
        <w:t>鬆綁對大學學費的管理。</w:t>
      </w:r>
      <w:r w:rsidR="009B4D88" w:rsidRPr="005B464B">
        <w:rPr>
          <w:rFonts w:hint="eastAsia"/>
        </w:rPr>
        <w:t xml:space="preserve">　</w:t>
      </w:r>
      <w:r w:rsidR="00DF2C0E" w:rsidRPr="005B464B">
        <w:rPr>
          <w:rFonts w:hint="eastAsia"/>
        </w:rPr>
        <w:t xml:space="preserve">　</w:t>
      </w:r>
    </w:p>
    <w:p w:rsidR="00D974E1" w:rsidRPr="005B464B" w:rsidRDefault="00D974E1" w:rsidP="00D974E1">
      <w:pPr>
        <w:pStyle w:val="4"/>
        <w:numPr>
          <w:ilvl w:val="3"/>
          <w:numId w:val="1"/>
        </w:numPr>
      </w:pPr>
      <w:r w:rsidRPr="005B464B">
        <w:rPr>
          <w:rFonts w:hint="eastAsia"/>
        </w:rPr>
        <w:t>安南醫院願與校方進行產學合作，積極配合</w:t>
      </w:r>
      <w:proofErr w:type="gramStart"/>
      <w:r w:rsidRPr="005B464B">
        <w:rPr>
          <w:rFonts w:hint="eastAsia"/>
        </w:rPr>
        <w:t>臺</w:t>
      </w:r>
      <w:proofErr w:type="gramEnd"/>
      <w:r w:rsidRPr="005B464B">
        <w:rPr>
          <w:rFonts w:hint="eastAsia"/>
        </w:rPr>
        <w:t>南校區設置護理系科，臨床實習所需。</w:t>
      </w:r>
    </w:p>
    <w:p w:rsidR="00D974E1" w:rsidRPr="005B464B" w:rsidRDefault="00D974E1" w:rsidP="00D974E1">
      <w:pPr>
        <w:pStyle w:val="4"/>
        <w:numPr>
          <w:ilvl w:val="3"/>
          <w:numId w:val="1"/>
        </w:numPr>
      </w:pPr>
      <w:r w:rsidRPr="005B464B">
        <w:rPr>
          <w:rFonts w:hint="eastAsia"/>
        </w:rPr>
        <w:t>現今工科難以招生，因高職端已經因應調整，教</w:t>
      </w:r>
      <w:r w:rsidRPr="005B464B">
        <w:rPr>
          <w:rFonts w:hint="eastAsia"/>
        </w:rPr>
        <w:lastRenderedPageBreak/>
        <w:t>育部雖針對工農管控名額，但誘因不足，希望教育部提供學雜費減半等誘因。</w:t>
      </w:r>
    </w:p>
    <w:p w:rsidR="00ED344B" w:rsidRPr="005B464B" w:rsidRDefault="00ED344B" w:rsidP="00D974E1">
      <w:pPr>
        <w:pStyle w:val="3"/>
        <w:numPr>
          <w:ilvl w:val="2"/>
          <w:numId w:val="1"/>
        </w:numPr>
      </w:pPr>
      <w:bookmarkStart w:id="177" w:name="_Toc481599725"/>
      <w:bookmarkStart w:id="178" w:name="_Toc482030676"/>
      <w:bookmarkStart w:id="179" w:name="_Toc482031299"/>
      <w:bookmarkStart w:id="180" w:name="_Toc482109503"/>
      <w:r w:rsidRPr="005B464B">
        <w:rPr>
          <w:rFonts w:hint="eastAsia"/>
        </w:rPr>
        <w:t>又經實地履</w:t>
      </w:r>
      <w:proofErr w:type="gramStart"/>
      <w:r w:rsidRPr="005B464B">
        <w:rPr>
          <w:rFonts w:hint="eastAsia"/>
        </w:rPr>
        <w:t>勘</w:t>
      </w:r>
      <w:proofErr w:type="gramEnd"/>
      <w:r w:rsidRPr="005B464B">
        <w:rPr>
          <w:rFonts w:hint="eastAsia"/>
        </w:rPr>
        <w:t>發現</w:t>
      </w:r>
      <w:r w:rsidR="00D67A5C" w:rsidRPr="005B464B">
        <w:rPr>
          <w:rFonts w:hAnsi="標楷體" w:hint="eastAsia"/>
        </w:rPr>
        <w:t>，</w:t>
      </w:r>
      <w:r w:rsidRPr="005B464B">
        <w:rPr>
          <w:rFonts w:hint="eastAsia"/>
        </w:rPr>
        <w:t>部分私校為求生存及考量學生畢業後出路</w:t>
      </w:r>
      <w:r w:rsidRPr="005B464B">
        <w:rPr>
          <w:rFonts w:hAnsi="標楷體" w:hint="eastAsia"/>
        </w:rPr>
        <w:t>，在教</w:t>
      </w:r>
      <w:r w:rsidR="00C0074C" w:rsidRPr="005B464B">
        <w:rPr>
          <w:rFonts w:hAnsi="標楷體" w:hint="eastAsia"/>
        </w:rPr>
        <w:t>學</w:t>
      </w:r>
      <w:r w:rsidRPr="005B464B">
        <w:rPr>
          <w:rFonts w:hAnsi="標楷體" w:hint="eastAsia"/>
        </w:rPr>
        <w:t>規劃上</w:t>
      </w:r>
      <w:r w:rsidRPr="005B464B">
        <w:rPr>
          <w:rFonts w:hint="eastAsia"/>
        </w:rPr>
        <w:t>愈來愈強調實作</w:t>
      </w:r>
      <w:r w:rsidRPr="005B464B">
        <w:rPr>
          <w:rFonts w:hAnsi="標楷體" w:hint="eastAsia"/>
        </w:rPr>
        <w:t>，</w:t>
      </w:r>
      <w:r w:rsidRPr="005B464B">
        <w:rPr>
          <w:rFonts w:hint="eastAsia"/>
        </w:rPr>
        <w:t>尤其是科技大學</w:t>
      </w:r>
      <w:r w:rsidRPr="005B464B">
        <w:rPr>
          <w:rFonts w:hAnsi="標楷體" w:hint="eastAsia"/>
        </w:rPr>
        <w:t>，更</w:t>
      </w:r>
      <w:r w:rsidRPr="005B464B">
        <w:rPr>
          <w:rFonts w:hint="eastAsia"/>
        </w:rPr>
        <w:t>有走回技職教育</w:t>
      </w:r>
      <w:r w:rsidR="00C0074C" w:rsidRPr="005B464B">
        <w:rPr>
          <w:rFonts w:hint="eastAsia"/>
        </w:rPr>
        <w:t>老路</w:t>
      </w:r>
      <w:r w:rsidRPr="005B464B">
        <w:rPr>
          <w:rFonts w:hint="eastAsia"/>
        </w:rPr>
        <w:t>之傾向</w:t>
      </w:r>
      <w:r w:rsidRPr="005B464B">
        <w:rPr>
          <w:rFonts w:hAnsi="標楷體" w:hint="eastAsia"/>
        </w:rPr>
        <w:t>，</w:t>
      </w:r>
      <w:r w:rsidRPr="005B464B">
        <w:rPr>
          <w:rFonts w:hint="eastAsia"/>
        </w:rPr>
        <w:t>例如育達科技大學開設中西餐飲</w:t>
      </w:r>
      <w:r w:rsidRPr="005B464B">
        <w:rPr>
          <w:rFonts w:hAnsi="標楷體" w:hint="eastAsia"/>
        </w:rPr>
        <w:t>、手機修護等系所；聖約翰科技大學推動3D列印與設計學科</w:t>
      </w:r>
      <w:r w:rsidR="00D67A5C" w:rsidRPr="005B464B">
        <w:rPr>
          <w:rFonts w:hAnsi="標楷體" w:hint="eastAsia"/>
        </w:rPr>
        <w:t>及高齡照顧</w:t>
      </w:r>
      <w:r w:rsidR="00C0074C" w:rsidRPr="005B464B">
        <w:rPr>
          <w:rFonts w:hAnsi="標楷體" w:hint="eastAsia"/>
        </w:rPr>
        <w:t>科系</w:t>
      </w:r>
      <w:r w:rsidR="00D67A5C" w:rsidRPr="005B464B">
        <w:rPr>
          <w:rFonts w:hAnsi="標楷體" w:hint="eastAsia"/>
        </w:rPr>
        <w:t>；康寧大學設立幼兒照顧與長青學苑等，讓學生在校</w:t>
      </w:r>
      <w:r w:rsidR="00C0074C" w:rsidRPr="005B464B">
        <w:rPr>
          <w:rFonts w:hAnsi="標楷體" w:hint="eastAsia"/>
        </w:rPr>
        <w:t>期間</w:t>
      </w:r>
      <w:r w:rsidR="00D67A5C" w:rsidRPr="005B464B">
        <w:rPr>
          <w:rFonts w:hAnsi="標楷體" w:hint="eastAsia"/>
        </w:rPr>
        <w:t>即可培養實作能力及取得相關證照，其解決學生就業問題之用心固值肯定，然</w:t>
      </w:r>
      <w:r w:rsidR="00C0074C" w:rsidRPr="005B464B">
        <w:rPr>
          <w:rFonts w:hAnsi="標楷體" w:hint="eastAsia"/>
        </w:rPr>
        <w:t>近似</w:t>
      </w:r>
      <w:r w:rsidR="00D67A5C" w:rsidRPr="005B464B">
        <w:rPr>
          <w:rFonts w:hAnsi="標楷體" w:hint="eastAsia"/>
        </w:rPr>
        <w:t>補習班式之</w:t>
      </w:r>
      <w:r w:rsidR="00C0074C" w:rsidRPr="005B464B">
        <w:rPr>
          <w:rFonts w:hAnsi="標楷體" w:hint="eastAsia"/>
        </w:rPr>
        <w:t>教學</w:t>
      </w:r>
      <w:r w:rsidR="00D67A5C" w:rsidRPr="005B464B">
        <w:rPr>
          <w:rFonts w:hAnsi="標楷體" w:hint="eastAsia"/>
        </w:rPr>
        <w:t>氛圍，與高教追求全球競爭力之目標顯然有悖，</w:t>
      </w:r>
      <w:proofErr w:type="gramStart"/>
      <w:r w:rsidR="00C0074C" w:rsidRPr="005B464B">
        <w:rPr>
          <w:rFonts w:hAnsi="標楷體" w:hint="eastAsia"/>
        </w:rPr>
        <w:t>況</w:t>
      </w:r>
      <w:r w:rsidR="00D67A5C" w:rsidRPr="005B464B">
        <w:rPr>
          <w:rFonts w:hAnsi="標楷體" w:hint="eastAsia"/>
        </w:rPr>
        <w:t>囿</w:t>
      </w:r>
      <w:proofErr w:type="gramEnd"/>
      <w:r w:rsidR="00D67A5C" w:rsidRPr="005B464B">
        <w:rPr>
          <w:rFonts w:hAnsi="標楷體" w:hint="eastAsia"/>
        </w:rPr>
        <w:t>於經</w:t>
      </w:r>
      <w:r w:rsidR="00C0074C" w:rsidRPr="005B464B">
        <w:rPr>
          <w:rFonts w:hAnsi="標楷體" w:hint="eastAsia"/>
        </w:rPr>
        <w:t>費及師資，</w:t>
      </w:r>
      <w:r w:rsidR="00D67A5C" w:rsidRPr="005B464B">
        <w:rPr>
          <w:rFonts w:hAnsi="標楷體" w:hint="eastAsia"/>
        </w:rPr>
        <w:t>少有私校可投資</w:t>
      </w:r>
      <w:r w:rsidR="00C0074C" w:rsidRPr="005B464B">
        <w:rPr>
          <w:rFonts w:hAnsi="標楷體" w:hint="eastAsia"/>
        </w:rPr>
        <w:t>於與</w:t>
      </w:r>
      <w:r w:rsidR="00D67A5C" w:rsidRPr="005B464B">
        <w:rPr>
          <w:rFonts w:hAnsi="標楷體" w:hint="eastAsia"/>
        </w:rPr>
        <w:t>新經濟相關技能</w:t>
      </w:r>
      <w:r w:rsidR="00C0074C" w:rsidRPr="005B464B">
        <w:rPr>
          <w:rFonts w:hAnsi="標楷體" w:hint="eastAsia"/>
        </w:rPr>
        <w:t>培育</w:t>
      </w:r>
      <w:r w:rsidR="00D67A5C" w:rsidRPr="005B464B">
        <w:rPr>
          <w:rFonts w:hAnsi="標楷體" w:hint="eastAsia"/>
        </w:rPr>
        <w:t>之</w:t>
      </w:r>
      <w:r w:rsidR="00C0074C" w:rsidRPr="005B464B">
        <w:rPr>
          <w:rFonts w:hAnsi="標楷體" w:hint="eastAsia"/>
        </w:rPr>
        <w:t>課程或方案，亦與數位經濟的時代潮流相</w:t>
      </w:r>
      <w:proofErr w:type="gramStart"/>
      <w:r w:rsidR="00C0074C" w:rsidRPr="005B464B">
        <w:rPr>
          <w:rFonts w:hAnsi="標楷體" w:hint="eastAsia"/>
        </w:rPr>
        <w:t>扞</w:t>
      </w:r>
      <w:proofErr w:type="gramEnd"/>
      <w:r w:rsidR="00C0074C" w:rsidRPr="005B464B">
        <w:rPr>
          <w:rFonts w:hAnsi="標楷體" w:hint="eastAsia"/>
        </w:rPr>
        <w:t>格</w:t>
      </w:r>
      <w:r w:rsidR="00D67A5C" w:rsidRPr="005B464B">
        <w:rPr>
          <w:rFonts w:hAnsi="標楷體" w:hint="eastAsia"/>
        </w:rPr>
        <w:t>。</w:t>
      </w:r>
    </w:p>
    <w:p w:rsidR="00D974E1" w:rsidRPr="005B464B" w:rsidRDefault="00D974E1" w:rsidP="00D974E1">
      <w:pPr>
        <w:pStyle w:val="3"/>
        <w:numPr>
          <w:ilvl w:val="2"/>
          <w:numId w:val="1"/>
        </w:numPr>
      </w:pPr>
      <w:r w:rsidRPr="005B464B">
        <w:rPr>
          <w:rFonts w:hint="eastAsia"/>
        </w:rPr>
        <w:t>綜上，</w:t>
      </w:r>
      <w:bookmarkEnd w:id="177"/>
      <w:r w:rsidRPr="005B464B">
        <w:rPr>
          <w:rFonts w:hint="eastAsia"/>
        </w:rPr>
        <w:t>經由</w:t>
      </w:r>
      <w:r w:rsidRPr="005B464B">
        <w:rPr>
          <w:rFonts w:hint="eastAsia"/>
          <w:lang w:eastAsia="zh-HK"/>
        </w:rPr>
        <w:t>實地履</w:t>
      </w:r>
      <w:proofErr w:type="gramStart"/>
      <w:r w:rsidRPr="005B464B">
        <w:rPr>
          <w:rFonts w:hint="eastAsia"/>
          <w:lang w:eastAsia="zh-HK"/>
        </w:rPr>
        <w:t>勘</w:t>
      </w:r>
      <w:proofErr w:type="gramEnd"/>
      <w:r w:rsidRPr="005B464B">
        <w:rPr>
          <w:rFonts w:hint="eastAsia"/>
          <w:lang w:eastAsia="zh-HK"/>
        </w:rPr>
        <w:t>及專家學者諮詢，</w:t>
      </w:r>
      <w:r w:rsidRPr="005B464B">
        <w:rPr>
          <w:rFonts w:hint="eastAsia"/>
        </w:rPr>
        <w:t>本案</w:t>
      </w:r>
      <w:r w:rsidRPr="005B464B">
        <w:rPr>
          <w:rFonts w:hint="eastAsia"/>
          <w:lang w:eastAsia="zh-HK"/>
        </w:rPr>
        <w:t>了解</w:t>
      </w:r>
      <w:r w:rsidRPr="005B464B">
        <w:rPr>
          <w:rFonts w:hint="eastAsia"/>
        </w:rPr>
        <w:t>辦學及</w:t>
      </w:r>
      <w:r w:rsidRPr="005B464B">
        <w:rPr>
          <w:rFonts w:hint="eastAsia"/>
          <w:lang w:eastAsia="zh-HK"/>
        </w:rPr>
        <w:t>轉型</w:t>
      </w:r>
      <w:r w:rsidRPr="005B464B">
        <w:rPr>
          <w:rFonts w:hint="eastAsia"/>
        </w:rPr>
        <w:t>階段之私立大專校院經</w:t>
      </w:r>
      <w:r w:rsidRPr="005B464B">
        <w:rPr>
          <w:rFonts w:hint="eastAsia"/>
          <w:lang w:eastAsia="zh-HK"/>
        </w:rPr>
        <w:t>營近況，發現</w:t>
      </w:r>
      <w:r w:rsidRPr="005B464B">
        <w:rPr>
          <w:rFonts w:hint="eastAsia"/>
        </w:rPr>
        <w:t>多所</w:t>
      </w:r>
      <w:r w:rsidRPr="005B464B">
        <w:rPr>
          <w:rFonts w:hint="eastAsia"/>
          <w:lang w:eastAsia="zh-HK"/>
        </w:rPr>
        <w:t>學校財務收支僵化，難以為繼</w:t>
      </w:r>
      <w:r w:rsidRPr="005B464B">
        <w:rPr>
          <w:rFonts w:hint="eastAsia"/>
        </w:rPr>
        <w:t>，其營運模式有待教育部協助輔導</w:t>
      </w:r>
      <w:r w:rsidRPr="005B464B">
        <w:rPr>
          <w:rFonts w:hint="eastAsia"/>
          <w:lang w:eastAsia="zh-HK"/>
        </w:rPr>
        <w:t>，其中不乏認真辦學</w:t>
      </w:r>
      <w:r w:rsidRPr="005B464B">
        <w:rPr>
          <w:rFonts w:hint="eastAsia"/>
        </w:rPr>
        <w:t>及轉型中之學校亦遭逢相同困境者，教育部</w:t>
      </w:r>
      <w:proofErr w:type="gramStart"/>
      <w:r w:rsidRPr="005B464B">
        <w:rPr>
          <w:rFonts w:hint="eastAsia"/>
        </w:rPr>
        <w:t>允</w:t>
      </w:r>
      <w:proofErr w:type="gramEnd"/>
      <w:r w:rsidRPr="005B464B">
        <w:rPr>
          <w:rFonts w:hint="eastAsia"/>
        </w:rPr>
        <w:t>應予以正視，並提供學校經營之適度彈性，</w:t>
      </w:r>
      <w:proofErr w:type="gramStart"/>
      <w:r w:rsidRPr="005B464B">
        <w:rPr>
          <w:rFonts w:hint="eastAsia"/>
        </w:rPr>
        <w:t>俾</w:t>
      </w:r>
      <w:proofErr w:type="gramEnd"/>
      <w:r w:rsidRPr="005B464B">
        <w:rPr>
          <w:rFonts w:hint="eastAsia"/>
        </w:rPr>
        <w:t>利其</w:t>
      </w:r>
      <w:r w:rsidRPr="005B464B">
        <w:t>良性</w:t>
      </w:r>
      <w:r w:rsidRPr="005B464B">
        <w:rPr>
          <w:rFonts w:hint="eastAsia"/>
        </w:rPr>
        <w:t>發展</w:t>
      </w:r>
      <w:r w:rsidRPr="005B464B">
        <w:t>優勢</w:t>
      </w:r>
      <w:r w:rsidRPr="005B464B">
        <w:rPr>
          <w:rFonts w:hint="eastAsia"/>
        </w:rPr>
        <w:t>及亮點領域。</w:t>
      </w:r>
      <w:bookmarkEnd w:id="178"/>
      <w:bookmarkEnd w:id="179"/>
      <w:bookmarkEnd w:id="180"/>
    </w:p>
    <w:p w:rsidR="00D974E1" w:rsidRPr="005B464B" w:rsidRDefault="00D974E1" w:rsidP="00D974E1">
      <w:pPr>
        <w:pStyle w:val="3"/>
        <w:numPr>
          <w:ilvl w:val="0"/>
          <w:numId w:val="0"/>
        </w:numPr>
        <w:ind w:left="1361"/>
      </w:pPr>
    </w:p>
    <w:p w:rsidR="00D974E1" w:rsidRPr="005B464B" w:rsidRDefault="00D974E1" w:rsidP="00D974E1">
      <w:pPr>
        <w:pStyle w:val="2"/>
        <w:numPr>
          <w:ilvl w:val="1"/>
          <w:numId w:val="1"/>
        </w:numPr>
        <w:rPr>
          <w:rFonts w:hAnsi="Times New Roman"/>
          <w:b/>
          <w:bCs w:val="0"/>
          <w:szCs w:val="20"/>
        </w:rPr>
      </w:pPr>
      <w:bookmarkStart w:id="181" w:name="_Toc482031300"/>
      <w:bookmarkStart w:id="182" w:name="_Toc482109504"/>
      <w:bookmarkStart w:id="183" w:name="_Toc485138869"/>
      <w:r w:rsidRPr="005B464B">
        <w:rPr>
          <w:rFonts w:hint="eastAsia"/>
          <w:b/>
        </w:rPr>
        <w:t>教育部業於</w:t>
      </w:r>
      <w:proofErr w:type="gramStart"/>
      <w:r w:rsidRPr="005B464B">
        <w:rPr>
          <w:rFonts w:hint="eastAsia"/>
          <w:b/>
        </w:rPr>
        <w:t>106</w:t>
      </w:r>
      <w:proofErr w:type="gramEnd"/>
      <w:r w:rsidRPr="005B464B">
        <w:rPr>
          <w:rFonts w:hint="eastAsia"/>
          <w:b/>
        </w:rPr>
        <w:t>年度預算編列「大專校院轉型及退場基金</w:t>
      </w:r>
      <w:r w:rsidRPr="005B464B">
        <w:rPr>
          <w:rFonts w:hAnsi="Times New Roman" w:hint="eastAsia"/>
          <w:b/>
          <w:bCs w:val="0"/>
          <w:szCs w:val="20"/>
          <w:lang w:eastAsia="zh-HK"/>
        </w:rPr>
        <w:t>」提供學校融通轉型退場所需周轉金之誘因，惟</w:t>
      </w:r>
      <w:r w:rsidRPr="005B464B">
        <w:rPr>
          <w:rFonts w:hAnsi="Times New Roman" w:hint="eastAsia"/>
          <w:b/>
          <w:bCs w:val="0"/>
          <w:szCs w:val="20"/>
        </w:rPr>
        <w:t>法制面</w:t>
      </w:r>
      <w:r w:rsidRPr="005B464B">
        <w:rPr>
          <w:rFonts w:hAnsi="Times New Roman" w:hint="eastAsia"/>
          <w:b/>
          <w:bCs w:val="0"/>
          <w:szCs w:val="20"/>
          <w:lang w:eastAsia="zh-HK"/>
        </w:rPr>
        <w:t>未</w:t>
      </w:r>
      <w:r w:rsidRPr="005B464B">
        <w:rPr>
          <w:rFonts w:hAnsi="Times New Roman"/>
          <w:b/>
          <w:bCs w:val="0"/>
          <w:szCs w:val="20"/>
          <w:lang w:eastAsia="zh-HK"/>
        </w:rPr>
        <w:t>盡</w:t>
      </w:r>
      <w:r w:rsidRPr="005B464B">
        <w:rPr>
          <w:rFonts w:hAnsi="Times New Roman" w:hint="eastAsia"/>
          <w:b/>
          <w:bCs w:val="0"/>
          <w:szCs w:val="20"/>
          <w:lang w:eastAsia="zh-HK"/>
        </w:rPr>
        <w:t>完備，亟應加速充實</w:t>
      </w:r>
      <w:r w:rsidRPr="005B464B">
        <w:rPr>
          <w:rFonts w:hAnsi="Times New Roman"/>
          <w:b/>
          <w:bCs w:val="0"/>
          <w:szCs w:val="20"/>
          <w:lang w:eastAsia="zh-HK"/>
        </w:rPr>
        <w:t>法令規範</w:t>
      </w:r>
      <w:r w:rsidRPr="005B464B">
        <w:rPr>
          <w:rFonts w:hAnsi="Times New Roman" w:hint="eastAsia"/>
          <w:b/>
          <w:bCs w:val="0"/>
          <w:szCs w:val="20"/>
          <w:lang w:eastAsia="zh-HK"/>
        </w:rPr>
        <w:t>；又該</w:t>
      </w:r>
      <w:r w:rsidRPr="005B464B">
        <w:rPr>
          <w:rFonts w:hAnsi="Times New Roman" w:hint="eastAsia"/>
          <w:b/>
          <w:bCs w:val="0"/>
          <w:szCs w:val="20"/>
        </w:rPr>
        <w:t>有限</w:t>
      </w:r>
      <w:r w:rsidRPr="005B464B">
        <w:rPr>
          <w:rFonts w:hAnsi="Times New Roman" w:hint="eastAsia"/>
          <w:b/>
          <w:bCs w:val="0"/>
          <w:szCs w:val="20"/>
          <w:lang w:eastAsia="zh-HK"/>
        </w:rPr>
        <w:t>基金能否刺激學校提早規劃及平順處理轉型或退場</w:t>
      </w:r>
      <w:r w:rsidRPr="005B464B">
        <w:rPr>
          <w:rFonts w:hAnsi="Times New Roman" w:hint="eastAsia"/>
          <w:b/>
          <w:bCs w:val="0"/>
          <w:szCs w:val="20"/>
        </w:rPr>
        <w:t>事宜</w:t>
      </w:r>
      <w:r w:rsidRPr="005B464B">
        <w:rPr>
          <w:rFonts w:hAnsi="Times New Roman" w:hint="eastAsia"/>
          <w:b/>
          <w:bCs w:val="0"/>
          <w:szCs w:val="20"/>
          <w:lang w:eastAsia="zh-HK"/>
        </w:rPr>
        <w:t>，並符合</w:t>
      </w:r>
      <w:r w:rsidRPr="005B464B">
        <w:rPr>
          <w:rFonts w:hAnsi="Times New Roman" w:hint="eastAsia"/>
          <w:b/>
          <w:bCs w:val="0"/>
          <w:szCs w:val="20"/>
        </w:rPr>
        <w:t>融資</w:t>
      </w:r>
      <w:r w:rsidRPr="005B464B">
        <w:rPr>
          <w:rFonts w:hAnsi="Times New Roman" w:hint="eastAsia"/>
          <w:b/>
          <w:bCs w:val="0"/>
          <w:szCs w:val="20"/>
          <w:lang w:eastAsia="zh-HK"/>
        </w:rPr>
        <w:t>貸放收回之運用原則，不無疑義</w:t>
      </w:r>
      <w:r w:rsidRPr="005B464B">
        <w:rPr>
          <w:rFonts w:hAnsi="Times New Roman" w:hint="eastAsia"/>
          <w:b/>
          <w:bCs w:val="0"/>
          <w:szCs w:val="20"/>
        </w:rPr>
        <w:t>。</w:t>
      </w:r>
      <w:bookmarkEnd w:id="181"/>
      <w:bookmarkEnd w:id="182"/>
      <w:bookmarkEnd w:id="183"/>
    </w:p>
    <w:p w:rsidR="00D974E1" w:rsidRPr="005B464B" w:rsidRDefault="00D974E1" w:rsidP="00D974E1">
      <w:pPr>
        <w:pStyle w:val="3"/>
        <w:numPr>
          <w:ilvl w:val="2"/>
          <w:numId w:val="1"/>
        </w:numPr>
        <w:rPr>
          <w:rFonts w:hAnsi="Times New Roman"/>
          <w:szCs w:val="20"/>
        </w:rPr>
      </w:pPr>
      <w:bookmarkStart w:id="184" w:name="_Toc481599727"/>
      <w:bookmarkStart w:id="185" w:name="_Toc482030678"/>
      <w:bookmarkStart w:id="186" w:name="_Toc482031301"/>
      <w:bookmarkStart w:id="187" w:name="_Toc482109505"/>
      <w:r w:rsidRPr="005B464B">
        <w:rPr>
          <w:rFonts w:hint="eastAsia"/>
        </w:rPr>
        <w:t>預算之編製及執行應以財務管理為基礎。歲入之供特殊</w:t>
      </w:r>
      <w:r w:rsidRPr="005B464B">
        <w:rPr>
          <w:rFonts w:hAnsi="Times New Roman" w:hint="eastAsia"/>
          <w:szCs w:val="20"/>
        </w:rPr>
        <w:t>用途者，為特種基金。</w:t>
      </w:r>
      <w:r w:rsidRPr="005B464B">
        <w:rPr>
          <w:rFonts w:hint="eastAsia"/>
        </w:rPr>
        <w:t>特種基金之管理，得另以法律定之</w:t>
      </w:r>
      <w:r w:rsidRPr="005B464B">
        <w:rPr>
          <w:rFonts w:hAnsi="Times New Roman" w:hint="eastAsia"/>
          <w:szCs w:val="20"/>
        </w:rPr>
        <w:t>。政府設立之特種基金，除其預算編製</w:t>
      </w:r>
      <w:r w:rsidRPr="005B464B">
        <w:rPr>
          <w:rFonts w:hAnsi="Times New Roman" w:hint="eastAsia"/>
          <w:szCs w:val="20"/>
        </w:rPr>
        <w:lastRenderedPageBreak/>
        <w:t>程序依「預算法」規定辦理外，其收支保管辦法，由行政院定之，並送立法院查照。「預算法」第1條、第4條、第21條，以及「『中央法規標準法』第</w:t>
      </w:r>
      <w:r w:rsidRPr="005B464B">
        <w:rPr>
          <w:rFonts w:hAnsi="Times New Roman"/>
          <w:szCs w:val="20"/>
        </w:rPr>
        <w:t>3</w:t>
      </w:r>
      <w:r w:rsidRPr="005B464B">
        <w:rPr>
          <w:rFonts w:hAnsi="Times New Roman" w:hint="eastAsia"/>
          <w:szCs w:val="20"/>
        </w:rPr>
        <w:t>條及第</w:t>
      </w:r>
      <w:r w:rsidRPr="005B464B">
        <w:rPr>
          <w:rFonts w:hAnsi="Times New Roman"/>
          <w:szCs w:val="20"/>
        </w:rPr>
        <w:t>7</w:t>
      </w:r>
      <w:r w:rsidRPr="005B464B">
        <w:rPr>
          <w:rFonts w:hAnsi="Times New Roman" w:hint="eastAsia"/>
          <w:szCs w:val="20"/>
        </w:rPr>
        <w:t>條規定運用於法制作業實務之參考原則」第5點定有明文。又按「中央政府特種基金管理準則」第5條規定：「各機關申請設立特種基金時，應事先詳敘設立目的、基金來源及運用範圍，</w:t>
      </w:r>
      <w:proofErr w:type="gramStart"/>
      <w:r w:rsidRPr="005B464B">
        <w:rPr>
          <w:rFonts w:hAnsi="Times New Roman" w:hint="eastAsia"/>
          <w:szCs w:val="20"/>
        </w:rPr>
        <w:t>層請行政院</w:t>
      </w:r>
      <w:proofErr w:type="gramEnd"/>
      <w:r w:rsidRPr="005B464B">
        <w:rPr>
          <w:rFonts w:hAnsi="Times New Roman" w:hint="eastAsia"/>
          <w:szCs w:val="20"/>
        </w:rPr>
        <w:t>核准。但法律、條約、協定、契約、遺囑等已有</w:t>
      </w:r>
      <w:proofErr w:type="gramStart"/>
      <w:r w:rsidRPr="005B464B">
        <w:rPr>
          <w:rFonts w:hAnsi="Times New Roman" w:hint="eastAsia"/>
          <w:szCs w:val="20"/>
        </w:rPr>
        <w:t>明定者</w:t>
      </w:r>
      <w:proofErr w:type="gramEnd"/>
      <w:r w:rsidRPr="005B464B">
        <w:rPr>
          <w:rFonts w:hAnsi="Times New Roman" w:hint="eastAsia"/>
          <w:szCs w:val="20"/>
        </w:rPr>
        <w:t>，不在此限。」</w:t>
      </w:r>
      <w:r w:rsidRPr="005B464B">
        <w:rPr>
          <w:rFonts w:hAnsi="標楷體" w:hint="eastAsia"/>
          <w:kern w:val="0"/>
          <w:szCs w:val="32"/>
        </w:rPr>
        <w:t>、</w:t>
      </w:r>
      <w:r w:rsidRPr="005B464B">
        <w:rPr>
          <w:rFonts w:hAnsi="Times New Roman" w:hint="eastAsia"/>
          <w:szCs w:val="20"/>
        </w:rPr>
        <w:t>第8條規定：「前條所定收支保管及運用辦法，應載明下列事項：1、基金設立之目的。2、基金之性質。3、管理機關。4、基金來源。5、基金用途。6、預、決算處理程序。7、財務事務處理程序。8、會計事務處理程序。9、其他有關事項。」</w:t>
      </w:r>
      <w:bookmarkEnd w:id="184"/>
      <w:bookmarkEnd w:id="185"/>
      <w:bookmarkEnd w:id="186"/>
      <w:bookmarkEnd w:id="187"/>
    </w:p>
    <w:p w:rsidR="00D974E1" w:rsidRPr="005B464B" w:rsidRDefault="00D974E1" w:rsidP="00D974E1">
      <w:pPr>
        <w:pStyle w:val="3"/>
        <w:numPr>
          <w:ilvl w:val="2"/>
          <w:numId w:val="1"/>
        </w:numPr>
      </w:pPr>
      <w:bookmarkStart w:id="188" w:name="_Toc481599728"/>
      <w:bookmarkStart w:id="189" w:name="_Toc482030679"/>
      <w:bookmarkStart w:id="190" w:name="_Toc482031302"/>
      <w:bookmarkStart w:id="191" w:name="_Toc482109506"/>
      <w:r w:rsidRPr="005B464B">
        <w:rPr>
          <w:rFonts w:hint="eastAsia"/>
          <w:lang w:eastAsia="zh-HK"/>
        </w:rPr>
        <w:t>經查，</w:t>
      </w:r>
      <w:r w:rsidRPr="005B464B">
        <w:rPr>
          <w:rFonts w:hint="eastAsia"/>
        </w:rPr>
        <w:t>教育部「大專校院轉型及退場基金」設置計畫書，業奉行政院105年8月9日院</w:t>
      </w:r>
      <w:proofErr w:type="gramStart"/>
      <w:r w:rsidRPr="005B464B">
        <w:rPr>
          <w:rFonts w:hint="eastAsia"/>
        </w:rPr>
        <w:t>臺教字</w:t>
      </w:r>
      <w:proofErr w:type="gramEnd"/>
      <w:r w:rsidRPr="005B464B">
        <w:rPr>
          <w:rFonts w:hint="eastAsia"/>
        </w:rPr>
        <w:t>第1050172779號原則同意在案，</w:t>
      </w:r>
      <w:proofErr w:type="gramStart"/>
      <w:r w:rsidRPr="005B464B">
        <w:rPr>
          <w:rFonts w:hint="eastAsia"/>
        </w:rPr>
        <w:t>106</w:t>
      </w:r>
      <w:proofErr w:type="gramEnd"/>
      <w:r w:rsidRPr="005B464B">
        <w:rPr>
          <w:rFonts w:hint="eastAsia"/>
        </w:rPr>
        <w:t>年度業編列25億元預算成立該基金，預計逐年編列至50億元。</w:t>
      </w:r>
      <w:r w:rsidRPr="005B464B">
        <w:rPr>
          <w:rFonts w:hint="eastAsia"/>
          <w:lang w:eastAsia="zh-HK"/>
        </w:rPr>
        <w:t>上開基金設置目的及</w:t>
      </w:r>
      <w:r w:rsidRPr="005B464B">
        <w:rPr>
          <w:rFonts w:hint="eastAsia"/>
        </w:rPr>
        <w:t>規劃策略如下：</w:t>
      </w:r>
      <w:bookmarkEnd w:id="188"/>
      <w:bookmarkEnd w:id="189"/>
      <w:bookmarkEnd w:id="190"/>
      <w:bookmarkEnd w:id="191"/>
    </w:p>
    <w:p w:rsidR="00D974E1" w:rsidRPr="005B464B" w:rsidRDefault="00D974E1" w:rsidP="00D974E1">
      <w:pPr>
        <w:pStyle w:val="4"/>
        <w:numPr>
          <w:ilvl w:val="3"/>
          <w:numId w:val="1"/>
        </w:numPr>
      </w:pPr>
      <w:r w:rsidRPr="005B464B">
        <w:rPr>
          <w:rFonts w:hint="eastAsia"/>
          <w:lang w:eastAsia="zh-HK"/>
        </w:rPr>
        <w:t>設置目的：改善高等教育品質及因應少子女化趨勢影響，學校經營模式須透過轉型發展，維持校園資源公共性；同時協助停止全部招生及停辦之學校妥適辦理學生安置及協助教職員轉職。</w:t>
      </w:r>
    </w:p>
    <w:p w:rsidR="00D974E1" w:rsidRPr="005B464B" w:rsidRDefault="00D974E1" w:rsidP="00D974E1">
      <w:pPr>
        <w:pStyle w:val="4"/>
        <w:numPr>
          <w:ilvl w:val="3"/>
          <w:numId w:val="1"/>
        </w:numPr>
      </w:pPr>
      <w:r w:rsidRPr="005B464B">
        <w:rPr>
          <w:rFonts w:hint="eastAsia"/>
        </w:rPr>
        <w:t>規劃策略：</w:t>
      </w:r>
    </w:p>
    <w:p w:rsidR="00D974E1" w:rsidRPr="005B464B" w:rsidRDefault="00D974E1" w:rsidP="00D974E1">
      <w:pPr>
        <w:pStyle w:val="5"/>
        <w:numPr>
          <w:ilvl w:val="4"/>
          <w:numId w:val="1"/>
        </w:numPr>
      </w:pPr>
      <w:r w:rsidRPr="005B464B">
        <w:rPr>
          <w:rFonts w:hint="eastAsia"/>
        </w:rPr>
        <w:t>「轉型」面向：少子女化衝擊下導致學生人數減少，造成校務經營發生困境，學校應積極利用閒置校舍及土地，以利推動與教學、研究、實驗及推廣教育相關事業之轉型計畫，增進學校財務收入，維持學校正常運作。</w:t>
      </w:r>
    </w:p>
    <w:p w:rsidR="00D974E1" w:rsidRPr="005B464B" w:rsidRDefault="00D974E1" w:rsidP="00D974E1">
      <w:pPr>
        <w:pStyle w:val="5"/>
        <w:numPr>
          <w:ilvl w:val="4"/>
          <w:numId w:val="1"/>
        </w:numPr>
      </w:pPr>
      <w:r w:rsidRPr="005B464B">
        <w:rPr>
          <w:rFonts w:hint="eastAsia"/>
        </w:rPr>
        <w:t>「退場」面向：少子女化衝擊下，導致學校招</w:t>
      </w:r>
      <w:r w:rsidRPr="005B464B">
        <w:rPr>
          <w:rFonts w:hint="eastAsia"/>
        </w:rPr>
        <w:lastRenderedPageBreak/>
        <w:t>生不易。當學校無法繼續辦學時，在妥善安置教職員工，並維護學生受教權益之前提下，妥善辦理停辦事宜。</w:t>
      </w:r>
    </w:p>
    <w:p w:rsidR="00D974E1" w:rsidRPr="005B464B" w:rsidRDefault="00D974E1" w:rsidP="00D974E1">
      <w:pPr>
        <w:pStyle w:val="3"/>
        <w:numPr>
          <w:ilvl w:val="2"/>
          <w:numId w:val="1"/>
        </w:numPr>
        <w:rPr>
          <w:rFonts w:hAnsi="Times New Roman"/>
          <w:bCs w:val="0"/>
          <w:szCs w:val="20"/>
        </w:rPr>
      </w:pPr>
      <w:bookmarkStart w:id="192" w:name="_Toc481599729"/>
      <w:bookmarkStart w:id="193" w:name="_Toc482030680"/>
      <w:bookmarkStart w:id="194" w:name="_Toc482031303"/>
      <w:bookmarkStart w:id="195" w:name="_Toc482109507"/>
      <w:r w:rsidRPr="005B464B">
        <w:rPr>
          <w:rFonts w:hint="eastAsia"/>
          <w:lang w:eastAsia="zh-HK"/>
        </w:rPr>
        <w:t>次查，大專校院得就整體校務發展規劃提出轉型或退場計畫</w:t>
      </w:r>
      <w:r w:rsidRPr="005B464B">
        <w:rPr>
          <w:rFonts w:hint="eastAsia"/>
        </w:rPr>
        <w:t>，</w:t>
      </w:r>
      <w:r w:rsidRPr="005B464B">
        <w:rPr>
          <w:rFonts w:hint="eastAsia"/>
          <w:lang w:eastAsia="zh-HK"/>
        </w:rPr>
        <w:t>就所需資金向</w:t>
      </w:r>
      <w:r w:rsidRPr="005B464B">
        <w:rPr>
          <w:rFonts w:hint="eastAsia"/>
        </w:rPr>
        <w:t>「大專校院轉型及退場基金」</w:t>
      </w:r>
      <w:r w:rsidRPr="005B464B">
        <w:rPr>
          <w:rFonts w:hint="eastAsia"/>
          <w:lang w:eastAsia="zh-HK"/>
        </w:rPr>
        <w:t>申請融資，</w:t>
      </w:r>
      <w:r w:rsidRPr="005B464B">
        <w:rPr>
          <w:rFonts w:hint="eastAsia"/>
        </w:rPr>
        <w:t>教育部</w:t>
      </w:r>
      <w:r w:rsidRPr="005B464B">
        <w:rPr>
          <w:rFonts w:hint="eastAsia"/>
          <w:lang w:eastAsia="zh-HK"/>
        </w:rPr>
        <w:t>將設立</w:t>
      </w:r>
      <w:r w:rsidRPr="005B464B">
        <w:rPr>
          <w:rFonts w:hint="eastAsia"/>
        </w:rPr>
        <w:t>「大專校院轉型及退場基金</w:t>
      </w:r>
      <w:r w:rsidRPr="005B464B">
        <w:rPr>
          <w:rFonts w:hint="eastAsia"/>
          <w:lang w:eastAsia="zh-HK"/>
        </w:rPr>
        <w:t>管理會</w:t>
      </w:r>
      <w:r w:rsidRPr="005B464B">
        <w:rPr>
          <w:rFonts w:hint="eastAsia"/>
        </w:rPr>
        <w:t>」，</w:t>
      </w:r>
      <w:r w:rsidRPr="005B464B">
        <w:rPr>
          <w:rFonts w:hint="eastAsia"/>
          <w:lang w:eastAsia="zh-HK"/>
        </w:rPr>
        <w:t>審查學校所提之轉型計畫</w:t>
      </w:r>
      <w:proofErr w:type="gramStart"/>
      <w:r w:rsidRPr="005B464B">
        <w:rPr>
          <w:rFonts w:hint="eastAsia"/>
          <w:lang w:eastAsia="zh-HK"/>
        </w:rPr>
        <w:t>或停招停辦</w:t>
      </w:r>
      <w:proofErr w:type="gramEnd"/>
      <w:r w:rsidRPr="005B464B">
        <w:rPr>
          <w:rFonts w:hint="eastAsia"/>
          <w:lang w:eastAsia="zh-HK"/>
        </w:rPr>
        <w:t>計畫，並就學校發展現況、財務結構、整體校產規模、計畫可行性及未來還款規劃等面向進行審議，審查通過者得向承貸金融機構辦理貸款事宜，擬</w:t>
      </w:r>
      <w:proofErr w:type="gramStart"/>
      <w:r w:rsidRPr="005B464B">
        <w:rPr>
          <w:rFonts w:hint="eastAsia"/>
          <w:lang w:eastAsia="zh-HK"/>
        </w:rPr>
        <w:t>採</w:t>
      </w:r>
      <w:proofErr w:type="gramEnd"/>
      <w:r w:rsidRPr="005B464B">
        <w:rPr>
          <w:rFonts w:hint="eastAsia"/>
          <w:lang w:eastAsia="zh-HK"/>
        </w:rPr>
        <w:t>免利息或利息補貼措施，以支應轉型及退場過程所需經費之周轉金，減少學校財務負擔，學校應於處分相關財產或取得其他資金來源後，償還融資金額予</w:t>
      </w:r>
      <w:r w:rsidRPr="005B464B">
        <w:rPr>
          <w:rFonts w:hint="eastAsia"/>
        </w:rPr>
        <w:t>「大專校院轉型及退場基金」。</w:t>
      </w:r>
      <w:proofErr w:type="gramStart"/>
      <w:r w:rsidRPr="005B464B">
        <w:rPr>
          <w:rFonts w:hint="eastAsia"/>
        </w:rPr>
        <w:t>106</w:t>
      </w:r>
      <w:proofErr w:type="gramEnd"/>
      <w:r w:rsidRPr="005B464B">
        <w:rPr>
          <w:rFonts w:hint="eastAsia"/>
        </w:rPr>
        <w:t>年度</w:t>
      </w:r>
      <w:r w:rsidRPr="005B464B">
        <w:rPr>
          <w:rFonts w:hint="eastAsia"/>
          <w:lang w:eastAsia="zh-HK"/>
        </w:rPr>
        <w:t>該基金</w:t>
      </w:r>
      <w:r w:rsidRPr="005B464B">
        <w:rPr>
          <w:rFonts w:hint="eastAsia"/>
        </w:rPr>
        <w:t>預算編列</w:t>
      </w:r>
      <w:r w:rsidRPr="005B464B">
        <w:rPr>
          <w:rFonts w:hint="eastAsia"/>
          <w:lang w:eastAsia="zh-HK"/>
        </w:rPr>
        <w:t>國庫撥補收入</w:t>
      </w:r>
      <w:r w:rsidRPr="005B464B">
        <w:rPr>
          <w:rFonts w:hint="eastAsia"/>
        </w:rPr>
        <w:t>25億元</w:t>
      </w:r>
      <w:r w:rsidRPr="005B464B">
        <w:rPr>
          <w:rFonts w:hint="eastAsia"/>
          <w:lang w:eastAsia="zh-HK"/>
        </w:rPr>
        <w:t>，預算</w:t>
      </w:r>
      <w:r w:rsidRPr="005B464B">
        <w:rPr>
          <w:rFonts w:hAnsi="Times New Roman" w:hint="eastAsia"/>
          <w:bCs w:val="0"/>
          <w:szCs w:val="20"/>
        </w:rPr>
        <w:t>支出</w:t>
      </w:r>
      <w:r w:rsidRPr="005B464B">
        <w:rPr>
          <w:rFonts w:hint="eastAsia"/>
          <w:lang w:eastAsia="zh-HK"/>
        </w:rPr>
        <w:t>為</w:t>
      </w:r>
      <w:r w:rsidRPr="005B464B">
        <w:rPr>
          <w:rFonts w:hint="eastAsia"/>
        </w:rPr>
        <w:t>2億元，</w:t>
      </w:r>
      <w:r w:rsidRPr="005B464B">
        <w:rPr>
          <w:rFonts w:hint="eastAsia"/>
          <w:lang w:eastAsia="zh-HK"/>
        </w:rPr>
        <w:t>用途</w:t>
      </w:r>
      <w:r w:rsidRPr="005B464B">
        <w:rPr>
          <w:rFonts w:hAnsi="Times New Roman" w:hint="eastAsia"/>
          <w:bCs w:val="0"/>
          <w:szCs w:val="20"/>
          <w:lang w:eastAsia="zh-HK"/>
        </w:rPr>
        <w:t>如下</w:t>
      </w:r>
      <w:r w:rsidRPr="005B464B">
        <w:rPr>
          <w:rFonts w:hAnsi="Times New Roman" w:hint="eastAsia"/>
          <w:bCs w:val="0"/>
          <w:szCs w:val="20"/>
        </w:rPr>
        <w:t>：</w:t>
      </w:r>
      <w:bookmarkEnd w:id="192"/>
      <w:bookmarkEnd w:id="193"/>
      <w:bookmarkEnd w:id="194"/>
      <w:bookmarkEnd w:id="195"/>
    </w:p>
    <w:p w:rsidR="00D974E1" w:rsidRPr="005B464B" w:rsidRDefault="00D974E1" w:rsidP="00D974E1">
      <w:pPr>
        <w:pStyle w:val="4"/>
        <w:numPr>
          <w:ilvl w:val="3"/>
          <w:numId w:val="1"/>
        </w:numPr>
      </w:pPr>
      <w:r w:rsidRPr="005B464B">
        <w:rPr>
          <w:rFonts w:hint="eastAsia"/>
        </w:rPr>
        <w:t>協助學校轉型規劃、</w:t>
      </w:r>
      <w:proofErr w:type="gramStart"/>
      <w:r w:rsidRPr="005B464B">
        <w:rPr>
          <w:rFonts w:hint="eastAsia"/>
        </w:rPr>
        <w:t>擴展生源及</w:t>
      </w:r>
      <w:proofErr w:type="gramEnd"/>
      <w:r w:rsidRPr="005B464B">
        <w:rPr>
          <w:rFonts w:hint="eastAsia"/>
        </w:rPr>
        <w:t>活化</w:t>
      </w:r>
      <w:proofErr w:type="gramStart"/>
      <w:r w:rsidRPr="005B464B">
        <w:rPr>
          <w:rFonts w:hint="eastAsia"/>
        </w:rPr>
        <w:t>校地舍等</w:t>
      </w:r>
      <w:proofErr w:type="gramEnd"/>
      <w:r w:rsidRPr="005B464B">
        <w:t>1</w:t>
      </w:r>
      <w:r w:rsidRPr="005B464B">
        <w:rPr>
          <w:rFonts w:hint="eastAsia"/>
        </w:rPr>
        <w:t>億</w:t>
      </w:r>
      <w:r w:rsidRPr="005B464B">
        <w:t>5,280</w:t>
      </w:r>
      <w:r w:rsidRPr="005B464B">
        <w:rPr>
          <w:rFonts w:hint="eastAsia"/>
        </w:rPr>
        <w:t>萬元，</w:t>
      </w:r>
      <w:r w:rsidRPr="005B464B">
        <w:rPr>
          <w:rFonts w:hint="eastAsia"/>
          <w:lang w:eastAsia="zh-HK"/>
        </w:rPr>
        <w:t>諸如：</w:t>
      </w:r>
    </w:p>
    <w:p w:rsidR="00D974E1" w:rsidRPr="005B464B" w:rsidRDefault="00D974E1" w:rsidP="00D974E1">
      <w:pPr>
        <w:pStyle w:val="5"/>
        <w:numPr>
          <w:ilvl w:val="4"/>
          <w:numId w:val="1"/>
        </w:numPr>
      </w:pPr>
      <w:r w:rsidRPr="005B464B">
        <w:rPr>
          <w:rFonts w:hint="eastAsia"/>
        </w:rPr>
        <w:t>融資學校辦理轉型計畫所需費用1億4,000萬元。</w:t>
      </w:r>
    </w:p>
    <w:p w:rsidR="00D974E1" w:rsidRPr="005B464B" w:rsidRDefault="00D974E1" w:rsidP="00D974E1">
      <w:pPr>
        <w:pStyle w:val="5"/>
        <w:numPr>
          <w:ilvl w:val="4"/>
          <w:numId w:val="1"/>
        </w:numPr>
      </w:pPr>
      <w:r w:rsidRPr="005B464B">
        <w:rPr>
          <w:rFonts w:hint="eastAsia"/>
        </w:rPr>
        <w:t>委託金融機構辦理轉型計畫融資作業1,200萬元。</w:t>
      </w:r>
    </w:p>
    <w:p w:rsidR="00D974E1" w:rsidRPr="005B464B" w:rsidRDefault="00D974E1" w:rsidP="00D974E1">
      <w:pPr>
        <w:pStyle w:val="6"/>
        <w:numPr>
          <w:ilvl w:val="5"/>
          <w:numId w:val="1"/>
        </w:numPr>
      </w:pPr>
      <w:r w:rsidRPr="005B464B">
        <w:rPr>
          <w:rFonts w:hAnsi="Times New Roman" w:hint="eastAsia"/>
          <w:bCs/>
          <w:szCs w:val="20"/>
        </w:rPr>
        <w:t>委託銀行辦</w:t>
      </w:r>
      <w:r w:rsidRPr="005B464B">
        <w:rPr>
          <w:rFonts w:hint="eastAsia"/>
        </w:rPr>
        <w:t>理貸款(含學校財務報告資產負債價值及償債能力之徵信、學校擔保品抵押及信託保證等授信業務)。</w:t>
      </w:r>
    </w:p>
    <w:p w:rsidR="00D974E1" w:rsidRPr="005B464B" w:rsidRDefault="00D974E1" w:rsidP="00D974E1">
      <w:pPr>
        <w:pStyle w:val="6"/>
        <w:numPr>
          <w:ilvl w:val="5"/>
          <w:numId w:val="1"/>
        </w:numPr>
      </w:pPr>
      <w:r w:rsidRPr="005B464B">
        <w:rPr>
          <w:rFonts w:hint="eastAsia"/>
        </w:rPr>
        <w:t>委託銀行辦理還款帳</w:t>
      </w:r>
      <w:proofErr w:type="gramStart"/>
      <w:r w:rsidRPr="005B464B">
        <w:rPr>
          <w:rFonts w:hint="eastAsia"/>
        </w:rPr>
        <w:t>務</w:t>
      </w:r>
      <w:proofErr w:type="gramEnd"/>
      <w:r w:rsidRPr="005B464B">
        <w:rPr>
          <w:rFonts w:hint="eastAsia"/>
        </w:rPr>
        <w:t>催收等業務。</w:t>
      </w:r>
    </w:p>
    <w:p w:rsidR="00D974E1" w:rsidRPr="005B464B" w:rsidRDefault="00D974E1" w:rsidP="00D974E1">
      <w:pPr>
        <w:pStyle w:val="6"/>
        <w:numPr>
          <w:ilvl w:val="5"/>
          <w:numId w:val="1"/>
        </w:numPr>
        <w:rPr>
          <w:rFonts w:hAnsi="Times New Roman"/>
          <w:bCs/>
          <w:szCs w:val="20"/>
        </w:rPr>
      </w:pPr>
      <w:r w:rsidRPr="005B464B">
        <w:rPr>
          <w:rFonts w:hint="eastAsia"/>
        </w:rPr>
        <w:t>追蹤申貸學校還款情形，</w:t>
      </w:r>
      <w:proofErr w:type="gramStart"/>
      <w:r w:rsidRPr="005B464B">
        <w:rPr>
          <w:rFonts w:hint="eastAsia"/>
        </w:rPr>
        <w:t>若遇申貸</w:t>
      </w:r>
      <w:proofErr w:type="gramEnd"/>
      <w:r w:rsidRPr="005B464B">
        <w:rPr>
          <w:rFonts w:hint="eastAsia"/>
        </w:rPr>
        <w:t>學校無法還款，由銀行</w:t>
      </w:r>
      <w:proofErr w:type="gramStart"/>
      <w:r w:rsidRPr="005B464B">
        <w:rPr>
          <w:rFonts w:hint="eastAsia"/>
        </w:rPr>
        <w:t>循</w:t>
      </w:r>
      <w:proofErr w:type="gramEnd"/>
      <w:r w:rsidRPr="005B464B">
        <w:rPr>
          <w:rFonts w:hint="eastAsia"/>
        </w:rPr>
        <w:t>相關規</w:t>
      </w:r>
      <w:r w:rsidRPr="005B464B">
        <w:rPr>
          <w:rFonts w:hAnsi="Times New Roman" w:hint="eastAsia"/>
          <w:bCs/>
          <w:szCs w:val="20"/>
        </w:rPr>
        <w:t>範辦理清償程序。</w:t>
      </w:r>
    </w:p>
    <w:p w:rsidR="00D974E1" w:rsidRPr="005B464B" w:rsidRDefault="00D974E1" w:rsidP="00D974E1">
      <w:pPr>
        <w:pStyle w:val="5"/>
        <w:numPr>
          <w:ilvl w:val="4"/>
          <w:numId w:val="1"/>
        </w:numPr>
        <w:rPr>
          <w:rFonts w:hAnsi="Times New Roman"/>
          <w:bCs w:val="0"/>
          <w:szCs w:val="20"/>
        </w:rPr>
      </w:pPr>
      <w:r w:rsidRPr="005B464B">
        <w:rPr>
          <w:rFonts w:hAnsi="Times New Roman" w:hint="eastAsia"/>
          <w:bCs w:val="0"/>
          <w:szCs w:val="20"/>
          <w:lang w:eastAsia="zh-HK"/>
        </w:rPr>
        <w:t>基金管理會聘請會計師、估價師等專技人員，審視學校所提轉型計畫，計畫涉及不動產資產</w:t>
      </w:r>
      <w:r w:rsidRPr="005B464B">
        <w:rPr>
          <w:rFonts w:hAnsi="Times New Roman" w:hint="eastAsia"/>
          <w:bCs w:val="0"/>
          <w:szCs w:val="20"/>
          <w:lang w:eastAsia="zh-HK"/>
        </w:rPr>
        <w:lastRenderedPageBreak/>
        <w:t>活化、轉型財務規劃或辦</w:t>
      </w:r>
      <w:r w:rsidRPr="005B464B">
        <w:rPr>
          <w:rFonts w:hAnsi="Times New Roman" w:hint="eastAsia"/>
          <w:bCs w:val="0"/>
          <w:szCs w:val="20"/>
        </w:rPr>
        <w:t>理</w:t>
      </w:r>
      <w:r w:rsidRPr="005B464B">
        <w:rPr>
          <w:rFonts w:hAnsi="Times New Roman" w:hint="eastAsia"/>
          <w:bCs w:val="0"/>
          <w:szCs w:val="20"/>
          <w:lang w:eastAsia="zh-HK"/>
        </w:rPr>
        <w:t>方向提供財務評估意見，並就銀行評估報告，就其專業提供相關財務諮詢意見，所需費用60萬元。</w:t>
      </w:r>
    </w:p>
    <w:p w:rsidR="00D974E1" w:rsidRPr="005B464B" w:rsidRDefault="00D974E1" w:rsidP="00D974E1">
      <w:pPr>
        <w:pStyle w:val="5"/>
        <w:numPr>
          <w:ilvl w:val="4"/>
          <w:numId w:val="1"/>
        </w:numPr>
        <w:rPr>
          <w:rFonts w:hAnsi="Times New Roman"/>
          <w:bCs w:val="0"/>
          <w:szCs w:val="20"/>
        </w:rPr>
      </w:pPr>
      <w:r w:rsidRPr="005B464B">
        <w:rPr>
          <w:rFonts w:hAnsi="Times New Roman" w:hint="eastAsia"/>
          <w:bCs w:val="0"/>
          <w:szCs w:val="20"/>
          <w:lang w:eastAsia="zh-HK"/>
        </w:rPr>
        <w:t>審查會議相關費用20萬元。</w:t>
      </w:r>
    </w:p>
    <w:p w:rsidR="00D974E1" w:rsidRPr="005B464B" w:rsidRDefault="00D974E1" w:rsidP="00D974E1">
      <w:pPr>
        <w:pStyle w:val="4"/>
        <w:numPr>
          <w:ilvl w:val="3"/>
          <w:numId w:val="1"/>
        </w:numPr>
        <w:rPr>
          <w:rFonts w:hAnsi="Times New Roman"/>
          <w:bCs/>
          <w:szCs w:val="20"/>
        </w:rPr>
      </w:pPr>
      <w:proofErr w:type="gramStart"/>
      <w:r w:rsidRPr="005B464B">
        <w:rPr>
          <w:rFonts w:hAnsi="Times New Roman" w:hint="eastAsia"/>
          <w:bCs/>
          <w:szCs w:val="20"/>
        </w:rPr>
        <w:t>協助停招與</w:t>
      </w:r>
      <w:proofErr w:type="gramEnd"/>
      <w:r w:rsidRPr="005B464B">
        <w:rPr>
          <w:rFonts w:hint="eastAsia"/>
        </w:rPr>
        <w:t>停辦</w:t>
      </w:r>
      <w:r w:rsidRPr="005B464B">
        <w:rPr>
          <w:rFonts w:hAnsi="Times New Roman" w:hint="eastAsia"/>
          <w:bCs/>
          <w:szCs w:val="20"/>
        </w:rPr>
        <w:t>學校教學品質維護、學生轉學輔導及教職員安置相關業務</w:t>
      </w:r>
      <w:r w:rsidRPr="005B464B">
        <w:rPr>
          <w:rFonts w:hAnsi="Times New Roman"/>
          <w:bCs/>
          <w:szCs w:val="20"/>
        </w:rPr>
        <w:t>4,610</w:t>
      </w:r>
      <w:r w:rsidRPr="005B464B">
        <w:rPr>
          <w:rFonts w:hAnsi="Times New Roman" w:hint="eastAsia"/>
          <w:bCs/>
          <w:szCs w:val="20"/>
        </w:rPr>
        <w:t>萬元</w:t>
      </w:r>
      <w:r w:rsidRPr="005B464B">
        <w:rPr>
          <w:rFonts w:hint="eastAsia"/>
        </w:rPr>
        <w:t>，</w:t>
      </w:r>
      <w:r w:rsidRPr="005B464B">
        <w:rPr>
          <w:rFonts w:hint="eastAsia"/>
          <w:lang w:eastAsia="zh-HK"/>
        </w:rPr>
        <w:t>諸如：</w:t>
      </w:r>
    </w:p>
    <w:p w:rsidR="00D974E1" w:rsidRPr="005B464B" w:rsidRDefault="00D974E1" w:rsidP="00D974E1">
      <w:pPr>
        <w:pStyle w:val="5"/>
        <w:numPr>
          <w:ilvl w:val="4"/>
          <w:numId w:val="1"/>
        </w:numPr>
        <w:rPr>
          <w:rFonts w:hAnsi="Times New Roman"/>
          <w:bCs w:val="0"/>
          <w:szCs w:val="20"/>
        </w:rPr>
      </w:pPr>
      <w:r w:rsidRPr="005B464B">
        <w:rPr>
          <w:rFonts w:hAnsi="Times New Roman" w:hint="eastAsia"/>
          <w:bCs w:val="0"/>
          <w:szCs w:val="20"/>
        </w:rPr>
        <w:t>融資學校執行</w:t>
      </w:r>
      <w:proofErr w:type="gramStart"/>
      <w:r w:rsidRPr="005B464B">
        <w:rPr>
          <w:rFonts w:hAnsi="Times New Roman" w:hint="eastAsia"/>
          <w:bCs w:val="0"/>
          <w:szCs w:val="20"/>
        </w:rPr>
        <w:t>停招或</w:t>
      </w:r>
      <w:proofErr w:type="gramEnd"/>
      <w:r w:rsidRPr="005B464B">
        <w:rPr>
          <w:rFonts w:hAnsi="Times New Roman" w:hint="eastAsia"/>
          <w:bCs w:val="0"/>
          <w:szCs w:val="20"/>
        </w:rPr>
        <w:t>停辦計畫，辦理教職員資遣等經費4,000萬元。</w:t>
      </w:r>
    </w:p>
    <w:p w:rsidR="00D974E1" w:rsidRPr="005B464B" w:rsidRDefault="00D974E1" w:rsidP="00D974E1">
      <w:pPr>
        <w:pStyle w:val="5"/>
        <w:numPr>
          <w:ilvl w:val="4"/>
          <w:numId w:val="1"/>
        </w:numPr>
        <w:rPr>
          <w:rFonts w:hAnsi="Times New Roman"/>
          <w:bCs w:val="0"/>
          <w:szCs w:val="20"/>
        </w:rPr>
      </w:pPr>
      <w:r w:rsidRPr="005B464B">
        <w:rPr>
          <w:rFonts w:hAnsi="Times New Roman" w:hint="eastAsia"/>
          <w:bCs w:val="0"/>
          <w:szCs w:val="20"/>
        </w:rPr>
        <w:t>委託金融機構辦理融資作業600萬元。</w:t>
      </w:r>
    </w:p>
    <w:p w:rsidR="00D974E1" w:rsidRPr="005B464B" w:rsidRDefault="00D974E1" w:rsidP="00D974E1">
      <w:pPr>
        <w:pStyle w:val="5"/>
        <w:numPr>
          <w:ilvl w:val="4"/>
          <w:numId w:val="1"/>
        </w:numPr>
        <w:rPr>
          <w:rFonts w:hAnsi="Times New Roman"/>
          <w:bCs w:val="0"/>
          <w:szCs w:val="20"/>
        </w:rPr>
      </w:pPr>
      <w:r w:rsidRPr="005B464B">
        <w:rPr>
          <w:rFonts w:hAnsi="Times New Roman" w:hint="eastAsia"/>
          <w:bCs w:val="0"/>
          <w:szCs w:val="20"/>
          <w:lang w:eastAsia="zh-HK"/>
        </w:rPr>
        <w:t>審查會議相關費用10萬元。</w:t>
      </w:r>
    </w:p>
    <w:p w:rsidR="00D974E1" w:rsidRPr="005B464B" w:rsidRDefault="00D974E1" w:rsidP="00D974E1">
      <w:pPr>
        <w:pStyle w:val="4"/>
        <w:numPr>
          <w:ilvl w:val="3"/>
          <w:numId w:val="1"/>
        </w:numPr>
        <w:rPr>
          <w:rFonts w:hAnsi="Times New Roman"/>
          <w:bCs/>
          <w:szCs w:val="20"/>
        </w:rPr>
      </w:pPr>
      <w:r w:rsidRPr="005B464B">
        <w:rPr>
          <w:rFonts w:hAnsi="Times New Roman" w:hint="eastAsia"/>
          <w:bCs/>
          <w:szCs w:val="20"/>
          <w:lang w:eastAsia="zh-HK"/>
        </w:rPr>
        <w:t>一般行政管理110萬元</w:t>
      </w:r>
      <w:r w:rsidRPr="005B464B">
        <w:rPr>
          <w:rFonts w:hAnsi="Times New Roman" w:hint="eastAsia"/>
          <w:bCs/>
          <w:szCs w:val="20"/>
        </w:rPr>
        <w:t>，</w:t>
      </w:r>
      <w:r w:rsidRPr="005B464B">
        <w:rPr>
          <w:rFonts w:hAnsi="Times New Roman" w:hint="eastAsia"/>
          <w:bCs/>
          <w:szCs w:val="20"/>
          <w:lang w:eastAsia="zh-HK"/>
        </w:rPr>
        <w:t>諸如：</w:t>
      </w:r>
    </w:p>
    <w:p w:rsidR="00D974E1" w:rsidRPr="005B464B" w:rsidRDefault="00D974E1" w:rsidP="00D974E1">
      <w:pPr>
        <w:pStyle w:val="5"/>
        <w:numPr>
          <w:ilvl w:val="4"/>
          <w:numId w:val="1"/>
        </w:numPr>
      </w:pPr>
      <w:r w:rsidRPr="005B464B">
        <w:rPr>
          <w:rFonts w:hint="eastAsia"/>
        </w:rPr>
        <w:t>「大專校院轉型及退場基金</w:t>
      </w:r>
      <w:r w:rsidRPr="005B464B">
        <w:rPr>
          <w:rFonts w:hint="eastAsia"/>
          <w:lang w:eastAsia="zh-HK"/>
        </w:rPr>
        <w:t>管理會</w:t>
      </w:r>
      <w:r w:rsidRPr="005B464B">
        <w:rPr>
          <w:rFonts w:hint="eastAsia"/>
        </w:rPr>
        <w:t>」</w:t>
      </w:r>
      <w:r w:rsidRPr="005B464B">
        <w:rPr>
          <w:rFonts w:hint="eastAsia"/>
          <w:lang w:eastAsia="zh-HK"/>
        </w:rPr>
        <w:t>委員出席費90萬元。</w:t>
      </w:r>
    </w:p>
    <w:p w:rsidR="00D974E1" w:rsidRPr="005B464B" w:rsidRDefault="00D974E1" w:rsidP="00D974E1">
      <w:pPr>
        <w:pStyle w:val="5"/>
        <w:numPr>
          <w:ilvl w:val="4"/>
          <w:numId w:val="1"/>
        </w:numPr>
      </w:pPr>
      <w:r w:rsidRPr="005B464B">
        <w:rPr>
          <w:rFonts w:hint="eastAsia"/>
          <w:lang w:eastAsia="zh-HK"/>
        </w:rPr>
        <w:t>公務文件寄送郵資、印刷費及餐費等20萬元。</w:t>
      </w:r>
    </w:p>
    <w:p w:rsidR="00D974E1" w:rsidRPr="005B464B" w:rsidRDefault="00D974E1" w:rsidP="00D974E1">
      <w:pPr>
        <w:pStyle w:val="3"/>
        <w:numPr>
          <w:ilvl w:val="2"/>
          <w:numId w:val="1"/>
        </w:numPr>
      </w:pPr>
      <w:bookmarkStart w:id="196" w:name="_Toc481599730"/>
      <w:bookmarkStart w:id="197" w:name="_Toc482030681"/>
      <w:bookmarkStart w:id="198" w:name="_Toc482031304"/>
      <w:bookmarkStart w:id="199" w:name="_Toc482109508"/>
      <w:r w:rsidRPr="005B464B">
        <w:rPr>
          <w:rFonts w:hint="eastAsia"/>
        </w:rPr>
        <w:t>又</w:t>
      </w:r>
      <w:r w:rsidRPr="005B464B">
        <w:rPr>
          <w:rFonts w:hint="eastAsia"/>
          <w:lang w:eastAsia="zh-HK"/>
        </w:rPr>
        <w:t>查，教育部考量修法時程無法應付退場之急迫性，乃先完成核定「大專校院轉型及退場基金」設置計畫書</w:t>
      </w:r>
      <w:r w:rsidRPr="005B464B">
        <w:rPr>
          <w:rFonts w:hint="eastAsia"/>
        </w:rPr>
        <w:t>，依照上開計畫書所載，「大專校院轉型及退場基金」</w:t>
      </w:r>
      <w:r w:rsidRPr="005B464B">
        <w:t>財源分2階段</w:t>
      </w:r>
      <w:r w:rsidRPr="005B464B">
        <w:rPr>
          <w:rFonts w:hint="eastAsia"/>
        </w:rPr>
        <w:t>，第1階段先報請行政院核准設置「大專校院轉型及退場基金」，並依「預算法」規定訂定該基金之收支保管</w:t>
      </w:r>
      <w:r w:rsidRPr="005B464B">
        <w:rPr>
          <w:rFonts w:hint="eastAsia"/>
          <w:lang w:eastAsia="zh-HK"/>
        </w:rPr>
        <w:t>及運用辦法，明定管理方式、收入來源、支出用途等，循程序編制基金之年度預算；第2階段</w:t>
      </w:r>
      <w:r w:rsidRPr="005B464B">
        <w:rPr>
          <w:rFonts w:hint="eastAsia"/>
        </w:rPr>
        <w:t>再</w:t>
      </w:r>
      <w:r w:rsidRPr="005B464B">
        <w:rPr>
          <w:rFonts w:hint="eastAsia"/>
          <w:lang w:eastAsia="zh-HK"/>
        </w:rPr>
        <w:t>透過修正「私校法」或制定相關法令等方式</w:t>
      </w:r>
      <w:r w:rsidRPr="005B464B">
        <w:rPr>
          <w:lang w:eastAsia="zh-HK"/>
        </w:rPr>
        <w:t>，賦予該基金之設立法源，使學校法人清算解散後之賸餘財產，得納入該基金，</w:t>
      </w:r>
      <w:proofErr w:type="gramStart"/>
      <w:r w:rsidRPr="005B464B">
        <w:rPr>
          <w:lang w:eastAsia="zh-HK"/>
        </w:rPr>
        <w:t>俾</w:t>
      </w:r>
      <w:proofErr w:type="gramEnd"/>
      <w:r w:rsidRPr="005B464B">
        <w:rPr>
          <w:lang w:eastAsia="zh-HK"/>
        </w:rPr>
        <w:t>利確保學校賸餘財產使用之公共性及該基金之永續經營。</w:t>
      </w:r>
      <w:proofErr w:type="gramStart"/>
      <w:r w:rsidRPr="005B464B">
        <w:rPr>
          <w:rFonts w:hint="eastAsia"/>
        </w:rPr>
        <w:t>惟查</w:t>
      </w:r>
      <w:proofErr w:type="gramEnd"/>
      <w:r w:rsidRPr="005B464B">
        <w:rPr>
          <w:rFonts w:hint="eastAsia"/>
        </w:rPr>
        <w:t>，</w:t>
      </w:r>
      <w:hyperlink r:id="rId13" w:history="1">
        <w:r w:rsidRPr="005B464B">
          <w:rPr>
            <w:rFonts w:hint="eastAsia"/>
            <w:lang w:eastAsia="zh-HK"/>
          </w:rPr>
          <w:t>教育部</w:t>
        </w:r>
      </w:hyperlink>
      <w:r w:rsidRPr="005B464B">
        <w:rPr>
          <w:lang w:eastAsia="zh-HK"/>
        </w:rPr>
        <w:t>105</w:t>
      </w:r>
      <w:r w:rsidRPr="005B464B">
        <w:rPr>
          <w:rFonts w:hint="eastAsia"/>
          <w:lang w:eastAsia="zh-HK"/>
        </w:rPr>
        <w:t>年</w:t>
      </w:r>
      <w:r w:rsidRPr="005B464B">
        <w:rPr>
          <w:lang w:eastAsia="zh-HK"/>
        </w:rPr>
        <w:t>11</w:t>
      </w:r>
      <w:r w:rsidRPr="005B464B">
        <w:rPr>
          <w:rFonts w:hint="eastAsia"/>
          <w:lang w:eastAsia="zh-HK"/>
        </w:rPr>
        <w:t>月</w:t>
      </w:r>
      <w:r w:rsidRPr="005B464B">
        <w:rPr>
          <w:lang w:eastAsia="zh-HK"/>
        </w:rPr>
        <w:t>29</w:t>
      </w:r>
      <w:r w:rsidRPr="005B464B">
        <w:rPr>
          <w:rFonts w:hint="eastAsia"/>
          <w:lang w:eastAsia="zh-HK"/>
        </w:rPr>
        <w:t>日</w:t>
      </w:r>
      <w:r w:rsidRPr="005B464B">
        <w:rPr>
          <w:rFonts w:hint="eastAsia"/>
        </w:rPr>
        <w:t>雖將</w:t>
      </w:r>
      <w:r w:rsidRPr="005B464B">
        <w:rPr>
          <w:rFonts w:hint="eastAsia"/>
          <w:lang w:eastAsia="zh-HK"/>
        </w:rPr>
        <w:t>「大專校院轉型及退場基金收支保管及運用辦法」草案預告</w:t>
      </w:r>
      <w:r w:rsidRPr="005B464B">
        <w:rPr>
          <w:rFonts w:hint="eastAsia"/>
        </w:rPr>
        <w:t>周知</w:t>
      </w:r>
      <w:r w:rsidRPr="005B464B">
        <w:rPr>
          <w:rFonts w:hint="eastAsia"/>
          <w:lang w:eastAsia="zh-HK"/>
        </w:rPr>
        <w:t>，</w:t>
      </w:r>
      <w:r w:rsidRPr="005B464B">
        <w:rPr>
          <w:rFonts w:hint="eastAsia"/>
        </w:rPr>
        <w:t>然而，此草案後續迄未</w:t>
      </w:r>
      <w:r w:rsidRPr="005B464B">
        <w:rPr>
          <w:rFonts w:hAnsi="Times New Roman" w:hint="eastAsia"/>
          <w:szCs w:val="20"/>
        </w:rPr>
        <w:t>報請行政院核定發布，並送立法院查照，</w:t>
      </w:r>
      <w:proofErr w:type="gramStart"/>
      <w:r w:rsidRPr="005B464B">
        <w:rPr>
          <w:rFonts w:hAnsi="Times New Roman" w:hint="eastAsia"/>
          <w:szCs w:val="20"/>
        </w:rPr>
        <w:t>況</w:t>
      </w:r>
      <w:proofErr w:type="gramEnd"/>
      <w:r w:rsidRPr="005B464B">
        <w:rPr>
          <w:rFonts w:hAnsi="Times New Roman" w:hint="eastAsia"/>
          <w:szCs w:val="20"/>
        </w:rPr>
        <w:t>增加該基金財源規劃</w:t>
      </w:r>
      <w:r w:rsidRPr="005B464B">
        <w:rPr>
          <w:rFonts w:hAnsi="Times New Roman"/>
          <w:szCs w:val="20"/>
        </w:rPr>
        <w:t>欠缺法律授權之依據</w:t>
      </w:r>
      <w:r w:rsidRPr="005B464B">
        <w:rPr>
          <w:rFonts w:hAnsi="Times New Roman" w:hint="eastAsia"/>
          <w:szCs w:val="20"/>
        </w:rPr>
        <w:t>，</w:t>
      </w:r>
      <w:proofErr w:type="gramStart"/>
      <w:r w:rsidRPr="005B464B">
        <w:rPr>
          <w:rFonts w:hAnsi="Times New Roman" w:hint="eastAsia"/>
          <w:szCs w:val="20"/>
        </w:rPr>
        <w:t>足徵該</w:t>
      </w:r>
      <w:proofErr w:type="gramEnd"/>
      <w:r w:rsidRPr="005B464B">
        <w:rPr>
          <w:rFonts w:hAnsi="Times New Roman" w:hint="eastAsia"/>
          <w:szCs w:val="20"/>
        </w:rPr>
        <w:t>基金相關</w:t>
      </w:r>
      <w:r w:rsidRPr="005B464B">
        <w:rPr>
          <w:lang w:eastAsia="zh-HK"/>
        </w:rPr>
        <w:t>法令規範</w:t>
      </w:r>
      <w:r w:rsidRPr="005B464B">
        <w:rPr>
          <w:rFonts w:hAnsi="Times New Roman"/>
          <w:szCs w:val="20"/>
        </w:rPr>
        <w:t>未見</w:t>
      </w:r>
      <w:r w:rsidRPr="005B464B">
        <w:rPr>
          <w:rFonts w:hAnsi="Times New Roman"/>
          <w:szCs w:val="20"/>
        </w:rPr>
        <w:lastRenderedPageBreak/>
        <w:t>完備。</w:t>
      </w:r>
      <w:bookmarkEnd w:id="196"/>
      <w:bookmarkEnd w:id="197"/>
      <w:bookmarkEnd w:id="198"/>
      <w:bookmarkEnd w:id="199"/>
    </w:p>
    <w:p w:rsidR="00D974E1" w:rsidRPr="005B464B" w:rsidRDefault="00D974E1" w:rsidP="00D974E1">
      <w:pPr>
        <w:pStyle w:val="3"/>
        <w:numPr>
          <w:ilvl w:val="2"/>
          <w:numId w:val="1"/>
        </w:numPr>
        <w:rPr>
          <w:rFonts w:ascii="Times New Roman" w:hAnsi="Times New Roman"/>
          <w:bCs w:val="0"/>
          <w:kern w:val="0"/>
          <w:sz w:val="28"/>
          <w:szCs w:val="28"/>
        </w:rPr>
      </w:pPr>
      <w:bookmarkStart w:id="200" w:name="_Toc481599731"/>
      <w:bookmarkStart w:id="201" w:name="_Toc482030682"/>
      <w:bookmarkStart w:id="202" w:name="_Toc482031305"/>
      <w:bookmarkStart w:id="203" w:name="_Toc482109509"/>
      <w:r w:rsidRPr="005B464B">
        <w:rPr>
          <w:rFonts w:hint="eastAsia"/>
          <w:lang w:eastAsia="zh-HK"/>
        </w:rPr>
        <w:t>另查，</w:t>
      </w:r>
      <w:r w:rsidRPr="005B464B">
        <w:rPr>
          <w:rFonts w:hint="eastAsia"/>
        </w:rPr>
        <w:t>本案106年3月13日</w:t>
      </w:r>
      <w:r w:rsidRPr="005B464B">
        <w:rPr>
          <w:rFonts w:hAnsi="標楷體" w:hint="eastAsia"/>
        </w:rPr>
        <w:t>諮詢前</w:t>
      </w:r>
      <w:r w:rsidRPr="005B464B">
        <w:rPr>
          <w:rFonts w:hint="eastAsia"/>
        </w:rPr>
        <w:t>教育部部長吳教授思華</w:t>
      </w:r>
      <w:r w:rsidRPr="005B464B">
        <w:rPr>
          <w:rFonts w:hint="eastAsia"/>
          <w:lang w:eastAsia="zh-HK"/>
        </w:rPr>
        <w:t>指出</w:t>
      </w:r>
      <w:r w:rsidRPr="005B464B">
        <w:rPr>
          <w:rFonts w:hint="eastAsia"/>
        </w:rPr>
        <w:t>，</w:t>
      </w:r>
      <w:r w:rsidRPr="005B464B">
        <w:rPr>
          <w:rFonts w:hAnsi="標楷體" w:hint="eastAsia"/>
          <w:szCs w:val="32"/>
        </w:rPr>
        <w:t>其</w:t>
      </w:r>
      <w:r w:rsidRPr="005B464B">
        <w:rPr>
          <w:rFonts w:hAnsi="標楷體" w:hint="eastAsia"/>
          <w:szCs w:val="32"/>
          <w:lang w:eastAsia="zh-HK"/>
        </w:rPr>
        <w:t>任內</w:t>
      </w:r>
      <w:r w:rsidRPr="005B464B">
        <w:rPr>
          <w:rFonts w:hAnsi="標楷體" w:hint="eastAsia"/>
          <w:szCs w:val="32"/>
        </w:rPr>
        <w:t>沒有想要用基金的方式處理</w:t>
      </w:r>
      <w:r w:rsidRPr="005B464B">
        <w:rPr>
          <w:rFonts w:hAnsi="標楷體" w:hint="eastAsia"/>
          <w:szCs w:val="32"/>
          <w:lang w:eastAsia="zh-HK"/>
        </w:rPr>
        <w:t>轉型</w:t>
      </w:r>
      <w:r w:rsidRPr="005B464B">
        <w:rPr>
          <w:rFonts w:hAnsi="標楷體" w:hint="eastAsia"/>
          <w:szCs w:val="32"/>
        </w:rPr>
        <w:t>退場，</w:t>
      </w:r>
      <w:r w:rsidRPr="005B464B">
        <w:rPr>
          <w:rFonts w:hAnsi="標楷體" w:hint="eastAsia"/>
          <w:szCs w:val="32"/>
          <w:lang w:eastAsia="zh-HK"/>
        </w:rPr>
        <w:t>我們是給學校補助款，</w:t>
      </w:r>
      <w:r w:rsidRPr="005B464B">
        <w:rPr>
          <w:rFonts w:hAnsi="標楷體" w:hint="eastAsia"/>
          <w:szCs w:val="32"/>
        </w:rPr>
        <w:t>但是補助金額不是很高，而且補助款也是分階段給，第1階段做的好才會有第2階段的經費，第2階段做的好才會有第3階段的經費，當時想法不是基金的概念</w:t>
      </w:r>
      <w:r w:rsidRPr="005B464B">
        <w:rPr>
          <w:rFonts w:hAnsi="標楷體" w:hint="eastAsia"/>
          <w:szCs w:val="32"/>
          <w:lang w:eastAsia="zh-HK"/>
        </w:rPr>
        <w:t>，學校不用將這筆錢還給教育部，</w:t>
      </w:r>
      <w:r w:rsidRPr="005B464B">
        <w:rPr>
          <w:rFonts w:hAnsi="標楷體" w:hint="eastAsia"/>
          <w:szCs w:val="32"/>
        </w:rPr>
        <w:t>現今要用基金的概念等於說當成是投資，投資也不是說不行，但是跟國發會投資網路公司或小公司是不一樣的，教育部投資的對象是非營利組織，回收的錢要從那裡來？這會把事情搞得更複雜，嚴格來講，教育部是不會處理</w:t>
      </w:r>
      <w:r w:rsidRPr="005B464B">
        <w:rPr>
          <w:rFonts w:hAnsi="標楷體" w:hint="eastAsia"/>
          <w:szCs w:val="32"/>
          <w:lang w:eastAsia="zh-HK"/>
        </w:rPr>
        <w:t>等語。又本院同年4月21日前往聖約翰科技大學履</w:t>
      </w:r>
      <w:proofErr w:type="gramStart"/>
      <w:r w:rsidRPr="005B464B">
        <w:rPr>
          <w:rFonts w:hAnsi="標楷體" w:hint="eastAsia"/>
          <w:szCs w:val="32"/>
          <w:lang w:eastAsia="zh-HK"/>
        </w:rPr>
        <w:t>勘</w:t>
      </w:r>
      <w:proofErr w:type="gramEnd"/>
      <w:r w:rsidRPr="005B464B">
        <w:rPr>
          <w:rFonts w:hAnsi="標楷體" w:hint="eastAsia"/>
          <w:szCs w:val="32"/>
          <w:lang w:eastAsia="zh-HK"/>
        </w:rPr>
        <w:t>、聽取簡報並召開座談會時，校方指稱</w:t>
      </w:r>
      <w:r w:rsidRPr="005B464B">
        <w:rPr>
          <w:rFonts w:hAnsi="標楷體"/>
          <w:szCs w:val="32"/>
          <w:lang w:eastAsia="zh-HK"/>
        </w:rPr>
        <w:t>106</w:t>
      </w:r>
      <w:r w:rsidRPr="005B464B">
        <w:rPr>
          <w:rFonts w:hAnsi="標楷體" w:hint="eastAsia"/>
          <w:szCs w:val="32"/>
          <w:lang w:eastAsia="zh-HK"/>
        </w:rPr>
        <w:t>年編列</w:t>
      </w:r>
      <w:r w:rsidRPr="005B464B">
        <w:rPr>
          <w:rFonts w:hAnsi="標楷體"/>
          <w:szCs w:val="32"/>
          <w:lang w:eastAsia="zh-HK"/>
        </w:rPr>
        <w:t>25</w:t>
      </w:r>
      <w:r w:rsidRPr="005B464B">
        <w:rPr>
          <w:rFonts w:hAnsi="標楷體" w:hint="eastAsia"/>
          <w:szCs w:val="32"/>
          <w:lang w:eastAsia="zh-HK"/>
        </w:rPr>
        <w:t>億元基金作為大學退場安置之用，意謂大學退場勢在必行，讓可能被退場的各校提出，很容易因自我保護，莫衷一是，白白耗費了社會寶貴的時間與資源等語。</w:t>
      </w:r>
      <w:proofErr w:type="gramStart"/>
      <w:r w:rsidRPr="005B464B">
        <w:rPr>
          <w:rFonts w:hAnsi="標楷體" w:hint="eastAsia"/>
          <w:szCs w:val="32"/>
          <w:lang w:eastAsia="zh-HK"/>
        </w:rPr>
        <w:t>復本院</w:t>
      </w:r>
      <w:proofErr w:type="gramEnd"/>
      <w:r w:rsidRPr="005B464B">
        <w:rPr>
          <w:rFonts w:hAnsi="標楷體" w:hint="eastAsia"/>
          <w:szCs w:val="32"/>
          <w:lang w:eastAsia="zh-HK"/>
        </w:rPr>
        <w:t>同年5月1日諮詢專家學者意見表示，基金50億元杯水車薪，性質屬於貸款，如同處理關廠</w:t>
      </w:r>
      <w:r w:rsidRPr="005B464B">
        <w:rPr>
          <w:rFonts w:hAnsi="標楷體" w:hint="eastAsia"/>
          <w:szCs w:val="32"/>
        </w:rPr>
        <w:t>工人的積欠工資墊償，已經走到最後，才處理工資墊償，一點意義都沒有</w:t>
      </w:r>
      <w:r w:rsidRPr="005B464B">
        <w:rPr>
          <w:rFonts w:hAnsi="標楷體" w:hint="eastAsia"/>
          <w:szCs w:val="32"/>
          <w:lang w:eastAsia="zh-HK"/>
        </w:rPr>
        <w:t>等語</w:t>
      </w:r>
      <w:r w:rsidRPr="005B464B">
        <w:rPr>
          <w:rFonts w:hAnsi="標楷體" w:hint="eastAsia"/>
          <w:szCs w:val="32"/>
        </w:rPr>
        <w:t>。是故，前揭論述突顯</w:t>
      </w:r>
      <w:r w:rsidRPr="005B464B">
        <w:rPr>
          <w:rFonts w:hint="eastAsia"/>
          <w:lang w:eastAsia="zh-HK"/>
        </w:rPr>
        <w:t>「大專校院轉型及退場基金」能否刺激學校提早規劃及平順處理其轉型或退場，並符合融資貸放收回之運用原則，不無疑義</w:t>
      </w:r>
      <w:r w:rsidRPr="005B464B">
        <w:rPr>
          <w:rFonts w:hint="eastAsia"/>
        </w:rPr>
        <w:t>。</w:t>
      </w:r>
      <w:bookmarkEnd w:id="200"/>
      <w:bookmarkEnd w:id="201"/>
      <w:bookmarkEnd w:id="202"/>
      <w:bookmarkEnd w:id="203"/>
    </w:p>
    <w:p w:rsidR="00D974E1" w:rsidRPr="005B464B" w:rsidRDefault="00D974E1" w:rsidP="00D974E1">
      <w:pPr>
        <w:pStyle w:val="3"/>
        <w:numPr>
          <w:ilvl w:val="2"/>
          <w:numId w:val="1"/>
        </w:numPr>
        <w:tabs>
          <w:tab w:val="left" w:pos="5103"/>
        </w:tabs>
        <w:rPr>
          <w:rFonts w:ascii="Times New Roman" w:hAnsi="Times New Roman"/>
          <w:bCs w:val="0"/>
          <w:kern w:val="0"/>
          <w:sz w:val="28"/>
          <w:szCs w:val="28"/>
        </w:rPr>
      </w:pPr>
      <w:bookmarkStart w:id="204" w:name="_Toc481599732"/>
      <w:bookmarkStart w:id="205" w:name="_Toc482030683"/>
      <w:bookmarkStart w:id="206" w:name="_Toc482031306"/>
      <w:bookmarkStart w:id="207" w:name="_Toc482109510"/>
      <w:r w:rsidRPr="005B464B">
        <w:rPr>
          <w:rFonts w:hint="eastAsia"/>
          <w:lang w:eastAsia="zh-HK"/>
        </w:rPr>
        <w:t>綜上，教育部業於</w:t>
      </w:r>
      <w:proofErr w:type="gramStart"/>
      <w:r w:rsidRPr="005B464B">
        <w:rPr>
          <w:rFonts w:hint="eastAsia"/>
          <w:lang w:eastAsia="zh-HK"/>
        </w:rPr>
        <w:t>106</w:t>
      </w:r>
      <w:proofErr w:type="gramEnd"/>
      <w:r w:rsidRPr="005B464B">
        <w:rPr>
          <w:rFonts w:hint="eastAsia"/>
          <w:lang w:eastAsia="zh-HK"/>
        </w:rPr>
        <w:t>年度預算編列「大專校院轉型及退場基金」提供學校融通轉型退場所需周轉金之誘因，惟法制面未</w:t>
      </w:r>
      <w:r w:rsidRPr="005B464B">
        <w:rPr>
          <w:lang w:eastAsia="zh-HK"/>
        </w:rPr>
        <w:t>盡</w:t>
      </w:r>
      <w:r w:rsidRPr="005B464B">
        <w:rPr>
          <w:rFonts w:hint="eastAsia"/>
          <w:lang w:eastAsia="zh-HK"/>
        </w:rPr>
        <w:t>完備，亟應加速充實</w:t>
      </w:r>
      <w:r w:rsidRPr="005B464B">
        <w:rPr>
          <w:lang w:eastAsia="zh-HK"/>
        </w:rPr>
        <w:t>法令規範</w:t>
      </w:r>
      <w:r w:rsidRPr="005B464B">
        <w:rPr>
          <w:rFonts w:hint="eastAsia"/>
          <w:lang w:eastAsia="zh-HK"/>
        </w:rPr>
        <w:t>；又該</w:t>
      </w:r>
      <w:r w:rsidRPr="005B464B">
        <w:rPr>
          <w:rFonts w:hint="eastAsia"/>
        </w:rPr>
        <w:t>有限</w:t>
      </w:r>
      <w:r w:rsidRPr="005B464B">
        <w:rPr>
          <w:rFonts w:hint="eastAsia"/>
          <w:lang w:eastAsia="zh-HK"/>
        </w:rPr>
        <w:t>基金</w:t>
      </w:r>
      <w:r w:rsidRPr="005B464B">
        <w:rPr>
          <w:rStyle w:val="aff2"/>
          <w:lang w:eastAsia="zh-HK"/>
        </w:rPr>
        <w:footnoteReference w:id="49"/>
      </w:r>
      <w:r w:rsidRPr="005B464B">
        <w:rPr>
          <w:rFonts w:hint="eastAsia"/>
          <w:lang w:eastAsia="zh-HK"/>
        </w:rPr>
        <w:t>能否刺激學校提早規劃及平順</w:t>
      </w:r>
      <w:r w:rsidRPr="005B464B">
        <w:rPr>
          <w:rFonts w:hint="eastAsia"/>
          <w:lang w:eastAsia="zh-HK"/>
        </w:rPr>
        <w:lastRenderedPageBreak/>
        <w:t>處理轉型或退場</w:t>
      </w:r>
      <w:r w:rsidRPr="005B464B">
        <w:rPr>
          <w:rFonts w:hint="eastAsia"/>
        </w:rPr>
        <w:t>事宜</w:t>
      </w:r>
      <w:r w:rsidRPr="005B464B">
        <w:rPr>
          <w:rFonts w:hint="eastAsia"/>
          <w:lang w:eastAsia="zh-HK"/>
        </w:rPr>
        <w:t>，並符合融資貸放收回之運用原則，不無疑義。</w:t>
      </w:r>
      <w:bookmarkEnd w:id="204"/>
      <w:bookmarkEnd w:id="205"/>
      <w:bookmarkEnd w:id="206"/>
      <w:bookmarkEnd w:id="207"/>
    </w:p>
    <w:p w:rsidR="00D974E1" w:rsidRPr="005B464B" w:rsidRDefault="00D974E1" w:rsidP="00D974E1">
      <w:pPr>
        <w:pStyle w:val="3"/>
        <w:numPr>
          <w:ilvl w:val="0"/>
          <w:numId w:val="0"/>
        </w:numPr>
        <w:tabs>
          <w:tab w:val="left" w:pos="5103"/>
        </w:tabs>
        <w:ind w:left="1361"/>
        <w:rPr>
          <w:rFonts w:ascii="Times New Roman" w:hAnsi="Times New Roman"/>
          <w:bCs w:val="0"/>
          <w:kern w:val="0"/>
          <w:sz w:val="28"/>
          <w:szCs w:val="28"/>
        </w:rPr>
      </w:pPr>
    </w:p>
    <w:p w:rsidR="00D974E1" w:rsidRPr="005B464B" w:rsidRDefault="00D974E1" w:rsidP="00D974E1">
      <w:pPr>
        <w:pStyle w:val="2"/>
        <w:numPr>
          <w:ilvl w:val="1"/>
          <w:numId w:val="1"/>
        </w:numPr>
        <w:rPr>
          <w:b/>
        </w:rPr>
      </w:pPr>
      <w:bookmarkStart w:id="208" w:name="_Toc482031307"/>
      <w:bookmarkStart w:id="209" w:name="_Toc482109511"/>
      <w:bookmarkStart w:id="210" w:name="_Toc485138870"/>
      <w:r w:rsidRPr="005B464B">
        <w:rPr>
          <w:rFonts w:hint="eastAsia"/>
          <w:b/>
        </w:rPr>
        <w:t>參酌本案履</w:t>
      </w:r>
      <w:proofErr w:type="gramStart"/>
      <w:r w:rsidRPr="005B464B">
        <w:rPr>
          <w:rFonts w:hint="eastAsia"/>
          <w:b/>
        </w:rPr>
        <w:t>勘</w:t>
      </w:r>
      <w:proofErr w:type="gramEnd"/>
      <w:r w:rsidRPr="005B464B">
        <w:rPr>
          <w:rFonts w:hint="eastAsia"/>
          <w:b/>
        </w:rPr>
        <w:t>學校提供建議及諮詢專家之專業意見指出，目前私立大專校院退場之誘因不足</w:t>
      </w:r>
      <w:r w:rsidRPr="005B464B">
        <w:rPr>
          <w:rFonts w:hAnsi="標楷體" w:hint="eastAsia"/>
          <w:b/>
        </w:rPr>
        <w:t>，</w:t>
      </w:r>
      <w:r w:rsidRPr="005B464B">
        <w:rPr>
          <w:rFonts w:hint="eastAsia"/>
          <w:b/>
        </w:rPr>
        <w:t>部分營運狀況不佳之私校董事會觀望甚至抗拒退場</w:t>
      </w:r>
      <w:r w:rsidRPr="005B464B">
        <w:rPr>
          <w:rFonts w:hAnsi="標楷體" w:hint="eastAsia"/>
          <w:b/>
        </w:rPr>
        <w:t>，</w:t>
      </w:r>
      <w:r w:rsidRPr="005B464B">
        <w:rPr>
          <w:rFonts w:hint="eastAsia"/>
          <w:b/>
        </w:rPr>
        <w:t>教育部允宜積極</w:t>
      </w:r>
      <w:proofErr w:type="gramStart"/>
      <w:r w:rsidRPr="005B464B">
        <w:rPr>
          <w:rFonts w:hint="eastAsia"/>
          <w:b/>
        </w:rPr>
        <w:t>研</w:t>
      </w:r>
      <w:proofErr w:type="gramEnd"/>
      <w:r w:rsidRPr="005B464B">
        <w:rPr>
          <w:rFonts w:hint="eastAsia"/>
          <w:b/>
        </w:rPr>
        <w:t>議加速退場之方法及提供足夠之誘因</w:t>
      </w:r>
      <w:r w:rsidRPr="005B464B">
        <w:rPr>
          <w:rFonts w:hAnsi="標楷體" w:hint="eastAsia"/>
          <w:b/>
        </w:rPr>
        <w:t>，</w:t>
      </w:r>
      <w:proofErr w:type="gramStart"/>
      <w:r w:rsidRPr="005B464B">
        <w:rPr>
          <w:rFonts w:hint="eastAsia"/>
          <w:b/>
        </w:rPr>
        <w:t>俾</w:t>
      </w:r>
      <w:proofErr w:type="gramEnd"/>
      <w:r w:rsidRPr="005B464B">
        <w:rPr>
          <w:rFonts w:hint="eastAsia"/>
          <w:b/>
        </w:rPr>
        <w:t>使無意或無力繼續辦學之私校提早退場或配合國家建設需求轉型成其他行業</w:t>
      </w:r>
      <w:r w:rsidRPr="005B464B">
        <w:rPr>
          <w:rFonts w:hAnsi="標楷體" w:hint="eastAsia"/>
          <w:b/>
        </w:rPr>
        <w:t>。</w:t>
      </w:r>
      <w:bookmarkEnd w:id="208"/>
      <w:bookmarkEnd w:id="209"/>
      <w:bookmarkEnd w:id="210"/>
    </w:p>
    <w:p w:rsidR="00D974E1" w:rsidRPr="005B464B" w:rsidRDefault="00D974E1" w:rsidP="00D974E1">
      <w:pPr>
        <w:pStyle w:val="3"/>
        <w:numPr>
          <w:ilvl w:val="2"/>
          <w:numId w:val="1"/>
        </w:numPr>
      </w:pPr>
      <w:bookmarkStart w:id="211" w:name="_Toc482030685"/>
      <w:bookmarkStart w:id="212" w:name="_Toc482031308"/>
      <w:bookmarkStart w:id="213" w:name="_Toc482109512"/>
      <w:r w:rsidRPr="005B464B">
        <w:rPr>
          <w:rFonts w:hint="eastAsia"/>
        </w:rPr>
        <w:t>目前私立學校退場後賸餘財產之利用及歸屬</w:t>
      </w:r>
      <w:r w:rsidRPr="005B464B">
        <w:rPr>
          <w:rFonts w:hAnsi="標楷體" w:hint="eastAsia"/>
        </w:rPr>
        <w:t>：</w:t>
      </w:r>
      <w:bookmarkEnd w:id="211"/>
      <w:bookmarkEnd w:id="212"/>
      <w:bookmarkEnd w:id="213"/>
    </w:p>
    <w:p w:rsidR="00D974E1" w:rsidRPr="005B464B" w:rsidRDefault="00D974E1" w:rsidP="00D974E1">
      <w:pPr>
        <w:pStyle w:val="4"/>
        <w:numPr>
          <w:ilvl w:val="3"/>
          <w:numId w:val="1"/>
        </w:numPr>
      </w:pPr>
      <w:r w:rsidRPr="005B464B">
        <w:rPr>
          <w:rFonts w:hint="eastAsia"/>
        </w:rPr>
        <w:t>依</w:t>
      </w:r>
      <w:r w:rsidRPr="005B464B">
        <w:rPr>
          <w:rFonts w:hint="eastAsia"/>
          <w:lang w:eastAsia="zh-HK"/>
        </w:rPr>
        <w:t>「</w:t>
      </w:r>
      <w:r w:rsidRPr="005B464B">
        <w:rPr>
          <w:rFonts w:hint="eastAsia"/>
        </w:rPr>
        <w:t>私立學校法</w:t>
      </w:r>
      <w:r w:rsidRPr="005B464B">
        <w:rPr>
          <w:rFonts w:hint="eastAsia"/>
          <w:lang w:eastAsia="zh-HK"/>
        </w:rPr>
        <w:t>」</w:t>
      </w:r>
      <w:r w:rsidRPr="005B464B">
        <w:rPr>
          <w:rFonts w:hint="eastAsia"/>
        </w:rPr>
        <w:t>相關規定，</w:t>
      </w:r>
      <w:proofErr w:type="gramStart"/>
      <w:r w:rsidRPr="005B464B">
        <w:rPr>
          <w:rFonts w:hint="eastAsia"/>
        </w:rPr>
        <w:t>業定有</w:t>
      </w:r>
      <w:proofErr w:type="gramEnd"/>
      <w:r w:rsidRPr="005B464B">
        <w:rPr>
          <w:rFonts w:hint="eastAsia"/>
        </w:rPr>
        <w:t>學校法人改辦、合併或解散三種退場方式。其中，學校法人解散後賸餘財產歸屬，依</w:t>
      </w:r>
      <w:r w:rsidRPr="005B464B">
        <w:rPr>
          <w:rFonts w:hint="eastAsia"/>
          <w:lang w:eastAsia="zh-HK"/>
        </w:rPr>
        <w:t>「</w:t>
      </w:r>
      <w:r w:rsidRPr="005B464B">
        <w:rPr>
          <w:rFonts w:hint="eastAsia"/>
        </w:rPr>
        <w:t>私立學校法</w:t>
      </w:r>
      <w:r w:rsidRPr="005B464B">
        <w:rPr>
          <w:rFonts w:hint="eastAsia"/>
          <w:lang w:eastAsia="zh-HK"/>
        </w:rPr>
        <w:t>」</w:t>
      </w:r>
      <w:r w:rsidRPr="005B464B">
        <w:rPr>
          <w:rFonts w:hint="eastAsia"/>
        </w:rPr>
        <w:t>第74條規定，不得歸屬於自然人或以營利為目的之團體，其賸餘財產之歸屬，依下列順序辦理：</w:t>
      </w:r>
    </w:p>
    <w:p w:rsidR="00D974E1" w:rsidRPr="005B464B" w:rsidRDefault="00D974E1" w:rsidP="00D974E1">
      <w:pPr>
        <w:pStyle w:val="5"/>
        <w:numPr>
          <w:ilvl w:val="4"/>
          <w:numId w:val="1"/>
        </w:numPr>
      </w:pPr>
      <w:bookmarkStart w:id="214" w:name="_Toc480904501"/>
      <w:bookmarkStart w:id="215" w:name="_Toc480904726"/>
      <w:bookmarkEnd w:id="214"/>
      <w:bookmarkEnd w:id="215"/>
      <w:r w:rsidRPr="005B464B">
        <w:rPr>
          <w:rFonts w:hint="eastAsia"/>
        </w:rPr>
        <w:t>依捐助章程規定</w:t>
      </w:r>
      <w:r w:rsidRPr="005B464B">
        <w:rPr>
          <w:rFonts w:hAnsi="標楷體" w:hint="eastAsia"/>
        </w:rPr>
        <w:t>。</w:t>
      </w:r>
    </w:p>
    <w:p w:rsidR="00D974E1" w:rsidRPr="005B464B" w:rsidRDefault="00D974E1" w:rsidP="00D974E1">
      <w:pPr>
        <w:pStyle w:val="5"/>
        <w:numPr>
          <w:ilvl w:val="4"/>
          <w:numId w:val="1"/>
        </w:numPr>
      </w:pPr>
      <w:proofErr w:type="gramStart"/>
      <w:r w:rsidRPr="005B464B">
        <w:rPr>
          <w:rFonts w:hint="eastAsia"/>
        </w:rPr>
        <w:t>捐贈予公私立</w:t>
      </w:r>
      <w:proofErr w:type="gramEnd"/>
      <w:r w:rsidRPr="005B464B">
        <w:rPr>
          <w:rFonts w:hint="eastAsia"/>
        </w:rPr>
        <w:t>學校，或辦理教育、文化、社會福利事業之財團法人。</w:t>
      </w:r>
    </w:p>
    <w:p w:rsidR="00D974E1" w:rsidRPr="005B464B" w:rsidRDefault="00D974E1" w:rsidP="00D974E1">
      <w:pPr>
        <w:pStyle w:val="5"/>
        <w:numPr>
          <w:ilvl w:val="4"/>
          <w:numId w:val="1"/>
        </w:numPr>
      </w:pPr>
      <w:r w:rsidRPr="005B464B">
        <w:rPr>
          <w:rFonts w:hint="eastAsia"/>
        </w:rPr>
        <w:t>歸屬所在地之直轄市、縣(市)。</w:t>
      </w:r>
    </w:p>
    <w:p w:rsidR="00D974E1" w:rsidRPr="005B464B" w:rsidRDefault="00D974E1" w:rsidP="00D974E1">
      <w:pPr>
        <w:pStyle w:val="4"/>
        <w:numPr>
          <w:ilvl w:val="3"/>
          <w:numId w:val="1"/>
        </w:numPr>
      </w:pPr>
      <w:r w:rsidRPr="005B464B">
        <w:rPr>
          <w:rFonts w:hint="eastAsia"/>
        </w:rPr>
        <w:t>依</w:t>
      </w:r>
      <w:r w:rsidRPr="005B464B">
        <w:rPr>
          <w:rFonts w:hint="eastAsia"/>
          <w:lang w:eastAsia="zh-HK"/>
        </w:rPr>
        <w:t>「</w:t>
      </w:r>
      <w:r w:rsidRPr="005B464B">
        <w:rPr>
          <w:rFonts w:hint="eastAsia"/>
        </w:rPr>
        <w:t>私立學校法」第49條及第71條規定，訂定「教育部促進學校財團法人辦理不動產活化實施原則」，有關校產之處理規劃，學校法人仍需依</w:t>
      </w:r>
      <w:r w:rsidRPr="005B464B">
        <w:rPr>
          <w:rFonts w:hint="eastAsia"/>
          <w:lang w:eastAsia="zh-HK"/>
        </w:rPr>
        <w:t>「</w:t>
      </w:r>
      <w:r w:rsidRPr="005B464B">
        <w:rPr>
          <w:rFonts w:hint="eastAsia"/>
        </w:rPr>
        <w:t>私立學校法」第49條規定辦理：「學校法人就不動產之處分或設定負擔，應經董事會之決議，並報經學校主管機關核轉法人主管機關核准後辦理」。是</w:t>
      </w:r>
      <w:proofErr w:type="gramStart"/>
      <w:r w:rsidRPr="005B464B">
        <w:rPr>
          <w:rFonts w:hint="eastAsia"/>
        </w:rPr>
        <w:t>以</w:t>
      </w:r>
      <w:proofErr w:type="gramEnd"/>
      <w:r w:rsidRPr="005B464B">
        <w:rPr>
          <w:rFonts w:hint="eastAsia"/>
        </w:rPr>
        <w:t>，教育部審核前揭學校法人處分土地，就是否影響校務發展、財務是否清理就緒、估價報告書之價格合理性等方面予以審核，並要求學校法人應將處分後所得優先用於原教職員工聘僱契約所積欠應支付之薪資、資遣費及學生之輔</w:t>
      </w:r>
      <w:r w:rsidRPr="005B464B">
        <w:rPr>
          <w:rFonts w:hint="eastAsia"/>
        </w:rPr>
        <w:lastRenderedPageBreak/>
        <w:t>導轉學規劃等，如有賸餘則可用於改辦其他教育、文化或社會福利事業所需投入資金。</w:t>
      </w:r>
    </w:p>
    <w:p w:rsidR="00D974E1" w:rsidRPr="005B464B" w:rsidRDefault="00D974E1" w:rsidP="00D974E1">
      <w:pPr>
        <w:pStyle w:val="4"/>
        <w:numPr>
          <w:ilvl w:val="3"/>
          <w:numId w:val="1"/>
        </w:numPr>
      </w:pPr>
      <w:r w:rsidRPr="005B464B">
        <w:rPr>
          <w:rFonts w:hint="eastAsia"/>
        </w:rPr>
        <w:t>據教育部函復表示，私立學校賸餘財產不得歸屬於自然人或以營利為目的之團體，係屬該部一致性立場。理由如下</w:t>
      </w:r>
      <w:r w:rsidRPr="005B464B">
        <w:rPr>
          <w:rFonts w:hAnsi="標楷體" w:hint="eastAsia"/>
        </w:rPr>
        <w:t>：</w:t>
      </w:r>
    </w:p>
    <w:p w:rsidR="00D974E1" w:rsidRPr="005B464B" w:rsidRDefault="00D974E1" w:rsidP="00D974E1">
      <w:pPr>
        <w:pStyle w:val="5"/>
        <w:numPr>
          <w:ilvl w:val="4"/>
          <w:numId w:val="1"/>
        </w:numPr>
      </w:pPr>
      <w:r w:rsidRPr="005B464B">
        <w:rPr>
          <w:rFonts w:hint="eastAsia"/>
        </w:rPr>
        <w:t>依</w:t>
      </w:r>
      <w:r w:rsidRPr="005B464B">
        <w:rPr>
          <w:rFonts w:hint="eastAsia"/>
          <w:lang w:eastAsia="zh-HK"/>
        </w:rPr>
        <w:t>「</w:t>
      </w:r>
      <w:r w:rsidRPr="005B464B">
        <w:rPr>
          <w:rFonts w:hint="eastAsia"/>
        </w:rPr>
        <w:t>私立學校法」第1條精神，私立學校應提高其公共性及自主性，</w:t>
      </w:r>
      <w:proofErr w:type="gramStart"/>
      <w:r w:rsidRPr="005B464B">
        <w:rPr>
          <w:rFonts w:hint="eastAsia"/>
        </w:rPr>
        <w:t>爰</w:t>
      </w:r>
      <w:proofErr w:type="gramEnd"/>
      <w:r w:rsidRPr="005B464B">
        <w:rPr>
          <w:rFonts w:hint="eastAsia"/>
        </w:rPr>
        <w:t>私立學校賸餘財產亦應維持其公共性之精神，以避免圖利董事個人或其他營利目的之團體情形。</w:t>
      </w:r>
    </w:p>
    <w:p w:rsidR="00D974E1" w:rsidRPr="005B464B" w:rsidRDefault="00D974E1" w:rsidP="00D974E1">
      <w:pPr>
        <w:pStyle w:val="5"/>
        <w:numPr>
          <w:ilvl w:val="4"/>
          <w:numId w:val="1"/>
        </w:numPr>
      </w:pPr>
      <w:r w:rsidRPr="005B464B">
        <w:rPr>
          <w:rFonts w:hint="eastAsia"/>
        </w:rPr>
        <w:t>考量私立學校辦學</w:t>
      </w:r>
      <w:proofErr w:type="gramStart"/>
      <w:r w:rsidRPr="005B464B">
        <w:rPr>
          <w:rFonts w:hint="eastAsia"/>
        </w:rPr>
        <w:t>期間，</w:t>
      </w:r>
      <w:proofErr w:type="gramEnd"/>
      <w:r w:rsidRPr="005B464B">
        <w:rPr>
          <w:rFonts w:hint="eastAsia"/>
        </w:rPr>
        <w:t>教育部已給予私立學校獎勵及補助等款項，相關法規亦給予私立學校免稅優惠。</w:t>
      </w:r>
    </w:p>
    <w:p w:rsidR="00D974E1" w:rsidRPr="005B464B" w:rsidRDefault="00D974E1" w:rsidP="00D974E1">
      <w:pPr>
        <w:pStyle w:val="5"/>
        <w:numPr>
          <w:ilvl w:val="4"/>
          <w:numId w:val="1"/>
        </w:numPr>
      </w:pPr>
      <w:r w:rsidRPr="005B464B">
        <w:rPr>
          <w:rFonts w:hint="eastAsia"/>
        </w:rPr>
        <w:t>處分校產所得係歸屬學校法人，用於優先支付教職員安置所需，賸餘則作為轉型發展，絕非給予董事個人。</w:t>
      </w:r>
    </w:p>
    <w:p w:rsidR="00D974E1" w:rsidRPr="005B464B" w:rsidRDefault="00D974E1" w:rsidP="00D974E1">
      <w:pPr>
        <w:pStyle w:val="5"/>
        <w:numPr>
          <w:ilvl w:val="4"/>
          <w:numId w:val="1"/>
        </w:numPr>
      </w:pPr>
      <w:r w:rsidRPr="005B464B">
        <w:rPr>
          <w:rFonts w:hint="eastAsia"/>
        </w:rPr>
        <w:t>教育部基於維護學生與教職員相關權益，並衡酌整體社會資源分配之立場，從多面向審慎評估及把關，以杜絕私立大專校院變賣土地及惡意倒閉之情形</w:t>
      </w:r>
      <w:r w:rsidRPr="005B464B">
        <w:rPr>
          <w:rFonts w:hAnsi="標楷體" w:hint="eastAsia"/>
        </w:rPr>
        <w:t>。</w:t>
      </w:r>
    </w:p>
    <w:p w:rsidR="00D974E1" w:rsidRPr="005B464B" w:rsidRDefault="00D974E1" w:rsidP="00D974E1">
      <w:pPr>
        <w:pStyle w:val="4"/>
        <w:numPr>
          <w:ilvl w:val="3"/>
          <w:numId w:val="1"/>
        </w:numPr>
        <w:rPr>
          <w:bCs/>
        </w:rPr>
      </w:pPr>
      <w:r w:rsidRPr="005B464B">
        <w:rPr>
          <w:rFonts w:hint="eastAsia"/>
        </w:rPr>
        <w:t>教育部</w:t>
      </w:r>
      <w:proofErr w:type="gramStart"/>
      <w:r w:rsidRPr="005B464B">
        <w:rPr>
          <w:rFonts w:hint="eastAsia"/>
        </w:rPr>
        <w:t>函復亦承認</w:t>
      </w:r>
      <w:proofErr w:type="gramEnd"/>
      <w:r w:rsidRPr="005B464B">
        <w:rPr>
          <w:rFonts w:hint="eastAsia"/>
          <w:bCs/>
        </w:rPr>
        <w:t>賸餘</w:t>
      </w:r>
      <w:proofErr w:type="gramStart"/>
      <w:r w:rsidRPr="005B464B">
        <w:rPr>
          <w:rFonts w:hint="eastAsia"/>
          <w:bCs/>
        </w:rPr>
        <w:t>校產依維持</w:t>
      </w:r>
      <w:proofErr w:type="gramEnd"/>
      <w:r w:rsidRPr="005B464B">
        <w:rPr>
          <w:rFonts w:hint="eastAsia"/>
          <w:bCs/>
        </w:rPr>
        <w:t>其公共性之精神處理，確有可能降低私立大學校院退場誘因。部分團體建議未來如經評估為增加私立大學校院退場推動誘因，鬆綁賸餘校產歸屬之相關規定有其必要性，惟需修改</w:t>
      </w:r>
      <w:r w:rsidRPr="005B464B">
        <w:rPr>
          <w:rFonts w:hint="eastAsia"/>
          <w:lang w:eastAsia="zh-HK"/>
        </w:rPr>
        <w:t>「</w:t>
      </w:r>
      <w:r w:rsidRPr="005B464B">
        <w:rPr>
          <w:rFonts w:hint="eastAsia"/>
          <w:bCs/>
        </w:rPr>
        <w:t>私立學校法</w:t>
      </w:r>
      <w:r w:rsidRPr="005B464B">
        <w:rPr>
          <w:rFonts w:hint="eastAsia"/>
        </w:rPr>
        <w:t>」</w:t>
      </w:r>
      <w:r w:rsidRPr="005B464B">
        <w:rPr>
          <w:rFonts w:hint="eastAsia"/>
          <w:bCs/>
        </w:rPr>
        <w:t>等相關規定，使賸餘資產可部分回饋董事或其他營利為目的之團體，或縣市政府運用賸餘財產，不僅限於辦理教育、文化或社會福利事業。</w:t>
      </w:r>
      <w:proofErr w:type="gramStart"/>
      <w:r w:rsidRPr="005B464B">
        <w:rPr>
          <w:rFonts w:hint="eastAsia"/>
          <w:bCs/>
        </w:rPr>
        <w:t>惟</w:t>
      </w:r>
      <w:proofErr w:type="gramEnd"/>
      <w:r w:rsidRPr="005B464B">
        <w:rPr>
          <w:rFonts w:hint="eastAsia"/>
          <w:bCs/>
        </w:rPr>
        <w:t>上述鬆綁事項，仍需先取得社會共識方得進行修法。</w:t>
      </w:r>
    </w:p>
    <w:p w:rsidR="00D974E1" w:rsidRPr="005B464B" w:rsidRDefault="00D974E1" w:rsidP="00D974E1">
      <w:pPr>
        <w:pStyle w:val="4"/>
        <w:numPr>
          <w:ilvl w:val="3"/>
          <w:numId w:val="1"/>
        </w:numPr>
        <w:rPr>
          <w:bCs/>
        </w:rPr>
      </w:pPr>
      <w:r w:rsidRPr="005B464B">
        <w:rPr>
          <w:rFonts w:hint="eastAsia"/>
          <w:bCs/>
        </w:rPr>
        <w:t>教育部於103年7月24日召開學校校園空間再利用</w:t>
      </w:r>
      <w:proofErr w:type="gramStart"/>
      <w:r w:rsidRPr="005B464B">
        <w:rPr>
          <w:rFonts w:hint="eastAsia"/>
          <w:bCs/>
        </w:rPr>
        <w:t>研</w:t>
      </w:r>
      <w:proofErr w:type="gramEnd"/>
      <w:r w:rsidRPr="005B464B">
        <w:rPr>
          <w:rFonts w:hint="eastAsia"/>
          <w:bCs/>
        </w:rPr>
        <w:t>商會議，該次會議決議請業務單位彙整可能</w:t>
      </w:r>
      <w:r w:rsidRPr="005B464B">
        <w:rPr>
          <w:rFonts w:hint="eastAsia"/>
          <w:bCs/>
        </w:rPr>
        <w:lastRenderedPageBreak/>
        <w:t>之修法方式，如擴大學校法人可改辦之事業範圍、創辦人或董事得在特定條件下取得部分財產等關注議題，進行可行性分析。</w:t>
      </w:r>
    </w:p>
    <w:p w:rsidR="00D974E1" w:rsidRPr="005B464B" w:rsidRDefault="00D974E1" w:rsidP="00D974E1">
      <w:pPr>
        <w:pStyle w:val="3"/>
        <w:numPr>
          <w:ilvl w:val="2"/>
          <w:numId w:val="1"/>
        </w:numPr>
      </w:pPr>
      <w:bookmarkStart w:id="216" w:name="_Toc482030686"/>
      <w:bookmarkStart w:id="217" w:name="_Toc482031309"/>
      <w:bookmarkStart w:id="218" w:name="_Toc482109513"/>
      <w:r w:rsidRPr="005B464B">
        <w:rPr>
          <w:rFonts w:hint="eastAsia"/>
        </w:rPr>
        <w:t>據本院諮詢專家提供之意見如下</w:t>
      </w:r>
      <w:r w:rsidRPr="005B464B">
        <w:rPr>
          <w:rFonts w:hAnsi="標楷體" w:hint="eastAsia"/>
        </w:rPr>
        <w:t>：</w:t>
      </w:r>
      <w:bookmarkEnd w:id="216"/>
      <w:bookmarkEnd w:id="217"/>
      <w:bookmarkEnd w:id="218"/>
    </w:p>
    <w:p w:rsidR="00D974E1" w:rsidRPr="005B464B" w:rsidRDefault="00D974E1" w:rsidP="00D974E1">
      <w:pPr>
        <w:pStyle w:val="4"/>
        <w:numPr>
          <w:ilvl w:val="3"/>
          <w:numId w:val="1"/>
        </w:numPr>
        <w:rPr>
          <w:rFonts w:hAnsi="標楷體"/>
          <w:szCs w:val="32"/>
        </w:rPr>
      </w:pPr>
      <w:r w:rsidRPr="005B464B">
        <w:rPr>
          <w:rFonts w:hAnsi="標楷體" w:hint="eastAsia"/>
          <w:szCs w:val="32"/>
        </w:rPr>
        <w:t>就私校董事會來說，捐出土地也辛苦經營20年至30年，不管從情感的觀點，還是從經濟的觀點，當然希望能持續持有。私校董事會最期待就是能夠處分校產，然後把錢拿回去。社會不可能會接受的，因為董事會已經把</w:t>
      </w:r>
      <w:proofErr w:type="gramStart"/>
      <w:r w:rsidRPr="005B464B">
        <w:rPr>
          <w:rFonts w:hAnsi="標楷體" w:hint="eastAsia"/>
          <w:szCs w:val="32"/>
        </w:rPr>
        <w:t>校產捐出來</w:t>
      </w:r>
      <w:proofErr w:type="gramEnd"/>
      <w:r w:rsidRPr="005B464B">
        <w:rPr>
          <w:rFonts w:hAnsi="標楷體" w:hint="eastAsia"/>
          <w:szCs w:val="32"/>
        </w:rPr>
        <w:t>，所有權已不是董事會的，但是學校可以改辦其他事業，這條路如果能開的稍微大一點，處理退場的速度就會快一點。能夠以積極態度去面對，學校原有的教師、土地及經營團隊有發揮的空間。若這邊卡的那麼死，那邊又不能動，會變的非常沒有力量，就可能像目前這樣的情況。</w:t>
      </w:r>
    </w:p>
    <w:p w:rsidR="00D974E1" w:rsidRPr="005B464B" w:rsidRDefault="00D974E1" w:rsidP="00D974E1">
      <w:pPr>
        <w:pStyle w:val="4"/>
        <w:numPr>
          <w:ilvl w:val="3"/>
          <w:numId w:val="1"/>
        </w:numPr>
        <w:rPr>
          <w:rFonts w:hAnsi="標楷體"/>
          <w:szCs w:val="32"/>
        </w:rPr>
      </w:pPr>
      <w:r w:rsidRPr="005B464B">
        <w:rPr>
          <w:rFonts w:hAnsi="標楷體" w:hint="eastAsia"/>
          <w:szCs w:val="32"/>
        </w:rPr>
        <w:t>如果一所學校要關閉了，董監事很負責的收尾，所有負債都償還、老師資遣等所有事情都做完了，是否能給董監事適當的肯定。原本</w:t>
      </w:r>
      <w:r w:rsidRPr="005B464B">
        <w:rPr>
          <w:rFonts w:hAnsi="標楷體"/>
          <w:szCs w:val="32"/>
        </w:rPr>
        <w:t>「高等教育創新轉型條例」</w:t>
      </w:r>
      <w:r w:rsidRPr="005B464B">
        <w:rPr>
          <w:rFonts w:hAnsi="標楷體" w:hint="eastAsia"/>
          <w:szCs w:val="32"/>
        </w:rPr>
        <w:t>(草案)第20條第2項規定，</w:t>
      </w:r>
      <w:r w:rsidRPr="005B464B">
        <w:rPr>
          <w:rFonts w:hAnsi="標楷體"/>
          <w:szCs w:val="32"/>
        </w:rPr>
        <w:t>學校法人解散</w:t>
      </w:r>
      <w:r w:rsidRPr="005B464B">
        <w:rPr>
          <w:rFonts w:hAnsi="標楷體" w:hint="eastAsia"/>
          <w:szCs w:val="32"/>
        </w:rPr>
        <w:t>並</w:t>
      </w:r>
      <w:r w:rsidRPr="005B464B">
        <w:rPr>
          <w:rFonts w:hAnsi="標楷體"/>
          <w:szCs w:val="32"/>
        </w:rPr>
        <w:t>依</w:t>
      </w:r>
      <w:r w:rsidRPr="005B464B">
        <w:rPr>
          <w:rFonts w:hAnsi="標楷體" w:hint="eastAsia"/>
          <w:szCs w:val="32"/>
        </w:rPr>
        <w:t>規</w:t>
      </w:r>
      <w:r w:rsidRPr="005B464B">
        <w:rPr>
          <w:rFonts w:hAnsi="標楷體"/>
          <w:szCs w:val="32"/>
        </w:rPr>
        <w:t>定完成清算之學校財產，如有賸餘，學校法人得提供學校創辦人、現任董事及監察人</w:t>
      </w:r>
      <w:proofErr w:type="gramStart"/>
      <w:r w:rsidRPr="005B464B">
        <w:rPr>
          <w:rFonts w:hAnsi="標楷體"/>
          <w:szCs w:val="32"/>
        </w:rPr>
        <w:t>慰</w:t>
      </w:r>
      <w:proofErr w:type="gramEnd"/>
      <w:r w:rsidRPr="005B464B">
        <w:rPr>
          <w:rFonts w:hAnsi="標楷體"/>
          <w:szCs w:val="32"/>
        </w:rPr>
        <w:t>助</w:t>
      </w:r>
      <w:r w:rsidRPr="005B464B">
        <w:rPr>
          <w:rFonts w:hAnsi="標楷體" w:hint="eastAsia"/>
          <w:szCs w:val="32"/>
        </w:rPr>
        <w:t>金。不過，這一條在行政院沒有得到比較大的支持，認為關</w:t>
      </w:r>
      <w:r w:rsidR="000B71D7" w:rsidRPr="005B464B">
        <w:rPr>
          <w:rFonts w:hAnsi="標楷體" w:hint="eastAsia"/>
          <w:szCs w:val="32"/>
        </w:rPr>
        <w:t>閉</w:t>
      </w:r>
      <w:r w:rsidRPr="005B464B">
        <w:rPr>
          <w:rFonts w:hAnsi="標楷體" w:hint="eastAsia"/>
          <w:szCs w:val="32"/>
        </w:rPr>
        <w:t>學校是董監事責任，為什麼還可以拿酬勞金。可是一旦在宣布被列為專案輔導學校以後，董監事有可能所有事情都不管，那後續誰去處理學校的事情？</w:t>
      </w:r>
    </w:p>
    <w:p w:rsidR="00D974E1" w:rsidRPr="005B464B" w:rsidRDefault="00D974E1" w:rsidP="00D974E1">
      <w:pPr>
        <w:pStyle w:val="4"/>
        <w:numPr>
          <w:ilvl w:val="3"/>
          <w:numId w:val="1"/>
        </w:numPr>
        <w:rPr>
          <w:rFonts w:hAnsi="標楷體"/>
          <w:szCs w:val="32"/>
        </w:rPr>
      </w:pPr>
      <w:r w:rsidRPr="005B464B">
        <w:rPr>
          <w:rFonts w:hAnsi="標楷體" w:hint="eastAsia"/>
          <w:szCs w:val="32"/>
        </w:rPr>
        <w:t>按照</w:t>
      </w:r>
      <w:r w:rsidRPr="005B464B">
        <w:rPr>
          <w:rFonts w:hAnsi="標楷體"/>
          <w:szCs w:val="32"/>
        </w:rPr>
        <w:t>「</w:t>
      </w:r>
      <w:r w:rsidRPr="005B464B">
        <w:rPr>
          <w:rFonts w:hAnsi="標楷體" w:hint="eastAsia"/>
          <w:szCs w:val="32"/>
        </w:rPr>
        <w:t>私立學校法</w:t>
      </w:r>
      <w:r w:rsidRPr="005B464B">
        <w:rPr>
          <w:rFonts w:hAnsi="標楷體"/>
          <w:szCs w:val="32"/>
        </w:rPr>
        <w:t>」</w:t>
      </w:r>
      <w:r w:rsidRPr="005B464B">
        <w:rPr>
          <w:rFonts w:hAnsi="標楷體" w:hint="eastAsia"/>
          <w:szCs w:val="32"/>
        </w:rPr>
        <w:t>，退場後，學校若</w:t>
      </w:r>
      <w:proofErr w:type="gramStart"/>
      <w:r w:rsidRPr="005B464B">
        <w:rPr>
          <w:rFonts w:hAnsi="標楷體" w:hint="eastAsia"/>
          <w:szCs w:val="32"/>
        </w:rPr>
        <w:t>不</w:t>
      </w:r>
      <w:proofErr w:type="gramEnd"/>
      <w:r w:rsidRPr="005B464B">
        <w:rPr>
          <w:rFonts w:hAnsi="標楷體" w:hint="eastAsia"/>
          <w:szCs w:val="32"/>
        </w:rPr>
        <w:t>轉型公益性或非營利性的財團法人，校產即可能成為當地教育主管機關所有，如果這個遊戲規則不改，沒有一個私校董事會會認真思考主動退場，</w:t>
      </w:r>
      <w:proofErr w:type="gramStart"/>
      <w:r w:rsidRPr="005B464B">
        <w:rPr>
          <w:rFonts w:hAnsi="標楷體" w:hint="eastAsia"/>
          <w:szCs w:val="32"/>
        </w:rPr>
        <w:t>私校</w:t>
      </w:r>
      <w:r w:rsidRPr="005B464B">
        <w:rPr>
          <w:rFonts w:hAnsi="標楷體" w:hint="eastAsia"/>
          <w:szCs w:val="32"/>
        </w:rPr>
        <w:lastRenderedPageBreak/>
        <w:t>撐著</w:t>
      </w:r>
      <w:proofErr w:type="gramEnd"/>
      <w:r w:rsidRPr="005B464B">
        <w:rPr>
          <w:rFonts w:hAnsi="標楷體" w:hint="eastAsia"/>
          <w:szCs w:val="32"/>
        </w:rPr>
        <w:t>不退場，老師可能減薪、合班上課，影響學生的受教權，在未來生源快速下降的前提下，會有愈來愈多的學校爆出這類的問題。建議要訂定一個5年有效的特別法，給予董事會主動提退場計畫的誘因，誘因就是校產清算完後的賸餘財產能有一部分回歸到原來的董事會，而且退場計畫愈早提出來的給予愈高的誘因，當然外界反彈力量會很大。但是，只按照現行的遊戲規則，私校就會一直拖在那個地方，倒楣的是整個社會一直處在不安定的狀態。給予私產退場誘因，老師與學生的安置費用都沒有問題，國家根本也不需要拿錢出來。</w:t>
      </w:r>
    </w:p>
    <w:p w:rsidR="00D974E1" w:rsidRPr="005B464B" w:rsidRDefault="00D974E1" w:rsidP="00D974E1">
      <w:pPr>
        <w:pStyle w:val="4"/>
        <w:numPr>
          <w:ilvl w:val="3"/>
          <w:numId w:val="1"/>
        </w:numPr>
        <w:rPr>
          <w:rFonts w:hAnsi="標楷體"/>
          <w:szCs w:val="32"/>
        </w:rPr>
      </w:pPr>
      <w:r w:rsidRPr="005B464B">
        <w:rPr>
          <w:rFonts w:hAnsi="標楷體" w:hint="eastAsia"/>
          <w:szCs w:val="32"/>
        </w:rPr>
        <w:t>私校在辦學當然要求公共性，但私校退場後，怎麼還在要求公共性？在法理上，這個邏輯是有問題的。私校退場</w:t>
      </w:r>
      <w:proofErr w:type="gramStart"/>
      <w:r w:rsidRPr="005B464B">
        <w:rPr>
          <w:rFonts w:hAnsi="標楷體" w:hint="eastAsia"/>
          <w:szCs w:val="32"/>
        </w:rPr>
        <w:t>後校產要</w:t>
      </w:r>
      <w:proofErr w:type="gramEnd"/>
      <w:r w:rsidRPr="005B464B">
        <w:rPr>
          <w:rFonts w:hAnsi="標楷體" w:hint="eastAsia"/>
          <w:szCs w:val="32"/>
        </w:rPr>
        <w:t>歸地方政府或歸公益團體，是訂定在財團法人的捐助章程裡面，但那只是個制式範本，捐助章程也沒明確指明全部的</w:t>
      </w:r>
      <w:proofErr w:type="gramStart"/>
      <w:r w:rsidRPr="005B464B">
        <w:rPr>
          <w:rFonts w:hAnsi="標楷體" w:hint="eastAsia"/>
          <w:szCs w:val="32"/>
        </w:rPr>
        <w:t>校產要公共</w:t>
      </w:r>
      <w:proofErr w:type="gramEnd"/>
      <w:r w:rsidRPr="005B464B">
        <w:rPr>
          <w:rFonts w:hAnsi="標楷體" w:hint="eastAsia"/>
          <w:szCs w:val="32"/>
        </w:rPr>
        <w:t>性，是可以解套的。私校退場後，土地要不變更地目使用，要不政府買地，這樣就有財源，賣地的收益放入公益基金。私校董事沒有功勞也有苦</w:t>
      </w:r>
      <w:proofErr w:type="gramStart"/>
      <w:r w:rsidRPr="005B464B">
        <w:rPr>
          <w:rFonts w:hAnsi="標楷體" w:hint="eastAsia"/>
          <w:szCs w:val="32"/>
        </w:rPr>
        <w:t>勞</w:t>
      </w:r>
      <w:proofErr w:type="gramEnd"/>
      <w:r w:rsidRPr="005B464B">
        <w:rPr>
          <w:rFonts w:hAnsi="標楷體" w:hint="eastAsia"/>
          <w:szCs w:val="32"/>
        </w:rPr>
        <w:t>，政府要給誘因，這也比較符合人性。</w:t>
      </w:r>
    </w:p>
    <w:p w:rsidR="00D974E1" w:rsidRPr="005B464B" w:rsidRDefault="00D974E1" w:rsidP="00D974E1">
      <w:pPr>
        <w:pStyle w:val="4"/>
        <w:numPr>
          <w:ilvl w:val="3"/>
          <w:numId w:val="1"/>
        </w:numPr>
        <w:rPr>
          <w:rFonts w:hAnsi="標楷體"/>
          <w:szCs w:val="32"/>
        </w:rPr>
      </w:pPr>
      <w:r w:rsidRPr="005B464B">
        <w:rPr>
          <w:rFonts w:hAnsi="標楷體" w:hint="eastAsia"/>
          <w:szCs w:val="32"/>
        </w:rPr>
        <w:t>能否仿照日本，私校早點提出退場計畫，則提供優退的誘因。</w:t>
      </w:r>
    </w:p>
    <w:p w:rsidR="00D974E1" w:rsidRPr="005B464B" w:rsidRDefault="00D974E1" w:rsidP="00D974E1">
      <w:pPr>
        <w:pStyle w:val="4"/>
        <w:numPr>
          <w:ilvl w:val="3"/>
          <w:numId w:val="1"/>
        </w:numPr>
        <w:rPr>
          <w:rFonts w:hAnsi="標楷體"/>
          <w:szCs w:val="32"/>
        </w:rPr>
      </w:pPr>
      <w:r w:rsidRPr="005B464B">
        <w:rPr>
          <w:rFonts w:hAnsi="標楷體" w:hint="eastAsia"/>
          <w:szCs w:val="32"/>
        </w:rPr>
        <w:t>教育部103年訂定</w:t>
      </w:r>
      <w:r w:rsidRPr="005B464B">
        <w:rPr>
          <w:rFonts w:hAnsi="標楷體"/>
          <w:szCs w:val="32"/>
        </w:rPr>
        <w:t>「</w:t>
      </w:r>
      <w:r w:rsidRPr="005B464B">
        <w:rPr>
          <w:rFonts w:hAnsi="標楷體" w:hint="eastAsia"/>
          <w:szCs w:val="32"/>
        </w:rPr>
        <w:t>促進學校財團法人辦理不動產活化實施原則</w:t>
      </w:r>
      <w:r w:rsidRPr="005B464B">
        <w:rPr>
          <w:rFonts w:hAnsi="標楷體"/>
          <w:szCs w:val="32"/>
        </w:rPr>
        <w:t>」</w:t>
      </w:r>
      <w:r w:rsidRPr="005B464B">
        <w:rPr>
          <w:rFonts w:hAnsi="標楷體" w:hint="eastAsia"/>
          <w:szCs w:val="32"/>
        </w:rPr>
        <w:t>，私產不能歸於私人所有，只能做公益，問題是私校在教育本行都做不好了，現在要轉型做公益事業，難度不小。私校能否跟政府來談，配合國家發展建設轉型到適宜的行業。</w:t>
      </w:r>
    </w:p>
    <w:p w:rsidR="00D974E1" w:rsidRPr="005B464B" w:rsidRDefault="00D974E1" w:rsidP="00D974E1">
      <w:pPr>
        <w:pStyle w:val="4"/>
        <w:numPr>
          <w:ilvl w:val="3"/>
          <w:numId w:val="1"/>
        </w:numPr>
      </w:pPr>
      <w:r w:rsidRPr="005B464B">
        <w:rPr>
          <w:rFonts w:hAnsi="標楷體" w:hint="eastAsia"/>
          <w:szCs w:val="32"/>
        </w:rPr>
        <w:t>處理私校退場，從實質層面來看，第一國家強力</w:t>
      </w:r>
      <w:r w:rsidRPr="005B464B">
        <w:rPr>
          <w:rFonts w:hAnsi="標楷體" w:hint="eastAsia"/>
          <w:szCs w:val="32"/>
        </w:rPr>
        <w:lastRenderedPageBreak/>
        <w:t>介入，第二是產業介入。如國家強力介入，由國家收購，變更土地利用，如成立國家人才培育中心，土地</w:t>
      </w:r>
      <w:proofErr w:type="gramStart"/>
      <w:r w:rsidRPr="005B464B">
        <w:rPr>
          <w:rFonts w:hAnsi="標楷體" w:hint="eastAsia"/>
          <w:szCs w:val="32"/>
        </w:rPr>
        <w:t>鑑</w:t>
      </w:r>
      <w:proofErr w:type="gramEnd"/>
      <w:r w:rsidRPr="005B464B">
        <w:rPr>
          <w:rFonts w:hAnsi="標楷體" w:hint="eastAsia"/>
          <w:szCs w:val="32"/>
        </w:rPr>
        <w:t>價並處理校務後的賸餘資金，董事會有經營管理權限，在過渡期間，如果對私校董事有懷疑，可以請檢調協助調查財務流向。</w:t>
      </w:r>
    </w:p>
    <w:p w:rsidR="00D974E1" w:rsidRPr="005B464B" w:rsidRDefault="00D974E1" w:rsidP="00D974E1">
      <w:pPr>
        <w:pStyle w:val="3"/>
        <w:numPr>
          <w:ilvl w:val="2"/>
          <w:numId w:val="1"/>
        </w:numPr>
      </w:pPr>
      <w:bookmarkStart w:id="219" w:name="_Toc482030687"/>
      <w:bookmarkStart w:id="220" w:name="_Toc482031310"/>
      <w:bookmarkStart w:id="221" w:name="_Toc482109514"/>
      <w:r w:rsidRPr="005B464B">
        <w:rPr>
          <w:rFonts w:hint="eastAsia"/>
        </w:rPr>
        <w:t>本院履</w:t>
      </w:r>
      <w:proofErr w:type="gramStart"/>
      <w:r w:rsidRPr="005B464B">
        <w:rPr>
          <w:rFonts w:hint="eastAsia"/>
        </w:rPr>
        <w:t>勘</w:t>
      </w:r>
      <w:proofErr w:type="gramEnd"/>
      <w:r w:rsidRPr="005B464B">
        <w:rPr>
          <w:rFonts w:hint="eastAsia"/>
        </w:rPr>
        <w:t>學校提供之意見如下</w:t>
      </w:r>
      <w:r w:rsidRPr="005B464B">
        <w:rPr>
          <w:rFonts w:hAnsi="標楷體" w:hint="eastAsia"/>
        </w:rPr>
        <w:t>：</w:t>
      </w:r>
      <w:bookmarkEnd w:id="219"/>
      <w:bookmarkEnd w:id="220"/>
      <w:bookmarkEnd w:id="221"/>
    </w:p>
    <w:p w:rsidR="00D974E1" w:rsidRPr="005B464B" w:rsidRDefault="00D974E1" w:rsidP="00D974E1">
      <w:pPr>
        <w:pStyle w:val="4"/>
        <w:numPr>
          <w:ilvl w:val="3"/>
          <w:numId w:val="1"/>
        </w:numPr>
      </w:pPr>
      <w:r w:rsidRPr="005B464B">
        <w:rPr>
          <w:rFonts w:hint="eastAsia"/>
        </w:rPr>
        <w:t>私校退場應提供誘因，否則要董事會捨棄龐大資產無條件退場，恐困難重重，若學校因此苟延殘喘，受害的是學生及教職員工權益。學校轉型除非繼續當學校使用，否則將面臨土地開發計畫、環境影響評估、使用執照變更等眾多棘手問題，</w:t>
      </w:r>
      <w:proofErr w:type="gramStart"/>
      <w:r w:rsidRPr="005B464B">
        <w:rPr>
          <w:rFonts w:hint="eastAsia"/>
        </w:rPr>
        <w:t>曠</w:t>
      </w:r>
      <w:proofErr w:type="gramEnd"/>
      <w:r w:rsidRPr="005B464B">
        <w:rPr>
          <w:rFonts w:hint="eastAsia"/>
        </w:rPr>
        <w:t>日廢時，讓有意</w:t>
      </w:r>
      <w:proofErr w:type="gramStart"/>
      <w:r w:rsidRPr="005B464B">
        <w:rPr>
          <w:rFonts w:hint="eastAsia"/>
        </w:rPr>
        <w:t>承接者退怯</w:t>
      </w:r>
      <w:proofErr w:type="gramEnd"/>
      <w:r w:rsidRPr="005B464B">
        <w:rPr>
          <w:rFonts w:hint="eastAsia"/>
        </w:rPr>
        <w:t>，建議中央進行跨部會協調，修改相關法令規定或另立</w:t>
      </w:r>
      <w:proofErr w:type="gramStart"/>
      <w:r w:rsidRPr="005B464B">
        <w:rPr>
          <w:rFonts w:hint="eastAsia"/>
        </w:rPr>
        <w:t>專法專章</w:t>
      </w:r>
      <w:proofErr w:type="gramEnd"/>
      <w:r w:rsidRPr="005B464B">
        <w:rPr>
          <w:rFonts w:hint="eastAsia"/>
        </w:rPr>
        <w:t>，以處理大學轉型問題。</w:t>
      </w:r>
    </w:p>
    <w:p w:rsidR="00D974E1" w:rsidRPr="005B464B" w:rsidRDefault="00D974E1" w:rsidP="00D974E1">
      <w:pPr>
        <w:pStyle w:val="4"/>
        <w:numPr>
          <w:ilvl w:val="3"/>
          <w:numId w:val="1"/>
        </w:numPr>
        <w:rPr>
          <w:bCs/>
        </w:rPr>
      </w:pPr>
      <w:r w:rsidRPr="005B464B">
        <w:rPr>
          <w:bCs/>
        </w:rPr>
        <w:t>政府機關在辦理私校轉型事務時，不應僅考量公益性問題，學校董事會的問題也應一併考量。因</w:t>
      </w:r>
      <w:r w:rsidRPr="005B464B">
        <w:rPr>
          <w:rFonts w:hint="eastAsia"/>
          <w:bCs/>
        </w:rPr>
        <w:t>「</w:t>
      </w:r>
      <w:r w:rsidRPr="005B464B">
        <w:rPr>
          <w:bCs/>
        </w:rPr>
        <w:t>私</w:t>
      </w:r>
      <w:r w:rsidRPr="005B464B">
        <w:rPr>
          <w:rFonts w:hint="eastAsia"/>
          <w:bCs/>
        </w:rPr>
        <w:t>立學</w:t>
      </w:r>
      <w:r w:rsidRPr="005B464B">
        <w:rPr>
          <w:bCs/>
        </w:rPr>
        <w:t>校法</w:t>
      </w:r>
      <w:r w:rsidRPr="005B464B">
        <w:rPr>
          <w:rFonts w:hint="eastAsia"/>
          <w:bCs/>
        </w:rPr>
        <w:t>」</w:t>
      </w:r>
      <w:r w:rsidRPr="005B464B">
        <w:rPr>
          <w:bCs/>
        </w:rPr>
        <w:t>之規定，若是一切都歸地方政府，則對於私校董事會沒有任何誘因，其結果也只會拖延退場案的進行，因此也有學者建議以國家成立基金之方式來收購退場學校之校產，再以這些收入處理教職員工資遣與學校負債的問題，最後資金若</w:t>
      </w:r>
      <w:r w:rsidRPr="005B464B">
        <w:rPr>
          <w:rFonts w:hint="eastAsia"/>
          <w:bCs/>
        </w:rPr>
        <w:t>還</w:t>
      </w:r>
      <w:r w:rsidRPr="005B464B">
        <w:rPr>
          <w:bCs/>
        </w:rPr>
        <w:t>有剩餘則還是回歸由國家成立的基金裡</w:t>
      </w:r>
      <w:r w:rsidRPr="005B464B">
        <w:rPr>
          <w:rFonts w:hint="eastAsia"/>
          <w:bCs/>
        </w:rPr>
        <w:t>，</w:t>
      </w:r>
      <w:r w:rsidRPr="005B464B">
        <w:rPr>
          <w:bCs/>
        </w:rPr>
        <w:t>而不會讓退場機制僵在那裡。不論是退場</w:t>
      </w:r>
      <w:proofErr w:type="gramStart"/>
      <w:r w:rsidRPr="005B464B">
        <w:rPr>
          <w:bCs/>
        </w:rPr>
        <w:t>後校地校</w:t>
      </w:r>
      <w:proofErr w:type="gramEnd"/>
      <w:r w:rsidRPr="005B464B">
        <w:rPr>
          <w:bCs/>
        </w:rPr>
        <w:t>產的歸屬、轉型為其他福利機構或改辦其他慈善事業，目前在法律層級的規範仍</w:t>
      </w:r>
      <w:r w:rsidR="00CE370B" w:rsidRPr="005B464B">
        <w:rPr>
          <w:rFonts w:hint="eastAsia"/>
          <w:bCs/>
        </w:rPr>
        <w:t>有</w:t>
      </w:r>
      <w:r w:rsidRPr="005B464B">
        <w:rPr>
          <w:bCs/>
        </w:rPr>
        <w:t>不足或不適用</w:t>
      </w:r>
      <w:r w:rsidR="00CE370B" w:rsidRPr="005B464B">
        <w:rPr>
          <w:rFonts w:hint="eastAsia"/>
          <w:bCs/>
        </w:rPr>
        <w:t>處</w:t>
      </w:r>
      <w:r w:rsidRPr="005B464B">
        <w:rPr>
          <w:bCs/>
        </w:rPr>
        <w:t>，應儘速完備相關法規</w:t>
      </w:r>
      <w:proofErr w:type="gramStart"/>
      <w:r w:rsidRPr="005B464B">
        <w:rPr>
          <w:bCs/>
        </w:rPr>
        <w:t>以利私校</w:t>
      </w:r>
      <w:proofErr w:type="gramEnd"/>
      <w:r w:rsidRPr="005B464B">
        <w:rPr>
          <w:bCs/>
        </w:rPr>
        <w:t>董事會遵行。</w:t>
      </w:r>
    </w:p>
    <w:p w:rsidR="00D974E1" w:rsidRPr="005B464B" w:rsidRDefault="00D974E1" w:rsidP="00D974E1">
      <w:pPr>
        <w:pStyle w:val="4"/>
        <w:numPr>
          <w:ilvl w:val="3"/>
          <w:numId w:val="1"/>
        </w:numPr>
        <w:rPr>
          <w:bCs/>
        </w:rPr>
      </w:pPr>
      <w:r w:rsidRPr="005B464B">
        <w:rPr>
          <w:bCs/>
        </w:rPr>
        <w:t>目前推動私校退場及校地活化皆是</w:t>
      </w:r>
      <w:r w:rsidR="00CE370B" w:rsidRPr="005B464B">
        <w:rPr>
          <w:rFonts w:hint="eastAsia"/>
          <w:bCs/>
        </w:rPr>
        <w:t>由</w:t>
      </w:r>
      <w:r w:rsidRPr="005B464B">
        <w:rPr>
          <w:bCs/>
        </w:rPr>
        <w:t>教育部主導，但轉型過程中涉及的土地使用目的變更，其審核權還是在地方政府，故地方政府的配合度是</w:t>
      </w:r>
      <w:r w:rsidRPr="005B464B">
        <w:rPr>
          <w:bCs/>
        </w:rPr>
        <w:lastRenderedPageBreak/>
        <w:t>轉型能否順利的重要因素。</w:t>
      </w:r>
      <w:proofErr w:type="gramStart"/>
      <w:r w:rsidRPr="005B464B">
        <w:rPr>
          <w:bCs/>
        </w:rPr>
        <w:t>若私校</w:t>
      </w:r>
      <w:proofErr w:type="gramEnd"/>
      <w:r w:rsidRPr="005B464B">
        <w:rPr>
          <w:bCs/>
        </w:rPr>
        <w:t>的轉型方向能結合地方發展的需要，符合地方政府對產業發展的</w:t>
      </w:r>
      <w:proofErr w:type="gramStart"/>
      <w:r w:rsidRPr="005B464B">
        <w:rPr>
          <w:bCs/>
        </w:rPr>
        <w:t>規</w:t>
      </w:r>
      <w:proofErr w:type="gramEnd"/>
      <w:r w:rsidRPr="005B464B">
        <w:rPr>
          <w:bCs/>
        </w:rPr>
        <w:t>畫，地方政府勢必能在轉型過程中給予最大的協助，有利於創造彼此</w:t>
      </w:r>
      <w:r w:rsidR="00CE370B" w:rsidRPr="005B464B">
        <w:rPr>
          <w:rFonts w:hint="eastAsia"/>
          <w:bCs/>
        </w:rPr>
        <w:t>的</w:t>
      </w:r>
      <w:r w:rsidRPr="005B464B">
        <w:rPr>
          <w:bCs/>
        </w:rPr>
        <w:t>雙</w:t>
      </w:r>
      <w:r w:rsidRPr="005B464B">
        <w:rPr>
          <w:rFonts w:hint="eastAsia"/>
          <w:bCs/>
        </w:rPr>
        <w:t>贏</w:t>
      </w:r>
      <w:r w:rsidRPr="005B464B">
        <w:rPr>
          <w:bCs/>
        </w:rPr>
        <w:t>。</w:t>
      </w:r>
    </w:p>
    <w:p w:rsidR="00D974E1" w:rsidRPr="005B464B" w:rsidRDefault="00D974E1" w:rsidP="00D974E1">
      <w:pPr>
        <w:pStyle w:val="3"/>
        <w:numPr>
          <w:ilvl w:val="2"/>
          <w:numId w:val="1"/>
        </w:numPr>
      </w:pPr>
      <w:bookmarkStart w:id="222" w:name="_Toc482030688"/>
      <w:bookmarkStart w:id="223" w:name="_Toc482031311"/>
      <w:bookmarkStart w:id="224" w:name="_Toc482109515"/>
      <w:r w:rsidRPr="005B464B">
        <w:rPr>
          <w:rFonts w:hint="eastAsia"/>
        </w:rPr>
        <w:t>韓國推動私校退場之誘因及我國</w:t>
      </w:r>
      <w:proofErr w:type="gramStart"/>
      <w:r w:rsidRPr="005B464B">
        <w:rPr>
          <w:rFonts w:hint="eastAsia"/>
        </w:rPr>
        <w:t>國</w:t>
      </w:r>
      <w:proofErr w:type="gramEnd"/>
      <w:r w:rsidRPr="005B464B">
        <w:rPr>
          <w:rFonts w:hint="eastAsia"/>
        </w:rPr>
        <w:t>發會委託研究案之建議</w:t>
      </w:r>
      <w:r w:rsidRPr="005B464B">
        <w:rPr>
          <w:rFonts w:hAnsi="標楷體" w:hint="eastAsia"/>
        </w:rPr>
        <w:t>：</w:t>
      </w:r>
      <w:bookmarkEnd w:id="222"/>
      <w:bookmarkEnd w:id="223"/>
      <w:bookmarkEnd w:id="224"/>
    </w:p>
    <w:p w:rsidR="00D974E1" w:rsidRPr="005B464B" w:rsidRDefault="00D974E1" w:rsidP="00D974E1">
      <w:pPr>
        <w:pStyle w:val="4"/>
        <w:numPr>
          <w:ilvl w:val="3"/>
          <w:numId w:val="1"/>
        </w:numPr>
      </w:pPr>
      <w:r w:rsidRPr="005B464B">
        <w:rPr>
          <w:rFonts w:hint="eastAsia"/>
        </w:rPr>
        <w:t>據教育部98年「韓國</w:t>
      </w:r>
      <w:proofErr w:type="gramStart"/>
      <w:r w:rsidRPr="005B464B">
        <w:rPr>
          <w:rFonts w:hint="eastAsia"/>
        </w:rPr>
        <w:t>高等暨技職</w:t>
      </w:r>
      <w:proofErr w:type="gramEnd"/>
      <w:r w:rsidRPr="005B464B">
        <w:rPr>
          <w:rFonts w:hint="eastAsia"/>
        </w:rPr>
        <w:t>教育改革考察」出國報告指出：學校處分不動產後，將其收入之半數，歸還私立學校創辦人或董事，以加速退場速度。對此教育部之回應如下</w:t>
      </w:r>
      <w:r w:rsidRPr="005B464B">
        <w:rPr>
          <w:rFonts w:hAnsi="標楷體" w:hint="eastAsia"/>
        </w:rPr>
        <w:t>：</w:t>
      </w:r>
    </w:p>
    <w:p w:rsidR="00D974E1" w:rsidRPr="005B464B" w:rsidRDefault="00D974E1" w:rsidP="00D974E1">
      <w:pPr>
        <w:pStyle w:val="5"/>
        <w:numPr>
          <w:ilvl w:val="4"/>
          <w:numId w:val="1"/>
        </w:numPr>
        <w:rPr>
          <w:bCs w:val="0"/>
        </w:rPr>
      </w:pPr>
      <w:r w:rsidRPr="005B464B">
        <w:rPr>
          <w:rFonts w:hint="eastAsia"/>
          <w:bCs w:val="0"/>
        </w:rPr>
        <w:t>由於私立學校涉及不特定多數人之學習權，在我國並接受國家經費補助與社會資源之捐贈，具有高度公益性及公共性，</w:t>
      </w:r>
      <w:r w:rsidRPr="005B464B">
        <w:rPr>
          <w:rFonts w:hint="eastAsia"/>
        </w:rPr>
        <w:t>「</w:t>
      </w:r>
      <w:r w:rsidRPr="005B464B">
        <w:rPr>
          <w:rFonts w:hint="eastAsia"/>
          <w:bCs w:val="0"/>
        </w:rPr>
        <w:t>憲法</w:t>
      </w:r>
      <w:r w:rsidRPr="005B464B">
        <w:rPr>
          <w:rFonts w:hint="eastAsia"/>
        </w:rPr>
        <w:t>」</w:t>
      </w:r>
      <w:r w:rsidRPr="005B464B">
        <w:rPr>
          <w:rFonts w:hint="eastAsia"/>
          <w:bCs w:val="0"/>
        </w:rPr>
        <w:t>對於教育之保障包括學校享有政府獎助、補助、租稅減免等優惠。且「私立學校法</w:t>
      </w:r>
      <w:r w:rsidRPr="005B464B">
        <w:rPr>
          <w:rFonts w:hint="eastAsia"/>
        </w:rPr>
        <w:t>」</w:t>
      </w:r>
      <w:r w:rsidRPr="005B464B">
        <w:rPr>
          <w:rFonts w:hint="eastAsia"/>
          <w:bCs w:val="0"/>
        </w:rPr>
        <w:t>之整體條文乃基於其公共性立法，如果採納外界建議可將退場後之賸餘財產部分歸屬私人或營利團體，將衝擊整個「私立學校法</w:t>
      </w:r>
      <w:r w:rsidRPr="005B464B">
        <w:rPr>
          <w:rFonts w:hint="eastAsia"/>
        </w:rPr>
        <w:t>」</w:t>
      </w:r>
      <w:r w:rsidRPr="005B464B">
        <w:rPr>
          <w:rFonts w:hint="eastAsia"/>
          <w:bCs w:val="0"/>
        </w:rPr>
        <w:t>之精神與意旨。</w:t>
      </w:r>
    </w:p>
    <w:p w:rsidR="00D974E1" w:rsidRPr="005B464B" w:rsidRDefault="00D974E1" w:rsidP="00D974E1">
      <w:pPr>
        <w:pStyle w:val="5"/>
        <w:numPr>
          <w:ilvl w:val="4"/>
          <w:numId w:val="1"/>
        </w:numPr>
        <w:rPr>
          <w:bCs w:val="0"/>
        </w:rPr>
      </w:pPr>
      <w:r w:rsidRPr="005B464B">
        <w:rPr>
          <w:rFonts w:hint="eastAsia"/>
          <w:bCs w:val="0"/>
        </w:rPr>
        <w:t>另有關將不動產處分後收入歸還學校創辦人或董事，將會面臨以下之質疑：</w:t>
      </w:r>
    </w:p>
    <w:p w:rsidR="00D974E1" w:rsidRPr="005B464B" w:rsidRDefault="00D974E1" w:rsidP="00D974E1">
      <w:pPr>
        <w:pStyle w:val="6"/>
        <w:numPr>
          <w:ilvl w:val="5"/>
          <w:numId w:val="1"/>
        </w:numPr>
        <w:ind w:leftChars="459" w:left="2410" w:hanging="849"/>
      </w:pPr>
      <w:r w:rsidRPr="005B464B">
        <w:rPr>
          <w:rFonts w:hint="eastAsia"/>
        </w:rPr>
        <w:t>捐贈免稅：為維護多數人的受教權利，我國法律授予私立學校相關稅賦減免優惠，政府並撥付相關獎補助款項獎勵私人興學，因此在私立</w:t>
      </w:r>
      <w:proofErr w:type="gramStart"/>
      <w:r w:rsidRPr="005B464B">
        <w:rPr>
          <w:rFonts w:hint="eastAsia"/>
        </w:rPr>
        <w:t>學校創學</w:t>
      </w:r>
      <w:proofErr w:type="gramEnd"/>
      <w:r w:rsidRPr="005B464B">
        <w:rPr>
          <w:rFonts w:hint="eastAsia"/>
        </w:rPr>
        <w:t>、興辦等過程中，政府提供相當多的誘因與優惠，如放寬私立學校退場後董事或捐助人可取回部分賸餘財產，恐造成各界反感。</w:t>
      </w:r>
    </w:p>
    <w:p w:rsidR="00D974E1" w:rsidRPr="005B464B" w:rsidRDefault="00D974E1" w:rsidP="00D974E1">
      <w:pPr>
        <w:pStyle w:val="6"/>
        <w:numPr>
          <w:ilvl w:val="5"/>
          <w:numId w:val="1"/>
        </w:numPr>
        <w:ind w:leftChars="459" w:left="2410" w:hanging="849"/>
      </w:pPr>
      <w:r w:rsidRPr="005B464B">
        <w:rPr>
          <w:rFonts w:hint="eastAsia"/>
        </w:rPr>
        <w:t>現行董事並非創辦人或出資董事：經查目前各私立學校之經多次董事改選，現任董、監事人員與</w:t>
      </w:r>
      <w:proofErr w:type="gramStart"/>
      <w:r w:rsidRPr="005B464B">
        <w:rPr>
          <w:rFonts w:hint="eastAsia"/>
        </w:rPr>
        <w:t>原捐資人</w:t>
      </w:r>
      <w:proofErr w:type="gramEnd"/>
      <w:r w:rsidRPr="005B464B">
        <w:rPr>
          <w:rFonts w:hint="eastAsia"/>
        </w:rPr>
        <w:t>已有相當差異，尤其部分</w:t>
      </w:r>
      <w:r w:rsidRPr="005B464B">
        <w:rPr>
          <w:rFonts w:hint="eastAsia"/>
        </w:rPr>
        <w:lastRenderedPageBreak/>
        <w:t>學校年代久遠，創辦人或捐助人後代不見得擔任董事，且後代子孫</w:t>
      </w:r>
      <w:proofErr w:type="gramStart"/>
      <w:r w:rsidRPr="005B464B">
        <w:rPr>
          <w:rFonts w:hint="eastAsia"/>
        </w:rPr>
        <w:t>眾多，</w:t>
      </w:r>
      <w:proofErr w:type="gramEnd"/>
      <w:r w:rsidRPr="005B464B">
        <w:rPr>
          <w:rFonts w:hint="eastAsia"/>
        </w:rPr>
        <w:t>如要將賸餘財產部分歸還，對象難以認定。</w:t>
      </w:r>
    </w:p>
    <w:p w:rsidR="00D974E1" w:rsidRPr="005B464B" w:rsidRDefault="00D974E1" w:rsidP="00D974E1">
      <w:pPr>
        <w:pStyle w:val="6"/>
        <w:numPr>
          <w:ilvl w:val="5"/>
          <w:numId w:val="1"/>
        </w:numPr>
        <w:ind w:leftChars="459" w:left="2410" w:hanging="849"/>
      </w:pPr>
      <w:r w:rsidRPr="005B464B">
        <w:rPr>
          <w:rFonts w:hint="eastAsia"/>
        </w:rPr>
        <w:t>加劇董事席位金錢買賣：如要將部分賸餘財產歸屬捐助人或董事，不僅歸屬對象難以認定，更可能衍生因賸餘財產龐大(尤其都會型學校位於精華地段，校產金額龐大)董事席次買賣之弊端，易引起董事會紛爭，甚至影響學校正常發展及運作。</w:t>
      </w:r>
    </w:p>
    <w:p w:rsidR="00D974E1" w:rsidRPr="005B464B" w:rsidRDefault="00D974E1" w:rsidP="00D974E1">
      <w:pPr>
        <w:pStyle w:val="6"/>
        <w:numPr>
          <w:ilvl w:val="5"/>
          <w:numId w:val="1"/>
        </w:numPr>
        <w:ind w:leftChars="459" w:left="2410" w:hanging="849"/>
      </w:pPr>
      <w:r w:rsidRPr="005B464B">
        <w:rPr>
          <w:rFonts w:hint="eastAsia"/>
        </w:rPr>
        <w:t>衝擊地方政府及整體土地規劃：因現行規定學校停辦後法人如不</w:t>
      </w:r>
      <w:proofErr w:type="gramStart"/>
      <w:r w:rsidRPr="005B464B">
        <w:rPr>
          <w:rFonts w:hint="eastAsia"/>
        </w:rPr>
        <w:t>改辦而進行</w:t>
      </w:r>
      <w:proofErr w:type="gramEnd"/>
      <w:r w:rsidRPr="005B464B">
        <w:rPr>
          <w:rFonts w:hint="eastAsia"/>
        </w:rPr>
        <w:t>清算，有賸餘財產時首先依捐助章程規定辦理，其為免除土地增值稅，一般皆歸屬地方政府，如修法讓私立學校董事或捐助人得取回學校部分賸餘財產，一來</w:t>
      </w:r>
      <w:proofErr w:type="gramStart"/>
      <w:r w:rsidRPr="005B464B">
        <w:rPr>
          <w:rFonts w:hint="eastAsia"/>
        </w:rPr>
        <w:t>恐</w:t>
      </w:r>
      <w:proofErr w:type="gramEnd"/>
      <w:r w:rsidRPr="005B464B">
        <w:rPr>
          <w:rFonts w:hint="eastAsia"/>
        </w:rPr>
        <w:t>造成地方政府權益損失，二來將影響地方政府整體用地規劃，各縣市政府權利受損。</w:t>
      </w:r>
    </w:p>
    <w:p w:rsidR="00D974E1" w:rsidRPr="005B464B" w:rsidRDefault="00D974E1" w:rsidP="00D974E1">
      <w:pPr>
        <w:pStyle w:val="4"/>
        <w:numPr>
          <w:ilvl w:val="3"/>
          <w:numId w:val="1"/>
        </w:numPr>
      </w:pPr>
      <w:r w:rsidRPr="005B464B">
        <w:rPr>
          <w:rFonts w:hint="eastAsia"/>
        </w:rPr>
        <w:t>另據國發會函送之101年1月</w:t>
      </w:r>
      <w:r w:rsidRPr="005B464B">
        <w:rPr>
          <w:rFonts w:hAnsi="標楷體" w:hint="eastAsia"/>
        </w:rPr>
        <w:t>「</w:t>
      </w:r>
      <w:r w:rsidRPr="005B464B">
        <w:rPr>
          <w:rFonts w:hint="eastAsia"/>
        </w:rPr>
        <w:t>因應少子女化我國大專校院整</w:t>
      </w:r>
      <w:proofErr w:type="gramStart"/>
      <w:r w:rsidRPr="005B464B">
        <w:rPr>
          <w:rFonts w:hint="eastAsia"/>
        </w:rPr>
        <w:t>併</w:t>
      </w:r>
      <w:proofErr w:type="gramEnd"/>
      <w:r w:rsidRPr="005B464B">
        <w:rPr>
          <w:rFonts w:hAnsi="標楷體" w:hint="eastAsia"/>
        </w:rPr>
        <w:t>、</w:t>
      </w:r>
      <w:r w:rsidRPr="005B464B">
        <w:rPr>
          <w:rFonts w:hint="eastAsia"/>
        </w:rPr>
        <w:t>轉型與退場機制之研究</w:t>
      </w:r>
      <w:r w:rsidRPr="005B464B">
        <w:rPr>
          <w:rFonts w:hAnsi="標楷體" w:hint="eastAsia"/>
        </w:rPr>
        <w:t>」</w:t>
      </w:r>
      <w:r w:rsidRPr="005B464B">
        <w:rPr>
          <w:rFonts w:hint="eastAsia"/>
        </w:rPr>
        <w:t>委託研究報告指出</w:t>
      </w:r>
      <w:r w:rsidRPr="005B464B">
        <w:rPr>
          <w:rFonts w:hAnsi="標楷體" w:hint="eastAsia"/>
        </w:rPr>
        <w:t>：</w:t>
      </w:r>
    </w:p>
    <w:p w:rsidR="00D974E1" w:rsidRPr="005B464B" w:rsidRDefault="00D974E1" w:rsidP="00D974E1">
      <w:pPr>
        <w:pStyle w:val="5"/>
        <w:numPr>
          <w:ilvl w:val="4"/>
          <w:numId w:val="1"/>
        </w:numPr>
      </w:pPr>
      <w:r w:rsidRPr="005B464B">
        <w:rPr>
          <w:rFonts w:hint="eastAsia"/>
        </w:rPr>
        <w:t>私立學校的資產來自於私人捐資，於處理退場後的校產問題，面臨董事會不願意與不</w:t>
      </w:r>
      <w:proofErr w:type="gramStart"/>
      <w:r w:rsidRPr="005B464B">
        <w:rPr>
          <w:rFonts w:hint="eastAsia"/>
        </w:rPr>
        <w:t>捨</w:t>
      </w:r>
      <w:proofErr w:type="gramEnd"/>
      <w:r w:rsidRPr="005B464B">
        <w:rPr>
          <w:rFonts w:hint="eastAsia"/>
        </w:rPr>
        <w:t>龐大校產因而充公，甚或消失，基於護產的心態，造成苟延殘喘現象，反而不利辦學品質與師生權益。</w:t>
      </w:r>
    </w:p>
    <w:p w:rsidR="00D974E1" w:rsidRPr="005B464B" w:rsidRDefault="00D974E1" w:rsidP="00D974E1">
      <w:pPr>
        <w:pStyle w:val="5"/>
        <w:numPr>
          <w:ilvl w:val="4"/>
          <w:numId w:val="1"/>
        </w:numPr>
      </w:pPr>
      <w:r w:rsidRPr="005B464B">
        <w:rPr>
          <w:rFonts w:hint="eastAsia"/>
        </w:rPr>
        <w:t>政府若能比照「區段徵收」的概念，思考「漲價歸公」的原則，就原資產回歸創辦人或交由董事會繼續從事公益事業處置，</w:t>
      </w:r>
      <w:proofErr w:type="gramStart"/>
      <w:r w:rsidRPr="005B464B">
        <w:rPr>
          <w:rFonts w:hint="eastAsia"/>
        </w:rPr>
        <w:t>或允由</w:t>
      </w:r>
      <w:proofErr w:type="gramEnd"/>
      <w:r w:rsidRPr="005B464B">
        <w:rPr>
          <w:rFonts w:hint="eastAsia"/>
        </w:rPr>
        <w:t>政府徵收或再利用之獲益，除歸還董事會基本資產外，</w:t>
      </w:r>
      <w:proofErr w:type="gramStart"/>
      <w:r w:rsidRPr="005B464B">
        <w:rPr>
          <w:rFonts w:hint="eastAsia"/>
        </w:rPr>
        <w:t>餘悉由</w:t>
      </w:r>
      <w:proofErr w:type="gramEnd"/>
      <w:r w:rsidRPr="005B464B">
        <w:rPr>
          <w:rFonts w:hint="eastAsia"/>
        </w:rPr>
        <w:t>政府依法收歸處理，也許能減少董</w:t>
      </w:r>
      <w:r w:rsidRPr="005B464B">
        <w:rPr>
          <w:rFonts w:hint="eastAsia"/>
        </w:rPr>
        <w:lastRenderedPageBreak/>
        <w:t>事會或創辦人後代之抗拒態度。</w:t>
      </w:r>
    </w:p>
    <w:p w:rsidR="00D974E1" w:rsidRPr="005B464B" w:rsidRDefault="00D974E1" w:rsidP="00F567DE">
      <w:pPr>
        <w:pStyle w:val="3"/>
      </w:pPr>
      <w:bookmarkStart w:id="225" w:name="_Toc482030689"/>
      <w:bookmarkStart w:id="226" w:name="_Toc482031312"/>
      <w:bookmarkStart w:id="227" w:name="_Toc482109516"/>
      <w:r w:rsidRPr="005B464B">
        <w:rPr>
          <w:rFonts w:hint="eastAsia"/>
        </w:rPr>
        <w:t>綜上</w:t>
      </w:r>
      <w:r w:rsidRPr="005B464B">
        <w:rPr>
          <w:rFonts w:hAnsi="標楷體" w:hint="eastAsia"/>
        </w:rPr>
        <w:t>，</w:t>
      </w:r>
      <w:r w:rsidRPr="005B464B">
        <w:rPr>
          <w:rFonts w:hint="eastAsia"/>
        </w:rPr>
        <w:t>參酌本案履</w:t>
      </w:r>
      <w:proofErr w:type="gramStart"/>
      <w:r w:rsidRPr="005B464B">
        <w:rPr>
          <w:rFonts w:hint="eastAsia"/>
        </w:rPr>
        <w:t>勘</w:t>
      </w:r>
      <w:proofErr w:type="gramEnd"/>
      <w:r w:rsidRPr="005B464B">
        <w:rPr>
          <w:rFonts w:hint="eastAsia"/>
        </w:rPr>
        <w:t>學校提供建議及諮詢專家之專業意見，目前私立大專校院退場之誘因不足</w:t>
      </w:r>
      <w:r w:rsidRPr="005B464B">
        <w:rPr>
          <w:rFonts w:hAnsi="標楷體" w:hint="eastAsia"/>
        </w:rPr>
        <w:t>，</w:t>
      </w:r>
      <w:r w:rsidRPr="005B464B">
        <w:rPr>
          <w:rFonts w:hint="eastAsia"/>
        </w:rPr>
        <w:t>部分營運狀況不佳之私校董事會觀望甚至抗拒退場</w:t>
      </w:r>
      <w:r w:rsidRPr="005B464B">
        <w:rPr>
          <w:rFonts w:hAnsi="標楷體" w:hint="eastAsia"/>
        </w:rPr>
        <w:t>，</w:t>
      </w:r>
      <w:r w:rsidRPr="005B464B">
        <w:rPr>
          <w:rFonts w:hint="eastAsia"/>
        </w:rPr>
        <w:t>教育部允宜積極</w:t>
      </w:r>
      <w:proofErr w:type="gramStart"/>
      <w:r w:rsidRPr="005B464B">
        <w:rPr>
          <w:rFonts w:hint="eastAsia"/>
        </w:rPr>
        <w:t>研</w:t>
      </w:r>
      <w:proofErr w:type="gramEnd"/>
      <w:r w:rsidRPr="005B464B">
        <w:rPr>
          <w:rFonts w:hint="eastAsia"/>
        </w:rPr>
        <w:t>議加速退場之方法及提供足夠之誘因</w:t>
      </w:r>
      <w:r w:rsidRPr="005B464B">
        <w:rPr>
          <w:rFonts w:hAnsi="標楷體" w:hint="eastAsia"/>
        </w:rPr>
        <w:t>，</w:t>
      </w:r>
      <w:proofErr w:type="gramStart"/>
      <w:r w:rsidRPr="005B464B">
        <w:rPr>
          <w:rFonts w:hint="eastAsia"/>
        </w:rPr>
        <w:t>俾</w:t>
      </w:r>
      <w:proofErr w:type="gramEnd"/>
      <w:r w:rsidRPr="005B464B">
        <w:rPr>
          <w:rFonts w:hint="eastAsia"/>
        </w:rPr>
        <w:t>使無意或無力繼續辦學之私校提早退場或配合國家建設需求轉型成其他行業</w:t>
      </w:r>
      <w:r w:rsidRPr="005B464B">
        <w:rPr>
          <w:rFonts w:hAnsi="標楷體" w:hint="eastAsia"/>
        </w:rPr>
        <w:t>。</w:t>
      </w:r>
      <w:bookmarkEnd w:id="225"/>
      <w:bookmarkEnd w:id="226"/>
      <w:bookmarkEnd w:id="227"/>
      <w:r w:rsidR="00F567DE" w:rsidRPr="005B464B">
        <w:rPr>
          <w:rFonts w:hAnsi="標楷體" w:hint="eastAsia"/>
        </w:rPr>
        <w:t>而以目前「私立學校法」防弊大於興利，治標</w:t>
      </w:r>
      <w:r w:rsidR="005B464B">
        <w:rPr>
          <w:rFonts w:hAnsi="標楷體" w:hint="eastAsia"/>
        </w:rPr>
        <w:t>而非治本的屬性觀之，本案多位諮詢專家學者咸認教育部有</w:t>
      </w:r>
      <w:proofErr w:type="gramStart"/>
      <w:r w:rsidR="005B464B">
        <w:rPr>
          <w:rFonts w:hAnsi="標楷體" w:hint="eastAsia"/>
        </w:rPr>
        <w:t>研</w:t>
      </w:r>
      <w:proofErr w:type="gramEnd"/>
      <w:r w:rsidR="005B464B">
        <w:rPr>
          <w:rFonts w:hAnsi="標楷體" w:hint="eastAsia"/>
        </w:rPr>
        <w:t>議「特別條例</w:t>
      </w:r>
      <w:r w:rsidR="00F567DE" w:rsidRPr="005B464B">
        <w:rPr>
          <w:rFonts w:hAnsi="標楷體" w:hint="eastAsia"/>
        </w:rPr>
        <w:t>」以因應私校退場與轉型之必要。</w:t>
      </w:r>
    </w:p>
    <w:p w:rsidR="00D974E1" w:rsidRPr="005B464B" w:rsidRDefault="00D974E1" w:rsidP="00D974E1"/>
    <w:p w:rsidR="00D974E1" w:rsidRPr="005B464B" w:rsidRDefault="00D974E1" w:rsidP="00D974E1">
      <w:pPr>
        <w:pStyle w:val="2"/>
        <w:numPr>
          <w:ilvl w:val="1"/>
          <w:numId w:val="1"/>
        </w:numPr>
        <w:rPr>
          <w:b/>
          <w:szCs w:val="36"/>
        </w:rPr>
      </w:pPr>
      <w:bookmarkStart w:id="228" w:name="_Toc482031313"/>
      <w:bookmarkStart w:id="229" w:name="_Toc482109517"/>
      <w:bookmarkStart w:id="230" w:name="_Toc485138871"/>
      <w:r w:rsidRPr="005B464B">
        <w:rPr>
          <w:rFonts w:hint="eastAsia"/>
          <w:b/>
          <w:szCs w:val="36"/>
        </w:rPr>
        <w:t>「教育部輔導私立大專校院改善及停辦實施原則」第2點第1款規定，私立大專校院全校學生數未達3千人，且最近二年新生註冊</w:t>
      </w:r>
      <w:proofErr w:type="gramStart"/>
      <w:r w:rsidRPr="005B464B">
        <w:rPr>
          <w:rFonts w:hint="eastAsia"/>
          <w:b/>
          <w:szCs w:val="36"/>
        </w:rPr>
        <w:t>率均未達</w:t>
      </w:r>
      <w:proofErr w:type="gramEnd"/>
      <w:r w:rsidRPr="005B464B">
        <w:rPr>
          <w:rFonts w:hint="eastAsia"/>
          <w:b/>
          <w:szCs w:val="36"/>
        </w:rPr>
        <w:t>百分之六十者得納入專案輔導學校。</w:t>
      </w:r>
      <w:proofErr w:type="gramStart"/>
      <w:r w:rsidRPr="005B464B">
        <w:rPr>
          <w:rFonts w:hint="eastAsia"/>
          <w:b/>
          <w:szCs w:val="36"/>
        </w:rPr>
        <w:t>惟</w:t>
      </w:r>
      <w:proofErr w:type="gramEnd"/>
      <w:r w:rsidRPr="005B464B">
        <w:rPr>
          <w:rFonts w:hint="eastAsia"/>
          <w:b/>
          <w:bCs w:val="0"/>
        </w:rPr>
        <w:t>目前有部分私校之全校學生數未達3千人</w:t>
      </w:r>
      <w:r w:rsidRPr="005B464B">
        <w:rPr>
          <w:rFonts w:hAnsi="標楷體" w:hint="eastAsia"/>
          <w:b/>
          <w:bCs w:val="0"/>
        </w:rPr>
        <w:t>，教育部亦認為學生數及註冊率已非專案輔導學校之審查指標</w:t>
      </w:r>
      <w:r w:rsidRPr="005B464B">
        <w:rPr>
          <w:rFonts w:hint="eastAsia"/>
          <w:b/>
          <w:szCs w:val="36"/>
        </w:rPr>
        <w:t>；此由其近來草擬之</w:t>
      </w:r>
      <w:r w:rsidRPr="005B464B">
        <w:rPr>
          <w:b/>
          <w:szCs w:val="36"/>
        </w:rPr>
        <w:t>「私立大專校院轉型及退場條例」</w:t>
      </w:r>
      <w:r w:rsidRPr="005B464B">
        <w:rPr>
          <w:rFonts w:hint="eastAsia"/>
          <w:b/>
          <w:szCs w:val="36"/>
        </w:rPr>
        <w:t>(草案)未</w:t>
      </w:r>
      <w:r w:rsidRPr="005B464B">
        <w:rPr>
          <w:b/>
          <w:szCs w:val="36"/>
        </w:rPr>
        <w:t>再</w:t>
      </w:r>
      <w:r w:rsidRPr="005B464B">
        <w:rPr>
          <w:rFonts w:hint="eastAsia"/>
          <w:b/>
          <w:szCs w:val="36"/>
        </w:rPr>
        <w:t>將</w:t>
      </w:r>
      <w:r w:rsidRPr="005B464B">
        <w:rPr>
          <w:b/>
          <w:szCs w:val="36"/>
        </w:rPr>
        <w:t>學生數</w:t>
      </w:r>
      <w:r w:rsidRPr="005B464B">
        <w:rPr>
          <w:rFonts w:hint="eastAsia"/>
          <w:b/>
          <w:szCs w:val="36"/>
        </w:rPr>
        <w:t>及</w:t>
      </w:r>
      <w:r w:rsidRPr="005B464B">
        <w:rPr>
          <w:b/>
          <w:szCs w:val="36"/>
        </w:rPr>
        <w:t>註冊率</w:t>
      </w:r>
      <w:r w:rsidRPr="005B464B">
        <w:rPr>
          <w:rFonts w:hint="eastAsia"/>
          <w:b/>
          <w:szCs w:val="36"/>
        </w:rPr>
        <w:t>列為專案輔導</w:t>
      </w:r>
      <w:r w:rsidRPr="005B464B">
        <w:rPr>
          <w:b/>
          <w:szCs w:val="36"/>
        </w:rPr>
        <w:t>條件</w:t>
      </w:r>
      <w:r w:rsidRPr="005B464B">
        <w:rPr>
          <w:rFonts w:hint="eastAsia"/>
          <w:b/>
          <w:szCs w:val="36"/>
        </w:rPr>
        <w:t>獲得印證。鑒於立法</w:t>
      </w:r>
      <w:proofErr w:type="gramStart"/>
      <w:r w:rsidRPr="005B464B">
        <w:rPr>
          <w:rFonts w:hint="eastAsia"/>
          <w:b/>
          <w:szCs w:val="36"/>
        </w:rPr>
        <w:t>時程常難以</w:t>
      </w:r>
      <w:proofErr w:type="gramEnd"/>
      <w:r w:rsidRPr="005B464B">
        <w:rPr>
          <w:rFonts w:hint="eastAsia"/>
          <w:b/>
          <w:szCs w:val="36"/>
        </w:rPr>
        <w:t>掌握</w:t>
      </w:r>
      <w:r w:rsidRPr="005B464B">
        <w:rPr>
          <w:rFonts w:hAnsi="標楷體" w:hint="eastAsia"/>
          <w:b/>
          <w:szCs w:val="36"/>
        </w:rPr>
        <w:t>，</w:t>
      </w:r>
      <w:r w:rsidRPr="005B464B">
        <w:rPr>
          <w:rFonts w:hint="eastAsia"/>
          <w:b/>
          <w:szCs w:val="36"/>
        </w:rPr>
        <w:t>教育部允宜在完成上開條例立法程序</w:t>
      </w:r>
      <w:r w:rsidRPr="005B464B">
        <w:rPr>
          <w:rFonts w:hAnsi="標楷體" w:hint="eastAsia"/>
          <w:b/>
          <w:szCs w:val="36"/>
        </w:rPr>
        <w:t>前，先行修訂前揭實施原則，</w:t>
      </w:r>
      <w:proofErr w:type="gramStart"/>
      <w:r w:rsidRPr="005B464B">
        <w:rPr>
          <w:rFonts w:hAnsi="標楷體" w:hint="eastAsia"/>
          <w:b/>
          <w:szCs w:val="36"/>
        </w:rPr>
        <w:t>俾</w:t>
      </w:r>
      <w:proofErr w:type="gramEnd"/>
      <w:r w:rsidRPr="005B464B">
        <w:rPr>
          <w:rFonts w:hAnsi="標楷體" w:hint="eastAsia"/>
          <w:b/>
          <w:szCs w:val="36"/>
        </w:rPr>
        <w:t>符實際。</w:t>
      </w:r>
      <w:bookmarkEnd w:id="228"/>
      <w:bookmarkEnd w:id="229"/>
      <w:bookmarkEnd w:id="230"/>
    </w:p>
    <w:p w:rsidR="00D974E1" w:rsidRPr="005B464B" w:rsidRDefault="00D974E1" w:rsidP="00D974E1">
      <w:pPr>
        <w:pStyle w:val="3"/>
        <w:numPr>
          <w:ilvl w:val="2"/>
          <w:numId w:val="1"/>
        </w:numPr>
      </w:pPr>
      <w:bookmarkStart w:id="231" w:name="_Toc482030691"/>
      <w:bookmarkStart w:id="232" w:name="_Toc482031314"/>
      <w:bookmarkStart w:id="233" w:name="_Toc482109518"/>
      <w:r w:rsidRPr="005B464B">
        <w:rPr>
          <w:rFonts w:hint="eastAsia"/>
        </w:rPr>
        <w:t>列為專案輔導學校之法令規定</w:t>
      </w:r>
      <w:r w:rsidRPr="005B464B">
        <w:rPr>
          <w:rFonts w:hAnsi="標楷體" w:hint="eastAsia"/>
        </w:rPr>
        <w:t>：</w:t>
      </w:r>
      <w:bookmarkEnd w:id="231"/>
      <w:bookmarkEnd w:id="232"/>
      <w:bookmarkEnd w:id="233"/>
    </w:p>
    <w:p w:rsidR="00D974E1" w:rsidRPr="005B464B" w:rsidRDefault="00D974E1" w:rsidP="00D974E1">
      <w:pPr>
        <w:pStyle w:val="4"/>
        <w:numPr>
          <w:ilvl w:val="3"/>
          <w:numId w:val="1"/>
        </w:numPr>
      </w:pPr>
      <w:r w:rsidRPr="005B464B">
        <w:rPr>
          <w:rFonts w:hint="eastAsia"/>
        </w:rPr>
        <w:t>教育部為執行「私立學校法</w:t>
      </w:r>
      <w:r w:rsidRPr="005B464B">
        <w:rPr>
          <w:rFonts w:hAnsi="標楷體" w:hint="eastAsia"/>
        </w:rPr>
        <w:t>」</w:t>
      </w:r>
      <w:r w:rsidRPr="005B464B">
        <w:rPr>
          <w:rFonts w:hint="eastAsia"/>
        </w:rPr>
        <w:t>、「專科以上學校及其分校分部專科部技術型高級中等學校部設立變更停辦辦法</w:t>
      </w:r>
      <w:r w:rsidRPr="005B464B">
        <w:rPr>
          <w:rFonts w:hAnsi="標楷體" w:hint="eastAsia"/>
        </w:rPr>
        <w:t>」</w:t>
      </w:r>
      <w:r w:rsidRPr="005B464B">
        <w:rPr>
          <w:rFonts w:hint="eastAsia"/>
        </w:rPr>
        <w:t>等相關法規規定，輔導私立大專校院改善及停辦，特訂定「教育部輔導私立大專校院改善及停辦實施原則」</w:t>
      </w:r>
      <w:r w:rsidRPr="005B464B">
        <w:rPr>
          <w:rFonts w:hAnsi="標楷體" w:hint="eastAsia"/>
        </w:rPr>
        <w:t>。</w:t>
      </w:r>
      <w:r w:rsidRPr="005B464B">
        <w:rPr>
          <w:rFonts w:hint="eastAsia"/>
        </w:rPr>
        <w:t>依該實施原則第2點規定：「私立大專校院有下列情形之</w:t>
      </w:r>
      <w:proofErr w:type="gramStart"/>
      <w:r w:rsidRPr="005B464B">
        <w:rPr>
          <w:rFonts w:hint="eastAsia"/>
        </w:rPr>
        <w:t>一</w:t>
      </w:r>
      <w:proofErr w:type="gramEnd"/>
      <w:r w:rsidRPr="005B464B">
        <w:rPr>
          <w:rFonts w:hint="eastAsia"/>
        </w:rPr>
        <w:t>者，本部得依本法第</w:t>
      </w:r>
      <w:r w:rsidRPr="005B464B">
        <w:t>55</w:t>
      </w:r>
      <w:r w:rsidRPr="005B464B">
        <w:rPr>
          <w:rFonts w:hint="eastAsia"/>
        </w:rPr>
        <w:t>條規定，命其限期改善，並進行專案輔導：</w:t>
      </w:r>
      <w:r w:rsidRPr="005B464B">
        <w:t>(</w:t>
      </w:r>
      <w:r w:rsidRPr="005B464B">
        <w:rPr>
          <w:rFonts w:hint="eastAsia"/>
        </w:rPr>
        <w:t>第1款</w:t>
      </w:r>
      <w:r w:rsidRPr="005B464B">
        <w:t>)</w:t>
      </w:r>
      <w:r w:rsidRPr="005B464B">
        <w:rPr>
          <w:rFonts w:hint="eastAsia"/>
        </w:rPr>
        <w:t>全校學生數未達3千人，且最近</w:t>
      </w:r>
      <w:r w:rsidRPr="005B464B">
        <w:rPr>
          <w:rFonts w:hint="eastAsia"/>
        </w:rPr>
        <w:lastRenderedPageBreak/>
        <w:t>2年新生註冊</w:t>
      </w:r>
      <w:proofErr w:type="gramStart"/>
      <w:r w:rsidRPr="005B464B">
        <w:rPr>
          <w:rFonts w:hint="eastAsia"/>
        </w:rPr>
        <w:t>率均未達</w:t>
      </w:r>
      <w:proofErr w:type="gramEnd"/>
      <w:r w:rsidRPr="005B464B">
        <w:rPr>
          <w:rFonts w:hint="eastAsia"/>
        </w:rPr>
        <w:t>百分之六十。但宗教</w:t>
      </w:r>
      <w:proofErr w:type="gramStart"/>
      <w:r w:rsidRPr="005B464B">
        <w:rPr>
          <w:rFonts w:hint="eastAsia"/>
        </w:rPr>
        <w:t>研</w:t>
      </w:r>
      <w:proofErr w:type="gramEnd"/>
      <w:r w:rsidRPr="005B464B">
        <w:rPr>
          <w:rFonts w:hint="eastAsia"/>
        </w:rPr>
        <w:t>修學院、新設立未滿5年之學校，不在此限。</w:t>
      </w:r>
      <w:r w:rsidRPr="005B464B">
        <w:rPr>
          <w:rFonts w:hAnsi="標楷體" w:hint="eastAsia"/>
        </w:rPr>
        <w:t>」</w:t>
      </w:r>
    </w:p>
    <w:p w:rsidR="00D974E1" w:rsidRPr="005B464B" w:rsidRDefault="00D974E1" w:rsidP="00D974E1">
      <w:pPr>
        <w:pStyle w:val="4"/>
        <w:numPr>
          <w:ilvl w:val="3"/>
          <w:numId w:val="1"/>
        </w:numPr>
      </w:pPr>
      <w:r w:rsidRPr="005B464B">
        <w:rPr>
          <w:rFonts w:hint="eastAsia"/>
        </w:rPr>
        <w:t>另該實施原則第2點第2款至第7款規定尚有評鑑是否通過</w:t>
      </w:r>
      <w:r w:rsidRPr="005B464B">
        <w:rPr>
          <w:rFonts w:hAnsi="標楷體" w:hint="eastAsia"/>
        </w:rPr>
        <w:t>、有無</w:t>
      </w:r>
      <w:r w:rsidRPr="005B464B">
        <w:rPr>
          <w:rFonts w:hint="eastAsia"/>
        </w:rPr>
        <w:t>欠薪減薪</w:t>
      </w:r>
      <w:r w:rsidRPr="005B464B">
        <w:rPr>
          <w:rFonts w:hAnsi="標楷體" w:hint="eastAsia"/>
        </w:rPr>
        <w:t>、</w:t>
      </w:r>
      <w:r w:rsidRPr="005B464B">
        <w:rPr>
          <w:rFonts w:hint="eastAsia"/>
        </w:rPr>
        <w:t>財務調度困難、教學品質、是否有違反相關法規等指標，未達各項標準者亦將納入專案輔導學校。</w:t>
      </w:r>
    </w:p>
    <w:p w:rsidR="00D974E1" w:rsidRPr="005B464B" w:rsidRDefault="00D974E1" w:rsidP="00D974E1">
      <w:pPr>
        <w:pStyle w:val="3"/>
        <w:numPr>
          <w:ilvl w:val="2"/>
          <w:numId w:val="1"/>
        </w:numPr>
      </w:pPr>
      <w:bookmarkStart w:id="234" w:name="_Toc482030692"/>
      <w:bookmarkStart w:id="235" w:name="_Toc482031315"/>
      <w:bookmarkStart w:id="236" w:name="_Toc482109519"/>
      <w:r w:rsidRPr="005B464B">
        <w:rPr>
          <w:rFonts w:hint="eastAsia"/>
        </w:rPr>
        <w:t>私校全校人數未達3千人之現況</w:t>
      </w:r>
      <w:r w:rsidRPr="005B464B">
        <w:rPr>
          <w:rFonts w:hAnsi="標楷體" w:hint="eastAsia"/>
        </w:rPr>
        <w:t>：</w:t>
      </w:r>
      <w:bookmarkEnd w:id="234"/>
      <w:bookmarkEnd w:id="235"/>
      <w:bookmarkEnd w:id="236"/>
    </w:p>
    <w:p w:rsidR="00D974E1" w:rsidRPr="005B464B" w:rsidRDefault="00D974E1" w:rsidP="00D974E1">
      <w:pPr>
        <w:pStyle w:val="4"/>
        <w:numPr>
          <w:ilvl w:val="3"/>
          <w:numId w:val="1"/>
        </w:numPr>
      </w:pPr>
      <w:r w:rsidRPr="005B464B">
        <w:rPr>
          <w:rFonts w:hint="eastAsia"/>
        </w:rPr>
        <w:t>教育部</w:t>
      </w:r>
      <w:r w:rsidRPr="005B464B">
        <w:t>105</w:t>
      </w:r>
      <w:r w:rsidRPr="005B464B">
        <w:rPr>
          <w:rFonts w:hint="eastAsia"/>
        </w:rPr>
        <w:t>年</w:t>
      </w:r>
      <w:r w:rsidRPr="005B464B">
        <w:t>6</w:t>
      </w:r>
      <w:r w:rsidRPr="005B464B">
        <w:rPr>
          <w:rFonts w:hint="eastAsia"/>
        </w:rPr>
        <w:t>月</w:t>
      </w:r>
      <w:r w:rsidRPr="005B464B">
        <w:t>29</w:t>
      </w:r>
      <w:r w:rsidRPr="005B464B">
        <w:rPr>
          <w:rFonts w:hint="eastAsia"/>
        </w:rPr>
        <w:t>日教育統計簡訊顯示，全校學生數未達</w:t>
      </w:r>
      <w:r w:rsidRPr="005B464B">
        <w:t>3,000</w:t>
      </w:r>
      <w:r w:rsidRPr="005B464B">
        <w:rPr>
          <w:rFonts w:hint="eastAsia"/>
        </w:rPr>
        <w:t>人之學校有法鼓文理學院、中信金融管理學院、馬偕醫學院、高美醫護管理專科學校、亞太創意技術學院、臺灣觀光學院、蘭陽技術學院、大漢技術學院、育英醫護管理專科學校、稻江科技暨管理學院、大同技術學院、慈濟科技大學等</w:t>
      </w:r>
      <w:r w:rsidRPr="005B464B">
        <w:t>12</w:t>
      </w:r>
      <w:r w:rsidRPr="005B464B">
        <w:rPr>
          <w:rFonts w:hint="eastAsia"/>
        </w:rPr>
        <w:t>校。然該</w:t>
      </w:r>
      <w:r w:rsidRPr="005B464B">
        <w:t>12</w:t>
      </w:r>
      <w:r w:rsidRPr="005B464B">
        <w:rPr>
          <w:rFonts w:hint="eastAsia"/>
        </w:rPr>
        <w:t>校</w:t>
      </w:r>
      <w:proofErr w:type="gramStart"/>
      <w:r w:rsidRPr="005B464B">
        <w:rPr>
          <w:rFonts w:hint="eastAsia"/>
        </w:rPr>
        <w:t>並非均為專案</w:t>
      </w:r>
      <w:proofErr w:type="gramEnd"/>
      <w:r w:rsidRPr="005B464B">
        <w:rPr>
          <w:rFonts w:hint="eastAsia"/>
        </w:rPr>
        <w:t>輔導學校。按最近3學年度(101-103學年度)會計師查核報告，除財團法人亞太創意技術學院因該校圖書資訊大樓工程造價之合理性及價值尚待</w:t>
      </w:r>
      <w:proofErr w:type="gramStart"/>
      <w:r w:rsidRPr="005B464B">
        <w:rPr>
          <w:rFonts w:hint="eastAsia"/>
        </w:rPr>
        <w:t>釐</w:t>
      </w:r>
      <w:proofErr w:type="gramEnd"/>
      <w:r w:rsidRPr="005B464B">
        <w:rPr>
          <w:rFonts w:hint="eastAsia"/>
        </w:rPr>
        <w:t>清，</w:t>
      </w:r>
      <w:proofErr w:type="gramStart"/>
      <w:r w:rsidRPr="005B464B">
        <w:rPr>
          <w:rFonts w:hint="eastAsia"/>
        </w:rPr>
        <w:t>爰會計師皆出具</w:t>
      </w:r>
      <w:proofErr w:type="gramEnd"/>
      <w:r w:rsidRPr="005B464B">
        <w:rPr>
          <w:rFonts w:hint="eastAsia"/>
        </w:rPr>
        <w:t>保留意見外，其餘11所私校</w:t>
      </w:r>
      <w:proofErr w:type="gramStart"/>
      <w:r w:rsidRPr="005B464B">
        <w:rPr>
          <w:rFonts w:hint="eastAsia"/>
        </w:rPr>
        <w:t>會計師皆出具</w:t>
      </w:r>
      <w:proofErr w:type="gramEnd"/>
      <w:r w:rsidRPr="005B464B">
        <w:rPr>
          <w:rFonts w:hint="eastAsia"/>
        </w:rPr>
        <w:t>無保留意見或</w:t>
      </w:r>
      <w:proofErr w:type="gramStart"/>
      <w:r w:rsidRPr="005B464B">
        <w:rPr>
          <w:rFonts w:hint="eastAsia"/>
        </w:rPr>
        <w:t>修正式無保留</w:t>
      </w:r>
      <w:proofErr w:type="gramEnd"/>
      <w:r w:rsidRPr="005B464B">
        <w:rPr>
          <w:rFonts w:hint="eastAsia"/>
        </w:rPr>
        <w:t>意見。</w:t>
      </w:r>
    </w:p>
    <w:p w:rsidR="00D974E1" w:rsidRPr="005B464B" w:rsidRDefault="00D974E1" w:rsidP="00D974E1">
      <w:pPr>
        <w:pStyle w:val="4"/>
        <w:numPr>
          <w:ilvl w:val="3"/>
          <w:numId w:val="1"/>
        </w:numPr>
      </w:pPr>
      <w:r w:rsidRPr="005B464B">
        <w:rPr>
          <w:rFonts w:hint="eastAsia"/>
        </w:rPr>
        <w:t>本院至中信金融管理學院履</w:t>
      </w:r>
      <w:proofErr w:type="gramStart"/>
      <w:r w:rsidRPr="005B464B">
        <w:rPr>
          <w:rFonts w:hint="eastAsia"/>
        </w:rPr>
        <w:t>勘</w:t>
      </w:r>
      <w:proofErr w:type="gramEnd"/>
      <w:r w:rsidRPr="005B464B">
        <w:rPr>
          <w:rFonts w:hint="eastAsia"/>
        </w:rPr>
        <w:t>時</w:t>
      </w:r>
      <w:r w:rsidRPr="005B464B">
        <w:rPr>
          <w:rFonts w:hAnsi="標楷體" w:hint="eastAsia"/>
        </w:rPr>
        <w:t>，</w:t>
      </w:r>
      <w:r w:rsidRPr="005B464B">
        <w:rPr>
          <w:rFonts w:hint="eastAsia"/>
        </w:rPr>
        <w:t>該校簡報資料顯示</w:t>
      </w:r>
      <w:r w:rsidRPr="005B464B">
        <w:rPr>
          <w:rFonts w:hAnsi="標楷體" w:hint="eastAsia"/>
        </w:rPr>
        <w:t>，</w:t>
      </w:r>
      <w:r w:rsidRPr="005B464B">
        <w:rPr>
          <w:rFonts w:hint="eastAsia"/>
        </w:rPr>
        <w:t>該校自104年接手興國管理學院後</w:t>
      </w:r>
      <w:r w:rsidRPr="005B464B">
        <w:rPr>
          <w:rFonts w:hAnsi="標楷體" w:hint="eastAsia"/>
        </w:rPr>
        <w:t>，</w:t>
      </w:r>
      <w:r w:rsidRPr="005B464B">
        <w:rPr>
          <w:rFonts w:hint="eastAsia"/>
        </w:rPr>
        <w:t>目前僅2個年級</w:t>
      </w:r>
      <w:r w:rsidRPr="005B464B">
        <w:rPr>
          <w:rFonts w:hAnsi="標楷體" w:hint="eastAsia"/>
        </w:rPr>
        <w:t>，</w:t>
      </w:r>
      <w:r w:rsidRPr="005B464B">
        <w:rPr>
          <w:rFonts w:hint="eastAsia"/>
        </w:rPr>
        <w:t>學生數僅314位</w:t>
      </w:r>
      <w:r w:rsidRPr="005B464B">
        <w:rPr>
          <w:rFonts w:hAnsi="標楷體" w:hint="eastAsia"/>
        </w:rPr>
        <w:t>，但連續兩年註冊率達百分之百。可見小而美的私校亦有其存在價值及市場需求。</w:t>
      </w:r>
    </w:p>
    <w:p w:rsidR="00D974E1" w:rsidRPr="005B464B" w:rsidRDefault="00D974E1" w:rsidP="00D974E1">
      <w:pPr>
        <w:pStyle w:val="4"/>
        <w:numPr>
          <w:ilvl w:val="3"/>
          <w:numId w:val="1"/>
        </w:numPr>
      </w:pPr>
      <w:r w:rsidRPr="005B464B">
        <w:rPr>
          <w:rFonts w:hint="eastAsia"/>
        </w:rPr>
        <w:t>教育部函復表示</w:t>
      </w:r>
      <w:r w:rsidRPr="005B464B">
        <w:rPr>
          <w:rFonts w:hAnsi="標楷體" w:hint="eastAsia"/>
        </w:rPr>
        <w:t>，</w:t>
      </w:r>
      <w:r w:rsidRPr="005B464B">
        <w:rPr>
          <w:rFonts w:hint="eastAsia"/>
        </w:rPr>
        <w:t>學生人數3千人為參考指標之一，但並非惟一指標，仍需搭配學校辦學品質、註冊率、財務狀況(含學校募款、外界捐資狀況)等條件，整體進行評估</w:t>
      </w:r>
      <w:r w:rsidRPr="005B464B">
        <w:rPr>
          <w:rFonts w:hAnsi="標楷體" w:hint="eastAsia"/>
        </w:rPr>
        <w:t>。</w:t>
      </w:r>
      <w:proofErr w:type="gramStart"/>
      <w:r w:rsidRPr="005B464B">
        <w:rPr>
          <w:rFonts w:hint="eastAsia"/>
        </w:rPr>
        <w:t>爰</w:t>
      </w:r>
      <w:proofErr w:type="gramEnd"/>
      <w:r w:rsidRPr="005B464B">
        <w:rPr>
          <w:rFonts w:hint="eastAsia"/>
        </w:rPr>
        <w:t>實務上亦有學校規模小，但營運健全且完善者。各校營運是否妥適與學校特色、辦學系所重點、營運方向及資金是否</w:t>
      </w:r>
      <w:r w:rsidRPr="005B464B">
        <w:rPr>
          <w:rFonts w:hint="eastAsia"/>
        </w:rPr>
        <w:lastRenderedPageBreak/>
        <w:t>充足密不可分。</w:t>
      </w:r>
    </w:p>
    <w:p w:rsidR="00D974E1" w:rsidRPr="005B464B" w:rsidRDefault="00D974E1" w:rsidP="00D974E1">
      <w:pPr>
        <w:pStyle w:val="3"/>
        <w:numPr>
          <w:ilvl w:val="2"/>
          <w:numId w:val="1"/>
        </w:numPr>
        <w:rPr>
          <w:bCs w:val="0"/>
        </w:rPr>
      </w:pPr>
      <w:bookmarkStart w:id="237" w:name="_Toc482030693"/>
      <w:bookmarkStart w:id="238" w:name="_Toc482031316"/>
      <w:bookmarkStart w:id="239" w:name="_Toc482109520"/>
      <w:r w:rsidRPr="005B464B">
        <w:rPr>
          <w:rFonts w:hint="eastAsia"/>
          <w:bCs w:val="0"/>
        </w:rPr>
        <w:t>據近來教育部草擬並對外公告徵詢意見之</w:t>
      </w:r>
      <w:r w:rsidRPr="005B464B">
        <w:rPr>
          <w:bCs w:val="0"/>
        </w:rPr>
        <w:t>「私立大專校院轉型及退場條例」</w:t>
      </w:r>
      <w:r w:rsidRPr="005B464B">
        <w:rPr>
          <w:rFonts w:hint="eastAsia"/>
          <w:bCs w:val="0"/>
        </w:rPr>
        <w:t>(草案第7條第1項)規</w:t>
      </w:r>
      <w:r w:rsidRPr="005B464B">
        <w:rPr>
          <w:bCs w:val="0"/>
        </w:rPr>
        <w:t>定，私校若財務結構不佳影響教學</w:t>
      </w:r>
      <w:r w:rsidRPr="005B464B">
        <w:rPr>
          <w:rFonts w:hint="eastAsia"/>
          <w:bCs w:val="0"/>
        </w:rPr>
        <w:t>及</w:t>
      </w:r>
      <w:r w:rsidRPr="005B464B">
        <w:rPr>
          <w:bCs w:val="0"/>
        </w:rPr>
        <w:t>營運、積欠教職員工薪資</w:t>
      </w:r>
      <w:r w:rsidRPr="005B464B">
        <w:rPr>
          <w:rFonts w:hint="eastAsia"/>
          <w:bCs w:val="0"/>
        </w:rPr>
        <w:t>或連續減薪</w:t>
      </w:r>
      <w:r w:rsidRPr="005B464B">
        <w:rPr>
          <w:bCs w:val="0"/>
        </w:rPr>
        <w:t>達3個月以上、</w:t>
      </w:r>
      <w:proofErr w:type="gramStart"/>
      <w:r w:rsidRPr="005B464B">
        <w:rPr>
          <w:bCs w:val="0"/>
        </w:rPr>
        <w:t>生師比</w:t>
      </w:r>
      <w:r w:rsidRPr="005B464B">
        <w:rPr>
          <w:rFonts w:hint="eastAsia"/>
          <w:bCs w:val="0"/>
        </w:rPr>
        <w:t>值</w:t>
      </w:r>
      <w:proofErr w:type="gramEnd"/>
      <w:r w:rsidRPr="005B464B">
        <w:rPr>
          <w:bCs w:val="0"/>
        </w:rPr>
        <w:t>不</w:t>
      </w:r>
      <w:r w:rsidRPr="005B464B">
        <w:rPr>
          <w:rFonts w:hint="eastAsia"/>
          <w:bCs w:val="0"/>
        </w:rPr>
        <w:t>符標準已影響教學品質</w:t>
      </w:r>
      <w:r w:rsidRPr="005B464B">
        <w:rPr>
          <w:bCs w:val="0"/>
        </w:rPr>
        <w:t>、教學品質查核</w:t>
      </w:r>
      <w:r w:rsidRPr="005B464B">
        <w:rPr>
          <w:rFonts w:hint="eastAsia"/>
          <w:bCs w:val="0"/>
        </w:rPr>
        <w:t>未</w:t>
      </w:r>
      <w:r w:rsidRPr="005B464B">
        <w:rPr>
          <w:bCs w:val="0"/>
        </w:rPr>
        <w:t>過，以及重大違法情事等，都</w:t>
      </w:r>
      <w:r w:rsidRPr="005B464B">
        <w:rPr>
          <w:rFonts w:hint="eastAsia"/>
          <w:bCs w:val="0"/>
        </w:rPr>
        <w:t>可能</w:t>
      </w:r>
      <w:r w:rsidRPr="005B464B">
        <w:rPr>
          <w:bCs w:val="0"/>
        </w:rPr>
        <w:t>會被列為專案輔導學校</w:t>
      </w:r>
      <w:r w:rsidRPr="005B464B">
        <w:rPr>
          <w:rFonts w:hint="eastAsia"/>
          <w:bCs w:val="0"/>
        </w:rPr>
        <w:t>。原本實施原則中所定</w:t>
      </w:r>
      <w:r w:rsidRPr="005B464B">
        <w:rPr>
          <w:bCs w:val="0"/>
        </w:rPr>
        <w:t>人數未達3千人且</w:t>
      </w:r>
      <w:r w:rsidRPr="005B464B">
        <w:rPr>
          <w:rFonts w:hint="eastAsia"/>
          <w:bCs w:val="0"/>
        </w:rPr>
        <w:t>連續2年新生</w:t>
      </w:r>
      <w:r w:rsidRPr="005B464B">
        <w:rPr>
          <w:bCs w:val="0"/>
        </w:rPr>
        <w:t>註冊率不滿</w:t>
      </w:r>
      <w:proofErr w:type="gramStart"/>
      <w:r w:rsidRPr="005B464B">
        <w:rPr>
          <w:bCs w:val="0"/>
        </w:rPr>
        <w:t>6成</w:t>
      </w:r>
      <w:proofErr w:type="gramEnd"/>
      <w:r w:rsidRPr="005B464B">
        <w:rPr>
          <w:rFonts w:hint="eastAsia"/>
          <w:bCs w:val="0"/>
        </w:rPr>
        <w:t>之指標</w:t>
      </w:r>
      <w:r w:rsidRPr="005B464B">
        <w:rPr>
          <w:bCs w:val="0"/>
        </w:rPr>
        <w:t>，</w:t>
      </w:r>
      <w:r w:rsidRPr="005B464B">
        <w:rPr>
          <w:rFonts w:hint="eastAsia"/>
          <w:bCs w:val="0"/>
        </w:rPr>
        <w:t>在上開條例中已刪除</w:t>
      </w:r>
      <w:r w:rsidRPr="005B464B">
        <w:rPr>
          <w:bCs w:val="0"/>
        </w:rPr>
        <w:t>人數管制</w:t>
      </w:r>
      <w:r w:rsidRPr="005B464B">
        <w:rPr>
          <w:rFonts w:hint="eastAsia"/>
          <w:bCs w:val="0"/>
        </w:rPr>
        <w:t>。顯見</w:t>
      </w:r>
      <w:r w:rsidRPr="005B464B">
        <w:rPr>
          <w:bCs w:val="0"/>
        </w:rPr>
        <w:t>只要學校董事願意繼續出</w:t>
      </w:r>
      <w:r w:rsidRPr="005B464B">
        <w:rPr>
          <w:rFonts w:hint="eastAsia"/>
          <w:bCs w:val="0"/>
        </w:rPr>
        <w:t>資</w:t>
      </w:r>
      <w:r w:rsidRPr="005B464B">
        <w:rPr>
          <w:bCs w:val="0"/>
        </w:rPr>
        <w:t>，老師沒有被欠薪，教學品質良好，小而美的學校也</w:t>
      </w:r>
      <w:r w:rsidRPr="005B464B">
        <w:rPr>
          <w:rFonts w:hint="eastAsia"/>
          <w:bCs w:val="0"/>
        </w:rPr>
        <w:t>具</w:t>
      </w:r>
      <w:r w:rsidRPr="005B464B">
        <w:rPr>
          <w:bCs w:val="0"/>
        </w:rPr>
        <w:t>存在</w:t>
      </w:r>
      <w:r w:rsidRPr="005B464B">
        <w:rPr>
          <w:rFonts w:hint="eastAsia"/>
          <w:bCs w:val="0"/>
        </w:rPr>
        <w:t>價值</w:t>
      </w:r>
      <w:r w:rsidRPr="005B464B">
        <w:rPr>
          <w:bCs w:val="0"/>
        </w:rPr>
        <w:t>，</w:t>
      </w:r>
      <w:r w:rsidRPr="005B464B">
        <w:rPr>
          <w:rFonts w:hint="eastAsia"/>
          <w:bCs w:val="0"/>
        </w:rPr>
        <w:t>學生人數及</w:t>
      </w:r>
      <w:r w:rsidRPr="005B464B">
        <w:rPr>
          <w:bCs w:val="0"/>
        </w:rPr>
        <w:t>註冊率不再是必要條件。</w:t>
      </w:r>
      <w:bookmarkEnd w:id="237"/>
      <w:bookmarkEnd w:id="238"/>
      <w:bookmarkEnd w:id="239"/>
    </w:p>
    <w:p w:rsidR="00D974E1" w:rsidRPr="005B464B" w:rsidRDefault="00D974E1" w:rsidP="00D974E1">
      <w:pPr>
        <w:pStyle w:val="3"/>
        <w:numPr>
          <w:ilvl w:val="2"/>
          <w:numId w:val="1"/>
        </w:numPr>
      </w:pPr>
      <w:bookmarkStart w:id="240" w:name="_Toc482030694"/>
      <w:bookmarkStart w:id="241" w:name="_Toc482031317"/>
      <w:bookmarkStart w:id="242" w:name="_Toc482109521"/>
      <w:r w:rsidRPr="005B464B">
        <w:rPr>
          <w:rFonts w:hint="eastAsia"/>
          <w:bCs w:val="0"/>
        </w:rPr>
        <w:t>目前</w:t>
      </w:r>
      <w:r w:rsidRPr="005B464B">
        <w:rPr>
          <w:bCs w:val="0"/>
        </w:rPr>
        <w:t>「私立大專校院轉型及退場條例」</w:t>
      </w:r>
      <w:r w:rsidRPr="005B464B">
        <w:rPr>
          <w:rFonts w:hint="eastAsia"/>
          <w:bCs w:val="0"/>
        </w:rPr>
        <w:t>(草案)尚未經行政院函送立法院審議</w:t>
      </w:r>
      <w:r w:rsidRPr="005B464B">
        <w:rPr>
          <w:rFonts w:hAnsi="標楷體" w:hint="eastAsia"/>
          <w:bCs w:val="0"/>
        </w:rPr>
        <w:t>，</w:t>
      </w:r>
      <w:r w:rsidRPr="005B464B">
        <w:rPr>
          <w:rFonts w:hint="eastAsia"/>
          <w:bCs w:val="0"/>
        </w:rPr>
        <w:t>後續立法時程難以掌握</w:t>
      </w:r>
      <w:r w:rsidRPr="005B464B">
        <w:rPr>
          <w:rFonts w:hAnsi="標楷體" w:hint="eastAsia"/>
          <w:bCs w:val="0"/>
        </w:rPr>
        <w:t>，</w:t>
      </w:r>
      <w:r w:rsidRPr="005B464B">
        <w:rPr>
          <w:rFonts w:hint="eastAsia"/>
          <w:bCs w:val="0"/>
        </w:rPr>
        <w:t>既然實務上有私校全校學生數未達3千人之情形</w:t>
      </w:r>
      <w:r w:rsidRPr="005B464B">
        <w:rPr>
          <w:rFonts w:hAnsi="標楷體" w:hint="eastAsia"/>
          <w:bCs w:val="0"/>
        </w:rPr>
        <w:t>，教育部亦認為學生數及註冊率已非專案輔導學校之審查指標，</w:t>
      </w:r>
      <w:proofErr w:type="gramStart"/>
      <w:r w:rsidRPr="005B464B">
        <w:rPr>
          <w:rFonts w:hAnsi="標楷體" w:hint="eastAsia"/>
          <w:bCs w:val="0"/>
        </w:rPr>
        <w:t>為符實際，</w:t>
      </w:r>
      <w:proofErr w:type="gramEnd"/>
      <w:r w:rsidRPr="005B464B">
        <w:rPr>
          <w:rFonts w:hAnsi="標楷體" w:hint="eastAsia"/>
          <w:bCs w:val="0"/>
        </w:rPr>
        <w:t>教育部允宜先行</w:t>
      </w:r>
      <w:proofErr w:type="gramStart"/>
      <w:r w:rsidRPr="005B464B">
        <w:rPr>
          <w:rFonts w:hAnsi="標楷體" w:hint="eastAsia"/>
          <w:bCs w:val="0"/>
        </w:rPr>
        <w:t>研</w:t>
      </w:r>
      <w:proofErr w:type="gramEnd"/>
      <w:r w:rsidRPr="005B464B">
        <w:rPr>
          <w:rFonts w:hAnsi="標楷體" w:hint="eastAsia"/>
          <w:bCs w:val="0"/>
        </w:rPr>
        <w:t>議修訂</w:t>
      </w:r>
      <w:r w:rsidRPr="005B464B">
        <w:rPr>
          <w:rFonts w:hint="eastAsia"/>
        </w:rPr>
        <w:t>「教育部輔導私立大專校院改善及停辦實施原則」第2點第1款規定</w:t>
      </w:r>
      <w:r w:rsidRPr="005B464B">
        <w:rPr>
          <w:rFonts w:hAnsi="標楷體" w:hint="eastAsia"/>
        </w:rPr>
        <w:t>。</w:t>
      </w:r>
      <w:bookmarkEnd w:id="240"/>
      <w:bookmarkEnd w:id="241"/>
      <w:bookmarkEnd w:id="242"/>
    </w:p>
    <w:p w:rsidR="00D974E1" w:rsidRPr="005B464B" w:rsidRDefault="00D974E1" w:rsidP="00D974E1">
      <w:pPr>
        <w:pStyle w:val="3"/>
        <w:numPr>
          <w:ilvl w:val="2"/>
          <w:numId w:val="1"/>
        </w:numPr>
        <w:rPr>
          <w:rFonts w:hAnsi="標楷體"/>
        </w:rPr>
      </w:pPr>
      <w:bookmarkStart w:id="243" w:name="_Toc482030695"/>
      <w:bookmarkStart w:id="244" w:name="_Toc482031318"/>
      <w:bookmarkStart w:id="245" w:name="_Toc482109522"/>
      <w:r w:rsidRPr="005B464B">
        <w:rPr>
          <w:rFonts w:hint="eastAsia"/>
        </w:rPr>
        <w:t>綜上</w:t>
      </w:r>
      <w:r w:rsidRPr="005B464B">
        <w:rPr>
          <w:rFonts w:hAnsi="標楷體" w:hint="eastAsia"/>
        </w:rPr>
        <w:t>，</w:t>
      </w:r>
      <w:r w:rsidRPr="005B464B">
        <w:rPr>
          <w:rFonts w:hint="eastAsia"/>
        </w:rPr>
        <w:t>現行列為專案輔導學校3千人之指標已不符</w:t>
      </w:r>
      <w:proofErr w:type="gramStart"/>
      <w:r w:rsidRPr="005B464B">
        <w:rPr>
          <w:rFonts w:hint="eastAsia"/>
        </w:rPr>
        <w:t>實際，</w:t>
      </w:r>
      <w:proofErr w:type="gramEnd"/>
      <w:r w:rsidRPr="005B464B">
        <w:rPr>
          <w:rFonts w:hint="eastAsia"/>
        </w:rPr>
        <w:t>且近來教育部亦</w:t>
      </w:r>
      <w:r w:rsidRPr="005B464B">
        <w:t>不再</w:t>
      </w:r>
      <w:r w:rsidRPr="005B464B">
        <w:rPr>
          <w:rFonts w:hint="eastAsia"/>
        </w:rPr>
        <w:t>將</w:t>
      </w:r>
      <w:r w:rsidRPr="005B464B">
        <w:t>學生數</w:t>
      </w:r>
      <w:r w:rsidRPr="005B464B">
        <w:rPr>
          <w:rFonts w:hint="eastAsia"/>
        </w:rPr>
        <w:t>及</w:t>
      </w:r>
      <w:r w:rsidRPr="005B464B">
        <w:t>註冊率</w:t>
      </w:r>
      <w:r w:rsidRPr="005B464B">
        <w:rPr>
          <w:rFonts w:hint="eastAsia"/>
        </w:rPr>
        <w:t>列為專案輔導之</w:t>
      </w:r>
      <w:r w:rsidRPr="005B464B">
        <w:t>條件</w:t>
      </w:r>
      <w:r w:rsidRPr="005B464B">
        <w:rPr>
          <w:rFonts w:hint="eastAsia"/>
        </w:rPr>
        <w:t>。鑒於立法</w:t>
      </w:r>
      <w:proofErr w:type="gramStart"/>
      <w:r w:rsidRPr="005B464B">
        <w:rPr>
          <w:rFonts w:hint="eastAsia"/>
        </w:rPr>
        <w:t>時程常難以</w:t>
      </w:r>
      <w:proofErr w:type="gramEnd"/>
      <w:r w:rsidRPr="005B464B">
        <w:rPr>
          <w:rFonts w:hint="eastAsia"/>
        </w:rPr>
        <w:t>掌握</w:t>
      </w:r>
      <w:r w:rsidRPr="005B464B">
        <w:rPr>
          <w:rFonts w:hAnsi="標楷體" w:hint="eastAsia"/>
        </w:rPr>
        <w:t>，</w:t>
      </w:r>
      <w:r w:rsidRPr="005B464B">
        <w:rPr>
          <w:rFonts w:hint="eastAsia"/>
        </w:rPr>
        <w:t>教育部允宜在完成上開條例立法程序</w:t>
      </w:r>
      <w:r w:rsidRPr="005B464B">
        <w:rPr>
          <w:rFonts w:hAnsi="標楷體" w:hint="eastAsia"/>
        </w:rPr>
        <w:t>前，先行修訂前揭實施原則，以符實際。</w:t>
      </w:r>
      <w:bookmarkEnd w:id="243"/>
      <w:bookmarkEnd w:id="244"/>
      <w:bookmarkEnd w:id="245"/>
    </w:p>
    <w:p w:rsidR="0083322E" w:rsidRPr="005B464B" w:rsidRDefault="0083322E" w:rsidP="0083322E">
      <w:pPr>
        <w:pStyle w:val="3"/>
        <w:numPr>
          <w:ilvl w:val="0"/>
          <w:numId w:val="0"/>
        </w:numPr>
        <w:ind w:left="1361"/>
        <w:rPr>
          <w:rFonts w:hAnsi="標楷體"/>
        </w:rPr>
      </w:pPr>
    </w:p>
    <w:p w:rsidR="0082749A" w:rsidRPr="005B464B" w:rsidRDefault="0082749A" w:rsidP="0082749A">
      <w:pPr>
        <w:pStyle w:val="2"/>
        <w:numPr>
          <w:ilvl w:val="1"/>
          <w:numId w:val="1"/>
        </w:numPr>
        <w:rPr>
          <w:b/>
        </w:rPr>
      </w:pPr>
      <w:bookmarkStart w:id="246" w:name="_Toc485138872"/>
      <w:r w:rsidRPr="005B464B">
        <w:rPr>
          <w:rFonts w:hint="eastAsia"/>
          <w:b/>
        </w:rPr>
        <w:t>教育部允宜參酌國內及國際發展</w:t>
      </w:r>
      <w:r w:rsidR="00177680" w:rsidRPr="005B464B">
        <w:rPr>
          <w:rFonts w:hint="eastAsia"/>
          <w:b/>
        </w:rPr>
        <w:t>先</w:t>
      </w:r>
      <w:r w:rsidRPr="005B464B">
        <w:rPr>
          <w:rFonts w:hint="eastAsia"/>
          <w:b/>
        </w:rPr>
        <w:t>例，儘速</w:t>
      </w:r>
      <w:proofErr w:type="gramStart"/>
      <w:r w:rsidRPr="005B464B">
        <w:rPr>
          <w:rFonts w:hint="eastAsia"/>
          <w:b/>
        </w:rPr>
        <w:t>釐</w:t>
      </w:r>
      <w:proofErr w:type="gramEnd"/>
      <w:r w:rsidRPr="005B464B">
        <w:rPr>
          <w:rFonts w:hint="eastAsia"/>
          <w:b/>
        </w:rPr>
        <w:t>清並宣導</w:t>
      </w:r>
      <w:r w:rsidRPr="005B464B">
        <w:rPr>
          <w:rFonts w:hAnsi="標楷體" w:hint="eastAsia"/>
          <w:b/>
        </w:rPr>
        <w:t>「</w:t>
      </w:r>
      <w:r w:rsidRPr="005B464B">
        <w:rPr>
          <w:rFonts w:hint="eastAsia"/>
          <w:b/>
        </w:rPr>
        <w:t>公私</w:t>
      </w:r>
      <w:proofErr w:type="gramStart"/>
      <w:r w:rsidRPr="005B464B">
        <w:rPr>
          <w:rFonts w:hint="eastAsia"/>
          <w:b/>
        </w:rPr>
        <w:t>併</w:t>
      </w:r>
      <w:proofErr w:type="gramEnd"/>
      <w:r w:rsidR="00177680" w:rsidRPr="005B464B">
        <w:rPr>
          <w:rFonts w:hAnsi="標楷體" w:hint="eastAsia"/>
          <w:b/>
        </w:rPr>
        <w:t>」之相關規定與辦理程序，</w:t>
      </w:r>
      <w:proofErr w:type="gramStart"/>
      <w:r w:rsidR="00177680" w:rsidRPr="005B464B">
        <w:rPr>
          <w:rFonts w:hAnsi="標楷體" w:hint="eastAsia"/>
          <w:b/>
        </w:rPr>
        <w:t>俾</w:t>
      </w:r>
      <w:proofErr w:type="gramEnd"/>
      <w:r w:rsidR="00177680" w:rsidRPr="005B464B">
        <w:rPr>
          <w:rFonts w:hAnsi="標楷體" w:hint="eastAsia"/>
          <w:b/>
        </w:rPr>
        <w:t>供各界知悉及評估</w:t>
      </w:r>
      <w:r w:rsidRPr="005B464B">
        <w:rPr>
          <w:rFonts w:hAnsi="標楷體" w:hint="eastAsia"/>
          <w:b/>
        </w:rPr>
        <w:t>「高等教育學校過多，教育資源稀釋」問題之解決方案，除可增加處理「私校退場」之政策彈性外，如若能因此促成「強</w:t>
      </w:r>
      <w:proofErr w:type="gramStart"/>
      <w:r w:rsidRPr="005B464B">
        <w:rPr>
          <w:rFonts w:hAnsi="標楷體" w:hint="eastAsia"/>
          <w:b/>
        </w:rPr>
        <w:t>強併</w:t>
      </w:r>
      <w:proofErr w:type="gramEnd"/>
      <w:r w:rsidRPr="005B464B">
        <w:rPr>
          <w:rFonts w:hAnsi="標楷體" w:hint="eastAsia"/>
          <w:b/>
        </w:rPr>
        <w:t>」，更可有效提升國內</w:t>
      </w:r>
      <w:r w:rsidRPr="005B464B">
        <w:rPr>
          <w:rFonts w:hAnsi="標楷體" w:hint="eastAsia"/>
          <w:b/>
        </w:rPr>
        <w:lastRenderedPageBreak/>
        <w:t>大學之整體質量，強化國家競爭力；教育部迄今之相關作為尚有不足，允應切實檢討改善。</w:t>
      </w:r>
      <w:bookmarkEnd w:id="246"/>
    </w:p>
    <w:p w:rsidR="0082749A" w:rsidRPr="005B464B" w:rsidRDefault="0082749A" w:rsidP="0082749A">
      <w:pPr>
        <w:pStyle w:val="3"/>
        <w:numPr>
          <w:ilvl w:val="2"/>
          <w:numId w:val="1"/>
        </w:numPr>
        <w:rPr>
          <w:rFonts w:hAnsi="標楷體"/>
        </w:rPr>
      </w:pPr>
      <w:r w:rsidRPr="005B464B">
        <w:rPr>
          <w:rFonts w:hAnsi="標楷體" w:hint="eastAsia"/>
        </w:rPr>
        <w:t>79年間，私立國際商業專科學校因校務運作弊端，遭</w:t>
      </w:r>
      <w:hyperlink r:id="rId14" w:tooltip="中華民國教育部" w:history="1">
        <w:r w:rsidRPr="005B464B">
          <w:rPr>
            <w:rFonts w:hAnsi="標楷體" w:hint="eastAsia"/>
          </w:rPr>
          <w:t>教育部</w:t>
        </w:r>
      </w:hyperlink>
      <w:r w:rsidRPr="005B464B">
        <w:rPr>
          <w:rFonts w:hAnsi="標楷體" w:hint="eastAsia"/>
        </w:rPr>
        <w:t>勒令退場，責由國立高雄工業專科學校（現</w:t>
      </w:r>
      <w:hyperlink r:id="rId15" w:tooltip="國立高雄應用科技大學" w:history="1">
        <w:r w:rsidRPr="005B464B">
          <w:rPr>
            <w:rFonts w:hAnsi="標楷體" w:hint="eastAsia"/>
          </w:rPr>
          <w:t>國立高雄應用科技大學</w:t>
        </w:r>
      </w:hyperlink>
      <w:r w:rsidRPr="005B464B">
        <w:rPr>
          <w:rFonts w:hAnsi="標楷體" w:hint="eastAsia"/>
        </w:rPr>
        <w:t>）暫時成立商科部，概括承受該校</w:t>
      </w:r>
      <w:hyperlink r:id="rId16" w:tooltip="財政" w:history="1">
        <w:r w:rsidRPr="005B464B">
          <w:rPr>
            <w:rFonts w:hAnsi="標楷體" w:hint="eastAsia"/>
          </w:rPr>
          <w:t>財政</w:t>
        </w:r>
      </w:hyperlink>
      <w:hyperlink r:id="rId17" w:tooltip="稅務" w:history="1">
        <w:r w:rsidRPr="005B464B">
          <w:rPr>
            <w:rFonts w:hAnsi="標楷體" w:hint="eastAsia"/>
          </w:rPr>
          <w:t>稅務</w:t>
        </w:r>
      </w:hyperlink>
      <w:r w:rsidRPr="005B464B">
        <w:rPr>
          <w:rFonts w:hAnsi="標楷體" w:hint="eastAsia"/>
        </w:rPr>
        <w:t>、</w:t>
      </w:r>
      <w:hyperlink r:id="rId18" w:tooltip="企業管理" w:history="1">
        <w:r w:rsidRPr="005B464B">
          <w:rPr>
            <w:rFonts w:hAnsi="標楷體" w:hint="eastAsia"/>
          </w:rPr>
          <w:t>企業管理</w:t>
        </w:r>
      </w:hyperlink>
      <w:r w:rsidRPr="005B464B">
        <w:rPr>
          <w:rFonts w:hAnsi="標楷體" w:hint="eastAsia"/>
        </w:rPr>
        <w:t>、</w:t>
      </w:r>
      <w:hyperlink r:id="rId19" w:tooltip="觀光" w:history="1">
        <w:r w:rsidRPr="005B464B">
          <w:rPr>
            <w:rFonts w:hAnsi="標楷體" w:hint="eastAsia"/>
          </w:rPr>
          <w:t>觀光</w:t>
        </w:r>
      </w:hyperlink>
      <w:r w:rsidRPr="005B464B">
        <w:rPr>
          <w:rFonts w:hAnsi="標楷體" w:hint="eastAsia"/>
        </w:rPr>
        <w:t>、</w:t>
      </w:r>
      <w:hyperlink r:id="rId20" w:tooltip="銀行" w:history="1">
        <w:r w:rsidRPr="005B464B">
          <w:rPr>
            <w:rFonts w:hAnsi="標楷體" w:hint="eastAsia"/>
          </w:rPr>
          <w:t>銀行</w:t>
        </w:r>
      </w:hyperlink>
      <w:hyperlink r:id="rId21" w:tooltip="保險" w:history="1">
        <w:r w:rsidRPr="005B464B">
          <w:rPr>
            <w:rFonts w:hAnsi="標楷體" w:hint="eastAsia"/>
          </w:rPr>
          <w:t>保險</w:t>
        </w:r>
      </w:hyperlink>
      <w:r w:rsidRPr="005B464B">
        <w:rPr>
          <w:rFonts w:hAnsi="標楷體" w:hint="eastAsia"/>
        </w:rPr>
        <w:t>、會計統計、國際貿易等六科之師生，並借用</w:t>
      </w:r>
      <w:r w:rsidRPr="005B464B">
        <w:rPr>
          <w:rFonts w:hAnsi="標楷體"/>
        </w:rPr>
        <w:t>國立高雄海事專科學校</w:t>
      </w:r>
      <w:r w:rsidRPr="005B464B">
        <w:rPr>
          <w:rFonts w:hAnsi="標楷體" w:hint="eastAsia"/>
        </w:rPr>
        <w:t>（現</w:t>
      </w:r>
      <w:r w:rsidRPr="005B464B">
        <w:rPr>
          <w:rFonts w:hAnsi="標楷體"/>
        </w:rPr>
        <w:t>國立高雄海洋科技大學</w:t>
      </w:r>
      <w:r w:rsidRPr="005B464B">
        <w:rPr>
          <w:rFonts w:hAnsi="標楷體" w:hint="eastAsia"/>
        </w:rPr>
        <w:t>）</w:t>
      </w:r>
      <w:hyperlink r:id="rId22" w:tooltip="旗津區" w:history="1">
        <w:r w:rsidRPr="005B464B">
          <w:rPr>
            <w:rFonts w:hAnsi="標楷體" w:hint="eastAsia"/>
          </w:rPr>
          <w:t>旗津</w:t>
        </w:r>
      </w:hyperlink>
      <w:r w:rsidRPr="005B464B">
        <w:rPr>
          <w:rFonts w:hAnsi="標楷體" w:hint="eastAsia"/>
        </w:rPr>
        <w:t>校區上課；</w:t>
      </w:r>
      <w:proofErr w:type="gramStart"/>
      <w:r w:rsidRPr="005B464B">
        <w:rPr>
          <w:rFonts w:hAnsi="標楷體" w:hint="eastAsia"/>
        </w:rPr>
        <w:t>嗣</w:t>
      </w:r>
      <w:proofErr w:type="gramEnd"/>
      <w:r w:rsidRPr="005B464B">
        <w:rPr>
          <w:rFonts w:hAnsi="標楷體" w:hint="eastAsia"/>
        </w:rPr>
        <w:t>於81年8月間，國立高雄工業專科學校正式合併原國際商業專科學校師生，並經教育部核定更名為「國立高雄工商專科學校」，乃我國近年來公立與私立大專校院合併之濫觴。84年間，復有私立聯合工商專科學校經董事會決議，將學校依法贈與教育部，並更名為「國立聯合工商專科學校」之「私</w:t>
      </w:r>
      <w:proofErr w:type="gramStart"/>
      <w:r w:rsidRPr="005B464B">
        <w:rPr>
          <w:rFonts w:hAnsi="標楷體" w:hint="eastAsia"/>
        </w:rPr>
        <w:t>校轉公</w:t>
      </w:r>
      <w:proofErr w:type="gramEnd"/>
      <w:r w:rsidRPr="005B464B">
        <w:rPr>
          <w:rFonts w:hAnsi="標楷體" w:hint="eastAsia"/>
        </w:rPr>
        <w:t>校」案例。又102年間，興國管理學院因連年新生註冊率低落，媒體批露該校積極與國立清華大學及國立</w:t>
      </w:r>
      <w:proofErr w:type="gramStart"/>
      <w:r w:rsidRPr="005B464B">
        <w:rPr>
          <w:rFonts w:hAnsi="標楷體" w:hint="eastAsia"/>
        </w:rPr>
        <w:t>臺</w:t>
      </w:r>
      <w:proofErr w:type="gramEnd"/>
      <w:r w:rsidRPr="005B464B">
        <w:rPr>
          <w:rFonts w:hAnsi="標楷體" w:hint="eastAsia"/>
        </w:rPr>
        <w:t>南大學接洽，希望能推動併入國立大學，亦引發輿論及立法院關</w:t>
      </w:r>
      <w:proofErr w:type="gramStart"/>
      <w:r w:rsidRPr="005B464B">
        <w:rPr>
          <w:rFonts w:hAnsi="標楷體" w:hint="eastAsia"/>
        </w:rPr>
        <w:t>切</w:t>
      </w:r>
      <w:proofErr w:type="gramEnd"/>
      <w:r w:rsidRPr="005B464B">
        <w:rPr>
          <w:rStyle w:val="aff2"/>
          <w:rFonts w:hAnsi="標楷體"/>
        </w:rPr>
        <w:footnoteReference w:id="50"/>
      </w:r>
      <w:r w:rsidRPr="005B464B">
        <w:rPr>
          <w:rFonts w:hAnsi="標楷體" w:hint="eastAsia"/>
        </w:rPr>
        <w:t>；</w:t>
      </w:r>
      <w:proofErr w:type="gramStart"/>
      <w:r w:rsidRPr="005B464B">
        <w:rPr>
          <w:rFonts w:hAnsi="標楷體" w:hint="eastAsia"/>
        </w:rPr>
        <w:t>雖終因</w:t>
      </w:r>
      <w:proofErr w:type="gramEnd"/>
      <w:r w:rsidRPr="005B464B">
        <w:rPr>
          <w:rFonts w:hAnsi="標楷體" w:hint="eastAsia"/>
        </w:rPr>
        <w:t>教育部認為並無法源而未有進一步發展</w:t>
      </w:r>
      <w:r w:rsidRPr="005B464B">
        <w:rPr>
          <w:rStyle w:val="aff2"/>
          <w:rFonts w:hAnsi="標楷體"/>
        </w:rPr>
        <w:footnoteReference w:id="51"/>
      </w:r>
      <w:r w:rsidRPr="005B464B">
        <w:rPr>
          <w:rFonts w:hAnsi="標楷體" w:hint="eastAsia"/>
        </w:rPr>
        <w:t>，惟仍反映出各界對推展「公私</w:t>
      </w:r>
      <w:proofErr w:type="gramStart"/>
      <w:r w:rsidRPr="005B464B">
        <w:rPr>
          <w:rFonts w:hAnsi="標楷體" w:hint="eastAsia"/>
        </w:rPr>
        <w:t>併</w:t>
      </w:r>
      <w:proofErr w:type="gramEnd"/>
      <w:r w:rsidRPr="005B464B">
        <w:rPr>
          <w:rFonts w:hAnsi="標楷體" w:hint="eastAsia"/>
        </w:rPr>
        <w:t>」可行性之期盼與關注。</w:t>
      </w:r>
    </w:p>
    <w:p w:rsidR="0082749A" w:rsidRPr="005B464B" w:rsidRDefault="0082749A" w:rsidP="0082749A">
      <w:pPr>
        <w:pStyle w:val="3"/>
        <w:numPr>
          <w:ilvl w:val="2"/>
          <w:numId w:val="1"/>
        </w:numPr>
        <w:rPr>
          <w:rFonts w:hAnsi="標楷體"/>
        </w:rPr>
      </w:pPr>
      <w:r w:rsidRPr="005B464B">
        <w:rPr>
          <w:rFonts w:hAnsi="標楷體" w:hint="eastAsia"/>
        </w:rPr>
        <w:lastRenderedPageBreak/>
        <w:t>本案調查</w:t>
      </w:r>
      <w:proofErr w:type="gramStart"/>
      <w:r w:rsidRPr="005B464B">
        <w:rPr>
          <w:rFonts w:hAnsi="標楷體" w:hint="eastAsia"/>
        </w:rPr>
        <w:t>期間，</w:t>
      </w:r>
      <w:proofErr w:type="gramEnd"/>
      <w:r w:rsidRPr="005B464B">
        <w:rPr>
          <w:rFonts w:hAnsi="標楷體" w:hint="eastAsia"/>
        </w:rPr>
        <w:t>本院諮詢之專家學者更有以國立中山大學與私立高雄醫學大學合作經驗為例，說明兩校近年因策略聯盟及協同教學，雙邊教師早已合作共同</w:t>
      </w:r>
      <w:proofErr w:type="gramStart"/>
      <w:r w:rsidRPr="005B464B">
        <w:rPr>
          <w:rFonts w:hAnsi="標楷體" w:hint="eastAsia"/>
        </w:rPr>
        <w:t>研</w:t>
      </w:r>
      <w:proofErr w:type="gramEnd"/>
      <w:r w:rsidRPr="005B464B">
        <w:rPr>
          <w:rFonts w:hAnsi="標楷體" w:hint="eastAsia"/>
        </w:rPr>
        <w:t>提計畫爭取研究經費，產能</w:t>
      </w:r>
      <w:r w:rsidR="00CE370B" w:rsidRPr="005B464B">
        <w:rPr>
          <w:rFonts w:hAnsi="標楷體" w:hint="eastAsia"/>
        </w:rPr>
        <w:t>亦佳</w:t>
      </w:r>
      <w:r w:rsidRPr="005B464B">
        <w:rPr>
          <w:rFonts w:hAnsi="標楷體" w:hint="eastAsia"/>
        </w:rPr>
        <w:t>，將來如果公私可</w:t>
      </w:r>
      <w:proofErr w:type="gramStart"/>
      <w:r w:rsidRPr="005B464B">
        <w:rPr>
          <w:rFonts w:hAnsi="標楷體" w:hint="eastAsia"/>
        </w:rPr>
        <w:t>併</w:t>
      </w:r>
      <w:proofErr w:type="gramEnd"/>
      <w:r w:rsidRPr="005B464B">
        <w:rPr>
          <w:rFonts w:hAnsi="標楷體" w:hint="eastAsia"/>
        </w:rPr>
        <w:t>，說不定很快即可通過合併；並強調「公私合併」亦可為解決臺灣高等教育學校過多問題之方案，主管機關不應</w:t>
      </w:r>
      <w:proofErr w:type="gramStart"/>
      <w:r w:rsidRPr="005B464B">
        <w:rPr>
          <w:rFonts w:hAnsi="標楷體" w:hint="eastAsia"/>
        </w:rPr>
        <w:t>囿</w:t>
      </w:r>
      <w:proofErr w:type="gramEnd"/>
      <w:r w:rsidRPr="005B464B">
        <w:rPr>
          <w:rFonts w:hAnsi="標楷體" w:hint="eastAsia"/>
        </w:rPr>
        <w:t>於法規制度，要思考如何解決問題以便進一步促成公私立大學合併等語。</w:t>
      </w:r>
    </w:p>
    <w:p w:rsidR="0082749A" w:rsidRPr="005B464B" w:rsidRDefault="0082749A" w:rsidP="0082749A">
      <w:pPr>
        <w:pStyle w:val="3"/>
        <w:numPr>
          <w:ilvl w:val="2"/>
          <w:numId w:val="1"/>
        </w:numPr>
        <w:rPr>
          <w:rFonts w:hAnsi="標楷體"/>
        </w:rPr>
      </w:pPr>
      <w:r w:rsidRPr="005B464B">
        <w:rPr>
          <w:rFonts w:hAnsi="標楷體" w:hint="eastAsia"/>
        </w:rPr>
        <w:t>就此，</w:t>
      </w:r>
      <w:proofErr w:type="gramStart"/>
      <w:r w:rsidRPr="005B464B">
        <w:rPr>
          <w:rFonts w:hAnsi="標楷體" w:hint="eastAsia"/>
        </w:rPr>
        <w:t>詢</w:t>
      </w:r>
      <w:proofErr w:type="gramEnd"/>
      <w:r w:rsidRPr="005B464B">
        <w:rPr>
          <w:rFonts w:hAnsi="標楷體" w:hint="eastAsia"/>
        </w:rPr>
        <w:t>據教育部說明</w:t>
      </w:r>
      <w:r w:rsidRPr="005B464B">
        <w:rPr>
          <w:rStyle w:val="aff2"/>
          <w:rFonts w:hAnsi="標楷體"/>
        </w:rPr>
        <w:footnoteReference w:id="52"/>
      </w:r>
      <w:r w:rsidRPr="005B464B">
        <w:rPr>
          <w:rFonts w:hAnsi="標楷體" w:hint="eastAsia"/>
        </w:rPr>
        <w:t>略</w:t>
      </w:r>
      <w:proofErr w:type="gramStart"/>
      <w:r w:rsidRPr="005B464B">
        <w:rPr>
          <w:rFonts w:hAnsi="標楷體" w:hint="eastAsia"/>
        </w:rPr>
        <w:t>以</w:t>
      </w:r>
      <w:proofErr w:type="gramEnd"/>
      <w:r w:rsidRPr="005B464B">
        <w:rPr>
          <w:rFonts w:hAnsi="標楷體" w:hint="eastAsia"/>
        </w:rPr>
        <w:t>：「</w:t>
      </w:r>
      <w:r w:rsidRPr="005B464B">
        <w:rPr>
          <w:rFonts w:hAnsi="標楷體"/>
        </w:rPr>
        <w:t>依</w:t>
      </w:r>
      <w:r w:rsidR="00221AFA" w:rsidRPr="005B464B">
        <w:rPr>
          <w:rFonts w:hAnsi="標楷體" w:hint="eastAsia"/>
        </w:rPr>
        <w:t>『</w:t>
      </w:r>
      <w:r w:rsidRPr="005B464B">
        <w:rPr>
          <w:rFonts w:hAnsi="標楷體"/>
        </w:rPr>
        <w:t>大學法</w:t>
      </w:r>
      <w:r w:rsidR="00221AFA" w:rsidRPr="005B464B">
        <w:rPr>
          <w:rFonts w:hAnsi="標楷體" w:hint="eastAsia"/>
        </w:rPr>
        <w:t>』</w:t>
      </w:r>
      <w:r w:rsidRPr="005B464B">
        <w:rPr>
          <w:rFonts w:hAnsi="標楷體"/>
        </w:rPr>
        <w:t>第7條與</w:t>
      </w:r>
      <w:r w:rsidR="00221AFA" w:rsidRPr="005B464B">
        <w:rPr>
          <w:rFonts w:hAnsi="標楷體" w:hint="eastAsia"/>
        </w:rPr>
        <w:t>『</w:t>
      </w:r>
      <w:r w:rsidRPr="005B464B">
        <w:rPr>
          <w:rFonts w:hAnsi="標楷體"/>
        </w:rPr>
        <w:t>私立學校法</w:t>
      </w:r>
      <w:r w:rsidR="00221AFA" w:rsidRPr="005B464B">
        <w:rPr>
          <w:rFonts w:hAnsi="標楷體" w:hint="eastAsia"/>
        </w:rPr>
        <w:t>』</w:t>
      </w:r>
      <w:r w:rsidRPr="005B464B">
        <w:rPr>
          <w:rFonts w:hAnsi="標楷體"/>
        </w:rPr>
        <w:t>第67條規定，目前</w:t>
      </w:r>
      <w:r w:rsidRPr="005B464B">
        <w:rPr>
          <w:rFonts w:hAnsi="標楷體" w:hint="eastAsia"/>
        </w:rPr>
        <w:t>並未限制公立大學與私立大學合併</w:t>
      </w:r>
      <w:r w:rsidRPr="005B464B">
        <w:rPr>
          <w:rFonts w:hAnsi="標楷體"/>
        </w:rPr>
        <w:t>，</w:t>
      </w:r>
      <w:r w:rsidRPr="005B464B">
        <w:rPr>
          <w:rFonts w:hAnsi="標楷體" w:hint="eastAsia"/>
        </w:rPr>
        <w:t>惟因</w:t>
      </w:r>
      <w:r w:rsidRPr="005B464B">
        <w:rPr>
          <w:rFonts w:hAnsi="標楷體"/>
        </w:rPr>
        <w:t>私立大學涉及董事捐贈、學校法人財產移轉、董事會意願，以及合併後教職員工身分轉換等多重議題，如</w:t>
      </w:r>
      <w:proofErr w:type="gramStart"/>
      <w:r w:rsidRPr="005B464B">
        <w:rPr>
          <w:rFonts w:hAnsi="標楷體"/>
        </w:rPr>
        <w:t>採</w:t>
      </w:r>
      <w:proofErr w:type="gramEnd"/>
      <w:r w:rsidRPr="005B464B">
        <w:rPr>
          <w:rFonts w:hAnsi="標楷體"/>
        </w:rPr>
        <w:t>公私</w:t>
      </w:r>
      <w:proofErr w:type="gramStart"/>
      <w:r w:rsidRPr="005B464B">
        <w:rPr>
          <w:rFonts w:hAnsi="標楷體"/>
        </w:rPr>
        <w:t>併</w:t>
      </w:r>
      <w:proofErr w:type="gramEnd"/>
      <w:r w:rsidRPr="005B464B">
        <w:rPr>
          <w:rFonts w:hAnsi="標楷體"/>
        </w:rPr>
        <w:t>，後續處理涉及層面複雜，且社會各界目前尚無共識，</w:t>
      </w:r>
      <w:proofErr w:type="gramStart"/>
      <w:r w:rsidRPr="005B464B">
        <w:rPr>
          <w:rFonts w:hAnsi="標楷體"/>
        </w:rPr>
        <w:t>爰</w:t>
      </w:r>
      <w:proofErr w:type="gramEnd"/>
      <w:r w:rsidRPr="005B464B">
        <w:rPr>
          <w:rFonts w:hAnsi="標楷體"/>
        </w:rPr>
        <w:t>目前</w:t>
      </w:r>
      <w:r w:rsidRPr="005B464B">
        <w:rPr>
          <w:rFonts w:hAnsi="標楷體" w:hint="eastAsia"/>
        </w:rPr>
        <w:t>合併成功之案例</w:t>
      </w:r>
      <w:r w:rsidRPr="005B464B">
        <w:rPr>
          <w:rFonts w:hAnsi="標楷體"/>
        </w:rPr>
        <w:t>皆為公公</w:t>
      </w:r>
      <w:proofErr w:type="gramStart"/>
      <w:r w:rsidRPr="005B464B">
        <w:rPr>
          <w:rFonts w:hAnsi="標楷體"/>
        </w:rPr>
        <w:t>併</w:t>
      </w:r>
      <w:proofErr w:type="gramEnd"/>
      <w:r w:rsidRPr="005B464B">
        <w:rPr>
          <w:rFonts w:hAnsi="標楷體"/>
        </w:rPr>
        <w:t>或私</w:t>
      </w:r>
      <w:proofErr w:type="gramStart"/>
      <w:r w:rsidRPr="005B464B">
        <w:rPr>
          <w:rFonts w:hAnsi="標楷體"/>
        </w:rPr>
        <w:t>私併</w:t>
      </w:r>
      <w:proofErr w:type="gramEnd"/>
      <w:r w:rsidRPr="005B464B">
        <w:rPr>
          <w:rFonts w:hAnsi="標楷體"/>
        </w:rPr>
        <w:t>，尚無公立大學與私立大學合併之案例。</w:t>
      </w:r>
      <w:r w:rsidRPr="005B464B">
        <w:rPr>
          <w:rFonts w:hAnsi="標楷體" w:hint="eastAsia"/>
        </w:rPr>
        <w:t>」顯見該</w:t>
      </w:r>
      <w:proofErr w:type="gramStart"/>
      <w:r w:rsidRPr="005B464B">
        <w:rPr>
          <w:rFonts w:hAnsi="標楷體" w:hint="eastAsia"/>
        </w:rPr>
        <w:t>部對公私併</w:t>
      </w:r>
      <w:proofErr w:type="gramEnd"/>
      <w:r w:rsidRPr="005B464B">
        <w:rPr>
          <w:rFonts w:hAnsi="標楷體" w:hint="eastAsia"/>
        </w:rPr>
        <w:t>之議題，政策上似略顯消極、被動，以致發生究竟公私</w:t>
      </w:r>
      <w:proofErr w:type="gramStart"/>
      <w:r w:rsidRPr="005B464B">
        <w:rPr>
          <w:rFonts w:hAnsi="標楷體" w:hint="eastAsia"/>
        </w:rPr>
        <w:t>併</w:t>
      </w:r>
      <w:proofErr w:type="gramEnd"/>
      <w:r w:rsidRPr="005B464B">
        <w:rPr>
          <w:rFonts w:hAnsi="標楷體" w:hint="eastAsia"/>
        </w:rPr>
        <w:t>有無法源依據，前後說法不一，及對國內曾否有公私</w:t>
      </w:r>
      <w:proofErr w:type="gramStart"/>
      <w:r w:rsidRPr="005B464B">
        <w:rPr>
          <w:rFonts w:hAnsi="標楷體" w:hint="eastAsia"/>
        </w:rPr>
        <w:t>併</w:t>
      </w:r>
      <w:proofErr w:type="gramEnd"/>
      <w:r w:rsidRPr="005B464B">
        <w:rPr>
          <w:rFonts w:hAnsi="標楷體" w:hint="eastAsia"/>
        </w:rPr>
        <w:t>或公轉私之前例未能確實掌握等情，容</w:t>
      </w:r>
      <w:proofErr w:type="gramStart"/>
      <w:r w:rsidRPr="005B464B">
        <w:rPr>
          <w:rFonts w:hAnsi="標楷體" w:hint="eastAsia"/>
        </w:rPr>
        <w:t>有未洽</w:t>
      </w:r>
      <w:proofErr w:type="gramEnd"/>
      <w:r w:rsidRPr="005B464B">
        <w:rPr>
          <w:rFonts w:hAnsi="標楷體" w:hint="eastAsia"/>
        </w:rPr>
        <w:t>。</w:t>
      </w:r>
    </w:p>
    <w:p w:rsidR="0082749A" w:rsidRPr="005B464B" w:rsidRDefault="0082749A" w:rsidP="0082749A">
      <w:pPr>
        <w:pStyle w:val="3"/>
        <w:numPr>
          <w:ilvl w:val="2"/>
          <w:numId w:val="1"/>
        </w:numPr>
        <w:rPr>
          <w:rFonts w:hAnsi="標楷體"/>
        </w:rPr>
      </w:pPr>
      <w:r w:rsidRPr="005B464B">
        <w:rPr>
          <w:rFonts w:hAnsi="標楷體" w:hint="eastAsia"/>
        </w:rPr>
        <w:t>又教育部函復</w:t>
      </w:r>
      <w:r w:rsidRPr="005B464B">
        <w:rPr>
          <w:rStyle w:val="aff2"/>
          <w:rFonts w:hAnsi="標楷體"/>
        </w:rPr>
        <w:footnoteReference w:id="53"/>
      </w:r>
      <w:proofErr w:type="gramStart"/>
      <w:r w:rsidRPr="005B464B">
        <w:rPr>
          <w:rFonts w:hAnsi="標楷體" w:hint="eastAsia"/>
        </w:rPr>
        <w:t>另稱目前</w:t>
      </w:r>
      <w:proofErr w:type="gramEnd"/>
      <w:r w:rsidRPr="005B464B">
        <w:rPr>
          <w:rFonts w:hAnsi="標楷體" w:hint="eastAsia"/>
        </w:rPr>
        <w:t>少子女化衝擊對</w:t>
      </w:r>
      <w:r w:rsidRPr="005B464B">
        <w:rPr>
          <w:rFonts w:hAnsi="標楷體"/>
        </w:rPr>
        <w:t>公立大學</w:t>
      </w:r>
      <w:r w:rsidRPr="005B464B">
        <w:rPr>
          <w:rFonts w:hAnsi="標楷體" w:hint="eastAsia"/>
        </w:rPr>
        <w:t>招生尚無明顯影響</w:t>
      </w:r>
      <w:r w:rsidRPr="005B464B">
        <w:rPr>
          <w:rFonts w:hAnsi="標楷體"/>
        </w:rPr>
        <w:t>，</w:t>
      </w:r>
      <w:r w:rsidRPr="005B464B">
        <w:rPr>
          <w:rFonts w:hAnsi="標楷體" w:hint="eastAsia"/>
        </w:rPr>
        <w:t>104學年度</w:t>
      </w:r>
      <w:r w:rsidRPr="005B464B">
        <w:rPr>
          <w:rFonts w:hAnsi="標楷體"/>
        </w:rPr>
        <w:t>各國立大</w:t>
      </w:r>
      <w:r w:rsidRPr="005B464B">
        <w:rPr>
          <w:rFonts w:hAnsi="標楷體" w:hint="eastAsia"/>
        </w:rPr>
        <w:t>專校院</w:t>
      </w:r>
      <w:r w:rsidRPr="005B464B">
        <w:rPr>
          <w:rFonts w:hAnsi="標楷體"/>
        </w:rPr>
        <w:t>學</w:t>
      </w:r>
      <w:r w:rsidRPr="005B464B">
        <w:rPr>
          <w:rFonts w:hAnsi="標楷體" w:hint="eastAsia"/>
        </w:rPr>
        <w:t>學士班</w:t>
      </w:r>
      <w:r w:rsidRPr="005B464B">
        <w:rPr>
          <w:rFonts w:hAnsi="標楷體"/>
        </w:rPr>
        <w:t>註冊率皆</w:t>
      </w:r>
      <w:r w:rsidRPr="005B464B">
        <w:rPr>
          <w:rFonts w:hAnsi="標楷體" w:hint="eastAsia"/>
        </w:rPr>
        <w:t>超過</w:t>
      </w:r>
      <w:proofErr w:type="gramStart"/>
      <w:r w:rsidRPr="005B464B">
        <w:rPr>
          <w:rFonts w:hAnsi="標楷體"/>
        </w:rPr>
        <w:t>9成</w:t>
      </w:r>
      <w:proofErr w:type="gramEnd"/>
      <w:r w:rsidRPr="005B464B">
        <w:rPr>
          <w:rFonts w:hAnsi="標楷體"/>
        </w:rPr>
        <w:t>以上</w:t>
      </w:r>
      <w:r w:rsidRPr="005B464B">
        <w:rPr>
          <w:rFonts w:hAnsi="標楷體" w:hint="eastAsia"/>
        </w:rPr>
        <w:t>，其中</w:t>
      </w:r>
      <w:r w:rsidRPr="005B464B">
        <w:rPr>
          <w:rFonts w:hAnsi="標楷體"/>
        </w:rPr>
        <w:t>大學校院平均為</w:t>
      </w:r>
      <w:r w:rsidRPr="005B464B">
        <w:rPr>
          <w:rFonts w:hAnsi="標楷體" w:hint="eastAsia"/>
        </w:rPr>
        <w:t>95.77</w:t>
      </w:r>
      <w:r w:rsidR="006C619F" w:rsidRPr="005B464B">
        <w:rPr>
          <w:rFonts w:hAnsi="標楷體"/>
        </w:rPr>
        <w:t>％</w:t>
      </w:r>
      <w:r w:rsidRPr="005B464B">
        <w:rPr>
          <w:rFonts w:hAnsi="標楷體"/>
        </w:rPr>
        <w:t>，技專校院平均為</w:t>
      </w:r>
      <w:r w:rsidRPr="005B464B">
        <w:rPr>
          <w:rFonts w:hAnsi="標楷體" w:hint="eastAsia"/>
        </w:rPr>
        <w:t>97.83</w:t>
      </w:r>
      <w:r w:rsidR="006C619F" w:rsidRPr="005B464B">
        <w:rPr>
          <w:rFonts w:hAnsi="標楷體"/>
        </w:rPr>
        <w:t>％</w:t>
      </w:r>
      <w:r w:rsidRPr="005B464B">
        <w:rPr>
          <w:rFonts w:hAnsi="標楷體" w:hint="eastAsia"/>
        </w:rPr>
        <w:t>等語。</w:t>
      </w:r>
      <w:proofErr w:type="gramStart"/>
      <w:r w:rsidRPr="005B464B">
        <w:rPr>
          <w:rFonts w:hAnsi="標楷體" w:hint="eastAsia"/>
        </w:rPr>
        <w:t>惟</w:t>
      </w:r>
      <w:proofErr w:type="gramEnd"/>
      <w:r w:rsidRPr="005B464B">
        <w:rPr>
          <w:rFonts w:hAnsi="標楷體" w:hint="eastAsia"/>
        </w:rPr>
        <w:t>誠如本院諮詢之專家學者所言：「少子女化問題是發生在私校，目前公校尚無此問題，等到私校都倒了再來考慮公校，那就是較遠才要考慮的問題。如</w:t>
      </w:r>
      <w:proofErr w:type="gramStart"/>
      <w:r w:rsidRPr="005B464B">
        <w:rPr>
          <w:rFonts w:hAnsi="標楷體" w:hint="eastAsia"/>
        </w:rPr>
        <w:t>說以公公併</w:t>
      </w:r>
      <w:proofErr w:type="gramEnd"/>
      <w:r w:rsidRPr="005B464B">
        <w:rPr>
          <w:rFonts w:hAnsi="標楷體" w:hint="eastAsia"/>
        </w:rPr>
        <w:t>要解決少子女化問題，是投錯藥，第一階段</w:t>
      </w:r>
      <w:r w:rsidRPr="005B464B">
        <w:rPr>
          <w:rFonts w:hAnsi="標楷體" w:hint="eastAsia"/>
        </w:rPr>
        <w:lastRenderedPageBreak/>
        <w:t>少子女化問題都在私校，應推行私</w:t>
      </w:r>
      <w:proofErr w:type="gramStart"/>
      <w:r w:rsidRPr="005B464B">
        <w:rPr>
          <w:rFonts w:hAnsi="標楷體" w:hint="eastAsia"/>
        </w:rPr>
        <w:t>私併</w:t>
      </w:r>
      <w:proofErr w:type="gramEnd"/>
      <w:r w:rsidRPr="005B464B">
        <w:rPr>
          <w:rFonts w:hAnsi="標楷體" w:hint="eastAsia"/>
        </w:rPr>
        <w:t>，但有困難，不然也要公私</w:t>
      </w:r>
      <w:proofErr w:type="gramStart"/>
      <w:r w:rsidRPr="005B464B">
        <w:rPr>
          <w:rFonts w:hAnsi="標楷體" w:hint="eastAsia"/>
        </w:rPr>
        <w:t>併</w:t>
      </w:r>
      <w:proofErr w:type="gramEnd"/>
      <w:r w:rsidRPr="005B464B">
        <w:rPr>
          <w:rFonts w:hAnsi="標楷體" w:hint="eastAsia"/>
        </w:rPr>
        <w:t>，但法規上又有限制。</w:t>
      </w:r>
      <w:r w:rsidRPr="005B464B">
        <w:rPr>
          <w:rFonts w:hAnsi="標楷體"/>
        </w:rPr>
        <w:t>…</w:t>
      </w:r>
      <w:proofErr w:type="gramStart"/>
      <w:r w:rsidRPr="005B464B">
        <w:rPr>
          <w:rFonts w:hAnsi="標楷體"/>
        </w:rPr>
        <w:t>…</w:t>
      </w:r>
      <w:proofErr w:type="gramEnd"/>
      <w:r w:rsidRPr="005B464B">
        <w:rPr>
          <w:rFonts w:hAnsi="標楷體" w:hint="eastAsia"/>
        </w:rPr>
        <w:t>。公公</w:t>
      </w:r>
      <w:proofErr w:type="gramStart"/>
      <w:r w:rsidRPr="005B464B">
        <w:rPr>
          <w:rFonts w:hAnsi="標楷體" w:hint="eastAsia"/>
        </w:rPr>
        <w:t>併</w:t>
      </w:r>
      <w:proofErr w:type="gramEnd"/>
      <w:r w:rsidRPr="005B464B">
        <w:rPr>
          <w:rFonts w:hAnsi="標楷體" w:hint="eastAsia"/>
        </w:rPr>
        <w:t>非解決少子女化良藥，如要爭排名則要強</w:t>
      </w:r>
      <w:proofErr w:type="gramStart"/>
      <w:r w:rsidRPr="005B464B">
        <w:rPr>
          <w:rFonts w:hAnsi="標楷體" w:hint="eastAsia"/>
        </w:rPr>
        <w:t>強併</w:t>
      </w:r>
      <w:proofErr w:type="gramEnd"/>
      <w:r w:rsidRPr="005B464B">
        <w:rPr>
          <w:rFonts w:hAnsi="標楷體" w:hint="eastAsia"/>
        </w:rPr>
        <w:t>」，可知「公私</w:t>
      </w:r>
      <w:proofErr w:type="gramStart"/>
      <w:r w:rsidRPr="005B464B">
        <w:rPr>
          <w:rFonts w:hAnsi="標楷體" w:hint="eastAsia"/>
        </w:rPr>
        <w:t>併</w:t>
      </w:r>
      <w:proofErr w:type="gramEnd"/>
      <w:r w:rsidRPr="005B464B">
        <w:rPr>
          <w:rFonts w:hAnsi="標楷體" w:hint="eastAsia"/>
        </w:rPr>
        <w:t>」不但可做為協助解決私校退場之配套方案，部分辦學績效卓著之私校雖較</w:t>
      </w:r>
      <w:proofErr w:type="gramStart"/>
      <w:r w:rsidRPr="005B464B">
        <w:rPr>
          <w:rFonts w:hAnsi="標楷體" w:hint="eastAsia"/>
        </w:rPr>
        <w:t>不受少子女</w:t>
      </w:r>
      <w:proofErr w:type="gramEnd"/>
      <w:r w:rsidRPr="005B464B">
        <w:rPr>
          <w:rFonts w:hAnsi="標楷體" w:hint="eastAsia"/>
        </w:rPr>
        <w:t>化之衝擊，惟若能與具互補性之國立大學資源整合，甚至合併，相信更能有效提升彼此之校務發展動能，進而強化國家整體競爭力。國際上英國</w:t>
      </w:r>
      <w:hyperlink r:id="rId23" w:tooltip="曼徹斯特維多利亞大學" w:history="1">
        <w:r w:rsidRPr="005B464B">
          <w:t>曼徹斯特維多利亞大學</w:t>
        </w:r>
      </w:hyperlink>
      <w:r w:rsidRPr="005B464B">
        <w:rPr>
          <w:rFonts w:hint="eastAsia"/>
        </w:rPr>
        <w:t>與</w:t>
      </w:r>
      <w:hyperlink r:id="rId24" w:tooltip="en:UMIST" w:history="1">
        <w:r w:rsidRPr="005B464B">
          <w:t>曼徹斯特理工大學</w:t>
        </w:r>
      </w:hyperlink>
      <w:r w:rsidRPr="005B464B">
        <w:rPr>
          <w:rFonts w:hint="eastAsia"/>
        </w:rPr>
        <w:t>於2004年</w:t>
      </w:r>
      <w:r w:rsidRPr="005B464B">
        <w:t>合併為曼徹斯特大學（University of Manchester）</w:t>
      </w:r>
      <w:r w:rsidRPr="005B464B">
        <w:rPr>
          <w:rFonts w:hint="eastAsia"/>
        </w:rPr>
        <w:t>、</w:t>
      </w:r>
      <w:r w:rsidRPr="005B464B">
        <w:t>美國印第安那大學印第安那坡里斯（Indiana University Indianapolis）與普渡大學延續教育中心（Purdue University Extension Center）於1969年完成合併為印第安那大學與普渡大學印第安那坡里斯聯合分校</w:t>
      </w:r>
      <w:r w:rsidRPr="005B464B">
        <w:rPr>
          <w:rFonts w:hint="eastAsia"/>
        </w:rPr>
        <w:t>，及</w:t>
      </w:r>
      <w:r w:rsidRPr="005B464B">
        <w:t>美國紐約公立貝里司拜特瑞恩醫院的醫學中心分別與私立哥倫比亞大學、私立康乃爾大學進行整</w:t>
      </w:r>
      <w:proofErr w:type="gramStart"/>
      <w:r w:rsidRPr="005B464B">
        <w:t>併</w:t>
      </w:r>
      <w:proofErr w:type="gramEnd"/>
      <w:r w:rsidRPr="005B464B">
        <w:rPr>
          <w:rFonts w:hint="eastAsia"/>
        </w:rPr>
        <w:t>等，</w:t>
      </w:r>
      <w:proofErr w:type="gramStart"/>
      <w:r w:rsidRPr="005B464B">
        <w:rPr>
          <w:rFonts w:hint="eastAsia"/>
        </w:rPr>
        <w:t>均為適例</w:t>
      </w:r>
      <w:proofErr w:type="gramEnd"/>
      <w:r w:rsidRPr="005B464B">
        <w:rPr>
          <w:rFonts w:hint="eastAsia"/>
        </w:rPr>
        <w:t>。</w:t>
      </w:r>
    </w:p>
    <w:p w:rsidR="0082749A" w:rsidRPr="005B464B" w:rsidRDefault="0082749A" w:rsidP="0082749A">
      <w:pPr>
        <w:pStyle w:val="3"/>
        <w:numPr>
          <w:ilvl w:val="2"/>
          <w:numId w:val="1"/>
        </w:numPr>
      </w:pPr>
      <w:r w:rsidRPr="005B464B">
        <w:rPr>
          <w:rFonts w:hint="eastAsia"/>
        </w:rPr>
        <w:t>綜上，參酌國內及國際發展前例，除</w:t>
      </w:r>
      <w:r w:rsidRPr="005B464B">
        <w:rPr>
          <w:rFonts w:hAnsi="標楷體" w:hint="eastAsia"/>
        </w:rPr>
        <w:t>「</w:t>
      </w:r>
      <w:r w:rsidRPr="005B464B">
        <w:rPr>
          <w:rFonts w:hint="eastAsia"/>
        </w:rPr>
        <w:t>公公</w:t>
      </w:r>
      <w:proofErr w:type="gramStart"/>
      <w:r w:rsidRPr="005B464B">
        <w:rPr>
          <w:rFonts w:hint="eastAsia"/>
        </w:rPr>
        <w:t>併</w:t>
      </w:r>
      <w:proofErr w:type="gramEnd"/>
      <w:r w:rsidRPr="005B464B">
        <w:rPr>
          <w:rFonts w:hAnsi="標楷體" w:hint="eastAsia"/>
        </w:rPr>
        <w:t>」及「私</w:t>
      </w:r>
      <w:proofErr w:type="gramStart"/>
      <w:r w:rsidRPr="005B464B">
        <w:rPr>
          <w:rFonts w:hAnsi="標楷體" w:hint="eastAsia"/>
        </w:rPr>
        <w:t>私併</w:t>
      </w:r>
      <w:proofErr w:type="gramEnd"/>
      <w:r w:rsidRPr="005B464B">
        <w:rPr>
          <w:rFonts w:hAnsi="標楷體" w:hint="eastAsia"/>
        </w:rPr>
        <w:t>」外，「</w:t>
      </w:r>
      <w:r w:rsidRPr="005B464B">
        <w:rPr>
          <w:rFonts w:hint="eastAsia"/>
        </w:rPr>
        <w:t>公私</w:t>
      </w:r>
      <w:proofErr w:type="gramStart"/>
      <w:r w:rsidRPr="005B464B">
        <w:rPr>
          <w:rFonts w:hint="eastAsia"/>
        </w:rPr>
        <w:t>併</w:t>
      </w:r>
      <w:proofErr w:type="gramEnd"/>
      <w:r w:rsidRPr="005B464B">
        <w:rPr>
          <w:rFonts w:hAnsi="標楷體" w:hint="eastAsia"/>
        </w:rPr>
        <w:t>」</w:t>
      </w:r>
      <w:r w:rsidRPr="005B464B">
        <w:rPr>
          <w:rFonts w:hint="eastAsia"/>
        </w:rPr>
        <w:t>亦不失為</w:t>
      </w:r>
      <w:r w:rsidRPr="005B464B">
        <w:rPr>
          <w:rFonts w:hAnsi="標楷體" w:hint="eastAsia"/>
        </w:rPr>
        <w:t>解決「高等教育學校過多，教育資源稀釋」問題之可行方案</w:t>
      </w:r>
      <w:r w:rsidRPr="005B464B">
        <w:rPr>
          <w:rFonts w:hint="eastAsia"/>
        </w:rPr>
        <w:t>；</w:t>
      </w:r>
      <w:proofErr w:type="gramStart"/>
      <w:r w:rsidRPr="005B464B">
        <w:rPr>
          <w:rFonts w:hint="eastAsia"/>
        </w:rPr>
        <w:t>惟</w:t>
      </w:r>
      <w:proofErr w:type="gramEnd"/>
      <w:r w:rsidRPr="005B464B">
        <w:rPr>
          <w:rFonts w:hint="eastAsia"/>
        </w:rPr>
        <w:t>各界對此議題之認識仍顯不足，教育部允宜儘速</w:t>
      </w:r>
      <w:proofErr w:type="gramStart"/>
      <w:r w:rsidRPr="005B464B">
        <w:rPr>
          <w:rFonts w:hint="eastAsia"/>
        </w:rPr>
        <w:t>釐</w:t>
      </w:r>
      <w:proofErr w:type="gramEnd"/>
      <w:r w:rsidRPr="005B464B">
        <w:rPr>
          <w:rFonts w:hint="eastAsia"/>
        </w:rPr>
        <w:t>清並宣導</w:t>
      </w:r>
      <w:r w:rsidRPr="005B464B">
        <w:rPr>
          <w:rFonts w:hAnsi="標楷體" w:hint="eastAsia"/>
        </w:rPr>
        <w:t>「</w:t>
      </w:r>
      <w:r w:rsidRPr="005B464B">
        <w:rPr>
          <w:rFonts w:hint="eastAsia"/>
        </w:rPr>
        <w:t>公私</w:t>
      </w:r>
      <w:proofErr w:type="gramStart"/>
      <w:r w:rsidRPr="005B464B">
        <w:rPr>
          <w:rFonts w:hint="eastAsia"/>
        </w:rPr>
        <w:t>併</w:t>
      </w:r>
      <w:proofErr w:type="gramEnd"/>
      <w:r w:rsidRPr="005B464B">
        <w:rPr>
          <w:rFonts w:hAnsi="標楷體" w:hint="eastAsia"/>
        </w:rPr>
        <w:t>」之相關規定與辦理程序，</w:t>
      </w:r>
      <w:proofErr w:type="gramStart"/>
      <w:r w:rsidRPr="005B464B">
        <w:rPr>
          <w:rFonts w:hAnsi="標楷體" w:hint="eastAsia"/>
        </w:rPr>
        <w:t>俾</w:t>
      </w:r>
      <w:proofErr w:type="gramEnd"/>
      <w:r w:rsidRPr="005B464B">
        <w:rPr>
          <w:rFonts w:hAnsi="標楷體" w:hint="eastAsia"/>
        </w:rPr>
        <w:t>供各界知悉及評估是否納為處理相關問題之可能選項。如此不但可增加政府推動「私校退場」之政策彈性；如若因此促使部分國立大學與辦學績效卓著且具互補性之私立大專校院進行整</w:t>
      </w:r>
      <w:proofErr w:type="gramStart"/>
      <w:r w:rsidRPr="005B464B">
        <w:rPr>
          <w:rFonts w:hAnsi="標楷體" w:hint="eastAsia"/>
        </w:rPr>
        <w:t>併</w:t>
      </w:r>
      <w:proofErr w:type="gramEnd"/>
      <w:r w:rsidRPr="005B464B">
        <w:rPr>
          <w:rFonts w:hAnsi="標楷體" w:hint="eastAsia"/>
        </w:rPr>
        <w:t>，將可進一步提升國內大學之整體質量，強化國家競爭力；</w:t>
      </w:r>
      <w:proofErr w:type="gramStart"/>
      <w:r w:rsidRPr="005B464B">
        <w:rPr>
          <w:rFonts w:hAnsi="標楷體" w:hint="eastAsia"/>
        </w:rPr>
        <w:t>惟</w:t>
      </w:r>
      <w:proofErr w:type="gramEnd"/>
      <w:r w:rsidRPr="005B464B">
        <w:rPr>
          <w:rFonts w:hAnsi="標楷體" w:hint="eastAsia"/>
        </w:rPr>
        <w:t>教育部迄今之相關作為</w:t>
      </w:r>
      <w:r w:rsidR="00CE370B" w:rsidRPr="005B464B">
        <w:rPr>
          <w:rFonts w:hAnsi="標楷體" w:hint="eastAsia"/>
        </w:rPr>
        <w:t>明顯消極</w:t>
      </w:r>
      <w:r w:rsidRPr="005B464B">
        <w:rPr>
          <w:rFonts w:hAnsi="標楷體" w:hint="eastAsia"/>
        </w:rPr>
        <w:t>，允應切實檢討改善。</w:t>
      </w:r>
    </w:p>
    <w:p w:rsidR="0082749A" w:rsidRPr="005B464B" w:rsidRDefault="0082749A" w:rsidP="0082749A">
      <w:pPr>
        <w:pStyle w:val="3"/>
        <w:numPr>
          <w:ilvl w:val="0"/>
          <w:numId w:val="0"/>
        </w:numPr>
        <w:ind w:left="1361"/>
        <w:rPr>
          <w:rFonts w:hAnsi="標楷體"/>
        </w:rPr>
      </w:pPr>
    </w:p>
    <w:p w:rsidR="00E25849" w:rsidRPr="005B464B" w:rsidRDefault="00E25849" w:rsidP="004E05A1">
      <w:pPr>
        <w:pStyle w:val="1"/>
        <w:ind w:left="2380" w:hanging="2380"/>
        <w:rPr>
          <w:rFonts w:hAnsi="標楷體"/>
        </w:rPr>
      </w:pPr>
      <w:bookmarkStart w:id="247" w:name="_Toc524895648"/>
      <w:bookmarkStart w:id="248" w:name="_Toc524896194"/>
      <w:bookmarkStart w:id="249" w:name="_Toc524896224"/>
      <w:bookmarkStart w:id="250" w:name="_Toc524902734"/>
      <w:bookmarkStart w:id="251" w:name="_Toc525066148"/>
      <w:bookmarkStart w:id="252" w:name="_Toc525070839"/>
      <w:bookmarkStart w:id="253" w:name="_Toc525938379"/>
      <w:bookmarkStart w:id="254" w:name="_Toc525939227"/>
      <w:bookmarkStart w:id="255" w:name="_Toc525939732"/>
      <w:bookmarkStart w:id="256" w:name="_Toc529218272"/>
      <w:bookmarkEnd w:id="50"/>
      <w:r w:rsidRPr="005B464B">
        <w:rPr>
          <w:rFonts w:hAnsi="標楷體"/>
        </w:rPr>
        <w:br w:type="page"/>
      </w:r>
      <w:bookmarkStart w:id="257" w:name="_Toc529222689"/>
      <w:bookmarkStart w:id="258" w:name="_Toc529223111"/>
      <w:bookmarkStart w:id="259" w:name="_Toc529223862"/>
      <w:bookmarkStart w:id="260" w:name="_Toc529228265"/>
      <w:bookmarkStart w:id="261" w:name="_Toc2400395"/>
      <w:bookmarkStart w:id="262" w:name="_Toc4316189"/>
      <w:bookmarkStart w:id="263" w:name="_Toc4473330"/>
      <w:bookmarkStart w:id="264" w:name="_Toc69556897"/>
      <w:bookmarkStart w:id="265" w:name="_Toc69556946"/>
      <w:bookmarkStart w:id="266" w:name="_Toc69609820"/>
      <w:bookmarkStart w:id="267" w:name="_Toc70241816"/>
      <w:bookmarkStart w:id="268" w:name="_Toc70242205"/>
      <w:bookmarkStart w:id="269" w:name="_Toc421794875"/>
      <w:bookmarkStart w:id="270" w:name="_Toc485138873"/>
      <w:r w:rsidRPr="005B464B">
        <w:rPr>
          <w:rFonts w:hAnsi="標楷體" w:hint="eastAsia"/>
          <w:b/>
        </w:rPr>
        <w:lastRenderedPageBreak/>
        <w:t>處理辦法</w:t>
      </w:r>
      <w:r w:rsidRPr="005B464B">
        <w:rPr>
          <w:rFonts w:hAnsi="標楷體" w:hint="eastAsia"/>
        </w:rPr>
        <w: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617B33" w:rsidRPr="005B464B" w:rsidRDefault="00617B33" w:rsidP="00C82F32">
      <w:pPr>
        <w:pStyle w:val="2"/>
        <w:numPr>
          <w:ilvl w:val="0"/>
          <w:numId w:val="0"/>
        </w:numPr>
        <w:ind w:left="567"/>
        <w:rPr>
          <w:rFonts w:hAnsi="標楷體"/>
        </w:rPr>
      </w:pPr>
      <w:bookmarkStart w:id="271" w:name="_Toc524895649"/>
      <w:bookmarkStart w:id="272" w:name="_Toc524896195"/>
      <w:bookmarkStart w:id="273" w:name="_Toc524896225"/>
      <w:bookmarkStart w:id="274" w:name="_Toc2400396"/>
      <w:bookmarkStart w:id="275" w:name="_Toc4316190"/>
      <w:bookmarkStart w:id="276" w:name="_Toc4473331"/>
      <w:bookmarkStart w:id="277" w:name="_Toc69556898"/>
      <w:bookmarkStart w:id="278" w:name="_Toc69556947"/>
      <w:bookmarkStart w:id="279" w:name="_Toc69609821"/>
      <w:bookmarkStart w:id="280" w:name="_Toc70241817"/>
      <w:bookmarkStart w:id="281" w:name="_Toc70242206"/>
      <w:bookmarkStart w:id="282" w:name="_Toc421794877"/>
      <w:bookmarkStart w:id="283" w:name="_Toc421795443"/>
      <w:bookmarkStart w:id="284" w:name="_Toc421796024"/>
      <w:bookmarkStart w:id="285" w:name="_Toc422728959"/>
      <w:bookmarkStart w:id="286" w:name="_Toc422834162"/>
      <w:bookmarkStart w:id="287" w:name="_Toc482777716"/>
      <w:bookmarkStart w:id="288" w:name="_Toc482779065"/>
      <w:bookmarkStart w:id="289" w:name="_Toc484165832"/>
      <w:bookmarkStart w:id="290" w:name="_Toc484609160"/>
      <w:bookmarkStart w:id="291" w:name="_Toc485044039"/>
      <w:bookmarkStart w:id="292" w:name="_Toc485138874"/>
      <w:bookmarkStart w:id="293" w:name="_Toc524902735"/>
      <w:bookmarkStart w:id="294" w:name="_Toc525066149"/>
      <w:bookmarkStart w:id="295" w:name="_Toc525070840"/>
      <w:bookmarkStart w:id="296" w:name="_Toc525938380"/>
      <w:bookmarkStart w:id="297" w:name="_Toc525939228"/>
      <w:bookmarkStart w:id="298" w:name="_Toc525939733"/>
      <w:bookmarkStart w:id="299" w:name="_Toc529218273"/>
      <w:bookmarkStart w:id="300" w:name="_Toc529222690"/>
      <w:bookmarkStart w:id="301" w:name="_Toc529223112"/>
      <w:bookmarkStart w:id="302" w:name="_Toc529223863"/>
      <w:bookmarkStart w:id="303" w:name="_Toc529228266"/>
      <w:bookmarkEnd w:id="271"/>
      <w:bookmarkEnd w:id="272"/>
      <w:bookmarkEnd w:id="273"/>
      <w:r w:rsidRPr="005B464B">
        <w:rPr>
          <w:rFonts w:hAnsi="標楷體" w:hint="eastAsia"/>
        </w:rPr>
        <w:t>抄調查意見函請</w:t>
      </w:r>
      <w:r w:rsidR="00705AE5" w:rsidRPr="005B464B">
        <w:rPr>
          <w:rFonts w:hAnsi="標楷體" w:hint="eastAsia"/>
        </w:rPr>
        <w:t>行政院督促所屬</w:t>
      </w:r>
      <w:r w:rsidRPr="005B464B">
        <w:rPr>
          <w:rFonts w:hAnsi="標楷體" w:hint="eastAsia"/>
        </w:rPr>
        <w:t>確實檢討改進</w:t>
      </w:r>
      <w:proofErr w:type="gramStart"/>
      <w:r w:rsidRPr="005B464B">
        <w:rPr>
          <w:rFonts w:hAnsi="標楷體" w:hint="eastAsia"/>
        </w:rPr>
        <w:t>見復。</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roofErr w:type="gramEnd"/>
      <w:r w:rsidR="005F2DFC" w:rsidRPr="005B464B">
        <w:rPr>
          <w:rFonts w:hAnsi="標楷體" w:hint="eastAsia"/>
        </w:rPr>
        <w:t>如對於本院106</w:t>
      </w:r>
      <w:proofErr w:type="gramStart"/>
      <w:r w:rsidR="005F2DFC" w:rsidRPr="005B464B">
        <w:rPr>
          <w:rFonts w:hAnsi="標楷體" w:hint="eastAsia"/>
        </w:rPr>
        <w:t>教調0015號</w:t>
      </w:r>
      <w:proofErr w:type="gramEnd"/>
      <w:r w:rsidR="005F2DFC" w:rsidRPr="005B464B">
        <w:rPr>
          <w:rFonts w:hAnsi="標楷體" w:hint="eastAsia"/>
        </w:rPr>
        <w:t>(公校合併)及0020號(私校退場)調查報告尚未</w:t>
      </w:r>
      <w:proofErr w:type="gramStart"/>
      <w:r w:rsidR="005F2DFC" w:rsidRPr="005B464B">
        <w:rPr>
          <w:rFonts w:hAnsi="標楷體" w:hint="eastAsia"/>
        </w:rPr>
        <w:t>見復者</w:t>
      </w:r>
      <w:proofErr w:type="gramEnd"/>
      <w:r w:rsidR="005F2DFC" w:rsidRPr="005B464B">
        <w:rPr>
          <w:rFonts w:hAnsi="標楷體" w:hint="eastAsia"/>
        </w:rPr>
        <w:t>，得合併處理。</w:t>
      </w:r>
      <w:bookmarkEnd w:id="291"/>
      <w:bookmarkEnd w:id="292"/>
    </w:p>
    <w:bookmarkEnd w:id="293"/>
    <w:bookmarkEnd w:id="294"/>
    <w:bookmarkEnd w:id="295"/>
    <w:bookmarkEnd w:id="296"/>
    <w:bookmarkEnd w:id="297"/>
    <w:bookmarkEnd w:id="298"/>
    <w:bookmarkEnd w:id="299"/>
    <w:bookmarkEnd w:id="300"/>
    <w:bookmarkEnd w:id="301"/>
    <w:bookmarkEnd w:id="302"/>
    <w:bookmarkEnd w:id="303"/>
    <w:p w:rsidR="00596FCC" w:rsidRPr="005B464B" w:rsidRDefault="00596FCC" w:rsidP="00AE067D">
      <w:pPr>
        <w:pStyle w:val="aa"/>
        <w:spacing w:beforeLines="50" w:before="228" w:after="0"/>
        <w:ind w:leftChars="1100" w:left="3742"/>
        <w:rPr>
          <w:rFonts w:hAnsi="標楷體"/>
          <w:b w:val="0"/>
          <w:bCs/>
          <w:snapToGrid/>
          <w:spacing w:val="12"/>
          <w:kern w:val="0"/>
          <w:sz w:val="40"/>
        </w:rPr>
      </w:pPr>
    </w:p>
    <w:p w:rsidR="00596FCC" w:rsidRPr="005B464B" w:rsidRDefault="00596FCC" w:rsidP="00AE067D">
      <w:pPr>
        <w:pStyle w:val="aa"/>
        <w:spacing w:beforeLines="50" w:before="228" w:after="0"/>
        <w:ind w:leftChars="1100" w:left="3742"/>
        <w:rPr>
          <w:rFonts w:hAnsi="標楷體"/>
          <w:b w:val="0"/>
          <w:bCs/>
          <w:snapToGrid/>
          <w:spacing w:val="12"/>
          <w:kern w:val="0"/>
          <w:sz w:val="40"/>
        </w:rPr>
      </w:pPr>
    </w:p>
    <w:p w:rsidR="00E25849" w:rsidRPr="005B464B" w:rsidRDefault="00E25849" w:rsidP="00AE067D">
      <w:pPr>
        <w:pStyle w:val="aa"/>
        <w:spacing w:beforeLines="50" w:before="228" w:after="0"/>
        <w:ind w:leftChars="1100" w:left="3742"/>
        <w:rPr>
          <w:rFonts w:hAnsi="標楷體"/>
          <w:b w:val="0"/>
          <w:bCs/>
          <w:snapToGrid/>
          <w:spacing w:val="0"/>
          <w:kern w:val="0"/>
          <w:sz w:val="40"/>
        </w:rPr>
      </w:pPr>
      <w:r w:rsidRPr="005B464B">
        <w:rPr>
          <w:rFonts w:hAnsi="標楷體" w:hint="eastAsia"/>
          <w:b w:val="0"/>
          <w:bCs/>
          <w:snapToGrid/>
          <w:spacing w:val="12"/>
          <w:kern w:val="0"/>
          <w:sz w:val="40"/>
        </w:rPr>
        <w:t>調查委員：</w:t>
      </w:r>
      <w:r w:rsidR="00C82F32">
        <w:rPr>
          <w:rFonts w:hAnsi="標楷體" w:hint="eastAsia"/>
          <w:b w:val="0"/>
          <w:bCs/>
          <w:snapToGrid/>
          <w:spacing w:val="12"/>
          <w:kern w:val="0"/>
          <w:sz w:val="40"/>
        </w:rPr>
        <w:t>陳小紅</w:t>
      </w:r>
    </w:p>
    <w:p w:rsidR="00416721" w:rsidRPr="005B464B" w:rsidRDefault="00416721">
      <w:pPr>
        <w:widowControl/>
        <w:overflowPunct/>
        <w:autoSpaceDE/>
        <w:autoSpaceDN/>
        <w:jc w:val="left"/>
        <w:rPr>
          <w:rFonts w:hAnsi="標楷體"/>
          <w:bCs/>
          <w:kern w:val="0"/>
        </w:rPr>
      </w:pPr>
      <w:bookmarkStart w:id="304" w:name="_GoBack"/>
      <w:bookmarkEnd w:id="304"/>
    </w:p>
    <w:sectPr w:rsidR="00416721" w:rsidRPr="005B464B" w:rsidSect="00C82F32">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7A" w:rsidRDefault="0001697A">
      <w:r>
        <w:separator/>
      </w:r>
    </w:p>
  </w:endnote>
  <w:endnote w:type="continuationSeparator" w:id="0">
    <w:p w:rsidR="0001697A" w:rsidRDefault="0001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MS Mincho">
    <w:altName w:val="ＭＳ 明朝"/>
    <w:panose1 w:val="02020609040205080304"/>
    <w:charset w:val="80"/>
    <w:family w:val="roman"/>
    <w:notTrueType/>
    <w:pitch w:val="fixed"/>
    <w:sig w:usb0="00000001" w:usb1="08070000" w:usb2="00000010" w:usb3="00000000" w:csb0="00020000" w:csb1="00000000"/>
  </w:font>
  <w:font w:name="TT26C5o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7A" w:rsidRDefault="0001697A">
      <w:r>
        <w:separator/>
      </w:r>
    </w:p>
  </w:footnote>
  <w:footnote w:type="continuationSeparator" w:id="0">
    <w:p w:rsidR="0001697A" w:rsidRDefault="0001697A">
      <w:r>
        <w:continuationSeparator/>
      </w:r>
    </w:p>
  </w:footnote>
  <w:footnote w:id="1">
    <w:p w:rsidR="0001697A" w:rsidRPr="00C651D1" w:rsidRDefault="0001697A" w:rsidP="008F1E5F">
      <w:pPr>
        <w:pStyle w:val="aff0"/>
        <w:ind w:left="222" w:hangingChars="101" w:hanging="222"/>
      </w:pPr>
      <w:r w:rsidRPr="00C651D1">
        <w:rPr>
          <w:rStyle w:val="aff2"/>
        </w:rPr>
        <w:footnoteRef/>
      </w:r>
      <w:r w:rsidRPr="00C651D1">
        <w:t xml:space="preserve"> </w:t>
      </w:r>
      <w:r w:rsidRPr="00C651D1">
        <w:rPr>
          <w:rFonts w:hint="eastAsia"/>
        </w:rPr>
        <w:t>資料來源：日本文部科學省網站平成13年6月「大学（国立大学）の構造改革の方針-国立大学の数の大幅な削減を目指す」（</w:t>
      </w:r>
      <w:r w:rsidRPr="00C651D1">
        <w:t>http://www.mext.go.jp/b_menu/shingi/gijyutu/gijyutu8/toushin/attach/1331038.htm</w:t>
      </w:r>
      <w:proofErr w:type="gramStart"/>
      <w:r w:rsidRPr="00C651D1">
        <w:rPr>
          <w:rFonts w:hint="eastAsia"/>
        </w:rPr>
        <w:t>）</w:t>
      </w:r>
      <w:proofErr w:type="gramEnd"/>
    </w:p>
  </w:footnote>
  <w:footnote w:id="2">
    <w:p w:rsidR="0001697A" w:rsidRPr="00C651D1" w:rsidRDefault="0001697A" w:rsidP="008F1E5F">
      <w:pPr>
        <w:pStyle w:val="aff0"/>
        <w:ind w:left="222" w:hangingChars="101" w:hanging="222"/>
      </w:pPr>
      <w:r w:rsidRPr="00C651D1">
        <w:rPr>
          <w:rStyle w:val="aff2"/>
        </w:rPr>
        <w:footnoteRef/>
      </w:r>
      <w:r w:rsidRPr="00C651D1">
        <w:t xml:space="preserve"> </w:t>
      </w:r>
      <w:r w:rsidRPr="00C651D1">
        <w:rPr>
          <w:rFonts w:hint="eastAsia"/>
        </w:rPr>
        <w:t>資料來源：</w:t>
      </w:r>
      <w:r w:rsidRPr="003F1604">
        <w:rPr>
          <w:rFonts w:hint="eastAsia"/>
          <w:b/>
          <w:i/>
        </w:rPr>
        <w:t>自由時報</w:t>
      </w:r>
      <w:r w:rsidRPr="00C651D1">
        <w:rPr>
          <w:rFonts w:hint="eastAsia"/>
        </w:rPr>
        <w:t>103年9月24日「</w:t>
      </w:r>
      <w:proofErr w:type="gramStart"/>
      <w:r>
        <w:t>少子化</w:t>
      </w:r>
      <w:proofErr w:type="gramEnd"/>
      <w:r w:rsidRPr="00C651D1">
        <w:t>衝擊 教長：大學降到百所以下才適當</w:t>
      </w:r>
      <w:r w:rsidRPr="00C651D1">
        <w:rPr>
          <w:rFonts w:hint="eastAsia"/>
        </w:rPr>
        <w:t>」報導</w:t>
      </w:r>
      <w:proofErr w:type="gramStart"/>
      <w:r w:rsidRPr="00C651D1">
        <w:rPr>
          <w:rFonts w:hint="eastAsia"/>
        </w:rPr>
        <w:t>（</w:t>
      </w:r>
      <w:proofErr w:type="gramEnd"/>
      <w:r w:rsidR="002F7397">
        <w:fldChar w:fldCharType="begin"/>
      </w:r>
      <w:r w:rsidR="002F7397">
        <w:instrText xml:space="preserve"> HYPERLINK "http://news.ltn.com.tw/news/life/breakingnews/1114191)；104年3月27" </w:instrText>
      </w:r>
      <w:r w:rsidR="002F7397">
        <w:fldChar w:fldCharType="separate"/>
      </w:r>
      <w:r w:rsidRPr="00C651D1">
        <w:t>http://news.ltn.com.tw/news/life/breakingnews/1114191</w:t>
      </w:r>
      <w:r w:rsidRPr="00C651D1">
        <w:rPr>
          <w:rFonts w:hint="eastAsia"/>
        </w:rPr>
        <w:t>）；</w:t>
      </w:r>
      <w:r w:rsidRPr="003F1604">
        <w:rPr>
          <w:rFonts w:hint="eastAsia"/>
          <w:b/>
          <w:i/>
        </w:rPr>
        <w:t>聯合晚報</w:t>
      </w:r>
      <w:r w:rsidRPr="00C651D1">
        <w:rPr>
          <w:rFonts w:hint="eastAsia"/>
        </w:rPr>
        <w:t>104年3月27</w:t>
      </w:r>
      <w:r w:rsidR="002F7397">
        <w:fldChar w:fldCharType="end"/>
      </w:r>
      <w:r w:rsidRPr="00C651D1">
        <w:rPr>
          <w:rFonts w:hint="eastAsia"/>
        </w:rPr>
        <w:t>日「轉型大限 整</w:t>
      </w:r>
      <w:proofErr w:type="gramStart"/>
      <w:r w:rsidRPr="00C651D1">
        <w:rPr>
          <w:rFonts w:hint="eastAsia"/>
        </w:rPr>
        <w:t>併</w:t>
      </w:r>
      <w:proofErr w:type="gramEnd"/>
      <w:r w:rsidRPr="00C651D1">
        <w:rPr>
          <w:rFonts w:hint="eastAsia"/>
        </w:rPr>
        <w:t>、退場大學估達50校」</w:t>
      </w:r>
      <w:proofErr w:type="gramStart"/>
      <w:r w:rsidRPr="00C651D1">
        <w:rPr>
          <w:rFonts w:hint="eastAsia"/>
        </w:rPr>
        <w:t>（</w:t>
      </w:r>
      <w:proofErr w:type="gramEnd"/>
      <w:r w:rsidRPr="00C651D1">
        <w:t>https://udn.com/news/story/6928/793157-％E8％BD％89％E5％9E％8B％E5％A4％A7％E9％99％90-％E6％95％B4％E4％BD％B5％E3％80％81％E9％80％80％E5％A0％B4％E5％A4％A7％E5％AD％B8％E4％BC％B0％E9％81％9450％E6％A0％A1</w:t>
      </w:r>
      <w:proofErr w:type="gramStart"/>
      <w:r w:rsidRPr="00C651D1">
        <w:rPr>
          <w:rFonts w:hint="eastAsia"/>
        </w:rPr>
        <w:t>）</w:t>
      </w:r>
      <w:proofErr w:type="gramEnd"/>
      <w:r w:rsidRPr="00C651D1">
        <w:rPr>
          <w:rFonts w:hint="eastAsia"/>
        </w:rPr>
        <w:t>。</w:t>
      </w:r>
    </w:p>
  </w:footnote>
  <w:footnote w:id="3">
    <w:p w:rsidR="0001697A" w:rsidRPr="00C651D1" w:rsidRDefault="0001697A" w:rsidP="008F1E5F">
      <w:pPr>
        <w:pStyle w:val="aff0"/>
        <w:ind w:left="222" w:hangingChars="101" w:hanging="222"/>
      </w:pPr>
      <w:r w:rsidRPr="00C651D1">
        <w:rPr>
          <w:rStyle w:val="aff2"/>
        </w:rPr>
        <w:footnoteRef/>
      </w:r>
      <w:r>
        <w:rPr>
          <w:rFonts w:hint="eastAsia"/>
        </w:rPr>
        <w:t xml:space="preserve"> </w:t>
      </w:r>
      <w:r w:rsidRPr="00C651D1">
        <w:rPr>
          <w:rFonts w:hint="eastAsia"/>
        </w:rPr>
        <w:t>本院</w:t>
      </w:r>
      <w:r w:rsidRPr="00C651D1">
        <w:fldChar w:fldCharType="begin"/>
      </w:r>
      <w:r w:rsidRPr="00C651D1">
        <w:instrText xml:space="preserve"> MERGEFIELD YY </w:instrText>
      </w:r>
      <w:r w:rsidRPr="00C651D1">
        <w:fldChar w:fldCharType="separate"/>
      </w:r>
      <w:r w:rsidRPr="00C651D1">
        <w:rPr>
          <w:rFonts w:hint="eastAsia"/>
          <w:noProof/>
        </w:rPr>
        <w:t>105</w:t>
      </w:r>
      <w:r w:rsidRPr="00C651D1">
        <w:fldChar w:fldCharType="end"/>
      </w:r>
      <w:r w:rsidRPr="00C651D1">
        <w:rPr>
          <w:rFonts w:hint="eastAsia"/>
        </w:rPr>
        <w:t>年</w:t>
      </w:r>
      <w:r w:rsidRPr="00C651D1">
        <w:fldChar w:fldCharType="begin"/>
      </w:r>
      <w:r w:rsidRPr="00C651D1">
        <w:instrText xml:space="preserve"> MERGEFIELD MM </w:instrText>
      </w:r>
      <w:r w:rsidRPr="00C651D1">
        <w:fldChar w:fldCharType="separate"/>
      </w:r>
      <w:r w:rsidRPr="00C651D1">
        <w:rPr>
          <w:rFonts w:hint="eastAsia"/>
          <w:noProof/>
        </w:rPr>
        <w:t>8</w:t>
      </w:r>
      <w:r w:rsidRPr="00C651D1">
        <w:fldChar w:fldCharType="end"/>
      </w:r>
      <w:r w:rsidRPr="00C651D1">
        <w:rPr>
          <w:rFonts w:hint="eastAsia"/>
        </w:rPr>
        <w:t>月</w:t>
      </w:r>
      <w:r w:rsidRPr="00C651D1">
        <w:fldChar w:fldCharType="begin"/>
      </w:r>
      <w:r w:rsidRPr="00C651D1">
        <w:instrText xml:space="preserve"> MERGEFIELD DD </w:instrText>
      </w:r>
      <w:r w:rsidRPr="00C651D1">
        <w:fldChar w:fldCharType="separate"/>
      </w:r>
      <w:r w:rsidRPr="00C651D1">
        <w:rPr>
          <w:rFonts w:hint="eastAsia"/>
          <w:noProof/>
        </w:rPr>
        <w:t>18</w:t>
      </w:r>
      <w:r w:rsidRPr="00C651D1">
        <w:fldChar w:fldCharType="end"/>
      </w:r>
      <w:proofErr w:type="gramStart"/>
      <w:r w:rsidRPr="00C651D1">
        <w:rPr>
          <w:rFonts w:hint="eastAsia"/>
        </w:rPr>
        <w:t>日院台調壹字</w:t>
      </w:r>
      <w:proofErr w:type="gramEnd"/>
      <w:r w:rsidRPr="00C651D1">
        <w:rPr>
          <w:rFonts w:hint="eastAsia"/>
        </w:rPr>
        <w:t>第</w:t>
      </w:r>
      <w:r w:rsidRPr="00C651D1">
        <w:fldChar w:fldCharType="begin"/>
      </w:r>
      <w:r w:rsidRPr="00C651D1">
        <w:instrText xml:space="preserve"> MERGEFIELD </w:instrText>
      </w:r>
      <w:r w:rsidRPr="00C651D1">
        <w:rPr>
          <w:rFonts w:hint="eastAsia"/>
        </w:rPr>
        <w:instrText>派查文號</w:instrText>
      </w:r>
      <w:r w:rsidRPr="00C651D1">
        <w:instrText xml:space="preserve"> </w:instrText>
      </w:r>
      <w:r w:rsidRPr="00C651D1">
        <w:fldChar w:fldCharType="separate"/>
      </w:r>
      <w:r w:rsidRPr="00C651D1">
        <w:rPr>
          <w:rFonts w:hint="eastAsia"/>
          <w:noProof/>
        </w:rPr>
        <w:t>1050800149</w:t>
      </w:r>
      <w:r w:rsidRPr="00C651D1">
        <w:fldChar w:fldCharType="end"/>
      </w:r>
      <w:proofErr w:type="gramStart"/>
      <w:r w:rsidRPr="00C651D1">
        <w:rPr>
          <w:rFonts w:hint="eastAsia"/>
        </w:rPr>
        <w:t>號</w:t>
      </w:r>
      <w:r>
        <w:rPr>
          <w:rFonts w:hint="eastAsia"/>
        </w:rPr>
        <w:t>案</w:t>
      </w:r>
      <w:proofErr w:type="gramEnd"/>
      <w:r w:rsidRPr="00C651D1">
        <w:rPr>
          <w:rFonts w:ascii="新細明體" w:eastAsia="新細明體" w:hAnsi="新細明體" w:hint="eastAsia"/>
        </w:rPr>
        <w:t>、</w:t>
      </w:r>
      <w:r w:rsidRPr="00C651D1">
        <w:rPr>
          <w:rFonts w:hint="eastAsia"/>
        </w:rPr>
        <w:t>同年月23日院</w:t>
      </w:r>
      <w:proofErr w:type="gramStart"/>
      <w:r w:rsidRPr="00C651D1">
        <w:rPr>
          <w:rFonts w:hint="eastAsia"/>
        </w:rPr>
        <w:t>台調壹字</w:t>
      </w:r>
      <w:proofErr w:type="gramEnd"/>
      <w:r w:rsidRPr="00C651D1">
        <w:rPr>
          <w:rFonts w:hint="eastAsia"/>
        </w:rPr>
        <w:t>第</w:t>
      </w:r>
      <w:r w:rsidRPr="00C651D1">
        <w:t>1050800154</w:t>
      </w:r>
      <w:r w:rsidRPr="00C651D1">
        <w:rPr>
          <w:rFonts w:hint="eastAsia"/>
        </w:rPr>
        <w:t>號</w:t>
      </w:r>
      <w:r>
        <w:rPr>
          <w:rFonts w:hint="eastAsia"/>
        </w:rPr>
        <w:t>案</w:t>
      </w:r>
      <w:r w:rsidRPr="00C651D1">
        <w:rPr>
          <w:rFonts w:hint="eastAsia"/>
        </w:rPr>
        <w:t>。</w:t>
      </w:r>
    </w:p>
  </w:footnote>
  <w:footnote w:id="4">
    <w:p w:rsidR="0001697A" w:rsidRPr="00C651D1" w:rsidRDefault="0001697A" w:rsidP="008F1E5F">
      <w:pPr>
        <w:pStyle w:val="aff0"/>
        <w:ind w:left="222" w:hangingChars="101" w:hanging="222"/>
      </w:pPr>
      <w:r w:rsidRPr="00C651D1">
        <w:rPr>
          <w:rStyle w:val="aff2"/>
        </w:rPr>
        <w:footnoteRef/>
      </w:r>
      <w:r w:rsidRPr="00C651D1">
        <w:rPr>
          <w:rFonts w:hint="eastAsia"/>
        </w:rPr>
        <w:t xml:space="preserve"> 行政院</w:t>
      </w:r>
      <w:r w:rsidRPr="00C651D1">
        <w:rPr>
          <w:rFonts w:hAnsi="標楷體" w:hint="eastAsia"/>
        </w:rPr>
        <w:t>105年9</w:t>
      </w:r>
      <w:r w:rsidRPr="00C651D1">
        <w:rPr>
          <w:rFonts w:hint="eastAsia"/>
        </w:rPr>
        <w:t>月21日院</w:t>
      </w:r>
      <w:proofErr w:type="gramStart"/>
      <w:r w:rsidRPr="00C651D1">
        <w:rPr>
          <w:rFonts w:hint="eastAsia"/>
        </w:rPr>
        <w:t>臺教字</w:t>
      </w:r>
      <w:proofErr w:type="gramEnd"/>
      <w:r w:rsidRPr="00C651D1">
        <w:rPr>
          <w:rFonts w:hint="eastAsia"/>
        </w:rPr>
        <w:t>第1050038417號函及同年10月7日院</w:t>
      </w:r>
      <w:proofErr w:type="gramStart"/>
      <w:r w:rsidRPr="00C651D1">
        <w:rPr>
          <w:rFonts w:hint="eastAsia"/>
        </w:rPr>
        <w:t>臺教字</w:t>
      </w:r>
      <w:proofErr w:type="gramEnd"/>
      <w:r w:rsidRPr="00C651D1">
        <w:rPr>
          <w:rFonts w:hint="eastAsia"/>
        </w:rPr>
        <w:t>第1050038087號函</w:t>
      </w:r>
      <w:r w:rsidRPr="00C651D1">
        <w:rPr>
          <w:rFonts w:hAnsi="標楷體" w:hint="eastAsia"/>
        </w:rPr>
        <w:t>、</w:t>
      </w:r>
      <w:r w:rsidRPr="00C651D1">
        <w:rPr>
          <w:rFonts w:hint="eastAsia"/>
        </w:rPr>
        <w:t>國發會105年9月29日</w:t>
      </w:r>
      <w:proofErr w:type="gramStart"/>
      <w:r w:rsidRPr="00C651D1">
        <w:rPr>
          <w:rFonts w:hint="eastAsia"/>
        </w:rPr>
        <w:t>發力字第1051100750號</w:t>
      </w:r>
      <w:proofErr w:type="gramEnd"/>
      <w:r w:rsidRPr="00C651D1">
        <w:rPr>
          <w:rFonts w:hint="eastAsia"/>
        </w:rPr>
        <w:t>函</w:t>
      </w:r>
      <w:r w:rsidRPr="00C651D1">
        <w:rPr>
          <w:rFonts w:ascii="新細明體" w:eastAsia="新細明體" w:hAnsi="新細明體" w:hint="eastAsia"/>
        </w:rPr>
        <w:t>、</w:t>
      </w:r>
      <w:r w:rsidRPr="00C651D1">
        <w:rPr>
          <w:rFonts w:hint="eastAsia"/>
        </w:rPr>
        <w:t>教育部105年10月14日</w:t>
      </w:r>
      <w:proofErr w:type="gramStart"/>
      <w:r w:rsidRPr="00C651D1">
        <w:rPr>
          <w:rFonts w:hint="eastAsia"/>
        </w:rPr>
        <w:t>臺</w:t>
      </w:r>
      <w:proofErr w:type="gramEnd"/>
      <w:r w:rsidRPr="00C651D1">
        <w:rPr>
          <w:rFonts w:hint="eastAsia"/>
        </w:rPr>
        <w:t>教高（三）字第</w:t>
      </w:r>
      <w:r w:rsidRPr="00C651D1">
        <w:t>1050130461</w:t>
      </w:r>
      <w:r>
        <w:rPr>
          <w:rFonts w:hint="eastAsia"/>
        </w:rPr>
        <w:t>號函、</w:t>
      </w:r>
      <w:r w:rsidRPr="00C651D1">
        <w:rPr>
          <w:rFonts w:hint="eastAsia"/>
        </w:rPr>
        <w:t>同年11月4日</w:t>
      </w:r>
      <w:proofErr w:type="gramStart"/>
      <w:r w:rsidRPr="00C651D1">
        <w:rPr>
          <w:rFonts w:hint="eastAsia"/>
        </w:rPr>
        <w:t>臺教技</w:t>
      </w:r>
      <w:proofErr w:type="gramEnd"/>
      <w:r w:rsidRPr="00C651D1">
        <w:rPr>
          <w:rFonts w:hint="eastAsia"/>
        </w:rPr>
        <w:t>（二）字第1050149652號函</w:t>
      </w:r>
      <w:r>
        <w:rPr>
          <w:rFonts w:hint="eastAsia"/>
        </w:rPr>
        <w:t>、106年6月1日</w:t>
      </w:r>
      <w:proofErr w:type="gramStart"/>
      <w:r w:rsidRPr="00C651D1">
        <w:rPr>
          <w:rFonts w:hint="eastAsia"/>
        </w:rPr>
        <w:t>臺</w:t>
      </w:r>
      <w:proofErr w:type="gramEnd"/>
      <w:r w:rsidRPr="00C651D1">
        <w:rPr>
          <w:rFonts w:hint="eastAsia"/>
        </w:rPr>
        <w:t>教高（三）字</w:t>
      </w:r>
      <w:r>
        <w:rPr>
          <w:rFonts w:hint="eastAsia"/>
        </w:rPr>
        <w:t>第1060072475號函</w:t>
      </w:r>
      <w:r w:rsidRPr="00012002">
        <w:rPr>
          <w:rFonts w:hint="eastAsia"/>
        </w:rPr>
        <w:t>及同年6月5日</w:t>
      </w:r>
      <w:proofErr w:type="gramStart"/>
      <w:r w:rsidRPr="00012002">
        <w:rPr>
          <w:rFonts w:hint="eastAsia"/>
        </w:rPr>
        <w:t>臺</w:t>
      </w:r>
      <w:proofErr w:type="gramEnd"/>
      <w:r w:rsidRPr="00012002">
        <w:rPr>
          <w:rFonts w:hint="eastAsia"/>
        </w:rPr>
        <w:t>教高(三)字第1060078838號函。</w:t>
      </w:r>
    </w:p>
  </w:footnote>
  <w:footnote w:id="5">
    <w:p w:rsidR="0001697A" w:rsidRPr="00F366BD" w:rsidRDefault="0001697A" w:rsidP="008F1E5F">
      <w:pPr>
        <w:pStyle w:val="aff0"/>
        <w:ind w:left="222" w:hangingChars="101" w:hanging="222"/>
      </w:pPr>
      <w:r>
        <w:rPr>
          <w:rStyle w:val="aff2"/>
        </w:rPr>
        <w:footnoteRef/>
      </w:r>
      <w:r>
        <w:t xml:space="preserve"> </w:t>
      </w:r>
      <w:r w:rsidRPr="00F366BD">
        <w:t>100</w:t>
      </w:r>
      <w:r w:rsidRPr="00F366BD">
        <w:rPr>
          <w:rFonts w:hint="eastAsia"/>
        </w:rPr>
        <w:t>年</w:t>
      </w:r>
      <w:r w:rsidRPr="00F366BD">
        <w:t>1</w:t>
      </w:r>
      <w:r w:rsidRPr="00F366BD">
        <w:rPr>
          <w:rFonts w:hint="eastAsia"/>
        </w:rPr>
        <w:t>月修正</w:t>
      </w:r>
      <w:r>
        <w:rPr>
          <w:rFonts w:hAnsi="標楷體" w:hint="eastAsia"/>
          <w:color w:val="C00000"/>
        </w:rPr>
        <w:t>「</w:t>
      </w:r>
      <w:r w:rsidRPr="00F366BD">
        <w:rPr>
          <w:rFonts w:hint="eastAsia"/>
        </w:rPr>
        <w:t>大學法</w:t>
      </w:r>
      <w:r>
        <w:rPr>
          <w:rFonts w:hAnsi="標楷體" w:hint="eastAsia"/>
          <w:color w:val="C00000"/>
        </w:rPr>
        <w:t>」</w:t>
      </w:r>
      <w:r w:rsidRPr="00F366BD">
        <w:rPr>
          <w:rFonts w:hint="eastAsia"/>
        </w:rPr>
        <w:t>第</w:t>
      </w:r>
      <w:r w:rsidRPr="00F366BD">
        <w:t>7</w:t>
      </w:r>
      <w:r w:rsidRPr="00F366BD">
        <w:rPr>
          <w:rFonts w:hint="eastAsia"/>
        </w:rPr>
        <w:t>條，規定教育部得主導推動國立大學合併之依據。</w:t>
      </w:r>
    </w:p>
  </w:footnote>
  <w:footnote w:id="6">
    <w:p w:rsidR="0001697A" w:rsidRPr="00C651D1" w:rsidRDefault="0001697A" w:rsidP="008F1E5F">
      <w:pPr>
        <w:pStyle w:val="aff0"/>
        <w:ind w:left="222" w:hangingChars="101" w:hanging="222"/>
      </w:pPr>
      <w:r w:rsidRPr="00C651D1">
        <w:rPr>
          <w:rStyle w:val="aff2"/>
        </w:rPr>
        <w:footnoteRef/>
      </w:r>
      <w:r w:rsidRPr="00C651D1">
        <w:t xml:space="preserve"> </w:t>
      </w:r>
      <w:r w:rsidRPr="00C651D1">
        <w:rPr>
          <w:rFonts w:hAnsi="標楷體" w:hint="eastAsia"/>
        </w:rPr>
        <w:t>「私立學校法」第</w:t>
      </w:r>
      <w:r w:rsidRPr="00C651D1">
        <w:rPr>
          <w:rFonts w:hAnsi="標楷體"/>
        </w:rPr>
        <w:t>4條第1</w:t>
      </w:r>
      <w:r>
        <w:rPr>
          <w:rFonts w:hAnsi="標楷體"/>
        </w:rPr>
        <w:t>項規定，</w:t>
      </w:r>
      <w:r w:rsidRPr="00C651D1">
        <w:rPr>
          <w:rFonts w:hAnsi="標楷體"/>
        </w:rPr>
        <w:t>「法人或學校主管機關為審議學校法人及所設私立學校之設立、改制、合併、停辦、解散及其他重大事項，應</w:t>
      </w:r>
      <w:proofErr w:type="gramStart"/>
      <w:r w:rsidRPr="00C651D1">
        <w:rPr>
          <w:rFonts w:hAnsi="標楷體" w:hint="eastAsia"/>
        </w:rPr>
        <w:t>遴</w:t>
      </w:r>
      <w:proofErr w:type="gramEnd"/>
      <w:r w:rsidRPr="00C651D1">
        <w:rPr>
          <w:rFonts w:hAnsi="標楷體" w:hint="eastAsia"/>
        </w:rPr>
        <w:t>聘學者專家、社會人士、私立學校教師代表、學校法人代表及有關機關代表</w:t>
      </w:r>
      <w:r w:rsidRPr="00C651D1">
        <w:rPr>
          <w:rFonts w:hAnsi="標楷體"/>
        </w:rPr>
        <w:t>15人至25人組成</w:t>
      </w:r>
      <w:r w:rsidRPr="00C651D1">
        <w:rPr>
          <w:rFonts w:hint="eastAsia"/>
        </w:rPr>
        <w:t>『</w:t>
      </w:r>
      <w:r w:rsidRPr="00C651D1">
        <w:rPr>
          <w:rFonts w:hAnsi="標楷體"/>
        </w:rPr>
        <w:t>私立學校諮詢會</w:t>
      </w:r>
      <w:r w:rsidRPr="00C651D1">
        <w:rPr>
          <w:rFonts w:hint="eastAsia"/>
        </w:rPr>
        <w:t>』</w:t>
      </w:r>
      <w:r w:rsidRPr="00C651D1">
        <w:rPr>
          <w:rFonts w:hAnsi="標楷體"/>
        </w:rPr>
        <w:t>，提供諮詢意見，其中私立學校教師代表及學校法人代表合計不得少於全體委員總數</w:t>
      </w:r>
      <w:r>
        <w:rPr>
          <w:rFonts w:hAnsi="標楷體" w:hint="eastAsia"/>
          <w:color w:val="C00000"/>
        </w:rPr>
        <w:t>的</w:t>
      </w:r>
      <w:r w:rsidRPr="00C651D1">
        <w:rPr>
          <w:rFonts w:hAnsi="標楷體"/>
        </w:rPr>
        <w:t>五分之二」。又，其委員之</w:t>
      </w:r>
      <w:proofErr w:type="gramStart"/>
      <w:r w:rsidRPr="00C651D1">
        <w:rPr>
          <w:rFonts w:hAnsi="標楷體" w:hint="eastAsia"/>
        </w:rPr>
        <w:t>遴</w:t>
      </w:r>
      <w:proofErr w:type="gramEnd"/>
      <w:r w:rsidRPr="00C651D1">
        <w:rPr>
          <w:rFonts w:hAnsi="標楷體" w:hint="eastAsia"/>
        </w:rPr>
        <w:t>聘、諮詢會之組織及運作等依教育部「私立學校諮詢會組織及運作辦法」規定行之。</w:t>
      </w:r>
    </w:p>
  </w:footnote>
  <w:footnote w:id="7">
    <w:p w:rsidR="0001697A" w:rsidRDefault="0001697A" w:rsidP="008F1E5F">
      <w:pPr>
        <w:pStyle w:val="aff0"/>
        <w:ind w:left="222" w:hangingChars="101" w:hanging="222"/>
      </w:pPr>
      <w:r w:rsidRPr="00F366BD">
        <w:rPr>
          <w:rStyle w:val="aff2"/>
        </w:rPr>
        <w:footnoteRef/>
      </w:r>
      <w:r w:rsidRPr="00F366BD">
        <w:rPr>
          <w:rFonts w:hint="eastAsia"/>
        </w:rPr>
        <w:t xml:space="preserve"> 教育部統計處</w:t>
      </w:r>
      <w:r w:rsidRPr="00F366BD">
        <w:rPr>
          <w:rFonts w:hAnsi="標楷體" w:hint="eastAsia"/>
        </w:rPr>
        <w:t>，</w:t>
      </w:r>
      <w:r w:rsidRPr="00F366BD">
        <w:rPr>
          <w:rFonts w:hint="eastAsia"/>
        </w:rPr>
        <w:t>應用統計分析：</w:t>
      </w:r>
      <w:r w:rsidRPr="00F366BD">
        <w:rPr>
          <w:rFonts w:hAnsi="Arial" w:hint="eastAsia"/>
          <w:szCs w:val="36"/>
        </w:rPr>
        <w:t>「大專校院新生註冊率概況統計分析」，</w:t>
      </w:r>
      <w:r w:rsidRPr="00F366BD">
        <w:rPr>
          <w:rFonts w:hint="eastAsia"/>
        </w:rPr>
        <w:t>106年3月，取自</w:t>
      </w:r>
      <w:r w:rsidRPr="00F366BD">
        <w:t>http://depart.moe.edu.tw/ED4500/Content_List.aspx?n=DFBD62504E87A</w:t>
      </w:r>
      <w:r w:rsidRPr="00617CDF">
        <w:t>C3F</w:t>
      </w:r>
    </w:p>
  </w:footnote>
  <w:footnote w:id="8">
    <w:p w:rsidR="0001697A" w:rsidRDefault="0001697A" w:rsidP="008F1E5F">
      <w:pPr>
        <w:pStyle w:val="aff0"/>
        <w:ind w:left="222" w:hangingChars="101" w:hanging="222"/>
      </w:pPr>
      <w:r>
        <w:rPr>
          <w:rStyle w:val="aff2"/>
        </w:rPr>
        <w:footnoteRef/>
      </w:r>
      <w:r>
        <w:rPr>
          <w:rFonts w:hint="eastAsia"/>
        </w:rPr>
        <w:t xml:space="preserve"> 教育部統計處</w:t>
      </w:r>
      <w:r>
        <w:rPr>
          <w:rFonts w:hAnsi="標楷體" w:hint="eastAsia"/>
          <w:color w:val="C00000"/>
        </w:rPr>
        <w:t>，</w:t>
      </w:r>
      <w:r>
        <w:rPr>
          <w:rFonts w:hint="eastAsia"/>
        </w:rPr>
        <w:t>應用統計分析：</w:t>
      </w:r>
      <w:r w:rsidRPr="007C6FED">
        <w:rPr>
          <w:rFonts w:hint="eastAsia"/>
        </w:rPr>
        <w:t>「</w:t>
      </w:r>
      <w:r>
        <w:rPr>
          <w:rFonts w:hint="eastAsia"/>
        </w:rPr>
        <w:t>104學年</w:t>
      </w:r>
      <w:r w:rsidRPr="007C6FED">
        <w:rPr>
          <w:rFonts w:hint="eastAsia"/>
        </w:rPr>
        <w:t>大專校院新生註冊率</w:t>
      </w:r>
      <w:r>
        <w:rPr>
          <w:rFonts w:hint="eastAsia"/>
        </w:rPr>
        <w:t>變動</w:t>
      </w:r>
      <w:r w:rsidRPr="007C6FED">
        <w:rPr>
          <w:rFonts w:hint="eastAsia"/>
        </w:rPr>
        <w:t>分析」</w:t>
      </w:r>
      <w:r w:rsidRPr="006B3FD4">
        <w:rPr>
          <w:rFonts w:hint="eastAsia"/>
          <w:color w:val="E36C0A" w:themeColor="accent6" w:themeShade="BF"/>
        </w:rPr>
        <w:t>，</w:t>
      </w:r>
      <w:r>
        <w:rPr>
          <w:rFonts w:hint="eastAsia"/>
        </w:rPr>
        <w:t>106年3月，取自</w:t>
      </w:r>
      <w:r w:rsidRPr="00ED5D88">
        <w:t>http://www.edu.tw/pa</w:t>
      </w:r>
      <w:r w:rsidRPr="00B75B8E">
        <w:rPr>
          <w:sz w:val="18"/>
          <w:szCs w:val="18"/>
        </w:rPr>
        <w:t>ges/detail.aspx?Node=4149&amp;Page=22050&amp;Index=9&amp;WID=31d75a44-efff-4c44-a075-15a9eb7aecdf</w:t>
      </w:r>
    </w:p>
  </w:footnote>
  <w:footnote w:id="9">
    <w:p w:rsidR="0001697A" w:rsidRPr="005F1FBE" w:rsidRDefault="0001697A" w:rsidP="008F1E5F">
      <w:pPr>
        <w:pStyle w:val="aff0"/>
        <w:ind w:left="222" w:hangingChars="101" w:hanging="222"/>
      </w:pPr>
      <w:r>
        <w:rPr>
          <w:rStyle w:val="aff2"/>
        </w:rPr>
        <w:footnoteRef/>
      </w:r>
      <w:r>
        <w:t xml:space="preserve"> </w:t>
      </w:r>
      <w:r>
        <w:rPr>
          <w:rFonts w:hint="eastAsia"/>
        </w:rPr>
        <w:t>「少子女化衝擊大專校院</w:t>
      </w:r>
      <w:proofErr w:type="gramStart"/>
      <w:r>
        <w:rPr>
          <w:rFonts w:hint="eastAsia"/>
        </w:rPr>
        <w:t>15年恐少41萬</w:t>
      </w:r>
      <w:proofErr w:type="gramEnd"/>
      <w:r>
        <w:rPr>
          <w:rFonts w:hint="eastAsia"/>
        </w:rPr>
        <w:t>人」</w:t>
      </w:r>
      <w:r>
        <w:rPr>
          <w:rFonts w:hint="eastAsia"/>
          <w:color w:val="C00000"/>
        </w:rPr>
        <w:t>，</w:t>
      </w:r>
      <w:r w:rsidRPr="006C1B81">
        <w:rPr>
          <w:rFonts w:hint="eastAsia"/>
          <w:b/>
          <w:i/>
        </w:rPr>
        <w:t>中央社</w:t>
      </w:r>
      <w:r>
        <w:rPr>
          <w:rFonts w:hint="eastAsia"/>
          <w:color w:val="C00000"/>
        </w:rPr>
        <w:t>，</w:t>
      </w:r>
      <w:r>
        <w:rPr>
          <w:rFonts w:hint="eastAsia"/>
        </w:rPr>
        <w:t>106年3月29日報導。</w:t>
      </w:r>
    </w:p>
  </w:footnote>
  <w:footnote w:id="10">
    <w:p w:rsidR="0001697A" w:rsidRPr="00DF3930" w:rsidRDefault="0001697A" w:rsidP="008F1E5F">
      <w:pPr>
        <w:pStyle w:val="aff0"/>
        <w:ind w:left="222" w:hangingChars="101" w:hanging="222"/>
      </w:pPr>
      <w:r>
        <w:rPr>
          <w:rStyle w:val="aff2"/>
        </w:rPr>
        <w:footnoteRef/>
      </w:r>
      <w:r>
        <w:rPr>
          <w:rFonts w:hint="eastAsia"/>
        </w:rPr>
        <w:t xml:space="preserve"> </w:t>
      </w:r>
      <w:r w:rsidRPr="00DF3930">
        <w:rPr>
          <w:rFonts w:hint="eastAsia"/>
        </w:rPr>
        <w:t>106年3月</w:t>
      </w:r>
      <w:r>
        <w:rPr>
          <w:rFonts w:hint="eastAsia"/>
        </w:rPr>
        <w:t>，</w:t>
      </w:r>
      <w:r w:rsidRPr="00DF3930">
        <w:rPr>
          <w:rFonts w:hint="eastAsia"/>
        </w:rPr>
        <w:t>取自「</w:t>
      </w:r>
      <w:hyperlink r:id="rId1" w:history="1">
        <w:r w:rsidRPr="00DF3930">
          <w:t>http://www.ndc.gov.tw/Content_List.aspx?n=507E4787819DDCE6</w:t>
        </w:r>
      </w:hyperlink>
      <w:r w:rsidRPr="00DF3930">
        <w:rPr>
          <w:rFonts w:hint="eastAsia"/>
        </w:rPr>
        <w:t>」</w:t>
      </w:r>
    </w:p>
  </w:footnote>
  <w:footnote w:id="11">
    <w:p w:rsidR="0001697A" w:rsidRDefault="0001697A" w:rsidP="008F1E5F">
      <w:pPr>
        <w:pStyle w:val="aff0"/>
        <w:ind w:left="222" w:hangingChars="101" w:hanging="222"/>
      </w:pPr>
      <w:r>
        <w:rPr>
          <w:rStyle w:val="aff2"/>
        </w:rPr>
        <w:footnoteRef/>
      </w:r>
      <w:r>
        <w:t xml:space="preserve"> </w:t>
      </w:r>
      <w:r>
        <w:rPr>
          <w:rFonts w:hint="eastAsia"/>
        </w:rPr>
        <w:t>教育部查復資料。</w:t>
      </w:r>
    </w:p>
  </w:footnote>
  <w:footnote w:id="12">
    <w:p w:rsidR="0001697A" w:rsidRDefault="0001697A" w:rsidP="008F1E5F">
      <w:pPr>
        <w:pStyle w:val="aff0"/>
        <w:ind w:left="222" w:hangingChars="101" w:hanging="222"/>
      </w:pPr>
      <w:r>
        <w:rPr>
          <w:rStyle w:val="aff2"/>
        </w:rPr>
        <w:footnoteRef/>
      </w:r>
      <w:r>
        <w:rPr>
          <w:rFonts w:hint="eastAsia"/>
        </w:rPr>
        <w:t xml:space="preserve"> </w:t>
      </w:r>
      <w:proofErr w:type="gramStart"/>
      <w:r>
        <w:rPr>
          <w:rFonts w:hint="eastAsia"/>
        </w:rPr>
        <w:t>教育部部史網站</w:t>
      </w:r>
      <w:proofErr w:type="gramEnd"/>
      <w:r>
        <w:rPr>
          <w:rFonts w:hint="eastAsia"/>
          <w:color w:val="C00000"/>
        </w:rPr>
        <w:t>，</w:t>
      </w:r>
      <w:r>
        <w:rPr>
          <w:rFonts w:hint="eastAsia"/>
        </w:rPr>
        <w:t>106年3月，取自</w:t>
      </w:r>
      <w:hyperlink r:id="rId2" w:history="1">
        <w:r w:rsidRPr="00A97829">
          <w:rPr>
            <w:rStyle w:val="af1"/>
            <w:color w:val="000000"/>
            <w:u w:val="none"/>
          </w:rPr>
          <w:t>http://history.moe.gov.tw/important_list.asp</w:t>
        </w:r>
      </w:hyperlink>
    </w:p>
  </w:footnote>
  <w:footnote w:id="13">
    <w:p w:rsidR="0001697A" w:rsidRPr="00223718" w:rsidRDefault="0001697A" w:rsidP="008F1E5F">
      <w:pPr>
        <w:pStyle w:val="aff0"/>
        <w:ind w:left="222" w:hangingChars="101" w:hanging="222"/>
      </w:pPr>
      <w:r>
        <w:rPr>
          <w:rStyle w:val="aff2"/>
        </w:rPr>
        <w:footnoteRef/>
      </w:r>
      <w:r>
        <w:rPr>
          <w:rFonts w:hint="eastAsia"/>
        </w:rPr>
        <w:t xml:space="preserve"> 教育部(</w:t>
      </w:r>
      <w:r w:rsidRPr="00F366BD">
        <w:rPr>
          <w:rFonts w:hint="eastAsia"/>
        </w:rPr>
        <w:t>民102)，</w:t>
      </w:r>
      <w:r w:rsidRPr="00F366BD">
        <w:rPr>
          <w:rFonts w:hint="eastAsia"/>
          <w:b/>
          <w:i/>
        </w:rPr>
        <w:t>人才培育白皮書</w:t>
      </w:r>
      <w:r w:rsidRPr="00F366BD">
        <w:rPr>
          <w:rFonts w:hint="eastAsia"/>
        </w:rPr>
        <w:t>。106年3月，取自</w:t>
      </w:r>
      <w:hyperlink r:id="rId3" w:history="1">
        <w:r w:rsidRPr="00F366BD">
          <w:t>http://ed.arte.gov.tw/ch/Book/cont</w:t>
        </w:r>
      </w:hyperlink>
      <w:r w:rsidRPr="00F366BD">
        <w:t>ent_1.aspx?AE_SNI</w:t>
      </w:r>
      <w:r w:rsidRPr="00223718">
        <w:t>D=3281</w:t>
      </w:r>
    </w:p>
  </w:footnote>
  <w:footnote w:id="14">
    <w:p w:rsidR="0001697A" w:rsidRPr="00865F4F" w:rsidRDefault="0001697A" w:rsidP="008F1E5F">
      <w:pPr>
        <w:pStyle w:val="aff0"/>
        <w:ind w:left="222" w:hangingChars="101" w:hanging="222"/>
      </w:pPr>
      <w:r>
        <w:rPr>
          <w:rStyle w:val="aff2"/>
        </w:rPr>
        <w:footnoteRef/>
      </w:r>
      <w:r>
        <w:rPr>
          <w:rFonts w:hint="eastAsia"/>
        </w:rPr>
        <w:t xml:space="preserve"> 調查委員：仉桂美</w:t>
      </w:r>
      <w:r w:rsidRPr="00EB783C">
        <w:rPr>
          <w:rFonts w:hint="eastAsia"/>
          <w:color w:val="000000" w:themeColor="text1"/>
        </w:rPr>
        <w:t>委員</w:t>
      </w:r>
      <w:r>
        <w:rPr>
          <w:rFonts w:ascii="新細明體" w:eastAsia="新細明體" w:hAnsi="新細明體" w:hint="eastAsia"/>
          <w:color w:val="000000" w:themeColor="text1"/>
        </w:rPr>
        <w:t>、</w:t>
      </w:r>
      <w:r>
        <w:rPr>
          <w:rFonts w:hint="eastAsia"/>
        </w:rPr>
        <w:t>李月德</w:t>
      </w:r>
      <w:r w:rsidRPr="00EB783C">
        <w:rPr>
          <w:rFonts w:hint="eastAsia"/>
          <w:color w:val="000000" w:themeColor="text1"/>
        </w:rPr>
        <w:t>委員</w:t>
      </w:r>
      <w:r>
        <w:rPr>
          <w:rFonts w:hint="eastAsia"/>
        </w:rPr>
        <w:t>。</w:t>
      </w:r>
      <w:r w:rsidRPr="00B64D4C">
        <w:rPr>
          <w:rFonts w:hAnsi="標楷體"/>
        </w:rPr>
        <w:fldChar w:fldCharType="begin"/>
      </w:r>
      <w:r w:rsidRPr="00B64D4C">
        <w:rPr>
          <w:rFonts w:hAnsi="標楷體"/>
        </w:rPr>
        <w:instrText xml:space="preserve"> MERGEFIELD YY </w:instrText>
      </w:r>
      <w:r w:rsidRPr="00B64D4C">
        <w:rPr>
          <w:rFonts w:hAnsi="標楷體"/>
        </w:rPr>
        <w:fldChar w:fldCharType="separate"/>
      </w:r>
      <w:r w:rsidRPr="00B64D4C">
        <w:rPr>
          <w:rFonts w:hAnsi="標楷體" w:hint="eastAsia"/>
          <w:noProof/>
        </w:rPr>
        <w:t>103</w:t>
      </w:r>
      <w:r w:rsidRPr="00B64D4C">
        <w:rPr>
          <w:rFonts w:hAnsi="標楷體"/>
        </w:rPr>
        <w:fldChar w:fldCharType="end"/>
      </w:r>
      <w:r w:rsidRPr="00B64D4C">
        <w:rPr>
          <w:rFonts w:hAnsi="標楷體" w:hint="eastAsia"/>
        </w:rPr>
        <w:t>年</w:t>
      </w:r>
      <w:r w:rsidRPr="00B64D4C">
        <w:rPr>
          <w:rFonts w:hAnsi="標楷體"/>
        </w:rPr>
        <w:fldChar w:fldCharType="begin"/>
      </w:r>
      <w:r w:rsidRPr="00B64D4C">
        <w:rPr>
          <w:rFonts w:hAnsi="標楷體"/>
        </w:rPr>
        <w:instrText xml:space="preserve"> MERGEFIELD MM </w:instrText>
      </w:r>
      <w:r w:rsidRPr="00B64D4C">
        <w:rPr>
          <w:rFonts w:hAnsi="標楷體"/>
        </w:rPr>
        <w:fldChar w:fldCharType="separate"/>
      </w:r>
      <w:r w:rsidRPr="00B64D4C">
        <w:rPr>
          <w:rFonts w:hAnsi="標楷體" w:hint="eastAsia"/>
          <w:noProof/>
        </w:rPr>
        <w:t>10</w:t>
      </w:r>
      <w:r w:rsidRPr="00B64D4C">
        <w:rPr>
          <w:rFonts w:hAnsi="標楷體"/>
        </w:rPr>
        <w:fldChar w:fldCharType="end"/>
      </w:r>
      <w:r w:rsidRPr="00B64D4C">
        <w:rPr>
          <w:rFonts w:hAnsi="標楷體" w:hint="eastAsia"/>
        </w:rPr>
        <w:t>月</w:t>
      </w:r>
      <w:r w:rsidRPr="00B64D4C">
        <w:rPr>
          <w:rFonts w:hAnsi="標楷體"/>
        </w:rPr>
        <w:fldChar w:fldCharType="begin"/>
      </w:r>
      <w:r w:rsidRPr="00B64D4C">
        <w:rPr>
          <w:rFonts w:hAnsi="標楷體"/>
        </w:rPr>
        <w:instrText xml:space="preserve"> MERGEFIELD DD </w:instrText>
      </w:r>
      <w:r w:rsidRPr="00B64D4C">
        <w:rPr>
          <w:rFonts w:hAnsi="標楷體"/>
        </w:rPr>
        <w:fldChar w:fldCharType="separate"/>
      </w:r>
      <w:r w:rsidRPr="00B64D4C">
        <w:rPr>
          <w:rFonts w:hAnsi="標楷體" w:hint="eastAsia"/>
          <w:noProof/>
        </w:rPr>
        <w:t>22</w:t>
      </w:r>
      <w:r w:rsidRPr="00B64D4C">
        <w:rPr>
          <w:rFonts w:hAnsi="標楷體"/>
        </w:rPr>
        <w:fldChar w:fldCharType="end"/>
      </w:r>
      <w:proofErr w:type="gramStart"/>
      <w:r w:rsidRPr="00B64D4C">
        <w:rPr>
          <w:rFonts w:hAnsi="標楷體" w:hint="eastAsia"/>
        </w:rPr>
        <w:t>日院台調壹字</w:t>
      </w:r>
      <w:proofErr w:type="gramEnd"/>
      <w:r w:rsidRPr="00B64D4C">
        <w:rPr>
          <w:rFonts w:hAnsi="標楷體" w:hint="eastAsia"/>
        </w:rPr>
        <w:t>第</w:t>
      </w:r>
      <w:r w:rsidRPr="00B64D4C">
        <w:rPr>
          <w:rFonts w:hAnsi="標楷體"/>
        </w:rPr>
        <w:fldChar w:fldCharType="begin"/>
      </w:r>
      <w:r w:rsidRPr="00B64D4C">
        <w:rPr>
          <w:rFonts w:hAnsi="標楷體"/>
        </w:rPr>
        <w:instrText xml:space="preserve"> MERGEFIELD </w:instrText>
      </w:r>
      <w:r w:rsidRPr="00B64D4C">
        <w:rPr>
          <w:rFonts w:hAnsi="標楷體" w:hint="eastAsia"/>
        </w:rPr>
        <w:instrText>派查文號</w:instrText>
      </w:r>
      <w:r w:rsidRPr="00B64D4C">
        <w:rPr>
          <w:rFonts w:hAnsi="標楷體"/>
        </w:rPr>
        <w:instrText xml:space="preserve"> </w:instrText>
      </w:r>
      <w:r w:rsidRPr="00B64D4C">
        <w:rPr>
          <w:rFonts w:hAnsi="標楷體"/>
        </w:rPr>
        <w:fldChar w:fldCharType="separate"/>
      </w:r>
      <w:r w:rsidRPr="00B64D4C">
        <w:rPr>
          <w:rFonts w:hAnsi="標楷體" w:hint="eastAsia"/>
          <w:noProof/>
        </w:rPr>
        <w:t>1030800184</w:t>
      </w:r>
      <w:r w:rsidRPr="00B64D4C">
        <w:rPr>
          <w:rFonts w:hAnsi="標楷體"/>
        </w:rPr>
        <w:fldChar w:fldCharType="end"/>
      </w:r>
      <w:r w:rsidRPr="00B64D4C">
        <w:rPr>
          <w:rFonts w:hAnsi="標楷體" w:hint="eastAsia"/>
        </w:rPr>
        <w:t>號函</w:t>
      </w:r>
      <w:r>
        <w:rPr>
          <w:rFonts w:hint="eastAsia"/>
        </w:rPr>
        <w:t>。</w:t>
      </w:r>
    </w:p>
  </w:footnote>
  <w:footnote w:id="15">
    <w:p w:rsidR="0001697A" w:rsidRPr="00865F4F" w:rsidRDefault="0001697A" w:rsidP="008F1E5F">
      <w:pPr>
        <w:pStyle w:val="aff0"/>
        <w:ind w:left="222" w:hangingChars="101" w:hanging="222"/>
      </w:pPr>
      <w:r>
        <w:rPr>
          <w:rStyle w:val="aff2"/>
        </w:rPr>
        <w:footnoteRef/>
      </w:r>
      <w:r>
        <w:rPr>
          <w:rFonts w:hint="eastAsia"/>
        </w:rPr>
        <w:t xml:space="preserve"> 調查委員：陳小紅</w:t>
      </w:r>
      <w:r w:rsidRPr="00EB783C">
        <w:rPr>
          <w:rFonts w:hint="eastAsia"/>
          <w:color w:val="000000" w:themeColor="text1"/>
        </w:rPr>
        <w:t>委員、包宗和委員、</w:t>
      </w:r>
      <w:r>
        <w:rPr>
          <w:rFonts w:hint="eastAsia"/>
          <w:color w:val="000000" w:themeColor="text1"/>
        </w:rPr>
        <w:t>章</w:t>
      </w:r>
      <w:r w:rsidRPr="00EB783C">
        <w:rPr>
          <w:rFonts w:hint="eastAsia"/>
          <w:color w:val="000000" w:themeColor="text1"/>
        </w:rPr>
        <w:t>仁香委員</w:t>
      </w:r>
      <w:r>
        <w:rPr>
          <w:rFonts w:hint="eastAsia"/>
        </w:rPr>
        <w:t>。</w:t>
      </w:r>
      <w:r w:rsidRPr="00CD4607">
        <w:rPr>
          <w:rFonts w:hint="eastAsia"/>
        </w:rPr>
        <w:t>104年10月26日院</w:t>
      </w:r>
      <w:proofErr w:type="gramStart"/>
      <w:r w:rsidRPr="00CD4607">
        <w:rPr>
          <w:rFonts w:hint="eastAsia"/>
        </w:rPr>
        <w:t>台調壹字</w:t>
      </w:r>
      <w:proofErr w:type="gramEnd"/>
      <w:r w:rsidRPr="00CD4607">
        <w:rPr>
          <w:rFonts w:hint="eastAsia"/>
        </w:rPr>
        <w:t>第1040800200號函</w:t>
      </w:r>
      <w:r>
        <w:rPr>
          <w:rFonts w:hint="eastAsia"/>
        </w:rPr>
        <w:t>。</w:t>
      </w:r>
    </w:p>
  </w:footnote>
  <w:footnote w:id="16">
    <w:p w:rsidR="0001697A" w:rsidRDefault="0001697A" w:rsidP="008F1E5F">
      <w:pPr>
        <w:pStyle w:val="aff0"/>
        <w:ind w:left="222" w:hangingChars="101" w:hanging="222"/>
      </w:pPr>
      <w:r>
        <w:rPr>
          <w:rStyle w:val="aff2"/>
        </w:rPr>
        <w:footnoteRef/>
      </w:r>
      <w:r>
        <w:rPr>
          <w:rFonts w:hint="eastAsia"/>
        </w:rPr>
        <w:t xml:space="preserve"> 教育部技術及職業教育司新聞稿(民103)。</w:t>
      </w:r>
      <w:r w:rsidRPr="005723E0">
        <w:rPr>
          <w:rFonts w:hint="eastAsia"/>
          <w:b/>
        </w:rPr>
        <w:t>立法院三讀通過專科學校法修正草案</w:t>
      </w:r>
      <w:r>
        <w:rPr>
          <w:rFonts w:hint="eastAsia"/>
        </w:rPr>
        <w:t>。取自</w:t>
      </w:r>
      <w:r w:rsidRPr="00BE0CC4">
        <w:t>http://depart.moe.edu.tw/ED2300/News_Content.aspx?n=5D06F8190A65710E&amp;sms=0DB78B5F69DB38E4&amp;s=7855945DC2072073</w:t>
      </w:r>
      <w:r>
        <w:rPr>
          <w:rFonts w:hint="eastAsia"/>
        </w:rPr>
        <w:t>。</w:t>
      </w:r>
    </w:p>
  </w:footnote>
  <w:footnote w:id="17">
    <w:p w:rsidR="0001697A" w:rsidRDefault="0001697A" w:rsidP="008F1E5F">
      <w:pPr>
        <w:pStyle w:val="aff0"/>
        <w:ind w:left="222" w:hangingChars="101" w:hanging="222"/>
      </w:pPr>
      <w:r>
        <w:rPr>
          <w:rStyle w:val="aff2"/>
        </w:rPr>
        <w:footnoteRef/>
      </w:r>
      <w:r>
        <w:t xml:space="preserve"> 106</w:t>
      </w:r>
      <w:r>
        <w:rPr>
          <w:rFonts w:hint="eastAsia"/>
        </w:rPr>
        <w:t>年</w:t>
      </w:r>
      <w:r>
        <w:t>2</w:t>
      </w:r>
      <w:r>
        <w:rPr>
          <w:rFonts w:hint="eastAsia"/>
        </w:rPr>
        <w:t>月</w:t>
      </w:r>
      <w:r>
        <w:t>2</w:t>
      </w:r>
      <w:r>
        <w:rPr>
          <w:rFonts w:hint="eastAsia"/>
        </w:rPr>
        <w:t>日行政院第</w:t>
      </w:r>
      <w:r>
        <w:t>3534</w:t>
      </w:r>
      <w:r>
        <w:rPr>
          <w:rFonts w:hint="eastAsia"/>
        </w:rPr>
        <w:t>次會議通過。</w:t>
      </w:r>
    </w:p>
  </w:footnote>
  <w:footnote w:id="18">
    <w:p w:rsidR="0001697A" w:rsidRDefault="0001697A" w:rsidP="008F1E5F">
      <w:pPr>
        <w:pStyle w:val="aff0"/>
        <w:ind w:left="222" w:hangingChars="101" w:hanging="222"/>
      </w:pPr>
      <w:r>
        <w:rPr>
          <w:rStyle w:val="aff2"/>
        </w:rPr>
        <w:footnoteRef/>
      </w:r>
      <w:r>
        <w:rPr>
          <w:rFonts w:hint="eastAsia"/>
        </w:rPr>
        <w:t xml:space="preserve"> 調查委員：陳小紅</w:t>
      </w:r>
      <w:r w:rsidRPr="00EB783C">
        <w:rPr>
          <w:rFonts w:hint="eastAsia"/>
          <w:color w:val="000000" w:themeColor="text1"/>
        </w:rPr>
        <w:t>委員、包宗和委員、</w:t>
      </w:r>
      <w:r>
        <w:rPr>
          <w:rFonts w:hint="eastAsia"/>
          <w:color w:val="000000" w:themeColor="text1"/>
        </w:rPr>
        <w:t>章</w:t>
      </w:r>
      <w:r w:rsidRPr="00EB783C">
        <w:rPr>
          <w:rFonts w:hint="eastAsia"/>
          <w:color w:val="000000" w:themeColor="text1"/>
        </w:rPr>
        <w:t>仁香委員</w:t>
      </w:r>
      <w:r>
        <w:rPr>
          <w:rFonts w:hint="eastAsia"/>
        </w:rPr>
        <w:t>。</w:t>
      </w:r>
      <w:r w:rsidRPr="00CD4607">
        <w:rPr>
          <w:rFonts w:hint="eastAsia"/>
        </w:rPr>
        <w:t>104年10月26日院</w:t>
      </w:r>
      <w:proofErr w:type="gramStart"/>
      <w:r w:rsidRPr="00CD4607">
        <w:rPr>
          <w:rFonts w:hint="eastAsia"/>
        </w:rPr>
        <w:t>台調壹字</w:t>
      </w:r>
      <w:proofErr w:type="gramEnd"/>
      <w:r w:rsidRPr="00CD4607">
        <w:rPr>
          <w:rFonts w:hint="eastAsia"/>
        </w:rPr>
        <w:t>第1040800200號函</w:t>
      </w:r>
      <w:r>
        <w:rPr>
          <w:rFonts w:hint="eastAsia"/>
        </w:rPr>
        <w:t>。</w:t>
      </w:r>
      <w:r w:rsidRPr="008F1E5F">
        <w:rPr>
          <w:rFonts w:hint="eastAsia"/>
        </w:rPr>
        <w:t>同</w:t>
      </w:r>
      <w:proofErr w:type="gramStart"/>
      <w:r w:rsidRPr="008F1E5F">
        <w:rPr>
          <w:rFonts w:hint="eastAsia"/>
        </w:rPr>
        <w:t>註</w:t>
      </w:r>
      <w:proofErr w:type="gramEnd"/>
      <w:r w:rsidRPr="008F1E5F">
        <w:rPr>
          <w:rFonts w:hint="eastAsia"/>
        </w:rPr>
        <w:t>3</w:t>
      </w:r>
      <w:r>
        <w:rPr>
          <w:rFonts w:hint="eastAsia"/>
        </w:rPr>
        <w:t>1</w:t>
      </w:r>
      <w:r w:rsidRPr="008F1E5F">
        <w:rPr>
          <w:rFonts w:hint="eastAsia"/>
        </w:rPr>
        <w:t>。</w:t>
      </w:r>
    </w:p>
  </w:footnote>
  <w:footnote w:id="19">
    <w:p w:rsidR="0001697A" w:rsidRDefault="0001697A" w:rsidP="008F1E5F">
      <w:pPr>
        <w:pStyle w:val="aff0"/>
        <w:ind w:left="222" w:hangingChars="101" w:hanging="222"/>
      </w:pPr>
      <w:r>
        <w:rPr>
          <w:rStyle w:val="aff2"/>
        </w:rPr>
        <w:footnoteRef/>
      </w:r>
      <w:r>
        <w:t xml:space="preserve"> </w:t>
      </w:r>
      <w:proofErr w:type="gramStart"/>
      <w:r>
        <w:rPr>
          <w:rFonts w:hint="eastAsia"/>
        </w:rPr>
        <w:t>蓋浙生</w:t>
      </w:r>
      <w:proofErr w:type="gramEnd"/>
      <w:r>
        <w:rPr>
          <w:rFonts w:hint="eastAsia"/>
        </w:rPr>
        <w:t>(民93)。</w:t>
      </w:r>
      <w:r w:rsidRPr="001600FF">
        <w:rPr>
          <w:rFonts w:hint="eastAsia"/>
        </w:rPr>
        <w:t>臺灣高等教育市場化政策導向之檢視</w:t>
      </w:r>
      <w:r>
        <w:rPr>
          <w:rFonts w:hint="eastAsia"/>
        </w:rPr>
        <w:t>。</w:t>
      </w:r>
      <w:r w:rsidRPr="009B7E29">
        <w:rPr>
          <w:rFonts w:hint="eastAsia"/>
          <w:b/>
          <w:i/>
        </w:rPr>
        <w:t>教育研究集刊</w:t>
      </w:r>
      <w:r w:rsidRPr="00FA4271">
        <w:rPr>
          <w:rFonts w:hint="eastAsia"/>
          <w:i/>
        </w:rPr>
        <w:t>，50</w:t>
      </w:r>
      <w:r>
        <w:rPr>
          <w:rFonts w:hint="eastAsia"/>
        </w:rPr>
        <w:t>(2)。頁29-51。</w:t>
      </w:r>
    </w:p>
  </w:footnote>
  <w:footnote w:id="20">
    <w:p w:rsidR="0001697A" w:rsidRDefault="0001697A" w:rsidP="008F1E5F">
      <w:pPr>
        <w:pStyle w:val="aff0"/>
        <w:ind w:left="222" w:hangingChars="101" w:hanging="222"/>
      </w:pPr>
      <w:r>
        <w:rPr>
          <w:rStyle w:val="aff2"/>
        </w:rPr>
        <w:footnoteRef/>
      </w:r>
      <w:r>
        <w:t xml:space="preserve"> </w:t>
      </w:r>
      <w:r>
        <w:rPr>
          <w:rFonts w:hint="eastAsia"/>
        </w:rPr>
        <w:t>邱天助(民102)。</w:t>
      </w:r>
      <w:r w:rsidRPr="00F15ABB">
        <w:rPr>
          <w:rFonts w:hint="eastAsia"/>
          <w:b/>
        </w:rPr>
        <w:t>大學教育技術化的隱憂</w:t>
      </w:r>
      <w:r>
        <w:rPr>
          <w:rFonts w:hint="eastAsia"/>
        </w:rPr>
        <w:t>。106年取自</w:t>
      </w:r>
      <w:r w:rsidRPr="001E3756">
        <w:t>http://scimonth.blogspot.tw/2013/04/blog-post_1.html</w:t>
      </w:r>
    </w:p>
  </w:footnote>
  <w:footnote w:id="21">
    <w:p w:rsidR="0001697A" w:rsidRPr="008439BD" w:rsidRDefault="0001697A" w:rsidP="008F1E5F">
      <w:pPr>
        <w:pStyle w:val="aff0"/>
        <w:ind w:left="222" w:hangingChars="101" w:hanging="222"/>
      </w:pPr>
      <w:r w:rsidRPr="0080534D">
        <w:rPr>
          <w:rStyle w:val="aff2"/>
          <w:color w:val="000000" w:themeColor="text1"/>
        </w:rPr>
        <w:footnoteRef/>
      </w:r>
      <w:r w:rsidRPr="0080534D">
        <w:rPr>
          <w:color w:val="000000" w:themeColor="text1"/>
        </w:rPr>
        <w:t xml:space="preserve"> </w:t>
      </w:r>
      <w:r w:rsidRPr="0080534D">
        <w:rPr>
          <w:rFonts w:hint="eastAsia"/>
          <w:color w:val="000000" w:themeColor="text1"/>
        </w:rPr>
        <w:t>教育部業配合104年12月30日</w:t>
      </w:r>
      <w:r w:rsidRPr="0080534D">
        <w:rPr>
          <w:rFonts w:hAnsi="標楷體" w:hint="eastAsia"/>
          <w:color w:val="000000" w:themeColor="text1"/>
        </w:rPr>
        <w:t>「</w:t>
      </w:r>
      <w:r w:rsidRPr="0080534D">
        <w:rPr>
          <w:rFonts w:hint="eastAsia"/>
          <w:color w:val="000000" w:themeColor="text1"/>
        </w:rPr>
        <w:t>大學法</w:t>
      </w:r>
      <w:r w:rsidRPr="0080534D">
        <w:rPr>
          <w:rFonts w:hAnsi="標楷體" w:hint="eastAsia"/>
          <w:color w:val="000000" w:themeColor="text1"/>
        </w:rPr>
        <w:t>」</w:t>
      </w:r>
      <w:r w:rsidRPr="0080534D">
        <w:rPr>
          <w:rFonts w:hint="eastAsia"/>
          <w:color w:val="000000" w:themeColor="text1"/>
        </w:rPr>
        <w:t>之修正，於105年11月7日修正</w:t>
      </w:r>
      <w:r w:rsidRPr="0080534D">
        <w:rPr>
          <w:rFonts w:hAnsi="標楷體" w:hint="eastAsia"/>
          <w:color w:val="000000" w:themeColor="text1"/>
        </w:rPr>
        <w:t>「</w:t>
      </w:r>
      <w:r w:rsidRPr="0080534D">
        <w:rPr>
          <w:rFonts w:hint="eastAsia"/>
          <w:color w:val="000000" w:themeColor="text1"/>
        </w:rPr>
        <w:t>大學評鑑辦法</w:t>
      </w:r>
      <w:r w:rsidRPr="0080534D">
        <w:rPr>
          <w:rFonts w:hAnsi="標楷體" w:hint="eastAsia"/>
          <w:color w:val="000000" w:themeColor="text1"/>
        </w:rPr>
        <w:t>」</w:t>
      </w:r>
      <w:r w:rsidRPr="0080534D">
        <w:rPr>
          <w:rFonts w:hint="eastAsia"/>
          <w:color w:val="000000" w:themeColor="text1"/>
        </w:rPr>
        <w:t>第8條為：「受評鑑大學對評鑑結果所列缺失事項，應依規定期限積極改進，並納入校務規劃，作為學校校務發展之參考；對未能改進事項，應提出說明。改進結果列為下次評鑑之項目。」刪除將評鑑結果作為學雜費及經費獎勵補助、增設調整系所及調整招生名額</w:t>
      </w:r>
      <w:proofErr w:type="gramStart"/>
      <w:r w:rsidRPr="0080534D">
        <w:rPr>
          <w:rFonts w:hint="eastAsia"/>
          <w:color w:val="000000" w:themeColor="text1"/>
        </w:rPr>
        <w:t>之參據</w:t>
      </w:r>
      <w:proofErr w:type="gramEnd"/>
      <w:r w:rsidRPr="0080534D">
        <w:rPr>
          <w:rFonts w:hint="eastAsia"/>
          <w:color w:val="000000" w:themeColor="text1"/>
        </w:rPr>
        <w:t>，評鑑結果已與政府經費補助等資源配置之運用脫勾，僅作為學校調整發展之參考。</w:t>
      </w:r>
    </w:p>
  </w:footnote>
  <w:footnote w:id="22">
    <w:p w:rsidR="0001697A" w:rsidRPr="009924CB" w:rsidRDefault="0001697A" w:rsidP="008F1E5F">
      <w:pPr>
        <w:pStyle w:val="aff0"/>
        <w:ind w:left="222" w:hangingChars="101" w:hanging="222"/>
      </w:pPr>
      <w:r>
        <w:rPr>
          <w:rStyle w:val="aff2"/>
        </w:rPr>
        <w:footnoteRef/>
      </w:r>
      <w:r>
        <w:rPr>
          <w:rFonts w:hint="eastAsia"/>
        </w:rPr>
        <w:t xml:space="preserve"> 表列之</w:t>
      </w:r>
      <w:r w:rsidRPr="009924CB">
        <w:t>國立高雄科技大學</w:t>
      </w:r>
      <w:r>
        <w:rPr>
          <w:rFonts w:hint="eastAsia"/>
        </w:rPr>
        <w:t>合併案尚未經行政</w:t>
      </w:r>
      <w:r w:rsidRPr="00F366BD">
        <w:rPr>
          <w:rFonts w:hint="eastAsia"/>
        </w:rPr>
        <w:t>院同意，故目前已完成之國立大學合併案共計6件、臺北市政府所屬大學合併案1件；即，公立大學合併案計有7件。</w:t>
      </w:r>
    </w:p>
  </w:footnote>
  <w:footnote w:id="23">
    <w:p w:rsidR="0001697A" w:rsidRDefault="0001697A" w:rsidP="008F1E5F">
      <w:pPr>
        <w:pStyle w:val="aff0"/>
        <w:ind w:left="222" w:hangingChars="101" w:hanging="222"/>
      </w:pPr>
      <w:r>
        <w:rPr>
          <w:rStyle w:val="aff2"/>
        </w:rPr>
        <w:footnoteRef/>
      </w:r>
      <w:r>
        <w:t xml:space="preserve"> </w:t>
      </w:r>
      <w:r>
        <w:rPr>
          <w:rFonts w:hint="eastAsia"/>
        </w:rPr>
        <w:t>教育部</w:t>
      </w:r>
      <w:proofErr w:type="gramStart"/>
      <w:r>
        <w:rPr>
          <w:rFonts w:hint="eastAsia"/>
        </w:rPr>
        <w:t>臺教技</w:t>
      </w:r>
      <w:proofErr w:type="gramEnd"/>
      <w:r>
        <w:rPr>
          <w:rFonts w:hint="eastAsia"/>
        </w:rPr>
        <w:t>(</w:t>
      </w:r>
      <w:proofErr w:type="gramStart"/>
      <w:r>
        <w:rPr>
          <w:rFonts w:hint="eastAsia"/>
        </w:rPr>
        <w:t>一</w:t>
      </w:r>
      <w:proofErr w:type="gramEnd"/>
      <w:r>
        <w:rPr>
          <w:rFonts w:hint="eastAsia"/>
        </w:rPr>
        <w:t>)字第102013474</w:t>
      </w:r>
      <w:r w:rsidRPr="00F366BD">
        <w:rPr>
          <w:rFonts w:hint="eastAsia"/>
        </w:rPr>
        <w:t>91號函；取材自國立高雄海洋科技大學106年3月22日、國立高雄第一科技大學同年月23日簡</w:t>
      </w:r>
      <w:r>
        <w:rPr>
          <w:rFonts w:hint="eastAsia"/>
        </w:rPr>
        <w:t>報資料。</w:t>
      </w:r>
    </w:p>
  </w:footnote>
  <w:footnote w:id="24">
    <w:p w:rsidR="0001697A" w:rsidRPr="009924CB" w:rsidRDefault="0001697A" w:rsidP="008F1E5F">
      <w:pPr>
        <w:pStyle w:val="aff0"/>
        <w:ind w:left="222" w:hangingChars="101" w:hanging="222"/>
      </w:pPr>
      <w:r>
        <w:rPr>
          <w:rStyle w:val="aff2"/>
        </w:rPr>
        <w:footnoteRef/>
      </w:r>
      <w:r>
        <w:rPr>
          <w:rFonts w:hint="eastAsia"/>
        </w:rPr>
        <w:t xml:space="preserve"> 表列之</w:t>
      </w:r>
      <w:r w:rsidRPr="009924CB">
        <w:t>國立高雄科技大學</w:t>
      </w:r>
      <w:r>
        <w:rPr>
          <w:rFonts w:hint="eastAsia"/>
        </w:rPr>
        <w:t>合併案尚未經行政</w:t>
      </w:r>
      <w:r w:rsidRPr="00F366BD">
        <w:rPr>
          <w:rFonts w:hint="eastAsia"/>
        </w:rPr>
        <w:t>院同意，故目前已完成之國立大學合併案共計6件、臺北市政府所屬大學合併案1件；即，公立大學合併案計有7件。</w:t>
      </w:r>
    </w:p>
  </w:footnote>
  <w:footnote w:id="25">
    <w:p w:rsidR="0001697A" w:rsidRPr="0034676B" w:rsidRDefault="0001697A" w:rsidP="008F1E5F">
      <w:pPr>
        <w:pStyle w:val="aff0"/>
        <w:ind w:left="222" w:hangingChars="101" w:hanging="222"/>
        <w:rPr>
          <w:color w:val="000000" w:themeColor="text1"/>
        </w:rPr>
      </w:pPr>
      <w:r w:rsidRPr="0034676B">
        <w:rPr>
          <w:rStyle w:val="aff2"/>
          <w:color w:val="000000" w:themeColor="text1"/>
        </w:rPr>
        <w:footnoteRef/>
      </w:r>
      <w:r w:rsidRPr="0034676B">
        <w:rPr>
          <w:color w:val="000000" w:themeColor="text1"/>
        </w:rPr>
        <w:t xml:space="preserve"> </w:t>
      </w:r>
      <w:r w:rsidRPr="0034676B">
        <w:rPr>
          <w:rFonts w:hint="eastAsia"/>
          <w:color w:val="000000" w:themeColor="text1"/>
        </w:rPr>
        <w:t>資料來源：教育部統計處網站/統計分析與出版品/分析與研究/應用統計分析/106年應用統計</w:t>
      </w:r>
      <w:r w:rsidRPr="0034676B">
        <w:rPr>
          <w:rFonts w:hint="eastAsia"/>
          <w:color w:val="000000" w:themeColor="text1"/>
          <w:sz w:val="18"/>
          <w:szCs w:val="18"/>
        </w:rPr>
        <w:t>(</w:t>
      </w:r>
      <w:r w:rsidRPr="0034676B">
        <w:rPr>
          <w:color w:val="000000" w:themeColor="text1"/>
          <w:sz w:val="18"/>
          <w:szCs w:val="18"/>
        </w:rPr>
        <w:t>http://depart.moe.edu.tw/ED4500/News.aspx?n=7C4CA1A5C32137DC&amp;sms=1A40B00E4C745211</w:t>
      </w:r>
      <w:r w:rsidRPr="0034676B">
        <w:rPr>
          <w:rFonts w:hint="eastAsia"/>
          <w:color w:val="000000" w:themeColor="text1"/>
          <w:sz w:val="18"/>
          <w:szCs w:val="18"/>
        </w:rPr>
        <w:t>)</w:t>
      </w:r>
    </w:p>
  </w:footnote>
  <w:footnote w:id="26">
    <w:p w:rsidR="0001697A" w:rsidRPr="008D0118" w:rsidRDefault="0001697A" w:rsidP="008F1E5F">
      <w:pPr>
        <w:pStyle w:val="aff0"/>
        <w:ind w:left="222" w:hangingChars="101" w:hanging="222"/>
        <w:rPr>
          <w:color w:val="7030A0"/>
        </w:rPr>
      </w:pPr>
      <w:r w:rsidRPr="0034676B">
        <w:rPr>
          <w:rStyle w:val="aff2"/>
          <w:color w:val="000000" w:themeColor="text1"/>
        </w:rPr>
        <w:footnoteRef/>
      </w:r>
      <w:r>
        <w:rPr>
          <w:rFonts w:hAnsi="標楷體" w:hint="eastAsia"/>
          <w:color w:val="000000" w:themeColor="text1"/>
          <w:szCs w:val="32"/>
        </w:rPr>
        <w:t xml:space="preserve"> </w:t>
      </w:r>
      <w:proofErr w:type="gramStart"/>
      <w:r w:rsidRPr="0034676B">
        <w:rPr>
          <w:rFonts w:hAnsi="標楷體" w:hint="eastAsia"/>
          <w:color w:val="000000" w:themeColor="text1"/>
          <w:szCs w:val="32"/>
        </w:rPr>
        <w:t>傅祖壇</w:t>
      </w:r>
      <w:proofErr w:type="gramEnd"/>
      <w:r w:rsidRPr="0034676B">
        <w:rPr>
          <w:rFonts w:hint="eastAsia"/>
          <w:color w:val="000000" w:themeColor="text1"/>
        </w:rPr>
        <w:t>(民</w:t>
      </w:r>
      <w:r w:rsidRPr="0034676B">
        <w:rPr>
          <w:rFonts w:eastAsia="MS Mincho" w:hint="eastAsia"/>
          <w:color w:val="000000" w:themeColor="text1"/>
        </w:rPr>
        <w:t>100</w:t>
      </w:r>
      <w:r w:rsidRPr="0034676B">
        <w:rPr>
          <w:rFonts w:hint="eastAsia"/>
          <w:color w:val="000000" w:themeColor="text1"/>
        </w:rPr>
        <w:t>)。</w:t>
      </w:r>
      <w:r w:rsidRPr="0034676B">
        <w:rPr>
          <w:rFonts w:hAnsi="標楷體" w:hint="eastAsia"/>
          <w:color w:val="000000" w:themeColor="text1"/>
          <w:szCs w:val="32"/>
        </w:rPr>
        <w:t>臺灣高等教育院校之學校品質、經營效率與</w:t>
      </w:r>
      <w:proofErr w:type="gramStart"/>
      <w:r w:rsidRPr="0034676B">
        <w:rPr>
          <w:rFonts w:hAnsi="標楷體" w:hint="eastAsia"/>
          <w:color w:val="000000" w:themeColor="text1"/>
          <w:szCs w:val="32"/>
        </w:rPr>
        <w:t>最</w:t>
      </w:r>
      <w:proofErr w:type="gramEnd"/>
      <w:r w:rsidRPr="0034676B">
        <w:rPr>
          <w:rFonts w:hAnsi="標楷體" w:hint="eastAsia"/>
          <w:color w:val="000000" w:themeColor="text1"/>
          <w:szCs w:val="32"/>
        </w:rPr>
        <w:t>適規模分析</w:t>
      </w:r>
      <w:r w:rsidRPr="0034676B">
        <w:rPr>
          <w:rFonts w:hint="eastAsia"/>
          <w:color w:val="000000" w:themeColor="text1"/>
        </w:rPr>
        <w:t>。</w:t>
      </w:r>
      <w:r w:rsidRPr="0034676B">
        <w:rPr>
          <w:rFonts w:hAnsi="標楷體" w:cs="TT26C5o00" w:hint="eastAsia"/>
          <w:b/>
          <w:i/>
          <w:color w:val="000000" w:themeColor="text1"/>
          <w:kern w:val="0"/>
        </w:rPr>
        <w:t>教育科學研究期刊</w:t>
      </w:r>
      <w:r w:rsidRPr="0034676B">
        <w:rPr>
          <w:rFonts w:hint="eastAsia"/>
          <w:i/>
          <w:color w:val="000000" w:themeColor="text1"/>
        </w:rPr>
        <w:t>，5</w:t>
      </w:r>
      <w:r w:rsidRPr="0034676B">
        <w:rPr>
          <w:rFonts w:eastAsia="MS Mincho" w:hint="eastAsia"/>
          <w:i/>
          <w:color w:val="000000" w:themeColor="text1"/>
        </w:rPr>
        <w:t>6</w:t>
      </w:r>
      <w:r w:rsidRPr="0034676B">
        <w:rPr>
          <w:rFonts w:hint="eastAsia"/>
          <w:color w:val="000000" w:themeColor="text1"/>
        </w:rPr>
        <w:t>(</w:t>
      </w:r>
      <w:r w:rsidRPr="0034676B">
        <w:rPr>
          <w:rFonts w:eastAsia="MS Mincho" w:hint="eastAsia"/>
          <w:color w:val="000000" w:themeColor="text1"/>
        </w:rPr>
        <w:t>3</w:t>
      </w:r>
      <w:r w:rsidRPr="0034676B">
        <w:rPr>
          <w:rFonts w:hint="eastAsia"/>
          <w:color w:val="000000" w:themeColor="text1"/>
        </w:rPr>
        <w:t>)。頁</w:t>
      </w:r>
      <w:r w:rsidRPr="0034676B">
        <w:rPr>
          <w:rFonts w:eastAsia="MS Mincho" w:hint="eastAsia"/>
          <w:color w:val="000000" w:themeColor="text1"/>
        </w:rPr>
        <w:t>181</w:t>
      </w:r>
      <w:r w:rsidRPr="0034676B">
        <w:rPr>
          <w:rFonts w:hint="eastAsia"/>
          <w:color w:val="000000" w:themeColor="text1"/>
        </w:rPr>
        <w:t>-</w:t>
      </w:r>
      <w:r w:rsidRPr="0034676B">
        <w:rPr>
          <w:rFonts w:eastAsia="MS Mincho" w:hint="eastAsia"/>
          <w:color w:val="000000" w:themeColor="text1"/>
        </w:rPr>
        <w:t>213</w:t>
      </w:r>
      <w:r w:rsidRPr="0034676B">
        <w:rPr>
          <w:rFonts w:hint="eastAsia"/>
          <w:color w:val="000000" w:themeColor="text1"/>
        </w:rPr>
        <w:t>。</w:t>
      </w:r>
    </w:p>
  </w:footnote>
  <w:footnote w:id="27">
    <w:p w:rsidR="0001697A" w:rsidRPr="00DC12D4" w:rsidRDefault="0001697A" w:rsidP="00DC1918">
      <w:pPr>
        <w:pStyle w:val="aff0"/>
        <w:ind w:left="222" w:hangingChars="101" w:hanging="222"/>
      </w:pPr>
      <w:r>
        <w:rPr>
          <w:rStyle w:val="aff2"/>
        </w:rPr>
        <w:footnoteRef/>
      </w:r>
      <w:r>
        <w:t xml:space="preserve"> </w:t>
      </w:r>
      <w:r>
        <w:rPr>
          <w:rFonts w:hint="eastAsia"/>
        </w:rPr>
        <w:t>另</w:t>
      </w:r>
      <w:r w:rsidRPr="0021679C">
        <w:rPr>
          <w:rFonts w:hint="eastAsia"/>
          <w:color w:val="000000"/>
        </w:rPr>
        <w:t>行政院106年5月23日院</w:t>
      </w:r>
      <w:proofErr w:type="gramStart"/>
      <w:r w:rsidRPr="0021679C">
        <w:rPr>
          <w:rFonts w:hint="eastAsia"/>
          <w:color w:val="000000"/>
        </w:rPr>
        <w:t>臺教字</w:t>
      </w:r>
      <w:proofErr w:type="gramEnd"/>
      <w:r w:rsidRPr="0021679C">
        <w:rPr>
          <w:rFonts w:hint="eastAsia"/>
          <w:color w:val="000000"/>
        </w:rPr>
        <w:t>第1060087287</w:t>
      </w:r>
      <w:r>
        <w:rPr>
          <w:rFonts w:hint="eastAsia"/>
          <w:color w:val="000000"/>
        </w:rPr>
        <w:t>號</w:t>
      </w:r>
      <w:proofErr w:type="gramStart"/>
      <w:r w:rsidRPr="0021679C">
        <w:rPr>
          <w:rFonts w:hint="eastAsia"/>
          <w:color w:val="000000"/>
        </w:rPr>
        <w:t>函</w:t>
      </w:r>
      <w:r>
        <w:rPr>
          <w:rFonts w:hint="eastAsia"/>
          <w:color w:val="000000"/>
        </w:rPr>
        <w:t>復本院</w:t>
      </w:r>
      <w:proofErr w:type="gramEnd"/>
      <w:r>
        <w:rPr>
          <w:rFonts w:hint="eastAsia"/>
          <w:color w:val="000000"/>
        </w:rPr>
        <w:t>之說明，亦未就該案後續之審核辦理情形，為相應之說明。</w:t>
      </w:r>
    </w:p>
  </w:footnote>
  <w:footnote w:id="28">
    <w:p w:rsidR="0001697A" w:rsidRPr="00F366BD" w:rsidRDefault="0001697A" w:rsidP="008F1E5F">
      <w:pPr>
        <w:pStyle w:val="aff0"/>
        <w:ind w:left="222" w:hangingChars="101" w:hanging="222"/>
      </w:pPr>
      <w:r w:rsidRPr="00F366BD">
        <w:rPr>
          <w:rStyle w:val="aff2"/>
        </w:rPr>
        <w:footnoteRef/>
      </w:r>
      <w:r w:rsidRPr="00F366BD">
        <w:t xml:space="preserve"> </w:t>
      </w:r>
      <w:r w:rsidRPr="00F366BD">
        <w:rPr>
          <w:rFonts w:hint="eastAsia"/>
        </w:rPr>
        <w:t>參考楊國賜，</w:t>
      </w:r>
      <w:r w:rsidRPr="00F366BD">
        <w:rPr>
          <w:rFonts w:hint="eastAsia"/>
          <w:b/>
          <w:i/>
        </w:rPr>
        <w:t>大學整</w:t>
      </w:r>
      <w:proofErr w:type="gramStart"/>
      <w:r w:rsidRPr="00F366BD">
        <w:rPr>
          <w:rFonts w:hint="eastAsia"/>
          <w:b/>
          <w:i/>
        </w:rPr>
        <w:t>併</w:t>
      </w:r>
      <w:proofErr w:type="gramEnd"/>
      <w:r w:rsidRPr="00F366BD">
        <w:rPr>
          <w:rFonts w:hint="eastAsia"/>
          <w:b/>
          <w:i/>
        </w:rPr>
        <w:t>理念與經驗談</w:t>
      </w:r>
      <w:r w:rsidRPr="00F366BD">
        <w:rPr>
          <w:rFonts w:hint="eastAsia"/>
        </w:rPr>
        <w:t>，</w:t>
      </w:r>
      <w:r w:rsidRPr="00F366BD">
        <w:rPr>
          <w:rFonts w:hAnsi="標楷體" w:hint="eastAsia"/>
        </w:rPr>
        <w:t>「</w:t>
      </w:r>
      <w:r w:rsidRPr="00F366BD">
        <w:rPr>
          <w:rFonts w:hint="eastAsia"/>
        </w:rPr>
        <w:t>2003年英國高等教育白皮書</w:t>
      </w:r>
      <w:r w:rsidRPr="00F366BD">
        <w:rPr>
          <w:rFonts w:hAnsi="標楷體" w:hint="eastAsia"/>
        </w:rPr>
        <w:t>亦明確指出更多自由與競爭</w:t>
      </w:r>
      <w:r w:rsidRPr="00F366BD">
        <w:rPr>
          <w:rFonts w:hint="eastAsia"/>
        </w:rPr>
        <w:t>將促使高等教育機構改善其效率與管理。…</w:t>
      </w:r>
      <w:proofErr w:type="gramStart"/>
      <w:r w:rsidRPr="00F366BD">
        <w:rPr>
          <w:rFonts w:hint="eastAsia"/>
        </w:rPr>
        <w:t>…</w:t>
      </w:r>
      <w:proofErr w:type="gramEnd"/>
      <w:r w:rsidRPr="00F366BD">
        <w:rPr>
          <w:rFonts w:hint="eastAsia"/>
        </w:rPr>
        <w:t>目前仍有許多空間來使資源使用更加合理化，改善其效益成本。越來越多大學校院成為策略聯盟，共同投資硬體設備，並開始認知到機構的整</w:t>
      </w:r>
      <w:proofErr w:type="gramStart"/>
      <w:r w:rsidRPr="00F366BD">
        <w:rPr>
          <w:rFonts w:hint="eastAsia"/>
        </w:rPr>
        <w:t>併</w:t>
      </w:r>
      <w:proofErr w:type="gramEnd"/>
      <w:r w:rsidRPr="00F366BD">
        <w:rPr>
          <w:rFonts w:hint="eastAsia"/>
        </w:rPr>
        <w:t>是通往成功的道路，而非失敗的回應</w:t>
      </w:r>
      <w:r w:rsidRPr="00F366BD">
        <w:rPr>
          <w:rFonts w:hAnsi="標楷體" w:hint="eastAsia"/>
        </w:rPr>
        <w:t>」。</w:t>
      </w:r>
    </w:p>
  </w:footnote>
  <w:footnote w:id="29">
    <w:p w:rsidR="0001697A" w:rsidRPr="003D7D11" w:rsidRDefault="0001697A" w:rsidP="008F1E5F">
      <w:pPr>
        <w:pStyle w:val="aff0"/>
        <w:ind w:left="222" w:hangingChars="101" w:hanging="222"/>
      </w:pPr>
      <w:r w:rsidRPr="00F366BD">
        <w:rPr>
          <w:rStyle w:val="aff2"/>
        </w:rPr>
        <w:footnoteRef/>
      </w:r>
      <w:r w:rsidRPr="00F366BD">
        <w:rPr>
          <w:rFonts w:hint="eastAsia"/>
        </w:rPr>
        <w:t xml:space="preserve"> 教育部核定成立之大學系統計有：臺灣聯合大學系統、</w:t>
      </w:r>
      <w:proofErr w:type="gramStart"/>
      <w:r w:rsidRPr="00F366BD">
        <w:rPr>
          <w:rFonts w:hint="eastAsia"/>
        </w:rPr>
        <w:t>臺</w:t>
      </w:r>
      <w:proofErr w:type="gramEnd"/>
      <w:r w:rsidRPr="00F366BD">
        <w:rPr>
          <w:rFonts w:hint="eastAsia"/>
        </w:rPr>
        <w:t>北聯合大學系統、臺灣綜合大學系統、臺灣教育大學系統及中臺灣大學系統。</w:t>
      </w:r>
    </w:p>
  </w:footnote>
  <w:footnote w:id="30">
    <w:p w:rsidR="0001697A" w:rsidRDefault="0001697A" w:rsidP="008F1E5F">
      <w:pPr>
        <w:pStyle w:val="aff0"/>
        <w:ind w:left="222" w:hangingChars="101" w:hanging="222"/>
      </w:pPr>
      <w:r>
        <w:rPr>
          <w:rStyle w:val="aff2"/>
        </w:rPr>
        <w:footnoteRef/>
      </w:r>
      <w:r>
        <w:rPr>
          <w:rFonts w:hint="eastAsia"/>
        </w:rPr>
        <w:t xml:space="preserve"> 按該次會議紀錄，教育部先選出「國立陽明大學、國立</w:t>
      </w:r>
      <w:proofErr w:type="gramStart"/>
      <w:r>
        <w:rPr>
          <w:rFonts w:hint="eastAsia"/>
        </w:rPr>
        <w:t>臺</w:t>
      </w:r>
      <w:proofErr w:type="gramEnd"/>
      <w:r>
        <w:rPr>
          <w:rFonts w:hint="eastAsia"/>
        </w:rPr>
        <w:t>北教育大學、國立</w:t>
      </w:r>
      <w:proofErr w:type="gramStart"/>
      <w:r>
        <w:rPr>
          <w:rFonts w:hint="eastAsia"/>
        </w:rPr>
        <w:t>臺</w:t>
      </w:r>
      <w:proofErr w:type="gramEnd"/>
      <w:r>
        <w:rPr>
          <w:rFonts w:hint="eastAsia"/>
        </w:rPr>
        <w:t>北藝術大學、國立</w:t>
      </w:r>
      <w:proofErr w:type="gramStart"/>
      <w:r>
        <w:rPr>
          <w:rFonts w:hint="eastAsia"/>
        </w:rPr>
        <w:t>臺</w:t>
      </w:r>
      <w:proofErr w:type="gramEnd"/>
      <w:r>
        <w:rPr>
          <w:rFonts w:hint="eastAsia"/>
        </w:rPr>
        <w:t>北護理健康大學、國立</w:t>
      </w:r>
      <w:proofErr w:type="gramStart"/>
      <w:r>
        <w:rPr>
          <w:rFonts w:hint="eastAsia"/>
        </w:rPr>
        <w:t>臺</w:t>
      </w:r>
      <w:proofErr w:type="gramEnd"/>
      <w:r>
        <w:rPr>
          <w:rFonts w:hint="eastAsia"/>
        </w:rPr>
        <w:t>北商業技術學院、國立臺灣戲曲學院、國立新竹教育大學、國立</w:t>
      </w:r>
      <w:proofErr w:type="gramStart"/>
      <w:r>
        <w:rPr>
          <w:rFonts w:hint="eastAsia"/>
        </w:rPr>
        <w:t>臺</w:t>
      </w:r>
      <w:proofErr w:type="gramEnd"/>
      <w:r>
        <w:rPr>
          <w:rFonts w:hint="eastAsia"/>
        </w:rPr>
        <w:t>中教育大學、國立臺灣體育運動大學、國立</w:t>
      </w:r>
      <w:proofErr w:type="gramStart"/>
      <w:r>
        <w:rPr>
          <w:rFonts w:hint="eastAsia"/>
        </w:rPr>
        <w:t>臺</w:t>
      </w:r>
      <w:proofErr w:type="gramEnd"/>
      <w:r>
        <w:rPr>
          <w:rFonts w:hint="eastAsia"/>
        </w:rPr>
        <w:t>南大學、國立</w:t>
      </w:r>
      <w:proofErr w:type="gramStart"/>
      <w:r>
        <w:rPr>
          <w:rFonts w:hint="eastAsia"/>
        </w:rPr>
        <w:t>臺</w:t>
      </w:r>
      <w:proofErr w:type="gramEnd"/>
      <w:r>
        <w:rPr>
          <w:rFonts w:hint="eastAsia"/>
        </w:rPr>
        <w:t>南藝術大學、國立中山大學、國立高雄大學、國立高雄師範大學、國立高雄第一科技大學、國立高雄海洋科技大學、國立高雄餐旅大學、國立屏東教育大學及國立屏東商業技術學院」等</w:t>
      </w:r>
      <w:r>
        <w:t>19</w:t>
      </w:r>
      <w:r>
        <w:rPr>
          <w:rFonts w:hint="eastAsia"/>
        </w:rPr>
        <w:t>校，就合併提供意見或學校之規劃。</w:t>
      </w:r>
    </w:p>
  </w:footnote>
  <w:footnote w:id="31">
    <w:p w:rsidR="0001697A" w:rsidRDefault="0001697A" w:rsidP="008F1E5F">
      <w:pPr>
        <w:pStyle w:val="aff0"/>
        <w:ind w:left="222" w:hangingChars="101" w:hanging="222"/>
      </w:pPr>
      <w:r>
        <w:rPr>
          <w:rStyle w:val="aff2"/>
        </w:rPr>
        <w:footnoteRef/>
      </w:r>
      <w:r>
        <w:t xml:space="preserve"> </w:t>
      </w:r>
      <w:r w:rsidRPr="00894D41">
        <w:rPr>
          <w:rFonts w:hint="eastAsia"/>
        </w:rPr>
        <w:t>105年2月17日，政</w:t>
      </w:r>
      <w:r>
        <w:rPr>
          <w:rFonts w:hint="eastAsia"/>
        </w:rPr>
        <w:t>治</w:t>
      </w:r>
      <w:r w:rsidRPr="00894D41">
        <w:rPr>
          <w:rFonts w:hint="eastAsia"/>
        </w:rPr>
        <w:t>大</w:t>
      </w:r>
      <w:r>
        <w:rPr>
          <w:rFonts w:hint="eastAsia"/>
        </w:rPr>
        <w:t>學</w:t>
      </w:r>
      <w:r w:rsidRPr="00894D41">
        <w:rPr>
          <w:rFonts w:hint="eastAsia"/>
        </w:rPr>
        <w:t>與臺</w:t>
      </w:r>
      <w:r>
        <w:rPr>
          <w:rFonts w:hint="eastAsia"/>
        </w:rPr>
        <w:t>灣</w:t>
      </w:r>
      <w:r w:rsidRPr="00894D41">
        <w:rPr>
          <w:rFonts w:hint="eastAsia"/>
        </w:rPr>
        <w:t>科</w:t>
      </w:r>
      <w:r>
        <w:rPr>
          <w:rFonts w:hint="eastAsia"/>
        </w:rPr>
        <w:t>技</w:t>
      </w:r>
      <w:r w:rsidRPr="00894D41">
        <w:rPr>
          <w:rFonts w:hint="eastAsia"/>
        </w:rPr>
        <w:t>大</w:t>
      </w:r>
      <w:r>
        <w:rPr>
          <w:rFonts w:hint="eastAsia"/>
        </w:rPr>
        <w:t>學</w:t>
      </w:r>
      <w:r w:rsidRPr="00894D41">
        <w:rPr>
          <w:rFonts w:hint="eastAsia"/>
        </w:rPr>
        <w:t>曾發表</w:t>
      </w:r>
      <w:r w:rsidRPr="00894D41">
        <w:t>「國立</w:t>
      </w:r>
      <w:r>
        <w:rPr>
          <w:rFonts w:hint="eastAsia"/>
        </w:rPr>
        <w:t>臺</w:t>
      </w:r>
      <w:r w:rsidRPr="00894D41">
        <w:t>灣科技大學與國立政治大學聯合聲明」，提及2校將同步展開校際溝通、循序漸進，同步打造國內人文與科技融合新典範</w:t>
      </w:r>
      <w:r>
        <w:rPr>
          <w:rFonts w:hint="eastAsia"/>
        </w:rPr>
        <w:t>。</w:t>
      </w:r>
      <w:r w:rsidRPr="00894D41">
        <w:rPr>
          <w:rFonts w:hint="eastAsia"/>
        </w:rPr>
        <w:t>消息曝</w:t>
      </w:r>
      <w:r w:rsidRPr="00F366BD">
        <w:rPr>
          <w:rFonts w:hint="eastAsia"/>
        </w:rPr>
        <w:t>光後，教育部表示「意外」。資料來源：國立政治大學網站(</w:t>
      </w:r>
      <w:hyperlink r:id="rId4" w:history="1">
        <w:r w:rsidRPr="00F366BD">
          <w:rPr>
            <w:rStyle w:val="af1"/>
            <w:color w:val="auto"/>
            <w:u w:val="none"/>
          </w:rPr>
          <w:t>http://www.nccu.edu.tw/zh_tw/news/</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9C</w:t>
        </w:r>
        <w:r>
          <w:rPr>
            <w:rStyle w:val="af1"/>
            <w:color w:val="auto"/>
            <w:u w:val="none"/>
          </w:rPr>
          <w:t>％</w:t>
        </w:r>
        <w:r w:rsidRPr="00F366BD">
          <w:rPr>
            <w:rStyle w:val="af1"/>
            <w:color w:val="auto"/>
            <w:u w:val="none"/>
          </w:rPr>
          <w:t>8B</w:t>
        </w:r>
        <w:r>
          <w:rPr>
            <w:rStyle w:val="af1"/>
            <w:color w:val="auto"/>
            <w:u w:val="none"/>
          </w:rPr>
          <w:t>％</w:t>
        </w:r>
        <w:r w:rsidRPr="00F366BD">
          <w:rPr>
            <w:rStyle w:val="af1"/>
            <w:color w:val="auto"/>
            <w:u w:val="none"/>
          </w:rPr>
          <w:t>E7</w:t>
        </w:r>
        <w:r>
          <w:rPr>
            <w:rStyle w:val="af1"/>
            <w:color w:val="auto"/>
            <w:u w:val="none"/>
          </w:rPr>
          <w:t>％</w:t>
        </w:r>
        <w:r w:rsidRPr="00F366BD">
          <w:rPr>
            <w:rStyle w:val="af1"/>
            <w:color w:val="auto"/>
            <w:u w:val="none"/>
          </w:rPr>
          <w:t>AB</w:t>
        </w:r>
        <w:r>
          <w:rPr>
            <w:rStyle w:val="af1"/>
            <w:color w:val="auto"/>
            <w:u w:val="none"/>
          </w:rPr>
          <w:t>％</w:t>
        </w:r>
        <w:r w:rsidRPr="00F366BD">
          <w:rPr>
            <w:rStyle w:val="af1"/>
            <w:color w:val="auto"/>
            <w:u w:val="none"/>
          </w:rPr>
          <w:t>8B</w:t>
        </w:r>
        <w:r>
          <w:rPr>
            <w:rStyle w:val="af1"/>
            <w:color w:val="auto"/>
            <w:u w:val="none"/>
          </w:rPr>
          <w:t>％</w:t>
        </w:r>
        <w:r w:rsidRPr="00F366BD">
          <w:rPr>
            <w:rStyle w:val="af1"/>
            <w:color w:val="auto"/>
            <w:u w:val="none"/>
          </w:rPr>
          <w:t>E8</w:t>
        </w:r>
        <w:r>
          <w:rPr>
            <w:rStyle w:val="af1"/>
            <w:color w:val="auto"/>
            <w:u w:val="none"/>
          </w:rPr>
          <w:t>％</w:t>
        </w:r>
        <w:r w:rsidRPr="00F366BD">
          <w:rPr>
            <w:rStyle w:val="af1"/>
            <w:color w:val="auto"/>
            <w:u w:val="none"/>
          </w:rPr>
          <w:t>87</w:t>
        </w:r>
        <w:r>
          <w:rPr>
            <w:rStyle w:val="af1"/>
            <w:color w:val="auto"/>
            <w:u w:val="none"/>
          </w:rPr>
          <w:t>％</w:t>
        </w:r>
        <w:r w:rsidRPr="00F366BD">
          <w:rPr>
            <w:rStyle w:val="af1"/>
            <w:color w:val="auto"/>
            <w:u w:val="none"/>
          </w:rPr>
          <w:t>BA</w:t>
        </w:r>
        <w:r>
          <w:rPr>
            <w:rStyle w:val="af1"/>
            <w:color w:val="auto"/>
            <w:u w:val="none"/>
          </w:rPr>
          <w:t>％</w:t>
        </w:r>
        <w:r w:rsidRPr="00F366BD">
          <w:rPr>
            <w:rStyle w:val="af1"/>
            <w:color w:val="auto"/>
            <w:u w:val="none"/>
          </w:rPr>
          <w:t>E7</w:t>
        </w:r>
        <w:r>
          <w:rPr>
            <w:rStyle w:val="af1"/>
            <w:color w:val="auto"/>
            <w:u w:val="none"/>
          </w:rPr>
          <w:t>％</w:t>
        </w:r>
        <w:r w:rsidRPr="00F366BD">
          <w:rPr>
            <w:rStyle w:val="af1"/>
            <w:color w:val="auto"/>
            <w:u w:val="none"/>
          </w:rPr>
          <w:t>81</w:t>
        </w:r>
        <w:r>
          <w:rPr>
            <w:rStyle w:val="af1"/>
            <w:color w:val="auto"/>
            <w:u w:val="none"/>
          </w:rPr>
          <w:t>％</w:t>
        </w:r>
        <w:r w:rsidRPr="00F366BD">
          <w:rPr>
            <w:rStyle w:val="af1"/>
            <w:color w:val="auto"/>
            <w:u w:val="none"/>
          </w:rPr>
          <w:t>A3</w:t>
        </w:r>
        <w:r>
          <w:rPr>
            <w:rStyle w:val="af1"/>
            <w:color w:val="auto"/>
            <w:u w:val="none"/>
          </w:rPr>
          <w:t>％</w:t>
        </w:r>
        <w:r w:rsidRPr="00F366BD">
          <w:rPr>
            <w:rStyle w:val="af1"/>
            <w:color w:val="auto"/>
            <w:u w:val="none"/>
          </w:rPr>
          <w:t>E7</w:t>
        </w:r>
        <w:r>
          <w:rPr>
            <w:rStyle w:val="af1"/>
            <w:color w:val="auto"/>
            <w:u w:val="none"/>
          </w:rPr>
          <w:t>％</w:t>
        </w:r>
        <w:r w:rsidRPr="00F366BD">
          <w:rPr>
            <w:rStyle w:val="af1"/>
            <w:color w:val="auto"/>
            <w:u w:val="none"/>
          </w:rPr>
          <w:t>A7</w:t>
        </w:r>
        <w:r>
          <w:rPr>
            <w:rStyle w:val="af1"/>
            <w:color w:val="auto"/>
            <w:u w:val="none"/>
          </w:rPr>
          <w:t>％</w:t>
        </w:r>
        <w:r w:rsidRPr="00F366BD">
          <w:rPr>
            <w:rStyle w:val="af1"/>
            <w:color w:val="auto"/>
            <w:u w:val="none"/>
          </w:rPr>
          <w:t>91</w:t>
        </w:r>
        <w:r>
          <w:rPr>
            <w:rStyle w:val="af1"/>
            <w:color w:val="auto"/>
            <w:u w:val="none"/>
          </w:rPr>
          <w:t>％</w:t>
        </w:r>
        <w:r w:rsidRPr="00F366BD">
          <w:rPr>
            <w:rStyle w:val="af1"/>
            <w:color w:val="auto"/>
            <w:u w:val="none"/>
          </w:rPr>
          <w:t>E6</w:t>
        </w:r>
        <w:r>
          <w:rPr>
            <w:rStyle w:val="af1"/>
            <w:color w:val="auto"/>
            <w:u w:val="none"/>
          </w:rPr>
          <w:t>％</w:t>
        </w:r>
        <w:r w:rsidRPr="00F366BD">
          <w:rPr>
            <w:rStyle w:val="af1"/>
            <w:color w:val="auto"/>
            <w:u w:val="none"/>
          </w:rPr>
          <w:t>8A</w:t>
        </w:r>
        <w:r>
          <w:rPr>
            <w:rStyle w:val="af1"/>
            <w:color w:val="auto"/>
            <w:u w:val="none"/>
          </w:rPr>
          <w:t>％</w:t>
        </w:r>
        <w:r w:rsidRPr="00F366BD">
          <w:rPr>
            <w:rStyle w:val="af1"/>
            <w:color w:val="auto"/>
            <w:u w:val="none"/>
          </w:rPr>
          <w:t>80</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A4</w:t>
        </w:r>
        <w:r>
          <w:rPr>
            <w:rStyle w:val="af1"/>
            <w:color w:val="auto"/>
            <w:u w:val="none"/>
          </w:rPr>
          <w:t>％</w:t>
        </w:r>
        <w:r w:rsidRPr="00F366BD">
          <w:rPr>
            <w:rStyle w:val="af1"/>
            <w:color w:val="auto"/>
            <w:u w:val="none"/>
          </w:rPr>
          <w:t>A7</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AD</w:t>
        </w:r>
        <w:r>
          <w:rPr>
            <w:rStyle w:val="af1"/>
            <w:color w:val="auto"/>
            <w:u w:val="none"/>
          </w:rPr>
          <w:t>％</w:t>
        </w:r>
        <w:r w:rsidRPr="00F366BD">
          <w:rPr>
            <w:rStyle w:val="af1"/>
            <w:color w:val="auto"/>
            <w:u w:val="none"/>
          </w:rPr>
          <w:t>B8</w:t>
        </w:r>
        <w:r>
          <w:rPr>
            <w:rStyle w:val="af1"/>
            <w:color w:val="auto"/>
            <w:u w:val="none"/>
          </w:rPr>
          <w:t>％</w:t>
        </w:r>
        <w:r w:rsidRPr="00F366BD">
          <w:rPr>
            <w:rStyle w:val="af1"/>
            <w:color w:val="auto"/>
            <w:u w:val="none"/>
          </w:rPr>
          <w:t>E8</w:t>
        </w:r>
        <w:r>
          <w:rPr>
            <w:rStyle w:val="af1"/>
            <w:color w:val="auto"/>
            <w:u w:val="none"/>
          </w:rPr>
          <w:t>％</w:t>
        </w:r>
        <w:r w:rsidRPr="00F366BD">
          <w:rPr>
            <w:rStyle w:val="af1"/>
            <w:color w:val="auto"/>
            <w:u w:val="none"/>
          </w:rPr>
          <w:t>88</w:t>
        </w:r>
        <w:r>
          <w:rPr>
            <w:rStyle w:val="af1"/>
            <w:color w:val="auto"/>
            <w:u w:val="none"/>
          </w:rPr>
          <w:t>％</w:t>
        </w:r>
        <w:r w:rsidRPr="00F366BD">
          <w:rPr>
            <w:rStyle w:val="af1"/>
            <w:color w:val="auto"/>
            <w:u w:val="none"/>
          </w:rPr>
          <w:t>87</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9C</w:t>
        </w:r>
        <w:r>
          <w:rPr>
            <w:rStyle w:val="af1"/>
            <w:color w:val="auto"/>
            <w:u w:val="none"/>
          </w:rPr>
          <w:t>％</w:t>
        </w:r>
        <w:r w:rsidRPr="00F366BD">
          <w:rPr>
            <w:rStyle w:val="af1"/>
            <w:color w:val="auto"/>
            <w:u w:val="none"/>
          </w:rPr>
          <w:t>8B</w:t>
        </w:r>
        <w:r>
          <w:rPr>
            <w:rStyle w:val="af1"/>
            <w:color w:val="auto"/>
            <w:u w:val="none"/>
          </w:rPr>
          <w:t>％</w:t>
        </w:r>
        <w:r w:rsidRPr="00F366BD">
          <w:rPr>
            <w:rStyle w:val="af1"/>
            <w:color w:val="auto"/>
            <w:u w:val="none"/>
          </w:rPr>
          <w:t>E7</w:t>
        </w:r>
        <w:r>
          <w:rPr>
            <w:rStyle w:val="af1"/>
            <w:color w:val="auto"/>
            <w:u w:val="none"/>
          </w:rPr>
          <w:t>％</w:t>
        </w:r>
        <w:r w:rsidRPr="00F366BD">
          <w:rPr>
            <w:rStyle w:val="af1"/>
            <w:color w:val="auto"/>
            <w:u w:val="none"/>
          </w:rPr>
          <w:t>AB</w:t>
        </w:r>
        <w:r>
          <w:rPr>
            <w:rStyle w:val="af1"/>
            <w:color w:val="auto"/>
            <w:u w:val="none"/>
          </w:rPr>
          <w:t>％</w:t>
        </w:r>
        <w:r w:rsidRPr="00F366BD">
          <w:rPr>
            <w:rStyle w:val="af1"/>
            <w:color w:val="auto"/>
            <w:u w:val="none"/>
          </w:rPr>
          <w:t>8B</w:t>
        </w:r>
        <w:r>
          <w:rPr>
            <w:rStyle w:val="af1"/>
            <w:color w:val="auto"/>
            <w:u w:val="none"/>
          </w:rPr>
          <w:t>％</w:t>
        </w:r>
        <w:r w:rsidRPr="00F366BD">
          <w:rPr>
            <w:rStyle w:val="af1"/>
            <w:color w:val="auto"/>
            <w:u w:val="none"/>
          </w:rPr>
          <w:t>E6</w:t>
        </w:r>
        <w:r>
          <w:rPr>
            <w:rStyle w:val="af1"/>
            <w:color w:val="auto"/>
            <w:u w:val="none"/>
          </w:rPr>
          <w:t>％</w:t>
        </w:r>
        <w:r w:rsidRPr="00F366BD">
          <w:rPr>
            <w:rStyle w:val="af1"/>
            <w:color w:val="auto"/>
            <w:u w:val="none"/>
          </w:rPr>
          <w:t>94</w:t>
        </w:r>
        <w:r>
          <w:rPr>
            <w:rStyle w:val="af1"/>
            <w:color w:val="auto"/>
            <w:u w:val="none"/>
          </w:rPr>
          <w:t>％</w:t>
        </w:r>
        <w:r w:rsidRPr="00F366BD">
          <w:rPr>
            <w:rStyle w:val="af1"/>
            <w:color w:val="auto"/>
            <w:u w:val="none"/>
          </w:rPr>
          <w:t>BF</w:t>
        </w:r>
        <w:r>
          <w:rPr>
            <w:rStyle w:val="af1"/>
            <w:color w:val="auto"/>
            <w:u w:val="none"/>
          </w:rPr>
          <w:t>％</w:t>
        </w:r>
        <w:r w:rsidRPr="00F366BD">
          <w:rPr>
            <w:rStyle w:val="af1"/>
            <w:color w:val="auto"/>
            <w:u w:val="none"/>
          </w:rPr>
          <w:t>E6</w:t>
        </w:r>
        <w:r>
          <w:rPr>
            <w:rStyle w:val="af1"/>
            <w:color w:val="auto"/>
            <w:u w:val="none"/>
          </w:rPr>
          <w:t>％</w:t>
        </w:r>
        <w:r w:rsidRPr="00F366BD">
          <w:rPr>
            <w:rStyle w:val="af1"/>
            <w:color w:val="auto"/>
            <w:u w:val="none"/>
          </w:rPr>
          <w:t>B2</w:t>
        </w:r>
        <w:r>
          <w:rPr>
            <w:rStyle w:val="af1"/>
            <w:color w:val="auto"/>
            <w:u w:val="none"/>
          </w:rPr>
          <w:t>％</w:t>
        </w:r>
        <w:r w:rsidRPr="00F366BD">
          <w:rPr>
            <w:rStyle w:val="af1"/>
            <w:color w:val="auto"/>
            <w:u w:val="none"/>
          </w:rPr>
          <w:t>BB</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A4</w:t>
        </w:r>
        <w:r>
          <w:rPr>
            <w:rStyle w:val="af1"/>
            <w:color w:val="auto"/>
            <w:u w:val="none"/>
          </w:rPr>
          <w:t>％</w:t>
        </w:r>
        <w:r w:rsidRPr="00F366BD">
          <w:rPr>
            <w:rStyle w:val="af1"/>
            <w:color w:val="auto"/>
            <w:u w:val="none"/>
          </w:rPr>
          <w:t>A7</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AD</w:t>
        </w:r>
        <w:r>
          <w:rPr>
            <w:rStyle w:val="af1"/>
            <w:color w:val="auto"/>
            <w:u w:val="none"/>
          </w:rPr>
          <w:t>％</w:t>
        </w:r>
        <w:r w:rsidRPr="00F366BD">
          <w:rPr>
            <w:rStyle w:val="af1"/>
            <w:color w:val="auto"/>
            <w:u w:val="none"/>
          </w:rPr>
          <w:t>B8</w:t>
        </w:r>
        <w:r>
          <w:rPr>
            <w:rStyle w:val="af1"/>
            <w:color w:val="auto"/>
            <w:u w:val="none"/>
          </w:rPr>
          <w:t>％</w:t>
        </w:r>
        <w:r w:rsidRPr="00F366BD">
          <w:rPr>
            <w:rStyle w:val="af1"/>
            <w:color w:val="auto"/>
            <w:u w:val="none"/>
          </w:rPr>
          <w:t>E8</w:t>
        </w:r>
        <w:r>
          <w:rPr>
            <w:rStyle w:val="af1"/>
            <w:color w:val="auto"/>
            <w:u w:val="none"/>
          </w:rPr>
          <w:t>％</w:t>
        </w:r>
        <w:r w:rsidRPr="00F366BD">
          <w:rPr>
            <w:rStyle w:val="af1"/>
            <w:color w:val="auto"/>
            <w:u w:val="none"/>
          </w:rPr>
          <w:t>81</w:t>
        </w:r>
        <w:r>
          <w:rPr>
            <w:rStyle w:val="af1"/>
            <w:color w:val="auto"/>
            <w:u w:val="none"/>
          </w:rPr>
          <w:t>％</w:t>
        </w:r>
        <w:r w:rsidRPr="00F366BD">
          <w:rPr>
            <w:rStyle w:val="af1"/>
            <w:color w:val="auto"/>
            <w:u w:val="none"/>
          </w:rPr>
          <w:t>AF</w:t>
        </w:r>
        <w:r>
          <w:rPr>
            <w:rStyle w:val="af1"/>
            <w:color w:val="auto"/>
            <w:u w:val="none"/>
          </w:rPr>
          <w:t>％</w:t>
        </w:r>
        <w:r w:rsidRPr="00F366BD">
          <w:rPr>
            <w:rStyle w:val="af1"/>
            <w:color w:val="auto"/>
            <w:u w:val="none"/>
          </w:rPr>
          <w:t>E5</w:t>
        </w:r>
        <w:r>
          <w:rPr>
            <w:rStyle w:val="af1"/>
            <w:color w:val="auto"/>
            <w:u w:val="none"/>
          </w:rPr>
          <w:t>％</w:t>
        </w:r>
        <w:r w:rsidRPr="00F366BD">
          <w:rPr>
            <w:rStyle w:val="af1"/>
            <w:color w:val="auto"/>
            <w:u w:val="none"/>
          </w:rPr>
          <w:t>90</w:t>
        </w:r>
        <w:r>
          <w:rPr>
            <w:rStyle w:val="af1"/>
            <w:color w:val="auto"/>
            <w:u w:val="none"/>
          </w:rPr>
          <w:t>％</w:t>
        </w:r>
        <w:r w:rsidRPr="00F366BD">
          <w:rPr>
            <w:rStyle w:val="af1"/>
            <w:color w:val="auto"/>
            <w:u w:val="none"/>
          </w:rPr>
          <w:t>88</w:t>
        </w:r>
        <w:r>
          <w:rPr>
            <w:rStyle w:val="af1"/>
            <w:color w:val="auto"/>
            <w:u w:val="none"/>
          </w:rPr>
          <w:t>％</w:t>
        </w:r>
        <w:r w:rsidRPr="00F366BD">
          <w:rPr>
            <w:rStyle w:val="af1"/>
            <w:color w:val="auto"/>
            <w:u w:val="none"/>
          </w:rPr>
          <w:t>E8</w:t>
        </w:r>
        <w:r>
          <w:rPr>
            <w:rStyle w:val="af1"/>
            <w:color w:val="auto"/>
            <w:u w:val="none"/>
          </w:rPr>
          <w:t>％</w:t>
        </w:r>
        <w:r w:rsidRPr="00F366BD">
          <w:rPr>
            <w:rStyle w:val="af1"/>
            <w:color w:val="auto"/>
            <w:u w:val="none"/>
          </w:rPr>
          <w:t>81</w:t>
        </w:r>
        <w:r>
          <w:rPr>
            <w:rStyle w:val="af1"/>
            <w:color w:val="auto"/>
            <w:u w:val="none"/>
          </w:rPr>
          <w:t>％</w:t>
        </w:r>
        <w:r w:rsidRPr="00F366BD">
          <w:rPr>
            <w:rStyle w:val="af1"/>
            <w:color w:val="auto"/>
            <w:u w:val="none"/>
          </w:rPr>
          <w:t>B2</w:t>
        </w:r>
        <w:r>
          <w:rPr>
            <w:rStyle w:val="af1"/>
            <w:color w:val="auto"/>
            <w:u w:val="none"/>
          </w:rPr>
          <w:t>％</w:t>
        </w:r>
        <w:r w:rsidRPr="00F366BD">
          <w:rPr>
            <w:rStyle w:val="af1"/>
            <w:color w:val="auto"/>
            <w:u w:val="none"/>
          </w:rPr>
          <w:t>E6</w:t>
        </w:r>
        <w:r>
          <w:rPr>
            <w:rStyle w:val="af1"/>
            <w:color w:val="auto"/>
            <w:u w:val="none"/>
          </w:rPr>
          <w:t>％</w:t>
        </w:r>
        <w:r w:rsidRPr="00F366BD">
          <w:rPr>
            <w:rStyle w:val="af1"/>
            <w:color w:val="auto"/>
            <w:u w:val="none"/>
          </w:rPr>
          <w:t>98</w:t>
        </w:r>
        <w:r>
          <w:rPr>
            <w:rStyle w:val="af1"/>
            <w:color w:val="auto"/>
            <w:u w:val="none"/>
          </w:rPr>
          <w:t>％</w:t>
        </w:r>
        <w:r w:rsidRPr="00F366BD">
          <w:rPr>
            <w:rStyle w:val="af1"/>
            <w:color w:val="auto"/>
            <w:u w:val="none"/>
          </w:rPr>
          <w:t>8E-54354081</w:t>
        </w:r>
      </w:hyperlink>
      <w:r w:rsidRPr="00F366BD">
        <w:rPr>
          <w:rFonts w:hint="eastAsia"/>
        </w:rPr>
        <w:t>)、自由時報是日報導(</w:t>
      </w:r>
      <w:hyperlink r:id="rId5" w:history="1">
        <w:r w:rsidRPr="00F366BD">
          <w:rPr>
            <w:rStyle w:val="af1"/>
            <w:color w:val="auto"/>
            <w:u w:val="none"/>
          </w:rPr>
          <w:t>http://news.ltn.com.tw/news/life/breakingnews/1604741</w:t>
        </w:r>
      </w:hyperlink>
      <w:r w:rsidRPr="00F366BD">
        <w:rPr>
          <w:rFonts w:hint="eastAsia"/>
        </w:rPr>
        <w:t>)。</w:t>
      </w:r>
    </w:p>
  </w:footnote>
  <w:footnote w:id="32">
    <w:p w:rsidR="0001697A" w:rsidRDefault="0001697A" w:rsidP="008F1E5F">
      <w:pPr>
        <w:pStyle w:val="aff0"/>
        <w:ind w:left="222" w:hangingChars="101" w:hanging="222"/>
      </w:pPr>
      <w:r>
        <w:rPr>
          <w:rStyle w:val="aff2"/>
        </w:rPr>
        <w:footnoteRef/>
      </w:r>
      <w:r>
        <w:rPr>
          <w:rFonts w:hint="eastAsia"/>
        </w:rPr>
        <w:t xml:space="preserve"> 戴曉霞(2003)</w:t>
      </w:r>
      <w:r>
        <w:rPr>
          <w:rFonts w:hint="eastAsia"/>
          <w:color w:val="C00000"/>
        </w:rPr>
        <w:t>，</w:t>
      </w:r>
      <w:r>
        <w:rPr>
          <w:rFonts w:hint="eastAsia"/>
        </w:rPr>
        <w:t>高等教育整</w:t>
      </w:r>
      <w:proofErr w:type="gramStart"/>
      <w:r>
        <w:rPr>
          <w:rFonts w:hint="eastAsia"/>
        </w:rPr>
        <w:t>併</w:t>
      </w:r>
      <w:proofErr w:type="gramEnd"/>
      <w:r>
        <w:rPr>
          <w:rFonts w:hint="eastAsia"/>
        </w:rPr>
        <w:t>之國際比較</w:t>
      </w:r>
      <w:r>
        <w:rPr>
          <w:rFonts w:hint="eastAsia"/>
          <w:color w:val="C00000"/>
        </w:rPr>
        <w:t>，</w:t>
      </w:r>
      <w:r w:rsidRPr="00C8706D">
        <w:rPr>
          <w:rFonts w:hint="eastAsia"/>
          <w:b/>
          <w:i/>
        </w:rPr>
        <w:t>教育研究集刊</w:t>
      </w:r>
      <w:r>
        <w:rPr>
          <w:rFonts w:hint="eastAsia"/>
        </w:rPr>
        <w:t>，49(2)，141-173。</w:t>
      </w:r>
    </w:p>
  </w:footnote>
  <w:footnote w:id="33">
    <w:p w:rsidR="0001697A" w:rsidRDefault="0001697A" w:rsidP="009F3CDF">
      <w:pPr>
        <w:pStyle w:val="aff0"/>
        <w:ind w:left="222" w:hangingChars="101" w:hanging="222"/>
      </w:pPr>
      <w:r>
        <w:rPr>
          <w:rStyle w:val="aff2"/>
        </w:rPr>
        <w:footnoteRef/>
      </w:r>
      <w:r>
        <w:rPr>
          <w:rFonts w:hAnsi="標楷體" w:hint="eastAsia"/>
          <w:color w:val="000000" w:themeColor="text1"/>
        </w:rPr>
        <w:t xml:space="preserve"> </w:t>
      </w:r>
      <w:r w:rsidRPr="001519C9">
        <w:rPr>
          <w:rFonts w:hAnsi="標楷體" w:hint="eastAsia"/>
          <w:color w:val="000000" w:themeColor="text1"/>
        </w:rPr>
        <w:t>本院105年5月11日院</w:t>
      </w:r>
      <w:proofErr w:type="gramStart"/>
      <w:r w:rsidRPr="001519C9">
        <w:rPr>
          <w:rFonts w:hAnsi="標楷體" w:hint="eastAsia"/>
          <w:color w:val="000000" w:themeColor="text1"/>
        </w:rPr>
        <w:t>台調壹字第</w:t>
      </w:r>
      <w:r w:rsidRPr="001519C9">
        <w:rPr>
          <w:rFonts w:hAnsi="標楷體"/>
          <w:color w:val="000000" w:themeColor="text1"/>
        </w:rPr>
        <w:t>1050800083</w:t>
      </w:r>
      <w:r w:rsidRPr="001519C9">
        <w:rPr>
          <w:rFonts w:hAnsi="標楷體" w:hint="eastAsia"/>
          <w:color w:val="000000" w:themeColor="text1"/>
        </w:rPr>
        <w:t>號函</w:t>
      </w:r>
      <w:r>
        <w:rPr>
          <w:rFonts w:hAnsi="標楷體" w:hint="eastAsia"/>
          <w:color w:val="000000" w:themeColor="text1"/>
        </w:rPr>
        <w:t>派</w:t>
      </w:r>
      <w:proofErr w:type="gramEnd"/>
      <w:r>
        <w:rPr>
          <w:rFonts w:hAnsi="標楷體" w:hint="eastAsia"/>
          <w:color w:val="000000" w:themeColor="text1"/>
        </w:rPr>
        <w:t>查，調查委員為尹祚芊委員與劉德勳委員。</w:t>
      </w:r>
    </w:p>
  </w:footnote>
  <w:footnote w:id="34">
    <w:p w:rsidR="0001697A" w:rsidRDefault="0001697A" w:rsidP="009F3CDF">
      <w:pPr>
        <w:pStyle w:val="aff0"/>
        <w:ind w:left="222" w:hangingChars="101" w:hanging="222"/>
      </w:pPr>
      <w:r>
        <w:rPr>
          <w:rStyle w:val="aff2"/>
        </w:rPr>
        <w:footnoteRef/>
      </w:r>
      <w:r>
        <w:t xml:space="preserve"> </w:t>
      </w:r>
      <w:r>
        <w:rPr>
          <w:rFonts w:hint="eastAsia"/>
        </w:rPr>
        <w:t>公務出國報告資訊網(</w:t>
      </w:r>
      <w:hyperlink r:id="rId6" w:history="1">
        <w:r w:rsidRPr="007E7117">
          <w:rPr>
            <w:rStyle w:val="af1"/>
            <w:color w:val="000000" w:themeColor="text1"/>
            <w:u w:val="none"/>
          </w:rPr>
          <w:t>http://report.nat.</w:t>
        </w:r>
        <w:r w:rsidRPr="00A00A1C">
          <w:t>gov</w:t>
        </w:r>
        <w:r w:rsidRPr="007E7117">
          <w:rPr>
            <w:rStyle w:val="af1"/>
            <w:color w:val="000000" w:themeColor="text1"/>
            <w:u w:val="none"/>
          </w:rPr>
          <w:t>.tw/ReportFront/report_detail.jspx?sysId=C10103354</w:t>
        </w:r>
      </w:hyperlink>
      <w:proofErr w:type="gramStart"/>
      <w:r w:rsidRPr="007E7117">
        <w:rPr>
          <w:rFonts w:hint="eastAsia"/>
          <w:color w:val="000000" w:themeColor="text1"/>
        </w:rPr>
        <w:t>)</w:t>
      </w:r>
      <w:r>
        <w:rPr>
          <w:rFonts w:hint="eastAsia"/>
        </w:rPr>
        <w:t>。</w:t>
      </w:r>
      <w:proofErr w:type="gramEnd"/>
    </w:p>
  </w:footnote>
  <w:footnote w:id="35">
    <w:p w:rsidR="0001697A" w:rsidRPr="00A67C36" w:rsidRDefault="0001697A" w:rsidP="009F3CDF">
      <w:pPr>
        <w:pStyle w:val="aff0"/>
        <w:ind w:left="222" w:hangingChars="101" w:hanging="222"/>
        <w:rPr>
          <w:sz w:val="12"/>
          <w:szCs w:val="12"/>
        </w:rPr>
      </w:pPr>
      <w:r w:rsidRPr="00A67C36">
        <w:rPr>
          <w:rStyle w:val="aff2"/>
        </w:rPr>
        <w:footnoteRef/>
      </w:r>
      <w:r w:rsidRPr="00A67C36">
        <w:rPr>
          <w:rFonts w:hint="eastAsia"/>
        </w:rPr>
        <w:t xml:space="preserve"> 教育部(民102)。</w:t>
      </w:r>
      <w:r w:rsidRPr="00A67C36">
        <w:rPr>
          <w:rFonts w:hint="eastAsia"/>
          <w:b/>
          <w:i/>
        </w:rPr>
        <w:t>人才培育白皮書</w:t>
      </w:r>
      <w:r w:rsidRPr="00A67C36">
        <w:rPr>
          <w:rFonts w:hint="eastAsia"/>
        </w:rPr>
        <w:t>。106年，取自</w:t>
      </w:r>
      <w:r w:rsidRPr="00A67C36">
        <w:rPr>
          <w:sz w:val="14"/>
          <w:szCs w:val="14"/>
        </w:rPr>
        <w:t>http://www.edu.tw/userfiles/url/20131204191917/1021204</w:t>
      </w:r>
      <w:r>
        <w:rPr>
          <w:sz w:val="14"/>
          <w:szCs w:val="14"/>
        </w:rPr>
        <w:t>％</w:t>
      </w:r>
      <w:r w:rsidRPr="00A67C36">
        <w:rPr>
          <w:sz w:val="14"/>
          <w:szCs w:val="14"/>
        </w:rPr>
        <w:t>E6</w:t>
      </w:r>
      <w:r>
        <w:rPr>
          <w:sz w:val="14"/>
          <w:szCs w:val="14"/>
        </w:rPr>
        <w:t>％</w:t>
      </w:r>
      <w:r w:rsidRPr="00A67C36">
        <w:rPr>
          <w:sz w:val="14"/>
          <w:szCs w:val="14"/>
        </w:rPr>
        <w:t>95</w:t>
      </w:r>
      <w:r>
        <w:rPr>
          <w:sz w:val="14"/>
          <w:szCs w:val="14"/>
        </w:rPr>
        <w:t>％</w:t>
      </w:r>
      <w:r w:rsidRPr="00A67C36">
        <w:rPr>
          <w:sz w:val="14"/>
          <w:szCs w:val="14"/>
        </w:rPr>
        <w:t>99</w:t>
      </w:r>
      <w:r>
        <w:rPr>
          <w:sz w:val="14"/>
          <w:szCs w:val="14"/>
        </w:rPr>
        <w:t>％</w:t>
      </w:r>
      <w:r w:rsidRPr="00A67C36">
        <w:rPr>
          <w:sz w:val="14"/>
          <w:szCs w:val="14"/>
        </w:rPr>
        <w:t>E8</w:t>
      </w:r>
      <w:r>
        <w:rPr>
          <w:sz w:val="14"/>
          <w:szCs w:val="14"/>
        </w:rPr>
        <w:t>％</w:t>
      </w:r>
      <w:r w:rsidRPr="00A67C36">
        <w:rPr>
          <w:sz w:val="14"/>
          <w:szCs w:val="14"/>
        </w:rPr>
        <w:t>82</w:t>
      </w:r>
      <w:r>
        <w:rPr>
          <w:sz w:val="14"/>
          <w:szCs w:val="14"/>
        </w:rPr>
        <w:t>％</w:t>
      </w:r>
      <w:r w:rsidRPr="00A67C36">
        <w:rPr>
          <w:sz w:val="14"/>
          <w:szCs w:val="14"/>
        </w:rPr>
        <w:t>B2</w:t>
      </w:r>
      <w:r>
        <w:rPr>
          <w:sz w:val="14"/>
          <w:szCs w:val="14"/>
        </w:rPr>
        <w:t>％</w:t>
      </w:r>
      <w:r w:rsidRPr="00A67C36">
        <w:rPr>
          <w:sz w:val="14"/>
          <w:szCs w:val="14"/>
        </w:rPr>
        <w:t>E9</w:t>
      </w:r>
      <w:r>
        <w:rPr>
          <w:sz w:val="14"/>
          <w:szCs w:val="14"/>
        </w:rPr>
        <w:t>％</w:t>
      </w:r>
      <w:r w:rsidRPr="00A67C36">
        <w:rPr>
          <w:sz w:val="14"/>
          <w:szCs w:val="14"/>
        </w:rPr>
        <w:t>83</w:t>
      </w:r>
      <w:r>
        <w:rPr>
          <w:sz w:val="14"/>
          <w:szCs w:val="14"/>
        </w:rPr>
        <w:t>％</w:t>
      </w:r>
      <w:r w:rsidRPr="00A67C36">
        <w:rPr>
          <w:sz w:val="14"/>
          <w:szCs w:val="14"/>
        </w:rPr>
        <w:t>A8</w:t>
      </w:r>
      <w:r>
        <w:rPr>
          <w:sz w:val="14"/>
          <w:szCs w:val="14"/>
        </w:rPr>
        <w:t>％</w:t>
      </w:r>
      <w:r w:rsidRPr="00A67C36">
        <w:rPr>
          <w:sz w:val="14"/>
          <w:szCs w:val="14"/>
        </w:rPr>
        <w:t>E4</w:t>
      </w:r>
      <w:r>
        <w:rPr>
          <w:sz w:val="14"/>
          <w:szCs w:val="14"/>
        </w:rPr>
        <w:t>％</w:t>
      </w:r>
      <w:r w:rsidRPr="00A67C36">
        <w:rPr>
          <w:sz w:val="14"/>
          <w:szCs w:val="14"/>
        </w:rPr>
        <w:t>BA</w:t>
      </w:r>
      <w:r>
        <w:rPr>
          <w:sz w:val="14"/>
          <w:szCs w:val="14"/>
        </w:rPr>
        <w:t>％</w:t>
      </w:r>
      <w:r w:rsidRPr="00A67C36">
        <w:rPr>
          <w:sz w:val="14"/>
          <w:szCs w:val="14"/>
        </w:rPr>
        <w:t>BA</w:t>
      </w:r>
      <w:r>
        <w:rPr>
          <w:sz w:val="14"/>
          <w:szCs w:val="14"/>
        </w:rPr>
        <w:t>％</w:t>
      </w:r>
      <w:r w:rsidRPr="00A67C36">
        <w:rPr>
          <w:sz w:val="14"/>
          <w:szCs w:val="14"/>
        </w:rPr>
        <w:t>E6</w:t>
      </w:r>
      <w:r>
        <w:rPr>
          <w:sz w:val="14"/>
          <w:szCs w:val="14"/>
        </w:rPr>
        <w:t>％</w:t>
      </w:r>
      <w:r w:rsidRPr="00A67C36">
        <w:rPr>
          <w:sz w:val="14"/>
          <w:szCs w:val="14"/>
        </w:rPr>
        <w:t>89</w:t>
      </w:r>
      <w:r>
        <w:rPr>
          <w:sz w:val="14"/>
          <w:szCs w:val="14"/>
        </w:rPr>
        <w:t>％</w:t>
      </w:r>
      <w:r w:rsidRPr="00A67C36">
        <w:rPr>
          <w:sz w:val="14"/>
          <w:szCs w:val="14"/>
        </w:rPr>
        <w:t>8D</w:t>
      </w:r>
      <w:r>
        <w:rPr>
          <w:sz w:val="14"/>
          <w:szCs w:val="14"/>
        </w:rPr>
        <w:t>％</w:t>
      </w:r>
      <w:r w:rsidRPr="00A67C36">
        <w:rPr>
          <w:sz w:val="14"/>
          <w:szCs w:val="14"/>
        </w:rPr>
        <w:t>E5</w:t>
      </w:r>
      <w:r>
        <w:rPr>
          <w:sz w:val="14"/>
          <w:szCs w:val="14"/>
        </w:rPr>
        <w:t>％</w:t>
      </w:r>
      <w:r w:rsidRPr="00A67C36">
        <w:rPr>
          <w:sz w:val="14"/>
          <w:szCs w:val="14"/>
        </w:rPr>
        <w:t>9F</w:t>
      </w:r>
      <w:r>
        <w:rPr>
          <w:sz w:val="14"/>
          <w:szCs w:val="14"/>
        </w:rPr>
        <w:t>％</w:t>
      </w:r>
      <w:r w:rsidRPr="00A67C36">
        <w:rPr>
          <w:sz w:val="14"/>
          <w:szCs w:val="14"/>
        </w:rPr>
        <w:t>B9</w:t>
      </w:r>
      <w:r>
        <w:rPr>
          <w:sz w:val="14"/>
          <w:szCs w:val="14"/>
        </w:rPr>
        <w:t>％</w:t>
      </w:r>
      <w:r w:rsidRPr="00A67C36">
        <w:rPr>
          <w:sz w:val="14"/>
          <w:szCs w:val="14"/>
        </w:rPr>
        <w:t>E8</w:t>
      </w:r>
      <w:r>
        <w:rPr>
          <w:sz w:val="14"/>
          <w:szCs w:val="14"/>
        </w:rPr>
        <w:t>％</w:t>
      </w:r>
      <w:r w:rsidRPr="00A67C36">
        <w:rPr>
          <w:sz w:val="14"/>
          <w:szCs w:val="14"/>
        </w:rPr>
        <w:t>82</w:t>
      </w:r>
      <w:r>
        <w:rPr>
          <w:sz w:val="14"/>
          <w:szCs w:val="14"/>
        </w:rPr>
        <w:t>％</w:t>
      </w:r>
      <w:r w:rsidRPr="00A67C36">
        <w:rPr>
          <w:sz w:val="14"/>
          <w:szCs w:val="14"/>
        </w:rPr>
        <w:t>B2</w:t>
      </w:r>
      <w:r>
        <w:rPr>
          <w:sz w:val="14"/>
          <w:szCs w:val="14"/>
        </w:rPr>
        <w:t>％</w:t>
      </w:r>
      <w:r w:rsidRPr="00A67C36">
        <w:rPr>
          <w:sz w:val="14"/>
          <w:szCs w:val="14"/>
        </w:rPr>
        <w:t>E7</w:t>
      </w:r>
      <w:r>
        <w:rPr>
          <w:sz w:val="14"/>
          <w:szCs w:val="14"/>
        </w:rPr>
        <w:t>％</w:t>
      </w:r>
      <w:r w:rsidRPr="00A67C36">
        <w:rPr>
          <w:sz w:val="14"/>
          <w:szCs w:val="14"/>
        </w:rPr>
        <w:t>99</w:t>
      </w:r>
      <w:r>
        <w:rPr>
          <w:sz w:val="14"/>
          <w:szCs w:val="14"/>
        </w:rPr>
        <w:t>％</w:t>
      </w:r>
      <w:r w:rsidRPr="00A67C36">
        <w:rPr>
          <w:sz w:val="14"/>
          <w:szCs w:val="14"/>
        </w:rPr>
        <w:t>BD</w:t>
      </w:r>
      <w:r>
        <w:rPr>
          <w:sz w:val="14"/>
          <w:szCs w:val="14"/>
        </w:rPr>
        <w:t>％</w:t>
      </w:r>
      <w:r w:rsidRPr="00A67C36">
        <w:rPr>
          <w:sz w:val="14"/>
          <w:szCs w:val="14"/>
        </w:rPr>
        <w:t>E7</w:t>
      </w:r>
      <w:r>
        <w:rPr>
          <w:sz w:val="14"/>
          <w:szCs w:val="14"/>
        </w:rPr>
        <w:t>％</w:t>
      </w:r>
      <w:r w:rsidRPr="00A67C36">
        <w:rPr>
          <w:sz w:val="14"/>
          <w:szCs w:val="14"/>
        </w:rPr>
        <w:t>9A</w:t>
      </w:r>
      <w:r>
        <w:rPr>
          <w:sz w:val="14"/>
          <w:szCs w:val="14"/>
        </w:rPr>
        <w:t>％</w:t>
      </w:r>
      <w:r w:rsidRPr="00A67C36">
        <w:rPr>
          <w:sz w:val="14"/>
          <w:szCs w:val="14"/>
        </w:rPr>
        <w:t>AE</w:t>
      </w:r>
      <w:r>
        <w:rPr>
          <w:sz w:val="14"/>
          <w:szCs w:val="14"/>
        </w:rPr>
        <w:t>％</w:t>
      </w:r>
      <w:r w:rsidRPr="00A67C36">
        <w:rPr>
          <w:sz w:val="14"/>
          <w:szCs w:val="14"/>
        </w:rPr>
        <w:t>E6</w:t>
      </w:r>
      <w:r>
        <w:rPr>
          <w:sz w:val="14"/>
          <w:szCs w:val="14"/>
        </w:rPr>
        <w:t>％</w:t>
      </w:r>
      <w:r w:rsidRPr="00A67C36">
        <w:rPr>
          <w:sz w:val="14"/>
          <w:szCs w:val="14"/>
        </w:rPr>
        <w:t>9B</w:t>
      </w:r>
      <w:r>
        <w:rPr>
          <w:sz w:val="14"/>
          <w:szCs w:val="14"/>
        </w:rPr>
        <w:t>％</w:t>
      </w:r>
      <w:r w:rsidRPr="00A67C36">
        <w:rPr>
          <w:sz w:val="14"/>
          <w:szCs w:val="14"/>
        </w:rPr>
        <w:t>B8.pdf</w:t>
      </w:r>
    </w:p>
  </w:footnote>
  <w:footnote w:id="36">
    <w:p w:rsidR="0001697A" w:rsidRPr="00A67C36" w:rsidRDefault="0001697A" w:rsidP="009F3CDF">
      <w:pPr>
        <w:pStyle w:val="aff0"/>
        <w:ind w:left="222" w:hangingChars="101" w:hanging="222"/>
      </w:pPr>
      <w:r w:rsidRPr="00A67C36">
        <w:rPr>
          <w:rStyle w:val="aff2"/>
        </w:rPr>
        <w:footnoteRef/>
      </w:r>
      <w:r w:rsidRPr="00A67C36">
        <w:t xml:space="preserve"> </w:t>
      </w:r>
      <w:r w:rsidRPr="00A67C36">
        <w:rPr>
          <w:rFonts w:hint="eastAsia"/>
        </w:rPr>
        <w:t>教育部(民105)。</w:t>
      </w:r>
      <w:r w:rsidRPr="00A67C36">
        <w:rPr>
          <w:rFonts w:hint="eastAsia"/>
          <w:b/>
          <w:i/>
        </w:rPr>
        <w:t>大專校院大學</w:t>
      </w:r>
      <w:r w:rsidRPr="00A67C36">
        <w:rPr>
          <w:b/>
          <w:i/>
        </w:rPr>
        <w:t>1</w:t>
      </w:r>
      <w:r w:rsidRPr="00A67C36">
        <w:rPr>
          <w:rFonts w:hint="eastAsia"/>
          <w:b/>
          <w:i/>
        </w:rPr>
        <w:t>年級學生人數預測分析報告（</w:t>
      </w:r>
      <w:r w:rsidRPr="00A67C36">
        <w:rPr>
          <w:b/>
          <w:i/>
        </w:rPr>
        <w:t>105~120</w:t>
      </w:r>
      <w:r w:rsidRPr="00A67C36">
        <w:rPr>
          <w:rFonts w:hint="eastAsia"/>
          <w:b/>
          <w:i/>
        </w:rPr>
        <w:t>學年度）</w:t>
      </w:r>
      <w:r w:rsidRPr="00A67C36">
        <w:rPr>
          <w:rFonts w:hint="eastAsia"/>
        </w:rPr>
        <w:t>。</w:t>
      </w:r>
    </w:p>
  </w:footnote>
  <w:footnote w:id="37">
    <w:p w:rsidR="0001697A" w:rsidRPr="00A67C36" w:rsidRDefault="0001697A" w:rsidP="009F3CDF">
      <w:pPr>
        <w:pStyle w:val="aff0"/>
        <w:ind w:left="222" w:hangingChars="101" w:hanging="222"/>
      </w:pPr>
      <w:r w:rsidRPr="00A67C36">
        <w:rPr>
          <w:rStyle w:val="aff2"/>
        </w:rPr>
        <w:footnoteRef/>
      </w:r>
      <w:r w:rsidRPr="00A67C36">
        <w:t xml:space="preserve"> </w:t>
      </w:r>
      <w:r w:rsidRPr="00A67C36">
        <w:rPr>
          <w:rFonts w:hint="eastAsia"/>
        </w:rPr>
        <w:t>調查委員仉委員桂美、李委員月德。(104</w:t>
      </w:r>
      <w:proofErr w:type="gramStart"/>
      <w:r w:rsidRPr="00A67C36">
        <w:rPr>
          <w:rFonts w:hint="eastAsia"/>
        </w:rPr>
        <w:t>教調</w:t>
      </w:r>
      <w:proofErr w:type="gramEnd"/>
      <w:r w:rsidRPr="00A67C36">
        <w:rPr>
          <w:rFonts w:hint="eastAsia"/>
        </w:rPr>
        <w:t>11)</w:t>
      </w:r>
    </w:p>
  </w:footnote>
  <w:footnote w:id="38">
    <w:p w:rsidR="0001697A" w:rsidRPr="00A67C36" w:rsidRDefault="0001697A" w:rsidP="009F3CDF">
      <w:pPr>
        <w:pStyle w:val="aff0"/>
        <w:ind w:left="222" w:hangingChars="101" w:hanging="222"/>
      </w:pPr>
      <w:r w:rsidRPr="00A67C36">
        <w:rPr>
          <w:rStyle w:val="aff2"/>
        </w:rPr>
        <w:footnoteRef/>
      </w:r>
      <w:r w:rsidRPr="00A67C36">
        <w:rPr>
          <w:rFonts w:hint="eastAsia"/>
        </w:rPr>
        <w:t xml:space="preserve"> 專科以上總量標準第6條規定，招生名額總量不得逾前一年核定數</w:t>
      </w:r>
      <w:r w:rsidRPr="00A67C36">
        <w:t>…</w:t>
      </w:r>
      <w:proofErr w:type="gramStart"/>
      <w:r w:rsidRPr="00A67C36">
        <w:t>…</w:t>
      </w:r>
      <w:proofErr w:type="gramEnd"/>
      <w:r w:rsidRPr="00A67C36">
        <w:rPr>
          <w:rFonts w:hint="eastAsia"/>
        </w:rPr>
        <w:t>；第8條規定，學士班連續2學年註冊率，公立未達</w:t>
      </w:r>
      <w:proofErr w:type="gramStart"/>
      <w:r w:rsidRPr="00A67C36">
        <w:rPr>
          <w:rFonts w:hint="eastAsia"/>
        </w:rPr>
        <w:t>8成</w:t>
      </w:r>
      <w:proofErr w:type="gramEnd"/>
      <w:r w:rsidRPr="00A67C36">
        <w:rPr>
          <w:rFonts w:hint="eastAsia"/>
        </w:rPr>
        <w:t>、私立未達</w:t>
      </w:r>
      <w:proofErr w:type="gramStart"/>
      <w:r w:rsidRPr="00A67C36">
        <w:rPr>
          <w:rFonts w:hint="eastAsia"/>
        </w:rPr>
        <w:t>7成</w:t>
      </w:r>
      <w:proofErr w:type="gramEnd"/>
      <w:r w:rsidRPr="00A67C36">
        <w:rPr>
          <w:rFonts w:hint="eastAsia"/>
        </w:rPr>
        <w:t>，將調整招生名額總量至前一學年度招生名額總量之50</w:t>
      </w:r>
      <w:r>
        <w:rPr>
          <w:rFonts w:hint="eastAsia"/>
        </w:rPr>
        <w:t>％</w:t>
      </w:r>
      <w:r w:rsidRPr="00A67C36">
        <w:rPr>
          <w:rFonts w:hint="eastAsia"/>
        </w:rPr>
        <w:t>至90</w:t>
      </w:r>
      <w:r>
        <w:rPr>
          <w:rFonts w:hint="eastAsia"/>
        </w:rPr>
        <w:t>％</w:t>
      </w:r>
      <w:r w:rsidRPr="00A67C36">
        <w:rPr>
          <w:rFonts w:hint="eastAsia"/>
        </w:rPr>
        <w:t>。</w:t>
      </w:r>
    </w:p>
  </w:footnote>
  <w:footnote w:id="39">
    <w:p w:rsidR="0001697A" w:rsidRPr="00A67C36" w:rsidRDefault="0001697A" w:rsidP="009F3CDF">
      <w:pPr>
        <w:pStyle w:val="aff0"/>
        <w:ind w:left="222" w:hangingChars="101" w:hanging="222"/>
      </w:pPr>
      <w:r w:rsidRPr="00A67C36">
        <w:rPr>
          <w:rStyle w:val="aff2"/>
        </w:rPr>
        <w:footnoteRef/>
      </w:r>
      <w:r w:rsidRPr="00A67C36">
        <w:rPr>
          <w:rFonts w:hint="eastAsia"/>
        </w:rPr>
        <w:t xml:space="preserve"> 調查委員趙委員榮耀、尹委員</w:t>
      </w:r>
      <w:proofErr w:type="gramStart"/>
      <w:r w:rsidRPr="00A67C36">
        <w:rPr>
          <w:rFonts w:hint="eastAsia"/>
        </w:rPr>
        <w:t>祚芊</w:t>
      </w:r>
      <w:proofErr w:type="gramEnd"/>
      <w:r w:rsidRPr="00A67C36">
        <w:rPr>
          <w:rFonts w:hint="eastAsia"/>
        </w:rPr>
        <w:t>。</w:t>
      </w:r>
      <w:r w:rsidRPr="00A67C36">
        <w:rPr>
          <w:rFonts w:hint="eastAsia"/>
          <w:b/>
          <w:i/>
        </w:rPr>
        <w:t>監察院</w:t>
      </w:r>
      <w:r w:rsidRPr="00A67C36">
        <w:rPr>
          <w:rFonts w:hAnsi="Arial" w:hint="eastAsia"/>
          <w:b/>
          <w:i/>
          <w:szCs w:val="36"/>
        </w:rPr>
        <w:t>101年專案調查研究「我國高等教育</w:t>
      </w:r>
      <w:proofErr w:type="gramStart"/>
      <w:r w:rsidRPr="00A67C36">
        <w:rPr>
          <w:rFonts w:hAnsi="Arial" w:hint="eastAsia"/>
          <w:b/>
          <w:i/>
          <w:szCs w:val="36"/>
        </w:rPr>
        <w:t>因應</w:t>
      </w:r>
      <w:r>
        <w:rPr>
          <w:rFonts w:hAnsi="Arial" w:hint="eastAsia"/>
          <w:b/>
          <w:i/>
          <w:szCs w:val="36"/>
        </w:rPr>
        <w:t>少子化</w:t>
      </w:r>
      <w:proofErr w:type="gramEnd"/>
      <w:r w:rsidRPr="00A67C36">
        <w:rPr>
          <w:rFonts w:hAnsi="Arial" w:hint="eastAsia"/>
          <w:b/>
          <w:i/>
          <w:szCs w:val="36"/>
        </w:rPr>
        <w:t>及國際化相關政策與問題之探討」</w:t>
      </w:r>
      <w:r w:rsidRPr="00A67C36">
        <w:rPr>
          <w:rFonts w:hAnsi="Arial" w:hint="eastAsia"/>
          <w:szCs w:val="36"/>
        </w:rPr>
        <w:t>。</w:t>
      </w:r>
      <w:r w:rsidRPr="00A67C36">
        <w:rPr>
          <w:rFonts w:hint="eastAsia"/>
        </w:rPr>
        <w:t>字號：101</w:t>
      </w:r>
      <w:proofErr w:type="gramStart"/>
      <w:r w:rsidRPr="00A67C36">
        <w:rPr>
          <w:rFonts w:hint="eastAsia"/>
        </w:rPr>
        <w:t>教調</w:t>
      </w:r>
      <w:proofErr w:type="gramEnd"/>
      <w:r w:rsidRPr="00A67C36">
        <w:rPr>
          <w:rFonts w:hint="eastAsia"/>
        </w:rPr>
        <w:t>3。</w:t>
      </w:r>
    </w:p>
  </w:footnote>
  <w:footnote w:id="40">
    <w:p w:rsidR="0001697A" w:rsidRPr="00A67C36" w:rsidRDefault="0001697A" w:rsidP="009F3CDF">
      <w:pPr>
        <w:pStyle w:val="aff0"/>
        <w:ind w:left="222" w:hangingChars="101" w:hanging="222"/>
      </w:pPr>
      <w:r w:rsidRPr="00A67C36">
        <w:rPr>
          <w:rStyle w:val="aff2"/>
        </w:rPr>
        <w:footnoteRef/>
      </w:r>
      <w:r w:rsidRPr="00A67C36">
        <w:rPr>
          <w:rFonts w:hint="eastAsia"/>
        </w:rPr>
        <w:t xml:space="preserve"> 教育部（民105）。</w:t>
      </w:r>
      <w:r w:rsidRPr="00A67C36">
        <w:rPr>
          <w:b/>
          <w:i/>
        </w:rPr>
        <w:t>104</w:t>
      </w:r>
      <w:r w:rsidRPr="00A67C36">
        <w:rPr>
          <w:rFonts w:hint="eastAsia"/>
          <w:b/>
          <w:i/>
        </w:rPr>
        <w:t>學年大專校院新生註冊率變動分析</w:t>
      </w:r>
      <w:r w:rsidRPr="00A67C36">
        <w:rPr>
          <w:rFonts w:hint="eastAsia"/>
        </w:rPr>
        <w:t>。106年4月27日，取自</w:t>
      </w:r>
      <w:r w:rsidRPr="00A67C36">
        <w:t>http://stats.moe.gov.tw/files/analysis/104register_rate.pdf</w:t>
      </w:r>
    </w:p>
  </w:footnote>
  <w:footnote w:id="41">
    <w:p w:rsidR="0001697A" w:rsidRPr="00A67C36" w:rsidRDefault="0001697A" w:rsidP="009F3CDF">
      <w:pPr>
        <w:pStyle w:val="aff0"/>
        <w:ind w:left="222" w:hangingChars="101" w:hanging="222"/>
      </w:pPr>
      <w:r w:rsidRPr="00A67C36">
        <w:rPr>
          <w:rStyle w:val="aff2"/>
        </w:rPr>
        <w:footnoteRef/>
      </w:r>
      <w:r w:rsidRPr="00A67C36">
        <w:rPr>
          <w:rFonts w:hint="eastAsia"/>
        </w:rPr>
        <w:t xml:space="preserve"> </w:t>
      </w:r>
      <w:r w:rsidRPr="00A67C36">
        <w:t>90</w:t>
      </w:r>
      <w:r w:rsidRPr="00A67C36">
        <w:rPr>
          <w:rFonts w:hint="eastAsia"/>
        </w:rPr>
        <w:t>學年後新設立或改制學校計</w:t>
      </w:r>
      <w:r w:rsidRPr="00A67C36">
        <w:t>30</w:t>
      </w:r>
      <w:r w:rsidRPr="00A67C36">
        <w:rPr>
          <w:rFonts w:hint="eastAsia"/>
        </w:rPr>
        <w:t>所</w:t>
      </w:r>
      <w:r w:rsidRPr="00A67C36">
        <w:t>(</w:t>
      </w:r>
      <w:r w:rsidRPr="00A67C36">
        <w:rPr>
          <w:rFonts w:hint="eastAsia"/>
        </w:rPr>
        <w:t>扣除</w:t>
      </w:r>
      <w:r w:rsidRPr="00A67C36">
        <w:t>102</w:t>
      </w:r>
      <w:r w:rsidRPr="00A67C36">
        <w:rPr>
          <w:rFonts w:hint="eastAsia"/>
        </w:rPr>
        <w:t>學年第</w:t>
      </w:r>
      <w:r w:rsidRPr="00A67C36">
        <w:t>2</w:t>
      </w:r>
      <w:r w:rsidRPr="00A67C36">
        <w:rPr>
          <w:rFonts w:hint="eastAsia"/>
        </w:rPr>
        <w:t>學期退場的高鳳數位內容學院</w:t>
      </w:r>
      <w:r w:rsidRPr="00A67C36">
        <w:t>)</w:t>
      </w:r>
      <w:r w:rsidRPr="00A67C36">
        <w:rPr>
          <w:rFonts w:hint="eastAsia"/>
        </w:rPr>
        <w:t>，其中一般大學</w:t>
      </w:r>
      <w:r w:rsidRPr="00A67C36">
        <w:t>5</w:t>
      </w:r>
      <w:r w:rsidRPr="00A67C36">
        <w:rPr>
          <w:rFonts w:hint="eastAsia"/>
        </w:rPr>
        <w:t>所，</w:t>
      </w:r>
      <w:proofErr w:type="gramStart"/>
      <w:r w:rsidRPr="00A67C36">
        <w:rPr>
          <w:rFonts w:hint="eastAsia"/>
        </w:rPr>
        <w:t>均為新</w:t>
      </w:r>
      <w:proofErr w:type="gramEnd"/>
      <w:r w:rsidRPr="00A67C36">
        <w:rPr>
          <w:rFonts w:hint="eastAsia"/>
        </w:rPr>
        <w:t>設立之私校，技專校院為</w:t>
      </w:r>
      <w:r w:rsidRPr="00A67C36">
        <w:t>25</w:t>
      </w:r>
      <w:r w:rsidRPr="00A67C36">
        <w:rPr>
          <w:rFonts w:hint="eastAsia"/>
        </w:rPr>
        <w:t>所，其中</w:t>
      </w:r>
      <w:r w:rsidRPr="00A67C36">
        <w:t>5</w:t>
      </w:r>
      <w:r w:rsidRPr="00A67C36">
        <w:rPr>
          <w:rFonts w:hint="eastAsia"/>
        </w:rPr>
        <w:t>所為新設立</w:t>
      </w:r>
      <w:r w:rsidRPr="00A67C36">
        <w:t>(</w:t>
      </w:r>
      <w:r w:rsidRPr="00A67C36">
        <w:rPr>
          <w:rFonts w:hint="eastAsia"/>
        </w:rPr>
        <w:t>公立科大及技術學院</w:t>
      </w:r>
      <w:r w:rsidRPr="00A67C36">
        <w:t>1</w:t>
      </w:r>
      <w:r w:rsidRPr="00A67C36">
        <w:rPr>
          <w:rFonts w:hint="eastAsia"/>
        </w:rPr>
        <w:t>所、私立專科</w:t>
      </w:r>
      <w:r w:rsidRPr="00A67C36">
        <w:t>4</w:t>
      </w:r>
      <w:r w:rsidRPr="00A67C36">
        <w:rPr>
          <w:rFonts w:hint="eastAsia"/>
        </w:rPr>
        <w:t>所</w:t>
      </w:r>
      <w:r w:rsidRPr="00A67C36">
        <w:t>)</w:t>
      </w:r>
      <w:r w:rsidRPr="00A67C36">
        <w:rPr>
          <w:rFonts w:hint="eastAsia"/>
        </w:rPr>
        <w:t>，</w:t>
      </w:r>
      <w:r w:rsidRPr="00A67C36">
        <w:t>20</w:t>
      </w:r>
      <w:r w:rsidRPr="00A67C36">
        <w:rPr>
          <w:rFonts w:hint="eastAsia"/>
        </w:rPr>
        <w:t>所為改制</w:t>
      </w:r>
      <w:r w:rsidRPr="00A67C36">
        <w:t>(</w:t>
      </w:r>
      <w:r w:rsidRPr="00A67C36">
        <w:rPr>
          <w:rFonts w:hint="eastAsia"/>
        </w:rPr>
        <w:t>科大及技術學院公立</w:t>
      </w:r>
      <w:r w:rsidRPr="00A67C36">
        <w:t>2</w:t>
      </w:r>
      <w:r w:rsidRPr="00A67C36">
        <w:rPr>
          <w:rFonts w:hint="eastAsia"/>
        </w:rPr>
        <w:t>所，私立</w:t>
      </w:r>
      <w:r w:rsidRPr="00A67C36">
        <w:t>14</w:t>
      </w:r>
      <w:r w:rsidRPr="00A67C36">
        <w:rPr>
          <w:rFonts w:hint="eastAsia"/>
        </w:rPr>
        <w:t>所、專科公立</w:t>
      </w:r>
      <w:r w:rsidRPr="00A67C36">
        <w:t>1</w:t>
      </w:r>
      <w:r w:rsidRPr="00A67C36">
        <w:rPr>
          <w:rFonts w:hint="eastAsia"/>
        </w:rPr>
        <w:t>所，私立</w:t>
      </w:r>
      <w:r w:rsidRPr="00A67C36">
        <w:t>3</w:t>
      </w:r>
      <w:r w:rsidRPr="00A67C36">
        <w:rPr>
          <w:rFonts w:hint="eastAsia"/>
        </w:rPr>
        <w:t>所</w:t>
      </w:r>
      <w:r w:rsidRPr="00A67C36">
        <w:t>)</w:t>
      </w:r>
      <w:r w:rsidRPr="00A67C36">
        <w:rPr>
          <w:rFonts w:hint="eastAsia"/>
        </w:rPr>
        <w:t>。資料來源：同上</w:t>
      </w:r>
      <w:proofErr w:type="gramStart"/>
      <w:r w:rsidRPr="00A67C36">
        <w:rPr>
          <w:rFonts w:hint="eastAsia"/>
        </w:rPr>
        <w:t>註</w:t>
      </w:r>
      <w:proofErr w:type="gramEnd"/>
      <w:r w:rsidRPr="00A67C36">
        <w:rPr>
          <w:rFonts w:hint="eastAsia"/>
        </w:rPr>
        <w:t>。</w:t>
      </w:r>
    </w:p>
  </w:footnote>
  <w:footnote w:id="42">
    <w:p w:rsidR="0001697A" w:rsidRPr="00A67C36" w:rsidRDefault="0001697A" w:rsidP="009F3CDF">
      <w:pPr>
        <w:pStyle w:val="aff0"/>
        <w:ind w:left="222" w:hangingChars="101" w:hanging="222"/>
      </w:pPr>
      <w:r w:rsidRPr="00A67C36">
        <w:rPr>
          <w:rStyle w:val="aff2"/>
        </w:rPr>
        <w:footnoteRef/>
      </w:r>
      <w:r w:rsidRPr="00A67C36">
        <w:rPr>
          <w:rFonts w:hint="eastAsia"/>
        </w:rPr>
        <w:t xml:space="preserve"> 屏東縣政府同意設立</w:t>
      </w:r>
      <w:proofErr w:type="gramStart"/>
      <w:r w:rsidRPr="00A67C36">
        <w:rPr>
          <w:rFonts w:hint="eastAsia"/>
        </w:rPr>
        <w:t>私立崇華雙</w:t>
      </w:r>
      <w:proofErr w:type="gramEnd"/>
      <w:r w:rsidRPr="00A67C36">
        <w:rPr>
          <w:rFonts w:hint="eastAsia"/>
        </w:rPr>
        <w:t>語國民小學，於105學年度開始招生。</w:t>
      </w:r>
    </w:p>
  </w:footnote>
  <w:footnote w:id="43">
    <w:p w:rsidR="0001697A" w:rsidRPr="00A67C36" w:rsidRDefault="0001697A" w:rsidP="009F3CDF">
      <w:pPr>
        <w:pStyle w:val="aff0"/>
        <w:ind w:left="222" w:hangingChars="101" w:hanging="222"/>
      </w:pPr>
      <w:r w:rsidRPr="00A67C36">
        <w:rPr>
          <w:rStyle w:val="aff2"/>
        </w:rPr>
        <w:footnoteRef/>
      </w:r>
      <w:r w:rsidRPr="00A67C36">
        <w:rPr>
          <w:rFonts w:hint="eastAsia"/>
        </w:rPr>
        <w:t xml:space="preserve"> 指各級教育學齡人口實際在學之比率。教育部（民105）。</w:t>
      </w:r>
      <w:r w:rsidRPr="00A67C36">
        <w:rPr>
          <w:b/>
          <w:i/>
        </w:rPr>
        <w:t>104</w:t>
      </w:r>
      <w:r w:rsidRPr="00A67C36">
        <w:rPr>
          <w:rFonts w:hint="eastAsia"/>
          <w:b/>
          <w:i/>
        </w:rPr>
        <w:t>學年度各級教育統計概況分析</w:t>
      </w:r>
      <w:r w:rsidRPr="00A67C36">
        <w:rPr>
          <w:rFonts w:hint="eastAsia"/>
        </w:rPr>
        <w:t>。106年4月27日，取自</w:t>
      </w:r>
      <w:r w:rsidRPr="00A67C36">
        <w:t>http://stats.moe.gov.tw/files/analysis/104_all_level.pdf</w:t>
      </w:r>
    </w:p>
  </w:footnote>
  <w:footnote w:id="44">
    <w:p w:rsidR="0001697A" w:rsidRPr="00A67C36" w:rsidRDefault="0001697A" w:rsidP="009F3CDF">
      <w:pPr>
        <w:pStyle w:val="aff0"/>
        <w:ind w:left="222" w:hangingChars="101" w:hanging="222"/>
      </w:pPr>
      <w:r w:rsidRPr="00A67C36">
        <w:rPr>
          <w:rStyle w:val="aff2"/>
        </w:rPr>
        <w:footnoteRef/>
      </w:r>
      <w:r w:rsidRPr="00A67C36">
        <w:rPr>
          <w:rFonts w:hint="eastAsia"/>
        </w:rPr>
        <w:t xml:space="preserve"> 指各級教育學生總人數(含非學齡之學生) 對其學齡人口之比率。教育部統計處（民105）。106年5月1日，取自</w:t>
      </w:r>
      <w:r w:rsidRPr="00A67C36">
        <w:t>http://stats.moe.gov.tw/files/important/OVERVIEW_N03.pdf</w:t>
      </w:r>
    </w:p>
  </w:footnote>
  <w:footnote w:id="45">
    <w:p w:rsidR="0001697A" w:rsidRPr="00A67C36" w:rsidRDefault="0001697A" w:rsidP="009F3CDF">
      <w:pPr>
        <w:pStyle w:val="aff0"/>
        <w:ind w:left="222" w:hangingChars="101" w:hanging="222"/>
      </w:pPr>
      <w:r w:rsidRPr="00A67C36">
        <w:rPr>
          <w:rStyle w:val="aff2"/>
        </w:rPr>
        <w:footnoteRef/>
      </w:r>
      <w:r w:rsidRPr="00A67C36">
        <w:t xml:space="preserve"> </w:t>
      </w:r>
      <w:proofErr w:type="gramStart"/>
      <w:r w:rsidRPr="00A67C36">
        <w:rPr>
          <w:rFonts w:hint="eastAsia"/>
        </w:rPr>
        <w:t>傅祖壇</w:t>
      </w:r>
      <w:proofErr w:type="gramEnd"/>
      <w:r w:rsidRPr="00A67C36">
        <w:rPr>
          <w:rFonts w:hint="eastAsia"/>
        </w:rPr>
        <w:t>(民100)。臺灣高等教育院校之學校品質、經營效率與</w:t>
      </w:r>
      <w:proofErr w:type="gramStart"/>
      <w:r w:rsidRPr="00A67C36">
        <w:rPr>
          <w:rFonts w:hint="eastAsia"/>
        </w:rPr>
        <w:t>最</w:t>
      </w:r>
      <w:proofErr w:type="gramEnd"/>
      <w:r w:rsidRPr="00A67C36">
        <w:rPr>
          <w:rFonts w:hint="eastAsia"/>
        </w:rPr>
        <w:t>適規模分析。</w:t>
      </w:r>
      <w:r w:rsidRPr="00A67C36">
        <w:rPr>
          <w:rFonts w:hint="eastAsia"/>
          <w:b/>
          <w:i/>
        </w:rPr>
        <w:t>教育科學研究期刊</w:t>
      </w:r>
      <w:r w:rsidRPr="00A67C36">
        <w:rPr>
          <w:rFonts w:hint="eastAsia"/>
        </w:rPr>
        <w:t>，56(3)，頁181-213。</w:t>
      </w:r>
    </w:p>
  </w:footnote>
  <w:footnote w:id="46">
    <w:p w:rsidR="0001697A" w:rsidRPr="00A67C36" w:rsidRDefault="0001697A" w:rsidP="009F3CDF">
      <w:pPr>
        <w:pStyle w:val="aff0"/>
        <w:ind w:left="222" w:hangingChars="101" w:hanging="222"/>
      </w:pPr>
      <w:r w:rsidRPr="00A67C36">
        <w:rPr>
          <w:rStyle w:val="aff2"/>
        </w:rPr>
        <w:footnoteRef/>
      </w:r>
      <w:r w:rsidRPr="00A67C36">
        <w:rPr>
          <w:rFonts w:hAnsi="標楷體" w:hint="eastAsia"/>
        </w:rPr>
        <w:t xml:space="preserve"> 依美國學者</w:t>
      </w:r>
      <w:r w:rsidRPr="00A67C36">
        <w:rPr>
          <w:rFonts w:hAnsi="標楷體"/>
        </w:rPr>
        <w:t>Martin Trow</w:t>
      </w:r>
      <w:r w:rsidRPr="00A00A1C">
        <w:rPr>
          <w:rFonts w:hint="eastAsia"/>
        </w:rPr>
        <w:t>對高等教育階段</w:t>
      </w:r>
      <w:r w:rsidRPr="00A67C36">
        <w:rPr>
          <w:rFonts w:hAnsi="標楷體" w:hint="eastAsia"/>
        </w:rPr>
        <w:t>之分類方式，一般高教發展可分為三個類型，分別為菁英型（</w:t>
      </w:r>
      <w:r w:rsidRPr="00A67C36">
        <w:t>elite</w:t>
      </w:r>
      <w:r w:rsidRPr="00A67C36">
        <w:rPr>
          <w:rFonts w:hAnsi="標楷體" w:hint="eastAsia"/>
        </w:rPr>
        <w:t>）、大眾型（</w:t>
      </w:r>
      <w:r w:rsidRPr="00A67C36">
        <w:rPr>
          <w:rFonts w:hAnsi="標楷體"/>
        </w:rPr>
        <w:t>mass</w:t>
      </w:r>
      <w:r w:rsidRPr="00A67C36">
        <w:rPr>
          <w:rFonts w:hAnsi="標楷體" w:hint="eastAsia"/>
        </w:rPr>
        <w:t>）與普及型（</w:t>
      </w:r>
      <w:r w:rsidRPr="00A67C36">
        <w:rPr>
          <w:rFonts w:hAnsi="標楷體"/>
        </w:rPr>
        <w:t>universal</w:t>
      </w:r>
      <w:r w:rsidRPr="00A67C36">
        <w:rPr>
          <w:rFonts w:hAnsi="標楷體" w:hint="eastAsia"/>
        </w:rPr>
        <w:t>），</w:t>
      </w:r>
      <w:proofErr w:type="gramStart"/>
      <w:r w:rsidRPr="00A67C36">
        <w:rPr>
          <w:rFonts w:hAnsi="標楷體" w:hint="eastAsia"/>
        </w:rPr>
        <w:t>菁英型指後</w:t>
      </w:r>
      <w:proofErr w:type="gramEnd"/>
      <w:r w:rsidRPr="00A67C36">
        <w:rPr>
          <w:rFonts w:hAnsi="標楷體" w:hint="eastAsia"/>
        </w:rPr>
        <w:t>中等教育階段的在學</w:t>
      </w:r>
      <w:proofErr w:type="gramStart"/>
      <w:r w:rsidRPr="00A67C36">
        <w:rPr>
          <w:rFonts w:hAnsi="標楷體" w:hint="eastAsia"/>
        </w:rPr>
        <w:t>率占同年齡</w:t>
      </w:r>
      <w:proofErr w:type="gramEnd"/>
      <w:r w:rsidRPr="00A67C36">
        <w:rPr>
          <w:rFonts w:hAnsi="標楷體" w:hint="eastAsia"/>
        </w:rPr>
        <w:t>層的</w:t>
      </w:r>
      <w:r w:rsidRPr="00A67C36">
        <w:rPr>
          <w:rFonts w:hAnsi="標楷體"/>
        </w:rPr>
        <w:t>15</w:t>
      </w:r>
      <w:r>
        <w:rPr>
          <w:rFonts w:hAnsi="標楷體" w:hint="eastAsia"/>
        </w:rPr>
        <w:t>％</w:t>
      </w:r>
      <w:proofErr w:type="gramStart"/>
      <w:r w:rsidRPr="00A67C36">
        <w:rPr>
          <w:rFonts w:hAnsi="標楷體" w:hint="eastAsia"/>
        </w:rPr>
        <w:t>以內，</w:t>
      </w:r>
      <w:proofErr w:type="gramEnd"/>
      <w:r w:rsidRPr="00A67C36">
        <w:rPr>
          <w:rFonts w:hAnsi="標楷體" w:hint="eastAsia"/>
        </w:rPr>
        <w:t>而大眾型則介於15</w:t>
      </w:r>
      <w:r>
        <w:rPr>
          <w:rFonts w:hAnsi="標楷體" w:hint="eastAsia"/>
        </w:rPr>
        <w:t>％</w:t>
      </w:r>
      <w:r w:rsidRPr="00A67C36">
        <w:rPr>
          <w:rFonts w:hAnsi="標楷體" w:hint="eastAsia"/>
        </w:rPr>
        <w:t>至50</w:t>
      </w:r>
      <w:r>
        <w:rPr>
          <w:rFonts w:hAnsi="標楷體" w:hint="eastAsia"/>
        </w:rPr>
        <w:t>％</w:t>
      </w:r>
      <w:proofErr w:type="gramStart"/>
      <w:r w:rsidRPr="00A67C36">
        <w:rPr>
          <w:rFonts w:hAnsi="標楷體" w:hint="eastAsia"/>
        </w:rPr>
        <w:t>之間，</w:t>
      </w:r>
      <w:proofErr w:type="gramEnd"/>
      <w:r w:rsidRPr="00A67C36">
        <w:rPr>
          <w:rFonts w:hAnsi="標楷體" w:hint="eastAsia"/>
        </w:rPr>
        <w:t>超過50</w:t>
      </w:r>
      <w:r>
        <w:rPr>
          <w:rFonts w:hAnsi="標楷體" w:hint="eastAsia"/>
        </w:rPr>
        <w:t>％</w:t>
      </w:r>
      <w:r w:rsidRPr="00A67C36">
        <w:rPr>
          <w:rFonts w:hAnsi="標楷體" w:hint="eastAsia"/>
        </w:rPr>
        <w:t>則屬於普及型</w:t>
      </w:r>
      <w:proofErr w:type="gramStart"/>
      <w:r w:rsidRPr="00A67C36">
        <w:rPr>
          <w:rFonts w:hAnsi="標楷體" w:hint="eastAsia"/>
        </w:rPr>
        <w:t>（</w:t>
      </w:r>
      <w:proofErr w:type="gramEnd"/>
      <w:r w:rsidRPr="00A67C36">
        <w:rPr>
          <w:rFonts w:hAnsi="標楷體" w:hint="eastAsia"/>
        </w:rPr>
        <w:t>Trow，1973；引自湯志民，民92，</w:t>
      </w:r>
      <w:r w:rsidRPr="00A67C36">
        <w:rPr>
          <w:rFonts w:hint="eastAsia"/>
          <w:b/>
          <w:i/>
        </w:rPr>
        <w:t>臺灣高等教育擴張與整</w:t>
      </w:r>
      <w:proofErr w:type="gramStart"/>
      <w:r w:rsidRPr="00A67C36">
        <w:rPr>
          <w:rFonts w:hint="eastAsia"/>
          <w:b/>
          <w:i/>
        </w:rPr>
        <w:t>併</w:t>
      </w:r>
      <w:proofErr w:type="gramEnd"/>
      <w:r w:rsidRPr="00A67C36">
        <w:rPr>
          <w:rFonts w:hint="eastAsia"/>
          <w:b/>
          <w:i/>
        </w:rPr>
        <w:t>之探析</w:t>
      </w:r>
      <w:r w:rsidRPr="00A67C36">
        <w:rPr>
          <w:rFonts w:hint="eastAsia"/>
        </w:rPr>
        <w:t>。</w:t>
      </w:r>
      <w:r w:rsidRPr="00A67C36">
        <w:rPr>
          <w:rFonts w:hAnsi="標楷體" w:hint="eastAsia"/>
        </w:rPr>
        <w:t>）</w:t>
      </w:r>
      <w:r w:rsidRPr="00A67C36">
        <w:rPr>
          <w:rFonts w:hint="eastAsia"/>
        </w:rPr>
        <w:t>載於政大敎育學院教育學系主辦之</w:t>
      </w:r>
      <w:r w:rsidRPr="00A67C36">
        <w:t xml:space="preserve"> </w:t>
      </w:r>
      <w:r w:rsidRPr="00A67C36">
        <w:rPr>
          <w:rFonts w:hint="eastAsia"/>
          <w:b/>
          <w:i/>
        </w:rPr>
        <w:t>「卓越與效能</w:t>
      </w:r>
      <w:r w:rsidRPr="00A67C36">
        <w:rPr>
          <w:b/>
          <w:i/>
        </w:rPr>
        <w:t>―</w:t>
      </w:r>
      <w:r w:rsidRPr="00A67C36">
        <w:rPr>
          <w:b/>
          <w:i/>
        </w:rPr>
        <w:t xml:space="preserve">21 </w:t>
      </w:r>
      <w:r w:rsidRPr="00A67C36">
        <w:rPr>
          <w:rFonts w:hint="eastAsia"/>
          <w:b/>
          <w:i/>
        </w:rPr>
        <w:t>世紀兩岸高等敎育發展前景」學術研討會論文集與研討會實錄</w:t>
      </w:r>
      <w:r w:rsidRPr="00A67C36">
        <w:rPr>
          <w:rFonts w:hint="eastAsia"/>
        </w:rPr>
        <w:t>（頁</w:t>
      </w:r>
      <w:r w:rsidRPr="00A67C36">
        <w:t>283</w:t>
      </w:r>
      <w:r w:rsidRPr="00A67C36">
        <w:rPr>
          <w:rFonts w:hint="eastAsia"/>
        </w:rPr>
        <w:t>~</w:t>
      </w:r>
      <w:r w:rsidRPr="00A67C36">
        <w:t>330</w:t>
      </w:r>
      <w:r w:rsidRPr="00A67C36">
        <w:rPr>
          <w:rFonts w:hint="eastAsia"/>
        </w:rPr>
        <w:t>）。</w:t>
      </w:r>
    </w:p>
  </w:footnote>
  <w:footnote w:id="47">
    <w:p w:rsidR="0001697A" w:rsidRPr="0046257B" w:rsidRDefault="0001697A" w:rsidP="009F3CDF">
      <w:pPr>
        <w:pStyle w:val="aff0"/>
        <w:ind w:left="222" w:hangingChars="101" w:hanging="222"/>
      </w:pPr>
      <w:r>
        <w:rPr>
          <w:rStyle w:val="aff2"/>
        </w:rPr>
        <w:footnoteRef/>
      </w:r>
      <w:r>
        <w:t xml:space="preserve"> </w:t>
      </w:r>
      <w:r w:rsidRPr="0046257B">
        <w:t>原</w:t>
      </w:r>
      <w:r>
        <w:rPr>
          <w:rFonts w:hint="eastAsia"/>
        </w:rPr>
        <w:t>為</w:t>
      </w:r>
      <w:r w:rsidRPr="00B606A3">
        <w:rPr>
          <w:rFonts w:hint="eastAsia"/>
        </w:rPr>
        <w:t>實施原則</w:t>
      </w:r>
      <w:r w:rsidRPr="0046257B">
        <w:t>第</w:t>
      </w:r>
      <w:r w:rsidRPr="0046257B">
        <w:rPr>
          <w:rFonts w:hint="eastAsia"/>
        </w:rPr>
        <w:t>11</w:t>
      </w:r>
      <w:r w:rsidRPr="0046257B">
        <w:t>、</w:t>
      </w:r>
      <w:r w:rsidRPr="0046257B">
        <w:rPr>
          <w:rFonts w:hint="eastAsia"/>
        </w:rPr>
        <w:t>12</w:t>
      </w:r>
      <w:r w:rsidRPr="0046257B">
        <w:t>條</w:t>
      </w:r>
      <w:r>
        <w:rPr>
          <w:rFonts w:hint="eastAsia"/>
        </w:rPr>
        <w:t>，105年9月28日修正後，</w:t>
      </w:r>
      <w:proofErr w:type="gramStart"/>
      <w:r w:rsidRPr="0046257B">
        <w:t>條號變更</w:t>
      </w:r>
      <w:proofErr w:type="gramEnd"/>
      <w:r w:rsidRPr="0046257B">
        <w:t>為第</w:t>
      </w:r>
      <w:r w:rsidRPr="0046257B">
        <w:rPr>
          <w:rFonts w:hint="eastAsia"/>
        </w:rPr>
        <w:t>14</w:t>
      </w:r>
      <w:r w:rsidRPr="0046257B">
        <w:t>、</w:t>
      </w:r>
      <w:r w:rsidRPr="0046257B">
        <w:rPr>
          <w:rFonts w:hint="eastAsia"/>
        </w:rPr>
        <w:t>15</w:t>
      </w:r>
      <w:r w:rsidRPr="0046257B">
        <w:t>條</w:t>
      </w:r>
      <w:r w:rsidRPr="0046257B">
        <w:rPr>
          <w:rFonts w:hint="eastAsia"/>
        </w:rPr>
        <w:t>。</w:t>
      </w:r>
    </w:p>
  </w:footnote>
  <w:footnote w:id="48">
    <w:p w:rsidR="0001697A" w:rsidRPr="00075373" w:rsidRDefault="0001697A" w:rsidP="009F3CDF">
      <w:pPr>
        <w:pStyle w:val="aff0"/>
        <w:ind w:left="222" w:hangingChars="101" w:hanging="222"/>
        <w:rPr>
          <w:color w:val="C00000"/>
        </w:rPr>
      </w:pPr>
      <w:r>
        <w:rPr>
          <w:rStyle w:val="aff2"/>
        </w:rPr>
        <w:footnoteRef/>
      </w:r>
      <w:r>
        <w:t xml:space="preserve"> </w:t>
      </w:r>
      <w:proofErr w:type="gramStart"/>
      <w:r w:rsidRPr="009F3CDF">
        <w:rPr>
          <w:rFonts w:hint="eastAsia"/>
        </w:rPr>
        <w:t>惟</w:t>
      </w:r>
      <w:proofErr w:type="gramEnd"/>
      <w:r w:rsidRPr="009F3CDF">
        <w:rPr>
          <w:rFonts w:hint="eastAsia"/>
        </w:rPr>
        <w:t>教育部官員基於公立大學負有社會責任之立場，多次表示現階段難以推動公私大學同</w:t>
      </w:r>
      <w:proofErr w:type="gramStart"/>
      <w:r w:rsidRPr="009F3CDF">
        <w:rPr>
          <w:rFonts w:hint="eastAsia"/>
        </w:rPr>
        <w:t>額減招</w:t>
      </w:r>
      <w:proofErr w:type="gramEnd"/>
      <w:r w:rsidRPr="009F3CDF">
        <w:rPr>
          <w:rFonts w:hint="eastAsia"/>
        </w:rPr>
        <w:t>政策。</w:t>
      </w:r>
    </w:p>
  </w:footnote>
  <w:footnote w:id="49">
    <w:p w:rsidR="0001697A" w:rsidRDefault="0001697A" w:rsidP="00DC1918">
      <w:pPr>
        <w:pStyle w:val="aff0"/>
        <w:wordWrap w:val="0"/>
        <w:ind w:left="209" w:hangingChars="95" w:hanging="209"/>
        <w:jc w:val="both"/>
      </w:pPr>
      <w:r>
        <w:rPr>
          <w:rStyle w:val="aff2"/>
        </w:rPr>
        <w:footnoteRef/>
      </w:r>
      <w:r>
        <w:t xml:space="preserve"> </w:t>
      </w:r>
      <w:r>
        <w:rPr>
          <w:rFonts w:hint="eastAsia"/>
        </w:rPr>
        <w:t>該基金總額為50億元，本年度教育部先行編列25億元。</w:t>
      </w:r>
    </w:p>
  </w:footnote>
  <w:footnote w:id="50">
    <w:p w:rsidR="0001697A" w:rsidRPr="00E53741" w:rsidRDefault="0001697A" w:rsidP="009F3CDF">
      <w:pPr>
        <w:pStyle w:val="aff0"/>
        <w:wordWrap w:val="0"/>
        <w:ind w:left="209" w:hangingChars="95" w:hanging="209"/>
        <w:jc w:val="both"/>
        <w:rPr>
          <w:rFonts w:hAnsi="標楷體"/>
        </w:rPr>
      </w:pPr>
      <w:r w:rsidRPr="00E53741">
        <w:rPr>
          <w:rStyle w:val="aff2"/>
        </w:rPr>
        <w:footnoteRef/>
      </w:r>
      <w:r w:rsidRPr="00E53741">
        <w:rPr>
          <w:rFonts w:hAnsi="標楷體" w:hint="eastAsia"/>
        </w:rPr>
        <w:t>「</w:t>
      </w:r>
      <w:r w:rsidRPr="00E53741">
        <w:rPr>
          <w:rFonts w:hAnsi="標楷體"/>
        </w:rPr>
        <w:t>公私立大學可否合併？教育部：無法源</w:t>
      </w:r>
      <w:r w:rsidRPr="00E53741">
        <w:rPr>
          <w:rFonts w:hAnsi="標楷體" w:hint="eastAsia"/>
        </w:rPr>
        <w:t>」，</w:t>
      </w:r>
      <w:r w:rsidRPr="00E53741">
        <w:rPr>
          <w:rFonts w:hAnsi="標楷體" w:hint="eastAsia"/>
          <w:b/>
          <w:i/>
        </w:rPr>
        <w:t>蘋果即時</w:t>
      </w:r>
      <w:r w:rsidRPr="00E53741">
        <w:rPr>
          <w:rFonts w:hAnsi="標楷體" w:hint="eastAsia"/>
        </w:rPr>
        <w:t>，102年12月25日。</w:t>
      </w:r>
    </w:p>
    <w:p w:rsidR="0001697A" w:rsidRPr="00E53741" w:rsidRDefault="0001697A" w:rsidP="00DC1918">
      <w:pPr>
        <w:pStyle w:val="aff0"/>
        <w:ind w:firstLineChars="89" w:firstLine="196"/>
        <w:rPr>
          <w:rFonts w:hAnsi="標楷體"/>
        </w:rPr>
      </w:pPr>
      <w:r w:rsidRPr="00E53741">
        <w:rPr>
          <w:rFonts w:hAnsi="標楷體" w:hint="eastAsia"/>
        </w:rPr>
        <w:t>(</w:t>
      </w:r>
      <w:r w:rsidRPr="00E53741">
        <w:rPr>
          <w:rFonts w:hAnsi="標楷體"/>
        </w:rPr>
        <w:t>http://www.appledaily.com.tw/realtimenews/article/new/20131225/314742/</w:t>
      </w:r>
      <w:r w:rsidRPr="00E53741">
        <w:rPr>
          <w:rFonts w:hAnsi="標楷體" w:hint="eastAsia"/>
        </w:rPr>
        <w:t>)</w:t>
      </w:r>
    </w:p>
  </w:footnote>
  <w:footnote w:id="51">
    <w:p w:rsidR="0001697A" w:rsidRPr="00E53741" w:rsidRDefault="0001697A" w:rsidP="009F3CDF">
      <w:pPr>
        <w:pStyle w:val="aff0"/>
        <w:wordWrap w:val="0"/>
        <w:ind w:left="209" w:hangingChars="95" w:hanging="209"/>
        <w:jc w:val="both"/>
        <w:rPr>
          <w:rFonts w:hAnsi="標楷體"/>
        </w:rPr>
      </w:pPr>
      <w:r w:rsidRPr="00E53741">
        <w:rPr>
          <w:rStyle w:val="aff2"/>
        </w:rPr>
        <w:footnoteRef/>
      </w:r>
      <w:r w:rsidRPr="00E53741">
        <w:t xml:space="preserve"> </w:t>
      </w:r>
      <w:r w:rsidRPr="00E53741">
        <w:rPr>
          <w:rFonts w:hAnsi="標楷體" w:hint="eastAsia"/>
        </w:rPr>
        <w:t>102年12月25日立法院第8屆第4會期財政、外交及國防、教育及文化委員會第1次聯席會議紀錄，</w:t>
      </w:r>
      <w:r w:rsidRPr="00E53741">
        <w:rPr>
          <w:rFonts w:hAnsi="標楷體" w:hint="eastAsia"/>
          <w:b/>
          <w:i/>
        </w:rPr>
        <w:t>立法院公報</w:t>
      </w:r>
      <w:r w:rsidRPr="00E53741">
        <w:rPr>
          <w:rFonts w:hAnsi="標楷體" w:hint="eastAsia"/>
        </w:rPr>
        <w:t>，第103卷，第6期，第230-231頁：</w:t>
      </w:r>
    </w:p>
    <w:p w:rsidR="0001697A" w:rsidRPr="00E53741" w:rsidRDefault="0001697A" w:rsidP="00DC1918">
      <w:pPr>
        <w:pStyle w:val="aff0"/>
        <w:ind w:leftChars="83" w:left="1559" w:hangingChars="580" w:hanging="1277"/>
        <w:rPr>
          <w:rFonts w:hAnsi="標楷體"/>
        </w:rPr>
      </w:pPr>
      <w:r w:rsidRPr="00E53741">
        <w:rPr>
          <w:rFonts w:hAnsi="標楷體" w:hint="eastAsia"/>
        </w:rPr>
        <w:t>林委員德福：台南的興國管理學院曾接洽過由國立清華大學接手的可能性，興國管理學院表示學校的校園，包含校舍在內，建設都非常完整，而且學校也沒有負債，目前仍有2億多的校務基金，如果可以合併的話，等於是將學校附加嫁妝免費送給清大，請問教育部會不會允許附加條件的讓國立大學</w:t>
      </w:r>
      <w:proofErr w:type="gramStart"/>
      <w:r w:rsidRPr="00E53741">
        <w:rPr>
          <w:rFonts w:hAnsi="標楷體" w:hint="eastAsia"/>
        </w:rPr>
        <w:t>併</w:t>
      </w:r>
      <w:proofErr w:type="gramEnd"/>
      <w:r w:rsidRPr="00E53741">
        <w:rPr>
          <w:rFonts w:hAnsi="標楷體" w:hint="eastAsia"/>
        </w:rPr>
        <w:t>私立大學？</w:t>
      </w:r>
    </w:p>
    <w:p w:rsidR="0001697A" w:rsidRPr="00E53741" w:rsidRDefault="0001697A" w:rsidP="00DC1918">
      <w:pPr>
        <w:pStyle w:val="aff0"/>
        <w:ind w:leftChars="83" w:left="1559" w:hangingChars="580" w:hanging="1277"/>
        <w:rPr>
          <w:rFonts w:hAnsi="標楷體"/>
        </w:rPr>
      </w:pPr>
      <w:r w:rsidRPr="00E53741">
        <w:rPr>
          <w:rFonts w:hAnsi="標楷體" w:hint="eastAsia"/>
        </w:rPr>
        <w:t>黃次長碧端：以目前來講，並沒有法源可以讓私校併入國立大學，所以…</w:t>
      </w:r>
      <w:proofErr w:type="gramStart"/>
      <w:r w:rsidRPr="00E53741">
        <w:rPr>
          <w:rFonts w:hAnsi="標楷體" w:hint="eastAsia"/>
        </w:rPr>
        <w:t>…</w:t>
      </w:r>
      <w:proofErr w:type="gramEnd"/>
    </w:p>
    <w:p w:rsidR="0001697A" w:rsidRPr="00E53741" w:rsidRDefault="0001697A" w:rsidP="00DC1918">
      <w:pPr>
        <w:pStyle w:val="aff0"/>
        <w:ind w:leftChars="83" w:left="1559" w:hangingChars="580" w:hanging="1277"/>
        <w:rPr>
          <w:rFonts w:hAnsi="標楷體"/>
        </w:rPr>
      </w:pPr>
      <w:r w:rsidRPr="00E53741">
        <w:rPr>
          <w:rFonts w:hAnsi="標楷體" w:hint="eastAsia"/>
        </w:rPr>
        <w:t>林委員德福：如果現在沒有法源，請問教育部有沒有想過未來去制定法源？因為這是我們必然要面對的問題，如果不設法將這個問題點突破，進而解決問題，問題還是會留在那裡，等於是在耗時間而已，你會不會這樣覺得？</w:t>
      </w:r>
    </w:p>
    <w:p w:rsidR="0001697A" w:rsidRPr="0082749A" w:rsidRDefault="0001697A" w:rsidP="00DC1918">
      <w:pPr>
        <w:pStyle w:val="aff0"/>
        <w:ind w:leftChars="83" w:left="1559" w:hangingChars="580" w:hanging="1277"/>
        <w:rPr>
          <w:rFonts w:hAnsi="標楷體"/>
          <w:color w:val="E36C0A" w:themeColor="accent6" w:themeShade="BF"/>
        </w:rPr>
      </w:pPr>
      <w:r w:rsidRPr="00E53741">
        <w:rPr>
          <w:rFonts w:hAnsi="標楷體" w:hint="eastAsia"/>
        </w:rPr>
        <w:t>黃次長碧端：對，但是以興國來說，這是它主觀的意願，如果我們覺得這個方向是可行的，當然就會去創造新的法源，也就是必須去修法，假如修法成功，將來才有這個可能性，但是以目前來講是沒有的。</w:t>
      </w:r>
    </w:p>
  </w:footnote>
  <w:footnote w:id="52">
    <w:p w:rsidR="0001697A" w:rsidRPr="009F3CDF" w:rsidRDefault="0001697A" w:rsidP="009F3CDF">
      <w:pPr>
        <w:pStyle w:val="aff0"/>
        <w:wordWrap w:val="0"/>
        <w:ind w:left="209" w:hangingChars="95" w:hanging="209"/>
        <w:jc w:val="both"/>
        <w:rPr>
          <w:rFonts w:hAnsi="標楷體"/>
        </w:rPr>
      </w:pPr>
      <w:r w:rsidRPr="009F3CDF">
        <w:rPr>
          <w:rStyle w:val="aff2"/>
        </w:rPr>
        <w:footnoteRef/>
      </w:r>
      <w:r w:rsidRPr="009F3CDF">
        <w:rPr>
          <w:rFonts w:hAnsi="標楷體" w:hint="eastAsia"/>
        </w:rPr>
        <w:t xml:space="preserve"> 教育部106年6月1日</w:t>
      </w:r>
      <w:proofErr w:type="gramStart"/>
      <w:r w:rsidRPr="009F3CDF">
        <w:rPr>
          <w:rFonts w:hAnsi="標楷體" w:hint="eastAsia"/>
        </w:rPr>
        <w:t>臺</w:t>
      </w:r>
      <w:proofErr w:type="gramEnd"/>
      <w:r w:rsidRPr="009F3CDF">
        <w:rPr>
          <w:rFonts w:hAnsi="標楷體" w:hint="eastAsia"/>
        </w:rPr>
        <w:t>教高</w:t>
      </w:r>
      <w:r w:rsidRPr="009F3CDF">
        <w:rPr>
          <w:rFonts w:hAnsi="標楷體"/>
        </w:rPr>
        <w:t>(</w:t>
      </w:r>
      <w:r w:rsidRPr="009F3CDF">
        <w:rPr>
          <w:rFonts w:hAnsi="標楷體" w:hint="eastAsia"/>
        </w:rPr>
        <w:t>三</w:t>
      </w:r>
      <w:r w:rsidRPr="009F3CDF">
        <w:rPr>
          <w:rFonts w:hAnsi="標楷體"/>
        </w:rPr>
        <w:t>)</w:t>
      </w:r>
      <w:r w:rsidRPr="009F3CDF">
        <w:rPr>
          <w:rFonts w:hAnsi="標楷體" w:hint="eastAsia"/>
        </w:rPr>
        <w:t>宇第</w:t>
      </w:r>
      <w:r w:rsidRPr="009F3CDF">
        <w:rPr>
          <w:rFonts w:hAnsi="標楷體"/>
        </w:rPr>
        <w:t>1060072475</w:t>
      </w:r>
      <w:r w:rsidRPr="009F3CDF">
        <w:rPr>
          <w:rFonts w:hAnsi="標楷體" w:hint="eastAsia"/>
        </w:rPr>
        <w:t>號函。</w:t>
      </w:r>
    </w:p>
  </w:footnote>
  <w:footnote w:id="53">
    <w:p w:rsidR="0001697A" w:rsidRDefault="0001697A" w:rsidP="009F3CDF">
      <w:pPr>
        <w:pStyle w:val="aff0"/>
        <w:wordWrap w:val="0"/>
        <w:ind w:left="209" w:hangingChars="95" w:hanging="209"/>
        <w:jc w:val="both"/>
      </w:pPr>
      <w:r w:rsidRPr="009F3CDF">
        <w:rPr>
          <w:rStyle w:val="aff2"/>
        </w:rPr>
        <w:footnoteRef/>
      </w:r>
      <w:r w:rsidRPr="009F3CDF">
        <w:rPr>
          <w:rFonts w:hAnsi="標楷體" w:hint="eastAsia"/>
        </w:rPr>
        <w:t xml:space="preserve"> 教育部105年10月14日</w:t>
      </w:r>
      <w:proofErr w:type="gramStart"/>
      <w:r w:rsidRPr="009F3CDF">
        <w:rPr>
          <w:rFonts w:hAnsi="標楷體" w:hint="eastAsia"/>
        </w:rPr>
        <w:t>臺</w:t>
      </w:r>
      <w:proofErr w:type="gramEnd"/>
      <w:r w:rsidRPr="009F3CDF">
        <w:rPr>
          <w:rFonts w:hAnsi="標楷體" w:hint="eastAsia"/>
        </w:rPr>
        <w:t>教高</w:t>
      </w:r>
      <w:r w:rsidRPr="009F3CDF">
        <w:rPr>
          <w:rFonts w:hAnsi="標楷體"/>
        </w:rPr>
        <w:t>(</w:t>
      </w:r>
      <w:r w:rsidRPr="009F3CDF">
        <w:rPr>
          <w:rFonts w:hAnsi="標楷體" w:hint="eastAsia"/>
        </w:rPr>
        <w:t>三</w:t>
      </w:r>
      <w:r w:rsidRPr="009F3CDF">
        <w:rPr>
          <w:rFonts w:hAnsi="標楷體"/>
        </w:rPr>
        <w:t>)</w:t>
      </w:r>
      <w:r w:rsidRPr="009F3CDF">
        <w:rPr>
          <w:rFonts w:hAnsi="標楷體" w:hint="eastAsia"/>
        </w:rPr>
        <w:t>字第</w:t>
      </w:r>
      <w:r w:rsidRPr="009F3CDF">
        <w:rPr>
          <w:rFonts w:hAnsi="標楷體"/>
        </w:rPr>
        <w:t>1050130461</w:t>
      </w:r>
      <w:r w:rsidRPr="009F3CDF">
        <w:rPr>
          <w:rFonts w:hAnsi="標楷體"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186"/>
    <w:multiLevelType w:val="hybridMultilevel"/>
    <w:tmpl w:val="7C44D052"/>
    <w:lvl w:ilvl="0" w:tplc="B3A0A7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DB4548"/>
    <w:multiLevelType w:val="hybridMultilevel"/>
    <w:tmpl w:val="1BB40A4C"/>
    <w:lvl w:ilvl="0" w:tplc="0F520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182B1D"/>
    <w:multiLevelType w:val="hybridMultilevel"/>
    <w:tmpl w:val="4FDC325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140E010C"/>
    <w:multiLevelType w:val="multilevel"/>
    <w:tmpl w:val="219E0B3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D55193"/>
    <w:multiLevelType w:val="hybridMultilevel"/>
    <w:tmpl w:val="C33ECD8A"/>
    <w:lvl w:ilvl="0" w:tplc="83C22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651BD5"/>
    <w:multiLevelType w:val="hybridMultilevel"/>
    <w:tmpl w:val="C6DA2FFC"/>
    <w:lvl w:ilvl="0" w:tplc="2242C5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DE73A9"/>
    <w:multiLevelType w:val="hybridMultilevel"/>
    <w:tmpl w:val="A0C4E9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E2642E"/>
    <w:multiLevelType w:val="hybridMultilevel"/>
    <w:tmpl w:val="1F846D2E"/>
    <w:lvl w:ilvl="0" w:tplc="B1E2A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63331C"/>
    <w:multiLevelType w:val="hybridMultilevel"/>
    <w:tmpl w:val="A0C4E9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AA505E14"/>
    <w:lvl w:ilvl="0" w:tplc="8980713E">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607865"/>
    <w:multiLevelType w:val="hybridMultilevel"/>
    <w:tmpl w:val="C33ECD8A"/>
    <w:lvl w:ilvl="0" w:tplc="83C22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1523EB"/>
    <w:multiLevelType w:val="hybridMultilevel"/>
    <w:tmpl w:val="70D6621E"/>
    <w:lvl w:ilvl="0" w:tplc="27C4FE28">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color w:val="auto"/>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D265FA"/>
    <w:multiLevelType w:val="hybridMultilevel"/>
    <w:tmpl w:val="3F04DA64"/>
    <w:lvl w:ilvl="0" w:tplc="F45C06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4A5F5684"/>
    <w:multiLevelType w:val="hybridMultilevel"/>
    <w:tmpl w:val="4FF28D92"/>
    <w:lvl w:ilvl="0" w:tplc="7ABE298C">
      <w:start w:val="16"/>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B8E3BFA"/>
    <w:multiLevelType w:val="hybridMultilevel"/>
    <w:tmpl w:val="2C3C7E30"/>
    <w:lvl w:ilvl="0" w:tplc="04090019">
      <w:start w:val="1"/>
      <w:numFmt w:val="ideographTraditional"/>
      <w:lvlText w:val="%1、"/>
      <w:lvlJc w:val="left"/>
      <w:pPr>
        <w:ind w:left="1840" w:hanging="480"/>
      </w:p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F64646"/>
    <w:multiLevelType w:val="hybridMultilevel"/>
    <w:tmpl w:val="4D5C4A20"/>
    <w:lvl w:ilvl="0" w:tplc="960013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3B43B7"/>
    <w:multiLevelType w:val="hybridMultilevel"/>
    <w:tmpl w:val="4D5C4A20"/>
    <w:lvl w:ilvl="0" w:tplc="960013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3A134BB"/>
    <w:multiLevelType w:val="hybridMultilevel"/>
    <w:tmpl w:val="A85A12D2"/>
    <w:lvl w:ilvl="0" w:tplc="D51297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5"/>
  </w:num>
  <w:num w:numId="3">
    <w:abstractNumId w:val="1"/>
  </w:num>
  <w:num w:numId="4">
    <w:abstractNumId w:val="15"/>
  </w:num>
  <w:num w:numId="5">
    <w:abstractNumId w:val="11"/>
  </w:num>
  <w:num w:numId="6">
    <w:abstractNumId w:val="17"/>
  </w:num>
  <w:num w:numId="7">
    <w:abstractNumId w:val="4"/>
  </w:num>
  <w:num w:numId="8">
    <w:abstractNumId w:val="19"/>
  </w:num>
  <w:num w:numId="9">
    <w:abstractNumId w:val="13"/>
  </w:num>
  <w:num w:numId="10">
    <w:abstractNumId w:val="18"/>
  </w:num>
  <w:num w:numId="11">
    <w:abstractNumId w:val="6"/>
  </w:num>
  <w:num w:numId="12">
    <w:abstractNumId w:val="9"/>
  </w:num>
  <w:num w:numId="13">
    <w:abstractNumId w:val="2"/>
  </w:num>
  <w:num w:numId="14">
    <w:abstractNumId w:val="3"/>
  </w:num>
  <w:num w:numId="15">
    <w:abstractNumId w:val="13"/>
  </w:num>
  <w:num w:numId="16">
    <w:abstractNumId w:val="12"/>
  </w:num>
  <w:num w:numId="17">
    <w:abstractNumId w:val="20"/>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5"/>
    <w:lvlOverride w:ilvl="0">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4"/>
  </w:num>
  <w:num w:numId="32">
    <w:abstractNumId w:val="10"/>
  </w:num>
  <w:num w:numId="33">
    <w:abstractNumId w:val="0"/>
  </w:num>
  <w:num w:numId="34">
    <w:abstractNumId w:val="7"/>
  </w:num>
  <w:num w:numId="35">
    <w:abstractNumId w:val="21"/>
  </w:num>
  <w:num w:numId="36">
    <w:abstractNumId w:val="8"/>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
  </w:num>
  <w:num w:numId="4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2"/>
  </w:mailMerge>
  <w:defaultTabStop w:val="0"/>
  <w:drawingGridHorizontalSpacing w:val="170"/>
  <w:drawingGridVerticalSpacing w:val="457"/>
  <w:displayHorizontalDrawingGridEvery w:val="0"/>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14"/>
    <w:rsid w:val="00000C7C"/>
    <w:rsid w:val="00004F4F"/>
    <w:rsid w:val="0000562A"/>
    <w:rsid w:val="00006961"/>
    <w:rsid w:val="00010135"/>
    <w:rsid w:val="000112BF"/>
    <w:rsid w:val="00012002"/>
    <w:rsid w:val="00012233"/>
    <w:rsid w:val="00013EB5"/>
    <w:rsid w:val="00014005"/>
    <w:rsid w:val="0001697A"/>
    <w:rsid w:val="00017318"/>
    <w:rsid w:val="00020C1D"/>
    <w:rsid w:val="000218F2"/>
    <w:rsid w:val="00023B44"/>
    <w:rsid w:val="000246F7"/>
    <w:rsid w:val="0002574B"/>
    <w:rsid w:val="0003114D"/>
    <w:rsid w:val="00035399"/>
    <w:rsid w:val="00036D76"/>
    <w:rsid w:val="00037EBE"/>
    <w:rsid w:val="0004005B"/>
    <w:rsid w:val="000445DF"/>
    <w:rsid w:val="00044FE1"/>
    <w:rsid w:val="00050AAC"/>
    <w:rsid w:val="00050C6C"/>
    <w:rsid w:val="0005396C"/>
    <w:rsid w:val="00057F32"/>
    <w:rsid w:val="00062A25"/>
    <w:rsid w:val="00066760"/>
    <w:rsid w:val="000668DC"/>
    <w:rsid w:val="0007225D"/>
    <w:rsid w:val="00072BBD"/>
    <w:rsid w:val="00072F2D"/>
    <w:rsid w:val="00073CB5"/>
    <w:rsid w:val="0007425C"/>
    <w:rsid w:val="000749F7"/>
    <w:rsid w:val="00075373"/>
    <w:rsid w:val="00076FAC"/>
    <w:rsid w:val="00077553"/>
    <w:rsid w:val="00082863"/>
    <w:rsid w:val="000844C3"/>
    <w:rsid w:val="00084F72"/>
    <w:rsid w:val="000851A2"/>
    <w:rsid w:val="00086E5C"/>
    <w:rsid w:val="00091026"/>
    <w:rsid w:val="00091491"/>
    <w:rsid w:val="0009352E"/>
    <w:rsid w:val="00093D2B"/>
    <w:rsid w:val="00096B96"/>
    <w:rsid w:val="000A1D5D"/>
    <w:rsid w:val="000A2F3F"/>
    <w:rsid w:val="000A3A27"/>
    <w:rsid w:val="000B0864"/>
    <w:rsid w:val="000B0B4A"/>
    <w:rsid w:val="000B279A"/>
    <w:rsid w:val="000B303A"/>
    <w:rsid w:val="000B61D2"/>
    <w:rsid w:val="000B70A7"/>
    <w:rsid w:val="000B71D7"/>
    <w:rsid w:val="000C495F"/>
    <w:rsid w:val="000C656E"/>
    <w:rsid w:val="000C789B"/>
    <w:rsid w:val="000D15EF"/>
    <w:rsid w:val="000D6C7F"/>
    <w:rsid w:val="000D6EC8"/>
    <w:rsid w:val="000E0D89"/>
    <w:rsid w:val="000E32B0"/>
    <w:rsid w:val="000E50C2"/>
    <w:rsid w:val="000E6431"/>
    <w:rsid w:val="000F16C9"/>
    <w:rsid w:val="000F21A5"/>
    <w:rsid w:val="000F55EC"/>
    <w:rsid w:val="000F656E"/>
    <w:rsid w:val="000F6BB0"/>
    <w:rsid w:val="00102B9F"/>
    <w:rsid w:val="001044B5"/>
    <w:rsid w:val="001049EB"/>
    <w:rsid w:val="00105500"/>
    <w:rsid w:val="00106D74"/>
    <w:rsid w:val="001105EA"/>
    <w:rsid w:val="00112637"/>
    <w:rsid w:val="00112ABC"/>
    <w:rsid w:val="00113021"/>
    <w:rsid w:val="0011331B"/>
    <w:rsid w:val="0012001E"/>
    <w:rsid w:val="00120EBC"/>
    <w:rsid w:val="00125FA4"/>
    <w:rsid w:val="00126A55"/>
    <w:rsid w:val="00126BFB"/>
    <w:rsid w:val="001318E6"/>
    <w:rsid w:val="00132B32"/>
    <w:rsid w:val="00133982"/>
    <w:rsid w:val="00133F08"/>
    <w:rsid w:val="001345E6"/>
    <w:rsid w:val="001378B0"/>
    <w:rsid w:val="00142731"/>
    <w:rsid w:val="00142E00"/>
    <w:rsid w:val="00143C23"/>
    <w:rsid w:val="001468BE"/>
    <w:rsid w:val="00146F6D"/>
    <w:rsid w:val="001509C0"/>
    <w:rsid w:val="00152793"/>
    <w:rsid w:val="00152A1B"/>
    <w:rsid w:val="00153B7E"/>
    <w:rsid w:val="001545A9"/>
    <w:rsid w:val="00155AF2"/>
    <w:rsid w:val="001615DE"/>
    <w:rsid w:val="00162D39"/>
    <w:rsid w:val="001637C7"/>
    <w:rsid w:val="0016480E"/>
    <w:rsid w:val="00164A65"/>
    <w:rsid w:val="00165548"/>
    <w:rsid w:val="00166176"/>
    <w:rsid w:val="00166598"/>
    <w:rsid w:val="00173E22"/>
    <w:rsid w:val="00174297"/>
    <w:rsid w:val="00177680"/>
    <w:rsid w:val="00180066"/>
    <w:rsid w:val="00180E06"/>
    <w:rsid w:val="0018121F"/>
    <w:rsid w:val="001817B3"/>
    <w:rsid w:val="00181A44"/>
    <w:rsid w:val="00183014"/>
    <w:rsid w:val="00187576"/>
    <w:rsid w:val="00187C91"/>
    <w:rsid w:val="00194B29"/>
    <w:rsid w:val="00194FF7"/>
    <w:rsid w:val="001956F0"/>
    <w:rsid w:val="001959C2"/>
    <w:rsid w:val="0019749C"/>
    <w:rsid w:val="00197664"/>
    <w:rsid w:val="001A51E3"/>
    <w:rsid w:val="001A7968"/>
    <w:rsid w:val="001B1BED"/>
    <w:rsid w:val="001B2201"/>
    <w:rsid w:val="001B25D8"/>
    <w:rsid w:val="001B2E98"/>
    <w:rsid w:val="001B3483"/>
    <w:rsid w:val="001B3C1E"/>
    <w:rsid w:val="001B4494"/>
    <w:rsid w:val="001B57D0"/>
    <w:rsid w:val="001B5974"/>
    <w:rsid w:val="001B6D35"/>
    <w:rsid w:val="001C0513"/>
    <w:rsid w:val="001C0D8B"/>
    <w:rsid w:val="001C0DA8"/>
    <w:rsid w:val="001C1AF4"/>
    <w:rsid w:val="001C3496"/>
    <w:rsid w:val="001C501F"/>
    <w:rsid w:val="001C6244"/>
    <w:rsid w:val="001C64D2"/>
    <w:rsid w:val="001D1EA8"/>
    <w:rsid w:val="001D1FF8"/>
    <w:rsid w:val="001D4AD7"/>
    <w:rsid w:val="001E02E3"/>
    <w:rsid w:val="001E0D8A"/>
    <w:rsid w:val="001E48A4"/>
    <w:rsid w:val="001E67BA"/>
    <w:rsid w:val="001E74C2"/>
    <w:rsid w:val="001F0E2F"/>
    <w:rsid w:val="001F5A48"/>
    <w:rsid w:val="001F5A77"/>
    <w:rsid w:val="001F6260"/>
    <w:rsid w:val="001F740D"/>
    <w:rsid w:val="001F76D3"/>
    <w:rsid w:val="00200007"/>
    <w:rsid w:val="002030A5"/>
    <w:rsid w:val="00203131"/>
    <w:rsid w:val="0021044F"/>
    <w:rsid w:val="002108A9"/>
    <w:rsid w:val="00210AAB"/>
    <w:rsid w:val="00211557"/>
    <w:rsid w:val="00212E6A"/>
    <w:rsid w:val="00212E88"/>
    <w:rsid w:val="00213C9C"/>
    <w:rsid w:val="00216ABC"/>
    <w:rsid w:val="0021744A"/>
    <w:rsid w:val="0022009E"/>
    <w:rsid w:val="00221AFA"/>
    <w:rsid w:val="00223241"/>
    <w:rsid w:val="0022425C"/>
    <w:rsid w:val="002246DE"/>
    <w:rsid w:val="00224FEC"/>
    <w:rsid w:val="00225277"/>
    <w:rsid w:val="00226CA4"/>
    <w:rsid w:val="0023224C"/>
    <w:rsid w:val="00232AEE"/>
    <w:rsid w:val="00233031"/>
    <w:rsid w:val="00233287"/>
    <w:rsid w:val="00235C17"/>
    <w:rsid w:val="00236017"/>
    <w:rsid w:val="002475D5"/>
    <w:rsid w:val="00252BC4"/>
    <w:rsid w:val="00254014"/>
    <w:rsid w:val="00261B62"/>
    <w:rsid w:val="0026504D"/>
    <w:rsid w:val="00273A2F"/>
    <w:rsid w:val="0027567F"/>
    <w:rsid w:val="00280986"/>
    <w:rsid w:val="00281ECE"/>
    <w:rsid w:val="002831C7"/>
    <w:rsid w:val="002840C6"/>
    <w:rsid w:val="0028599C"/>
    <w:rsid w:val="00295174"/>
    <w:rsid w:val="00296172"/>
    <w:rsid w:val="00296B92"/>
    <w:rsid w:val="002A2365"/>
    <w:rsid w:val="002A2C22"/>
    <w:rsid w:val="002A3E8E"/>
    <w:rsid w:val="002A3F6A"/>
    <w:rsid w:val="002A4D82"/>
    <w:rsid w:val="002B02EB"/>
    <w:rsid w:val="002B737D"/>
    <w:rsid w:val="002B741F"/>
    <w:rsid w:val="002C0602"/>
    <w:rsid w:val="002C35E1"/>
    <w:rsid w:val="002C3FE9"/>
    <w:rsid w:val="002C545D"/>
    <w:rsid w:val="002C7D39"/>
    <w:rsid w:val="002D05F9"/>
    <w:rsid w:val="002D4F25"/>
    <w:rsid w:val="002D5C16"/>
    <w:rsid w:val="002D7133"/>
    <w:rsid w:val="002E3081"/>
    <w:rsid w:val="002E58E6"/>
    <w:rsid w:val="002E6E0C"/>
    <w:rsid w:val="002F1AC7"/>
    <w:rsid w:val="002F3DFF"/>
    <w:rsid w:val="002F522E"/>
    <w:rsid w:val="002F5A98"/>
    <w:rsid w:val="002F5E05"/>
    <w:rsid w:val="002F7397"/>
    <w:rsid w:val="002F7B57"/>
    <w:rsid w:val="0030216B"/>
    <w:rsid w:val="00302679"/>
    <w:rsid w:val="003078D1"/>
    <w:rsid w:val="00312F86"/>
    <w:rsid w:val="0031532F"/>
    <w:rsid w:val="00315A16"/>
    <w:rsid w:val="00315CA9"/>
    <w:rsid w:val="00317053"/>
    <w:rsid w:val="00320C4D"/>
    <w:rsid w:val="0032109C"/>
    <w:rsid w:val="00322B45"/>
    <w:rsid w:val="003236FD"/>
    <w:rsid w:val="00323809"/>
    <w:rsid w:val="00323D41"/>
    <w:rsid w:val="00324718"/>
    <w:rsid w:val="00325414"/>
    <w:rsid w:val="003302F1"/>
    <w:rsid w:val="00333570"/>
    <w:rsid w:val="0034013F"/>
    <w:rsid w:val="00343DFF"/>
    <w:rsid w:val="0034470E"/>
    <w:rsid w:val="00344727"/>
    <w:rsid w:val="0034676B"/>
    <w:rsid w:val="00350001"/>
    <w:rsid w:val="00351AA4"/>
    <w:rsid w:val="00352DB0"/>
    <w:rsid w:val="00353EC3"/>
    <w:rsid w:val="00354BFA"/>
    <w:rsid w:val="00356DF7"/>
    <w:rsid w:val="003575ED"/>
    <w:rsid w:val="00361063"/>
    <w:rsid w:val="00363338"/>
    <w:rsid w:val="003671EF"/>
    <w:rsid w:val="0037094A"/>
    <w:rsid w:val="00371ED3"/>
    <w:rsid w:val="00372CA3"/>
    <w:rsid w:val="00372FFC"/>
    <w:rsid w:val="00373E0A"/>
    <w:rsid w:val="0037728A"/>
    <w:rsid w:val="00380B7D"/>
    <w:rsid w:val="00381897"/>
    <w:rsid w:val="00381A99"/>
    <w:rsid w:val="003820BD"/>
    <w:rsid w:val="003822FD"/>
    <w:rsid w:val="003829C2"/>
    <w:rsid w:val="003830B2"/>
    <w:rsid w:val="00383CC1"/>
    <w:rsid w:val="00384724"/>
    <w:rsid w:val="003853C5"/>
    <w:rsid w:val="0038628E"/>
    <w:rsid w:val="003919B7"/>
    <w:rsid w:val="00391D57"/>
    <w:rsid w:val="00392292"/>
    <w:rsid w:val="003926D6"/>
    <w:rsid w:val="0039581A"/>
    <w:rsid w:val="00396268"/>
    <w:rsid w:val="003A1BF6"/>
    <w:rsid w:val="003A5506"/>
    <w:rsid w:val="003A5EAE"/>
    <w:rsid w:val="003B1017"/>
    <w:rsid w:val="003B3B49"/>
    <w:rsid w:val="003B3C07"/>
    <w:rsid w:val="003B6775"/>
    <w:rsid w:val="003C1FDB"/>
    <w:rsid w:val="003C2051"/>
    <w:rsid w:val="003C23C2"/>
    <w:rsid w:val="003C2FB8"/>
    <w:rsid w:val="003C3344"/>
    <w:rsid w:val="003C5FE2"/>
    <w:rsid w:val="003D05FB"/>
    <w:rsid w:val="003D1B16"/>
    <w:rsid w:val="003D1FC6"/>
    <w:rsid w:val="003D45BF"/>
    <w:rsid w:val="003D508A"/>
    <w:rsid w:val="003D537F"/>
    <w:rsid w:val="003D6988"/>
    <w:rsid w:val="003D7B75"/>
    <w:rsid w:val="003E0208"/>
    <w:rsid w:val="003E4B57"/>
    <w:rsid w:val="003E7286"/>
    <w:rsid w:val="003F1604"/>
    <w:rsid w:val="003F27E1"/>
    <w:rsid w:val="003F437A"/>
    <w:rsid w:val="003F5C2B"/>
    <w:rsid w:val="00400D4F"/>
    <w:rsid w:val="004023E9"/>
    <w:rsid w:val="0040454A"/>
    <w:rsid w:val="00404942"/>
    <w:rsid w:val="0041050C"/>
    <w:rsid w:val="00410848"/>
    <w:rsid w:val="00413F66"/>
    <w:rsid w:val="00413F83"/>
    <w:rsid w:val="0041490C"/>
    <w:rsid w:val="00416191"/>
    <w:rsid w:val="00416721"/>
    <w:rsid w:val="004167BF"/>
    <w:rsid w:val="00416F83"/>
    <w:rsid w:val="00416FC8"/>
    <w:rsid w:val="00421EF0"/>
    <w:rsid w:val="004224FA"/>
    <w:rsid w:val="00423451"/>
    <w:rsid w:val="00423D07"/>
    <w:rsid w:val="00432068"/>
    <w:rsid w:val="004334A9"/>
    <w:rsid w:val="00435984"/>
    <w:rsid w:val="0044346F"/>
    <w:rsid w:val="0044466A"/>
    <w:rsid w:val="00444E34"/>
    <w:rsid w:val="004518BB"/>
    <w:rsid w:val="0045196C"/>
    <w:rsid w:val="00454A5F"/>
    <w:rsid w:val="004552A1"/>
    <w:rsid w:val="004573EB"/>
    <w:rsid w:val="0046290A"/>
    <w:rsid w:val="0046520A"/>
    <w:rsid w:val="004672AB"/>
    <w:rsid w:val="00470BC7"/>
    <w:rsid w:val="00470BEF"/>
    <w:rsid w:val="00470FE4"/>
    <w:rsid w:val="004713EC"/>
    <w:rsid w:val="004714FE"/>
    <w:rsid w:val="00471BC5"/>
    <w:rsid w:val="00475AA1"/>
    <w:rsid w:val="00477498"/>
    <w:rsid w:val="004776F3"/>
    <w:rsid w:val="00477BAA"/>
    <w:rsid w:val="00485091"/>
    <w:rsid w:val="00486497"/>
    <w:rsid w:val="00494063"/>
    <w:rsid w:val="00495053"/>
    <w:rsid w:val="00497A5C"/>
    <w:rsid w:val="004A1F59"/>
    <w:rsid w:val="004A29BE"/>
    <w:rsid w:val="004A3225"/>
    <w:rsid w:val="004A33EE"/>
    <w:rsid w:val="004A3AA8"/>
    <w:rsid w:val="004A722F"/>
    <w:rsid w:val="004A749B"/>
    <w:rsid w:val="004B13C7"/>
    <w:rsid w:val="004B4806"/>
    <w:rsid w:val="004B778F"/>
    <w:rsid w:val="004C2F0E"/>
    <w:rsid w:val="004C3A02"/>
    <w:rsid w:val="004C4170"/>
    <w:rsid w:val="004C4EE6"/>
    <w:rsid w:val="004C6809"/>
    <w:rsid w:val="004D05C5"/>
    <w:rsid w:val="004D141F"/>
    <w:rsid w:val="004D26E8"/>
    <w:rsid w:val="004D2742"/>
    <w:rsid w:val="004D34A7"/>
    <w:rsid w:val="004D6310"/>
    <w:rsid w:val="004E0062"/>
    <w:rsid w:val="004E05A1"/>
    <w:rsid w:val="004F5E57"/>
    <w:rsid w:val="004F6710"/>
    <w:rsid w:val="004F68D0"/>
    <w:rsid w:val="00500031"/>
    <w:rsid w:val="00500C3E"/>
    <w:rsid w:val="00502849"/>
    <w:rsid w:val="00504334"/>
    <w:rsid w:val="0050498D"/>
    <w:rsid w:val="00505FA8"/>
    <w:rsid w:val="005104D7"/>
    <w:rsid w:val="00510B9E"/>
    <w:rsid w:val="00512688"/>
    <w:rsid w:val="00513C54"/>
    <w:rsid w:val="00514ABB"/>
    <w:rsid w:val="00517C7A"/>
    <w:rsid w:val="00522922"/>
    <w:rsid w:val="00536BC2"/>
    <w:rsid w:val="00536D04"/>
    <w:rsid w:val="005425E1"/>
    <w:rsid w:val="005427C5"/>
    <w:rsid w:val="00542CF6"/>
    <w:rsid w:val="00546EC8"/>
    <w:rsid w:val="00551704"/>
    <w:rsid w:val="00552F5D"/>
    <w:rsid w:val="00553C03"/>
    <w:rsid w:val="00554677"/>
    <w:rsid w:val="00555E76"/>
    <w:rsid w:val="005579B1"/>
    <w:rsid w:val="005635CD"/>
    <w:rsid w:val="00563692"/>
    <w:rsid w:val="00571679"/>
    <w:rsid w:val="005720CC"/>
    <w:rsid w:val="005724A4"/>
    <w:rsid w:val="00572757"/>
    <w:rsid w:val="005844E7"/>
    <w:rsid w:val="00585939"/>
    <w:rsid w:val="005908B8"/>
    <w:rsid w:val="0059512E"/>
    <w:rsid w:val="00596FCC"/>
    <w:rsid w:val="005A38B2"/>
    <w:rsid w:val="005A6DD2"/>
    <w:rsid w:val="005B0413"/>
    <w:rsid w:val="005B077C"/>
    <w:rsid w:val="005B464B"/>
    <w:rsid w:val="005B5013"/>
    <w:rsid w:val="005B784B"/>
    <w:rsid w:val="005C15B0"/>
    <w:rsid w:val="005C36B9"/>
    <w:rsid w:val="005C385D"/>
    <w:rsid w:val="005C5DEC"/>
    <w:rsid w:val="005C739E"/>
    <w:rsid w:val="005D3B20"/>
    <w:rsid w:val="005D3E15"/>
    <w:rsid w:val="005D5B8D"/>
    <w:rsid w:val="005D7F6A"/>
    <w:rsid w:val="005E001A"/>
    <w:rsid w:val="005E4759"/>
    <w:rsid w:val="005E50BE"/>
    <w:rsid w:val="005E5C2C"/>
    <w:rsid w:val="005E5C68"/>
    <w:rsid w:val="005E65C0"/>
    <w:rsid w:val="005F0390"/>
    <w:rsid w:val="005F111C"/>
    <w:rsid w:val="005F2DFC"/>
    <w:rsid w:val="005F2FAC"/>
    <w:rsid w:val="005F44F1"/>
    <w:rsid w:val="005F51F8"/>
    <w:rsid w:val="005F6863"/>
    <w:rsid w:val="005F6E06"/>
    <w:rsid w:val="006008BB"/>
    <w:rsid w:val="00603EAD"/>
    <w:rsid w:val="006050D9"/>
    <w:rsid w:val="00605BAE"/>
    <w:rsid w:val="006065FA"/>
    <w:rsid w:val="006072CD"/>
    <w:rsid w:val="00612023"/>
    <w:rsid w:val="00612272"/>
    <w:rsid w:val="00614080"/>
    <w:rsid w:val="00614190"/>
    <w:rsid w:val="00617865"/>
    <w:rsid w:val="00617B33"/>
    <w:rsid w:val="00621715"/>
    <w:rsid w:val="00622A99"/>
    <w:rsid w:val="00622E67"/>
    <w:rsid w:val="00623FF9"/>
    <w:rsid w:val="00626EDC"/>
    <w:rsid w:val="00630937"/>
    <w:rsid w:val="00644B53"/>
    <w:rsid w:val="00646E08"/>
    <w:rsid w:val="006470EC"/>
    <w:rsid w:val="00652B28"/>
    <w:rsid w:val="006542D6"/>
    <w:rsid w:val="006545EC"/>
    <w:rsid w:val="0065598E"/>
    <w:rsid w:val="00655AF2"/>
    <w:rsid w:val="00655BC5"/>
    <w:rsid w:val="006568BE"/>
    <w:rsid w:val="0065726C"/>
    <w:rsid w:val="00660179"/>
    <w:rsid w:val="0066025D"/>
    <w:rsid w:val="0066091A"/>
    <w:rsid w:val="006773EC"/>
    <w:rsid w:val="00677B40"/>
    <w:rsid w:val="00677EA6"/>
    <w:rsid w:val="00680504"/>
    <w:rsid w:val="00681CD9"/>
    <w:rsid w:val="00683AF2"/>
    <w:rsid w:val="00683E30"/>
    <w:rsid w:val="00687024"/>
    <w:rsid w:val="00690A67"/>
    <w:rsid w:val="00695E22"/>
    <w:rsid w:val="006A4B47"/>
    <w:rsid w:val="006B5B02"/>
    <w:rsid w:val="006B6730"/>
    <w:rsid w:val="006B7093"/>
    <w:rsid w:val="006B7417"/>
    <w:rsid w:val="006B7B0E"/>
    <w:rsid w:val="006C361A"/>
    <w:rsid w:val="006C619F"/>
    <w:rsid w:val="006D079C"/>
    <w:rsid w:val="006D3691"/>
    <w:rsid w:val="006D52D3"/>
    <w:rsid w:val="006E0651"/>
    <w:rsid w:val="006E093F"/>
    <w:rsid w:val="006E5EF0"/>
    <w:rsid w:val="006F0387"/>
    <w:rsid w:val="006F3563"/>
    <w:rsid w:val="006F42B9"/>
    <w:rsid w:val="006F4A9B"/>
    <w:rsid w:val="006F6103"/>
    <w:rsid w:val="006F6D5F"/>
    <w:rsid w:val="006F7856"/>
    <w:rsid w:val="00703896"/>
    <w:rsid w:val="00703C9E"/>
    <w:rsid w:val="00704E00"/>
    <w:rsid w:val="00705AE5"/>
    <w:rsid w:val="007110F6"/>
    <w:rsid w:val="007209E7"/>
    <w:rsid w:val="00720C52"/>
    <w:rsid w:val="00721BE2"/>
    <w:rsid w:val="00723EC9"/>
    <w:rsid w:val="00726182"/>
    <w:rsid w:val="00727635"/>
    <w:rsid w:val="00732329"/>
    <w:rsid w:val="007337CA"/>
    <w:rsid w:val="00733FF5"/>
    <w:rsid w:val="00734CE4"/>
    <w:rsid w:val="00735123"/>
    <w:rsid w:val="0073671F"/>
    <w:rsid w:val="00741837"/>
    <w:rsid w:val="00742DBD"/>
    <w:rsid w:val="007453E6"/>
    <w:rsid w:val="00746BF2"/>
    <w:rsid w:val="00753E14"/>
    <w:rsid w:val="00755720"/>
    <w:rsid w:val="00760FFA"/>
    <w:rsid w:val="00761B3E"/>
    <w:rsid w:val="00764AEB"/>
    <w:rsid w:val="00765E71"/>
    <w:rsid w:val="00770AE4"/>
    <w:rsid w:val="0077309D"/>
    <w:rsid w:val="00773AB4"/>
    <w:rsid w:val="00776EC5"/>
    <w:rsid w:val="007774EE"/>
    <w:rsid w:val="00781822"/>
    <w:rsid w:val="00781AEB"/>
    <w:rsid w:val="00783F21"/>
    <w:rsid w:val="00787159"/>
    <w:rsid w:val="00787DC9"/>
    <w:rsid w:val="0079043A"/>
    <w:rsid w:val="00791668"/>
    <w:rsid w:val="00791AA1"/>
    <w:rsid w:val="007A3793"/>
    <w:rsid w:val="007A51C2"/>
    <w:rsid w:val="007A6245"/>
    <w:rsid w:val="007A63D7"/>
    <w:rsid w:val="007B0DE9"/>
    <w:rsid w:val="007B6F58"/>
    <w:rsid w:val="007C1BA2"/>
    <w:rsid w:val="007C2B48"/>
    <w:rsid w:val="007C3583"/>
    <w:rsid w:val="007C48C0"/>
    <w:rsid w:val="007D19C8"/>
    <w:rsid w:val="007D20E9"/>
    <w:rsid w:val="007D2A37"/>
    <w:rsid w:val="007D7881"/>
    <w:rsid w:val="007D7E3A"/>
    <w:rsid w:val="007E0E10"/>
    <w:rsid w:val="007E19C5"/>
    <w:rsid w:val="007E4768"/>
    <w:rsid w:val="007E5063"/>
    <w:rsid w:val="007E777B"/>
    <w:rsid w:val="007F2070"/>
    <w:rsid w:val="007F3F7D"/>
    <w:rsid w:val="007F49D3"/>
    <w:rsid w:val="00802E6B"/>
    <w:rsid w:val="00804E57"/>
    <w:rsid w:val="0080534D"/>
    <w:rsid w:val="008053F5"/>
    <w:rsid w:val="008067EE"/>
    <w:rsid w:val="008069FA"/>
    <w:rsid w:val="00807AF7"/>
    <w:rsid w:val="00810198"/>
    <w:rsid w:val="008153EA"/>
    <w:rsid w:val="00815DA8"/>
    <w:rsid w:val="00817311"/>
    <w:rsid w:val="00817B1B"/>
    <w:rsid w:val="00821384"/>
    <w:rsid w:val="0082194D"/>
    <w:rsid w:val="008220CF"/>
    <w:rsid w:val="00826EF5"/>
    <w:rsid w:val="0082749A"/>
    <w:rsid w:val="00831693"/>
    <w:rsid w:val="0083322E"/>
    <w:rsid w:val="008349B2"/>
    <w:rsid w:val="00835552"/>
    <w:rsid w:val="00836784"/>
    <w:rsid w:val="00840104"/>
    <w:rsid w:val="00840936"/>
    <w:rsid w:val="00840C1F"/>
    <w:rsid w:val="00841FC5"/>
    <w:rsid w:val="00842BA7"/>
    <w:rsid w:val="008439BD"/>
    <w:rsid w:val="00844521"/>
    <w:rsid w:val="00845709"/>
    <w:rsid w:val="00846292"/>
    <w:rsid w:val="00847E54"/>
    <w:rsid w:val="008517DA"/>
    <w:rsid w:val="00852576"/>
    <w:rsid w:val="00852B57"/>
    <w:rsid w:val="008541F2"/>
    <w:rsid w:val="008576BD"/>
    <w:rsid w:val="00860463"/>
    <w:rsid w:val="00861B6E"/>
    <w:rsid w:val="00863396"/>
    <w:rsid w:val="00864935"/>
    <w:rsid w:val="00867F72"/>
    <w:rsid w:val="008733DA"/>
    <w:rsid w:val="00873AD4"/>
    <w:rsid w:val="0087557C"/>
    <w:rsid w:val="00884B5D"/>
    <w:rsid w:val="008850E4"/>
    <w:rsid w:val="00887606"/>
    <w:rsid w:val="00890A62"/>
    <w:rsid w:val="008939AB"/>
    <w:rsid w:val="00893E8C"/>
    <w:rsid w:val="008A12F5"/>
    <w:rsid w:val="008B0735"/>
    <w:rsid w:val="008B1587"/>
    <w:rsid w:val="008B1B01"/>
    <w:rsid w:val="008B3525"/>
    <w:rsid w:val="008B3BCD"/>
    <w:rsid w:val="008B4C80"/>
    <w:rsid w:val="008B6472"/>
    <w:rsid w:val="008B6DF8"/>
    <w:rsid w:val="008B70F2"/>
    <w:rsid w:val="008C106C"/>
    <w:rsid w:val="008C10F1"/>
    <w:rsid w:val="008C1926"/>
    <w:rsid w:val="008C1E99"/>
    <w:rsid w:val="008D0118"/>
    <w:rsid w:val="008D1DC2"/>
    <w:rsid w:val="008D21A0"/>
    <w:rsid w:val="008D554F"/>
    <w:rsid w:val="008D5E71"/>
    <w:rsid w:val="008E0085"/>
    <w:rsid w:val="008E06C7"/>
    <w:rsid w:val="008E17D5"/>
    <w:rsid w:val="008E2AA6"/>
    <w:rsid w:val="008E311B"/>
    <w:rsid w:val="008E6FC8"/>
    <w:rsid w:val="008F030C"/>
    <w:rsid w:val="008F1E5F"/>
    <w:rsid w:val="008F416F"/>
    <w:rsid w:val="008F46E7"/>
    <w:rsid w:val="008F6F0B"/>
    <w:rsid w:val="008F7A6D"/>
    <w:rsid w:val="00907BA7"/>
    <w:rsid w:val="0091064E"/>
    <w:rsid w:val="00911FC5"/>
    <w:rsid w:val="00912E5A"/>
    <w:rsid w:val="00917ECC"/>
    <w:rsid w:val="00921D0B"/>
    <w:rsid w:val="00922811"/>
    <w:rsid w:val="00922AD6"/>
    <w:rsid w:val="00931A10"/>
    <w:rsid w:val="009337C5"/>
    <w:rsid w:val="00934592"/>
    <w:rsid w:val="00934904"/>
    <w:rsid w:val="0093693F"/>
    <w:rsid w:val="00940200"/>
    <w:rsid w:val="0094115F"/>
    <w:rsid w:val="009453CF"/>
    <w:rsid w:val="00947967"/>
    <w:rsid w:val="009528F0"/>
    <w:rsid w:val="00955201"/>
    <w:rsid w:val="009554F2"/>
    <w:rsid w:val="009555D9"/>
    <w:rsid w:val="00957426"/>
    <w:rsid w:val="009606D9"/>
    <w:rsid w:val="00964EBE"/>
    <w:rsid w:val="00965200"/>
    <w:rsid w:val="00965EA9"/>
    <w:rsid w:val="009668B3"/>
    <w:rsid w:val="00966F54"/>
    <w:rsid w:val="00970B28"/>
    <w:rsid w:val="00971471"/>
    <w:rsid w:val="0097508A"/>
    <w:rsid w:val="00977240"/>
    <w:rsid w:val="0097798F"/>
    <w:rsid w:val="00980D46"/>
    <w:rsid w:val="00981E4A"/>
    <w:rsid w:val="00982F89"/>
    <w:rsid w:val="009849C2"/>
    <w:rsid w:val="00984D24"/>
    <w:rsid w:val="009858EB"/>
    <w:rsid w:val="00987B6B"/>
    <w:rsid w:val="009900DA"/>
    <w:rsid w:val="009917EF"/>
    <w:rsid w:val="00996D05"/>
    <w:rsid w:val="009974A2"/>
    <w:rsid w:val="009A052C"/>
    <w:rsid w:val="009A198D"/>
    <w:rsid w:val="009B0046"/>
    <w:rsid w:val="009B0864"/>
    <w:rsid w:val="009B4D88"/>
    <w:rsid w:val="009B5986"/>
    <w:rsid w:val="009B5FA7"/>
    <w:rsid w:val="009C1440"/>
    <w:rsid w:val="009C1E7B"/>
    <w:rsid w:val="009C2107"/>
    <w:rsid w:val="009C5D9E"/>
    <w:rsid w:val="009C63C1"/>
    <w:rsid w:val="009C6978"/>
    <w:rsid w:val="009D2C3E"/>
    <w:rsid w:val="009E0533"/>
    <w:rsid w:val="009E0625"/>
    <w:rsid w:val="009E0867"/>
    <w:rsid w:val="009E0FD4"/>
    <w:rsid w:val="009E19FB"/>
    <w:rsid w:val="009E3034"/>
    <w:rsid w:val="009E549F"/>
    <w:rsid w:val="009F28A8"/>
    <w:rsid w:val="009F3CDF"/>
    <w:rsid w:val="009F473E"/>
    <w:rsid w:val="009F480F"/>
    <w:rsid w:val="009F682A"/>
    <w:rsid w:val="009F789F"/>
    <w:rsid w:val="00A00437"/>
    <w:rsid w:val="00A00A1C"/>
    <w:rsid w:val="00A022BE"/>
    <w:rsid w:val="00A038F9"/>
    <w:rsid w:val="00A04A2E"/>
    <w:rsid w:val="00A117A5"/>
    <w:rsid w:val="00A11FF3"/>
    <w:rsid w:val="00A13B61"/>
    <w:rsid w:val="00A13BDC"/>
    <w:rsid w:val="00A168B0"/>
    <w:rsid w:val="00A170A0"/>
    <w:rsid w:val="00A24C95"/>
    <w:rsid w:val="00A2599A"/>
    <w:rsid w:val="00A26094"/>
    <w:rsid w:val="00A301BF"/>
    <w:rsid w:val="00A302B2"/>
    <w:rsid w:val="00A329A9"/>
    <w:rsid w:val="00A331B4"/>
    <w:rsid w:val="00A3484E"/>
    <w:rsid w:val="00A356D3"/>
    <w:rsid w:val="00A36ADA"/>
    <w:rsid w:val="00A37E94"/>
    <w:rsid w:val="00A438D8"/>
    <w:rsid w:val="00A473F5"/>
    <w:rsid w:val="00A51F9D"/>
    <w:rsid w:val="00A5324F"/>
    <w:rsid w:val="00A5416A"/>
    <w:rsid w:val="00A5447D"/>
    <w:rsid w:val="00A54AB9"/>
    <w:rsid w:val="00A54E9F"/>
    <w:rsid w:val="00A5749D"/>
    <w:rsid w:val="00A6268D"/>
    <w:rsid w:val="00A639F4"/>
    <w:rsid w:val="00A733CB"/>
    <w:rsid w:val="00A77123"/>
    <w:rsid w:val="00A818A1"/>
    <w:rsid w:val="00A81A32"/>
    <w:rsid w:val="00A835BD"/>
    <w:rsid w:val="00A83D71"/>
    <w:rsid w:val="00A86B5A"/>
    <w:rsid w:val="00A902C3"/>
    <w:rsid w:val="00A903E0"/>
    <w:rsid w:val="00A91602"/>
    <w:rsid w:val="00A954EA"/>
    <w:rsid w:val="00A97894"/>
    <w:rsid w:val="00A97B15"/>
    <w:rsid w:val="00AA0C83"/>
    <w:rsid w:val="00AA42D5"/>
    <w:rsid w:val="00AA73CC"/>
    <w:rsid w:val="00AA75E7"/>
    <w:rsid w:val="00AB0D90"/>
    <w:rsid w:val="00AB2FAB"/>
    <w:rsid w:val="00AB4C6A"/>
    <w:rsid w:val="00AB5C14"/>
    <w:rsid w:val="00AB74B7"/>
    <w:rsid w:val="00AC0AA4"/>
    <w:rsid w:val="00AC0E11"/>
    <w:rsid w:val="00AC152C"/>
    <w:rsid w:val="00AC1EE7"/>
    <w:rsid w:val="00AC1FDE"/>
    <w:rsid w:val="00AC333F"/>
    <w:rsid w:val="00AC40BB"/>
    <w:rsid w:val="00AC585C"/>
    <w:rsid w:val="00AD190C"/>
    <w:rsid w:val="00AD1925"/>
    <w:rsid w:val="00AE067D"/>
    <w:rsid w:val="00AE0ECB"/>
    <w:rsid w:val="00AE4673"/>
    <w:rsid w:val="00AE4BB3"/>
    <w:rsid w:val="00AE52E9"/>
    <w:rsid w:val="00AE6BA3"/>
    <w:rsid w:val="00AE7356"/>
    <w:rsid w:val="00AE787C"/>
    <w:rsid w:val="00AF1181"/>
    <w:rsid w:val="00AF2F79"/>
    <w:rsid w:val="00AF2F85"/>
    <w:rsid w:val="00AF3549"/>
    <w:rsid w:val="00AF390C"/>
    <w:rsid w:val="00AF4653"/>
    <w:rsid w:val="00AF7DB7"/>
    <w:rsid w:val="00B03EAC"/>
    <w:rsid w:val="00B047F9"/>
    <w:rsid w:val="00B05E36"/>
    <w:rsid w:val="00B126DD"/>
    <w:rsid w:val="00B15FD3"/>
    <w:rsid w:val="00B201E2"/>
    <w:rsid w:val="00B3234F"/>
    <w:rsid w:val="00B32B1F"/>
    <w:rsid w:val="00B370A8"/>
    <w:rsid w:val="00B402A9"/>
    <w:rsid w:val="00B424A5"/>
    <w:rsid w:val="00B443E4"/>
    <w:rsid w:val="00B45FE4"/>
    <w:rsid w:val="00B460C4"/>
    <w:rsid w:val="00B46EEF"/>
    <w:rsid w:val="00B529AA"/>
    <w:rsid w:val="00B5502C"/>
    <w:rsid w:val="00B563EA"/>
    <w:rsid w:val="00B60E51"/>
    <w:rsid w:val="00B63A54"/>
    <w:rsid w:val="00B6445B"/>
    <w:rsid w:val="00B64AA1"/>
    <w:rsid w:val="00B734EC"/>
    <w:rsid w:val="00B73A8B"/>
    <w:rsid w:val="00B77D18"/>
    <w:rsid w:val="00B80007"/>
    <w:rsid w:val="00B81E0E"/>
    <w:rsid w:val="00B8313A"/>
    <w:rsid w:val="00B8448F"/>
    <w:rsid w:val="00B8693E"/>
    <w:rsid w:val="00B93503"/>
    <w:rsid w:val="00B944C8"/>
    <w:rsid w:val="00BA31E8"/>
    <w:rsid w:val="00BA55E0"/>
    <w:rsid w:val="00BA6BD4"/>
    <w:rsid w:val="00BA6C7A"/>
    <w:rsid w:val="00BA74CC"/>
    <w:rsid w:val="00BB3752"/>
    <w:rsid w:val="00BB4922"/>
    <w:rsid w:val="00BB6688"/>
    <w:rsid w:val="00BB6BDA"/>
    <w:rsid w:val="00BC26D4"/>
    <w:rsid w:val="00BC2BC3"/>
    <w:rsid w:val="00BC53ED"/>
    <w:rsid w:val="00BC5D1B"/>
    <w:rsid w:val="00BC605F"/>
    <w:rsid w:val="00BD0051"/>
    <w:rsid w:val="00BD0444"/>
    <w:rsid w:val="00BD2E0C"/>
    <w:rsid w:val="00BD3CBA"/>
    <w:rsid w:val="00BE0C80"/>
    <w:rsid w:val="00BE4733"/>
    <w:rsid w:val="00BE5ED9"/>
    <w:rsid w:val="00BE6F11"/>
    <w:rsid w:val="00BF2A42"/>
    <w:rsid w:val="00BF385B"/>
    <w:rsid w:val="00C0074C"/>
    <w:rsid w:val="00C025C3"/>
    <w:rsid w:val="00C038B6"/>
    <w:rsid w:val="00C03D8C"/>
    <w:rsid w:val="00C055EC"/>
    <w:rsid w:val="00C06D35"/>
    <w:rsid w:val="00C07777"/>
    <w:rsid w:val="00C10DC9"/>
    <w:rsid w:val="00C12FB3"/>
    <w:rsid w:val="00C15EEF"/>
    <w:rsid w:val="00C17341"/>
    <w:rsid w:val="00C178AC"/>
    <w:rsid w:val="00C24EEF"/>
    <w:rsid w:val="00C25CF6"/>
    <w:rsid w:val="00C25D40"/>
    <w:rsid w:val="00C26C36"/>
    <w:rsid w:val="00C31ADB"/>
    <w:rsid w:val="00C32768"/>
    <w:rsid w:val="00C3403F"/>
    <w:rsid w:val="00C405A2"/>
    <w:rsid w:val="00C424C2"/>
    <w:rsid w:val="00C431DF"/>
    <w:rsid w:val="00C45676"/>
    <w:rsid w:val="00C456BD"/>
    <w:rsid w:val="00C530DC"/>
    <w:rsid w:val="00C5350D"/>
    <w:rsid w:val="00C54E0D"/>
    <w:rsid w:val="00C55255"/>
    <w:rsid w:val="00C60A37"/>
    <w:rsid w:val="00C6123C"/>
    <w:rsid w:val="00C6311A"/>
    <w:rsid w:val="00C651D1"/>
    <w:rsid w:val="00C7013C"/>
    <w:rsid w:val="00C7084D"/>
    <w:rsid w:val="00C72121"/>
    <w:rsid w:val="00C73054"/>
    <w:rsid w:val="00C7315E"/>
    <w:rsid w:val="00C73BA3"/>
    <w:rsid w:val="00C74301"/>
    <w:rsid w:val="00C745BC"/>
    <w:rsid w:val="00C75895"/>
    <w:rsid w:val="00C82F32"/>
    <w:rsid w:val="00C83C9F"/>
    <w:rsid w:val="00C94840"/>
    <w:rsid w:val="00C9596B"/>
    <w:rsid w:val="00C97703"/>
    <w:rsid w:val="00CA0B20"/>
    <w:rsid w:val="00CA1301"/>
    <w:rsid w:val="00CA4039"/>
    <w:rsid w:val="00CA41AE"/>
    <w:rsid w:val="00CA4EE3"/>
    <w:rsid w:val="00CA52A1"/>
    <w:rsid w:val="00CA615C"/>
    <w:rsid w:val="00CB027F"/>
    <w:rsid w:val="00CB263D"/>
    <w:rsid w:val="00CB588A"/>
    <w:rsid w:val="00CB5B52"/>
    <w:rsid w:val="00CC0EBB"/>
    <w:rsid w:val="00CC22A6"/>
    <w:rsid w:val="00CC4150"/>
    <w:rsid w:val="00CC5A19"/>
    <w:rsid w:val="00CC6297"/>
    <w:rsid w:val="00CC7690"/>
    <w:rsid w:val="00CD0CF7"/>
    <w:rsid w:val="00CD1515"/>
    <w:rsid w:val="00CD1986"/>
    <w:rsid w:val="00CD1C10"/>
    <w:rsid w:val="00CD1C52"/>
    <w:rsid w:val="00CD324D"/>
    <w:rsid w:val="00CD4013"/>
    <w:rsid w:val="00CD54BF"/>
    <w:rsid w:val="00CD6C6F"/>
    <w:rsid w:val="00CD744D"/>
    <w:rsid w:val="00CE0557"/>
    <w:rsid w:val="00CE370B"/>
    <w:rsid w:val="00CE4D5C"/>
    <w:rsid w:val="00CF05DA"/>
    <w:rsid w:val="00CF2F09"/>
    <w:rsid w:val="00CF58EB"/>
    <w:rsid w:val="00CF6FEC"/>
    <w:rsid w:val="00D0106E"/>
    <w:rsid w:val="00D06383"/>
    <w:rsid w:val="00D20E85"/>
    <w:rsid w:val="00D21E16"/>
    <w:rsid w:val="00D24615"/>
    <w:rsid w:val="00D263AE"/>
    <w:rsid w:val="00D309B0"/>
    <w:rsid w:val="00D31EE6"/>
    <w:rsid w:val="00D32F40"/>
    <w:rsid w:val="00D34A9F"/>
    <w:rsid w:val="00D35D52"/>
    <w:rsid w:val="00D37842"/>
    <w:rsid w:val="00D42033"/>
    <w:rsid w:val="00D42DC2"/>
    <w:rsid w:val="00D44B6A"/>
    <w:rsid w:val="00D4660C"/>
    <w:rsid w:val="00D50CED"/>
    <w:rsid w:val="00D537E1"/>
    <w:rsid w:val="00D558E1"/>
    <w:rsid w:val="00D55A06"/>
    <w:rsid w:val="00D55BB2"/>
    <w:rsid w:val="00D6091A"/>
    <w:rsid w:val="00D60AF6"/>
    <w:rsid w:val="00D62D44"/>
    <w:rsid w:val="00D64A52"/>
    <w:rsid w:val="00D6605A"/>
    <w:rsid w:val="00D668D9"/>
    <w:rsid w:val="00D6695F"/>
    <w:rsid w:val="00D67A5C"/>
    <w:rsid w:val="00D7355A"/>
    <w:rsid w:val="00D75644"/>
    <w:rsid w:val="00D81656"/>
    <w:rsid w:val="00D83D87"/>
    <w:rsid w:val="00D84A6D"/>
    <w:rsid w:val="00D85807"/>
    <w:rsid w:val="00D86A30"/>
    <w:rsid w:val="00D974E1"/>
    <w:rsid w:val="00D97CB4"/>
    <w:rsid w:val="00D97DD4"/>
    <w:rsid w:val="00DA000E"/>
    <w:rsid w:val="00DA2364"/>
    <w:rsid w:val="00DA5677"/>
    <w:rsid w:val="00DA5A8A"/>
    <w:rsid w:val="00DB26CD"/>
    <w:rsid w:val="00DB3D34"/>
    <w:rsid w:val="00DB441C"/>
    <w:rsid w:val="00DB44AF"/>
    <w:rsid w:val="00DB6D04"/>
    <w:rsid w:val="00DC0ABE"/>
    <w:rsid w:val="00DC1918"/>
    <w:rsid w:val="00DC1F58"/>
    <w:rsid w:val="00DC339B"/>
    <w:rsid w:val="00DC520A"/>
    <w:rsid w:val="00DC5D40"/>
    <w:rsid w:val="00DC69A7"/>
    <w:rsid w:val="00DD191E"/>
    <w:rsid w:val="00DD30E9"/>
    <w:rsid w:val="00DD4F47"/>
    <w:rsid w:val="00DD7FBB"/>
    <w:rsid w:val="00DE0B9F"/>
    <w:rsid w:val="00DE2CDA"/>
    <w:rsid w:val="00DE4238"/>
    <w:rsid w:val="00DE5638"/>
    <w:rsid w:val="00DE657F"/>
    <w:rsid w:val="00DF1218"/>
    <w:rsid w:val="00DF2C0E"/>
    <w:rsid w:val="00DF3830"/>
    <w:rsid w:val="00DF6462"/>
    <w:rsid w:val="00DF7661"/>
    <w:rsid w:val="00DF7BD2"/>
    <w:rsid w:val="00E001DC"/>
    <w:rsid w:val="00E02FA0"/>
    <w:rsid w:val="00E036DC"/>
    <w:rsid w:val="00E04FAC"/>
    <w:rsid w:val="00E05A4A"/>
    <w:rsid w:val="00E06804"/>
    <w:rsid w:val="00E0696E"/>
    <w:rsid w:val="00E10454"/>
    <w:rsid w:val="00E112E5"/>
    <w:rsid w:val="00E11366"/>
    <w:rsid w:val="00E12CC8"/>
    <w:rsid w:val="00E15352"/>
    <w:rsid w:val="00E16DEE"/>
    <w:rsid w:val="00E21CC7"/>
    <w:rsid w:val="00E24D9E"/>
    <w:rsid w:val="00E25849"/>
    <w:rsid w:val="00E26EAC"/>
    <w:rsid w:val="00E27505"/>
    <w:rsid w:val="00E3197E"/>
    <w:rsid w:val="00E342F8"/>
    <w:rsid w:val="00E351ED"/>
    <w:rsid w:val="00E353D7"/>
    <w:rsid w:val="00E37782"/>
    <w:rsid w:val="00E37C93"/>
    <w:rsid w:val="00E37DAC"/>
    <w:rsid w:val="00E41028"/>
    <w:rsid w:val="00E41138"/>
    <w:rsid w:val="00E444DA"/>
    <w:rsid w:val="00E46A0C"/>
    <w:rsid w:val="00E513A1"/>
    <w:rsid w:val="00E53741"/>
    <w:rsid w:val="00E544CD"/>
    <w:rsid w:val="00E55978"/>
    <w:rsid w:val="00E6034B"/>
    <w:rsid w:val="00E61B1B"/>
    <w:rsid w:val="00E64274"/>
    <w:rsid w:val="00E64DF8"/>
    <w:rsid w:val="00E6549E"/>
    <w:rsid w:val="00E65EDE"/>
    <w:rsid w:val="00E70F81"/>
    <w:rsid w:val="00E77055"/>
    <w:rsid w:val="00E77460"/>
    <w:rsid w:val="00E779C2"/>
    <w:rsid w:val="00E81C70"/>
    <w:rsid w:val="00E8326D"/>
    <w:rsid w:val="00E83ABC"/>
    <w:rsid w:val="00E844F2"/>
    <w:rsid w:val="00E90AD0"/>
    <w:rsid w:val="00E92FCB"/>
    <w:rsid w:val="00EA048E"/>
    <w:rsid w:val="00EA147F"/>
    <w:rsid w:val="00EA253E"/>
    <w:rsid w:val="00EA4A27"/>
    <w:rsid w:val="00EA4FA6"/>
    <w:rsid w:val="00EA6DCA"/>
    <w:rsid w:val="00EB180F"/>
    <w:rsid w:val="00EB1A25"/>
    <w:rsid w:val="00EB3588"/>
    <w:rsid w:val="00EB51DB"/>
    <w:rsid w:val="00EC1EB7"/>
    <w:rsid w:val="00EC4B17"/>
    <w:rsid w:val="00ED018E"/>
    <w:rsid w:val="00ED03AB"/>
    <w:rsid w:val="00ED1CD4"/>
    <w:rsid w:val="00ED1D2B"/>
    <w:rsid w:val="00ED344B"/>
    <w:rsid w:val="00ED52E6"/>
    <w:rsid w:val="00ED64B5"/>
    <w:rsid w:val="00EE04BC"/>
    <w:rsid w:val="00EE0AD1"/>
    <w:rsid w:val="00EE196C"/>
    <w:rsid w:val="00EE44B2"/>
    <w:rsid w:val="00EE4B24"/>
    <w:rsid w:val="00EE7CCA"/>
    <w:rsid w:val="00EF40B4"/>
    <w:rsid w:val="00F0255B"/>
    <w:rsid w:val="00F03160"/>
    <w:rsid w:val="00F0350E"/>
    <w:rsid w:val="00F051D1"/>
    <w:rsid w:val="00F052F5"/>
    <w:rsid w:val="00F05722"/>
    <w:rsid w:val="00F06BA5"/>
    <w:rsid w:val="00F07C9B"/>
    <w:rsid w:val="00F1068F"/>
    <w:rsid w:val="00F128BA"/>
    <w:rsid w:val="00F13210"/>
    <w:rsid w:val="00F14EED"/>
    <w:rsid w:val="00F16A14"/>
    <w:rsid w:val="00F20DD4"/>
    <w:rsid w:val="00F212BB"/>
    <w:rsid w:val="00F2218C"/>
    <w:rsid w:val="00F27C2D"/>
    <w:rsid w:val="00F27FE6"/>
    <w:rsid w:val="00F34166"/>
    <w:rsid w:val="00F356D5"/>
    <w:rsid w:val="00F357ED"/>
    <w:rsid w:val="00F362D7"/>
    <w:rsid w:val="00F37D7B"/>
    <w:rsid w:val="00F44654"/>
    <w:rsid w:val="00F475F8"/>
    <w:rsid w:val="00F51656"/>
    <w:rsid w:val="00F5314C"/>
    <w:rsid w:val="00F551E1"/>
    <w:rsid w:val="00F5567F"/>
    <w:rsid w:val="00F56694"/>
    <w:rsid w:val="00F567DE"/>
    <w:rsid w:val="00F5688C"/>
    <w:rsid w:val="00F6170E"/>
    <w:rsid w:val="00F635DD"/>
    <w:rsid w:val="00F6555E"/>
    <w:rsid w:val="00F6627B"/>
    <w:rsid w:val="00F66999"/>
    <w:rsid w:val="00F701BC"/>
    <w:rsid w:val="00F71115"/>
    <w:rsid w:val="00F712DA"/>
    <w:rsid w:val="00F7336E"/>
    <w:rsid w:val="00F734F2"/>
    <w:rsid w:val="00F7361F"/>
    <w:rsid w:val="00F75052"/>
    <w:rsid w:val="00F802D4"/>
    <w:rsid w:val="00F804D3"/>
    <w:rsid w:val="00F81CD2"/>
    <w:rsid w:val="00F82641"/>
    <w:rsid w:val="00F83309"/>
    <w:rsid w:val="00F83993"/>
    <w:rsid w:val="00F85927"/>
    <w:rsid w:val="00F86BD2"/>
    <w:rsid w:val="00F9078C"/>
    <w:rsid w:val="00F90F18"/>
    <w:rsid w:val="00F937E4"/>
    <w:rsid w:val="00F9506C"/>
    <w:rsid w:val="00F95EE7"/>
    <w:rsid w:val="00FA1B9E"/>
    <w:rsid w:val="00FA2B41"/>
    <w:rsid w:val="00FA2D34"/>
    <w:rsid w:val="00FA39E6"/>
    <w:rsid w:val="00FA4CF6"/>
    <w:rsid w:val="00FA7BC9"/>
    <w:rsid w:val="00FB176E"/>
    <w:rsid w:val="00FB378E"/>
    <w:rsid w:val="00FB37F1"/>
    <w:rsid w:val="00FB47C0"/>
    <w:rsid w:val="00FB501B"/>
    <w:rsid w:val="00FB7770"/>
    <w:rsid w:val="00FC0985"/>
    <w:rsid w:val="00FC54AD"/>
    <w:rsid w:val="00FC63CC"/>
    <w:rsid w:val="00FC7202"/>
    <w:rsid w:val="00FD3B91"/>
    <w:rsid w:val="00FD576B"/>
    <w:rsid w:val="00FD579E"/>
    <w:rsid w:val="00FD6845"/>
    <w:rsid w:val="00FD7C39"/>
    <w:rsid w:val="00FE04FD"/>
    <w:rsid w:val="00FE0521"/>
    <w:rsid w:val="00FE2370"/>
    <w:rsid w:val="00FE4516"/>
    <w:rsid w:val="00FE64C8"/>
    <w:rsid w:val="00FE7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B05E36"/>
    <w:pPr>
      <w:tabs>
        <w:tab w:val="right" w:leader="hyphen" w:pos="8834"/>
      </w:tabs>
      <w:ind w:left="1497" w:rightChars="100" w:right="340" w:hangingChars="440" w:hanging="1497"/>
    </w:pPr>
    <w:rPr>
      <w:noProof/>
      <w:szCs w:val="32"/>
    </w:rPr>
  </w:style>
  <w:style w:type="paragraph" w:styleId="22">
    <w:name w:val="toc 2"/>
    <w:basedOn w:val="a6"/>
    <w:next w:val="a6"/>
    <w:autoRedefine/>
    <w:uiPriority w:val="39"/>
    <w:qFormat/>
    <w:rsid w:val="00F212BB"/>
    <w:pPr>
      <w:tabs>
        <w:tab w:val="right" w:leader="hyphen" w:pos="8834"/>
      </w:tabs>
      <w:kinsoku w:val="0"/>
      <w:ind w:leftChars="100" w:left="1156" w:rightChars="100" w:right="340" w:hangingChars="240" w:hanging="816"/>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一) 字元"/>
    <w:basedOn w:val="a7"/>
    <w:link w:val="3"/>
    <w:rsid w:val="00605BAE"/>
    <w:rPr>
      <w:rFonts w:ascii="標楷體" w:eastAsia="標楷體" w:hAnsi="Arial"/>
      <w:bCs/>
      <w:kern w:val="32"/>
      <w:sz w:val="32"/>
      <w:szCs w:val="36"/>
    </w:rPr>
  </w:style>
  <w:style w:type="paragraph" w:styleId="aff0">
    <w:name w:val="footnote text"/>
    <w:basedOn w:val="a6"/>
    <w:link w:val="aff1"/>
    <w:uiPriority w:val="99"/>
    <w:unhideWhenUsed/>
    <w:rsid w:val="0018121F"/>
    <w:pPr>
      <w:snapToGrid w:val="0"/>
      <w:jc w:val="left"/>
    </w:pPr>
    <w:rPr>
      <w:sz w:val="20"/>
    </w:rPr>
  </w:style>
  <w:style w:type="character" w:customStyle="1" w:styleId="aff1">
    <w:name w:val="註腳文字 字元"/>
    <w:basedOn w:val="a7"/>
    <w:link w:val="aff0"/>
    <w:uiPriority w:val="99"/>
    <w:rsid w:val="0018121F"/>
    <w:rPr>
      <w:rFonts w:ascii="標楷體" w:eastAsia="標楷體"/>
      <w:kern w:val="2"/>
    </w:rPr>
  </w:style>
  <w:style w:type="character" w:styleId="aff2">
    <w:name w:val="footnote reference"/>
    <w:basedOn w:val="a7"/>
    <w:uiPriority w:val="99"/>
    <w:unhideWhenUsed/>
    <w:rsid w:val="0018121F"/>
    <w:rPr>
      <w:vertAlign w:val="superscript"/>
    </w:rPr>
  </w:style>
  <w:style w:type="character" w:customStyle="1" w:styleId="40">
    <w:name w:val="標題 4 字元"/>
    <w:aliases w:val="表格 字元"/>
    <w:basedOn w:val="a7"/>
    <w:link w:val="4"/>
    <w:rsid w:val="00AF390C"/>
    <w:rPr>
      <w:rFonts w:ascii="標楷體" w:eastAsia="標楷體" w:hAnsi="Arial"/>
      <w:kern w:val="32"/>
      <w:sz w:val="32"/>
      <w:szCs w:val="36"/>
    </w:rPr>
  </w:style>
  <w:style w:type="character" w:customStyle="1" w:styleId="20">
    <w:name w:val="標題 2 字元"/>
    <w:aliases w:val="標題110/111 字元,節 字元,節1 字元"/>
    <w:basedOn w:val="a7"/>
    <w:link w:val="2"/>
    <w:rsid w:val="00AF390C"/>
    <w:rPr>
      <w:rFonts w:ascii="標楷體" w:eastAsia="標楷體" w:hAnsi="Arial"/>
      <w:bCs/>
      <w:kern w:val="32"/>
      <w:sz w:val="32"/>
      <w:szCs w:val="48"/>
    </w:rPr>
  </w:style>
  <w:style w:type="character" w:customStyle="1" w:styleId="50">
    <w:name w:val="標題 5 字元"/>
    <w:basedOn w:val="a7"/>
    <w:link w:val="5"/>
    <w:rsid w:val="00DA5677"/>
    <w:rPr>
      <w:rFonts w:ascii="標楷體" w:eastAsia="標楷體" w:hAnsi="Arial"/>
      <w:bCs/>
      <w:kern w:val="32"/>
      <w:sz w:val="32"/>
      <w:szCs w:val="36"/>
    </w:rPr>
  </w:style>
  <w:style w:type="character" w:customStyle="1" w:styleId="afd">
    <w:name w:val="清單段落 字元"/>
    <w:link w:val="afc"/>
    <w:uiPriority w:val="34"/>
    <w:locked/>
    <w:rsid w:val="00354BFA"/>
    <w:rPr>
      <w:rFonts w:ascii="標楷體" w:eastAsia="標楷體"/>
      <w:kern w:val="2"/>
      <w:sz w:val="32"/>
    </w:rPr>
  </w:style>
  <w:style w:type="character" w:styleId="aff3">
    <w:name w:val="Emphasis"/>
    <w:basedOn w:val="a7"/>
    <w:uiPriority w:val="20"/>
    <w:qFormat/>
    <w:rsid w:val="0046290A"/>
    <w:rPr>
      <w:b w:val="0"/>
      <w:bCs w:val="0"/>
      <w:i w:val="0"/>
      <w:iCs w:val="0"/>
      <w:color w:val="DD4B39"/>
    </w:rPr>
  </w:style>
  <w:style w:type="character" w:customStyle="1" w:styleId="st1">
    <w:name w:val="st1"/>
    <w:basedOn w:val="a7"/>
    <w:rsid w:val="0046290A"/>
  </w:style>
  <w:style w:type="character" w:customStyle="1" w:styleId="10">
    <w:name w:val="標題 1 字元"/>
    <w:aliases w:val="題號1 字元,壹 字元"/>
    <w:basedOn w:val="a7"/>
    <w:link w:val="1"/>
    <w:rsid w:val="00703C9E"/>
    <w:rPr>
      <w:rFonts w:ascii="標楷體" w:eastAsia="標楷體" w:hAnsi="Arial"/>
      <w:bCs/>
      <w:kern w:val="32"/>
      <w:sz w:val="32"/>
      <w:szCs w:val="52"/>
    </w:rPr>
  </w:style>
  <w:style w:type="character" w:styleId="aff4">
    <w:name w:val="FollowedHyperlink"/>
    <w:basedOn w:val="a7"/>
    <w:uiPriority w:val="99"/>
    <w:semiHidden/>
    <w:unhideWhenUsed/>
    <w:rsid w:val="002A3F6A"/>
    <w:rPr>
      <w:color w:val="800080" w:themeColor="followedHyperlink"/>
      <w:u w:val="single"/>
    </w:rPr>
  </w:style>
  <w:style w:type="paragraph" w:customStyle="1" w:styleId="aff5">
    <w:name w:val="圖樣式"/>
    <w:basedOn w:val="a6"/>
    <w:rsid w:val="00D974E1"/>
    <w:pPr>
      <w:tabs>
        <w:tab w:val="num" w:pos="1440"/>
      </w:tabs>
      <w:ind w:left="695" w:hanging="695"/>
    </w:pPr>
  </w:style>
  <w:style w:type="character" w:styleId="aff6">
    <w:name w:val="Placeholder Text"/>
    <w:basedOn w:val="a7"/>
    <w:uiPriority w:val="99"/>
    <w:semiHidden/>
    <w:rsid w:val="00D974E1"/>
    <w:rPr>
      <w:color w:val="808080"/>
    </w:rPr>
  </w:style>
  <w:style w:type="character" w:customStyle="1" w:styleId="af8">
    <w:name w:val="頁尾 字元"/>
    <w:basedOn w:val="a7"/>
    <w:link w:val="af7"/>
    <w:semiHidden/>
    <w:rsid w:val="00D974E1"/>
    <w:rPr>
      <w:rFonts w:ascii="標楷體" w:eastAsia="標楷體"/>
      <w:kern w:val="2"/>
    </w:rPr>
  </w:style>
  <w:style w:type="paragraph" w:styleId="aff7">
    <w:name w:val="TOC Heading"/>
    <w:basedOn w:val="1"/>
    <w:next w:val="a6"/>
    <w:uiPriority w:val="39"/>
    <w:unhideWhenUsed/>
    <w:qFormat/>
    <w:rsid w:val="00D974E1"/>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Default">
    <w:name w:val="Default"/>
    <w:rsid w:val="00ED018E"/>
    <w:pPr>
      <w:widowControl w:val="0"/>
      <w:autoSpaceDE w:val="0"/>
      <w:autoSpaceDN w:val="0"/>
      <w:adjustRightInd w:val="0"/>
    </w:pPr>
    <w:rPr>
      <w:rFonts w:ascii="新細明體" w:hAnsi="新細明體" w:cs="新細明體"/>
      <w:color w:val="000000"/>
      <w:sz w:val="24"/>
      <w:szCs w:val="24"/>
    </w:rPr>
  </w:style>
  <w:style w:type="character" w:customStyle="1" w:styleId="60">
    <w:name w:val="標題 6 字元"/>
    <w:basedOn w:val="a7"/>
    <w:link w:val="6"/>
    <w:rsid w:val="00A04A2E"/>
    <w:rPr>
      <w:rFonts w:ascii="標楷體" w:eastAsia="標楷體" w:hAnsi="Arial"/>
      <w:kern w:val="32"/>
      <w:sz w:val="32"/>
      <w:szCs w:val="36"/>
    </w:rPr>
  </w:style>
  <w:style w:type="character" w:customStyle="1" w:styleId="70">
    <w:name w:val="標題 7 字元"/>
    <w:basedOn w:val="a7"/>
    <w:link w:val="7"/>
    <w:rsid w:val="00A04A2E"/>
    <w:rPr>
      <w:rFonts w:ascii="標楷體" w:eastAsia="標楷體" w:hAnsi="Arial"/>
      <w:bCs/>
      <w:kern w:val="32"/>
      <w:sz w:val="32"/>
      <w:szCs w:val="36"/>
    </w:rPr>
  </w:style>
  <w:style w:type="character" w:customStyle="1" w:styleId="80">
    <w:name w:val="標題 8 字元"/>
    <w:basedOn w:val="a7"/>
    <w:link w:val="8"/>
    <w:rsid w:val="00A04A2E"/>
    <w:rPr>
      <w:rFonts w:ascii="標楷體" w:eastAsia="標楷體" w:hAnsi="Arial"/>
      <w:kern w:val="32"/>
      <w:sz w:val="32"/>
      <w:szCs w:val="36"/>
    </w:rPr>
  </w:style>
  <w:style w:type="character" w:customStyle="1" w:styleId="ab">
    <w:name w:val="簽名 字元"/>
    <w:basedOn w:val="a7"/>
    <w:link w:val="aa"/>
    <w:semiHidden/>
    <w:rsid w:val="00A04A2E"/>
    <w:rPr>
      <w:rFonts w:ascii="標楷體" w:eastAsia="標楷體"/>
      <w:b/>
      <w:snapToGrid w:val="0"/>
      <w:spacing w:val="10"/>
      <w:kern w:val="2"/>
      <w:sz w:val="36"/>
    </w:rPr>
  </w:style>
  <w:style w:type="character" w:customStyle="1" w:styleId="ad">
    <w:name w:val="章節附註文字 字元"/>
    <w:basedOn w:val="a7"/>
    <w:link w:val="ac"/>
    <w:semiHidden/>
    <w:rsid w:val="00A04A2E"/>
    <w:rPr>
      <w:rFonts w:ascii="標楷體" w:eastAsia="標楷體"/>
      <w:snapToGrid w:val="0"/>
      <w:spacing w:val="10"/>
      <w:kern w:val="2"/>
      <w:sz w:val="32"/>
    </w:rPr>
  </w:style>
  <w:style w:type="character" w:customStyle="1" w:styleId="af0">
    <w:name w:val="頁首 字元"/>
    <w:basedOn w:val="a7"/>
    <w:link w:val="af"/>
    <w:semiHidden/>
    <w:rsid w:val="00A04A2E"/>
    <w:rPr>
      <w:rFonts w:ascii="標楷體" w:eastAsia="標楷體"/>
      <w:kern w:val="2"/>
    </w:rPr>
  </w:style>
  <w:style w:type="character" w:customStyle="1" w:styleId="af5">
    <w:name w:val="本文縮排 字元"/>
    <w:basedOn w:val="a7"/>
    <w:link w:val="af4"/>
    <w:semiHidden/>
    <w:rsid w:val="00A04A2E"/>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B05E36"/>
    <w:pPr>
      <w:tabs>
        <w:tab w:val="right" w:leader="hyphen" w:pos="8834"/>
      </w:tabs>
      <w:ind w:left="1497" w:rightChars="100" w:right="340" w:hangingChars="440" w:hanging="1497"/>
    </w:pPr>
    <w:rPr>
      <w:noProof/>
      <w:szCs w:val="32"/>
    </w:rPr>
  </w:style>
  <w:style w:type="paragraph" w:styleId="22">
    <w:name w:val="toc 2"/>
    <w:basedOn w:val="a6"/>
    <w:next w:val="a6"/>
    <w:autoRedefine/>
    <w:uiPriority w:val="39"/>
    <w:qFormat/>
    <w:rsid w:val="00F212BB"/>
    <w:pPr>
      <w:tabs>
        <w:tab w:val="right" w:leader="hyphen" w:pos="8834"/>
      </w:tabs>
      <w:kinsoku w:val="0"/>
      <w:ind w:leftChars="100" w:left="1156" w:rightChars="100" w:right="340" w:hangingChars="240" w:hanging="816"/>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一) 字元"/>
    <w:basedOn w:val="a7"/>
    <w:link w:val="3"/>
    <w:rsid w:val="00605BAE"/>
    <w:rPr>
      <w:rFonts w:ascii="標楷體" w:eastAsia="標楷體" w:hAnsi="Arial"/>
      <w:bCs/>
      <w:kern w:val="32"/>
      <w:sz w:val="32"/>
      <w:szCs w:val="36"/>
    </w:rPr>
  </w:style>
  <w:style w:type="paragraph" w:styleId="aff0">
    <w:name w:val="footnote text"/>
    <w:basedOn w:val="a6"/>
    <w:link w:val="aff1"/>
    <w:uiPriority w:val="99"/>
    <w:unhideWhenUsed/>
    <w:rsid w:val="0018121F"/>
    <w:pPr>
      <w:snapToGrid w:val="0"/>
      <w:jc w:val="left"/>
    </w:pPr>
    <w:rPr>
      <w:sz w:val="20"/>
    </w:rPr>
  </w:style>
  <w:style w:type="character" w:customStyle="1" w:styleId="aff1">
    <w:name w:val="註腳文字 字元"/>
    <w:basedOn w:val="a7"/>
    <w:link w:val="aff0"/>
    <w:uiPriority w:val="99"/>
    <w:rsid w:val="0018121F"/>
    <w:rPr>
      <w:rFonts w:ascii="標楷體" w:eastAsia="標楷體"/>
      <w:kern w:val="2"/>
    </w:rPr>
  </w:style>
  <w:style w:type="character" w:styleId="aff2">
    <w:name w:val="footnote reference"/>
    <w:basedOn w:val="a7"/>
    <w:uiPriority w:val="99"/>
    <w:unhideWhenUsed/>
    <w:rsid w:val="0018121F"/>
    <w:rPr>
      <w:vertAlign w:val="superscript"/>
    </w:rPr>
  </w:style>
  <w:style w:type="character" w:customStyle="1" w:styleId="40">
    <w:name w:val="標題 4 字元"/>
    <w:aliases w:val="表格 字元"/>
    <w:basedOn w:val="a7"/>
    <w:link w:val="4"/>
    <w:rsid w:val="00AF390C"/>
    <w:rPr>
      <w:rFonts w:ascii="標楷體" w:eastAsia="標楷體" w:hAnsi="Arial"/>
      <w:kern w:val="32"/>
      <w:sz w:val="32"/>
      <w:szCs w:val="36"/>
    </w:rPr>
  </w:style>
  <w:style w:type="character" w:customStyle="1" w:styleId="20">
    <w:name w:val="標題 2 字元"/>
    <w:aliases w:val="標題110/111 字元,節 字元,節1 字元"/>
    <w:basedOn w:val="a7"/>
    <w:link w:val="2"/>
    <w:rsid w:val="00AF390C"/>
    <w:rPr>
      <w:rFonts w:ascii="標楷體" w:eastAsia="標楷體" w:hAnsi="Arial"/>
      <w:bCs/>
      <w:kern w:val="32"/>
      <w:sz w:val="32"/>
      <w:szCs w:val="48"/>
    </w:rPr>
  </w:style>
  <w:style w:type="character" w:customStyle="1" w:styleId="50">
    <w:name w:val="標題 5 字元"/>
    <w:basedOn w:val="a7"/>
    <w:link w:val="5"/>
    <w:rsid w:val="00DA5677"/>
    <w:rPr>
      <w:rFonts w:ascii="標楷體" w:eastAsia="標楷體" w:hAnsi="Arial"/>
      <w:bCs/>
      <w:kern w:val="32"/>
      <w:sz w:val="32"/>
      <w:szCs w:val="36"/>
    </w:rPr>
  </w:style>
  <w:style w:type="character" w:customStyle="1" w:styleId="afd">
    <w:name w:val="清單段落 字元"/>
    <w:link w:val="afc"/>
    <w:uiPriority w:val="34"/>
    <w:locked/>
    <w:rsid w:val="00354BFA"/>
    <w:rPr>
      <w:rFonts w:ascii="標楷體" w:eastAsia="標楷體"/>
      <w:kern w:val="2"/>
      <w:sz w:val="32"/>
    </w:rPr>
  </w:style>
  <w:style w:type="character" w:styleId="aff3">
    <w:name w:val="Emphasis"/>
    <w:basedOn w:val="a7"/>
    <w:uiPriority w:val="20"/>
    <w:qFormat/>
    <w:rsid w:val="0046290A"/>
    <w:rPr>
      <w:b w:val="0"/>
      <w:bCs w:val="0"/>
      <w:i w:val="0"/>
      <w:iCs w:val="0"/>
      <w:color w:val="DD4B39"/>
    </w:rPr>
  </w:style>
  <w:style w:type="character" w:customStyle="1" w:styleId="st1">
    <w:name w:val="st1"/>
    <w:basedOn w:val="a7"/>
    <w:rsid w:val="0046290A"/>
  </w:style>
  <w:style w:type="character" w:customStyle="1" w:styleId="10">
    <w:name w:val="標題 1 字元"/>
    <w:aliases w:val="題號1 字元,壹 字元"/>
    <w:basedOn w:val="a7"/>
    <w:link w:val="1"/>
    <w:rsid w:val="00703C9E"/>
    <w:rPr>
      <w:rFonts w:ascii="標楷體" w:eastAsia="標楷體" w:hAnsi="Arial"/>
      <w:bCs/>
      <w:kern w:val="32"/>
      <w:sz w:val="32"/>
      <w:szCs w:val="52"/>
    </w:rPr>
  </w:style>
  <w:style w:type="character" w:styleId="aff4">
    <w:name w:val="FollowedHyperlink"/>
    <w:basedOn w:val="a7"/>
    <w:uiPriority w:val="99"/>
    <w:semiHidden/>
    <w:unhideWhenUsed/>
    <w:rsid w:val="002A3F6A"/>
    <w:rPr>
      <w:color w:val="800080" w:themeColor="followedHyperlink"/>
      <w:u w:val="single"/>
    </w:rPr>
  </w:style>
  <w:style w:type="paragraph" w:customStyle="1" w:styleId="aff5">
    <w:name w:val="圖樣式"/>
    <w:basedOn w:val="a6"/>
    <w:rsid w:val="00D974E1"/>
    <w:pPr>
      <w:tabs>
        <w:tab w:val="num" w:pos="1440"/>
      </w:tabs>
      <w:ind w:left="695" w:hanging="695"/>
    </w:pPr>
  </w:style>
  <w:style w:type="character" w:styleId="aff6">
    <w:name w:val="Placeholder Text"/>
    <w:basedOn w:val="a7"/>
    <w:uiPriority w:val="99"/>
    <w:semiHidden/>
    <w:rsid w:val="00D974E1"/>
    <w:rPr>
      <w:color w:val="808080"/>
    </w:rPr>
  </w:style>
  <w:style w:type="character" w:customStyle="1" w:styleId="af8">
    <w:name w:val="頁尾 字元"/>
    <w:basedOn w:val="a7"/>
    <w:link w:val="af7"/>
    <w:semiHidden/>
    <w:rsid w:val="00D974E1"/>
    <w:rPr>
      <w:rFonts w:ascii="標楷體" w:eastAsia="標楷體"/>
      <w:kern w:val="2"/>
    </w:rPr>
  </w:style>
  <w:style w:type="paragraph" w:styleId="aff7">
    <w:name w:val="TOC Heading"/>
    <w:basedOn w:val="1"/>
    <w:next w:val="a6"/>
    <w:uiPriority w:val="39"/>
    <w:unhideWhenUsed/>
    <w:qFormat/>
    <w:rsid w:val="00D974E1"/>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Default">
    <w:name w:val="Default"/>
    <w:rsid w:val="00ED018E"/>
    <w:pPr>
      <w:widowControl w:val="0"/>
      <w:autoSpaceDE w:val="0"/>
      <w:autoSpaceDN w:val="0"/>
      <w:adjustRightInd w:val="0"/>
    </w:pPr>
    <w:rPr>
      <w:rFonts w:ascii="新細明體" w:hAnsi="新細明體" w:cs="新細明體"/>
      <w:color w:val="000000"/>
      <w:sz w:val="24"/>
      <w:szCs w:val="24"/>
    </w:rPr>
  </w:style>
  <w:style w:type="character" w:customStyle="1" w:styleId="60">
    <w:name w:val="標題 6 字元"/>
    <w:basedOn w:val="a7"/>
    <w:link w:val="6"/>
    <w:rsid w:val="00A04A2E"/>
    <w:rPr>
      <w:rFonts w:ascii="標楷體" w:eastAsia="標楷體" w:hAnsi="Arial"/>
      <w:kern w:val="32"/>
      <w:sz w:val="32"/>
      <w:szCs w:val="36"/>
    </w:rPr>
  </w:style>
  <w:style w:type="character" w:customStyle="1" w:styleId="70">
    <w:name w:val="標題 7 字元"/>
    <w:basedOn w:val="a7"/>
    <w:link w:val="7"/>
    <w:rsid w:val="00A04A2E"/>
    <w:rPr>
      <w:rFonts w:ascii="標楷體" w:eastAsia="標楷體" w:hAnsi="Arial"/>
      <w:bCs/>
      <w:kern w:val="32"/>
      <w:sz w:val="32"/>
      <w:szCs w:val="36"/>
    </w:rPr>
  </w:style>
  <w:style w:type="character" w:customStyle="1" w:styleId="80">
    <w:name w:val="標題 8 字元"/>
    <w:basedOn w:val="a7"/>
    <w:link w:val="8"/>
    <w:rsid w:val="00A04A2E"/>
    <w:rPr>
      <w:rFonts w:ascii="標楷體" w:eastAsia="標楷體" w:hAnsi="Arial"/>
      <w:kern w:val="32"/>
      <w:sz w:val="32"/>
      <w:szCs w:val="36"/>
    </w:rPr>
  </w:style>
  <w:style w:type="character" w:customStyle="1" w:styleId="ab">
    <w:name w:val="簽名 字元"/>
    <w:basedOn w:val="a7"/>
    <w:link w:val="aa"/>
    <w:semiHidden/>
    <w:rsid w:val="00A04A2E"/>
    <w:rPr>
      <w:rFonts w:ascii="標楷體" w:eastAsia="標楷體"/>
      <w:b/>
      <w:snapToGrid w:val="0"/>
      <w:spacing w:val="10"/>
      <w:kern w:val="2"/>
      <w:sz w:val="36"/>
    </w:rPr>
  </w:style>
  <w:style w:type="character" w:customStyle="1" w:styleId="ad">
    <w:name w:val="章節附註文字 字元"/>
    <w:basedOn w:val="a7"/>
    <w:link w:val="ac"/>
    <w:semiHidden/>
    <w:rsid w:val="00A04A2E"/>
    <w:rPr>
      <w:rFonts w:ascii="標楷體" w:eastAsia="標楷體"/>
      <w:snapToGrid w:val="0"/>
      <w:spacing w:val="10"/>
      <w:kern w:val="2"/>
      <w:sz w:val="32"/>
    </w:rPr>
  </w:style>
  <w:style w:type="character" w:customStyle="1" w:styleId="af0">
    <w:name w:val="頁首 字元"/>
    <w:basedOn w:val="a7"/>
    <w:link w:val="af"/>
    <w:semiHidden/>
    <w:rsid w:val="00A04A2E"/>
    <w:rPr>
      <w:rFonts w:ascii="標楷體" w:eastAsia="標楷體"/>
      <w:kern w:val="2"/>
    </w:rPr>
  </w:style>
  <w:style w:type="character" w:customStyle="1" w:styleId="af5">
    <w:name w:val="本文縮排 字元"/>
    <w:basedOn w:val="a7"/>
    <w:link w:val="af4"/>
    <w:semiHidden/>
    <w:rsid w:val="00A04A2E"/>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547">
      <w:bodyDiv w:val="1"/>
      <w:marLeft w:val="0"/>
      <w:marRight w:val="0"/>
      <w:marTop w:val="0"/>
      <w:marBottom w:val="0"/>
      <w:divBdr>
        <w:top w:val="none" w:sz="0" w:space="0" w:color="auto"/>
        <w:left w:val="none" w:sz="0" w:space="0" w:color="auto"/>
        <w:bottom w:val="none" w:sz="0" w:space="0" w:color="auto"/>
        <w:right w:val="none" w:sz="0" w:space="0" w:color="auto"/>
      </w:divBdr>
    </w:div>
    <w:div w:id="643703981">
      <w:bodyDiv w:val="1"/>
      <w:marLeft w:val="0"/>
      <w:marRight w:val="0"/>
      <w:marTop w:val="0"/>
      <w:marBottom w:val="0"/>
      <w:divBdr>
        <w:top w:val="none" w:sz="0" w:space="0" w:color="auto"/>
        <w:left w:val="none" w:sz="0" w:space="0" w:color="auto"/>
        <w:bottom w:val="none" w:sz="0" w:space="0" w:color="auto"/>
        <w:right w:val="none" w:sz="0" w:space="0" w:color="auto"/>
      </w:divBdr>
    </w:div>
    <w:div w:id="1104308714">
      <w:bodyDiv w:val="1"/>
      <w:marLeft w:val="0"/>
      <w:marRight w:val="0"/>
      <w:marTop w:val="0"/>
      <w:marBottom w:val="0"/>
      <w:divBdr>
        <w:top w:val="none" w:sz="0" w:space="0" w:color="auto"/>
        <w:left w:val="none" w:sz="0" w:space="0" w:color="auto"/>
        <w:bottom w:val="none" w:sz="0" w:space="0" w:color="auto"/>
        <w:right w:val="none" w:sz="0" w:space="0" w:color="auto"/>
      </w:divBdr>
      <w:divsChild>
        <w:div w:id="1110201815">
          <w:marLeft w:val="907"/>
          <w:marRight w:val="0"/>
          <w:marTop w:val="154"/>
          <w:marBottom w:val="0"/>
          <w:divBdr>
            <w:top w:val="none" w:sz="0" w:space="0" w:color="auto"/>
            <w:left w:val="none" w:sz="0" w:space="0" w:color="auto"/>
            <w:bottom w:val="none" w:sz="0" w:space="0" w:color="auto"/>
            <w:right w:val="none" w:sz="0" w:space="0" w:color="auto"/>
          </w:divBdr>
        </w:div>
      </w:divsChild>
    </w:div>
    <w:div w:id="1501457908">
      <w:bodyDiv w:val="1"/>
      <w:marLeft w:val="0"/>
      <w:marRight w:val="0"/>
      <w:marTop w:val="0"/>
      <w:marBottom w:val="0"/>
      <w:divBdr>
        <w:top w:val="none" w:sz="0" w:space="0" w:color="auto"/>
        <w:left w:val="none" w:sz="0" w:space="0" w:color="auto"/>
        <w:bottom w:val="none" w:sz="0" w:space="0" w:color="auto"/>
        <w:right w:val="none" w:sz="0" w:space="0" w:color="auto"/>
      </w:divBdr>
    </w:div>
    <w:div w:id="1554149466">
      <w:bodyDiv w:val="1"/>
      <w:marLeft w:val="0"/>
      <w:marRight w:val="0"/>
      <w:marTop w:val="0"/>
      <w:marBottom w:val="0"/>
      <w:divBdr>
        <w:top w:val="none" w:sz="0" w:space="0" w:color="auto"/>
        <w:left w:val="none" w:sz="0" w:space="0" w:color="auto"/>
        <w:bottom w:val="none" w:sz="0" w:space="0" w:color="auto"/>
        <w:right w:val="none" w:sz="0" w:space="0" w:color="auto"/>
      </w:divBdr>
    </w:div>
    <w:div w:id="1846436661">
      <w:bodyDiv w:val="1"/>
      <w:marLeft w:val="0"/>
      <w:marRight w:val="0"/>
      <w:marTop w:val="0"/>
      <w:marBottom w:val="0"/>
      <w:divBdr>
        <w:top w:val="none" w:sz="0" w:space="0" w:color="auto"/>
        <w:left w:val="none" w:sz="0" w:space="0" w:color="auto"/>
        <w:bottom w:val="none" w:sz="0" w:space="0" w:color="auto"/>
        <w:right w:val="none" w:sz="0" w:space="0" w:color="auto"/>
      </w:divBdr>
    </w:div>
    <w:div w:id="1888102653">
      <w:bodyDiv w:val="1"/>
      <w:marLeft w:val="0"/>
      <w:marRight w:val="0"/>
      <w:marTop w:val="0"/>
      <w:marBottom w:val="0"/>
      <w:divBdr>
        <w:top w:val="none" w:sz="0" w:space="0" w:color="auto"/>
        <w:left w:val="none" w:sz="0" w:space="0" w:color="auto"/>
        <w:bottom w:val="none" w:sz="0" w:space="0" w:color="auto"/>
        <w:right w:val="none" w:sz="0" w:space="0" w:color="auto"/>
      </w:divBdr>
    </w:div>
    <w:div w:id="2022932035">
      <w:bodyDiv w:val="1"/>
      <w:marLeft w:val="0"/>
      <w:marRight w:val="0"/>
      <w:marTop w:val="0"/>
      <w:marBottom w:val="0"/>
      <w:divBdr>
        <w:top w:val="none" w:sz="0" w:space="0" w:color="auto"/>
        <w:left w:val="none" w:sz="0" w:space="0" w:color="auto"/>
        <w:bottom w:val="none" w:sz="0" w:space="0" w:color="auto"/>
        <w:right w:val="none" w:sz="0" w:space="0" w:color="auto"/>
      </w:divBdr>
      <w:divsChild>
        <w:div w:id="1702389980">
          <w:marLeft w:val="0"/>
          <w:marRight w:val="0"/>
          <w:marTop w:val="0"/>
          <w:marBottom w:val="0"/>
          <w:divBdr>
            <w:top w:val="none" w:sz="0" w:space="0" w:color="auto"/>
            <w:left w:val="none" w:sz="0" w:space="0" w:color="auto"/>
            <w:bottom w:val="none" w:sz="0" w:space="0" w:color="auto"/>
            <w:right w:val="none" w:sz="0" w:space="0" w:color="auto"/>
          </w:divBdr>
          <w:divsChild>
            <w:div w:id="2057656729">
              <w:marLeft w:val="0"/>
              <w:marRight w:val="0"/>
              <w:marTop w:val="0"/>
              <w:marBottom w:val="0"/>
              <w:divBdr>
                <w:top w:val="none" w:sz="0" w:space="0" w:color="auto"/>
                <w:left w:val="none" w:sz="0" w:space="0" w:color="auto"/>
                <w:bottom w:val="none" w:sz="0" w:space="0" w:color="auto"/>
                <w:right w:val="none" w:sz="0" w:space="0" w:color="auto"/>
              </w:divBdr>
              <w:divsChild>
                <w:div w:id="814881894">
                  <w:marLeft w:val="0"/>
                  <w:marRight w:val="0"/>
                  <w:marTop w:val="0"/>
                  <w:marBottom w:val="450"/>
                  <w:divBdr>
                    <w:top w:val="none" w:sz="0" w:space="0" w:color="auto"/>
                    <w:left w:val="none" w:sz="0" w:space="0" w:color="auto"/>
                    <w:bottom w:val="none" w:sz="0" w:space="0" w:color="auto"/>
                    <w:right w:val="none" w:sz="0" w:space="0" w:color="auto"/>
                  </w:divBdr>
                  <w:divsChild>
                    <w:div w:id="1270162039">
                      <w:marLeft w:val="0"/>
                      <w:marRight w:val="0"/>
                      <w:marTop w:val="0"/>
                      <w:marBottom w:val="0"/>
                      <w:divBdr>
                        <w:top w:val="none" w:sz="0" w:space="0" w:color="auto"/>
                        <w:left w:val="none" w:sz="0" w:space="0" w:color="auto"/>
                        <w:bottom w:val="none" w:sz="0" w:space="0" w:color="auto"/>
                        <w:right w:val="none" w:sz="0" w:space="0" w:color="auto"/>
                      </w:divBdr>
                      <w:divsChild>
                        <w:div w:id="5086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tw/" TargetMode="External"/><Relationship Id="rId18" Type="http://schemas.openxmlformats.org/officeDocument/2006/relationships/hyperlink" Target="https://zh.wikipedia.org/wiki/%E4%BC%81%E6%A5%AD%E7%AE%A1%E7%90%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h.wikipedia.org/wiki/%E4%BF%9D%E9%9A%AA" TargetMode="External"/><Relationship Id="rId7" Type="http://schemas.openxmlformats.org/officeDocument/2006/relationships/footnotes" Target="footnotes.xml"/><Relationship Id="rId12" Type="http://schemas.openxmlformats.org/officeDocument/2006/relationships/hyperlink" Target="http://edu.law.moe.gov.tw/LawContent.aspx?id=FL008653" TargetMode="External"/><Relationship Id="rId17" Type="http://schemas.openxmlformats.org/officeDocument/2006/relationships/hyperlink" Target="https://zh.wikipedia.org/wiki/%E7%A8%85%E5%8B%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h.wikipedia.org/wiki/%E8%B4%A2%E6%94%BF" TargetMode="External"/><Relationship Id="rId20" Type="http://schemas.openxmlformats.org/officeDocument/2006/relationships/hyperlink" Target="https://zh.wikipedia.org/wiki/%E9%8A%80%E8%A1%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n.wikipedia.org/wiki/UMIST" TargetMode="External"/><Relationship Id="rId5" Type="http://schemas.openxmlformats.org/officeDocument/2006/relationships/settings" Target="settings.xml"/><Relationship Id="rId15" Type="http://schemas.openxmlformats.org/officeDocument/2006/relationships/hyperlink" Target="https://zh.wikipedia.org/wiki/%E5%9C%8B%E7%AB%8B%E9%AB%98%E9%9B%84%E6%87%89%E7%94%A8%E7%A7%91%E6%8A%80%E5%A4%A7%E5%AD%B8" TargetMode="External"/><Relationship Id="rId23" Type="http://schemas.openxmlformats.org/officeDocument/2006/relationships/hyperlink" Target="https://zh.wikipedia.org/wiki/%E6%9B%BC%E5%BE%B9%E6%96%AF%E7%89%B9%E7%B6%AD%E5%A4%9A%E5%88%A9%E4%BA%9E%E5%A4%A7%E5%AD%B8" TargetMode="External"/><Relationship Id="rId10" Type="http://schemas.openxmlformats.org/officeDocument/2006/relationships/image" Target="media/image2.png"/><Relationship Id="rId19" Type="http://schemas.openxmlformats.org/officeDocument/2006/relationships/hyperlink" Target="https://zh.wikipedia.org/wiki/%E8%A7%80%E5%85%8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h.wikipedia.org/wiki/%E4%B8%AD%E8%8F%AF%E6%B0%91%E5%9C%8B%E6%95%99%E8%82%B2%E9%83%A8" TargetMode="External"/><Relationship Id="rId22" Type="http://schemas.openxmlformats.org/officeDocument/2006/relationships/hyperlink" Target="https://zh.wikipedia.org/wiki/%E6%97%97%E6%B4%A5%E5%8D%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d.arte.gov.tw/ch/Book/cont" TargetMode="External"/><Relationship Id="rId2" Type="http://schemas.openxmlformats.org/officeDocument/2006/relationships/hyperlink" Target="http://history.moe.gov.tw/important_list.asp" TargetMode="External"/><Relationship Id="rId1" Type="http://schemas.openxmlformats.org/officeDocument/2006/relationships/hyperlink" Target="http://www.ndc.gov.tw/Content_List.aspx?n=507E4787819DDCE6" TargetMode="External"/><Relationship Id="rId6" Type="http://schemas.openxmlformats.org/officeDocument/2006/relationships/hyperlink" Target="http://report.nat.gov.tw/ReportFront/report_detail.jspx?sysId=C10103354" TargetMode="External"/><Relationship Id="rId5" Type="http://schemas.openxmlformats.org/officeDocument/2006/relationships/hyperlink" Target="http://news.ltn.com.tw/news/life/breakingnews/1604741" TargetMode="External"/><Relationship Id="rId4" Type="http://schemas.openxmlformats.org/officeDocument/2006/relationships/hyperlink" Target="http://www.nccu.edu.tw/zh_tw/news/%E5%9C%8B%E7%AB%8B%E8%87%BA%E7%81%A3%E7%A7%91%E6%8A%80%E5%A4%A7%E5%AD%B8%E8%88%87%E5%9C%8B%E7%AB%8B%E6%94%BF%E6%B2%BB%E5%A4%A7%E5%AD%B8%E8%81%AF%E5%90%88%E8%81%B2%E6%98%8E-543540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DBAC-B035-4571-805A-B6409690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43770</Words>
  <Characters>3636</Characters>
  <Application>Microsoft Office Word</Application>
  <DocSecurity>0</DocSecurity>
  <Lines>202</Lines>
  <Paragraphs>632</Paragraphs>
  <ScaleCrop>false</ScaleCrop>
  <LinksUpToDate>false</LinksUpToDate>
  <CharactersWithSpaces>46774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2017-06-27T06:57:00Z</dcterms:created>
  <dcterms:modified xsi:type="dcterms:W3CDTF">2017-06-27T07:16:00Z</dcterms:modified>
</cp:coreProperties>
</file>