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293F46" w:rsidRDefault="0025106C" w:rsidP="00F37D7B">
      <w:pPr>
        <w:pStyle w:val="af2"/>
      </w:pPr>
      <w:r w:rsidRPr="00293F46">
        <w:rPr>
          <w:rFonts w:hint="eastAsia"/>
        </w:rPr>
        <w:t>糾正案文</w:t>
      </w:r>
    </w:p>
    <w:p w:rsidR="00E25849" w:rsidRPr="00293F46" w:rsidRDefault="0025106C" w:rsidP="00EC6557">
      <w:pPr>
        <w:pStyle w:val="1"/>
      </w:pPr>
      <w:r w:rsidRPr="00293F46">
        <w:rPr>
          <w:rFonts w:hint="eastAsia"/>
        </w:rPr>
        <w:t>被糾正機關：</w:t>
      </w:r>
      <w:r w:rsidR="00EC6557" w:rsidRPr="00293F46">
        <w:rPr>
          <w:rFonts w:hint="eastAsia"/>
        </w:rPr>
        <w:t>國防部</w:t>
      </w:r>
      <w:r w:rsidRPr="00293F46">
        <w:rPr>
          <w:rFonts w:hint="eastAsia"/>
        </w:rPr>
        <w:t>。</w:t>
      </w:r>
    </w:p>
    <w:p w:rsidR="00E25849" w:rsidRPr="00293F46" w:rsidRDefault="0025106C" w:rsidP="00EC6557">
      <w:pPr>
        <w:pStyle w:val="1"/>
      </w:pPr>
      <w:r w:rsidRPr="00293F46">
        <w:rPr>
          <w:rFonts w:hint="eastAsia"/>
        </w:rPr>
        <w:t>案　　　由：</w:t>
      </w:r>
      <w:r w:rsidR="00EC6557" w:rsidRPr="00293F46">
        <w:rPr>
          <w:rFonts w:hint="eastAsia"/>
        </w:rPr>
        <w:t>國防部所頒定之「國軍人員性騷擾處理及性侵害預防實施規定」，對於性侵害案件，僅規定預防程序，而未規定申訴、調查及處理程序，對於性侵害被害人之人權保障不周。再者，該實施規定對於軍紀督察人員主動實施調查性騷擾案件之相關程序及調查報告之效力，均無規定，易生爭議。此外，對於軍中教育單位的教育人員於執行職務時知有疑似性侵害犯罪情事者依法應負24小時通報義務，亦未加以規定</w:t>
      </w:r>
      <w:r w:rsidR="006F7A06" w:rsidRPr="00293F46">
        <w:rPr>
          <w:rFonts w:hint="eastAsia"/>
        </w:rPr>
        <w:t>，實有不當；又</w:t>
      </w:r>
      <w:r w:rsidR="00EC6557" w:rsidRPr="00293F46">
        <w:rPr>
          <w:rFonts w:hint="eastAsia"/>
        </w:rPr>
        <w:t>軍中性侵害、性騷擾問題仍然嚴重。自103年1月13日以後，現役軍人平時犯罪雖已移由司法機關辦理，但該部對性侵案件移送司法機關後之情形，竟未為相關統計，顯見未能落實相關查核及追蹤管考工作，並研擬相關懲處及處遇對策，顯有違失</w:t>
      </w:r>
      <w:r w:rsidR="008B4841" w:rsidRPr="00293F46">
        <w:rPr>
          <w:rFonts w:hAnsi="標楷體" w:hint="eastAsia"/>
        </w:rPr>
        <w:t>，</w:t>
      </w:r>
      <w:r w:rsidR="008B4841" w:rsidRPr="00293F46">
        <w:rPr>
          <w:rFonts w:hint="eastAsia"/>
        </w:rPr>
        <w:t>爰依法提案糾正</w:t>
      </w:r>
      <w:r w:rsidRPr="00293F46">
        <w:rPr>
          <w:rFonts w:hint="eastAsia"/>
        </w:rPr>
        <w:t>。</w:t>
      </w:r>
    </w:p>
    <w:p w:rsidR="00E25849" w:rsidRPr="00293F46"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293F46">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293F46" w:rsidRDefault="0044127A" w:rsidP="003A5B7B">
      <w:pPr>
        <w:pStyle w:val="10"/>
        <w:ind w:left="680" w:firstLine="680"/>
        <w:rPr>
          <w:rFonts w:hAnsi="標楷體"/>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293F46">
        <w:rPr>
          <w:rFonts w:hint="eastAsia"/>
        </w:rPr>
        <w:t>本案緣</w:t>
      </w:r>
      <w:r w:rsidRPr="00293F46">
        <w:rPr>
          <w:rFonts w:cs="標楷體" w:hint="eastAsia"/>
          <w:szCs w:val="32"/>
          <w:lang w:val="zh-TW"/>
        </w:rPr>
        <w:t>於</w:t>
      </w:r>
      <w:r w:rsidRPr="00293F46">
        <w:rPr>
          <w:rFonts w:hint="eastAsia"/>
        </w:rPr>
        <w:t>據相關媒體報導，陸軍第八軍團指揮部於105年6月至8月間，發生某女性下士</w:t>
      </w:r>
      <w:r w:rsidR="00E07940">
        <w:rPr>
          <w:rFonts w:hint="eastAsia"/>
        </w:rPr>
        <w:t>（下稱A女）</w:t>
      </w:r>
      <w:r w:rsidRPr="00293F46">
        <w:rPr>
          <w:rFonts w:hint="eastAsia"/>
        </w:rPr>
        <w:t>遭王姓士官長熊抱、親吻、壓制在床上等情，但軍方僅以「不服管教、怠忽職守」名義對士官長記3小過，且王姓士官長還有1年就要退伍可領終身俸，幾名檢舉人也被上級用奇怪理由調離原單位，同僚遂向高雄市議員陳信瑜檢舉，並於105年10月4日召開記者會，致使軍方再次因性騷擾事件斲傷國軍形象。</w:t>
      </w:r>
      <w:r w:rsidR="004C5BE9" w:rsidRPr="00293F46">
        <w:rPr>
          <w:rFonts w:hint="eastAsia"/>
        </w:rPr>
        <w:t>案經調查後發現，國防部所頒定之「國軍人員性騷擾處理及性侵害預防實施規定」欠</w:t>
      </w:r>
      <w:r w:rsidR="004C5BE9" w:rsidRPr="00293F46">
        <w:rPr>
          <w:rFonts w:hint="eastAsia"/>
        </w:rPr>
        <w:lastRenderedPageBreak/>
        <w:t>缺周延，若當事人未提出申訴，接獲情資單位又怠於調查時，均可能導致軍中性侵害或性騷擾案件黑數情形更為嚴重，對於性侵害及性騷擾被害人之人權保障不周。又軍中性侵害、性騷擾問題仍然嚴重。自103年1月13日以後，現役軍人平時犯罪雖已移由司法機關辦理，但該部對性侵案件移送司法機關後之情形，竟未為相關統計，顯見未能落實相關查核及追蹤管考工作，並研擬相關懲處及處遇對策，</w:t>
      </w:r>
      <w:r w:rsidR="007666F5" w:rsidRPr="00293F46">
        <w:rPr>
          <w:rFonts w:hint="eastAsia"/>
          <w:bCs/>
        </w:rPr>
        <w:t>確有違失，應予糾正促其注意改善。茲臚列事實與理由如下</w:t>
      </w:r>
      <w:r w:rsidR="00B83C6B" w:rsidRPr="00293F46">
        <w:rPr>
          <w:rFonts w:hAnsi="標楷體" w:hint="eastAsia"/>
          <w:spacing w:val="-6"/>
        </w:rPr>
        <w:t>：</w:t>
      </w:r>
    </w:p>
    <w:p w:rsidR="00EC6557" w:rsidRPr="00293F46" w:rsidRDefault="00EC6557" w:rsidP="00EC6557">
      <w:pPr>
        <w:pStyle w:val="2"/>
        <w:numPr>
          <w:ilvl w:val="1"/>
          <w:numId w:val="1"/>
        </w:numPr>
      </w:pPr>
      <w:bookmarkStart w:id="41" w:name="_Toc421794870"/>
      <w:bookmarkStart w:id="42" w:name="_Toc422728952"/>
      <w:r w:rsidRPr="00293F46">
        <w:rPr>
          <w:rFonts w:hint="eastAsia"/>
        </w:rPr>
        <w:t>國防部所頒定之「國軍人員性騷擾處理及性侵害預防實施規定」，僅規定性騷擾案件之相關程序，對於傷害被害人更為嚴重之性侵害案件，卻僅規定預防程序，而未規定申訴、調查及處理程序，不僅輕重失衡，而且對於性侵害被害人之人權保障不周，顯有不當。再者，該實施規定對於軍紀督察人員主動實施調查性騷擾案件之相關程序及調查報告之效力，均無規定，易生爭議。此外，對於軍中教育單位的教育人員於執行職務時知有疑似性侵害犯罪情事者依法應負24小時通報義務，亦未加以規定，實有不當。國防部允應儘速加以修正該實施規定，使其更為妥善周延。</w:t>
      </w:r>
    </w:p>
    <w:p w:rsidR="00EC6557" w:rsidRPr="00293F46" w:rsidRDefault="00EC6557" w:rsidP="00EC6557">
      <w:pPr>
        <w:pStyle w:val="3"/>
        <w:numPr>
          <w:ilvl w:val="2"/>
          <w:numId w:val="1"/>
        </w:numPr>
      </w:pPr>
      <w:r w:rsidRPr="00293F46">
        <w:rPr>
          <w:rFonts w:hint="eastAsia"/>
        </w:rPr>
        <w:t>陸海空軍懲罰法第15條第13款規定，現役軍人實施性侵害、性騷擾或性霸凌，經調查屬實者，應受懲罰。又「國軍人員性騷擾處理及性侵害預防實施規定」第7點前段規定，各單位於接獲疑似性騷擾案件之情資應立即編組軍紀督察業務部門依相關情資主動實施調查，並協助被害人依本規定程序提出申訴。此外，同實施規定第15點第1項及第3項分別明定，單位受理性騷擾事件申訴後，於7日內組成性騷擾申訴會，由性騷擾申訴會指派成員2至4人進行調查；因案件緊急，不及通知外聘委員參與調查</w:t>
      </w:r>
      <w:r w:rsidRPr="00293F46">
        <w:rPr>
          <w:rFonts w:hint="eastAsia"/>
        </w:rPr>
        <w:lastRenderedPageBreak/>
        <w:t>者，應由軍紀督察人員先行實施調查後，將調查報告副知外聘委員簽署審認。另同實施規定第8點則規定，性騷擾案件申訴管道如下：</w:t>
      </w:r>
    </w:p>
    <w:p w:rsidR="00EC6557" w:rsidRPr="00293F46" w:rsidRDefault="00EC6557" w:rsidP="00EC6557">
      <w:pPr>
        <w:pStyle w:val="4"/>
        <w:numPr>
          <w:ilvl w:val="3"/>
          <w:numId w:val="1"/>
        </w:numPr>
      </w:pPr>
      <w:r w:rsidRPr="00293F46">
        <w:rPr>
          <w:rFonts w:hint="eastAsia"/>
        </w:rPr>
        <w:t>國防部免付費性暴力求助(心理輔導)服務專線：0800-885113。</w:t>
      </w:r>
    </w:p>
    <w:p w:rsidR="00EC6557" w:rsidRPr="00293F46" w:rsidRDefault="00EC6557" w:rsidP="00EC6557">
      <w:pPr>
        <w:pStyle w:val="4"/>
        <w:numPr>
          <w:ilvl w:val="3"/>
          <w:numId w:val="1"/>
        </w:numPr>
      </w:pPr>
      <w:r w:rsidRPr="00293F46">
        <w:rPr>
          <w:rFonts w:hint="eastAsia"/>
        </w:rPr>
        <w:t>各司令部0800申訴專線。</w:t>
      </w:r>
    </w:p>
    <w:p w:rsidR="00EC6557" w:rsidRPr="00293F46" w:rsidRDefault="00EC6557" w:rsidP="00EC6557">
      <w:pPr>
        <w:pStyle w:val="4"/>
        <w:numPr>
          <w:ilvl w:val="3"/>
          <w:numId w:val="1"/>
        </w:numPr>
      </w:pPr>
      <w:r w:rsidRPr="00293F46">
        <w:rPr>
          <w:rFonts w:hint="eastAsia"/>
        </w:rPr>
        <w:t>各級主官（管）及軍紀督察業務部門。</w:t>
      </w:r>
    </w:p>
    <w:p w:rsidR="00EC6557" w:rsidRPr="00293F46" w:rsidRDefault="00EC6557" w:rsidP="00EC6557">
      <w:pPr>
        <w:pStyle w:val="4"/>
        <w:numPr>
          <w:ilvl w:val="3"/>
          <w:numId w:val="1"/>
        </w:numPr>
      </w:pPr>
      <w:r w:rsidRPr="00293F46">
        <w:rPr>
          <w:rFonts w:hint="eastAsia"/>
        </w:rPr>
        <w:t>國防部疑似性騷擾事件申訴信箱(臺北市中山區北安路409號)。</w:t>
      </w:r>
    </w:p>
    <w:p w:rsidR="00EC6557" w:rsidRPr="00293F46" w:rsidRDefault="00EC6557" w:rsidP="00EC6557">
      <w:pPr>
        <w:pStyle w:val="3"/>
        <w:numPr>
          <w:ilvl w:val="2"/>
          <w:numId w:val="1"/>
        </w:numPr>
      </w:pPr>
      <w:r w:rsidRPr="00293F46">
        <w:rPr>
          <w:rFonts w:hint="eastAsia"/>
        </w:rPr>
        <w:t>經查國防部為防治、處理該部與所屬機關（構）、部隊及學校性騷擾及性侵害事件，維護當事人之權益，依性別工作平等法第13條第1項、第32條、性騷擾防治法第7條第2項及工作場所性騷擾防治措施申訴及懲戒辦法訂定準則之規定，訂定「國軍人員性騷擾處理及性侵害預防實施規定」。然該實施規定僅規範國軍人員對性騷擾案件處理相關程序，對於性侵害案件卻僅規定預防而未規定相關處理程序。國防部於本院詢問時表示：雖依該實施規定第9點第1項「發生性騷擾事件，被害人得以書面或言詞提出申訴」及第12點第2款「申訴人非性騷擾事件之被害人或代理人，應不予受理」規定，惟被害人提起申訴後，性騷擾案件始依該實施規定進行相關調查的處理程序，但依前揭陸海空軍懲罰法第15條第13款，現役軍人實施性侵害、性騷擾或性霸凌，經調查屬實者，應受懲罰之規定，即使被害人不提出申訴，軍中相關部門仍會實施調查，經調查屬實，並依該法相關規定予以相當之懲罰等語。然因，性別工作平等法第2條第3項規定：「公務人員、教育人員及軍職人員之申訴、救濟及處理程序，依各該人事法令之規定。」陸海空軍懲罰法第</w:t>
      </w:r>
      <w:r w:rsidRPr="00293F46">
        <w:rPr>
          <w:rFonts w:hint="eastAsia"/>
        </w:rPr>
        <w:lastRenderedPageBreak/>
        <w:t>15條第13款雖明定現役軍人實施性侵害、性騷擾或性霸凌經調查屬實者，應受懲罰，但對於如何調查及如何處罰之程序，並未加以規定。因此，國防部本應在上開實施規定中，明定性侵害及性騷擾之申訴、調查及處理程序，但該實施規定卻僅規定性騷擾案件之申訴、調查及處理程序，對於侵犯被害人傷害更為嚴重之性侵害案件，卻僅規定預防程序，而未規定申訴、調查及處理程序，不僅輕重失衡，而且對於性侵害被害人之人權保障不周，顯有不當。</w:t>
      </w:r>
    </w:p>
    <w:p w:rsidR="00EC6557" w:rsidRPr="00293F46" w:rsidRDefault="00EC6557" w:rsidP="00EC6557">
      <w:pPr>
        <w:pStyle w:val="3"/>
        <w:numPr>
          <w:ilvl w:val="2"/>
          <w:numId w:val="1"/>
        </w:numPr>
      </w:pPr>
      <w:r w:rsidRPr="00293F46">
        <w:rPr>
          <w:rFonts w:hint="eastAsia"/>
        </w:rPr>
        <w:t>上開實施規定第7點前段規定，各單位於接獲疑似性騷擾案件之情資，應立即編組軍紀督察業務部門依相關情資主動實施調查，並協助被害人依本規定程序提出申訴。又同實施規定第15點亦規定，單位受理性騷擾事件申訴後，應於7日內組成性騷擾申訴會，由性騷擾申訴會指派成員2至4人進行調查；同點第3項則規定，因案件緊急，不及通知外聘委員參與調查者，應由軍紀督察人員先行實施調查後，將調查報告副知外聘委員簽署審認。是以，依前揭規定可知，同一性騷擾案件會同時經軍紀督察業務部門及性騷擾申訴會的調查，且其調查結果可能產生歧異，對此，國防部於本院詢問時表示：係以性騷擾申訴會調查的結果為主。惟前揭實施規定第15點第3項卻規定，因案件緊急，不及通知外聘委員參與調查者，應由軍紀督察人員先行實施調查後，將調查報告「副知」外聘委員簽署審認。該項所謂「副知」係指軍紀督察人員通知外聘委員，對於該案件其已實施調查並做成調查報告，至於軍紀督察人員所做的調查報告，其效力是供外聘委員或性騷擾申訴會參考或作為性騷擾申訴會調查的證據基</w:t>
      </w:r>
      <w:r w:rsidRPr="00293F46">
        <w:rPr>
          <w:rFonts w:hint="eastAsia"/>
        </w:rPr>
        <w:lastRenderedPageBreak/>
        <w:t>礎，該實施規定並未規定，產生軍紀督察業務部門與性騷擾申訴會調查結果歧異時，應如何解決或以誰為主的問題。此外，如被害人不提出申訴，軍紀督察人員先行實施調查後所為之調查報告，是否供審理陸海空軍懲罰法相關人員參考亦有疑問。為避免被害人因經重複詢問而遭二度傷害，該實施規定針對軍紀督察人員先行實施調查後所為之調查報告，國防部允應研議明文規定可否作為性騷擾申訴會調查之證據基礎。</w:t>
      </w:r>
    </w:p>
    <w:p w:rsidR="00EC6557" w:rsidRPr="00293F46" w:rsidRDefault="00EC6557" w:rsidP="00EC6557">
      <w:pPr>
        <w:pStyle w:val="3"/>
        <w:numPr>
          <w:ilvl w:val="2"/>
          <w:numId w:val="1"/>
        </w:numPr>
      </w:pPr>
      <w:r w:rsidRPr="00293F46">
        <w:rPr>
          <w:rFonts w:hint="eastAsia"/>
        </w:rPr>
        <w:t>依性侵害犯罪防治法第8條的規定，軍中教育單位的教育人員，於執行職務時知有疑似性侵害犯罪情事者，應立即向當地直轄市、縣（市）主管機關通報，至遲不得超過24小時，是以，前揭實施規定對於軍中教育單位亦應有相關通報義務的規定。</w:t>
      </w:r>
    </w:p>
    <w:p w:rsidR="00EC6557" w:rsidRPr="00293F46" w:rsidRDefault="00EC6557" w:rsidP="00EC6557">
      <w:pPr>
        <w:pStyle w:val="3"/>
        <w:numPr>
          <w:ilvl w:val="2"/>
          <w:numId w:val="1"/>
        </w:numPr>
      </w:pPr>
      <w:r w:rsidRPr="00293F46">
        <w:rPr>
          <w:rFonts w:hint="eastAsia"/>
        </w:rPr>
        <w:t>1985申訴專線雖有10個專員輪班接線，惟至少應有2、3位接線人員接受過性騷擾專業訓練，另對於證人保護的規定，亦應一併納入規範，如此，對於軍紀的維護及被害人的保護始能有正面的助益。</w:t>
      </w:r>
    </w:p>
    <w:p w:rsidR="00EC6557" w:rsidRPr="00293F46" w:rsidRDefault="00EC6557" w:rsidP="00EC6557">
      <w:pPr>
        <w:pStyle w:val="3"/>
        <w:numPr>
          <w:ilvl w:val="2"/>
          <w:numId w:val="1"/>
        </w:numPr>
      </w:pPr>
      <w:r w:rsidRPr="00293F46">
        <w:rPr>
          <w:rFonts w:hint="eastAsia"/>
        </w:rPr>
        <w:t>綜上，國防部所頒定之「國軍人員性騷擾處理及性侵害預防實施規定」，僅規定性騷擾案件之相關程序，對於傷害被害人更為嚴重之性侵害案件，卻僅規定預防程序，而未規定申訴、調查及處理程序，不僅輕重失衡，而且對於性侵害被害人之人權保障不周，顯有不當。再者，該實施規定對於軍紀督察人員主動實施調查性騷擾案件之相關程序及調查報告之效力，均無規定，易生爭議。此外，對於軍中教育單位的教育人員於執行職務時知有疑似性侵害犯罪情事者依法應負24小時通報義務，亦未加以規定，實有不當。國防部允應儘速加以修正該實施規定，使其更為妥善周延。</w:t>
      </w:r>
    </w:p>
    <w:p w:rsidR="00EC6557" w:rsidRPr="00293F46" w:rsidRDefault="00EC6557" w:rsidP="00EC6557">
      <w:pPr>
        <w:pStyle w:val="2"/>
        <w:numPr>
          <w:ilvl w:val="1"/>
          <w:numId w:val="1"/>
        </w:numPr>
      </w:pPr>
      <w:r w:rsidRPr="00293F46">
        <w:rPr>
          <w:rFonts w:hint="eastAsia"/>
        </w:rPr>
        <w:lastRenderedPageBreak/>
        <w:t>據國防部統計，自95年至105年止，軍中性騷擾事件計120件，經調查成立計有118件，又自95年至102年因性侵害案件遭法院判刑者共648件，顯見軍中性侵害、性騷擾問題仍然嚴重。再者，自103年1月13日以後，現役軍人平時犯罪雖已移由司法機關辦理，但該部對性侵案件移送司法機關後之情形，竟未為相關統計，顯見未能落實相關查核及追蹤管考工作，並研擬相關懲處及處遇對策，顯有違失。</w:t>
      </w:r>
    </w:p>
    <w:p w:rsidR="00EC6557" w:rsidRPr="00293F46" w:rsidRDefault="00EC6557" w:rsidP="00EC6557">
      <w:pPr>
        <w:pStyle w:val="3"/>
        <w:numPr>
          <w:ilvl w:val="2"/>
          <w:numId w:val="1"/>
        </w:numPr>
      </w:pPr>
      <w:r w:rsidRPr="00293F46">
        <w:rPr>
          <w:rFonts w:hint="eastAsia"/>
        </w:rPr>
        <w:t>按性別工作平等法第13條第1項規定：「雇主應防治性騷擾行為之發生。其僱用受僱者30人以上者，應訂定性騷擾防治措施、申訴及懲戒辦法，並在工作場所公開揭示。」同條第2項規定：「雇主於知悉前條性騷擾之情形時，應採取立即有效之糾正及補救措施。」第2條第2項前段：「本法於公務人員、教育人員及軍職人員，亦適用之。」又性騷擾防治法第1項及第2項則分別規定：「機關、部隊、學校、機構或僱用人，應防治性騷擾行為之發生。於知悉有性騷擾之情形時，應採取立即有效之糾正及補救措施。」「前項組織成員、受僱人或受服務人員人數達10人以上者，應設立申訴管道協調處理；其人數達30人以上者，應訂定性騷擾防治措施，並公開揭示之。」是以國防部應營造軍中友善性別之工作環境，落實尊重性別平權及性別差異，並積極防治性騷擾及性侵害事件之發生，責無旁貸。</w:t>
      </w:r>
    </w:p>
    <w:p w:rsidR="00EC6557" w:rsidRPr="00293F46" w:rsidRDefault="00EC6557" w:rsidP="00EC6557">
      <w:pPr>
        <w:pStyle w:val="3"/>
        <w:numPr>
          <w:ilvl w:val="2"/>
          <w:numId w:val="1"/>
        </w:numPr>
      </w:pPr>
      <w:r w:rsidRPr="00293F46">
        <w:rPr>
          <w:rFonts w:hint="eastAsia"/>
        </w:rPr>
        <w:t>查「國軍人員性騷擾處理及性侵害預防實施規定」第8條明定，性騷擾案件申訴管道包括國防部免付費性暴力求助（心理輔導）服務專線、各司令部0800申訴專線、各級主官（管）及軍紀督察業務部門、國防部疑似性騷擾事件申訴信箱等管道。據國防部查復資料，95年至105年，性騷擾案件量共計120</w:t>
      </w:r>
      <w:r w:rsidRPr="00293F46">
        <w:rPr>
          <w:rFonts w:hint="eastAsia"/>
        </w:rPr>
        <w:lastRenderedPageBreak/>
        <w:t>件，立案調查案件數計118件，懲處案件98件（詳如表1），另95年至102年軍中性侵害案件遭法院判刑案件共648件</w:t>
      </w:r>
      <w:r w:rsidRPr="00293F46">
        <w:rPr>
          <w:rStyle w:val="afc"/>
        </w:rPr>
        <w:footnoteReference w:id="1"/>
      </w:r>
      <w:r w:rsidRPr="00293F46">
        <w:rPr>
          <w:rFonts w:hint="eastAsia"/>
        </w:rPr>
        <w:t>（詳如表2），顯見軍中性騷擾情形仍未改善。</w:t>
      </w:r>
    </w:p>
    <w:p w:rsidR="00EC6557" w:rsidRPr="00293F46" w:rsidRDefault="00EC6557" w:rsidP="00E535D4">
      <w:pPr>
        <w:pStyle w:val="a3"/>
        <w:numPr>
          <w:ilvl w:val="0"/>
          <w:numId w:val="35"/>
        </w:numPr>
        <w:ind w:left="2721" w:hanging="680"/>
        <w:jc w:val="left"/>
      </w:pPr>
      <w:r w:rsidRPr="00293F46">
        <w:rPr>
          <w:rFonts w:hint="eastAsia"/>
        </w:rPr>
        <w:t>國防部95-105年性騷擾案件統計數量</w:t>
      </w:r>
    </w:p>
    <w:tbl>
      <w:tblPr>
        <w:tblStyle w:val="af6"/>
        <w:tblW w:w="0" w:type="auto"/>
        <w:jc w:val="center"/>
        <w:tblLook w:val="04A0" w:firstRow="1" w:lastRow="0" w:firstColumn="1" w:lastColumn="0" w:noHBand="0" w:noVBand="1"/>
      </w:tblPr>
      <w:tblGrid>
        <w:gridCol w:w="1101"/>
        <w:gridCol w:w="2116"/>
        <w:gridCol w:w="1984"/>
        <w:gridCol w:w="1178"/>
      </w:tblGrid>
      <w:tr w:rsidR="00293F46" w:rsidRPr="00293F46" w:rsidTr="003B60D1">
        <w:trPr>
          <w:jc w:val="center"/>
        </w:trPr>
        <w:tc>
          <w:tcPr>
            <w:tcW w:w="1101" w:type="dxa"/>
            <w:vAlign w:val="center"/>
          </w:tcPr>
          <w:p w:rsidR="00EC6557" w:rsidRPr="00293F46" w:rsidRDefault="00EC6557" w:rsidP="00E535D4">
            <w:pPr>
              <w:pStyle w:val="14"/>
            </w:pPr>
            <w:r w:rsidRPr="00293F46">
              <w:rPr>
                <w:rFonts w:hint="eastAsia"/>
              </w:rPr>
              <w:t>年度</w:t>
            </w:r>
          </w:p>
        </w:tc>
        <w:tc>
          <w:tcPr>
            <w:tcW w:w="2116" w:type="dxa"/>
            <w:vAlign w:val="center"/>
          </w:tcPr>
          <w:p w:rsidR="00EC6557" w:rsidRPr="00293F46" w:rsidRDefault="00EC6557" w:rsidP="000A5D2D">
            <w:pPr>
              <w:pStyle w:val="14"/>
              <w:jc w:val="center"/>
            </w:pPr>
            <w:r w:rsidRPr="00293F46">
              <w:rPr>
                <w:rFonts w:hint="eastAsia"/>
              </w:rPr>
              <w:t>檢舉/申訴</w:t>
            </w:r>
          </w:p>
          <w:p w:rsidR="00EC6557" w:rsidRPr="00293F46" w:rsidRDefault="00EC6557" w:rsidP="000A5D2D">
            <w:pPr>
              <w:pStyle w:val="14"/>
              <w:jc w:val="center"/>
            </w:pPr>
            <w:r w:rsidRPr="00293F46">
              <w:rPr>
                <w:rFonts w:hint="eastAsia"/>
              </w:rPr>
              <w:t>案件數</w:t>
            </w:r>
          </w:p>
        </w:tc>
        <w:tc>
          <w:tcPr>
            <w:tcW w:w="1984" w:type="dxa"/>
            <w:vAlign w:val="center"/>
          </w:tcPr>
          <w:p w:rsidR="00EC6557" w:rsidRPr="00293F46" w:rsidRDefault="00EC6557" w:rsidP="000A5D2D">
            <w:pPr>
              <w:pStyle w:val="14"/>
              <w:jc w:val="center"/>
            </w:pPr>
            <w:r w:rsidRPr="00293F46">
              <w:rPr>
                <w:rFonts w:hint="eastAsia"/>
              </w:rPr>
              <w:t>立案調查</w:t>
            </w:r>
          </w:p>
          <w:p w:rsidR="00EC6557" w:rsidRPr="00293F46" w:rsidRDefault="00EC6557" w:rsidP="000A5D2D">
            <w:pPr>
              <w:pStyle w:val="14"/>
              <w:jc w:val="center"/>
            </w:pPr>
            <w:r w:rsidRPr="00293F46">
              <w:rPr>
                <w:rFonts w:hint="eastAsia"/>
              </w:rPr>
              <w:t>案件數</w:t>
            </w:r>
          </w:p>
        </w:tc>
        <w:tc>
          <w:tcPr>
            <w:tcW w:w="1178" w:type="dxa"/>
            <w:vAlign w:val="center"/>
          </w:tcPr>
          <w:p w:rsidR="00EC6557" w:rsidRPr="00293F46" w:rsidRDefault="00EC6557" w:rsidP="000A5D2D">
            <w:pPr>
              <w:pStyle w:val="14"/>
              <w:jc w:val="center"/>
            </w:pPr>
            <w:r w:rsidRPr="00293F46">
              <w:rPr>
                <w:rFonts w:hint="eastAsia"/>
              </w:rPr>
              <w:t>懲處</w:t>
            </w:r>
          </w:p>
          <w:p w:rsidR="00EC6557" w:rsidRPr="00293F46" w:rsidRDefault="00EC6557" w:rsidP="000A5D2D">
            <w:pPr>
              <w:pStyle w:val="14"/>
              <w:jc w:val="center"/>
            </w:pPr>
            <w:r w:rsidRPr="00293F46">
              <w:rPr>
                <w:rFonts w:hint="eastAsia"/>
              </w:rPr>
              <w:t>案件數</w:t>
            </w:r>
          </w:p>
        </w:tc>
      </w:tr>
      <w:tr w:rsidR="00293F46" w:rsidRPr="00293F46" w:rsidTr="003B60D1">
        <w:trPr>
          <w:jc w:val="center"/>
        </w:trPr>
        <w:tc>
          <w:tcPr>
            <w:tcW w:w="1101" w:type="dxa"/>
            <w:vAlign w:val="center"/>
          </w:tcPr>
          <w:p w:rsidR="00EC6557" w:rsidRPr="00293F46" w:rsidRDefault="00EC6557" w:rsidP="003B60D1">
            <w:pPr>
              <w:pStyle w:val="14"/>
              <w:jc w:val="center"/>
            </w:pPr>
            <w:r w:rsidRPr="00293F46">
              <w:t>98</w:t>
            </w:r>
          </w:p>
        </w:tc>
        <w:tc>
          <w:tcPr>
            <w:tcW w:w="2116" w:type="dxa"/>
            <w:vAlign w:val="center"/>
          </w:tcPr>
          <w:p w:rsidR="00EC6557" w:rsidRPr="00293F46" w:rsidRDefault="00EC6557" w:rsidP="003B60D1">
            <w:pPr>
              <w:pStyle w:val="14"/>
              <w:jc w:val="center"/>
            </w:pPr>
            <w:r w:rsidRPr="00293F46">
              <w:t>13</w:t>
            </w:r>
          </w:p>
        </w:tc>
        <w:tc>
          <w:tcPr>
            <w:tcW w:w="1984" w:type="dxa"/>
            <w:vAlign w:val="center"/>
          </w:tcPr>
          <w:p w:rsidR="00EC6557" w:rsidRPr="00293F46" w:rsidRDefault="00EC6557" w:rsidP="003B60D1">
            <w:pPr>
              <w:pStyle w:val="14"/>
              <w:jc w:val="center"/>
            </w:pPr>
            <w:r w:rsidRPr="00293F46">
              <w:t>13</w:t>
            </w:r>
          </w:p>
        </w:tc>
        <w:tc>
          <w:tcPr>
            <w:tcW w:w="1178" w:type="dxa"/>
            <w:vAlign w:val="center"/>
          </w:tcPr>
          <w:p w:rsidR="00EC6557" w:rsidRPr="00293F46" w:rsidRDefault="00EC6557" w:rsidP="003B60D1">
            <w:pPr>
              <w:pStyle w:val="14"/>
              <w:jc w:val="center"/>
            </w:pPr>
            <w:r w:rsidRPr="00293F46">
              <w:t>12</w:t>
            </w:r>
          </w:p>
        </w:tc>
      </w:tr>
      <w:tr w:rsidR="00293F46" w:rsidRPr="00293F46" w:rsidTr="003B60D1">
        <w:trPr>
          <w:jc w:val="center"/>
        </w:trPr>
        <w:tc>
          <w:tcPr>
            <w:tcW w:w="1101" w:type="dxa"/>
            <w:vAlign w:val="center"/>
          </w:tcPr>
          <w:p w:rsidR="00EC6557" w:rsidRPr="00293F46" w:rsidRDefault="00EC6557" w:rsidP="003B60D1">
            <w:pPr>
              <w:pStyle w:val="14"/>
              <w:jc w:val="center"/>
            </w:pPr>
            <w:r w:rsidRPr="00293F46">
              <w:t>99</w:t>
            </w:r>
          </w:p>
        </w:tc>
        <w:tc>
          <w:tcPr>
            <w:tcW w:w="2116" w:type="dxa"/>
            <w:vAlign w:val="center"/>
          </w:tcPr>
          <w:p w:rsidR="00EC6557" w:rsidRPr="00293F46" w:rsidRDefault="00EC6557" w:rsidP="003B60D1">
            <w:pPr>
              <w:pStyle w:val="14"/>
              <w:jc w:val="center"/>
            </w:pPr>
            <w:r w:rsidRPr="00293F46">
              <w:t>16</w:t>
            </w:r>
          </w:p>
        </w:tc>
        <w:tc>
          <w:tcPr>
            <w:tcW w:w="1984" w:type="dxa"/>
            <w:vAlign w:val="center"/>
          </w:tcPr>
          <w:p w:rsidR="00EC6557" w:rsidRPr="00293F46" w:rsidRDefault="00EC6557" w:rsidP="003B60D1">
            <w:pPr>
              <w:pStyle w:val="14"/>
              <w:jc w:val="center"/>
            </w:pPr>
            <w:r w:rsidRPr="00293F46">
              <w:t>16</w:t>
            </w:r>
          </w:p>
        </w:tc>
        <w:tc>
          <w:tcPr>
            <w:tcW w:w="1178" w:type="dxa"/>
            <w:vAlign w:val="center"/>
          </w:tcPr>
          <w:p w:rsidR="00EC6557" w:rsidRPr="00293F46" w:rsidRDefault="00EC6557" w:rsidP="003B60D1">
            <w:pPr>
              <w:pStyle w:val="14"/>
              <w:jc w:val="center"/>
            </w:pPr>
            <w:r w:rsidRPr="00293F46">
              <w:t>15</w:t>
            </w:r>
          </w:p>
        </w:tc>
      </w:tr>
      <w:tr w:rsidR="00293F46" w:rsidRPr="00293F46" w:rsidTr="003B60D1">
        <w:trPr>
          <w:jc w:val="center"/>
        </w:trPr>
        <w:tc>
          <w:tcPr>
            <w:tcW w:w="1101" w:type="dxa"/>
            <w:vAlign w:val="center"/>
          </w:tcPr>
          <w:p w:rsidR="00EC6557" w:rsidRPr="00293F46" w:rsidRDefault="00EC6557" w:rsidP="003B60D1">
            <w:pPr>
              <w:pStyle w:val="14"/>
              <w:jc w:val="center"/>
            </w:pPr>
            <w:r w:rsidRPr="00293F46">
              <w:t>100</w:t>
            </w:r>
          </w:p>
        </w:tc>
        <w:tc>
          <w:tcPr>
            <w:tcW w:w="2116" w:type="dxa"/>
            <w:vAlign w:val="center"/>
          </w:tcPr>
          <w:p w:rsidR="00EC6557" w:rsidRPr="00293F46" w:rsidRDefault="00EC6557" w:rsidP="003B60D1">
            <w:pPr>
              <w:pStyle w:val="14"/>
              <w:jc w:val="center"/>
            </w:pPr>
            <w:r w:rsidRPr="00293F46">
              <w:t>19</w:t>
            </w:r>
          </w:p>
        </w:tc>
        <w:tc>
          <w:tcPr>
            <w:tcW w:w="1984" w:type="dxa"/>
            <w:vAlign w:val="center"/>
          </w:tcPr>
          <w:p w:rsidR="00EC6557" w:rsidRPr="00293F46" w:rsidRDefault="00EC6557" w:rsidP="003B60D1">
            <w:pPr>
              <w:pStyle w:val="14"/>
              <w:jc w:val="center"/>
            </w:pPr>
            <w:r w:rsidRPr="00293F46">
              <w:t>19</w:t>
            </w:r>
          </w:p>
        </w:tc>
        <w:tc>
          <w:tcPr>
            <w:tcW w:w="1178" w:type="dxa"/>
            <w:vAlign w:val="center"/>
          </w:tcPr>
          <w:p w:rsidR="00EC6557" w:rsidRPr="00293F46" w:rsidRDefault="00EC6557" w:rsidP="003B60D1">
            <w:pPr>
              <w:pStyle w:val="14"/>
              <w:jc w:val="center"/>
            </w:pPr>
            <w:r w:rsidRPr="00293F46">
              <w:t>16</w:t>
            </w:r>
          </w:p>
        </w:tc>
      </w:tr>
      <w:tr w:rsidR="00293F46" w:rsidRPr="00293F46" w:rsidTr="003B60D1">
        <w:trPr>
          <w:jc w:val="center"/>
        </w:trPr>
        <w:tc>
          <w:tcPr>
            <w:tcW w:w="1101" w:type="dxa"/>
            <w:vAlign w:val="center"/>
          </w:tcPr>
          <w:p w:rsidR="00EC6557" w:rsidRPr="00293F46" w:rsidRDefault="00EC6557" w:rsidP="003B60D1">
            <w:pPr>
              <w:pStyle w:val="14"/>
              <w:jc w:val="center"/>
            </w:pPr>
            <w:r w:rsidRPr="00293F46">
              <w:t>101</w:t>
            </w:r>
          </w:p>
        </w:tc>
        <w:tc>
          <w:tcPr>
            <w:tcW w:w="2116" w:type="dxa"/>
            <w:vAlign w:val="center"/>
          </w:tcPr>
          <w:p w:rsidR="00EC6557" w:rsidRPr="00293F46" w:rsidRDefault="00EC6557" w:rsidP="003B60D1">
            <w:pPr>
              <w:pStyle w:val="14"/>
              <w:jc w:val="center"/>
            </w:pPr>
            <w:r w:rsidRPr="00293F46">
              <w:t>6</w:t>
            </w:r>
          </w:p>
        </w:tc>
        <w:tc>
          <w:tcPr>
            <w:tcW w:w="1984" w:type="dxa"/>
            <w:vAlign w:val="center"/>
          </w:tcPr>
          <w:p w:rsidR="00EC6557" w:rsidRPr="00293F46" w:rsidRDefault="00EC6557" w:rsidP="003B60D1">
            <w:pPr>
              <w:pStyle w:val="14"/>
              <w:jc w:val="center"/>
            </w:pPr>
            <w:r w:rsidRPr="00293F46">
              <w:t>6</w:t>
            </w:r>
          </w:p>
        </w:tc>
        <w:tc>
          <w:tcPr>
            <w:tcW w:w="1178" w:type="dxa"/>
            <w:vAlign w:val="center"/>
          </w:tcPr>
          <w:p w:rsidR="00EC6557" w:rsidRPr="00293F46" w:rsidRDefault="00EC6557" w:rsidP="003B60D1">
            <w:pPr>
              <w:pStyle w:val="14"/>
              <w:jc w:val="center"/>
            </w:pPr>
            <w:r w:rsidRPr="00293F46">
              <w:t>6</w:t>
            </w:r>
          </w:p>
        </w:tc>
      </w:tr>
      <w:tr w:rsidR="00293F46" w:rsidRPr="00293F46" w:rsidTr="003B60D1">
        <w:trPr>
          <w:jc w:val="center"/>
        </w:trPr>
        <w:tc>
          <w:tcPr>
            <w:tcW w:w="1101" w:type="dxa"/>
            <w:vAlign w:val="center"/>
          </w:tcPr>
          <w:p w:rsidR="00EC6557" w:rsidRPr="00293F46" w:rsidRDefault="00EC6557" w:rsidP="003B60D1">
            <w:pPr>
              <w:pStyle w:val="14"/>
              <w:jc w:val="center"/>
            </w:pPr>
            <w:r w:rsidRPr="00293F46">
              <w:t>102</w:t>
            </w:r>
          </w:p>
        </w:tc>
        <w:tc>
          <w:tcPr>
            <w:tcW w:w="2116" w:type="dxa"/>
            <w:vAlign w:val="center"/>
          </w:tcPr>
          <w:p w:rsidR="00EC6557" w:rsidRPr="00293F46" w:rsidRDefault="00EC6557" w:rsidP="003B60D1">
            <w:pPr>
              <w:pStyle w:val="14"/>
              <w:jc w:val="center"/>
            </w:pPr>
            <w:r w:rsidRPr="00293F46">
              <w:t>6</w:t>
            </w:r>
          </w:p>
        </w:tc>
        <w:tc>
          <w:tcPr>
            <w:tcW w:w="1984" w:type="dxa"/>
            <w:vAlign w:val="center"/>
          </w:tcPr>
          <w:p w:rsidR="00EC6557" w:rsidRPr="00293F46" w:rsidRDefault="00EC6557" w:rsidP="003B60D1">
            <w:pPr>
              <w:pStyle w:val="14"/>
              <w:jc w:val="center"/>
            </w:pPr>
            <w:r w:rsidRPr="00293F46">
              <w:t>6</w:t>
            </w:r>
          </w:p>
        </w:tc>
        <w:tc>
          <w:tcPr>
            <w:tcW w:w="1178" w:type="dxa"/>
            <w:vAlign w:val="center"/>
          </w:tcPr>
          <w:p w:rsidR="00EC6557" w:rsidRPr="00293F46" w:rsidRDefault="00EC6557" w:rsidP="003B60D1">
            <w:pPr>
              <w:pStyle w:val="14"/>
              <w:jc w:val="center"/>
            </w:pPr>
            <w:r w:rsidRPr="00293F46">
              <w:t>5</w:t>
            </w:r>
          </w:p>
        </w:tc>
      </w:tr>
      <w:tr w:rsidR="00293F46" w:rsidRPr="00293F46" w:rsidTr="003B60D1">
        <w:trPr>
          <w:jc w:val="center"/>
        </w:trPr>
        <w:tc>
          <w:tcPr>
            <w:tcW w:w="1101" w:type="dxa"/>
            <w:vAlign w:val="center"/>
          </w:tcPr>
          <w:p w:rsidR="00EC6557" w:rsidRPr="00293F46" w:rsidRDefault="00EC6557" w:rsidP="003B60D1">
            <w:pPr>
              <w:pStyle w:val="14"/>
              <w:jc w:val="center"/>
            </w:pPr>
            <w:r w:rsidRPr="00293F46">
              <w:t>103</w:t>
            </w:r>
          </w:p>
        </w:tc>
        <w:tc>
          <w:tcPr>
            <w:tcW w:w="2116" w:type="dxa"/>
            <w:vAlign w:val="center"/>
          </w:tcPr>
          <w:p w:rsidR="00EC6557" w:rsidRPr="00293F46" w:rsidRDefault="00EC6557" w:rsidP="003B60D1">
            <w:pPr>
              <w:pStyle w:val="14"/>
              <w:jc w:val="center"/>
            </w:pPr>
            <w:r w:rsidRPr="00293F46">
              <w:t>11</w:t>
            </w:r>
          </w:p>
        </w:tc>
        <w:tc>
          <w:tcPr>
            <w:tcW w:w="1984" w:type="dxa"/>
            <w:vAlign w:val="center"/>
          </w:tcPr>
          <w:p w:rsidR="00EC6557" w:rsidRPr="00293F46" w:rsidRDefault="00EC6557" w:rsidP="003B60D1">
            <w:pPr>
              <w:pStyle w:val="14"/>
              <w:jc w:val="center"/>
            </w:pPr>
            <w:r w:rsidRPr="00293F46">
              <w:t>9</w:t>
            </w:r>
          </w:p>
        </w:tc>
        <w:tc>
          <w:tcPr>
            <w:tcW w:w="1178" w:type="dxa"/>
            <w:vAlign w:val="center"/>
          </w:tcPr>
          <w:p w:rsidR="00EC6557" w:rsidRPr="00293F46" w:rsidRDefault="00EC6557" w:rsidP="003B60D1">
            <w:pPr>
              <w:pStyle w:val="14"/>
              <w:jc w:val="center"/>
            </w:pPr>
            <w:r w:rsidRPr="00293F46">
              <w:t>6</w:t>
            </w:r>
          </w:p>
        </w:tc>
      </w:tr>
      <w:tr w:rsidR="00293F46" w:rsidRPr="00293F46" w:rsidTr="003B60D1">
        <w:trPr>
          <w:jc w:val="center"/>
        </w:trPr>
        <w:tc>
          <w:tcPr>
            <w:tcW w:w="1101" w:type="dxa"/>
            <w:vAlign w:val="center"/>
          </w:tcPr>
          <w:p w:rsidR="00EC6557" w:rsidRPr="00293F46" w:rsidRDefault="00EC6557" w:rsidP="003B60D1">
            <w:pPr>
              <w:pStyle w:val="14"/>
              <w:jc w:val="center"/>
            </w:pPr>
            <w:r w:rsidRPr="00293F46">
              <w:t>104</w:t>
            </w:r>
          </w:p>
        </w:tc>
        <w:tc>
          <w:tcPr>
            <w:tcW w:w="2116" w:type="dxa"/>
            <w:vAlign w:val="center"/>
          </w:tcPr>
          <w:p w:rsidR="00EC6557" w:rsidRPr="00293F46" w:rsidRDefault="00EC6557" w:rsidP="003B60D1">
            <w:pPr>
              <w:pStyle w:val="14"/>
              <w:jc w:val="center"/>
            </w:pPr>
            <w:r w:rsidRPr="00293F46">
              <w:t>28</w:t>
            </w:r>
          </w:p>
        </w:tc>
        <w:tc>
          <w:tcPr>
            <w:tcW w:w="1984" w:type="dxa"/>
            <w:vAlign w:val="center"/>
          </w:tcPr>
          <w:p w:rsidR="00EC6557" w:rsidRPr="00293F46" w:rsidRDefault="00EC6557" w:rsidP="003B60D1">
            <w:pPr>
              <w:pStyle w:val="14"/>
              <w:jc w:val="center"/>
            </w:pPr>
            <w:r w:rsidRPr="00293F46">
              <w:t>28</w:t>
            </w:r>
          </w:p>
        </w:tc>
        <w:tc>
          <w:tcPr>
            <w:tcW w:w="1178" w:type="dxa"/>
            <w:vAlign w:val="center"/>
          </w:tcPr>
          <w:p w:rsidR="00EC6557" w:rsidRPr="00293F46" w:rsidRDefault="00EC6557" w:rsidP="003B60D1">
            <w:pPr>
              <w:pStyle w:val="14"/>
              <w:jc w:val="center"/>
            </w:pPr>
            <w:r w:rsidRPr="00293F46">
              <w:t>23</w:t>
            </w:r>
          </w:p>
        </w:tc>
      </w:tr>
      <w:tr w:rsidR="00293F46" w:rsidRPr="00293F46" w:rsidTr="003B60D1">
        <w:trPr>
          <w:jc w:val="center"/>
        </w:trPr>
        <w:tc>
          <w:tcPr>
            <w:tcW w:w="1101" w:type="dxa"/>
            <w:vAlign w:val="center"/>
          </w:tcPr>
          <w:p w:rsidR="00EC6557" w:rsidRPr="00293F46" w:rsidRDefault="00EC6557" w:rsidP="003B60D1">
            <w:pPr>
              <w:pStyle w:val="14"/>
              <w:jc w:val="center"/>
            </w:pPr>
            <w:r w:rsidRPr="00293F46">
              <w:t>105</w:t>
            </w:r>
          </w:p>
        </w:tc>
        <w:tc>
          <w:tcPr>
            <w:tcW w:w="2116" w:type="dxa"/>
            <w:vAlign w:val="center"/>
          </w:tcPr>
          <w:p w:rsidR="00EC6557" w:rsidRPr="00293F46" w:rsidRDefault="00EC6557" w:rsidP="003B60D1">
            <w:pPr>
              <w:pStyle w:val="14"/>
              <w:jc w:val="center"/>
            </w:pPr>
            <w:r w:rsidRPr="00293F46">
              <w:t>21</w:t>
            </w:r>
          </w:p>
        </w:tc>
        <w:tc>
          <w:tcPr>
            <w:tcW w:w="1984" w:type="dxa"/>
            <w:vAlign w:val="center"/>
          </w:tcPr>
          <w:p w:rsidR="00EC6557" w:rsidRPr="00293F46" w:rsidRDefault="00EC6557" w:rsidP="003B60D1">
            <w:pPr>
              <w:pStyle w:val="14"/>
              <w:jc w:val="center"/>
            </w:pPr>
            <w:r w:rsidRPr="00293F46">
              <w:t>21</w:t>
            </w:r>
          </w:p>
        </w:tc>
        <w:tc>
          <w:tcPr>
            <w:tcW w:w="1178" w:type="dxa"/>
            <w:vAlign w:val="center"/>
          </w:tcPr>
          <w:p w:rsidR="00EC6557" w:rsidRPr="00293F46" w:rsidRDefault="00EC6557" w:rsidP="003B60D1">
            <w:pPr>
              <w:pStyle w:val="14"/>
              <w:jc w:val="center"/>
            </w:pPr>
            <w:r w:rsidRPr="00293F46">
              <w:t>15</w:t>
            </w:r>
          </w:p>
        </w:tc>
      </w:tr>
      <w:tr w:rsidR="00293F46" w:rsidRPr="00293F46" w:rsidTr="003B60D1">
        <w:trPr>
          <w:jc w:val="center"/>
        </w:trPr>
        <w:tc>
          <w:tcPr>
            <w:tcW w:w="1101" w:type="dxa"/>
            <w:vAlign w:val="center"/>
          </w:tcPr>
          <w:p w:rsidR="00EC6557" w:rsidRPr="00293F46" w:rsidRDefault="00EC6557" w:rsidP="003B60D1">
            <w:pPr>
              <w:pStyle w:val="14"/>
              <w:jc w:val="center"/>
            </w:pPr>
            <w:r w:rsidRPr="00293F46">
              <w:rPr>
                <w:rFonts w:hint="eastAsia"/>
              </w:rPr>
              <w:t>合計</w:t>
            </w:r>
          </w:p>
        </w:tc>
        <w:tc>
          <w:tcPr>
            <w:tcW w:w="2116" w:type="dxa"/>
            <w:vAlign w:val="center"/>
          </w:tcPr>
          <w:p w:rsidR="00EC6557" w:rsidRPr="00293F46" w:rsidRDefault="00EC6557" w:rsidP="003B60D1">
            <w:pPr>
              <w:pStyle w:val="14"/>
              <w:jc w:val="center"/>
            </w:pPr>
            <w:r w:rsidRPr="00293F46">
              <w:t>120</w:t>
            </w:r>
          </w:p>
        </w:tc>
        <w:tc>
          <w:tcPr>
            <w:tcW w:w="1984" w:type="dxa"/>
            <w:vAlign w:val="center"/>
          </w:tcPr>
          <w:p w:rsidR="00EC6557" w:rsidRPr="00293F46" w:rsidRDefault="00EC6557" w:rsidP="003B60D1">
            <w:pPr>
              <w:pStyle w:val="14"/>
              <w:jc w:val="center"/>
            </w:pPr>
            <w:r w:rsidRPr="00293F46">
              <w:t>118</w:t>
            </w:r>
          </w:p>
        </w:tc>
        <w:tc>
          <w:tcPr>
            <w:tcW w:w="1178" w:type="dxa"/>
            <w:vAlign w:val="center"/>
          </w:tcPr>
          <w:p w:rsidR="00EC6557" w:rsidRPr="00293F46" w:rsidRDefault="00EC6557" w:rsidP="003B60D1">
            <w:pPr>
              <w:pStyle w:val="14"/>
              <w:jc w:val="center"/>
            </w:pPr>
            <w:r w:rsidRPr="00293F46">
              <w:t>98</w:t>
            </w:r>
          </w:p>
        </w:tc>
      </w:tr>
    </w:tbl>
    <w:p w:rsidR="00EC6557" w:rsidRPr="00293F46" w:rsidRDefault="00EC6557" w:rsidP="00EC6557">
      <w:pPr>
        <w:pStyle w:val="af5"/>
        <w:ind w:left="2381" w:firstLineChars="450" w:firstLine="1261"/>
        <w:jc w:val="left"/>
      </w:pPr>
      <w:r w:rsidRPr="00293F46">
        <w:rPr>
          <w:rFonts w:hint="eastAsia"/>
        </w:rPr>
        <w:t>資料來源：國防部</w:t>
      </w:r>
    </w:p>
    <w:p w:rsidR="00EC6557" w:rsidRPr="00293F46" w:rsidRDefault="00EC6557" w:rsidP="00E535D4">
      <w:pPr>
        <w:pStyle w:val="a3"/>
        <w:ind w:left="2721" w:hanging="680"/>
        <w:jc w:val="left"/>
      </w:pPr>
      <w:r w:rsidRPr="00293F46">
        <w:rPr>
          <w:rFonts w:hint="eastAsia"/>
        </w:rPr>
        <w:t>95年至102年軍中性侵害案件遭法院判刑情形</w:t>
      </w:r>
    </w:p>
    <w:tbl>
      <w:tblPr>
        <w:tblStyle w:val="af6"/>
        <w:tblW w:w="0" w:type="auto"/>
        <w:jc w:val="center"/>
        <w:tblLook w:val="04A0" w:firstRow="1" w:lastRow="0" w:firstColumn="1" w:lastColumn="0" w:noHBand="0" w:noVBand="1"/>
      </w:tblPr>
      <w:tblGrid>
        <w:gridCol w:w="1560"/>
        <w:gridCol w:w="1842"/>
      </w:tblGrid>
      <w:tr w:rsidR="00293F46" w:rsidRPr="00293F46" w:rsidTr="00D667A7">
        <w:trPr>
          <w:trHeight w:val="1064"/>
          <w:jc w:val="center"/>
        </w:trPr>
        <w:tc>
          <w:tcPr>
            <w:tcW w:w="1560" w:type="dxa"/>
            <w:tcBorders>
              <w:tl2br w:val="single" w:sz="4" w:space="0" w:color="auto"/>
            </w:tcBorders>
            <w:vAlign w:val="center"/>
          </w:tcPr>
          <w:p w:rsidR="00EC6557" w:rsidRDefault="00EC6557" w:rsidP="00D667A7">
            <w:pPr>
              <w:pStyle w:val="14"/>
              <w:jc w:val="right"/>
            </w:pPr>
            <w:r w:rsidRPr="00293F46">
              <w:rPr>
                <w:rFonts w:hint="eastAsia"/>
              </w:rPr>
              <w:t>類型（案）</w:t>
            </w:r>
          </w:p>
          <w:p w:rsidR="00D667A7" w:rsidRPr="00293F46" w:rsidRDefault="00D667A7" w:rsidP="00D667A7">
            <w:pPr>
              <w:pStyle w:val="14"/>
              <w:jc w:val="right"/>
            </w:pPr>
          </w:p>
          <w:p w:rsidR="00EC6557" w:rsidRPr="00293F46" w:rsidRDefault="00EC6557" w:rsidP="00E535D4">
            <w:pPr>
              <w:pStyle w:val="14"/>
            </w:pPr>
            <w:r w:rsidRPr="00293F46">
              <w:rPr>
                <w:rFonts w:hint="eastAsia"/>
              </w:rPr>
              <w:t>年度</w:t>
            </w:r>
          </w:p>
        </w:tc>
        <w:tc>
          <w:tcPr>
            <w:tcW w:w="1842" w:type="dxa"/>
            <w:vAlign w:val="center"/>
          </w:tcPr>
          <w:p w:rsidR="00EC6557" w:rsidRPr="00293F46" w:rsidRDefault="00EC6557" w:rsidP="00E535D4">
            <w:pPr>
              <w:pStyle w:val="14"/>
            </w:pPr>
            <w:r w:rsidRPr="00293F46">
              <w:rPr>
                <w:rFonts w:hint="eastAsia"/>
              </w:rPr>
              <w:t>性侵害（案）</w:t>
            </w:r>
          </w:p>
        </w:tc>
      </w:tr>
      <w:tr w:rsidR="00293F46" w:rsidRPr="00293F46" w:rsidTr="003B60D1">
        <w:trPr>
          <w:jc w:val="center"/>
        </w:trPr>
        <w:tc>
          <w:tcPr>
            <w:tcW w:w="1560" w:type="dxa"/>
            <w:vAlign w:val="center"/>
          </w:tcPr>
          <w:p w:rsidR="00EC6557" w:rsidRPr="00293F46" w:rsidRDefault="00EC6557" w:rsidP="003B60D1">
            <w:pPr>
              <w:pStyle w:val="14"/>
              <w:jc w:val="center"/>
            </w:pPr>
            <w:r w:rsidRPr="00293F46">
              <w:t>95</w:t>
            </w:r>
          </w:p>
        </w:tc>
        <w:tc>
          <w:tcPr>
            <w:tcW w:w="1842" w:type="dxa"/>
            <w:vAlign w:val="center"/>
          </w:tcPr>
          <w:p w:rsidR="00EC6557" w:rsidRPr="00293F46" w:rsidRDefault="00EC6557" w:rsidP="003B60D1">
            <w:pPr>
              <w:pStyle w:val="14"/>
              <w:jc w:val="center"/>
            </w:pPr>
            <w:r w:rsidRPr="00293F46">
              <w:t>70</w:t>
            </w:r>
          </w:p>
        </w:tc>
      </w:tr>
      <w:tr w:rsidR="00293F46" w:rsidRPr="00293F46" w:rsidTr="003B60D1">
        <w:trPr>
          <w:jc w:val="center"/>
        </w:trPr>
        <w:tc>
          <w:tcPr>
            <w:tcW w:w="1560" w:type="dxa"/>
            <w:vAlign w:val="center"/>
          </w:tcPr>
          <w:p w:rsidR="00EC6557" w:rsidRPr="00293F46" w:rsidRDefault="00EC6557" w:rsidP="003B60D1">
            <w:pPr>
              <w:pStyle w:val="14"/>
              <w:jc w:val="center"/>
            </w:pPr>
            <w:r w:rsidRPr="00293F46">
              <w:t>96</w:t>
            </w:r>
          </w:p>
        </w:tc>
        <w:tc>
          <w:tcPr>
            <w:tcW w:w="1842" w:type="dxa"/>
            <w:vAlign w:val="center"/>
          </w:tcPr>
          <w:p w:rsidR="00EC6557" w:rsidRPr="00293F46" w:rsidRDefault="00EC6557" w:rsidP="003B60D1">
            <w:pPr>
              <w:pStyle w:val="14"/>
              <w:jc w:val="center"/>
            </w:pPr>
            <w:r w:rsidRPr="00293F46">
              <w:t>94</w:t>
            </w:r>
          </w:p>
        </w:tc>
      </w:tr>
      <w:tr w:rsidR="00293F46" w:rsidRPr="00293F46" w:rsidTr="003B60D1">
        <w:trPr>
          <w:jc w:val="center"/>
        </w:trPr>
        <w:tc>
          <w:tcPr>
            <w:tcW w:w="1560" w:type="dxa"/>
            <w:vAlign w:val="center"/>
          </w:tcPr>
          <w:p w:rsidR="00EC6557" w:rsidRPr="00293F46" w:rsidRDefault="00EC6557" w:rsidP="003B60D1">
            <w:pPr>
              <w:pStyle w:val="14"/>
              <w:jc w:val="center"/>
            </w:pPr>
            <w:r w:rsidRPr="00293F46">
              <w:t>97</w:t>
            </w:r>
          </w:p>
        </w:tc>
        <w:tc>
          <w:tcPr>
            <w:tcW w:w="1842" w:type="dxa"/>
            <w:vAlign w:val="center"/>
          </w:tcPr>
          <w:p w:rsidR="00EC6557" w:rsidRPr="00293F46" w:rsidRDefault="00EC6557" w:rsidP="003B60D1">
            <w:pPr>
              <w:pStyle w:val="14"/>
              <w:jc w:val="center"/>
            </w:pPr>
            <w:r w:rsidRPr="00293F46">
              <w:t>79</w:t>
            </w:r>
          </w:p>
        </w:tc>
      </w:tr>
      <w:tr w:rsidR="00293F46" w:rsidRPr="00293F46" w:rsidTr="003B60D1">
        <w:trPr>
          <w:jc w:val="center"/>
        </w:trPr>
        <w:tc>
          <w:tcPr>
            <w:tcW w:w="1560" w:type="dxa"/>
            <w:vAlign w:val="center"/>
          </w:tcPr>
          <w:p w:rsidR="00EC6557" w:rsidRPr="00293F46" w:rsidRDefault="00EC6557" w:rsidP="003B60D1">
            <w:pPr>
              <w:pStyle w:val="14"/>
              <w:jc w:val="center"/>
            </w:pPr>
            <w:r w:rsidRPr="00293F46">
              <w:t>98</w:t>
            </w:r>
          </w:p>
        </w:tc>
        <w:tc>
          <w:tcPr>
            <w:tcW w:w="1842" w:type="dxa"/>
            <w:vAlign w:val="center"/>
          </w:tcPr>
          <w:p w:rsidR="00EC6557" w:rsidRPr="00293F46" w:rsidRDefault="00EC6557" w:rsidP="003B60D1">
            <w:pPr>
              <w:pStyle w:val="14"/>
              <w:jc w:val="center"/>
            </w:pPr>
            <w:r w:rsidRPr="00293F46">
              <w:t>68</w:t>
            </w:r>
          </w:p>
        </w:tc>
      </w:tr>
      <w:tr w:rsidR="00293F46" w:rsidRPr="00293F46" w:rsidTr="003B60D1">
        <w:trPr>
          <w:jc w:val="center"/>
        </w:trPr>
        <w:tc>
          <w:tcPr>
            <w:tcW w:w="1560" w:type="dxa"/>
            <w:vAlign w:val="center"/>
          </w:tcPr>
          <w:p w:rsidR="00EC6557" w:rsidRPr="00293F46" w:rsidRDefault="00EC6557" w:rsidP="003B60D1">
            <w:pPr>
              <w:pStyle w:val="14"/>
              <w:jc w:val="center"/>
            </w:pPr>
            <w:r w:rsidRPr="00293F46">
              <w:t>99</w:t>
            </w:r>
          </w:p>
        </w:tc>
        <w:tc>
          <w:tcPr>
            <w:tcW w:w="1842" w:type="dxa"/>
            <w:vAlign w:val="center"/>
          </w:tcPr>
          <w:p w:rsidR="00EC6557" w:rsidRPr="00293F46" w:rsidRDefault="00EC6557" w:rsidP="003B60D1">
            <w:pPr>
              <w:pStyle w:val="14"/>
              <w:jc w:val="center"/>
            </w:pPr>
            <w:r w:rsidRPr="00293F46">
              <w:t>96</w:t>
            </w:r>
          </w:p>
        </w:tc>
      </w:tr>
      <w:tr w:rsidR="00293F46" w:rsidRPr="00293F46" w:rsidTr="003B60D1">
        <w:trPr>
          <w:jc w:val="center"/>
        </w:trPr>
        <w:tc>
          <w:tcPr>
            <w:tcW w:w="1560" w:type="dxa"/>
            <w:vAlign w:val="center"/>
          </w:tcPr>
          <w:p w:rsidR="00EC6557" w:rsidRPr="00293F46" w:rsidRDefault="00EC6557" w:rsidP="003B60D1">
            <w:pPr>
              <w:pStyle w:val="14"/>
              <w:jc w:val="center"/>
            </w:pPr>
            <w:r w:rsidRPr="00293F46">
              <w:t>100</w:t>
            </w:r>
          </w:p>
        </w:tc>
        <w:tc>
          <w:tcPr>
            <w:tcW w:w="1842" w:type="dxa"/>
            <w:vAlign w:val="center"/>
          </w:tcPr>
          <w:p w:rsidR="00EC6557" w:rsidRPr="00293F46" w:rsidRDefault="00EC6557" w:rsidP="003B60D1">
            <w:pPr>
              <w:pStyle w:val="14"/>
              <w:jc w:val="center"/>
            </w:pPr>
            <w:r w:rsidRPr="00293F46">
              <w:t>95</w:t>
            </w:r>
          </w:p>
        </w:tc>
      </w:tr>
      <w:tr w:rsidR="00293F46" w:rsidRPr="00293F46" w:rsidTr="003B60D1">
        <w:trPr>
          <w:jc w:val="center"/>
        </w:trPr>
        <w:tc>
          <w:tcPr>
            <w:tcW w:w="1560" w:type="dxa"/>
            <w:vAlign w:val="center"/>
          </w:tcPr>
          <w:p w:rsidR="00EC6557" w:rsidRPr="00293F46" w:rsidRDefault="00EC6557" w:rsidP="003B60D1">
            <w:pPr>
              <w:pStyle w:val="14"/>
              <w:jc w:val="center"/>
            </w:pPr>
            <w:r w:rsidRPr="00293F46">
              <w:lastRenderedPageBreak/>
              <w:t>101</w:t>
            </w:r>
          </w:p>
        </w:tc>
        <w:tc>
          <w:tcPr>
            <w:tcW w:w="1842" w:type="dxa"/>
            <w:vAlign w:val="center"/>
          </w:tcPr>
          <w:p w:rsidR="00EC6557" w:rsidRPr="00293F46" w:rsidRDefault="00EC6557" w:rsidP="003B60D1">
            <w:pPr>
              <w:pStyle w:val="14"/>
              <w:jc w:val="center"/>
            </w:pPr>
            <w:r w:rsidRPr="00293F46">
              <w:t>104</w:t>
            </w:r>
          </w:p>
        </w:tc>
      </w:tr>
      <w:tr w:rsidR="00293F46" w:rsidRPr="00293F46" w:rsidTr="003B60D1">
        <w:trPr>
          <w:jc w:val="center"/>
        </w:trPr>
        <w:tc>
          <w:tcPr>
            <w:tcW w:w="1560" w:type="dxa"/>
            <w:vAlign w:val="center"/>
          </w:tcPr>
          <w:p w:rsidR="00EC6557" w:rsidRPr="00293F46" w:rsidRDefault="00EC6557" w:rsidP="003B60D1">
            <w:pPr>
              <w:pStyle w:val="14"/>
              <w:jc w:val="center"/>
            </w:pPr>
            <w:r w:rsidRPr="00293F46">
              <w:t>102</w:t>
            </w:r>
          </w:p>
        </w:tc>
        <w:tc>
          <w:tcPr>
            <w:tcW w:w="1842" w:type="dxa"/>
            <w:vAlign w:val="center"/>
          </w:tcPr>
          <w:p w:rsidR="00EC6557" w:rsidRPr="00293F46" w:rsidRDefault="00EC6557" w:rsidP="003B60D1">
            <w:pPr>
              <w:pStyle w:val="14"/>
              <w:jc w:val="center"/>
            </w:pPr>
            <w:r w:rsidRPr="00293F46">
              <w:t>42</w:t>
            </w:r>
          </w:p>
        </w:tc>
      </w:tr>
      <w:tr w:rsidR="00293F46" w:rsidRPr="00293F46" w:rsidTr="003B60D1">
        <w:trPr>
          <w:jc w:val="center"/>
        </w:trPr>
        <w:tc>
          <w:tcPr>
            <w:tcW w:w="1560" w:type="dxa"/>
            <w:vAlign w:val="center"/>
          </w:tcPr>
          <w:p w:rsidR="00EC6557" w:rsidRPr="00293F46" w:rsidRDefault="00EC6557" w:rsidP="003B60D1">
            <w:pPr>
              <w:pStyle w:val="14"/>
              <w:jc w:val="center"/>
            </w:pPr>
            <w:r w:rsidRPr="00293F46">
              <w:rPr>
                <w:rFonts w:hint="eastAsia"/>
              </w:rPr>
              <w:t>總計</w:t>
            </w:r>
          </w:p>
        </w:tc>
        <w:tc>
          <w:tcPr>
            <w:tcW w:w="1842" w:type="dxa"/>
            <w:vAlign w:val="center"/>
          </w:tcPr>
          <w:p w:rsidR="00EC6557" w:rsidRPr="00293F46" w:rsidRDefault="00EC6557" w:rsidP="003B60D1">
            <w:pPr>
              <w:pStyle w:val="14"/>
              <w:jc w:val="center"/>
            </w:pPr>
            <w:r w:rsidRPr="00293F46">
              <w:t>648</w:t>
            </w:r>
          </w:p>
        </w:tc>
      </w:tr>
    </w:tbl>
    <w:p w:rsidR="00EC6557" w:rsidRPr="00293F46" w:rsidRDefault="00EC6557" w:rsidP="00E535D4">
      <w:pPr>
        <w:jc w:val="center"/>
      </w:pPr>
      <w:r w:rsidRPr="00E535D4">
        <w:rPr>
          <w:rFonts w:hint="eastAsia"/>
          <w:sz w:val="28"/>
        </w:rPr>
        <w:t>資料來源：國防部</w:t>
      </w:r>
    </w:p>
    <w:p w:rsidR="00EC6557" w:rsidRPr="00293F46" w:rsidRDefault="00EC6557" w:rsidP="00EC6557">
      <w:pPr>
        <w:pStyle w:val="3"/>
        <w:numPr>
          <w:ilvl w:val="2"/>
          <w:numId w:val="1"/>
        </w:numPr>
      </w:pPr>
      <w:r w:rsidRPr="00293F46">
        <w:rPr>
          <w:rFonts w:hint="eastAsia"/>
        </w:rPr>
        <w:t>國防部於本院詢問時重申：國軍對於性侵害、性騷擾事件是零容忍，並要求各級官兵要遵守性別的規範。部隊要維持既有紀律，當有發現疑似性侵害、性騷擾的情資，國防部一定追究到底等語。然因性騷擾事件具高度私密性，被害人往往不欲張揚，而選擇先透過非正式申訴管道。本案A女於本院詢問時亦曾表示：「（知道）有（申訴）電話，但想對方明年就要退伍，才想忍一忍就過了。」足徵軍中仍存有許多未提出性侵害、性騷擾申訴之犯罪黑數，且部分女性軍士官兵倘遭受性侵害、性騷擾時，礙於軍中官官相護之文化、害怕長官及同事異樣眼光、軍旅生涯順利等考量，常常選擇隱忍而不願舉報，此觀本案亦是由A女同僚舉發，軍團後續始介入調查可知。再者，據國防部105年11月11日國人整備字第1050018950號函復資料表示：自103年1月13日以後，現役軍人於平時犯罪，均移由司法機關辦理後，該部已無相關統計資料可查等語。足見該部對於現役軍人犯罪後之相關追蹤管考工作，未能落實查核，研擬相關懲處及處遇對策，顯有違失。</w:t>
      </w:r>
    </w:p>
    <w:p w:rsidR="00EC6557" w:rsidRPr="00293F46" w:rsidRDefault="00EC6557" w:rsidP="00EC6557">
      <w:pPr>
        <w:pStyle w:val="3"/>
        <w:numPr>
          <w:ilvl w:val="2"/>
          <w:numId w:val="1"/>
        </w:numPr>
      </w:pPr>
      <w:r w:rsidRPr="00293F46">
        <w:rPr>
          <w:rFonts w:hint="eastAsia"/>
        </w:rPr>
        <w:t>國防部於本院詢問時稱：「國軍人員性騷擾處理及性侵害預防實施規定」第9點被害人可以提出申訴，因此是由當事人提出。至於1985專線，具名提出申訴都會受理，匿名就無法受理等語。惟該部亦坦承：「性騷擾案件當事人多半不願意（提出）申訴。」「當時八軍團的指揮官，若未主動調查，當事人又不願提出申訴，這件事情很有可能就湮滅了。這件</w:t>
      </w:r>
      <w:r w:rsidRPr="00293F46">
        <w:rPr>
          <w:rFonts w:hint="eastAsia"/>
        </w:rPr>
        <w:lastRenderedPageBreak/>
        <w:t>事情若無追究到底，後果會很嚴重。」顯見若當事人未提出申訴，接獲情資單位又怠於調查時，均可能導致軍中性侵害或性騷擾案件黑數情形更為嚴重，且上開實施規定相關保密及保護作為，對象僅限於申訴人，突顯該部對於證人、檢舉人之保護措施未盡周妥，此均不利國軍防治性騷擾及性侵害事件之發生。是以，為鼓勵當事人、檢舉人勇於提起申訴，證人勇於作證，該部除應儘速完備相關保護規定外，並允宜研議制定鼓勵措施，配合加強宣導國軍對於性侵害、性騷擾事件零容忍之作為，不論被害人是否提出申訴，軍中相關部門均會依前揭陸海空軍懲罰法第15條第13款規定立案調查，經調查屬實者，均依該法相關規定予以相當之懲罰，絕不寬貸。</w:t>
      </w:r>
    </w:p>
    <w:p w:rsidR="00EC6557" w:rsidRPr="00293F46" w:rsidRDefault="00EC6557" w:rsidP="00EC6557">
      <w:pPr>
        <w:pStyle w:val="3"/>
        <w:numPr>
          <w:ilvl w:val="2"/>
          <w:numId w:val="1"/>
        </w:numPr>
      </w:pPr>
      <w:r w:rsidRPr="00293F46">
        <w:rPr>
          <w:rFonts w:hint="eastAsia"/>
        </w:rPr>
        <w:t>國防部查復表示：為強化性別平等工作，各級部隊定期辦理性別平等生活座談，由單位主官（管）主持，並記錄備查；單位副主官、軍紀督察、法制及人事人員每年至少應接受1次性騷擾防治、性別主流化等相關課程專業訓練；105年共辦理1,870場次性別主流化專題講演，共296,431人參加；每年11月底前彙整年度成果報國防部備查等語。惟相關人員雖每年至少應接受1次性騷擾防治、性別主流化等相關課程專業訓練，但每年究竟接受多少性侵害及性騷擾防治訓練，即有疑問。再者，據國防部上開統計資料，及可能未提出申訴之案件黑數，軍中性侵害、性騷擾情形仍相當嚴重，國軍相關性別教育、申訴管道（如1985，只要具名均受理）等均有待加強宣導與落實。另「國軍人員性騷擾處理及性侵害預防實施規定」第8點性騷擾案件申訴管道第1款「本部免付費性暴力求助(心理輔導)服務專線」</w:t>
      </w:r>
      <w:r w:rsidRPr="00293F46">
        <w:rPr>
          <w:rFonts w:hint="eastAsia"/>
        </w:rPr>
        <w:lastRenderedPageBreak/>
        <w:t>之規定，其專線名稱並無「申訴」二字，易使人誤以為非申訴專線，而僅是性暴力求助專線，國防部允應一併檢討並研議正名，俾使該專線發揮性騷擾申訴及防治之功效。</w:t>
      </w:r>
    </w:p>
    <w:p w:rsidR="00E54837" w:rsidRPr="00293F46" w:rsidRDefault="00EC6557" w:rsidP="00E54837">
      <w:pPr>
        <w:pStyle w:val="3"/>
        <w:numPr>
          <w:ilvl w:val="2"/>
          <w:numId w:val="1"/>
        </w:numPr>
      </w:pPr>
      <w:r w:rsidRPr="00293F46">
        <w:rPr>
          <w:rFonts w:hint="eastAsia"/>
        </w:rPr>
        <w:t>綜上，軍人之天職乃在保國衛民，其武德為言行準據，應時時自我惕厲，善盡軍人應有之職責，是以國軍官兵自應謹守分際，嚴守紀律與法治。陸海空軍懲罰法第15條第13款業已規定，現役軍人實施性侵害、性騷擾或性霸凌，經調查屬實者，應受懲罰，國防部允應加強性騷擾及性侵害之教育宣導，一旦軍中發生性侵害、性騷擾事件，不論被害人是否提出申訴，相關部門均應依照法令規定，立案調查，貫徹相關法令規定及維護國軍風紀。同時應研議強化及完備有關證人、檢舉人之保護措施，除確實執行性騷擾及性侵害案件零容忍之目標外，對於單位、人員未依規定懲處、調查時，更應澈底檢討，並確實議處相關失職人員，以遏止不當行為及端正國軍風氣。惟自95年至105年止，軍中性騷擾事件計120件，經調查成立計有118件，又自95年至102年因性侵害案件遭法院判刑者，共648件，顯見軍中性侵害、性騷擾情形仍未改善，且自103年1月13日以後，現役軍人平時犯罪雖已移由司法機關辦理，但該部對性侵案件移送司法機關後之情形，竟未為相關統計，顯見未能落實相關查核及追蹤管考工作，並研擬相關懲處及處遇對策，實有違失。</w:t>
      </w:r>
      <w:bookmarkStart w:id="43" w:name="_Toc524902730"/>
      <w:bookmarkEnd w:id="35"/>
      <w:bookmarkEnd w:id="36"/>
      <w:bookmarkEnd w:id="37"/>
      <w:bookmarkEnd w:id="38"/>
      <w:bookmarkEnd w:id="39"/>
      <w:bookmarkEnd w:id="40"/>
      <w:bookmarkEnd w:id="41"/>
      <w:bookmarkEnd w:id="42"/>
    </w:p>
    <w:p w:rsidR="00CC596D" w:rsidRDefault="00CC596D" w:rsidP="00C86866">
      <w:pPr>
        <w:pStyle w:val="10"/>
        <w:ind w:left="680" w:firstLine="680"/>
        <w:sectPr w:rsidR="00CC596D" w:rsidSect="00931A10">
          <w:footerReference w:type="default" r:id="rId9"/>
          <w:pgSz w:w="11907" w:h="16840" w:code="9"/>
          <w:pgMar w:top="1701" w:right="1418" w:bottom="1418" w:left="1418" w:header="851" w:footer="851" w:gutter="227"/>
          <w:pgNumType w:start="1"/>
          <w:cols w:space="425"/>
          <w:docGrid w:type="linesAndChars" w:linePitch="457" w:charSpace="4127"/>
        </w:sectPr>
      </w:pPr>
    </w:p>
    <w:p w:rsidR="00286B1B" w:rsidRPr="00293F46" w:rsidRDefault="000512D1" w:rsidP="00C86866">
      <w:pPr>
        <w:pStyle w:val="10"/>
        <w:ind w:left="680" w:firstLine="680"/>
      </w:pPr>
      <w:r w:rsidRPr="00293F46">
        <w:rPr>
          <w:rFonts w:hint="eastAsia"/>
        </w:rPr>
        <w:lastRenderedPageBreak/>
        <w:t>綜上所述，</w:t>
      </w:r>
      <w:r w:rsidR="00E54837" w:rsidRPr="00293F46">
        <w:rPr>
          <w:rFonts w:hint="eastAsia"/>
        </w:rPr>
        <w:t>國防部所頒定之「國軍人員性騷擾處理及性侵害預防實施規定」，對於性侵害案件，僅規定預防程序，而未規定申訴、調查及處理程序，對於性侵害被害人之人權保障不周。再者，該實施規定對於軍紀督察人員主動實施調查性騷擾案件之相關程序及調查報告之效力，均無規定，易生爭議。此外，對於軍中教育單位的教育人員於執行職務時知有疑似性侵害犯罪情事者依法應負24小時通報義務，亦未加以規定，實有不當；又軍中性侵害、性騷擾問題仍然嚴重。自103年1月13日以後，現役軍人平時犯罪雖已移由司法機關辦理，但該部對性侵案件移送司法機關後之情形，竟未為相關統計，顯見未能落實相關查核及追蹤管考工作，並研擬相關懲處及處遇對策，</w:t>
      </w:r>
      <w:r w:rsidRPr="00293F46">
        <w:rPr>
          <w:rFonts w:hint="eastAsia"/>
        </w:rPr>
        <w:t>核有違失，爰依監察法第24條規定提案糾正，移送</w:t>
      </w:r>
      <w:r w:rsidR="00E54837" w:rsidRPr="00293F46">
        <w:rPr>
          <w:rFonts w:hint="eastAsia"/>
        </w:rPr>
        <w:t>國防部</w:t>
      </w:r>
      <w:r w:rsidRPr="00293F46">
        <w:rPr>
          <w:rFonts w:hint="eastAsia"/>
        </w:rPr>
        <w:t>確實檢討改善見復</w:t>
      </w:r>
      <w:r w:rsidR="00286B1B" w:rsidRPr="00293F46">
        <w:rPr>
          <w:rFonts w:hint="eastAsia"/>
        </w:rPr>
        <w:t>。</w:t>
      </w:r>
    </w:p>
    <w:p w:rsidR="00286B1B" w:rsidRPr="00293F46" w:rsidRDefault="00286B1B" w:rsidP="008A288A">
      <w:pPr>
        <w:pStyle w:val="aa"/>
        <w:spacing w:beforeLines="150" w:before="685" w:after="0"/>
        <w:ind w:leftChars="1100" w:left="3742"/>
        <w:rPr>
          <w:b w:val="0"/>
          <w:bCs/>
          <w:snapToGrid/>
          <w:spacing w:val="12"/>
          <w:kern w:val="0"/>
          <w:sz w:val="40"/>
        </w:rPr>
      </w:pPr>
      <w:bookmarkStart w:id="44" w:name="_Toc524895649"/>
      <w:bookmarkStart w:id="45" w:name="_Toc524896195"/>
      <w:bookmarkStart w:id="46" w:name="_Toc524896225"/>
      <w:bookmarkEnd w:id="44"/>
      <w:bookmarkEnd w:id="45"/>
      <w:bookmarkEnd w:id="46"/>
      <w:r w:rsidRPr="00293F46">
        <w:rPr>
          <w:rFonts w:hint="eastAsia"/>
          <w:b w:val="0"/>
          <w:bCs/>
          <w:snapToGrid/>
          <w:spacing w:val="12"/>
          <w:kern w:val="0"/>
          <w:sz w:val="40"/>
        </w:rPr>
        <w:t>提案委員：</w:t>
      </w:r>
      <w:r w:rsidR="00DC7DFD">
        <w:rPr>
          <w:rFonts w:hint="eastAsia"/>
          <w:b w:val="0"/>
          <w:bCs/>
          <w:snapToGrid/>
          <w:spacing w:val="12"/>
          <w:kern w:val="0"/>
          <w:sz w:val="40"/>
        </w:rPr>
        <w:t>高鳳仙</w:t>
      </w:r>
      <w:bookmarkStart w:id="47" w:name="_GoBack"/>
      <w:bookmarkEnd w:id="43"/>
      <w:bookmarkEnd w:id="47"/>
    </w:p>
    <w:sectPr w:rsidR="00286B1B" w:rsidRPr="00293F46" w:rsidSect="00CC596D">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0B3" w:rsidRDefault="00C000B3">
      <w:r>
        <w:separator/>
      </w:r>
    </w:p>
  </w:endnote>
  <w:endnote w:type="continuationSeparator" w:id="0">
    <w:p w:rsidR="00C000B3" w:rsidRDefault="00C00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C7DFD">
      <w:rPr>
        <w:rStyle w:val="ac"/>
        <w:noProof/>
        <w:sz w:val="24"/>
      </w:rPr>
      <w:t>11</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0B3" w:rsidRDefault="00C000B3">
      <w:r>
        <w:separator/>
      </w:r>
    </w:p>
  </w:footnote>
  <w:footnote w:type="continuationSeparator" w:id="0">
    <w:p w:rsidR="00C000B3" w:rsidRDefault="00C000B3">
      <w:r>
        <w:continuationSeparator/>
      </w:r>
    </w:p>
  </w:footnote>
  <w:footnote w:id="1">
    <w:p w:rsidR="00EC6557" w:rsidRPr="00687B0B" w:rsidRDefault="00EC6557" w:rsidP="00EC6557">
      <w:pPr>
        <w:pStyle w:val="afa"/>
      </w:pPr>
      <w:r>
        <w:rPr>
          <w:rStyle w:val="afc"/>
        </w:rPr>
        <w:footnoteRef/>
      </w:r>
      <w:r>
        <w:rPr>
          <w:rFonts w:hint="eastAsia"/>
        </w:rPr>
        <w:t xml:space="preserve"> </w:t>
      </w:r>
      <w:r w:rsidRPr="00687B0B">
        <w:rPr>
          <w:rFonts w:hint="eastAsia"/>
        </w:rPr>
        <w:t>據國防部105年11月11日國人整備字第1050018950號函復資料表示，該部自103年1月13日以後，現役軍人於平時犯罪，均移由司法機關辦理後，已無相關統計資料可查。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5"/>
    <w:lvlOverride w:ilvl="0">
      <w:startOverride w:val="1"/>
    </w:lvlOverride>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3C04"/>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A5D2D"/>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1694"/>
    <w:rsid w:val="0026504D"/>
    <w:rsid w:val="00273A2F"/>
    <w:rsid w:val="00280986"/>
    <w:rsid w:val="00281ECE"/>
    <w:rsid w:val="002831C7"/>
    <w:rsid w:val="002840C6"/>
    <w:rsid w:val="00286B1B"/>
    <w:rsid w:val="00293F46"/>
    <w:rsid w:val="00295174"/>
    <w:rsid w:val="00296172"/>
    <w:rsid w:val="00296B92"/>
    <w:rsid w:val="002A2C22"/>
    <w:rsid w:val="002B02EB"/>
    <w:rsid w:val="002C0602"/>
    <w:rsid w:val="002D5C16"/>
    <w:rsid w:val="002F3DFF"/>
    <w:rsid w:val="002F5E05"/>
    <w:rsid w:val="00317053"/>
    <w:rsid w:val="0032109C"/>
    <w:rsid w:val="00322B45"/>
    <w:rsid w:val="00323809"/>
    <w:rsid w:val="00323D41"/>
    <w:rsid w:val="00325414"/>
    <w:rsid w:val="003302F1"/>
    <w:rsid w:val="0034470E"/>
    <w:rsid w:val="00352DB0"/>
    <w:rsid w:val="00370889"/>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127A"/>
    <w:rsid w:val="0044346F"/>
    <w:rsid w:val="0046520A"/>
    <w:rsid w:val="004672AB"/>
    <w:rsid w:val="004714FE"/>
    <w:rsid w:val="00485CDE"/>
    <w:rsid w:val="00495053"/>
    <w:rsid w:val="004A1F59"/>
    <w:rsid w:val="004A29BE"/>
    <w:rsid w:val="004A3225"/>
    <w:rsid w:val="004A33EE"/>
    <w:rsid w:val="004A3AA8"/>
    <w:rsid w:val="004B13C7"/>
    <w:rsid w:val="004B778F"/>
    <w:rsid w:val="004C1695"/>
    <w:rsid w:val="004C5BE9"/>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F3563"/>
    <w:rsid w:val="006F42B9"/>
    <w:rsid w:val="006F6103"/>
    <w:rsid w:val="006F7A06"/>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E63"/>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7D5D"/>
    <w:rsid w:val="00BF2A42"/>
    <w:rsid w:val="00C000B3"/>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596D"/>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7A7"/>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C7DFD"/>
    <w:rsid w:val="00DD30E9"/>
    <w:rsid w:val="00DD4F47"/>
    <w:rsid w:val="00DD7FBB"/>
    <w:rsid w:val="00DE0B9F"/>
    <w:rsid w:val="00DE4238"/>
    <w:rsid w:val="00DE42B9"/>
    <w:rsid w:val="00DE657F"/>
    <w:rsid w:val="00DF1218"/>
    <w:rsid w:val="00DF6462"/>
    <w:rsid w:val="00E02FA0"/>
    <w:rsid w:val="00E036DC"/>
    <w:rsid w:val="00E07940"/>
    <w:rsid w:val="00E10454"/>
    <w:rsid w:val="00E112E5"/>
    <w:rsid w:val="00E21CC7"/>
    <w:rsid w:val="00E24D9E"/>
    <w:rsid w:val="00E25849"/>
    <w:rsid w:val="00E30BEA"/>
    <w:rsid w:val="00E3197E"/>
    <w:rsid w:val="00E342F8"/>
    <w:rsid w:val="00E351ED"/>
    <w:rsid w:val="00E535D4"/>
    <w:rsid w:val="00E54837"/>
    <w:rsid w:val="00E6034B"/>
    <w:rsid w:val="00E6549E"/>
    <w:rsid w:val="00E65EDE"/>
    <w:rsid w:val="00E70F81"/>
    <w:rsid w:val="00E77055"/>
    <w:rsid w:val="00E77460"/>
    <w:rsid w:val="00E83ABC"/>
    <w:rsid w:val="00E844F2"/>
    <w:rsid w:val="00E92FCB"/>
    <w:rsid w:val="00EA147F"/>
    <w:rsid w:val="00EC6557"/>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97AA6"/>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7597D25-A539-48C8-97E5-C096ABFE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basedOn w:val="a7"/>
    <w:link w:val="3"/>
    <w:rsid w:val="00EC6557"/>
    <w:rPr>
      <w:rFonts w:ascii="標楷體" w:eastAsia="標楷體" w:hAnsi="Arial"/>
      <w:bCs/>
      <w:kern w:val="32"/>
      <w:sz w:val="32"/>
      <w:szCs w:val="36"/>
    </w:rPr>
  </w:style>
  <w:style w:type="character" w:customStyle="1" w:styleId="40">
    <w:name w:val="標題 4 字元"/>
    <w:basedOn w:val="a7"/>
    <w:link w:val="4"/>
    <w:rsid w:val="00EC6557"/>
    <w:rPr>
      <w:rFonts w:ascii="標楷體" w:eastAsia="標楷體" w:hAnsi="Arial"/>
      <w:kern w:val="32"/>
      <w:sz w:val="32"/>
      <w:szCs w:val="36"/>
    </w:rPr>
  </w:style>
  <w:style w:type="paragraph" w:styleId="afa">
    <w:name w:val="footnote text"/>
    <w:basedOn w:val="a6"/>
    <w:link w:val="afb"/>
    <w:uiPriority w:val="99"/>
    <w:unhideWhenUsed/>
    <w:rsid w:val="00EC6557"/>
    <w:pPr>
      <w:snapToGrid w:val="0"/>
      <w:jc w:val="left"/>
    </w:pPr>
    <w:rPr>
      <w:sz w:val="20"/>
    </w:rPr>
  </w:style>
  <w:style w:type="character" w:customStyle="1" w:styleId="afb">
    <w:name w:val="註腳文字 字元"/>
    <w:basedOn w:val="a7"/>
    <w:link w:val="afa"/>
    <w:uiPriority w:val="99"/>
    <w:rsid w:val="00EC6557"/>
    <w:rPr>
      <w:rFonts w:ascii="標楷體" w:eastAsia="標楷體"/>
      <w:kern w:val="2"/>
    </w:rPr>
  </w:style>
  <w:style w:type="character" w:styleId="afc">
    <w:name w:val="footnote reference"/>
    <w:basedOn w:val="a7"/>
    <w:uiPriority w:val="99"/>
    <w:semiHidden/>
    <w:unhideWhenUsed/>
    <w:rsid w:val="00EC65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33B39-A53A-486D-A885-4FDCABFB9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11</Pages>
  <Words>946</Words>
  <Characters>5398</Characters>
  <Application>Microsoft Office Word</Application>
  <DocSecurity>0</DocSecurity>
  <Lines>44</Lines>
  <Paragraphs>12</Paragraphs>
  <ScaleCrop>false</ScaleCrop>
  <Company>cy</Company>
  <LinksUpToDate>false</LinksUpToDate>
  <CharactersWithSpaces>6332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張瓊惠</dc:creator>
  <cp:lastModifiedBy>吳婉珣</cp:lastModifiedBy>
  <cp:revision>2</cp:revision>
  <cp:lastPrinted>2017-06-12T09:11:00Z</cp:lastPrinted>
  <dcterms:created xsi:type="dcterms:W3CDTF">2017-06-23T01:15:00Z</dcterms:created>
  <dcterms:modified xsi:type="dcterms:W3CDTF">2017-06-23T01:15:00Z</dcterms:modified>
</cp:coreProperties>
</file>