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56633" w:rsidRDefault="00956633" w:rsidP="00F37D7B">
      <w:pPr>
        <w:pStyle w:val="af3"/>
        <w:rPr>
          <w:rFonts w:hAnsi="標楷體"/>
          <w:b w:val="0"/>
          <w:spacing w:val="0"/>
        </w:rPr>
      </w:pPr>
      <w:r>
        <w:rPr>
          <w:rFonts w:hAnsi="標楷體" w:hint="eastAsia"/>
        </w:rPr>
        <w:t xml:space="preserve">   </w:t>
      </w:r>
      <w:r w:rsidR="00D75644" w:rsidRPr="008F3A8C">
        <w:rPr>
          <w:rFonts w:hAnsi="標楷體"/>
        </w:rPr>
        <w:t>調查報告</w:t>
      </w:r>
      <w:r w:rsidRPr="00956633">
        <w:rPr>
          <w:rFonts w:hAnsi="標楷體" w:hint="eastAsia"/>
          <w:b w:val="0"/>
          <w:spacing w:val="0"/>
          <w:sz w:val="24"/>
          <w:szCs w:val="24"/>
        </w:rPr>
        <w:t>(公布版)</w:t>
      </w:r>
    </w:p>
    <w:p w:rsidR="00956633" w:rsidRPr="008F3A8C" w:rsidRDefault="00E25849" w:rsidP="00956633">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F3A8C">
        <w:rPr>
          <w:rFonts w:hAnsi="標楷體"/>
        </w:rPr>
        <w:t>案　　由：</w:t>
      </w:r>
      <w:bookmarkEnd w:id="0"/>
      <w:bookmarkEnd w:id="1"/>
      <w:bookmarkEnd w:id="2"/>
      <w:bookmarkEnd w:id="3"/>
      <w:bookmarkEnd w:id="4"/>
      <w:bookmarkEnd w:id="5"/>
      <w:bookmarkEnd w:id="6"/>
      <w:bookmarkEnd w:id="7"/>
      <w:bookmarkEnd w:id="8"/>
      <w:bookmarkEnd w:id="9"/>
      <w:proofErr w:type="gramStart"/>
      <w:r w:rsidR="00732F80" w:rsidRPr="008F3A8C">
        <w:rPr>
          <w:rFonts w:hAnsi="標楷體"/>
        </w:rPr>
        <w:t>據訴</w:t>
      </w:r>
      <w:proofErr w:type="gramEnd"/>
      <w:r w:rsidR="00732F80" w:rsidRPr="008F3A8C">
        <w:rPr>
          <w:rFonts w:hAnsi="標楷體"/>
        </w:rPr>
        <w:t>：十</w:t>
      </w:r>
      <w:proofErr w:type="gramStart"/>
      <w:r w:rsidR="00732F80" w:rsidRPr="008F3A8C">
        <w:rPr>
          <w:rFonts w:hAnsi="標楷體"/>
        </w:rPr>
        <w:t>祥</w:t>
      </w:r>
      <w:proofErr w:type="gramEnd"/>
      <w:r w:rsidR="00732F80" w:rsidRPr="008F3A8C">
        <w:rPr>
          <w:rFonts w:hAnsi="標楷體"/>
        </w:rPr>
        <w:t>企業股份有限公司於90年間依促進民間參與公共建設法向</w:t>
      </w:r>
      <w:proofErr w:type="gramStart"/>
      <w:r w:rsidR="00732F80" w:rsidRPr="008F3A8C">
        <w:rPr>
          <w:rFonts w:hAnsi="標楷體"/>
        </w:rPr>
        <w:t>臺</w:t>
      </w:r>
      <w:proofErr w:type="gramEnd"/>
      <w:r w:rsidR="00732F80" w:rsidRPr="008F3A8C">
        <w:rPr>
          <w:rFonts w:hAnsi="標楷體"/>
        </w:rPr>
        <w:t>北榮民總醫院申辦「緩和</w:t>
      </w:r>
      <w:proofErr w:type="gramStart"/>
      <w:r w:rsidR="00732F80" w:rsidRPr="008F3A8C">
        <w:rPr>
          <w:rFonts w:hAnsi="標楷體"/>
        </w:rPr>
        <w:t>安護暨</w:t>
      </w:r>
      <w:proofErr w:type="gramEnd"/>
      <w:r w:rsidR="00732F80" w:rsidRPr="008F3A8C">
        <w:rPr>
          <w:rFonts w:hAnsi="標楷體"/>
        </w:rPr>
        <w:t>系列服務計畫」，歷經審查、修約、仲裁等約15年餘時間，惟</w:t>
      </w:r>
      <w:proofErr w:type="gramStart"/>
      <w:r w:rsidR="00732F80" w:rsidRPr="008F3A8C">
        <w:rPr>
          <w:rFonts w:hAnsi="標楷體"/>
        </w:rPr>
        <w:t>該院迄未</w:t>
      </w:r>
      <w:proofErr w:type="gramEnd"/>
      <w:r w:rsidR="00732F80" w:rsidRPr="008F3A8C">
        <w:rPr>
          <w:rFonts w:hAnsi="標楷體"/>
        </w:rPr>
        <w:t>依約定於簽約同時辦理地上權設定，亦未能於簽約後1個月內交付計畫用地，致該公司陷入違約狀態並耗費資金與時間。該案迄今懸而未決，過程涉有刁難延宕，影響醫療資源投入及民眾就醫權益甚</w:t>
      </w:r>
      <w:proofErr w:type="gramStart"/>
      <w:r w:rsidR="00732F80" w:rsidRPr="008F3A8C">
        <w:rPr>
          <w:rFonts w:hAnsi="標楷體"/>
        </w:rPr>
        <w:t>鉅</w:t>
      </w:r>
      <w:proofErr w:type="gramEnd"/>
      <w:r w:rsidR="00732F80" w:rsidRPr="008F3A8C">
        <w:rPr>
          <w:rFonts w:hAnsi="標楷體"/>
        </w:rPr>
        <w:t>，</w:t>
      </w:r>
      <w:proofErr w:type="gramStart"/>
      <w:r w:rsidR="00732F80" w:rsidRPr="008F3A8C">
        <w:rPr>
          <w:rFonts w:hAnsi="標楷體"/>
        </w:rPr>
        <w:t>均有深入</w:t>
      </w:r>
      <w:proofErr w:type="gramEnd"/>
      <w:r w:rsidR="00732F80" w:rsidRPr="008F3A8C">
        <w:rPr>
          <w:rFonts w:hAnsi="標楷體"/>
        </w:rPr>
        <w:t>瞭解之必</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56633">
        <w:rPr>
          <w:rFonts w:hAnsi="標楷體" w:hint="eastAsia"/>
          <w:lang w:eastAsia="zh-HK"/>
        </w:rPr>
        <w:t>要案。</w:t>
      </w:r>
    </w:p>
    <w:p w:rsidR="00E25849" w:rsidRPr="008F3A8C" w:rsidRDefault="00956633" w:rsidP="004E05A1">
      <w:pPr>
        <w:pStyle w:val="1"/>
        <w:ind w:left="2380" w:hanging="2380"/>
        <w:rPr>
          <w:rFonts w:hAnsi="標楷體"/>
        </w:rPr>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F3A8C">
        <w:rPr>
          <w:rFonts w:hAnsi="標楷體"/>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34281" w:rsidRPr="008F3A8C" w:rsidRDefault="00334281" w:rsidP="00334281">
      <w:pPr>
        <w:pStyle w:val="10"/>
        <w:ind w:left="680" w:firstLine="680"/>
        <w:rPr>
          <w:rFonts w:hAnsi="標楷體"/>
        </w:rPr>
      </w:pPr>
      <w:bookmarkStart w:id="49" w:name="_Toc524902730"/>
      <w:proofErr w:type="gramStart"/>
      <w:r w:rsidRPr="008F3A8C">
        <w:rPr>
          <w:rFonts w:hAnsi="標楷體"/>
        </w:rPr>
        <w:t>有關</w:t>
      </w:r>
      <w:r w:rsidRPr="008F3A8C">
        <w:rPr>
          <w:rFonts w:hAnsi="標楷體"/>
          <w:bCs/>
          <w:noProof/>
          <w:szCs w:val="52"/>
        </w:rPr>
        <w:t>據訴</w:t>
      </w:r>
      <w:proofErr w:type="gramEnd"/>
      <w:r w:rsidRPr="008F3A8C">
        <w:rPr>
          <w:rFonts w:hAnsi="標楷體"/>
          <w:bCs/>
          <w:noProof/>
          <w:szCs w:val="52"/>
        </w:rPr>
        <w:t>：十祥企業股份有限公司(本案陳訴人，下稱十祥公司)於民國(下同)90年間依促進民間</w:t>
      </w:r>
      <w:r w:rsidR="0044267F">
        <w:rPr>
          <w:rFonts w:hAnsi="標楷體"/>
          <w:bCs/>
          <w:noProof/>
          <w:szCs w:val="52"/>
        </w:rPr>
        <w:t>參與公共建設法向臺北榮民總醫院申辦「緩和安護暨系列服務計畫</w:t>
      </w:r>
      <w:r w:rsidRPr="008F3A8C">
        <w:rPr>
          <w:rFonts w:hAnsi="標楷體"/>
          <w:bCs/>
          <w:noProof/>
          <w:szCs w:val="52"/>
        </w:rPr>
        <w:t>」，歷經審查、修約、仲裁等約15年餘時間，惟該院迄未依約定於簽約同時辦理地上權設定，亦未能於簽約後1個月內交付計畫用地，致該公司陷入違約狀態並耗費資金與時間。該案迄今懸而未決，過程涉有刁難延宕，影響醫療資源投入及民眾就醫權益甚鉅，均有深入瞭解之必要</w:t>
      </w:r>
      <w:proofErr w:type="gramStart"/>
      <w:r w:rsidR="00935E4F">
        <w:rPr>
          <w:rFonts w:hAnsi="標楷體" w:hint="eastAsia"/>
        </w:rPr>
        <w:t>等情</w:t>
      </w:r>
      <w:r w:rsidRPr="008F3A8C">
        <w:rPr>
          <w:rFonts w:hAnsi="標楷體"/>
        </w:rPr>
        <w:t>案</w:t>
      </w:r>
      <w:proofErr w:type="gramEnd"/>
      <w:r w:rsidRPr="008F3A8C">
        <w:rPr>
          <w:rFonts w:hAnsi="標楷體"/>
        </w:rPr>
        <w:t>，</w:t>
      </w:r>
      <w:r w:rsidRPr="008F3A8C">
        <w:rPr>
          <w:rFonts w:hAnsi="標楷體"/>
          <w:szCs w:val="32"/>
        </w:rPr>
        <w:t>經函請審計部、財政部推動促參司、</w:t>
      </w:r>
      <w:r w:rsidRPr="008F3A8C">
        <w:rPr>
          <w:rFonts w:hAnsi="標楷體"/>
        </w:rPr>
        <w:t>國軍退除役官兵輔導委員會(下稱輔導會)及所屬</w:t>
      </w:r>
      <w:proofErr w:type="gramStart"/>
      <w:r w:rsidRPr="008F3A8C">
        <w:rPr>
          <w:rFonts w:hAnsi="標楷體"/>
        </w:rPr>
        <w:t>臺</w:t>
      </w:r>
      <w:proofErr w:type="gramEnd"/>
      <w:r w:rsidRPr="008F3A8C">
        <w:rPr>
          <w:rFonts w:hAnsi="標楷體"/>
        </w:rPr>
        <w:t>北榮民總醫院(下稱</w:t>
      </w:r>
      <w:proofErr w:type="gramStart"/>
      <w:r w:rsidRPr="008F3A8C">
        <w:rPr>
          <w:rFonts w:hAnsi="標楷體"/>
        </w:rPr>
        <w:t>臺</w:t>
      </w:r>
      <w:proofErr w:type="gramEnd"/>
      <w:r w:rsidRPr="008F3A8C">
        <w:rPr>
          <w:rFonts w:hAnsi="標楷體"/>
        </w:rPr>
        <w:t>北榮總)</w:t>
      </w:r>
      <w:r w:rsidRPr="008F3A8C">
        <w:rPr>
          <w:rFonts w:hAnsi="標楷體"/>
          <w:szCs w:val="32"/>
        </w:rPr>
        <w:t>提供相關卷證資料，並於105年11月21日赴</w:t>
      </w:r>
      <w:proofErr w:type="gramStart"/>
      <w:r w:rsidRPr="008F3A8C">
        <w:rPr>
          <w:rFonts w:hAnsi="標楷體"/>
          <w:szCs w:val="32"/>
        </w:rPr>
        <w:t>臺</w:t>
      </w:r>
      <w:proofErr w:type="gramEnd"/>
      <w:r w:rsidRPr="008F3A8C">
        <w:rPr>
          <w:rFonts w:hAnsi="標楷體"/>
          <w:szCs w:val="32"/>
        </w:rPr>
        <w:t>北榮總履</w:t>
      </w:r>
      <w:proofErr w:type="gramStart"/>
      <w:r w:rsidRPr="008F3A8C">
        <w:rPr>
          <w:rFonts w:hAnsi="標楷體"/>
          <w:szCs w:val="32"/>
        </w:rPr>
        <w:t>勘</w:t>
      </w:r>
      <w:proofErr w:type="gramEnd"/>
      <w:r w:rsidRPr="008F3A8C">
        <w:rPr>
          <w:rFonts w:hAnsi="標楷體"/>
          <w:szCs w:val="32"/>
        </w:rPr>
        <w:t>本案用地及聽取簡報，</w:t>
      </w:r>
      <w:proofErr w:type="gramStart"/>
      <w:r w:rsidRPr="008F3A8C">
        <w:rPr>
          <w:rFonts w:hAnsi="標楷體"/>
          <w:szCs w:val="32"/>
        </w:rPr>
        <w:t>嗣</w:t>
      </w:r>
      <w:proofErr w:type="gramEnd"/>
      <w:r w:rsidRPr="008F3A8C">
        <w:rPr>
          <w:rFonts w:hAnsi="標楷體"/>
          <w:szCs w:val="32"/>
        </w:rPr>
        <w:t>於同年12月5日詢問輔導會副主任委員李文忠、</w:t>
      </w:r>
      <w:proofErr w:type="gramStart"/>
      <w:r w:rsidRPr="008F3A8C">
        <w:rPr>
          <w:rFonts w:hAnsi="標楷體"/>
          <w:szCs w:val="32"/>
        </w:rPr>
        <w:t>臺</w:t>
      </w:r>
      <w:proofErr w:type="gramEnd"/>
      <w:r w:rsidRPr="008F3A8C">
        <w:rPr>
          <w:rFonts w:hAnsi="標楷體"/>
          <w:szCs w:val="32"/>
        </w:rPr>
        <w:t>北榮總院長張德明及各</w:t>
      </w:r>
      <w:r w:rsidRPr="008F3A8C">
        <w:rPr>
          <w:rFonts w:hAnsi="標楷體"/>
        </w:rPr>
        <w:t>相關主管和承辦人員，</w:t>
      </w:r>
      <w:r w:rsidR="00935E4F">
        <w:rPr>
          <w:rFonts w:hAnsi="標楷體" w:hint="eastAsia"/>
        </w:rPr>
        <w:t>並</w:t>
      </w:r>
      <w:r w:rsidRPr="008F3A8C">
        <w:rPr>
          <w:rFonts w:hAnsi="標楷體"/>
        </w:rPr>
        <w:t>兩度函請</w:t>
      </w:r>
      <w:proofErr w:type="gramStart"/>
      <w:r w:rsidRPr="008F3A8C">
        <w:rPr>
          <w:rFonts w:hAnsi="標楷體"/>
        </w:rPr>
        <w:t>臺</w:t>
      </w:r>
      <w:proofErr w:type="gramEnd"/>
      <w:r w:rsidRPr="008F3A8C">
        <w:rPr>
          <w:rFonts w:hAnsi="標楷體"/>
        </w:rPr>
        <w:t>北榮總說明本案辦理情形後</w:t>
      </w:r>
      <w:r w:rsidRPr="008F3A8C">
        <w:rPr>
          <w:rFonts w:hAnsi="標楷體"/>
          <w:szCs w:val="32"/>
        </w:rPr>
        <w:t>，</w:t>
      </w:r>
      <w:r w:rsidRPr="008F3A8C">
        <w:rPr>
          <w:rFonts w:hAnsi="標楷體"/>
        </w:rPr>
        <w:t>已</w:t>
      </w:r>
      <w:proofErr w:type="gramStart"/>
      <w:r w:rsidRPr="008F3A8C">
        <w:rPr>
          <w:rFonts w:hAnsi="標楷體"/>
        </w:rPr>
        <w:t>調查竣事</w:t>
      </w:r>
      <w:proofErr w:type="gramEnd"/>
      <w:r w:rsidRPr="008F3A8C">
        <w:rPr>
          <w:rFonts w:hAnsi="標楷體"/>
        </w:rPr>
        <w:t>，茲</w:t>
      </w:r>
      <w:proofErr w:type="gramStart"/>
      <w:r w:rsidRPr="008F3A8C">
        <w:rPr>
          <w:rFonts w:hAnsi="標楷體"/>
        </w:rPr>
        <w:t>臚</w:t>
      </w:r>
      <w:proofErr w:type="gramEnd"/>
      <w:r w:rsidRPr="008F3A8C">
        <w:rPr>
          <w:rFonts w:hAnsi="標楷體"/>
        </w:rPr>
        <w:t>列調查意見如下：</w:t>
      </w:r>
    </w:p>
    <w:p w:rsidR="00334281" w:rsidRPr="008F3A8C" w:rsidRDefault="00334281" w:rsidP="00334281">
      <w:pPr>
        <w:pStyle w:val="2"/>
        <w:rPr>
          <w:rFonts w:hAnsi="標楷體"/>
          <w:b/>
        </w:rPr>
      </w:pPr>
      <w:r w:rsidRPr="008F3A8C">
        <w:rPr>
          <w:rFonts w:hAnsi="標楷體"/>
          <w:b/>
        </w:rPr>
        <w:t>本案陳訴人依促進民間參與公</w:t>
      </w:r>
      <w:r w:rsidR="0044267F">
        <w:rPr>
          <w:rFonts w:hAnsi="標楷體"/>
          <w:b/>
        </w:rPr>
        <w:t>共建設法向</w:t>
      </w:r>
      <w:proofErr w:type="gramStart"/>
      <w:r w:rsidR="0044267F">
        <w:rPr>
          <w:rFonts w:hAnsi="標楷體"/>
          <w:b/>
        </w:rPr>
        <w:t>臺</w:t>
      </w:r>
      <w:proofErr w:type="gramEnd"/>
      <w:r w:rsidR="0044267F">
        <w:rPr>
          <w:rFonts w:hAnsi="標楷體"/>
          <w:b/>
        </w:rPr>
        <w:t>北榮總申辦「緩和</w:t>
      </w:r>
      <w:proofErr w:type="gramStart"/>
      <w:r w:rsidR="0044267F">
        <w:rPr>
          <w:rFonts w:hAnsi="標楷體"/>
          <w:b/>
        </w:rPr>
        <w:t>安護暨</w:t>
      </w:r>
      <w:proofErr w:type="gramEnd"/>
      <w:r w:rsidR="0044267F">
        <w:rPr>
          <w:rFonts w:hAnsi="標楷體"/>
          <w:b/>
        </w:rPr>
        <w:t>系列服務計畫</w:t>
      </w:r>
      <w:r w:rsidRPr="008F3A8C">
        <w:rPr>
          <w:rFonts w:hAnsi="標楷體"/>
          <w:b/>
        </w:rPr>
        <w:t>」，雙方歷經冗長程</w:t>
      </w:r>
      <w:r w:rsidRPr="008F3A8C">
        <w:rPr>
          <w:rFonts w:hAnsi="標楷體"/>
          <w:b/>
        </w:rPr>
        <w:lastRenderedPageBreak/>
        <w:t>序，始於104年6月1日依同年3月3日之仲裁判斷書，簽訂契約修訂書，</w:t>
      </w:r>
      <w:proofErr w:type="gramStart"/>
      <w:r w:rsidRPr="008F3A8C">
        <w:rPr>
          <w:rFonts w:hAnsi="標楷體"/>
          <w:b/>
        </w:rPr>
        <w:t>嗣</w:t>
      </w:r>
      <w:proofErr w:type="gramEnd"/>
      <w:r w:rsidRPr="008F3A8C">
        <w:rPr>
          <w:rFonts w:hAnsi="標楷體"/>
          <w:b/>
        </w:rPr>
        <w:t>復因雙方就本計畫之投資執行計畫書內容存有歧見，致該</w:t>
      </w:r>
      <w:proofErr w:type="gramStart"/>
      <w:r w:rsidRPr="008F3A8C">
        <w:rPr>
          <w:rFonts w:hAnsi="標楷體"/>
          <w:b/>
        </w:rPr>
        <w:t>計畫書迄未</w:t>
      </w:r>
      <w:proofErr w:type="gramEnd"/>
      <w:r w:rsidRPr="008F3A8C">
        <w:rPr>
          <w:rFonts w:hAnsi="標楷體"/>
          <w:b/>
        </w:rPr>
        <w:t>獲核定，本案計畫</w:t>
      </w:r>
      <w:proofErr w:type="gramStart"/>
      <w:r w:rsidRPr="008F3A8C">
        <w:rPr>
          <w:rFonts w:hAnsi="標楷體"/>
          <w:b/>
        </w:rPr>
        <w:t>用地亦遲未</w:t>
      </w:r>
      <w:proofErr w:type="gramEnd"/>
      <w:r w:rsidRPr="008F3A8C">
        <w:rPr>
          <w:rFonts w:hAnsi="標楷體"/>
          <w:b/>
        </w:rPr>
        <w:t>依約辦理地上權設定登記及交付</w:t>
      </w:r>
      <w:r w:rsidRPr="008F3A8C">
        <w:rPr>
          <w:rFonts w:hAnsi="標楷體" w:hint="eastAsia"/>
          <w:b/>
        </w:rPr>
        <w:t>陳訴人</w:t>
      </w:r>
      <w:r w:rsidRPr="008F3A8C">
        <w:rPr>
          <w:rFonts w:hAnsi="標楷體"/>
          <w:b/>
        </w:rPr>
        <w:t>興建開發，惟陳訴人於簽訂契約修訂書後，除依約提供新臺幣(下同)1,500萬元之履約保證金外，復已陸續按期向</w:t>
      </w:r>
      <w:proofErr w:type="gramStart"/>
      <w:r w:rsidRPr="008F3A8C">
        <w:rPr>
          <w:rFonts w:hAnsi="標楷體"/>
          <w:b/>
        </w:rPr>
        <w:t>臺</w:t>
      </w:r>
      <w:proofErr w:type="gramEnd"/>
      <w:r w:rsidRPr="008F3A8C">
        <w:rPr>
          <w:rFonts w:hAnsi="標楷體"/>
          <w:b/>
        </w:rPr>
        <w:t>北榮總繳納開發權利金計7,742萬9,000元，</w:t>
      </w:r>
      <w:proofErr w:type="gramStart"/>
      <w:r w:rsidRPr="008F3A8C">
        <w:rPr>
          <w:rFonts w:hAnsi="標楷體"/>
          <w:b/>
        </w:rPr>
        <w:t>臺</w:t>
      </w:r>
      <w:proofErr w:type="gramEnd"/>
      <w:r w:rsidRPr="008F3A8C">
        <w:rPr>
          <w:rFonts w:hAnsi="標楷體"/>
          <w:b/>
        </w:rPr>
        <w:t>北榮總自應</w:t>
      </w:r>
      <w:proofErr w:type="gramStart"/>
      <w:r w:rsidRPr="008F3A8C">
        <w:rPr>
          <w:rFonts w:hAnsi="標楷體"/>
          <w:b/>
        </w:rPr>
        <w:t>秉</w:t>
      </w:r>
      <w:proofErr w:type="gramEnd"/>
      <w:r w:rsidRPr="008F3A8C">
        <w:rPr>
          <w:rFonts w:hAnsi="標楷體"/>
          <w:b/>
        </w:rPr>
        <w:t>誠信原則積極履行契約義務，若遇有歧見則當儘速協調處理，</w:t>
      </w:r>
      <w:proofErr w:type="gramStart"/>
      <w:r w:rsidRPr="008F3A8C">
        <w:rPr>
          <w:rFonts w:hAnsi="標楷體"/>
          <w:b/>
        </w:rPr>
        <w:t>倘確已</w:t>
      </w:r>
      <w:proofErr w:type="gramEnd"/>
      <w:r w:rsidRPr="008F3A8C">
        <w:rPr>
          <w:rFonts w:hAnsi="標楷體"/>
          <w:b/>
        </w:rPr>
        <w:t>無法經由協調獲得共識，亦</w:t>
      </w:r>
      <w:proofErr w:type="gramStart"/>
      <w:r w:rsidRPr="008F3A8C">
        <w:rPr>
          <w:rFonts w:hAnsi="標楷體"/>
          <w:b/>
        </w:rPr>
        <w:t>應速循仲裁</w:t>
      </w:r>
      <w:proofErr w:type="gramEnd"/>
      <w:r w:rsidRPr="008F3A8C">
        <w:rPr>
          <w:rFonts w:hAnsi="標楷體"/>
          <w:b/>
        </w:rPr>
        <w:t>等相關履約爭議處理機制謀求解決，避免予</w:t>
      </w:r>
      <w:r w:rsidRPr="008F3A8C">
        <w:rPr>
          <w:rFonts w:hAnsi="標楷體" w:hint="eastAsia"/>
          <w:b/>
        </w:rPr>
        <w:t>陳訴人</w:t>
      </w:r>
      <w:r w:rsidRPr="008F3A8C">
        <w:rPr>
          <w:rFonts w:hAnsi="標楷體"/>
          <w:b/>
        </w:rPr>
        <w:t>「藉故刁難、不守誠信」之誤解，損及政府機關整體形象。</w:t>
      </w:r>
    </w:p>
    <w:p w:rsidR="00334281" w:rsidRPr="008F3A8C" w:rsidRDefault="00334281" w:rsidP="00334281">
      <w:pPr>
        <w:pStyle w:val="3"/>
        <w:rPr>
          <w:rFonts w:hAnsi="標楷體"/>
        </w:rPr>
      </w:pPr>
      <w:r w:rsidRPr="008F3A8C">
        <w:rPr>
          <w:rFonts w:hAnsi="標楷體"/>
        </w:rPr>
        <w:t>行政程序法第8條規定：「行政行為，應以誠實信用之方法為之，並應保護人民正當合理之信賴。」民法第148條第2項規定：「行使權利，履行義務，應依誠實及信用方法。」由此可知，誠實信用原則為公、私法所共通適用之法理原則，促進民間參與公共建設法(下稱促參法)第12條亦特別明文規定：「(第1項)主辦機關與民間機構之權利義務，除本法另有規定外，依投資契約之約定；契約無約定者，適用民事法相關之規定。(第2項)投資契約之訂定，應以維護公共利益及公平合理為原則；其履行，應依誠實及信用之方法。」其立法理由提及「投資契約之訂定，應以維護公共利益及公平合理為原則，其履行應依誠信方法，以反映主辦機關與民間機構平等合作之夥伴理念，並營造雙贏投資條件。」強調投資契約之履行，應依誠實及信用之方法為之，唯有秉持公平合理及誠信之精神，始能締造政府與民間雙贏之合作成果。</w:t>
      </w:r>
    </w:p>
    <w:p w:rsidR="00334281" w:rsidRPr="008F3A8C" w:rsidRDefault="0044267F" w:rsidP="00334281">
      <w:pPr>
        <w:pStyle w:val="3"/>
        <w:rPr>
          <w:rFonts w:hAnsi="標楷體"/>
        </w:rPr>
      </w:pPr>
      <w:r>
        <w:rPr>
          <w:rFonts w:hAnsi="標楷體"/>
        </w:rPr>
        <w:t>查本案陳訴人依促參法向</w:t>
      </w:r>
      <w:proofErr w:type="gramStart"/>
      <w:r>
        <w:rPr>
          <w:rFonts w:hAnsi="標楷體"/>
        </w:rPr>
        <w:t>臺</w:t>
      </w:r>
      <w:proofErr w:type="gramEnd"/>
      <w:r>
        <w:rPr>
          <w:rFonts w:hAnsi="標楷體"/>
        </w:rPr>
        <w:t>北榮總申辦「緩和</w:t>
      </w:r>
      <w:proofErr w:type="gramStart"/>
      <w:r>
        <w:rPr>
          <w:rFonts w:hAnsi="標楷體"/>
        </w:rPr>
        <w:t>安護</w:t>
      </w:r>
      <w:r>
        <w:rPr>
          <w:rFonts w:hAnsi="標楷體"/>
        </w:rPr>
        <w:lastRenderedPageBreak/>
        <w:t>暨</w:t>
      </w:r>
      <w:proofErr w:type="gramEnd"/>
      <w:r>
        <w:rPr>
          <w:rFonts w:hAnsi="標楷體"/>
        </w:rPr>
        <w:t>系列服務計畫</w:t>
      </w:r>
      <w:r w:rsidR="00334281" w:rsidRPr="008F3A8C">
        <w:rPr>
          <w:rFonts w:hAnsi="標楷體"/>
        </w:rPr>
        <w:t>」，雙方於99年4月27日簽訂本計畫案之投資契約書，</w:t>
      </w:r>
      <w:proofErr w:type="gramStart"/>
      <w:r w:rsidR="00334281" w:rsidRPr="008F3A8C">
        <w:rPr>
          <w:rFonts w:hAnsi="標楷體"/>
        </w:rPr>
        <w:t>嗣</w:t>
      </w:r>
      <w:proofErr w:type="gramEnd"/>
      <w:r w:rsidR="00334281" w:rsidRPr="008F3A8C">
        <w:rPr>
          <w:rFonts w:hAnsi="標楷體"/>
        </w:rPr>
        <w:t>因殯葬業管理條例於100年間修正通過，禁止醫院附設經營</w:t>
      </w:r>
      <w:proofErr w:type="gramStart"/>
      <w:r w:rsidR="00334281" w:rsidRPr="008F3A8C">
        <w:rPr>
          <w:rFonts w:hAnsi="標楷體"/>
        </w:rPr>
        <w:t>殮</w:t>
      </w:r>
      <w:proofErr w:type="gramEnd"/>
      <w:r w:rsidR="00334281" w:rsidRPr="008F3A8C">
        <w:rPr>
          <w:rFonts w:hAnsi="標楷體"/>
        </w:rPr>
        <w:t>、</w:t>
      </w:r>
      <w:proofErr w:type="gramStart"/>
      <w:r w:rsidR="00334281" w:rsidRPr="008F3A8C">
        <w:rPr>
          <w:rFonts w:hAnsi="標楷體"/>
        </w:rPr>
        <w:t>殯</w:t>
      </w:r>
      <w:proofErr w:type="gramEnd"/>
      <w:r w:rsidR="00334281" w:rsidRPr="008F3A8C">
        <w:rPr>
          <w:rFonts w:hAnsi="標楷體"/>
        </w:rPr>
        <w:t>、奠、祭設施業務，</w:t>
      </w:r>
      <w:proofErr w:type="gramStart"/>
      <w:r w:rsidR="00334281" w:rsidRPr="008F3A8C">
        <w:rPr>
          <w:rFonts w:hAnsi="標楷體"/>
        </w:rPr>
        <w:t>臺</w:t>
      </w:r>
      <w:proofErr w:type="gramEnd"/>
      <w:r w:rsidR="00334281" w:rsidRPr="008F3A8C">
        <w:rPr>
          <w:rFonts w:hAnsi="標楷體"/>
        </w:rPr>
        <w:t>北榮總欲以終止契約之方式停止本計畫案，惟經陳訴人就兩造間之修約爭議向中華民國仲裁協會提付仲裁，且經中華民國仲裁協會於104年3月3日作成103</w:t>
      </w:r>
      <w:proofErr w:type="gramStart"/>
      <w:r w:rsidR="00334281" w:rsidRPr="008F3A8C">
        <w:rPr>
          <w:rFonts w:hAnsi="標楷體"/>
        </w:rPr>
        <w:t>仲聲孝字</w:t>
      </w:r>
      <w:proofErr w:type="gramEnd"/>
      <w:r w:rsidR="00334281" w:rsidRPr="008F3A8C">
        <w:rPr>
          <w:rFonts w:hAnsi="標楷體"/>
        </w:rPr>
        <w:t>第20號仲裁判斷書，認為本案原契約尚難認為已符合終止要件，如兩造</w:t>
      </w:r>
      <w:proofErr w:type="gramStart"/>
      <w:r w:rsidR="00334281" w:rsidRPr="008F3A8C">
        <w:rPr>
          <w:rFonts w:hAnsi="標楷體"/>
        </w:rPr>
        <w:t>依系爭原</w:t>
      </w:r>
      <w:proofErr w:type="gramEnd"/>
      <w:r w:rsidR="00334281" w:rsidRPr="008F3A8C">
        <w:rPr>
          <w:rFonts w:hAnsi="標楷體"/>
        </w:rPr>
        <w:t>契約內容履行，對於兩造</w:t>
      </w:r>
      <w:proofErr w:type="gramStart"/>
      <w:r w:rsidR="00334281" w:rsidRPr="008F3A8C">
        <w:rPr>
          <w:rFonts w:hAnsi="標楷體"/>
        </w:rPr>
        <w:t>均已至顯</w:t>
      </w:r>
      <w:proofErr w:type="gramEnd"/>
      <w:r w:rsidR="00334281" w:rsidRPr="008F3A8C">
        <w:rPr>
          <w:rFonts w:hAnsi="標楷體"/>
        </w:rPr>
        <w:t>失公平之程度，</w:t>
      </w:r>
      <w:proofErr w:type="gramStart"/>
      <w:r w:rsidR="00334281" w:rsidRPr="008F3A8C">
        <w:rPr>
          <w:rFonts w:hAnsi="標楷體"/>
        </w:rPr>
        <w:t>系爭原契約</w:t>
      </w:r>
      <w:proofErr w:type="gramEnd"/>
      <w:r w:rsidR="00334281" w:rsidRPr="008F3A8C">
        <w:rPr>
          <w:rFonts w:hAnsi="標楷體"/>
        </w:rPr>
        <w:t>內容應得依民法第227條之2情事變更原則規定加以調整，</w:t>
      </w:r>
      <w:proofErr w:type="gramStart"/>
      <w:r w:rsidR="00334281" w:rsidRPr="008F3A8C">
        <w:rPr>
          <w:rFonts w:hAnsi="標楷體"/>
        </w:rPr>
        <w:t>爰將系爭原</w:t>
      </w:r>
      <w:proofErr w:type="gramEnd"/>
      <w:r w:rsidR="00334281" w:rsidRPr="008F3A8C">
        <w:rPr>
          <w:rFonts w:hAnsi="標楷體"/>
        </w:rPr>
        <w:t>契約內容變更為該仲裁判斷書附件所示。嗣臺北榮總與陳訴人亦依上開仲裁判斷書，於同年6月1日簽訂契約修訂書，惟因雙方就本計畫之投資執行計畫書內容存有歧見，致屬於該契約修訂書文件之一部的投資執行計畫書迄未獲核定，本案計畫用地亦遲未依約辦理地上權設定登記及交付</w:t>
      </w:r>
      <w:r w:rsidR="00334281" w:rsidRPr="008F3A8C">
        <w:rPr>
          <w:rFonts w:hAnsi="標楷體" w:hint="eastAsia"/>
        </w:rPr>
        <w:t>陳訴人</w:t>
      </w:r>
      <w:r w:rsidR="00334281" w:rsidRPr="008F3A8C">
        <w:rPr>
          <w:rFonts w:hAnsi="標楷體"/>
        </w:rPr>
        <w:t>興建開發。</w:t>
      </w:r>
    </w:p>
    <w:p w:rsidR="00334281" w:rsidRPr="008F3A8C" w:rsidRDefault="00334281" w:rsidP="00334281">
      <w:pPr>
        <w:pStyle w:val="3"/>
        <w:rPr>
          <w:rFonts w:hAnsi="標楷體"/>
        </w:rPr>
      </w:pPr>
      <w:r w:rsidRPr="008F3A8C">
        <w:rPr>
          <w:rFonts w:hAnsi="標楷體"/>
        </w:rPr>
        <w:t>陳訴人到院陳訴略稱，其於104年6月29日送交投資執行計畫書後，臺北榮總僅願承認回饋方案中要求陳訴人支付回饋部分，卻不同意其餘增加醫療用途空間部分，竟延宕5個月方告知不予核定該投資執行計畫書，甚且以此為由拒絕履行前述簽訂地上權契約及交付用地之義務。</w:t>
      </w:r>
      <w:proofErr w:type="gramStart"/>
      <w:r w:rsidRPr="008F3A8C">
        <w:rPr>
          <w:rFonts w:hAnsi="標楷體"/>
        </w:rPr>
        <w:t>臺</w:t>
      </w:r>
      <w:proofErr w:type="gramEnd"/>
      <w:r w:rsidRPr="008F3A8C">
        <w:rPr>
          <w:rFonts w:hAnsi="標楷體"/>
        </w:rPr>
        <w:t>北榮總一方面收受陳訴人鉅額之權利金及履約保證金9,492萬9,000元</w:t>
      </w:r>
      <w:r w:rsidR="0097522F">
        <w:rPr>
          <w:rFonts w:hAnsi="標楷體" w:hint="eastAsia"/>
        </w:rPr>
        <w:t>(含250萬元稅金)</w:t>
      </w:r>
      <w:r w:rsidRPr="008F3A8C">
        <w:rPr>
          <w:rFonts w:hAnsi="標楷體"/>
        </w:rPr>
        <w:t>，一方面卻百般刁難，顯已構成無故延宕、有違誠信之違法失職等語。</w:t>
      </w:r>
    </w:p>
    <w:p w:rsidR="00334281" w:rsidRPr="008F3A8C" w:rsidRDefault="00334281" w:rsidP="00334281">
      <w:pPr>
        <w:pStyle w:val="3"/>
        <w:rPr>
          <w:rFonts w:hAnsi="標楷體"/>
        </w:rPr>
      </w:pPr>
      <w:r w:rsidRPr="008F3A8C">
        <w:rPr>
          <w:rFonts w:hAnsi="標楷體"/>
        </w:rPr>
        <w:t>針對雙方於104年6月1日簽訂契約修訂書後已歷有時日，卻始終未就本案計畫用地辦理地上權設定登記及交付用地</w:t>
      </w:r>
      <w:r w:rsidR="00374FF0">
        <w:rPr>
          <w:rFonts w:hAnsi="標楷體"/>
        </w:rPr>
        <w:t>一節</w:t>
      </w:r>
      <w:r w:rsidRPr="008F3A8C">
        <w:rPr>
          <w:rFonts w:hAnsi="標楷體"/>
        </w:rPr>
        <w:t>，</w:t>
      </w:r>
      <w:proofErr w:type="gramStart"/>
      <w:r w:rsidRPr="008F3A8C">
        <w:rPr>
          <w:rFonts w:hAnsi="標楷體"/>
        </w:rPr>
        <w:t>臺</w:t>
      </w:r>
      <w:proofErr w:type="gramEnd"/>
      <w:r w:rsidRPr="008F3A8C">
        <w:rPr>
          <w:rFonts w:hAnsi="標楷體"/>
        </w:rPr>
        <w:t>北榮總於本院詢問時表示，該院確於簽約後即開始準備辦理地上權登記及交</w:t>
      </w:r>
      <w:r w:rsidRPr="008F3A8C">
        <w:rPr>
          <w:rFonts w:hAnsi="標楷體"/>
        </w:rPr>
        <w:lastRenderedPageBreak/>
        <w:t>地事宜；並同時等候十</w:t>
      </w:r>
      <w:proofErr w:type="gramStart"/>
      <w:r w:rsidRPr="008F3A8C">
        <w:rPr>
          <w:rFonts w:hAnsi="標楷體"/>
        </w:rPr>
        <w:t>祥</w:t>
      </w:r>
      <w:proofErr w:type="gramEnd"/>
      <w:r w:rsidRPr="008F3A8C">
        <w:rPr>
          <w:rFonts w:hAnsi="標楷體"/>
        </w:rPr>
        <w:t>公司提出符合契約約定之投資執行計畫書。詎料十祥公司於104年6月29日提出之投資執行計畫書，擅自變更樓層用途，不符仲裁判斷之意旨以及契約之約定。經要求更正，十祥公司卻悍然拒絕。自104年8月至10月間，</w:t>
      </w:r>
      <w:r w:rsidRPr="008F3A8C">
        <w:rPr>
          <w:rFonts w:hAnsi="標楷體" w:hint="eastAsia"/>
        </w:rPr>
        <w:t>該院</w:t>
      </w:r>
      <w:r w:rsidRPr="008F3A8C">
        <w:rPr>
          <w:rFonts w:hAnsi="標楷體"/>
        </w:rPr>
        <w:t>多次召集會議與十祥公司協商，惟十祥公司均拒不同意。由於投資執行計畫書非但是契約文件之一部，更是十祥公司執行本計畫之興建營運，以及</w:t>
      </w:r>
      <w:r w:rsidRPr="008F3A8C">
        <w:rPr>
          <w:rFonts w:hAnsi="標楷體" w:hint="eastAsia"/>
        </w:rPr>
        <w:t>該院</w:t>
      </w:r>
      <w:r w:rsidRPr="008F3A8C">
        <w:rPr>
          <w:rFonts w:hAnsi="標楷體"/>
        </w:rPr>
        <w:t>進行履約管理之重要依據，該院爰經內部會議決議，有關「使用土地範圍測量」及「設定本計畫用地地上權並交付予十祥公司」事項，須經審查確認，且不影響審查修正及用地範圍，方能辦理後續地上權設定及土地交付事宜在案。其後復經該院於104年12月及105年6月間兩度委託永然聯合法律事務所出具法律意見略以，本件在十祥公司依照本件修訂書提出經委託人（即臺北榮總）核定之投資執行計畫書之前，委託人得主張同時履行抗辯權，拒絕交付本計畫用地予十祥公司使用。又因十祥公司迄未提出與仲裁判斷意旨及本件修訂書內容相符之投資執行計畫書，委託人自得否准該投資執行計畫書之核定，且屬可歸責於十祥公司之事由，故本計畫用地交付時程延宕實係因十祥公司行為所致，而不可歸責於委託人等</w:t>
      </w:r>
      <w:r w:rsidRPr="008F3A8C">
        <w:rPr>
          <w:rFonts w:hAnsi="標楷體" w:hint="eastAsia"/>
        </w:rPr>
        <w:t>詞</w:t>
      </w:r>
      <w:r w:rsidRPr="008F3A8C">
        <w:rPr>
          <w:rFonts w:hAnsi="標楷體"/>
        </w:rPr>
        <w:t>。而倘臺北榮總在十祥公司提出符合本件修訂書及仲裁判斷意旨之投資執行計畫書前，即貿然將本計畫用地交付予十祥公司使用，該院將不具有任何足以確保、監督本計畫執行之手段。此觀諸實務上有許多BOT案件，於設定地上權交付土地後，因民間機構違約而終止契約時，民間機構不願配合塗銷地上權登記，致主辦機關尚須透過訴訟或仲裁程序，訴請塗銷地上權登記以取</w:t>
      </w:r>
      <w:r w:rsidRPr="008F3A8C">
        <w:rPr>
          <w:rFonts w:hAnsi="標楷體"/>
        </w:rPr>
        <w:lastRenderedPageBreak/>
        <w:t>回土地，曠日廢時且需額外支出相關訴訟或仲裁費用及律師費用等情，爰於核定投資執行計畫書前，暫緩辦理地上權設定登記及交付土地，係該院為維護機關權益，避免將來損害擴大，因而被迫採取之因應措施等語，並舉出臺灣嘉義地方法院99年重訴字第20號、臺灣桃園地方法院103年度重訴字第581號2則民事判決作為佐參案例(該2案例分別為國立中正大學及桃園市政府依促參法與民間廠商簽訂投資契約，並依約將各該計畫用地設定地上權予合約廠商後，因履約過程發生合約廠商違約情事，爰經訴請塗銷地上權登記，並返還土地，均經法院判決勝訴在案)。</w:t>
      </w:r>
    </w:p>
    <w:p w:rsidR="00334281" w:rsidRPr="008F3A8C" w:rsidRDefault="00334281" w:rsidP="00334281">
      <w:pPr>
        <w:pStyle w:val="3"/>
        <w:rPr>
          <w:rFonts w:hAnsi="標楷體"/>
        </w:rPr>
      </w:pPr>
      <w:r w:rsidRPr="008F3A8C">
        <w:rPr>
          <w:rFonts w:hAnsi="標楷體"/>
        </w:rPr>
        <w:t>按民法第264條第1項規定：「因契約互負債務者，於他方當事人未為對待給付前，得拒絕自己之給付。但自己有先為給付之義務者，不在此限。」是為雙務契約同時履行抗辯權之規範。一般認為，同時履行抗辯權之成立要件，除須因同一雙務契約而互負債務外，尚須雙方基於該契約所互負之債務間具有牽連性，亦即彼此之給付義務具備互為對待給付之關係者，始足當之，有最高法院59年台上字第850號判例：「所謂同時履行之抗辯，乃係基於雙務契約而發生，倘雙方之債務，非本於同一之雙務契約而發生，縱令雙方債務在事實上有密切之關係，或雙方之債務雖因同一之雙務契約而發生，然其一方之給付，與他方之給付，並非立於互為對待給付之關係者，均不能發生同時履行之抗辯。」可資參照。本件臺北榮總與陳訴人間所簽訂之契約修訂書第陸章第二條第一項約定：「甲方同意於本修訂書訂定後一個月內，開始辦理將本計畫用地(含資源回收場原建物)以現況交付予乙方使用。」臺北榮總</w:t>
      </w:r>
      <w:r w:rsidRPr="008F3A8C">
        <w:rPr>
          <w:rFonts w:hAnsi="標楷體"/>
        </w:rPr>
        <w:lastRenderedPageBreak/>
        <w:t>嗣則以陳訴人迄未依約提出合於債之本旨之投資執行計畫書為由，拒絕履行設定地上權及交付計畫用地之義務。然而，陳訴人依約所負擔提交合於債之本旨之投資執行計畫書義務，與臺北榮總依約所負之會同辦理地上權設定登記及依現況交付用地之義務，二者間僅可謂係履行期限相同(均應於該契約修訂書簽訂後一個月內履行)，至於是否即具有互為對待給付關係之性質，仍非無推</w:t>
      </w:r>
      <w:r w:rsidRPr="008F3A8C">
        <w:rPr>
          <w:rFonts w:hAnsi="標楷體" w:hint="eastAsia"/>
        </w:rPr>
        <w:t>究</w:t>
      </w:r>
      <w:r w:rsidRPr="008F3A8C">
        <w:rPr>
          <w:rFonts w:hAnsi="標楷體"/>
        </w:rPr>
        <w:t>之餘地，此部分因已涉及民事法律關係中契約條款之解釋，尚非屬本院得逕予認定之範疇。惟臺北榮總於約無明文之情形下，逕將投資執行計畫書獲核定作為其交付計畫用地之停止條件，而是否核定投資執行計畫書卻又掌控於臺北榮總手中，此部分確易招致「恣意刁難」之誤解，允宜格外審慎思量。再審酌本案自提出申請以來，已延宕多</w:t>
      </w:r>
      <w:r w:rsidRPr="008F3A8C">
        <w:rPr>
          <w:rFonts w:hAnsi="標楷體" w:hint="eastAsia"/>
        </w:rPr>
        <w:t>年</w:t>
      </w:r>
      <w:r w:rsidRPr="008F3A8C">
        <w:rPr>
          <w:rFonts w:hAnsi="標楷體"/>
        </w:rPr>
        <w:t>，復歷經仲裁程序確認本案原契約雖因情事變更而有予以調整以維公平合理之必要，然尚未達終止契約之要件。換言之，本件促參案仍有續辦之可能及效益，倘計畫順利興建完工，亦可解決該院既有長青樓及部分護士宿舍因建築結構耐震強度不足而亟須拆除重建之轉圜搬遷問題，且陳訴人於104年6月1日雙方簽訂本計畫契約修訂書後，已先後於104年6月29日、同年12月22日及105年12月21日提送3版本之投資執行計畫書，對本案之續辦態度積極，臺北榮總作為契約當事人之一方，依前揭促參法第12條第2項規定，自應秉持誠信原則，積極依約履行。況本案雖因雙方就投資執行計畫書部分內容遲未能達成共識，致興建期多所延宕，然陳訴人於契約修訂書簽立後，除依約提供1,500萬元之履約保證金外，復已陸續按期向臺北榮總繳納開發權利金計</w:t>
      </w:r>
      <w:r w:rsidRPr="008F3A8C">
        <w:rPr>
          <w:rFonts w:hAnsi="標楷體"/>
        </w:rPr>
        <w:lastRenderedPageBreak/>
        <w:t>7,742萬9,000元，於此情形下，臺北榮總尤應避免拒不交付計畫用地之行為</w:t>
      </w:r>
      <w:r w:rsidR="00C01073" w:rsidRPr="008F3A8C">
        <w:rPr>
          <w:rFonts w:hAnsi="標楷體"/>
        </w:rPr>
        <w:t>招</w:t>
      </w:r>
      <w:r w:rsidRPr="008F3A8C">
        <w:rPr>
          <w:rFonts w:hAnsi="標楷體"/>
        </w:rPr>
        <w:t>致外界物議。又倘雙方對於投資執行計畫書是否合乎仲裁判斷意旨之歧見確已無法經由協調機制尋得解決方案，亦應速循仲裁等相關履約爭議處理機制謀求解決，方為正辦。</w:t>
      </w:r>
    </w:p>
    <w:p w:rsidR="00334281" w:rsidRPr="008F3A8C" w:rsidRDefault="00334281" w:rsidP="00334281">
      <w:pPr>
        <w:pStyle w:val="3"/>
        <w:rPr>
          <w:rFonts w:hAnsi="標楷體"/>
        </w:rPr>
      </w:pPr>
      <w:r w:rsidRPr="008F3A8C">
        <w:rPr>
          <w:rFonts w:hAnsi="標楷體"/>
        </w:rPr>
        <w:t>復查本案契約修訂書關於緩和安護部分之興建期間約定略以：「除本修訂書另有約定者外，本計畫興建期間為三年；乙方同意自甲方交付緩和安護用地完成日起三個月內申請建造執照，自領照日起三個月內開始興建，自簽訂本修訂書起三年內完成興建」。</w:t>
      </w:r>
      <w:proofErr w:type="gramStart"/>
      <w:r w:rsidRPr="008F3A8C">
        <w:rPr>
          <w:rFonts w:hAnsi="標楷體"/>
        </w:rPr>
        <w:t>臺</w:t>
      </w:r>
      <w:proofErr w:type="gramEnd"/>
      <w:r w:rsidRPr="008F3A8C">
        <w:rPr>
          <w:rFonts w:hAnsi="標楷體"/>
        </w:rPr>
        <w:t>北榮總於該契約修訂書簽訂後，援引同時履行抗辯權之規定，拒絕於投資執行</w:t>
      </w:r>
      <w:proofErr w:type="gramStart"/>
      <w:r w:rsidRPr="008F3A8C">
        <w:rPr>
          <w:rFonts w:hAnsi="標楷體"/>
        </w:rPr>
        <w:t>計畫書獲核定</w:t>
      </w:r>
      <w:proofErr w:type="gramEnd"/>
      <w:r w:rsidRPr="008F3A8C">
        <w:rPr>
          <w:rFonts w:hAnsi="標楷體"/>
        </w:rPr>
        <w:t>之前，就本案計畫用地設定地上權及交付土地予陳訴人，此作法固可避免發生類如前述，於設定地上權交付土地後，倘因陳訴人違約而終止契約時，尚須透過訴訟或仲裁程序，</w:t>
      </w:r>
      <w:proofErr w:type="gramStart"/>
      <w:r w:rsidRPr="008F3A8C">
        <w:rPr>
          <w:rFonts w:hAnsi="標楷體"/>
        </w:rPr>
        <w:t>訴請塗銷</w:t>
      </w:r>
      <w:proofErr w:type="gramEnd"/>
      <w:r w:rsidRPr="008F3A8C">
        <w:rPr>
          <w:rFonts w:hAnsi="標楷體"/>
        </w:rPr>
        <w:t>地上權登記以取回土地之情事；</w:t>
      </w:r>
      <w:proofErr w:type="gramStart"/>
      <w:r w:rsidRPr="008F3A8C">
        <w:rPr>
          <w:rFonts w:hAnsi="標楷體"/>
        </w:rPr>
        <w:t>惟</w:t>
      </w:r>
      <w:proofErr w:type="gramEnd"/>
      <w:r w:rsidRPr="008F3A8C">
        <w:rPr>
          <w:rFonts w:hAnsi="標楷體"/>
        </w:rPr>
        <w:t>由於此項計畫用地之延遲交付，勢將影響陳訴人之興建期程，屆時倘發生陳訴人無法依約如期完成興建之狀況，就該遲延完工事實與有原因力之</w:t>
      </w:r>
      <w:proofErr w:type="gramStart"/>
      <w:r w:rsidRPr="008F3A8C">
        <w:rPr>
          <w:rFonts w:hAnsi="標楷體"/>
        </w:rPr>
        <w:t>臺</w:t>
      </w:r>
      <w:proofErr w:type="gramEnd"/>
      <w:r w:rsidRPr="008F3A8C">
        <w:rPr>
          <w:rFonts w:hAnsi="標楷體"/>
        </w:rPr>
        <w:t>北榮總得否再向陳訴人主張遲延責任</w:t>
      </w:r>
      <w:r w:rsidR="00374FF0">
        <w:rPr>
          <w:rFonts w:hAnsi="標楷體"/>
        </w:rPr>
        <w:t>一節</w:t>
      </w:r>
      <w:r w:rsidRPr="008F3A8C">
        <w:rPr>
          <w:rFonts w:hAnsi="標楷體"/>
        </w:rPr>
        <w:t>，恐非無疑義。就此層面而言，臺北榮總亦應妥為預慮，俾資維護契約雙方當事人之最大利益。</w:t>
      </w:r>
    </w:p>
    <w:p w:rsidR="00334281" w:rsidRPr="008F3A8C" w:rsidRDefault="0044267F" w:rsidP="00334281">
      <w:pPr>
        <w:pStyle w:val="3"/>
        <w:rPr>
          <w:rFonts w:hAnsi="標楷體"/>
        </w:rPr>
      </w:pPr>
      <w:r>
        <w:rPr>
          <w:rFonts w:hAnsi="標楷體"/>
        </w:rPr>
        <w:t>綜上，針對</w:t>
      </w:r>
      <w:proofErr w:type="gramStart"/>
      <w:r>
        <w:rPr>
          <w:rFonts w:hAnsi="標楷體"/>
        </w:rPr>
        <w:t>臺</w:t>
      </w:r>
      <w:proofErr w:type="gramEnd"/>
      <w:r>
        <w:rPr>
          <w:rFonts w:hAnsi="標楷體"/>
        </w:rPr>
        <w:t>北榮總「緩和</w:t>
      </w:r>
      <w:proofErr w:type="gramStart"/>
      <w:r>
        <w:rPr>
          <w:rFonts w:hAnsi="標楷體"/>
        </w:rPr>
        <w:t>安護暨</w:t>
      </w:r>
      <w:proofErr w:type="gramEnd"/>
      <w:r>
        <w:rPr>
          <w:rFonts w:hAnsi="標楷體"/>
        </w:rPr>
        <w:t>系列服務計畫</w:t>
      </w:r>
      <w:r w:rsidR="00334281" w:rsidRPr="008F3A8C">
        <w:rPr>
          <w:rFonts w:hAnsi="標楷體"/>
        </w:rPr>
        <w:t>」，</w:t>
      </w:r>
      <w:proofErr w:type="gramStart"/>
      <w:r w:rsidR="00334281" w:rsidRPr="008F3A8C">
        <w:rPr>
          <w:rFonts w:hAnsi="標楷體"/>
        </w:rPr>
        <w:t>陳訴人業於</w:t>
      </w:r>
      <w:proofErr w:type="gramEnd"/>
      <w:r w:rsidR="00334281" w:rsidRPr="008F3A8C">
        <w:rPr>
          <w:rFonts w:hAnsi="標楷體"/>
        </w:rPr>
        <w:t>104年6月1日與</w:t>
      </w:r>
      <w:proofErr w:type="gramStart"/>
      <w:r w:rsidR="00334281" w:rsidRPr="008F3A8C">
        <w:rPr>
          <w:rFonts w:hAnsi="標楷體"/>
        </w:rPr>
        <w:t>臺</w:t>
      </w:r>
      <w:proofErr w:type="gramEnd"/>
      <w:r w:rsidR="00334281" w:rsidRPr="008F3A8C">
        <w:rPr>
          <w:rFonts w:hAnsi="標楷體"/>
        </w:rPr>
        <w:t>北榮總簽訂契約修訂書，復於104年6月29日、同年12月22日及105年12月21日3度向</w:t>
      </w:r>
      <w:proofErr w:type="gramStart"/>
      <w:r w:rsidR="00334281" w:rsidRPr="008F3A8C">
        <w:rPr>
          <w:rFonts w:hAnsi="標楷體"/>
        </w:rPr>
        <w:t>臺</w:t>
      </w:r>
      <w:proofErr w:type="gramEnd"/>
      <w:r w:rsidR="00334281" w:rsidRPr="008F3A8C">
        <w:rPr>
          <w:rFonts w:hAnsi="標楷體"/>
        </w:rPr>
        <w:t>北榮總提送該案之投資執行計畫書，惟經該院審查其內容，</w:t>
      </w:r>
      <w:proofErr w:type="gramStart"/>
      <w:r w:rsidR="00334281" w:rsidRPr="008F3A8C">
        <w:rPr>
          <w:rFonts w:hAnsi="標楷體"/>
        </w:rPr>
        <w:t>均認與</w:t>
      </w:r>
      <w:proofErr w:type="gramEnd"/>
      <w:r w:rsidR="00334281" w:rsidRPr="008F3A8C">
        <w:rPr>
          <w:rFonts w:hAnsi="標楷體"/>
        </w:rPr>
        <w:t>仲裁判斷意旨、契約</w:t>
      </w:r>
      <w:proofErr w:type="gramStart"/>
      <w:r w:rsidR="00334281" w:rsidRPr="008F3A8C">
        <w:rPr>
          <w:rFonts w:hAnsi="標楷體"/>
        </w:rPr>
        <w:t>修訂書尚有未符而未</w:t>
      </w:r>
      <w:proofErr w:type="gramEnd"/>
      <w:r w:rsidR="00334281" w:rsidRPr="008F3A8C">
        <w:rPr>
          <w:rFonts w:hAnsi="標楷體"/>
        </w:rPr>
        <w:t>予核定，</w:t>
      </w:r>
      <w:proofErr w:type="gramStart"/>
      <w:r w:rsidR="00334281" w:rsidRPr="008F3A8C">
        <w:rPr>
          <w:rFonts w:hAnsi="標楷體"/>
        </w:rPr>
        <w:t>臺</w:t>
      </w:r>
      <w:proofErr w:type="gramEnd"/>
      <w:r w:rsidR="00334281" w:rsidRPr="008F3A8C">
        <w:rPr>
          <w:rFonts w:hAnsi="標楷體"/>
        </w:rPr>
        <w:t>北榮總亦</w:t>
      </w:r>
      <w:proofErr w:type="gramStart"/>
      <w:r w:rsidR="00334281" w:rsidRPr="008F3A8C">
        <w:rPr>
          <w:rFonts w:hAnsi="標楷體"/>
        </w:rPr>
        <w:t>據此</w:t>
      </w:r>
      <w:r w:rsidR="00334281" w:rsidRPr="008F3A8C">
        <w:rPr>
          <w:rFonts w:hAnsi="標楷體"/>
        </w:rPr>
        <w:lastRenderedPageBreak/>
        <w:t>迄</w:t>
      </w:r>
      <w:proofErr w:type="gramEnd"/>
      <w:r w:rsidR="00334281" w:rsidRPr="008F3A8C">
        <w:rPr>
          <w:rFonts w:hAnsi="標楷體"/>
        </w:rPr>
        <w:t>未依約將本案計畫用地辦理地上權設定及交付陳訴人。由於投資執行計畫書為契約修訂書文件之一部，且係作為陳訴人日後興建營運執行之依據，臺北榮總主張同時履行抗辯權，於投資執行計畫書獲核定前，暫緩設定地上權及交付計畫用地，縱或非全然無據，然除同時履行抗辯之要件是否具備尚有推</w:t>
      </w:r>
      <w:r w:rsidR="00334281" w:rsidRPr="008F3A8C">
        <w:rPr>
          <w:rFonts w:hAnsi="標楷體" w:hint="eastAsia"/>
        </w:rPr>
        <w:t>究</w:t>
      </w:r>
      <w:r w:rsidR="00334281" w:rsidRPr="008F3A8C">
        <w:rPr>
          <w:rFonts w:hAnsi="標楷體"/>
        </w:rPr>
        <w:t>餘地外，因該項主張可能影響日後契約遲延責任中「可歸責性」之判斷，是否確實符合該院及契約雙方當事人之最大利益，亦非無疑義。考量本案既經提付仲裁確認契約應繼續履行，復已延宕多時而徒耗勞費，對主辦機關與陳訴人而言均屬有損無益，臺北榮總允應儘速積極處理，若遇有歧見則當儘速協調處理，倘確已無法經由協調獲得共識，亦應速循仲裁等相關履約爭議處理機制謀求解決，避免予陳訴人「藉故刁難、不守誠信」之誤解，損及政府機關整體形象。</w:t>
      </w:r>
    </w:p>
    <w:p w:rsidR="00334281" w:rsidRPr="008F3A8C" w:rsidRDefault="00334281" w:rsidP="00334281">
      <w:pPr>
        <w:pStyle w:val="2"/>
        <w:rPr>
          <w:rFonts w:hAnsi="標楷體"/>
          <w:b/>
        </w:rPr>
      </w:pPr>
      <w:r w:rsidRPr="008F3A8C">
        <w:rPr>
          <w:rFonts w:hAnsi="標楷體"/>
          <w:b/>
        </w:rPr>
        <w:t>針對陳訴人於105年12月21日所提出之投資執行計畫書，臺北榮總於106年2月20日完成審查，並於同月21日將審查意見函復陳訴人，再於翌(22)日送達，雖未明顯違反雙方於105年11月9日協調會之決議情形，惟拖延至期限之末日始完成審查，確易引起故意延宕之猜疑，而上開函復之審查意見復存有相關瑕疵，未能以簡要明確之方式呈現，臺北榮總允宜力求精進，並於爾後程序中注意避免。</w:t>
      </w:r>
    </w:p>
    <w:p w:rsidR="00334281" w:rsidRPr="008F3A8C" w:rsidRDefault="00334281" w:rsidP="00334281">
      <w:pPr>
        <w:pStyle w:val="3"/>
        <w:rPr>
          <w:rFonts w:hAnsi="標楷體"/>
        </w:rPr>
      </w:pPr>
      <w:r w:rsidRPr="008F3A8C">
        <w:rPr>
          <w:rFonts w:hAnsi="標楷體"/>
        </w:rPr>
        <w:t>陳訴人另訴稱其依105年11月9</w:t>
      </w:r>
      <w:r w:rsidR="00625E01" w:rsidRPr="008F3A8C">
        <w:rPr>
          <w:rFonts w:hAnsi="標楷體"/>
        </w:rPr>
        <w:t>日協調會決議</w:t>
      </w:r>
      <w:r w:rsidRPr="008F3A8C">
        <w:rPr>
          <w:rFonts w:hAnsi="標楷體"/>
        </w:rPr>
        <w:t>於同年12月21日遞交投資執行計畫書後，臺北榮總不僅遲於106年2月22日方送達其審查結論，已逾前述協調會決議之2</w:t>
      </w:r>
      <w:r w:rsidR="00625E01" w:rsidRPr="008F3A8C">
        <w:rPr>
          <w:rFonts w:hAnsi="標楷體"/>
        </w:rPr>
        <w:t>個月內期限</w:t>
      </w:r>
      <w:r w:rsidR="00625E01" w:rsidRPr="008F3A8C">
        <w:rPr>
          <w:rFonts w:hAnsi="標楷體" w:hint="eastAsia"/>
        </w:rPr>
        <w:t>；</w:t>
      </w:r>
      <w:r w:rsidRPr="008F3A8C">
        <w:rPr>
          <w:rFonts w:hAnsi="標楷體"/>
        </w:rPr>
        <w:t>而其函文更表示就財務管理</w:t>
      </w:r>
      <w:r w:rsidR="00625E01" w:rsidRPr="008F3A8C">
        <w:rPr>
          <w:rFonts w:hAnsi="標楷體"/>
        </w:rPr>
        <w:t>計畫部分「另訂時間協調完整機制」云云，顯然就此部分尚未審查完成</w:t>
      </w:r>
      <w:r w:rsidR="00625E01" w:rsidRPr="008F3A8C">
        <w:rPr>
          <w:rFonts w:hAnsi="標楷體" w:hint="eastAsia"/>
        </w:rPr>
        <w:t>；</w:t>
      </w:r>
      <w:r w:rsidRPr="008F3A8C">
        <w:rPr>
          <w:rFonts w:hAnsi="標楷體"/>
        </w:rPr>
        <w:t>臺北榮總審查意見，除有</w:t>
      </w:r>
      <w:r w:rsidRPr="008F3A8C">
        <w:rPr>
          <w:rFonts w:hAnsi="標楷體"/>
        </w:rPr>
        <w:lastRenderedPageBreak/>
        <w:t>諸多超出仲裁判斷之內容，且多處重複冗雜，顯然並未先行整合內部各處室之意見，任由各不明究理之單位僅憑己見隨意提出，更見臺北榮總未依協議履行，仍藉故稽延刁難等語。</w:t>
      </w:r>
    </w:p>
    <w:p w:rsidR="00334281" w:rsidRPr="008F3A8C" w:rsidRDefault="00334281" w:rsidP="00334281">
      <w:pPr>
        <w:pStyle w:val="3"/>
        <w:rPr>
          <w:rFonts w:hAnsi="標楷體"/>
        </w:rPr>
      </w:pPr>
      <w:r w:rsidRPr="008F3A8C">
        <w:rPr>
          <w:rFonts w:hAnsi="標楷體"/>
        </w:rPr>
        <w:t>查依臺北榮總106年5月19日函復本院說明，陳訴人確於105年12月21日以(105)十祥第1051221號函提送投資執行計畫書予該院，而該院係於同日即收受該105年12月版之投資執行計畫書。再參諸陳訴人及臺北榮總雙方前於105年11月9日協調會議中所達成之決議：「1.雙方同意依仲裁判斷書辦理。2.十</w:t>
      </w:r>
      <w:proofErr w:type="gramStart"/>
      <w:r w:rsidRPr="008F3A8C">
        <w:rPr>
          <w:rFonts w:hAnsi="標楷體"/>
        </w:rPr>
        <w:t>祥</w:t>
      </w:r>
      <w:proofErr w:type="gramEnd"/>
      <w:r w:rsidRPr="008F3A8C">
        <w:rPr>
          <w:rFonts w:hAnsi="標楷體"/>
        </w:rPr>
        <w:t>公司同意於</w:t>
      </w:r>
      <w:r w:rsidR="00374FF0">
        <w:rPr>
          <w:rFonts w:hAnsi="標楷體"/>
        </w:rPr>
        <w:t>2個月</w:t>
      </w:r>
      <w:r w:rsidRPr="008F3A8C">
        <w:rPr>
          <w:rFonts w:hAnsi="標楷體"/>
        </w:rPr>
        <w:t>內提出投資執行計畫書。3.</w:t>
      </w:r>
      <w:proofErr w:type="gramStart"/>
      <w:r w:rsidRPr="008F3A8C">
        <w:rPr>
          <w:rFonts w:hAnsi="標楷體"/>
        </w:rPr>
        <w:t>臺</w:t>
      </w:r>
      <w:proofErr w:type="gramEnd"/>
      <w:r w:rsidRPr="008F3A8C">
        <w:rPr>
          <w:rFonts w:hAnsi="標楷體"/>
        </w:rPr>
        <w:t>北榮總於收到十</w:t>
      </w:r>
      <w:proofErr w:type="gramStart"/>
      <w:r w:rsidRPr="008F3A8C">
        <w:rPr>
          <w:rFonts w:hAnsi="標楷體"/>
        </w:rPr>
        <w:t>祥</w:t>
      </w:r>
      <w:proofErr w:type="gramEnd"/>
      <w:r w:rsidRPr="008F3A8C">
        <w:rPr>
          <w:rFonts w:hAnsi="標楷體"/>
        </w:rPr>
        <w:t>公司提送投資執行計畫書後</w:t>
      </w:r>
      <w:r w:rsidR="00374FF0">
        <w:rPr>
          <w:rFonts w:hAnsi="標楷體"/>
        </w:rPr>
        <w:t>2個月</w:t>
      </w:r>
      <w:r w:rsidRPr="008F3A8C">
        <w:rPr>
          <w:rFonts w:hAnsi="標楷體"/>
        </w:rPr>
        <w:t>內完成審查並同意後，簽訂地上權設定契約並交付土地</w:t>
      </w:r>
      <w:r w:rsidRPr="008F3A8C">
        <w:rPr>
          <w:rFonts w:hAnsi="標楷體" w:hint="eastAsia"/>
        </w:rPr>
        <w:t>。</w:t>
      </w:r>
      <w:r w:rsidR="00935E4F">
        <w:rPr>
          <w:rFonts w:hAnsi="標楷體"/>
        </w:rPr>
        <w:t>」</w:t>
      </w:r>
      <w:r w:rsidRPr="008F3A8C">
        <w:rPr>
          <w:rFonts w:hAnsi="標楷體"/>
        </w:rPr>
        <w:t>則本案</w:t>
      </w:r>
      <w:proofErr w:type="gramStart"/>
      <w:r w:rsidRPr="008F3A8C">
        <w:rPr>
          <w:rFonts w:hAnsi="標楷體"/>
        </w:rPr>
        <w:t>臺</w:t>
      </w:r>
      <w:proofErr w:type="gramEnd"/>
      <w:r w:rsidRPr="008F3A8C">
        <w:rPr>
          <w:rFonts w:hAnsi="標楷體"/>
        </w:rPr>
        <w:t>北榮總對於該份投資執行計畫書至遲應於106年2月20日完成審查。而陳訴人雖係於106年2月22日始收受臺北榮總之審查結論，然據臺北榮總於上開106年5月19日函復說明中陳稱，由於該計畫涉及該院未來整體發展，十祥公司提送之105年12月版投資執行計畫書需經各部室充分討論及表達意見。因此，該院除發交各部室表示意見外，並於106年1月20日及106年2月6日召開院內本計畫督導小組會議綜合檢討，再就最終檢討結果辦理各部室之陳核。該投資執行計畫書之審查意見於106年2月2</w:t>
      </w:r>
      <w:r w:rsidRPr="008F3A8C">
        <w:rPr>
          <w:rFonts w:hAnsi="標楷體" w:hint="eastAsia"/>
        </w:rPr>
        <w:t>0</w:t>
      </w:r>
      <w:r w:rsidRPr="008F3A8C">
        <w:rPr>
          <w:rFonts w:hAnsi="標楷體"/>
        </w:rPr>
        <w:t>日由院長室簽核完成審查(</w:t>
      </w:r>
      <w:r w:rsidRPr="008F3A8C">
        <w:rPr>
          <w:rFonts w:hAnsi="標楷體" w:hint="eastAsia"/>
        </w:rPr>
        <w:t>註</w:t>
      </w:r>
      <w:r w:rsidRPr="008F3A8C">
        <w:rPr>
          <w:rFonts w:hAnsi="標楷體"/>
        </w:rPr>
        <w:t>：</w:t>
      </w:r>
      <w:r w:rsidRPr="008F3A8C">
        <w:rPr>
          <w:rFonts w:hAnsi="標楷體" w:hint="eastAsia"/>
        </w:rPr>
        <w:t>臺北榮總於該函復公文中將</w:t>
      </w:r>
      <w:r w:rsidRPr="008F3A8C">
        <w:rPr>
          <w:rFonts w:hAnsi="標楷體"/>
        </w:rPr>
        <w:t>此日期</w:t>
      </w:r>
      <w:r w:rsidRPr="008F3A8C">
        <w:rPr>
          <w:rFonts w:hAnsi="標楷體" w:hint="eastAsia"/>
        </w:rPr>
        <w:t>誤植</w:t>
      </w:r>
      <w:r w:rsidRPr="008F3A8C">
        <w:rPr>
          <w:rFonts w:hAnsi="標楷體"/>
        </w:rPr>
        <w:t>為「106年2月2</w:t>
      </w:r>
      <w:r w:rsidRPr="008F3A8C">
        <w:rPr>
          <w:rFonts w:hAnsi="標楷體" w:hint="eastAsia"/>
        </w:rPr>
        <w:t>1</w:t>
      </w:r>
      <w:r w:rsidRPr="008F3A8C">
        <w:rPr>
          <w:rFonts w:hAnsi="標楷體"/>
        </w:rPr>
        <w:t>日」)，並未逾越前述會議紀錄所要求之完成審查期限等語，此有該院工務室106年2月15日簽呈影本附卷</w:t>
      </w:r>
      <w:r w:rsidRPr="008F3A8C">
        <w:rPr>
          <w:rFonts w:hAnsi="標楷體" w:hint="eastAsia"/>
        </w:rPr>
        <w:t>可</w:t>
      </w:r>
      <w:r w:rsidRPr="008F3A8C">
        <w:rPr>
          <w:rFonts w:hAnsi="標楷體"/>
        </w:rPr>
        <w:t>稽，足認該院確係於106年2月20日完成審查，並於翌(21)日發文，而於同月22日送達陳訴人。</w:t>
      </w:r>
      <w:proofErr w:type="gramStart"/>
      <w:r w:rsidRPr="008F3A8C">
        <w:rPr>
          <w:rFonts w:hAnsi="標楷體"/>
        </w:rPr>
        <w:t>臺</w:t>
      </w:r>
      <w:proofErr w:type="gramEnd"/>
      <w:r w:rsidRPr="008F3A8C">
        <w:rPr>
          <w:rFonts w:hAnsi="標楷體"/>
        </w:rPr>
        <w:t>北榮總未能加速內部審查作業期程，以致於</w:t>
      </w:r>
      <w:r w:rsidRPr="008F3A8C">
        <w:rPr>
          <w:rFonts w:hAnsi="標楷體"/>
        </w:rPr>
        <w:lastRenderedPageBreak/>
        <w:t>期限之末日始完成審查，延宕2日始將審查結論送達陳訴人，縱或有所欠當，惟衡諸上開決議並未要求</w:t>
      </w:r>
      <w:proofErr w:type="gramStart"/>
      <w:r w:rsidRPr="008F3A8C">
        <w:rPr>
          <w:rFonts w:hAnsi="標楷體"/>
        </w:rPr>
        <w:t>臺</w:t>
      </w:r>
      <w:proofErr w:type="gramEnd"/>
      <w:r w:rsidRPr="008F3A8C">
        <w:rPr>
          <w:rFonts w:hAnsi="標楷體"/>
        </w:rPr>
        <w:t>北榮總須於</w:t>
      </w:r>
      <w:r w:rsidR="00374FF0">
        <w:rPr>
          <w:rFonts w:hAnsi="標楷體"/>
        </w:rPr>
        <w:t>2個月</w:t>
      </w:r>
      <w:r w:rsidRPr="008F3A8C">
        <w:rPr>
          <w:rFonts w:hAnsi="標楷體"/>
        </w:rPr>
        <w:t>內將審查結果</w:t>
      </w:r>
      <w:r w:rsidRPr="008F3A8C">
        <w:rPr>
          <w:rFonts w:hAnsi="標楷體" w:hint="eastAsia"/>
        </w:rPr>
        <w:t>「</w:t>
      </w:r>
      <w:r w:rsidRPr="008F3A8C">
        <w:rPr>
          <w:rFonts w:hAnsi="標楷體"/>
        </w:rPr>
        <w:t>送達</w:t>
      </w:r>
      <w:r w:rsidRPr="008F3A8C">
        <w:rPr>
          <w:rFonts w:hAnsi="標楷體" w:hint="eastAsia"/>
        </w:rPr>
        <w:t>」</w:t>
      </w:r>
      <w:r w:rsidRPr="008F3A8C">
        <w:rPr>
          <w:rFonts w:hAnsi="標楷體"/>
        </w:rPr>
        <w:t>陳訴人，尚難</w:t>
      </w:r>
      <w:proofErr w:type="gramStart"/>
      <w:r w:rsidRPr="008F3A8C">
        <w:rPr>
          <w:rFonts w:hAnsi="標楷體"/>
        </w:rPr>
        <w:t>逕</w:t>
      </w:r>
      <w:proofErr w:type="gramEnd"/>
      <w:r w:rsidRPr="008F3A8C">
        <w:rPr>
          <w:rFonts w:hAnsi="標楷體"/>
        </w:rPr>
        <w:t>認為該院已違反105年11月9日協調會之決議情形。</w:t>
      </w:r>
    </w:p>
    <w:p w:rsidR="00334281" w:rsidRPr="008F3A8C" w:rsidRDefault="00334281" w:rsidP="00334281">
      <w:pPr>
        <w:pStyle w:val="3"/>
        <w:rPr>
          <w:rFonts w:hAnsi="標楷體"/>
        </w:rPr>
      </w:pPr>
      <w:r w:rsidRPr="008F3A8C">
        <w:rPr>
          <w:rFonts w:hAnsi="標楷體"/>
        </w:rPr>
        <w:t>針對</w:t>
      </w:r>
      <w:proofErr w:type="gramStart"/>
      <w:r w:rsidRPr="008F3A8C">
        <w:rPr>
          <w:rFonts w:hAnsi="標楷體"/>
        </w:rPr>
        <w:t>臺</w:t>
      </w:r>
      <w:proofErr w:type="gramEnd"/>
      <w:r w:rsidRPr="008F3A8C">
        <w:rPr>
          <w:rFonts w:hAnsi="標楷體"/>
        </w:rPr>
        <w:t>北榮總106年2月21日以北總工字第1061000112號將審查意見函送陳訴人之函文說明二提及：「</w:t>
      </w:r>
      <w:proofErr w:type="gramStart"/>
      <w:r w:rsidRPr="008F3A8C">
        <w:rPr>
          <w:rFonts w:hAnsi="標楷體"/>
        </w:rPr>
        <w:t>此外，</w:t>
      </w:r>
      <w:proofErr w:type="gramEnd"/>
      <w:r w:rsidRPr="008F3A8C">
        <w:rPr>
          <w:rFonts w:hAnsi="標楷體"/>
        </w:rPr>
        <w:t>第三章財務管理計畫第四節營運量預估及收費</w:t>
      </w:r>
      <w:proofErr w:type="gramStart"/>
      <w:r w:rsidRPr="008F3A8C">
        <w:rPr>
          <w:rFonts w:hAnsi="標楷體"/>
        </w:rPr>
        <w:t>標準均與104年3月3日</w:t>
      </w:r>
      <w:proofErr w:type="gramEnd"/>
      <w:r w:rsidRPr="008F3A8C">
        <w:rPr>
          <w:rFonts w:hAnsi="標楷體"/>
        </w:rPr>
        <w:t>中華民國仲裁協會仲裁判斷未</w:t>
      </w:r>
      <w:proofErr w:type="gramStart"/>
      <w:r w:rsidRPr="008F3A8C">
        <w:rPr>
          <w:rFonts w:hAnsi="標楷體"/>
        </w:rPr>
        <w:t>臻</w:t>
      </w:r>
      <w:proofErr w:type="gramEnd"/>
      <w:r w:rsidRPr="008F3A8C">
        <w:rPr>
          <w:rFonts w:hAnsi="標楷體"/>
        </w:rPr>
        <w:t>相符，為達有效經營及管理，在不影響既有合作及雙方應有權益下，該部分</w:t>
      </w:r>
      <w:r w:rsidRPr="008F3A8C">
        <w:rPr>
          <w:rFonts w:hAnsi="標楷體" w:hint="eastAsia"/>
        </w:rPr>
        <w:t>將</w:t>
      </w:r>
      <w:r w:rsidRPr="008F3A8C">
        <w:rPr>
          <w:rFonts w:hAnsi="標楷體"/>
        </w:rPr>
        <w:t>另訂時間協調完整機制…</w:t>
      </w:r>
      <w:proofErr w:type="gramStart"/>
      <w:r w:rsidRPr="008F3A8C">
        <w:rPr>
          <w:rFonts w:hAnsi="標楷體"/>
        </w:rPr>
        <w:t>…</w:t>
      </w:r>
      <w:proofErr w:type="gramEnd"/>
      <w:r w:rsidRPr="008F3A8C">
        <w:rPr>
          <w:rFonts w:hAnsi="標楷體"/>
        </w:rPr>
        <w:t>」，遭陳訴人質疑係</w:t>
      </w:r>
      <w:proofErr w:type="gramStart"/>
      <w:r w:rsidRPr="008F3A8C">
        <w:rPr>
          <w:rFonts w:hAnsi="標楷體"/>
        </w:rPr>
        <w:t>臺</w:t>
      </w:r>
      <w:proofErr w:type="gramEnd"/>
      <w:r w:rsidRPr="008F3A8C">
        <w:rPr>
          <w:rFonts w:hAnsi="標楷體"/>
        </w:rPr>
        <w:t>北榮總就該部分尚未審查完成</w:t>
      </w:r>
      <w:r w:rsidR="00374FF0">
        <w:rPr>
          <w:rFonts w:hAnsi="標楷體"/>
        </w:rPr>
        <w:t>一節</w:t>
      </w:r>
      <w:r w:rsidRPr="008F3A8C">
        <w:rPr>
          <w:rFonts w:hAnsi="標楷體"/>
        </w:rPr>
        <w:t>，亦據</w:t>
      </w:r>
      <w:proofErr w:type="gramStart"/>
      <w:r w:rsidRPr="008F3A8C">
        <w:rPr>
          <w:rFonts w:hAnsi="標楷體"/>
        </w:rPr>
        <w:t>臺</w:t>
      </w:r>
      <w:proofErr w:type="gramEnd"/>
      <w:r w:rsidRPr="008F3A8C">
        <w:rPr>
          <w:rFonts w:hAnsi="標楷體"/>
        </w:rPr>
        <w:t>北榮總於上開106年5月19日</w:t>
      </w:r>
      <w:proofErr w:type="gramStart"/>
      <w:r w:rsidRPr="008F3A8C">
        <w:rPr>
          <w:rFonts w:hAnsi="標楷體"/>
        </w:rPr>
        <w:t>函復本院公文中澄明</w:t>
      </w:r>
      <w:proofErr w:type="gramEnd"/>
      <w:r w:rsidRPr="008F3A8C">
        <w:rPr>
          <w:rFonts w:hAnsi="標楷體"/>
        </w:rPr>
        <w:t>略</w:t>
      </w:r>
      <w:proofErr w:type="gramStart"/>
      <w:r w:rsidRPr="008F3A8C">
        <w:rPr>
          <w:rFonts w:hAnsi="標楷體"/>
        </w:rPr>
        <w:t>以</w:t>
      </w:r>
      <w:proofErr w:type="gramEnd"/>
      <w:r w:rsidRPr="008F3A8C">
        <w:rPr>
          <w:rFonts w:hAnsi="標楷體"/>
        </w:rPr>
        <w:t>，該部分並非尚未完成審查，而係該院於審查過程，發現其中第三章財務管理計畫第四節營運量預估及收費</w:t>
      </w:r>
      <w:proofErr w:type="gramStart"/>
      <w:r w:rsidRPr="008F3A8C">
        <w:rPr>
          <w:rFonts w:hAnsi="標楷體"/>
        </w:rPr>
        <w:t>標準均與雙方</w:t>
      </w:r>
      <w:proofErr w:type="gramEnd"/>
      <w:r w:rsidRPr="008F3A8C">
        <w:rPr>
          <w:rFonts w:hAnsi="標楷體"/>
        </w:rPr>
        <w:t>依仲裁判斷所簽訂之投資契約修訂書及仲裁判斷之意旨諸多不符，而有另行詳為澄清及討論之必要。詳言之，仲裁判斷之意旨，係將</w:t>
      </w:r>
      <w:r w:rsidRPr="008F3A8C">
        <w:rPr>
          <w:rFonts w:hAnsi="標楷體" w:hint="eastAsia"/>
        </w:rPr>
        <w:t>十祥公司</w:t>
      </w:r>
      <w:r w:rsidRPr="008F3A8C">
        <w:rPr>
          <w:rFonts w:hAnsi="標楷體"/>
        </w:rPr>
        <w:t>自99年起，每年因系列服務往生室之營運，實際向下包商收取之金額，作為本計畫權利金計算重要基礎之一。而陳訴人所提送之105年12月版投資執行計畫書中，未依仲裁判斷意旨，列計該公司自99年起每年因系列服務往生室之營運所生之實際收入，造成本計畫之財務管理計畫失真，嚴重損及該院權益；再者，陳訴人105年12月版投資執行計畫書之財務管理計畫與103年仲裁期間所提出之財務分析報告書相較，不僅財務數據有諸多歧異，且建築物（包括商場、餐飲區等）之面積及興建經費，亦不相同，陳訴人復未說明其變更之具體依</w:t>
      </w:r>
      <w:r w:rsidRPr="008F3A8C">
        <w:rPr>
          <w:rFonts w:hAnsi="標楷體"/>
        </w:rPr>
        <w:lastRenderedPageBreak/>
        <w:t>據、造成影響之分析及因應措施等，致該院無從審查其合理性。</w:t>
      </w:r>
    </w:p>
    <w:p w:rsidR="00334281" w:rsidRPr="008F3A8C" w:rsidRDefault="00334281" w:rsidP="00334281">
      <w:pPr>
        <w:pStyle w:val="3"/>
        <w:rPr>
          <w:rFonts w:hAnsi="標楷體"/>
        </w:rPr>
      </w:pPr>
      <w:r w:rsidRPr="008F3A8C">
        <w:rPr>
          <w:rFonts w:hAnsi="標楷體"/>
        </w:rPr>
        <w:t>然而，查閱臺北榮總函復之審查意見，除部分項次未能依投資執行計畫書之章節順序依次排列(如項次15至18、項次28)外，部分項次未具體敘明其認定投資執行計畫書相關內容不符合仲裁判斷意旨、101年版計畫書及契約修訂書之依據(如項次1、項次17)；部分內容似僅為該院內部單位間之意見表述，而非屬該投資執行計畫書不符相關規定而應予改正之事項(如項次2列載「本案使用土地範圍包含……，建請工務室將相關辦公及作業場所一併納入規劃，如未來位置離病房過近，請將垃圾處理所產生之噪音及臭味之防治一併處理，並於本體建物拆除前先行完成新作業場所所需軟硬體設施」、項次26列載「p.56表3-5-1人員薪資規劃，人數已由101年3月版之125人調整為35人，初步檢視人力配置相對其營運模式已較前次估算合理」)，卻仍列入於待改正之38項中，凡此瑕疵，均使本件耗時整整2個月始完成之投資執行計畫書審查意見仍顯粗糙，而尚有諸多精進之空間。</w:t>
      </w:r>
    </w:p>
    <w:p w:rsidR="00334281" w:rsidRPr="008F3A8C" w:rsidRDefault="00334281" w:rsidP="00334281">
      <w:pPr>
        <w:pStyle w:val="3"/>
        <w:rPr>
          <w:rFonts w:hAnsi="標楷體"/>
        </w:rPr>
      </w:pPr>
      <w:r w:rsidRPr="008F3A8C">
        <w:rPr>
          <w:rFonts w:hAnsi="標楷體"/>
        </w:rPr>
        <w:t>綜上，針對陳訴人於105年12月21日所提出之投資執行計畫書，</w:t>
      </w:r>
      <w:proofErr w:type="gramStart"/>
      <w:r w:rsidRPr="008F3A8C">
        <w:rPr>
          <w:rFonts w:hAnsi="標楷體"/>
        </w:rPr>
        <w:t>臺</w:t>
      </w:r>
      <w:proofErr w:type="gramEnd"/>
      <w:r w:rsidRPr="008F3A8C">
        <w:rPr>
          <w:rFonts w:hAnsi="標楷體"/>
        </w:rPr>
        <w:t>北榮總於106年2月20日完成審查，並於同月21日將審查意見函復陳訴人，再於翌(22)日送達，雖未明顯違反雙方於105年11月9日協調會之決議情形，惟拖延至期限之末日始完成審查，</w:t>
      </w:r>
      <w:proofErr w:type="gramStart"/>
      <w:r w:rsidRPr="008F3A8C">
        <w:rPr>
          <w:rFonts w:hAnsi="標楷體"/>
        </w:rPr>
        <w:t>確易引起</w:t>
      </w:r>
      <w:proofErr w:type="gramEnd"/>
      <w:r w:rsidRPr="008F3A8C">
        <w:rPr>
          <w:rFonts w:hAnsi="標楷體"/>
        </w:rPr>
        <w:t>故意延宕之猜疑，而</w:t>
      </w:r>
      <w:proofErr w:type="gramStart"/>
      <w:r w:rsidRPr="008F3A8C">
        <w:rPr>
          <w:rFonts w:hAnsi="標楷體"/>
        </w:rPr>
        <w:t>上開函復</w:t>
      </w:r>
      <w:proofErr w:type="gramEnd"/>
      <w:r w:rsidRPr="008F3A8C">
        <w:rPr>
          <w:rFonts w:hAnsi="標楷體"/>
        </w:rPr>
        <w:t>之審查意見復存有相關瑕疵，未能以簡要明確之方式呈現，</w:t>
      </w:r>
      <w:proofErr w:type="gramStart"/>
      <w:r w:rsidRPr="008F3A8C">
        <w:rPr>
          <w:rFonts w:hAnsi="標楷體"/>
        </w:rPr>
        <w:t>臺</w:t>
      </w:r>
      <w:proofErr w:type="gramEnd"/>
      <w:r w:rsidRPr="008F3A8C">
        <w:rPr>
          <w:rFonts w:hAnsi="標楷體"/>
        </w:rPr>
        <w:t>北榮總允宜力求精進，並於爾後程序中注意避免。</w:t>
      </w:r>
    </w:p>
    <w:p w:rsidR="00E25849" w:rsidRPr="00956633" w:rsidRDefault="00956633" w:rsidP="00956633">
      <w:pPr>
        <w:pStyle w:val="31"/>
        <w:ind w:leftChars="0" w:firstLineChars="252" w:firstLine="958"/>
        <w:rPr>
          <w:rFonts w:hAnsi="標楷體"/>
          <w:sz w:val="36"/>
          <w:szCs w:val="36"/>
        </w:rPr>
      </w:pPr>
      <w:bookmarkStart w:id="50" w:name="_GoBack"/>
      <w:bookmarkEnd w:id="50"/>
      <w:r w:rsidRPr="00956633">
        <w:rPr>
          <w:rFonts w:hAnsi="標楷體" w:hint="eastAsia"/>
          <w:sz w:val="36"/>
          <w:szCs w:val="36"/>
        </w:rPr>
        <w:t>調查委員：</w:t>
      </w:r>
      <w:bookmarkStart w:id="51" w:name="_Toc524895649"/>
      <w:bookmarkStart w:id="52" w:name="_Toc524896195"/>
      <w:bookmarkStart w:id="53" w:name="_Toc524896225"/>
      <w:bookmarkEnd w:id="49"/>
      <w:bookmarkEnd w:id="51"/>
      <w:bookmarkEnd w:id="52"/>
      <w:bookmarkEnd w:id="53"/>
      <w:r w:rsidRPr="00956633">
        <w:rPr>
          <w:rFonts w:hAnsi="標楷體" w:hint="eastAsia"/>
          <w:sz w:val="36"/>
          <w:szCs w:val="36"/>
        </w:rPr>
        <w:t>江明蒼</w:t>
      </w:r>
    </w:p>
    <w:sectPr w:rsidR="00E25849" w:rsidRPr="0095663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A1" w:rsidRDefault="00813DA1">
      <w:r>
        <w:separator/>
      </w:r>
    </w:p>
  </w:endnote>
  <w:endnote w:type="continuationSeparator" w:id="0">
    <w:p w:rsidR="00813DA1" w:rsidRDefault="0081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F0" w:rsidRPr="00501EBD" w:rsidRDefault="00374FF0">
    <w:pPr>
      <w:pStyle w:val="af4"/>
      <w:framePr w:wrap="around" w:vAnchor="text" w:hAnchor="margin" w:xAlign="center" w:y="1"/>
      <w:rPr>
        <w:rStyle w:val="ac"/>
        <w:rFonts w:ascii="Times New Roman"/>
        <w:sz w:val="24"/>
      </w:rPr>
    </w:pPr>
    <w:r w:rsidRPr="00501EBD">
      <w:rPr>
        <w:rStyle w:val="ac"/>
        <w:rFonts w:ascii="Times New Roman"/>
        <w:sz w:val="24"/>
      </w:rPr>
      <w:fldChar w:fldCharType="begin"/>
    </w:r>
    <w:r w:rsidRPr="00501EBD">
      <w:rPr>
        <w:rStyle w:val="ac"/>
        <w:rFonts w:ascii="Times New Roman"/>
        <w:sz w:val="24"/>
      </w:rPr>
      <w:instrText xml:space="preserve">PAGE  </w:instrText>
    </w:r>
    <w:r w:rsidRPr="00501EBD">
      <w:rPr>
        <w:rStyle w:val="ac"/>
        <w:rFonts w:ascii="Times New Roman"/>
        <w:sz w:val="24"/>
      </w:rPr>
      <w:fldChar w:fldCharType="separate"/>
    </w:r>
    <w:r w:rsidR="00956633">
      <w:rPr>
        <w:rStyle w:val="ac"/>
        <w:rFonts w:ascii="Times New Roman"/>
        <w:noProof/>
        <w:sz w:val="24"/>
      </w:rPr>
      <w:t>1</w:t>
    </w:r>
    <w:r w:rsidRPr="00501EBD">
      <w:rPr>
        <w:rStyle w:val="ac"/>
        <w:rFonts w:ascii="Times New Roman"/>
        <w:sz w:val="24"/>
      </w:rPr>
      <w:fldChar w:fldCharType="end"/>
    </w:r>
  </w:p>
  <w:p w:rsidR="00374FF0" w:rsidRDefault="00374FF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A1" w:rsidRDefault="00813DA1">
      <w:r>
        <w:separator/>
      </w:r>
    </w:p>
  </w:footnote>
  <w:footnote w:type="continuationSeparator" w:id="0">
    <w:p w:rsidR="00813DA1" w:rsidRDefault="00813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D7624B"/>
    <w:multiLevelType w:val="hybridMultilevel"/>
    <w:tmpl w:val="5C8CE354"/>
    <w:lvl w:ilvl="0" w:tplc="A410A8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FE5BFA"/>
    <w:multiLevelType w:val="hybridMultilevel"/>
    <w:tmpl w:val="86B67198"/>
    <w:lvl w:ilvl="0" w:tplc="FE882D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2F6120B"/>
    <w:multiLevelType w:val="hybridMultilevel"/>
    <w:tmpl w:val="61D0F77E"/>
    <w:lvl w:ilvl="0" w:tplc="E1ECD2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8D3163"/>
    <w:multiLevelType w:val="hybridMultilevel"/>
    <w:tmpl w:val="652CA7B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3E30318"/>
    <w:multiLevelType w:val="hybridMultilevel"/>
    <w:tmpl w:val="363850A4"/>
    <w:lvl w:ilvl="0" w:tplc="FE882D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C8352D0"/>
    <w:multiLevelType w:val="hybridMultilevel"/>
    <w:tmpl w:val="78E69038"/>
    <w:lvl w:ilvl="0" w:tplc="51D495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8F726AC"/>
    <w:multiLevelType w:val="hybridMultilevel"/>
    <w:tmpl w:val="B73C1C5E"/>
    <w:lvl w:ilvl="0" w:tplc="C23C244A">
      <w:start w:val="1"/>
      <w:numFmt w:val="decimal"/>
      <w:lvlText w:val="%1."/>
      <w:lvlJc w:val="left"/>
      <w:pPr>
        <w:ind w:left="1047" w:hanging="48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EE3F98"/>
    <w:multiLevelType w:val="hybridMultilevel"/>
    <w:tmpl w:val="F4BC4FFA"/>
    <w:lvl w:ilvl="0" w:tplc="4DDEAE62">
      <w:start w:val="1"/>
      <w:numFmt w:val="decimal"/>
      <w:lvlText w:val="%1."/>
      <w:lvlJc w:val="left"/>
      <w:pPr>
        <w:ind w:left="1047" w:hanging="480"/>
      </w:pPr>
      <w:rPr>
        <w:rFonts w:hint="eastAsia"/>
        <w:sz w:val="32"/>
      </w:rPr>
    </w:lvl>
    <w:lvl w:ilvl="1" w:tplc="2EF6F8A6">
      <w:start w:val="1"/>
      <w:numFmt w:val="decimal"/>
      <w:lvlText w:val="（%2）"/>
      <w:lvlJc w:val="left"/>
      <w:pPr>
        <w:ind w:left="2127" w:hanging="108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54849C5"/>
    <w:multiLevelType w:val="hybridMultilevel"/>
    <w:tmpl w:val="97841CD8"/>
    <w:lvl w:ilvl="0" w:tplc="231420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63E32F0"/>
    <w:multiLevelType w:val="hybridMultilevel"/>
    <w:tmpl w:val="A72CE774"/>
    <w:lvl w:ilvl="0" w:tplc="6C6847BE">
      <w:start w:val="1"/>
      <w:numFmt w:val="taiwaneseCountingThousand"/>
      <w:lvlText w:val="（%1）"/>
      <w:lvlJc w:val="left"/>
      <w:pPr>
        <w:ind w:left="494" w:hanging="480"/>
      </w:pPr>
      <w:rPr>
        <w:rFonts w:ascii="標楷體" w:eastAsia="標楷體" w:hint="eastAsia"/>
        <w:b w:val="0"/>
        <w:i w:val="0"/>
        <w:spacing w:val="0"/>
        <w:w w:val="100"/>
        <w:position w:val="0"/>
        <w:sz w:val="32"/>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9">
    <w:nsid w:val="71087FCB"/>
    <w:multiLevelType w:val="hybridMultilevel"/>
    <w:tmpl w:val="E370D9A4"/>
    <w:lvl w:ilvl="0" w:tplc="7AA23B7A">
      <w:start w:val="1"/>
      <w:numFmt w:val="decimal"/>
      <w:lvlText w:val="（%1）"/>
      <w:lvlJc w:val="left"/>
      <w:pPr>
        <w:ind w:left="1046" w:hanging="480"/>
      </w:pPr>
      <w:rPr>
        <w:rFonts w:ascii="標楷體" w:hAnsi="標楷體" w:hint="eastAsia"/>
        <w:sz w:val="28"/>
      </w:rPr>
    </w:lvl>
    <w:lvl w:ilvl="1" w:tplc="7AA23B7A">
      <w:start w:val="1"/>
      <w:numFmt w:val="decimal"/>
      <w:lvlText w:val="（%2）"/>
      <w:lvlJc w:val="left"/>
      <w:pPr>
        <w:ind w:left="1526" w:hanging="480"/>
      </w:pPr>
      <w:rPr>
        <w:rFonts w:ascii="標楷體" w:hAnsi="標楷體" w:hint="eastAsia"/>
        <w:sz w:val="28"/>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73CB70B8"/>
    <w:multiLevelType w:val="hybridMultilevel"/>
    <w:tmpl w:val="0C0810A8"/>
    <w:lvl w:ilvl="0" w:tplc="60A8706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6C24E01"/>
    <w:multiLevelType w:val="hybridMultilevel"/>
    <w:tmpl w:val="8EF0F9F6"/>
    <w:lvl w:ilvl="0" w:tplc="04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9D95633"/>
    <w:multiLevelType w:val="hybridMultilevel"/>
    <w:tmpl w:val="36BE78F8"/>
    <w:lvl w:ilvl="0" w:tplc="D05ABD26">
      <w:start w:val="1"/>
      <w:numFmt w:val="decimal"/>
      <w:lvlText w:val="%1."/>
      <w:lvlJc w:val="left"/>
      <w:pPr>
        <w:tabs>
          <w:tab w:val="num" w:pos="360"/>
        </w:tabs>
        <w:ind w:left="360" w:hanging="360"/>
      </w:pPr>
      <w:rPr>
        <w:rFonts w:hint="default"/>
      </w:rPr>
    </w:lvl>
    <w:lvl w:ilvl="1" w:tplc="45DC61E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B362AD3"/>
    <w:multiLevelType w:val="hybridMultilevel"/>
    <w:tmpl w:val="C1D0FC2A"/>
    <w:lvl w:ilvl="0" w:tplc="9F2E598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D5453EB"/>
    <w:multiLevelType w:val="hybridMultilevel"/>
    <w:tmpl w:val="27765BFC"/>
    <w:lvl w:ilvl="0" w:tplc="E8662B28">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6"/>
    <w:lvlOverride w:ilvl="0">
      <w:startOverride w:val="1"/>
    </w:lvlOverride>
  </w:num>
  <w:num w:numId="4">
    <w:abstractNumId w:val="14"/>
  </w:num>
  <w:num w:numId="5">
    <w:abstractNumId w:val="11"/>
  </w:num>
  <w:num w:numId="6">
    <w:abstractNumId w:val="15"/>
  </w:num>
  <w:num w:numId="7">
    <w:abstractNumId w:val="4"/>
  </w:num>
  <w:num w:numId="8">
    <w:abstractNumId w:val="16"/>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
  </w:num>
  <w:num w:numId="13">
    <w:abstractNumId w:val="7"/>
  </w:num>
  <w:num w:numId="14">
    <w:abstractNumId w:val="22"/>
  </w:num>
  <w:num w:numId="15">
    <w:abstractNumId w:val="24"/>
  </w:num>
  <w:num w:numId="16">
    <w:abstractNumId w:val="5"/>
  </w:num>
  <w:num w:numId="17">
    <w:abstractNumId w:val="3"/>
  </w:num>
  <w:num w:numId="18">
    <w:abstractNumId w:val="1"/>
  </w:num>
  <w:num w:numId="19">
    <w:abstractNumId w:val="17"/>
  </w:num>
  <w:num w:numId="20">
    <w:abstractNumId w:val="21"/>
  </w:num>
  <w:num w:numId="21">
    <w:abstractNumId w:val="20"/>
  </w:num>
  <w:num w:numId="22">
    <w:abstractNumId w:val="8"/>
  </w:num>
  <w:num w:numId="23">
    <w:abstractNumId w:val="4"/>
  </w:num>
  <w:num w:numId="24">
    <w:abstractNumId w:val="18"/>
  </w:num>
  <w:num w:numId="25">
    <w:abstractNumId w:val="13"/>
  </w:num>
  <w:num w:numId="26">
    <w:abstractNumId w:val="19"/>
  </w:num>
  <w:num w:numId="27">
    <w:abstractNumId w:val="9"/>
  </w:num>
  <w:num w:numId="28">
    <w:abstractNumId w:val="4"/>
  </w:num>
  <w:num w:numId="29">
    <w:abstractNumId w:val="4"/>
  </w:num>
  <w:num w:numId="30">
    <w:abstractNumId w:val="4"/>
  </w:num>
  <w:num w:numId="31">
    <w:abstractNumId w:val="4"/>
  </w:num>
  <w:num w:numId="32">
    <w:abstractNumId w:val="4"/>
  </w:num>
  <w:num w:numId="33">
    <w:abstractNumId w:val="4"/>
  </w:num>
  <w:num w:numId="34">
    <w:abstractNumId w:val="12"/>
  </w:num>
  <w:num w:numId="35">
    <w:abstractNumId w:val="4"/>
  </w:num>
  <w:num w:numId="3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51D7"/>
    <w:rsid w:val="00017318"/>
    <w:rsid w:val="00021D0C"/>
    <w:rsid w:val="000246F7"/>
    <w:rsid w:val="0003114D"/>
    <w:rsid w:val="00036D76"/>
    <w:rsid w:val="0005067C"/>
    <w:rsid w:val="00057F32"/>
    <w:rsid w:val="0006160C"/>
    <w:rsid w:val="00062A25"/>
    <w:rsid w:val="00073CB5"/>
    <w:rsid w:val="0007425C"/>
    <w:rsid w:val="00074BC6"/>
    <w:rsid w:val="000765F8"/>
    <w:rsid w:val="00077553"/>
    <w:rsid w:val="000851A2"/>
    <w:rsid w:val="0009352E"/>
    <w:rsid w:val="00094DE9"/>
    <w:rsid w:val="00096B96"/>
    <w:rsid w:val="000A035A"/>
    <w:rsid w:val="000A2F3F"/>
    <w:rsid w:val="000A73F5"/>
    <w:rsid w:val="000B0903"/>
    <w:rsid w:val="000B0B4A"/>
    <w:rsid w:val="000B279A"/>
    <w:rsid w:val="000B61D2"/>
    <w:rsid w:val="000B70A7"/>
    <w:rsid w:val="000B73DD"/>
    <w:rsid w:val="000C0287"/>
    <w:rsid w:val="000C3F74"/>
    <w:rsid w:val="000C495F"/>
    <w:rsid w:val="000C4BCE"/>
    <w:rsid w:val="000C6891"/>
    <w:rsid w:val="000E6431"/>
    <w:rsid w:val="000F21A5"/>
    <w:rsid w:val="000F43D4"/>
    <w:rsid w:val="000F784D"/>
    <w:rsid w:val="00102B9F"/>
    <w:rsid w:val="00110BCC"/>
    <w:rsid w:val="00112637"/>
    <w:rsid w:val="00112ABC"/>
    <w:rsid w:val="0012001E"/>
    <w:rsid w:val="00126A55"/>
    <w:rsid w:val="001302A5"/>
    <w:rsid w:val="00132B50"/>
    <w:rsid w:val="00133F08"/>
    <w:rsid w:val="001345E6"/>
    <w:rsid w:val="001378B0"/>
    <w:rsid w:val="001401E8"/>
    <w:rsid w:val="00142E00"/>
    <w:rsid w:val="00144004"/>
    <w:rsid w:val="00152793"/>
    <w:rsid w:val="00153B7E"/>
    <w:rsid w:val="001545A9"/>
    <w:rsid w:val="001637C7"/>
    <w:rsid w:val="001642EA"/>
    <w:rsid w:val="0016480E"/>
    <w:rsid w:val="00174297"/>
    <w:rsid w:val="00180E06"/>
    <w:rsid w:val="001817B3"/>
    <w:rsid w:val="00183014"/>
    <w:rsid w:val="001857F9"/>
    <w:rsid w:val="00194694"/>
    <w:rsid w:val="0019481A"/>
    <w:rsid w:val="001959C2"/>
    <w:rsid w:val="001A51E3"/>
    <w:rsid w:val="001A5E4D"/>
    <w:rsid w:val="001A75B0"/>
    <w:rsid w:val="001A7968"/>
    <w:rsid w:val="001B2E98"/>
    <w:rsid w:val="001B3483"/>
    <w:rsid w:val="001B3C1E"/>
    <w:rsid w:val="001B4494"/>
    <w:rsid w:val="001C0D8B"/>
    <w:rsid w:val="001C0DA8"/>
    <w:rsid w:val="001D47F5"/>
    <w:rsid w:val="001D4AD7"/>
    <w:rsid w:val="001E0D8A"/>
    <w:rsid w:val="001E3E68"/>
    <w:rsid w:val="001E67BA"/>
    <w:rsid w:val="001E74C2"/>
    <w:rsid w:val="001F4F82"/>
    <w:rsid w:val="001F5A48"/>
    <w:rsid w:val="001F6260"/>
    <w:rsid w:val="00200007"/>
    <w:rsid w:val="002030A5"/>
    <w:rsid w:val="00203131"/>
    <w:rsid w:val="002073A7"/>
    <w:rsid w:val="00212E88"/>
    <w:rsid w:val="00213C9C"/>
    <w:rsid w:val="00216F10"/>
    <w:rsid w:val="00217C71"/>
    <w:rsid w:val="0022009E"/>
    <w:rsid w:val="00223241"/>
    <w:rsid w:val="0022425C"/>
    <w:rsid w:val="002242BA"/>
    <w:rsid w:val="002246DE"/>
    <w:rsid w:val="0022550D"/>
    <w:rsid w:val="00234F95"/>
    <w:rsid w:val="00236C85"/>
    <w:rsid w:val="00242847"/>
    <w:rsid w:val="00252BC4"/>
    <w:rsid w:val="00254014"/>
    <w:rsid w:val="00254B39"/>
    <w:rsid w:val="00255582"/>
    <w:rsid w:val="00261CBD"/>
    <w:rsid w:val="0026504D"/>
    <w:rsid w:val="00273A2F"/>
    <w:rsid w:val="00280986"/>
    <w:rsid w:val="002809A2"/>
    <w:rsid w:val="00281ECE"/>
    <w:rsid w:val="002831C7"/>
    <w:rsid w:val="002840C6"/>
    <w:rsid w:val="00295174"/>
    <w:rsid w:val="00296172"/>
    <w:rsid w:val="00296B92"/>
    <w:rsid w:val="002A07ED"/>
    <w:rsid w:val="002A2C22"/>
    <w:rsid w:val="002A3A6F"/>
    <w:rsid w:val="002A64EA"/>
    <w:rsid w:val="002B02EB"/>
    <w:rsid w:val="002C0602"/>
    <w:rsid w:val="002D5C16"/>
    <w:rsid w:val="002D7A32"/>
    <w:rsid w:val="002E3AD6"/>
    <w:rsid w:val="002E5350"/>
    <w:rsid w:val="002F2476"/>
    <w:rsid w:val="002F3DFF"/>
    <w:rsid w:val="002F4B02"/>
    <w:rsid w:val="002F5E05"/>
    <w:rsid w:val="00307A76"/>
    <w:rsid w:val="00315A16"/>
    <w:rsid w:val="00317053"/>
    <w:rsid w:val="0032109C"/>
    <w:rsid w:val="00322B45"/>
    <w:rsid w:val="00323809"/>
    <w:rsid w:val="00323D41"/>
    <w:rsid w:val="00324D4A"/>
    <w:rsid w:val="00325414"/>
    <w:rsid w:val="003302F1"/>
    <w:rsid w:val="00334281"/>
    <w:rsid w:val="0034470E"/>
    <w:rsid w:val="003523B8"/>
    <w:rsid w:val="00352DB0"/>
    <w:rsid w:val="00356254"/>
    <w:rsid w:val="00356A17"/>
    <w:rsid w:val="00356F92"/>
    <w:rsid w:val="00361063"/>
    <w:rsid w:val="0037094A"/>
    <w:rsid w:val="00370FB5"/>
    <w:rsid w:val="00371ED3"/>
    <w:rsid w:val="00372DD7"/>
    <w:rsid w:val="00372FFC"/>
    <w:rsid w:val="00374FF0"/>
    <w:rsid w:val="00375784"/>
    <w:rsid w:val="0037728A"/>
    <w:rsid w:val="00380B7D"/>
    <w:rsid w:val="00381A99"/>
    <w:rsid w:val="003829C2"/>
    <w:rsid w:val="00382AFA"/>
    <w:rsid w:val="003830B2"/>
    <w:rsid w:val="003842D6"/>
    <w:rsid w:val="00384724"/>
    <w:rsid w:val="00385A8D"/>
    <w:rsid w:val="003919B7"/>
    <w:rsid w:val="00391D57"/>
    <w:rsid w:val="00392292"/>
    <w:rsid w:val="00397875"/>
    <w:rsid w:val="003A4E0F"/>
    <w:rsid w:val="003A5927"/>
    <w:rsid w:val="003A66FA"/>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2AB8"/>
    <w:rsid w:val="0040454A"/>
    <w:rsid w:val="0040729A"/>
    <w:rsid w:val="00413F83"/>
    <w:rsid w:val="0041490C"/>
    <w:rsid w:val="00416191"/>
    <w:rsid w:val="00416721"/>
    <w:rsid w:val="00421EF0"/>
    <w:rsid w:val="004224FA"/>
    <w:rsid w:val="00423D07"/>
    <w:rsid w:val="00424E20"/>
    <w:rsid w:val="00427347"/>
    <w:rsid w:val="00427936"/>
    <w:rsid w:val="00434385"/>
    <w:rsid w:val="0044267F"/>
    <w:rsid w:val="004431F2"/>
    <w:rsid w:val="0044346F"/>
    <w:rsid w:val="0045477B"/>
    <w:rsid w:val="00463046"/>
    <w:rsid w:val="0046363F"/>
    <w:rsid w:val="0046520A"/>
    <w:rsid w:val="004672AB"/>
    <w:rsid w:val="004714FE"/>
    <w:rsid w:val="00477BAA"/>
    <w:rsid w:val="004918D1"/>
    <w:rsid w:val="00491DFE"/>
    <w:rsid w:val="004940AD"/>
    <w:rsid w:val="00495053"/>
    <w:rsid w:val="004A1F59"/>
    <w:rsid w:val="004A29BE"/>
    <w:rsid w:val="004A3225"/>
    <w:rsid w:val="004A33EE"/>
    <w:rsid w:val="004A3AA8"/>
    <w:rsid w:val="004A3AE4"/>
    <w:rsid w:val="004B13C7"/>
    <w:rsid w:val="004B27DD"/>
    <w:rsid w:val="004B778F"/>
    <w:rsid w:val="004C0609"/>
    <w:rsid w:val="004C7E43"/>
    <w:rsid w:val="004D0123"/>
    <w:rsid w:val="004D141F"/>
    <w:rsid w:val="004D2742"/>
    <w:rsid w:val="004D6310"/>
    <w:rsid w:val="004E0062"/>
    <w:rsid w:val="004E05A1"/>
    <w:rsid w:val="004F5E57"/>
    <w:rsid w:val="004F6710"/>
    <w:rsid w:val="004F671E"/>
    <w:rsid w:val="00500C3E"/>
    <w:rsid w:val="00501EA8"/>
    <w:rsid w:val="00501EBD"/>
    <w:rsid w:val="00502849"/>
    <w:rsid w:val="0050352B"/>
    <w:rsid w:val="00504334"/>
    <w:rsid w:val="00504445"/>
    <w:rsid w:val="0050498D"/>
    <w:rsid w:val="005056A5"/>
    <w:rsid w:val="005104D7"/>
    <w:rsid w:val="00510B9E"/>
    <w:rsid w:val="00510DFD"/>
    <w:rsid w:val="00511C77"/>
    <w:rsid w:val="00514AD7"/>
    <w:rsid w:val="00516F4F"/>
    <w:rsid w:val="005251B7"/>
    <w:rsid w:val="00526092"/>
    <w:rsid w:val="00531DB7"/>
    <w:rsid w:val="005326DB"/>
    <w:rsid w:val="0053681C"/>
    <w:rsid w:val="00536BC2"/>
    <w:rsid w:val="00536E5B"/>
    <w:rsid w:val="0054037B"/>
    <w:rsid w:val="005425E1"/>
    <w:rsid w:val="005427C5"/>
    <w:rsid w:val="00542CF6"/>
    <w:rsid w:val="005449FD"/>
    <w:rsid w:val="00553C03"/>
    <w:rsid w:val="005629F8"/>
    <w:rsid w:val="00563692"/>
    <w:rsid w:val="00571679"/>
    <w:rsid w:val="00582CAE"/>
    <w:rsid w:val="005844E7"/>
    <w:rsid w:val="005853AC"/>
    <w:rsid w:val="00586862"/>
    <w:rsid w:val="005908B8"/>
    <w:rsid w:val="0059512E"/>
    <w:rsid w:val="005A09E0"/>
    <w:rsid w:val="005A3E37"/>
    <w:rsid w:val="005A418F"/>
    <w:rsid w:val="005A6DD2"/>
    <w:rsid w:val="005C1578"/>
    <w:rsid w:val="005C272E"/>
    <w:rsid w:val="005C345E"/>
    <w:rsid w:val="005C385D"/>
    <w:rsid w:val="005C4C6F"/>
    <w:rsid w:val="005C64B5"/>
    <w:rsid w:val="005D1E48"/>
    <w:rsid w:val="005D3B20"/>
    <w:rsid w:val="005D45F3"/>
    <w:rsid w:val="005D7D0F"/>
    <w:rsid w:val="005E3E72"/>
    <w:rsid w:val="005E4759"/>
    <w:rsid w:val="005E5C68"/>
    <w:rsid w:val="005E65C0"/>
    <w:rsid w:val="005E68A5"/>
    <w:rsid w:val="005F0390"/>
    <w:rsid w:val="005F1359"/>
    <w:rsid w:val="005F511E"/>
    <w:rsid w:val="005F7227"/>
    <w:rsid w:val="006072CD"/>
    <w:rsid w:val="00612023"/>
    <w:rsid w:val="00614190"/>
    <w:rsid w:val="006172F3"/>
    <w:rsid w:val="00621670"/>
    <w:rsid w:val="00622A99"/>
    <w:rsid w:val="00622E67"/>
    <w:rsid w:val="00625E01"/>
    <w:rsid w:val="006264BE"/>
    <w:rsid w:val="00626EDC"/>
    <w:rsid w:val="00634501"/>
    <w:rsid w:val="00637306"/>
    <w:rsid w:val="006470EC"/>
    <w:rsid w:val="00647612"/>
    <w:rsid w:val="006542D6"/>
    <w:rsid w:val="0065598E"/>
    <w:rsid w:val="00655AF2"/>
    <w:rsid w:val="00655BC5"/>
    <w:rsid w:val="00656311"/>
    <w:rsid w:val="006568BE"/>
    <w:rsid w:val="0066025D"/>
    <w:rsid w:val="00660736"/>
    <w:rsid w:val="0066091A"/>
    <w:rsid w:val="0067288F"/>
    <w:rsid w:val="0067569C"/>
    <w:rsid w:val="006773EC"/>
    <w:rsid w:val="00680504"/>
    <w:rsid w:val="006814A9"/>
    <w:rsid w:val="00681CD9"/>
    <w:rsid w:val="00682446"/>
    <w:rsid w:val="00683E30"/>
    <w:rsid w:val="00687024"/>
    <w:rsid w:val="00695E22"/>
    <w:rsid w:val="006B1851"/>
    <w:rsid w:val="006B7093"/>
    <w:rsid w:val="006B7417"/>
    <w:rsid w:val="006C26B2"/>
    <w:rsid w:val="006D1A87"/>
    <w:rsid w:val="006D3691"/>
    <w:rsid w:val="006D58F9"/>
    <w:rsid w:val="006D6EFC"/>
    <w:rsid w:val="006E2018"/>
    <w:rsid w:val="006E5EF0"/>
    <w:rsid w:val="006F3563"/>
    <w:rsid w:val="006F42B9"/>
    <w:rsid w:val="006F6103"/>
    <w:rsid w:val="006F7FA0"/>
    <w:rsid w:val="00704362"/>
    <w:rsid w:val="00704E00"/>
    <w:rsid w:val="00710D50"/>
    <w:rsid w:val="00710F29"/>
    <w:rsid w:val="007209E7"/>
    <w:rsid w:val="00721595"/>
    <w:rsid w:val="00726182"/>
    <w:rsid w:val="00727635"/>
    <w:rsid w:val="00730ACF"/>
    <w:rsid w:val="00731055"/>
    <w:rsid w:val="00732329"/>
    <w:rsid w:val="00732F80"/>
    <w:rsid w:val="007337CA"/>
    <w:rsid w:val="00734CE4"/>
    <w:rsid w:val="00735123"/>
    <w:rsid w:val="00741837"/>
    <w:rsid w:val="007453E6"/>
    <w:rsid w:val="007471EC"/>
    <w:rsid w:val="007531D5"/>
    <w:rsid w:val="00757AE9"/>
    <w:rsid w:val="007614C6"/>
    <w:rsid w:val="0077309D"/>
    <w:rsid w:val="007774EE"/>
    <w:rsid w:val="00781822"/>
    <w:rsid w:val="00783096"/>
    <w:rsid w:val="00783F21"/>
    <w:rsid w:val="00787159"/>
    <w:rsid w:val="0079043A"/>
    <w:rsid w:val="00791668"/>
    <w:rsid w:val="00791AA1"/>
    <w:rsid w:val="007A3793"/>
    <w:rsid w:val="007A79E6"/>
    <w:rsid w:val="007C1BA2"/>
    <w:rsid w:val="007C2B48"/>
    <w:rsid w:val="007C33F1"/>
    <w:rsid w:val="007C7A12"/>
    <w:rsid w:val="007D20E9"/>
    <w:rsid w:val="007D59BC"/>
    <w:rsid w:val="007D7881"/>
    <w:rsid w:val="007D7E3A"/>
    <w:rsid w:val="007E0E10"/>
    <w:rsid w:val="007E2F07"/>
    <w:rsid w:val="007E4768"/>
    <w:rsid w:val="007E777B"/>
    <w:rsid w:val="007F0DD5"/>
    <w:rsid w:val="007F2070"/>
    <w:rsid w:val="00800805"/>
    <w:rsid w:val="00800914"/>
    <w:rsid w:val="008053F5"/>
    <w:rsid w:val="00807AF7"/>
    <w:rsid w:val="00810198"/>
    <w:rsid w:val="00813DA1"/>
    <w:rsid w:val="00815DA8"/>
    <w:rsid w:val="0082194D"/>
    <w:rsid w:val="008221F9"/>
    <w:rsid w:val="00826EF5"/>
    <w:rsid w:val="00831693"/>
    <w:rsid w:val="00837863"/>
    <w:rsid w:val="00840104"/>
    <w:rsid w:val="0084035F"/>
    <w:rsid w:val="00840C1F"/>
    <w:rsid w:val="00841FC5"/>
    <w:rsid w:val="00842DDE"/>
    <w:rsid w:val="00845709"/>
    <w:rsid w:val="008576BD"/>
    <w:rsid w:val="00860463"/>
    <w:rsid w:val="00860BBD"/>
    <w:rsid w:val="008710E4"/>
    <w:rsid w:val="00871FE2"/>
    <w:rsid w:val="008733DA"/>
    <w:rsid w:val="008766D3"/>
    <w:rsid w:val="008837A4"/>
    <w:rsid w:val="00884097"/>
    <w:rsid w:val="008850E4"/>
    <w:rsid w:val="00891362"/>
    <w:rsid w:val="008939AB"/>
    <w:rsid w:val="008A12F5"/>
    <w:rsid w:val="008A16D5"/>
    <w:rsid w:val="008A6ADA"/>
    <w:rsid w:val="008B1587"/>
    <w:rsid w:val="008B1B01"/>
    <w:rsid w:val="008B3BCD"/>
    <w:rsid w:val="008B57C4"/>
    <w:rsid w:val="008B6DF8"/>
    <w:rsid w:val="008C04B3"/>
    <w:rsid w:val="008C106C"/>
    <w:rsid w:val="008C10F1"/>
    <w:rsid w:val="008C1926"/>
    <w:rsid w:val="008C1E99"/>
    <w:rsid w:val="008E0085"/>
    <w:rsid w:val="008E2AA6"/>
    <w:rsid w:val="008E311B"/>
    <w:rsid w:val="008F3A8C"/>
    <w:rsid w:val="008F46E7"/>
    <w:rsid w:val="008F6F0B"/>
    <w:rsid w:val="009009F7"/>
    <w:rsid w:val="00901958"/>
    <w:rsid w:val="00907BA7"/>
    <w:rsid w:val="0091064E"/>
    <w:rsid w:val="00911FC5"/>
    <w:rsid w:val="009124AE"/>
    <w:rsid w:val="009132CF"/>
    <w:rsid w:val="00913F1C"/>
    <w:rsid w:val="009222E0"/>
    <w:rsid w:val="00925070"/>
    <w:rsid w:val="00927D33"/>
    <w:rsid w:val="00931A10"/>
    <w:rsid w:val="00933B73"/>
    <w:rsid w:val="00935E4F"/>
    <w:rsid w:val="00940258"/>
    <w:rsid w:val="00942290"/>
    <w:rsid w:val="00947967"/>
    <w:rsid w:val="00955201"/>
    <w:rsid w:val="00956633"/>
    <w:rsid w:val="00957873"/>
    <w:rsid w:val="00965200"/>
    <w:rsid w:val="009668B3"/>
    <w:rsid w:val="00971471"/>
    <w:rsid w:val="0097522F"/>
    <w:rsid w:val="0098435D"/>
    <w:rsid w:val="009848AF"/>
    <w:rsid w:val="009849C2"/>
    <w:rsid w:val="00984D24"/>
    <w:rsid w:val="009858EB"/>
    <w:rsid w:val="00987276"/>
    <w:rsid w:val="0099209E"/>
    <w:rsid w:val="009A3F47"/>
    <w:rsid w:val="009A611E"/>
    <w:rsid w:val="009B0046"/>
    <w:rsid w:val="009B7DA9"/>
    <w:rsid w:val="009C1440"/>
    <w:rsid w:val="009C2107"/>
    <w:rsid w:val="009C5D9E"/>
    <w:rsid w:val="009D2C3E"/>
    <w:rsid w:val="009E0625"/>
    <w:rsid w:val="009E3034"/>
    <w:rsid w:val="009E549F"/>
    <w:rsid w:val="009F28A8"/>
    <w:rsid w:val="009F473E"/>
    <w:rsid w:val="009F4D5E"/>
    <w:rsid w:val="009F682A"/>
    <w:rsid w:val="00A022BE"/>
    <w:rsid w:val="00A05495"/>
    <w:rsid w:val="00A07B4B"/>
    <w:rsid w:val="00A22745"/>
    <w:rsid w:val="00A2296E"/>
    <w:rsid w:val="00A24613"/>
    <w:rsid w:val="00A24C95"/>
    <w:rsid w:val="00A2599A"/>
    <w:rsid w:val="00A26094"/>
    <w:rsid w:val="00A301BF"/>
    <w:rsid w:val="00A302B2"/>
    <w:rsid w:val="00A331B4"/>
    <w:rsid w:val="00A3484E"/>
    <w:rsid w:val="00A34A48"/>
    <w:rsid w:val="00A356D3"/>
    <w:rsid w:val="00A36ADA"/>
    <w:rsid w:val="00A4076E"/>
    <w:rsid w:val="00A4147E"/>
    <w:rsid w:val="00A438D8"/>
    <w:rsid w:val="00A44A21"/>
    <w:rsid w:val="00A473F5"/>
    <w:rsid w:val="00A476E4"/>
    <w:rsid w:val="00A51F9D"/>
    <w:rsid w:val="00A5416A"/>
    <w:rsid w:val="00A639F4"/>
    <w:rsid w:val="00A70F21"/>
    <w:rsid w:val="00A777D1"/>
    <w:rsid w:val="00A81A32"/>
    <w:rsid w:val="00A835BD"/>
    <w:rsid w:val="00A97B15"/>
    <w:rsid w:val="00AA42D5"/>
    <w:rsid w:val="00AB2FAB"/>
    <w:rsid w:val="00AB3550"/>
    <w:rsid w:val="00AB5C14"/>
    <w:rsid w:val="00AB7482"/>
    <w:rsid w:val="00AC1EE7"/>
    <w:rsid w:val="00AC333F"/>
    <w:rsid w:val="00AC585C"/>
    <w:rsid w:val="00AD1925"/>
    <w:rsid w:val="00AD6598"/>
    <w:rsid w:val="00AD6A73"/>
    <w:rsid w:val="00AE067D"/>
    <w:rsid w:val="00AF1181"/>
    <w:rsid w:val="00AF2F79"/>
    <w:rsid w:val="00AF4653"/>
    <w:rsid w:val="00AF7DB7"/>
    <w:rsid w:val="00B0206D"/>
    <w:rsid w:val="00B07129"/>
    <w:rsid w:val="00B10D02"/>
    <w:rsid w:val="00B17283"/>
    <w:rsid w:val="00B201E2"/>
    <w:rsid w:val="00B42793"/>
    <w:rsid w:val="00B443E4"/>
    <w:rsid w:val="00B5484D"/>
    <w:rsid w:val="00B55195"/>
    <w:rsid w:val="00B563EA"/>
    <w:rsid w:val="00B56CDF"/>
    <w:rsid w:val="00B60075"/>
    <w:rsid w:val="00B60E51"/>
    <w:rsid w:val="00B60F33"/>
    <w:rsid w:val="00B631CD"/>
    <w:rsid w:val="00B63A54"/>
    <w:rsid w:val="00B755EA"/>
    <w:rsid w:val="00B77D18"/>
    <w:rsid w:val="00B8313A"/>
    <w:rsid w:val="00B8421F"/>
    <w:rsid w:val="00B8573D"/>
    <w:rsid w:val="00B93503"/>
    <w:rsid w:val="00BA31E8"/>
    <w:rsid w:val="00BA55E0"/>
    <w:rsid w:val="00BA62F5"/>
    <w:rsid w:val="00BA6BD4"/>
    <w:rsid w:val="00BA6C7A"/>
    <w:rsid w:val="00BB17D1"/>
    <w:rsid w:val="00BB2A68"/>
    <w:rsid w:val="00BB3752"/>
    <w:rsid w:val="00BB6688"/>
    <w:rsid w:val="00BC26D4"/>
    <w:rsid w:val="00BD5CD0"/>
    <w:rsid w:val="00BE0C80"/>
    <w:rsid w:val="00BE6472"/>
    <w:rsid w:val="00BF2A42"/>
    <w:rsid w:val="00C00AA5"/>
    <w:rsid w:val="00C01073"/>
    <w:rsid w:val="00C03D8C"/>
    <w:rsid w:val="00C055EC"/>
    <w:rsid w:val="00C10DC9"/>
    <w:rsid w:val="00C12FB3"/>
    <w:rsid w:val="00C17341"/>
    <w:rsid w:val="00C24EEF"/>
    <w:rsid w:val="00C254FD"/>
    <w:rsid w:val="00C25CF6"/>
    <w:rsid w:val="00C26C36"/>
    <w:rsid w:val="00C27BD6"/>
    <w:rsid w:val="00C31217"/>
    <w:rsid w:val="00C32768"/>
    <w:rsid w:val="00C431DF"/>
    <w:rsid w:val="00C444C3"/>
    <w:rsid w:val="00C456BD"/>
    <w:rsid w:val="00C530DC"/>
    <w:rsid w:val="00C5350D"/>
    <w:rsid w:val="00C541DE"/>
    <w:rsid w:val="00C54A2F"/>
    <w:rsid w:val="00C6123C"/>
    <w:rsid w:val="00C6311A"/>
    <w:rsid w:val="00C7084D"/>
    <w:rsid w:val="00C7315E"/>
    <w:rsid w:val="00C746EB"/>
    <w:rsid w:val="00C75895"/>
    <w:rsid w:val="00C76C57"/>
    <w:rsid w:val="00C83C9F"/>
    <w:rsid w:val="00C942FC"/>
    <w:rsid w:val="00C94840"/>
    <w:rsid w:val="00CA2ECA"/>
    <w:rsid w:val="00CA4A44"/>
    <w:rsid w:val="00CA4EE3"/>
    <w:rsid w:val="00CA5550"/>
    <w:rsid w:val="00CA5F2B"/>
    <w:rsid w:val="00CB027F"/>
    <w:rsid w:val="00CB459D"/>
    <w:rsid w:val="00CC0BF1"/>
    <w:rsid w:val="00CC0EBB"/>
    <w:rsid w:val="00CC103E"/>
    <w:rsid w:val="00CC6297"/>
    <w:rsid w:val="00CC7690"/>
    <w:rsid w:val="00CD1986"/>
    <w:rsid w:val="00CD2243"/>
    <w:rsid w:val="00CD54BF"/>
    <w:rsid w:val="00CD5B0F"/>
    <w:rsid w:val="00CE058C"/>
    <w:rsid w:val="00CE4D5C"/>
    <w:rsid w:val="00CF05DA"/>
    <w:rsid w:val="00CF58EB"/>
    <w:rsid w:val="00CF5BFF"/>
    <w:rsid w:val="00CF6FEC"/>
    <w:rsid w:val="00D0106E"/>
    <w:rsid w:val="00D06383"/>
    <w:rsid w:val="00D10E50"/>
    <w:rsid w:val="00D20E85"/>
    <w:rsid w:val="00D225C5"/>
    <w:rsid w:val="00D23F8D"/>
    <w:rsid w:val="00D24615"/>
    <w:rsid w:val="00D32C38"/>
    <w:rsid w:val="00D37842"/>
    <w:rsid w:val="00D42DC2"/>
    <w:rsid w:val="00D5155A"/>
    <w:rsid w:val="00D5285C"/>
    <w:rsid w:val="00D537E1"/>
    <w:rsid w:val="00D55BB2"/>
    <w:rsid w:val="00D6091A"/>
    <w:rsid w:val="00D6605A"/>
    <w:rsid w:val="00D6695F"/>
    <w:rsid w:val="00D72BAC"/>
    <w:rsid w:val="00D75644"/>
    <w:rsid w:val="00D75A36"/>
    <w:rsid w:val="00D81656"/>
    <w:rsid w:val="00D83D87"/>
    <w:rsid w:val="00D84A6D"/>
    <w:rsid w:val="00D86A30"/>
    <w:rsid w:val="00D9369D"/>
    <w:rsid w:val="00D94798"/>
    <w:rsid w:val="00D95BA5"/>
    <w:rsid w:val="00D97CB4"/>
    <w:rsid w:val="00D97DD4"/>
    <w:rsid w:val="00DA3E57"/>
    <w:rsid w:val="00DA574E"/>
    <w:rsid w:val="00DA5A8A"/>
    <w:rsid w:val="00DB1170"/>
    <w:rsid w:val="00DB26CD"/>
    <w:rsid w:val="00DB441C"/>
    <w:rsid w:val="00DB44AF"/>
    <w:rsid w:val="00DC0684"/>
    <w:rsid w:val="00DC0AEF"/>
    <w:rsid w:val="00DC1F58"/>
    <w:rsid w:val="00DC339B"/>
    <w:rsid w:val="00DC3517"/>
    <w:rsid w:val="00DC5D40"/>
    <w:rsid w:val="00DC69A7"/>
    <w:rsid w:val="00DC73F9"/>
    <w:rsid w:val="00DD30E9"/>
    <w:rsid w:val="00DD4F47"/>
    <w:rsid w:val="00DD7FBB"/>
    <w:rsid w:val="00DE0B9F"/>
    <w:rsid w:val="00DE2A9E"/>
    <w:rsid w:val="00DE4238"/>
    <w:rsid w:val="00DE657F"/>
    <w:rsid w:val="00DE746A"/>
    <w:rsid w:val="00DF1218"/>
    <w:rsid w:val="00DF17A6"/>
    <w:rsid w:val="00DF38B5"/>
    <w:rsid w:val="00DF6462"/>
    <w:rsid w:val="00E02FA0"/>
    <w:rsid w:val="00E036DC"/>
    <w:rsid w:val="00E040EF"/>
    <w:rsid w:val="00E0631C"/>
    <w:rsid w:val="00E10454"/>
    <w:rsid w:val="00E112E5"/>
    <w:rsid w:val="00E122D8"/>
    <w:rsid w:val="00E12CC8"/>
    <w:rsid w:val="00E15352"/>
    <w:rsid w:val="00E21937"/>
    <w:rsid w:val="00E21CC7"/>
    <w:rsid w:val="00E24D9E"/>
    <w:rsid w:val="00E25849"/>
    <w:rsid w:val="00E3197E"/>
    <w:rsid w:val="00E342F8"/>
    <w:rsid w:val="00E351ED"/>
    <w:rsid w:val="00E440F0"/>
    <w:rsid w:val="00E55F43"/>
    <w:rsid w:val="00E6034B"/>
    <w:rsid w:val="00E60404"/>
    <w:rsid w:val="00E6549E"/>
    <w:rsid w:val="00E65EDE"/>
    <w:rsid w:val="00E70F81"/>
    <w:rsid w:val="00E715BD"/>
    <w:rsid w:val="00E722D9"/>
    <w:rsid w:val="00E77055"/>
    <w:rsid w:val="00E77460"/>
    <w:rsid w:val="00E8235F"/>
    <w:rsid w:val="00E83ABC"/>
    <w:rsid w:val="00E844F2"/>
    <w:rsid w:val="00E85829"/>
    <w:rsid w:val="00E85FA5"/>
    <w:rsid w:val="00E90AD0"/>
    <w:rsid w:val="00E92FCB"/>
    <w:rsid w:val="00EA147F"/>
    <w:rsid w:val="00EA4A27"/>
    <w:rsid w:val="00EA4FA6"/>
    <w:rsid w:val="00EA63BB"/>
    <w:rsid w:val="00EB1A25"/>
    <w:rsid w:val="00EB529F"/>
    <w:rsid w:val="00EC2349"/>
    <w:rsid w:val="00EC7363"/>
    <w:rsid w:val="00ED03AB"/>
    <w:rsid w:val="00ED1963"/>
    <w:rsid w:val="00ED1CD4"/>
    <w:rsid w:val="00ED1D2B"/>
    <w:rsid w:val="00ED64B5"/>
    <w:rsid w:val="00EE0F00"/>
    <w:rsid w:val="00EE7CCA"/>
    <w:rsid w:val="00EF1D52"/>
    <w:rsid w:val="00EF5BEC"/>
    <w:rsid w:val="00F16A14"/>
    <w:rsid w:val="00F22EDA"/>
    <w:rsid w:val="00F23D98"/>
    <w:rsid w:val="00F27B82"/>
    <w:rsid w:val="00F332E5"/>
    <w:rsid w:val="00F362D7"/>
    <w:rsid w:val="00F365D7"/>
    <w:rsid w:val="00F37D7B"/>
    <w:rsid w:val="00F44D3F"/>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11F4"/>
    <w:rsid w:val="00FB378E"/>
    <w:rsid w:val="00FB37F1"/>
    <w:rsid w:val="00FB47C0"/>
    <w:rsid w:val="00FB501B"/>
    <w:rsid w:val="00FB7770"/>
    <w:rsid w:val="00FC4BFD"/>
    <w:rsid w:val="00FC66B3"/>
    <w:rsid w:val="00FD1988"/>
    <w:rsid w:val="00FD3B91"/>
    <w:rsid w:val="00FD52A5"/>
    <w:rsid w:val="00FD576B"/>
    <w:rsid w:val="00FD579E"/>
    <w:rsid w:val="00FD5975"/>
    <w:rsid w:val="00FD6845"/>
    <w:rsid w:val="00FE1718"/>
    <w:rsid w:val="00FE4516"/>
    <w:rsid w:val="00FE5693"/>
    <w:rsid w:val="00FE64C8"/>
    <w:rsid w:val="00FF73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semiHidden/>
    <w:unhideWhenUsed/>
    <w:rsid w:val="00D75A36"/>
    <w:pPr>
      <w:snapToGrid w:val="0"/>
      <w:jc w:val="left"/>
    </w:pPr>
    <w:rPr>
      <w:sz w:val="20"/>
    </w:rPr>
  </w:style>
  <w:style w:type="character" w:customStyle="1" w:styleId="afc">
    <w:name w:val="註腳文字 字元"/>
    <w:basedOn w:val="a7"/>
    <w:link w:val="afb"/>
    <w:uiPriority w:val="99"/>
    <w:semiHidden/>
    <w:rsid w:val="00D75A36"/>
    <w:rPr>
      <w:rFonts w:ascii="標楷體" w:eastAsia="標楷體"/>
      <w:kern w:val="2"/>
    </w:rPr>
  </w:style>
  <w:style w:type="character" w:styleId="afd">
    <w:name w:val="footnote reference"/>
    <w:basedOn w:val="a7"/>
    <w:uiPriority w:val="99"/>
    <w:semiHidden/>
    <w:unhideWhenUsed/>
    <w:rsid w:val="00D75A36"/>
    <w:rPr>
      <w:vertAlign w:val="superscript"/>
    </w:rPr>
  </w:style>
  <w:style w:type="character" w:customStyle="1" w:styleId="ae">
    <w:name w:val="頁首 字元"/>
    <w:basedOn w:val="a7"/>
    <w:link w:val="ad"/>
    <w:rsid w:val="00514AD7"/>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semiHidden/>
    <w:unhideWhenUsed/>
    <w:rsid w:val="00D75A36"/>
    <w:pPr>
      <w:snapToGrid w:val="0"/>
      <w:jc w:val="left"/>
    </w:pPr>
    <w:rPr>
      <w:sz w:val="20"/>
    </w:rPr>
  </w:style>
  <w:style w:type="character" w:customStyle="1" w:styleId="afc">
    <w:name w:val="註腳文字 字元"/>
    <w:basedOn w:val="a7"/>
    <w:link w:val="afb"/>
    <w:uiPriority w:val="99"/>
    <w:semiHidden/>
    <w:rsid w:val="00D75A36"/>
    <w:rPr>
      <w:rFonts w:ascii="標楷體" w:eastAsia="標楷體"/>
      <w:kern w:val="2"/>
    </w:rPr>
  </w:style>
  <w:style w:type="character" w:styleId="afd">
    <w:name w:val="footnote reference"/>
    <w:basedOn w:val="a7"/>
    <w:uiPriority w:val="99"/>
    <w:semiHidden/>
    <w:unhideWhenUsed/>
    <w:rsid w:val="00D75A36"/>
    <w:rPr>
      <w:vertAlign w:val="superscript"/>
    </w:rPr>
  </w:style>
  <w:style w:type="character" w:customStyle="1" w:styleId="ae">
    <w:name w:val="頁首 字元"/>
    <w:basedOn w:val="a7"/>
    <w:link w:val="ad"/>
    <w:rsid w:val="00514AD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82">
      <w:bodyDiv w:val="1"/>
      <w:marLeft w:val="0"/>
      <w:marRight w:val="0"/>
      <w:marTop w:val="0"/>
      <w:marBottom w:val="0"/>
      <w:divBdr>
        <w:top w:val="none" w:sz="0" w:space="0" w:color="auto"/>
        <w:left w:val="none" w:sz="0" w:space="0" w:color="auto"/>
        <w:bottom w:val="none" w:sz="0" w:space="0" w:color="auto"/>
        <w:right w:val="none" w:sz="0" w:space="0" w:color="auto"/>
      </w:divBdr>
      <w:divsChild>
        <w:div w:id="352725979">
          <w:marLeft w:val="547"/>
          <w:marRight w:val="0"/>
          <w:marTop w:val="0"/>
          <w:marBottom w:val="0"/>
          <w:divBdr>
            <w:top w:val="none" w:sz="0" w:space="0" w:color="auto"/>
            <w:left w:val="none" w:sz="0" w:space="0" w:color="auto"/>
            <w:bottom w:val="none" w:sz="0" w:space="0" w:color="auto"/>
            <w:right w:val="none" w:sz="0" w:space="0" w:color="auto"/>
          </w:divBdr>
        </w:div>
        <w:div w:id="2055346741">
          <w:marLeft w:val="547"/>
          <w:marRight w:val="0"/>
          <w:marTop w:val="0"/>
          <w:marBottom w:val="0"/>
          <w:divBdr>
            <w:top w:val="none" w:sz="0" w:space="0" w:color="auto"/>
            <w:left w:val="none" w:sz="0" w:space="0" w:color="auto"/>
            <w:bottom w:val="none" w:sz="0" w:space="0" w:color="auto"/>
            <w:right w:val="none" w:sz="0" w:space="0" w:color="auto"/>
          </w:divBdr>
        </w:div>
        <w:div w:id="202327562">
          <w:marLeft w:val="547"/>
          <w:marRight w:val="0"/>
          <w:marTop w:val="0"/>
          <w:marBottom w:val="0"/>
          <w:divBdr>
            <w:top w:val="none" w:sz="0" w:space="0" w:color="auto"/>
            <w:left w:val="none" w:sz="0" w:space="0" w:color="auto"/>
            <w:bottom w:val="none" w:sz="0" w:space="0" w:color="auto"/>
            <w:right w:val="none" w:sz="0" w:space="0" w:color="auto"/>
          </w:divBdr>
        </w:div>
        <w:div w:id="1815174037">
          <w:marLeft w:val="547"/>
          <w:marRight w:val="0"/>
          <w:marTop w:val="0"/>
          <w:marBottom w:val="0"/>
          <w:divBdr>
            <w:top w:val="none" w:sz="0" w:space="0" w:color="auto"/>
            <w:left w:val="none" w:sz="0" w:space="0" w:color="auto"/>
            <w:bottom w:val="none" w:sz="0" w:space="0" w:color="auto"/>
            <w:right w:val="none" w:sz="0" w:space="0" w:color="auto"/>
          </w:divBdr>
        </w:div>
      </w:divsChild>
    </w:div>
    <w:div w:id="195433233">
      <w:bodyDiv w:val="1"/>
      <w:marLeft w:val="0"/>
      <w:marRight w:val="0"/>
      <w:marTop w:val="0"/>
      <w:marBottom w:val="0"/>
      <w:divBdr>
        <w:top w:val="none" w:sz="0" w:space="0" w:color="auto"/>
        <w:left w:val="none" w:sz="0" w:space="0" w:color="auto"/>
        <w:bottom w:val="none" w:sz="0" w:space="0" w:color="auto"/>
        <w:right w:val="none" w:sz="0" w:space="0" w:color="auto"/>
      </w:divBdr>
    </w:div>
    <w:div w:id="225145040">
      <w:bodyDiv w:val="1"/>
      <w:marLeft w:val="0"/>
      <w:marRight w:val="0"/>
      <w:marTop w:val="0"/>
      <w:marBottom w:val="0"/>
      <w:divBdr>
        <w:top w:val="none" w:sz="0" w:space="0" w:color="auto"/>
        <w:left w:val="none" w:sz="0" w:space="0" w:color="auto"/>
        <w:bottom w:val="none" w:sz="0" w:space="0" w:color="auto"/>
        <w:right w:val="none" w:sz="0" w:space="0" w:color="auto"/>
      </w:divBdr>
      <w:divsChild>
        <w:div w:id="1391271581">
          <w:marLeft w:val="734"/>
          <w:marRight w:val="0"/>
          <w:marTop w:val="115"/>
          <w:marBottom w:val="0"/>
          <w:divBdr>
            <w:top w:val="none" w:sz="0" w:space="0" w:color="auto"/>
            <w:left w:val="none" w:sz="0" w:space="0" w:color="auto"/>
            <w:bottom w:val="none" w:sz="0" w:space="0" w:color="auto"/>
            <w:right w:val="none" w:sz="0" w:space="0" w:color="auto"/>
          </w:divBdr>
        </w:div>
        <w:div w:id="827752013">
          <w:marLeft w:val="734"/>
          <w:marRight w:val="0"/>
          <w:marTop w:val="115"/>
          <w:marBottom w:val="0"/>
          <w:divBdr>
            <w:top w:val="none" w:sz="0" w:space="0" w:color="auto"/>
            <w:left w:val="none" w:sz="0" w:space="0" w:color="auto"/>
            <w:bottom w:val="none" w:sz="0" w:space="0" w:color="auto"/>
            <w:right w:val="none" w:sz="0" w:space="0" w:color="auto"/>
          </w:divBdr>
        </w:div>
      </w:divsChild>
    </w:div>
    <w:div w:id="228854604">
      <w:bodyDiv w:val="1"/>
      <w:marLeft w:val="0"/>
      <w:marRight w:val="0"/>
      <w:marTop w:val="0"/>
      <w:marBottom w:val="0"/>
      <w:divBdr>
        <w:top w:val="none" w:sz="0" w:space="0" w:color="auto"/>
        <w:left w:val="none" w:sz="0" w:space="0" w:color="auto"/>
        <w:bottom w:val="none" w:sz="0" w:space="0" w:color="auto"/>
        <w:right w:val="none" w:sz="0" w:space="0" w:color="auto"/>
      </w:divBdr>
      <w:divsChild>
        <w:div w:id="1674840268">
          <w:marLeft w:val="734"/>
          <w:marRight w:val="0"/>
          <w:marTop w:val="115"/>
          <w:marBottom w:val="0"/>
          <w:divBdr>
            <w:top w:val="none" w:sz="0" w:space="0" w:color="auto"/>
            <w:left w:val="none" w:sz="0" w:space="0" w:color="auto"/>
            <w:bottom w:val="none" w:sz="0" w:space="0" w:color="auto"/>
            <w:right w:val="none" w:sz="0" w:space="0" w:color="auto"/>
          </w:divBdr>
        </w:div>
      </w:divsChild>
    </w:div>
    <w:div w:id="275605814">
      <w:bodyDiv w:val="1"/>
      <w:marLeft w:val="0"/>
      <w:marRight w:val="0"/>
      <w:marTop w:val="0"/>
      <w:marBottom w:val="0"/>
      <w:divBdr>
        <w:top w:val="none" w:sz="0" w:space="0" w:color="auto"/>
        <w:left w:val="none" w:sz="0" w:space="0" w:color="auto"/>
        <w:bottom w:val="none" w:sz="0" w:space="0" w:color="auto"/>
        <w:right w:val="none" w:sz="0" w:space="0" w:color="auto"/>
      </w:divBdr>
    </w:div>
    <w:div w:id="306740791">
      <w:bodyDiv w:val="1"/>
      <w:marLeft w:val="0"/>
      <w:marRight w:val="0"/>
      <w:marTop w:val="0"/>
      <w:marBottom w:val="0"/>
      <w:divBdr>
        <w:top w:val="none" w:sz="0" w:space="0" w:color="auto"/>
        <w:left w:val="none" w:sz="0" w:space="0" w:color="auto"/>
        <w:bottom w:val="none" w:sz="0" w:space="0" w:color="auto"/>
        <w:right w:val="none" w:sz="0" w:space="0" w:color="auto"/>
      </w:divBdr>
      <w:divsChild>
        <w:div w:id="1051465523">
          <w:marLeft w:val="734"/>
          <w:marRight w:val="0"/>
          <w:marTop w:val="115"/>
          <w:marBottom w:val="0"/>
          <w:divBdr>
            <w:top w:val="none" w:sz="0" w:space="0" w:color="auto"/>
            <w:left w:val="none" w:sz="0" w:space="0" w:color="auto"/>
            <w:bottom w:val="none" w:sz="0" w:space="0" w:color="auto"/>
            <w:right w:val="none" w:sz="0" w:space="0" w:color="auto"/>
          </w:divBdr>
        </w:div>
      </w:divsChild>
    </w:div>
    <w:div w:id="443114073">
      <w:bodyDiv w:val="1"/>
      <w:marLeft w:val="0"/>
      <w:marRight w:val="0"/>
      <w:marTop w:val="0"/>
      <w:marBottom w:val="0"/>
      <w:divBdr>
        <w:top w:val="none" w:sz="0" w:space="0" w:color="auto"/>
        <w:left w:val="none" w:sz="0" w:space="0" w:color="auto"/>
        <w:bottom w:val="none" w:sz="0" w:space="0" w:color="auto"/>
        <w:right w:val="none" w:sz="0" w:space="0" w:color="auto"/>
      </w:divBdr>
      <w:divsChild>
        <w:div w:id="858355643">
          <w:marLeft w:val="734"/>
          <w:marRight w:val="0"/>
          <w:marTop w:val="115"/>
          <w:marBottom w:val="0"/>
          <w:divBdr>
            <w:top w:val="none" w:sz="0" w:space="0" w:color="auto"/>
            <w:left w:val="none" w:sz="0" w:space="0" w:color="auto"/>
            <w:bottom w:val="none" w:sz="0" w:space="0" w:color="auto"/>
            <w:right w:val="none" w:sz="0" w:space="0" w:color="auto"/>
          </w:divBdr>
        </w:div>
        <w:div w:id="1291279113">
          <w:marLeft w:val="734"/>
          <w:marRight w:val="0"/>
          <w:marTop w:val="115"/>
          <w:marBottom w:val="0"/>
          <w:divBdr>
            <w:top w:val="none" w:sz="0" w:space="0" w:color="auto"/>
            <w:left w:val="none" w:sz="0" w:space="0" w:color="auto"/>
            <w:bottom w:val="none" w:sz="0" w:space="0" w:color="auto"/>
            <w:right w:val="none" w:sz="0" w:space="0" w:color="auto"/>
          </w:divBdr>
        </w:div>
      </w:divsChild>
    </w:div>
    <w:div w:id="651327423">
      <w:bodyDiv w:val="1"/>
      <w:marLeft w:val="0"/>
      <w:marRight w:val="0"/>
      <w:marTop w:val="0"/>
      <w:marBottom w:val="0"/>
      <w:divBdr>
        <w:top w:val="none" w:sz="0" w:space="0" w:color="auto"/>
        <w:left w:val="none" w:sz="0" w:space="0" w:color="auto"/>
        <w:bottom w:val="none" w:sz="0" w:space="0" w:color="auto"/>
        <w:right w:val="none" w:sz="0" w:space="0" w:color="auto"/>
      </w:divBdr>
      <w:divsChild>
        <w:div w:id="1473408091">
          <w:marLeft w:val="734"/>
          <w:marRight w:val="0"/>
          <w:marTop w:val="115"/>
          <w:marBottom w:val="0"/>
          <w:divBdr>
            <w:top w:val="none" w:sz="0" w:space="0" w:color="auto"/>
            <w:left w:val="none" w:sz="0" w:space="0" w:color="auto"/>
            <w:bottom w:val="none" w:sz="0" w:space="0" w:color="auto"/>
            <w:right w:val="none" w:sz="0" w:space="0" w:color="auto"/>
          </w:divBdr>
        </w:div>
        <w:div w:id="1398671235">
          <w:marLeft w:val="734"/>
          <w:marRight w:val="0"/>
          <w:marTop w:val="115"/>
          <w:marBottom w:val="0"/>
          <w:divBdr>
            <w:top w:val="none" w:sz="0" w:space="0" w:color="auto"/>
            <w:left w:val="none" w:sz="0" w:space="0" w:color="auto"/>
            <w:bottom w:val="none" w:sz="0" w:space="0" w:color="auto"/>
            <w:right w:val="none" w:sz="0" w:space="0" w:color="auto"/>
          </w:divBdr>
        </w:div>
      </w:divsChild>
    </w:div>
    <w:div w:id="1143961519">
      <w:bodyDiv w:val="1"/>
      <w:marLeft w:val="0"/>
      <w:marRight w:val="0"/>
      <w:marTop w:val="0"/>
      <w:marBottom w:val="0"/>
      <w:divBdr>
        <w:top w:val="none" w:sz="0" w:space="0" w:color="auto"/>
        <w:left w:val="none" w:sz="0" w:space="0" w:color="auto"/>
        <w:bottom w:val="none" w:sz="0" w:space="0" w:color="auto"/>
        <w:right w:val="none" w:sz="0" w:space="0" w:color="auto"/>
      </w:divBdr>
    </w:div>
    <w:div w:id="1641688540">
      <w:bodyDiv w:val="1"/>
      <w:marLeft w:val="0"/>
      <w:marRight w:val="0"/>
      <w:marTop w:val="0"/>
      <w:marBottom w:val="0"/>
      <w:divBdr>
        <w:top w:val="none" w:sz="0" w:space="0" w:color="auto"/>
        <w:left w:val="none" w:sz="0" w:space="0" w:color="auto"/>
        <w:bottom w:val="none" w:sz="0" w:space="0" w:color="auto"/>
        <w:right w:val="none" w:sz="0" w:space="0" w:color="auto"/>
      </w:divBdr>
      <w:divsChild>
        <w:div w:id="1674643840">
          <w:marLeft w:val="734"/>
          <w:marRight w:val="0"/>
          <w:marTop w:val="134"/>
          <w:marBottom w:val="0"/>
          <w:divBdr>
            <w:top w:val="none" w:sz="0" w:space="0" w:color="auto"/>
            <w:left w:val="none" w:sz="0" w:space="0" w:color="auto"/>
            <w:bottom w:val="none" w:sz="0" w:space="0" w:color="auto"/>
            <w:right w:val="none" w:sz="0" w:space="0" w:color="auto"/>
          </w:divBdr>
        </w:div>
        <w:div w:id="294680664">
          <w:marLeft w:val="734"/>
          <w:marRight w:val="0"/>
          <w:marTop w:val="134"/>
          <w:marBottom w:val="0"/>
          <w:divBdr>
            <w:top w:val="none" w:sz="0" w:space="0" w:color="auto"/>
            <w:left w:val="none" w:sz="0" w:space="0" w:color="auto"/>
            <w:bottom w:val="none" w:sz="0" w:space="0" w:color="auto"/>
            <w:right w:val="none" w:sz="0" w:space="0" w:color="auto"/>
          </w:divBdr>
        </w:div>
      </w:divsChild>
    </w:div>
    <w:div w:id="1649701561">
      <w:bodyDiv w:val="1"/>
      <w:marLeft w:val="0"/>
      <w:marRight w:val="0"/>
      <w:marTop w:val="0"/>
      <w:marBottom w:val="0"/>
      <w:divBdr>
        <w:top w:val="none" w:sz="0" w:space="0" w:color="auto"/>
        <w:left w:val="none" w:sz="0" w:space="0" w:color="auto"/>
        <w:bottom w:val="none" w:sz="0" w:space="0" w:color="auto"/>
        <w:right w:val="none" w:sz="0" w:space="0" w:color="auto"/>
      </w:divBdr>
      <w:divsChild>
        <w:div w:id="1650481310">
          <w:marLeft w:val="734"/>
          <w:marRight w:val="0"/>
          <w:marTop w:val="115"/>
          <w:marBottom w:val="0"/>
          <w:divBdr>
            <w:top w:val="none" w:sz="0" w:space="0" w:color="auto"/>
            <w:left w:val="none" w:sz="0" w:space="0" w:color="auto"/>
            <w:bottom w:val="none" w:sz="0" w:space="0" w:color="auto"/>
            <w:right w:val="none" w:sz="0" w:space="0" w:color="auto"/>
          </w:divBdr>
        </w:div>
        <w:div w:id="1494177380">
          <w:marLeft w:val="734"/>
          <w:marRight w:val="0"/>
          <w:marTop w:val="115"/>
          <w:marBottom w:val="0"/>
          <w:divBdr>
            <w:top w:val="none" w:sz="0" w:space="0" w:color="auto"/>
            <w:left w:val="none" w:sz="0" w:space="0" w:color="auto"/>
            <w:bottom w:val="none" w:sz="0" w:space="0" w:color="auto"/>
            <w:right w:val="none" w:sz="0" w:space="0" w:color="auto"/>
          </w:divBdr>
        </w:div>
      </w:divsChild>
    </w:div>
    <w:div w:id="1880312681">
      <w:bodyDiv w:val="1"/>
      <w:marLeft w:val="0"/>
      <w:marRight w:val="0"/>
      <w:marTop w:val="0"/>
      <w:marBottom w:val="0"/>
      <w:divBdr>
        <w:top w:val="none" w:sz="0" w:space="0" w:color="auto"/>
        <w:left w:val="none" w:sz="0" w:space="0" w:color="auto"/>
        <w:bottom w:val="none" w:sz="0" w:space="0" w:color="auto"/>
        <w:right w:val="none" w:sz="0" w:space="0" w:color="auto"/>
      </w:divBdr>
      <w:divsChild>
        <w:div w:id="576325468">
          <w:marLeft w:val="734"/>
          <w:marRight w:val="0"/>
          <w:marTop w:val="134"/>
          <w:marBottom w:val="0"/>
          <w:divBdr>
            <w:top w:val="none" w:sz="0" w:space="0" w:color="auto"/>
            <w:left w:val="none" w:sz="0" w:space="0" w:color="auto"/>
            <w:bottom w:val="none" w:sz="0" w:space="0" w:color="auto"/>
            <w:right w:val="none" w:sz="0" w:space="0" w:color="auto"/>
          </w:divBdr>
        </w:div>
      </w:divsChild>
    </w:div>
    <w:div w:id="1905944472">
      <w:bodyDiv w:val="1"/>
      <w:marLeft w:val="0"/>
      <w:marRight w:val="0"/>
      <w:marTop w:val="0"/>
      <w:marBottom w:val="0"/>
      <w:divBdr>
        <w:top w:val="none" w:sz="0" w:space="0" w:color="auto"/>
        <w:left w:val="none" w:sz="0" w:space="0" w:color="auto"/>
        <w:bottom w:val="none" w:sz="0" w:space="0" w:color="auto"/>
        <w:right w:val="none" w:sz="0" w:space="0" w:color="auto"/>
      </w:divBdr>
      <w:divsChild>
        <w:div w:id="1973365442">
          <w:marLeft w:val="734"/>
          <w:marRight w:val="0"/>
          <w:marTop w:val="115"/>
          <w:marBottom w:val="0"/>
          <w:divBdr>
            <w:top w:val="none" w:sz="0" w:space="0" w:color="auto"/>
            <w:left w:val="none" w:sz="0" w:space="0" w:color="auto"/>
            <w:bottom w:val="none" w:sz="0" w:space="0" w:color="auto"/>
            <w:right w:val="none" w:sz="0" w:space="0" w:color="auto"/>
          </w:divBdr>
        </w:div>
        <w:div w:id="1516771359">
          <w:marLeft w:val="734"/>
          <w:marRight w:val="0"/>
          <w:marTop w:val="115"/>
          <w:marBottom w:val="0"/>
          <w:divBdr>
            <w:top w:val="none" w:sz="0" w:space="0" w:color="auto"/>
            <w:left w:val="none" w:sz="0" w:space="0" w:color="auto"/>
            <w:bottom w:val="none" w:sz="0" w:space="0" w:color="auto"/>
            <w:right w:val="none" w:sz="0" w:space="0" w:color="auto"/>
          </w:divBdr>
        </w:div>
      </w:divsChild>
    </w:div>
    <w:div w:id="2067411873">
      <w:bodyDiv w:val="1"/>
      <w:marLeft w:val="0"/>
      <w:marRight w:val="0"/>
      <w:marTop w:val="0"/>
      <w:marBottom w:val="0"/>
      <w:divBdr>
        <w:top w:val="none" w:sz="0" w:space="0" w:color="auto"/>
        <w:left w:val="none" w:sz="0" w:space="0" w:color="auto"/>
        <w:bottom w:val="none" w:sz="0" w:space="0" w:color="auto"/>
        <w:right w:val="none" w:sz="0" w:space="0" w:color="auto"/>
      </w:divBdr>
      <w:divsChild>
        <w:div w:id="1891649436">
          <w:marLeft w:val="734"/>
          <w:marRight w:val="0"/>
          <w:marTop w:val="115"/>
          <w:marBottom w:val="0"/>
          <w:divBdr>
            <w:top w:val="none" w:sz="0" w:space="0" w:color="auto"/>
            <w:left w:val="none" w:sz="0" w:space="0" w:color="auto"/>
            <w:bottom w:val="none" w:sz="0" w:space="0" w:color="auto"/>
            <w:right w:val="none" w:sz="0" w:space="0" w:color="auto"/>
          </w:divBdr>
        </w:div>
        <w:div w:id="88702424">
          <w:marLeft w:val="734"/>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A9A76-7128-485B-B5A4-944B477A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3526</Words>
  <Characters>3704</Characters>
  <Application>Microsoft Office Word</Application>
  <DocSecurity>0</DocSecurity>
  <Lines>194</Lines>
  <Paragraphs>133</Paragraphs>
  <ScaleCrop>false</ScaleCrop>
  <Company>cy</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劉淑芬</dc:creator>
  <cp:lastModifiedBy>邱俊能</cp:lastModifiedBy>
  <cp:revision>2</cp:revision>
  <cp:lastPrinted>2017-06-08T08:07:00Z</cp:lastPrinted>
  <dcterms:created xsi:type="dcterms:W3CDTF">2017-06-22T12:34:00Z</dcterms:created>
  <dcterms:modified xsi:type="dcterms:W3CDTF">2017-06-22T12:34:00Z</dcterms:modified>
</cp:coreProperties>
</file>