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E08" w:rsidRDefault="00255E08">
      <w:pPr>
        <w:pStyle w:val="a6"/>
        <w:kinsoku w:val="0"/>
        <w:spacing w:before="0"/>
        <w:ind w:leftChars="700" w:left="2381" w:firstLine="0"/>
        <w:rPr>
          <w:bCs/>
          <w:snapToGrid/>
          <w:spacing w:val="200"/>
          <w:kern w:val="0"/>
          <w:sz w:val="40"/>
        </w:rPr>
      </w:pPr>
      <w:r>
        <w:rPr>
          <w:rFonts w:hint="eastAsia"/>
          <w:bCs/>
          <w:snapToGrid/>
          <w:spacing w:val="200"/>
          <w:kern w:val="0"/>
          <w:sz w:val="40"/>
        </w:rPr>
        <w:t>調查報告</w:t>
      </w:r>
    </w:p>
    <w:p w:rsidR="00255E08" w:rsidRDefault="00255E08" w:rsidP="008A6D72">
      <w:pPr>
        <w:pStyle w:val="1"/>
        <w:ind w:left="2394" w:hanging="2394"/>
      </w:pPr>
      <w:bookmarkStart w:id="0" w:name="_Toc524892368"/>
      <w:bookmarkStart w:id="1" w:name="_Toc524895638"/>
      <w:bookmarkStart w:id="2" w:name="_Toc524896184"/>
      <w:bookmarkStart w:id="3" w:name="_Toc524896214"/>
      <w:bookmarkStart w:id="4" w:name="_Toc524902720"/>
      <w:bookmarkStart w:id="5" w:name="_Toc525066139"/>
      <w:bookmarkStart w:id="6" w:name="_Toc525070829"/>
      <w:bookmarkStart w:id="7" w:name="_Toc525938369"/>
      <w:bookmarkStart w:id="8" w:name="_Toc525939217"/>
      <w:bookmarkStart w:id="9" w:name="_Toc525939722"/>
      <w:bookmarkStart w:id="10" w:name="_Toc529218256"/>
      <w:bookmarkStart w:id="11" w:name="_Toc529222679"/>
      <w:bookmarkStart w:id="12" w:name="_Toc529223101"/>
      <w:bookmarkStart w:id="13" w:name="_Toc529223852"/>
      <w:bookmarkStart w:id="14" w:name="_Toc529228248"/>
      <w:bookmarkStart w:id="15" w:name="_Toc2400384"/>
      <w:bookmarkStart w:id="16" w:name="_Toc4316179"/>
      <w:bookmarkStart w:id="17" w:name="_Toc4473320"/>
      <w:bookmarkStart w:id="18" w:name="_Toc69556887"/>
      <w:bookmarkStart w:id="19" w:name="_Toc69556936"/>
      <w:bookmarkStart w:id="20" w:name="_Toc69609810"/>
      <w:bookmarkStart w:id="21" w:name="_Toc70241806"/>
      <w:bookmarkStart w:id="22" w:name="_Toc70242195"/>
      <w:r>
        <w:rPr>
          <w:rFonts w:hint="eastAsia"/>
        </w:rPr>
        <w:t>案　　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r w:rsidR="008A6D72" w:rsidRPr="008A6D72">
        <w:rPr>
          <w:rFonts w:hint="eastAsia"/>
        </w:rPr>
        <w:t>衛生福利部推動家庭醫師及促進醫療體系整合相關計畫，惟家</w:t>
      </w:r>
      <w:proofErr w:type="gramStart"/>
      <w:r w:rsidR="008A6D72" w:rsidRPr="008A6D72">
        <w:rPr>
          <w:rFonts w:hint="eastAsia"/>
        </w:rPr>
        <w:t>醫</w:t>
      </w:r>
      <w:proofErr w:type="gramEnd"/>
      <w:r w:rsidR="008A6D72" w:rsidRPr="008A6D72">
        <w:rPr>
          <w:rFonts w:hint="eastAsia"/>
        </w:rPr>
        <w:t>參與診所及收案人數未能</w:t>
      </w:r>
      <w:proofErr w:type="gramStart"/>
      <w:r w:rsidR="008A6D72" w:rsidRPr="008A6D72">
        <w:rPr>
          <w:rFonts w:hint="eastAsia"/>
        </w:rPr>
        <w:t>普及，</w:t>
      </w:r>
      <w:proofErr w:type="gramEnd"/>
      <w:r w:rsidR="008A6D72" w:rsidRPr="008A6D72">
        <w:rPr>
          <w:rFonts w:hint="eastAsia"/>
        </w:rPr>
        <w:t>地區醫院家數逐年萎縮，分級醫療難以落實，允待</w:t>
      </w:r>
      <w:proofErr w:type="gramStart"/>
      <w:r w:rsidR="008A6D72" w:rsidRPr="008A6D72">
        <w:rPr>
          <w:rFonts w:hint="eastAsia"/>
        </w:rPr>
        <w:t>研</w:t>
      </w:r>
      <w:proofErr w:type="gramEnd"/>
      <w:r w:rsidR="008A6D72" w:rsidRPr="008A6D72">
        <w:rPr>
          <w:rFonts w:hint="eastAsia"/>
        </w:rPr>
        <w:t>謀改善，以健全社區醫療體系。</w:t>
      </w:r>
      <w:r w:rsidR="008A6D72">
        <w:rPr>
          <w:rFonts w:hint="eastAsia"/>
        </w:rPr>
        <w:t xml:space="preserve"> </w:t>
      </w:r>
    </w:p>
    <w:p w:rsidR="00255E08" w:rsidRDefault="00255E08">
      <w:pPr>
        <w:pStyle w:val="1"/>
        <w:ind w:left="2380" w:hanging="2380"/>
      </w:pPr>
      <w:bookmarkStart w:id="23" w:name="_Toc524895646"/>
      <w:bookmarkStart w:id="24" w:name="_Toc524896192"/>
      <w:bookmarkStart w:id="25" w:name="_Toc524896222"/>
      <w:bookmarkStart w:id="26" w:name="_Toc524902729"/>
      <w:bookmarkStart w:id="27" w:name="_Toc525066145"/>
      <w:bookmarkStart w:id="28" w:name="_Toc525070836"/>
      <w:bookmarkStart w:id="29" w:name="_Toc525938376"/>
      <w:bookmarkStart w:id="30" w:name="_Toc525939224"/>
      <w:bookmarkStart w:id="31" w:name="_Toc525939729"/>
      <w:bookmarkStart w:id="32" w:name="_Toc529218269"/>
      <w:bookmarkStart w:id="33" w:name="_GoBack"/>
      <w:bookmarkEnd w:id="33"/>
      <w:r>
        <w:br w:type="page"/>
      </w:r>
      <w:bookmarkStart w:id="34" w:name="_Toc529222686"/>
      <w:bookmarkStart w:id="35" w:name="_Toc529223108"/>
      <w:bookmarkStart w:id="36" w:name="_Toc529223859"/>
      <w:bookmarkStart w:id="37" w:name="_Toc529228262"/>
      <w:bookmarkStart w:id="38" w:name="_Toc2400392"/>
      <w:bookmarkStart w:id="39" w:name="_Toc4316186"/>
      <w:bookmarkStart w:id="40" w:name="_Toc4473327"/>
      <w:bookmarkStart w:id="41" w:name="_Toc69556894"/>
      <w:bookmarkStart w:id="42" w:name="_Toc69556943"/>
      <w:bookmarkStart w:id="43" w:name="_Toc69609817"/>
      <w:bookmarkStart w:id="44" w:name="_Toc70241813"/>
      <w:bookmarkStart w:id="45" w:name="_Toc70242202"/>
      <w:r>
        <w:rPr>
          <w:rFonts w:hint="eastAsia"/>
        </w:rPr>
        <w:lastRenderedPageBreak/>
        <w:t>調查意見：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 w:rsidR="00255E08" w:rsidRPr="00F71253" w:rsidRDefault="00F2350E">
      <w:pPr>
        <w:pStyle w:val="10"/>
        <w:ind w:left="680" w:firstLine="680"/>
        <w:rPr>
          <w:bCs/>
        </w:rPr>
      </w:pPr>
      <w:bookmarkStart w:id="46" w:name="_Toc524902730"/>
      <w:r>
        <w:rPr>
          <w:rFonts w:hint="eastAsia"/>
          <w:bCs/>
        </w:rPr>
        <w:t>據</w:t>
      </w:r>
      <w:proofErr w:type="gramStart"/>
      <w:r>
        <w:rPr>
          <w:rFonts w:hint="eastAsia"/>
          <w:bCs/>
        </w:rPr>
        <w:t>審計部函報</w:t>
      </w:r>
      <w:proofErr w:type="gramEnd"/>
      <w:r>
        <w:rPr>
          <w:rFonts w:hint="eastAsia"/>
          <w:bCs/>
        </w:rPr>
        <w:t>，</w:t>
      </w:r>
      <w:r w:rsidR="00762AFD" w:rsidRPr="008A6D72">
        <w:rPr>
          <w:rFonts w:hint="eastAsia"/>
          <w:bCs/>
        </w:rPr>
        <w:t>衛生福利部</w:t>
      </w:r>
      <w:r w:rsidR="00762AFD" w:rsidRPr="007A5859">
        <w:rPr>
          <w:rFonts w:hint="eastAsia"/>
          <w:color w:val="000000"/>
        </w:rPr>
        <w:t>(下稱</w:t>
      </w:r>
      <w:proofErr w:type="gramStart"/>
      <w:r w:rsidR="00762AFD">
        <w:rPr>
          <w:rFonts w:hint="eastAsia"/>
          <w:color w:val="000000"/>
        </w:rPr>
        <w:t>衛</w:t>
      </w:r>
      <w:r w:rsidR="00762AFD">
        <w:rPr>
          <w:rFonts w:hint="eastAsia"/>
        </w:rPr>
        <w:t>福部</w:t>
      </w:r>
      <w:proofErr w:type="gramEnd"/>
      <w:r w:rsidR="00762AFD" w:rsidRPr="007A5859">
        <w:rPr>
          <w:rFonts w:hint="eastAsia"/>
          <w:color w:val="000000"/>
        </w:rPr>
        <w:t>)</w:t>
      </w:r>
      <w:r w:rsidR="00762AFD">
        <w:rPr>
          <w:rFonts w:hint="eastAsia"/>
        </w:rPr>
        <w:t>中央健康</w:t>
      </w:r>
      <w:proofErr w:type="gramStart"/>
      <w:r w:rsidR="00762AFD">
        <w:rPr>
          <w:rFonts w:hint="eastAsia"/>
        </w:rPr>
        <w:t>保險署</w:t>
      </w:r>
      <w:proofErr w:type="gramEnd"/>
      <w:r w:rsidR="00762AFD">
        <w:rPr>
          <w:rFonts w:hint="eastAsia"/>
        </w:rPr>
        <w:t>(下稱健保署)</w:t>
      </w:r>
      <w:r w:rsidR="00762AFD" w:rsidRPr="008A6D72">
        <w:rPr>
          <w:rFonts w:hint="eastAsia"/>
          <w:bCs/>
        </w:rPr>
        <w:t>推動家庭醫師及促進醫療體系整合相關計畫，惟家</w:t>
      </w:r>
      <w:proofErr w:type="gramStart"/>
      <w:r w:rsidR="00762AFD" w:rsidRPr="008A6D72">
        <w:rPr>
          <w:rFonts w:hint="eastAsia"/>
          <w:bCs/>
        </w:rPr>
        <w:t>醫</w:t>
      </w:r>
      <w:proofErr w:type="gramEnd"/>
      <w:r w:rsidR="00762AFD" w:rsidRPr="008A6D72">
        <w:rPr>
          <w:rFonts w:hint="eastAsia"/>
          <w:bCs/>
        </w:rPr>
        <w:t>參與診所及收案人數未能</w:t>
      </w:r>
      <w:proofErr w:type="gramStart"/>
      <w:r w:rsidR="00762AFD" w:rsidRPr="008A6D72">
        <w:rPr>
          <w:rFonts w:hint="eastAsia"/>
          <w:bCs/>
        </w:rPr>
        <w:t>普及，</w:t>
      </w:r>
      <w:proofErr w:type="gramEnd"/>
      <w:r w:rsidR="00762AFD" w:rsidRPr="008A6D72">
        <w:rPr>
          <w:rFonts w:hint="eastAsia"/>
          <w:bCs/>
        </w:rPr>
        <w:t>地區醫院家數逐年萎縮，分級醫療</w:t>
      </w:r>
      <w:r w:rsidR="0089134C">
        <w:rPr>
          <w:rStyle w:val="af5"/>
          <w:bCs/>
        </w:rPr>
        <w:footnoteReference w:id="1"/>
      </w:r>
      <w:r w:rsidR="00762AFD" w:rsidRPr="008A6D72">
        <w:rPr>
          <w:rFonts w:hint="eastAsia"/>
          <w:bCs/>
        </w:rPr>
        <w:t>難以落實，允待</w:t>
      </w:r>
      <w:proofErr w:type="gramStart"/>
      <w:r w:rsidR="00762AFD" w:rsidRPr="008A6D72">
        <w:rPr>
          <w:rFonts w:hint="eastAsia"/>
          <w:bCs/>
        </w:rPr>
        <w:t>研</w:t>
      </w:r>
      <w:proofErr w:type="gramEnd"/>
      <w:r w:rsidR="00762AFD" w:rsidRPr="008A6D72">
        <w:rPr>
          <w:rFonts w:hint="eastAsia"/>
          <w:bCs/>
        </w:rPr>
        <w:t>謀改善，以健全社區醫療體系。</w:t>
      </w:r>
      <w:r w:rsidR="00762AFD" w:rsidRPr="00A34D36">
        <w:rPr>
          <w:rFonts w:hint="eastAsia"/>
        </w:rPr>
        <w:t>案</w:t>
      </w:r>
      <w:r w:rsidR="00762AFD">
        <w:rPr>
          <w:rFonts w:hint="eastAsia"/>
        </w:rPr>
        <w:t>經向</w:t>
      </w:r>
      <w:r w:rsidR="00762AFD">
        <w:rPr>
          <w:rFonts w:hint="eastAsia"/>
          <w:color w:val="000000"/>
        </w:rPr>
        <w:t>健保</w:t>
      </w:r>
      <w:r w:rsidR="00762AFD">
        <w:rPr>
          <w:rFonts w:hint="eastAsia"/>
        </w:rPr>
        <w:t>署</w:t>
      </w:r>
      <w:r w:rsidR="00762AFD">
        <w:rPr>
          <w:rFonts w:hint="eastAsia"/>
          <w:bCs/>
        </w:rPr>
        <w:t>調閱相關卷證資料，並詢問該</w:t>
      </w:r>
      <w:r w:rsidR="00762AFD">
        <w:rPr>
          <w:rFonts w:hint="eastAsia"/>
        </w:rPr>
        <w:t>署</w:t>
      </w:r>
      <w:r w:rsidR="00762AFD" w:rsidRPr="00186DD9">
        <w:rPr>
          <w:rFonts w:ascii="Times New Roman"/>
          <w:color w:val="000000"/>
        </w:rPr>
        <w:t>相關</w:t>
      </w:r>
      <w:r w:rsidR="00762AFD" w:rsidRPr="00186DD9">
        <w:rPr>
          <w:rFonts w:ascii="Times New Roman" w:hint="eastAsia"/>
          <w:color w:val="000000"/>
        </w:rPr>
        <w:t>主管</w:t>
      </w:r>
      <w:r w:rsidR="00762AFD" w:rsidRPr="00186DD9">
        <w:rPr>
          <w:rFonts w:ascii="Times New Roman"/>
          <w:color w:val="000000"/>
        </w:rPr>
        <w:t>人員，</w:t>
      </w:r>
      <w:r w:rsidR="00762AFD" w:rsidRPr="00186DD9">
        <w:rPr>
          <w:rFonts w:ascii="Times New Roman" w:hint="eastAsia"/>
          <w:color w:val="000000"/>
        </w:rPr>
        <w:t>茲已</w:t>
      </w:r>
      <w:proofErr w:type="gramStart"/>
      <w:r w:rsidR="00762AFD" w:rsidRPr="00186DD9">
        <w:rPr>
          <w:rFonts w:ascii="Times New Roman" w:hint="eastAsia"/>
          <w:color w:val="000000"/>
        </w:rPr>
        <w:t>釐</w:t>
      </w:r>
      <w:proofErr w:type="gramEnd"/>
      <w:r w:rsidR="00762AFD" w:rsidRPr="00186DD9">
        <w:rPr>
          <w:rFonts w:ascii="Times New Roman" w:hint="eastAsia"/>
          <w:color w:val="000000"/>
        </w:rPr>
        <w:t>清</w:t>
      </w:r>
      <w:proofErr w:type="gramStart"/>
      <w:r w:rsidR="00762AFD" w:rsidRPr="00186DD9">
        <w:rPr>
          <w:rFonts w:ascii="Times New Roman" w:hint="eastAsia"/>
          <w:color w:val="000000"/>
        </w:rPr>
        <w:t>案情竣事，爰</w:t>
      </w:r>
      <w:r w:rsidR="00762AFD" w:rsidRPr="00186DD9">
        <w:rPr>
          <w:rFonts w:ascii="Times New Roman"/>
          <w:color w:val="000000"/>
        </w:rPr>
        <w:t>臚</w:t>
      </w:r>
      <w:proofErr w:type="gramEnd"/>
      <w:r w:rsidR="00762AFD" w:rsidRPr="00186DD9">
        <w:rPr>
          <w:rFonts w:ascii="Times New Roman"/>
          <w:color w:val="000000"/>
        </w:rPr>
        <w:t>述調查</w:t>
      </w:r>
      <w:r w:rsidR="00762AFD">
        <w:rPr>
          <w:rFonts w:ascii="Times New Roman" w:hint="eastAsia"/>
          <w:color w:val="000000"/>
        </w:rPr>
        <w:t>意見</w:t>
      </w:r>
      <w:r w:rsidR="00762AFD" w:rsidRPr="00186DD9">
        <w:rPr>
          <w:rFonts w:ascii="Times New Roman"/>
          <w:color w:val="000000"/>
        </w:rPr>
        <w:t>如下：</w:t>
      </w:r>
      <w:r w:rsidR="00762AFD">
        <w:rPr>
          <w:bCs/>
        </w:rPr>
        <w:t xml:space="preserve"> </w:t>
      </w:r>
    </w:p>
    <w:p w:rsidR="00AE2A24" w:rsidRPr="00F67540" w:rsidRDefault="00F67540" w:rsidP="00F67540">
      <w:pPr>
        <w:pStyle w:val="2"/>
        <w:rPr>
          <w:b/>
        </w:rPr>
      </w:pPr>
      <w:bookmarkStart w:id="47" w:name="_Toc2400393"/>
      <w:bookmarkStart w:id="48" w:name="_Toc4316187"/>
      <w:bookmarkStart w:id="49" w:name="_Toc4473328"/>
      <w:bookmarkStart w:id="50" w:name="_Toc69556895"/>
      <w:bookmarkStart w:id="51" w:name="_Toc69556944"/>
      <w:bookmarkStart w:id="52" w:name="_Toc69609818"/>
      <w:bookmarkStart w:id="53" w:name="_Toc70241814"/>
      <w:bookmarkStart w:id="54" w:name="_Toc70242203"/>
      <w:r w:rsidRPr="00F67540">
        <w:rPr>
          <w:rFonts w:hint="eastAsia"/>
          <w:b/>
        </w:rPr>
        <w:t>健保署推動</w:t>
      </w:r>
      <w:r w:rsidR="00AE2A24" w:rsidRPr="00F67540">
        <w:rPr>
          <w:rFonts w:hint="eastAsia"/>
          <w:b/>
        </w:rPr>
        <w:t>家</w:t>
      </w:r>
      <w:r w:rsidR="005C5E3D" w:rsidRPr="00F67540">
        <w:rPr>
          <w:rFonts w:hint="eastAsia"/>
          <w:b/>
        </w:rPr>
        <w:t>庭</w:t>
      </w:r>
      <w:r w:rsidR="00AE2A24" w:rsidRPr="00F67540">
        <w:rPr>
          <w:rFonts w:hint="eastAsia"/>
          <w:b/>
        </w:rPr>
        <w:t>醫</w:t>
      </w:r>
      <w:r w:rsidR="005C5E3D" w:rsidRPr="00F67540">
        <w:rPr>
          <w:rFonts w:hint="eastAsia"/>
          <w:b/>
        </w:rPr>
        <w:t>師</w:t>
      </w:r>
      <w:r w:rsidRPr="00F67540">
        <w:rPr>
          <w:rFonts w:hint="eastAsia"/>
          <w:b/>
        </w:rPr>
        <w:t>整合性照護計畫</w:t>
      </w:r>
      <w:r w:rsidR="001A3FE7">
        <w:rPr>
          <w:rFonts w:hint="eastAsia"/>
          <w:b/>
        </w:rPr>
        <w:t>逾</w:t>
      </w:r>
      <w:r>
        <w:rPr>
          <w:rFonts w:hint="eastAsia"/>
          <w:b/>
        </w:rPr>
        <w:t>1</w:t>
      </w:r>
      <w:r w:rsidR="00BC0C18">
        <w:rPr>
          <w:rFonts w:hint="eastAsia"/>
          <w:b/>
        </w:rPr>
        <w:t>3</w:t>
      </w:r>
      <w:r>
        <w:rPr>
          <w:rFonts w:hint="eastAsia"/>
          <w:b/>
        </w:rPr>
        <w:t>年，</w:t>
      </w:r>
      <w:r w:rsidR="00301F60">
        <w:rPr>
          <w:rFonts w:hint="eastAsia"/>
          <w:b/>
        </w:rPr>
        <w:t>猶未展現</w:t>
      </w:r>
      <w:r w:rsidR="001A3FE7">
        <w:rPr>
          <w:rFonts w:hint="eastAsia"/>
          <w:b/>
        </w:rPr>
        <w:t>實施</w:t>
      </w:r>
      <w:proofErr w:type="gramStart"/>
      <w:r w:rsidR="001A3FE7">
        <w:rPr>
          <w:rFonts w:hint="eastAsia"/>
          <w:b/>
        </w:rPr>
        <w:t>初</w:t>
      </w:r>
      <w:r w:rsidR="00ED0D64">
        <w:rPr>
          <w:rFonts w:hint="eastAsia"/>
          <w:b/>
        </w:rPr>
        <w:t>效，</w:t>
      </w:r>
      <w:proofErr w:type="gramEnd"/>
      <w:r w:rsidR="00301F60">
        <w:rPr>
          <w:rFonts w:hint="eastAsia"/>
          <w:b/>
        </w:rPr>
        <w:t>且</w:t>
      </w:r>
      <w:r w:rsidR="00AE2A24" w:rsidRPr="00F67540">
        <w:rPr>
          <w:rFonts w:hint="eastAsia"/>
          <w:b/>
        </w:rPr>
        <w:t>參與診所</w:t>
      </w:r>
      <w:r w:rsidR="001A3FE7">
        <w:rPr>
          <w:rFonts w:hint="eastAsia"/>
          <w:b/>
        </w:rPr>
        <w:t>家數</w:t>
      </w:r>
      <w:r w:rsidR="00AE2A24" w:rsidRPr="00F67540">
        <w:rPr>
          <w:rFonts w:hint="eastAsia"/>
          <w:b/>
        </w:rPr>
        <w:t>及收案人數</w:t>
      </w:r>
      <w:r w:rsidR="005C5E3D" w:rsidRPr="00F67540">
        <w:rPr>
          <w:rFonts w:hint="eastAsia"/>
          <w:b/>
        </w:rPr>
        <w:t>偏低</w:t>
      </w:r>
      <w:r w:rsidR="00AE2A24" w:rsidRPr="00F67540">
        <w:rPr>
          <w:rFonts w:hint="eastAsia"/>
          <w:b/>
        </w:rPr>
        <w:t>，</w:t>
      </w:r>
      <w:r w:rsidR="009A536D">
        <w:rPr>
          <w:rFonts w:hint="eastAsia"/>
          <w:b/>
        </w:rPr>
        <w:t>民眾欲</w:t>
      </w:r>
      <w:r w:rsidR="009164E5">
        <w:rPr>
          <w:rFonts w:hint="eastAsia"/>
          <w:b/>
        </w:rPr>
        <w:t>赴</w:t>
      </w:r>
      <w:r w:rsidR="005200A1">
        <w:rPr>
          <w:rFonts w:hint="eastAsia"/>
          <w:b/>
        </w:rPr>
        <w:t>社區醫療群</w:t>
      </w:r>
      <w:r w:rsidR="009164E5">
        <w:rPr>
          <w:rFonts w:hint="eastAsia"/>
          <w:b/>
        </w:rPr>
        <w:t>就醫</w:t>
      </w:r>
      <w:r w:rsidR="00ED0D64">
        <w:rPr>
          <w:rFonts w:hint="eastAsia"/>
          <w:b/>
        </w:rPr>
        <w:t>之可近性</w:t>
      </w:r>
      <w:r w:rsidR="00EF46E1">
        <w:rPr>
          <w:rFonts w:hint="eastAsia"/>
          <w:b/>
        </w:rPr>
        <w:t>仍</w:t>
      </w:r>
      <w:r w:rsidR="001A3FE7">
        <w:rPr>
          <w:rFonts w:hint="eastAsia"/>
          <w:b/>
        </w:rPr>
        <w:t>然</w:t>
      </w:r>
      <w:r w:rsidR="00456B37">
        <w:rPr>
          <w:rFonts w:hint="eastAsia"/>
          <w:b/>
        </w:rPr>
        <w:t>不</w:t>
      </w:r>
      <w:r w:rsidR="00ED0D64">
        <w:rPr>
          <w:rFonts w:hint="eastAsia"/>
          <w:b/>
        </w:rPr>
        <w:t>足</w:t>
      </w:r>
      <w:r w:rsidR="00AE2A24" w:rsidRPr="00F67540">
        <w:rPr>
          <w:rFonts w:hint="eastAsia"/>
          <w:b/>
        </w:rPr>
        <w:t>，</w:t>
      </w:r>
      <w:r w:rsidR="00ED0D64">
        <w:rPr>
          <w:rFonts w:hint="eastAsia"/>
          <w:b/>
        </w:rPr>
        <w:t>亟應加速拓展並普及其</w:t>
      </w:r>
      <w:r w:rsidR="005200A1">
        <w:rPr>
          <w:rFonts w:hint="eastAsia"/>
          <w:b/>
        </w:rPr>
        <w:t>醫療</w:t>
      </w:r>
      <w:r w:rsidR="00ED0D64" w:rsidRPr="00F67540">
        <w:rPr>
          <w:rFonts w:hint="eastAsia"/>
          <w:b/>
        </w:rPr>
        <w:t>服務</w:t>
      </w:r>
      <w:r w:rsidR="00ED0D64">
        <w:rPr>
          <w:rFonts w:hint="eastAsia"/>
          <w:b/>
        </w:rPr>
        <w:t>之</w:t>
      </w:r>
      <w:r w:rsidR="00ED0D64" w:rsidRPr="00F67540">
        <w:rPr>
          <w:rFonts w:hint="eastAsia"/>
          <w:b/>
        </w:rPr>
        <w:t>量能</w:t>
      </w:r>
      <w:r w:rsidR="00CD046D">
        <w:rPr>
          <w:rFonts w:hint="eastAsia"/>
          <w:b/>
        </w:rPr>
        <w:t>，</w:t>
      </w:r>
      <w:proofErr w:type="gramStart"/>
      <w:r w:rsidR="00CD046D">
        <w:rPr>
          <w:rFonts w:hint="eastAsia"/>
          <w:b/>
        </w:rPr>
        <w:t>庶</w:t>
      </w:r>
      <w:proofErr w:type="gramEnd"/>
      <w:r w:rsidR="00CB18BF">
        <w:rPr>
          <w:rFonts w:hint="eastAsia"/>
          <w:b/>
        </w:rPr>
        <w:t>切合原</w:t>
      </w:r>
      <w:r w:rsidR="003F6388">
        <w:rPr>
          <w:rFonts w:hint="eastAsia"/>
          <w:b/>
        </w:rPr>
        <w:t>規劃</w:t>
      </w:r>
      <w:r w:rsidR="00CB18BF">
        <w:rPr>
          <w:rFonts w:hint="eastAsia"/>
          <w:b/>
        </w:rPr>
        <w:t>此</w:t>
      </w:r>
      <w:r w:rsidR="00CD046D">
        <w:rPr>
          <w:rFonts w:hint="eastAsia"/>
          <w:b/>
        </w:rPr>
        <w:t>計畫</w:t>
      </w:r>
      <w:r w:rsidR="00705897">
        <w:rPr>
          <w:rFonts w:hint="eastAsia"/>
          <w:b/>
        </w:rPr>
        <w:t>目的之</w:t>
      </w:r>
      <w:r w:rsidR="00CD046D">
        <w:rPr>
          <w:rFonts w:hint="eastAsia"/>
          <w:b/>
        </w:rPr>
        <w:t>初衷</w:t>
      </w:r>
      <w:r w:rsidR="00AE2A24" w:rsidRPr="00F67540">
        <w:rPr>
          <w:rFonts w:hint="eastAsia"/>
          <w:b/>
        </w:rPr>
        <w:t>：</w:t>
      </w:r>
    </w:p>
    <w:p w:rsidR="00005AEC" w:rsidRDefault="00AE2A24" w:rsidP="00FD53CA">
      <w:pPr>
        <w:pStyle w:val="3"/>
        <w:ind w:left="1360" w:hanging="680"/>
      </w:pPr>
      <w:r w:rsidRPr="00AE2A24">
        <w:rPr>
          <w:rFonts w:hint="eastAsia"/>
        </w:rPr>
        <w:t>按</w:t>
      </w:r>
      <w:r w:rsidR="00865764" w:rsidRPr="00AE2A24">
        <w:rPr>
          <w:rFonts w:hint="eastAsia"/>
        </w:rPr>
        <w:t>健保署自民國</w:t>
      </w:r>
      <w:r w:rsidR="00865764">
        <w:rPr>
          <w:rFonts w:hint="eastAsia"/>
        </w:rPr>
        <w:t>(下同)</w:t>
      </w:r>
      <w:r w:rsidR="00865764" w:rsidRPr="00AE2A24">
        <w:rPr>
          <w:rFonts w:hint="eastAsia"/>
        </w:rPr>
        <w:t>92年起</w:t>
      </w:r>
      <w:r w:rsidR="00865764">
        <w:rPr>
          <w:rFonts w:hint="eastAsia"/>
        </w:rPr>
        <w:t>便試辦</w:t>
      </w:r>
      <w:r w:rsidR="00865764" w:rsidRPr="00AE2A24">
        <w:rPr>
          <w:rFonts w:hint="eastAsia"/>
        </w:rPr>
        <w:t>「全民健康保險家庭醫師整合性照護計畫」（</w:t>
      </w:r>
      <w:r w:rsidR="00865764">
        <w:rPr>
          <w:rFonts w:hint="eastAsia"/>
        </w:rPr>
        <w:t>下</w:t>
      </w:r>
      <w:r w:rsidR="00865764" w:rsidRPr="00AE2A24">
        <w:rPr>
          <w:rFonts w:hint="eastAsia"/>
        </w:rPr>
        <w:t>稱家</w:t>
      </w:r>
      <w:proofErr w:type="gramStart"/>
      <w:r w:rsidR="00865764" w:rsidRPr="00AE2A24">
        <w:rPr>
          <w:rFonts w:hint="eastAsia"/>
        </w:rPr>
        <w:t>醫</w:t>
      </w:r>
      <w:proofErr w:type="gramEnd"/>
      <w:r w:rsidR="00865764" w:rsidRPr="00AE2A24">
        <w:rPr>
          <w:rFonts w:hint="eastAsia"/>
        </w:rPr>
        <w:t>計畫），期建立家庭醫師制度</w:t>
      </w:r>
      <w:r w:rsidR="00865764">
        <w:rPr>
          <w:rStyle w:val="af5"/>
        </w:rPr>
        <w:footnoteReference w:id="2"/>
      </w:r>
      <w:r w:rsidR="00865764" w:rsidRPr="00AE2A24">
        <w:rPr>
          <w:rFonts w:hint="eastAsia"/>
        </w:rPr>
        <w:t>，提供民眾周全性、協調性與持續性之醫療照護服務，</w:t>
      </w:r>
      <w:r w:rsidR="00865764">
        <w:rPr>
          <w:rFonts w:hint="eastAsia"/>
        </w:rPr>
        <w:t>而</w:t>
      </w:r>
      <w:r w:rsidR="00865764" w:rsidRPr="00AE2A24">
        <w:rPr>
          <w:rFonts w:hint="eastAsia"/>
        </w:rPr>
        <w:t xml:space="preserve"> </w:t>
      </w:r>
      <w:r w:rsidRPr="00AE2A24">
        <w:rPr>
          <w:rFonts w:hint="eastAsia"/>
        </w:rPr>
        <w:t>100年1月26日修正之全民健康保險法</w:t>
      </w:r>
      <w:r w:rsidR="00705897" w:rsidRPr="00AE2A24">
        <w:rPr>
          <w:rFonts w:hint="eastAsia"/>
        </w:rPr>
        <w:t>（</w:t>
      </w:r>
      <w:r w:rsidR="00705897">
        <w:rPr>
          <w:rFonts w:hint="eastAsia"/>
        </w:rPr>
        <w:t>下</w:t>
      </w:r>
      <w:r w:rsidR="00705897" w:rsidRPr="00AE2A24">
        <w:rPr>
          <w:rFonts w:hint="eastAsia"/>
        </w:rPr>
        <w:t>稱健保法）</w:t>
      </w:r>
      <w:r w:rsidRPr="00AE2A24">
        <w:rPr>
          <w:rFonts w:hint="eastAsia"/>
        </w:rPr>
        <w:t>第44條</w:t>
      </w:r>
      <w:r w:rsidR="00865764">
        <w:rPr>
          <w:rStyle w:val="af5"/>
        </w:rPr>
        <w:footnoteReference w:id="3"/>
      </w:r>
      <w:r w:rsidRPr="00AE2A24">
        <w:rPr>
          <w:rFonts w:hint="eastAsia"/>
        </w:rPr>
        <w:t>明定，保險人應訂定家庭責任醫師制度，</w:t>
      </w:r>
      <w:r w:rsidR="00865764">
        <w:rPr>
          <w:rFonts w:hint="eastAsia"/>
        </w:rPr>
        <w:t>更</w:t>
      </w:r>
      <w:r w:rsidRPr="00AE2A24">
        <w:rPr>
          <w:rFonts w:hint="eastAsia"/>
        </w:rPr>
        <w:t>指明我國</w:t>
      </w:r>
      <w:r w:rsidR="005A6016">
        <w:rPr>
          <w:rFonts w:hint="eastAsia"/>
        </w:rPr>
        <w:t>初級</w:t>
      </w:r>
      <w:r w:rsidRPr="00AE2A24">
        <w:rPr>
          <w:rFonts w:hint="eastAsia"/>
        </w:rPr>
        <w:t>醫療照護</w:t>
      </w:r>
      <w:r w:rsidR="005A6016">
        <w:rPr>
          <w:rFonts w:hint="eastAsia"/>
        </w:rPr>
        <w:t>工作必須</w:t>
      </w:r>
      <w:r w:rsidRPr="00AE2A24">
        <w:rPr>
          <w:rFonts w:hint="eastAsia"/>
        </w:rPr>
        <w:t>朝向社區基層體系之方向</w:t>
      </w:r>
      <w:r w:rsidR="005A6016" w:rsidRPr="00AE2A24">
        <w:rPr>
          <w:rFonts w:hint="eastAsia"/>
        </w:rPr>
        <w:t>發展</w:t>
      </w:r>
      <w:r w:rsidRPr="00AE2A24">
        <w:rPr>
          <w:rFonts w:hint="eastAsia"/>
        </w:rPr>
        <w:t>。</w:t>
      </w:r>
      <w:r w:rsidR="00CB18BF">
        <w:rPr>
          <w:rFonts w:hint="eastAsia"/>
        </w:rPr>
        <w:t>而</w:t>
      </w:r>
      <w:r w:rsidR="003F6388">
        <w:rPr>
          <w:rFonts w:hint="eastAsia"/>
        </w:rPr>
        <w:t>原規劃</w:t>
      </w:r>
      <w:r w:rsidR="00CB18BF">
        <w:rPr>
          <w:rFonts w:hint="eastAsia"/>
        </w:rPr>
        <w:t>實施</w:t>
      </w:r>
      <w:r w:rsidR="00CB18BF" w:rsidRPr="00AE2A24">
        <w:rPr>
          <w:rFonts w:hint="eastAsia"/>
        </w:rPr>
        <w:t>家</w:t>
      </w:r>
      <w:proofErr w:type="gramStart"/>
      <w:r w:rsidR="00CB18BF" w:rsidRPr="00AE2A24">
        <w:rPr>
          <w:rFonts w:hint="eastAsia"/>
        </w:rPr>
        <w:t>醫</w:t>
      </w:r>
      <w:proofErr w:type="gramEnd"/>
      <w:r w:rsidR="00CB18BF" w:rsidRPr="00AE2A24">
        <w:rPr>
          <w:rFonts w:hint="eastAsia"/>
        </w:rPr>
        <w:t>計畫</w:t>
      </w:r>
      <w:r w:rsidR="00CB18BF">
        <w:rPr>
          <w:rFonts w:hint="eastAsia"/>
        </w:rPr>
        <w:t>之目的有</w:t>
      </w:r>
      <w:proofErr w:type="gramStart"/>
      <w:r w:rsidR="00CB18BF">
        <w:rPr>
          <w:rFonts w:hint="eastAsia"/>
        </w:rPr>
        <w:t>三</w:t>
      </w:r>
      <w:proofErr w:type="gramEnd"/>
      <w:r w:rsidR="00CB18BF">
        <w:rPr>
          <w:rFonts w:hint="eastAsia"/>
        </w:rPr>
        <w:t>：</w:t>
      </w:r>
    </w:p>
    <w:p w:rsidR="00CB18BF" w:rsidRDefault="003F6388" w:rsidP="003F6388">
      <w:pPr>
        <w:pStyle w:val="4"/>
        <w:ind w:left="1700" w:hanging="680"/>
      </w:pPr>
      <w:r w:rsidRPr="00AE2A24">
        <w:rPr>
          <w:rFonts w:hint="eastAsia"/>
        </w:rPr>
        <w:t>建立家庭醫師制度</w:t>
      </w:r>
      <w:r>
        <w:rPr>
          <w:rFonts w:hint="eastAsia"/>
        </w:rPr>
        <w:t>：</w:t>
      </w:r>
      <w:r w:rsidRPr="003F6388">
        <w:rPr>
          <w:rFonts w:hint="eastAsia"/>
        </w:rPr>
        <w:t>提供</w:t>
      </w:r>
      <w:r>
        <w:rPr>
          <w:rFonts w:hint="eastAsia"/>
        </w:rPr>
        <w:t>民眾周全性</w:t>
      </w:r>
      <w:r w:rsidRPr="003F6388">
        <w:rPr>
          <w:rFonts w:hint="eastAsia"/>
        </w:rPr>
        <w:t>、</w:t>
      </w:r>
      <w:r>
        <w:rPr>
          <w:rFonts w:hint="eastAsia"/>
        </w:rPr>
        <w:t>協調性</w:t>
      </w:r>
      <w:r w:rsidRPr="003F6388">
        <w:rPr>
          <w:rFonts w:hint="eastAsia"/>
        </w:rPr>
        <w:t>與持續性之醫療照護。</w:t>
      </w:r>
    </w:p>
    <w:p w:rsidR="003F6388" w:rsidRDefault="003F6388" w:rsidP="003F6388">
      <w:pPr>
        <w:pStyle w:val="4"/>
        <w:ind w:left="1700" w:hanging="680"/>
      </w:pPr>
      <w:r>
        <w:rPr>
          <w:rFonts w:hint="eastAsia"/>
        </w:rPr>
        <w:t>建立以病人為中心的醫療觀念：以民眾健康為導</w:t>
      </w:r>
      <w:r>
        <w:rPr>
          <w:rFonts w:hint="eastAsia"/>
        </w:rPr>
        <w:lastRenderedPageBreak/>
        <w:t>向，提升醫療品質。</w:t>
      </w:r>
    </w:p>
    <w:p w:rsidR="003F6388" w:rsidRDefault="003F6388" w:rsidP="003F6388">
      <w:pPr>
        <w:pStyle w:val="4"/>
        <w:ind w:left="1700" w:hanging="680"/>
      </w:pPr>
      <w:r>
        <w:rPr>
          <w:rFonts w:hint="eastAsia"/>
        </w:rPr>
        <w:t>奠定「</w:t>
      </w:r>
      <w:r w:rsidRPr="00AE2A24">
        <w:rPr>
          <w:rFonts w:hint="eastAsia"/>
        </w:rPr>
        <w:t>家庭責任醫師制度</w:t>
      </w:r>
      <w:r>
        <w:rPr>
          <w:rFonts w:hint="eastAsia"/>
        </w:rPr>
        <w:t>」基礎。</w:t>
      </w:r>
    </w:p>
    <w:p w:rsidR="00AE2A24" w:rsidRDefault="00836067" w:rsidP="00FD53CA">
      <w:pPr>
        <w:pStyle w:val="3"/>
        <w:ind w:left="1360" w:hanging="680"/>
      </w:pPr>
      <w:r>
        <w:rPr>
          <w:rFonts w:hint="eastAsia"/>
        </w:rPr>
        <w:t>依</w:t>
      </w:r>
      <w:r w:rsidR="00AF6468">
        <w:rPr>
          <w:rFonts w:hint="eastAsia"/>
        </w:rPr>
        <w:t>據健保署統計，</w:t>
      </w:r>
      <w:r w:rsidR="00AE2A24" w:rsidRPr="00AE2A24">
        <w:rPr>
          <w:rFonts w:hint="eastAsia"/>
        </w:rPr>
        <w:t>9</w:t>
      </w:r>
      <w:r w:rsidR="00AF6468">
        <w:rPr>
          <w:rFonts w:hint="eastAsia"/>
        </w:rPr>
        <w:t>2</w:t>
      </w:r>
      <w:r w:rsidR="00AE2A24" w:rsidRPr="00AE2A24">
        <w:rPr>
          <w:rFonts w:hint="eastAsia"/>
        </w:rPr>
        <w:t>至10</w:t>
      </w:r>
      <w:r w:rsidR="00AF6468">
        <w:rPr>
          <w:rFonts w:hint="eastAsia"/>
        </w:rPr>
        <w:t>5</w:t>
      </w:r>
      <w:r w:rsidR="00AE2A24" w:rsidRPr="00AE2A24">
        <w:rPr>
          <w:rFonts w:hint="eastAsia"/>
        </w:rPr>
        <w:t>年度累計</w:t>
      </w:r>
      <w:r w:rsidR="008E7731">
        <w:rPr>
          <w:rFonts w:hint="eastAsia"/>
        </w:rPr>
        <w:t>約</w:t>
      </w:r>
      <w:r w:rsidR="00AE2A24" w:rsidRPr="00AE2A24">
        <w:rPr>
          <w:rFonts w:hint="eastAsia"/>
        </w:rPr>
        <w:t>支用</w:t>
      </w:r>
      <w:r w:rsidR="00460043" w:rsidRPr="008E7731">
        <w:rPr>
          <w:rFonts w:hint="eastAsia"/>
          <w:color w:val="000000" w:themeColor="text1"/>
        </w:rPr>
        <w:t>1</w:t>
      </w:r>
      <w:r w:rsidR="00AF6468" w:rsidRPr="008E7731">
        <w:rPr>
          <w:rFonts w:hint="eastAsia"/>
          <w:color w:val="000000" w:themeColor="text1"/>
        </w:rPr>
        <w:t>1</w:t>
      </w:r>
      <w:r w:rsidR="008E7731">
        <w:rPr>
          <w:rFonts w:hint="eastAsia"/>
          <w:color w:val="000000" w:themeColor="text1"/>
        </w:rPr>
        <w:t>3</w:t>
      </w:r>
      <w:r w:rsidR="00AE2A24" w:rsidRPr="00AE2A24">
        <w:rPr>
          <w:rFonts w:hint="eastAsia"/>
        </w:rPr>
        <w:t>億元，計已成立社區醫療群4</w:t>
      </w:r>
      <w:r w:rsidR="00890C50">
        <w:rPr>
          <w:rFonts w:hint="eastAsia"/>
        </w:rPr>
        <w:t>14</w:t>
      </w:r>
      <w:r w:rsidR="00AE2A24" w:rsidRPr="00AE2A24">
        <w:rPr>
          <w:rFonts w:hint="eastAsia"/>
        </w:rPr>
        <w:t>群，參與診所3,05</w:t>
      </w:r>
      <w:r w:rsidR="00890C50">
        <w:rPr>
          <w:rFonts w:hint="eastAsia"/>
        </w:rPr>
        <w:t>7</w:t>
      </w:r>
      <w:r w:rsidR="00AE2A24" w:rsidRPr="00AE2A24">
        <w:rPr>
          <w:rFonts w:hint="eastAsia"/>
        </w:rPr>
        <w:t>家，</w:t>
      </w:r>
      <w:proofErr w:type="gramStart"/>
      <w:r w:rsidR="00AE2A24" w:rsidRPr="00AE2A24">
        <w:rPr>
          <w:rFonts w:hint="eastAsia"/>
        </w:rPr>
        <w:t>收案照護</w:t>
      </w:r>
      <w:proofErr w:type="gramEnd"/>
      <w:r w:rsidR="00AE2A24" w:rsidRPr="00AE2A24">
        <w:rPr>
          <w:rFonts w:hint="eastAsia"/>
        </w:rPr>
        <w:t>2</w:t>
      </w:r>
      <w:r w:rsidR="00A2239D">
        <w:rPr>
          <w:rFonts w:hint="eastAsia"/>
        </w:rPr>
        <w:t>,</w:t>
      </w:r>
      <w:r w:rsidR="00DF740C">
        <w:rPr>
          <w:rFonts w:hint="eastAsia"/>
        </w:rPr>
        <w:t>60</w:t>
      </w:r>
      <w:r w:rsidR="00A2239D">
        <w:rPr>
          <w:rFonts w:hint="eastAsia"/>
        </w:rPr>
        <w:t>3,757</w:t>
      </w:r>
      <w:r w:rsidR="00AE2A24" w:rsidRPr="00AE2A24">
        <w:rPr>
          <w:rFonts w:hint="eastAsia"/>
        </w:rPr>
        <w:t>人</w:t>
      </w:r>
      <w:r w:rsidR="00890C50">
        <w:rPr>
          <w:rFonts w:hint="eastAsia"/>
        </w:rPr>
        <w:t>(如附表)。</w:t>
      </w:r>
    </w:p>
    <w:p w:rsidR="008E7731" w:rsidRDefault="00AE2A24" w:rsidP="00AF6468">
      <w:pPr>
        <w:pStyle w:val="4"/>
        <w:ind w:left="1700" w:hanging="680"/>
      </w:pPr>
      <w:r>
        <w:rPr>
          <w:rFonts w:hint="eastAsia"/>
        </w:rPr>
        <w:t>家</w:t>
      </w:r>
      <w:proofErr w:type="gramStart"/>
      <w:r>
        <w:rPr>
          <w:rFonts w:hint="eastAsia"/>
        </w:rPr>
        <w:t>醫</w:t>
      </w:r>
      <w:proofErr w:type="gramEnd"/>
      <w:r>
        <w:rPr>
          <w:rFonts w:hint="eastAsia"/>
        </w:rPr>
        <w:t>計畫於</w:t>
      </w:r>
      <w:r w:rsidR="00AF6468">
        <w:rPr>
          <w:rFonts w:hint="eastAsia"/>
        </w:rPr>
        <w:t>100</w:t>
      </w:r>
      <w:r>
        <w:rPr>
          <w:rFonts w:hint="eastAsia"/>
        </w:rPr>
        <w:t>至10</w:t>
      </w:r>
      <w:r w:rsidR="00AF6468">
        <w:rPr>
          <w:rFonts w:hint="eastAsia"/>
        </w:rPr>
        <w:t>5</w:t>
      </w:r>
      <w:r>
        <w:rPr>
          <w:rFonts w:hint="eastAsia"/>
        </w:rPr>
        <w:t>年間，社區醫療群</w:t>
      </w:r>
      <w:r w:rsidR="00534AF2">
        <w:rPr>
          <w:rStyle w:val="af5"/>
        </w:rPr>
        <w:footnoteReference w:id="4"/>
      </w:r>
      <w:r>
        <w:rPr>
          <w:rFonts w:hint="eastAsia"/>
        </w:rPr>
        <w:t>由3</w:t>
      </w:r>
      <w:r w:rsidR="00AF6468">
        <w:rPr>
          <w:rFonts w:hint="eastAsia"/>
        </w:rPr>
        <w:t>73</w:t>
      </w:r>
      <w:r>
        <w:rPr>
          <w:rFonts w:hint="eastAsia"/>
        </w:rPr>
        <w:t>群增至4</w:t>
      </w:r>
      <w:r w:rsidR="00AF6468">
        <w:rPr>
          <w:rFonts w:hint="eastAsia"/>
        </w:rPr>
        <w:t>14</w:t>
      </w:r>
      <w:r>
        <w:rPr>
          <w:rFonts w:hint="eastAsia"/>
        </w:rPr>
        <w:t>群，參與診所家數由2,</w:t>
      </w:r>
      <w:r w:rsidR="00AF6468">
        <w:rPr>
          <w:rFonts w:hint="eastAsia"/>
        </w:rPr>
        <w:t>257</w:t>
      </w:r>
      <w:r>
        <w:rPr>
          <w:rFonts w:hint="eastAsia"/>
        </w:rPr>
        <w:t>家增至3,05</w:t>
      </w:r>
      <w:r w:rsidR="00AF6468">
        <w:rPr>
          <w:rFonts w:hint="eastAsia"/>
        </w:rPr>
        <w:t>7</w:t>
      </w:r>
      <w:r>
        <w:rPr>
          <w:rFonts w:hint="eastAsia"/>
        </w:rPr>
        <w:t>家，收案人數則由1</w:t>
      </w:r>
      <w:r w:rsidR="00AF6468">
        <w:rPr>
          <w:rFonts w:hint="eastAsia"/>
        </w:rPr>
        <w:t>44</w:t>
      </w:r>
      <w:r>
        <w:rPr>
          <w:rFonts w:hint="eastAsia"/>
        </w:rPr>
        <w:t>萬餘人增至2</w:t>
      </w:r>
      <w:r w:rsidR="00AF6468">
        <w:rPr>
          <w:rFonts w:hint="eastAsia"/>
        </w:rPr>
        <w:t>60</w:t>
      </w:r>
      <w:r>
        <w:rPr>
          <w:rFonts w:hint="eastAsia"/>
        </w:rPr>
        <w:t>萬餘人，漸有成長，惟參與診所占西醫診所家數之比率仍未突破</w:t>
      </w:r>
      <w:proofErr w:type="gramStart"/>
      <w:r>
        <w:rPr>
          <w:rFonts w:hint="eastAsia"/>
        </w:rPr>
        <w:t>3成</w:t>
      </w:r>
      <w:proofErr w:type="gramEnd"/>
      <w:r>
        <w:rPr>
          <w:rFonts w:hint="eastAsia"/>
        </w:rPr>
        <w:t>，收案人數</w:t>
      </w:r>
      <w:proofErr w:type="gramStart"/>
      <w:r>
        <w:rPr>
          <w:rFonts w:hint="eastAsia"/>
        </w:rPr>
        <w:t>占總納保人</w:t>
      </w:r>
      <w:proofErr w:type="gramEnd"/>
      <w:r>
        <w:rPr>
          <w:rFonts w:hint="eastAsia"/>
        </w:rPr>
        <w:t>數之比率更僅</w:t>
      </w:r>
      <w:r w:rsidR="008E7731">
        <w:rPr>
          <w:rFonts w:hint="eastAsia"/>
        </w:rPr>
        <w:t>1</w:t>
      </w:r>
      <w:r>
        <w:rPr>
          <w:rFonts w:hint="eastAsia"/>
        </w:rPr>
        <w:t>1</w:t>
      </w:r>
      <w:r w:rsidR="008E7731">
        <w:rPr>
          <w:rFonts w:hint="eastAsia"/>
        </w:rPr>
        <w:t>.1</w:t>
      </w:r>
      <w:r w:rsidR="00A778B6">
        <w:rPr>
          <w:rFonts w:hint="eastAsia"/>
        </w:rPr>
        <w:t>％</w:t>
      </w:r>
      <w:r>
        <w:rPr>
          <w:rFonts w:hint="eastAsia"/>
        </w:rPr>
        <w:t>，涵蓋率仍有大幅成長空間</w:t>
      </w:r>
      <w:r w:rsidR="00B960E6">
        <w:rPr>
          <w:rFonts w:hint="eastAsia"/>
        </w:rPr>
        <w:t>。</w:t>
      </w:r>
    </w:p>
    <w:p w:rsidR="00AE2A24" w:rsidRDefault="00AE2A24" w:rsidP="00AF6468">
      <w:pPr>
        <w:pStyle w:val="4"/>
        <w:ind w:left="1700" w:hanging="680"/>
      </w:pPr>
      <w:r>
        <w:rPr>
          <w:rFonts w:hint="eastAsia"/>
        </w:rPr>
        <w:t>家</w:t>
      </w:r>
      <w:proofErr w:type="gramStart"/>
      <w:r>
        <w:rPr>
          <w:rFonts w:hint="eastAsia"/>
        </w:rPr>
        <w:t>醫</w:t>
      </w:r>
      <w:proofErr w:type="gramEnd"/>
      <w:r>
        <w:rPr>
          <w:rFonts w:hint="eastAsia"/>
        </w:rPr>
        <w:t>計畫預算雖由93年度之6億餘元，增至</w:t>
      </w:r>
      <w:proofErr w:type="gramStart"/>
      <w:r w:rsidR="00F56009">
        <w:rPr>
          <w:rFonts w:hint="eastAsia"/>
        </w:rPr>
        <w:t>10</w:t>
      </w:r>
      <w:r w:rsidR="008E7731">
        <w:rPr>
          <w:rFonts w:hint="eastAsia"/>
        </w:rPr>
        <w:t>5</w:t>
      </w:r>
      <w:proofErr w:type="gramEnd"/>
      <w:r>
        <w:rPr>
          <w:rFonts w:hint="eastAsia"/>
        </w:rPr>
        <w:t>年度之11</w:t>
      </w:r>
      <w:r w:rsidR="008E7731">
        <w:rPr>
          <w:rFonts w:hint="eastAsia"/>
        </w:rPr>
        <w:t>.8</w:t>
      </w:r>
      <w:r>
        <w:rPr>
          <w:rFonts w:hint="eastAsia"/>
        </w:rPr>
        <w:t>億元，</w:t>
      </w:r>
      <w:proofErr w:type="gramStart"/>
      <w:r>
        <w:rPr>
          <w:rFonts w:hint="eastAsia"/>
        </w:rPr>
        <w:t>然近年度</w:t>
      </w:r>
      <w:proofErr w:type="gramEnd"/>
      <w:r>
        <w:rPr>
          <w:rFonts w:hint="eastAsia"/>
        </w:rPr>
        <w:t>預算執行率幾近100％，經費運用空間</w:t>
      </w:r>
      <w:r w:rsidR="00144A76">
        <w:rPr>
          <w:rFonts w:hint="eastAsia"/>
        </w:rPr>
        <w:t>堪稱</w:t>
      </w:r>
      <w:r>
        <w:rPr>
          <w:rFonts w:hint="eastAsia"/>
        </w:rPr>
        <w:t>已達極限。</w:t>
      </w:r>
    </w:p>
    <w:p w:rsidR="009048FE" w:rsidRDefault="009048FE" w:rsidP="009048FE">
      <w:pPr>
        <w:pStyle w:val="4"/>
        <w:ind w:left="1700" w:hanging="680"/>
      </w:pPr>
      <w:r>
        <w:rPr>
          <w:rFonts w:hint="eastAsia"/>
        </w:rPr>
        <w:t>在10</w:t>
      </w:r>
      <w:r w:rsidR="008E7731">
        <w:rPr>
          <w:rFonts w:hint="eastAsia"/>
        </w:rPr>
        <w:t>5</w:t>
      </w:r>
      <w:r>
        <w:rPr>
          <w:rFonts w:hint="eastAsia"/>
        </w:rPr>
        <w:t>年加入</w:t>
      </w:r>
      <w:r w:rsidR="00D95E4C">
        <w:rPr>
          <w:rFonts w:hint="eastAsia"/>
        </w:rPr>
        <w:t>家</w:t>
      </w:r>
      <w:proofErr w:type="gramStart"/>
      <w:r w:rsidR="00D95E4C">
        <w:rPr>
          <w:rFonts w:hint="eastAsia"/>
        </w:rPr>
        <w:t>醫</w:t>
      </w:r>
      <w:proofErr w:type="gramEnd"/>
      <w:r w:rsidR="00D95E4C">
        <w:rPr>
          <w:rFonts w:hint="eastAsia"/>
        </w:rPr>
        <w:t>計畫</w:t>
      </w:r>
      <w:r>
        <w:rPr>
          <w:rFonts w:hint="eastAsia"/>
        </w:rPr>
        <w:t>的診所數目約</w:t>
      </w:r>
      <w:r w:rsidR="008E7731">
        <w:rPr>
          <w:rFonts w:hint="eastAsia"/>
        </w:rPr>
        <w:t>占</w:t>
      </w:r>
      <w:r>
        <w:rPr>
          <w:rFonts w:hint="eastAsia"/>
        </w:rPr>
        <w:t>全部診所數的2</w:t>
      </w:r>
      <w:r w:rsidR="008E7731">
        <w:rPr>
          <w:rFonts w:hint="eastAsia"/>
        </w:rPr>
        <w:t>9</w:t>
      </w:r>
      <w:r>
        <w:rPr>
          <w:rFonts w:hint="eastAsia"/>
        </w:rPr>
        <w:t>.</w:t>
      </w:r>
      <w:r w:rsidR="008E7731">
        <w:rPr>
          <w:rFonts w:hint="eastAsia"/>
        </w:rPr>
        <w:t>9</w:t>
      </w:r>
      <w:r w:rsidR="00A778B6">
        <w:rPr>
          <w:rFonts w:hint="eastAsia"/>
        </w:rPr>
        <w:t>％</w:t>
      </w:r>
      <w:r>
        <w:rPr>
          <w:rFonts w:hint="eastAsia"/>
        </w:rPr>
        <w:t>，</w:t>
      </w:r>
      <w:proofErr w:type="gramStart"/>
      <w:r>
        <w:rPr>
          <w:rFonts w:hint="eastAsia"/>
        </w:rPr>
        <w:t>收案照護</w:t>
      </w:r>
      <w:proofErr w:type="gramEnd"/>
      <w:r>
        <w:rPr>
          <w:rFonts w:hint="eastAsia"/>
        </w:rPr>
        <w:t>對象約僅</w:t>
      </w:r>
      <w:r w:rsidR="008E7731">
        <w:rPr>
          <w:rFonts w:hint="eastAsia"/>
        </w:rPr>
        <w:t>占</w:t>
      </w:r>
      <w:r>
        <w:rPr>
          <w:rFonts w:hint="eastAsia"/>
        </w:rPr>
        <w:t>需要照護對象的4</w:t>
      </w:r>
      <w:r w:rsidR="008E7731">
        <w:rPr>
          <w:rFonts w:hint="eastAsia"/>
        </w:rPr>
        <w:t>7.2</w:t>
      </w:r>
      <w:r w:rsidR="00A778B6">
        <w:rPr>
          <w:rFonts w:hint="eastAsia"/>
        </w:rPr>
        <w:t>％</w:t>
      </w:r>
      <w:r>
        <w:rPr>
          <w:rFonts w:hint="eastAsia"/>
        </w:rPr>
        <w:t>，會被健保篩選進入這個照護系統的病人多為此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社區內，一年固定看診次數比</w:t>
      </w:r>
      <w:r w:rsidR="00144A76">
        <w:rPr>
          <w:rFonts w:hint="eastAsia"/>
        </w:rPr>
        <w:t>率</w:t>
      </w:r>
      <w:r>
        <w:rPr>
          <w:rFonts w:hint="eastAsia"/>
        </w:rPr>
        <w:t>較高的忠誠病人，或是社區內的慢性病患等較需要照護的族群，但</w:t>
      </w:r>
      <w:proofErr w:type="gramStart"/>
      <w:r>
        <w:rPr>
          <w:rFonts w:hint="eastAsia"/>
        </w:rPr>
        <w:t>收案照護</w:t>
      </w:r>
      <w:proofErr w:type="gramEnd"/>
      <w:r>
        <w:rPr>
          <w:rFonts w:hint="eastAsia"/>
        </w:rPr>
        <w:t>對象的增加卻</w:t>
      </w:r>
      <w:r w:rsidR="00144A76">
        <w:rPr>
          <w:rFonts w:hint="eastAsia"/>
        </w:rPr>
        <w:t>仍未達</w:t>
      </w:r>
      <w:r w:rsidR="001034E1">
        <w:rPr>
          <w:rFonts w:hint="eastAsia"/>
        </w:rPr>
        <w:t>需要照護對象的</w:t>
      </w:r>
      <w:r w:rsidR="00144A76">
        <w:rPr>
          <w:rFonts w:hint="eastAsia"/>
        </w:rPr>
        <w:t>半數</w:t>
      </w:r>
      <w:r>
        <w:rPr>
          <w:rFonts w:hint="eastAsia"/>
        </w:rPr>
        <w:t>。</w:t>
      </w:r>
    </w:p>
    <w:p w:rsidR="00836067" w:rsidRDefault="00836067" w:rsidP="00836067">
      <w:pPr>
        <w:pStyle w:val="3"/>
        <w:ind w:left="1360" w:hanging="680"/>
      </w:pPr>
      <w:r>
        <w:rPr>
          <w:rFonts w:hint="eastAsia"/>
        </w:rPr>
        <w:t>又據健保署</w:t>
      </w:r>
      <w:proofErr w:type="gramStart"/>
      <w:r>
        <w:rPr>
          <w:rFonts w:hint="eastAsia"/>
        </w:rPr>
        <w:t>查復本院</w:t>
      </w:r>
      <w:proofErr w:type="gramEnd"/>
      <w:r>
        <w:rPr>
          <w:rFonts w:hint="eastAsia"/>
        </w:rPr>
        <w:t>指出，推動家</w:t>
      </w:r>
      <w:proofErr w:type="gramStart"/>
      <w:r>
        <w:rPr>
          <w:rFonts w:hint="eastAsia"/>
        </w:rPr>
        <w:t>醫</w:t>
      </w:r>
      <w:proofErr w:type="gramEnd"/>
      <w:r w:rsidRPr="00AE2A24">
        <w:rPr>
          <w:rFonts w:hint="eastAsia"/>
        </w:rPr>
        <w:t>計畫</w:t>
      </w:r>
      <w:r>
        <w:rPr>
          <w:rFonts w:hint="eastAsia"/>
        </w:rPr>
        <w:t>迄今已獲致若干成效，惟本院發現尚有亟待加強改善之處。</w:t>
      </w:r>
    </w:p>
    <w:p w:rsidR="00836067" w:rsidRDefault="00836067" w:rsidP="00836067">
      <w:pPr>
        <w:pStyle w:val="4"/>
        <w:ind w:left="1700" w:hanging="680"/>
      </w:pPr>
      <w:r w:rsidRPr="00A265D6">
        <w:rPr>
          <w:rFonts w:hint="eastAsia"/>
        </w:rPr>
        <w:t>本計畫專款專用提升基層品質，每年定期接受</w:t>
      </w:r>
      <w:r w:rsidRPr="00AE2A24">
        <w:rPr>
          <w:rFonts w:hint="eastAsia"/>
        </w:rPr>
        <w:t>全民健康保險</w:t>
      </w:r>
      <w:r w:rsidRPr="00A265D6">
        <w:rPr>
          <w:rFonts w:hint="eastAsia"/>
        </w:rPr>
        <w:t>會評核成效，並依協商結果決定專款預算，每年依各界要求與建議修訂計畫。</w:t>
      </w:r>
      <w:r>
        <w:rPr>
          <w:rFonts w:hint="eastAsia"/>
        </w:rPr>
        <w:t>以105</w:t>
      </w:r>
      <w:r w:rsidRPr="00A265D6">
        <w:rPr>
          <w:rFonts w:hint="eastAsia"/>
        </w:rPr>
        <w:t>年專款預算</w:t>
      </w:r>
      <w:r w:rsidR="00743AE9">
        <w:rPr>
          <w:rFonts w:hint="eastAsia"/>
        </w:rPr>
        <w:t>新臺幣</w:t>
      </w:r>
      <w:r w:rsidRPr="00A265D6">
        <w:rPr>
          <w:rFonts w:hint="eastAsia"/>
        </w:rPr>
        <w:t>(</w:t>
      </w:r>
      <w:r>
        <w:rPr>
          <w:rFonts w:hint="eastAsia"/>
        </w:rPr>
        <w:t>下同)</w:t>
      </w:r>
      <w:r w:rsidRPr="00A265D6">
        <w:rPr>
          <w:rFonts w:hint="eastAsia"/>
        </w:rPr>
        <w:t>11.8億</w:t>
      </w:r>
      <w:r>
        <w:rPr>
          <w:rFonts w:hint="eastAsia"/>
        </w:rPr>
        <w:t>元</w:t>
      </w:r>
      <w:r w:rsidRPr="00A265D6">
        <w:rPr>
          <w:rFonts w:hint="eastAsia"/>
        </w:rPr>
        <w:t>占</w:t>
      </w:r>
      <w:r>
        <w:rPr>
          <w:rFonts w:hint="eastAsia"/>
        </w:rPr>
        <w:t>當年</w:t>
      </w:r>
      <w:r w:rsidRPr="00A265D6">
        <w:rPr>
          <w:rFonts w:hint="eastAsia"/>
        </w:rPr>
        <w:t>西醫基層總額1</w:t>
      </w:r>
      <w:r>
        <w:rPr>
          <w:rFonts w:hint="eastAsia"/>
        </w:rPr>
        <w:t>,</w:t>
      </w:r>
      <w:r w:rsidRPr="00A265D6">
        <w:rPr>
          <w:rFonts w:hint="eastAsia"/>
        </w:rPr>
        <w:t>069億</w:t>
      </w:r>
      <w:r>
        <w:rPr>
          <w:rFonts w:hint="eastAsia"/>
        </w:rPr>
        <w:t>元</w:t>
      </w:r>
      <w:r w:rsidRPr="00A265D6">
        <w:rPr>
          <w:rFonts w:hint="eastAsia"/>
        </w:rPr>
        <w:t>之預算約1</w:t>
      </w:r>
      <w:r>
        <w:rPr>
          <w:rFonts w:hint="eastAsia"/>
        </w:rPr>
        <w:t>％</w:t>
      </w:r>
      <w:r w:rsidRPr="00A265D6">
        <w:rPr>
          <w:rFonts w:hint="eastAsia"/>
        </w:rPr>
        <w:t>，平均</w:t>
      </w:r>
      <w:proofErr w:type="gramStart"/>
      <w:r w:rsidRPr="00A265D6">
        <w:rPr>
          <w:rFonts w:hint="eastAsia"/>
        </w:rPr>
        <w:t>每位收</w:t>
      </w:r>
      <w:r w:rsidRPr="00A265D6">
        <w:rPr>
          <w:rFonts w:hint="eastAsia"/>
        </w:rPr>
        <w:lastRenderedPageBreak/>
        <w:t>案</w:t>
      </w:r>
      <w:proofErr w:type="gramEnd"/>
      <w:r w:rsidRPr="00A265D6">
        <w:rPr>
          <w:rFonts w:hint="eastAsia"/>
        </w:rPr>
        <w:t>者預算453元(11.8億元/250萬人)。</w:t>
      </w:r>
    </w:p>
    <w:p w:rsidR="00836067" w:rsidRDefault="00836067" w:rsidP="00836067">
      <w:pPr>
        <w:pStyle w:val="4"/>
        <w:ind w:left="1700" w:hanging="680"/>
      </w:pPr>
      <w:r>
        <w:rPr>
          <w:rFonts w:hint="eastAsia"/>
        </w:rPr>
        <w:t>家</w:t>
      </w:r>
      <w:proofErr w:type="gramStart"/>
      <w:r>
        <w:rPr>
          <w:rFonts w:hint="eastAsia"/>
        </w:rPr>
        <w:t>醫</w:t>
      </w:r>
      <w:proofErr w:type="gramEnd"/>
      <w:r w:rsidRPr="00AE2A24">
        <w:rPr>
          <w:rFonts w:hint="eastAsia"/>
        </w:rPr>
        <w:t>計畫</w:t>
      </w:r>
      <w:r w:rsidRPr="00A265D6">
        <w:rPr>
          <w:rFonts w:hint="eastAsia"/>
        </w:rPr>
        <w:t>推動多年已建立之基礎，包括提供個案管理及衛教、預防保健執行率高、會員滿意度高(85.5</w:t>
      </w:r>
      <w:r>
        <w:rPr>
          <w:rFonts w:hint="eastAsia"/>
        </w:rPr>
        <w:t>％</w:t>
      </w:r>
      <w:r w:rsidRPr="00A265D6">
        <w:rPr>
          <w:rFonts w:hint="eastAsia"/>
        </w:rPr>
        <w:t>)、促進醫院與診所合作、</w:t>
      </w:r>
      <w:proofErr w:type="gramStart"/>
      <w:r>
        <w:rPr>
          <w:rFonts w:hint="eastAsia"/>
        </w:rPr>
        <w:t>104</w:t>
      </w:r>
      <w:proofErr w:type="gramEnd"/>
      <w:r>
        <w:rPr>
          <w:rFonts w:hint="eastAsia"/>
        </w:rPr>
        <w:t>年度</w:t>
      </w:r>
      <w:r w:rsidRPr="00A265D6">
        <w:rPr>
          <w:rFonts w:hint="eastAsia"/>
        </w:rPr>
        <w:t>提供24小時就醫諮詢專線</w:t>
      </w:r>
      <w:r>
        <w:rPr>
          <w:rFonts w:hint="eastAsia"/>
        </w:rPr>
        <w:t>34,021通</w:t>
      </w:r>
      <w:r w:rsidRPr="00A265D6">
        <w:rPr>
          <w:rFonts w:hint="eastAsia"/>
        </w:rPr>
        <w:t>、提供收案者就醫便利措施等，當有達成重視社區基層醫療實施目的。</w:t>
      </w:r>
    </w:p>
    <w:p w:rsidR="00836067" w:rsidRDefault="00836067" w:rsidP="00836067">
      <w:pPr>
        <w:pStyle w:val="4"/>
        <w:ind w:left="1700" w:hanging="680"/>
      </w:pPr>
      <w:r>
        <w:rPr>
          <w:rFonts w:hint="eastAsia"/>
        </w:rPr>
        <w:t>茲就</w:t>
      </w:r>
      <w:proofErr w:type="gramStart"/>
      <w:r>
        <w:rPr>
          <w:rFonts w:hint="eastAsia"/>
        </w:rPr>
        <w:t>104</w:t>
      </w:r>
      <w:proofErr w:type="gramEnd"/>
      <w:r>
        <w:rPr>
          <w:rFonts w:hint="eastAsia"/>
        </w:rPr>
        <w:t>年度</w:t>
      </w:r>
      <w:r w:rsidRPr="00AE2A24">
        <w:rPr>
          <w:rFonts w:hint="eastAsia"/>
        </w:rPr>
        <w:t>4</w:t>
      </w:r>
      <w:r>
        <w:rPr>
          <w:rFonts w:hint="eastAsia"/>
        </w:rPr>
        <w:t>26</w:t>
      </w:r>
      <w:r w:rsidRPr="00AE2A24">
        <w:rPr>
          <w:rFonts w:hint="eastAsia"/>
        </w:rPr>
        <w:t>群社區醫療群</w:t>
      </w:r>
      <w:r>
        <w:rPr>
          <w:rFonts w:hint="eastAsia"/>
        </w:rPr>
        <w:t>共</w:t>
      </w:r>
      <w:r w:rsidRPr="00A265D6">
        <w:rPr>
          <w:rFonts w:hint="eastAsia"/>
        </w:rPr>
        <w:t>提供24小時就醫諮詢專線</w:t>
      </w:r>
      <w:r>
        <w:rPr>
          <w:rFonts w:hint="eastAsia"/>
        </w:rPr>
        <w:t>34,021通而言，平均每一</w:t>
      </w:r>
      <w:r w:rsidRPr="00AE2A24">
        <w:rPr>
          <w:rFonts w:hint="eastAsia"/>
        </w:rPr>
        <w:t>醫療群</w:t>
      </w:r>
      <w:r>
        <w:rPr>
          <w:rFonts w:hint="eastAsia"/>
        </w:rPr>
        <w:t>每年僅</w:t>
      </w:r>
      <w:r w:rsidRPr="00A265D6">
        <w:rPr>
          <w:rFonts w:hint="eastAsia"/>
        </w:rPr>
        <w:t>提供就醫諮詢專線</w:t>
      </w:r>
      <w:r>
        <w:rPr>
          <w:rFonts w:hint="eastAsia"/>
        </w:rPr>
        <w:t>約80通(亦即平均每</w:t>
      </w:r>
      <w:r w:rsidR="00F95FDF">
        <w:rPr>
          <w:rFonts w:hint="eastAsia"/>
        </w:rPr>
        <w:t>4.56天才有1通病患</w:t>
      </w:r>
      <w:r w:rsidR="00F95FDF" w:rsidRPr="00A265D6">
        <w:rPr>
          <w:rFonts w:hint="eastAsia"/>
        </w:rPr>
        <w:t>諮詢</w:t>
      </w:r>
      <w:r w:rsidR="00F95FDF">
        <w:rPr>
          <w:rFonts w:hint="eastAsia"/>
        </w:rPr>
        <w:t>電話</w:t>
      </w:r>
      <w:r>
        <w:rPr>
          <w:rFonts w:hint="eastAsia"/>
        </w:rPr>
        <w:t>)，顯然</w:t>
      </w:r>
      <w:r w:rsidR="00F95FDF">
        <w:rPr>
          <w:rFonts w:hint="eastAsia"/>
        </w:rPr>
        <w:t>家</w:t>
      </w:r>
      <w:proofErr w:type="gramStart"/>
      <w:r w:rsidR="00F95FDF">
        <w:rPr>
          <w:rFonts w:hint="eastAsia"/>
        </w:rPr>
        <w:t>醫</w:t>
      </w:r>
      <w:proofErr w:type="gramEnd"/>
      <w:r w:rsidR="00F95FDF">
        <w:rPr>
          <w:rFonts w:hint="eastAsia"/>
        </w:rPr>
        <w:t>計畫所能</w:t>
      </w:r>
      <w:r>
        <w:rPr>
          <w:rFonts w:hint="eastAsia"/>
        </w:rPr>
        <w:t>提供</w:t>
      </w:r>
      <w:r w:rsidR="00F95FDF" w:rsidRPr="00A265D6">
        <w:rPr>
          <w:rFonts w:hint="eastAsia"/>
        </w:rPr>
        <w:t>就醫諮詢專線</w:t>
      </w:r>
      <w:r>
        <w:rPr>
          <w:rFonts w:hint="eastAsia"/>
        </w:rPr>
        <w:t>服務之成效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彰，仍有大幅檢討改善之成長空間。</w:t>
      </w:r>
    </w:p>
    <w:p w:rsidR="009048FE" w:rsidRDefault="00836067" w:rsidP="001E35A2">
      <w:pPr>
        <w:pStyle w:val="3"/>
        <w:ind w:left="1360" w:hanging="680"/>
      </w:pPr>
      <w:proofErr w:type="gramStart"/>
      <w:r>
        <w:rPr>
          <w:rFonts w:hint="eastAsia"/>
        </w:rPr>
        <w:t>再者，</w:t>
      </w:r>
      <w:proofErr w:type="gramEnd"/>
      <w:r w:rsidR="00423BAA">
        <w:rPr>
          <w:rFonts w:hint="eastAsia"/>
        </w:rPr>
        <w:t>引據</w:t>
      </w:r>
      <w:r w:rsidR="009A536D">
        <w:rPr>
          <w:rFonts w:hint="eastAsia"/>
        </w:rPr>
        <w:t>審計部分析家</w:t>
      </w:r>
      <w:proofErr w:type="gramStart"/>
      <w:r w:rsidR="009A536D">
        <w:rPr>
          <w:rFonts w:hint="eastAsia"/>
        </w:rPr>
        <w:t>醫</w:t>
      </w:r>
      <w:proofErr w:type="gramEnd"/>
      <w:r w:rsidR="009A536D">
        <w:rPr>
          <w:rFonts w:hint="eastAsia"/>
        </w:rPr>
        <w:t>計畫參與診所地理分布情形</w:t>
      </w:r>
      <w:r w:rsidR="00423BAA">
        <w:rPr>
          <w:rFonts w:hint="eastAsia"/>
        </w:rPr>
        <w:t>之資料</w:t>
      </w:r>
      <w:r w:rsidR="00534AF2">
        <w:rPr>
          <w:rStyle w:val="af5"/>
        </w:rPr>
        <w:footnoteReference w:id="5"/>
      </w:r>
      <w:r w:rsidR="009A536D">
        <w:rPr>
          <w:rFonts w:hint="eastAsia"/>
        </w:rPr>
        <w:t>，以</w:t>
      </w:r>
      <w:r w:rsidR="00423BAA">
        <w:rPr>
          <w:rFonts w:hint="eastAsia"/>
        </w:rPr>
        <w:t>涵蓋範圍而言，臺灣本島西部平原地區仍有部分沿海區域未落入家</w:t>
      </w:r>
      <w:proofErr w:type="gramStart"/>
      <w:r w:rsidR="00423BAA">
        <w:rPr>
          <w:rFonts w:hint="eastAsia"/>
        </w:rPr>
        <w:t>醫</w:t>
      </w:r>
      <w:proofErr w:type="gramEnd"/>
      <w:r w:rsidR="00423BAA">
        <w:rPr>
          <w:rFonts w:hint="eastAsia"/>
        </w:rPr>
        <w:t>計畫診所半徑5公里涵蓋範圍，若以半徑10公里、15公里範圍分析，則以</w:t>
      </w:r>
      <w:r w:rsidR="009A536D">
        <w:rPr>
          <w:rFonts w:hint="eastAsia"/>
        </w:rPr>
        <w:t>東部及金門以外之離島區域最為缺乏健保家</w:t>
      </w:r>
      <w:proofErr w:type="gramStart"/>
      <w:r w:rsidR="009A536D">
        <w:rPr>
          <w:rFonts w:hint="eastAsia"/>
        </w:rPr>
        <w:t>醫</w:t>
      </w:r>
      <w:proofErr w:type="gramEnd"/>
      <w:r w:rsidR="009A536D">
        <w:rPr>
          <w:rFonts w:hint="eastAsia"/>
        </w:rPr>
        <w:t>計畫服務（</w:t>
      </w:r>
      <w:r w:rsidR="00395C19">
        <w:rPr>
          <w:rFonts w:hint="eastAsia"/>
        </w:rPr>
        <w:t>如</w:t>
      </w:r>
      <w:r w:rsidR="00E30DD6">
        <w:rPr>
          <w:rFonts w:hint="eastAsia"/>
        </w:rPr>
        <w:t>附</w:t>
      </w:r>
      <w:r w:rsidR="009A536D">
        <w:rPr>
          <w:rFonts w:hint="eastAsia"/>
        </w:rPr>
        <w:t>圖1），顯示</w:t>
      </w:r>
      <w:r w:rsidR="001034E1">
        <w:rPr>
          <w:rFonts w:hint="eastAsia"/>
        </w:rPr>
        <w:t>參與</w:t>
      </w:r>
      <w:r w:rsidR="009A536D">
        <w:rPr>
          <w:rFonts w:hint="eastAsia"/>
        </w:rPr>
        <w:t>家</w:t>
      </w:r>
      <w:proofErr w:type="gramStart"/>
      <w:r w:rsidR="009A536D">
        <w:rPr>
          <w:rFonts w:hint="eastAsia"/>
        </w:rPr>
        <w:t>醫</w:t>
      </w:r>
      <w:proofErr w:type="gramEnd"/>
      <w:r w:rsidR="009A536D">
        <w:rPr>
          <w:rFonts w:hint="eastAsia"/>
        </w:rPr>
        <w:t>計畫</w:t>
      </w:r>
      <w:r w:rsidR="001034E1">
        <w:rPr>
          <w:rFonts w:hint="eastAsia"/>
        </w:rPr>
        <w:t>之</w:t>
      </w:r>
      <w:r w:rsidR="009A536D">
        <w:rPr>
          <w:rFonts w:hint="eastAsia"/>
        </w:rPr>
        <w:t>診所仍未普及。</w:t>
      </w:r>
      <w:r w:rsidR="00E30DD6">
        <w:rPr>
          <w:rFonts w:hint="eastAsia"/>
        </w:rPr>
        <w:t>而</w:t>
      </w:r>
      <w:r w:rsidR="001E35A2">
        <w:rPr>
          <w:rFonts w:hint="eastAsia"/>
        </w:rPr>
        <w:t>社區</w:t>
      </w:r>
      <w:proofErr w:type="gramStart"/>
      <w:r w:rsidR="001E35A2">
        <w:rPr>
          <w:rFonts w:hint="eastAsia"/>
        </w:rPr>
        <w:t>醫療群係由</w:t>
      </w:r>
      <w:proofErr w:type="gramEnd"/>
      <w:r w:rsidR="001E35A2">
        <w:rPr>
          <w:rFonts w:hint="eastAsia"/>
        </w:rPr>
        <w:t>參與</w:t>
      </w:r>
      <w:r w:rsidR="00E30DD6">
        <w:rPr>
          <w:rFonts w:hint="eastAsia"/>
        </w:rPr>
        <w:t>家</w:t>
      </w:r>
      <w:proofErr w:type="gramStart"/>
      <w:r w:rsidR="00E30DD6">
        <w:rPr>
          <w:rFonts w:hint="eastAsia"/>
        </w:rPr>
        <w:t>醫</w:t>
      </w:r>
      <w:proofErr w:type="gramEnd"/>
      <w:r w:rsidR="00E30DD6">
        <w:rPr>
          <w:rFonts w:hint="eastAsia"/>
        </w:rPr>
        <w:t>計畫之診所</w:t>
      </w:r>
      <w:r w:rsidR="001E35A2">
        <w:rPr>
          <w:rFonts w:hint="eastAsia"/>
        </w:rPr>
        <w:t>組成，足見</w:t>
      </w:r>
      <w:r w:rsidR="001E35A2" w:rsidRPr="001E35A2">
        <w:rPr>
          <w:rFonts w:hint="eastAsia"/>
        </w:rPr>
        <w:t>民眾欲赴社區醫療群就醫之可近性</w:t>
      </w:r>
      <w:r w:rsidR="001E35A2">
        <w:rPr>
          <w:rFonts w:hint="eastAsia"/>
        </w:rPr>
        <w:t>明顯</w:t>
      </w:r>
      <w:r w:rsidR="001E35A2" w:rsidRPr="001E35A2">
        <w:rPr>
          <w:rFonts w:hint="eastAsia"/>
        </w:rPr>
        <w:t>不足</w:t>
      </w:r>
      <w:r w:rsidR="004D32EB">
        <w:rPr>
          <w:rFonts w:hint="eastAsia"/>
        </w:rPr>
        <w:t>。</w:t>
      </w:r>
    </w:p>
    <w:p w:rsidR="00CC34F1" w:rsidRDefault="00CC34F1" w:rsidP="00705897">
      <w:pPr>
        <w:pStyle w:val="3"/>
        <w:ind w:left="1360" w:hanging="680"/>
      </w:pPr>
      <w:r>
        <w:rPr>
          <w:rFonts w:hint="eastAsia"/>
        </w:rPr>
        <w:t>綜上，</w:t>
      </w:r>
      <w:r w:rsidRPr="00CC34F1">
        <w:rPr>
          <w:rFonts w:hint="eastAsia"/>
        </w:rPr>
        <w:t>健保署</w:t>
      </w:r>
      <w:r w:rsidR="004D32EB">
        <w:rPr>
          <w:rFonts w:hint="eastAsia"/>
        </w:rPr>
        <w:t>自92年</w:t>
      </w:r>
      <w:r w:rsidR="00101D6A" w:rsidRPr="00101D6A">
        <w:rPr>
          <w:rFonts w:hint="eastAsia"/>
        </w:rPr>
        <w:t>推動家</w:t>
      </w:r>
      <w:proofErr w:type="gramStart"/>
      <w:r w:rsidR="00101D6A" w:rsidRPr="00101D6A">
        <w:rPr>
          <w:rFonts w:hint="eastAsia"/>
        </w:rPr>
        <w:t>醫</w:t>
      </w:r>
      <w:proofErr w:type="gramEnd"/>
      <w:r w:rsidR="00101D6A" w:rsidRPr="00101D6A">
        <w:rPr>
          <w:rFonts w:hint="eastAsia"/>
        </w:rPr>
        <w:t>計畫</w:t>
      </w:r>
      <w:r w:rsidR="004D32EB">
        <w:rPr>
          <w:rFonts w:hint="eastAsia"/>
        </w:rPr>
        <w:t>迄今</w:t>
      </w:r>
      <w:r w:rsidR="000A36FC">
        <w:rPr>
          <w:rFonts w:hint="eastAsia"/>
        </w:rPr>
        <w:t>已逾</w:t>
      </w:r>
      <w:r w:rsidR="00101D6A" w:rsidRPr="00101D6A">
        <w:rPr>
          <w:rFonts w:hint="eastAsia"/>
        </w:rPr>
        <w:t>13年，</w:t>
      </w:r>
      <w:r w:rsidR="00301F60">
        <w:rPr>
          <w:rFonts w:hint="eastAsia"/>
        </w:rPr>
        <w:t>該署雖自稱已獲</w:t>
      </w:r>
      <w:r w:rsidR="004E58A7">
        <w:rPr>
          <w:rFonts w:hint="eastAsia"/>
        </w:rPr>
        <w:t>得</w:t>
      </w:r>
      <w:r w:rsidR="00425F24">
        <w:rPr>
          <w:rFonts w:hint="eastAsia"/>
        </w:rPr>
        <w:t>此</w:t>
      </w:r>
      <w:r w:rsidR="004D32EB">
        <w:rPr>
          <w:rFonts w:hint="eastAsia"/>
        </w:rPr>
        <w:t>計畫之</w:t>
      </w:r>
      <w:r w:rsidR="004E58A7">
        <w:rPr>
          <w:rFonts w:hint="eastAsia"/>
        </w:rPr>
        <w:t>若干</w:t>
      </w:r>
      <w:r w:rsidR="00101D6A" w:rsidRPr="00101D6A">
        <w:rPr>
          <w:rFonts w:hint="eastAsia"/>
        </w:rPr>
        <w:t>成效，</w:t>
      </w:r>
      <w:r w:rsidR="00425F24">
        <w:rPr>
          <w:rFonts w:hint="eastAsia"/>
        </w:rPr>
        <w:t>惟本院審酌前述原規劃實施</w:t>
      </w:r>
      <w:r w:rsidR="00425F24" w:rsidRPr="00AE2A24">
        <w:rPr>
          <w:rFonts w:hint="eastAsia"/>
        </w:rPr>
        <w:t>家</w:t>
      </w:r>
      <w:proofErr w:type="gramStart"/>
      <w:r w:rsidR="00425F24" w:rsidRPr="00AE2A24">
        <w:rPr>
          <w:rFonts w:hint="eastAsia"/>
        </w:rPr>
        <w:t>醫</w:t>
      </w:r>
      <w:proofErr w:type="gramEnd"/>
      <w:r w:rsidR="00425F24" w:rsidRPr="00AE2A24">
        <w:rPr>
          <w:rFonts w:hint="eastAsia"/>
        </w:rPr>
        <w:t>計畫</w:t>
      </w:r>
      <w:r w:rsidR="00425F24">
        <w:rPr>
          <w:rFonts w:hint="eastAsia"/>
        </w:rPr>
        <w:t>之三大目的迄未達成，</w:t>
      </w:r>
      <w:proofErr w:type="gramStart"/>
      <w:r w:rsidR="00425F24">
        <w:rPr>
          <w:rFonts w:hint="eastAsia"/>
        </w:rPr>
        <w:t>爰</w:t>
      </w:r>
      <w:proofErr w:type="gramEnd"/>
      <w:r w:rsidR="00425F24">
        <w:rPr>
          <w:rFonts w:hint="eastAsia"/>
        </w:rPr>
        <w:t>認定</w:t>
      </w:r>
      <w:proofErr w:type="gramStart"/>
      <w:r w:rsidR="00425F24">
        <w:rPr>
          <w:rFonts w:hint="eastAsia"/>
        </w:rPr>
        <w:t>該署</w:t>
      </w:r>
      <w:r w:rsidR="004E58A7">
        <w:rPr>
          <w:rFonts w:hint="eastAsia"/>
        </w:rPr>
        <w:t>實不宜</w:t>
      </w:r>
      <w:proofErr w:type="gramEnd"/>
      <w:r w:rsidR="004E58A7">
        <w:rPr>
          <w:rFonts w:hint="eastAsia"/>
        </w:rPr>
        <w:t>自滿於現狀，此計畫未來</w:t>
      </w:r>
      <w:r w:rsidR="00425F24">
        <w:rPr>
          <w:rFonts w:hint="eastAsia"/>
        </w:rPr>
        <w:t>仍有極大調整與改善之空間</w:t>
      </w:r>
      <w:r w:rsidR="004E58A7">
        <w:rPr>
          <w:rFonts w:hint="eastAsia"/>
        </w:rPr>
        <w:t>。況</w:t>
      </w:r>
      <w:r w:rsidR="00301F60">
        <w:rPr>
          <w:rFonts w:hint="eastAsia"/>
        </w:rPr>
        <w:t>且</w:t>
      </w:r>
      <w:r w:rsidR="00101D6A" w:rsidRPr="00101D6A">
        <w:rPr>
          <w:rFonts w:hint="eastAsia"/>
        </w:rPr>
        <w:t>參與</w:t>
      </w:r>
      <w:r w:rsidR="00425F24">
        <w:rPr>
          <w:rFonts w:hint="eastAsia"/>
        </w:rPr>
        <w:t>此計畫之</w:t>
      </w:r>
      <w:r w:rsidR="00101D6A" w:rsidRPr="00101D6A">
        <w:rPr>
          <w:rFonts w:hint="eastAsia"/>
        </w:rPr>
        <w:t>診所</w:t>
      </w:r>
      <w:r w:rsidR="001A3FE7">
        <w:rPr>
          <w:rFonts w:hint="eastAsia"/>
        </w:rPr>
        <w:t>家數</w:t>
      </w:r>
      <w:r w:rsidR="00101D6A" w:rsidRPr="00101D6A">
        <w:rPr>
          <w:rFonts w:hint="eastAsia"/>
        </w:rPr>
        <w:t>及收案人數</w:t>
      </w:r>
      <w:r w:rsidR="001A3FE7">
        <w:rPr>
          <w:rFonts w:hint="eastAsia"/>
        </w:rPr>
        <w:t>依然</w:t>
      </w:r>
      <w:r w:rsidR="00101D6A" w:rsidRPr="00101D6A">
        <w:rPr>
          <w:rFonts w:hint="eastAsia"/>
        </w:rPr>
        <w:t>偏低，</w:t>
      </w:r>
      <w:r w:rsidR="004D32EB">
        <w:rPr>
          <w:rFonts w:hint="eastAsia"/>
        </w:rPr>
        <w:t>顯</w:t>
      </w:r>
      <w:r w:rsidR="009F1413">
        <w:rPr>
          <w:rFonts w:hint="eastAsia"/>
        </w:rPr>
        <w:t>見</w:t>
      </w:r>
      <w:r w:rsidR="00101D6A">
        <w:rPr>
          <w:rFonts w:hint="eastAsia"/>
        </w:rPr>
        <w:t>民眾欲</w:t>
      </w:r>
      <w:r w:rsidR="00101D6A" w:rsidRPr="00101D6A">
        <w:rPr>
          <w:rFonts w:hint="eastAsia"/>
        </w:rPr>
        <w:t>赴社區醫療群就</w:t>
      </w:r>
      <w:r w:rsidR="00101D6A" w:rsidRPr="00101D6A">
        <w:rPr>
          <w:rFonts w:hint="eastAsia"/>
        </w:rPr>
        <w:lastRenderedPageBreak/>
        <w:t>醫之可近性</w:t>
      </w:r>
      <w:r w:rsidR="001A3FE7">
        <w:rPr>
          <w:rFonts w:hint="eastAsia"/>
        </w:rPr>
        <w:t>仍</w:t>
      </w:r>
      <w:r w:rsidR="004D32EB">
        <w:rPr>
          <w:rFonts w:hint="eastAsia"/>
        </w:rPr>
        <w:t>有所</w:t>
      </w:r>
      <w:r w:rsidR="00101D6A" w:rsidRPr="00101D6A">
        <w:rPr>
          <w:rFonts w:hint="eastAsia"/>
        </w:rPr>
        <w:t>不足，亟應加速拓展並普及其醫療服務之量能</w:t>
      </w:r>
      <w:r w:rsidR="004D32EB">
        <w:rPr>
          <w:rFonts w:hint="eastAsia"/>
        </w:rPr>
        <w:t>，</w:t>
      </w:r>
      <w:proofErr w:type="gramStart"/>
      <w:r w:rsidR="004D32EB">
        <w:rPr>
          <w:rFonts w:hint="eastAsia"/>
        </w:rPr>
        <w:t>庶</w:t>
      </w:r>
      <w:proofErr w:type="gramEnd"/>
      <w:r w:rsidR="001A3FE7">
        <w:rPr>
          <w:rFonts w:hint="eastAsia"/>
        </w:rPr>
        <w:t>可</w:t>
      </w:r>
      <w:r w:rsidR="004D32EB">
        <w:rPr>
          <w:rFonts w:hint="eastAsia"/>
        </w:rPr>
        <w:t>切合</w:t>
      </w:r>
      <w:r w:rsidR="000C3A60" w:rsidRPr="00A265D6">
        <w:rPr>
          <w:rFonts w:hint="eastAsia"/>
        </w:rPr>
        <w:t>實施</w:t>
      </w:r>
      <w:r w:rsidR="000C3A60">
        <w:rPr>
          <w:rFonts w:hint="eastAsia"/>
        </w:rPr>
        <w:t>家</w:t>
      </w:r>
      <w:proofErr w:type="gramStart"/>
      <w:r w:rsidR="000C3A60">
        <w:rPr>
          <w:rFonts w:hint="eastAsia"/>
        </w:rPr>
        <w:t>醫</w:t>
      </w:r>
      <w:proofErr w:type="gramEnd"/>
      <w:r w:rsidR="000C3A60">
        <w:rPr>
          <w:rFonts w:hint="eastAsia"/>
        </w:rPr>
        <w:t>計畫以</w:t>
      </w:r>
      <w:r w:rsidR="001A3FE7">
        <w:rPr>
          <w:rFonts w:hint="eastAsia"/>
        </w:rPr>
        <w:t>提升</w:t>
      </w:r>
      <w:r w:rsidR="0055557F" w:rsidRPr="00A265D6">
        <w:rPr>
          <w:rFonts w:hint="eastAsia"/>
        </w:rPr>
        <w:t>社區基層醫療</w:t>
      </w:r>
      <w:r w:rsidR="001A3FE7">
        <w:rPr>
          <w:rFonts w:hint="eastAsia"/>
        </w:rPr>
        <w:t>服務</w:t>
      </w:r>
      <w:r w:rsidR="0055557F">
        <w:rPr>
          <w:rFonts w:hint="eastAsia"/>
        </w:rPr>
        <w:t>之初衷</w:t>
      </w:r>
      <w:r w:rsidR="0055557F" w:rsidRPr="00A265D6">
        <w:rPr>
          <w:rFonts w:hint="eastAsia"/>
        </w:rPr>
        <w:t>。</w:t>
      </w:r>
      <w:r w:rsidR="00705897">
        <w:rPr>
          <w:rFonts w:hint="eastAsia"/>
        </w:rPr>
        <w:t>而未來更</w:t>
      </w:r>
      <w:r w:rsidR="00705897" w:rsidRPr="00705897">
        <w:rPr>
          <w:rFonts w:hint="eastAsia"/>
        </w:rPr>
        <w:t>應朝符合健保法第44條精神的論人計酬家庭醫師責任制轉型邁進，打破現行論量計酬及基層總額框架，讓基層團隊能夠壯大，承擔起社區醫療與分級醫療的權責。</w:t>
      </w:r>
    </w:p>
    <w:p w:rsidR="00762AFD" w:rsidRDefault="003A4154" w:rsidP="008B3A33">
      <w:pPr>
        <w:pStyle w:val="2"/>
        <w:rPr>
          <w:b/>
        </w:rPr>
      </w:pPr>
      <w:r w:rsidRPr="00F67540">
        <w:rPr>
          <w:rFonts w:hint="eastAsia"/>
          <w:b/>
        </w:rPr>
        <w:t>健保署</w:t>
      </w:r>
      <w:r w:rsidR="008B3A33" w:rsidRPr="008B3A33">
        <w:rPr>
          <w:rFonts w:hint="eastAsia"/>
          <w:b/>
        </w:rPr>
        <w:t>家</w:t>
      </w:r>
      <w:proofErr w:type="gramStart"/>
      <w:r w:rsidR="008B3A33" w:rsidRPr="008B3A33">
        <w:rPr>
          <w:rFonts w:hint="eastAsia"/>
          <w:b/>
        </w:rPr>
        <w:t>醫</w:t>
      </w:r>
      <w:proofErr w:type="gramEnd"/>
      <w:r w:rsidR="008B3A33" w:rsidRPr="008B3A33">
        <w:rPr>
          <w:rFonts w:hint="eastAsia"/>
          <w:b/>
        </w:rPr>
        <w:t>計畫社區醫療群</w:t>
      </w:r>
      <w:r w:rsidR="00482606">
        <w:rPr>
          <w:rFonts w:hint="eastAsia"/>
          <w:b/>
        </w:rPr>
        <w:t>之組成方式欠當，竟</w:t>
      </w:r>
      <w:r w:rsidR="007744FB">
        <w:rPr>
          <w:rFonts w:hint="eastAsia"/>
          <w:b/>
        </w:rPr>
        <w:t>僅</w:t>
      </w:r>
      <w:r w:rsidR="00E01B8C">
        <w:rPr>
          <w:rFonts w:hint="eastAsia"/>
          <w:b/>
        </w:rPr>
        <w:t>與</w:t>
      </w:r>
      <w:r w:rsidR="00A778B6">
        <w:rPr>
          <w:rFonts w:hint="eastAsia"/>
          <w:b/>
        </w:rPr>
        <w:t>不到二成</w:t>
      </w:r>
      <w:r w:rsidR="00482606">
        <w:rPr>
          <w:rFonts w:hint="eastAsia"/>
          <w:b/>
        </w:rPr>
        <w:t>之</w:t>
      </w:r>
      <w:r w:rsidR="00E01B8C" w:rsidRPr="008B3A33">
        <w:rPr>
          <w:rFonts w:hint="eastAsia"/>
          <w:b/>
        </w:rPr>
        <w:t>地區醫院</w:t>
      </w:r>
      <w:r w:rsidR="007744FB">
        <w:rPr>
          <w:rFonts w:hint="eastAsia"/>
          <w:b/>
        </w:rPr>
        <w:t>進行</w:t>
      </w:r>
      <w:r w:rsidR="0085160D">
        <w:rPr>
          <w:rFonts w:hint="eastAsia"/>
          <w:b/>
        </w:rPr>
        <w:t>合作</w:t>
      </w:r>
      <w:r w:rsidR="00735572">
        <w:rPr>
          <w:rFonts w:hint="eastAsia"/>
          <w:b/>
        </w:rPr>
        <w:t>，其</w:t>
      </w:r>
      <w:r w:rsidR="00131482" w:rsidRPr="008B3A33">
        <w:rPr>
          <w:rFonts w:hint="eastAsia"/>
          <w:b/>
        </w:rPr>
        <w:t>轉診</w:t>
      </w:r>
      <w:r w:rsidR="00131482">
        <w:rPr>
          <w:rFonts w:hint="eastAsia"/>
          <w:b/>
        </w:rPr>
        <w:t>作業</w:t>
      </w:r>
      <w:r w:rsidR="00735572">
        <w:rPr>
          <w:rFonts w:hint="eastAsia"/>
          <w:b/>
        </w:rPr>
        <w:t>流程亦</w:t>
      </w:r>
      <w:r w:rsidR="00976EAE">
        <w:rPr>
          <w:rFonts w:hint="eastAsia"/>
          <w:b/>
        </w:rPr>
        <w:t>欠</w:t>
      </w:r>
      <w:r w:rsidR="00131482">
        <w:rPr>
          <w:rFonts w:hint="eastAsia"/>
          <w:b/>
        </w:rPr>
        <w:t>便捷</w:t>
      </w:r>
      <w:r w:rsidR="008B3A33" w:rsidRPr="008B3A33">
        <w:rPr>
          <w:rFonts w:hint="eastAsia"/>
          <w:b/>
        </w:rPr>
        <w:t>，</w:t>
      </w:r>
      <w:r>
        <w:rPr>
          <w:rFonts w:hint="eastAsia"/>
          <w:b/>
        </w:rPr>
        <w:t>致</w:t>
      </w:r>
      <w:r w:rsidR="00735572">
        <w:rPr>
          <w:rFonts w:hint="eastAsia"/>
          <w:b/>
        </w:rPr>
        <w:t>透過</w:t>
      </w:r>
      <w:r w:rsidR="008B3A33" w:rsidRPr="008B3A33">
        <w:rPr>
          <w:rFonts w:hint="eastAsia"/>
          <w:b/>
        </w:rPr>
        <w:t>轉診</w:t>
      </w:r>
      <w:r w:rsidR="00EF667B">
        <w:rPr>
          <w:rFonts w:hint="eastAsia"/>
          <w:b/>
        </w:rPr>
        <w:t>措施</w:t>
      </w:r>
      <w:r w:rsidR="00735572">
        <w:rPr>
          <w:rFonts w:hint="eastAsia"/>
          <w:b/>
        </w:rPr>
        <w:t>來共享寶貴醫療資源</w:t>
      </w:r>
      <w:r w:rsidR="00A778B6">
        <w:rPr>
          <w:rFonts w:hint="eastAsia"/>
          <w:b/>
        </w:rPr>
        <w:t>之成效</w:t>
      </w:r>
      <w:proofErr w:type="gramStart"/>
      <w:r w:rsidR="00A778B6">
        <w:rPr>
          <w:rFonts w:hint="eastAsia"/>
          <w:b/>
        </w:rPr>
        <w:t>不</w:t>
      </w:r>
      <w:proofErr w:type="gramEnd"/>
      <w:r w:rsidR="00A778B6">
        <w:rPr>
          <w:rFonts w:hint="eastAsia"/>
          <w:b/>
        </w:rPr>
        <w:t>彰</w:t>
      </w:r>
      <w:r>
        <w:rPr>
          <w:rFonts w:hint="eastAsia"/>
          <w:b/>
        </w:rPr>
        <w:t>，</w:t>
      </w:r>
      <w:r w:rsidR="00A778B6">
        <w:rPr>
          <w:rFonts w:hint="eastAsia"/>
          <w:b/>
        </w:rPr>
        <w:t>該署</w:t>
      </w:r>
      <w:r w:rsidR="002E1A56">
        <w:rPr>
          <w:rFonts w:hint="eastAsia"/>
          <w:b/>
        </w:rPr>
        <w:t>允當</w:t>
      </w:r>
      <w:r w:rsidR="00976EAE">
        <w:rPr>
          <w:rFonts w:hint="eastAsia"/>
          <w:b/>
        </w:rPr>
        <w:t>積極</w:t>
      </w:r>
      <w:r w:rsidR="0096285B">
        <w:rPr>
          <w:rFonts w:hint="eastAsia"/>
          <w:b/>
        </w:rPr>
        <w:t>開拓</w:t>
      </w:r>
      <w:r w:rsidR="007744FB">
        <w:rPr>
          <w:rFonts w:hint="eastAsia"/>
          <w:b/>
        </w:rPr>
        <w:t>雙方合作關係，並</w:t>
      </w:r>
      <w:r w:rsidR="00FD619B">
        <w:rPr>
          <w:rFonts w:hint="eastAsia"/>
          <w:b/>
        </w:rPr>
        <w:t>推</w:t>
      </w:r>
      <w:r w:rsidR="00645F78">
        <w:rPr>
          <w:rFonts w:hint="eastAsia"/>
          <w:b/>
        </w:rPr>
        <w:t>展</w:t>
      </w:r>
      <w:r w:rsidR="00A25557" w:rsidRPr="008B3A33">
        <w:rPr>
          <w:rFonts w:hint="eastAsia"/>
          <w:b/>
        </w:rPr>
        <w:t>轉</w:t>
      </w:r>
      <w:proofErr w:type="gramStart"/>
      <w:r w:rsidR="00A25557" w:rsidRPr="008B3A33">
        <w:rPr>
          <w:rFonts w:hint="eastAsia"/>
          <w:b/>
        </w:rPr>
        <w:t>診</w:t>
      </w:r>
      <w:proofErr w:type="gramEnd"/>
      <w:r w:rsidR="00FD619B">
        <w:rPr>
          <w:rFonts w:hint="eastAsia"/>
          <w:b/>
        </w:rPr>
        <w:t>電子平台，</w:t>
      </w:r>
      <w:r w:rsidR="00A25557">
        <w:rPr>
          <w:rFonts w:hint="eastAsia"/>
          <w:b/>
        </w:rPr>
        <w:t>強化民眾教育宣導工作，</w:t>
      </w:r>
      <w:r w:rsidR="00FD619B">
        <w:rPr>
          <w:rFonts w:hint="eastAsia"/>
          <w:b/>
        </w:rPr>
        <w:t>以</w:t>
      </w:r>
      <w:r w:rsidR="0085160D">
        <w:rPr>
          <w:rFonts w:hint="eastAsia"/>
          <w:b/>
        </w:rPr>
        <w:t>加速</w:t>
      </w:r>
      <w:r w:rsidR="00A25557">
        <w:rPr>
          <w:rFonts w:hint="eastAsia"/>
          <w:b/>
        </w:rPr>
        <w:t>提</w:t>
      </w:r>
      <w:r w:rsidR="0085160D">
        <w:rPr>
          <w:rFonts w:hint="eastAsia"/>
          <w:b/>
        </w:rPr>
        <w:t>高</w:t>
      </w:r>
      <w:r w:rsidR="00A25557" w:rsidRPr="008B3A33">
        <w:rPr>
          <w:rFonts w:hint="eastAsia"/>
          <w:b/>
        </w:rPr>
        <w:t>轉診</w:t>
      </w:r>
      <w:r w:rsidR="00A25557">
        <w:rPr>
          <w:rFonts w:hint="eastAsia"/>
          <w:b/>
        </w:rPr>
        <w:t>比率</w:t>
      </w:r>
      <w:r w:rsidR="0085160D">
        <w:rPr>
          <w:rFonts w:hint="eastAsia"/>
          <w:b/>
        </w:rPr>
        <w:t>，避免</w:t>
      </w:r>
      <w:r w:rsidR="00735572">
        <w:rPr>
          <w:rFonts w:hint="eastAsia"/>
          <w:b/>
        </w:rPr>
        <w:t>無謂</w:t>
      </w:r>
      <w:r w:rsidR="0096285B">
        <w:rPr>
          <w:rFonts w:hint="eastAsia"/>
          <w:b/>
        </w:rPr>
        <w:t>醫療</w:t>
      </w:r>
      <w:r w:rsidR="0085160D">
        <w:rPr>
          <w:rFonts w:hint="eastAsia"/>
          <w:b/>
        </w:rPr>
        <w:t>浪費</w:t>
      </w:r>
      <w:r w:rsidR="008B3A33" w:rsidRPr="008B3A33">
        <w:rPr>
          <w:rFonts w:hint="eastAsia"/>
          <w:b/>
        </w:rPr>
        <w:t>：</w:t>
      </w:r>
    </w:p>
    <w:p w:rsidR="007744FB" w:rsidRDefault="00AA2FA9" w:rsidP="00890C50">
      <w:pPr>
        <w:pStyle w:val="3"/>
        <w:ind w:left="1360" w:hanging="680"/>
      </w:pPr>
      <w:r w:rsidRPr="008B3A33">
        <w:rPr>
          <w:rFonts w:hint="eastAsia"/>
        </w:rPr>
        <w:t>按家</w:t>
      </w:r>
      <w:proofErr w:type="gramStart"/>
      <w:r w:rsidRPr="008B3A33">
        <w:rPr>
          <w:rFonts w:hint="eastAsia"/>
        </w:rPr>
        <w:t>醫</w:t>
      </w:r>
      <w:proofErr w:type="gramEnd"/>
      <w:r w:rsidRPr="008B3A33">
        <w:rPr>
          <w:rFonts w:hint="eastAsia"/>
        </w:rPr>
        <w:t>計畫推動策略，係成立社區醫療群，以群體力量提供服務，整合基層與醫院照護品質，促進社區水平整合，提供民眾完善整合性照護，並作為未來垂直整合醫療</w:t>
      </w:r>
      <w:proofErr w:type="gramStart"/>
      <w:r w:rsidRPr="008B3A33">
        <w:rPr>
          <w:rFonts w:hint="eastAsia"/>
        </w:rPr>
        <w:t>體系式照護</w:t>
      </w:r>
      <w:proofErr w:type="gramEnd"/>
      <w:r w:rsidRPr="008B3A33">
        <w:rPr>
          <w:rFonts w:hint="eastAsia"/>
        </w:rPr>
        <w:t>模式之基礎。</w:t>
      </w:r>
      <w:proofErr w:type="gramStart"/>
      <w:r>
        <w:rPr>
          <w:rFonts w:hint="eastAsia"/>
        </w:rPr>
        <w:t>惟</w:t>
      </w:r>
      <w:r w:rsidR="007744FB" w:rsidRPr="008B3A33">
        <w:rPr>
          <w:rFonts w:hint="eastAsia"/>
        </w:rPr>
        <w:t>查104年</w:t>
      </w:r>
      <w:proofErr w:type="gramEnd"/>
      <w:r w:rsidR="007744FB" w:rsidRPr="008B3A33">
        <w:rPr>
          <w:rFonts w:hint="eastAsia"/>
        </w:rPr>
        <w:t>全國計有165家醫院與各社區醫療群合作參與家</w:t>
      </w:r>
      <w:proofErr w:type="gramStart"/>
      <w:r w:rsidR="007744FB" w:rsidRPr="008B3A33">
        <w:rPr>
          <w:rFonts w:hint="eastAsia"/>
        </w:rPr>
        <w:t>醫</w:t>
      </w:r>
      <w:proofErr w:type="gramEnd"/>
      <w:r w:rsidR="007744FB" w:rsidRPr="008B3A33">
        <w:rPr>
          <w:rFonts w:hint="eastAsia"/>
        </w:rPr>
        <w:t>計畫之推行，惟其中地區醫院參與家數（68家）占全國家數</w:t>
      </w:r>
      <w:r w:rsidR="00981BDE" w:rsidRPr="008B3A33">
        <w:rPr>
          <w:rFonts w:hint="eastAsia"/>
        </w:rPr>
        <w:t>（</w:t>
      </w:r>
      <w:r w:rsidR="00981BDE">
        <w:rPr>
          <w:rFonts w:hint="eastAsia"/>
        </w:rPr>
        <w:t>3</w:t>
      </w:r>
      <w:r w:rsidR="00981BDE" w:rsidRPr="008B3A33">
        <w:rPr>
          <w:rFonts w:hint="eastAsia"/>
        </w:rPr>
        <w:t>68家）</w:t>
      </w:r>
      <w:r w:rsidR="007744FB" w:rsidRPr="008B3A33">
        <w:rPr>
          <w:rFonts w:hint="eastAsia"/>
        </w:rPr>
        <w:t>之比率18.48％，與醫學中心</w:t>
      </w:r>
      <w:r w:rsidR="00981BDE" w:rsidRPr="008B3A33">
        <w:rPr>
          <w:rFonts w:hint="eastAsia"/>
        </w:rPr>
        <w:t>參與家數（</w:t>
      </w:r>
      <w:r w:rsidR="00981BDE">
        <w:rPr>
          <w:rFonts w:hint="eastAsia"/>
        </w:rPr>
        <w:t>19</w:t>
      </w:r>
      <w:r w:rsidR="00981BDE" w:rsidRPr="008B3A33">
        <w:rPr>
          <w:rFonts w:hint="eastAsia"/>
        </w:rPr>
        <w:t>家）占全國家數（</w:t>
      </w:r>
      <w:r w:rsidR="00981BDE">
        <w:rPr>
          <w:rFonts w:hint="eastAsia"/>
        </w:rPr>
        <w:t>2</w:t>
      </w:r>
      <w:r w:rsidR="00981BDE" w:rsidRPr="008B3A33">
        <w:rPr>
          <w:rFonts w:hint="eastAsia"/>
        </w:rPr>
        <w:t>6家）之比率73.08％</w:t>
      </w:r>
      <w:r w:rsidR="007744FB" w:rsidRPr="008B3A33">
        <w:rPr>
          <w:rFonts w:hint="eastAsia"/>
        </w:rPr>
        <w:t>、區域醫院</w:t>
      </w:r>
      <w:r w:rsidR="00981BDE" w:rsidRPr="008B3A33">
        <w:rPr>
          <w:rFonts w:hint="eastAsia"/>
        </w:rPr>
        <w:t>參與家數（</w:t>
      </w:r>
      <w:r w:rsidR="00981BDE">
        <w:rPr>
          <w:rFonts w:hint="eastAsia"/>
        </w:rPr>
        <w:t>7</w:t>
      </w:r>
      <w:r w:rsidR="00981BDE" w:rsidRPr="008B3A33">
        <w:rPr>
          <w:rFonts w:hint="eastAsia"/>
        </w:rPr>
        <w:t>8家）占全國家數（</w:t>
      </w:r>
      <w:r w:rsidR="00981BDE">
        <w:rPr>
          <w:rFonts w:hint="eastAsia"/>
        </w:rPr>
        <w:t>94</w:t>
      </w:r>
      <w:r w:rsidR="00981BDE" w:rsidRPr="008B3A33">
        <w:rPr>
          <w:rFonts w:hint="eastAsia"/>
        </w:rPr>
        <w:t>家）之比率</w:t>
      </w:r>
      <w:r w:rsidR="007744FB" w:rsidRPr="008B3A33">
        <w:rPr>
          <w:rFonts w:hint="eastAsia"/>
        </w:rPr>
        <w:t>82.98％相較，參與率</w:t>
      </w:r>
      <w:r w:rsidR="00981BDE">
        <w:rPr>
          <w:rFonts w:hint="eastAsia"/>
        </w:rPr>
        <w:t>明顯</w:t>
      </w:r>
      <w:r w:rsidR="007744FB" w:rsidRPr="008B3A33">
        <w:rPr>
          <w:rFonts w:hint="eastAsia"/>
        </w:rPr>
        <w:t>偏低，</w:t>
      </w:r>
      <w:r w:rsidR="00981BDE">
        <w:rPr>
          <w:rFonts w:hint="eastAsia"/>
        </w:rPr>
        <w:t>足見</w:t>
      </w:r>
      <w:r w:rsidR="007744FB" w:rsidRPr="008B3A33">
        <w:rPr>
          <w:rFonts w:hint="eastAsia"/>
        </w:rPr>
        <w:t>深入社區之地區醫院，多數仍未加入社區醫療群之運作</w:t>
      </w:r>
      <w:r w:rsidR="001034E1">
        <w:rPr>
          <w:rFonts w:hint="eastAsia"/>
        </w:rPr>
        <w:t>，亟待拓展其合作關係</w:t>
      </w:r>
      <w:r w:rsidR="00482606">
        <w:rPr>
          <w:rFonts w:hint="eastAsia"/>
        </w:rPr>
        <w:t>，方可</w:t>
      </w:r>
      <w:r w:rsidR="00BB37C0">
        <w:rPr>
          <w:rFonts w:hint="eastAsia"/>
        </w:rPr>
        <w:t>名副其實</w:t>
      </w:r>
      <w:r w:rsidR="00482606">
        <w:rPr>
          <w:rFonts w:hint="eastAsia"/>
        </w:rPr>
        <w:t>達成</w:t>
      </w:r>
      <w:r w:rsidR="00BB37C0" w:rsidRPr="00705897">
        <w:rPr>
          <w:rFonts w:hint="eastAsia"/>
        </w:rPr>
        <w:t>讓</w:t>
      </w:r>
      <w:r w:rsidR="00BB37C0">
        <w:rPr>
          <w:rFonts w:hint="eastAsia"/>
        </w:rPr>
        <w:t>「社區」</w:t>
      </w:r>
      <w:r w:rsidR="00BB37C0" w:rsidRPr="00705897">
        <w:rPr>
          <w:rFonts w:hint="eastAsia"/>
        </w:rPr>
        <w:t>基層</w:t>
      </w:r>
      <w:r w:rsidR="00BB37C0">
        <w:rPr>
          <w:rFonts w:hint="eastAsia"/>
        </w:rPr>
        <w:t>醫療服務</w:t>
      </w:r>
      <w:r w:rsidR="00BB37C0" w:rsidRPr="00705897">
        <w:rPr>
          <w:rFonts w:hint="eastAsia"/>
        </w:rPr>
        <w:t>團隊</w:t>
      </w:r>
      <w:r w:rsidR="00BB37C0">
        <w:rPr>
          <w:rFonts w:hint="eastAsia"/>
        </w:rPr>
        <w:t>(</w:t>
      </w:r>
      <w:r w:rsidR="00BB37C0" w:rsidRPr="008B3A33">
        <w:rPr>
          <w:rFonts w:hint="eastAsia"/>
        </w:rPr>
        <w:t>地區醫院</w:t>
      </w:r>
      <w:r w:rsidR="00BB37C0">
        <w:rPr>
          <w:rFonts w:hint="eastAsia"/>
        </w:rPr>
        <w:t>)</w:t>
      </w:r>
      <w:r w:rsidR="00BB37C0" w:rsidRPr="00705897">
        <w:rPr>
          <w:rFonts w:hint="eastAsia"/>
        </w:rPr>
        <w:t>能夠</w:t>
      </w:r>
      <w:r w:rsidR="00BB37C0">
        <w:rPr>
          <w:rFonts w:hint="eastAsia"/>
        </w:rPr>
        <w:t>成長茁</w:t>
      </w:r>
      <w:r w:rsidR="00BB37C0" w:rsidRPr="00705897">
        <w:rPr>
          <w:rFonts w:hint="eastAsia"/>
        </w:rPr>
        <w:t>壯</w:t>
      </w:r>
      <w:r w:rsidR="00BB37C0">
        <w:rPr>
          <w:rFonts w:hint="eastAsia"/>
        </w:rPr>
        <w:t>，提升其醫療服務品質之目的</w:t>
      </w:r>
      <w:r w:rsidR="007744FB" w:rsidRPr="008B3A33">
        <w:rPr>
          <w:rFonts w:hint="eastAsia"/>
        </w:rPr>
        <w:t>。</w:t>
      </w:r>
    </w:p>
    <w:p w:rsidR="00976EAE" w:rsidRDefault="00AA2FA9" w:rsidP="00890C50">
      <w:pPr>
        <w:pStyle w:val="3"/>
        <w:ind w:left="1360" w:hanging="680"/>
      </w:pPr>
      <w:proofErr w:type="gramStart"/>
      <w:r w:rsidRPr="008B3A33">
        <w:rPr>
          <w:rFonts w:hint="eastAsia"/>
        </w:rPr>
        <w:t>次據健保</w:t>
      </w:r>
      <w:proofErr w:type="gramEnd"/>
      <w:r w:rsidRPr="008B3A33">
        <w:rPr>
          <w:rFonts w:hint="eastAsia"/>
        </w:rPr>
        <w:t>署統計，</w:t>
      </w:r>
      <w:r w:rsidR="00976EAE" w:rsidRPr="008B3A33">
        <w:rPr>
          <w:rFonts w:hint="eastAsia"/>
        </w:rPr>
        <w:t>家</w:t>
      </w:r>
      <w:proofErr w:type="gramStart"/>
      <w:r w:rsidR="00976EAE" w:rsidRPr="008B3A33">
        <w:rPr>
          <w:rFonts w:hint="eastAsia"/>
        </w:rPr>
        <w:t>醫</w:t>
      </w:r>
      <w:proofErr w:type="gramEnd"/>
      <w:r w:rsidR="00976EAE" w:rsidRPr="008B3A33">
        <w:rPr>
          <w:rFonts w:hint="eastAsia"/>
        </w:rPr>
        <w:t>計畫104年</w:t>
      </w:r>
      <w:r w:rsidR="00976EAE">
        <w:rPr>
          <w:rFonts w:hint="eastAsia"/>
        </w:rPr>
        <w:t>之收案人數為2,484</w:t>
      </w:r>
      <w:r w:rsidR="00976EAE" w:rsidRPr="008B3A33">
        <w:rPr>
          <w:rFonts w:hint="eastAsia"/>
        </w:rPr>
        <w:t>,</w:t>
      </w:r>
      <w:r w:rsidR="00976EAE">
        <w:rPr>
          <w:rFonts w:hint="eastAsia"/>
        </w:rPr>
        <w:t>646</w:t>
      </w:r>
      <w:r w:rsidR="00976EAE" w:rsidRPr="008B3A33">
        <w:rPr>
          <w:rFonts w:hint="eastAsia"/>
        </w:rPr>
        <w:t>人</w:t>
      </w:r>
      <w:r w:rsidR="00976EAE">
        <w:rPr>
          <w:rFonts w:hint="eastAsia"/>
        </w:rPr>
        <w:t>，其</w:t>
      </w:r>
      <w:proofErr w:type="gramStart"/>
      <w:r w:rsidRPr="008B3A33">
        <w:rPr>
          <w:rFonts w:hint="eastAsia"/>
        </w:rPr>
        <w:t>轉診</w:t>
      </w:r>
      <w:r w:rsidR="004806D1">
        <w:rPr>
          <w:rFonts w:hint="eastAsia"/>
        </w:rPr>
        <w:t>件數</w:t>
      </w:r>
      <w:proofErr w:type="gramEnd"/>
      <w:r w:rsidR="00976EAE">
        <w:rPr>
          <w:rFonts w:hint="eastAsia"/>
        </w:rPr>
        <w:t>為</w:t>
      </w:r>
      <w:r w:rsidR="00BC19FB">
        <w:rPr>
          <w:rFonts w:hint="eastAsia"/>
        </w:rPr>
        <w:t>215</w:t>
      </w:r>
      <w:r w:rsidRPr="008B3A33">
        <w:rPr>
          <w:rFonts w:hint="eastAsia"/>
        </w:rPr>
        <w:t>,</w:t>
      </w:r>
      <w:r w:rsidR="00BC19FB">
        <w:rPr>
          <w:rFonts w:hint="eastAsia"/>
        </w:rPr>
        <w:t>0</w:t>
      </w:r>
      <w:r w:rsidRPr="008B3A33">
        <w:rPr>
          <w:rFonts w:hint="eastAsia"/>
        </w:rPr>
        <w:t>7</w:t>
      </w:r>
      <w:r w:rsidR="00BC19FB">
        <w:rPr>
          <w:rFonts w:hint="eastAsia"/>
        </w:rPr>
        <w:t>9</w:t>
      </w:r>
      <w:r w:rsidR="004806D1">
        <w:rPr>
          <w:rFonts w:hint="eastAsia"/>
        </w:rPr>
        <w:t>件</w:t>
      </w:r>
      <w:r w:rsidR="002C0698">
        <w:rPr>
          <w:rFonts w:hint="eastAsia"/>
        </w:rPr>
        <w:t>，亦即</w:t>
      </w:r>
      <w:r w:rsidR="002C0698" w:rsidRPr="008B3A33">
        <w:rPr>
          <w:rFonts w:hint="eastAsia"/>
        </w:rPr>
        <w:t>轉診</w:t>
      </w:r>
      <w:r w:rsidR="002C0698">
        <w:rPr>
          <w:rFonts w:hint="eastAsia"/>
        </w:rPr>
        <w:t>者約每百</w:t>
      </w:r>
      <w:r w:rsidR="002C0698" w:rsidRPr="008B3A33">
        <w:rPr>
          <w:rFonts w:hint="eastAsia"/>
        </w:rPr>
        <w:t>人</w:t>
      </w:r>
      <w:r w:rsidR="002C0698">
        <w:rPr>
          <w:rFonts w:hint="eastAsia"/>
        </w:rPr>
        <w:t>有</w:t>
      </w:r>
      <w:r w:rsidR="00BC19FB">
        <w:rPr>
          <w:rFonts w:hint="eastAsia"/>
        </w:rPr>
        <w:t>8</w:t>
      </w:r>
      <w:r w:rsidR="002C0698">
        <w:rPr>
          <w:rFonts w:hint="eastAsia"/>
        </w:rPr>
        <w:t>.</w:t>
      </w:r>
      <w:r w:rsidR="00BC19FB">
        <w:rPr>
          <w:rFonts w:hint="eastAsia"/>
        </w:rPr>
        <w:t>66</w:t>
      </w:r>
      <w:r w:rsidR="002C0698">
        <w:rPr>
          <w:rFonts w:hint="eastAsia"/>
        </w:rPr>
        <w:t>件</w:t>
      </w:r>
      <w:r w:rsidRPr="008B3A33">
        <w:rPr>
          <w:rFonts w:hint="eastAsia"/>
        </w:rPr>
        <w:t>；而</w:t>
      </w:r>
      <w:r w:rsidR="000E4037">
        <w:rPr>
          <w:rFonts w:hint="eastAsia"/>
        </w:rPr>
        <w:t>參照</w:t>
      </w:r>
      <w:r w:rsidR="000E4037" w:rsidRPr="008B3A33">
        <w:rPr>
          <w:rFonts w:hint="eastAsia"/>
        </w:rPr>
        <w:t>10</w:t>
      </w:r>
      <w:r w:rsidR="000E4037">
        <w:rPr>
          <w:rFonts w:hint="eastAsia"/>
        </w:rPr>
        <w:t>5</w:t>
      </w:r>
      <w:r w:rsidR="000E4037" w:rsidRPr="008B3A33">
        <w:rPr>
          <w:rFonts w:hint="eastAsia"/>
        </w:rPr>
        <w:t>年</w:t>
      </w:r>
      <w:r w:rsidR="002C0698">
        <w:rPr>
          <w:rFonts w:hint="eastAsia"/>
        </w:rPr>
        <w:t>6月</w:t>
      </w:r>
      <w:r w:rsidR="000E4037">
        <w:rPr>
          <w:rFonts w:hint="eastAsia"/>
        </w:rPr>
        <w:t>之</w:t>
      </w:r>
      <w:proofErr w:type="gramStart"/>
      <w:r w:rsidR="000E4037">
        <w:rPr>
          <w:rFonts w:hint="eastAsia"/>
        </w:rPr>
        <w:t>全民健保</w:t>
      </w:r>
      <w:r w:rsidR="00534AF2">
        <w:rPr>
          <w:rFonts w:hint="eastAsia"/>
        </w:rPr>
        <w:t>總</w:t>
      </w:r>
      <w:r w:rsidR="000E4037">
        <w:rPr>
          <w:rFonts w:hint="eastAsia"/>
        </w:rPr>
        <w:t>納保人</w:t>
      </w:r>
      <w:proofErr w:type="gramEnd"/>
      <w:r w:rsidR="000E4037">
        <w:rPr>
          <w:rFonts w:hint="eastAsia"/>
        </w:rPr>
        <w:t>數為2</w:t>
      </w:r>
      <w:r w:rsidR="002C0698">
        <w:rPr>
          <w:rFonts w:hint="eastAsia"/>
        </w:rPr>
        <w:t>3</w:t>
      </w:r>
      <w:r w:rsidR="000E4037">
        <w:rPr>
          <w:rFonts w:hint="eastAsia"/>
        </w:rPr>
        <w:t>,</w:t>
      </w:r>
      <w:r w:rsidR="002C0698">
        <w:rPr>
          <w:rFonts w:hint="eastAsia"/>
        </w:rPr>
        <w:t>719</w:t>
      </w:r>
      <w:r w:rsidR="000E4037" w:rsidRPr="008B3A33">
        <w:rPr>
          <w:rFonts w:hint="eastAsia"/>
        </w:rPr>
        <w:t>,</w:t>
      </w:r>
      <w:r w:rsidR="002C0698">
        <w:rPr>
          <w:rFonts w:hint="eastAsia"/>
        </w:rPr>
        <w:t>229</w:t>
      </w:r>
      <w:r w:rsidR="000E4037" w:rsidRPr="008B3A33">
        <w:rPr>
          <w:rFonts w:hint="eastAsia"/>
        </w:rPr>
        <w:t>人</w:t>
      </w:r>
      <w:r w:rsidR="000E4037">
        <w:rPr>
          <w:rFonts w:hint="eastAsia"/>
        </w:rPr>
        <w:t>，其</w:t>
      </w:r>
      <w:r w:rsidR="000E4037" w:rsidRPr="008B3A33">
        <w:rPr>
          <w:rFonts w:hint="eastAsia"/>
        </w:rPr>
        <w:t>10</w:t>
      </w:r>
      <w:r w:rsidR="000E4037">
        <w:rPr>
          <w:rFonts w:hint="eastAsia"/>
        </w:rPr>
        <w:t>5</w:t>
      </w:r>
      <w:r w:rsidR="000E4037" w:rsidRPr="008B3A33">
        <w:rPr>
          <w:rFonts w:hint="eastAsia"/>
        </w:rPr>
        <w:t>年</w:t>
      </w:r>
      <w:r w:rsidR="000E4037">
        <w:rPr>
          <w:rFonts w:hint="eastAsia"/>
        </w:rPr>
        <w:t>西</w:t>
      </w:r>
      <w:r w:rsidR="000E4037">
        <w:rPr>
          <w:rFonts w:hint="eastAsia"/>
        </w:rPr>
        <w:lastRenderedPageBreak/>
        <w:t>醫門診經過轉診就醫的</w:t>
      </w:r>
      <w:proofErr w:type="gramStart"/>
      <w:r w:rsidR="000E4037">
        <w:rPr>
          <w:rFonts w:hint="eastAsia"/>
        </w:rPr>
        <w:t>件數近200萬件</w:t>
      </w:r>
      <w:proofErr w:type="gramEnd"/>
      <w:r w:rsidR="000E4037">
        <w:rPr>
          <w:rFonts w:hint="eastAsia"/>
        </w:rPr>
        <w:t>，</w:t>
      </w:r>
      <w:r w:rsidR="002C0698">
        <w:rPr>
          <w:rFonts w:hint="eastAsia"/>
        </w:rPr>
        <w:t>亦即</w:t>
      </w:r>
      <w:r w:rsidR="002C0698" w:rsidRPr="008B3A33">
        <w:rPr>
          <w:rFonts w:hint="eastAsia"/>
        </w:rPr>
        <w:t>轉診</w:t>
      </w:r>
      <w:r w:rsidR="002C0698">
        <w:rPr>
          <w:rFonts w:hint="eastAsia"/>
        </w:rPr>
        <w:t>者約每百</w:t>
      </w:r>
      <w:r w:rsidR="000E4037" w:rsidRPr="008B3A33">
        <w:rPr>
          <w:rFonts w:hint="eastAsia"/>
        </w:rPr>
        <w:t>人</w:t>
      </w:r>
      <w:r w:rsidR="002C0698">
        <w:rPr>
          <w:rFonts w:hint="eastAsia"/>
        </w:rPr>
        <w:t>有8.43件</w:t>
      </w:r>
      <w:r w:rsidR="006D1A1D">
        <w:rPr>
          <w:rFonts w:hint="eastAsia"/>
        </w:rPr>
        <w:t>；</w:t>
      </w:r>
      <w:r w:rsidR="00EF667B">
        <w:rPr>
          <w:rFonts w:hint="eastAsia"/>
        </w:rPr>
        <w:t>足見</w:t>
      </w:r>
      <w:r w:rsidR="00EF667B" w:rsidRPr="008B3A33">
        <w:rPr>
          <w:rFonts w:hint="eastAsia"/>
        </w:rPr>
        <w:t>社區醫療群</w:t>
      </w:r>
      <w:r w:rsidR="00EF667B">
        <w:rPr>
          <w:rFonts w:hint="eastAsia"/>
        </w:rPr>
        <w:t>之</w:t>
      </w:r>
      <w:r w:rsidR="00EF667B" w:rsidRPr="008B3A33">
        <w:rPr>
          <w:rFonts w:hint="eastAsia"/>
        </w:rPr>
        <w:t>轉診</w:t>
      </w:r>
      <w:r w:rsidR="00EF667B">
        <w:rPr>
          <w:rFonts w:hint="eastAsia"/>
        </w:rPr>
        <w:t>運作情形</w:t>
      </w:r>
      <w:r w:rsidR="00BC19FB">
        <w:rPr>
          <w:rFonts w:hint="eastAsia"/>
        </w:rPr>
        <w:t>成效</w:t>
      </w:r>
      <w:proofErr w:type="gramStart"/>
      <w:r w:rsidR="00EF667B">
        <w:rPr>
          <w:rFonts w:hint="eastAsia"/>
        </w:rPr>
        <w:t>不</w:t>
      </w:r>
      <w:proofErr w:type="gramEnd"/>
      <w:r w:rsidR="00BC19FB">
        <w:rPr>
          <w:rFonts w:hint="eastAsia"/>
        </w:rPr>
        <w:t>彰</w:t>
      </w:r>
      <w:r w:rsidR="00EF667B">
        <w:rPr>
          <w:rFonts w:hint="eastAsia"/>
        </w:rPr>
        <w:t>，</w:t>
      </w:r>
      <w:r w:rsidR="00BC19FB">
        <w:rPr>
          <w:rFonts w:hint="eastAsia"/>
        </w:rPr>
        <w:t>僅</w:t>
      </w:r>
      <w:r w:rsidR="006D1A1D">
        <w:rPr>
          <w:rFonts w:hint="eastAsia"/>
        </w:rPr>
        <w:t>略</w:t>
      </w:r>
      <w:r w:rsidR="00BC19FB">
        <w:rPr>
          <w:rFonts w:hint="eastAsia"/>
        </w:rPr>
        <w:t>高</w:t>
      </w:r>
      <w:r w:rsidR="00EF667B">
        <w:rPr>
          <w:rFonts w:hint="eastAsia"/>
        </w:rPr>
        <w:t>於全國</w:t>
      </w:r>
      <w:proofErr w:type="gramStart"/>
      <w:r w:rsidR="00534AF2">
        <w:rPr>
          <w:rFonts w:hint="eastAsia"/>
        </w:rPr>
        <w:t>健保總納保人</w:t>
      </w:r>
      <w:proofErr w:type="gramEnd"/>
      <w:r w:rsidR="00534AF2">
        <w:rPr>
          <w:rFonts w:hint="eastAsia"/>
        </w:rPr>
        <w:t>數之</w:t>
      </w:r>
      <w:r w:rsidR="00EF667B" w:rsidRPr="008B3A33">
        <w:rPr>
          <w:rFonts w:hint="eastAsia"/>
        </w:rPr>
        <w:t>轉診</w:t>
      </w:r>
      <w:r w:rsidR="00EF667B">
        <w:rPr>
          <w:rFonts w:hint="eastAsia"/>
        </w:rPr>
        <w:t>平均件數。</w:t>
      </w:r>
    </w:p>
    <w:p w:rsidR="00F5350F" w:rsidRDefault="00F5350F" w:rsidP="00637F8B">
      <w:pPr>
        <w:pStyle w:val="3"/>
        <w:ind w:left="1360" w:hanging="680"/>
      </w:pPr>
      <w:r>
        <w:rPr>
          <w:rFonts w:hint="eastAsia"/>
        </w:rPr>
        <w:t>基於目前家</w:t>
      </w:r>
      <w:proofErr w:type="gramStart"/>
      <w:r>
        <w:rPr>
          <w:rFonts w:hint="eastAsia"/>
        </w:rPr>
        <w:t>醫</w:t>
      </w:r>
      <w:proofErr w:type="gramEnd"/>
      <w:r>
        <w:rPr>
          <w:rFonts w:hint="eastAsia"/>
        </w:rPr>
        <w:t>診所轉診至附近醫院或合作醫院，尚須以轉診單紙本遞送給接受轉診醫院，由接受轉診醫院受理後，方可協助掛號，並於看診完畢後回復轉診診療</w:t>
      </w:r>
      <w:proofErr w:type="gramStart"/>
      <w:r>
        <w:rPr>
          <w:rFonts w:hint="eastAsia"/>
        </w:rPr>
        <w:t>結果給轉出院</w:t>
      </w:r>
      <w:proofErr w:type="gramEnd"/>
      <w:r>
        <w:rPr>
          <w:rFonts w:hint="eastAsia"/>
        </w:rPr>
        <w:t>所，</w:t>
      </w:r>
      <w:r w:rsidR="002541CC">
        <w:rPr>
          <w:rFonts w:hint="eastAsia"/>
        </w:rPr>
        <w:t>此種文書往返</w:t>
      </w:r>
      <w:proofErr w:type="gramStart"/>
      <w:r w:rsidR="002541CC">
        <w:rPr>
          <w:rFonts w:hint="eastAsia"/>
        </w:rPr>
        <w:t>曠</w:t>
      </w:r>
      <w:proofErr w:type="gramEnd"/>
      <w:r w:rsidR="002541CC">
        <w:rPr>
          <w:rFonts w:hint="eastAsia"/>
        </w:rPr>
        <w:t>日廢時方式，</w:t>
      </w:r>
      <w:proofErr w:type="gramStart"/>
      <w:r w:rsidR="002541CC">
        <w:rPr>
          <w:rFonts w:hint="eastAsia"/>
        </w:rPr>
        <w:t>凸</w:t>
      </w:r>
      <w:proofErr w:type="gramEnd"/>
      <w:r w:rsidR="00534AF2">
        <w:rPr>
          <w:rFonts w:hint="eastAsia"/>
        </w:rPr>
        <w:t>顯出</w:t>
      </w:r>
      <w:r w:rsidR="002541CC" w:rsidRPr="002541CC">
        <w:rPr>
          <w:rFonts w:hint="eastAsia"/>
        </w:rPr>
        <w:t>其轉診作業流程</w:t>
      </w:r>
      <w:r w:rsidR="002541CC">
        <w:rPr>
          <w:rFonts w:hint="eastAsia"/>
        </w:rPr>
        <w:t>有</w:t>
      </w:r>
      <w:r w:rsidR="002541CC" w:rsidRPr="002541CC">
        <w:rPr>
          <w:rFonts w:hint="eastAsia"/>
        </w:rPr>
        <w:t>欠</w:t>
      </w:r>
      <w:r w:rsidR="00534AF2">
        <w:rPr>
          <w:rFonts w:hint="eastAsia"/>
        </w:rPr>
        <w:t>快速</w:t>
      </w:r>
      <w:r w:rsidR="002541CC" w:rsidRPr="002541CC">
        <w:rPr>
          <w:rFonts w:hint="eastAsia"/>
        </w:rPr>
        <w:t>便捷</w:t>
      </w:r>
      <w:r w:rsidR="00534AF2">
        <w:rPr>
          <w:rFonts w:hint="eastAsia"/>
        </w:rPr>
        <w:t>，亟須簡化及縮短時效</w:t>
      </w:r>
      <w:r w:rsidR="002541CC">
        <w:rPr>
          <w:rFonts w:hint="eastAsia"/>
        </w:rPr>
        <w:t>。</w:t>
      </w:r>
      <w:r w:rsidR="00912FEA">
        <w:rPr>
          <w:rFonts w:hint="eastAsia"/>
        </w:rPr>
        <w:t>而健保署</w:t>
      </w:r>
      <w:r w:rsidR="00DC4959">
        <w:rPr>
          <w:rFonts w:hint="eastAsia"/>
        </w:rPr>
        <w:t>已</w:t>
      </w:r>
      <w:r w:rsidR="00912FEA" w:rsidRPr="008B3A33">
        <w:rPr>
          <w:rFonts w:hint="eastAsia"/>
        </w:rPr>
        <w:t>導入轉診e化系統</w:t>
      </w:r>
      <w:proofErr w:type="gramStart"/>
      <w:r w:rsidR="00912FEA">
        <w:rPr>
          <w:rFonts w:hint="eastAsia"/>
        </w:rPr>
        <w:t>─</w:t>
      </w:r>
      <w:proofErr w:type="gramEnd"/>
      <w:r w:rsidR="00912FEA">
        <w:rPr>
          <w:rFonts w:hint="eastAsia"/>
        </w:rPr>
        <w:t>電子轉診平台</w:t>
      </w:r>
      <w:r w:rsidR="00637F8B">
        <w:rPr>
          <w:rFonts w:hint="eastAsia"/>
        </w:rPr>
        <w:t>(</w:t>
      </w:r>
      <w:r w:rsidR="00637F8B" w:rsidRPr="00637F8B">
        <w:rPr>
          <w:rFonts w:hint="eastAsia"/>
        </w:rPr>
        <w:t>讓接受轉診的醫師了解病人的病情，看診結果也可回復給原醫師，加強雙向溝通</w:t>
      </w:r>
      <w:r w:rsidR="00637F8B">
        <w:rPr>
          <w:rFonts w:hint="eastAsia"/>
        </w:rPr>
        <w:t>)</w:t>
      </w:r>
      <w:r w:rsidR="00912FEA" w:rsidRPr="008B3A33">
        <w:rPr>
          <w:rFonts w:hint="eastAsia"/>
        </w:rPr>
        <w:t>，</w:t>
      </w:r>
      <w:proofErr w:type="gramStart"/>
      <w:r w:rsidR="00912FEA">
        <w:rPr>
          <w:rFonts w:hint="eastAsia"/>
        </w:rPr>
        <w:t>甫</w:t>
      </w:r>
      <w:proofErr w:type="gramEnd"/>
      <w:r w:rsidR="00912FEA">
        <w:rPr>
          <w:rFonts w:hint="eastAsia"/>
        </w:rPr>
        <w:t>於106年3月1日推出上線使用，</w:t>
      </w:r>
      <w:r w:rsidR="00DC4959">
        <w:rPr>
          <w:rFonts w:hint="eastAsia"/>
        </w:rPr>
        <w:t>爾後</w:t>
      </w:r>
      <w:r w:rsidR="00912FEA">
        <w:rPr>
          <w:rFonts w:hint="eastAsia"/>
        </w:rPr>
        <w:t>應對協助</w:t>
      </w:r>
      <w:r w:rsidR="00912FEA" w:rsidRPr="008B3A33">
        <w:rPr>
          <w:rFonts w:hint="eastAsia"/>
        </w:rPr>
        <w:t>社區醫療群充分善用資訊共享，以利基層院所與其他院所之雙向轉診作業</w:t>
      </w:r>
      <w:r w:rsidR="00912FEA">
        <w:rPr>
          <w:rFonts w:hint="eastAsia"/>
        </w:rPr>
        <w:t xml:space="preserve">，有所助益。 </w:t>
      </w:r>
    </w:p>
    <w:p w:rsidR="00AA2FA9" w:rsidRDefault="002541CC" w:rsidP="00890C50">
      <w:pPr>
        <w:pStyle w:val="3"/>
        <w:ind w:left="1360" w:hanging="680"/>
      </w:pPr>
      <w:r>
        <w:rPr>
          <w:rFonts w:hint="eastAsia"/>
        </w:rPr>
        <w:t>再者，</w:t>
      </w:r>
      <w:proofErr w:type="gramStart"/>
      <w:r>
        <w:rPr>
          <w:rFonts w:hint="eastAsia"/>
        </w:rPr>
        <w:t>囿</w:t>
      </w:r>
      <w:proofErr w:type="gramEnd"/>
      <w:r>
        <w:rPr>
          <w:rFonts w:hint="eastAsia"/>
        </w:rPr>
        <w:t>於</w:t>
      </w:r>
      <w:r w:rsidR="00AA2FA9" w:rsidRPr="008B3A33">
        <w:rPr>
          <w:rFonts w:hint="eastAsia"/>
        </w:rPr>
        <w:t>民眾自由就醫便利性</w:t>
      </w:r>
      <w:r w:rsidRPr="008B3A33">
        <w:rPr>
          <w:rFonts w:hint="eastAsia"/>
        </w:rPr>
        <w:t>之</w:t>
      </w:r>
      <w:r>
        <w:rPr>
          <w:rFonts w:hint="eastAsia"/>
        </w:rPr>
        <w:t>習</w:t>
      </w:r>
      <w:r w:rsidR="009F77A8">
        <w:rPr>
          <w:rFonts w:hint="eastAsia"/>
        </w:rPr>
        <w:t>慣</w:t>
      </w:r>
      <w:r w:rsidR="00AA2FA9" w:rsidRPr="008B3A33">
        <w:rPr>
          <w:rFonts w:hint="eastAsia"/>
        </w:rPr>
        <w:t>，病患由基層診所轉至醫院後即固定於醫院門診就診，未再回轉至基層診所，減少渠等轉診意願，民眾亦常指定轉診醫院，而不願轉至診所醫師所建議之醫院，</w:t>
      </w:r>
      <w:r w:rsidR="009F77A8">
        <w:rPr>
          <w:rFonts w:hint="eastAsia"/>
        </w:rPr>
        <w:t>何況</w:t>
      </w:r>
      <w:r w:rsidR="009F77A8" w:rsidRPr="00584595">
        <w:rPr>
          <w:rFonts w:hint="eastAsia"/>
        </w:rPr>
        <w:t>目前政策並未限制民眾就醫</w:t>
      </w:r>
      <w:r w:rsidR="009F77A8">
        <w:rPr>
          <w:rFonts w:hint="eastAsia"/>
        </w:rPr>
        <w:t>地點</w:t>
      </w:r>
      <w:r w:rsidR="009F77A8" w:rsidRPr="00584595">
        <w:rPr>
          <w:rFonts w:hint="eastAsia"/>
        </w:rPr>
        <w:t>，民眾就醫習慣之改變</w:t>
      </w:r>
      <w:r w:rsidR="009F77A8">
        <w:rPr>
          <w:rFonts w:hint="eastAsia"/>
        </w:rPr>
        <w:t>亦</w:t>
      </w:r>
      <w:r w:rsidR="009F77A8" w:rsidRPr="00584595">
        <w:rPr>
          <w:rFonts w:hint="eastAsia"/>
        </w:rPr>
        <w:t>非短期可見</w:t>
      </w:r>
      <w:r w:rsidR="009F77A8">
        <w:rPr>
          <w:rFonts w:hint="eastAsia"/>
        </w:rPr>
        <w:t>成效</w:t>
      </w:r>
      <w:r w:rsidR="009F77A8" w:rsidRPr="00584595">
        <w:rPr>
          <w:rFonts w:hint="eastAsia"/>
        </w:rPr>
        <w:t>，</w:t>
      </w:r>
      <w:r>
        <w:rPr>
          <w:rFonts w:hint="eastAsia"/>
        </w:rPr>
        <w:t>凡</w:t>
      </w:r>
      <w:proofErr w:type="gramStart"/>
      <w:r>
        <w:rPr>
          <w:rFonts w:hint="eastAsia"/>
        </w:rPr>
        <w:t>此均</w:t>
      </w:r>
      <w:r w:rsidRPr="008B3A33">
        <w:rPr>
          <w:rFonts w:hint="eastAsia"/>
        </w:rPr>
        <w:t>為家庭</w:t>
      </w:r>
      <w:proofErr w:type="gramEnd"/>
      <w:r w:rsidRPr="008B3A33">
        <w:rPr>
          <w:rFonts w:hint="eastAsia"/>
        </w:rPr>
        <w:t>責任醫師之實務困境</w:t>
      </w:r>
      <w:r>
        <w:rPr>
          <w:rFonts w:hint="eastAsia"/>
        </w:rPr>
        <w:t>，有待</w:t>
      </w:r>
      <w:r w:rsidR="00DC4959">
        <w:rPr>
          <w:rFonts w:hint="eastAsia"/>
        </w:rPr>
        <w:t>健保署</w:t>
      </w:r>
      <w:r w:rsidR="00D10585">
        <w:rPr>
          <w:rFonts w:hint="eastAsia"/>
        </w:rPr>
        <w:t>想方設法戮力</w:t>
      </w:r>
      <w:r>
        <w:rPr>
          <w:rFonts w:hint="eastAsia"/>
        </w:rPr>
        <w:t>加強相關教育宣導措施，</w:t>
      </w:r>
      <w:proofErr w:type="gramStart"/>
      <w:r w:rsidR="00DC4959">
        <w:rPr>
          <w:rFonts w:hint="eastAsia"/>
        </w:rPr>
        <w:t>俾</w:t>
      </w:r>
      <w:proofErr w:type="gramEnd"/>
      <w:r>
        <w:rPr>
          <w:rFonts w:hint="eastAsia"/>
        </w:rPr>
        <w:t>逐步</w:t>
      </w:r>
      <w:r w:rsidR="00912FEA">
        <w:rPr>
          <w:rFonts w:hint="eastAsia"/>
        </w:rPr>
        <w:t>引導改善</w:t>
      </w:r>
      <w:r w:rsidR="00DC4959" w:rsidRPr="008B3A33">
        <w:rPr>
          <w:rFonts w:hint="eastAsia"/>
        </w:rPr>
        <w:t>民眾就醫之</w:t>
      </w:r>
      <w:r w:rsidR="00DC4959">
        <w:rPr>
          <w:rFonts w:hint="eastAsia"/>
        </w:rPr>
        <w:t>習慣</w:t>
      </w:r>
      <w:r w:rsidR="00AA2FA9" w:rsidRPr="008B3A33">
        <w:rPr>
          <w:rFonts w:hint="eastAsia"/>
        </w:rPr>
        <w:t>。</w:t>
      </w:r>
    </w:p>
    <w:p w:rsidR="00CC34F1" w:rsidRDefault="00CC34F1" w:rsidP="00BB37C0">
      <w:pPr>
        <w:pStyle w:val="3"/>
        <w:ind w:left="1360" w:hanging="680"/>
      </w:pPr>
      <w:r>
        <w:rPr>
          <w:rFonts w:hint="eastAsia"/>
        </w:rPr>
        <w:t>質言之，</w:t>
      </w:r>
      <w:r w:rsidR="00B02309" w:rsidRPr="00B02309">
        <w:rPr>
          <w:rFonts w:hint="eastAsia"/>
        </w:rPr>
        <w:t>健保署家</w:t>
      </w:r>
      <w:proofErr w:type="gramStart"/>
      <w:r w:rsidR="00B02309" w:rsidRPr="00B02309">
        <w:rPr>
          <w:rFonts w:hint="eastAsia"/>
        </w:rPr>
        <w:t>醫</w:t>
      </w:r>
      <w:proofErr w:type="gramEnd"/>
      <w:r w:rsidR="00B02309" w:rsidRPr="00B02309">
        <w:rPr>
          <w:rFonts w:hint="eastAsia"/>
        </w:rPr>
        <w:t>計畫社區醫療群</w:t>
      </w:r>
      <w:r w:rsidR="00BB37C0" w:rsidRPr="00BB37C0">
        <w:rPr>
          <w:rFonts w:hint="eastAsia"/>
        </w:rPr>
        <w:t>之組成方式</w:t>
      </w:r>
      <w:r w:rsidR="002254DE">
        <w:rPr>
          <w:rFonts w:hint="eastAsia"/>
        </w:rPr>
        <w:t>有待商榷檢討</w:t>
      </w:r>
      <w:r w:rsidR="00BB37C0" w:rsidRPr="00BB37C0">
        <w:rPr>
          <w:rFonts w:hint="eastAsia"/>
        </w:rPr>
        <w:t>，</w:t>
      </w:r>
      <w:r w:rsidR="00BB37C0">
        <w:rPr>
          <w:rFonts w:hint="eastAsia"/>
        </w:rPr>
        <w:t>竟</w:t>
      </w:r>
      <w:r w:rsidR="004F099C" w:rsidRPr="004F099C">
        <w:rPr>
          <w:rFonts w:hint="eastAsia"/>
        </w:rPr>
        <w:t>僅與</w:t>
      </w:r>
      <w:r w:rsidR="00A778B6" w:rsidRPr="008B3A33">
        <w:rPr>
          <w:rFonts w:hint="eastAsia"/>
        </w:rPr>
        <w:t>18.48％</w:t>
      </w:r>
      <w:r w:rsidR="00BB37C0">
        <w:rPr>
          <w:rFonts w:hint="eastAsia"/>
        </w:rPr>
        <w:t>之</w:t>
      </w:r>
      <w:r w:rsidR="004F099C" w:rsidRPr="004F099C">
        <w:rPr>
          <w:rFonts w:hint="eastAsia"/>
        </w:rPr>
        <w:t>地區醫院進行合作，</w:t>
      </w:r>
      <w:r w:rsidR="00BB37C0">
        <w:rPr>
          <w:rFonts w:hint="eastAsia"/>
        </w:rPr>
        <w:t>不符提升「社區」</w:t>
      </w:r>
      <w:r w:rsidR="00BB37C0" w:rsidRPr="00705897">
        <w:rPr>
          <w:rFonts w:hint="eastAsia"/>
        </w:rPr>
        <w:t>基層</w:t>
      </w:r>
      <w:r w:rsidR="00BB37C0">
        <w:rPr>
          <w:rFonts w:hint="eastAsia"/>
        </w:rPr>
        <w:t>醫療服務</w:t>
      </w:r>
      <w:r w:rsidR="002254DE">
        <w:rPr>
          <w:rFonts w:hint="eastAsia"/>
        </w:rPr>
        <w:t>水準之初衷</w:t>
      </w:r>
      <w:r w:rsidR="00BB37C0">
        <w:rPr>
          <w:rFonts w:hint="eastAsia"/>
        </w:rPr>
        <w:t>；</w:t>
      </w:r>
      <w:r w:rsidR="002254DE">
        <w:rPr>
          <w:rFonts w:hint="eastAsia"/>
        </w:rPr>
        <w:t>又</w:t>
      </w:r>
      <w:r w:rsidR="004F099C" w:rsidRPr="004F099C">
        <w:rPr>
          <w:rFonts w:hint="eastAsia"/>
        </w:rPr>
        <w:t>其轉診作業流程亦欠</w:t>
      </w:r>
      <w:r w:rsidR="00DC4959">
        <w:rPr>
          <w:rFonts w:hint="eastAsia"/>
        </w:rPr>
        <w:t>快速</w:t>
      </w:r>
      <w:r w:rsidR="004F099C" w:rsidRPr="004F099C">
        <w:rPr>
          <w:rFonts w:hint="eastAsia"/>
        </w:rPr>
        <w:t>便捷，致透過轉診措施來共享寶貴醫療資源之比率</w:t>
      </w:r>
      <w:r w:rsidR="00BC19FB">
        <w:rPr>
          <w:rFonts w:hint="eastAsia"/>
        </w:rPr>
        <w:t>僅略高</w:t>
      </w:r>
      <w:r w:rsidR="004F099C">
        <w:rPr>
          <w:rFonts w:hint="eastAsia"/>
        </w:rPr>
        <w:t>於全國</w:t>
      </w:r>
      <w:proofErr w:type="gramStart"/>
      <w:r w:rsidR="00534AF2">
        <w:rPr>
          <w:rFonts w:hint="eastAsia"/>
        </w:rPr>
        <w:t>健保總納保人</w:t>
      </w:r>
      <w:proofErr w:type="gramEnd"/>
      <w:r w:rsidR="00534AF2">
        <w:rPr>
          <w:rFonts w:hint="eastAsia"/>
        </w:rPr>
        <w:t>數</w:t>
      </w:r>
      <w:r w:rsidR="00DC4959">
        <w:rPr>
          <w:rFonts w:hint="eastAsia"/>
        </w:rPr>
        <w:t>之轉診</w:t>
      </w:r>
      <w:r w:rsidR="004F099C">
        <w:rPr>
          <w:rFonts w:hint="eastAsia"/>
        </w:rPr>
        <w:t>平均</w:t>
      </w:r>
      <w:r w:rsidR="00DC4959">
        <w:rPr>
          <w:rFonts w:hint="eastAsia"/>
        </w:rPr>
        <w:t>件</w:t>
      </w:r>
      <w:r w:rsidR="004F099C">
        <w:rPr>
          <w:rFonts w:hint="eastAsia"/>
        </w:rPr>
        <w:t>數；</w:t>
      </w:r>
      <w:r w:rsidR="00DC4959">
        <w:rPr>
          <w:rFonts w:hint="eastAsia"/>
        </w:rPr>
        <w:t>是</w:t>
      </w:r>
      <w:proofErr w:type="gramStart"/>
      <w:r w:rsidR="00DC4959">
        <w:rPr>
          <w:rFonts w:hint="eastAsia"/>
        </w:rPr>
        <w:t>以</w:t>
      </w:r>
      <w:proofErr w:type="gramEnd"/>
      <w:r w:rsidR="00DC4959">
        <w:rPr>
          <w:rFonts w:hint="eastAsia"/>
        </w:rPr>
        <w:t>，</w:t>
      </w:r>
      <w:r w:rsidR="004F099C">
        <w:rPr>
          <w:rFonts w:hint="eastAsia"/>
        </w:rPr>
        <w:t>該署</w:t>
      </w:r>
      <w:r w:rsidR="004F099C" w:rsidRPr="004F099C">
        <w:rPr>
          <w:rFonts w:hint="eastAsia"/>
        </w:rPr>
        <w:t>允當積極開拓</w:t>
      </w:r>
      <w:r w:rsidR="00DC4959" w:rsidRPr="00DC4959">
        <w:rPr>
          <w:rFonts w:hint="eastAsia"/>
        </w:rPr>
        <w:t>社區醫療群與地區醫院</w:t>
      </w:r>
      <w:r w:rsidR="00DC4959">
        <w:rPr>
          <w:rFonts w:hint="eastAsia"/>
        </w:rPr>
        <w:t>之</w:t>
      </w:r>
      <w:r w:rsidR="004F099C" w:rsidRPr="004F099C">
        <w:rPr>
          <w:rFonts w:hint="eastAsia"/>
        </w:rPr>
        <w:t>合作關係，並推展</w:t>
      </w:r>
      <w:r w:rsidR="004F099C">
        <w:rPr>
          <w:rFonts w:hint="eastAsia"/>
        </w:rPr>
        <w:t>業已上線之</w:t>
      </w:r>
      <w:r w:rsidR="004F099C" w:rsidRPr="004F099C">
        <w:rPr>
          <w:rFonts w:hint="eastAsia"/>
        </w:rPr>
        <w:lastRenderedPageBreak/>
        <w:t>轉診電子平台，強化民眾教育宣導工作，</w:t>
      </w:r>
      <w:r w:rsidR="00DC4959">
        <w:rPr>
          <w:rFonts w:hint="eastAsia"/>
        </w:rPr>
        <w:t>來</w:t>
      </w:r>
      <w:r w:rsidR="004F099C" w:rsidRPr="004F099C">
        <w:rPr>
          <w:rFonts w:hint="eastAsia"/>
        </w:rPr>
        <w:t>加速提高</w:t>
      </w:r>
      <w:r w:rsidR="00DC4959" w:rsidRPr="008B3A33">
        <w:rPr>
          <w:rFonts w:hint="eastAsia"/>
        </w:rPr>
        <w:t>家</w:t>
      </w:r>
      <w:proofErr w:type="gramStart"/>
      <w:r w:rsidR="00DC4959" w:rsidRPr="008B3A33">
        <w:rPr>
          <w:rFonts w:hint="eastAsia"/>
        </w:rPr>
        <w:t>醫</w:t>
      </w:r>
      <w:proofErr w:type="gramEnd"/>
      <w:r w:rsidR="00DC4959" w:rsidRPr="008B3A33">
        <w:rPr>
          <w:rFonts w:hint="eastAsia"/>
        </w:rPr>
        <w:t>計畫</w:t>
      </w:r>
      <w:r w:rsidR="00DC4959">
        <w:rPr>
          <w:rFonts w:hint="eastAsia"/>
        </w:rPr>
        <w:t>之</w:t>
      </w:r>
      <w:r w:rsidR="004F099C" w:rsidRPr="004F099C">
        <w:rPr>
          <w:rFonts w:hint="eastAsia"/>
        </w:rPr>
        <w:t>轉診比率，</w:t>
      </w:r>
      <w:r w:rsidR="00B02309">
        <w:rPr>
          <w:rFonts w:hint="eastAsia"/>
        </w:rPr>
        <w:t>以裨益分級醫療制度之遂行</w:t>
      </w:r>
      <w:r w:rsidR="004F099C">
        <w:rPr>
          <w:rFonts w:hint="eastAsia"/>
        </w:rPr>
        <w:t>，</w:t>
      </w:r>
      <w:r w:rsidR="004F099C" w:rsidRPr="004F099C">
        <w:rPr>
          <w:rFonts w:hint="eastAsia"/>
        </w:rPr>
        <w:t>避免無謂醫療浪費</w:t>
      </w:r>
      <w:r>
        <w:rPr>
          <w:rFonts w:hint="eastAsia"/>
        </w:rPr>
        <w:t>。</w:t>
      </w:r>
    </w:p>
    <w:p w:rsidR="002254DE" w:rsidRDefault="00002DFE" w:rsidP="00584595">
      <w:pPr>
        <w:pStyle w:val="2"/>
        <w:rPr>
          <w:b/>
        </w:rPr>
      </w:pPr>
      <w:r>
        <w:rPr>
          <w:rFonts w:hint="eastAsia"/>
          <w:b/>
        </w:rPr>
        <w:t>有關</w:t>
      </w:r>
      <w:r w:rsidR="002254DE" w:rsidRPr="00F67540">
        <w:rPr>
          <w:rFonts w:hint="eastAsia"/>
          <w:b/>
        </w:rPr>
        <w:t>健保署</w:t>
      </w:r>
      <w:r>
        <w:rPr>
          <w:rFonts w:hint="eastAsia"/>
          <w:b/>
        </w:rPr>
        <w:t>現行</w:t>
      </w:r>
      <w:r w:rsidR="002254DE" w:rsidRPr="008B3A33">
        <w:rPr>
          <w:rFonts w:hint="eastAsia"/>
          <w:b/>
        </w:rPr>
        <w:t>家</w:t>
      </w:r>
      <w:proofErr w:type="gramStart"/>
      <w:r w:rsidR="002254DE" w:rsidRPr="008B3A33">
        <w:rPr>
          <w:rFonts w:hint="eastAsia"/>
          <w:b/>
        </w:rPr>
        <w:t>醫</w:t>
      </w:r>
      <w:proofErr w:type="gramEnd"/>
      <w:r w:rsidR="002254DE" w:rsidRPr="008B3A33">
        <w:rPr>
          <w:rFonts w:hint="eastAsia"/>
          <w:b/>
        </w:rPr>
        <w:t>計畫</w:t>
      </w:r>
      <w:r>
        <w:rPr>
          <w:rFonts w:hint="eastAsia"/>
          <w:b/>
        </w:rPr>
        <w:t>評核方式側重</w:t>
      </w:r>
      <w:r w:rsidR="007E6A86">
        <w:rPr>
          <w:rFonts w:hint="eastAsia"/>
          <w:b/>
        </w:rPr>
        <w:t>品質指標之呈現，</w:t>
      </w:r>
      <w:r w:rsidR="002254DE">
        <w:rPr>
          <w:rFonts w:hint="eastAsia"/>
          <w:b/>
        </w:rPr>
        <w:t>宜</w:t>
      </w:r>
      <w:r>
        <w:rPr>
          <w:rFonts w:hint="eastAsia"/>
          <w:b/>
        </w:rPr>
        <w:t>請</w:t>
      </w:r>
      <w:r w:rsidR="002254DE">
        <w:rPr>
          <w:rFonts w:hint="eastAsia"/>
          <w:b/>
        </w:rPr>
        <w:t>增列明確</w:t>
      </w:r>
      <w:r w:rsidR="007E6A86">
        <w:rPr>
          <w:rFonts w:hint="eastAsia"/>
          <w:b/>
        </w:rPr>
        <w:t>之推動期程與逐年推展</w:t>
      </w:r>
      <w:r w:rsidR="008D0AB4">
        <w:rPr>
          <w:rFonts w:hint="eastAsia"/>
          <w:b/>
        </w:rPr>
        <w:t>之</w:t>
      </w:r>
      <w:r w:rsidR="002254DE">
        <w:rPr>
          <w:rFonts w:hint="eastAsia"/>
          <w:b/>
        </w:rPr>
        <w:t>量化</w:t>
      </w:r>
      <w:r>
        <w:rPr>
          <w:rFonts w:hint="eastAsia"/>
          <w:b/>
        </w:rPr>
        <w:t>指標</w:t>
      </w:r>
      <w:r w:rsidR="007E6A86">
        <w:rPr>
          <w:rFonts w:hint="eastAsia"/>
          <w:b/>
        </w:rPr>
        <w:t>，</w:t>
      </w:r>
      <w:proofErr w:type="gramStart"/>
      <w:r w:rsidR="007E6A86">
        <w:rPr>
          <w:rFonts w:hint="eastAsia"/>
          <w:b/>
        </w:rPr>
        <w:t>俾</w:t>
      </w:r>
      <w:proofErr w:type="gramEnd"/>
      <w:r w:rsidR="007E6A86">
        <w:rPr>
          <w:rFonts w:hint="eastAsia"/>
          <w:b/>
        </w:rPr>
        <w:t>利</w:t>
      </w:r>
      <w:proofErr w:type="gramStart"/>
      <w:r w:rsidR="007E6A86">
        <w:rPr>
          <w:rFonts w:hint="eastAsia"/>
          <w:b/>
        </w:rPr>
        <w:t>覈</w:t>
      </w:r>
      <w:proofErr w:type="gramEnd"/>
      <w:r w:rsidR="007E6A86">
        <w:rPr>
          <w:rFonts w:hint="eastAsia"/>
          <w:b/>
        </w:rPr>
        <w:t>實</w:t>
      </w:r>
      <w:r w:rsidR="008D0AB4">
        <w:rPr>
          <w:rFonts w:hint="eastAsia"/>
          <w:b/>
        </w:rPr>
        <w:t>考核與評估其具體實施績效：</w:t>
      </w:r>
    </w:p>
    <w:p w:rsidR="008D0AB4" w:rsidRDefault="008D0AB4" w:rsidP="008D0AB4">
      <w:pPr>
        <w:pStyle w:val="3"/>
        <w:ind w:left="1360" w:hanging="680"/>
      </w:pPr>
      <w:r>
        <w:rPr>
          <w:rFonts w:hint="eastAsia"/>
        </w:rPr>
        <w:t>按</w:t>
      </w:r>
      <w:r w:rsidRPr="008D0AB4">
        <w:rPr>
          <w:rFonts w:hint="eastAsia"/>
        </w:rPr>
        <w:t>健保法</w:t>
      </w:r>
      <w:r w:rsidR="005E0D3C">
        <w:rPr>
          <w:rFonts w:hint="eastAsia"/>
        </w:rPr>
        <w:t>第43條明定：「保險對象應自行負擔門診或急診費用之百分之二十，居家照護醫療費用之百分之五。但不經轉診，於地區醫院、區域醫院、醫學中心門診就醫者，應分別負擔其百分之三十、百分之四十及百分之五十。…</w:t>
      </w:r>
      <w:proofErr w:type="gramStart"/>
      <w:r w:rsidR="005E0D3C">
        <w:rPr>
          <w:rFonts w:hint="eastAsia"/>
        </w:rPr>
        <w:t>…</w:t>
      </w:r>
      <w:proofErr w:type="gramEnd"/>
      <w:r w:rsidR="005E0D3C">
        <w:rPr>
          <w:rFonts w:hint="eastAsia"/>
        </w:rPr>
        <w:t>第一項應自行負擔之費用，主管機關於必要時，得依診所及各級醫院前一年平均門診費用及第一項所定比率，以定額方式收取，並每年公告其金額。第一項之轉診實施辦法及第二項醫療資源缺乏地區之條件，由主管機關定之。」而同法</w:t>
      </w:r>
      <w:r w:rsidRPr="008D0AB4">
        <w:rPr>
          <w:rFonts w:hint="eastAsia"/>
        </w:rPr>
        <w:t>第44條</w:t>
      </w:r>
      <w:r>
        <w:rPr>
          <w:rFonts w:hint="eastAsia"/>
        </w:rPr>
        <w:t>第1項</w:t>
      </w:r>
      <w:r w:rsidR="005E0D3C">
        <w:rPr>
          <w:rFonts w:hint="eastAsia"/>
        </w:rPr>
        <w:t>亦</w:t>
      </w:r>
      <w:r>
        <w:rPr>
          <w:rFonts w:hint="eastAsia"/>
        </w:rPr>
        <w:t>明定</w:t>
      </w:r>
      <w:r w:rsidRPr="008D0AB4">
        <w:rPr>
          <w:rFonts w:hint="eastAsia"/>
        </w:rPr>
        <w:t>：</w:t>
      </w:r>
      <w:r>
        <w:rPr>
          <w:rFonts w:hint="eastAsia"/>
        </w:rPr>
        <w:t>「</w:t>
      </w:r>
      <w:r w:rsidRPr="008D0AB4">
        <w:rPr>
          <w:rFonts w:hint="eastAsia"/>
        </w:rPr>
        <w:t>保險人為促進預防醫學、落實轉診制度，並提升醫療品質與</w:t>
      </w:r>
      <w:proofErr w:type="gramStart"/>
      <w:r w:rsidRPr="008D0AB4">
        <w:rPr>
          <w:rFonts w:hint="eastAsia"/>
        </w:rPr>
        <w:t>醫</w:t>
      </w:r>
      <w:proofErr w:type="gramEnd"/>
      <w:r w:rsidRPr="008D0AB4">
        <w:rPr>
          <w:rFonts w:hint="eastAsia"/>
        </w:rPr>
        <w:t>病關係，應訂定家庭責任醫師制度。</w:t>
      </w:r>
      <w:r>
        <w:rPr>
          <w:rFonts w:hint="eastAsia"/>
        </w:rPr>
        <w:t>」足見</w:t>
      </w:r>
      <w:r w:rsidR="005E0D3C">
        <w:rPr>
          <w:rFonts w:hint="eastAsia"/>
        </w:rPr>
        <w:t>推動轉診制度與</w:t>
      </w:r>
      <w:r w:rsidR="005A5980">
        <w:rPr>
          <w:rFonts w:hint="eastAsia"/>
        </w:rPr>
        <w:t>建立</w:t>
      </w:r>
      <w:r w:rsidR="005A5980" w:rsidRPr="008D0AB4">
        <w:rPr>
          <w:rFonts w:hint="eastAsia"/>
        </w:rPr>
        <w:t>家庭責任醫師制度</w:t>
      </w:r>
      <w:r w:rsidR="005A5980">
        <w:rPr>
          <w:rFonts w:hint="eastAsia"/>
        </w:rPr>
        <w:t>，</w:t>
      </w:r>
      <w:proofErr w:type="gramStart"/>
      <w:r w:rsidR="005E0D3C">
        <w:rPr>
          <w:rFonts w:hint="eastAsia"/>
        </w:rPr>
        <w:t>均為</w:t>
      </w:r>
      <w:r w:rsidR="005A5980" w:rsidRPr="005A5980">
        <w:rPr>
          <w:rFonts w:hint="eastAsia"/>
        </w:rPr>
        <w:t>健保</w:t>
      </w:r>
      <w:proofErr w:type="gramEnd"/>
      <w:r w:rsidR="005A5980" w:rsidRPr="005A5980">
        <w:rPr>
          <w:rFonts w:hint="eastAsia"/>
        </w:rPr>
        <w:t>署</w:t>
      </w:r>
      <w:r w:rsidR="005A5980">
        <w:rPr>
          <w:rFonts w:hint="eastAsia"/>
        </w:rPr>
        <w:t>責無旁貸之法定責任與義務。</w:t>
      </w:r>
    </w:p>
    <w:p w:rsidR="005A5980" w:rsidRDefault="00612576" w:rsidP="00612576">
      <w:pPr>
        <w:pStyle w:val="3"/>
        <w:ind w:left="1360" w:hanging="680"/>
      </w:pPr>
      <w:proofErr w:type="gramStart"/>
      <w:r>
        <w:rPr>
          <w:rFonts w:hint="eastAsia"/>
        </w:rPr>
        <w:t>揆</w:t>
      </w:r>
      <w:proofErr w:type="gramEnd"/>
      <w:r>
        <w:rPr>
          <w:rFonts w:hint="eastAsia"/>
        </w:rPr>
        <w:t>諸</w:t>
      </w:r>
      <w:r w:rsidRPr="00B02309">
        <w:rPr>
          <w:rFonts w:hint="eastAsia"/>
        </w:rPr>
        <w:t>健保署</w:t>
      </w:r>
      <w:r>
        <w:rPr>
          <w:rFonts w:hint="eastAsia"/>
        </w:rPr>
        <w:t>104年</w:t>
      </w:r>
      <w:r w:rsidRPr="00612576">
        <w:rPr>
          <w:rFonts w:hint="eastAsia"/>
        </w:rPr>
        <w:t>家</w:t>
      </w:r>
      <w:proofErr w:type="gramStart"/>
      <w:r w:rsidRPr="00612576">
        <w:rPr>
          <w:rFonts w:hint="eastAsia"/>
        </w:rPr>
        <w:t>醫</w:t>
      </w:r>
      <w:proofErr w:type="gramEnd"/>
      <w:r w:rsidRPr="00612576">
        <w:rPr>
          <w:rFonts w:hint="eastAsia"/>
        </w:rPr>
        <w:t>計畫評核方式</w:t>
      </w:r>
      <w:r>
        <w:rPr>
          <w:rFonts w:hint="eastAsia"/>
        </w:rPr>
        <w:t>所</w:t>
      </w:r>
      <w:proofErr w:type="gramStart"/>
      <w:r>
        <w:rPr>
          <w:rFonts w:hint="eastAsia"/>
        </w:rPr>
        <w:t>臚</w:t>
      </w:r>
      <w:proofErr w:type="gramEnd"/>
      <w:r>
        <w:rPr>
          <w:rFonts w:hint="eastAsia"/>
        </w:rPr>
        <w:t>列之品質指標與評估構面如下：</w:t>
      </w:r>
    </w:p>
    <w:p w:rsidR="00FB0938" w:rsidRDefault="00FB0938" w:rsidP="00612576">
      <w:pPr>
        <w:pStyle w:val="4"/>
        <w:ind w:left="1700" w:hanging="680"/>
      </w:pPr>
      <w:r>
        <w:rPr>
          <w:rFonts w:hint="eastAsia"/>
        </w:rPr>
        <w:t>提供病人有感服務。</w:t>
      </w:r>
    </w:p>
    <w:p w:rsidR="00FB0938" w:rsidRDefault="00FB0938" w:rsidP="00FB0938">
      <w:pPr>
        <w:pStyle w:val="5"/>
        <w:ind w:left="2041" w:hanging="680"/>
      </w:pPr>
      <w:r>
        <w:rPr>
          <w:rFonts w:hint="eastAsia"/>
        </w:rPr>
        <w:t>24小時諮詢專線：104年委託國立成功大學施測，抽測3</w:t>
      </w:r>
      <w:r w:rsidR="0038728A">
        <w:rPr>
          <w:rFonts w:hint="eastAsia"/>
        </w:rPr>
        <w:t>71</w:t>
      </w:r>
      <w:r>
        <w:rPr>
          <w:rFonts w:hint="eastAsia"/>
        </w:rPr>
        <w:t>通，</w:t>
      </w:r>
      <w:r w:rsidR="0038728A">
        <w:rPr>
          <w:rFonts w:hint="eastAsia"/>
        </w:rPr>
        <w:t>平均得分達88.2</w:t>
      </w:r>
      <w:r w:rsidR="00A778B6">
        <w:rPr>
          <w:rFonts w:hint="eastAsia"/>
        </w:rPr>
        <w:t>％</w:t>
      </w:r>
      <w:r w:rsidR="0038728A">
        <w:rPr>
          <w:rFonts w:hint="eastAsia"/>
        </w:rPr>
        <w:t>。</w:t>
      </w:r>
    </w:p>
    <w:p w:rsidR="0038728A" w:rsidRDefault="0038728A" w:rsidP="00FB0938">
      <w:pPr>
        <w:pStyle w:val="5"/>
        <w:ind w:left="2041" w:hanging="680"/>
      </w:pPr>
      <w:r>
        <w:rPr>
          <w:rFonts w:hint="eastAsia"/>
        </w:rPr>
        <w:t>會員滿意度：104年委託國立成功大學施測，電話抽測3,009通，對醫療群醫師整體滿意度85.5</w:t>
      </w:r>
      <w:r w:rsidR="00A778B6">
        <w:rPr>
          <w:rFonts w:hint="eastAsia"/>
        </w:rPr>
        <w:t>％</w:t>
      </w:r>
      <w:r>
        <w:rPr>
          <w:rFonts w:hint="eastAsia"/>
        </w:rPr>
        <w:t>、提供健康諮詢及衛教訊息，滿意度85.9</w:t>
      </w:r>
      <w:r w:rsidR="00A778B6">
        <w:rPr>
          <w:rFonts w:hint="eastAsia"/>
        </w:rPr>
        <w:t>％</w:t>
      </w:r>
      <w:r>
        <w:rPr>
          <w:rFonts w:hint="eastAsia"/>
        </w:rPr>
        <w:t>、對您健康狀況的了解程度，滿意度81.7</w:t>
      </w:r>
      <w:r w:rsidR="00A778B6">
        <w:rPr>
          <w:rFonts w:hint="eastAsia"/>
        </w:rPr>
        <w:t>％</w:t>
      </w:r>
      <w:r>
        <w:rPr>
          <w:rFonts w:hint="eastAsia"/>
        </w:rPr>
        <w:t>。</w:t>
      </w:r>
    </w:p>
    <w:p w:rsidR="00612576" w:rsidRDefault="00DC1769" w:rsidP="00612576">
      <w:pPr>
        <w:pStyle w:val="4"/>
        <w:ind w:left="1700" w:hanging="680"/>
      </w:pPr>
      <w:r>
        <w:rPr>
          <w:rFonts w:hint="eastAsia"/>
        </w:rPr>
        <w:lastRenderedPageBreak/>
        <w:t>急診率(服務結果)。</w:t>
      </w:r>
    </w:p>
    <w:p w:rsidR="00DC1769" w:rsidRDefault="00DC1769" w:rsidP="00612576">
      <w:pPr>
        <w:pStyle w:val="4"/>
        <w:ind w:left="1700" w:hanging="680"/>
      </w:pPr>
      <w:r>
        <w:rPr>
          <w:rFonts w:hint="eastAsia"/>
        </w:rPr>
        <w:t>住院率(服務結果)。</w:t>
      </w:r>
    </w:p>
    <w:p w:rsidR="00DC1769" w:rsidRDefault="00DC1769" w:rsidP="00612576">
      <w:pPr>
        <w:pStyle w:val="4"/>
        <w:ind w:left="1700" w:hanging="680"/>
      </w:pPr>
      <w:r>
        <w:rPr>
          <w:rFonts w:hint="eastAsia"/>
        </w:rPr>
        <w:t>會員固定就診率(服務持續性)。</w:t>
      </w:r>
    </w:p>
    <w:p w:rsidR="00DC1769" w:rsidRDefault="00DC1769" w:rsidP="00612576">
      <w:pPr>
        <w:pStyle w:val="4"/>
        <w:ind w:left="1700" w:hanging="680"/>
      </w:pPr>
      <w:r>
        <w:rPr>
          <w:rFonts w:hint="eastAsia"/>
        </w:rPr>
        <w:t>成人預防保健檢查率(服務周全性)。</w:t>
      </w:r>
    </w:p>
    <w:p w:rsidR="00DC1769" w:rsidRDefault="00DC1769" w:rsidP="00612576">
      <w:pPr>
        <w:pStyle w:val="4"/>
        <w:ind w:left="1700" w:hanging="680"/>
      </w:pPr>
      <w:r>
        <w:rPr>
          <w:rFonts w:hint="eastAsia"/>
        </w:rPr>
        <w:t>子宮頸抹片檢查率(服務周全性)。</w:t>
      </w:r>
    </w:p>
    <w:p w:rsidR="00DC1769" w:rsidRDefault="00DC1769" w:rsidP="00612576">
      <w:pPr>
        <w:pStyle w:val="4"/>
        <w:ind w:left="1700" w:hanging="680"/>
      </w:pPr>
      <w:r>
        <w:rPr>
          <w:rFonts w:hint="eastAsia"/>
        </w:rPr>
        <w:t>老人流感注射率(服務周全性)。</w:t>
      </w:r>
    </w:p>
    <w:p w:rsidR="00DC1769" w:rsidRDefault="00DC1769" w:rsidP="00612576">
      <w:pPr>
        <w:pStyle w:val="4"/>
        <w:ind w:left="1700" w:hanging="680"/>
      </w:pPr>
      <w:r>
        <w:rPr>
          <w:rFonts w:hint="eastAsia"/>
        </w:rPr>
        <w:t>糞便潛血檢查率(服務周全性)。</w:t>
      </w:r>
    </w:p>
    <w:p w:rsidR="00DC1769" w:rsidRDefault="00DC1769" w:rsidP="00612576">
      <w:pPr>
        <w:pStyle w:val="4"/>
        <w:ind w:left="1700" w:hanging="680"/>
      </w:pPr>
      <w:r>
        <w:rPr>
          <w:rFonts w:hint="eastAsia"/>
        </w:rPr>
        <w:t>轉診率(服務協調性)。</w:t>
      </w:r>
    </w:p>
    <w:p w:rsidR="00DC1769" w:rsidRDefault="00DC1769" w:rsidP="00612576">
      <w:pPr>
        <w:pStyle w:val="4"/>
        <w:ind w:left="1700" w:hanging="680"/>
      </w:pPr>
      <w:r>
        <w:rPr>
          <w:rFonts w:hint="eastAsia"/>
        </w:rPr>
        <w:t>門診病人</w:t>
      </w:r>
      <w:r w:rsidRPr="00B02309">
        <w:rPr>
          <w:rFonts w:hint="eastAsia"/>
        </w:rPr>
        <w:t>健保</w:t>
      </w:r>
      <w:r>
        <w:rPr>
          <w:rFonts w:hint="eastAsia"/>
        </w:rPr>
        <w:t>雲端藥</w:t>
      </w:r>
      <w:r w:rsidR="00BB71A4">
        <w:rPr>
          <w:rFonts w:hint="eastAsia"/>
        </w:rPr>
        <w:t>歷系統查詢</w:t>
      </w:r>
      <w:r>
        <w:rPr>
          <w:rFonts w:hint="eastAsia"/>
        </w:rPr>
        <w:t>率(服務周全性)。</w:t>
      </w:r>
    </w:p>
    <w:p w:rsidR="00BC19FB" w:rsidRDefault="00BC19FB" w:rsidP="00BB71A4">
      <w:pPr>
        <w:pStyle w:val="3"/>
        <w:ind w:left="1360" w:hanging="680"/>
      </w:pPr>
      <w:r>
        <w:rPr>
          <w:rFonts w:hint="eastAsia"/>
        </w:rPr>
        <w:t>又查</w:t>
      </w:r>
      <w:r w:rsidR="00E1258A" w:rsidRPr="00B02309">
        <w:rPr>
          <w:rFonts w:hint="eastAsia"/>
        </w:rPr>
        <w:t>健保署</w:t>
      </w:r>
      <w:r w:rsidR="00E1258A">
        <w:rPr>
          <w:rFonts w:hint="eastAsia"/>
        </w:rPr>
        <w:t>105年</w:t>
      </w:r>
      <w:r w:rsidR="00E1258A" w:rsidRPr="00612576">
        <w:rPr>
          <w:rFonts w:hint="eastAsia"/>
        </w:rPr>
        <w:t>家</w:t>
      </w:r>
      <w:proofErr w:type="gramStart"/>
      <w:r w:rsidR="00E1258A" w:rsidRPr="00612576">
        <w:rPr>
          <w:rFonts w:hint="eastAsia"/>
        </w:rPr>
        <w:t>醫</w:t>
      </w:r>
      <w:proofErr w:type="gramEnd"/>
      <w:r w:rsidR="00E1258A" w:rsidRPr="00612576">
        <w:rPr>
          <w:rFonts w:hint="eastAsia"/>
        </w:rPr>
        <w:t>計畫評核方式</w:t>
      </w:r>
      <w:r w:rsidR="001E1E9C">
        <w:rPr>
          <w:rFonts w:hint="eastAsia"/>
        </w:rPr>
        <w:t>修訂</w:t>
      </w:r>
      <w:r w:rsidR="00E1258A">
        <w:rPr>
          <w:rFonts w:hint="eastAsia"/>
        </w:rPr>
        <w:t>如下：</w:t>
      </w:r>
    </w:p>
    <w:p w:rsidR="00E1258A" w:rsidRDefault="0038278F" w:rsidP="0038278F">
      <w:pPr>
        <w:pStyle w:val="4"/>
        <w:ind w:left="1700" w:hanging="680"/>
      </w:pPr>
      <w:r>
        <w:rPr>
          <w:rFonts w:hint="eastAsia"/>
        </w:rPr>
        <w:t>為</w:t>
      </w:r>
      <w:r w:rsidRPr="0038278F">
        <w:rPr>
          <w:rFonts w:hint="eastAsia"/>
        </w:rPr>
        <w:t>加強醫療群對全人整合性照護</w:t>
      </w:r>
      <w:r>
        <w:rPr>
          <w:rFonts w:hint="eastAsia"/>
        </w:rPr>
        <w:t>，於計畫評核指標，</w:t>
      </w:r>
      <w:proofErr w:type="gramStart"/>
      <w:r>
        <w:rPr>
          <w:rFonts w:hint="eastAsia"/>
        </w:rPr>
        <w:t>增列收治</w:t>
      </w:r>
      <w:proofErr w:type="gramEnd"/>
      <w:r w:rsidRPr="0038278F">
        <w:rPr>
          <w:rFonts w:hint="eastAsia"/>
        </w:rPr>
        <w:t>糖尿病、初期慢性腎臟病</w:t>
      </w:r>
      <w:r>
        <w:rPr>
          <w:rFonts w:hint="eastAsia"/>
        </w:rPr>
        <w:t>個案(未於醫療給付改善方案收案)之診所，鼓勵診所上傳上開疾病病患檢驗檢查值。</w:t>
      </w:r>
    </w:p>
    <w:p w:rsidR="0038278F" w:rsidRDefault="0038278F" w:rsidP="00BC69FD">
      <w:pPr>
        <w:pStyle w:val="4"/>
        <w:ind w:left="1700" w:hanging="680"/>
      </w:pPr>
      <w:r>
        <w:rPr>
          <w:rFonts w:hint="eastAsia"/>
        </w:rPr>
        <w:t>為</w:t>
      </w:r>
      <w:r w:rsidR="00BC69FD" w:rsidRPr="00BC69FD">
        <w:rPr>
          <w:rFonts w:hint="eastAsia"/>
        </w:rPr>
        <w:t>調整獎勵制度</w:t>
      </w:r>
      <w:r w:rsidR="00BC69FD">
        <w:rPr>
          <w:rFonts w:hint="eastAsia"/>
        </w:rPr>
        <w:t>，</w:t>
      </w:r>
      <w:r w:rsidR="00BC69FD" w:rsidRPr="00BC69FD">
        <w:rPr>
          <w:rFonts w:hint="eastAsia"/>
        </w:rPr>
        <w:t>計畫評核指標修訂</w:t>
      </w:r>
      <w:r w:rsidR="00BC69FD">
        <w:rPr>
          <w:rFonts w:hint="eastAsia"/>
        </w:rPr>
        <w:t>為：</w:t>
      </w:r>
    </w:p>
    <w:p w:rsidR="00BC69FD" w:rsidRDefault="00BC69FD" w:rsidP="00BC69FD">
      <w:pPr>
        <w:pStyle w:val="5"/>
        <w:ind w:left="2041" w:hanging="680"/>
      </w:pPr>
      <w:r>
        <w:rPr>
          <w:rFonts w:hint="eastAsia"/>
        </w:rPr>
        <w:t>門診病人健保雲端藥歷系統查詢率，增設自身比較及計分方式。</w:t>
      </w:r>
    </w:p>
    <w:p w:rsidR="00BC69FD" w:rsidRDefault="00BC69FD" w:rsidP="00BC69FD">
      <w:pPr>
        <w:pStyle w:val="5"/>
        <w:ind w:left="2041" w:hanging="680"/>
      </w:pPr>
      <w:r>
        <w:rPr>
          <w:rFonts w:hint="eastAsia"/>
        </w:rPr>
        <w:t>醫療群會員門診經</w:t>
      </w:r>
      <w:proofErr w:type="gramStart"/>
      <w:r>
        <w:rPr>
          <w:rFonts w:hint="eastAsia"/>
        </w:rPr>
        <w:t>醫療群轉診</w:t>
      </w:r>
      <w:proofErr w:type="gramEnd"/>
      <w:r>
        <w:rPr>
          <w:rFonts w:hint="eastAsia"/>
        </w:rPr>
        <w:t>率，由加</w:t>
      </w:r>
      <w:proofErr w:type="gramStart"/>
      <w:r>
        <w:rPr>
          <w:rFonts w:hint="eastAsia"/>
        </w:rPr>
        <w:t>分項改為</w:t>
      </w:r>
      <w:proofErr w:type="gramEnd"/>
      <w:r>
        <w:rPr>
          <w:rFonts w:hint="eastAsia"/>
        </w:rPr>
        <w:t>符合指標得4</w:t>
      </w:r>
      <w:r w:rsidR="00A778B6">
        <w:rPr>
          <w:rFonts w:hint="eastAsia"/>
        </w:rPr>
        <w:t>％</w:t>
      </w:r>
      <w:r>
        <w:rPr>
          <w:rFonts w:hint="eastAsia"/>
        </w:rPr>
        <w:t>；增設同儕比較及計分方式。</w:t>
      </w:r>
    </w:p>
    <w:p w:rsidR="00BC69FD" w:rsidRDefault="002C4256" w:rsidP="002C4256">
      <w:pPr>
        <w:pStyle w:val="5"/>
        <w:ind w:left="2041" w:hanging="680"/>
      </w:pPr>
      <w:r>
        <w:rPr>
          <w:rFonts w:hint="eastAsia"/>
        </w:rPr>
        <w:t>「</w:t>
      </w:r>
      <w:r w:rsidR="00BC69FD">
        <w:rPr>
          <w:rFonts w:hint="eastAsia"/>
        </w:rPr>
        <w:t>會員急診率」及「疾病住院率</w:t>
      </w:r>
      <w:r>
        <w:rPr>
          <w:rFonts w:hint="eastAsia"/>
        </w:rPr>
        <w:t>」</w:t>
      </w:r>
      <w:r w:rsidR="00BC69FD">
        <w:rPr>
          <w:rFonts w:hint="eastAsia"/>
        </w:rPr>
        <w:t>分別修正為「潛在可避</w:t>
      </w:r>
      <w:r>
        <w:rPr>
          <w:rFonts w:hint="eastAsia"/>
        </w:rPr>
        <w:t>免</w:t>
      </w:r>
      <w:r w:rsidR="00BC69FD">
        <w:rPr>
          <w:rFonts w:hint="eastAsia"/>
        </w:rPr>
        <w:t>急診率」及「可避</w:t>
      </w:r>
      <w:r>
        <w:rPr>
          <w:rFonts w:hint="eastAsia"/>
        </w:rPr>
        <w:t>免</w:t>
      </w:r>
      <w:r w:rsidR="00BC69FD">
        <w:rPr>
          <w:rFonts w:hint="eastAsia"/>
        </w:rPr>
        <w:t>住院率」</w:t>
      </w:r>
      <w:r>
        <w:rPr>
          <w:rFonts w:hint="eastAsia"/>
        </w:rPr>
        <w:t>。</w:t>
      </w:r>
    </w:p>
    <w:p w:rsidR="00BC69FD" w:rsidRDefault="00BC69FD" w:rsidP="00BC69FD">
      <w:pPr>
        <w:pStyle w:val="5"/>
        <w:ind w:left="2041" w:hanging="680"/>
      </w:pPr>
      <w:r>
        <w:rPr>
          <w:rFonts w:hint="eastAsia"/>
        </w:rPr>
        <w:t>會員固定就診率</w:t>
      </w:r>
      <w:r w:rsidR="002C4256">
        <w:rPr>
          <w:rFonts w:hint="eastAsia"/>
        </w:rPr>
        <w:t>，增列</w:t>
      </w:r>
      <w:r>
        <w:rPr>
          <w:rFonts w:hint="eastAsia"/>
        </w:rPr>
        <w:t>同儕比較及計分方式。</w:t>
      </w:r>
    </w:p>
    <w:p w:rsidR="00BC69FD" w:rsidRDefault="00BC69FD" w:rsidP="002C4256">
      <w:pPr>
        <w:pStyle w:val="5"/>
        <w:ind w:left="2041" w:hanging="680"/>
      </w:pPr>
      <w:r>
        <w:rPr>
          <w:rFonts w:hint="eastAsia"/>
        </w:rPr>
        <w:t>預防保健</w:t>
      </w:r>
      <w:proofErr w:type="gramStart"/>
      <w:r w:rsidR="002C4256">
        <w:rPr>
          <w:rFonts w:hint="eastAsia"/>
        </w:rPr>
        <w:t>之總</w:t>
      </w:r>
      <w:r>
        <w:rPr>
          <w:rFonts w:hint="eastAsia"/>
        </w:rPr>
        <w:t>權重</w:t>
      </w:r>
      <w:proofErr w:type="gramEnd"/>
      <w:r>
        <w:rPr>
          <w:rFonts w:hint="eastAsia"/>
        </w:rPr>
        <w:t>由20</w:t>
      </w:r>
      <w:r w:rsidR="00A778B6">
        <w:rPr>
          <w:rFonts w:hint="eastAsia"/>
        </w:rPr>
        <w:t>％</w:t>
      </w:r>
      <w:r>
        <w:rPr>
          <w:rFonts w:hint="eastAsia"/>
        </w:rPr>
        <w:t>下修至16</w:t>
      </w:r>
      <w:r w:rsidR="00A778B6">
        <w:rPr>
          <w:rFonts w:hint="eastAsia"/>
        </w:rPr>
        <w:t>％</w:t>
      </w:r>
      <w:r w:rsidR="002C4256">
        <w:rPr>
          <w:rFonts w:hint="eastAsia"/>
        </w:rPr>
        <w:t>，</w:t>
      </w:r>
      <w:r>
        <w:rPr>
          <w:rFonts w:hint="eastAsia"/>
        </w:rPr>
        <w:t>成人</w:t>
      </w:r>
      <w:r w:rsidR="002C4256">
        <w:rPr>
          <w:rFonts w:hint="eastAsia"/>
        </w:rPr>
        <w:t>健</w:t>
      </w:r>
      <w:r>
        <w:rPr>
          <w:rFonts w:hint="eastAsia"/>
        </w:rPr>
        <w:t>檢率及老人流感注射率等2項</w:t>
      </w:r>
      <w:r w:rsidR="002C4256">
        <w:rPr>
          <w:rFonts w:hint="eastAsia"/>
        </w:rPr>
        <w:t>，</w:t>
      </w:r>
      <w:r>
        <w:rPr>
          <w:rFonts w:hint="eastAsia"/>
        </w:rPr>
        <w:t>調整計分之目標值。</w:t>
      </w:r>
      <w:r w:rsidR="002C4256">
        <w:rPr>
          <w:rFonts w:hint="eastAsia"/>
        </w:rPr>
        <w:t>又</w:t>
      </w:r>
      <w:r>
        <w:rPr>
          <w:rFonts w:hint="eastAsia"/>
        </w:rPr>
        <w:t>子宮頸抹</w:t>
      </w:r>
      <w:r w:rsidR="002C4256">
        <w:rPr>
          <w:rFonts w:hint="eastAsia"/>
        </w:rPr>
        <w:t>片</w:t>
      </w:r>
      <w:r>
        <w:rPr>
          <w:rFonts w:hint="eastAsia"/>
        </w:rPr>
        <w:t>檢查率及老人</w:t>
      </w:r>
      <w:r w:rsidR="002C4256">
        <w:rPr>
          <w:rFonts w:hint="eastAsia"/>
        </w:rPr>
        <w:t>流感注射率等2項，權重由5</w:t>
      </w:r>
      <w:r w:rsidR="00A778B6">
        <w:rPr>
          <w:rFonts w:hint="eastAsia"/>
        </w:rPr>
        <w:t>％</w:t>
      </w:r>
      <w:r w:rsidR="002C4256">
        <w:rPr>
          <w:rFonts w:hint="eastAsia"/>
        </w:rPr>
        <w:t>分別下修至4</w:t>
      </w:r>
      <w:r w:rsidR="00A778B6">
        <w:rPr>
          <w:rFonts w:hint="eastAsia"/>
        </w:rPr>
        <w:t>％</w:t>
      </w:r>
      <w:r w:rsidR="002C4256">
        <w:rPr>
          <w:rFonts w:hint="eastAsia"/>
        </w:rPr>
        <w:t>、2</w:t>
      </w:r>
      <w:r w:rsidR="00A778B6">
        <w:rPr>
          <w:rFonts w:hint="eastAsia"/>
        </w:rPr>
        <w:t>％</w:t>
      </w:r>
      <w:r w:rsidR="002C4256">
        <w:rPr>
          <w:rFonts w:hint="eastAsia"/>
        </w:rPr>
        <w:t xml:space="preserve">。 </w:t>
      </w:r>
    </w:p>
    <w:p w:rsidR="00612576" w:rsidRDefault="00BB71A4" w:rsidP="00BB71A4">
      <w:pPr>
        <w:pStyle w:val="3"/>
        <w:ind w:left="1360" w:hanging="680"/>
      </w:pPr>
      <w:r>
        <w:rPr>
          <w:rFonts w:hint="eastAsia"/>
        </w:rPr>
        <w:t>質言之，</w:t>
      </w:r>
      <w:r w:rsidRPr="00B02309">
        <w:rPr>
          <w:rFonts w:hint="eastAsia"/>
        </w:rPr>
        <w:t>健保署</w:t>
      </w:r>
      <w:r>
        <w:rPr>
          <w:rFonts w:hint="eastAsia"/>
        </w:rPr>
        <w:t>現行</w:t>
      </w:r>
      <w:r w:rsidRPr="00B02309">
        <w:rPr>
          <w:rFonts w:hint="eastAsia"/>
        </w:rPr>
        <w:t>家</w:t>
      </w:r>
      <w:proofErr w:type="gramStart"/>
      <w:r w:rsidRPr="00B02309">
        <w:rPr>
          <w:rFonts w:hint="eastAsia"/>
        </w:rPr>
        <w:t>醫</w:t>
      </w:r>
      <w:proofErr w:type="gramEnd"/>
      <w:r w:rsidRPr="00B02309">
        <w:rPr>
          <w:rFonts w:hint="eastAsia"/>
        </w:rPr>
        <w:t>計畫</w:t>
      </w:r>
      <w:r w:rsidRPr="00BB71A4">
        <w:rPr>
          <w:rFonts w:hint="eastAsia"/>
        </w:rPr>
        <w:t>評核方式側重品質指標之呈現，</w:t>
      </w:r>
      <w:proofErr w:type="gramStart"/>
      <w:r>
        <w:rPr>
          <w:rFonts w:hint="eastAsia"/>
        </w:rPr>
        <w:t>爰</w:t>
      </w:r>
      <w:proofErr w:type="gramEnd"/>
      <w:r w:rsidRPr="00BB71A4">
        <w:rPr>
          <w:rFonts w:hint="eastAsia"/>
        </w:rPr>
        <w:t>宜請</w:t>
      </w:r>
      <w:r>
        <w:rPr>
          <w:rFonts w:hint="eastAsia"/>
        </w:rPr>
        <w:t>遵照</w:t>
      </w:r>
      <w:r w:rsidRPr="008D0AB4">
        <w:rPr>
          <w:rFonts w:hint="eastAsia"/>
        </w:rPr>
        <w:t>健保法</w:t>
      </w:r>
      <w:r>
        <w:rPr>
          <w:rFonts w:hint="eastAsia"/>
        </w:rPr>
        <w:t>第43條、第44條明定之「推動轉診制度與建立</w:t>
      </w:r>
      <w:r w:rsidRPr="008D0AB4">
        <w:rPr>
          <w:rFonts w:hint="eastAsia"/>
        </w:rPr>
        <w:t>家庭責任醫師制度</w:t>
      </w:r>
      <w:r>
        <w:rPr>
          <w:rFonts w:hint="eastAsia"/>
        </w:rPr>
        <w:t>」法</w:t>
      </w:r>
      <w:r>
        <w:rPr>
          <w:rFonts w:hint="eastAsia"/>
        </w:rPr>
        <w:lastRenderedPageBreak/>
        <w:t>定責任與義務，</w:t>
      </w:r>
      <w:r w:rsidRPr="00BB71A4">
        <w:rPr>
          <w:rFonts w:hint="eastAsia"/>
        </w:rPr>
        <w:t>增列明確之推動期程與逐年推展之量化指標</w:t>
      </w:r>
      <w:r w:rsidR="00BC69FD">
        <w:rPr>
          <w:rFonts w:hint="eastAsia"/>
        </w:rPr>
        <w:t>(諸如：</w:t>
      </w:r>
      <w:r w:rsidR="002C4256">
        <w:rPr>
          <w:rFonts w:hint="eastAsia"/>
        </w:rPr>
        <w:t>參</w:t>
      </w:r>
      <w:r w:rsidR="00301F60">
        <w:rPr>
          <w:rFonts w:hint="eastAsia"/>
        </w:rPr>
        <w:t>與</w:t>
      </w:r>
      <w:r w:rsidR="00301F60" w:rsidRPr="00B02309">
        <w:rPr>
          <w:rFonts w:hint="eastAsia"/>
        </w:rPr>
        <w:t>家</w:t>
      </w:r>
      <w:proofErr w:type="gramStart"/>
      <w:r w:rsidR="00301F60" w:rsidRPr="00B02309">
        <w:rPr>
          <w:rFonts w:hint="eastAsia"/>
        </w:rPr>
        <w:t>醫</w:t>
      </w:r>
      <w:proofErr w:type="gramEnd"/>
      <w:r w:rsidR="00301F60" w:rsidRPr="00B02309">
        <w:rPr>
          <w:rFonts w:hint="eastAsia"/>
        </w:rPr>
        <w:t>計畫</w:t>
      </w:r>
      <w:r w:rsidR="00BC69FD">
        <w:rPr>
          <w:rFonts w:hint="eastAsia"/>
        </w:rPr>
        <w:t>會員涵蓋增加率、提升轉診比率)</w:t>
      </w:r>
      <w:r w:rsidRPr="00BB71A4">
        <w:rPr>
          <w:rFonts w:hint="eastAsia"/>
        </w:rPr>
        <w:t>，</w:t>
      </w:r>
      <w:proofErr w:type="gramStart"/>
      <w:r w:rsidRPr="00BB71A4">
        <w:rPr>
          <w:rFonts w:hint="eastAsia"/>
        </w:rPr>
        <w:t>俾利</w:t>
      </w:r>
      <w:r>
        <w:rPr>
          <w:rFonts w:hint="eastAsia"/>
        </w:rPr>
        <w:t>據以</w:t>
      </w:r>
      <w:r w:rsidRPr="00BB71A4">
        <w:rPr>
          <w:rFonts w:hint="eastAsia"/>
        </w:rPr>
        <w:t>覈</w:t>
      </w:r>
      <w:proofErr w:type="gramEnd"/>
      <w:r w:rsidRPr="00BB71A4">
        <w:rPr>
          <w:rFonts w:hint="eastAsia"/>
        </w:rPr>
        <w:t>實考核</w:t>
      </w:r>
      <w:r>
        <w:rPr>
          <w:rFonts w:hint="eastAsia"/>
        </w:rPr>
        <w:t>該署是否如期完成上開使命，並切實</w:t>
      </w:r>
      <w:r w:rsidRPr="00BB71A4">
        <w:rPr>
          <w:rFonts w:hint="eastAsia"/>
        </w:rPr>
        <w:t>評估</w:t>
      </w:r>
      <w:r w:rsidRPr="00B02309">
        <w:rPr>
          <w:rFonts w:hint="eastAsia"/>
        </w:rPr>
        <w:t>家</w:t>
      </w:r>
      <w:proofErr w:type="gramStart"/>
      <w:r w:rsidRPr="00B02309">
        <w:rPr>
          <w:rFonts w:hint="eastAsia"/>
        </w:rPr>
        <w:t>醫</w:t>
      </w:r>
      <w:proofErr w:type="gramEnd"/>
      <w:r w:rsidRPr="00B02309">
        <w:rPr>
          <w:rFonts w:hint="eastAsia"/>
        </w:rPr>
        <w:t>計畫</w:t>
      </w:r>
      <w:r>
        <w:rPr>
          <w:rFonts w:hint="eastAsia"/>
        </w:rPr>
        <w:t>之</w:t>
      </w:r>
      <w:r w:rsidRPr="00BB71A4">
        <w:rPr>
          <w:rFonts w:hint="eastAsia"/>
        </w:rPr>
        <w:t>具體實施績效</w:t>
      </w:r>
      <w:r>
        <w:rPr>
          <w:rFonts w:hint="eastAsia"/>
        </w:rPr>
        <w:t>。</w:t>
      </w:r>
    </w:p>
    <w:p w:rsidR="00584595" w:rsidRDefault="00645F78" w:rsidP="00584595">
      <w:pPr>
        <w:pStyle w:val="2"/>
        <w:rPr>
          <w:b/>
        </w:rPr>
      </w:pPr>
      <w:proofErr w:type="gramStart"/>
      <w:r>
        <w:rPr>
          <w:rFonts w:hint="eastAsia"/>
          <w:b/>
        </w:rPr>
        <w:t>衛福部應</w:t>
      </w:r>
      <w:proofErr w:type="gramEnd"/>
      <w:r>
        <w:rPr>
          <w:rFonts w:hint="eastAsia"/>
          <w:b/>
        </w:rPr>
        <w:t>正視國內</w:t>
      </w:r>
      <w:r w:rsidRPr="00645F78">
        <w:rPr>
          <w:rFonts w:hint="eastAsia"/>
          <w:b/>
        </w:rPr>
        <w:t>地區醫院家數</w:t>
      </w:r>
      <w:r>
        <w:rPr>
          <w:rFonts w:hint="eastAsia"/>
          <w:b/>
        </w:rPr>
        <w:t>趨於萎縮之現</w:t>
      </w:r>
      <w:r w:rsidR="00817F27">
        <w:rPr>
          <w:rFonts w:hint="eastAsia"/>
          <w:b/>
        </w:rPr>
        <w:t>況</w:t>
      </w:r>
      <w:r w:rsidR="00584595" w:rsidRPr="00584595">
        <w:rPr>
          <w:rFonts w:hint="eastAsia"/>
          <w:b/>
        </w:rPr>
        <w:t>，</w:t>
      </w:r>
      <w:r w:rsidR="00817F27">
        <w:rPr>
          <w:rFonts w:hint="eastAsia"/>
          <w:b/>
        </w:rPr>
        <w:t>恐將</w:t>
      </w:r>
      <w:r w:rsidR="008620C0">
        <w:rPr>
          <w:rFonts w:hint="eastAsia"/>
          <w:b/>
        </w:rPr>
        <w:t>嚴重</w:t>
      </w:r>
      <w:r w:rsidR="00817F27">
        <w:rPr>
          <w:rFonts w:hint="eastAsia"/>
          <w:b/>
        </w:rPr>
        <w:t>扭曲醫療資源配置，損及民眾「在地醫療便利性」權益，並不利於社區醫療之健全發展</w:t>
      </w:r>
      <w:r w:rsidR="00DF740C">
        <w:rPr>
          <w:rFonts w:hint="eastAsia"/>
          <w:b/>
        </w:rPr>
        <w:t>，</w:t>
      </w:r>
      <w:r w:rsidR="00D66373">
        <w:rPr>
          <w:rFonts w:hint="eastAsia"/>
          <w:b/>
        </w:rPr>
        <w:t>亟</w:t>
      </w:r>
      <w:r w:rsidR="00DF740C">
        <w:rPr>
          <w:rFonts w:hint="eastAsia"/>
          <w:b/>
        </w:rPr>
        <w:t>待</w:t>
      </w:r>
      <w:proofErr w:type="gramStart"/>
      <w:r w:rsidR="00D66373">
        <w:rPr>
          <w:rFonts w:hint="eastAsia"/>
          <w:b/>
        </w:rPr>
        <w:t>研</w:t>
      </w:r>
      <w:proofErr w:type="gramEnd"/>
      <w:r w:rsidR="00D66373">
        <w:rPr>
          <w:rFonts w:hint="eastAsia"/>
          <w:b/>
        </w:rPr>
        <w:t>謀更多元方案，</w:t>
      </w:r>
      <w:r w:rsidR="00176DD2">
        <w:rPr>
          <w:rFonts w:hint="eastAsia"/>
          <w:b/>
        </w:rPr>
        <w:t>以資</w:t>
      </w:r>
      <w:r w:rsidR="00D66373">
        <w:rPr>
          <w:rFonts w:hint="eastAsia"/>
          <w:b/>
        </w:rPr>
        <w:t>匡正</w:t>
      </w:r>
      <w:r w:rsidR="00584595" w:rsidRPr="00584595">
        <w:rPr>
          <w:rFonts w:hint="eastAsia"/>
          <w:b/>
        </w:rPr>
        <w:t>：</w:t>
      </w:r>
    </w:p>
    <w:p w:rsidR="00617F0E" w:rsidRDefault="00617F0E" w:rsidP="00DF740C">
      <w:pPr>
        <w:pStyle w:val="3"/>
        <w:ind w:left="1360" w:hanging="680"/>
      </w:pPr>
      <w:r>
        <w:rPr>
          <w:rFonts w:hint="eastAsia"/>
        </w:rPr>
        <w:t>依據</w:t>
      </w:r>
      <w:r w:rsidRPr="00584595">
        <w:rPr>
          <w:rFonts w:hint="eastAsia"/>
        </w:rPr>
        <w:t>健保署</w:t>
      </w:r>
      <w:r w:rsidRPr="00493300">
        <w:rPr>
          <w:rFonts w:hint="eastAsia"/>
        </w:rPr>
        <w:t>統計</w:t>
      </w:r>
      <w:r>
        <w:rPr>
          <w:rFonts w:hint="eastAsia"/>
        </w:rPr>
        <w:t>資料顯示</w:t>
      </w:r>
      <w:r w:rsidRPr="00493300">
        <w:rPr>
          <w:rFonts w:hint="eastAsia"/>
        </w:rPr>
        <w:t>，至104年底，</w:t>
      </w:r>
      <w:r>
        <w:rPr>
          <w:rFonts w:hint="eastAsia"/>
        </w:rPr>
        <w:t>我國</w:t>
      </w:r>
      <w:r w:rsidRPr="00493300">
        <w:rPr>
          <w:rFonts w:hint="eastAsia"/>
        </w:rPr>
        <w:t>地區醫院</w:t>
      </w:r>
      <w:r>
        <w:rPr>
          <w:rFonts w:hint="eastAsia"/>
        </w:rPr>
        <w:t>之</w:t>
      </w:r>
      <w:r w:rsidRPr="00493300">
        <w:rPr>
          <w:rFonts w:hint="eastAsia"/>
        </w:rPr>
        <w:t>家數</w:t>
      </w:r>
      <w:r>
        <w:rPr>
          <w:rFonts w:hint="eastAsia"/>
        </w:rPr>
        <w:t>為</w:t>
      </w:r>
      <w:r w:rsidRPr="00493300">
        <w:rPr>
          <w:rFonts w:hint="eastAsia"/>
        </w:rPr>
        <w:t>370家，較</w:t>
      </w:r>
      <w:r w:rsidR="00272983">
        <w:rPr>
          <w:rFonts w:hint="eastAsia"/>
        </w:rPr>
        <w:t>95</w:t>
      </w:r>
      <w:r w:rsidRPr="00493300">
        <w:rPr>
          <w:rFonts w:hint="eastAsia"/>
        </w:rPr>
        <w:t>年4</w:t>
      </w:r>
      <w:r w:rsidR="00272983">
        <w:rPr>
          <w:rFonts w:hint="eastAsia"/>
        </w:rPr>
        <w:t>14</w:t>
      </w:r>
      <w:r w:rsidRPr="00493300">
        <w:rPr>
          <w:rFonts w:hint="eastAsia"/>
        </w:rPr>
        <w:t>家</w:t>
      </w:r>
      <w:r w:rsidR="00272983">
        <w:rPr>
          <w:rFonts w:hint="eastAsia"/>
        </w:rPr>
        <w:t>、96</w:t>
      </w:r>
      <w:r w:rsidR="00272983" w:rsidRPr="00493300">
        <w:rPr>
          <w:rFonts w:hint="eastAsia"/>
        </w:rPr>
        <w:t>年</w:t>
      </w:r>
      <w:r w:rsidR="00272983">
        <w:rPr>
          <w:rFonts w:hint="eastAsia"/>
        </w:rPr>
        <w:t>397</w:t>
      </w:r>
      <w:r w:rsidR="00272983" w:rsidRPr="00493300">
        <w:rPr>
          <w:rFonts w:hint="eastAsia"/>
        </w:rPr>
        <w:t>家</w:t>
      </w:r>
      <w:r w:rsidR="00272983">
        <w:rPr>
          <w:rFonts w:hint="eastAsia"/>
        </w:rPr>
        <w:t>、</w:t>
      </w:r>
      <w:r w:rsidR="00272983" w:rsidRPr="00493300">
        <w:rPr>
          <w:rFonts w:hint="eastAsia"/>
        </w:rPr>
        <w:t>100年374家</w:t>
      </w:r>
      <w:r w:rsidRPr="00493300">
        <w:rPr>
          <w:rFonts w:hint="eastAsia"/>
        </w:rPr>
        <w:t>減少</w:t>
      </w:r>
      <w:r>
        <w:rPr>
          <w:rFonts w:hint="eastAsia"/>
        </w:rPr>
        <w:t>，</w:t>
      </w:r>
      <w:r w:rsidR="0063527B" w:rsidRPr="00C16DDF">
        <w:rPr>
          <w:rFonts w:hint="eastAsia"/>
        </w:rPr>
        <w:t>再加上</w:t>
      </w:r>
      <w:r w:rsidR="0063527B" w:rsidRPr="00584595">
        <w:rPr>
          <w:rFonts w:hint="eastAsia"/>
        </w:rPr>
        <w:t>健保</w:t>
      </w:r>
      <w:r w:rsidR="0063527B">
        <w:rPr>
          <w:rFonts w:hint="eastAsia"/>
        </w:rPr>
        <w:t>醫療給付</w:t>
      </w:r>
      <w:r w:rsidR="0063527B" w:rsidRPr="00C16DDF">
        <w:rPr>
          <w:rFonts w:hint="eastAsia"/>
        </w:rPr>
        <w:t>制度對大醫院較</w:t>
      </w:r>
      <w:r w:rsidR="0063527B">
        <w:rPr>
          <w:rFonts w:hint="eastAsia"/>
        </w:rPr>
        <w:t>為</w:t>
      </w:r>
      <w:r w:rsidR="0063527B" w:rsidRPr="00C16DDF">
        <w:rPr>
          <w:rFonts w:hint="eastAsia"/>
        </w:rPr>
        <w:t>有利</w:t>
      </w:r>
      <w:r w:rsidR="0063527B">
        <w:rPr>
          <w:rFonts w:hint="eastAsia"/>
        </w:rPr>
        <w:t>(醫學中心每人平均門診費用是地區醫院的2.2倍，是診所的3.6倍)</w:t>
      </w:r>
      <w:r w:rsidR="0063527B" w:rsidRPr="00C16DDF">
        <w:rPr>
          <w:rFonts w:hint="eastAsia"/>
        </w:rPr>
        <w:t>，</w:t>
      </w:r>
      <w:r w:rsidR="0063527B">
        <w:rPr>
          <w:rFonts w:hint="eastAsia"/>
        </w:rPr>
        <w:t>故</w:t>
      </w:r>
      <w:r w:rsidR="00F2004A">
        <w:rPr>
          <w:rFonts w:hint="eastAsia"/>
        </w:rPr>
        <w:t>使得</w:t>
      </w:r>
      <w:r w:rsidR="0063527B" w:rsidRPr="00C16DDF">
        <w:rPr>
          <w:rFonts w:hint="eastAsia"/>
        </w:rPr>
        <w:t>醫</w:t>
      </w:r>
      <w:r w:rsidR="0063527B">
        <w:rPr>
          <w:rFonts w:hint="eastAsia"/>
        </w:rPr>
        <w:t>學中心</w:t>
      </w:r>
      <w:r w:rsidR="00F2004A">
        <w:rPr>
          <w:rFonts w:hint="eastAsia"/>
        </w:rPr>
        <w:t>林立</w:t>
      </w:r>
      <w:r w:rsidR="0063527B">
        <w:rPr>
          <w:rFonts w:hint="eastAsia"/>
        </w:rPr>
        <w:t>，</w:t>
      </w:r>
      <w:r w:rsidR="00F2004A">
        <w:rPr>
          <w:rFonts w:hint="eastAsia"/>
        </w:rPr>
        <w:t>區域醫院亦呈現近倍數成長，且均集中在人口密集之都會地區；而</w:t>
      </w:r>
      <w:r w:rsidR="0063527B">
        <w:rPr>
          <w:rFonts w:hint="eastAsia"/>
        </w:rPr>
        <w:t>地區醫院經營愈來愈辛苦，尤其</w:t>
      </w:r>
      <w:r w:rsidR="00D103D3">
        <w:rPr>
          <w:rFonts w:hint="eastAsia"/>
        </w:rPr>
        <w:t>位處</w:t>
      </w:r>
      <w:r w:rsidR="0063527B">
        <w:rPr>
          <w:rFonts w:hint="eastAsia"/>
        </w:rPr>
        <w:t>偏鄉與醫療資源較不足</w:t>
      </w:r>
      <w:r w:rsidR="00D103D3">
        <w:rPr>
          <w:rFonts w:hint="eastAsia"/>
        </w:rPr>
        <w:t>之</w:t>
      </w:r>
      <w:r w:rsidR="0063527B">
        <w:rPr>
          <w:rFonts w:hint="eastAsia"/>
        </w:rPr>
        <w:t>地區</w:t>
      </w:r>
      <w:r w:rsidR="00D103D3">
        <w:rPr>
          <w:rFonts w:hint="eastAsia"/>
        </w:rPr>
        <w:t>醫院</w:t>
      </w:r>
      <w:r w:rsidR="0063527B">
        <w:rPr>
          <w:rFonts w:hint="eastAsia"/>
        </w:rPr>
        <w:t>，更是愈經營愈困難，</w:t>
      </w:r>
      <w:r w:rsidR="008620C0">
        <w:rPr>
          <w:rFonts w:hint="eastAsia"/>
        </w:rPr>
        <w:t>動輒結束醫療業務</w:t>
      </w:r>
      <w:r w:rsidR="0063527B">
        <w:rPr>
          <w:rFonts w:hint="eastAsia"/>
        </w:rPr>
        <w:t>，</w:t>
      </w:r>
      <w:r>
        <w:rPr>
          <w:rFonts w:hint="eastAsia"/>
        </w:rPr>
        <w:t>呈現</w:t>
      </w:r>
      <w:r w:rsidR="008620C0">
        <w:rPr>
          <w:rFonts w:hint="eastAsia"/>
        </w:rPr>
        <w:t>家數</w:t>
      </w:r>
      <w:r>
        <w:rPr>
          <w:rFonts w:hint="eastAsia"/>
        </w:rPr>
        <w:t>日趨萎縮之現象</w:t>
      </w:r>
      <w:r w:rsidRPr="00493300">
        <w:rPr>
          <w:rFonts w:hint="eastAsia"/>
        </w:rPr>
        <w:t>。</w:t>
      </w:r>
      <w:r w:rsidR="00272983">
        <w:rPr>
          <w:rFonts w:hint="eastAsia"/>
        </w:rPr>
        <w:t>(</w:t>
      </w:r>
      <w:r w:rsidR="00873B2B">
        <w:rPr>
          <w:rFonts w:hint="eastAsia"/>
        </w:rPr>
        <w:t>如附圖</w:t>
      </w:r>
      <w:r w:rsidR="00DC4959">
        <w:rPr>
          <w:rFonts w:hint="eastAsia"/>
        </w:rPr>
        <w:t>2</w:t>
      </w:r>
      <w:r w:rsidR="00272983">
        <w:rPr>
          <w:rFonts w:hint="eastAsia"/>
        </w:rPr>
        <w:t>)</w:t>
      </w:r>
    </w:p>
    <w:p w:rsidR="00946375" w:rsidRDefault="00263112" w:rsidP="00873B2B">
      <w:pPr>
        <w:pStyle w:val="3"/>
        <w:ind w:left="1360" w:hanging="680"/>
      </w:pPr>
      <w:proofErr w:type="gramStart"/>
      <w:r>
        <w:rPr>
          <w:rFonts w:hint="eastAsia"/>
        </w:rPr>
        <w:t>第查</w:t>
      </w:r>
      <w:r w:rsidR="00584595" w:rsidRPr="00584595">
        <w:rPr>
          <w:rFonts w:hint="eastAsia"/>
        </w:rPr>
        <w:t>健保</w:t>
      </w:r>
      <w:proofErr w:type="gramEnd"/>
      <w:r w:rsidR="00584595" w:rsidRPr="00584595">
        <w:rPr>
          <w:rFonts w:hint="eastAsia"/>
        </w:rPr>
        <w:t>署</w:t>
      </w:r>
      <w:r w:rsidR="002236FA">
        <w:rPr>
          <w:rFonts w:hint="eastAsia"/>
        </w:rPr>
        <w:t>業</w:t>
      </w:r>
      <w:r w:rsidR="00584595" w:rsidRPr="00584595">
        <w:rPr>
          <w:rFonts w:hint="eastAsia"/>
        </w:rPr>
        <w:t>已陸續推動家</w:t>
      </w:r>
      <w:proofErr w:type="gramStart"/>
      <w:r w:rsidR="00584595" w:rsidRPr="00584595">
        <w:rPr>
          <w:rFonts w:hint="eastAsia"/>
        </w:rPr>
        <w:t>醫</w:t>
      </w:r>
      <w:proofErr w:type="gramEnd"/>
      <w:r w:rsidR="00584595" w:rsidRPr="00584595">
        <w:rPr>
          <w:rFonts w:hint="eastAsia"/>
        </w:rPr>
        <w:t>計畫、論人計酬試辦計畫、急診品質提升方案、急性後期照護品質試辦計畫等，及訂定全民健康保險轉診實施辦法，期以全人照護為導向，提供民眾周全性、協調性與持續性之醫療照護，促進分級醫療及雙向轉診，期使醫療體系整合，減少醫療浪費。</w:t>
      </w:r>
    </w:p>
    <w:p w:rsidR="002236FA" w:rsidRDefault="002236FA" w:rsidP="002236FA">
      <w:pPr>
        <w:pStyle w:val="4"/>
        <w:ind w:left="1700" w:hanging="680"/>
      </w:pPr>
      <w:r>
        <w:rPr>
          <w:rFonts w:hint="eastAsia"/>
        </w:rPr>
        <w:t>第1階段</w:t>
      </w:r>
      <w:proofErr w:type="gramStart"/>
      <w:r>
        <w:rPr>
          <w:rFonts w:hint="eastAsia"/>
        </w:rPr>
        <w:t>─</w:t>
      </w:r>
      <w:proofErr w:type="gramEnd"/>
      <w:r>
        <w:rPr>
          <w:rFonts w:hint="eastAsia"/>
        </w:rPr>
        <w:t>院內整合：院內各專科之整合(99年起)</w:t>
      </w:r>
    </w:p>
    <w:p w:rsidR="002236FA" w:rsidRDefault="002236FA" w:rsidP="002236FA">
      <w:pPr>
        <w:pStyle w:val="5"/>
        <w:ind w:left="2041" w:hanging="680"/>
      </w:pPr>
      <w:r>
        <w:rPr>
          <w:rFonts w:hint="eastAsia"/>
        </w:rPr>
        <w:t>99年起醫院以病人為中心門診整合照護計畫(每年預算5億元)。</w:t>
      </w:r>
    </w:p>
    <w:p w:rsidR="002236FA" w:rsidRDefault="002236FA" w:rsidP="002236FA">
      <w:pPr>
        <w:pStyle w:val="5"/>
        <w:ind w:left="2041" w:hanging="680"/>
      </w:pPr>
      <w:r>
        <w:rPr>
          <w:rFonts w:hint="eastAsia"/>
        </w:rPr>
        <w:t>100年起診所以病人為中心整合照護計畫(每年預算2億元)。</w:t>
      </w:r>
    </w:p>
    <w:p w:rsidR="002236FA" w:rsidRDefault="00487B21" w:rsidP="002236FA">
      <w:pPr>
        <w:pStyle w:val="5"/>
        <w:ind w:left="2041" w:hanging="680"/>
      </w:pPr>
      <w:r>
        <w:rPr>
          <w:rFonts w:hint="eastAsia"/>
        </w:rPr>
        <w:lastRenderedPageBreak/>
        <w:t>另連同自</w:t>
      </w:r>
      <w:r w:rsidR="002236FA">
        <w:rPr>
          <w:rFonts w:hint="eastAsia"/>
        </w:rPr>
        <w:t>92年起家</w:t>
      </w:r>
      <w:proofErr w:type="gramStart"/>
      <w:r w:rsidR="002236FA">
        <w:rPr>
          <w:rFonts w:hint="eastAsia"/>
        </w:rPr>
        <w:t>醫</w:t>
      </w:r>
      <w:proofErr w:type="gramEnd"/>
      <w:r w:rsidR="002236FA">
        <w:rPr>
          <w:rFonts w:hint="eastAsia"/>
        </w:rPr>
        <w:t>計畫(年</w:t>
      </w:r>
      <w:r w:rsidR="00DC4959">
        <w:rPr>
          <w:rFonts w:hint="eastAsia"/>
        </w:rPr>
        <w:t>度預算由6.1億元</w:t>
      </w:r>
      <w:r w:rsidR="000B7F15">
        <w:rPr>
          <w:rFonts w:hint="eastAsia"/>
        </w:rPr>
        <w:t>漸次</w:t>
      </w:r>
      <w:r w:rsidR="00DC4959">
        <w:rPr>
          <w:rFonts w:hint="eastAsia"/>
        </w:rPr>
        <w:t>遞</w:t>
      </w:r>
      <w:r w:rsidR="000B7F15">
        <w:rPr>
          <w:rFonts w:hint="eastAsia"/>
        </w:rPr>
        <w:t>增至</w:t>
      </w:r>
      <w:r w:rsidR="002236FA">
        <w:rPr>
          <w:rFonts w:hint="eastAsia"/>
        </w:rPr>
        <w:t>11.</w:t>
      </w:r>
      <w:r w:rsidR="000B7F15">
        <w:rPr>
          <w:rFonts w:hint="eastAsia"/>
        </w:rPr>
        <w:t>8</w:t>
      </w:r>
      <w:r w:rsidR="002236FA">
        <w:rPr>
          <w:rFonts w:hint="eastAsia"/>
        </w:rPr>
        <w:t>億元)。</w:t>
      </w:r>
    </w:p>
    <w:p w:rsidR="002236FA" w:rsidRDefault="002236FA" w:rsidP="002236FA">
      <w:pPr>
        <w:pStyle w:val="4"/>
        <w:ind w:left="1700" w:hanging="680"/>
      </w:pPr>
      <w:r>
        <w:rPr>
          <w:rFonts w:hint="eastAsia"/>
        </w:rPr>
        <w:t>第2階段─垂直整合：跨醫院間之整合(10</w:t>
      </w:r>
      <w:r w:rsidR="00487B21">
        <w:rPr>
          <w:rFonts w:hint="eastAsia"/>
        </w:rPr>
        <w:t>0</w:t>
      </w:r>
      <w:r>
        <w:rPr>
          <w:rFonts w:hint="eastAsia"/>
        </w:rPr>
        <w:t>年起)</w:t>
      </w:r>
    </w:p>
    <w:p w:rsidR="002236FA" w:rsidRDefault="002236FA" w:rsidP="002236FA">
      <w:pPr>
        <w:pStyle w:val="5"/>
        <w:ind w:left="2041" w:hanging="680"/>
      </w:pPr>
      <w:r>
        <w:rPr>
          <w:rFonts w:hint="eastAsia"/>
        </w:rPr>
        <w:t>100年7月起試辦論人計酬支付制度(3億元)，其中多數團隊具醫院與基層之垂直整合團隊。</w:t>
      </w:r>
    </w:p>
    <w:p w:rsidR="002236FA" w:rsidRDefault="002236FA" w:rsidP="002236FA">
      <w:pPr>
        <w:pStyle w:val="5"/>
        <w:ind w:left="2041" w:hanging="680"/>
      </w:pPr>
      <w:r>
        <w:rPr>
          <w:rFonts w:hint="eastAsia"/>
        </w:rPr>
        <w:t>101年規劃發展醫院垂直整合方案(1.5億元) 。</w:t>
      </w:r>
    </w:p>
    <w:p w:rsidR="002236FA" w:rsidRDefault="002236FA" w:rsidP="002236FA">
      <w:pPr>
        <w:pStyle w:val="5"/>
        <w:ind w:left="2041" w:hanging="680"/>
      </w:pPr>
      <w:r>
        <w:rPr>
          <w:rFonts w:hint="eastAsia"/>
        </w:rPr>
        <w:t>101年家</w:t>
      </w:r>
      <w:proofErr w:type="gramStart"/>
      <w:r>
        <w:rPr>
          <w:rFonts w:hint="eastAsia"/>
        </w:rPr>
        <w:t>醫</w:t>
      </w:r>
      <w:proofErr w:type="gramEnd"/>
      <w:r>
        <w:rPr>
          <w:rFonts w:hint="eastAsia"/>
        </w:rPr>
        <w:t>計畫之修正</w:t>
      </w:r>
      <w:r w:rsidR="009F77A8">
        <w:rPr>
          <w:rFonts w:hint="eastAsia"/>
        </w:rPr>
        <w:t>配合</w:t>
      </w:r>
      <w:r>
        <w:rPr>
          <w:rFonts w:hint="eastAsia"/>
        </w:rPr>
        <w:t>。</w:t>
      </w:r>
    </w:p>
    <w:p w:rsidR="002236FA" w:rsidRDefault="002236FA" w:rsidP="002236FA">
      <w:pPr>
        <w:pStyle w:val="4"/>
        <w:ind w:left="1700" w:hanging="680"/>
      </w:pPr>
      <w:r>
        <w:rPr>
          <w:rFonts w:hint="eastAsia"/>
        </w:rPr>
        <w:t>第3階段</w:t>
      </w:r>
      <w:proofErr w:type="gramStart"/>
      <w:r>
        <w:rPr>
          <w:rFonts w:hint="eastAsia"/>
        </w:rPr>
        <w:t>─</w:t>
      </w:r>
      <w:proofErr w:type="gramEnd"/>
      <w:r>
        <w:rPr>
          <w:rFonts w:hint="eastAsia"/>
        </w:rPr>
        <w:t>以病人為中心整合，醫院與基層照護之整合。</w:t>
      </w:r>
    </w:p>
    <w:p w:rsidR="002236FA" w:rsidRDefault="002236FA" w:rsidP="00584595">
      <w:pPr>
        <w:pStyle w:val="3"/>
        <w:ind w:left="1360" w:hanging="680"/>
      </w:pPr>
      <w:r>
        <w:rPr>
          <w:rFonts w:hint="eastAsia"/>
        </w:rPr>
        <w:t>惟</w:t>
      </w:r>
      <w:r w:rsidRPr="00584595">
        <w:rPr>
          <w:rFonts w:hint="eastAsia"/>
        </w:rPr>
        <w:t>據健保署統計</w:t>
      </w:r>
      <w:r>
        <w:rPr>
          <w:rFonts w:hint="eastAsia"/>
        </w:rPr>
        <w:t>推估</w:t>
      </w:r>
      <w:r w:rsidRPr="00584595">
        <w:rPr>
          <w:rFonts w:hint="eastAsia"/>
        </w:rPr>
        <w:t>，</w:t>
      </w:r>
      <w:r>
        <w:rPr>
          <w:rFonts w:hint="eastAsia"/>
        </w:rPr>
        <w:t>回顧 95年</w:t>
      </w:r>
      <w:r w:rsidR="00D103D3">
        <w:rPr>
          <w:rFonts w:hint="eastAsia"/>
        </w:rPr>
        <w:t>時</w:t>
      </w:r>
      <w:r>
        <w:rPr>
          <w:rFonts w:hint="eastAsia"/>
        </w:rPr>
        <w:t>醫學中心、區域醫院、地區醫院、基層</w:t>
      </w:r>
      <w:proofErr w:type="gramStart"/>
      <w:r>
        <w:rPr>
          <w:rFonts w:hint="eastAsia"/>
        </w:rPr>
        <w:t>診所門住診</w:t>
      </w:r>
      <w:proofErr w:type="gramEnd"/>
      <w:r>
        <w:rPr>
          <w:rFonts w:hint="eastAsia"/>
        </w:rPr>
        <w:t>醫療費用占率分別為31.8</w:t>
      </w:r>
      <w:r w:rsidR="00A778B6">
        <w:rPr>
          <w:rFonts w:hint="eastAsia"/>
        </w:rPr>
        <w:t>％</w:t>
      </w:r>
      <w:r>
        <w:rPr>
          <w:rFonts w:hint="eastAsia"/>
        </w:rPr>
        <w:t>、27.0</w:t>
      </w:r>
      <w:r w:rsidR="00A778B6">
        <w:rPr>
          <w:rFonts w:hint="eastAsia"/>
        </w:rPr>
        <w:t>％</w:t>
      </w:r>
      <w:r>
        <w:rPr>
          <w:rFonts w:hint="eastAsia"/>
        </w:rPr>
        <w:t xml:space="preserve"> 16.6</w:t>
      </w:r>
      <w:r w:rsidR="00A778B6">
        <w:rPr>
          <w:rFonts w:hint="eastAsia"/>
        </w:rPr>
        <w:t>％</w:t>
      </w:r>
      <w:r>
        <w:rPr>
          <w:rFonts w:hint="eastAsia"/>
        </w:rPr>
        <w:t>、24.6</w:t>
      </w:r>
      <w:r w:rsidR="00A778B6">
        <w:rPr>
          <w:rFonts w:hint="eastAsia"/>
        </w:rPr>
        <w:t>％</w:t>
      </w:r>
      <w:r>
        <w:rPr>
          <w:rFonts w:hint="eastAsia"/>
        </w:rPr>
        <w:t>，如趨勢維持不變，預估至109年各層級占率分別為34.5</w:t>
      </w:r>
      <w:r w:rsidR="00A778B6">
        <w:rPr>
          <w:rFonts w:hint="eastAsia"/>
        </w:rPr>
        <w:t>％</w:t>
      </w:r>
      <w:r>
        <w:rPr>
          <w:rFonts w:hint="eastAsia"/>
        </w:rPr>
        <w:t>、33.0</w:t>
      </w:r>
      <w:r w:rsidR="00A778B6">
        <w:rPr>
          <w:rFonts w:hint="eastAsia"/>
        </w:rPr>
        <w:t>％</w:t>
      </w:r>
      <w:r>
        <w:rPr>
          <w:rFonts w:hint="eastAsia"/>
        </w:rPr>
        <w:t>、11.8</w:t>
      </w:r>
      <w:r w:rsidR="00A778B6">
        <w:rPr>
          <w:rFonts w:hint="eastAsia"/>
        </w:rPr>
        <w:t>％</w:t>
      </w:r>
      <w:r>
        <w:rPr>
          <w:rFonts w:hint="eastAsia"/>
        </w:rPr>
        <w:t>、20.7</w:t>
      </w:r>
      <w:r w:rsidR="00A778B6">
        <w:rPr>
          <w:rFonts w:hint="eastAsia"/>
        </w:rPr>
        <w:t>％</w:t>
      </w:r>
      <w:r>
        <w:rPr>
          <w:rFonts w:hint="eastAsia"/>
        </w:rPr>
        <w:t>(如附圖</w:t>
      </w:r>
      <w:r w:rsidR="000B7F15">
        <w:rPr>
          <w:rFonts w:hint="eastAsia"/>
        </w:rPr>
        <w:t>3</w:t>
      </w:r>
      <w:r>
        <w:rPr>
          <w:rFonts w:hint="eastAsia"/>
        </w:rPr>
        <w:t>)，</w:t>
      </w:r>
      <w:r w:rsidR="00D103D3">
        <w:rPr>
          <w:rFonts w:hint="eastAsia"/>
        </w:rPr>
        <w:t>倘再</w:t>
      </w:r>
      <w:r>
        <w:rPr>
          <w:rFonts w:hint="eastAsia"/>
        </w:rPr>
        <w:t>統計及推估95至109年各層級門診件數占率(如附圖</w:t>
      </w:r>
      <w:r w:rsidR="000B7F15">
        <w:rPr>
          <w:rFonts w:hint="eastAsia"/>
        </w:rPr>
        <w:t>4</w:t>
      </w:r>
      <w:r>
        <w:rPr>
          <w:rFonts w:hint="eastAsia"/>
        </w:rPr>
        <w:t>)，</w:t>
      </w:r>
      <w:r w:rsidR="00D103D3">
        <w:rPr>
          <w:rFonts w:hint="eastAsia"/>
        </w:rPr>
        <w:t>均</w:t>
      </w:r>
      <w:r>
        <w:rPr>
          <w:rFonts w:hint="eastAsia"/>
        </w:rPr>
        <w:t>顯示臺灣醫療體系嚴重失衡</w:t>
      </w:r>
      <w:r w:rsidR="00417EA0">
        <w:rPr>
          <w:rFonts w:hint="eastAsia"/>
        </w:rPr>
        <w:t>，</w:t>
      </w:r>
      <w:r w:rsidR="00D103D3">
        <w:rPr>
          <w:rFonts w:hint="eastAsia"/>
        </w:rPr>
        <w:t>足見</w:t>
      </w:r>
      <w:r w:rsidR="00417EA0" w:rsidRPr="00584595">
        <w:rPr>
          <w:rFonts w:hint="eastAsia"/>
        </w:rPr>
        <w:t>健保署</w:t>
      </w:r>
      <w:r w:rsidR="00417EA0">
        <w:rPr>
          <w:rFonts w:hint="eastAsia"/>
        </w:rPr>
        <w:t>所</w:t>
      </w:r>
      <w:r w:rsidR="00417EA0" w:rsidRPr="00584595">
        <w:rPr>
          <w:rFonts w:hint="eastAsia"/>
        </w:rPr>
        <w:t>推動</w:t>
      </w:r>
      <w:r w:rsidR="00417EA0">
        <w:rPr>
          <w:rFonts w:hint="eastAsia"/>
        </w:rPr>
        <w:t>之前述</w:t>
      </w:r>
      <w:r w:rsidR="007D7403">
        <w:rPr>
          <w:rFonts w:hint="eastAsia"/>
        </w:rPr>
        <w:t>醫療</w:t>
      </w:r>
      <w:r w:rsidR="007D7403" w:rsidRPr="009D0334">
        <w:rPr>
          <w:rFonts w:hint="eastAsia"/>
        </w:rPr>
        <w:t>體系整合</w:t>
      </w:r>
      <w:r w:rsidR="00D103D3">
        <w:rPr>
          <w:rFonts w:hint="eastAsia"/>
        </w:rPr>
        <w:t>相關</w:t>
      </w:r>
      <w:r w:rsidR="00417EA0">
        <w:rPr>
          <w:rFonts w:hint="eastAsia"/>
        </w:rPr>
        <w:t>計畫</w:t>
      </w:r>
      <w:r w:rsidR="009F77A8">
        <w:rPr>
          <w:rFonts w:hint="eastAsia"/>
        </w:rPr>
        <w:t>(皆屬透過</w:t>
      </w:r>
      <w:r w:rsidR="009F77A8" w:rsidRPr="00584595">
        <w:rPr>
          <w:rFonts w:hint="eastAsia"/>
        </w:rPr>
        <w:t>健保</w:t>
      </w:r>
      <w:r w:rsidR="009F77A8">
        <w:rPr>
          <w:rFonts w:hint="eastAsia"/>
        </w:rPr>
        <w:t>財務補助誘因)</w:t>
      </w:r>
      <w:r w:rsidR="00417EA0">
        <w:rPr>
          <w:rFonts w:hint="eastAsia"/>
        </w:rPr>
        <w:t>，並</w:t>
      </w:r>
      <w:r>
        <w:rPr>
          <w:rFonts w:hint="eastAsia"/>
        </w:rPr>
        <w:t>未</w:t>
      </w:r>
      <w:r w:rsidR="00417EA0">
        <w:rPr>
          <w:rFonts w:hint="eastAsia"/>
        </w:rPr>
        <w:t>能</w:t>
      </w:r>
      <w:r>
        <w:rPr>
          <w:rFonts w:hint="eastAsia"/>
        </w:rPr>
        <w:t>導正醫療資源配置之</w:t>
      </w:r>
      <w:r w:rsidR="0052318B">
        <w:rPr>
          <w:rFonts w:hint="eastAsia"/>
        </w:rPr>
        <w:t>極度</w:t>
      </w:r>
      <w:r>
        <w:rPr>
          <w:rFonts w:hint="eastAsia"/>
        </w:rPr>
        <w:t>扭曲。</w:t>
      </w:r>
    </w:p>
    <w:p w:rsidR="00CB6499" w:rsidRDefault="0052318B" w:rsidP="0052318B">
      <w:pPr>
        <w:pStyle w:val="3"/>
        <w:ind w:left="1360" w:hanging="680"/>
      </w:pPr>
      <w:r>
        <w:rPr>
          <w:rFonts w:hint="eastAsia"/>
        </w:rPr>
        <w:t>綜上，</w:t>
      </w:r>
      <w:proofErr w:type="gramStart"/>
      <w:r w:rsidRPr="0052318B">
        <w:rPr>
          <w:rFonts w:hint="eastAsia"/>
        </w:rPr>
        <w:t>衛福部應</w:t>
      </w:r>
      <w:proofErr w:type="gramEnd"/>
      <w:r w:rsidRPr="0052318B">
        <w:rPr>
          <w:rFonts w:hint="eastAsia"/>
        </w:rPr>
        <w:t>正視國內</w:t>
      </w:r>
      <w:r w:rsidR="00F2004A" w:rsidRPr="00C16DDF">
        <w:rPr>
          <w:rFonts w:hint="eastAsia"/>
        </w:rPr>
        <w:t>醫</w:t>
      </w:r>
      <w:r w:rsidR="00F2004A">
        <w:rPr>
          <w:rFonts w:hint="eastAsia"/>
        </w:rPr>
        <w:t>學中心林立，區域醫院亦呈現近倍數成長，且均集中在人口密集之都會地區；而位處偏鄉與醫療資源較不足之</w:t>
      </w:r>
      <w:r w:rsidRPr="0052318B">
        <w:rPr>
          <w:rFonts w:hint="eastAsia"/>
        </w:rPr>
        <w:t>地區醫院家數</w:t>
      </w:r>
      <w:r w:rsidR="00F2004A">
        <w:rPr>
          <w:rFonts w:hint="eastAsia"/>
        </w:rPr>
        <w:t>卻日</w:t>
      </w:r>
      <w:r w:rsidRPr="0052318B">
        <w:rPr>
          <w:rFonts w:hint="eastAsia"/>
        </w:rPr>
        <w:t>趨萎縮之現況，恐將嚴重扭曲醫療資源配置，損及民眾「在地醫療便利性」權益，並不利於社區醫療之健全發展</w:t>
      </w:r>
      <w:r w:rsidR="00F66BD4">
        <w:rPr>
          <w:rFonts w:hint="eastAsia"/>
        </w:rPr>
        <w:t>；</w:t>
      </w:r>
      <w:r w:rsidR="008E4145">
        <w:rPr>
          <w:rFonts w:hint="eastAsia"/>
        </w:rPr>
        <w:t>而</w:t>
      </w:r>
      <w:r w:rsidR="00F66BD4">
        <w:rPr>
          <w:rFonts w:hint="eastAsia"/>
        </w:rPr>
        <w:t>當前</w:t>
      </w:r>
      <w:r w:rsidR="00924907">
        <w:rPr>
          <w:rFonts w:hint="eastAsia"/>
        </w:rPr>
        <w:t>但憑</w:t>
      </w:r>
      <w:r w:rsidR="00F66BD4" w:rsidRPr="00584595">
        <w:rPr>
          <w:rFonts w:hint="eastAsia"/>
        </w:rPr>
        <w:t>健保署</w:t>
      </w:r>
      <w:r w:rsidR="009F77A8">
        <w:rPr>
          <w:rFonts w:hint="eastAsia"/>
        </w:rPr>
        <w:t>透過</w:t>
      </w:r>
      <w:r w:rsidR="009F77A8" w:rsidRPr="00584595">
        <w:rPr>
          <w:rFonts w:hint="eastAsia"/>
        </w:rPr>
        <w:t>健保</w:t>
      </w:r>
      <w:r w:rsidR="009F77A8">
        <w:rPr>
          <w:rFonts w:hint="eastAsia"/>
        </w:rPr>
        <w:t>財務補助誘因</w:t>
      </w:r>
      <w:r w:rsidR="008E4145">
        <w:rPr>
          <w:rFonts w:hint="eastAsia"/>
        </w:rPr>
        <w:t>之機制</w:t>
      </w:r>
      <w:r w:rsidR="00924907">
        <w:rPr>
          <w:rFonts w:hint="eastAsia"/>
        </w:rPr>
        <w:t>，顯然成效有限，</w:t>
      </w:r>
      <w:r w:rsidRPr="0052318B">
        <w:rPr>
          <w:rFonts w:hint="eastAsia"/>
        </w:rPr>
        <w:t>亟待</w:t>
      </w:r>
      <w:r w:rsidR="00F66BD4">
        <w:rPr>
          <w:rFonts w:hint="eastAsia"/>
        </w:rPr>
        <w:t>該部責成整體醫療網計畫主辦單位(</w:t>
      </w:r>
      <w:proofErr w:type="gramStart"/>
      <w:r w:rsidR="00F66BD4">
        <w:rPr>
          <w:rFonts w:hint="eastAsia"/>
        </w:rPr>
        <w:t>醫</w:t>
      </w:r>
      <w:proofErr w:type="gramEnd"/>
      <w:r w:rsidR="00F66BD4">
        <w:rPr>
          <w:rFonts w:hint="eastAsia"/>
        </w:rPr>
        <w:t>事司)共同</w:t>
      </w:r>
      <w:proofErr w:type="gramStart"/>
      <w:r w:rsidRPr="0052318B">
        <w:rPr>
          <w:rFonts w:hint="eastAsia"/>
        </w:rPr>
        <w:t>研</w:t>
      </w:r>
      <w:proofErr w:type="gramEnd"/>
      <w:r w:rsidRPr="0052318B">
        <w:rPr>
          <w:rFonts w:hint="eastAsia"/>
        </w:rPr>
        <w:t>謀更</w:t>
      </w:r>
      <w:r w:rsidR="00176DD2">
        <w:rPr>
          <w:rFonts w:hint="eastAsia"/>
        </w:rPr>
        <w:t>為</w:t>
      </w:r>
      <w:r w:rsidRPr="0052318B">
        <w:rPr>
          <w:rFonts w:hint="eastAsia"/>
        </w:rPr>
        <w:t>多元</w:t>
      </w:r>
      <w:r w:rsidR="008E4145">
        <w:rPr>
          <w:rFonts w:hint="eastAsia"/>
        </w:rPr>
        <w:t>有效之</w:t>
      </w:r>
      <w:r w:rsidR="00F66BD4">
        <w:rPr>
          <w:rFonts w:hint="eastAsia"/>
        </w:rPr>
        <w:t>改革</w:t>
      </w:r>
      <w:r w:rsidRPr="0052318B">
        <w:rPr>
          <w:rFonts w:hint="eastAsia"/>
        </w:rPr>
        <w:t>方案，</w:t>
      </w:r>
      <w:r w:rsidR="00176DD2">
        <w:rPr>
          <w:rFonts w:hint="eastAsia"/>
        </w:rPr>
        <w:t>以資</w:t>
      </w:r>
      <w:r w:rsidRPr="0052318B">
        <w:rPr>
          <w:rFonts w:hint="eastAsia"/>
        </w:rPr>
        <w:t>匡正</w:t>
      </w:r>
      <w:r>
        <w:rPr>
          <w:rFonts w:hint="eastAsia"/>
        </w:rPr>
        <w:t>。</w:t>
      </w:r>
    </w:p>
    <w:p w:rsidR="00550B99" w:rsidRPr="00550B99" w:rsidRDefault="00164608" w:rsidP="00550B99">
      <w:pPr>
        <w:pStyle w:val="2"/>
        <w:rPr>
          <w:b/>
        </w:rPr>
      </w:pPr>
      <w:proofErr w:type="gramStart"/>
      <w:r>
        <w:rPr>
          <w:rFonts w:hint="eastAsia"/>
          <w:b/>
        </w:rPr>
        <w:t>衛福部</w:t>
      </w:r>
      <w:proofErr w:type="gramEnd"/>
      <w:r>
        <w:rPr>
          <w:rFonts w:hint="eastAsia"/>
          <w:b/>
        </w:rPr>
        <w:t>自106年</w:t>
      </w:r>
      <w:r w:rsidR="002A4E33">
        <w:rPr>
          <w:rFonts w:hint="eastAsia"/>
          <w:b/>
        </w:rPr>
        <w:t>起</w:t>
      </w:r>
      <w:r>
        <w:rPr>
          <w:rFonts w:hint="eastAsia"/>
          <w:b/>
        </w:rPr>
        <w:t>致力推</w:t>
      </w:r>
      <w:r w:rsidR="002A4CBC">
        <w:rPr>
          <w:rFonts w:hint="eastAsia"/>
          <w:b/>
        </w:rPr>
        <w:t>動</w:t>
      </w:r>
      <w:r w:rsidRPr="00550B99">
        <w:rPr>
          <w:rFonts w:hint="eastAsia"/>
          <w:b/>
        </w:rPr>
        <w:t>分級醫療</w:t>
      </w:r>
      <w:r>
        <w:rPr>
          <w:rFonts w:hint="eastAsia"/>
          <w:b/>
        </w:rPr>
        <w:t>策略及配套</w:t>
      </w:r>
      <w:r w:rsidR="00301140">
        <w:rPr>
          <w:rFonts w:hint="eastAsia"/>
          <w:b/>
        </w:rPr>
        <w:t>措施</w:t>
      </w:r>
      <w:r>
        <w:rPr>
          <w:rFonts w:hint="eastAsia"/>
          <w:b/>
        </w:rPr>
        <w:t>，</w:t>
      </w:r>
      <w:r w:rsidR="00873B2B">
        <w:rPr>
          <w:rFonts w:hint="eastAsia"/>
          <w:b/>
        </w:rPr>
        <w:t>而</w:t>
      </w:r>
      <w:r w:rsidR="00301140">
        <w:rPr>
          <w:rFonts w:hint="eastAsia"/>
          <w:b/>
        </w:rPr>
        <w:t>本案</w:t>
      </w:r>
      <w:r w:rsidR="00073315" w:rsidRPr="00F67540">
        <w:rPr>
          <w:rFonts w:hint="eastAsia"/>
          <w:b/>
        </w:rPr>
        <w:t>健保署</w:t>
      </w:r>
      <w:r w:rsidR="00073315" w:rsidRPr="008B3A33">
        <w:rPr>
          <w:rFonts w:hint="eastAsia"/>
          <w:b/>
        </w:rPr>
        <w:t>家</w:t>
      </w:r>
      <w:proofErr w:type="gramStart"/>
      <w:r w:rsidR="00073315" w:rsidRPr="008B3A33">
        <w:rPr>
          <w:rFonts w:hint="eastAsia"/>
          <w:b/>
        </w:rPr>
        <w:t>醫</w:t>
      </w:r>
      <w:proofErr w:type="gramEnd"/>
      <w:r w:rsidR="00073315" w:rsidRPr="008B3A33">
        <w:rPr>
          <w:rFonts w:hint="eastAsia"/>
          <w:b/>
        </w:rPr>
        <w:t>計畫</w:t>
      </w:r>
      <w:r>
        <w:rPr>
          <w:rFonts w:hint="eastAsia"/>
          <w:b/>
        </w:rPr>
        <w:t>係其重要環節，</w:t>
      </w:r>
      <w:r w:rsidR="00873B2B">
        <w:rPr>
          <w:rFonts w:hint="eastAsia"/>
          <w:b/>
        </w:rPr>
        <w:t>又</w:t>
      </w:r>
      <w:r>
        <w:rPr>
          <w:rFonts w:hint="eastAsia"/>
          <w:b/>
        </w:rPr>
        <w:t>已增列預</w:t>
      </w:r>
      <w:r>
        <w:rPr>
          <w:rFonts w:hint="eastAsia"/>
          <w:b/>
        </w:rPr>
        <w:lastRenderedPageBreak/>
        <w:t>算擴大辦理，</w:t>
      </w:r>
      <w:proofErr w:type="gramStart"/>
      <w:r w:rsidR="00873B2B">
        <w:rPr>
          <w:rFonts w:hint="eastAsia"/>
          <w:b/>
        </w:rPr>
        <w:t>爰該部</w:t>
      </w:r>
      <w:r w:rsidR="00073315">
        <w:rPr>
          <w:rFonts w:hint="eastAsia"/>
          <w:b/>
        </w:rPr>
        <w:t>允宜</w:t>
      </w:r>
      <w:proofErr w:type="gramEnd"/>
      <w:r w:rsidR="00CB6499">
        <w:rPr>
          <w:rFonts w:hint="eastAsia"/>
          <w:b/>
        </w:rPr>
        <w:t>督</w:t>
      </w:r>
      <w:proofErr w:type="gramStart"/>
      <w:r w:rsidR="00CB6499">
        <w:rPr>
          <w:rFonts w:hint="eastAsia"/>
          <w:b/>
        </w:rPr>
        <w:t>飭</w:t>
      </w:r>
      <w:proofErr w:type="gramEnd"/>
      <w:r w:rsidR="001B2A7E">
        <w:rPr>
          <w:rFonts w:hint="eastAsia"/>
          <w:b/>
        </w:rPr>
        <w:t>健保署</w:t>
      </w:r>
      <w:r w:rsidR="00873B2B">
        <w:rPr>
          <w:rFonts w:hint="eastAsia"/>
          <w:b/>
        </w:rPr>
        <w:t>配合</w:t>
      </w:r>
      <w:r>
        <w:rPr>
          <w:rFonts w:hint="eastAsia"/>
          <w:b/>
        </w:rPr>
        <w:t>落實執行，</w:t>
      </w:r>
      <w:r w:rsidR="001B2A7E" w:rsidRPr="00A1235A">
        <w:rPr>
          <w:rFonts w:hint="eastAsia"/>
          <w:b/>
        </w:rPr>
        <w:t>並輔以定期追蹤管制考核措施，</w:t>
      </w:r>
      <w:r w:rsidR="00073315">
        <w:rPr>
          <w:rFonts w:hint="eastAsia"/>
          <w:b/>
        </w:rPr>
        <w:t>以</w:t>
      </w:r>
      <w:r w:rsidR="00301140">
        <w:rPr>
          <w:rFonts w:hint="eastAsia"/>
          <w:b/>
        </w:rPr>
        <w:t>圓滿達成此重大政策目標</w:t>
      </w:r>
      <w:r w:rsidR="00073315">
        <w:rPr>
          <w:rFonts w:hint="eastAsia"/>
          <w:b/>
        </w:rPr>
        <w:t>：</w:t>
      </w:r>
      <w:r w:rsidR="00073315" w:rsidRPr="00550B99">
        <w:rPr>
          <w:b/>
        </w:rPr>
        <w:t xml:space="preserve"> </w:t>
      </w:r>
    </w:p>
    <w:p w:rsidR="002A4CBC" w:rsidRDefault="00493300" w:rsidP="00301140">
      <w:pPr>
        <w:pStyle w:val="3"/>
        <w:ind w:left="1360" w:hanging="680"/>
      </w:pPr>
      <w:r w:rsidRPr="00493300">
        <w:rPr>
          <w:rFonts w:hint="eastAsia"/>
        </w:rPr>
        <w:tab/>
      </w:r>
      <w:proofErr w:type="gramStart"/>
      <w:r w:rsidR="002A4CBC">
        <w:rPr>
          <w:rFonts w:hint="eastAsia"/>
        </w:rPr>
        <w:t>按</w:t>
      </w:r>
      <w:r w:rsidR="002A4CBC" w:rsidRPr="002A4CBC">
        <w:rPr>
          <w:rFonts w:hint="eastAsia"/>
        </w:rPr>
        <w:t>衛福部</w:t>
      </w:r>
      <w:proofErr w:type="gramEnd"/>
      <w:r w:rsidR="002A4CBC" w:rsidRPr="002A4CBC">
        <w:rPr>
          <w:rFonts w:hint="eastAsia"/>
        </w:rPr>
        <w:t>自106年起致力推</w:t>
      </w:r>
      <w:r w:rsidR="002A4CBC">
        <w:rPr>
          <w:rFonts w:hint="eastAsia"/>
        </w:rPr>
        <w:t>動</w:t>
      </w:r>
      <w:r w:rsidR="002A4CBC" w:rsidRPr="002A4CBC">
        <w:rPr>
          <w:rFonts w:hint="eastAsia"/>
        </w:rPr>
        <w:t>分級醫療策略及配套</w:t>
      </w:r>
      <w:r w:rsidR="0065386D" w:rsidRPr="00301140">
        <w:rPr>
          <w:rFonts w:hint="eastAsia"/>
        </w:rPr>
        <w:t>措施</w:t>
      </w:r>
      <w:r w:rsidR="002A4CBC">
        <w:rPr>
          <w:rFonts w:hint="eastAsia"/>
        </w:rPr>
        <w:t>，計有</w:t>
      </w:r>
      <w:r w:rsidR="000B7F15">
        <w:rPr>
          <w:rFonts w:hint="eastAsia"/>
        </w:rPr>
        <w:t>6</w:t>
      </w:r>
      <w:r w:rsidR="002A4CBC">
        <w:rPr>
          <w:rFonts w:hint="eastAsia"/>
        </w:rPr>
        <w:t>大策略</w:t>
      </w:r>
      <w:r w:rsidR="000B7F15">
        <w:rPr>
          <w:rFonts w:hint="eastAsia"/>
        </w:rPr>
        <w:t>及24項</w:t>
      </w:r>
      <w:r w:rsidR="000B7F15" w:rsidRPr="000B7F15">
        <w:rPr>
          <w:rFonts w:hint="eastAsia"/>
        </w:rPr>
        <w:t>配套措施</w:t>
      </w:r>
      <w:r w:rsidR="0065386D">
        <w:rPr>
          <w:rFonts w:hint="eastAsia"/>
        </w:rPr>
        <w:t>分述如下：</w:t>
      </w:r>
      <w:r w:rsidR="00301140" w:rsidRPr="00301140">
        <w:rPr>
          <w:rFonts w:hint="eastAsia"/>
        </w:rPr>
        <w:t xml:space="preserve"> </w:t>
      </w:r>
    </w:p>
    <w:p w:rsidR="00924907" w:rsidRDefault="000E6D86" w:rsidP="00924907">
      <w:pPr>
        <w:pStyle w:val="4"/>
        <w:ind w:left="1700" w:hanging="680"/>
      </w:pPr>
      <w:r>
        <w:rPr>
          <w:rFonts w:hint="eastAsia"/>
        </w:rPr>
        <w:t>提升</w:t>
      </w:r>
      <w:r w:rsidR="00924907">
        <w:rPr>
          <w:rFonts w:hint="eastAsia"/>
        </w:rPr>
        <w:t>基層醫療服務量能</w:t>
      </w:r>
    </w:p>
    <w:p w:rsidR="00924907" w:rsidRDefault="00924907" w:rsidP="00924907">
      <w:pPr>
        <w:pStyle w:val="5"/>
        <w:ind w:left="2041" w:hanging="680"/>
      </w:pPr>
      <w:r>
        <w:rPr>
          <w:rFonts w:hint="eastAsia"/>
        </w:rPr>
        <w:t>開放</w:t>
      </w:r>
      <w:proofErr w:type="gramStart"/>
      <w:r>
        <w:rPr>
          <w:rFonts w:hint="eastAsia"/>
        </w:rPr>
        <w:t>基層表別</w:t>
      </w:r>
      <w:proofErr w:type="gramEnd"/>
      <w:r>
        <w:rPr>
          <w:rFonts w:hint="eastAsia"/>
        </w:rPr>
        <w:t>，擴大診所服務範疇。</w:t>
      </w:r>
    </w:p>
    <w:p w:rsidR="00924907" w:rsidRDefault="00924907" w:rsidP="00924907">
      <w:pPr>
        <w:pStyle w:val="5"/>
        <w:ind w:left="2041" w:hanging="680"/>
      </w:pPr>
      <w:r>
        <w:rPr>
          <w:rFonts w:hint="eastAsia"/>
        </w:rPr>
        <w:t>編列15.8億元擴大辦理家庭醫師整合性照護計畫。</w:t>
      </w:r>
    </w:p>
    <w:p w:rsidR="00924907" w:rsidRDefault="00924907" w:rsidP="00924907">
      <w:pPr>
        <w:pStyle w:val="5"/>
        <w:ind w:left="2041" w:hanging="680"/>
      </w:pPr>
      <w:r>
        <w:rPr>
          <w:rFonts w:hint="eastAsia"/>
        </w:rPr>
        <w:t>鼓勵診所朝向多科聯合執業，提供一站式整合性服務。</w:t>
      </w:r>
    </w:p>
    <w:p w:rsidR="00924907" w:rsidRDefault="00924907" w:rsidP="00924907">
      <w:pPr>
        <w:pStyle w:val="5"/>
        <w:ind w:left="2041" w:hanging="680"/>
      </w:pPr>
      <w:r>
        <w:rPr>
          <w:rFonts w:hint="eastAsia"/>
        </w:rPr>
        <w:t>輔導基層診所規劃無障礙空間，建立友善就醫環境。</w:t>
      </w:r>
    </w:p>
    <w:p w:rsidR="00924907" w:rsidRDefault="00924907" w:rsidP="00924907">
      <w:pPr>
        <w:pStyle w:val="4"/>
        <w:ind w:left="1700" w:hanging="680"/>
      </w:pPr>
      <w:r w:rsidRPr="004E66F4">
        <w:rPr>
          <w:rFonts w:hint="eastAsia"/>
        </w:rPr>
        <w:t>導引民眾轉診就醫習慣與調整部分負擔</w:t>
      </w:r>
    </w:p>
    <w:p w:rsidR="00924907" w:rsidRDefault="00924907" w:rsidP="00924907">
      <w:pPr>
        <w:pStyle w:val="5"/>
        <w:ind w:left="2041" w:hanging="680"/>
      </w:pPr>
      <w:r w:rsidRPr="007267F0">
        <w:rPr>
          <w:rFonts w:hint="eastAsia"/>
        </w:rPr>
        <w:t>降低弱勢民</w:t>
      </w:r>
      <w:r>
        <w:rPr>
          <w:rFonts w:hint="eastAsia"/>
        </w:rPr>
        <w:t>眾</w:t>
      </w:r>
      <w:r w:rsidRPr="007267F0">
        <w:rPr>
          <w:rFonts w:hint="eastAsia"/>
        </w:rPr>
        <w:t>就醫經濟障礙</w:t>
      </w:r>
      <w:r>
        <w:rPr>
          <w:rFonts w:hint="eastAsia"/>
        </w:rPr>
        <w:t>。</w:t>
      </w:r>
    </w:p>
    <w:p w:rsidR="00924907" w:rsidRDefault="00924907" w:rsidP="00924907">
      <w:pPr>
        <w:pStyle w:val="5"/>
        <w:ind w:left="2041" w:hanging="680"/>
      </w:pPr>
      <w:r w:rsidRPr="007267F0">
        <w:rPr>
          <w:rFonts w:hint="eastAsia"/>
        </w:rPr>
        <w:t>提高假日基層開診率、提供開診時段與急診就醫資訊查詢</w:t>
      </w:r>
      <w:r>
        <w:rPr>
          <w:rFonts w:hint="eastAsia"/>
        </w:rPr>
        <w:t>。</w:t>
      </w:r>
    </w:p>
    <w:p w:rsidR="00924907" w:rsidRDefault="00924907" w:rsidP="00924907">
      <w:pPr>
        <w:pStyle w:val="5"/>
        <w:ind w:left="2041" w:hanging="680"/>
      </w:pPr>
      <w:r w:rsidRPr="007267F0">
        <w:rPr>
          <w:rFonts w:hint="eastAsia"/>
        </w:rPr>
        <w:t>調整門診部分負擔，鼓勵民眾至診所就醫</w:t>
      </w:r>
      <w:r>
        <w:rPr>
          <w:rFonts w:hint="eastAsia"/>
        </w:rPr>
        <w:t>。</w:t>
      </w:r>
    </w:p>
    <w:p w:rsidR="00924907" w:rsidRDefault="00924907" w:rsidP="00924907">
      <w:pPr>
        <w:pStyle w:val="5"/>
        <w:ind w:left="2041" w:hanging="680"/>
      </w:pPr>
      <w:r w:rsidRPr="009A625E">
        <w:rPr>
          <w:rFonts w:hint="eastAsia"/>
        </w:rPr>
        <w:t>調整急診部分負擔，</w:t>
      </w:r>
      <w:r>
        <w:rPr>
          <w:rFonts w:hint="eastAsia"/>
        </w:rPr>
        <w:t>紓</w:t>
      </w:r>
      <w:r w:rsidRPr="009A625E">
        <w:rPr>
          <w:rFonts w:hint="eastAsia"/>
        </w:rPr>
        <w:t>解急診</w:t>
      </w:r>
      <w:r>
        <w:rPr>
          <w:rFonts w:hint="eastAsia"/>
        </w:rPr>
        <w:t>壅</w:t>
      </w:r>
      <w:r w:rsidRPr="009A625E">
        <w:rPr>
          <w:rFonts w:hint="eastAsia"/>
        </w:rPr>
        <w:t>塞</w:t>
      </w:r>
      <w:r>
        <w:rPr>
          <w:rFonts w:hint="eastAsia"/>
        </w:rPr>
        <w:t>。</w:t>
      </w:r>
    </w:p>
    <w:p w:rsidR="00924907" w:rsidRDefault="00924907" w:rsidP="00924907">
      <w:pPr>
        <w:pStyle w:val="5"/>
        <w:ind w:left="2041" w:hanging="680"/>
      </w:pPr>
      <w:r w:rsidRPr="009A625E">
        <w:rPr>
          <w:rFonts w:hint="eastAsia"/>
        </w:rPr>
        <w:t>建置電子轉診單並監控非必要之轉診</w:t>
      </w:r>
      <w:r>
        <w:rPr>
          <w:rFonts w:hint="eastAsia"/>
        </w:rPr>
        <w:t>。</w:t>
      </w:r>
    </w:p>
    <w:p w:rsidR="00924907" w:rsidRDefault="00924907" w:rsidP="00924907">
      <w:pPr>
        <w:pStyle w:val="4"/>
        <w:ind w:left="1700" w:hanging="680"/>
      </w:pPr>
      <w:r w:rsidRPr="009A625E">
        <w:rPr>
          <w:rFonts w:hint="eastAsia"/>
        </w:rPr>
        <w:t>調高醫院重症支付標</w:t>
      </w:r>
      <w:r>
        <w:rPr>
          <w:rFonts w:hint="eastAsia"/>
        </w:rPr>
        <w:t>準</w:t>
      </w:r>
      <w:r w:rsidRPr="009A625E">
        <w:rPr>
          <w:rFonts w:hint="eastAsia"/>
        </w:rPr>
        <w:t>，導引醫院</w:t>
      </w:r>
      <w:proofErr w:type="gramStart"/>
      <w:r w:rsidRPr="009A625E">
        <w:rPr>
          <w:rFonts w:hint="eastAsia"/>
        </w:rPr>
        <w:t>減少輕症服務</w:t>
      </w:r>
      <w:proofErr w:type="gramEnd"/>
    </w:p>
    <w:p w:rsidR="00924907" w:rsidRDefault="00924907" w:rsidP="00924907">
      <w:pPr>
        <w:pStyle w:val="5"/>
        <w:ind w:left="2041" w:hanging="680"/>
      </w:pPr>
      <w:proofErr w:type="gramStart"/>
      <w:r>
        <w:rPr>
          <w:rFonts w:hint="eastAsia"/>
        </w:rPr>
        <w:t>挹</w:t>
      </w:r>
      <w:proofErr w:type="gramEnd"/>
      <w:r w:rsidRPr="009A625E">
        <w:rPr>
          <w:rFonts w:hint="eastAsia"/>
        </w:rPr>
        <w:t>注60億元調高重症支付標準</w:t>
      </w:r>
      <w:r>
        <w:rPr>
          <w:rFonts w:hint="eastAsia"/>
        </w:rPr>
        <w:t>。</w:t>
      </w:r>
    </w:p>
    <w:p w:rsidR="00924907" w:rsidRDefault="00924907" w:rsidP="00924907">
      <w:pPr>
        <w:pStyle w:val="5"/>
        <w:ind w:left="2041" w:hanging="680"/>
      </w:pPr>
      <w:r w:rsidRPr="00162783">
        <w:rPr>
          <w:rFonts w:hint="eastAsia"/>
        </w:rPr>
        <w:t>限制</w:t>
      </w:r>
      <w:proofErr w:type="gramStart"/>
      <w:r w:rsidRPr="00162783">
        <w:rPr>
          <w:rFonts w:hint="eastAsia"/>
        </w:rPr>
        <w:t>醫院輕症服務</w:t>
      </w:r>
      <w:proofErr w:type="gramEnd"/>
      <w:r w:rsidRPr="00162783">
        <w:rPr>
          <w:rFonts w:hint="eastAsia"/>
        </w:rPr>
        <w:t>成長</w:t>
      </w:r>
      <w:r>
        <w:rPr>
          <w:rFonts w:hint="eastAsia"/>
        </w:rPr>
        <w:t>。</w:t>
      </w:r>
    </w:p>
    <w:p w:rsidR="00924907" w:rsidRDefault="00924907" w:rsidP="00924907">
      <w:pPr>
        <w:pStyle w:val="5"/>
        <w:ind w:left="2041" w:hanging="680"/>
      </w:pPr>
      <w:r w:rsidRPr="00162783">
        <w:rPr>
          <w:rFonts w:hint="eastAsia"/>
        </w:rPr>
        <w:t>持續推動緊急醫療能力分級</w:t>
      </w:r>
      <w:r>
        <w:rPr>
          <w:rFonts w:hint="eastAsia"/>
        </w:rPr>
        <w:t>。</w:t>
      </w:r>
    </w:p>
    <w:p w:rsidR="00924907" w:rsidRDefault="00924907" w:rsidP="00924907">
      <w:pPr>
        <w:pStyle w:val="4"/>
        <w:ind w:left="1700" w:hanging="680"/>
      </w:pPr>
      <w:r w:rsidRPr="00162783">
        <w:rPr>
          <w:rFonts w:hint="eastAsia"/>
        </w:rPr>
        <w:t>強化醫院與診所醫療合作服務，提供連續性照護</w:t>
      </w:r>
    </w:p>
    <w:p w:rsidR="00924907" w:rsidRDefault="00924907" w:rsidP="00924907">
      <w:pPr>
        <w:pStyle w:val="5"/>
        <w:ind w:left="2041" w:hanging="680"/>
      </w:pPr>
      <w:r w:rsidRPr="00162783">
        <w:rPr>
          <w:rFonts w:hint="eastAsia"/>
        </w:rPr>
        <w:t>建置轉診資訊交換平台</w:t>
      </w:r>
      <w:r>
        <w:rPr>
          <w:rFonts w:hint="eastAsia"/>
        </w:rPr>
        <w:t>。</w:t>
      </w:r>
    </w:p>
    <w:p w:rsidR="00924907" w:rsidRDefault="00924907" w:rsidP="00924907">
      <w:pPr>
        <w:pStyle w:val="5"/>
        <w:ind w:left="2041" w:hanging="680"/>
      </w:pPr>
      <w:r w:rsidRPr="00162783">
        <w:rPr>
          <w:rFonts w:hint="eastAsia"/>
        </w:rPr>
        <w:t>建置居家照護資訊共享平台</w:t>
      </w:r>
      <w:r>
        <w:rPr>
          <w:rFonts w:hint="eastAsia"/>
        </w:rPr>
        <w:t>。</w:t>
      </w:r>
    </w:p>
    <w:p w:rsidR="00924907" w:rsidRDefault="00924907" w:rsidP="00924907">
      <w:pPr>
        <w:pStyle w:val="5"/>
        <w:ind w:left="2041" w:hanging="680"/>
      </w:pPr>
      <w:r w:rsidRPr="00162783">
        <w:rPr>
          <w:rFonts w:hint="eastAsia"/>
        </w:rPr>
        <w:t>強化醫院出院準備及追蹤服務</w:t>
      </w:r>
      <w:r>
        <w:rPr>
          <w:rFonts w:hint="eastAsia"/>
        </w:rPr>
        <w:t>。</w:t>
      </w:r>
    </w:p>
    <w:p w:rsidR="00924907" w:rsidRDefault="00924907" w:rsidP="00924907">
      <w:pPr>
        <w:pStyle w:val="5"/>
        <w:ind w:left="2041" w:hanging="680"/>
      </w:pPr>
      <w:proofErr w:type="gramStart"/>
      <w:r>
        <w:rPr>
          <w:rFonts w:hint="eastAsia"/>
        </w:rPr>
        <w:t>挹</w:t>
      </w:r>
      <w:proofErr w:type="gramEnd"/>
      <w:r w:rsidRPr="00980DE6">
        <w:rPr>
          <w:rFonts w:hint="eastAsia"/>
        </w:rPr>
        <w:t>注1億元鼓勵醫師跨層級支援</w:t>
      </w:r>
      <w:r>
        <w:rPr>
          <w:rFonts w:hint="eastAsia"/>
        </w:rPr>
        <w:t>。</w:t>
      </w:r>
    </w:p>
    <w:p w:rsidR="00924907" w:rsidRDefault="00924907" w:rsidP="00924907">
      <w:pPr>
        <w:pStyle w:val="5"/>
        <w:ind w:left="2041" w:hanging="680"/>
      </w:pPr>
      <w:r w:rsidRPr="00980DE6">
        <w:rPr>
          <w:rFonts w:hint="eastAsia"/>
        </w:rPr>
        <w:t>鼓勵診所及醫院共同照護</w:t>
      </w:r>
      <w:r>
        <w:rPr>
          <w:rFonts w:hint="eastAsia"/>
        </w:rPr>
        <w:t>。</w:t>
      </w:r>
    </w:p>
    <w:p w:rsidR="00924907" w:rsidRDefault="00924907" w:rsidP="00924907">
      <w:pPr>
        <w:pStyle w:val="5"/>
        <w:ind w:left="2041" w:hanging="680"/>
      </w:pPr>
      <w:proofErr w:type="gramStart"/>
      <w:r>
        <w:rPr>
          <w:rFonts w:hint="eastAsia"/>
        </w:rPr>
        <w:lastRenderedPageBreak/>
        <w:t>挹</w:t>
      </w:r>
      <w:proofErr w:type="gramEnd"/>
      <w:r w:rsidRPr="00980DE6">
        <w:rPr>
          <w:rFonts w:hint="eastAsia"/>
        </w:rPr>
        <w:t>注3億元試辦區域醫療整合計畫</w:t>
      </w:r>
      <w:r>
        <w:rPr>
          <w:rFonts w:hint="eastAsia"/>
        </w:rPr>
        <w:t>。</w:t>
      </w:r>
    </w:p>
    <w:p w:rsidR="00924907" w:rsidRDefault="00924907" w:rsidP="00924907">
      <w:pPr>
        <w:pStyle w:val="4"/>
        <w:ind w:left="1700" w:hanging="680"/>
      </w:pPr>
      <w:r w:rsidRPr="00980DE6">
        <w:rPr>
          <w:rFonts w:hint="eastAsia"/>
        </w:rPr>
        <w:t>提升民眾自我</w:t>
      </w:r>
      <w:proofErr w:type="gramStart"/>
      <w:r w:rsidRPr="00980DE6">
        <w:rPr>
          <w:rFonts w:hint="eastAsia"/>
        </w:rPr>
        <w:t>照護知能</w:t>
      </w:r>
      <w:proofErr w:type="gramEnd"/>
    </w:p>
    <w:p w:rsidR="00924907" w:rsidRDefault="00924907" w:rsidP="00924907">
      <w:pPr>
        <w:pStyle w:val="5"/>
        <w:ind w:left="2041" w:hanging="680"/>
      </w:pPr>
      <w:r w:rsidRPr="00980DE6">
        <w:rPr>
          <w:rFonts w:hint="eastAsia"/>
        </w:rPr>
        <w:t>加強宣導分級醫療</w:t>
      </w:r>
      <w:r>
        <w:rPr>
          <w:rFonts w:hint="eastAsia"/>
        </w:rPr>
        <w:t>。</w:t>
      </w:r>
    </w:p>
    <w:p w:rsidR="00924907" w:rsidRDefault="00924907" w:rsidP="00924907">
      <w:pPr>
        <w:pStyle w:val="5"/>
        <w:ind w:left="2041" w:hanging="680"/>
      </w:pPr>
      <w:r w:rsidRPr="00980DE6">
        <w:rPr>
          <w:rFonts w:hint="eastAsia"/>
        </w:rPr>
        <w:t>加強自我健康管理</w:t>
      </w:r>
      <w:r>
        <w:rPr>
          <w:rFonts w:hint="eastAsia"/>
        </w:rPr>
        <w:t>。</w:t>
      </w:r>
    </w:p>
    <w:p w:rsidR="00924907" w:rsidRDefault="00924907" w:rsidP="00924907">
      <w:pPr>
        <w:pStyle w:val="5"/>
        <w:ind w:left="2041" w:hanging="680"/>
      </w:pPr>
      <w:r w:rsidRPr="00980DE6">
        <w:rPr>
          <w:rFonts w:hint="eastAsia"/>
        </w:rPr>
        <w:t>宣導利用家</w:t>
      </w:r>
      <w:proofErr w:type="gramStart"/>
      <w:r w:rsidRPr="00980DE6">
        <w:rPr>
          <w:rFonts w:hint="eastAsia"/>
        </w:rPr>
        <w:t>醫</w:t>
      </w:r>
      <w:proofErr w:type="gramEnd"/>
      <w:r w:rsidRPr="00980DE6">
        <w:rPr>
          <w:rFonts w:hint="eastAsia"/>
        </w:rPr>
        <w:t>群24小時電話諮詢服務</w:t>
      </w:r>
      <w:r>
        <w:rPr>
          <w:rFonts w:hint="eastAsia"/>
        </w:rPr>
        <w:t>。</w:t>
      </w:r>
    </w:p>
    <w:p w:rsidR="00924907" w:rsidRDefault="00924907" w:rsidP="00924907">
      <w:pPr>
        <w:pStyle w:val="4"/>
        <w:ind w:left="1700" w:hanging="680"/>
      </w:pPr>
      <w:r w:rsidRPr="00980DE6">
        <w:rPr>
          <w:rFonts w:hint="eastAsia"/>
        </w:rPr>
        <w:t>加強醫療財團法人管理</w:t>
      </w:r>
    </w:p>
    <w:p w:rsidR="00924907" w:rsidRDefault="00924907" w:rsidP="00924907">
      <w:pPr>
        <w:pStyle w:val="5"/>
        <w:ind w:left="2041" w:hanging="680"/>
      </w:pPr>
      <w:r w:rsidRPr="00980DE6">
        <w:rPr>
          <w:rFonts w:hint="eastAsia"/>
        </w:rPr>
        <w:t>修法加強醫療財團法人監督管理</w:t>
      </w:r>
      <w:r>
        <w:rPr>
          <w:rFonts w:hint="eastAsia"/>
        </w:rPr>
        <w:t>。</w:t>
      </w:r>
    </w:p>
    <w:p w:rsidR="00924907" w:rsidRDefault="00924907" w:rsidP="00924907">
      <w:pPr>
        <w:pStyle w:val="5"/>
        <w:ind w:left="2041" w:hanging="680"/>
      </w:pPr>
      <w:r w:rsidRPr="000757B8">
        <w:rPr>
          <w:rFonts w:hint="eastAsia"/>
        </w:rPr>
        <w:t>限制醫療法人醫院附設診所之管理措施</w:t>
      </w:r>
      <w:r>
        <w:rPr>
          <w:rFonts w:hint="eastAsia"/>
        </w:rPr>
        <w:t>。</w:t>
      </w:r>
    </w:p>
    <w:p w:rsidR="00924907" w:rsidRDefault="00924907" w:rsidP="00924907">
      <w:pPr>
        <w:pStyle w:val="5"/>
        <w:ind w:left="2041" w:hanging="680"/>
      </w:pPr>
      <w:r w:rsidRPr="000757B8">
        <w:rPr>
          <w:rFonts w:hint="eastAsia"/>
        </w:rPr>
        <w:t>規範醫院不得以交通車載送方式不當</w:t>
      </w:r>
      <w:proofErr w:type="gramStart"/>
      <w:r w:rsidRPr="000757B8">
        <w:rPr>
          <w:rFonts w:hint="eastAsia"/>
        </w:rPr>
        <w:t>招攬輕症病人</w:t>
      </w:r>
      <w:proofErr w:type="gramEnd"/>
      <w:r>
        <w:rPr>
          <w:rFonts w:hint="eastAsia"/>
        </w:rPr>
        <w:t>。</w:t>
      </w:r>
    </w:p>
    <w:p w:rsidR="0041119E" w:rsidRDefault="002A4CBC" w:rsidP="0041119E">
      <w:pPr>
        <w:pStyle w:val="3"/>
        <w:ind w:left="1360" w:hanging="680"/>
      </w:pPr>
      <w:r>
        <w:rPr>
          <w:rFonts w:hint="eastAsia"/>
        </w:rPr>
        <w:t>又</w:t>
      </w:r>
      <w:proofErr w:type="gramStart"/>
      <w:r w:rsidR="00CB6499">
        <w:rPr>
          <w:rFonts w:hint="eastAsia"/>
        </w:rPr>
        <w:t>查衛福部</w:t>
      </w:r>
      <w:r w:rsidR="00930DA4">
        <w:rPr>
          <w:rFonts w:hint="eastAsia"/>
        </w:rPr>
        <w:t>為</w:t>
      </w:r>
      <w:proofErr w:type="gramEnd"/>
      <w:r w:rsidR="00930DA4">
        <w:rPr>
          <w:rFonts w:hint="eastAsia"/>
        </w:rPr>
        <w:t>推</w:t>
      </w:r>
      <w:r w:rsidR="00CB6499">
        <w:rPr>
          <w:rFonts w:hint="eastAsia"/>
        </w:rPr>
        <w:t>展</w:t>
      </w:r>
      <w:r w:rsidR="00B153FD">
        <w:rPr>
          <w:rFonts w:hint="eastAsia"/>
        </w:rPr>
        <w:t>上述</w:t>
      </w:r>
      <w:r w:rsidR="000E6D86" w:rsidRPr="002A4CBC">
        <w:rPr>
          <w:rFonts w:hint="eastAsia"/>
        </w:rPr>
        <w:t>分級醫療</w:t>
      </w:r>
      <w:r w:rsidR="000E6D86">
        <w:rPr>
          <w:rFonts w:hint="eastAsia"/>
        </w:rPr>
        <w:t>重大</w:t>
      </w:r>
      <w:r w:rsidR="00B153FD">
        <w:rPr>
          <w:rFonts w:hint="eastAsia"/>
        </w:rPr>
        <w:t>政策，業已</w:t>
      </w:r>
      <w:r w:rsidR="0041119E">
        <w:rPr>
          <w:rFonts w:hint="eastAsia"/>
        </w:rPr>
        <w:t>核定健保署於</w:t>
      </w:r>
      <w:proofErr w:type="gramStart"/>
      <w:r w:rsidR="0041119E">
        <w:rPr>
          <w:rFonts w:hint="eastAsia"/>
        </w:rPr>
        <w:t>106</w:t>
      </w:r>
      <w:proofErr w:type="gramEnd"/>
      <w:r w:rsidR="0041119E">
        <w:rPr>
          <w:rFonts w:hint="eastAsia"/>
        </w:rPr>
        <w:t>年度</w:t>
      </w:r>
      <w:r w:rsidR="0041119E" w:rsidRPr="007C774A">
        <w:rPr>
          <w:rFonts w:hint="eastAsia"/>
        </w:rPr>
        <w:t>編列15.8億</w:t>
      </w:r>
      <w:r w:rsidR="0041119E">
        <w:rPr>
          <w:rFonts w:hint="eastAsia"/>
        </w:rPr>
        <w:t>元</w:t>
      </w:r>
      <w:r w:rsidR="0041119E" w:rsidRPr="007C774A">
        <w:rPr>
          <w:rFonts w:hint="eastAsia"/>
        </w:rPr>
        <w:t>擴大</w:t>
      </w:r>
      <w:r w:rsidR="000E6D86">
        <w:rPr>
          <w:rFonts w:hint="eastAsia"/>
        </w:rPr>
        <w:t>辦理</w:t>
      </w:r>
      <w:r w:rsidR="0041119E" w:rsidRPr="007C774A">
        <w:rPr>
          <w:rFonts w:hint="eastAsia"/>
        </w:rPr>
        <w:t>家</w:t>
      </w:r>
      <w:proofErr w:type="gramStart"/>
      <w:r w:rsidR="0041119E" w:rsidRPr="007C774A">
        <w:rPr>
          <w:rFonts w:hint="eastAsia"/>
        </w:rPr>
        <w:t>醫</w:t>
      </w:r>
      <w:proofErr w:type="gramEnd"/>
      <w:r w:rsidR="0041119E" w:rsidRPr="007C774A">
        <w:rPr>
          <w:rFonts w:hint="eastAsia"/>
        </w:rPr>
        <w:t>計畫</w:t>
      </w:r>
      <w:r w:rsidR="0041119E">
        <w:rPr>
          <w:rFonts w:hint="eastAsia"/>
        </w:rPr>
        <w:t>(較</w:t>
      </w:r>
      <w:proofErr w:type="gramStart"/>
      <w:r w:rsidR="0041119E">
        <w:rPr>
          <w:rFonts w:hint="eastAsia"/>
        </w:rPr>
        <w:t>105</w:t>
      </w:r>
      <w:proofErr w:type="gramEnd"/>
      <w:r w:rsidR="0041119E">
        <w:rPr>
          <w:rFonts w:hint="eastAsia"/>
        </w:rPr>
        <w:t>年度</w:t>
      </w:r>
      <w:r w:rsidR="000B7F15">
        <w:rPr>
          <w:rFonts w:hint="eastAsia"/>
        </w:rPr>
        <w:t>預算額度</w:t>
      </w:r>
      <w:r w:rsidR="000B7F15" w:rsidRPr="007C774A">
        <w:rPr>
          <w:rFonts w:hint="eastAsia"/>
        </w:rPr>
        <w:t>1</w:t>
      </w:r>
      <w:r w:rsidR="000B7F15">
        <w:rPr>
          <w:rFonts w:hint="eastAsia"/>
        </w:rPr>
        <w:t>1</w:t>
      </w:r>
      <w:r w:rsidR="000B7F15" w:rsidRPr="007C774A">
        <w:rPr>
          <w:rFonts w:hint="eastAsia"/>
        </w:rPr>
        <w:t>.8億</w:t>
      </w:r>
      <w:r w:rsidR="000B7F15">
        <w:rPr>
          <w:rFonts w:hint="eastAsia"/>
        </w:rPr>
        <w:t>元，</w:t>
      </w:r>
      <w:r w:rsidR="0041119E">
        <w:rPr>
          <w:rFonts w:hint="eastAsia"/>
        </w:rPr>
        <w:t>增</w:t>
      </w:r>
      <w:r w:rsidR="0041119E" w:rsidRPr="007C774A">
        <w:rPr>
          <w:rFonts w:hint="eastAsia"/>
        </w:rPr>
        <w:t>列</w:t>
      </w:r>
      <w:r w:rsidR="0041119E">
        <w:rPr>
          <w:rFonts w:hint="eastAsia"/>
        </w:rPr>
        <w:t>4</w:t>
      </w:r>
      <w:r w:rsidR="0041119E" w:rsidRPr="007C774A">
        <w:rPr>
          <w:rFonts w:hint="eastAsia"/>
        </w:rPr>
        <w:t>億</w:t>
      </w:r>
      <w:r w:rsidR="0041119E">
        <w:rPr>
          <w:rFonts w:hint="eastAsia"/>
        </w:rPr>
        <w:t>元)</w:t>
      </w:r>
      <w:r w:rsidR="000E6D86">
        <w:rPr>
          <w:rFonts w:hint="eastAsia"/>
        </w:rPr>
        <w:t>在案</w:t>
      </w:r>
      <w:r w:rsidR="0041119E">
        <w:rPr>
          <w:rFonts w:hint="eastAsia"/>
        </w:rPr>
        <w:t>，預計以增加收案對象及服務內容之方式，來</w:t>
      </w:r>
      <w:r w:rsidR="0041119E" w:rsidRPr="007C774A">
        <w:rPr>
          <w:rFonts w:hint="eastAsia"/>
        </w:rPr>
        <w:t>擴大</w:t>
      </w:r>
      <w:r w:rsidR="0041119E">
        <w:rPr>
          <w:rFonts w:hint="eastAsia"/>
        </w:rPr>
        <w:t>社區醫療群服務量能與品質，結合居家醫療與院所間垂直與水平合作，以落實在地化、社區化的全人照護與醫療</w:t>
      </w:r>
      <w:r w:rsidR="000E6D86">
        <w:rPr>
          <w:rFonts w:hint="eastAsia"/>
        </w:rPr>
        <w:t>為目標</w:t>
      </w:r>
      <w:r w:rsidR="0041119E">
        <w:rPr>
          <w:rFonts w:hint="eastAsia"/>
        </w:rPr>
        <w:t>。</w:t>
      </w:r>
    </w:p>
    <w:bookmarkEnd w:id="47"/>
    <w:bookmarkEnd w:id="48"/>
    <w:bookmarkEnd w:id="49"/>
    <w:bookmarkEnd w:id="50"/>
    <w:bookmarkEnd w:id="51"/>
    <w:bookmarkEnd w:id="52"/>
    <w:bookmarkEnd w:id="53"/>
    <w:bookmarkEnd w:id="54"/>
    <w:p w:rsidR="00B43AAF" w:rsidRPr="007743FB" w:rsidRDefault="00B43AAF" w:rsidP="001B2A7E">
      <w:pPr>
        <w:pStyle w:val="3"/>
        <w:ind w:left="1360" w:hanging="680"/>
      </w:pPr>
      <w:r>
        <w:rPr>
          <w:rFonts w:hint="eastAsia"/>
        </w:rPr>
        <w:t>綜上，</w:t>
      </w:r>
      <w:r w:rsidR="00B153FD" w:rsidRPr="00D4614C">
        <w:rPr>
          <w:rFonts w:hint="eastAsia"/>
        </w:rPr>
        <w:t>分級醫療目的為導引民眾就醫習慣改變，以提升效率及促進醫療院所提供醫療服務內容的差異化與分工合作。</w:t>
      </w:r>
      <w:proofErr w:type="gramStart"/>
      <w:r w:rsidR="000E6D86">
        <w:rPr>
          <w:rFonts w:hint="eastAsia"/>
        </w:rPr>
        <w:t>故</w:t>
      </w:r>
      <w:r w:rsidRPr="00B43AAF">
        <w:rPr>
          <w:rFonts w:hint="eastAsia"/>
        </w:rPr>
        <w:t>衛福部</w:t>
      </w:r>
      <w:proofErr w:type="gramEnd"/>
      <w:r w:rsidRPr="00B43AAF">
        <w:rPr>
          <w:rFonts w:hint="eastAsia"/>
        </w:rPr>
        <w:t>自106年起致力推動分級醫療策略及配套</w:t>
      </w:r>
      <w:r w:rsidR="000E6D86">
        <w:rPr>
          <w:rFonts w:hint="eastAsia"/>
        </w:rPr>
        <w:t>措施之重大</w:t>
      </w:r>
      <w:r w:rsidRPr="00B43AAF">
        <w:rPr>
          <w:rFonts w:hint="eastAsia"/>
        </w:rPr>
        <w:t>政策，而健保署家</w:t>
      </w:r>
      <w:proofErr w:type="gramStart"/>
      <w:r w:rsidRPr="00B43AAF">
        <w:rPr>
          <w:rFonts w:hint="eastAsia"/>
        </w:rPr>
        <w:t>醫</w:t>
      </w:r>
      <w:proofErr w:type="gramEnd"/>
      <w:r w:rsidRPr="00B43AAF">
        <w:rPr>
          <w:rFonts w:hint="eastAsia"/>
        </w:rPr>
        <w:t>計畫係其重要</w:t>
      </w:r>
      <w:r w:rsidR="001B2A7E">
        <w:rPr>
          <w:rFonts w:hint="eastAsia"/>
        </w:rPr>
        <w:t>奠定基礎之</w:t>
      </w:r>
      <w:r w:rsidR="000E6D86">
        <w:rPr>
          <w:rFonts w:hint="eastAsia"/>
        </w:rPr>
        <w:t>關鍵</w:t>
      </w:r>
      <w:r w:rsidRPr="00B43AAF">
        <w:rPr>
          <w:rFonts w:hint="eastAsia"/>
        </w:rPr>
        <w:t>環節，又已增列預算擴大辦理</w:t>
      </w:r>
      <w:r w:rsidR="000B7F15">
        <w:rPr>
          <w:rFonts w:hint="eastAsia"/>
        </w:rPr>
        <w:t>在案</w:t>
      </w:r>
      <w:r w:rsidRPr="00B43AAF">
        <w:rPr>
          <w:rFonts w:hint="eastAsia"/>
        </w:rPr>
        <w:t>，</w:t>
      </w:r>
      <w:proofErr w:type="gramStart"/>
      <w:r w:rsidRPr="00B43AAF">
        <w:rPr>
          <w:rFonts w:hint="eastAsia"/>
        </w:rPr>
        <w:t>爰該部允宜</w:t>
      </w:r>
      <w:proofErr w:type="gramEnd"/>
      <w:r w:rsidRPr="00B43AAF">
        <w:rPr>
          <w:rFonts w:hint="eastAsia"/>
        </w:rPr>
        <w:t>督</w:t>
      </w:r>
      <w:proofErr w:type="gramStart"/>
      <w:r w:rsidRPr="00B43AAF">
        <w:rPr>
          <w:rFonts w:hint="eastAsia"/>
        </w:rPr>
        <w:t>飭</w:t>
      </w:r>
      <w:proofErr w:type="gramEnd"/>
      <w:r w:rsidR="001B2A7E">
        <w:rPr>
          <w:rFonts w:hint="eastAsia"/>
        </w:rPr>
        <w:t>健保署</w:t>
      </w:r>
      <w:r w:rsidRPr="00B43AAF">
        <w:rPr>
          <w:rFonts w:hint="eastAsia"/>
        </w:rPr>
        <w:t>配合落實執行，</w:t>
      </w:r>
      <w:r w:rsidR="001B2A7E">
        <w:rPr>
          <w:rFonts w:hint="eastAsia"/>
        </w:rPr>
        <w:t>並輔以定期追蹤管制考核措施，</w:t>
      </w:r>
      <w:r w:rsidRPr="00B43AAF">
        <w:rPr>
          <w:rFonts w:hint="eastAsia"/>
        </w:rPr>
        <w:t>以</w:t>
      </w:r>
      <w:r w:rsidR="001B2A7E" w:rsidRPr="001B2A7E">
        <w:rPr>
          <w:rFonts w:hint="eastAsia"/>
        </w:rPr>
        <w:t>圓滿達成此重大政策目標</w:t>
      </w:r>
      <w:r>
        <w:rPr>
          <w:rFonts w:hint="eastAsia"/>
        </w:rPr>
        <w:t>。</w:t>
      </w:r>
    </w:p>
    <w:p w:rsidR="00255E08" w:rsidRDefault="00255E08">
      <w:pPr>
        <w:pStyle w:val="10"/>
        <w:ind w:leftChars="300" w:left="1020" w:firstLine="680"/>
        <w:rPr>
          <w:bCs/>
        </w:rPr>
      </w:pPr>
      <w:bookmarkStart w:id="55" w:name="_Toc525066147"/>
      <w:bookmarkStart w:id="56" w:name="_Toc525070838"/>
      <w:bookmarkStart w:id="57" w:name="_Toc525938378"/>
      <w:bookmarkStart w:id="58" w:name="_Toc525939226"/>
      <w:bookmarkStart w:id="59" w:name="_Toc525939731"/>
      <w:bookmarkStart w:id="60" w:name="_Toc529218271"/>
      <w:bookmarkStart w:id="61" w:name="_Toc529222688"/>
      <w:bookmarkStart w:id="62" w:name="_Toc529223110"/>
      <w:bookmarkStart w:id="63" w:name="_Toc529223861"/>
      <w:bookmarkStart w:id="64" w:name="_Toc529228264"/>
    </w:p>
    <w:bookmarkEnd w:id="46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p w:rsidR="00255E08" w:rsidRDefault="00255E08">
      <w:pPr>
        <w:pStyle w:val="10"/>
        <w:ind w:leftChars="800" w:left="2721" w:firstLine="680"/>
        <w:rPr>
          <w:bCs/>
        </w:rPr>
      </w:pPr>
    </w:p>
    <w:p w:rsidR="00255E08" w:rsidRDefault="00255E08">
      <w:pPr>
        <w:pStyle w:val="1"/>
        <w:ind w:left="2380" w:hanging="2380"/>
      </w:pPr>
      <w:bookmarkStart w:id="65" w:name="_Toc524895648"/>
      <w:bookmarkStart w:id="66" w:name="_Toc524896194"/>
      <w:bookmarkStart w:id="67" w:name="_Toc524896224"/>
      <w:bookmarkStart w:id="68" w:name="_Toc524902734"/>
      <w:bookmarkStart w:id="69" w:name="_Toc525066148"/>
      <w:bookmarkStart w:id="70" w:name="_Toc525070839"/>
      <w:bookmarkStart w:id="71" w:name="_Toc525938379"/>
      <w:bookmarkStart w:id="72" w:name="_Toc525939227"/>
      <w:bookmarkStart w:id="73" w:name="_Toc525939732"/>
      <w:bookmarkStart w:id="74" w:name="_Toc529218272"/>
      <w:r>
        <w:br w:type="page"/>
      </w:r>
      <w:bookmarkStart w:id="75" w:name="_Toc529222689"/>
      <w:bookmarkStart w:id="76" w:name="_Toc529223111"/>
      <w:bookmarkStart w:id="77" w:name="_Toc529223862"/>
      <w:bookmarkStart w:id="78" w:name="_Toc529228265"/>
      <w:bookmarkStart w:id="79" w:name="_Toc2400395"/>
      <w:bookmarkStart w:id="80" w:name="_Toc4316189"/>
      <w:bookmarkStart w:id="81" w:name="_Toc4473330"/>
      <w:bookmarkStart w:id="82" w:name="_Toc69556897"/>
      <w:bookmarkStart w:id="83" w:name="_Toc69556946"/>
      <w:bookmarkStart w:id="84" w:name="_Toc69609820"/>
      <w:bookmarkStart w:id="85" w:name="_Toc70241816"/>
      <w:bookmarkStart w:id="86" w:name="_Toc70242205"/>
      <w:r>
        <w:rPr>
          <w:rFonts w:hint="eastAsia"/>
        </w:rPr>
        <w:lastRenderedPageBreak/>
        <w:t>處理辦法：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</w:p>
    <w:p w:rsidR="00255E08" w:rsidRDefault="002757CE">
      <w:pPr>
        <w:pStyle w:val="2"/>
        <w:ind w:left="1020" w:hanging="680"/>
      </w:pPr>
      <w:bookmarkStart w:id="87" w:name="_Toc524895649"/>
      <w:bookmarkStart w:id="88" w:name="_Toc524896195"/>
      <w:bookmarkStart w:id="89" w:name="_Toc524896225"/>
      <w:bookmarkStart w:id="90" w:name="_Toc2400396"/>
      <w:bookmarkStart w:id="91" w:name="_Toc4316190"/>
      <w:bookmarkStart w:id="92" w:name="_Toc4473331"/>
      <w:bookmarkStart w:id="93" w:name="_Toc69556898"/>
      <w:bookmarkStart w:id="94" w:name="_Toc69556947"/>
      <w:bookmarkStart w:id="95" w:name="_Toc69609821"/>
      <w:bookmarkStart w:id="96" w:name="_Toc70241817"/>
      <w:bookmarkStart w:id="97" w:name="_Toc70242206"/>
      <w:bookmarkStart w:id="98" w:name="_Toc524902735"/>
      <w:bookmarkStart w:id="99" w:name="_Toc525066149"/>
      <w:bookmarkStart w:id="100" w:name="_Toc525070840"/>
      <w:bookmarkStart w:id="101" w:name="_Toc525938380"/>
      <w:bookmarkStart w:id="102" w:name="_Toc525939228"/>
      <w:bookmarkStart w:id="103" w:name="_Toc525939733"/>
      <w:bookmarkStart w:id="104" w:name="_Toc529218273"/>
      <w:bookmarkStart w:id="105" w:name="_Toc529222690"/>
      <w:bookmarkStart w:id="106" w:name="_Toc529223112"/>
      <w:bookmarkStart w:id="107" w:name="_Toc529223863"/>
      <w:bookmarkStart w:id="108" w:name="_Toc529228266"/>
      <w:bookmarkEnd w:id="87"/>
      <w:bookmarkEnd w:id="88"/>
      <w:bookmarkEnd w:id="89"/>
      <w:r>
        <w:rPr>
          <w:rFonts w:hint="eastAsia"/>
        </w:rPr>
        <w:t>抄</w:t>
      </w:r>
      <w:r w:rsidR="00255E08">
        <w:rPr>
          <w:rFonts w:hint="eastAsia"/>
        </w:rPr>
        <w:t>調查意見</w:t>
      </w:r>
      <w:r>
        <w:rPr>
          <w:rFonts w:hint="eastAsia"/>
        </w:rPr>
        <w:t>一</w:t>
      </w:r>
      <w:r w:rsidR="00255E08">
        <w:rPr>
          <w:rFonts w:hint="eastAsia"/>
        </w:rPr>
        <w:t>至</w:t>
      </w:r>
      <w:r w:rsidR="001D3F8F">
        <w:rPr>
          <w:rFonts w:hint="eastAsia"/>
        </w:rPr>
        <w:t>三</w:t>
      </w:r>
      <w:r w:rsidR="00255E08">
        <w:rPr>
          <w:rFonts w:hint="eastAsia"/>
        </w:rPr>
        <w:t>，函請</w:t>
      </w:r>
      <w:r w:rsidR="00456B37" w:rsidRPr="008A6D72">
        <w:rPr>
          <w:rFonts w:hint="eastAsia"/>
        </w:rPr>
        <w:t>衛生福利部</w:t>
      </w:r>
      <w:r w:rsidR="00456B37">
        <w:rPr>
          <w:rFonts w:hint="eastAsia"/>
        </w:rPr>
        <w:t>中央健康</w:t>
      </w:r>
      <w:proofErr w:type="gramStart"/>
      <w:r w:rsidR="00456B37">
        <w:rPr>
          <w:rFonts w:hint="eastAsia"/>
        </w:rPr>
        <w:t>保險署</w:t>
      </w:r>
      <w:proofErr w:type="gramEnd"/>
      <w:r w:rsidR="00255E08">
        <w:rPr>
          <w:rFonts w:hint="eastAsia"/>
        </w:rPr>
        <w:t>確實檢討改進</w:t>
      </w:r>
      <w:proofErr w:type="gramStart"/>
      <w:r w:rsidR="00255E08">
        <w:rPr>
          <w:rFonts w:hint="eastAsia"/>
        </w:rPr>
        <w:t>見復。</w:t>
      </w:r>
      <w:bookmarkEnd w:id="90"/>
      <w:bookmarkEnd w:id="91"/>
      <w:bookmarkEnd w:id="92"/>
      <w:bookmarkEnd w:id="93"/>
      <w:bookmarkEnd w:id="94"/>
      <w:bookmarkEnd w:id="95"/>
      <w:bookmarkEnd w:id="96"/>
      <w:bookmarkEnd w:id="97"/>
      <w:proofErr w:type="gramEnd"/>
    </w:p>
    <w:p w:rsidR="00255E08" w:rsidRDefault="002757CE">
      <w:pPr>
        <w:pStyle w:val="2"/>
        <w:ind w:left="1020" w:hanging="680"/>
      </w:pPr>
      <w:bookmarkStart w:id="109" w:name="_Toc70241818"/>
      <w:bookmarkStart w:id="110" w:name="_Toc70242207"/>
      <w:bookmarkStart w:id="111" w:name="_Toc69556899"/>
      <w:bookmarkStart w:id="112" w:name="_Toc69556948"/>
      <w:bookmarkStart w:id="113" w:name="_Toc69609822"/>
      <w:r>
        <w:rPr>
          <w:rFonts w:hint="eastAsia"/>
        </w:rPr>
        <w:t>抄</w:t>
      </w:r>
      <w:r w:rsidR="00255E08">
        <w:rPr>
          <w:rFonts w:hint="eastAsia"/>
        </w:rPr>
        <w:t>調查意見</w:t>
      </w:r>
      <w:r w:rsidR="001D3F8F">
        <w:rPr>
          <w:rFonts w:hint="eastAsia"/>
        </w:rPr>
        <w:t>四</w:t>
      </w:r>
      <w:r w:rsidR="000E6D86">
        <w:rPr>
          <w:rFonts w:hint="eastAsia"/>
        </w:rPr>
        <w:t>至</w:t>
      </w:r>
      <w:r w:rsidR="001D3F8F">
        <w:rPr>
          <w:rFonts w:hint="eastAsia"/>
        </w:rPr>
        <w:t>五</w:t>
      </w:r>
      <w:r w:rsidR="00255E08">
        <w:rPr>
          <w:rFonts w:hint="eastAsia"/>
        </w:rPr>
        <w:t>，</w:t>
      </w:r>
      <w:r>
        <w:rPr>
          <w:rFonts w:hint="eastAsia"/>
        </w:rPr>
        <w:t>函請</w:t>
      </w:r>
      <w:r w:rsidRPr="008A6D72">
        <w:rPr>
          <w:rFonts w:hint="eastAsia"/>
        </w:rPr>
        <w:t>衛生福利部</w:t>
      </w:r>
      <w:r w:rsidR="000E6D86" w:rsidRPr="00B43AAF">
        <w:rPr>
          <w:rFonts w:hint="eastAsia"/>
        </w:rPr>
        <w:t>督</w:t>
      </w:r>
      <w:proofErr w:type="gramStart"/>
      <w:r w:rsidR="000E6D86" w:rsidRPr="00B43AAF">
        <w:rPr>
          <w:rFonts w:hint="eastAsia"/>
        </w:rPr>
        <w:t>飭</w:t>
      </w:r>
      <w:proofErr w:type="gramEnd"/>
      <w:r w:rsidR="000E6D86" w:rsidRPr="00B43AAF">
        <w:rPr>
          <w:rFonts w:hint="eastAsia"/>
        </w:rPr>
        <w:t>所屬</w:t>
      </w:r>
      <w:r>
        <w:rPr>
          <w:rFonts w:hint="eastAsia"/>
        </w:rPr>
        <w:t>確實檢討改進</w:t>
      </w:r>
      <w:proofErr w:type="gramStart"/>
      <w:r>
        <w:rPr>
          <w:rFonts w:hint="eastAsia"/>
        </w:rPr>
        <w:t>見復。</w:t>
      </w:r>
      <w:bookmarkEnd w:id="109"/>
      <w:bookmarkEnd w:id="110"/>
      <w:proofErr w:type="gramEnd"/>
    </w:p>
    <w:p w:rsidR="00BC0C18" w:rsidRDefault="00BC0C18">
      <w:pPr>
        <w:pStyle w:val="2"/>
        <w:ind w:left="1020" w:hanging="680"/>
      </w:pPr>
      <w:bookmarkStart w:id="114" w:name="_Toc69556900"/>
      <w:bookmarkStart w:id="115" w:name="_Toc69556949"/>
      <w:bookmarkStart w:id="116" w:name="_Toc69609823"/>
      <w:bookmarkStart w:id="117" w:name="_Toc70241821"/>
      <w:bookmarkStart w:id="118" w:name="_Toc70242210"/>
      <w:bookmarkStart w:id="119" w:name="_Toc2400397"/>
      <w:bookmarkStart w:id="120" w:name="_Toc4316191"/>
      <w:bookmarkStart w:id="121" w:name="_Toc4473332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11"/>
      <w:bookmarkEnd w:id="112"/>
      <w:bookmarkEnd w:id="113"/>
      <w:r>
        <w:rPr>
          <w:rFonts w:hint="eastAsia"/>
        </w:rPr>
        <w:t>抄調查意見函復審計部。</w:t>
      </w:r>
      <w:bookmarkEnd w:id="114"/>
      <w:bookmarkEnd w:id="115"/>
      <w:bookmarkEnd w:id="116"/>
      <w:bookmarkEnd w:id="117"/>
      <w:bookmarkEnd w:id="118"/>
    </w:p>
    <w:p w:rsidR="008A0427" w:rsidRDefault="008A0427">
      <w:pPr>
        <w:pStyle w:val="2"/>
        <w:ind w:left="1020" w:hanging="680"/>
      </w:pPr>
      <w:r w:rsidRPr="00023741">
        <w:rPr>
          <w:rFonts w:hint="eastAsia"/>
        </w:rPr>
        <w:t>本調查報告審議通過後，調查意見（含附表</w:t>
      </w:r>
      <w:r w:rsidR="002757CE">
        <w:rPr>
          <w:rFonts w:hint="eastAsia"/>
        </w:rPr>
        <w:t>、附圖</w:t>
      </w:r>
      <w:r w:rsidRPr="00023741">
        <w:rPr>
          <w:rFonts w:hint="eastAsia"/>
        </w:rPr>
        <w:t>）上網公布</w:t>
      </w:r>
      <w:r>
        <w:rPr>
          <w:rFonts w:hint="eastAsia"/>
        </w:rPr>
        <w:t>。</w:t>
      </w:r>
    </w:p>
    <w:p w:rsidR="00E30CA9" w:rsidRPr="00E30CA9" w:rsidRDefault="00255E08" w:rsidP="00E30CA9">
      <w:pPr>
        <w:pStyle w:val="2"/>
        <w:ind w:left="1020" w:hanging="680"/>
      </w:pPr>
      <w:bookmarkStart w:id="122" w:name="_Toc69556901"/>
      <w:bookmarkStart w:id="123" w:name="_Toc69556950"/>
      <w:bookmarkStart w:id="124" w:name="_Toc69609824"/>
      <w:bookmarkStart w:id="125" w:name="_Toc70241822"/>
      <w:bookmarkStart w:id="126" w:name="_Toc70242211"/>
      <w:r>
        <w:rPr>
          <w:rFonts w:hint="eastAsia"/>
          <w:color w:val="000000"/>
        </w:rPr>
        <w:t>檢</w:t>
      </w:r>
      <w:proofErr w:type="gramStart"/>
      <w:r>
        <w:rPr>
          <w:rFonts w:hint="eastAsia"/>
          <w:color w:val="000000"/>
        </w:rPr>
        <w:t>附派查函</w:t>
      </w:r>
      <w:proofErr w:type="gramEnd"/>
      <w:r>
        <w:rPr>
          <w:rFonts w:hint="eastAsia"/>
          <w:color w:val="000000"/>
        </w:rPr>
        <w:t>及相關附件，送請</w:t>
      </w:r>
      <w:r w:rsidR="00F56348">
        <w:rPr>
          <w:rFonts w:hint="eastAsia"/>
          <w:color w:val="000000"/>
        </w:rPr>
        <w:t>內政及少數民族</w:t>
      </w:r>
      <w:r>
        <w:rPr>
          <w:rFonts w:hint="eastAsia"/>
          <w:color w:val="000000"/>
        </w:rPr>
        <w:t>委員會處理。</w:t>
      </w:r>
      <w:bookmarkEnd w:id="119"/>
      <w:bookmarkEnd w:id="120"/>
      <w:bookmarkEnd w:id="121"/>
      <w:bookmarkEnd w:id="122"/>
      <w:bookmarkEnd w:id="123"/>
      <w:bookmarkEnd w:id="124"/>
      <w:bookmarkEnd w:id="125"/>
      <w:bookmarkEnd w:id="126"/>
    </w:p>
    <w:p w:rsidR="00E30CA9" w:rsidRDefault="00E30CA9" w:rsidP="00E30CA9">
      <w:pPr>
        <w:pStyle w:val="2"/>
        <w:numPr>
          <w:ilvl w:val="0"/>
          <w:numId w:val="0"/>
        </w:numPr>
        <w:ind w:left="1020"/>
        <w:rPr>
          <w:color w:val="000000"/>
        </w:rPr>
      </w:pPr>
    </w:p>
    <w:p w:rsidR="00255E08" w:rsidRPr="00E30CA9" w:rsidRDefault="00E30CA9" w:rsidP="00E30CA9">
      <w:pPr>
        <w:pStyle w:val="2"/>
        <w:numPr>
          <w:ilvl w:val="0"/>
          <w:numId w:val="0"/>
        </w:numPr>
        <w:ind w:left="1020"/>
      </w:pPr>
      <w:r>
        <w:rPr>
          <w:rFonts w:hint="eastAsia"/>
          <w:color w:val="000000"/>
        </w:rPr>
        <w:t xml:space="preserve">    </w:t>
      </w:r>
      <w:r w:rsidR="00255E08" w:rsidRPr="00E30CA9">
        <w:rPr>
          <w:rFonts w:hint="eastAsia"/>
          <w:spacing w:val="12"/>
          <w:sz w:val="40"/>
        </w:rPr>
        <w:t>調查委員：</w:t>
      </w:r>
      <w:r w:rsidRPr="00E30CA9">
        <w:rPr>
          <w:rFonts w:hint="eastAsia"/>
          <w:spacing w:val="12"/>
          <w:sz w:val="40"/>
        </w:rPr>
        <w:t>尹祚芊、章仁香、江綺雯</w:t>
      </w:r>
    </w:p>
    <w:p w:rsidR="00255E08" w:rsidRDefault="00255E08">
      <w:pPr>
        <w:pStyle w:val="a5"/>
        <w:kinsoku w:val="0"/>
        <w:spacing w:before="0" w:after="0"/>
        <w:ind w:leftChars="1100" w:left="3742" w:firstLineChars="500" w:firstLine="2021"/>
        <w:jc w:val="both"/>
        <w:rPr>
          <w:b w:val="0"/>
          <w:bCs/>
          <w:snapToGrid/>
          <w:spacing w:val="12"/>
          <w:kern w:val="0"/>
        </w:rPr>
      </w:pPr>
    </w:p>
    <w:p w:rsidR="008A0427" w:rsidRDefault="008A0427" w:rsidP="00070E33">
      <w:pPr>
        <w:pStyle w:val="ab"/>
        <w:ind w:left="1020" w:hanging="1020"/>
        <w:rPr>
          <w:bCs/>
        </w:rPr>
      </w:pPr>
    </w:p>
    <w:p w:rsidR="000B0D5E" w:rsidRDefault="008A0427">
      <w:pPr>
        <w:widowControl/>
        <w:rPr>
          <w:bCs/>
        </w:rPr>
        <w:sectPr w:rsidR="000B0D5E">
          <w:footerReference w:type="default" r:id="rId8"/>
          <w:pgSz w:w="11907" w:h="16840" w:code="9"/>
          <w:pgMar w:top="1701" w:right="1418" w:bottom="1418" w:left="1418" w:header="851" w:footer="851" w:gutter="227"/>
          <w:pgNumType w:start="1"/>
          <w:cols w:space="425"/>
          <w:docGrid w:type="linesAndChars" w:linePitch="457" w:charSpace="4127"/>
        </w:sectPr>
      </w:pPr>
      <w:r>
        <w:rPr>
          <w:bCs/>
        </w:rPr>
        <w:br w:type="page"/>
      </w:r>
    </w:p>
    <w:p w:rsidR="000B0D5E" w:rsidRDefault="000B0D5E" w:rsidP="000B0D5E">
      <w:pPr>
        <w:pStyle w:val="ab"/>
        <w:ind w:left="1020" w:hanging="1020"/>
        <w:jc w:val="left"/>
        <w:rPr>
          <w:bCs/>
        </w:rPr>
      </w:pPr>
      <w:r>
        <w:rPr>
          <w:rFonts w:hint="eastAsia"/>
          <w:bCs/>
        </w:rPr>
        <w:lastRenderedPageBreak/>
        <w:t xml:space="preserve">附表                </w:t>
      </w:r>
    </w:p>
    <w:p w:rsidR="000B0D5E" w:rsidRDefault="000B0D5E" w:rsidP="000B0D5E">
      <w:pPr>
        <w:pStyle w:val="ab"/>
        <w:ind w:left="1020" w:hanging="1020"/>
        <w:jc w:val="center"/>
        <w:rPr>
          <w:rFonts w:hAnsi="標楷體"/>
          <w:szCs w:val="32"/>
        </w:rPr>
      </w:pPr>
      <w:r w:rsidRPr="008A0427">
        <w:rPr>
          <w:rFonts w:hAnsi="標楷體" w:hint="eastAsia"/>
          <w:szCs w:val="32"/>
        </w:rPr>
        <w:t>家</w:t>
      </w:r>
      <w:proofErr w:type="gramStart"/>
      <w:r w:rsidRPr="008A0427">
        <w:rPr>
          <w:rFonts w:hAnsi="標楷體" w:hint="eastAsia"/>
          <w:szCs w:val="32"/>
        </w:rPr>
        <w:t>醫</w:t>
      </w:r>
      <w:proofErr w:type="gramEnd"/>
      <w:r w:rsidRPr="008A0427">
        <w:rPr>
          <w:rFonts w:hAnsi="標楷體" w:hint="eastAsia"/>
          <w:szCs w:val="32"/>
        </w:rPr>
        <w:t>計畫9</w:t>
      </w:r>
      <w:r>
        <w:rPr>
          <w:rFonts w:hAnsi="標楷體" w:hint="eastAsia"/>
          <w:szCs w:val="32"/>
        </w:rPr>
        <w:t>2-105</w:t>
      </w:r>
      <w:r w:rsidRPr="008A0427">
        <w:rPr>
          <w:rFonts w:hAnsi="標楷體" w:hint="eastAsia"/>
          <w:szCs w:val="32"/>
        </w:rPr>
        <w:t>年</w:t>
      </w:r>
      <w:r>
        <w:rPr>
          <w:rFonts w:hAnsi="標楷體" w:hint="eastAsia"/>
          <w:szCs w:val="32"/>
        </w:rPr>
        <w:t>社區醫療群及</w:t>
      </w:r>
      <w:r w:rsidRPr="008A0427">
        <w:rPr>
          <w:rFonts w:hAnsi="標楷體" w:hint="eastAsia"/>
          <w:szCs w:val="32"/>
        </w:rPr>
        <w:t>收案</w:t>
      </w:r>
      <w:r>
        <w:rPr>
          <w:rFonts w:hAnsi="標楷體" w:hint="eastAsia"/>
          <w:szCs w:val="32"/>
        </w:rPr>
        <w:t>人數統計表</w:t>
      </w:r>
    </w:p>
    <w:tbl>
      <w:tblPr>
        <w:tblW w:w="4763" w:type="pct"/>
        <w:jc w:val="center"/>
        <w:tblBorders>
          <w:top w:val="single" w:sz="4" w:space="0" w:color="auto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9"/>
        <w:gridCol w:w="1313"/>
        <w:gridCol w:w="1269"/>
        <w:gridCol w:w="1269"/>
        <w:gridCol w:w="1973"/>
        <w:gridCol w:w="1973"/>
        <w:gridCol w:w="1973"/>
        <w:gridCol w:w="2493"/>
      </w:tblGrid>
      <w:tr w:rsidR="000B0D5E" w:rsidRPr="00E967DE" w:rsidTr="00DC1769">
        <w:trPr>
          <w:trHeight w:val="466"/>
          <w:tblHeader/>
          <w:jc w:val="center"/>
        </w:trPr>
        <w:tc>
          <w:tcPr>
            <w:tcW w:w="302" w:type="pct"/>
            <w:shd w:val="clear" w:color="auto" w:fill="auto"/>
            <w:vAlign w:val="center"/>
            <w:hideMark/>
          </w:tcPr>
          <w:p w:rsidR="000B0D5E" w:rsidRPr="00E967DE" w:rsidRDefault="000B0D5E" w:rsidP="00DC1769">
            <w:pPr>
              <w:widowControl/>
              <w:snapToGrid w:val="0"/>
              <w:spacing w:line="240" w:lineRule="atLeast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 w:rsidRPr="00E967DE">
              <w:rPr>
                <w:rFonts w:ascii="標楷體" w:hAnsi="標楷體" w:hint="eastAsia"/>
                <w:kern w:val="0"/>
                <w:sz w:val="24"/>
                <w:szCs w:val="24"/>
              </w:rPr>
              <w:t>年度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0B0D5E" w:rsidRPr="00E967DE" w:rsidRDefault="000B0D5E" w:rsidP="00DC1769">
            <w:pPr>
              <w:widowControl/>
              <w:snapToGrid w:val="0"/>
              <w:spacing w:line="240" w:lineRule="atLeast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proofErr w:type="gramStart"/>
            <w:r>
              <w:rPr>
                <w:rFonts w:ascii="標楷體" w:hAnsi="標楷體" w:hint="eastAsia"/>
                <w:kern w:val="0"/>
                <w:sz w:val="24"/>
                <w:szCs w:val="24"/>
              </w:rPr>
              <w:t>醫療</w:t>
            </w:r>
            <w:r w:rsidRPr="00E967DE">
              <w:rPr>
                <w:rFonts w:ascii="標楷體" w:hAnsi="標楷體" w:hint="eastAsia"/>
                <w:kern w:val="0"/>
                <w:sz w:val="24"/>
                <w:szCs w:val="24"/>
              </w:rPr>
              <w:t>群數</w:t>
            </w:r>
            <w:proofErr w:type="gramEnd"/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0B0D5E" w:rsidRPr="00E967DE" w:rsidRDefault="000B0D5E" w:rsidP="00DC1769">
            <w:pPr>
              <w:widowControl/>
              <w:snapToGrid w:val="0"/>
              <w:spacing w:line="240" w:lineRule="atLeast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 w:rsidRPr="00E967DE">
              <w:rPr>
                <w:rFonts w:ascii="標楷體" w:hAnsi="標楷體" w:hint="eastAsia"/>
                <w:kern w:val="0"/>
                <w:sz w:val="24"/>
                <w:szCs w:val="24"/>
              </w:rPr>
              <w:t>診所數</w:t>
            </w:r>
          </w:p>
        </w:tc>
        <w:tc>
          <w:tcPr>
            <w:tcW w:w="486" w:type="pct"/>
            <w:vAlign w:val="center"/>
          </w:tcPr>
          <w:p w:rsidR="000B0D5E" w:rsidRPr="00E967DE" w:rsidRDefault="000B0D5E" w:rsidP="00DC1769">
            <w:pPr>
              <w:widowControl/>
              <w:snapToGrid w:val="0"/>
              <w:spacing w:line="240" w:lineRule="atLeast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kern w:val="0"/>
                <w:sz w:val="24"/>
                <w:szCs w:val="24"/>
              </w:rPr>
              <w:t>醫師數</w:t>
            </w:r>
          </w:p>
        </w:tc>
        <w:tc>
          <w:tcPr>
            <w:tcW w:w="756" w:type="pct"/>
            <w:shd w:val="clear" w:color="auto" w:fill="auto"/>
            <w:vAlign w:val="center"/>
            <w:hideMark/>
          </w:tcPr>
          <w:p w:rsidR="000B0D5E" w:rsidRPr="00E967DE" w:rsidRDefault="000B0D5E" w:rsidP="00DC1769">
            <w:pPr>
              <w:widowControl/>
              <w:snapToGrid w:val="0"/>
              <w:spacing w:line="240" w:lineRule="atLeast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 w:rsidRPr="00E967DE">
              <w:rPr>
                <w:rFonts w:ascii="標楷體" w:hAnsi="標楷體" w:hint="eastAsia"/>
                <w:kern w:val="0"/>
                <w:sz w:val="24"/>
                <w:szCs w:val="24"/>
              </w:rPr>
              <w:t>收案人數</w:t>
            </w:r>
          </w:p>
        </w:tc>
        <w:tc>
          <w:tcPr>
            <w:tcW w:w="756" w:type="pct"/>
            <w:vAlign w:val="center"/>
          </w:tcPr>
          <w:p w:rsidR="000B0D5E" w:rsidRPr="00E967DE" w:rsidRDefault="000B0D5E" w:rsidP="00DC1769">
            <w:pPr>
              <w:widowControl/>
              <w:snapToGrid w:val="0"/>
              <w:spacing w:line="240" w:lineRule="atLeast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 w:rsidRPr="00C667A4">
              <w:rPr>
                <w:rFonts w:ascii="標楷體" w:hAnsi="標楷體" w:hint="eastAsia"/>
                <w:kern w:val="0"/>
                <w:sz w:val="24"/>
                <w:szCs w:val="24"/>
              </w:rPr>
              <w:t>參與診所占率</w:t>
            </w:r>
          </w:p>
        </w:tc>
        <w:tc>
          <w:tcPr>
            <w:tcW w:w="756" w:type="pct"/>
            <w:vAlign w:val="center"/>
          </w:tcPr>
          <w:p w:rsidR="000B0D5E" w:rsidRPr="00E967DE" w:rsidRDefault="000B0D5E" w:rsidP="00DC1769">
            <w:pPr>
              <w:widowControl/>
              <w:snapToGrid w:val="0"/>
              <w:spacing w:line="240" w:lineRule="atLeast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 w:rsidRPr="00C667A4">
              <w:rPr>
                <w:rFonts w:ascii="標楷體" w:hAnsi="標楷體" w:hint="eastAsia"/>
                <w:kern w:val="0"/>
                <w:sz w:val="24"/>
                <w:szCs w:val="24"/>
              </w:rPr>
              <w:t>參與</w:t>
            </w:r>
            <w:r>
              <w:rPr>
                <w:rFonts w:ascii="標楷體" w:hAnsi="標楷體" w:hint="eastAsia"/>
                <w:kern w:val="0"/>
                <w:sz w:val="24"/>
                <w:szCs w:val="24"/>
              </w:rPr>
              <w:t>醫師</w:t>
            </w:r>
            <w:r w:rsidRPr="00C667A4">
              <w:rPr>
                <w:rFonts w:ascii="標楷體" w:hAnsi="標楷體" w:hint="eastAsia"/>
                <w:kern w:val="0"/>
                <w:sz w:val="24"/>
                <w:szCs w:val="24"/>
              </w:rPr>
              <w:t>占率</w:t>
            </w:r>
          </w:p>
        </w:tc>
        <w:tc>
          <w:tcPr>
            <w:tcW w:w="955" w:type="pct"/>
            <w:vAlign w:val="center"/>
          </w:tcPr>
          <w:p w:rsidR="000B0D5E" w:rsidRDefault="000B0D5E" w:rsidP="00DC1769">
            <w:pPr>
              <w:widowControl/>
              <w:snapToGrid w:val="0"/>
              <w:spacing w:line="240" w:lineRule="atLeast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 w:rsidRPr="00E967DE">
              <w:rPr>
                <w:rFonts w:ascii="標楷體" w:hAnsi="標楷體" w:hint="eastAsia"/>
                <w:kern w:val="0"/>
                <w:sz w:val="24"/>
                <w:szCs w:val="24"/>
              </w:rPr>
              <w:t>收案人數</w:t>
            </w:r>
            <w:r>
              <w:rPr>
                <w:rFonts w:ascii="標楷體" w:hAnsi="標楷體" w:hint="eastAsia"/>
                <w:kern w:val="0"/>
                <w:sz w:val="24"/>
                <w:szCs w:val="24"/>
              </w:rPr>
              <w:t>占</w:t>
            </w:r>
          </w:p>
          <w:p w:rsidR="000B0D5E" w:rsidRPr="00E967DE" w:rsidRDefault="000B0D5E" w:rsidP="00DC1769">
            <w:pPr>
              <w:widowControl/>
              <w:snapToGrid w:val="0"/>
              <w:spacing w:line="240" w:lineRule="atLeast"/>
              <w:jc w:val="center"/>
              <w:rPr>
                <w:rFonts w:ascii="標楷體" w:hAnsi="標楷體"/>
                <w:kern w:val="0"/>
                <w:sz w:val="24"/>
                <w:szCs w:val="24"/>
              </w:rPr>
            </w:pPr>
            <w:r>
              <w:rPr>
                <w:rFonts w:ascii="標楷體" w:hAnsi="標楷體" w:hint="eastAsia"/>
                <w:kern w:val="0"/>
                <w:sz w:val="24"/>
                <w:szCs w:val="24"/>
              </w:rPr>
              <w:t>納保人口比率</w:t>
            </w:r>
          </w:p>
        </w:tc>
      </w:tr>
      <w:tr w:rsidR="000B0D5E" w:rsidRPr="00E967DE" w:rsidTr="00DC1769">
        <w:trPr>
          <w:trHeight w:val="466"/>
          <w:jc w:val="center"/>
        </w:trPr>
        <w:tc>
          <w:tcPr>
            <w:tcW w:w="302" w:type="pct"/>
            <w:shd w:val="clear" w:color="auto" w:fill="auto"/>
            <w:vAlign w:val="center"/>
            <w:hideMark/>
          </w:tcPr>
          <w:p w:rsidR="000B0D5E" w:rsidRPr="00E967DE" w:rsidRDefault="000B0D5E" w:rsidP="00DC1769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E967DE">
              <w:rPr>
                <w:kern w:val="0"/>
                <w:sz w:val="24"/>
                <w:szCs w:val="24"/>
              </w:rPr>
              <w:t>92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0B0D5E" w:rsidRPr="00E967DE" w:rsidRDefault="000B0D5E" w:rsidP="00DC1769">
            <w:pPr>
              <w:widowControl/>
              <w:jc w:val="right"/>
              <w:rPr>
                <w:kern w:val="0"/>
                <w:sz w:val="24"/>
                <w:szCs w:val="24"/>
              </w:rPr>
            </w:pPr>
            <w:r w:rsidRPr="00E967DE">
              <w:rPr>
                <w:kern w:val="0"/>
                <w:sz w:val="24"/>
                <w:szCs w:val="24"/>
              </w:rPr>
              <w:t>24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0B0D5E" w:rsidRPr="00E967DE" w:rsidRDefault="000B0D5E" w:rsidP="00DC1769">
            <w:pPr>
              <w:widowControl/>
              <w:jc w:val="right"/>
              <w:rPr>
                <w:kern w:val="0"/>
                <w:sz w:val="24"/>
                <w:szCs w:val="24"/>
              </w:rPr>
            </w:pPr>
            <w:r w:rsidRPr="00E967DE">
              <w:rPr>
                <w:kern w:val="0"/>
                <w:sz w:val="24"/>
                <w:szCs w:val="24"/>
              </w:rPr>
              <w:t>144</w:t>
            </w:r>
          </w:p>
        </w:tc>
        <w:tc>
          <w:tcPr>
            <w:tcW w:w="486" w:type="pct"/>
            <w:vAlign w:val="center"/>
          </w:tcPr>
          <w:p w:rsidR="000B0D5E" w:rsidRPr="00E967DE" w:rsidRDefault="000B0D5E" w:rsidP="00DC1769">
            <w:pPr>
              <w:widowControl/>
              <w:jc w:val="righ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154</w:t>
            </w:r>
          </w:p>
        </w:tc>
        <w:tc>
          <w:tcPr>
            <w:tcW w:w="756" w:type="pct"/>
            <w:shd w:val="clear" w:color="auto" w:fill="auto"/>
            <w:vAlign w:val="center"/>
            <w:hideMark/>
          </w:tcPr>
          <w:p w:rsidR="000B0D5E" w:rsidRPr="00E967DE" w:rsidRDefault="000B0D5E" w:rsidP="00DC1769">
            <w:pPr>
              <w:widowControl/>
              <w:jc w:val="right"/>
              <w:rPr>
                <w:kern w:val="0"/>
                <w:sz w:val="24"/>
                <w:szCs w:val="24"/>
              </w:rPr>
            </w:pPr>
            <w:r w:rsidRPr="00E967DE">
              <w:rPr>
                <w:kern w:val="0"/>
                <w:sz w:val="24"/>
                <w:szCs w:val="24"/>
              </w:rPr>
              <w:t>60,331</w:t>
            </w:r>
          </w:p>
        </w:tc>
        <w:tc>
          <w:tcPr>
            <w:tcW w:w="756" w:type="pct"/>
            <w:vAlign w:val="center"/>
          </w:tcPr>
          <w:p w:rsidR="000B0D5E" w:rsidRPr="00E967DE" w:rsidRDefault="000B0D5E" w:rsidP="00DC1769">
            <w:pPr>
              <w:widowControl/>
              <w:jc w:val="righ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1.68</w:t>
            </w:r>
            <w:r w:rsidR="00A778B6">
              <w:rPr>
                <w:rFonts w:hint="eastAsia"/>
                <w:kern w:val="0"/>
                <w:sz w:val="24"/>
                <w:szCs w:val="24"/>
              </w:rPr>
              <w:t>％</w:t>
            </w:r>
          </w:p>
        </w:tc>
        <w:tc>
          <w:tcPr>
            <w:tcW w:w="756" w:type="pct"/>
            <w:vAlign w:val="center"/>
          </w:tcPr>
          <w:p w:rsidR="000B0D5E" w:rsidRPr="00E967DE" w:rsidRDefault="000B0D5E" w:rsidP="00DC1769">
            <w:pPr>
              <w:widowControl/>
              <w:jc w:val="righ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1.39</w:t>
            </w:r>
            <w:r w:rsidR="00A778B6">
              <w:rPr>
                <w:rFonts w:hint="eastAsia"/>
                <w:kern w:val="0"/>
                <w:sz w:val="24"/>
                <w:szCs w:val="24"/>
              </w:rPr>
              <w:t>％</w:t>
            </w:r>
          </w:p>
        </w:tc>
        <w:tc>
          <w:tcPr>
            <w:tcW w:w="955" w:type="pct"/>
            <w:vAlign w:val="center"/>
          </w:tcPr>
          <w:p w:rsidR="000B0D5E" w:rsidRPr="00E967DE" w:rsidRDefault="000B0D5E" w:rsidP="00DC1769">
            <w:pPr>
              <w:widowControl/>
              <w:jc w:val="righ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0.27</w:t>
            </w:r>
            <w:r w:rsidR="00A778B6">
              <w:rPr>
                <w:rFonts w:hint="eastAsia"/>
                <w:kern w:val="0"/>
                <w:sz w:val="24"/>
                <w:szCs w:val="24"/>
              </w:rPr>
              <w:t>％</w:t>
            </w:r>
          </w:p>
        </w:tc>
      </w:tr>
      <w:tr w:rsidR="000B0D5E" w:rsidRPr="00E967DE" w:rsidTr="00DC1769">
        <w:trPr>
          <w:trHeight w:val="466"/>
          <w:jc w:val="center"/>
        </w:trPr>
        <w:tc>
          <w:tcPr>
            <w:tcW w:w="302" w:type="pct"/>
            <w:shd w:val="clear" w:color="auto" w:fill="auto"/>
            <w:vAlign w:val="center"/>
            <w:hideMark/>
          </w:tcPr>
          <w:p w:rsidR="000B0D5E" w:rsidRPr="00E967DE" w:rsidRDefault="000B0D5E" w:rsidP="00DC1769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E967DE">
              <w:rPr>
                <w:kern w:val="0"/>
                <w:sz w:val="24"/>
                <w:szCs w:val="24"/>
              </w:rPr>
              <w:t>93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0B0D5E" w:rsidRPr="00E967DE" w:rsidRDefault="000B0D5E" w:rsidP="00DC1769">
            <w:pPr>
              <w:widowControl/>
              <w:jc w:val="right"/>
              <w:rPr>
                <w:kern w:val="0"/>
                <w:sz w:val="24"/>
                <w:szCs w:val="24"/>
              </w:rPr>
            </w:pPr>
            <w:r w:rsidRPr="00E967DE">
              <w:rPr>
                <w:kern w:val="0"/>
                <w:sz w:val="24"/>
                <w:szCs w:val="24"/>
              </w:rPr>
              <w:t>269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0B0D5E" w:rsidRPr="00E967DE" w:rsidRDefault="000B0D5E" w:rsidP="00DC1769">
            <w:pPr>
              <w:widowControl/>
              <w:jc w:val="right"/>
              <w:rPr>
                <w:kern w:val="0"/>
                <w:sz w:val="24"/>
                <w:szCs w:val="24"/>
              </w:rPr>
            </w:pPr>
            <w:r w:rsidRPr="00E967DE">
              <w:rPr>
                <w:kern w:val="0"/>
                <w:sz w:val="24"/>
                <w:szCs w:val="24"/>
              </w:rPr>
              <w:t>1,576</w:t>
            </w:r>
          </w:p>
        </w:tc>
        <w:tc>
          <w:tcPr>
            <w:tcW w:w="486" w:type="pct"/>
            <w:vAlign w:val="center"/>
          </w:tcPr>
          <w:p w:rsidR="000B0D5E" w:rsidRPr="00E967DE" w:rsidRDefault="000B0D5E" w:rsidP="00DC1769">
            <w:pPr>
              <w:widowControl/>
              <w:jc w:val="righ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1,811</w:t>
            </w:r>
          </w:p>
        </w:tc>
        <w:tc>
          <w:tcPr>
            <w:tcW w:w="756" w:type="pct"/>
            <w:shd w:val="clear" w:color="auto" w:fill="auto"/>
            <w:vAlign w:val="center"/>
            <w:hideMark/>
          </w:tcPr>
          <w:p w:rsidR="000B0D5E" w:rsidRPr="00E967DE" w:rsidRDefault="000B0D5E" w:rsidP="00DC1769">
            <w:pPr>
              <w:widowControl/>
              <w:jc w:val="right"/>
              <w:rPr>
                <w:kern w:val="0"/>
                <w:sz w:val="24"/>
                <w:szCs w:val="24"/>
              </w:rPr>
            </w:pPr>
            <w:r w:rsidRPr="00E967DE">
              <w:rPr>
                <w:kern w:val="0"/>
                <w:sz w:val="24"/>
                <w:szCs w:val="24"/>
              </w:rPr>
              <w:t>620,294</w:t>
            </w:r>
          </w:p>
        </w:tc>
        <w:tc>
          <w:tcPr>
            <w:tcW w:w="756" w:type="pct"/>
            <w:vAlign w:val="center"/>
          </w:tcPr>
          <w:p w:rsidR="000B0D5E" w:rsidRPr="00E967DE" w:rsidRDefault="000B0D5E" w:rsidP="00DC1769">
            <w:pPr>
              <w:widowControl/>
              <w:jc w:val="righ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18.41</w:t>
            </w:r>
            <w:r w:rsidR="00A778B6">
              <w:rPr>
                <w:rFonts w:hint="eastAsia"/>
                <w:kern w:val="0"/>
                <w:sz w:val="24"/>
                <w:szCs w:val="24"/>
              </w:rPr>
              <w:t>％</w:t>
            </w:r>
          </w:p>
        </w:tc>
        <w:tc>
          <w:tcPr>
            <w:tcW w:w="756" w:type="pct"/>
            <w:vAlign w:val="center"/>
          </w:tcPr>
          <w:p w:rsidR="000B0D5E" w:rsidRPr="00E967DE" w:rsidRDefault="000B0D5E" w:rsidP="00DC1769">
            <w:pPr>
              <w:widowControl/>
              <w:jc w:val="righ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16.36</w:t>
            </w:r>
            <w:r w:rsidR="00A778B6">
              <w:rPr>
                <w:rFonts w:hint="eastAsia"/>
                <w:kern w:val="0"/>
                <w:sz w:val="24"/>
                <w:szCs w:val="24"/>
              </w:rPr>
              <w:t>％</w:t>
            </w:r>
          </w:p>
        </w:tc>
        <w:tc>
          <w:tcPr>
            <w:tcW w:w="955" w:type="pct"/>
            <w:vAlign w:val="center"/>
          </w:tcPr>
          <w:p w:rsidR="000B0D5E" w:rsidRPr="00E967DE" w:rsidRDefault="000B0D5E" w:rsidP="00DC1769">
            <w:pPr>
              <w:widowControl/>
              <w:jc w:val="righ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2.81</w:t>
            </w:r>
            <w:r w:rsidR="00A778B6">
              <w:rPr>
                <w:rFonts w:hint="eastAsia"/>
                <w:kern w:val="0"/>
                <w:sz w:val="24"/>
                <w:szCs w:val="24"/>
              </w:rPr>
              <w:t>％</w:t>
            </w:r>
          </w:p>
        </w:tc>
      </w:tr>
      <w:tr w:rsidR="000B0D5E" w:rsidRPr="00E967DE" w:rsidTr="00DC1769">
        <w:trPr>
          <w:trHeight w:val="466"/>
          <w:jc w:val="center"/>
        </w:trPr>
        <w:tc>
          <w:tcPr>
            <w:tcW w:w="302" w:type="pct"/>
            <w:shd w:val="clear" w:color="auto" w:fill="auto"/>
            <w:vAlign w:val="center"/>
            <w:hideMark/>
          </w:tcPr>
          <w:p w:rsidR="000B0D5E" w:rsidRPr="00E967DE" w:rsidRDefault="000B0D5E" w:rsidP="00DC1769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E967DE">
              <w:rPr>
                <w:kern w:val="0"/>
                <w:sz w:val="24"/>
                <w:szCs w:val="24"/>
              </w:rPr>
              <w:t>94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0B0D5E" w:rsidRPr="00E967DE" w:rsidRDefault="000B0D5E" w:rsidP="00DC1769">
            <w:pPr>
              <w:widowControl/>
              <w:jc w:val="right"/>
              <w:rPr>
                <w:kern w:val="0"/>
                <w:sz w:val="24"/>
                <w:szCs w:val="24"/>
              </w:rPr>
            </w:pPr>
            <w:r w:rsidRPr="00E967DE">
              <w:rPr>
                <w:kern w:val="0"/>
                <w:sz w:val="24"/>
                <w:szCs w:val="24"/>
              </w:rPr>
              <w:t>258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0B0D5E" w:rsidRPr="00E967DE" w:rsidRDefault="000B0D5E" w:rsidP="00DC1769">
            <w:pPr>
              <w:widowControl/>
              <w:jc w:val="right"/>
              <w:rPr>
                <w:kern w:val="0"/>
                <w:sz w:val="24"/>
                <w:szCs w:val="24"/>
              </w:rPr>
            </w:pPr>
            <w:r w:rsidRPr="00E967DE">
              <w:rPr>
                <w:kern w:val="0"/>
                <w:sz w:val="24"/>
                <w:szCs w:val="24"/>
              </w:rPr>
              <w:t>1,533</w:t>
            </w:r>
          </w:p>
        </w:tc>
        <w:tc>
          <w:tcPr>
            <w:tcW w:w="486" w:type="pct"/>
            <w:vAlign w:val="center"/>
          </w:tcPr>
          <w:p w:rsidR="000B0D5E" w:rsidRPr="00E967DE" w:rsidRDefault="000B0D5E" w:rsidP="00DC1769">
            <w:pPr>
              <w:widowControl/>
              <w:jc w:val="righ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1,766</w:t>
            </w:r>
          </w:p>
        </w:tc>
        <w:tc>
          <w:tcPr>
            <w:tcW w:w="756" w:type="pct"/>
            <w:shd w:val="clear" w:color="auto" w:fill="auto"/>
            <w:vAlign w:val="center"/>
            <w:hideMark/>
          </w:tcPr>
          <w:p w:rsidR="000B0D5E" w:rsidRPr="00E967DE" w:rsidRDefault="000B0D5E" w:rsidP="00DC1769">
            <w:pPr>
              <w:widowControl/>
              <w:jc w:val="right"/>
              <w:rPr>
                <w:kern w:val="0"/>
                <w:sz w:val="24"/>
                <w:szCs w:val="24"/>
              </w:rPr>
            </w:pPr>
            <w:r w:rsidRPr="00E967DE">
              <w:rPr>
                <w:kern w:val="0"/>
                <w:sz w:val="24"/>
                <w:szCs w:val="24"/>
              </w:rPr>
              <w:t>1,186,997</w:t>
            </w:r>
          </w:p>
        </w:tc>
        <w:tc>
          <w:tcPr>
            <w:tcW w:w="756" w:type="pct"/>
            <w:vAlign w:val="center"/>
          </w:tcPr>
          <w:p w:rsidR="000B0D5E" w:rsidRPr="00E967DE" w:rsidRDefault="000B0D5E" w:rsidP="00DC1769">
            <w:pPr>
              <w:widowControl/>
              <w:jc w:val="righ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17.05</w:t>
            </w:r>
            <w:r w:rsidR="00A778B6">
              <w:rPr>
                <w:rFonts w:hint="eastAsia"/>
                <w:kern w:val="0"/>
                <w:sz w:val="24"/>
                <w:szCs w:val="24"/>
              </w:rPr>
              <w:t>％</w:t>
            </w:r>
          </w:p>
        </w:tc>
        <w:tc>
          <w:tcPr>
            <w:tcW w:w="756" w:type="pct"/>
            <w:vAlign w:val="center"/>
          </w:tcPr>
          <w:p w:rsidR="000B0D5E" w:rsidRPr="00E967DE" w:rsidRDefault="000B0D5E" w:rsidP="00DC1769">
            <w:pPr>
              <w:widowControl/>
              <w:jc w:val="righ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14.74</w:t>
            </w:r>
            <w:r w:rsidR="00A778B6">
              <w:rPr>
                <w:rFonts w:hint="eastAsia"/>
                <w:kern w:val="0"/>
                <w:sz w:val="24"/>
                <w:szCs w:val="24"/>
              </w:rPr>
              <w:t>％</w:t>
            </w:r>
          </w:p>
        </w:tc>
        <w:tc>
          <w:tcPr>
            <w:tcW w:w="955" w:type="pct"/>
            <w:vAlign w:val="center"/>
          </w:tcPr>
          <w:p w:rsidR="000B0D5E" w:rsidRPr="00E967DE" w:rsidRDefault="000B0D5E" w:rsidP="00DC1769">
            <w:pPr>
              <w:widowControl/>
              <w:jc w:val="righ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5.11</w:t>
            </w:r>
            <w:r w:rsidR="00A778B6">
              <w:rPr>
                <w:rFonts w:hint="eastAsia"/>
                <w:kern w:val="0"/>
                <w:sz w:val="24"/>
                <w:szCs w:val="24"/>
              </w:rPr>
              <w:t>％</w:t>
            </w:r>
          </w:p>
        </w:tc>
      </w:tr>
      <w:tr w:rsidR="000B0D5E" w:rsidRPr="00E967DE" w:rsidTr="00DC1769">
        <w:trPr>
          <w:trHeight w:val="466"/>
          <w:jc w:val="center"/>
        </w:trPr>
        <w:tc>
          <w:tcPr>
            <w:tcW w:w="302" w:type="pct"/>
            <w:shd w:val="clear" w:color="auto" w:fill="auto"/>
            <w:vAlign w:val="center"/>
            <w:hideMark/>
          </w:tcPr>
          <w:p w:rsidR="000B0D5E" w:rsidRPr="00E967DE" w:rsidRDefault="000B0D5E" w:rsidP="00DC1769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E967DE">
              <w:rPr>
                <w:kern w:val="0"/>
                <w:sz w:val="24"/>
                <w:szCs w:val="24"/>
              </w:rPr>
              <w:t>95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0B0D5E" w:rsidRPr="00E967DE" w:rsidRDefault="000B0D5E" w:rsidP="00DC1769">
            <w:pPr>
              <w:widowControl/>
              <w:jc w:val="right"/>
              <w:rPr>
                <w:kern w:val="0"/>
                <w:sz w:val="24"/>
                <w:szCs w:val="24"/>
              </w:rPr>
            </w:pPr>
            <w:r w:rsidRPr="00E967DE">
              <w:rPr>
                <w:kern w:val="0"/>
                <w:sz w:val="24"/>
                <w:szCs w:val="24"/>
              </w:rPr>
              <w:t>303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0B0D5E" w:rsidRPr="00E967DE" w:rsidRDefault="000B0D5E" w:rsidP="00DC1769">
            <w:pPr>
              <w:widowControl/>
              <w:jc w:val="right"/>
              <w:rPr>
                <w:kern w:val="0"/>
                <w:sz w:val="24"/>
                <w:szCs w:val="24"/>
              </w:rPr>
            </w:pPr>
            <w:r w:rsidRPr="00E967DE">
              <w:rPr>
                <w:kern w:val="0"/>
                <w:sz w:val="24"/>
                <w:szCs w:val="24"/>
              </w:rPr>
              <w:t>1,801</w:t>
            </w:r>
          </w:p>
        </w:tc>
        <w:tc>
          <w:tcPr>
            <w:tcW w:w="486" w:type="pct"/>
            <w:vAlign w:val="center"/>
          </w:tcPr>
          <w:p w:rsidR="000B0D5E" w:rsidRPr="00E967DE" w:rsidRDefault="000B0D5E" w:rsidP="00DC1769">
            <w:pPr>
              <w:widowControl/>
              <w:jc w:val="righ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2,050</w:t>
            </w:r>
          </w:p>
        </w:tc>
        <w:tc>
          <w:tcPr>
            <w:tcW w:w="756" w:type="pct"/>
            <w:shd w:val="clear" w:color="auto" w:fill="auto"/>
            <w:vAlign w:val="center"/>
            <w:hideMark/>
          </w:tcPr>
          <w:p w:rsidR="000B0D5E" w:rsidRPr="00E967DE" w:rsidRDefault="000B0D5E" w:rsidP="00DC1769">
            <w:pPr>
              <w:widowControl/>
              <w:jc w:val="right"/>
              <w:rPr>
                <w:kern w:val="0"/>
                <w:sz w:val="24"/>
                <w:szCs w:val="24"/>
              </w:rPr>
            </w:pPr>
            <w:r w:rsidRPr="00E967DE">
              <w:rPr>
                <w:kern w:val="0"/>
                <w:sz w:val="24"/>
                <w:szCs w:val="24"/>
              </w:rPr>
              <w:t>1,535,740</w:t>
            </w:r>
          </w:p>
        </w:tc>
        <w:tc>
          <w:tcPr>
            <w:tcW w:w="756" w:type="pct"/>
            <w:vAlign w:val="center"/>
          </w:tcPr>
          <w:p w:rsidR="000B0D5E" w:rsidRPr="00E967DE" w:rsidRDefault="000B0D5E" w:rsidP="00DC1769">
            <w:pPr>
              <w:widowControl/>
              <w:jc w:val="righ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19.68</w:t>
            </w:r>
            <w:r w:rsidR="00A778B6">
              <w:rPr>
                <w:rFonts w:hint="eastAsia"/>
                <w:kern w:val="0"/>
                <w:sz w:val="24"/>
                <w:szCs w:val="24"/>
              </w:rPr>
              <w:t>％</w:t>
            </w:r>
          </w:p>
        </w:tc>
        <w:tc>
          <w:tcPr>
            <w:tcW w:w="756" w:type="pct"/>
            <w:vAlign w:val="center"/>
          </w:tcPr>
          <w:p w:rsidR="000B0D5E" w:rsidRPr="00E967DE" w:rsidRDefault="000B0D5E" w:rsidP="00DC1769">
            <w:pPr>
              <w:widowControl/>
              <w:jc w:val="righ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16.80</w:t>
            </w:r>
            <w:r w:rsidR="00A778B6">
              <w:rPr>
                <w:rFonts w:hint="eastAsia"/>
                <w:kern w:val="0"/>
                <w:sz w:val="24"/>
                <w:szCs w:val="24"/>
              </w:rPr>
              <w:t>％</w:t>
            </w:r>
          </w:p>
        </w:tc>
        <w:tc>
          <w:tcPr>
            <w:tcW w:w="955" w:type="pct"/>
            <w:vAlign w:val="center"/>
          </w:tcPr>
          <w:p w:rsidR="000B0D5E" w:rsidRPr="00E967DE" w:rsidRDefault="000B0D5E" w:rsidP="00DC1769">
            <w:pPr>
              <w:widowControl/>
              <w:jc w:val="righ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5.28</w:t>
            </w:r>
            <w:r w:rsidR="00A778B6">
              <w:rPr>
                <w:rFonts w:hint="eastAsia"/>
                <w:kern w:val="0"/>
                <w:sz w:val="24"/>
                <w:szCs w:val="24"/>
              </w:rPr>
              <w:t>％</w:t>
            </w:r>
          </w:p>
        </w:tc>
      </w:tr>
      <w:tr w:rsidR="000B0D5E" w:rsidRPr="00E967DE" w:rsidTr="00DC1769">
        <w:trPr>
          <w:trHeight w:val="466"/>
          <w:jc w:val="center"/>
        </w:trPr>
        <w:tc>
          <w:tcPr>
            <w:tcW w:w="302" w:type="pct"/>
            <w:shd w:val="clear" w:color="auto" w:fill="auto"/>
            <w:vAlign w:val="center"/>
            <w:hideMark/>
          </w:tcPr>
          <w:p w:rsidR="000B0D5E" w:rsidRPr="00E967DE" w:rsidRDefault="000B0D5E" w:rsidP="00DC1769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E967DE">
              <w:rPr>
                <w:kern w:val="0"/>
                <w:sz w:val="24"/>
                <w:szCs w:val="24"/>
              </w:rPr>
              <w:t>96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0B0D5E" w:rsidRPr="00E967DE" w:rsidRDefault="000B0D5E" w:rsidP="00DC1769">
            <w:pPr>
              <w:widowControl/>
              <w:jc w:val="right"/>
              <w:rPr>
                <w:kern w:val="0"/>
                <w:sz w:val="24"/>
                <w:szCs w:val="24"/>
              </w:rPr>
            </w:pPr>
            <w:r w:rsidRPr="00E967DE">
              <w:rPr>
                <w:kern w:val="0"/>
                <w:sz w:val="24"/>
                <w:szCs w:val="24"/>
              </w:rPr>
              <w:t>305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0B0D5E" w:rsidRPr="00E967DE" w:rsidRDefault="000B0D5E" w:rsidP="00DC1769">
            <w:pPr>
              <w:widowControl/>
              <w:jc w:val="right"/>
              <w:rPr>
                <w:kern w:val="0"/>
                <w:sz w:val="24"/>
                <w:szCs w:val="24"/>
              </w:rPr>
            </w:pPr>
            <w:r w:rsidRPr="00E967DE">
              <w:rPr>
                <w:kern w:val="0"/>
                <w:sz w:val="24"/>
                <w:szCs w:val="24"/>
              </w:rPr>
              <w:t>1,736</w:t>
            </w:r>
          </w:p>
        </w:tc>
        <w:tc>
          <w:tcPr>
            <w:tcW w:w="486" w:type="pct"/>
            <w:vAlign w:val="center"/>
          </w:tcPr>
          <w:p w:rsidR="000B0D5E" w:rsidRPr="00E967DE" w:rsidRDefault="000B0D5E" w:rsidP="00DC1769">
            <w:pPr>
              <w:widowControl/>
              <w:jc w:val="righ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1,981</w:t>
            </w:r>
          </w:p>
        </w:tc>
        <w:tc>
          <w:tcPr>
            <w:tcW w:w="756" w:type="pct"/>
            <w:shd w:val="clear" w:color="auto" w:fill="auto"/>
            <w:vAlign w:val="center"/>
            <w:hideMark/>
          </w:tcPr>
          <w:p w:rsidR="000B0D5E" w:rsidRPr="00E967DE" w:rsidRDefault="000B0D5E" w:rsidP="00DC1769">
            <w:pPr>
              <w:widowControl/>
              <w:jc w:val="right"/>
              <w:rPr>
                <w:kern w:val="0"/>
                <w:sz w:val="24"/>
                <w:szCs w:val="24"/>
              </w:rPr>
            </w:pPr>
            <w:r w:rsidRPr="00E967DE">
              <w:rPr>
                <w:kern w:val="0"/>
                <w:sz w:val="24"/>
                <w:szCs w:val="24"/>
              </w:rPr>
              <w:t>1,371,362</w:t>
            </w:r>
          </w:p>
        </w:tc>
        <w:tc>
          <w:tcPr>
            <w:tcW w:w="756" w:type="pct"/>
            <w:vAlign w:val="center"/>
          </w:tcPr>
          <w:p w:rsidR="000B0D5E" w:rsidRPr="00E967DE" w:rsidRDefault="000B0D5E" w:rsidP="00DC1769">
            <w:pPr>
              <w:widowControl/>
              <w:jc w:val="righ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18.76</w:t>
            </w:r>
            <w:r w:rsidR="00A778B6">
              <w:rPr>
                <w:rFonts w:hint="eastAsia"/>
                <w:kern w:val="0"/>
                <w:sz w:val="24"/>
                <w:szCs w:val="24"/>
              </w:rPr>
              <w:t>％</w:t>
            </w:r>
          </w:p>
        </w:tc>
        <w:tc>
          <w:tcPr>
            <w:tcW w:w="756" w:type="pct"/>
            <w:vAlign w:val="center"/>
          </w:tcPr>
          <w:p w:rsidR="000B0D5E" w:rsidRPr="00E967DE" w:rsidRDefault="000B0D5E" w:rsidP="00DC1769">
            <w:pPr>
              <w:widowControl/>
              <w:jc w:val="righ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16.00</w:t>
            </w:r>
            <w:r w:rsidR="00A778B6">
              <w:rPr>
                <w:rFonts w:hint="eastAsia"/>
                <w:kern w:val="0"/>
                <w:sz w:val="24"/>
                <w:szCs w:val="24"/>
              </w:rPr>
              <w:t>％</w:t>
            </w:r>
          </w:p>
        </w:tc>
        <w:tc>
          <w:tcPr>
            <w:tcW w:w="955" w:type="pct"/>
            <w:vAlign w:val="center"/>
          </w:tcPr>
          <w:p w:rsidR="000B0D5E" w:rsidRPr="00E967DE" w:rsidRDefault="000B0D5E" w:rsidP="00DC1769">
            <w:pPr>
              <w:widowControl/>
              <w:jc w:val="righ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6.84</w:t>
            </w:r>
            <w:r w:rsidR="00A778B6">
              <w:rPr>
                <w:rFonts w:hint="eastAsia"/>
                <w:kern w:val="0"/>
                <w:sz w:val="24"/>
                <w:szCs w:val="24"/>
              </w:rPr>
              <w:t>％</w:t>
            </w:r>
          </w:p>
        </w:tc>
      </w:tr>
      <w:tr w:rsidR="000B0D5E" w:rsidRPr="00E967DE" w:rsidTr="00DC1769">
        <w:trPr>
          <w:trHeight w:val="466"/>
          <w:jc w:val="center"/>
        </w:trPr>
        <w:tc>
          <w:tcPr>
            <w:tcW w:w="302" w:type="pct"/>
            <w:shd w:val="clear" w:color="auto" w:fill="auto"/>
            <w:vAlign w:val="center"/>
            <w:hideMark/>
          </w:tcPr>
          <w:p w:rsidR="000B0D5E" w:rsidRPr="00E967DE" w:rsidRDefault="000B0D5E" w:rsidP="00DC1769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E967DE">
              <w:rPr>
                <w:kern w:val="0"/>
                <w:sz w:val="24"/>
                <w:szCs w:val="24"/>
              </w:rPr>
              <w:t>97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0B0D5E" w:rsidRPr="00E967DE" w:rsidRDefault="000B0D5E" w:rsidP="00DC1769">
            <w:pPr>
              <w:widowControl/>
              <w:jc w:val="right"/>
              <w:rPr>
                <w:kern w:val="0"/>
                <w:sz w:val="24"/>
                <w:szCs w:val="24"/>
              </w:rPr>
            </w:pPr>
            <w:r w:rsidRPr="00E967DE">
              <w:rPr>
                <w:kern w:val="0"/>
                <w:sz w:val="24"/>
                <w:szCs w:val="24"/>
              </w:rPr>
              <w:t>324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0B0D5E" w:rsidRPr="00E967DE" w:rsidRDefault="000B0D5E" w:rsidP="00DC1769">
            <w:pPr>
              <w:widowControl/>
              <w:jc w:val="right"/>
              <w:rPr>
                <w:kern w:val="0"/>
                <w:sz w:val="24"/>
                <w:szCs w:val="24"/>
              </w:rPr>
            </w:pPr>
            <w:r w:rsidRPr="00E967DE">
              <w:rPr>
                <w:kern w:val="0"/>
                <w:sz w:val="24"/>
                <w:szCs w:val="24"/>
              </w:rPr>
              <w:t>1,871</w:t>
            </w:r>
          </w:p>
        </w:tc>
        <w:tc>
          <w:tcPr>
            <w:tcW w:w="486" w:type="pct"/>
            <w:vAlign w:val="center"/>
          </w:tcPr>
          <w:p w:rsidR="000B0D5E" w:rsidRPr="00E967DE" w:rsidRDefault="000B0D5E" w:rsidP="00DC1769">
            <w:pPr>
              <w:widowControl/>
              <w:jc w:val="righ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2,269</w:t>
            </w:r>
          </w:p>
        </w:tc>
        <w:tc>
          <w:tcPr>
            <w:tcW w:w="756" w:type="pct"/>
            <w:shd w:val="clear" w:color="auto" w:fill="auto"/>
            <w:vAlign w:val="center"/>
            <w:hideMark/>
          </w:tcPr>
          <w:p w:rsidR="000B0D5E" w:rsidRPr="00E967DE" w:rsidRDefault="000B0D5E" w:rsidP="00DC1769">
            <w:pPr>
              <w:widowControl/>
              <w:jc w:val="right"/>
              <w:rPr>
                <w:kern w:val="0"/>
                <w:sz w:val="24"/>
                <w:szCs w:val="24"/>
              </w:rPr>
            </w:pPr>
            <w:r w:rsidRPr="00E967DE">
              <w:rPr>
                <w:kern w:val="0"/>
                <w:sz w:val="24"/>
                <w:szCs w:val="24"/>
              </w:rPr>
              <w:t>1,569,133</w:t>
            </w:r>
          </w:p>
        </w:tc>
        <w:tc>
          <w:tcPr>
            <w:tcW w:w="756" w:type="pct"/>
            <w:vAlign w:val="center"/>
          </w:tcPr>
          <w:p w:rsidR="000B0D5E" w:rsidRPr="00E967DE" w:rsidRDefault="000B0D5E" w:rsidP="00DC1769">
            <w:pPr>
              <w:widowControl/>
              <w:jc w:val="righ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19.85</w:t>
            </w:r>
            <w:r w:rsidR="00A778B6">
              <w:rPr>
                <w:rFonts w:hint="eastAsia"/>
                <w:kern w:val="0"/>
                <w:sz w:val="24"/>
                <w:szCs w:val="24"/>
              </w:rPr>
              <w:t>％</w:t>
            </w:r>
          </w:p>
        </w:tc>
        <w:tc>
          <w:tcPr>
            <w:tcW w:w="756" w:type="pct"/>
            <w:vAlign w:val="center"/>
          </w:tcPr>
          <w:p w:rsidR="000B0D5E" w:rsidRPr="00E967DE" w:rsidRDefault="000B0D5E" w:rsidP="00DC1769">
            <w:pPr>
              <w:widowControl/>
              <w:jc w:val="righ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17.72</w:t>
            </w:r>
            <w:r w:rsidR="00A778B6">
              <w:rPr>
                <w:rFonts w:hint="eastAsia"/>
                <w:kern w:val="0"/>
                <w:sz w:val="24"/>
                <w:szCs w:val="24"/>
              </w:rPr>
              <w:t>％</w:t>
            </w:r>
          </w:p>
        </w:tc>
        <w:tc>
          <w:tcPr>
            <w:tcW w:w="955" w:type="pct"/>
            <w:vAlign w:val="center"/>
          </w:tcPr>
          <w:p w:rsidR="000B0D5E" w:rsidRPr="00E967DE" w:rsidRDefault="000B0D5E" w:rsidP="00DC1769">
            <w:pPr>
              <w:widowControl/>
              <w:jc w:val="righ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6.61</w:t>
            </w:r>
            <w:r w:rsidR="00A778B6">
              <w:rPr>
                <w:rFonts w:hint="eastAsia"/>
                <w:kern w:val="0"/>
                <w:sz w:val="24"/>
                <w:szCs w:val="24"/>
              </w:rPr>
              <w:t>％</w:t>
            </w:r>
          </w:p>
        </w:tc>
      </w:tr>
      <w:tr w:rsidR="000B0D5E" w:rsidRPr="00E967DE" w:rsidTr="00DC1769">
        <w:trPr>
          <w:trHeight w:val="466"/>
          <w:jc w:val="center"/>
        </w:trPr>
        <w:tc>
          <w:tcPr>
            <w:tcW w:w="302" w:type="pct"/>
            <w:shd w:val="clear" w:color="auto" w:fill="auto"/>
            <w:vAlign w:val="center"/>
            <w:hideMark/>
          </w:tcPr>
          <w:p w:rsidR="000B0D5E" w:rsidRPr="00E967DE" w:rsidRDefault="000B0D5E" w:rsidP="00DC1769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E967DE">
              <w:rPr>
                <w:kern w:val="0"/>
                <w:sz w:val="24"/>
                <w:szCs w:val="24"/>
              </w:rPr>
              <w:t>98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0B0D5E" w:rsidRPr="00E967DE" w:rsidRDefault="000B0D5E" w:rsidP="00DC1769">
            <w:pPr>
              <w:widowControl/>
              <w:jc w:val="right"/>
              <w:rPr>
                <w:kern w:val="0"/>
                <w:sz w:val="24"/>
                <w:szCs w:val="24"/>
              </w:rPr>
            </w:pPr>
            <w:r w:rsidRPr="00E967DE">
              <w:rPr>
                <w:kern w:val="0"/>
                <w:sz w:val="24"/>
                <w:szCs w:val="24"/>
              </w:rPr>
              <w:t>318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0B0D5E" w:rsidRPr="00E967DE" w:rsidRDefault="000B0D5E" w:rsidP="00DC1769">
            <w:pPr>
              <w:widowControl/>
              <w:jc w:val="right"/>
              <w:rPr>
                <w:kern w:val="0"/>
                <w:sz w:val="24"/>
                <w:szCs w:val="24"/>
              </w:rPr>
            </w:pPr>
            <w:r w:rsidRPr="00E967DE">
              <w:rPr>
                <w:kern w:val="0"/>
                <w:sz w:val="24"/>
                <w:szCs w:val="24"/>
              </w:rPr>
              <w:t>1,789</w:t>
            </w:r>
          </w:p>
        </w:tc>
        <w:tc>
          <w:tcPr>
            <w:tcW w:w="486" w:type="pct"/>
            <w:vAlign w:val="center"/>
          </w:tcPr>
          <w:p w:rsidR="000B0D5E" w:rsidRPr="00E967DE" w:rsidRDefault="000B0D5E" w:rsidP="00DC1769">
            <w:pPr>
              <w:widowControl/>
              <w:jc w:val="righ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2,026</w:t>
            </w:r>
          </w:p>
        </w:tc>
        <w:tc>
          <w:tcPr>
            <w:tcW w:w="756" w:type="pct"/>
            <w:shd w:val="clear" w:color="auto" w:fill="auto"/>
            <w:vAlign w:val="center"/>
            <w:hideMark/>
          </w:tcPr>
          <w:p w:rsidR="000B0D5E" w:rsidRPr="00E967DE" w:rsidRDefault="000B0D5E" w:rsidP="00DC1769">
            <w:pPr>
              <w:widowControl/>
              <w:jc w:val="right"/>
              <w:rPr>
                <w:kern w:val="0"/>
                <w:sz w:val="24"/>
                <w:szCs w:val="24"/>
              </w:rPr>
            </w:pPr>
            <w:r w:rsidRPr="00E967DE">
              <w:rPr>
                <w:kern w:val="0"/>
                <w:sz w:val="24"/>
                <w:szCs w:val="24"/>
              </w:rPr>
              <w:t>1,610,276</w:t>
            </w:r>
          </w:p>
        </w:tc>
        <w:tc>
          <w:tcPr>
            <w:tcW w:w="756" w:type="pct"/>
            <w:vAlign w:val="center"/>
          </w:tcPr>
          <w:p w:rsidR="000B0D5E" w:rsidRPr="00E967DE" w:rsidRDefault="000B0D5E" w:rsidP="00DC1769">
            <w:pPr>
              <w:widowControl/>
              <w:jc w:val="righ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18.74</w:t>
            </w:r>
            <w:r w:rsidR="00A778B6">
              <w:rPr>
                <w:rFonts w:hint="eastAsia"/>
                <w:kern w:val="0"/>
                <w:sz w:val="24"/>
                <w:szCs w:val="24"/>
              </w:rPr>
              <w:t>％</w:t>
            </w:r>
          </w:p>
        </w:tc>
        <w:tc>
          <w:tcPr>
            <w:tcW w:w="756" w:type="pct"/>
            <w:vAlign w:val="center"/>
          </w:tcPr>
          <w:p w:rsidR="000B0D5E" w:rsidRPr="00E967DE" w:rsidRDefault="000B0D5E" w:rsidP="00DC1769">
            <w:pPr>
              <w:widowControl/>
              <w:jc w:val="righ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15.48</w:t>
            </w:r>
            <w:r w:rsidR="00A778B6">
              <w:rPr>
                <w:rFonts w:hint="eastAsia"/>
                <w:kern w:val="0"/>
                <w:sz w:val="24"/>
                <w:szCs w:val="24"/>
              </w:rPr>
              <w:t>％</w:t>
            </w:r>
          </w:p>
        </w:tc>
        <w:tc>
          <w:tcPr>
            <w:tcW w:w="955" w:type="pct"/>
            <w:vAlign w:val="center"/>
          </w:tcPr>
          <w:p w:rsidR="000B0D5E" w:rsidRPr="00E967DE" w:rsidRDefault="000B0D5E" w:rsidP="00DC1769">
            <w:pPr>
              <w:widowControl/>
              <w:jc w:val="righ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6.99</w:t>
            </w:r>
            <w:r w:rsidR="00A778B6">
              <w:rPr>
                <w:rFonts w:hint="eastAsia"/>
                <w:kern w:val="0"/>
                <w:sz w:val="24"/>
                <w:szCs w:val="24"/>
              </w:rPr>
              <w:t>％</w:t>
            </w:r>
          </w:p>
        </w:tc>
      </w:tr>
      <w:tr w:rsidR="000B0D5E" w:rsidRPr="00E967DE" w:rsidTr="00DC1769">
        <w:trPr>
          <w:trHeight w:val="466"/>
          <w:jc w:val="center"/>
        </w:trPr>
        <w:tc>
          <w:tcPr>
            <w:tcW w:w="302" w:type="pct"/>
            <w:shd w:val="clear" w:color="auto" w:fill="auto"/>
            <w:vAlign w:val="center"/>
            <w:hideMark/>
          </w:tcPr>
          <w:p w:rsidR="000B0D5E" w:rsidRPr="00E967DE" w:rsidRDefault="000B0D5E" w:rsidP="00DC1769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E967DE">
              <w:rPr>
                <w:kern w:val="0"/>
                <w:sz w:val="24"/>
                <w:szCs w:val="24"/>
              </w:rPr>
              <w:t>99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0B0D5E" w:rsidRPr="00E967DE" w:rsidRDefault="000B0D5E" w:rsidP="00DC1769">
            <w:pPr>
              <w:widowControl/>
              <w:jc w:val="right"/>
              <w:rPr>
                <w:kern w:val="0"/>
                <w:sz w:val="24"/>
                <w:szCs w:val="24"/>
              </w:rPr>
            </w:pPr>
            <w:r w:rsidRPr="00E967DE">
              <w:rPr>
                <w:kern w:val="0"/>
                <w:sz w:val="24"/>
                <w:szCs w:val="24"/>
              </w:rPr>
              <w:t>356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:rsidR="000B0D5E" w:rsidRPr="00E967DE" w:rsidRDefault="000B0D5E" w:rsidP="00DC1769">
            <w:pPr>
              <w:widowControl/>
              <w:jc w:val="right"/>
              <w:rPr>
                <w:kern w:val="0"/>
                <w:sz w:val="24"/>
                <w:szCs w:val="24"/>
              </w:rPr>
            </w:pPr>
            <w:r w:rsidRPr="00E967DE">
              <w:rPr>
                <w:kern w:val="0"/>
                <w:sz w:val="24"/>
                <w:szCs w:val="24"/>
              </w:rPr>
              <w:t>2,183</w:t>
            </w:r>
          </w:p>
        </w:tc>
        <w:tc>
          <w:tcPr>
            <w:tcW w:w="486" w:type="pct"/>
            <w:vAlign w:val="center"/>
          </w:tcPr>
          <w:p w:rsidR="000B0D5E" w:rsidRPr="00E967DE" w:rsidRDefault="000B0D5E" w:rsidP="00DC1769">
            <w:pPr>
              <w:widowControl/>
              <w:jc w:val="righ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2,478</w:t>
            </w:r>
          </w:p>
        </w:tc>
        <w:tc>
          <w:tcPr>
            <w:tcW w:w="756" w:type="pct"/>
            <w:shd w:val="clear" w:color="auto" w:fill="auto"/>
            <w:vAlign w:val="center"/>
            <w:hideMark/>
          </w:tcPr>
          <w:p w:rsidR="000B0D5E" w:rsidRPr="00E967DE" w:rsidRDefault="000B0D5E" w:rsidP="00DC1769">
            <w:pPr>
              <w:widowControl/>
              <w:jc w:val="right"/>
              <w:rPr>
                <w:kern w:val="0"/>
                <w:sz w:val="24"/>
                <w:szCs w:val="24"/>
              </w:rPr>
            </w:pPr>
            <w:r w:rsidRPr="00E967DE">
              <w:rPr>
                <w:kern w:val="0"/>
                <w:sz w:val="24"/>
                <w:szCs w:val="24"/>
              </w:rPr>
              <w:t>1,311,460</w:t>
            </w:r>
          </w:p>
        </w:tc>
        <w:tc>
          <w:tcPr>
            <w:tcW w:w="756" w:type="pct"/>
            <w:vAlign w:val="center"/>
          </w:tcPr>
          <w:p w:rsidR="000B0D5E" w:rsidRPr="00E967DE" w:rsidRDefault="000B0D5E" w:rsidP="00DC1769">
            <w:pPr>
              <w:widowControl/>
              <w:jc w:val="righ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21.46</w:t>
            </w:r>
            <w:r w:rsidR="00A778B6">
              <w:rPr>
                <w:rFonts w:hint="eastAsia"/>
                <w:kern w:val="0"/>
                <w:sz w:val="24"/>
                <w:szCs w:val="24"/>
              </w:rPr>
              <w:t>％</w:t>
            </w:r>
          </w:p>
        </w:tc>
        <w:tc>
          <w:tcPr>
            <w:tcW w:w="756" w:type="pct"/>
            <w:vAlign w:val="center"/>
          </w:tcPr>
          <w:p w:rsidR="000B0D5E" w:rsidRPr="00E967DE" w:rsidRDefault="000B0D5E" w:rsidP="00DC1769">
            <w:pPr>
              <w:widowControl/>
              <w:jc w:val="righ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18.59</w:t>
            </w:r>
            <w:r w:rsidR="00A778B6">
              <w:rPr>
                <w:rFonts w:hint="eastAsia"/>
                <w:kern w:val="0"/>
                <w:sz w:val="24"/>
                <w:szCs w:val="24"/>
              </w:rPr>
              <w:t>％</w:t>
            </w:r>
          </w:p>
        </w:tc>
        <w:tc>
          <w:tcPr>
            <w:tcW w:w="955" w:type="pct"/>
            <w:vAlign w:val="center"/>
          </w:tcPr>
          <w:p w:rsidR="000B0D5E" w:rsidRPr="00E967DE" w:rsidRDefault="000B0D5E" w:rsidP="00DC1769">
            <w:pPr>
              <w:widowControl/>
              <w:jc w:val="righ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5.77</w:t>
            </w:r>
            <w:r w:rsidR="00A778B6">
              <w:rPr>
                <w:rFonts w:hint="eastAsia"/>
                <w:kern w:val="0"/>
                <w:sz w:val="24"/>
                <w:szCs w:val="24"/>
              </w:rPr>
              <w:t>％</w:t>
            </w:r>
          </w:p>
        </w:tc>
      </w:tr>
      <w:tr w:rsidR="000B0D5E" w:rsidRPr="00E967DE" w:rsidTr="00DC1769">
        <w:trPr>
          <w:trHeight w:val="466"/>
          <w:jc w:val="center"/>
        </w:trPr>
        <w:tc>
          <w:tcPr>
            <w:tcW w:w="302" w:type="pct"/>
            <w:shd w:val="clear" w:color="auto" w:fill="auto"/>
            <w:vAlign w:val="center"/>
          </w:tcPr>
          <w:p w:rsidR="000B0D5E" w:rsidRPr="00E967DE" w:rsidRDefault="000B0D5E" w:rsidP="00DC1769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E967DE">
              <w:rPr>
                <w:kern w:val="0"/>
                <w:sz w:val="24"/>
                <w:szCs w:val="24"/>
              </w:rPr>
              <w:t>100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0B0D5E" w:rsidRPr="00E967DE" w:rsidRDefault="000B0D5E" w:rsidP="00DC1769">
            <w:pPr>
              <w:widowControl/>
              <w:jc w:val="right"/>
              <w:rPr>
                <w:kern w:val="0"/>
                <w:sz w:val="24"/>
                <w:szCs w:val="24"/>
              </w:rPr>
            </w:pPr>
            <w:r w:rsidRPr="00E967DE">
              <w:rPr>
                <w:kern w:val="0"/>
                <w:sz w:val="24"/>
                <w:szCs w:val="24"/>
              </w:rPr>
              <w:t>373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0B0D5E" w:rsidRPr="00E967DE" w:rsidRDefault="000B0D5E" w:rsidP="00DC1769">
            <w:pPr>
              <w:widowControl/>
              <w:jc w:val="right"/>
              <w:rPr>
                <w:kern w:val="0"/>
                <w:sz w:val="24"/>
                <w:szCs w:val="24"/>
              </w:rPr>
            </w:pPr>
            <w:r w:rsidRPr="00E967DE">
              <w:rPr>
                <w:kern w:val="0"/>
                <w:sz w:val="24"/>
                <w:szCs w:val="24"/>
              </w:rPr>
              <w:t>2,257</w:t>
            </w:r>
          </w:p>
        </w:tc>
        <w:tc>
          <w:tcPr>
            <w:tcW w:w="486" w:type="pct"/>
            <w:vAlign w:val="center"/>
          </w:tcPr>
          <w:p w:rsidR="000B0D5E" w:rsidRPr="00E967DE" w:rsidRDefault="000B0D5E" w:rsidP="00DC1769">
            <w:pPr>
              <w:widowControl/>
              <w:jc w:val="righ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2,499</w:t>
            </w:r>
          </w:p>
        </w:tc>
        <w:tc>
          <w:tcPr>
            <w:tcW w:w="756" w:type="pct"/>
            <w:shd w:val="clear" w:color="auto" w:fill="auto"/>
            <w:vAlign w:val="center"/>
          </w:tcPr>
          <w:p w:rsidR="000B0D5E" w:rsidRPr="00E967DE" w:rsidRDefault="000B0D5E" w:rsidP="00DC1769">
            <w:pPr>
              <w:widowControl/>
              <w:jc w:val="right"/>
              <w:rPr>
                <w:kern w:val="0"/>
                <w:sz w:val="24"/>
                <w:szCs w:val="24"/>
              </w:rPr>
            </w:pPr>
            <w:r w:rsidRPr="00E967DE">
              <w:rPr>
                <w:kern w:val="0"/>
                <w:sz w:val="24"/>
                <w:szCs w:val="24"/>
              </w:rPr>
              <w:t>1,444,835</w:t>
            </w:r>
          </w:p>
        </w:tc>
        <w:tc>
          <w:tcPr>
            <w:tcW w:w="756" w:type="pct"/>
            <w:vAlign w:val="center"/>
          </w:tcPr>
          <w:p w:rsidR="000B0D5E" w:rsidRPr="00E967DE" w:rsidRDefault="000B0D5E" w:rsidP="00DC1769">
            <w:pPr>
              <w:widowControl/>
              <w:jc w:val="righ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22.86</w:t>
            </w:r>
            <w:r w:rsidR="00A778B6">
              <w:rPr>
                <w:rFonts w:hint="eastAsia"/>
                <w:kern w:val="0"/>
                <w:sz w:val="24"/>
                <w:szCs w:val="24"/>
              </w:rPr>
              <w:t>％</w:t>
            </w:r>
          </w:p>
        </w:tc>
        <w:tc>
          <w:tcPr>
            <w:tcW w:w="756" w:type="pct"/>
            <w:vAlign w:val="center"/>
          </w:tcPr>
          <w:p w:rsidR="000B0D5E" w:rsidRPr="00E967DE" w:rsidRDefault="000B0D5E" w:rsidP="00DC1769">
            <w:pPr>
              <w:widowControl/>
              <w:jc w:val="righ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17.92</w:t>
            </w:r>
            <w:r w:rsidR="00A778B6">
              <w:rPr>
                <w:rFonts w:hint="eastAsia"/>
                <w:kern w:val="0"/>
                <w:sz w:val="24"/>
                <w:szCs w:val="24"/>
              </w:rPr>
              <w:t>％</w:t>
            </w:r>
          </w:p>
        </w:tc>
        <w:tc>
          <w:tcPr>
            <w:tcW w:w="955" w:type="pct"/>
            <w:vAlign w:val="center"/>
          </w:tcPr>
          <w:p w:rsidR="000B0D5E" w:rsidRPr="00E967DE" w:rsidRDefault="000B0D5E" w:rsidP="00DC1769">
            <w:pPr>
              <w:widowControl/>
              <w:jc w:val="righ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6.23</w:t>
            </w:r>
            <w:r w:rsidR="00A778B6">
              <w:rPr>
                <w:rFonts w:hint="eastAsia"/>
                <w:kern w:val="0"/>
                <w:sz w:val="24"/>
                <w:szCs w:val="24"/>
              </w:rPr>
              <w:t>％</w:t>
            </w:r>
          </w:p>
        </w:tc>
      </w:tr>
      <w:tr w:rsidR="000B0D5E" w:rsidRPr="00E967DE" w:rsidTr="00DC1769">
        <w:trPr>
          <w:trHeight w:val="466"/>
          <w:jc w:val="center"/>
        </w:trPr>
        <w:tc>
          <w:tcPr>
            <w:tcW w:w="3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B0D5E" w:rsidRPr="00E967DE" w:rsidRDefault="000B0D5E" w:rsidP="00DC1769">
            <w:pPr>
              <w:jc w:val="center"/>
              <w:rPr>
                <w:kern w:val="0"/>
                <w:sz w:val="24"/>
                <w:szCs w:val="24"/>
              </w:rPr>
            </w:pPr>
            <w:r w:rsidRPr="00E967DE">
              <w:rPr>
                <w:kern w:val="0"/>
                <w:sz w:val="24"/>
                <w:szCs w:val="24"/>
              </w:rPr>
              <w:t>101</w:t>
            </w:r>
          </w:p>
        </w:tc>
        <w:tc>
          <w:tcPr>
            <w:tcW w:w="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B0D5E" w:rsidRPr="00E967DE" w:rsidRDefault="000B0D5E" w:rsidP="00DC1769">
            <w:pPr>
              <w:jc w:val="right"/>
              <w:rPr>
                <w:kern w:val="0"/>
                <w:sz w:val="24"/>
                <w:szCs w:val="24"/>
              </w:rPr>
            </w:pPr>
            <w:r w:rsidRPr="00E967DE">
              <w:rPr>
                <w:kern w:val="0"/>
                <w:sz w:val="24"/>
                <w:szCs w:val="24"/>
              </w:rPr>
              <w:t>367</w:t>
            </w:r>
          </w:p>
        </w:tc>
        <w:tc>
          <w:tcPr>
            <w:tcW w:w="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B0D5E" w:rsidRPr="00E967DE" w:rsidRDefault="000B0D5E" w:rsidP="00DC1769">
            <w:pPr>
              <w:jc w:val="right"/>
              <w:rPr>
                <w:kern w:val="0"/>
                <w:sz w:val="24"/>
                <w:szCs w:val="24"/>
              </w:rPr>
            </w:pPr>
            <w:r w:rsidRPr="00E967DE">
              <w:rPr>
                <w:rFonts w:hint="eastAsia"/>
                <w:kern w:val="0"/>
                <w:sz w:val="24"/>
                <w:szCs w:val="24"/>
              </w:rPr>
              <w:t>2,361</w:t>
            </w:r>
          </w:p>
        </w:tc>
        <w:tc>
          <w:tcPr>
            <w:tcW w:w="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0D5E" w:rsidRPr="00E967DE" w:rsidRDefault="000B0D5E" w:rsidP="00DC1769">
            <w:pPr>
              <w:jc w:val="righ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2,749</w:t>
            </w:r>
          </w:p>
        </w:tc>
        <w:tc>
          <w:tcPr>
            <w:tcW w:w="7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B0D5E" w:rsidRPr="00E967DE" w:rsidRDefault="000B0D5E" w:rsidP="00DC1769">
            <w:pPr>
              <w:jc w:val="right"/>
              <w:rPr>
                <w:kern w:val="0"/>
                <w:sz w:val="24"/>
                <w:szCs w:val="24"/>
              </w:rPr>
            </w:pPr>
            <w:r w:rsidRPr="00E967DE">
              <w:rPr>
                <w:kern w:val="0"/>
                <w:sz w:val="24"/>
                <w:szCs w:val="24"/>
              </w:rPr>
              <w:t>2,110,866</w:t>
            </w:r>
          </w:p>
        </w:tc>
        <w:tc>
          <w:tcPr>
            <w:tcW w:w="7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0D5E" w:rsidRPr="00E967DE" w:rsidRDefault="000B0D5E" w:rsidP="00DC1769">
            <w:pPr>
              <w:jc w:val="righ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23.79</w:t>
            </w:r>
            <w:r w:rsidR="00A778B6">
              <w:rPr>
                <w:rFonts w:hint="eastAsia"/>
                <w:kern w:val="0"/>
                <w:sz w:val="24"/>
                <w:szCs w:val="24"/>
              </w:rPr>
              <w:t>％</w:t>
            </w:r>
          </w:p>
        </w:tc>
        <w:tc>
          <w:tcPr>
            <w:tcW w:w="7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0D5E" w:rsidRPr="00E967DE" w:rsidRDefault="000B0D5E" w:rsidP="00DC1769">
            <w:pPr>
              <w:jc w:val="righ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19.65</w:t>
            </w:r>
            <w:r w:rsidR="00A778B6">
              <w:rPr>
                <w:rFonts w:hint="eastAsia"/>
                <w:kern w:val="0"/>
                <w:sz w:val="24"/>
                <w:szCs w:val="24"/>
              </w:rPr>
              <w:t>％</w:t>
            </w:r>
          </w:p>
        </w:tc>
        <w:tc>
          <w:tcPr>
            <w:tcW w:w="9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0D5E" w:rsidRPr="00E967DE" w:rsidRDefault="000B0D5E" w:rsidP="00DC1769">
            <w:pPr>
              <w:jc w:val="righ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9.11</w:t>
            </w:r>
            <w:r w:rsidR="00A778B6">
              <w:rPr>
                <w:rFonts w:hint="eastAsia"/>
                <w:kern w:val="0"/>
                <w:sz w:val="24"/>
                <w:szCs w:val="24"/>
              </w:rPr>
              <w:t>％</w:t>
            </w:r>
          </w:p>
        </w:tc>
      </w:tr>
      <w:tr w:rsidR="000B0D5E" w:rsidRPr="00E967DE" w:rsidTr="00DC1769">
        <w:trPr>
          <w:trHeight w:val="466"/>
          <w:jc w:val="center"/>
        </w:trPr>
        <w:tc>
          <w:tcPr>
            <w:tcW w:w="3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B0D5E" w:rsidRPr="00E967DE" w:rsidRDefault="000B0D5E" w:rsidP="00DC1769">
            <w:pPr>
              <w:jc w:val="center"/>
              <w:rPr>
                <w:kern w:val="0"/>
                <w:sz w:val="24"/>
                <w:szCs w:val="24"/>
              </w:rPr>
            </w:pPr>
            <w:r w:rsidRPr="00E967DE">
              <w:rPr>
                <w:kern w:val="0"/>
                <w:sz w:val="24"/>
                <w:szCs w:val="24"/>
              </w:rPr>
              <w:t>102</w:t>
            </w:r>
          </w:p>
        </w:tc>
        <w:tc>
          <w:tcPr>
            <w:tcW w:w="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B0D5E" w:rsidRPr="00E967DE" w:rsidRDefault="000B0D5E" w:rsidP="00DC1769">
            <w:pPr>
              <w:jc w:val="right"/>
              <w:rPr>
                <w:kern w:val="0"/>
                <w:sz w:val="24"/>
                <w:szCs w:val="24"/>
              </w:rPr>
            </w:pPr>
            <w:r w:rsidRPr="00E967DE">
              <w:rPr>
                <w:kern w:val="0"/>
                <w:sz w:val="24"/>
                <w:szCs w:val="24"/>
              </w:rPr>
              <w:t>374</w:t>
            </w:r>
          </w:p>
        </w:tc>
        <w:tc>
          <w:tcPr>
            <w:tcW w:w="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B0D5E" w:rsidRPr="00E967DE" w:rsidRDefault="000B0D5E" w:rsidP="00DC1769">
            <w:pPr>
              <w:jc w:val="right"/>
              <w:rPr>
                <w:kern w:val="0"/>
                <w:sz w:val="24"/>
                <w:szCs w:val="24"/>
              </w:rPr>
            </w:pPr>
            <w:r w:rsidRPr="00E967DE">
              <w:rPr>
                <w:rFonts w:hint="eastAsia"/>
                <w:kern w:val="0"/>
                <w:sz w:val="24"/>
                <w:szCs w:val="24"/>
              </w:rPr>
              <w:t>2,785</w:t>
            </w:r>
          </w:p>
        </w:tc>
        <w:tc>
          <w:tcPr>
            <w:tcW w:w="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0D5E" w:rsidRPr="00E967DE" w:rsidRDefault="000B0D5E" w:rsidP="00DC1769">
            <w:pPr>
              <w:jc w:val="righ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3,343</w:t>
            </w:r>
          </w:p>
        </w:tc>
        <w:tc>
          <w:tcPr>
            <w:tcW w:w="7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B0D5E" w:rsidRPr="00E967DE" w:rsidRDefault="000B0D5E" w:rsidP="00DC1769">
            <w:pPr>
              <w:jc w:val="right"/>
              <w:rPr>
                <w:kern w:val="0"/>
                <w:sz w:val="24"/>
                <w:szCs w:val="24"/>
              </w:rPr>
            </w:pPr>
            <w:r w:rsidRPr="00E967DE">
              <w:rPr>
                <w:kern w:val="0"/>
                <w:sz w:val="24"/>
                <w:szCs w:val="24"/>
              </w:rPr>
              <w:t>2,053,499</w:t>
            </w:r>
          </w:p>
        </w:tc>
        <w:tc>
          <w:tcPr>
            <w:tcW w:w="7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0D5E" w:rsidRPr="00E967DE" w:rsidRDefault="000B0D5E" w:rsidP="00DC1769">
            <w:pPr>
              <w:jc w:val="righ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27.73</w:t>
            </w:r>
            <w:r w:rsidR="00A778B6">
              <w:rPr>
                <w:rFonts w:hint="eastAsia"/>
                <w:kern w:val="0"/>
                <w:sz w:val="24"/>
                <w:szCs w:val="24"/>
              </w:rPr>
              <w:t>％</w:t>
            </w:r>
          </w:p>
        </w:tc>
        <w:tc>
          <w:tcPr>
            <w:tcW w:w="7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0D5E" w:rsidRPr="00E967DE" w:rsidRDefault="000B0D5E" w:rsidP="00DC1769">
            <w:pPr>
              <w:jc w:val="righ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23.29</w:t>
            </w:r>
            <w:r w:rsidR="00A778B6">
              <w:rPr>
                <w:rFonts w:hint="eastAsia"/>
                <w:kern w:val="0"/>
                <w:sz w:val="24"/>
                <w:szCs w:val="24"/>
              </w:rPr>
              <w:t>％</w:t>
            </w:r>
          </w:p>
        </w:tc>
        <w:tc>
          <w:tcPr>
            <w:tcW w:w="9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0D5E" w:rsidRPr="00E967DE" w:rsidRDefault="000B0D5E" w:rsidP="00DC1769">
            <w:pPr>
              <w:jc w:val="righ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8.75</w:t>
            </w:r>
            <w:r w:rsidR="00A778B6">
              <w:rPr>
                <w:rFonts w:hint="eastAsia"/>
                <w:kern w:val="0"/>
                <w:sz w:val="24"/>
                <w:szCs w:val="24"/>
              </w:rPr>
              <w:t>％</w:t>
            </w:r>
          </w:p>
        </w:tc>
      </w:tr>
      <w:tr w:rsidR="000B0D5E" w:rsidRPr="00E967DE" w:rsidTr="00DC1769">
        <w:trPr>
          <w:trHeight w:val="466"/>
          <w:jc w:val="center"/>
        </w:trPr>
        <w:tc>
          <w:tcPr>
            <w:tcW w:w="3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B0D5E" w:rsidRPr="00E967DE" w:rsidRDefault="000B0D5E" w:rsidP="00DC1769">
            <w:pPr>
              <w:jc w:val="center"/>
              <w:rPr>
                <w:kern w:val="0"/>
                <w:sz w:val="24"/>
                <w:szCs w:val="24"/>
              </w:rPr>
            </w:pPr>
            <w:r w:rsidRPr="00E967DE">
              <w:rPr>
                <w:kern w:val="0"/>
                <w:sz w:val="24"/>
                <w:szCs w:val="24"/>
              </w:rPr>
              <w:t>103</w:t>
            </w:r>
          </w:p>
        </w:tc>
        <w:tc>
          <w:tcPr>
            <w:tcW w:w="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B0D5E" w:rsidRPr="00E967DE" w:rsidRDefault="000B0D5E" w:rsidP="00DC1769">
            <w:pPr>
              <w:jc w:val="right"/>
              <w:rPr>
                <w:kern w:val="0"/>
                <w:sz w:val="24"/>
                <w:szCs w:val="24"/>
              </w:rPr>
            </w:pPr>
            <w:r w:rsidRPr="00E967DE">
              <w:rPr>
                <w:kern w:val="0"/>
                <w:sz w:val="24"/>
                <w:szCs w:val="24"/>
              </w:rPr>
              <w:t>389</w:t>
            </w:r>
          </w:p>
        </w:tc>
        <w:tc>
          <w:tcPr>
            <w:tcW w:w="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B0D5E" w:rsidRPr="00E967DE" w:rsidRDefault="000B0D5E" w:rsidP="00DC1769">
            <w:pPr>
              <w:jc w:val="right"/>
              <w:rPr>
                <w:kern w:val="0"/>
                <w:sz w:val="24"/>
                <w:szCs w:val="24"/>
              </w:rPr>
            </w:pPr>
            <w:r w:rsidRPr="00E967DE">
              <w:rPr>
                <w:rFonts w:hint="eastAsia"/>
                <w:kern w:val="0"/>
                <w:sz w:val="24"/>
                <w:szCs w:val="24"/>
              </w:rPr>
              <w:t>2,890</w:t>
            </w:r>
          </w:p>
        </w:tc>
        <w:tc>
          <w:tcPr>
            <w:tcW w:w="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0D5E" w:rsidRPr="00E967DE" w:rsidRDefault="000B0D5E" w:rsidP="00DC1769">
            <w:pPr>
              <w:jc w:val="righ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3,527</w:t>
            </w:r>
          </w:p>
        </w:tc>
        <w:tc>
          <w:tcPr>
            <w:tcW w:w="7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B0D5E" w:rsidRPr="00E967DE" w:rsidRDefault="000B0D5E" w:rsidP="00DC1769">
            <w:pPr>
              <w:jc w:val="right"/>
              <w:rPr>
                <w:kern w:val="0"/>
                <w:sz w:val="24"/>
                <w:szCs w:val="24"/>
              </w:rPr>
            </w:pPr>
            <w:r w:rsidRPr="00E967DE">
              <w:rPr>
                <w:kern w:val="0"/>
                <w:sz w:val="24"/>
                <w:szCs w:val="24"/>
              </w:rPr>
              <w:t>2,235,088</w:t>
            </w:r>
          </w:p>
        </w:tc>
        <w:tc>
          <w:tcPr>
            <w:tcW w:w="7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0D5E" w:rsidRPr="00E967DE" w:rsidRDefault="000B0D5E" w:rsidP="00DC1769">
            <w:pPr>
              <w:jc w:val="righ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28.54</w:t>
            </w:r>
            <w:r w:rsidR="00A778B6">
              <w:rPr>
                <w:rFonts w:hint="eastAsia"/>
                <w:kern w:val="0"/>
                <w:sz w:val="24"/>
                <w:szCs w:val="24"/>
              </w:rPr>
              <w:t>％</w:t>
            </w:r>
          </w:p>
        </w:tc>
        <w:tc>
          <w:tcPr>
            <w:tcW w:w="7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0D5E" w:rsidRPr="00E967DE" w:rsidRDefault="000B0D5E" w:rsidP="00DC1769">
            <w:pPr>
              <w:jc w:val="righ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24.09</w:t>
            </w:r>
            <w:r w:rsidR="00A778B6">
              <w:rPr>
                <w:rFonts w:hint="eastAsia"/>
                <w:kern w:val="0"/>
                <w:sz w:val="24"/>
                <w:szCs w:val="24"/>
              </w:rPr>
              <w:t>％</w:t>
            </w:r>
          </w:p>
        </w:tc>
        <w:tc>
          <w:tcPr>
            <w:tcW w:w="9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0D5E" w:rsidRPr="00E967DE" w:rsidRDefault="000B0D5E" w:rsidP="00DC1769">
            <w:pPr>
              <w:jc w:val="righ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9.55</w:t>
            </w:r>
            <w:r w:rsidR="00A778B6">
              <w:rPr>
                <w:rFonts w:hint="eastAsia"/>
                <w:kern w:val="0"/>
                <w:sz w:val="24"/>
                <w:szCs w:val="24"/>
              </w:rPr>
              <w:t>％</w:t>
            </w:r>
          </w:p>
        </w:tc>
      </w:tr>
      <w:tr w:rsidR="000B0D5E" w:rsidRPr="00E967DE" w:rsidTr="00DC1769">
        <w:trPr>
          <w:trHeight w:val="466"/>
          <w:jc w:val="center"/>
        </w:trPr>
        <w:tc>
          <w:tcPr>
            <w:tcW w:w="3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B0D5E" w:rsidRPr="00E967DE" w:rsidRDefault="000B0D5E" w:rsidP="00DC1769">
            <w:pPr>
              <w:jc w:val="center"/>
              <w:rPr>
                <w:kern w:val="0"/>
                <w:sz w:val="24"/>
                <w:szCs w:val="24"/>
              </w:rPr>
            </w:pPr>
            <w:r w:rsidRPr="00E967DE">
              <w:rPr>
                <w:rFonts w:hint="eastAsia"/>
                <w:kern w:val="0"/>
                <w:sz w:val="24"/>
                <w:szCs w:val="24"/>
              </w:rPr>
              <w:t>104</w:t>
            </w:r>
          </w:p>
        </w:tc>
        <w:tc>
          <w:tcPr>
            <w:tcW w:w="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B0D5E" w:rsidRPr="00E967DE" w:rsidRDefault="000B0D5E" w:rsidP="00DC1769">
            <w:pPr>
              <w:jc w:val="right"/>
              <w:rPr>
                <w:kern w:val="0"/>
                <w:sz w:val="24"/>
                <w:szCs w:val="24"/>
              </w:rPr>
            </w:pPr>
            <w:r w:rsidRPr="00E967DE">
              <w:rPr>
                <w:rFonts w:hint="eastAsia"/>
                <w:kern w:val="0"/>
                <w:sz w:val="24"/>
                <w:szCs w:val="24"/>
              </w:rPr>
              <w:t>426</w:t>
            </w:r>
          </w:p>
        </w:tc>
        <w:tc>
          <w:tcPr>
            <w:tcW w:w="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B0D5E" w:rsidRPr="00E967DE" w:rsidRDefault="000B0D5E" w:rsidP="00DC1769">
            <w:pPr>
              <w:jc w:val="right"/>
              <w:rPr>
                <w:kern w:val="0"/>
                <w:sz w:val="24"/>
                <w:szCs w:val="24"/>
              </w:rPr>
            </w:pPr>
            <w:r w:rsidRPr="00E967DE">
              <w:rPr>
                <w:rFonts w:hint="eastAsia"/>
                <w:kern w:val="0"/>
                <w:sz w:val="24"/>
                <w:szCs w:val="24"/>
              </w:rPr>
              <w:t>3,035</w:t>
            </w:r>
          </w:p>
        </w:tc>
        <w:tc>
          <w:tcPr>
            <w:tcW w:w="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0D5E" w:rsidRPr="00E967DE" w:rsidRDefault="000B0D5E" w:rsidP="00DC1769">
            <w:pPr>
              <w:jc w:val="righ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3,709</w:t>
            </w:r>
          </w:p>
        </w:tc>
        <w:tc>
          <w:tcPr>
            <w:tcW w:w="7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B0D5E" w:rsidRPr="00E967DE" w:rsidRDefault="000B0D5E" w:rsidP="00DC1769">
            <w:pPr>
              <w:jc w:val="right"/>
              <w:rPr>
                <w:kern w:val="0"/>
                <w:sz w:val="24"/>
                <w:szCs w:val="24"/>
              </w:rPr>
            </w:pPr>
            <w:r w:rsidRPr="00E967DE">
              <w:rPr>
                <w:kern w:val="0"/>
                <w:sz w:val="24"/>
                <w:szCs w:val="24"/>
              </w:rPr>
              <w:t>2,</w:t>
            </w:r>
            <w:r w:rsidRPr="00E967DE">
              <w:rPr>
                <w:rFonts w:hint="eastAsia"/>
                <w:kern w:val="0"/>
                <w:sz w:val="24"/>
                <w:szCs w:val="24"/>
              </w:rPr>
              <w:t>484</w:t>
            </w:r>
            <w:r w:rsidRPr="00E967DE">
              <w:rPr>
                <w:kern w:val="0"/>
                <w:sz w:val="24"/>
                <w:szCs w:val="24"/>
              </w:rPr>
              <w:t>,</w:t>
            </w:r>
            <w:r w:rsidRPr="00E967DE">
              <w:rPr>
                <w:rFonts w:hint="eastAsia"/>
                <w:kern w:val="0"/>
                <w:sz w:val="24"/>
                <w:szCs w:val="24"/>
              </w:rPr>
              <w:t>646</w:t>
            </w:r>
          </w:p>
        </w:tc>
        <w:tc>
          <w:tcPr>
            <w:tcW w:w="7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0D5E" w:rsidRPr="00E967DE" w:rsidRDefault="000B0D5E" w:rsidP="00DC1769">
            <w:pPr>
              <w:jc w:val="righ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29.69</w:t>
            </w:r>
            <w:r w:rsidR="00A778B6">
              <w:rPr>
                <w:rFonts w:hint="eastAsia"/>
                <w:kern w:val="0"/>
                <w:sz w:val="24"/>
                <w:szCs w:val="24"/>
              </w:rPr>
              <w:t>％</w:t>
            </w:r>
          </w:p>
        </w:tc>
        <w:tc>
          <w:tcPr>
            <w:tcW w:w="7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0D5E" w:rsidRPr="00E967DE" w:rsidRDefault="000B0D5E" w:rsidP="00DC1769">
            <w:pPr>
              <w:jc w:val="righ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24.87</w:t>
            </w:r>
            <w:r w:rsidR="00A778B6">
              <w:rPr>
                <w:rFonts w:hint="eastAsia"/>
                <w:kern w:val="0"/>
                <w:sz w:val="24"/>
                <w:szCs w:val="24"/>
              </w:rPr>
              <w:t>％</w:t>
            </w:r>
          </w:p>
        </w:tc>
        <w:tc>
          <w:tcPr>
            <w:tcW w:w="9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0D5E" w:rsidRPr="00E967DE" w:rsidRDefault="000B0D5E" w:rsidP="00DC1769">
            <w:pPr>
              <w:jc w:val="righ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10.54</w:t>
            </w:r>
            <w:r w:rsidR="00A778B6">
              <w:rPr>
                <w:rFonts w:hint="eastAsia"/>
                <w:kern w:val="0"/>
                <w:sz w:val="24"/>
                <w:szCs w:val="24"/>
              </w:rPr>
              <w:t>％</w:t>
            </w:r>
          </w:p>
        </w:tc>
      </w:tr>
      <w:tr w:rsidR="000B0D5E" w:rsidRPr="00E967DE" w:rsidTr="00DC1769">
        <w:trPr>
          <w:trHeight w:val="466"/>
          <w:jc w:val="center"/>
        </w:trPr>
        <w:tc>
          <w:tcPr>
            <w:tcW w:w="3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B0D5E" w:rsidRPr="00E967DE" w:rsidRDefault="000B0D5E" w:rsidP="00DC1769">
            <w:pPr>
              <w:jc w:val="center"/>
              <w:rPr>
                <w:kern w:val="0"/>
                <w:sz w:val="24"/>
                <w:szCs w:val="24"/>
              </w:rPr>
            </w:pPr>
            <w:r w:rsidRPr="00E967DE">
              <w:rPr>
                <w:rFonts w:hint="eastAsia"/>
                <w:kern w:val="0"/>
                <w:sz w:val="24"/>
                <w:szCs w:val="24"/>
              </w:rPr>
              <w:t>105</w:t>
            </w:r>
          </w:p>
        </w:tc>
        <w:tc>
          <w:tcPr>
            <w:tcW w:w="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B0D5E" w:rsidRPr="00E967DE" w:rsidRDefault="000B0D5E" w:rsidP="00DC1769">
            <w:pPr>
              <w:jc w:val="right"/>
              <w:rPr>
                <w:kern w:val="0"/>
                <w:sz w:val="24"/>
                <w:szCs w:val="24"/>
              </w:rPr>
            </w:pPr>
            <w:r w:rsidRPr="00E967DE">
              <w:rPr>
                <w:rFonts w:hint="eastAsia"/>
                <w:kern w:val="0"/>
                <w:sz w:val="24"/>
                <w:szCs w:val="24"/>
              </w:rPr>
              <w:t>414</w:t>
            </w:r>
          </w:p>
        </w:tc>
        <w:tc>
          <w:tcPr>
            <w:tcW w:w="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B0D5E" w:rsidRPr="00E967DE" w:rsidRDefault="000B0D5E" w:rsidP="00DC1769">
            <w:pPr>
              <w:jc w:val="right"/>
              <w:rPr>
                <w:kern w:val="0"/>
                <w:sz w:val="24"/>
                <w:szCs w:val="24"/>
              </w:rPr>
            </w:pPr>
            <w:r w:rsidRPr="00E967DE">
              <w:rPr>
                <w:kern w:val="0"/>
                <w:sz w:val="24"/>
                <w:szCs w:val="24"/>
              </w:rPr>
              <w:t>3,05</w:t>
            </w:r>
            <w:r w:rsidRPr="00E967DE">
              <w:rPr>
                <w:rFonts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4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0D5E" w:rsidRPr="00E967DE" w:rsidRDefault="000B0D5E" w:rsidP="00DC1769">
            <w:pPr>
              <w:jc w:val="righ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3,789</w:t>
            </w:r>
          </w:p>
        </w:tc>
        <w:tc>
          <w:tcPr>
            <w:tcW w:w="7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B0D5E" w:rsidRPr="00E967DE" w:rsidRDefault="000B0D5E" w:rsidP="00DC1769">
            <w:pPr>
              <w:jc w:val="right"/>
              <w:rPr>
                <w:kern w:val="0"/>
                <w:sz w:val="24"/>
                <w:szCs w:val="24"/>
              </w:rPr>
            </w:pPr>
            <w:r w:rsidRPr="00E967DE">
              <w:rPr>
                <w:kern w:val="0"/>
                <w:sz w:val="24"/>
                <w:szCs w:val="24"/>
              </w:rPr>
              <w:t>2,</w:t>
            </w:r>
            <w:r w:rsidRPr="00E967DE">
              <w:rPr>
                <w:rFonts w:hint="eastAsia"/>
                <w:kern w:val="0"/>
                <w:sz w:val="24"/>
                <w:szCs w:val="24"/>
              </w:rPr>
              <w:t>603</w:t>
            </w:r>
            <w:r w:rsidRPr="00E967DE">
              <w:rPr>
                <w:kern w:val="0"/>
                <w:sz w:val="24"/>
                <w:szCs w:val="24"/>
              </w:rPr>
              <w:t>,</w:t>
            </w:r>
            <w:r w:rsidRPr="00E967DE">
              <w:rPr>
                <w:rFonts w:hint="eastAsia"/>
                <w:kern w:val="0"/>
                <w:sz w:val="24"/>
                <w:szCs w:val="24"/>
              </w:rPr>
              <w:t>757</w:t>
            </w:r>
          </w:p>
        </w:tc>
        <w:tc>
          <w:tcPr>
            <w:tcW w:w="7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0D5E" w:rsidRPr="00E967DE" w:rsidRDefault="000B0D5E" w:rsidP="00DC1769">
            <w:pPr>
              <w:jc w:val="righ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29.90</w:t>
            </w:r>
            <w:r w:rsidR="00A778B6">
              <w:rPr>
                <w:rFonts w:hint="eastAsia"/>
                <w:kern w:val="0"/>
                <w:sz w:val="24"/>
                <w:szCs w:val="24"/>
              </w:rPr>
              <w:t>％</w:t>
            </w:r>
          </w:p>
        </w:tc>
        <w:tc>
          <w:tcPr>
            <w:tcW w:w="7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0D5E" w:rsidRPr="00E967DE" w:rsidRDefault="000B0D5E" w:rsidP="00DC1769">
            <w:pPr>
              <w:jc w:val="righ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25.04</w:t>
            </w:r>
            <w:r w:rsidR="00A778B6">
              <w:rPr>
                <w:rFonts w:hint="eastAsia"/>
                <w:kern w:val="0"/>
                <w:sz w:val="24"/>
                <w:szCs w:val="24"/>
              </w:rPr>
              <w:t>％</w:t>
            </w:r>
          </w:p>
        </w:tc>
        <w:tc>
          <w:tcPr>
            <w:tcW w:w="9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0D5E" w:rsidRPr="00E967DE" w:rsidRDefault="000B0D5E" w:rsidP="00DC1769">
            <w:pPr>
              <w:jc w:val="righ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11.10</w:t>
            </w:r>
            <w:r w:rsidR="00A778B6">
              <w:rPr>
                <w:rFonts w:hint="eastAsia"/>
                <w:kern w:val="0"/>
                <w:sz w:val="24"/>
                <w:szCs w:val="24"/>
              </w:rPr>
              <w:t>％</w:t>
            </w:r>
          </w:p>
        </w:tc>
      </w:tr>
    </w:tbl>
    <w:p w:rsidR="008A0427" w:rsidRDefault="000B0D5E" w:rsidP="000B0D5E">
      <w:pPr>
        <w:pStyle w:val="ab"/>
        <w:ind w:left="1020" w:hanging="1020"/>
        <w:jc w:val="left"/>
        <w:rPr>
          <w:bCs/>
        </w:rPr>
      </w:pPr>
      <w:r>
        <w:rPr>
          <w:rFonts w:hint="eastAsia"/>
          <w:bCs/>
        </w:rPr>
        <w:t xml:space="preserve">  </w:t>
      </w:r>
      <w:r w:rsidRPr="00E967DE">
        <w:rPr>
          <w:rFonts w:hint="eastAsia"/>
          <w:bCs/>
          <w:sz w:val="28"/>
          <w:szCs w:val="28"/>
        </w:rPr>
        <w:t>資料來源：健保署</w:t>
      </w:r>
    </w:p>
    <w:p w:rsidR="000B0D5E" w:rsidRDefault="000B0D5E">
      <w:pPr>
        <w:widowControl/>
        <w:rPr>
          <w:bCs/>
        </w:rPr>
        <w:sectPr w:rsidR="000B0D5E" w:rsidSect="00395C19">
          <w:pgSz w:w="16840" w:h="11907" w:orient="landscape" w:code="9"/>
          <w:pgMar w:top="1418" w:right="1701" w:bottom="1418" w:left="1418" w:header="851" w:footer="851" w:gutter="227"/>
          <w:cols w:space="425"/>
          <w:docGrid w:type="linesAndChars" w:linePitch="457" w:charSpace="4127"/>
        </w:sectPr>
      </w:pPr>
    </w:p>
    <w:p w:rsidR="0087661A" w:rsidRDefault="0087661A">
      <w:pPr>
        <w:widowControl/>
        <w:rPr>
          <w:bCs/>
        </w:rPr>
      </w:pPr>
      <w:r>
        <w:rPr>
          <w:rFonts w:hint="eastAsia"/>
          <w:bCs/>
        </w:rPr>
        <w:lastRenderedPageBreak/>
        <w:t>附圖</w:t>
      </w:r>
      <w:r>
        <w:rPr>
          <w:rFonts w:hint="eastAsia"/>
          <w:bCs/>
        </w:rPr>
        <w:t>1</w:t>
      </w:r>
    </w:p>
    <w:p w:rsidR="0087661A" w:rsidRDefault="00686A45">
      <w:pPr>
        <w:widowControl/>
        <w:rPr>
          <w:rFonts w:ascii="標楷體"/>
          <w:bCs/>
          <w:kern w:val="0"/>
        </w:rPr>
      </w:pPr>
      <w:r>
        <w:rPr>
          <w:noProof/>
        </w:rPr>
        <w:drawing>
          <wp:inline distT="0" distB="0" distL="0" distR="0" wp14:anchorId="5D4D57F0" wp14:editId="7B337E61">
            <wp:extent cx="5553075" cy="7239000"/>
            <wp:effectExtent l="0" t="0" r="9525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723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2AAF" w:rsidRDefault="00F42AAF" w:rsidP="008A0427">
      <w:pPr>
        <w:pStyle w:val="ab"/>
        <w:ind w:left="1020" w:hanging="1020"/>
        <w:jc w:val="left"/>
        <w:rPr>
          <w:bCs/>
        </w:rPr>
      </w:pPr>
    </w:p>
    <w:p w:rsidR="0029796B" w:rsidRDefault="0029796B" w:rsidP="0029796B">
      <w:pPr>
        <w:pStyle w:val="ab"/>
        <w:ind w:left="900" w:hanging="900"/>
        <w:jc w:val="left"/>
        <w:rPr>
          <w:bCs/>
          <w:sz w:val="28"/>
          <w:szCs w:val="28"/>
        </w:rPr>
      </w:pPr>
      <w:r w:rsidRPr="0029796B">
        <w:rPr>
          <w:rFonts w:hint="eastAsia"/>
          <w:bCs/>
          <w:sz w:val="28"/>
          <w:szCs w:val="28"/>
        </w:rPr>
        <w:t>資料來源：</w:t>
      </w:r>
      <w:r>
        <w:rPr>
          <w:rFonts w:hint="eastAsia"/>
          <w:bCs/>
          <w:sz w:val="28"/>
          <w:szCs w:val="28"/>
        </w:rPr>
        <w:t>審計部抽查全民健康保險基金民國104年財務收支及決</w:t>
      </w:r>
    </w:p>
    <w:p w:rsidR="00686A45" w:rsidRPr="0029796B" w:rsidRDefault="0029796B" w:rsidP="0029796B">
      <w:pPr>
        <w:pStyle w:val="ab"/>
        <w:ind w:left="900" w:hanging="900"/>
        <w:jc w:val="left"/>
        <w:rPr>
          <w:bCs/>
          <w:sz w:val="28"/>
          <w:szCs w:val="28"/>
        </w:rPr>
        <w:sectPr w:rsidR="00686A45" w:rsidRPr="0029796B" w:rsidSect="00395C19">
          <w:pgSz w:w="11907" w:h="16840" w:code="9"/>
          <w:pgMar w:top="1701" w:right="1418" w:bottom="1418" w:left="1418" w:header="851" w:footer="851" w:gutter="227"/>
          <w:cols w:space="425"/>
          <w:docGrid w:type="linesAndChars" w:linePitch="457" w:charSpace="4127"/>
        </w:sectPr>
      </w:pPr>
      <w:r>
        <w:rPr>
          <w:rFonts w:hint="eastAsia"/>
          <w:bCs/>
          <w:sz w:val="28"/>
          <w:szCs w:val="28"/>
        </w:rPr>
        <w:t xml:space="preserve">          算審核報告書</w:t>
      </w:r>
    </w:p>
    <w:p w:rsidR="00395C19" w:rsidRDefault="00395C19" w:rsidP="00395C19">
      <w:pPr>
        <w:pStyle w:val="ab"/>
        <w:ind w:left="1020" w:hanging="1020"/>
        <w:jc w:val="left"/>
        <w:rPr>
          <w:bCs/>
        </w:rPr>
      </w:pPr>
      <w:r>
        <w:rPr>
          <w:rFonts w:hint="eastAsia"/>
          <w:bCs/>
        </w:rPr>
        <w:lastRenderedPageBreak/>
        <w:t>附圖2</w:t>
      </w:r>
    </w:p>
    <w:p w:rsidR="00395C19" w:rsidRPr="004E0771" w:rsidRDefault="00395C19" w:rsidP="00395C19">
      <w:pPr>
        <w:pStyle w:val="ab"/>
        <w:ind w:left="1142" w:hanging="1142"/>
        <w:jc w:val="center"/>
        <w:rPr>
          <w:b/>
          <w:bCs/>
          <w:sz w:val="36"/>
          <w:szCs w:val="36"/>
        </w:rPr>
      </w:pPr>
      <w:r w:rsidRPr="004E0771">
        <w:rPr>
          <w:rFonts w:hint="eastAsia"/>
          <w:b/>
          <w:bCs/>
          <w:sz w:val="36"/>
          <w:szCs w:val="36"/>
        </w:rPr>
        <w:t>我國</w:t>
      </w:r>
      <w:r w:rsidRPr="004E0771">
        <w:rPr>
          <w:rFonts w:hAnsi="標楷體" w:hint="eastAsia"/>
          <w:b/>
          <w:sz w:val="36"/>
          <w:szCs w:val="36"/>
        </w:rPr>
        <w:t>地區醫院家數及其西醫師數統計圖</w:t>
      </w:r>
    </w:p>
    <w:p w:rsidR="00395C19" w:rsidRDefault="00395C19" w:rsidP="00395C19">
      <w:pPr>
        <w:pStyle w:val="ab"/>
        <w:ind w:left="1020" w:hanging="1020"/>
        <w:jc w:val="left"/>
        <w:rPr>
          <w:bCs/>
        </w:rPr>
      </w:pPr>
      <w:r>
        <w:rPr>
          <w:noProof/>
        </w:rPr>
        <w:drawing>
          <wp:inline distT="0" distB="0" distL="0" distR="0" wp14:anchorId="4B9DA096" wp14:editId="792677B3">
            <wp:extent cx="8410575" cy="4219575"/>
            <wp:effectExtent l="0" t="0" r="9525" b="9525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410575" cy="421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5C19" w:rsidRDefault="00395C19" w:rsidP="00395C19">
      <w:pPr>
        <w:pStyle w:val="ab"/>
        <w:ind w:left="1020" w:hanging="1020"/>
        <w:jc w:val="left"/>
        <w:rPr>
          <w:bCs/>
        </w:rPr>
      </w:pPr>
      <w:r>
        <w:rPr>
          <w:rFonts w:hint="eastAsia"/>
          <w:bCs/>
        </w:rPr>
        <w:t>資料來源：健保署</w:t>
      </w:r>
      <w:r>
        <w:rPr>
          <w:bCs/>
        </w:rPr>
        <w:br w:type="page"/>
      </w:r>
    </w:p>
    <w:p w:rsidR="00F42AAF" w:rsidRDefault="00F42AAF" w:rsidP="008A0427">
      <w:pPr>
        <w:pStyle w:val="ab"/>
        <w:ind w:left="1020" w:hanging="1020"/>
        <w:jc w:val="left"/>
        <w:rPr>
          <w:bCs/>
        </w:rPr>
      </w:pPr>
      <w:r>
        <w:rPr>
          <w:rFonts w:hint="eastAsia"/>
          <w:bCs/>
        </w:rPr>
        <w:lastRenderedPageBreak/>
        <w:t>附</w:t>
      </w:r>
      <w:r w:rsidR="00F04FE4">
        <w:rPr>
          <w:rFonts w:hint="eastAsia"/>
          <w:bCs/>
        </w:rPr>
        <w:t>圖</w:t>
      </w:r>
      <w:r w:rsidR="00395C19">
        <w:rPr>
          <w:rFonts w:hint="eastAsia"/>
          <w:bCs/>
        </w:rPr>
        <w:t>3</w:t>
      </w:r>
    </w:p>
    <w:p w:rsidR="00DC0CBA" w:rsidRPr="004E0771" w:rsidRDefault="00DC0CBA" w:rsidP="004E0771">
      <w:pPr>
        <w:pStyle w:val="ab"/>
        <w:ind w:left="1142" w:hanging="1142"/>
        <w:jc w:val="center"/>
        <w:rPr>
          <w:b/>
          <w:bCs/>
          <w:sz w:val="36"/>
          <w:szCs w:val="36"/>
        </w:rPr>
      </w:pPr>
      <w:r w:rsidRPr="004E0771">
        <w:rPr>
          <w:rFonts w:hint="eastAsia"/>
          <w:b/>
          <w:bCs/>
          <w:sz w:val="36"/>
          <w:szCs w:val="36"/>
        </w:rPr>
        <w:t>95</w:t>
      </w:r>
      <w:r w:rsidR="004E0771" w:rsidRPr="004E0771">
        <w:rPr>
          <w:rFonts w:hint="eastAsia"/>
          <w:b/>
          <w:bCs/>
          <w:sz w:val="36"/>
          <w:szCs w:val="36"/>
        </w:rPr>
        <w:t>~</w:t>
      </w:r>
      <w:r w:rsidRPr="004E0771">
        <w:rPr>
          <w:rFonts w:hint="eastAsia"/>
          <w:b/>
          <w:bCs/>
          <w:sz w:val="36"/>
          <w:szCs w:val="36"/>
        </w:rPr>
        <w:t>109年各</w:t>
      </w:r>
      <w:proofErr w:type="gramStart"/>
      <w:r w:rsidRPr="004E0771">
        <w:rPr>
          <w:rFonts w:hint="eastAsia"/>
          <w:b/>
          <w:bCs/>
          <w:sz w:val="36"/>
          <w:szCs w:val="36"/>
        </w:rPr>
        <w:t>層級門住診</w:t>
      </w:r>
      <w:proofErr w:type="gramEnd"/>
      <w:r w:rsidRPr="004E0771">
        <w:rPr>
          <w:rFonts w:hint="eastAsia"/>
          <w:b/>
          <w:bCs/>
          <w:sz w:val="36"/>
          <w:szCs w:val="36"/>
        </w:rPr>
        <w:t>合計點數占率趨勢圖</w:t>
      </w:r>
    </w:p>
    <w:p w:rsidR="00E02606" w:rsidRDefault="00DC0CBA" w:rsidP="00DC0CBA">
      <w:pPr>
        <w:pStyle w:val="ab"/>
        <w:ind w:left="1020" w:hanging="1020"/>
        <w:jc w:val="center"/>
        <w:rPr>
          <w:bCs/>
        </w:rPr>
      </w:pPr>
      <w:r>
        <w:rPr>
          <w:noProof/>
        </w:rPr>
        <w:drawing>
          <wp:inline distT="0" distB="0" distL="0" distR="0" wp14:anchorId="1B223A90" wp14:editId="652B13F1">
            <wp:extent cx="8401413" cy="4349115"/>
            <wp:effectExtent l="0" t="0" r="0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411807" cy="4354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2606" w:rsidRDefault="00F04FE4" w:rsidP="00F42AAF">
      <w:pPr>
        <w:pStyle w:val="ab"/>
        <w:ind w:left="1020" w:hanging="1020"/>
        <w:jc w:val="left"/>
        <w:rPr>
          <w:bCs/>
        </w:rPr>
      </w:pPr>
      <w:r>
        <w:rPr>
          <w:rFonts w:hint="eastAsia"/>
          <w:bCs/>
        </w:rPr>
        <w:t xml:space="preserve">  資料來源：健保署</w:t>
      </w:r>
    </w:p>
    <w:p w:rsidR="00E02606" w:rsidRDefault="00E02606" w:rsidP="00E02606">
      <w:pPr>
        <w:pStyle w:val="ab"/>
        <w:ind w:left="1020" w:hanging="1020"/>
        <w:jc w:val="left"/>
        <w:rPr>
          <w:bCs/>
        </w:rPr>
      </w:pPr>
      <w:r>
        <w:rPr>
          <w:rFonts w:hint="eastAsia"/>
          <w:bCs/>
        </w:rPr>
        <w:lastRenderedPageBreak/>
        <w:t>附</w:t>
      </w:r>
      <w:r w:rsidR="00F04FE4">
        <w:rPr>
          <w:rFonts w:hint="eastAsia"/>
          <w:bCs/>
        </w:rPr>
        <w:t>圖</w:t>
      </w:r>
      <w:r w:rsidR="00395C19">
        <w:rPr>
          <w:rFonts w:hint="eastAsia"/>
          <w:bCs/>
        </w:rPr>
        <w:t>4</w:t>
      </w:r>
    </w:p>
    <w:p w:rsidR="00E02606" w:rsidRPr="004E0771" w:rsidRDefault="004E0771" w:rsidP="004E0771">
      <w:pPr>
        <w:pStyle w:val="ab"/>
        <w:ind w:left="1142" w:hanging="1142"/>
        <w:jc w:val="center"/>
        <w:rPr>
          <w:b/>
          <w:noProof/>
          <w:sz w:val="36"/>
          <w:szCs w:val="36"/>
        </w:rPr>
      </w:pPr>
      <w:r w:rsidRPr="004E0771">
        <w:rPr>
          <w:rFonts w:hint="eastAsia"/>
          <w:b/>
          <w:noProof/>
          <w:sz w:val="36"/>
          <w:szCs w:val="36"/>
        </w:rPr>
        <w:t>95-109 年各層級門診件數占率趨勢圖</w:t>
      </w:r>
    </w:p>
    <w:p w:rsidR="00F04813" w:rsidRDefault="00DC0CBA" w:rsidP="00DC0CBA">
      <w:pPr>
        <w:pStyle w:val="ab"/>
        <w:ind w:left="1020" w:hanging="1020"/>
        <w:jc w:val="center"/>
        <w:rPr>
          <w:noProof/>
        </w:rPr>
      </w:pPr>
      <w:r>
        <w:rPr>
          <w:noProof/>
        </w:rPr>
        <w:drawing>
          <wp:inline distT="0" distB="0" distL="0" distR="0" wp14:anchorId="3C9E3EFC" wp14:editId="2DB49FEE">
            <wp:extent cx="7904480" cy="3826040"/>
            <wp:effectExtent l="0" t="0" r="1270" b="3175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910699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4813" w:rsidRDefault="00DC0CBA" w:rsidP="00395C19">
      <w:pPr>
        <w:pStyle w:val="ab"/>
        <w:ind w:left="1020" w:hanging="1020"/>
        <w:jc w:val="left"/>
        <w:rPr>
          <w:bCs/>
        </w:rPr>
      </w:pPr>
      <w:r>
        <w:rPr>
          <w:rFonts w:hint="eastAsia"/>
          <w:bCs/>
        </w:rPr>
        <w:t xml:space="preserve">      </w:t>
      </w:r>
      <w:r w:rsidR="00F04FE4">
        <w:rPr>
          <w:rFonts w:hint="eastAsia"/>
          <w:bCs/>
        </w:rPr>
        <w:t>資料來源：健保署</w:t>
      </w:r>
    </w:p>
    <w:sectPr w:rsidR="00F04813" w:rsidSect="00F42AAF">
      <w:pgSz w:w="16840" w:h="11907" w:orient="landscape" w:code="9"/>
      <w:pgMar w:top="1418" w:right="1701" w:bottom="1418" w:left="1418" w:header="851" w:footer="851" w:gutter="227"/>
      <w:cols w:space="425"/>
      <w:docGrid w:type="linesAndChars" w:linePitch="457" w:charSpace="41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5A96" w:rsidRDefault="00745A96" w:rsidP="00255E08">
      <w:r>
        <w:separator/>
      </w:r>
    </w:p>
  </w:endnote>
  <w:endnote w:type="continuationSeparator" w:id="0">
    <w:p w:rsidR="00745A96" w:rsidRDefault="00745A96" w:rsidP="00255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78F" w:rsidRDefault="0038278F">
    <w:pPr>
      <w:pStyle w:val="ae"/>
      <w:framePr w:wrap="around" w:vAnchor="text" w:hAnchor="margin" w:xAlign="center" w:y="1"/>
      <w:rPr>
        <w:rStyle w:val="a7"/>
        <w:sz w:val="24"/>
      </w:rPr>
    </w:pPr>
    <w:r>
      <w:rPr>
        <w:rStyle w:val="a7"/>
        <w:sz w:val="24"/>
      </w:rPr>
      <w:fldChar w:fldCharType="begin"/>
    </w:r>
    <w:r>
      <w:rPr>
        <w:rStyle w:val="a7"/>
        <w:sz w:val="24"/>
      </w:rPr>
      <w:instrText xml:space="preserve">PAGE  </w:instrText>
    </w:r>
    <w:r>
      <w:rPr>
        <w:rStyle w:val="a7"/>
        <w:sz w:val="24"/>
      </w:rPr>
      <w:fldChar w:fldCharType="separate"/>
    </w:r>
    <w:r w:rsidR="00E30CA9">
      <w:rPr>
        <w:rStyle w:val="a7"/>
        <w:noProof/>
        <w:sz w:val="24"/>
      </w:rPr>
      <w:t>18</w:t>
    </w:r>
    <w:r>
      <w:rPr>
        <w:rStyle w:val="a7"/>
        <w:sz w:val="24"/>
      </w:rPr>
      <w:fldChar w:fldCharType="end"/>
    </w:r>
  </w:p>
  <w:p w:rsidR="0038278F" w:rsidRDefault="0038278F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5A96" w:rsidRDefault="00745A96" w:rsidP="00255E08">
      <w:r>
        <w:separator/>
      </w:r>
    </w:p>
  </w:footnote>
  <w:footnote w:type="continuationSeparator" w:id="0">
    <w:p w:rsidR="00745A96" w:rsidRDefault="00745A96" w:rsidP="00255E08">
      <w:r>
        <w:continuationSeparator/>
      </w:r>
    </w:p>
  </w:footnote>
  <w:footnote w:id="1">
    <w:p w:rsidR="0038278F" w:rsidRDefault="0038278F" w:rsidP="009146FA">
      <w:pPr>
        <w:pStyle w:val="af3"/>
        <w:ind w:left="97" w:hangingChars="44" w:hanging="97"/>
      </w:pPr>
      <w:r>
        <w:rPr>
          <w:rStyle w:val="af5"/>
        </w:rPr>
        <w:footnoteRef/>
      </w:r>
      <w:r w:rsidRPr="0089134C">
        <w:rPr>
          <w:rFonts w:hint="eastAsia"/>
        </w:rPr>
        <w:t>醫療分級是根據醫療院所的</w:t>
      </w:r>
      <w:r>
        <w:rPr>
          <w:rFonts w:hint="eastAsia"/>
        </w:rPr>
        <w:t>醫療</w:t>
      </w:r>
      <w:r w:rsidRPr="0089134C">
        <w:rPr>
          <w:rFonts w:hint="eastAsia"/>
        </w:rPr>
        <w:t>專業人員（包括醫</w:t>
      </w:r>
      <w:r>
        <w:rPr>
          <w:rFonts w:hint="eastAsia"/>
        </w:rPr>
        <w:t>師</w:t>
      </w:r>
      <w:r w:rsidRPr="0089134C">
        <w:rPr>
          <w:rFonts w:hint="eastAsia"/>
        </w:rPr>
        <w:t>、護</w:t>
      </w:r>
      <w:r>
        <w:rPr>
          <w:rFonts w:hint="eastAsia"/>
        </w:rPr>
        <w:t>理師等</w:t>
      </w:r>
      <w:r w:rsidRPr="0089134C">
        <w:rPr>
          <w:rFonts w:hint="eastAsia"/>
        </w:rPr>
        <w:t>）以及設備、服務內容的不同做分級。我國醫療院所共分</w:t>
      </w:r>
      <w:r w:rsidRPr="0089134C">
        <w:rPr>
          <w:rFonts w:hint="eastAsia"/>
        </w:rPr>
        <w:t>4</w:t>
      </w:r>
      <w:r w:rsidRPr="0089134C">
        <w:rPr>
          <w:rFonts w:hint="eastAsia"/>
        </w:rPr>
        <w:t>級：醫學中心、區域醫院、地區醫院及基層院所</w:t>
      </w:r>
      <w:r>
        <w:rPr>
          <w:rFonts w:hint="eastAsia"/>
        </w:rPr>
        <w:t>(</w:t>
      </w:r>
      <w:r>
        <w:rPr>
          <w:rFonts w:hint="eastAsia"/>
        </w:rPr>
        <w:t>診所</w:t>
      </w:r>
      <w:r>
        <w:rPr>
          <w:rFonts w:hint="eastAsia"/>
        </w:rPr>
        <w:t>)</w:t>
      </w:r>
      <w:r>
        <w:rPr>
          <w:rFonts w:hint="eastAsia"/>
        </w:rPr>
        <w:t>。</w:t>
      </w:r>
    </w:p>
  </w:footnote>
  <w:footnote w:id="2">
    <w:p w:rsidR="0038278F" w:rsidRDefault="0038278F" w:rsidP="00865764">
      <w:pPr>
        <w:pStyle w:val="af3"/>
      </w:pPr>
      <w:r>
        <w:rPr>
          <w:rStyle w:val="af5"/>
        </w:rPr>
        <w:footnoteRef/>
      </w:r>
      <w:r w:rsidRPr="00B13DFB">
        <w:rPr>
          <w:rFonts w:hint="eastAsia"/>
        </w:rPr>
        <w:t>家庭責任醫師</w:t>
      </w:r>
      <w:r>
        <w:rPr>
          <w:rFonts w:hint="eastAsia"/>
        </w:rPr>
        <w:t>是能</w:t>
      </w:r>
      <w:r w:rsidRPr="00B13DFB">
        <w:rPr>
          <w:rFonts w:hint="eastAsia"/>
        </w:rPr>
        <w:t>提供可近、全人與持續性之醫療保健服務</w:t>
      </w:r>
      <w:r>
        <w:rPr>
          <w:rFonts w:hint="eastAsia"/>
        </w:rPr>
        <w:t>，並</w:t>
      </w:r>
      <w:r w:rsidRPr="007743FB">
        <w:rPr>
          <w:rFonts w:hint="eastAsia"/>
        </w:rPr>
        <w:t>為社區中大多數家庭負擔起責任做好預防性與治療性醫療保健照</w:t>
      </w:r>
      <w:r>
        <w:rPr>
          <w:rFonts w:hint="eastAsia"/>
        </w:rPr>
        <w:t>護</w:t>
      </w:r>
      <w:r w:rsidRPr="007743FB">
        <w:rPr>
          <w:rFonts w:hint="eastAsia"/>
        </w:rPr>
        <w:t>之醫師。</w:t>
      </w:r>
    </w:p>
  </w:footnote>
  <w:footnote w:id="3">
    <w:p w:rsidR="0038278F" w:rsidRDefault="0038278F" w:rsidP="00865764">
      <w:pPr>
        <w:pStyle w:val="af3"/>
      </w:pPr>
      <w:r>
        <w:rPr>
          <w:rStyle w:val="af5"/>
        </w:rPr>
        <w:footnoteRef/>
      </w:r>
      <w:r w:rsidRPr="00364BCB">
        <w:rPr>
          <w:rFonts w:hint="eastAsia"/>
        </w:rPr>
        <w:t>全民健康保險</w:t>
      </w:r>
      <w:r w:rsidRPr="00865764">
        <w:rPr>
          <w:rFonts w:hint="eastAsia"/>
        </w:rPr>
        <w:t>法第</w:t>
      </w:r>
      <w:r w:rsidRPr="00865764">
        <w:rPr>
          <w:rFonts w:hint="eastAsia"/>
        </w:rPr>
        <w:t>44</w:t>
      </w:r>
      <w:r w:rsidRPr="00865764">
        <w:rPr>
          <w:rFonts w:hint="eastAsia"/>
        </w:rPr>
        <w:t>條</w:t>
      </w:r>
      <w:r>
        <w:rPr>
          <w:rFonts w:hint="eastAsia"/>
        </w:rPr>
        <w:t>：保險人為促進預防醫學、落實轉診制度，並提升醫療品質與</w:t>
      </w:r>
      <w:proofErr w:type="gramStart"/>
      <w:r>
        <w:rPr>
          <w:rFonts w:hint="eastAsia"/>
        </w:rPr>
        <w:t>醫</w:t>
      </w:r>
      <w:proofErr w:type="gramEnd"/>
      <w:r>
        <w:rPr>
          <w:rFonts w:hint="eastAsia"/>
        </w:rPr>
        <w:t>病關係，應訂定家庭責任醫師制度。</w:t>
      </w:r>
    </w:p>
    <w:p w:rsidR="0038278F" w:rsidRDefault="0038278F" w:rsidP="00865764">
      <w:pPr>
        <w:pStyle w:val="af3"/>
      </w:pPr>
      <w:r>
        <w:rPr>
          <w:rFonts w:hint="eastAsia"/>
        </w:rPr>
        <w:t>前項家庭責任醫師制度之給付，應</w:t>
      </w:r>
      <w:proofErr w:type="gramStart"/>
      <w:r>
        <w:rPr>
          <w:rFonts w:hint="eastAsia"/>
        </w:rPr>
        <w:t>採</w:t>
      </w:r>
      <w:proofErr w:type="gramEnd"/>
      <w:r>
        <w:rPr>
          <w:rFonts w:hint="eastAsia"/>
        </w:rPr>
        <w:t>論人計酬為實施原則，並依照顧對象之年齡、性別、疾病等校正後之人頭費，計算當年度之給付總額。</w:t>
      </w:r>
    </w:p>
    <w:p w:rsidR="0038278F" w:rsidRDefault="0038278F" w:rsidP="00865764">
      <w:pPr>
        <w:pStyle w:val="af3"/>
      </w:pPr>
      <w:r>
        <w:rPr>
          <w:rFonts w:hint="eastAsia"/>
        </w:rPr>
        <w:t>第一項家庭責任醫師制度之實施辦法及時程，由主管機關定之。</w:t>
      </w:r>
    </w:p>
  </w:footnote>
  <w:footnote w:id="4">
    <w:p w:rsidR="0038278F" w:rsidRPr="00534AF2" w:rsidRDefault="0038278F">
      <w:pPr>
        <w:pStyle w:val="af3"/>
      </w:pPr>
      <w:r>
        <w:rPr>
          <w:rStyle w:val="af5"/>
        </w:rPr>
        <w:footnoteRef/>
      </w:r>
      <w:r w:rsidRPr="00E30DD6">
        <w:rPr>
          <w:rFonts w:hint="eastAsia"/>
        </w:rPr>
        <w:t>所謂社區醫療群</w:t>
      </w:r>
      <w:r>
        <w:rPr>
          <w:rFonts w:hint="eastAsia"/>
        </w:rPr>
        <w:t>，</w:t>
      </w:r>
      <w:r w:rsidRPr="00E30DD6">
        <w:rPr>
          <w:rFonts w:hint="eastAsia"/>
        </w:rPr>
        <w:t>是指一群實際從事執行基層醫療的醫師</w:t>
      </w:r>
      <w:r>
        <w:rPr>
          <w:rFonts w:hint="eastAsia"/>
        </w:rPr>
        <w:t>，</w:t>
      </w:r>
      <w:r w:rsidRPr="00E30DD6">
        <w:rPr>
          <w:rFonts w:hint="eastAsia"/>
        </w:rPr>
        <w:t>約每</w:t>
      </w:r>
      <w:r>
        <w:rPr>
          <w:rFonts w:hint="eastAsia"/>
        </w:rPr>
        <w:t>5~10</w:t>
      </w:r>
      <w:r w:rsidRPr="00E30DD6">
        <w:rPr>
          <w:rFonts w:hint="eastAsia"/>
        </w:rPr>
        <w:t>位開業醫師組成一個群組</w:t>
      </w:r>
      <w:r>
        <w:rPr>
          <w:rFonts w:hint="eastAsia"/>
        </w:rPr>
        <w:t>，</w:t>
      </w:r>
      <w:r w:rsidRPr="00E30DD6">
        <w:rPr>
          <w:rFonts w:hint="eastAsia"/>
        </w:rPr>
        <w:t>與社區型地區醫院合作</w:t>
      </w:r>
      <w:r>
        <w:rPr>
          <w:rFonts w:hint="eastAsia"/>
        </w:rPr>
        <w:t>，</w:t>
      </w:r>
      <w:r w:rsidRPr="00E30DD6">
        <w:rPr>
          <w:rFonts w:hint="eastAsia"/>
        </w:rPr>
        <w:t>共同提供該</w:t>
      </w:r>
      <w:r>
        <w:rPr>
          <w:rFonts w:hint="eastAsia"/>
        </w:rPr>
        <w:t>社</w:t>
      </w:r>
      <w:r w:rsidRPr="00E30DD6">
        <w:rPr>
          <w:rFonts w:hint="eastAsia"/>
        </w:rPr>
        <w:t>區整體性醫療服務及</w:t>
      </w:r>
      <w:r>
        <w:rPr>
          <w:rFonts w:hint="eastAsia"/>
        </w:rPr>
        <w:t>長期照護。</w:t>
      </w:r>
    </w:p>
  </w:footnote>
  <w:footnote w:id="5">
    <w:p w:rsidR="0038278F" w:rsidRDefault="0038278F">
      <w:pPr>
        <w:pStyle w:val="af3"/>
      </w:pPr>
      <w:r>
        <w:rPr>
          <w:rStyle w:val="af5"/>
        </w:rPr>
        <w:footnoteRef/>
      </w:r>
      <w:r>
        <w:rPr>
          <w:rFonts w:hint="eastAsia"/>
        </w:rPr>
        <w:t>資料來源：審計部抽查全民健康保險基金民國</w:t>
      </w:r>
      <w:r>
        <w:rPr>
          <w:rFonts w:hint="eastAsia"/>
        </w:rPr>
        <w:t>104</w:t>
      </w:r>
      <w:r>
        <w:rPr>
          <w:rFonts w:hint="eastAsia"/>
        </w:rPr>
        <w:t>年財務收支及決算審核報告書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B4B4E084"/>
    <w:lvl w:ilvl="0">
      <w:start w:val="1"/>
      <w:numFmt w:val="ideographLegalTraditional"/>
      <w:pStyle w:val="1"/>
      <w:suff w:val="nothing"/>
      <w:lvlText w:val="%1、"/>
      <w:lvlJc w:val="left"/>
      <w:pPr>
        <w:ind w:left="699" w:hanging="69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974" w:hanging="697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2115" w:hanging="697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</w:rPr>
    </w:lvl>
    <w:lvl w:ilvl="3">
      <w:start w:val="1"/>
      <w:numFmt w:val="decimalFullWidth"/>
      <w:pStyle w:val="4"/>
      <w:suff w:val="nothing"/>
      <w:lvlText w:val="%4、"/>
      <w:lvlJc w:val="left"/>
      <w:pPr>
        <w:ind w:left="2825" w:hanging="698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  <w:lang w:val="en-US"/>
      </w:rPr>
    </w:lvl>
    <w:lvl w:ilvl="4">
      <w:start w:val="1"/>
      <w:numFmt w:val="decimalFullWidth"/>
      <w:pStyle w:val="5"/>
      <w:suff w:val="nothing"/>
      <w:lvlText w:val="(%5)"/>
      <w:lvlJc w:val="left"/>
      <w:pPr>
        <w:ind w:left="4528" w:hanging="700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5">
      <w:start w:val="1"/>
      <w:numFmt w:val="decimalFullWidth"/>
      <w:pStyle w:val="6"/>
      <w:suff w:val="nothing"/>
      <w:lvlText w:val="&lt;%6&gt;"/>
      <w:lvlJc w:val="left"/>
      <w:pPr>
        <w:ind w:left="2444" w:hanging="715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6">
      <w:start w:val="1"/>
      <w:numFmt w:val="bullet"/>
      <w:pStyle w:val="7"/>
      <w:suff w:val="nothing"/>
      <w:lvlText w:val="․"/>
      <w:lvlJc w:val="left"/>
      <w:pPr>
        <w:ind w:left="2444" w:hanging="352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7">
      <w:start w:val="1"/>
      <w:numFmt w:val="bullet"/>
      <w:pStyle w:val="8"/>
      <w:suff w:val="nothing"/>
      <w:lvlText w:val="◇"/>
      <w:lvlJc w:val="left"/>
      <w:pPr>
        <w:ind w:left="2790" w:hanging="34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8">
      <w:start w:val="1"/>
      <w:numFmt w:val="decimal"/>
      <w:lvlText w:val="%1.%2.%3.%4.%5.%6.%7.%8.%9"/>
      <w:lvlJc w:val="left"/>
      <w:pPr>
        <w:tabs>
          <w:tab w:val="num" w:pos="6195"/>
        </w:tabs>
        <w:ind w:left="5015" w:hanging="1700"/>
      </w:pPr>
      <w:rPr>
        <w:rFonts w:hint="eastAsia"/>
      </w:rPr>
    </w:lvl>
  </w:abstractNum>
  <w:abstractNum w:abstractNumId="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4985"/>
        </w:tabs>
        <w:ind w:left="4240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505"/>
        </w:tabs>
        <w:ind w:left="450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985"/>
        </w:tabs>
        <w:ind w:left="498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65"/>
        </w:tabs>
        <w:ind w:left="546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5945"/>
        </w:tabs>
        <w:ind w:left="594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25"/>
        </w:tabs>
        <w:ind w:left="642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905"/>
        </w:tabs>
        <w:ind w:left="690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7385"/>
        </w:tabs>
        <w:ind w:left="738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65"/>
        </w:tabs>
        <w:ind w:left="7865" w:hanging="4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486"/>
    <w:rsid w:val="00002DFE"/>
    <w:rsid w:val="00005AEC"/>
    <w:rsid w:val="000317F3"/>
    <w:rsid w:val="000357D8"/>
    <w:rsid w:val="00040E14"/>
    <w:rsid w:val="00057533"/>
    <w:rsid w:val="00060CE4"/>
    <w:rsid w:val="00070E33"/>
    <w:rsid w:val="00071BC4"/>
    <w:rsid w:val="00073315"/>
    <w:rsid w:val="000757B8"/>
    <w:rsid w:val="000A36FC"/>
    <w:rsid w:val="000B0D5E"/>
    <w:rsid w:val="000B4349"/>
    <w:rsid w:val="000B7F15"/>
    <w:rsid w:val="000C3A60"/>
    <w:rsid w:val="000D6C49"/>
    <w:rsid w:val="000E4037"/>
    <w:rsid w:val="000E6D86"/>
    <w:rsid w:val="00101D6A"/>
    <w:rsid w:val="001034E1"/>
    <w:rsid w:val="00131482"/>
    <w:rsid w:val="00144A76"/>
    <w:rsid w:val="00153429"/>
    <w:rsid w:val="00157825"/>
    <w:rsid w:val="00162783"/>
    <w:rsid w:val="00164608"/>
    <w:rsid w:val="00176DD2"/>
    <w:rsid w:val="001A3FE7"/>
    <w:rsid w:val="001B2A7E"/>
    <w:rsid w:val="001C2D08"/>
    <w:rsid w:val="001D3F8F"/>
    <w:rsid w:val="001D68BF"/>
    <w:rsid w:val="001E1E9C"/>
    <w:rsid w:val="001E35A2"/>
    <w:rsid w:val="001E4A9F"/>
    <w:rsid w:val="001E4C6C"/>
    <w:rsid w:val="001E69C8"/>
    <w:rsid w:val="002236FA"/>
    <w:rsid w:val="002254DE"/>
    <w:rsid w:val="00244ADE"/>
    <w:rsid w:val="002531EA"/>
    <w:rsid w:val="002541CC"/>
    <w:rsid w:val="00255E08"/>
    <w:rsid w:val="00263112"/>
    <w:rsid w:val="002652C7"/>
    <w:rsid w:val="00272983"/>
    <w:rsid w:val="002757CE"/>
    <w:rsid w:val="0029796B"/>
    <w:rsid w:val="002A4CBC"/>
    <w:rsid w:val="002A4E33"/>
    <w:rsid w:val="002C0698"/>
    <w:rsid w:val="002C4256"/>
    <w:rsid w:val="002E1A56"/>
    <w:rsid w:val="002F3439"/>
    <w:rsid w:val="002F3999"/>
    <w:rsid w:val="00301140"/>
    <w:rsid w:val="00301F60"/>
    <w:rsid w:val="003064E1"/>
    <w:rsid w:val="0034561C"/>
    <w:rsid w:val="0036101D"/>
    <w:rsid w:val="00364BCB"/>
    <w:rsid w:val="00373A9C"/>
    <w:rsid w:val="00376496"/>
    <w:rsid w:val="0038278F"/>
    <w:rsid w:val="0038728A"/>
    <w:rsid w:val="00395C19"/>
    <w:rsid w:val="00396D10"/>
    <w:rsid w:val="003A1208"/>
    <w:rsid w:val="003A4154"/>
    <w:rsid w:val="003C5972"/>
    <w:rsid w:val="003D15DF"/>
    <w:rsid w:val="003F6388"/>
    <w:rsid w:val="0041119E"/>
    <w:rsid w:val="00417EA0"/>
    <w:rsid w:val="00423BAA"/>
    <w:rsid w:val="00425F24"/>
    <w:rsid w:val="00456B37"/>
    <w:rsid w:val="00460043"/>
    <w:rsid w:val="004702FA"/>
    <w:rsid w:val="00470333"/>
    <w:rsid w:val="00473757"/>
    <w:rsid w:val="00475237"/>
    <w:rsid w:val="00476DE4"/>
    <w:rsid w:val="004806D1"/>
    <w:rsid w:val="00482606"/>
    <w:rsid w:val="00487B21"/>
    <w:rsid w:val="00493300"/>
    <w:rsid w:val="00493421"/>
    <w:rsid w:val="00494977"/>
    <w:rsid w:val="00497F44"/>
    <w:rsid w:val="004A21CD"/>
    <w:rsid w:val="004A7A99"/>
    <w:rsid w:val="004B5D0F"/>
    <w:rsid w:val="004C3FC5"/>
    <w:rsid w:val="004D32EB"/>
    <w:rsid w:val="004E0771"/>
    <w:rsid w:val="004E1224"/>
    <w:rsid w:val="004E58A7"/>
    <w:rsid w:val="004E66F4"/>
    <w:rsid w:val="004F099C"/>
    <w:rsid w:val="00507356"/>
    <w:rsid w:val="005200A1"/>
    <w:rsid w:val="005213AC"/>
    <w:rsid w:val="0052318B"/>
    <w:rsid w:val="00534AF2"/>
    <w:rsid w:val="00550B99"/>
    <w:rsid w:val="0055557F"/>
    <w:rsid w:val="005560EC"/>
    <w:rsid w:val="0057102E"/>
    <w:rsid w:val="00574B10"/>
    <w:rsid w:val="00584595"/>
    <w:rsid w:val="005A287A"/>
    <w:rsid w:val="005A2DFD"/>
    <w:rsid w:val="005A5980"/>
    <w:rsid w:val="005A6016"/>
    <w:rsid w:val="005B22D4"/>
    <w:rsid w:val="005C5E3D"/>
    <w:rsid w:val="005E0824"/>
    <w:rsid w:val="005E0D3C"/>
    <w:rsid w:val="00612576"/>
    <w:rsid w:val="00617F0E"/>
    <w:rsid w:val="0063527B"/>
    <w:rsid w:val="00637F8B"/>
    <w:rsid w:val="00645F78"/>
    <w:rsid w:val="00650014"/>
    <w:rsid w:val="0065386D"/>
    <w:rsid w:val="0066724C"/>
    <w:rsid w:val="00667276"/>
    <w:rsid w:val="006769FA"/>
    <w:rsid w:val="00686A45"/>
    <w:rsid w:val="006A2CAD"/>
    <w:rsid w:val="006B5AFB"/>
    <w:rsid w:val="006D1A1D"/>
    <w:rsid w:val="006D7BDF"/>
    <w:rsid w:val="00705897"/>
    <w:rsid w:val="00710585"/>
    <w:rsid w:val="007267F0"/>
    <w:rsid w:val="00735572"/>
    <w:rsid w:val="00743AE9"/>
    <w:rsid w:val="00745A96"/>
    <w:rsid w:val="007612BF"/>
    <w:rsid w:val="00762AFD"/>
    <w:rsid w:val="007639D7"/>
    <w:rsid w:val="00767ADC"/>
    <w:rsid w:val="0077168E"/>
    <w:rsid w:val="00772D59"/>
    <w:rsid w:val="007743FB"/>
    <w:rsid w:val="007744FB"/>
    <w:rsid w:val="00780C0D"/>
    <w:rsid w:val="00793E2F"/>
    <w:rsid w:val="0079483D"/>
    <w:rsid w:val="00797C71"/>
    <w:rsid w:val="007B1476"/>
    <w:rsid w:val="007B5F5E"/>
    <w:rsid w:val="007C3F61"/>
    <w:rsid w:val="007C774A"/>
    <w:rsid w:val="007D2F2B"/>
    <w:rsid w:val="007D7403"/>
    <w:rsid w:val="007E03CB"/>
    <w:rsid w:val="007E6A86"/>
    <w:rsid w:val="00817F27"/>
    <w:rsid w:val="00824FF1"/>
    <w:rsid w:val="00836067"/>
    <w:rsid w:val="00837BDE"/>
    <w:rsid w:val="0085160D"/>
    <w:rsid w:val="00856C41"/>
    <w:rsid w:val="008620C0"/>
    <w:rsid w:val="00865764"/>
    <w:rsid w:val="008705D5"/>
    <w:rsid w:val="00873246"/>
    <w:rsid w:val="00873B2B"/>
    <w:rsid w:val="0087661A"/>
    <w:rsid w:val="00890C50"/>
    <w:rsid w:val="0089134C"/>
    <w:rsid w:val="00892C80"/>
    <w:rsid w:val="008A0427"/>
    <w:rsid w:val="008A474A"/>
    <w:rsid w:val="008A4ACA"/>
    <w:rsid w:val="008A6D72"/>
    <w:rsid w:val="008A7325"/>
    <w:rsid w:val="008B0538"/>
    <w:rsid w:val="008B3A33"/>
    <w:rsid w:val="008C0A72"/>
    <w:rsid w:val="008D0AB4"/>
    <w:rsid w:val="008E4145"/>
    <w:rsid w:val="008E7731"/>
    <w:rsid w:val="0090207C"/>
    <w:rsid w:val="009048FE"/>
    <w:rsid w:val="00912FEA"/>
    <w:rsid w:val="009146FA"/>
    <w:rsid w:val="00915DB4"/>
    <w:rsid w:val="009164E5"/>
    <w:rsid w:val="00923983"/>
    <w:rsid w:val="00924907"/>
    <w:rsid w:val="00930DA4"/>
    <w:rsid w:val="00945BC7"/>
    <w:rsid w:val="00946375"/>
    <w:rsid w:val="009506F4"/>
    <w:rsid w:val="0096285B"/>
    <w:rsid w:val="00965C97"/>
    <w:rsid w:val="00966486"/>
    <w:rsid w:val="00976EAE"/>
    <w:rsid w:val="00980DE6"/>
    <w:rsid w:val="00981BDE"/>
    <w:rsid w:val="009A536D"/>
    <w:rsid w:val="009A625E"/>
    <w:rsid w:val="009A7621"/>
    <w:rsid w:val="009C2C61"/>
    <w:rsid w:val="009D0334"/>
    <w:rsid w:val="009D14CB"/>
    <w:rsid w:val="009F1413"/>
    <w:rsid w:val="009F657A"/>
    <w:rsid w:val="009F77A8"/>
    <w:rsid w:val="00A1235A"/>
    <w:rsid w:val="00A21CA1"/>
    <w:rsid w:val="00A2239D"/>
    <w:rsid w:val="00A25557"/>
    <w:rsid w:val="00A265D6"/>
    <w:rsid w:val="00A4034C"/>
    <w:rsid w:val="00A41FEF"/>
    <w:rsid w:val="00A778B6"/>
    <w:rsid w:val="00A85DF7"/>
    <w:rsid w:val="00A90F95"/>
    <w:rsid w:val="00A92720"/>
    <w:rsid w:val="00A93C57"/>
    <w:rsid w:val="00AA2FA9"/>
    <w:rsid w:val="00AD449D"/>
    <w:rsid w:val="00AD4AD1"/>
    <w:rsid w:val="00AE001B"/>
    <w:rsid w:val="00AE2A24"/>
    <w:rsid w:val="00AF0F57"/>
    <w:rsid w:val="00AF6468"/>
    <w:rsid w:val="00B02309"/>
    <w:rsid w:val="00B121EA"/>
    <w:rsid w:val="00B13B5D"/>
    <w:rsid w:val="00B13DFB"/>
    <w:rsid w:val="00B153FD"/>
    <w:rsid w:val="00B21121"/>
    <w:rsid w:val="00B43AAF"/>
    <w:rsid w:val="00B77D7A"/>
    <w:rsid w:val="00B90AB3"/>
    <w:rsid w:val="00B95C31"/>
    <w:rsid w:val="00B960E6"/>
    <w:rsid w:val="00BA38A0"/>
    <w:rsid w:val="00BB37C0"/>
    <w:rsid w:val="00BB71A4"/>
    <w:rsid w:val="00BB7A70"/>
    <w:rsid w:val="00BC0C18"/>
    <w:rsid w:val="00BC19FB"/>
    <w:rsid w:val="00BC2356"/>
    <w:rsid w:val="00BC69FD"/>
    <w:rsid w:val="00BD33E0"/>
    <w:rsid w:val="00BE53AD"/>
    <w:rsid w:val="00C1607B"/>
    <w:rsid w:val="00C16768"/>
    <w:rsid w:val="00C16DDF"/>
    <w:rsid w:val="00C40718"/>
    <w:rsid w:val="00C52A76"/>
    <w:rsid w:val="00C667A4"/>
    <w:rsid w:val="00C93151"/>
    <w:rsid w:val="00CA4A1A"/>
    <w:rsid w:val="00CB18BF"/>
    <w:rsid w:val="00CB201E"/>
    <w:rsid w:val="00CB6499"/>
    <w:rsid w:val="00CC34F1"/>
    <w:rsid w:val="00CD046D"/>
    <w:rsid w:val="00CD26A7"/>
    <w:rsid w:val="00CD2962"/>
    <w:rsid w:val="00CE47E4"/>
    <w:rsid w:val="00CF1615"/>
    <w:rsid w:val="00CF4A78"/>
    <w:rsid w:val="00CF5FBE"/>
    <w:rsid w:val="00D0698D"/>
    <w:rsid w:val="00D103D3"/>
    <w:rsid w:val="00D10585"/>
    <w:rsid w:val="00D4614C"/>
    <w:rsid w:val="00D66373"/>
    <w:rsid w:val="00D764E2"/>
    <w:rsid w:val="00D816E1"/>
    <w:rsid w:val="00D95E4C"/>
    <w:rsid w:val="00DB3620"/>
    <w:rsid w:val="00DB3F61"/>
    <w:rsid w:val="00DB7558"/>
    <w:rsid w:val="00DC0CBA"/>
    <w:rsid w:val="00DC1769"/>
    <w:rsid w:val="00DC29D2"/>
    <w:rsid w:val="00DC4959"/>
    <w:rsid w:val="00DC62F6"/>
    <w:rsid w:val="00DD1744"/>
    <w:rsid w:val="00DD2B90"/>
    <w:rsid w:val="00DE1C8F"/>
    <w:rsid w:val="00DF740C"/>
    <w:rsid w:val="00E01B8C"/>
    <w:rsid w:val="00E02606"/>
    <w:rsid w:val="00E1258A"/>
    <w:rsid w:val="00E15AB9"/>
    <w:rsid w:val="00E23B59"/>
    <w:rsid w:val="00E30CA9"/>
    <w:rsid w:val="00E30DD6"/>
    <w:rsid w:val="00E519EB"/>
    <w:rsid w:val="00E749A1"/>
    <w:rsid w:val="00E879A1"/>
    <w:rsid w:val="00E967DE"/>
    <w:rsid w:val="00EA4520"/>
    <w:rsid w:val="00EB1669"/>
    <w:rsid w:val="00EC0762"/>
    <w:rsid w:val="00ED0D64"/>
    <w:rsid w:val="00EE5B42"/>
    <w:rsid w:val="00EF3BD2"/>
    <w:rsid w:val="00EF46E1"/>
    <w:rsid w:val="00EF667B"/>
    <w:rsid w:val="00F04813"/>
    <w:rsid w:val="00F04FE4"/>
    <w:rsid w:val="00F06E90"/>
    <w:rsid w:val="00F2004A"/>
    <w:rsid w:val="00F2350E"/>
    <w:rsid w:val="00F2397B"/>
    <w:rsid w:val="00F42AAF"/>
    <w:rsid w:val="00F5350F"/>
    <w:rsid w:val="00F56009"/>
    <w:rsid w:val="00F56348"/>
    <w:rsid w:val="00F66BD4"/>
    <w:rsid w:val="00F67540"/>
    <w:rsid w:val="00F71253"/>
    <w:rsid w:val="00F9407B"/>
    <w:rsid w:val="00F95FDF"/>
    <w:rsid w:val="00FB0938"/>
    <w:rsid w:val="00FC130A"/>
    <w:rsid w:val="00FD53CA"/>
    <w:rsid w:val="00FD619B"/>
    <w:rsid w:val="00FD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1BF66C8-60F8-4874-8726-C0D0669B9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</w:pPr>
    <w:rPr>
      <w:rFonts w:eastAsia="標楷體"/>
      <w:kern w:val="2"/>
      <w:sz w:val="32"/>
    </w:rPr>
  </w:style>
  <w:style w:type="paragraph" w:styleId="1">
    <w:name w:val="heading 1"/>
    <w:basedOn w:val="a1"/>
    <w:qFormat/>
    <w:pPr>
      <w:numPr>
        <w:numId w:val="1"/>
      </w:numPr>
      <w:kinsoku w:val="0"/>
      <w:jc w:val="both"/>
      <w:outlineLvl w:val="0"/>
    </w:pPr>
    <w:rPr>
      <w:rFonts w:ascii="標楷體" w:hAnsi="Arial"/>
      <w:bCs/>
      <w:kern w:val="0"/>
      <w:szCs w:val="52"/>
    </w:rPr>
  </w:style>
  <w:style w:type="paragraph" w:styleId="2">
    <w:name w:val="heading 2"/>
    <w:basedOn w:val="a1"/>
    <w:qFormat/>
    <w:pPr>
      <w:numPr>
        <w:ilvl w:val="1"/>
        <w:numId w:val="1"/>
      </w:numPr>
      <w:kinsoku w:val="0"/>
      <w:ind w:left="1045"/>
      <w:jc w:val="both"/>
      <w:outlineLvl w:val="1"/>
    </w:pPr>
    <w:rPr>
      <w:rFonts w:ascii="標楷體" w:hAnsi="Arial"/>
      <w:bCs/>
      <w:kern w:val="0"/>
      <w:szCs w:val="48"/>
    </w:rPr>
  </w:style>
  <w:style w:type="paragraph" w:styleId="3">
    <w:name w:val="heading 3"/>
    <w:basedOn w:val="a1"/>
    <w:qFormat/>
    <w:pPr>
      <w:numPr>
        <w:ilvl w:val="2"/>
        <w:numId w:val="1"/>
      </w:numPr>
      <w:kinsoku w:val="0"/>
      <w:ind w:leftChars="200" w:left="400" w:hangingChars="200" w:hanging="200"/>
      <w:jc w:val="both"/>
      <w:outlineLvl w:val="2"/>
    </w:pPr>
    <w:rPr>
      <w:rFonts w:ascii="標楷體" w:hAnsi="Arial"/>
      <w:bCs/>
      <w:kern w:val="0"/>
      <w:szCs w:val="36"/>
    </w:rPr>
  </w:style>
  <w:style w:type="paragraph" w:styleId="4">
    <w:name w:val="heading 4"/>
    <w:basedOn w:val="a1"/>
    <w:qFormat/>
    <w:pPr>
      <w:numPr>
        <w:ilvl w:val="3"/>
        <w:numId w:val="1"/>
      </w:numPr>
      <w:ind w:leftChars="300" w:left="500" w:hangingChars="200" w:hanging="200"/>
      <w:jc w:val="both"/>
      <w:outlineLvl w:val="3"/>
    </w:pPr>
    <w:rPr>
      <w:rFonts w:ascii="標楷體" w:hAnsi="Arial"/>
      <w:szCs w:val="36"/>
    </w:rPr>
  </w:style>
  <w:style w:type="paragraph" w:styleId="5">
    <w:name w:val="heading 5"/>
    <w:basedOn w:val="a1"/>
    <w:qFormat/>
    <w:pPr>
      <w:numPr>
        <w:ilvl w:val="4"/>
        <w:numId w:val="1"/>
      </w:numPr>
      <w:kinsoku w:val="0"/>
      <w:ind w:leftChars="400" w:left="600" w:hangingChars="200" w:hanging="200"/>
      <w:jc w:val="both"/>
      <w:outlineLvl w:val="4"/>
    </w:pPr>
    <w:rPr>
      <w:rFonts w:ascii="標楷體" w:hAnsi="Arial"/>
      <w:bCs/>
      <w:szCs w:val="36"/>
    </w:rPr>
  </w:style>
  <w:style w:type="paragraph" w:styleId="6">
    <w:name w:val="heading 6"/>
    <w:basedOn w:val="a1"/>
    <w:qFormat/>
    <w:pPr>
      <w:numPr>
        <w:ilvl w:val="5"/>
        <w:numId w:val="1"/>
      </w:numPr>
      <w:tabs>
        <w:tab w:val="left" w:pos="2094"/>
      </w:tabs>
      <w:kinsoku w:val="0"/>
      <w:ind w:leftChars="500" w:left="700" w:hangingChars="200" w:hanging="200"/>
      <w:jc w:val="both"/>
      <w:outlineLvl w:val="5"/>
    </w:pPr>
    <w:rPr>
      <w:rFonts w:ascii="標楷體" w:hAnsi="Arial"/>
      <w:szCs w:val="36"/>
    </w:rPr>
  </w:style>
  <w:style w:type="paragraph" w:styleId="7">
    <w:name w:val="heading 7"/>
    <w:basedOn w:val="a1"/>
    <w:qFormat/>
    <w:pPr>
      <w:numPr>
        <w:ilvl w:val="6"/>
        <w:numId w:val="1"/>
      </w:numPr>
      <w:kinsoku w:val="0"/>
      <w:ind w:leftChars="600" w:left="700" w:hangingChars="100" w:hanging="100"/>
      <w:jc w:val="both"/>
      <w:outlineLvl w:val="6"/>
    </w:pPr>
    <w:rPr>
      <w:rFonts w:ascii="標楷體" w:hAnsi="Arial"/>
      <w:bCs/>
      <w:szCs w:val="36"/>
    </w:rPr>
  </w:style>
  <w:style w:type="paragraph" w:styleId="8">
    <w:name w:val="heading 8"/>
    <w:basedOn w:val="a1"/>
    <w:qFormat/>
    <w:pPr>
      <w:numPr>
        <w:ilvl w:val="7"/>
        <w:numId w:val="1"/>
      </w:numPr>
      <w:kinsoku w:val="0"/>
      <w:ind w:leftChars="700" w:left="800" w:hangingChars="100" w:hanging="100"/>
      <w:jc w:val="both"/>
      <w:outlineLvl w:val="7"/>
    </w:pPr>
    <w:rPr>
      <w:rFonts w:ascii="標楷體" w:hAnsi="Arial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Signature"/>
    <w:basedOn w:val="a1"/>
    <w:semiHidden/>
    <w:pPr>
      <w:spacing w:before="720" w:after="720"/>
      <w:ind w:left="7371"/>
    </w:pPr>
    <w:rPr>
      <w:rFonts w:ascii="標楷體"/>
      <w:b/>
      <w:snapToGrid w:val="0"/>
      <w:spacing w:val="10"/>
      <w:sz w:val="36"/>
    </w:rPr>
  </w:style>
  <w:style w:type="paragraph" w:styleId="a6">
    <w:name w:val="endnote text"/>
    <w:basedOn w:val="a1"/>
    <w:semiHidden/>
    <w:pPr>
      <w:spacing w:before="240"/>
      <w:ind w:left="1021" w:hanging="1021"/>
      <w:jc w:val="both"/>
    </w:pPr>
    <w:rPr>
      <w:rFonts w:ascii="標楷體"/>
      <w:snapToGrid w:val="0"/>
      <w:spacing w:val="10"/>
    </w:rPr>
  </w:style>
  <w:style w:type="paragraph" w:styleId="50">
    <w:name w:val="toc 5"/>
    <w:basedOn w:val="a1"/>
    <w:next w:val="a1"/>
    <w:autoRedefine/>
    <w:semiHidden/>
    <w:pPr>
      <w:ind w:leftChars="400" w:left="600" w:rightChars="200" w:right="200" w:hangingChars="200" w:hanging="200"/>
    </w:pPr>
    <w:rPr>
      <w:rFonts w:ascii="標楷體"/>
    </w:rPr>
  </w:style>
  <w:style w:type="character" w:styleId="a7">
    <w:name w:val="page number"/>
    <w:basedOn w:val="a2"/>
    <w:semiHidden/>
    <w:rPr>
      <w:rFonts w:ascii="標楷體" w:eastAsia="標楷體"/>
      <w:sz w:val="20"/>
    </w:rPr>
  </w:style>
  <w:style w:type="paragraph" w:styleId="60">
    <w:name w:val="toc 6"/>
    <w:basedOn w:val="a1"/>
    <w:next w:val="a1"/>
    <w:autoRedefine/>
    <w:semiHidden/>
    <w:pPr>
      <w:ind w:leftChars="500" w:left="500"/>
    </w:pPr>
    <w:rPr>
      <w:rFonts w:ascii="標楷體"/>
    </w:rPr>
  </w:style>
  <w:style w:type="paragraph" w:customStyle="1" w:styleId="10">
    <w:name w:val="段落樣式1"/>
    <w:basedOn w:val="a1"/>
    <w:pPr>
      <w:tabs>
        <w:tab w:val="left" w:pos="567"/>
      </w:tabs>
      <w:kinsoku w:val="0"/>
      <w:ind w:leftChars="200" w:left="200" w:firstLineChars="200" w:firstLine="200"/>
      <w:jc w:val="both"/>
    </w:pPr>
    <w:rPr>
      <w:rFonts w:ascii="標楷體"/>
      <w:kern w:val="0"/>
    </w:rPr>
  </w:style>
  <w:style w:type="paragraph" w:customStyle="1" w:styleId="20">
    <w:name w:val="段落樣式2"/>
    <w:basedOn w:val="a1"/>
    <w:pPr>
      <w:tabs>
        <w:tab w:val="left" w:pos="567"/>
      </w:tabs>
      <w:ind w:leftChars="300" w:left="300" w:firstLineChars="200" w:firstLine="200"/>
      <w:jc w:val="both"/>
    </w:pPr>
    <w:rPr>
      <w:rFonts w:ascii="標楷體"/>
      <w:kern w:val="0"/>
    </w:rPr>
  </w:style>
  <w:style w:type="paragraph" w:styleId="11">
    <w:name w:val="toc 1"/>
    <w:basedOn w:val="a1"/>
    <w:next w:val="a1"/>
    <w:autoRedefine/>
    <w:semiHidden/>
    <w:pPr>
      <w:kinsoku w:val="0"/>
      <w:ind w:left="2443" w:rightChars="200" w:right="698" w:hangingChars="700" w:hanging="2443"/>
      <w:jc w:val="both"/>
    </w:pPr>
    <w:rPr>
      <w:rFonts w:ascii="標楷體"/>
      <w:noProof/>
      <w:szCs w:val="32"/>
    </w:rPr>
  </w:style>
  <w:style w:type="paragraph" w:styleId="21">
    <w:name w:val="toc 2"/>
    <w:basedOn w:val="a1"/>
    <w:next w:val="a1"/>
    <w:autoRedefine/>
    <w:semiHidden/>
    <w:pPr>
      <w:kinsoku w:val="0"/>
      <w:ind w:leftChars="100" w:left="300" w:rightChars="200" w:right="200" w:hangingChars="200" w:hanging="200"/>
    </w:pPr>
    <w:rPr>
      <w:rFonts w:ascii="標楷體"/>
      <w:noProof/>
    </w:rPr>
  </w:style>
  <w:style w:type="paragraph" w:styleId="30">
    <w:name w:val="toc 3"/>
    <w:basedOn w:val="a1"/>
    <w:next w:val="a1"/>
    <w:autoRedefine/>
    <w:semiHidden/>
    <w:pPr>
      <w:kinsoku w:val="0"/>
      <w:ind w:leftChars="200" w:left="400" w:rightChars="200" w:right="200" w:hangingChars="200" w:hanging="200"/>
      <w:jc w:val="both"/>
    </w:pPr>
    <w:rPr>
      <w:rFonts w:ascii="標楷體"/>
      <w:noProof/>
    </w:rPr>
  </w:style>
  <w:style w:type="paragraph" w:styleId="40">
    <w:name w:val="toc 4"/>
    <w:basedOn w:val="a1"/>
    <w:next w:val="a1"/>
    <w:autoRedefine/>
    <w:semiHidden/>
    <w:pPr>
      <w:kinsoku w:val="0"/>
      <w:ind w:leftChars="300" w:left="500" w:rightChars="200" w:right="200" w:hangingChars="200" w:hanging="200"/>
      <w:jc w:val="both"/>
    </w:pPr>
    <w:rPr>
      <w:rFonts w:ascii="標楷體"/>
    </w:rPr>
  </w:style>
  <w:style w:type="paragraph" w:styleId="70">
    <w:name w:val="toc 7"/>
    <w:basedOn w:val="a1"/>
    <w:next w:val="a1"/>
    <w:autoRedefine/>
    <w:semiHidden/>
    <w:pPr>
      <w:ind w:leftChars="600" w:left="800" w:hangingChars="200" w:hanging="200"/>
    </w:pPr>
    <w:rPr>
      <w:rFonts w:ascii="標楷體"/>
    </w:rPr>
  </w:style>
  <w:style w:type="paragraph" w:styleId="80">
    <w:name w:val="toc 8"/>
    <w:basedOn w:val="a1"/>
    <w:next w:val="a1"/>
    <w:autoRedefine/>
    <w:semiHidden/>
    <w:pPr>
      <w:ind w:leftChars="700" w:left="900" w:hangingChars="200" w:hanging="200"/>
    </w:pPr>
    <w:rPr>
      <w:rFonts w:ascii="標楷體"/>
    </w:rPr>
  </w:style>
  <w:style w:type="paragraph" w:styleId="9">
    <w:name w:val="toc 9"/>
    <w:basedOn w:val="a1"/>
    <w:next w:val="a1"/>
    <w:autoRedefine/>
    <w:semiHidden/>
    <w:pPr>
      <w:ind w:leftChars="1600" w:left="3840"/>
    </w:pPr>
  </w:style>
  <w:style w:type="paragraph" w:styleId="a8">
    <w:name w:val="header"/>
    <w:basedOn w:val="a1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pPr>
      <w:ind w:leftChars="400" w:left="400"/>
    </w:pPr>
  </w:style>
  <w:style w:type="character" w:styleId="a9">
    <w:name w:val="Hyperlink"/>
    <w:basedOn w:val="a2"/>
    <w:semiHidden/>
    <w:rPr>
      <w:color w:val="0000FF"/>
      <w:u w:val="single"/>
    </w:rPr>
  </w:style>
  <w:style w:type="paragraph" w:customStyle="1" w:styleId="aa">
    <w:name w:val="簽名日期"/>
    <w:basedOn w:val="a1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pPr>
      <w:ind w:leftChars="200" w:left="200" w:firstLineChars="0" w:firstLine="0"/>
    </w:pPr>
  </w:style>
  <w:style w:type="paragraph" w:customStyle="1" w:styleId="ab">
    <w:name w:val="附件"/>
    <w:basedOn w:val="a6"/>
    <w:pPr>
      <w:kinsoku w:val="0"/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pPr>
      <w:ind w:leftChars="500" w:left="500"/>
    </w:pPr>
  </w:style>
  <w:style w:type="paragraph" w:customStyle="1" w:styleId="51">
    <w:name w:val="段落樣式5"/>
    <w:basedOn w:val="41"/>
    <w:pPr>
      <w:ind w:leftChars="600" w:left="600"/>
    </w:pPr>
  </w:style>
  <w:style w:type="paragraph" w:customStyle="1" w:styleId="61">
    <w:name w:val="段落樣式6"/>
    <w:basedOn w:val="51"/>
    <w:pPr>
      <w:ind w:leftChars="700" w:left="700"/>
    </w:pPr>
  </w:style>
  <w:style w:type="paragraph" w:customStyle="1" w:styleId="71">
    <w:name w:val="段落樣式7"/>
    <w:basedOn w:val="61"/>
  </w:style>
  <w:style w:type="paragraph" w:customStyle="1" w:styleId="81">
    <w:name w:val="段落樣式8"/>
    <w:basedOn w:val="71"/>
    <w:pPr>
      <w:ind w:leftChars="800" w:left="800"/>
    </w:pPr>
  </w:style>
  <w:style w:type="paragraph" w:customStyle="1" w:styleId="a0">
    <w:name w:val="表樣式"/>
    <w:basedOn w:val="a1"/>
    <w:next w:val="a1"/>
    <w:pPr>
      <w:numPr>
        <w:numId w:val="2"/>
      </w:numPr>
      <w:jc w:val="both"/>
    </w:pPr>
    <w:rPr>
      <w:rFonts w:ascii="標楷體"/>
      <w:kern w:val="0"/>
    </w:rPr>
  </w:style>
  <w:style w:type="paragraph" w:styleId="ac">
    <w:name w:val="Body Text Indent"/>
    <w:basedOn w:val="a1"/>
    <w:semiHidden/>
    <w:pPr>
      <w:ind w:left="698" w:hangingChars="200" w:hanging="698"/>
    </w:pPr>
  </w:style>
  <w:style w:type="paragraph" w:customStyle="1" w:styleId="ad">
    <w:name w:val="調查報告"/>
    <w:basedOn w:val="a6"/>
    <w:pPr>
      <w:kinsoku w:val="0"/>
      <w:spacing w:before="0"/>
      <w:ind w:left="1701" w:firstLine="0"/>
    </w:pPr>
    <w:rPr>
      <w:b/>
      <w:snapToGrid/>
      <w:spacing w:val="200"/>
      <w:kern w:val="0"/>
      <w:sz w:val="36"/>
    </w:rPr>
  </w:style>
  <w:style w:type="paragraph" w:customStyle="1" w:styleId="a">
    <w:name w:val="圖樣式"/>
    <w:basedOn w:val="a1"/>
    <w:next w:val="a1"/>
    <w:pPr>
      <w:numPr>
        <w:numId w:val="3"/>
      </w:numPr>
      <w:tabs>
        <w:tab w:val="clear" w:pos="1440"/>
      </w:tabs>
      <w:ind w:left="400" w:hangingChars="400" w:hanging="400"/>
      <w:jc w:val="both"/>
    </w:pPr>
    <w:rPr>
      <w:rFonts w:ascii="標楷體"/>
    </w:rPr>
  </w:style>
  <w:style w:type="paragraph" w:styleId="ae">
    <w:name w:val="footer"/>
    <w:basedOn w:val="a1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">
    <w:name w:val="table of figures"/>
    <w:basedOn w:val="a1"/>
    <w:next w:val="a1"/>
    <w:semiHidden/>
    <w:pPr>
      <w:ind w:left="400" w:hangingChars="400" w:hanging="400"/>
    </w:pPr>
  </w:style>
  <w:style w:type="paragraph" w:customStyle="1" w:styleId="af0">
    <w:name w:val="附表樣式"/>
    <w:basedOn w:val="a1"/>
    <w:qFormat/>
    <w:rsid w:val="00BB7A70"/>
    <w:pPr>
      <w:keepNext/>
      <w:tabs>
        <w:tab w:val="num" w:pos="2008"/>
      </w:tabs>
      <w:overflowPunct w:val="0"/>
      <w:autoSpaceDE w:val="0"/>
      <w:autoSpaceDN w:val="0"/>
      <w:ind w:left="400" w:hangingChars="400" w:hanging="400"/>
      <w:jc w:val="both"/>
      <w:outlineLvl w:val="0"/>
    </w:pPr>
    <w:rPr>
      <w:rFonts w:ascii="標楷體"/>
      <w:kern w:val="32"/>
    </w:rPr>
  </w:style>
  <w:style w:type="paragraph" w:styleId="af1">
    <w:name w:val="Balloon Text"/>
    <w:basedOn w:val="a1"/>
    <w:link w:val="af2"/>
    <w:uiPriority w:val="99"/>
    <w:semiHidden/>
    <w:unhideWhenUsed/>
    <w:rsid w:val="000317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2"/>
    <w:link w:val="af1"/>
    <w:uiPriority w:val="99"/>
    <w:semiHidden/>
    <w:rsid w:val="000317F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3">
    <w:name w:val="footnote text"/>
    <w:basedOn w:val="a1"/>
    <w:link w:val="af4"/>
    <w:uiPriority w:val="99"/>
    <w:semiHidden/>
    <w:unhideWhenUsed/>
    <w:rsid w:val="0089134C"/>
    <w:pPr>
      <w:snapToGrid w:val="0"/>
    </w:pPr>
    <w:rPr>
      <w:sz w:val="20"/>
    </w:rPr>
  </w:style>
  <w:style w:type="character" w:customStyle="1" w:styleId="af4">
    <w:name w:val="註腳文字 字元"/>
    <w:basedOn w:val="a2"/>
    <w:link w:val="af3"/>
    <w:uiPriority w:val="99"/>
    <w:semiHidden/>
    <w:rsid w:val="0089134C"/>
    <w:rPr>
      <w:rFonts w:eastAsia="標楷體"/>
      <w:kern w:val="2"/>
    </w:rPr>
  </w:style>
  <w:style w:type="character" w:styleId="af5">
    <w:name w:val="footnote reference"/>
    <w:basedOn w:val="a2"/>
    <w:uiPriority w:val="99"/>
    <w:semiHidden/>
    <w:unhideWhenUsed/>
    <w:rsid w:val="008913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8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jchen\AppData\Roaming\Microsoft\Templates\&#27243;&#24335;&#35519;&#26597;&#34920;&#21934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7771D-CB73-4B45-83D0-3D0C67774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C030調查報告格式體例(橫式).dot</Template>
  <TotalTime>2</TotalTime>
  <Pages>18</Pages>
  <Words>1122</Words>
  <Characters>6402</Characters>
  <Application>Microsoft Office Word</Application>
  <DocSecurity>0</DocSecurity>
  <Lines>53</Lines>
  <Paragraphs>15</Paragraphs>
  <ScaleCrop>false</ScaleCrop>
  <Company>cy</Company>
  <LinksUpToDate>false</LinksUpToDate>
  <CharactersWithSpaces>7509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監察院監察調查處「調查報告格式範本」說明資料       2001/9/4</dc:title>
  <dc:creator>stud01</dc:creator>
  <cp:lastModifiedBy>曾莉雯</cp:lastModifiedBy>
  <cp:revision>3</cp:revision>
  <cp:lastPrinted>2017-04-14T06:27:00Z</cp:lastPrinted>
  <dcterms:created xsi:type="dcterms:W3CDTF">2017-06-08T10:28:00Z</dcterms:created>
  <dcterms:modified xsi:type="dcterms:W3CDTF">2017-06-08T10:30:00Z</dcterms:modified>
</cp:coreProperties>
</file>