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3501F" w:rsidRDefault="00D75644" w:rsidP="005200AF">
      <w:pPr>
        <w:pStyle w:val="af2"/>
        <w:rPr>
          <w:rFonts w:hAnsi="標楷體"/>
        </w:rPr>
      </w:pPr>
      <w:r w:rsidRPr="0073501F">
        <w:rPr>
          <w:rFonts w:hAnsi="標楷體" w:hint="eastAsia"/>
        </w:rPr>
        <w:t>調查報告</w:t>
      </w:r>
    </w:p>
    <w:p w:rsidR="00542F82" w:rsidRDefault="00E25849" w:rsidP="00407DAE">
      <w:pPr>
        <w:pStyle w:val="1"/>
        <w:ind w:left="2380" w:hanging="2380"/>
        <w:jc w:val="left"/>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84177828"/>
      <w:bookmarkStart w:id="11" w:name="_Toc484593364"/>
      <w:bookmarkStart w:id="12" w:name="_Toc422834150"/>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542F82">
        <w:rPr>
          <w:rFonts w:hAnsi="標楷體" w:hint="eastAsia"/>
        </w:rPr>
        <w:t>案　　由：</w:t>
      </w:r>
      <w:bookmarkEnd w:id="0"/>
      <w:bookmarkEnd w:id="1"/>
      <w:bookmarkEnd w:id="2"/>
      <w:bookmarkEnd w:id="3"/>
      <w:bookmarkEnd w:id="4"/>
      <w:bookmarkEnd w:id="5"/>
      <w:bookmarkEnd w:id="6"/>
      <w:bookmarkEnd w:id="7"/>
      <w:bookmarkEnd w:id="8"/>
      <w:bookmarkEnd w:id="9"/>
      <w:r w:rsidR="00647F83" w:rsidRPr="00542F82">
        <w:rPr>
          <w:rFonts w:hAnsi="標楷體"/>
        </w:rPr>
        <w:fldChar w:fldCharType="begin"/>
      </w:r>
      <w:r w:rsidR="009E7B81" w:rsidRPr="00542F82">
        <w:rPr>
          <w:rFonts w:hAnsi="標楷體"/>
        </w:rPr>
        <w:instrText xml:space="preserve"> MERGEFIELD </w:instrText>
      </w:r>
      <w:r w:rsidR="009E7B81" w:rsidRPr="00542F82">
        <w:rPr>
          <w:rFonts w:hAnsi="標楷體" w:hint="eastAsia"/>
        </w:rPr>
        <w:instrText>案由</w:instrText>
      </w:r>
      <w:r w:rsidR="009E7B81" w:rsidRPr="00542F82">
        <w:rPr>
          <w:rFonts w:hAnsi="標楷體"/>
        </w:rPr>
        <w:instrText xml:space="preserve"> </w:instrText>
      </w:r>
      <w:r w:rsidR="00647F83" w:rsidRPr="00542F82">
        <w:rPr>
          <w:rFonts w:hAnsi="標楷體"/>
        </w:rPr>
        <w:fldChar w:fldCharType="separate"/>
      </w:r>
      <w:r w:rsidR="009E7B81" w:rsidRPr="00542F82">
        <w:rPr>
          <w:rFonts w:hAnsi="標楷體"/>
        </w:rPr>
        <w:t>兆豐國際商業銀行紐約分行因涉及違反美國洗錢防制法等相關規定，遭該國紐約州金融服務署裁罰。雖經行政院成立「兆豐銀行遭美裁罰案督導小組」調查相關責任，惟財政部及金融監督管理委員會在管理權責上是否涉及違失？相關人員有無不法等情事？均有深入瞭解之必要案。</w:t>
      </w:r>
      <w:bookmarkEnd w:id="10"/>
      <w:bookmarkEnd w:id="11"/>
      <w:r w:rsidR="00647F83" w:rsidRPr="00542F82">
        <w:rPr>
          <w:rFonts w:hAnsi="標楷體"/>
        </w:rPr>
        <w:fldChar w:fldCharType="end"/>
      </w:r>
      <w:bookmarkStart w:id="27" w:name="_Toc484177894"/>
      <w:bookmarkStart w:id="28" w:name="_Toc48459344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B65AA6" w:rsidRPr="00542F82" w:rsidRDefault="00B65AA6" w:rsidP="00407DAE">
      <w:pPr>
        <w:pStyle w:val="1"/>
        <w:ind w:left="2380" w:hanging="2380"/>
        <w:jc w:val="left"/>
        <w:rPr>
          <w:rFonts w:hAnsi="標楷體"/>
        </w:rPr>
      </w:pPr>
      <w:r w:rsidRPr="00542F82">
        <w:rPr>
          <w:rFonts w:hAnsi="標楷體" w:hint="eastAsia"/>
        </w:rPr>
        <w:t>調查意見</w:t>
      </w:r>
      <w:bookmarkEnd w:id="27"/>
      <w:bookmarkEnd w:id="28"/>
    </w:p>
    <w:p w:rsidR="00441F49" w:rsidRPr="0073501F" w:rsidRDefault="00441F49" w:rsidP="00441F49">
      <w:pPr>
        <w:pStyle w:val="2"/>
        <w:numPr>
          <w:ilvl w:val="0"/>
          <w:numId w:val="0"/>
        </w:numPr>
        <w:ind w:left="658" w:firstLineChars="189" w:firstLine="643"/>
        <w:rPr>
          <w:rFonts w:hAnsi="標楷體"/>
        </w:rPr>
      </w:pPr>
      <w:bookmarkStart w:id="29" w:name="_Toc484177895"/>
      <w:bookmarkStart w:id="30" w:name="_Toc484593444"/>
      <w:r w:rsidRPr="0073501F">
        <w:rPr>
          <w:rFonts w:hAnsi="標楷體" w:hint="eastAsia"/>
        </w:rPr>
        <w:t>查美國</w:t>
      </w:r>
      <w:r w:rsidRPr="0073501F">
        <w:rPr>
          <w:rFonts w:hAnsi="標楷體"/>
        </w:rPr>
        <w:t>紐約州金融服務署(</w:t>
      </w:r>
      <w:r w:rsidRPr="0073501F">
        <w:rPr>
          <w:rFonts w:hAnsi="標楷體" w:hint="eastAsia"/>
        </w:rPr>
        <w:t>下稱</w:t>
      </w:r>
      <w:r w:rsidR="008A0F8A" w:rsidRPr="0073501F">
        <w:rPr>
          <w:rFonts w:hAnsi="標楷體"/>
        </w:rPr>
        <w:t>NYDFS</w:t>
      </w:r>
      <w:r w:rsidRPr="0073501F">
        <w:rPr>
          <w:rFonts w:hAnsi="標楷體"/>
        </w:rPr>
        <w:t>)</w:t>
      </w:r>
      <w:r w:rsidRPr="0073501F">
        <w:rPr>
          <w:rStyle w:val="afc"/>
          <w:rFonts w:hAnsi="標楷體"/>
        </w:rPr>
        <w:footnoteReference w:id="1"/>
      </w:r>
      <w:r w:rsidRPr="0073501F">
        <w:rPr>
          <w:rFonts w:hAnsi="標楷體" w:hint="eastAsia"/>
        </w:rPr>
        <w:t>於民國(以下未記年號者同)</w:t>
      </w:r>
      <w:r w:rsidRPr="0073501F">
        <w:rPr>
          <w:rFonts w:hAnsi="標楷體"/>
        </w:rPr>
        <w:t>104</w:t>
      </w:r>
      <w:r w:rsidRPr="0073501F">
        <w:rPr>
          <w:rFonts w:hAnsi="標楷體" w:hint="eastAsia"/>
        </w:rPr>
        <w:t>年</w:t>
      </w:r>
      <w:r w:rsidRPr="0073501F">
        <w:rPr>
          <w:rFonts w:hAnsi="標楷體"/>
        </w:rPr>
        <w:t>1</w:t>
      </w:r>
      <w:r w:rsidRPr="0073501F">
        <w:rPr>
          <w:rFonts w:hAnsi="標楷體" w:hint="eastAsia"/>
        </w:rPr>
        <w:t>月至</w:t>
      </w:r>
      <w:r w:rsidRPr="0073501F">
        <w:rPr>
          <w:rFonts w:hAnsi="標楷體"/>
        </w:rPr>
        <w:t>3</w:t>
      </w:r>
      <w:r w:rsidRPr="0073501F">
        <w:rPr>
          <w:rFonts w:hAnsi="標楷體" w:hint="eastAsia"/>
        </w:rPr>
        <w:t>月間對兆豐國際商業銀行股份有限公</w:t>
      </w:r>
      <w:r w:rsidRPr="0073501F">
        <w:rPr>
          <w:rFonts w:hAnsi="標楷體" w:hint="eastAsia"/>
          <w:szCs w:val="32"/>
        </w:rPr>
        <w:t>司</w:t>
      </w:r>
      <w:r w:rsidRPr="0073501F">
        <w:rPr>
          <w:rFonts w:hAnsi="標楷體"/>
        </w:rPr>
        <w:t>(</w:t>
      </w:r>
      <w:r w:rsidRPr="0073501F">
        <w:rPr>
          <w:rFonts w:hAnsi="標楷體" w:hint="eastAsia"/>
        </w:rPr>
        <w:t>下稱兆豐銀行</w:t>
      </w:r>
      <w:r w:rsidRPr="0073501F">
        <w:rPr>
          <w:rFonts w:hAnsi="標楷體"/>
        </w:rPr>
        <w:t>)</w:t>
      </w:r>
      <w:r w:rsidRPr="0073501F">
        <w:rPr>
          <w:rFonts w:hAnsi="標楷體" w:hint="eastAsia"/>
        </w:rPr>
        <w:t>紐約分行（下稱紐約分行）進行實地金融檢查，以</w:t>
      </w:r>
      <w:r w:rsidRPr="0073501F">
        <w:rPr>
          <w:rFonts w:hAnsi="標楷體"/>
        </w:rPr>
        <w:t>103</w:t>
      </w:r>
      <w:r w:rsidRPr="0073501F">
        <w:rPr>
          <w:rFonts w:hAnsi="標楷體" w:hint="eastAsia"/>
        </w:rPr>
        <w:t>年</w:t>
      </w:r>
      <w:r w:rsidRPr="0073501F">
        <w:rPr>
          <w:rFonts w:hAnsi="標楷體"/>
        </w:rPr>
        <w:t>9</w:t>
      </w:r>
      <w:r w:rsidRPr="0073501F">
        <w:rPr>
          <w:rFonts w:hAnsi="標楷體" w:hint="eastAsia"/>
        </w:rPr>
        <w:t>月為基準日，檢查重點</w:t>
      </w:r>
      <w:r w:rsidRPr="0073501F">
        <w:rPr>
          <w:rFonts w:hAnsi="標楷體" w:hint="eastAsia"/>
          <w:szCs w:val="32"/>
        </w:rPr>
        <w:t>包括紐約分行之</w:t>
      </w:r>
      <w:r w:rsidRPr="0073501F">
        <w:rPr>
          <w:rFonts w:hAnsi="標楷體"/>
          <w:szCs w:val="32"/>
        </w:rPr>
        <w:t>風險管理、作業控制、法</w:t>
      </w:r>
      <w:r w:rsidRPr="0073501F">
        <w:rPr>
          <w:rFonts w:hAnsi="標楷體" w:hint="eastAsia"/>
          <w:szCs w:val="32"/>
        </w:rPr>
        <w:t>令</w:t>
      </w:r>
      <w:r w:rsidRPr="0073501F">
        <w:rPr>
          <w:rFonts w:hAnsi="標楷體"/>
          <w:szCs w:val="32"/>
        </w:rPr>
        <w:t>遵循及資產品質</w:t>
      </w:r>
      <w:r w:rsidRPr="0073501F">
        <w:rPr>
          <w:rFonts w:hAnsi="標楷體" w:hint="eastAsia"/>
          <w:szCs w:val="32"/>
        </w:rPr>
        <w:t>，同時</w:t>
      </w:r>
      <w:r w:rsidRPr="0073501F">
        <w:rPr>
          <w:rFonts w:hAnsi="標楷體"/>
          <w:szCs w:val="32"/>
        </w:rPr>
        <w:t>評估管理階層針對前次(</w:t>
      </w:r>
      <w:r w:rsidRPr="0073501F">
        <w:rPr>
          <w:rFonts w:hAnsi="標楷體" w:hint="eastAsia"/>
          <w:szCs w:val="32"/>
        </w:rPr>
        <w:t>1</w:t>
      </w:r>
      <w:r w:rsidRPr="0073501F">
        <w:rPr>
          <w:rFonts w:hAnsi="標楷體"/>
          <w:szCs w:val="32"/>
        </w:rPr>
        <w:t>0</w:t>
      </w:r>
      <w:r w:rsidRPr="0073501F">
        <w:rPr>
          <w:rFonts w:hAnsi="標楷體" w:hint="eastAsia"/>
          <w:szCs w:val="32"/>
        </w:rPr>
        <w:t>2</w:t>
      </w:r>
      <w:r w:rsidRPr="0073501F">
        <w:rPr>
          <w:rFonts w:hAnsi="標楷體"/>
          <w:szCs w:val="32"/>
        </w:rPr>
        <w:t>年)檢查所發現缺失之改正措施</w:t>
      </w:r>
      <w:r w:rsidRPr="0073501F">
        <w:rPr>
          <w:rStyle w:val="afc"/>
          <w:rFonts w:hAnsi="標楷體"/>
        </w:rPr>
        <w:footnoteReference w:id="2"/>
      </w:r>
      <w:r w:rsidRPr="0073501F">
        <w:rPr>
          <w:rFonts w:hAnsi="標楷體"/>
          <w:szCs w:val="32"/>
        </w:rPr>
        <w:t>。</w:t>
      </w:r>
      <w:r w:rsidRPr="0073501F">
        <w:rPr>
          <w:rFonts w:hAnsi="標楷體" w:hint="eastAsia"/>
        </w:rPr>
        <w:t>於</w:t>
      </w:r>
      <w:r w:rsidR="008A0F8A" w:rsidRPr="0073501F">
        <w:rPr>
          <w:rFonts w:hAnsi="標楷體"/>
        </w:rPr>
        <w:t>NYDFS</w:t>
      </w:r>
      <w:r w:rsidRPr="0073501F">
        <w:rPr>
          <w:rFonts w:hAnsi="標楷體" w:hint="eastAsia"/>
        </w:rPr>
        <w:t>完成檢查報告前，</w:t>
      </w:r>
      <w:r w:rsidR="006522B8" w:rsidRPr="0073501F">
        <w:rPr>
          <w:rFonts w:hAnsi="標楷體" w:hint="eastAsia"/>
        </w:rPr>
        <w:t>美國聯邦準備銀行</w:t>
      </w:r>
      <w:r w:rsidR="006522B8" w:rsidRPr="0073501F">
        <w:rPr>
          <w:rStyle w:val="afc"/>
          <w:rFonts w:hAnsi="標楷體"/>
        </w:rPr>
        <w:footnoteReference w:id="3"/>
      </w:r>
      <w:r w:rsidR="006522B8" w:rsidRPr="0073501F">
        <w:rPr>
          <w:rFonts w:hAnsi="標楷體" w:hint="eastAsia"/>
        </w:rPr>
        <w:t>(下稱FRB)</w:t>
      </w:r>
      <w:r w:rsidRPr="0073501F">
        <w:rPr>
          <w:rFonts w:hAnsi="標楷體" w:hint="eastAsia"/>
        </w:rPr>
        <w:t>104年10月間來臺拜訪兆豐銀行總行，該行人員已察覺有遭</w:t>
      </w:r>
      <w:r w:rsidR="008A0F8A" w:rsidRPr="0073501F">
        <w:rPr>
          <w:rFonts w:hAnsi="標楷體"/>
        </w:rPr>
        <w:t>NYDFS</w:t>
      </w:r>
      <w:r w:rsidRPr="0073501F">
        <w:rPr>
          <w:rFonts w:hAnsi="標楷體" w:hint="eastAsia"/>
        </w:rPr>
        <w:t>採取</w:t>
      </w:r>
      <w:r w:rsidRPr="0073501F">
        <w:rPr>
          <w:rFonts w:hAnsi="標楷體"/>
          <w:szCs w:val="32"/>
        </w:rPr>
        <w:t>監理處分行動</w:t>
      </w:r>
      <w:r w:rsidRPr="0073501F">
        <w:rPr>
          <w:rFonts w:hAnsi="標楷體" w:hint="eastAsia"/>
          <w:szCs w:val="32"/>
        </w:rPr>
        <w:t>（</w:t>
      </w:r>
      <w:r w:rsidRPr="0073501F">
        <w:rPr>
          <w:rFonts w:hAnsi="標楷體"/>
          <w:szCs w:val="32"/>
        </w:rPr>
        <w:t>Enforcement Action</w:t>
      </w:r>
      <w:r w:rsidRPr="0073501F">
        <w:rPr>
          <w:rFonts w:hAnsi="標楷體" w:hint="eastAsia"/>
          <w:szCs w:val="32"/>
        </w:rPr>
        <w:t>）之可能，並將會議紀錄</w:t>
      </w:r>
      <w:r w:rsidRPr="0073501F">
        <w:rPr>
          <w:rFonts w:hAnsi="標楷體" w:hint="eastAsia"/>
        </w:rPr>
        <w:t>簽報該行董事長蔡友才，蔡友才董事長乃致函美國聯邦準備銀行，並表達將立即針對建議事項進行改善及採取相關因應措施，惟未將此相關訊息通報金融監督管理委員會（下稱金管會）或財政部。</w:t>
      </w:r>
      <w:r w:rsidR="008A0F8A" w:rsidRPr="0073501F">
        <w:rPr>
          <w:rFonts w:hAnsi="標楷體"/>
        </w:rPr>
        <w:t>NYDFS</w:t>
      </w:r>
      <w:r w:rsidRPr="0073501F">
        <w:rPr>
          <w:rFonts w:hAnsi="標楷體" w:hint="eastAsia"/>
        </w:rPr>
        <w:t>於</w:t>
      </w:r>
      <w:r w:rsidRPr="0073501F">
        <w:rPr>
          <w:rFonts w:hAnsi="標楷體"/>
        </w:rPr>
        <w:t>105</w:t>
      </w:r>
      <w:r w:rsidRPr="0073501F">
        <w:rPr>
          <w:rFonts w:hAnsi="標楷體" w:hint="eastAsia"/>
        </w:rPr>
        <w:t>年</w:t>
      </w:r>
      <w:r w:rsidRPr="0073501F">
        <w:rPr>
          <w:rFonts w:hAnsi="標楷體"/>
        </w:rPr>
        <w:t>2</w:t>
      </w:r>
      <w:r w:rsidRPr="0073501F">
        <w:rPr>
          <w:rFonts w:hAnsi="標楷體" w:hint="eastAsia"/>
        </w:rPr>
        <w:t>月</w:t>
      </w:r>
      <w:r w:rsidRPr="0073501F">
        <w:rPr>
          <w:rFonts w:hAnsi="標楷體"/>
        </w:rPr>
        <w:t>9</w:t>
      </w:r>
      <w:r w:rsidRPr="0073501F">
        <w:rPr>
          <w:rFonts w:hAnsi="標楷體" w:hint="eastAsia"/>
        </w:rPr>
        <w:t>日將檢查報告送交兆豐銀行及紐約分行，不料該行竟未對</w:t>
      </w:r>
      <w:r w:rsidR="008A0F8A" w:rsidRPr="0073501F">
        <w:rPr>
          <w:rFonts w:hAnsi="標楷體"/>
        </w:rPr>
        <w:t>NYDFS</w:t>
      </w:r>
      <w:r w:rsidRPr="0073501F">
        <w:rPr>
          <w:rFonts w:hAnsi="標楷體" w:hint="eastAsia"/>
        </w:rPr>
        <w:t>近年來已陸續從重處罰</w:t>
      </w:r>
      <w:r w:rsidRPr="0073501F">
        <w:rPr>
          <w:rFonts w:hAnsi="標楷體" w:hint="eastAsia"/>
        </w:rPr>
        <w:lastRenderedPageBreak/>
        <w:t>其他銀行之相關實例，有所警覺，忽視本案</w:t>
      </w:r>
      <w:r w:rsidR="008A0F8A" w:rsidRPr="0073501F">
        <w:rPr>
          <w:rFonts w:hAnsi="標楷體"/>
        </w:rPr>
        <w:t>NYDFS</w:t>
      </w:r>
      <w:r w:rsidRPr="0073501F">
        <w:rPr>
          <w:rFonts w:hAnsi="標楷體" w:hint="eastAsia"/>
        </w:rPr>
        <w:t>對該行之作業違規及缺失可能採取重罰之監理態度，採納紐約分行所聘顧問之建議，於105年</w:t>
      </w:r>
      <w:r w:rsidRPr="0073501F">
        <w:rPr>
          <w:rFonts w:hAnsi="標楷體"/>
        </w:rPr>
        <w:t>3</w:t>
      </w:r>
      <w:r w:rsidRPr="0073501F">
        <w:rPr>
          <w:rFonts w:hAnsi="標楷體" w:hint="eastAsia"/>
        </w:rPr>
        <w:t>月</w:t>
      </w:r>
      <w:r w:rsidRPr="0073501F">
        <w:rPr>
          <w:rFonts w:hAnsi="標楷體"/>
        </w:rPr>
        <w:t>24</w:t>
      </w:r>
      <w:r w:rsidRPr="0073501F">
        <w:rPr>
          <w:rFonts w:hAnsi="標楷體" w:hint="eastAsia"/>
        </w:rPr>
        <w:t>日將改善計畫回復</w:t>
      </w:r>
      <w:r w:rsidR="008A0F8A" w:rsidRPr="0073501F">
        <w:rPr>
          <w:rFonts w:hAnsi="標楷體"/>
        </w:rPr>
        <w:t>NYDFS</w:t>
      </w:r>
      <w:r w:rsidRPr="0073501F">
        <w:rPr>
          <w:rFonts w:hAnsi="標楷體" w:hint="eastAsia"/>
        </w:rPr>
        <w:t>，並對</w:t>
      </w:r>
      <w:r w:rsidR="008A0F8A" w:rsidRPr="0073501F">
        <w:rPr>
          <w:rFonts w:hAnsi="標楷體"/>
        </w:rPr>
        <w:t>NYDFS</w:t>
      </w:r>
      <w:r w:rsidRPr="0073501F">
        <w:rPr>
          <w:rFonts w:hAnsi="標楷體"/>
        </w:rPr>
        <w:t>有關可疑交易之檢查意見，</w:t>
      </w:r>
      <w:r w:rsidRPr="0073501F">
        <w:rPr>
          <w:rFonts w:hAnsi="標楷體" w:hint="eastAsia"/>
        </w:rPr>
        <w:t>未派主管人員試圖與</w:t>
      </w:r>
      <w:r w:rsidR="008A0F8A" w:rsidRPr="0073501F">
        <w:rPr>
          <w:rFonts w:hAnsi="標楷體"/>
        </w:rPr>
        <w:t>NYDFS</w:t>
      </w:r>
      <w:r w:rsidRPr="0073501F">
        <w:rPr>
          <w:rFonts w:hAnsi="標楷體" w:hint="eastAsia"/>
        </w:rPr>
        <w:t>溝通下，即逕於</w:t>
      </w:r>
      <w:r w:rsidRPr="0073501F">
        <w:rPr>
          <w:rFonts w:hAnsi="標楷體"/>
        </w:rPr>
        <w:t>回應</w:t>
      </w:r>
      <w:r w:rsidRPr="0073501F">
        <w:rPr>
          <w:rFonts w:hAnsi="標楷體" w:hint="eastAsia"/>
        </w:rPr>
        <w:t>中辯駁防制</w:t>
      </w:r>
      <w:r w:rsidRPr="0073501F">
        <w:rPr>
          <w:rFonts w:hAnsi="標楷體"/>
          <w:szCs w:val="32"/>
        </w:rPr>
        <w:t>洗錢</w:t>
      </w:r>
      <w:r w:rsidRPr="0073501F">
        <w:rPr>
          <w:rFonts w:hAnsi="標楷體"/>
        </w:rPr>
        <w:t>法規對此類型交易</w:t>
      </w:r>
      <w:r w:rsidRPr="0073501F">
        <w:rPr>
          <w:rFonts w:hAnsi="標楷體" w:hint="eastAsia"/>
        </w:rPr>
        <w:t>並</w:t>
      </w:r>
      <w:r w:rsidRPr="0073501F">
        <w:rPr>
          <w:rFonts w:hAnsi="標楷體"/>
        </w:rPr>
        <w:t>無規範，不構成可疑交易</w:t>
      </w:r>
      <w:r w:rsidRPr="0073501F">
        <w:rPr>
          <w:rFonts w:hAnsi="標楷體" w:hint="eastAsia"/>
        </w:rPr>
        <w:t>。蔡友才董事長於105年4月1日辭職，該行由具有董事身分之吳漢卿總經理代理董事長。</w:t>
      </w:r>
      <w:bookmarkEnd w:id="29"/>
      <w:bookmarkEnd w:id="30"/>
    </w:p>
    <w:p w:rsidR="00441F49" w:rsidRPr="0073501F" w:rsidRDefault="00441F49" w:rsidP="00441F49">
      <w:pPr>
        <w:pStyle w:val="2"/>
        <w:numPr>
          <w:ilvl w:val="0"/>
          <w:numId w:val="0"/>
        </w:numPr>
        <w:ind w:left="658" w:firstLineChars="189" w:firstLine="643"/>
        <w:rPr>
          <w:rFonts w:hAnsi="標楷體"/>
        </w:rPr>
      </w:pPr>
      <w:bookmarkStart w:id="31" w:name="_Toc484177896"/>
      <w:bookmarkStart w:id="32" w:name="_Toc484593445"/>
      <w:r w:rsidRPr="0073501F">
        <w:rPr>
          <w:rFonts w:hAnsi="標楷體" w:hint="eastAsia"/>
        </w:rPr>
        <w:t>兆豐銀行於105年</w:t>
      </w:r>
      <w:r w:rsidRPr="0073501F">
        <w:rPr>
          <w:rFonts w:hAnsi="標楷體"/>
        </w:rPr>
        <w:t>5</w:t>
      </w:r>
      <w:r w:rsidRPr="0073501F">
        <w:rPr>
          <w:rFonts w:hAnsi="標楷體" w:hint="eastAsia"/>
        </w:rPr>
        <w:t>月</w:t>
      </w:r>
      <w:r w:rsidRPr="0073501F">
        <w:rPr>
          <w:rFonts w:hAnsi="標楷體"/>
        </w:rPr>
        <w:t>18</w:t>
      </w:r>
      <w:r w:rsidRPr="0073501F">
        <w:rPr>
          <w:rFonts w:hAnsi="標楷體" w:hint="eastAsia"/>
        </w:rPr>
        <w:t>日將本案金檢報告暨改善情形函報金管會，嗣於同年7月</w:t>
      </w:r>
      <w:r w:rsidRPr="0073501F">
        <w:rPr>
          <w:rFonts w:hAnsi="標楷體"/>
          <w:szCs w:val="32"/>
        </w:rPr>
        <w:t>26日</w:t>
      </w:r>
      <w:r w:rsidRPr="0073501F">
        <w:rPr>
          <w:rFonts w:hAnsi="標楷體" w:hint="eastAsia"/>
          <w:szCs w:val="32"/>
        </w:rPr>
        <w:t>前往金管</w:t>
      </w:r>
      <w:r w:rsidRPr="0073501F">
        <w:rPr>
          <w:rFonts w:hAnsi="標楷體" w:hint="eastAsia"/>
        </w:rPr>
        <w:t>會</w:t>
      </w:r>
      <w:r w:rsidRPr="0073501F">
        <w:rPr>
          <w:rFonts w:hAnsi="標楷體"/>
          <w:szCs w:val="32"/>
        </w:rPr>
        <w:t>說明</w:t>
      </w:r>
      <w:r w:rsidRPr="0073501F">
        <w:rPr>
          <w:rFonts w:hAnsi="標楷體" w:hint="eastAsia"/>
          <w:szCs w:val="32"/>
        </w:rPr>
        <w:t>本案</w:t>
      </w:r>
      <w:r w:rsidRPr="0073501F">
        <w:rPr>
          <w:rFonts w:hAnsi="標楷體"/>
          <w:szCs w:val="32"/>
        </w:rPr>
        <w:t>改善情形</w:t>
      </w:r>
      <w:r w:rsidRPr="0073501F">
        <w:rPr>
          <w:rFonts w:hAnsi="標楷體" w:hint="eastAsia"/>
          <w:szCs w:val="32"/>
        </w:rPr>
        <w:t>，</w:t>
      </w:r>
      <w:r w:rsidRPr="0073501F">
        <w:rPr>
          <w:rFonts w:hAnsi="標楷體"/>
          <w:szCs w:val="32"/>
        </w:rPr>
        <w:t>該行表示</w:t>
      </w:r>
      <w:r w:rsidR="008A0F8A" w:rsidRPr="0073501F">
        <w:rPr>
          <w:rFonts w:hAnsi="標楷體"/>
          <w:szCs w:val="32"/>
        </w:rPr>
        <w:t>NYDFS</w:t>
      </w:r>
      <w:r w:rsidRPr="0073501F">
        <w:rPr>
          <w:rFonts w:hAnsi="標楷體"/>
          <w:szCs w:val="32"/>
        </w:rPr>
        <w:t>及紐約聯邦準備銀行預定於</w:t>
      </w:r>
      <w:r w:rsidRPr="0073501F">
        <w:rPr>
          <w:rFonts w:hAnsi="標楷體" w:hint="eastAsia"/>
          <w:szCs w:val="32"/>
        </w:rPr>
        <w:t>同</w:t>
      </w:r>
      <w:r w:rsidRPr="0073501F">
        <w:rPr>
          <w:rFonts w:hAnsi="標楷體"/>
          <w:szCs w:val="32"/>
        </w:rPr>
        <w:t>年8月22日赴紐約分行辦理聯合複查。</w:t>
      </w:r>
      <w:r w:rsidRPr="0073501F">
        <w:rPr>
          <w:rFonts w:hAnsi="標楷體" w:hint="eastAsia"/>
          <w:szCs w:val="32"/>
        </w:rPr>
        <w:t>惟</w:t>
      </w:r>
      <w:r w:rsidR="008A0F8A" w:rsidRPr="0073501F">
        <w:rPr>
          <w:rFonts w:hAnsi="標楷體"/>
        </w:rPr>
        <w:t>NYDFS</w:t>
      </w:r>
      <w:r w:rsidRPr="0073501F">
        <w:rPr>
          <w:rFonts w:hAnsi="標楷體" w:hint="eastAsia"/>
        </w:rPr>
        <w:t>於105年</w:t>
      </w:r>
      <w:r w:rsidRPr="0073501F">
        <w:rPr>
          <w:rFonts w:hAnsi="標楷體"/>
        </w:rPr>
        <w:t>7</w:t>
      </w:r>
      <w:r w:rsidRPr="0073501F">
        <w:rPr>
          <w:rFonts w:hAnsi="標楷體" w:hint="eastAsia"/>
        </w:rPr>
        <w:t>月</w:t>
      </w:r>
      <w:r w:rsidRPr="0073501F">
        <w:rPr>
          <w:rFonts w:hAnsi="標楷體"/>
        </w:rPr>
        <w:t>29</w:t>
      </w:r>
      <w:r w:rsidRPr="0073501F">
        <w:rPr>
          <w:rFonts w:hAnsi="標楷體" w:hint="eastAsia"/>
        </w:rPr>
        <w:t>日突然告知紐約分行，擬核處該行鉅額罰款，兆豐銀行乃分別於同</w:t>
      </w:r>
      <w:r w:rsidRPr="0073501F">
        <w:rPr>
          <w:rFonts w:hAnsi="標楷體" w:hint="eastAsia"/>
          <w:szCs w:val="32"/>
        </w:rPr>
        <w:t>年</w:t>
      </w:r>
      <w:r w:rsidRPr="0073501F">
        <w:rPr>
          <w:rFonts w:hAnsi="標楷體"/>
          <w:szCs w:val="32"/>
        </w:rPr>
        <w:t>8</w:t>
      </w:r>
      <w:r w:rsidRPr="0073501F">
        <w:rPr>
          <w:rFonts w:hAnsi="標楷體" w:hint="eastAsia"/>
          <w:szCs w:val="32"/>
        </w:rPr>
        <w:t>月</w:t>
      </w:r>
      <w:r w:rsidRPr="0073501F">
        <w:rPr>
          <w:rFonts w:hAnsi="標楷體"/>
          <w:szCs w:val="32"/>
        </w:rPr>
        <w:t>1</w:t>
      </w:r>
      <w:r w:rsidRPr="0073501F">
        <w:rPr>
          <w:rFonts w:hAnsi="標楷體" w:hint="eastAsia"/>
          <w:szCs w:val="32"/>
        </w:rPr>
        <w:t>日及</w:t>
      </w:r>
      <w:r w:rsidRPr="0073501F">
        <w:rPr>
          <w:rFonts w:hAnsi="標楷體"/>
          <w:szCs w:val="32"/>
        </w:rPr>
        <w:t>8</w:t>
      </w:r>
      <w:r w:rsidRPr="0073501F">
        <w:rPr>
          <w:rFonts w:hAnsi="標楷體" w:hint="eastAsia"/>
          <w:szCs w:val="32"/>
        </w:rPr>
        <w:t>月</w:t>
      </w:r>
      <w:r w:rsidRPr="0073501F">
        <w:rPr>
          <w:rFonts w:hAnsi="標楷體"/>
          <w:szCs w:val="32"/>
        </w:rPr>
        <w:t>4</w:t>
      </w:r>
      <w:r w:rsidRPr="0073501F">
        <w:rPr>
          <w:rFonts w:hAnsi="標楷體" w:hint="eastAsia"/>
          <w:szCs w:val="32"/>
        </w:rPr>
        <w:t>日向金管會及財政部報告</w:t>
      </w:r>
      <w:r w:rsidR="008A0F8A" w:rsidRPr="0073501F">
        <w:rPr>
          <w:rFonts w:hAnsi="標楷體"/>
          <w:szCs w:val="32"/>
        </w:rPr>
        <w:t>NYDFS</w:t>
      </w:r>
      <w:r w:rsidRPr="0073501F">
        <w:rPr>
          <w:rFonts w:hAnsi="標楷體" w:hint="eastAsia"/>
          <w:szCs w:val="32"/>
        </w:rPr>
        <w:t>即將裁罰該行，中央銀行亦依金管會之請求提供適時之協助</w:t>
      </w:r>
      <w:r w:rsidRPr="0073501F">
        <w:rPr>
          <w:rFonts w:hAnsi="標楷體"/>
          <w:szCs w:val="32"/>
        </w:rPr>
        <w:t>。</w:t>
      </w:r>
      <w:r w:rsidRPr="0073501F">
        <w:rPr>
          <w:rFonts w:hAnsi="標楷體" w:hint="eastAsia"/>
          <w:szCs w:val="32"/>
        </w:rPr>
        <w:t>105年</w:t>
      </w:r>
      <w:r w:rsidRPr="0073501F">
        <w:rPr>
          <w:rFonts w:hAnsi="標楷體"/>
          <w:szCs w:val="32"/>
        </w:rPr>
        <w:t>8</w:t>
      </w:r>
      <w:r w:rsidRPr="0073501F">
        <w:rPr>
          <w:rFonts w:hAnsi="標楷體" w:hint="eastAsia"/>
          <w:szCs w:val="32"/>
        </w:rPr>
        <w:t>月16日徐光曦接任兆豐銀行董事長，該行於105年</w:t>
      </w:r>
      <w:r w:rsidRPr="0073501F">
        <w:rPr>
          <w:rFonts w:hAnsi="標楷體"/>
          <w:szCs w:val="32"/>
        </w:rPr>
        <w:t>8</w:t>
      </w:r>
      <w:r w:rsidRPr="0073501F">
        <w:rPr>
          <w:rFonts w:hAnsi="標楷體" w:hint="eastAsia"/>
          <w:szCs w:val="32"/>
        </w:rPr>
        <w:t>月</w:t>
      </w:r>
      <w:r w:rsidRPr="0073501F">
        <w:rPr>
          <w:rFonts w:hAnsi="標楷體"/>
          <w:szCs w:val="32"/>
        </w:rPr>
        <w:t>19</w:t>
      </w:r>
      <w:r w:rsidRPr="0073501F">
        <w:rPr>
          <w:rFonts w:hAnsi="標楷體" w:hint="eastAsia"/>
          <w:szCs w:val="32"/>
        </w:rPr>
        <w:t>日簽署合意處分</w:t>
      </w:r>
      <w:r w:rsidRPr="0073501F">
        <w:rPr>
          <w:rFonts w:hAnsi="標楷體" w:hint="eastAsia"/>
        </w:rPr>
        <w:t>令</w:t>
      </w:r>
      <w:r w:rsidRPr="0073501F">
        <w:rPr>
          <w:rStyle w:val="afc"/>
          <w:rFonts w:hAnsi="標楷體"/>
        </w:rPr>
        <w:footnoteReference w:id="4"/>
      </w:r>
      <w:r w:rsidRPr="0073501F">
        <w:rPr>
          <w:rFonts w:hAnsi="標楷體" w:hint="eastAsia"/>
        </w:rPr>
        <w:t>，</w:t>
      </w:r>
      <w:r w:rsidR="008A0F8A" w:rsidRPr="0073501F">
        <w:rPr>
          <w:rFonts w:hAnsi="標楷體"/>
        </w:rPr>
        <w:t>NYDFS</w:t>
      </w:r>
      <w:r w:rsidRPr="0073501F">
        <w:rPr>
          <w:rFonts w:hAnsi="標楷體" w:hint="eastAsia"/>
        </w:rPr>
        <w:t>核處兆豐銀行</w:t>
      </w:r>
      <w:r w:rsidRPr="0073501F">
        <w:rPr>
          <w:rFonts w:hAnsi="標楷體"/>
        </w:rPr>
        <w:t>1</w:t>
      </w:r>
      <w:r w:rsidRPr="0073501F">
        <w:rPr>
          <w:rFonts w:hAnsi="標楷體" w:hint="eastAsia"/>
        </w:rPr>
        <w:t>億</w:t>
      </w:r>
      <w:r w:rsidRPr="0073501F">
        <w:rPr>
          <w:rFonts w:hAnsi="標楷體"/>
        </w:rPr>
        <w:t>8</w:t>
      </w:r>
      <w:r w:rsidRPr="0073501F">
        <w:rPr>
          <w:rFonts w:hAnsi="標楷體" w:hint="eastAsia"/>
        </w:rPr>
        <w:t>千萬美元之罰款，並於</w:t>
      </w:r>
      <w:r w:rsidR="008A0F8A" w:rsidRPr="0073501F">
        <w:rPr>
          <w:rFonts w:hAnsi="標楷體"/>
        </w:rPr>
        <w:t>NYDFS</w:t>
      </w:r>
      <w:r w:rsidRPr="0073501F">
        <w:rPr>
          <w:rFonts w:hAnsi="標楷體" w:hint="eastAsia"/>
        </w:rPr>
        <w:t>網站公布合意處分令，嚴重損及兆豐銀行聲譽，引起社會輿情高度關注並強烈質疑本案</w:t>
      </w:r>
      <w:r w:rsidRPr="0073501F">
        <w:rPr>
          <w:rFonts w:hAnsi="標楷體" w:hint="eastAsia"/>
          <w:szCs w:val="32"/>
        </w:rPr>
        <w:t>涉及洗錢</w:t>
      </w:r>
      <w:r w:rsidRPr="0073501F">
        <w:rPr>
          <w:rFonts w:hAnsi="標楷體" w:hint="eastAsia"/>
        </w:rPr>
        <w:t>。</w:t>
      </w:r>
      <w:bookmarkEnd w:id="31"/>
      <w:bookmarkEnd w:id="32"/>
    </w:p>
    <w:p w:rsidR="00441F49" w:rsidRPr="0073501F" w:rsidRDefault="00441F49" w:rsidP="00441F49">
      <w:pPr>
        <w:pStyle w:val="2"/>
        <w:numPr>
          <w:ilvl w:val="0"/>
          <w:numId w:val="0"/>
        </w:numPr>
        <w:ind w:left="658" w:firstLineChars="189" w:firstLine="643"/>
        <w:rPr>
          <w:rFonts w:hAnsi="標楷體"/>
          <w:szCs w:val="32"/>
        </w:rPr>
      </w:pPr>
      <w:bookmarkStart w:id="33" w:name="_Toc484177897"/>
      <w:bookmarkStart w:id="34" w:name="_Toc484593446"/>
      <w:r w:rsidRPr="0073501F">
        <w:rPr>
          <w:rFonts w:hAnsi="標楷體" w:hint="eastAsia"/>
        </w:rPr>
        <w:t>依本案合意處分令之要旨，</w:t>
      </w:r>
      <w:r w:rsidR="008A0F8A" w:rsidRPr="0073501F">
        <w:rPr>
          <w:rFonts w:hAnsi="標楷體" w:hint="eastAsia"/>
        </w:rPr>
        <w:t>NYDFS</w:t>
      </w:r>
      <w:r w:rsidRPr="0073501F">
        <w:rPr>
          <w:rFonts w:hAnsi="標楷體" w:hint="eastAsia"/>
        </w:rPr>
        <w:t>認定兆豐銀行紐約分行之內控不佳、與巴拿馬地區分行往來涉及可疑活動、未能執行充分的</w:t>
      </w:r>
      <w:r w:rsidRPr="0073501F">
        <w:rPr>
          <w:rFonts w:hAnsi="標楷體"/>
        </w:rPr>
        <w:t>客戶</w:t>
      </w:r>
      <w:r w:rsidRPr="0073501F">
        <w:rPr>
          <w:rFonts w:hAnsi="標楷體" w:hint="eastAsia"/>
        </w:rPr>
        <w:t>盡職調</w:t>
      </w:r>
      <w:r w:rsidRPr="0073501F">
        <w:rPr>
          <w:rFonts w:hAnsi="標楷體"/>
        </w:rPr>
        <w:t>查</w:t>
      </w:r>
      <w:r w:rsidRPr="0073501F">
        <w:rPr>
          <w:rFonts w:hAnsi="標楷體" w:hint="eastAsia"/>
        </w:rPr>
        <w:t>、不充分的</w:t>
      </w:r>
      <w:r w:rsidRPr="0073501F">
        <w:rPr>
          <w:rFonts w:hAnsi="標楷體"/>
        </w:rPr>
        <w:t>風險評估政策</w:t>
      </w:r>
      <w:r w:rsidRPr="0073501F">
        <w:rPr>
          <w:rFonts w:hAnsi="標楷體" w:hint="eastAsia"/>
        </w:rPr>
        <w:t>和程序、輕蔑回應</w:t>
      </w:r>
      <w:r w:rsidR="008A0F8A" w:rsidRPr="0073501F">
        <w:rPr>
          <w:rFonts w:hAnsi="標楷體"/>
        </w:rPr>
        <w:t>NYDFS</w:t>
      </w:r>
      <w:r w:rsidRPr="0073501F">
        <w:rPr>
          <w:rFonts w:hAnsi="標楷體" w:hint="eastAsia"/>
        </w:rPr>
        <w:t>金融</w:t>
      </w:r>
      <w:r w:rsidRPr="0073501F">
        <w:rPr>
          <w:rFonts w:hAnsi="標楷體"/>
        </w:rPr>
        <w:t>檢查</w:t>
      </w:r>
      <w:r w:rsidRPr="0073501F">
        <w:rPr>
          <w:rFonts w:hAnsi="標楷體" w:hint="eastAsia"/>
        </w:rPr>
        <w:t>，</w:t>
      </w:r>
      <w:r w:rsidRPr="0073501F">
        <w:rPr>
          <w:rFonts w:hAnsi="標楷體"/>
        </w:rPr>
        <w:t>總行</w:t>
      </w:r>
      <w:r w:rsidRPr="0073501F">
        <w:rPr>
          <w:rFonts w:hAnsi="標楷體" w:hint="eastAsia"/>
        </w:rPr>
        <w:t>復缺乏盡職</w:t>
      </w:r>
      <w:r w:rsidRPr="0073501F">
        <w:rPr>
          <w:rFonts w:hAnsi="標楷體"/>
        </w:rPr>
        <w:t>監督</w:t>
      </w:r>
      <w:r w:rsidRPr="0073501F">
        <w:rPr>
          <w:rFonts w:hAnsi="標楷體" w:hint="eastAsia"/>
        </w:rPr>
        <w:t>。因紐約分行之法令遵循嚴重失靈且管理資訊系統亦亟待改善等，爰</w:t>
      </w:r>
      <w:r w:rsidR="008A0F8A" w:rsidRPr="0073501F">
        <w:rPr>
          <w:rFonts w:hAnsi="標楷體" w:hint="eastAsia"/>
        </w:rPr>
        <w:t>NYDFS</w:t>
      </w:r>
      <w:r w:rsidRPr="0073501F">
        <w:rPr>
          <w:rFonts w:hAnsi="標楷體" w:hint="eastAsia"/>
        </w:rPr>
        <w:t>要求該行應立即聘請法令遵循顧問，以補強紐約分行之法令遵循職能，並聘請獨立監督人，對紐約分行之法令遵循情形進行全面審查。</w:t>
      </w:r>
      <w:bookmarkEnd w:id="33"/>
      <w:bookmarkEnd w:id="34"/>
    </w:p>
    <w:p w:rsidR="00441F49" w:rsidRPr="0073501F" w:rsidRDefault="00441F49" w:rsidP="00441F49">
      <w:pPr>
        <w:pStyle w:val="2"/>
        <w:numPr>
          <w:ilvl w:val="0"/>
          <w:numId w:val="0"/>
        </w:numPr>
        <w:ind w:left="658" w:firstLineChars="189" w:firstLine="643"/>
        <w:rPr>
          <w:rFonts w:hAnsi="標楷體"/>
          <w:szCs w:val="32"/>
        </w:rPr>
      </w:pPr>
      <w:bookmarkStart w:id="35" w:name="_Toc484177898"/>
      <w:bookmarkStart w:id="36" w:name="_Toc484593447"/>
      <w:r w:rsidRPr="0073501F">
        <w:rPr>
          <w:rFonts w:hAnsi="標楷體" w:hint="eastAsia"/>
        </w:rPr>
        <w:lastRenderedPageBreak/>
        <w:t>行政院於105年8月21</w:t>
      </w:r>
      <w:r w:rsidRPr="0073501F">
        <w:rPr>
          <w:rFonts w:hAnsi="標楷體" w:hint="eastAsia"/>
          <w:szCs w:val="32"/>
        </w:rPr>
        <w:t>日指示成立跨部會專案小組，次日由金管會、財政部、法務部及中央銀行組成「兆豐銀行遭美裁罰案跨部會因應專案小組」，啟動行政調查程序釐清事實；行政院於105年8月30日再成立督導小組，由該院副院長林錫耀主持，並督導金管會和法務部調查進度和事實。</w:t>
      </w:r>
      <w:bookmarkEnd w:id="35"/>
      <w:bookmarkEnd w:id="36"/>
    </w:p>
    <w:p w:rsidR="00441F49" w:rsidRPr="0073501F" w:rsidRDefault="00441F49" w:rsidP="00441F49">
      <w:pPr>
        <w:pStyle w:val="2"/>
        <w:numPr>
          <w:ilvl w:val="0"/>
          <w:numId w:val="0"/>
        </w:numPr>
        <w:ind w:left="658" w:firstLineChars="189" w:firstLine="643"/>
        <w:rPr>
          <w:rFonts w:hAnsi="標楷體"/>
          <w:szCs w:val="32"/>
        </w:rPr>
      </w:pPr>
      <w:bookmarkStart w:id="37" w:name="_Toc484177899"/>
      <w:bookmarkStart w:id="38" w:name="_Toc484593448"/>
      <w:r w:rsidRPr="0073501F">
        <w:rPr>
          <w:rFonts w:hAnsi="標楷體" w:cs="標楷體" w:hint="eastAsia"/>
          <w:kern w:val="0"/>
          <w:szCs w:val="32"/>
        </w:rPr>
        <w:t>徐光曦董事長</w:t>
      </w:r>
      <w:r w:rsidRPr="0073501F">
        <w:rPr>
          <w:rFonts w:hAnsi="標楷體" w:hint="eastAsia"/>
          <w:szCs w:val="32"/>
        </w:rPr>
        <w:t>105年8月28日二度前往美國，惟因部分</w:t>
      </w:r>
      <w:r w:rsidRPr="0073501F">
        <w:rPr>
          <w:rFonts w:hAnsi="標楷體"/>
          <w:szCs w:val="32"/>
        </w:rPr>
        <w:t>媒體</w:t>
      </w:r>
      <w:r w:rsidRPr="0073501F">
        <w:rPr>
          <w:rFonts w:hAnsi="標楷體" w:hint="eastAsia"/>
          <w:szCs w:val="32"/>
        </w:rPr>
        <w:t>出現</w:t>
      </w:r>
      <w:r w:rsidRPr="0073501F">
        <w:rPr>
          <w:rFonts w:hAnsi="標楷體"/>
          <w:szCs w:val="32"/>
        </w:rPr>
        <w:t>「徐光曦查徐光曦」</w:t>
      </w:r>
      <w:r w:rsidRPr="0073501F">
        <w:rPr>
          <w:rFonts w:hAnsi="標楷體" w:hint="eastAsia"/>
          <w:szCs w:val="32"/>
        </w:rPr>
        <w:t>等</w:t>
      </w:r>
      <w:r w:rsidRPr="0073501F">
        <w:rPr>
          <w:rFonts w:hAnsi="標楷體"/>
          <w:szCs w:val="32"/>
        </w:rPr>
        <w:t>指控</w:t>
      </w:r>
      <w:r w:rsidRPr="0073501F">
        <w:rPr>
          <w:rFonts w:hAnsi="標楷體" w:hint="eastAsia"/>
          <w:szCs w:val="32"/>
        </w:rPr>
        <w:t>，</w:t>
      </w:r>
      <w:r w:rsidRPr="0073501F">
        <w:rPr>
          <w:rFonts w:hAnsi="標楷體" w:cs="標楷體" w:hint="eastAsia"/>
          <w:kern w:val="0"/>
          <w:szCs w:val="32"/>
        </w:rPr>
        <w:t>徐光曦</w:t>
      </w:r>
      <w:r w:rsidRPr="0073501F">
        <w:rPr>
          <w:rFonts w:hAnsi="標楷體" w:hint="eastAsia"/>
          <w:szCs w:val="32"/>
        </w:rPr>
        <w:t>董事長認為其</w:t>
      </w:r>
      <w:r w:rsidRPr="0073501F">
        <w:rPr>
          <w:rFonts w:hAnsi="標楷體"/>
          <w:szCs w:val="32"/>
        </w:rPr>
        <w:t>已難取信國人，無助問題的澄清</w:t>
      </w:r>
      <w:r w:rsidRPr="0073501F">
        <w:rPr>
          <w:rFonts w:hAnsi="標楷體" w:hint="eastAsia"/>
          <w:szCs w:val="32"/>
        </w:rPr>
        <w:t>，乃於同年月31日決定</w:t>
      </w:r>
      <w:r w:rsidRPr="0073501F">
        <w:rPr>
          <w:rFonts w:hAnsi="標楷體"/>
        </w:rPr>
        <w:t>跨海請辭</w:t>
      </w:r>
      <w:r w:rsidRPr="0073501F">
        <w:rPr>
          <w:rFonts w:hAnsi="標楷體" w:hint="eastAsia"/>
          <w:szCs w:val="32"/>
        </w:rPr>
        <w:t>兆豐銀行</w:t>
      </w:r>
      <w:r w:rsidRPr="0073501F">
        <w:rPr>
          <w:rFonts w:hAnsi="標楷體"/>
          <w:szCs w:val="32"/>
        </w:rPr>
        <w:t>所有職務，</w:t>
      </w:r>
      <w:r w:rsidRPr="0073501F">
        <w:rPr>
          <w:rFonts w:hAnsi="標楷體" w:hint="eastAsia"/>
          <w:szCs w:val="32"/>
        </w:rPr>
        <w:t>並</w:t>
      </w:r>
      <w:r w:rsidRPr="0073501F">
        <w:rPr>
          <w:rFonts w:hAnsi="標楷體"/>
          <w:szCs w:val="32"/>
        </w:rPr>
        <w:t>取消</w:t>
      </w:r>
      <w:r w:rsidRPr="0073501F">
        <w:rPr>
          <w:rFonts w:hAnsi="標楷體" w:hint="eastAsia"/>
          <w:szCs w:val="32"/>
        </w:rPr>
        <w:t>在美國</w:t>
      </w:r>
      <w:r w:rsidRPr="0073501F">
        <w:rPr>
          <w:rFonts w:hAnsi="標楷體"/>
          <w:szCs w:val="32"/>
        </w:rPr>
        <w:t>最後一站舊金山行程</w:t>
      </w:r>
      <w:r w:rsidRPr="0073501F">
        <w:rPr>
          <w:rFonts w:hAnsi="標楷體" w:hint="eastAsia"/>
          <w:szCs w:val="32"/>
        </w:rPr>
        <w:t>，</w:t>
      </w:r>
      <w:r w:rsidRPr="0073501F">
        <w:rPr>
          <w:rFonts w:hAnsi="標楷體"/>
          <w:szCs w:val="32"/>
        </w:rPr>
        <w:t>即刻返國面對調查，以杜爭議</w:t>
      </w:r>
      <w:r w:rsidRPr="0073501F">
        <w:rPr>
          <w:rFonts w:hAnsi="標楷體" w:hint="eastAsia"/>
          <w:szCs w:val="32"/>
        </w:rPr>
        <w:t>。其後，兆豐銀行董事長於</w:t>
      </w:r>
      <w:r w:rsidRPr="0073501F">
        <w:rPr>
          <w:rFonts w:hAnsi="標楷體" w:cs="標楷體" w:hint="eastAsia"/>
          <w:kern w:val="0"/>
          <w:szCs w:val="32"/>
        </w:rPr>
        <w:t>105年9月2日由張兆順接任</w:t>
      </w:r>
      <w:r w:rsidRPr="0073501F">
        <w:rPr>
          <w:rFonts w:hAnsi="標楷體" w:hint="eastAsia"/>
          <w:szCs w:val="32"/>
        </w:rPr>
        <w:t>。</w:t>
      </w:r>
      <w:bookmarkEnd w:id="37"/>
      <w:bookmarkEnd w:id="38"/>
    </w:p>
    <w:p w:rsidR="00441F49" w:rsidRPr="0073501F" w:rsidRDefault="00441F49" w:rsidP="00441F49">
      <w:pPr>
        <w:pStyle w:val="2"/>
        <w:numPr>
          <w:ilvl w:val="0"/>
          <w:numId w:val="0"/>
        </w:numPr>
        <w:ind w:left="658" w:firstLineChars="189" w:firstLine="643"/>
        <w:rPr>
          <w:rFonts w:hAnsi="標楷體"/>
          <w:szCs w:val="32"/>
        </w:rPr>
      </w:pPr>
      <w:bookmarkStart w:id="39" w:name="_Toc484177900"/>
      <w:bookmarkStart w:id="40" w:name="_Toc484593449"/>
      <w:r w:rsidRPr="0073501F">
        <w:rPr>
          <w:rFonts w:hAnsi="標楷體" w:hint="eastAsia"/>
          <w:szCs w:val="32"/>
        </w:rPr>
        <w:t>金管會於105年9月14日核處兆豐銀行新臺幣</w:t>
      </w:r>
      <w:r w:rsidR="0026672D" w:rsidRPr="0026672D">
        <w:rPr>
          <w:rFonts w:hAnsi="標楷體" w:hint="eastAsia"/>
          <w:szCs w:val="32"/>
        </w:rPr>
        <w:t>(以下未註記幣別者同)</w:t>
      </w:r>
      <w:r w:rsidRPr="0073501F">
        <w:rPr>
          <w:rFonts w:hAnsi="標楷體" w:hint="eastAsia"/>
          <w:szCs w:val="32"/>
        </w:rPr>
        <w:t>1,000萬元罰鍰，暫停該行申請增設海外分支機構至本案缺失完成改善為止，同時解除6名重要幹部的職務</w:t>
      </w:r>
      <w:r w:rsidRPr="0073501F">
        <w:rPr>
          <w:rStyle w:val="afc"/>
          <w:rFonts w:hAnsi="標楷體"/>
          <w:szCs w:val="32"/>
        </w:rPr>
        <w:footnoteReference w:id="5"/>
      </w:r>
      <w:r w:rsidRPr="0073501F">
        <w:rPr>
          <w:rFonts w:hAnsi="標楷體" w:hint="eastAsia"/>
          <w:szCs w:val="32"/>
        </w:rPr>
        <w:t>。財政部於105年9月19日註銷兆豐銀行前董事長蔡友才一等財政獎章，並一併追繳獎章及證書。兆豐銀行105年9月23日之董事會決議，向前董事長蔡友才、總經理吳漢卿求償57.1億元。</w:t>
      </w:r>
      <w:bookmarkEnd w:id="39"/>
      <w:bookmarkEnd w:id="40"/>
    </w:p>
    <w:p w:rsidR="00441F49" w:rsidRPr="0073501F" w:rsidRDefault="00441F49" w:rsidP="00441F49">
      <w:pPr>
        <w:pStyle w:val="2"/>
        <w:numPr>
          <w:ilvl w:val="0"/>
          <w:numId w:val="0"/>
        </w:numPr>
        <w:ind w:left="658" w:firstLineChars="189" w:firstLine="643"/>
        <w:rPr>
          <w:rFonts w:hAnsi="標楷體"/>
          <w:szCs w:val="32"/>
        </w:rPr>
      </w:pPr>
      <w:bookmarkStart w:id="41" w:name="_Toc484177901"/>
      <w:bookmarkStart w:id="42" w:name="_Toc484593450"/>
      <w:r w:rsidRPr="0073501F">
        <w:rPr>
          <w:rFonts w:hAnsi="標楷體"/>
        </w:rPr>
        <w:t>行政院發言人徐國勇</w:t>
      </w:r>
      <w:r w:rsidRPr="0073501F">
        <w:rPr>
          <w:rFonts w:hAnsi="標楷體" w:hint="eastAsia"/>
        </w:rPr>
        <w:t>105年10月3日</w:t>
      </w:r>
      <w:r w:rsidRPr="0073501F">
        <w:rPr>
          <w:rFonts w:hAnsi="標楷體"/>
        </w:rPr>
        <w:t>召開記者會，宣布金管會主</w:t>
      </w:r>
      <w:r w:rsidRPr="0073501F">
        <w:rPr>
          <w:rFonts w:hAnsi="標楷體" w:hint="eastAsia"/>
        </w:rPr>
        <w:t>任委員</w:t>
      </w:r>
      <w:r w:rsidRPr="0073501F">
        <w:rPr>
          <w:rFonts w:hAnsi="標楷體"/>
        </w:rPr>
        <w:t>丁克華</w:t>
      </w:r>
      <w:r w:rsidRPr="0073501F">
        <w:rPr>
          <w:rFonts w:hAnsi="標楷體" w:hint="eastAsia"/>
        </w:rPr>
        <w:t>、</w:t>
      </w:r>
      <w:r w:rsidRPr="0073501F">
        <w:rPr>
          <w:rFonts w:hAnsi="標楷體"/>
        </w:rPr>
        <w:t>副主</w:t>
      </w:r>
      <w:r w:rsidRPr="0073501F">
        <w:rPr>
          <w:rFonts w:hAnsi="標楷體" w:hint="eastAsia"/>
        </w:rPr>
        <w:t>任</w:t>
      </w:r>
      <w:r w:rsidRPr="0073501F">
        <w:rPr>
          <w:rFonts w:hAnsi="標楷體"/>
        </w:rPr>
        <w:t>委</w:t>
      </w:r>
      <w:r w:rsidRPr="0073501F">
        <w:rPr>
          <w:rFonts w:hAnsi="標楷體" w:hint="eastAsia"/>
        </w:rPr>
        <w:t>員</w:t>
      </w:r>
      <w:r w:rsidRPr="0073501F">
        <w:rPr>
          <w:rFonts w:hAnsi="標楷體"/>
        </w:rPr>
        <w:t>桂先農</w:t>
      </w:r>
      <w:r w:rsidRPr="0073501F">
        <w:rPr>
          <w:rFonts w:hAnsi="標楷體" w:hint="eastAsia"/>
        </w:rPr>
        <w:t>請辭。</w:t>
      </w:r>
      <w:r w:rsidRPr="0073501F">
        <w:rPr>
          <w:rFonts w:hAnsi="標楷體" w:hint="eastAsia"/>
          <w:szCs w:val="32"/>
        </w:rPr>
        <w:t>行政院嗣於105年10月7日完成「兆豐銀行遭美裁罰案相關部會督管責任查核報告」並將該報告函送本院。</w:t>
      </w:r>
      <w:bookmarkEnd w:id="41"/>
      <w:bookmarkEnd w:id="42"/>
    </w:p>
    <w:p w:rsidR="00441F49" w:rsidRPr="0073501F" w:rsidRDefault="00441F49" w:rsidP="00441F49">
      <w:pPr>
        <w:pStyle w:val="2"/>
        <w:numPr>
          <w:ilvl w:val="0"/>
          <w:numId w:val="0"/>
        </w:numPr>
        <w:ind w:left="658" w:firstLineChars="189" w:firstLine="643"/>
        <w:rPr>
          <w:rFonts w:hAnsi="標楷體"/>
        </w:rPr>
      </w:pPr>
      <w:bookmarkStart w:id="43" w:name="_Toc484177902"/>
      <w:bookmarkStart w:id="44" w:name="_Toc484593451"/>
      <w:r w:rsidRPr="0073501F">
        <w:rPr>
          <w:rFonts w:hAnsi="標楷體" w:hint="eastAsia"/>
        </w:rPr>
        <w:t>本案經調閱行政院、金管會、財政部、中央銀行、銓敘部、法務部、臺灣</w:t>
      </w:r>
      <w:r w:rsidR="0026672D">
        <w:rPr>
          <w:rFonts w:hAnsi="標楷體" w:hint="eastAsia"/>
        </w:rPr>
        <w:t>臺</w:t>
      </w:r>
      <w:r w:rsidRPr="0073501F">
        <w:rPr>
          <w:rFonts w:hAnsi="標楷體" w:hint="eastAsia"/>
        </w:rPr>
        <w:t>北地方法院、臺灣</w:t>
      </w:r>
      <w:r w:rsidR="0026672D">
        <w:rPr>
          <w:rFonts w:hAnsi="標楷體" w:hint="eastAsia"/>
        </w:rPr>
        <w:t>臺</w:t>
      </w:r>
      <w:r w:rsidRPr="0073501F">
        <w:rPr>
          <w:rFonts w:hAnsi="標楷體" w:hint="eastAsia"/>
        </w:rPr>
        <w:t>北地方法院</w:t>
      </w:r>
      <w:r w:rsidRPr="0073501F">
        <w:rPr>
          <w:rFonts w:hAnsi="標楷體" w:hint="eastAsia"/>
        </w:rPr>
        <w:lastRenderedPageBreak/>
        <w:t>檢察署（下稱臺北地檢署）等相關卷證資料，並於105年11月23日起，分別詢問金管會、財政部、兆豐銀行等相關人員共計2</w:t>
      </w:r>
      <w:r w:rsidR="00B975F2" w:rsidRPr="0073501F">
        <w:rPr>
          <w:rFonts w:hAnsi="標楷體" w:hint="eastAsia"/>
        </w:rPr>
        <w:t>5</w:t>
      </w:r>
      <w:r w:rsidRPr="0073501F">
        <w:rPr>
          <w:rFonts w:hAnsi="標楷體" w:hint="eastAsia"/>
        </w:rPr>
        <w:t>場、5</w:t>
      </w:r>
      <w:r w:rsidR="00B975F2" w:rsidRPr="0073501F">
        <w:rPr>
          <w:rFonts w:hAnsi="標楷體" w:hint="eastAsia"/>
        </w:rPr>
        <w:t>4</w:t>
      </w:r>
      <w:r w:rsidRPr="0073501F">
        <w:rPr>
          <w:rFonts w:hAnsi="標楷體" w:hint="eastAsia"/>
        </w:rPr>
        <w:t>人次，並於106年6月17至19日間詢問銓敘部、財政部暨兆豐銀行、法務部、金管會、行政院等相關主管人員，茲參酌該等機關復函及詢問書面說明及會後補充說明等相關卷證資料，業已調查完畢。</w:t>
      </w:r>
      <w:r w:rsidRPr="0073501F">
        <w:rPr>
          <w:rFonts w:hAnsi="標楷體" w:hint="eastAsia"/>
          <w:szCs w:val="32"/>
        </w:rPr>
        <w:t>依銓敘部及財政部之說明，本案政府核派擔任兆豐金融控股股份有限公司（下稱兆豐金控）之董事長及總經理，尚無公務員服務法之適用；至本案是否涉及洗錢案件，係屬刑事偵查範圍，非屬本院職權</w:t>
      </w:r>
      <w:r w:rsidRPr="0073501F">
        <w:rPr>
          <w:rStyle w:val="afc"/>
          <w:rFonts w:hAnsi="標楷體"/>
          <w:szCs w:val="32"/>
        </w:rPr>
        <w:footnoteReference w:id="6"/>
      </w:r>
      <w:r w:rsidRPr="0073501F">
        <w:rPr>
          <w:rFonts w:hAnsi="標楷體" w:hint="eastAsia"/>
          <w:szCs w:val="32"/>
        </w:rPr>
        <w:t>。爰本院依職權係調查政府派任兆豐金控之公股董事與監事之管理監督機制及金融監理機關是否涉有違失等情，</w:t>
      </w:r>
      <w:r w:rsidRPr="0073501F">
        <w:rPr>
          <w:rFonts w:hAnsi="標楷體" w:hint="eastAsia"/>
        </w:rPr>
        <w:t>茲臚列調查意見如下：</w:t>
      </w:r>
      <w:bookmarkEnd w:id="43"/>
      <w:bookmarkEnd w:id="44"/>
    </w:p>
    <w:p w:rsidR="00441F49" w:rsidRPr="0073501F" w:rsidRDefault="00441F49" w:rsidP="00441F49">
      <w:pPr>
        <w:pStyle w:val="2"/>
        <w:rPr>
          <w:rFonts w:hAnsi="標楷體"/>
          <w:b/>
        </w:rPr>
      </w:pPr>
      <w:bookmarkStart w:id="45" w:name="_Toc483551566"/>
      <w:bookmarkStart w:id="46" w:name="_Toc484177903"/>
      <w:bookmarkStart w:id="47" w:name="_Toc484593452"/>
      <w:r w:rsidRPr="0073501F">
        <w:rPr>
          <w:rFonts w:hAnsi="標楷體" w:hint="eastAsia"/>
          <w:b/>
        </w:rPr>
        <w:t>本案</w:t>
      </w:r>
      <w:r w:rsidR="008A0F8A" w:rsidRPr="0073501F">
        <w:rPr>
          <w:rFonts w:hAnsi="標楷體" w:hint="eastAsia"/>
          <w:b/>
        </w:rPr>
        <w:t>NYDFS</w:t>
      </w:r>
      <w:r w:rsidRPr="0073501F">
        <w:rPr>
          <w:rFonts w:hAnsi="標楷體" w:hint="eastAsia"/>
          <w:b/>
        </w:rPr>
        <w:t>對兆豐銀行重罰1億8千萬美元，依據合意處分令內容，主要係因兆豐銀行總行與海外分行之相關制度及作業欠佳，加上對</w:t>
      </w:r>
      <w:r w:rsidR="008A0F8A" w:rsidRPr="0073501F">
        <w:rPr>
          <w:rFonts w:hAnsi="標楷體" w:hint="eastAsia"/>
          <w:b/>
        </w:rPr>
        <w:t>NYDFS</w:t>
      </w:r>
      <w:r w:rsidRPr="0073501F">
        <w:rPr>
          <w:rFonts w:hAnsi="標楷體" w:hint="eastAsia"/>
          <w:b/>
        </w:rPr>
        <w:t>相關回應失當所致，該行應負最大之責任。惟金管會未能及時發現本案兆豐銀行總行及其海外分行之內部控制及法令遵循等諸多缺失；於簽辦本案</w:t>
      </w:r>
      <w:r w:rsidR="008A0F8A" w:rsidRPr="0073501F">
        <w:rPr>
          <w:rFonts w:hAnsi="標楷體" w:hint="eastAsia"/>
          <w:b/>
        </w:rPr>
        <w:t>NYDFS</w:t>
      </w:r>
      <w:r w:rsidRPr="0073501F">
        <w:rPr>
          <w:rFonts w:hAnsi="標楷體" w:hint="eastAsia"/>
          <w:b/>
        </w:rPr>
        <w:t>對兆豐銀行紐約分行之金檢報告時，輕信兆豐銀行之說明，復未審酌</w:t>
      </w:r>
      <w:r w:rsidR="008A0F8A" w:rsidRPr="0073501F">
        <w:rPr>
          <w:rFonts w:hAnsi="標楷體" w:hint="eastAsia"/>
          <w:b/>
        </w:rPr>
        <w:t>NYDFS</w:t>
      </w:r>
      <w:r w:rsidRPr="0073501F">
        <w:rPr>
          <w:rFonts w:hAnsi="標楷體" w:hint="eastAsia"/>
          <w:b/>
        </w:rPr>
        <w:t>近年來一再重罰其他國家銀行之前例，僅將本案視為一般案件處理；對於我國當時金融機構之</w:t>
      </w:r>
      <w:r w:rsidRPr="0073501F">
        <w:rPr>
          <w:rFonts w:hAnsi="標楷體"/>
          <w:b/>
        </w:rPr>
        <w:t>公司治理</w:t>
      </w:r>
      <w:r w:rsidRPr="0073501F">
        <w:rPr>
          <w:rFonts w:hAnsi="標楷體" w:hint="eastAsia"/>
          <w:b/>
        </w:rPr>
        <w:t>、</w:t>
      </w:r>
      <w:r w:rsidRPr="0073501F">
        <w:rPr>
          <w:rFonts w:hAnsi="標楷體" w:cs="標楷體"/>
          <w:b/>
          <w:kern w:val="0"/>
          <w:szCs w:val="32"/>
        </w:rPr>
        <w:t>防制洗錢</w:t>
      </w:r>
      <w:r w:rsidRPr="0073501F">
        <w:rPr>
          <w:rFonts w:hAnsi="標楷體" w:cs="標楷體" w:hint="eastAsia"/>
          <w:b/>
          <w:kern w:val="0"/>
          <w:szCs w:val="32"/>
        </w:rPr>
        <w:t>及</w:t>
      </w:r>
      <w:r w:rsidRPr="0073501F">
        <w:rPr>
          <w:rFonts w:hAnsi="標楷體" w:cs="標楷體"/>
          <w:b/>
          <w:kern w:val="0"/>
          <w:szCs w:val="32"/>
        </w:rPr>
        <w:t>法令遵循</w:t>
      </w:r>
      <w:r w:rsidRPr="0073501F">
        <w:rPr>
          <w:rFonts w:hAnsi="標楷體" w:cs="標楷體" w:hint="eastAsia"/>
          <w:b/>
          <w:kern w:val="0"/>
          <w:szCs w:val="32"/>
        </w:rPr>
        <w:t>等</w:t>
      </w:r>
      <w:r w:rsidRPr="0073501F">
        <w:rPr>
          <w:rFonts w:hAnsi="標楷體" w:hint="eastAsia"/>
          <w:b/>
        </w:rPr>
        <w:t>相關規範與制度，未能與時俱進等，確屬失當</w:t>
      </w:r>
      <w:r w:rsidRPr="0073501F">
        <w:rPr>
          <w:rFonts w:hAnsi="標楷體" w:hint="eastAsia"/>
          <w:b/>
          <w:szCs w:val="32"/>
        </w:rPr>
        <w:t>，均應澈底檢討。</w:t>
      </w:r>
      <w:bookmarkEnd w:id="45"/>
      <w:bookmarkEnd w:id="46"/>
      <w:bookmarkEnd w:id="47"/>
    </w:p>
    <w:p w:rsidR="00441F49" w:rsidRPr="0073501F" w:rsidRDefault="00441F49" w:rsidP="00441F49">
      <w:pPr>
        <w:pStyle w:val="3"/>
        <w:spacing w:afterLines="25" w:after="114"/>
        <w:ind w:left="1360" w:hanging="680"/>
        <w:rPr>
          <w:rFonts w:hAnsi="標楷體"/>
        </w:rPr>
      </w:pPr>
      <w:bookmarkStart w:id="48" w:name="_Toc484177904"/>
      <w:bookmarkStart w:id="49" w:name="_Toc484593453"/>
      <w:r w:rsidRPr="0073501F">
        <w:rPr>
          <w:rFonts w:hAnsi="標楷體" w:hint="eastAsia"/>
        </w:rPr>
        <w:t>兆豐銀行於105年</w:t>
      </w:r>
      <w:r w:rsidRPr="0073501F">
        <w:rPr>
          <w:rFonts w:hAnsi="標楷體"/>
        </w:rPr>
        <w:t>5</w:t>
      </w:r>
      <w:r w:rsidRPr="0073501F">
        <w:rPr>
          <w:rFonts w:hAnsi="標楷體" w:hint="eastAsia"/>
        </w:rPr>
        <w:t>月</w:t>
      </w:r>
      <w:r w:rsidRPr="0073501F">
        <w:rPr>
          <w:rFonts w:hAnsi="標楷體"/>
        </w:rPr>
        <w:t>18</w:t>
      </w:r>
      <w:r w:rsidRPr="0073501F">
        <w:rPr>
          <w:rFonts w:hAnsi="標楷體" w:hint="eastAsia"/>
        </w:rPr>
        <w:t>日將本案金檢報告暨改善情形函報金管會，該會檢查局當時依據兆豐銀行已於105年3月24日回復</w:t>
      </w:r>
      <w:r w:rsidR="008A0F8A" w:rsidRPr="0073501F">
        <w:rPr>
          <w:rFonts w:hAnsi="標楷體" w:hint="eastAsia"/>
        </w:rPr>
        <w:t>NYDFS</w:t>
      </w:r>
      <w:r w:rsidRPr="0073501F">
        <w:rPr>
          <w:rFonts w:hAnsi="標楷體" w:hint="eastAsia"/>
        </w:rPr>
        <w:t>相關改善措施及預計改善</w:t>
      </w:r>
      <w:r w:rsidRPr="0073501F">
        <w:rPr>
          <w:rFonts w:hAnsi="標楷體" w:hint="eastAsia"/>
        </w:rPr>
        <w:lastRenderedPageBreak/>
        <w:t>時程，並說明該行董事會、高階主管及分行管理階層瞭解所列缺失嚴重性，對於報告所列缺失均列有應改善計畫及承諾完成時限，對於改善期限為105年5月30日前之缺失，均已按期限改善，另</w:t>
      </w:r>
      <w:r w:rsidR="008A0F8A" w:rsidRPr="0073501F">
        <w:rPr>
          <w:rFonts w:hAnsi="標楷體" w:hint="eastAsia"/>
        </w:rPr>
        <w:t>NYDFS</w:t>
      </w:r>
      <w:r w:rsidRPr="0073501F">
        <w:rPr>
          <w:rFonts w:hAnsi="標楷體" w:hint="eastAsia"/>
        </w:rPr>
        <w:t>是否有後續監理行動，將待其至紐約分行覆查後才有進一步訊息等，認定本案非屬重大案件，依該局分層負責表規定由局長層級核定，該局局長王儷娟於公文批示「注意後續有無監理行動」；惟查，當時該行並未於董事會中報告本案，金管會有失覺察</w:t>
      </w:r>
      <w:r w:rsidR="00B435DE" w:rsidRPr="00542F82">
        <w:rPr>
          <w:rFonts w:hAnsi="標楷體" w:hint="eastAsia"/>
        </w:rPr>
        <w:t>，其派赴紐約人員亦未知悉。</w:t>
      </w:r>
      <w:r w:rsidRPr="00542F82">
        <w:rPr>
          <w:rFonts w:hAnsi="標楷體" w:hint="eastAsia"/>
        </w:rPr>
        <w:t>兆豐銀行嗣於105年7月</w:t>
      </w:r>
      <w:r w:rsidRPr="00542F82">
        <w:rPr>
          <w:rFonts w:hAnsi="標楷體"/>
          <w:szCs w:val="32"/>
        </w:rPr>
        <w:t>26</w:t>
      </w:r>
      <w:r w:rsidRPr="0073501F">
        <w:rPr>
          <w:rFonts w:hAnsi="標楷體"/>
          <w:szCs w:val="32"/>
        </w:rPr>
        <w:t>日</w:t>
      </w:r>
      <w:r w:rsidRPr="0073501F">
        <w:rPr>
          <w:rFonts w:hAnsi="標楷體" w:hint="eastAsia"/>
          <w:szCs w:val="32"/>
        </w:rPr>
        <w:t>前往金管</w:t>
      </w:r>
      <w:r w:rsidRPr="0073501F">
        <w:rPr>
          <w:rFonts w:hAnsi="標楷體" w:hint="eastAsia"/>
        </w:rPr>
        <w:t>會</w:t>
      </w:r>
      <w:r w:rsidRPr="0073501F">
        <w:rPr>
          <w:rFonts w:hAnsi="標楷體"/>
          <w:szCs w:val="32"/>
        </w:rPr>
        <w:t>說明</w:t>
      </w:r>
      <w:r w:rsidRPr="0073501F">
        <w:rPr>
          <w:rFonts w:hAnsi="標楷體" w:hint="eastAsia"/>
          <w:szCs w:val="32"/>
        </w:rPr>
        <w:t>本案</w:t>
      </w:r>
      <w:r w:rsidRPr="0073501F">
        <w:rPr>
          <w:rFonts w:hAnsi="標楷體"/>
          <w:szCs w:val="32"/>
        </w:rPr>
        <w:t>改善情形</w:t>
      </w:r>
      <w:r w:rsidRPr="0073501F">
        <w:rPr>
          <w:rFonts w:hAnsi="標楷體" w:hint="eastAsia"/>
          <w:szCs w:val="32"/>
        </w:rPr>
        <w:t>，</w:t>
      </w:r>
      <w:r w:rsidRPr="0073501F">
        <w:rPr>
          <w:rFonts w:hAnsi="標楷體"/>
          <w:szCs w:val="32"/>
        </w:rPr>
        <w:t>該行表示</w:t>
      </w:r>
      <w:r w:rsidR="008A0F8A" w:rsidRPr="0073501F">
        <w:rPr>
          <w:rFonts w:hAnsi="標楷體"/>
          <w:szCs w:val="32"/>
        </w:rPr>
        <w:t>NYDFS</w:t>
      </w:r>
      <w:r w:rsidRPr="0073501F">
        <w:rPr>
          <w:rFonts w:hAnsi="標楷體"/>
          <w:szCs w:val="32"/>
        </w:rPr>
        <w:t>及紐約聯邦準備銀行預定於</w:t>
      </w:r>
      <w:r w:rsidRPr="0073501F">
        <w:rPr>
          <w:rFonts w:hAnsi="標楷體" w:hint="eastAsia"/>
          <w:szCs w:val="32"/>
        </w:rPr>
        <w:t>同</w:t>
      </w:r>
      <w:r w:rsidRPr="0073501F">
        <w:rPr>
          <w:rFonts w:hAnsi="標楷體"/>
          <w:szCs w:val="32"/>
        </w:rPr>
        <w:t>年8月22日赴紐約分行辦理聯合複查。</w:t>
      </w:r>
      <w:r w:rsidRPr="0073501F">
        <w:rPr>
          <w:rFonts w:hAnsi="標楷體" w:hint="eastAsia"/>
          <w:szCs w:val="32"/>
        </w:rPr>
        <w:t>惟</w:t>
      </w:r>
      <w:r w:rsidR="008A0F8A" w:rsidRPr="0073501F">
        <w:rPr>
          <w:rFonts w:hAnsi="標楷體"/>
        </w:rPr>
        <w:t>NYDFS</w:t>
      </w:r>
      <w:r w:rsidRPr="0073501F">
        <w:rPr>
          <w:rFonts w:hAnsi="標楷體" w:hint="eastAsia"/>
        </w:rPr>
        <w:t>於105年</w:t>
      </w:r>
      <w:r w:rsidRPr="0073501F">
        <w:rPr>
          <w:rFonts w:hAnsi="標楷體"/>
        </w:rPr>
        <w:t>7</w:t>
      </w:r>
      <w:r w:rsidRPr="0073501F">
        <w:rPr>
          <w:rFonts w:hAnsi="標楷體" w:hint="eastAsia"/>
        </w:rPr>
        <w:t>月</w:t>
      </w:r>
      <w:r w:rsidRPr="0073501F">
        <w:rPr>
          <w:rFonts w:hAnsi="標楷體"/>
        </w:rPr>
        <w:t>29</w:t>
      </w:r>
      <w:r w:rsidRPr="0073501F">
        <w:rPr>
          <w:rFonts w:hAnsi="標楷體" w:hint="eastAsia"/>
        </w:rPr>
        <w:t>日突然告知紐約分行，擬核處該行鉅額罰款，兆豐銀行乃分別於同</w:t>
      </w:r>
      <w:r w:rsidRPr="0073501F">
        <w:rPr>
          <w:rFonts w:hAnsi="標楷體" w:hint="eastAsia"/>
          <w:szCs w:val="32"/>
        </w:rPr>
        <w:t>年</w:t>
      </w:r>
      <w:r w:rsidRPr="0073501F">
        <w:rPr>
          <w:rFonts w:hAnsi="標楷體"/>
          <w:szCs w:val="32"/>
        </w:rPr>
        <w:t>8</w:t>
      </w:r>
      <w:r w:rsidRPr="0073501F">
        <w:rPr>
          <w:rFonts w:hAnsi="標楷體" w:hint="eastAsia"/>
          <w:szCs w:val="32"/>
        </w:rPr>
        <w:t>月</w:t>
      </w:r>
      <w:r w:rsidRPr="0073501F">
        <w:rPr>
          <w:rFonts w:hAnsi="標楷體"/>
          <w:szCs w:val="32"/>
        </w:rPr>
        <w:t>1</w:t>
      </w:r>
      <w:r w:rsidRPr="0073501F">
        <w:rPr>
          <w:rFonts w:hAnsi="標楷體" w:hint="eastAsia"/>
          <w:szCs w:val="32"/>
        </w:rPr>
        <w:t>日及</w:t>
      </w:r>
      <w:r w:rsidRPr="0073501F">
        <w:rPr>
          <w:rFonts w:hAnsi="標楷體"/>
          <w:szCs w:val="32"/>
        </w:rPr>
        <w:t>8</w:t>
      </w:r>
      <w:r w:rsidRPr="0073501F">
        <w:rPr>
          <w:rFonts w:hAnsi="標楷體" w:hint="eastAsia"/>
          <w:szCs w:val="32"/>
        </w:rPr>
        <w:t>月</w:t>
      </w:r>
      <w:r w:rsidRPr="0073501F">
        <w:rPr>
          <w:rFonts w:hAnsi="標楷體"/>
          <w:szCs w:val="32"/>
        </w:rPr>
        <w:t>4</w:t>
      </w:r>
      <w:r w:rsidRPr="0073501F">
        <w:rPr>
          <w:rFonts w:hAnsi="標楷體" w:hint="eastAsia"/>
          <w:szCs w:val="32"/>
        </w:rPr>
        <w:t>日向金管會及財政部報告</w:t>
      </w:r>
      <w:r w:rsidR="008A0F8A" w:rsidRPr="0073501F">
        <w:rPr>
          <w:rFonts w:hAnsi="標楷體"/>
          <w:szCs w:val="32"/>
        </w:rPr>
        <w:t>NYDFS</w:t>
      </w:r>
      <w:r w:rsidRPr="0073501F">
        <w:rPr>
          <w:rFonts w:hAnsi="標楷體" w:hint="eastAsia"/>
          <w:szCs w:val="32"/>
        </w:rPr>
        <w:t>即將裁罰該行，金管會於8月1日即</w:t>
      </w:r>
      <w:r w:rsidRPr="0073501F">
        <w:rPr>
          <w:rFonts w:hAnsi="標楷體" w:cs="Courier New" w:hint="eastAsia"/>
          <w:szCs w:val="32"/>
        </w:rPr>
        <w:t>由</w:t>
      </w:r>
      <w:r w:rsidRPr="0073501F">
        <w:rPr>
          <w:rFonts w:hAnsi="標楷體" w:cs="Courier New"/>
          <w:szCs w:val="32"/>
        </w:rPr>
        <w:t>銀行局</w:t>
      </w:r>
      <w:r w:rsidRPr="0073501F">
        <w:rPr>
          <w:rFonts w:hAnsi="標楷體" w:cs="Courier New" w:hint="eastAsia"/>
          <w:szCs w:val="32"/>
        </w:rPr>
        <w:t>局</w:t>
      </w:r>
      <w:r w:rsidRPr="0073501F">
        <w:rPr>
          <w:rFonts w:hAnsi="標楷體" w:cs="Courier New"/>
          <w:szCs w:val="32"/>
        </w:rPr>
        <w:t>長致</w:t>
      </w:r>
      <w:r w:rsidRPr="0073501F">
        <w:rPr>
          <w:rFonts w:hAnsi="標楷體"/>
          <w:szCs w:val="32"/>
        </w:rPr>
        <w:t>函</w:t>
      </w:r>
      <w:r w:rsidR="008A0F8A" w:rsidRPr="0073501F">
        <w:rPr>
          <w:rFonts w:hAnsi="標楷體"/>
          <w:szCs w:val="32"/>
        </w:rPr>
        <w:t>NYDFS</w:t>
      </w:r>
      <w:r w:rsidRPr="0073501F">
        <w:rPr>
          <w:rFonts w:hAnsi="標楷體"/>
          <w:szCs w:val="32"/>
        </w:rPr>
        <w:t>署長，要求分享監理資訊，</w:t>
      </w:r>
      <w:r w:rsidRPr="0073501F">
        <w:rPr>
          <w:rFonts w:hAnsi="標楷體" w:hint="eastAsia"/>
          <w:szCs w:val="32"/>
        </w:rPr>
        <w:t>然未獲</w:t>
      </w:r>
      <w:r w:rsidR="008A0F8A" w:rsidRPr="0073501F">
        <w:rPr>
          <w:rFonts w:hAnsi="標楷體"/>
          <w:szCs w:val="32"/>
        </w:rPr>
        <w:t>NYDFS</w:t>
      </w:r>
      <w:r w:rsidRPr="0073501F">
        <w:rPr>
          <w:rFonts w:hAnsi="標楷體"/>
          <w:szCs w:val="32"/>
        </w:rPr>
        <w:t>回覆</w:t>
      </w:r>
      <w:r w:rsidRPr="0073501F">
        <w:rPr>
          <w:rFonts w:hAnsi="標楷體" w:hint="eastAsia"/>
          <w:szCs w:val="32"/>
        </w:rPr>
        <w:t>，中央銀行則依金管會之請求提供適當之協助</w:t>
      </w:r>
      <w:r w:rsidRPr="0073501F">
        <w:rPr>
          <w:rFonts w:hAnsi="標楷體"/>
          <w:szCs w:val="32"/>
        </w:rPr>
        <w:t>。</w:t>
      </w:r>
      <w:r w:rsidRPr="0073501F">
        <w:rPr>
          <w:rFonts w:hAnsi="標楷體" w:hint="eastAsia"/>
          <w:szCs w:val="32"/>
        </w:rPr>
        <w:t>兆豐銀行於105年</w:t>
      </w:r>
      <w:r w:rsidRPr="0073501F">
        <w:rPr>
          <w:rFonts w:hAnsi="標楷體"/>
          <w:szCs w:val="32"/>
        </w:rPr>
        <w:t>8</w:t>
      </w:r>
      <w:r w:rsidRPr="0073501F">
        <w:rPr>
          <w:rFonts w:hAnsi="標楷體" w:hint="eastAsia"/>
          <w:szCs w:val="32"/>
        </w:rPr>
        <w:t>月</w:t>
      </w:r>
      <w:r w:rsidRPr="0073501F">
        <w:rPr>
          <w:rFonts w:hAnsi="標楷體"/>
          <w:szCs w:val="32"/>
        </w:rPr>
        <w:t>19</w:t>
      </w:r>
      <w:r w:rsidRPr="0073501F">
        <w:rPr>
          <w:rFonts w:hAnsi="標楷體" w:hint="eastAsia"/>
          <w:szCs w:val="32"/>
        </w:rPr>
        <w:t>日簽署合意處分</w:t>
      </w:r>
      <w:r w:rsidRPr="0073501F">
        <w:rPr>
          <w:rFonts w:hAnsi="標楷體" w:hint="eastAsia"/>
        </w:rPr>
        <w:t>令，</w:t>
      </w:r>
      <w:r w:rsidR="008A0F8A" w:rsidRPr="0073501F">
        <w:rPr>
          <w:rFonts w:hAnsi="標楷體"/>
        </w:rPr>
        <w:t>NYDFS</w:t>
      </w:r>
      <w:r w:rsidRPr="0073501F">
        <w:rPr>
          <w:rFonts w:hAnsi="標楷體" w:hint="eastAsia"/>
        </w:rPr>
        <w:t>核處兆豐銀行</w:t>
      </w:r>
      <w:r w:rsidRPr="0073501F">
        <w:rPr>
          <w:rFonts w:hAnsi="標楷體"/>
        </w:rPr>
        <w:t>1</w:t>
      </w:r>
      <w:r w:rsidRPr="0073501F">
        <w:rPr>
          <w:rFonts w:hAnsi="標楷體" w:hint="eastAsia"/>
        </w:rPr>
        <w:t>億</w:t>
      </w:r>
      <w:r w:rsidRPr="0073501F">
        <w:rPr>
          <w:rFonts w:hAnsi="標楷體"/>
        </w:rPr>
        <w:t>8</w:t>
      </w:r>
      <w:r w:rsidRPr="0073501F">
        <w:rPr>
          <w:rFonts w:hAnsi="標楷體" w:hint="eastAsia"/>
        </w:rPr>
        <w:t>千萬美元之罰款，並於</w:t>
      </w:r>
      <w:r w:rsidR="008A0F8A" w:rsidRPr="0073501F">
        <w:rPr>
          <w:rFonts w:hAnsi="標楷體"/>
        </w:rPr>
        <w:t>NYDFS</w:t>
      </w:r>
      <w:r w:rsidRPr="0073501F">
        <w:rPr>
          <w:rFonts w:hAnsi="標楷體" w:hint="eastAsia"/>
        </w:rPr>
        <w:t>網站公布合意處分令。上述事件之摘要，如表1所示：</w:t>
      </w:r>
      <w:bookmarkEnd w:id="48"/>
      <w:bookmarkEnd w:id="49"/>
    </w:p>
    <w:p w:rsidR="00441F49" w:rsidRPr="0073501F" w:rsidRDefault="00441F49" w:rsidP="00441F49">
      <w:pPr>
        <w:pStyle w:val="3"/>
        <w:numPr>
          <w:ilvl w:val="0"/>
          <w:numId w:val="0"/>
        </w:numPr>
        <w:spacing w:beforeLines="50" w:before="228" w:afterLines="25" w:after="114"/>
        <w:ind w:leftChars="250" w:left="1901" w:hangingChars="350" w:hanging="1051"/>
        <w:jc w:val="center"/>
        <w:rPr>
          <w:rFonts w:hAnsi="標楷體"/>
          <w:sz w:val="28"/>
          <w:szCs w:val="28"/>
        </w:rPr>
      </w:pPr>
      <w:bookmarkStart w:id="50" w:name="_Toc484177905"/>
      <w:bookmarkStart w:id="51" w:name="_Toc484593454"/>
      <w:r w:rsidRPr="0073501F">
        <w:rPr>
          <w:rFonts w:hAnsi="標楷體" w:hint="eastAsia"/>
          <w:sz w:val="28"/>
          <w:szCs w:val="28"/>
        </w:rPr>
        <w:t>表1、本案兆豐銀行向主管機關報告概況</w:t>
      </w:r>
      <w:bookmarkEnd w:id="50"/>
      <w:bookmarkEnd w:id="51"/>
    </w:p>
    <w:tbl>
      <w:tblPr>
        <w:tblStyle w:val="af6"/>
        <w:tblW w:w="0" w:type="auto"/>
        <w:tblInd w:w="959" w:type="dxa"/>
        <w:tblLook w:val="04A0" w:firstRow="1" w:lastRow="0" w:firstColumn="1" w:lastColumn="0" w:noHBand="0" w:noVBand="1"/>
      </w:tblPr>
      <w:tblGrid>
        <w:gridCol w:w="1544"/>
        <w:gridCol w:w="6331"/>
      </w:tblGrid>
      <w:tr w:rsidR="00441F49" w:rsidRPr="0073501F" w:rsidTr="00441F49">
        <w:tc>
          <w:tcPr>
            <w:tcW w:w="1559" w:type="dxa"/>
          </w:tcPr>
          <w:p w:rsidR="00441F49" w:rsidRPr="0073501F" w:rsidRDefault="00441F49" w:rsidP="00441F49">
            <w:pPr>
              <w:pStyle w:val="3"/>
              <w:numPr>
                <w:ilvl w:val="0"/>
                <w:numId w:val="0"/>
              </w:numPr>
              <w:spacing w:line="300" w:lineRule="exact"/>
              <w:jc w:val="center"/>
              <w:rPr>
                <w:rFonts w:hAnsi="標楷體"/>
                <w:sz w:val="24"/>
                <w:szCs w:val="24"/>
              </w:rPr>
            </w:pPr>
            <w:bookmarkStart w:id="52" w:name="_Toc484177906"/>
            <w:bookmarkStart w:id="53" w:name="_Toc484593455"/>
            <w:r w:rsidRPr="0073501F">
              <w:rPr>
                <w:rFonts w:hAnsi="標楷體" w:hint="eastAsia"/>
                <w:sz w:val="24"/>
                <w:szCs w:val="24"/>
              </w:rPr>
              <w:t>時間</w:t>
            </w:r>
            <w:bookmarkEnd w:id="52"/>
            <w:bookmarkEnd w:id="53"/>
          </w:p>
          <w:p w:rsidR="00441F49" w:rsidRPr="0073501F" w:rsidRDefault="00441F49" w:rsidP="00441F49">
            <w:pPr>
              <w:pStyle w:val="3"/>
              <w:numPr>
                <w:ilvl w:val="0"/>
                <w:numId w:val="0"/>
              </w:numPr>
              <w:spacing w:line="300" w:lineRule="exact"/>
              <w:jc w:val="center"/>
              <w:rPr>
                <w:rFonts w:hAnsi="標楷體"/>
                <w:sz w:val="24"/>
                <w:szCs w:val="24"/>
              </w:rPr>
            </w:pPr>
            <w:bookmarkStart w:id="54" w:name="_Toc484177907"/>
            <w:bookmarkStart w:id="55" w:name="_Toc484593456"/>
            <w:r w:rsidRPr="0073501F">
              <w:rPr>
                <w:rFonts w:hAnsi="標楷體" w:hint="eastAsia"/>
                <w:sz w:val="24"/>
                <w:szCs w:val="24"/>
              </w:rPr>
              <w:t>(年.月.日)</w:t>
            </w:r>
            <w:bookmarkEnd w:id="54"/>
            <w:bookmarkEnd w:id="55"/>
          </w:p>
        </w:tc>
        <w:tc>
          <w:tcPr>
            <w:tcW w:w="6542" w:type="dxa"/>
            <w:vAlign w:val="center"/>
          </w:tcPr>
          <w:p w:rsidR="00441F49" w:rsidRPr="0073501F" w:rsidRDefault="00441F49" w:rsidP="00441F49">
            <w:pPr>
              <w:pStyle w:val="3"/>
              <w:numPr>
                <w:ilvl w:val="0"/>
                <w:numId w:val="0"/>
              </w:numPr>
              <w:jc w:val="center"/>
              <w:rPr>
                <w:rFonts w:hAnsi="標楷體"/>
                <w:sz w:val="24"/>
                <w:szCs w:val="24"/>
              </w:rPr>
            </w:pPr>
            <w:bookmarkStart w:id="56" w:name="_Toc484177908"/>
            <w:bookmarkStart w:id="57" w:name="_Toc484593457"/>
            <w:r w:rsidRPr="0073501F">
              <w:rPr>
                <w:rFonts w:hAnsi="標楷體" w:hint="eastAsia"/>
                <w:sz w:val="24"/>
                <w:szCs w:val="24"/>
              </w:rPr>
              <w:t>事件摘要</w:t>
            </w:r>
            <w:bookmarkEnd w:id="56"/>
            <w:bookmarkEnd w:id="57"/>
          </w:p>
        </w:tc>
      </w:tr>
      <w:tr w:rsidR="00441F49" w:rsidRPr="0073501F" w:rsidTr="00441F49">
        <w:tc>
          <w:tcPr>
            <w:tcW w:w="1559" w:type="dxa"/>
            <w:vAlign w:val="center"/>
          </w:tcPr>
          <w:p w:rsidR="00441F49" w:rsidRPr="0073501F" w:rsidRDefault="00441F49" w:rsidP="00441F49">
            <w:pPr>
              <w:pStyle w:val="3"/>
              <w:numPr>
                <w:ilvl w:val="0"/>
                <w:numId w:val="0"/>
              </w:numPr>
              <w:ind w:leftChars="-19" w:left="-65" w:rightChars="-20" w:right="-68"/>
              <w:jc w:val="center"/>
              <w:rPr>
                <w:rFonts w:hAnsi="標楷體"/>
                <w:sz w:val="24"/>
                <w:szCs w:val="24"/>
              </w:rPr>
            </w:pPr>
            <w:bookmarkStart w:id="58" w:name="_Toc484177909"/>
            <w:bookmarkStart w:id="59" w:name="_Toc484593458"/>
            <w:r w:rsidRPr="0073501F">
              <w:rPr>
                <w:rFonts w:hAnsi="標楷體" w:hint="eastAsia"/>
                <w:sz w:val="24"/>
                <w:szCs w:val="24"/>
              </w:rPr>
              <w:t>105.3.24</w:t>
            </w:r>
            <w:bookmarkEnd w:id="58"/>
            <w:bookmarkEnd w:id="59"/>
          </w:p>
        </w:tc>
        <w:tc>
          <w:tcPr>
            <w:tcW w:w="6542" w:type="dxa"/>
          </w:tcPr>
          <w:p w:rsidR="00441F49" w:rsidRPr="0073501F" w:rsidRDefault="00441F49" w:rsidP="00441F49">
            <w:pPr>
              <w:pStyle w:val="3"/>
              <w:numPr>
                <w:ilvl w:val="0"/>
                <w:numId w:val="0"/>
              </w:numPr>
              <w:rPr>
                <w:rFonts w:hAnsi="標楷體"/>
                <w:sz w:val="24"/>
                <w:szCs w:val="24"/>
              </w:rPr>
            </w:pPr>
            <w:bookmarkStart w:id="60" w:name="_Toc484177910"/>
            <w:bookmarkStart w:id="61" w:name="_Toc484593459"/>
            <w:r w:rsidRPr="0073501F">
              <w:rPr>
                <w:rFonts w:hAnsi="標楷體" w:hint="eastAsia"/>
                <w:sz w:val="24"/>
                <w:szCs w:val="24"/>
              </w:rPr>
              <w:t>兆豐銀行回復</w:t>
            </w:r>
            <w:r w:rsidR="008A0F8A" w:rsidRPr="0073501F">
              <w:rPr>
                <w:rFonts w:hAnsi="標楷體" w:hint="eastAsia"/>
                <w:sz w:val="24"/>
                <w:szCs w:val="24"/>
              </w:rPr>
              <w:t>NYDFS</w:t>
            </w:r>
            <w:r w:rsidRPr="0073501F">
              <w:rPr>
                <w:rFonts w:hAnsi="標楷體" w:hint="eastAsia"/>
                <w:sz w:val="24"/>
                <w:szCs w:val="24"/>
              </w:rPr>
              <w:t>改善措施及預計時程。</w:t>
            </w:r>
            <w:bookmarkEnd w:id="60"/>
            <w:bookmarkEnd w:id="61"/>
          </w:p>
        </w:tc>
      </w:tr>
      <w:tr w:rsidR="00441F49" w:rsidRPr="0073501F" w:rsidTr="00441F49">
        <w:tc>
          <w:tcPr>
            <w:tcW w:w="1559" w:type="dxa"/>
            <w:vAlign w:val="center"/>
          </w:tcPr>
          <w:p w:rsidR="00441F49" w:rsidRPr="0073501F" w:rsidRDefault="00441F49" w:rsidP="00441F49">
            <w:pPr>
              <w:pStyle w:val="3"/>
              <w:numPr>
                <w:ilvl w:val="0"/>
                <w:numId w:val="0"/>
              </w:numPr>
              <w:ind w:leftChars="-19" w:left="-65" w:rightChars="-20" w:right="-68"/>
              <w:jc w:val="center"/>
              <w:rPr>
                <w:rFonts w:hAnsi="標楷體"/>
                <w:sz w:val="24"/>
                <w:szCs w:val="24"/>
              </w:rPr>
            </w:pPr>
            <w:bookmarkStart w:id="62" w:name="_Toc484177911"/>
            <w:bookmarkStart w:id="63" w:name="_Toc484593460"/>
            <w:r w:rsidRPr="0073501F">
              <w:rPr>
                <w:rFonts w:hAnsi="標楷體" w:hint="eastAsia"/>
                <w:sz w:val="24"/>
                <w:szCs w:val="24"/>
              </w:rPr>
              <w:t>105.</w:t>
            </w:r>
            <w:r w:rsidRPr="0073501F">
              <w:rPr>
                <w:rFonts w:hAnsi="標楷體"/>
                <w:sz w:val="24"/>
                <w:szCs w:val="24"/>
              </w:rPr>
              <w:t>5</w:t>
            </w:r>
            <w:r w:rsidRPr="0073501F">
              <w:rPr>
                <w:rFonts w:hAnsi="標楷體" w:hint="eastAsia"/>
                <w:sz w:val="24"/>
                <w:szCs w:val="24"/>
              </w:rPr>
              <w:t>.</w:t>
            </w:r>
            <w:r w:rsidRPr="0073501F">
              <w:rPr>
                <w:rFonts w:hAnsi="標楷體"/>
                <w:sz w:val="24"/>
                <w:szCs w:val="24"/>
              </w:rPr>
              <w:t>18</w:t>
            </w:r>
            <w:bookmarkEnd w:id="62"/>
            <w:bookmarkEnd w:id="63"/>
          </w:p>
        </w:tc>
        <w:tc>
          <w:tcPr>
            <w:tcW w:w="6542" w:type="dxa"/>
          </w:tcPr>
          <w:p w:rsidR="00441F49" w:rsidRPr="0073501F" w:rsidRDefault="00441F49" w:rsidP="00441F49">
            <w:pPr>
              <w:pStyle w:val="3"/>
              <w:numPr>
                <w:ilvl w:val="0"/>
                <w:numId w:val="0"/>
              </w:numPr>
              <w:rPr>
                <w:rFonts w:hAnsi="標楷體"/>
                <w:sz w:val="24"/>
                <w:szCs w:val="24"/>
              </w:rPr>
            </w:pPr>
            <w:bookmarkStart w:id="64" w:name="_Toc484177912"/>
            <w:bookmarkStart w:id="65" w:name="_Toc484593461"/>
            <w:r w:rsidRPr="0073501F">
              <w:rPr>
                <w:rFonts w:hAnsi="標楷體" w:hint="eastAsia"/>
                <w:sz w:val="24"/>
                <w:szCs w:val="24"/>
              </w:rPr>
              <w:t>兆豐銀行函報金管會</w:t>
            </w:r>
            <w:r w:rsidR="008A0F8A" w:rsidRPr="0073501F">
              <w:rPr>
                <w:rFonts w:hAnsi="標楷體" w:hint="eastAsia"/>
                <w:sz w:val="24"/>
                <w:szCs w:val="24"/>
              </w:rPr>
              <w:t>NYDFS</w:t>
            </w:r>
            <w:r w:rsidRPr="0073501F">
              <w:rPr>
                <w:rFonts w:hAnsi="標楷體" w:hint="eastAsia"/>
                <w:sz w:val="24"/>
                <w:szCs w:val="24"/>
              </w:rPr>
              <w:t>之檢查報告暨改善情形。</w:t>
            </w:r>
            <w:bookmarkEnd w:id="64"/>
            <w:bookmarkEnd w:id="65"/>
          </w:p>
        </w:tc>
      </w:tr>
      <w:tr w:rsidR="00441F49" w:rsidRPr="0073501F" w:rsidTr="00441F49">
        <w:tc>
          <w:tcPr>
            <w:tcW w:w="1559" w:type="dxa"/>
            <w:vAlign w:val="center"/>
          </w:tcPr>
          <w:p w:rsidR="00441F49" w:rsidRPr="0073501F" w:rsidRDefault="00441F49" w:rsidP="00441F49">
            <w:pPr>
              <w:pStyle w:val="3"/>
              <w:numPr>
                <w:ilvl w:val="0"/>
                <w:numId w:val="0"/>
              </w:numPr>
              <w:ind w:leftChars="-19" w:left="-65" w:rightChars="-20" w:right="-68"/>
              <w:jc w:val="center"/>
              <w:rPr>
                <w:rFonts w:hAnsi="標楷體"/>
                <w:sz w:val="24"/>
                <w:szCs w:val="24"/>
              </w:rPr>
            </w:pPr>
            <w:bookmarkStart w:id="66" w:name="_Toc484177913"/>
            <w:bookmarkStart w:id="67" w:name="_Toc484593462"/>
            <w:r w:rsidRPr="0073501F">
              <w:rPr>
                <w:rFonts w:hAnsi="標楷體" w:hint="eastAsia"/>
                <w:sz w:val="24"/>
                <w:szCs w:val="24"/>
              </w:rPr>
              <w:t>105.7.</w:t>
            </w:r>
            <w:r w:rsidRPr="0073501F">
              <w:rPr>
                <w:rFonts w:hAnsi="標楷體"/>
                <w:sz w:val="24"/>
                <w:szCs w:val="24"/>
              </w:rPr>
              <w:t>26</w:t>
            </w:r>
            <w:bookmarkEnd w:id="66"/>
            <w:bookmarkEnd w:id="67"/>
          </w:p>
        </w:tc>
        <w:tc>
          <w:tcPr>
            <w:tcW w:w="6542" w:type="dxa"/>
          </w:tcPr>
          <w:p w:rsidR="00441F49" w:rsidRPr="0073501F" w:rsidRDefault="00441F49" w:rsidP="00441F49">
            <w:pPr>
              <w:pStyle w:val="3"/>
              <w:numPr>
                <w:ilvl w:val="0"/>
                <w:numId w:val="0"/>
              </w:numPr>
              <w:rPr>
                <w:rFonts w:hAnsi="標楷體"/>
                <w:sz w:val="24"/>
                <w:szCs w:val="24"/>
              </w:rPr>
            </w:pPr>
            <w:bookmarkStart w:id="68" w:name="_Toc484177914"/>
            <w:bookmarkStart w:id="69" w:name="_Toc484593463"/>
            <w:r w:rsidRPr="0073501F">
              <w:rPr>
                <w:rFonts w:hAnsi="標楷體" w:hint="eastAsia"/>
                <w:sz w:val="24"/>
                <w:szCs w:val="24"/>
              </w:rPr>
              <w:t>兆豐銀行前往金管會</w:t>
            </w:r>
            <w:r w:rsidRPr="0073501F">
              <w:rPr>
                <w:rFonts w:hAnsi="標楷體"/>
                <w:sz w:val="24"/>
                <w:szCs w:val="24"/>
              </w:rPr>
              <w:t>說明</w:t>
            </w:r>
            <w:r w:rsidRPr="0073501F">
              <w:rPr>
                <w:rFonts w:hAnsi="標楷體" w:hint="eastAsia"/>
                <w:sz w:val="24"/>
                <w:szCs w:val="24"/>
              </w:rPr>
              <w:t>本案</w:t>
            </w:r>
            <w:r w:rsidRPr="0073501F">
              <w:rPr>
                <w:rFonts w:hAnsi="標楷體"/>
                <w:sz w:val="24"/>
                <w:szCs w:val="24"/>
              </w:rPr>
              <w:t>改善情形</w:t>
            </w:r>
            <w:r w:rsidRPr="0073501F">
              <w:rPr>
                <w:rFonts w:hAnsi="標楷體" w:hint="eastAsia"/>
                <w:sz w:val="24"/>
                <w:szCs w:val="24"/>
              </w:rPr>
              <w:t>，</w:t>
            </w:r>
            <w:r w:rsidRPr="0073501F">
              <w:rPr>
                <w:rFonts w:hAnsi="標楷體"/>
                <w:sz w:val="24"/>
                <w:szCs w:val="24"/>
              </w:rPr>
              <w:t>該行表示</w:t>
            </w:r>
            <w:r w:rsidR="008A0F8A" w:rsidRPr="0073501F">
              <w:rPr>
                <w:rFonts w:hAnsi="標楷體"/>
                <w:sz w:val="24"/>
                <w:szCs w:val="24"/>
              </w:rPr>
              <w:t>NYDFS</w:t>
            </w:r>
            <w:r w:rsidRPr="0073501F">
              <w:rPr>
                <w:rFonts w:hAnsi="標楷體"/>
                <w:sz w:val="24"/>
                <w:szCs w:val="24"/>
              </w:rPr>
              <w:t>及紐約聯邦準備銀行預定於</w:t>
            </w:r>
            <w:r w:rsidRPr="0073501F">
              <w:rPr>
                <w:rFonts w:hAnsi="標楷體" w:hint="eastAsia"/>
                <w:sz w:val="24"/>
                <w:szCs w:val="24"/>
              </w:rPr>
              <w:t>105</w:t>
            </w:r>
            <w:r w:rsidRPr="0073501F">
              <w:rPr>
                <w:rFonts w:hAnsi="標楷體"/>
                <w:sz w:val="24"/>
                <w:szCs w:val="24"/>
              </w:rPr>
              <w:t>年8月22日赴紐約分行辦理聯合複查。</w:t>
            </w:r>
            <w:bookmarkEnd w:id="68"/>
            <w:bookmarkEnd w:id="69"/>
          </w:p>
        </w:tc>
      </w:tr>
      <w:tr w:rsidR="00441F49" w:rsidRPr="0073501F" w:rsidTr="00441F49">
        <w:tc>
          <w:tcPr>
            <w:tcW w:w="1559" w:type="dxa"/>
            <w:vAlign w:val="center"/>
          </w:tcPr>
          <w:p w:rsidR="00441F49" w:rsidRPr="0073501F" w:rsidRDefault="00441F49" w:rsidP="00441F49">
            <w:pPr>
              <w:pStyle w:val="3"/>
              <w:numPr>
                <w:ilvl w:val="0"/>
                <w:numId w:val="0"/>
              </w:numPr>
              <w:ind w:leftChars="-19" w:left="-65" w:rightChars="-20" w:right="-68"/>
              <w:jc w:val="center"/>
              <w:rPr>
                <w:rFonts w:hAnsi="標楷體"/>
                <w:sz w:val="24"/>
                <w:szCs w:val="24"/>
              </w:rPr>
            </w:pPr>
            <w:bookmarkStart w:id="70" w:name="_Toc484177915"/>
            <w:bookmarkStart w:id="71" w:name="_Toc484593464"/>
            <w:r w:rsidRPr="0073501F">
              <w:rPr>
                <w:rFonts w:hAnsi="標楷體" w:hint="eastAsia"/>
                <w:sz w:val="24"/>
                <w:szCs w:val="24"/>
              </w:rPr>
              <w:t>105.</w:t>
            </w:r>
            <w:r w:rsidRPr="0073501F">
              <w:rPr>
                <w:rFonts w:hAnsi="標楷體"/>
                <w:sz w:val="24"/>
                <w:szCs w:val="24"/>
              </w:rPr>
              <w:t>7</w:t>
            </w:r>
            <w:r w:rsidRPr="0073501F">
              <w:rPr>
                <w:rFonts w:hAnsi="標楷體" w:hint="eastAsia"/>
                <w:sz w:val="24"/>
                <w:szCs w:val="24"/>
              </w:rPr>
              <w:t>.</w:t>
            </w:r>
            <w:r w:rsidRPr="0073501F">
              <w:rPr>
                <w:rFonts w:hAnsi="標楷體"/>
                <w:sz w:val="24"/>
                <w:szCs w:val="24"/>
              </w:rPr>
              <w:t>29</w:t>
            </w:r>
            <w:bookmarkEnd w:id="70"/>
            <w:bookmarkEnd w:id="71"/>
          </w:p>
        </w:tc>
        <w:tc>
          <w:tcPr>
            <w:tcW w:w="6542" w:type="dxa"/>
          </w:tcPr>
          <w:p w:rsidR="00441F49" w:rsidRPr="0073501F" w:rsidRDefault="008A0F8A" w:rsidP="00441F49">
            <w:pPr>
              <w:pStyle w:val="3"/>
              <w:numPr>
                <w:ilvl w:val="0"/>
                <w:numId w:val="0"/>
              </w:numPr>
              <w:rPr>
                <w:rFonts w:hAnsi="標楷體"/>
                <w:sz w:val="24"/>
                <w:szCs w:val="24"/>
              </w:rPr>
            </w:pPr>
            <w:bookmarkStart w:id="72" w:name="_Toc484177916"/>
            <w:bookmarkStart w:id="73" w:name="_Toc484593465"/>
            <w:r w:rsidRPr="0073501F">
              <w:rPr>
                <w:rFonts w:hAnsi="標楷體"/>
                <w:sz w:val="24"/>
                <w:szCs w:val="24"/>
              </w:rPr>
              <w:t>NYDFS</w:t>
            </w:r>
            <w:r w:rsidR="00441F49" w:rsidRPr="0073501F">
              <w:rPr>
                <w:rFonts w:hAnsi="標楷體" w:hint="eastAsia"/>
                <w:sz w:val="24"/>
                <w:szCs w:val="24"/>
              </w:rPr>
              <w:t>告知紐約分行，擬核處該行鉅額罰款。</w:t>
            </w:r>
            <w:bookmarkEnd w:id="72"/>
            <w:bookmarkEnd w:id="73"/>
          </w:p>
        </w:tc>
      </w:tr>
      <w:tr w:rsidR="00441F49" w:rsidRPr="0073501F" w:rsidTr="00441F49">
        <w:tc>
          <w:tcPr>
            <w:tcW w:w="1559" w:type="dxa"/>
            <w:vAlign w:val="center"/>
          </w:tcPr>
          <w:p w:rsidR="00441F49" w:rsidRPr="0073501F" w:rsidRDefault="00441F49" w:rsidP="00441F49">
            <w:pPr>
              <w:pStyle w:val="3"/>
              <w:numPr>
                <w:ilvl w:val="0"/>
                <w:numId w:val="0"/>
              </w:numPr>
              <w:ind w:leftChars="-19" w:left="-65" w:rightChars="-20" w:right="-68"/>
              <w:jc w:val="center"/>
              <w:rPr>
                <w:rFonts w:hAnsi="標楷體"/>
                <w:sz w:val="24"/>
                <w:szCs w:val="24"/>
              </w:rPr>
            </w:pPr>
            <w:bookmarkStart w:id="74" w:name="_Toc484177917"/>
            <w:bookmarkStart w:id="75" w:name="_Toc484593466"/>
            <w:r w:rsidRPr="0073501F">
              <w:rPr>
                <w:rFonts w:hAnsi="標楷體" w:hint="eastAsia"/>
                <w:sz w:val="24"/>
                <w:szCs w:val="24"/>
              </w:rPr>
              <w:t>105.</w:t>
            </w:r>
            <w:r w:rsidRPr="0073501F">
              <w:rPr>
                <w:rFonts w:hAnsi="標楷體"/>
                <w:sz w:val="24"/>
                <w:szCs w:val="24"/>
              </w:rPr>
              <w:t>8</w:t>
            </w:r>
            <w:r w:rsidRPr="0073501F">
              <w:rPr>
                <w:rFonts w:hAnsi="標楷體" w:hint="eastAsia"/>
                <w:sz w:val="24"/>
                <w:szCs w:val="24"/>
              </w:rPr>
              <w:t>.</w:t>
            </w:r>
            <w:r w:rsidRPr="0073501F">
              <w:rPr>
                <w:rFonts w:hAnsi="標楷體"/>
                <w:sz w:val="24"/>
                <w:szCs w:val="24"/>
              </w:rPr>
              <w:t>1</w:t>
            </w:r>
            <w:bookmarkEnd w:id="74"/>
            <w:bookmarkEnd w:id="75"/>
          </w:p>
        </w:tc>
        <w:tc>
          <w:tcPr>
            <w:tcW w:w="6542" w:type="dxa"/>
          </w:tcPr>
          <w:p w:rsidR="00441F49" w:rsidRPr="0073501F" w:rsidRDefault="00441F49" w:rsidP="00441F49">
            <w:pPr>
              <w:pStyle w:val="3"/>
              <w:numPr>
                <w:ilvl w:val="0"/>
                <w:numId w:val="0"/>
              </w:numPr>
              <w:ind w:left="416" w:hangingChars="160" w:hanging="416"/>
              <w:rPr>
                <w:rFonts w:hAnsi="標楷體"/>
                <w:sz w:val="24"/>
                <w:szCs w:val="24"/>
              </w:rPr>
            </w:pPr>
            <w:bookmarkStart w:id="76" w:name="_Toc484177918"/>
            <w:bookmarkStart w:id="77" w:name="_Toc484593467"/>
            <w:r w:rsidRPr="0073501F">
              <w:rPr>
                <w:rFonts w:hAnsi="標楷體" w:hint="eastAsia"/>
                <w:sz w:val="24"/>
                <w:szCs w:val="24"/>
              </w:rPr>
              <w:t>1.兆豐銀行向金管會報告</w:t>
            </w:r>
            <w:r w:rsidR="008A0F8A" w:rsidRPr="0073501F">
              <w:rPr>
                <w:rFonts w:hAnsi="標楷體"/>
                <w:sz w:val="24"/>
                <w:szCs w:val="24"/>
              </w:rPr>
              <w:t>NYDFS</w:t>
            </w:r>
            <w:r w:rsidRPr="0073501F">
              <w:rPr>
                <w:rFonts w:hAnsi="標楷體" w:hint="eastAsia"/>
                <w:sz w:val="24"/>
                <w:szCs w:val="24"/>
              </w:rPr>
              <w:t>將裁罰該行。</w:t>
            </w:r>
            <w:bookmarkEnd w:id="76"/>
            <w:bookmarkEnd w:id="77"/>
          </w:p>
          <w:p w:rsidR="00441F49" w:rsidRPr="0073501F" w:rsidRDefault="00441F49" w:rsidP="00441F49">
            <w:pPr>
              <w:pStyle w:val="3"/>
              <w:numPr>
                <w:ilvl w:val="0"/>
                <w:numId w:val="0"/>
              </w:numPr>
              <w:ind w:left="258" w:hangingChars="99" w:hanging="258"/>
              <w:rPr>
                <w:rFonts w:hAnsi="標楷體"/>
                <w:sz w:val="24"/>
                <w:szCs w:val="24"/>
              </w:rPr>
            </w:pPr>
            <w:bookmarkStart w:id="78" w:name="_Toc484177919"/>
            <w:bookmarkStart w:id="79" w:name="_Toc484593468"/>
            <w:r w:rsidRPr="0073501F">
              <w:rPr>
                <w:rFonts w:hAnsi="標楷體" w:hint="eastAsia"/>
                <w:sz w:val="24"/>
                <w:szCs w:val="24"/>
              </w:rPr>
              <w:t>2.金管會</w:t>
            </w:r>
            <w:r w:rsidRPr="0073501F">
              <w:rPr>
                <w:rFonts w:hAnsi="標楷體" w:cs="Courier New"/>
                <w:sz w:val="24"/>
                <w:szCs w:val="24"/>
              </w:rPr>
              <w:t>銀行局</w:t>
            </w:r>
            <w:r w:rsidRPr="0073501F">
              <w:rPr>
                <w:rFonts w:hAnsi="標楷體" w:cs="Courier New" w:hint="eastAsia"/>
                <w:sz w:val="24"/>
                <w:szCs w:val="24"/>
              </w:rPr>
              <w:t>局</w:t>
            </w:r>
            <w:r w:rsidRPr="0073501F">
              <w:rPr>
                <w:rFonts w:hAnsi="標楷體" w:cs="Courier New"/>
                <w:sz w:val="24"/>
                <w:szCs w:val="24"/>
              </w:rPr>
              <w:t>長致</w:t>
            </w:r>
            <w:r w:rsidRPr="0073501F">
              <w:rPr>
                <w:rFonts w:hAnsi="標楷體"/>
                <w:sz w:val="24"/>
                <w:szCs w:val="24"/>
              </w:rPr>
              <w:t>函</w:t>
            </w:r>
            <w:r w:rsidR="008A0F8A" w:rsidRPr="0073501F">
              <w:rPr>
                <w:rFonts w:hAnsi="標楷體"/>
                <w:sz w:val="24"/>
                <w:szCs w:val="24"/>
              </w:rPr>
              <w:t>NYDFS</w:t>
            </w:r>
            <w:r w:rsidRPr="0073501F">
              <w:rPr>
                <w:rFonts w:hAnsi="標楷體"/>
                <w:sz w:val="24"/>
                <w:szCs w:val="24"/>
              </w:rPr>
              <w:t>署長，</w:t>
            </w:r>
            <w:r w:rsidRPr="0073501F">
              <w:rPr>
                <w:rFonts w:hAnsi="標楷體" w:hint="eastAsia"/>
                <w:sz w:val="24"/>
                <w:szCs w:val="24"/>
              </w:rPr>
              <w:t>然未獲</w:t>
            </w:r>
            <w:r w:rsidRPr="0073501F">
              <w:rPr>
                <w:rFonts w:hAnsi="標楷體"/>
                <w:sz w:val="24"/>
                <w:szCs w:val="24"/>
              </w:rPr>
              <w:t>回覆</w:t>
            </w:r>
            <w:r w:rsidRPr="0073501F">
              <w:rPr>
                <w:rFonts w:hAnsi="標楷體" w:hint="eastAsia"/>
                <w:sz w:val="24"/>
                <w:szCs w:val="24"/>
              </w:rPr>
              <w:t>。</w:t>
            </w:r>
            <w:bookmarkEnd w:id="78"/>
            <w:bookmarkEnd w:id="79"/>
          </w:p>
        </w:tc>
      </w:tr>
      <w:tr w:rsidR="00441F49" w:rsidRPr="0073501F" w:rsidTr="00441F49">
        <w:tc>
          <w:tcPr>
            <w:tcW w:w="1559" w:type="dxa"/>
            <w:vAlign w:val="center"/>
          </w:tcPr>
          <w:p w:rsidR="00441F49" w:rsidRPr="0073501F" w:rsidRDefault="00441F49" w:rsidP="00441F49">
            <w:pPr>
              <w:pStyle w:val="3"/>
              <w:numPr>
                <w:ilvl w:val="0"/>
                <w:numId w:val="0"/>
              </w:numPr>
              <w:ind w:leftChars="-19" w:left="-65" w:rightChars="-20" w:right="-68"/>
              <w:jc w:val="center"/>
              <w:rPr>
                <w:rFonts w:hAnsi="標楷體"/>
                <w:sz w:val="24"/>
                <w:szCs w:val="24"/>
              </w:rPr>
            </w:pPr>
            <w:bookmarkStart w:id="80" w:name="_Toc484177920"/>
            <w:bookmarkStart w:id="81" w:name="_Toc484593469"/>
            <w:r w:rsidRPr="0073501F">
              <w:rPr>
                <w:rFonts w:hAnsi="標楷體" w:hint="eastAsia"/>
                <w:sz w:val="24"/>
                <w:szCs w:val="24"/>
              </w:rPr>
              <w:lastRenderedPageBreak/>
              <w:t>105.</w:t>
            </w:r>
            <w:r w:rsidRPr="0073501F">
              <w:rPr>
                <w:rFonts w:hAnsi="標楷體"/>
                <w:sz w:val="24"/>
                <w:szCs w:val="24"/>
              </w:rPr>
              <w:t>8</w:t>
            </w:r>
            <w:r w:rsidRPr="0073501F">
              <w:rPr>
                <w:rFonts w:hAnsi="標楷體" w:hint="eastAsia"/>
                <w:sz w:val="24"/>
                <w:szCs w:val="24"/>
              </w:rPr>
              <w:t>.</w:t>
            </w:r>
            <w:r w:rsidRPr="0073501F">
              <w:rPr>
                <w:rFonts w:hAnsi="標楷體"/>
                <w:sz w:val="24"/>
                <w:szCs w:val="24"/>
              </w:rPr>
              <w:t>4</w:t>
            </w:r>
            <w:bookmarkEnd w:id="80"/>
            <w:bookmarkEnd w:id="81"/>
          </w:p>
        </w:tc>
        <w:tc>
          <w:tcPr>
            <w:tcW w:w="6542" w:type="dxa"/>
          </w:tcPr>
          <w:p w:rsidR="00441F49" w:rsidRPr="0073501F" w:rsidRDefault="00441F49" w:rsidP="00441F49">
            <w:pPr>
              <w:pStyle w:val="3"/>
              <w:numPr>
                <w:ilvl w:val="0"/>
                <w:numId w:val="0"/>
              </w:numPr>
              <w:ind w:left="403" w:hangingChars="155" w:hanging="403"/>
              <w:jc w:val="left"/>
              <w:rPr>
                <w:rFonts w:hAnsi="標楷體"/>
                <w:sz w:val="24"/>
                <w:szCs w:val="24"/>
              </w:rPr>
            </w:pPr>
            <w:bookmarkStart w:id="82" w:name="_Toc484177921"/>
            <w:bookmarkStart w:id="83" w:name="_Toc484593470"/>
            <w:r w:rsidRPr="0073501F">
              <w:rPr>
                <w:rFonts w:hAnsi="標楷體" w:hint="eastAsia"/>
                <w:sz w:val="24"/>
                <w:szCs w:val="24"/>
              </w:rPr>
              <w:t>1.兆豐銀行向財政部報告</w:t>
            </w:r>
            <w:r w:rsidR="008A0F8A" w:rsidRPr="0073501F">
              <w:rPr>
                <w:rFonts w:hAnsi="標楷體"/>
                <w:sz w:val="24"/>
                <w:szCs w:val="24"/>
              </w:rPr>
              <w:t>NYDFS</w:t>
            </w:r>
            <w:r w:rsidRPr="0073501F">
              <w:rPr>
                <w:rFonts w:hAnsi="標楷體" w:hint="eastAsia"/>
                <w:sz w:val="24"/>
                <w:szCs w:val="24"/>
              </w:rPr>
              <w:t>將裁罰該行。</w:t>
            </w:r>
            <w:bookmarkEnd w:id="82"/>
            <w:bookmarkEnd w:id="83"/>
          </w:p>
          <w:p w:rsidR="00441F49" w:rsidRPr="0073501F" w:rsidRDefault="00441F49" w:rsidP="00441F49">
            <w:pPr>
              <w:pStyle w:val="3"/>
              <w:numPr>
                <w:ilvl w:val="0"/>
                <w:numId w:val="0"/>
              </w:numPr>
              <w:jc w:val="left"/>
              <w:rPr>
                <w:rFonts w:hAnsi="標楷體"/>
                <w:sz w:val="24"/>
                <w:szCs w:val="24"/>
              </w:rPr>
            </w:pPr>
            <w:bookmarkStart w:id="84" w:name="_Toc484177922"/>
            <w:bookmarkStart w:id="85" w:name="_Toc484593471"/>
            <w:r w:rsidRPr="0073501F">
              <w:rPr>
                <w:rFonts w:hAnsi="標楷體" w:hint="eastAsia"/>
                <w:sz w:val="24"/>
                <w:szCs w:val="24"/>
              </w:rPr>
              <w:t>2.中央銀行依金管會之請求提供適當之協助</w:t>
            </w:r>
            <w:r w:rsidRPr="0073501F">
              <w:rPr>
                <w:rFonts w:hAnsi="標楷體"/>
                <w:sz w:val="24"/>
                <w:szCs w:val="24"/>
              </w:rPr>
              <w:t>。</w:t>
            </w:r>
            <w:bookmarkEnd w:id="84"/>
            <w:bookmarkEnd w:id="85"/>
          </w:p>
        </w:tc>
      </w:tr>
      <w:tr w:rsidR="00441F49" w:rsidRPr="0073501F" w:rsidTr="00441F49">
        <w:tc>
          <w:tcPr>
            <w:tcW w:w="1559" w:type="dxa"/>
            <w:vAlign w:val="center"/>
          </w:tcPr>
          <w:p w:rsidR="00441F49" w:rsidRPr="0073501F" w:rsidRDefault="00441F49" w:rsidP="00441F49">
            <w:pPr>
              <w:pStyle w:val="3"/>
              <w:numPr>
                <w:ilvl w:val="0"/>
                <w:numId w:val="0"/>
              </w:numPr>
              <w:ind w:leftChars="-19" w:left="-65" w:rightChars="-20" w:right="-68"/>
              <w:jc w:val="center"/>
              <w:rPr>
                <w:rFonts w:hAnsi="標楷體"/>
                <w:sz w:val="24"/>
                <w:szCs w:val="24"/>
              </w:rPr>
            </w:pPr>
            <w:bookmarkStart w:id="86" w:name="_Toc484177923"/>
            <w:bookmarkStart w:id="87" w:name="_Toc484593472"/>
            <w:r w:rsidRPr="0073501F">
              <w:rPr>
                <w:rFonts w:hAnsi="標楷體" w:hint="eastAsia"/>
                <w:sz w:val="24"/>
                <w:szCs w:val="24"/>
              </w:rPr>
              <w:t>105.</w:t>
            </w:r>
            <w:r w:rsidRPr="0073501F">
              <w:rPr>
                <w:rFonts w:hAnsi="標楷體"/>
                <w:sz w:val="24"/>
                <w:szCs w:val="24"/>
              </w:rPr>
              <w:t>8</w:t>
            </w:r>
            <w:r w:rsidRPr="0073501F">
              <w:rPr>
                <w:rFonts w:hAnsi="標楷體" w:hint="eastAsia"/>
                <w:sz w:val="24"/>
                <w:szCs w:val="24"/>
              </w:rPr>
              <w:t>.</w:t>
            </w:r>
            <w:r w:rsidRPr="0073501F">
              <w:rPr>
                <w:rFonts w:hAnsi="標楷體"/>
                <w:sz w:val="24"/>
                <w:szCs w:val="24"/>
              </w:rPr>
              <w:t>19</w:t>
            </w:r>
            <w:bookmarkEnd w:id="86"/>
            <w:bookmarkEnd w:id="87"/>
          </w:p>
        </w:tc>
        <w:tc>
          <w:tcPr>
            <w:tcW w:w="6542" w:type="dxa"/>
          </w:tcPr>
          <w:p w:rsidR="00441F49" w:rsidRPr="0073501F" w:rsidRDefault="00441F49" w:rsidP="00441F49">
            <w:pPr>
              <w:pStyle w:val="3"/>
              <w:numPr>
                <w:ilvl w:val="0"/>
                <w:numId w:val="0"/>
              </w:numPr>
              <w:rPr>
                <w:rFonts w:hAnsi="標楷體"/>
                <w:sz w:val="24"/>
                <w:szCs w:val="24"/>
              </w:rPr>
            </w:pPr>
            <w:bookmarkStart w:id="88" w:name="_Toc484177924"/>
            <w:bookmarkStart w:id="89" w:name="_Toc484593473"/>
            <w:r w:rsidRPr="0073501F">
              <w:rPr>
                <w:rFonts w:hAnsi="標楷體" w:hint="eastAsia"/>
                <w:sz w:val="24"/>
                <w:szCs w:val="24"/>
              </w:rPr>
              <w:t>兆豐銀行簽署合意處分令，</w:t>
            </w:r>
            <w:r w:rsidR="008A0F8A" w:rsidRPr="0073501F">
              <w:rPr>
                <w:rFonts w:hAnsi="標楷體"/>
                <w:sz w:val="24"/>
                <w:szCs w:val="24"/>
              </w:rPr>
              <w:t>NYDFS</w:t>
            </w:r>
            <w:r w:rsidRPr="0073501F">
              <w:rPr>
                <w:rFonts w:hAnsi="標楷體" w:hint="eastAsia"/>
                <w:sz w:val="24"/>
                <w:szCs w:val="24"/>
              </w:rPr>
              <w:t>核處兆豐銀行</w:t>
            </w:r>
            <w:r w:rsidRPr="0073501F">
              <w:rPr>
                <w:rFonts w:hAnsi="標楷體"/>
                <w:sz w:val="24"/>
                <w:szCs w:val="24"/>
              </w:rPr>
              <w:t>1</w:t>
            </w:r>
            <w:r w:rsidRPr="0073501F">
              <w:rPr>
                <w:rFonts w:hAnsi="標楷體" w:hint="eastAsia"/>
                <w:sz w:val="24"/>
                <w:szCs w:val="24"/>
              </w:rPr>
              <w:t>億</w:t>
            </w:r>
            <w:r w:rsidRPr="0073501F">
              <w:rPr>
                <w:rFonts w:hAnsi="標楷體"/>
                <w:sz w:val="24"/>
                <w:szCs w:val="24"/>
              </w:rPr>
              <w:t>8</w:t>
            </w:r>
            <w:r w:rsidRPr="0073501F">
              <w:rPr>
                <w:rFonts w:hAnsi="標楷體" w:hint="eastAsia"/>
                <w:sz w:val="24"/>
                <w:szCs w:val="24"/>
              </w:rPr>
              <w:t>千萬美元之罰款，並於</w:t>
            </w:r>
            <w:r w:rsidR="008A0F8A" w:rsidRPr="0073501F">
              <w:rPr>
                <w:rFonts w:hAnsi="標楷體"/>
                <w:sz w:val="24"/>
                <w:szCs w:val="24"/>
              </w:rPr>
              <w:t>NYDFS</w:t>
            </w:r>
            <w:r w:rsidRPr="0073501F">
              <w:rPr>
                <w:rFonts w:hAnsi="標楷體" w:hint="eastAsia"/>
                <w:sz w:val="24"/>
                <w:szCs w:val="24"/>
              </w:rPr>
              <w:t>網站公布合意處分令。</w:t>
            </w:r>
            <w:bookmarkEnd w:id="88"/>
            <w:bookmarkEnd w:id="89"/>
          </w:p>
        </w:tc>
      </w:tr>
    </w:tbl>
    <w:p w:rsidR="00441F49" w:rsidRPr="0073501F" w:rsidRDefault="00441F49" w:rsidP="00441F49">
      <w:pPr>
        <w:pStyle w:val="3"/>
        <w:numPr>
          <w:ilvl w:val="0"/>
          <w:numId w:val="0"/>
        </w:numPr>
        <w:spacing w:afterLines="50" w:after="228"/>
        <w:ind w:left="851"/>
        <w:rPr>
          <w:rFonts w:hAnsi="標楷體"/>
        </w:rPr>
      </w:pPr>
      <w:bookmarkStart w:id="90" w:name="_Toc484177925"/>
      <w:bookmarkStart w:id="91" w:name="_Toc484593474"/>
      <w:r w:rsidRPr="0073501F">
        <w:rPr>
          <w:rFonts w:hAnsi="標楷體" w:hint="eastAsia"/>
          <w:sz w:val="24"/>
          <w:szCs w:val="24"/>
        </w:rPr>
        <w:t>資料來源：本院整理。</w:t>
      </w:r>
      <w:bookmarkEnd w:id="90"/>
      <w:bookmarkEnd w:id="91"/>
    </w:p>
    <w:p w:rsidR="00441F49" w:rsidRPr="0073501F" w:rsidRDefault="00441F49" w:rsidP="00441F49">
      <w:pPr>
        <w:pStyle w:val="3"/>
        <w:spacing w:beforeLines="50" w:before="228"/>
        <w:ind w:left="1360" w:hanging="680"/>
        <w:rPr>
          <w:rFonts w:hAnsi="標楷體"/>
        </w:rPr>
      </w:pPr>
      <w:bookmarkStart w:id="92" w:name="_Toc484177926"/>
      <w:bookmarkStart w:id="93" w:name="_Toc484593475"/>
      <w:r w:rsidRPr="0073501F">
        <w:rPr>
          <w:rFonts w:hAnsi="標楷體" w:hint="eastAsia"/>
        </w:rPr>
        <w:t>依據本案合意處分令所提兆豐銀行之缺失</w:t>
      </w:r>
      <w:r w:rsidRPr="0073501F">
        <w:rPr>
          <w:rStyle w:val="afc"/>
          <w:rFonts w:hAnsi="標楷體"/>
        </w:rPr>
        <w:footnoteReference w:id="7"/>
      </w:r>
      <w:r w:rsidRPr="0073501F">
        <w:rPr>
          <w:rFonts w:hAnsi="標楷體" w:hint="eastAsia"/>
        </w:rPr>
        <w:t>，略以：</w:t>
      </w:r>
      <w:bookmarkEnd w:id="92"/>
      <w:bookmarkEnd w:id="93"/>
    </w:p>
    <w:p w:rsidR="00441F49" w:rsidRPr="0073501F" w:rsidRDefault="00441F49" w:rsidP="00441F49">
      <w:pPr>
        <w:pStyle w:val="4"/>
        <w:rPr>
          <w:rFonts w:hAnsi="標楷體"/>
        </w:rPr>
      </w:pPr>
      <w:r w:rsidRPr="0073501F">
        <w:rPr>
          <w:rFonts w:hAnsi="標楷體" w:hint="eastAsia"/>
        </w:rPr>
        <w:t>紐約分行內控不佳：</w:t>
      </w:r>
    </w:p>
    <w:p w:rsidR="00441F49" w:rsidRPr="0073501F" w:rsidRDefault="00441F49" w:rsidP="00441F49">
      <w:pPr>
        <w:pStyle w:val="5"/>
        <w:rPr>
          <w:rFonts w:hAnsi="標楷體"/>
        </w:rPr>
      </w:pPr>
      <w:r w:rsidRPr="0073501F">
        <w:rPr>
          <w:rFonts w:hAnsi="標楷體" w:hint="eastAsia"/>
        </w:rPr>
        <w:t>洗錢防制及打擊資助恐怖主義</w:t>
      </w:r>
      <w:r w:rsidRPr="0073501F">
        <w:rPr>
          <w:rFonts w:hAnsi="標楷體"/>
        </w:rPr>
        <w:t>之主管係由總行派至紐約分行工作之行員擔任，不熟悉美國法規且訓練不</w:t>
      </w:r>
      <w:r w:rsidRPr="0073501F">
        <w:rPr>
          <w:rFonts w:hAnsi="標楷體" w:hint="eastAsia"/>
        </w:rPr>
        <w:t>足</w:t>
      </w:r>
      <w:r w:rsidRPr="0073501F">
        <w:rPr>
          <w:rFonts w:hAnsi="標楷體"/>
        </w:rPr>
        <w:t>。紐約分行法遵</w:t>
      </w:r>
      <w:r w:rsidRPr="0073501F">
        <w:rPr>
          <w:rFonts w:hAnsi="標楷體" w:hint="eastAsia"/>
        </w:rPr>
        <w:t>主管</w:t>
      </w:r>
      <w:r w:rsidRPr="0073501F">
        <w:rPr>
          <w:rFonts w:hAnsi="標楷體"/>
        </w:rPr>
        <w:t>對</w:t>
      </w:r>
      <w:r w:rsidRPr="0073501F">
        <w:rPr>
          <w:rFonts w:hAnsi="標楷體" w:hint="eastAsia"/>
        </w:rPr>
        <w:t>美國之銀行秘密法與洗錢防制 (下稱</w:t>
      </w:r>
      <w:r w:rsidRPr="0073501F">
        <w:rPr>
          <w:rFonts w:hAnsi="標楷體"/>
        </w:rPr>
        <w:t>BSA/AML</w:t>
      </w:r>
      <w:r w:rsidRPr="0073501F">
        <w:rPr>
          <w:rFonts w:hAnsi="標楷體" w:hint="eastAsia"/>
        </w:rPr>
        <w:t>)</w:t>
      </w:r>
      <w:r w:rsidRPr="0073501F">
        <w:rPr>
          <w:rStyle w:val="afc"/>
          <w:rFonts w:hAnsi="標楷體"/>
        </w:rPr>
        <w:t xml:space="preserve"> </w:t>
      </w:r>
      <w:r w:rsidRPr="0073501F">
        <w:rPr>
          <w:rStyle w:val="afc"/>
          <w:rFonts w:hAnsi="標楷體"/>
        </w:rPr>
        <w:footnoteReference w:id="8"/>
      </w:r>
      <w:r w:rsidRPr="0073501F">
        <w:rPr>
          <w:rFonts w:hAnsi="標楷體" w:hint="eastAsia"/>
        </w:rPr>
        <w:t>及</w:t>
      </w:r>
      <w:r w:rsidRPr="0073501F">
        <w:rPr>
          <w:rFonts w:hAnsi="標楷體" w:hint="eastAsia"/>
          <w:szCs w:val="32"/>
        </w:rPr>
        <w:t>美國</w:t>
      </w:r>
      <w:r w:rsidRPr="0073501F">
        <w:rPr>
          <w:rFonts w:hAnsi="標楷體" w:cs="HiddenHorzOCR" w:hint="eastAsia"/>
          <w:kern w:val="0"/>
          <w:szCs w:val="32"/>
        </w:rPr>
        <w:t>財政部外國資</w:t>
      </w:r>
      <w:r w:rsidRPr="0073501F">
        <w:rPr>
          <w:rFonts w:hAnsi="標楷體" w:cs="細明體" w:hint="eastAsia"/>
          <w:kern w:val="0"/>
          <w:szCs w:val="32"/>
        </w:rPr>
        <w:t>產</w:t>
      </w:r>
      <w:r w:rsidRPr="0073501F">
        <w:rPr>
          <w:rFonts w:hAnsi="標楷體" w:cs="MS Mincho" w:hint="eastAsia"/>
          <w:kern w:val="0"/>
          <w:szCs w:val="32"/>
        </w:rPr>
        <w:t>控制辦公室（</w:t>
      </w:r>
      <w:r w:rsidRPr="0073501F">
        <w:rPr>
          <w:rFonts w:hAnsi="標楷體" w:hint="eastAsia"/>
        </w:rPr>
        <w:t>下稱OFAC</w:t>
      </w:r>
      <w:r w:rsidRPr="0073501F">
        <w:rPr>
          <w:rFonts w:hAnsi="標楷體" w:cs="MS Mincho" w:hint="eastAsia"/>
          <w:kern w:val="0"/>
          <w:szCs w:val="32"/>
        </w:rPr>
        <w:t>）</w:t>
      </w:r>
      <w:r w:rsidRPr="0073501F">
        <w:rPr>
          <w:rStyle w:val="afc"/>
          <w:rFonts w:hAnsi="標楷體" w:cs="MS Mincho"/>
          <w:kern w:val="0"/>
          <w:szCs w:val="32"/>
        </w:rPr>
        <w:footnoteReference w:id="9"/>
      </w:r>
      <w:r w:rsidRPr="0073501F">
        <w:rPr>
          <w:rFonts w:hAnsi="標楷體" w:cs="MS Mincho" w:hint="eastAsia"/>
          <w:kern w:val="0"/>
          <w:szCs w:val="32"/>
        </w:rPr>
        <w:t>之</w:t>
      </w:r>
      <w:r w:rsidRPr="0073501F">
        <w:rPr>
          <w:rFonts w:hAnsi="標楷體"/>
          <w:szCs w:val="32"/>
        </w:rPr>
        <w:t>要求</w:t>
      </w:r>
      <w:r w:rsidRPr="0073501F">
        <w:rPr>
          <w:rFonts w:hAnsi="標楷體" w:hint="eastAsia"/>
          <w:szCs w:val="32"/>
        </w:rPr>
        <w:t>與期待，</w:t>
      </w:r>
      <w:r w:rsidRPr="0073501F">
        <w:rPr>
          <w:rFonts w:hAnsi="標楷體"/>
          <w:szCs w:val="32"/>
        </w:rPr>
        <w:t>缺乏足夠知識</w:t>
      </w:r>
      <w:r w:rsidRPr="0073501F">
        <w:rPr>
          <w:rFonts w:hAnsi="標楷體" w:hint="eastAsia"/>
          <w:szCs w:val="32"/>
        </w:rPr>
        <w:t>。</w:t>
      </w:r>
    </w:p>
    <w:p w:rsidR="00441F49" w:rsidRPr="0073501F" w:rsidRDefault="00441F49" w:rsidP="00441F49">
      <w:pPr>
        <w:pStyle w:val="5"/>
        <w:rPr>
          <w:rFonts w:hAnsi="標楷體"/>
        </w:rPr>
      </w:pPr>
      <w:r w:rsidRPr="0073501F">
        <w:rPr>
          <w:rFonts w:hAnsi="標楷體"/>
        </w:rPr>
        <w:t>法遵</w:t>
      </w:r>
      <w:r w:rsidRPr="0073501F">
        <w:rPr>
          <w:rFonts w:hAnsi="標楷體" w:hint="eastAsia"/>
        </w:rPr>
        <w:t>主管</w:t>
      </w:r>
      <w:r w:rsidRPr="0073501F">
        <w:rPr>
          <w:rFonts w:hAnsi="標楷體"/>
        </w:rPr>
        <w:t>提供紐約分行營運</w:t>
      </w:r>
      <w:r w:rsidRPr="0073501F">
        <w:rPr>
          <w:rFonts w:hAnsi="標楷體" w:hint="eastAsia"/>
        </w:rPr>
        <w:t>之</w:t>
      </w:r>
      <w:r w:rsidRPr="0073501F">
        <w:rPr>
          <w:rFonts w:hAnsi="標楷體"/>
        </w:rPr>
        <w:t>支援，包括分行</w:t>
      </w:r>
      <w:r w:rsidRPr="0073501F">
        <w:rPr>
          <w:rFonts w:hAnsi="標楷體" w:hint="eastAsia"/>
        </w:rPr>
        <w:t>之</w:t>
      </w:r>
      <w:r w:rsidRPr="0073501F">
        <w:rPr>
          <w:rFonts w:hAnsi="標楷體"/>
        </w:rPr>
        <w:t>資金科、營業科、聯</w:t>
      </w:r>
      <w:r w:rsidRPr="0073501F">
        <w:rPr>
          <w:rFonts w:hAnsi="標楷體" w:hint="eastAsia"/>
        </w:rPr>
        <w:t>行及同業往來</w:t>
      </w:r>
      <w:r w:rsidRPr="0073501F">
        <w:rPr>
          <w:rFonts w:hAnsi="標楷體"/>
        </w:rPr>
        <w:t>科</w:t>
      </w:r>
      <w:r w:rsidRPr="0073501F">
        <w:rPr>
          <w:rFonts w:hAnsi="標楷體" w:hint="eastAsia"/>
        </w:rPr>
        <w:t>、</w:t>
      </w:r>
      <w:r w:rsidRPr="0073501F">
        <w:rPr>
          <w:rFonts w:hAnsi="標楷體"/>
        </w:rPr>
        <w:t>授信科</w:t>
      </w:r>
      <w:r w:rsidRPr="0073501F">
        <w:rPr>
          <w:rFonts w:hAnsi="標楷體" w:hint="eastAsia"/>
        </w:rPr>
        <w:t>等</w:t>
      </w:r>
      <w:r w:rsidRPr="0073501F">
        <w:rPr>
          <w:rFonts w:hAnsi="標楷體"/>
        </w:rPr>
        <w:t>，同時擔任資訊安全主管</w:t>
      </w:r>
      <w:r w:rsidRPr="0073501F">
        <w:rPr>
          <w:rFonts w:hAnsi="標楷體" w:hint="eastAsia"/>
        </w:rPr>
        <w:t>，</w:t>
      </w:r>
      <w:r w:rsidRPr="0073501F">
        <w:rPr>
          <w:rFonts w:hAnsi="標楷體"/>
        </w:rPr>
        <w:t>因此</w:t>
      </w:r>
      <w:r w:rsidRPr="0073501F">
        <w:rPr>
          <w:rFonts w:hAnsi="標楷體" w:hint="eastAsia"/>
        </w:rPr>
        <w:t>未</w:t>
      </w:r>
      <w:r w:rsidRPr="0073501F">
        <w:rPr>
          <w:rFonts w:hAnsi="標楷體"/>
        </w:rPr>
        <w:t>投入足夠時間</w:t>
      </w:r>
      <w:r w:rsidRPr="0073501F">
        <w:rPr>
          <w:rFonts w:hAnsi="標楷體" w:hint="eastAsia"/>
        </w:rPr>
        <w:t>及</w:t>
      </w:r>
      <w:r w:rsidRPr="0073501F">
        <w:rPr>
          <w:rFonts w:hAnsi="標楷體"/>
        </w:rPr>
        <w:t>精力</w:t>
      </w:r>
      <w:r w:rsidRPr="0073501F">
        <w:rPr>
          <w:rFonts w:hAnsi="標楷體" w:hint="eastAsia"/>
        </w:rPr>
        <w:t>於</w:t>
      </w:r>
      <w:r w:rsidRPr="0073501F">
        <w:rPr>
          <w:rFonts w:hAnsi="標楷體"/>
        </w:rPr>
        <w:t>重要</w:t>
      </w:r>
      <w:r w:rsidRPr="0073501F">
        <w:rPr>
          <w:rFonts w:hAnsi="標楷體" w:hint="eastAsia"/>
        </w:rPr>
        <w:t>之</w:t>
      </w:r>
      <w:r w:rsidRPr="0073501F">
        <w:rPr>
          <w:rFonts w:hAnsi="標楷體"/>
        </w:rPr>
        <w:t>法令遵循責任上，</w:t>
      </w:r>
      <w:r w:rsidRPr="0073501F">
        <w:rPr>
          <w:rFonts w:hAnsi="標楷體" w:hint="eastAsia"/>
        </w:rPr>
        <w:t>且造成職務上責任衝突。</w:t>
      </w:r>
    </w:p>
    <w:p w:rsidR="00441F49" w:rsidRPr="0073501F" w:rsidRDefault="00441F49" w:rsidP="00441F49">
      <w:pPr>
        <w:pStyle w:val="5"/>
        <w:rPr>
          <w:rFonts w:hAnsi="標楷體" w:cs="HiddenHorzOCR"/>
          <w:kern w:val="0"/>
          <w:szCs w:val="32"/>
        </w:rPr>
      </w:pPr>
      <w:r w:rsidRPr="0073501F">
        <w:rPr>
          <w:rFonts w:hAnsi="標楷體" w:cs="HiddenHorzOCR" w:hint="eastAsia"/>
          <w:kern w:val="0"/>
          <w:szCs w:val="32"/>
        </w:rPr>
        <w:t>紐約分行的交易監控系統和政策存在嚴重缺失。例如：</w:t>
      </w:r>
      <w:r w:rsidRPr="0073501F">
        <w:rPr>
          <w:rFonts w:hAnsi="標楷體"/>
          <w:szCs w:val="32"/>
        </w:rPr>
        <w:t>總行及紐</w:t>
      </w:r>
      <w:r w:rsidRPr="0073501F">
        <w:rPr>
          <w:rFonts w:hAnsi="標楷體" w:hint="eastAsia"/>
          <w:szCs w:val="32"/>
        </w:rPr>
        <w:t>約分</w:t>
      </w:r>
      <w:r w:rsidRPr="0073501F">
        <w:rPr>
          <w:rFonts w:hAnsi="標楷體"/>
          <w:szCs w:val="32"/>
        </w:rPr>
        <w:t>行未</w:t>
      </w:r>
      <w:r w:rsidRPr="0073501F">
        <w:rPr>
          <w:rFonts w:hAnsi="標楷體"/>
        </w:rPr>
        <w:t>能定期檢視交易監控系統設定</w:t>
      </w:r>
      <w:r w:rsidRPr="0073501F">
        <w:rPr>
          <w:rFonts w:hAnsi="標楷體" w:hint="eastAsia"/>
        </w:rPr>
        <w:t>之篩選條件。</w:t>
      </w:r>
      <w:r w:rsidRPr="0073501F">
        <w:rPr>
          <w:rFonts w:hAnsi="標楷體" w:cs="HiddenHorzOCR" w:hint="eastAsia"/>
          <w:kern w:val="0"/>
          <w:szCs w:val="32"/>
        </w:rPr>
        <w:t>對用於檢測可疑交易的一些</w:t>
      </w:r>
      <w:r w:rsidRPr="0073501F">
        <w:rPr>
          <w:rFonts w:hAnsi="標楷體" w:cs="HiddenHorzOCR"/>
          <w:kern w:val="0"/>
          <w:szCs w:val="32"/>
        </w:rPr>
        <w:t>(</w:t>
      </w:r>
      <w:r w:rsidRPr="0073501F">
        <w:rPr>
          <w:rFonts w:hAnsi="標楷體" w:cs="HiddenHorzOCR" w:hint="eastAsia"/>
          <w:kern w:val="0"/>
          <w:szCs w:val="32"/>
        </w:rPr>
        <w:t>篩選</w:t>
      </w:r>
      <w:r w:rsidRPr="0073501F">
        <w:rPr>
          <w:rFonts w:hAnsi="標楷體" w:cs="HiddenHorzOCR"/>
          <w:kern w:val="0"/>
          <w:szCs w:val="32"/>
        </w:rPr>
        <w:t>)</w:t>
      </w:r>
      <w:r w:rsidRPr="0073501F">
        <w:rPr>
          <w:rFonts w:hAnsi="標楷體" w:cs="HiddenHorzOCR" w:hint="eastAsia"/>
          <w:kern w:val="0"/>
          <w:szCs w:val="32"/>
        </w:rPr>
        <w:t>標準或關鍵字，分行管理階層無法解釋驗證過程或證明被挑選用來使用標準的理由。另，</w:t>
      </w:r>
      <w:r w:rsidRPr="0073501F">
        <w:rPr>
          <w:rFonts w:hAnsi="標楷體"/>
          <w:szCs w:val="32"/>
        </w:rPr>
        <w:t>若干與監控程序有關文件，尚為中文，未譯成英文，致監管機構無法有效檢</w:t>
      </w:r>
      <w:r w:rsidRPr="0073501F">
        <w:rPr>
          <w:rFonts w:hAnsi="標楷體" w:hint="eastAsia"/>
          <w:szCs w:val="32"/>
        </w:rPr>
        <w:t>查</w:t>
      </w:r>
      <w:r w:rsidRPr="0073501F">
        <w:rPr>
          <w:rFonts w:hAnsi="標楷體"/>
          <w:szCs w:val="32"/>
        </w:rPr>
        <w:t>。</w:t>
      </w:r>
    </w:p>
    <w:p w:rsidR="00441F49" w:rsidRPr="0073501F" w:rsidRDefault="00441F49" w:rsidP="00441F49">
      <w:pPr>
        <w:pStyle w:val="5"/>
        <w:rPr>
          <w:rFonts w:hAnsi="標楷體"/>
        </w:rPr>
      </w:pPr>
      <w:r w:rsidRPr="0073501F">
        <w:rPr>
          <w:rFonts w:hAnsi="標楷體"/>
        </w:rPr>
        <w:t>紐約分行用</w:t>
      </w:r>
      <w:r w:rsidRPr="0073501F">
        <w:rPr>
          <w:rFonts w:hAnsi="標楷體" w:hint="eastAsia"/>
        </w:rPr>
        <w:t>以</w:t>
      </w:r>
      <w:r w:rsidRPr="0073501F">
        <w:rPr>
          <w:rFonts w:hAnsi="標楷體"/>
        </w:rPr>
        <w:t>管理可疑活動警示</w:t>
      </w:r>
      <w:r w:rsidRPr="0073501F">
        <w:rPr>
          <w:rFonts w:hAnsi="標楷體" w:hint="eastAsia"/>
        </w:rPr>
        <w:t>之</w:t>
      </w:r>
      <w:r w:rsidRPr="0073501F">
        <w:rPr>
          <w:rFonts w:hAnsi="標楷體"/>
        </w:rPr>
        <w:t>政策</w:t>
      </w:r>
      <w:r w:rsidRPr="0073501F">
        <w:rPr>
          <w:rFonts w:hAnsi="標楷體" w:hint="eastAsia"/>
        </w:rPr>
        <w:t>及</w:t>
      </w:r>
      <w:r w:rsidRPr="0073501F">
        <w:rPr>
          <w:rFonts w:hAnsi="標楷體"/>
        </w:rPr>
        <w:t>程序不足。</w:t>
      </w:r>
    </w:p>
    <w:p w:rsidR="00441F49" w:rsidRPr="0073501F" w:rsidRDefault="00441F49" w:rsidP="00441F49">
      <w:pPr>
        <w:pStyle w:val="5"/>
        <w:rPr>
          <w:rFonts w:hAnsi="標楷體"/>
        </w:rPr>
      </w:pPr>
      <w:r w:rsidRPr="0073501F">
        <w:rPr>
          <w:rFonts w:hAnsi="標楷體" w:hint="eastAsia"/>
        </w:rPr>
        <w:lastRenderedPageBreak/>
        <w:t>檢查結論認為</w:t>
      </w:r>
      <w:r w:rsidRPr="0073501F">
        <w:rPr>
          <w:rFonts w:hAnsi="標楷體"/>
        </w:rPr>
        <w:t>紐約分行</w:t>
      </w:r>
      <w:r w:rsidRPr="0073501F">
        <w:rPr>
          <w:rFonts w:hAnsi="標楷體" w:hint="eastAsia"/>
        </w:rPr>
        <w:t>的</w:t>
      </w:r>
      <w:r w:rsidRPr="0073501F">
        <w:rPr>
          <w:rFonts w:hAnsi="標楷體"/>
        </w:rPr>
        <w:t>BSA/AML</w:t>
      </w:r>
      <w:r w:rsidRPr="0073501F">
        <w:rPr>
          <w:rFonts w:hAnsi="標楷體" w:hint="eastAsia"/>
        </w:rPr>
        <w:t>的</w:t>
      </w:r>
      <w:r w:rsidRPr="0073501F">
        <w:rPr>
          <w:rFonts w:hAnsi="標楷體"/>
        </w:rPr>
        <w:t>政策</w:t>
      </w:r>
      <w:r w:rsidRPr="0073501F">
        <w:rPr>
          <w:rFonts w:hAnsi="標楷體" w:hint="eastAsia"/>
        </w:rPr>
        <w:t>及程序缺乏一致和統一的目的。不足之處，例如：</w:t>
      </w:r>
    </w:p>
    <w:p w:rsidR="00441F49" w:rsidRPr="0073501F" w:rsidRDefault="00441F49" w:rsidP="00441F49">
      <w:pPr>
        <w:pStyle w:val="6"/>
        <w:rPr>
          <w:rFonts w:hAnsi="標楷體"/>
        </w:rPr>
      </w:pPr>
      <w:r w:rsidRPr="0073501F">
        <w:rPr>
          <w:rFonts w:hAnsi="標楷體" w:hint="eastAsia"/>
        </w:rPr>
        <w:t>營業科和聯同科政策和程序實質的不一致。</w:t>
      </w:r>
    </w:p>
    <w:p w:rsidR="00441F49" w:rsidRPr="0073501F" w:rsidRDefault="00441F49" w:rsidP="00441F49">
      <w:pPr>
        <w:pStyle w:val="6"/>
        <w:rPr>
          <w:rFonts w:hAnsi="標楷體"/>
          <w:szCs w:val="32"/>
        </w:rPr>
      </w:pPr>
      <w:r w:rsidRPr="0073501F">
        <w:rPr>
          <w:rFonts w:hAnsi="標楷體" w:hint="eastAsia"/>
        </w:rPr>
        <w:t>交易監控、客戶開戶及</w:t>
      </w:r>
      <w:r w:rsidRPr="0073501F">
        <w:rPr>
          <w:rFonts w:hAnsi="標楷體"/>
          <w:szCs w:val="32"/>
        </w:rPr>
        <w:t>OFAC</w:t>
      </w:r>
      <w:r w:rsidRPr="0073501F">
        <w:rPr>
          <w:rFonts w:hAnsi="標楷體" w:hint="eastAsia"/>
          <w:szCs w:val="32"/>
        </w:rPr>
        <w:t>之政策和程序內容不一致。</w:t>
      </w:r>
    </w:p>
    <w:p w:rsidR="00441F49" w:rsidRPr="0073501F" w:rsidRDefault="00441F49" w:rsidP="00441F49">
      <w:pPr>
        <w:pStyle w:val="6"/>
        <w:rPr>
          <w:rFonts w:hAnsi="標楷體"/>
          <w:szCs w:val="32"/>
        </w:rPr>
      </w:pPr>
      <w:r w:rsidRPr="0073501F">
        <w:rPr>
          <w:rFonts w:hAnsi="標楷體" w:hint="eastAsia"/>
          <w:szCs w:val="32"/>
        </w:rPr>
        <w:t>有關客戶盡職調查</w:t>
      </w:r>
      <w:r w:rsidRPr="0073501F">
        <w:rPr>
          <w:rStyle w:val="afc"/>
          <w:rFonts w:hAnsi="標楷體"/>
          <w:szCs w:val="32"/>
        </w:rPr>
        <w:footnoteReference w:id="10"/>
      </w:r>
      <w:r w:rsidRPr="0073501F">
        <w:rPr>
          <w:rFonts w:hAnsi="標楷體" w:hint="eastAsia"/>
          <w:szCs w:val="32"/>
        </w:rPr>
        <w:t>、加強盡職調查</w:t>
      </w:r>
      <w:r w:rsidRPr="0073501F">
        <w:rPr>
          <w:rFonts w:hAnsi="標楷體"/>
          <w:szCs w:val="32"/>
        </w:rPr>
        <w:t>(</w:t>
      </w:r>
      <w:r w:rsidRPr="0073501F">
        <w:rPr>
          <w:rFonts w:hAnsi="標楷體" w:hint="eastAsia"/>
          <w:szCs w:val="32"/>
        </w:rPr>
        <w:t>下稱</w:t>
      </w:r>
      <w:r w:rsidRPr="0073501F">
        <w:rPr>
          <w:rFonts w:hAnsi="標楷體"/>
          <w:szCs w:val="32"/>
        </w:rPr>
        <w:t>EDD)</w:t>
      </w:r>
      <w:r w:rsidRPr="0073501F">
        <w:rPr>
          <w:rStyle w:val="afc"/>
          <w:rFonts w:hAnsi="標楷體"/>
          <w:szCs w:val="32"/>
        </w:rPr>
        <w:footnoteReference w:id="11"/>
      </w:r>
      <w:r w:rsidRPr="0073501F">
        <w:rPr>
          <w:rFonts w:hAnsi="標楷體" w:hint="eastAsia"/>
          <w:szCs w:val="32"/>
        </w:rPr>
        <w:t>、有關政治公眾人物（下稱</w:t>
      </w:r>
      <w:r w:rsidRPr="0073501F">
        <w:rPr>
          <w:rFonts w:hAnsi="標楷體"/>
          <w:szCs w:val="32"/>
        </w:rPr>
        <w:t>PEP</w:t>
      </w:r>
      <w:r w:rsidRPr="0073501F">
        <w:rPr>
          <w:rFonts w:hAnsi="標楷體" w:hint="eastAsia"/>
          <w:szCs w:val="32"/>
        </w:rPr>
        <w:t>）</w:t>
      </w:r>
      <w:r w:rsidRPr="0073501F">
        <w:rPr>
          <w:rStyle w:val="afc"/>
          <w:rFonts w:hAnsi="標楷體"/>
          <w:szCs w:val="32"/>
        </w:rPr>
        <w:footnoteReference w:id="12"/>
      </w:r>
      <w:r w:rsidRPr="0073501F">
        <w:rPr>
          <w:rFonts w:hAnsi="標楷體" w:hint="eastAsia"/>
          <w:szCs w:val="32"/>
        </w:rPr>
        <w:t>之政策和程序不符聯邦法規指引。</w:t>
      </w:r>
    </w:p>
    <w:p w:rsidR="00441F49" w:rsidRPr="0073501F" w:rsidRDefault="00441F49" w:rsidP="00441F49">
      <w:pPr>
        <w:pStyle w:val="5"/>
        <w:rPr>
          <w:rFonts w:hAnsi="標楷體"/>
        </w:rPr>
      </w:pPr>
      <w:r w:rsidRPr="0073501F">
        <w:rPr>
          <w:rFonts w:hAnsi="標楷體"/>
          <w:szCs w:val="32"/>
        </w:rPr>
        <w:t>未對聯行</w:t>
      </w:r>
      <w:r w:rsidRPr="0073501F">
        <w:rPr>
          <w:rFonts w:hAnsi="標楷體" w:hint="eastAsia"/>
          <w:szCs w:val="32"/>
        </w:rPr>
        <w:t>之</w:t>
      </w:r>
      <w:r w:rsidRPr="0073501F">
        <w:rPr>
          <w:rFonts w:hAnsi="標楷體"/>
          <w:szCs w:val="32"/>
        </w:rPr>
        <w:t>通匯活動進行充分審</w:t>
      </w:r>
      <w:r w:rsidRPr="0073501F">
        <w:rPr>
          <w:rFonts w:hAnsi="標楷體"/>
        </w:rPr>
        <w:t>查</w:t>
      </w:r>
      <w:r w:rsidRPr="0073501F">
        <w:rPr>
          <w:rFonts w:hAnsi="標楷體" w:hint="eastAsia"/>
        </w:rPr>
        <w:t>。例如，紐約分行法遵人員未能：</w:t>
      </w:r>
    </w:p>
    <w:p w:rsidR="00441F49" w:rsidRPr="0073501F" w:rsidRDefault="00441F49" w:rsidP="00441F49">
      <w:pPr>
        <w:pStyle w:val="6"/>
        <w:rPr>
          <w:rFonts w:hAnsi="標楷體"/>
        </w:rPr>
      </w:pPr>
      <w:r w:rsidRPr="0073501F">
        <w:rPr>
          <w:rFonts w:hAnsi="標楷體" w:hint="eastAsia"/>
        </w:rPr>
        <w:t>確定外國聯行是否有足夠的防制洗錢法令遵循流程和控制。</w:t>
      </w:r>
    </w:p>
    <w:p w:rsidR="00441F49" w:rsidRPr="0073501F" w:rsidRDefault="00441F49" w:rsidP="00441F49">
      <w:pPr>
        <w:pStyle w:val="6"/>
        <w:rPr>
          <w:rFonts w:hAnsi="標楷體"/>
        </w:rPr>
      </w:pPr>
      <w:r w:rsidRPr="0073501F">
        <w:rPr>
          <w:rFonts w:hAnsi="標楷體" w:hint="eastAsia"/>
        </w:rPr>
        <w:t>確保紐約分行對外國通匯行客戶經營所在地（外國司法管轄區）的防制洗錢制度，能夠有效的瞭解。</w:t>
      </w:r>
    </w:p>
    <w:p w:rsidR="00441F49" w:rsidRPr="0073501F" w:rsidRDefault="00441F49" w:rsidP="00441F49">
      <w:pPr>
        <w:pStyle w:val="6"/>
        <w:rPr>
          <w:rFonts w:hAnsi="標楷體"/>
        </w:rPr>
      </w:pPr>
      <w:r w:rsidRPr="0073501F">
        <w:rPr>
          <w:rFonts w:hAnsi="標楷體" w:hint="eastAsia"/>
        </w:rPr>
        <w:t>追蹤聯行客戶之帳戶活動，對是否與客戶交易行為相符。</w:t>
      </w:r>
    </w:p>
    <w:p w:rsidR="00441F49" w:rsidRPr="0073501F" w:rsidRDefault="00441F49" w:rsidP="00441F49">
      <w:pPr>
        <w:pStyle w:val="4"/>
        <w:rPr>
          <w:rFonts w:hAnsi="標楷體"/>
        </w:rPr>
      </w:pPr>
      <w:r w:rsidRPr="0073501F">
        <w:rPr>
          <w:rFonts w:hAnsi="標楷體" w:hint="eastAsia"/>
        </w:rPr>
        <w:t>兆豐銀行巴拿馬地區分行涉及可疑活動：</w:t>
      </w:r>
    </w:p>
    <w:p w:rsidR="00441F49" w:rsidRPr="0073501F" w:rsidRDefault="00441F49" w:rsidP="00441F49">
      <w:pPr>
        <w:pStyle w:val="5"/>
        <w:rPr>
          <w:rFonts w:hAnsi="標楷體"/>
        </w:rPr>
      </w:pPr>
      <w:r w:rsidRPr="0073501F">
        <w:rPr>
          <w:rFonts w:hAnsi="標楷體" w:hint="eastAsia"/>
        </w:rPr>
        <w:t>在紐約分行中發現的法令遵循失靈是嚴重的，此顯示兆豐銀行和紐約分行對需要一個有力的法令遵循基礎架構缺乏了解。因此，更令人關注兆豐銀行在巴拿馬市和箇朗自由貿易區分行的經營，兆豐銀行有義務以高規格的盡職審查處理紐約分行和巴拿馬地區分行的交易。</w:t>
      </w:r>
    </w:p>
    <w:p w:rsidR="00441F49" w:rsidRPr="0073501F" w:rsidRDefault="00441F49" w:rsidP="00441F49">
      <w:pPr>
        <w:pStyle w:val="5"/>
        <w:rPr>
          <w:rFonts w:hAnsi="標楷體"/>
        </w:rPr>
      </w:pPr>
      <w:r w:rsidRPr="0073501F">
        <w:rPr>
          <w:rFonts w:hAnsi="標楷體" w:hint="eastAsia"/>
        </w:rPr>
        <w:t>以紐約分行和巴拿馬地區分行之間顯著金額的金融活動而言，法令遵循失靈嚴重。例如，紐約分行和箇朗自由貿易區分行之間的入帳金</w:t>
      </w:r>
      <w:r w:rsidRPr="0073501F">
        <w:rPr>
          <w:rFonts w:hAnsi="標楷體" w:hint="eastAsia"/>
        </w:rPr>
        <w:lastRenderedPageBreak/>
        <w:t>額總額在102年與103年分別為</w:t>
      </w:r>
      <w:r w:rsidRPr="0073501F">
        <w:rPr>
          <w:rFonts w:hAnsi="標楷體"/>
        </w:rPr>
        <w:t>35</w:t>
      </w:r>
      <w:r w:rsidRPr="0073501F">
        <w:rPr>
          <w:rFonts w:hAnsi="標楷體" w:hint="eastAsia"/>
        </w:rPr>
        <w:t>億美元和</w:t>
      </w:r>
      <w:r w:rsidRPr="0073501F">
        <w:rPr>
          <w:rFonts w:hAnsi="標楷體"/>
        </w:rPr>
        <w:t xml:space="preserve">24 </w:t>
      </w:r>
      <w:r w:rsidRPr="0073501F">
        <w:rPr>
          <w:rFonts w:hAnsi="標楷體" w:hint="eastAsia"/>
        </w:rPr>
        <w:t>億美元；同期間，紐約分行和巴拿馬市分行之金額分別為</w:t>
      </w:r>
      <w:r w:rsidRPr="0073501F">
        <w:rPr>
          <w:rFonts w:hAnsi="標楷體"/>
        </w:rPr>
        <w:t>11</w:t>
      </w:r>
      <w:r w:rsidRPr="0073501F">
        <w:rPr>
          <w:rFonts w:hAnsi="標楷體" w:hint="eastAsia"/>
        </w:rPr>
        <w:t>億美元和</w:t>
      </w:r>
      <w:r w:rsidRPr="0073501F">
        <w:rPr>
          <w:rFonts w:hAnsi="標楷體"/>
        </w:rPr>
        <w:t>45</w:t>
      </w:r>
      <w:r w:rsidRPr="0073501F">
        <w:rPr>
          <w:rFonts w:hAnsi="標楷體" w:hint="eastAsia"/>
        </w:rPr>
        <w:t>億美元</w:t>
      </w:r>
      <w:r w:rsidR="00317003" w:rsidRPr="0073501F">
        <w:rPr>
          <w:rStyle w:val="afc"/>
          <w:rFonts w:hAnsi="標楷體"/>
        </w:rPr>
        <w:footnoteReference w:id="13"/>
      </w:r>
      <w:r w:rsidRPr="0073501F">
        <w:rPr>
          <w:rFonts w:hAnsi="標楷體" w:hint="eastAsia"/>
        </w:rPr>
        <w:t>。</w:t>
      </w:r>
    </w:p>
    <w:p w:rsidR="00441F49" w:rsidRPr="0073501F" w:rsidRDefault="00441F49" w:rsidP="00441F49">
      <w:pPr>
        <w:pStyle w:val="5"/>
        <w:rPr>
          <w:rFonts w:hAnsi="標楷體"/>
        </w:rPr>
      </w:pPr>
      <w:r w:rsidRPr="0073501F">
        <w:rPr>
          <w:rFonts w:hAnsi="標楷體" w:hint="eastAsia"/>
        </w:rPr>
        <w:t>兆豐銀行表現對該等交易所涉及的風險漠視。在</w:t>
      </w:r>
      <w:r w:rsidR="008A0F8A" w:rsidRPr="0073501F">
        <w:rPr>
          <w:rFonts w:hAnsi="標楷體"/>
        </w:rPr>
        <w:t>NYDFS</w:t>
      </w:r>
      <w:r w:rsidRPr="0073501F">
        <w:rPr>
          <w:rFonts w:hAnsi="標楷體" w:hint="eastAsia"/>
        </w:rPr>
        <w:t>檢查發現了一些關於兆豐銀行交易涉及巴拿馬地區分行，其指向可能的洗錢和其他可疑活動。例如：</w:t>
      </w:r>
    </w:p>
    <w:p w:rsidR="00441F49" w:rsidRPr="0073501F" w:rsidRDefault="00441F49" w:rsidP="00441F49">
      <w:pPr>
        <w:pStyle w:val="6"/>
        <w:rPr>
          <w:rFonts w:hAnsi="標楷體"/>
        </w:rPr>
      </w:pPr>
      <w:r w:rsidRPr="0073501F">
        <w:rPr>
          <w:rFonts w:hAnsi="標楷體"/>
        </w:rPr>
        <w:t>紐約</w:t>
      </w:r>
      <w:r w:rsidRPr="0073501F">
        <w:rPr>
          <w:rFonts w:hAnsi="標楷體" w:hint="eastAsia"/>
        </w:rPr>
        <w:t>分行</w:t>
      </w:r>
      <w:r w:rsidRPr="0073501F">
        <w:rPr>
          <w:rFonts w:hAnsi="標楷體"/>
        </w:rPr>
        <w:t>評定箇朗分行屬防制洗錢高風險客戶</w:t>
      </w:r>
      <w:r w:rsidRPr="0073501F">
        <w:rPr>
          <w:rFonts w:hAnsi="標楷體" w:hint="eastAsia"/>
        </w:rPr>
        <w:t>，並</w:t>
      </w:r>
      <w:r w:rsidRPr="0073501F">
        <w:rPr>
          <w:rFonts w:hAnsi="標楷體"/>
        </w:rPr>
        <w:t>宣稱每季</w:t>
      </w:r>
      <w:r w:rsidRPr="0073501F">
        <w:rPr>
          <w:rFonts w:hAnsi="標楷體" w:hint="eastAsia"/>
        </w:rPr>
        <w:t>將進行</w:t>
      </w:r>
      <w:r w:rsidRPr="0073501F">
        <w:rPr>
          <w:rFonts w:hAnsi="標楷體"/>
        </w:rPr>
        <w:t>EDD，</w:t>
      </w:r>
      <w:r w:rsidRPr="0073501F">
        <w:rPr>
          <w:rFonts w:hAnsi="標楷體" w:hint="eastAsia"/>
        </w:rPr>
        <w:t>惟</w:t>
      </w:r>
      <w:r w:rsidRPr="0073501F">
        <w:rPr>
          <w:rFonts w:hAnsi="標楷體"/>
        </w:rPr>
        <w:t>並未有效執行</w:t>
      </w:r>
      <w:r w:rsidRPr="0073501F">
        <w:rPr>
          <w:rFonts w:hAnsi="標楷體" w:hint="eastAsia"/>
        </w:rPr>
        <w:t>。</w:t>
      </w:r>
    </w:p>
    <w:p w:rsidR="00441F49" w:rsidRPr="0073501F" w:rsidRDefault="00441F49" w:rsidP="00441F49">
      <w:pPr>
        <w:pStyle w:val="6"/>
        <w:rPr>
          <w:rFonts w:hAnsi="標楷體"/>
        </w:rPr>
      </w:pPr>
      <w:r w:rsidRPr="0073501F">
        <w:rPr>
          <w:rFonts w:hAnsi="標楷體"/>
        </w:rPr>
        <w:t>在105年2月</w:t>
      </w:r>
      <w:r w:rsidR="008A0F8A" w:rsidRPr="0073501F">
        <w:rPr>
          <w:rFonts w:hAnsi="標楷體"/>
        </w:rPr>
        <w:t>NYDFS</w:t>
      </w:r>
      <w:r w:rsidRPr="0073501F">
        <w:rPr>
          <w:rFonts w:hAnsi="標楷體"/>
        </w:rPr>
        <w:t>與紐約分行之金融檢查報告會議上，儘管</w:t>
      </w:r>
      <w:r w:rsidR="008A0F8A" w:rsidRPr="0073501F">
        <w:rPr>
          <w:rFonts w:hAnsi="標楷體"/>
        </w:rPr>
        <w:t>NYDFS</w:t>
      </w:r>
      <w:r w:rsidRPr="0073501F">
        <w:rPr>
          <w:rFonts w:hAnsi="標楷體"/>
        </w:rPr>
        <w:t>再三要求，</w:t>
      </w:r>
      <w:r w:rsidRPr="0073501F">
        <w:rPr>
          <w:rFonts w:hAnsi="標楷體" w:hint="eastAsia"/>
        </w:rPr>
        <w:t>兆豐銀</w:t>
      </w:r>
      <w:r w:rsidRPr="0073501F">
        <w:rPr>
          <w:rFonts w:hAnsi="標楷體"/>
        </w:rPr>
        <w:t>行並未代表巴拿馬分行</w:t>
      </w:r>
      <w:r w:rsidRPr="0073501F">
        <w:rPr>
          <w:rFonts w:hAnsi="標楷體" w:hint="eastAsia"/>
        </w:rPr>
        <w:t>與</w:t>
      </w:r>
      <w:r w:rsidRPr="0073501F">
        <w:rPr>
          <w:rFonts w:hAnsi="標楷體"/>
        </w:rPr>
        <w:t>箇朗分行</w:t>
      </w:r>
      <w:r w:rsidRPr="0073501F">
        <w:rPr>
          <w:rFonts w:hAnsi="標楷體" w:hint="eastAsia"/>
        </w:rPr>
        <w:t>針對</w:t>
      </w:r>
      <w:r w:rsidRPr="0073501F">
        <w:rPr>
          <w:rFonts w:hAnsi="標楷體"/>
        </w:rPr>
        <w:t>有關通匯</w:t>
      </w:r>
      <w:r w:rsidRPr="0073501F">
        <w:rPr>
          <w:rFonts w:hAnsi="標楷體" w:hint="eastAsia"/>
        </w:rPr>
        <w:t>之</w:t>
      </w:r>
      <w:r w:rsidRPr="0073501F">
        <w:rPr>
          <w:rFonts w:hAnsi="標楷體"/>
        </w:rPr>
        <w:t>性質</w:t>
      </w:r>
      <w:r w:rsidRPr="0073501F">
        <w:rPr>
          <w:rFonts w:hAnsi="標楷體" w:hint="eastAsia"/>
        </w:rPr>
        <w:t>提供充分解釋。</w:t>
      </w:r>
    </w:p>
    <w:p w:rsidR="00441F49" w:rsidRPr="0073501F" w:rsidRDefault="00441F49" w:rsidP="00441F49">
      <w:pPr>
        <w:pStyle w:val="6"/>
        <w:rPr>
          <w:rFonts w:hAnsi="標楷體"/>
        </w:rPr>
      </w:pPr>
      <w:r w:rsidRPr="0073501F">
        <w:rPr>
          <w:rFonts w:hAnsi="標楷體" w:hint="eastAsia"/>
        </w:rPr>
        <w:t>紐約分行擔任從巴拿馬地區分行收到可疑和異常的「扣款授權書</w:t>
      </w:r>
      <w:r w:rsidRPr="0073501F">
        <w:rPr>
          <w:rStyle w:val="afc"/>
          <w:rFonts w:hAnsi="標楷體"/>
        </w:rPr>
        <w:footnoteReference w:id="14"/>
      </w:r>
      <w:r w:rsidRPr="0073501F">
        <w:rPr>
          <w:rFonts w:hAnsi="標楷體" w:hint="eastAsia"/>
        </w:rPr>
        <w:t>」</w:t>
      </w:r>
      <w:r w:rsidRPr="0073501F">
        <w:rPr>
          <w:rFonts w:hAnsi="標楷體"/>
        </w:rPr>
        <w:t>(</w:t>
      </w:r>
      <w:r w:rsidRPr="0073501F">
        <w:rPr>
          <w:rFonts w:hAnsi="標楷體" w:hint="eastAsia"/>
        </w:rPr>
        <w:t>或付款回沖</w:t>
      </w:r>
      <w:r w:rsidRPr="0073501F">
        <w:rPr>
          <w:rStyle w:val="afc"/>
          <w:rFonts w:hAnsi="標楷體"/>
        </w:rPr>
        <w:footnoteReference w:id="15"/>
      </w:r>
      <w:r w:rsidRPr="0073501F">
        <w:rPr>
          <w:rFonts w:hAnsi="標楷體"/>
        </w:rPr>
        <w:t>)</w:t>
      </w:r>
      <w:r w:rsidRPr="0073501F">
        <w:rPr>
          <w:rFonts w:hAnsi="標楷體" w:hint="eastAsia"/>
        </w:rPr>
        <w:t xml:space="preserve"> 有關的中間支付銀行，而巴拿馬地區分行代表不同的匯款人處理回沖電匯款項</w:t>
      </w:r>
      <w:r w:rsidRPr="0073501F">
        <w:rPr>
          <w:rFonts w:hAnsi="標楷體"/>
        </w:rPr>
        <w:t>(</w:t>
      </w:r>
      <w:r w:rsidRPr="0073501F">
        <w:rPr>
          <w:rFonts w:hAnsi="標楷體" w:hint="eastAsia"/>
        </w:rPr>
        <w:t>「可疑付款回沖</w:t>
      </w:r>
      <w:r w:rsidRPr="0073501F">
        <w:rPr>
          <w:rStyle w:val="afc"/>
          <w:rFonts w:hAnsi="標楷體"/>
        </w:rPr>
        <w:footnoteReference w:id="16"/>
      </w:r>
      <w:r w:rsidRPr="0073501F">
        <w:rPr>
          <w:rFonts w:hAnsi="標楷體" w:hint="eastAsia"/>
        </w:rPr>
        <w:t>」</w:t>
      </w:r>
      <w:r w:rsidRPr="0073501F">
        <w:rPr>
          <w:rFonts w:hAnsi="標楷體"/>
        </w:rPr>
        <w:t>)</w:t>
      </w:r>
      <w:r w:rsidRPr="0073501F">
        <w:rPr>
          <w:rFonts w:hAnsi="標楷體" w:hint="eastAsia"/>
        </w:rPr>
        <w:t>。當金融檢查詢問此事之關聯性，紐約分行工作人員提供的解釋未能消除金檢人員的關切。</w:t>
      </w:r>
    </w:p>
    <w:p w:rsidR="00441F49" w:rsidRPr="0073501F" w:rsidRDefault="00441F49" w:rsidP="00441F49">
      <w:pPr>
        <w:pStyle w:val="6"/>
        <w:rPr>
          <w:rFonts w:hAnsi="標楷體"/>
        </w:rPr>
      </w:pPr>
      <w:r w:rsidRPr="0073501F">
        <w:rPr>
          <w:rFonts w:hAnsi="標楷體" w:hint="eastAsia"/>
        </w:rPr>
        <w:t>在99年至1</w:t>
      </w:r>
      <w:r w:rsidRPr="0073501F">
        <w:rPr>
          <w:rFonts w:hAnsi="標楷體"/>
        </w:rPr>
        <w:t>0</w:t>
      </w:r>
      <w:r w:rsidRPr="0073501F">
        <w:rPr>
          <w:rFonts w:hAnsi="標楷體" w:hint="eastAsia"/>
        </w:rPr>
        <w:t>3年間因為箇朗分行之受款人帳戶關閉，致紐約分行呈報數量顯著的授權扣款書之可疑交易，這些關戶是肇因於箇朗分行辦理認識你的客戶</w:t>
      </w:r>
      <w:r w:rsidRPr="0073501F">
        <w:rPr>
          <w:rStyle w:val="afc"/>
          <w:rFonts w:hAnsi="標楷體"/>
        </w:rPr>
        <w:footnoteReference w:id="17"/>
      </w:r>
      <w:r w:rsidRPr="0073501F">
        <w:rPr>
          <w:rFonts w:hAnsi="標楷體"/>
        </w:rPr>
        <w:t>(</w:t>
      </w:r>
      <w:r w:rsidRPr="0073501F">
        <w:rPr>
          <w:rFonts w:hAnsi="標楷體" w:hint="eastAsia"/>
        </w:rPr>
        <w:t>下稱</w:t>
      </w:r>
      <w:r w:rsidRPr="0073501F">
        <w:rPr>
          <w:rFonts w:hAnsi="標楷體"/>
        </w:rPr>
        <w:t>KYC)</w:t>
      </w:r>
      <w:r w:rsidRPr="0073501F">
        <w:rPr>
          <w:rFonts w:hAnsi="標楷體" w:hint="eastAsia"/>
        </w:rPr>
        <w:t>作業所收</w:t>
      </w:r>
      <w:r w:rsidRPr="0073501F">
        <w:rPr>
          <w:rFonts w:hAnsi="標楷體" w:hint="eastAsia"/>
        </w:rPr>
        <w:lastRenderedPageBreak/>
        <w:t>到的文件之不足，一項高度可疑的活動。可疑支付沖回至少持續至1</w:t>
      </w:r>
      <w:r w:rsidRPr="0073501F">
        <w:rPr>
          <w:rFonts w:hAnsi="標楷體"/>
        </w:rPr>
        <w:t>0</w:t>
      </w:r>
      <w:r w:rsidRPr="0073501F">
        <w:rPr>
          <w:rFonts w:hAnsi="標楷體" w:hint="eastAsia"/>
        </w:rPr>
        <w:t>4年。</w:t>
      </w:r>
    </w:p>
    <w:p w:rsidR="00441F49" w:rsidRPr="0073501F" w:rsidRDefault="00441F49" w:rsidP="00441F49">
      <w:pPr>
        <w:pStyle w:val="5"/>
        <w:rPr>
          <w:rFonts w:hAnsi="標楷體"/>
        </w:rPr>
      </w:pPr>
      <w:r w:rsidRPr="0073501F">
        <w:rPr>
          <w:rFonts w:hAnsi="標楷體" w:hint="eastAsia"/>
        </w:rPr>
        <w:t>箇朗自由貿易區分行收到紐約分行中轉的一個公司戶匯入款，該公司的最終受益人為已被媒體負面新聞報導過的主體。兆豐銀行未能提供有關該客戶帳戶盡職調查的任何有意義的解釋。</w:t>
      </w:r>
    </w:p>
    <w:p w:rsidR="00441F49" w:rsidRPr="0073501F" w:rsidRDefault="00441F49" w:rsidP="00441F49">
      <w:pPr>
        <w:pStyle w:val="4"/>
        <w:rPr>
          <w:rFonts w:hAnsi="標楷體"/>
        </w:rPr>
      </w:pPr>
      <w:r w:rsidRPr="0073501F">
        <w:rPr>
          <w:rFonts w:hAnsi="標楷體" w:hint="eastAsia"/>
        </w:rPr>
        <w:t>未能執行充分的</w:t>
      </w:r>
      <w:r w:rsidRPr="0073501F">
        <w:rPr>
          <w:rFonts w:hAnsi="標楷體"/>
        </w:rPr>
        <w:t>客戶</w:t>
      </w:r>
      <w:r w:rsidRPr="0073501F">
        <w:rPr>
          <w:rFonts w:hAnsi="標楷體" w:hint="eastAsia"/>
        </w:rPr>
        <w:t>盡職調</w:t>
      </w:r>
      <w:r w:rsidRPr="0073501F">
        <w:rPr>
          <w:rFonts w:hAnsi="標楷體"/>
        </w:rPr>
        <w:t>查</w:t>
      </w:r>
    </w:p>
    <w:p w:rsidR="00441F49" w:rsidRPr="0073501F" w:rsidRDefault="00441F49" w:rsidP="00441F49">
      <w:pPr>
        <w:pStyle w:val="5"/>
        <w:rPr>
          <w:rFonts w:hAnsi="標楷體"/>
        </w:rPr>
      </w:pPr>
      <w:r w:rsidRPr="0073501F">
        <w:rPr>
          <w:rFonts w:hAnsi="標楷體" w:hint="eastAsia"/>
        </w:rPr>
        <w:t>兆豐紐約分行工作人員未能依既定的政策與程序辦理EDD，提升對高風險客戶監督水平。</w:t>
      </w:r>
    </w:p>
    <w:p w:rsidR="00441F49" w:rsidRPr="0073501F" w:rsidRDefault="00441F49" w:rsidP="00441F49">
      <w:pPr>
        <w:pStyle w:val="5"/>
        <w:rPr>
          <w:rFonts w:hAnsi="標楷體"/>
        </w:rPr>
      </w:pPr>
      <w:r w:rsidRPr="0073501F">
        <w:rPr>
          <w:rFonts w:hAnsi="標楷體" w:hint="eastAsia"/>
        </w:rPr>
        <w:t>紐約分行未能對外國金融機構的通匯帳戶執行充分的客戶盡職調查。</w:t>
      </w:r>
    </w:p>
    <w:p w:rsidR="00441F49" w:rsidRPr="0073501F" w:rsidRDefault="00441F49" w:rsidP="00441F49">
      <w:pPr>
        <w:pStyle w:val="5"/>
        <w:rPr>
          <w:rFonts w:hAnsi="標楷體"/>
        </w:rPr>
      </w:pPr>
      <w:r w:rsidRPr="0073501F">
        <w:rPr>
          <w:rFonts w:hAnsi="標楷體" w:hint="eastAsia"/>
        </w:rPr>
        <w:t>依據</w:t>
      </w:r>
      <w:r w:rsidRPr="0073501F">
        <w:rPr>
          <w:rFonts w:hAnsi="標楷體"/>
        </w:rPr>
        <w:t>30</w:t>
      </w:r>
      <w:r w:rsidRPr="0073501F">
        <w:rPr>
          <w:rFonts w:hAnsi="標楷體" w:hint="eastAsia"/>
        </w:rPr>
        <w:t>個客戶文件的審查顯示，其中約有三分之一缺乏對最終受益人充分的資訊，此嚴重危及紐約分行之</w:t>
      </w:r>
      <w:r w:rsidRPr="0073501F">
        <w:rPr>
          <w:rFonts w:hAnsi="標楷體"/>
        </w:rPr>
        <w:t>KYC</w:t>
      </w:r>
      <w:r w:rsidRPr="0073501F">
        <w:rPr>
          <w:rFonts w:hAnsi="標楷體" w:hint="eastAsia"/>
        </w:rPr>
        <w:t>的進程。</w:t>
      </w:r>
    </w:p>
    <w:p w:rsidR="00441F49" w:rsidRPr="0073501F" w:rsidRDefault="00441F49" w:rsidP="00441F49">
      <w:pPr>
        <w:pStyle w:val="4"/>
        <w:rPr>
          <w:rFonts w:hAnsi="標楷體"/>
        </w:rPr>
      </w:pPr>
      <w:r w:rsidRPr="0073501F">
        <w:rPr>
          <w:rFonts w:hAnsi="標楷體" w:hint="eastAsia"/>
        </w:rPr>
        <w:t>不充分的</w:t>
      </w:r>
      <w:r w:rsidRPr="0073501F">
        <w:rPr>
          <w:rFonts w:hAnsi="標楷體"/>
        </w:rPr>
        <w:t>風險評估政策</w:t>
      </w:r>
      <w:r w:rsidRPr="0073501F">
        <w:rPr>
          <w:rFonts w:hAnsi="標楷體" w:hint="eastAsia"/>
        </w:rPr>
        <w:t>和程序</w:t>
      </w:r>
    </w:p>
    <w:p w:rsidR="00441F49" w:rsidRPr="0073501F" w:rsidRDefault="00441F49" w:rsidP="00441F49">
      <w:pPr>
        <w:pStyle w:val="5"/>
        <w:rPr>
          <w:rFonts w:hAnsi="標楷體"/>
        </w:rPr>
      </w:pPr>
      <w:r w:rsidRPr="0073501F">
        <w:rPr>
          <w:rFonts w:hAnsi="標楷體" w:hint="eastAsia"/>
        </w:rPr>
        <w:t>紐約</w:t>
      </w:r>
      <w:r w:rsidRPr="0073501F">
        <w:rPr>
          <w:rFonts w:hAnsi="標楷體"/>
        </w:rPr>
        <w:t>分行</w:t>
      </w:r>
      <w:r w:rsidRPr="0073501F">
        <w:rPr>
          <w:rFonts w:hAnsi="標楷體" w:hint="eastAsia"/>
        </w:rPr>
        <w:t>之</w:t>
      </w:r>
      <w:r w:rsidRPr="0073501F">
        <w:rPr>
          <w:rFonts w:hAnsi="標楷體"/>
        </w:rPr>
        <w:t>整體風險評估</w:t>
      </w:r>
      <w:r w:rsidRPr="0073501F">
        <w:rPr>
          <w:rFonts w:hAnsi="標楷體" w:hint="eastAsia"/>
        </w:rPr>
        <w:t>，</w:t>
      </w:r>
      <w:r w:rsidRPr="0073501F">
        <w:rPr>
          <w:rFonts w:hAnsi="標楷體"/>
        </w:rPr>
        <w:t>有嚴重</w:t>
      </w:r>
      <w:r w:rsidRPr="0073501F">
        <w:rPr>
          <w:rFonts w:hAnsi="標楷體" w:hint="eastAsia"/>
        </w:rPr>
        <w:t>瑕疵</w:t>
      </w:r>
      <w:r w:rsidRPr="0073501F">
        <w:rPr>
          <w:rStyle w:val="afc"/>
          <w:rFonts w:hAnsi="標楷體"/>
        </w:rPr>
        <w:footnoteReference w:id="18"/>
      </w:r>
      <w:r w:rsidRPr="0073501F">
        <w:rPr>
          <w:rFonts w:hAnsi="標楷體" w:hint="eastAsia"/>
        </w:rPr>
        <w:t>。</w:t>
      </w:r>
    </w:p>
    <w:p w:rsidR="00441F49" w:rsidRPr="0073501F" w:rsidRDefault="00441F49" w:rsidP="00441F49">
      <w:pPr>
        <w:pStyle w:val="5"/>
        <w:rPr>
          <w:rFonts w:hAnsi="標楷體"/>
        </w:rPr>
      </w:pPr>
      <w:r w:rsidRPr="0073501F">
        <w:rPr>
          <w:rFonts w:hAnsi="標楷體" w:hint="eastAsia"/>
        </w:rPr>
        <w:t>基於相同理由，紐約</w:t>
      </w:r>
      <w:r w:rsidRPr="0073501F">
        <w:rPr>
          <w:rFonts w:hAnsi="標楷體"/>
        </w:rPr>
        <w:t>分行針對OFAC</w:t>
      </w:r>
      <w:r w:rsidRPr="0073501F">
        <w:rPr>
          <w:rFonts w:hAnsi="標楷體" w:hint="eastAsia"/>
        </w:rPr>
        <w:t>關心</w:t>
      </w:r>
      <w:r w:rsidRPr="0073501F">
        <w:rPr>
          <w:rFonts w:hAnsi="標楷體"/>
        </w:rPr>
        <w:t>的風險評估</w:t>
      </w:r>
      <w:r w:rsidRPr="0073501F">
        <w:rPr>
          <w:rFonts w:hAnsi="標楷體" w:hint="eastAsia"/>
        </w:rPr>
        <w:t>，亦有缺失。</w:t>
      </w:r>
    </w:p>
    <w:p w:rsidR="00441F49" w:rsidRPr="0073501F" w:rsidRDefault="00441F49" w:rsidP="00441F49">
      <w:pPr>
        <w:pStyle w:val="4"/>
        <w:rPr>
          <w:rFonts w:hAnsi="標楷體"/>
        </w:rPr>
      </w:pPr>
      <w:r w:rsidRPr="0073501F">
        <w:rPr>
          <w:rFonts w:hAnsi="標楷體" w:hint="eastAsia"/>
        </w:rPr>
        <w:t>兆豐銀行</w:t>
      </w:r>
      <w:r w:rsidRPr="0073501F">
        <w:rPr>
          <w:rFonts w:hAnsi="標楷體"/>
        </w:rPr>
        <w:t>總行</w:t>
      </w:r>
      <w:r w:rsidRPr="0073501F">
        <w:rPr>
          <w:rFonts w:hAnsi="標楷體" w:hint="eastAsia"/>
        </w:rPr>
        <w:t>缺乏盡職</w:t>
      </w:r>
      <w:r w:rsidRPr="0073501F">
        <w:rPr>
          <w:rFonts w:hAnsi="標楷體"/>
        </w:rPr>
        <w:t>監督</w:t>
      </w:r>
      <w:r w:rsidRPr="0073501F">
        <w:rPr>
          <w:rStyle w:val="afc"/>
          <w:rFonts w:hAnsi="標楷體"/>
        </w:rPr>
        <w:footnoteReference w:id="19"/>
      </w:r>
    </w:p>
    <w:p w:rsidR="00441F49" w:rsidRPr="0073501F" w:rsidRDefault="00441F49" w:rsidP="00441F49">
      <w:pPr>
        <w:pStyle w:val="5"/>
        <w:rPr>
          <w:rFonts w:hAnsi="標楷體"/>
        </w:rPr>
      </w:pPr>
      <w:r w:rsidRPr="0073501F">
        <w:rPr>
          <w:rFonts w:hAnsi="標楷體" w:hint="eastAsia"/>
        </w:rPr>
        <w:t>紐約分行每季法令遵循會議紀錄並未呈報總行法令遵循</w:t>
      </w:r>
      <w:r w:rsidRPr="0073501F">
        <w:rPr>
          <w:rFonts w:hAnsi="標楷體"/>
        </w:rPr>
        <w:t>(</w:t>
      </w:r>
      <w:r w:rsidRPr="0073501F">
        <w:rPr>
          <w:rFonts w:hAnsi="標楷體" w:hint="eastAsia"/>
        </w:rPr>
        <w:t>部門</w:t>
      </w:r>
      <w:r w:rsidRPr="0073501F">
        <w:rPr>
          <w:rFonts w:hAnsi="標楷體"/>
        </w:rPr>
        <w:t>)</w:t>
      </w:r>
      <w:r w:rsidRPr="0073501F">
        <w:rPr>
          <w:rFonts w:hAnsi="標楷體" w:hint="eastAsia"/>
        </w:rPr>
        <w:t>；且紐約分行通常以會議議程取代會議紀錄。此外，紐約分行每季的法遵會議提供不足的法令遵循環境，且前期可疑活動報告</w:t>
      </w:r>
      <w:r w:rsidRPr="0073501F">
        <w:rPr>
          <w:rStyle w:val="afc"/>
          <w:rFonts w:hAnsi="標楷體"/>
        </w:rPr>
        <w:footnoteReference w:id="20"/>
      </w:r>
      <w:r w:rsidRPr="0073501F">
        <w:rPr>
          <w:rFonts w:hAnsi="標楷體" w:hint="eastAsia"/>
        </w:rPr>
        <w:t>檔案呈報之重要資訊被遺漏。這些缺失使總行法令遵循無法適當評估紐約分行的法令遵循的適足性。</w:t>
      </w:r>
    </w:p>
    <w:p w:rsidR="00441F49" w:rsidRPr="0073501F" w:rsidRDefault="00441F49" w:rsidP="00441F49">
      <w:pPr>
        <w:pStyle w:val="5"/>
        <w:rPr>
          <w:rFonts w:hAnsi="標楷體"/>
        </w:rPr>
      </w:pPr>
      <w:r w:rsidRPr="0073501F">
        <w:rPr>
          <w:rFonts w:hAnsi="標楷體" w:hint="eastAsia"/>
        </w:rPr>
        <w:lastRenderedPageBreak/>
        <w:t>總行法令遵循並未確保許多紐約分行所採用並存儲的大量文件，由中文被翻譯成英文，從而阻礙主管機關人員有效的檢查。</w:t>
      </w:r>
    </w:p>
    <w:p w:rsidR="00441F49" w:rsidRPr="0073501F" w:rsidRDefault="00441F49" w:rsidP="00441F49">
      <w:pPr>
        <w:pStyle w:val="4"/>
        <w:rPr>
          <w:rFonts w:hAnsi="標楷體"/>
        </w:rPr>
      </w:pPr>
      <w:r w:rsidRPr="0073501F">
        <w:rPr>
          <w:rFonts w:hAnsi="標楷體"/>
        </w:rPr>
        <w:t>紐約分行</w:t>
      </w:r>
      <w:r w:rsidRPr="0073501F">
        <w:rPr>
          <w:rFonts w:hAnsi="標楷體" w:hint="eastAsia"/>
        </w:rPr>
        <w:t>令人不安、輕蔑回應</w:t>
      </w:r>
      <w:r w:rsidR="008A0F8A" w:rsidRPr="0073501F">
        <w:rPr>
          <w:rFonts w:hAnsi="標楷體"/>
        </w:rPr>
        <w:t>NYDFS</w:t>
      </w:r>
      <w:r w:rsidRPr="0073501F">
        <w:rPr>
          <w:rFonts w:hAnsi="標楷體" w:hint="eastAsia"/>
        </w:rPr>
        <w:t>金融</w:t>
      </w:r>
      <w:r w:rsidRPr="0073501F">
        <w:rPr>
          <w:rFonts w:hAnsi="標楷體"/>
        </w:rPr>
        <w:t>檢查</w:t>
      </w:r>
      <w:r w:rsidRPr="0073501F">
        <w:rPr>
          <w:rStyle w:val="afc"/>
          <w:rFonts w:hAnsi="標楷體"/>
        </w:rPr>
        <w:footnoteReference w:id="21"/>
      </w:r>
    </w:p>
    <w:p w:rsidR="00441F49" w:rsidRPr="0073501F" w:rsidRDefault="00441F49" w:rsidP="00441F49">
      <w:pPr>
        <w:pStyle w:val="5"/>
        <w:rPr>
          <w:rFonts w:hAnsi="標楷體"/>
        </w:rPr>
      </w:pPr>
      <w:r w:rsidRPr="0073501F">
        <w:rPr>
          <w:rFonts w:hAnsi="標楷體" w:hint="eastAsia"/>
        </w:rPr>
        <w:t>兆豐銀行在105年</w:t>
      </w:r>
      <w:r w:rsidRPr="0073501F">
        <w:rPr>
          <w:rFonts w:hAnsi="標楷體"/>
        </w:rPr>
        <w:t>3</w:t>
      </w:r>
      <w:r w:rsidRPr="0073501F">
        <w:rPr>
          <w:rFonts w:hAnsi="標楷體" w:hint="eastAsia"/>
        </w:rPr>
        <w:t>月</w:t>
      </w:r>
      <w:r w:rsidRPr="0073501F">
        <w:rPr>
          <w:rFonts w:hAnsi="標楷體"/>
        </w:rPr>
        <w:t>24</w:t>
      </w:r>
      <w:r w:rsidRPr="0073501F">
        <w:rPr>
          <w:rFonts w:hAnsi="標楷體" w:hint="eastAsia"/>
        </w:rPr>
        <w:t>日回應105年</w:t>
      </w:r>
      <w:r w:rsidRPr="0073501F">
        <w:rPr>
          <w:rFonts w:hAnsi="標楷體"/>
        </w:rPr>
        <w:t>2</w:t>
      </w:r>
      <w:r w:rsidRPr="0073501F">
        <w:rPr>
          <w:rFonts w:hAnsi="標楷體" w:hint="eastAsia"/>
        </w:rPr>
        <w:t>月</w:t>
      </w:r>
      <w:r w:rsidR="008A0F8A" w:rsidRPr="0073501F">
        <w:rPr>
          <w:rFonts w:hAnsi="標楷體"/>
        </w:rPr>
        <w:t>NYDFS</w:t>
      </w:r>
      <w:r w:rsidRPr="0073501F">
        <w:rPr>
          <w:rFonts w:hAnsi="標楷體" w:hint="eastAsia"/>
        </w:rPr>
        <w:t>檢查報告時，駁斥一些檢查發現。</w:t>
      </w:r>
    </w:p>
    <w:p w:rsidR="00441F49" w:rsidRPr="0073501F" w:rsidRDefault="00441F49" w:rsidP="00441F49">
      <w:pPr>
        <w:pStyle w:val="5"/>
        <w:rPr>
          <w:rFonts w:hAnsi="標楷體"/>
        </w:rPr>
      </w:pPr>
      <w:r w:rsidRPr="0073501F">
        <w:rPr>
          <w:rFonts w:hAnsi="標楷體" w:hint="eastAsia"/>
        </w:rPr>
        <w:t>兆豐銀行宣稱某些類型的活動並沒有可疑</w:t>
      </w:r>
      <w:r w:rsidRPr="0073501F">
        <w:rPr>
          <w:rFonts w:hAnsi="標楷體"/>
        </w:rPr>
        <w:t>，回應</w:t>
      </w:r>
      <w:r w:rsidRPr="0073501F">
        <w:rPr>
          <w:rFonts w:hAnsi="標楷體" w:hint="eastAsia"/>
        </w:rPr>
        <w:t>稱：「在呈報『可疑活動報告』上，這些類型的交易並無防制洗錢法規指引」，並且認為「此類交易不構成可疑活動」，</w:t>
      </w:r>
      <w:r w:rsidRPr="0073501F">
        <w:rPr>
          <w:rFonts w:hAnsi="標楷體"/>
        </w:rPr>
        <w:t>係對法律之徹底錯誤陳述</w:t>
      </w:r>
      <w:r w:rsidRPr="0073501F">
        <w:rPr>
          <w:rFonts w:hAnsi="標楷體" w:hint="eastAsia"/>
        </w:rPr>
        <w:t>。</w:t>
      </w:r>
    </w:p>
    <w:p w:rsidR="00441F49" w:rsidRPr="0073501F" w:rsidRDefault="00441F49" w:rsidP="00441F49">
      <w:pPr>
        <w:pStyle w:val="5"/>
        <w:rPr>
          <w:rFonts w:hAnsi="標楷體"/>
        </w:rPr>
      </w:pPr>
      <w:r w:rsidRPr="0073501F">
        <w:rPr>
          <w:rFonts w:hAnsi="標楷體" w:hint="eastAsia"/>
        </w:rPr>
        <w:t>兆豐銀行未</w:t>
      </w:r>
      <w:r w:rsidRPr="0073501F">
        <w:rPr>
          <w:rFonts w:hAnsi="標楷體"/>
        </w:rPr>
        <w:t>迅速採取行動，以補救於105年2月</w:t>
      </w:r>
      <w:r w:rsidRPr="0073501F">
        <w:rPr>
          <w:rFonts w:hAnsi="標楷體" w:hint="eastAsia"/>
        </w:rPr>
        <w:t>檢查</w:t>
      </w:r>
      <w:r w:rsidRPr="0073501F">
        <w:rPr>
          <w:rFonts w:hAnsi="標楷體"/>
        </w:rPr>
        <w:t>報告所</w:t>
      </w:r>
      <w:r w:rsidRPr="0073501F">
        <w:rPr>
          <w:rFonts w:hAnsi="標楷體" w:hint="eastAsia"/>
        </w:rPr>
        <w:t>述</w:t>
      </w:r>
      <w:r w:rsidRPr="0073501F">
        <w:rPr>
          <w:rFonts w:hAnsi="標楷體"/>
        </w:rPr>
        <w:t>之嚴重缺失。</w:t>
      </w:r>
    </w:p>
    <w:p w:rsidR="00441F49" w:rsidRPr="0073501F" w:rsidRDefault="00441F49" w:rsidP="00441F49">
      <w:pPr>
        <w:pStyle w:val="3"/>
        <w:rPr>
          <w:rFonts w:hAnsi="標楷體"/>
        </w:rPr>
      </w:pPr>
      <w:bookmarkStart w:id="94" w:name="_Toc484177927"/>
      <w:bookmarkStart w:id="95" w:name="_Toc484593476"/>
      <w:r w:rsidRPr="0073501F">
        <w:rPr>
          <w:rFonts w:hAnsi="標楷體" w:hint="eastAsia"/>
        </w:rPr>
        <w:t>兆豐銀行除支付1億8千萬美元罰款外，依上開合意處分令，並應立即聘僱法令遵循顧問和獨立監督人。法令遵循顧問係為補強紐約分行之法令遵循職能，就紐約分行遵循功能的缺失，提供即時諮詢與監督；而獨立監督人係全面審查紐約分行之法令遵循情形（Compliance Review，法令遵循審查），並依據前項審查之發現、結論和建議出具書面報告（Compliance Report，法令遵循報告</w:t>
      </w:r>
      <w:r w:rsidRPr="0073501F">
        <w:rPr>
          <w:rFonts w:hAnsi="標楷體"/>
        </w:rPr>
        <w:t>)</w:t>
      </w:r>
      <w:r w:rsidRPr="0073501F">
        <w:rPr>
          <w:rFonts w:hAnsi="標楷體" w:hint="eastAsia"/>
        </w:rPr>
        <w:t>。此外，合意處分令中，就BSA/AML法遵計畫、可疑活動監控與報告、客戶盡職調查、公司治理與管理監督等項目，均對兆豐銀行提出具體要求項目，要求總行及紐約分行共同提出</w:t>
      </w:r>
      <w:r w:rsidR="008A0F8A" w:rsidRPr="0073501F">
        <w:rPr>
          <w:rFonts w:hAnsi="標楷體" w:hint="eastAsia"/>
        </w:rPr>
        <w:t>NYDFS</w:t>
      </w:r>
      <w:r w:rsidRPr="0073501F">
        <w:rPr>
          <w:rFonts w:hAnsi="標楷體" w:hint="eastAsia"/>
        </w:rPr>
        <w:t>可接受之改善計畫。以「公司治理與管理監督」為例，</w:t>
      </w:r>
      <w:r w:rsidR="008A0F8A" w:rsidRPr="0073501F">
        <w:rPr>
          <w:rFonts w:hAnsi="標楷體" w:hint="eastAsia"/>
        </w:rPr>
        <w:t>NYDFS</w:t>
      </w:r>
      <w:r w:rsidRPr="0073501F">
        <w:rPr>
          <w:rFonts w:hAnsi="標楷體" w:hint="eastAsia"/>
        </w:rPr>
        <w:t>要求兆豐銀行董事會與紐約分行共同提出</w:t>
      </w:r>
      <w:r w:rsidR="008A0F8A" w:rsidRPr="0073501F">
        <w:rPr>
          <w:rFonts w:hAnsi="標楷體" w:hint="eastAsia"/>
        </w:rPr>
        <w:t>NYDFS</w:t>
      </w:r>
      <w:r w:rsidRPr="0073501F">
        <w:rPr>
          <w:rFonts w:hAnsi="標楷體" w:hint="eastAsia"/>
        </w:rPr>
        <w:t>認可之書面計畫，強化該</w:t>
      </w:r>
      <w:r w:rsidRPr="0073501F">
        <w:rPr>
          <w:rFonts w:hAnsi="標楷體" w:hint="eastAsia"/>
        </w:rPr>
        <w:lastRenderedPageBreak/>
        <w:t>行與紐約分行管理階層就紐約分行遵循</w:t>
      </w:r>
      <w:r w:rsidRPr="0073501F">
        <w:rPr>
          <w:rFonts w:hAnsi="標楷體"/>
        </w:rPr>
        <w:t>BSA</w:t>
      </w:r>
      <w:r w:rsidRPr="0073501F">
        <w:rPr>
          <w:rFonts w:hAnsi="標楷體" w:hint="eastAsia"/>
        </w:rPr>
        <w:t>/</w:t>
      </w:r>
      <w:r w:rsidRPr="0073501F">
        <w:rPr>
          <w:rFonts w:hAnsi="標楷體"/>
        </w:rPr>
        <w:t xml:space="preserve">AML </w:t>
      </w:r>
      <w:r w:rsidRPr="0073501F">
        <w:rPr>
          <w:rFonts w:hAnsi="標楷體" w:hint="eastAsia"/>
        </w:rPr>
        <w:t>要求、紐約州法令及規章與</w:t>
      </w:r>
      <w:r w:rsidRPr="0073501F">
        <w:rPr>
          <w:rFonts w:hAnsi="標楷體"/>
        </w:rPr>
        <w:t>OFAC</w:t>
      </w:r>
      <w:r w:rsidRPr="0073501F">
        <w:rPr>
          <w:rFonts w:hAnsi="標楷體" w:hint="eastAsia"/>
        </w:rPr>
        <w:t>規定之監督。計畫為可持續發展的治理架構，至少應說明、考量及包含：</w:t>
      </w:r>
      <w:bookmarkEnd w:id="94"/>
      <w:bookmarkEnd w:id="95"/>
    </w:p>
    <w:p w:rsidR="00441F49" w:rsidRPr="0073501F" w:rsidRDefault="00441F49" w:rsidP="00441F49">
      <w:pPr>
        <w:pStyle w:val="4"/>
        <w:rPr>
          <w:rFonts w:hAnsi="標楷體"/>
        </w:rPr>
      </w:pPr>
      <w:r w:rsidRPr="0073501F">
        <w:rPr>
          <w:rFonts w:hAnsi="標楷體" w:hint="eastAsia"/>
        </w:rPr>
        <w:t>董事會將採取行動，以維持有效的控制及監督對紐約分行管理階層遵循</w:t>
      </w:r>
      <w:r w:rsidRPr="0073501F">
        <w:rPr>
          <w:rFonts w:hAnsi="標楷體"/>
        </w:rPr>
        <w:t>BSA</w:t>
      </w:r>
      <w:r w:rsidRPr="0073501F">
        <w:rPr>
          <w:rFonts w:hAnsi="標楷體" w:hint="eastAsia"/>
        </w:rPr>
        <w:t>/</w:t>
      </w:r>
      <w:r w:rsidRPr="0073501F">
        <w:rPr>
          <w:rFonts w:hAnsi="標楷體"/>
        </w:rPr>
        <w:t>A</w:t>
      </w:r>
      <w:r w:rsidRPr="0073501F">
        <w:rPr>
          <w:rFonts w:hAnsi="標楷體" w:hint="eastAsia"/>
        </w:rPr>
        <w:t>ML要求、紐約州法令及規章與</w:t>
      </w:r>
      <w:r w:rsidRPr="0073501F">
        <w:rPr>
          <w:rFonts w:hAnsi="標楷體"/>
        </w:rPr>
        <w:t>OFAC</w:t>
      </w:r>
      <w:r w:rsidRPr="0073501F">
        <w:rPr>
          <w:rFonts w:hAnsi="標楷體" w:hint="eastAsia"/>
        </w:rPr>
        <w:t>規定之監督。</w:t>
      </w:r>
    </w:p>
    <w:p w:rsidR="00441F49" w:rsidRPr="0073501F" w:rsidRDefault="00441F49" w:rsidP="00441F49">
      <w:pPr>
        <w:pStyle w:val="4"/>
        <w:rPr>
          <w:rFonts w:hAnsi="標楷體"/>
        </w:rPr>
      </w:pPr>
      <w:r w:rsidRPr="0073501F">
        <w:rPr>
          <w:rFonts w:hAnsi="標楷體" w:hint="eastAsia"/>
        </w:rPr>
        <w:t>紐約分行遵循</w:t>
      </w:r>
      <w:r w:rsidRPr="0073501F">
        <w:rPr>
          <w:rFonts w:hAnsi="標楷體"/>
        </w:rPr>
        <w:t>BSA</w:t>
      </w:r>
      <w:r w:rsidRPr="0073501F">
        <w:rPr>
          <w:rFonts w:hAnsi="標楷體" w:hint="eastAsia"/>
        </w:rPr>
        <w:t>/</w:t>
      </w:r>
      <w:r w:rsidRPr="0073501F">
        <w:rPr>
          <w:rFonts w:hAnsi="標楷體"/>
        </w:rPr>
        <w:t>A</w:t>
      </w:r>
      <w:r w:rsidRPr="0073501F">
        <w:rPr>
          <w:rFonts w:hAnsi="標楷體" w:hint="eastAsia"/>
        </w:rPr>
        <w:t>ML要求、紐約州法令及規章與</w:t>
      </w:r>
      <w:r w:rsidRPr="0073501F">
        <w:rPr>
          <w:rFonts w:hAnsi="標楷體"/>
        </w:rPr>
        <w:t>OFAC</w:t>
      </w:r>
      <w:r w:rsidRPr="0073501F">
        <w:rPr>
          <w:rFonts w:hAnsi="標楷體" w:hint="eastAsia"/>
        </w:rPr>
        <w:t>規定，就有關改善管理資訊系統措施，向總行和分行的高階管理階層報告。</w:t>
      </w:r>
    </w:p>
    <w:p w:rsidR="00441F49" w:rsidRPr="0073501F" w:rsidRDefault="00441F49" w:rsidP="00441F49">
      <w:pPr>
        <w:pStyle w:val="4"/>
        <w:rPr>
          <w:rFonts w:hAnsi="標楷體"/>
        </w:rPr>
      </w:pPr>
      <w:r w:rsidRPr="0073501F">
        <w:rPr>
          <w:rFonts w:hAnsi="標楷體" w:hint="eastAsia"/>
        </w:rPr>
        <w:t>兆豐銀行總行和分行各自的管理階層，法令遵循人員及內部稽核人員對紐約分行遵循</w:t>
      </w:r>
      <w:r w:rsidRPr="0073501F">
        <w:rPr>
          <w:rFonts w:hAnsi="標楷體"/>
        </w:rPr>
        <w:t>BSA</w:t>
      </w:r>
      <w:r w:rsidRPr="0073501F">
        <w:rPr>
          <w:rFonts w:hAnsi="標楷體" w:hint="eastAsia"/>
        </w:rPr>
        <w:t>/</w:t>
      </w:r>
      <w:r w:rsidRPr="0073501F">
        <w:rPr>
          <w:rFonts w:hAnsi="標楷體"/>
        </w:rPr>
        <w:t>A</w:t>
      </w:r>
      <w:r w:rsidRPr="0073501F">
        <w:rPr>
          <w:rFonts w:hAnsi="標楷體" w:hint="eastAsia"/>
        </w:rPr>
        <w:t>ML要求、紐約州法令及規章與</w:t>
      </w:r>
      <w:r w:rsidRPr="0073501F">
        <w:rPr>
          <w:rFonts w:hAnsi="標楷體"/>
        </w:rPr>
        <w:t>OFAC</w:t>
      </w:r>
      <w:r w:rsidRPr="0073501F">
        <w:rPr>
          <w:rFonts w:hAnsi="標楷體" w:hint="eastAsia"/>
        </w:rPr>
        <w:t>規定的明確角色、責任和職責劃分。</w:t>
      </w:r>
    </w:p>
    <w:p w:rsidR="00441F49" w:rsidRPr="0073501F" w:rsidRDefault="00441F49" w:rsidP="00441F49">
      <w:pPr>
        <w:pStyle w:val="4"/>
        <w:rPr>
          <w:rFonts w:hAnsi="標楷體"/>
        </w:rPr>
      </w:pPr>
      <w:r w:rsidRPr="0073501F">
        <w:rPr>
          <w:rFonts w:hAnsi="標楷體" w:hint="eastAsia"/>
        </w:rPr>
        <w:t>採取措施以確保分行的高級管理人員可適當地追蹤綜、</w:t>
      </w:r>
      <w:r w:rsidRPr="0073501F">
        <w:rPr>
          <w:rFonts w:hAnsi="標楷體"/>
        </w:rPr>
        <w:t>逐步</w:t>
      </w:r>
      <w:r w:rsidRPr="0073501F">
        <w:rPr>
          <w:rFonts w:hAnsi="標楷體" w:hint="eastAsia"/>
        </w:rPr>
        <w:t>提</w:t>
      </w:r>
      <w:r w:rsidRPr="0073501F">
        <w:rPr>
          <w:rFonts w:hAnsi="標楷體"/>
        </w:rPr>
        <w:t>升</w:t>
      </w:r>
      <w:r w:rsidRPr="0073501F">
        <w:rPr>
          <w:rFonts w:hAnsi="標楷體" w:hint="eastAsia"/>
        </w:rPr>
        <w:t>及檢視</w:t>
      </w:r>
      <w:r w:rsidRPr="0073501F">
        <w:rPr>
          <w:rFonts w:hAnsi="標楷體"/>
        </w:rPr>
        <w:t>BSA/AML</w:t>
      </w:r>
      <w:r w:rsidRPr="0073501F">
        <w:rPr>
          <w:rFonts w:hAnsi="標楷體" w:hint="eastAsia"/>
        </w:rPr>
        <w:t>議題。</w:t>
      </w:r>
    </w:p>
    <w:p w:rsidR="00441F49" w:rsidRPr="0073501F" w:rsidRDefault="00441F49" w:rsidP="00441F49">
      <w:pPr>
        <w:pStyle w:val="4"/>
        <w:rPr>
          <w:rFonts w:hAnsi="標楷體"/>
        </w:rPr>
      </w:pPr>
      <w:r w:rsidRPr="0073501F">
        <w:rPr>
          <w:rFonts w:hAnsi="標楷體" w:hint="eastAsia"/>
        </w:rPr>
        <w:t>採取措施以確保兆豐銀行總行和紐約分行負責監督該行遵循</w:t>
      </w:r>
      <w:r w:rsidRPr="0073501F">
        <w:rPr>
          <w:rFonts w:hAnsi="標楷體"/>
        </w:rPr>
        <w:t>BSA</w:t>
      </w:r>
      <w:r w:rsidRPr="0073501F">
        <w:rPr>
          <w:rFonts w:hAnsi="標楷體" w:hint="eastAsia"/>
        </w:rPr>
        <w:t>/</w:t>
      </w:r>
      <w:r w:rsidRPr="0073501F">
        <w:rPr>
          <w:rFonts w:hAnsi="標楷體"/>
        </w:rPr>
        <w:t>AML</w:t>
      </w:r>
      <w:r w:rsidRPr="0073501F">
        <w:rPr>
          <w:rFonts w:hAnsi="標楷體" w:hint="eastAsia"/>
        </w:rPr>
        <w:t>要求、紐約州法令及規章與</w:t>
      </w:r>
      <w:r w:rsidRPr="0073501F">
        <w:rPr>
          <w:rFonts w:hAnsi="標楷體"/>
        </w:rPr>
        <w:t>OFAC</w:t>
      </w:r>
      <w:r w:rsidRPr="0073501F">
        <w:rPr>
          <w:rFonts w:hAnsi="標楷體" w:hint="eastAsia"/>
        </w:rPr>
        <w:t>規定的個人或團體，具備相關專業知識並積極參與承擔責任。</w:t>
      </w:r>
    </w:p>
    <w:p w:rsidR="00441F49" w:rsidRPr="0073501F" w:rsidRDefault="00441F49" w:rsidP="00441F49">
      <w:pPr>
        <w:pStyle w:val="4"/>
        <w:rPr>
          <w:rFonts w:hAnsi="標楷體"/>
        </w:rPr>
      </w:pPr>
      <w:r w:rsidRPr="0073501F">
        <w:rPr>
          <w:rFonts w:hAnsi="標楷體" w:hint="eastAsia"/>
        </w:rPr>
        <w:t>提供充足的資源，以確保紐約分行遵守本合意處分令、</w:t>
      </w:r>
      <w:r w:rsidRPr="0073501F">
        <w:rPr>
          <w:rFonts w:hAnsi="標楷體"/>
        </w:rPr>
        <w:t>BSA</w:t>
      </w:r>
      <w:r w:rsidRPr="0073501F">
        <w:rPr>
          <w:rFonts w:hAnsi="標楷體" w:hint="eastAsia"/>
        </w:rPr>
        <w:t>/</w:t>
      </w:r>
      <w:r w:rsidRPr="0073501F">
        <w:rPr>
          <w:rFonts w:hAnsi="標楷體"/>
        </w:rPr>
        <w:t>AML</w:t>
      </w:r>
      <w:r w:rsidRPr="0073501F">
        <w:rPr>
          <w:rFonts w:hAnsi="標楷體" w:hint="eastAsia"/>
        </w:rPr>
        <w:t>要求、紐約州法令及規章與</w:t>
      </w:r>
      <w:r w:rsidRPr="0073501F">
        <w:rPr>
          <w:rFonts w:hAnsi="標楷體"/>
        </w:rPr>
        <w:t>OFAC</w:t>
      </w:r>
      <w:r w:rsidRPr="0073501F">
        <w:rPr>
          <w:rFonts w:hAnsi="標楷體" w:hint="eastAsia"/>
        </w:rPr>
        <w:t>規定，以及</w:t>
      </w:r>
      <w:r w:rsidRPr="0073501F">
        <w:rPr>
          <w:rStyle w:val="afc"/>
          <w:rFonts w:hAnsi="標楷體"/>
        </w:rPr>
        <w:footnoteReference w:id="22"/>
      </w:r>
    </w:p>
    <w:p w:rsidR="00441F49" w:rsidRPr="0073501F" w:rsidRDefault="00441F49" w:rsidP="00441F49">
      <w:pPr>
        <w:pStyle w:val="4"/>
        <w:rPr>
          <w:rFonts w:hAnsi="標楷體"/>
        </w:rPr>
      </w:pPr>
      <w:r w:rsidRPr="0073501F">
        <w:rPr>
          <w:rFonts w:hAnsi="標楷體" w:hint="eastAsia"/>
        </w:rPr>
        <w:t>紐約分行</w:t>
      </w:r>
      <w:r w:rsidRPr="0073501F">
        <w:rPr>
          <w:rFonts w:hAnsi="標楷體"/>
        </w:rPr>
        <w:t>BSA/AML</w:t>
      </w:r>
      <w:r w:rsidRPr="0073501F">
        <w:rPr>
          <w:rFonts w:hAnsi="標楷體" w:hint="eastAsia"/>
        </w:rPr>
        <w:t>防制洗錢法遵人員對董事會或其委員會的直接報告。</w:t>
      </w:r>
    </w:p>
    <w:p w:rsidR="00441F49" w:rsidRPr="0073501F" w:rsidRDefault="00441F49" w:rsidP="00441F49">
      <w:pPr>
        <w:pStyle w:val="3"/>
        <w:rPr>
          <w:rFonts w:hAnsi="標楷體"/>
        </w:rPr>
      </w:pPr>
      <w:bookmarkStart w:id="96" w:name="_Toc484177928"/>
      <w:bookmarkStart w:id="97" w:name="_Toc484593477"/>
      <w:r w:rsidRPr="0073501F">
        <w:rPr>
          <w:rFonts w:hAnsi="標楷體" w:hint="eastAsia"/>
        </w:rPr>
        <w:t>依上開合意處分令之要旨，</w:t>
      </w:r>
      <w:r w:rsidR="008A0F8A" w:rsidRPr="0073501F">
        <w:rPr>
          <w:rFonts w:hAnsi="標楷體" w:hint="eastAsia"/>
        </w:rPr>
        <w:t>NYDFS</w:t>
      </w:r>
      <w:r w:rsidRPr="0073501F">
        <w:rPr>
          <w:rFonts w:hAnsi="標楷體" w:hint="eastAsia"/>
        </w:rPr>
        <w:t>認定兆豐銀行紐約分行之內控不佳、與巴拿馬地區分行往來涉及可疑活動、未能執行充分的</w:t>
      </w:r>
      <w:r w:rsidRPr="0073501F">
        <w:rPr>
          <w:rFonts w:hAnsi="標楷體"/>
        </w:rPr>
        <w:t>客戶</w:t>
      </w:r>
      <w:r w:rsidRPr="0073501F">
        <w:rPr>
          <w:rFonts w:hAnsi="標楷體" w:hint="eastAsia"/>
        </w:rPr>
        <w:t>盡職調</w:t>
      </w:r>
      <w:r w:rsidRPr="0073501F">
        <w:rPr>
          <w:rFonts w:hAnsi="標楷體"/>
        </w:rPr>
        <w:t>查</w:t>
      </w:r>
      <w:r w:rsidRPr="0073501F">
        <w:rPr>
          <w:rFonts w:hAnsi="標楷體" w:hint="eastAsia"/>
        </w:rPr>
        <w:t>、不充分的</w:t>
      </w:r>
      <w:r w:rsidRPr="0073501F">
        <w:rPr>
          <w:rFonts w:hAnsi="標楷體"/>
        </w:rPr>
        <w:t>風</w:t>
      </w:r>
      <w:r w:rsidRPr="0073501F">
        <w:rPr>
          <w:rFonts w:hAnsi="標楷體"/>
        </w:rPr>
        <w:lastRenderedPageBreak/>
        <w:t>險評估政策</w:t>
      </w:r>
      <w:r w:rsidRPr="0073501F">
        <w:rPr>
          <w:rFonts w:hAnsi="標楷體" w:hint="eastAsia"/>
        </w:rPr>
        <w:t>和程序、輕蔑回應</w:t>
      </w:r>
      <w:r w:rsidR="008A0F8A" w:rsidRPr="0073501F">
        <w:rPr>
          <w:rFonts w:hAnsi="標楷體"/>
        </w:rPr>
        <w:t>NYDFS</w:t>
      </w:r>
      <w:r w:rsidRPr="0073501F">
        <w:rPr>
          <w:rFonts w:hAnsi="標楷體" w:hint="eastAsia"/>
        </w:rPr>
        <w:t>金融</w:t>
      </w:r>
      <w:r w:rsidRPr="0073501F">
        <w:rPr>
          <w:rFonts w:hAnsi="標楷體"/>
        </w:rPr>
        <w:t>檢查</w:t>
      </w:r>
      <w:r w:rsidRPr="0073501F">
        <w:rPr>
          <w:rFonts w:hAnsi="標楷體" w:hint="eastAsia"/>
        </w:rPr>
        <w:t>，</w:t>
      </w:r>
      <w:r w:rsidRPr="0073501F">
        <w:rPr>
          <w:rFonts w:hAnsi="標楷體"/>
        </w:rPr>
        <w:t>總行</w:t>
      </w:r>
      <w:r w:rsidRPr="0073501F">
        <w:rPr>
          <w:rFonts w:hAnsi="標楷體" w:hint="eastAsia"/>
        </w:rPr>
        <w:t>復缺乏盡職</w:t>
      </w:r>
      <w:r w:rsidRPr="0073501F">
        <w:rPr>
          <w:rFonts w:hAnsi="標楷體"/>
        </w:rPr>
        <w:t>監督</w:t>
      </w:r>
      <w:r w:rsidRPr="0073501F">
        <w:rPr>
          <w:rFonts w:hAnsi="標楷體" w:hint="eastAsia"/>
        </w:rPr>
        <w:t>。因紐約分行之法令遵循嚴重失靈且管理資訊系統亦亟待改善等，爰</w:t>
      </w:r>
      <w:r w:rsidR="008A0F8A" w:rsidRPr="0073501F">
        <w:rPr>
          <w:rFonts w:hAnsi="標楷體" w:hint="eastAsia"/>
        </w:rPr>
        <w:t>NYDFS</w:t>
      </w:r>
      <w:r w:rsidRPr="0073501F">
        <w:rPr>
          <w:rFonts w:hAnsi="標楷體" w:hint="eastAsia"/>
        </w:rPr>
        <w:t>要求該行應立即聘請法令遵循顧問，以補強紐約分行之法令遵循職能，並聘請獨立監督人，對紐約分行之法令遵循情形進行全面審查。</w:t>
      </w:r>
      <w:r w:rsidR="008A0F8A" w:rsidRPr="0073501F">
        <w:rPr>
          <w:rFonts w:hAnsi="標楷體" w:hint="eastAsia"/>
        </w:rPr>
        <w:t>NYDFS</w:t>
      </w:r>
      <w:r w:rsidRPr="0073501F">
        <w:rPr>
          <w:rFonts w:hAnsi="標楷體" w:hint="eastAsia"/>
        </w:rPr>
        <w:t>並要求兆豐銀行總行及紐約分行就BSA/AML法遵計畫、可疑活動監控與報告、客戶盡職調查、公司治理與管理監督等項目，共同提出</w:t>
      </w:r>
      <w:r w:rsidR="008A0F8A" w:rsidRPr="0073501F">
        <w:rPr>
          <w:rFonts w:hAnsi="標楷體" w:hint="eastAsia"/>
        </w:rPr>
        <w:t>NYDFS</w:t>
      </w:r>
      <w:r w:rsidRPr="0073501F">
        <w:rPr>
          <w:rFonts w:hAnsi="標楷體" w:hint="eastAsia"/>
        </w:rPr>
        <w:t>可接受之改善計畫後，由總行及紐約分行據以進行相關檢討改善。依據合意處分令中所指責事項及要求改善事項，足證本案兆豐銀行遭重罰之主因係兆豐銀行總行與海外分行之相關制度及作業欠佳，以及對</w:t>
      </w:r>
      <w:r w:rsidR="008A0F8A" w:rsidRPr="0073501F">
        <w:rPr>
          <w:rFonts w:hAnsi="標楷體" w:hint="eastAsia"/>
          <w:szCs w:val="32"/>
        </w:rPr>
        <w:t>NYDFS</w:t>
      </w:r>
      <w:r w:rsidRPr="0073501F">
        <w:rPr>
          <w:rFonts w:hAnsi="標楷體" w:hint="eastAsia"/>
        </w:rPr>
        <w:t>相關回應失當所致，該行應負最大之責任。以</w:t>
      </w:r>
      <w:r w:rsidRPr="0073501F">
        <w:rPr>
          <w:rFonts w:hAnsi="標楷體" w:hint="eastAsia"/>
          <w:szCs w:val="32"/>
        </w:rPr>
        <w:t>紐約分行提供</w:t>
      </w:r>
      <w:r w:rsidR="008A0F8A" w:rsidRPr="0073501F">
        <w:rPr>
          <w:rFonts w:hAnsi="標楷體" w:hint="eastAsia"/>
          <w:szCs w:val="32"/>
        </w:rPr>
        <w:t>NYDFS</w:t>
      </w:r>
      <w:r w:rsidRPr="0073501F">
        <w:rPr>
          <w:rFonts w:hAnsi="標楷體" w:hint="eastAsia"/>
          <w:szCs w:val="32"/>
        </w:rPr>
        <w:t>其與巴拿馬分行的信用交易金額</w:t>
      </w:r>
      <w:r w:rsidRPr="0073501F">
        <w:rPr>
          <w:rFonts w:hAnsi="標楷體"/>
          <w:szCs w:val="32"/>
        </w:rPr>
        <w:t>4.91億美元誤繕為44.91億美元</w:t>
      </w:r>
      <w:r w:rsidRPr="0073501F">
        <w:rPr>
          <w:rFonts w:hAnsi="標楷體" w:hint="eastAsia"/>
          <w:szCs w:val="32"/>
        </w:rPr>
        <w:t>為例，其內部管理及工作品質，即令人匪夷所思</w:t>
      </w:r>
      <w:r w:rsidRPr="0073501F">
        <w:rPr>
          <w:rFonts w:hAnsi="標楷體" w:hint="eastAsia"/>
        </w:rPr>
        <w:t>。金管會於接受本院詢問時，對於兆豐銀行之檢討及說明，略以：</w:t>
      </w:r>
      <w:bookmarkEnd w:id="96"/>
      <w:bookmarkEnd w:id="97"/>
    </w:p>
    <w:p w:rsidR="00441F49" w:rsidRPr="0073501F" w:rsidRDefault="00441F49" w:rsidP="00441F49">
      <w:pPr>
        <w:pStyle w:val="4"/>
        <w:rPr>
          <w:rFonts w:hAnsi="標楷體"/>
        </w:rPr>
      </w:pPr>
      <w:r w:rsidRPr="0073501F">
        <w:rPr>
          <w:rFonts w:hAnsi="標楷體" w:hint="eastAsia"/>
        </w:rPr>
        <w:t>總行部分：</w:t>
      </w:r>
    </w:p>
    <w:p w:rsidR="00441F49" w:rsidRPr="0073501F" w:rsidRDefault="00441F49" w:rsidP="00441F49">
      <w:pPr>
        <w:pStyle w:val="5"/>
        <w:rPr>
          <w:rFonts w:hAnsi="標楷體"/>
        </w:rPr>
      </w:pPr>
      <w:r w:rsidRPr="0073501F">
        <w:rPr>
          <w:rFonts w:hAnsi="標楷體" w:hint="eastAsia"/>
          <w:szCs w:val="32"/>
        </w:rPr>
        <w:t>以獲利為</w:t>
      </w:r>
      <w:r w:rsidRPr="0073501F">
        <w:rPr>
          <w:rFonts w:hAnsi="標楷體" w:hint="eastAsia"/>
        </w:rPr>
        <w:t>導向，對風險管理之重視程度不足。</w:t>
      </w:r>
    </w:p>
    <w:p w:rsidR="00441F49" w:rsidRPr="0073501F" w:rsidRDefault="00441F49" w:rsidP="00441F49">
      <w:pPr>
        <w:pStyle w:val="5"/>
        <w:rPr>
          <w:rFonts w:hAnsi="標楷體"/>
        </w:rPr>
      </w:pPr>
      <w:r w:rsidRPr="0073501F">
        <w:rPr>
          <w:rFonts w:hAnsi="標楷體" w:hint="eastAsia"/>
        </w:rPr>
        <w:t>對海外分行管理功能不彰，管理人力不足，未督導海外分行建立有效之法令遵循制度：</w:t>
      </w:r>
    </w:p>
    <w:p w:rsidR="00441F49" w:rsidRPr="0073501F" w:rsidRDefault="00441F49" w:rsidP="00441F49">
      <w:pPr>
        <w:pStyle w:val="6"/>
        <w:rPr>
          <w:rFonts w:hAnsi="標楷體"/>
        </w:rPr>
      </w:pPr>
      <w:r w:rsidRPr="0073501F">
        <w:rPr>
          <w:rFonts w:hAnsi="標楷體" w:hint="eastAsia"/>
        </w:rPr>
        <w:t>稽核單位及負責海外分行管理之企劃處未將重大訊息及時並充分提供董事會，未能落實公司治理。</w:t>
      </w:r>
    </w:p>
    <w:p w:rsidR="00441F49" w:rsidRPr="0073501F" w:rsidRDefault="00441F49" w:rsidP="00441F49">
      <w:pPr>
        <w:pStyle w:val="6"/>
        <w:rPr>
          <w:rFonts w:hAnsi="標楷體"/>
          <w:szCs w:val="32"/>
        </w:rPr>
      </w:pPr>
      <w:r w:rsidRPr="0073501F">
        <w:rPr>
          <w:rFonts w:hAnsi="標楷體"/>
        </w:rPr>
        <w:t>紐約分行與巴拿馬地區分行間</w:t>
      </w:r>
      <w:r w:rsidRPr="0073501F">
        <w:rPr>
          <w:rFonts w:hAnsi="標楷體" w:hint="eastAsia"/>
        </w:rPr>
        <w:t>有顯著金融交易往來，總行對該</w:t>
      </w:r>
      <w:r w:rsidRPr="0073501F">
        <w:rPr>
          <w:rFonts w:hAnsi="標楷體" w:hint="eastAsia"/>
          <w:szCs w:val="32"/>
        </w:rPr>
        <w:t>等</w:t>
      </w:r>
      <w:r w:rsidRPr="0073501F">
        <w:rPr>
          <w:rFonts w:hAnsi="標楷體"/>
          <w:szCs w:val="32"/>
        </w:rPr>
        <w:t>交易</w:t>
      </w:r>
      <w:r w:rsidRPr="0073501F">
        <w:rPr>
          <w:rFonts w:hAnsi="標楷體" w:hint="eastAsia"/>
          <w:szCs w:val="32"/>
        </w:rPr>
        <w:t>之可能</w:t>
      </w:r>
      <w:r w:rsidRPr="0073501F">
        <w:rPr>
          <w:rFonts w:hAnsi="標楷體"/>
          <w:szCs w:val="32"/>
        </w:rPr>
        <w:t>風險</w:t>
      </w:r>
      <w:r w:rsidRPr="0073501F">
        <w:rPr>
          <w:rFonts w:hAnsi="標楷體" w:hint="eastAsia"/>
          <w:szCs w:val="32"/>
        </w:rPr>
        <w:t>未予注意。</w:t>
      </w:r>
    </w:p>
    <w:p w:rsidR="00441F49" w:rsidRPr="0073501F" w:rsidRDefault="00441F49" w:rsidP="00441F49">
      <w:pPr>
        <w:pStyle w:val="5"/>
        <w:rPr>
          <w:rFonts w:hAnsi="標楷體"/>
          <w:szCs w:val="32"/>
        </w:rPr>
      </w:pPr>
      <w:r w:rsidRPr="0073501F">
        <w:rPr>
          <w:rFonts w:hAnsi="標楷體" w:hint="eastAsia"/>
          <w:szCs w:val="32"/>
        </w:rPr>
        <w:t>董事會未</w:t>
      </w:r>
      <w:r w:rsidRPr="0073501F">
        <w:rPr>
          <w:rFonts w:hAnsi="標楷體" w:hint="eastAsia"/>
        </w:rPr>
        <w:t>加強</w:t>
      </w:r>
      <w:r w:rsidRPr="0073501F">
        <w:rPr>
          <w:rFonts w:hAnsi="標楷體" w:hint="eastAsia"/>
          <w:szCs w:val="32"/>
        </w:rPr>
        <w:t>對海外分支機構法令遵循及防制洗錢之督導。</w:t>
      </w:r>
    </w:p>
    <w:p w:rsidR="00441F49" w:rsidRPr="0073501F" w:rsidRDefault="00441F49" w:rsidP="00441F49">
      <w:pPr>
        <w:pStyle w:val="5"/>
        <w:rPr>
          <w:rFonts w:hAnsi="標楷體"/>
          <w:szCs w:val="32"/>
        </w:rPr>
      </w:pPr>
      <w:r w:rsidRPr="0073501F">
        <w:rPr>
          <w:rFonts w:hAnsi="標楷體" w:hint="eastAsia"/>
          <w:szCs w:val="32"/>
        </w:rPr>
        <w:lastRenderedPageBreak/>
        <w:t>內部稽核未能確保查核品質及督促海外分行改善缺失，未能將檢查報告重要缺失及時提報董事會，工作報告流於形式。</w:t>
      </w:r>
    </w:p>
    <w:p w:rsidR="00441F49" w:rsidRPr="0073501F" w:rsidRDefault="00441F49" w:rsidP="00441F49">
      <w:pPr>
        <w:pStyle w:val="5"/>
        <w:rPr>
          <w:rFonts w:hAnsi="標楷體"/>
          <w:szCs w:val="32"/>
        </w:rPr>
      </w:pPr>
      <w:r w:rsidRPr="0073501F">
        <w:rPr>
          <w:rFonts w:hAnsi="標楷體" w:hint="eastAsia"/>
          <w:szCs w:val="32"/>
        </w:rPr>
        <w:t>總行欠</w:t>
      </w:r>
      <w:r w:rsidRPr="0073501F">
        <w:rPr>
          <w:rFonts w:hAnsi="標楷體"/>
          <w:szCs w:val="32"/>
        </w:rPr>
        <w:t>缺與</w:t>
      </w:r>
      <w:r w:rsidR="008A0F8A" w:rsidRPr="0073501F">
        <w:rPr>
          <w:rFonts w:hAnsi="標楷體" w:hint="eastAsia"/>
          <w:szCs w:val="32"/>
        </w:rPr>
        <w:t>NYDFS</w:t>
      </w:r>
      <w:r w:rsidRPr="0073501F">
        <w:rPr>
          <w:rFonts w:hAnsi="標楷體"/>
          <w:szCs w:val="32"/>
        </w:rPr>
        <w:t>聯繫溝通，對於</w:t>
      </w:r>
      <w:r w:rsidR="008A0F8A" w:rsidRPr="0073501F">
        <w:rPr>
          <w:rFonts w:hAnsi="標楷體" w:hint="eastAsia"/>
          <w:szCs w:val="32"/>
        </w:rPr>
        <w:t>NYDFS</w:t>
      </w:r>
      <w:r w:rsidRPr="0073501F">
        <w:rPr>
          <w:rFonts w:hAnsi="標楷體"/>
          <w:szCs w:val="32"/>
        </w:rPr>
        <w:t>質疑紐約分行與巴拿馬分行間之通匯往來，總行亦未</w:t>
      </w:r>
      <w:r w:rsidRPr="0073501F">
        <w:rPr>
          <w:rFonts w:hAnsi="標楷體" w:hint="eastAsia"/>
          <w:szCs w:val="32"/>
        </w:rPr>
        <w:t>積極</w:t>
      </w:r>
      <w:r w:rsidRPr="0073501F">
        <w:rPr>
          <w:rFonts w:hAnsi="標楷體"/>
          <w:szCs w:val="32"/>
        </w:rPr>
        <w:t>協調處理</w:t>
      </w:r>
      <w:r w:rsidRPr="0073501F">
        <w:rPr>
          <w:rFonts w:hAnsi="標楷體" w:hint="eastAsia"/>
          <w:szCs w:val="32"/>
        </w:rPr>
        <w:t>，</w:t>
      </w:r>
      <w:r w:rsidRPr="0073501F">
        <w:rPr>
          <w:rFonts w:hAnsi="標楷體"/>
          <w:szCs w:val="32"/>
        </w:rPr>
        <w:t>未能有效減少</w:t>
      </w:r>
      <w:r w:rsidR="008A0F8A" w:rsidRPr="0073501F">
        <w:rPr>
          <w:rFonts w:hAnsi="標楷體" w:hint="eastAsia"/>
          <w:szCs w:val="32"/>
        </w:rPr>
        <w:t>NYDFS</w:t>
      </w:r>
      <w:r w:rsidRPr="0073501F">
        <w:rPr>
          <w:rFonts w:hAnsi="標楷體"/>
          <w:szCs w:val="32"/>
        </w:rPr>
        <w:t>之疑慮</w:t>
      </w:r>
      <w:r w:rsidRPr="0073501F">
        <w:rPr>
          <w:rFonts w:hAnsi="標楷體" w:hint="eastAsia"/>
          <w:szCs w:val="32"/>
        </w:rPr>
        <w:t>。</w:t>
      </w:r>
    </w:p>
    <w:p w:rsidR="00441F49" w:rsidRPr="0073501F" w:rsidRDefault="00441F49" w:rsidP="00441F49">
      <w:pPr>
        <w:pStyle w:val="5"/>
        <w:rPr>
          <w:rFonts w:hAnsi="標楷體"/>
          <w:szCs w:val="32"/>
        </w:rPr>
      </w:pPr>
      <w:r w:rsidRPr="0073501F">
        <w:rPr>
          <w:rFonts w:hAnsi="標楷體" w:hint="eastAsia"/>
          <w:szCs w:val="32"/>
        </w:rPr>
        <w:t>回</w:t>
      </w:r>
      <w:r w:rsidRPr="0073501F">
        <w:rPr>
          <w:rFonts w:hAnsi="標楷體"/>
          <w:szCs w:val="32"/>
        </w:rPr>
        <w:t>復</w:t>
      </w:r>
      <w:r w:rsidRPr="0073501F">
        <w:rPr>
          <w:rFonts w:hAnsi="標楷體" w:hint="eastAsia"/>
          <w:szCs w:val="32"/>
        </w:rPr>
        <w:t>主管機關</w:t>
      </w:r>
      <w:r w:rsidRPr="0073501F">
        <w:rPr>
          <w:rFonts w:hAnsi="標楷體"/>
          <w:szCs w:val="32"/>
        </w:rPr>
        <w:t>信函</w:t>
      </w:r>
      <w:r w:rsidRPr="0073501F">
        <w:rPr>
          <w:rFonts w:hAnsi="標楷體" w:hint="eastAsia"/>
          <w:szCs w:val="32"/>
        </w:rPr>
        <w:t>陳述不</w:t>
      </w:r>
      <w:r w:rsidRPr="0073501F">
        <w:rPr>
          <w:rFonts w:hAnsi="標楷體"/>
          <w:szCs w:val="32"/>
        </w:rPr>
        <w:t>實：該行於105年3月24日由董事長</w:t>
      </w:r>
      <w:r w:rsidRPr="0073501F">
        <w:rPr>
          <w:rFonts w:hAnsi="標楷體" w:hint="eastAsia"/>
          <w:szCs w:val="32"/>
        </w:rPr>
        <w:t>蔡友才</w:t>
      </w:r>
      <w:r w:rsidRPr="0073501F">
        <w:rPr>
          <w:rFonts w:hAnsi="標楷體"/>
          <w:szCs w:val="32"/>
        </w:rPr>
        <w:t>與紐約分行經理</w:t>
      </w:r>
      <w:r w:rsidRPr="0073501F">
        <w:rPr>
          <w:rFonts w:hAnsi="標楷體" w:hint="eastAsia"/>
          <w:szCs w:val="32"/>
        </w:rPr>
        <w:t>黃士明</w:t>
      </w:r>
      <w:r w:rsidRPr="0073501F">
        <w:rPr>
          <w:rFonts w:hAnsi="標楷體"/>
          <w:szCs w:val="32"/>
        </w:rPr>
        <w:t>共同署名回復</w:t>
      </w:r>
      <w:r w:rsidR="008A0F8A" w:rsidRPr="0073501F">
        <w:rPr>
          <w:rFonts w:hAnsi="標楷體" w:hint="eastAsia"/>
          <w:szCs w:val="32"/>
        </w:rPr>
        <w:t>NYDFS</w:t>
      </w:r>
      <w:r w:rsidRPr="0073501F">
        <w:rPr>
          <w:rFonts w:hAnsi="標楷體"/>
          <w:szCs w:val="32"/>
        </w:rPr>
        <w:t>之檢查報告改善計畫信函中表示，董事會、高階主管瞭解所列缺失之嚴重性，惟經查該行當時並未將檢查報告提報董事會，董事大多表示當時並未知悉缺失嚴重性，該行回復</w:t>
      </w:r>
      <w:r w:rsidR="008A0F8A" w:rsidRPr="0073501F">
        <w:rPr>
          <w:rFonts w:hAnsi="標楷體"/>
          <w:szCs w:val="32"/>
        </w:rPr>
        <w:t>NYDFS</w:t>
      </w:r>
      <w:r w:rsidRPr="0073501F">
        <w:rPr>
          <w:rFonts w:hAnsi="標楷體"/>
          <w:szCs w:val="32"/>
        </w:rPr>
        <w:t>信函內容陳述不實。</w:t>
      </w:r>
    </w:p>
    <w:p w:rsidR="00441F49" w:rsidRPr="0073501F" w:rsidRDefault="00441F49" w:rsidP="00441F49">
      <w:pPr>
        <w:pStyle w:val="4"/>
        <w:rPr>
          <w:rFonts w:hAnsi="標楷體"/>
          <w:szCs w:val="32"/>
        </w:rPr>
      </w:pPr>
      <w:r w:rsidRPr="0073501F">
        <w:rPr>
          <w:rFonts w:hAnsi="標楷體" w:hint="eastAsia"/>
          <w:szCs w:val="32"/>
        </w:rPr>
        <w:t>紐約分行部分：</w:t>
      </w:r>
    </w:p>
    <w:p w:rsidR="00441F49" w:rsidRPr="0073501F" w:rsidRDefault="00441F49" w:rsidP="00441F49">
      <w:pPr>
        <w:pStyle w:val="5"/>
        <w:rPr>
          <w:rFonts w:hAnsi="標楷體"/>
          <w:szCs w:val="32"/>
        </w:rPr>
      </w:pPr>
      <w:r w:rsidRPr="0073501F">
        <w:rPr>
          <w:rFonts w:hAnsi="標楷體" w:hint="eastAsia"/>
          <w:szCs w:val="32"/>
        </w:rPr>
        <w:t>該分行內部控制不佳，法令遵循主管及防制洗錢人員對當地法規缺乏瞭解，並有職務衝突情形。</w:t>
      </w:r>
    </w:p>
    <w:p w:rsidR="00441F49" w:rsidRPr="0073501F" w:rsidRDefault="00441F49" w:rsidP="00441F49">
      <w:pPr>
        <w:pStyle w:val="5"/>
        <w:rPr>
          <w:rFonts w:hAnsi="標楷體"/>
          <w:szCs w:val="32"/>
        </w:rPr>
      </w:pPr>
      <w:r w:rsidRPr="0073501F">
        <w:rPr>
          <w:rFonts w:hAnsi="標楷體" w:hint="eastAsia"/>
          <w:szCs w:val="32"/>
        </w:rPr>
        <w:t>該分行未能定期全面檢視偵測可疑交易之監控篩選標準，防制洗錢程序亦未能對持續監控可疑交易提供有效指引。</w:t>
      </w:r>
    </w:p>
    <w:p w:rsidR="00441F49" w:rsidRPr="0073501F" w:rsidRDefault="00441F49" w:rsidP="00441F49">
      <w:pPr>
        <w:pStyle w:val="5"/>
        <w:rPr>
          <w:rFonts w:hAnsi="標楷體"/>
          <w:szCs w:val="32"/>
        </w:rPr>
      </w:pPr>
      <w:r w:rsidRPr="0073501F">
        <w:rPr>
          <w:rFonts w:hAnsi="標楷體" w:hint="eastAsia"/>
          <w:szCs w:val="32"/>
        </w:rPr>
        <w:t>該分行未</w:t>
      </w:r>
      <w:r w:rsidRPr="0073501F">
        <w:rPr>
          <w:rFonts w:hAnsi="標楷體"/>
          <w:szCs w:val="32"/>
        </w:rPr>
        <w:t>充分瞭解紐約當地BSA/AML，誤以為匯款退匯即無須申報疑似洗錢交易，總行亦接受紐約分行之意見，故該行105年3月24日回復</w:t>
      </w:r>
      <w:r w:rsidR="008A0F8A" w:rsidRPr="0073501F">
        <w:rPr>
          <w:rFonts w:hAnsi="標楷體" w:hint="eastAsia"/>
          <w:szCs w:val="32"/>
        </w:rPr>
        <w:t>NYDFS</w:t>
      </w:r>
      <w:r w:rsidRPr="0073501F">
        <w:rPr>
          <w:rFonts w:hAnsi="標楷體"/>
          <w:szCs w:val="32"/>
        </w:rPr>
        <w:t>之檢查報告改善計畫中，</w:t>
      </w:r>
      <w:r w:rsidRPr="0073501F">
        <w:rPr>
          <w:rFonts w:hAnsi="標楷體" w:hint="eastAsia"/>
          <w:szCs w:val="32"/>
        </w:rPr>
        <w:t>針對</w:t>
      </w:r>
      <w:r w:rsidRPr="0073501F">
        <w:rPr>
          <w:rFonts w:hAnsi="標楷體"/>
          <w:szCs w:val="32"/>
        </w:rPr>
        <w:t>退匯仍應申報疑似洗錢交易之檢查意見提出反駁，致</w:t>
      </w:r>
      <w:r w:rsidR="008A0F8A" w:rsidRPr="0073501F">
        <w:rPr>
          <w:rFonts w:hAnsi="標楷體" w:hint="eastAsia"/>
          <w:szCs w:val="32"/>
        </w:rPr>
        <w:t>NYDFS</w:t>
      </w:r>
      <w:r w:rsidRPr="0073501F">
        <w:rPr>
          <w:rFonts w:hAnsi="標楷體"/>
          <w:szCs w:val="32"/>
        </w:rPr>
        <w:t>認為該行對檢查意見之輕蔑回應令人憂心。</w:t>
      </w:r>
    </w:p>
    <w:p w:rsidR="00441F49" w:rsidRPr="0073501F" w:rsidRDefault="00441F49" w:rsidP="00441F49">
      <w:pPr>
        <w:pStyle w:val="5"/>
        <w:rPr>
          <w:rFonts w:hAnsi="標楷體"/>
          <w:szCs w:val="32"/>
        </w:rPr>
      </w:pPr>
      <w:r w:rsidRPr="0073501F">
        <w:rPr>
          <w:rFonts w:hAnsi="標楷體" w:hint="eastAsia"/>
          <w:szCs w:val="32"/>
        </w:rPr>
        <w:t>該分行未積極與當地主管機關溝通，未能充分瞭解當地主管機關對檢查缺失改善之期待。</w:t>
      </w:r>
    </w:p>
    <w:p w:rsidR="00441F49" w:rsidRPr="0073501F" w:rsidRDefault="00441F49" w:rsidP="00441F49">
      <w:pPr>
        <w:pStyle w:val="4"/>
        <w:rPr>
          <w:rFonts w:hAnsi="標楷體"/>
          <w:szCs w:val="32"/>
        </w:rPr>
      </w:pPr>
      <w:r w:rsidRPr="0073501F">
        <w:rPr>
          <w:rFonts w:hAnsi="標楷體" w:hint="eastAsia"/>
          <w:szCs w:val="32"/>
        </w:rPr>
        <w:t>巴拿馬地區分行部分：</w:t>
      </w:r>
    </w:p>
    <w:p w:rsidR="00441F49" w:rsidRPr="0073501F" w:rsidRDefault="00441F49" w:rsidP="00441F49">
      <w:pPr>
        <w:pStyle w:val="5"/>
        <w:rPr>
          <w:rFonts w:hAnsi="標楷體"/>
          <w:szCs w:val="32"/>
        </w:rPr>
      </w:pPr>
      <w:r w:rsidRPr="0073501F">
        <w:rPr>
          <w:rFonts w:hAnsi="標楷體" w:hint="eastAsia"/>
          <w:szCs w:val="32"/>
        </w:rPr>
        <w:t>因以往存款客戶開戶未能妥適徵提完整資料，</w:t>
      </w:r>
      <w:r w:rsidRPr="0073501F">
        <w:rPr>
          <w:rFonts w:hAnsi="標楷體" w:hint="eastAsia"/>
          <w:szCs w:val="32"/>
        </w:rPr>
        <w:lastRenderedPageBreak/>
        <w:t>且未確實辦理</w:t>
      </w:r>
      <w:r w:rsidRPr="0073501F">
        <w:rPr>
          <w:rFonts w:hAnsi="標楷體"/>
          <w:szCs w:val="32"/>
        </w:rPr>
        <w:t>PEP</w:t>
      </w:r>
      <w:r w:rsidRPr="0073501F">
        <w:rPr>
          <w:rFonts w:hAnsi="標楷體" w:hint="eastAsia"/>
          <w:szCs w:val="32"/>
        </w:rPr>
        <w:t>調查及留存證明文件，</w:t>
      </w:r>
      <w:r w:rsidRPr="0073501F">
        <w:rPr>
          <w:rFonts w:hAnsi="標楷體"/>
          <w:szCs w:val="32"/>
        </w:rPr>
        <w:t>致</w:t>
      </w:r>
      <w:r w:rsidR="008A0F8A" w:rsidRPr="0073501F">
        <w:rPr>
          <w:rFonts w:hAnsi="標楷體"/>
          <w:szCs w:val="32"/>
        </w:rPr>
        <w:t>NYDFS</w:t>
      </w:r>
      <w:r w:rsidRPr="0073501F">
        <w:rPr>
          <w:rFonts w:hAnsi="標楷體"/>
          <w:szCs w:val="32"/>
        </w:rPr>
        <w:t>對相關匯款交易產生質疑時，巴拿馬地區分行未能提供完整資料。</w:t>
      </w:r>
    </w:p>
    <w:p w:rsidR="00441F49" w:rsidRPr="0073501F" w:rsidRDefault="00441F49" w:rsidP="00441F49">
      <w:pPr>
        <w:pStyle w:val="5"/>
        <w:rPr>
          <w:rFonts w:hAnsi="標楷體"/>
          <w:szCs w:val="32"/>
        </w:rPr>
      </w:pPr>
      <w:r w:rsidRPr="0073501F">
        <w:rPr>
          <w:rFonts w:hAnsi="標楷體"/>
          <w:szCs w:val="32"/>
        </w:rPr>
        <w:t>未積極協助紐約分行向</w:t>
      </w:r>
      <w:r w:rsidR="008A0F8A" w:rsidRPr="0073501F">
        <w:rPr>
          <w:rFonts w:hAnsi="標楷體"/>
          <w:szCs w:val="32"/>
        </w:rPr>
        <w:t>NYDFS</w:t>
      </w:r>
      <w:r w:rsidRPr="0073501F">
        <w:rPr>
          <w:rFonts w:hAnsi="標楷體"/>
          <w:szCs w:val="32"/>
        </w:rPr>
        <w:t>說明相關匯款交易，未能有效減少</w:t>
      </w:r>
      <w:r w:rsidR="008A0F8A" w:rsidRPr="0073501F">
        <w:rPr>
          <w:rFonts w:hAnsi="標楷體"/>
          <w:szCs w:val="32"/>
        </w:rPr>
        <w:t>NYDFS</w:t>
      </w:r>
      <w:r w:rsidRPr="0073501F">
        <w:rPr>
          <w:rFonts w:hAnsi="標楷體"/>
          <w:szCs w:val="32"/>
        </w:rPr>
        <w:t>之疑慮。</w:t>
      </w:r>
    </w:p>
    <w:p w:rsidR="00441F49" w:rsidRPr="0073501F" w:rsidRDefault="00441F49" w:rsidP="003A587B">
      <w:pPr>
        <w:pStyle w:val="4"/>
        <w:rPr>
          <w:rFonts w:hAnsi="標楷體"/>
        </w:rPr>
      </w:pPr>
      <w:r w:rsidRPr="0073501F">
        <w:rPr>
          <w:rFonts w:hAnsi="標楷體"/>
        </w:rPr>
        <w:t>有關合意處分令</w:t>
      </w:r>
      <w:r w:rsidRPr="0073501F">
        <w:rPr>
          <w:rFonts w:hAnsi="標楷體" w:hint="eastAsia"/>
        </w:rPr>
        <w:t>提及之</w:t>
      </w:r>
      <w:r w:rsidRPr="0073501F">
        <w:rPr>
          <w:rFonts w:hAnsi="標楷體"/>
        </w:rPr>
        <w:t>可疑和異常交易過程</w:t>
      </w:r>
      <w:r w:rsidRPr="0073501F">
        <w:rPr>
          <w:rFonts w:hAnsi="標楷體" w:hint="eastAsia"/>
        </w:rPr>
        <w:t>，如圖1所示。</w:t>
      </w:r>
    </w:p>
    <w:p w:rsidR="00441F49" w:rsidRPr="0073501F" w:rsidRDefault="00441F49" w:rsidP="00441F49">
      <w:pPr>
        <w:pStyle w:val="4"/>
        <w:numPr>
          <w:ilvl w:val="0"/>
          <w:numId w:val="0"/>
        </w:numPr>
        <w:ind w:left="1191"/>
        <w:jc w:val="right"/>
        <w:rPr>
          <w:rFonts w:hAnsi="標楷體"/>
        </w:rPr>
      </w:pPr>
      <w:r w:rsidRPr="0073501F">
        <w:rPr>
          <w:rFonts w:hAnsi="標楷體"/>
          <w:b/>
          <w:noProof/>
          <w:szCs w:val="32"/>
        </w:rPr>
        <w:drawing>
          <wp:inline distT="0" distB="0" distL="0" distR="0" wp14:anchorId="69109F4B" wp14:editId="3DBBDE0F">
            <wp:extent cx="4551527" cy="1262418"/>
            <wp:effectExtent l="0" t="0" r="190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9995" cy="1261993"/>
                    </a:xfrm>
                    <a:prstGeom prst="rect">
                      <a:avLst/>
                    </a:prstGeom>
                    <a:noFill/>
                  </pic:spPr>
                </pic:pic>
              </a:graphicData>
            </a:graphic>
          </wp:inline>
        </w:drawing>
      </w:r>
    </w:p>
    <w:p w:rsidR="00441F49" w:rsidRPr="00416C7D" w:rsidRDefault="00441F49" w:rsidP="00416C7D">
      <w:pPr>
        <w:pStyle w:val="4"/>
        <w:numPr>
          <w:ilvl w:val="0"/>
          <w:numId w:val="0"/>
        </w:numPr>
        <w:spacing w:line="240" w:lineRule="exact"/>
        <w:ind w:left="1191" w:firstLineChars="170" w:firstLine="511"/>
        <w:jc w:val="center"/>
        <w:rPr>
          <w:rFonts w:hAnsi="標楷體"/>
          <w:b/>
          <w:sz w:val="28"/>
          <w:szCs w:val="28"/>
        </w:rPr>
      </w:pPr>
      <w:r w:rsidRPr="00416C7D">
        <w:rPr>
          <w:rFonts w:hAnsi="標楷體" w:hint="eastAsia"/>
          <w:b/>
          <w:sz w:val="28"/>
          <w:szCs w:val="28"/>
        </w:rPr>
        <w:t>圖1、</w:t>
      </w:r>
      <w:r w:rsidR="008A0F8A" w:rsidRPr="00416C7D">
        <w:rPr>
          <w:rFonts w:hAnsi="標楷體"/>
          <w:b/>
          <w:sz w:val="28"/>
          <w:szCs w:val="28"/>
        </w:rPr>
        <w:t>NYDFS</w:t>
      </w:r>
      <w:r w:rsidRPr="00416C7D">
        <w:rPr>
          <w:rFonts w:hAnsi="標楷體"/>
          <w:b/>
          <w:sz w:val="28"/>
          <w:szCs w:val="28"/>
        </w:rPr>
        <w:t>合意處分令</w:t>
      </w:r>
      <w:r w:rsidRPr="00416C7D">
        <w:rPr>
          <w:rFonts w:hAnsi="標楷體" w:hint="eastAsia"/>
          <w:b/>
          <w:sz w:val="28"/>
          <w:szCs w:val="28"/>
        </w:rPr>
        <w:t>提及之</w:t>
      </w:r>
      <w:r w:rsidRPr="00416C7D">
        <w:rPr>
          <w:rFonts w:hAnsi="標楷體"/>
          <w:b/>
          <w:sz w:val="28"/>
          <w:szCs w:val="28"/>
        </w:rPr>
        <w:t>可疑和異常交易過程</w:t>
      </w:r>
    </w:p>
    <w:p w:rsidR="00441F49" w:rsidRPr="0073501F" w:rsidRDefault="00441F49" w:rsidP="003A587B">
      <w:pPr>
        <w:pStyle w:val="4"/>
        <w:numPr>
          <w:ilvl w:val="0"/>
          <w:numId w:val="0"/>
        </w:numPr>
        <w:spacing w:beforeLines="25" w:before="114"/>
        <w:ind w:left="1701"/>
        <w:jc w:val="left"/>
        <w:rPr>
          <w:rFonts w:hAnsi="標楷體"/>
          <w:sz w:val="24"/>
          <w:szCs w:val="24"/>
        </w:rPr>
      </w:pPr>
      <w:r w:rsidRPr="0073501F">
        <w:rPr>
          <w:rFonts w:hAnsi="標楷體" w:hint="eastAsia"/>
          <w:sz w:val="24"/>
          <w:szCs w:val="24"/>
        </w:rPr>
        <w:t>資料來源：金管會。</w:t>
      </w:r>
    </w:p>
    <w:p w:rsidR="00441F49" w:rsidRPr="0073501F" w:rsidRDefault="00441F49" w:rsidP="00441F49">
      <w:pPr>
        <w:pStyle w:val="3"/>
        <w:spacing w:beforeLines="50" w:before="228"/>
        <w:ind w:left="1360" w:hanging="680"/>
        <w:rPr>
          <w:rFonts w:hAnsi="標楷體"/>
        </w:rPr>
      </w:pPr>
      <w:bookmarkStart w:id="98" w:name="_Toc484177929"/>
      <w:bookmarkStart w:id="99" w:name="_Toc484593478"/>
      <w:r w:rsidRPr="0073501F">
        <w:rPr>
          <w:rFonts w:hAnsi="標楷體" w:hint="eastAsia"/>
        </w:rPr>
        <w:t>政府為健全金融機構業務經營，維持金融穩定及促進金融市場發展，特設金管會，依該會組織法</w:t>
      </w:r>
      <w:hyperlink r:id="rId10" w:history="1">
        <w:r w:rsidRPr="0073501F">
          <w:rPr>
            <w:rFonts w:hAnsi="標楷體" w:hint="eastAsia"/>
          </w:rPr>
          <w:t>第2條</w:t>
        </w:r>
      </w:hyperlink>
      <w:r w:rsidRPr="0073501F">
        <w:rPr>
          <w:rFonts w:hAnsi="標楷體" w:hint="eastAsia"/>
        </w:rPr>
        <w:t>：「本會主管金融市場及金融服務業之發展、監督、管理及檢查業務。前項</w:t>
      </w:r>
      <w:r w:rsidRPr="0073501F">
        <w:rPr>
          <w:rFonts w:hAnsi="標楷體"/>
        </w:rPr>
        <w:t>……</w:t>
      </w:r>
      <w:r w:rsidRPr="0073501F">
        <w:rPr>
          <w:rFonts w:hAnsi="標楷體" w:hint="eastAsia"/>
        </w:rPr>
        <w:t>所稱金融服務業包括</w:t>
      </w:r>
      <w:r w:rsidRPr="0073501F">
        <w:rPr>
          <w:rFonts w:hAnsi="標楷體"/>
        </w:rPr>
        <w:t>……</w:t>
      </w:r>
      <w:r w:rsidRPr="0073501F">
        <w:rPr>
          <w:rFonts w:hAnsi="標楷體" w:hint="eastAsia"/>
        </w:rPr>
        <w:t>銀行業</w:t>
      </w:r>
      <w:r w:rsidRPr="0073501F">
        <w:rPr>
          <w:rFonts w:hAnsi="標楷體"/>
        </w:rPr>
        <w:t>……</w:t>
      </w:r>
      <w:r w:rsidRPr="0073501F">
        <w:rPr>
          <w:rFonts w:hAnsi="標楷體" w:hint="eastAsia"/>
        </w:rPr>
        <w:t>。前項所稱銀行業</w:t>
      </w:r>
      <w:r w:rsidRPr="0073501F">
        <w:rPr>
          <w:rFonts w:hAnsi="標楷體"/>
        </w:rPr>
        <w:t>……</w:t>
      </w:r>
      <w:r w:rsidRPr="0073501F">
        <w:rPr>
          <w:rFonts w:hAnsi="標楷體" w:hint="eastAsia"/>
        </w:rPr>
        <w:t>範圍如下：一、銀行業：指銀行機構、信用合作社、票券金融公司、信用卡公司、信託業、郵政機構之郵政儲金匯兌業務與其他銀行服務業之業務及機構。</w:t>
      </w:r>
      <w:r w:rsidRPr="0073501F">
        <w:rPr>
          <w:rFonts w:hAnsi="標楷體"/>
        </w:rPr>
        <w:t>……</w:t>
      </w:r>
      <w:r w:rsidRPr="0073501F">
        <w:rPr>
          <w:rFonts w:hAnsi="標楷體" w:hint="eastAsia"/>
        </w:rPr>
        <w:t>」及</w:t>
      </w:r>
      <w:hyperlink r:id="rId11" w:history="1">
        <w:r w:rsidRPr="0073501F">
          <w:rPr>
            <w:rFonts w:hAnsi="標楷體" w:hint="eastAsia"/>
          </w:rPr>
          <w:t>第 3 條</w:t>
        </w:r>
      </w:hyperlink>
      <w:r w:rsidRPr="0073501F">
        <w:rPr>
          <w:rFonts w:hAnsi="標楷體" w:hint="eastAsia"/>
        </w:rPr>
        <w:t>：「本會掌理下列事項：一、金融制度及監理政策。二、金融法令之擬訂、修正及廢止。三、金融機構之設立、撤銷、廢止、變更、合併、停業、解散、業務範圍核定等監督及管理。四、金融市場之發展、監督及管理。五、金融機構之檢查。六、公開發行公司與證券市場相關事項之檢查。七、金融涉外事項。八、金融消費者保護。九、違反金融</w:t>
      </w:r>
      <w:r w:rsidRPr="0073501F">
        <w:rPr>
          <w:rFonts w:hAnsi="標楷體" w:hint="eastAsia"/>
        </w:rPr>
        <w:lastRenderedPageBreak/>
        <w:t>相關法令之取締、處分及處理。十、金融監督、管理及檢查相關統計資料之蒐集、彙整及分析。十一、其他有關金融之監督、管理及檢查事項。」等規定，金管會對於金融機構，負有監督、管理及檢查之責，自不待言。</w:t>
      </w:r>
      <w:r w:rsidRPr="0073501F">
        <w:rPr>
          <w:rFonts w:hAnsi="標楷體"/>
        </w:rPr>
        <w:t>依</w:t>
      </w:r>
      <w:r w:rsidRPr="0073501F">
        <w:rPr>
          <w:rFonts w:hAnsi="標楷體" w:hint="eastAsia"/>
        </w:rPr>
        <w:t>世界各國遵循之</w:t>
      </w:r>
      <w:r w:rsidRPr="0073501F">
        <w:rPr>
          <w:rFonts w:hAnsi="標楷體"/>
        </w:rPr>
        <w:t>巴塞爾國際監理原則，</w:t>
      </w:r>
      <w:r w:rsidRPr="0073501F">
        <w:rPr>
          <w:rFonts w:hAnsi="標楷體" w:hint="eastAsia"/>
        </w:rPr>
        <w:t>地主國金融主管</w:t>
      </w:r>
      <w:r w:rsidRPr="0073501F">
        <w:rPr>
          <w:rFonts w:hAnsi="標楷體"/>
        </w:rPr>
        <w:t>機關對</w:t>
      </w:r>
      <w:r w:rsidRPr="0073501F">
        <w:rPr>
          <w:rFonts w:hAnsi="標楷體" w:hint="eastAsia"/>
        </w:rPr>
        <w:t>其境內</w:t>
      </w:r>
      <w:r w:rsidRPr="0073501F">
        <w:rPr>
          <w:rFonts w:hAnsi="標楷體"/>
        </w:rPr>
        <w:t>外國</w:t>
      </w:r>
      <w:r w:rsidRPr="0073501F">
        <w:rPr>
          <w:rFonts w:hAnsi="標楷體" w:hint="eastAsia"/>
        </w:rPr>
        <w:t>銀行營運之監理規範，應與本國銀行相當，即本國銀行海外分行於當地之營運，應符合當地規範，</w:t>
      </w:r>
      <w:r w:rsidRPr="0073501F">
        <w:rPr>
          <w:rFonts w:hAnsi="標楷體"/>
        </w:rPr>
        <w:t>當地法規及監理</w:t>
      </w:r>
      <w:r w:rsidRPr="0073501F">
        <w:rPr>
          <w:rFonts w:hAnsi="標楷體" w:hint="eastAsia"/>
        </w:rPr>
        <w:t>係</w:t>
      </w:r>
      <w:r w:rsidRPr="0073501F">
        <w:rPr>
          <w:rFonts w:hAnsi="標楷體"/>
        </w:rPr>
        <w:t>屬</w:t>
      </w:r>
      <w:r w:rsidRPr="0073501F">
        <w:rPr>
          <w:rFonts w:hAnsi="標楷體" w:hint="eastAsia"/>
        </w:rPr>
        <w:t>地主國</w:t>
      </w:r>
      <w:r w:rsidRPr="0073501F">
        <w:rPr>
          <w:rFonts w:hAnsi="標楷體"/>
        </w:rPr>
        <w:t>主管機關之管轄職權</w:t>
      </w:r>
      <w:r w:rsidRPr="0073501F">
        <w:rPr>
          <w:rFonts w:hAnsi="標楷體" w:hint="eastAsia"/>
        </w:rPr>
        <w:t>。惟金管會對本國銀行海外分行，仍可透過對本國銀行總行之監理作為，有效監理其海外分行，例如金管會依據「</w:t>
      </w:r>
      <w:r w:rsidRPr="0073501F">
        <w:rPr>
          <w:rFonts w:hAnsi="標楷體" w:hint="eastAsia"/>
          <w:szCs w:val="32"/>
        </w:rPr>
        <w:t>金融控股公司及銀行業內部控制及稽核制度實施辦法</w:t>
      </w:r>
      <w:r w:rsidRPr="0073501F">
        <w:rPr>
          <w:rStyle w:val="afc"/>
          <w:rFonts w:hAnsi="標楷體"/>
          <w:szCs w:val="32"/>
        </w:rPr>
        <w:footnoteReference w:id="23"/>
      </w:r>
      <w:r w:rsidRPr="0073501F">
        <w:rPr>
          <w:rFonts w:hAnsi="標楷體" w:hint="eastAsia"/>
          <w:szCs w:val="32"/>
        </w:rPr>
        <w:t>」（下稱內控稽核實施辦法）第26條第2項訂定之</w:t>
      </w:r>
      <w:r w:rsidRPr="0073501F">
        <w:rPr>
          <w:rFonts w:hAnsi="標楷體"/>
          <w:szCs w:val="32"/>
        </w:rPr>
        <w:t>「銀行稽核工作考核要點」，</w:t>
      </w:r>
      <w:r w:rsidRPr="0073501F">
        <w:rPr>
          <w:rFonts w:hAnsi="標楷體" w:hint="eastAsia"/>
          <w:szCs w:val="32"/>
        </w:rPr>
        <w:t>將</w:t>
      </w:r>
      <w:r w:rsidRPr="0073501F">
        <w:rPr>
          <w:rFonts w:hAnsi="標楷體"/>
        </w:rPr>
        <w:t>國外金融監理機關檢查</w:t>
      </w:r>
      <w:r w:rsidRPr="0073501F">
        <w:rPr>
          <w:rFonts w:hAnsi="標楷體" w:hint="eastAsia"/>
        </w:rPr>
        <w:t>國外</w:t>
      </w:r>
      <w:r w:rsidRPr="0073501F">
        <w:rPr>
          <w:rFonts w:hAnsi="標楷體"/>
        </w:rPr>
        <w:t>分支</w:t>
      </w:r>
      <w:r w:rsidRPr="0073501F">
        <w:rPr>
          <w:rFonts w:hAnsi="標楷體" w:hint="eastAsia"/>
        </w:rPr>
        <w:t>機構</w:t>
      </w:r>
      <w:r w:rsidRPr="0073501F">
        <w:rPr>
          <w:rFonts w:hAnsi="標楷體"/>
        </w:rPr>
        <w:t>之檢查報告與檢查意見改善情形，或</w:t>
      </w:r>
      <w:r w:rsidRPr="0073501F">
        <w:rPr>
          <w:rFonts w:hAnsi="標楷體" w:hint="eastAsia"/>
        </w:rPr>
        <w:t>國外</w:t>
      </w:r>
      <w:r w:rsidRPr="0073501F">
        <w:rPr>
          <w:rFonts w:hAnsi="標楷體"/>
        </w:rPr>
        <w:t>分支</w:t>
      </w:r>
      <w:r w:rsidRPr="0073501F">
        <w:rPr>
          <w:rFonts w:hAnsi="標楷體" w:hint="eastAsia"/>
        </w:rPr>
        <w:t>機構</w:t>
      </w:r>
      <w:r w:rsidRPr="0073501F">
        <w:rPr>
          <w:rFonts w:hAnsi="標楷體"/>
        </w:rPr>
        <w:t>之會計師查核報告，</w:t>
      </w:r>
      <w:r w:rsidRPr="0073501F">
        <w:rPr>
          <w:rFonts w:hAnsi="標楷體" w:hint="eastAsia"/>
        </w:rPr>
        <w:t>是否</w:t>
      </w:r>
      <w:r w:rsidRPr="0073501F">
        <w:rPr>
          <w:rFonts w:hAnsi="標楷體"/>
        </w:rPr>
        <w:t>於國外金融監理機關規定函覆期限或會計師查核報告實際發文日後，二個月內檢附原文及中文譯本函</w:t>
      </w:r>
      <w:r w:rsidRPr="0073501F">
        <w:rPr>
          <w:rFonts w:hAnsi="標楷體" w:hint="eastAsia"/>
        </w:rPr>
        <w:t>報主管機關，列為考核重點，即為監理本國銀行海外分支機構之方法之一</w:t>
      </w:r>
      <w:r w:rsidRPr="0073501F">
        <w:rPr>
          <w:rFonts w:hAnsi="標楷體"/>
        </w:rPr>
        <w:t>。</w:t>
      </w:r>
      <w:bookmarkEnd w:id="98"/>
      <w:bookmarkEnd w:id="99"/>
    </w:p>
    <w:p w:rsidR="00441F49" w:rsidRPr="0073501F" w:rsidRDefault="00441F49" w:rsidP="00441F49">
      <w:pPr>
        <w:pStyle w:val="3"/>
        <w:rPr>
          <w:rFonts w:hAnsi="標楷體"/>
        </w:rPr>
      </w:pPr>
      <w:bookmarkStart w:id="100" w:name="_Toc484177930"/>
      <w:bookmarkStart w:id="101" w:name="_Toc484593479"/>
      <w:r w:rsidRPr="0073501F">
        <w:rPr>
          <w:rFonts w:hAnsi="標楷體" w:hint="eastAsia"/>
        </w:rPr>
        <w:t>本案兆豐銀行遭</w:t>
      </w:r>
      <w:r w:rsidR="008A0F8A" w:rsidRPr="0073501F">
        <w:rPr>
          <w:rFonts w:hAnsi="標楷體" w:hint="eastAsia"/>
        </w:rPr>
        <w:t>NYDFS</w:t>
      </w:r>
      <w:r w:rsidRPr="0073501F">
        <w:rPr>
          <w:rFonts w:hAnsi="標楷體" w:hint="eastAsia"/>
        </w:rPr>
        <w:t>重罰後，金管會據以檢討及修正我國相關規範與制度，以檢討並修正</w:t>
      </w:r>
      <w:r w:rsidRPr="0073501F">
        <w:rPr>
          <w:rFonts w:hAnsi="標楷體" w:hint="eastAsia"/>
          <w:szCs w:val="32"/>
        </w:rPr>
        <w:t>內部控制及稽核制度實施辦法</w:t>
      </w:r>
      <w:r w:rsidRPr="0073501F">
        <w:rPr>
          <w:rStyle w:val="afc"/>
          <w:rFonts w:hAnsi="標楷體"/>
          <w:szCs w:val="32"/>
        </w:rPr>
        <w:footnoteReference w:id="24"/>
      </w:r>
      <w:r w:rsidRPr="0073501F">
        <w:rPr>
          <w:rFonts w:hAnsi="標楷體" w:hint="eastAsia"/>
          <w:szCs w:val="32"/>
        </w:rPr>
        <w:t>之相關規定為例，其增加內容，例如：</w:t>
      </w:r>
      <w:bookmarkEnd w:id="100"/>
      <w:bookmarkEnd w:id="101"/>
    </w:p>
    <w:p w:rsidR="00441F49" w:rsidRPr="0073501F" w:rsidRDefault="00441F49" w:rsidP="00441F49">
      <w:pPr>
        <w:pStyle w:val="4"/>
        <w:rPr>
          <w:rFonts w:hAnsi="標楷體"/>
        </w:rPr>
      </w:pPr>
      <w:r w:rsidRPr="0073501F">
        <w:rPr>
          <w:rFonts w:hAnsi="標楷體"/>
        </w:rPr>
        <w:t>金融控股公司及銀行業董(理)事會應認知營運所面臨之風險，監督其營運結果，並對於確保建</w:t>
      </w:r>
      <w:r w:rsidRPr="0073501F">
        <w:rPr>
          <w:rFonts w:hAnsi="標楷體"/>
        </w:rPr>
        <w:lastRenderedPageBreak/>
        <w:t>立及維持適當有效之內部控制制度負有最終之責任。</w:t>
      </w:r>
      <w:r w:rsidRPr="0073501F">
        <w:rPr>
          <w:rStyle w:val="afc"/>
          <w:rFonts w:hAnsi="標楷體" w:cs="標楷體"/>
          <w:kern w:val="0"/>
          <w:szCs w:val="32"/>
        </w:rPr>
        <w:footnoteReference w:id="25"/>
      </w:r>
    </w:p>
    <w:p w:rsidR="00441F49" w:rsidRPr="0073501F" w:rsidRDefault="00441F49" w:rsidP="00441F49">
      <w:pPr>
        <w:pStyle w:val="4"/>
        <w:rPr>
          <w:rFonts w:hAnsi="標楷體"/>
        </w:rPr>
      </w:pPr>
      <w:r w:rsidRPr="0073501F">
        <w:rPr>
          <w:rFonts w:hAnsi="標楷體" w:hint="eastAsia"/>
        </w:rPr>
        <w:t>董</w:t>
      </w:r>
      <w:r w:rsidRPr="0073501F">
        <w:rPr>
          <w:rFonts w:hAnsi="標楷體"/>
        </w:rPr>
        <w:t>(</w:t>
      </w:r>
      <w:r w:rsidRPr="0073501F">
        <w:rPr>
          <w:rFonts w:hAnsi="標楷體" w:hint="eastAsia"/>
        </w:rPr>
        <w:t>理</w:t>
      </w:r>
      <w:r w:rsidRPr="0073501F">
        <w:rPr>
          <w:rFonts w:hAnsi="標楷體"/>
        </w:rPr>
        <w:t>)</w:t>
      </w:r>
      <w:r w:rsidRPr="0073501F">
        <w:rPr>
          <w:rFonts w:hAnsi="標楷體" w:hint="eastAsia"/>
        </w:rPr>
        <w:t>事發現金融控股公司及銀行業有受重大損害之虞時，應儘速妥適處理，立即通知審計委員會或審計委員會之獨立董事成員或監察人（監事、監事會）並提報董</w:t>
      </w:r>
      <w:r w:rsidRPr="0073501F">
        <w:rPr>
          <w:rFonts w:hAnsi="標楷體"/>
        </w:rPr>
        <w:t>(</w:t>
      </w:r>
      <w:r w:rsidRPr="0073501F">
        <w:rPr>
          <w:rFonts w:hAnsi="標楷體" w:hint="eastAsia"/>
        </w:rPr>
        <w:t>理</w:t>
      </w:r>
      <w:r w:rsidRPr="0073501F">
        <w:rPr>
          <w:rFonts w:hAnsi="標楷體"/>
        </w:rPr>
        <w:t>)</w:t>
      </w:r>
      <w:r w:rsidRPr="0073501F">
        <w:rPr>
          <w:rFonts w:hAnsi="標楷體" w:hint="eastAsia"/>
        </w:rPr>
        <w:t>事會，且應督導所屬金融控股公司及銀行業通報主管機關。</w:t>
      </w:r>
      <w:r w:rsidRPr="0073501F">
        <w:rPr>
          <w:rStyle w:val="afc"/>
          <w:rFonts w:hAnsi="標楷體"/>
          <w:sz w:val="23"/>
          <w:szCs w:val="23"/>
        </w:rPr>
        <w:footnoteReference w:id="26"/>
      </w:r>
    </w:p>
    <w:p w:rsidR="00441F49" w:rsidRPr="0073501F" w:rsidRDefault="00441F49" w:rsidP="00441F49">
      <w:pPr>
        <w:pStyle w:val="4"/>
        <w:rPr>
          <w:rFonts w:hAnsi="標楷體"/>
        </w:rPr>
      </w:pPr>
      <w:r w:rsidRPr="0073501F">
        <w:rPr>
          <w:rFonts w:hAnsi="標楷體"/>
        </w:rPr>
        <w:t>內部控制制度應涵蓋所有營運活動，並應訂定適當之政策及作業程序，且應適時檢討修</w:t>
      </w:r>
      <w:r w:rsidR="006E06C8" w:rsidRPr="006E06C8">
        <w:rPr>
          <w:rFonts w:hAnsi="標楷體" w:hint="eastAsia"/>
          <w:color w:val="FF0000"/>
        </w:rPr>
        <w:t>正</w:t>
      </w:r>
      <w:r w:rsidRPr="0073501F">
        <w:rPr>
          <w:rFonts w:hAnsi="標楷體" w:hint="eastAsia"/>
        </w:rPr>
        <w:t>「</w:t>
      </w:r>
      <w:r w:rsidRPr="0073501F">
        <w:rPr>
          <w:rFonts w:hAnsi="標楷體"/>
        </w:rPr>
        <w:t>重大偶發事件之處理機制</w:t>
      </w:r>
      <w:r w:rsidRPr="0073501F">
        <w:rPr>
          <w:rFonts w:hAnsi="標楷體" w:hint="eastAsia"/>
        </w:rPr>
        <w:t>」及「</w:t>
      </w:r>
      <w:r w:rsidRPr="0073501F">
        <w:rPr>
          <w:rFonts w:hAnsi="標楷體"/>
        </w:rPr>
        <w:t>防制洗錢及打擊資恐機制及相關法令之遵循管理</w:t>
      </w:r>
      <w:r w:rsidRPr="0073501F">
        <w:rPr>
          <w:rFonts w:hAnsi="標楷體" w:cs="新細明體"/>
        </w:rPr>
        <w:t>，</w:t>
      </w:r>
      <w:r w:rsidRPr="0073501F">
        <w:rPr>
          <w:rFonts w:hAnsi="標楷體"/>
        </w:rPr>
        <w:t>包括辨識</w:t>
      </w:r>
      <w:r w:rsidRPr="0073501F">
        <w:rPr>
          <w:rFonts w:hAnsi="標楷體" w:cs="新細明體"/>
        </w:rPr>
        <w:t>、</w:t>
      </w:r>
      <w:r w:rsidRPr="0073501F">
        <w:rPr>
          <w:rFonts w:hAnsi="標楷體"/>
        </w:rPr>
        <w:t>衡量</w:t>
      </w:r>
      <w:r w:rsidRPr="0073501F">
        <w:rPr>
          <w:rFonts w:hAnsi="標楷體" w:cs="新細明體"/>
        </w:rPr>
        <w:t>、</w:t>
      </w:r>
      <w:r w:rsidRPr="0073501F">
        <w:rPr>
          <w:rFonts w:hAnsi="標楷體"/>
        </w:rPr>
        <w:t>監控洗錢及資恐風險之管理機制</w:t>
      </w:r>
      <w:r w:rsidRPr="0073501F">
        <w:rPr>
          <w:rFonts w:hAnsi="標楷體" w:hint="eastAsia"/>
        </w:rPr>
        <w:t>」之</w:t>
      </w:r>
      <w:r w:rsidRPr="0073501F">
        <w:rPr>
          <w:rFonts w:hAnsi="標楷體"/>
        </w:rPr>
        <w:t>相關業務規範及處理手冊</w:t>
      </w:r>
      <w:r w:rsidRPr="0073501F">
        <w:rPr>
          <w:rFonts w:hAnsi="標楷體" w:hint="eastAsia"/>
        </w:rPr>
        <w:t>。</w:t>
      </w:r>
      <w:r w:rsidRPr="0073501F">
        <w:rPr>
          <w:rStyle w:val="afc"/>
          <w:rFonts w:hAnsi="標楷體" w:cs="標楷體"/>
          <w:kern w:val="0"/>
          <w:szCs w:val="32"/>
        </w:rPr>
        <w:footnoteReference w:id="27"/>
      </w:r>
    </w:p>
    <w:p w:rsidR="00441F49" w:rsidRPr="0073501F" w:rsidRDefault="00441F49" w:rsidP="00441F49">
      <w:pPr>
        <w:pStyle w:val="4"/>
        <w:rPr>
          <w:rFonts w:hAnsi="標楷體"/>
        </w:rPr>
      </w:pPr>
      <w:r w:rsidRPr="0073501F">
        <w:rPr>
          <w:rFonts w:hAnsi="標楷體" w:hint="eastAsia"/>
        </w:rPr>
        <w:t>金融控股公司及設有國外分公司</w:t>
      </w:r>
      <w:r w:rsidRPr="0073501F">
        <w:rPr>
          <w:rFonts w:hAnsi="標楷體"/>
        </w:rPr>
        <w:t>(</w:t>
      </w:r>
      <w:r w:rsidRPr="0073501F">
        <w:rPr>
          <w:rFonts w:hAnsi="標楷體" w:hint="eastAsia"/>
        </w:rPr>
        <w:t>或子公司</w:t>
      </w:r>
      <w:r w:rsidRPr="0073501F">
        <w:rPr>
          <w:rFonts w:hAnsi="標楷體"/>
        </w:rPr>
        <w:t>)</w:t>
      </w:r>
      <w:r w:rsidRPr="0073501F">
        <w:rPr>
          <w:rFonts w:hAnsi="標楷體" w:hint="eastAsia"/>
        </w:rPr>
        <w:t>之銀行業應另建立集團整體性防制洗錢及打擊資恐計畫，包括在符合國外分公司</w:t>
      </w:r>
      <w:r w:rsidRPr="0073501F">
        <w:rPr>
          <w:rFonts w:hAnsi="標楷體"/>
        </w:rPr>
        <w:t>(</w:t>
      </w:r>
      <w:r w:rsidRPr="0073501F">
        <w:rPr>
          <w:rFonts w:hAnsi="標楷體" w:hint="eastAsia"/>
        </w:rPr>
        <w:t>或子公司</w:t>
      </w:r>
      <w:r w:rsidRPr="0073501F">
        <w:rPr>
          <w:rFonts w:hAnsi="標楷體"/>
        </w:rPr>
        <w:t>)</w:t>
      </w:r>
      <w:r w:rsidRPr="0073501F">
        <w:rPr>
          <w:rFonts w:hAnsi="標楷體" w:hint="eastAsia"/>
        </w:rPr>
        <w:t>當地法令下，以防制洗錢及打擊資恐為目的之集團內資訊分享政策及程序</w:t>
      </w:r>
      <w:r w:rsidRPr="0073501F">
        <w:rPr>
          <w:rFonts w:hAnsi="標楷體"/>
        </w:rPr>
        <w:t>。</w:t>
      </w:r>
      <w:r w:rsidRPr="0073501F">
        <w:rPr>
          <w:rStyle w:val="afc"/>
          <w:rFonts w:hAnsi="標楷體" w:cs="標楷體"/>
          <w:kern w:val="0"/>
          <w:szCs w:val="32"/>
        </w:rPr>
        <w:footnoteReference w:id="28"/>
      </w:r>
    </w:p>
    <w:p w:rsidR="00441F49" w:rsidRPr="0073501F" w:rsidRDefault="00441F49" w:rsidP="00441F49">
      <w:pPr>
        <w:pStyle w:val="4"/>
        <w:rPr>
          <w:rFonts w:hAnsi="標楷體"/>
        </w:rPr>
      </w:pPr>
      <w:r w:rsidRPr="0073501F">
        <w:rPr>
          <w:rFonts w:hAnsi="標楷體" w:hint="eastAsia"/>
        </w:rPr>
        <w:t>總機構法令遵循主管至少每半年向董（理）事會及監察人（監事、監事會）或審計委員會報告，如發現有重大違反法令或遭金融主管機關調降評等時，應即時通報董（理）事及監察人（監事、監事會），並就法令遵循事項，提報董</w:t>
      </w:r>
      <w:r w:rsidRPr="0073501F">
        <w:rPr>
          <w:rFonts w:hAnsi="標楷體"/>
        </w:rPr>
        <w:t>(</w:t>
      </w:r>
      <w:r w:rsidRPr="0073501F">
        <w:rPr>
          <w:rFonts w:hAnsi="標楷體" w:hint="eastAsia"/>
        </w:rPr>
        <w:t>理</w:t>
      </w:r>
      <w:r w:rsidRPr="0073501F">
        <w:rPr>
          <w:rFonts w:hAnsi="標楷體"/>
        </w:rPr>
        <w:t>)</w:t>
      </w:r>
      <w:r w:rsidRPr="0073501F">
        <w:rPr>
          <w:rFonts w:hAnsi="標楷體" w:hint="eastAsia"/>
        </w:rPr>
        <w:t>事會。</w:t>
      </w:r>
      <w:r w:rsidRPr="0073501F">
        <w:rPr>
          <w:rStyle w:val="afc"/>
          <w:rFonts w:hAnsi="標楷體"/>
          <w:sz w:val="23"/>
          <w:szCs w:val="23"/>
        </w:rPr>
        <w:footnoteReference w:id="29"/>
      </w:r>
    </w:p>
    <w:p w:rsidR="00441F49" w:rsidRPr="0073501F" w:rsidRDefault="00441F49" w:rsidP="00441F49">
      <w:pPr>
        <w:pStyle w:val="4"/>
        <w:rPr>
          <w:rFonts w:hAnsi="標楷體"/>
        </w:rPr>
      </w:pPr>
      <w:r w:rsidRPr="0073501F">
        <w:rPr>
          <w:rFonts w:hAnsi="標楷體" w:hint="eastAsia"/>
        </w:rPr>
        <w:t>國外營業單位法令遵循主管之設置應符合當地法令規定及當地主管機關之要求，除有下列情事</w:t>
      </w:r>
      <w:r w:rsidRPr="0073501F">
        <w:rPr>
          <w:rFonts w:hAnsi="標楷體" w:hint="eastAsia"/>
        </w:rPr>
        <w:lastRenderedPageBreak/>
        <w:t>者外，應為專任</w:t>
      </w:r>
      <w:r w:rsidRPr="0073501F">
        <w:rPr>
          <w:rStyle w:val="afc"/>
          <w:rFonts w:hAnsi="標楷體"/>
          <w:sz w:val="23"/>
          <w:szCs w:val="23"/>
        </w:rPr>
        <w:footnoteReference w:id="30"/>
      </w:r>
      <w:r w:rsidRPr="0073501F">
        <w:rPr>
          <w:rFonts w:hAnsi="標楷體" w:hint="eastAsia"/>
        </w:rPr>
        <w:t>：</w:t>
      </w:r>
    </w:p>
    <w:p w:rsidR="00441F49" w:rsidRPr="0073501F" w:rsidRDefault="00441F49" w:rsidP="00441F49">
      <w:pPr>
        <w:pStyle w:val="5"/>
        <w:rPr>
          <w:rFonts w:hAnsi="標楷體"/>
        </w:rPr>
      </w:pPr>
      <w:r w:rsidRPr="0073501F">
        <w:rPr>
          <w:rFonts w:hAnsi="標楷體" w:hint="eastAsia"/>
        </w:rPr>
        <w:t>兼任防制洗錢及打擊資恐主管。</w:t>
      </w:r>
    </w:p>
    <w:p w:rsidR="00441F49" w:rsidRPr="0073501F" w:rsidRDefault="00441F49" w:rsidP="00441F49">
      <w:pPr>
        <w:pStyle w:val="5"/>
        <w:rPr>
          <w:rFonts w:hAnsi="標楷體"/>
        </w:rPr>
      </w:pPr>
      <w:r w:rsidRPr="0073501F">
        <w:rPr>
          <w:rFonts w:hAnsi="標楷體" w:hint="eastAsia"/>
        </w:rPr>
        <w:t>依當地法令明定得兼任無職務衝突之其他職務。</w:t>
      </w:r>
    </w:p>
    <w:p w:rsidR="00441F49" w:rsidRPr="0073501F" w:rsidRDefault="00441F49" w:rsidP="00441F49">
      <w:pPr>
        <w:pStyle w:val="5"/>
        <w:rPr>
          <w:rFonts w:hAnsi="標楷體"/>
        </w:rPr>
      </w:pPr>
      <w:r w:rsidRPr="0073501F">
        <w:rPr>
          <w:rFonts w:hAnsi="標楷體" w:hint="eastAsia"/>
        </w:rPr>
        <w:t>當地法令未明確規定，於與當地主管機關溝通並確認後，報經主管機關備查者，得兼任無職務衝突之其他職務。</w:t>
      </w:r>
    </w:p>
    <w:p w:rsidR="00441F49" w:rsidRPr="0073501F" w:rsidRDefault="00441F49" w:rsidP="00441F49">
      <w:pPr>
        <w:pStyle w:val="4"/>
        <w:rPr>
          <w:rFonts w:hAnsi="標楷體"/>
        </w:rPr>
      </w:pPr>
      <w:r w:rsidRPr="0073501F">
        <w:rPr>
          <w:rFonts w:hAnsi="標楷體"/>
        </w:rPr>
        <w:t>國外營業單位之法令遵循主管，每年應至少參加由當地主管機關或相關單位舉辦之法令遵循在職教育訓練課程</w:t>
      </w:r>
      <w:r w:rsidRPr="0073501F">
        <w:rPr>
          <w:rFonts w:hAnsi="標楷體" w:hint="eastAsia"/>
        </w:rPr>
        <w:t>15</w:t>
      </w:r>
      <w:r w:rsidRPr="0073501F">
        <w:rPr>
          <w:rFonts w:hAnsi="標楷體"/>
        </w:rPr>
        <w:t>小時，如當地主管機關或相關單位未舉辦法令遵循教育訓練課程，得參加主管機關或其認定機構所舉辦或所</w:t>
      </w:r>
      <w:r w:rsidRPr="0073501F">
        <w:rPr>
          <w:rFonts w:hAnsi="標楷體" w:hint="eastAsia"/>
        </w:rPr>
        <w:t>屬金融控股公司</w:t>
      </w:r>
      <w:r w:rsidRPr="0073501F">
        <w:rPr>
          <w:rFonts w:hAnsi="標楷體"/>
        </w:rPr>
        <w:t>(</w:t>
      </w:r>
      <w:r w:rsidRPr="0073501F">
        <w:rPr>
          <w:rFonts w:hAnsi="標楷體" w:hint="eastAsia"/>
        </w:rPr>
        <w:t>含子公司</w:t>
      </w:r>
      <w:r w:rsidRPr="0073501F">
        <w:rPr>
          <w:rFonts w:hAnsi="標楷體"/>
        </w:rPr>
        <w:t>)</w:t>
      </w:r>
      <w:r w:rsidRPr="0073501F">
        <w:rPr>
          <w:rFonts w:hAnsi="標楷體" w:hint="eastAsia"/>
        </w:rPr>
        <w:t>或銀行業</w:t>
      </w:r>
      <w:r w:rsidRPr="0073501F">
        <w:rPr>
          <w:rFonts w:hAnsi="標楷體"/>
        </w:rPr>
        <w:t>(</w:t>
      </w:r>
      <w:r w:rsidRPr="0073501F">
        <w:rPr>
          <w:rFonts w:hAnsi="標楷體" w:hint="eastAsia"/>
        </w:rPr>
        <w:t>含母公司</w:t>
      </w:r>
      <w:r w:rsidRPr="0073501F">
        <w:rPr>
          <w:rFonts w:hAnsi="標楷體"/>
        </w:rPr>
        <w:t>)</w:t>
      </w:r>
      <w:r w:rsidRPr="0073501F">
        <w:rPr>
          <w:rFonts w:hAnsi="標楷體" w:hint="eastAsia"/>
        </w:rPr>
        <w:t>自行舉辦之教育訓練課程。</w:t>
      </w:r>
      <w:r w:rsidRPr="0073501F">
        <w:rPr>
          <w:rStyle w:val="afc"/>
          <w:rFonts w:hAnsi="標楷體"/>
          <w:sz w:val="23"/>
          <w:szCs w:val="23"/>
        </w:rPr>
        <w:footnoteReference w:id="31"/>
      </w:r>
    </w:p>
    <w:p w:rsidR="00441F49" w:rsidRPr="0073501F" w:rsidRDefault="00441F49" w:rsidP="00441F49">
      <w:pPr>
        <w:pStyle w:val="4"/>
        <w:rPr>
          <w:rFonts w:hAnsi="標楷體"/>
        </w:rPr>
      </w:pPr>
      <w:r w:rsidRPr="0073501F">
        <w:rPr>
          <w:rFonts w:hAnsi="標楷體" w:hint="eastAsia"/>
        </w:rPr>
        <w:t>銀行業設有國外營業單位者，法令遵循單位應督導國外營業單位辦理下列事項</w:t>
      </w:r>
      <w:r w:rsidRPr="0073501F">
        <w:rPr>
          <w:rStyle w:val="afc"/>
          <w:rFonts w:hAnsi="標楷體"/>
          <w:szCs w:val="32"/>
        </w:rPr>
        <w:footnoteReference w:id="32"/>
      </w:r>
      <w:r w:rsidRPr="0073501F">
        <w:rPr>
          <w:rFonts w:hAnsi="標楷體" w:hint="eastAsia"/>
        </w:rPr>
        <w:t>：</w:t>
      </w:r>
    </w:p>
    <w:p w:rsidR="00441F49" w:rsidRPr="0073501F" w:rsidRDefault="00441F49" w:rsidP="00441F49">
      <w:pPr>
        <w:pStyle w:val="5"/>
        <w:rPr>
          <w:rFonts w:hAnsi="標楷體"/>
        </w:rPr>
      </w:pPr>
      <w:r w:rsidRPr="0073501F">
        <w:rPr>
          <w:rFonts w:hAnsi="標楷體" w:hint="eastAsia"/>
        </w:rPr>
        <w:t>蒐集當地金融法規資料，建置當地法規資料庫、落實執行法令遵循自行評估作業、確保法令遵循主管適任性及法令遵循資源</w:t>
      </w:r>
      <w:r w:rsidRPr="0073501F">
        <w:rPr>
          <w:rFonts w:hAnsi="標楷體"/>
        </w:rPr>
        <w:t>(</w:t>
      </w:r>
      <w:r w:rsidRPr="0073501F">
        <w:rPr>
          <w:rFonts w:hAnsi="標楷體" w:hint="eastAsia"/>
        </w:rPr>
        <w:t>含人員、配備及訓練</w:t>
      </w:r>
      <w:r w:rsidRPr="0073501F">
        <w:rPr>
          <w:rFonts w:hAnsi="標楷體"/>
        </w:rPr>
        <w:t>)</w:t>
      </w:r>
      <w:r w:rsidRPr="0073501F">
        <w:rPr>
          <w:rFonts w:hAnsi="標楷體" w:hint="eastAsia"/>
        </w:rPr>
        <w:t>是否適足等事項，以確保遵守其所在地國家之法令。</w:t>
      </w:r>
    </w:p>
    <w:p w:rsidR="00441F49" w:rsidRPr="0073501F" w:rsidRDefault="00441F49" w:rsidP="00441F49">
      <w:pPr>
        <w:pStyle w:val="5"/>
        <w:rPr>
          <w:rFonts w:hAnsi="標楷體"/>
        </w:rPr>
      </w:pPr>
      <w:r w:rsidRPr="0073501F">
        <w:rPr>
          <w:rFonts w:hAnsi="標楷體" w:hint="eastAsia"/>
        </w:rPr>
        <w:t>建立法令遵循風險之自行評估及監控機制，對於其中業務規模大、複雜度或風險程度高者，並應委請當地外部獨立專家驗證其法令遵循風險自行評估及監控機制之有效性。</w:t>
      </w:r>
    </w:p>
    <w:p w:rsidR="00441F49" w:rsidRPr="0073501F" w:rsidRDefault="00441F49" w:rsidP="00441F49">
      <w:pPr>
        <w:pStyle w:val="4"/>
        <w:rPr>
          <w:rFonts w:hAnsi="標楷體"/>
        </w:rPr>
      </w:pPr>
      <w:r w:rsidRPr="0073501F">
        <w:rPr>
          <w:rFonts w:hAnsi="標楷體"/>
        </w:rPr>
        <w:t>銀行業之風險控管機制</w:t>
      </w:r>
      <w:r w:rsidRPr="0073501F">
        <w:rPr>
          <w:rFonts w:hAnsi="標楷體" w:hint="eastAsia"/>
        </w:rPr>
        <w:t>，</w:t>
      </w:r>
      <w:r w:rsidRPr="0073501F">
        <w:rPr>
          <w:rFonts w:hAnsi="標楷體"/>
        </w:rPr>
        <w:t>應包括</w:t>
      </w:r>
      <w:r w:rsidRPr="0073501F">
        <w:rPr>
          <w:rFonts w:hAnsi="標楷體" w:hint="eastAsia"/>
        </w:rPr>
        <w:t>：</w:t>
      </w:r>
      <w:r w:rsidRPr="0073501F">
        <w:rPr>
          <w:rFonts w:hAnsi="標楷體"/>
        </w:rPr>
        <w:t>應建立辨識、衡量與監控洗錢及資助恐怖主義風險之管理機</w:t>
      </w:r>
      <w:r w:rsidRPr="0073501F">
        <w:rPr>
          <w:rFonts w:hAnsi="標楷體"/>
        </w:rPr>
        <w:lastRenderedPageBreak/>
        <w:t>制，及遵循防制洗錢相關法令之標準作業程序，以降低其洗錢及資助恐怖主義風險。</w:t>
      </w:r>
      <w:r w:rsidRPr="0073501F">
        <w:rPr>
          <w:rStyle w:val="afc"/>
          <w:rFonts w:hAnsi="標楷體" w:cs="標楷體"/>
          <w:kern w:val="0"/>
          <w:szCs w:val="32"/>
        </w:rPr>
        <w:footnoteReference w:id="33"/>
      </w:r>
    </w:p>
    <w:p w:rsidR="00441F49" w:rsidRPr="0073501F" w:rsidRDefault="00441F49" w:rsidP="00441F49">
      <w:pPr>
        <w:pStyle w:val="4"/>
        <w:rPr>
          <w:rFonts w:hAnsi="標楷體"/>
        </w:rPr>
      </w:pPr>
      <w:r w:rsidRPr="0073501F">
        <w:rPr>
          <w:rFonts w:hAnsi="標楷體" w:hint="eastAsia"/>
        </w:rPr>
        <w:t>金融控股公司及銀行業於主管機關或國外分支機構當地主管機關檢查結束或收到檢查報告後，總機構之內部稽核單位應依重大性原則，即時通報董（理）事及監察人（監事、監事會），並提報最近一次董</w:t>
      </w:r>
      <w:r w:rsidRPr="0073501F">
        <w:rPr>
          <w:rFonts w:hAnsi="標楷體"/>
        </w:rPr>
        <w:t>(</w:t>
      </w:r>
      <w:r w:rsidRPr="0073501F">
        <w:rPr>
          <w:rFonts w:hAnsi="標楷體" w:hint="eastAsia"/>
        </w:rPr>
        <w:t>理</w:t>
      </w:r>
      <w:r w:rsidRPr="0073501F">
        <w:rPr>
          <w:rFonts w:hAnsi="標楷體"/>
        </w:rPr>
        <w:t>)</w:t>
      </w:r>
      <w:r w:rsidRPr="0073501F">
        <w:rPr>
          <w:rFonts w:hAnsi="標楷體" w:hint="eastAsia"/>
        </w:rPr>
        <w:t>事會報告。報告事項應包括檢查溝通會議內容、主要檢查缺失、遭金融主管機關調降評等、主管機關要求採行之重大缺失改善方案或可能採行之處分措施。</w:t>
      </w:r>
      <w:r w:rsidRPr="0073501F">
        <w:rPr>
          <w:rStyle w:val="afc"/>
          <w:rFonts w:hAnsi="標楷體"/>
          <w:sz w:val="23"/>
          <w:szCs w:val="23"/>
        </w:rPr>
        <w:footnoteReference w:id="34"/>
      </w:r>
    </w:p>
    <w:p w:rsidR="00441F49" w:rsidRPr="0073501F" w:rsidRDefault="00441F49" w:rsidP="00441F49">
      <w:pPr>
        <w:pStyle w:val="3"/>
        <w:numPr>
          <w:ilvl w:val="0"/>
          <w:numId w:val="0"/>
        </w:numPr>
        <w:ind w:left="1361" w:firstLineChars="205" w:firstLine="697"/>
        <w:rPr>
          <w:rFonts w:hAnsi="標楷體"/>
        </w:rPr>
      </w:pPr>
      <w:bookmarkStart w:id="102" w:name="_Toc484177931"/>
      <w:bookmarkStart w:id="103" w:name="_Toc484593480"/>
      <w:r w:rsidRPr="0073501F">
        <w:rPr>
          <w:rFonts w:hAnsi="標楷體" w:hint="eastAsia"/>
        </w:rPr>
        <w:t>金管會依據本案例檢討及修正我國相關規範與制度，幅度極大，期待亡羊補牢，以免再有類似案件發生，適證我國當時對於金融機構之</w:t>
      </w:r>
      <w:r w:rsidRPr="0073501F">
        <w:rPr>
          <w:rFonts w:hAnsi="標楷體"/>
        </w:rPr>
        <w:t>公司治理</w:t>
      </w:r>
      <w:r w:rsidRPr="0073501F">
        <w:rPr>
          <w:rFonts w:hAnsi="標楷體" w:hint="eastAsia"/>
        </w:rPr>
        <w:t>、洗錢防制及法令遵循等方面，相關規範與制度確有若干缺漏，未能與時俱進。</w:t>
      </w:r>
      <w:bookmarkEnd w:id="102"/>
      <w:bookmarkEnd w:id="103"/>
    </w:p>
    <w:p w:rsidR="00441F49" w:rsidRPr="0073501F" w:rsidRDefault="00441F49" w:rsidP="00441F49">
      <w:pPr>
        <w:pStyle w:val="3"/>
        <w:rPr>
          <w:rFonts w:hAnsi="標楷體"/>
        </w:rPr>
      </w:pPr>
      <w:bookmarkStart w:id="104" w:name="_Toc484177932"/>
      <w:bookmarkStart w:id="105" w:name="_Toc484593481"/>
      <w:r w:rsidRPr="0073501F">
        <w:rPr>
          <w:rFonts w:hAnsi="標楷體" w:hint="eastAsia"/>
        </w:rPr>
        <w:t>綜上，依據本案合意處分令內容，</w:t>
      </w:r>
      <w:r w:rsidR="008A0F8A" w:rsidRPr="0073501F">
        <w:rPr>
          <w:rFonts w:hAnsi="標楷體" w:hint="eastAsia"/>
        </w:rPr>
        <w:t>NYDFS</w:t>
      </w:r>
      <w:r w:rsidRPr="0073501F">
        <w:rPr>
          <w:rFonts w:hAnsi="標楷體" w:hint="eastAsia"/>
        </w:rPr>
        <w:t>認定兆豐銀行紐約分行之內控不佳、與巴拿馬地區分行往來涉及可疑活動、未能執行充分的</w:t>
      </w:r>
      <w:r w:rsidRPr="0073501F">
        <w:rPr>
          <w:rFonts w:hAnsi="標楷體"/>
        </w:rPr>
        <w:t>客戶</w:t>
      </w:r>
      <w:r w:rsidRPr="0073501F">
        <w:rPr>
          <w:rFonts w:hAnsi="標楷體" w:hint="eastAsia"/>
        </w:rPr>
        <w:t>盡職調</w:t>
      </w:r>
      <w:r w:rsidRPr="0073501F">
        <w:rPr>
          <w:rFonts w:hAnsi="標楷體"/>
        </w:rPr>
        <w:t>查</w:t>
      </w:r>
      <w:r w:rsidRPr="0073501F">
        <w:rPr>
          <w:rFonts w:hAnsi="標楷體" w:hint="eastAsia"/>
        </w:rPr>
        <w:t>、不充分的</w:t>
      </w:r>
      <w:r w:rsidRPr="0073501F">
        <w:rPr>
          <w:rFonts w:hAnsi="標楷體"/>
        </w:rPr>
        <w:t>風險評估政策</w:t>
      </w:r>
      <w:r w:rsidRPr="0073501F">
        <w:rPr>
          <w:rFonts w:hAnsi="標楷體" w:hint="eastAsia"/>
        </w:rPr>
        <w:t>和程序、輕蔑回應</w:t>
      </w:r>
      <w:r w:rsidR="008A0F8A" w:rsidRPr="0073501F">
        <w:rPr>
          <w:rFonts w:hAnsi="標楷體"/>
        </w:rPr>
        <w:t>NYDFS</w:t>
      </w:r>
      <w:r w:rsidRPr="0073501F">
        <w:rPr>
          <w:rFonts w:hAnsi="標楷體" w:hint="eastAsia"/>
        </w:rPr>
        <w:t>金融</w:t>
      </w:r>
      <w:r w:rsidRPr="0073501F">
        <w:rPr>
          <w:rFonts w:hAnsi="標楷體"/>
        </w:rPr>
        <w:t>檢查</w:t>
      </w:r>
      <w:r w:rsidRPr="0073501F">
        <w:rPr>
          <w:rFonts w:hAnsi="標楷體" w:hint="eastAsia"/>
        </w:rPr>
        <w:t>，</w:t>
      </w:r>
      <w:r w:rsidRPr="0073501F">
        <w:rPr>
          <w:rFonts w:hAnsi="標楷體"/>
        </w:rPr>
        <w:t>總行</w:t>
      </w:r>
      <w:r w:rsidRPr="0073501F">
        <w:rPr>
          <w:rFonts w:hAnsi="標楷體" w:hint="eastAsia"/>
        </w:rPr>
        <w:t>復缺乏盡職</w:t>
      </w:r>
      <w:r w:rsidRPr="0073501F">
        <w:rPr>
          <w:rFonts w:hAnsi="標楷體"/>
        </w:rPr>
        <w:t>監督</w:t>
      </w:r>
      <w:r w:rsidRPr="0073501F">
        <w:rPr>
          <w:rFonts w:hAnsi="標楷體" w:hint="eastAsia"/>
        </w:rPr>
        <w:t>；</w:t>
      </w:r>
      <w:r w:rsidR="008A0F8A" w:rsidRPr="0073501F">
        <w:rPr>
          <w:rFonts w:hAnsi="標楷體" w:hint="eastAsia"/>
        </w:rPr>
        <w:t>NYDFS</w:t>
      </w:r>
      <w:r w:rsidRPr="0073501F">
        <w:rPr>
          <w:rFonts w:hAnsi="標楷體" w:hint="eastAsia"/>
        </w:rPr>
        <w:t>要求兆豐銀行應立即聘僱法令遵循顧問，以補強紐約分行之法令遵循職能，並聘僱獨立監督人，全面審查紐約分行之法令遵循情形，且要求兆豐銀行總行及紐約分行，就BSA/AML法遵計畫、可疑活動監控與報告、客戶盡職調查、公司治理與管理監督等項目，共同提出</w:t>
      </w:r>
      <w:r w:rsidR="008A0F8A" w:rsidRPr="0073501F">
        <w:rPr>
          <w:rFonts w:hAnsi="標楷體" w:hint="eastAsia"/>
        </w:rPr>
        <w:t>NYDFS</w:t>
      </w:r>
      <w:r w:rsidRPr="0073501F">
        <w:rPr>
          <w:rFonts w:hAnsi="標楷體" w:hint="eastAsia"/>
        </w:rPr>
        <w:t>可接受之改善計畫後，總行及紐約分行據以進行相關檢討改善。爰本案</w:t>
      </w:r>
      <w:r w:rsidR="008A0F8A" w:rsidRPr="0073501F">
        <w:rPr>
          <w:rFonts w:hAnsi="標楷體" w:hint="eastAsia"/>
        </w:rPr>
        <w:t>NYDFS</w:t>
      </w:r>
      <w:r w:rsidRPr="0073501F">
        <w:rPr>
          <w:rFonts w:hAnsi="標楷體" w:hint="eastAsia"/>
        </w:rPr>
        <w:t>對兆豐銀行重罰1億8千</w:t>
      </w:r>
      <w:r w:rsidRPr="0073501F">
        <w:rPr>
          <w:rFonts w:hAnsi="標楷體" w:hint="eastAsia"/>
        </w:rPr>
        <w:lastRenderedPageBreak/>
        <w:t>萬美元，主要係因兆豐銀行總行與海外分行之相關制度及作業欠佳，加上對</w:t>
      </w:r>
      <w:r w:rsidR="008A0F8A" w:rsidRPr="0073501F">
        <w:rPr>
          <w:rFonts w:hAnsi="標楷體" w:hint="eastAsia"/>
        </w:rPr>
        <w:t>NYDFS</w:t>
      </w:r>
      <w:r w:rsidRPr="0073501F">
        <w:rPr>
          <w:rFonts w:hAnsi="標楷體" w:hint="eastAsia"/>
        </w:rPr>
        <w:t>相關回應失當所致，該行應負最大之責任。惟金管會掌理金融制度及監理政策，職司金融法令之擬訂及修正，對於金融機構負有監督、管理及檢查等職責。金管會未能及時發現本案兆豐銀行總行及其海外分行之內部控制及法令遵循等諸多缺失，應負監督不周之責；於簽辦本案</w:t>
      </w:r>
      <w:r w:rsidR="008A0F8A" w:rsidRPr="0073501F">
        <w:rPr>
          <w:rFonts w:hAnsi="標楷體" w:hint="eastAsia"/>
        </w:rPr>
        <w:t>NYDFS</w:t>
      </w:r>
      <w:r w:rsidRPr="0073501F">
        <w:rPr>
          <w:rFonts w:hAnsi="標楷體" w:hint="eastAsia"/>
        </w:rPr>
        <w:t>對兆豐銀行紐約分行之金檢報告時，未查證即輕信兆豐銀行之說明，有失覺察，復未審酌</w:t>
      </w:r>
      <w:r w:rsidR="008A0F8A" w:rsidRPr="0073501F">
        <w:rPr>
          <w:rFonts w:hAnsi="標楷體" w:hint="eastAsia"/>
        </w:rPr>
        <w:t>NYDFS</w:t>
      </w:r>
      <w:r w:rsidRPr="0073501F">
        <w:rPr>
          <w:rFonts w:hAnsi="標楷體" w:hint="eastAsia"/>
        </w:rPr>
        <w:t>近年來一再重罰其他國家銀行之前例，僅將本案視為一般案件處理，亦有欠當；對於我國當時金融機構之</w:t>
      </w:r>
      <w:r w:rsidRPr="0073501F">
        <w:rPr>
          <w:rFonts w:hAnsi="標楷體"/>
        </w:rPr>
        <w:t>公司治理</w:t>
      </w:r>
      <w:r w:rsidRPr="0073501F">
        <w:rPr>
          <w:rFonts w:hAnsi="標楷體" w:hint="eastAsia"/>
        </w:rPr>
        <w:t>、</w:t>
      </w:r>
      <w:r w:rsidRPr="0073501F">
        <w:rPr>
          <w:rFonts w:hAnsi="標楷體" w:cs="標楷體"/>
          <w:kern w:val="0"/>
          <w:szCs w:val="32"/>
        </w:rPr>
        <w:t>防制洗錢</w:t>
      </w:r>
      <w:r w:rsidRPr="0073501F">
        <w:rPr>
          <w:rFonts w:hAnsi="標楷體" w:cs="標楷體" w:hint="eastAsia"/>
          <w:kern w:val="0"/>
          <w:szCs w:val="32"/>
        </w:rPr>
        <w:t>及</w:t>
      </w:r>
      <w:r w:rsidRPr="0073501F">
        <w:rPr>
          <w:rFonts w:hAnsi="標楷體" w:cs="標楷體"/>
          <w:kern w:val="0"/>
          <w:szCs w:val="32"/>
        </w:rPr>
        <w:t>法令遵循</w:t>
      </w:r>
      <w:r w:rsidRPr="0073501F">
        <w:rPr>
          <w:rFonts w:hAnsi="標楷體" w:cs="標楷體" w:hint="eastAsia"/>
          <w:kern w:val="0"/>
          <w:szCs w:val="32"/>
        </w:rPr>
        <w:t>等</w:t>
      </w:r>
      <w:r w:rsidRPr="0073501F">
        <w:rPr>
          <w:rFonts w:hAnsi="標楷體" w:hint="eastAsia"/>
        </w:rPr>
        <w:t>相關規範與制度，就本案例檢討，確有若干缺漏，未能與時俱進等</w:t>
      </w:r>
      <w:r w:rsidRPr="0073501F">
        <w:rPr>
          <w:rFonts w:hAnsi="標楷體" w:hint="eastAsia"/>
          <w:szCs w:val="32"/>
        </w:rPr>
        <w:t>，</w:t>
      </w:r>
      <w:r w:rsidRPr="0073501F">
        <w:rPr>
          <w:rFonts w:hAnsi="標楷體" w:hint="eastAsia"/>
        </w:rPr>
        <w:t>確屬失當</w:t>
      </w:r>
      <w:r w:rsidRPr="0073501F">
        <w:rPr>
          <w:rFonts w:hAnsi="標楷體" w:hint="eastAsia"/>
          <w:szCs w:val="32"/>
        </w:rPr>
        <w:t>，均應澈底檢討。</w:t>
      </w:r>
      <w:bookmarkEnd w:id="104"/>
      <w:bookmarkEnd w:id="105"/>
    </w:p>
    <w:p w:rsidR="006522B8" w:rsidRPr="0073501F" w:rsidRDefault="006E06C8" w:rsidP="006522B8">
      <w:pPr>
        <w:pStyle w:val="2"/>
        <w:rPr>
          <w:rFonts w:hAnsi="標楷體"/>
          <w:b/>
        </w:rPr>
      </w:pPr>
      <w:bookmarkStart w:id="106" w:name="_Toc484177933"/>
      <w:bookmarkStart w:id="107" w:name="_Toc484593482"/>
      <w:bookmarkStart w:id="108" w:name="_Toc483551567"/>
      <w:r w:rsidRPr="00542F82">
        <w:rPr>
          <w:rFonts w:hAnsi="標楷體" w:hint="eastAsia"/>
          <w:b/>
        </w:rPr>
        <w:t>財政部對其所投資金融事業之股權管理</w:t>
      </w:r>
      <w:r w:rsidRPr="00542F82">
        <w:rPr>
          <w:rFonts w:hint="eastAsia"/>
          <w:b/>
        </w:rPr>
        <w:t>，</w:t>
      </w:r>
      <w:r w:rsidR="006522B8" w:rsidRPr="00542F82">
        <w:rPr>
          <w:rFonts w:hAnsi="標楷體" w:hint="eastAsia"/>
          <w:b/>
        </w:rPr>
        <w:t>主要係基</w:t>
      </w:r>
      <w:r w:rsidR="006522B8" w:rsidRPr="0073501F">
        <w:rPr>
          <w:rFonts w:hAnsi="標楷體" w:hint="eastAsia"/>
          <w:b/>
        </w:rPr>
        <w:t>於股東身分，透過負責人、經理人善盡業務審核與督導責任，以確保公股權益，且經由公股聯絡人隨時掌握事業機構之營運狀況，然兆豐金控公股聯絡人明知兆豐銀行面臨</w:t>
      </w:r>
      <w:r w:rsidR="006522B8" w:rsidRPr="0073501F">
        <w:rPr>
          <w:rFonts w:hAnsi="標楷體"/>
          <w:b/>
        </w:rPr>
        <w:t>NYDFS</w:t>
      </w:r>
      <w:r w:rsidR="006522B8" w:rsidRPr="0073501F">
        <w:rPr>
          <w:rFonts w:hAnsi="標楷體" w:hint="eastAsia"/>
          <w:b/>
        </w:rPr>
        <w:t>可能採取監理行動之重大事項，竟未能向該部通報，公股管理核有欠當。</w:t>
      </w:r>
      <w:bookmarkEnd w:id="106"/>
      <w:bookmarkEnd w:id="107"/>
    </w:p>
    <w:p w:rsidR="006522B8" w:rsidRPr="0073501F" w:rsidRDefault="00407DAE" w:rsidP="006522B8">
      <w:pPr>
        <w:pStyle w:val="3"/>
        <w:rPr>
          <w:rFonts w:hAnsi="標楷體"/>
        </w:rPr>
      </w:pPr>
      <w:hyperlink r:id="rId12" w:history="1">
        <w:bookmarkStart w:id="109" w:name="_Toc484177934"/>
        <w:bookmarkStart w:id="110" w:name="_Toc484593483"/>
        <w:r w:rsidR="006522B8" w:rsidRPr="0073501F">
          <w:rPr>
            <w:rFonts w:hAnsi="標楷體" w:hint="eastAsia"/>
            <w:szCs w:val="48"/>
          </w:rPr>
          <w:t>財政部派任公民營事業</w:t>
        </w:r>
        <w:r w:rsidR="006522B8" w:rsidRPr="0073501F">
          <w:rPr>
            <w:rFonts w:hAnsi="標楷體" w:hint="eastAsia"/>
          </w:rPr>
          <w:t>機構負責人經理人董監事管理要點</w:t>
        </w:r>
      </w:hyperlink>
      <w:r w:rsidR="006522B8" w:rsidRPr="0073501F">
        <w:rPr>
          <w:rFonts w:hAnsi="標楷體" w:hint="eastAsia"/>
        </w:rPr>
        <w:t>(101年9月11日)之相關規定如下：</w:t>
      </w:r>
      <w:bookmarkEnd w:id="109"/>
      <w:bookmarkEnd w:id="110"/>
    </w:p>
    <w:p w:rsidR="006522B8" w:rsidRPr="0073501F" w:rsidRDefault="006522B8" w:rsidP="006522B8">
      <w:pPr>
        <w:pStyle w:val="4"/>
        <w:rPr>
          <w:rFonts w:hAnsi="標楷體"/>
        </w:rPr>
      </w:pPr>
      <w:r w:rsidRPr="0073501F">
        <w:rPr>
          <w:rFonts w:hAnsi="標楷體" w:hint="eastAsia"/>
        </w:rPr>
        <w:t>第2點規定：「下列國營及民營事業機構，除情況特殊，經本部專案核定者外，適用本要點規定：（一）本部持股或投資之國營事業機構。（二）本部持股之民營事業機構。……」</w:t>
      </w:r>
    </w:p>
    <w:p w:rsidR="006522B8" w:rsidRPr="0073501F" w:rsidRDefault="006522B8" w:rsidP="006522B8">
      <w:pPr>
        <w:pStyle w:val="4"/>
        <w:rPr>
          <w:rFonts w:hAnsi="標楷體"/>
        </w:rPr>
      </w:pPr>
      <w:r w:rsidRPr="0073501F">
        <w:rPr>
          <w:rFonts w:hAnsi="標楷體" w:hint="eastAsia"/>
        </w:rPr>
        <w:t>第11點規定：「本部、本部所投資事業機構或其轉投資事業機構派兼之各事業董、監事係代表本部、本部所投資事業機構或其轉投資事業機構行使職權，董、監事對於擔負之職務應負責盡職，</w:t>
      </w:r>
      <w:r w:rsidRPr="0073501F">
        <w:rPr>
          <w:rFonts w:hAnsi="標楷體" w:hint="eastAsia"/>
        </w:rPr>
        <w:lastRenderedPageBreak/>
        <w:t>並遵守相關法令及本要點之規定，維護公股權益、積極出席會議，參與公司決策。」</w:t>
      </w:r>
    </w:p>
    <w:p w:rsidR="006522B8" w:rsidRPr="0073501F" w:rsidRDefault="006522B8" w:rsidP="006522B8">
      <w:pPr>
        <w:pStyle w:val="4"/>
        <w:rPr>
          <w:rFonts w:hAnsi="標楷體"/>
        </w:rPr>
      </w:pPr>
      <w:r w:rsidRPr="0073501F">
        <w:rPr>
          <w:rFonts w:hAnsi="標楷體" w:hint="eastAsia"/>
        </w:rPr>
        <w:t>第12點規定：「本部得就核派之負責人、執行長、總經理、常務董事、董事、常駐監察人及監察人中，依序指定1人為聯絡人，其任務如下：……(二)維護公股權益，監督事業機構依法經營。……(四)隨時掌握事業機構之營運狀況，並與本部保持聯繫。」</w:t>
      </w:r>
    </w:p>
    <w:p w:rsidR="006522B8" w:rsidRPr="0073501F" w:rsidRDefault="006522B8" w:rsidP="006522B8">
      <w:pPr>
        <w:pStyle w:val="4"/>
        <w:rPr>
          <w:rFonts w:hAnsi="標楷體"/>
        </w:rPr>
      </w:pPr>
      <w:r w:rsidRPr="0073501F">
        <w:rPr>
          <w:rFonts w:hAnsi="標楷體" w:hint="eastAsia"/>
        </w:rPr>
        <w:t>第13點第1項規定：「擔任第2點第1款及第2款事業機構本部股權代表董、監事於各該事業處理下列重大事項，應由聯絡人彙報本部核定：……（九）其他影響公股權益之重大情事。……」</w:t>
      </w:r>
    </w:p>
    <w:p w:rsidR="006522B8" w:rsidRPr="0073501F" w:rsidRDefault="006522B8" w:rsidP="006522B8">
      <w:pPr>
        <w:pStyle w:val="4"/>
        <w:rPr>
          <w:rFonts w:hAnsi="標楷體"/>
        </w:rPr>
      </w:pPr>
      <w:r w:rsidRPr="0073501F">
        <w:rPr>
          <w:rFonts w:hAnsi="標楷體" w:hint="eastAsia"/>
        </w:rPr>
        <w:t>第16點第1項規定：「董事對於公司內部控制制度之有效性，應善盡督導之責，並督導內部稽核定期向董事會報告。」</w:t>
      </w:r>
    </w:p>
    <w:p w:rsidR="006522B8" w:rsidRPr="0073501F" w:rsidRDefault="006522B8" w:rsidP="006522B8">
      <w:pPr>
        <w:pStyle w:val="3"/>
        <w:rPr>
          <w:rFonts w:hAnsi="標楷體"/>
        </w:rPr>
      </w:pPr>
      <w:bookmarkStart w:id="111" w:name="_Toc484177935"/>
      <w:bookmarkStart w:id="112" w:name="_Toc484593484"/>
      <w:r w:rsidRPr="0073501F">
        <w:rPr>
          <w:rFonts w:hAnsi="標楷體" w:hint="eastAsia"/>
        </w:rPr>
        <w:t>財政部表示</w:t>
      </w:r>
      <w:r w:rsidRPr="0073501F">
        <w:rPr>
          <w:rStyle w:val="afc"/>
          <w:rFonts w:hAnsi="標楷體"/>
        </w:rPr>
        <w:footnoteReference w:id="35"/>
      </w:r>
      <w:r w:rsidRPr="0073501F">
        <w:rPr>
          <w:rFonts w:hAnsi="標楷體" w:hint="eastAsia"/>
        </w:rPr>
        <w:t>，該部持股之公股民營事業均為上市公司，股權分散，政府持股比率均在50％以下，財政部主要係透過派任至投資事業之公股代表於董事會中對該事業之業務、人事及其轉投資事業等相關事項進行監督並負督導責任，有關業務經營事項，原則尊重公司治理。就派任公股代表之職責及績效考核等事項，業於派任管理要點第11點至第21點訂有明確規範。</w:t>
      </w:r>
      <w:bookmarkEnd w:id="111"/>
      <w:bookmarkEnd w:id="112"/>
    </w:p>
    <w:p w:rsidR="006522B8" w:rsidRPr="0073501F" w:rsidRDefault="006522B8" w:rsidP="001B3DDE">
      <w:pPr>
        <w:pStyle w:val="3"/>
        <w:ind w:left="1360" w:hanging="680"/>
        <w:rPr>
          <w:rFonts w:hAnsi="標楷體"/>
        </w:rPr>
      </w:pPr>
      <w:bookmarkStart w:id="113" w:name="_Toc484177936"/>
      <w:bookmarkStart w:id="114" w:name="_Toc484593485"/>
      <w:r w:rsidRPr="0073501F">
        <w:rPr>
          <w:rFonts w:hAnsi="標楷體" w:hint="eastAsia"/>
        </w:rPr>
        <w:t>美國聯邦準備銀行</w:t>
      </w:r>
      <w:r w:rsidRPr="0073501F">
        <w:rPr>
          <w:rFonts w:hAnsi="標楷體"/>
        </w:rPr>
        <w:t>一行</w:t>
      </w:r>
      <w:r w:rsidRPr="0073501F">
        <w:rPr>
          <w:rFonts w:hAnsi="標楷體" w:hint="eastAsia"/>
        </w:rPr>
        <w:t>4</w:t>
      </w:r>
      <w:r w:rsidRPr="0073501F">
        <w:rPr>
          <w:rFonts w:hAnsi="標楷體"/>
        </w:rPr>
        <w:t>人於104</w:t>
      </w:r>
      <w:r w:rsidRPr="0073501F">
        <w:rPr>
          <w:rFonts w:hAnsi="標楷體" w:hint="eastAsia"/>
        </w:rPr>
        <w:t>年</w:t>
      </w:r>
      <w:r w:rsidRPr="0073501F">
        <w:rPr>
          <w:rFonts w:hAnsi="標楷體"/>
        </w:rPr>
        <w:t>10</w:t>
      </w:r>
      <w:r w:rsidRPr="0073501F">
        <w:rPr>
          <w:rFonts w:hAnsi="標楷體" w:hint="eastAsia"/>
        </w:rPr>
        <w:t>月</w:t>
      </w:r>
      <w:r w:rsidRPr="0073501F">
        <w:rPr>
          <w:rFonts w:hAnsi="標楷體"/>
        </w:rPr>
        <w:t>5</w:t>
      </w:r>
      <w:r w:rsidRPr="0073501F">
        <w:rPr>
          <w:rFonts w:hAnsi="標楷體" w:hint="eastAsia"/>
        </w:rPr>
        <w:t>日</w:t>
      </w:r>
      <w:r w:rsidRPr="0073501F">
        <w:rPr>
          <w:rFonts w:hAnsi="標楷體"/>
        </w:rPr>
        <w:t>來</w:t>
      </w:r>
      <w:r w:rsidRPr="0073501F">
        <w:rPr>
          <w:rFonts w:hAnsi="標楷體" w:hint="eastAsia"/>
        </w:rPr>
        <w:t>臺拜會兆豐銀行</w:t>
      </w:r>
      <w:r w:rsidRPr="0073501F">
        <w:rPr>
          <w:rFonts w:hAnsi="標楷體"/>
        </w:rPr>
        <w:t>總行</w:t>
      </w:r>
      <w:r w:rsidRPr="0073501F">
        <w:rPr>
          <w:rFonts w:hAnsi="標楷體" w:hint="eastAsia"/>
        </w:rPr>
        <w:t>，兆豐銀行蔡友才前董事長知悉NYDFS檢查結果極可能採取Enforcemene Action之相關處置措施如表。又相關說明如下：</w:t>
      </w:r>
      <w:bookmarkEnd w:id="113"/>
      <w:bookmarkEnd w:id="114"/>
    </w:p>
    <w:p w:rsidR="006522B8" w:rsidRPr="0073501F" w:rsidRDefault="006522B8" w:rsidP="002653FA">
      <w:pPr>
        <w:pStyle w:val="3"/>
        <w:numPr>
          <w:ilvl w:val="0"/>
          <w:numId w:val="0"/>
        </w:numPr>
        <w:spacing w:beforeLines="25" w:before="114" w:afterLines="25" w:after="114" w:line="360" w:lineRule="exact"/>
        <w:ind w:leftChars="400" w:left="1962" w:hangingChars="200" w:hanging="601"/>
        <w:jc w:val="center"/>
        <w:rPr>
          <w:rFonts w:hAnsi="標楷體"/>
          <w:b/>
          <w:sz w:val="28"/>
          <w:szCs w:val="28"/>
        </w:rPr>
      </w:pPr>
      <w:bookmarkStart w:id="115" w:name="_Toc484177937"/>
      <w:bookmarkStart w:id="116" w:name="_Toc484593486"/>
      <w:r w:rsidRPr="0073501F">
        <w:rPr>
          <w:rFonts w:hAnsi="標楷體" w:hint="eastAsia"/>
          <w:b/>
          <w:sz w:val="28"/>
          <w:szCs w:val="28"/>
        </w:rPr>
        <w:t>表</w:t>
      </w:r>
      <w:r w:rsidR="002653FA" w:rsidRPr="0073501F">
        <w:rPr>
          <w:rFonts w:hAnsi="標楷體" w:hint="eastAsia"/>
          <w:b/>
          <w:sz w:val="28"/>
          <w:szCs w:val="28"/>
        </w:rPr>
        <w:t>2</w:t>
      </w:r>
      <w:r w:rsidRPr="0073501F">
        <w:rPr>
          <w:rFonts w:hAnsi="標楷體" w:hint="eastAsia"/>
          <w:b/>
          <w:sz w:val="28"/>
          <w:szCs w:val="28"/>
        </w:rPr>
        <w:t xml:space="preserve"> 兆豐銀行蔡友才前董事長知悉NYDFS檢查結果極可能</w:t>
      </w:r>
      <w:r w:rsidRPr="0073501F">
        <w:rPr>
          <w:rFonts w:hAnsi="標楷體" w:hint="eastAsia"/>
          <w:b/>
          <w:sz w:val="28"/>
          <w:szCs w:val="28"/>
        </w:rPr>
        <w:lastRenderedPageBreak/>
        <w:t>採取Enforcemene Action之相關處置措施</w:t>
      </w:r>
      <w:bookmarkEnd w:id="115"/>
      <w:bookmarkEnd w:id="116"/>
    </w:p>
    <w:tbl>
      <w:tblPr>
        <w:tblStyle w:val="af6"/>
        <w:tblW w:w="7819" w:type="dxa"/>
        <w:tblInd w:w="1361" w:type="dxa"/>
        <w:tblLook w:val="04A0" w:firstRow="1" w:lastRow="0" w:firstColumn="1" w:lastColumn="0" w:noHBand="0" w:noVBand="1"/>
      </w:tblPr>
      <w:tblGrid>
        <w:gridCol w:w="1441"/>
        <w:gridCol w:w="6378"/>
      </w:tblGrid>
      <w:tr w:rsidR="006522B8" w:rsidRPr="0073501F" w:rsidTr="005C0291">
        <w:trPr>
          <w:tblHeader/>
        </w:trPr>
        <w:tc>
          <w:tcPr>
            <w:tcW w:w="1441" w:type="dxa"/>
            <w:vAlign w:val="center"/>
          </w:tcPr>
          <w:p w:rsidR="006522B8" w:rsidRPr="0073501F" w:rsidRDefault="006522B8" w:rsidP="005C0291">
            <w:pPr>
              <w:pStyle w:val="3"/>
              <w:numPr>
                <w:ilvl w:val="0"/>
                <w:numId w:val="0"/>
              </w:numPr>
              <w:spacing w:line="300" w:lineRule="exact"/>
              <w:jc w:val="center"/>
              <w:rPr>
                <w:rFonts w:hAnsi="標楷體"/>
                <w:sz w:val="24"/>
                <w:szCs w:val="24"/>
              </w:rPr>
            </w:pPr>
            <w:bookmarkStart w:id="117" w:name="_Toc484177938"/>
            <w:bookmarkStart w:id="118" w:name="_Toc484593487"/>
            <w:r w:rsidRPr="0073501F">
              <w:rPr>
                <w:rFonts w:hAnsi="標楷體" w:hint="eastAsia"/>
                <w:sz w:val="24"/>
                <w:szCs w:val="24"/>
              </w:rPr>
              <w:t>日期</w:t>
            </w:r>
            <w:bookmarkEnd w:id="117"/>
            <w:bookmarkEnd w:id="118"/>
          </w:p>
          <w:p w:rsidR="006522B8" w:rsidRPr="0073501F" w:rsidRDefault="006522B8" w:rsidP="006522B8">
            <w:pPr>
              <w:pStyle w:val="3"/>
              <w:numPr>
                <w:ilvl w:val="0"/>
                <w:numId w:val="0"/>
              </w:numPr>
              <w:spacing w:line="300" w:lineRule="exact"/>
              <w:ind w:leftChars="-50" w:left="-170" w:rightChars="-50" w:right="-170"/>
              <w:jc w:val="center"/>
              <w:rPr>
                <w:rFonts w:hAnsi="標楷體"/>
                <w:sz w:val="24"/>
                <w:szCs w:val="24"/>
              </w:rPr>
            </w:pPr>
            <w:bookmarkStart w:id="119" w:name="_Toc484177939"/>
            <w:bookmarkStart w:id="120" w:name="_Toc484593488"/>
            <w:r w:rsidRPr="0073501F">
              <w:rPr>
                <w:rFonts w:hAnsi="標楷體" w:hint="eastAsia"/>
                <w:sz w:val="24"/>
                <w:szCs w:val="24"/>
              </w:rPr>
              <w:t>(年.月.日)</w:t>
            </w:r>
            <w:bookmarkEnd w:id="119"/>
            <w:bookmarkEnd w:id="120"/>
          </w:p>
        </w:tc>
        <w:tc>
          <w:tcPr>
            <w:tcW w:w="6378" w:type="dxa"/>
            <w:vAlign w:val="center"/>
          </w:tcPr>
          <w:p w:rsidR="006522B8" w:rsidRPr="0073501F" w:rsidRDefault="006522B8" w:rsidP="005C0291">
            <w:pPr>
              <w:pStyle w:val="3"/>
              <w:numPr>
                <w:ilvl w:val="0"/>
                <w:numId w:val="0"/>
              </w:numPr>
              <w:spacing w:line="300" w:lineRule="exact"/>
              <w:jc w:val="center"/>
              <w:rPr>
                <w:rFonts w:hAnsi="標楷體"/>
                <w:sz w:val="24"/>
                <w:szCs w:val="24"/>
              </w:rPr>
            </w:pPr>
            <w:bookmarkStart w:id="121" w:name="_Toc484177940"/>
            <w:bookmarkStart w:id="122" w:name="_Toc484593489"/>
            <w:r w:rsidRPr="0073501F">
              <w:rPr>
                <w:rFonts w:hAnsi="標楷體" w:hint="eastAsia"/>
                <w:sz w:val="24"/>
                <w:szCs w:val="24"/>
              </w:rPr>
              <w:t>摘要說明</w:t>
            </w:r>
            <w:bookmarkEnd w:id="121"/>
            <w:bookmarkEnd w:id="122"/>
          </w:p>
        </w:tc>
      </w:tr>
      <w:tr w:rsidR="006522B8" w:rsidRPr="0073501F" w:rsidTr="005C0291">
        <w:tc>
          <w:tcPr>
            <w:tcW w:w="1441" w:type="dxa"/>
          </w:tcPr>
          <w:p w:rsidR="006522B8" w:rsidRPr="0073501F" w:rsidRDefault="006522B8" w:rsidP="005C0291">
            <w:pPr>
              <w:pStyle w:val="3"/>
              <w:numPr>
                <w:ilvl w:val="0"/>
                <w:numId w:val="0"/>
              </w:numPr>
              <w:rPr>
                <w:rFonts w:hAnsi="標楷體"/>
                <w:sz w:val="24"/>
                <w:szCs w:val="24"/>
              </w:rPr>
            </w:pPr>
            <w:bookmarkStart w:id="123" w:name="_Toc484177941"/>
            <w:bookmarkStart w:id="124" w:name="_Toc484593490"/>
            <w:r w:rsidRPr="0073501F">
              <w:rPr>
                <w:rFonts w:hAnsi="標楷體" w:hint="eastAsia"/>
                <w:sz w:val="24"/>
                <w:szCs w:val="24"/>
              </w:rPr>
              <w:t>104.10.5</w:t>
            </w:r>
            <w:bookmarkEnd w:id="123"/>
            <w:bookmarkEnd w:id="124"/>
          </w:p>
        </w:tc>
        <w:tc>
          <w:tcPr>
            <w:tcW w:w="6378" w:type="dxa"/>
          </w:tcPr>
          <w:p w:rsidR="006522B8" w:rsidRPr="0073501F" w:rsidRDefault="006522B8" w:rsidP="005C0291">
            <w:pPr>
              <w:pStyle w:val="3"/>
              <w:numPr>
                <w:ilvl w:val="0"/>
                <w:numId w:val="0"/>
              </w:numPr>
              <w:rPr>
                <w:sz w:val="24"/>
                <w:szCs w:val="24"/>
              </w:rPr>
            </w:pPr>
            <w:bookmarkStart w:id="125" w:name="_Toc484177942"/>
            <w:bookmarkStart w:id="126" w:name="_Toc484593491"/>
            <w:r w:rsidRPr="0073501F">
              <w:rPr>
                <w:rFonts w:hint="eastAsia"/>
                <w:sz w:val="24"/>
                <w:szCs w:val="24"/>
              </w:rPr>
              <w:t>美國聯邦準備銀行</w:t>
            </w:r>
            <w:r w:rsidRPr="0073501F">
              <w:rPr>
                <w:sz w:val="24"/>
                <w:szCs w:val="24"/>
              </w:rPr>
              <w:t>一行</w:t>
            </w:r>
            <w:r w:rsidRPr="0073501F">
              <w:rPr>
                <w:rFonts w:hint="eastAsia"/>
                <w:sz w:val="24"/>
                <w:szCs w:val="24"/>
              </w:rPr>
              <w:t>4</w:t>
            </w:r>
            <w:r w:rsidRPr="0073501F">
              <w:rPr>
                <w:sz w:val="24"/>
                <w:szCs w:val="24"/>
              </w:rPr>
              <w:t>人來</w:t>
            </w:r>
            <w:r w:rsidRPr="0073501F">
              <w:rPr>
                <w:rFonts w:hint="eastAsia"/>
                <w:sz w:val="24"/>
                <w:szCs w:val="24"/>
              </w:rPr>
              <w:t>臺拜會兆豐銀行</w:t>
            </w:r>
            <w:r w:rsidRPr="0073501F">
              <w:rPr>
                <w:sz w:val="24"/>
                <w:szCs w:val="24"/>
              </w:rPr>
              <w:t>總行</w:t>
            </w:r>
            <w:r w:rsidRPr="0073501F">
              <w:rPr>
                <w:rFonts w:hint="eastAsia"/>
                <w:sz w:val="24"/>
                <w:szCs w:val="24"/>
              </w:rPr>
              <w:t>，兆豐銀行企劃處呈核</w:t>
            </w:r>
            <w:r w:rsidRPr="0073501F">
              <w:rPr>
                <w:rFonts w:hAnsi="標楷體" w:hint="eastAsia"/>
                <w:sz w:val="24"/>
                <w:szCs w:val="24"/>
              </w:rPr>
              <w:t>美國聯邦準備銀行</w:t>
            </w:r>
            <w:r w:rsidRPr="0073501F">
              <w:rPr>
                <w:rFonts w:hint="eastAsia"/>
                <w:sz w:val="24"/>
                <w:szCs w:val="24"/>
              </w:rPr>
              <w:t>訪談會議紀錄。</w:t>
            </w:r>
            <w:bookmarkEnd w:id="125"/>
            <w:bookmarkEnd w:id="126"/>
          </w:p>
        </w:tc>
      </w:tr>
      <w:tr w:rsidR="006522B8" w:rsidRPr="0073501F" w:rsidTr="005C0291">
        <w:tc>
          <w:tcPr>
            <w:tcW w:w="1441" w:type="dxa"/>
          </w:tcPr>
          <w:p w:rsidR="006522B8" w:rsidRPr="0073501F" w:rsidRDefault="006522B8" w:rsidP="005C0291">
            <w:pPr>
              <w:pStyle w:val="3"/>
              <w:numPr>
                <w:ilvl w:val="0"/>
                <w:numId w:val="0"/>
              </w:numPr>
              <w:rPr>
                <w:rFonts w:hAnsi="標楷體"/>
                <w:sz w:val="24"/>
                <w:szCs w:val="24"/>
              </w:rPr>
            </w:pPr>
            <w:bookmarkStart w:id="127" w:name="_Toc484177943"/>
            <w:bookmarkStart w:id="128" w:name="_Toc484593492"/>
            <w:r w:rsidRPr="0073501F">
              <w:rPr>
                <w:rFonts w:hAnsi="標楷體" w:hint="eastAsia"/>
                <w:sz w:val="24"/>
                <w:szCs w:val="24"/>
              </w:rPr>
              <w:t>104.10.7</w:t>
            </w:r>
            <w:bookmarkEnd w:id="127"/>
            <w:bookmarkEnd w:id="128"/>
          </w:p>
        </w:tc>
        <w:tc>
          <w:tcPr>
            <w:tcW w:w="6378" w:type="dxa"/>
          </w:tcPr>
          <w:p w:rsidR="006522B8" w:rsidRPr="0073501F" w:rsidRDefault="006522B8" w:rsidP="005C0291">
            <w:pPr>
              <w:pStyle w:val="3"/>
              <w:numPr>
                <w:ilvl w:val="0"/>
                <w:numId w:val="0"/>
              </w:numPr>
              <w:rPr>
                <w:sz w:val="24"/>
                <w:szCs w:val="24"/>
              </w:rPr>
            </w:pPr>
            <w:bookmarkStart w:id="129" w:name="_Toc484177944"/>
            <w:bookmarkStart w:id="130" w:name="_Toc484593493"/>
            <w:r w:rsidRPr="0073501F">
              <w:rPr>
                <w:rFonts w:hint="eastAsia"/>
                <w:sz w:val="24"/>
                <w:szCs w:val="24"/>
              </w:rPr>
              <w:t>蔡友才前董事長於上揭會議紀錄批示略以：</w:t>
            </w:r>
            <w:bookmarkEnd w:id="129"/>
            <w:bookmarkEnd w:id="130"/>
          </w:p>
          <w:p w:rsidR="006522B8" w:rsidRPr="0073501F" w:rsidRDefault="006522B8" w:rsidP="005C0291">
            <w:pPr>
              <w:pStyle w:val="3"/>
              <w:numPr>
                <w:ilvl w:val="0"/>
                <w:numId w:val="0"/>
              </w:numPr>
              <w:rPr>
                <w:sz w:val="24"/>
                <w:szCs w:val="24"/>
              </w:rPr>
            </w:pPr>
            <w:bookmarkStart w:id="131" w:name="_Toc484177945"/>
            <w:bookmarkStart w:id="132" w:name="_Toc484593494"/>
            <w:r w:rsidRPr="0073501F">
              <w:rPr>
                <w:rFonts w:hint="eastAsia"/>
                <w:sz w:val="24"/>
                <w:szCs w:val="24"/>
              </w:rPr>
              <w:t>1、會議紀錄即送美國地區4家</w:t>
            </w:r>
            <w:r w:rsidR="00EF6C8E">
              <w:rPr>
                <w:rFonts w:hint="eastAsia"/>
                <w:sz w:val="24"/>
                <w:szCs w:val="24"/>
              </w:rPr>
              <w:t>分</w:t>
            </w:r>
            <w:r w:rsidRPr="0073501F">
              <w:rPr>
                <w:rFonts w:hint="eastAsia"/>
                <w:sz w:val="24"/>
                <w:szCs w:val="24"/>
              </w:rPr>
              <w:t>行主管。</w:t>
            </w:r>
            <w:bookmarkEnd w:id="131"/>
            <w:bookmarkEnd w:id="132"/>
          </w:p>
          <w:p w:rsidR="006522B8" w:rsidRPr="0073501F" w:rsidRDefault="006522B8" w:rsidP="005C0291">
            <w:pPr>
              <w:pStyle w:val="3"/>
              <w:numPr>
                <w:ilvl w:val="0"/>
                <w:numId w:val="0"/>
              </w:numPr>
              <w:rPr>
                <w:rFonts w:hAnsi="標楷體"/>
                <w:sz w:val="24"/>
                <w:szCs w:val="24"/>
              </w:rPr>
            </w:pPr>
            <w:bookmarkStart w:id="133" w:name="_Toc484177946"/>
            <w:bookmarkStart w:id="134" w:name="_Toc484593495"/>
            <w:r w:rsidRPr="0073501F">
              <w:rPr>
                <w:rFonts w:hint="eastAsia"/>
                <w:sz w:val="24"/>
                <w:szCs w:val="24"/>
              </w:rPr>
              <w:t>2、紐行立即成立</w:t>
            </w:r>
            <w:r w:rsidRPr="0073501F">
              <w:rPr>
                <w:rFonts w:hAnsi="標楷體" w:hint="eastAsia"/>
                <w:sz w:val="24"/>
                <w:szCs w:val="24"/>
              </w:rPr>
              <w:t>「</w:t>
            </w:r>
            <w:r w:rsidRPr="0073501F">
              <w:rPr>
                <w:rFonts w:hint="eastAsia"/>
                <w:sz w:val="24"/>
                <w:szCs w:val="24"/>
              </w:rPr>
              <w:t>改善行動小組</w:t>
            </w:r>
            <w:r w:rsidRPr="0073501F">
              <w:rPr>
                <w:rFonts w:hAnsi="標楷體" w:hint="eastAsia"/>
                <w:sz w:val="24"/>
                <w:szCs w:val="24"/>
              </w:rPr>
              <w:t>」。</w:t>
            </w:r>
            <w:bookmarkEnd w:id="133"/>
            <w:bookmarkEnd w:id="134"/>
          </w:p>
          <w:p w:rsidR="006522B8" w:rsidRPr="0073501F" w:rsidRDefault="006522B8" w:rsidP="005C0291">
            <w:pPr>
              <w:pStyle w:val="3"/>
              <w:numPr>
                <w:ilvl w:val="0"/>
                <w:numId w:val="0"/>
              </w:numPr>
              <w:rPr>
                <w:rFonts w:hAnsi="標楷體"/>
                <w:sz w:val="24"/>
                <w:szCs w:val="24"/>
              </w:rPr>
            </w:pPr>
            <w:bookmarkStart w:id="135" w:name="_Toc484177947"/>
            <w:bookmarkStart w:id="136" w:name="_Toc484593496"/>
            <w:r w:rsidRPr="0073501F">
              <w:rPr>
                <w:rFonts w:hint="eastAsia"/>
                <w:sz w:val="24"/>
                <w:szCs w:val="24"/>
              </w:rPr>
              <w:t>3、於紐行成立</w:t>
            </w:r>
            <w:r w:rsidRPr="0073501F">
              <w:rPr>
                <w:rFonts w:hAnsi="標楷體" w:hint="eastAsia"/>
                <w:sz w:val="24"/>
                <w:szCs w:val="24"/>
              </w:rPr>
              <w:t>「</w:t>
            </w:r>
            <w:r w:rsidRPr="0073501F">
              <w:rPr>
                <w:rFonts w:hint="eastAsia"/>
                <w:sz w:val="24"/>
                <w:szCs w:val="24"/>
              </w:rPr>
              <w:t>美國地區分行風險管理委員會</w:t>
            </w:r>
            <w:r w:rsidRPr="0073501F">
              <w:rPr>
                <w:rFonts w:hAnsi="標楷體" w:hint="eastAsia"/>
                <w:sz w:val="24"/>
                <w:szCs w:val="24"/>
              </w:rPr>
              <w:t>」。</w:t>
            </w:r>
            <w:bookmarkEnd w:id="135"/>
            <w:bookmarkEnd w:id="136"/>
          </w:p>
          <w:p w:rsidR="006522B8" w:rsidRPr="0073501F" w:rsidRDefault="006522B8" w:rsidP="005C0291">
            <w:pPr>
              <w:pStyle w:val="3"/>
              <w:numPr>
                <w:ilvl w:val="0"/>
                <w:numId w:val="0"/>
              </w:numPr>
              <w:rPr>
                <w:rFonts w:hAnsi="標楷體"/>
                <w:sz w:val="24"/>
                <w:szCs w:val="24"/>
              </w:rPr>
            </w:pPr>
            <w:bookmarkStart w:id="137" w:name="_Toc484177948"/>
            <w:bookmarkStart w:id="138" w:name="_Toc484593497"/>
            <w:r w:rsidRPr="0073501F">
              <w:rPr>
                <w:rFonts w:hAnsi="標楷體" w:hint="eastAsia"/>
                <w:sz w:val="24"/>
                <w:szCs w:val="24"/>
              </w:rPr>
              <w:t>4</w:t>
            </w:r>
            <w:r w:rsidRPr="0073501F">
              <w:rPr>
                <w:rFonts w:hint="eastAsia"/>
                <w:sz w:val="24"/>
                <w:szCs w:val="24"/>
              </w:rPr>
              <w:t>、總行企劃處統籌回應，以避免被降等為努力目標。</w:t>
            </w:r>
            <w:bookmarkEnd w:id="137"/>
            <w:bookmarkEnd w:id="138"/>
          </w:p>
        </w:tc>
      </w:tr>
      <w:tr w:rsidR="006522B8" w:rsidRPr="0073501F" w:rsidTr="005C0291">
        <w:tc>
          <w:tcPr>
            <w:tcW w:w="1441" w:type="dxa"/>
          </w:tcPr>
          <w:p w:rsidR="006522B8" w:rsidRPr="0073501F" w:rsidRDefault="006522B8" w:rsidP="005C0291">
            <w:pPr>
              <w:pStyle w:val="3"/>
              <w:numPr>
                <w:ilvl w:val="0"/>
                <w:numId w:val="0"/>
              </w:numPr>
              <w:rPr>
                <w:rFonts w:hAnsi="標楷體"/>
                <w:sz w:val="24"/>
                <w:szCs w:val="24"/>
              </w:rPr>
            </w:pPr>
            <w:bookmarkStart w:id="139" w:name="_Toc484177949"/>
            <w:bookmarkStart w:id="140" w:name="_Toc484593498"/>
            <w:r w:rsidRPr="0073501F">
              <w:rPr>
                <w:rFonts w:hAnsi="標楷體" w:hint="eastAsia"/>
                <w:sz w:val="24"/>
                <w:szCs w:val="24"/>
              </w:rPr>
              <w:t>104.10.8</w:t>
            </w:r>
            <w:bookmarkEnd w:id="139"/>
            <w:bookmarkEnd w:id="140"/>
          </w:p>
        </w:tc>
        <w:tc>
          <w:tcPr>
            <w:tcW w:w="6378" w:type="dxa"/>
          </w:tcPr>
          <w:p w:rsidR="006522B8" w:rsidRPr="0073501F" w:rsidRDefault="006522B8" w:rsidP="005C0291">
            <w:pPr>
              <w:pStyle w:val="3"/>
              <w:numPr>
                <w:ilvl w:val="0"/>
                <w:numId w:val="0"/>
              </w:numPr>
              <w:rPr>
                <w:sz w:val="24"/>
                <w:szCs w:val="24"/>
              </w:rPr>
            </w:pPr>
            <w:bookmarkStart w:id="141" w:name="_Toc484177950"/>
            <w:bookmarkStart w:id="142" w:name="_Toc484593499"/>
            <w:r w:rsidRPr="0073501F">
              <w:rPr>
                <w:rFonts w:hint="eastAsia"/>
                <w:sz w:val="24"/>
                <w:szCs w:val="24"/>
              </w:rPr>
              <w:t>兆豐銀行蔡友才前董事長親函紐約分行前經理黃士明及芝加哥分行經理</w:t>
            </w:r>
            <w:r w:rsidR="00407DAE">
              <w:rPr>
                <w:rFonts w:hint="eastAsia"/>
                <w:sz w:val="24"/>
                <w:szCs w:val="24"/>
              </w:rPr>
              <w:t>黃○</w:t>
            </w:r>
            <w:r w:rsidRPr="0073501F">
              <w:rPr>
                <w:rFonts w:hint="eastAsia"/>
                <w:sz w:val="24"/>
                <w:szCs w:val="24"/>
              </w:rPr>
              <w:t>略以：</w:t>
            </w:r>
            <w:bookmarkEnd w:id="141"/>
            <w:bookmarkEnd w:id="142"/>
          </w:p>
          <w:p w:rsidR="006522B8" w:rsidRPr="0073501F" w:rsidRDefault="006522B8" w:rsidP="006522B8">
            <w:pPr>
              <w:pStyle w:val="3"/>
              <w:numPr>
                <w:ilvl w:val="0"/>
                <w:numId w:val="0"/>
              </w:numPr>
              <w:ind w:left="390" w:hangingChars="150" w:hanging="390"/>
              <w:rPr>
                <w:sz w:val="24"/>
                <w:szCs w:val="24"/>
              </w:rPr>
            </w:pPr>
            <w:bookmarkStart w:id="143" w:name="_Toc484177951"/>
            <w:bookmarkStart w:id="144" w:name="_Toc484593500"/>
            <w:r w:rsidRPr="0073501F">
              <w:rPr>
                <w:rFonts w:hint="eastAsia"/>
                <w:sz w:val="24"/>
                <w:szCs w:val="24"/>
              </w:rPr>
              <w:t>1、美國主管機關近年來對於BSA/AML極為重視，查核時發現有重大缺失，大都採取Enforcement Action。</w:t>
            </w:r>
            <w:bookmarkEnd w:id="143"/>
            <w:bookmarkEnd w:id="144"/>
          </w:p>
          <w:p w:rsidR="006522B8" w:rsidRPr="0073501F" w:rsidRDefault="006522B8" w:rsidP="006522B8">
            <w:pPr>
              <w:pStyle w:val="3"/>
              <w:numPr>
                <w:ilvl w:val="0"/>
                <w:numId w:val="0"/>
              </w:numPr>
              <w:ind w:left="390" w:hangingChars="150" w:hanging="390"/>
              <w:rPr>
                <w:sz w:val="24"/>
                <w:szCs w:val="24"/>
              </w:rPr>
            </w:pPr>
            <w:bookmarkStart w:id="145" w:name="_Toc484177952"/>
            <w:bookmarkStart w:id="146" w:name="_Toc484593501"/>
            <w:r w:rsidRPr="0073501F">
              <w:rPr>
                <w:rFonts w:hint="eastAsia"/>
                <w:sz w:val="24"/>
                <w:szCs w:val="24"/>
              </w:rPr>
              <w:t>2、在FRB採取Enforcement Action之前務必小心因應。</w:t>
            </w:r>
            <w:bookmarkEnd w:id="145"/>
            <w:bookmarkEnd w:id="146"/>
          </w:p>
          <w:p w:rsidR="006522B8" w:rsidRPr="0073501F" w:rsidRDefault="006522B8" w:rsidP="006522B8">
            <w:pPr>
              <w:pStyle w:val="3"/>
              <w:numPr>
                <w:ilvl w:val="0"/>
                <w:numId w:val="0"/>
              </w:numPr>
              <w:ind w:left="390" w:hangingChars="150" w:hanging="390"/>
              <w:rPr>
                <w:sz w:val="24"/>
                <w:szCs w:val="24"/>
              </w:rPr>
            </w:pPr>
            <w:bookmarkStart w:id="147" w:name="_Toc484177953"/>
            <w:bookmarkStart w:id="148" w:name="_Toc484593502"/>
            <w:r w:rsidRPr="0073501F">
              <w:rPr>
                <w:rFonts w:hint="eastAsia"/>
                <w:sz w:val="24"/>
                <w:szCs w:val="24"/>
              </w:rPr>
              <w:t>3、務必以最嚴肅、認真之心情面對可能遭大幅降等之風險。</w:t>
            </w:r>
            <w:bookmarkEnd w:id="147"/>
            <w:bookmarkEnd w:id="148"/>
          </w:p>
          <w:p w:rsidR="006522B8" w:rsidRPr="0073501F" w:rsidRDefault="006522B8" w:rsidP="006522B8">
            <w:pPr>
              <w:pStyle w:val="3"/>
              <w:numPr>
                <w:ilvl w:val="0"/>
                <w:numId w:val="0"/>
              </w:numPr>
              <w:ind w:left="390" w:hangingChars="150" w:hanging="390"/>
              <w:rPr>
                <w:sz w:val="24"/>
                <w:szCs w:val="24"/>
              </w:rPr>
            </w:pPr>
            <w:bookmarkStart w:id="149" w:name="_Toc484177954"/>
            <w:bookmarkStart w:id="150" w:name="_Toc484593503"/>
            <w:r w:rsidRPr="0073501F">
              <w:rPr>
                <w:rFonts w:hint="eastAsia"/>
                <w:sz w:val="24"/>
                <w:szCs w:val="24"/>
              </w:rPr>
              <w:t>4、若因本事需要，可無需於11月返台參加行務會議。</w:t>
            </w:r>
            <w:bookmarkEnd w:id="149"/>
            <w:bookmarkEnd w:id="150"/>
          </w:p>
          <w:p w:rsidR="006522B8" w:rsidRPr="0073501F" w:rsidRDefault="006522B8" w:rsidP="006522B8">
            <w:pPr>
              <w:pStyle w:val="3"/>
              <w:numPr>
                <w:ilvl w:val="0"/>
                <w:numId w:val="0"/>
              </w:numPr>
              <w:ind w:left="390" w:hangingChars="150" w:hanging="390"/>
              <w:rPr>
                <w:sz w:val="24"/>
                <w:szCs w:val="24"/>
              </w:rPr>
            </w:pPr>
            <w:bookmarkStart w:id="151" w:name="_Toc484177955"/>
            <w:bookmarkStart w:id="152" w:name="_Toc484593504"/>
            <w:r w:rsidRPr="0073501F">
              <w:rPr>
                <w:rFonts w:hint="eastAsia"/>
                <w:sz w:val="24"/>
                <w:szCs w:val="24"/>
              </w:rPr>
              <w:t>5、謹先以此信函表達其之擔心與要求，期盼二行努力，免使該行行譽受損。</w:t>
            </w:r>
            <w:bookmarkEnd w:id="151"/>
            <w:bookmarkEnd w:id="152"/>
          </w:p>
        </w:tc>
      </w:tr>
      <w:tr w:rsidR="006522B8" w:rsidRPr="0073501F" w:rsidTr="005C0291">
        <w:tc>
          <w:tcPr>
            <w:tcW w:w="1441" w:type="dxa"/>
          </w:tcPr>
          <w:p w:rsidR="006522B8" w:rsidRPr="0073501F" w:rsidRDefault="006522B8" w:rsidP="005C0291">
            <w:pPr>
              <w:pStyle w:val="3"/>
              <w:numPr>
                <w:ilvl w:val="0"/>
                <w:numId w:val="0"/>
              </w:numPr>
              <w:rPr>
                <w:rFonts w:hAnsi="標楷體"/>
                <w:sz w:val="24"/>
                <w:szCs w:val="24"/>
              </w:rPr>
            </w:pPr>
            <w:bookmarkStart w:id="153" w:name="_Toc484177956"/>
            <w:bookmarkStart w:id="154" w:name="_Toc484593505"/>
            <w:r w:rsidRPr="0073501F">
              <w:rPr>
                <w:rFonts w:hAnsi="標楷體" w:hint="eastAsia"/>
                <w:sz w:val="24"/>
                <w:szCs w:val="24"/>
              </w:rPr>
              <w:t>104.11.19</w:t>
            </w:r>
            <w:bookmarkEnd w:id="153"/>
            <w:bookmarkEnd w:id="154"/>
          </w:p>
        </w:tc>
        <w:tc>
          <w:tcPr>
            <w:tcW w:w="6378" w:type="dxa"/>
          </w:tcPr>
          <w:p w:rsidR="006522B8" w:rsidRPr="0073501F" w:rsidRDefault="006522B8" w:rsidP="005C0291">
            <w:pPr>
              <w:pStyle w:val="3"/>
              <w:numPr>
                <w:ilvl w:val="0"/>
                <w:numId w:val="0"/>
              </w:numPr>
              <w:rPr>
                <w:sz w:val="24"/>
                <w:szCs w:val="24"/>
              </w:rPr>
            </w:pPr>
            <w:bookmarkStart w:id="155" w:name="_Toc484177957"/>
            <w:bookmarkStart w:id="156" w:name="_Toc484593506"/>
            <w:r w:rsidRPr="0073501F">
              <w:rPr>
                <w:rFonts w:hint="eastAsia"/>
                <w:sz w:val="24"/>
                <w:szCs w:val="24"/>
              </w:rPr>
              <w:t>兆豐銀行蔡友才前董事長於召開行務會議前，與美國地區分行主管座談會，會議結論略以：</w:t>
            </w:r>
            <w:bookmarkEnd w:id="155"/>
            <w:bookmarkEnd w:id="156"/>
          </w:p>
          <w:p w:rsidR="006522B8" w:rsidRPr="0073501F" w:rsidRDefault="006522B8" w:rsidP="006522B8">
            <w:pPr>
              <w:pStyle w:val="3"/>
              <w:numPr>
                <w:ilvl w:val="0"/>
                <w:numId w:val="0"/>
              </w:numPr>
              <w:ind w:left="390" w:hangingChars="150" w:hanging="390"/>
              <w:rPr>
                <w:sz w:val="24"/>
                <w:szCs w:val="24"/>
              </w:rPr>
            </w:pPr>
            <w:bookmarkStart w:id="157" w:name="_Toc484177958"/>
            <w:bookmarkStart w:id="158" w:name="_Toc484593507"/>
            <w:r w:rsidRPr="0073501F">
              <w:rPr>
                <w:rFonts w:hint="eastAsia"/>
                <w:sz w:val="24"/>
                <w:szCs w:val="24"/>
              </w:rPr>
              <w:t>1、兆豐銀行企劃處於11月底前以董座名義致函紐行之金檢機關，陳報該次會議之召開與要求，展現總處極為重視與嚴格督促分行改善之決心。</w:t>
            </w:r>
            <w:bookmarkEnd w:id="157"/>
            <w:bookmarkEnd w:id="158"/>
          </w:p>
          <w:p w:rsidR="006522B8" w:rsidRPr="0073501F" w:rsidRDefault="006522B8" w:rsidP="006522B8">
            <w:pPr>
              <w:pStyle w:val="3"/>
              <w:numPr>
                <w:ilvl w:val="0"/>
                <w:numId w:val="0"/>
              </w:numPr>
              <w:ind w:left="390" w:hangingChars="150" w:hanging="390"/>
              <w:rPr>
                <w:sz w:val="24"/>
                <w:szCs w:val="24"/>
              </w:rPr>
            </w:pPr>
            <w:bookmarkStart w:id="159" w:name="_Toc484177959"/>
            <w:bookmarkStart w:id="160" w:name="_Toc484593508"/>
            <w:r w:rsidRPr="0073501F">
              <w:rPr>
                <w:rFonts w:hint="eastAsia"/>
                <w:sz w:val="24"/>
                <w:szCs w:val="24"/>
              </w:rPr>
              <w:t>2、明年起海外分行受當地主管機關金融檢查評等降級者，列入重大風險缺失，管理績效考評加重扣分。</w:t>
            </w:r>
            <w:bookmarkEnd w:id="159"/>
            <w:bookmarkEnd w:id="160"/>
          </w:p>
        </w:tc>
      </w:tr>
    </w:tbl>
    <w:p w:rsidR="006522B8" w:rsidRPr="0073501F" w:rsidRDefault="006522B8" w:rsidP="006522B8">
      <w:pPr>
        <w:pStyle w:val="3"/>
        <w:numPr>
          <w:ilvl w:val="0"/>
          <w:numId w:val="0"/>
        </w:numPr>
        <w:ind w:left="1361"/>
        <w:rPr>
          <w:rFonts w:hAnsi="標楷體"/>
          <w:sz w:val="24"/>
          <w:szCs w:val="24"/>
        </w:rPr>
      </w:pPr>
      <w:bookmarkStart w:id="161" w:name="_Toc484177960"/>
      <w:bookmarkStart w:id="162" w:name="_Toc484593509"/>
      <w:r w:rsidRPr="0073501F">
        <w:rPr>
          <w:rFonts w:hAnsi="標楷體" w:hint="eastAsia"/>
          <w:sz w:val="24"/>
          <w:szCs w:val="24"/>
        </w:rPr>
        <w:t>資料來源：本院整理</w:t>
      </w:r>
      <w:bookmarkEnd w:id="161"/>
      <w:bookmarkEnd w:id="162"/>
    </w:p>
    <w:p w:rsidR="006522B8" w:rsidRPr="0073501F" w:rsidRDefault="006522B8" w:rsidP="006522B8">
      <w:pPr>
        <w:pStyle w:val="4"/>
      </w:pPr>
      <w:r w:rsidRPr="0073501F">
        <w:rPr>
          <w:rFonts w:hint="eastAsia"/>
        </w:rPr>
        <w:t>兆豐銀行企劃處(現為海外管理處)於104年10月5日依序呈核</w:t>
      </w:r>
      <w:r w:rsidRPr="0073501F">
        <w:rPr>
          <w:rFonts w:hAnsi="標楷體" w:hint="eastAsia"/>
        </w:rPr>
        <w:t>美國聯邦準備銀行</w:t>
      </w:r>
      <w:r w:rsidRPr="0073501F">
        <w:rPr>
          <w:rFonts w:hint="eastAsia"/>
        </w:rPr>
        <w:t>訪談會議紀錄，案經該行</w:t>
      </w:r>
      <w:r w:rsidR="00407DAE">
        <w:rPr>
          <w:rFonts w:hint="eastAsia"/>
        </w:rPr>
        <w:t>梁○○</w:t>
      </w:r>
      <w:r w:rsidRPr="0073501F">
        <w:rPr>
          <w:rFonts w:hint="eastAsia"/>
        </w:rPr>
        <w:t>前副總經理於次(6)日代簽，蔡友才前董事長於同年月7日批示略以：「1、本會議紀錄即送美國地區4家</w:t>
      </w:r>
      <w:r w:rsidR="00EF6C8E">
        <w:rPr>
          <w:rFonts w:hint="eastAsia"/>
        </w:rPr>
        <w:t>分</w:t>
      </w:r>
      <w:r w:rsidRPr="0073501F">
        <w:rPr>
          <w:rFonts w:hint="eastAsia"/>
        </w:rPr>
        <w:t>行主管。2、紐行立即成立『改善行動小組』；已改善部分一週內先Mailed FRB檢查人員；計畫改善部分及時限亦請一併函知。3、於紐行成立『美國地區分行風險管理委員會』，一個月內開始運作，並留下紀錄。4、今後任何改善措施均請4家分行主管分別函知檢查人</w:t>
      </w:r>
      <w:r w:rsidRPr="0073501F">
        <w:rPr>
          <w:rFonts w:hint="eastAsia"/>
        </w:rPr>
        <w:lastRenderedPageBreak/>
        <w:t>員。5、總行企劃處統籌回應，以避免被降等為努力目標。(以本人名義擬一信函)。6、請將本人本批示即函知4家分行查照。」</w:t>
      </w:r>
    </w:p>
    <w:p w:rsidR="006522B8" w:rsidRPr="0073501F" w:rsidRDefault="006522B8" w:rsidP="001D00B2">
      <w:pPr>
        <w:pStyle w:val="4"/>
      </w:pPr>
      <w:r w:rsidRPr="0073501F">
        <w:rPr>
          <w:rFonts w:hint="eastAsia"/>
        </w:rPr>
        <w:t>嗣兆豐銀行蔡前董事長復於104年10月8日親函紐約分行前經理黃士明及芝加哥分行經理</w:t>
      </w:r>
      <w:r w:rsidR="00407DAE">
        <w:rPr>
          <w:rFonts w:hint="eastAsia"/>
        </w:rPr>
        <w:t>黃○</w:t>
      </w:r>
      <w:r w:rsidRPr="0073501F">
        <w:rPr>
          <w:rFonts w:hint="eastAsia"/>
        </w:rPr>
        <w:t>，並將副本寄送給</w:t>
      </w:r>
      <w:r w:rsidR="001D00B2" w:rsidRPr="0073501F">
        <w:rPr>
          <w:rFonts w:hAnsi="標楷體" w:hint="eastAsia"/>
        </w:rPr>
        <w:t>吳漢卿前總經理、</w:t>
      </w:r>
      <w:r w:rsidR="00407DAE">
        <w:rPr>
          <w:rFonts w:hAnsi="標楷體" w:hint="eastAsia"/>
        </w:rPr>
        <w:t>梁○○</w:t>
      </w:r>
      <w:r w:rsidR="001D00B2" w:rsidRPr="0073501F">
        <w:rPr>
          <w:rFonts w:hAnsi="標楷體" w:hint="eastAsia"/>
        </w:rPr>
        <w:t>前副總經理、</w:t>
      </w:r>
      <w:r w:rsidR="00407DAE">
        <w:rPr>
          <w:rFonts w:hAnsi="標楷體" w:hint="eastAsia"/>
        </w:rPr>
        <w:t>陳○○</w:t>
      </w:r>
      <w:r w:rsidR="001D00B2" w:rsidRPr="0073501F">
        <w:rPr>
          <w:rFonts w:hAnsi="標楷體" w:hint="eastAsia"/>
        </w:rPr>
        <w:t>法遵長、企劃處</w:t>
      </w:r>
      <w:r w:rsidR="00407DAE">
        <w:rPr>
          <w:rFonts w:hAnsi="標楷體" w:hint="eastAsia"/>
        </w:rPr>
        <w:t>莊○○</w:t>
      </w:r>
      <w:r w:rsidR="001D00B2" w:rsidRPr="0073501F">
        <w:rPr>
          <w:rFonts w:hAnsi="標楷體" w:hint="eastAsia"/>
        </w:rPr>
        <w:t>前處長、洛杉磯分行</w:t>
      </w:r>
      <w:r w:rsidR="00407DAE">
        <w:rPr>
          <w:rFonts w:hAnsi="標楷體" w:hint="eastAsia"/>
        </w:rPr>
        <w:t>柯○○</w:t>
      </w:r>
      <w:r w:rsidR="001D00B2" w:rsidRPr="0073501F">
        <w:rPr>
          <w:rFonts w:hAnsi="標楷體" w:hint="eastAsia"/>
        </w:rPr>
        <w:t>經理、矽谷分行</w:t>
      </w:r>
      <w:r w:rsidR="00407DAE">
        <w:rPr>
          <w:rFonts w:hAnsi="標楷體" w:hint="eastAsia"/>
        </w:rPr>
        <w:t>葉○○</w:t>
      </w:r>
      <w:r w:rsidR="001D00B2" w:rsidRPr="0073501F">
        <w:rPr>
          <w:rFonts w:hAnsi="標楷體" w:hint="eastAsia"/>
        </w:rPr>
        <w:t>經理、兆豐金控</w:t>
      </w:r>
      <w:r w:rsidR="00407DAE">
        <w:rPr>
          <w:rFonts w:hAnsi="標楷體" w:hint="eastAsia"/>
        </w:rPr>
        <w:t>陳○○</w:t>
      </w:r>
      <w:r w:rsidR="001D00B2" w:rsidRPr="0073501F">
        <w:rPr>
          <w:rFonts w:hAnsi="標楷體" w:hint="eastAsia"/>
        </w:rPr>
        <w:t>前副總經理、</w:t>
      </w:r>
      <w:r w:rsidR="00407DAE">
        <w:rPr>
          <w:rFonts w:hAnsi="標楷體" w:hint="eastAsia"/>
        </w:rPr>
        <w:t>王○○</w:t>
      </w:r>
      <w:r w:rsidR="001D00B2" w:rsidRPr="0073501F">
        <w:rPr>
          <w:rFonts w:hAnsi="標楷體" w:hint="eastAsia"/>
        </w:rPr>
        <w:t>主任秘書</w:t>
      </w:r>
      <w:r w:rsidRPr="0073501F">
        <w:rPr>
          <w:rFonts w:hint="eastAsia"/>
        </w:rPr>
        <w:t>略以：「經審視本次FRB官員來訪紀錄，本人判斷，本次查核應是針對BSA/AML之查核，據FRB 來訪人員稱查核缺失計有M</w:t>
      </w:r>
      <w:r w:rsidRPr="00542F82">
        <w:rPr>
          <w:rFonts w:hint="eastAsia"/>
        </w:rPr>
        <w:t>RIA</w:t>
      </w:r>
      <w:r w:rsidR="00E162AE" w:rsidRPr="00542F82">
        <w:rPr>
          <w:rFonts w:hint="eastAsia"/>
        </w:rPr>
        <w:t>4</w:t>
      </w:r>
      <w:r w:rsidRPr="00542F82">
        <w:rPr>
          <w:rFonts w:hint="eastAsia"/>
        </w:rPr>
        <w:t>項，另MRA</w:t>
      </w:r>
      <w:r w:rsidR="00E162AE" w:rsidRPr="00542F82">
        <w:rPr>
          <w:rFonts w:hint="eastAsia"/>
        </w:rPr>
        <w:t>8</w:t>
      </w:r>
      <w:r w:rsidRPr="00542F82">
        <w:rPr>
          <w:rFonts w:hint="eastAsia"/>
        </w:rPr>
        <w:t>項，缺失不少，應虛心檢討。為</w:t>
      </w:r>
      <w:r w:rsidR="006E06C8" w:rsidRPr="00542F82">
        <w:rPr>
          <w:rFonts w:hint="eastAsia"/>
        </w:rPr>
        <w:t>澈</w:t>
      </w:r>
      <w:r w:rsidRPr="00542F82">
        <w:rPr>
          <w:rFonts w:hint="eastAsia"/>
        </w:rPr>
        <w:t>底執行防制洗錢，美國主管機關近年來對於BSA/AML極為重</w:t>
      </w:r>
      <w:r w:rsidRPr="0073501F">
        <w:rPr>
          <w:rFonts w:hint="eastAsia"/>
        </w:rPr>
        <w:t>視，查核時發現有重大缺失，大都採取Enforcement Action，其中包括：(1)</w:t>
      </w:r>
      <w:r w:rsidRPr="0073501F">
        <w:t>MOU</w:t>
      </w:r>
      <w:r w:rsidRPr="0073501F">
        <w:rPr>
          <w:rFonts w:hint="eastAsia"/>
        </w:rPr>
        <w:t xml:space="preserve"> </w:t>
      </w:r>
      <w:r w:rsidRPr="0073501F">
        <w:t>(Memorandum of Understanding)</w:t>
      </w:r>
      <w:r w:rsidRPr="0073501F">
        <w:rPr>
          <w:rFonts w:hint="eastAsia"/>
        </w:rPr>
        <w:t>。(2)F</w:t>
      </w:r>
      <w:r w:rsidRPr="0073501F">
        <w:t>A(Formal Agreement)</w:t>
      </w:r>
      <w:r w:rsidRPr="0073501F">
        <w:rPr>
          <w:rFonts w:hint="eastAsia"/>
        </w:rPr>
        <w:t>。(3)</w:t>
      </w:r>
      <w:r w:rsidRPr="0073501F">
        <w:t>Consent Order(Cease &amp; Desist Order)</w:t>
      </w:r>
      <w:r w:rsidRPr="0073501F">
        <w:rPr>
          <w:rFonts w:hint="eastAsia"/>
        </w:rPr>
        <w:t>。(4)</w:t>
      </w:r>
      <w:r w:rsidRPr="0073501F">
        <w:t>BCMP(Civil Money Penalties)</w:t>
      </w:r>
      <w:r w:rsidRPr="0073501F">
        <w:rPr>
          <w:rFonts w:hint="eastAsia"/>
        </w:rPr>
        <w:t>。(5)上述中除issue MOU外，其餘三項一般會在網站上公告，公告後將嚴重影響銀行之Reputation，且留下紀錄，同時也會引起我國主管機關金管會之關注。在FRB採取Enforcement Action之前務必小心因應，並主動接觸向FRB之Examiner展現本行改善查核缺失之誠意，最好提出書面改善缺失計劃(Correction Plan)，並伺機親自拜訪，若約談不到，可直接以mail告知。兩位單位主管及兩行同仁務必以最嚴肅、認真之心情面對此一可能遭大幅降等之風險，立刻採取行動，展現誠意，已改善事項可先mail FRB檢查人員。紐行、芝行目前</w:t>
      </w:r>
      <w:r w:rsidRPr="0073501F">
        <w:rPr>
          <w:rFonts w:hint="eastAsia"/>
        </w:rPr>
        <w:lastRenderedPageBreak/>
        <w:t>應以此事為最優先辦理事項，若因本事需要，可無需於11月返台參加行務會議。謹先以此信函表達我的擔心與要求，期盼二行努力，免使本行行譽受損。」</w:t>
      </w:r>
    </w:p>
    <w:p w:rsidR="006522B8" w:rsidRPr="0073501F" w:rsidRDefault="006522B8" w:rsidP="0053227C">
      <w:pPr>
        <w:pStyle w:val="4"/>
        <w:rPr>
          <w:bCs/>
        </w:rPr>
      </w:pPr>
      <w:r w:rsidRPr="0073501F">
        <w:rPr>
          <w:rFonts w:hint="eastAsia"/>
        </w:rPr>
        <w:t>兆豐銀行蔡友才前董事長再於104年11月19日召開行務會議前，與美國地區分行主管座談會，由其與總經理主持，出席單位及人員包括</w:t>
      </w:r>
      <w:r w:rsidR="00407DAE">
        <w:rPr>
          <w:rFonts w:hint="eastAsia"/>
        </w:rPr>
        <w:t>梁○○</w:t>
      </w:r>
      <w:r w:rsidRPr="0073501F">
        <w:rPr>
          <w:rFonts w:hint="eastAsia"/>
        </w:rPr>
        <w:t>前副總經理、</w:t>
      </w:r>
      <w:r w:rsidR="00407DAE">
        <w:rPr>
          <w:rFonts w:hint="eastAsia"/>
        </w:rPr>
        <w:t>陳○○</w:t>
      </w:r>
      <w:r w:rsidR="0053227C" w:rsidRPr="0053227C">
        <w:rPr>
          <w:rFonts w:hAnsi="標楷體" w:hint="eastAsia"/>
        </w:rPr>
        <w:t>法遵長</w:t>
      </w:r>
      <w:r w:rsidRPr="0073501F">
        <w:rPr>
          <w:rFonts w:hint="eastAsia"/>
        </w:rPr>
        <w:t>、美國地區4家分行、風險控管處、資訊處、企劃處。會議結論包括：1、紐約分行對金檢機關檢查意見必須虛心檢討，即時研擬改善計畫確實辦理，並隨時向金檢機關陳報改善進度。2、請該行企劃處於11月底前以董座名義致函紐行之金檢機關，陳報該次會議之召開與要求，展現總處極為重視與嚴格督促分行改善之決心。3、明年起海外分行受當地主管機關金融檢查評等降級者，列入重大風險缺失，管理績效考評加重扣分。……等。</w:t>
      </w:r>
    </w:p>
    <w:p w:rsidR="006522B8" w:rsidRPr="0073501F" w:rsidRDefault="006522B8" w:rsidP="006522B8">
      <w:pPr>
        <w:pStyle w:val="3"/>
      </w:pPr>
      <w:bookmarkStart w:id="163" w:name="_Toc484177961"/>
      <w:bookmarkStart w:id="164" w:name="_Toc484593510"/>
      <w:r w:rsidRPr="0073501F">
        <w:rPr>
          <w:rFonts w:hint="eastAsia"/>
        </w:rPr>
        <w:t>依據蔡前董事長就美國聯邦準備銀行</w:t>
      </w:r>
      <w:r w:rsidRPr="0073501F">
        <w:t>一行</w:t>
      </w:r>
      <w:r w:rsidRPr="0073501F">
        <w:rPr>
          <w:rFonts w:hint="eastAsia"/>
        </w:rPr>
        <w:t>4</w:t>
      </w:r>
      <w:r w:rsidRPr="0073501F">
        <w:t>人來</w:t>
      </w:r>
      <w:r w:rsidRPr="0073501F">
        <w:rPr>
          <w:rFonts w:hint="eastAsia"/>
        </w:rPr>
        <w:t>臺拜會該行後之處置措施，包括指示紐行立即成立「改善行動小組」、「總行企劃處統籌回應，以避免被降等為努力目標」、「在FRB採取Enforcement Action之前務必小心因應」、「務必以最嚴肅、認真之心情面對此一可能遭大幅降等之風險」，且於行務會議前亦與美國地區分行主管座談會等，均足證其認檢查結果，極有可能採取Enforcement Action之事宜係屬重大事項，且其雖知悉事態嚴重，並追蹤本案，惟卻未告知財政部。</w:t>
      </w:r>
      <w:bookmarkEnd w:id="163"/>
      <w:bookmarkEnd w:id="164"/>
    </w:p>
    <w:p w:rsidR="006522B8" w:rsidRPr="0073501F" w:rsidRDefault="006522B8" w:rsidP="006522B8">
      <w:pPr>
        <w:pStyle w:val="3"/>
        <w:rPr>
          <w:rFonts w:hAnsi="標楷體"/>
        </w:rPr>
      </w:pPr>
      <w:bookmarkStart w:id="165" w:name="_Toc484177962"/>
      <w:bookmarkStart w:id="166" w:name="_Toc484593511"/>
      <w:r w:rsidRPr="0073501F">
        <w:rPr>
          <w:rFonts w:hAnsi="標楷體" w:hint="eastAsia"/>
        </w:rPr>
        <w:t>惟據財政部表示</w:t>
      </w:r>
      <w:r w:rsidRPr="0073501F">
        <w:rPr>
          <w:rStyle w:val="afc"/>
          <w:rFonts w:hAnsi="標楷體"/>
        </w:rPr>
        <w:footnoteReference w:id="36"/>
      </w:r>
      <w:r w:rsidRPr="0073501F">
        <w:rPr>
          <w:rFonts w:hAnsi="標楷體" w:hint="eastAsia"/>
        </w:rPr>
        <w:t>，本案兆豐銀行歷次與美方人員</w:t>
      </w:r>
      <w:r w:rsidRPr="0073501F">
        <w:rPr>
          <w:rFonts w:hAnsi="標楷體" w:hint="eastAsia"/>
        </w:rPr>
        <w:lastRenderedPageBreak/>
        <w:t>溝通情形，公股代表中僅當時任職之董事長、代理董事長及總經理知悉，當時該行並未得知即將遭裁罰，有關檢查結果及該行歷次與美方溝通情形，於105年8月4日前未獲通報。依本案當時派任</w:t>
      </w:r>
      <w:r w:rsidRPr="0073501F">
        <w:rPr>
          <w:rFonts w:hAnsi="標楷體"/>
        </w:rPr>
        <w:t>管理要點規定</w:t>
      </w:r>
      <w:r w:rsidRPr="0073501F">
        <w:rPr>
          <w:rFonts w:hAnsi="標楷體" w:hint="eastAsia"/>
        </w:rPr>
        <w:t>（101年9月11日修正），公股代表</w:t>
      </w:r>
      <w:r w:rsidRPr="0073501F">
        <w:rPr>
          <w:rFonts w:hAnsi="標楷體" w:hint="eastAsia"/>
          <w:szCs w:val="32"/>
        </w:rPr>
        <w:t>聯絡人</w:t>
      </w:r>
      <w:r w:rsidRPr="0073501F">
        <w:rPr>
          <w:rFonts w:hAnsi="標楷體" w:hint="eastAsia"/>
        </w:rPr>
        <w:t>應</w:t>
      </w:r>
      <w:r w:rsidRPr="0073501F">
        <w:rPr>
          <w:rFonts w:hAnsi="標楷體"/>
        </w:rPr>
        <w:t>就</w:t>
      </w:r>
      <w:r w:rsidRPr="0073501F">
        <w:rPr>
          <w:rFonts w:hAnsi="標楷體" w:hint="eastAsia"/>
        </w:rPr>
        <w:t>下列</w:t>
      </w:r>
      <w:r w:rsidRPr="0073501F">
        <w:rPr>
          <w:rFonts w:hAnsi="標楷體"/>
        </w:rPr>
        <w:t>事項</w:t>
      </w:r>
      <w:r w:rsidRPr="0073501F">
        <w:rPr>
          <w:rFonts w:hAnsi="標楷體" w:hint="eastAsia"/>
        </w:rPr>
        <w:t>及</w:t>
      </w:r>
      <w:r w:rsidRPr="0073501F">
        <w:rPr>
          <w:rFonts w:hAnsi="標楷體"/>
        </w:rPr>
        <w:t>時陳報，包括：第12點第2</w:t>
      </w:r>
      <w:r w:rsidRPr="0073501F">
        <w:rPr>
          <w:rFonts w:hAnsi="標楷體" w:hint="eastAsia"/>
        </w:rPr>
        <w:t>款</w:t>
      </w:r>
      <w:r w:rsidRPr="0073501F">
        <w:rPr>
          <w:rFonts w:hAnsi="標楷體"/>
        </w:rPr>
        <w:t>規定，公股代表聯絡人執行任務應「維護公股權益，監督事業機構依法經營」。第13點第1項第9款規定，公股代表聯絡人應</w:t>
      </w:r>
      <w:r w:rsidRPr="0073501F">
        <w:rPr>
          <w:rFonts w:hAnsi="標楷體" w:hint="eastAsia"/>
        </w:rPr>
        <w:t>就</w:t>
      </w:r>
      <w:r w:rsidRPr="0073501F">
        <w:rPr>
          <w:rFonts w:hAnsi="標楷體"/>
        </w:rPr>
        <w:t>「</w:t>
      </w:r>
      <w:r w:rsidRPr="0073501F">
        <w:rPr>
          <w:rFonts w:hAnsi="標楷體" w:hint="eastAsia"/>
        </w:rPr>
        <w:t>其他</w:t>
      </w:r>
      <w:r w:rsidRPr="0073501F">
        <w:rPr>
          <w:rFonts w:hAnsi="標楷體"/>
        </w:rPr>
        <w:t>影響公股權益之重大情事」陳報財政部。第16點規定，「董事對於公司內部控制制度之有效性，應善盡督導之責，並督導內部稽核定期向董事會報告」。依上開規定，兆豐金控應有將</w:t>
      </w:r>
      <w:r w:rsidRPr="0073501F">
        <w:rPr>
          <w:rFonts w:hAnsi="標楷體" w:hint="eastAsia"/>
        </w:rPr>
        <w:t>105</w:t>
      </w:r>
      <w:r w:rsidRPr="0073501F">
        <w:rPr>
          <w:rFonts w:hAnsi="標楷體"/>
        </w:rPr>
        <w:t>年2月間</w:t>
      </w:r>
      <w:r w:rsidRPr="0073501F">
        <w:rPr>
          <w:rFonts w:hAnsi="標楷體" w:hint="eastAsia"/>
        </w:rPr>
        <w:t>NYDFS</w:t>
      </w:r>
      <w:r w:rsidRPr="0073501F">
        <w:rPr>
          <w:rFonts w:hAnsi="標楷體"/>
        </w:rPr>
        <w:t>之金融檢查報告</w:t>
      </w:r>
      <w:r w:rsidRPr="0073501F">
        <w:rPr>
          <w:rFonts w:hAnsi="標楷體" w:hint="eastAsia"/>
        </w:rPr>
        <w:t>及後續處理等重大事項</w:t>
      </w:r>
      <w:r w:rsidRPr="0073501F">
        <w:rPr>
          <w:rFonts w:hAnsi="標楷體"/>
        </w:rPr>
        <w:t>向董事會報告之責，公股代表</w:t>
      </w:r>
      <w:r w:rsidRPr="0073501F">
        <w:rPr>
          <w:rFonts w:hAnsi="標楷體" w:hint="eastAsia"/>
        </w:rPr>
        <w:t>聯絡人亦</w:t>
      </w:r>
      <w:r w:rsidRPr="0073501F">
        <w:rPr>
          <w:rFonts w:hAnsi="標楷體"/>
        </w:rPr>
        <w:t>應本於維護公股權益之職責，就該事件有嚴重影響公股權益之虞</w:t>
      </w:r>
      <w:r w:rsidRPr="0073501F">
        <w:rPr>
          <w:rFonts w:hAnsi="標楷體" w:hint="eastAsia"/>
        </w:rPr>
        <w:t>，會商公股代表意見，並加註意見彙</w:t>
      </w:r>
      <w:r w:rsidRPr="0073501F">
        <w:rPr>
          <w:rFonts w:hAnsi="標楷體"/>
        </w:rPr>
        <w:t>報財政部。</w:t>
      </w:r>
      <w:r w:rsidRPr="0073501F">
        <w:rPr>
          <w:rFonts w:hAnsi="標楷體" w:hint="eastAsia"/>
          <w:szCs w:val="32"/>
        </w:rPr>
        <w:t>本次</w:t>
      </w:r>
      <w:r w:rsidRPr="0073501F">
        <w:rPr>
          <w:rFonts w:hAnsi="標楷體"/>
          <w:szCs w:val="32"/>
        </w:rPr>
        <w:t>如</w:t>
      </w:r>
      <w:r w:rsidRPr="0073501F">
        <w:rPr>
          <w:rFonts w:hAnsi="標楷體" w:hint="eastAsia"/>
          <w:szCs w:val="32"/>
        </w:rPr>
        <w:t>公股代表聯絡人落</w:t>
      </w:r>
      <w:r w:rsidRPr="0073501F">
        <w:rPr>
          <w:rFonts w:hAnsi="標楷體"/>
          <w:szCs w:val="32"/>
        </w:rPr>
        <w:t>實執行，本事件應得掌握時效，</w:t>
      </w:r>
      <w:r w:rsidRPr="0073501F">
        <w:rPr>
          <w:rFonts w:hAnsi="標楷體" w:hint="eastAsia"/>
          <w:szCs w:val="32"/>
        </w:rPr>
        <w:t>及</w:t>
      </w:r>
      <w:r w:rsidRPr="0073501F">
        <w:rPr>
          <w:rFonts w:hAnsi="標楷體"/>
          <w:szCs w:val="32"/>
        </w:rPr>
        <w:t>時有效因應處理，</w:t>
      </w:r>
      <w:r w:rsidRPr="0073501F">
        <w:rPr>
          <w:rFonts w:hAnsi="標楷體" w:hint="eastAsia"/>
          <w:szCs w:val="32"/>
        </w:rPr>
        <w:t>當可</w:t>
      </w:r>
      <w:r w:rsidRPr="0073501F">
        <w:rPr>
          <w:rFonts w:hAnsi="標楷體"/>
          <w:szCs w:val="32"/>
        </w:rPr>
        <w:t>減輕損害之程度及衝擊。</w:t>
      </w:r>
      <w:r w:rsidRPr="0073501F">
        <w:rPr>
          <w:rFonts w:hAnsi="標楷體" w:hint="eastAsia"/>
          <w:szCs w:val="32"/>
        </w:rPr>
        <w:t>惟</w:t>
      </w:r>
      <w:r w:rsidRPr="0073501F">
        <w:rPr>
          <w:rFonts w:hAnsi="標楷體"/>
          <w:szCs w:val="32"/>
        </w:rPr>
        <w:t>兆豐金控公股代表</w:t>
      </w:r>
      <w:r w:rsidRPr="0073501F">
        <w:rPr>
          <w:rFonts w:hAnsi="標楷體" w:hint="eastAsia"/>
          <w:szCs w:val="32"/>
        </w:rPr>
        <w:t>聯絡</w:t>
      </w:r>
      <w:r w:rsidRPr="0073501F">
        <w:rPr>
          <w:rFonts w:hAnsi="標楷體"/>
          <w:szCs w:val="32"/>
        </w:rPr>
        <w:t>人</w:t>
      </w:r>
      <w:r w:rsidRPr="0073501F">
        <w:rPr>
          <w:rFonts w:hAnsi="標楷體" w:hint="eastAsia"/>
          <w:szCs w:val="32"/>
        </w:rPr>
        <w:t>未依程序就</w:t>
      </w:r>
      <w:r w:rsidRPr="0073501F">
        <w:rPr>
          <w:rFonts w:hAnsi="標楷體"/>
          <w:szCs w:val="32"/>
        </w:rPr>
        <w:t>相關檢查報告</w:t>
      </w:r>
      <w:r w:rsidRPr="0073501F">
        <w:rPr>
          <w:rFonts w:hAnsi="標楷體" w:hint="eastAsia"/>
          <w:szCs w:val="32"/>
        </w:rPr>
        <w:t>重大缺失及有受裁罰之虞等情，及</w:t>
      </w:r>
      <w:r w:rsidRPr="0073501F">
        <w:rPr>
          <w:rFonts w:hAnsi="標楷體"/>
          <w:szCs w:val="32"/>
        </w:rPr>
        <w:t>時提報董事會</w:t>
      </w:r>
      <w:r w:rsidRPr="0073501F">
        <w:rPr>
          <w:rFonts w:hAnsi="標楷體" w:hint="eastAsia"/>
          <w:szCs w:val="32"/>
        </w:rPr>
        <w:t>並通報財政部</w:t>
      </w:r>
      <w:r w:rsidRPr="0073501F">
        <w:rPr>
          <w:rFonts w:hAnsi="標楷體"/>
          <w:szCs w:val="32"/>
        </w:rPr>
        <w:t>，致</w:t>
      </w:r>
      <w:r w:rsidRPr="0073501F">
        <w:rPr>
          <w:rFonts w:hAnsi="標楷體" w:hint="eastAsia"/>
          <w:szCs w:val="32"/>
        </w:rPr>
        <w:t>董事會無法適時危機處理</w:t>
      </w:r>
      <w:r w:rsidRPr="0073501F">
        <w:rPr>
          <w:rFonts w:hAnsi="標楷體"/>
          <w:szCs w:val="32"/>
        </w:rPr>
        <w:t>，</w:t>
      </w:r>
      <w:r w:rsidRPr="0073501F">
        <w:rPr>
          <w:rFonts w:hAnsi="標楷體" w:hint="eastAsia"/>
          <w:szCs w:val="32"/>
        </w:rPr>
        <w:t>督導缺失改善，損及</w:t>
      </w:r>
      <w:r w:rsidRPr="0073501F">
        <w:rPr>
          <w:rFonts w:hAnsi="標楷體"/>
          <w:szCs w:val="32"/>
        </w:rPr>
        <w:t>公股權益</w:t>
      </w:r>
      <w:r w:rsidRPr="0073501F">
        <w:rPr>
          <w:rFonts w:hAnsi="標楷體" w:hint="eastAsia"/>
          <w:szCs w:val="32"/>
        </w:rPr>
        <w:t>等語</w:t>
      </w:r>
      <w:r w:rsidRPr="0073501F">
        <w:rPr>
          <w:rFonts w:hAnsi="標楷體"/>
          <w:szCs w:val="32"/>
        </w:rPr>
        <w:t>。</w:t>
      </w:r>
      <w:r w:rsidRPr="0073501F">
        <w:rPr>
          <w:rFonts w:hAnsi="標楷體" w:hint="eastAsia"/>
          <w:szCs w:val="32"/>
        </w:rPr>
        <w:t>顯見，</w:t>
      </w:r>
      <w:r w:rsidRPr="0073501F">
        <w:rPr>
          <w:rFonts w:hAnsi="標楷體"/>
          <w:szCs w:val="32"/>
        </w:rPr>
        <w:t>兆豐金控公股代表</w:t>
      </w:r>
      <w:r w:rsidRPr="0073501F">
        <w:rPr>
          <w:rFonts w:hAnsi="標楷體" w:hint="eastAsia"/>
          <w:szCs w:val="32"/>
        </w:rPr>
        <w:t>聯絡</w:t>
      </w:r>
      <w:r w:rsidRPr="0073501F">
        <w:rPr>
          <w:rFonts w:hAnsi="標楷體"/>
          <w:szCs w:val="32"/>
        </w:rPr>
        <w:t>人</w:t>
      </w:r>
      <w:r w:rsidRPr="0073501F">
        <w:rPr>
          <w:rFonts w:hAnsi="標楷體" w:hint="eastAsia"/>
          <w:szCs w:val="32"/>
        </w:rPr>
        <w:t>蔡友才未依程序就</w:t>
      </w:r>
      <w:r w:rsidRPr="0073501F">
        <w:rPr>
          <w:rFonts w:hAnsi="標楷體"/>
          <w:szCs w:val="32"/>
        </w:rPr>
        <w:t>相關檢查報告</w:t>
      </w:r>
      <w:r w:rsidRPr="0073501F">
        <w:rPr>
          <w:rFonts w:hAnsi="標楷體" w:hint="eastAsia"/>
          <w:szCs w:val="32"/>
        </w:rPr>
        <w:t>重大缺失及有受裁罰之虞等情，及</w:t>
      </w:r>
      <w:r w:rsidRPr="0073501F">
        <w:rPr>
          <w:rFonts w:hAnsi="標楷體"/>
          <w:szCs w:val="32"/>
        </w:rPr>
        <w:t>時提報董事會</w:t>
      </w:r>
      <w:r w:rsidRPr="0073501F">
        <w:rPr>
          <w:rFonts w:hAnsi="標楷體" w:hint="eastAsia"/>
          <w:szCs w:val="32"/>
        </w:rPr>
        <w:t>並通報財政部，核有不當。</w:t>
      </w:r>
      <w:bookmarkEnd w:id="165"/>
      <w:bookmarkEnd w:id="166"/>
    </w:p>
    <w:p w:rsidR="006522B8" w:rsidRPr="0073501F" w:rsidRDefault="006522B8" w:rsidP="006522B8">
      <w:pPr>
        <w:pStyle w:val="3"/>
        <w:rPr>
          <w:rFonts w:hAnsi="標楷體"/>
        </w:rPr>
      </w:pPr>
      <w:bookmarkStart w:id="167" w:name="_Toc484177963"/>
      <w:bookmarkStart w:id="168" w:name="_Toc484593512"/>
      <w:r w:rsidRPr="0073501F">
        <w:rPr>
          <w:rFonts w:hAnsi="標楷體" w:hint="eastAsia"/>
        </w:rPr>
        <w:t>詢據國庫署凌忠嫄前署長表示：「(問：財政部有無相關機制避免公股代表聯絡人有應陳報而未陳報之事項？)沒辦法，事業經營都在銀行端，財政部是無法事先知道，只能事後才知道。」</w:t>
      </w:r>
      <w:r w:rsidRPr="0073501F">
        <w:rPr>
          <w:rFonts w:hAnsi="標楷體" w:hint="eastAsia"/>
          <w:szCs w:val="32"/>
        </w:rPr>
        <w:t>又</w:t>
      </w:r>
      <w:r w:rsidRPr="0073501F">
        <w:rPr>
          <w:rFonts w:hAnsi="標楷體" w:hint="eastAsia"/>
        </w:rPr>
        <w:t>據財政部部長許虞哲表示：「我們已經建立相關機制，可以從管</w:t>
      </w:r>
      <w:r w:rsidRPr="0073501F">
        <w:rPr>
          <w:rFonts w:hAnsi="標楷體" w:hint="eastAsia"/>
        </w:rPr>
        <w:lastRenderedPageBreak/>
        <w:t>理要點重大事項通報機制及加強董事會功能，雙重防範公股董事未向本部報告的情事。」顯見，財政部原公股管理機制確有不足。</w:t>
      </w:r>
      <w:bookmarkEnd w:id="167"/>
      <w:bookmarkEnd w:id="168"/>
    </w:p>
    <w:p w:rsidR="006522B8" w:rsidRPr="0073501F" w:rsidRDefault="006522B8" w:rsidP="006522B8">
      <w:pPr>
        <w:pStyle w:val="3"/>
        <w:rPr>
          <w:rFonts w:hAnsi="標楷體"/>
        </w:rPr>
      </w:pPr>
      <w:bookmarkStart w:id="169" w:name="_Toc484177964"/>
      <w:bookmarkStart w:id="170" w:name="_Toc484593513"/>
      <w:r w:rsidRPr="0073501F">
        <w:rPr>
          <w:rFonts w:hAnsi="標楷體" w:hint="eastAsia"/>
          <w:szCs w:val="32"/>
        </w:rPr>
        <w:t>財政部於105年</w:t>
      </w:r>
      <w:r w:rsidRPr="0073501F">
        <w:rPr>
          <w:rFonts w:hAnsi="標楷體"/>
          <w:szCs w:val="32"/>
        </w:rPr>
        <w:t>9</w:t>
      </w:r>
      <w:r w:rsidRPr="0073501F">
        <w:rPr>
          <w:rFonts w:hAnsi="標楷體" w:hint="eastAsia"/>
          <w:szCs w:val="32"/>
        </w:rPr>
        <w:t>月</w:t>
      </w:r>
      <w:r w:rsidRPr="0073501F">
        <w:rPr>
          <w:rFonts w:hAnsi="標楷體"/>
          <w:szCs w:val="32"/>
        </w:rPr>
        <w:t>26</w:t>
      </w:r>
      <w:r w:rsidRPr="0073501F">
        <w:rPr>
          <w:rFonts w:hAnsi="標楷體" w:hint="eastAsia"/>
          <w:szCs w:val="32"/>
        </w:rPr>
        <w:t>日行政院督導小組會議中就「公股股權管理督管機制與強化內稽內控法遵改革措施」提出報告，其改革措施包括：</w:t>
      </w:r>
      <w:bookmarkEnd w:id="169"/>
      <w:bookmarkEnd w:id="170"/>
    </w:p>
    <w:p w:rsidR="006522B8" w:rsidRPr="0073501F" w:rsidRDefault="006522B8" w:rsidP="006522B8">
      <w:pPr>
        <w:pStyle w:val="4"/>
        <w:rPr>
          <w:rFonts w:hAnsi="標楷體"/>
        </w:rPr>
      </w:pPr>
      <w:r w:rsidRPr="0073501F">
        <w:rPr>
          <w:rFonts w:hAnsi="標楷體" w:hint="eastAsia"/>
        </w:rPr>
        <w:t>研擬修正財政部派任管理要點，增訂公股事業重大偶發事件通報機制，俾及時掌握相關重大事件。</w:t>
      </w:r>
    </w:p>
    <w:p w:rsidR="006522B8" w:rsidRPr="0073501F" w:rsidRDefault="006522B8" w:rsidP="006522B8">
      <w:pPr>
        <w:pStyle w:val="4"/>
        <w:rPr>
          <w:rFonts w:hAnsi="標楷體"/>
        </w:rPr>
      </w:pPr>
      <w:r w:rsidRPr="0073501F">
        <w:rPr>
          <w:rFonts w:hAnsi="標楷體" w:hint="eastAsia"/>
        </w:rPr>
        <w:t>督導公股代表善盡職責，並及時檢討公股代表適任性。</w:t>
      </w:r>
    </w:p>
    <w:p w:rsidR="006522B8" w:rsidRPr="0073501F" w:rsidRDefault="006522B8" w:rsidP="006522B8">
      <w:pPr>
        <w:pStyle w:val="4"/>
        <w:rPr>
          <w:rFonts w:hAnsi="標楷體"/>
        </w:rPr>
      </w:pPr>
      <w:r w:rsidRPr="0073501F">
        <w:rPr>
          <w:rFonts w:hAnsi="標楷體" w:hint="eastAsia"/>
        </w:rPr>
        <w:t>研擬強化提升董事會監督功能，尤其明</w:t>
      </w:r>
      <w:r w:rsidR="0026672D">
        <w:rPr>
          <w:rFonts w:hAnsi="標楷體" w:hint="eastAsia"/>
        </w:rPr>
        <w:t>定</w:t>
      </w:r>
      <w:r w:rsidRPr="0073501F">
        <w:rPr>
          <w:rFonts w:hAnsi="標楷體" w:hint="eastAsia"/>
        </w:rPr>
        <w:t>海外分行須向董事會陳報事項，避免內稽流於形式。</w:t>
      </w:r>
    </w:p>
    <w:p w:rsidR="006522B8" w:rsidRPr="0073501F" w:rsidRDefault="006522B8" w:rsidP="006522B8">
      <w:pPr>
        <w:pStyle w:val="4"/>
        <w:rPr>
          <w:rFonts w:hAnsi="標楷體"/>
        </w:rPr>
      </w:pPr>
      <w:r w:rsidRPr="0073501F">
        <w:rPr>
          <w:rFonts w:hAnsi="標楷體" w:hint="eastAsia"/>
        </w:rPr>
        <w:t>督責公股事業增進海外從業人員訓練，強化涉外事務處理能力等。</w:t>
      </w:r>
      <w:r w:rsidRPr="0073501F">
        <w:rPr>
          <w:rStyle w:val="afc"/>
          <w:rFonts w:hAnsi="標楷體"/>
          <w:szCs w:val="32"/>
        </w:rPr>
        <w:footnoteReference w:id="37"/>
      </w:r>
    </w:p>
    <w:p w:rsidR="006522B8" w:rsidRPr="0073501F" w:rsidRDefault="006522B8" w:rsidP="006522B8">
      <w:pPr>
        <w:pStyle w:val="3"/>
        <w:rPr>
          <w:rFonts w:hAnsi="標楷體"/>
        </w:rPr>
      </w:pPr>
      <w:bookmarkStart w:id="171" w:name="_Toc484177965"/>
      <w:bookmarkStart w:id="172" w:name="_Toc484593514"/>
      <w:r w:rsidRPr="0073501F">
        <w:rPr>
          <w:rFonts w:hAnsi="標楷體" w:hint="eastAsia"/>
        </w:rPr>
        <w:t>嗣財政部於105年10月14日</w:t>
      </w:r>
      <w:r w:rsidRPr="0073501F">
        <w:rPr>
          <w:rFonts w:hAnsi="標楷體" w:cs="標楷體" w:hint="eastAsia"/>
          <w:kern w:val="0"/>
          <w:szCs w:val="32"/>
          <w:lang w:val="zh-TW"/>
        </w:rPr>
        <w:t>修正發布「財政部派任公民營事業機構負責人經理人董監事管理要點」，增訂重大事件通報機制、強化董事及董事會督導責任、明定公股代表之積極作為義務，及強化財政部股權代表之考核成效。該要點修正情形如後：</w:t>
      </w:r>
      <w:bookmarkEnd w:id="171"/>
      <w:bookmarkEnd w:id="172"/>
    </w:p>
    <w:p w:rsidR="006522B8" w:rsidRPr="0073501F" w:rsidRDefault="006522B8" w:rsidP="006522B8">
      <w:pPr>
        <w:pStyle w:val="4"/>
        <w:rPr>
          <w:rFonts w:hAnsi="標楷體"/>
        </w:rPr>
      </w:pPr>
      <w:r w:rsidRPr="0073501F">
        <w:rPr>
          <w:rFonts w:hAnsi="標楷體" w:hint="eastAsia"/>
        </w:rPr>
        <w:t>第12點規定：「本部得就核派之負責人、總經理、常務董事、董事、常駐監察人及監察人中，依序指定1人為聯絡人，其任務如下：……（六）事業機構風險管控、法令遵循（含洗錢防制，以下同）、內部控制、內部稽核制度之重大缺失事項、有遭評等調降或有受國內外主管機關裁罰之虞情事，及其他可能對公司經營與公股權益有不利影響之重大事項，立即以書面報告向本部說明事件經</w:t>
      </w:r>
      <w:r w:rsidRPr="0073501F">
        <w:rPr>
          <w:rFonts w:hAnsi="標楷體" w:hint="eastAsia"/>
        </w:rPr>
        <w:lastRenderedPageBreak/>
        <w:t xml:space="preserve">過、處置情形及可能影響，並儘速提報董事會。（七）事業主管機關規定應通報之重大事項，應於規定期限以書面報告向本部說明事件經過、處置情形及可能影響，並儘速提報董事會。」 </w:t>
      </w:r>
    </w:p>
    <w:p w:rsidR="006522B8" w:rsidRPr="0073501F" w:rsidRDefault="006522B8" w:rsidP="006522B8">
      <w:pPr>
        <w:pStyle w:val="4"/>
        <w:rPr>
          <w:rFonts w:hAnsi="標楷體"/>
        </w:rPr>
      </w:pPr>
      <w:r w:rsidRPr="0073501F">
        <w:rPr>
          <w:rFonts w:hAnsi="標楷體" w:hint="eastAsia"/>
        </w:rPr>
        <w:t>第16點第1項規定：「董事對於事業機構風險管控、法令遵循、內部控制、內部稽核制度之有效性，應善盡督導之責，並督導就各該業務執行情形定期向董事會報告；如有第12點第6款及第7款規定之重大事項致對公司經營及公股權益有重大影響者，應督導立即提報董事會，如有必要，並應請各業務單位、功能性委員會、分行或子公司等向董事會報告，俾掌握因應時效，降低營運風險。」</w:t>
      </w:r>
    </w:p>
    <w:p w:rsidR="006522B8" w:rsidRPr="0073501F" w:rsidRDefault="006522B8" w:rsidP="006522B8">
      <w:pPr>
        <w:pStyle w:val="4"/>
        <w:rPr>
          <w:rFonts w:hAnsi="標楷體"/>
        </w:rPr>
      </w:pPr>
      <w:r w:rsidRPr="0073501F">
        <w:rPr>
          <w:rFonts w:hAnsi="標楷體" w:hint="eastAsia"/>
        </w:rPr>
        <w:t>第17點規定：「為強化董、監事會功能，董、監事應克盡職責，維護公股權益，於出（列）席董事會（常務董事會）、監察人會議時，應積極參與各項議案之討論，並就經營效能、風險管控、法令遵循、內部控制、內部稽核制度，及其他足以影響公股權益等事項，提出具體建議。所提建議經採納者，由聯絡人詳載於董監事出席紀錄表，併同聯絡人任務報告表報部，作為本部對公股董、監事工作績效考核之參考。」</w:t>
      </w:r>
    </w:p>
    <w:p w:rsidR="006522B8" w:rsidRPr="0073501F" w:rsidRDefault="006522B8" w:rsidP="006E06C8">
      <w:pPr>
        <w:pStyle w:val="3"/>
        <w:rPr>
          <w:b/>
        </w:rPr>
      </w:pPr>
      <w:bookmarkStart w:id="173" w:name="_Toc484177966"/>
      <w:bookmarkStart w:id="174" w:name="_Toc484593515"/>
      <w:r w:rsidRPr="0073501F">
        <w:rPr>
          <w:rFonts w:hint="eastAsia"/>
        </w:rPr>
        <w:t>綜上，</w:t>
      </w:r>
      <w:r w:rsidR="006E06C8" w:rsidRPr="00542F82">
        <w:rPr>
          <w:rFonts w:hint="eastAsia"/>
        </w:rPr>
        <w:t>財政部對其所投資金融事業之股權管理，</w:t>
      </w:r>
      <w:r w:rsidRPr="0073501F">
        <w:rPr>
          <w:rFonts w:hint="eastAsia"/>
        </w:rPr>
        <w:t>主要係基於股東身分，透過負責人、經理人善盡業務審核與督導責任，以確保公股權益，且經由公股聯絡人隨時掌握事業機構之營運狀況，然兆豐金控公股聯絡人明知兆豐銀行面臨</w:t>
      </w:r>
      <w:r w:rsidRPr="0073501F">
        <w:t>NYDFS</w:t>
      </w:r>
      <w:r w:rsidRPr="0073501F">
        <w:rPr>
          <w:rFonts w:hint="eastAsia"/>
        </w:rPr>
        <w:t>可能採取監理行動之重大事項，竟未能向該部通報，公股管理核有欠當。</w:t>
      </w:r>
      <w:bookmarkEnd w:id="173"/>
      <w:bookmarkEnd w:id="174"/>
    </w:p>
    <w:p w:rsidR="00441F49" w:rsidRPr="0073501F" w:rsidRDefault="00441F49" w:rsidP="00441F49">
      <w:pPr>
        <w:pStyle w:val="2"/>
        <w:rPr>
          <w:rFonts w:hAnsi="標楷體"/>
          <w:b/>
        </w:rPr>
      </w:pPr>
      <w:bookmarkStart w:id="175" w:name="_Toc484177967"/>
      <w:bookmarkStart w:id="176" w:name="_Toc484593516"/>
      <w:r w:rsidRPr="0073501F">
        <w:rPr>
          <w:rFonts w:hAnsi="標楷體" w:hint="eastAsia"/>
          <w:b/>
        </w:rPr>
        <w:t>兆豐金控暨兆豐銀行之董事長及總經理均由行政院</w:t>
      </w:r>
      <w:r w:rsidRPr="0073501F">
        <w:rPr>
          <w:rFonts w:hAnsi="標楷體" w:hint="eastAsia"/>
          <w:b/>
        </w:rPr>
        <w:lastRenderedPageBreak/>
        <w:t>核定，該院明知該金控擁有控制性持股之投資事業，包括銀行等8家子公司，涉及金融相關領域廣泛，董事長綜理集團業務，擘劃發展策略，為最關鍵之掌舵者，且最大子公司兆豐銀行亦為資產總額近3兆，業界排名第2之重要銀行，然行政院竟讓該金控及銀行董事長懸缺近5個月，由總經理代理，致其同時身兼4個重要職務。後又因總經理未善盡代理董事長之職責，遭金管會命令兆豐銀行解除其總經理職務。核行政院未能積極指派兆豐金控暨兆豐銀行之董事長，致其懸缺達近5個月之久，顯有未當。</w:t>
      </w:r>
      <w:bookmarkEnd w:id="175"/>
      <w:bookmarkEnd w:id="176"/>
    </w:p>
    <w:p w:rsidR="00441F49" w:rsidRPr="0073501F" w:rsidRDefault="00441F49" w:rsidP="00441F49">
      <w:pPr>
        <w:pStyle w:val="3"/>
        <w:rPr>
          <w:rFonts w:hAnsi="標楷體"/>
        </w:rPr>
      </w:pPr>
      <w:bookmarkStart w:id="177" w:name="_Toc484177968"/>
      <w:bookmarkStart w:id="178" w:name="_Toc484593517"/>
      <w:r w:rsidRPr="0073501F">
        <w:rPr>
          <w:rFonts w:hAnsi="標楷體" w:hint="eastAsia"/>
        </w:rPr>
        <w:t>按行政院103年12月17日修正公布</w:t>
      </w:r>
      <w:r w:rsidRPr="0073501F">
        <w:rPr>
          <w:rStyle w:val="afc"/>
          <w:rFonts w:hAnsi="標楷體"/>
        </w:rPr>
        <w:footnoteReference w:id="38"/>
      </w:r>
      <w:r w:rsidRPr="0073501F">
        <w:rPr>
          <w:rFonts w:hAnsi="標楷體" w:hint="eastAsia"/>
        </w:rPr>
        <w:t>「政府捐助之財團法人、政府投資之民營事業機構負責人、經理人人選選派前須經行政院核可機構一覽表」所規定轉投資之民營事業機構應報行政院核可者，編號1為兆豐金控；另依該院100年9月5日修正公布</w:t>
      </w:r>
      <w:r w:rsidRPr="0073501F">
        <w:rPr>
          <w:rStyle w:val="afc"/>
          <w:rFonts w:hAnsi="標楷體"/>
        </w:rPr>
        <w:footnoteReference w:id="39"/>
      </w:r>
      <w:r w:rsidRPr="0073501F">
        <w:rPr>
          <w:rFonts w:hAnsi="標楷體" w:hint="eastAsia"/>
        </w:rPr>
        <w:t>之「政府(含部會及其所屬機關、國營事業機稱)投資民營事業機構或捐助財團法人，其再轉投資民營事業機構負責人或經理人人選推派前應報行政院一覽表」規定應報行政院之轉投資民營事業機構名稱，編號1為兆豐銀行，是以，兆豐金控及兆豐銀行之負責人及經理人應經行政院核可。</w:t>
      </w:r>
      <w:bookmarkEnd w:id="177"/>
      <w:bookmarkEnd w:id="178"/>
    </w:p>
    <w:p w:rsidR="00441F49" w:rsidRPr="0073501F" w:rsidRDefault="00441F49" w:rsidP="00441F49">
      <w:pPr>
        <w:pStyle w:val="3"/>
        <w:rPr>
          <w:rFonts w:hAnsi="標楷體"/>
        </w:rPr>
      </w:pPr>
      <w:bookmarkStart w:id="179" w:name="_Toc484177969"/>
      <w:bookmarkStart w:id="180" w:name="_Toc484593518"/>
      <w:r w:rsidRPr="0073501F">
        <w:rPr>
          <w:rFonts w:hAnsi="標楷體" w:hint="eastAsia"/>
        </w:rPr>
        <w:t>查兆豐金控暨兆豐銀行</w:t>
      </w:r>
      <w:r w:rsidRPr="0073501F">
        <w:rPr>
          <w:rFonts w:hAnsi="標楷體"/>
        </w:rPr>
        <w:t>前</w:t>
      </w:r>
      <w:r w:rsidRPr="0073501F">
        <w:rPr>
          <w:rFonts w:hAnsi="標楷體" w:hint="eastAsia"/>
        </w:rPr>
        <w:t>董事長蔡友才於105年4月1日請辭，財政部指派該行前</w:t>
      </w:r>
      <w:r w:rsidRPr="0073501F">
        <w:rPr>
          <w:rFonts w:hAnsi="標楷體"/>
        </w:rPr>
        <w:t>總經理吳漢卿</w:t>
      </w:r>
      <w:r w:rsidRPr="0073501F">
        <w:rPr>
          <w:rFonts w:hAnsi="標楷體" w:hint="eastAsia"/>
        </w:rPr>
        <w:t>於同日代理該金控暨銀行董事長至105年5月20日後至新任者就任，行政院復於同年7月28</w:t>
      </w:r>
      <w:r w:rsidR="0053227C">
        <w:rPr>
          <w:rFonts w:hAnsi="標楷體" w:hint="eastAsia"/>
        </w:rPr>
        <w:t>日同意吳漢卿前總經理</w:t>
      </w:r>
      <w:r w:rsidRPr="0073501F">
        <w:rPr>
          <w:rFonts w:hAnsi="標楷體" w:hint="eastAsia"/>
        </w:rPr>
        <w:t>暫行兼代兆豐金控暨銀行董事長職務至新任董事長就任。然吳</w:t>
      </w:r>
      <w:r w:rsidR="0053227C">
        <w:rPr>
          <w:rFonts w:hAnsi="標楷體" w:hint="eastAsia"/>
        </w:rPr>
        <w:t>漢卿前總經理</w:t>
      </w:r>
      <w:r w:rsidRPr="0073501F">
        <w:rPr>
          <w:rFonts w:hAnsi="標楷體" w:hint="eastAsia"/>
        </w:rPr>
        <w:t>代理至8月16日</w:t>
      </w:r>
      <w:r w:rsidRPr="0073501F">
        <w:rPr>
          <w:rFonts w:hAnsi="標楷體" w:hint="eastAsia"/>
        </w:rPr>
        <w:lastRenderedPageBreak/>
        <w:t>前董事長徐光曦接任為止，代理期間約5個月。行政院明知</w:t>
      </w:r>
      <w:r w:rsidRPr="0073501F">
        <w:rPr>
          <w:rStyle w:val="afc"/>
          <w:rFonts w:hAnsi="標楷體"/>
        </w:rPr>
        <w:footnoteReference w:id="40"/>
      </w:r>
      <w:r w:rsidRPr="0073501F">
        <w:rPr>
          <w:rFonts w:hAnsi="標楷體" w:hint="eastAsia"/>
        </w:rPr>
        <w:t>「兆豐金控及兆豐銀行為我國重要金融事業機構</w:t>
      </w:r>
      <w:r w:rsidRPr="0073501F">
        <w:rPr>
          <w:rFonts w:hAnsi="標楷體"/>
        </w:rPr>
        <w:t>……</w:t>
      </w:r>
      <w:r w:rsidRPr="0073501F">
        <w:rPr>
          <w:rFonts w:hAnsi="標楷體" w:hint="eastAsia"/>
        </w:rPr>
        <w:t>兆豐金控旗下擁有控制性持股之投資事業，包括銀行、證券、票券、產險、投信、資產管理、創投及人身保險代理人8家子公司，涉及金融相關領域廣泛，董事長綜理兆豐金控集團業務，擘劃發展策略，為該等金融事業最關鍵之掌舵者，擬任人選須具備金融及銀行專業知識、經營金控公司及銀行之能力，可健全有效經營金控公司及銀行業務，且須經金管會審認無該會所定金融專業法規之負責人消極資格及符合積極資格條件等相關規定」是以，董事長為擘劃發展策略，為金融事業最關鍵之掌舵者，且須具備金融及銀行專業知識、經營金控公司及銀行之能力。</w:t>
      </w:r>
      <w:bookmarkEnd w:id="179"/>
      <w:bookmarkEnd w:id="180"/>
    </w:p>
    <w:p w:rsidR="00441F49" w:rsidRPr="0073501F" w:rsidRDefault="00441F49" w:rsidP="00441F49">
      <w:pPr>
        <w:pStyle w:val="3"/>
        <w:rPr>
          <w:rFonts w:hAnsi="標楷體"/>
        </w:rPr>
      </w:pPr>
      <w:bookmarkStart w:id="181" w:name="_Toc484177970"/>
      <w:bookmarkStart w:id="182" w:name="_Toc484593519"/>
      <w:r w:rsidRPr="0073501F">
        <w:rPr>
          <w:rFonts w:hAnsi="標楷體" w:hint="eastAsia"/>
        </w:rPr>
        <w:t>再查本院詢問兆豐金控暨銀行前董事長蔡友才時表示「我無法理解為何代理這麼久未派任，董事長懸缺太久了，這是外界無法想像的，我覺得吳漢卿一人擔四職會分身乏術」。另本院詢問吳漢卿董事長：「請問兆豐銀行此次遭</w:t>
      </w:r>
      <w:r w:rsidR="008A0F8A" w:rsidRPr="0073501F">
        <w:rPr>
          <w:rFonts w:hAnsi="標楷體" w:hint="eastAsia"/>
        </w:rPr>
        <w:t>NYDFS</w:t>
      </w:r>
      <w:r w:rsidRPr="0073501F">
        <w:rPr>
          <w:rFonts w:hAnsi="標楷體" w:hint="eastAsia"/>
        </w:rPr>
        <w:t>重罰，您認為金管會、財政部可以做哪些事情，可能避免後續遭</w:t>
      </w:r>
      <w:r w:rsidR="008A0F8A" w:rsidRPr="0073501F">
        <w:rPr>
          <w:rFonts w:hAnsi="標楷體" w:hint="eastAsia"/>
        </w:rPr>
        <w:t>NYDFS</w:t>
      </w:r>
      <w:r w:rsidRPr="0073501F">
        <w:rPr>
          <w:rFonts w:hAnsi="標楷體" w:hint="eastAsia"/>
        </w:rPr>
        <w:t>重罰之發生</w:t>
      </w:r>
      <w:r w:rsidR="00A4068F">
        <w:rPr>
          <w:rFonts w:hAnsi="標楷體" w:hint="eastAsia"/>
        </w:rPr>
        <w:t>？</w:t>
      </w:r>
      <w:r w:rsidRPr="0073501F">
        <w:rPr>
          <w:rFonts w:hAnsi="標楷體" w:hint="eastAsia"/>
        </w:rPr>
        <w:t>」，吳</w:t>
      </w:r>
      <w:r w:rsidR="0053227C">
        <w:rPr>
          <w:rFonts w:hAnsi="標楷體" w:hint="eastAsia"/>
        </w:rPr>
        <w:t>漢卿前總經理</w:t>
      </w:r>
      <w:r w:rsidRPr="0073501F">
        <w:rPr>
          <w:rFonts w:hAnsi="標楷體" w:hint="eastAsia"/>
        </w:rPr>
        <w:t>則稱：「應該是董事長要早點派」亦意指行政院未能及早指派董事長，係兆豐銀行未能妥適處理本案之因素之一。</w:t>
      </w:r>
      <w:bookmarkEnd w:id="181"/>
      <w:bookmarkEnd w:id="182"/>
    </w:p>
    <w:p w:rsidR="00441F49" w:rsidRPr="0073501F" w:rsidRDefault="00441F49" w:rsidP="00441F49">
      <w:pPr>
        <w:pStyle w:val="3"/>
        <w:rPr>
          <w:rFonts w:hAnsi="標楷體"/>
        </w:rPr>
      </w:pPr>
      <w:bookmarkStart w:id="183" w:name="_Toc484177971"/>
      <w:bookmarkStart w:id="184" w:name="_Toc484593520"/>
      <w:r w:rsidRPr="0073501F">
        <w:rPr>
          <w:rFonts w:hAnsi="標楷體" w:hint="eastAsia"/>
        </w:rPr>
        <w:t>行政院於106年5月16日函覆本院：「105年上半年兆豐金控獲利仍維持國內金控同業第3名，兆豐銀行獲利居國內銀行同業之首，金控及銀行業務營運正常，亦未獲目的事業主管機關金管會對吳</w:t>
      </w:r>
      <w:r w:rsidR="00876A0B">
        <w:rPr>
          <w:rFonts w:hAnsi="標楷體" w:hint="eastAsia"/>
        </w:rPr>
        <w:t>君</w:t>
      </w:r>
      <w:r w:rsidRPr="0073501F">
        <w:rPr>
          <w:rFonts w:hAnsi="標楷體" w:hint="eastAsia"/>
        </w:rPr>
        <w:t>代理董事長職務認有不妥適或要求調整之負面意見。考量</w:t>
      </w:r>
      <w:r w:rsidRPr="0073501F">
        <w:rPr>
          <w:rFonts w:hAnsi="標楷體" w:hint="eastAsia"/>
        </w:rPr>
        <w:lastRenderedPageBreak/>
        <w:t>兆豐金控及兆豐銀行設有分層負責制度，且銀行為金控主要營收及盈餘來源，於兆豐金控及兆豐銀行新任董事長人選覓得前，仍委由吳</w:t>
      </w:r>
      <w:r w:rsidR="00876A0B">
        <w:rPr>
          <w:rFonts w:hAnsi="標楷體" w:hint="eastAsia"/>
        </w:rPr>
        <w:t>君</w:t>
      </w:r>
      <w:r w:rsidRPr="0073501F">
        <w:rPr>
          <w:rFonts w:hAnsi="標楷體" w:hint="eastAsia"/>
        </w:rPr>
        <w:t>代理職務」，惟金管會因吳</w:t>
      </w:r>
      <w:r w:rsidR="0053227C">
        <w:rPr>
          <w:rFonts w:hAnsi="標楷體" w:hint="eastAsia"/>
        </w:rPr>
        <w:t>漢卿前總經理</w:t>
      </w:r>
      <w:r w:rsidRPr="0073501F">
        <w:rPr>
          <w:rFonts w:hAnsi="標楷體"/>
        </w:rPr>
        <w:t>於代理董事長期間，未積極掌握及處理</w:t>
      </w:r>
      <w:r w:rsidR="008A0F8A" w:rsidRPr="0073501F">
        <w:rPr>
          <w:rFonts w:hAnsi="標楷體"/>
        </w:rPr>
        <w:t>NYDFS</w:t>
      </w:r>
      <w:r w:rsidRPr="0073501F">
        <w:rPr>
          <w:rFonts w:hAnsi="標楷體"/>
        </w:rPr>
        <w:t>對該行回復內容之意見及後續發展，至</w:t>
      </w:r>
      <w:r w:rsidR="008A0F8A" w:rsidRPr="0073501F">
        <w:rPr>
          <w:rFonts w:hAnsi="標楷體"/>
        </w:rPr>
        <w:t>NYDFS</w:t>
      </w:r>
      <w:r w:rsidRPr="0073501F">
        <w:rPr>
          <w:rFonts w:hAnsi="標楷體"/>
        </w:rPr>
        <w:t>於105年7月底告知將處以鉅額罰款，始知悉嚴重性，未善盡代理董事長之職責。</w:t>
      </w:r>
      <w:r w:rsidRPr="0073501F">
        <w:rPr>
          <w:rFonts w:hAnsi="標楷體" w:hint="eastAsia"/>
        </w:rPr>
        <w:t>遭金管會依銀行法第61條之1第1項規定，命令兆豐銀行解除吳漢卿之總經理職務，雖吳</w:t>
      </w:r>
      <w:r w:rsidR="0053227C">
        <w:rPr>
          <w:rFonts w:hAnsi="標楷體" w:hint="eastAsia"/>
        </w:rPr>
        <w:t>漢卿前總經理</w:t>
      </w:r>
      <w:r w:rsidRPr="0073501F">
        <w:rPr>
          <w:rFonts w:hAnsi="標楷體" w:hint="eastAsia"/>
        </w:rPr>
        <w:t>未能善盡代理董事長職責無法直接歸屬其身兼4個重要職務，然吳</w:t>
      </w:r>
      <w:r w:rsidR="0053227C">
        <w:rPr>
          <w:rFonts w:hAnsi="標楷體" w:hint="eastAsia"/>
        </w:rPr>
        <w:t>漢卿前總經理</w:t>
      </w:r>
      <w:r w:rsidRPr="0073501F">
        <w:rPr>
          <w:rFonts w:hAnsi="標楷體" w:hint="eastAsia"/>
        </w:rPr>
        <w:t>遭解除總經理職務，係因未能善盡代理董事長職務，該院未能積極派任適當董事長，確有未當。</w:t>
      </w:r>
      <w:bookmarkEnd w:id="183"/>
      <w:bookmarkEnd w:id="184"/>
    </w:p>
    <w:p w:rsidR="00441F49" w:rsidRPr="0073501F" w:rsidRDefault="00441F49" w:rsidP="00441F49">
      <w:pPr>
        <w:pStyle w:val="3"/>
        <w:rPr>
          <w:rFonts w:hAnsi="標楷體"/>
        </w:rPr>
      </w:pPr>
      <w:bookmarkStart w:id="185" w:name="_Toc484177972"/>
      <w:bookmarkStart w:id="186" w:name="_Toc484593521"/>
      <w:r w:rsidRPr="0073501F">
        <w:rPr>
          <w:rFonts w:hAnsi="標楷體" w:hint="eastAsia"/>
        </w:rPr>
        <w:t>兆豐金控蔡友才前董事長於本院詢問時表示「到了104年4月財政部要提新一屆董監事名單時，已向部長表達辭職、父母年邁，母失智、父親常要送醫院，我本人健康不佳得到慢性病，不宜再有太大的管理壓力，經3家醫院檢查結果，均建議我要離開現職。從104年4月提過後，5月跟部長去亞銀開會時也提，6月去APEC參加部長會議也提，講最多是10月輸出入銀行曼谷代表辦事處開幕時與部長在不同場合時，只要有同車每次都再提，大選前部長顧慮外界不良觀感，建議選後再說，選舉完，因為要內閣總辭，我1月18日早上送書面辭呈。我一年多以前已開始提辭職，因為我擔任大型銀行董事長，工作負荷、人員管理、績效等壓力很大。依公股小組規定總經理代理不能超過3個月，所以最後才決定於105年3月31日離職。」，另據本院詢問財政部張盛和前部長亦稱：「104年5月他與我一同去亞塞拜然他就提出要請辭，因為父母年邁及他有身體健康因素，但我</w:t>
      </w:r>
      <w:r w:rsidRPr="0073501F">
        <w:rPr>
          <w:rFonts w:hAnsi="標楷體" w:hint="eastAsia"/>
        </w:rPr>
        <w:lastRenderedPageBreak/>
        <w:t>沒有同意。104年9月請辭，我也不准，後來他說上市公司董事長請辭不須部長批准，只須董事會通過即可，3月29日才准他請辭」，再據本院調閱臺北地檢署及金管會之詢問筆錄蔡</w:t>
      </w:r>
      <w:r w:rsidR="0053227C">
        <w:rPr>
          <w:rFonts w:hAnsi="標楷體" w:hint="eastAsia"/>
        </w:rPr>
        <w:t>友才前董事長</w:t>
      </w:r>
      <w:r w:rsidRPr="0073501F">
        <w:rPr>
          <w:rFonts w:hAnsi="標楷體" w:hint="eastAsia"/>
        </w:rPr>
        <w:t>均有類似表示，顯示104年4、5月間，其即因個人因素表示請辭，然並未獲同意，惟自104年10月起，蔡</w:t>
      </w:r>
      <w:r w:rsidR="0053227C">
        <w:rPr>
          <w:rFonts w:hAnsi="標楷體" w:hint="eastAsia"/>
        </w:rPr>
        <w:t>友才前董事長</w:t>
      </w:r>
      <w:r w:rsidRPr="0073501F">
        <w:rPr>
          <w:rFonts w:hAnsi="標楷體" w:hint="eastAsia"/>
        </w:rPr>
        <w:t>已私下招募資金籌設成立私募基金公司</w:t>
      </w:r>
      <w:r w:rsidRPr="0073501F">
        <w:rPr>
          <w:rStyle w:val="afc"/>
          <w:rFonts w:hAnsi="標楷體"/>
        </w:rPr>
        <w:footnoteReference w:id="41"/>
      </w:r>
      <w:r w:rsidRPr="0073501F">
        <w:rPr>
          <w:rFonts w:hAnsi="標楷體" w:hint="eastAsia"/>
        </w:rPr>
        <w:t>，顯見，蔡</w:t>
      </w:r>
      <w:r w:rsidR="0053227C">
        <w:rPr>
          <w:rFonts w:hAnsi="標楷體" w:hint="eastAsia"/>
        </w:rPr>
        <w:t>友才前董事長</w:t>
      </w:r>
      <w:r w:rsidRPr="0073501F">
        <w:rPr>
          <w:rFonts w:hAnsi="標楷體" w:hint="eastAsia"/>
        </w:rPr>
        <w:t>確有辭去兆豐金控暨銀行董事長之意圖。</w:t>
      </w:r>
      <w:bookmarkEnd w:id="185"/>
      <w:bookmarkEnd w:id="186"/>
    </w:p>
    <w:p w:rsidR="00441F49" w:rsidRPr="0073501F" w:rsidRDefault="00441F49" w:rsidP="00441F49">
      <w:pPr>
        <w:pStyle w:val="3"/>
        <w:rPr>
          <w:rFonts w:hAnsi="標楷體"/>
        </w:rPr>
      </w:pPr>
      <w:bookmarkStart w:id="187" w:name="_Toc484177973"/>
      <w:bookmarkStart w:id="188" w:name="_Toc484593522"/>
      <w:r w:rsidRPr="0073501F">
        <w:rPr>
          <w:rFonts w:hAnsi="標楷體" w:hint="eastAsia"/>
        </w:rPr>
        <w:t>依「財政部組織法」第2條規定，財政部掌理業務包括國庫業務。而「公股股權之管理」即屬國庫業務之一。且「財政部派任公民營事業機構負責人經理人董監事管理要點」第4點：「第2點第1款及第2款所定事業機構本部股權代表董、監事之核派，與第2點第3款及第4款所定事業機構董、監事之薦派，應符合下列規定</w:t>
      </w:r>
      <w:r w:rsidRPr="0073501F">
        <w:rPr>
          <w:rFonts w:hAnsi="標楷體"/>
        </w:rPr>
        <w:t>……</w:t>
      </w:r>
      <w:r w:rsidRPr="0073501F">
        <w:rPr>
          <w:rFonts w:hAnsi="標楷體" w:hint="eastAsia"/>
        </w:rPr>
        <w:t>」第11點「本部、本部所投資事業機構或其轉投資事業機構派兼之各事業董、監事係代表本部、本部所投資事業機構或其轉投資事業機構行使職權，董、監事對於擔負之職務應負責盡職，並遵守相關法令及本要點之規定，維護公股權益、積極出席會議，參與公司決策」顯見，財政部為所屬公股金融事業之股權管理機關，主要係基於股東身分，辦理股權所衍生之董事會席次、董監事核派、負責人選任、經理人遴聘及公股代表績效考核等事項，雖財政部並無實質介入公股事業業務之經營與運作，然可透過負責人、經理人善盡業務審核與督導責任，確保公股權益。蔡友才前董事長已多次請辭，且確有辭意，然該部均一再慰留未准辭，致發</w:t>
      </w:r>
      <w:r w:rsidRPr="0073501F">
        <w:rPr>
          <w:rFonts w:hAnsi="標楷體" w:hint="eastAsia"/>
        </w:rPr>
        <w:lastRenderedPageBreak/>
        <w:t>生後續未將其認定之重要事項向財政部彙報(詳調查意見三重大事項之彙報)情事；另本案兆豐金控及銀行董事長核定雖非財政部權限，然該部公股管理，且已知悉董事長綜理兆豐金控集團業務，擘劃發展策略，為該等金融事業最關鍵之掌舵者，且須具備金融及銀行專業知識、經營金控公司及銀行之能力，本屬工作複雜且責任沉重之職務，然該部竟讓前總經理吳漢卿同時擔任金控暨銀行董事長及總經理4個重要職務近5個月，而未能及時提出建議，由行政院核定適任人選，反而於105年7月15日由部長簽請行政院同意由吳</w:t>
      </w:r>
      <w:r w:rsidR="0053227C">
        <w:rPr>
          <w:rFonts w:hAnsi="標楷體" w:hint="eastAsia"/>
        </w:rPr>
        <w:t>漢卿前總經理</w:t>
      </w:r>
      <w:r w:rsidRPr="0073501F">
        <w:rPr>
          <w:rFonts w:hAnsi="標楷體" w:hint="eastAsia"/>
        </w:rPr>
        <w:t>繼續代理董事長，身兼4個重要職務，核有未妥。</w:t>
      </w:r>
      <w:bookmarkEnd w:id="187"/>
      <w:bookmarkEnd w:id="188"/>
    </w:p>
    <w:p w:rsidR="00441F49" w:rsidRPr="0073501F" w:rsidRDefault="00441F49" w:rsidP="00441F49">
      <w:pPr>
        <w:pStyle w:val="3"/>
        <w:rPr>
          <w:rFonts w:hAnsi="標楷體"/>
        </w:rPr>
      </w:pPr>
      <w:bookmarkStart w:id="189" w:name="_Toc484177974"/>
      <w:bookmarkStart w:id="190" w:name="_Toc484593523"/>
      <w:r w:rsidRPr="0073501F">
        <w:rPr>
          <w:rFonts w:hAnsi="標楷體" w:hint="eastAsia"/>
        </w:rPr>
        <w:t>綜上，兆豐金控公司暨兆豐銀行之董事長及總經理均由行政院核定，該院明知該金控擁有控制性持股之投資事業，包括銀行等8家子公司，涉及金融相關領域廣泛，董事長綜理集團業務，擘劃發展策略，為最關鍵之掌舵者，且最大子公司兆豐銀行亦為資產總額近3兆，業界排名第2之重要銀行，然行政院竟讓該金控及銀行董事長懸缺近5個月，由總經理代理，致其同時身兼4個重要職務。後又因總經理未善盡代理董事長之職責，遭金管會命令兆豐銀行解除其總經理職務。核行政院未能積極指派兆豐金控公司暨兆豐銀行之董事長，致其懸缺達近5個月之久，顯有未當。</w:t>
      </w:r>
      <w:bookmarkEnd w:id="189"/>
      <w:bookmarkEnd w:id="190"/>
    </w:p>
    <w:p w:rsidR="00673233" w:rsidRPr="0073501F" w:rsidRDefault="00673233" w:rsidP="00673233">
      <w:pPr>
        <w:pStyle w:val="2"/>
        <w:rPr>
          <w:rFonts w:hAnsi="標楷體"/>
          <w:b/>
        </w:rPr>
      </w:pPr>
      <w:bookmarkStart w:id="191" w:name="_Toc484177975"/>
      <w:bookmarkStart w:id="192" w:name="_Toc484593524"/>
      <w:bookmarkEnd w:id="108"/>
      <w:r w:rsidRPr="0073501F">
        <w:rPr>
          <w:rFonts w:hAnsi="標楷體" w:hint="eastAsia"/>
          <w:b/>
          <w:szCs w:val="32"/>
        </w:rPr>
        <w:t>財政部對派任之公股民營事業股權代表董監事，雖訂定考評指標，每年定期</w:t>
      </w:r>
      <w:r w:rsidRPr="0073501F">
        <w:rPr>
          <w:rFonts w:hAnsi="標楷體" w:hint="eastAsia"/>
          <w:b/>
          <w:szCs w:val="36"/>
        </w:rPr>
        <w:t>績效</w:t>
      </w:r>
      <w:r w:rsidRPr="0073501F">
        <w:rPr>
          <w:rFonts w:hAnsi="標楷體" w:hint="eastAsia"/>
          <w:b/>
          <w:szCs w:val="32"/>
        </w:rPr>
        <w:t>考核，檢討其適任性；對公股民營事業董事長及總經理，每半年另進行經營績效評鑑，檢視其營運成果及配合政府政策目標達成度，建立相關課責機制，惟過去考核較重視形式及業績(獲利)，如出席率、報表之提供、經營成果等，確</w:t>
      </w:r>
      <w:r w:rsidRPr="0073501F">
        <w:rPr>
          <w:rFonts w:hAnsi="標楷體" w:hint="eastAsia"/>
          <w:b/>
          <w:szCs w:val="32"/>
        </w:rPr>
        <w:lastRenderedPageBreak/>
        <w:t>有欠妥。</w:t>
      </w:r>
      <w:bookmarkEnd w:id="191"/>
      <w:bookmarkEnd w:id="192"/>
    </w:p>
    <w:p w:rsidR="00673233" w:rsidRPr="0073501F" w:rsidRDefault="00407DAE" w:rsidP="00673233">
      <w:pPr>
        <w:pStyle w:val="3"/>
        <w:rPr>
          <w:rFonts w:hAnsi="標楷體"/>
          <w:szCs w:val="32"/>
        </w:rPr>
      </w:pPr>
      <w:hyperlink r:id="rId13" w:history="1">
        <w:bookmarkStart w:id="193" w:name="_Toc484177976"/>
        <w:bookmarkStart w:id="194" w:name="_Toc484593525"/>
        <w:r w:rsidR="00673233" w:rsidRPr="0073501F">
          <w:rPr>
            <w:rFonts w:hAnsi="標楷體" w:hint="eastAsia"/>
            <w:szCs w:val="48"/>
          </w:rPr>
          <w:t>財政部派任公民營事業</w:t>
        </w:r>
        <w:r w:rsidR="00673233" w:rsidRPr="0073501F">
          <w:rPr>
            <w:rFonts w:hAnsi="標楷體" w:hint="eastAsia"/>
          </w:rPr>
          <w:t>機構負責人經理人董監事管理要點</w:t>
        </w:r>
      </w:hyperlink>
      <w:r w:rsidR="00673233" w:rsidRPr="0073501F">
        <w:rPr>
          <w:rFonts w:hAnsi="標楷體" w:hint="eastAsia"/>
        </w:rPr>
        <w:t>(101年9月11日)之相關規定如下：</w:t>
      </w:r>
      <w:bookmarkEnd w:id="193"/>
      <w:bookmarkEnd w:id="194"/>
    </w:p>
    <w:p w:rsidR="00673233" w:rsidRPr="0073501F" w:rsidRDefault="00673233" w:rsidP="00673233">
      <w:pPr>
        <w:pStyle w:val="4"/>
        <w:rPr>
          <w:rFonts w:hAnsi="標楷體"/>
          <w:szCs w:val="32"/>
        </w:rPr>
      </w:pPr>
      <w:r w:rsidRPr="0073501F">
        <w:rPr>
          <w:rFonts w:hAnsi="標楷體" w:hint="eastAsia"/>
        </w:rPr>
        <w:t>第19點規定：「擔任第2點第1款及第2款事業機構本部股權代表董、監事……其考核項目如下：董事長／執行長／總經理部分：1.出席董事會議之次數。2.對事業機構之經營結果（營運目標達成及成長情形，包括年營業額、每股盈餘、股東權益報酬率、資產報酬率、員工生產力等項）。3.配合政府政策，推動事業機構達成政策目標情形。4.對公司經營遵循法規情形。5.其他具體事蹟。」</w:t>
      </w:r>
    </w:p>
    <w:p w:rsidR="00673233" w:rsidRPr="0073501F" w:rsidRDefault="00673233" w:rsidP="00673233">
      <w:pPr>
        <w:pStyle w:val="4"/>
        <w:rPr>
          <w:rFonts w:hAnsi="標楷體"/>
          <w:szCs w:val="32"/>
        </w:rPr>
      </w:pPr>
      <w:r w:rsidRPr="0073501F">
        <w:rPr>
          <w:rFonts w:hAnsi="標楷體" w:hint="eastAsia"/>
        </w:rPr>
        <w:t>第20點規定：「本部核派之負責人、執行長、總經理、董、監事應於年度結束後2個月內分別依附表5</w:t>
      </w:r>
      <w:r w:rsidRPr="0073501F">
        <w:rPr>
          <w:rStyle w:val="afc"/>
          <w:rFonts w:hAnsi="標楷體"/>
        </w:rPr>
        <w:footnoteReference w:id="42"/>
      </w:r>
      <w:r w:rsidRPr="0073501F">
        <w:rPr>
          <w:rFonts w:hAnsi="標楷體" w:hint="eastAsia"/>
        </w:rPr>
        <w:t>、附表6</w:t>
      </w:r>
      <w:r w:rsidRPr="0073501F">
        <w:rPr>
          <w:rStyle w:val="afc"/>
          <w:rFonts w:hAnsi="標楷體"/>
        </w:rPr>
        <w:footnoteReference w:id="43"/>
      </w:r>
      <w:r w:rsidRPr="0073501F">
        <w:rPr>
          <w:rFonts w:hAnsi="標楷體" w:hint="eastAsia"/>
        </w:rPr>
        <w:t>、附表7</w:t>
      </w:r>
      <w:r w:rsidRPr="0073501F">
        <w:rPr>
          <w:rStyle w:val="afc"/>
          <w:rFonts w:hAnsi="標楷體"/>
        </w:rPr>
        <w:footnoteReference w:id="44"/>
      </w:r>
      <w:r w:rsidRPr="0073501F">
        <w:rPr>
          <w:rFonts w:hAnsi="標楷體" w:hint="eastAsia"/>
        </w:rPr>
        <w:t>辦理自評，由聯絡人彙報本部辦理複核。」</w:t>
      </w:r>
    </w:p>
    <w:p w:rsidR="00673233" w:rsidRPr="0073501F" w:rsidRDefault="00673233" w:rsidP="00673233">
      <w:pPr>
        <w:pStyle w:val="4"/>
        <w:rPr>
          <w:rFonts w:hAnsi="標楷體"/>
          <w:szCs w:val="32"/>
        </w:rPr>
      </w:pPr>
      <w:r w:rsidRPr="0073501F">
        <w:rPr>
          <w:rFonts w:hAnsi="標楷體" w:hint="eastAsia"/>
        </w:rPr>
        <w:t>第22點第2項規定：「本部持股之民營事業對於其派任投資事業機構之負責人、經理人或董、監事之遴聘、管理及考核，應由各事業另訂規定，或比照本要點辦理。」</w:t>
      </w:r>
    </w:p>
    <w:p w:rsidR="00673233" w:rsidRPr="0073501F" w:rsidRDefault="00673233" w:rsidP="00673233">
      <w:pPr>
        <w:pStyle w:val="3"/>
        <w:rPr>
          <w:rFonts w:hAnsi="標楷體"/>
        </w:rPr>
      </w:pPr>
      <w:bookmarkStart w:id="195" w:name="_Toc484177977"/>
      <w:bookmarkStart w:id="196" w:name="_Toc484593526"/>
      <w:r w:rsidRPr="0073501F">
        <w:rPr>
          <w:rFonts w:hAnsi="標楷體"/>
        </w:rPr>
        <w:t>依</w:t>
      </w:r>
      <w:r w:rsidRPr="0073501F">
        <w:rPr>
          <w:rFonts w:hAnsi="標楷體" w:hint="eastAsia"/>
        </w:rPr>
        <w:t>上揭派任</w:t>
      </w:r>
      <w:r w:rsidRPr="0073501F">
        <w:rPr>
          <w:rFonts w:hAnsi="標楷體"/>
        </w:rPr>
        <w:t>管理要點規定，</w:t>
      </w:r>
      <w:r w:rsidRPr="0073501F">
        <w:rPr>
          <w:rFonts w:hAnsi="標楷體" w:hint="eastAsia"/>
        </w:rPr>
        <w:t>財政</w:t>
      </w:r>
      <w:r w:rsidRPr="0073501F">
        <w:rPr>
          <w:rFonts w:hAnsi="標楷體"/>
        </w:rPr>
        <w:t>部</w:t>
      </w:r>
      <w:r w:rsidRPr="0073501F">
        <w:rPr>
          <w:rFonts w:hAnsi="標楷體" w:hint="eastAsia"/>
        </w:rPr>
        <w:t>核</w:t>
      </w:r>
      <w:r w:rsidRPr="0073501F">
        <w:rPr>
          <w:rFonts w:hAnsi="標楷體"/>
        </w:rPr>
        <w:t>派之</w:t>
      </w:r>
      <w:r w:rsidRPr="0073501F">
        <w:rPr>
          <w:rFonts w:hAnsi="標楷體" w:hint="eastAsia"/>
        </w:rPr>
        <w:t>公股民營事業負責人</w:t>
      </w:r>
      <w:r w:rsidRPr="0073501F">
        <w:rPr>
          <w:rFonts w:hAnsi="標楷體"/>
        </w:rPr>
        <w:t>、總經理、董監事</w:t>
      </w:r>
      <w:r w:rsidRPr="0073501F">
        <w:rPr>
          <w:rFonts w:hAnsi="標楷體" w:hint="eastAsia"/>
        </w:rPr>
        <w:t>，應</w:t>
      </w:r>
      <w:r w:rsidRPr="0073501F">
        <w:rPr>
          <w:rFonts w:hAnsi="標楷體"/>
        </w:rPr>
        <w:t>於年度結束後</w:t>
      </w:r>
      <w:r w:rsidRPr="0073501F">
        <w:rPr>
          <w:rFonts w:hAnsi="標楷體" w:hint="eastAsia"/>
        </w:rPr>
        <w:t>2</w:t>
      </w:r>
      <w:r w:rsidRPr="0073501F">
        <w:rPr>
          <w:rFonts w:hAnsi="標楷體"/>
        </w:rPr>
        <w:t>個月內辦理自評，</w:t>
      </w:r>
      <w:r w:rsidRPr="0073501F">
        <w:rPr>
          <w:rFonts w:hAnsi="標楷體" w:hint="eastAsia"/>
        </w:rPr>
        <w:t>就親自出（列）席董事會或監察人會情形、對事業機構之經營成果、配合政府政策達成目標情形、</w:t>
      </w:r>
      <w:r w:rsidRPr="0073501F">
        <w:rPr>
          <w:rFonts w:hAnsi="標楷體" w:cs="標楷體" w:hint="eastAsia"/>
          <w:kern w:val="0"/>
          <w:lang w:val="zh-TW"/>
        </w:rPr>
        <w:t>對事業機構之參與度及貢獻度</w:t>
      </w:r>
      <w:r w:rsidRPr="0073501F">
        <w:rPr>
          <w:rFonts w:hAnsi="標楷體" w:hint="eastAsia"/>
        </w:rPr>
        <w:t>等不同面向予以考核，</w:t>
      </w:r>
      <w:r w:rsidRPr="0073501F">
        <w:rPr>
          <w:rFonts w:hAnsi="標楷體"/>
        </w:rPr>
        <w:t>由</w:t>
      </w:r>
      <w:r w:rsidRPr="0073501F">
        <w:rPr>
          <w:rFonts w:hAnsi="標楷體" w:hint="eastAsia"/>
        </w:rPr>
        <w:t>財政</w:t>
      </w:r>
      <w:r w:rsidRPr="0073501F">
        <w:rPr>
          <w:rFonts w:hAnsi="標楷體"/>
        </w:rPr>
        <w:t>部辦理複核</w:t>
      </w:r>
      <w:r w:rsidRPr="0073501F">
        <w:rPr>
          <w:rFonts w:hAnsi="標楷體" w:hint="eastAsia"/>
        </w:rPr>
        <w:t>，其</w:t>
      </w:r>
      <w:r w:rsidRPr="0073501F">
        <w:rPr>
          <w:rFonts w:hAnsi="標楷體"/>
        </w:rPr>
        <w:t>考核結果將作為繼續遴派之重要參考。</w:t>
      </w:r>
      <w:r w:rsidRPr="0073501F">
        <w:rPr>
          <w:rFonts w:hAnsi="標楷體" w:hint="eastAsia"/>
        </w:rPr>
        <w:t>至財政部投資之民營事</w:t>
      </w:r>
      <w:r w:rsidRPr="0073501F">
        <w:rPr>
          <w:rFonts w:hAnsi="標楷體" w:hint="eastAsia"/>
        </w:rPr>
        <w:lastRenderedPageBreak/>
        <w:t>業機構，其再轉投資事業股權代表績效考核事宜，子公司以下董監事尚非財政部股權代表，爰由各公股民營事業機構本於權責及公司治理原則，並依派任管理要點第22點第2項規定，由</w:t>
      </w:r>
      <w:r w:rsidRPr="00542F82">
        <w:rPr>
          <w:rFonts w:hAnsi="標楷體" w:hint="eastAsia"/>
        </w:rPr>
        <w:t>各事業另</w:t>
      </w:r>
      <w:r w:rsidR="006E06C8" w:rsidRPr="00542F82">
        <w:rPr>
          <w:rFonts w:hAnsi="標楷體" w:hint="eastAsia"/>
        </w:rPr>
        <w:t>定</w:t>
      </w:r>
      <w:r w:rsidRPr="00542F82">
        <w:rPr>
          <w:rFonts w:hAnsi="標楷體" w:hint="eastAsia"/>
        </w:rPr>
        <w:t>規定</w:t>
      </w:r>
      <w:r w:rsidRPr="0073501F">
        <w:rPr>
          <w:rFonts w:hAnsi="標楷體" w:hint="eastAsia"/>
        </w:rPr>
        <w:t>，或比照派任管理</w:t>
      </w:r>
      <w:r w:rsidRPr="0073501F">
        <w:rPr>
          <w:rFonts w:hAnsi="標楷體"/>
        </w:rPr>
        <w:t>要點辦理</w:t>
      </w:r>
      <w:r w:rsidRPr="0073501F">
        <w:rPr>
          <w:rFonts w:hAnsi="標楷體" w:hint="eastAsia"/>
        </w:rPr>
        <w:t>考核。</w:t>
      </w:r>
      <w:bookmarkEnd w:id="195"/>
      <w:bookmarkEnd w:id="196"/>
    </w:p>
    <w:p w:rsidR="00673233" w:rsidRPr="0073501F" w:rsidRDefault="00407DAE" w:rsidP="00673233">
      <w:pPr>
        <w:pStyle w:val="3"/>
        <w:rPr>
          <w:rFonts w:hAnsi="標楷體"/>
          <w:bCs w:val="0"/>
          <w:szCs w:val="32"/>
        </w:rPr>
      </w:pPr>
      <w:hyperlink r:id="rId14" w:history="1">
        <w:bookmarkStart w:id="197" w:name="_Toc484177978"/>
        <w:bookmarkStart w:id="198" w:name="_Toc484593527"/>
        <w:r w:rsidR="00673233" w:rsidRPr="0073501F">
          <w:rPr>
            <w:rFonts w:hAnsi="標楷體" w:hint="eastAsia"/>
          </w:rPr>
          <w:t>財政部所屬公股事業負責人績效評鑑實施要點</w:t>
        </w:r>
      </w:hyperlink>
      <w:r w:rsidR="00673233" w:rsidRPr="0073501F">
        <w:rPr>
          <w:rFonts w:hAnsi="標楷體" w:hint="eastAsia"/>
        </w:rPr>
        <w:t>(102 年3月22日修正發布)之相關規定如下：</w:t>
      </w:r>
      <w:bookmarkEnd w:id="197"/>
      <w:bookmarkEnd w:id="198"/>
    </w:p>
    <w:p w:rsidR="00673233" w:rsidRPr="0073501F" w:rsidRDefault="00673233" w:rsidP="00673233">
      <w:pPr>
        <w:pStyle w:val="4"/>
        <w:rPr>
          <w:rFonts w:hAnsi="標楷體"/>
          <w:bCs/>
          <w:szCs w:val="32"/>
        </w:rPr>
      </w:pPr>
      <w:r w:rsidRPr="0073501F">
        <w:rPr>
          <w:rFonts w:hAnsi="標楷體" w:hint="eastAsia"/>
        </w:rPr>
        <w:t>第3點規定：「本要點適用範圍如下：……(二)本部派任之民營事業負責人，如……兆豐金融控股股份有限公司……(三)由前開各款事業派任之直接或間接投資之轉投資事業負責人經營績效，由指派之事業準用本要點規定自行辦理評鑑。」</w:t>
      </w:r>
    </w:p>
    <w:p w:rsidR="00673233" w:rsidRPr="0073501F" w:rsidRDefault="00673233" w:rsidP="00673233">
      <w:pPr>
        <w:pStyle w:val="4"/>
        <w:rPr>
          <w:rFonts w:hAnsi="標楷體"/>
          <w:bCs/>
          <w:szCs w:val="32"/>
        </w:rPr>
      </w:pPr>
      <w:r w:rsidRPr="0073501F">
        <w:rPr>
          <w:rFonts w:hAnsi="標楷體" w:hint="eastAsia"/>
        </w:rPr>
        <w:t>第4點規定：「本部所屬公股事業負責人應評鑑項目及配分如下：（一）出席董事會議情形（配分10分）（二）對事業機構之經營成果（配分64分）（三）配合政府政策，達成政策目標情形（配分20分）（四）其他具體優良事蹟（配分6分）（五）其他不佳事項（按件扣分）。」</w:t>
      </w:r>
    </w:p>
    <w:p w:rsidR="00673233" w:rsidRPr="0073501F" w:rsidRDefault="00673233" w:rsidP="00673233">
      <w:pPr>
        <w:pStyle w:val="4"/>
        <w:rPr>
          <w:rFonts w:hAnsi="標楷體"/>
          <w:bCs/>
          <w:szCs w:val="32"/>
        </w:rPr>
      </w:pPr>
      <w:r w:rsidRPr="0073501F">
        <w:rPr>
          <w:rFonts w:hAnsi="標楷體" w:hint="eastAsia"/>
        </w:rPr>
        <w:t>第5點規定：「本部派任所屬公股事業負責人應每半年依後附績效評鑑表辦理自評，並於每年1月10日及7月10日前，函報本部複評。」</w:t>
      </w:r>
    </w:p>
    <w:p w:rsidR="00673233" w:rsidRPr="0073501F" w:rsidRDefault="00673233" w:rsidP="00673233">
      <w:pPr>
        <w:pStyle w:val="4"/>
        <w:rPr>
          <w:rFonts w:hAnsi="標楷體"/>
          <w:bCs/>
          <w:szCs w:val="32"/>
        </w:rPr>
      </w:pPr>
      <w:r w:rsidRPr="0073501F">
        <w:rPr>
          <w:rFonts w:hAnsi="標楷體" w:hint="eastAsia"/>
          <w:bCs/>
          <w:szCs w:val="32"/>
        </w:rPr>
        <w:t>第</w:t>
      </w:r>
      <w:r w:rsidRPr="0073501F">
        <w:rPr>
          <w:rFonts w:hAnsi="標楷體" w:hint="eastAsia"/>
        </w:rPr>
        <w:t>6</w:t>
      </w:r>
      <w:r w:rsidRPr="0073501F">
        <w:rPr>
          <w:rFonts w:hAnsi="標楷體" w:hint="eastAsia"/>
          <w:bCs/>
          <w:szCs w:val="32"/>
        </w:rPr>
        <w:t>點規定：「</w:t>
      </w:r>
      <w:r w:rsidRPr="0073501F">
        <w:rPr>
          <w:rFonts w:hAnsi="標楷體" w:hint="eastAsia"/>
        </w:rPr>
        <w:t>本部派任所屬公股事業負責人應每半年擬具次半年之『配合政府政策項目及達成目標計畫』，並於每年6月20日及12月20日前，函報本部複審。</w:t>
      </w:r>
      <w:r w:rsidRPr="0073501F">
        <w:rPr>
          <w:rFonts w:hAnsi="標楷體" w:hint="eastAsia"/>
          <w:bCs/>
          <w:szCs w:val="32"/>
        </w:rPr>
        <w:t>」</w:t>
      </w:r>
    </w:p>
    <w:p w:rsidR="00673233" w:rsidRPr="0073501F" w:rsidRDefault="00673233" w:rsidP="00673233">
      <w:pPr>
        <w:pStyle w:val="4"/>
        <w:rPr>
          <w:rFonts w:hAnsi="標楷體"/>
          <w:bCs/>
          <w:szCs w:val="32"/>
        </w:rPr>
      </w:pPr>
      <w:r w:rsidRPr="0073501F">
        <w:rPr>
          <w:rFonts w:hAnsi="標楷體" w:hint="eastAsia"/>
        </w:rPr>
        <w:t>第7點規定：「評鑑結果，將作為本部繼續遴派之重要參考，如有總分未達80分者，應以書面通知該事業公股負責人提報改進措施，並逐季於本部召開之公股業務研討會議中報告辦理情形，直至評鑑結果達80分並報請部長同意後，始得解除列</w:t>
      </w:r>
      <w:r w:rsidRPr="0073501F">
        <w:rPr>
          <w:rFonts w:hAnsi="標楷體" w:hint="eastAsia"/>
        </w:rPr>
        <w:lastRenderedPageBreak/>
        <w:t>管。」</w:t>
      </w:r>
    </w:p>
    <w:p w:rsidR="00673233" w:rsidRPr="0073501F" w:rsidRDefault="00673233" w:rsidP="00673233">
      <w:pPr>
        <w:pStyle w:val="4"/>
        <w:rPr>
          <w:rFonts w:hAnsi="標楷體"/>
          <w:bCs/>
          <w:szCs w:val="32"/>
        </w:rPr>
      </w:pPr>
      <w:r w:rsidRPr="0073501F">
        <w:rPr>
          <w:rFonts w:hAnsi="標楷體" w:hint="eastAsia"/>
        </w:rPr>
        <w:t>第9點規定：「前開經營績效不佳公股事業，如屬民營事業，其連續兩次評鑑結果未達80分，得報請部長核定，函請各該事業公股代表負責人，提案各該公司董事會決議，予以相關人員刪減績效獎金處分。」</w:t>
      </w:r>
    </w:p>
    <w:p w:rsidR="00673233" w:rsidRPr="0073501F" w:rsidRDefault="00673233" w:rsidP="00673233">
      <w:pPr>
        <w:pStyle w:val="4"/>
        <w:rPr>
          <w:rFonts w:hAnsi="標楷體"/>
          <w:bCs/>
          <w:szCs w:val="32"/>
        </w:rPr>
      </w:pPr>
      <w:r w:rsidRPr="0073501F">
        <w:rPr>
          <w:rFonts w:hAnsi="標楷體" w:hint="eastAsia"/>
        </w:rPr>
        <w:t>第12條規定：「績效評鑑表中『其他不佳事項』乙項，以評鑑期間，發生下列事項者，本部得依情節輕重，酌予扣分：（一）怠忽職守事項，如未依限完成本部交辦案件；未依限提報自評表；未依限提報『配合政府政策項目及達成目標計畫』；未提報聯絡人任務報告表；未提報董監事出席紀錄表等。（二）因經營管理不當所衍生事項，如工會或員工罷工、陳情案件；顧客陳情案件；民意代表質詢案件；遭受主管機關重大處分案件等。（三）其他不佳事項，如無故不出席立法院會議；無故不出席財政部會議。」</w:t>
      </w:r>
    </w:p>
    <w:p w:rsidR="00673233" w:rsidRPr="0073501F" w:rsidRDefault="00673233" w:rsidP="00673233">
      <w:pPr>
        <w:pStyle w:val="3"/>
      </w:pPr>
      <w:bookmarkStart w:id="199" w:name="_Toc484177979"/>
      <w:bookmarkStart w:id="200" w:name="_Toc484593528"/>
      <w:r w:rsidRPr="0073501F">
        <w:rPr>
          <w:rFonts w:hint="eastAsia"/>
        </w:rPr>
        <w:t>依上揭</w:t>
      </w:r>
      <w:r w:rsidRPr="0073501F">
        <w:rPr>
          <w:rFonts w:hint="eastAsia"/>
          <w:szCs w:val="32"/>
        </w:rPr>
        <w:t>績效評鑑實施要點</w:t>
      </w:r>
      <w:r w:rsidRPr="0073501F">
        <w:rPr>
          <w:rFonts w:hint="eastAsia"/>
        </w:rPr>
        <w:t>第</w:t>
      </w:r>
      <w:r w:rsidRPr="0073501F">
        <w:t>5</w:t>
      </w:r>
      <w:r w:rsidRPr="0073501F">
        <w:rPr>
          <w:rFonts w:hint="eastAsia"/>
        </w:rPr>
        <w:t>點規定，財政部對於派任公股事業之負責人（董事長、總經理），責成該等人員應每半年依績效評鑑表辦理自評，並於每年</w:t>
      </w:r>
      <w:r w:rsidRPr="0073501F">
        <w:t>1</w:t>
      </w:r>
      <w:r w:rsidRPr="0073501F">
        <w:rPr>
          <w:rFonts w:hint="eastAsia"/>
        </w:rPr>
        <w:t>月</w:t>
      </w:r>
      <w:r w:rsidRPr="0073501F">
        <w:t>10</w:t>
      </w:r>
      <w:r w:rsidRPr="0073501F">
        <w:rPr>
          <w:rFonts w:hint="eastAsia"/>
        </w:rPr>
        <w:t>日及</w:t>
      </w:r>
      <w:r w:rsidRPr="0073501F">
        <w:t>7</w:t>
      </w:r>
      <w:r w:rsidRPr="0073501F">
        <w:rPr>
          <w:rFonts w:hint="eastAsia"/>
        </w:rPr>
        <w:t>月</w:t>
      </w:r>
      <w:r w:rsidRPr="0073501F">
        <w:t>10</w:t>
      </w:r>
      <w:r w:rsidRPr="0073501F">
        <w:rPr>
          <w:rFonts w:hint="eastAsia"/>
        </w:rPr>
        <w:t>日前，函報財政部複評。又該要點第</w:t>
      </w:r>
      <w:r w:rsidRPr="0073501F">
        <w:t>6</w:t>
      </w:r>
      <w:r w:rsidRPr="0073501F">
        <w:rPr>
          <w:rFonts w:hint="eastAsia"/>
        </w:rPr>
        <w:t>點規定，上開公股事業負責人尚應每半年擬具次半年之「配合政府政策項目及達成目標計畫」，並於每年</w:t>
      </w:r>
      <w:r w:rsidRPr="0073501F">
        <w:t>6</w:t>
      </w:r>
      <w:r w:rsidRPr="0073501F">
        <w:rPr>
          <w:rFonts w:hint="eastAsia"/>
        </w:rPr>
        <w:t>月</w:t>
      </w:r>
      <w:r w:rsidRPr="0073501F">
        <w:t>20</w:t>
      </w:r>
      <w:r w:rsidRPr="0073501F">
        <w:rPr>
          <w:rFonts w:hint="eastAsia"/>
        </w:rPr>
        <w:t>日及</w:t>
      </w:r>
      <w:r w:rsidRPr="0073501F">
        <w:t>12</w:t>
      </w:r>
      <w:r w:rsidRPr="0073501F">
        <w:rPr>
          <w:rFonts w:hint="eastAsia"/>
        </w:rPr>
        <w:t>月</w:t>
      </w:r>
      <w:r w:rsidRPr="0073501F">
        <w:t>20</w:t>
      </w:r>
      <w:r w:rsidRPr="0073501F">
        <w:rPr>
          <w:rFonts w:hint="eastAsia"/>
        </w:rPr>
        <w:t>日前函報財政部複審。財政部持股之公股民營事業機構，其派任直接或間接轉投資事業機構負責人及總經理之經營績效評鑑事宜，由指派之事業機構準用上開評鑑實施要點自行辦理。</w:t>
      </w:r>
      <w:bookmarkEnd w:id="199"/>
      <w:bookmarkEnd w:id="200"/>
    </w:p>
    <w:p w:rsidR="00673233" w:rsidRPr="0073501F" w:rsidRDefault="00673233" w:rsidP="00673233">
      <w:pPr>
        <w:pStyle w:val="3"/>
        <w:rPr>
          <w:rFonts w:hAnsi="標楷體"/>
        </w:rPr>
      </w:pPr>
      <w:bookmarkStart w:id="201" w:name="_Toc484177980"/>
      <w:bookmarkStart w:id="202" w:name="_Toc484593529"/>
      <w:r w:rsidRPr="0073501F">
        <w:rPr>
          <w:rFonts w:hAnsi="標楷體" w:hint="eastAsia"/>
        </w:rPr>
        <w:t>有關財政部對派任公民營事業董事長及總經理之考核，依財政部派任公民營事業機構負責人經理人及</w:t>
      </w:r>
      <w:r w:rsidRPr="0073501F">
        <w:rPr>
          <w:rFonts w:hAnsi="標楷體" w:hint="eastAsia"/>
        </w:rPr>
        <w:lastRenderedPageBreak/>
        <w:t>董監事績效考核表—董事長/總經理部分之考核指標，在105年10月14日修正前僅包括「出席次數」、「對事業目標之達成度」、「配合政府政策」，「推動事業機構達成政策目標」、「對公司經營發生違規」、「其他具體事蹟」等5項，其中「對公司經營發生違規」之衡量指標，僅在經主管機關提出重大處分，致公司招致重大處分者，始有扣分之機制。本案發生後，該部始將「對公司經營發生違規」之考核指標修正為「董事會運作效能、風險管控、法令遵循、內部控制、內部稽核制度之執行情形」，並增加「有未依規定提報董事會及本部事項者—妨礙公司治理之有效性」之衡量指標。</w:t>
      </w:r>
      <w:bookmarkEnd w:id="201"/>
      <w:bookmarkEnd w:id="202"/>
    </w:p>
    <w:p w:rsidR="00673233" w:rsidRPr="0073501F" w:rsidRDefault="00673233" w:rsidP="00673233">
      <w:pPr>
        <w:pStyle w:val="3"/>
        <w:rPr>
          <w:rFonts w:hAnsi="標楷體"/>
        </w:rPr>
      </w:pPr>
      <w:bookmarkStart w:id="203" w:name="_Toc484177981"/>
      <w:bookmarkStart w:id="204" w:name="_Toc484593530"/>
      <w:r w:rsidRPr="0073501F">
        <w:rPr>
          <w:rFonts w:hAnsi="標楷體" w:hint="eastAsia"/>
        </w:rPr>
        <w:t>又財政部派任公民營事業機構負責人經理人及董監事績效考核表—董事長/總經理部分，考核指標「對事業目標之達成度」之衡量指標項目，在101年9月11日修正前僅有「年營業額」、「每股盈餘」、「股東權益報酬率」及「員工生產力」等4項，惟修正後則增加「資產報酬率」之項目，致該考核指標之最高配分自56分增加至64分(占不計入「對公司經營，發生違規」及「其他具體事蹟」前總分100分之56％及64％)。另財政部派任公民營事業機構負責人績效評鑑表，考核指標「對事業目標之達成度」之衡量指標項目，於評鑑102年上半年績效時，亦增加「資產報酬率」之項目，且該考核指標之最高配分自40分增加至64分(占不計入「其他不佳事項」前總分100分之40％及64％)。</w:t>
      </w:r>
      <w:bookmarkEnd w:id="203"/>
      <w:bookmarkEnd w:id="204"/>
    </w:p>
    <w:p w:rsidR="00673233" w:rsidRPr="0073501F" w:rsidRDefault="00673233" w:rsidP="00673233">
      <w:pPr>
        <w:pStyle w:val="3"/>
        <w:rPr>
          <w:rFonts w:hAnsi="標楷體"/>
        </w:rPr>
      </w:pPr>
      <w:bookmarkStart w:id="205" w:name="_Toc484177982"/>
      <w:bookmarkStart w:id="206" w:name="_Toc484593531"/>
      <w:r w:rsidRPr="0073501F">
        <w:rPr>
          <w:rFonts w:hAnsi="標楷體" w:hint="eastAsia"/>
        </w:rPr>
        <w:t>查財政部辦理兆豐金控公股代表年度績效考核情形，自98年度起董事長之自評及複評分數與總經理均相同，自評分數介於96至100分(均含本數，下同)，複評分數則介於85.5至100分。單次複評與自</w:t>
      </w:r>
      <w:r w:rsidRPr="0073501F">
        <w:rPr>
          <w:rFonts w:hAnsi="標楷體" w:hint="eastAsia"/>
        </w:rPr>
        <w:lastRenderedPageBreak/>
        <w:t>評之差距，則介於-10.5</w:t>
      </w:r>
      <w:r w:rsidRPr="0073501F">
        <w:rPr>
          <w:rStyle w:val="afc"/>
          <w:rFonts w:hAnsi="標楷體"/>
        </w:rPr>
        <w:footnoteReference w:id="45"/>
      </w:r>
      <w:r w:rsidRPr="0073501F">
        <w:rPr>
          <w:rFonts w:hAnsi="標楷體" w:hint="eastAsia"/>
        </w:rPr>
        <w:t>至0分。至於半年績效評鑑部分，董事長之自評及複評分數亦均與總經理相同，自評分數介於86至99分，複評分數則介於85.5至96分。單次複評與自評之差距，則介於-5</w:t>
      </w:r>
      <w:r w:rsidRPr="0073501F">
        <w:rPr>
          <w:rStyle w:val="afc"/>
          <w:rFonts w:hAnsi="標楷體"/>
        </w:rPr>
        <w:footnoteReference w:id="46"/>
      </w:r>
      <w:r w:rsidRPr="0073501F">
        <w:rPr>
          <w:rFonts w:hAnsi="標楷體" w:hint="eastAsia"/>
        </w:rPr>
        <w:t>至0分之間。詢據國庫署凌前署長表示：「(問：自評是沒有道理，每個都很高分？)要看評核參數，如董總出席率很高，分數會高，且績效好，也會有高分，如兆豐銀行為最賺錢之公股，績效均超標，所以分數很高，評核是有項目的，依據項目來評比。董、總先自評，送給國庫署為複評，國庫署不會依據其自評照抄。」</w:t>
      </w:r>
      <w:bookmarkEnd w:id="205"/>
      <w:bookmarkEnd w:id="206"/>
    </w:p>
    <w:p w:rsidR="00673233" w:rsidRPr="0073501F" w:rsidRDefault="00673233" w:rsidP="00673233">
      <w:pPr>
        <w:pStyle w:val="3"/>
        <w:rPr>
          <w:rFonts w:hAnsi="標楷體"/>
        </w:rPr>
      </w:pPr>
      <w:bookmarkStart w:id="207" w:name="_Toc484177983"/>
      <w:bookmarkStart w:id="208" w:name="_Toc484593532"/>
      <w:r w:rsidRPr="0073501F">
        <w:rPr>
          <w:rFonts w:hAnsi="標楷體" w:hint="eastAsia"/>
        </w:rPr>
        <w:t>詢據國庫署阮清華署長表示：「過去考核相對比較重視經營績效，經此事件後，我們審慎修正，如果有違反法遵及內控內稽等重大缺失，我們都會扣分，如果被裁罰，我們會加重扣分，過去兆豐績效都是公股中最好的，因此考核成績都不錯，經本部修改評分後，就比較重視實質考核。」、「</w:t>
      </w:r>
      <w:r w:rsidRPr="0073501F">
        <w:rPr>
          <w:rFonts w:hAnsi="標楷體" w:hint="eastAsia"/>
          <w:szCs w:val="32"/>
        </w:rPr>
        <w:t>內稽內控是金融監理的一環。過去考核比較重視形式及經營績效，如出席率、報表之提供、經營成果等，現在已經把法遵、內稽、內控納入。</w:t>
      </w:r>
      <w:r w:rsidRPr="0073501F">
        <w:rPr>
          <w:rFonts w:hAnsi="標楷體" w:hint="eastAsia"/>
        </w:rPr>
        <w:t>」等語。</w:t>
      </w:r>
      <w:bookmarkEnd w:id="207"/>
      <w:bookmarkEnd w:id="208"/>
    </w:p>
    <w:p w:rsidR="006C15FD" w:rsidRPr="0073501F" w:rsidRDefault="00673233" w:rsidP="00673233">
      <w:pPr>
        <w:pStyle w:val="3"/>
        <w:rPr>
          <w:rFonts w:hAnsi="標楷體"/>
          <w:bCs w:val="0"/>
        </w:rPr>
      </w:pPr>
      <w:bookmarkStart w:id="209" w:name="_Toc484177984"/>
      <w:bookmarkStart w:id="210" w:name="_Toc484593533"/>
      <w:r w:rsidRPr="0073501F">
        <w:rPr>
          <w:rFonts w:hAnsi="標楷體" w:hint="eastAsia"/>
          <w:szCs w:val="32"/>
        </w:rPr>
        <w:t>綜上，財政部對派任之公股民營事業股權代表董監事，雖訂定考評指標，每年定期</w:t>
      </w:r>
      <w:r w:rsidRPr="0073501F">
        <w:rPr>
          <w:rFonts w:hAnsi="標楷體" w:hint="eastAsia"/>
        </w:rPr>
        <w:t>績效</w:t>
      </w:r>
      <w:r w:rsidRPr="0073501F">
        <w:rPr>
          <w:rFonts w:hAnsi="標楷體" w:hint="eastAsia"/>
          <w:szCs w:val="32"/>
        </w:rPr>
        <w:t>考核，檢討其適任性；對公股民營事業董事長及總經理，每半年另進行經營績效評鑑，檢視其營運成果及配合政府政策目標達成度，建立相關課責機制；並在尊重公</w:t>
      </w:r>
      <w:r w:rsidRPr="0073501F">
        <w:rPr>
          <w:rFonts w:hAnsi="標楷體" w:hint="eastAsia"/>
          <w:szCs w:val="32"/>
        </w:rPr>
        <w:lastRenderedPageBreak/>
        <w:t>司治理原則下，由公股民營事業依其建立之內部控制、稽核機制及相關制度規範，並參照派任管理要點規定，訂定</w:t>
      </w:r>
      <w:r w:rsidRPr="0073501F">
        <w:rPr>
          <w:rFonts w:hAnsi="標楷體" w:hint="eastAsia"/>
          <w:bCs w:val="0"/>
          <w:szCs w:val="32"/>
        </w:rPr>
        <w:t>個別投資事業股權代表遴派暨管理相關作業規則，</w:t>
      </w:r>
      <w:r w:rsidRPr="0073501F">
        <w:rPr>
          <w:rFonts w:hAnsi="標楷體" w:hint="eastAsia"/>
          <w:szCs w:val="32"/>
        </w:rPr>
        <w:t>監督其轉投資事業。惟其過去考核較為重視形式及業績(獲利)，如出席率、報表之提供、經營成果，確有欠妥</w:t>
      </w:r>
      <w:r w:rsidRPr="0073501F">
        <w:rPr>
          <w:rFonts w:hAnsi="標楷體" w:hint="eastAsia"/>
          <w:bCs w:val="0"/>
        </w:rPr>
        <w:t>。</w:t>
      </w:r>
      <w:bookmarkEnd w:id="209"/>
      <w:bookmarkEnd w:id="210"/>
    </w:p>
    <w:p w:rsidR="00673233" w:rsidRPr="0073501F" w:rsidRDefault="00673233" w:rsidP="00673233">
      <w:pPr>
        <w:pStyle w:val="2"/>
        <w:rPr>
          <w:rFonts w:hAnsi="標楷體"/>
          <w:b/>
        </w:rPr>
      </w:pPr>
      <w:bookmarkStart w:id="211" w:name="_Toc484177985"/>
      <w:bookmarkStart w:id="212" w:name="_Toc484593534"/>
      <w:r w:rsidRPr="0073501F">
        <w:rPr>
          <w:rFonts w:hAnsi="標楷體" w:hint="eastAsia"/>
          <w:b/>
          <w:szCs w:val="32"/>
        </w:rPr>
        <w:t>若將各金融機構應自行負責之公司治理範疇強加於主管機關監理之範圍中，勢將產生權責不清疑慮。本案</w:t>
      </w:r>
      <w:r w:rsidRPr="0073501F">
        <w:rPr>
          <w:rFonts w:hAnsi="標楷體" w:hint="eastAsia"/>
          <w:b/>
        </w:rPr>
        <w:t>行政院雖已就相關部會完成督管責任報告，然該報告所提部分內容，經本院調查發現，並非妥適。</w:t>
      </w:r>
      <w:bookmarkEnd w:id="211"/>
      <w:bookmarkEnd w:id="212"/>
    </w:p>
    <w:p w:rsidR="00673233" w:rsidRPr="0073501F" w:rsidRDefault="00673233" w:rsidP="00673233">
      <w:pPr>
        <w:pStyle w:val="3"/>
        <w:rPr>
          <w:rFonts w:hAnsi="標楷體"/>
        </w:rPr>
      </w:pPr>
      <w:bookmarkStart w:id="213" w:name="_Toc484177986"/>
      <w:bookmarkStart w:id="214" w:name="_Toc484593535"/>
      <w:r w:rsidRPr="0073501F">
        <w:rPr>
          <w:rFonts w:hAnsi="標楷體" w:hint="eastAsia"/>
        </w:rPr>
        <w:t>行政院「兆豐銀行遭美裁罰案相關部會督管責任查核報告」之內容，略以：</w:t>
      </w:r>
      <w:bookmarkEnd w:id="213"/>
      <w:bookmarkEnd w:id="214"/>
    </w:p>
    <w:p w:rsidR="00673233" w:rsidRPr="0073501F" w:rsidRDefault="00673233" w:rsidP="00673233">
      <w:pPr>
        <w:pStyle w:val="4"/>
        <w:rPr>
          <w:rFonts w:hAnsi="標楷體"/>
        </w:rPr>
      </w:pPr>
      <w:r w:rsidRPr="0073501F">
        <w:rPr>
          <w:rFonts w:hAnsi="標楷體" w:hint="eastAsia"/>
        </w:rPr>
        <w:t>報告「伍、查核發現及責任歸屬」之內容中，認為「</w:t>
      </w:r>
      <w:r w:rsidRPr="0073501F">
        <w:rPr>
          <w:rFonts w:hAnsi="標楷體"/>
        </w:rPr>
        <w:t>本案問題的本質為金融監理失靈</w:t>
      </w:r>
      <w:r w:rsidRPr="0073501F">
        <w:rPr>
          <w:rFonts w:hAnsi="標楷體" w:hint="eastAsia"/>
        </w:rPr>
        <w:t>」、「主管機關縱未接獲通報，亦應有多元工具可加以運用預防」及「明知前曾發生類似缺失遭罰，未能藉由例外管理有效督導至徹底改善」等，並認為：</w:t>
      </w:r>
    </w:p>
    <w:p w:rsidR="00673233" w:rsidRPr="0073501F" w:rsidRDefault="00673233" w:rsidP="00673233">
      <w:pPr>
        <w:pStyle w:val="5"/>
        <w:rPr>
          <w:rFonts w:hAnsi="標楷體"/>
        </w:rPr>
      </w:pPr>
      <w:r w:rsidRPr="0073501F">
        <w:rPr>
          <w:rFonts w:hAnsi="標楷體" w:hint="eastAsia"/>
        </w:rPr>
        <w:t>本事件應非僅係兆豐管理高層面對此次</w:t>
      </w:r>
      <w:r w:rsidRPr="0073501F">
        <w:rPr>
          <w:rFonts w:hAnsi="標楷體"/>
        </w:rPr>
        <w:t>NYDFS</w:t>
      </w:r>
      <w:r w:rsidRPr="0073501F">
        <w:rPr>
          <w:rFonts w:hAnsi="標楷體" w:hint="eastAsia"/>
        </w:rPr>
        <w:t>檢查後銀行內部決策及處置失當之個案問題，亦非單純因兆豐應通報卻疏於通報所造成之結果。金管會此段期間以來縱有公文往返、法規增修或相關宣導作為，惟徒法不足以自行，其未能有效運用各種管理工具落實督導，促使兆豐總行對其海外分行在內控管理以及洗錢防制方面，產生積極實質改善之效果，以至於相同或類似缺失於不同海外分行間重複發生並擴大，終導致本次紐約分行遭到重罰，金管會仍應負起督管不周之責。</w:t>
      </w:r>
    </w:p>
    <w:p w:rsidR="00673233" w:rsidRPr="0073501F" w:rsidRDefault="00673233" w:rsidP="00673233">
      <w:pPr>
        <w:pStyle w:val="5"/>
        <w:rPr>
          <w:rFonts w:hAnsi="標楷體"/>
        </w:rPr>
      </w:pPr>
      <w:r w:rsidRPr="0073501F">
        <w:rPr>
          <w:rFonts w:hAnsi="標楷體" w:hint="eastAsia"/>
        </w:rPr>
        <w:t>至於財政部責任部分，就該部之組織職掌及其業管法規論，兆豐金控之負責人、總經理、董</w:t>
      </w:r>
      <w:r w:rsidRPr="0073501F">
        <w:rPr>
          <w:rFonts w:hAnsi="標楷體" w:hint="eastAsia"/>
        </w:rPr>
        <w:lastRenderedPageBreak/>
        <w:t>事、監察人等均係由財政部核派，上開高階主管人員或董監事自當基於維護公股權益，監督事業機構依法經營，隨時掌握事業機構之營運狀況，並與財政部保持聯繫，特別是公股代表聯絡人如於遇有「影響公股權益之重大情事」時，更應陳報財政部核定。本案兆豐銀行負責人及總經理於本案過程中決策及處置失當，因故意或過失未即時將影響事業機構營運狀況之重要訊息提報董事會，並違反法規所定應通報主管機關之責，致造成公股股權鉅額損失，財政部對其核派人員之適任性，即應負有監督考核不周的責任，亦不能以未接獲通報即不知情而能免除其應妥善管理維護公股股權之責。</w:t>
      </w:r>
    </w:p>
    <w:p w:rsidR="00673233" w:rsidRPr="0073501F" w:rsidRDefault="00673233" w:rsidP="00673233">
      <w:pPr>
        <w:pStyle w:val="4"/>
        <w:rPr>
          <w:rFonts w:hAnsi="標楷體"/>
        </w:rPr>
      </w:pPr>
      <w:r w:rsidRPr="0073501F">
        <w:rPr>
          <w:rFonts w:hAnsi="標楷體" w:hint="eastAsia"/>
        </w:rPr>
        <w:t>報告「陸、總結」中，說明</w:t>
      </w:r>
      <w:r w:rsidRPr="0073501F">
        <w:rPr>
          <w:rFonts w:hAnsi="標楷體" w:hint="eastAsia"/>
          <w:szCs w:val="32"/>
        </w:rPr>
        <w:t>本案相關部會首長的督管責任，除應從該部會之組織職掌、業管法規及事件發展情況來看，還應從</w:t>
      </w:r>
      <w:r w:rsidRPr="0073501F">
        <w:rPr>
          <w:rFonts w:hAnsi="標楷體"/>
          <w:szCs w:val="32"/>
        </w:rPr>
        <w:t>NYDFS</w:t>
      </w:r>
      <w:r w:rsidRPr="0073501F">
        <w:rPr>
          <w:rFonts w:hAnsi="標楷體" w:hint="eastAsia"/>
          <w:szCs w:val="32"/>
        </w:rPr>
        <w:t>檢查發現兆豐銀行紐約分行有嚴重缺失之</w:t>
      </w:r>
      <w:r w:rsidRPr="0073501F">
        <w:rPr>
          <w:rFonts w:hAnsi="標楷體"/>
          <w:szCs w:val="32"/>
        </w:rPr>
        <w:t>101</w:t>
      </w:r>
      <w:r w:rsidRPr="0073501F">
        <w:rPr>
          <w:rFonts w:hAnsi="標楷體" w:hint="eastAsia"/>
          <w:szCs w:val="32"/>
        </w:rPr>
        <w:t>年，特別是</w:t>
      </w:r>
      <w:r w:rsidRPr="0073501F">
        <w:rPr>
          <w:rFonts w:hAnsi="標楷體"/>
          <w:szCs w:val="32"/>
        </w:rPr>
        <w:t>102</w:t>
      </w:r>
      <w:r w:rsidRPr="0073501F">
        <w:rPr>
          <w:rFonts w:hAnsi="標楷體" w:hint="eastAsia"/>
          <w:szCs w:val="32"/>
        </w:rPr>
        <w:t>年</w:t>
      </w:r>
      <w:r w:rsidRPr="0073501F">
        <w:rPr>
          <w:rFonts w:hAnsi="標楷體"/>
          <w:szCs w:val="32"/>
        </w:rPr>
        <w:t>3</w:t>
      </w:r>
      <w:r w:rsidRPr="0073501F">
        <w:rPr>
          <w:rFonts w:hAnsi="標楷體" w:hint="eastAsia"/>
          <w:szCs w:val="32"/>
        </w:rPr>
        <w:t>月巴拿馬分行遭裁罰</w:t>
      </w:r>
      <w:r w:rsidRPr="0073501F">
        <w:rPr>
          <w:rStyle w:val="afc"/>
          <w:rFonts w:hAnsi="標楷體"/>
          <w:szCs w:val="32"/>
        </w:rPr>
        <w:footnoteReference w:id="47"/>
      </w:r>
      <w:r w:rsidRPr="0073501F">
        <w:rPr>
          <w:rFonts w:hAnsi="標楷體" w:hint="eastAsia"/>
          <w:szCs w:val="32"/>
        </w:rPr>
        <w:t>後，其所督管之機關是否有應作為未作為或應導正未導正之情予以檢視，並參照其任期之長短及作為加以論究。並分別列示金管會相關之歷任主任委員，包括：陳裕璋</w:t>
      </w:r>
      <w:r w:rsidRPr="0073501F">
        <w:rPr>
          <w:rFonts w:ascii="新細明體" w:eastAsia="新細明體" w:hAnsi="新細明體" w:hint="eastAsia"/>
          <w:szCs w:val="32"/>
        </w:rPr>
        <w:t>、</w:t>
      </w:r>
      <w:r w:rsidRPr="0073501F">
        <w:rPr>
          <w:rFonts w:hAnsi="標楷體" w:hint="eastAsia"/>
          <w:szCs w:val="32"/>
        </w:rPr>
        <w:t>曾銘宗</w:t>
      </w:r>
      <w:r w:rsidRPr="0073501F">
        <w:rPr>
          <w:rFonts w:ascii="新細明體" w:eastAsia="新細明體" w:hAnsi="新細明體" w:hint="eastAsia"/>
          <w:szCs w:val="32"/>
        </w:rPr>
        <w:t>、</w:t>
      </w:r>
      <w:r w:rsidRPr="0073501F">
        <w:rPr>
          <w:rFonts w:hAnsi="標楷體" w:hint="eastAsia"/>
          <w:szCs w:val="32"/>
        </w:rPr>
        <w:t>王儷玲及丁克華等4人，以及財政部歷任部長張盛和及許虞哲等2人，在本案發生期間之相關事實及部會處置，依據查核發現及責任歸屬分析，就其個別應負之責任輕重及有無加以論究。</w:t>
      </w:r>
    </w:p>
    <w:p w:rsidR="00673233" w:rsidRPr="0073501F" w:rsidRDefault="00673233" w:rsidP="00673233">
      <w:pPr>
        <w:pStyle w:val="3"/>
        <w:rPr>
          <w:rFonts w:hAnsi="標楷體"/>
        </w:rPr>
      </w:pPr>
      <w:bookmarkStart w:id="215" w:name="_Toc484177987"/>
      <w:bookmarkStart w:id="216" w:name="_Toc484593536"/>
      <w:r w:rsidRPr="0073501F">
        <w:rPr>
          <w:rFonts w:hAnsi="標楷體" w:hint="eastAsia"/>
        </w:rPr>
        <w:t>惟本院函請行政院說明，本案紐約分行遭NYDFS重罰</w:t>
      </w:r>
      <w:r w:rsidRPr="0073501F">
        <w:rPr>
          <w:rFonts w:hAnsi="標楷體" w:hint="eastAsia"/>
        </w:rPr>
        <w:lastRenderedPageBreak/>
        <w:t>所指出之缺失，與巴馬拿銀監局檢查兆豐銀行巴拿馬地區分行所列舉之缺失比對具有高度重複性之具體內容，暨其缺失之本質是否相同等問題時，行政院函覆本院稱</w:t>
      </w:r>
      <w:r w:rsidRPr="0073501F">
        <w:rPr>
          <w:rStyle w:val="afc"/>
          <w:rFonts w:hAnsi="標楷體"/>
        </w:rPr>
        <w:footnoteReference w:id="48"/>
      </w:r>
      <w:r w:rsidRPr="0073501F">
        <w:rPr>
          <w:rFonts w:hAnsi="標楷體" w:hint="eastAsia"/>
        </w:rPr>
        <w:t>：</w:t>
      </w:r>
      <w:bookmarkEnd w:id="215"/>
      <w:bookmarkEnd w:id="216"/>
    </w:p>
    <w:p w:rsidR="00673233" w:rsidRPr="0073501F" w:rsidRDefault="00673233" w:rsidP="00673233">
      <w:pPr>
        <w:pStyle w:val="4"/>
        <w:rPr>
          <w:rFonts w:hAnsi="標楷體"/>
        </w:rPr>
      </w:pPr>
      <w:r w:rsidRPr="0073501F">
        <w:rPr>
          <w:rFonts w:hAnsi="標楷體" w:hint="eastAsia"/>
        </w:rPr>
        <w:t>巴拿馬銀監局於99年對兆豐銀行巴拿馬地區分行辦理洗錢防制專案檢查，並於102年裁罰2萬美元，均屬洗錢防制作業缺失，共13項；兆豐銀行與NYDFS簽署之合意處分令內容顯示，105年該行紐約分行遭罰之主要檢查缺失亦多屬洗錢防制作業缺失，共6大類20項。</w:t>
      </w:r>
    </w:p>
    <w:p w:rsidR="00673233" w:rsidRPr="0073501F" w:rsidRDefault="00673233" w:rsidP="00673233">
      <w:pPr>
        <w:pStyle w:val="4"/>
        <w:rPr>
          <w:rFonts w:hAnsi="標楷體"/>
        </w:rPr>
      </w:pPr>
      <w:r w:rsidRPr="0073501F">
        <w:rPr>
          <w:rFonts w:hAnsi="標楷體" w:hint="eastAsia"/>
        </w:rPr>
        <w:t>深入比對巴拿馬及美國分別對所轄兆豐巴拿馬地區分行及紐約分行所提之各項裁罰缺失，均提及者，包括：</w:t>
      </w:r>
      <w:r w:rsidRPr="0073501F">
        <w:rPr>
          <w:rFonts w:hAnsi="標楷體"/>
        </w:rPr>
        <w:t>法遵主管擔任與其職務不相當之工作</w:t>
      </w:r>
      <w:r w:rsidRPr="0073501F">
        <w:rPr>
          <w:rFonts w:hAnsi="標楷體" w:hint="eastAsia"/>
        </w:rPr>
        <w:t>、未對受益人留存充分資訊、對可疑活動之警示文件未妥善保存及員工訓練不足等。</w:t>
      </w:r>
    </w:p>
    <w:p w:rsidR="00673233" w:rsidRPr="0073501F" w:rsidRDefault="00673233" w:rsidP="00673233">
      <w:pPr>
        <w:pStyle w:val="4"/>
        <w:rPr>
          <w:rFonts w:hAnsi="標楷體"/>
        </w:rPr>
      </w:pPr>
      <w:r w:rsidRPr="0073501F">
        <w:rPr>
          <w:rFonts w:hAnsi="標楷體" w:hint="eastAsia"/>
        </w:rPr>
        <w:t>除上開檢查意見外，</w:t>
      </w:r>
      <w:r w:rsidRPr="0073501F">
        <w:rPr>
          <w:rFonts w:hAnsi="標楷體"/>
        </w:rPr>
        <w:t>其餘</w:t>
      </w:r>
      <w:r w:rsidRPr="0073501F">
        <w:rPr>
          <w:rFonts w:hAnsi="標楷體" w:hint="eastAsia"/>
        </w:rPr>
        <w:t>各項</w:t>
      </w:r>
      <w:r w:rsidRPr="0073501F">
        <w:rPr>
          <w:rFonts w:hAnsi="標楷體"/>
        </w:rPr>
        <w:t>檢查意見，由於美國與巴拿馬等二國之銀行法及洗錢防制法，其法規條文及違反罰度等規定均於不同國情與時空背景等因素下制定其法規內容、規範廣度及深度均有所差異</w:t>
      </w:r>
      <w:r w:rsidRPr="0073501F">
        <w:rPr>
          <w:rFonts w:hAnsi="標楷體" w:hint="eastAsia"/>
        </w:rPr>
        <w:t>。</w:t>
      </w:r>
      <w:r w:rsidRPr="0073501F">
        <w:rPr>
          <w:rFonts w:hAnsi="標楷體"/>
        </w:rPr>
        <w:t>且實地檢查一般均採抽核方式，</w:t>
      </w:r>
      <w:r w:rsidRPr="0073501F">
        <w:rPr>
          <w:rFonts w:hAnsi="標楷體" w:hint="eastAsia"/>
        </w:rPr>
        <w:t>以</w:t>
      </w:r>
      <w:r w:rsidRPr="0073501F">
        <w:rPr>
          <w:rFonts w:hAnsi="標楷體"/>
        </w:rPr>
        <w:t>瞭解金融機構業務辦理情</w:t>
      </w:r>
      <w:r w:rsidRPr="0073501F">
        <w:rPr>
          <w:rFonts w:hAnsi="標楷體" w:hint="eastAsia"/>
        </w:rPr>
        <w:t>形</w:t>
      </w:r>
      <w:r w:rsidRPr="0073501F">
        <w:rPr>
          <w:rFonts w:hAnsi="標楷體"/>
        </w:rPr>
        <w:t>，由於上開檢查意見均未詳述個案具體情形，個案違失情節</w:t>
      </w:r>
      <w:r w:rsidRPr="0073501F">
        <w:rPr>
          <w:rFonts w:hAnsi="標楷體" w:hint="eastAsia"/>
        </w:rPr>
        <w:t>輕重</w:t>
      </w:r>
      <w:r w:rsidRPr="0073501F">
        <w:rPr>
          <w:rFonts w:hAnsi="標楷體"/>
        </w:rPr>
        <w:t>或有差異，爰尚難判斷兩者檢查意見之</w:t>
      </w:r>
      <w:r w:rsidRPr="0073501F">
        <w:rPr>
          <w:rFonts w:hAnsi="標楷體" w:hint="eastAsia"/>
        </w:rPr>
        <w:t>異同</w:t>
      </w:r>
      <w:r w:rsidRPr="0073501F">
        <w:rPr>
          <w:rFonts w:hAnsi="標楷體"/>
        </w:rPr>
        <w:t>。</w:t>
      </w:r>
    </w:p>
    <w:p w:rsidR="00673233" w:rsidRPr="0073501F" w:rsidRDefault="00673233" w:rsidP="00673233">
      <w:pPr>
        <w:pStyle w:val="3"/>
        <w:numPr>
          <w:ilvl w:val="0"/>
          <w:numId w:val="0"/>
        </w:numPr>
        <w:ind w:left="1361" w:firstLineChars="200" w:firstLine="680"/>
        <w:rPr>
          <w:rFonts w:hAnsi="標楷體"/>
        </w:rPr>
      </w:pPr>
      <w:bookmarkStart w:id="217" w:name="_Toc484177988"/>
      <w:bookmarkStart w:id="218" w:name="_Toc484593537"/>
      <w:r w:rsidRPr="0073501F">
        <w:rPr>
          <w:rFonts w:hAnsi="標楷體" w:hint="eastAsia"/>
        </w:rPr>
        <w:t>由上可知，巴拿馬地區分行13項檢查缺失與NYDFS合意處分令所提20項缺失，均提及者</w:t>
      </w:r>
      <w:r w:rsidRPr="0073501F">
        <w:rPr>
          <w:rFonts w:hAnsi="標楷體"/>
        </w:rPr>
        <w:t>法遵主管擔任與其職務不相當之工作</w:t>
      </w:r>
      <w:r w:rsidRPr="0073501F">
        <w:rPr>
          <w:rFonts w:hAnsi="標楷體" w:hint="eastAsia"/>
        </w:rPr>
        <w:t>等4項</w:t>
      </w:r>
      <w:r w:rsidRPr="0073501F">
        <w:rPr>
          <w:rFonts w:hAnsi="標楷體"/>
        </w:rPr>
        <w:t>。</w:t>
      </w:r>
      <w:r w:rsidRPr="0073501F">
        <w:rPr>
          <w:rFonts w:hAnsi="標楷體" w:hint="eastAsia"/>
        </w:rPr>
        <w:t>其餘檢查意見該院尚難判斷兩者檢查意見之異同，是否為行政院所稱高度重複性，不無疑慮。本院為釐清該院前</w:t>
      </w:r>
      <w:r w:rsidRPr="0073501F">
        <w:rPr>
          <w:rFonts w:hAnsi="標楷體" w:hint="eastAsia"/>
        </w:rPr>
        <w:lastRenderedPageBreak/>
        <w:t>後來文是否有認定不一之情形及該等缺失本質上有否差異，於106年5月18日詢問該院指派之主管人員，然其未能詳實說明該等差異性，僅能說明前後兩文，其一是「督導小組查核報告係外部專家寫的，也經過行政院認同」，另一函文係金管會提供是依據監理角度提供意見，由該院簽辦，層級到秘書長，並會副院長室，其餘則未能說明。</w:t>
      </w:r>
      <w:bookmarkEnd w:id="217"/>
      <w:bookmarkEnd w:id="218"/>
    </w:p>
    <w:p w:rsidR="00673233" w:rsidRPr="0073501F" w:rsidRDefault="00673233" w:rsidP="00673233">
      <w:pPr>
        <w:pStyle w:val="3"/>
        <w:rPr>
          <w:rFonts w:hAnsi="標楷體"/>
        </w:rPr>
      </w:pPr>
      <w:bookmarkStart w:id="219" w:name="_Toc484177989"/>
      <w:bookmarkStart w:id="220" w:name="_Toc484593538"/>
      <w:r w:rsidRPr="0073501F">
        <w:rPr>
          <w:rFonts w:hAnsi="標楷體" w:hint="eastAsia"/>
          <w:szCs w:val="32"/>
        </w:rPr>
        <w:t>美國在雙元監理機制下，兆豐銀行係由FRB與NYDFS共同監理，每年度之</w:t>
      </w:r>
      <w:r w:rsidRPr="0073501F">
        <w:rPr>
          <w:rFonts w:hAnsi="標楷體" w:hint="eastAsia"/>
        </w:rPr>
        <w:t>金融檢查，由</w:t>
      </w:r>
      <w:r w:rsidRPr="0073501F">
        <w:rPr>
          <w:rFonts w:hAnsi="標楷體" w:hint="eastAsia"/>
          <w:szCs w:val="32"/>
        </w:rPr>
        <w:t>FRB與NYDFS</w:t>
      </w:r>
      <w:r w:rsidRPr="0073501F">
        <w:rPr>
          <w:rFonts w:hAnsi="標楷體" w:hint="eastAsia"/>
        </w:rPr>
        <w:t>輪流辦理。NYDFS於104年辦理兆豐銀行紐約分行之金融檢查時，其範圍包含101年至103年間之匯款交易，然前開年度FRB與NYDFS歷次辦理該分行金</w:t>
      </w:r>
      <w:r w:rsidRPr="0073501F">
        <w:rPr>
          <w:rFonts w:hAnsi="標楷體" w:hint="eastAsia"/>
          <w:szCs w:val="32"/>
        </w:rPr>
        <w:t>融檢查時，均未傳出因有重大缺失而遭重罰情事。依</w:t>
      </w:r>
      <w:r w:rsidRPr="0073501F">
        <w:rPr>
          <w:rFonts w:hAnsi="標楷體" w:hint="eastAsia"/>
        </w:rPr>
        <w:t>合意處分令內容，</w:t>
      </w:r>
      <w:r w:rsidRPr="0073501F">
        <w:rPr>
          <w:rFonts w:hAnsi="標楷體" w:hint="eastAsia"/>
          <w:szCs w:val="32"/>
        </w:rPr>
        <w:t>NYDFS基於</w:t>
      </w:r>
      <w:r w:rsidRPr="0073501F">
        <w:rPr>
          <w:rFonts w:hAnsi="標楷體"/>
          <w:szCs w:val="32"/>
        </w:rPr>
        <w:t>在</w:t>
      </w:r>
      <w:r w:rsidRPr="0073501F">
        <w:rPr>
          <w:rFonts w:hAnsi="標楷體" w:hint="eastAsia"/>
          <w:szCs w:val="32"/>
        </w:rPr>
        <w:t>「</w:t>
      </w:r>
      <w:r w:rsidRPr="0073501F">
        <w:rPr>
          <w:rFonts w:hAnsi="標楷體"/>
          <w:szCs w:val="32"/>
        </w:rPr>
        <w:t>巴拿馬文件</w:t>
      </w:r>
      <w:r w:rsidRPr="0073501F">
        <w:rPr>
          <w:rFonts w:hAnsi="標楷體" w:hint="eastAsia"/>
          <w:szCs w:val="32"/>
        </w:rPr>
        <w:t>」</w:t>
      </w:r>
      <w:r w:rsidRPr="0073501F">
        <w:rPr>
          <w:rFonts w:hAnsi="標楷體"/>
          <w:szCs w:val="32"/>
        </w:rPr>
        <w:t>與Mossack Forseca律師事務所的資訊被公開後，</w:t>
      </w:r>
      <w:r w:rsidRPr="0073501F">
        <w:rPr>
          <w:rFonts w:hAnsi="標楷體" w:hint="eastAsia"/>
          <w:szCs w:val="32"/>
        </w:rPr>
        <w:t>又發現</w:t>
      </w:r>
      <w:r w:rsidRPr="0073501F">
        <w:rPr>
          <w:rFonts w:hAnsi="標楷體"/>
          <w:szCs w:val="32"/>
        </w:rPr>
        <w:t>紐約分行在法規遵循</w:t>
      </w:r>
      <w:r w:rsidRPr="0073501F">
        <w:rPr>
          <w:rFonts w:hAnsi="標楷體" w:hint="eastAsia"/>
          <w:szCs w:val="32"/>
        </w:rPr>
        <w:t>問題</w:t>
      </w:r>
      <w:r w:rsidRPr="0073501F">
        <w:rPr>
          <w:rFonts w:hAnsi="標楷體"/>
          <w:szCs w:val="32"/>
        </w:rPr>
        <w:t>甚為嚴重，</w:t>
      </w:r>
      <w:r w:rsidRPr="0073501F">
        <w:rPr>
          <w:rFonts w:hAnsi="標楷體" w:hint="eastAsia"/>
          <w:szCs w:val="32"/>
        </w:rPr>
        <w:t>乃認為</w:t>
      </w:r>
      <w:r w:rsidRPr="0073501F">
        <w:rPr>
          <w:rFonts w:hAnsi="標楷體"/>
          <w:szCs w:val="32"/>
        </w:rPr>
        <w:t>兆豐銀行有責任對其紐約分行與巴拿馬分行間的交易，給予最高程度的關注</w:t>
      </w:r>
      <w:r w:rsidRPr="0073501F">
        <w:rPr>
          <w:rFonts w:hAnsi="標楷體" w:hint="eastAsia"/>
          <w:szCs w:val="32"/>
        </w:rPr>
        <w:t>，爰於104</w:t>
      </w:r>
      <w:r w:rsidRPr="0073501F">
        <w:rPr>
          <w:rFonts w:hAnsi="標楷體" w:hint="eastAsia"/>
        </w:rPr>
        <w:t>年對</w:t>
      </w:r>
      <w:r w:rsidRPr="0073501F">
        <w:rPr>
          <w:rFonts w:hAnsi="標楷體"/>
          <w:szCs w:val="32"/>
        </w:rPr>
        <w:t>紐約分行</w:t>
      </w:r>
      <w:r w:rsidRPr="0073501F">
        <w:rPr>
          <w:rFonts w:hAnsi="標楷體" w:hint="eastAsia"/>
        </w:rPr>
        <w:t>辦理金融檢查，並於105年2月提出檢查報告時，提高對於</w:t>
      </w:r>
      <w:r w:rsidRPr="0073501F">
        <w:rPr>
          <w:rFonts w:hAnsi="標楷體" w:hint="eastAsia"/>
          <w:szCs w:val="32"/>
        </w:rPr>
        <w:t>洗錢防制及法令遵循之深度、廣度及技術上之要求。</w:t>
      </w:r>
      <w:r w:rsidRPr="0073501F">
        <w:rPr>
          <w:rFonts w:hAnsi="標楷體" w:hint="eastAsia"/>
        </w:rPr>
        <w:t>為求慎重，本院特別就「本案NYDFS發現的缺失，與金管會98年及巴拿馬銀監局99年金檢之缺失，是否相同？」之問題，詢問兆豐銀行張兆順董事長，其答覆：「不一樣，完全不一樣。以前是KYC、開戶浮濫、文件沒有保留等問題，現在是洗錢防制制度不足，包括KYC、洗錢防制監控等。如果是以前的問題，這就好改，現在是制度問題，要花很多時間去改。」，金管會以書面說明</w:t>
      </w:r>
      <w:r w:rsidRPr="0073501F">
        <w:rPr>
          <w:rStyle w:val="afc"/>
          <w:rFonts w:hAnsi="標楷體"/>
        </w:rPr>
        <w:footnoteReference w:id="49"/>
      </w:r>
      <w:r w:rsidRPr="0073501F">
        <w:rPr>
          <w:rFonts w:hAnsi="標楷體" w:hint="eastAsia"/>
        </w:rPr>
        <w:t>，表示：「</w:t>
      </w:r>
      <w:r w:rsidRPr="0073501F">
        <w:rPr>
          <w:rFonts w:hAnsi="標楷體" w:hint="eastAsia"/>
        </w:rPr>
        <w:tab/>
        <w:t>巴拿馬銀監局對巴</w:t>
      </w:r>
      <w:r w:rsidRPr="0073501F">
        <w:rPr>
          <w:rFonts w:hAnsi="標楷體" w:hint="eastAsia"/>
        </w:rPr>
        <w:lastRenderedPageBreak/>
        <w:t>拿馬地區分行所提列主要洗錢防制檢查意見類型，係著重於該等分行辦理自身存款客戶開戶作業及相關存、提領交易監控之缺失；另NYDFS對紐約分行所提列主要洗錢防制檢查意見類型，則係著重該分行辦理涉及巴拿馬地區分行轉匯款業務(非紐約分行自身存款客戶)，未就聯行同業帳戶妥善辦理盡職調查，且未對重複退匯交易確實辦理調查並申報可疑交易，故二者主要問題所涉及對象及業務性質並不相同</w:t>
      </w:r>
      <w:r w:rsidR="0053227C">
        <w:rPr>
          <w:rFonts w:hAnsi="標楷體" w:hint="eastAsia"/>
        </w:rPr>
        <w:t>。</w:t>
      </w:r>
      <w:r w:rsidRPr="0073501F">
        <w:rPr>
          <w:rFonts w:hAnsi="標楷體" w:hint="eastAsia"/>
        </w:rPr>
        <w:t>」，金管會李瑞倉主任委員於接受本院詢問時更直言：「</w:t>
      </w:r>
      <w:r w:rsidRPr="0073501F">
        <w:rPr>
          <w:rFonts w:hAnsi="標楷體" w:hint="eastAsia"/>
          <w:szCs w:val="32"/>
        </w:rPr>
        <w:t>我不是當事人，我來說比較公允</w:t>
      </w:r>
      <w:r w:rsidRPr="0073501F">
        <w:rPr>
          <w:rFonts w:hAnsi="標楷體"/>
          <w:szCs w:val="32"/>
        </w:rPr>
        <w:t>……</w:t>
      </w:r>
      <w:r w:rsidRPr="0073501F">
        <w:rPr>
          <w:rFonts w:hAnsi="標楷體" w:hint="eastAsia"/>
          <w:szCs w:val="32"/>
        </w:rPr>
        <w:t>行政院認定巴拿馬與NYDFS檢查是一樣，但是實質上是不一樣</w:t>
      </w:r>
      <w:r w:rsidRPr="0073501F">
        <w:rPr>
          <w:rFonts w:hAnsi="標楷體" w:hint="eastAsia"/>
        </w:rPr>
        <w:t>」。即現任之金管會主任委員及兆豐銀行董事長，於檢視本案後，均認為巴拿馬銀監局99年對兆豐銀行巴拿馬地區分行所發現之檢查缺失，</w:t>
      </w:r>
      <w:r w:rsidRPr="0073501F">
        <w:rPr>
          <w:rFonts w:hAnsi="標楷體" w:hint="eastAsia"/>
          <w:szCs w:val="32"/>
        </w:rPr>
        <w:t>實質上</w:t>
      </w:r>
      <w:r w:rsidRPr="0073501F">
        <w:rPr>
          <w:rFonts w:hAnsi="標楷體" w:hint="eastAsia"/>
        </w:rPr>
        <w:t>不同於本案NYDFS認定之缺失。</w:t>
      </w:r>
      <w:bookmarkEnd w:id="219"/>
      <w:bookmarkEnd w:id="220"/>
    </w:p>
    <w:p w:rsidR="00673233" w:rsidRPr="0073501F" w:rsidRDefault="00673233" w:rsidP="00673233">
      <w:pPr>
        <w:pStyle w:val="3"/>
        <w:rPr>
          <w:rFonts w:hAnsi="標楷體"/>
        </w:rPr>
      </w:pPr>
      <w:bookmarkStart w:id="221" w:name="_Toc484177990"/>
      <w:bookmarkStart w:id="222" w:name="_Toc484593539"/>
      <w:r w:rsidRPr="0073501F">
        <w:rPr>
          <w:rFonts w:hAnsi="標楷體" w:hint="eastAsia"/>
        </w:rPr>
        <w:t>為了解若未接獲通報，主管機關是否握有多元工具可加以運用預防乙節，金管會回覆本院表示，各國金融監理機關之檢查報告均為密件，銀行海外分支機構可能遭當地監理機關裁罰之訊息，若銀行未向該會通報，國外監理機關亦未告知該會，該會實難透過其他管道或工具獲知該訊息；主管機關依法訂定監理措施並進行監理，惟關鍵仍在於金融機構是否落實執行相關規範，金融監理無法取代企業經營責任。又，依據金管會及財政部於本案發生後之檢討措施中，均包括加強與改善金融機構相關人員或公股代表之通報機制，足顯於實務運作上，各相關主管機關若未接獲通報，似難有所謂之多元工具可據以及時知悉並藉以採取預防措施。</w:t>
      </w:r>
      <w:bookmarkEnd w:id="221"/>
      <w:bookmarkEnd w:id="222"/>
    </w:p>
    <w:p w:rsidR="006C15FD" w:rsidRPr="0073501F" w:rsidRDefault="00673233" w:rsidP="00673233">
      <w:pPr>
        <w:pStyle w:val="3"/>
        <w:rPr>
          <w:rFonts w:hAnsi="標楷體"/>
        </w:rPr>
      </w:pPr>
      <w:bookmarkStart w:id="223" w:name="_Toc484177991"/>
      <w:bookmarkStart w:id="224" w:name="_Toc484593540"/>
      <w:r w:rsidRPr="0073501F">
        <w:rPr>
          <w:rFonts w:hAnsi="標楷體" w:hint="eastAsia"/>
        </w:rPr>
        <w:t>依據本案合意處分令內容，不論是兆豐銀行缺失項目或該行被要求之檢討改善內容，均係因兆豐銀行</w:t>
      </w:r>
      <w:r w:rsidRPr="0073501F">
        <w:rPr>
          <w:rFonts w:hAnsi="標楷體" w:hint="eastAsia"/>
        </w:rPr>
        <w:lastRenderedPageBreak/>
        <w:t>總行與海外分行之相關制度及作業欠佳，加上對NYDFS相關回應失當所致，該行應負最大之責任，</w:t>
      </w:r>
      <w:r w:rsidRPr="0073501F">
        <w:rPr>
          <w:rFonts w:hAnsi="標楷體" w:hint="eastAsia"/>
          <w:szCs w:val="32"/>
        </w:rPr>
        <w:t>金管會及財政部等均就其權責範圍內負責，如前開相關意見所指</w:t>
      </w:r>
      <w:r w:rsidRPr="0073501F">
        <w:rPr>
          <w:rFonts w:hAnsi="標楷體" w:hint="eastAsia"/>
        </w:rPr>
        <w:t>，似難謂本</w:t>
      </w:r>
      <w:r w:rsidRPr="0073501F">
        <w:rPr>
          <w:rFonts w:hAnsi="標楷體"/>
        </w:rPr>
        <w:t>案問題</w:t>
      </w:r>
      <w:r w:rsidRPr="0073501F">
        <w:rPr>
          <w:rFonts w:hAnsi="標楷體" w:hint="eastAsia"/>
        </w:rPr>
        <w:t>之</w:t>
      </w:r>
      <w:r w:rsidRPr="0073501F">
        <w:rPr>
          <w:rFonts w:hAnsi="標楷體"/>
        </w:rPr>
        <w:t>本質</w:t>
      </w:r>
      <w:r w:rsidRPr="0073501F">
        <w:rPr>
          <w:rFonts w:hAnsi="標楷體" w:hint="eastAsia"/>
        </w:rPr>
        <w:t>係屬</w:t>
      </w:r>
      <w:r w:rsidRPr="0073501F">
        <w:rPr>
          <w:rFonts w:hAnsi="標楷體"/>
        </w:rPr>
        <w:t>金融監理失靈</w:t>
      </w:r>
      <w:r w:rsidRPr="0073501F">
        <w:rPr>
          <w:rFonts w:hAnsi="標楷體" w:hint="eastAsia"/>
        </w:rPr>
        <w:t>。</w:t>
      </w:r>
      <w:r w:rsidRPr="0073501F">
        <w:rPr>
          <w:rFonts w:hAnsi="標楷體" w:hint="eastAsia"/>
          <w:szCs w:val="32"/>
        </w:rPr>
        <w:t>金管會對金融機構各項表報之審閱或派員實地檢查等作為，均無法也不應取代各金融機構之董事會及管理階層於經營與管理上應承擔之權責，否則將使金融主管機關之監理職責與公司管理階層之公司治理，產生權責不清疑慮。倘若將各金融機構應自行負責之公司治理範疇強加於主管機關監理之範圍中，則各金融機構之董事會及管理階層，形同虛設，主管機關亦應對各金融機構之經營績效及損益結果負責，亦將形成主管機關球員兼裁判，公司治理恐成空言。爰本案</w:t>
      </w:r>
      <w:r w:rsidRPr="0073501F">
        <w:rPr>
          <w:rFonts w:hAnsi="標楷體" w:hint="eastAsia"/>
        </w:rPr>
        <w:t>行政院雖已就相關部會完成督管責任報告，然該報告所提查核發現及責任歸屬，經本院上開調查發現，該院所提查核發現及責任歸屬等部分，並非妥適。</w:t>
      </w:r>
      <w:bookmarkEnd w:id="223"/>
      <w:bookmarkEnd w:id="224"/>
    </w:p>
    <w:p w:rsidR="006C15FD" w:rsidRPr="0073501F" w:rsidRDefault="006C15FD" w:rsidP="006C15FD">
      <w:pPr>
        <w:pStyle w:val="2"/>
        <w:numPr>
          <w:ilvl w:val="0"/>
          <w:numId w:val="0"/>
        </w:numPr>
        <w:ind w:left="1021"/>
        <w:rPr>
          <w:rFonts w:hAnsi="標楷體"/>
        </w:rPr>
      </w:pPr>
    </w:p>
    <w:p w:rsidR="00441F49" w:rsidRPr="0073501F" w:rsidRDefault="00441F49" w:rsidP="006C15FD">
      <w:pPr>
        <w:pStyle w:val="3"/>
        <w:numPr>
          <w:ilvl w:val="0"/>
          <w:numId w:val="0"/>
        </w:numPr>
        <w:ind w:left="1361"/>
        <w:rPr>
          <w:rFonts w:hAnsi="標楷體"/>
        </w:rPr>
      </w:pPr>
    </w:p>
    <w:p w:rsidR="00441F49" w:rsidRPr="0073501F" w:rsidRDefault="00441F49" w:rsidP="00441F49">
      <w:pPr>
        <w:pStyle w:val="2"/>
        <w:numPr>
          <w:ilvl w:val="0"/>
          <w:numId w:val="0"/>
        </w:numPr>
        <w:ind w:left="1021"/>
        <w:rPr>
          <w:rFonts w:hAnsi="標楷體"/>
        </w:rPr>
      </w:pPr>
    </w:p>
    <w:p w:rsidR="00441F49" w:rsidRPr="0073501F" w:rsidRDefault="00441F49" w:rsidP="00441F49">
      <w:pPr>
        <w:pStyle w:val="4"/>
        <w:numPr>
          <w:ilvl w:val="0"/>
          <w:numId w:val="0"/>
        </w:numPr>
        <w:rPr>
          <w:rFonts w:hAnsi="標楷體"/>
        </w:rPr>
      </w:pPr>
    </w:p>
    <w:p w:rsidR="00441F49" w:rsidRPr="0073501F" w:rsidRDefault="00441F49" w:rsidP="00441F49">
      <w:pPr>
        <w:pStyle w:val="10"/>
        <w:ind w:leftChars="300" w:left="1020" w:firstLine="680"/>
        <w:rPr>
          <w:rFonts w:hAnsi="標楷體"/>
        </w:rPr>
      </w:pPr>
    </w:p>
    <w:p w:rsidR="00441F49" w:rsidRPr="0073501F" w:rsidRDefault="00441F49" w:rsidP="00441F49">
      <w:pPr>
        <w:pStyle w:val="1"/>
        <w:ind w:left="2380" w:hanging="2380"/>
        <w:rPr>
          <w:rFonts w:hAnsi="標楷體"/>
          <w:b/>
        </w:rPr>
      </w:pPr>
      <w:bookmarkStart w:id="225" w:name="_Toc524895648"/>
      <w:bookmarkStart w:id="226" w:name="_Toc524896194"/>
      <w:bookmarkStart w:id="227" w:name="_Toc524896224"/>
      <w:bookmarkStart w:id="228" w:name="_Toc524902734"/>
      <w:bookmarkStart w:id="229" w:name="_Toc525066148"/>
      <w:bookmarkStart w:id="230" w:name="_Toc525070839"/>
      <w:bookmarkStart w:id="231" w:name="_Toc525938379"/>
      <w:bookmarkStart w:id="232" w:name="_Toc525939227"/>
      <w:bookmarkStart w:id="233" w:name="_Toc525939732"/>
      <w:bookmarkStart w:id="234" w:name="_Toc529218272"/>
      <w:r w:rsidRPr="0073501F">
        <w:rPr>
          <w:rFonts w:hAnsi="標楷體"/>
        </w:rPr>
        <w:br w:type="page"/>
      </w:r>
      <w:bookmarkStart w:id="235" w:name="_Toc529222689"/>
      <w:bookmarkStart w:id="236" w:name="_Toc529223111"/>
      <w:bookmarkStart w:id="237" w:name="_Toc529223862"/>
      <w:bookmarkStart w:id="238" w:name="_Toc529228265"/>
      <w:bookmarkStart w:id="239" w:name="_Toc2400395"/>
      <w:bookmarkStart w:id="240" w:name="_Toc4316189"/>
      <w:bookmarkStart w:id="241" w:name="_Toc4473330"/>
      <w:bookmarkStart w:id="242" w:name="_Toc69556897"/>
      <w:bookmarkStart w:id="243" w:name="_Toc69556946"/>
      <w:bookmarkStart w:id="244" w:name="_Toc69609820"/>
      <w:bookmarkStart w:id="245" w:name="_Toc70241816"/>
      <w:bookmarkStart w:id="246" w:name="_Toc70242205"/>
      <w:bookmarkStart w:id="247" w:name="_Toc421794875"/>
      <w:bookmarkStart w:id="248" w:name="_Toc422834160"/>
      <w:bookmarkStart w:id="249" w:name="_Toc484177992"/>
      <w:bookmarkStart w:id="250" w:name="_Toc484593541"/>
      <w:r w:rsidRPr="0073501F">
        <w:rPr>
          <w:rFonts w:hAnsi="標楷體" w:hint="eastAsia"/>
          <w:b/>
        </w:rPr>
        <w:lastRenderedPageBreak/>
        <w:t>處理辦法：</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73501F">
        <w:rPr>
          <w:rFonts w:hAnsi="標楷體"/>
          <w:b/>
        </w:rPr>
        <w:t xml:space="preserve"> </w:t>
      </w:r>
    </w:p>
    <w:p w:rsidR="00441F49" w:rsidRPr="0073501F" w:rsidRDefault="00441F49" w:rsidP="00441F49">
      <w:pPr>
        <w:pStyle w:val="2"/>
        <w:rPr>
          <w:rFonts w:hAnsi="標楷體"/>
        </w:rPr>
      </w:pPr>
      <w:bookmarkStart w:id="251" w:name="_Toc524895649"/>
      <w:bookmarkStart w:id="252" w:name="_Toc524896195"/>
      <w:bookmarkStart w:id="253" w:name="_Toc524896225"/>
      <w:bookmarkStart w:id="254" w:name="_Toc70241820"/>
      <w:bookmarkStart w:id="255" w:name="_Toc70242209"/>
      <w:bookmarkStart w:id="256" w:name="_Toc421794876"/>
      <w:bookmarkStart w:id="257" w:name="_Toc421795442"/>
      <w:bookmarkStart w:id="258" w:name="_Toc421796023"/>
      <w:bookmarkStart w:id="259" w:name="_Toc422728958"/>
      <w:bookmarkStart w:id="260" w:name="_Toc422834161"/>
      <w:bookmarkStart w:id="261" w:name="_Toc484164548"/>
      <w:bookmarkStart w:id="262" w:name="_Toc484177993"/>
      <w:bookmarkStart w:id="263" w:name="_Toc484593542"/>
      <w:bookmarkStart w:id="264" w:name="_Toc524902735"/>
      <w:bookmarkStart w:id="265" w:name="_Toc525066149"/>
      <w:bookmarkStart w:id="266" w:name="_Toc525070840"/>
      <w:bookmarkStart w:id="267" w:name="_Toc525938380"/>
      <w:bookmarkStart w:id="268" w:name="_Toc525939228"/>
      <w:bookmarkStart w:id="269" w:name="_Toc525939733"/>
      <w:bookmarkStart w:id="270" w:name="_Toc529218273"/>
      <w:bookmarkStart w:id="271" w:name="_Toc529222690"/>
      <w:bookmarkStart w:id="272" w:name="_Toc529223112"/>
      <w:bookmarkStart w:id="273" w:name="_Toc529223863"/>
      <w:bookmarkStart w:id="274" w:name="_Toc529228266"/>
      <w:bookmarkStart w:id="275" w:name="_Toc2400396"/>
      <w:bookmarkStart w:id="276" w:name="_Toc4316190"/>
      <w:bookmarkStart w:id="277" w:name="_Toc4473331"/>
      <w:bookmarkStart w:id="278" w:name="_Toc69556898"/>
      <w:bookmarkStart w:id="279" w:name="_Toc69556947"/>
      <w:bookmarkStart w:id="280" w:name="_Toc69609821"/>
      <w:bookmarkStart w:id="281" w:name="_Toc70241817"/>
      <w:bookmarkStart w:id="282" w:name="_Toc70242206"/>
      <w:bookmarkEnd w:id="251"/>
      <w:bookmarkEnd w:id="252"/>
      <w:bookmarkEnd w:id="253"/>
      <w:r w:rsidRPr="0073501F">
        <w:rPr>
          <w:rFonts w:hAnsi="標楷體" w:hint="eastAsia"/>
        </w:rPr>
        <w:t>調查意見</w:t>
      </w:r>
      <w:r w:rsidR="006522B8" w:rsidRPr="0073501F">
        <w:rPr>
          <w:rFonts w:hAnsi="標楷體" w:hint="eastAsia"/>
        </w:rPr>
        <w:t>一</w:t>
      </w:r>
      <w:r w:rsidR="008625E6" w:rsidRPr="0073501F">
        <w:rPr>
          <w:rFonts w:hAnsi="標楷體" w:hint="eastAsia"/>
        </w:rPr>
        <w:t>至三</w:t>
      </w:r>
      <w:r w:rsidR="006522B8" w:rsidRPr="0073501F">
        <w:rPr>
          <w:rFonts w:hAnsi="標楷體" w:hint="eastAsia"/>
        </w:rPr>
        <w:t>提案糾正</w:t>
      </w:r>
      <w:r w:rsidR="008625E6" w:rsidRPr="0073501F">
        <w:rPr>
          <w:rFonts w:hAnsi="標楷體" w:hint="eastAsia"/>
        </w:rPr>
        <w:t>行政院、</w:t>
      </w:r>
      <w:r w:rsidR="006522B8" w:rsidRPr="0073501F">
        <w:rPr>
          <w:rFonts w:hAnsi="標楷體" w:hint="eastAsia"/>
        </w:rPr>
        <w:t>金融監督管理委員會</w:t>
      </w:r>
      <w:r w:rsidR="008625E6" w:rsidRPr="0073501F">
        <w:rPr>
          <w:rFonts w:hAnsi="標楷體" w:hint="eastAsia"/>
        </w:rPr>
        <w:t>、財政部</w:t>
      </w:r>
      <w:r w:rsidRPr="0073501F">
        <w:rPr>
          <w:rFonts w:hAnsi="標楷體" w:hint="eastAsia"/>
        </w:rPr>
        <w:t>。</w:t>
      </w:r>
      <w:bookmarkEnd w:id="254"/>
      <w:bookmarkEnd w:id="255"/>
      <w:bookmarkEnd w:id="256"/>
      <w:bookmarkEnd w:id="257"/>
      <w:bookmarkEnd w:id="258"/>
      <w:bookmarkEnd w:id="259"/>
      <w:bookmarkEnd w:id="260"/>
      <w:bookmarkEnd w:id="261"/>
      <w:bookmarkEnd w:id="262"/>
      <w:bookmarkEnd w:id="263"/>
    </w:p>
    <w:p w:rsidR="006522B8" w:rsidRPr="0073501F" w:rsidRDefault="006522B8" w:rsidP="006522B8">
      <w:pPr>
        <w:pStyle w:val="2"/>
      </w:pPr>
      <w:bookmarkStart w:id="283" w:name="_Toc484164551"/>
      <w:bookmarkStart w:id="284" w:name="_Toc484177996"/>
      <w:bookmarkStart w:id="285" w:name="_Toc484593543"/>
      <w:r w:rsidRPr="0073501F">
        <w:rPr>
          <w:rFonts w:hint="eastAsia"/>
        </w:rPr>
        <w:t>調查意見四函請財政部</w:t>
      </w:r>
      <w:r w:rsidRPr="0073501F">
        <w:rPr>
          <w:rFonts w:hAnsi="標楷體" w:hint="eastAsia"/>
        </w:rPr>
        <w:t>確實檢討改進。</w:t>
      </w:r>
      <w:bookmarkEnd w:id="283"/>
      <w:bookmarkEnd w:id="284"/>
      <w:bookmarkEnd w:id="285"/>
    </w:p>
    <w:p w:rsidR="00441F49" w:rsidRPr="0073501F" w:rsidRDefault="00441F49" w:rsidP="00441F49">
      <w:pPr>
        <w:pStyle w:val="2"/>
        <w:rPr>
          <w:rFonts w:hAnsi="標楷體"/>
        </w:rPr>
      </w:pPr>
      <w:bookmarkStart w:id="286" w:name="_Toc484164552"/>
      <w:bookmarkStart w:id="287" w:name="_Toc484177997"/>
      <w:bookmarkStart w:id="288" w:name="_Toc484593544"/>
      <w:r w:rsidRPr="0073501F">
        <w:rPr>
          <w:rFonts w:hAnsi="標楷體" w:hint="eastAsia"/>
        </w:rPr>
        <w:t>調查意見五函請行政院參處見復。</w:t>
      </w:r>
      <w:bookmarkEnd w:id="286"/>
      <w:bookmarkEnd w:id="287"/>
      <w:bookmarkEnd w:id="288"/>
    </w:p>
    <w:p w:rsidR="0073501F" w:rsidRPr="0073501F" w:rsidRDefault="00542F82" w:rsidP="00542F82">
      <w:pPr>
        <w:pStyle w:val="2"/>
        <w:rPr>
          <w:rFonts w:hAnsi="標楷體"/>
        </w:rPr>
      </w:pPr>
      <w:r w:rsidRPr="00542F82">
        <w:rPr>
          <w:rFonts w:hAnsi="標楷體" w:hint="eastAsia"/>
        </w:rPr>
        <w:t>影附調查意見函復陳訴人。</w:t>
      </w:r>
    </w:p>
    <w:p w:rsidR="008625E6" w:rsidRPr="0073501F" w:rsidRDefault="00542F82" w:rsidP="00542F82">
      <w:pPr>
        <w:pStyle w:val="2"/>
        <w:rPr>
          <w:rFonts w:hAnsi="標楷體"/>
        </w:rPr>
      </w:pPr>
      <w:r w:rsidRPr="00542F82">
        <w:rPr>
          <w:rFonts w:hAnsi="標楷體" w:hint="eastAsia"/>
        </w:rPr>
        <w:t>調查報告之案由、調查意見(公布版)及處理辦法上網公布。</w:t>
      </w:r>
    </w:p>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rsidR="00441F49" w:rsidRPr="0073501F" w:rsidRDefault="00441F49" w:rsidP="00542F82">
      <w:pPr>
        <w:pStyle w:val="2"/>
        <w:numPr>
          <w:ilvl w:val="0"/>
          <w:numId w:val="0"/>
        </w:numPr>
        <w:ind w:left="1021"/>
        <w:rPr>
          <w:rFonts w:hAnsi="標楷體" w:hint="eastAsia"/>
        </w:rPr>
      </w:pPr>
    </w:p>
    <w:p w:rsidR="00441F49" w:rsidRPr="0073501F" w:rsidRDefault="00441F49" w:rsidP="00441F49">
      <w:pPr>
        <w:pStyle w:val="aa"/>
        <w:spacing w:beforeLines="150" w:before="685" w:after="0"/>
        <w:ind w:leftChars="1100" w:left="3742"/>
        <w:rPr>
          <w:rFonts w:hAnsi="標楷體"/>
          <w:b w:val="0"/>
          <w:bCs/>
          <w:snapToGrid/>
          <w:spacing w:val="0"/>
          <w:kern w:val="0"/>
          <w:sz w:val="40"/>
        </w:rPr>
      </w:pPr>
      <w:r w:rsidRPr="0073501F">
        <w:rPr>
          <w:rFonts w:hAnsi="標楷體" w:hint="eastAsia"/>
          <w:b w:val="0"/>
          <w:bCs/>
          <w:snapToGrid/>
          <w:spacing w:val="12"/>
          <w:kern w:val="0"/>
          <w:sz w:val="40"/>
        </w:rPr>
        <w:t>調查委員：</w:t>
      </w:r>
      <w:r w:rsidR="00542F82">
        <w:rPr>
          <w:rFonts w:hAnsi="標楷體" w:hint="eastAsia"/>
          <w:b w:val="0"/>
          <w:bCs/>
          <w:snapToGrid/>
          <w:spacing w:val="12"/>
          <w:kern w:val="0"/>
          <w:sz w:val="40"/>
        </w:rPr>
        <w:t>王美玉</w:t>
      </w:r>
    </w:p>
    <w:p w:rsidR="00441F49" w:rsidRPr="00542F82" w:rsidRDefault="00542F82" w:rsidP="00441F49">
      <w:pPr>
        <w:pStyle w:val="aa"/>
        <w:spacing w:before="0" w:after="0"/>
        <w:ind w:leftChars="1100" w:left="3742" w:firstLineChars="500" w:firstLine="2021"/>
        <w:rPr>
          <w:rFonts w:hAnsi="標楷體"/>
          <w:b w:val="0"/>
          <w:bCs/>
          <w:snapToGrid/>
          <w:spacing w:val="12"/>
          <w:kern w:val="0"/>
          <w:sz w:val="40"/>
          <w:szCs w:val="40"/>
        </w:rPr>
      </w:pPr>
      <w:r>
        <w:rPr>
          <w:rFonts w:hAnsi="標楷體" w:hint="eastAsia"/>
          <w:b w:val="0"/>
          <w:bCs/>
          <w:snapToGrid/>
          <w:spacing w:val="12"/>
          <w:kern w:val="0"/>
        </w:rPr>
        <w:t xml:space="preserve"> </w:t>
      </w:r>
      <w:r w:rsidRPr="00542F82">
        <w:rPr>
          <w:rFonts w:hAnsi="標楷體" w:hint="eastAsia"/>
          <w:b w:val="0"/>
          <w:bCs/>
          <w:snapToGrid/>
          <w:spacing w:val="12"/>
          <w:kern w:val="0"/>
          <w:sz w:val="40"/>
          <w:szCs w:val="40"/>
        </w:rPr>
        <w:t>仉桂美</w:t>
      </w:r>
    </w:p>
    <w:p w:rsidR="00441F49" w:rsidRPr="0073501F" w:rsidRDefault="00441F49" w:rsidP="00441F49">
      <w:pPr>
        <w:pStyle w:val="aa"/>
        <w:spacing w:before="0" w:after="0"/>
        <w:ind w:leftChars="1100" w:left="3742" w:firstLineChars="500" w:firstLine="2021"/>
        <w:rPr>
          <w:rFonts w:hAnsi="標楷體"/>
          <w:b w:val="0"/>
          <w:bCs/>
          <w:snapToGrid/>
          <w:spacing w:val="12"/>
          <w:kern w:val="0"/>
        </w:rPr>
      </w:pPr>
    </w:p>
    <w:p w:rsidR="00441F49" w:rsidRPr="0073501F" w:rsidRDefault="00441F49" w:rsidP="00441F49">
      <w:pPr>
        <w:pStyle w:val="aa"/>
        <w:spacing w:before="0" w:after="0"/>
        <w:ind w:leftChars="1100" w:left="3742" w:firstLineChars="500" w:firstLine="2021"/>
        <w:rPr>
          <w:rFonts w:hAnsi="標楷體"/>
          <w:b w:val="0"/>
          <w:bCs/>
          <w:snapToGrid/>
          <w:spacing w:val="12"/>
          <w:kern w:val="0"/>
        </w:rPr>
      </w:pPr>
    </w:p>
    <w:p w:rsidR="00441F49" w:rsidRPr="0073501F" w:rsidRDefault="00441F49" w:rsidP="00441F49">
      <w:pPr>
        <w:pStyle w:val="aa"/>
        <w:spacing w:before="0" w:after="0"/>
        <w:ind w:leftChars="1100" w:left="3742" w:firstLineChars="500" w:firstLine="2021"/>
        <w:rPr>
          <w:rFonts w:hAnsi="標楷體"/>
          <w:b w:val="0"/>
          <w:bCs/>
          <w:snapToGrid/>
          <w:spacing w:val="12"/>
          <w:kern w:val="0"/>
        </w:rPr>
      </w:pPr>
    </w:p>
    <w:p w:rsidR="00441F49" w:rsidRPr="0073501F" w:rsidRDefault="00441F49" w:rsidP="00441F49">
      <w:pPr>
        <w:pStyle w:val="aa"/>
        <w:spacing w:before="0" w:after="0"/>
        <w:ind w:leftChars="1100" w:left="3742" w:firstLineChars="500" w:firstLine="2021"/>
        <w:rPr>
          <w:rFonts w:hAnsi="標楷體"/>
          <w:b w:val="0"/>
          <w:bCs/>
          <w:snapToGrid/>
          <w:spacing w:val="12"/>
          <w:kern w:val="0"/>
        </w:rPr>
      </w:pPr>
    </w:p>
    <w:p w:rsidR="00441F49" w:rsidRPr="0073501F" w:rsidRDefault="00441F49" w:rsidP="00441F49">
      <w:pPr>
        <w:pStyle w:val="aa"/>
        <w:spacing w:before="0" w:after="0"/>
        <w:ind w:leftChars="1100" w:left="3742" w:firstLineChars="500" w:firstLine="2021"/>
        <w:rPr>
          <w:rFonts w:hAnsi="標楷體"/>
          <w:b w:val="0"/>
          <w:bCs/>
          <w:snapToGrid/>
          <w:spacing w:val="12"/>
          <w:kern w:val="0"/>
        </w:rPr>
      </w:pPr>
    </w:p>
    <w:p w:rsidR="00441F49" w:rsidRPr="0073501F" w:rsidRDefault="00441F49" w:rsidP="00441F49">
      <w:pPr>
        <w:pStyle w:val="aa"/>
        <w:spacing w:before="0" w:after="0"/>
        <w:ind w:leftChars="1100" w:left="3742" w:firstLineChars="500" w:firstLine="2021"/>
        <w:rPr>
          <w:rFonts w:hAnsi="標楷體"/>
          <w:b w:val="0"/>
          <w:bCs/>
          <w:snapToGrid/>
          <w:spacing w:val="12"/>
          <w:kern w:val="0"/>
        </w:rPr>
      </w:pPr>
    </w:p>
    <w:p w:rsidR="0064042C" w:rsidRPr="0073501F" w:rsidRDefault="0064042C" w:rsidP="002A7C7A">
      <w:pPr>
        <w:pStyle w:val="3"/>
        <w:numPr>
          <w:ilvl w:val="0"/>
          <w:numId w:val="0"/>
        </w:numPr>
        <w:ind w:left="1048" w:hangingChars="308" w:hanging="1048"/>
        <w:rPr>
          <w:rFonts w:hAnsi="標楷體"/>
        </w:rPr>
      </w:pPr>
    </w:p>
    <w:p w:rsidR="002653FA" w:rsidRPr="0073501F" w:rsidRDefault="00F146AB" w:rsidP="00407DAE">
      <w:pPr>
        <w:jc w:val="center"/>
        <w:rPr>
          <w:rFonts w:hAnsi="標楷體"/>
          <w:sz w:val="20"/>
        </w:rPr>
      </w:pPr>
      <w:r w:rsidRPr="0073501F">
        <w:rPr>
          <w:rFonts w:hAnsi="標楷體"/>
          <w:szCs w:val="32"/>
        </w:rPr>
        <w:br w:type="page"/>
      </w:r>
      <w:r w:rsidR="00407DAE" w:rsidRPr="0073501F">
        <w:rPr>
          <w:rFonts w:hAnsi="標楷體"/>
          <w:sz w:val="20"/>
        </w:rPr>
        <w:lastRenderedPageBreak/>
        <w:t xml:space="preserve"> </w:t>
      </w:r>
    </w:p>
    <w:p w:rsidR="002653FA" w:rsidRPr="0073501F" w:rsidRDefault="00DA0FCA" w:rsidP="00DA0FCA">
      <w:pPr>
        <w:jc w:val="center"/>
        <w:rPr>
          <w:rFonts w:hAnsi="標楷體"/>
          <w:b/>
          <w:sz w:val="28"/>
          <w:szCs w:val="28"/>
        </w:rPr>
      </w:pPr>
      <w:r w:rsidRPr="0073501F">
        <w:rPr>
          <w:rFonts w:hAnsi="標楷體" w:hint="eastAsia"/>
          <w:b/>
          <w:sz w:val="28"/>
          <w:szCs w:val="28"/>
        </w:rPr>
        <w:t>附表</w:t>
      </w:r>
      <w:r w:rsidR="0035179B" w:rsidRPr="0073501F">
        <w:rPr>
          <w:rFonts w:hAnsi="標楷體" w:hint="eastAsia"/>
          <w:b/>
          <w:sz w:val="28"/>
          <w:szCs w:val="28"/>
        </w:rPr>
        <w:t>5</w:t>
      </w:r>
      <w:r w:rsidRPr="0073501F">
        <w:rPr>
          <w:rFonts w:hAnsi="標楷體" w:hint="eastAsia"/>
          <w:b/>
          <w:sz w:val="28"/>
          <w:szCs w:val="28"/>
        </w:rPr>
        <w:t xml:space="preserve"> </w:t>
      </w:r>
      <w:r w:rsidR="002653FA" w:rsidRPr="0073501F">
        <w:rPr>
          <w:rFonts w:hAnsi="標楷體" w:hint="eastAsia"/>
          <w:b/>
          <w:sz w:val="28"/>
          <w:szCs w:val="28"/>
        </w:rPr>
        <w:t>兆豐金控董事長及總經理之半年度績效評鑑</w:t>
      </w:r>
    </w:p>
    <w:p w:rsidR="002653FA" w:rsidRPr="0073501F" w:rsidRDefault="002653FA" w:rsidP="002653FA">
      <w:pPr>
        <w:jc w:val="right"/>
        <w:rPr>
          <w:rFonts w:hAnsi="標楷體"/>
          <w:sz w:val="20"/>
        </w:rPr>
      </w:pPr>
      <w:r w:rsidRPr="0073501F">
        <w:rPr>
          <w:rFonts w:hAnsi="標楷體" w:hint="eastAsia"/>
          <w:sz w:val="20"/>
        </w:rPr>
        <w:t>單位：分</w:t>
      </w:r>
    </w:p>
    <w:tbl>
      <w:tblPr>
        <w:tblStyle w:val="af6"/>
        <w:tblW w:w="9180" w:type="dxa"/>
        <w:tblLook w:val="04A0" w:firstRow="1" w:lastRow="0" w:firstColumn="1" w:lastColumn="0" w:noHBand="0" w:noVBand="1"/>
      </w:tblPr>
      <w:tblGrid>
        <w:gridCol w:w="576"/>
        <w:gridCol w:w="808"/>
        <w:gridCol w:w="992"/>
        <w:gridCol w:w="993"/>
        <w:gridCol w:w="708"/>
        <w:gridCol w:w="709"/>
        <w:gridCol w:w="709"/>
        <w:gridCol w:w="3685"/>
      </w:tblGrid>
      <w:tr w:rsidR="002653FA" w:rsidRPr="0073501F" w:rsidTr="00DA0FCA">
        <w:trPr>
          <w:tblHeader/>
        </w:trPr>
        <w:tc>
          <w:tcPr>
            <w:tcW w:w="1384" w:type="dxa"/>
            <w:gridSpan w:val="2"/>
            <w:vMerge w:val="restart"/>
            <w:vAlign w:val="center"/>
          </w:tcPr>
          <w:p w:rsidR="002653FA" w:rsidRPr="0073501F" w:rsidRDefault="002653FA" w:rsidP="002653FA">
            <w:pPr>
              <w:spacing w:line="300" w:lineRule="exact"/>
              <w:ind w:leftChars="-25" w:left="-85" w:rightChars="-25" w:right="-85"/>
              <w:jc w:val="center"/>
              <w:rPr>
                <w:rFonts w:hAnsi="標楷體"/>
                <w:spacing w:val="-20"/>
                <w:sz w:val="20"/>
              </w:rPr>
            </w:pPr>
            <w:r w:rsidRPr="0073501F">
              <w:rPr>
                <w:rFonts w:hAnsi="標楷體" w:hint="eastAsia"/>
                <w:spacing w:val="-20"/>
                <w:sz w:val="20"/>
              </w:rPr>
              <w:t>年度</w:t>
            </w:r>
          </w:p>
        </w:tc>
        <w:tc>
          <w:tcPr>
            <w:tcW w:w="992"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職稱</w:t>
            </w:r>
          </w:p>
        </w:tc>
        <w:tc>
          <w:tcPr>
            <w:tcW w:w="993"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姓名</w:t>
            </w:r>
          </w:p>
        </w:tc>
        <w:tc>
          <w:tcPr>
            <w:tcW w:w="708"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自評</w:t>
            </w:r>
          </w:p>
        </w:tc>
        <w:tc>
          <w:tcPr>
            <w:tcW w:w="709"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複評</w:t>
            </w:r>
          </w:p>
        </w:tc>
        <w:tc>
          <w:tcPr>
            <w:tcW w:w="4394" w:type="dxa"/>
            <w:gridSpan w:val="2"/>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初複評之差距(複評‐初評)</w:t>
            </w:r>
          </w:p>
        </w:tc>
      </w:tr>
      <w:tr w:rsidR="002653FA" w:rsidRPr="0073501F" w:rsidTr="00DA0FCA">
        <w:tc>
          <w:tcPr>
            <w:tcW w:w="1384" w:type="dxa"/>
            <w:gridSpan w:val="2"/>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Merge/>
            <w:vAlign w:val="center"/>
          </w:tcPr>
          <w:p w:rsidR="002653FA" w:rsidRPr="0073501F" w:rsidRDefault="002653FA" w:rsidP="00C33158">
            <w:pPr>
              <w:spacing w:line="300" w:lineRule="exact"/>
              <w:rPr>
                <w:rFonts w:hAnsi="標楷體"/>
                <w:sz w:val="20"/>
              </w:rPr>
            </w:pPr>
          </w:p>
        </w:tc>
        <w:tc>
          <w:tcPr>
            <w:tcW w:w="993" w:type="dxa"/>
            <w:vMerge/>
          </w:tcPr>
          <w:p w:rsidR="002653FA" w:rsidRPr="0073501F" w:rsidRDefault="002653FA" w:rsidP="00C33158">
            <w:pPr>
              <w:spacing w:line="300" w:lineRule="exact"/>
              <w:rPr>
                <w:rFonts w:hAnsi="標楷體"/>
                <w:sz w:val="20"/>
              </w:rPr>
            </w:pPr>
          </w:p>
        </w:tc>
        <w:tc>
          <w:tcPr>
            <w:tcW w:w="708" w:type="dxa"/>
            <w:vMerge/>
          </w:tcPr>
          <w:p w:rsidR="002653FA" w:rsidRPr="0073501F" w:rsidRDefault="002653FA" w:rsidP="00C33158">
            <w:pPr>
              <w:spacing w:line="300" w:lineRule="exact"/>
              <w:jc w:val="right"/>
              <w:rPr>
                <w:rFonts w:hAnsi="標楷體"/>
                <w:sz w:val="20"/>
              </w:rPr>
            </w:pPr>
          </w:p>
        </w:tc>
        <w:tc>
          <w:tcPr>
            <w:tcW w:w="709" w:type="dxa"/>
            <w:vMerge/>
          </w:tcPr>
          <w:p w:rsidR="002653FA" w:rsidRPr="0073501F" w:rsidRDefault="002653FA" w:rsidP="00C33158">
            <w:pPr>
              <w:spacing w:line="300" w:lineRule="exact"/>
              <w:jc w:val="right"/>
              <w:rPr>
                <w:rFonts w:hAnsi="標楷體"/>
                <w:sz w:val="20"/>
              </w:rPr>
            </w:pPr>
          </w:p>
        </w:tc>
        <w:tc>
          <w:tcPr>
            <w:tcW w:w="709"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分數</w:t>
            </w:r>
          </w:p>
        </w:tc>
        <w:tc>
          <w:tcPr>
            <w:tcW w:w="3685" w:type="dxa"/>
          </w:tcPr>
          <w:p w:rsidR="002653FA" w:rsidRPr="0073501F" w:rsidRDefault="002653FA" w:rsidP="00C33158">
            <w:pPr>
              <w:spacing w:line="300" w:lineRule="exact"/>
              <w:jc w:val="center"/>
              <w:rPr>
                <w:rFonts w:hAnsi="標楷體"/>
                <w:sz w:val="20"/>
              </w:rPr>
            </w:pPr>
            <w:r w:rsidRPr="0073501F">
              <w:rPr>
                <w:rFonts w:hAnsi="標楷體" w:hint="eastAsia"/>
                <w:sz w:val="20"/>
              </w:rPr>
              <w:t>原因</w:t>
            </w:r>
          </w:p>
        </w:tc>
      </w:tr>
      <w:tr w:rsidR="002653FA" w:rsidRPr="0073501F" w:rsidTr="00DA0FCA">
        <w:tc>
          <w:tcPr>
            <w:tcW w:w="576" w:type="dxa"/>
            <w:vMerge w:val="restart"/>
            <w:vAlign w:val="center"/>
          </w:tcPr>
          <w:p w:rsidR="002653FA" w:rsidRPr="0073501F" w:rsidRDefault="002653FA" w:rsidP="002653FA">
            <w:pPr>
              <w:spacing w:line="300" w:lineRule="exact"/>
              <w:ind w:leftChars="-25" w:left="-85" w:rightChars="-25" w:right="-85"/>
              <w:jc w:val="center"/>
              <w:rPr>
                <w:rFonts w:hAnsi="標楷體"/>
                <w:spacing w:val="-20"/>
                <w:sz w:val="20"/>
              </w:rPr>
            </w:pPr>
            <w:r w:rsidRPr="0073501F">
              <w:rPr>
                <w:rFonts w:hAnsi="標楷體" w:hint="eastAsia"/>
                <w:spacing w:val="-20"/>
                <w:sz w:val="20"/>
              </w:rPr>
              <w:t>98</w:t>
            </w: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上半年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王榮周</w:t>
            </w:r>
          </w:p>
        </w:tc>
        <w:tc>
          <w:tcPr>
            <w:tcW w:w="708"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86.0</w:t>
            </w:r>
          </w:p>
        </w:tc>
        <w:tc>
          <w:tcPr>
            <w:tcW w:w="709"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86.0</w:t>
            </w:r>
          </w:p>
        </w:tc>
        <w:tc>
          <w:tcPr>
            <w:tcW w:w="709" w:type="dxa"/>
            <w:vMerge w:val="restart"/>
            <w:vAlign w:val="center"/>
          </w:tcPr>
          <w:p w:rsidR="002653FA" w:rsidRPr="0073501F" w:rsidRDefault="002653FA" w:rsidP="00C33158">
            <w:pPr>
              <w:spacing w:line="300" w:lineRule="exact"/>
              <w:jc w:val="center"/>
              <w:rPr>
                <w:rFonts w:hAnsi="標楷體" w:cs="新細明體"/>
                <w:sz w:val="20"/>
              </w:rPr>
            </w:pPr>
            <w:r w:rsidRPr="0073501F">
              <w:rPr>
                <w:rFonts w:hAnsi="標楷體" w:cs="新細明體" w:hint="eastAsia"/>
                <w:sz w:val="20"/>
              </w:rPr>
              <w:t>0</w:t>
            </w:r>
          </w:p>
        </w:tc>
        <w:tc>
          <w:tcPr>
            <w:tcW w:w="3685" w:type="dxa"/>
            <w:vMerge w:val="restart"/>
          </w:tcPr>
          <w:p w:rsidR="002653FA" w:rsidRPr="0073501F" w:rsidRDefault="002653FA" w:rsidP="00C33158">
            <w:pPr>
              <w:spacing w:line="300" w:lineRule="exact"/>
              <w:rPr>
                <w:rFonts w:hAnsi="標楷體"/>
                <w:sz w:val="20"/>
              </w:rPr>
            </w:pP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徐光曦</w:t>
            </w:r>
          </w:p>
        </w:tc>
        <w:tc>
          <w:tcPr>
            <w:tcW w:w="708" w:type="dxa"/>
            <w:vMerge/>
          </w:tcPr>
          <w:p w:rsidR="002653FA" w:rsidRPr="0073501F" w:rsidRDefault="002653FA" w:rsidP="00C33158">
            <w:pPr>
              <w:spacing w:line="300" w:lineRule="exact"/>
              <w:jc w:val="right"/>
              <w:rPr>
                <w:rFonts w:hAnsi="標楷體"/>
                <w:sz w:val="20"/>
              </w:rPr>
            </w:pPr>
          </w:p>
        </w:tc>
        <w:tc>
          <w:tcPr>
            <w:tcW w:w="709" w:type="dxa"/>
            <w:vMerge/>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下半年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王榮周</w:t>
            </w:r>
          </w:p>
        </w:tc>
        <w:tc>
          <w:tcPr>
            <w:tcW w:w="708"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86.4</w:t>
            </w:r>
          </w:p>
        </w:tc>
        <w:tc>
          <w:tcPr>
            <w:tcW w:w="709"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86.4</w:t>
            </w:r>
          </w:p>
        </w:tc>
        <w:tc>
          <w:tcPr>
            <w:tcW w:w="709" w:type="dxa"/>
            <w:vMerge w:val="restart"/>
            <w:vAlign w:val="center"/>
          </w:tcPr>
          <w:p w:rsidR="002653FA" w:rsidRPr="0073501F" w:rsidRDefault="002653FA" w:rsidP="00C33158">
            <w:pPr>
              <w:spacing w:line="300" w:lineRule="exact"/>
              <w:jc w:val="center"/>
              <w:rPr>
                <w:rFonts w:hAnsi="標楷體" w:cs="新細明體"/>
                <w:sz w:val="20"/>
              </w:rPr>
            </w:pPr>
            <w:r w:rsidRPr="0073501F">
              <w:rPr>
                <w:rFonts w:hAnsi="標楷體" w:hint="eastAsia"/>
                <w:sz w:val="20"/>
              </w:rPr>
              <w:t>0</w:t>
            </w:r>
          </w:p>
        </w:tc>
        <w:tc>
          <w:tcPr>
            <w:tcW w:w="3685" w:type="dxa"/>
            <w:vMerge w:val="restart"/>
          </w:tcPr>
          <w:p w:rsidR="002653FA" w:rsidRPr="0073501F" w:rsidRDefault="002653FA" w:rsidP="00C33158">
            <w:pPr>
              <w:spacing w:line="300" w:lineRule="exact"/>
              <w:rPr>
                <w:rFonts w:hAnsi="標楷體"/>
                <w:sz w:val="20"/>
              </w:rPr>
            </w:pP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徐光曦</w:t>
            </w:r>
          </w:p>
        </w:tc>
        <w:tc>
          <w:tcPr>
            <w:tcW w:w="708" w:type="dxa"/>
            <w:vMerge/>
          </w:tcPr>
          <w:p w:rsidR="002653FA" w:rsidRPr="0073501F" w:rsidRDefault="002653FA" w:rsidP="00C33158">
            <w:pPr>
              <w:spacing w:line="300" w:lineRule="exact"/>
              <w:jc w:val="right"/>
              <w:rPr>
                <w:rFonts w:hAnsi="標楷體"/>
                <w:sz w:val="20"/>
              </w:rPr>
            </w:pPr>
          </w:p>
        </w:tc>
        <w:tc>
          <w:tcPr>
            <w:tcW w:w="709" w:type="dxa"/>
            <w:vMerge/>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c>
          <w:tcPr>
            <w:tcW w:w="576" w:type="dxa"/>
            <w:vMerge w:val="restart"/>
            <w:vAlign w:val="center"/>
          </w:tcPr>
          <w:p w:rsidR="002653FA" w:rsidRPr="0073501F" w:rsidRDefault="002653FA" w:rsidP="002653FA">
            <w:pPr>
              <w:spacing w:line="300" w:lineRule="exact"/>
              <w:ind w:leftChars="-25" w:left="-85" w:rightChars="-25" w:right="-85"/>
              <w:jc w:val="center"/>
              <w:rPr>
                <w:rFonts w:hAnsi="標楷體"/>
                <w:spacing w:val="-20"/>
                <w:sz w:val="20"/>
              </w:rPr>
            </w:pPr>
            <w:r w:rsidRPr="0073501F">
              <w:rPr>
                <w:rFonts w:hAnsi="標楷體" w:hint="eastAsia"/>
                <w:spacing w:val="-20"/>
                <w:sz w:val="20"/>
              </w:rPr>
              <w:t>99</w:t>
            </w: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上半年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王榮周</w:t>
            </w:r>
          </w:p>
        </w:tc>
        <w:tc>
          <w:tcPr>
            <w:tcW w:w="708"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89.6</w:t>
            </w:r>
          </w:p>
        </w:tc>
        <w:tc>
          <w:tcPr>
            <w:tcW w:w="709"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89.6</w:t>
            </w:r>
          </w:p>
        </w:tc>
        <w:tc>
          <w:tcPr>
            <w:tcW w:w="709" w:type="dxa"/>
            <w:vMerge w:val="restart"/>
            <w:vAlign w:val="center"/>
          </w:tcPr>
          <w:p w:rsidR="002653FA" w:rsidRPr="0073501F" w:rsidRDefault="002653FA" w:rsidP="00C33158">
            <w:pPr>
              <w:spacing w:line="300" w:lineRule="exact"/>
              <w:jc w:val="center"/>
              <w:rPr>
                <w:rFonts w:hAnsi="標楷體" w:cs="新細明體"/>
                <w:sz w:val="20"/>
              </w:rPr>
            </w:pPr>
            <w:r w:rsidRPr="0073501F">
              <w:rPr>
                <w:rFonts w:hAnsi="標楷體" w:cs="新細明體" w:hint="eastAsia"/>
                <w:sz w:val="20"/>
              </w:rPr>
              <w:t>0</w:t>
            </w:r>
          </w:p>
        </w:tc>
        <w:tc>
          <w:tcPr>
            <w:tcW w:w="3685" w:type="dxa"/>
            <w:vMerge w:val="restart"/>
          </w:tcPr>
          <w:p w:rsidR="002653FA" w:rsidRPr="0073501F" w:rsidRDefault="002653FA" w:rsidP="00C33158">
            <w:pPr>
              <w:spacing w:line="300" w:lineRule="exact"/>
              <w:rPr>
                <w:rFonts w:hAnsi="標楷體"/>
                <w:sz w:val="20"/>
              </w:rPr>
            </w:pP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徐光曦</w:t>
            </w:r>
          </w:p>
        </w:tc>
        <w:tc>
          <w:tcPr>
            <w:tcW w:w="708" w:type="dxa"/>
            <w:vMerge/>
            <w:vAlign w:val="center"/>
          </w:tcPr>
          <w:p w:rsidR="002653FA" w:rsidRPr="0073501F" w:rsidRDefault="002653FA" w:rsidP="00C33158">
            <w:pPr>
              <w:spacing w:line="300" w:lineRule="exact"/>
              <w:jc w:val="center"/>
              <w:rPr>
                <w:rFonts w:hAnsi="標楷體"/>
                <w:sz w:val="20"/>
              </w:rPr>
            </w:pPr>
          </w:p>
        </w:tc>
        <w:tc>
          <w:tcPr>
            <w:tcW w:w="709" w:type="dxa"/>
            <w:vMerge/>
            <w:vAlign w:val="center"/>
          </w:tcPr>
          <w:p w:rsidR="002653FA" w:rsidRPr="0073501F" w:rsidRDefault="002653FA" w:rsidP="00C33158">
            <w:pPr>
              <w:spacing w:line="300" w:lineRule="exact"/>
              <w:jc w:val="center"/>
              <w:rPr>
                <w:rFonts w:hAnsi="標楷體"/>
                <w:sz w:val="20"/>
              </w:rPr>
            </w:pPr>
          </w:p>
        </w:tc>
        <w:tc>
          <w:tcPr>
            <w:tcW w:w="709" w:type="dxa"/>
            <w:vMerge/>
            <w:vAlign w:val="center"/>
          </w:tcPr>
          <w:p w:rsidR="002653FA" w:rsidRPr="0073501F" w:rsidRDefault="002653FA" w:rsidP="00C33158">
            <w:pPr>
              <w:spacing w:line="300" w:lineRule="exact"/>
              <w:jc w:val="center"/>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下半年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蔡友才</w:t>
            </w:r>
          </w:p>
        </w:tc>
        <w:tc>
          <w:tcPr>
            <w:tcW w:w="708"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91.9</w:t>
            </w:r>
          </w:p>
        </w:tc>
        <w:tc>
          <w:tcPr>
            <w:tcW w:w="709"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91.9</w:t>
            </w:r>
          </w:p>
        </w:tc>
        <w:tc>
          <w:tcPr>
            <w:tcW w:w="709" w:type="dxa"/>
            <w:vMerge w:val="restart"/>
            <w:vAlign w:val="center"/>
          </w:tcPr>
          <w:p w:rsidR="002653FA" w:rsidRPr="0073501F" w:rsidRDefault="002653FA" w:rsidP="00C33158">
            <w:pPr>
              <w:spacing w:line="300" w:lineRule="exact"/>
              <w:jc w:val="center"/>
              <w:rPr>
                <w:rFonts w:hAnsi="標楷體" w:cs="新細明體"/>
                <w:sz w:val="20"/>
              </w:rPr>
            </w:pPr>
            <w:r w:rsidRPr="0073501F">
              <w:rPr>
                <w:rFonts w:hAnsi="標楷體" w:hint="eastAsia"/>
                <w:sz w:val="20"/>
              </w:rPr>
              <w:t>0</w:t>
            </w:r>
          </w:p>
        </w:tc>
        <w:tc>
          <w:tcPr>
            <w:tcW w:w="3685" w:type="dxa"/>
            <w:vMerge w:val="restart"/>
          </w:tcPr>
          <w:p w:rsidR="002653FA" w:rsidRPr="0073501F" w:rsidRDefault="002653FA" w:rsidP="00C33158">
            <w:pPr>
              <w:spacing w:line="300" w:lineRule="exact"/>
              <w:rPr>
                <w:rFonts w:hAnsi="標楷體"/>
                <w:sz w:val="20"/>
              </w:rPr>
            </w:pP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徐光曦</w:t>
            </w:r>
          </w:p>
        </w:tc>
        <w:tc>
          <w:tcPr>
            <w:tcW w:w="708" w:type="dxa"/>
            <w:vMerge/>
          </w:tcPr>
          <w:p w:rsidR="002653FA" w:rsidRPr="0073501F" w:rsidRDefault="002653FA" w:rsidP="00C33158">
            <w:pPr>
              <w:spacing w:line="300" w:lineRule="exact"/>
              <w:jc w:val="right"/>
              <w:rPr>
                <w:rFonts w:hAnsi="標楷體"/>
                <w:sz w:val="20"/>
              </w:rPr>
            </w:pPr>
          </w:p>
        </w:tc>
        <w:tc>
          <w:tcPr>
            <w:tcW w:w="709" w:type="dxa"/>
            <w:vMerge/>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c>
          <w:tcPr>
            <w:tcW w:w="576" w:type="dxa"/>
            <w:vMerge w:val="restart"/>
            <w:vAlign w:val="center"/>
          </w:tcPr>
          <w:p w:rsidR="002653FA" w:rsidRPr="0073501F" w:rsidRDefault="002653FA" w:rsidP="002653FA">
            <w:pPr>
              <w:spacing w:line="300" w:lineRule="exact"/>
              <w:ind w:leftChars="-25" w:left="-85" w:rightChars="-25" w:right="-85"/>
              <w:jc w:val="center"/>
              <w:rPr>
                <w:rFonts w:hAnsi="標楷體"/>
                <w:spacing w:val="-20"/>
                <w:sz w:val="20"/>
              </w:rPr>
            </w:pPr>
            <w:r w:rsidRPr="0073501F">
              <w:rPr>
                <w:rFonts w:hAnsi="標楷體" w:hint="eastAsia"/>
                <w:spacing w:val="-20"/>
                <w:sz w:val="20"/>
              </w:rPr>
              <w:t>100</w:t>
            </w: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上半年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蔡友才</w:t>
            </w:r>
          </w:p>
        </w:tc>
        <w:tc>
          <w:tcPr>
            <w:tcW w:w="708"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93.0</w:t>
            </w:r>
          </w:p>
        </w:tc>
        <w:tc>
          <w:tcPr>
            <w:tcW w:w="709"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93.0</w:t>
            </w:r>
          </w:p>
        </w:tc>
        <w:tc>
          <w:tcPr>
            <w:tcW w:w="709" w:type="dxa"/>
            <w:vMerge w:val="restart"/>
            <w:vAlign w:val="center"/>
          </w:tcPr>
          <w:p w:rsidR="002653FA" w:rsidRPr="0073501F" w:rsidRDefault="002653FA" w:rsidP="00C33158">
            <w:pPr>
              <w:spacing w:line="300" w:lineRule="exact"/>
              <w:jc w:val="center"/>
              <w:rPr>
                <w:rFonts w:hAnsi="標楷體" w:cs="新細明體"/>
                <w:sz w:val="20"/>
              </w:rPr>
            </w:pPr>
            <w:r w:rsidRPr="0073501F">
              <w:rPr>
                <w:rFonts w:hAnsi="標楷體" w:hint="eastAsia"/>
                <w:sz w:val="20"/>
              </w:rPr>
              <w:t>0</w:t>
            </w:r>
          </w:p>
        </w:tc>
        <w:tc>
          <w:tcPr>
            <w:tcW w:w="3685" w:type="dxa"/>
            <w:vMerge w:val="restart"/>
          </w:tcPr>
          <w:p w:rsidR="002653FA" w:rsidRPr="0073501F" w:rsidRDefault="002653FA" w:rsidP="00C33158">
            <w:pPr>
              <w:spacing w:line="300" w:lineRule="exact"/>
              <w:rPr>
                <w:rFonts w:hAnsi="標楷體"/>
                <w:sz w:val="20"/>
              </w:rPr>
            </w:pP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徐光曦</w:t>
            </w:r>
          </w:p>
        </w:tc>
        <w:tc>
          <w:tcPr>
            <w:tcW w:w="708" w:type="dxa"/>
            <w:vMerge/>
          </w:tcPr>
          <w:p w:rsidR="002653FA" w:rsidRPr="0073501F" w:rsidRDefault="002653FA" w:rsidP="00C33158">
            <w:pPr>
              <w:spacing w:line="300" w:lineRule="exact"/>
              <w:jc w:val="right"/>
              <w:rPr>
                <w:rFonts w:hAnsi="標楷體"/>
                <w:sz w:val="20"/>
              </w:rPr>
            </w:pPr>
          </w:p>
        </w:tc>
        <w:tc>
          <w:tcPr>
            <w:tcW w:w="709" w:type="dxa"/>
            <w:vMerge/>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下半年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蔡友才</w:t>
            </w:r>
          </w:p>
        </w:tc>
        <w:tc>
          <w:tcPr>
            <w:tcW w:w="708"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89.8</w:t>
            </w:r>
          </w:p>
        </w:tc>
        <w:tc>
          <w:tcPr>
            <w:tcW w:w="709"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89.8</w:t>
            </w:r>
          </w:p>
        </w:tc>
        <w:tc>
          <w:tcPr>
            <w:tcW w:w="709" w:type="dxa"/>
            <w:vMerge w:val="restart"/>
            <w:vAlign w:val="center"/>
          </w:tcPr>
          <w:p w:rsidR="002653FA" w:rsidRPr="0073501F" w:rsidRDefault="002653FA" w:rsidP="00C33158">
            <w:pPr>
              <w:spacing w:line="300" w:lineRule="exact"/>
              <w:jc w:val="center"/>
              <w:rPr>
                <w:rFonts w:hAnsi="標楷體" w:cs="新細明體"/>
                <w:sz w:val="20"/>
              </w:rPr>
            </w:pPr>
            <w:r w:rsidRPr="0073501F">
              <w:rPr>
                <w:rFonts w:hAnsi="標楷體" w:hint="eastAsia"/>
                <w:sz w:val="20"/>
              </w:rPr>
              <w:t>0</w:t>
            </w:r>
          </w:p>
        </w:tc>
        <w:tc>
          <w:tcPr>
            <w:tcW w:w="3685" w:type="dxa"/>
            <w:vMerge w:val="restart"/>
          </w:tcPr>
          <w:p w:rsidR="002653FA" w:rsidRPr="0073501F" w:rsidRDefault="002653FA" w:rsidP="00C33158">
            <w:pPr>
              <w:spacing w:line="300" w:lineRule="exact"/>
              <w:rPr>
                <w:rFonts w:hAnsi="標楷體"/>
                <w:sz w:val="20"/>
              </w:rPr>
            </w:pP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徐光曦</w:t>
            </w:r>
          </w:p>
        </w:tc>
        <w:tc>
          <w:tcPr>
            <w:tcW w:w="708" w:type="dxa"/>
            <w:vMerge/>
          </w:tcPr>
          <w:p w:rsidR="002653FA" w:rsidRPr="0073501F" w:rsidRDefault="002653FA" w:rsidP="00C33158">
            <w:pPr>
              <w:spacing w:line="300" w:lineRule="exact"/>
              <w:jc w:val="right"/>
              <w:rPr>
                <w:rFonts w:hAnsi="標楷體"/>
                <w:sz w:val="20"/>
              </w:rPr>
            </w:pPr>
          </w:p>
        </w:tc>
        <w:tc>
          <w:tcPr>
            <w:tcW w:w="709" w:type="dxa"/>
            <w:vMerge/>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c>
          <w:tcPr>
            <w:tcW w:w="576" w:type="dxa"/>
            <w:vMerge w:val="restart"/>
            <w:vAlign w:val="center"/>
          </w:tcPr>
          <w:p w:rsidR="002653FA" w:rsidRPr="0073501F" w:rsidRDefault="002653FA" w:rsidP="002653FA">
            <w:pPr>
              <w:spacing w:line="300" w:lineRule="exact"/>
              <w:ind w:leftChars="-25" w:left="-85" w:rightChars="-25" w:right="-85"/>
              <w:jc w:val="center"/>
              <w:rPr>
                <w:rFonts w:hAnsi="標楷體"/>
                <w:spacing w:val="-20"/>
                <w:sz w:val="20"/>
              </w:rPr>
            </w:pPr>
            <w:r w:rsidRPr="0073501F">
              <w:rPr>
                <w:rFonts w:hAnsi="標楷體" w:hint="eastAsia"/>
                <w:spacing w:val="-20"/>
                <w:sz w:val="20"/>
              </w:rPr>
              <w:t>101</w:t>
            </w: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上半年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蔡友才</w:t>
            </w:r>
          </w:p>
        </w:tc>
        <w:tc>
          <w:tcPr>
            <w:tcW w:w="708"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93.0</w:t>
            </w:r>
          </w:p>
        </w:tc>
        <w:tc>
          <w:tcPr>
            <w:tcW w:w="709"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93.0</w:t>
            </w:r>
          </w:p>
        </w:tc>
        <w:tc>
          <w:tcPr>
            <w:tcW w:w="709" w:type="dxa"/>
            <w:vMerge w:val="restart"/>
            <w:vAlign w:val="center"/>
          </w:tcPr>
          <w:p w:rsidR="002653FA" w:rsidRPr="0073501F" w:rsidRDefault="002653FA" w:rsidP="00C33158">
            <w:pPr>
              <w:spacing w:line="300" w:lineRule="exact"/>
              <w:jc w:val="center"/>
              <w:rPr>
                <w:rFonts w:hAnsi="標楷體" w:cs="新細明體"/>
                <w:sz w:val="20"/>
              </w:rPr>
            </w:pPr>
            <w:r w:rsidRPr="0073501F">
              <w:rPr>
                <w:rFonts w:hAnsi="標楷體" w:hint="eastAsia"/>
                <w:sz w:val="20"/>
              </w:rPr>
              <w:t>0</w:t>
            </w:r>
          </w:p>
        </w:tc>
        <w:tc>
          <w:tcPr>
            <w:tcW w:w="3685" w:type="dxa"/>
            <w:vMerge w:val="restart"/>
          </w:tcPr>
          <w:p w:rsidR="002653FA" w:rsidRPr="0073501F" w:rsidRDefault="002653FA" w:rsidP="00C33158">
            <w:pPr>
              <w:spacing w:line="300" w:lineRule="exact"/>
              <w:rPr>
                <w:rFonts w:hAnsi="標楷體"/>
                <w:sz w:val="20"/>
              </w:rPr>
            </w:pP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徐光曦</w:t>
            </w:r>
          </w:p>
        </w:tc>
        <w:tc>
          <w:tcPr>
            <w:tcW w:w="708" w:type="dxa"/>
            <w:vMerge/>
            <w:vAlign w:val="center"/>
          </w:tcPr>
          <w:p w:rsidR="002653FA" w:rsidRPr="0073501F" w:rsidRDefault="002653FA" w:rsidP="00C33158">
            <w:pPr>
              <w:spacing w:line="300" w:lineRule="exact"/>
              <w:jc w:val="center"/>
              <w:rPr>
                <w:rFonts w:hAnsi="標楷體"/>
                <w:sz w:val="20"/>
              </w:rPr>
            </w:pPr>
          </w:p>
        </w:tc>
        <w:tc>
          <w:tcPr>
            <w:tcW w:w="709" w:type="dxa"/>
            <w:vMerge/>
            <w:vAlign w:val="center"/>
          </w:tcPr>
          <w:p w:rsidR="002653FA" w:rsidRPr="0073501F" w:rsidRDefault="002653FA" w:rsidP="00C33158">
            <w:pPr>
              <w:spacing w:line="300" w:lineRule="exact"/>
              <w:jc w:val="center"/>
              <w:rPr>
                <w:rFonts w:hAnsi="標楷體"/>
                <w:sz w:val="20"/>
              </w:rPr>
            </w:pPr>
          </w:p>
        </w:tc>
        <w:tc>
          <w:tcPr>
            <w:tcW w:w="709" w:type="dxa"/>
            <w:vMerge/>
            <w:vAlign w:val="center"/>
          </w:tcPr>
          <w:p w:rsidR="002653FA" w:rsidRPr="0073501F" w:rsidRDefault="002653FA" w:rsidP="00C33158">
            <w:pPr>
              <w:spacing w:line="300" w:lineRule="exact"/>
              <w:jc w:val="center"/>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下半年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蔡友才</w:t>
            </w:r>
          </w:p>
        </w:tc>
        <w:tc>
          <w:tcPr>
            <w:tcW w:w="708"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90.4</w:t>
            </w:r>
          </w:p>
        </w:tc>
        <w:tc>
          <w:tcPr>
            <w:tcW w:w="709"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89.9</w:t>
            </w:r>
          </w:p>
        </w:tc>
        <w:tc>
          <w:tcPr>
            <w:tcW w:w="709" w:type="dxa"/>
            <w:vMerge w:val="restart"/>
            <w:vAlign w:val="center"/>
          </w:tcPr>
          <w:p w:rsidR="002653FA" w:rsidRPr="0073501F" w:rsidRDefault="002653FA" w:rsidP="00C33158">
            <w:pPr>
              <w:spacing w:line="300" w:lineRule="exact"/>
              <w:jc w:val="center"/>
              <w:rPr>
                <w:rFonts w:hAnsi="標楷體" w:cs="新細明體"/>
                <w:sz w:val="20"/>
              </w:rPr>
            </w:pPr>
            <w:r w:rsidRPr="0073501F">
              <w:rPr>
                <w:rFonts w:hAnsi="標楷體" w:hint="eastAsia"/>
                <w:sz w:val="20"/>
              </w:rPr>
              <w:t>-0.5</w:t>
            </w:r>
          </w:p>
        </w:tc>
        <w:tc>
          <w:tcPr>
            <w:tcW w:w="3685" w:type="dxa"/>
            <w:vMerge w:val="restart"/>
          </w:tcPr>
          <w:p w:rsidR="002653FA" w:rsidRPr="0073501F" w:rsidRDefault="002653FA" w:rsidP="00C33158">
            <w:pPr>
              <w:spacing w:line="300" w:lineRule="exact"/>
              <w:rPr>
                <w:rFonts w:hAnsi="標楷體"/>
                <w:sz w:val="20"/>
              </w:rPr>
            </w:pPr>
            <w:r w:rsidRPr="0073501F">
              <w:rPr>
                <w:rFonts w:hAnsi="標楷體" w:hint="eastAsia"/>
                <w:sz w:val="20"/>
              </w:rPr>
              <w:t>未依限提出自評表，複評減0.5分。</w:t>
            </w: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tcPr>
          <w:p w:rsidR="002653FA" w:rsidRPr="0073501F" w:rsidRDefault="002653FA" w:rsidP="00C33158">
            <w:pPr>
              <w:spacing w:line="300" w:lineRule="exact"/>
              <w:rPr>
                <w:rFonts w:hAnsi="標楷體"/>
                <w:sz w:val="20"/>
              </w:rPr>
            </w:pPr>
            <w:r w:rsidRPr="0073501F">
              <w:rPr>
                <w:rFonts w:hAnsi="標楷體" w:hint="eastAsia"/>
                <w:sz w:val="20"/>
              </w:rPr>
              <w:t>徐光曦</w:t>
            </w:r>
          </w:p>
        </w:tc>
        <w:tc>
          <w:tcPr>
            <w:tcW w:w="708" w:type="dxa"/>
            <w:vMerge/>
          </w:tcPr>
          <w:p w:rsidR="002653FA" w:rsidRPr="0073501F" w:rsidRDefault="002653FA" w:rsidP="00C33158">
            <w:pPr>
              <w:spacing w:line="300" w:lineRule="exact"/>
              <w:jc w:val="right"/>
              <w:rPr>
                <w:rFonts w:hAnsi="標楷體"/>
                <w:sz w:val="20"/>
              </w:rPr>
            </w:pPr>
          </w:p>
        </w:tc>
        <w:tc>
          <w:tcPr>
            <w:tcW w:w="709" w:type="dxa"/>
            <w:vMerge/>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c>
          <w:tcPr>
            <w:tcW w:w="576" w:type="dxa"/>
            <w:vMerge w:val="restart"/>
            <w:vAlign w:val="center"/>
          </w:tcPr>
          <w:p w:rsidR="002653FA" w:rsidRPr="0073501F" w:rsidRDefault="002653FA" w:rsidP="002653FA">
            <w:pPr>
              <w:spacing w:line="300" w:lineRule="exact"/>
              <w:ind w:leftChars="-25" w:left="-85" w:rightChars="-25" w:right="-85"/>
              <w:jc w:val="center"/>
              <w:rPr>
                <w:rFonts w:hAnsi="標楷體"/>
                <w:spacing w:val="-20"/>
                <w:sz w:val="20"/>
              </w:rPr>
            </w:pPr>
            <w:r w:rsidRPr="0073501F">
              <w:rPr>
                <w:rFonts w:hAnsi="標楷體" w:hint="eastAsia"/>
                <w:spacing w:val="-20"/>
                <w:sz w:val="20"/>
              </w:rPr>
              <w:t>102</w:t>
            </w: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上半年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蔡友才</w:t>
            </w:r>
          </w:p>
        </w:tc>
        <w:tc>
          <w:tcPr>
            <w:tcW w:w="708" w:type="dxa"/>
            <w:vMerge w:val="restart"/>
            <w:vAlign w:val="center"/>
          </w:tcPr>
          <w:p w:rsidR="002653FA" w:rsidRPr="0073501F" w:rsidRDefault="002653FA" w:rsidP="00C33158">
            <w:pPr>
              <w:spacing w:line="300" w:lineRule="exact"/>
              <w:jc w:val="right"/>
              <w:rPr>
                <w:rFonts w:hAnsi="標楷體"/>
                <w:sz w:val="20"/>
              </w:rPr>
            </w:pPr>
            <w:r w:rsidRPr="0073501F">
              <w:rPr>
                <w:rFonts w:hAnsi="標楷體" w:hint="eastAsia"/>
                <w:sz w:val="20"/>
              </w:rPr>
              <w:t>94.0</w:t>
            </w:r>
          </w:p>
        </w:tc>
        <w:tc>
          <w:tcPr>
            <w:tcW w:w="709" w:type="dxa"/>
            <w:vMerge w:val="restart"/>
            <w:vAlign w:val="center"/>
          </w:tcPr>
          <w:p w:rsidR="002653FA" w:rsidRPr="0073501F" w:rsidRDefault="002653FA" w:rsidP="00C33158">
            <w:pPr>
              <w:spacing w:line="300" w:lineRule="exact"/>
              <w:jc w:val="right"/>
              <w:rPr>
                <w:rFonts w:hAnsi="標楷體"/>
                <w:sz w:val="20"/>
              </w:rPr>
            </w:pPr>
            <w:r w:rsidRPr="0073501F">
              <w:rPr>
                <w:rFonts w:hAnsi="標楷體" w:hint="eastAsia"/>
                <w:sz w:val="20"/>
              </w:rPr>
              <w:t>92.0</w:t>
            </w:r>
          </w:p>
        </w:tc>
        <w:tc>
          <w:tcPr>
            <w:tcW w:w="709" w:type="dxa"/>
            <w:vMerge w:val="restart"/>
            <w:vAlign w:val="center"/>
          </w:tcPr>
          <w:p w:rsidR="002653FA" w:rsidRPr="0073501F" w:rsidRDefault="002653FA" w:rsidP="00C33158">
            <w:pPr>
              <w:spacing w:line="300" w:lineRule="exact"/>
              <w:jc w:val="right"/>
              <w:rPr>
                <w:rFonts w:hAnsi="標楷體" w:cs="新細明體"/>
                <w:sz w:val="20"/>
              </w:rPr>
            </w:pPr>
            <w:r w:rsidRPr="0073501F">
              <w:rPr>
                <w:rFonts w:hAnsi="標楷體" w:hint="eastAsia"/>
                <w:sz w:val="20"/>
              </w:rPr>
              <w:t>-2.0</w:t>
            </w:r>
          </w:p>
        </w:tc>
        <w:tc>
          <w:tcPr>
            <w:tcW w:w="3685" w:type="dxa"/>
            <w:vMerge w:val="restart"/>
          </w:tcPr>
          <w:p w:rsidR="002653FA" w:rsidRPr="0073501F" w:rsidRDefault="002653FA" w:rsidP="00C33158">
            <w:pPr>
              <w:spacing w:line="300" w:lineRule="exact"/>
              <w:rPr>
                <w:rFonts w:hAnsi="標楷體"/>
                <w:sz w:val="20"/>
              </w:rPr>
            </w:pPr>
            <w:r w:rsidRPr="0073501F">
              <w:rPr>
                <w:rFonts w:hAnsi="標楷體" w:hint="eastAsia"/>
                <w:sz w:val="20"/>
              </w:rPr>
              <w:t>「配合政府政策，達成政策目標程度」項目，複評減2分。</w:t>
            </w: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徐光曦</w:t>
            </w:r>
          </w:p>
        </w:tc>
        <w:tc>
          <w:tcPr>
            <w:tcW w:w="708" w:type="dxa"/>
            <w:vMerge/>
            <w:vAlign w:val="center"/>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rPr>
          <w:trHeight w:val="442"/>
        </w:trPr>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下半年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蔡友才</w:t>
            </w:r>
          </w:p>
        </w:tc>
        <w:tc>
          <w:tcPr>
            <w:tcW w:w="708" w:type="dxa"/>
            <w:vMerge w:val="restart"/>
            <w:vAlign w:val="center"/>
          </w:tcPr>
          <w:p w:rsidR="002653FA" w:rsidRPr="0073501F" w:rsidRDefault="002653FA" w:rsidP="00C33158">
            <w:pPr>
              <w:spacing w:line="300" w:lineRule="exact"/>
              <w:jc w:val="right"/>
              <w:rPr>
                <w:rFonts w:hAnsi="標楷體"/>
                <w:sz w:val="20"/>
              </w:rPr>
            </w:pPr>
            <w:r w:rsidRPr="0073501F">
              <w:rPr>
                <w:rFonts w:hAnsi="標楷體" w:hint="eastAsia"/>
                <w:sz w:val="20"/>
              </w:rPr>
              <w:t>98.0</w:t>
            </w:r>
          </w:p>
        </w:tc>
        <w:tc>
          <w:tcPr>
            <w:tcW w:w="709" w:type="dxa"/>
            <w:vMerge w:val="restart"/>
            <w:vAlign w:val="center"/>
          </w:tcPr>
          <w:p w:rsidR="002653FA" w:rsidRPr="0073501F" w:rsidRDefault="002653FA" w:rsidP="00C33158">
            <w:pPr>
              <w:spacing w:line="300" w:lineRule="exact"/>
              <w:jc w:val="right"/>
              <w:rPr>
                <w:rFonts w:hAnsi="標楷體"/>
                <w:sz w:val="20"/>
              </w:rPr>
            </w:pPr>
            <w:r w:rsidRPr="0073501F">
              <w:rPr>
                <w:rFonts w:hAnsi="標楷體" w:hint="eastAsia"/>
                <w:sz w:val="20"/>
              </w:rPr>
              <w:t>93.0</w:t>
            </w:r>
          </w:p>
        </w:tc>
        <w:tc>
          <w:tcPr>
            <w:tcW w:w="709" w:type="dxa"/>
            <w:vMerge w:val="restart"/>
            <w:vAlign w:val="center"/>
          </w:tcPr>
          <w:p w:rsidR="002653FA" w:rsidRPr="0073501F" w:rsidRDefault="002653FA" w:rsidP="00C33158">
            <w:pPr>
              <w:spacing w:line="300" w:lineRule="exact"/>
              <w:jc w:val="right"/>
              <w:rPr>
                <w:rFonts w:hAnsi="標楷體" w:cs="新細明體"/>
                <w:sz w:val="20"/>
              </w:rPr>
            </w:pPr>
            <w:r w:rsidRPr="0073501F">
              <w:rPr>
                <w:rFonts w:hAnsi="標楷體" w:hint="eastAsia"/>
                <w:sz w:val="20"/>
              </w:rPr>
              <w:t>-5.0</w:t>
            </w:r>
          </w:p>
        </w:tc>
        <w:tc>
          <w:tcPr>
            <w:tcW w:w="3685" w:type="dxa"/>
            <w:vMerge w:val="restart"/>
          </w:tcPr>
          <w:p w:rsidR="002653FA" w:rsidRPr="0073501F" w:rsidRDefault="002653FA" w:rsidP="00C33158">
            <w:pPr>
              <w:spacing w:line="300" w:lineRule="exact"/>
              <w:rPr>
                <w:rFonts w:hAnsi="標楷體"/>
                <w:sz w:val="20"/>
              </w:rPr>
            </w:pPr>
            <w:r w:rsidRPr="0073501F">
              <w:rPr>
                <w:rFonts w:hAnsi="標楷體" w:hint="eastAsia"/>
                <w:sz w:val="20"/>
              </w:rPr>
              <w:t>「配合政府政策，達成政策目標程度」，複評減2分；「其他具體優良事蹟」，複評減3分。</w:t>
            </w: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徐光曦</w:t>
            </w:r>
          </w:p>
        </w:tc>
        <w:tc>
          <w:tcPr>
            <w:tcW w:w="708" w:type="dxa"/>
            <w:vMerge/>
            <w:vAlign w:val="center"/>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rPr>
          <w:trHeight w:val="644"/>
        </w:trPr>
        <w:tc>
          <w:tcPr>
            <w:tcW w:w="576" w:type="dxa"/>
            <w:vMerge w:val="restart"/>
            <w:vAlign w:val="center"/>
          </w:tcPr>
          <w:p w:rsidR="002653FA" w:rsidRPr="0073501F" w:rsidRDefault="002653FA" w:rsidP="002653FA">
            <w:pPr>
              <w:spacing w:line="300" w:lineRule="exact"/>
              <w:ind w:leftChars="-25" w:left="-85" w:rightChars="-25" w:right="-85"/>
              <w:jc w:val="center"/>
              <w:rPr>
                <w:rFonts w:hAnsi="標楷體"/>
                <w:spacing w:val="-20"/>
                <w:sz w:val="20"/>
              </w:rPr>
            </w:pPr>
            <w:r w:rsidRPr="0073501F">
              <w:rPr>
                <w:rFonts w:hAnsi="標楷體" w:hint="eastAsia"/>
                <w:spacing w:val="-20"/>
                <w:sz w:val="20"/>
              </w:rPr>
              <w:t>103</w:t>
            </w: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上半年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蔡友才</w:t>
            </w:r>
          </w:p>
        </w:tc>
        <w:tc>
          <w:tcPr>
            <w:tcW w:w="708" w:type="dxa"/>
            <w:vMerge w:val="restart"/>
            <w:vAlign w:val="center"/>
          </w:tcPr>
          <w:p w:rsidR="002653FA" w:rsidRPr="0073501F" w:rsidRDefault="002653FA" w:rsidP="00C33158">
            <w:pPr>
              <w:spacing w:line="300" w:lineRule="exact"/>
              <w:jc w:val="right"/>
              <w:rPr>
                <w:rFonts w:hAnsi="標楷體"/>
                <w:sz w:val="20"/>
              </w:rPr>
            </w:pPr>
            <w:r w:rsidRPr="0073501F">
              <w:rPr>
                <w:rFonts w:hAnsi="標楷體" w:hint="eastAsia"/>
                <w:sz w:val="20"/>
              </w:rPr>
              <w:t>99.0</w:t>
            </w:r>
          </w:p>
        </w:tc>
        <w:tc>
          <w:tcPr>
            <w:tcW w:w="709" w:type="dxa"/>
            <w:vMerge w:val="restart"/>
            <w:vAlign w:val="center"/>
          </w:tcPr>
          <w:p w:rsidR="002653FA" w:rsidRPr="0073501F" w:rsidRDefault="002653FA" w:rsidP="00C33158">
            <w:pPr>
              <w:spacing w:line="300" w:lineRule="exact"/>
              <w:jc w:val="right"/>
              <w:rPr>
                <w:rFonts w:hAnsi="標楷體"/>
                <w:sz w:val="20"/>
              </w:rPr>
            </w:pPr>
            <w:r w:rsidRPr="0073501F">
              <w:rPr>
                <w:rFonts w:hAnsi="標楷體" w:hint="eastAsia"/>
                <w:sz w:val="20"/>
              </w:rPr>
              <w:t>94.5</w:t>
            </w:r>
          </w:p>
        </w:tc>
        <w:tc>
          <w:tcPr>
            <w:tcW w:w="709" w:type="dxa"/>
            <w:vMerge w:val="restart"/>
            <w:vAlign w:val="center"/>
          </w:tcPr>
          <w:p w:rsidR="002653FA" w:rsidRPr="0073501F" w:rsidRDefault="002653FA" w:rsidP="00C33158">
            <w:pPr>
              <w:spacing w:line="300" w:lineRule="exact"/>
              <w:jc w:val="right"/>
              <w:rPr>
                <w:rFonts w:hAnsi="標楷體" w:cs="新細明體"/>
                <w:sz w:val="20"/>
              </w:rPr>
            </w:pPr>
            <w:r w:rsidRPr="0073501F">
              <w:rPr>
                <w:rFonts w:hAnsi="標楷體" w:hint="eastAsia"/>
                <w:sz w:val="20"/>
              </w:rPr>
              <w:t>-4.5</w:t>
            </w:r>
          </w:p>
        </w:tc>
        <w:tc>
          <w:tcPr>
            <w:tcW w:w="3685" w:type="dxa"/>
            <w:vMerge w:val="restart"/>
          </w:tcPr>
          <w:p w:rsidR="002653FA" w:rsidRPr="0073501F" w:rsidRDefault="002653FA" w:rsidP="00C33158">
            <w:pPr>
              <w:spacing w:line="300" w:lineRule="exact"/>
              <w:rPr>
                <w:rFonts w:hAnsi="標楷體"/>
                <w:sz w:val="20"/>
              </w:rPr>
            </w:pPr>
            <w:r w:rsidRPr="0073501F">
              <w:rPr>
                <w:rFonts w:hAnsi="標楷體" w:hint="eastAsia"/>
                <w:sz w:val="20"/>
              </w:rPr>
              <w:t>「配合政府政策，達成政策目標程度」，複評減2分；「其他具體優良事蹟」，複評減2分；未依限提出自評表，複評減0.5分。</w:t>
            </w: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徐光曦</w:t>
            </w:r>
          </w:p>
        </w:tc>
        <w:tc>
          <w:tcPr>
            <w:tcW w:w="708" w:type="dxa"/>
            <w:vMerge/>
          </w:tcPr>
          <w:p w:rsidR="002653FA" w:rsidRPr="0073501F" w:rsidRDefault="002653FA" w:rsidP="00C33158">
            <w:pPr>
              <w:spacing w:line="300" w:lineRule="exact"/>
              <w:jc w:val="right"/>
              <w:rPr>
                <w:rFonts w:hAnsi="標楷體"/>
                <w:sz w:val="20"/>
              </w:rPr>
            </w:pPr>
          </w:p>
        </w:tc>
        <w:tc>
          <w:tcPr>
            <w:tcW w:w="709" w:type="dxa"/>
            <w:vMerge/>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rPr>
          <w:trHeight w:val="434"/>
        </w:trPr>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下半年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蔡友才</w:t>
            </w:r>
          </w:p>
        </w:tc>
        <w:tc>
          <w:tcPr>
            <w:tcW w:w="708" w:type="dxa"/>
            <w:vMerge w:val="restart"/>
            <w:vAlign w:val="center"/>
          </w:tcPr>
          <w:p w:rsidR="002653FA" w:rsidRPr="0073501F" w:rsidRDefault="002653FA" w:rsidP="00C33158">
            <w:pPr>
              <w:spacing w:line="300" w:lineRule="exact"/>
              <w:jc w:val="right"/>
              <w:rPr>
                <w:rFonts w:hAnsi="標楷體"/>
                <w:sz w:val="20"/>
              </w:rPr>
            </w:pPr>
            <w:r w:rsidRPr="0073501F">
              <w:rPr>
                <w:rFonts w:hAnsi="標楷體" w:hint="eastAsia"/>
                <w:sz w:val="20"/>
              </w:rPr>
              <w:t>99.0</w:t>
            </w:r>
          </w:p>
        </w:tc>
        <w:tc>
          <w:tcPr>
            <w:tcW w:w="709" w:type="dxa"/>
            <w:vMerge w:val="restart"/>
            <w:vAlign w:val="center"/>
          </w:tcPr>
          <w:p w:rsidR="002653FA" w:rsidRPr="0073501F" w:rsidRDefault="002653FA" w:rsidP="00C33158">
            <w:pPr>
              <w:spacing w:line="300" w:lineRule="exact"/>
              <w:jc w:val="right"/>
              <w:rPr>
                <w:rFonts w:hAnsi="標楷體"/>
                <w:sz w:val="20"/>
              </w:rPr>
            </w:pPr>
            <w:r w:rsidRPr="0073501F">
              <w:rPr>
                <w:rFonts w:hAnsi="標楷體" w:hint="eastAsia"/>
                <w:sz w:val="20"/>
              </w:rPr>
              <w:t>96.0</w:t>
            </w:r>
          </w:p>
        </w:tc>
        <w:tc>
          <w:tcPr>
            <w:tcW w:w="709" w:type="dxa"/>
            <w:vMerge w:val="restart"/>
            <w:vAlign w:val="center"/>
          </w:tcPr>
          <w:p w:rsidR="002653FA" w:rsidRPr="0073501F" w:rsidRDefault="002653FA" w:rsidP="00C33158">
            <w:pPr>
              <w:spacing w:line="300" w:lineRule="exact"/>
              <w:jc w:val="right"/>
              <w:rPr>
                <w:rFonts w:hAnsi="標楷體" w:cs="新細明體"/>
                <w:sz w:val="20"/>
              </w:rPr>
            </w:pPr>
            <w:r w:rsidRPr="0073501F">
              <w:rPr>
                <w:rFonts w:hAnsi="標楷體" w:hint="eastAsia"/>
                <w:sz w:val="20"/>
              </w:rPr>
              <w:t>-3.0</w:t>
            </w:r>
          </w:p>
        </w:tc>
        <w:tc>
          <w:tcPr>
            <w:tcW w:w="3685" w:type="dxa"/>
            <w:vMerge w:val="restart"/>
          </w:tcPr>
          <w:p w:rsidR="002653FA" w:rsidRPr="0073501F" w:rsidRDefault="002653FA" w:rsidP="00C33158">
            <w:pPr>
              <w:spacing w:line="300" w:lineRule="exact"/>
              <w:rPr>
                <w:rFonts w:hAnsi="標楷體"/>
                <w:sz w:val="20"/>
              </w:rPr>
            </w:pPr>
            <w:r w:rsidRPr="0073501F">
              <w:rPr>
                <w:rFonts w:hAnsi="標楷體" w:hint="eastAsia"/>
                <w:sz w:val="20"/>
              </w:rPr>
              <w:t>「配合政府政策，達成政策目標程度」，複評減2分；「其他具體優良事蹟」，複評減1分。</w:t>
            </w: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魏美玉</w:t>
            </w:r>
          </w:p>
        </w:tc>
        <w:tc>
          <w:tcPr>
            <w:tcW w:w="708" w:type="dxa"/>
            <w:vMerge/>
          </w:tcPr>
          <w:p w:rsidR="002653FA" w:rsidRPr="0073501F" w:rsidRDefault="002653FA" w:rsidP="00C33158">
            <w:pPr>
              <w:spacing w:line="300" w:lineRule="exact"/>
              <w:jc w:val="right"/>
              <w:rPr>
                <w:rFonts w:hAnsi="標楷體"/>
                <w:sz w:val="20"/>
              </w:rPr>
            </w:pPr>
          </w:p>
        </w:tc>
        <w:tc>
          <w:tcPr>
            <w:tcW w:w="709" w:type="dxa"/>
            <w:vMerge/>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rPr>
          <w:trHeight w:val="660"/>
        </w:trPr>
        <w:tc>
          <w:tcPr>
            <w:tcW w:w="576" w:type="dxa"/>
            <w:vMerge w:val="restart"/>
            <w:vAlign w:val="center"/>
          </w:tcPr>
          <w:p w:rsidR="002653FA" w:rsidRPr="0073501F" w:rsidRDefault="002653FA" w:rsidP="002653FA">
            <w:pPr>
              <w:spacing w:line="300" w:lineRule="exact"/>
              <w:ind w:leftChars="-25" w:left="-85" w:rightChars="-25" w:right="-85"/>
              <w:jc w:val="center"/>
              <w:rPr>
                <w:rFonts w:hAnsi="標楷體"/>
                <w:spacing w:val="-20"/>
                <w:sz w:val="20"/>
              </w:rPr>
            </w:pPr>
            <w:r w:rsidRPr="0073501F">
              <w:rPr>
                <w:rFonts w:hAnsi="標楷體" w:hint="eastAsia"/>
                <w:spacing w:val="-20"/>
                <w:sz w:val="20"/>
              </w:rPr>
              <w:t>104</w:t>
            </w: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上半年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蔡友才</w:t>
            </w:r>
          </w:p>
        </w:tc>
        <w:tc>
          <w:tcPr>
            <w:tcW w:w="708"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94.0</w:t>
            </w:r>
          </w:p>
        </w:tc>
        <w:tc>
          <w:tcPr>
            <w:tcW w:w="709"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90.0</w:t>
            </w:r>
          </w:p>
        </w:tc>
        <w:tc>
          <w:tcPr>
            <w:tcW w:w="709" w:type="dxa"/>
            <w:vMerge w:val="restart"/>
            <w:vAlign w:val="center"/>
          </w:tcPr>
          <w:p w:rsidR="002653FA" w:rsidRPr="0073501F" w:rsidRDefault="002653FA" w:rsidP="00C33158">
            <w:pPr>
              <w:spacing w:line="300" w:lineRule="exact"/>
              <w:jc w:val="right"/>
              <w:rPr>
                <w:rFonts w:hAnsi="標楷體" w:cs="新細明體"/>
                <w:sz w:val="20"/>
              </w:rPr>
            </w:pPr>
            <w:r w:rsidRPr="0073501F">
              <w:rPr>
                <w:rFonts w:hAnsi="標楷體" w:hint="eastAsia"/>
                <w:sz w:val="20"/>
              </w:rPr>
              <w:t>-4.0</w:t>
            </w:r>
          </w:p>
        </w:tc>
        <w:tc>
          <w:tcPr>
            <w:tcW w:w="3685" w:type="dxa"/>
            <w:vMerge w:val="restart"/>
          </w:tcPr>
          <w:p w:rsidR="002653FA" w:rsidRPr="0073501F" w:rsidRDefault="002653FA" w:rsidP="00C33158">
            <w:pPr>
              <w:spacing w:line="300" w:lineRule="exact"/>
              <w:rPr>
                <w:rFonts w:hAnsi="標楷體"/>
                <w:sz w:val="20"/>
              </w:rPr>
            </w:pPr>
            <w:r w:rsidRPr="0073501F">
              <w:rPr>
                <w:rFonts w:hAnsi="標楷體" w:hint="eastAsia"/>
                <w:sz w:val="20"/>
              </w:rPr>
              <w:t>「配合政府政策，達成政策目標程度」，複評減1分；「其他具體優良事蹟」，複評減2.5分；未依限提出自評表，複評減0.5分。</w:t>
            </w:r>
          </w:p>
        </w:tc>
      </w:tr>
      <w:tr w:rsidR="002653FA" w:rsidRPr="0073501F" w:rsidTr="00DA0FCA">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魏美玉</w:t>
            </w:r>
          </w:p>
        </w:tc>
        <w:tc>
          <w:tcPr>
            <w:tcW w:w="708" w:type="dxa"/>
            <w:vMerge/>
          </w:tcPr>
          <w:p w:rsidR="002653FA" w:rsidRPr="0073501F" w:rsidRDefault="002653FA" w:rsidP="00C33158">
            <w:pPr>
              <w:spacing w:line="300" w:lineRule="exact"/>
              <w:jc w:val="right"/>
              <w:rPr>
                <w:rFonts w:hAnsi="標楷體"/>
                <w:sz w:val="20"/>
              </w:rPr>
            </w:pPr>
          </w:p>
        </w:tc>
        <w:tc>
          <w:tcPr>
            <w:tcW w:w="709" w:type="dxa"/>
            <w:vMerge/>
          </w:tcPr>
          <w:p w:rsidR="002653FA" w:rsidRPr="0073501F" w:rsidRDefault="002653FA" w:rsidP="00C33158">
            <w:pPr>
              <w:spacing w:line="300" w:lineRule="exact"/>
              <w:jc w:val="right"/>
              <w:rPr>
                <w:rFonts w:hAnsi="標楷體"/>
                <w:sz w:val="20"/>
              </w:rPr>
            </w:pPr>
          </w:p>
        </w:tc>
        <w:tc>
          <w:tcPr>
            <w:tcW w:w="709" w:type="dxa"/>
            <w:vMerge/>
            <w:vAlign w:val="center"/>
          </w:tcPr>
          <w:p w:rsidR="002653FA" w:rsidRPr="0073501F" w:rsidRDefault="002653FA" w:rsidP="00C33158">
            <w:pPr>
              <w:spacing w:line="300" w:lineRule="exact"/>
              <w:jc w:val="right"/>
              <w:rPr>
                <w:rFonts w:hAnsi="標楷體" w:cs="新細明體"/>
                <w:sz w:val="20"/>
              </w:rPr>
            </w:pPr>
          </w:p>
        </w:tc>
        <w:tc>
          <w:tcPr>
            <w:tcW w:w="3685" w:type="dxa"/>
            <w:vMerge/>
          </w:tcPr>
          <w:p w:rsidR="002653FA" w:rsidRPr="0073501F" w:rsidRDefault="002653FA" w:rsidP="00C33158">
            <w:pPr>
              <w:spacing w:line="300" w:lineRule="exact"/>
              <w:rPr>
                <w:rFonts w:hAnsi="標楷體"/>
                <w:sz w:val="20"/>
              </w:rPr>
            </w:pPr>
          </w:p>
        </w:tc>
      </w:tr>
      <w:tr w:rsidR="002653FA" w:rsidRPr="0073501F" w:rsidTr="00DA0FCA">
        <w:trPr>
          <w:trHeight w:val="578"/>
        </w:trPr>
        <w:tc>
          <w:tcPr>
            <w:tcW w:w="576" w:type="dxa"/>
            <w:vMerge/>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val="restart"/>
            <w:vAlign w:val="center"/>
          </w:tcPr>
          <w:p w:rsidR="002653FA" w:rsidRPr="0073501F" w:rsidRDefault="002653FA" w:rsidP="002653FA">
            <w:pPr>
              <w:spacing w:line="300" w:lineRule="exact"/>
              <w:ind w:leftChars="-25" w:left="-85" w:rightChars="-25" w:right="-85"/>
              <w:rPr>
                <w:rFonts w:hAnsi="標楷體"/>
                <w:spacing w:val="-20"/>
                <w:sz w:val="20"/>
              </w:rPr>
            </w:pPr>
            <w:r w:rsidRPr="0073501F">
              <w:rPr>
                <w:rFonts w:hAnsi="標楷體" w:hint="eastAsia"/>
                <w:spacing w:val="-20"/>
                <w:sz w:val="20"/>
              </w:rPr>
              <w:t>下半年</w:t>
            </w:r>
          </w:p>
        </w:tc>
        <w:tc>
          <w:tcPr>
            <w:tcW w:w="992"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董事長</w:t>
            </w:r>
          </w:p>
        </w:tc>
        <w:tc>
          <w:tcPr>
            <w:tcW w:w="993" w:type="dxa"/>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蔡友才</w:t>
            </w:r>
          </w:p>
        </w:tc>
        <w:tc>
          <w:tcPr>
            <w:tcW w:w="708"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90.0</w:t>
            </w:r>
          </w:p>
        </w:tc>
        <w:tc>
          <w:tcPr>
            <w:tcW w:w="709" w:type="dxa"/>
            <w:vMerge w:val="restart"/>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85.5</w:t>
            </w:r>
          </w:p>
        </w:tc>
        <w:tc>
          <w:tcPr>
            <w:tcW w:w="709" w:type="dxa"/>
            <w:vMerge w:val="restart"/>
            <w:vAlign w:val="center"/>
          </w:tcPr>
          <w:p w:rsidR="002653FA" w:rsidRPr="0073501F" w:rsidRDefault="002653FA" w:rsidP="00C33158">
            <w:pPr>
              <w:spacing w:line="300" w:lineRule="exact"/>
              <w:jc w:val="right"/>
              <w:rPr>
                <w:rFonts w:hAnsi="標楷體"/>
                <w:sz w:val="20"/>
              </w:rPr>
            </w:pPr>
            <w:r w:rsidRPr="0073501F">
              <w:rPr>
                <w:rFonts w:hAnsi="標楷體" w:hint="eastAsia"/>
                <w:sz w:val="20"/>
              </w:rPr>
              <w:t>-4.5</w:t>
            </w:r>
          </w:p>
        </w:tc>
        <w:tc>
          <w:tcPr>
            <w:tcW w:w="3685" w:type="dxa"/>
            <w:vMerge w:val="restart"/>
          </w:tcPr>
          <w:p w:rsidR="002653FA" w:rsidRPr="0073501F" w:rsidRDefault="002653FA" w:rsidP="00C33158">
            <w:pPr>
              <w:spacing w:line="300" w:lineRule="exact"/>
              <w:rPr>
                <w:rFonts w:hAnsi="標楷體"/>
                <w:sz w:val="20"/>
              </w:rPr>
            </w:pPr>
            <w:r w:rsidRPr="0073501F">
              <w:rPr>
                <w:rFonts w:hAnsi="標楷體" w:hint="eastAsia"/>
                <w:sz w:val="20"/>
              </w:rPr>
              <w:t>「配合政府政策，達成政策目標程度」，複評減2分；「其他具體優良事蹟」，複評減2分；未依限提出自評表，複評減0.5分。</w:t>
            </w:r>
          </w:p>
        </w:tc>
      </w:tr>
      <w:tr w:rsidR="002653FA" w:rsidRPr="0073501F" w:rsidTr="00DA0FCA">
        <w:trPr>
          <w:trHeight w:val="167"/>
        </w:trPr>
        <w:tc>
          <w:tcPr>
            <w:tcW w:w="576" w:type="dxa"/>
            <w:vMerge/>
            <w:tcBorders>
              <w:bottom w:val="single" w:sz="4" w:space="0" w:color="auto"/>
            </w:tcBorders>
            <w:vAlign w:val="center"/>
          </w:tcPr>
          <w:p w:rsidR="002653FA" w:rsidRPr="0073501F" w:rsidRDefault="002653FA" w:rsidP="002653FA">
            <w:pPr>
              <w:spacing w:line="300" w:lineRule="exact"/>
              <w:ind w:leftChars="-25" w:left="-85" w:rightChars="-25" w:right="-85"/>
              <w:jc w:val="center"/>
              <w:rPr>
                <w:rFonts w:hAnsi="標楷體"/>
                <w:spacing w:val="-20"/>
                <w:sz w:val="20"/>
              </w:rPr>
            </w:pPr>
          </w:p>
        </w:tc>
        <w:tc>
          <w:tcPr>
            <w:tcW w:w="808" w:type="dxa"/>
            <w:vMerge/>
            <w:tcBorders>
              <w:bottom w:val="single" w:sz="4" w:space="0" w:color="auto"/>
            </w:tcBorders>
            <w:vAlign w:val="center"/>
          </w:tcPr>
          <w:p w:rsidR="002653FA" w:rsidRPr="0073501F" w:rsidRDefault="002653FA" w:rsidP="002653FA">
            <w:pPr>
              <w:spacing w:line="300" w:lineRule="exact"/>
              <w:ind w:leftChars="-25" w:left="-85" w:rightChars="-25" w:right="-85"/>
              <w:rPr>
                <w:rFonts w:hAnsi="標楷體"/>
                <w:spacing w:val="-20"/>
                <w:sz w:val="20"/>
              </w:rPr>
            </w:pPr>
          </w:p>
        </w:tc>
        <w:tc>
          <w:tcPr>
            <w:tcW w:w="992" w:type="dxa"/>
            <w:tcBorders>
              <w:bottom w:val="single" w:sz="4" w:space="0" w:color="auto"/>
            </w:tcBorders>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總經理</w:t>
            </w:r>
          </w:p>
        </w:tc>
        <w:tc>
          <w:tcPr>
            <w:tcW w:w="993" w:type="dxa"/>
            <w:tcBorders>
              <w:bottom w:val="single" w:sz="4" w:space="0" w:color="auto"/>
            </w:tcBorders>
            <w:vAlign w:val="center"/>
          </w:tcPr>
          <w:p w:rsidR="002653FA" w:rsidRPr="0073501F" w:rsidRDefault="002653FA" w:rsidP="00C33158">
            <w:pPr>
              <w:spacing w:line="300" w:lineRule="exact"/>
              <w:jc w:val="center"/>
              <w:rPr>
                <w:rFonts w:hAnsi="標楷體"/>
                <w:sz w:val="20"/>
              </w:rPr>
            </w:pPr>
            <w:r w:rsidRPr="0073501F">
              <w:rPr>
                <w:rFonts w:hAnsi="標楷體" w:hint="eastAsia"/>
                <w:sz w:val="20"/>
              </w:rPr>
              <w:t>吳漢卿</w:t>
            </w:r>
          </w:p>
        </w:tc>
        <w:tc>
          <w:tcPr>
            <w:tcW w:w="708" w:type="dxa"/>
            <w:vMerge/>
            <w:tcBorders>
              <w:bottom w:val="single" w:sz="4" w:space="0" w:color="auto"/>
            </w:tcBorders>
          </w:tcPr>
          <w:p w:rsidR="002653FA" w:rsidRPr="0073501F" w:rsidRDefault="002653FA" w:rsidP="00C33158">
            <w:pPr>
              <w:spacing w:line="300" w:lineRule="exact"/>
              <w:jc w:val="right"/>
              <w:rPr>
                <w:rFonts w:hAnsi="標楷體"/>
                <w:sz w:val="20"/>
              </w:rPr>
            </w:pPr>
          </w:p>
        </w:tc>
        <w:tc>
          <w:tcPr>
            <w:tcW w:w="709" w:type="dxa"/>
            <w:vMerge/>
            <w:tcBorders>
              <w:bottom w:val="single" w:sz="4" w:space="0" w:color="auto"/>
            </w:tcBorders>
          </w:tcPr>
          <w:p w:rsidR="002653FA" w:rsidRPr="0073501F" w:rsidRDefault="002653FA" w:rsidP="00C33158">
            <w:pPr>
              <w:spacing w:line="300" w:lineRule="exact"/>
              <w:jc w:val="right"/>
              <w:rPr>
                <w:rFonts w:hAnsi="標楷體"/>
                <w:sz w:val="20"/>
              </w:rPr>
            </w:pPr>
          </w:p>
        </w:tc>
        <w:tc>
          <w:tcPr>
            <w:tcW w:w="709" w:type="dxa"/>
            <w:vMerge/>
            <w:tcBorders>
              <w:bottom w:val="single" w:sz="4" w:space="0" w:color="auto"/>
            </w:tcBorders>
            <w:vAlign w:val="center"/>
          </w:tcPr>
          <w:p w:rsidR="002653FA" w:rsidRPr="0073501F" w:rsidRDefault="002653FA" w:rsidP="00C33158">
            <w:pPr>
              <w:spacing w:line="300" w:lineRule="exact"/>
              <w:jc w:val="right"/>
              <w:rPr>
                <w:rFonts w:hAnsi="標楷體"/>
                <w:sz w:val="20"/>
              </w:rPr>
            </w:pPr>
          </w:p>
        </w:tc>
        <w:tc>
          <w:tcPr>
            <w:tcW w:w="3685" w:type="dxa"/>
            <w:vMerge/>
            <w:tcBorders>
              <w:bottom w:val="single" w:sz="4" w:space="0" w:color="auto"/>
            </w:tcBorders>
          </w:tcPr>
          <w:p w:rsidR="002653FA" w:rsidRPr="0073501F" w:rsidRDefault="002653FA" w:rsidP="00C33158">
            <w:pPr>
              <w:spacing w:line="300" w:lineRule="exact"/>
              <w:rPr>
                <w:rFonts w:hAnsi="標楷體"/>
                <w:sz w:val="20"/>
              </w:rPr>
            </w:pPr>
          </w:p>
        </w:tc>
      </w:tr>
    </w:tbl>
    <w:p w:rsidR="00F146AB" w:rsidRPr="0073501F" w:rsidRDefault="002653FA" w:rsidP="00DA0FCA">
      <w:pPr>
        <w:widowControl/>
        <w:overflowPunct/>
        <w:autoSpaceDE/>
        <w:autoSpaceDN/>
        <w:spacing w:line="240" w:lineRule="exact"/>
        <w:jc w:val="left"/>
        <w:rPr>
          <w:rFonts w:hAnsi="標楷體"/>
          <w:bCs/>
          <w:kern w:val="32"/>
          <w:sz w:val="20"/>
        </w:rPr>
      </w:pPr>
      <w:r w:rsidRPr="0073501F">
        <w:rPr>
          <w:rFonts w:hAnsi="標楷體" w:hint="eastAsia"/>
          <w:sz w:val="20"/>
        </w:rPr>
        <w:t>資料來源：本院整理</w:t>
      </w:r>
    </w:p>
    <w:p w:rsidR="00DA0FCA" w:rsidRPr="0073501F" w:rsidRDefault="00DA0FCA" w:rsidP="00F146AB">
      <w:pPr>
        <w:pStyle w:val="3"/>
        <w:numPr>
          <w:ilvl w:val="0"/>
          <w:numId w:val="0"/>
        </w:numPr>
        <w:ind w:left="1361" w:hanging="681"/>
        <w:rPr>
          <w:rFonts w:hAnsi="標楷體"/>
          <w:szCs w:val="32"/>
        </w:rPr>
      </w:pPr>
    </w:p>
    <w:p w:rsidR="00DA0FCA" w:rsidRPr="0073501F" w:rsidRDefault="00DA0FCA" w:rsidP="00DA0FCA">
      <w:pPr>
        <w:pStyle w:val="4"/>
        <w:numPr>
          <w:ilvl w:val="0"/>
          <w:numId w:val="0"/>
        </w:numPr>
        <w:jc w:val="center"/>
        <w:rPr>
          <w:rFonts w:hAnsi="標楷體"/>
          <w:b/>
          <w:sz w:val="28"/>
          <w:szCs w:val="28"/>
        </w:rPr>
      </w:pPr>
      <w:r w:rsidRPr="0073501F">
        <w:rPr>
          <w:rFonts w:hAnsi="標楷體" w:hint="eastAsia"/>
          <w:b/>
          <w:sz w:val="28"/>
          <w:szCs w:val="28"/>
        </w:rPr>
        <w:lastRenderedPageBreak/>
        <w:t>附表</w:t>
      </w:r>
      <w:r w:rsidR="0035179B" w:rsidRPr="0073501F">
        <w:rPr>
          <w:rFonts w:hAnsi="標楷體" w:hint="eastAsia"/>
          <w:b/>
          <w:sz w:val="28"/>
          <w:szCs w:val="28"/>
        </w:rPr>
        <w:t>6</w:t>
      </w:r>
      <w:r w:rsidRPr="0073501F">
        <w:rPr>
          <w:rFonts w:hAnsi="標楷體" w:hint="eastAsia"/>
          <w:b/>
          <w:sz w:val="28"/>
          <w:szCs w:val="28"/>
        </w:rPr>
        <w:t xml:space="preserve">  兆豐銀行違反之美國法規與我國相關法規之比較</w:t>
      </w:r>
    </w:p>
    <w:tbl>
      <w:tblPr>
        <w:tblStyle w:val="af6"/>
        <w:tblW w:w="9072" w:type="dxa"/>
        <w:tblInd w:w="108" w:type="dxa"/>
        <w:tblLook w:val="04A0" w:firstRow="1" w:lastRow="0" w:firstColumn="1" w:lastColumn="0" w:noHBand="0" w:noVBand="1"/>
      </w:tblPr>
      <w:tblGrid>
        <w:gridCol w:w="3119"/>
        <w:gridCol w:w="5953"/>
      </w:tblGrid>
      <w:tr w:rsidR="00DA0FCA" w:rsidRPr="0073501F" w:rsidTr="00C33158">
        <w:trPr>
          <w:tblHeader/>
        </w:trPr>
        <w:tc>
          <w:tcPr>
            <w:tcW w:w="3119" w:type="dxa"/>
          </w:tcPr>
          <w:p w:rsidR="00DA0FCA" w:rsidRPr="0073501F" w:rsidRDefault="00DA0FCA" w:rsidP="00C33158">
            <w:pPr>
              <w:pStyle w:val="4"/>
              <w:numPr>
                <w:ilvl w:val="0"/>
                <w:numId w:val="0"/>
              </w:numPr>
              <w:spacing w:line="240" w:lineRule="exact"/>
              <w:jc w:val="center"/>
              <w:rPr>
                <w:rFonts w:hAnsi="標楷體"/>
                <w:sz w:val="24"/>
                <w:szCs w:val="24"/>
              </w:rPr>
            </w:pPr>
            <w:r w:rsidRPr="0073501F">
              <w:rPr>
                <w:rFonts w:hAnsi="標楷體" w:hint="eastAsia"/>
                <w:sz w:val="24"/>
                <w:szCs w:val="24"/>
              </w:rPr>
              <w:t>兆豐銀行違反之美國規定</w:t>
            </w:r>
          </w:p>
        </w:tc>
        <w:tc>
          <w:tcPr>
            <w:tcW w:w="5953" w:type="dxa"/>
          </w:tcPr>
          <w:p w:rsidR="00DA0FCA" w:rsidRPr="0073501F" w:rsidRDefault="00DA0FCA" w:rsidP="00C33158">
            <w:pPr>
              <w:pStyle w:val="4"/>
              <w:numPr>
                <w:ilvl w:val="0"/>
                <w:numId w:val="0"/>
              </w:numPr>
              <w:spacing w:line="240" w:lineRule="exact"/>
              <w:jc w:val="center"/>
              <w:rPr>
                <w:rFonts w:hAnsi="標楷體"/>
                <w:sz w:val="24"/>
                <w:szCs w:val="24"/>
              </w:rPr>
            </w:pPr>
            <w:r w:rsidRPr="0073501F">
              <w:rPr>
                <w:rFonts w:hAnsi="標楷體" w:hint="eastAsia"/>
                <w:sz w:val="24"/>
                <w:szCs w:val="24"/>
              </w:rPr>
              <w:t>我國有無類似規範及規範內容</w:t>
            </w:r>
          </w:p>
        </w:tc>
      </w:tr>
      <w:tr w:rsidR="00DA0FCA" w:rsidRPr="0073501F" w:rsidTr="00C33158">
        <w:tc>
          <w:tcPr>
            <w:tcW w:w="3119" w:type="dxa"/>
          </w:tcPr>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w:t>
            </w:r>
            <w:r w:rsidRPr="0073501F">
              <w:rPr>
                <w:rFonts w:hAnsi="標楷體"/>
                <w:sz w:val="24"/>
                <w:szCs w:val="24"/>
              </w:rPr>
              <w:t>3 N.Y.C.R.R §116.2</w:t>
            </w:r>
            <w:r w:rsidRPr="0073501F">
              <w:rPr>
                <w:rFonts w:hAnsi="標楷體" w:hint="eastAsia"/>
                <w:sz w:val="24"/>
                <w:szCs w:val="24"/>
              </w:rPr>
              <w:t>】</w:t>
            </w:r>
          </w:p>
          <w:p w:rsidR="00DA0FCA" w:rsidRPr="0073501F" w:rsidRDefault="00DA0FCA" w:rsidP="00C33158">
            <w:pPr>
              <w:pStyle w:val="4"/>
              <w:numPr>
                <w:ilvl w:val="0"/>
                <w:numId w:val="21"/>
              </w:numPr>
              <w:spacing w:line="240" w:lineRule="exact"/>
              <w:rPr>
                <w:rFonts w:hAnsi="標楷體"/>
                <w:sz w:val="24"/>
                <w:szCs w:val="24"/>
              </w:rPr>
            </w:pPr>
            <w:r w:rsidRPr="0073501F">
              <w:rPr>
                <w:rFonts w:hAnsi="標楷體" w:hint="eastAsia"/>
                <w:sz w:val="24"/>
                <w:szCs w:val="24"/>
              </w:rPr>
              <w:t>銀行防制洗錢計畫應至少包括下列事項：</w:t>
            </w:r>
          </w:p>
          <w:p w:rsidR="00DA0FCA" w:rsidRPr="0073501F" w:rsidRDefault="00DA0FCA" w:rsidP="00C33158">
            <w:pPr>
              <w:pStyle w:val="4"/>
              <w:numPr>
                <w:ilvl w:val="0"/>
                <w:numId w:val="0"/>
              </w:numPr>
              <w:spacing w:line="240" w:lineRule="exact"/>
              <w:ind w:left="510" w:hanging="510"/>
              <w:rPr>
                <w:rFonts w:hAnsi="標楷體"/>
                <w:sz w:val="24"/>
                <w:szCs w:val="24"/>
              </w:rPr>
            </w:pPr>
            <w:r w:rsidRPr="0073501F">
              <w:rPr>
                <w:rFonts w:hAnsi="標楷體" w:hint="eastAsia"/>
                <w:sz w:val="24"/>
                <w:szCs w:val="24"/>
              </w:rPr>
              <w:t>(1)確保持續遵循之內控。</w:t>
            </w:r>
          </w:p>
          <w:p w:rsidR="00DA0FCA" w:rsidRPr="0073501F" w:rsidRDefault="00DA0FCA" w:rsidP="00C33158">
            <w:pPr>
              <w:pStyle w:val="4"/>
              <w:numPr>
                <w:ilvl w:val="0"/>
                <w:numId w:val="0"/>
              </w:numPr>
              <w:spacing w:line="240" w:lineRule="exact"/>
              <w:ind w:left="397" w:hanging="397"/>
              <w:rPr>
                <w:rFonts w:hAnsi="標楷體"/>
                <w:sz w:val="24"/>
                <w:szCs w:val="24"/>
              </w:rPr>
            </w:pPr>
            <w:r w:rsidRPr="0073501F">
              <w:rPr>
                <w:rFonts w:hAnsi="標楷體" w:hint="eastAsia"/>
                <w:sz w:val="24"/>
                <w:szCs w:val="24"/>
              </w:rPr>
              <w:t>(2)對遵循情形之獨立測試。</w:t>
            </w:r>
          </w:p>
          <w:p w:rsidR="00DA0FCA" w:rsidRPr="0073501F" w:rsidRDefault="00DA0FCA" w:rsidP="00C33158">
            <w:pPr>
              <w:pStyle w:val="4"/>
              <w:numPr>
                <w:ilvl w:val="0"/>
                <w:numId w:val="0"/>
              </w:numPr>
              <w:spacing w:line="240" w:lineRule="exact"/>
              <w:ind w:left="397" w:hanging="397"/>
              <w:rPr>
                <w:rFonts w:hAnsi="標楷體"/>
                <w:sz w:val="24"/>
                <w:szCs w:val="24"/>
              </w:rPr>
            </w:pPr>
            <w:r w:rsidRPr="0073501F">
              <w:rPr>
                <w:rFonts w:hAnsi="標楷體" w:hint="eastAsia"/>
                <w:sz w:val="24"/>
                <w:szCs w:val="24"/>
              </w:rPr>
              <w:t>(3)指定一或數位人員協調監督日常遵循。</w:t>
            </w:r>
          </w:p>
          <w:p w:rsidR="00DA0FCA" w:rsidRPr="0073501F" w:rsidRDefault="00DA0FCA" w:rsidP="00C33158">
            <w:pPr>
              <w:pStyle w:val="4"/>
              <w:numPr>
                <w:ilvl w:val="0"/>
                <w:numId w:val="0"/>
              </w:numPr>
              <w:spacing w:line="240" w:lineRule="exact"/>
              <w:ind w:left="510" w:hanging="510"/>
              <w:rPr>
                <w:rFonts w:hAnsi="標楷體"/>
                <w:sz w:val="24"/>
                <w:szCs w:val="24"/>
              </w:rPr>
            </w:pPr>
            <w:r w:rsidRPr="0073501F">
              <w:rPr>
                <w:rFonts w:hAnsi="標楷體" w:hint="eastAsia"/>
                <w:sz w:val="24"/>
                <w:szCs w:val="24"/>
              </w:rPr>
              <w:t>(4)人員訓練</w:t>
            </w:r>
          </w:p>
        </w:tc>
        <w:tc>
          <w:tcPr>
            <w:tcW w:w="5953" w:type="dxa"/>
          </w:tcPr>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▓有 □無</w:t>
            </w:r>
          </w:p>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銀行應依其洗錢與資恐風險及業務規模，訂定、執行防制洗錢及打擊資恐計畫，內容除應涵蓋確認客戶身分、紀錄保存與申報一定金額以上通貨交易及疑似洗錢交易等內部政策、程序及控管外，並應包括指定管理階層人員協調督導防制洗錢及打擊資恐之執行、建立審慎適當之員工遴選程序、實持續性之員工訓練計畫及測試銀行防制洗錢及打擊資恐系統有效性之獨立稽核功能等內部政策、程序及控管，銀行得依本範本相關規定辦理(「銀行評估洗錢及資助恐怖主義風險及訂定相關防制計畫指引」第9點)</w:t>
            </w:r>
          </w:p>
        </w:tc>
      </w:tr>
      <w:tr w:rsidR="00DA0FCA" w:rsidRPr="0073501F" w:rsidTr="00C33158">
        <w:tc>
          <w:tcPr>
            <w:tcW w:w="3119" w:type="dxa"/>
          </w:tcPr>
          <w:p w:rsidR="00DA0FCA" w:rsidRPr="0073501F" w:rsidRDefault="00DA0FCA" w:rsidP="00DA0FCA">
            <w:pPr>
              <w:pStyle w:val="4"/>
              <w:numPr>
                <w:ilvl w:val="0"/>
                <w:numId w:val="0"/>
              </w:numPr>
              <w:spacing w:line="240" w:lineRule="exact"/>
              <w:ind w:left="260" w:hangingChars="100" w:hanging="260"/>
              <w:rPr>
                <w:rFonts w:hAnsi="標楷體"/>
                <w:sz w:val="24"/>
                <w:szCs w:val="24"/>
              </w:rPr>
            </w:pPr>
            <w:r w:rsidRPr="0073501F">
              <w:rPr>
                <w:rFonts w:hAnsi="標楷體" w:hint="eastAsia"/>
                <w:sz w:val="24"/>
                <w:szCs w:val="24"/>
              </w:rPr>
              <w:t>b)防制洗錢計畫須經董事會或相當層級通過</w:t>
            </w:r>
          </w:p>
        </w:tc>
        <w:tc>
          <w:tcPr>
            <w:tcW w:w="5953" w:type="dxa"/>
          </w:tcPr>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▓有 □無</w:t>
            </w:r>
          </w:p>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本範本經銀行董事會(或分層授權之權責單位)通過後實施。(「銀行防制洗錢及打擊資助恐怖主義注意事項範本」第14點)</w:t>
            </w:r>
          </w:p>
        </w:tc>
      </w:tr>
      <w:tr w:rsidR="00DA0FCA" w:rsidRPr="0073501F" w:rsidTr="00C33158">
        <w:tc>
          <w:tcPr>
            <w:tcW w:w="3119" w:type="dxa"/>
          </w:tcPr>
          <w:p w:rsidR="00DA0FCA" w:rsidRPr="0073501F" w:rsidRDefault="00DA0FCA" w:rsidP="00DA0FCA">
            <w:pPr>
              <w:pStyle w:val="4"/>
              <w:numPr>
                <w:ilvl w:val="0"/>
                <w:numId w:val="0"/>
              </w:numPr>
              <w:spacing w:line="240" w:lineRule="exact"/>
              <w:ind w:left="260" w:hangingChars="100" w:hanging="260"/>
              <w:rPr>
                <w:rFonts w:hAnsi="標楷體"/>
                <w:sz w:val="24"/>
                <w:szCs w:val="24"/>
              </w:rPr>
            </w:pPr>
            <w:r w:rsidRPr="0073501F">
              <w:rPr>
                <w:rFonts w:hAnsi="標楷體" w:hint="eastAsia"/>
                <w:sz w:val="24"/>
                <w:szCs w:val="24"/>
              </w:rPr>
              <w:t>c)須將客戶識別計畫(包括客戶身分之辨識、確認、制裁名單比對、紀錄保存等)納入防制洗錢計畫</w:t>
            </w:r>
          </w:p>
        </w:tc>
        <w:tc>
          <w:tcPr>
            <w:tcW w:w="5953" w:type="dxa"/>
          </w:tcPr>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▓有 □無</w:t>
            </w:r>
          </w:p>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銀行應依其洗錢與資恐風險及業務規模，訂定、執行防制洗錢及打擊資恐計畫，內容除應涵蓋確認客戶身分、紀錄保存……等內部政策、程序及控管外，……。(「銀行評估洗錢及資助恐怖主義風險及訂定相關防制計畫指引」第9點)</w:t>
            </w:r>
          </w:p>
        </w:tc>
      </w:tr>
      <w:tr w:rsidR="00DA0FCA" w:rsidRPr="0073501F" w:rsidTr="00C33158">
        <w:tc>
          <w:tcPr>
            <w:tcW w:w="3119" w:type="dxa"/>
          </w:tcPr>
          <w:p w:rsidR="00DA0FCA" w:rsidRPr="0073501F" w:rsidRDefault="00DA0FCA" w:rsidP="00DA0FCA">
            <w:pPr>
              <w:pStyle w:val="4"/>
              <w:numPr>
                <w:ilvl w:val="0"/>
                <w:numId w:val="0"/>
              </w:numPr>
              <w:spacing w:line="240" w:lineRule="exact"/>
              <w:ind w:left="260" w:hangingChars="100" w:hanging="260"/>
              <w:rPr>
                <w:rFonts w:hAnsi="標楷體"/>
                <w:sz w:val="24"/>
                <w:szCs w:val="24"/>
              </w:rPr>
            </w:pPr>
            <w:r w:rsidRPr="0073501F">
              <w:rPr>
                <w:rFonts w:hAnsi="標楷體" w:hint="eastAsia"/>
                <w:sz w:val="24"/>
                <w:szCs w:val="24"/>
              </w:rPr>
              <w:t>d)須建置遵循OFCA規定之政策、程序(主要應係對制裁名單之相關措施)</w:t>
            </w:r>
          </w:p>
        </w:tc>
        <w:tc>
          <w:tcPr>
            <w:tcW w:w="5953" w:type="dxa"/>
          </w:tcPr>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▓有 □無</w:t>
            </w:r>
          </w:p>
          <w:p w:rsidR="00DA0FCA" w:rsidRPr="0073501F" w:rsidRDefault="00DA0FCA" w:rsidP="00DA0FCA">
            <w:pPr>
              <w:pStyle w:val="4"/>
              <w:numPr>
                <w:ilvl w:val="0"/>
                <w:numId w:val="0"/>
              </w:numPr>
              <w:spacing w:line="240" w:lineRule="exact"/>
              <w:ind w:left="260" w:hangingChars="100" w:hanging="260"/>
              <w:rPr>
                <w:rFonts w:hAnsi="標楷體"/>
                <w:sz w:val="24"/>
                <w:szCs w:val="24"/>
              </w:rPr>
            </w:pPr>
            <w:r w:rsidRPr="0073501F">
              <w:rPr>
                <w:rFonts w:hAnsi="標楷體" w:hint="eastAsia"/>
                <w:sz w:val="24"/>
                <w:szCs w:val="24"/>
              </w:rPr>
              <w:t>1.有以下情形應予婉拒開戶或交易；……辦理開戶對象為受經濟制裁、外國政府或國際洗錢防制組織認定或追查之恐怖分子或團體者。(「銀行防制洗錢及打擊資助恐怖主義注意事項範本」第4條第5款)</w:t>
            </w:r>
          </w:p>
          <w:p w:rsidR="00DA0FCA" w:rsidRPr="0073501F" w:rsidRDefault="00DA0FCA" w:rsidP="00DA0FCA">
            <w:pPr>
              <w:pStyle w:val="4"/>
              <w:numPr>
                <w:ilvl w:val="0"/>
                <w:numId w:val="0"/>
              </w:numPr>
              <w:spacing w:line="240" w:lineRule="exact"/>
              <w:ind w:left="260" w:hangingChars="100" w:hanging="260"/>
              <w:rPr>
                <w:rFonts w:hAnsi="標楷體"/>
                <w:sz w:val="24"/>
                <w:szCs w:val="24"/>
              </w:rPr>
            </w:pPr>
            <w:r w:rsidRPr="0073501F">
              <w:rPr>
                <w:rFonts w:hAnsi="標楷體" w:hint="eastAsia"/>
                <w:sz w:val="24"/>
                <w:szCs w:val="24"/>
              </w:rPr>
              <w:t>2.對於依第4條第1項或第5條第1項指定制裁之個人、法人或團體，除前條第1項所列措施外，不得為下列行為：</w:t>
            </w:r>
          </w:p>
          <w:p w:rsidR="00DA0FCA" w:rsidRPr="0073501F" w:rsidRDefault="00DA0FCA" w:rsidP="00DA0FCA">
            <w:pPr>
              <w:pStyle w:val="4"/>
              <w:numPr>
                <w:ilvl w:val="0"/>
                <w:numId w:val="0"/>
              </w:numPr>
              <w:spacing w:line="240" w:lineRule="exact"/>
              <w:ind w:left="390" w:hangingChars="150" w:hanging="390"/>
              <w:rPr>
                <w:rFonts w:hAnsi="標楷體"/>
                <w:sz w:val="24"/>
                <w:szCs w:val="24"/>
              </w:rPr>
            </w:pPr>
            <w:r w:rsidRPr="0073501F">
              <w:rPr>
                <w:rFonts w:hAnsi="標楷體" w:hint="eastAsia"/>
                <w:sz w:val="24"/>
                <w:szCs w:val="24"/>
              </w:rPr>
              <w:t>(1)對其金融帳戶、通貨或其他支付工具，為提款、匯款、轉帳、付款、交付或轉讓。……</w:t>
            </w:r>
          </w:p>
          <w:p w:rsidR="00DA0FCA" w:rsidRPr="0073501F" w:rsidRDefault="00DA0FCA" w:rsidP="00DA0FCA">
            <w:pPr>
              <w:pStyle w:val="4"/>
              <w:numPr>
                <w:ilvl w:val="0"/>
                <w:numId w:val="0"/>
              </w:numPr>
              <w:spacing w:line="240" w:lineRule="exact"/>
              <w:ind w:left="390" w:hangingChars="150" w:hanging="390"/>
              <w:rPr>
                <w:rFonts w:hAnsi="標楷體"/>
                <w:sz w:val="24"/>
                <w:szCs w:val="24"/>
              </w:rPr>
            </w:pPr>
            <w:r w:rsidRPr="0073501F">
              <w:rPr>
                <w:rFonts w:hAnsi="標楷體" w:hint="eastAsia"/>
                <w:sz w:val="24"/>
                <w:szCs w:val="24"/>
              </w:rPr>
              <w:t>(「資恐防制法」第7條)</w:t>
            </w:r>
          </w:p>
        </w:tc>
      </w:tr>
      <w:tr w:rsidR="00DA0FCA" w:rsidRPr="0073501F" w:rsidTr="00C33158">
        <w:tc>
          <w:tcPr>
            <w:tcW w:w="3119" w:type="dxa"/>
          </w:tcPr>
          <w:p w:rsidR="00DA0FCA" w:rsidRPr="0073501F" w:rsidRDefault="00DA0FCA" w:rsidP="00DA0FCA">
            <w:pPr>
              <w:pStyle w:val="4"/>
              <w:numPr>
                <w:ilvl w:val="0"/>
                <w:numId w:val="0"/>
              </w:numPr>
              <w:spacing w:line="240" w:lineRule="exact"/>
              <w:ind w:left="260" w:hangingChars="100" w:hanging="260"/>
              <w:rPr>
                <w:rFonts w:hAnsi="標楷體"/>
                <w:sz w:val="24"/>
                <w:szCs w:val="24"/>
              </w:rPr>
            </w:pPr>
            <w:r w:rsidRPr="0073501F">
              <w:rPr>
                <w:rFonts w:hAnsi="標楷體" w:hint="eastAsia"/>
                <w:sz w:val="24"/>
                <w:szCs w:val="24"/>
              </w:rPr>
              <w:t>e)銀行應依規定申報可疑交易</w:t>
            </w:r>
          </w:p>
        </w:tc>
        <w:tc>
          <w:tcPr>
            <w:tcW w:w="5953" w:type="dxa"/>
          </w:tcPr>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▓有 □無</w:t>
            </w:r>
          </w:p>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金融機構對疑似犯第11條之罪之交易，應確認客戶身分及留存交易紀錄憑證，並應向法務部調查局申報；其交易未完成者，亦同。(「洗錢防制法」第8條)</w:t>
            </w:r>
          </w:p>
        </w:tc>
      </w:tr>
      <w:tr w:rsidR="00DA0FCA" w:rsidRPr="0073501F" w:rsidTr="00C33158">
        <w:tc>
          <w:tcPr>
            <w:tcW w:w="3119" w:type="dxa"/>
          </w:tcPr>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【紐約州銀行法§200-C】</w:t>
            </w:r>
          </w:p>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銀行應保存及提供其各分行所有交易之帳簿及記錄</w:t>
            </w:r>
          </w:p>
        </w:tc>
        <w:tc>
          <w:tcPr>
            <w:tcW w:w="5953" w:type="dxa"/>
          </w:tcPr>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▓有 □無</w:t>
            </w:r>
          </w:p>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銀行業應保存與客戶往來及交易之紀錄憑證，並依下列規定辦理：……(「銀行業防制洗錢及打擊資助恐怖主義注意事項」第6點)</w:t>
            </w:r>
          </w:p>
        </w:tc>
      </w:tr>
      <w:tr w:rsidR="00DA0FCA" w:rsidRPr="0073501F" w:rsidTr="00C33158">
        <w:tc>
          <w:tcPr>
            <w:tcW w:w="3119" w:type="dxa"/>
          </w:tcPr>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【3N.Y.C.R.R.§3.1】</w:t>
            </w:r>
          </w:p>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銀行於發現欺詐、不實等行為時，應向主管機關申報。</w:t>
            </w:r>
          </w:p>
        </w:tc>
        <w:tc>
          <w:tcPr>
            <w:tcW w:w="5953" w:type="dxa"/>
          </w:tcPr>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▓有 □無</w:t>
            </w:r>
          </w:p>
          <w:p w:rsidR="00DA0FCA" w:rsidRPr="0073501F" w:rsidRDefault="00DA0FCA" w:rsidP="00C33158">
            <w:pPr>
              <w:pStyle w:val="4"/>
              <w:numPr>
                <w:ilvl w:val="0"/>
                <w:numId w:val="0"/>
              </w:numPr>
              <w:spacing w:line="240" w:lineRule="exact"/>
              <w:rPr>
                <w:rFonts w:hAnsi="標楷體"/>
                <w:sz w:val="24"/>
                <w:szCs w:val="24"/>
              </w:rPr>
            </w:pPr>
            <w:r w:rsidRPr="0073501F">
              <w:rPr>
                <w:rFonts w:hAnsi="標楷體" w:hint="eastAsia"/>
                <w:sz w:val="24"/>
                <w:szCs w:val="24"/>
              </w:rPr>
              <w:t>金融機構對疑似犯第11條之罪之交易，應確認客戶身分及留存交易紀錄憑證，並應向法務部調查局申報；其交易未完成者，亦同。(「洗錢防制法」第8條)</w:t>
            </w:r>
          </w:p>
        </w:tc>
      </w:tr>
    </w:tbl>
    <w:p w:rsidR="00DA0FCA" w:rsidRPr="0073501F" w:rsidRDefault="00DA0FCA" w:rsidP="00DA0FCA">
      <w:pPr>
        <w:pStyle w:val="3"/>
        <w:numPr>
          <w:ilvl w:val="0"/>
          <w:numId w:val="0"/>
        </w:numPr>
        <w:ind w:left="681" w:hanging="681"/>
        <w:rPr>
          <w:rFonts w:hAnsi="標楷體"/>
          <w:sz w:val="24"/>
          <w:szCs w:val="24"/>
        </w:rPr>
      </w:pPr>
      <w:bookmarkStart w:id="289" w:name="_Toc484164622"/>
      <w:bookmarkStart w:id="290" w:name="_Toc484178000"/>
      <w:bookmarkStart w:id="291" w:name="_Toc484593549"/>
      <w:r w:rsidRPr="0073501F">
        <w:rPr>
          <w:rFonts w:hAnsi="標楷體" w:hint="eastAsia"/>
          <w:sz w:val="24"/>
          <w:szCs w:val="24"/>
        </w:rPr>
        <w:t>資料來源：金管會</w:t>
      </w:r>
      <w:bookmarkEnd w:id="289"/>
      <w:bookmarkEnd w:id="290"/>
      <w:bookmarkEnd w:id="291"/>
    </w:p>
    <w:p w:rsidR="00DA0FCA" w:rsidRDefault="00DA0FCA" w:rsidP="00DA0FCA">
      <w:pPr>
        <w:pStyle w:val="3"/>
        <w:numPr>
          <w:ilvl w:val="0"/>
          <w:numId w:val="0"/>
        </w:numPr>
        <w:ind w:left="1361"/>
        <w:rPr>
          <w:rFonts w:hAnsi="標楷體"/>
        </w:rPr>
      </w:pPr>
    </w:p>
    <w:p w:rsidR="00407DAE" w:rsidRPr="0073501F" w:rsidRDefault="00407DAE" w:rsidP="00DA0FCA">
      <w:pPr>
        <w:pStyle w:val="3"/>
        <w:numPr>
          <w:ilvl w:val="0"/>
          <w:numId w:val="0"/>
        </w:numPr>
        <w:ind w:left="1361"/>
        <w:rPr>
          <w:rFonts w:hAnsi="標楷體" w:hint="eastAsia"/>
        </w:rPr>
      </w:pPr>
    </w:p>
    <w:p w:rsidR="00DA0FCA" w:rsidRPr="0073501F" w:rsidRDefault="00DA0FCA" w:rsidP="00DA0FCA">
      <w:pPr>
        <w:pStyle w:val="5"/>
        <w:numPr>
          <w:ilvl w:val="0"/>
          <w:numId w:val="0"/>
        </w:numPr>
        <w:ind w:left="2041"/>
        <w:rPr>
          <w:rFonts w:hAnsi="標楷體"/>
          <w:b/>
          <w:sz w:val="28"/>
          <w:szCs w:val="28"/>
        </w:rPr>
      </w:pPr>
      <w:r w:rsidRPr="0073501F">
        <w:rPr>
          <w:rFonts w:hAnsi="標楷體" w:hint="eastAsia"/>
          <w:b/>
          <w:sz w:val="28"/>
          <w:szCs w:val="28"/>
        </w:rPr>
        <w:lastRenderedPageBreak/>
        <w:t>附表</w:t>
      </w:r>
      <w:r w:rsidR="0035179B" w:rsidRPr="0073501F">
        <w:rPr>
          <w:rFonts w:hAnsi="標楷體" w:hint="eastAsia"/>
          <w:b/>
          <w:sz w:val="28"/>
          <w:szCs w:val="28"/>
        </w:rPr>
        <w:t>7</w:t>
      </w:r>
      <w:r w:rsidRPr="0073501F">
        <w:rPr>
          <w:rFonts w:hAnsi="標楷體" w:hint="eastAsia"/>
          <w:b/>
          <w:sz w:val="28"/>
          <w:szCs w:val="28"/>
        </w:rPr>
        <w:t xml:space="preserve"> 兆豐金控董事會發言紀要</w:t>
      </w:r>
    </w:p>
    <w:tbl>
      <w:tblPr>
        <w:tblStyle w:val="af6"/>
        <w:tblW w:w="9214" w:type="dxa"/>
        <w:tblInd w:w="250" w:type="dxa"/>
        <w:tblLook w:val="04A0" w:firstRow="1" w:lastRow="0" w:firstColumn="1" w:lastColumn="0" w:noHBand="0" w:noVBand="1"/>
      </w:tblPr>
      <w:tblGrid>
        <w:gridCol w:w="1559"/>
        <w:gridCol w:w="1843"/>
        <w:gridCol w:w="5812"/>
      </w:tblGrid>
      <w:tr w:rsidR="00DA0FCA" w:rsidRPr="0073501F" w:rsidTr="00BB1C7F">
        <w:trPr>
          <w:tblHeader/>
        </w:trPr>
        <w:tc>
          <w:tcPr>
            <w:tcW w:w="1559" w:type="dxa"/>
            <w:vAlign w:val="center"/>
          </w:tcPr>
          <w:p w:rsidR="00DA0FCA" w:rsidRPr="0073501F" w:rsidRDefault="00DA0FCA" w:rsidP="00C33158">
            <w:pPr>
              <w:pStyle w:val="5"/>
              <w:numPr>
                <w:ilvl w:val="0"/>
                <w:numId w:val="0"/>
              </w:numPr>
              <w:jc w:val="center"/>
              <w:rPr>
                <w:rFonts w:hAnsi="標楷體"/>
                <w:sz w:val="24"/>
                <w:szCs w:val="24"/>
              </w:rPr>
            </w:pPr>
            <w:r w:rsidRPr="0073501F">
              <w:rPr>
                <w:rFonts w:hAnsi="標楷體" w:hint="eastAsia"/>
                <w:sz w:val="24"/>
                <w:szCs w:val="24"/>
              </w:rPr>
              <w:t>會議次別</w:t>
            </w:r>
          </w:p>
          <w:p w:rsidR="00DA0FCA" w:rsidRPr="0073501F" w:rsidRDefault="00DA0FCA" w:rsidP="00C33158">
            <w:pPr>
              <w:pStyle w:val="5"/>
              <w:numPr>
                <w:ilvl w:val="0"/>
                <w:numId w:val="0"/>
              </w:numPr>
              <w:jc w:val="center"/>
              <w:rPr>
                <w:rFonts w:hAnsi="標楷體"/>
                <w:sz w:val="24"/>
                <w:szCs w:val="24"/>
              </w:rPr>
            </w:pPr>
            <w:r w:rsidRPr="0073501F">
              <w:rPr>
                <w:rFonts w:hAnsi="標楷體" w:hint="eastAsia"/>
                <w:sz w:val="24"/>
                <w:szCs w:val="24"/>
              </w:rPr>
              <w:t>(日期)</w:t>
            </w:r>
          </w:p>
        </w:tc>
        <w:tc>
          <w:tcPr>
            <w:tcW w:w="1843" w:type="dxa"/>
            <w:vAlign w:val="center"/>
          </w:tcPr>
          <w:p w:rsidR="00DA0FCA" w:rsidRPr="0073501F" w:rsidRDefault="00DA0FCA" w:rsidP="00C33158">
            <w:pPr>
              <w:pStyle w:val="5"/>
              <w:numPr>
                <w:ilvl w:val="0"/>
                <w:numId w:val="0"/>
              </w:numPr>
              <w:jc w:val="center"/>
              <w:rPr>
                <w:rFonts w:hAnsi="標楷體"/>
                <w:sz w:val="24"/>
                <w:szCs w:val="24"/>
              </w:rPr>
            </w:pPr>
            <w:r w:rsidRPr="0073501F">
              <w:rPr>
                <w:rFonts w:hAnsi="標楷體" w:hint="eastAsia"/>
                <w:sz w:val="24"/>
                <w:szCs w:val="24"/>
              </w:rPr>
              <w:t>董事姓名</w:t>
            </w:r>
          </w:p>
        </w:tc>
        <w:tc>
          <w:tcPr>
            <w:tcW w:w="5812" w:type="dxa"/>
            <w:vAlign w:val="center"/>
          </w:tcPr>
          <w:p w:rsidR="00DA0FCA" w:rsidRPr="0073501F" w:rsidRDefault="00DA0FCA" w:rsidP="00C33158">
            <w:pPr>
              <w:pStyle w:val="5"/>
              <w:numPr>
                <w:ilvl w:val="0"/>
                <w:numId w:val="0"/>
              </w:numPr>
              <w:jc w:val="center"/>
              <w:rPr>
                <w:rFonts w:hAnsi="標楷體"/>
                <w:sz w:val="24"/>
                <w:szCs w:val="24"/>
              </w:rPr>
            </w:pPr>
            <w:r w:rsidRPr="0073501F">
              <w:rPr>
                <w:rFonts w:hAnsi="標楷體" w:hint="eastAsia"/>
                <w:sz w:val="24"/>
                <w:szCs w:val="24"/>
              </w:rPr>
              <w:t>發言紀要</w:t>
            </w:r>
          </w:p>
        </w:tc>
      </w:tr>
      <w:tr w:rsidR="00DA0FCA" w:rsidRPr="0073501F" w:rsidTr="00BB1C7F">
        <w:tc>
          <w:tcPr>
            <w:tcW w:w="1559" w:type="dxa"/>
          </w:tcPr>
          <w:p w:rsidR="00DA0FCA" w:rsidRPr="0073501F" w:rsidRDefault="00DA0FCA" w:rsidP="00BB1C7F">
            <w:pPr>
              <w:pStyle w:val="5"/>
              <w:numPr>
                <w:ilvl w:val="0"/>
                <w:numId w:val="0"/>
              </w:numPr>
              <w:ind w:leftChars="-32" w:left="-108" w:hanging="1"/>
              <w:rPr>
                <w:rFonts w:hAnsi="標楷體"/>
                <w:sz w:val="24"/>
                <w:szCs w:val="24"/>
              </w:rPr>
            </w:pPr>
            <w:r w:rsidRPr="0073501F">
              <w:rPr>
                <w:rFonts w:hAnsi="標楷體" w:hint="eastAsia"/>
                <w:sz w:val="24"/>
                <w:szCs w:val="24"/>
              </w:rPr>
              <w:t>第6屆第17次</w:t>
            </w:r>
          </w:p>
          <w:p w:rsidR="00DA0FCA" w:rsidRPr="0073501F" w:rsidRDefault="00DA0FCA" w:rsidP="00BB1C7F">
            <w:pPr>
              <w:pStyle w:val="5"/>
              <w:numPr>
                <w:ilvl w:val="0"/>
                <w:numId w:val="0"/>
              </w:numPr>
              <w:ind w:leftChars="-32" w:left="-108" w:hanging="1"/>
              <w:rPr>
                <w:rFonts w:hAnsi="標楷體"/>
                <w:sz w:val="24"/>
                <w:szCs w:val="24"/>
              </w:rPr>
            </w:pPr>
            <w:r w:rsidRPr="0073501F">
              <w:rPr>
                <w:rFonts w:hAnsi="標楷體" w:hint="eastAsia"/>
                <w:sz w:val="24"/>
                <w:szCs w:val="24"/>
              </w:rPr>
              <w:t xml:space="preserve">(105.8.19) </w:t>
            </w:r>
          </w:p>
          <w:p w:rsidR="00DA0FCA" w:rsidRPr="0073501F" w:rsidRDefault="00DA0FCA" w:rsidP="00BB1C7F">
            <w:pPr>
              <w:pStyle w:val="5"/>
              <w:numPr>
                <w:ilvl w:val="0"/>
                <w:numId w:val="0"/>
              </w:numPr>
              <w:ind w:leftChars="-32" w:left="-108" w:hanging="1"/>
              <w:rPr>
                <w:rFonts w:hAnsi="標楷體"/>
                <w:sz w:val="24"/>
                <w:szCs w:val="24"/>
              </w:rPr>
            </w:pPr>
          </w:p>
        </w:tc>
        <w:tc>
          <w:tcPr>
            <w:tcW w:w="1843" w:type="dxa"/>
          </w:tcPr>
          <w:p w:rsidR="00DA0FCA" w:rsidRPr="0073501F" w:rsidRDefault="00DA0FCA" w:rsidP="00BB1C7F">
            <w:pPr>
              <w:pStyle w:val="5"/>
              <w:numPr>
                <w:ilvl w:val="0"/>
                <w:numId w:val="0"/>
              </w:numPr>
              <w:ind w:rightChars="-31" w:right="-105" w:hanging="108"/>
              <w:rPr>
                <w:rFonts w:hAnsi="標楷體"/>
                <w:sz w:val="24"/>
                <w:szCs w:val="24"/>
              </w:rPr>
            </w:pPr>
            <w:r w:rsidRPr="0073501F">
              <w:rPr>
                <w:rFonts w:hAnsi="標楷體" w:hint="eastAsia"/>
                <w:sz w:val="24"/>
                <w:szCs w:val="24"/>
              </w:rPr>
              <w:t>蕭董事</w:t>
            </w:r>
            <w:r w:rsidR="00407DAE">
              <w:rPr>
                <w:rFonts w:hAnsi="標楷體" w:hint="eastAsia"/>
                <w:sz w:val="24"/>
                <w:szCs w:val="24"/>
              </w:rPr>
              <w:t>○○</w:t>
            </w:r>
          </w:p>
        </w:tc>
        <w:tc>
          <w:tcPr>
            <w:tcW w:w="5812" w:type="dxa"/>
          </w:tcPr>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本案情節重大，且事件發生已久，為何均未事先向金控董事會報告？另海外分行就缺失事項應會列入自行查核報告，金控董事會亦均未見此等缺失。金控董事會對此事均未知悉，實難盡監督之責，力有未逮。(吳總經理漢卿說明本案係於7月28日始接獲紐約分行通知遭罰，期間均積極與美國主管機關就裁罰金額進行溝通，因協商尚未定案，爰未提報董事會)。</w:t>
            </w:r>
          </w:p>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對於本次裁罰事件，董事會最後一刻才知情，銀行對分行之監督不夠及金控稽核人力不足等，均應加以檢討。</w:t>
            </w:r>
          </w:p>
        </w:tc>
      </w:tr>
      <w:tr w:rsidR="00DA0FCA" w:rsidRPr="0073501F" w:rsidTr="00BB1C7F">
        <w:tc>
          <w:tcPr>
            <w:tcW w:w="1559" w:type="dxa"/>
          </w:tcPr>
          <w:p w:rsidR="00DA0FCA" w:rsidRPr="0073501F" w:rsidRDefault="00DA0FCA" w:rsidP="00BB1C7F">
            <w:pPr>
              <w:pStyle w:val="5"/>
              <w:numPr>
                <w:ilvl w:val="0"/>
                <w:numId w:val="0"/>
              </w:numPr>
              <w:ind w:leftChars="-32" w:left="-108" w:hanging="1"/>
              <w:rPr>
                <w:rFonts w:hAnsi="標楷體"/>
                <w:sz w:val="24"/>
                <w:szCs w:val="24"/>
              </w:rPr>
            </w:pPr>
            <w:r w:rsidRPr="0073501F">
              <w:rPr>
                <w:rFonts w:hAnsi="標楷體" w:hint="eastAsia"/>
                <w:sz w:val="24"/>
                <w:szCs w:val="24"/>
              </w:rPr>
              <w:t>第6屆第18次</w:t>
            </w:r>
          </w:p>
          <w:p w:rsidR="00DA0FCA" w:rsidRPr="0073501F" w:rsidRDefault="00DA0FCA" w:rsidP="00BB1C7F">
            <w:pPr>
              <w:pStyle w:val="5"/>
              <w:numPr>
                <w:ilvl w:val="0"/>
                <w:numId w:val="0"/>
              </w:numPr>
              <w:ind w:leftChars="-32" w:left="-108" w:hanging="1"/>
              <w:rPr>
                <w:rFonts w:hAnsi="標楷體"/>
                <w:sz w:val="24"/>
                <w:szCs w:val="24"/>
              </w:rPr>
            </w:pPr>
            <w:r w:rsidRPr="0073501F">
              <w:rPr>
                <w:rFonts w:hAnsi="標楷體" w:hint="eastAsia"/>
                <w:sz w:val="24"/>
                <w:szCs w:val="24"/>
              </w:rPr>
              <w:t>(105.8.23)</w:t>
            </w:r>
          </w:p>
        </w:tc>
        <w:tc>
          <w:tcPr>
            <w:tcW w:w="1843" w:type="dxa"/>
          </w:tcPr>
          <w:p w:rsidR="00DA0FCA" w:rsidRPr="0073501F" w:rsidRDefault="00DA0FCA" w:rsidP="00BB1C7F">
            <w:pPr>
              <w:pStyle w:val="5"/>
              <w:numPr>
                <w:ilvl w:val="0"/>
                <w:numId w:val="0"/>
              </w:numPr>
              <w:ind w:rightChars="-31" w:right="-105" w:hanging="108"/>
              <w:rPr>
                <w:rFonts w:hAnsi="標楷體"/>
                <w:sz w:val="24"/>
                <w:szCs w:val="24"/>
              </w:rPr>
            </w:pPr>
            <w:r w:rsidRPr="0073501F">
              <w:rPr>
                <w:rFonts w:hAnsi="標楷體" w:hint="eastAsia"/>
                <w:sz w:val="24"/>
                <w:szCs w:val="24"/>
              </w:rPr>
              <w:t>蔡董事</w:t>
            </w:r>
            <w:r w:rsidR="00407DAE">
              <w:rPr>
                <w:rFonts w:hAnsi="標楷體" w:hint="eastAsia"/>
                <w:sz w:val="24"/>
                <w:szCs w:val="24"/>
              </w:rPr>
              <w:t>○○</w:t>
            </w:r>
          </w:p>
        </w:tc>
        <w:tc>
          <w:tcPr>
            <w:tcW w:w="5812" w:type="dxa"/>
          </w:tcPr>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本次紐約分行因認知差異致遭重大裁罰，其聘請之顧問公司是否亦應負責？(林獨立董事</w:t>
            </w:r>
            <w:r w:rsidR="00407DAE">
              <w:rPr>
                <w:rFonts w:hAnsi="標楷體" w:hint="eastAsia"/>
                <w:sz w:val="24"/>
                <w:szCs w:val="24"/>
              </w:rPr>
              <w:t>○○</w:t>
            </w:r>
            <w:r w:rsidRPr="0073501F">
              <w:rPr>
                <w:rFonts w:hAnsi="標楷體" w:hint="eastAsia"/>
                <w:sz w:val="24"/>
                <w:szCs w:val="24"/>
              </w:rPr>
              <w:t>說明該Grant Thornton 顧問公司為同業介紹，規模及經驗均可，惟本次因該公司提供錯誤訊息導致銀行作出錯誤決定，似應可對其提出求償)。</w:t>
            </w:r>
          </w:p>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NYDFS指出，箇朗分行有針對特定客戶進行特定交易之紀錄，請說明。(銀行莊處長瑞中就個案進行說明)。</w:t>
            </w:r>
          </w:p>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同仁遭分配過多兼職，多數不敢反應，而報告第5頁竟以法遵人員未充分自我辯護作為事因，對同仁顯不公平。另本次事件凸顯同仁溝通經驗明顯不足，爰建請由陳副總經理擔任本案海外分行對外交涉人員，避免後續裁罰之發生(陳副總經理松興說明美國當地規定法遵人員與BSA/AML人員均應分別設置，並非全由法遵人員負責)。</w:t>
            </w:r>
          </w:p>
        </w:tc>
      </w:tr>
      <w:tr w:rsidR="00DA0FCA" w:rsidRPr="0073501F" w:rsidTr="00BB1C7F">
        <w:tc>
          <w:tcPr>
            <w:tcW w:w="1559" w:type="dxa"/>
          </w:tcPr>
          <w:p w:rsidR="00DA0FCA" w:rsidRPr="0073501F" w:rsidRDefault="00DA0FCA" w:rsidP="00BB1C7F">
            <w:pPr>
              <w:pStyle w:val="5"/>
              <w:numPr>
                <w:ilvl w:val="0"/>
                <w:numId w:val="0"/>
              </w:numPr>
              <w:ind w:leftChars="-32" w:left="-108" w:hanging="1"/>
              <w:rPr>
                <w:rFonts w:hAnsi="標楷體"/>
                <w:sz w:val="24"/>
                <w:szCs w:val="24"/>
              </w:rPr>
            </w:pPr>
          </w:p>
        </w:tc>
        <w:tc>
          <w:tcPr>
            <w:tcW w:w="1843" w:type="dxa"/>
          </w:tcPr>
          <w:p w:rsidR="00DA0FCA" w:rsidRPr="0073501F" w:rsidRDefault="00DA0FCA" w:rsidP="00BB1C7F">
            <w:pPr>
              <w:pStyle w:val="5"/>
              <w:numPr>
                <w:ilvl w:val="0"/>
                <w:numId w:val="0"/>
              </w:numPr>
              <w:ind w:rightChars="-31" w:right="-105" w:hanging="108"/>
              <w:rPr>
                <w:rFonts w:hAnsi="標楷體"/>
                <w:sz w:val="24"/>
                <w:szCs w:val="24"/>
              </w:rPr>
            </w:pPr>
            <w:r w:rsidRPr="0073501F">
              <w:rPr>
                <w:rFonts w:hAnsi="標楷體" w:hint="eastAsia"/>
                <w:sz w:val="24"/>
                <w:szCs w:val="24"/>
              </w:rPr>
              <w:t>林獨立董事</w:t>
            </w:r>
            <w:r w:rsidR="00407DAE">
              <w:rPr>
                <w:rFonts w:hAnsi="標楷體" w:hint="eastAsia"/>
                <w:sz w:val="24"/>
                <w:szCs w:val="24"/>
              </w:rPr>
              <w:t>○○</w:t>
            </w:r>
          </w:p>
        </w:tc>
        <w:tc>
          <w:tcPr>
            <w:tcW w:w="5812" w:type="dxa"/>
          </w:tcPr>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請說明105.3.24-105.7.29期間，紐約分行就該事件之通報及溝通情形。(銀行莊處長瑞中說明期間NYDFS與紐行曾就巴拿馬分行是否關閉可疑帳戶乙節進視訊會議，紐行亦有回報總行，總行亦同意其依內部結論進行，巴行及箇朗分行亦均配合關閉帳戶)。</w:t>
            </w:r>
          </w:p>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本次提供給NYDFS之錯誤資訊，如係由外部顧問提供，應該NYDFS知道，另請提供外部顧問之建議供參。(徐董事長請銀行企劃部於會後提供資料予林獨立董事參考)</w:t>
            </w:r>
          </w:p>
        </w:tc>
      </w:tr>
      <w:tr w:rsidR="00DA0FCA" w:rsidRPr="0073501F" w:rsidTr="00BB1C7F">
        <w:tc>
          <w:tcPr>
            <w:tcW w:w="1559" w:type="dxa"/>
          </w:tcPr>
          <w:p w:rsidR="00DA0FCA" w:rsidRPr="0073501F" w:rsidRDefault="00DA0FCA" w:rsidP="00BB1C7F">
            <w:pPr>
              <w:pStyle w:val="5"/>
              <w:numPr>
                <w:ilvl w:val="0"/>
                <w:numId w:val="0"/>
              </w:numPr>
              <w:ind w:leftChars="-32" w:left="-108" w:hanging="1"/>
              <w:rPr>
                <w:rFonts w:hAnsi="標楷體"/>
                <w:sz w:val="24"/>
                <w:szCs w:val="24"/>
              </w:rPr>
            </w:pPr>
          </w:p>
        </w:tc>
        <w:tc>
          <w:tcPr>
            <w:tcW w:w="1843" w:type="dxa"/>
          </w:tcPr>
          <w:p w:rsidR="00DA0FCA" w:rsidRPr="0073501F" w:rsidRDefault="00DA0FCA" w:rsidP="00BB1C7F">
            <w:pPr>
              <w:pStyle w:val="5"/>
              <w:numPr>
                <w:ilvl w:val="0"/>
                <w:numId w:val="0"/>
              </w:numPr>
              <w:ind w:rightChars="-31" w:right="-105" w:hanging="108"/>
              <w:rPr>
                <w:rFonts w:hAnsi="標楷體"/>
                <w:sz w:val="24"/>
                <w:szCs w:val="24"/>
              </w:rPr>
            </w:pPr>
            <w:r w:rsidRPr="0073501F">
              <w:rPr>
                <w:rFonts w:hAnsi="標楷體" w:hint="eastAsia"/>
                <w:sz w:val="24"/>
                <w:szCs w:val="24"/>
              </w:rPr>
              <w:t>龔董事</w:t>
            </w:r>
            <w:r w:rsidR="00407DAE">
              <w:rPr>
                <w:rFonts w:hAnsi="標楷體" w:hint="eastAsia"/>
                <w:sz w:val="24"/>
                <w:szCs w:val="24"/>
              </w:rPr>
              <w:t>○○</w:t>
            </w:r>
          </w:p>
        </w:tc>
        <w:tc>
          <w:tcPr>
            <w:tcW w:w="5812" w:type="dxa"/>
          </w:tcPr>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海外分行是否設置稽核室？(徐董事長說明海外分行因業務單純，並未配置稽核人員，確也因此造成內控缺失)。</w:t>
            </w:r>
          </w:p>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海外分行檢查意見係陳報予總行何單位？(魏董事</w:t>
            </w:r>
            <w:r w:rsidRPr="0073501F">
              <w:rPr>
                <w:rFonts w:hAnsi="標楷體" w:hint="eastAsia"/>
                <w:sz w:val="24"/>
                <w:szCs w:val="24"/>
              </w:rPr>
              <w:lastRenderedPageBreak/>
              <w:t>江霖說明台銀就當地主管機關檢查意見及內部自行查核結果均回報予總行)。</w:t>
            </w:r>
          </w:p>
        </w:tc>
      </w:tr>
      <w:tr w:rsidR="00DA0FCA" w:rsidRPr="0073501F" w:rsidTr="00BB1C7F">
        <w:tc>
          <w:tcPr>
            <w:tcW w:w="1559" w:type="dxa"/>
          </w:tcPr>
          <w:p w:rsidR="00DA0FCA" w:rsidRPr="0073501F" w:rsidRDefault="00DA0FCA" w:rsidP="00BB1C7F">
            <w:pPr>
              <w:pStyle w:val="5"/>
              <w:numPr>
                <w:ilvl w:val="0"/>
                <w:numId w:val="0"/>
              </w:numPr>
              <w:ind w:leftChars="-32" w:left="-108" w:hanging="1"/>
              <w:rPr>
                <w:rFonts w:hAnsi="標楷體"/>
                <w:sz w:val="24"/>
                <w:szCs w:val="24"/>
              </w:rPr>
            </w:pPr>
          </w:p>
        </w:tc>
        <w:tc>
          <w:tcPr>
            <w:tcW w:w="1843" w:type="dxa"/>
          </w:tcPr>
          <w:p w:rsidR="00DA0FCA" w:rsidRPr="0073501F" w:rsidRDefault="00DA0FCA" w:rsidP="00BB1C7F">
            <w:pPr>
              <w:pStyle w:val="5"/>
              <w:numPr>
                <w:ilvl w:val="0"/>
                <w:numId w:val="0"/>
              </w:numPr>
              <w:ind w:rightChars="-31" w:right="-105" w:hanging="108"/>
              <w:rPr>
                <w:rFonts w:hAnsi="標楷體"/>
                <w:sz w:val="24"/>
                <w:szCs w:val="24"/>
              </w:rPr>
            </w:pPr>
            <w:r w:rsidRPr="0073501F">
              <w:rPr>
                <w:rFonts w:hAnsi="標楷體" w:hint="eastAsia"/>
                <w:sz w:val="24"/>
                <w:szCs w:val="24"/>
              </w:rPr>
              <w:t>翁董事</w:t>
            </w:r>
            <w:r w:rsidR="00407DAE">
              <w:rPr>
                <w:rFonts w:hAnsi="標楷體" w:hint="eastAsia"/>
                <w:sz w:val="24"/>
                <w:szCs w:val="24"/>
              </w:rPr>
              <w:t>○○</w:t>
            </w:r>
          </w:p>
        </w:tc>
        <w:tc>
          <w:tcPr>
            <w:tcW w:w="5812" w:type="dxa"/>
          </w:tcPr>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公司對於法遵之投資較為節儉，海外分行法遵人員之待遇如未比照當地市場標準，可能衍生諸多問題。</w:t>
            </w:r>
          </w:p>
        </w:tc>
      </w:tr>
      <w:tr w:rsidR="00DA0FCA" w:rsidRPr="0073501F" w:rsidTr="00BB1C7F">
        <w:tc>
          <w:tcPr>
            <w:tcW w:w="1559" w:type="dxa"/>
          </w:tcPr>
          <w:p w:rsidR="00DA0FCA" w:rsidRPr="0073501F" w:rsidRDefault="00DA0FCA" w:rsidP="00BB1C7F">
            <w:pPr>
              <w:pStyle w:val="5"/>
              <w:numPr>
                <w:ilvl w:val="0"/>
                <w:numId w:val="0"/>
              </w:numPr>
              <w:ind w:leftChars="-32" w:left="-108" w:hanging="1"/>
              <w:rPr>
                <w:rFonts w:hAnsi="標楷體"/>
                <w:sz w:val="24"/>
                <w:szCs w:val="24"/>
              </w:rPr>
            </w:pPr>
            <w:r w:rsidRPr="0073501F">
              <w:rPr>
                <w:rFonts w:hAnsi="標楷體" w:hint="eastAsia"/>
                <w:sz w:val="24"/>
                <w:szCs w:val="24"/>
              </w:rPr>
              <w:t>第6屆第20次</w:t>
            </w:r>
          </w:p>
          <w:p w:rsidR="00DA0FCA" w:rsidRPr="0073501F" w:rsidRDefault="00DA0FCA" w:rsidP="00BB1C7F">
            <w:pPr>
              <w:pStyle w:val="5"/>
              <w:numPr>
                <w:ilvl w:val="0"/>
                <w:numId w:val="0"/>
              </w:numPr>
              <w:ind w:leftChars="-32" w:left="-108" w:hanging="1"/>
              <w:rPr>
                <w:rFonts w:hAnsi="標楷體"/>
                <w:sz w:val="24"/>
                <w:szCs w:val="24"/>
              </w:rPr>
            </w:pPr>
            <w:r w:rsidRPr="0073501F">
              <w:rPr>
                <w:rFonts w:hAnsi="標楷體" w:hint="eastAsia"/>
                <w:sz w:val="24"/>
                <w:szCs w:val="24"/>
              </w:rPr>
              <w:t>(105.9.2)</w:t>
            </w:r>
          </w:p>
        </w:tc>
        <w:tc>
          <w:tcPr>
            <w:tcW w:w="1843" w:type="dxa"/>
          </w:tcPr>
          <w:p w:rsidR="00DA0FCA" w:rsidRPr="0073501F" w:rsidRDefault="00DA0FCA" w:rsidP="00BB1C7F">
            <w:pPr>
              <w:pStyle w:val="5"/>
              <w:numPr>
                <w:ilvl w:val="0"/>
                <w:numId w:val="0"/>
              </w:numPr>
              <w:ind w:rightChars="-31" w:right="-105" w:hanging="108"/>
              <w:rPr>
                <w:rFonts w:hAnsi="標楷體"/>
                <w:sz w:val="24"/>
                <w:szCs w:val="24"/>
              </w:rPr>
            </w:pPr>
            <w:r w:rsidRPr="0073501F">
              <w:rPr>
                <w:rFonts w:hAnsi="標楷體" w:hint="eastAsia"/>
                <w:sz w:val="24"/>
                <w:szCs w:val="24"/>
              </w:rPr>
              <w:t>林獨立董事</w:t>
            </w:r>
            <w:r w:rsidR="00407DAE">
              <w:rPr>
                <w:rFonts w:hAnsi="標楷體" w:hint="eastAsia"/>
                <w:sz w:val="24"/>
                <w:szCs w:val="24"/>
              </w:rPr>
              <w:t>○○</w:t>
            </w:r>
          </w:p>
        </w:tc>
        <w:tc>
          <w:tcPr>
            <w:tcW w:w="5812" w:type="dxa"/>
          </w:tcPr>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就子銀行紐約分行遭重罰乙事，本人等三位獨立董事已展開觀察及建議，根據初步所取得資料進行研議，已將本案之程序問題及建議之因應對策，完整出具報告，會後將呈董座參考。</w:t>
            </w:r>
          </w:p>
        </w:tc>
      </w:tr>
      <w:tr w:rsidR="00DA0FCA" w:rsidRPr="0073501F" w:rsidTr="00BB1C7F">
        <w:tc>
          <w:tcPr>
            <w:tcW w:w="1559" w:type="dxa"/>
          </w:tcPr>
          <w:p w:rsidR="00DA0FCA" w:rsidRPr="0073501F" w:rsidRDefault="00DA0FCA" w:rsidP="00BB1C7F">
            <w:pPr>
              <w:pStyle w:val="5"/>
              <w:numPr>
                <w:ilvl w:val="0"/>
                <w:numId w:val="0"/>
              </w:numPr>
              <w:ind w:leftChars="-32" w:left="-108" w:hanging="1"/>
              <w:rPr>
                <w:rFonts w:hAnsi="標楷體"/>
                <w:sz w:val="24"/>
                <w:szCs w:val="24"/>
              </w:rPr>
            </w:pPr>
            <w:r w:rsidRPr="0073501F">
              <w:rPr>
                <w:rFonts w:hAnsi="標楷體" w:hint="eastAsia"/>
                <w:sz w:val="24"/>
                <w:szCs w:val="24"/>
              </w:rPr>
              <w:t>第6屆第22次</w:t>
            </w:r>
          </w:p>
          <w:p w:rsidR="00DA0FCA" w:rsidRPr="0073501F" w:rsidRDefault="00DA0FCA" w:rsidP="00BB1C7F">
            <w:pPr>
              <w:pStyle w:val="5"/>
              <w:numPr>
                <w:ilvl w:val="0"/>
                <w:numId w:val="0"/>
              </w:numPr>
              <w:ind w:leftChars="-32" w:left="-108" w:hanging="1"/>
              <w:rPr>
                <w:rFonts w:hAnsi="標楷體"/>
                <w:sz w:val="24"/>
                <w:szCs w:val="24"/>
              </w:rPr>
            </w:pPr>
            <w:r w:rsidRPr="0073501F">
              <w:rPr>
                <w:rFonts w:hAnsi="標楷體" w:hint="eastAsia"/>
                <w:sz w:val="24"/>
                <w:szCs w:val="24"/>
              </w:rPr>
              <w:t>(105.9.29)</w:t>
            </w:r>
          </w:p>
        </w:tc>
        <w:tc>
          <w:tcPr>
            <w:tcW w:w="1843" w:type="dxa"/>
          </w:tcPr>
          <w:p w:rsidR="00DA0FCA" w:rsidRPr="0073501F" w:rsidRDefault="00DA0FCA" w:rsidP="00BB1C7F">
            <w:pPr>
              <w:pStyle w:val="5"/>
              <w:numPr>
                <w:ilvl w:val="0"/>
                <w:numId w:val="0"/>
              </w:numPr>
              <w:ind w:rightChars="-31" w:right="-105" w:hanging="108"/>
              <w:rPr>
                <w:rFonts w:hAnsi="標楷體"/>
                <w:sz w:val="24"/>
                <w:szCs w:val="24"/>
              </w:rPr>
            </w:pPr>
            <w:r w:rsidRPr="0073501F">
              <w:rPr>
                <w:rFonts w:hAnsi="標楷體" w:hint="eastAsia"/>
                <w:sz w:val="24"/>
                <w:szCs w:val="24"/>
              </w:rPr>
              <w:t>林獨立董事</w:t>
            </w:r>
            <w:r w:rsidR="00407DAE">
              <w:rPr>
                <w:rFonts w:hAnsi="標楷體" w:hint="eastAsia"/>
                <w:sz w:val="24"/>
                <w:szCs w:val="24"/>
              </w:rPr>
              <w:t>○○</w:t>
            </w:r>
          </w:p>
        </w:tc>
        <w:tc>
          <w:tcPr>
            <w:tcW w:w="5812" w:type="dxa"/>
          </w:tcPr>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議程第152頁缺失事項第6點，有關紐約分行對NYDFS金融來查令人不安且形同漠視的回應乙節，其原因為何？是否係因顧問提供錯誤意見所致？(董事長說明針對此疏失，銀行將於查明後究責，至是否為外部顧問提供之錯誤意見所致，尚無相關佐證資料)。</w:t>
            </w:r>
          </w:p>
        </w:tc>
      </w:tr>
      <w:tr w:rsidR="00DA0FCA" w:rsidRPr="0073501F" w:rsidTr="00BB1C7F">
        <w:tc>
          <w:tcPr>
            <w:tcW w:w="1559" w:type="dxa"/>
          </w:tcPr>
          <w:p w:rsidR="00DA0FCA" w:rsidRPr="0073501F" w:rsidRDefault="00DA0FCA" w:rsidP="00BB1C7F">
            <w:pPr>
              <w:pStyle w:val="5"/>
              <w:numPr>
                <w:ilvl w:val="0"/>
                <w:numId w:val="0"/>
              </w:numPr>
              <w:ind w:leftChars="-32" w:left="-108" w:hanging="1"/>
              <w:rPr>
                <w:rFonts w:hAnsi="標楷體"/>
                <w:sz w:val="24"/>
                <w:szCs w:val="24"/>
              </w:rPr>
            </w:pPr>
          </w:p>
        </w:tc>
        <w:tc>
          <w:tcPr>
            <w:tcW w:w="1843" w:type="dxa"/>
          </w:tcPr>
          <w:p w:rsidR="00DA0FCA" w:rsidRPr="0073501F" w:rsidRDefault="00DA0FCA" w:rsidP="00BB1C7F">
            <w:pPr>
              <w:pStyle w:val="5"/>
              <w:numPr>
                <w:ilvl w:val="0"/>
                <w:numId w:val="0"/>
              </w:numPr>
              <w:ind w:rightChars="-31" w:right="-105" w:hanging="108"/>
              <w:rPr>
                <w:rFonts w:hAnsi="標楷體"/>
                <w:sz w:val="24"/>
                <w:szCs w:val="24"/>
              </w:rPr>
            </w:pPr>
            <w:r w:rsidRPr="0073501F">
              <w:rPr>
                <w:rFonts w:hAnsi="標楷體" w:hint="eastAsia"/>
                <w:sz w:val="24"/>
                <w:szCs w:val="24"/>
              </w:rPr>
              <w:t>董事長</w:t>
            </w:r>
          </w:p>
        </w:tc>
        <w:tc>
          <w:tcPr>
            <w:tcW w:w="5812" w:type="dxa"/>
          </w:tcPr>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有關對外部顧問究責乙節，因目前尚無法確定此次裁罰係因外部顧問提供錯誤建議所致，爰無法對外顧問提出求償，未來若取得相關證據，將依法追究以保障銀行權利。</w:t>
            </w:r>
          </w:p>
        </w:tc>
      </w:tr>
      <w:tr w:rsidR="00DA0FCA" w:rsidRPr="0073501F" w:rsidTr="00BB1C7F">
        <w:tc>
          <w:tcPr>
            <w:tcW w:w="1559" w:type="dxa"/>
          </w:tcPr>
          <w:p w:rsidR="00DA0FCA" w:rsidRPr="0073501F" w:rsidRDefault="00DA0FCA" w:rsidP="00BB1C7F">
            <w:pPr>
              <w:pStyle w:val="5"/>
              <w:numPr>
                <w:ilvl w:val="0"/>
                <w:numId w:val="0"/>
              </w:numPr>
              <w:ind w:leftChars="-32" w:left="-108" w:hanging="1"/>
              <w:rPr>
                <w:rFonts w:hAnsi="標楷體"/>
                <w:sz w:val="24"/>
                <w:szCs w:val="24"/>
              </w:rPr>
            </w:pPr>
          </w:p>
        </w:tc>
        <w:tc>
          <w:tcPr>
            <w:tcW w:w="1843" w:type="dxa"/>
          </w:tcPr>
          <w:p w:rsidR="00DA0FCA" w:rsidRPr="0073501F" w:rsidRDefault="00DA0FCA" w:rsidP="00BB1C7F">
            <w:pPr>
              <w:pStyle w:val="5"/>
              <w:numPr>
                <w:ilvl w:val="0"/>
                <w:numId w:val="0"/>
              </w:numPr>
              <w:ind w:rightChars="-31" w:right="-105" w:hanging="108"/>
              <w:rPr>
                <w:rFonts w:hAnsi="標楷體"/>
                <w:sz w:val="24"/>
                <w:szCs w:val="24"/>
              </w:rPr>
            </w:pPr>
            <w:r w:rsidRPr="0073501F">
              <w:rPr>
                <w:rFonts w:hAnsi="標楷體" w:hint="eastAsia"/>
                <w:sz w:val="24"/>
                <w:szCs w:val="24"/>
              </w:rPr>
              <w:t>李獨立董事</w:t>
            </w:r>
            <w:r w:rsidR="006C3CD8">
              <w:rPr>
                <w:rFonts w:hAnsi="標楷體" w:hint="eastAsia"/>
                <w:sz w:val="24"/>
                <w:szCs w:val="24"/>
              </w:rPr>
              <w:t>○○</w:t>
            </w:r>
            <w:bookmarkStart w:id="292" w:name="_GoBack"/>
            <w:bookmarkEnd w:id="292"/>
          </w:p>
        </w:tc>
        <w:tc>
          <w:tcPr>
            <w:tcW w:w="5812" w:type="dxa"/>
          </w:tcPr>
          <w:p w:rsidR="00DA0FCA" w:rsidRPr="0073501F" w:rsidRDefault="00DA0FCA" w:rsidP="00C33158">
            <w:pPr>
              <w:pStyle w:val="5"/>
              <w:numPr>
                <w:ilvl w:val="0"/>
                <w:numId w:val="0"/>
              </w:numPr>
              <w:rPr>
                <w:rFonts w:hAnsi="標楷體"/>
                <w:sz w:val="24"/>
                <w:szCs w:val="24"/>
              </w:rPr>
            </w:pPr>
            <w:r w:rsidRPr="0073501F">
              <w:rPr>
                <w:rFonts w:hAnsi="標楷體" w:hint="eastAsia"/>
                <w:sz w:val="24"/>
                <w:szCs w:val="24"/>
              </w:rPr>
              <w:t>於查明銀行與外部顧問公司過失責任之過程，建請聘任律師協助。(董事長說明查Morrison律師事務所與G.T.顧問公司有利益衝突，似不宜由該所擔任)</w:t>
            </w:r>
          </w:p>
        </w:tc>
      </w:tr>
    </w:tbl>
    <w:p w:rsidR="00DA0FCA" w:rsidRPr="0073501F" w:rsidRDefault="00DA0FCA" w:rsidP="00DA0FCA">
      <w:pPr>
        <w:pStyle w:val="5"/>
        <w:numPr>
          <w:ilvl w:val="0"/>
          <w:numId w:val="0"/>
        </w:numPr>
        <w:ind w:left="2041"/>
        <w:rPr>
          <w:rFonts w:hAnsi="標楷體"/>
        </w:rPr>
      </w:pPr>
    </w:p>
    <w:sectPr w:rsidR="00DA0FCA" w:rsidRPr="0073501F" w:rsidSect="00407DAE">
      <w:footerReference w:type="default" r:id="rId15"/>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DAE" w:rsidRDefault="00407DAE">
      <w:r>
        <w:separator/>
      </w:r>
    </w:p>
  </w:endnote>
  <w:endnote w:type="continuationSeparator" w:id="0">
    <w:p w:rsidR="00407DAE" w:rsidRDefault="0040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AE" w:rsidRDefault="00407DA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C3CD8">
      <w:rPr>
        <w:rStyle w:val="ac"/>
        <w:noProof/>
        <w:sz w:val="24"/>
      </w:rPr>
      <w:t>45</w:t>
    </w:r>
    <w:r>
      <w:rPr>
        <w:rStyle w:val="ac"/>
        <w:sz w:val="24"/>
      </w:rPr>
      <w:fldChar w:fldCharType="end"/>
    </w:r>
  </w:p>
  <w:p w:rsidR="00407DAE" w:rsidRDefault="00407DA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DAE" w:rsidRDefault="00407DAE">
      <w:r>
        <w:separator/>
      </w:r>
    </w:p>
  </w:footnote>
  <w:footnote w:type="continuationSeparator" w:id="0">
    <w:p w:rsidR="00407DAE" w:rsidRDefault="00407DAE">
      <w:r>
        <w:continuationSeparator/>
      </w:r>
    </w:p>
  </w:footnote>
  <w:footnote w:id="1">
    <w:p w:rsidR="00407DAE" w:rsidRPr="00317003" w:rsidRDefault="00407DAE" w:rsidP="00441F49">
      <w:pPr>
        <w:pStyle w:val="afa"/>
      </w:pPr>
      <w:r>
        <w:rPr>
          <w:rStyle w:val="afc"/>
        </w:rPr>
        <w:footnoteRef/>
      </w:r>
      <w:r>
        <w:t xml:space="preserve"> </w:t>
      </w:r>
      <w:r w:rsidRPr="00F32E11">
        <w:rPr>
          <w:rFonts w:hAnsi="標楷體"/>
        </w:rPr>
        <w:t>Th</w:t>
      </w:r>
      <w:r w:rsidRPr="00F32E11">
        <w:rPr>
          <w:rFonts w:hAnsi="標楷體" w:hint="eastAsia"/>
        </w:rPr>
        <w:t>e</w:t>
      </w:r>
      <w:r w:rsidRPr="00F32E11">
        <w:rPr>
          <w:rFonts w:hAnsi="標楷體"/>
        </w:rPr>
        <w:t xml:space="preserve"> New York State D</w:t>
      </w:r>
      <w:r w:rsidRPr="00317003">
        <w:rPr>
          <w:rFonts w:hAnsi="標楷體"/>
        </w:rPr>
        <w:t>epartment of</w:t>
      </w:r>
      <w:r w:rsidRPr="00317003">
        <w:rPr>
          <w:rFonts w:hAnsi="標楷體" w:hint="eastAsia"/>
        </w:rPr>
        <w:t xml:space="preserve"> </w:t>
      </w:r>
      <w:r w:rsidRPr="00317003">
        <w:rPr>
          <w:rFonts w:hAnsi="標楷體"/>
        </w:rPr>
        <w:t>Financial Services</w:t>
      </w:r>
      <w:r w:rsidRPr="00317003">
        <w:rPr>
          <w:rFonts w:hAnsi="標楷體" w:hint="eastAsia"/>
        </w:rPr>
        <w:t>。</w:t>
      </w:r>
    </w:p>
  </w:footnote>
  <w:footnote w:id="2">
    <w:p w:rsidR="00407DAE" w:rsidRPr="00317003" w:rsidRDefault="00407DAE" w:rsidP="00441F49">
      <w:pPr>
        <w:pStyle w:val="afa"/>
      </w:pPr>
      <w:r w:rsidRPr="00317003">
        <w:rPr>
          <w:rStyle w:val="afc"/>
        </w:rPr>
        <w:footnoteRef/>
      </w:r>
      <w:r w:rsidRPr="00317003">
        <w:t xml:space="preserve"> </w:t>
      </w:r>
      <w:r w:rsidRPr="00317003">
        <w:rPr>
          <w:rFonts w:hint="eastAsia"/>
        </w:rPr>
        <w:t>依據合意處分令</w:t>
      </w:r>
      <w:r w:rsidRPr="00317003">
        <w:rPr>
          <w:rFonts w:hAnsi="標楷體"/>
        </w:rPr>
        <w:t>(Consent Order)</w:t>
      </w:r>
      <w:r w:rsidRPr="00317003">
        <w:rPr>
          <w:rFonts w:hint="eastAsia"/>
        </w:rPr>
        <w:t>中之內容。</w:t>
      </w:r>
    </w:p>
  </w:footnote>
  <w:footnote w:id="3">
    <w:p w:rsidR="00407DAE" w:rsidRPr="00F970E8" w:rsidRDefault="00407DAE" w:rsidP="00863E77">
      <w:pPr>
        <w:pStyle w:val="afa"/>
        <w:ind w:left="141" w:hangingChars="64" w:hanging="141"/>
      </w:pPr>
      <w:r w:rsidRPr="00317003">
        <w:rPr>
          <w:rStyle w:val="afc"/>
        </w:rPr>
        <w:footnoteRef/>
      </w:r>
      <w:r w:rsidRPr="00317003">
        <w:rPr>
          <w:rFonts w:hint="eastAsia"/>
        </w:rPr>
        <w:t>美國聯邦儲備系統（Federal Reser</w:t>
      </w:r>
      <w:r w:rsidRPr="00F970E8">
        <w:rPr>
          <w:rFonts w:hint="eastAsia"/>
        </w:rPr>
        <w:t>ve System，簡稱FED、美聯儲或聯準會）係美國中央銀行體系，主要包括聯邦準備理事會（Federal Reserve Board of Governors）、聯邦公開市場委員會（Federal Open Market Committee）及12家聯邦準備銀行（Federal Reserve Banks，簡稱FRB）等。亦有將聯邦準備理事會簡稱為FED，或聯邦準備銀行簡稱為FRB，泛指美國聯邦金融監理機關。</w:t>
      </w:r>
    </w:p>
  </w:footnote>
  <w:footnote w:id="4">
    <w:p w:rsidR="00407DAE" w:rsidRPr="00C97712" w:rsidRDefault="00407DAE" w:rsidP="00441F49">
      <w:pPr>
        <w:pStyle w:val="afa"/>
      </w:pPr>
      <w:r>
        <w:rPr>
          <w:rStyle w:val="afc"/>
        </w:rPr>
        <w:footnoteRef/>
      </w:r>
      <w:r>
        <w:t xml:space="preserve"> </w:t>
      </w:r>
      <w:r w:rsidRPr="00C97712">
        <w:rPr>
          <w:rFonts w:hint="eastAsia"/>
        </w:rPr>
        <w:t>依據美國紐約銀行法(New York Banking Law)第39條及第44條規定。</w:t>
      </w:r>
    </w:p>
  </w:footnote>
  <w:footnote w:id="5">
    <w:p w:rsidR="00407DAE" w:rsidRPr="00317003" w:rsidRDefault="00407DAE" w:rsidP="00863E77">
      <w:pPr>
        <w:pStyle w:val="afa"/>
        <w:ind w:left="238" w:hangingChars="108" w:hanging="238"/>
        <w:rPr>
          <w:rFonts w:ascii="新細明體" w:eastAsia="新細明體" w:hAnsi="新細明體"/>
        </w:rPr>
      </w:pPr>
      <w:r>
        <w:rPr>
          <w:rStyle w:val="afc"/>
        </w:rPr>
        <w:footnoteRef/>
      </w:r>
      <w:r>
        <w:rPr>
          <w:rFonts w:hint="eastAsia"/>
          <w:color w:val="FF0000"/>
        </w:rPr>
        <w:t xml:space="preserve"> </w:t>
      </w:r>
      <w:r w:rsidRPr="00317003">
        <w:rPr>
          <w:rFonts w:hint="eastAsia"/>
        </w:rPr>
        <w:t>依據銀行法第35條之2規定訂定之「</w:t>
      </w:r>
      <w:hyperlink r:id="rId1" w:history="1">
        <w:r w:rsidRPr="00317003">
          <w:rPr>
            <w:rFonts w:hAnsi="標楷體" w:hint="eastAsia"/>
          </w:rPr>
          <w:t>銀行負責人應具備資格條件兼職限制及應遵行事項準則</w:t>
        </w:r>
      </w:hyperlink>
      <w:r w:rsidRPr="00317003">
        <w:rPr>
          <w:rFonts w:hAnsi="標楷體" w:hint="eastAsia"/>
        </w:rPr>
        <w:t>」第3條規定：「有下列情事之一者，不得充任銀行之負責人：</w:t>
      </w:r>
      <w:r w:rsidRPr="00317003">
        <w:rPr>
          <w:rFonts w:hAnsi="標楷體"/>
        </w:rPr>
        <w:t>……</w:t>
      </w:r>
      <w:r w:rsidRPr="00317003">
        <w:rPr>
          <w:rFonts w:hAnsi="標楷體" w:hint="eastAsia"/>
        </w:rPr>
        <w:t>十一、因違反銀行法、金融控股公司法、信託業法、票券金融管理法、金融資產證券化條例、不動產證券化條例、保險法、證券交易法、期貨交易法、證券投資信託及顧問法、信用合作社法、農業金融法、農會法、漁會法或其他金融管理法，經主管機關命令撤換或解任，尚未逾五年者</w:t>
      </w:r>
      <w:r w:rsidRPr="00317003">
        <w:rPr>
          <w:rFonts w:hAnsi="標楷體"/>
        </w:rPr>
        <w:t>……</w:t>
      </w:r>
      <w:r w:rsidRPr="00317003">
        <w:rPr>
          <w:rFonts w:hAnsi="標楷體" w:hint="eastAsia"/>
        </w:rPr>
        <w:t>」，</w:t>
      </w:r>
      <w:r w:rsidRPr="00317003">
        <w:rPr>
          <w:rFonts w:hAnsi="標楷體" w:hint="eastAsia"/>
          <w:szCs w:val="32"/>
        </w:rPr>
        <w:t>該6人於</w:t>
      </w:r>
      <w:r w:rsidRPr="00317003">
        <w:rPr>
          <w:rFonts w:hAnsi="標楷體"/>
          <w:szCs w:val="32"/>
        </w:rPr>
        <w:t>5</w:t>
      </w:r>
      <w:r w:rsidRPr="00317003">
        <w:rPr>
          <w:rFonts w:hAnsi="標楷體" w:hint="eastAsia"/>
          <w:szCs w:val="32"/>
        </w:rPr>
        <w:t>年內亦無法擔任銀行負責人</w:t>
      </w:r>
      <w:r w:rsidRPr="00317003">
        <w:rPr>
          <w:rFonts w:hAnsi="標楷體" w:hint="eastAsia"/>
        </w:rPr>
        <w:t>。</w:t>
      </w:r>
    </w:p>
  </w:footnote>
  <w:footnote w:id="6">
    <w:p w:rsidR="00407DAE" w:rsidRPr="00FC22A5" w:rsidRDefault="00407DAE" w:rsidP="00863E77">
      <w:pPr>
        <w:pStyle w:val="afa"/>
        <w:ind w:left="238" w:hangingChars="108" w:hanging="238"/>
      </w:pPr>
      <w:r>
        <w:rPr>
          <w:rStyle w:val="afc"/>
        </w:rPr>
        <w:footnoteRef/>
      </w:r>
      <w:r>
        <w:rPr>
          <w:rFonts w:hint="eastAsia"/>
        </w:rPr>
        <w:t xml:space="preserve"> </w:t>
      </w:r>
      <w:r w:rsidRPr="00FC22A5">
        <w:rPr>
          <w:rFonts w:hint="eastAsia"/>
        </w:rPr>
        <w:t>據臺北地檢署106年5月22日</w:t>
      </w:r>
      <w:r>
        <w:rPr>
          <w:rFonts w:hint="eastAsia"/>
        </w:rPr>
        <w:t>新聞稿，該署</w:t>
      </w:r>
      <w:r w:rsidRPr="00FC22A5">
        <w:rPr>
          <w:rFonts w:hint="eastAsia"/>
        </w:rPr>
        <w:t>偵辦兆豐銀行疑似洗錢案件，業經偵查終結，偵查結果</w:t>
      </w:r>
      <w:r>
        <w:rPr>
          <w:rFonts w:hint="eastAsia"/>
        </w:rPr>
        <w:t>：</w:t>
      </w:r>
      <w:r>
        <w:rPr>
          <w:rFonts w:ascii="新細明體" w:eastAsia="新細明體" w:hAnsi="新細明體" w:hint="eastAsia"/>
        </w:rPr>
        <w:t>「</w:t>
      </w:r>
      <w:r w:rsidRPr="00FC22A5">
        <w:rPr>
          <w:rFonts w:hint="eastAsia"/>
        </w:rPr>
        <w:t>本案迄查無兆豐銀行相關人員及本國人涉有幫助洗錢犯罪之事證。</w:t>
      </w:r>
      <w:r>
        <w:rPr>
          <w:rFonts w:hAnsi="標楷體" w:hint="eastAsia"/>
        </w:rPr>
        <w:t>」</w:t>
      </w:r>
    </w:p>
  </w:footnote>
  <w:footnote w:id="7">
    <w:p w:rsidR="00407DAE" w:rsidRPr="009C1B43" w:rsidRDefault="00407DAE" w:rsidP="00441F49">
      <w:pPr>
        <w:pStyle w:val="afa"/>
      </w:pPr>
      <w:r>
        <w:rPr>
          <w:rStyle w:val="afc"/>
        </w:rPr>
        <w:footnoteRef/>
      </w:r>
      <w:r>
        <w:t xml:space="preserve"> </w:t>
      </w:r>
      <w:r>
        <w:rPr>
          <w:rFonts w:hint="eastAsia"/>
        </w:rPr>
        <w:t>參照金管會提供之書面資料及譯文，本院予以文字調整。</w:t>
      </w:r>
    </w:p>
  </w:footnote>
  <w:footnote w:id="8">
    <w:p w:rsidR="00407DAE" w:rsidRPr="00AF34CA" w:rsidRDefault="00407DAE" w:rsidP="00441F49">
      <w:pPr>
        <w:pStyle w:val="afa"/>
      </w:pPr>
      <w:r>
        <w:rPr>
          <w:rStyle w:val="afc"/>
        </w:rPr>
        <w:footnoteRef/>
      </w:r>
      <w:r>
        <w:t xml:space="preserve"> </w:t>
      </w:r>
      <w:r>
        <w:rPr>
          <w:rFonts w:hAnsi="標楷體" w:hint="eastAsia"/>
        </w:rPr>
        <w:t>The Bank Secrecy Act/Anti-Money Launderin。</w:t>
      </w:r>
    </w:p>
  </w:footnote>
  <w:footnote w:id="9">
    <w:p w:rsidR="00407DAE" w:rsidRPr="00AF34CA" w:rsidRDefault="00407DAE" w:rsidP="00441F49">
      <w:pPr>
        <w:pStyle w:val="afa"/>
      </w:pPr>
      <w:r>
        <w:rPr>
          <w:rStyle w:val="afc"/>
        </w:rPr>
        <w:footnoteRef/>
      </w:r>
      <w:r>
        <w:t xml:space="preserve"> </w:t>
      </w:r>
      <w:r w:rsidRPr="00AF34CA">
        <w:rPr>
          <w:rFonts w:hAnsi="標楷體" w:cs="MS Mincho" w:hint="eastAsia"/>
          <w:color w:val="101010"/>
          <w:kern w:val="0"/>
        </w:rPr>
        <w:t>T</w:t>
      </w:r>
      <w:r w:rsidRPr="00AF34CA">
        <w:rPr>
          <w:rFonts w:hAnsi="標楷體" w:cs="MS Mincho"/>
          <w:color w:val="101010"/>
          <w:kern w:val="0"/>
        </w:rPr>
        <w:t>he Office of</w:t>
      </w:r>
      <w:r w:rsidRPr="00AF34CA">
        <w:rPr>
          <w:rFonts w:hAnsi="標楷體" w:cs="MS Mincho" w:hint="eastAsia"/>
          <w:color w:val="101010"/>
          <w:kern w:val="0"/>
        </w:rPr>
        <w:t xml:space="preserve"> </w:t>
      </w:r>
      <w:r w:rsidRPr="00AF34CA">
        <w:rPr>
          <w:rFonts w:hAnsi="標楷體" w:cs="MS Mincho"/>
          <w:color w:val="101010"/>
          <w:kern w:val="0"/>
        </w:rPr>
        <w:t>Foreign Assets Control ofthe United States Depa</w:t>
      </w:r>
      <w:r w:rsidRPr="00AF34CA">
        <w:rPr>
          <w:rFonts w:hAnsi="標楷體" w:cs="MS Mincho" w:hint="eastAsia"/>
          <w:color w:val="101010"/>
          <w:kern w:val="0"/>
        </w:rPr>
        <w:t>rt</w:t>
      </w:r>
      <w:r w:rsidRPr="00AF34CA">
        <w:rPr>
          <w:rFonts w:hAnsi="標楷體" w:cs="MS Mincho"/>
          <w:color w:val="101010"/>
          <w:kern w:val="0"/>
        </w:rPr>
        <w:t>ment of Treasury</w:t>
      </w:r>
      <w:r>
        <w:rPr>
          <w:rFonts w:hAnsi="標楷體" w:cs="MS Mincho" w:hint="eastAsia"/>
          <w:color w:val="101010"/>
          <w:kern w:val="0"/>
        </w:rPr>
        <w:t>。</w:t>
      </w:r>
    </w:p>
  </w:footnote>
  <w:footnote w:id="10">
    <w:p w:rsidR="00407DAE" w:rsidRPr="007F005F" w:rsidRDefault="00407DAE" w:rsidP="00441F49">
      <w:pPr>
        <w:pStyle w:val="afa"/>
      </w:pPr>
      <w:r w:rsidRPr="007F005F">
        <w:rPr>
          <w:rStyle w:val="afc"/>
        </w:rPr>
        <w:footnoteRef/>
      </w:r>
      <w:r w:rsidRPr="007F005F">
        <w:t xml:space="preserve"> </w:t>
      </w:r>
      <w:r w:rsidRPr="007F005F">
        <w:rPr>
          <w:rFonts w:hAnsi="標楷體"/>
          <w:color w:val="252525"/>
          <w:kern w:val="0"/>
        </w:rPr>
        <w:t>Customer Due Diligence</w:t>
      </w:r>
      <w:r w:rsidRPr="007F005F">
        <w:rPr>
          <w:rFonts w:hAnsi="標楷體" w:hint="eastAsia"/>
          <w:color w:val="252525"/>
          <w:kern w:val="0"/>
        </w:rPr>
        <w:t>。</w:t>
      </w:r>
    </w:p>
  </w:footnote>
  <w:footnote w:id="11">
    <w:p w:rsidR="00407DAE" w:rsidRPr="00C97712" w:rsidRDefault="00407DAE" w:rsidP="00441F49">
      <w:pPr>
        <w:pStyle w:val="afa"/>
      </w:pPr>
      <w:r w:rsidRPr="007F005F">
        <w:rPr>
          <w:rStyle w:val="afc"/>
        </w:rPr>
        <w:footnoteRef/>
      </w:r>
      <w:r w:rsidRPr="007F005F">
        <w:t xml:space="preserve"> </w:t>
      </w:r>
      <w:r w:rsidRPr="007F005F">
        <w:rPr>
          <w:rFonts w:hAnsi="標楷體"/>
          <w:color w:val="252525"/>
          <w:kern w:val="0"/>
        </w:rPr>
        <w:t>En</w:t>
      </w:r>
      <w:r w:rsidRPr="00C97712">
        <w:rPr>
          <w:rFonts w:hAnsi="標楷體"/>
          <w:kern w:val="0"/>
        </w:rPr>
        <w:t>hanced Due Diligence</w:t>
      </w:r>
      <w:r w:rsidRPr="00C97712">
        <w:rPr>
          <w:rFonts w:hAnsi="標楷體" w:hint="eastAsia"/>
          <w:kern w:val="0"/>
        </w:rPr>
        <w:t>。</w:t>
      </w:r>
    </w:p>
  </w:footnote>
  <w:footnote w:id="12">
    <w:p w:rsidR="00407DAE" w:rsidRPr="00C97712" w:rsidRDefault="00407DAE" w:rsidP="00441F49">
      <w:pPr>
        <w:pStyle w:val="afa"/>
      </w:pPr>
      <w:r w:rsidRPr="00C97712">
        <w:rPr>
          <w:rStyle w:val="afc"/>
        </w:rPr>
        <w:footnoteRef/>
      </w:r>
      <w:r w:rsidRPr="00C97712">
        <w:t xml:space="preserve"> </w:t>
      </w:r>
      <w:r w:rsidRPr="00C97712">
        <w:rPr>
          <w:rFonts w:hAnsi="標楷體"/>
          <w:kern w:val="0"/>
        </w:rPr>
        <w:t>Politically</w:t>
      </w:r>
      <w:r w:rsidRPr="00C97712">
        <w:rPr>
          <w:rFonts w:hAnsi="標楷體" w:hint="eastAsia"/>
          <w:kern w:val="0"/>
        </w:rPr>
        <w:t xml:space="preserve"> </w:t>
      </w:r>
      <w:r w:rsidRPr="00C97712">
        <w:rPr>
          <w:rFonts w:hAnsi="標楷體"/>
          <w:kern w:val="0"/>
        </w:rPr>
        <w:t>Exposed Persons</w:t>
      </w:r>
      <w:r w:rsidRPr="00C97712">
        <w:rPr>
          <w:rFonts w:hAnsi="標楷體" w:hint="eastAsia"/>
        </w:rPr>
        <w:t>。</w:t>
      </w:r>
    </w:p>
  </w:footnote>
  <w:footnote w:id="13">
    <w:p w:rsidR="00407DAE" w:rsidRDefault="00407DAE" w:rsidP="00863E77">
      <w:pPr>
        <w:pStyle w:val="afa"/>
        <w:ind w:left="284" w:hangingChars="129" w:hanging="284"/>
      </w:pPr>
      <w:r>
        <w:rPr>
          <w:rStyle w:val="afc"/>
        </w:rPr>
        <w:footnoteRef/>
      </w:r>
      <w:r>
        <w:t xml:space="preserve"> </w:t>
      </w:r>
      <w:r>
        <w:rPr>
          <w:rFonts w:hint="eastAsia"/>
        </w:rPr>
        <w:t>依金管會函覆本院資料，</w:t>
      </w:r>
      <w:r w:rsidRPr="0053227C">
        <w:rPr>
          <w:rFonts w:hint="eastAsia"/>
        </w:rPr>
        <w:t>紐約分行提供NYDFS其與巴拿馬分行的信用交易金額4.91億美元誤繕為44.91億美元</w:t>
      </w:r>
      <w:r>
        <w:rPr>
          <w:rFonts w:hint="eastAsia"/>
        </w:rPr>
        <w:t>。</w:t>
      </w:r>
    </w:p>
  </w:footnote>
  <w:footnote w:id="14">
    <w:p w:rsidR="00407DAE" w:rsidRPr="00E63886" w:rsidRDefault="00407DAE" w:rsidP="00441F49">
      <w:pPr>
        <w:pStyle w:val="afa"/>
        <w:rPr>
          <w:rFonts w:hAnsi="標楷體"/>
        </w:rPr>
      </w:pPr>
      <w:r w:rsidRPr="00E63886">
        <w:rPr>
          <w:rStyle w:val="afc"/>
          <w:rFonts w:hAnsi="標楷體"/>
        </w:rPr>
        <w:footnoteRef/>
      </w:r>
      <w:r w:rsidRPr="00E63886">
        <w:rPr>
          <w:rFonts w:hAnsi="標楷體"/>
        </w:rPr>
        <w:t xml:space="preserve"> </w:t>
      </w:r>
      <w:r w:rsidRPr="00E63886">
        <w:rPr>
          <w:rFonts w:hAnsi="標楷體" w:hint="eastAsia"/>
          <w:color w:val="252525"/>
          <w:kern w:val="0"/>
        </w:rPr>
        <w:t>D</w:t>
      </w:r>
      <w:r w:rsidRPr="00E63886">
        <w:rPr>
          <w:rFonts w:hAnsi="標楷體"/>
          <w:color w:val="252525"/>
          <w:kern w:val="0"/>
        </w:rPr>
        <w:t>ebit authorizations</w:t>
      </w:r>
      <w:r w:rsidRPr="00E63886">
        <w:rPr>
          <w:rFonts w:hAnsi="標楷體" w:hint="eastAsia"/>
          <w:color w:val="252525"/>
          <w:kern w:val="0"/>
        </w:rPr>
        <w:t>。</w:t>
      </w:r>
    </w:p>
  </w:footnote>
  <w:footnote w:id="15">
    <w:p w:rsidR="00407DAE" w:rsidRDefault="00407DAE" w:rsidP="00441F49">
      <w:pPr>
        <w:pStyle w:val="afa"/>
      </w:pPr>
      <w:r>
        <w:rPr>
          <w:rStyle w:val="afc"/>
        </w:rPr>
        <w:footnoteRef/>
      </w:r>
      <w:r w:rsidRPr="00E63886">
        <w:rPr>
          <w:rFonts w:hAnsi="標楷體"/>
        </w:rPr>
        <w:t xml:space="preserve"> </w:t>
      </w:r>
      <w:r w:rsidRPr="00E63886">
        <w:rPr>
          <w:rFonts w:hAnsi="標楷體" w:hint="eastAsia"/>
          <w:color w:val="252525"/>
          <w:kern w:val="0"/>
        </w:rPr>
        <w:t>P</w:t>
      </w:r>
      <w:r w:rsidRPr="00E63886">
        <w:rPr>
          <w:rFonts w:hAnsi="標楷體"/>
          <w:color w:val="252525"/>
          <w:kern w:val="0"/>
        </w:rPr>
        <w:t xml:space="preserve">ayment </w:t>
      </w:r>
      <w:r w:rsidRPr="00E63886">
        <w:rPr>
          <w:rFonts w:hAnsi="標楷體" w:hint="eastAsia"/>
          <w:color w:val="252525"/>
          <w:kern w:val="0"/>
        </w:rPr>
        <w:t>R</w:t>
      </w:r>
      <w:r w:rsidRPr="00E63886">
        <w:rPr>
          <w:rFonts w:hAnsi="標楷體"/>
          <w:color w:val="252525"/>
          <w:kern w:val="0"/>
        </w:rPr>
        <w:t>eversals</w:t>
      </w:r>
      <w:r>
        <w:rPr>
          <w:rFonts w:hAnsi="標楷體" w:hint="eastAsia"/>
          <w:color w:val="252525"/>
          <w:kern w:val="0"/>
        </w:rPr>
        <w:t>。</w:t>
      </w:r>
    </w:p>
  </w:footnote>
  <w:footnote w:id="16">
    <w:p w:rsidR="00407DAE" w:rsidRDefault="00407DAE" w:rsidP="00441F49">
      <w:pPr>
        <w:pStyle w:val="afa"/>
      </w:pPr>
      <w:r>
        <w:rPr>
          <w:rStyle w:val="afc"/>
        </w:rPr>
        <w:footnoteRef/>
      </w:r>
      <w:r w:rsidRPr="00E63886">
        <w:rPr>
          <w:rFonts w:hAnsi="標楷體"/>
        </w:rPr>
        <w:t xml:space="preserve"> </w:t>
      </w:r>
      <w:r w:rsidRPr="00E63886">
        <w:rPr>
          <w:rFonts w:hAnsi="標楷體"/>
          <w:color w:val="252525"/>
          <w:kern w:val="0"/>
        </w:rPr>
        <w:t>Suspicious Payment Reversals</w:t>
      </w:r>
      <w:r w:rsidRPr="00E63886">
        <w:rPr>
          <w:rFonts w:hAnsi="標楷體" w:hint="eastAsia"/>
          <w:color w:val="252525"/>
          <w:kern w:val="0"/>
        </w:rPr>
        <w:t>。</w:t>
      </w:r>
    </w:p>
  </w:footnote>
  <w:footnote w:id="17">
    <w:p w:rsidR="00407DAE" w:rsidRDefault="00407DAE" w:rsidP="00441F49">
      <w:pPr>
        <w:pStyle w:val="afa"/>
      </w:pPr>
      <w:r>
        <w:rPr>
          <w:rStyle w:val="afc"/>
        </w:rPr>
        <w:footnoteRef/>
      </w:r>
      <w:r>
        <w:t xml:space="preserve"> </w:t>
      </w:r>
      <w:r w:rsidRPr="00471AC0">
        <w:rPr>
          <w:kern w:val="32"/>
        </w:rPr>
        <w:t>Know-Your-Customer</w:t>
      </w:r>
      <w:r>
        <w:rPr>
          <w:rFonts w:hint="eastAsia"/>
          <w:kern w:val="32"/>
        </w:rPr>
        <w:t>。</w:t>
      </w:r>
    </w:p>
  </w:footnote>
  <w:footnote w:id="18">
    <w:p w:rsidR="00407DAE" w:rsidRPr="00FF3432" w:rsidRDefault="00407DAE" w:rsidP="00441F49">
      <w:pPr>
        <w:pStyle w:val="afa"/>
        <w:rPr>
          <w:rFonts w:hAnsi="標楷體"/>
        </w:rPr>
      </w:pPr>
      <w:r w:rsidRPr="00FF3432">
        <w:rPr>
          <w:rStyle w:val="afc"/>
          <w:rFonts w:hAnsi="標楷體"/>
        </w:rPr>
        <w:footnoteRef/>
      </w:r>
      <w:r>
        <w:rPr>
          <w:rFonts w:hAnsi="標楷體" w:hint="eastAsia"/>
        </w:rPr>
        <w:t xml:space="preserve"> </w:t>
      </w:r>
      <w:r w:rsidRPr="00FF3432">
        <w:rPr>
          <w:rFonts w:hAnsi="標楷體" w:hint="eastAsia"/>
        </w:rPr>
        <w:t>Serious Flaws。</w:t>
      </w:r>
    </w:p>
  </w:footnote>
  <w:footnote w:id="19">
    <w:p w:rsidR="00407DAE" w:rsidRDefault="00407DAE" w:rsidP="00441F49">
      <w:pPr>
        <w:pStyle w:val="afa"/>
      </w:pPr>
      <w:r w:rsidRPr="00FF3432">
        <w:rPr>
          <w:rStyle w:val="afc"/>
          <w:rFonts w:hAnsi="標楷體"/>
        </w:rPr>
        <w:footnoteRef/>
      </w:r>
      <w:r>
        <w:rPr>
          <w:rFonts w:hAnsi="標楷體" w:hint="eastAsia"/>
          <w:color w:val="252525"/>
          <w:kern w:val="0"/>
        </w:rPr>
        <w:t xml:space="preserve"> </w:t>
      </w:r>
      <w:r w:rsidRPr="00FF3432">
        <w:rPr>
          <w:rFonts w:hAnsi="標楷體"/>
          <w:color w:val="252525"/>
          <w:kern w:val="0"/>
        </w:rPr>
        <w:t>Lack of Dili</w:t>
      </w:r>
      <w:r w:rsidRPr="00FF3432">
        <w:rPr>
          <w:rFonts w:hAnsi="標楷體" w:cs="Arial"/>
          <w:color w:val="252525"/>
          <w:kern w:val="0"/>
        </w:rPr>
        <w:t>e</w:t>
      </w:r>
      <w:r>
        <w:rPr>
          <w:rFonts w:hAnsi="標楷體" w:cs="Arial" w:hint="eastAsia"/>
          <w:color w:val="252525"/>
          <w:kern w:val="0"/>
        </w:rPr>
        <w:t>g</w:t>
      </w:r>
      <w:r w:rsidRPr="00FF3432">
        <w:rPr>
          <w:rFonts w:hAnsi="標楷體"/>
          <w:color w:val="252525"/>
          <w:kern w:val="0"/>
        </w:rPr>
        <w:t>ent Oversi</w:t>
      </w:r>
      <w:r>
        <w:rPr>
          <w:rFonts w:hAnsi="標楷體" w:hint="eastAsia"/>
          <w:color w:val="252525"/>
          <w:kern w:val="0"/>
        </w:rPr>
        <w:t>g</w:t>
      </w:r>
      <w:r w:rsidRPr="00FF3432">
        <w:rPr>
          <w:rFonts w:hAnsi="標楷體"/>
          <w:color w:val="252525"/>
          <w:kern w:val="0"/>
        </w:rPr>
        <w:t>ht</w:t>
      </w:r>
      <w:r>
        <w:rPr>
          <w:rFonts w:hAnsi="標楷體" w:hint="eastAsia"/>
          <w:color w:val="252525"/>
          <w:kern w:val="0"/>
        </w:rPr>
        <w:t xml:space="preserve"> </w:t>
      </w:r>
      <w:r w:rsidRPr="00FF3432">
        <w:rPr>
          <w:rFonts w:hAnsi="標楷體"/>
          <w:color w:val="252525"/>
          <w:kern w:val="0"/>
        </w:rPr>
        <w:t>b</w:t>
      </w:r>
      <w:r>
        <w:rPr>
          <w:rFonts w:hAnsi="標楷體" w:hint="eastAsia"/>
          <w:color w:val="252525"/>
          <w:kern w:val="0"/>
        </w:rPr>
        <w:t>y</w:t>
      </w:r>
      <w:r w:rsidRPr="00FF3432">
        <w:rPr>
          <w:rFonts w:hAnsi="標楷體"/>
          <w:color w:val="252525"/>
          <w:kern w:val="0"/>
        </w:rPr>
        <w:t xml:space="preserve"> t</w:t>
      </w:r>
      <w:r>
        <w:rPr>
          <w:rFonts w:hAnsi="標楷體" w:hint="eastAsia"/>
          <w:color w:val="252525"/>
          <w:kern w:val="0"/>
        </w:rPr>
        <w:t>h</w:t>
      </w:r>
      <w:r w:rsidRPr="00FF3432">
        <w:rPr>
          <w:rFonts w:hAnsi="標楷體"/>
          <w:color w:val="252525"/>
          <w:kern w:val="0"/>
        </w:rPr>
        <w:t>e Head Office</w:t>
      </w:r>
      <w:r w:rsidRPr="00FF3432">
        <w:rPr>
          <w:rFonts w:hAnsi="標楷體" w:hint="eastAsia"/>
          <w:color w:val="252525"/>
          <w:kern w:val="0"/>
        </w:rPr>
        <w:t>。</w:t>
      </w:r>
    </w:p>
  </w:footnote>
  <w:footnote w:id="20">
    <w:p w:rsidR="00407DAE" w:rsidRPr="00C1476A" w:rsidRDefault="00407DAE" w:rsidP="00441F49">
      <w:pPr>
        <w:pStyle w:val="afa"/>
        <w:rPr>
          <w:rFonts w:hAnsi="標楷體"/>
        </w:rPr>
      </w:pPr>
      <w:r w:rsidRPr="00C1476A">
        <w:rPr>
          <w:rStyle w:val="afc"/>
          <w:rFonts w:hAnsi="標楷體"/>
        </w:rPr>
        <w:footnoteRef/>
      </w:r>
      <w:r w:rsidRPr="00C1476A">
        <w:rPr>
          <w:rFonts w:hAnsi="標楷體"/>
        </w:rPr>
        <w:t xml:space="preserve"> </w:t>
      </w:r>
      <w:r w:rsidRPr="00C1476A">
        <w:rPr>
          <w:rFonts w:hAnsi="標楷體"/>
          <w:color w:val="252525"/>
          <w:kern w:val="0"/>
        </w:rPr>
        <w:t>Suspicious Activity Report</w:t>
      </w:r>
      <w:r>
        <w:rPr>
          <w:rFonts w:hAnsi="標楷體" w:hint="eastAsia"/>
          <w:color w:val="252525"/>
          <w:kern w:val="0"/>
        </w:rPr>
        <w:t>。</w:t>
      </w:r>
    </w:p>
  </w:footnote>
  <w:footnote w:id="21">
    <w:p w:rsidR="00407DAE" w:rsidRPr="009F4491" w:rsidRDefault="00407DAE" w:rsidP="00441F49">
      <w:pPr>
        <w:pStyle w:val="afa"/>
      </w:pPr>
      <w:r w:rsidRPr="009F4491">
        <w:rPr>
          <w:rStyle w:val="afc"/>
        </w:rPr>
        <w:footnoteRef/>
      </w:r>
      <w:r w:rsidRPr="009F4491">
        <w:t xml:space="preserve"> </w:t>
      </w:r>
      <w:r w:rsidRPr="009F4491">
        <w:rPr>
          <w:rFonts w:hAnsi="標楷體"/>
          <w:kern w:val="32"/>
        </w:rPr>
        <w:t>Mega-New York Branc</w:t>
      </w:r>
      <w:r>
        <w:rPr>
          <w:rFonts w:hAnsi="標楷體" w:hint="eastAsia"/>
          <w:kern w:val="32"/>
        </w:rPr>
        <w:t>h</w:t>
      </w:r>
      <w:r w:rsidRPr="009F4491">
        <w:rPr>
          <w:rFonts w:hAnsi="標楷體"/>
          <w:kern w:val="32"/>
        </w:rPr>
        <w:t>'s Troubling and</w:t>
      </w:r>
      <w:r w:rsidRPr="009F4491">
        <w:rPr>
          <w:rFonts w:hAnsi="標楷體" w:hint="eastAsia"/>
        </w:rPr>
        <w:t xml:space="preserve"> </w:t>
      </w:r>
      <w:r w:rsidRPr="009F4491">
        <w:rPr>
          <w:rFonts w:hAnsi="標楷體"/>
          <w:kern w:val="32"/>
        </w:rPr>
        <w:t>Dismissive Res</w:t>
      </w:r>
      <w:r>
        <w:rPr>
          <w:rFonts w:hAnsi="標楷體" w:hint="eastAsia"/>
          <w:kern w:val="32"/>
        </w:rPr>
        <w:t>p</w:t>
      </w:r>
      <w:r w:rsidRPr="009F4491">
        <w:rPr>
          <w:rFonts w:hAnsi="標楷體"/>
          <w:kern w:val="32"/>
        </w:rPr>
        <w:t xml:space="preserve">onse to the </w:t>
      </w:r>
      <w:r>
        <w:rPr>
          <w:rFonts w:hAnsi="標楷體"/>
          <w:kern w:val="32"/>
        </w:rPr>
        <w:t>NYDFS</w:t>
      </w:r>
      <w:r w:rsidRPr="009F4491">
        <w:rPr>
          <w:rFonts w:hAnsi="標楷體"/>
          <w:kern w:val="32"/>
        </w:rPr>
        <w:t xml:space="preserve"> Examination</w:t>
      </w:r>
      <w:r>
        <w:rPr>
          <w:rFonts w:hAnsi="標楷體" w:hint="eastAsia"/>
          <w:kern w:val="32"/>
        </w:rPr>
        <w:t>。</w:t>
      </w:r>
    </w:p>
  </w:footnote>
  <w:footnote w:id="22">
    <w:p w:rsidR="00407DAE" w:rsidRPr="00A32447" w:rsidRDefault="00407DAE" w:rsidP="00441F49">
      <w:pPr>
        <w:pStyle w:val="afa"/>
      </w:pPr>
      <w:r>
        <w:rPr>
          <w:rStyle w:val="afc"/>
        </w:rPr>
        <w:footnoteRef/>
      </w:r>
      <w:r>
        <w:t xml:space="preserve"> </w:t>
      </w:r>
      <w:r>
        <w:rPr>
          <w:rFonts w:hint="eastAsia"/>
        </w:rPr>
        <w:t>此處係沿用合意處分令之表達方式。</w:t>
      </w:r>
    </w:p>
  </w:footnote>
  <w:footnote w:id="23">
    <w:p w:rsidR="00407DAE" w:rsidRPr="00167332" w:rsidRDefault="00407DAE" w:rsidP="00863E77">
      <w:pPr>
        <w:pStyle w:val="afa"/>
        <w:ind w:left="238" w:hangingChars="108" w:hanging="238"/>
      </w:pPr>
      <w:r>
        <w:rPr>
          <w:rStyle w:val="afc"/>
        </w:rPr>
        <w:footnoteRef/>
      </w:r>
      <w:r>
        <w:rPr>
          <w:rFonts w:ascii="Times New Roman" w:hint="eastAsia"/>
          <w:color w:val="000000"/>
          <w:szCs w:val="32"/>
        </w:rPr>
        <w:t xml:space="preserve"> </w:t>
      </w:r>
      <w:r>
        <w:rPr>
          <w:rFonts w:ascii="Times New Roman" w:hint="eastAsia"/>
          <w:color w:val="000000"/>
          <w:szCs w:val="32"/>
        </w:rPr>
        <w:t>本辦法係</w:t>
      </w:r>
      <w:r w:rsidRPr="00167332">
        <w:rPr>
          <w:rFonts w:ascii="Times New Roman" w:hint="eastAsia"/>
          <w:color w:val="000000"/>
          <w:szCs w:val="32"/>
        </w:rPr>
        <w:t>依</w:t>
      </w:r>
      <w:r>
        <w:rPr>
          <w:rFonts w:ascii="Times New Roman" w:hint="eastAsia"/>
          <w:color w:val="000000"/>
          <w:szCs w:val="32"/>
        </w:rPr>
        <w:t>據</w:t>
      </w:r>
      <w:r w:rsidRPr="00167332">
        <w:rPr>
          <w:rFonts w:ascii="Times New Roman" w:hint="eastAsia"/>
          <w:color w:val="000000"/>
          <w:szCs w:val="32"/>
        </w:rPr>
        <w:t>金融控股公司法第</w:t>
      </w:r>
      <w:r>
        <w:rPr>
          <w:rFonts w:ascii="Times New Roman" w:hint="eastAsia"/>
          <w:color w:val="000000"/>
          <w:szCs w:val="32"/>
        </w:rPr>
        <w:t>51</w:t>
      </w:r>
      <w:r w:rsidRPr="00167332">
        <w:rPr>
          <w:rFonts w:ascii="Times New Roman" w:hint="eastAsia"/>
          <w:color w:val="000000"/>
          <w:szCs w:val="32"/>
        </w:rPr>
        <w:t>條、銀行法第</w:t>
      </w:r>
      <w:r>
        <w:rPr>
          <w:rFonts w:ascii="Times New Roman" w:hint="eastAsia"/>
          <w:color w:val="000000"/>
          <w:szCs w:val="32"/>
        </w:rPr>
        <w:t>45</w:t>
      </w:r>
      <w:r w:rsidRPr="00167332">
        <w:rPr>
          <w:rFonts w:ascii="Times New Roman" w:hint="eastAsia"/>
          <w:color w:val="000000"/>
          <w:szCs w:val="32"/>
        </w:rPr>
        <w:t>條之</w:t>
      </w:r>
      <w:r>
        <w:rPr>
          <w:rFonts w:ascii="Times New Roman" w:hint="eastAsia"/>
          <w:color w:val="000000"/>
          <w:szCs w:val="32"/>
        </w:rPr>
        <w:t>1</w:t>
      </w:r>
      <w:r w:rsidRPr="00167332">
        <w:rPr>
          <w:rFonts w:ascii="Times New Roman" w:hint="eastAsia"/>
          <w:color w:val="000000"/>
          <w:szCs w:val="32"/>
        </w:rPr>
        <w:t>第</w:t>
      </w:r>
      <w:r>
        <w:rPr>
          <w:rFonts w:ascii="Times New Roman" w:hint="eastAsia"/>
          <w:color w:val="000000"/>
          <w:szCs w:val="32"/>
        </w:rPr>
        <w:t>1</w:t>
      </w:r>
      <w:r w:rsidRPr="00167332">
        <w:rPr>
          <w:rFonts w:ascii="Times New Roman" w:hint="eastAsia"/>
          <w:color w:val="000000"/>
          <w:szCs w:val="32"/>
        </w:rPr>
        <w:t>項、信用合作社法第</w:t>
      </w:r>
      <w:r>
        <w:rPr>
          <w:rFonts w:ascii="Times New Roman" w:hint="eastAsia"/>
          <w:color w:val="000000"/>
          <w:szCs w:val="32"/>
        </w:rPr>
        <w:t>21</w:t>
      </w:r>
      <w:r w:rsidRPr="00167332">
        <w:rPr>
          <w:rFonts w:ascii="Times New Roman" w:hint="eastAsia"/>
          <w:color w:val="000000"/>
          <w:szCs w:val="32"/>
        </w:rPr>
        <w:t>條第</w:t>
      </w:r>
      <w:r>
        <w:rPr>
          <w:rFonts w:ascii="Times New Roman" w:hint="eastAsia"/>
          <w:color w:val="000000"/>
          <w:szCs w:val="32"/>
        </w:rPr>
        <w:t>1</w:t>
      </w:r>
      <w:r w:rsidRPr="00167332">
        <w:rPr>
          <w:rFonts w:ascii="Times New Roman" w:hint="eastAsia"/>
          <w:color w:val="000000"/>
          <w:szCs w:val="32"/>
        </w:rPr>
        <w:t>項、票券</w:t>
      </w:r>
      <w:r w:rsidRPr="00537321">
        <w:rPr>
          <w:rFonts w:hAnsi="標楷體" w:hint="eastAsia"/>
        </w:rPr>
        <w:t>金融</w:t>
      </w:r>
      <w:r w:rsidRPr="00167332">
        <w:rPr>
          <w:rFonts w:ascii="Times New Roman" w:hint="eastAsia"/>
          <w:color w:val="000000"/>
          <w:szCs w:val="32"/>
        </w:rPr>
        <w:t>管理法</w:t>
      </w:r>
      <w:r w:rsidRPr="00167332">
        <w:rPr>
          <w:rFonts w:hAnsi="標楷體" w:hint="eastAsia"/>
          <w:color w:val="000000"/>
          <w:szCs w:val="32"/>
        </w:rPr>
        <w:t>第</w:t>
      </w:r>
      <w:r>
        <w:rPr>
          <w:rFonts w:hAnsi="標楷體" w:hint="eastAsia"/>
          <w:color w:val="000000"/>
          <w:szCs w:val="32"/>
        </w:rPr>
        <w:t>43</w:t>
      </w:r>
      <w:r w:rsidRPr="00167332">
        <w:rPr>
          <w:rFonts w:ascii="Times New Roman" w:hint="eastAsia"/>
          <w:color w:val="000000"/>
          <w:szCs w:val="32"/>
        </w:rPr>
        <w:t>條及信託業法第</w:t>
      </w:r>
      <w:r>
        <w:rPr>
          <w:rFonts w:ascii="Times New Roman" w:hint="eastAsia"/>
          <w:color w:val="000000"/>
          <w:szCs w:val="32"/>
        </w:rPr>
        <w:t>42</w:t>
      </w:r>
      <w:r w:rsidRPr="00167332">
        <w:rPr>
          <w:rFonts w:ascii="Times New Roman" w:hint="eastAsia"/>
          <w:color w:val="000000"/>
          <w:szCs w:val="32"/>
        </w:rPr>
        <w:t>條第</w:t>
      </w:r>
      <w:r>
        <w:rPr>
          <w:rFonts w:ascii="Times New Roman" w:hint="eastAsia"/>
          <w:color w:val="000000"/>
          <w:szCs w:val="32"/>
        </w:rPr>
        <w:t>3</w:t>
      </w:r>
      <w:r w:rsidRPr="00167332">
        <w:rPr>
          <w:rFonts w:ascii="Times New Roman" w:hint="eastAsia"/>
          <w:color w:val="000000"/>
          <w:szCs w:val="32"/>
        </w:rPr>
        <w:t>項規定訂定之。</w:t>
      </w:r>
    </w:p>
  </w:footnote>
  <w:footnote w:id="24">
    <w:p w:rsidR="00407DAE" w:rsidRDefault="00407DAE" w:rsidP="00863E77">
      <w:pPr>
        <w:pStyle w:val="afa"/>
        <w:ind w:left="238" w:hangingChars="108" w:hanging="238"/>
      </w:pPr>
      <w:r>
        <w:rPr>
          <w:rStyle w:val="afc"/>
        </w:rPr>
        <w:footnoteRef/>
      </w:r>
      <w:r>
        <w:rPr>
          <w:rFonts w:hAnsi="標楷體" w:hint="eastAsia"/>
        </w:rPr>
        <w:t xml:space="preserve"> </w:t>
      </w:r>
      <w:r w:rsidRPr="00A841B2">
        <w:rPr>
          <w:rFonts w:hAnsi="標楷體" w:hint="eastAsia"/>
        </w:rPr>
        <w:t>金管會</w:t>
      </w:r>
      <w:r>
        <w:rPr>
          <w:rFonts w:hAnsi="標楷體" w:hint="eastAsia"/>
        </w:rPr>
        <w:t>於106年3月22日以</w:t>
      </w:r>
      <w:r w:rsidRPr="00A841B2">
        <w:rPr>
          <w:rFonts w:hAnsi="標楷體" w:hint="eastAsia"/>
        </w:rPr>
        <w:t>金管銀國字第10620000150號令修正發布第6</w:t>
      </w:r>
      <w:r>
        <w:rPr>
          <w:rFonts w:hAnsi="標楷體" w:hint="eastAsia"/>
        </w:rPr>
        <w:t>~</w:t>
      </w:r>
      <w:r w:rsidRPr="00A841B2">
        <w:rPr>
          <w:rFonts w:hAnsi="標楷體" w:hint="eastAsia"/>
        </w:rPr>
        <w:t>8、28、31</w:t>
      </w:r>
      <w:r>
        <w:rPr>
          <w:rFonts w:hAnsi="標楷體" w:hint="eastAsia"/>
        </w:rPr>
        <w:t>~</w:t>
      </w:r>
      <w:r w:rsidRPr="00A841B2">
        <w:rPr>
          <w:rFonts w:hAnsi="標楷體" w:hint="eastAsia"/>
        </w:rPr>
        <w:t>34、37、38、46條條文；增訂第5-1、7-1、42-1 條條文</w:t>
      </w:r>
      <w:r>
        <w:rPr>
          <w:rFonts w:hAnsi="標楷體" w:hint="eastAsia"/>
        </w:rPr>
        <w:t>。</w:t>
      </w:r>
    </w:p>
  </w:footnote>
  <w:footnote w:id="25">
    <w:p w:rsidR="00407DAE" w:rsidRPr="009656C6" w:rsidRDefault="00407DAE" w:rsidP="00441F49">
      <w:pPr>
        <w:pStyle w:val="afa"/>
      </w:pPr>
      <w:r>
        <w:rPr>
          <w:rStyle w:val="afc"/>
        </w:rPr>
        <w:footnoteRef/>
      </w:r>
      <w:r>
        <w:rPr>
          <w:rFonts w:hAnsi="標楷體" w:hint="eastAsia"/>
          <w:color w:val="000000"/>
          <w:szCs w:val="32"/>
        </w:rPr>
        <w:t xml:space="preserve"> </w:t>
      </w:r>
      <w:r w:rsidRPr="00A841B2">
        <w:rPr>
          <w:rFonts w:hAnsi="標楷體" w:hint="eastAsia"/>
          <w:color w:val="000000"/>
          <w:szCs w:val="32"/>
        </w:rPr>
        <w:t>內控稽核實施辦法</w:t>
      </w:r>
      <w:r w:rsidRPr="00A841B2">
        <w:rPr>
          <w:rFonts w:hAnsi="標楷體" w:hint="eastAsia"/>
        </w:rPr>
        <w:t>第</w:t>
      </w:r>
      <w:r>
        <w:rPr>
          <w:rFonts w:hAnsi="標楷體" w:hint="eastAsia"/>
        </w:rPr>
        <w:t>5</w:t>
      </w:r>
      <w:r w:rsidRPr="00A841B2">
        <w:rPr>
          <w:rFonts w:hAnsi="標楷體" w:hint="eastAsia"/>
        </w:rPr>
        <w:t>-1條</w:t>
      </w:r>
      <w:r>
        <w:rPr>
          <w:rFonts w:hAnsi="標楷體" w:hint="eastAsia"/>
        </w:rPr>
        <w:t>。</w:t>
      </w:r>
    </w:p>
  </w:footnote>
  <w:footnote w:id="26">
    <w:p w:rsidR="00407DAE" w:rsidRDefault="00407DAE" w:rsidP="00441F49">
      <w:pPr>
        <w:pStyle w:val="afa"/>
      </w:pPr>
      <w:r>
        <w:rPr>
          <w:rStyle w:val="afc"/>
        </w:rPr>
        <w:footnoteRef/>
      </w:r>
      <w:r>
        <w:t xml:space="preserve"> </w:t>
      </w:r>
      <w:r w:rsidRPr="00A841B2">
        <w:rPr>
          <w:rFonts w:hAnsi="標楷體" w:hint="eastAsia"/>
          <w:color w:val="000000"/>
          <w:szCs w:val="32"/>
        </w:rPr>
        <w:t>內控稽核實施辦法</w:t>
      </w:r>
      <w:r w:rsidRPr="00A841B2">
        <w:rPr>
          <w:rFonts w:hAnsi="標楷體" w:hint="eastAsia"/>
        </w:rPr>
        <w:t>第</w:t>
      </w:r>
      <w:r>
        <w:rPr>
          <w:rFonts w:hAnsi="標楷體" w:hint="eastAsia"/>
        </w:rPr>
        <w:t>7</w:t>
      </w:r>
      <w:r w:rsidRPr="00A841B2">
        <w:rPr>
          <w:rFonts w:hAnsi="標楷體" w:hint="eastAsia"/>
        </w:rPr>
        <w:t>-1條</w:t>
      </w:r>
      <w:r>
        <w:rPr>
          <w:rFonts w:hAnsi="標楷體" w:hint="eastAsia"/>
        </w:rPr>
        <w:t>。</w:t>
      </w:r>
    </w:p>
  </w:footnote>
  <w:footnote w:id="27">
    <w:p w:rsidR="00407DAE" w:rsidRPr="0026447E" w:rsidRDefault="00407DAE" w:rsidP="00441F49">
      <w:pPr>
        <w:pStyle w:val="afa"/>
      </w:pPr>
      <w:r>
        <w:rPr>
          <w:rStyle w:val="afc"/>
        </w:rPr>
        <w:footnoteRef/>
      </w:r>
      <w:r>
        <w:rPr>
          <w:rFonts w:hAnsi="標楷體" w:hint="eastAsia"/>
          <w:color w:val="000000"/>
          <w:szCs w:val="32"/>
        </w:rPr>
        <w:t xml:space="preserve"> </w:t>
      </w:r>
      <w:r w:rsidRPr="00A841B2">
        <w:rPr>
          <w:rFonts w:hAnsi="標楷體" w:hint="eastAsia"/>
          <w:color w:val="000000"/>
          <w:szCs w:val="32"/>
        </w:rPr>
        <w:t>內控稽核實施辦法</w:t>
      </w:r>
      <w:r w:rsidRPr="00A841B2">
        <w:rPr>
          <w:rFonts w:hAnsi="標楷體" w:hint="eastAsia"/>
        </w:rPr>
        <w:t>第</w:t>
      </w:r>
      <w:r>
        <w:rPr>
          <w:rFonts w:hAnsi="標楷體" w:hint="eastAsia"/>
        </w:rPr>
        <w:t>8</w:t>
      </w:r>
      <w:r w:rsidRPr="00A841B2">
        <w:rPr>
          <w:rFonts w:hAnsi="標楷體" w:hint="eastAsia"/>
        </w:rPr>
        <w:t>條</w:t>
      </w:r>
      <w:r>
        <w:rPr>
          <w:rFonts w:hAnsi="標楷體" w:hint="eastAsia"/>
        </w:rPr>
        <w:t>第1項。</w:t>
      </w:r>
    </w:p>
  </w:footnote>
  <w:footnote w:id="28">
    <w:p w:rsidR="00407DAE" w:rsidRPr="0026447E" w:rsidRDefault="00407DAE" w:rsidP="00441F49">
      <w:pPr>
        <w:pStyle w:val="afa"/>
      </w:pPr>
      <w:r>
        <w:rPr>
          <w:rStyle w:val="afc"/>
        </w:rPr>
        <w:footnoteRef/>
      </w:r>
      <w:r>
        <w:rPr>
          <w:rFonts w:hAnsi="標楷體" w:hint="eastAsia"/>
          <w:color w:val="000000"/>
          <w:szCs w:val="32"/>
        </w:rPr>
        <w:t xml:space="preserve"> </w:t>
      </w:r>
      <w:r w:rsidRPr="00A841B2">
        <w:rPr>
          <w:rFonts w:hAnsi="標楷體" w:hint="eastAsia"/>
          <w:color w:val="000000"/>
          <w:szCs w:val="32"/>
        </w:rPr>
        <w:t>內控稽核實施辦法</w:t>
      </w:r>
      <w:r w:rsidRPr="00A841B2">
        <w:rPr>
          <w:rFonts w:hAnsi="標楷體" w:hint="eastAsia"/>
        </w:rPr>
        <w:t>第</w:t>
      </w:r>
      <w:r>
        <w:rPr>
          <w:rFonts w:hAnsi="標楷體" w:hint="eastAsia"/>
        </w:rPr>
        <w:t>8</w:t>
      </w:r>
      <w:r w:rsidRPr="00A841B2">
        <w:rPr>
          <w:rFonts w:hAnsi="標楷體" w:hint="eastAsia"/>
        </w:rPr>
        <w:t>條</w:t>
      </w:r>
      <w:r>
        <w:rPr>
          <w:rFonts w:hAnsi="標楷體" w:hint="eastAsia"/>
        </w:rPr>
        <w:t>第10項。</w:t>
      </w:r>
    </w:p>
  </w:footnote>
  <w:footnote w:id="29">
    <w:p w:rsidR="00407DAE" w:rsidRPr="0026447E" w:rsidRDefault="00407DAE" w:rsidP="00441F49">
      <w:pPr>
        <w:pStyle w:val="afa"/>
      </w:pPr>
      <w:r>
        <w:rPr>
          <w:rStyle w:val="afc"/>
        </w:rPr>
        <w:footnoteRef/>
      </w:r>
      <w:r>
        <w:rPr>
          <w:rFonts w:hAnsi="標楷體" w:hint="eastAsia"/>
          <w:color w:val="000000"/>
          <w:szCs w:val="32"/>
        </w:rPr>
        <w:t xml:space="preserve"> </w:t>
      </w:r>
      <w:r w:rsidRPr="00A841B2">
        <w:rPr>
          <w:rFonts w:hAnsi="標楷體" w:hint="eastAsia"/>
          <w:color w:val="000000"/>
          <w:szCs w:val="32"/>
        </w:rPr>
        <w:t>內控稽核實施辦法</w:t>
      </w:r>
      <w:r w:rsidRPr="00A841B2">
        <w:rPr>
          <w:rFonts w:hAnsi="標楷體" w:hint="eastAsia"/>
        </w:rPr>
        <w:t>第</w:t>
      </w:r>
      <w:r>
        <w:rPr>
          <w:rFonts w:hAnsi="標楷體" w:hint="eastAsia"/>
        </w:rPr>
        <w:t>32</w:t>
      </w:r>
      <w:r w:rsidRPr="00A841B2">
        <w:rPr>
          <w:rFonts w:hAnsi="標楷體" w:hint="eastAsia"/>
        </w:rPr>
        <w:t>條</w:t>
      </w:r>
      <w:r>
        <w:rPr>
          <w:rFonts w:hAnsi="標楷體" w:hint="eastAsia"/>
        </w:rPr>
        <w:t>第1項。</w:t>
      </w:r>
    </w:p>
  </w:footnote>
  <w:footnote w:id="30">
    <w:p w:rsidR="00407DAE" w:rsidRPr="0026447E" w:rsidRDefault="00407DAE" w:rsidP="00441F49">
      <w:pPr>
        <w:pStyle w:val="afa"/>
      </w:pPr>
      <w:r>
        <w:rPr>
          <w:rStyle w:val="afc"/>
        </w:rPr>
        <w:footnoteRef/>
      </w:r>
      <w:r>
        <w:rPr>
          <w:rFonts w:hAnsi="標楷體" w:hint="eastAsia"/>
          <w:color w:val="000000"/>
          <w:szCs w:val="32"/>
        </w:rPr>
        <w:t xml:space="preserve"> </w:t>
      </w:r>
      <w:r w:rsidRPr="00A841B2">
        <w:rPr>
          <w:rFonts w:hAnsi="標楷體" w:hint="eastAsia"/>
          <w:color w:val="000000"/>
          <w:szCs w:val="32"/>
        </w:rPr>
        <w:t>內控稽核實施辦法</w:t>
      </w:r>
      <w:r w:rsidRPr="00A841B2">
        <w:rPr>
          <w:rFonts w:hAnsi="標楷體" w:hint="eastAsia"/>
        </w:rPr>
        <w:t>第</w:t>
      </w:r>
      <w:r>
        <w:rPr>
          <w:rFonts w:hAnsi="標楷體" w:hint="eastAsia"/>
        </w:rPr>
        <w:t>32</w:t>
      </w:r>
      <w:r w:rsidRPr="00A841B2">
        <w:rPr>
          <w:rFonts w:hAnsi="標楷體" w:hint="eastAsia"/>
        </w:rPr>
        <w:t>條</w:t>
      </w:r>
      <w:r>
        <w:rPr>
          <w:rFonts w:hAnsi="標楷體" w:hint="eastAsia"/>
        </w:rPr>
        <w:t>第4項。</w:t>
      </w:r>
    </w:p>
  </w:footnote>
  <w:footnote w:id="31">
    <w:p w:rsidR="00407DAE" w:rsidRPr="0026447E" w:rsidRDefault="00407DAE" w:rsidP="00441F49">
      <w:pPr>
        <w:pStyle w:val="afa"/>
      </w:pPr>
      <w:r>
        <w:rPr>
          <w:rStyle w:val="afc"/>
        </w:rPr>
        <w:footnoteRef/>
      </w:r>
      <w:r>
        <w:rPr>
          <w:rFonts w:hAnsi="標楷體" w:hint="eastAsia"/>
          <w:color w:val="000000"/>
          <w:szCs w:val="32"/>
        </w:rPr>
        <w:t xml:space="preserve"> </w:t>
      </w:r>
      <w:r w:rsidRPr="00A841B2">
        <w:rPr>
          <w:rFonts w:hAnsi="標楷體" w:hint="eastAsia"/>
          <w:color w:val="000000"/>
          <w:szCs w:val="32"/>
        </w:rPr>
        <w:t>內控稽核實施辦法</w:t>
      </w:r>
      <w:r w:rsidRPr="00A841B2">
        <w:rPr>
          <w:rFonts w:hAnsi="標楷體" w:hint="eastAsia"/>
        </w:rPr>
        <w:t>第</w:t>
      </w:r>
      <w:r>
        <w:rPr>
          <w:rFonts w:hAnsi="標楷體" w:hint="eastAsia"/>
        </w:rPr>
        <w:t>32</w:t>
      </w:r>
      <w:r w:rsidRPr="00A841B2">
        <w:rPr>
          <w:rFonts w:hAnsi="標楷體" w:hint="eastAsia"/>
        </w:rPr>
        <w:t>條</w:t>
      </w:r>
      <w:r>
        <w:rPr>
          <w:rFonts w:hAnsi="標楷體" w:hint="eastAsia"/>
        </w:rPr>
        <w:t>第7項。</w:t>
      </w:r>
    </w:p>
  </w:footnote>
  <w:footnote w:id="32">
    <w:p w:rsidR="00407DAE" w:rsidRPr="002F47DA" w:rsidRDefault="00407DAE" w:rsidP="00441F49">
      <w:pPr>
        <w:pStyle w:val="afa"/>
      </w:pPr>
      <w:r>
        <w:rPr>
          <w:rStyle w:val="afc"/>
        </w:rPr>
        <w:footnoteRef/>
      </w:r>
      <w:r>
        <w:rPr>
          <w:rFonts w:hAnsi="標楷體" w:hint="eastAsia"/>
          <w:color w:val="000000"/>
          <w:szCs w:val="32"/>
        </w:rPr>
        <w:t xml:space="preserve"> </w:t>
      </w:r>
      <w:r w:rsidRPr="00A841B2">
        <w:rPr>
          <w:rFonts w:hAnsi="標楷體" w:hint="eastAsia"/>
          <w:color w:val="000000"/>
          <w:szCs w:val="32"/>
        </w:rPr>
        <w:t>內控稽核實施辦法</w:t>
      </w:r>
      <w:r w:rsidRPr="00A841B2">
        <w:rPr>
          <w:rFonts w:hAnsi="標楷體" w:hint="eastAsia"/>
        </w:rPr>
        <w:t>第</w:t>
      </w:r>
      <w:r>
        <w:rPr>
          <w:rFonts w:hAnsi="標楷體" w:hint="eastAsia"/>
        </w:rPr>
        <w:t>34</w:t>
      </w:r>
      <w:r w:rsidRPr="00A841B2">
        <w:rPr>
          <w:rFonts w:hAnsi="標楷體" w:hint="eastAsia"/>
        </w:rPr>
        <w:t>條</w:t>
      </w:r>
      <w:r>
        <w:rPr>
          <w:rFonts w:hAnsi="標楷體" w:hint="eastAsia"/>
        </w:rPr>
        <w:t>。</w:t>
      </w:r>
    </w:p>
  </w:footnote>
  <w:footnote w:id="33">
    <w:p w:rsidR="00407DAE" w:rsidRPr="002F47DA" w:rsidRDefault="00407DAE" w:rsidP="00441F49">
      <w:pPr>
        <w:pStyle w:val="afa"/>
      </w:pPr>
      <w:r>
        <w:rPr>
          <w:rStyle w:val="afc"/>
        </w:rPr>
        <w:footnoteRef/>
      </w:r>
      <w:r>
        <w:rPr>
          <w:rFonts w:hAnsi="標楷體" w:hint="eastAsia"/>
          <w:color w:val="000000"/>
          <w:szCs w:val="32"/>
        </w:rPr>
        <w:t xml:space="preserve"> </w:t>
      </w:r>
      <w:r w:rsidRPr="00A841B2">
        <w:rPr>
          <w:rFonts w:hAnsi="標楷體" w:hint="eastAsia"/>
          <w:color w:val="000000"/>
          <w:szCs w:val="32"/>
        </w:rPr>
        <w:t>內控稽核實施辦法</w:t>
      </w:r>
      <w:r w:rsidRPr="00A841B2">
        <w:rPr>
          <w:rFonts w:hAnsi="標楷體" w:hint="eastAsia"/>
        </w:rPr>
        <w:t>第</w:t>
      </w:r>
      <w:r>
        <w:rPr>
          <w:rFonts w:hAnsi="標楷體" w:hint="eastAsia"/>
        </w:rPr>
        <w:t>38</w:t>
      </w:r>
      <w:r w:rsidRPr="00A841B2">
        <w:rPr>
          <w:rFonts w:hAnsi="標楷體" w:hint="eastAsia"/>
        </w:rPr>
        <w:t>條</w:t>
      </w:r>
      <w:r>
        <w:rPr>
          <w:rFonts w:hAnsi="標楷體" w:hint="eastAsia"/>
        </w:rPr>
        <w:t>。</w:t>
      </w:r>
    </w:p>
  </w:footnote>
  <w:footnote w:id="34">
    <w:p w:rsidR="00407DAE" w:rsidRDefault="00407DAE" w:rsidP="00441F49">
      <w:pPr>
        <w:pStyle w:val="afa"/>
      </w:pPr>
      <w:r>
        <w:rPr>
          <w:rStyle w:val="afc"/>
        </w:rPr>
        <w:footnoteRef/>
      </w:r>
      <w:r>
        <w:rPr>
          <w:rFonts w:hAnsi="標楷體" w:hint="eastAsia"/>
        </w:rPr>
        <w:t xml:space="preserve"> </w:t>
      </w:r>
      <w:r w:rsidRPr="00A841B2">
        <w:rPr>
          <w:rFonts w:hAnsi="標楷體" w:hint="eastAsia"/>
          <w:color w:val="000000"/>
          <w:szCs w:val="32"/>
        </w:rPr>
        <w:t>內控稽核實施辦法</w:t>
      </w:r>
      <w:r w:rsidRPr="00A841B2">
        <w:rPr>
          <w:rFonts w:hAnsi="標楷體" w:hint="eastAsia"/>
        </w:rPr>
        <w:t>第</w:t>
      </w:r>
      <w:r>
        <w:rPr>
          <w:rFonts w:hAnsi="標楷體" w:hint="eastAsia"/>
        </w:rPr>
        <w:t>42</w:t>
      </w:r>
      <w:r w:rsidRPr="00A841B2">
        <w:rPr>
          <w:rFonts w:hAnsi="標楷體" w:hint="eastAsia"/>
        </w:rPr>
        <w:t>-1條</w:t>
      </w:r>
      <w:r>
        <w:rPr>
          <w:rFonts w:hAnsi="標楷體" w:hint="eastAsia"/>
        </w:rPr>
        <w:t>。</w:t>
      </w:r>
    </w:p>
  </w:footnote>
  <w:footnote w:id="35">
    <w:p w:rsidR="00407DAE" w:rsidRDefault="00407DAE" w:rsidP="006522B8">
      <w:pPr>
        <w:pStyle w:val="afa"/>
      </w:pPr>
      <w:r>
        <w:rPr>
          <w:rStyle w:val="afc"/>
        </w:rPr>
        <w:footnoteRef/>
      </w:r>
      <w:r>
        <w:t xml:space="preserve"> </w:t>
      </w:r>
      <w:r>
        <w:rPr>
          <w:rFonts w:hint="eastAsia"/>
        </w:rPr>
        <w:t>參見財政部105年11月16日台財庫字第10500691740號函。</w:t>
      </w:r>
    </w:p>
  </w:footnote>
  <w:footnote w:id="36">
    <w:p w:rsidR="00407DAE" w:rsidRDefault="00407DAE" w:rsidP="006522B8">
      <w:pPr>
        <w:pStyle w:val="afa"/>
      </w:pPr>
      <w:r>
        <w:rPr>
          <w:rStyle w:val="afc"/>
        </w:rPr>
        <w:footnoteRef/>
      </w:r>
      <w:r>
        <w:rPr>
          <w:rFonts w:hint="eastAsia"/>
        </w:rPr>
        <w:t xml:space="preserve"> 參見財政部105年11月16日台財庫字第10500691740號函。</w:t>
      </w:r>
    </w:p>
  </w:footnote>
  <w:footnote w:id="37">
    <w:p w:rsidR="00407DAE" w:rsidRPr="00A248B6" w:rsidRDefault="00407DAE" w:rsidP="006522B8">
      <w:pPr>
        <w:pStyle w:val="Default"/>
      </w:pPr>
      <w:r w:rsidRPr="00A248B6">
        <w:rPr>
          <w:rStyle w:val="afc"/>
          <w:rFonts w:cs="Times New Roman"/>
          <w:color w:val="auto"/>
          <w:kern w:val="2"/>
          <w:sz w:val="20"/>
          <w:szCs w:val="20"/>
        </w:rPr>
        <w:footnoteRef/>
      </w:r>
      <w:r>
        <w:t xml:space="preserve"> </w:t>
      </w:r>
      <w:r w:rsidRPr="00A248B6">
        <w:rPr>
          <w:rFonts w:cs="Times New Roman" w:hint="eastAsia"/>
          <w:color w:val="auto"/>
          <w:kern w:val="2"/>
          <w:sz w:val="20"/>
          <w:szCs w:val="20"/>
        </w:rPr>
        <w:t>參見行政院105年10月7日「兆豐銀行遭美裁罰案相關部會督管責任查核報告」。</w:t>
      </w:r>
    </w:p>
  </w:footnote>
  <w:footnote w:id="38">
    <w:p w:rsidR="00407DAE" w:rsidRPr="00952A6C" w:rsidRDefault="00407DAE" w:rsidP="00441F49">
      <w:pPr>
        <w:pStyle w:val="afa"/>
      </w:pPr>
      <w:r>
        <w:rPr>
          <w:rStyle w:val="afc"/>
        </w:rPr>
        <w:footnoteRef/>
      </w:r>
      <w:r>
        <w:t xml:space="preserve"> </w:t>
      </w:r>
      <w:r>
        <w:rPr>
          <w:rFonts w:hint="eastAsia"/>
        </w:rPr>
        <w:t>參見行政院</w:t>
      </w:r>
      <w:r w:rsidRPr="00952A6C">
        <w:rPr>
          <w:rFonts w:hint="eastAsia"/>
        </w:rPr>
        <w:t>103年12月17日院投入組字第1030056743號函</w:t>
      </w:r>
      <w:r>
        <w:rPr>
          <w:rFonts w:hint="eastAsia"/>
        </w:rPr>
        <w:t>。</w:t>
      </w:r>
    </w:p>
  </w:footnote>
  <w:footnote w:id="39">
    <w:p w:rsidR="00407DAE" w:rsidRPr="00952A6C" w:rsidRDefault="00407DAE" w:rsidP="00441F49">
      <w:pPr>
        <w:pStyle w:val="afa"/>
      </w:pPr>
      <w:r>
        <w:rPr>
          <w:rStyle w:val="afc"/>
        </w:rPr>
        <w:footnoteRef/>
      </w:r>
      <w:r>
        <w:t xml:space="preserve"> </w:t>
      </w:r>
      <w:r>
        <w:rPr>
          <w:rFonts w:hint="eastAsia"/>
        </w:rPr>
        <w:t>參見行政</w:t>
      </w:r>
      <w:r w:rsidRPr="00952A6C">
        <w:rPr>
          <w:rFonts w:hint="eastAsia"/>
        </w:rPr>
        <w:t>院100年9月5日院校人力字第1000049915號函</w:t>
      </w:r>
      <w:r>
        <w:rPr>
          <w:rFonts w:hint="eastAsia"/>
        </w:rPr>
        <w:t>。</w:t>
      </w:r>
    </w:p>
  </w:footnote>
  <w:footnote w:id="40">
    <w:p w:rsidR="00407DAE" w:rsidRDefault="00407DAE" w:rsidP="00441F49">
      <w:pPr>
        <w:pStyle w:val="afa"/>
      </w:pPr>
      <w:r>
        <w:rPr>
          <w:rStyle w:val="afc"/>
        </w:rPr>
        <w:footnoteRef/>
      </w:r>
      <w:r>
        <w:t xml:space="preserve"> </w:t>
      </w:r>
      <w:r>
        <w:rPr>
          <w:rFonts w:hint="eastAsia"/>
        </w:rPr>
        <w:t>參見行政院</w:t>
      </w:r>
      <w:r w:rsidRPr="007F3C1A">
        <w:rPr>
          <w:rFonts w:hint="eastAsia"/>
        </w:rPr>
        <w:t>106年5月16日院臺金字第1060015923號</w:t>
      </w:r>
      <w:r>
        <w:rPr>
          <w:rFonts w:hint="eastAsia"/>
        </w:rPr>
        <w:t>函。</w:t>
      </w:r>
    </w:p>
  </w:footnote>
  <w:footnote w:id="41">
    <w:p w:rsidR="00407DAE" w:rsidRPr="00AE79BA" w:rsidRDefault="00407DAE" w:rsidP="00441F49">
      <w:pPr>
        <w:pStyle w:val="afa"/>
      </w:pPr>
      <w:r>
        <w:rPr>
          <w:rStyle w:val="afc"/>
        </w:rPr>
        <w:footnoteRef/>
      </w:r>
      <w:r>
        <w:rPr>
          <w:rFonts w:hint="eastAsia"/>
        </w:rPr>
        <w:t xml:space="preserve"> 參照</w:t>
      </w:r>
      <w:r w:rsidRPr="00FC22A5">
        <w:rPr>
          <w:rFonts w:hint="eastAsia"/>
        </w:rPr>
        <w:t>臺</w:t>
      </w:r>
      <w:r w:rsidRPr="00AE79BA">
        <w:rPr>
          <w:rFonts w:hint="eastAsia"/>
        </w:rPr>
        <w:t>北地檢署105年度金重訴字第11號起訴書</w:t>
      </w:r>
      <w:r>
        <w:rPr>
          <w:rFonts w:hint="eastAsia"/>
        </w:rPr>
        <w:t>內容。</w:t>
      </w:r>
    </w:p>
  </w:footnote>
  <w:footnote w:id="42">
    <w:p w:rsidR="00407DAE" w:rsidRPr="00683656" w:rsidRDefault="00407DAE" w:rsidP="00863E77">
      <w:pPr>
        <w:pStyle w:val="afa"/>
        <w:ind w:left="220" w:hangingChars="100" w:hanging="220"/>
      </w:pPr>
      <w:r>
        <w:rPr>
          <w:rStyle w:val="afc"/>
        </w:rPr>
        <w:footnoteRef/>
      </w:r>
      <w:r>
        <w:t xml:space="preserve"> </w:t>
      </w:r>
      <w:r>
        <w:rPr>
          <w:rFonts w:hint="eastAsia"/>
        </w:rPr>
        <w:t>附表5為</w:t>
      </w:r>
      <w:r w:rsidRPr="00F32E11">
        <w:rPr>
          <w:rFonts w:hAnsi="標楷體" w:hint="eastAsia"/>
          <w:color w:val="000000" w:themeColor="text1"/>
        </w:rPr>
        <w:t>財政部派任公民營事業機構負責人經理人及董監事績效考核表-董事長/執行長/總經理</w:t>
      </w:r>
      <w:r>
        <w:rPr>
          <w:rFonts w:hAnsi="標楷體" w:hint="eastAsia"/>
          <w:color w:val="000000" w:themeColor="text1"/>
        </w:rPr>
        <w:t>。</w:t>
      </w:r>
    </w:p>
  </w:footnote>
  <w:footnote w:id="43">
    <w:p w:rsidR="00407DAE" w:rsidRPr="00683656" w:rsidRDefault="00407DAE" w:rsidP="00673233">
      <w:pPr>
        <w:pStyle w:val="afa"/>
      </w:pPr>
      <w:r>
        <w:rPr>
          <w:rStyle w:val="afc"/>
        </w:rPr>
        <w:footnoteRef/>
      </w:r>
      <w:r>
        <w:rPr>
          <w:rFonts w:hAnsi="標楷體" w:hint="eastAsia"/>
          <w:color w:val="000000" w:themeColor="text1"/>
        </w:rPr>
        <w:t xml:space="preserve"> 附表6為</w:t>
      </w:r>
      <w:r w:rsidRPr="00F32E11">
        <w:rPr>
          <w:rFonts w:hAnsi="標楷體" w:hint="eastAsia"/>
          <w:color w:val="000000" w:themeColor="text1"/>
        </w:rPr>
        <w:t>財政部派任公民營事業機構負責人經理人及董監事績效考核表-董事</w:t>
      </w:r>
      <w:r>
        <w:rPr>
          <w:rFonts w:hAnsi="標楷體" w:hint="eastAsia"/>
          <w:color w:val="000000" w:themeColor="text1"/>
        </w:rPr>
        <w:t>。</w:t>
      </w:r>
    </w:p>
  </w:footnote>
  <w:footnote w:id="44">
    <w:p w:rsidR="00407DAE" w:rsidRPr="00683656" w:rsidRDefault="00407DAE" w:rsidP="00673233">
      <w:pPr>
        <w:pStyle w:val="afa"/>
      </w:pPr>
      <w:r>
        <w:rPr>
          <w:rStyle w:val="afc"/>
        </w:rPr>
        <w:footnoteRef/>
      </w:r>
      <w:r>
        <w:rPr>
          <w:rFonts w:hAnsi="標楷體" w:hint="eastAsia"/>
          <w:color w:val="000000" w:themeColor="text1"/>
        </w:rPr>
        <w:t xml:space="preserve"> 附表7為</w:t>
      </w:r>
      <w:r w:rsidRPr="00F32E11">
        <w:rPr>
          <w:rFonts w:hAnsi="標楷體" w:hint="eastAsia"/>
          <w:color w:val="000000" w:themeColor="text1"/>
        </w:rPr>
        <w:t>財政部派任公民營事業機構負責人經理人及董監事績效考核表-監察人</w:t>
      </w:r>
      <w:r>
        <w:rPr>
          <w:rFonts w:hAnsi="標楷體" w:hint="eastAsia"/>
          <w:color w:val="000000" w:themeColor="text1"/>
        </w:rPr>
        <w:t>。</w:t>
      </w:r>
    </w:p>
  </w:footnote>
  <w:footnote w:id="45">
    <w:p w:rsidR="00407DAE" w:rsidRDefault="00407DAE" w:rsidP="00863E77">
      <w:pPr>
        <w:pStyle w:val="afa"/>
        <w:ind w:left="220" w:hangingChars="100" w:hanging="220"/>
      </w:pPr>
      <w:r>
        <w:rPr>
          <w:rStyle w:val="afc"/>
        </w:rPr>
        <w:footnoteRef/>
      </w:r>
      <w:r>
        <w:t xml:space="preserve"> </w:t>
      </w:r>
      <w:r>
        <w:rPr>
          <w:rFonts w:hint="eastAsia"/>
        </w:rPr>
        <w:t>財政部複評減少10.5分之原因，係在</w:t>
      </w:r>
      <w:r>
        <w:rPr>
          <w:rFonts w:hAnsi="標楷體" w:hint="eastAsia"/>
        </w:rPr>
        <w:t>「</w:t>
      </w:r>
      <w:r>
        <w:rPr>
          <w:rFonts w:hint="eastAsia"/>
        </w:rPr>
        <w:t>配合政府政策，推動事業機構達成政策目標</w:t>
      </w:r>
      <w:r>
        <w:rPr>
          <w:rFonts w:hAnsi="標楷體" w:hint="eastAsia"/>
        </w:rPr>
        <w:t>」</w:t>
      </w:r>
      <w:r>
        <w:rPr>
          <w:rFonts w:hint="eastAsia"/>
        </w:rPr>
        <w:t>部分，原自評20分，財政部複評為19.5分；另</w:t>
      </w:r>
      <w:r>
        <w:rPr>
          <w:rFonts w:hAnsi="標楷體" w:hint="eastAsia"/>
        </w:rPr>
        <w:t>「</w:t>
      </w:r>
      <w:r>
        <w:rPr>
          <w:rFonts w:hint="eastAsia"/>
        </w:rPr>
        <w:t>其他具體事蹟</w:t>
      </w:r>
      <w:r>
        <w:rPr>
          <w:rFonts w:hAnsi="標楷體" w:hint="eastAsia"/>
        </w:rPr>
        <w:t>」</w:t>
      </w:r>
      <w:r>
        <w:rPr>
          <w:rFonts w:hint="eastAsia"/>
        </w:rPr>
        <w:t>部分，自評16分，財政部複評為6分。</w:t>
      </w:r>
    </w:p>
  </w:footnote>
  <w:footnote w:id="46">
    <w:p w:rsidR="00407DAE" w:rsidRPr="00103E00" w:rsidRDefault="00407DAE" w:rsidP="00863E77">
      <w:pPr>
        <w:pStyle w:val="afa"/>
        <w:ind w:left="220" w:hangingChars="100" w:hanging="220"/>
      </w:pPr>
      <w:r>
        <w:rPr>
          <w:rStyle w:val="afc"/>
        </w:rPr>
        <w:footnoteRef/>
      </w:r>
      <w:r>
        <w:rPr>
          <w:rFonts w:hint="eastAsia"/>
        </w:rPr>
        <w:t xml:space="preserve"> 財政部複評減少5分之原因，係在</w:t>
      </w:r>
      <w:r>
        <w:rPr>
          <w:rFonts w:hAnsi="標楷體" w:hint="eastAsia"/>
        </w:rPr>
        <w:t>「</w:t>
      </w:r>
      <w:r>
        <w:rPr>
          <w:rFonts w:hint="eastAsia"/>
        </w:rPr>
        <w:t>配合政府政策，推動事業機構達成政策目標</w:t>
      </w:r>
      <w:r>
        <w:rPr>
          <w:rFonts w:hAnsi="標楷體" w:hint="eastAsia"/>
        </w:rPr>
        <w:t>」</w:t>
      </w:r>
      <w:r>
        <w:rPr>
          <w:rFonts w:hint="eastAsia"/>
        </w:rPr>
        <w:t>部分，原自評20分，財政部複評為18分；另</w:t>
      </w:r>
      <w:r>
        <w:rPr>
          <w:rFonts w:hAnsi="標楷體" w:hint="eastAsia"/>
        </w:rPr>
        <w:t>「</w:t>
      </w:r>
      <w:r>
        <w:rPr>
          <w:rFonts w:hint="eastAsia"/>
        </w:rPr>
        <w:t>其他具體事蹟</w:t>
      </w:r>
      <w:r>
        <w:rPr>
          <w:rFonts w:hAnsi="標楷體" w:hint="eastAsia"/>
        </w:rPr>
        <w:t>」</w:t>
      </w:r>
      <w:r>
        <w:rPr>
          <w:rFonts w:hint="eastAsia"/>
        </w:rPr>
        <w:t>部分，自評6分，財政部複評為3分。</w:t>
      </w:r>
    </w:p>
  </w:footnote>
  <w:footnote w:id="47">
    <w:p w:rsidR="00407DAE" w:rsidRPr="00F623DA" w:rsidRDefault="00407DAE" w:rsidP="00863E77">
      <w:pPr>
        <w:pStyle w:val="afa"/>
        <w:ind w:left="222" w:hangingChars="101" w:hanging="222"/>
        <w:jc w:val="both"/>
      </w:pPr>
      <w:r w:rsidRPr="00F623DA">
        <w:rPr>
          <w:rStyle w:val="afc"/>
        </w:rPr>
        <w:footnoteRef/>
      </w:r>
      <w:r>
        <w:rPr>
          <w:rFonts w:hAnsi="標楷體" w:hint="eastAsia"/>
        </w:rPr>
        <w:t xml:space="preserve"> </w:t>
      </w:r>
      <w:r w:rsidRPr="00F623DA">
        <w:rPr>
          <w:rFonts w:hAnsi="標楷體" w:hint="eastAsia"/>
        </w:rPr>
        <w:t>巴拿馬銀監局於</w:t>
      </w:r>
      <w:r w:rsidRPr="00F623DA">
        <w:rPr>
          <w:rFonts w:hAnsi="標楷體"/>
        </w:rPr>
        <w:t>99</w:t>
      </w:r>
      <w:r w:rsidRPr="00F623DA">
        <w:rPr>
          <w:rFonts w:hAnsi="標楷體" w:hint="eastAsia"/>
        </w:rPr>
        <w:t>年</w:t>
      </w:r>
      <w:r w:rsidRPr="00F623DA">
        <w:rPr>
          <w:rFonts w:hAnsi="標楷體"/>
        </w:rPr>
        <w:t>10</w:t>
      </w:r>
      <w:r w:rsidRPr="00F623DA">
        <w:rPr>
          <w:rFonts w:hAnsi="標楷體" w:hint="eastAsia"/>
        </w:rPr>
        <w:t>月</w:t>
      </w:r>
      <w:r w:rsidRPr="00F623DA">
        <w:rPr>
          <w:rFonts w:hAnsi="標楷體"/>
        </w:rPr>
        <w:t>25</w:t>
      </w:r>
      <w:r w:rsidRPr="00F623DA">
        <w:rPr>
          <w:rFonts w:hAnsi="標楷體" w:hint="eastAsia"/>
        </w:rPr>
        <w:t>日至</w:t>
      </w:r>
      <w:r w:rsidRPr="00F623DA">
        <w:rPr>
          <w:rFonts w:hAnsi="標楷體"/>
        </w:rPr>
        <w:t>12</w:t>
      </w:r>
      <w:r w:rsidRPr="00F623DA">
        <w:rPr>
          <w:rFonts w:hAnsi="標楷體" w:hint="eastAsia"/>
        </w:rPr>
        <w:t>月</w:t>
      </w:r>
      <w:r w:rsidRPr="00F623DA">
        <w:rPr>
          <w:rFonts w:hAnsi="標楷體"/>
        </w:rPr>
        <w:t>17</w:t>
      </w:r>
      <w:r w:rsidRPr="00F623DA">
        <w:rPr>
          <w:rFonts w:hAnsi="標楷體" w:hint="eastAsia"/>
        </w:rPr>
        <w:t>日對兆豐銀行巴拿馬地區之二分行查核洗錢防制作業，發現違反當地規定，乃於</w:t>
      </w:r>
      <w:r w:rsidRPr="00F623DA">
        <w:rPr>
          <w:rFonts w:hAnsi="標楷體"/>
        </w:rPr>
        <w:t>100</w:t>
      </w:r>
      <w:r w:rsidRPr="00F623DA">
        <w:rPr>
          <w:rFonts w:hAnsi="標楷體" w:hint="eastAsia"/>
        </w:rPr>
        <w:t>年</w:t>
      </w:r>
      <w:r w:rsidRPr="00F623DA">
        <w:rPr>
          <w:rFonts w:hAnsi="標楷體"/>
        </w:rPr>
        <w:t>9</w:t>
      </w:r>
      <w:r w:rsidRPr="00F623DA">
        <w:rPr>
          <w:rFonts w:hAnsi="標楷體" w:hint="eastAsia"/>
        </w:rPr>
        <w:t>至</w:t>
      </w:r>
      <w:r w:rsidRPr="00F623DA">
        <w:rPr>
          <w:rFonts w:hAnsi="標楷體"/>
        </w:rPr>
        <w:t>10</w:t>
      </w:r>
      <w:r w:rsidRPr="00F623DA">
        <w:rPr>
          <w:rFonts w:hAnsi="標楷體" w:hint="eastAsia"/>
        </w:rPr>
        <w:t>月進行實地複查，復於</w:t>
      </w:r>
      <w:r w:rsidRPr="00F623DA">
        <w:rPr>
          <w:rFonts w:hAnsi="標楷體"/>
        </w:rPr>
        <w:t>101</w:t>
      </w:r>
      <w:r w:rsidRPr="00F623DA">
        <w:rPr>
          <w:rFonts w:hAnsi="標楷體" w:hint="eastAsia"/>
        </w:rPr>
        <w:t>年</w:t>
      </w:r>
      <w:r w:rsidRPr="00F623DA">
        <w:rPr>
          <w:rFonts w:hAnsi="標楷體"/>
        </w:rPr>
        <w:t>5</w:t>
      </w:r>
      <w:r w:rsidRPr="00F623DA">
        <w:rPr>
          <w:rFonts w:hAnsi="標楷體" w:hint="eastAsia"/>
        </w:rPr>
        <w:t>至</w:t>
      </w:r>
      <w:r w:rsidRPr="00F623DA">
        <w:rPr>
          <w:rFonts w:hAnsi="標楷體"/>
        </w:rPr>
        <w:t>6</w:t>
      </w:r>
      <w:r w:rsidRPr="00F623DA">
        <w:rPr>
          <w:rFonts w:hAnsi="標楷體" w:hint="eastAsia"/>
        </w:rPr>
        <w:t>月辦理年度查核後，於</w:t>
      </w:r>
      <w:r w:rsidRPr="00F623DA">
        <w:rPr>
          <w:rFonts w:hAnsi="標楷體"/>
        </w:rPr>
        <w:t>102</w:t>
      </w:r>
      <w:r w:rsidRPr="00F623DA">
        <w:rPr>
          <w:rFonts w:hAnsi="標楷體" w:hint="eastAsia"/>
        </w:rPr>
        <w:t>年</w:t>
      </w:r>
      <w:r w:rsidRPr="00F623DA">
        <w:rPr>
          <w:rFonts w:hAnsi="標楷體"/>
        </w:rPr>
        <w:t>3</w:t>
      </w:r>
      <w:r w:rsidRPr="00F623DA">
        <w:rPr>
          <w:rFonts w:hAnsi="標楷體" w:hint="eastAsia"/>
        </w:rPr>
        <w:t>月</w:t>
      </w:r>
      <w:r w:rsidRPr="00F623DA">
        <w:rPr>
          <w:rFonts w:hAnsi="標楷體"/>
        </w:rPr>
        <w:t>12</w:t>
      </w:r>
      <w:r w:rsidRPr="00F623DA">
        <w:rPr>
          <w:rFonts w:hAnsi="標楷體" w:hint="eastAsia"/>
        </w:rPr>
        <w:t>日處罰兆豐銀行</w:t>
      </w:r>
      <w:r w:rsidRPr="00F623DA">
        <w:rPr>
          <w:rFonts w:hAnsi="標楷體"/>
        </w:rPr>
        <w:t>2</w:t>
      </w:r>
      <w:r w:rsidRPr="00F623DA">
        <w:rPr>
          <w:rFonts w:hAnsi="標楷體" w:hint="eastAsia"/>
        </w:rPr>
        <w:t>萬美元。</w:t>
      </w:r>
    </w:p>
  </w:footnote>
  <w:footnote w:id="48">
    <w:p w:rsidR="00407DAE" w:rsidRDefault="00407DAE" w:rsidP="00673233">
      <w:pPr>
        <w:pStyle w:val="afa"/>
      </w:pPr>
      <w:r>
        <w:rPr>
          <w:rStyle w:val="afc"/>
        </w:rPr>
        <w:footnoteRef/>
      </w:r>
      <w:r>
        <w:t xml:space="preserve"> </w:t>
      </w:r>
      <w:r>
        <w:rPr>
          <w:rFonts w:hint="eastAsia"/>
        </w:rPr>
        <w:t>行政院106年3月21日</w:t>
      </w:r>
      <w:r w:rsidRPr="00C269D6">
        <w:rPr>
          <w:rFonts w:hint="eastAsia"/>
        </w:rPr>
        <w:t>院臺金字第1060085121號</w:t>
      </w:r>
      <w:r>
        <w:rPr>
          <w:rFonts w:hint="eastAsia"/>
        </w:rPr>
        <w:t>函。</w:t>
      </w:r>
    </w:p>
  </w:footnote>
  <w:footnote w:id="49">
    <w:p w:rsidR="00407DAE" w:rsidRDefault="00407DAE" w:rsidP="00673233">
      <w:pPr>
        <w:pStyle w:val="afa"/>
      </w:pPr>
      <w:r>
        <w:rPr>
          <w:rStyle w:val="afc"/>
        </w:rPr>
        <w:footnoteRef/>
      </w:r>
      <w:r>
        <w:t xml:space="preserve"> </w:t>
      </w:r>
      <w:r>
        <w:rPr>
          <w:rFonts w:hint="eastAsia"/>
        </w:rPr>
        <w:t>金管會106年5月18日金管銀控字第10660002100號函。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3067"/>
    <w:multiLevelType w:val="hybridMultilevel"/>
    <w:tmpl w:val="19E47DF0"/>
    <w:lvl w:ilvl="0" w:tplc="4734F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C741A0"/>
    <w:multiLevelType w:val="hybridMultilevel"/>
    <w:tmpl w:val="3F60D294"/>
    <w:lvl w:ilvl="0" w:tplc="DE10CBC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DC7710"/>
    <w:multiLevelType w:val="hybridMultilevel"/>
    <w:tmpl w:val="7202456E"/>
    <w:lvl w:ilvl="0" w:tplc="A86E2E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C1227D"/>
    <w:multiLevelType w:val="hybridMultilevel"/>
    <w:tmpl w:val="30D814AE"/>
    <w:lvl w:ilvl="0" w:tplc="9E7465CC">
      <w:start w:val="1"/>
      <w:numFmt w:val="decimal"/>
      <w:lvlText w:val="%1."/>
      <w:lvlJc w:val="left"/>
      <w:pPr>
        <w:ind w:left="480" w:hanging="480"/>
      </w:pPr>
      <w:rPr>
        <w:rFonts w:ascii="標楷體" w:eastAsia="標楷體" w:hAnsi="標楷體" w:cs="Times New Roman" w:hint="default"/>
        <w:color w:val="auto"/>
      </w:rPr>
    </w:lvl>
    <w:lvl w:ilvl="1" w:tplc="0409000F">
      <w:start w:val="1"/>
      <w:numFmt w:val="decimal"/>
      <w:lvlText w:val="%2."/>
      <w:lvlJc w:val="left"/>
      <w:pPr>
        <w:ind w:left="960" w:hanging="480"/>
      </w:pPr>
    </w:lvl>
    <w:lvl w:ilvl="2" w:tplc="180A7F74">
      <w:start w:val="1"/>
      <w:numFmt w:val="decimal"/>
      <w:lvlText w:val="(%3)"/>
      <w:lvlJc w:val="left"/>
      <w:pPr>
        <w:ind w:left="1440" w:hanging="480"/>
      </w:pPr>
      <w:rPr>
        <w:rFonts w:hint="eastAsia"/>
      </w:rPr>
    </w:lvl>
    <w:lvl w:ilvl="3" w:tplc="1AE4E9AE">
      <w:start w:val="1"/>
      <w:numFmt w:val="upperLetter"/>
      <w:lvlText w:val="%4."/>
      <w:lvlJc w:val="left"/>
      <w:pPr>
        <w:ind w:left="1473"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C874D93"/>
    <w:multiLevelType w:val="hybridMultilevel"/>
    <w:tmpl w:val="49C8F47A"/>
    <w:lvl w:ilvl="0" w:tplc="D0C82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8955E3"/>
    <w:multiLevelType w:val="hybridMultilevel"/>
    <w:tmpl w:val="DA52FE1A"/>
    <w:lvl w:ilvl="0" w:tplc="E364FE6A">
      <w:start w:val="1"/>
      <w:numFmt w:val="decimal"/>
      <w:lvlText w:val="%1."/>
      <w:lvlJc w:val="left"/>
      <w:pPr>
        <w:ind w:left="720" w:hanging="48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DEF048B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8" w15:restartNumberingAfterBreak="0">
    <w:nsid w:val="14AD5C33"/>
    <w:multiLevelType w:val="hybridMultilevel"/>
    <w:tmpl w:val="C882A022"/>
    <w:lvl w:ilvl="0" w:tplc="F8FEF5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537F96"/>
    <w:multiLevelType w:val="hybridMultilevel"/>
    <w:tmpl w:val="7202456E"/>
    <w:lvl w:ilvl="0" w:tplc="A86E2E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CF2263"/>
    <w:multiLevelType w:val="hybridMultilevel"/>
    <w:tmpl w:val="23F0F6B0"/>
    <w:lvl w:ilvl="0" w:tplc="45F8D0EA">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1B850158"/>
    <w:multiLevelType w:val="hybridMultilevel"/>
    <w:tmpl w:val="1CAAE766"/>
    <w:lvl w:ilvl="0" w:tplc="C9D0C01A">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1E26464E"/>
    <w:multiLevelType w:val="hybridMultilevel"/>
    <w:tmpl w:val="738EAB50"/>
    <w:lvl w:ilvl="0" w:tplc="45F8D0EA">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11A0E92"/>
    <w:multiLevelType w:val="hybridMultilevel"/>
    <w:tmpl w:val="6750BD36"/>
    <w:lvl w:ilvl="0" w:tplc="9406245C">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7EC33A6"/>
    <w:multiLevelType w:val="hybridMultilevel"/>
    <w:tmpl w:val="3A02A918"/>
    <w:lvl w:ilvl="0" w:tplc="80F6D82C">
      <w:start w:val="1"/>
      <w:numFmt w:val="decimal"/>
      <w:lvlText w:val="(%1)"/>
      <w:lvlJc w:val="left"/>
      <w:pPr>
        <w:ind w:left="72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DB76F1"/>
    <w:multiLevelType w:val="hybridMultilevel"/>
    <w:tmpl w:val="2688A556"/>
    <w:lvl w:ilvl="0" w:tplc="982C3964">
      <w:start w:val="1"/>
      <w:numFmt w:val="taiwaneseCountingThousand"/>
      <w:lvlText w:val="(%1)"/>
      <w:lvlJc w:val="left"/>
      <w:pPr>
        <w:ind w:left="934" w:hanging="720"/>
      </w:pPr>
      <w:rPr>
        <w:rFonts w:ascii="Times New Roman" w:hAnsi="Times New Roman" w:cs="Times New Roman" w:hint="default"/>
      </w:rPr>
    </w:lvl>
    <w:lvl w:ilvl="1" w:tplc="04090019" w:tentative="1">
      <w:start w:val="1"/>
      <w:numFmt w:val="ideographTraditional"/>
      <w:lvlText w:val="%2、"/>
      <w:lvlJc w:val="left"/>
      <w:pPr>
        <w:ind w:left="1174" w:hanging="480"/>
      </w:pPr>
    </w:lvl>
    <w:lvl w:ilvl="2" w:tplc="0409001B" w:tentative="1">
      <w:start w:val="1"/>
      <w:numFmt w:val="lowerRoman"/>
      <w:lvlText w:val="%3."/>
      <w:lvlJc w:val="right"/>
      <w:pPr>
        <w:ind w:left="1654" w:hanging="480"/>
      </w:pPr>
    </w:lvl>
    <w:lvl w:ilvl="3" w:tplc="0409000F" w:tentative="1">
      <w:start w:val="1"/>
      <w:numFmt w:val="decimal"/>
      <w:lvlText w:val="%4."/>
      <w:lvlJc w:val="left"/>
      <w:pPr>
        <w:ind w:left="2134" w:hanging="480"/>
      </w:pPr>
    </w:lvl>
    <w:lvl w:ilvl="4" w:tplc="04090019" w:tentative="1">
      <w:start w:val="1"/>
      <w:numFmt w:val="ideographTraditional"/>
      <w:lvlText w:val="%5、"/>
      <w:lvlJc w:val="left"/>
      <w:pPr>
        <w:ind w:left="2614" w:hanging="480"/>
      </w:pPr>
    </w:lvl>
    <w:lvl w:ilvl="5" w:tplc="0409001B" w:tentative="1">
      <w:start w:val="1"/>
      <w:numFmt w:val="lowerRoman"/>
      <w:lvlText w:val="%6."/>
      <w:lvlJc w:val="right"/>
      <w:pPr>
        <w:ind w:left="3094" w:hanging="480"/>
      </w:pPr>
    </w:lvl>
    <w:lvl w:ilvl="6" w:tplc="0409000F" w:tentative="1">
      <w:start w:val="1"/>
      <w:numFmt w:val="decimal"/>
      <w:lvlText w:val="%7."/>
      <w:lvlJc w:val="left"/>
      <w:pPr>
        <w:ind w:left="3574" w:hanging="480"/>
      </w:pPr>
    </w:lvl>
    <w:lvl w:ilvl="7" w:tplc="04090019" w:tentative="1">
      <w:start w:val="1"/>
      <w:numFmt w:val="ideographTraditional"/>
      <w:lvlText w:val="%8、"/>
      <w:lvlJc w:val="left"/>
      <w:pPr>
        <w:ind w:left="4054" w:hanging="480"/>
      </w:pPr>
    </w:lvl>
    <w:lvl w:ilvl="8" w:tplc="0409001B" w:tentative="1">
      <w:start w:val="1"/>
      <w:numFmt w:val="lowerRoman"/>
      <w:lvlText w:val="%9."/>
      <w:lvlJc w:val="right"/>
      <w:pPr>
        <w:ind w:left="4534" w:hanging="480"/>
      </w:pPr>
    </w:lvl>
  </w:abstractNum>
  <w:abstractNum w:abstractNumId="17" w15:restartNumberingAfterBreak="0">
    <w:nsid w:val="2F8F3FE8"/>
    <w:multiLevelType w:val="hybridMultilevel"/>
    <w:tmpl w:val="D0BEB638"/>
    <w:lvl w:ilvl="0" w:tplc="0D1674C2">
      <w:start w:val="1"/>
      <w:numFmt w:val="decimal"/>
      <w:lvlText w:val="%1."/>
      <w:lvlJc w:val="left"/>
      <w:pPr>
        <w:ind w:left="960" w:hanging="4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444884"/>
    <w:multiLevelType w:val="hybridMultilevel"/>
    <w:tmpl w:val="F1C0044E"/>
    <w:lvl w:ilvl="0" w:tplc="2B8625A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B345A7"/>
    <w:multiLevelType w:val="hybridMultilevel"/>
    <w:tmpl w:val="B7C22CEA"/>
    <w:lvl w:ilvl="0" w:tplc="508694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FD64B5"/>
    <w:multiLevelType w:val="hybridMultilevel"/>
    <w:tmpl w:val="4E4E9C4E"/>
    <w:lvl w:ilvl="0" w:tplc="BF00E4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CA1BDA"/>
    <w:multiLevelType w:val="hybridMultilevel"/>
    <w:tmpl w:val="4F1A03C0"/>
    <w:lvl w:ilvl="0" w:tplc="7D3A8554">
      <w:start w:val="1"/>
      <w:numFmt w:val="decimal"/>
      <w:lvlText w:val="(%1)"/>
      <w:lvlJc w:val="left"/>
      <w:pPr>
        <w:ind w:left="171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362A46"/>
    <w:multiLevelType w:val="hybridMultilevel"/>
    <w:tmpl w:val="7C100F8E"/>
    <w:lvl w:ilvl="0" w:tplc="9DCAB954">
      <w:start w:val="1"/>
      <w:numFmt w:val="decimal"/>
      <w:lvlText w:val="(%1)"/>
      <w:lvlJc w:val="left"/>
      <w:pPr>
        <w:ind w:left="1378" w:hanging="720"/>
      </w:pPr>
      <w:rPr>
        <w:rFonts w:hint="default"/>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abstractNum w:abstractNumId="23" w15:restartNumberingAfterBreak="0">
    <w:nsid w:val="3CFE143F"/>
    <w:multiLevelType w:val="hybridMultilevel"/>
    <w:tmpl w:val="53FAF09A"/>
    <w:lvl w:ilvl="0" w:tplc="ED36E4C8">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871A9A"/>
    <w:multiLevelType w:val="hybridMultilevel"/>
    <w:tmpl w:val="7202456E"/>
    <w:lvl w:ilvl="0" w:tplc="A86E2E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37732E"/>
    <w:multiLevelType w:val="hybridMultilevel"/>
    <w:tmpl w:val="D0BEB638"/>
    <w:lvl w:ilvl="0" w:tplc="0D1674C2">
      <w:start w:val="1"/>
      <w:numFmt w:val="decimal"/>
      <w:lvlText w:val="%1."/>
      <w:lvlJc w:val="left"/>
      <w:pPr>
        <w:ind w:left="960" w:hanging="4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2A0058"/>
    <w:multiLevelType w:val="hybridMultilevel"/>
    <w:tmpl w:val="49B03286"/>
    <w:lvl w:ilvl="0" w:tplc="A44A5062">
      <w:start w:val="1"/>
      <w:numFmt w:val="decimal"/>
      <w:lvlText w:val="%1."/>
      <w:lvlJc w:val="left"/>
      <w:pPr>
        <w:ind w:left="2040" w:hanging="480"/>
      </w:pPr>
      <w:rPr>
        <w:rFonts w:ascii="標楷體" w:eastAsia="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4A5F5684"/>
    <w:multiLevelType w:val="hybridMultilevel"/>
    <w:tmpl w:val="B6E4B77E"/>
    <w:lvl w:ilvl="0" w:tplc="F6AA8D5A">
      <w:start w:val="1"/>
      <w:numFmt w:val="decimal"/>
      <w:pStyle w:val="a3"/>
      <w:lvlText w:val="表%1　"/>
      <w:lvlJc w:val="left"/>
      <w:pPr>
        <w:ind w:left="480" w:hanging="480"/>
      </w:pPr>
      <w:rPr>
        <w:rFonts w:ascii="標楷體" w:eastAsia="標楷體" w:hint="eastAsia"/>
        <w:b/>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B17685D"/>
    <w:multiLevelType w:val="hybridMultilevel"/>
    <w:tmpl w:val="01683A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D1C693D"/>
    <w:multiLevelType w:val="hybridMultilevel"/>
    <w:tmpl w:val="32D44ED4"/>
    <w:lvl w:ilvl="0" w:tplc="36526E2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E6D6FF3"/>
    <w:multiLevelType w:val="hybridMultilevel"/>
    <w:tmpl w:val="5330DA86"/>
    <w:lvl w:ilvl="0" w:tplc="C0FE4396">
      <w:start w:val="1"/>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EA19E3"/>
    <w:multiLevelType w:val="hybridMultilevel"/>
    <w:tmpl w:val="DA52FE1A"/>
    <w:lvl w:ilvl="0" w:tplc="E364FE6A">
      <w:start w:val="1"/>
      <w:numFmt w:val="decimal"/>
      <w:lvlText w:val="%1."/>
      <w:lvlJc w:val="left"/>
      <w:pPr>
        <w:ind w:left="720" w:hanging="48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2CB7E48"/>
    <w:multiLevelType w:val="hybridMultilevel"/>
    <w:tmpl w:val="AEEACA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43A6B40"/>
    <w:multiLevelType w:val="hybridMultilevel"/>
    <w:tmpl w:val="6472D6AE"/>
    <w:lvl w:ilvl="0" w:tplc="F33270A4">
      <w:start w:val="1"/>
      <w:numFmt w:val="decimal"/>
      <w:lvlText w:val="(%1)"/>
      <w:lvlJc w:val="left"/>
      <w:pPr>
        <w:ind w:left="171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87A1765"/>
    <w:multiLevelType w:val="hybridMultilevel"/>
    <w:tmpl w:val="09E63B70"/>
    <w:lvl w:ilvl="0" w:tplc="43ACADC6">
      <w:start w:val="1"/>
      <w:numFmt w:val="decimal"/>
      <w:lvlText w:val="%1."/>
      <w:lvlJc w:val="left"/>
      <w:pPr>
        <w:ind w:left="730" w:hanging="360"/>
      </w:pPr>
      <w:rPr>
        <w:rFonts w:hint="default"/>
      </w:rPr>
    </w:lvl>
    <w:lvl w:ilvl="1" w:tplc="04090019" w:tentative="1">
      <w:start w:val="1"/>
      <w:numFmt w:val="ideographTraditional"/>
      <w:lvlText w:val="%2、"/>
      <w:lvlJc w:val="left"/>
      <w:pPr>
        <w:ind w:left="1330" w:hanging="480"/>
      </w:pPr>
    </w:lvl>
    <w:lvl w:ilvl="2" w:tplc="0409001B" w:tentative="1">
      <w:start w:val="1"/>
      <w:numFmt w:val="lowerRoman"/>
      <w:lvlText w:val="%3."/>
      <w:lvlJc w:val="right"/>
      <w:pPr>
        <w:ind w:left="1810" w:hanging="480"/>
      </w:pPr>
    </w:lvl>
    <w:lvl w:ilvl="3" w:tplc="0409000F" w:tentative="1">
      <w:start w:val="1"/>
      <w:numFmt w:val="decimal"/>
      <w:lvlText w:val="%4."/>
      <w:lvlJc w:val="left"/>
      <w:pPr>
        <w:ind w:left="2290" w:hanging="480"/>
      </w:pPr>
    </w:lvl>
    <w:lvl w:ilvl="4" w:tplc="04090019" w:tentative="1">
      <w:start w:val="1"/>
      <w:numFmt w:val="ideographTraditional"/>
      <w:lvlText w:val="%5、"/>
      <w:lvlJc w:val="left"/>
      <w:pPr>
        <w:ind w:left="2770" w:hanging="480"/>
      </w:pPr>
    </w:lvl>
    <w:lvl w:ilvl="5" w:tplc="0409001B" w:tentative="1">
      <w:start w:val="1"/>
      <w:numFmt w:val="lowerRoman"/>
      <w:lvlText w:val="%6."/>
      <w:lvlJc w:val="right"/>
      <w:pPr>
        <w:ind w:left="3250" w:hanging="480"/>
      </w:pPr>
    </w:lvl>
    <w:lvl w:ilvl="6" w:tplc="0409000F" w:tentative="1">
      <w:start w:val="1"/>
      <w:numFmt w:val="decimal"/>
      <w:lvlText w:val="%7."/>
      <w:lvlJc w:val="left"/>
      <w:pPr>
        <w:ind w:left="3730" w:hanging="480"/>
      </w:pPr>
    </w:lvl>
    <w:lvl w:ilvl="7" w:tplc="04090019" w:tentative="1">
      <w:start w:val="1"/>
      <w:numFmt w:val="ideographTraditional"/>
      <w:lvlText w:val="%8、"/>
      <w:lvlJc w:val="left"/>
      <w:pPr>
        <w:ind w:left="4210" w:hanging="480"/>
      </w:pPr>
    </w:lvl>
    <w:lvl w:ilvl="8" w:tplc="0409001B" w:tentative="1">
      <w:start w:val="1"/>
      <w:numFmt w:val="lowerRoman"/>
      <w:lvlText w:val="%9."/>
      <w:lvlJc w:val="right"/>
      <w:pPr>
        <w:ind w:left="4690" w:hanging="480"/>
      </w:pPr>
    </w:lvl>
  </w:abstractNum>
  <w:abstractNum w:abstractNumId="38" w15:restartNumberingAfterBreak="0">
    <w:nsid w:val="60556C73"/>
    <w:multiLevelType w:val="hybridMultilevel"/>
    <w:tmpl w:val="F350E6DA"/>
    <w:lvl w:ilvl="0" w:tplc="B64ABEE8">
      <w:start w:val="1"/>
      <w:numFmt w:val="taiwaneseCountingThousand"/>
      <w:lvlText w:val="(%1)"/>
      <w:lvlJc w:val="left"/>
      <w:pPr>
        <w:ind w:left="480" w:hanging="480"/>
      </w:pPr>
      <w:rPr>
        <w:rFonts w:ascii="標楷體" w:eastAsia="標楷體" w:hAnsi="標楷體" w:cs="Times New Roman" w:hint="default"/>
        <w:color w:val="auto"/>
      </w:rPr>
    </w:lvl>
    <w:lvl w:ilvl="1" w:tplc="0D1674C2">
      <w:start w:val="1"/>
      <w:numFmt w:val="decimal"/>
      <w:lvlText w:val="%2."/>
      <w:lvlJc w:val="left"/>
      <w:pPr>
        <w:ind w:left="960" w:hanging="480"/>
      </w:pPr>
      <w:rPr>
        <w:rFonts w:ascii="標楷體" w:eastAsia="標楷體" w:hAnsi="標楷體" w:cs="Times New Roman" w:hint="default"/>
      </w:rPr>
    </w:lvl>
    <w:lvl w:ilvl="2" w:tplc="180A7F74">
      <w:start w:val="1"/>
      <w:numFmt w:val="decimal"/>
      <w:lvlText w:val="(%3)"/>
      <w:lvlJc w:val="left"/>
      <w:pPr>
        <w:ind w:left="1440" w:hanging="480"/>
      </w:pPr>
      <w:rPr>
        <w:rFonts w:hint="eastAsia"/>
      </w:rPr>
    </w:lvl>
    <w:lvl w:ilvl="3" w:tplc="AE2ECC80">
      <w:start w:val="1"/>
      <w:numFmt w:val="lowerLetter"/>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0794AFC"/>
    <w:multiLevelType w:val="hybridMultilevel"/>
    <w:tmpl w:val="ECC4C2B0"/>
    <w:lvl w:ilvl="0" w:tplc="D3363BFE">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57B5A7C"/>
    <w:multiLevelType w:val="hybridMultilevel"/>
    <w:tmpl w:val="6DA600F0"/>
    <w:lvl w:ilvl="0" w:tplc="465A7BD8">
      <w:start w:val="1"/>
      <w:numFmt w:val="decimal"/>
      <w:lvlText w:val="(%1)"/>
      <w:lvlJc w:val="left"/>
      <w:pPr>
        <w:ind w:left="1473"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B090E58"/>
    <w:multiLevelType w:val="hybridMultilevel"/>
    <w:tmpl w:val="152207CC"/>
    <w:lvl w:ilvl="0" w:tplc="A86E2E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B85235D"/>
    <w:multiLevelType w:val="hybridMultilevel"/>
    <w:tmpl w:val="9600FE86"/>
    <w:lvl w:ilvl="0" w:tplc="3600046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E68632C"/>
    <w:multiLevelType w:val="hybridMultilevel"/>
    <w:tmpl w:val="0D54972A"/>
    <w:lvl w:ilvl="0" w:tplc="B2FA8C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0D44AB8"/>
    <w:multiLevelType w:val="hybridMultilevel"/>
    <w:tmpl w:val="8D7EACF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28D65E6"/>
    <w:multiLevelType w:val="hybridMultilevel"/>
    <w:tmpl w:val="FBE41EEC"/>
    <w:lvl w:ilvl="0" w:tplc="EB7C97E6">
      <w:start w:val="1"/>
      <w:numFmt w:val="decimal"/>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6" w15:restartNumberingAfterBreak="0">
    <w:nsid w:val="7F634807"/>
    <w:multiLevelType w:val="hybridMultilevel"/>
    <w:tmpl w:val="E6084E9A"/>
    <w:lvl w:ilvl="0" w:tplc="9F282FE0">
      <w:start w:val="6"/>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28"/>
  </w:num>
  <w:num w:numId="4">
    <w:abstractNumId w:val="23"/>
  </w:num>
  <w:num w:numId="5">
    <w:abstractNumId w:val="33"/>
  </w:num>
  <w:num w:numId="6">
    <w:abstractNumId w:val="7"/>
  </w:num>
  <w:num w:numId="7">
    <w:abstractNumId w:val="36"/>
  </w:num>
  <w:num w:numId="8">
    <w:abstractNumId w:val="26"/>
  </w:num>
  <w:num w:numId="9">
    <w:abstractNumId w:val="29"/>
  </w:num>
  <w:num w:numId="10">
    <w:abstractNumId w:val="0"/>
  </w:num>
  <w:num w:numId="11">
    <w:abstractNumId w:val="2"/>
  </w:num>
  <w:num w:numId="12">
    <w:abstractNumId w:val="9"/>
  </w:num>
  <w:num w:numId="13">
    <w:abstractNumId w:val="24"/>
  </w:num>
  <w:num w:numId="14">
    <w:abstractNumId w:val="41"/>
  </w:num>
  <w:num w:numId="15">
    <w:abstractNumId w:val="8"/>
  </w:num>
  <w:num w:numId="16">
    <w:abstractNumId w:val="14"/>
  </w:num>
  <w:num w:numId="17">
    <w:abstractNumId w:val="42"/>
  </w:num>
  <w:num w:numId="18">
    <w:abstractNumId w:val="11"/>
  </w:num>
  <w:num w:numId="19">
    <w:abstractNumId w:val="18"/>
  </w:num>
  <w:num w:numId="20">
    <w:abstractNumId w:val="13"/>
  </w:num>
  <w:num w:numId="21">
    <w:abstractNumId w:val="1"/>
  </w:num>
  <w:num w:numId="22">
    <w:abstractNumId w:val="31"/>
  </w:num>
  <w:num w:numId="23">
    <w:abstractNumId w:val="5"/>
  </w:num>
  <w:num w:numId="24">
    <w:abstractNumId w:val="45"/>
  </w:num>
  <w:num w:numId="25">
    <w:abstractNumId w:val="46"/>
  </w:num>
  <w:num w:numId="26">
    <w:abstractNumId w:val="16"/>
  </w:num>
  <w:num w:numId="27">
    <w:abstractNumId w:val="37"/>
  </w:num>
  <w:num w:numId="28">
    <w:abstractNumId w:val="3"/>
  </w:num>
  <w:num w:numId="29">
    <w:abstractNumId w:val="15"/>
  </w:num>
  <w:num w:numId="30">
    <w:abstractNumId w:val="39"/>
  </w:num>
  <w:num w:numId="31">
    <w:abstractNumId w:val="34"/>
  </w:num>
  <w:num w:numId="32">
    <w:abstractNumId w:val="44"/>
  </w:num>
  <w:num w:numId="33">
    <w:abstractNumId w:val="38"/>
  </w:num>
  <w:num w:numId="34">
    <w:abstractNumId w:val="27"/>
  </w:num>
  <w:num w:numId="35">
    <w:abstractNumId w:val="12"/>
  </w:num>
  <w:num w:numId="36">
    <w:abstractNumId w:val="35"/>
  </w:num>
  <w:num w:numId="37">
    <w:abstractNumId w:val="21"/>
  </w:num>
  <w:num w:numId="38">
    <w:abstractNumId w:val="22"/>
  </w:num>
  <w:num w:numId="39">
    <w:abstractNumId w:val="30"/>
  </w:num>
  <w:num w:numId="40">
    <w:abstractNumId w:val="17"/>
  </w:num>
  <w:num w:numId="41">
    <w:abstractNumId w:val="25"/>
  </w:num>
  <w:num w:numId="42">
    <w:abstractNumId w:val="20"/>
  </w:num>
  <w:num w:numId="43">
    <w:abstractNumId w:val="6"/>
  </w:num>
  <w:num w:numId="44">
    <w:abstractNumId w:val="40"/>
  </w:num>
  <w:num w:numId="45">
    <w:abstractNumId w:val="32"/>
  </w:num>
  <w:num w:numId="46">
    <w:abstractNumId w:val="19"/>
  </w:num>
  <w:num w:numId="47">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AB"/>
    <w:rsid w:val="00003A97"/>
    <w:rsid w:val="00003F6E"/>
    <w:rsid w:val="0000434F"/>
    <w:rsid w:val="00006559"/>
    <w:rsid w:val="0000667C"/>
    <w:rsid w:val="00006961"/>
    <w:rsid w:val="00007987"/>
    <w:rsid w:val="00007DB1"/>
    <w:rsid w:val="000106BB"/>
    <w:rsid w:val="00010F1C"/>
    <w:rsid w:val="00011285"/>
    <w:rsid w:val="000112BF"/>
    <w:rsid w:val="00012233"/>
    <w:rsid w:val="00014999"/>
    <w:rsid w:val="00014A5B"/>
    <w:rsid w:val="0001595E"/>
    <w:rsid w:val="00015A34"/>
    <w:rsid w:val="00015DBE"/>
    <w:rsid w:val="0001666A"/>
    <w:rsid w:val="00017318"/>
    <w:rsid w:val="000173C9"/>
    <w:rsid w:val="00020CA1"/>
    <w:rsid w:val="00020F23"/>
    <w:rsid w:val="00022CCF"/>
    <w:rsid w:val="000246F7"/>
    <w:rsid w:val="000278F7"/>
    <w:rsid w:val="0003114D"/>
    <w:rsid w:val="00032BB0"/>
    <w:rsid w:val="00034182"/>
    <w:rsid w:val="0003443C"/>
    <w:rsid w:val="00035770"/>
    <w:rsid w:val="00036663"/>
    <w:rsid w:val="00036D76"/>
    <w:rsid w:val="00042306"/>
    <w:rsid w:val="00042886"/>
    <w:rsid w:val="00053C8B"/>
    <w:rsid w:val="00054641"/>
    <w:rsid w:val="0005483A"/>
    <w:rsid w:val="00054F18"/>
    <w:rsid w:val="00057F32"/>
    <w:rsid w:val="00061955"/>
    <w:rsid w:val="0006231B"/>
    <w:rsid w:val="00062448"/>
    <w:rsid w:val="00062A25"/>
    <w:rsid w:val="00062D10"/>
    <w:rsid w:val="00063D83"/>
    <w:rsid w:val="0006654B"/>
    <w:rsid w:val="00070298"/>
    <w:rsid w:val="00070A57"/>
    <w:rsid w:val="00073CB5"/>
    <w:rsid w:val="00073E5D"/>
    <w:rsid w:val="00073F22"/>
    <w:rsid w:val="0007425C"/>
    <w:rsid w:val="00077553"/>
    <w:rsid w:val="00083B22"/>
    <w:rsid w:val="00084887"/>
    <w:rsid w:val="000851A2"/>
    <w:rsid w:val="00085B41"/>
    <w:rsid w:val="00090F58"/>
    <w:rsid w:val="00091FAB"/>
    <w:rsid w:val="000925AA"/>
    <w:rsid w:val="000927C3"/>
    <w:rsid w:val="0009352E"/>
    <w:rsid w:val="0009393D"/>
    <w:rsid w:val="00096267"/>
    <w:rsid w:val="00096B96"/>
    <w:rsid w:val="000A0A32"/>
    <w:rsid w:val="000A2F3F"/>
    <w:rsid w:val="000A37E1"/>
    <w:rsid w:val="000A5754"/>
    <w:rsid w:val="000A5E6B"/>
    <w:rsid w:val="000A7A99"/>
    <w:rsid w:val="000B0B4A"/>
    <w:rsid w:val="000B1CB8"/>
    <w:rsid w:val="000B23F3"/>
    <w:rsid w:val="000B279A"/>
    <w:rsid w:val="000B3B71"/>
    <w:rsid w:val="000B61D2"/>
    <w:rsid w:val="000B70A7"/>
    <w:rsid w:val="000B73DD"/>
    <w:rsid w:val="000B7945"/>
    <w:rsid w:val="000C495F"/>
    <w:rsid w:val="000C7160"/>
    <w:rsid w:val="000C7187"/>
    <w:rsid w:val="000D0DE7"/>
    <w:rsid w:val="000D1F95"/>
    <w:rsid w:val="000D54CF"/>
    <w:rsid w:val="000D7AC3"/>
    <w:rsid w:val="000E0406"/>
    <w:rsid w:val="000E3675"/>
    <w:rsid w:val="000E6431"/>
    <w:rsid w:val="000F0BBD"/>
    <w:rsid w:val="000F1D58"/>
    <w:rsid w:val="000F21A5"/>
    <w:rsid w:val="000F28B7"/>
    <w:rsid w:val="000F3287"/>
    <w:rsid w:val="000F4AF9"/>
    <w:rsid w:val="000F54AF"/>
    <w:rsid w:val="000F7B14"/>
    <w:rsid w:val="00102B9F"/>
    <w:rsid w:val="00102BB2"/>
    <w:rsid w:val="00102E5C"/>
    <w:rsid w:val="00103A74"/>
    <w:rsid w:val="00104AB6"/>
    <w:rsid w:val="00104C34"/>
    <w:rsid w:val="00105473"/>
    <w:rsid w:val="00105D52"/>
    <w:rsid w:val="00106EC0"/>
    <w:rsid w:val="001101F7"/>
    <w:rsid w:val="00111A29"/>
    <w:rsid w:val="00112637"/>
    <w:rsid w:val="00112ABC"/>
    <w:rsid w:val="00112B83"/>
    <w:rsid w:val="00113F79"/>
    <w:rsid w:val="001141CB"/>
    <w:rsid w:val="001142C1"/>
    <w:rsid w:val="0012001E"/>
    <w:rsid w:val="00120703"/>
    <w:rsid w:val="00121643"/>
    <w:rsid w:val="0012246B"/>
    <w:rsid w:val="00123257"/>
    <w:rsid w:val="001264A8"/>
    <w:rsid w:val="001269BF"/>
    <w:rsid w:val="00126A55"/>
    <w:rsid w:val="00127840"/>
    <w:rsid w:val="00130210"/>
    <w:rsid w:val="001329F4"/>
    <w:rsid w:val="00133F08"/>
    <w:rsid w:val="0013411C"/>
    <w:rsid w:val="001345E6"/>
    <w:rsid w:val="0013531E"/>
    <w:rsid w:val="001375F7"/>
    <w:rsid w:val="001378B0"/>
    <w:rsid w:val="00142E00"/>
    <w:rsid w:val="001435C5"/>
    <w:rsid w:val="00146311"/>
    <w:rsid w:val="00146BCB"/>
    <w:rsid w:val="0014754F"/>
    <w:rsid w:val="001477AB"/>
    <w:rsid w:val="00151448"/>
    <w:rsid w:val="00152793"/>
    <w:rsid w:val="00153B7E"/>
    <w:rsid w:val="001545A9"/>
    <w:rsid w:val="00155D52"/>
    <w:rsid w:val="001637C7"/>
    <w:rsid w:val="00164801"/>
    <w:rsid w:val="0016480E"/>
    <w:rsid w:val="00165675"/>
    <w:rsid w:val="001703B0"/>
    <w:rsid w:val="00171BAC"/>
    <w:rsid w:val="00174297"/>
    <w:rsid w:val="00177167"/>
    <w:rsid w:val="0017736D"/>
    <w:rsid w:val="001806D5"/>
    <w:rsid w:val="00180E06"/>
    <w:rsid w:val="001817B3"/>
    <w:rsid w:val="00182ED9"/>
    <w:rsid w:val="00183014"/>
    <w:rsid w:val="001830BF"/>
    <w:rsid w:val="00186271"/>
    <w:rsid w:val="00187E19"/>
    <w:rsid w:val="0019128D"/>
    <w:rsid w:val="00191BF8"/>
    <w:rsid w:val="00192F36"/>
    <w:rsid w:val="001959C2"/>
    <w:rsid w:val="0019630D"/>
    <w:rsid w:val="00197C3A"/>
    <w:rsid w:val="00197DE4"/>
    <w:rsid w:val="001A07DC"/>
    <w:rsid w:val="001A260A"/>
    <w:rsid w:val="001A37E8"/>
    <w:rsid w:val="001A3C9C"/>
    <w:rsid w:val="001A51E3"/>
    <w:rsid w:val="001A57C7"/>
    <w:rsid w:val="001A5FC8"/>
    <w:rsid w:val="001A7046"/>
    <w:rsid w:val="001A731D"/>
    <w:rsid w:val="001A7968"/>
    <w:rsid w:val="001B2E98"/>
    <w:rsid w:val="001B31B9"/>
    <w:rsid w:val="001B3483"/>
    <w:rsid w:val="001B3C1E"/>
    <w:rsid w:val="001B3DDE"/>
    <w:rsid w:val="001B4494"/>
    <w:rsid w:val="001B5C3A"/>
    <w:rsid w:val="001C0D8B"/>
    <w:rsid w:val="001C0DA8"/>
    <w:rsid w:val="001C5D16"/>
    <w:rsid w:val="001D00B2"/>
    <w:rsid w:val="001D19A0"/>
    <w:rsid w:val="001D1DFD"/>
    <w:rsid w:val="001D29DD"/>
    <w:rsid w:val="001D364F"/>
    <w:rsid w:val="001D4984"/>
    <w:rsid w:val="001D49DD"/>
    <w:rsid w:val="001D4AD7"/>
    <w:rsid w:val="001E072F"/>
    <w:rsid w:val="001E0D8A"/>
    <w:rsid w:val="001E2F5E"/>
    <w:rsid w:val="001E671E"/>
    <w:rsid w:val="001E67BA"/>
    <w:rsid w:val="001E74C2"/>
    <w:rsid w:val="001F28F1"/>
    <w:rsid w:val="001F37B1"/>
    <w:rsid w:val="001F4A54"/>
    <w:rsid w:val="001F4F82"/>
    <w:rsid w:val="001F5A48"/>
    <w:rsid w:val="001F6260"/>
    <w:rsid w:val="001F792F"/>
    <w:rsid w:val="00200007"/>
    <w:rsid w:val="00200899"/>
    <w:rsid w:val="00201737"/>
    <w:rsid w:val="002030A5"/>
    <w:rsid w:val="00203131"/>
    <w:rsid w:val="00203A4F"/>
    <w:rsid w:val="00204914"/>
    <w:rsid w:val="00205890"/>
    <w:rsid w:val="00205C34"/>
    <w:rsid w:val="00210E0D"/>
    <w:rsid w:val="00210FC1"/>
    <w:rsid w:val="00212E88"/>
    <w:rsid w:val="002133D6"/>
    <w:rsid w:val="00213C9C"/>
    <w:rsid w:val="00213ECB"/>
    <w:rsid w:val="00217811"/>
    <w:rsid w:val="0022009E"/>
    <w:rsid w:val="0022089A"/>
    <w:rsid w:val="0022116E"/>
    <w:rsid w:val="00221990"/>
    <w:rsid w:val="00221D11"/>
    <w:rsid w:val="00223241"/>
    <w:rsid w:val="00223785"/>
    <w:rsid w:val="0022425C"/>
    <w:rsid w:val="002246DE"/>
    <w:rsid w:val="00224F26"/>
    <w:rsid w:val="00232D1D"/>
    <w:rsid w:val="002347AE"/>
    <w:rsid w:val="002357CC"/>
    <w:rsid w:val="002408DA"/>
    <w:rsid w:val="002409A0"/>
    <w:rsid w:val="002420A9"/>
    <w:rsid w:val="002421DE"/>
    <w:rsid w:val="00244F55"/>
    <w:rsid w:val="002476D5"/>
    <w:rsid w:val="00251F77"/>
    <w:rsid w:val="00252BC4"/>
    <w:rsid w:val="00254014"/>
    <w:rsid w:val="00254B39"/>
    <w:rsid w:val="00256799"/>
    <w:rsid w:val="00256CD6"/>
    <w:rsid w:val="00260AAF"/>
    <w:rsid w:val="0026504D"/>
    <w:rsid w:val="002653FA"/>
    <w:rsid w:val="0026672D"/>
    <w:rsid w:val="002669A3"/>
    <w:rsid w:val="0027005F"/>
    <w:rsid w:val="00271C5D"/>
    <w:rsid w:val="00273A2F"/>
    <w:rsid w:val="00274E60"/>
    <w:rsid w:val="00275CFB"/>
    <w:rsid w:val="00277042"/>
    <w:rsid w:val="00280506"/>
    <w:rsid w:val="00280986"/>
    <w:rsid w:val="00280A49"/>
    <w:rsid w:val="00281B3D"/>
    <w:rsid w:val="00281ECE"/>
    <w:rsid w:val="002831C7"/>
    <w:rsid w:val="002834E7"/>
    <w:rsid w:val="002840C6"/>
    <w:rsid w:val="0028432C"/>
    <w:rsid w:val="00284416"/>
    <w:rsid w:val="00284798"/>
    <w:rsid w:val="0028562C"/>
    <w:rsid w:val="00286AC1"/>
    <w:rsid w:val="002915C2"/>
    <w:rsid w:val="00291A65"/>
    <w:rsid w:val="0029267E"/>
    <w:rsid w:val="00292F90"/>
    <w:rsid w:val="0029339A"/>
    <w:rsid w:val="00294D14"/>
    <w:rsid w:val="00295174"/>
    <w:rsid w:val="00295AE9"/>
    <w:rsid w:val="00296129"/>
    <w:rsid w:val="00296172"/>
    <w:rsid w:val="00296B92"/>
    <w:rsid w:val="00297BD4"/>
    <w:rsid w:val="002A07CF"/>
    <w:rsid w:val="002A0899"/>
    <w:rsid w:val="002A2C22"/>
    <w:rsid w:val="002A4824"/>
    <w:rsid w:val="002A5D3E"/>
    <w:rsid w:val="002A7B6B"/>
    <w:rsid w:val="002A7C7A"/>
    <w:rsid w:val="002B02EB"/>
    <w:rsid w:val="002B1DAA"/>
    <w:rsid w:val="002B3119"/>
    <w:rsid w:val="002B39CA"/>
    <w:rsid w:val="002B49CE"/>
    <w:rsid w:val="002B7027"/>
    <w:rsid w:val="002C0602"/>
    <w:rsid w:val="002C0ACA"/>
    <w:rsid w:val="002C0CB6"/>
    <w:rsid w:val="002C1C1A"/>
    <w:rsid w:val="002C2C21"/>
    <w:rsid w:val="002C6F67"/>
    <w:rsid w:val="002D2635"/>
    <w:rsid w:val="002D30DB"/>
    <w:rsid w:val="002D4C9C"/>
    <w:rsid w:val="002D5C16"/>
    <w:rsid w:val="002D69A5"/>
    <w:rsid w:val="002D71CC"/>
    <w:rsid w:val="002E1566"/>
    <w:rsid w:val="002E2EBE"/>
    <w:rsid w:val="002E3F6C"/>
    <w:rsid w:val="002E5B50"/>
    <w:rsid w:val="002F1590"/>
    <w:rsid w:val="002F1643"/>
    <w:rsid w:val="002F22F6"/>
    <w:rsid w:val="002F2476"/>
    <w:rsid w:val="002F3DD7"/>
    <w:rsid w:val="002F3DFF"/>
    <w:rsid w:val="002F5ABC"/>
    <w:rsid w:val="002F5BAC"/>
    <w:rsid w:val="002F5E05"/>
    <w:rsid w:val="002F714A"/>
    <w:rsid w:val="00302718"/>
    <w:rsid w:val="00302DF7"/>
    <w:rsid w:val="00307A76"/>
    <w:rsid w:val="00310B67"/>
    <w:rsid w:val="00312E59"/>
    <w:rsid w:val="00315A16"/>
    <w:rsid w:val="00316DEB"/>
    <w:rsid w:val="00317003"/>
    <w:rsid w:val="00317053"/>
    <w:rsid w:val="003209FD"/>
    <w:rsid w:val="0032109C"/>
    <w:rsid w:val="00322B45"/>
    <w:rsid w:val="00323809"/>
    <w:rsid w:val="00323977"/>
    <w:rsid w:val="00323D41"/>
    <w:rsid w:val="00324BF2"/>
    <w:rsid w:val="00325414"/>
    <w:rsid w:val="00326348"/>
    <w:rsid w:val="00327445"/>
    <w:rsid w:val="003302F1"/>
    <w:rsid w:val="003306F9"/>
    <w:rsid w:val="00331B6A"/>
    <w:rsid w:val="0033527E"/>
    <w:rsid w:val="003375A9"/>
    <w:rsid w:val="00337F38"/>
    <w:rsid w:val="00340869"/>
    <w:rsid w:val="00341A52"/>
    <w:rsid w:val="0034470E"/>
    <w:rsid w:val="00344A26"/>
    <w:rsid w:val="00345135"/>
    <w:rsid w:val="00345E6B"/>
    <w:rsid w:val="00345EF8"/>
    <w:rsid w:val="00350D58"/>
    <w:rsid w:val="00350F2F"/>
    <w:rsid w:val="0035149E"/>
    <w:rsid w:val="0035179B"/>
    <w:rsid w:val="00352DB0"/>
    <w:rsid w:val="00353863"/>
    <w:rsid w:val="003542F9"/>
    <w:rsid w:val="00354F0A"/>
    <w:rsid w:val="003577A7"/>
    <w:rsid w:val="003602C0"/>
    <w:rsid w:val="00360BD3"/>
    <w:rsid w:val="00361063"/>
    <w:rsid w:val="00362E5A"/>
    <w:rsid w:val="00362FA7"/>
    <w:rsid w:val="0036375B"/>
    <w:rsid w:val="00363802"/>
    <w:rsid w:val="00364160"/>
    <w:rsid w:val="003673B6"/>
    <w:rsid w:val="00367C1F"/>
    <w:rsid w:val="00367FF7"/>
    <w:rsid w:val="0037094A"/>
    <w:rsid w:val="00371ED3"/>
    <w:rsid w:val="00372FFC"/>
    <w:rsid w:val="00373D65"/>
    <w:rsid w:val="003762A4"/>
    <w:rsid w:val="003762A9"/>
    <w:rsid w:val="00376307"/>
    <w:rsid w:val="00376474"/>
    <w:rsid w:val="0037728A"/>
    <w:rsid w:val="00380B7D"/>
    <w:rsid w:val="00381A99"/>
    <w:rsid w:val="00382505"/>
    <w:rsid w:val="003829C2"/>
    <w:rsid w:val="003830B2"/>
    <w:rsid w:val="0038328C"/>
    <w:rsid w:val="00383D15"/>
    <w:rsid w:val="003843E5"/>
    <w:rsid w:val="00384724"/>
    <w:rsid w:val="003878E2"/>
    <w:rsid w:val="00387B7E"/>
    <w:rsid w:val="003919B7"/>
    <w:rsid w:val="00391D57"/>
    <w:rsid w:val="00391FA4"/>
    <w:rsid w:val="00392292"/>
    <w:rsid w:val="00394DC8"/>
    <w:rsid w:val="00397E1D"/>
    <w:rsid w:val="003A30B5"/>
    <w:rsid w:val="003A3D05"/>
    <w:rsid w:val="003A4DF2"/>
    <w:rsid w:val="003A4F1A"/>
    <w:rsid w:val="003A4FD7"/>
    <w:rsid w:val="003A525A"/>
    <w:rsid w:val="003A55B5"/>
    <w:rsid w:val="003A587B"/>
    <w:rsid w:val="003A5927"/>
    <w:rsid w:val="003A6572"/>
    <w:rsid w:val="003A66BE"/>
    <w:rsid w:val="003B1017"/>
    <w:rsid w:val="003B294D"/>
    <w:rsid w:val="003B3970"/>
    <w:rsid w:val="003B3C07"/>
    <w:rsid w:val="003B432E"/>
    <w:rsid w:val="003B6081"/>
    <w:rsid w:val="003B6775"/>
    <w:rsid w:val="003B6A9A"/>
    <w:rsid w:val="003C18BA"/>
    <w:rsid w:val="003C1D2A"/>
    <w:rsid w:val="003C375D"/>
    <w:rsid w:val="003C5C00"/>
    <w:rsid w:val="003C5FE2"/>
    <w:rsid w:val="003C782F"/>
    <w:rsid w:val="003D05FB"/>
    <w:rsid w:val="003D0712"/>
    <w:rsid w:val="003D1B16"/>
    <w:rsid w:val="003D1E16"/>
    <w:rsid w:val="003D39A6"/>
    <w:rsid w:val="003D45BF"/>
    <w:rsid w:val="003D4623"/>
    <w:rsid w:val="003D495E"/>
    <w:rsid w:val="003D508A"/>
    <w:rsid w:val="003D537F"/>
    <w:rsid w:val="003D7B75"/>
    <w:rsid w:val="003E0208"/>
    <w:rsid w:val="003E1934"/>
    <w:rsid w:val="003E239F"/>
    <w:rsid w:val="003E4B57"/>
    <w:rsid w:val="003E5F1B"/>
    <w:rsid w:val="003E61D0"/>
    <w:rsid w:val="003F22A8"/>
    <w:rsid w:val="003F27E1"/>
    <w:rsid w:val="003F40BF"/>
    <w:rsid w:val="003F437A"/>
    <w:rsid w:val="003F45E5"/>
    <w:rsid w:val="003F5037"/>
    <w:rsid w:val="003F532A"/>
    <w:rsid w:val="003F5C2B"/>
    <w:rsid w:val="003F5DA8"/>
    <w:rsid w:val="003F60B0"/>
    <w:rsid w:val="00400022"/>
    <w:rsid w:val="00402240"/>
    <w:rsid w:val="004023E9"/>
    <w:rsid w:val="00402F4A"/>
    <w:rsid w:val="0040323D"/>
    <w:rsid w:val="00403562"/>
    <w:rsid w:val="00403A9D"/>
    <w:rsid w:val="0040454A"/>
    <w:rsid w:val="00404924"/>
    <w:rsid w:val="00404D82"/>
    <w:rsid w:val="004064FF"/>
    <w:rsid w:val="00407DAE"/>
    <w:rsid w:val="00410DB8"/>
    <w:rsid w:val="00410DEC"/>
    <w:rsid w:val="00411DE4"/>
    <w:rsid w:val="004122D4"/>
    <w:rsid w:val="00413F83"/>
    <w:rsid w:val="0041490C"/>
    <w:rsid w:val="00416191"/>
    <w:rsid w:val="00416721"/>
    <w:rsid w:val="00416C7D"/>
    <w:rsid w:val="004213F4"/>
    <w:rsid w:val="004214CF"/>
    <w:rsid w:val="00421EF0"/>
    <w:rsid w:val="004224FA"/>
    <w:rsid w:val="004238A5"/>
    <w:rsid w:val="00423A10"/>
    <w:rsid w:val="00423D07"/>
    <w:rsid w:val="00426B68"/>
    <w:rsid w:val="00427936"/>
    <w:rsid w:val="00430CAA"/>
    <w:rsid w:val="00431B7A"/>
    <w:rsid w:val="00432F59"/>
    <w:rsid w:val="00434678"/>
    <w:rsid w:val="004376CF"/>
    <w:rsid w:val="00441F49"/>
    <w:rsid w:val="00442E20"/>
    <w:rsid w:val="0044346F"/>
    <w:rsid w:val="004436F8"/>
    <w:rsid w:val="0044682A"/>
    <w:rsid w:val="004501B7"/>
    <w:rsid w:val="00450671"/>
    <w:rsid w:val="0045258F"/>
    <w:rsid w:val="004534ED"/>
    <w:rsid w:val="004542CA"/>
    <w:rsid w:val="00461193"/>
    <w:rsid w:val="004631AA"/>
    <w:rsid w:val="0046520A"/>
    <w:rsid w:val="00466380"/>
    <w:rsid w:val="00466400"/>
    <w:rsid w:val="0046654A"/>
    <w:rsid w:val="004665F2"/>
    <w:rsid w:val="004671E8"/>
    <w:rsid w:val="004672AB"/>
    <w:rsid w:val="004714FE"/>
    <w:rsid w:val="00471D95"/>
    <w:rsid w:val="00472DBD"/>
    <w:rsid w:val="00472FCC"/>
    <w:rsid w:val="00474523"/>
    <w:rsid w:val="0047496B"/>
    <w:rsid w:val="0047597C"/>
    <w:rsid w:val="0047615C"/>
    <w:rsid w:val="0047639E"/>
    <w:rsid w:val="00477BAA"/>
    <w:rsid w:val="00480135"/>
    <w:rsid w:val="00480621"/>
    <w:rsid w:val="004877C5"/>
    <w:rsid w:val="00487DE8"/>
    <w:rsid w:val="004903FD"/>
    <w:rsid w:val="00491863"/>
    <w:rsid w:val="00493BA9"/>
    <w:rsid w:val="00495053"/>
    <w:rsid w:val="00497828"/>
    <w:rsid w:val="004A08E3"/>
    <w:rsid w:val="004A1F59"/>
    <w:rsid w:val="004A29BE"/>
    <w:rsid w:val="004A2CA0"/>
    <w:rsid w:val="004A3225"/>
    <w:rsid w:val="004A33EE"/>
    <w:rsid w:val="004A3AA8"/>
    <w:rsid w:val="004A42B3"/>
    <w:rsid w:val="004A6355"/>
    <w:rsid w:val="004A78CB"/>
    <w:rsid w:val="004B0728"/>
    <w:rsid w:val="004B13C7"/>
    <w:rsid w:val="004B3928"/>
    <w:rsid w:val="004B6AE7"/>
    <w:rsid w:val="004B70FA"/>
    <w:rsid w:val="004B75BB"/>
    <w:rsid w:val="004B7779"/>
    <w:rsid w:val="004B778F"/>
    <w:rsid w:val="004C0609"/>
    <w:rsid w:val="004C0CBB"/>
    <w:rsid w:val="004C0E73"/>
    <w:rsid w:val="004C3CCB"/>
    <w:rsid w:val="004C4772"/>
    <w:rsid w:val="004C5945"/>
    <w:rsid w:val="004C65D3"/>
    <w:rsid w:val="004D0F9B"/>
    <w:rsid w:val="004D141F"/>
    <w:rsid w:val="004D2742"/>
    <w:rsid w:val="004D2C8B"/>
    <w:rsid w:val="004D6310"/>
    <w:rsid w:val="004D6B07"/>
    <w:rsid w:val="004E0062"/>
    <w:rsid w:val="004E05A1"/>
    <w:rsid w:val="004E120D"/>
    <w:rsid w:val="004E1FC2"/>
    <w:rsid w:val="004E345C"/>
    <w:rsid w:val="004E3E18"/>
    <w:rsid w:val="004E717F"/>
    <w:rsid w:val="004F09AE"/>
    <w:rsid w:val="004F2586"/>
    <w:rsid w:val="004F45D5"/>
    <w:rsid w:val="004F5E57"/>
    <w:rsid w:val="004F6710"/>
    <w:rsid w:val="004F6F5C"/>
    <w:rsid w:val="004F70FB"/>
    <w:rsid w:val="004F7443"/>
    <w:rsid w:val="00500C3E"/>
    <w:rsid w:val="0050144A"/>
    <w:rsid w:val="00501D44"/>
    <w:rsid w:val="0050242E"/>
    <w:rsid w:val="00502849"/>
    <w:rsid w:val="00503957"/>
    <w:rsid w:val="005041DB"/>
    <w:rsid w:val="00504334"/>
    <w:rsid w:val="0050438D"/>
    <w:rsid w:val="0050498D"/>
    <w:rsid w:val="0050696A"/>
    <w:rsid w:val="005075DE"/>
    <w:rsid w:val="005104D7"/>
    <w:rsid w:val="00510B9E"/>
    <w:rsid w:val="0051136D"/>
    <w:rsid w:val="00513BEB"/>
    <w:rsid w:val="005140DD"/>
    <w:rsid w:val="00514606"/>
    <w:rsid w:val="00514867"/>
    <w:rsid w:val="005200AF"/>
    <w:rsid w:val="005201E5"/>
    <w:rsid w:val="00520DF1"/>
    <w:rsid w:val="005222D7"/>
    <w:rsid w:val="00524796"/>
    <w:rsid w:val="00524AA4"/>
    <w:rsid w:val="005252A9"/>
    <w:rsid w:val="00527F69"/>
    <w:rsid w:val="005304F6"/>
    <w:rsid w:val="00531714"/>
    <w:rsid w:val="0053227C"/>
    <w:rsid w:val="005323F0"/>
    <w:rsid w:val="00534B07"/>
    <w:rsid w:val="00536BC2"/>
    <w:rsid w:val="00541081"/>
    <w:rsid w:val="00541158"/>
    <w:rsid w:val="0054136C"/>
    <w:rsid w:val="00541AA6"/>
    <w:rsid w:val="005425E1"/>
    <w:rsid w:val="005427C5"/>
    <w:rsid w:val="00542CF6"/>
    <w:rsid w:val="00542F82"/>
    <w:rsid w:val="00543AEF"/>
    <w:rsid w:val="00544C79"/>
    <w:rsid w:val="00546201"/>
    <w:rsid w:val="005470C7"/>
    <w:rsid w:val="00550466"/>
    <w:rsid w:val="00550ED8"/>
    <w:rsid w:val="00552957"/>
    <w:rsid w:val="00553717"/>
    <w:rsid w:val="00553C03"/>
    <w:rsid w:val="00555E7C"/>
    <w:rsid w:val="005566C8"/>
    <w:rsid w:val="00557013"/>
    <w:rsid w:val="00560E68"/>
    <w:rsid w:val="0056142B"/>
    <w:rsid w:val="005626C3"/>
    <w:rsid w:val="005629B8"/>
    <w:rsid w:val="00563692"/>
    <w:rsid w:val="00563947"/>
    <w:rsid w:val="0056627B"/>
    <w:rsid w:val="00566ECD"/>
    <w:rsid w:val="00571679"/>
    <w:rsid w:val="00572D4D"/>
    <w:rsid w:val="00576814"/>
    <w:rsid w:val="00576943"/>
    <w:rsid w:val="00576CDA"/>
    <w:rsid w:val="005817E2"/>
    <w:rsid w:val="00582BED"/>
    <w:rsid w:val="0058395B"/>
    <w:rsid w:val="00583E63"/>
    <w:rsid w:val="005844E7"/>
    <w:rsid w:val="0058668C"/>
    <w:rsid w:val="00586704"/>
    <w:rsid w:val="00587DA8"/>
    <w:rsid w:val="00590107"/>
    <w:rsid w:val="005908B8"/>
    <w:rsid w:val="0059138F"/>
    <w:rsid w:val="005921EF"/>
    <w:rsid w:val="0059512E"/>
    <w:rsid w:val="0059535F"/>
    <w:rsid w:val="00596800"/>
    <w:rsid w:val="005A010D"/>
    <w:rsid w:val="005A0E1F"/>
    <w:rsid w:val="005A2A9C"/>
    <w:rsid w:val="005A3473"/>
    <w:rsid w:val="005A3E1E"/>
    <w:rsid w:val="005A6DD2"/>
    <w:rsid w:val="005B0614"/>
    <w:rsid w:val="005B445F"/>
    <w:rsid w:val="005B7810"/>
    <w:rsid w:val="005C0291"/>
    <w:rsid w:val="005C0741"/>
    <w:rsid w:val="005C385D"/>
    <w:rsid w:val="005C42BD"/>
    <w:rsid w:val="005C4E73"/>
    <w:rsid w:val="005C553A"/>
    <w:rsid w:val="005C5F8E"/>
    <w:rsid w:val="005C63EB"/>
    <w:rsid w:val="005D0764"/>
    <w:rsid w:val="005D3350"/>
    <w:rsid w:val="005D3B20"/>
    <w:rsid w:val="005D461A"/>
    <w:rsid w:val="005D4953"/>
    <w:rsid w:val="005D5F1C"/>
    <w:rsid w:val="005D6C75"/>
    <w:rsid w:val="005E16C2"/>
    <w:rsid w:val="005E4759"/>
    <w:rsid w:val="005E5C68"/>
    <w:rsid w:val="005E65C0"/>
    <w:rsid w:val="005F0390"/>
    <w:rsid w:val="005F1A3F"/>
    <w:rsid w:val="005F311F"/>
    <w:rsid w:val="005F4895"/>
    <w:rsid w:val="005F71BD"/>
    <w:rsid w:val="00601E8B"/>
    <w:rsid w:val="006042C5"/>
    <w:rsid w:val="006072CD"/>
    <w:rsid w:val="00610F83"/>
    <w:rsid w:val="00612023"/>
    <w:rsid w:val="006127E7"/>
    <w:rsid w:val="00614190"/>
    <w:rsid w:val="00617471"/>
    <w:rsid w:val="00617DD7"/>
    <w:rsid w:val="0062025C"/>
    <w:rsid w:val="0062031D"/>
    <w:rsid w:val="0062168B"/>
    <w:rsid w:val="006220C2"/>
    <w:rsid w:val="00622A99"/>
    <w:rsid w:val="00622E67"/>
    <w:rsid w:val="00624B0C"/>
    <w:rsid w:val="00626EDC"/>
    <w:rsid w:val="00627C63"/>
    <w:rsid w:val="00627C74"/>
    <w:rsid w:val="00630677"/>
    <w:rsid w:val="00630FBD"/>
    <w:rsid w:val="0063170A"/>
    <w:rsid w:val="006317D6"/>
    <w:rsid w:val="0063181B"/>
    <w:rsid w:val="00640089"/>
    <w:rsid w:val="0064014A"/>
    <w:rsid w:val="0064042C"/>
    <w:rsid w:val="006418AB"/>
    <w:rsid w:val="00642A46"/>
    <w:rsid w:val="00643358"/>
    <w:rsid w:val="006470EC"/>
    <w:rsid w:val="0064776C"/>
    <w:rsid w:val="00647F83"/>
    <w:rsid w:val="0065209B"/>
    <w:rsid w:val="006522B8"/>
    <w:rsid w:val="00652D67"/>
    <w:rsid w:val="006542D6"/>
    <w:rsid w:val="00654FEB"/>
    <w:rsid w:val="0065598E"/>
    <w:rsid w:val="00655AF2"/>
    <w:rsid w:val="00655BC5"/>
    <w:rsid w:val="006568BE"/>
    <w:rsid w:val="00656B16"/>
    <w:rsid w:val="0066025D"/>
    <w:rsid w:val="0066091A"/>
    <w:rsid w:val="00660AD6"/>
    <w:rsid w:val="006635AD"/>
    <w:rsid w:val="006641BF"/>
    <w:rsid w:val="0066426F"/>
    <w:rsid w:val="0066536E"/>
    <w:rsid w:val="0066747A"/>
    <w:rsid w:val="00667F45"/>
    <w:rsid w:val="00671DE9"/>
    <w:rsid w:val="00672196"/>
    <w:rsid w:val="006722B1"/>
    <w:rsid w:val="00673233"/>
    <w:rsid w:val="006742ED"/>
    <w:rsid w:val="00674BB0"/>
    <w:rsid w:val="006771D0"/>
    <w:rsid w:val="006773EC"/>
    <w:rsid w:val="00677C2C"/>
    <w:rsid w:val="00680504"/>
    <w:rsid w:val="00681053"/>
    <w:rsid w:val="006812CB"/>
    <w:rsid w:val="00681CD9"/>
    <w:rsid w:val="00683E30"/>
    <w:rsid w:val="00685EC0"/>
    <w:rsid w:val="00686C9D"/>
    <w:rsid w:val="00687024"/>
    <w:rsid w:val="00687B58"/>
    <w:rsid w:val="0069096E"/>
    <w:rsid w:val="0069310B"/>
    <w:rsid w:val="0069311B"/>
    <w:rsid w:val="0069389F"/>
    <w:rsid w:val="006947AB"/>
    <w:rsid w:val="00695E22"/>
    <w:rsid w:val="0069755C"/>
    <w:rsid w:val="006A1619"/>
    <w:rsid w:val="006A1A4E"/>
    <w:rsid w:val="006A4206"/>
    <w:rsid w:val="006A5216"/>
    <w:rsid w:val="006B0CED"/>
    <w:rsid w:val="006B23CA"/>
    <w:rsid w:val="006B272A"/>
    <w:rsid w:val="006B2A06"/>
    <w:rsid w:val="006B433E"/>
    <w:rsid w:val="006B6A15"/>
    <w:rsid w:val="006B6BD5"/>
    <w:rsid w:val="006B7093"/>
    <w:rsid w:val="006B7417"/>
    <w:rsid w:val="006B7E13"/>
    <w:rsid w:val="006C15BB"/>
    <w:rsid w:val="006C15FD"/>
    <w:rsid w:val="006C32C8"/>
    <w:rsid w:val="006C3696"/>
    <w:rsid w:val="006C3CD8"/>
    <w:rsid w:val="006D072E"/>
    <w:rsid w:val="006D0D4F"/>
    <w:rsid w:val="006D211B"/>
    <w:rsid w:val="006D3691"/>
    <w:rsid w:val="006D39AB"/>
    <w:rsid w:val="006D3B1F"/>
    <w:rsid w:val="006D47E5"/>
    <w:rsid w:val="006D5075"/>
    <w:rsid w:val="006D5E0B"/>
    <w:rsid w:val="006D7F27"/>
    <w:rsid w:val="006E06C8"/>
    <w:rsid w:val="006E33D0"/>
    <w:rsid w:val="006E58E4"/>
    <w:rsid w:val="006E5EF0"/>
    <w:rsid w:val="006E6B70"/>
    <w:rsid w:val="006E7130"/>
    <w:rsid w:val="006F08FA"/>
    <w:rsid w:val="006F3563"/>
    <w:rsid w:val="006F42B9"/>
    <w:rsid w:val="006F5E9E"/>
    <w:rsid w:val="006F6103"/>
    <w:rsid w:val="0070063A"/>
    <w:rsid w:val="007030A0"/>
    <w:rsid w:val="007035B5"/>
    <w:rsid w:val="00704E00"/>
    <w:rsid w:val="00707B9C"/>
    <w:rsid w:val="007105E1"/>
    <w:rsid w:val="0071107E"/>
    <w:rsid w:val="00711455"/>
    <w:rsid w:val="00711982"/>
    <w:rsid w:val="007124D3"/>
    <w:rsid w:val="00712C48"/>
    <w:rsid w:val="00713373"/>
    <w:rsid w:val="00713C56"/>
    <w:rsid w:val="00714A36"/>
    <w:rsid w:val="00714B0D"/>
    <w:rsid w:val="007162F2"/>
    <w:rsid w:val="007201B9"/>
    <w:rsid w:val="007209E7"/>
    <w:rsid w:val="0072128F"/>
    <w:rsid w:val="007214DB"/>
    <w:rsid w:val="0072287B"/>
    <w:rsid w:val="00723254"/>
    <w:rsid w:val="0072393A"/>
    <w:rsid w:val="00725650"/>
    <w:rsid w:val="00726182"/>
    <w:rsid w:val="00726518"/>
    <w:rsid w:val="00727635"/>
    <w:rsid w:val="007277E6"/>
    <w:rsid w:val="00732294"/>
    <w:rsid w:val="00732329"/>
    <w:rsid w:val="007337CA"/>
    <w:rsid w:val="00734CE4"/>
    <w:rsid w:val="0073501F"/>
    <w:rsid w:val="00735123"/>
    <w:rsid w:val="00736359"/>
    <w:rsid w:val="007368A6"/>
    <w:rsid w:val="007369F2"/>
    <w:rsid w:val="00740F64"/>
    <w:rsid w:val="00741837"/>
    <w:rsid w:val="00742089"/>
    <w:rsid w:val="00743880"/>
    <w:rsid w:val="00743BC9"/>
    <w:rsid w:val="00744235"/>
    <w:rsid w:val="007453E6"/>
    <w:rsid w:val="007455D1"/>
    <w:rsid w:val="007455EC"/>
    <w:rsid w:val="007503A9"/>
    <w:rsid w:val="00750684"/>
    <w:rsid w:val="00751A43"/>
    <w:rsid w:val="00754DD4"/>
    <w:rsid w:val="0075637F"/>
    <w:rsid w:val="00756486"/>
    <w:rsid w:val="00757DA3"/>
    <w:rsid w:val="007712C9"/>
    <w:rsid w:val="0077309D"/>
    <w:rsid w:val="0077466F"/>
    <w:rsid w:val="00775A16"/>
    <w:rsid w:val="00775A29"/>
    <w:rsid w:val="0077618B"/>
    <w:rsid w:val="007774EE"/>
    <w:rsid w:val="0078012E"/>
    <w:rsid w:val="00781822"/>
    <w:rsid w:val="00783EDC"/>
    <w:rsid w:val="00783F21"/>
    <w:rsid w:val="00784A14"/>
    <w:rsid w:val="0078536B"/>
    <w:rsid w:val="00787159"/>
    <w:rsid w:val="00787925"/>
    <w:rsid w:val="0079043A"/>
    <w:rsid w:val="00790BC5"/>
    <w:rsid w:val="007910B2"/>
    <w:rsid w:val="00791668"/>
    <w:rsid w:val="00791AA1"/>
    <w:rsid w:val="00791AA5"/>
    <w:rsid w:val="0079364A"/>
    <w:rsid w:val="00793A72"/>
    <w:rsid w:val="00793FDF"/>
    <w:rsid w:val="0079483A"/>
    <w:rsid w:val="00796221"/>
    <w:rsid w:val="00796B2F"/>
    <w:rsid w:val="00796C2C"/>
    <w:rsid w:val="007A1A2C"/>
    <w:rsid w:val="007A3793"/>
    <w:rsid w:val="007B0C98"/>
    <w:rsid w:val="007B2996"/>
    <w:rsid w:val="007B36CD"/>
    <w:rsid w:val="007B438A"/>
    <w:rsid w:val="007B586C"/>
    <w:rsid w:val="007B588F"/>
    <w:rsid w:val="007B74AA"/>
    <w:rsid w:val="007B7A47"/>
    <w:rsid w:val="007C06D2"/>
    <w:rsid w:val="007C1BA2"/>
    <w:rsid w:val="007C2B48"/>
    <w:rsid w:val="007C6EB8"/>
    <w:rsid w:val="007D1943"/>
    <w:rsid w:val="007D2049"/>
    <w:rsid w:val="007D20E9"/>
    <w:rsid w:val="007D3321"/>
    <w:rsid w:val="007D548D"/>
    <w:rsid w:val="007D55C6"/>
    <w:rsid w:val="007D6C76"/>
    <w:rsid w:val="007D7795"/>
    <w:rsid w:val="007D7881"/>
    <w:rsid w:val="007D7E3A"/>
    <w:rsid w:val="007E0281"/>
    <w:rsid w:val="007E0E10"/>
    <w:rsid w:val="007E0FB0"/>
    <w:rsid w:val="007E1335"/>
    <w:rsid w:val="007E4768"/>
    <w:rsid w:val="007E777B"/>
    <w:rsid w:val="007F2070"/>
    <w:rsid w:val="007F2465"/>
    <w:rsid w:val="007F2958"/>
    <w:rsid w:val="007F32FD"/>
    <w:rsid w:val="007F3A81"/>
    <w:rsid w:val="007F3C1A"/>
    <w:rsid w:val="007F4065"/>
    <w:rsid w:val="007F5236"/>
    <w:rsid w:val="007F6443"/>
    <w:rsid w:val="007F7563"/>
    <w:rsid w:val="007F7DA1"/>
    <w:rsid w:val="00801612"/>
    <w:rsid w:val="008022E4"/>
    <w:rsid w:val="008025ED"/>
    <w:rsid w:val="00802CBE"/>
    <w:rsid w:val="00804C0D"/>
    <w:rsid w:val="008053F5"/>
    <w:rsid w:val="00806AAD"/>
    <w:rsid w:val="00807AF7"/>
    <w:rsid w:val="00810198"/>
    <w:rsid w:val="00810F1F"/>
    <w:rsid w:val="00811440"/>
    <w:rsid w:val="00811720"/>
    <w:rsid w:val="00813DD4"/>
    <w:rsid w:val="00815874"/>
    <w:rsid w:val="00815DA8"/>
    <w:rsid w:val="0081644C"/>
    <w:rsid w:val="0081675E"/>
    <w:rsid w:val="00820F38"/>
    <w:rsid w:val="00820FA5"/>
    <w:rsid w:val="008218E5"/>
    <w:rsid w:val="0082194D"/>
    <w:rsid w:val="008221F9"/>
    <w:rsid w:val="0082465D"/>
    <w:rsid w:val="0082478C"/>
    <w:rsid w:val="00826EF5"/>
    <w:rsid w:val="00830DC8"/>
    <w:rsid w:val="00831693"/>
    <w:rsid w:val="00831CAE"/>
    <w:rsid w:val="0083287F"/>
    <w:rsid w:val="00837C5F"/>
    <w:rsid w:val="00837E47"/>
    <w:rsid w:val="00840104"/>
    <w:rsid w:val="00840C1F"/>
    <w:rsid w:val="00841FC5"/>
    <w:rsid w:val="0084266A"/>
    <w:rsid w:val="00843773"/>
    <w:rsid w:val="00844EC3"/>
    <w:rsid w:val="00845709"/>
    <w:rsid w:val="00845E38"/>
    <w:rsid w:val="00856CE5"/>
    <w:rsid w:val="00857103"/>
    <w:rsid w:val="008576BD"/>
    <w:rsid w:val="00857E7E"/>
    <w:rsid w:val="00860463"/>
    <w:rsid w:val="0086162B"/>
    <w:rsid w:val="00861EE2"/>
    <w:rsid w:val="0086228F"/>
    <w:rsid w:val="008625E6"/>
    <w:rsid w:val="00863E52"/>
    <w:rsid w:val="00863E77"/>
    <w:rsid w:val="008653CD"/>
    <w:rsid w:val="008659C0"/>
    <w:rsid w:val="0086638A"/>
    <w:rsid w:val="008733DA"/>
    <w:rsid w:val="0087401F"/>
    <w:rsid w:val="008757CD"/>
    <w:rsid w:val="00876409"/>
    <w:rsid w:val="0087679D"/>
    <w:rsid w:val="00876A0B"/>
    <w:rsid w:val="008850E4"/>
    <w:rsid w:val="008850ED"/>
    <w:rsid w:val="00887958"/>
    <w:rsid w:val="00890FA7"/>
    <w:rsid w:val="008915C2"/>
    <w:rsid w:val="008925A3"/>
    <w:rsid w:val="008939AB"/>
    <w:rsid w:val="00894273"/>
    <w:rsid w:val="008A0E30"/>
    <w:rsid w:val="008A0F8A"/>
    <w:rsid w:val="008A12F5"/>
    <w:rsid w:val="008A2B3C"/>
    <w:rsid w:val="008A38AC"/>
    <w:rsid w:val="008A42EE"/>
    <w:rsid w:val="008A7E9B"/>
    <w:rsid w:val="008B0A52"/>
    <w:rsid w:val="008B1587"/>
    <w:rsid w:val="008B1B01"/>
    <w:rsid w:val="008B311B"/>
    <w:rsid w:val="008B3BCD"/>
    <w:rsid w:val="008B42CF"/>
    <w:rsid w:val="008B6DF8"/>
    <w:rsid w:val="008C106C"/>
    <w:rsid w:val="008C10F1"/>
    <w:rsid w:val="008C1926"/>
    <w:rsid w:val="008C1E99"/>
    <w:rsid w:val="008D4BC1"/>
    <w:rsid w:val="008D5F5F"/>
    <w:rsid w:val="008D6249"/>
    <w:rsid w:val="008D6911"/>
    <w:rsid w:val="008D7532"/>
    <w:rsid w:val="008D784F"/>
    <w:rsid w:val="008E0085"/>
    <w:rsid w:val="008E0BB2"/>
    <w:rsid w:val="008E13CB"/>
    <w:rsid w:val="008E2938"/>
    <w:rsid w:val="008E2AA6"/>
    <w:rsid w:val="008E311B"/>
    <w:rsid w:val="008E331F"/>
    <w:rsid w:val="008E3429"/>
    <w:rsid w:val="008E38C7"/>
    <w:rsid w:val="008E7FCF"/>
    <w:rsid w:val="008F079D"/>
    <w:rsid w:val="008F35AA"/>
    <w:rsid w:val="008F376F"/>
    <w:rsid w:val="008F3EDC"/>
    <w:rsid w:val="008F46E7"/>
    <w:rsid w:val="008F6F0B"/>
    <w:rsid w:val="008F750D"/>
    <w:rsid w:val="00900C13"/>
    <w:rsid w:val="009011F3"/>
    <w:rsid w:val="00901FE0"/>
    <w:rsid w:val="00902727"/>
    <w:rsid w:val="009044CF"/>
    <w:rsid w:val="0090582D"/>
    <w:rsid w:val="0090603A"/>
    <w:rsid w:val="00907BA7"/>
    <w:rsid w:val="00910478"/>
    <w:rsid w:val="0091064E"/>
    <w:rsid w:val="009110EC"/>
    <w:rsid w:val="00911FC5"/>
    <w:rsid w:val="00913AFC"/>
    <w:rsid w:val="00922369"/>
    <w:rsid w:val="00923273"/>
    <w:rsid w:val="0092331E"/>
    <w:rsid w:val="00923ADC"/>
    <w:rsid w:val="009266CE"/>
    <w:rsid w:val="009275AF"/>
    <w:rsid w:val="009303CC"/>
    <w:rsid w:val="00931025"/>
    <w:rsid w:val="00931A10"/>
    <w:rsid w:val="00934846"/>
    <w:rsid w:val="00935505"/>
    <w:rsid w:val="00935D41"/>
    <w:rsid w:val="00935FD6"/>
    <w:rsid w:val="00936454"/>
    <w:rsid w:val="00936DB3"/>
    <w:rsid w:val="00941F8A"/>
    <w:rsid w:val="00944BF8"/>
    <w:rsid w:val="00945064"/>
    <w:rsid w:val="0094642B"/>
    <w:rsid w:val="00946B38"/>
    <w:rsid w:val="009477E0"/>
    <w:rsid w:val="00947967"/>
    <w:rsid w:val="009501C7"/>
    <w:rsid w:val="009507E6"/>
    <w:rsid w:val="00951641"/>
    <w:rsid w:val="00952A6C"/>
    <w:rsid w:val="00952B69"/>
    <w:rsid w:val="009549CB"/>
    <w:rsid w:val="0095516E"/>
    <w:rsid w:val="00955201"/>
    <w:rsid w:val="009563D3"/>
    <w:rsid w:val="0095676B"/>
    <w:rsid w:val="00957B0F"/>
    <w:rsid w:val="00957B74"/>
    <w:rsid w:val="0096013D"/>
    <w:rsid w:val="00960A8A"/>
    <w:rsid w:val="00961A9A"/>
    <w:rsid w:val="00962C1A"/>
    <w:rsid w:val="0096366F"/>
    <w:rsid w:val="00965200"/>
    <w:rsid w:val="009656B6"/>
    <w:rsid w:val="009668B3"/>
    <w:rsid w:val="00966BE5"/>
    <w:rsid w:val="00967A5B"/>
    <w:rsid w:val="00967ED0"/>
    <w:rsid w:val="009703B1"/>
    <w:rsid w:val="00971471"/>
    <w:rsid w:val="00971C25"/>
    <w:rsid w:val="009749BC"/>
    <w:rsid w:val="009752F6"/>
    <w:rsid w:val="00975AC2"/>
    <w:rsid w:val="009849C2"/>
    <w:rsid w:val="00984D24"/>
    <w:rsid w:val="009858EB"/>
    <w:rsid w:val="00986B02"/>
    <w:rsid w:val="009A11B5"/>
    <w:rsid w:val="009A1B13"/>
    <w:rsid w:val="009A3F47"/>
    <w:rsid w:val="009A6EFF"/>
    <w:rsid w:val="009A7072"/>
    <w:rsid w:val="009B0046"/>
    <w:rsid w:val="009B0D6B"/>
    <w:rsid w:val="009B1A29"/>
    <w:rsid w:val="009B25AE"/>
    <w:rsid w:val="009B2906"/>
    <w:rsid w:val="009B2B63"/>
    <w:rsid w:val="009B3A7D"/>
    <w:rsid w:val="009B5D1B"/>
    <w:rsid w:val="009B6E48"/>
    <w:rsid w:val="009B6FE6"/>
    <w:rsid w:val="009C1440"/>
    <w:rsid w:val="009C2107"/>
    <w:rsid w:val="009C2A17"/>
    <w:rsid w:val="009C3711"/>
    <w:rsid w:val="009C5BF0"/>
    <w:rsid w:val="009C5D9E"/>
    <w:rsid w:val="009C6E35"/>
    <w:rsid w:val="009D1185"/>
    <w:rsid w:val="009D2C3E"/>
    <w:rsid w:val="009D774F"/>
    <w:rsid w:val="009D7D01"/>
    <w:rsid w:val="009E00E0"/>
    <w:rsid w:val="009E04D1"/>
    <w:rsid w:val="009E0625"/>
    <w:rsid w:val="009E2ED5"/>
    <w:rsid w:val="009E3034"/>
    <w:rsid w:val="009E4BDF"/>
    <w:rsid w:val="009E549F"/>
    <w:rsid w:val="009E6785"/>
    <w:rsid w:val="009E7B81"/>
    <w:rsid w:val="009F13BC"/>
    <w:rsid w:val="009F1F6C"/>
    <w:rsid w:val="009F28A8"/>
    <w:rsid w:val="009F3D32"/>
    <w:rsid w:val="009F473E"/>
    <w:rsid w:val="009F4AFE"/>
    <w:rsid w:val="009F63B8"/>
    <w:rsid w:val="009F682A"/>
    <w:rsid w:val="009F6A88"/>
    <w:rsid w:val="00A00305"/>
    <w:rsid w:val="00A003CF"/>
    <w:rsid w:val="00A022BE"/>
    <w:rsid w:val="00A0285F"/>
    <w:rsid w:val="00A02D6C"/>
    <w:rsid w:val="00A04AEE"/>
    <w:rsid w:val="00A050BC"/>
    <w:rsid w:val="00A0537A"/>
    <w:rsid w:val="00A06541"/>
    <w:rsid w:val="00A06F14"/>
    <w:rsid w:val="00A07B4B"/>
    <w:rsid w:val="00A07C1B"/>
    <w:rsid w:val="00A10F86"/>
    <w:rsid w:val="00A131AC"/>
    <w:rsid w:val="00A175A7"/>
    <w:rsid w:val="00A247D9"/>
    <w:rsid w:val="00A24C95"/>
    <w:rsid w:val="00A2599A"/>
    <w:rsid w:val="00A26024"/>
    <w:rsid w:val="00A26094"/>
    <w:rsid w:val="00A279F1"/>
    <w:rsid w:val="00A301BF"/>
    <w:rsid w:val="00A302B2"/>
    <w:rsid w:val="00A331B4"/>
    <w:rsid w:val="00A3484E"/>
    <w:rsid w:val="00A34D9B"/>
    <w:rsid w:val="00A356D3"/>
    <w:rsid w:val="00A35958"/>
    <w:rsid w:val="00A36334"/>
    <w:rsid w:val="00A367C9"/>
    <w:rsid w:val="00A36ADA"/>
    <w:rsid w:val="00A4068F"/>
    <w:rsid w:val="00A41122"/>
    <w:rsid w:val="00A4356B"/>
    <w:rsid w:val="00A438D8"/>
    <w:rsid w:val="00A4607B"/>
    <w:rsid w:val="00A47181"/>
    <w:rsid w:val="00A473F5"/>
    <w:rsid w:val="00A51F76"/>
    <w:rsid w:val="00A51F9D"/>
    <w:rsid w:val="00A52CCA"/>
    <w:rsid w:val="00A5416A"/>
    <w:rsid w:val="00A54A69"/>
    <w:rsid w:val="00A56F25"/>
    <w:rsid w:val="00A57B2F"/>
    <w:rsid w:val="00A610A4"/>
    <w:rsid w:val="00A639F4"/>
    <w:rsid w:val="00A63DC7"/>
    <w:rsid w:val="00A66E50"/>
    <w:rsid w:val="00A66F89"/>
    <w:rsid w:val="00A70CE2"/>
    <w:rsid w:val="00A7226B"/>
    <w:rsid w:val="00A744A2"/>
    <w:rsid w:val="00A7513E"/>
    <w:rsid w:val="00A77818"/>
    <w:rsid w:val="00A80AC3"/>
    <w:rsid w:val="00A8121D"/>
    <w:rsid w:val="00A81418"/>
    <w:rsid w:val="00A818A5"/>
    <w:rsid w:val="00A81A32"/>
    <w:rsid w:val="00A835BD"/>
    <w:rsid w:val="00A84386"/>
    <w:rsid w:val="00A843E9"/>
    <w:rsid w:val="00A85758"/>
    <w:rsid w:val="00A86B33"/>
    <w:rsid w:val="00A87F0B"/>
    <w:rsid w:val="00A911AF"/>
    <w:rsid w:val="00A919E2"/>
    <w:rsid w:val="00A932FC"/>
    <w:rsid w:val="00A95739"/>
    <w:rsid w:val="00A96321"/>
    <w:rsid w:val="00A972BD"/>
    <w:rsid w:val="00A974EB"/>
    <w:rsid w:val="00A97B15"/>
    <w:rsid w:val="00AA36D8"/>
    <w:rsid w:val="00AA42D5"/>
    <w:rsid w:val="00AA5C13"/>
    <w:rsid w:val="00AB0E49"/>
    <w:rsid w:val="00AB2445"/>
    <w:rsid w:val="00AB2FAB"/>
    <w:rsid w:val="00AB32DD"/>
    <w:rsid w:val="00AB3A57"/>
    <w:rsid w:val="00AB5350"/>
    <w:rsid w:val="00AB5C14"/>
    <w:rsid w:val="00AC082B"/>
    <w:rsid w:val="00AC116B"/>
    <w:rsid w:val="00AC1EE7"/>
    <w:rsid w:val="00AC333F"/>
    <w:rsid w:val="00AC3CB4"/>
    <w:rsid w:val="00AC51B6"/>
    <w:rsid w:val="00AC585C"/>
    <w:rsid w:val="00AC77FD"/>
    <w:rsid w:val="00AC7D5A"/>
    <w:rsid w:val="00AD0021"/>
    <w:rsid w:val="00AD1925"/>
    <w:rsid w:val="00AD2FC5"/>
    <w:rsid w:val="00AD5984"/>
    <w:rsid w:val="00AD62B8"/>
    <w:rsid w:val="00AD67EE"/>
    <w:rsid w:val="00AE067D"/>
    <w:rsid w:val="00AE1EA4"/>
    <w:rsid w:val="00AE2C5D"/>
    <w:rsid w:val="00AE3CF5"/>
    <w:rsid w:val="00AE48F4"/>
    <w:rsid w:val="00AE492A"/>
    <w:rsid w:val="00AF1181"/>
    <w:rsid w:val="00AF2BD5"/>
    <w:rsid w:val="00AF2F79"/>
    <w:rsid w:val="00AF4653"/>
    <w:rsid w:val="00AF5108"/>
    <w:rsid w:val="00AF7DB7"/>
    <w:rsid w:val="00B023A4"/>
    <w:rsid w:val="00B02723"/>
    <w:rsid w:val="00B03291"/>
    <w:rsid w:val="00B0367F"/>
    <w:rsid w:val="00B037F2"/>
    <w:rsid w:val="00B03AC0"/>
    <w:rsid w:val="00B0571B"/>
    <w:rsid w:val="00B05BFC"/>
    <w:rsid w:val="00B05CF1"/>
    <w:rsid w:val="00B07AFF"/>
    <w:rsid w:val="00B10395"/>
    <w:rsid w:val="00B10D02"/>
    <w:rsid w:val="00B11167"/>
    <w:rsid w:val="00B1135B"/>
    <w:rsid w:val="00B15701"/>
    <w:rsid w:val="00B165AB"/>
    <w:rsid w:val="00B201E2"/>
    <w:rsid w:val="00B20304"/>
    <w:rsid w:val="00B21BC8"/>
    <w:rsid w:val="00B21D61"/>
    <w:rsid w:val="00B22F3A"/>
    <w:rsid w:val="00B24B99"/>
    <w:rsid w:val="00B25D85"/>
    <w:rsid w:val="00B275C2"/>
    <w:rsid w:val="00B27D2A"/>
    <w:rsid w:val="00B31EE7"/>
    <w:rsid w:val="00B3545F"/>
    <w:rsid w:val="00B35538"/>
    <w:rsid w:val="00B366F3"/>
    <w:rsid w:val="00B36DAB"/>
    <w:rsid w:val="00B37E10"/>
    <w:rsid w:val="00B37E36"/>
    <w:rsid w:val="00B425D4"/>
    <w:rsid w:val="00B435DE"/>
    <w:rsid w:val="00B43825"/>
    <w:rsid w:val="00B4439C"/>
    <w:rsid w:val="00B443E4"/>
    <w:rsid w:val="00B4465D"/>
    <w:rsid w:val="00B523FE"/>
    <w:rsid w:val="00B53236"/>
    <w:rsid w:val="00B53F68"/>
    <w:rsid w:val="00B5484D"/>
    <w:rsid w:val="00B54865"/>
    <w:rsid w:val="00B5613E"/>
    <w:rsid w:val="00B563EA"/>
    <w:rsid w:val="00B569D8"/>
    <w:rsid w:val="00B56CDF"/>
    <w:rsid w:val="00B57A13"/>
    <w:rsid w:val="00B60E51"/>
    <w:rsid w:val="00B62EAB"/>
    <w:rsid w:val="00B63A54"/>
    <w:rsid w:val="00B64529"/>
    <w:rsid w:val="00B64EF2"/>
    <w:rsid w:val="00B65AA6"/>
    <w:rsid w:val="00B66874"/>
    <w:rsid w:val="00B670E2"/>
    <w:rsid w:val="00B7019D"/>
    <w:rsid w:val="00B70E8B"/>
    <w:rsid w:val="00B70F18"/>
    <w:rsid w:val="00B73B27"/>
    <w:rsid w:val="00B7679C"/>
    <w:rsid w:val="00B77D18"/>
    <w:rsid w:val="00B77F10"/>
    <w:rsid w:val="00B80DDF"/>
    <w:rsid w:val="00B82A54"/>
    <w:rsid w:val="00B8313A"/>
    <w:rsid w:val="00B86354"/>
    <w:rsid w:val="00B86BCC"/>
    <w:rsid w:val="00B86F20"/>
    <w:rsid w:val="00B90BAF"/>
    <w:rsid w:val="00B91FF2"/>
    <w:rsid w:val="00B92B09"/>
    <w:rsid w:val="00B934B2"/>
    <w:rsid w:val="00B93503"/>
    <w:rsid w:val="00B938B3"/>
    <w:rsid w:val="00B93F57"/>
    <w:rsid w:val="00B941B4"/>
    <w:rsid w:val="00B957CB"/>
    <w:rsid w:val="00B95F13"/>
    <w:rsid w:val="00B96000"/>
    <w:rsid w:val="00B966EB"/>
    <w:rsid w:val="00B975F2"/>
    <w:rsid w:val="00B976FA"/>
    <w:rsid w:val="00B979E7"/>
    <w:rsid w:val="00B97D79"/>
    <w:rsid w:val="00BA2EC6"/>
    <w:rsid w:val="00BA31E8"/>
    <w:rsid w:val="00BA51CA"/>
    <w:rsid w:val="00BA55E0"/>
    <w:rsid w:val="00BA69A7"/>
    <w:rsid w:val="00BA6BD4"/>
    <w:rsid w:val="00BA6C7A"/>
    <w:rsid w:val="00BB16C7"/>
    <w:rsid w:val="00BB17D1"/>
    <w:rsid w:val="00BB1C7F"/>
    <w:rsid w:val="00BB2493"/>
    <w:rsid w:val="00BB36B3"/>
    <w:rsid w:val="00BB3752"/>
    <w:rsid w:val="00BB3CF0"/>
    <w:rsid w:val="00BB48AC"/>
    <w:rsid w:val="00BB5EE3"/>
    <w:rsid w:val="00BB5F40"/>
    <w:rsid w:val="00BB6688"/>
    <w:rsid w:val="00BC26D4"/>
    <w:rsid w:val="00BC349A"/>
    <w:rsid w:val="00BC45FE"/>
    <w:rsid w:val="00BC4797"/>
    <w:rsid w:val="00BC5414"/>
    <w:rsid w:val="00BC78D5"/>
    <w:rsid w:val="00BD0E52"/>
    <w:rsid w:val="00BD3ADC"/>
    <w:rsid w:val="00BD3C3A"/>
    <w:rsid w:val="00BD4249"/>
    <w:rsid w:val="00BD5C34"/>
    <w:rsid w:val="00BD6360"/>
    <w:rsid w:val="00BD76BC"/>
    <w:rsid w:val="00BD7FC9"/>
    <w:rsid w:val="00BE0C80"/>
    <w:rsid w:val="00BE1E4A"/>
    <w:rsid w:val="00BE39AB"/>
    <w:rsid w:val="00BE39D8"/>
    <w:rsid w:val="00BE3B53"/>
    <w:rsid w:val="00BE50AD"/>
    <w:rsid w:val="00BE5B09"/>
    <w:rsid w:val="00BE5B63"/>
    <w:rsid w:val="00BE68C1"/>
    <w:rsid w:val="00BF132E"/>
    <w:rsid w:val="00BF2A42"/>
    <w:rsid w:val="00BF448C"/>
    <w:rsid w:val="00BF5465"/>
    <w:rsid w:val="00BF6224"/>
    <w:rsid w:val="00C03258"/>
    <w:rsid w:val="00C03D8C"/>
    <w:rsid w:val="00C0439F"/>
    <w:rsid w:val="00C04413"/>
    <w:rsid w:val="00C04602"/>
    <w:rsid w:val="00C055EC"/>
    <w:rsid w:val="00C056F9"/>
    <w:rsid w:val="00C05B74"/>
    <w:rsid w:val="00C06B17"/>
    <w:rsid w:val="00C10DC9"/>
    <w:rsid w:val="00C11942"/>
    <w:rsid w:val="00C12FB3"/>
    <w:rsid w:val="00C13093"/>
    <w:rsid w:val="00C13960"/>
    <w:rsid w:val="00C14BB0"/>
    <w:rsid w:val="00C17341"/>
    <w:rsid w:val="00C21D95"/>
    <w:rsid w:val="00C22184"/>
    <w:rsid w:val="00C24051"/>
    <w:rsid w:val="00C24809"/>
    <w:rsid w:val="00C24EEF"/>
    <w:rsid w:val="00C25CF6"/>
    <w:rsid w:val="00C25F71"/>
    <w:rsid w:val="00C269D6"/>
    <w:rsid w:val="00C26C36"/>
    <w:rsid w:val="00C2764D"/>
    <w:rsid w:val="00C311B3"/>
    <w:rsid w:val="00C32768"/>
    <w:rsid w:val="00C33158"/>
    <w:rsid w:val="00C3587C"/>
    <w:rsid w:val="00C364D8"/>
    <w:rsid w:val="00C37942"/>
    <w:rsid w:val="00C41E7C"/>
    <w:rsid w:val="00C431DF"/>
    <w:rsid w:val="00C43521"/>
    <w:rsid w:val="00C456BD"/>
    <w:rsid w:val="00C46947"/>
    <w:rsid w:val="00C500B5"/>
    <w:rsid w:val="00C50E0F"/>
    <w:rsid w:val="00C51745"/>
    <w:rsid w:val="00C5250B"/>
    <w:rsid w:val="00C530C8"/>
    <w:rsid w:val="00C530DC"/>
    <w:rsid w:val="00C5350D"/>
    <w:rsid w:val="00C542AF"/>
    <w:rsid w:val="00C56DD5"/>
    <w:rsid w:val="00C57ED0"/>
    <w:rsid w:val="00C611C5"/>
    <w:rsid w:val="00C6123C"/>
    <w:rsid w:val="00C619DD"/>
    <w:rsid w:val="00C61FC3"/>
    <w:rsid w:val="00C6311A"/>
    <w:rsid w:val="00C63462"/>
    <w:rsid w:val="00C644E5"/>
    <w:rsid w:val="00C64B15"/>
    <w:rsid w:val="00C655A4"/>
    <w:rsid w:val="00C7084D"/>
    <w:rsid w:val="00C70B7F"/>
    <w:rsid w:val="00C7105A"/>
    <w:rsid w:val="00C7315E"/>
    <w:rsid w:val="00C75895"/>
    <w:rsid w:val="00C7592D"/>
    <w:rsid w:val="00C7617C"/>
    <w:rsid w:val="00C76B1B"/>
    <w:rsid w:val="00C8090C"/>
    <w:rsid w:val="00C81E40"/>
    <w:rsid w:val="00C821F3"/>
    <w:rsid w:val="00C83C9F"/>
    <w:rsid w:val="00C83E6A"/>
    <w:rsid w:val="00C85114"/>
    <w:rsid w:val="00C85E41"/>
    <w:rsid w:val="00C86729"/>
    <w:rsid w:val="00C86936"/>
    <w:rsid w:val="00C875F9"/>
    <w:rsid w:val="00C92175"/>
    <w:rsid w:val="00C94840"/>
    <w:rsid w:val="00C96482"/>
    <w:rsid w:val="00C9720F"/>
    <w:rsid w:val="00C97712"/>
    <w:rsid w:val="00CA082E"/>
    <w:rsid w:val="00CA1514"/>
    <w:rsid w:val="00CA233C"/>
    <w:rsid w:val="00CA2E69"/>
    <w:rsid w:val="00CA33D6"/>
    <w:rsid w:val="00CA4EE3"/>
    <w:rsid w:val="00CA52EF"/>
    <w:rsid w:val="00CA66B9"/>
    <w:rsid w:val="00CA75C3"/>
    <w:rsid w:val="00CA76C7"/>
    <w:rsid w:val="00CA7E1D"/>
    <w:rsid w:val="00CB027F"/>
    <w:rsid w:val="00CB103D"/>
    <w:rsid w:val="00CB4202"/>
    <w:rsid w:val="00CB6A97"/>
    <w:rsid w:val="00CB7A1D"/>
    <w:rsid w:val="00CC0EBB"/>
    <w:rsid w:val="00CC2180"/>
    <w:rsid w:val="00CC2996"/>
    <w:rsid w:val="00CC502E"/>
    <w:rsid w:val="00CC61ED"/>
    <w:rsid w:val="00CC6297"/>
    <w:rsid w:val="00CC6B47"/>
    <w:rsid w:val="00CC7690"/>
    <w:rsid w:val="00CD006C"/>
    <w:rsid w:val="00CD1986"/>
    <w:rsid w:val="00CD1A39"/>
    <w:rsid w:val="00CD4380"/>
    <w:rsid w:val="00CD485D"/>
    <w:rsid w:val="00CD54BF"/>
    <w:rsid w:val="00CD5A8F"/>
    <w:rsid w:val="00CD5EBB"/>
    <w:rsid w:val="00CD6081"/>
    <w:rsid w:val="00CD632F"/>
    <w:rsid w:val="00CD6343"/>
    <w:rsid w:val="00CD641A"/>
    <w:rsid w:val="00CD7ED5"/>
    <w:rsid w:val="00CE4D5C"/>
    <w:rsid w:val="00CE5A10"/>
    <w:rsid w:val="00CF05DA"/>
    <w:rsid w:val="00CF0F18"/>
    <w:rsid w:val="00CF2549"/>
    <w:rsid w:val="00CF42E6"/>
    <w:rsid w:val="00CF5311"/>
    <w:rsid w:val="00CF58EB"/>
    <w:rsid w:val="00CF63A2"/>
    <w:rsid w:val="00CF6A1A"/>
    <w:rsid w:val="00CF6FEC"/>
    <w:rsid w:val="00D00328"/>
    <w:rsid w:val="00D009DD"/>
    <w:rsid w:val="00D0106E"/>
    <w:rsid w:val="00D017B8"/>
    <w:rsid w:val="00D021D8"/>
    <w:rsid w:val="00D038E5"/>
    <w:rsid w:val="00D048CE"/>
    <w:rsid w:val="00D052B2"/>
    <w:rsid w:val="00D06383"/>
    <w:rsid w:val="00D1296B"/>
    <w:rsid w:val="00D16EFB"/>
    <w:rsid w:val="00D20E85"/>
    <w:rsid w:val="00D2262F"/>
    <w:rsid w:val="00D23ED2"/>
    <w:rsid w:val="00D24615"/>
    <w:rsid w:val="00D276F7"/>
    <w:rsid w:val="00D2775C"/>
    <w:rsid w:val="00D33BB2"/>
    <w:rsid w:val="00D34745"/>
    <w:rsid w:val="00D35041"/>
    <w:rsid w:val="00D35F0D"/>
    <w:rsid w:val="00D36A10"/>
    <w:rsid w:val="00D37842"/>
    <w:rsid w:val="00D40724"/>
    <w:rsid w:val="00D41542"/>
    <w:rsid w:val="00D41C32"/>
    <w:rsid w:val="00D42DC2"/>
    <w:rsid w:val="00D468F0"/>
    <w:rsid w:val="00D46ACD"/>
    <w:rsid w:val="00D475EC"/>
    <w:rsid w:val="00D47894"/>
    <w:rsid w:val="00D50A6B"/>
    <w:rsid w:val="00D517F4"/>
    <w:rsid w:val="00D537E1"/>
    <w:rsid w:val="00D54EF0"/>
    <w:rsid w:val="00D5586B"/>
    <w:rsid w:val="00D55A4E"/>
    <w:rsid w:val="00D55BB2"/>
    <w:rsid w:val="00D56128"/>
    <w:rsid w:val="00D56845"/>
    <w:rsid w:val="00D6091A"/>
    <w:rsid w:val="00D60D08"/>
    <w:rsid w:val="00D6127A"/>
    <w:rsid w:val="00D629A3"/>
    <w:rsid w:val="00D64115"/>
    <w:rsid w:val="00D65D71"/>
    <w:rsid w:val="00D6605A"/>
    <w:rsid w:val="00D66543"/>
    <w:rsid w:val="00D6695F"/>
    <w:rsid w:val="00D66F12"/>
    <w:rsid w:val="00D70A3F"/>
    <w:rsid w:val="00D73FFE"/>
    <w:rsid w:val="00D74A6D"/>
    <w:rsid w:val="00D74B0C"/>
    <w:rsid w:val="00D74F98"/>
    <w:rsid w:val="00D75644"/>
    <w:rsid w:val="00D75CA4"/>
    <w:rsid w:val="00D7685B"/>
    <w:rsid w:val="00D76AC2"/>
    <w:rsid w:val="00D77309"/>
    <w:rsid w:val="00D809C3"/>
    <w:rsid w:val="00D8100A"/>
    <w:rsid w:val="00D81656"/>
    <w:rsid w:val="00D81F1B"/>
    <w:rsid w:val="00D83D87"/>
    <w:rsid w:val="00D84A6D"/>
    <w:rsid w:val="00D84F8A"/>
    <w:rsid w:val="00D853CD"/>
    <w:rsid w:val="00D86A30"/>
    <w:rsid w:val="00D86D1F"/>
    <w:rsid w:val="00D91B22"/>
    <w:rsid w:val="00D92C87"/>
    <w:rsid w:val="00D955BD"/>
    <w:rsid w:val="00D96087"/>
    <w:rsid w:val="00D96428"/>
    <w:rsid w:val="00D973C6"/>
    <w:rsid w:val="00D97CB4"/>
    <w:rsid w:val="00D97DD4"/>
    <w:rsid w:val="00DA0782"/>
    <w:rsid w:val="00DA0FCA"/>
    <w:rsid w:val="00DA200F"/>
    <w:rsid w:val="00DA5A08"/>
    <w:rsid w:val="00DA5A8A"/>
    <w:rsid w:val="00DA6739"/>
    <w:rsid w:val="00DB0B8F"/>
    <w:rsid w:val="00DB1170"/>
    <w:rsid w:val="00DB1750"/>
    <w:rsid w:val="00DB19B8"/>
    <w:rsid w:val="00DB26CD"/>
    <w:rsid w:val="00DB2860"/>
    <w:rsid w:val="00DB441C"/>
    <w:rsid w:val="00DB44AF"/>
    <w:rsid w:val="00DB46FF"/>
    <w:rsid w:val="00DB6631"/>
    <w:rsid w:val="00DC0FB3"/>
    <w:rsid w:val="00DC1F58"/>
    <w:rsid w:val="00DC28AB"/>
    <w:rsid w:val="00DC339B"/>
    <w:rsid w:val="00DC5A79"/>
    <w:rsid w:val="00DC5D40"/>
    <w:rsid w:val="00DC606B"/>
    <w:rsid w:val="00DC69A7"/>
    <w:rsid w:val="00DC7110"/>
    <w:rsid w:val="00DC7A8E"/>
    <w:rsid w:val="00DD30E9"/>
    <w:rsid w:val="00DD4B4E"/>
    <w:rsid w:val="00DD4F47"/>
    <w:rsid w:val="00DD5720"/>
    <w:rsid w:val="00DD5FFA"/>
    <w:rsid w:val="00DD6340"/>
    <w:rsid w:val="00DD7FBB"/>
    <w:rsid w:val="00DE0ACB"/>
    <w:rsid w:val="00DE0B9F"/>
    <w:rsid w:val="00DE2A9E"/>
    <w:rsid w:val="00DE3E91"/>
    <w:rsid w:val="00DE4238"/>
    <w:rsid w:val="00DE47BC"/>
    <w:rsid w:val="00DE657F"/>
    <w:rsid w:val="00DE7A20"/>
    <w:rsid w:val="00DE7CCA"/>
    <w:rsid w:val="00DF1218"/>
    <w:rsid w:val="00DF2AAA"/>
    <w:rsid w:val="00DF6462"/>
    <w:rsid w:val="00DF6C2B"/>
    <w:rsid w:val="00E02FA0"/>
    <w:rsid w:val="00E03669"/>
    <w:rsid w:val="00E036DC"/>
    <w:rsid w:val="00E042FA"/>
    <w:rsid w:val="00E04B5E"/>
    <w:rsid w:val="00E06A7E"/>
    <w:rsid w:val="00E077F5"/>
    <w:rsid w:val="00E10454"/>
    <w:rsid w:val="00E112E5"/>
    <w:rsid w:val="00E116BB"/>
    <w:rsid w:val="00E11887"/>
    <w:rsid w:val="00E122D8"/>
    <w:rsid w:val="00E12796"/>
    <w:rsid w:val="00E12CC8"/>
    <w:rsid w:val="00E13416"/>
    <w:rsid w:val="00E15352"/>
    <w:rsid w:val="00E15937"/>
    <w:rsid w:val="00E162AE"/>
    <w:rsid w:val="00E16B38"/>
    <w:rsid w:val="00E16E6A"/>
    <w:rsid w:val="00E16E8E"/>
    <w:rsid w:val="00E2178C"/>
    <w:rsid w:val="00E21CC7"/>
    <w:rsid w:val="00E244C9"/>
    <w:rsid w:val="00E24D9E"/>
    <w:rsid w:val="00E254A1"/>
    <w:rsid w:val="00E25849"/>
    <w:rsid w:val="00E262D1"/>
    <w:rsid w:val="00E3197E"/>
    <w:rsid w:val="00E342F8"/>
    <w:rsid w:val="00E351CD"/>
    <w:rsid w:val="00E351ED"/>
    <w:rsid w:val="00E37901"/>
    <w:rsid w:val="00E42F09"/>
    <w:rsid w:val="00E431A1"/>
    <w:rsid w:val="00E44011"/>
    <w:rsid w:val="00E452DA"/>
    <w:rsid w:val="00E512A7"/>
    <w:rsid w:val="00E51A88"/>
    <w:rsid w:val="00E535A0"/>
    <w:rsid w:val="00E54B7E"/>
    <w:rsid w:val="00E54C0D"/>
    <w:rsid w:val="00E6034B"/>
    <w:rsid w:val="00E6549E"/>
    <w:rsid w:val="00E65BF3"/>
    <w:rsid w:val="00E65EDE"/>
    <w:rsid w:val="00E67CDA"/>
    <w:rsid w:val="00E70F81"/>
    <w:rsid w:val="00E710B2"/>
    <w:rsid w:val="00E7180B"/>
    <w:rsid w:val="00E75433"/>
    <w:rsid w:val="00E77055"/>
    <w:rsid w:val="00E77460"/>
    <w:rsid w:val="00E80F6A"/>
    <w:rsid w:val="00E829C8"/>
    <w:rsid w:val="00E83ABC"/>
    <w:rsid w:val="00E83EA7"/>
    <w:rsid w:val="00E844F2"/>
    <w:rsid w:val="00E90AD0"/>
    <w:rsid w:val="00E92FCB"/>
    <w:rsid w:val="00E94A2D"/>
    <w:rsid w:val="00E953DB"/>
    <w:rsid w:val="00E9661F"/>
    <w:rsid w:val="00E96D59"/>
    <w:rsid w:val="00E97230"/>
    <w:rsid w:val="00EA147F"/>
    <w:rsid w:val="00EA218F"/>
    <w:rsid w:val="00EA243E"/>
    <w:rsid w:val="00EA4A27"/>
    <w:rsid w:val="00EA4FA6"/>
    <w:rsid w:val="00EA610D"/>
    <w:rsid w:val="00EB1735"/>
    <w:rsid w:val="00EB1A25"/>
    <w:rsid w:val="00EB2253"/>
    <w:rsid w:val="00EB47C2"/>
    <w:rsid w:val="00EB6C34"/>
    <w:rsid w:val="00EC3DAE"/>
    <w:rsid w:val="00EC7363"/>
    <w:rsid w:val="00ED03AB"/>
    <w:rsid w:val="00ED0E7C"/>
    <w:rsid w:val="00ED10E0"/>
    <w:rsid w:val="00ED1963"/>
    <w:rsid w:val="00ED1CD4"/>
    <w:rsid w:val="00ED1D2B"/>
    <w:rsid w:val="00ED3482"/>
    <w:rsid w:val="00ED3C39"/>
    <w:rsid w:val="00ED463B"/>
    <w:rsid w:val="00ED5A45"/>
    <w:rsid w:val="00ED64B5"/>
    <w:rsid w:val="00EE04D4"/>
    <w:rsid w:val="00EE11D1"/>
    <w:rsid w:val="00EE2692"/>
    <w:rsid w:val="00EE299E"/>
    <w:rsid w:val="00EE2A12"/>
    <w:rsid w:val="00EE2DC4"/>
    <w:rsid w:val="00EE5C15"/>
    <w:rsid w:val="00EE5D6A"/>
    <w:rsid w:val="00EE7CCA"/>
    <w:rsid w:val="00EF021A"/>
    <w:rsid w:val="00EF0363"/>
    <w:rsid w:val="00EF3863"/>
    <w:rsid w:val="00EF39B5"/>
    <w:rsid w:val="00EF4378"/>
    <w:rsid w:val="00EF47A9"/>
    <w:rsid w:val="00EF6C8E"/>
    <w:rsid w:val="00EF6D9C"/>
    <w:rsid w:val="00F03520"/>
    <w:rsid w:val="00F04F7D"/>
    <w:rsid w:val="00F05C2A"/>
    <w:rsid w:val="00F05E54"/>
    <w:rsid w:val="00F111A8"/>
    <w:rsid w:val="00F11694"/>
    <w:rsid w:val="00F11F54"/>
    <w:rsid w:val="00F12C20"/>
    <w:rsid w:val="00F146AB"/>
    <w:rsid w:val="00F15D21"/>
    <w:rsid w:val="00F16A14"/>
    <w:rsid w:val="00F17855"/>
    <w:rsid w:val="00F20245"/>
    <w:rsid w:val="00F2093A"/>
    <w:rsid w:val="00F217EC"/>
    <w:rsid w:val="00F21E63"/>
    <w:rsid w:val="00F21EFC"/>
    <w:rsid w:val="00F26C24"/>
    <w:rsid w:val="00F303DE"/>
    <w:rsid w:val="00F311F8"/>
    <w:rsid w:val="00F318B6"/>
    <w:rsid w:val="00F3230A"/>
    <w:rsid w:val="00F33AFB"/>
    <w:rsid w:val="00F35A35"/>
    <w:rsid w:val="00F35BF1"/>
    <w:rsid w:val="00F362D7"/>
    <w:rsid w:val="00F37D7B"/>
    <w:rsid w:val="00F42C28"/>
    <w:rsid w:val="00F44E8F"/>
    <w:rsid w:val="00F472BA"/>
    <w:rsid w:val="00F5272A"/>
    <w:rsid w:val="00F5314C"/>
    <w:rsid w:val="00F558B7"/>
    <w:rsid w:val="00F56749"/>
    <w:rsid w:val="00F5688C"/>
    <w:rsid w:val="00F56D15"/>
    <w:rsid w:val="00F57401"/>
    <w:rsid w:val="00F60048"/>
    <w:rsid w:val="00F608DB"/>
    <w:rsid w:val="00F635DD"/>
    <w:rsid w:val="00F63EB2"/>
    <w:rsid w:val="00F64E15"/>
    <w:rsid w:val="00F6627B"/>
    <w:rsid w:val="00F70B75"/>
    <w:rsid w:val="00F723BF"/>
    <w:rsid w:val="00F7304A"/>
    <w:rsid w:val="00F7336E"/>
    <w:rsid w:val="00F734F2"/>
    <w:rsid w:val="00F741EE"/>
    <w:rsid w:val="00F74F81"/>
    <w:rsid w:val="00F75052"/>
    <w:rsid w:val="00F76FA2"/>
    <w:rsid w:val="00F804D3"/>
    <w:rsid w:val="00F816CB"/>
    <w:rsid w:val="00F81CD2"/>
    <w:rsid w:val="00F82641"/>
    <w:rsid w:val="00F83D05"/>
    <w:rsid w:val="00F83FB2"/>
    <w:rsid w:val="00F86F13"/>
    <w:rsid w:val="00F878E2"/>
    <w:rsid w:val="00F9011F"/>
    <w:rsid w:val="00F90C12"/>
    <w:rsid w:val="00F90F18"/>
    <w:rsid w:val="00F911A4"/>
    <w:rsid w:val="00F91D53"/>
    <w:rsid w:val="00F9275C"/>
    <w:rsid w:val="00F928B3"/>
    <w:rsid w:val="00F937E4"/>
    <w:rsid w:val="00F93F7A"/>
    <w:rsid w:val="00F9560F"/>
    <w:rsid w:val="00F95EE7"/>
    <w:rsid w:val="00F970CA"/>
    <w:rsid w:val="00F970E8"/>
    <w:rsid w:val="00F971E8"/>
    <w:rsid w:val="00FA06E6"/>
    <w:rsid w:val="00FA1523"/>
    <w:rsid w:val="00FA39E6"/>
    <w:rsid w:val="00FA5B22"/>
    <w:rsid w:val="00FA7BC9"/>
    <w:rsid w:val="00FA7BDE"/>
    <w:rsid w:val="00FB04B7"/>
    <w:rsid w:val="00FB085B"/>
    <w:rsid w:val="00FB0C64"/>
    <w:rsid w:val="00FB2A5C"/>
    <w:rsid w:val="00FB378E"/>
    <w:rsid w:val="00FB37F1"/>
    <w:rsid w:val="00FB3EC5"/>
    <w:rsid w:val="00FB47C0"/>
    <w:rsid w:val="00FB4901"/>
    <w:rsid w:val="00FB4D8B"/>
    <w:rsid w:val="00FB501B"/>
    <w:rsid w:val="00FB74F6"/>
    <w:rsid w:val="00FB7770"/>
    <w:rsid w:val="00FC2333"/>
    <w:rsid w:val="00FC28DF"/>
    <w:rsid w:val="00FC3463"/>
    <w:rsid w:val="00FC41D2"/>
    <w:rsid w:val="00FC4BEC"/>
    <w:rsid w:val="00FC5DAF"/>
    <w:rsid w:val="00FC5E67"/>
    <w:rsid w:val="00FC75D1"/>
    <w:rsid w:val="00FC7C22"/>
    <w:rsid w:val="00FD02B8"/>
    <w:rsid w:val="00FD1727"/>
    <w:rsid w:val="00FD3B91"/>
    <w:rsid w:val="00FD427C"/>
    <w:rsid w:val="00FD4E27"/>
    <w:rsid w:val="00FD54EA"/>
    <w:rsid w:val="00FD576B"/>
    <w:rsid w:val="00FD579E"/>
    <w:rsid w:val="00FD6091"/>
    <w:rsid w:val="00FD6845"/>
    <w:rsid w:val="00FD758E"/>
    <w:rsid w:val="00FE21B8"/>
    <w:rsid w:val="00FE2B92"/>
    <w:rsid w:val="00FE385F"/>
    <w:rsid w:val="00FE4516"/>
    <w:rsid w:val="00FE458E"/>
    <w:rsid w:val="00FE4B85"/>
    <w:rsid w:val="00FE5913"/>
    <w:rsid w:val="00FE5CEF"/>
    <w:rsid w:val="00FE64C8"/>
    <w:rsid w:val="00FE64EA"/>
    <w:rsid w:val="00FE762F"/>
    <w:rsid w:val="00FF573E"/>
    <w:rsid w:val="00FF75C3"/>
    <w:rsid w:val="00FF7B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F7CF3AF-2616-4258-AEB8-D6FDF602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6"/>
      </w:numPr>
      <w:outlineLvl w:val="0"/>
    </w:pPr>
    <w:rPr>
      <w:rFonts w:hAnsi="Arial"/>
      <w:bCs/>
      <w:kern w:val="32"/>
      <w:szCs w:val="52"/>
    </w:rPr>
  </w:style>
  <w:style w:type="paragraph" w:styleId="2">
    <w:name w:val="heading 2"/>
    <w:aliases w:val="一."/>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1."/>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qFormat/>
    <w:rsid w:val="00F90C12"/>
    <w:pPr>
      <w:tabs>
        <w:tab w:val="right" w:leader="hyphen" w:pos="8834"/>
      </w:tabs>
      <w:kinsoku w:val="0"/>
      <w:ind w:left="1361" w:rightChars="100" w:right="340" w:hangingChars="400" w:hanging="1361"/>
      <w:jc w:val="center"/>
    </w:pPr>
    <w:rPr>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customStyle="1" w:styleId="Default">
    <w:name w:val="Default"/>
    <w:rsid w:val="00EE2DC4"/>
    <w:pPr>
      <w:widowControl w:val="0"/>
      <w:autoSpaceDE w:val="0"/>
      <w:autoSpaceDN w:val="0"/>
      <w:adjustRightInd w:val="0"/>
    </w:pPr>
    <w:rPr>
      <w:rFonts w:ascii="標楷體" w:eastAsia="標楷體" w:cs="標楷體"/>
      <w:color w:val="000000"/>
      <w:sz w:val="24"/>
      <w:szCs w:val="24"/>
    </w:rPr>
  </w:style>
  <w:style w:type="paragraph" w:styleId="afa">
    <w:name w:val="footnote text"/>
    <w:basedOn w:val="a6"/>
    <w:link w:val="afb"/>
    <w:uiPriority w:val="99"/>
    <w:semiHidden/>
    <w:unhideWhenUsed/>
    <w:rsid w:val="00F3230A"/>
    <w:pPr>
      <w:snapToGrid w:val="0"/>
      <w:jc w:val="left"/>
    </w:pPr>
    <w:rPr>
      <w:sz w:val="20"/>
    </w:rPr>
  </w:style>
  <w:style w:type="character" w:customStyle="1" w:styleId="afb">
    <w:name w:val="註腳文字 字元"/>
    <w:basedOn w:val="a7"/>
    <w:link w:val="afa"/>
    <w:uiPriority w:val="99"/>
    <w:semiHidden/>
    <w:rsid w:val="00F3230A"/>
    <w:rPr>
      <w:rFonts w:ascii="標楷體" w:eastAsia="標楷體"/>
      <w:kern w:val="2"/>
    </w:rPr>
  </w:style>
  <w:style w:type="character" w:styleId="afc">
    <w:name w:val="footnote reference"/>
    <w:basedOn w:val="a7"/>
    <w:uiPriority w:val="99"/>
    <w:semiHidden/>
    <w:unhideWhenUsed/>
    <w:rsid w:val="00F3230A"/>
    <w:rPr>
      <w:vertAlign w:val="superscript"/>
    </w:rPr>
  </w:style>
  <w:style w:type="character" w:styleId="afd">
    <w:name w:val="Emphasis"/>
    <w:basedOn w:val="a7"/>
    <w:uiPriority w:val="20"/>
    <w:qFormat/>
    <w:rsid w:val="007F2958"/>
    <w:rPr>
      <w:b w:val="0"/>
      <w:bCs w:val="0"/>
      <w:i w:val="0"/>
      <w:iCs w:val="0"/>
      <w:color w:val="DD4B39"/>
    </w:rPr>
  </w:style>
  <w:style w:type="character" w:customStyle="1" w:styleId="st1">
    <w:name w:val="st1"/>
    <w:basedOn w:val="a7"/>
    <w:rsid w:val="007F2958"/>
  </w:style>
  <w:style w:type="character" w:customStyle="1" w:styleId="40">
    <w:name w:val="標題 4 字元"/>
    <w:aliases w:val="1. 字元"/>
    <w:basedOn w:val="a7"/>
    <w:link w:val="4"/>
    <w:rsid w:val="00CD6343"/>
    <w:rPr>
      <w:rFonts w:ascii="標楷體" w:eastAsia="標楷體" w:hAnsi="Arial"/>
      <w:kern w:val="32"/>
      <w:sz w:val="32"/>
      <w:szCs w:val="36"/>
    </w:rPr>
  </w:style>
  <w:style w:type="character" w:customStyle="1" w:styleId="50">
    <w:name w:val="標題 5 字元"/>
    <w:basedOn w:val="a7"/>
    <w:link w:val="5"/>
    <w:rsid w:val="000F7B14"/>
    <w:rPr>
      <w:rFonts w:ascii="標楷體" w:eastAsia="標楷體" w:hAnsi="Arial"/>
      <w:bCs/>
      <w:kern w:val="32"/>
      <w:sz w:val="32"/>
      <w:szCs w:val="36"/>
    </w:rPr>
  </w:style>
  <w:style w:type="character" w:styleId="afe">
    <w:name w:val="Placeholder Text"/>
    <w:basedOn w:val="a7"/>
    <w:uiPriority w:val="99"/>
    <w:semiHidden/>
    <w:rsid w:val="00294D14"/>
    <w:rPr>
      <w:color w:val="808080"/>
    </w:rPr>
  </w:style>
  <w:style w:type="paragraph" w:styleId="HTML">
    <w:name w:val="HTML Preformatted"/>
    <w:basedOn w:val="a6"/>
    <w:link w:val="HTML0"/>
    <w:uiPriority w:val="99"/>
    <w:unhideWhenUsed/>
    <w:rsid w:val="008F07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8F079D"/>
    <w:rPr>
      <w:rFonts w:ascii="細明體" w:eastAsia="細明體" w:hAnsi="細明體" w:cs="細明體"/>
      <w:sz w:val="24"/>
      <w:szCs w:val="24"/>
    </w:rPr>
  </w:style>
  <w:style w:type="character" w:customStyle="1" w:styleId="30">
    <w:name w:val="標題 3 字元"/>
    <w:aliases w:val="(一) 字元"/>
    <w:basedOn w:val="a7"/>
    <w:link w:val="3"/>
    <w:rsid w:val="00284416"/>
    <w:rPr>
      <w:rFonts w:ascii="標楷體" w:eastAsia="標楷體" w:hAnsi="Arial"/>
      <w:bCs/>
      <w:kern w:val="32"/>
      <w:sz w:val="32"/>
      <w:szCs w:val="36"/>
    </w:rPr>
  </w:style>
  <w:style w:type="character" w:customStyle="1" w:styleId="60">
    <w:name w:val="標題 6 字元"/>
    <w:basedOn w:val="a7"/>
    <w:link w:val="6"/>
    <w:rsid w:val="00284416"/>
    <w:rPr>
      <w:rFonts w:ascii="標楷體" w:eastAsia="標楷體" w:hAnsi="Arial"/>
      <w:kern w:val="32"/>
      <w:sz w:val="32"/>
      <w:szCs w:val="36"/>
    </w:rPr>
  </w:style>
  <w:style w:type="character" w:customStyle="1" w:styleId="70">
    <w:name w:val="標題 7 字元"/>
    <w:basedOn w:val="a7"/>
    <w:link w:val="7"/>
    <w:rsid w:val="00284416"/>
    <w:rPr>
      <w:rFonts w:ascii="標楷體" w:eastAsia="標楷體" w:hAnsi="Arial"/>
      <w:bCs/>
      <w:kern w:val="32"/>
      <w:sz w:val="32"/>
      <w:szCs w:val="36"/>
    </w:rPr>
  </w:style>
  <w:style w:type="character" w:customStyle="1" w:styleId="80">
    <w:name w:val="標題 8 字元"/>
    <w:basedOn w:val="a7"/>
    <w:link w:val="8"/>
    <w:rsid w:val="00284416"/>
    <w:rPr>
      <w:rFonts w:ascii="標楷體" w:eastAsia="標楷體" w:hAnsi="Arial"/>
      <w:kern w:val="32"/>
      <w:sz w:val="32"/>
      <w:szCs w:val="36"/>
    </w:rPr>
  </w:style>
  <w:style w:type="character" w:customStyle="1" w:styleId="20">
    <w:name w:val="標題 2 字元"/>
    <w:aliases w:val="一. 字元"/>
    <w:basedOn w:val="a7"/>
    <w:link w:val="2"/>
    <w:rsid w:val="00441F49"/>
    <w:rPr>
      <w:rFonts w:ascii="標楷體" w:eastAsia="標楷體" w:hAnsi="Arial"/>
      <w:bCs/>
      <w:kern w:val="32"/>
      <w:sz w:val="32"/>
      <w:szCs w:val="48"/>
    </w:rPr>
  </w:style>
  <w:style w:type="paragraph" w:styleId="aff">
    <w:name w:val="Plain Text"/>
    <w:basedOn w:val="a6"/>
    <w:link w:val="aff0"/>
    <w:uiPriority w:val="99"/>
    <w:unhideWhenUsed/>
    <w:rsid w:val="00671DE9"/>
    <w:pPr>
      <w:overflowPunct/>
      <w:autoSpaceDE/>
      <w:autoSpaceDN/>
      <w:jc w:val="left"/>
    </w:pPr>
    <w:rPr>
      <w:rFonts w:ascii="Calibri" w:eastAsia="新細明體" w:hAnsi="Courier New" w:cs="Courier New"/>
      <w:sz w:val="24"/>
      <w:szCs w:val="24"/>
    </w:rPr>
  </w:style>
  <w:style w:type="character" w:customStyle="1" w:styleId="aff0">
    <w:name w:val="純文字 字元"/>
    <w:basedOn w:val="a7"/>
    <w:link w:val="aff"/>
    <w:uiPriority w:val="99"/>
    <w:rsid w:val="00671DE9"/>
    <w:rPr>
      <w:rFonts w:ascii="Calibri" w:hAnsi="Courier New" w:cs="Courier New"/>
      <w:kern w:val="2"/>
      <w:sz w:val="24"/>
      <w:szCs w:val="24"/>
    </w:rPr>
  </w:style>
  <w:style w:type="paragraph" w:styleId="aff1">
    <w:name w:val="TOC Heading"/>
    <w:basedOn w:val="1"/>
    <w:next w:val="a6"/>
    <w:uiPriority w:val="39"/>
    <w:unhideWhenUsed/>
    <w:qFormat/>
    <w:rsid w:val="005C0291"/>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b.lawbank.com.tw/FLAW/FLAWDAT01.aspx?lsid=FL03864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b.lawbank.com.tw/FLAW/FLAWDAT01.aspx?lsid=FL038642"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db.lawbank.com.tw/FLAW/FLAWDOC01.aspx?lsid=FL025613&amp;lno=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b.lawbank.com.tw/FLAW/FLAWDOC01.aspx?lsid=FL025613&amp;lno=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b.lawbank.com.tw/FLAW/FLAWDAT01.aspx?lsid=FL08095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b.lawbank.com.tw/FLAW/FLAWDAT01.aspx?lsid=FL0064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96507-1CB4-4C31-BCC6-ACE81041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15</TotalTime>
  <Pages>47</Pages>
  <Words>26707</Words>
  <Characters>2342</Characters>
  <Application>Microsoft Office Word</Application>
  <DocSecurity>0</DocSecurity>
  <Lines>19</Lines>
  <Paragraphs>57</Paragraphs>
  <ScaleCrop>false</ScaleCrop>
  <Company>cy</Company>
  <LinksUpToDate>false</LinksUpToDate>
  <CharactersWithSpaces>28992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廖春媛</cp:lastModifiedBy>
  <cp:revision>4</cp:revision>
  <cp:lastPrinted>2017-06-08T03:46:00Z</cp:lastPrinted>
  <dcterms:created xsi:type="dcterms:W3CDTF">2019-04-09T08:10:00Z</dcterms:created>
  <dcterms:modified xsi:type="dcterms:W3CDTF">2019-04-09T08:29:00Z</dcterms:modified>
</cp:coreProperties>
</file>