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Pr="00CA3AC6" w:rsidRDefault="00E25849" w:rsidP="004E05A1">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A3AC6">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r w:rsidR="001C0DA8" w:rsidRPr="00CA3AC6">
        <w:rPr>
          <w:rFonts w:hAnsi="標楷體"/>
          <w:color w:val="000000" w:themeColor="text1"/>
        </w:rPr>
        <w:fldChar w:fldCharType="begin"/>
      </w:r>
      <w:r w:rsidRPr="00CA3AC6">
        <w:rPr>
          <w:rFonts w:hAnsi="標楷體"/>
          <w:color w:val="000000" w:themeColor="text1"/>
        </w:rPr>
        <w:instrText xml:space="preserve"> MERGEFIELD </w:instrText>
      </w:r>
      <w:r w:rsidRPr="00CA3AC6">
        <w:rPr>
          <w:rFonts w:hAnsi="標楷體" w:hint="eastAsia"/>
          <w:color w:val="000000" w:themeColor="text1"/>
        </w:rPr>
        <w:instrText>案由</w:instrText>
      </w:r>
      <w:r w:rsidRPr="00CA3AC6">
        <w:rPr>
          <w:rFonts w:hAnsi="標楷體"/>
          <w:color w:val="000000" w:themeColor="text1"/>
        </w:rPr>
        <w:instrText xml:space="preserve"> </w:instrText>
      </w:r>
      <w:r w:rsidR="001C0DA8" w:rsidRPr="00CA3AC6">
        <w:rPr>
          <w:rFonts w:hAnsi="標楷體"/>
          <w:color w:val="000000" w:themeColor="text1"/>
        </w:rPr>
        <w:fldChar w:fldCharType="separate"/>
      </w:r>
      <w:bookmarkEnd w:id="11"/>
      <w:r w:rsidR="009C600A" w:rsidRPr="00CA3AC6">
        <w:rPr>
          <w:rFonts w:hAnsi="標楷體"/>
          <w:noProof/>
          <w:color w:val="000000" w:themeColor="text1"/>
        </w:rPr>
        <w:t>悠遊卡股份有限公司係由臺北市政府及臺北大眾捷運股份有限公司轉投資成立，負責大眾運輸票證系統建置與營運，具有社會公益性質，惟該公司於104年8月底發行波</w:t>
      </w:r>
      <w:r w:rsidR="00E548EB">
        <w:rPr>
          <w:rFonts w:hAnsi="標楷體"/>
          <w:noProof/>
          <w:color w:val="000000" w:themeColor="text1"/>
        </w:rPr>
        <w:t>多野結衣公益悠遊卡</w:t>
      </w:r>
      <w:r w:rsidR="009C600A" w:rsidRPr="00CA3AC6">
        <w:rPr>
          <w:rFonts w:hAnsi="標楷體"/>
          <w:noProof/>
          <w:color w:val="000000" w:themeColor="text1"/>
        </w:rPr>
        <w:t>，引發社會爭議，除凸顯該公司行銷方式忽略社會責任以外，亦衍生臺北市政府對於該公司等轉投資事業是否善盡監督管理職責，其董事、經理人薪酬規範應否檢討，及政府出資之成本利益分配是否公平合理等疑義，均有進一步探究之必要案。</w:t>
      </w:r>
      <w:bookmarkEnd w:id="10"/>
      <w:r w:rsidR="001C0DA8" w:rsidRPr="00CA3AC6">
        <w:rPr>
          <w:rFonts w:hAnsi="標楷體"/>
          <w:color w:val="000000" w:themeColor="text1"/>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D6499E" w:rsidRDefault="00D6499E" w:rsidP="00D6499E">
      <w:pPr>
        <w:pStyle w:val="1"/>
        <w:numPr>
          <w:ilvl w:val="0"/>
          <w:numId w:val="0"/>
        </w:numPr>
        <w:ind w:left="2380"/>
        <w:jc w:val="left"/>
        <w:rPr>
          <w:rFonts w:hAnsi="標楷體"/>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p>
    <w:p w:rsidR="00D6499E" w:rsidRDefault="00D6499E" w:rsidP="00D6499E">
      <w:pPr>
        <w:pStyle w:val="1"/>
        <w:numPr>
          <w:ilvl w:val="0"/>
          <w:numId w:val="0"/>
        </w:numPr>
        <w:ind w:left="2380"/>
        <w:jc w:val="left"/>
        <w:rPr>
          <w:rFonts w:hAnsi="標楷體"/>
          <w:color w:val="000000" w:themeColor="text1"/>
        </w:rPr>
      </w:pPr>
    </w:p>
    <w:p w:rsidR="00D6499E" w:rsidRDefault="00D6499E" w:rsidP="00D6499E">
      <w:pPr>
        <w:pStyle w:val="1"/>
        <w:numPr>
          <w:ilvl w:val="0"/>
          <w:numId w:val="0"/>
        </w:numPr>
        <w:ind w:left="2380"/>
        <w:jc w:val="left"/>
        <w:rPr>
          <w:rFonts w:hAnsi="標楷體"/>
          <w:color w:val="000000" w:themeColor="text1"/>
        </w:rPr>
      </w:pPr>
    </w:p>
    <w:p w:rsidR="00D6499E" w:rsidRDefault="00D6499E" w:rsidP="00D6499E">
      <w:pPr>
        <w:pStyle w:val="1"/>
        <w:numPr>
          <w:ilvl w:val="0"/>
          <w:numId w:val="0"/>
        </w:numPr>
        <w:ind w:left="2380"/>
        <w:jc w:val="left"/>
        <w:rPr>
          <w:rFonts w:hAnsi="標楷體"/>
          <w:color w:val="000000" w:themeColor="text1"/>
        </w:rPr>
      </w:pPr>
    </w:p>
    <w:p w:rsidR="00D6499E" w:rsidRDefault="00D6499E" w:rsidP="00D6499E">
      <w:pPr>
        <w:pStyle w:val="1"/>
        <w:numPr>
          <w:ilvl w:val="0"/>
          <w:numId w:val="0"/>
        </w:numPr>
        <w:ind w:left="2380"/>
        <w:jc w:val="left"/>
        <w:rPr>
          <w:rFonts w:hAnsi="標楷體"/>
          <w:color w:val="000000" w:themeColor="text1"/>
        </w:rPr>
      </w:pPr>
    </w:p>
    <w:p w:rsidR="00D6499E" w:rsidRDefault="00D6499E" w:rsidP="00D6499E">
      <w:pPr>
        <w:pStyle w:val="1"/>
        <w:numPr>
          <w:ilvl w:val="0"/>
          <w:numId w:val="0"/>
        </w:numPr>
        <w:ind w:left="2380"/>
        <w:jc w:val="left"/>
        <w:rPr>
          <w:rFonts w:hAnsi="標楷體"/>
          <w:color w:val="000000" w:themeColor="text1"/>
        </w:rPr>
      </w:pPr>
    </w:p>
    <w:p w:rsidR="00D6499E" w:rsidRDefault="00D6499E" w:rsidP="00D6499E">
      <w:pPr>
        <w:pStyle w:val="1"/>
        <w:numPr>
          <w:ilvl w:val="0"/>
          <w:numId w:val="0"/>
        </w:numPr>
        <w:ind w:left="2380"/>
        <w:jc w:val="left"/>
        <w:rPr>
          <w:rFonts w:hAnsi="標楷體"/>
          <w:color w:val="000000" w:themeColor="text1"/>
        </w:rPr>
      </w:pPr>
    </w:p>
    <w:p w:rsidR="00D6499E" w:rsidRDefault="00D6499E" w:rsidP="00D6499E">
      <w:pPr>
        <w:pStyle w:val="1"/>
        <w:numPr>
          <w:ilvl w:val="0"/>
          <w:numId w:val="0"/>
        </w:numPr>
        <w:ind w:left="2380"/>
        <w:jc w:val="left"/>
        <w:rPr>
          <w:rFonts w:hAnsi="標楷體"/>
          <w:color w:val="000000" w:themeColor="text1"/>
        </w:rPr>
      </w:pPr>
    </w:p>
    <w:p w:rsidR="00D6499E" w:rsidRDefault="00D6499E" w:rsidP="00D6499E">
      <w:pPr>
        <w:pStyle w:val="1"/>
        <w:numPr>
          <w:ilvl w:val="0"/>
          <w:numId w:val="0"/>
        </w:numPr>
        <w:ind w:left="2380"/>
        <w:jc w:val="left"/>
        <w:rPr>
          <w:rFonts w:hAnsi="標楷體"/>
          <w:color w:val="000000" w:themeColor="text1"/>
        </w:rPr>
      </w:pPr>
    </w:p>
    <w:p w:rsidR="00D6499E" w:rsidRDefault="00D6499E" w:rsidP="00D6499E">
      <w:pPr>
        <w:pStyle w:val="1"/>
        <w:numPr>
          <w:ilvl w:val="0"/>
          <w:numId w:val="0"/>
        </w:numPr>
        <w:ind w:left="2380"/>
        <w:jc w:val="left"/>
        <w:rPr>
          <w:rFonts w:hAnsi="標楷體"/>
          <w:color w:val="000000" w:themeColor="text1"/>
        </w:rPr>
      </w:pPr>
    </w:p>
    <w:p w:rsidR="00D6499E" w:rsidRDefault="00D6499E" w:rsidP="00D6499E">
      <w:pPr>
        <w:pStyle w:val="1"/>
        <w:numPr>
          <w:ilvl w:val="0"/>
          <w:numId w:val="0"/>
        </w:numPr>
        <w:ind w:left="2380"/>
        <w:jc w:val="left"/>
        <w:rPr>
          <w:rFonts w:hAnsi="標楷體"/>
          <w:color w:val="000000" w:themeColor="text1"/>
        </w:rPr>
      </w:pPr>
    </w:p>
    <w:p w:rsidR="00D6499E" w:rsidRDefault="00D6499E" w:rsidP="00D6499E">
      <w:pPr>
        <w:pStyle w:val="1"/>
        <w:numPr>
          <w:ilvl w:val="0"/>
          <w:numId w:val="0"/>
        </w:numPr>
        <w:ind w:left="2380"/>
        <w:jc w:val="left"/>
        <w:rPr>
          <w:rFonts w:hAnsi="標楷體"/>
          <w:color w:val="000000" w:themeColor="text1"/>
        </w:rPr>
      </w:pPr>
    </w:p>
    <w:p w:rsidR="00D6499E" w:rsidRDefault="00D6499E" w:rsidP="00D6499E">
      <w:pPr>
        <w:pStyle w:val="1"/>
        <w:numPr>
          <w:ilvl w:val="0"/>
          <w:numId w:val="0"/>
        </w:numPr>
        <w:ind w:left="2380"/>
        <w:jc w:val="left"/>
        <w:rPr>
          <w:rFonts w:hAnsi="標楷體"/>
          <w:color w:val="000000" w:themeColor="text1"/>
        </w:rPr>
      </w:pPr>
    </w:p>
    <w:p w:rsidR="00D6499E" w:rsidRDefault="00D6499E" w:rsidP="00D6499E">
      <w:pPr>
        <w:pStyle w:val="1"/>
        <w:numPr>
          <w:ilvl w:val="0"/>
          <w:numId w:val="0"/>
        </w:numPr>
        <w:ind w:left="2380"/>
        <w:jc w:val="left"/>
        <w:rPr>
          <w:rFonts w:hAnsi="標楷體"/>
          <w:color w:val="000000" w:themeColor="text1"/>
        </w:rPr>
      </w:pPr>
    </w:p>
    <w:p w:rsidR="00D6499E" w:rsidRDefault="00D6499E" w:rsidP="00D6499E">
      <w:pPr>
        <w:pStyle w:val="1"/>
        <w:numPr>
          <w:ilvl w:val="0"/>
          <w:numId w:val="0"/>
        </w:numPr>
        <w:ind w:left="2380"/>
        <w:jc w:val="left"/>
        <w:rPr>
          <w:rFonts w:hAnsi="標楷體"/>
          <w:color w:val="000000" w:themeColor="text1"/>
        </w:rPr>
      </w:pPr>
    </w:p>
    <w:p w:rsidR="00D6499E" w:rsidRDefault="00D6499E" w:rsidP="00D6499E">
      <w:pPr>
        <w:pStyle w:val="1"/>
        <w:numPr>
          <w:ilvl w:val="0"/>
          <w:numId w:val="0"/>
        </w:numPr>
        <w:ind w:left="2380"/>
        <w:jc w:val="left"/>
        <w:rPr>
          <w:rFonts w:hAnsi="標楷體"/>
          <w:color w:val="000000" w:themeColor="text1"/>
        </w:rPr>
      </w:pPr>
    </w:p>
    <w:p w:rsidR="00D6499E" w:rsidRDefault="00D6499E" w:rsidP="00D6499E">
      <w:pPr>
        <w:pStyle w:val="1"/>
        <w:numPr>
          <w:ilvl w:val="0"/>
          <w:numId w:val="0"/>
        </w:numPr>
        <w:ind w:left="2380"/>
        <w:jc w:val="left"/>
        <w:rPr>
          <w:rFonts w:hAnsi="標楷體"/>
          <w:color w:val="000000" w:themeColor="text1"/>
        </w:rPr>
      </w:pPr>
    </w:p>
    <w:p w:rsidR="00D6499E" w:rsidRDefault="00D6499E" w:rsidP="00D6499E">
      <w:pPr>
        <w:pStyle w:val="1"/>
        <w:numPr>
          <w:ilvl w:val="0"/>
          <w:numId w:val="0"/>
        </w:numPr>
        <w:ind w:left="2380"/>
        <w:jc w:val="left"/>
        <w:rPr>
          <w:rFonts w:hAnsi="標楷體"/>
          <w:color w:val="000000" w:themeColor="text1"/>
        </w:rPr>
      </w:pPr>
    </w:p>
    <w:p w:rsidR="00D6499E" w:rsidRDefault="00D6499E" w:rsidP="00D6499E">
      <w:pPr>
        <w:pStyle w:val="1"/>
        <w:numPr>
          <w:ilvl w:val="0"/>
          <w:numId w:val="0"/>
        </w:numPr>
        <w:ind w:left="2380"/>
        <w:jc w:val="left"/>
        <w:rPr>
          <w:rFonts w:hAnsi="標楷體"/>
          <w:color w:val="000000" w:themeColor="text1"/>
        </w:rPr>
      </w:pPr>
    </w:p>
    <w:p w:rsidR="00D6499E" w:rsidRPr="00CA3AC6" w:rsidRDefault="00D6499E" w:rsidP="00D6499E">
      <w:pPr>
        <w:pStyle w:val="1"/>
        <w:numPr>
          <w:ilvl w:val="0"/>
          <w:numId w:val="0"/>
        </w:numPr>
        <w:ind w:left="2380"/>
        <w:jc w:val="left"/>
        <w:rPr>
          <w:rFonts w:hAnsi="標楷體"/>
          <w:color w:val="000000" w:themeColor="text1"/>
        </w:rPr>
      </w:pPr>
    </w:p>
    <w:p w:rsidR="00E25849" w:rsidRPr="00CA3AC6" w:rsidRDefault="00E25849" w:rsidP="004E05A1">
      <w:pPr>
        <w:pStyle w:val="1"/>
        <w:ind w:left="2380" w:hanging="2380"/>
        <w:rPr>
          <w:rFonts w:hAnsi="標楷體"/>
          <w:color w:val="000000" w:themeColor="text1"/>
        </w:rPr>
      </w:pPr>
      <w:r w:rsidRPr="00CA3AC6">
        <w:rPr>
          <w:rFonts w:hAnsi="標楷體" w:hint="eastAsia"/>
          <w:color w:val="000000" w:themeColor="text1"/>
        </w:rPr>
        <w:lastRenderedPageBreak/>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3D0AE9" w:rsidRPr="00CA3AC6" w:rsidRDefault="009322EC" w:rsidP="007448CC">
      <w:pPr>
        <w:pStyle w:val="10"/>
        <w:ind w:left="680" w:firstLine="680"/>
        <w:rPr>
          <w:rFonts w:hAnsi="標楷體" w:cs="新細明體"/>
          <w:color w:val="000000" w:themeColor="text1"/>
          <w:kern w:val="0"/>
          <w:szCs w:val="32"/>
        </w:rPr>
      </w:pPr>
      <w:bookmarkStart w:id="49" w:name="_Toc524902730"/>
      <w:r w:rsidRPr="00CA3AC6">
        <w:rPr>
          <w:rFonts w:hAnsi="標楷體" w:cs="新細明體" w:hint="eastAsia"/>
          <w:color w:val="000000" w:themeColor="text1"/>
          <w:kern w:val="0"/>
          <w:szCs w:val="32"/>
        </w:rPr>
        <w:t>悠遊卡股份有限公司（下稱悠遊卡公司）係由</w:t>
      </w:r>
      <w:r w:rsidRPr="00CA3AC6">
        <w:rPr>
          <w:rFonts w:hAnsi="標楷體" w:hint="eastAsia"/>
          <w:color w:val="000000" w:themeColor="text1"/>
          <w:szCs w:val="32"/>
        </w:rPr>
        <w:t>臺北市政府及</w:t>
      </w:r>
      <w:proofErr w:type="gramStart"/>
      <w:r w:rsidRPr="00CA3AC6">
        <w:rPr>
          <w:rFonts w:hAnsi="標楷體" w:hint="eastAsia"/>
          <w:color w:val="000000" w:themeColor="text1"/>
          <w:szCs w:val="32"/>
        </w:rPr>
        <w:t>臺</w:t>
      </w:r>
      <w:proofErr w:type="gramEnd"/>
      <w:r w:rsidRPr="00CA3AC6">
        <w:rPr>
          <w:rFonts w:hAnsi="標楷體" w:hint="eastAsia"/>
          <w:color w:val="000000" w:themeColor="text1"/>
          <w:szCs w:val="32"/>
        </w:rPr>
        <w:t>北</w:t>
      </w:r>
      <w:r w:rsidRPr="00CA3AC6">
        <w:rPr>
          <w:rFonts w:hAnsi="標楷體" w:cs="新細明體" w:hint="eastAsia"/>
          <w:color w:val="000000" w:themeColor="text1"/>
          <w:kern w:val="0"/>
          <w:szCs w:val="32"/>
        </w:rPr>
        <w:t>大眾捷運股份有限公司（</w:t>
      </w:r>
      <w:r w:rsidRPr="00CA3AC6">
        <w:rPr>
          <w:rFonts w:hAnsi="標楷體" w:hint="eastAsia"/>
          <w:color w:val="000000" w:themeColor="text1"/>
          <w:szCs w:val="32"/>
        </w:rPr>
        <w:t>下稱</w:t>
      </w:r>
      <w:proofErr w:type="gramStart"/>
      <w:r w:rsidRPr="00CA3AC6">
        <w:rPr>
          <w:rFonts w:hAnsi="標楷體" w:hint="eastAsia"/>
          <w:color w:val="000000" w:themeColor="text1"/>
          <w:szCs w:val="32"/>
        </w:rPr>
        <w:t>臺</w:t>
      </w:r>
      <w:proofErr w:type="gramEnd"/>
      <w:r w:rsidRPr="00CA3AC6">
        <w:rPr>
          <w:rFonts w:hAnsi="標楷體" w:hint="eastAsia"/>
          <w:color w:val="000000" w:themeColor="text1"/>
          <w:szCs w:val="32"/>
        </w:rPr>
        <w:t>北</w:t>
      </w:r>
      <w:r w:rsidRPr="00CA3AC6">
        <w:rPr>
          <w:rFonts w:hAnsi="標楷體" w:cs="新細明體" w:hint="eastAsia"/>
          <w:color w:val="000000" w:themeColor="text1"/>
          <w:kern w:val="0"/>
          <w:szCs w:val="32"/>
        </w:rPr>
        <w:t>捷運公司）轉投資成立，</w:t>
      </w:r>
      <w:r w:rsidR="00A03722" w:rsidRPr="00CA3AC6">
        <w:rPr>
          <w:rFonts w:hAnsi="標楷體"/>
          <w:color w:val="000000" w:themeColor="text1"/>
          <w:szCs w:val="32"/>
        </w:rPr>
        <w:t>負責大眾運輸票證系統</w:t>
      </w:r>
      <w:r w:rsidR="00A03722" w:rsidRPr="00CA3AC6">
        <w:rPr>
          <w:rFonts w:hAnsi="標楷體" w:hint="eastAsia"/>
          <w:color w:val="000000" w:themeColor="text1"/>
          <w:szCs w:val="32"/>
        </w:rPr>
        <w:t>之</w:t>
      </w:r>
      <w:r w:rsidR="00A03722" w:rsidRPr="00CA3AC6">
        <w:rPr>
          <w:rFonts w:hAnsi="標楷體"/>
          <w:color w:val="000000" w:themeColor="text1"/>
          <w:szCs w:val="32"/>
        </w:rPr>
        <w:t>建置</w:t>
      </w:r>
      <w:r w:rsidR="00A03722" w:rsidRPr="00CA3AC6">
        <w:rPr>
          <w:rFonts w:hAnsi="標楷體" w:hint="eastAsia"/>
          <w:color w:val="000000" w:themeColor="text1"/>
          <w:szCs w:val="32"/>
        </w:rPr>
        <w:t>及</w:t>
      </w:r>
      <w:r w:rsidR="00A03722" w:rsidRPr="00CA3AC6">
        <w:rPr>
          <w:rFonts w:hAnsi="標楷體"/>
          <w:color w:val="000000" w:themeColor="text1"/>
          <w:szCs w:val="32"/>
        </w:rPr>
        <w:t>營運，具有社會公益性質，</w:t>
      </w:r>
      <w:proofErr w:type="gramStart"/>
      <w:r w:rsidR="007E7144" w:rsidRPr="00CA3AC6">
        <w:rPr>
          <w:rFonts w:hAnsi="標楷體" w:hint="eastAsia"/>
          <w:color w:val="000000" w:themeColor="text1"/>
          <w:szCs w:val="32"/>
        </w:rPr>
        <w:t>惟</w:t>
      </w:r>
      <w:r w:rsidR="007E7144" w:rsidRPr="00CA3AC6">
        <w:rPr>
          <w:rFonts w:hAnsi="標楷體" w:cs="新細明體" w:hint="eastAsia"/>
          <w:color w:val="000000" w:themeColor="text1"/>
          <w:kern w:val="0"/>
          <w:szCs w:val="32"/>
        </w:rPr>
        <w:t>悠遊</w:t>
      </w:r>
      <w:proofErr w:type="gramEnd"/>
      <w:r w:rsidR="007E7144" w:rsidRPr="00CA3AC6">
        <w:rPr>
          <w:rFonts w:hAnsi="標楷體" w:cs="新細明體" w:hint="eastAsia"/>
          <w:color w:val="000000" w:themeColor="text1"/>
          <w:kern w:val="0"/>
          <w:szCs w:val="32"/>
        </w:rPr>
        <w:t>卡公司</w:t>
      </w:r>
      <w:r w:rsidR="007E7144" w:rsidRPr="00CA3AC6">
        <w:rPr>
          <w:rFonts w:hAnsi="標楷體" w:hint="eastAsia"/>
          <w:color w:val="000000" w:themeColor="text1"/>
          <w:szCs w:val="32"/>
        </w:rPr>
        <w:t>於民國（下同）</w:t>
      </w:r>
      <w:r w:rsidR="007E7144" w:rsidRPr="00CA3AC6">
        <w:rPr>
          <w:rFonts w:hAnsi="標楷體"/>
          <w:color w:val="000000" w:themeColor="text1"/>
          <w:szCs w:val="32"/>
        </w:rPr>
        <w:t>104年8月底發行波</w:t>
      </w:r>
      <w:r w:rsidR="00E548EB">
        <w:rPr>
          <w:rFonts w:hAnsi="標楷體"/>
          <w:color w:val="000000" w:themeColor="text1"/>
          <w:szCs w:val="32"/>
        </w:rPr>
        <w:t>多</w:t>
      </w:r>
      <w:proofErr w:type="gramStart"/>
      <w:r w:rsidR="00E548EB">
        <w:rPr>
          <w:rFonts w:hAnsi="標楷體"/>
          <w:color w:val="000000" w:themeColor="text1"/>
          <w:szCs w:val="32"/>
        </w:rPr>
        <w:t>野結衣</w:t>
      </w:r>
      <w:proofErr w:type="gramEnd"/>
      <w:r w:rsidR="00E548EB">
        <w:rPr>
          <w:rFonts w:hAnsi="標楷體"/>
          <w:color w:val="000000" w:themeColor="text1"/>
          <w:szCs w:val="32"/>
        </w:rPr>
        <w:t>公益悠遊卡</w:t>
      </w:r>
      <w:r w:rsidR="007E7144" w:rsidRPr="00CA3AC6">
        <w:rPr>
          <w:rFonts w:hAnsi="標楷體"/>
          <w:color w:val="000000" w:themeColor="text1"/>
          <w:szCs w:val="32"/>
        </w:rPr>
        <w:t>，引發社會爭議，</w:t>
      </w:r>
      <w:proofErr w:type="gramStart"/>
      <w:r w:rsidR="007E7144" w:rsidRPr="00CA3AC6">
        <w:rPr>
          <w:rFonts w:hAnsi="標楷體"/>
          <w:color w:val="000000" w:themeColor="text1"/>
          <w:szCs w:val="32"/>
        </w:rPr>
        <w:t>凸</w:t>
      </w:r>
      <w:proofErr w:type="gramEnd"/>
      <w:r w:rsidR="007E7144" w:rsidRPr="00CA3AC6">
        <w:rPr>
          <w:rFonts w:hAnsi="標楷體"/>
          <w:color w:val="000000" w:themeColor="text1"/>
          <w:szCs w:val="32"/>
        </w:rPr>
        <w:t>顯該公司行銷方式忽略社會責任</w:t>
      </w:r>
      <w:r w:rsidR="007E7144" w:rsidRPr="00CA3AC6">
        <w:rPr>
          <w:rFonts w:hAnsi="標楷體" w:hint="eastAsia"/>
          <w:color w:val="000000" w:themeColor="text1"/>
          <w:szCs w:val="32"/>
        </w:rPr>
        <w:t>；另臺北市政府對於</w:t>
      </w:r>
      <w:r w:rsidR="007E7144" w:rsidRPr="00CA3AC6">
        <w:rPr>
          <w:rFonts w:hAnsi="標楷體" w:cs="新細明體" w:hint="eastAsia"/>
          <w:color w:val="000000" w:themeColor="text1"/>
          <w:kern w:val="0"/>
          <w:szCs w:val="32"/>
        </w:rPr>
        <w:t>轉投資事業悠遊卡公司</w:t>
      </w:r>
      <w:r w:rsidR="007E7144" w:rsidRPr="00CA3AC6">
        <w:rPr>
          <w:rFonts w:hAnsi="標楷體" w:hint="eastAsia"/>
          <w:color w:val="000000" w:themeColor="text1"/>
          <w:szCs w:val="32"/>
        </w:rPr>
        <w:t>是否善盡監督管理職責，</w:t>
      </w:r>
      <w:r w:rsidR="007E7144" w:rsidRPr="00CA3AC6">
        <w:rPr>
          <w:rFonts w:hAnsi="標楷體"/>
          <w:color w:val="000000" w:themeColor="text1"/>
          <w:szCs w:val="32"/>
        </w:rPr>
        <w:t>及政府出資之成本利益分配是否公平合理等，</w:t>
      </w:r>
      <w:proofErr w:type="gramStart"/>
      <w:r w:rsidR="007E7144" w:rsidRPr="00CA3AC6">
        <w:rPr>
          <w:rFonts w:hAnsi="標楷體"/>
          <w:color w:val="000000" w:themeColor="text1"/>
          <w:szCs w:val="32"/>
        </w:rPr>
        <w:t>均有進一步</w:t>
      </w:r>
      <w:proofErr w:type="gramEnd"/>
      <w:r w:rsidR="007E7144" w:rsidRPr="00CA3AC6">
        <w:rPr>
          <w:rFonts w:hAnsi="標楷體"/>
          <w:color w:val="000000" w:themeColor="text1"/>
          <w:szCs w:val="32"/>
        </w:rPr>
        <w:t>探究之必要</w:t>
      </w:r>
      <w:r w:rsidR="00112E87" w:rsidRPr="00CA3AC6">
        <w:rPr>
          <w:rFonts w:hAnsi="標楷體" w:hint="eastAsia"/>
          <w:color w:val="000000" w:themeColor="text1"/>
          <w:szCs w:val="32"/>
        </w:rPr>
        <w:t>。</w:t>
      </w:r>
      <w:r w:rsidR="007448CC" w:rsidRPr="00CA3AC6">
        <w:rPr>
          <w:rFonts w:hAnsi="標楷體" w:hint="eastAsia"/>
          <w:color w:val="000000" w:themeColor="text1"/>
          <w:szCs w:val="32"/>
        </w:rPr>
        <w:t>經調閱臺北市政府、外交部、行政院大陸委員會、交通部、金融監督管理委員會（下稱金管會）、經濟部、</w:t>
      </w:r>
      <w:r w:rsidR="007448CC" w:rsidRPr="00CA3AC6">
        <w:rPr>
          <w:rFonts w:hAnsi="標楷體" w:cs="新細明體" w:hint="eastAsia"/>
          <w:color w:val="000000" w:themeColor="text1"/>
          <w:kern w:val="0"/>
          <w:szCs w:val="32"/>
        </w:rPr>
        <w:t>悠遊卡公司</w:t>
      </w:r>
      <w:r w:rsidR="007448CC" w:rsidRPr="00CA3AC6">
        <w:rPr>
          <w:rFonts w:hAnsi="標楷體" w:hint="eastAsia"/>
          <w:color w:val="000000" w:themeColor="text1"/>
          <w:szCs w:val="32"/>
        </w:rPr>
        <w:t>、</w:t>
      </w:r>
      <w:r w:rsidR="007448CC" w:rsidRPr="00CA3AC6">
        <w:rPr>
          <w:rFonts w:hAnsi="標楷體" w:cs="新細明體" w:hint="eastAsia"/>
          <w:color w:val="000000" w:themeColor="text1"/>
          <w:kern w:val="0"/>
          <w:szCs w:val="32"/>
        </w:rPr>
        <w:t>悠遊卡投資控股股份有限公司（</w:t>
      </w:r>
      <w:r w:rsidR="007448CC" w:rsidRPr="00CA3AC6">
        <w:rPr>
          <w:rFonts w:hAnsi="標楷體" w:hint="eastAsia"/>
          <w:color w:val="000000" w:themeColor="text1"/>
          <w:szCs w:val="32"/>
        </w:rPr>
        <w:t>下稱</w:t>
      </w:r>
      <w:r w:rsidR="007448CC" w:rsidRPr="00CA3AC6">
        <w:rPr>
          <w:rFonts w:hAnsi="標楷體" w:cs="新細明體" w:hint="eastAsia"/>
          <w:color w:val="000000" w:themeColor="text1"/>
          <w:kern w:val="0"/>
          <w:szCs w:val="32"/>
        </w:rPr>
        <w:t>悠遊卡投控公司）</w:t>
      </w:r>
      <w:r w:rsidR="007448CC" w:rsidRPr="00CA3AC6">
        <w:rPr>
          <w:rFonts w:hAnsi="標楷體" w:hint="eastAsia"/>
          <w:color w:val="000000" w:themeColor="text1"/>
          <w:szCs w:val="32"/>
        </w:rPr>
        <w:t>等機關卷證資料，並詢問相關人員後，</w:t>
      </w:r>
      <w:r w:rsidR="007448CC" w:rsidRPr="00CA3AC6">
        <w:rPr>
          <w:rFonts w:hAnsi="標楷體" w:hint="eastAsia"/>
          <w:bCs/>
          <w:color w:val="000000" w:themeColor="text1"/>
          <w:szCs w:val="32"/>
        </w:rPr>
        <w:t>業已</w:t>
      </w:r>
      <w:proofErr w:type="gramStart"/>
      <w:r w:rsidR="007448CC" w:rsidRPr="00CA3AC6">
        <w:rPr>
          <w:rFonts w:hAnsi="標楷體" w:hint="eastAsia"/>
          <w:bCs/>
          <w:color w:val="000000" w:themeColor="text1"/>
          <w:szCs w:val="32"/>
        </w:rPr>
        <w:t>調查</w:t>
      </w:r>
      <w:r w:rsidR="00F4449C" w:rsidRPr="00CA3AC6">
        <w:rPr>
          <w:rFonts w:hAnsi="標楷體" w:hint="eastAsia"/>
          <w:bCs/>
          <w:color w:val="000000" w:themeColor="text1"/>
          <w:szCs w:val="32"/>
        </w:rPr>
        <w:t>竣事</w:t>
      </w:r>
      <w:r w:rsidR="007448CC" w:rsidRPr="00CA3AC6">
        <w:rPr>
          <w:rFonts w:hAnsi="標楷體" w:hint="eastAsia"/>
          <w:bCs/>
          <w:color w:val="000000" w:themeColor="text1"/>
          <w:szCs w:val="32"/>
        </w:rPr>
        <w:t>，</w:t>
      </w:r>
      <w:r w:rsidR="007448CC" w:rsidRPr="00CA3AC6">
        <w:rPr>
          <w:rFonts w:hAnsi="標楷體" w:hint="eastAsia"/>
          <w:color w:val="000000" w:themeColor="text1"/>
          <w:szCs w:val="32"/>
        </w:rPr>
        <w:t>茲列述</w:t>
      </w:r>
      <w:proofErr w:type="gramEnd"/>
      <w:r w:rsidR="007448CC" w:rsidRPr="00CA3AC6">
        <w:rPr>
          <w:rFonts w:hAnsi="標楷體" w:hint="eastAsia"/>
          <w:color w:val="000000" w:themeColor="text1"/>
          <w:szCs w:val="32"/>
        </w:rPr>
        <w:t>調查意見如下：</w:t>
      </w:r>
    </w:p>
    <w:p w:rsidR="00073CB5" w:rsidRPr="00687655" w:rsidRDefault="00331C62" w:rsidP="007C0785">
      <w:pPr>
        <w:pStyle w:val="2"/>
        <w:rPr>
          <w:rFonts w:hAnsi="標楷體"/>
          <w:b/>
          <w:szCs w:val="32"/>
        </w:rPr>
      </w:pPr>
      <w:r w:rsidRPr="00687655">
        <w:rPr>
          <w:rFonts w:hAnsi="標楷體" w:hint="eastAsia"/>
          <w:b/>
          <w:szCs w:val="32"/>
        </w:rPr>
        <w:t>悠遊</w:t>
      </w:r>
      <w:proofErr w:type="gramStart"/>
      <w:r w:rsidRPr="00687655">
        <w:rPr>
          <w:rFonts w:hAnsi="標楷體" w:hint="eastAsia"/>
          <w:b/>
          <w:szCs w:val="32"/>
        </w:rPr>
        <w:t>卡投控</w:t>
      </w:r>
      <w:proofErr w:type="gramEnd"/>
      <w:r w:rsidRPr="00687655">
        <w:rPr>
          <w:rFonts w:hAnsi="標楷體" w:hint="eastAsia"/>
          <w:b/>
          <w:szCs w:val="32"/>
        </w:rPr>
        <w:t>公司持有悠遊卡公司100%股份，是</w:t>
      </w:r>
      <w:proofErr w:type="gramStart"/>
      <w:r w:rsidR="00A54808" w:rsidRPr="00687655">
        <w:rPr>
          <w:rFonts w:hAnsi="標楷體" w:hint="eastAsia"/>
          <w:b/>
          <w:szCs w:val="32"/>
        </w:rPr>
        <w:t>以</w:t>
      </w:r>
      <w:r w:rsidRPr="00687655">
        <w:rPr>
          <w:rFonts w:hAnsi="標楷體" w:hint="eastAsia"/>
          <w:b/>
          <w:szCs w:val="32"/>
        </w:rPr>
        <w:t>悠遊卡投控</w:t>
      </w:r>
      <w:proofErr w:type="gramEnd"/>
      <w:r w:rsidRPr="00687655">
        <w:rPr>
          <w:rFonts w:hAnsi="標楷體" w:hint="eastAsia"/>
          <w:b/>
          <w:szCs w:val="32"/>
        </w:rPr>
        <w:t>公司對悠遊卡公司具有控制權，而臺北市政府與其持股73.75%之</w:t>
      </w:r>
      <w:proofErr w:type="gramStart"/>
      <w:r w:rsidRPr="00687655">
        <w:rPr>
          <w:rFonts w:hAnsi="標楷體" w:hint="eastAsia"/>
          <w:b/>
          <w:szCs w:val="32"/>
        </w:rPr>
        <w:t>臺</w:t>
      </w:r>
      <w:proofErr w:type="gramEnd"/>
      <w:r w:rsidRPr="00687655">
        <w:rPr>
          <w:rFonts w:hAnsi="標楷體" w:hint="eastAsia"/>
          <w:b/>
          <w:szCs w:val="32"/>
        </w:rPr>
        <w:t>北捷運公司</w:t>
      </w:r>
      <w:proofErr w:type="gramStart"/>
      <w:r w:rsidRPr="00687655">
        <w:rPr>
          <w:rFonts w:hAnsi="標楷體" w:hint="eastAsia"/>
          <w:b/>
          <w:szCs w:val="32"/>
        </w:rPr>
        <w:t>為悠遊卡投控</w:t>
      </w:r>
      <w:proofErr w:type="gramEnd"/>
      <w:r w:rsidRPr="00687655">
        <w:rPr>
          <w:rFonts w:hAnsi="標楷體" w:hint="eastAsia"/>
          <w:b/>
          <w:szCs w:val="32"/>
        </w:rPr>
        <w:t>公司之大股東，持股合計39.27%，</w:t>
      </w:r>
      <w:proofErr w:type="gramStart"/>
      <w:r w:rsidRPr="00687655">
        <w:rPr>
          <w:rFonts w:hAnsi="標楷體" w:hint="eastAsia"/>
          <w:b/>
          <w:szCs w:val="32"/>
        </w:rPr>
        <w:t>臺</w:t>
      </w:r>
      <w:proofErr w:type="gramEnd"/>
      <w:r w:rsidRPr="00687655">
        <w:rPr>
          <w:rFonts w:hAnsi="標楷體" w:hint="eastAsia"/>
          <w:b/>
          <w:szCs w:val="32"/>
        </w:rPr>
        <w:t>北捷運公司所指派之公股代表</w:t>
      </w:r>
      <w:proofErr w:type="gramStart"/>
      <w:r w:rsidRPr="00687655">
        <w:rPr>
          <w:rFonts w:hAnsi="標楷體" w:hint="eastAsia"/>
          <w:b/>
          <w:szCs w:val="32"/>
        </w:rPr>
        <w:t>並為悠遊</w:t>
      </w:r>
      <w:proofErr w:type="gramEnd"/>
      <w:r w:rsidRPr="00687655">
        <w:rPr>
          <w:rFonts w:hAnsi="標楷體" w:hint="eastAsia"/>
          <w:b/>
          <w:szCs w:val="32"/>
        </w:rPr>
        <w:t>卡公司之董事長，臺北市政府自得透過悠遊</w:t>
      </w:r>
      <w:proofErr w:type="gramStart"/>
      <w:r w:rsidRPr="00687655">
        <w:rPr>
          <w:rFonts w:hAnsi="標楷體" w:hint="eastAsia"/>
          <w:b/>
          <w:szCs w:val="32"/>
        </w:rPr>
        <w:t>卡投控</w:t>
      </w:r>
      <w:proofErr w:type="gramEnd"/>
      <w:r w:rsidRPr="00687655">
        <w:rPr>
          <w:rFonts w:hAnsi="標楷體" w:hint="eastAsia"/>
          <w:b/>
          <w:szCs w:val="32"/>
        </w:rPr>
        <w:t>公司股東間之協商機制，</w:t>
      </w:r>
      <w:proofErr w:type="gramStart"/>
      <w:r w:rsidRPr="00687655">
        <w:rPr>
          <w:rFonts w:hAnsi="標楷體" w:hint="eastAsia"/>
          <w:b/>
          <w:szCs w:val="32"/>
        </w:rPr>
        <w:t>監督悠</w:t>
      </w:r>
      <w:proofErr w:type="gramEnd"/>
      <w:r w:rsidRPr="00687655">
        <w:rPr>
          <w:rFonts w:hAnsi="標楷體" w:hint="eastAsia"/>
          <w:b/>
          <w:szCs w:val="32"/>
        </w:rPr>
        <w:t>遊卡公司之營利行為；</w:t>
      </w:r>
      <w:proofErr w:type="gramStart"/>
      <w:r w:rsidR="0051506D" w:rsidRPr="00687655">
        <w:rPr>
          <w:rFonts w:hAnsi="標楷體" w:hint="eastAsia"/>
          <w:b/>
          <w:szCs w:val="32"/>
        </w:rPr>
        <w:t>然</w:t>
      </w:r>
      <w:r w:rsidR="007448CC" w:rsidRPr="00687655">
        <w:rPr>
          <w:rFonts w:hAnsi="標楷體" w:hint="eastAsia"/>
          <w:b/>
          <w:szCs w:val="32"/>
        </w:rPr>
        <w:t>於悠遊</w:t>
      </w:r>
      <w:proofErr w:type="gramEnd"/>
      <w:r w:rsidR="007448CC" w:rsidRPr="00687655">
        <w:rPr>
          <w:rFonts w:hAnsi="標楷體" w:hint="eastAsia"/>
          <w:b/>
          <w:szCs w:val="32"/>
        </w:rPr>
        <w:t>卡公司</w:t>
      </w:r>
      <w:r w:rsidR="00CB61A0" w:rsidRPr="00687655">
        <w:rPr>
          <w:rFonts w:hAnsi="標楷體" w:hint="eastAsia"/>
          <w:b/>
          <w:szCs w:val="32"/>
        </w:rPr>
        <w:t>發行以日本AV女</w:t>
      </w:r>
      <w:proofErr w:type="gramStart"/>
      <w:r w:rsidR="00CB61A0" w:rsidRPr="00687655">
        <w:rPr>
          <w:rFonts w:hAnsi="標楷體" w:hint="eastAsia"/>
          <w:b/>
          <w:szCs w:val="32"/>
        </w:rPr>
        <w:t>優</w:t>
      </w:r>
      <w:r w:rsidR="00CB61A0" w:rsidRPr="00687655">
        <w:rPr>
          <w:rFonts w:hAnsi="標楷體"/>
          <w:b/>
          <w:szCs w:val="32"/>
        </w:rPr>
        <w:t>波多野結衣</w:t>
      </w:r>
      <w:proofErr w:type="gramEnd"/>
      <w:r w:rsidR="00CB61A0" w:rsidRPr="00687655">
        <w:rPr>
          <w:rFonts w:hAnsi="標楷體" w:hint="eastAsia"/>
          <w:b/>
          <w:szCs w:val="32"/>
        </w:rPr>
        <w:t>為封面之公益悠</w:t>
      </w:r>
      <w:proofErr w:type="gramStart"/>
      <w:r w:rsidR="00CB61A0" w:rsidRPr="00687655">
        <w:rPr>
          <w:rFonts w:hAnsi="標楷體" w:hint="eastAsia"/>
          <w:b/>
          <w:szCs w:val="32"/>
        </w:rPr>
        <w:t>遊卡</w:t>
      </w:r>
      <w:r w:rsidR="005836A7" w:rsidRPr="00687655">
        <w:rPr>
          <w:rFonts w:hAnsi="標楷體" w:hint="eastAsia"/>
          <w:b/>
          <w:szCs w:val="32"/>
        </w:rPr>
        <w:t>致引發</w:t>
      </w:r>
      <w:proofErr w:type="gramEnd"/>
      <w:r w:rsidR="005836A7" w:rsidRPr="00687655">
        <w:rPr>
          <w:rFonts w:hAnsi="標楷體" w:hint="eastAsia"/>
          <w:b/>
          <w:szCs w:val="32"/>
        </w:rPr>
        <w:t>社會爭議後，</w:t>
      </w:r>
      <w:r w:rsidR="007C0785" w:rsidRPr="00687655">
        <w:rPr>
          <w:rFonts w:hAnsi="標楷體" w:hint="eastAsia"/>
          <w:b/>
          <w:szCs w:val="32"/>
        </w:rPr>
        <w:t>臺北市政府</w:t>
      </w:r>
      <w:r w:rsidR="005836A7" w:rsidRPr="00687655">
        <w:rPr>
          <w:rFonts w:hAnsi="標楷體" w:hint="eastAsia"/>
          <w:b/>
          <w:szCs w:val="32"/>
        </w:rPr>
        <w:t>仍</w:t>
      </w:r>
      <w:proofErr w:type="gramStart"/>
      <w:r w:rsidR="005836A7" w:rsidRPr="00687655">
        <w:rPr>
          <w:rFonts w:hAnsi="標楷體" w:hint="eastAsia"/>
          <w:b/>
          <w:szCs w:val="32"/>
        </w:rPr>
        <w:t>任由</w:t>
      </w:r>
      <w:r w:rsidR="007C0785" w:rsidRPr="00687655">
        <w:rPr>
          <w:rFonts w:hAnsi="標楷體" w:hint="eastAsia"/>
          <w:b/>
          <w:szCs w:val="32"/>
        </w:rPr>
        <w:t>悠遊</w:t>
      </w:r>
      <w:proofErr w:type="gramEnd"/>
      <w:r w:rsidR="007C0785" w:rsidRPr="00687655">
        <w:rPr>
          <w:rFonts w:hAnsi="標楷體" w:hint="eastAsia"/>
          <w:b/>
          <w:szCs w:val="32"/>
        </w:rPr>
        <w:t>卡公司</w:t>
      </w:r>
      <w:r w:rsidR="009D11DB" w:rsidRPr="00687655">
        <w:rPr>
          <w:rFonts w:hAnsi="標楷體" w:hint="eastAsia"/>
          <w:b/>
          <w:szCs w:val="32"/>
        </w:rPr>
        <w:t>改</w:t>
      </w:r>
      <w:r w:rsidR="005836A7" w:rsidRPr="00687655">
        <w:rPr>
          <w:rFonts w:hAnsi="標楷體" w:hint="eastAsia"/>
          <w:b/>
          <w:szCs w:val="32"/>
        </w:rPr>
        <w:t>以電話預購方式銷售</w:t>
      </w:r>
      <w:r w:rsidR="00353451" w:rsidRPr="00687655">
        <w:rPr>
          <w:rFonts w:hAnsi="標楷體" w:hint="eastAsia"/>
          <w:b/>
          <w:szCs w:val="32"/>
        </w:rPr>
        <w:t>一空</w:t>
      </w:r>
      <w:r w:rsidR="005836A7" w:rsidRPr="00687655">
        <w:rPr>
          <w:rFonts w:hAnsi="標楷體" w:hint="eastAsia"/>
          <w:b/>
          <w:szCs w:val="32"/>
        </w:rPr>
        <w:t>，</w:t>
      </w:r>
      <w:r w:rsidR="00360E0C" w:rsidRPr="00687655">
        <w:rPr>
          <w:rFonts w:hAnsi="標楷體" w:hint="eastAsia"/>
          <w:b/>
          <w:szCs w:val="32"/>
        </w:rPr>
        <w:t>而未基於社會公益價值，</w:t>
      </w:r>
      <w:proofErr w:type="gramStart"/>
      <w:r w:rsidR="00360E0C" w:rsidRPr="00687655">
        <w:rPr>
          <w:rFonts w:hAnsi="標楷體" w:hint="eastAsia"/>
          <w:b/>
          <w:szCs w:val="32"/>
        </w:rPr>
        <w:t>要求悠</w:t>
      </w:r>
      <w:proofErr w:type="gramEnd"/>
      <w:r w:rsidR="00360E0C" w:rsidRPr="00687655">
        <w:rPr>
          <w:rFonts w:hAnsi="標楷體" w:hint="eastAsia"/>
          <w:b/>
          <w:szCs w:val="32"/>
        </w:rPr>
        <w:t>遊卡公司中止銷售波</w:t>
      </w:r>
      <w:r w:rsidR="00E548EB" w:rsidRPr="00687655">
        <w:rPr>
          <w:rFonts w:hAnsi="標楷體" w:hint="eastAsia"/>
          <w:b/>
          <w:szCs w:val="32"/>
        </w:rPr>
        <w:t>多</w:t>
      </w:r>
      <w:proofErr w:type="gramStart"/>
      <w:r w:rsidR="00E548EB" w:rsidRPr="00687655">
        <w:rPr>
          <w:rFonts w:hAnsi="標楷體" w:hint="eastAsia"/>
          <w:b/>
          <w:szCs w:val="32"/>
        </w:rPr>
        <w:t>野結衣</w:t>
      </w:r>
      <w:proofErr w:type="gramEnd"/>
      <w:r w:rsidR="00E548EB" w:rsidRPr="00687655">
        <w:rPr>
          <w:rFonts w:hAnsi="標楷體" w:hint="eastAsia"/>
          <w:b/>
          <w:szCs w:val="32"/>
        </w:rPr>
        <w:t>公益悠遊卡</w:t>
      </w:r>
      <w:r w:rsidR="00360E0C" w:rsidRPr="00687655">
        <w:rPr>
          <w:rFonts w:hAnsi="標楷體" w:hint="eastAsia"/>
          <w:b/>
          <w:szCs w:val="32"/>
        </w:rPr>
        <w:t>，</w:t>
      </w:r>
      <w:proofErr w:type="gramStart"/>
      <w:r w:rsidR="005836A7" w:rsidRPr="00687655">
        <w:rPr>
          <w:rFonts w:hAnsi="標楷體" w:hint="eastAsia"/>
          <w:b/>
          <w:szCs w:val="32"/>
        </w:rPr>
        <w:t>斲</w:t>
      </w:r>
      <w:proofErr w:type="gramEnd"/>
      <w:r w:rsidR="005836A7" w:rsidRPr="00687655">
        <w:rPr>
          <w:rFonts w:hAnsi="標楷體" w:hint="eastAsia"/>
          <w:b/>
          <w:szCs w:val="32"/>
        </w:rPr>
        <w:t>傷臺北市</w:t>
      </w:r>
      <w:proofErr w:type="gramStart"/>
      <w:r w:rsidR="005836A7" w:rsidRPr="00687655">
        <w:rPr>
          <w:rFonts w:hAnsi="標楷體" w:hint="eastAsia"/>
          <w:b/>
          <w:szCs w:val="32"/>
        </w:rPr>
        <w:t>政府及悠遊</w:t>
      </w:r>
      <w:proofErr w:type="gramEnd"/>
      <w:r w:rsidR="005836A7" w:rsidRPr="00687655">
        <w:rPr>
          <w:rFonts w:hAnsi="標楷體" w:hint="eastAsia"/>
          <w:b/>
          <w:szCs w:val="32"/>
        </w:rPr>
        <w:t>卡公司形象甚</w:t>
      </w:r>
      <w:proofErr w:type="gramStart"/>
      <w:r w:rsidR="005836A7" w:rsidRPr="00687655">
        <w:rPr>
          <w:rFonts w:hAnsi="標楷體" w:hint="eastAsia"/>
          <w:b/>
          <w:szCs w:val="32"/>
        </w:rPr>
        <w:t>鉅</w:t>
      </w:r>
      <w:proofErr w:type="gramEnd"/>
      <w:r w:rsidR="005836A7" w:rsidRPr="00687655">
        <w:rPr>
          <w:rFonts w:hAnsi="標楷體" w:hint="eastAsia"/>
          <w:b/>
          <w:szCs w:val="32"/>
        </w:rPr>
        <w:t>；</w:t>
      </w:r>
      <w:proofErr w:type="gramStart"/>
      <w:r w:rsidR="005836A7" w:rsidRPr="00687655">
        <w:rPr>
          <w:rFonts w:hAnsi="標楷體" w:hint="eastAsia"/>
          <w:b/>
          <w:szCs w:val="32"/>
        </w:rPr>
        <w:t>另悠遊</w:t>
      </w:r>
      <w:proofErr w:type="gramEnd"/>
      <w:r w:rsidR="005836A7" w:rsidRPr="00687655">
        <w:rPr>
          <w:rFonts w:hAnsi="標楷體" w:hint="eastAsia"/>
          <w:b/>
          <w:szCs w:val="32"/>
        </w:rPr>
        <w:t>卡公司未能掌握</w:t>
      </w:r>
      <w:r w:rsidR="005836A7" w:rsidRPr="00687655">
        <w:rPr>
          <w:rFonts w:hAnsi="標楷體"/>
          <w:b/>
          <w:szCs w:val="32"/>
        </w:rPr>
        <w:t>波</w:t>
      </w:r>
      <w:r w:rsidR="00E548EB" w:rsidRPr="00687655">
        <w:rPr>
          <w:rFonts w:hAnsi="標楷體"/>
          <w:b/>
          <w:szCs w:val="32"/>
        </w:rPr>
        <w:t>多</w:t>
      </w:r>
      <w:proofErr w:type="gramStart"/>
      <w:r w:rsidR="00E548EB" w:rsidRPr="00687655">
        <w:rPr>
          <w:rFonts w:hAnsi="標楷體"/>
          <w:b/>
          <w:szCs w:val="32"/>
        </w:rPr>
        <w:t>野結衣</w:t>
      </w:r>
      <w:proofErr w:type="gramEnd"/>
      <w:r w:rsidR="00E548EB" w:rsidRPr="00687655">
        <w:rPr>
          <w:rFonts w:hAnsi="標楷體"/>
          <w:b/>
          <w:szCs w:val="32"/>
        </w:rPr>
        <w:t>公益悠遊卡</w:t>
      </w:r>
      <w:r w:rsidR="00B279B7" w:rsidRPr="00687655">
        <w:rPr>
          <w:rFonts w:hAnsi="標楷體" w:hint="eastAsia"/>
          <w:b/>
          <w:szCs w:val="32"/>
        </w:rPr>
        <w:t>之公關卡流向，</w:t>
      </w:r>
      <w:r w:rsidR="009D11DB" w:rsidRPr="00687655">
        <w:rPr>
          <w:rFonts w:hAnsi="標楷體" w:hint="eastAsia"/>
          <w:b/>
          <w:szCs w:val="32"/>
        </w:rPr>
        <w:t>內部</w:t>
      </w:r>
      <w:r w:rsidR="00B279B7" w:rsidRPr="00687655">
        <w:rPr>
          <w:rFonts w:hAnsi="標楷體" w:hint="eastAsia"/>
          <w:b/>
          <w:szCs w:val="32"/>
        </w:rPr>
        <w:t>管控機制顯有闕漏，</w:t>
      </w:r>
      <w:proofErr w:type="gramStart"/>
      <w:r w:rsidR="00B279B7" w:rsidRPr="00687655">
        <w:rPr>
          <w:rFonts w:hAnsi="標楷體" w:hint="eastAsia"/>
          <w:b/>
          <w:szCs w:val="32"/>
        </w:rPr>
        <w:t>均有不當</w:t>
      </w:r>
      <w:proofErr w:type="gramEnd"/>
      <w:r w:rsidR="00B279B7" w:rsidRPr="00687655">
        <w:rPr>
          <w:rFonts w:hAnsi="標楷體" w:hint="eastAsia"/>
          <w:b/>
          <w:szCs w:val="32"/>
        </w:rPr>
        <w:t>。</w:t>
      </w:r>
    </w:p>
    <w:p w:rsidR="00B1634D" w:rsidRPr="006F7AC3" w:rsidRDefault="00B1634D" w:rsidP="00B1634D">
      <w:pPr>
        <w:pStyle w:val="3"/>
        <w:rPr>
          <w:rFonts w:hAnsi="標楷體"/>
          <w:color w:val="000000" w:themeColor="text1"/>
          <w:szCs w:val="32"/>
        </w:rPr>
      </w:pPr>
      <w:r w:rsidRPr="006F7AC3">
        <w:rPr>
          <w:rFonts w:hAnsi="標楷體" w:hint="eastAsia"/>
          <w:color w:val="000000" w:themeColor="text1"/>
          <w:szCs w:val="32"/>
        </w:rPr>
        <w:t>悠遊卡公司</w:t>
      </w:r>
      <w:r w:rsidR="0051506D" w:rsidRPr="006F7AC3">
        <w:rPr>
          <w:rFonts w:hAnsi="標楷體" w:hint="eastAsia"/>
          <w:color w:val="000000" w:themeColor="text1"/>
          <w:szCs w:val="32"/>
        </w:rPr>
        <w:t>係依</w:t>
      </w:r>
      <w:r w:rsidR="0051506D" w:rsidRPr="006F7AC3">
        <w:rPr>
          <w:rFonts w:hAnsi="標楷體" w:cs="新細明體" w:hint="eastAsia"/>
          <w:color w:val="000000" w:themeColor="text1"/>
          <w:kern w:val="0"/>
          <w:szCs w:val="32"/>
        </w:rPr>
        <w:t>大眾捷運法第32條規定，</w:t>
      </w:r>
      <w:r w:rsidR="0051506D" w:rsidRPr="006F7AC3">
        <w:rPr>
          <w:rFonts w:hAnsi="標楷體" w:hint="eastAsia"/>
          <w:color w:val="000000" w:themeColor="text1"/>
          <w:szCs w:val="32"/>
        </w:rPr>
        <w:t>基於公益上之必要，為整合公共運輸票證系統而成立，</w:t>
      </w:r>
      <w:r w:rsidRPr="006F7AC3">
        <w:rPr>
          <w:rFonts w:hAnsi="標楷體" w:hint="eastAsia"/>
          <w:color w:val="000000" w:themeColor="text1"/>
          <w:szCs w:val="32"/>
        </w:rPr>
        <w:t>除具</w:t>
      </w:r>
      <w:r w:rsidRPr="006F7AC3">
        <w:rPr>
          <w:rFonts w:hAnsi="標楷體" w:hint="eastAsia"/>
          <w:color w:val="000000" w:themeColor="text1"/>
          <w:szCs w:val="32"/>
        </w:rPr>
        <w:lastRenderedPageBreak/>
        <w:t>有公共性外，更肩負社會責任。</w:t>
      </w:r>
    </w:p>
    <w:p w:rsidR="007448CC" w:rsidRPr="00687655" w:rsidRDefault="00E33936" w:rsidP="00C017F5">
      <w:pPr>
        <w:pStyle w:val="3"/>
        <w:numPr>
          <w:ilvl w:val="0"/>
          <w:numId w:val="0"/>
        </w:numPr>
        <w:ind w:left="1361" w:firstLineChars="225" w:firstLine="765"/>
        <w:rPr>
          <w:rFonts w:hAnsi="標楷體"/>
          <w:szCs w:val="32"/>
        </w:rPr>
      </w:pPr>
      <w:r w:rsidRPr="006F7AC3">
        <w:rPr>
          <w:rFonts w:hAnsi="標楷體" w:hint="eastAsia"/>
          <w:color w:val="000000" w:themeColor="text1"/>
          <w:szCs w:val="32"/>
        </w:rPr>
        <w:t>查臺北市政府為提供民眾更便捷之大眾運輸服務，並達成一票通用之目標，乃</w:t>
      </w:r>
      <w:r w:rsidR="00437905" w:rsidRPr="006F7AC3">
        <w:rPr>
          <w:rFonts w:hAnsi="標楷體" w:hint="eastAsia"/>
          <w:color w:val="000000" w:themeColor="text1"/>
          <w:szCs w:val="32"/>
        </w:rPr>
        <w:t>依</w:t>
      </w:r>
      <w:r w:rsidR="00437905" w:rsidRPr="006F7AC3">
        <w:rPr>
          <w:rFonts w:hAnsi="標楷體" w:cs="新細明體" w:hint="eastAsia"/>
          <w:color w:val="000000" w:themeColor="text1"/>
          <w:kern w:val="0"/>
          <w:szCs w:val="32"/>
        </w:rPr>
        <w:t>大眾捷運法第32條：「</w:t>
      </w:r>
      <w:r w:rsidR="00437905" w:rsidRPr="006F7AC3">
        <w:rPr>
          <w:rFonts w:hAnsi="標楷體" w:cs="細明體" w:hint="eastAsia"/>
          <w:color w:val="000000" w:themeColor="text1"/>
          <w:kern w:val="0"/>
          <w:szCs w:val="32"/>
        </w:rPr>
        <w:t>為公益上之必要，大眾捷運系統地方主管機關，得</w:t>
      </w:r>
      <w:proofErr w:type="gramStart"/>
      <w:r w:rsidR="00437905" w:rsidRPr="006F7AC3">
        <w:rPr>
          <w:rFonts w:hAnsi="標楷體" w:cs="細明體" w:hint="eastAsia"/>
          <w:color w:val="000000" w:themeColor="text1"/>
          <w:kern w:val="0"/>
          <w:szCs w:val="32"/>
        </w:rPr>
        <w:t>核准或責令</w:t>
      </w:r>
      <w:proofErr w:type="gramEnd"/>
      <w:r w:rsidR="00437905" w:rsidRPr="006F7AC3">
        <w:rPr>
          <w:rFonts w:hAnsi="標楷體" w:cs="細明體" w:hint="eastAsia"/>
          <w:color w:val="000000" w:themeColor="text1"/>
          <w:kern w:val="0"/>
          <w:szCs w:val="32"/>
        </w:rPr>
        <w:t>大眾捷運系統營運機構與市區汽車客運業或其他大眾運輸業者，共同辦理聯運或其他路線、票證、票價等整合業務。</w:t>
      </w:r>
      <w:r w:rsidR="00437905" w:rsidRPr="006F7AC3">
        <w:rPr>
          <w:rFonts w:hAnsi="標楷體" w:cs="新細明體" w:hint="eastAsia"/>
          <w:color w:val="000000" w:themeColor="text1"/>
          <w:kern w:val="0"/>
          <w:szCs w:val="32"/>
        </w:rPr>
        <w:t>」之規定</w:t>
      </w:r>
      <w:r w:rsidR="00437905" w:rsidRPr="006F7AC3">
        <w:rPr>
          <w:rFonts w:hAnsi="標楷體" w:hint="eastAsia"/>
          <w:color w:val="000000" w:themeColor="text1"/>
          <w:szCs w:val="32"/>
        </w:rPr>
        <w:t>，</w:t>
      </w:r>
      <w:r w:rsidR="00C944EC" w:rsidRPr="006F7AC3">
        <w:rPr>
          <w:rFonts w:hAnsi="標楷體" w:hint="eastAsia"/>
          <w:color w:val="000000" w:themeColor="text1"/>
          <w:szCs w:val="32"/>
        </w:rPr>
        <w:t>規劃</w:t>
      </w:r>
      <w:proofErr w:type="gramStart"/>
      <w:r w:rsidR="00C944EC" w:rsidRPr="006F7AC3">
        <w:rPr>
          <w:rFonts w:hAnsi="標楷體"/>
          <w:color w:val="000000" w:themeColor="text1"/>
          <w:szCs w:val="32"/>
        </w:rPr>
        <w:t>臺</w:t>
      </w:r>
      <w:proofErr w:type="gramEnd"/>
      <w:r w:rsidR="00C944EC" w:rsidRPr="006F7AC3">
        <w:rPr>
          <w:rFonts w:hAnsi="標楷體"/>
          <w:color w:val="000000" w:themeColor="text1"/>
          <w:szCs w:val="32"/>
        </w:rPr>
        <w:t>北都會區捷運、公車及公有路外停車場</w:t>
      </w:r>
      <w:r w:rsidR="0007160E" w:rsidRPr="006F7AC3">
        <w:rPr>
          <w:rFonts w:hAnsi="標楷體"/>
          <w:color w:val="000000" w:themeColor="text1"/>
          <w:szCs w:val="32"/>
        </w:rPr>
        <w:t>票證</w:t>
      </w:r>
      <w:r w:rsidR="00C944EC" w:rsidRPr="006F7AC3">
        <w:rPr>
          <w:rFonts w:hAnsi="標楷體" w:hint="eastAsia"/>
          <w:color w:val="000000" w:themeColor="text1"/>
          <w:szCs w:val="32"/>
        </w:rPr>
        <w:t>整合</w:t>
      </w:r>
      <w:r w:rsidR="00566A38" w:rsidRPr="006F7AC3">
        <w:rPr>
          <w:rFonts w:hAnsi="標楷體" w:hint="eastAsia"/>
          <w:color w:val="000000" w:themeColor="text1"/>
          <w:szCs w:val="32"/>
        </w:rPr>
        <w:t>。臺北市政府</w:t>
      </w:r>
      <w:r w:rsidR="004D4F59" w:rsidRPr="006F7AC3">
        <w:rPr>
          <w:rFonts w:hAnsi="標楷體" w:hint="eastAsia"/>
          <w:color w:val="000000" w:themeColor="text1"/>
          <w:szCs w:val="32"/>
        </w:rPr>
        <w:t>、</w:t>
      </w:r>
      <w:proofErr w:type="gramStart"/>
      <w:r w:rsidR="004D4F59" w:rsidRPr="006F7AC3">
        <w:rPr>
          <w:rFonts w:hAnsi="標楷體" w:hint="eastAsia"/>
          <w:color w:val="000000" w:themeColor="text1"/>
          <w:szCs w:val="32"/>
        </w:rPr>
        <w:t>臺</w:t>
      </w:r>
      <w:proofErr w:type="gramEnd"/>
      <w:r w:rsidR="004D4F59" w:rsidRPr="006F7AC3">
        <w:rPr>
          <w:rFonts w:hAnsi="標楷體" w:hint="eastAsia"/>
          <w:color w:val="000000" w:themeColor="text1"/>
          <w:szCs w:val="32"/>
        </w:rPr>
        <w:t>北</w:t>
      </w:r>
      <w:r w:rsidR="004D4F59" w:rsidRPr="006F7AC3">
        <w:rPr>
          <w:rFonts w:hAnsi="標楷體" w:cs="新細明體" w:hint="eastAsia"/>
          <w:color w:val="000000" w:themeColor="text1"/>
          <w:kern w:val="0"/>
          <w:szCs w:val="32"/>
        </w:rPr>
        <w:t>捷運公司</w:t>
      </w:r>
      <w:r w:rsidR="004D4F59" w:rsidRPr="006F7AC3">
        <w:rPr>
          <w:rFonts w:hAnsi="標楷體" w:hint="eastAsia"/>
          <w:color w:val="000000" w:themeColor="text1"/>
          <w:szCs w:val="32"/>
        </w:rPr>
        <w:t>及</w:t>
      </w:r>
      <w:r w:rsidR="004D4F59" w:rsidRPr="006F7AC3">
        <w:rPr>
          <w:rFonts w:hAnsi="標楷體" w:cs="新細明體" w:hint="eastAsia"/>
          <w:color w:val="000000" w:themeColor="text1"/>
          <w:kern w:val="0"/>
          <w:szCs w:val="32"/>
        </w:rPr>
        <w:t>13家</w:t>
      </w:r>
      <w:proofErr w:type="gramStart"/>
      <w:r w:rsidR="004D4F59" w:rsidRPr="006F7AC3">
        <w:rPr>
          <w:rFonts w:hAnsi="標楷體" w:hint="eastAsia"/>
          <w:color w:val="000000" w:themeColor="text1"/>
          <w:szCs w:val="32"/>
        </w:rPr>
        <w:t>臺</w:t>
      </w:r>
      <w:proofErr w:type="gramEnd"/>
      <w:r w:rsidR="004D4F59" w:rsidRPr="006F7AC3">
        <w:rPr>
          <w:rFonts w:hAnsi="標楷體" w:hint="eastAsia"/>
          <w:color w:val="000000" w:themeColor="text1"/>
          <w:szCs w:val="32"/>
        </w:rPr>
        <w:t>北都會區民營公車業者</w:t>
      </w:r>
      <w:r w:rsidR="0007160E" w:rsidRPr="006F7AC3">
        <w:rPr>
          <w:rFonts w:hAnsi="標楷體" w:hint="eastAsia"/>
          <w:color w:val="000000" w:themeColor="text1"/>
          <w:szCs w:val="32"/>
        </w:rPr>
        <w:t>共同委託，</w:t>
      </w:r>
      <w:r w:rsidR="004D4F59" w:rsidRPr="006F7AC3">
        <w:rPr>
          <w:rFonts w:hAnsi="標楷體" w:hint="eastAsia"/>
          <w:color w:val="000000" w:themeColor="text1"/>
          <w:szCs w:val="32"/>
        </w:rPr>
        <w:t>由該府</w:t>
      </w:r>
      <w:r w:rsidR="0007160E" w:rsidRPr="006F7AC3">
        <w:rPr>
          <w:rFonts w:hAnsi="標楷體"/>
          <w:color w:val="000000" w:themeColor="text1"/>
          <w:szCs w:val="32"/>
        </w:rPr>
        <w:t>依政府採購法</w:t>
      </w:r>
      <w:proofErr w:type="gramStart"/>
      <w:r w:rsidR="0007160E" w:rsidRPr="006F7AC3">
        <w:rPr>
          <w:rFonts w:hAnsi="標楷體"/>
          <w:color w:val="000000" w:themeColor="text1"/>
          <w:szCs w:val="32"/>
        </w:rPr>
        <w:t>採</w:t>
      </w:r>
      <w:proofErr w:type="gramEnd"/>
      <w:r w:rsidR="0007160E" w:rsidRPr="006F7AC3">
        <w:rPr>
          <w:rFonts w:hAnsi="標楷體"/>
          <w:color w:val="000000" w:themeColor="text1"/>
          <w:szCs w:val="32"/>
        </w:rPr>
        <w:t>最有利標方式，完成民間策略投資人公開徵選作業，</w:t>
      </w:r>
      <w:r w:rsidR="0007160E" w:rsidRPr="006F7AC3">
        <w:rPr>
          <w:rFonts w:hAnsi="標楷體" w:hint="eastAsia"/>
          <w:color w:val="000000" w:themeColor="text1"/>
          <w:szCs w:val="32"/>
        </w:rPr>
        <w:t>於89年</w:t>
      </w:r>
      <w:r w:rsidR="00437905" w:rsidRPr="006F7AC3">
        <w:rPr>
          <w:rFonts w:hAnsi="標楷體" w:hint="eastAsia"/>
          <w:color w:val="000000" w:themeColor="text1"/>
          <w:szCs w:val="32"/>
        </w:rPr>
        <w:t>3月</w:t>
      </w:r>
      <w:r w:rsidR="0007160E" w:rsidRPr="006F7AC3">
        <w:rPr>
          <w:rFonts w:hAnsi="標楷體"/>
          <w:color w:val="000000" w:themeColor="text1"/>
          <w:szCs w:val="32"/>
        </w:rPr>
        <w:t>成立</w:t>
      </w:r>
      <w:r w:rsidR="0007160E" w:rsidRPr="006F7AC3">
        <w:rPr>
          <w:rFonts w:hAnsi="標楷體" w:hint="eastAsia"/>
          <w:color w:val="000000" w:themeColor="text1"/>
          <w:szCs w:val="32"/>
        </w:rPr>
        <w:t>民營之IC卡票證公司-</w:t>
      </w:r>
      <w:proofErr w:type="gramStart"/>
      <w:r w:rsidR="0007160E" w:rsidRPr="006F7AC3">
        <w:rPr>
          <w:rFonts w:hAnsi="標楷體" w:hint="eastAsia"/>
          <w:color w:val="000000" w:themeColor="text1"/>
          <w:szCs w:val="32"/>
        </w:rPr>
        <w:t>臺</w:t>
      </w:r>
      <w:proofErr w:type="gramEnd"/>
      <w:r w:rsidR="0007160E" w:rsidRPr="006F7AC3">
        <w:rPr>
          <w:rFonts w:hAnsi="標楷體" w:hint="eastAsia"/>
          <w:color w:val="000000" w:themeColor="text1"/>
          <w:szCs w:val="32"/>
        </w:rPr>
        <w:t>北智慧卡票證股份有限公司（下稱</w:t>
      </w:r>
      <w:proofErr w:type="gramStart"/>
      <w:r w:rsidR="0007160E" w:rsidRPr="006F7AC3">
        <w:rPr>
          <w:rFonts w:hAnsi="標楷體" w:hint="eastAsia"/>
          <w:color w:val="000000" w:themeColor="text1"/>
          <w:szCs w:val="32"/>
        </w:rPr>
        <w:t>臺</w:t>
      </w:r>
      <w:proofErr w:type="gramEnd"/>
      <w:r w:rsidR="0007160E" w:rsidRPr="006F7AC3">
        <w:rPr>
          <w:rFonts w:hAnsi="標楷體" w:hint="eastAsia"/>
          <w:color w:val="000000" w:themeColor="text1"/>
          <w:szCs w:val="32"/>
        </w:rPr>
        <w:t>北智慧卡公司）</w:t>
      </w:r>
      <w:r w:rsidR="0007160E" w:rsidRPr="006F7AC3">
        <w:rPr>
          <w:rFonts w:hAnsi="標楷體"/>
          <w:color w:val="000000" w:themeColor="text1"/>
          <w:szCs w:val="32"/>
        </w:rPr>
        <w:t>，專責</w:t>
      </w:r>
      <w:proofErr w:type="gramStart"/>
      <w:r w:rsidR="00437905" w:rsidRPr="006F7AC3">
        <w:rPr>
          <w:rFonts w:hAnsi="標楷體" w:hint="eastAsia"/>
          <w:color w:val="000000" w:themeColor="text1"/>
          <w:szCs w:val="32"/>
        </w:rPr>
        <w:t>臺</w:t>
      </w:r>
      <w:proofErr w:type="gramEnd"/>
      <w:r w:rsidR="00437905" w:rsidRPr="006F7AC3">
        <w:rPr>
          <w:rFonts w:hAnsi="標楷體" w:hint="eastAsia"/>
          <w:color w:val="000000" w:themeColor="text1"/>
          <w:szCs w:val="32"/>
        </w:rPr>
        <w:t>北IC卡票證整合</w:t>
      </w:r>
      <w:r w:rsidR="0007160E" w:rsidRPr="006F7AC3">
        <w:rPr>
          <w:rFonts w:hAnsi="標楷體"/>
          <w:color w:val="000000" w:themeColor="text1"/>
          <w:szCs w:val="32"/>
        </w:rPr>
        <w:t>系統</w:t>
      </w:r>
      <w:r w:rsidR="00437905" w:rsidRPr="006F7AC3">
        <w:rPr>
          <w:rFonts w:hAnsi="標楷體"/>
          <w:color w:val="000000" w:themeColor="text1"/>
          <w:szCs w:val="32"/>
        </w:rPr>
        <w:t>之建置</w:t>
      </w:r>
      <w:r w:rsidR="00437905" w:rsidRPr="006F7AC3">
        <w:rPr>
          <w:rFonts w:hAnsi="標楷體" w:hint="eastAsia"/>
          <w:color w:val="000000" w:themeColor="text1"/>
          <w:szCs w:val="32"/>
        </w:rPr>
        <w:t>及</w:t>
      </w:r>
      <w:r w:rsidR="0007160E" w:rsidRPr="006F7AC3">
        <w:rPr>
          <w:rFonts w:hAnsi="標楷體"/>
          <w:color w:val="000000" w:themeColor="text1"/>
          <w:szCs w:val="32"/>
        </w:rPr>
        <w:t>營運</w:t>
      </w:r>
      <w:r w:rsidR="007F1EFA" w:rsidRPr="006F7AC3">
        <w:rPr>
          <w:rFonts w:hAnsi="標楷體" w:hint="eastAsia"/>
          <w:color w:val="000000" w:themeColor="text1"/>
          <w:szCs w:val="32"/>
        </w:rPr>
        <w:t>，該公司</w:t>
      </w:r>
      <w:proofErr w:type="gramStart"/>
      <w:r w:rsidR="00C9328A" w:rsidRPr="006F7AC3">
        <w:rPr>
          <w:rFonts w:hAnsi="標楷體" w:hint="eastAsia"/>
          <w:color w:val="000000" w:themeColor="text1"/>
          <w:szCs w:val="32"/>
        </w:rPr>
        <w:t>嗣</w:t>
      </w:r>
      <w:proofErr w:type="gramEnd"/>
      <w:r w:rsidR="007F1EFA" w:rsidRPr="006F7AC3">
        <w:rPr>
          <w:rFonts w:hAnsi="標楷體" w:hint="eastAsia"/>
          <w:color w:val="000000" w:themeColor="text1"/>
          <w:szCs w:val="32"/>
        </w:rPr>
        <w:t>於</w:t>
      </w:r>
      <w:r w:rsidR="007F1EFA" w:rsidRPr="00687655">
        <w:rPr>
          <w:rFonts w:hAnsi="標楷體" w:hint="eastAsia"/>
          <w:szCs w:val="32"/>
        </w:rPr>
        <w:t>97年8月8日</w:t>
      </w:r>
      <w:proofErr w:type="gramStart"/>
      <w:r w:rsidR="007F1EFA" w:rsidRPr="00687655">
        <w:rPr>
          <w:rFonts w:hAnsi="標楷體" w:hint="eastAsia"/>
          <w:szCs w:val="32"/>
        </w:rPr>
        <w:t>更名為</w:t>
      </w:r>
      <w:r w:rsidR="007F1EFA" w:rsidRPr="00687655">
        <w:rPr>
          <w:rFonts w:hAnsi="標楷體" w:cs="新細明體" w:hint="eastAsia"/>
          <w:kern w:val="0"/>
          <w:szCs w:val="32"/>
        </w:rPr>
        <w:t>悠遊</w:t>
      </w:r>
      <w:proofErr w:type="gramEnd"/>
      <w:r w:rsidR="007F1EFA" w:rsidRPr="00687655">
        <w:rPr>
          <w:rFonts w:hAnsi="標楷體" w:cs="新細明體" w:hint="eastAsia"/>
          <w:kern w:val="0"/>
          <w:szCs w:val="32"/>
        </w:rPr>
        <w:t>卡公司</w:t>
      </w:r>
      <w:r w:rsidR="0007160E" w:rsidRPr="00687655">
        <w:rPr>
          <w:rFonts w:hAnsi="標楷體"/>
          <w:szCs w:val="32"/>
        </w:rPr>
        <w:t>。</w:t>
      </w:r>
      <w:r w:rsidR="007F1EFA" w:rsidRPr="00687655">
        <w:rPr>
          <w:rFonts w:hAnsi="標楷體" w:hint="eastAsia"/>
          <w:szCs w:val="32"/>
        </w:rPr>
        <w:t>據上，</w:t>
      </w:r>
      <w:r w:rsidR="007F1EFA" w:rsidRPr="00687655">
        <w:rPr>
          <w:rFonts w:hAnsi="標楷體" w:cs="新細明體" w:hint="eastAsia"/>
          <w:kern w:val="0"/>
          <w:szCs w:val="32"/>
        </w:rPr>
        <w:t>悠遊卡公司</w:t>
      </w:r>
      <w:r w:rsidR="007F1EFA" w:rsidRPr="00687655">
        <w:rPr>
          <w:rFonts w:hAnsi="標楷體" w:hint="eastAsia"/>
          <w:szCs w:val="32"/>
        </w:rPr>
        <w:t>係</w:t>
      </w:r>
      <w:r w:rsidR="00CA3AC6" w:rsidRPr="00687655">
        <w:rPr>
          <w:rFonts w:hAnsi="標楷體" w:hint="eastAsia"/>
          <w:szCs w:val="32"/>
        </w:rPr>
        <w:t>臺北市政府以私法方式，來達成公益目的之行政行為，</w:t>
      </w:r>
      <w:r w:rsidR="007F1EFA" w:rsidRPr="00687655">
        <w:rPr>
          <w:rFonts w:hAnsi="標楷體" w:hint="eastAsia"/>
          <w:szCs w:val="32"/>
        </w:rPr>
        <w:t>基於公益上之必要，</w:t>
      </w:r>
      <w:r w:rsidR="00AA1FA1" w:rsidRPr="00687655">
        <w:rPr>
          <w:rFonts w:hAnsi="標楷體" w:hint="eastAsia"/>
          <w:szCs w:val="32"/>
        </w:rPr>
        <w:t>為整合公共運輸票證系統而成立，除具有公共性外，更肩負社會責任。</w:t>
      </w:r>
    </w:p>
    <w:p w:rsidR="00B1634D" w:rsidRPr="00B44270" w:rsidRDefault="007B73C7" w:rsidP="00CA3AC6">
      <w:pPr>
        <w:pStyle w:val="3"/>
        <w:rPr>
          <w:rFonts w:hAnsi="標楷體"/>
          <w:szCs w:val="32"/>
        </w:rPr>
      </w:pPr>
      <w:proofErr w:type="gramStart"/>
      <w:r w:rsidRPr="00B44270">
        <w:rPr>
          <w:rFonts w:hAnsi="標楷體" w:hint="eastAsia"/>
          <w:szCs w:val="32"/>
        </w:rPr>
        <w:t>查</w:t>
      </w:r>
      <w:r w:rsidR="00856DB1" w:rsidRPr="00B44270">
        <w:rPr>
          <w:rFonts w:hAnsi="標楷體" w:hint="eastAsia"/>
          <w:szCs w:val="32"/>
        </w:rPr>
        <w:t>悠遊卡投控</w:t>
      </w:r>
      <w:proofErr w:type="gramEnd"/>
      <w:r w:rsidR="00856DB1" w:rsidRPr="00B44270">
        <w:rPr>
          <w:rFonts w:hAnsi="標楷體" w:hint="eastAsia"/>
          <w:szCs w:val="32"/>
        </w:rPr>
        <w:t>公司持有悠遊卡公司100%股份</w:t>
      </w:r>
      <w:r w:rsidR="00586B25" w:rsidRPr="00B44270">
        <w:rPr>
          <w:rFonts w:hAnsi="標楷體" w:hint="eastAsia"/>
          <w:szCs w:val="32"/>
        </w:rPr>
        <w:t>（詳見下</w:t>
      </w:r>
      <w:r w:rsidR="00687655" w:rsidRPr="00B44270">
        <w:rPr>
          <w:rFonts w:hAnsi="標楷體" w:hint="eastAsia"/>
          <w:szCs w:val="32"/>
        </w:rPr>
        <w:t>表</w:t>
      </w:r>
      <w:r w:rsidR="00586B25" w:rsidRPr="00B44270">
        <w:rPr>
          <w:rFonts w:hAnsi="標楷體" w:hint="eastAsia"/>
          <w:szCs w:val="32"/>
        </w:rPr>
        <w:t>及</w:t>
      </w:r>
      <w:r w:rsidR="00687655" w:rsidRPr="00B44270">
        <w:rPr>
          <w:rFonts w:hAnsi="標楷體" w:hint="eastAsia"/>
          <w:szCs w:val="32"/>
        </w:rPr>
        <w:t>圖</w:t>
      </w:r>
      <w:r w:rsidR="00586B25" w:rsidRPr="00B44270">
        <w:rPr>
          <w:rFonts w:hAnsi="標楷體" w:hint="eastAsia"/>
          <w:szCs w:val="32"/>
        </w:rPr>
        <w:t>）</w:t>
      </w:r>
      <w:r w:rsidR="00856DB1" w:rsidRPr="00B44270">
        <w:rPr>
          <w:rFonts w:hAnsi="標楷體" w:hint="eastAsia"/>
          <w:szCs w:val="32"/>
        </w:rPr>
        <w:t>，</w:t>
      </w:r>
      <w:r w:rsidR="00820ADB" w:rsidRPr="00B44270">
        <w:rPr>
          <w:rFonts w:hAnsi="標楷體" w:hint="eastAsia"/>
          <w:szCs w:val="32"/>
        </w:rPr>
        <w:t>是</w:t>
      </w:r>
      <w:proofErr w:type="gramStart"/>
      <w:r w:rsidR="005740C4" w:rsidRPr="00B44270">
        <w:rPr>
          <w:rFonts w:hAnsi="標楷體" w:hint="eastAsia"/>
          <w:szCs w:val="32"/>
        </w:rPr>
        <w:t>以</w:t>
      </w:r>
      <w:r w:rsidR="00CA3AC6" w:rsidRPr="00B44270">
        <w:rPr>
          <w:rFonts w:hAnsi="標楷體" w:hint="eastAsia"/>
          <w:szCs w:val="32"/>
        </w:rPr>
        <w:t>悠遊卡投控</w:t>
      </w:r>
      <w:proofErr w:type="gramEnd"/>
      <w:r w:rsidR="00CA3AC6" w:rsidRPr="00B44270">
        <w:rPr>
          <w:rFonts w:hAnsi="標楷體" w:hint="eastAsia"/>
          <w:szCs w:val="32"/>
        </w:rPr>
        <w:t>公司對</w:t>
      </w:r>
      <w:r w:rsidR="003C48E2" w:rsidRPr="00B44270">
        <w:rPr>
          <w:rFonts w:hAnsi="標楷體" w:hint="eastAsia"/>
          <w:szCs w:val="32"/>
        </w:rPr>
        <w:t>悠遊卡公司</w:t>
      </w:r>
      <w:r w:rsidR="005A18DE" w:rsidRPr="00B44270">
        <w:rPr>
          <w:rFonts w:hAnsi="標楷體" w:hint="eastAsia"/>
          <w:szCs w:val="32"/>
        </w:rPr>
        <w:t>具有</w:t>
      </w:r>
      <w:r w:rsidR="00615DB1" w:rsidRPr="00B44270">
        <w:rPr>
          <w:rFonts w:hAnsi="標楷體" w:hint="eastAsia"/>
          <w:szCs w:val="32"/>
        </w:rPr>
        <w:t>控制權，</w:t>
      </w:r>
      <w:r w:rsidR="0062196B" w:rsidRPr="00B44270">
        <w:rPr>
          <w:rFonts w:hAnsi="標楷體" w:hint="eastAsia"/>
          <w:szCs w:val="32"/>
        </w:rPr>
        <w:t>而</w:t>
      </w:r>
      <w:r w:rsidR="00CA3AC6" w:rsidRPr="00B44270">
        <w:rPr>
          <w:rFonts w:hAnsi="標楷體" w:hint="eastAsia"/>
          <w:szCs w:val="32"/>
        </w:rPr>
        <w:t>臺北市政府與其持股73.75%之</w:t>
      </w:r>
      <w:proofErr w:type="gramStart"/>
      <w:r w:rsidR="00CA3AC6" w:rsidRPr="00B44270">
        <w:rPr>
          <w:rFonts w:hAnsi="標楷體" w:hint="eastAsia"/>
          <w:szCs w:val="32"/>
        </w:rPr>
        <w:t>臺</w:t>
      </w:r>
      <w:proofErr w:type="gramEnd"/>
      <w:r w:rsidR="00CA3AC6" w:rsidRPr="00B44270">
        <w:rPr>
          <w:rFonts w:hAnsi="標楷體" w:hint="eastAsia"/>
          <w:szCs w:val="32"/>
        </w:rPr>
        <w:t>北捷運公司</w:t>
      </w:r>
      <w:proofErr w:type="gramStart"/>
      <w:r w:rsidR="00CA3AC6" w:rsidRPr="00B44270">
        <w:rPr>
          <w:rFonts w:hAnsi="標楷體" w:hint="eastAsia"/>
          <w:szCs w:val="32"/>
        </w:rPr>
        <w:t>為悠遊卡投控</w:t>
      </w:r>
      <w:proofErr w:type="gramEnd"/>
      <w:r w:rsidR="00CA3AC6" w:rsidRPr="00B44270">
        <w:rPr>
          <w:rFonts w:hAnsi="標楷體" w:hint="eastAsia"/>
          <w:szCs w:val="32"/>
        </w:rPr>
        <w:t>公司之大股東，持股合計39.27%</w:t>
      </w:r>
      <w:r w:rsidR="0062196B" w:rsidRPr="00B44270">
        <w:rPr>
          <w:rFonts w:hAnsi="標楷體" w:hint="eastAsia"/>
          <w:szCs w:val="32"/>
        </w:rPr>
        <w:t>，</w:t>
      </w:r>
      <w:proofErr w:type="gramStart"/>
      <w:r w:rsidR="0062196B" w:rsidRPr="00B44270">
        <w:rPr>
          <w:rFonts w:hAnsi="標楷體" w:hint="eastAsia"/>
          <w:szCs w:val="32"/>
        </w:rPr>
        <w:t>臺</w:t>
      </w:r>
      <w:proofErr w:type="gramEnd"/>
      <w:r w:rsidR="0062196B" w:rsidRPr="00B44270">
        <w:rPr>
          <w:rFonts w:hAnsi="標楷體" w:hint="eastAsia"/>
          <w:szCs w:val="32"/>
        </w:rPr>
        <w:t>北捷運公司所指派之公股代表</w:t>
      </w:r>
      <w:proofErr w:type="gramStart"/>
      <w:r w:rsidR="0062196B" w:rsidRPr="00B44270">
        <w:rPr>
          <w:rFonts w:hAnsi="標楷體" w:hint="eastAsia"/>
          <w:szCs w:val="32"/>
        </w:rPr>
        <w:t>並為悠遊</w:t>
      </w:r>
      <w:proofErr w:type="gramEnd"/>
      <w:r w:rsidR="0062196B" w:rsidRPr="00B44270">
        <w:rPr>
          <w:rFonts w:hAnsi="標楷體" w:hint="eastAsia"/>
          <w:szCs w:val="32"/>
        </w:rPr>
        <w:t>卡公司之董事長</w:t>
      </w:r>
      <w:r w:rsidR="00CA3AC6" w:rsidRPr="00B44270">
        <w:rPr>
          <w:rFonts w:hAnsi="標楷體" w:hint="eastAsia"/>
          <w:szCs w:val="32"/>
        </w:rPr>
        <w:t>，</w:t>
      </w:r>
      <w:r w:rsidR="00820ADB" w:rsidRPr="00B44270">
        <w:rPr>
          <w:rFonts w:hAnsi="標楷體" w:hint="eastAsia"/>
          <w:szCs w:val="32"/>
        </w:rPr>
        <w:t>臺北市政府</w:t>
      </w:r>
      <w:r w:rsidR="00CA3AC6" w:rsidRPr="00B44270">
        <w:rPr>
          <w:rFonts w:hAnsi="標楷體" w:hint="eastAsia"/>
          <w:szCs w:val="32"/>
        </w:rPr>
        <w:t>自得透過悠遊</w:t>
      </w:r>
      <w:proofErr w:type="gramStart"/>
      <w:r w:rsidR="00CA3AC6" w:rsidRPr="00B44270">
        <w:rPr>
          <w:rFonts w:hAnsi="標楷體" w:hint="eastAsia"/>
          <w:szCs w:val="32"/>
        </w:rPr>
        <w:t>卡投控</w:t>
      </w:r>
      <w:proofErr w:type="gramEnd"/>
      <w:r w:rsidR="00CA3AC6" w:rsidRPr="00B44270">
        <w:rPr>
          <w:rFonts w:hAnsi="標楷體" w:hint="eastAsia"/>
          <w:szCs w:val="32"/>
        </w:rPr>
        <w:t>公司股東間</w:t>
      </w:r>
      <w:r w:rsidR="00820ADB" w:rsidRPr="00B44270">
        <w:rPr>
          <w:rFonts w:hAnsi="標楷體" w:hint="eastAsia"/>
          <w:szCs w:val="32"/>
        </w:rPr>
        <w:t>之</w:t>
      </w:r>
      <w:r w:rsidR="00CA3AC6" w:rsidRPr="00B44270">
        <w:rPr>
          <w:rFonts w:hAnsi="標楷體" w:hint="eastAsia"/>
          <w:szCs w:val="32"/>
        </w:rPr>
        <w:t>協商機制，</w:t>
      </w:r>
      <w:proofErr w:type="gramStart"/>
      <w:r w:rsidR="00CA3AC6" w:rsidRPr="00B44270">
        <w:rPr>
          <w:rFonts w:hAnsi="標楷體" w:hint="eastAsia"/>
          <w:szCs w:val="32"/>
        </w:rPr>
        <w:t>監督悠</w:t>
      </w:r>
      <w:proofErr w:type="gramEnd"/>
      <w:r w:rsidR="00CA3AC6" w:rsidRPr="00B44270">
        <w:rPr>
          <w:rFonts w:hAnsi="標楷體" w:hint="eastAsia"/>
          <w:szCs w:val="32"/>
        </w:rPr>
        <w:t>遊卡公司之營利行為</w:t>
      </w:r>
      <w:r w:rsidR="0013398A" w:rsidRPr="00B44270">
        <w:rPr>
          <w:rFonts w:hAnsi="標楷體" w:hint="eastAsia"/>
          <w:szCs w:val="32"/>
        </w:rPr>
        <w:t>。</w:t>
      </w:r>
    </w:p>
    <w:p w:rsidR="00356A21" w:rsidRPr="00CA3AC6" w:rsidRDefault="007544E9" w:rsidP="00360E0C">
      <w:pPr>
        <w:pStyle w:val="4"/>
        <w:rPr>
          <w:rFonts w:hAnsi="標楷體"/>
          <w:color w:val="000000" w:themeColor="text1"/>
          <w:szCs w:val="32"/>
        </w:rPr>
      </w:pPr>
      <w:r w:rsidRPr="006F7AC3">
        <w:rPr>
          <w:rFonts w:hAnsi="標楷體" w:hint="eastAsia"/>
          <w:color w:val="000000" w:themeColor="text1"/>
          <w:szCs w:val="32"/>
        </w:rPr>
        <w:t>98年1月23日電子票證發行管理條例公布施行，悠遊卡公司依該條例規定向金管會申請成為電子票證發行機構，經該會於99年2月2</w:t>
      </w:r>
      <w:r w:rsidR="00C35BDA" w:rsidRPr="006F7AC3">
        <w:rPr>
          <w:rFonts w:hAnsi="標楷體" w:hint="eastAsia"/>
          <w:color w:val="000000" w:themeColor="text1"/>
          <w:szCs w:val="32"/>
        </w:rPr>
        <w:t>日核准</w:t>
      </w:r>
      <w:r w:rsidRPr="006F7AC3">
        <w:rPr>
          <w:rFonts w:hAnsi="標楷體" w:hint="eastAsia"/>
          <w:color w:val="000000" w:themeColor="text1"/>
          <w:szCs w:val="32"/>
        </w:rPr>
        <w:t>，</w:t>
      </w:r>
      <w:r w:rsidR="00360E0C" w:rsidRPr="006F7AC3">
        <w:rPr>
          <w:rFonts w:hAnsi="標楷體" w:hint="eastAsia"/>
          <w:color w:val="000000" w:themeColor="text1"/>
          <w:szCs w:val="32"/>
        </w:rPr>
        <w:t>屬特許事業。</w:t>
      </w:r>
      <w:proofErr w:type="gramStart"/>
      <w:r w:rsidR="00C35BDA" w:rsidRPr="006F7AC3">
        <w:rPr>
          <w:rFonts w:hAnsi="標楷體" w:hint="eastAsia"/>
          <w:color w:val="000000" w:themeColor="text1"/>
          <w:szCs w:val="32"/>
        </w:rPr>
        <w:t>嗣</w:t>
      </w:r>
      <w:proofErr w:type="gramEnd"/>
      <w:r w:rsidR="005E2369" w:rsidRPr="006F7AC3">
        <w:rPr>
          <w:rFonts w:hAnsi="標楷體" w:cs="新細明體" w:hint="eastAsia"/>
          <w:color w:val="000000" w:themeColor="text1"/>
          <w:kern w:val="0"/>
          <w:szCs w:val="32"/>
        </w:rPr>
        <w:t>悠遊卡公司</w:t>
      </w:r>
      <w:r w:rsidR="00C35BDA" w:rsidRPr="006F7AC3">
        <w:rPr>
          <w:rFonts w:hAnsi="標楷體" w:cs="新細明體" w:hint="eastAsia"/>
          <w:color w:val="000000" w:themeColor="text1"/>
          <w:kern w:val="0"/>
          <w:szCs w:val="32"/>
        </w:rPr>
        <w:t>於98年12月1日</w:t>
      </w:r>
      <w:r w:rsidR="005E2369" w:rsidRPr="006F7AC3">
        <w:rPr>
          <w:rFonts w:hAnsi="標楷體" w:hint="eastAsia"/>
          <w:color w:val="000000" w:themeColor="text1"/>
          <w:szCs w:val="32"/>
        </w:rPr>
        <w:t>決定參</w:t>
      </w:r>
      <w:r w:rsidR="005E2369" w:rsidRPr="006F7AC3">
        <w:rPr>
          <w:rFonts w:hAnsi="標楷體" w:hint="eastAsia"/>
          <w:color w:val="000000" w:themeColor="text1"/>
          <w:szCs w:val="32"/>
        </w:rPr>
        <w:lastRenderedPageBreak/>
        <w:t>考香港八</w:t>
      </w:r>
      <w:proofErr w:type="gramStart"/>
      <w:r w:rsidR="005E2369" w:rsidRPr="006F7AC3">
        <w:rPr>
          <w:rFonts w:hAnsi="標楷體" w:hint="eastAsia"/>
          <w:color w:val="000000" w:themeColor="text1"/>
          <w:szCs w:val="32"/>
        </w:rPr>
        <w:t>達通控</w:t>
      </w:r>
      <w:proofErr w:type="gramEnd"/>
      <w:r w:rsidR="005E2369" w:rsidRPr="006F7AC3">
        <w:rPr>
          <w:rFonts w:hAnsi="標楷體" w:hint="eastAsia"/>
          <w:color w:val="000000" w:themeColor="text1"/>
          <w:szCs w:val="32"/>
        </w:rPr>
        <w:t>股有限公司（下稱八達通公司）之模式調整組織架構，在原有股東權益完全不變之情況下，依企業</w:t>
      </w:r>
      <w:proofErr w:type="gramStart"/>
      <w:r w:rsidR="005E2369" w:rsidRPr="006F7AC3">
        <w:rPr>
          <w:rFonts w:hAnsi="標楷體" w:hint="eastAsia"/>
          <w:color w:val="000000" w:themeColor="text1"/>
          <w:szCs w:val="32"/>
        </w:rPr>
        <w:t>併購法</w:t>
      </w:r>
      <w:proofErr w:type="gramEnd"/>
      <w:r w:rsidR="005E2369" w:rsidRPr="006F7AC3">
        <w:rPr>
          <w:rFonts w:hAnsi="標楷體" w:hint="eastAsia"/>
          <w:color w:val="000000" w:themeColor="text1"/>
          <w:szCs w:val="32"/>
        </w:rPr>
        <w:t>第29條及第30條之規定，以一比一換股方式成立</w:t>
      </w:r>
      <w:r w:rsidR="005E2369" w:rsidRPr="006F7AC3">
        <w:rPr>
          <w:rFonts w:hAnsi="標楷體" w:cs="新細明體" w:hint="eastAsia"/>
          <w:color w:val="000000" w:themeColor="text1"/>
          <w:kern w:val="0"/>
          <w:szCs w:val="32"/>
        </w:rPr>
        <w:t>悠遊</w:t>
      </w:r>
      <w:proofErr w:type="gramStart"/>
      <w:r w:rsidR="005E2369" w:rsidRPr="006F7AC3">
        <w:rPr>
          <w:rFonts w:hAnsi="標楷體" w:cs="新細明體" w:hint="eastAsia"/>
          <w:color w:val="000000" w:themeColor="text1"/>
          <w:kern w:val="0"/>
          <w:szCs w:val="32"/>
        </w:rPr>
        <w:t>卡投控</w:t>
      </w:r>
      <w:proofErr w:type="gramEnd"/>
      <w:r w:rsidR="005E2369" w:rsidRPr="006F7AC3">
        <w:rPr>
          <w:rFonts w:hAnsi="標楷體" w:cs="新細明體" w:hint="eastAsia"/>
          <w:color w:val="000000" w:themeColor="text1"/>
          <w:kern w:val="0"/>
          <w:szCs w:val="32"/>
        </w:rPr>
        <w:t>公司</w:t>
      </w:r>
      <w:r w:rsidR="00360E0C" w:rsidRPr="006F7AC3">
        <w:rPr>
          <w:rFonts w:hAnsi="標楷體" w:cs="新細明體" w:hint="eastAsia"/>
          <w:color w:val="000000" w:themeColor="text1"/>
          <w:kern w:val="0"/>
          <w:szCs w:val="32"/>
        </w:rPr>
        <w:t>，以因應金</w:t>
      </w:r>
      <w:proofErr w:type="gramStart"/>
      <w:r w:rsidR="00360E0C" w:rsidRPr="006F7AC3">
        <w:rPr>
          <w:rFonts w:hAnsi="標楷體" w:cs="新細明體" w:hint="eastAsia"/>
          <w:color w:val="000000" w:themeColor="text1"/>
          <w:kern w:val="0"/>
          <w:szCs w:val="32"/>
        </w:rPr>
        <w:t>管會監理</w:t>
      </w:r>
      <w:proofErr w:type="gramEnd"/>
      <w:r w:rsidR="00360E0C" w:rsidRPr="006F7AC3">
        <w:rPr>
          <w:rFonts w:hAnsi="標楷體" w:cs="新細明體" w:hint="eastAsia"/>
          <w:color w:val="000000" w:themeColor="text1"/>
          <w:kern w:val="0"/>
          <w:szCs w:val="32"/>
        </w:rPr>
        <w:t>需求、未來業務發展及增加經營彈性</w:t>
      </w:r>
      <w:r w:rsidRPr="006F7AC3">
        <w:rPr>
          <w:rFonts w:hAnsi="標楷體" w:hint="eastAsia"/>
          <w:color w:val="000000" w:themeColor="text1"/>
          <w:szCs w:val="32"/>
        </w:rPr>
        <w:t>；在組織調整後，悠遊</w:t>
      </w:r>
      <w:proofErr w:type="gramStart"/>
      <w:r w:rsidRPr="006F7AC3">
        <w:rPr>
          <w:rFonts w:hAnsi="標楷體" w:hint="eastAsia"/>
          <w:color w:val="000000" w:themeColor="text1"/>
          <w:szCs w:val="32"/>
        </w:rPr>
        <w:t>卡投控</w:t>
      </w:r>
      <w:proofErr w:type="gramEnd"/>
      <w:r w:rsidRPr="006F7AC3">
        <w:rPr>
          <w:rFonts w:hAnsi="標楷體" w:hint="eastAsia"/>
          <w:color w:val="000000" w:themeColor="text1"/>
          <w:szCs w:val="32"/>
        </w:rPr>
        <w:t>公司持有悠遊卡公司100%股份，悠遊卡公司雖成為悠遊</w:t>
      </w:r>
      <w:proofErr w:type="gramStart"/>
      <w:r w:rsidRPr="006F7AC3">
        <w:rPr>
          <w:rFonts w:hAnsi="標楷體" w:hint="eastAsia"/>
          <w:color w:val="000000" w:themeColor="text1"/>
          <w:szCs w:val="32"/>
        </w:rPr>
        <w:t>卡投控</w:t>
      </w:r>
      <w:proofErr w:type="gramEnd"/>
      <w:r w:rsidRPr="006F7AC3">
        <w:rPr>
          <w:rFonts w:hAnsi="標楷體" w:hint="eastAsia"/>
          <w:color w:val="000000" w:themeColor="text1"/>
          <w:szCs w:val="32"/>
        </w:rPr>
        <w:t>公司之子公司，惟其公共性依然存在</w:t>
      </w:r>
      <w:r w:rsidR="003B687B" w:rsidRPr="006F7AC3">
        <w:rPr>
          <w:rFonts w:hAnsi="標楷體" w:hint="eastAsia"/>
          <w:color w:val="000000" w:themeColor="text1"/>
          <w:szCs w:val="32"/>
        </w:rPr>
        <w:t>。悠遊卡公司</w:t>
      </w:r>
      <w:r w:rsidR="00360E0C" w:rsidRPr="006F7AC3">
        <w:rPr>
          <w:rFonts w:hAnsi="標楷體" w:hint="eastAsia"/>
          <w:color w:val="000000" w:themeColor="text1"/>
          <w:szCs w:val="32"/>
        </w:rPr>
        <w:t>自99年4月起推動悠遊卡小額消費業務，悠遊卡從交通票證轉變為電子票證，更貼近民眾生活</w:t>
      </w:r>
      <w:r w:rsidR="00356A21" w:rsidRPr="006F7AC3">
        <w:rPr>
          <w:rFonts w:hAnsi="標楷體" w:hint="eastAsia"/>
          <w:color w:val="000000" w:themeColor="text1"/>
          <w:szCs w:val="32"/>
        </w:rPr>
        <w:t>需求。</w:t>
      </w:r>
    </w:p>
    <w:p w:rsidR="007544E9" w:rsidRPr="00CA3AC6" w:rsidRDefault="007544E9" w:rsidP="00356A21">
      <w:pPr>
        <w:pStyle w:val="4"/>
        <w:numPr>
          <w:ilvl w:val="0"/>
          <w:numId w:val="0"/>
        </w:numPr>
        <w:rPr>
          <w:rFonts w:hAnsi="標楷體"/>
          <w:color w:val="000000" w:themeColor="text1"/>
          <w:szCs w:val="32"/>
        </w:rPr>
      </w:pPr>
    </w:p>
    <w:p w:rsidR="00B44270" w:rsidRPr="00CA3AC6" w:rsidRDefault="00B44270" w:rsidP="00B44270">
      <w:pPr>
        <w:pStyle w:val="4"/>
        <w:numPr>
          <w:ilvl w:val="0"/>
          <w:numId w:val="0"/>
        </w:numPr>
        <w:ind w:left="1701"/>
        <w:jc w:val="center"/>
        <w:rPr>
          <w:rFonts w:hAnsi="標楷體" w:cs="新細明體"/>
          <w:color w:val="000000" w:themeColor="text1"/>
          <w:kern w:val="0"/>
          <w:sz w:val="28"/>
          <w:szCs w:val="28"/>
        </w:rPr>
      </w:pPr>
      <w:r w:rsidRPr="00CA3AC6">
        <w:rPr>
          <w:rFonts w:hAnsi="標楷體" w:cs="新細明體" w:hint="eastAsia"/>
          <w:color w:val="000000" w:themeColor="text1"/>
          <w:kern w:val="0"/>
          <w:sz w:val="28"/>
          <w:szCs w:val="28"/>
        </w:rPr>
        <w:t>悠遊</w:t>
      </w:r>
      <w:proofErr w:type="gramStart"/>
      <w:r w:rsidRPr="00CA3AC6">
        <w:rPr>
          <w:rFonts w:hAnsi="標楷體" w:cs="新細明體" w:hint="eastAsia"/>
          <w:color w:val="000000" w:themeColor="text1"/>
          <w:kern w:val="0"/>
          <w:sz w:val="28"/>
          <w:szCs w:val="28"/>
        </w:rPr>
        <w:t>卡投控</w:t>
      </w:r>
      <w:proofErr w:type="gramEnd"/>
      <w:r w:rsidRPr="00CA3AC6">
        <w:rPr>
          <w:rFonts w:hAnsi="標楷體" w:cs="新細明體" w:hint="eastAsia"/>
          <w:color w:val="000000" w:themeColor="text1"/>
          <w:kern w:val="0"/>
          <w:sz w:val="28"/>
          <w:szCs w:val="28"/>
        </w:rPr>
        <w:t>公司股權結構變動情形一覽表</w:t>
      </w:r>
    </w:p>
    <w:p w:rsidR="00B44270" w:rsidRPr="00CA3AC6" w:rsidRDefault="00B44270" w:rsidP="00B44270">
      <w:pPr>
        <w:pStyle w:val="4"/>
        <w:numPr>
          <w:ilvl w:val="0"/>
          <w:numId w:val="0"/>
        </w:numPr>
        <w:ind w:left="1701"/>
        <w:jc w:val="right"/>
        <w:rPr>
          <w:rFonts w:hAnsi="標楷體"/>
          <w:color w:val="000000" w:themeColor="text1"/>
          <w:szCs w:val="32"/>
        </w:rPr>
      </w:pPr>
      <w:r w:rsidRPr="00CA3AC6">
        <w:rPr>
          <w:rFonts w:hAnsi="標楷體" w:cs="新細明體" w:hint="eastAsia"/>
          <w:color w:val="000000" w:themeColor="text1"/>
          <w:kern w:val="0"/>
          <w:sz w:val="24"/>
          <w:szCs w:val="24"/>
        </w:rPr>
        <w:t>單位：億元；%</w:t>
      </w:r>
    </w:p>
    <w:tbl>
      <w:tblPr>
        <w:tblStyle w:val="af6"/>
        <w:tblW w:w="9351" w:type="dxa"/>
        <w:tblInd w:w="392" w:type="dxa"/>
        <w:tblLook w:val="04A0" w:firstRow="1" w:lastRow="0" w:firstColumn="1" w:lastColumn="0" w:noHBand="0" w:noVBand="1"/>
      </w:tblPr>
      <w:tblGrid>
        <w:gridCol w:w="1417"/>
        <w:gridCol w:w="1019"/>
        <w:gridCol w:w="1020"/>
        <w:gridCol w:w="1020"/>
        <w:gridCol w:w="1020"/>
        <w:gridCol w:w="1020"/>
        <w:gridCol w:w="2835"/>
      </w:tblGrid>
      <w:tr w:rsidR="00B44270" w:rsidRPr="00CA3AC6" w:rsidTr="009302A2">
        <w:tc>
          <w:tcPr>
            <w:tcW w:w="1417" w:type="dxa"/>
            <w:vMerge w:val="restart"/>
            <w:vAlign w:val="center"/>
          </w:tcPr>
          <w:p w:rsidR="00B44270" w:rsidRPr="00CA3AC6" w:rsidRDefault="00B44270" w:rsidP="000F2944">
            <w:pPr>
              <w:pStyle w:val="4"/>
              <w:numPr>
                <w:ilvl w:val="0"/>
                <w:numId w:val="0"/>
              </w:numPr>
              <w:jc w:val="center"/>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日期</w:t>
            </w:r>
          </w:p>
        </w:tc>
        <w:tc>
          <w:tcPr>
            <w:tcW w:w="1019" w:type="dxa"/>
            <w:vMerge w:val="restart"/>
            <w:vAlign w:val="center"/>
          </w:tcPr>
          <w:p w:rsidR="00B44270" w:rsidRPr="00CA3AC6" w:rsidRDefault="00B44270" w:rsidP="000F2944">
            <w:pPr>
              <w:pStyle w:val="4"/>
              <w:numPr>
                <w:ilvl w:val="0"/>
                <w:numId w:val="0"/>
              </w:numPr>
              <w:jc w:val="center"/>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資本額</w:t>
            </w:r>
          </w:p>
        </w:tc>
        <w:tc>
          <w:tcPr>
            <w:tcW w:w="4080" w:type="dxa"/>
            <w:gridSpan w:val="4"/>
            <w:vAlign w:val="center"/>
          </w:tcPr>
          <w:p w:rsidR="00B44270" w:rsidRPr="00CA3AC6" w:rsidRDefault="00B44270" w:rsidP="000F2944">
            <w:pPr>
              <w:pStyle w:val="4"/>
              <w:numPr>
                <w:ilvl w:val="0"/>
                <w:numId w:val="0"/>
              </w:numPr>
              <w:jc w:val="center"/>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持股比例</w:t>
            </w:r>
          </w:p>
        </w:tc>
        <w:tc>
          <w:tcPr>
            <w:tcW w:w="2835" w:type="dxa"/>
            <w:vMerge w:val="restart"/>
            <w:vAlign w:val="center"/>
          </w:tcPr>
          <w:p w:rsidR="00B44270" w:rsidRPr="00CA3AC6" w:rsidRDefault="00B44270" w:rsidP="000F2944">
            <w:pPr>
              <w:pStyle w:val="4"/>
              <w:numPr>
                <w:ilvl w:val="0"/>
                <w:numId w:val="0"/>
              </w:numPr>
              <w:jc w:val="center"/>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備註</w:t>
            </w:r>
          </w:p>
        </w:tc>
      </w:tr>
      <w:tr w:rsidR="00B44270" w:rsidRPr="00CA3AC6" w:rsidTr="009302A2">
        <w:tc>
          <w:tcPr>
            <w:tcW w:w="1417" w:type="dxa"/>
            <w:vMerge/>
            <w:vAlign w:val="center"/>
          </w:tcPr>
          <w:p w:rsidR="00B44270" w:rsidRPr="00CA3AC6" w:rsidRDefault="00B44270" w:rsidP="000F2944">
            <w:pPr>
              <w:pStyle w:val="4"/>
              <w:numPr>
                <w:ilvl w:val="0"/>
                <w:numId w:val="0"/>
              </w:numPr>
              <w:jc w:val="center"/>
              <w:rPr>
                <w:rFonts w:hAnsi="標楷體" w:cs="新細明體"/>
                <w:color w:val="000000" w:themeColor="text1"/>
                <w:kern w:val="0"/>
                <w:sz w:val="24"/>
                <w:szCs w:val="24"/>
              </w:rPr>
            </w:pPr>
          </w:p>
        </w:tc>
        <w:tc>
          <w:tcPr>
            <w:tcW w:w="1019" w:type="dxa"/>
            <w:vMerge/>
            <w:vAlign w:val="center"/>
          </w:tcPr>
          <w:p w:rsidR="00B44270" w:rsidRPr="00CA3AC6" w:rsidRDefault="00B44270" w:rsidP="000F2944">
            <w:pPr>
              <w:pStyle w:val="4"/>
              <w:numPr>
                <w:ilvl w:val="0"/>
                <w:numId w:val="0"/>
              </w:numPr>
              <w:jc w:val="center"/>
              <w:rPr>
                <w:rFonts w:hAnsi="標楷體" w:cs="新細明體"/>
                <w:color w:val="000000" w:themeColor="text1"/>
                <w:kern w:val="0"/>
                <w:sz w:val="24"/>
                <w:szCs w:val="24"/>
              </w:rPr>
            </w:pPr>
          </w:p>
        </w:tc>
        <w:tc>
          <w:tcPr>
            <w:tcW w:w="1020" w:type="dxa"/>
            <w:vAlign w:val="center"/>
          </w:tcPr>
          <w:p w:rsidR="00B44270" w:rsidRPr="00CA3AC6" w:rsidRDefault="00B44270" w:rsidP="000F2944">
            <w:pPr>
              <w:pStyle w:val="4"/>
              <w:numPr>
                <w:ilvl w:val="0"/>
                <w:numId w:val="0"/>
              </w:numPr>
              <w:jc w:val="center"/>
              <w:rPr>
                <w:rFonts w:hAnsi="標楷體" w:cs="新細明體"/>
                <w:color w:val="000000" w:themeColor="text1"/>
                <w:kern w:val="0"/>
                <w:sz w:val="24"/>
                <w:szCs w:val="24"/>
              </w:rPr>
            </w:pPr>
            <w:proofErr w:type="gramStart"/>
            <w:r w:rsidRPr="00CA3AC6">
              <w:rPr>
                <w:rFonts w:hAnsi="標楷體" w:hint="eastAsia"/>
                <w:color w:val="000000" w:themeColor="text1"/>
                <w:sz w:val="24"/>
                <w:szCs w:val="24"/>
              </w:rPr>
              <w:t>臺</w:t>
            </w:r>
            <w:proofErr w:type="gramEnd"/>
            <w:r w:rsidRPr="00CA3AC6">
              <w:rPr>
                <w:rFonts w:hAnsi="標楷體" w:hint="eastAsia"/>
                <w:color w:val="000000" w:themeColor="text1"/>
                <w:sz w:val="24"/>
                <w:szCs w:val="24"/>
              </w:rPr>
              <w:t>北</w:t>
            </w:r>
            <w:r w:rsidRPr="00CA3AC6">
              <w:rPr>
                <w:rFonts w:hAnsi="標楷體" w:cs="新細明體" w:hint="eastAsia"/>
                <w:color w:val="000000" w:themeColor="text1"/>
                <w:kern w:val="0"/>
                <w:sz w:val="24"/>
                <w:szCs w:val="24"/>
              </w:rPr>
              <w:t>捷運公司</w:t>
            </w:r>
          </w:p>
        </w:tc>
        <w:tc>
          <w:tcPr>
            <w:tcW w:w="1020" w:type="dxa"/>
            <w:vAlign w:val="center"/>
          </w:tcPr>
          <w:p w:rsidR="00B44270" w:rsidRPr="00CA3AC6" w:rsidRDefault="00B44270" w:rsidP="000F2944">
            <w:pPr>
              <w:pStyle w:val="4"/>
              <w:numPr>
                <w:ilvl w:val="0"/>
                <w:numId w:val="0"/>
              </w:numPr>
              <w:jc w:val="center"/>
              <w:rPr>
                <w:rFonts w:hAnsi="標楷體" w:cs="新細明體"/>
                <w:color w:val="000000" w:themeColor="text1"/>
                <w:kern w:val="0"/>
                <w:sz w:val="24"/>
                <w:szCs w:val="24"/>
              </w:rPr>
            </w:pPr>
            <w:r w:rsidRPr="00CA3AC6">
              <w:rPr>
                <w:rFonts w:hAnsi="標楷體" w:hint="eastAsia"/>
                <w:color w:val="000000" w:themeColor="text1"/>
                <w:sz w:val="24"/>
                <w:szCs w:val="24"/>
              </w:rPr>
              <w:t>臺北市政府</w:t>
            </w:r>
          </w:p>
        </w:tc>
        <w:tc>
          <w:tcPr>
            <w:tcW w:w="1020" w:type="dxa"/>
            <w:vAlign w:val="center"/>
          </w:tcPr>
          <w:p w:rsidR="00B44270" w:rsidRPr="00CA3AC6" w:rsidRDefault="00B44270" w:rsidP="000F2944">
            <w:pPr>
              <w:pStyle w:val="4"/>
              <w:numPr>
                <w:ilvl w:val="0"/>
                <w:numId w:val="0"/>
              </w:numPr>
              <w:jc w:val="center"/>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公車</w:t>
            </w:r>
          </w:p>
          <w:p w:rsidR="00B44270" w:rsidRPr="00CA3AC6" w:rsidRDefault="00B44270" w:rsidP="000F2944">
            <w:pPr>
              <w:pStyle w:val="4"/>
              <w:numPr>
                <w:ilvl w:val="0"/>
                <w:numId w:val="0"/>
              </w:numPr>
              <w:jc w:val="center"/>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業者</w:t>
            </w:r>
          </w:p>
        </w:tc>
        <w:tc>
          <w:tcPr>
            <w:tcW w:w="1020" w:type="dxa"/>
            <w:vAlign w:val="center"/>
          </w:tcPr>
          <w:p w:rsidR="00B44270" w:rsidRPr="00CA3AC6" w:rsidRDefault="00B44270" w:rsidP="000F2944">
            <w:pPr>
              <w:pStyle w:val="4"/>
              <w:numPr>
                <w:ilvl w:val="0"/>
                <w:numId w:val="0"/>
              </w:numPr>
              <w:jc w:val="center"/>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其他</w:t>
            </w:r>
          </w:p>
        </w:tc>
        <w:tc>
          <w:tcPr>
            <w:tcW w:w="2835" w:type="dxa"/>
            <w:vMerge/>
            <w:vAlign w:val="center"/>
          </w:tcPr>
          <w:p w:rsidR="00B44270" w:rsidRPr="00CA3AC6" w:rsidRDefault="00B44270" w:rsidP="000F2944">
            <w:pPr>
              <w:pStyle w:val="4"/>
              <w:numPr>
                <w:ilvl w:val="0"/>
                <w:numId w:val="0"/>
              </w:numPr>
              <w:jc w:val="center"/>
              <w:rPr>
                <w:rFonts w:hAnsi="標楷體" w:cs="新細明體"/>
                <w:color w:val="000000" w:themeColor="text1"/>
                <w:kern w:val="0"/>
                <w:sz w:val="24"/>
                <w:szCs w:val="24"/>
              </w:rPr>
            </w:pPr>
          </w:p>
        </w:tc>
      </w:tr>
      <w:tr w:rsidR="00B44270" w:rsidRPr="00CA3AC6" w:rsidTr="009302A2">
        <w:tc>
          <w:tcPr>
            <w:tcW w:w="1417" w:type="dxa"/>
            <w:vAlign w:val="center"/>
          </w:tcPr>
          <w:p w:rsidR="00B44270" w:rsidRPr="00CA3AC6" w:rsidRDefault="00B44270" w:rsidP="000F2944">
            <w:pPr>
              <w:pStyle w:val="4"/>
              <w:numPr>
                <w:ilvl w:val="0"/>
                <w:numId w:val="0"/>
              </w:numPr>
              <w:rPr>
                <w:rFonts w:hAnsi="標楷體"/>
                <w:color w:val="000000" w:themeColor="text1"/>
                <w:kern w:val="0"/>
                <w:sz w:val="24"/>
                <w:szCs w:val="24"/>
              </w:rPr>
            </w:pPr>
            <w:r w:rsidRPr="00CA3AC6">
              <w:rPr>
                <w:rFonts w:hAnsi="標楷體"/>
                <w:color w:val="000000" w:themeColor="text1"/>
                <w:kern w:val="0"/>
                <w:sz w:val="24"/>
                <w:szCs w:val="24"/>
              </w:rPr>
              <w:t>98/</w:t>
            </w:r>
            <w:r w:rsidRPr="00CA3AC6">
              <w:rPr>
                <w:rFonts w:hAnsi="標楷體" w:hint="eastAsia"/>
                <w:color w:val="000000" w:themeColor="text1"/>
                <w:kern w:val="0"/>
                <w:sz w:val="24"/>
                <w:szCs w:val="24"/>
              </w:rPr>
              <w:t>12</w:t>
            </w:r>
            <w:r w:rsidRPr="00CA3AC6">
              <w:rPr>
                <w:rFonts w:hAnsi="標楷體"/>
                <w:color w:val="000000" w:themeColor="text1"/>
                <w:kern w:val="0"/>
                <w:sz w:val="24"/>
                <w:szCs w:val="24"/>
              </w:rPr>
              <w:t>/</w:t>
            </w:r>
            <w:r w:rsidRPr="00CA3AC6">
              <w:rPr>
                <w:rFonts w:hAnsi="標楷體" w:hint="eastAsia"/>
                <w:color w:val="000000" w:themeColor="text1"/>
                <w:kern w:val="0"/>
                <w:sz w:val="24"/>
                <w:szCs w:val="24"/>
              </w:rPr>
              <w:t>01</w:t>
            </w:r>
          </w:p>
        </w:tc>
        <w:tc>
          <w:tcPr>
            <w:tcW w:w="1019" w:type="dxa"/>
            <w:vAlign w:val="center"/>
          </w:tcPr>
          <w:p w:rsidR="00B44270" w:rsidRPr="00CA3AC6" w:rsidRDefault="00B44270" w:rsidP="000F2944">
            <w:pPr>
              <w:pStyle w:val="4"/>
              <w:numPr>
                <w:ilvl w:val="0"/>
                <w:numId w:val="0"/>
              </w:numPr>
              <w:jc w:val="right"/>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5</w:t>
            </w:r>
          </w:p>
        </w:tc>
        <w:tc>
          <w:tcPr>
            <w:tcW w:w="1020" w:type="dxa"/>
            <w:vAlign w:val="center"/>
          </w:tcPr>
          <w:p w:rsidR="00B44270" w:rsidRPr="00CA3AC6" w:rsidRDefault="00B44270" w:rsidP="000F2944">
            <w:pPr>
              <w:pStyle w:val="4"/>
              <w:numPr>
                <w:ilvl w:val="0"/>
                <w:numId w:val="0"/>
              </w:numPr>
              <w:jc w:val="right"/>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28%</w:t>
            </w:r>
          </w:p>
        </w:tc>
        <w:tc>
          <w:tcPr>
            <w:tcW w:w="1020" w:type="dxa"/>
            <w:vAlign w:val="center"/>
          </w:tcPr>
          <w:p w:rsidR="00B44270" w:rsidRPr="00CA3AC6" w:rsidRDefault="00B44270" w:rsidP="000F2944">
            <w:pPr>
              <w:pStyle w:val="4"/>
              <w:numPr>
                <w:ilvl w:val="0"/>
                <w:numId w:val="0"/>
              </w:numPr>
              <w:jc w:val="right"/>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12%</w:t>
            </w:r>
          </w:p>
        </w:tc>
        <w:tc>
          <w:tcPr>
            <w:tcW w:w="1020" w:type="dxa"/>
            <w:vAlign w:val="center"/>
          </w:tcPr>
          <w:p w:rsidR="00B44270" w:rsidRPr="00CA3AC6" w:rsidRDefault="00B44270" w:rsidP="000F2944">
            <w:pPr>
              <w:pStyle w:val="4"/>
              <w:numPr>
                <w:ilvl w:val="0"/>
                <w:numId w:val="0"/>
              </w:numPr>
              <w:jc w:val="right"/>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25.02%</w:t>
            </w:r>
          </w:p>
        </w:tc>
        <w:tc>
          <w:tcPr>
            <w:tcW w:w="1020" w:type="dxa"/>
            <w:vAlign w:val="center"/>
          </w:tcPr>
          <w:p w:rsidR="00B44270" w:rsidRPr="00CA3AC6" w:rsidRDefault="00B44270" w:rsidP="000F2944">
            <w:pPr>
              <w:pStyle w:val="4"/>
              <w:numPr>
                <w:ilvl w:val="0"/>
                <w:numId w:val="0"/>
              </w:numPr>
              <w:jc w:val="right"/>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34.98%</w:t>
            </w:r>
          </w:p>
        </w:tc>
        <w:tc>
          <w:tcPr>
            <w:tcW w:w="2835" w:type="dxa"/>
            <w:vAlign w:val="center"/>
          </w:tcPr>
          <w:p w:rsidR="00B44270" w:rsidRPr="00CA3AC6" w:rsidRDefault="00B44270" w:rsidP="000F2944">
            <w:pPr>
              <w:pStyle w:val="4"/>
              <w:numPr>
                <w:ilvl w:val="0"/>
                <w:numId w:val="0"/>
              </w:numPr>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悠遊卡公司</w:t>
            </w:r>
            <w:r w:rsidRPr="00CA3AC6">
              <w:rPr>
                <w:rFonts w:hAnsi="標楷體" w:hint="eastAsia"/>
                <w:color w:val="000000" w:themeColor="text1"/>
                <w:sz w:val="24"/>
                <w:szCs w:val="24"/>
              </w:rPr>
              <w:t>以股份轉換方式成立</w:t>
            </w:r>
            <w:r w:rsidRPr="00CA3AC6">
              <w:rPr>
                <w:rFonts w:hAnsi="標楷體" w:cs="新細明體" w:hint="eastAsia"/>
                <w:color w:val="000000" w:themeColor="text1"/>
                <w:kern w:val="0"/>
                <w:sz w:val="24"/>
                <w:szCs w:val="24"/>
              </w:rPr>
              <w:t>悠遊</w:t>
            </w:r>
            <w:proofErr w:type="gramStart"/>
            <w:r w:rsidRPr="00CA3AC6">
              <w:rPr>
                <w:rFonts w:hAnsi="標楷體" w:cs="新細明體" w:hint="eastAsia"/>
                <w:color w:val="000000" w:themeColor="text1"/>
                <w:kern w:val="0"/>
                <w:sz w:val="24"/>
                <w:szCs w:val="24"/>
              </w:rPr>
              <w:t>卡投控</w:t>
            </w:r>
            <w:proofErr w:type="gramEnd"/>
            <w:r w:rsidRPr="00CA3AC6">
              <w:rPr>
                <w:rFonts w:hAnsi="標楷體" w:cs="新細明體" w:hint="eastAsia"/>
                <w:color w:val="000000" w:themeColor="text1"/>
                <w:kern w:val="0"/>
                <w:sz w:val="24"/>
                <w:szCs w:val="24"/>
              </w:rPr>
              <w:t>公司，悠遊</w:t>
            </w:r>
            <w:proofErr w:type="gramStart"/>
            <w:r w:rsidRPr="00CA3AC6">
              <w:rPr>
                <w:rFonts w:hAnsi="標楷體" w:cs="新細明體" w:hint="eastAsia"/>
                <w:color w:val="000000" w:themeColor="text1"/>
                <w:kern w:val="0"/>
                <w:sz w:val="24"/>
                <w:szCs w:val="24"/>
              </w:rPr>
              <w:t>卡投控</w:t>
            </w:r>
            <w:proofErr w:type="gramEnd"/>
            <w:r w:rsidRPr="00CA3AC6">
              <w:rPr>
                <w:rFonts w:hAnsi="標楷體" w:cs="新細明體" w:hint="eastAsia"/>
                <w:color w:val="000000" w:themeColor="text1"/>
                <w:kern w:val="0"/>
                <w:sz w:val="24"/>
                <w:szCs w:val="24"/>
              </w:rPr>
              <w:t>公司持有悠遊卡公司100%股份</w:t>
            </w:r>
          </w:p>
        </w:tc>
      </w:tr>
      <w:tr w:rsidR="00B44270" w:rsidRPr="00CA3AC6" w:rsidTr="009302A2">
        <w:tc>
          <w:tcPr>
            <w:tcW w:w="1417" w:type="dxa"/>
            <w:vAlign w:val="center"/>
          </w:tcPr>
          <w:p w:rsidR="00B44270" w:rsidRPr="00CA3AC6" w:rsidRDefault="00B44270" w:rsidP="000F2944">
            <w:pPr>
              <w:pStyle w:val="4"/>
              <w:numPr>
                <w:ilvl w:val="0"/>
                <w:numId w:val="0"/>
              </w:numPr>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99/04/30</w:t>
            </w:r>
          </w:p>
        </w:tc>
        <w:tc>
          <w:tcPr>
            <w:tcW w:w="1019" w:type="dxa"/>
            <w:vAlign w:val="center"/>
          </w:tcPr>
          <w:p w:rsidR="00B44270" w:rsidRPr="00CA3AC6" w:rsidRDefault="00B44270" w:rsidP="000F2944">
            <w:pPr>
              <w:pStyle w:val="4"/>
              <w:numPr>
                <w:ilvl w:val="0"/>
                <w:numId w:val="0"/>
              </w:numPr>
              <w:jc w:val="right"/>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5.85</w:t>
            </w:r>
          </w:p>
        </w:tc>
        <w:tc>
          <w:tcPr>
            <w:tcW w:w="1020" w:type="dxa"/>
            <w:vAlign w:val="center"/>
          </w:tcPr>
          <w:p w:rsidR="00B44270" w:rsidRPr="00CA3AC6" w:rsidRDefault="00B44270" w:rsidP="000F2944">
            <w:pPr>
              <w:pStyle w:val="4"/>
              <w:numPr>
                <w:ilvl w:val="0"/>
                <w:numId w:val="0"/>
              </w:numPr>
              <w:jc w:val="right"/>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28%</w:t>
            </w:r>
          </w:p>
        </w:tc>
        <w:tc>
          <w:tcPr>
            <w:tcW w:w="1020" w:type="dxa"/>
            <w:vAlign w:val="center"/>
          </w:tcPr>
          <w:p w:rsidR="00B44270" w:rsidRPr="00CA3AC6" w:rsidRDefault="00B44270" w:rsidP="000F2944">
            <w:pPr>
              <w:pStyle w:val="4"/>
              <w:numPr>
                <w:ilvl w:val="0"/>
                <w:numId w:val="0"/>
              </w:numPr>
              <w:jc w:val="right"/>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12%</w:t>
            </w:r>
          </w:p>
        </w:tc>
        <w:tc>
          <w:tcPr>
            <w:tcW w:w="1020" w:type="dxa"/>
            <w:vAlign w:val="center"/>
          </w:tcPr>
          <w:p w:rsidR="00B44270" w:rsidRPr="00CA3AC6" w:rsidRDefault="00B44270" w:rsidP="000F2944">
            <w:pPr>
              <w:pStyle w:val="4"/>
              <w:numPr>
                <w:ilvl w:val="0"/>
                <w:numId w:val="0"/>
              </w:numPr>
              <w:jc w:val="right"/>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25.02%</w:t>
            </w:r>
          </w:p>
        </w:tc>
        <w:tc>
          <w:tcPr>
            <w:tcW w:w="1020" w:type="dxa"/>
            <w:vAlign w:val="center"/>
          </w:tcPr>
          <w:p w:rsidR="00B44270" w:rsidRPr="00CA3AC6" w:rsidRDefault="00B44270" w:rsidP="000F2944">
            <w:pPr>
              <w:pStyle w:val="4"/>
              <w:numPr>
                <w:ilvl w:val="0"/>
                <w:numId w:val="0"/>
              </w:numPr>
              <w:jc w:val="right"/>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34.98%</w:t>
            </w:r>
          </w:p>
        </w:tc>
        <w:tc>
          <w:tcPr>
            <w:tcW w:w="2835" w:type="dxa"/>
            <w:vAlign w:val="center"/>
          </w:tcPr>
          <w:p w:rsidR="00B44270" w:rsidRPr="00CA3AC6" w:rsidRDefault="00B44270" w:rsidP="000F2944">
            <w:pPr>
              <w:pStyle w:val="4"/>
              <w:numPr>
                <w:ilvl w:val="0"/>
                <w:numId w:val="0"/>
              </w:numPr>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悠遊</w:t>
            </w:r>
            <w:proofErr w:type="gramStart"/>
            <w:r w:rsidRPr="00CA3AC6">
              <w:rPr>
                <w:rFonts w:hAnsi="標楷體" w:cs="新細明體" w:hint="eastAsia"/>
                <w:color w:val="000000" w:themeColor="text1"/>
                <w:kern w:val="0"/>
                <w:sz w:val="24"/>
                <w:szCs w:val="24"/>
              </w:rPr>
              <w:t>卡投控</w:t>
            </w:r>
            <w:proofErr w:type="gramEnd"/>
            <w:r w:rsidRPr="00CA3AC6">
              <w:rPr>
                <w:rFonts w:hAnsi="標楷體" w:cs="新細明體" w:hint="eastAsia"/>
                <w:color w:val="000000" w:themeColor="text1"/>
                <w:kern w:val="0"/>
                <w:sz w:val="24"/>
                <w:szCs w:val="24"/>
              </w:rPr>
              <w:t>公司以資本公積及未分配盈餘計8,500萬元進行轉增資</w:t>
            </w:r>
          </w:p>
        </w:tc>
      </w:tr>
      <w:tr w:rsidR="00B44270" w:rsidRPr="00CA3AC6" w:rsidTr="009302A2">
        <w:tc>
          <w:tcPr>
            <w:tcW w:w="1417" w:type="dxa"/>
            <w:vAlign w:val="center"/>
          </w:tcPr>
          <w:p w:rsidR="00B44270" w:rsidRPr="00CA3AC6" w:rsidRDefault="00B44270" w:rsidP="000F2944">
            <w:pPr>
              <w:pStyle w:val="4"/>
              <w:numPr>
                <w:ilvl w:val="0"/>
                <w:numId w:val="0"/>
              </w:numPr>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99/09/06</w:t>
            </w:r>
          </w:p>
        </w:tc>
        <w:tc>
          <w:tcPr>
            <w:tcW w:w="1019" w:type="dxa"/>
            <w:vAlign w:val="center"/>
          </w:tcPr>
          <w:p w:rsidR="00B44270" w:rsidRPr="00CA3AC6" w:rsidRDefault="00B44270" w:rsidP="000F2944">
            <w:pPr>
              <w:pStyle w:val="4"/>
              <w:numPr>
                <w:ilvl w:val="0"/>
                <w:numId w:val="0"/>
              </w:numPr>
              <w:jc w:val="right"/>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7.7924</w:t>
            </w:r>
          </w:p>
        </w:tc>
        <w:tc>
          <w:tcPr>
            <w:tcW w:w="1020" w:type="dxa"/>
            <w:vAlign w:val="center"/>
          </w:tcPr>
          <w:p w:rsidR="00B44270" w:rsidRPr="00CA3AC6" w:rsidRDefault="00B44270" w:rsidP="000F2944">
            <w:pPr>
              <w:pStyle w:val="4"/>
              <w:numPr>
                <w:ilvl w:val="0"/>
                <w:numId w:val="0"/>
              </w:numPr>
              <w:jc w:val="right"/>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27.49%</w:t>
            </w:r>
          </w:p>
        </w:tc>
        <w:tc>
          <w:tcPr>
            <w:tcW w:w="1020" w:type="dxa"/>
            <w:vAlign w:val="center"/>
          </w:tcPr>
          <w:p w:rsidR="00B44270" w:rsidRPr="00CA3AC6" w:rsidRDefault="00B44270" w:rsidP="000F2944">
            <w:pPr>
              <w:pStyle w:val="4"/>
              <w:numPr>
                <w:ilvl w:val="0"/>
                <w:numId w:val="0"/>
              </w:numPr>
              <w:jc w:val="right"/>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11.78%</w:t>
            </w:r>
          </w:p>
        </w:tc>
        <w:tc>
          <w:tcPr>
            <w:tcW w:w="1020" w:type="dxa"/>
            <w:vAlign w:val="center"/>
          </w:tcPr>
          <w:p w:rsidR="00B44270" w:rsidRPr="00CA3AC6" w:rsidRDefault="00B44270" w:rsidP="000F2944">
            <w:pPr>
              <w:pStyle w:val="4"/>
              <w:numPr>
                <w:ilvl w:val="0"/>
                <w:numId w:val="0"/>
              </w:numPr>
              <w:jc w:val="right"/>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24.56%</w:t>
            </w:r>
          </w:p>
        </w:tc>
        <w:tc>
          <w:tcPr>
            <w:tcW w:w="1020" w:type="dxa"/>
            <w:vAlign w:val="center"/>
          </w:tcPr>
          <w:p w:rsidR="00B44270" w:rsidRPr="00CA3AC6" w:rsidRDefault="00B44270" w:rsidP="000F2944">
            <w:pPr>
              <w:pStyle w:val="4"/>
              <w:numPr>
                <w:ilvl w:val="0"/>
                <w:numId w:val="0"/>
              </w:numPr>
              <w:jc w:val="right"/>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36.17%</w:t>
            </w:r>
          </w:p>
        </w:tc>
        <w:tc>
          <w:tcPr>
            <w:tcW w:w="2835" w:type="dxa"/>
            <w:vAlign w:val="center"/>
          </w:tcPr>
          <w:p w:rsidR="00B44270" w:rsidRPr="00CA3AC6" w:rsidRDefault="00B44270" w:rsidP="000F2944">
            <w:pPr>
              <w:pStyle w:val="4"/>
              <w:numPr>
                <w:ilvl w:val="0"/>
                <w:numId w:val="0"/>
              </w:numPr>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悠遊</w:t>
            </w:r>
            <w:proofErr w:type="gramStart"/>
            <w:r w:rsidRPr="00CA3AC6">
              <w:rPr>
                <w:rFonts w:hAnsi="標楷體" w:cs="新細明體" w:hint="eastAsia"/>
                <w:color w:val="000000" w:themeColor="text1"/>
                <w:kern w:val="0"/>
                <w:sz w:val="24"/>
                <w:szCs w:val="24"/>
              </w:rPr>
              <w:t>卡投控</w:t>
            </w:r>
            <w:proofErr w:type="gramEnd"/>
            <w:r w:rsidRPr="00CA3AC6">
              <w:rPr>
                <w:rFonts w:hAnsi="標楷體" w:cs="新細明體" w:hint="eastAsia"/>
                <w:color w:val="000000" w:themeColor="text1"/>
                <w:kern w:val="0"/>
                <w:sz w:val="24"/>
                <w:szCs w:val="24"/>
              </w:rPr>
              <w:t>公司辦理現金增資1億9,424萬元，財金資訊股份有限公司參與現金增資</w:t>
            </w:r>
          </w:p>
        </w:tc>
      </w:tr>
      <w:tr w:rsidR="00B44270" w:rsidRPr="00CA3AC6" w:rsidTr="009302A2">
        <w:tc>
          <w:tcPr>
            <w:tcW w:w="1417" w:type="dxa"/>
            <w:vAlign w:val="center"/>
          </w:tcPr>
          <w:p w:rsidR="00B44270" w:rsidRPr="00CA3AC6" w:rsidRDefault="00B44270" w:rsidP="000F2944">
            <w:pPr>
              <w:pStyle w:val="4"/>
              <w:numPr>
                <w:ilvl w:val="0"/>
                <w:numId w:val="0"/>
              </w:numPr>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101/07/09</w:t>
            </w:r>
          </w:p>
        </w:tc>
        <w:tc>
          <w:tcPr>
            <w:tcW w:w="1019" w:type="dxa"/>
            <w:vAlign w:val="center"/>
          </w:tcPr>
          <w:p w:rsidR="00B44270" w:rsidRPr="00CA3AC6" w:rsidRDefault="00B44270" w:rsidP="000F2944">
            <w:pPr>
              <w:pStyle w:val="4"/>
              <w:numPr>
                <w:ilvl w:val="0"/>
                <w:numId w:val="0"/>
              </w:numPr>
              <w:jc w:val="right"/>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8</w:t>
            </w:r>
          </w:p>
        </w:tc>
        <w:tc>
          <w:tcPr>
            <w:tcW w:w="1020" w:type="dxa"/>
            <w:vAlign w:val="center"/>
          </w:tcPr>
          <w:p w:rsidR="00B44270" w:rsidRPr="00CA3AC6" w:rsidRDefault="00B44270" w:rsidP="000F2944">
            <w:pPr>
              <w:pStyle w:val="4"/>
              <w:numPr>
                <w:ilvl w:val="0"/>
                <w:numId w:val="0"/>
              </w:numPr>
              <w:jc w:val="right"/>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27.49%</w:t>
            </w:r>
          </w:p>
        </w:tc>
        <w:tc>
          <w:tcPr>
            <w:tcW w:w="1020" w:type="dxa"/>
            <w:vAlign w:val="center"/>
          </w:tcPr>
          <w:p w:rsidR="00B44270" w:rsidRPr="00CA3AC6" w:rsidRDefault="00B44270" w:rsidP="000F2944">
            <w:pPr>
              <w:pStyle w:val="4"/>
              <w:numPr>
                <w:ilvl w:val="0"/>
                <w:numId w:val="0"/>
              </w:numPr>
              <w:jc w:val="right"/>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11.78%</w:t>
            </w:r>
          </w:p>
        </w:tc>
        <w:tc>
          <w:tcPr>
            <w:tcW w:w="1020" w:type="dxa"/>
            <w:vAlign w:val="center"/>
          </w:tcPr>
          <w:p w:rsidR="00B44270" w:rsidRPr="00CA3AC6" w:rsidRDefault="00B44270" w:rsidP="000F2944">
            <w:pPr>
              <w:pStyle w:val="4"/>
              <w:numPr>
                <w:ilvl w:val="0"/>
                <w:numId w:val="0"/>
              </w:numPr>
              <w:jc w:val="right"/>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24.56%</w:t>
            </w:r>
          </w:p>
        </w:tc>
        <w:tc>
          <w:tcPr>
            <w:tcW w:w="1020" w:type="dxa"/>
            <w:vAlign w:val="center"/>
          </w:tcPr>
          <w:p w:rsidR="00B44270" w:rsidRPr="00CA3AC6" w:rsidRDefault="00B44270" w:rsidP="000F2944">
            <w:pPr>
              <w:pStyle w:val="4"/>
              <w:numPr>
                <w:ilvl w:val="0"/>
                <w:numId w:val="0"/>
              </w:numPr>
              <w:jc w:val="right"/>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36.17%</w:t>
            </w:r>
          </w:p>
        </w:tc>
        <w:tc>
          <w:tcPr>
            <w:tcW w:w="2835" w:type="dxa"/>
            <w:vAlign w:val="center"/>
          </w:tcPr>
          <w:p w:rsidR="00B44270" w:rsidRPr="00CA3AC6" w:rsidRDefault="00B44270" w:rsidP="000F2944">
            <w:pPr>
              <w:pStyle w:val="4"/>
              <w:numPr>
                <w:ilvl w:val="0"/>
                <w:numId w:val="0"/>
              </w:numPr>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悠遊</w:t>
            </w:r>
            <w:proofErr w:type="gramStart"/>
            <w:r w:rsidRPr="00CA3AC6">
              <w:rPr>
                <w:rFonts w:hAnsi="標楷體" w:cs="新細明體" w:hint="eastAsia"/>
                <w:color w:val="000000" w:themeColor="text1"/>
                <w:kern w:val="0"/>
                <w:sz w:val="24"/>
                <w:szCs w:val="24"/>
              </w:rPr>
              <w:t>卡投控</w:t>
            </w:r>
            <w:proofErr w:type="gramEnd"/>
            <w:r w:rsidRPr="00CA3AC6">
              <w:rPr>
                <w:rFonts w:hAnsi="標楷體" w:cs="新細明體" w:hint="eastAsia"/>
                <w:color w:val="000000" w:themeColor="text1"/>
                <w:kern w:val="0"/>
                <w:sz w:val="24"/>
                <w:szCs w:val="24"/>
              </w:rPr>
              <w:t>公司發放股票股利2,076萬元</w:t>
            </w:r>
          </w:p>
        </w:tc>
      </w:tr>
      <w:tr w:rsidR="00B44270" w:rsidRPr="00CA3AC6" w:rsidTr="009302A2">
        <w:tc>
          <w:tcPr>
            <w:tcW w:w="1417" w:type="dxa"/>
            <w:vAlign w:val="center"/>
          </w:tcPr>
          <w:p w:rsidR="00B44270" w:rsidRPr="00CA3AC6" w:rsidRDefault="00B44270" w:rsidP="000F2944">
            <w:pPr>
              <w:pStyle w:val="4"/>
              <w:numPr>
                <w:ilvl w:val="0"/>
                <w:numId w:val="0"/>
              </w:numPr>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103/08/22</w:t>
            </w:r>
          </w:p>
        </w:tc>
        <w:tc>
          <w:tcPr>
            <w:tcW w:w="1019" w:type="dxa"/>
            <w:vAlign w:val="center"/>
          </w:tcPr>
          <w:p w:rsidR="00B44270" w:rsidRPr="00CA3AC6" w:rsidRDefault="00B44270" w:rsidP="000F2944">
            <w:pPr>
              <w:pStyle w:val="4"/>
              <w:numPr>
                <w:ilvl w:val="0"/>
                <w:numId w:val="0"/>
              </w:numPr>
              <w:jc w:val="right"/>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8.8</w:t>
            </w:r>
          </w:p>
        </w:tc>
        <w:tc>
          <w:tcPr>
            <w:tcW w:w="1020" w:type="dxa"/>
            <w:vAlign w:val="center"/>
          </w:tcPr>
          <w:p w:rsidR="00B44270" w:rsidRPr="00CA3AC6" w:rsidRDefault="00B44270" w:rsidP="000F2944">
            <w:pPr>
              <w:pStyle w:val="4"/>
              <w:numPr>
                <w:ilvl w:val="0"/>
                <w:numId w:val="0"/>
              </w:numPr>
              <w:jc w:val="right"/>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27.49%</w:t>
            </w:r>
          </w:p>
        </w:tc>
        <w:tc>
          <w:tcPr>
            <w:tcW w:w="1020" w:type="dxa"/>
            <w:vAlign w:val="center"/>
          </w:tcPr>
          <w:p w:rsidR="00B44270" w:rsidRPr="00CA3AC6" w:rsidRDefault="00B44270" w:rsidP="000F2944">
            <w:pPr>
              <w:pStyle w:val="4"/>
              <w:numPr>
                <w:ilvl w:val="0"/>
                <w:numId w:val="0"/>
              </w:numPr>
              <w:jc w:val="right"/>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11.78%</w:t>
            </w:r>
          </w:p>
        </w:tc>
        <w:tc>
          <w:tcPr>
            <w:tcW w:w="1020" w:type="dxa"/>
            <w:vAlign w:val="center"/>
          </w:tcPr>
          <w:p w:rsidR="00B44270" w:rsidRPr="00CA3AC6" w:rsidRDefault="00B44270" w:rsidP="000F2944">
            <w:pPr>
              <w:pStyle w:val="4"/>
              <w:numPr>
                <w:ilvl w:val="0"/>
                <w:numId w:val="0"/>
              </w:numPr>
              <w:jc w:val="right"/>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24.56%</w:t>
            </w:r>
          </w:p>
        </w:tc>
        <w:tc>
          <w:tcPr>
            <w:tcW w:w="1020" w:type="dxa"/>
            <w:vAlign w:val="center"/>
          </w:tcPr>
          <w:p w:rsidR="00B44270" w:rsidRPr="00CA3AC6" w:rsidRDefault="00B44270" w:rsidP="000F2944">
            <w:pPr>
              <w:pStyle w:val="4"/>
              <w:numPr>
                <w:ilvl w:val="0"/>
                <w:numId w:val="0"/>
              </w:numPr>
              <w:jc w:val="right"/>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36.17%</w:t>
            </w:r>
          </w:p>
        </w:tc>
        <w:tc>
          <w:tcPr>
            <w:tcW w:w="2835" w:type="dxa"/>
            <w:vAlign w:val="center"/>
          </w:tcPr>
          <w:p w:rsidR="00B44270" w:rsidRPr="00CA3AC6" w:rsidRDefault="00B44270" w:rsidP="000F2944">
            <w:pPr>
              <w:pStyle w:val="4"/>
              <w:numPr>
                <w:ilvl w:val="0"/>
                <w:numId w:val="0"/>
              </w:numPr>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悠遊</w:t>
            </w:r>
            <w:proofErr w:type="gramStart"/>
            <w:r w:rsidRPr="00CA3AC6">
              <w:rPr>
                <w:rFonts w:hAnsi="標楷體" w:cs="新細明體" w:hint="eastAsia"/>
                <w:color w:val="000000" w:themeColor="text1"/>
                <w:kern w:val="0"/>
                <w:sz w:val="24"/>
                <w:szCs w:val="24"/>
              </w:rPr>
              <w:t>卡投控</w:t>
            </w:r>
            <w:proofErr w:type="gramEnd"/>
            <w:r w:rsidRPr="00CA3AC6">
              <w:rPr>
                <w:rFonts w:hAnsi="標楷體" w:cs="新細明體" w:hint="eastAsia"/>
                <w:color w:val="000000" w:themeColor="text1"/>
                <w:kern w:val="0"/>
                <w:sz w:val="24"/>
                <w:szCs w:val="24"/>
              </w:rPr>
              <w:t>公司發放股票股利8,000萬元</w:t>
            </w:r>
          </w:p>
        </w:tc>
      </w:tr>
      <w:tr w:rsidR="00B44270" w:rsidRPr="00CA3AC6" w:rsidTr="009302A2">
        <w:tc>
          <w:tcPr>
            <w:tcW w:w="1417" w:type="dxa"/>
            <w:vAlign w:val="center"/>
          </w:tcPr>
          <w:p w:rsidR="00B44270" w:rsidRPr="00CA3AC6" w:rsidRDefault="00B44270" w:rsidP="000F2944">
            <w:pPr>
              <w:pStyle w:val="4"/>
              <w:numPr>
                <w:ilvl w:val="0"/>
                <w:numId w:val="0"/>
              </w:numPr>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104/08/31</w:t>
            </w:r>
          </w:p>
        </w:tc>
        <w:tc>
          <w:tcPr>
            <w:tcW w:w="1019" w:type="dxa"/>
            <w:vAlign w:val="center"/>
          </w:tcPr>
          <w:p w:rsidR="00B44270" w:rsidRPr="00CA3AC6" w:rsidRDefault="00B44270" w:rsidP="000F2944">
            <w:pPr>
              <w:pStyle w:val="4"/>
              <w:numPr>
                <w:ilvl w:val="0"/>
                <w:numId w:val="0"/>
              </w:numPr>
              <w:jc w:val="right"/>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9.46</w:t>
            </w:r>
          </w:p>
        </w:tc>
        <w:tc>
          <w:tcPr>
            <w:tcW w:w="1020" w:type="dxa"/>
            <w:vAlign w:val="center"/>
          </w:tcPr>
          <w:p w:rsidR="00B44270" w:rsidRPr="00CA3AC6" w:rsidRDefault="00B44270" w:rsidP="000F2944">
            <w:pPr>
              <w:pStyle w:val="4"/>
              <w:numPr>
                <w:ilvl w:val="0"/>
                <w:numId w:val="0"/>
              </w:numPr>
              <w:jc w:val="right"/>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27.49%</w:t>
            </w:r>
          </w:p>
        </w:tc>
        <w:tc>
          <w:tcPr>
            <w:tcW w:w="1020" w:type="dxa"/>
            <w:vAlign w:val="center"/>
          </w:tcPr>
          <w:p w:rsidR="00B44270" w:rsidRPr="00CA3AC6" w:rsidRDefault="00B44270" w:rsidP="000F2944">
            <w:pPr>
              <w:pStyle w:val="4"/>
              <w:numPr>
                <w:ilvl w:val="0"/>
                <w:numId w:val="0"/>
              </w:numPr>
              <w:jc w:val="right"/>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11.78%</w:t>
            </w:r>
          </w:p>
        </w:tc>
        <w:tc>
          <w:tcPr>
            <w:tcW w:w="1020" w:type="dxa"/>
            <w:vAlign w:val="center"/>
          </w:tcPr>
          <w:p w:rsidR="00B44270" w:rsidRPr="00CA3AC6" w:rsidRDefault="00B44270" w:rsidP="000F2944">
            <w:pPr>
              <w:pStyle w:val="4"/>
              <w:numPr>
                <w:ilvl w:val="0"/>
                <w:numId w:val="0"/>
              </w:numPr>
              <w:jc w:val="right"/>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24.56%</w:t>
            </w:r>
          </w:p>
        </w:tc>
        <w:tc>
          <w:tcPr>
            <w:tcW w:w="1020" w:type="dxa"/>
            <w:vAlign w:val="center"/>
          </w:tcPr>
          <w:p w:rsidR="00B44270" w:rsidRPr="00CA3AC6" w:rsidRDefault="00B44270" w:rsidP="000F2944">
            <w:pPr>
              <w:pStyle w:val="4"/>
              <w:numPr>
                <w:ilvl w:val="0"/>
                <w:numId w:val="0"/>
              </w:numPr>
              <w:jc w:val="right"/>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36.17%</w:t>
            </w:r>
          </w:p>
        </w:tc>
        <w:tc>
          <w:tcPr>
            <w:tcW w:w="2835" w:type="dxa"/>
            <w:vAlign w:val="center"/>
          </w:tcPr>
          <w:p w:rsidR="00B44270" w:rsidRPr="00CA3AC6" w:rsidRDefault="00B44270" w:rsidP="000F2944">
            <w:pPr>
              <w:pStyle w:val="4"/>
              <w:numPr>
                <w:ilvl w:val="0"/>
                <w:numId w:val="0"/>
              </w:numPr>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悠遊</w:t>
            </w:r>
            <w:proofErr w:type="gramStart"/>
            <w:r w:rsidRPr="00CA3AC6">
              <w:rPr>
                <w:rFonts w:hAnsi="標楷體" w:cs="新細明體" w:hint="eastAsia"/>
                <w:color w:val="000000" w:themeColor="text1"/>
                <w:kern w:val="0"/>
                <w:sz w:val="24"/>
                <w:szCs w:val="24"/>
              </w:rPr>
              <w:t>卡投控</w:t>
            </w:r>
            <w:proofErr w:type="gramEnd"/>
            <w:r w:rsidRPr="00CA3AC6">
              <w:rPr>
                <w:rFonts w:hAnsi="標楷體" w:cs="新細明體" w:hint="eastAsia"/>
                <w:color w:val="000000" w:themeColor="text1"/>
                <w:kern w:val="0"/>
                <w:sz w:val="24"/>
                <w:szCs w:val="24"/>
              </w:rPr>
              <w:t>公司發放股票股利6,600萬元</w:t>
            </w:r>
          </w:p>
        </w:tc>
      </w:tr>
      <w:tr w:rsidR="00B44270" w:rsidRPr="00CA3AC6" w:rsidTr="009302A2">
        <w:tc>
          <w:tcPr>
            <w:tcW w:w="1417" w:type="dxa"/>
            <w:vAlign w:val="center"/>
          </w:tcPr>
          <w:p w:rsidR="00B44270" w:rsidRPr="00CA3AC6" w:rsidRDefault="00B44270" w:rsidP="000F2944">
            <w:pPr>
              <w:pStyle w:val="4"/>
              <w:numPr>
                <w:ilvl w:val="0"/>
                <w:numId w:val="0"/>
              </w:numPr>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合計</w:t>
            </w:r>
          </w:p>
        </w:tc>
        <w:tc>
          <w:tcPr>
            <w:tcW w:w="1019" w:type="dxa"/>
            <w:vAlign w:val="center"/>
          </w:tcPr>
          <w:p w:rsidR="00B44270" w:rsidRPr="00CA3AC6" w:rsidRDefault="00B44270" w:rsidP="000F2944">
            <w:pPr>
              <w:pStyle w:val="4"/>
              <w:numPr>
                <w:ilvl w:val="0"/>
                <w:numId w:val="0"/>
              </w:numPr>
              <w:jc w:val="right"/>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9.46</w:t>
            </w:r>
          </w:p>
        </w:tc>
        <w:tc>
          <w:tcPr>
            <w:tcW w:w="2040" w:type="dxa"/>
            <w:gridSpan w:val="2"/>
            <w:vAlign w:val="center"/>
          </w:tcPr>
          <w:p w:rsidR="00B44270" w:rsidRPr="00CA3AC6" w:rsidRDefault="00B44270" w:rsidP="000F2944">
            <w:pPr>
              <w:pStyle w:val="4"/>
              <w:numPr>
                <w:ilvl w:val="0"/>
                <w:numId w:val="0"/>
              </w:numPr>
              <w:jc w:val="center"/>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39.27%</w:t>
            </w:r>
          </w:p>
        </w:tc>
        <w:tc>
          <w:tcPr>
            <w:tcW w:w="2040" w:type="dxa"/>
            <w:gridSpan w:val="2"/>
            <w:vAlign w:val="center"/>
          </w:tcPr>
          <w:p w:rsidR="00B44270" w:rsidRPr="00CA3AC6" w:rsidRDefault="00B44270" w:rsidP="000F2944">
            <w:pPr>
              <w:pStyle w:val="4"/>
              <w:numPr>
                <w:ilvl w:val="0"/>
                <w:numId w:val="0"/>
              </w:numPr>
              <w:jc w:val="center"/>
              <w:rPr>
                <w:rFonts w:hAnsi="標楷體" w:cs="新細明體"/>
                <w:color w:val="000000" w:themeColor="text1"/>
                <w:kern w:val="0"/>
                <w:sz w:val="24"/>
                <w:szCs w:val="24"/>
              </w:rPr>
            </w:pPr>
            <w:r w:rsidRPr="00CA3AC6">
              <w:rPr>
                <w:rFonts w:hAnsi="標楷體" w:cs="新細明體" w:hint="eastAsia"/>
                <w:color w:val="000000" w:themeColor="text1"/>
                <w:kern w:val="0"/>
                <w:sz w:val="24"/>
                <w:szCs w:val="24"/>
              </w:rPr>
              <w:t>60.73%</w:t>
            </w:r>
          </w:p>
        </w:tc>
        <w:tc>
          <w:tcPr>
            <w:tcW w:w="2835" w:type="dxa"/>
            <w:vAlign w:val="center"/>
          </w:tcPr>
          <w:p w:rsidR="00B44270" w:rsidRPr="00CA3AC6" w:rsidRDefault="00B44270" w:rsidP="000F2944">
            <w:pPr>
              <w:pStyle w:val="4"/>
              <w:numPr>
                <w:ilvl w:val="0"/>
                <w:numId w:val="0"/>
              </w:numPr>
              <w:rPr>
                <w:rFonts w:hAnsi="標楷體" w:cs="新細明體"/>
                <w:color w:val="000000" w:themeColor="text1"/>
                <w:kern w:val="0"/>
                <w:sz w:val="24"/>
                <w:szCs w:val="24"/>
              </w:rPr>
            </w:pPr>
          </w:p>
        </w:tc>
      </w:tr>
    </w:tbl>
    <w:p w:rsidR="00393DF7" w:rsidRPr="00CA3AC6" w:rsidRDefault="00B44270" w:rsidP="009302A2">
      <w:pPr>
        <w:pStyle w:val="4"/>
        <w:numPr>
          <w:ilvl w:val="0"/>
          <w:numId w:val="0"/>
        </w:numPr>
        <w:ind w:firstLineChars="250" w:firstLine="650"/>
        <w:rPr>
          <w:rFonts w:hAnsi="標楷體"/>
          <w:color w:val="000000" w:themeColor="text1"/>
          <w:szCs w:val="32"/>
        </w:rPr>
      </w:pPr>
      <w:r w:rsidRPr="00CA3AC6">
        <w:rPr>
          <w:rFonts w:hAnsi="標楷體" w:hint="eastAsia"/>
          <w:color w:val="000000" w:themeColor="text1"/>
          <w:sz w:val="24"/>
          <w:szCs w:val="24"/>
        </w:rPr>
        <w:t>資料來源：臺北市政府</w:t>
      </w:r>
    </w:p>
    <w:p w:rsidR="0033148B" w:rsidRPr="00CA3AC6" w:rsidRDefault="0033148B" w:rsidP="00393DF7">
      <w:pPr>
        <w:pStyle w:val="4"/>
        <w:numPr>
          <w:ilvl w:val="0"/>
          <w:numId w:val="0"/>
        </w:numPr>
        <w:rPr>
          <w:rFonts w:hAnsi="標楷體"/>
          <w:color w:val="000000" w:themeColor="text1"/>
          <w:szCs w:val="32"/>
        </w:rPr>
      </w:pPr>
      <w:r w:rsidRPr="00CA3AC6">
        <w:rPr>
          <w:rFonts w:hAnsi="標楷體"/>
          <w:noProof/>
          <w:color w:val="000000" w:themeColor="text1"/>
          <w:szCs w:val="32"/>
        </w:rPr>
        <w:lastRenderedPageBreak/>
        <w:drawing>
          <wp:anchor distT="0" distB="0" distL="114300" distR="114300" simplePos="0" relativeHeight="251663360" behindDoc="0" locked="0" layoutInCell="1" allowOverlap="1" wp14:anchorId="7892ACDA" wp14:editId="2DFE23A7">
            <wp:simplePos x="0" y="0"/>
            <wp:positionH relativeFrom="column">
              <wp:posOffset>383540</wp:posOffset>
            </wp:positionH>
            <wp:positionV relativeFrom="paragraph">
              <wp:posOffset>-331470</wp:posOffset>
            </wp:positionV>
            <wp:extent cx="6419850" cy="5231130"/>
            <wp:effectExtent l="0" t="0" r="0" b="0"/>
            <wp:wrapSquare wrapText="bothSides"/>
            <wp:docPr id="88" name="圖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9850" cy="5231130"/>
                    </a:xfrm>
                    <a:prstGeom prst="rect">
                      <a:avLst/>
                    </a:prstGeom>
                    <a:noFill/>
                  </pic:spPr>
                </pic:pic>
              </a:graphicData>
            </a:graphic>
            <wp14:sizeRelH relativeFrom="page">
              <wp14:pctWidth>0</wp14:pctWidth>
            </wp14:sizeRelH>
            <wp14:sizeRelV relativeFrom="page">
              <wp14:pctHeight>0</wp14:pctHeight>
            </wp14:sizeRelV>
          </wp:anchor>
        </w:drawing>
      </w:r>
    </w:p>
    <w:p w:rsidR="000D2BC8" w:rsidRPr="00A25F83" w:rsidRDefault="0013398A" w:rsidP="005A18DE">
      <w:pPr>
        <w:pStyle w:val="4"/>
        <w:rPr>
          <w:rFonts w:hAnsi="標楷體"/>
          <w:szCs w:val="32"/>
        </w:rPr>
      </w:pPr>
      <w:r w:rsidRPr="006F7AC3">
        <w:rPr>
          <w:rFonts w:hAnsi="標楷體" w:hint="eastAsia"/>
          <w:szCs w:val="32"/>
        </w:rPr>
        <w:t>悠遊卡公司</w:t>
      </w:r>
      <w:r w:rsidR="005A1EEA" w:rsidRPr="006F7AC3">
        <w:rPr>
          <w:rFonts w:hAnsi="標楷體" w:hint="eastAsia"/>
          <w:szCs w:val="32"/>
        </w:rPr>
        <w:t>係依大眾捷運法第32條規定，</w:t>
      </w:r>
      <w:r w:rsidRPr="006F7AC3">
        <w:rPr>
          <w:rFonts w:hAnsi="標楷體" w:hint="eastAsia"/>
          <w:szCs w:val="32"/>
        </w:rPr>
        <w:t>由臺北市政府所</w:t>
      </w:r>
      <w:proofErr w:type="gramStart"/>
      <w:r w:rsidRPr="006F7AC3">
        <w:rPr>
          <w:rFonts w:hAnsi="標楷體" w:hint="eastAsia"/>
          <w:szCs w:val="32"/>
        </w:rPr>
        <w:t>核准或責令</w:t>
      </w:r>
      <w:proofErr w:type="gramEnd"/>
      <w:r w:rsidRPr="006F7AC3">
        <w:rPr>
          <w:rFonts w:hAnsi="標楷體" w:hint="eastAsia"/>
          <w:szCs w:val="32"/>
        </w:rPr>
        <w:t>之行政處分</w:t>
      </w:r>
      <w:r w:rsidR="00EA6109" w:rsidRPr="006F7AC3">
        <w:rPr>
          <w:rFonts w:hAnsi="標楷體" w:hint="eastAsia"/>
          <w:szCs w:val="32"/>
        </w:rPr>
        <w:t>而</w:t>
      </w:r>
      <w:r w:rsidRPr="006F7AC3">
        <w:rPr>
          <w:rFonts w:hAnsi="標楷體" w:hint="eastAsia"/>
          <w:szCs w:val="32"/>
        </w:rPr>
        <w:t>成立之公司，</w:t>
      </w:r>
      <w:r w:rsidR="00EA6109" w:rsidRPr="006F7AC3">
        <w:rPr>
          <w:rFonts w:hAnsi="標楷體" w:hint="eastAsia"/>
          <w:szCs w:val="32"/>
        </w:rPr>
        <w:t>且</w:t>
      </w:r>
      <w:r w:rsidR="001929DE" w:rsidRPr="006F7AC3">
        <w:rPr>
          <w:rFonts w:hAnsi="標楷體" w:hint="eastAsia"/>
          <w:szCs w:val="32"/>
        </w:rPr>
        <w:t>按臺北市政府投資事業管理監督自治條例第15條規定</w:t>
      </w:r>
      <w:r w:rsidR="00563A5D" w:rsidRPr="006F7AC3">
        <w:rPr>
          <w:rFonts w:hAnsi="標楷體" w:hint="eastAsia"/>
          <w:szCs w:val="32"/>
        </w:rPr>
        <w:t>：「</w:t>
      </w:r>
      <w:r w:rsidR="001929DE" w:rsidRPr="006F7AC3">
        <w:rPr>
          <w:rFonts w:hAnsi="標楷體" w:hint="eastAsia"/>
          <w:szCs w:val="32"/>
        </w:rPr>
        <w:t>市政府資本額超過</w:t>
      </w:r>
      <w:r w:rsidR="003F4219" w:rsidRPr="006F7AC3">
        <w:rPr>
          <w:rFonts w:hAnsi="標楷體" w:hint="eastAsia"/>
          <w:szCs w:val="32"/>
        </w:rPr>
        <w:t>50%</w:t>
      </w:r>
      <w:r w:rsidR="001929DE" w:rsidRPr="006F7AC3">
        <w:rPr>
          <w:rFonts w:hAnsi="標楷體" w:hint="eastAsia"/>
          <w:szCs w:val="32"/>
        </w:rPr>
        <w:t>以上之公司事業，其主管機關職權，</w:t>
      </w:r>
      <w:proofErr w:type="gramStart"/>
      <w:r w:rsidR="001929DE" w:rsidRPr="006F7AC3">
        <w:rPr>
          <w:rFonts w:hAnsi="標楷體" w:hint="eastAsia"/>
          <w:szCs w:val="32"/>
        </w:rPr>
        <w:t>準</w:t>
      </w:r>
      <w:proofErr w:type="gramEnd"/>
      <w:r w:rsidR="001929DE" w:rsidRPr="006F7AC3">
        <w:rPr>
          <w:rFonts w:hAnsi="標楷體" w:hint="eastAsia"/>
          <w:szCs w:val="32"/>
        </w:rPr>
        <w:t>用第10條規定。市政府資本額未超過</w:t>
      </w:r>
      <w:r w:rsidR="003F4219" w:rsidRPr="006F7AC3">
        <w:rPr>
          <w:rFonts w:hAnsi="標楷體" w:hint="eastAsia"/>
          <w:szCs w:val="32"/>
        </w:rPr>
        <w:t>50%</w:t>
      </w:r>
      <w:r w:rsidR="001929DE" w:rsidRPr="006F7AC3">
        <w:rPr>
          <w:rFonts w:hAnsi="標楷體" w:hint="eastAsia"/>
          <w:szCs w:val="32"/>
        </w:rPr>
        <w:t>以上之公司事業，其主管機關職權如下：一、投資計畫之擬定。二、經營效益之分析考核及增資、撤資之擬議。三、投資資金之籌劃。四、對市政府代表之協調聯繫。五、對市政府代表之報告及請示事項之核辦。</w:t>
      </w:r>
      <w:r w:rsidR="00563A5D" w:rsidRPr="006F7AC3">
        <w:rPr>
          <w:rFonts w:hAnsi="標楷體" w:hint="eastAsia"/>
          <w:szCs w:val="32"/>
        </w:rPr>
        <w:t>」</w:t>
      </w:r>
      <w:r w:rsidR="00FD6C36" w:rsidRPr="006F7AC3">
        <w:rPr>
          <w:rFonts w:hAnsi="標楷體" w:hint="eastAsia"/>
          <w:szCs w:val="32"/>
        </w:rPr>
        <w:t>第16條規定：</w:t>
      </w:r>
      <w:r w:rsidR="00563A5D" w:rsidRPr="006F7AC3">
        <w:rPr>
          <w:rFonts w:hAnsi="標楷體" w:hint="eastAsia"/>
          <w:szCs w:val="32"/>
        </w:rPr>
        <w:t>「</w:t>
      </w:r>
      <w:r w:rsidR="001929DE" w:rsidRPr="006F7AC3">
        <w:rPr>
          <w:rFonts w:hAnsi="標楷體" w:hint="eastAsia"/>
          <w:szCs w:val="32"/>
        </w:rPr>
        <w:t>依股權由市政府指派之代表，其選</w:t>
      </w:r>
      <w:r w:rsidR="00D96175" w:rsidRPr="006F7AC3">
        <w:rPr>
          <w:rFonts w:hAnsi="標楷體" w:hint="eastAsia"/>
          <w:szCs w:val="32"/>
        </w:rPr>
        <w:t>派</w:t>
      </w:r>
      <w:r w:rsidR="001929DE" w:rsidRPr="006F7AC3">
        <w:rPr>
          <w:rFonts w:hAnsi="標楷體" w:hint="eastAsia"/>
          <w:szCs w:val="32"/>
        </w:rPr>
        <w:t>、考</w:t>
      </w:r>
      <w:r w:rsidR="001929DE" w:rsidRPr="006F7AC3">
        <w:rPr>
          <w:rFonts w:hAnsi="標楷體" w:hint="eastAsia"/>
          <w:szCs w:val="32"/>
        </w:rPr>
        <w:lastRenderedPageBreak/>
        <w:t>核及解職，由主管機關報經市政府核定；並送</w:t>
      </w:r>
      <w:r w:rsidR="001929DE" w:rsidRPr="00A25F83">
        <w:rPr>
          <w:rFonts w:hAnsi="標楷體" w:hint="eastAsia"/>
          <w:szCs w:val="32"/>
        </w:rPr>
        <w:t>請市議會備查。前項代表包括公司創立發起人、市政府股權代表、董事、監察人及其他必須</w:t>
      </w:r>
      <w:proofErr w:type="gramStart"/>
      <w:r w:rsidR="001929DE" w:rsidRPr="00A25F83">
        <w:rPr>
          <w:rFonts w:hAnsi="標楷體" w:hint="eastAsia"/>
          <w:szCs w:val="32"/>
        </w:rPr>
        <w:t>遴</w:t>
      </w:r>
      <w:proofErr w:type="gramEnd"/>
      <w:r w:rsidR="001929DE" w:rsidRPr="00A25F83">
        <w:rPr>
          <w:rFonts w:hAnsi="標楷體" w:hint="eastAsia"/>
          <w:szCs w:val="32"/>
        </w:rPr>
        <w:t>派之人員。</w:t>
      </w:r>
      <w:r w:rsidR="00563A5D" w:rsidRPr="00A25F83">
        <w:rPr>
          <w:rFonts w:hAnsi="標楷體" w:hint="eastAsia"/>
          <w:szCs w:val="32"/>
        </w:rPr>
        <w:t>」</w:t>
      </w:r>
      <w:r w:rsidR="00FD6C36" w:rsidRPr="00A25F83">
        <w:rPr>
          <w:rFonts w:hAnsi="標楷體" w:hint="eastAsia"/>
          <w:szCs w:val="32"/>
        </w:rPr>
        <w:t>第17條規定：</w:t>
      </w:r>
      <w:r w:rsidR="00563A5D" w:rsidRPr="00A25F83">
        <w:rPr>
          <w:rFonts w:hAnsi="標楷體" w:hint="eastAsia"/>
          <w:szCs w:val="32"/>
        </w:rPr>
        <w:t>「</w:t>
      </w:r>
      <w:r w:rsidR="001929DE" w:rsidRPr="00A25F83">
        <w:rPr>
          <w:rFonts w:hAnsi="標楷體" w:hint="eastAsia"/>
          <w:szCs w:val="32"/>
        </w:rPr>
        <w:t>市政府指派之代表應依據有關法令、章程、契約等規定行使職權，並應遵守主管機關之指示，以維護市政府權益</w:t>
      </w:r>
      <w:r w:rsidR="00563A5D" w:rsidRPr="00A25F83">
        <w:rPr>
          <w:rFonts w:hAnsi="標楷體" w:hint="eastAsia"/>
          <w:szCs w:val="32"/>
        </w:rPr>
        <w:t>。」</w:t>
      </w:r>
      <w:proofErr w:type="gramStart"/>
      <w:r w:rsidR="001929DE" w:rsidRPr="00A25F83">
        <w:rPr>
          <w:rFonts w:hAnsi="標楷體" w:hint="eastAsia"/>
          <w:szCs w:val="32"/>
        </w:rPr>
        <w:t>從而，</w:t>
      </w:r>
      <w:proofErr w:type="gramEnd"/>
      <w:r w:rsidR="007544E9" w:rsidRPr="00A25F83">
        <w:rPr>
          <w:rFonts w:hAnsi="標楷體" w:hint="eastAsia"/>
          <w:szCs w:val="32"/>
        </w:rPr>
        <w:t>基於</w:t>
      </w:r>
      <w:r w:rsidR="007C5DDD" w:rsidRPr="00A25F83">
        <w:rPr>
          <w:rFonts w:hAnsi="標楷體" w:hint="eastAsia"/>
          <w:szCs w:val="32"/>
        </w:rPr>
        <w:t>臺北市政府與其持股73.75%之</w:t>
      </w:r>
      <w:proofErr w:type="gramStart"/>
      <w:r w:rsidR="007C5DDD" w:rsidRPr="00A25F83">
        <w:rPr>
          <w:rFonts w:hAnsi="標楷體" w:hint="eastAsia"/>
          <w:szCs w:val="32"/>
        </w:rPr>
        <w:t>臺</w:t>
      </w:r>
      <w:proofErr w:type="gramEnd"/>
      <w:r w:rsidR="007C5DDD" w:rsidRPr="00A25F83">
        <w:rPr>
          <w:rFonts w:hAnsi="標楷體" w:hint="eastAsia"/>
          <w:szCs w:val="32"/>
        </w:rPr>
        <w:t>北捷運公司</w:t>
      </w:r>
      <w:proofErr w:type="gramStart"/>
      <w:r w:rsidR="007C5DDD" w:rsidRPr="00A25F83">
        <w:rPr>
          <w:rFonts w:hAnsi="標楷體" w:hint="eastAsia"/>
          <w:szCs w:val="32"/>
        </w:rPr>
        <w:t>為悠遊卡投控</w:t>
      </w:r>
      <w:proofErr w:type="gramEnd"/>
      <w:r w:rsidR="007C5DDD" w:rsidRPr="00A25F83">
        <w:rPr>
          <w:rFonts w:hAnsi="標楷體" w:hint="eastAsia"/>
          <w:szCs w:val="32"/>
        </w:rPr>
        <w:t>公司之大股東，持股合計39.27%</w:t>
      </w:r>
      <w:r w:rsidR="000D2BC8" w:rsidRPr="00A25F83">
        <w:rPr>
          <w:rFonts w:hAnsi="標楷體" w:hint="eastAsia"/>
          <w:szCs w:val="32"/>
        </w:rPr>
        <w:t>，</w:t>
      </w:r>
      <w:proofErr w:type="gramStart"/>
      <w:r w:rsidR="00E41AB3" w:rsidRPr="00A25F83">
        <w:rPr>
          <w:rFonts w:hAnsi="標楷體" w:hint="eastAsia"/>
          <w:szCs w:val="32"/>
        </w:rPr>
        <w:t>而悠遊卡投控</w:t>
      </w:r>
      <w:proofErr w:type="gramEnd"/>
      <w:r w:rsidR="00E41AB3" w:rsidRPr="00A25F83">
        <w:rPr>
          <w:rFonts w:hAnsi="標楷體" w:hint="eastAsia"/>
          <w:szCs w:val="32"/>
        </w:rPr>
        <w:t>公司</w:t>
      </w:r>
      <w:r w:rsidR="000D2BC8" w:rsidRPr="00A25F83">
        <w:rPr>
          <w:rFonts w:hAnsi="標楷體" w:hint="eastAsia"/>
          <w:szCs w:val="32"/>
        </w:rPr>
        <w:t>持有悠遊卡公司100%股份</w:t>
      </w:r>
      <w:r w:rsidR="00E41AB3" w:rsidRPr="00A25F83">
        <w:rPr>
          <w:rFonts w:hAnsi="標楷體" w:hint="eastAsia"/>
          <w:szCs w:val="32"/>
        </w:rPr>
        <w:t>，</w:t>
      </w:r>
      <w:proofErr w:type="gramStart"/>
      <w:r w:rsidR="00E41AB3" w:rsidRPr="00A25F83">
        <w:rPr>
          <w:rFonts w:hAnsi="標楷體" w:hint="eastAsia"/>
          <w:szCs w:val="32"/>
        </w:rPr>
        <w:t>爰</w:t>
      </w:r>
      <w:proofErr w:type="gramEnd"/>
      <w:r w:rsidR="00E41AB3" w:rsidRPr="00A25F83">
        <w:rPr>
          <w:rFonts w:hAnsi="標楷體" w:hint="eastAsia"/>
          <w:szCs w:val="32"/>
        </w:rPr>
        <w:t>悠遊</w:t>
      </w:r>
      <w:proofErr w:type="gramStart"/>
      <w:r w:rsidR="00E41AB3" w:rsidRPr="00A25F83">
        <w:rPr>
          <w:rFonts w:hAnsi="標楷體" w:hint="eastAsia"/>
          <w:szCs w:val="32"/>
        </w:rPr>
        <w:t>卡投控</w:t>
      </w:r>
      <w:proofErr w:type="gramEnd"/>
      <w:r w:rsidR="00E41AB3" w:rsidRPr="00A25F83">
        <w:rPr>
          <w:rFonts w:hAnsi="標楷體" w:hint="eastAsia"/>
          <w:szCs w:val="32"/>
        </w:rPr>
        <w:t>公司對悠遊卡公司具有控制權</w:t>
      </w:r>
      <w:r w:rsidR="007C5DDD" w:rsidRPr="00A25F83">
        <w:rPr>
          <w:rFonts w:hAnsi="標楷體" w:hint="eastAsia"/>
          <w:szCs w:val="32"/>
        </w:rPr>
        <w:t>，</w:t>
      </w:r>
      <w:r w:rsidR="00BD50CD" w:rsidRPr="00A25F83">
        <w:rPr>
          <w:rFonts w:hAnsi="標楷體" w:hint="eastAsia"/>
          <w:szCs w:val="32"/>
        </w:rPr>
        <w:t>且</w:t>
      </w:r>
      <w:proofErr w:type="gramStart"/>
      <w:r w:rsidR="00BD50CD" w:rsidRPr="00A25F83">
        <w:rPr>
          <w:rFonts w:hAnsi="標楷體" w:hint="eastAsia"/>
          <w:szCs w:val="32"/>
        </w:rPr>
        <w:t>由悠遊卡投控</w:t>
      </w:r>
      <w:proofErr w:type="gramEnd"/>
      <w:r w:rsidR="00BD50CD" w:rsidRPr="00A25F83">
        <w:rPr>
          <w:rFonts w:hAnsi="標楷體" w:hint="eastAsia"/>
          <w:szCs w:val="32"/>
        </w:rPr>
        <w:t>公司</w:t>
      </w:r>
      <w:r w:rsidR="00E41AB3" w:rsidRPr="00A25F83">
        <w:rPr>
          <w:rFonts w:hAnsi="標楷體" w:hint="eastAsia"/>
          <w:szCs w:val="32"/>
        </w:rPr>
        <w:t>歷年</w:t>
      </w:r>
      <w:r w:rsidR="00BD50CD" w:rsidRPr="00A25F83">
        <w:rPr>
          <w:rFonts w:hAnsi="標楷體" w:hint="eastAsia"/>
          <w:szCs w:val="32"/>
        </w:rPr>
        <w:t>向經濟部申請變更登記之</w:t>
      </w:r>
      <w:r w:rsidR="00E41AB3" w:rsidRPr="00A25F83">
        <w:rPr>
          <w:rFonts w:hAnsi="標楷體" w:hint="eastAsia"/>
          <w:szCs w:val="32"/>
        </w:rPr>
        <w:t>資料顯示，</w:t>
      </w:r>
      <w:proofErr w:type="gramStart"/>
      <w:r w:rsidR="00E41AB3" w:rsidRPr="00A25F83">
        <w:rPr>
          <w:rFonts w:hAnsi="標楷體" w:hint="eastAsia"/>
          <w:szCs w:val="32"/>
        </w:rPr>
        <w:t>臺</w:t>
      </w:r>
      <w:proofErr w:type="gramEnd"/>
      <w:r w:rsidR="00E41AB3" w:rsidRPr="00A25F83">
        <w:rPr>
          <w:rFonts w:hAnsi="標楷體" w:hint="eastAsia"/>
          <w:szCs w:val="32"/>
        </w:rPr>
        <w:t>北捷運公司指派之</w:t>
      </w:r>
      <w:r w:rsidR="002D6558" w:rsidRPr="00A25F83">
        <w:rPr>
          <w:rFonts w:hAnsi="標楷體" w:hint="eastAsia"/>
          <w:szCs w:val="32"/>
        </w:rPr>
        <w:t>悠遊</w:t>
      </w:r>
      <w:proofErr w:type="gramStart"/>
      <w:r w:rsidR="002D6558" w:rsidRPr="00A25F83">
        <w:rPr>
          <w:rFonts w:hAnsi="標楷體" w:hint="eastAsia"/>
          <w:szCs w:val="32"/>
        </w:rPr>
        <w:t>卡投控</w:t>
      </w:r>
      <w:proofErr w:type="gramEnd"/>
      <w:r w:rsidR="002D6558" w:rsidRPr="00A25F83">
        <w:rPr>
          <w:rFonts w:hAnsi="標楷體" w:hint="eastAsia"/>
          <w:szCs w:val="32"/>
        </w:rPr>
        <w:t>公司</w:t>
      </w:r>
      <w:r w:rsidR="00E41AB3" w:rsidRPr="00A25F83">
        <w:rPr>
          <w:rFonts w:hAnsi="標楷體" w:hint="eastAsia"/>
          <w:szCs w:val="32"/>
        </w:rPr>
        <w:t>公股代表</w:t>
      </w:r>
      <w:proofErr w:type="gramStart"/>
      <w:r w:rsidR="00E41AB3" w:rsidRPr="00A25F83">
        <w:rPr>
          <w:rFonts w:hAnsi="標楷體" w:hint="eastAsia"/>
          <w:szCs w:val="32"/>
        </w:rPr>
        <w:t>均係悠</w:t>
      </w:r>
      <w:proofErr w:type="gramEnd"/>
      <w:r w:rsidR="00E41AB3" w:rsidRPr="00A25F83">
        <w:rPr>
          <w:rFonts w:hAnsi="標楷體" w:hint="eastAsia"/>
          <w:szCs w:val="32"/>
        </w:rPr>
        <w:t>遊卡公司之董事長，因而</w:t>
      </w:r>
      <w:r w:rsidR="00DD3723" w:rsidRPr="00A25F83">
        <w:rPr>
          <w:rFonts w:hAnsi="標楷體" w:hint="eastAsia"/>
          <w:szCs w:val="32"/>
        </w:rPr>
        <w:t>身</w:t>
      </w:r>
      <w:proofErr w:type="gramStart"/>
      <w:r w:rsidR="00DD3723" w:rsidRPr="00A25F83">
        <w:rPr>
          <w:rFonts w:hAnsi="標楷體" w:hint="eastAsia"/>
          <w:szCs w:val="32"/>
        </w:rPr>
        <w:t>為悠遊卡投控</w:t>
      </w:r>
      <w:proofErr w:type="gramEnd"/>
      <w:r w:rsidR="00DD3723" w:rsidRPr="00A25F83">
        <w:rPr>
          <w:rFonts w:hAnsi="標楷體" w:hint="eastAsia"/>
          <w:szCs w:val="32"/>
        </w:rPr>
        <w:t>公司大股東之</w:t>
      </w:r>
      <w:r w:rsidR="005A18DE" w:rsidRPr="00A25F83">
        <w:rPr>
          <w:rFonts w:hAnsi="標楷體" w:hint="eastAsia"/>
          <w:szCs w:val="32"/>
        </w:rPr>
        <w:t>臺北市政府</w:t>
      </w:r>
      <w:r w:rsidR="00DD3723" w:rsidRPr="00A25F83">
        <w:rPr>
          <w:rFonts w:hAnsi="標楷體" w:hint="eastAsia"/>
          <w:szCs w:val="32"/>
        </w:rPr>
        <w:t>，自得透過悠遊</w:t>
      </w:r>
      <w:proofErr w:type="gramStart"/>
      <w:r w:rsidR="00DD3723" w:rsidRPr="00A25F83">
        <w:rPr>
          <w:rFonts w:hAnsi="標楷體" w:hint="eastAsia"/>
          <w:szCs w:val="32"/>
        </w:rPr>
        <w:t>卡投控</w:t>
      </w:r>
      <w:proofErr w:type="gramEnd"/>
      <w:r w:rsidR="00DD3723" w:rsidRPr="00A25F83">
        <w:rPr>
          <w:rFonts w:hAnsi="標楷體" w:hint="eastAsia"/>
          <w:szCs w:val="32"/>
        </w:rPr>
        <w:t>公司股東間之協商</w:t>
      </w:r>
      <w:r w:rsidR="005A18DE" w:rsidRPr="00A25F83">
        <w:rPr>
          <w:rFonts w:hAnsi="標楷體" w:hint="eastAsia"/>
          <w:szCs w:val="32"/>
        </w:rPr>
        <w:t>機制，</w:t>
      </w:r>
      <w:proofErr w:type="gramStart"/>
      <w:r w:rsidR="005A18DE" w:rsidRPr="00A25F83">
        <w:rPr>
          <w:rFonts w:hAnsi="標楷體" w:hint="eastAsia"/>
          <w:szCs w:val="32"/>
        </w:rPr>
        <w:t>監督悠</w:t>
      </w:r>
      <w:proofErr w:type="gramEnd"/>
      <w:r w:rsidR="005A18DE" w:rsidRPr="00A25F83">
        <w:rPr>
          <w:rFonts w:hAnsi="標楷體" w:hint="eastAsia"/>
          <w:szCs w:val="32"/>
        </w:rPr>
        <w:t>遊卡公司之營利行為</w:t>
      </w:r>
      <w:r w:rsidR="007544E9" w:rsidRPr="00A25F83">
        <w:rPr>
          <w:rFonts w:hAnsi="標楷體" w:hint="eastAsia"/>
          <w:szCs w:val="32"/>
        </w:rPr>
        <w:t>。</w:t>
      </w:r>
    </w:p>
    <w:p w:rsidR="00AD0FF6" w:rsidRPr="006F7AC3" w:rsidRDefault="00342F91" w:rsidP="007448CC">
      <w:pPr>
        <w:pStyle w:val="3"/>
        <w:rPr>
          <w:rFonts w:hAnsi="標楷體"/>
          <w:color w:val="000000" w:themeColor="text1"/>
          <w:szCs w:val="32"/>
        </w:rPr>
      </w:pPr>
      <w:r w:rsidRPr="00A25F83">
        <w:rPr>
          <w:rFonts w:hAnsi="標楷體" w:hint="eastAsia"/>
          <w:szCs w:val="32"/>
        </w:rPr>
        <w:t>然於104年4月間，</w:t>
      </w:r>
      <w:r w:rsidRPr="00A25F83">
        <w:rPr>
          <w:rFonts w:hAnsi="標楷體" w:cs="新細明體" w:hint="eastAsia"/>
          <w:kern w:val="0"/>
          <w:szCs w:val="32"/>
        </w:rPr>
        <w:t>悠遊卡公司董事長戴季全竟主動</w:t>
      </w:r>
      <w:r w:rsidRPr="006F7AC3">
        <w:rPr>
          <w:rFonts w:hAnsi="標楷體" w:cs="新細明體" w:hint="eastAsia"/>
          <w:color w:val="000000" w:themeColor="text1"/>
          <w:kern w:val="0"/>
          <w:szCs w:val="32"/>
        </w:rPr>
        <w:t>提出發行以日本AV女</w:t>
      </w:r>
      <w:proofErr w:type="gramStart"/>
      <w:r w:rsidRPr="006F7AC3">
        <w:rPr>
          <w:rFonts w:hAnsi="標楷體" w:cs="新細明體" w:hint="eastAsia"/>
          <w:color w:val="000000" w:themeColor="text1"/>
          <w:kern w:val="0"/>
          <w:szCs w:val="32"/>
        </w:rPr>
        <w:t>優</w:t>
      </w:r>
      <w:r w:rsidRPr="006F7AC3">
        <w:rPr>
          <w:rFonts w:hAnsi="標楷體"/>
          <w:color w:val="000000" w:themeColor="text1"/>
          <w:szCs w:val="32"/>
        </w:rPr>
        <w:t>波多野結衣</w:t>
      </w:r>
      <w:proofErr w:type="gramEnd"/>
      <w:r w:rsidRPr="006F7AC3">
        <w:rPr>
          <w:rFonts w:hAnsi="標楷體" w:hint="eastAsia"/>
          <w:color w:val="000000" w:themeColor="text1"/>
          <w:szCs w:val="32"/>
        </w:rPr>
        <w:t>為封面之公益</w:t>
      </w:r>
      <w:r w:rsidRPr="006F7AC3">
        <w:rPr>
          <w:rFonts w:hAnsi="標楷體" w:cs="新細明體" w:hint="eastAsia"/>
          <w:color w:val="000000" w:themeColor="text1"/>
          <w:kern w:val="0"/>
          <w:szCs w:val="32"/>
        </w:rPr>
        <w:t>悠遊卡</w:t>
      </w:r>
      <w:r w:rsidR="00FD6C36" w:rsidRPr="006F7AC3">
        <w:rPr>
          <w:rFonts w:hAnsi="標楷體" w:cs="新細明體" w:hint="eastAsia"/>
          <w:color w:val="000000" w:themeColor="text1"/>
          <w:kern w:val="0"/>
          <w:szCs w:val="32"/>
        </w:rPr>
        <w:t>之構想</w:t>
      </w:r>
      <w:r w:rsidRPr="006F7AC3">
        <w:rPr>
          <w:rFonts w:hAnsi="標楷體" w:cs="新細明體" w:hint="eastAsia"/>
          <w:color w:val="000000" w:themeColor="text1"/>
          <w:kern w:val="0"/>
          <w:szCs w:val="32"/>
        </w:rPr>
        <w:t>，並指示由經理部門評估發行之可行性；</w:t>
      </w:r>
      <w:r w:rsidR="00FD6C36" w:rsidRPr="006F7AC3">
        <w:rPr>
          <w:rFonts w:hAnsi="標楷體" w:cs="新細明體" w:hint="eastAsia"/>
          <w:color w:val="000000" w:themeColor="text1"/>
          <w:kern w:val="0"/>
          <w:szCs w:val="32"/>
        </w:rPr>
        <w:t>該公司經理部門評估後認有銷售之實益，遂</w:t>
      </w:r>
      <w:r w:rsidRPr="006F7AC3">
        <w:rPr>
          <w:rFonts w:hAnsi="標楷體" w:cs="新細明體" w:hint="eastAsia"/>
          <w:color w:val="000000" w:themeColor="text1"/>
          <w:kern w:val="0"/>
          <w:szCs w:val="32"/>
        </w:rPr>
        <w:t>依以往發行人物肖像卡之程序進行後續</w:t>
      </w:r>
      <w:r w:rsidRPr="006F7AC3">
        <w:rPr>
          <w:rFonts w:hAnsi="標楷體" w:hint="eastAsia"/>
          <w:color w:val="000000" w:themeColor="text1"/>
          <w:szCs w:val="32"/>
        </w:rPr>
        <w:t>製卡、發卡等事宜，</w:t>
      </w:r>
      <w:r w:rsidRPr="006F7AC3">
        <w:rPr>
          <w:rFonts w:hAnsi="標楷體" w:cs="新細明體" w:hint="eastAsia"/>
          <w:color w:val="000000" w:themeColor="text1"/>
          <w:kern w:val="0"/>
          <w:szCs w:val="32"/>
        </w:rPr>
        <w:t>悠遊卡公司</w:t>
      </w:r>
      <w:r w:rsidR="00E4409A" w:rsidRPr="006F7AC3">
        <w:rPr>
          <w:rFonts w:hAnsi="標楷體" w:cs="新細明體" w:hint="eastAsia"/>
          <w:color w:val="000000" w:themeColor="text1"/>
          <w:kern w:val="0"/>
          <w:szCs w:val="32"/>
        </w:rPr>
        <w:t>係</w:t>
      </w:r>
      <w:r w:rsidR="00102389" w:rsidRPr="006F7AC3">
        <w:rPr>
          <w:rFonts w:hAnsi="標楷體" w:cs="新細明體" w:hint="eastAsia"/>
          <w:color w:val="000000" w:themeColor="text1"/>
          <w:kern w:val="0"/>
          <w:szCs w:val="32"/>
        </w:rPr>
        <w:t>從</w:t>
      </w:r>
      <w:r w:rsidRPr="006F7AC3">
        <w:rPr>
          <w:rFonts w:hAnsi="標楷體"/>
          <w:color w:val="000000" w:themeColor="text1"/>
          <w:szCs w:val="32"/>
        </w:rPr>
        <w:t>波多</w:t>
      </w:r>
      <w:proofErr w:type="gramStart"/>
      <w:r w:rsidRPr="006F7AC3">
        <w:rPr>
          <w:rFonts w:hAnsi="標楷體"/>
          <w:color w:val="000000" w:themeColor="text1"/>
          <w:szCs w:val="32"/>
        </w:rPr>
        <w:t>野結衣</w:t>
      </w:r>
      <w:r w:rsidRPr="006F7AC3">
        <w:rPr>
          <w:rFonts w:hAnsi="標楷體" w:hint="eastAsia"/>
          <w:color w:val="000000" w:themeColor="text1"/>
          <w:szCs w:val="32"/>
        </w:rPr>
        <w:t>赴臺</w:t>
      </w:r>
      <w:proofErr w:type="gramEnd"/>
      <w:r w:rsidRPr="006F7AC3">
        <w:rPr>
          <w:rFonts w:hAnsi="標楷體" w:hint="eastAsia"/>
          <w:color w:val="000000" w:themeColor="text1"/>
          <w:szCs w:val="32"/>
        </w:rPr>
        <w:t>所拍攝照片中</w:t>
      </w:r>
      <w:r w:rsidRPr="006F7AC3">
        <w:rPr>
          <w:rFonts w:hAnsi="標楷體" w:cs="新細明體" w:hint="eastAsia"/>
          <w:color w:val="000000" w:themeColor="text1"/>
          <w:kern w:val="0"/>
          <w:szCs w:val="32"/>
        </w:rPr>
        <w:t>挑選出2款照片，</w:t>
      </w:r>
      <w:r w:rsidRPr="006F7AC3">
        <w:rPr>
          <w:rFonts w:hAnsi="標楷體"/>
          <w:color w:val="000000" w:themeColor="text1"/>
          <w:szCs w:val="32"/>
        </w:rPr>
        <w:t>分別命名為天使版與</w:t>
      </w:r>
      <w:proofErr w:type="gramStart"/>
      <w:r w:rsidRPr="006F7AC3">
        <w:rPr>
          <w:rFonts w:hAnsi="標楷體"/>
          <w:color w:val="000000" w:themeColor="text1"/>
          <w:szCs w:val="32"/>
        </w:rPr>
        <w:t>惡魔版悠遊</w:t>
      </w:r>
      <w:proofErr w:type="gramEnd"/>
      <w:r w:rsidRPr="006F7AC3">
        <w:rPr>
          <w:rFonts w:hAnsi="標楷體"/>
          <w:color w:val="000000" w:themeColor="text1"/>
          <w:szCs w:val="32"/>
        </w:rPr>
        <w:t>卡</w:t>
      </w:r>
      <w:r w:rsidRPr="006F7AC3">
        <w:rPr>
          <w:rFonts w:hAnsi="標楷體" w:hint="eastAsia"/>
          <w:color w:val="000000" w:themeColor="text1"/>
          <w:szCs w:val="32"/>
        </w:rPr>
        <w:t>，</w:t>
      </w:r>
      <w:r w:rsidRPr="006F7AC3">
        <w:rPr>
          <w:rFonts w:hAnsi="標楷體"/>
          <w:color w:val="000000" w:themeColor="text1"/>
          <w:szCs w:val="32"/>
        </w:rPr>
        <w:t>各發行1</w:t>
      </w:r>
      <w:r w:rsidRPr="006F7AC3">
        <w:rPr>
          <w:rFonts w:hAnsi="標楷體" w:hint="eastAsia"/>
          <w:color w:val="000000" w:themeColor="text1"/>
          <w:szCs w:val="32"/>
        </w:rPr>
        <w:t>萬</w:t>
      </w:r>
      <w:r w:rsidRPr="006F7AC3">
        <w:rPr>
          <w:rFonts w:hAnsi="標楷體"/>
          <w:color w:val="000000" w:themeColor="text1"/>
          <w:szCs w:val="32"/>
        </w:rPr>
        <w:t>5,000張</w:t>
      </w:r>
      <w:r w:rsidRPr="006F7AC3">
        <w:rPr>
          <w:rFonts w:hAnsi="標楷體" w:hint="eastAsia"/>
          <w:color w:val="000000" w:themeColor="text1"/>
          <w:szCs w:val="32"/>
        </w:rPr>
        <w:t>，</w:t>
      </w:r>
      <w:r w:rsidR="00102389" w:rsidRPr="006F7AC3">
        <w:rPr>
          <w:rFonts w:hAnsi="標楷體" w:hint="eastAsia"/>
          <w:color w:val="000000" w:themeColor="text1"/>
          <w:szCs w:val="32"/>
        </w:rPr>
        <w:t>並預計</w:t>
      </w:r>
      <w:r w:rsidR="00102389" w:rsidRPr="006F7AC3">
        <w:rPr>
          <w:rFonts w:hAnsi="標楷體" w:cs="新細明體" w:hint="eastAsia"/>
          <w:color w:val="000000" w:themeColor="text1"/>
          <w:kern w:val="0"/>
          <w:szCs w:val="32"/>
        </w:rPr>
        <w:t>自</w:t>
      </w:r>
      <w:r w:rsidR="00102389" w:rsidRPr="006F7AC3">
        <w:rPr>
          <w:rFonts w:hAnsi="標楷體"/>
          <w:color w:val="000000" w:themeColor="text1"/>
          <w:szCs w:val="32"/>
        </w:rPr>
        <w:t>104年9月1日起在</w:t>
      </w:r>
      <w:r w:rsidR="00102389" w:rsidRPr="006F7AC3">
        <w:rPr>
          <w:rFonts w:hAnsi="標楷體" w:hint="eastAsia"/>
          <w:color w:val="000000" w:themeColor="text1"/>
          <w:szCs w:val="32"/>
        </w:rPr>
        <w:t>4</w:t>
      </w:r>
      <w:r w:rsidR="00102389" w:rsidRPr="006F7AC3">
        <w:rPr>
          <w:rFonts w:hAnsi="標楷體"/>
          <w:color w:val="000000" w:themeColor="text1"/>
          <w:szCs w:val="32"/>
        </w:rPr>
        <w:t>大超商販售</w:t>
      </w:r>
      <w:r w:rsidR="00102389" w:rsidRPr="006F7AC3">
        <w:rPr>
          <w:rFonts w:hAnsi="標楷體" w:hint="eastAsia"/>
          <w:color w:val="000000" w:themeColor="text1"/>
          <w:szCs w:val="32"/>
        </w:rPr>
        <w:t>；</w:t>
      </w:r>
      <w:r w:rsidR="00C117DF" w:rsidRPr="006F7AC3">
        <w:rPr>
          <w:rFonts w:hAnsi="標楷體" w:hint="eastAsia"/>
          <w:color w:val="000000" w:themeColor="text1"/>
          <w:szCs w:val="32"/>
        </w:rPr>
        <w:t>此一發卡決策，不但欠缺公益考量，亦未慮及社會觀感。</w:t>
      </w:r>
      <w:proofErr w:type="gramStart"/>
      <w:r w:rsidR="00C117DF" w:rsidRPr="006F7AC3">
        <w:rPr>
          <w:rFonts w:hAnsi="標楷體" w:hint="eastAsia"/>
          <w:color w:val="000000" w:themeColor="text1"/>
          <w:szCs w:val="32"/>
        </w:rPr>
        <w:t>嗣104年8月間</w:t>
      </w:r>
      <w:r w:rsidR="005A1FD7" w:rsidRPr="006F7AC3">
        <w:rPr>
          <w:rFonts w:hAnsi="標楷體" w:hint="eastAsia"/>
          <w:color w:val="000000" w:themeColor="text1"/>
          <w:szCs w:val="32"/>
        </w:rPr>
        <w:t>經媒體</w:t>
      </w:r>
      <w:proofErr w:type="gramEnd"/>
      <w:r w:rsidR="005A1FD7" w:rsidRPr="006F7AC3">
        <w:rPr>
          <w:rFonts w:hAnsi="標楷體" w:hint="eastAsia"/>
          <w:color w:val="000000" w:themeColor="text1"/>
          <w:szCs w:val="32"/>
        </w:rPr>
        <w:t>披露</w:t>
      </w:r>
      <w:r w:rsidR="005A1FD7" w:rsidRPr="006F7AC3">
        <w:rPr>
          <w:rFonts w:hAnsi="標楷體" w:cs="新細明體" w:hint="eastAsia"/>
          <w:color w:val="000000" w:themeColor="text1"/>
          <w:kern w:val="0"/>
          <w:szCs w:val="32"/>
        </w:rPr>
        <w:t>悠遊卡公司將發行</w:t>
      </w:r>
      <w:r w:rsidR="005A1FD7" w:rsidRPr="006F7AC3">
        <w:rPr>
          <w:rFonts w:hAnsi="標楷體"/>
          <w:color w:val="000000" w:themeColor="text1"/>
          <w:szCs w:val="32"/>
        </w:rPr>
        <w:t>波多</w:t>
      </w:r>
      <w:proofErr w:type="gramStart"/>
      <w:r w:rsidR="005A1FD7" w:rsidRPr="006F7AC3">
        <w:rPr>
          <w:rFonts w:hAnsi="標楷體"/>
          <w:color w:val="000000" w:themeColor="text1"/>
          <w:szCs w:val="32"/>
        </w:rPr>
        <w:t>野結衣</w:t>
      </w:r>
      <w:proofErr w:type="gramEnd"/>
      <w:r w:rsidR="005A1FD7" w:rsidRPr="006F7AC3">
        <w:rPr>
          <w:rFonts w:hAnsi="標楷體" w:hint="eastAsia"/>
          <w:color w:val="000000" w:themeColor="text1"/>
          <w:szCs w:val="32"/>
        </w:rPr>
        <w:t>公益</w:t>
      </w:r>
      <w:r w:rsidR="005A1FD7" w:rsidRPr="006F7AC3">
        <w:rPr>
          <w:rFonts w:hAnsi="標楷體" w:cs="新細明體" w:hint="eastAsia"/>
          <w:color w:val="000000" w:themeColor="text1"/>
          <w:kern w:val="0"/>
          <w:szCs w:val="32"/>
        </w:rPr>
        <w:t>悠遊卡後，</w:t>
      </w:r>
      <w:r w:rsidR="00BC1F52" w:rsidRPr="006F7AC3">
        <w:rPr>
          <w:rFonts w:hAnsi="標楷體" w:cs="新細明體" w:hint="eastAsia"/>
          <w:color w:val="000000" w:themeColor="text1"/>
          <w:kern w:val="0"/>
          <w:szCs w:val="32"/>
        </w:rPr>
        <w:t>引起社會譁然，負面批評不斷，</w:t>
      </w:r>
      <w:proofErr w:type="gramStart"/>
      <w:r w:rsidR="00BC1F52" w:rsidRPr="006F7AC3">
        <w:rPr>
          <w:rFonts w:hAnsi="標楷體" w:cs="新細明體" w:hint="eastAsia"/>
          <w:color w:val="000000" w:themeColor="text1"/>
          <w:kern w:val="0"/>
          <w:szCs w:val="32"/>
        </w:rPr>
        <w:t>但悠遊</w:t>
      </w:r>
      <w:proofErr w:type="gramEnd"/>
      <w:r w:rsidR="00BC1F52" w:rsidRPr="006F7AC3">
        <w:rPr>
          <w:rFonts w:hAnsi="標楷體" w:cs="新細明體" w:hint="eastAsia"/>
          <w:color w:val="000000" w:themeColor="text1"/>
          <w:kern w:val="0"/>
          <w:szCs w:val="32"/>
        </w:rPr>
        <w:t>卡公司</w:t>
      </w:r>
      <w:r w:rsidR="00FD6C36" w:rsidRPr="006F7AC3">
        <w:rPr>
          <w:rFonts w:hAnsi="標楷體" w:cs="新細明體" w:hint="eastAsia"/>
          <w:color w:val="000000" w:themeColor="text1"/>
          <w:kern w:val="0"/>
          <w:szCs w:val="32"/>
        </w:rPr>
        <w:t>竟無視其所肩負的社會責任</w:t>
      </w:r>
      <w:r w:rsidR="00BC1F52" w:rsidRPr="006F7AC3">
        <w:rPr>
          <w:rFonts w:hAnsi="標楷體" w:cs="新細明體" w:hint="eastAsia"/>
          <w:color w:val="000000" w:themeColor="text1"/>
          <w:kern w:val="0"/>
          <w:szCs w:val="32"/>
        </w:rPr>
        <w:t>，仍</w:t>
      </w:r>
      <w:r w:rsidR="009B4D54" w:rsidRPr="006F7AC3">
        <w:rPr>
          <w:rFonts w:hAnsi="標楷體" w:cs="新細明體" w:hint="eastAsia"/>
          <w:color w:val="000000" w:themeColor="text1"/>
          <w:kern w:val="0"/>
          <w:szCs w:val="32"/>
        </w:rPr>
        <w:t>決定自</w:t>
      </w:r>
      <w:r w:rsidR="009B4D54" w:rsidRPr="006F7AC3">
        <w:rPr>
          <w:rFonts w:hAnsi="標楷體"/>
          <w:color w:val="000000" w:themeColor="text1"/>
          <w:szCs w:val="32"/>
        </w:rPr>
        <w:t>104年9月1日</w:t>
      </w:r>
      <w:r w:rsidR="009B4D54" w:rsidRPr="006F7AC3">
        <w:rPr>
          <w:rFonts w:hAnsi="標楷體" w:hint="eastAsia"/>
          <w:color w:val="000000" w:themeColor="text1"/>
          <w:szCs w:val="32"/>
        </w:rPr>
        <w:t>零時</w:t>
      </w:r>
      <w:r w:rsidR="009B4D54" w:rsidRPr="006F7AC3">
        <w:rPr>
          <w:rFonts w:hAnsi="標楷體"/>
          <w:color w:val="000000" w:themeColor="text1"/>
          <w:szCs w:val="32"/>
        </w:rPr>
        <w:t>起</w:t>
      </w:r>
      <w:r w:rsidR="00FD6C36" w:rsidRPr="006F7AC3">
        <w:rPr>
          <w:rFonts w:hAnsi="標楷體" w:hint="eastAsia"/>
          <w:color w:val="000000" w:themeColor="text1"/>
          <w:szCs w:val="32"/>
        </w:rPr>
        <w:t>，</w:t>
      </w:r>
      <w:r w:rsidR="009B4D54" w:rsidRPr="006F7AC3">
        <w:rPr>
          <w:rFonts w:hAnsi="標楷體" w:hint="eastAsia"/>
          <w:color w:val="000000" w:themeColor="text1"/>
          <w:szCs w:val="32"/>
        </w:rPr>
        <w:t>改以電話預購方式進行販售，每套（</w:t>
      </w:r>
      <w:r w:rsidR="009B4D54" w:rsidRPr="006F7AC3">
        <w:rPr>
          <w:rFonts w:hAnsi="標楷體"/>
          <w:color w:val="000000" w:themeColor="text1"/>
          <w:szCs w:val="32"/>
        </w:rPr>
        <w:t>含1張惡魔版與</w:t>
      </w:r>
      <w:r w:rsidR="009B4D54" w:rsidRPr="006F7AC3">
        <w:rPr>
          <w:rFonts w:hAnsi="標楷體"/>
          <w:color w:val="000000" w:themeColor="text1"/>
          <w:szCs w:val="32"/>
        </w:rPr>
        <w:lastRenderedPageBreak/>
        <w:t>1張天使版</w:t>
      </w:r>
      <w:r w:rsidR="009B4D54" w:rsidRPr="006F7AC3">
        <w:rPr>
          <w:rFonts w:hAnsi="標楷體" w:hint="eastAsia"/>
          <w:color w:val="000000" w:themeColor="text1"/>
          <w:szCs w:val="32"/>
        </w:rPr>
        <w:t>）</w:t>
      </w:r>
      <w:r w:rsidR="009C3A52" w:rsidRPr="006F7AC3">
        <w:rPr>
          <w:rFonts w:hAnsi="標楷體" w:hint="eastAsia"/>
          <w:color w:val="000000" w:themeColor="text1"/>
          <w:szCs w:val="32"/>
        </w:rPr>
        <w:t>新臺幣（下同）</w:t>
      </w:r>
      <w:r w:rsidR="009B4D54" w:rsidRPr="006F7AC3">
        <w:rPr>
          <w:rFonts w:hAnsi="標楷體" w:hint="eastAsia"/>
          <w:color w:val="000000" w:themeColor="text1"/>
          <w:szCs w:val="32"/>
        </w:rPr>
        <w:t>500元，</w:t>
      </w:r>
      <w:r w:rsidR="00FD6C36" w:rsidRPr="006F7AC3">
        <w:rPr>
          <w:rFonts w:hAnsi="標楷體" w:hint="eastAsia"/>
          <w:color w:val="000000" w:themeColor="text1"/>
          <w:szCs w:val="32"/>
        </w:rPr>
        <w:t>結果</w:t>
      </w:r>
      <w:r w:rsidR="009B4D54" w:rsidRPr="006F7AC3">
        <w:rPr>
          <w:rFonts w:hAnsi="標楷體" w:hint="eastAsia"/>
          <w:color w:val="000000" w:themeColor="text1"/>
          <w:szCs w:val="32"/>
        </w:rPr>
        <w:t>於</w:t>
      </w:r>
      <w:r w:rsidR="009B4D54" w:rsidRPr="00326442">
        <w:rPr>
          <w:rFonts w:hAnsi="標楷體" w:hint="eastAsia"/>
          <w:szCs w:val="32"/>
        </w:rPr>
        <w:t>當日4時18分即售罄。</w:t>
      </w:r>
      <w:r w:rsidR="00FD6C36" w:rsidRPr="00326442">
        <w:rPr>
          <w:rFonts w:hAnsi="標楷體" w:hint="eastAsia"/>
          <w:szCs w:val="32"/>
        </w:rPr>
        <w:t>悠遊卡公司</w:t>
      </w:r>
      <w:r w:rsidR="009B4D54" w:rsidRPr="00326442">
        <w:rPr>
          <w:rFonts w:hAnsi="標楷體" w:hint="eastAsia"/>
          <w:szCs w:val="32"/>
        </w:rPr>
        <w:t>如此作法，顯係</w:t>
      </w:r>
      <w:r w:rsidR="00FD6C36" w:rsidRPr="00326442">
        <w:rPr>
          <w:rFonts w:hAnsi="標楷體" w:hint="eastAsia"/>
          <w:szCs w:val="32"/>
        </w:rPr>
        <w:t>以</w:t>
      </w:r>
      <w:r w:rsidR="009B4D54" w:rsidRPr="00326442">
        <w:rPr>
          <w:rFonts w:hAnsi="標楷體" w:hint="eastAsia"/>
          <w:szCs w:val="32"/>
        </w:rPr>
        <w:t>商業利益</w:t>
      </w:r>
      <w:r w:rsidR="00FD6C36" w:rsidRPr="00326442">
        <w:rPr>
          <w:rFonts w:hAnsi="標楷體" w:hint="eastAsia"/>
          <w:szCs w:val="32"/>
        </w:rPr>
        <w:t>為重</w:t>
      </w:r>
      <w:r w:rsidR="009B4D54" w:rsidRPr="00326442">
        <w:rPr>
          <w:rFonts w:hAnsi="標楷體" w:hint="eastAsia"/>
          <w:szCs w:val="32"/>
        </w:rPr>
        <w:t>，</w:t>
      </w:r>
      <w:r w:rsidR="00FD6C36" w:rsidRPr="00326442">
        <w:rPr>
          <w:rFonts w:hAnsi="標楷體" w:hint="eastAsia"/>
          <w:szCs w:val="32"/>
        </w:rPr>
        <w:t>輕忽社會觀感與公益價值</w:t>
      </w:r>
      <w:r w:rsidR="009B4D54" w:rsidRPr="00326442">
        <w:rPr>
          <w:rFonts w:hAnsi="標楷體" w:hint="eastAsia"/>
          <w:szCs w:val="32"/>
        </w:rPr>
        <w:t>，</w:t>
      </w:r>
      <w:proofErr w:type="gramStart"/>
      <w:r w:rsidR="009B4D54" w:rsidRPr="00326442">
        <w:rPr>
          <w:rFonts w:hAnsi="標楷體" w:hint="eastAsia"/>
          <w:szCs w:val="32"/>
        </w:rPr>
        <w:t>況以</w:t>
      </w:r>
      <w:r w:rsidR="009B4D54" w:rsidRPr="00326442">
        <w:rPr>
          <w:rFonts w:hAnsi="標楷體" w:cs="新細明體" w:hint="eastAsia"/>
          <w:kern w:val="0"/>
          <w:szCs w:val="32"/>
        </w:rPr>
        <w:t>悠</w:t>
      </w:r>
      <w:proofErr w:type="gramEnd"/>
      <w:r w:rsidR="009B4D54" w:rsidRPr="00326442">
        <w:rPr>
          <w:rFonts w:hAnsi="標楷體" w:cs="新細明體" w:hint="eastAsia"/>
          <w:kern w:val="0"/>
          <w:szCs w:val="32"/>
        </w:rPr>
        <w:t>遊卡公司100至103</w:t>
      </w:r>
      <w:r w:rsidR="008570E6" w:rsidRPr="00326442">
        <w:rPr>
          <w:rFonts w:hAnsi="標楷體" w:cs="新細明體" w:hint="eastAsia"/>
          <w:kern w:val="0"/>
          <w:szCs w:val="32"/>
        </w:rPr>
        <w:t>年稅前</w:t>
      </w:r>
      <w:r w:rsidR="009B4D54" w:rsidRPr="00326442">
        <w:rPr>
          <w:rFonts w:hAnsi="標楷體" w:cs="新細明體" w:hint="eastAsia"/>
          <w:kern w:val="0"/>
          <w:szCs w:val="32"/>
        </w:rPr>
        <w:t>淨利</w:t>
      </w:r>
      <w:r w:rsidR="008570E6" w:rsidRPr="00326442">
        <w:rPr>
          <w:rFonts w:hAnsi="標楷體" w:cs="新細明體" w:hint="eastAsia"/>
          <w:kern w:val="0"/>
          <w:szCs w:val="32"/>
        </w:rPr>
        <w:t>2.3~2.8億元觀之，斷無不能吸收</w:t>
      </w:r>
      <w:r w:rsidR="008570E6" w:rsidRPr="00326442">
        <w:rPr>
          <w:rFonts w:hAnsi="標楷體"/>
          <w:szCs w:val="32"/>
        </w:rPr>
        <w:t>波</w:t>
      </w:r>
      <w:r w:rsidR="00E548EB" w:rsidRPr="00326442">
        <w:rPr>
          <w:rFonts w:hAnsi="標楷體"/>
          <w:szCs w:val="32"/>
        </w:rPr>
        <w:t>多</w:t>
      </w:r>
      <w:proofErr w:type="gramStart"/>
      <w:r w:rsidR="00E548EB" w:rsidRPr="00326442">
        <w:rPr>
          <w:rFonts w:hAnsi="標楷體"/>
          <w:szCs w:val="32"/>
        </w:rPr>
        <w:t>野結衣</w:t>
      </w:r>
      <w:proofErr w:type="gramEnd"/>
      <w:r w:rsidR="00E548EB" w:rsidRPr="00326442">
        <w:rPr>
          <w:rFonts w:hAnsi="標楷體"/>
          <w:szCs w:val="32"/>
        </w:rPr>
        <w:t>公益悠遊卡</w:t>
      </w:r>
      <w:r w:rsidR="008570E6" w:rsidRPr="00326442">
        <w:rPr>
          <w:rFonts w:hAnsi="標楷體" w:cs="新細明體" w:hint="eastAsia"/>
          <w:kern w:val="0"/>
          <w:szCs w:val="32"/>
        </w:rPr>
        <w:t>發行成本</w:t>
      </w:r>
      <w:r w:rsidR="00A71B7D" w:rsidRPr="00326442">
        <w:rPr>
          <w:rFonts w:hAnsi="標楷體" w:cs="新細明體" w:hint="eastAsia"/>
          <w:kern w:val="0"/>
          <w:szCs w:val="32"/>
        </w:rPr>
        <w:t>212</w:t>
      </w:r>
      <w:r w:rsidR="008570E6" w:rsidRPr="00326442">
        <w:rPr>
          <w:rFonts w:hAnsi="標楷體" w:cs="新細明體" w:hint="eastAsia"/>
          <w:kern w:val="0"/>
          <w:szCs w:val="32"/>
        </w:rPr>
        <w:t>萬餘元之</w:t>
      </w:r>
      <w:r w:rsidR="00E548EB" w:rsidRPr="00326442">
        <w:rPr>
          <w:rFonts w:hAnsi="標楷體" w:cs="新細明體" w:hint="eastAsia"/>
          <w:kern w:val="0"/>
          <w:szCs w:val="32"/>
        </w:rPr>
        <w:t>道理</w:t>
      </w:r>
      <w:r w:rsidR="009B4D54" w:rsidRPr="00326442">
        <w:rPr>
          <w:rFonts w:hAnsi="標楷體" w:hint="eastAsia"/>
          <w:szCs w:val="32"/>
        </w:rPr>
        <w:t>，</w:t>
      </w:r>
      <w:r w:rsidR="0068009B" w:rsidRPr="00326442">
        <w:rPr>
          <w:rFonts w:hAnsi="標楷體" w:hint="eastAsia"/>
          <w:szCs w:val="32"/>
        </w:rPr>
        <w:t>臺北市</w:t>
      </w:r>
      <w:proofErr w:type="gramStart"/>
      <w:r w:rsidR="0068009B" w:rsidRPr="00326442">
        <w:rPr>
          <w:rFonts w:hAnsi="標楷體" w:hint="eastAsia"/>
          <w:szCs w:val="32"/>
        </w:rPr>
        <w:t>政府及</w:t>
      </w:r>
      <w:r w:rsidR="009B4D54" w:rsidRPr="00326442">
        <w:rPr>
          <w:rFonts w:hAnsi="標楷體" w:cs="新細明體" w:hint="eastAsia"/>
          <w:kern w:val="0"/>
          <w:szCs w:val="32"/>
        </w:rPr>
        <w:t>悠遊</w:t>
      </w:r>
      <w:proofErr w:type="gramEnd"/>
      <w:r w:rsidR="009B4D54" w:rsidRPr="00326442">
        <w:rPr>
          <w:rFonts w:hAnsi="標楷體" w:cs="新細明體" w:hint="eastAsia"/>
          <w:kern w:val="0"/>
          <w:szCs w:val="32"/>
        </w:rPr>
        <w:t>卡公司</w:t>
      </w:r>
      <w:r w:rsidR="00E548EB" w:rsidRPr="00326442">
        <w:rPr>
          <w:rFonts w:hAnsi="標楷體" w:cs="新細明體" w:hint="eastAsia"/>
          <w:kern w:val="0"/>
          <w:szCs w:val="32"/>
        </w:rPr>
        <w:t>卻未能斷然中止行銷，致令</w:t>
      </w:r>
      <w:r w:rsidR="009B4D54" w:rsidRPr="00326442">
        <w:rPr>
          <w:rFonts w:hAnsi="標楷體" w:cs="新細明體" w:hint="eastAsia"/>
          <w:kern w:val="0"/>
          <w:szCs w:val="32"/>
        </w:rPr>
        <w:t>形象遭受嚴重損害，實有欠</w:t>
      </w:r>
      <w:r w:rsidR="009B4D54" w:rsidRPr="006F7AC3">
        <w:rPr>
          <w:rFonts w:hAnsi="標楷體" w:cs="新細明體" w:hint="eastAsia"/>
          <w:color w:val="000000" w:themeColor="text1"/>
          <w:kern w:val="0"/>
          <w:szCs w:val="32"/>
        </w:rPr>
        <w:t>當。</w:t>
      </w:r>
    </w:p>
    <w:p w:rsidR="005A1FD7" w:rsidRPr="00326442" w:rsidRDefault="002C5C80" w:rsidP="007448CC">
      <w:pPr>
        <w:pStyle w:val="3"/>
        <w:rPr>
          <w:rFonts w:hAnsi="標楷體"/>
          <w:szCs w:val="32"/>
        </w:rPr>
      </w:pPr>
      <w:proofErr w:type="gramStart"/>
      <w:r w:rsidRPr="006F7AC3">
        <w:rPr>
          <w:rFonts w:hAnsi="標楷體" w:hint="eastAsia"/>
          <w:color w:val="000000" w:themeColor="text1"/>
          <w:szCs w:val="32"/>
        </w:rPr>
        <w:t>復</w:t>
      </w:r>
      <w:r w:rsidR="009C3A52" w:rsidRPr="006F7AC3">
        <w:rPr>
          <w:rFonts w:hAnsi="標楷體" w:hint="eastAsia"/>
          <w:color w:val="000000" w:themeColor="text1"/>
          <w:szCs w:val="32"/>
        </w:rPr>
        <w:t>按臺北市</w:t>
      </w:r>
      <w:proofErr w:type="gramEnd"/>
      <w:r w:rsidR="009C3A52" w:rsidRPr="006F7AC3">
        <w:rPr>
          <w:rFonts w:hAnsi="標楷體" w:hint="eastAsia"/>
          <w:color w:val="000000" w:themeColor="text1"/>
          <w:szCs w:val="32"/>
        </w:rPr>
        <w:t>政府投資事業管理監督自治條例</w:t>
      </w:r>
      <w:r w:rsidR="002A6C2A" w:rsidRPr="006F7AC3">
        <w:rPr>
          <w:rFonts w:hAnsi="標楷體" w:hint="eastAsia"/>
          <w:color w:val="000000" w:themeColor="text1"/>
          <w:szCs w:val="32"/>
        </w:rPr>
        <w:t>第8條規定：「主管機關對投資事業，應隨時注意其業務經營，如發現經營不善，應予協助、改善、整理。</w:t>
      </w:r>
      <w:r w:rsidR="002B3AEB" w:rsidRPr="006F7AC3">
        <w:rPr>
          <w:rFonts w:hAnsi="標楷體" w:hint="eastAsia"/>
          <w:color w:val="000000" w:themeColor="text1"/>
          <w:szCs w:val="32"/>
        </w:rPr>
        <w:t>」經</w:t>
      </w:r>
      <w:r w:rsidR="002A6C2A" w:rsidRPr="006F7AC3">
        <w:rPr>
          <w:rFonts w:hAnsi="標楷體" w:hint="eastAsia"/>
          <w:color w:val="000000" w:themeColor="text1"/>
          <w:szCs w:val="32"/>
        </w:rPr>
        <w:t>查，臺北市政府持有</w:t>
      </w:r>
      <w:r w:rsidR="002A6C2A" w:rsidRPr="006F7AC3">
        <w:rPr>
          <w:rFonts w:hAnsi="標楷體" w:cs="新細明體" w:hint="eastAsia"/>
          <w:color w:val="000000" w:themeColor="text1"/>
          <w:kern w:val="0"/>
          <w:szCs w:val="32"/>
        </w:rPr>
        <w:t>悠遊</w:t>
      </w:r>
      <w:proofErr w:type="gramStart"/>
      <w:r w:rsidR="002A6C2A" w:rsidRPr="006F7AC3">
        <w:rPr>
          <w:rFonts w:hAnsi="標楷體" w:cs="新細明體" w:hint="eastAsia"/>
          <w:color w:val="000000" w:themeColor="text1"/>
          <w:kern w:val="0"/>
          <w:szCs w:val="32"/>
        </w:rPr>
        <w:t>卡投控</w:t>
      </w:r>
      <w:proofErr w:type="gramEnd"/>
      <w:r w:rsidR="002A6C2A" w:rsidRPr="006F7AC3">
        <w:rPr>
          <w:rFonts w:hAnsi="標楷體" w:cs="新細明體" w:hint="eastAsia"/>
          <w:color w:val="000000" w:themeColor="text1"/>
          <w:kern w:val="0"/>
          <w:szCs w:val="32"/>
        </w:rPr>
        <w:t>公司</w:t>
      </w:r>
      <w:r w:rsidR="002A6C2A" w:rsidRPr="006F7AC3">
        <w:rPr>
          <w:rFonts w:hAnsi="標楷體" w:hint="eastAsia"/>
          <w:color w:val="000000" w:themeColor="text1"/>
          <w:szCs w:val="32"/>
        </w:rPr>
        <w:t>11.78</w:t>
      </w:r>
      <w:r w:rsidR="00177CAF" w:rsidRPr="006F7AC3">
        <w:rPr>
          <w:rFonts w:hAnsi="標楷體" w:hint="eastAsia"/>
          <w:color w:val="000000" w:themeColor="text1"/>
          <w:szCs w:val="32"/>
        </w:rPr>
        <w:t>%</w:t>
      </w:r>
      <w:r w:rsidR="002A6C2A" w:rsidRPr="006F7AC3">
        <w:rPr>
          <w:rFonts w:hAnsi="標楷體" w:hint="eastAsia"/>
          <w:color w:val="000000" w:themeColor="text1"/>
          <w:szCs w:val="32"/>
        </w:rPr>
        <w:t>股份</w:t>
      </w:r>
      <w:r w:rsidRPr="006F7AC3">
        <w:rPr>
          <w:rFonts w:hAnsi="標楷體" w:hint="eastAsia"/>
          <w:color w:val="000000" w:themeColor="text1"/>
          <w:szCs w:val="32"/>
        </w:rPr>
        <w:t>，</w:t>
      </w:r>
      <w:r w:rsidR="0060159B" w:rsidRPr="006F7AC3">
        <w:rPr>
          <w:rFonts w:hAnsi="標楷體" w:hint="eastAsia"/>
          <w:color w:val="000000" w:themeColor="text1"/>
          <w:szCs w:val="32"/>
        </w:rPr>
        <w:t>而該府持股73.75%之</w:t>
      </w:r>
      <w:proofErr w:type="gramStart"/>
      <w:r w:rsidR="00177CAF" w:rsidRPr="006F7AC3">
        <w:rPr>
          <w:rFonts w:hAnsi="標楷體" w:hint="eastAsia"/>
          <w:color w:val="000000" w:themeColor="text1"/>
          <w:szCs w:val="32"/>
        </w:rPr>
        <w:t>臺</w:t>
      </w:r>
      <w:proofErr w:type="gramEnd"/>
      <w:r w:rsidR="00177CAF" w:rsidRPr="006F7AC3">
        <w:rPr>
          <w:rFonts w:hAnsi="標楷體" w:hint="eastAsia"/>
          <w:color w:val="000000" w:themeColor="text1"/>
          <w:szCs w:val="32"/>
        </w:rPr>
        <w:t>北</w:t>
      </w:r>
      <w:r w:rsidR="00177CAF" w:rsidRPr="006F7AC3">
        <w:rPr>
          <w:rFonts w:hAnsi="標楷體" w:cs="新細明體" w:hint="eastAsia"/>
          <w:color w:val="000000" w:themeColor="text1"/>
          <w:kern w:val="0"/>
          <w:szCs w:val="32"/>
        </w:rPr>
        <w:t>捷運公司</w:t>
      </w:r>
      <w:r w:rsidR="0060159B" w:rsidRPr="006F7AC3">
        <w:rPr>
          <w:rFonts w:hAnsi="標楷體" w:cs="新細明體" w:hint="eastAsia"/>
          <w:color w:val="000000" w:themeColor="text1"/>
          <w:kern w:val="0"/>
          <w:szCs w:val="32"/>
        </w:rPr>
        <w:t>則</w:t>
      </w:r>
      <w:r w:rsidR="00177CAF" w:rsidRPr="006F7AC3">
        <w:rPr>
          <w:rFonts w:hAnsi="標楷體" w:hint="eastAsia"/>
          <w:color w:val="000000" w:themeColor="text1"/>
          <w:szCs w:val="32"/>
        </w:rPr>
        <w:t>持有27.49%</w:t>
      </w:r>
      <w:r w:rsidR="00026D9E" w:rsidRPr="006F7AC3">
        <w:rPr>
          <w:rFonts w:hAnsi="標楷體" w:hint="eastAsia"/>
          <w:color w:val="000000" w:themeColor="text1"/>
          <w:szCs w:val="32"/>
        </w:rPr>
        <w:t>股份，</w:t>
      </w:r>
      <w:proofErr w:type="gramStart"/>
      <w:r w:rsidR="0060159B" w:rsidRPr="006F7AC3">
        <w:rPr>
          <w:rFonts w:hAnsi="標楷體" w:hint="eastAsia"/>
          <w:color w:val="000000" w:themeColor="text1"/>
          <w:szCs w:val="32"/>
        </w:rPr>
        <w:t>均</w:t>
      </w:r>
      <w:r w:rsidR="002B3AEB" w:rsidRPr="006F7AC3">
        <w:rPr>
          <w:rFonts w:hAnsi="標楷體" w:hint="eastAsia"/>
          <w:color w:val="000000" w:themeColor="text1"/>
          <w:szCs w:val="32"/>
        </w:rPr>
        <w:t>各</w:t>
      </w:r>
      <w:r w:rsidR="00177CAF" w:rsidRPr="006F7AC3">
        <w:rPr>
          <w:rFonts w:hAnsi="標楷體" w:hint="eastAsia"/>
          <w:color w:val="000000" w:themeColor="text1"/>
          <w:szCs w:val="32"/>
        </w:rPr>
        <w:t>指派</w:t>
      </w:r>
      <w:proofErr w:type="gramEnd"/>
      <w:r w:rsidR="00177CAF" w:rsidRPr="006F7AC3">
        <w:rPr>
          <w:rFonts w:hAnsi="標楷體" w:hint="eastAsia"/>
          <w:color w:val="000000" w:themeColor="text1"/>
          <w:szCs w:val="32"/>
        </w:rPr>
        <w:t>4席</w:t>
      </w:r>
      <w:r w:rsidR="00026D9E" w:rsidRPr="006F7AC3">
        <w:rPr>
          <w:rFonts w:hAnsi="標楷體" w:hint="eastAsia"/>
          <w:color w:val="000000" w:themeColor="text1"/>
          <w:szCs w:val="32"/>
        </w:rPr>
        <w:t>股權代表擔任</w:t>
      </w:r>
      <w:r w:rsidR="00026D9E" w:rsidRPr="006F7AC3">
        <w:rPr>
          <w:rFonts w:hAnsi="標楷體" w:cs="新細明體" w:hint="eastAsia"/>
          <w:color w:val="000000" w:themeColor="text1"/>
          <w:kern w:val="0"/>
          <w:szCs w:val="32"/>
        </w:rPr>
        <w:t>悠遊</w:t>
      </w:r>
      <w:proofErr w:type="gramStart"/>
      <w:r w:rsidR="00026D9E" w:rsidRPr="006F7AC3">
        <w:rPr>
          <w:rFonts w:hAnsi="標楷體" w:cs="新細明體" w:hint="eastAsia"/>
          <w:color w:val="000000" w:themeColor="text1"/>
          <w:kern w:val="0"/>
          <w:szCs w:val="32"/>
        </w:rPr>
        <w:t>卡投控</w:t>
      </w:r>
      <w:proofErr w:type="gramEnd"/>
      <w:r w:rsidR="00026D9E" w:rsidRPr="006F7AC3">
        <w:rPr>
          <w:rFonts w:hAnsi="標楷體" w:cs="新細明體" w:hint="eastAsia"/>
          <w:color w:val="000000" w:themeColor="text1"/>
          <w:kern w:val="0"/>
          <w:szCs w:val="32"/>
        </w:rPr>
        <w:t>公司</w:t>
      </w:r>
      <w:r w:rsidR="00026D9E" w:rsidRPr="006F7AC3">
        <w:rPr>
          <w:rFonts w:hAnsi="標楷體" w:hint="eastAsia"/>
          <w:color w:val="000000" w:themeColor="text1"/>
          <w:szCs w:val="32"/>
        </w:rPr>
        <w:t>之董事，惟</w:t>
      </w:r>
      <w:proofErr w:type="gramStart"/>
      <w:r w:rsidR="00026D9E" w:rsidRPr="006F7AC3">
        <w:rPr>
          <w:rFonts w:hAnsi="標楷體" w:hint="eastAsia"/>
          <w:color w:val="000000" w:themeColor="text1"/>
          <w:szCs w:val="32"/>
        </w:rPr>
        <w:t>於</w:t>
      </w:r>
      <w:r w:rsidR="00026D9E" w:rsidRPr="006F7AC3">
        <w:rPr>
          <w:rFonts w:hAnsi="標楷體" w:cs="新細明體" w:hint="eastAsia"/>
          <w:color w:val="000000" w:themeColor="text1"/>
          <w:kern w:val="0"/>
          <w:szCs w:val="32"/>
        </w:rPr>
        <w:t>悠遊卡投控</w:t>
      </w:r>
      <w:proofErr w:type="gramEnd"/>
      <w:r w:rsidR="00026D9E" w:rsidRPr="006F7AC3">
        <w:rPr>
          <w:rFonts w:hAnsi="標楷體" w:cs="新細明體" w:hint="eastAsia"/>
          <w:color w:val="000000" w:themeColor="text1"/>
          <w:kern w:val="0"/>
          <w:szCs w:val="32"/>
        </w:rPr>
        <w:t>公司</w:t>
      </w:r>
      <w:r w:rsidR="00026D9E" w:rsidRPr="006F7AC3">
        <w:rPr>
          <w:rFonts w:hAnsi="標楷體" w:hint="eastAsia"/>
          <w:color w:val="000000" w:themeColor="text1"/>
          <w:szCs w:val="32"/>
        </w:rPr>
        <w:t>之子公司</w:t>
      </w:r>
      <w:r w:rsidR="00026D9E" w:rsidRPr="006F7AC3">
        <w:rPr>
          <w:rFonts w:hAnsi="標楷體" w:cs="新細明體" w:hint="eastAsia"/>
          <w:color w:val="000000" w:themeColor="text1"/>
          <w:kern w:val="0"/>
          <w:szCs w:val="32"/>
        </w:rPr>
        <w:t>悠遊卡公司發生前述重大損害</w:t>
      </w:r>
      <w:r w:rsidR="0060159B" w:rsidRPr="006F7AC3">
        <w:rPr>
          <w:rFonts w:hAnsi="標楷體" w:hint="eastAsia"/>
          <w:color w:val="000000" w:themeColor="text1"/>
          <w:szCs w:val="32"/>
        </w:rPr>
        <w:t>臺北市政府及</w:t>
      </w:r>
      <w:r w:rsidR="00026D9E" w:rsidRPr="006F7AC3">
        <w:rPr>
          <w:rFonts w:hAnsi="標楷體" w:cs="新細明體" w:hint="eastAsia"/>
          <w:color w:val="000000" w:themeColor="text1"/>
          <w:kern w:val="0"/>
          <w:szCs w:val="32"/>
        </w:rPr>
        <w:t>公司形象之情事時，</w:t>
      </w:r>
      <w:r w:rsidR="00026D9E" w:rsidRPr="006F7AC3">
        <w:rPr>
          <w:rFonts w:hAnsi="標楷體" w:hint="eastAsia"/>
          <w:color w:val="000000" w:themeColor="text1"/>
          <w:szCs w:val="32"/>
        </w:rPr>
        <w:t>臺北市政府或其派任之董事</w:t>
      </w:r>
      <w:r w:rsidR="00E43DF6" w:rsidRPr="006F7AC3">
        <w:rPr>
          <w:rFonts w:hAnsi="標楷體" w:hint="eastAsia"/>
          <w:color w:val="000000" w:themeColor="text1"/>
          <w:szCs w:val="32"/>
        </w:rPr>
        <w:t>竟</w:t>
      </w:r>
      <w:r w:rsidR="00026D9E" w:rsidRPr="006F7AC3">
        <w:rPr>
          <w:rFonts w:hAnsi="標楷體" w:hint="eastAsia"/>
          <w:color w:val="000000" w:themeColor="text1"/>
          <w:szCs w:val="32"/>
        </w:rPr>
        <w:t>未有任何</w:t>
      </w:r>
      <w:r w:rsidR="00026D9E" w:rsidRPr="00326442">
        <w:rPr>
          <w:rFonts w:hAnsi="標楷體" w:hint="eastAsia"/>
          <w:szCs w:val="32"/>
        </w:rPr>
        <w:t>作為</w:t>
      </w:r>
      <w:r w:rsidR="00E43DF6" w:rsidRPr="00326442">
        <w:rPr>
          <w:rFonts w:hAnsi="標楷體" w:hint="eastAsia"/>
          <w:szCs w:val="32"/>
        </w:rPr>
        <w:t>，實</w:t>
      </w:r>
      <w:proofErr w:type="gramStart"/>
      <w:r w:rsidR="00E43DF6" w:rsidRPr="00326442">
        <w:rPr>
          <w:rFonts w:hAnsi="標楷體" w:hint="eastAsia"/>
          <w:szCs w:val="32"/>
        </w:rPr>
        <w:t>難謂善盡</w:t>
      </w:r>
      <w:proofErr w:type="gramEnd"/>
      <w:r w:rsidR="00E43DF6" w:rsidRPr="00326442">
        <w:rPr>
          <w:rFonts w:hAnsi="標楷體" w:hint="eastAsia"/>
          <w:szCs w:val="32"/>
        </w:rPr>
        <w:t>監督管理之責。</w:t>
      </w:r>
    </w:p>
    <w:p w:rsidR="003568B7" w:rsidRPr="00326442" w:rsidRDefault="003568B7" w:rsidP="007448CC">
      <w:pPr>
        <w:pStyle w:val="3"/>
        <w:rPr>
          <w:rFonts w:hAnsi="標楷體"/>
          <w:szCs w:val="32"/>
        </w:rPr>
      </w:pPr>
      <w:r w:rsidRPr="00326442">
        <w:rPr>
          <w:rFonts w:hAnsi="標楷體" w:hint="eastAsia"/>
          <w:szCs w:val="32"/>
        </w:rPr>
        <w:t>另據臺北市政府提供之</w:t>
      </w:r>
      <w:r w:rsidRPr="00326442">
        <w:rPr>
          <w:rFonts w:hAnsi="標楷體"/>
          <w:szCs w:val="32"/>
        </w:rPr>
        <w:t>波</w:t>
      </w:r>
      <w:r w:rsidR="00E548EB" w:rsidRPr="00326442">
        <w:rPr>
          <w:rFonts w:hAnsi="標楷體"/>
          <w:szCs w:val="32"/>
        </w:rPr>
        <w:t>多</w:t>
      </w:r>
      <w:proofErr w:type="gramStart"/>
      <w:r w:rsidR="00E548EB" w:rsidRPr="00326442">
        <w:rPr>
          <w:rFonts w:hAnsi="標楷體"/>
          <w:szCs w:val="32"/>
        </w:rPr>
        <w:t>野結衣</w:t>
      </w:r>
      <w:proofErr w:type="gramEnd"/>
      <w:r w:rsidR="00E548EB" w:rsidRPr="00326442">
        <w:rPr>
          <w:rFonts w:hAnsi="標楷體"/>
          <w:szCs w:val="32"/>
        </w:rPr>
        <w:t>公益悠遊卡</w:t>
      </w:r>
      <w:r w:rsidRPr="00326442">
        <w:rPr>
          <w:rFonts w:hAnsi="標楷體" w:cs="新細明體" w:hint="eastAsia"/>
          <w:kern w:val="0"/>
          <w:szCs w:val="32"/>
        </w:rPr>
        <w:t>銷售資料顯示，公關卡有197套，</w:t>
      </w:r>
      <w:proofErr w:type="gramStart"/>
      <w:r w:rsidRPr="00326442">
        <w:rPr>
          <w:rFonts w:hAnsi="標楷體" w:cs="新細明體" w:hint="eastAsia"/>
          <w:kern w:val="0"/>
          <w:szCs w:val="32"/>
        </w:rPr>
        <w:t>然查悠</w:t>
      </w:r>
      <w:proofErr w:type="gramEnd"/>
      <w:r w:rsidRPr="00326442">
        <w:rPr>
          <w:rFonts w:hAnsi="標楷體" w:cs="新細明體" w:hint="eastAsia"/>
          <w:kern w:val="0"/>
          <w:szCs w:val="32"/>
        </w:rPr>
        <w:t>遊卡公司對於</w:t>
      </w:r>
      <w:r w:rsidRPr="00326442">
        <w:rPr>
          <w:rFonts w:hAnsi="標楷體" w:hint="eastAsia"/>
          <w:szCs w:val="32"/>
        </w:rPr>
        <w:t>公關</w:t>
      </w:r>
      <w:r w:rsidRPr="00326442">
        <w:rPr>
          <w:rFonts w:hAnsi="標楷體"/>
          <w:szCs w:val="32"/>
        </w:rPr>
        <w:t>卡</w:t>
      </w:r>
      <w:r w:rsidRPr="00326442">
        <w:rPr>
          <w:rFonts w:hAnsi="標楷體" w:hint="eastAsia"/>
          <w:szCs w:val="32"/>
        </w:rPr>
        <w:t>數量之計算</w:t>
      </w:r>
      <w:r w:rsidRPr="00326442">
        <w:rPr>
          <w:rFonts w:hAnsi="標楷體" w:cs="新細明體" w:hint="eastAsia"/>
          <w:kern w:val="0"/>
          <w:szCs w:val="32"/>
        </w:rPr>
        <w:t>，</w:t>
      </w:r>
      <w:r w:rsidRPr="00326442">
        <w:rPr>
          <w:rFonts w:hAnsi="標楷體" w:hint="eastAsia"/>
          <w:szCs w:val="32"/>
        </w:rPr>
        <w:t>係以</w:t>
      </w:r>
      <w:r w:rsidRPr="00326442">
        <w:rPr>
          <w:rFonts w:hAnsi="標楷體"/>
          <w:szCs w:val="32"/>
        </w:rPr>
        <w:t>總發行數量扣除</w:t>
      </w:r>
      <w:r w:rsidRPr="00326442">
        <w:rPr>
          <w:rFonts w:hAnsi="標楷體" w:hint="eastAsia"/>
          <w:szCs w:val="32"/>
        </w:rPr>
        <w:t>民眾訂購、公關目的之預購、</w:t>
      </w:r>
      <w:proofErr w:type="gramStart"/>
      <w:r w:rsidRPr="00326442">
        <w:rPr>
          <w:rFonts w:hAnsi="標楷體" w:hint="eastAsia"/>
          <w:szCs w:val="32"/>
        </w:rPr>
        <w:t>公司員購</w:t>
      </w:r>
      <w:proofErr w:type="gramEnd"/>
      <w:r w:rsidRPr="00326442">
        <w:rPr>
          <w:rFonts w:hAnsi="標楷體" w:hint="eastAsia"/>
          <w:szCs w:val="32"/>
        </w:rPr>
        <w:t>、遺失、OK超商退回前即售出、庫存等</w:t>
      </w:r>
      <w:r w:rsidRPr="00326442">
        <w:rPr>
          <w:rFonts w:hAnsi="標楷體"/>
          <w:szCs w:val="32"/>
        </w:rPr>
        <w:t>之</w:t>
      </w:r>
      <w:r w:rsidRPr="00326442">
        <w:rPr>
          <w:rFonts w:hAnsi="標楷體" w:hint="eastAsia"/>
          <w:szCs w:val="32"/>
        </w:rPr>
        <w:t>「</w:t>
      </w:r>
      <w:r w:rsidRPr="00326442">
        <w:rPr>
          <w:rFonts w:hAnsi="標楷體"/>
          <w:szCs w:val="32"/>
        </w:rPr>
        <w:t>剩餘數</w:t>
      </w:r>
      <w:r w:rsidRPr="00326442">
        <w:rPr>
          <w:rFonts w:hAnsi="標楷體" w:hint="eastAsia"/>
          <w:szCs w:val="32"/>
        </w:rPr>
        <w:t>」為公關</w:t>
      </w:r>
      <w:r w:rsidRPr="00326442">
        <w:rPr>
          <w:rFonts w:hAnsi="標楷體"/>
          <w:szCs w:val="32"/>
        </w:rPr>
        <w:t>卡</w:t>
      </w:r>
      <w:r w:rsidRPr="00326442">
        <w:rPr>
          <w:rFonts w:hAnsi="標楷體" w:hint="eastAsia"/>
          <w:szCs w:val="32"/>
        </w:rPr>
        <w:t>之數量；易言之，該公司係以倒推方式列計公關卡之數量，</w:t>
      </w:r>
      <w:r w:rsidR="009003B9" w:rsidRPr="00326442">
        <w:rPr>
          <w:rFonts w:hAnsi="標楷體" w:hint="eastAsia"/>
          <w:szCs w:val="32"/>
        </w:rPr>
        <w:t>其計算方式並不精確</w:t>
      </w:r>
      <w:r w:rsidR="00046A8B" w:rsidRPr="00326442">
        <w:rPr>
          <w:rFonts w:hAnsi="標楷體" w:hint="eastAsia"/>
          <w:szCs w:val="32"/>
        </w:rPr>
        <w:t>，故該197</w:t>
      </w:r>
      <w:r w:rsidR="00E87AA7" w:rsidRPr="00326442">
        <w:rPr>
          <w:rFonts w:hAnsi="標楷體" w:hint="eastAsia"/>
          <w:szCs w:val="32"/>
        </w:rPr>
        <w:t>套之數量</w:t>
      </w:r>
      <w:r w:rsidRPr="00326442">
        <w:rPr>
          <w:rFonts w:hAnsi="標楷體" w:hint="eastAsia"/>
          <w:szCs w:val="32"/>
        </w:rPr>
        <w:t>是否為實際發送之公關</w:t>
      </w:r>
      <w:r w:rsidRPr="00326442">
        <w:rPr>
          <w:rFonts w:hAnsi="標楷體"/>
          <w:szCs w:val="32"/>
        </w:rPr>
        <w:t>卡</w:t>
      </w:r>
      <w:r w:rsidRPr="00326442">
        <w:rPr>
          <w:rFonts w:hAnsi="標楷體" w:hint="eastAsia"/>
          <w:szCs w:val="32"/>
        </w:rPr>
        <w:t>數量</w:t>
      </w:r>
      <w:r w:rsidR="009003B9" w:rsidRPr="00326442">
        <w:rPr>
          <w:rFonts w:hAnsi="標楷體" w:hint="eastAsia"/>
          <w:szCs w:val="32"/>
        </w:rPr>
        <w:t>，</w:t>
      </w:r>
      <w:r w:rsidRPr="00326442">
        <w:rPr>
          <w:rFonts w:hAnsi="標楷體" w:hint="eastAsia"/>
          <w:szCs w:val="32"/>
        </w:rPr>
        <w:t>即有疑義。經</w:t>
      </w:r>
      <w:proofErr w:type="gramStart"/>
      <w:r w:rsidRPr="00326442">
        <w:rPr>
          <w:rFonts w:hAnsi="標楷體" w:hint="eastAsia"/>
          <w:szCs w:val="32"/>
        </w:rPr>
        <w:t>詢據</w:t>
      </w:r>
      <w:r w:rsidRPr="00326442">
        <w:rPr>
          <w:rFonts w:hAnsi="標楷體" w:cs="新細明體" w:hint="eastAsia"/>
          <w:kern w:val="0"/>
          <w:szCs w:val="32"/>
        </w:rPr>
        <w:t>悠</w:t>
      </w:r>
      <w:proofErr w:type="gramEnd"/>
      <w:r w:rsidRPr="00326442">
        <w:rPr>
          <w:rFonts w:hAnsi="標楷體" w:cs="新細明體" w:hint="eastAsia"/>
          <w:kern w:val="0"/>
          <w:szCs w:val="32"/>
        </w:rPr>
        <w:t>遊卡公司表示</w:t>
      </w:r>
      <w:r w:rsidRPr="00326442">
        <w:rPr>
          <w:rFonts w:hAnsi="標楷體" w:hint="eastAsia"/>
          <w:szCs w:val="32"/>
        </w:rPr>
        <w:t>，</w:t>
      </w:r>
      <w:r w:rsidR="00046A8B" w:rsidRPr="00326442">
        <w:rPr>
          <w:rFonts w:hAnsi="標楷體" w:cs="新細明體" w:hint="eastAsia"/>
          <w:kern w:val="0"/>
          <w:szCs w:val="32"/>
        </w:rPr>
        <w:t>當時公司內部並未</w:t>
      </w:r>
      <w:r w:rsidRPr="00326442">
        <w:rPr>
          <w:rFonts w:hAnsi="標楷體" w:cs="新細明體" w:hint="eastAsia"/>
          <w:kern w:val="0"/>
          <w:szCs w:val="32"/>
        </w:rPr>
        <w:t>規定公關卡應記錄發送對象及受贈數量等資料</w:t>
      </w:r>
      <w:r w:rsidR="00046A8B" w:rsidRPr="00326442">
        <w:rPr>
          <w:rFonts w:hAnsi="標楷體" w:cs="新細明體" w:hint="eastAsia"/>
          <w:kern w:val="0"/>
          <w:szCs w:val="32"/>
        </w:rPr>
        <w:t>等語</w:t>
      </w:r>
      <w:r w:rsidRPr="00326442">
        <w:rPr>
          <w:rFonts w:hAnsi="標楷體" w:cs="新細明體" w:hint="eastAsia"/>
          <w:kern w:val="0"/>
          <w:szCs w:val="32"/>
        </w:rPr>
        <w:t>，</w:t>
      </w:r>
      <w:proofErr w:type="gramStart"/>
      <w:r w:rsidRPr="00326442">
        <w:rPr>
          <w:rFonts w:hAnsi="標楷體" w:cs="新細明體" w:hint="eastAsia"/>
          <w:kern w:val="0"/>
          <w:szCs w:val="32"/>
        </w:rPr>
        <w:t>足徵悠</w:t>
      </w:r>
      <w:proofErr w:type="gramEnd"/>
      <w:r w:rsidRPr="00326442">
        <w:rPr>
          <w:rFonts w:hAnsi="標楷體" w:cs="新細明體" w:hint="eastAsia"/>
          <w:kern w:val="0"/>
          <w:szCs w:val="32"/>
        </w:rPr>
        <w:t>遊卡公司內部管控機制有闕漏之處，亦有不當。</w:t>
      </w:r>
    </w:p>
    <w:p w:rsidR="00E548EB" w:rsidRPr="00331C62" w:rsidRDefault="000C4B9D" w:rsidP="00E548EB">
      <w:pPr>
        <w:pStyle w:val="3"/>
        <w:rPr>
          <w:rFonts w:hAnsi="標楷體"/>
          <w:color w:val="FF0000"/>
          <w:szCs w:val="32"/>
        </w:rPr>
      </w:pPr>
      <w:r w:rsidRPr="00326442">
        <w:rPr>
          <w:rFonts w:hAnsi="標楷體" w:hint="eastAsia"/>
          <w:szCs w:val="32"/>
        </w:rPr>
        <w:t>綜上，</w:t>
      </w:r>
      <w:r w:rsidR="00331C62" w:rsidRPr="00326442">
        <w:rPr>
          <w:rFonts w:hAnsi="標楷體" w:hint="eastAsia"/>
          <w:szCs w:val="32"/>
        </w:rPr>
        <w:t>悠遊</w:t>
      </w:r>
      <w:proofErr w:type="gramStart"/>
      <w:r w:rsidR="00331C62" w:rsidRPr="00326442">
        <w:rPr>
          <w:rFonts w:hAnsi="標楷體" w:hint="eastAsia"/>
          <w:szCs w:val="32"/>
        </w:rPr>
        <w:t>卡投控</w:t>
      </w:r>
      <w:proofErr w:type="gramEnd"/>
      <w:r w:rsidR="00331C62" w:rsidRPr="00326442">
        <w:rPr>
          <w:rFonts w:hAnsi="標楷體" w:hint="eastAsia"/>
          <w:szCs w:val="32"/>
        </w:rPr>
        <w:t>公司持有悠遊卡公司100%股份，是</w:t>
      </w:r>
      <w:proofErr w:type="gramStart"/>
      <w:r w:rsidR="002356E9" w:rsidRPr="00326442">
        <w:rPr>
          <w:rFonts w:hAnsi="標楷體" w:hint="eastAsia"/>
          <w:szCs w:val="32"/>
        </w:rPr>
        <w:t>以</w:t>
      </w:r>
      <w:r w:rsidR="00331C62" w:rsidRPr="00326442">
        <w:rPr>
          <w:rFonts w:hAnsi="標楷體" w:hint="eastAsia"/>
          <w:szCs w:val="32"/>
        </w:rPr>
        <w:t>悠遊卡投控</w:t>
      </w:r>
      <w:proofErr w:type="gramEnd"/>
      <w:r w:rsidR="00331C62" w:rsidRPr="00326442">
        <w:rPr>
          <w:rFonts w:hAnsi="標楷體" w:hint="eastAsia"/>
          <w:szCs w:val="32"/>
        </w:rPr>
        <w:t>公司對悠遊卡公司具有控制權，而</w:t>
      </w:r>
      <w:r w:rsidR="00331C62" w:rsidRPr="00326442">
        <w:rPr>
          <w:rFonts w:hAnsi="標楷體" w:hint="eastAsia"/>
          <w:szCs w:val="32"/>
        </w:rPr>
        <w:lastRenderedPageBreak/>
        <w:t>臺北市政府與其持股73.75%之</w:t>
      </w:r>
      <w:proofErr w:type="gramStart"/>
      <w:r w:rsidR="00331C62" w:rsidRPr="00326442">
        <w:rPr>
          <w:rFonts w:hAnsi="標楷體" w:hint="eastAsia"/>
          <w:szCs w:val="32"/>
        </w:rPr>
        <w:t>臺</w:t>
      </w:r>
      <w:proofErr w:type="gramEnd"/>
      <w:r w:rsidR="00331C62" w:rsidRPr="00326442">
        <w:rPr>
          <w:rFonts w:hAnsi="標楷體" w:hint="eastAsia"/>
          <w:szCs w:val="32"/>
        </w:rPr>
        <w:t>北捷運公司</w:t>
      </w:r>
      <w:proofErr w:type="gramStart"/>
      <w:r w:rsidR="00331C62" w:rsidRPr="00326442">
        <w:rPr>
          <w:rFonts w:hAnsi="標楷體" w:hint="eastAsia"/>
          <w:szCs w:val="32"/>
        </w:rPr>
        <w:t>為悠遊卡投控</w:t>
      </w:r>
      <w:proofErr w:type="gramEnd"/>
      <w:r w:rsidR="00331C62" w:rsidRPr="00326442">
        <w:rPr>
          <w:rFonts w:hAnsi="標楷體" w:hint="eastAsia"/>
          <w:szCs w:val="32"/>
        </w:rPr>
        <w:t>公司之大股東，持股合計39.27%，</w:t>
      </w:r>
      <w:proofErr w:type="gramStart"/>
      <w:r w:rsidR="00331C62" w:rsidRPr="00326442">
        <w:rPr>
          <w:rFonts w:hAnsi="標楷體" w:hint="eastAsia"/>
          <w:szCs w:val="32"/>
        </w:rPr>
        <w:t>臺</w:t>
      </w:r>
      <w:proofErr w:type="gramEnd"/>
      <w:r w:rsidR="00331C62" w:rsidRPr="00326442">
        <w:rPr>
          <w:rFonts w:hAnsi="標楷體" w:hint="eastAsia"/>
          <w:szCs w:val="32"/>
        </w:rPr>
        <w:t>北捷運公司所指派之公股代表</w:t>
      </w:r>
      <w:proofErr w:type="gramStart"/>
      <w:r w:rsidR="00331C62" w:rsidRPr="00326442">
        <w:rPr>
          <w:rFonts w:hAnsi="標楷體" w:hint="eastAsia"/>
          <w:szCs w:val="32"/>
        </w:rPr>
        <w:t>並為悠遊</w:t>
      </w:r>
      <w:proofErr w:type="gramEnd"/>
      <w:r w:rsidR="00331C62" w:rsidRPr="00326442">
        <w:rPr>
          <w:rFonts w:hAnsi="標楷體" w:hint="eastAsia"/>
          <w:szCs w:val="32"/>
        </w:rPr>
        <w:t>卡公司之董事長，臺北市政府自得透過悠遊</w:t>
      </w:r>
      <w:proofErr w:type="gramStart"/>
      <w:r w:rsidR="00331C62" w:rsidRPr="00326442">
        <w:rPr>
          <w:rFonts w:hAnsi="標楷體" w:hint="eastAsia"/>
          <w:szCs w:val="32"/>
        </w:rPr>
        <w:t>卡投控</w:t>
      </w:r>
      <w:proofErr w:type="gramEnd"/>
      <w:r w:rsidR="00331C62" w:rsidRPr="00326442">
        <w:rPr>
          <w:rFonts w:hAnsi="標楷體" w:hint="eastAsia"/>
          <w:szCs w:val="32"/>
        </w:rPr>
        <w:t>公司股東間之協商機制，</w:t>
      </w:r>
      <w:proofErr w:type="gramStart"/>
      <w:r w:rsidR="00331C62" w:rsidRPr="00326442">
        <w:rPr>
          <w:rFonts w:hAnsi="標楷體" w:hint="eastAsia"/>
          <w:szCs w:val="32"/>
        </w:rPr>
        <w:t>監督悠</w:t>
      </w:r>
      <w:proofErr w:type="gramEnd"/>
      <w:r w:rsidR="00331C62" w:rsidRPr="00326442">
        <w:rPr>
          <w:rFonts w:hAnsi="標楷體" w:hint="eastAsia"/>
          <w:szCs w:val="32"/>
        </w:rPr>
        <w:t>遊卡公司之營利行為；</w:t>
      </w:r>
      <w:proofErr w:type="gramStart"/>
      <w:r w:rsidR="00E548EB" w:rsidRPr="00326442">
        <w:rPr>
          <w:rFonts w:hAnsi="標楷體" w:hint="eastAsia"/>
          <w:szCs w:val="32"/>
        </w:rPr>
        <w:t>然於悠遊</w:t>
      </w:r>
      <w:proofErr w:type="gramEnd"/>
      <w:r w:rsidR="00E548EB" w:rsidRPr="00326442">
        <w:rPr>
          <w:rFonts w:hAnsi="標楷體" w:hint="eastAsia"/>
          <w:szCs w:val="32"/>
        </w:rPr>
        <w:t>卡公司發行以日本AV女</w:t>
      </w:r>
      <w:proofErr w:type="gramStart"/>
      <w:r w:rsidR="00E548EB" w:rsidRPr="00326442">
        <w:rPr>
          <w:rFonts w:hAnsi="標楷體" w:hint="eastAsia"/>
          <w:szCs w:val="32"/>
        </w:rPr>
        <w:t>優波多野結衣</w:t>
      </w:r>
      <w:proofErr w:type="gramEnd"/>
      <w:r w:rsidR="00E548EB" w:rsidRPr="00326442">
        <w:rPr>
          <w:rFonts w:hAnsi="標楷體" w:hint="eastAsia"/>
          <w:szCs w:val="32"/>
        </w:rPr>
        <w:t>為封面之公益悠</w:t>
      </w:r>
      <w:proofErr w:type="gramStart"/>
      <w:r w:rsidR="00E548EB" w:rsidRPr="00326442">
        <w:rPr>
          <w:rFonts w:hAnsi="標楷體" w:hint="eastAsia"/>
          <w:szCs w:val="32"/>
        </w:rPr>
        <w:t>遊卡致引發</w:t>
      </w:r>
      <w:proofErr w:type="gramEnd"/>
      <w:r w:rsidR="00E548EB" w:rsidRPr="00326442">
        <w:rPr>
          <w:rFonts w:hAnsi="標楷體" w:hint="eastAsia"/>
          <w:szCs w:val="32"/>
        </w:rPr>
        <w:t>社會爭議後，臺北市政府仍</w:t>
      </w:r>
      <w:proofErr w:type="gramStart"/>
      <w:r w:rsidR="00E548EB" w:rsidRPr="00326442">
        <w:rPr>
          <w:rFonts w:hAnsi="標楷體" w:hint="eastAsia"/>
          <w:szCs w:val="32"/>
        </w:rPr>
        <w:t>任由悠</w:t>
      </w:r>
      <w:r w:rsidR="00E548EB" w:rsidRPr="006F7AC3">
        <w:rPr>
          <w:rFonts w:hAnsi="標楷體" w:hint="eastAsia"/>
          <w:szCs w:val="32"/>
        </w:rPr>
        <w:t>遊</w:t>
      </w:r>
      <w:proofErr w:type="gramEnd"/>
      <w:r w:rsidR="00E548EB" w:rsidRPr="006F7AC3">
        <w:rPr>
          <w:rFonts w:hAnsi="標楷體" w:hint="eastAsia"/>
          <w:szCs w:val="32"/>
        </w:rPr>
        <w:t>卡公司改以電話預購方式銷售一空，而未基於社會公益價值，</w:t>
      </w:r>
      <w:proofErr w:type="gramStart"/>
      <w:r w:rsidR="00E548EB" w:rsidRPr="006F7AC3">
        <w:rPr>
          <w:rFonts w:hAnsi="標楷體" w:hint="eastAsia"/>
          <w:szCs w:val="32"/>
        </w:rPr>
        <w:t>要求悠</w:t>
      </w:r>
      <w:proofErr w:type="gramEnd"/>
      <w:r w:rsidR="00E548EB" w:rsidRPr="006F7AC3">
        <w:rPr>
          <w:rFonts w:hAnsi="標楷體" w:hint="eastAsia"/>
          <w:szCs w:val="32"/>
        </w:rPr>
        <w:t>遊卡公司中止銷售波多</w:t>
      </w:r>
      <w:proofErr w:type="gramStart"/>
      <w:r w:rsidR="00E548EB" w:rsidRPr="006F7AC3">
        <w:rPr>
          <w:rFonts w:hAnsi="標楷體" w:hint="eastAsia"/>
          <w:szCs w:val="32"/>
        </w:rPr>
        <w:t>野結衣</w:t>
      </w:r>
      <w:proofErr w:type="gramEnd"/>
      <w:r w:rsidR="00E548EB" w:rsidRPr="006F7AC3">
        <w:rPr>
          <w:rFonts w:hAnsi="標楷體" w:hint="eastAsia"/>
          <w:szCs w:val="32"/>
        </w:rPr>
        <w:t>公益悠遊卡，</w:t>
      </w:r>
      <w:proofErr w:type="gramStart"/>
      <w:r w:rsidR="00E548EB" w:rsidRPr="006F7AC3">
        <w:rPr>
          <w:rFonts w:hAnsi="標楷體" w:hint="eastAsia"/>
          <w:szCs w:val="32"/>
        </w:rPr>
        <w:t>斲</w:t>
      </w:r>
      <w:proofErr w:type="gramEnd"/>
      <w:r w:rsidR="00E548EB" w:rsidRPr="006F7AC3">
        <w:rPr>
          <w:rFonts w:hAnsi="標楷體" w:hint="eastAsia"/>
          <w:szCs w:val="32"/>
        </w:rPr>
        <w:t>傷臺北市</w:t>
      </w:r>
      <w:proofErr w:type="gramStart"/>
      <w:r w:rsidR="00E548EB" w:rsidRPr="006F7AC3">
        <w:rPr>
          <w:rFonts w:hAnsi="標楷體" w:hint="eastAsia"/>
          <w:szCs w:val="32"/>
        </w:rPr>
        <w:t>政府及悠遊</w:t>
      </w:r>
      <w:proofErr w:type="gramEnd"/>
      <w:r w:rsidR="00E548EB" w:rsidRPr="006F7AC3">
        <w:rPr>
          <w:rFonts w:hAnsi="標楷體" w:hint="eastAsia"/>
          <w:szCs w:val="32"/>
        </w:rPr>
        <w:t>卡公司形象甚</w:t>
      </w:r>
      <w:proofErr w:type="gramStart"/>
      <w:r w:rsidR="00E548EB" w:rsidRPr="006F7AC3">
        <w:rPr>
          <w:rFonts w:hAnsi="標楷體" w:hint="eastAsia"/>
          <w:szCs w:val="32"/>
        </w:rPr>
        <w:t>鉅</w:t>
      </w:r>
      <w:proofErr w:type="gramEnd"/>
      <w:r w:rsidR="00E548EB" w:rsidRPr="006F7AC3">
        <w:rPr>
          <w:rFonts w:hAnsi="標楷體" w:hint="eastAsia"/>
          <w:szCs w:val="32"/>
        </w:rPr>
        <w:t>；</w:t>
      </w:r>
      <w:proofErr w:type="gramStart"/>
      <w:r w:rsidR="00E548EB" w:rsidRPr="006F7AC3">
        <w:rPr>
          <w:rFonts w:hAnsi="標楷體" w:hint="eastAsia"/>
          <w:szCs w:val="32"/>
        </w:rPr>
        <w:t>另悠遊</w:t>
      </w:r>
      <w:proofErr w:type="gramEnd"/>
      <w:r w:rsidR="00E548EB" w:rsidRPr="006F7AC3">
        <w:rPr>
          <w:rFonts w:hAnsi="標楷體" w:hint="eastAsia"/>
          <w:szCs w:val="32"/>
        </w:rPr>
        <w:t>卡公司未能掌握波多</w:t>
      </w:r>
      <w:proofErr w:type="gramStart"/>
      <w:r w:rsidR="00E548EB" w:rsidRPr="006F7AC3">
        <w:rPr>
          <w:rFonts w:hAnsi="標楷體" w:hint="eastAsia"/>
          <w:szCs w:val="32"/>
        </w:rPr>
        <w:t>野結衣</w:t>
      </w:r>
      <w:proofErr w:type="gramEnd"/>
      <w:r w:rsidR="00E548EB" w:rsidRPr="006F7AC3">
        <w:rPr>
          <w:rFonts w:hAnsi="標楷體" w:hint="eastAsia"/>
          <w:szCs w:val="32"/>
        </w:rPr>
        <w:t>公益悠遊卡之公關卡流向，內部管控機制顯有闕漏，</w:t>
      </w:r>
      <w:proofErr w:type="gramStart"/>
      <w:r w:rsidR="00E548EB" w:rsidRPr="006F7AC3">
        <w:rPr>
          <w:rFonts w:hAnsi="標楷體" w:hint="eastAsia"/>
          <w:szCs w:val="32"/>
        </w:rPr>
        <w:t>均有不當</w:t>
      </w:r>
      <w:proofErr w:type="gramEnd"/>
      <w:r w:rsidR="00E548EB" w:rsidRPr="006F7AC3">
        <w:rPr>
          <w:rFonts w:hAnsi="標楷體" w:hint="eastAsia"/>
          <w:szCs w:val="32"/>
        </w:rPr>
        <w:t>。</w:t>
      </w:r>
    </w:p>
    <w:p w:rsidR="00D52EB0" w:rsidRPr="008B0181" w:rsidRDefault="00695F1A" w:rsidP="00943B61">
      <w:pPr>
        <w:pStyle w:val="2"/>
        <w:rPr>
          <w:rFonts w:hAnsi="標楷體"/>
          <w:b/>
        </w:rPr>
      </w:pPr>
      <w:r w:rsidRPr="008B0181">
        <w:rPr>
          <w:rFonts w:hAnsi="標楷體" w:hint="eastAsia"/>
          <w:b/>
        </w:rPr>
        <w:t>本院</w:t>
      </w:r>
      <w:r w:rsidR="00B42828" w:rsidRPr="008B0181">
        <w:rPr>
          <w:rFonts w:hAnsi="標楷體" w:hint="eastAsia"/>
          <w:b/>
        </w:rPr>
        <w:t>研究</w:t>
      </w:r>
      <w:r w:rsidRPr="008B0181">
        <w:rPr>
          <w:rFonts w:hAnsi="標楷體" w:hint="eastAsia"/>
          <w:b/>
        </w:rPr>
        <w:t>認為</w:t>
      </w:r>
      <w:r w:rsidR="00B42828" w:rsidRPr="008B0181">
        <w:rPr>
          <w:rFonts w:hAnsi="標楷體" w:hint="eastAsia"/>
          <w:b/>
        </w:rPr>
        <w:t>悠遊卡公司原係為</w:t>
      </w:r>
      <w:r w:rsidR="00B279B7" w:rsidRPr="008B0181">
        <w:rPr>
          <w:rFonts w:hAnsi="標楷體" w:hint="eastAsia"/>
          <w:b/>
        </w:rPr>
        <w:t>達成大眾捷運法公</w:t>
      </w:r>
      <w:r w:rsidR="006D4D93" w:rsidRPr="008B0181">
        <w:rPr>
          <w:rFonts w:hAnsi="標楷體" w:hint="eastAsia"/>
          <w:b/>
        </w:rPr>
        <w:t>益</w:t>
      </w:r>
      <w:r w:rsidR="00027940" w:rsidRPr="008B0181">
        <w:rPr>
          <w:rFonts w:hAnsi="標楷體" w:hint="eastAsia"/>
          <w:b/>
        </w:rPr>
        <w:t>目的</w:t>
      </w:r>
      <w:r w:rsidR="006D4D93" w:rsidRPr="008B0181">
        <w:rPr>
          <w:rFonts w:hAnsi="標楷體" w:hint="eastAsia"/>
          <w:b/>
        </w:rPr>
        <w:t>，</w:t>
      </w:r>
      <w:r w:rsidR="007C10E1" w:rsidRPr="008B0181">
        <w:rPr>
          <w:rFonts w:hAnsi="標楷體" w:hint="eastAsia"/>
          <w:b/>
        </w:rPr>
        <w:t>由臺北市政府以</w:t>
      </w:r>
      <w:r w:rsidR="00E548EB" w:rsidRPr="008B0181">
        <w:rPr>
          <w:rFonts w:hAnsi="標楷體" w:hint="eastAsia"/>
          <w:b/>
        </w:rPr>
        <w:t>私法方式</w:t>
      </w:r>
      <w:r w:rsidR="00943B61" w:rsidRPr="008B0181">
        <w:rPr>
          <w:rFonts w:hAnsi="標楷體" w:hint="eastAsia"/>
          <w:b/>
          <w:szCs w:val="32"/>
        </w:rPr>
        <w:t>整合大眾捷運系統與</w:t>
      </w:r>
      <w:proofErr w:type="gramStart"/>
      <w:r w:rsidR="00B40707" w:rsidRPr="008B0181">
        <w:rPr>
          <w:rFonts w:hAnsi="標楷體" w:hint="eastAsia"/>
          <w:b/>
          <w:szCs w:val="32"/>
        </w:rPr>
        <w:t>臺</w:t>
      </w:r>
      <w:proofErr w:type="gramEnd"/>
      <w:r w:rsidR="00B40707" w:rsidRPr="008B0181">
        <w:rPr>
          <w:rFonts w:hAnsi="標楷體" w:hint="eastAsia"/>
          <w:b/>
          <w:szCs w:val="32"/>
        </w:rPr>
        <w:t>北都會區公車之</w:t>
      </w:r>
      <w:r w:rsidR="00943B61" w:rsidRPr="008B0181">
        <w:rPr>
          <w:rFonts w:hAnsi="標楷體" w:hint="eastAsia"/>
          <w:b/>
        </w:rPr>
        <w:t>票證</w:t>
      </w:r>
      <w:r w:rsidR="00027940" w:rsidRPr="008B0181">
        <w:rPr>
          <w:rFonts w:hAnsi="標楷體" w:hint="eastAsia"/>
          <w:b/>
        </w:rPr>
        <w:t>業務而成立，</w:t>
      </w:r>
      <w:r w:rsidR="006D4D93" w:rsidRPr="008B0181">
        <w:rPr>
          <w:rFonts w:hAnsi="標楷體" w:hint="eastAsia"/>
          <w:b/>
        </w:rPr>
        <w:t>究其事物本質，</w:t>
      </w:r>
      <w:r w:rsidR="007C10E1" w:rsidRPr="008B0181">
        <w:rPr>
          <w:rFonts w:hAnsi="標楷體" w:hint="eastAsia"/>
          <w:b/>
        </w:rPr>
        <w:t>亦有國家行政涉入社會生活的作用</w:t>
      </w:r>
      <w:r w:rsidR="00B42828" w:rsidRPr="008B0181">
        <w:rPr>
          <w:rFonts w:hAnsi="標楷體" w:hint="eastAsia"/>
          <w:b/>
        </w:rPr>
        <w:t>，</w:t>
      </w:r>
      <w:r w:rsidR="00027940" w:rsidRPr="008B0181">
        <w:rPr>
          <w:rFonts w:hAnsi="標楷體" w:hint="eastAsia"/>
          <w:b/>
        </w:rPr>
        <w:t>臺北市政府</w:t>
      </w:r>
      <w:r w:rsidR="00E548EB" w:rsidRPr="008B0181">
        <w:rPr>
          <w:rFonts w:hAnsi="標楷體" w:hint="eastAsia"/>
          <w:b/>
        </w:rPr>
        <w:t>可透過</w:t>
      </w:r>
      <w:r w:rsidR="002C5946" w:rsidRPr="008B0181">
        <w:rPr>
          <w:rFonts w:hAnsi="標楷體" w:hint="eastAsia"/>
          <w:b/>
        </w:rPr>
        <w:t>悠遊</w:t>
      </w:r>
      <w:proofErr w:type="gramStart"/>
      <w:r w:rsidR="002C5946" w:rsidRPr="008B0181">
        <w:rPr>
          <w:rFonts w:hAnsi="標楷體" w:hint="eastAsia"/>
          <w:b/>
        </w:rPr>
        <w:t>卡投控</w:t>
      </w:r>
      <w:proofErr w:type="gramEnd"/>
      <w:r w:rsidR="002C5946" w:rsidRPr="008B0181">
        <w:rPr>
          <w:rFonts w:hAnsi="標楷體" w:hint="eastAsia"/>
          <w:b/>
        </w:rPr>
        <w:t>公司</w:t>
      </w:r>
      <w:r w:rsidR="0088742B" w:rsidRPr="008B0181">
        <w:rPr>
          <w:rFonts w:hAnsi="標楷體" w:hint="eastAsia"/>
          <w:b/>
        </w:rPr>
        <w:t>，</w:t>
      </w:r>
      <w:proofErr w:type="gramStart"/>
      <w:r w:rsidR="00C43B2B" w:rsidRPr="008B0181">
        <w:rPr>
          <w:rFonts w:hAnsi="標楷體" w:hint="eastAsia"/>
          <w:b/>
        </w:rPr>
        <w:t>對</w:t>
      </w:r>
      <w:r w:rsidR="0088742B" w:rsidRPr="008B0181">
        <w:rPr>
          <w:rFonts w:hAnsi="標楷體" w:hint="eastAsia"/>
          <w:b/>
        </w:rPr>
        <w:t>於</w:t>
      </w:r>
      <w:r w:rsidR="00C43B2B" w:rsidRPr="008B0181">
        <w:rPr>
          <w:rFonts w:hAnsi="標楷體" w:hint="eastAsia"/>
          <w:b/>
        </w:rPr>
        <w:t>悠</w:t>
      </w:r>
      <w:proofErr w:type="gramEnd"/>
      <w:r w:rsidR="00C43B2B" w:rsidRPr="008B0181">
        <w:rPr>
          <w:rFonts w:hAnsi="標楷體" w:hint="eastAsia"/>
          <w:b/>
        </w:rPr>
        <w:t>遊卡公司的營利行為是否合</w:t>
      </w:r>
      <w:r w:rsidR="008B0181" w:rsidRPr="008B0181">
        <w:rPr>
          <w:rFonts w:hAnsi="標楷體" w:hint="eastAsia"/>
          <w:b/>
        </w:rPr>
        <w:t>於公益目的</w:t>
      </w:r>
      <w:r w:rsidR="002C5946" w:rsidRPr="008B0181">
        <w:rPr>
          <w:rFonts w:hAnsi="標楷體" w:hint="eastAsia"/>
          <w:b/>
        </w:rPr>
        <w:t>進行監督</w:t>
      </w:r>
      <w:r w:rsidR="00B42828" w:rsidRPr="008B0181">
        <w:rPr>
          <w:rFonts w:hAnsi="標楷體" w:hint="eastAsia"/>
          <w:b/>
        </w:rPr>
        <w:t>。</w:t>
      </w:r>
    </w:p>
    <w:p w:rsidR="00B279B7" w:rsidRPr="007F296A" w:rsidRDefault="000B4FB7" w:rsidP="00AF08D3">
      <w:pPr>
        <w:pStyle w:val="3"/>
        <w:rPr>
          <w:rFonts w:hAnsi="標楷體"/>
          <w:szCs w:val="32"/>
        </w:rPr>
      </w:pPr>
      <w:r w:rsidRPr="007F296A">
        <w:rPr>
          <w:rFonts w:hAnsi="標楷體" w:hint="eastAsia"/>
          <w:szCs w:val="32"/>
        </w:rPr>
        <w:t>由學理上言，國家以私法組織型態所從事之營利行為，可歸類為</w:t>
      </w:r>
      <w:r w:rsidR="003E33BA" w:rsidRPr="007F296A">
        <w:rPr>
          <w:rFonts w:hAnsi="標楷體" w:hint="eastAsia"/>
          <w:szCs w:val="32"/>
        </w:rPr>
        <w:t>私經濟之行政行為</w:t>
      </w:r>
      <w:r w:rsidR="003E33BA" w:rsidRPr="007F296A">
        <w:rPr>
          <w:rStyle w:val="afc"/>
          <w:rFonts w:hAnsi="標楷體"/>
          <w:szCs w:val="32"/>
        </w:rPr>
        <w:footnoteReference w:id="1"/>
      </w:r>
      <w:r w:rsidR="003E33BA" w:rsidRPr="007F296A">
        <w:rPr>
          <w:rFonts w:hAnsi="標楷體" w:hint="eastAsia"/>
          <w:szCs w:val="32"/>
        </w:rPr>
        <w:t>。</w:t>
      </w:r>
      <w:r w:rsidR="00B279B7" w:rsidRPr="007F296A">
        <w:rPr>
          <w:rFonts w:hAnsi="標楷體" w:hint="eastAsia"/>
          <w:szCs w:val="32"/>
        </w:rPr>
        <w:t>大眾捷運法</w:t>
      </w:r>
      <w:r w:rsidR="008E0A21" w:rsidRPr="007F296A">
        <w:rPr>
          <w:rFonts w:hAnsi="標楷體" w:hint="eastAsia"/>
          <w:szCs w:val="32"/>
        </w:rPr>
        <w:t>之立法目的</w:t>
      </w:r>
      <w:r w:rsidR="00B279B7" w:rsidRPr="007F296A">
        <w:rPr>
          <w:rFonts w:hAnsi="標楷體" w:hint="eastAsia"/>
          <w:szCs w:val="32"/>
        </w:rPr>
        <w:t>，係</w:t>
      </w:r>
      <w:r w:rsidR="00B279B7" w:rsidRPr="007F296A">
        <w:rPr>
          <w:rFonts w:hAnsi="標楷體"/>
          <w:szCs w:val="32"/>
        </w:rPr>
        <w:t>為加強都市運輸效能，改善生活環境，促進大眾捷運系統健全發展，以增進公共福利</w:t>
      </w:r>
      <w:r w:rsidR="008E0A21" w:rsidRPr="007F296A">
        <w:rPr>
          <w:rFonts w:hAnsi="標楷體" w:hint="eastAsia"/>
          <w:szCs w:val="32"/>
        </w:rPr>
        <w:t>；該法</w:t>
      </w:r>
      <w:r w:rsidR="00B279B7" w:rsidRPr="007F296A">
        <w:rPr>
          <w:rFonts w:hAnsi="標楷體" w:hint="eastAsia"/>
          <w:szCs w:val="32"/>
        </w:rPr>
        <w:t>第32條規定：「為公益上之必要，大眾捷運系統地方主管機關，得</w:t>
      </w:r>
      <w:proofErr w:type="gramStart"/>
      <w:r w:rsidR="00B279B7" w:rsidRPr="007F296A">
        <w:rPr>
          <w:rFonts w:hAnsi="標楷體" w:hint="eastAsia"/>
          <w:szCs w:val="32"/>
        </w:rPr>
        <w:t>核准或責令</w:t>
      </w:r>
      <w:proofErr w:type="gramEnd"/>
      <w:r w:rsidR="00B279B7" w:rsidRPr="007F296A">
        <w:rPr>
          <w:rFonts w:hAnsi="標楷體" w:hint="eastAsia"/>
          <w:szCs w:val="32"/>
        </w:rPr>
        <w:t>大眾捷運系統營運機構與市區汽車客運業或其他大眾運輸業者，共同辦理聯運或其他路線、票證、票價等整合業務。」悠遊卡公司</w:t>
      </w:r>
      <w:r w:rsidR="00930DC8" w:rsidRPr="007F296A">
        <w:rPr>
          <w:rFonts w:hAnsi="標楷體" w:hint="eastAsia"/>
          <w:szCs w:val="32"/>
        </w:rPr>
        <w:t>原</w:t>
      </w:r>
      <w:r w:rsidR="00B3377D" w:rsidRPr="007F296A">
        <w:rPr>
          <w:rFonts w:hAnsi="標楷體" w:hint="eastAsia"/>
          <w:szCs w:val="32"/>
        </w:rPr>
        <w:t>係</w:t>
      </w:r>
      <w:r w:rsidR="00AF08D3" w:rsidRPr="007F296A">
        <w:rPr>
          <w:rFonts w:hAnsi="標楷體" w:hint="eastAsia"/>
          <w:szCs w:val="32"/>
        </w:rPr>
        <w:t>由臺北市政府主導，而以大眾捷運系統營運機構為主體，與</w:t>
      </w:r>
      <w:proofErr w:type="gramStart"/>
      <w:r w:rsidR="00A938A2" w:rsidRPr="007F296A">
        <w:rPr>
          <w:rFonts w:hAnsi="標楷體" w:hint="eastAsia"/>
          <w:szCs w:val="32"/>
        </w:rPr>
        <w:t>臺</w:t>
      </w:r>
      <w:proofErr w:type="gramEnd"/>
      <w:r w:rsidR="00A938A2" w:rsidRPr="007F296A">
        <w:rPr>
          <w:rFonts w:hAnsi="標楷體" w:hint="eastAsia"/>
          <w:szCs w:val="32"/>
        </w:rPr>
        <w:t>北都會區民營公車業者</w:t>
      </w:r>
      <w:r w:rsidR="00AF08D3" w:rsidRPr="007F296A">
        <w:rPr>
          <w:rFonts w:hAnsi="標楷體" w:hint="eastAsia"/>
          <w:szCs w:val="32"/>
        </w:rPr>
        <w:t>共同</w:t>
      </w:r>
      <w:r w:rsidR="00AF08D3" w:rsidRPr="007F296A">
        <w:rPr>
          <w:rFonts w:hAnsi="標楷體" w:hint="eastAsia"/>
          <w:szCs w:val="32"/>
        </w:rPr>
        <w:lastRenderedPageBreak/>
        <w:t>辦理聯運或其他路線、票證、票價等整合業務</w:t>
      </w:r>
      <w:r w:rsidR="00943B61" w:rsidRPr="007F296A">
        <w:rPr>
          <w:rFonts w:hAnsi="標楷體" w:hint="eastAsia"/>
          <w:szCs w:val="32"/>
        </w:rPr>
        <w:t>型態</w:t>
      </w:r>
      <w:r w:rsidR="00AF08D3" w:rsidRPr="007F296A">
        <w:rPr>
          <w:rFonts w:hAnsi="標楷體" w:hint="eastAsia"/>
          <w:szCs w:val="32"/>
        </w:rPr>
        <w:t>而成立</w:t>
      </w:r>
      <w:r w:rsidR="00B279B7" w:rsidRPr="007F296A">
        <w:rPr>
          <w:rFonts w:hAnsi="標楷體" w:hint="eastAsia"/>
          <w:szCs w:val="32"/>
        </w:rPr>
        <w:t>，</w:t>
      </w:r>
      <w:r w:rsidR="00AF08D3" w:rsidRPr="007F296A">
        <w:rPr>
          <w:rFonts w:hAnsi="標楷體" w:hint="eastAsia"/>
          <w:szCs w:val="32"/>
        </w:rPr>
        <w:t>其目的係基於加強都市運輸效能，改善生活環境，促進大眾捷運系統健全發展，以增進公共福利等公益目的</w:t>
      </w:r>
      <w:r w:rsidR="00B279B7" w:rsidRPr="007F296A">
        <w:rPr>
          <w:rFonts w:hAnsi="標楷體" w:hint="eastAsia"/>
          <w:szCs w:val="32"/>
        </w:rPr>
        <w:t>，</w:t>
      </w:r>
      <w:r w:rsidR="00AF08D3" w:rsidRPr="007F296A">
        <w:rPr>
          <w:rFonts w:hAnsi="標楷體" w:hint="eastAsia"/>
          <w:szCs w:val="32"/>
        </w:rPr>
        <w:t>故</w:t>
      </w:r>
      <w:r w:rsidR="003E33BA" w:rsidRPr="007F296A">
        <w:rPr>
          <w:rFonts w:hAnsi="標楷體" w:hint="eastAsia"/>
          <w:szCs w:val="32"/>
        </w:rPr>
        <w:t>屬</w:t>
      </w:r>
      <w:r w:rsidR="00930DC8" w:rsidRPr="007F296A">
        <w:rPr>
          <w:rFonts w:hAnsi="標楷體" w:hint="eastAsia"/>
          <w:szCs w:val="32"/>
        </w:rPr>
        <w:t>國家以私法組織型態所從事之營利行為，可歸類於</w:t>
      </w:r>
      <w:r w:rsidR="003E33BA" w:rsidRPr="007F296A">
        <w:rPr>
          <w:rFonts w:hAnsi="標楷體" w:hint="eastAsia"/>
          <w:szCs w:val="32"/>
        </w:rPr>
        <w:t>私經濟</w:t>
      </w:r>
      <w:r w:rsidR="00B279B7" w:rsidRPr="007F296A">
        <w:rPr>
          <w:rFonts w:hAnsi="標楷體" w:hint="eastAsia"/>
          <w:szCs w:val="32"/>
        </w:rPr>
        <w:t>之</w:t>
      </w:r>
      <w:r w:rsidR="00930DC8" w:rsidRPr="007F296A">
        <w:rPr>
          <w:rFonts w:hAnsi="標楷體" w:hint="eastAsia"/>
          <w:szCs w:val="32"/>
        </w:rPr>
        <w:t>行政行為</w:t>
      </w:r>
      <w:r w:rsidR="00B279B7" w:rsidRPr="007F296A">
        <w:rPr>
          <w:rFonts w:hAnsi="標楷體" w:hint="eastAsia"/>
          <w:szCs w:val="32"/>
        </w:rPr>
        <w:t>。</w:t>
      </w:r>
    </w:p>
    <w:p w:rsidR="00B279B7" w:rsidRPr="007F296A" w:rsidRDefault="00930DC8" w:rsidP="00B279B7">
      <w:pPr>
        <w:pStyle w:val="3"/>
        <w:rPr>
          <w:rFonts w:hAnsi="標楷體"/>
          <w:szCs w:val="32"/>
        </w:rPr>
      </w:pPr>
      <w:proofErr w:type="gramStart"/>
      <w:r w:rsidRPr="007F296A">
        <w:rPr>
          <w:rFonts w:hAnsi="標楷體" w:hint="eastAsia"/>
          <w:szCs w:val="32"/>
        </w:rPr>
        <w:t>然</w:t>
      </w:r>
      <w:r w:rsidR="00B279B7" w:rsidRPr="007F296A">
        <w:rPr>
          <w:rFonts w:hAnsi="標楷體" w:hint="eastAsia"/>
          <w:szCs w:val="32"/>
        </w:rPr>
        <w:t>悠遊</w:t>
      </w:r>
      <w:proofErr w:type="gramEnd"/>
      <w:r w:rsidR="00B279B7" w:rsidRPr="007F296A">
        <w:rPr>
          <w:rFonts w:hAnsi="標楷體" w:hint="eastAsia"/>
          <w:szCs w:val="32"/>
        </w:rPr>
        <w:t>卡公司成立後，僅</w:t>
      </w:r>
      <w:r w:rsidR="000E2F2C" w:rsidRPr="007F296A">
        <w:rPr>
          <w:rFonts w:hAnsi="標楷體" w:hint="eastAsia"/>
          <w:szCs w:val="32"/>
        </w:rPr>
        <w:t>考慮</w:t>
      </w:r>
      <w:r w:rsidR="00B279B7" w:rsidRPr="007F296A">
        <w:rPr>
          <w:rFonts w:hAnsi="標楷體" w:hint="eastAsia"/>
          <w:szCs w:val="32"/>
        </w:rPr>
        <w:t>公司法</w:t>
      </w:r>
      <w:r w:rsidR="008E0A21" w:rsidRPr="007F296A">
        <w:rPr>
          <w:rFonts w:hAnsi="標楷體" w:hint="eastAsia"/>
          <w:szCs w:val="32"/>
        </w:rPr>
        <w:t>規定</w:t>
      </w:r>
      <w:r w:rsidR="00901552" w:rsidRPr="007F296A">
        <w:rPr>
          <w:rFonts w:hAnsi="標楷體" w:hint="eastAsia"/>
          <w:szCs w:val="32"/>
        </w:rPr>
        <w:t>，據而</w:t>
      </w:r>
      <w:r w:rsidR="00B279B7" w:rsidRPr="007F296A">
        <w:rPr>
          <w:rFonts w:hAnsi="標楷體" w:hint="eastAsia"/>
          <w:szCs w:val="32"/>
        </w:rPr>
        <w:t>修正</w:t>
      </w:r>
      <w:r w:rsidR="000E2F2C" w:rsidRPr="007F296A">
        <w:rPr>
          <w:rFonts w:hAnsi="標楷體" w:hint="eastAsia"/>
          <w:szCs w:val="32"/>
        </w:rPr>
        <w:t>其</w:t>
      </w:r>
      <w:r w:rsidR="00B279B7" w:rsidRPr="007F296A">
        <w:rPr>
          <w:rFonts w:hAnsi="標楷體" w:hint="eastAsia"/>
          <w:szCs w:val="32"/>
        </w:rPr>
        <w:t>公司章程，</w:t>
      </w:r>
      <w:r w:rsidR="008E0A21" w:rsidRPr="007F296A">
        <w:rPr>
          <w:rFonts w:hAnsi="標楷體" w:hint="eastAsia"/>
          <w:szCs w:val="32"/>
        </w:rPr>
        <w:t>致日後衍生之</w:t>
      </w:r>
      <w:r w:rsidR="00B279B7" w:rsidRPr="007F296A">
        <w:rPr>
          <w:rFonts w:hAnsi="標楷體" w:hint="eastAsia"/>
          <w:szCs w:val="32"/>
        </w:rPr>
        <w:t>公司型態</w:t>
      </w:r>
      <w:r w:rsidR="008E0A21" w:rsidRPr="007F296A">
        <w:rPr>
          <w:rFonts w:hAnsi="標楷體" w:hint="eastAsia"/>
          <w:szCs w:val="32"/>
        </w:rPr>
        <w:t>、經營業務</w:t>
      </w:r>
      <w:r w:rsidR="00B279B7" w:rsidRPr="007F296A">
        <w:rPr>
          <w:rFonts w:hAnsi="標楷體" w:hint="eastAsia"/>
          <w:szCs w:val="32"/>
        </w:rPr>
        <w:t>範圍</w:t>
      </w:r>
      <w:r w:rsidR="000E2F2C" w:rsidRPr="007F296A">
        <w:rPr>
          <w:rFonts w:hAnsi="標楷體" w:hint="eastAsia"/>
          <w:szCs w:val="32"/>
        </w:rPr>
        <w:t>，</w:t>
      </w:r>
      <w:r w:rsidR="00B279B7" w:rsidRPr="007F296A">
        <w:rPr>
          <w:rFonts w:hAnsi="標楷體" w:hint="eastAsia"/>
          <w:szCs w:val="32"/>
        </w:rPr>
        <w:t>與大眾捷運法所定</w:t>
      </w:r>
      <w:r w:rsidRPr="007F296A">
        <w:rPr>
          <w:rFonts w:hAnsi="標楷體" w:hint="eastAsia"/>
          <w:szCs w:val="32"/>
        </w:rPr>
        <w:t>之</w:t>
      </w:r>
      <w:r w:rsidR="00B279B7" w:rsidRPr="007F296A">
        <w:rPr>
          <w:rFonts w:hAnsi="標楷體" w:hint="eastAsia"/>
          <w:szCs w:val="32"/>
        </w:rPr>
        <w:t>公益目的</w:t>
      </w:r>
      <w:r w:rsidR="00901552" w:rsidRPr="007F296A">
        <w:rPr>
          <w:rFonts w:hAnsi="標楷體" w:hint="eastAsia"/>
          <w:szCs w:val="32"/>
        </w:rPr>
        <w:t>漸行漸遠</w:t>
      </w:r>
      <w:r w:rsidR="00B279B7" w:rsidRPr="007F296A">
        <w:rPr>
          <w:rFonts w:hAnsi="標楷體" w:hint="eastAsia"/>
          <w:szCs w:val="32"/>
        </w:rPr>
        <w:t>，</w:t>
      </w:r>
      <w:proofErr w:type="gramStart"/>
      <w:r w:rsidR="006B784D" w:rsidRPr="007F296A">
        <w:rPr>
          <w:rFonts w:hAnsi="標楷體" w:hint="eastAsia"/>
          <w:szCs w:val="32"/>
        </w:rPr>
        <w:t>嗣</w:t>
      </w:r>
      <w:proofErr w:type="gramEnd"/>
      <w:r w:rsidR="00B279B7" w:rsidRPr="007F296A">
        <w:rPr>
          <w:rFonts w:hAnsi="標楷體" w:hint="eastAsia"/>
          <w:szCs w:val="32"/>
        </w:rPr>
        <w:t>更為逸脫電子票證發行管理條例之經營限制</w:t>
      </w:r>
      <w:r w:rsidR="006B784D" w:rsidRPr="007F296A">
        <w:rPr>
          <w:rFonts w:hAnsi="標楷體" w:hint="eastAsia"/>
          <w:szCs w:val="32"/>
        </w:rPr>
        <w:t>而</w:t>
      </w:r>
      <w:r w:rsidR="00B279B7" w:rsidRPr="007F296A">
        <w:rPr>
          <w:rFonts w:hAnsi="標楷體" w:hint="eastAsia"/>
          <w:szCs w:val="32"/>
        </w:rPr>
        <w:t>成立</w:t>
      </w:r>
      <w:r w:rsidR="006B784D" w:rsidRPr="007F296A">
        <w:rPr>
          <w:rFonts w:hAnsi="標楷體" w:cs="新細明體" w:hint="eastAsia"/>
          <w:kern w:val="0"/>
          <w:szCs w:val="32"/>
        </w:rPr>
        <w:t>悠遊</w:t>
      </w:r>
      <w:proofErr w:type="gramStart"/>
      <w:r w:rsidR="006B784D" w:rsidRPr="007F296A">
        <w:rPr>
          <w:rFonts w:hAnsi="標楷體" w:cs="新細明體" w:hint="eastAsia"/>
          <w:kern w:val="0"/>
          <w:szCs w:val="32"/>
        </w:rPr>
        <w:t>卡投控</w:t>
      </w:r>
      <w:proofErr w:type="gramEnd"/>
      <w:r w:rsidR="006B784D" w:rsidRPr="007F296A">
        <w:rPr>
          <w:rFonts w:hAnsi="標楷體" w:cs="新細明體" w:hint="eastAsia"/>
          <w:kern w:val="0"/>
          <w:szCs w:val="32"/>
        </w:rPr>
        <w:t>公司</w:t>
      </w:r>
      <w:r w:rsidR="00B279B7" w:rsidRPr="007F296A">
        <w:rPr>
          <w:rFonts w:hAnsi="標楷體" w:hint="eastAsia"/>
          <w:szCs w:val="32"/>
        </w:rPr>
        <w:t>，</w:t>
      </w:r>
      <w:r w:rsidRPr="007F296A">
        <w:rPr>
          <w:rFonts w:hAnsi="標楷體" w:hint="eastAsia"/>
          <w:szCs w:val="32"/>
        </w:rPr>
        <w:t>其後</w:t>
      </w:r>
      <w:r w:rsidR="00837C85" w:rsidRPr="007F296A">
        <w:rPr>
          <w:rFonts w:hAnsi="標楷體" w:hint="eastAsia"/>
          <w:szCs w:val="32"/>
        </w:rPr>
        <w:t>進行</w:t>
      </w:r>
      <w:r w:rsidR="00B279B7" w:rsidRPr="007F296A">
        <w:rPr>
          <w:rFonts w:hAnsi="標楷體" w:hint="eastAsia"/>
          <w:szCs w:val="32"/>
        </w:rPr>
        <w:t>之投資行為</w:t>
      </w:r>
      <w:r w:rsidRPr="007F296A">
        <w:rPr>
          <w:rFonts w:hAnsi="標楷體" w:hint="eastAsia"/>
          <w:szCs w:val="32"/>
        </w:rPr>
        <w:t>與公益目的更形無關</w:t>
      </w:r>
      <w:r w:rsidR="00B279B7" w:rsidRPr="007F296A">
        <w:rPr>
          <w:rFonts w:hAnsi="標楷體" w:hint="eastAsia"/>
          <w:szCs w:val="32"/>
        </w:rPr>
        <w:t>。</w:t>
      </w:r>
    </w:p>
    <w:p w:rsidR="00B279B7" w:rsidRPr="00332B1A" w:rsidRDefault="00243241" w:rsidP="009E58E8">
      <w:pPr>
        <w:pStyle w:val="4"/>
        <w:rPr>
          <w:rFonts w:hAnsi="標楷體"/>
          <w:color w:val="000000" w:themeColor="text1"/>
          <w:szCs w:val="32"/>
        </w:rPr>
      </w:pPr>
      <w:r w:rsidRPr="007F296A">
        <w:rPr>
          <w:rFonts w:hAnsi="標楷體" w:hint="eastAsia"/>
          <w:szCs w:val="32"/>
        </w:rPr>
        <w:t>經查，臺北市政府於87年7月15日邀集該府財政局、主計處、捷運工程局、研考會、法規會、交</w:t>
      </w:r>
      <w:r w:rsidRPr="00332B1A">
        <w:rPr>
          <w:rFonts w:hAnsi="標楷體" w:hint="eastAsia"/>
          <w:color w:val="000000" w:themeColor="text1"/>
          <w:szCs w:val="32"/>
        </w:rPr>
        <w:t>通局等及台北銀行</w:t>
      </w:r>
      <w:r w:rsidRPr="00332B1A">
        <w:rPr>
          <w:rFonts w:hAnsi="標楷體" w:cs="新細明體" w:hint="eastAsia"/>
          <w:color w:val="000000" w:themeColor="text1"/>
          <w:kern w:val="0"/>
          <w:szCs w:val="32"/>
        </w:rPr>
        <w:t>股份有限公司（</w:t>
      </w:r>
      <w:r w:rsidRPr="00332B1A">
        <w:rPr>
          <w:rFonts w:hAnsi="標楷體" w:hint="eastAsia"/>
          <w:color w:val="000000" w:themeColor="text1"/>
          <w:szCs w:val="32"/>
        </w:rPr>
        <w:t>下稱台北銀行</w:t>
      </w:r>
      <w:r w:rsidRPr="00332B1A">
        <w:rPr>
          <w:rFonts w:hAnsi="標楷體" w:cs="新細明體" w:hint="eastAsia"/>
          <w:color w:val="000000" w:themeColor="text1"/>
          <w:kern w:val="0"/>
          <w:szCs w:val="32"/>
        </w:rPr>
        <w:t>）、</w:t>
      </w:r>
      <w:proofErr w:type="gramStart"/>
      <w:r w:rsidRPr="00332B1A">
        <w:rPr>
          <w:rFonts w:hAnsi="標楷體" w:hint="eastAsia"/>
          <w:color w:val="000000" w:themeColor="text1"/>
          <w:szCs w:val="32"/>
        </w:rPr>
        <w:t>臺</w:t>
      </w:r>
      <w:proofErr w:type="gramEnd"/>
      <w:r w:rsidRPr="00332B1A">
        <w:rPr>
          <w:rFonts w:hAnsi="標楷體" w:hint="eastAsia"/>
          <w:color w:val="000000" w:themeColor="text1"/>
          <w:szCs w:val="32"/>
        </w:rPr>
        <w:t>北</w:t>
      </w:r>
      <w:r w:rsidRPr="00332B1A">
        <w:rPr>
          <w:rFonts w:hAnsi="標楷體" w:cs="新細明體" w:hint="eastAsia"/>
          <w:color w:val="000000" w:themeColor="text1"/>
          <w:kern w:val="0"/>
          <w:szCs w:val="32"/>
        </w:rPr>
        <w:t>捷運公司召開「</w:t>
      </w:r>
      <w:r w:rsidRPr="00332B1A">
        <w:rPr>
          <w:rFonts w:hAnsi="標楷體" w:hint="eastAsia"/>
          <w:color w:val="000000" w:themeColor="text1"/>
          <w:szCs w:val="32"/>
        </w:rPr>
        <w:t>捷運與公車非接觸式IC卡票證整合系統-徵求民間機構辦理或由捷運公司主辦簡報</w:t>
      </w:r>
      <w:r w:rsidRPr="00332B1A">
        <w:rPr>
          <w:rFonts w:hAnsi="標楷體" w:cs="新細明體" w:hint="eastAsia"/>
          <w:color w:val="000000" w:themeColor="text1"/>
          <w:kern w:val="0"/>
          <w:szCs w:val="32"/>
        </w:rPr>
        <w:t>」會議，經市長陳水扁裁示略</w:t>
      </w:r>
      <w:proofErr w:type="gramStart"/>
      <w:r w:rsidRPr="00332B1A">
        <w:rPr>
          <w:rFonts w:hAnsi="標楷體" w:cs="新細明體" w:hint="eastAsia"/>
          <w:color w:val="000000" w:themeColor="text1"/>
          <w:kern w:val="0"/>
          <w:szCs w:val="32"/>
        </w:rPr>
        <w:t>以</w:t>
      </w:r>
      <w:proofErr w:type="gramEnd"/>
      <w:r w:rsidRPr="00332B1A">
        <w:rPr>
          <w:rFonts w:hAnsi="標楷體" w:cs="新細明體" w:hint="eastAsia"/>
          <w:color w:val="000000" w:themeColor="text1"/>
          <w:kern w:val="0"/>
          <w:szCs w:val="32"/>
        </w:rPr>
        <w:t>：由</w:t>
      </w:r>
      <w:r w:rsidRPr="00332B1A">
        <w:rPr>
          <w:rFonts w:hAnsi="標楷體" w:hint="eastAsia"/>
          <w:color w:val="000000" w:themeColor="text1"/>
          <w:szCs w:val="32"/>
        </w:rPr>
        <w:t>臺北市政府</w:t>
      </w:r>
      <w:r w:rsidRPr="00332B1A">
        <w:rPr>
          <w:rFonts w:hAnsi="標楷體" w:cs="新細明體" w:hint="eastAsia"/>
          <w:color w:val="000000" w:themeColor="text1"/>
          <w:kern w:val="0"/>
          <w:szCs w:val="32"/>
        </w:rPr>
        <w:t>主辦捷運與公車票證整合業務，</w:t>
      </w:r>
      <w:r w:rsidR="001E5320" w:rsidRPr="00332B1A">
        <w:rPr>
          <w:rFonts w:hAnsi="標楷體" w:cs="新細明體" w:hint="eastAsia"/>
          <w:color w:val="000000" w:themeColor="text1"/>
          <w:kern w:val="0"/>
          <w:szCs w:val="32"/>
        </w:rPr>
        <w:t>並</w:t>
      </w:r>
      <w:r w:rsidRPr="00332B1A">
        <w:rPr>
          <w:rFonts w:hAnsi="標楷體" w:cs="新細明體" w:hint="eastAsia"/>
          <w:color w:val="000000" w:themeColor="text1"/>
          <w:kern w:val="0"/>
          <w:szCs w:val="32"/>
        </w:rPr>
        <w:t>委由</w:t>
      </w:r>
      <w:proofErr w:type="gramStart"/>
      <w:r w:rsidR="001E5320" w:rsidRPr="00332B1A">
        <w:rPr>
          <w:rFonts w:hAnsi="標楷體" w:hint="eastAsia"/>
          <w:color w:val="000000" w:themeColor="text1"/>
          <w:szCs w:val="32"/>
        </w:rPr>
        <w:t>臺</w:t>
      </w:r>
      <w:proofErr w:type="gramEnd"/>
      <w:r w:rsidR="001E5320" w:rsidRPr="00332B1A">
        <w:rPr>
          <w:rFonts w:hAnsi="標楷體" w:hint="eastAsia"/>
          <w:color w:val="000000" w:themeColor="text1"/>
          <w:szCs w:val="32"/>
        </w:rPr>
        <w:t>北</w:t>
      </w:r>
      <w:r w:rsidR="001E5320" w:rsidRPr="00332B1A">
        <w:rPr>
          <w:rFonts w:hAnsi="標楷體" w:cs="新細明體" w:hint="eastAsia"/>
          <w:color w:val="000000" w:themeColor="text1"/>
          <w:kern w:val="0"/>
          <w:szCs w:val="32"/>
        </w:rPr>
        <w:t>捷運公司</w:t>
      </w:r>
      <w:r w:rsidRPr="00332B1A">
        <w:rPr>
          <w:rFonts w:hAnsi="標楷體" w:cs="新細明體" w:hint="eastAsia"/>
          <w:color w:val="000000" w:themeColor="text1"/>
          <w:kern w:val="0"/>
          <w:szCs w:val="32"/>
        </w:rPr>
        <w:t>、交通局與</w:t>
      </w:r>
      <w:r w:rsidRPr="00332B1A">
        <w:rPr>
          <w:rFonts w:hAnsi="標楷體" w:hint="eastAsia"/>
          <w:color w:val="000000" w:themeColor="text1"/>
          <w:szCs w:val="32"/>
        </w:rPr>
        <w:t>台北銀行</w:t>
      </w:r>
      <w:r w:rsidRPr="00332B1A">
        <w:rPr>
          <w:rFonts w:hAnsi="標楷體" w:cs="新細明體" w:hint="eastAsia"/>
          <w:color w:val="000000" w:themeColor="text1"/>
          <w:kern w:val="0"/>
          <w:szCs w:val="32"/>
        </w:rPr>
        <w:t>共同推動，請</w:t>
      </w:r>
      <w:proofErr w:type="gramStart"/>
      <w:r w:rsidR="001E5320" w:rsidRPr="00332B1A">
        <w:rPr>
          <w:rFonts w:hAnsi="標楷體" w:hint="eastAsia"/>
          <w:color w:val="000000" w:themeColor="text1"/>
          <w:szCs w:val="32"/>
        </w:rPr>
        <w:t>臺</w:t>
      </w:r>
      <w:proofErr w:type="gramEnd"/>
      <w:r w:rsidR="001E5320" w:rsidRPr="00332B1A">
        <w:rPr>
          <w:rFonts w:hAnsi="標楷體" w:hint="eastAsia"/>
          <w:color w:val="000000" w:themeColor="text1"/>
          <w:szCs w:val="32"/>
        </w:rPr>
        <w:t>北</w:t>
      </w:r>
      <w:r w:rsidR="001E5320" w:rsidRPr="00332B1A">
        <w:rPr>
          <w:rFonts w:hAnsi="標楷體" w:cs="新細明體" w:hint="eastAsia"/>
          <w:color w:val="000000" w:themeColor="text1"/>
          <w:kern w:val="0"/>
          <w:szCs w:val="32"/>
        </w:rPr>
        <w:t>捷運公司</w:t>
      </w:r>
      <w:r w:rsidRPr="00332B1A">
        <w:rPr>
          <w:rFonts w:hAnsi="標楷體" w:cs="新細明體" w:hint="eastAsia"/>
          <w:color w:val="000000" w:themeColor="text1"/>
          <w:kern w:val="0"/>
          <w:szCs w:val="32"/>
        </w:rPr>
        <w:t>主政。</w:t>
      </w:r>
      <w:proofErr w:type="gramStart"/>
      <w:r w:rsidR="001E5320" w:rsidRPr="00332B1A">
        <w:rPr>
          <w:rFonts w:hAnsi="標楷體" w:cs="新細明體" w:hint="eastAsia"/>
          <w:color w:val="000000" w:themeColor="text1"/>
          <w:kern w:val="0"/>
          <w:szCs w:val="32"/>
        </w:rPr>
        <w:t>嗣</w:t>
      </w:r>
      <w:proofErr w:type="gramEnd"/>
      <w:r w:rsidR="001E5320" w:rsidRPr="00332B1A">
        <w:rPr>
          <w:rFonts w:hAnsi="標楷體" w:cs="新細明體" w:hint="eastAsia"/>
          <w:color w:val="000000" w:themeColor="text1"/>
          <w:kern w:val="0"/>
          <w:szCs w:val="32"/>
        </w:rPr>
        <w:t>於88年3月16日</w:t>
      </w:r>
      <w:proofErr w:type="gramStart"/>
      <w:r w:rsidR="001E5320" w:rsidRPr="00332B1A">
        <w:rPr>
          <w:rFonts w:hAnsi="標楷體" w:hint="eastAsia"/>
          <w:color w:val="000000" w:themeColor="text1"/>
          <w:szCs w:val="32"/>
        </w:rPr>
        <w:t>臺</w:t>
      </w:r>
      <w:proofErr w:type="gramEnd"/>
      <w:r w:rsidR="001E5320" w:rsidRPr="00332B1A">
        <w:rPr>
          <w:rFonts w:hAnsi="標楷體" w:hint="eastAsia"/>
          <w:color w:val="000000" w:themeColor="text1"/>
          <w:szCs w:val="32"/>
        </w:rPr>
        <w:t>北IC卡票證專案小組第1次會議</w:t>
      </w:r>
      <w:r w:rsidR="001E5320" w:rsidRPr="00332B1A">
        <w:rPr>
          <w:rFonts w:hAnsi="標楷體" w:cs="新細明體" w:hint="eastAsia"/>
          <w:color w:val="000000" w:themeColor="text1"/>
          <w:kern w:val="0"/>
          <w:szCs w:val="32"/>
        </w:rPr>
        <w:t>決議</w:t>
      </w:r>
      <w:proofErr w:type="gramStart"/>
      <w:r w:rsidR="001E5320" w:rsidRPr="00332B1A">
        <w:rPr>
          <w:rFonts w:hAnsi="標楷體" w:cs="新細明體" w:hint="eastAsia"/>
          <w:color w:val="000000" w:themeColor="text1"/>
          <w:kern w:val="0"/>
          <w:szCs w:val="32"/>
        </w:rPr>
        <w:t>採</w:t>
      </w:r>
      <w:proofErr w:type="gramEnd"/>
      <w:r w:rsidR="001E5320" w:rsidRPr="00332B1A">
        <w:rPr>
          <w:rFonts w:hAnsi="標楷體" w:cs="新細明體" w:hint="eastAsia"/>
          <w:color w:val="000000" w:themeColor="text1"/>
          <w:kern w:val="0"/>
          <w:szCs w:val="32"/>
        </w:rPr>
        <w:t>票證經營委託及徵求策略投資人一併公開招標方式，並成立</w:t>
      </w:r>
      <w:proofErr w:type="gramStart"/>
      <w:r w:rsidR="001E5320" w:rsidRPr="00332B1A">
        <w:rPr>
          <w:rFonts w:hAnsi="標楷體" w:cs="新細明體" w:hint="eastAsia"/>
          <w:color w:val="000000" w:themeColor="text1"/>
          <w:kern w:val="0"/>
          <w:szCs w:val="32"/>
        </w:rPr>
        <w:t>一</w:t>
      </w:r>
      <w:proofErr w:type="gramEnd"/>
      <w:r w:rsidR="001E5320" w:rsidRPr="00332B1A">
        <w:rPr>
          <w:rFonts w:hAnsi="標楷體" w:cs="新細明體" w:hint="eastAsia"/>
          <w:color w:val="000000" w:themeColor="text1"/>
          <w:kern w:val="0"/>
          <w:szCs w:val="32"/>
        </w:rPr>
        <w:t>民營</w:t>
      </w:r>
      <w:r w:rsidR="001E5320" w:rsidRPr="00332B1A">
        <w:rPr>
          <w:rFonts w:hAnsi="標楷體" w:hint="eastAsia"/>
          <w:color w:val="000000" w:themeColor="text1"/>
          <w:szCs w:val="32"/>
        </w:rPr>
        <w:t>IC卡票證公司，負責系統建置及營運，股權分配為公股48%，其中交通局15%【臺北市公共汽車管理處（下稱公車處）10%、臺北市停車管理處（下稱停管處）5%】、</w:t>
      </w:r>
      <w:proofErr w:type="gramStart"/>
      <w:r w:rsidR="001E5320" w:rsidRPr="00332B1A">
        <w:rPr>
          <w:rFonts w:hAnsi="標楷體" w:hint="eastAsia"/>
          <w:color w:val="000000" w:themeColor="text1"/>
          <w:szCs w:val="32"/>
        </w:rPr>
        <w:t>臺</w:t>
      </w:r>
      <w:proofErr w:type="gramEnd"/>
      <w:r w:rsidR="001E5320" w:rsidRPr="00332B1A">
        <w:rPr>
          <w:rFonts w:hAnsi="標楷體" w:hint="eastAsia"/>
          <w:color w:val="000000" w:themeColor="text1"/>
          <w:szCs w:val="32"/>
        </w:rPr>
        <w:t>北</w:t>
      </w:r>
      <w:r w:rsidR="001E5320" w:rsidRPr="00332B1A">
        <w:rPr>
          <w:rFonts w:hAnsi="標楷體" w:cs="新細明體" w:hint="eastAsia"/>
          <w:color w:val="000000" w:themeColor="text1"/>
          <w:kern w:val="0"/>
          <w:szCs w:val="32"/>
        </w:rPr>
        <w:t>捷運公司28%、</w:t>
      </w:r>
      <w:r w:rsidR="001E5320" w:rsidRPr="00332B1A">
        <w:rPr>
          <w:rFonts w:hAnsi="標楷體" w:hint="eastAsia"/>
          <w:color w:val="000000" w:themeColor="text1"/>
          <w:szCs w:val="32"/>
        </w:rPr>
        <w:t>台北銀行5%；民股52%，其中民營公車業者27%、得標廠商（系統建置）25%。</w:t>
      </w:r>
    </w:p>
    <w:p w:rsidR="00B279B7" w:rsidRPr="00332B1A" w:rsidRDefault="00B279B7" w:rsidP="00B279B7">
      <w:pPr>
        <w:pStyle w:val="4"/>
        <w:rPr>
          <w:rFonts w:hAnsi="標楷體"/>
          <w:color w:val="000000" w:themeColor="text1"/>
          <w:szCs w:val="32"/>
        </w:rPr>
      </w:pPr>
      <w:r w:rsidRPr="00332B1A">
        <w:rPr>
          <w:rFonts w:hAnsi="標楷體" w:hint="eastAsia"/>
          <w:color w:val="000000" w:themeColor="text1"/>
          <w:szCs w:val="32"/>
        </w:rPr>
        <w:t>88年4月15日</w:t>
      </w:r>
      <w:r w:rsidR="005448C7" w:rsidRPr="00332B1A">
        <w:rPr>
          <w:rFonts w:hAnsi="標楷體" w:hint="eastAsia"/>
          <w:color w:val="000000" w:themeColor="text1"/>
          <w:szCs w:val="32"/>
        </w:rPr>
        <w:t>臺北市政府</w:t>
      </w:r>
      <w:r w:rsidRPr="00332B1A">
        <w:rPr>
          <w:rFonts w:hAnsi="標楷體" w:hint="eastAsia"/>
          <w:color w:val="000000" w:themeColor="text1"/>
          <w:szCs w:val="32"/>
        </w:rPr>
        <w:t>就</w:t>
      </w:r>
      <w:proofErr w:type="gramStart"/>
      <w:r w:rsidR="005448C7" w:rsidRPr="00332B1A">
        <w:rPr>
          <w:rFonts w:hAnsi="標楷體" w:hint="eastAsia"/>
          <w:color w:val="000000" w:themeColor="text1"/>
          <w:szCs w:val="32"/>
        </w:rPr>
        <w:t>臺</w:t>
      </w:r>
      <w:proofErr w:type="gramEnd"/>
      <w:r w:rsidR="005448C7" w:rsidRPr="00332B1A">
        <w:rPr>
          <w:rFonts w:hAnsi="標楷體" w:hint="eastAsia"/>
          <w:color w:val="000000" w:themeColor="text1"/>
          <w:szCs w:val="32"/>
        </w:rPr>
        <w:t>北</w:t>
      </w:r>
      <w:r w:rsidR="005448C7" w:rsidRPr="00332B1A">
        <w:rPr>
          <w:rFonts w:hAnsi="標楷體" w:cs="新細明體" w:hint="eastAsia"/>
          <w:color w:val="000000" w:themeColor="text1"/>
          <w:kern w:val="0"/>
          <w:szCs w:val="32"/>
        </w:rPr>
        <w:t>捷運公司、</w:t>
      </w:r>
      <w:r w:rsidR="005448C7" w:rsidRPr="00332B1A">
        <w:rPr>
          <w:rFonts w:hAnsi="標楷體" w:hint="eastAsia"/>
          <w:color w:val="000000" w:themeColor="text1"/>
          <w:szCs w:val="32"/>
        </w:rPr>
        <w:t>臺北市公車處、停管處與民營公車業者依</w:t>
      </w:r>
      <w:r w:rsidR="005448C7" w:rsidRPr="00332B1A">
        <w:rPr>
          <w:rFonts w:hAnsi="標楷體" w:cs="新細明體" w:hint="eastAsia"/>
          <w:color w:val="000000" w:themeColor="text1"/>
          <w:kern w:val="0"/>
          <w:szCs w:val="32"/>
        </w:rPr>
        <w:t>大眾捷運法</w:t>
      </w:r>
      <w:r w:rsidR="005448C7" w:rsidRPr="00332B1A">
        <w:rPr>
          <w:rFonts w:hAnsi="標楷體" w:cs="新細明體" w:hint="eastAsia"/>
          <w:color w:val="000000" w:themeColor="text1"/>
          <w:kern w:val="0"/>
          <w:szCs w:val="32"/>
        </w:rPr>
        <w:lastRenderedPageBreak/>
        <w:t>第32條規定</w:t>
      </w:r>
      <w:r w:rsidR="005448C7" w:rsidRPr="00332B1A">
        <w:rPr>
          <w:rFonts w:hAnsi="標楷體" w:hint="eastAsia"/>
          <w:color w:val="000000" w:themeColor="text1"/>
          <w:szCs w:val="32"/>
        </w:rPr>
        <w:t>投資成立票證公司之適</w:t>
      </w:r>
      <w:proofErr w:type="gramStart"/>
      <w:r w:rsidR="005448C7" w:rsidRPr="00332B1A">
        <w:rPr>
          <w:rFonts w:hAnsi="標楷體" w:hint="eastAsia"/>
          <w:color w:val="000000" w:themeColor="text1"/>
          <w:szCs w:val="32"/>
        </w:rPr>
        <w:t>法性</w:t>
      </w:r>
      <w:r w:rsidRPr="00332B1A">
        <w:rPr>
          <w:rFonts w:hAnsi="標楷體" w:hint="eastAsia"/>
          <w:color w:val="000000" w:themeColor="text1"/>
          <w:szCs w:val="32"/>
        </w:rPr>
        <w:t>函請</w:t>
      </w:r>
      <w:proofErr w:type="gramEnd"/>
      <w:r w:rsidRPr="00332B1A">
        <w:rPr>
          <w:rFonts w:hAnsi="標楷體" w:hint="eastAsia"/>
          <w:color w:val="000000" w:themeColor="text1"/>
          <w:szCs w:val="32"/>
        </w:rPr>
        <w:t>交通部釋示</w:t>
      </w:r>
      <w:r w:rsidR="005448C7" w:rsidRPr="00332B1A">
        <w:rPr>
          <w:rFonts w:hAnsi="標楷體" w:hint="eastAsia"/>
          <w:color w:val="000000" w:themeColor="text1"/>
          <w:szCs w:val="32"/>
        </w:rPr>
        <w:t>；交通部</w:t>
      </w:r>
      <w:r w:rsidRPr="00332B1A">
        <w:rPr>
          <w:rFonts w:hAnsi="標楷體" w:hint="eastAsia"/>
          <w:color w:val="000000" w:themeColor="text1"/>
          <w:szCs w:val="32"/>
        </w:rPr>
        <w:t>於88年5月7日函復臺</w:t>
      </w:r>
      <w:r w:rsidR="00B87C39" w:rsidRPr="00332B1A">
        <w:rPr>
          <w:rFonts w:hAnsi="標楷體" w:hint="eastAsia"/>
          <w:color w:val="000000" w:themeColor="text1"/>
          <w:szCs w:val="32"/>
        </w:rPr>
        <w:t>北市政府</w:t>
      </w:r>
      <w:r w:rsidR="005448C7" w:rsidRPr="00332B1A">
        <w:rPr>
          <w:rFonts w:hAnsi="標楷體" w:hint="eastAsia"/>
          <w:color w:val="000000" w:themeColor="text1"/>
          <w:szCs w:val="32"/>
        </w:rPr>
        <w:t>略</w:t>
      </w:r>
      <w:proofErr w:type="gramStart"/>
      <w:r w:rsidR="005448C7" w:rsidRPr="00332B1A">
        <w:rPr>
          <w:rFonts w:hAnsi="標楷體" w:hint="eastAsia"/>
          <w:color w:val="000000" w:themeColor="text1"/>
          <w:szCs w:val="32"/>
        </w:rPr>
        <w:t>以</w:t>
      </w:r>
      <w:proofErr w:type="gramEnd"/>
      <w:r w:rsidR="005448C7" w:rsidRPr="00332B1A">
        <w:rPr>
          <w:rFonts w:hAnsi="標楷體" w:hint="eastAsia"/>
          <w:color w:val="000000" w:themeColor="text1"/>
          <w:szCs w:val="32"/>
        </w:rPr>
        <w:t>，</w:t>
      </w:r>
      <w:r w:rsidR="005448C7" w:rsidRPr="00332B1A">
        <w:rPr>
          <w:rFonts w:hAnsi="標楷體" w:cs="新細明體" w:hint="eastAsia"/>
          <w:color w:val="000000" w:themeColor="text1"/>
          <w:kern w:val="0"/>
          <w:szCs w:val="32"/>
        </w:rPr>
        <w:t>大眾捷運法第32條規定之是否核准或</w:t>
      </w:r>
      <w:proofErr w:type="gramStart"/>
      <w:r w:rsidR="005448C7" w:rsidRPr="00332B1A">
        <w:rPr>
          <w:rFonts w:hAnsi="標楷體" w:cs="新細明體" w:hint="eastAsia"/>
          <w:color w:val="000000" w:themeColor="text1"/>
          <w:kern w:val="0"/>
          <w:szCs w:val="32"/>
        </w:rPr>
        <w:t>如何責</w:t>
      </w:r>
      <w:proofErr w:type="gramEnd"/>
      <w:r w:rsidR="005448C7" w:rsidRPr="00332B1A">
        <w:rPr>
          <w:rFonts w:hAnsi="標楷體" w:cs="新細明體" w:hint="eastAsia"/>
          <w:color w:val="000000" w:themeColor="text1"/>
          <w:kern w:val="0"/>
          <w:szCs w:val="32"/>
        </w:rPr>
        <w:t>令大眾捷運系統營運機構與其他運輸業者，以何種方式共同辦理聯運或相關路線、票價之整合業務，為大眾捷運系統地方主管機關基於公益上必要之法定權責裁量事項，宜請該府依法令規定本於權責自行核處。</w:t>
      </w:r>
      <w:r w:rsidR="005448C7" w:rsidRPr="00332B1A">
        <w:rPr>
          <w:rFonts w:hAnsi="標楷體" w:hint="eastAsia"/>
          <w:color w:val="000000" w:themeColor="text1"/>
          <w:szCs w:val="32"/>
        </w:rPr>
        <w:t>臺北市政府</w:t>
      </w:r>
      <w:proofErr w:type="gramStart"/>
      <w:r w:rsidR="00B87C39" w:rsidRPr="00332B1A">
        <w:rPr>
          <w:rFonts w:hAnsi="標楷體" w:hint="eastAsia"/>
          <w:color w:val="000000" w:themeColor="text1"/>
          <w:szCs w:val="32"/>
        </w:rPr>
        <w:t>爰</w:t>
      </w:r>
      <w:proofErr w:type="gramEnd"/>
      <w:r w:rsidR="005448C7" w:rsidRPr="00332B1A">
        <w:rPr>
          <w:rFonts w:hAnsi="標楷體" w:hint="eastAsia"/>
          <w:color w:val="000000" w:themeColor="text1"/>
          <w:szCs w:val="32"/>
        </w:rPr>
        <w:t>依</w:t>
      </w:r>
      <w:r w:rsidRPr="00332B1A">
        <w:rPr>
          <w:rFonts w:hAnsi="標楷體" w:hint="eastAsia"/>
          <w:color w:val="000000" w:themeColor="text1"/>
          <w:szCs w:val="32"/>
        </w:rPr>
        <w:t>大眾捷運法第32條</w:t>
      </w:r>
      <w:r w:rsidR="005448C7" w:rsidRPr="00332B1A">
        <w:rPr>
          <w:rFonts w:hAnsi="標楷體" w:hint="eastAsia"/>
          <w:color w:val="000000" w:themeColor="text1"/>
          <w:szCs w:val="32"/>
        </w:rPr>
        <w:t>及</w:t>
      </w:r>
      <w:r w:rsidRPr="00332B1A">
        <w:rPr>
          <w:rFonts w:hAnsi="標楷體" w:hint="eastAsia"/>
          <w:color w:val="000000" w:themeColor="text1"/>
          <w:szCs w:val="32"/>
        </w:rPr>
        <w:t>政府採購法</w:t>
      </w:r>
      <w:r w:rsidR="005448C7" w:rsidRPr="00332B1A">
        <w:rPr>
          <w:rFonts w:hAnsi="標楷體" w:hint="eastAsia"/>
          <w:color w:val="000000" w:themeColor="text1"/>
          <w:szCs w:val="32"/>
        </w:rPr>
        <w:t>規定</w:t>
      </w:r>
      <w:r w:rsidR="00334CEF" w:rsidRPr="00332B1A">
        <w:rPr>
          <w:rFonts w:hAnsi="標楷體" w:hint="eastAsia"/>
          <w:color w:val="000000" w:themeColor="text1"/>
          <w:szCs w:val="32"/>
        </w:rPr>
        <w:t>，</w:t>
      </w:r>
      <w:r w:rsidRPr="00332B1A">
        <w:rPr>
          <w:rFonts w:hAnsi="標楷體" w:hint="eastAsia"/>
          <w:color w:val="000000" w:themeColor="text1"/>
          <w:szCs w:val="32"/>
        </w:rPr>
        <w:t>徵求民間機構參與</w:t>
      </w:r>
      <w:proofErr w:type="gramStart"/>
      <w:r w:rsidR="00F26B1C" w:rsidRPr="00332B1A">
        <w:rPr>
          <w:rFonts w:hAnsi="標楷體" w:hint="eastAsia"/>
          <w:color w:val="000000" w:themeColor="text1"/>
          <w:szCs w:val="32"/>
        </w:rPr>
        <w:t>臺</w:t>
      </w:r>
      <w:proofErr w:type="gramEnd"/>
      <w:r w:rsidR="00F26B1C" w:rsidRPr="00332B1A">
        <w:rPr>
          <w:rFonts w:hAnsi="標楷體" w:hint="eastAsia"/>
          <w:color w:val="000000" w:themeColor="text1"/>
          <w:szCs w:val="32"/>
        </w:rPr>
        <w:t>北IC卡票證整合</w:t>
      </w:r>
      <w:r w:rsidR="00F26B1C" w:rsidRPr="00332B1A">
        <w:rPr>
          <w:rFonts w:hAnsi="標楷體"/>
          <w:color w:val="000000" w:themeColor="text1"/>
          <w:szCs w:val="32"/>
        </w:rPr>
        <w:t>系統之建置</w:t>
      </w:r>
      <w:r w:rsidR="00F26B1C" w:rsidRPr="00332B1A">
        <w:rPr>
          <w:rFonts w:hAnsi="標楷體" w:hint="eastAsia"/>
          <w:color w:val="000000" w:themeColor="text1"/>
          <w:szCs w:val="32"/>
        </w:rPr>
        <w:t>及</w:t>
      </w:r>
      <w:r w:rsidR="00F26B1C" w:rsidRPr="00332B1A">
        <w:rPr>
          <w:rFonts w:hAnsi="標楷體"/>
          <w:color w:val="000000" w:themeColor="text1"/>
          <w:szCs w:val="32"/>
        </w:rPr>
        <w:t>營運</w:t>
      </w:r>
      <w:r w:rsidR="00F26B1C" w:rsidRPr="00332B1A">
        <w:rPr>
          <w:rFonts w:hAnsi="標楷體" w:hint="eastAsia"/>
          <w:color w:val="000000" w:themeColor="text1"/>
          <w:szCs w:val="32"/>
        </w:rPr>
        <w:t>。</w:t>
      </w:r>
    </w:p>
    <w:p w:rsidR="00B279B7" w:rsidRPr="00332B1A" w:rsidRDefault="00F26B1C" w:rsidP="00F26B1C">
      <w:pPr>
        <w:pStyle w:val="4"/>
        <w:rPr>
          <w:rFonts w:hAnsi="標楷體"/>
          <w:color w:val="000000" w:themeColor="text1"/>
          <w:szCs w:val="32"/>
        </w:rPr>
      </w:pPr>
      <w:r w:rsidRPr="00332B1A">
        <w:rPr>
          <w:rFonts w:hAnsi="標楷體" w:cs="新細明體" w:hint="eastAsia"/>
          <w:color w:val="000000" w:themeColor="text1"/>
          <w:kern w:val="0"/>
          <w:szCs w:val="32"/>
        </w:rPr>
        <w:t>88年8月4日</w:t>
      </w:r>
      <w:r w:rsidRPr="00332B1A">
        <w:rPr>
          <w:rFonts w:hAnsi="標楷體" w:hint="eastAsia"/>
          <w:color w:val="000000" w:themeColor="text1"/>
          <w:szCs w:val="32"/>
        </w:rPr>
        <w:t>臺北市政府與</w:t>
      </w:r>
      <w:r w:rsidRPr="00332B1A">
        <w:rPr>
          <w:rFonts w:hAnsi="標楷體" w:cs="新細明體" w:hint="eastAsia"/>
          <w:color w:val="000000" w:themeColor="text1"/>
          <w:kern w:val="0"/>
          <w:szCs w:val="32"/>
        </w:rPr>
        <w:t>13家</w:t>
      </w:r>
      <w:proofErr w:type="gramStart"/>
      <w:r w:rsidRPr="00332B1A">
        <w:rPr>
          <w:rFonts w:hAnsi="標楷體" w:hint="eastAsia"/>
          <w:color w:val="000000" w:themeColor="text1"/>
          <w:szCs w:val="32"/>
        </w:rPr>
        <w:t>臺</w:t>
      </w:r>
      <w:proofErr w:type="gramEnd"/>
      <w:r w:rsidRPr="00332B1A">
        <w:rPr>
          <w:rFonts w:hAnsi="標楷體" w:hint="eastAsia"/>
          <w:color w:val="000000" w:themeColor="text1"/>
          <w:szCs w:val="32"/>
        </w:rPr>
        <w:t>北都會區民營公車業者、臺北市公車處、停管處及</w:t>
      </w:r>
      <w:proofErr w:type="gramStart"/>
      <w:r w:rsidRPr="00332B1A">
        <w:rPr>
          <w:rFonts w:hAnsi="標楷體" w:hint="eastAsia"/>
          <w:color w:val="000000" w:themeColor="text1"/>
          <w:szCs w:val="32"/>
        </w:rPr>
        <w:t>臺</w:t>
      </w:r>
      <w:proofErr w:type="gramEnd"/>
      <w:r w:rsidRPr="00332B1A">
        <w:rPr>
          <w:rFonts w:hAnsi="標楷體" w:hint="eastAsia"/>
          <w:color w:val="000000" w:themeColor="text1"/>
          <w:szCs w:val="32"/>
        </w:rPr>
        <w:t>北</w:t>
      </w:r>
      <w:r w:rsidRPr="00332B1A">
        <w:rPr>
          <w:rFonts w:hAnsi="標楷體" w:cs="新細明體" w:hint="eastAsia"/>
          <w:color w:val="000000" w:themeColor="text1"/>
          <w:kern w:val="0"/>
          <w:szCs w:val="32"/>
        </w:rPr>
        <w:t>捷運公司完成「運輸業者共同委託</w:t>
      </w:r>
      <w:r w:rsidRPr="00332B1A">
        <w:rPr>
          <w:rFonts w:hAnsi="標楷體" w:hint="eastAsia"/>
          <w:color w:val="000000" w:themeColor="text1"/>
          <w:szCs w:val="32"/>
        </w:rPr>
        <w:t>臺北市政府辦理IC卡票證招標協議書</w:t>
      </w:r>
      <w:r w:rsidRPr="00332B1A">
        <w:rPr>
          <w:rFonts w:hAnsi="標楷體" w:cs="新細明體" w:hint="eastAsia"/>
          <w:color w:val="000000" w:themeColor="text1"/>
          <w:kern w:val="0"/>
          <w:szCs w:val="32"/>
        </w:rPr>
        <w:t>」之簽署。</w:t>
      </w:r>
      <w:r w:rsidRPr="00332B1A">
        <w:rPr>
          <w:rFonts w:hAnsi="標楷體" w:hint="eastAsia"/>
          <w:color w:val="000000" w:themeColor="text1"/>
          <w:szCs w:val="32"/>
        </w:rPr>
        <w:t>88年8月18日</w:t>
      </w:r>
      <w:proofErr w:type="gramStart"/>
      <w:r w:rsidRPr="00332B1A">
        <w:rPr>
          <w:rFonts w:hAnsi="標楷體" w:hint="eastAsia"/>
          <w:color w:val="000000" w:themeColor="text1"/>
          <w:szCs w:val="32"/>
        </w:rPr>
        <w:t>臺</w:t>
      </w:r>
      <w:proofErr w:type="gramEnd"/>
      <w:r w:rsidRPr="00332B1A">
        <w:rPr>
          <w:rFonts w:hAnsi="標楷體" w:hint="eastAsia"/>
          <w:color w:val="000000" w:themeColor="text1"/>
          <w:szCs w:val="32"/>
        </w:rPr>
        <w:t>北IC卡票證專案小組第3次會議決議通過「民間機構共同參與建置及營運</w:t>
      </w:r>
      <w:proofErr w:type="gramStart"/>
      <w:r w:rsidRPr="00332B1A">
        <w:rPr>
          <w:rFonts w:hAnsi="標楷體" w:hint="eastAsia"/>
          <w:color w:val="000000" w:themeColor="text1"/>
          <w:szCs w:val="32"/>
        </w:rPr>
        <w:t>臺</w:t>
      </w:r>
      <w:proofErr w:type="gramEnd"/>
      <w:r w:rsidRPr="00332B1A">
        <w:rPr>
          <w:rFonts w:hAnsi="標楷體" w:hint="eastAsia"/>
          <w:color w:val="000000" w:themeColor="text1"/>
          <w:szCs w:val="32"/>
        </w:rPr>
        <w:t>北IC卡票證整合系統專案徵求建議書文件」，經市長馬英九於88年8月31日核定，交通局於88年9月1日上網公告投標須知，</w:t>
      </w:r>
      <w:proofErr w:type="gramStart"/>
      <w:r w:rsidRPr="00332B1A">
        <w:rPr>
          <w:rFonts w:hAnsi="標楷體" w:hint="eastAsia"/>
          <w:color w:val="000000" w:themeColor="text1"/>
          <w:szCs w:val="32"/>
        </w:rPr>
        <w:t>嗣</w:t>
      </w:r>
      <w:proofErr w:type="gramEnd"/>
      <w:r w:rsidRPr="00332B1A">
        <w:rPr>
          <w:rFonts w:hAnsi="標楷體" w:hint="eastAsia"/>
          <w:color w:val="000000" w:themeColor="text1"/>
          <w:szCs w:val="32"/>
        </w:rPr>
        <w:t>於89年3月6日成立</w:t>
      </w:r>
      <w:proofErr w:type="gramStart"/>
      <w:r w:rsidRPr="00332B1A">
        <w:rPr>
          <w:rFonts w:hAnsi="標楷體" w:hint="eastAsia"/>
          <w:color w:val="000000" w:themeColor="text1"/>
          <w:szCs w:val="32"/>
        </w:rPr>
        <w:t>臺</w:t>
      </w:r>
      <w:proofErr w:type="gramEnd"/>
      <w:r w:rsidRPr="00332B1A">
        <w:rPr>
          <w:rFonts w:hAnsi="標楷體" w:hint="eastAsia"/>
          <w:color w:val="000000" w:themeColor="text1"/>
          <w:szCs w:val="32"/>
        </w:rPr>
        <w:t>北智慧卡公司，97年8月8日</w:t>
      </w:r>
      <w:proofErr w:type="gramStart"/>
      <w:r w:rsidRPr="00332B1A">
        <w:rPr>
          <w:rFonts w:hAnsi="標楷體" w:hint="eastAsia"/>
          <w:color w:val="000000" w:themeColor="text1"/>
          <w:szCs w:val="32"/>
        </w:rPr>
        <w:t>更名為</w:t>
      </w:r>
      <w:r w:rsidRPr="00332B1A">
        <w:rPr>
          <w:rFonts w:hAnsi="標楷體" w:cs="新細明體" w:hint="eastAsia"/>
          <w:color w:val="000000" w:themeColor="text1"/>
          <w:kern w:val="0"/>
          <w:szCs w:val="32"/>
        </w:rPr>
        <w:t>悠遊</w:t>
      </w:r>
      <w:proofErr w:type="gramEnd"/>
      <w:r w:rsidRPr="00332B1A">
        <w:rPr>
          <w:rFonts w:hAnsi="標楷體" w:cs="新細明體" w:hint="eastAsia"/>
          <w:color w:val="000000" w:themeColor="text1"/>
          <w:kern w:val="0"/>
          <w:szCs w:val="32"/>
        </w:rPr>
        <w:t>卡公司</w:t>
      </w:r>
      <w:r w:rsidRPr="00332B1A">
        <w:rPr>
          <w:rFonts w:hAnsi="標楷體" w:hint="eastAsia"/>
          <w:color w:val="000000" w:themeColor="text1"/>
          <w:szCs w:val="32"/>
        </w:rPr>
        <w:t>。</w:t>
      </w:r>
    </w:p>
    <w:p w:rsidR="00B279B7" w:rsidRPr="00332B1A" w:rsidRDefault="00F26B1C" w:rsidP="00567AC3">
      <w:pPr>
        <w:pStyle w:val="4"/>
        <w:rPr>
          <w:rFonts w:hAnsi="標楷體"/>
          <w:color w:val="000000" w:themeColor="text1"/>
          <w:szCs w:val="32"/>
        </w:rPr>
      </w:pPr>
      <w:r w:rsidRPr="00332B1A">
        <w:rPr>
          <w:rFonts w:hAnsi="標楷體" w:hint="eastAsia"/>
          <w:color w:val="000000" w:themeColor="text1"/>
          <w:szCs w:val="32"/>
        </w:rPr>
        <w:t>98年1月23日</w:t>
      </w:r>
      <w:r w:rsidRPr="00332B1A">
        <w:rPr>
          <w:rFonts w:hAnsi="標楷體" w:cs="新細明體" w:hint="eastAsia"/>
          <w:color w:val="000000" w:themeColor="text1"/>
          <w:kern w:val="0"/>
          <w:szCs w:val="32"/>
        </w:rPr>
        <w:t>電子票證發行管理條例</w:t>
      </w:r>
      <w:r w:rsidRPr="00332B1A">
        <w:rPr>
          <w:rFonts w:hAnsi="標楷體" w:cs="細明體" w:hint="eastAsia"/>
          <w:color w:val="000000" w:themeColor="text1"/>
          <w:kern w:val="0"/>
          <w:szCs w:val="32"/>
        </w:rPr>
        <w:t>公布施行</w:t>
      </w:r>
      <w:r w:rsidRPr="00332B1A">
        <w:rPr>
          <w:rFonts w:hAnsi="標楷體" w:hint="eastAsia"/>
          <w:color w:val="000000" w:themeColor="text1"/>
          <w:szCs w:val="32"/>
        </w:rPr>
        <w:t>，</w:t>
      </w:r>
      <w:r w:rsidRPr="00332B1A">
        <w:rPr>
          <w:rFonts w:hAnsi="標楷體" w:cs="新細明體" w:hint="eastAsia"/>
          <w:color w:val="000000" w:themeColor="text1"/>
          <w:kern w:val="0"/>
          <w:szCs w:val="32"/>
        </w:rPr>
        <w:t>悠遊卡公司依該條例規定向</w:t>
      </w:r>
      <w:r w:rsidRPr="00332B1A">
        <w:rPr>
          <w:rFonts w:hAnsi="標楷體" w:hint="eastAsia"/>
          <w:color w:val="000000" w:themeColor="text1"/>
          <w:szCs w:val="32"/>
        </w:rPr>
        <w:t>金管會</w:t>
      </w:r>
      <w:r w:rsidRPr="00332B1A">
        <w:rPr>
          <w:rFonts w:hAnsi="標楷體" w:cs="細明體" w:hint="eastAsia"/>
          <w:color w:val="000000" w:themeColor="text1"/>
          <w:kern w:val="0"/>
          <w:szCs w:val="32"/>
        </w:rPr>
        <w:t>申請成為</w:t>
      </w:r>
      <w:r w:rsidRPr="00332B1A">
        <w:rPr>
          <w:rFonts w:hAnsi="標楷體" w:cs="新細明體" w:hint="eastAsia"/>
          <w:color w:val="000000" w:themeColor="text1"/>
          <w:kern w:val="0"/>
          <w:szCs w:val="32"/>
        </w:rPr>
        <w:t>電子票證發行機構</w:t>
      </w:r>
      <w:r w:rsidRPr="00332B1A">
        <w:rPr>
          <w:rFonts w:hAnsi="標楷體" w:cs="細明體" w:hint="eastAsia"/>
          <w:color w:val="000000" w:themeColor="text1"/>
          <w:kern w:val="0"/>
          <w:szCs w:val="32"/>
        </w:rPr>
        <w:t>，經該會於99年2月2日核准後，該公司</w:t>
      </w:r>
      <w:r w:rsidR="00370D99" w:rsidRPr="00332B1A">
        <w:rPr>
          <w:rFonts w:hAnsi="標楷體" w:cs="細明體" w:hint="eastAsia"/>
          <w:color w:val="000000" w:themeColor="text1"/>
          <w:kern w:val="0"/>
          <w:szCs w:val="32"/>
        </w:rPr>
        <w:t>得辦理發行電子票證及</w:t>
      </w:r>
      <w:r w:rsidR="00370D99" w:rsidRPr="00332B1A">
        <w:rPr>
          <w:rFonts w:hAnsi="標楷體" w:hint="eastAsia"/>
          <w:color w:val="000000" w:themeColor="text1"/>
          <w:szCs w:val="32"/>
        </w:rPr>
        <w:t>簽訂特約機構等業務。</w:t>
      </w:r>
      <w:proofErr w:type="gramStart"/>
      <w:r w:rsidR="00370D99" w:rsidRPr="00332B1A">
        <w:rPr>
          <w:rFonts w:hAnsi="標楷體" w:hint="eastAsia"/>
          <w:color w:val="000000" w:themeColor="text1"/>
          <w:szCs w:val="32"/>
        </w:rPr>
        <w:t>因</w:t>
      </w:r>
      <w:r w:rsidR="00370D99" w:rsidRPr="00332B1A">
        <w:rPr>
          <w:rFonts w:hAnsi="標楷體" w:cs="新細明體" w:hint="eastAsia"/>
          <w:color w:val="000000" w:themeColor="text1"/>
          <w:kern w:val="0"/>
          <w:szCs w:val="32"/>
        </w:rPr>
        <w:t>悠遊</w:t>
      </w:r>
      <w:proofErr w:type="gramEnd"/>
      <w:r w:rsidR="00370D99" w:rsidRPr="00332B1A">
        <w:rPr>
          <w:rFonts w:hAnsi="標楷體" w:cs="新細明體" w:hint="eastAsia"/>
          <w:color w:val="000000" w:themeColor="text1"/>
          <w:kern w:val="0"/>
          <w:szCs w:val="32"/>
        </w:rPr>
        <w:t>卡公司</w:t>
      </w:r>
      <w:r w:rsidR="00370D99" w:rsidRPr="00332B1A">
        <w:rPr>
          <w:rFonts w:hAnsi="標楷體" w:hint="eastAsia"/>
          <w:color w:val="000000" w:themeColor="text1"/>
          <w:szCs w:val="32"/>
        </w:rPr>
        <w:t>依法</w:t>
      </w:r>
      <w:r w:rsidR="00370D99" w:rsidRPr="00332B1A">
        <w:rPr>
          <w:rStyle w:val="afc"/>
          <w:rFonts w:hAnsi="標楷體"/>
          <w:color w:val="000000" w:themeColor="text1"/>
          <w:szCs w:val="32"/>
        </w:rPr>
        <w:footnoteReference w:id="2"/>
      </w:r>
      <w:r w:rsidR="00370D99" w:rsidRPr="00332B1A">
        <w:rPr>
          <w:rFonts w:hAnsi="標楷體" w:hint="eastAsia"/>
          <w:color w:val="000000" w:themeColor="text1"/>
          <w:szCs w:val="32"/>
        </w:rPr>
        <w:t>須受專業經營電子票證</w:t>
      </w:r>
      <w:r w:rsidR="00370D99" w:rsidRPr="00332B1A">
        <w:rPr>
          <w:rFonts w:hAnsi="標楷體" w:hint="eastAsia"/>
          <w:color w:val="000000" w:themeColor="text1"/>
          <w:szCs w:val="32"/>
        </w:rPr>
        <w:lastRenderedPageBreak/>
        <w:t>業務之限制，除經主管機關核准，得投資於與其業務密切關聯且持股比率50%以上之子公司外，不得投資於其他企業</w:t>
      </w:r>
      <w:r w:rsidR="00BB14B4" w:rsidRPr="00332B1A">
        <w:rPr>
          <w:rFonts w:hAnsi="標楷體" w:hint="eastAsia"/>
          <w:color w:val="000000" w:themeColor="text1"/>
          <w:szCs w:val="32"/>
        </w:rPr>
        <w:t>；該公司</w:t>
      </w:r>
      <w:r w:rsidR="00370D99" w:rsidRPr="00332B1A">
        <w:rPr>
          <w:rFonts w:hAnsi="標楷體" w:hint="eastAsia"/>
          <w:color w:val="000000" w:themeColor="text1"/>
          <w:szCs w:val="32"/>
        </w:rPr>
        <w:t>考量悠遊卡未來新業務發展及轉投資事業受</w:t>
      </w:r>
      <w:r w:rsidR="00334CEF" w:rsidRPr="00332B1A">
        <w:rPr>
          <w:rFonts w:hAnsi="標楷體" w:hint="eastAsia"/>
          <w:color w:val="000000" w:themeColor="text1"/>
          <w:szCs w:val="32"/>
        </w:rPr>
        <w:t>到</w:t>
      </w:r>
      <w:r w:rsidR="00370D99" w:rsidRPr="00332B1A">
        <w:rPr>
          <w:rFonts w:hAnsi="標楷體" w:hint="eastAsia"/>
          <w:color w:val="000000" w:themeColor="text1"/>
          <w:szCs w:val="32"/>
        </w:rPr>
        <w:t>限</w:t>
      </w:r>
      <w:r w:rsidR="00334CEF" w:rsidRPr="00332B1A">
        <w:rPr>
          <w:rFonts w:hAnsi="標楷體" w:hint="eastAsia"/>
          <w:color w:val="000000" w:themeColor="text1"/>
          <w:szCs w:val="32"/>
        </w:rPr>
        <w:t>制</w:t>
      </w:r>
      <w:r w:rsidR="00370D99" w:rsidRPr="00332B1A">
        <w:rPr>
          <w:rFonts w:hAnsi="標楷體" w:hint="eastAsia"/>
          <w:color w:val="000000" w:themeColor="text1"/>
          <w:szCs w:val="32"/>
        </w:rPr>
        <w:t>，</w:t>
      </w:r>
      <w:r w:rsidR="00BB14B4" w:rsidRPr="00332B1A">
        <w:rPr>
          <w:rFonts w:hAnsi="標楷體" w:hint="eastAsia"/>
          <w:color w:val="000000" w:themeColor="text1"/>
          <w:szCs w:val="32"/>
        </w:rPr>
        <w:t>乃決定依</w:t>
      </w:r>
      <w:r w:rsidR="00370D99" w:rsidRPr="00332B1A">
        <w:rPr>
          <w:rFonts w:hAnsi="標楷體" w:hint="eastAsia"/>
          <w:color w:val="000000" w:themeColor="text1"/>
          <w:szCs w:val="32"/>
        </w:rPr>
        <w:t>企業</w:t>
      </w:r>
      <w:proofErr w:type="gramStart"/>
      <w:r w:rsidR="00370D99" w:rsidRPr="00332B1A">
        <w:rPr>
          <w:rFonts w:hAnsi="標楷體" w:hint="eastAsia"/>
          <w:color w:val="000000" w:themeColor="text1"/>
          <w:szCs w:val="32"/>
        </w:rPr>
        <w:t>併購法</w:t>
      </w:r>
      <w:proofErr w:type="gramEnd"/>
      <w:r w:rsidR="00370D99" w:rsidRPr="00332B1A">
        <w:rPr>
          <w:rFonts w:hAnsi="標楷體" w:hint="eastAsia"/>
          <w:color w:val="000000" w:themeColor="text1"/>
          <w:szCs w:val="32"/>
        </w:rPr>
        <w:t>第29條及第30</w:t>
      </w:r>
      <w:r w:rsidR="00BB14B4" w:rsidRPr="00332B1A">
        <w:rPr>
          <w:rFonts w:hAnsi="標楷體" w:hint="eastAsia"/>
          <w:color w:val="000000" w:themeColor="text1"/>
          <w:szCs w:val="32"/>
        </w:rPr>
        <w:t>條之規定，</w:t>
      </w:r>
      <w:r w:rsidR="00370D99" w:rsidRPr="00332B1A">
        <w:rPr>
          <w:rFonts w:hAnsi="標楷體" w:hint="eastAsia"/>
          <w:color w:val="000000" w:themeColor="text1"/>
          <w:szCs w:val="32"/>
        </w:rPr>
        <w:t>新設</w:t>
      </w:r>
      <w:r w:rsidR="00BB14B4" w:rsidRPr="00332B1A">
        <w:rPr>
          <w:rFonts w:hAnsi="標楷體" w:hint="eastAsia"/>
          <w:color w:val="000000" w:themeColor="text1"/>
          <w:szCs w:val="32"/>
        </w:rPr>
        <w:t>一</w:t>
      </w:r>
      <w:r w:rsidR="00370D99" w:rsidRPr="00332B1A">
        <w:rPr>
          <w:rFonts w:hAnsi="標楷體" w:hint="eastAsia"/>
          <w:color w:val="000000" w:themeColor="text1"/>
          <w:szCs w:val="32"/>
        </w:rPr>
        <w:t>控股公司</w:t>
      </w:r>
      <w:r w:rsidR="00BB14B4" w:rsidRPr="00332B1A">
        <w:rPr>
          <w:rFonts w:hAnsi="標楷體" w:hint="eastAsia"/>
          <w:color w:val="000000" w:themeColor="text1"/>
          <w:szCs w:val="32"/>
        </w:rPr>
        <w:t>，以一比一換股比率</w:t>
      </w:r>
      <w:r w:rsidR="00370D99" w:rsidRPr="00332B1A">
        <w:rPr>
          <w:rFonts w:hAnsi="標楷體" w:hint="eastAsia"/>
          <w:color w:val="000000" w:themeColor="text1"/>
          <w:szCs w:val="32"/>
        </w:rPr>
        <w:t>進行股份轉換，</w:t>
      </w:r>
      <w:proofErr w:type="gramStart"/>
      <w:r w:rsidR="00370D99" w:rsidRPr="00332B1A">
        <w:rPr>
          <w:rFonts w:hAnsi="標楷體" w:hint="eastAsia"/>
          <w:color w:val="000000" w:themeColor="text1"/>
          <w:szCs w:val="32"/>
        </w:rPr>
        <w:t>使悠遊</w:t>
      </w:r>
      <w:proofErr w:type="gramEnd"/>
      <w:r w:rsidR="00370D99" w:rsidRPr="00332B1A">
        <w:rPr>
          <w:rFonts w:hAnsi="標楷體" w:hint="eastAsia"/>
          <w:color w:val="000000" w:themeColor="text1"/>
          <w:szCs w:val="32"/>
        </w:rPr>
        <w:t>卡公司成為控股公司100%</w:t>
      </w:r>
      <w:r w:rsidR="00BB14B4" w:rsidRPr="00332B1A">
        <w:rPr>
          <w:rFonts w:hAnsi="標楷體" w:hint="eastAsia"/>
          <w:color w:val="000000" w:themeColor="text1"/>
          <w:szCs w:val="32"/>
        </w:rPr>
        <w:t>持股之子公司，</w:t>
      </w:r>
      <w:r w:rsidR="00370D99" w:rsidRPr="00332B1A">
        <w:rPr>
          <w:rFonts w:hAnsi="標楷體" w:hint="eastAsia"/>
          <w:color w:val="000000" w:themeColor="text1"/>
          <w:szCs w:val="32"/>
        </w:rPr>
        <w:t>以不受法律限制</w:t>
      </w:r>
      <w:r w:rsidR="0082067D" w:rsidRPr="00332B1A">
        <w:rPr>
          <w:rFonts w:hAnsi="標楷體" w:hint="eastAsia"/>
          <w:color w:val="000000" w:themeColor="text1"/>
          <w:szCs w:val="32"/>
        </w:rPr>
        <w:t>。</w:t>
      </w:r>
      <w:r w:rsidR="00370D99" w:rsidRPr="00332B1A">
        <w:rPr>
          <w:rFonts w:hAnsi="標楷體" w:hint="eastAsia"/>
          <w:color w:val="000000" w:themeColor="text1"/>
          <w:szCs w:val="32"/>
        </w:rPr>
        <w:t>臺北市政府於98年10月1日</w:t>
      </w:r>
      <w:r w:rsidR="0082067D" w:rsidRPr="00332B1A">
        <w:rPr>
          <w:rFonts w:hAnsi="標楷體" w:hint="eastAsia"/>
          <w:color w:val="000000" w:themeColor="text1"/>
          <w:szCs w:val="32"/>
        </w:rPr>
        <w:t>簽陳</w:t>
      </w:r>
      <w:r w:rsidR="00370D99" w:rsidRPr="00332B1A">
        <w:rPr>
          <w:rFonts w:hAnsi="標楷體" w:hint="eastAsia"/>
          <w:color w:val="000000" w:themeColor="text1"/>
          <w:szCs w:val="32"/>
        </w:rPr>
        <w:t>由該府及</w:t>
      </w:r>
      <w:proofErr w:type="gramStart"/>
      <w:r w:rsidR="00370D99" w:rsidRPr="00332B1A">
        <w:rPr>
          <w:rFonts w:hAnsi="標楷體" w:hint="eastAsia"/>
          <w:color w:val="000000" w:themeColor="text1"/>
          <w:szCs w:val="32"/>
        </w:rPr>
        <w:t>臺</w:t>
      </w:r>
      <w:proofErr w:type="gramEnd"/>
      <w:r w:rsidR="00370D99" w:rsidRPr="00332B1A">
        <w:rPr>
          <w:rFonts w:hAnsi="標楷體" w:hint="eastAsia"/>
          <w:color w:val="000000" w:themeColor="text1"/>
          <w:szCs w:val="32"/>
        </w:rPr>
        <w:t>北</w:t>
      </w:r>
      <w:r w:rsidR="00370D99" w:rsidRPr="00332B1A">
        <w:rPr>
          <w:rFonts w:hAnsi="標楷體" w:cs="新細明體" w:hint="eastAsia"/>
          <w:color w:val="000000" w:themeColor="text1"/>
          <w:kern w:val="0"/>
          <w:szCs w:val="32"/>
        </w:rPr>
        <w:t>捷運公司</w:t>
      </w:r>
      <w:r w:rsidR="00370D99" w:rsidRPr="00332B1A">
        <w:rPr>
          <w:rFonts w:hAnsi="標楷體" w:hint="eastAsia"/>
          <w:color w:val="000000" w:themeColor="text1"/>
          <w:szCs w:val="32"/>
        </w:rPr>
        <w:t>公股代表出席</w:t>
      </w:r>
      <w:r w:rsidR="0082067D" w:rsidRPr="00332B1A">
        <w:rPr>
          <w:rFonts w:hAnsi="標楷體" w:cs="新細明體" w:hint="eastAsia"/>
          <w:color w:val="000000" w:themeColor="text1"/>
          <w:kern w:val="0"/>
          <w:szCs w:val="32"/>
        </w:rPr>
        <w:t>悠遊卡公司</w:t>
      </w:r>
      <w:r w:rsidR="00370D99" w:rsidRPr="00332B1A">
        <w:rPr>
          <w:rFonts w:hAnsi="標楷體" w:hint="eastAsia"/>
          <w:color w:val="000000" w:themeColor="text1"/>
          <w:szCs w:val="32"/>
        </w:rPr>
        <w:t>股東臨時會</w:t>
      </w:r>
      <w:r w:rsidR="00334CEF" w:rsidRPr="00332B1A">
        <w:rPr>
          <w:rFonts w:hAnsi="標楷體" w:hint="eastAsia"/>
          <w:color w:val="000000" w:themeColor="text1"/>
          <w:szCs w:val="32"/>
        </w:rPr>
        <w:t>，</w:t>
      </w:r>
      <w:r w:rsidR="00370D99" w:rsidRPr="00332B1A">
        <w:rPr>
          <w:rFonts w:hAnsi="標楷體" w:hint="eastAsia"/>
          <w:color w:val="000000" w:themeColor="text1"/>
          <w:szCs w:val="32"/>
        </w:rPr>
        <w:t>行使同意表決權，並於98年11月26日送</w:t>
      </w:r>
      <w:r w:rsidR="00567AC3" w:rsidRPr="00332B1A">
        <w:rPr>
          <w:rFonts w:hAnsi="標楷體" w:hint="eastAsia"/>
          <w:color w:val="000000" w:themeColor="text1"/>
          <w:szCs w:val="32"/>
        </w:rPr>
        <w:t>臺北市</w:t>
      </w:r>
      <w:r w:rsidR="00370D99" w:rsidRPr="00332B1A">
        <w:rPr>
          <w:rFonts w:hAnsi="標楷體" w:hint="eastAsia"/>
          <w:color w:val="000000" w:themeColor="text1"/>
          <w:szCs w:val="32"/>
        </w:rPr>
        <w:t>議會備查，成立</w:t>
      </w:r>
      <w:r w:rsidR="00370D99" w:rsidRPr="00332B1A">
        <w:rPr>
          <w:rFonts w:hAnsi="標楷體" w:cs="新細明體" w:hint="eastAsia"/>
          <w:color w:val="000000" w:themeColor="text1"/>
          <w:kern w:val="0"/>
          <w:szCs w:val="32"/>
        </w:rPr>
        <w:t>悠遊</w:t>
      </w:r>
      <w:proofErr w:type="gramStart"/>
      <w:r w:rsidR="00370D99" w:rsidRPr="00332B1A">
        <w:rPr>
          <w:rFonts w:hAnsi="標楷體" w:cs="新細明體" w:hint="eastAsia"/>
          <w:color w:val="000000" w:themeColor="text1"/>
          <w:kern w:val="0"/>
          <w:szCs w:val="32"/>
        </w:rPr>
        <w:t>卡投控</w:t>
      </w:r>
      <w:proofErr w:type="gramEnd"/>
      <w:r w:rsidR="00370D99" w:rsidRPr="00332B1A">
        <w:rPr>
          <w:rFonts w:hAnsi="標楷體" w:cs="新細明體" w:hint="eastAsia"/>
          <w:color w:val="000000" w:themeColor="text1"/>
          <w:kern w:val="0"/>
          <w:szCs w:val="32"/>
        </w:rPr>
        <w:t>公司</w:t>
      </w:r>
      <w:r w:rsidR="00370D99" w:rsidRPr="00332B1A">
        <w:rPr>
          <w:rFonts w:hAnsi="標楷體" w:hint="eastAsia"/>
          <w:color w:val="000000" w:themeColor="text1"/>
          <w:szCs w:val="32"/>
        </w:rPr>
        <w:t>。</w:t>
      </w:r>
    </w:p>
    <w:p w:rsidR="00E92F67" w:rsidRPr="00E22ADC" w:rsidRDefault="00567AC3" w:rsidP="00E92F67">
      <w:pPr>
        <w:pStyle w:val="4"/>
        <w:rPr>
          <w:rFonts w:hAnsi="標楷體"/>
          <w:szCs w:val="32"/>
        </w:rPr>
      </w:pPr>
      <w:r w:rsidRPr="00332B1A">
        <w:rPr>
          <w:rFonts w:hAnsi="標楷體" w:hint="eastAsia"/>
          <w:szCs w:val="32"/>
        </w:rPr>
        <w:t>基上</w:t>
      </w:r>
      <w:r w:rsidR="00B279B7" w:rsidRPr="00332B1A">
        <w:rPr>
          <w:rFonts w:hAnsi="標楷體" w:hint="eastAsia"/>
          <w:szCs w:val="32"/>
        </w:rPr>
        <w:t>，</w:t>
      </w:r>
      <w:r w:rsidR="00F26B1C" w:rsidRPr="00332B1A">
        <w:rPr>
          <w:rFonts w:hAnsi="標楷體" w:cs="新細明體" w:hint="eastAsia"/>
          <w:kern w:val="0"/>
          <w:szCs w:val="32"/>
        </w:rPr>
        <w:t>悠遊卡公司</w:t>
      </w:r>
      <w:r w:rsidR="00F26B1C" w:rsidRPr="00332B1A">
        <w:rPr>
          <w:rFonts w:hAnsi="標楷體" w:hint="eastAsia"/>
          <w:szCs w:val="32"/>
        </w:rPr>
        <w:t>原始建置目的係為</w:t>
      </w:r>
      <w:r w:rsidRPr="00332B1A">
        <w:rPr>
          <w:rFonts w:hAnsi="標楷體" w:hint="eastAsia"/>
          <w:szCs w:val="32"/>
        </w:rPr>
        <w:t>推動運輸票證系統整合之政策，</w:t>
      </w:r>
      <w:r w:rsidR="00F26B1C" w:rsidRPr="00332B1A">
        <w:rPr>
          <w:rFonts w:hAnsi="標楷體" w:hint="eastAsia"/>
          <w:szCs w:val="32"/>
        </w:rPr>
        <w:t>提供民眾便捷之大眾運輸服務，並達成一票通用之目標。</w:t>
      </w:r>
      <w:proofErr w:type="gramStart"/>
      <w:r w:rsidRPr="00332B1A">
        <w:rPr>
          <w:rFonts w:hAnsi="標楷體" w:hint="eastAsia"/>
          <w:szCs w:val="32"/>
        </w:rPr>
        <w:t>惟悠遊</w:t>
      </w:r>
      <w:proofErr w:type="gramEnd"/>
      <w:r w:rsidRPr="00332B1A">
        <w:rPr>
          <w:rFonts w:hAnsi="標楷體" w:hint="eastAsia"/>
          <w:szCs w:val="32"/>
        </w:rPr>
        <w:t>卡公司成立後，僅</w:t>
      </w:r>
      <w:r w:rsidR="00596C69" w:rsidRPr="00332B1A">
        <w:rPr>
          <w:rFonts w:hAnsi="標楷體" w:hint="eastAsia"/>
          <w:szCs w:val="32"/>
        </w:rPr>
        <w:t>考慮</w:t>
      </w:r>
      <w:r w:rsidRPr="00332B1A">
        <w:rPr>
          <w:rFonts w:hAnsi="標楷體" w:hint="eastAsia"/>
          <w:szCs w:val="32"/>
        </w:rPr>
        <w:t>公司法規定</w:t>
      </w:r>
      <w:r w:rsidR="00334CEF" w:rsidRPr="00332B1A">
        <w:rPr>
          <w:rFonts w:hAnsi="標楷體" w:hint="eastAsia"/>
          <w:szCs w:val="32"/>
        </w:rPr>
        <w:t>，據而</w:t>
      </w:r>
      <w:r w:rsidRPr="00332B1A">
        <w:rPr>
          <w:rFonts w:hAnsi="標楷體" w:hint="eastAsia"/>
          <w:szCs w:val="32"/>
        </w:rPr>
        <w:t>修正</w:t>
      </w:r>
      <w:r w:rsidR="00F85D91" w:rsidRPr="00332B1A">
        <w:rPr>
          <w:rFonts w:hAnsi="標楷體" w:hint="eastAsia"/>
          <w:szCs w:val="32"/>
        </w:rPr>
        <w:t>其</w:t>
      </w:r>
      <w:r w:rsidRPr="00332B1A">
        <w:rPr>
          <w:rFonts w:hAnsi="標楷體" w:hint="eastAsia"/>
          <w:szCs w:val="32"/>
        </w:rPr>
        <w:t>公司章程，致日後衍生之公司型態、經營業務範圍</w:t>
      </w:r>
      <w:r w:rsidR="00F85D91" w:rsidRPr="00332B1A">
        <w:rPr>
          <w:rFonts w:hAnsi="標楷體" w:hint="eastAsia"/>
          <w:szCs w:val="32"/>
        </w:rPr>
        <w:t>，</w:t>
      </w:r>
      <w:r w:rsidR="00334CEF" w:rsidRPr="00332B1A">
        <w:rPr>
          <w:rFonts w:hAnsi="標楷體" w:hint="eastAsia"/>
          <w:szCs w:val="32"/>
        </w:rPr>
        <w:t>與大眾捷運法所定公益目的漸行漸遠</w:t>
      </w:r>
      <w:r w:rsidRPr="00332B1A">
        <w:rPr>
          <w:rFonts w:hAnsi="標楷體" w:hint="eastAsia"/>
          <w:szCs w:val="32"/>
        </w:rPr>
        <w:t>，</w:t>
      </w:r>
      <w:proofErr w:type="gramStart"/>
      <w:r w:rsidRPr="00332B1A">
        <w:rPr>
          <w:rFonts w:hAnsi="標楷體" w:hint="eastAsia"/>
          <w:szCs w:val="32"/>
        </w:rPr>
        <w:t>嗣</w:t>
      </w:r>
      <w:proofErr w:type="gramEnd"/>
      <w:r w:rsidRPr="00332B1A">
        <w:rPr>
          <w:rFonts w:hAnsi="標楷體" w:hint="eastAsia"/>
          <w:szCs w:val="32"/>
        </w:rPr>
        <w:t>更為逸脫電子</w:t>
      </w:r>
      <w:r w:rsidRPr="00E22ADC">
        <w:rPr>
          <w:rFonts w:hAnsi="標楷體" w:hint="eastAsia"/>
          <w:szCs w:val="32"/>
        </w:rPr>
        <w:t>票證發行管理條例之經營限制而成立</w:t>
      </w:r>
      <w:r w:rsidRPr="00E22ADC">
        <w:rPr>
          <w:rFonts w:hAnsi="標楷體" w:cs="新細明體" w:hint="eastAsia"/>
          <w:kern w:val="0"/>
          <w:szCs w:val="32"/>
        </w:rPr>
        <w:t>悠遊</w:t>
      </w:r>
      <w:proofErr w:type="gramStart"/>
      <w:r w:rsidRPr="00E22ADC">
        <w:rPr>
          <w:rFonts w:hAnsi="標楷體" w:cs="新細明體" w:hint="eastAsia"/>
          <w:kern w:val="0"/>
          <w:szCs w:val="32"/>
        </w:rPr>
        <w:t>卡投控</w:t>
      </w:r>
      <w:proofErr w:type="gramEnd"/>
      <w:r w:rsidRPr="00E22ADC">
        <w:rPr>
          <w:rFonts w:hAnsi="標楷體" w:cs="新細明體" w:hint="eastAsia"/>
          <w:kern w:val="0"/>
          <w:szCs w:val="32"/>
        </w:rPr>
        <w:t>公司</w:t>
      </w:r>
      <w:r w:rsidR="00E92F67" w:rsidRPr="00E22ADC">
        <w:rPr>
          <w:rFonts w:hAnsi="標楷體" w:hint="eastAsia"/>
          <w:szCs w:val="32"/>
        </w:rPr>
        <w:t>，</w:t>
      </w:r>
      <w:r w:rsidR="00332B1A" w:rsidRPr="00E22ADC">
        <w:rPr>
          <w:rFonts w:hAnsi="標楷體" w:hint="eastAsia"/>
          <w:szCs w:val="32"/>
        </w:rPr>
        <w:t>其後進行之投資行為與公益目的更形無關。</w:t>
      </w:r>
    </w:p>
    <w:p w:rsidR="00B279B7" w:rsidRPr="00E22ADC" w:rsidRDefault="00EB6DA8" w:rsidP="00A95F91">
      <w:pPr>
        <w:pStyle w:val="3"/>
        <w:rPr>
          <w:rFonts w:hAnsi="標楷體"/>
          <w:szCs w:val="32"/>
        </w:rPr>
      </w:pPr>
      <w:r w:rsidRPr="00E22ADC">
        <w:rPr>
          <w:rFonts w:hAnsi="標楷體" w:hint="eastAsia"/>
          <w:szCs w:val="32"/>
        </w:rPr>
        <w:t>悠遊卡公司依其事物本質，原係</w:t>
      </w:r>
      <w:r w:rsidR="00E92F67" w:rsidRPr="00E22ADC">
        <w:rPr>
          <w:rFonts w:hAnsi="標楷體" w:hint="eastAsia"/>
          <w:szCs w:val="32"/>
        </w:rPr>
        <w:t>國家以私法組織型態所從事之營利行為，</w:t>
      </w:r>
      <w:r w:rsidR="00A95F91" w:rsidRPr="00E22ADC">
        <w:rPr>
          <w:rFonts w:hAnsi="標楷體" w:hint="eastAsia"/>
          <w:szCs w:val="32"/>
        </w:rPr>
        <w:t>臺北市政府得透過悠遊</w:t>
      </w:r>
      <w:proofErr w:type="gramStart"/>
      <w:r w:rsidR="00A95F91" w:rsidRPr="00E22ADC">
        <w:rPr>
          <w:rFonts w:hAnsi="標楷體" w:hint="eastAsia"/>
          <w:szCs w:val="32"/>
        </w:rPr>
        <w:t>卡投控</w:t>
      </w:r>
      <w:proofErr w:type="gramEnd"/>
      <w:r w:rsidR="00A95F91" w:rsidRPr="00E22ADC">
        <w:rPr>
          <w:rFonts w:hAnsi="標楷體" w:hint="eastAsia"/>
          <w:szCs w:val="32"/>
        </w:rPr>
        <w:t>公司股東間</w:t>
      </w:r>
      <w:r w:rsidR="00B83187" w:rsidRPr="00E22ADC">
        <w:rPr>
          <w:rFonts w:hAnsi="標楷體" w:hint="eastAsia"/>
          <w:szCs w:val="32"/>
        </w:rPr>
        <w:t>之</w:t>
      </w:r>
      <w:r w:rsidR="00A95F91" w:rsidRPr="00E22ADC">
        <w:rPr>
          <w:rFonts w:hAnsi="標楷體" w:hint="eastAsia"/>
          <w:szCs w:val="32"/>
        </w:rPr>
        <w:t>協商機制，</w:t>
      </w:r>
      <w:proofErr w:type="gramStart"/>
      <w:r w:rsidR="00A95F91" w:rsidRPr="00E22ADC">
        <w:rPr>
          <w:rFonts w:hAnsi="標楷體" w:hint="eastAsia"/>
          <w:szCs w:val="32"/>
        </w:rPr>
        <w:t>監督悠</w:t>
      </w:r>
      <w:proofErr w:type="gramEnd"/>
      <w:r w:rsidR="00A95F91" w:rsidRPr="00E22ADC">
        <w:rPr>
          <w:rFonts w:hAnsi="標楷體" w:hint="eastAsia"/>
          <w:szCs w:val="32"/>
        </w:rPr>
        <w:t>遊卡公司之</w:t>
      </w:r>
      <w:r w:rsidR="00B83187" w:rsidRPr="00E22ADC">
        <w:rPr>
          <w:rFonts w:hAnsi="標楷體" w:hint="eastAsia"/>
          <w:szCs w:val="32"/>
        </w:rPr>
        <w:t>營利行為</w:t>
      </w:r>
      <w:r w:rsidR="00A95F91" w:rsidRPr="00E22ADC">
        <w:rPr>
          <w:rFonts w:hAnsi="標楷體" w:hint="eastAsia"/>
          <w:szCs w:val="32"/>
        </w:rPr>
        <w:t>是否合於公益目的</w:t>
      </w:r>
      <w:r w:rsidR="00B279B7" w:rsidRPr="00E22ADC">
        <w:rPr>
          <w:rFonts w:hAnsi="標楷體" w:hint="eastAsia"/>
          <w:szCs w:val="32"/>
        </w:rPr>
        <w:t>。</w:t>
      </w:r>
    </w:p>
    <w:p w:rsidR="00B279B7" w:rsidRPr="002C685B" w:rsidRDefault="00563AE9" w:rsidP="00B279B7">
      <w:pPr>
        <w:pStyle w:val="4"/>
        <w:rPr>
          <w:rFonts w:hAnsi="標楷體"/>
          <w:color w:val="000000" w:themeColor="text1"/>
          <w:szCs w:val="32"/>
        </w:rPr>
      </w:pPr>
      <w:r w:rsidRPr="00E22ADC">
        <w:rPr>
          <w:rFonts w:hAnsi="標楷體" w:hint="eastAsia"/>
          <w:szCs w:val="32"/>
        </w:rPr>
        <w:t>據</w:t>
      </w:r>
      <w:r w:rsidRPr="00E22ADC">
        <w:rPr>
          <w:rFonts w:hAnsi="標楷體" w:cs="細明體"/>
          <w:kern w:val="0"/>
          <w:szCs w:val="32"/>
        </w:rPr>
        <w:t>臺北市政府</w:t>
      </w:r>
      <w:r w:rsidRPr="00E22ADC">
        <w:rPr>
          <w:rFonts w:hAnsi="標楷體" w:cs="細明體" w:hint="eastAsia"/>
          <w:kern w:val="0"/>
          <w:szCs w:val="32"/>
        </w:rPr>
        <w:t>說明，</w:t>
      </w:r>
      <w:r w:rsidRPr="00E22ADC">
        <w:rPr>
          <w:rFonts w:hAnsi="標楷體" w:cs="新細明體" w:hint="eastAsia"/>
          <w:kern w:val="0"/>
          <w:szCs w:val="32"/>
        </w:rPr>
        <w:t>悠遊</w:t>
      </w:r>
      <w:proofErr w:type="gramStart"/>
      <w:r w:rsidRPr="00E22ADC">
        <w:rPr>
          <w:rFonts w:hAnsi="標楷體" w:cs="新細明體" w:hint="eastAsia"/>
          <w:kern w:val="0"/>
          <w:szCs w:val="32"/>
        </w:rPr>
        <w:t>卡投控</w:t>
      </w:r>
      <w:proofErr w:type="gramEnd"/>
      <w:r w:rsidRPr="00E22ADC">
        <w:rPr>
          <w:rFonts w:hAnsi="標楷體" w:cs="新細明體" w:hint="eastAsia"/>
          <w:kern w:val="0"/>
          <w:szCs w:val="32"/>
        </w:rPr>
        <w:t>公司</w:t>
      </w:r>
      <w:r w:rsidRPr="00E22ADC">
        <w:rPr>
          <w:rFonts w:hAnsi="標楷體" w:hint="eastAsia"/>
          <w:szCs w:val="32"/>
        </w:rPr>
        <w:t>持有</w:t>
      </w:r>
      <w:r w:rsidRPr="00E22ADC">
        <w:rPr>
          <w:rFonts w:hAnsi="標楷體" w:cs="新細明體" w:hint="eastAsia"/>
          <w:kern w:val="0"/>
          <w:szCs w:val="32"/>
        </w:rPr>
        <w:t>悠遊卡公司100%股份，</w:t>
      </w:r>
      <w:proofErr w:type="gramStart"/>
      <w:r w:rsidRPr="00E22ADC">
        <w:rPr>
          <w:rFonts w:hAnsi="標楷體" w:cs="新細明體" w:hint="eastAsia"/>
          <w:kern w:val="0"/>
          <w:szCs w:val="32"/>
        </w:rPr>
        <w:t>為</w:t>
      </w:r>
      <w:r w:rsidRPr="00E22ADC">
        <w:rPr>
          <w:rFonts w:hAnsi="標楷體" w:hint="eastAsia"/>
          <w:szCs w:val="32"/>
        </w:rPr>
        <w:t>悠遊</w:t>
      </w:r>
      <w:proofErr w:type="gramEnd"/>
      <w:r w:rsidRPr="00E22ADC">
        <w:rPr>
          <w:rFonts w:hAnsi="標楷體" w:hint="eastAsia"/>
          <w:szCs w:val="32"/>
        </w:rPr>
        <w:t>卡公司唯一法人股東，該府及</w:t>
      </w:r>
      <w:proofErr w:type="gramStart"/>
      <w:r w:rsidRPr="00E22ADC">
        <w:rPr>
          <w:rFonts w:hAnsi="標楷體" w:hint="eastAsia"/>
          <w:szCs w:val="32"/>
        </w:rPr>
        <w:t>臺</w:t>
      </w:r>
      <w:proofErr w:type="gramEnd"/>
      <w:r w:rsidRPr="00E22ADC">
        <w:rPr>
          <w:rFonts w:hAnsi="標楷體" w:hint="eastAsia"/>
          <w:szCs w:val="32"/>
        </w:rPr>
        <w:t>北</w:t>
      </w:r>
      <w:r w:rsidRPr="00E22ADC">
        <w:rPr>
          <w:rFonts w:hAnsi="標楷體" w:cs="新細明體" w:hint="eastAsia"/>
          <w:kern w:val="0"/>
          <w:szCs w:val="32"/>
        </w:rPr>
        <w:t>捷運公司</w:t>
      </w:r>
      <w:r w:rsidRPr="00E22ADC">
        <w:rPr>
          <w:rFonts w:hAnsi="標楷體" w:hint="eastAsia"/>
          <w:szCs w:val="32"/>
        </w:rPr>
        <w:t>持有</w:t>
      </w:r>
      <w:r w:rsidRPr="00E22ADC">
        <w:rPr>
          <w:rFonts w:hAnsi="標楷體" w:cs="新細明體" w:hint="eastAsia"/>
          <w:kern w:val="0"/>
          <w:szCs w:val="32"/>
        </w:rPr>
        <w:t>悠遊</w:t>
      </w:r>
      <w:proofErr w:type="gramStart"/>
      <w:r w:rsidRPr="00E22ADC">
        <w:rPr>
          <w:rFonts w:hAnsi="標楷體" w:cs="新細明體" w:hint="eastAsia"/>
          <w:kern w:val="0"/>
          <w:szCs w:val="32"/>
        </w:rPr>
        <w:t>卡投控</w:t>
      </w:r>
      <w:proofErr w:type="gramEnd"/>
      <w:r w:rsidRPr="00E22ADC">
        <w:rPr>
          <w:rFonts w:hAnsi="標楷體" w:cs="新細明體" w:hint="eastAsia"/>
          <w:kern w:val="0"/>
          <w:szCs w:val="32"/>
        </w:rPr>
        <w:t>公司39.27%股份，未超過半數，其人事、財務或業務等係依公司法規定辦理，</w:t>
      </w:r>
      <w:proofErr w:type="gramStart"/>
      <w:r w:rsidRPr="00E22ADC">
        <w:rPr>
          <w:rFonts w:hAnsi="標楷體" w:cs="新細明體" w:hint="eastAsia"/>
          <w:kern w:val="0"/>
          <w:szCs w:val="32"/>
        </w:rPr>
        <w:t>爰</w:t>
      </w:r>
      <w:proofErr w:type="gramEnd"/>
      <w:r w:rsidRPr="00E22ADC">
        <w:rPr>
          <w:rFonts w:hAnsi="標楷體" w:cs="新細明體" w:hint="eastAsia"/>
          <w:kern w:val="0"/>
          <w:szCs w:val="32"/>
        </w:rPr>
        <w:t>該公司屬民營公司，該府不具實質控制權云云。</w:t>
      </w:r>
      <w:r w:rsidR="00C312E5" w:rsidRPr="00E22ADC">
        <w:rPr>
          <w:rFonts w:hAnsi="標楷體" w:cs="新細明體" w:hint="eastAsia"/>
          <w:kern w:val="0"/>
          <w:szCs w:val="32"/>
        </w:rPr>
        <w:t>惟</w:t>
      </w:r>
      <w:r w:rsidRPr="00E22ADC">
        <w:rPr>
          <w:rFonts w:hAnsi="標楷體" w:hint="eastAsia"/>
          <w:szCs w:val="32"/>
        </w:rPr>
        <w:t>按公司法第128條之1第2</w:t>
      </w:r>
      <w:r w:rsidRPr="002C685B">
        <w:rPr>
          <w:rFonts w:hAnsi="標楷體" w:hint="eastAsia"/>
          <w:color w:val="000000" w:themeColor="text1"/>
          <w:szCs w:val="32"/>
        </w:rPr>
        <w:lastRenderedPageBreak/>
        <w:t>項規定，悠遊卡公司之董事及監察人</w:t>
      </w:r>
      <w:proofErr w:type="gramStart"/>
      <w:r w:rsidRPr="002C685B">
        <w:rPr>
          <w:rFonts w:hAnsi="標楷體" w:hint="eastAsia"/>
          <w:color w:val="000000" w:themeColor="text1"/>
          <w:szCs w:val="32"/>
        </w:rPr>
        <w:t>由悠遊卡投控</w:t>
      </w:r>
      <w:proofErr w:type="gramEnd"/>
      <w:r w:rsidRPr="002C685B">
        <w:rPr>
          <w:rFonts w:hAnsi="標楷體" w:hint="eastAsia"/>
          <w:color w:val="000000" w:themeColor="text1"/>
          <w:szCs w:val="32"/>
        </w:rPr>
        <w:t>公司指派，經理</w:t>
      </w:r>
      <w:proofErr w:type="gramStart"/>
      <w:r w:rsidRPr="002C685B">
        <w:rPr>
          <w:rFonts w:hAnsi="標楷體" w:hint="eastAsia"/>
          <w:color w:val="000000" w:themeColor="text1"/>
          <w:szCs w:val="32"/>
        </w:rPr>
        <w:t>人由悠遊</w:t>
      </w:r>
      <w:proofErr w:type="gramEnd"/>
      <w:r w:rsidRPr="002C685B">
        <w:rPr>
          <w:rFonts w:hAnsi="標楷體" w:hint="eastAsia"/>
          <w:color w:val="000000" w:themeColor="text1"/>
          <w:szCs w:val="32"/>
        </w:rPr>
        <w:t>卡公司董事會通過後派任；</w:t>
      </w:r>
      <w:r w:rsidRPr="002C685B">
        <w:rPr>
          <w:rFonts w:hAnsi="標楷體" w:cs="新細明體" w:hint="eastAsia"/>
          <w:color w:val="000000" w:themeColor="text1"/>
          <w:kern w:val="0"/>
          <w:szCs w:val="32"/>
        </w:rPr>
        <w:t>悠遊卡公司係於99年2月經</w:t>
      </w:r>
      <w:r w:rsidRPr="002C685B">
        <w:rPr>
          <w:rFonts w:hAnsi="標楷體" w:hint="eastAsia"/>
          <w:color w:val="000000" w:themeColor="text1"/>
          <w:szCs w:val="32"/>
        </w:rPr>
        <w:t>金管會核准為</w:t>
      </w:r>
      <w:r w:rsidRPr="002C685B">
        <w:rPr>
          <w:rFonts w:hAnsi="標楷體" w:cs="細明體" w:hint="eastAsia"/>
          <w:color w:val="000000" w:themeColor="text1"/>
          <w:kern w:val="0"/>
          <w:szCs w:val="32"/>
        </w:rPr>
        <w:t>電子票證發行機構，屬特許事業，</w:t>
      </w:r>
      <w:proofErr w:type="gramStart"/>
      <w:r w:rsidRPr="002C685B">
        <w:rPr>
          <w:rFonts w:hAnsi="標楷體" w:cs="細明體" w:hint="eastAsia"/>
          <w:color w:val="000000" w:themeColor="text1"/>
          <w:kern w:val="0"/>
          <w:szCs w:val="32"/>
        </w:rPr>
        <w:t>而</w:t>
      </w:r>
      <w:r w:rsidRPr="002C685B">
        <w:rPr>
          <w:rFonts w:hAnsi="標楷體" w:cs="新細明體" w:hint="eastAsia"/>
          <w:color w:val="000000" w:themeColor="text1"/>
          <w:kern w:val="0"/>
          <w:szCs w:val="32"/>
        </w:rPr>
        <w:t>悠遊卡投控</w:t>
      </w:r>
      <w:proofErr w:type="gramEnd"/>
      <w:r w:rsidRPr="002C685B">
        <w:rPr>
          <w:rFonts w:hAnsi="標楷體" w:cs="新細明體" w:hint="eastAsia"/>
          <w:color w:val="000000" w:themeColor="text1"/>
          <w:kern w:val="0"/>
          <w:szCs w:val="32"/>
        </w:rPr>
        <w:t>公司</w:t>
      </w:r>
      <w:r w:rsidRPr="002C685B">
        <w:rPr>
          <w:rFonts w:hAnsi="標楷體" w:cs="細明體" w:hint="eastAsia"/>
          <w:color w:val="000000" w:themeColor="text1"/>
          <w:kern w:val="0"/>
          <w:szCs w:val="32"/>
        </w:rPr>
        <w:t>為依公司法第6條：「</w:t>
      </w:r>
      <w:r w:rsidRPr="002C685B">
        <w:rPr>
          <w:rFonts w:hAnsi="標楷體" w:hint="eastAsia"/>
          <w:color w:val="000000" w:themeColor="text1"/>
          <w:szCs w:val="32"/>
        </w:rPr>
        <w:t>公司非在中央主管機關登記後，不得成立。</w:t>
      </w:r>
      <w:r w:rsidRPr="002C685B">
        <w:rPr>
          <w:rFonts w:hAnsi="標楷體" w:cs="細明體" w:hint="eastAsia"/>
          <w:color w:val="000000" w:themeColor="text1"/>
          <w:kern w:val="0"/>
          <w:szCs w:val="32"/>
        </w:rPr>
        <w:t>」規定，向經濟部申請設立登記之公司，非屬特許事業，固屬事實。然經</w:t>
      </w:r>
      <w:proofErr w:type="gramStart"/>
      <w:r w:rsidRPr="002C685B">
        <w:rPr>
          <w:rFonts w:hAnsi="標楷體" w:cs="細明體" w:hint="eastAsia"/>
          <w:color w:val="000000" w:themeColor="text1"/>
          <w:kern w:val="0"/>
          <w:szCs w:val="32"/>
        </w:rPr>
        <w:t>詢</w:t>
      </w:r>
      <w:proofErr w:type="gramEnd"/>
      <w:r w:rsidRPr="002C685B">
        <w:rPr>
          <w:rFonts w:hAnsi="標楷體" w:cs="細明體" w:hint="eastAsia"/>
          <w:color w:val="000000" w:themeColor="text1"/>
          <w:kern w:val="0"/>
          <w:szCs w:val="32"/>
        </w:rPr>
        <w:t>據交通部表示，</w:t>
      </w:r>
      <w:r w:rsidRPr="002C685B">
        <w:rPr>
          <w:rFonts w:hAnsi="標楷體" w:cs="新細明體" w:hint="eastAsia"/>
          <w:color w:val="000000" w:themeColor="text1"/>
          <w:kern w:val="0"/>
          <w:szCs w:val="32"/>
        </w:rPr>
        <w:t>悠遊卡公司</w:t>
      </w:r>
      <w:r w:rsidRPr="002C685B">
        <w:rPr>
          <w:rFonts w:hAnsi="標楷體" w:hint="eastAsia"/>
          <w:color w:val="000000" w:themeColor="text1"/>
          <w:szCs w:val="32"/>
        </w:rPr>
        <w:t>非依</w:t>
      </w:r>
      <w:r w:rsidRPr="002C685B">
        <w:rPr>
          <w:rFonts w:hAnsi="標楷體" w:cs="新細明體" w:hint="eastAsia"/>
          <w:color w:val="000000" w:themeColor="text1"/>
          <w:kern w:val="0"/>
          <w:szCs w:val="32"/>
        </w:rPr>
        <w:t>大眾捷運法規定之</w:t>
      </w:r>
      <w:r w:rsidRPr="002C685B">
        <w:rPr>
          <w:rFonts w:hAnsi="標楷體" w:cs="細明體" w:hint="eastAsia"/>
          <w:color w:val="000000" w:themeColor="text1"/>
          <w:kern w:val="0"/>
          <w:szCs w:val="32"/>
        </w:rPr>
        <w:t>營運機構，且</w:t>
      </w:r>
      <w:r w:rsidRPr="002C685B">
        <w:rPr>
          <w:rFonts w:hAnsi="標楷體" w:cs="新細明體" w:hint="eastAsia"/>
          <w:color w:val="000000" w:themeColor="text1"/>
          <w:kern w:val="0"/>
          <w:szCs w:val="32"/>
        </w:rPr>
        <w:t>大眾捷運法第32條：「</w:t>
      </w:r>
      <w:r w:rsidRPr="002C685B">
        <w:rPr>
          <w:rFonts w:hAnsi="標楷體" w:cs="細明體" w:hint="eastAsia"/>
          <w:color w:val="000000" w:themeColor="text1"/>
          <w:kern w:val="0"/>
          <w:szCs w:val="32"/>
        </w:rPr>
        <w:t>為公益上之必要，大眾捷運系統地方主管機關，得</w:t>
      </w:r>
      <w:proofErr w:type="gramStart"/>
      <w:r w:rsidRPr="002C685B">
        <w:rPr>
          <w:rFonts w:hAnsi="標楷體" w:cs="細明體" w:hint="eastAsia"/>
          <w:color w:val="000000" w:themeColor="text1"/>
          <w:kern w:val="0"/>
          <w:szCs w:val="32"/>
        </w:rPr>
        <w:t>核准或責令</w:t>
      </w:r>
      <w:proofErr w:type="gramEnd"/>
      <w:r w:rsidRPr="002C685B">
        <w:rPr>
          <w:rFonts w:hAnsi="標楷體" w:cs="細明體" w:hint="eastAsia"/>
          <w:color w:val="000000" w:themeColor="text1"/>
          <w:kern w:val="0"/>
          <w:szCs w:val="32"/>
        </w:rPr>
        <w:t>大眾捷運系統營運機構與市區汽車客運業或其他大眾運輸業者，共同辦理聯運或其他路線、票證、票價等整合業務。</w:t>
      </w:r>
      <w:r w:rsidRPr="002C685B">
        <w:rPr>
          <w:rFonts w:hAnsi="標楷體" w:cs="新細明體" w:hint="eastAsia"/>
          <w:color w:val="000000" w:themeColor="text1"/>
          <w:kern w:val="0"/>
          <w:szCs w:val="32"/>
        </w:rPr>
        <w:t>」之立法理由，係為便利都會區民眾運輸需要，並有助於</w:t>
      </w:r>
      <w:r w:rsidRPr="002C685B">
        <w:rPr>
          <w:rFonts w:hAnsi="標楷體" w:cs="細明體" w:hint="eastAsia"/>
          <w:color w:val="000000" w:themeColor="text1"/>
          <w:kern w:val="0"/>
          <w:szCs w:val="32"/>
        </w:rPr>
        <w:t>大眾捷運系統營運機構與市區汽車客運業或其他大眾運輸業者辦理聯運業務或進行路線、票證、票價之整合業務，</w:t>
      </w:r>
      <w:proofErr w:type="gramStart"/>
      <w:r w:rsidRPr="002C685B">
        <w:rPr>
          <w:rFonts w:hAnsi="標楷體" w:cs="細明體" w:hint="eastAsia"/>
          <w:color w:val="000000" w:themeColor="text1"/>
          <w:kern w:val="0"/>
          <w:szCs w:val="32"/>
        </w:rPr>
        <w:t>爰</w:t>
      </w:r>
      <w:proofErr w:type="gramEnd"/>
      <w:r w:rsidRPr="002C685B">
        <w:rPr>
          <w:rFonts w:hAnsi="標楷體" w:cs="細明體" w:hint="eastAsia"/>
          <w:color w:val="000000" w:themeColor="text1"/>
          <w:kern w:val="0"/>
          <w:szCs w:val="32"/>
        </w:rPr>
        <w:t>明定地方主管機關得</w:t>
      </w:r>
      <w:proofErr w:type="gramStart"/>
      <w:r w:rsidRPr="002C685B">
        <w:rPr>
          <w:rFonts w:hAnsi="標楷體" w:cs="細明體" w:hint="eastAsia"/>
          <w:color w:val="000000" w:themeColor="text1"/>
          <w:kern w:val="0"/>
          <w:szCs w:val="32"/>
        </w:rPr>
        <w:t>核准或責令</w:t>
      </w:r>
      <w:proofErr w:type="gramEnd"/>
      <w:r w:rsidRPr="002C685B">
        <w:rPr>
          <w:rFonts w:hAnsi="標楷體" w:cs="細明體" w:hint="eastAsia"/>
          <w:color w:val="000000" w:themeColor="text1"/>
          <w:kern w:val="0"/>
          <w:szCs w:val="32"/>
        </w:rPr>
        <w:t>辦理，其立法目的則為提供捷運與其他大眾運輸整合性服務，無關電子票證之發行與否等語。</w:t>
      </w:r>
    </w:p>
    <w:p w:rsidR="00563AE9" w:rsidRPr="00E22ADC" w:rsidRDefault="005B2488" w:rsidP="002C1860">
      <w:pPr>
        <w:pStyle w:val="4"/>
        <w:rPr>
          <w:rFonts w:hAnsi="標楷體"/>
          <w:szCs w:val="32"/>
        </w:rPr>
      </w:pPr>
      <w:r w:rsidRPr="00E22ADC">
        <w:rPr>
          <w:rFonts w:hAnsi="標楷體" w:hint="eastAsia"/>
          <w:szCs w:val="32"/>
        </w:rPr>
        <w:t>據臺北市政府表示，</w:t>
      </w:r>
      <w:r w:rsidR="00D916E1" w:rsidRPr="00E22ADC">
        <w:rPr>
          <w:rFonts w:hAnsi="標楷體" w:hint="eastAsia"/>
          <w:szCs w:val="32"/>
        </w:rPr>
        <w:t>在105年3月15日之前，</w:t>
      </w:r>
      <w:r w:rsidR="00D916E1" w:rsidRPr="00E22ADC">
        <w:rPr>
          <w:rFonts w:hAnsi="標楷體" w:cs="新細明體" w:hint="eastAsia"/>
          <w:kern w:val="0"/>
          <w:szCs w:val="32"/>
        </w:rPr>
        <w:t>悠遊卡公司之董事及監察人</w:t>
      </w:r>
      <w:proofErr w:type="gramStart"/>
      <w:r w:rsidR="00D916E1" w:rsidRPr="00E22ADC">
        <w:rPr>
          <w:rFonts w:hAnsi="標楷體" w:hint="eastAsia"/>
          <w:szCs w:val="32"/>
        </w:rPr>
        <w:t>係</w:t>
      </w:r>
      <w:r w:rsidR="00D916E1" w:rsidRPr="00E22ADC">
        <w:rPr>
          <w:rFonts w:hAnsi="標楷體" w:cs="新細明體" w:hint="eastAsia"/>
          <w:kern w:val="0"/>
          <w:szCs w:val="32"/>
        </w:rPr>
        <w:t>悠遊卡投控</w:t>
      </w:r>
      <w:proofErr w:type="gramEnd"/>
      <w:r w:rsidR="00D916E1" w:rsidRPr="00E22ADC">
        <w:rPr>
          <w:rFonts w:hAnsi="標楷體" w:cs="新細明體" w:hint="eastAsia"/>
          <w:kern w:val="0"/>
          <w:szCs w:val="32"/>
        </w:rPr>
        <w:t>公司</w:t>
      </w:r>
      <w:r w:rsidR="00D916E1" w:rsidRPr="00E22ADC">
        <w:rPr>
          <w:rFonts w:hAnsi="標楷體" w:hint="eastAsia"/>
          <w:szCs w:val="32"/>
        </w:rPr>
        <w:t>股東協商後交由董事會核定及派任；</w:t>
      </w:r>
      <w:proofErr w:type="gramStart"/>
      <w:r w:rsidR="00D916E1" w:rsidRPr="00E22ADC">
        <w:rPr>
          <w:rFonts w:hAnsi="標楷體" w:hint="eastAsia"/>
          <w:szCs w:val="32"/>
        </w:rPr>
        <w:t>嗣</w:t>
      </w:r>
      <w:proofErr w:type="gramEnd"/>
      <w:r w:rsidR="00D916E1" w:rsidRPr="00E22ADC">
        <w:rPr>
          <w:rFonts w:hAnsi="標楷體" w:hint="eastAsia"/>
          <w:szCs w:val="32"/>
        </w:rPr>
        <w:t>105年3月15日</w:t>
      </w:r>
      <w:r w:rsidR="00D916E1" w:rsidRPr="00E22ADC">
        <w:rPr>
          <w:rFonts w:hAnsi="標楷體" w:cs="新細明體" w:hint="eastAsia"/>
          <w:kern w:val="0"/>
          <w:szCs w:val="32"/>
        </w:rPr>
        <w:t>悠遊</w:t>
      </w:r>
      <w:proofErr w:type="gramStart"/>
      <w:r w:rsidR="00D916E1" w:rsidRPr="00E22ADC">
        <w:rPr>
          <w:rFonts w:hAnsi="標楷體" w:cs="新細明體" w:hint="eastAsia"/>
          <w:kern w:val="0"/>
          <w:szCs w:val="32"/>
        </w:rPr>
        <w:t>卡投控</w:t>
      </w:r>
      <w:proofErr w:type="gramEnd"/>
      <w:r w:rsidR="00D916E1" w:rsidRPr="00E22ADC">
        <w:rPr>
          <w:rFonts w:hAnsi="標楷體" w:cs="新細明體" w:hint="eastAsia"/>
          <w:kern w:val="0"/>
          <w:szCs w:val="32"/>
        </w:rPr>
        <w:t>公司</w:t>
      </w:r>
      <w:r w:rsidR="00D916E1" w:rsidRPr="00E22ADC">
        <w:rPr>
          <w:rFonts w:hAnsi="標楷體" w:hint="eastAsia"/>
          <w:szCs w:val="32"/>
        </w:rPr>
        <w:t>第3屆第3次董事會決議將「子公司及轉投資公司董事及監察人之派任及解任」之核定權授權予董事長，惟須向董事會報告，且派任人選仍由股東協商後推薦。</w:t>
      </w:r>
    </w:p>
    <w:p w:rsidR="00881CDE" w:rsidRPr="00E22ADC" w:rsidRDefault="00BD08B6" w:rsidP="00881CDE">
      <w:pPr>
        <w:pStyle w:val="4"/>
        <w:rPr>
          <w:rFonts w:hAnsi="標楷體"/>
          <w:szCs w:val="32"/>
        </w:rPr>
      </w:pPr>
      <w:r w:rsidRPr="00E22ADC">
        <w:rPr>
          <w:rFonts w:hAnsi="標楷體" w:hint="eastAsia"/>
          <w:szCs w:val="32"/>
        </w:rPr>
        <w:t>按公營事業移轉民營條例第3條規定：「本條例所稱公營事業，指下列各款之事業：一、各級政府</w:t>
      </w:r>
      <w:r w:rsidRPr="002C685B">
        <w:rPr>
          <w:rFonts w:hAnsi="標楷體" w:hint="eastAsia"/>
          <w:szCs w:val="32"/>
        </w:rPr>
        <w:t>獨資或合營者。二、政府與人民合資經營，且政府資本超過50%者。三、政府與前二款公營事業或</w:t>
      </w:r>
      <w:r w:rsidRPr="002C685B">
        <w:rPr>
          <w:rFonts w:hAnsi="標楷體" w:hint="eastAsia"/>
          <w:szCs w:val="32"/>
        </w:rPr>
        <w:lastRenderedPageBreak/>
        <w:t>前二款公營事業投資於其他事業，其投資之資本合計超過該投資事業資本50%者。」國營事業管理法第3條規定：「本法所稱國營事業如下：一、政府獨資經營者。二、依事業組織特別法之規定，由政府與人民合資經營者。三、依公司法之規定，由政府與人民合資經營，政府資本超過50%者。其與外人合資經營，訂有契約者，依其規定。（第1項）政府資本未超過50%，但由政府指派公股代表擔任董事長或總經理者，立法院得要求該公司董事長或總經理至立法院報告股東大會通過之預算及營運狀況，並備</w:t>
      </w:r>
      <w:proofErr w:type="gramStart"/>
      <w:r w:rsidRPr="002C685B">
        <w:rPr>
          <w:rFonts w:hAnsi="標楷體" w:hint="eastAsia"/>
          <w:szCs w:val="32"/>
        </w:rPr>
        <w:t>詢</w:t>
      </w:r>
      <w:proofErr w:type="gramEnd"/>
      <w:r w:rsidRPr="002C685B">
        <w:rPr>
          <w:rFonts w:hAnsi="標楷體" w:hint="eastAsia"/>
          <w:szCs w:val="32"/>
        </w:rPr>
        <w:t>。（第2項）」臺北市政府投資事業管理監督自治條例第4條規定：「本自治條例所稱投資事業如下：一、市政府獨資經營者。但具有機關組織型態之事業單位，不在此限。二、市政府投資依公司法之規定，以公司組織型態經營者。」同條例第6條規定：「投</w:t>
      </w:r>
      <w:r w:rsidRPr="00E22ADC">
        <w:rPr>
          <w:rFonts w:hAnsi="標楷體" w:hint="eastAsia"/>
          <w:szCs w:val="32"/>
        </w:rPr>
        <w:t>資事業應以</w:t>
      </w:r>
      <w:proofErr w:type="gramStart"/>
      <w:r w:rsidRPr="00E22ADC">
        <w:rPr>
          <w:rFonts w:hAnsi="標楷體" w:hint="eastAsia"/>
          <w:szCs w:val="32"/>
        </w:rPr>
        <w:t>保本求利</w:t>
      </w:r>
      <w:proofErr w:type="gramEnd"/>
      <w:r w:rsidRPr="00E22ADC">
        <w:rPr>
          <w:rFonts w:hAnsi="標楷體" w:hint="eastAsia"/>
          <w:szCs w:val="32"/>
        </w:rPr>
        <w:t>為原則。</w:t>
      </w:r>
      <w:proofErr w:type="gramStart"/>
      <w:r w:rsidR="001A789E" w:rsidRPr="00E22ADC">
        <w:rPr>
          <w:rFonts w:hAnsi="標楷體" w:hint="eastAsia"/>
          <w:szCs w:val="32"/>
        </w:rPr>
        <w:t>但專供</w:t>
      </w:r>
      <w:proofErr w:type="gramEnd"/>
      <w:r w:rsidR="001A789E" w:rsidRPr="00E22ADC">
        <w:rPr>
          <w:rFonts w:hAnsi="標楷體" w:hint="eastAsia"/>
          <w:szCs w:val="32"/>
        </w:rPr>
        <w:t>示範或以公益為目的之事業，不在此限。」</w:t>
      </w:r>
      <w:proofErr w:type="gramStart"/>
      <w:r w:rsidR="001A789E" w:rsidRPr="00E22ADC">
        <w:rPr>
          <w:rFonts w:hAnsi="標楷體" w:hint="eastAsia"/>
          <w:szCs w:val="32"/>
        </w:rPr>
        <w:t>爰</w:t>
      </w:r>
      <w:proofErr w:type="gramEnd"/>
      <w:r w:rsidR="001A789E" w:rsidRPr="00E22ADC">
        <w:rPr>
          <w:rFonts w:hAnsi="標楷體" w:hint="eastAsia"/>
          <w:szCs w:val="32"/>
        </w:rPr>
        <w:t>按上開規定，悠遊卡公司</w:t>
      </w:r>
      <w:r w:rsidRPr="00E22ADC">
        <w:rPr>
          <w:rFonts w:hAnsi="標楷體" w:hint="eastAsia"/>
          <w:szCs w:val="32"/>
        </w:rPr>
        <w:t>雖非</w:t>
      </w:r>
      <w:r w:rsidR="001A789E" w:rsidRPr="00E22ADC">
        <w:rPr>
          <w:rFonts w:hAnsi="標楷體" w:hint="eastAsia"/>
          <w:szCs w:val="32"/>
        </w:rPr>
        <w:t>公營事業或</w:t>
      </w:r>
      <w:r w:rsidRPr="00E22ADC">
        <w:rPr>
          <w:rFonts w:hAnsi="標楷體" w:hint="eastAsia"/>
          <w:szCs w:val="32"/>
        </w:rPr>
        <w:t>國營事業，但因</w:t>
      </w:r>
      <w:r w:rsidR="00881CDE" w:rsidRPr="00E22ADC">
        <w:rPr>
          <w:rFonts w:hAnsi="標楷體" w:hint="eastAsia"/>
          <w:szCs w:val="32"/>
        </w:rPr>
        <w:t>臺北市政府與其持股73.75%之</w:t>
      </w:r>
      <w:proofErr w:type="gramStart"/>
      <w:r w:rsidR="00881CDE" w:rsidRPr="00E22ADC">
        <w:rPr>
          <w:rFonts w:hAnsi="標楷體" w:hint="eastAsia"/>
          <w:szCs w:val="32"/>
        </w:rPr>
        <w:t>臺</w:t>
      </w:r>
      <w:proofErr w:type="gramEnd"/>
      <w:r w:rsidR="00881CDE" w:rsidRPr="00E22ADC">
        <w:rPr>
          <w:rFonts w:hAnsi="標楷體" w:hint="eastAsia"/>
          <w:szCs w:val="32"/>
        </w:rPr>
        <w:t>北捷運公司計持有悠遊</w:t>
      </w:r>
      <w:proofErr w:type="gramStart"/>
      <w:r w:rsidR="00881CDE" w:rsidRPr="00E22ADC">
        <w:rPr>
          <w:rFonts w:hAnsi="標楷體" w:hint="eastAsia"/>
          <w:szCs w:val="32"/>
        </w:rPr>
        <w:t>卡投控</w:t>
      </w:r>
      <w:proofErr w:type="gramEnd"/>
      <w:r w:rsidR="00881CDE" w:rsidRPr="00E22ADC">
        <w:rPr>
          <w:rFonts w:hAnsi="標楷體" w:hint="eastAsia"/>
          <w:szCs w:val="32"/>
        </w:rPr>
        <w:t>公司39.27%之股權，</w:t>
      </w:r>
      <w:proofErr w:type="gramStart"/>
      <w:r w:rsidR="00881CDE" w:rsidRPr="00E22ADC">
        <w:rPr>
          <w:rFonts w:hAnsi="標楷體" w:hint="eastAsia"/>
          <w:szCs w:val="32"/>
        </w:rPr>
        <w:t>而悠遊卡投控</w:t>
      </w:r>
      <w:proofErr w:type="gramEnd"/>
      <w:r w:rsidR="00881CDE" w:rsidRPr="00E22ADC">
        <w:rPr>
          <w:rFonts w:hAnsi="標楷體" w:hint="eastAsia"/>
          <w:szCs w:val="32"/>
        </w:rPr>
        <w:t>公司持有悠遊卡公司100%股份，且</w:t>
      </w:r>
      <w:proofErr w:type="gramStart"/>
      <w:r w:rsidR="00881CDE" w:rsidRPr="00E22ADC">
        <w:rPr>
          <w:rFonts w:hAnsi="標楷體" w:hint="eastAsia"/>
          <w:szCs w:val="32"/>
        </w:rPr>
        <w:t>臺</w:t>
      </w:r>
      <w:proofErr w:type="gramEnd"/>
      <w:r w:rsidR="00881CDE" w:rsidRPr="00E22ADC">
        <w:rPr>
          <w:rFonts w:hAnsi="標楷體" w:hint="eastAsia"/>
          <w:szCs w:val="32"/>
        </w:rPr>
        <w:t>北捷運公司指派之悠遊</w:t>
      </w:r>
      <w:proofErr w:type="gramStart"/>
      <w:r w:rsidR="00881CDE" w:rsidRPr="00E22ADC">
        <w:rPr>
          <w:rFonts w:hAnsi="標楷體" w:hint="eastAsia"/>
          <w:szCs w:val="32"/>
        </w:rPr>
        <w:t>卡投控</w:t>
      </w:r>
      <w:proofErr w:type="gramEnd"/>
      <w:r w:rsidR="00881CDE" w:rsidRPr="00E22ADC">
        <w:rPr>
          <w:rFonts w:hAnsi="標楷體" w:hint="eastAsia"/>
          <w:szCs w:val="32"/>
        </w:rPr>
        <w:t>公司公股</w:t>
      </w:r>
      <w:proofErr w:type="gramStart"/>
      <w:r w:rsidR="00881CDE" w:rsidRPr="00E22ADC">
        <w:rPr>
          <w:rFonts w:hAnsi="標楷體" w:hint="eastAsia"/>
          <w:szCs w:val="32"/>
        </w:rPr>
        <w:t>代表為悠遊</w:t>
      </w:r>
      <w:proofErr w:type="gramEnd"/>
      <w:r w:rsidR="00881CDE" w:rsidRPr="00E22ADC">
        <w:rPr>
          <w:rFonts w:hAnsi="標楷體" w:hint="eastAsia"/>
          <w:szCs w:val="32"/>
        </w:rPr>
        <w:t>卡公司之董事長，故臺北市政府自得透過悠遊</w:t>
      </w:r>
      <w:proofErr w:type="gramStart"/>
      <w:r w:rsidR="00881CDE" w:rsidRPr="00E22ADC">
        <w:rPr>
          <w:rFonts w:hAnsi="標楷體" w:hint="eastAsia"/>
          <w:szCs w:val="32"/>
        </w:rPr>
        <w:t>卡投控</w:t>
      </w:r>
      <w:proofErr w:type="gramEnd"/>
      <w:r w:rsidR="00881CDE" w:rsidRPr="00E22ADC">
        <w:rPr>
          <w:rFonts w:hAnsi="標楷體" w:hint="eastAsia"/>
          <w:szCs w:val="32"/>
        </w:rPr>
        <w:t>公司股東間之協商機制，</w:t>
      </w:r>
      <w:proofErr w:type="gramStart"/>
      <w:r w:rsidR="00881CDE" w:rsidRPr="00E22ADC">
        <w:rPr>
          <w:rFonts w:hAnsi="標楷體" w:hint="eastAsia"/>
          <w:szCs w:val="32"/>
        </w:rPr>
        <w:t>監督悠</w:t>
      </w:r>
      <w:proofErr w:type="gramEnd"/>
      <w:r w:rsidR="00881CDE" w:rsidRPr="00E22ADC">
        <w:rPr>
          <w:rFonts w:hAnsi="標楷體" w:hint="eastAsia"/>
          <w:szCs w:val="32"/>
        </w:rPr>
        <w:t>遊卡公司之營利行為是否合於公益目的。</w:t>
      </w:r>
    </w:p>
    <w:p w:rsidR="00251722" w:rsidRPr="00E22ADC" w:rsidRDefault="00EE6D5C" w:rsidP="00BD08B6">
      <w:pPr>
        <w:pStyle w:val="4"/>
        <w:rPr>
          <w:rFonts w:hAnsi="標楷體"/>
          <w:szCs w:val="32"/>
        </w:rPr>
      </w:pPr>
      <w:proofErr w:type="gramStart"/>
      <w:r w:rsidRPr="009D1825">
        <w:rPr>
          <w:rFonts w:hAnsi="標楷體" w:hint="eastAsia"/>
          <w:szCs w:val="32"/>
        </w:rPr>
        <w:t>詢</w:t>
      </w:r>
      <w:proofErr w:type="gramEnd"/>
      <w:r w:rsidRPr="009D1825">
        <w:rPr>
          <w:rFonts w:hAnsi="標楷體" w:hint="eastAsia"/>
          <w:szCs w:val="32"/>
        </w:rPr>
        <w:t>據</w:t>
      </w:r>
      <w:r w:rsidR="00563AE9" w:rsidRPr="009D1825">
        <w:rPr>
          <w:rFonts w:hAnsi="標楷體" w:hint="eastAsia"/>
          <w:szCs w:val="32"/>
        </w:rPr>
        <w:t>交通部路政司司長</w:t>
      </w:r>
      <w:r w:rsidR="009D1825" w:rsidRPr="009D1825">
        <w:rPr>
          <w:rFonts w:hAnsi="標楷體" w:hint="eastAsia"/>
          <w:szCs w:val="32"/>
        </w:rPr>
        <w:t>林繼國</w:t>
      </w:r>
      <w:r w:rsidRPr="009D1825">
        <w:rPr>
          <w:rFonts w:hAnsi="標楷體" w:hint="eastAsia"/>
          <w:szCs w:val="32"/>
        </w:rPr>
        <w:t>更進一步</w:t>
      </w:r>
      <w:r w:rsidR="00563AE9" w:rsidRPr="009D1825">
        <w:rPr>
          <w:rFonts w:hAnsi="標楷體" w:hint="eastAsia"/>
          <w:szCs w:val="32"/>
        </w:rPr>
        <w:t>明白表示，電子票證主要是透過電子支付工具，瞭解交通收入與使用特性，有助於政府機關之監督與管理，並且有利於民眾使用便利。大眾捷運法第32</w:t>
      </w:r>
      <w:r w:rsidR="00563AE9" w:rsidRPr="002C685B">
        <w:rPr>
          <w:rFonts w:hAnsi="標楷體" w:hint="eastAsia"/>
          <w:szCs w:val="32"/>
        </w:rPr>
        <w:lastRenderedPageBreak/>
        <w:t>條之核准與責令，兩者都是行政處分，主管機關是地方政府，行政處分對象是大眾捷運系統營運</w:t>
      </w:r>
      <w:r w:rsidR="00563AE9" w:rsidRPr="00E22ADC">
        <w:rPr>
          <w:rFonts w:hAnsi="標楷體" w:hint="eastAsia"/>
          <w:szCs w:val="32"/>
        </w:rPr>
        <w:t>機構，原來的立法目的是在規範捷運系統在興建完成後與既有公共運輸路線之接駁整合等語。</w:t>
      </w:r>
      <w:r w:rsidR="009D1825" w:rsidRPr="00E22ADC">
        <w:rPr>
          <w:rFonts w:hAnsi="標楷體" w:hint="eastAsia"/>
          <w:szCs w:val="32"/>
        </w:rPr>
        <w:t>上述交通部意見，</w:t>
      </w:r>
      <w:proofErr w:type="gramStart"/>
      <w:r w:rsidR="009D1825" w:rsidRPr="00E22ADC">
        <w:rPr>
          <w:rFonts w:hAnsi="標楷體" w:hint="eastAsia"/>
          <w:szCs w:val="32"/>
        </w:rPr>
        <w:t>足證悠遊</w:t>
      </w:r>
      <w:proofErr w:type="gramEnd"/>
      <w:r w:rsidR="009D1825" w:rsidRPr="00E22ADC">
        <w:rPr>
          <w:rFonts w:hAnsi="標楷體" w:hint="eastAsia"/>
          <w:szCs w:val="32"/>
        </w:rPr>
        <w:t>卡公司係基於臺北市政府之行政處分而成立。</w:t>
      </w:r>
      <w:r w:rsidR="00563AE9" w:rsidRPr="00E22ADC">
        <w:rPr>
          <w:rFonts w:hAnsi="標楷體" w:hint="eastAsia"/>
          <w:szCs w:val="32"/>
        </w:rPr>
        <w:t>按以國家為統治主體所為之行政處分，為典型之高權行政</w:t>
      </w:r>
      <w:r w:rsidR="00563AE9" w:rsidRPr="00E22ADC">
        <w:rPr>
          <w:rStyle w:val="afc"/>
          <w:rFonts w:hAnsi="標楷體"/>
          <w:szCs w:val="32"/>
        </w:rPr>
        <w:footnoteReference w:id="3"/>
      </w:r>
      <w:r w:rsidR="00563AE9" w:rsidRPr="00E22ADC">
        <w:rPr>
          <w:rFonts w:hAnsi="標楷體" w:hint="eastAsia"/>
          <w:szCs w:val="32"/>
        </w:rPr>
        <w:t>，然時至今日，判斷一種事務究為公權力之行使，抑或屬私經濟行政，難有絕對周延之準則，因國家行政涉入社會生活已非常廣泛，常具有多方交錯契合之關係。於本案，</w:t>
      </w:r>
      <w:r w:rsidR="00247071" w:rsidRPr="00E22ADC">
        <w:rPr>
          <w:rFonts w:hAnsi="標楷體" w:hint="eastAsia"/>
          <w:szCs w:val="32"/>
        </w:rPr>
        <w:t>臺北市政府於行政處分之後，擇以</w:t>
      </w:r>
      <w:r w:rsidR="002C1860" w:rsidRPr="00E22ADC">
        <w:rPr>
          <w:rFonts w:hAnsi="標楷體" w:hint="eastAsia"/>
          <w:szCs w:val="32"/>
        </w:rPr>
        <w:t>私法</w:t>
      </w:r>
      <w:r w:rsidR="00247071" w:rsidRPr="00E22ADC">
        <w:rPr>
          <w:rFonts w:hAnsi="標楷體" w:hint="eastAsia"/>
          <w:szCs w:val="32"/>
        </w:rPr>
        <w:t>組織型態</w:t>
      </w:r>
      <w:r w:rsidR="002C1860" w:rsidRPr="00E22ADC">
        <w:rPr>
          <w:rFonts w:hAnsi="標楷體" w:hint="eastAsia"/>
          <w:szCs w:val="32"/>
        </w:rPr>
        <w:t>來達成公益目的，而成立悠遊卡公司，然</w:t>
      </w:r>
      <w:r w:rsidR="00247071" w:rsidRPr="00E22ADC">
        <w:rPr>
          <w:rFonts w:hAnsi="標楷體" w:hint="eastAsia"/>
          <w:szCs w:val="32"/>
        </w:rPr>
        <w:t>後</w:t>
      </w:r>
      <w:r w:rsidR="002C1860" w:rsidRPr="00E22ADC">
        <w:rPr>
          <w:rFonts w:hAnsi="標楷體" w:hint="eastAsia"/>
          <w:szCs w:val="32"/>
        </w:rPr>
        <w:t>臺北市政府</w:t>
      </w:r>
      <w:r w:rsidR="00247071" w:rsidRPr="00E22ADC">
        <w:rPr>
          <w:rFonts w:hAnsi="標楷體" w:hint="eastAsia"/>
          <w:szCs w:val="32"/>
        </w:rPr>
        <w:t>再</w:t>
      </w:r>
      <w:r w:rsidR="00343327" w:rsidRPr="00E22ADC">
        <w:rPr>
          <w:rFonts w:hAnsi="標楷體" w:hint="eastAsia"/>
          <w:szCs w:val="32"/>
        </w:rPr>
        <w:t>透過</w:t>
      </w:r>
      <w:r w:rsidR="008E3275" w:rsidRPr="00E22ADC">
        <w:rPr>
          <w:rFonts w:hAnsi="標楷體" w:hint="eastAsia"/>
          <w:szCs w:val="32"/>
        </w:rPr>
        <w:t>悠遊</w:t>
      </w:r>
      <w:proofErr w:type="gramStart"/>
      <w:r w:rsidR="008E3275" w:rsidRPr="00E22ADC">
        <w:rPr>
          <w:rFonts w:hAnsi="標楷體" w:hint="eastAsia"/>
          <w:szCs w:val="32"/>
        </w:rPr>
        <w:t>卡投控</w:t>
      </w:r>
      <w:proofErr w:type="gramEnd"/>
      <w:r w:rsidR="008E3275" w:rsidRPr="00E22ADC">
        <w:rPr>
          <w:rFonts w:hAnsi="標楷體" w:hint="eastAsia"/>
          <w:szCs w:val="32"/>
        </w:rPr>
        <w:t>公司股東間之協商機制，來</w:t>
      </w:r>
      <w:proofErr w:type="gramStart"/>
      <w:r w:rsidR="00BD08B6" w:rsidRPr="00E22ADC">
        <w:rPr>
          <w:rFonts w:hAnsi="標楷體" w:hint="eastAsia"/>
          <w:szCs w:val="32"/>
        </w:rPr>
        <w:t>監督悠</w:t>
      </w:r>
      <w:proofErr w:type="gramEnd"/>
      <w:r w:rsidR="00BD08B6" w:rsidRPr="00E22ADC">
        <w:rPr>
          <w:rFonts w:hAnsi="標楷體" w:hint="eastAsia"/>
          <w:szCs w:val="32"/>
        </w:rPr>
        <w:t>遊卡公司</w:t>
      </w:r>
      <w:r w:rsidR="008E3275" w:rsidRPr="00E22ADC">
        <w:rPr>
          <w:rFonts w:hAnsi="標楷體" w:hint="eastAsia"/>
          <w:szCs w:val="32"/>
        </w:rPr>
        <w:t>之營利行為是否</w:t>
      </w:r>
      <w:proofErr w:type="gramStart"/>
      <w:r w:rsidR="00BD08B6" w:rsidRPr="00E22ADC">
        <w:rPr>
          <w:rFonts w:hAnsi="標楷體" w:hint="eastAsia"/>
          <w:szCs w:val="32"/>
        </w:rPr>
        <w:t>悖離</w:t>
      </w:r>
      <w:proofErr w:type="gramEnd"/>
      <w:r w:rsidR="00BD08B6" w:rsidRPr="00E22ADC">
        <w:rPr>
          <w:rFonts w:hAnsi="標楷體" w:hint="eastAsia"/>
          <w:szCs w:val="32"/>
        </w:rPr>
        <w:t>公益目的</w:t>
      </w:r>
      <w:r w:rsidR="00E22ADC" w:rsidRPr="00E22ADC">
        <w:rPr>
          <w:rFonts w:hAnsi="標楷體" w:hint="eastAsia"/>
          <w:szCs w:val="32"/>
        </w:rPr>
        <w:t>，自仍為私經濟之行政行為態樣</w:t>
      </w:r>
      <w:r w:rsidR="00563AE9" w:rsidRPr="00E22ADC">
        <w:rPr>
          <w:rFonts w:hAnsi="標楷體" w:hint="eastAsia"/>
          <w:szCs w:val="32"/>
        </w:rPr>
        <w:t>。</w:t>
      </w:r>
    </w:p>
    <w:p w:rsidR="00C21C47" w:rsidRPr="00E22ADC" w:rsidRDefault="00B42828" w:rsidP="002C685B">
      <w:pPr>
        <w:pStyle w:val="3"/>
        <w:rPr>
          <w:rFonts w:hAnsi="標楷體"/>
          <w:szCs w:val="32"/>
        </w:rPr>
      </w:pPr>
      <w:r w:rsidRPr="00E22ADC">
        <w:rPr>
          <w:rFonts w:hAnsi="標楷體" w:hint="eastAsia"/>
          <w:szCs w:val="32"/>
        </w:rPr>
        <w:t>綜上，</w:t>
      </w:r>
      <w:r w:rsidR="00A66384" w:rsidRPr="00E22ADC">
        <w:rPr>
          <w:rFonts w:hAnsi="標楷體" w:hint="eastAsia"/>
          <w:szCs w:val="32"/>
        </w:rPr>
        <w:t>悠遊卡公司原係為達成大眾捷運法公益目的，由臺北市政府以私法方式整合大眾捷運系統與</w:t>
      </w:r>
      <w:proofErr w:type="gramStart"/>
      <w:r w:rsidR="00A66384" w:rsidRPr="00E22ADC">
        <w:rPr>
          <w:rFonts w:hAnsi="標楷體" w:hint="eastAsia"/>
          <w:szCs w:val="32"/>
        </w:rPr>
        <w:t>臺</w:t>
      </w:r>
      <w:proofErr w:type="gramEnd"/>
      <w:r w:rsidR="00A66384" w:rsidRPr="00E22ADC">
        <w:rPr>
          <w:rFonts w:hAnsi="標楷體" w:hint="eastAsia"/>
          <w:szCs w:val="32"/>
        </w:rPr>
        <w:t>北都會區公車之票證業務而成立，究其事物本質，亦有國家行政涉入社會生活的作用，臺北市政府可透過悠遊</w:t>
      </w:r>
      <w:proofErr w:type="gramStart"/>
      <w:r w:rsidR="00A66384" w:rsidRPr="00E22ADC">
        <w:rPr>
          <w:rFonts w:hAnsi="標楷體" w:hint="eastAsia"/>
          <w:szCs w:val="32"/>
        </w:rPr>
        <w:t>卡投控</w:t>
      </w:r>
      <w:proofErr w:type="gramEnd"/>
      <w:r w:rsidR="00A66384" w:rsidRPr="00E22ADC">
        <w:rPr>
          <w:rFonts w:hAnsi="標楷體" w:hint="eastAsia"/>
          <w:szCs w:val="32"/>
        </w:rPr>
        <w:t>公司對悠遊卡公司的營利行為是否合於公益目的，進行監督。</w:t>
      </w:r>
    </w:p>
    <w:p w:rsidR="00B279B7" w:rsidRPr="00E22ADC" w:rsidRDefault="00B279B7" w:rsidP="00602ABE">
      <w:pPr>
        <w:pStyle w:val="2"/>
        <w:rPr>
          <w:rFonts w:hAnsi="標楷體"/>
          <w:b/>
          <w:szCs w:val="32"/>
        </w:rPr>
      </w:pPr>
      <w:r w:rsidRPr="00E22ADC">
        <w:rPr>
          <w:rFonts w:hAnsi="標楷體" w:hint="eastAsia"/>
          <w:b/>
          <w:szCs w:val="32"/>
        </w:rPr>
        <w:t>悠遊卡公司演變迄今</w:t>
      </w:r>
      <w:r w:rsidR="00343327" w:rsidRPr="00E22ADC">
        <w:rPr>
          <w:rFonts w:hAnsi="標楷體" w:hint="eastAsia"/>
          <w:b/>
          <w:szCs w:val="32"/>
        </w:rPr>
        <w:t>，</w:t>
      </w:r>
      <w:r w:rsidRPr="00E22ADC">
        <w:rPr>
          <w:rFonts w:hAnsi="標楷體" w:hint="eastAsia"/>
          <w:b/>
          <w:szCs w:val="32"/>
        </w:rPr>
        <w:t>分設</w:t>
      </w:r>
      <w:proofErr w:type="gramStart"/>
      <w:r w:rsidRPr="00E22ADC">
        <w:rPr>
          <w:rFonts w:hAnsi="標楷體" w:hint="eastAsia"/>
          <w:b/>
          <w:szCs w:val="32"/>
        </w:rPr>
        <w:t>為悠遊卡投控公司與悠</w:t>
      </w:r>
      <w:proofErr w:type="gramEnd"/>
      <w:r w:rsidRPr="00E22ADC">
        <w:rPr>
          <w:rFonts w:hAnsi="標楷體" w:hint="eastAsia"/>
          <w:b/>
          <w:szCs w:val="32"/>
        </w:rPr>
        <w:t>遊卡公司，依據公司法與章</w:t>
      </w:r>
      <w:r w:rsidR="006723F4" w:rsidRPr="00E22ADC">
        <w:rPr>
          <w:rFonts w:hAnsi="標楷體" w:hint="eastAsia"/>
          <w:b/>
          <w:szCs w:val="32"/>
        </w:rPr>
        <w:t>程規定，其相關公司股東得自由轉讓股份，並得為投資、保證，</w:t>
      </w:r>
      <w:r w:rsidR="00350854" w:rsidRPr="00E22ADC">
        <w:rPr>
          <w:rFonts w:hAnsi="標楷體" w:hint="eastAsia"/>
          <w:b/>
          <w:szCs w:val="32"/>
        </w:rPr>
        <w:t>不受任何限制。臺北市政府</w:t>
      </w:r>
      <w:r w:rsidRPr="00E22ADC">
        <w:rPr>
          <w:rFonts w:hAnsi="標楷體" w:hint="eastAsia"/>
          <w:b/>
          <w:szCs w:val="32"/>
        </w:rPr>
        <w:t>所派</w:t>
      </w:r>
      <w:r w:rsidR="00E22ADC" w:rsidRPr="00E22ADC">
        <w:rPr>
          <w:rFonts w:hAnsi="標楷體" w:hint="eastAsia"/>
          <w:b/>
          <w:szCs w:val="32"/>
        </w:rPr>
        <w:t>公股</w:t>
      </w:r>
      <w:r w:rsidRPr="00E22ADC">
        <w:rPr>
          <w:rFonts w:hAnsi="標楷體" w:hint="eastAsia"/>
          <w:b/>
          <w:szCs w:val="32"/>
        </w:rPr>
        <w:t>代表</w:t>
      </w:r>
      <w:r w:rsidR="00343327" w:rsidRPr="00E22ADC">
        <w:rPr>
          <w:rFonts w:hAnsi="標楷體" w:hint="eastAsia"/>
          <w:b/>
          <w:szCs w:val="32"/>
        </w:rPr>
        <w:t>未能謹守</w:t>
      </w:r>
      <w:r w:rsidR="00350854" w:rsidRPr="00E22ADC">
        <w:rPr>
          <w:rFonts w:hAnsi="標楷體" w:hint="eastAsia"/>
          <w:b/>
          <w:szCs w:val="32"/>
        </w:rPr>
        <w:t>大眾捷運法</w:t>
      </w:r>
      <w:r w:rsidRPr="00E22ADC">
        <w:rPr>
          <w:rFonts w:hAnsi="標楷體" w:hint="eastAsia"/>
          <w:b/>
          <w:szCs w:val="32"/>
        </w:rPr>
        <w:t>規範目的</w:t>
      </w:r>
      <w:r w:rsidR="006723F4" w:rsidRPr="00E22ADC">
        <w:rPr>
          <w:rFonts w:hAnsi="標楷體" w:hint="eastAsia"/>
          <w:b/>
          <w:szCs w:val="32"/>
        </w:rPr>
        <w:t>-</w:t>
      </w:r>
      <w:r w:rsidR="00350854" w:rsidRPr="00E22ADC">
        <w:rPr>
          <w:rFonts w:hAnsi="標楷體" w:hint="eastAsia"/>
          <w:b/>
          <w:szCs w:val="32"/>
        </w:rPr>
        <w:t>基於</w:t>
      </w:r>
      <w:r w:rsidRPr="00E22ADC">
        <w:rPr>
          <w:rFonts w:hAnsi="標楷體"/>
          <w:b/>
          <w:szCs w:val="32"/>
        </w:rPr>
        <w:t>加強都市運輸效能，改善生活環境，增進公共福利</w:t>
      </w:r>
      <w:r w:rsidRPr="00E22ADC">
        <w:rPr>
          <w:rFonts w:hAnsi="標楷體" w:hint="eastAsia"/>
          <w:b/>
          <w:szCs w:val="32"/>
        </w:rPr>
        <w:t>，</w:t>
      </w:r>
      <w:r w:rsidR="00350854" w:rsidRPr="00E22ADC">
        <w:rPr>
          <w:rFonts w:hAnsi="標楷體" w:hint="eastAsia"/>
          <w:b/>
          <w:szCs w:val="32"/>
        </w:rPr>
        <w:t>而</w:t>
      </w:r>
      <w:r w:rsidRPr="00E22ADC">
        <w:rPr>
          <w:rFonts w:hAnsi="標楷體" w:hint="eastAsia"/>
          <w:b/>
          <w:szCs w:val="32"/>
        </w:rPr>
        <w:t>辦理聯運或其他路線、票證、票價等整合</w:t>
      </w:r>
      <w:r w:rsidRPr="00E22ADC">
        <w:rPr>
          <w:rFonts w:hAnsi="標楷體" w:hint="eastAsia"/>
          <w:b/>
          <w:szCs w:val="32"/>
        </w:rPr>
        <w:lastRenderedPageBreak/>
        <w:t>業務，</w:t>
      </w:r>
      <w:r w:rsidR="00343327" w:rsidRPr="00E22ADC">
        <w:rPr>
          <w:rFonts w:hAnsi="標楷體" w:hint="eastAsia"/>
          <w:b/>
          <w:szCs w:val="32"/>
        </w:rPr>
        <w:t>參與</w:t>
      </w:r>
      <w:r w:rsidRPr="00E22ADC">
        <w:rPr>
          <w:rFonts w:hAnsi="標楷體" w:hint="eastAsia"/>
          <w:b/>
          <w:szCs w:val="32"/>
        </w:rPr>
        <w:t>修改公司章程，</w:t>
      </w:r>
      <w:r w:rsidR="000303C2" w:rsidRPr="00E22ADC">
        <w:rPr>
          <w:rFonts w:hAnsi="標楷體" w:hint="eastAsia"/>
          <w:b/>
          <w:szCs w:val="32"/>
        </w:rPr>
        <w:t>使</w:t>
      </w:r>
      <w:r w:rsidR="00343327" w:rsidRPr="00E22ADC">
        <w:rPr>
          <w:rFonts w:hAnsi="標楷體" w:hint="eastAsia"/>
          <w:b/>
          <w:szCs w:val="32"/>
        </w:rPr>
        <w:t>能為投資、</w:t>
      </w:r>
      <w:r w:rsidR="000303C2" w:rsidRPr="00E22ADC">
        <w:rPr>
          <w:rFonts w:hAnsi="標楷體" w:hint="eastAsia"/>
          <w:b/>
          <w:szCs w:val="32"/>
        </w:rPr>
        <w:t>保證</w:t>
      </w:r>
      <w:r w:rsidR="00B42828" w:rsidRPr="00E22ADC">
        <w:rPr>
          <w:rFonts w:hAnsi="標楷體" w:hint="eastAsia"/>
          <w:b/>
          <w:szCs w:val="32"/>
        </w:rPr>
        <w:t>行為</w:t>
      </w:r>
      <w:r w:rsidR="000303C2" w:rsidRPr="00E22ADC">
        <w:rPr>
          <w:rFonts w:hAnsi="標楷體" w:hint="eastAsia"/>
          <w:b/>
          <w:szCs w:val="32"/>
        </w:rPr>
        <w:t>，</w:t>
      </w:r>
      <w:r w:rsidRPr="00E22ADC">
        <w:rPr>
          <w:rFonts w:hAnsi="標楷體" w:hint="eastAsia"/>
          <w:b/>
          <w:szCs w:val="32"/>
        </w:rPr>
        <w:t>尚與</w:t>
      </w:r>
      <w:r w:rsidRPr="00E22ADC">
        <w:rPr>
          <w:rFonts w:hAnsi="標楷體"/>
          <w:b/>
          <w:szCs w:val="32"/>
        </w:rPr>
        <w:t>臺北市政府投資事業管理監督自治條例</w:t>
      </w:r>
      <w:r w:rsidR="00343327" w:rsidRPr="00E22ADC">
        <w:rPr>
          <w:rFonts w:hAnsi="標楷體" w:hint="eastAsia"/>
          <w:b/>
          <w:szCs w:val="32"/>
        </w:rPr>
        <w:t>所定維護公共利益，並保護市府權益之規範</w:t>
      </w:r>
      <w:r w:rsidRPr="00E22ADC">
        <w:rPr>
          <w:rFonts w:hAnsi="標楷體" w:hint="eastAsia"/>
          <w:b/>
          <w:szCs w:val="32"/>
        </w:rPr>
        <w:t>未盡相符。</w:t>
      </w:r>
    </w:p>
    <w:p w:rsidR="002F2C1D" w:rsidRPr="004A61F0" w:rsidRDefault="002F2C1D" w:rsidP="002F2C1D">
      <w:pPr>
        <w:pStyle w:val="3"/>
        <w:rPr>
          <w:rFonts w:hAnsi="標楷體"/>
          <w:color w:val="000000" w:themeColor="text1"/>
          <w:szCs w:val="32"/>
        </w:rPr>
      </w:pPr>
      <w:r w:rsidRPr="004A61F0">
        <w:rPr>
          <w:rFonts w:hAnsi="標楷體" w:hint="eastAsia"/>
          <w:color w:val="000000" w:themeColor="text1"/>
          <w:szCs w:val="32"/>
        </w:rPr>
        <w:t>悠遊卡公司演變迄今分設</w:t>
      </w:r>
      <w:proofErr w:type="gramStart"/>
      <w:r w:rsidRPr="004A61F0">
        <w:rPr>
          <w:rFonts w:hAnsi="標楷體" w:hint="eastAsia"/>
          <w:color w:val="000000" w:themeColor="text1"/>
          <w:szCs w:val="32"/>
        </w:rPr>
        <w:t>為悠遊卡投控公司與悠</w:t>
      </w:r>
      <w:proofErr w:type="gramEnd"/>
      <w:r w:rsidRPr="004A61F0">
        <w:rPr>
          <w:rFonts w:hAnsi="標楷體" w:hint="eastAsia"/>
          <w:color w:val="000000" w:themeColor="text1"/>
          <w:szCs w:val="32"/>
        </w:rPr>
        <w:t>遊卡公司，依據公司法與章程規定，其公司股東得自由轉讓股份，並得為投資、保證，並不受任何限制。</w:t>
      </w:r>
    </w:p>
    <w:p w:rsidR="002F2C1D" w:rsidRPr="004A61F0" w:rsidRDefault="002F2C1D" w:rsidP="002F2C1D">
      <w:pPr>
        <w:pStyle w:val="4"/>
        <w:rPr>
          <w:rFonts w:hAnsi="標楷體"/>
          <w:color w:val="000000" w:themeColor="text1"/>
          <w:szCs w:val="32"/>
        </w:rPr>
      </w:pPr>
      <w:r w:rsidRPr="004A61F0">
        <w:rPr>
          <w:rFonts w:hAnsi="標楷體" w:hint="eastAsia"/>
          <w:color w:val="000000" w:themeColor="text1"/>
          <w:szCs w:val="32"/>
        </w:rPr>
        <w:t>經查，</w:t>
      </w:r>
      <w:proofErr w:type="gramStart"/>
      <w:r w:rsidRPr="004A61F0">
        <w:rPr>
          <w:rFonts w:hAnsi="標楷體" w:hint="eastAsia"/>
          <w:color w:val="000000" w:themeColor="text1"/>
          <w:szCs w:val="32"/>
        </w:rPr>
        <w:t>臺</w:t>
      </w:r>
      <w:proofErr w:type="gramEnd"/>
      <w:r w:rsidRPr="004A61F0">
        <w:rPr>
          <w:rFonts w:hAnsi="標楷體" w:hint="eastAsia"/>
          <w:color w:val="000000" w:themeColor="text1"/>
          <w:szCs w:val="32"/>
        </w:rPr>
        <w:t>北智慧卡公司成立之初，公司章程並未規定得為轉投資與背書保證，</w:t>
      </w:r>
      <w:proofErr w:type="gramStart"/>
      <w:r w:rsidRPr="004A61F0">
        <w:rPr>
          <w:rFonts w:hAnsi="標楷體" w:hint="eastAsia"/>
          <w:color w:val="000000" w:themeColor="text1"/>
          <w:szCs w:val="32"/>
        </w:rPr>
        <w:t>嗣</w:t>
      </w:r>
      <w:proofErr w:type="gramEnd"/>
      <w:r w:rsidRPr="004A61F0">
        <w:rPr>
          <w:rFonts w:hAnsi="標楷體" w:hint="eastAsia"/>
          <w:color w:val="000000" w:themeColor="text1"/>
          <w:szCs w:val="32"/>
        </w:rPr>
        <w:t>93年12月6日章程增訂第2條規定，除許可業務外，得經營法令非禁止或限制之業務，另第2條之1與之2規定，得轉投資與背書保證，業排除公司法第13條</w:t>
      </w:r>
      <w:r w:rsidRPr="004A61F0">
        <w:rPr>
          <w:rStyle w:val="afc"/>
          <w:rFonts w:hAnsi="標楷體"/>
          <w:color w:val="000000" w:themeColor="text1"/>
          <w:szCs w:val="32"/>
        </w:rPr>
        <w:footnoteReference w:id="4"/>
      </w:r>
      <w:r w:rsidRPr="004A61F0">
        <w:rPr>
          <w:rFonts w:hAnsi="標楷體" w:hint="eastAsia"/>
          <w:color w:val="000000" w:themeColor="text1"/>
          <w:szCs w:val="32"/>
        </w:rPr>
        <w:t>及第16條第1項</w:t>
      </w:r>
      <w:r w:rsidRPr="004A61F0">
        <w:rPr>
          <w:rStyle w:val="afc"/>
          <w:rFonts w:hAnsi="標楷體"/>
          <w:color w:val="000000" w:themeColor="text1"/>
          <w:szCs w:val="32"/>
        </w:rPr>
        <w:footnoteReference w:id="5"/>
      </w:r>
      <w:r w:rsidRPr="004A61F0">
        <w:rPr>
          <w:rFonts w:hAnsi="標楷體" w:hint="eastAsia"/>
          <w:color w:val="000000" w:themeColor="text1"/>
          <w:szCs w:val="32"/>
        </w:rPr>
        <w:t>之限制。據臺北市政府表示，係為因應公司未來多角化發展及經營彈性，增訂得轉投資與背書保證之條款，經股東會全體出席無異議，照案通過。97年8月8日</w:t>
      </w:r>
      <w:proofErr w:type="gramStart"/>
      <w:r w:rsidRPr="004A61F0">
        <w:rPr>
          <w:rFonts w:hAnsi="標楷體" w:hint="eastAsia"/>
          <w:color w:val="000000" w:themeColor="text1"/>
          <w:szCs w:val="32"/>
        </w:rPr>
        <w:t>臺</w:t>
      </w:r>
      <w:proofErr w:type="gramEnd"/>
      <w:r w:rsidRPr="004A61F0">
        <w:rPr>
          <w:rFonts w:hAnsi="標楷體" w:hint="eastAsia"/>
          <w:color w:val="000000" w:themeColor="text1"/>
          <w:szCs w:val="32"/>
        </w:rPr>
        <w:t>北智慧卡公司</w:t>
      </w:r>
      <w:proofErr w:type="gramStart"/>
      <w:r w:rsidRPr="004A61F0">
        <w:rPr>
          <w:rFonts w:hAnsi="標楷體" w:hint="eastAsia"/>
          <w:color w:val="000000" w:themeColor="text1"/>
          <w:szCs w:val="32"/>
        </w:rPr>
        <w:t>更名為悠遊</w:t>
      </w:r>
      <w:proofErr w:type="gramEnd"/>
      <w:r w:rsidRPr="004A61F0">
        <w:rPr>
          <w:rFonts w:hAnsi="標楷體" w:hint="eastAsia"/>
          <w:color w:val="000000" w:themeColor="text1"/>
          <w:szCs w:val="32"/>
        </w:rPr>
        <w:t>卡公司，其公司章程第2條之1規定，公司對外得為保證；第2條之2則規定，公司為他公司有限責任股東時，其所有投資總額得不受公司法第13條不得超過實收資本總額40%之限制。</w:t>
      </w:r>
    </w:p>
    <w:p w:rsidR="002F2C1D" w:rsidRPr="004A61F0" w:rsidRDefault="002F2C1D" w:rsidP="002F2C1D">
      <w:pPr>
        <w:pStyle w:val="4"/>
        <w:rPr>
          <w:rFonts w:hAnsi="標楷體"/>
          <w:color w:val="000000" w:themeColor="text1"/>
          <w:szCs w:val="32"/>
        </w:rPr>
      </w:pPr>
      <w:r w:rsidRPr="004A61F0">
        <w:rPr>
          <w:rFonts w:hAnsi="標楷體" w:hint="eastAsia"/>
          <w:color w:val="000000" w:themeColor="text1"/>
          <w:szCs w:val="32"/>
        </w:rPr>
        <w:t>98年1月23日電子票證發行管理條例公布施行，悠遊卡公司依該條例規定向金管會申請成為電子票證發行機構，經該會於99年2月2日核准，如前所述，因其業務範圍依電子票證發行管理條例第7條</w:t>
      </w:r>
      <w:r w:rsidRPr="004A61F0">
        <w:rPr>
          <w:rStyle w:val="afc"/>
          <w:rFonts w:hAnsi="標楷體"/>
          <w:color w:val="000000" w:themeColor="text1"/>
          <w:szCs w:val="32"/>
        </w:rPr>
        <w:footnoteReference w:id="6"/>
      </w:r>
      <w:r w:rsidRPr="004A61F0">
        <w:rPr>
          <w:rFonts w:hAnsi="標楷體" w:hint="eastAsia"/>
          <w:color w:val="000000" w:themeColor="text1"/>
          <w:szCs w:val="32"/>
        </w:rPr>
        <w:t>規定與</w:t>
      </w:r>
      <w:r w:rsidRPr="004A61F0">
        <w:rPr>
          <w:rFonts w:hAnsi="標楷體"/>
          <w:color w:val="000000" w:themeColor="text1"/>
          <w:szCs w:val="32"/>
        </w:rPr>
        <w:t>電子票證發行機構業務管理規則</w:t>
      </w:r>
      <w:r w:rsidRPr="004A61F0">
        <w:rPr>
          <w:rFonts w:hAnsi="標楷體" w:hint="eastAsia"/>
          <w:color w:val="000000" w:themeColor="text1"/>
          <w:szCs w:val="32"/>
        </w:rPr>
        <w:t>第</w:t>
      </w:r>
      <w:r w:rsidRPr="004A61F0">
        <w:rPr>
          <w:rFonts w:hAnsi="標楷體" w:hint="eastAsia"/>
          <w:color w:val="000000" w:themeColor="text1"/>
          <w:szCs w:val="32"/>
        </w:rPr>
        <w:lastRenderedPageBreak/>
        <w:t>14條</w:t>
      </w:r>
      <w:r w:rsidRPr="004A61F0">
        <w:rPr>
          <w:rStyle w:val="afc"/>
          <w:rFonts w:hAnsi="標楷體"/>
          <w:color w:val="000000" w:themeColor="text1"/>
          <w:szCs w:val="32"/>
        </w:rPr>
        <w:footnoteReference w:id="7"/>
      </w:r>
      <w:r w:rsidRPr="004A61F0">
        <w:rPr>
          <w:rFonts w:hAnsi="標楷體" w:hint="eastAsia"/>
          <w:color w:val="000000" w:themeColor="text1"/>
          <w:szCs w:val="32"/>
        </w:rPr>
        <w:t>規定，必須受專業經營電子票證業務之限制。</w:t>
      </w:r>
      <w:proofErr w:type="gramStart"/>
      <w:r w:rsidRPr="004A61F0">
        <w:rPr>
          <w:rFonts w:hAnsi="標楷體" w:hint="eastAsia"/>
          <w:color w:val="000000" w:themeColor="text1"/>
          <w:szCs w:val="32"/>
        </w:rPr>
        <w:t>然悠遊</w:t>
      </w:r>
      <w:proofErr w:type="gramEnd"/>
      <w:r w:rsidRPr="004A61F0">
        <w:rPr>
          <w:rFonts w:hAnsi="標楷體" w:hint="eastAsia"/>
          <w:color w:val="000000" w:themeColor="text1"/>
          <w:szCs w:val="32"/>
        </w:rPr>
        <w:t>卡公司為排除上開限制，成立悠遊</w:t>
      </w:r>
      <w:proofErr w:type="gramStart"/>
      <w:r w:rsidRPr="004A61F0">
        <w:rPr>
          <w:rFonts w:hAnsi="標楷體" w:hint="eastAsia"/>
          <w:color w:val="000000" w:themeColor="text1"/>
          <w:szCs w:val="32"/>
        </w:rPr>
        <w:t>卡投控</w:t>
      </w:r>
      <w:proofErr w:type="gramEnd"/>
      <w:r w:rsidRPr="004A61F0">
        <w:rPr>
          <w:rFonts w:hAnsi="標楷體" w:hint="eastAsia"/>
          <w:color w:val="000000" w:themeColor="text1"/>
          <w:szCs w:val="32"/>
        </w:rPr>
        <w:t>公司100%持有悠遊卡公司股份，</w:t>
      </w:r>
      <w:proofErr w:type="gramStart"/>
      <w:r w:rsidRPr="004A61F0">
        <w:rPr>
          <w:rFonts w:hAnsi="標楷體" w:hint="eastAsia"/>
          <w:color w:val="000000" w:themeColor="text1"/>
          <w:szCs w:val="32"/>
        </w:rPr>
        <w:t>使悠遊</w:t>
      </w:r>
      <w:proofErr w:type="gramEnd"/>
      <w:r w:rsidRPr="004A61F0">
        <w:rPr>
          <w:rFonts w:hAnsi="標楷體" w:hint="eastAsia"/>
          <w:color w:val="000000" w:themeColor="text1"/>
          <w:szCs w:val="32"/>
        </w:rPr>
        <w:t>卡公司成為控股公司下之子公司，</w:t>
      </w:r>
      <w:proofErr w:type="gramStart"/>
      <w:r w:rsidRPr="004A61F0">
        <w:rPr>
          <w:rFonts w:hAnsi="標楷體" w:hint="eastAsia"/>
          <w:color w:val="000000" w:themeColor="text1"/>
          <w:szCs w:val="32"/>
        </w:rPr>
        <w:t>輕易</w:t>
      </w:r>
      <w:proofErr w:type="gramEnd"/>
      <w:r w:rsidRPr="004A61F0">
        <w:rPr>
          <w:rFonts w:hAnsi="標楷體" w:hint="eastAsia"/>
          <w:color w:val="000000" w:themeColor="text1"/>
          <w:szCs w:val="32"/>
        </w:rPr>
        <w:t>逸脫電子票證發行管理條例與</w:t>
      </w:r>
      <w:r w:rsidRPr="004A61F0">
        <w:rPr>
          <w:rFonts w:hAnsi="標楷體"/>
          <w:color w:val="000000" w:themeColor="text1"/>
          <w:szCs w:val="32"/>
        </w:rPr>
        <w:t>電子票證發行機構業務管理規則</w:t>
      </w:r>
      <w:r w:rsidRPr="004A61F0">
        <w:rPr>
          <w:rFonts w:hAnsi="標楷體" w:hint="eastAsia"/>
          <w:color w:val="000000" w:themeColor="text1"/>
          <w:szCs w:val="32"/>
        </w:rPr>
        <w:t>所設法令經營限制。</w:t>
      </w:r>
    </w:p>
    <w:p w:rsidR="002F2C1D" w:rsidRPr="004A61F0" w:rsidRDefault="002F2C1D" w:rsidP="002F2C1D">
      <w:pPr>
        <w:pStyle w:val="4"/>
        <w:rPr>
          <w:rFonts w:hAnsi="標楷體"/>
          <w:color w:val="000000" w:themeColor="text1"/>
          <w:szCs w:val="32"/>
        </w:rPr>
      </w:pPr>
      <w:proofErr w:type="gramStart"/>
      <w:r w:rsidRPr="004A61F0">
        <w:rPr>
          <w:rFonts w:hAnsi="標楷體" w:hint="eastAsia"/>
          <w:color w:val="000000" w:themeColor="text1"/>
          <w:szCs w:val="32"/>
        </w:rPr>
        <w:t>目前悠遊卡投控</w:t>
      </w:r>
      <w:proofErr w:type="gramEnd"/>
      <w:r w:rsidRPr="004A61F0">
        <w:rPr>
          <w:rFonts w:hAnsi="標楷體" w:hint="eastAsia"/>
          <w:color w:val="000000" w:themeColor="text1"/>
          <w:szCs w:val="32"/>
        </w:rPr>
        <w:t>公司依據該公司章程第2條規定，公司之營業項目為一般投資業；第3條規定，公司對外得為保證；第9條規定，股東轉讓公司股票時應由原股東與受讓人共同出具申請書具名簽章，其未經登記於股東名簿者，不得以其轉讓對抗公司；</w:t>
      </w:r>
      <w:proofErr w:type="gramStart"/>
      <w:r w:rsidRPr="004A61F0">
        <w:rPr>
          <w:rFonts w:hAnsi="標楷體" w:hint="eastAsia"/>
          <w:color w:val="000000" w:themeColor="text1"/>
          <w:szCs w:val="32"/>
        </w:rPr>
        <w:t>又悠遊</w:t>
      </w:r>
      <w:proofErr w:type="gramEnd"/>
      <w:r w:rsidRPr="004A61F0">
        <w:rPr>
          <w:rFonts w:hAnsi="標楷體" w:hint="eastAsia"/>
          <w:color w:val="000000" w:themeColor="text1"/>
          <w:szCs w:val="32"/>
        </w:rPr>
        <w:t>卡公司章程第2條之1第1項規定，公司不得投資於其他企業，但經主管機關核准投資於與其業務密切關聯且持股比率50%以上之子公司，不在此限；第8條規定，轉讓公司股票時應由原股東與受讓人共同出具申請書具名簽章，其未經登記於股東名簿者，不得以其轉讓對抗公司。</w:t>
      </w:r>
      <w:proofErr w:type="gramStart"/>
      <w:r w:rsidRPr="004A61F0">
        <w:rPr>
          <w:rFonts w:hAnsi="標楷體" w:hint="eastAsia"/>
          <w:color w:val="000000" w:themeColor="text1"/>
          <w:szCs w:val="32"/>
        </w:rPr>
        <w:t>從而，現行悠遊卡投控公司與悠</w:t>
      </w:r>
      <w:proofErr w:type="gramEnd"/>
      <w:r w:rsidRPr="004A61F0">
        <w:rPr>
          <w:rFonts w:hAnsi="標楷體" w:hint="eastAsia"/>
          <w:color w:val="000000" w:themeColor="text1"/>
          <w:szCs w:val="32"/>
        </w:rPr>
        <w:t>遊卡公司得分別依據公司法與章程規定，股份得為自由轉讓</w:t>
      </w:r>
      <w:r w:rsidRPr="004A61F0">
        <w:rPr>
          <w:rStyle w:val="afc"/>
          <w:rFonts w:hAnsi="標楷體"/>
          <w:color w:val="000000" w:themeColor="text1"/>
          <w:szCs w:val="32"/>
        </w:rPr>
        <w:footnoteReference w:id="8"/>
      </w:r>
      <w:r w:rsidRPr="004A61F0">
        <w:rPr>
          <w:rFonts w:hAnsi="標楷體" w:hint="eastAsia"/>
          <w:color w:val="000000" w:themeColor="text1"/>
          <w:szCs w:val="32"/>
        </w:rPr>
        <w:t>，並得為投資、保證</w:t>
      </w:r>
      <w:r w:rsidR="000132DF">
        <w:rPr>
          <w:rFonts w:hAnsi="標楷體" w:hint="eastAsia"/>
          <w:color w:val="000000" w:themeColor="text1"/>
          <w:szCs w:val="32"/>
        </w:rPr>
        <w:t>，</w:t>
      </w:r>
      <w:r w:rsidRPr="004A61F0">
        <w:rPr>
          <w:rFonts w:hAnsi="標楷體" w:hint="eastAsia"/>
          <w:color w:val="000000" w:themeColor="text1"/>
          <w:szCs w:val="32"/>
        </w:rPr>
        <w:t>不受任何限制。</w:t>
      </w:r>
    </w:p>
    <w:p w:rsidR="002F2C1D" w:rsidRPr="004A61F0" w:rsidRDefault="002F2C1D" w:rsidP="002F2C1D">
      <w:pPr>
        <w:pStyle w:val="4"/>
        <w:rPr>
          <w:rFonts w:hAnsi="標楷體"/>
          <w:color w:val="000000" w:themeColor="text1"/>
          <w:szCs w:val="32"/>
        </w:rPr>
      </w:pPr>
      <w:r w:rsidRPr="004A61F0">
        <w:rPr>
          <w:rFonts w:hAnsi="標楷體" w:hint="eastAsia"/>
          <w:color w:val="000000" w:themeColor="text1"/>
          <w:szCs w:val="32"/>
        </w:rPr>
        <w:t>另</w:t>
      </w:r>
      <w:proofErr w:type="gramStart"/>
      <w:r w:rsidRPr="004A61F0">
        <w:rPr>
          <w:rFonts w:hAnsi="標楷體" w:hint="eastAsia"/>
          <w:color w:val="000000" w:themeColor="text1"/>
          <w:szCs w:val="32"/>
        </w:rPr>
        <w:t>按悠遊卡投控</w:t>
      </w:r>
      <w:proofErr w:type="gramEnd"/>
      <w:r w:rsidRPr="004A61F0">
        <w:rPr>
          <w:rFonts w:hAnsi="標楷體" w:hint="eastAsia"/>
          <w:color w:val="000000" w:themeColor="text1"/>
          <w:szCs w:val="32"/>
        </w:rPr>
        <w:t>公司</w:t>
      </w:r>
      <w:proofErr w:type="gramStart"/>
      <w:r w:rsidRPr="004A61F0">
        <w:rPr>
          <w:rFonts w:hAnsi="標楷體" w:hint="eastAsia"/>
          <w:color w:val="000000" w:themeColor="text1"/>
          <w:szCs w:val="32"/>
        </w:rPr>
        <w:t>105</w:t>
      </w:r>
      <w:proofErr w:type="gramEnd"/>
      <w:r w:rsidRPr="004A61F0">
        <w:rPr>
          <w:rFonts w:hAnsi="標楷體" w:hint="eastAsia"/>
          <w:color w:val="000000" w:themeColor="text1"/>
          <w:szCs w:val="32"/>
        </w:rPr>
        <w:t>年度營業計畫所載： 1.悠遊</w:t>
      </w:r>
      <w:proofErr w:type="gramStart"/>
      <w:r w:rsidRPr="004A61F0">
        <w:rPr>
          <w:rFonts w:hAnsi="標楷體" w:hint="eastAsia"/>
          <w:color w:val="000000" w:themeColor="text1"/>
          <w:szCs w:val="32"/>
        </w:rPr>
        <w:t>卡投控</w:t>
      </w:r>
      <w:proofErr w:type="gramEnd"/>
      <w:r w:rsidRPr="004A61F0">
        <w:rPr>
          <w:rFonts w:hAnsi="標楷體" w:hint="eastAsia"/>
          <w:color w:val="000000" w:themeColor="text1"/>
          <w:szCs w:val="32"/>
        </w:rPr>
        <w:t>/悠遊卡公司應朝高度民營化發展。2.適度調整股權結構對公司未來發展有利。3.提出公司組織未來強化方向與定位。4.公司董事及監察人席次應縮減以利公司決策。並決定</w:t>
      </w:r>
      <w:r w:rsidR="00896479">
        <w:rPr>
          <w:rFonts w:hAnsi="標楷體" w:hint="eastAsia"/>
          <w:color w:val="000000" w:themeColor="text1"/>
          <w:szCs w:val="32"/>
        </w:rPr>
        <w:t>以</w:t>
      </w:r>
      <w:r w:rsidRPr="004A61F0">
        <w:rPr>
          <w:rFonts w:hAnsi="標楷體" w:hint="eastAsia"/>
          <w:color w:val="000000" w:themeColor="text1"/>
          <w:szCs w:val="32"/>
        </w:rPr>
        <w:t>學者</w:t>
      </w:r>
      <w:r w:rsidRPr="004A61F0">
        <w:rPr>
          <w:rFonts w:hAnsi="標楷體" w:hint="eastAsia"/>
          <w:color w:val="000000" w:themeColor="text1"/>
          <w:szCs w:val="32"/>
        </w:rPr>
        <w:lastRenderedPageBreak/>
        <w:t>座談會結論作為105年</w:t>
      </w:r>
      <w:r w:rsidRPr="004A61F0">
        <w:rPr>
          <w:rFonts w:hAnsi="標楷體" w:cs="新細明體" w:hint="eastAsia"/>
          <w:color w:val="000000" w:themeColor="text1"/>
          <w:kern w:val="0"/>
          <w:szCs w:val="32"/>
        </w:rPr>
        <w:t>悠遊</w:t>
      </w:r>
      <w:proofErr w:type="gramStart"/>
      <w:r w:rsidRPr="004A61F0">
        <w:rPr>
          <w:rFonts w:hAnsi="標楷體" w:cs="新細明體" w:hint="eastAsia"/>
          <w:color w:val="000000" w:themeColor="text1"/>
          <w:kern w:val="0"/>
          <w:szCs w:val="32"/>
        </w:rPr>
        <w:t>卡投控</w:t>
      </w:r>
      <w:proofErr w:type="gramEnd"/>
      <w:r w:rsidRPr="004A61F0">
        <w:rPr>
          <w:rFonts w:hAnsi="標楷體" w:cs="新細明體" w:hint="eastAsia"/>
          <w:color w:val="000000" w:themeColor="text1"/>
          <w:kern w:val="0"/>
          <w:szCs w:val="32"/>
        </w:rPr>
        <w:t>公司</w:t>
      </w:r>
      <w:r w:rsidRPr="004A61F0">
        <w:rPr>
          <w:rFonts w:hAnsi="標楷體" w:hint="eastAsia"/>
          <w:color w:val="000000" w:themeColor="text1"/>
          <w:szCs w:val="32"/>
        </w:rPr>
        <w:t>後續組織改造方向，故該公司有相關民營化計畫。</w:t>
      </w:r>
    </w:p>
    <w:p w:rsidR="002F2C1D" w:rsidRPr="005D11C2" w:rsidRDefault="00811F26" w:rsidP="002F2C1D">
      <w:pPr>
        <w:pStyle w:val="3"/>
        <w:rPr>
          <w:rFonts w:hAnsi="標楷體"/>
          <w:szCs w:val="32"/>
        </w:rPr>
      </w:pPr>
      <w:r w:rsidRPr="005D11C2">
        <w:rPr>
          <w:rFonts w:hAnsi="標楷體" w:hint="eastAsia"/>
          <w:szCs w:val="32"/>
        </w:rPr>
        <w:t>有關民營化與轉投資疑義一節，據</w:t>
      </w:r>
      <w:r w:rsidRPr="005D11C2">
        <w:rPr>
          <w:rFonts w:hAnsi="標楷體"/>
          <w:szCs w:val="32"/>
        </w:rPr>
        <w:t>臺北市政府</w:t>
      </w:r>
      <w:r w:rsidRPr="005D11C2">
        <w:rPr>
          <w:rFonts w:hAnsi="標楷體" w:hint="eastAsia"/>
          <w:szCs w:val="32"/>
        </w:rPr>
        <w:t>表示，</w:t>
      </w:r>
      <w:proofErr w:type="gramStart"/>
      <w:r w:rsidRPr="005D11C2">
        <w:rPr>
          <w:rFonts w:hAnsi="標楷體" w:hint="eastAsia"/>
          <w:szCs w:val="32"/>
        </w:rPr>
        <w:t>目前</w:t>
      </w:r>
      <w:r w:rsidRPr="005D11C2">
        <w:rPr>
          <w:rFonts w:hAnsi="標楷體" w:cs="新細明體" w:hint="eastAsia"/>
          <w:kern w:val="0"/>
          <w:szCs w:val="32"/>
        </w:rPr>
        <w:t>悠</w:t>
      </w:r>
      <w:proofErr w:type="gramEnd"/>
      <w:r w:rsidRPr="005D11C2">
        <w:rPr>
          <w:rFonts w:hAnsi="標楷體" w:cs="新細明體" w:hint="eastAsia"/>
          <w:kern w:val="0"/>
          <w:szCs w:val="32"/>
        </w:rPr>
        <w:t>遊卡公司</w:t>
      </w:r>
      <w:proofErr w:type="gramStart"/>
      <w:r w:rsidRPr="005D11C2">
        <w:rPr>
          <w:rFonts w:hAnsi="標楷體" w:cs="新細明體" w:hint="eastAsia"/>
          <w:kern w:val="0"/>
          <w:szCs w:val="32"/>
        </w:rPr>
        <w:t>及悠遊卡投控公司均</w:t>
      </w:r>
      <w:r w:rsidRPr="005D11C2">
        <w:rPr>
          <w:rFonts w:hAnsi="標楷體" w:hint="eastAsia"/>
          <w:szCs w:val="32"/>
        </w:rPr>
        <w:t>未</w:t>
      </w:r>
      <w:proofErr w:type="gramEnd"/>
      <w:r w:rsidRPr="005D11C2">
        <w:rPr>
          <w:rFonts w:hAnsi="標楷體" w:hint="eastAsia"/>
          <w:szCs w:val="32"/>
        </w:rPr>
        <w:t>有公開發行股票之計畫，亦無民營化計畫，</w:t>
      </w:r>
      <w:r w:rsidRPr="005D11C2">
        <w:rPr>
          <w:rFonts w:hAnsi="標楷體" w:cs="新細明體" w:hint="eastAsia"/>
          <w:kern w:val="0"/>
          <w:szCs w:val="32"/>
        </w:rPr>
        <w:t>悠遊</w:t>
      </w:r>
      <w:proofErr w:type="gramStart"/>
      <w:r w:rsidRPr="005D11C2">
        <w:rPr>
          <w:rFonts w:hAnsi="標楷體" w:cs="新細明體" w:hint="eastAsia"/>
          <w:kern w:val="0"/>
          <w:szCs w:val="32"/>
        </w:rPr>
        <w:t>卡投控</w:t>
      </w:r>
      <w:proofErr w:type="gramEnd"/>
      <w:r w:rsidRPr="005D11C2">
        <w:rPr>
          <w:rFonts w:hAnsi="標楷體" w:cs="新細明體" w:hint="eastAsia"/>
          <w:kern w:val="0"/>
          <w:szCs w:val="32"/>
        </w:rPr>
        <w:t>公司未來</w:t>
      </w:r>
      <w:r w:rsidRPr="005D11C2">
        <w:rPr>
          <w:rFonts w:hAnsi="標楷體" w:hint="eastAsia"/>
          <w:szCs w:val="32"/>
        </w:rPr>
        <w:t>將著重於集團整合及新事業的投資發展，悠遊卡公司則專營電子票證業務。</w:t>
      </w:r>
      <w:proofErr w:type="gramStart"/>
      <w:r w:rsidRPr="005D11C2">
        <w:rPr>
          <w:rFonts w:hAnsi="標楷體" w:hint="eastAsia"/>
          <w:szCs w:val="32"/>
        </w:rPr>
        <w:t>另悠遊卡投控</w:t>
      </w:r>
      <w:proofErr w:type="gramEnd"/>
      <w:r w:rsidRPr="005D11C2">
        <w:rPr>
          <w:rFonts w:hAnsi="標楷體" w:hint="eastAsia"/>
          <w:szCs w:val="32"/>
        </w:rPr>
        <w:t>公司</w:t>
      </w:r>
      <w:r w:rsidR="00B05B61" w:rsidRPr="005D11C2">
        <w:rPr>
          <w:rFonts w:hAnsi="標楷體" w:hint="eastAsia"/>
          <w:szCs w:val="32"/>
        </w:rPr>
        <w:t>董事長林向愷</w:t>
      </w:r>
      <w:r w:rsidRPr="005D11C2">
        <w:rPr>
          <w:rFonts w:hAnsi="標楷體" w:hint="eastAsia"/>
          <w:szCs w:val="32"/>
        </w:rPr>
        <w:t>於本院詢問時表示，不再為擴張性投資</w:t>
      </w:r>
      <w:r w:rsidRPr="005D11C2">
        <w:rPr>
          <w:rFonts w:hAnsi="標楷體"/>
          <w:bCs w:val="0"/>
          <w:szCs w:val="32"/>
          <w:vertAlign w:val="superscript"/>
        </w:rPr>
        <w:footnoteReference w:id="9"/>
      </w:r>
      <w:r w:rsidRPr="005D11C2">
        <w:rPr>
          <w:rFonts w:hAnsi="標楷體" w:hint="eastAsia"/>
          <w:szCs w:val="32"/>
        </w:rPr>
        <w:t>，並將修改背書保證</w:t>
      </w:r>
      <w:r w:rsidRPr="005D11C2">
        <w:rPr>
          <w:rFonts w:hAnsi="標楷體"/>
          <w:bCs w:val="0"/>
          <w:szCs w:val="32"/>
          <w:vertAlign w:val="superscript"/>
        </w:rPr>
        <w:footnoteReference w:id="10"/>
      </w:r>
      <w:r w:rsidRPr="005D11C2">
        <w:rPr>
          <w:rFonts w:hAnsi="標楷體" w:hint="eastAsia"/>
          <w:szCs w:val="32"/>
        </w:rPr>
        <w:t>規定。</w:t>
      </w:r>
      <w:r w:rsidR="00896479" w:rsidRPr="005D11C2">
        <w:rPr>
          <w:rFonts w:hAnsi="標楷體" w:hint="eastAsia"/>
          <w:szCs w:val="32"/>
        </w:rPr>
        <w:t>惟據本院初步研究，</w:t>
      </w:r>
      <w:r w:rsidRPr="005D11C2">
        <w:rPr>
          <w:rFonts w:hAnsi="標楷體" w:hint="eastAsia"/>
          <w:szCs w:val="32"/>
        </w:rPr>
        <w:t>悠遊卡公司</w:t>
      </w:r>
      <w:r w:rsidR="00896479" w:rsidRPr="005D11C2">
        <w:rPr>
          <w:rFonts w:hAnsi="標楷體" w:hint="eastAsia"/>
          <w:szCs w:val="32"/>
        </w:rPr>
        <w:t>之</w:t>
      </w:r>
      <w:r w:rsidRPr="005D11C2">
        <w:rPr>
          <w:rFonts w:hAnsi="標楷體" w:hint="eastAsia"/>
          <w:szCs w:val="32"/>
        </w:rPr>
        <w:t>獲利，主要係因公營資本基於公共利益之需求投入獨</w:t>
      </w:r>
      <w:proofErr w:type="gramStart"/>
      <w:r w:rsidRPr="005D11C2">
        <w:rPr>
          <w:rFonts w:hAnsi="標楷體" w:hint="eastAsia"/>
          <w:szCs w:val="32"/>
        </w:rPr>
        <w:t>佔</w:t>
      </w:r>
      <w:proofErr w:type="gramEnd"/>
      <w:r w:rsidRPr="005D11C2">
        <w:rPr>
          <w:rFonts w:hAnsi="標楷體" w:hint="eastAsia"/>
          <w:szCs w:val="32"/>
        </w:rPr>
        <w:t>或專營事業，並非全然來自於自由競爭之商業經營，自仍有詳加檢討之必要。</w:t>
      </w:r>
    </w:p>
    <w:p w:rsidR="00811F26" w:rsidRPr="005D11C2" w:rsidRDefault="00B05B61" w:rsidP="00B05B61">
      <w:pPr>
        <w:pStyle w:val="4"/>
        <w:rPr>
          <w:rFonts w:hAnsi="標楷體"/>
          <w:szCs w:val="32"/>
        </w:rPr>
      </w:pPr>
      <w:proofErr w:type="gramStart"/>
      <w:r w:rsidRPr="005D11C2">
        <w:rPr>
          <w:rFonts w:hAnsi="標楷體" w:hint="eastAsia"/>
          <w:szCs w:val="32"/>
        </w:rPr>
        <w:t>臺</w:t>
      </w:r>
      <w:proofErr w:type="gramEnd"/>
      <w:r w:rsidRPr="005D11C2">
        <w:rPr>
          <w:rFonts w:hAnsi="標楷體" w:hint="eastAsia"/>
          <w:szCs w:val="32"/>
        </w:rPr>
        <w:t>北智慧卡公司成立時實收資本額5億元，總股數5,000萬股，股東權益5億元，</w:t>
      </w:r>
      <w:proofErr w:type="gramStart"/>
      <w:r w:rsidRPr="005D11C2">
        <w:rPr>
          <w:rFonts w:hAnsi="標楷體" w:hint="eastAsia"/>
          <w:szCs w:val="32"/>
        </w:rPr>
        <w:t>嗣</w:t>
      </w:r>
      <w:proofErr w:type="gramEnd"/>
      <w:r w:rsidRPr="005D11C2">
        <w:rPr>
          <w:rFonts w:hAnsi="標楷體" w:hint="eastAsia"/>
          <w:szCs w:val="32"/>
        </w:rPr>
        <w:t>98年12月1日悠遊卡公司以一比一換股的方式，將全數股份移轉</w:t>
      </w:r>
      <w:proofErr w:type="gramStart"/>
      <w:r w:rsidRPr="005D11C2">
        <w:rPr>
          <w:rFonts w:hAnsi="標楷體" w:hint="eastAsia"/>
          <w:szCs w:val="32"/>
        </w:rPr>
        <w:t>予悠遊卡投控</w:t>
      </w:r>
      <w:proofErr w:type="gramEnd"/>
      <w:r w:rsidRPr="005D11C2">
        <w:rPr>
          <w:rFonts w:hAnsi="標楷體" w:hint="eastAsia"/>
          <w:szCs w:val="32"/>
        </w:rPr>
        <w:t>公司，當時股東權益為5億9,088萬7,000元，迄至104年12月31日</w:t>
      </w:r>
      <w:r w:rsidR="005D11C2" w:rsidRPr="005D11C2">
        <w:rPr>
          <w:rFonts w:hAnsi="標楷體" w:hint="eastAsia"/>
          <w:szCs w:val="32"/>
        </w:rPr>
        <w:t>止，</w:t>
      </w:r>
      <w:r w:rsidRPr="005D11C2">
        <w:rPr>
          <w:rFonts w:hAnsi="標楷體" w:hint="eastAsia"/>
          <w:szCs w:val="32"/>
        </w:rPr>
        <w:t>該公司資本額藉由盈餘轉增資已達9億4,600萬元，股東權益增為14億7,900萬餘元。</w:t>
      </w:r>
      <w:proofErr w:type="gramStart"/>
      <w:r w:rsidR="005D11C2" w:rsidRPr="005D11C2">
        <w:rPr>
          <w:rFonts w:hAnsi="標楷體" w:hint="eastAsia"/>
          <w:szCs w:val="32"/>
        </w:rPr>
        <w:t>然查</w:t>
      </w:r>
      <w:r w:rsidR="009D2B54" w:rsidRPr="005D11C2">
        <w:rPr>
          <w:rFonts w:hAnsi="標楷體" w:hint="eastAsia"/>
          <w:szCs w:val="32"/>
        </w:rPr>
        <w:t>悠</w:t>
      </w:r>
      <w:proofErr w:type="gramEnd"/>
      <w:r w:rsidR="009D2B54" w:rsidRPr="005D11C2">
        <w:rPr>
          <w:rFonts w:hAnsi="標楷體" w:hint="eastAsia"/>
          <w:szCs w:val="32"/>
        </w:rPr>
        <w:t>遊卡公司</w:t>
      </w:r>
      <w:r w:rsidR="00E75C93" w:rsidRPr="005D11C2">
        <w:rPr>
          <w:rFonts w:hAnsi="標楷體" w:hint="eastAsia"/>
          <w:szCs w:val="32"/>
        </w:rPr>
        <w:t>之</w:t>
      </w:r>
      <w:r w:rsidR="009D2B54" w:rsidRPr="005D11C2">
        <w:rPr>
          <w:rFonts w:hAnsi="標楷體" w:hint="eastAsia"/>
          <w:szCs w:val="32"/>
        </w:rPr>
        <w:t>成長與股東權益增加，並非全然來自公平競爭，而是來自</w:t>
      </w:r>
      <w:r w:rsidR="00E75C93" w:rsidRPr="005D11C2">
        <w:rPr>
          <w:rFonts w:hAnsi="標楷體" w:hint="eastAsia"/>
          <w:szCs w:val="32"/>
        </w:rPr>
        <w:t>政府</w:t>
      </w:r>
      <w:r w:rsidR="009D2B54" w:rsidRPr="005D11C2">
        <w:rPr>
          <w:rFonts w:hAnsi="標楷體" w:hint="eastAsia"/>
          <w:szCs w:val="32"/>
        </w:rPr>
        <w:t>基於公共利益之需求投入獨</w:t>
      </w:r>
      <w:proofErr w:type="gramStart"/>
      <w:r w:rsidR="009D2B54" w:rsidRPr="005D11C2">
        <w:rPr>
          <w:rFonts w:hAnsi="標楷體" w:hint="eastAsia"/>
          <w:szCs w:val="32"/>
        </w:rPr>
        <w:t>佔</w:t>
      </w:r>
      <w:proofErr w:type="gramEnd"/>
      <w:r w:rsidR="009D2B54" w:rsidRPr="005D11C2">
        <w:rPr>
          <w:rFonts w:hAnsi="標楷體" w:hint="eastAsia"/>
          <w:szCs w:val="32"/>
        </w:rPr>
        <w:t>或專營事業，與公共利益之目的密不可分，</w:t>
      </w:r>
      <w:proofErr w:type="gramStart"/>
      <w:r w:rsidR="009D2B54" w:rsidRPr="005D11C2">
        <w:rPr>
          <w:rFonts w:hAnsi="標楷體" w:hint="eastAsia"/>
          <w:szCs w:val="32"/>
        </w:rPr>
        <w:t>惟</w:t>
      </w:r>
      <w:r w:rsidR="00E75C93" w:rsidRPr="005D11C2">
        <w:rPr>
          <w:rFonts w:hAnsi="標楷體" w:hint="eastAsia"/>
          <w:szCs w:val="32"/>
        </w:rPr>
        <w:t>悠遊</w:t>
      </w:r>
      <w:proofErr w:type="gramEnd"/>
      <w:r w:rsidR="00E75C93" w:rsidRPr="005D11C2">
        <w:rPr>
          <w:rFonts w:hAnsi="標楷體" w:hint="eastAsia"/>
          <w:szCs w:val="32"/>
        </w:rPr>
        <w:t>卡公司之</w:t>
      </w:r>
      <w:r w:rsidR="009D2B54" w:rsidRPr="005D11C2">
        <w:rPr>
          <w:rFonts w:hAnsi="標楷體" w:hint="eastAsia"/>
          <w:szCs w:val="32"/>
        </w:rPr>
        <w:t>獲利</w:t>
      </w:r>
      <w:r w:rsidR="00E75C93" w:rsidRPr="005D11C2">
        <w:rPr>
          <w:rFonts w:hAnsi="標楷體" w:hint="eastAsia"/>
          <w:szCs w:val="32"/>
        </w:rPr>
        <w:t>，</w:t>
      </w:r>
      <w:r w:rsidR="009D2B54" w:rsidRPr="005D11C2">
        <w:rPr>
          <w:rFonts w:hAnsi="標楷體" w:hint="eastAsia"/>
          <w:szCs w:val="32"/>
        </w:rPr>
        <w:t>主要</w:t>
      </w:r>
      <w:r w:rsidR="00E75C93" w:rsidRPr="005D11C2">
        <w:rPr>
          <w:rFonts w:hAnsi="標楷體" w:hint="eastAsia"/>
          <w:szCs w:val="32"/>
        </w:rPr>
        <w:t>係</w:t>
      </w:r>
      <w:r w:rsidR="009D2B54" w:rsidRPr="005D11C2">
        <w:rPr>
          <w:rFonts w:hAnsi="標楷體" w:hint="eastAsia"/>
          <w:szCs w:val="32"/>
        </w:rPr>
        <w:t>分配</w:t>
      </w:r>
      <w:r w:rsidR="00E75C93" w:rsidRPr="005D11C2">
        <w:rPr>
          <w:rFonts w:hAnsi="標楷體" w:hint="eastAsia"/>
          <w:szCs w:val="32"/>
        </w:rPr>
        <w:t>予</w:t>
      </w:r>
      <w:r w:rsidR="009D2B54" w:rsidRPr="005D11C2">
        <w:rPr>
          <w:rFonts w:hAnsi="標楷體" w:hint="eastAsia"/>
          <w:szCs w:val="32"/>
        </w:rPr>
        <w:t>股東，並未全然回饋社會大眾。</w:t>
      </w:r>
    </w:p>
    <w:p w:rsidR="003469C2" w:rsidRPr="005D11C2" w:rsidRDefault="00E75C93" w:rsidP="00E75C93">
      <w:pPr>
        <w:pStyle w:val="4"/>
      </w:pPr>
      <w:r w:rsidRPr="004A61F0">
        <w:rPr>
          <w:rFonts w:hAnsi="標楷體" w:hint="eastAsia"/>
          <w:color w:val="000000" w:themeColor="text1"/>
          <w:szCs w:val="32"/>
        </w:rPr>
        <w:t>上開作法雖基於公司法相關規定，</w:t>
      </w:r>
      <w:r w:rsidR="005D11C2">
        <w:rPr>
          <w:rFonts w:hAnsi="標楷體" w:hint="eastAsia"/>
          <w:color w:val="000000" w:themeColor="text1"/>
          <w:szCs w:val="32"/>
        </w:rPr>
        <w:t>卻</w:t>
      </w:r>
      <w:r w:rsidRPr="004A61F0">
        <w:rPr>
          <w:rFonts w:hAnsi="標楷體" w:hint="eastAsia"/>
          <w:color w:val="000000" w:themeColor="text1"/>
          <w:szCs w:val="32"/>
        </w:rPr>
        <w:t>未必全然符合公益要求。查臺北市政府所用於</w:t>
      </w:r>
      <w:proofErr w:type="gramStart"/>
      <w:r w:rsidRPr="004A61F0">
        <w:rPr>
          <w:rFonts w:hAnsi="標楷體" w:hint="eastAsia"/>
          <w:color w:val="000000" w:themeColor="text1"/>
          <w:szCs w:val="32"/>
        </w:rPr>
        <w:t>投資悠遊卡投</w:t>
      </w:r>
      <w:r w:rsidRPr="005D11C2">
        <w:rPr>
          <w:rFonts w:hAnsi="標楷體" w:hint="eastAsia"/>
          <w:szCs w:val="32"/>
        </w:rPr>
        <w:lastRenderedPageBreak/>
        <w:t>控</w:t>
      </w:r>
      <w:proofErr w:type="gramEnd"/>
      <w:r w:rsidRPr="005D11C2">
        <w:rPr>
          <w:rFonts w:hAnsi="標楷體" w:hint="eastAsia"/>
          <w:szCs w:val="32"/>
        </w:rPr>
        <w:t>公司之資金，實際上來自國民稅收，僅係以臺北市政府作為公股代表經營企業而已，惟在我國現行法制，並未就政府基於公共利益之需求而投入獨</w:t>
      </w:r>
      <w:proofErr w:type="gramStart"/>
      <w:r w:rsidRPr="005D11C2">
        <w:rPr>
          <w:rFonts w:hAnsi="標楷體" w:hint="eastAsia"/>
          <w:szCs w:val="32"/>
        </w:rPr>
        <w:t>佔</w:t>
      </w:r>
      <w:proofErr w:type="gramEnd"/>
      <w:r w:rsidRPr="005D11C2">
        <w:rPr>
          <w:rFonts w:hAnsi="標楷體" w:hint="eastAsia"/>
          <w:szCs w:val="32"/>
        </w:rPr>
        <w:t>或專營事業之機制訂定相關法律，</w:t>
      </w:r>
      <w:r w:rsidR="005D11C2" w:rsidRPr="005D11C2">
        <w:rPr>
          <w:rFonts w:hAnsi="標楷體" w:hint="eastAsia"/>
          <w:szCs w:val="32"/>
        </w:rPr>
        <w:t>如本案，即</w:t>
      </w:r>
      <w:r w:rsidRPr="005D11C2">
        <w:rPr>
          <w:rFonts w:hAnsi="標楷體" w:hint="eastAsia"/>
          <w:szCs w:val="32"/>
        </w:rPr>
        <w:t>全部</w:t>
      </w:r>
      <w:proofErr w:type="gramStart"/>
      <w:r w:rsidRPr="005D11C2">
        <w:rPr>
          <w:rFonts w:hAnsi="標楷體" w:hint="eastAsia"/>
          <w:szCs w:val="32"/>
        </w:rPr>
        <w:t>循</w:t>
      </w:r>
      <w:proofErr w:type="gramEnd"/>
      <w:r w:rsidRPr="005D11C2">
        <w:rPr>
          <w:rFonts w:hAnsi="標楷體" w:hint="eastAsia"/>
          <w:szCs w:val="32"/>
        </w:rPr>
        <w:t>私法規定辦理，</w:t>
      </w:r>
      <w:r w:rsidR="00136B48" w:rsidRPr="005D11C2">
        <w:rPr>
          <w:rFonts w:hAnsi="標楷體" w:hint="eastAsia"/>
          <w:szCs w:val="32"/>
        </w:rPr>
        <w:t>如此</w:t>
      </w:r>
      <w:r w:rsidRPr="005D11C2">
        <w:rPr>
          <w:rFonts w:hAnsi="標楷體" w:hint="eastAsia"/>
          <w:szCs w:val="32"/>
        </w:rPr>
        <w:t>將忽視公共利益之保護目的，反而側重於股東之獲利目的，變相將國家資本轉變為官僚資本進而至私人資本，自有詳加檢討之必要。</w:t>
      </w:r>
    </w:p>
    <w:p w:rsidR="00426BEF" w:rsidRPr="00486899" w:rsidRDefault="00426BEF" w:rsidP="00426BEF">
      <w:pPr>
        <w:pStyle w:val="2"/>
        <w:rPr>
          <w:rFonts w:hAnsi="標楷體"/>
          <w:b/>
          <w:szCs w:val="32"/>
        </w:rPr>
      </w:pPr>
      <w:r w:rsidRPr="00486899">
        <w:rPr>
          <w:rFonts w:hAnsi="標楷體" w:hint="eastAsia"/>
          <w:b/>
          <w:szCs w:val="32"/>
        </w:rPr>
        <w:t>悠遊卡票證與電子通信軟體相結合，作為行動支付工具，業成為時代趨勢與世界潮流，故政府計畫於109年將電子化支付比率提升至52%，實屬正確施政方向。然相應於「行動支付」開放政策，基於憲法</w:t>
      </w:r>
      <w:r w:rsidR="00BB1131" w:rsidRPr="00486899">
        <w:rPr>
          <w:rFonts w:hAnsi="標楷體" w:hint="eastAsia"/>
          <w:b/>
          <w:szCs w:val="32"/>
        </w:rPr>
        <w:t>保障國民之</w:t>
      </w:r>
      <w:r w:rsidRPr="00486899">
        <w:rPr>
          <w:rFonts w:hAnsi="標楷體" w:hint="eastAsia"/>
          <w:b/>
          <w:szCs w:val="32"/>
        </w:rPr>
        <w:t>人格權與財產權，自應就未來行動支付結合所生資本集中與資訊集中情形</w:t>
      </w:r>
      <w:r w:rsidR="00486899" w:rsidRPr="00486899">
        <w:rPr>
          <w:rFonts w:hAnsi="標楷體" w:hint="eastAsia"/>
          <w:b/>
          <w:szCs w:val="32"/>
        </w:rPr>
        <w:t>，</w:t>
      </w:r>
      <w:r w:rsidRPr="00486899">
        <w:rPr>
          <w:rFonts w:hAnsi="標楷體" w:hint="eastAsia"/>
          <w:b/>
          <w:szCs w:val="32"/>
        </w:rPr>
        <w:t>暨涉及各種大數據之公民營企業，</w:t>
      </w:r>
      <w:r w:rsidR="00486899" w:rsidRPr="00486899">
        <w:rPr>
          <w:rFonts w:hAnsi="標楷體" w:hint="eastAsia"/>
          <w:b/>
          <w:szCs w:val="32"/>
        </w:rPr>
        <w:t>由政府積極</w:t>
      </w:r>
      <w:r w:rsidRPr="00486899">
        <w:rPr>
          <w:rFonts w:hAnsi="標楷體" w:hint="eastAsia"/>
          <w:b/>
          <w:szCs w:val="32"/>
        </w:rPr>
        <w:t>規劃相關法令與查核程序，切實嚴格監督及執法，以防止個人資訊遭政府機關、財團或犯罪駭客肆意侵害</w:t>
      </w:r>
      <w:r w:rsidR="00486899" w:rsidRPr="00486899">
        <w:rPr>
          <w:rFonts w:hAnsi="標楷體" w:hint="eastAsia"/>
          <w:b/>
          <w:szCs w:val="32"/>
        </w:rPr>
        <w:t>。</w:t>
      </w:r>
    </w:p>
    <w:p w:rsidR="00426BEF" w:rsidRPr="009C1B74" w:rsidRDefault="005E44A9" w:rsidP="005E44A9">
      <w:pPr>
        <w:pStyle w:val="20"/>
        <w:ind w:left="1020" w:firstLine="680"/>
      </w:pPr>
      <w:r>
        <w:rPr>
          <w:rFonts w:hint="eastAsia"/>
        </w:rPr>
        <w:t>本案</w:t>
      </w:r>
      <w:r w:rsidRPr="005E44A9">
        <w:rPr>
          <w:rFonts w:hint="eastAsia"/>
        </w:rPr>
        <w:t>發見，悠遊卡票證與電子通信軟體相結合，作為行動支付工具，業成為時代趨勢，106年國際3大行動支付業者Apple Pay、Samsung Pay、Android Pay也將陸續進入臺灣市場 ，據悉金管會目前已核准11家銀行開辦3大國際行動支付業務，並計畫於109年將電子化支付比率提升至52% ，實屬</w:t>
      </w:r>
      <w:r w:rsidR="00B05B1B">
        <w:rPr>
          <w:rFonts w:hint="eastAsia"/>
        </w:rPr>
        <w:t>正確施政方向。然而回顧時代發展，電腦於半世紀前引入主流社會後，</w:t>
      </w:r>
      <w:r w:rsidRPr="005E44A9">
        <w:rPr>
          <w:rFonts w:hint="eastAsia"/>
        </w:rPr>
        <w:t>資訊科技速度一日千里，使用範圍逐漸滲透到人類各生活層面，造成大量累積資訊量前所未見。大數據（即巨量資料）之影響擴展到所有人類活動領域，小至個人、大至國家之行為均具有可預測性，若得加以掌控，稍有不慎無疑將造成巨大危機，特別</w:t>
      </w:r>
      <w:proofErr w:type="gramStart"/>
      <w:r w:rsidRPr="005E44A9">
        <w:rPr>
          <w:rFonts w:hint="eastAsia"/>
        </w:rPr>
        <w:t>是像悠遊</w:t>
      </w:r>
      <w:proofErr w:type="gramEnd"/>
      <w:r w:rsidRPr="005E44A9">
        <w:rPr>
          <w:rFonts w:hint="eastAsia"/>
        </w:rPr>
        <w:t>卡公司有強烈公共福祉目的，臺灣民眾使用比率極高，其個</w:t>
      </w:r>
      <w:r w:rsidRPr="005E44A9">
        <w:rPr>
          <w:rFonts w:hint="eastAsia"/>
        </w:rPr>
        <w:lastRenderedPageBreak/>
        <w:t>人資訊集中情形將更形嚴重，加以結合前揭行動支付等各項電子商務活動，對於個人隱私權與財產權應如何保障易造成隱憂，基於「資訊安全即是國家安全」原則 ，相應於「行動支付」開放政策，有關電子商務與個人資訊保護之政策規劃，自應為行政機關所關注之重大課題</w:t>
      </w:r>
      <w:r w:rsidR="00B05B1B">
        <w:rPr>
          <w:rFonts w:hint="eastAsia"/>
        </w:rPr>
        <w:t>。</w:t>
      </w:r>
      <w:r w:rsidRPr="005E44A9">
        <w:rPr>
          <w:rFonts w:hint="eastAsia"/>
        </w:rPr>
        <w:t>據行政院104年4月23日第3445次院會通過「電子票證發行管理條例」部分條文修正草案，開放電子票證發行機構及電子支付機構可相互兼營，其目的為提升支付工具間運用之功能，增加支付之便利性，以扶植我國電子票證產業發展</w:t>
      </w:r>
      <w:r w:rsidR="00C74644">
        <w:rPr>
          <w:rFonts w:hint="eastAsia"/>
        </w:rPr>
        <w:t>。</w:t>
      </w:r>
      <w:r w:rsidRPr="005E44A9">
        <w:rPr>
          <w:rFonts w:hint="eastAsia"/>
        </w:rPr>
        <w:t>上開草案</w:t>
      </w:r>
      <w:proofErr w:type="gramStart"/>
      <w:r w:rsidRPr="005E44A9">
        <w:rPr>
          <w:rFonts w:hint="eastAsia"/>
        </w:rPr>
        <w:t>採</w:t>
      </w:r>
      <w:proofErr w:type="gramEnd"/>
      <w:r w:rsidRPr="005E44A9">
        <w:rPr>
          <w:rFonts w:hint="eastAsia"/>
        </w:rPr>
        <w:t>開放多元支付，並容許電子票證發行機構及電子支付機構可相互兼營，將各特許公司法規範之防火牆開放，</w:t>
      </w:r>
      <w:r w:rsidR="00C74644">
        <w:rPr>
          <w:rFonts w:hint="eastAsia"/>
        </w:rPr>
        <w:t>如</w:t>
      </w:r>
      <w:r w:rsidRPr="005E44A9">
        <w:rPr>
          <w:rFonts w:hint="eastAsia"/>
        </w:rPr>
        <w:t>因資訊集中形成大數據，應如何防止企業壟斷個人資訊，侵害隱私權，形成社會危害</w:t>
      </w:r>
      <w:r w:rsidR="009C1B74">
        <w:rPr>
          <w:rFonts w:hint="eastAsia"/>
        </w:rPr>
        <w:t>？</w:t>
      </w:r>
      <w:r w:rsidRPr="005E44A9">
        <w:rPr>
          <w:rFonts w:hint="eastAsia"/>
        </w:rPr>
        <w:t>又</w:t>
      </w:r>
      <w:r w:rsidR="009C1B74">
        <w:rPr>
          <w:rFonts w:hint="eastAsia"/>
        </w:rPr>
        <w:t>草案</w:t>
      </w:r>
      <w:proofErr w:type="gramStart"/>
      <w:r w:rsidRPr="005E44A9">
        <w:rPr>
          <w:rFonts w:hint="eastAsia"/>
        </w:rPr>
        <w:t>採</w:t>
      </w:r>
      <w:proofErr w:type="gramEnd"/>
      <w:r w:rsidRPr="005E44A9">
        <w:rPr>
          <w:rFonts w:hint="eastAsia"/>
        </w:rPr>
        <w:t>業者自律，以市場經濟方式處理，政府應擔任何種角色加以監督，始為合宜</w:t>
      </w:r>
      <w:r w:rsidR="009C1B74">
        <w:rPr>
          <w:rFonts w:hint="eastAsia"/>
        </w:rPr>
        <w:t>？</w:t>
      </w:r>
      <w:proofErr w:type="gramStart"/>
      <w:r w:rsidRPr="005E44A9">
        <w:rPr>
          <w:rFonts w:hint="eastAsia"/>
        </w:rPr>
        <w:t>均</w:t>
      </w:r>
      <w:r w:rsidR="009C1B74">
        <w:rPr>
          <w:rFonts w:hint="eastAsia"/>
        </w:rPr>
        <w:t>尚有</w:t>
      </w:r>
      <w:proofErr w:type="gramEnd"/>
      <w:r w:rsidR="009C1B74">
        <w:rPr>
          <w:rFonts w:hint="eastAsia"/>
        </w:rPr>
        <w:t>疑義。退而言之，單純電子票證時代，香港八</w:t>
      </w:r>
      <w:proofErr w:type="gramStart"/>
      <w:r w:rsidR="009C1B74">
        <w:rPr>
          <w:rFonts w:hint="eastAsia"/>
        </w:rPr>
        <w:t>達通公司</w:t>
      </w:r>
      <w:proofErr w:type="gramEnd"/>
      <w:r w:rsidRPr="005E44A9">
        <w:rPr>
          <w:rFonts w:hint="eastAsia"/>
        </w:rPr>
        <w:t>亦曾</w:t>
      </w:r>
      <w:r w:rsidR="009C1B74">
        <w:rPr>
          <w:rFonts w:hint="eastAsia"/>
        </w:rPr>
        <w:t>發生</w:t>
      </w:r>
      <w:r w:rsidRPr="005E44A9">
        <w:rPr>
          <w:rFonts w:hint="eastAsia"/>
        </w:rPr>
        <w:t>因高層不當決策於91年起連續7年將約200萬客戶的個人資料轉讓給第三者，並收取4,400萬元港幣，占公司總收入三分之一</w:t>
      </w:r>
      <w:r w:rsidR="009C1B74">
        <w:rPr>
          <w:rFonts w:hint="eastAsia"/>
        </w:rPr>
        <w:t>的弊案，當時</w:t>
      </w:r>
      <w:r w:rsidRPr="005E44A9">
        <w:rPr>
          <w:rFonts w:hint="eastAsia"/>
        </w:rPr>
        <w:t>被轉讓的個人資料不但包括姓名、性別、身分證統一編號等，更包括用戶購物的詳細清單</w:t>
      </w:r>
      <w:r w:rsidR="009C1B74">
        <w:rPr>
          <w:rFonts w:hint="eastAsia"/>
        </w:rPr>
        <w:t>等等</w:t>
      </w:r>
      <w:r w:rsidRPr="005E44A9">
        <w:rPr>
          <w:rFonts w:hint="eastAsia"/>
        </w:rPr>
        <w:t>，香港市民咸認</w:t>
      </w:r>
      <w:r w:rsidR="009C1B74">
        <w:rPr>
          <w:rFonts w:hint="eastAsia"/>
        </w:rPr>
        <w:t>該案應由香港政府</w:t>
      </w:r>
      <w:proofErr w:type="gramStart"/>
      <w:r w:rsidRPr="005E44A9">
        <w:rPr>
          <w:rFonts w:hint="eastAsia"/>
        </w:rPr>
        <w:t>與港鐵</w:t>
      </w:r>
      <w:r w:rsidR="009C1B74">
        <w:rPr>
          <w:rFonts w:hint="eastAsia"/>
        </w:rPr>
        <w:t>公司</w:t>
      </w:r>
      <w:proofErr w:type="gramEnd"/>
      <w:r w:rsidRPr="005E44A9">
        <w:rPr>
          <w:rFonts w:hint="eastAsia"/>
        </w:rPr>
        <w:t>負最大責任等情。</w:t>
      </w:r>
      <w:proofErr w:type="gramStart"/>
      <w:r w:rsidRPr="005E44A9">
        <w:rPr>
          <w:rFonts w:hint="eastAsia"/>
        </w:rPr>
        <w:t>從而，</w:t>
      </w:r>
      <w:proofErr w:type="gramEnd"/>
      <w:r w:rsidRPr="005E44A9">
        <w:rPr>
          <w:rFonts w:hint="eastAsia"/>
        </w:rPr>
        <w:t>行政院暨所屬</w:t>
      </w:r>
      <w:proofErr w:type="gramStart"/>
      <w:r w:rsidRPr="005E44A9">
        <w:rPr>
          <w:rFonts w:hint="eastAsia"/>
        </w:rPr>
        <w:t>應鑒往知來</w:t>
      </w:r>
      <w:proofErr w:type="gramEnd"/>
      <w:r w:rsidRPr="005E44A9">
        <w:rPr>
          <w:rFonts w:hint="eastAsia"/>
        </w:rPr>
        <w:t>，就未來行動支付結合所</w:t>
      </w:r>
      <w:r w:rsidR="009C1B74">
        <w:rPr>
          <w:rFonts w:hint="eastAsia"/>
        </w:rPr>
        <w:t>衍生</w:t>
      </w:r>
      <w:r w:rsidRPr="005E44A9">
        <w:rPr>
          <w:rFonts w:hint="eastAsia"/>
        </w:rPr>
        <w:t>資本集中與資訊集中情形</w:t>
      </w:r>
      <w:r w:rsidR="009C1B74">
        <w:rPr>
          <w:rFonts w:hint="eastAsia"/>
        </w:rPr>
        <w:t>，</w:t>
      </w:r>
      <w:r w:rsidRPr="005E44A9">
        <w:rPr>
          <w:rFonts w:hint="eastAsia"/>
        </w:rPr>
        <w:t>暨涉及各種大數據之公民營企業，應妥為規劃相關法令與查核程序，</w:t>
      </w:r>
      <w:r w:rsidR="009C1B74">
        <w:rPr>
          <w:rFonts w:hint="eastAsia"/>
        </w:rPr>
        <w:t>並</w:t>
      </w:r>
      <w:r w:rsidRPr="005E44A9">
        <w:rPr>
          <w:rFonts w:hint="eastAsia"/>
        </w:rPr>
        <w:t>切實嚴格監督及執法，以防止個人資</w:t>
      </w:r>
      <w:r w:rsidRPr="009C1B74">
        <w:rPr>
          <w:rFonts w:hint="eastAsia"/>
        </w:rPr>
        <w:t>訊遭政府機關、財團或犯罪駭客肆意侵害</w:t>
      </w:r>
      <w:r w:rsidR="009C1B74" w:rsidRPr="009C1B74">
        <w:rPr>
          <w:rFonts w:hint="eastAsia"/>
        </w:rPr>
        <w:t>。</w:t>
      </w:r>
    </w:p>
    <w:p w:rsidR="005D3106" w:rsidRPr="009C1B74" w:rsidRDefault="00B852AE" w:rsidP="005D3106">
      <w:pPr>
        <w:pStyle w:val="2"/>
        <w:rPr>
          <w:rFonts w:hAnsi="標楷體"/>
          <w:b/>
          <w:szCs w:val="32"/>
        </w:rPr>
      </w:pPr>
      <w:r w:rsidRPr="009C1B74">
        <w:rPr>
          <w:rFonts w:hAnsi="標楷體" w:hint="eastAsia"/>
          <w:b/>
          <w:szCs w:val="32"/>
        </w:rPr>
        <w:t>行政院應正視悠遊卡公司</w:t>
      </w:r>
      <w:r w:rsidR="00A94543" w:rsidRPr="009C1B74">
        <w:rPr>
          <w:rFonts w:hAnsi="標楷體" w:hint="eastAsia"/>
          <w:b/>
          <w:szCs w:val="32"/>
        </w:rPr>
        <w:t>忽視</w:t>
      </w:r>
      <w:r w:rsidR="00A0642B" w:rsidRPr="009C1B74">
        <w:rPr>
          <w:rFonts w:hAnsi="標楷體" w:cs="新細明體" w:hint="eastAsia"/>
          <w:b/>
          <w:kern w:val="0"/>
          <w:szCs w:val="32"/>
        </w:rPr>
        <w:t>大眾捷運法</w:t>
      </w:r>
      <w:r w:rsidR="00043184" w:rsidRPr="009C1B74">
        <w:rPr>
          <w:rFonts w:hAnsi="標楷體" w:hint="eastAsia"/>
          <w:b/>
          <w:szCs w:val="32"/>
        </w:rPr>
        <w:t>規範公益目的所揭露之</w:t>
      </w:r>
      <w:r w:rsidRPr="009C1B74">
        <w:rPr>
          <w:rFonts w:hAnsi="標楷體" w:hint="eastAsia"/>
          <w:b/>
          <w:szCs w:val="32"/>
        </w:rPr>
        <w:t>問題，亦即</w:t>
      </w:r>
      <w:r w:rsidR="007D73CF" w:rsidRPr="009C1B74">
        <w:rPr>
          <w:rFonts w:hAnsi="標楷體" w:hint="eastAsia"/>
          <w:b/>
          <w:szCs w:val="32"/>
        </w:rPr>
        <w:t>國家之</w:t>
      </w:r>
      <w:r w:rsidR="00043184" w:rsidRPr="009C1B74">
        <w:rPr>
          <w:rFonts w:hAnsi="標楷體" w:hint="eastAsia"/>
          <w:b/>
          <w:szCs w:val="32"/>
        </w:rPr>
        <w:t>公共財</w:t>
      </w:r>
      <w:r w:rsidR="00EC5F50" w:rsidRPr="009C1B74">
        <w:rPr>
          <w:rFonts w:hAnsi="標楷體" w:hint="eastAsia"/>
          <w:b/>
          <w:szCs w:val="32"/>
        </w:rPr>
        <w:t>逐漸變成私有</w:t>
      </w:r>
      <w:r w:rsidR="00EC5F50" w:rsidRPr="009C1B74">
        <w:rPr>
          <w:rFonts w:hAnsi="標楷體" w:hint="eastAsia"/>
          <w:b/>
          <w:szCs w:val="32"/>
        </w:rPr>
        <w:lastRenderedPageBreak/>
        <w:t>財，近期在</w:t>
      </w:r>
      <w:r w:rsidR="001C2159" w:rsidRPr="009C1B74">
        <w:rPr>
          <w:rFonts w:hAnsi="標楷體" w:hint="eastAsia"/>
          <w:b/>
          <w:szCs w:val="32"/>
        </w:rPr>
        <w:t>「新自由主義」</w:t>
      </w:r>
      <w:r w:rsidR="001C2159" w:rsidRPr="009C1B74">
        <w:rPr>
          <w:rStyle w:val="afc"/>
          <w:rFonts w:hAnsi="標楷體"/>
          <w:b/>
          <w:szCs w:val="32"/>
        </w:rPr>
        <w:footnoteReference w:id="11"/>
      </w:r>
      <w:r w:rsidR="000D513E" w:rsidRPr="009C1B74">
        <w:rPr>
          <w:rFonts w:hAnsi="標楷體" w:hint="eastAsia"/>
          <w:b/>
          <w:szCs w:val="32"/>
        </w:rPr>
        <w:t>的經濟政策</w:t>
      </w:r>
      <w:r w:rsidR="007D73CF" w:rsidRPr="009C1B74">
        <w:rPr>
          <w:rFonts w:hAnsi="標楷體" w:hint="eastAsia"/>
          <w:b/>
          <w:szCs w:val="32"/>
        </w:rPr>
        <w:t>下</w:t>
      </w:r>
      <w:r w:rsidR="001C2159" w:rsidRPr="009C1B74">
        <w:rPr>
          <w:rFonts w:hAnsi="標楷體" w:hint="eastAsia"/>
          <w:b/>
          <w:szCs w:val="32"/>
        </w:rPr>
        <w:t>，</w:t>
      </w:r>
      <w:r w:rsidR="00EC5F50" w:rsidRPr="009C1B74">
        <w:rPr>
          <w:rFonts w:hAnsi="標楷體" w:hint="eastAsia"/>
          <w:b/>
          <w:szCs w:val="32"/>
        </w:rPr>
        <w:t>逐漸</w:t>
      </w:r>
      <w:r w:rsidR="001C2159" w:rsidRPr="009C1B74">
        <w:rPr>
          <w:rFonts w:hAnsi="標楷體" w:hint="eastAsia"/>
          <w:b/>
          <w:szCs w:val="32"/>
        </w:rPr>
        <w:t>起草各項法令，</w:t>
      </w:r>
      <w:proofErr w:type="gramStart"/>
      <w:r w:rsidR="00EC5F50" w:rsidRPr="009C1B74">
        <w:rPr>
          <w:rFonts w:hAnsi="標楷體" w:hint="eastAsia"/>
          <w:b/>
          <w:szCs w:val="32"/>
        </w:rPr>
        <w:t>捨</w:t>
      </w:r>
      <w:proofErr w:type="gramEnd"/>
      <w:r w:rsidR="00EC5F50" w:rsidRPr="009C1B74">
        <w:rPr>
          <w:rFonts w:hAnsi="標楷體" w:hint="eastAsia"/>
          <w:b/>
          <w:szCs w:val="32"/>
        </w:rPr>
        <w:t>憲法「</w:t>
      </w:r>
      <w:proofErr w:type="gramStart"/>
      <w:r w:rsidR="00EC5F50" w:rsidRPr="009C1B74">
        <w:rPr>
          <w:rFonts w:hAnsi="標楷體" w:hint="eastAsia"/>
          <w:b/>
          <w:szCs w:val="32"/>
        </w:rPr>
        <w:t>均富社會</w:t>
      </w:r>
      <w:proofErr w:type="gramEnd"/>
      <w:r w:rsidR="00EC5F50" w:rsidRPr="009C1B74">
        <w:rPr>
          <w:rFonts w:hAnsi="標楷體" w:hint="eastAsia"/>
          <w:b/>
          <w:szCs w:val="32"/>
        </w:rPr>
        <w:t>」之基本價值，似與憲法第13章第7節國民經濟原則未盡相符，</w:t>
      </w:r>
      <w:r w:rsidR="005D3106" w:rsidRPr="009C1B74">
        <w:rPr>
          <w:rFonts w:hAnsi="標楷體" w:hint="eastAsia"/>
          <w:b/>
          <w:szCs w:val="32"/>
        </w:rPr>
        <w:t>又</w:t>
      </w:r>
      <w:r w:rsidR="00866C76" w:rsidRPr="009C1B74">
        <w:rPr>
          <w:rFonts w:hAnsi="標楷體" w:hint="eastAsia"/>
          <w:b/>
          <w:szCs w:val="32"/>
        </w:rPr>
        <w:t>以</w:t>
      </w:r>
      <w:r w:rsidRPr="009C1B74">
        <w:rPr>
          <w:rFonts w:hAnsi="標楷體" w:hint="eastAsia"/>
          <w:b/>
          <w:szCs w:val="32"/>
        </w:rPr>
        <w:t>五等分之所得分配比，</w:t>
      </w:r>
      <w:r w:rsidR="001C2159" w:rsidRPr="009C1B74">
        <w:rPr>
          <w:rFonts w:hAnsi="標楷體" w:hint="eastAsia"/>
          <w:b/>
          <w:szCs w:val="32"/>
        </w:rPr>
        <w:t>模糊</w:t>
      </w:r>
      <w:r w:rsidR="0003022B" w:rsidRPr="009C1B74">
        <w:rPr>
          <w:rFonts w:hAnsi="標楷體" w:hint="eastAsia"/>
          <w:b/>
          <w:szCs w:val="32"/>
        </w:rPr>
        <w:t>民眾對於貧富差距拉大之印象，</w:t>
      </w:r>
      <w:r w:rsidR="005D3106" w:rsidRPr="009C1B74">
        <w:rPr>
          <w:rFonts w:hAnsi="標楷體" w:hint="eastAsia"/>
          <w:b/>
          <w:szCs w:val="32"/>
        </w:rPr>
        <w:t>造成富者</w:t>
      </w:r>
      <w:proofErr w:type="gramStart"/>
      <w:r w:rsidR="005D3106" w:rsidRPr="009C1B74">
        <w:rPr>
          <w:rFonts w:hAnsi="標楷體" w:hint="eastAsia"/>
          <w:b/>
          <w:szCs w:val="32"/>
        </w:rPr>
        <w:t>愈富貧者</w:t>
      </w:r>
      <w:proofErr w:type="gramEnd"/>
      <w:r w:rsidR="005D3106" w:rsidRPr="009C1B74">
        <w:rPr>
          <w:rFonts w:hAnsi="標楷體" w:hint="eastAsia"/>
          <w:b/>
          <w:szCs w:val="32"/>
        </w:rPr>
        <w:t>愈貧的現象，殊值警惕。</w:t>
      </w:r>
    </w:p>
    <w:p w:rsidR="00B852AE" w:rsidRPr="00426BEF" w:rsidRDefault="00B852AE" w:rsidP="005E44A9">
      <w:pPr>
        <w:pStyle w:val="20"/>
        <w:ind w:left="1020" w:firstLine="680"/>
      </w:pPr>
      <w:r w:rsidRPr="009C1B74">
        <w:rPr>
          <w:rFonts w:hint="eastAsia"/>
        </w:rPr>
        <w:t>悠遊卡公司</w:t>
      </w:r>
      <w:r w:rsidR="00ED18CC" w:rsidRPr="009C1B74">
        <w:rPr>
          <w:rFonts w:hint="eastAsia"/>
        </w:rPr>
        <w:t>之獲利</w:t>
      </w:r>
      <w:r w:rsidRPr="009C1B74">
        <w:rPr>
          <w:rFonts w:hint="eastAsia"/>
        </w:rPr>
        <w:t>主要係因公營資本基於公共利</w:t>
      </w:r>
      <w:r w:rsidRPr="00426BEF">
        <w:rPr>
          <w:rFonts w:hint="eastAsia"/>
        </w:rPr>
        <w:t>益之需求投入獨</w:t>
      </w:r>
      <w:proofErr w:type="gramStart"/>
      <w:r w:rsidRPr="00426BEF">
        <w:rPr>
          <w:rFonts w:hint="eastAsia"/>
        </w:rPr>
        <w:t>佔</w:t>
      </w:r>
      <w:proofErr w:type="gramEnd"/>
      <w:r w:rsidRPr="00426BEF">
        <w:rPr>
          <w:rFonts w:hint="eastAsia"/>
        </w:rPr>
        <w:t>或專營事業，並非全然來自商業經營，行政機關利用實體法將國家資本轉變為官僚資本</w:t>
      </w:r>
      <w:r w:rsidR="00043184" w:rsidRPr="00CA3AC6">
        <w:rPr>
          <w:rStyle w:val="afc"/>
          <w:rFonts w:hAnsi="標楷體"/>
          <w:color w:val="000000" w:themeColor="text1"/>
          <w:szCs w:val="32"/>
        </w:rPr>
        <w:footnoteReference w:id="12"/>
      </w:r>
      <w:r w:rsidRPr="00426BEF">
        <w:rPr>
          <w:rFonts w:hint="eastAsia"/>
        </w:rPr>
        <w:t>進而至私人資本之過程，業成為臺灣社會普遍現象，並</w:t>
      </w:r>
      <w:r w:rsidR="007720DB" w:rsidRPr="00426BEF">
        <w:rPr>
          <w:rFonts w:hint="eastAsia"/>
        </w:rPr>
        <w:t>非悠遊卡公司所獨有，其相關措施業違反我國憲法國民經濟基本原則，</w:t>
      </w:r>
      <w:r w:rsidRPr="00426BEF">
        <w:rPr>
          <w:rFonts w:hint="eastAsia"/>
        </w:rPr>
        <w:t>說明如下：</w:t>
      </w:r>
    </w:p>
    <w:p w:rsidR="00B852AE" w:rsidRPr="00CA3AC6" w:rsidRDefault="00B852AE" w:rsidP="00B852AE">
      <w:pPr>
        <w:pStyle w:val="3"/>
        <w:rPr>
          <w:rFonts w:hAnsi="標楷體"/>
          <w:color w:val="000000" w:themeColor="text1"/>
          <w:szCs w:val="32"/>
        </w:rPr>
      </w:pPr>
      <w:r w:rsidRPr="00CA3AC6">
        <w:rPr>
          <w:rFonts w:hAnsi="標楷體" w:hint="eastAsia"/>
          <w:color w:val="000000" w:themeColor="text1"/>
          <w:szCs w:val="32"/>
        </w:rPr>
        <w:t>我國憲法就國民經濟乃基於三民主義</w:t>
      </w:r>
      <w:proofErr w:type="gramStart"/>
      <w:r w:rsidRPr="00CA3AC6">
        <w:rPr>
          <w:rFonts w:hAnsi="標楷體"/>
          <w:color w:val="000000" w:themeColor="text1"/>
          <w:szCs w:val="32"/>
        </w:rPr>
        <w:t>—</w:t>
      </w:r>
      <w:proofErr w:type="gramEnd"/>
      <w:r w:rsidRPr="00CA3AC6">
        <w:rPr>
          <w:rFonts w:hAnsi="標楷體" w:hint="eastAsia"/>
          <w:color w:val="000000" w:themeColor="text1"/>
          <w:szCs w:val="32"/>
        </w:rPr>
        <w:t>民生主義為原則，其目的在建構小康社會，主張發展國營事業並節制資本。一方面在於防止資本家壟斷經濟與政治，另一方面在使社會財富分配平均，建立公私有財產並存，國民營企業兼顧之經濟制度，以防止共產革命。</w:t>
      </w:r>
    </w:p>
    <w:p w:rsidR="00B852AE" w:rsidRPr="00CA3AC6" w:rsidRDefault="00B852AE" w:rsidP="00B852AE">
      <w:pPr>
        <w:pStyle w:val="4"/>
        <w:rPr>
          <w:rFonts w:hAnsi="標楷體"/>
          <w:color w:val="000000" w:themeColor="text1"/>
          <w:szCs w:val="32"/>
        </w:rPr>
      </w:pPr>
      <w:r w:rsidRPr="00CA3AC6">
        <w:rPr>
          <w:rFonts w:hAnsi="標楷體" w:hint="eastAsia"/>
          <w:color w:val="000000" w:themeColor="text1"/>
          <w:szCs w:val="32"/>
        </w:rPr>
        <w:t>我國憲法就國民經濟乃基於三民主義</w:t>
      </w:r>
      <w:r w:rsidR="00ED18CC" w:rsidRPr="00CA3AC6">
        <w:rPr>
          <w:rFonts w:hAnsi="標楷體" w:hint="eastAsia"/>
          <w:color w:val="000000" w:themeColor="text1"/>
          <w:szCs w:val="32"/>
        </w:rPr>
        <w:t>-</w:t>
      </w:r>
      <w:r w:rsidRPr="00CA3AC6">
        <w:rPr>
          <w:rFonts w:hAnsi="標楷體" w:hint="eastAsia"/>
          <w:color w:val="000000" w:themeColor="text1"/>
          <w:szCs w:val="32"/>
        </w:rPr>
        <w:t>民生主義為原則。</w:t>
      </w:r>
    </w:p>
    <w:p w:rsidR="00BB5B0D" w:rsidRPr="00CA3AC6" w:rsidRDefault="00BB5B0D" w:rsidP="00CB415D">
      <w:pPr>
        <w:pStyle w:val="4"/>
        <w:numPr>
          <w:ilvl w:val="0"/>
          <w:numId w:val="0"/>
        </w:numPr>
        <w:ind w:left="1701" w:firstLineChars="200" w:firstLine="680"/>
        <w:rPr>
          <w:rFonts w:hAnsi="標楷體"/>
          <w:color w:val="000000" w:themeColor="text1"/>
          <w:szCs w:val="32"/>
        </w:rPr>
      </w:pPr>
      <w:r w:rsidRPr="00CA3AC6">
        <w:rPr>
          <w:rFonts w:hAnsi="標楷體" w:hint="eastAsia"/>
          <w:bCs/>
          <w:color w:val="000000" w:themeColor="text1"/>
          <w:szCs w:val="32"/>
        </w:rPr>
        <w:t>依據憲法前言</w:t>
      </w:r>
      <w:r w:rsidRPr="00CA3AC6">
        <w:rPr>
          <w:rFonts w:hAnsi="標楷體"/>
          <w:bCs/>
          <w:color w:val="000000" w:themeColor="text1"/>
          <w:szCs w:val="32"/>
          <w:vertAlign w:val="superscript"/>
        </w:rPr>
        <w:footnoteReference w:id="13"/>
      </w:r>
      <w:r w:rsidRPr="00CA3AC6">
        <w:rPr>
          <w:rFonts w:hAnsi="標楷體" w:hint="eastAsia"/>
          <w:bCs/>
          <w:color w:val="000000" w:themeColor="text1"/>
          <w:szCs w:val="32"/>
        </w:rPr>
        <w:t>，中華民國國民大會受全體國民之付託，依據孫中山先生創立中華民國</w:t>
      </w:r>
      <w:r w:rsidR="00ED18CC" w:rsidRPr="00CA3AC6">
        <w:rPr>
          <w:rFonts w:hAnsi="標楷體" w:hint="eastAsia"/>
          <w:bCs/>
          <w:color w:val="000000" w:themeColor="text1"/>
          <w:szCs w:val="32"/>
        </w:rPr>
        <w:t>之遺教，為鞏固國權，保障民權，奠定社會安寧，增進人民福利，制定憲法</w:t>
      </w:r>
      <w:r w:rsidRPr="00CA3AC6">
        <w:rPr>
          <w:rFonts w:hAnsi="標楷體" w:hint="eastAsia"/>
          <w:bCs/>
          <w:color w:val="000000" w:themeColor="text1"/>
          <w:szCs w:val="32"/>
        </w:rPr>
        <w:t>頒行全國，永</w:t>
      </w:r>
      <w:proofErr w:type="gramStart"/>
      <w:r w:rsidRPr="00CA3AC6">
        <w:rPr>
          <w:rFonts w:hAnsi="標楷體" w:hint="eastAsia"/>
          <w:bCs/>
          <w:color w:val="000000" w:themeColor="text1"/>
          <w:szCs w:val="32"/>
        </w:rPr>
        <w:t>矢</w:t>
      </w:r>
      <w:proofErr w:type="gramEnd"/>
      <w:r w:rsidRPr="00CA3AC6">
        <w:rPr>
          <w:rFonts w:hAnsi="標楷體" w:hint="eastAsia"/>
          <w:bCs/>
          <w:color w:val="000000" w:themeColor="text1"/>
          <w:szCs w:val="32"/>
        </w:rPr>
        <w:t>咸</w:t>
      </w:r>
      <w:proofErr w:type="gramStart"/>
      <w:r w:rsidRPr="00CA3AC6">
        <w:rPr>
          <w:rFonts w:hAnsi="標楷體" w:hint="eastAsia"/>
          <w:bCs/>
          <w:color w:val="000000" w:themeColor="text1"/>
          <w:szCs w:val="32"/>
        </w:rPr>
        <w:t>遵</w:t>
      </w:r>
      <w:proofErr w:type="gramEnd"/>
      <w:r w:rsidRPr="00CA3AC6">
        <w:rPr>
          <w:rFonts w:hAnsi="標楷體" w:hint="eastAsia"/>
          <w:bCs/>
          <w:color w:val="000000" w:themeColor="text1"/>
          <w:szCs w:val="32"/>
        </w:rPr>
        <w:t>。憲法第1章總綱，第1條規定，中華民國基於三民主義，為民有民治民享之民主共和國</w:t>
      </w:r>
      <w:r w:rsidR="00AE0261" w:rsidRPr="00CA3AC6">
        <w:rPr>
          <w:rFonts w:hAnsi="標楷體" w:hint="eastAsia"/>
          <w:bCs/>
          <w:color w:val="000000" w:themeColor="text1"/>
          <w:szCs w:val="32"/>
        </w:rPr>
        <w:t>；</w:t>
      </w:r>
      <w:r w:rsidRPr="00CA3AC6">
        <w:rPr>
          <w:rFonts w:hAnsi="標楷體" w:hint="eastAsia"/>
          <w:bCs/>
          <w:color w:val="000000" w:themeColor="text1"/>
          <w:szCs w:val="32"/>
        </w:rPr>
        <w:t>第2條規定，</w:t>
      </w:r>
      <w:r w:rsidRPr="00CA3AC6">
        <w:rPr>
          <w:rFonts w:hAnsi="標楷體" w:hint="eastAsia"/>
          <w:bCs/>
          <w:color w:val="000000" w:themeColor="text1"/>
          <w:szCs w:val="32"/>
        </w:rPr>
        <w:lastRenderedPageBreak/>
        <w:t>中華民國之主權屬於國民全體</w:t>
      </w:r>
      <w:r w:rsidR="00AE0261" w:rsidRPr="00CA3AC6">
        <w:rPr>
          <w:rFonts w:hAnsi="標楷體" w:hint="eastAsia"/>
          <w:bCs/>
          <w:color w:val="000000" w:themeColor="text1"/>
          <w:szCs w:val="32"/>
        </w:rPr>
        <w:t>；</w:t>
      </w:r>
      <w:r w:rsidRPr="00CA3AC6">
        <w:rPr>
          <w:rFonts w:hAnsi="標楷體" w:hint="eastAsia"/>
          <w:color w:val="000000" w:themeColor="text1"/>
          <w:szCs w:val="32"/>
        </w:rPr>
        <w:t>第142條規定，國民經濟應以民生主義為基本原則，實施平均地權，節制資本，以謀國計民生</w:t>
      </w:r>
      <w:proofErr w:type="gramStart"/>
      <w:r w:rsidRPr="00CA3AC6">
        <w:rPr>
          <w:rFonts w:hAnsi="標楷體" w:hint="eastAsia"/>
          <w:color w:val="000000" w:themeColor="text1"/>
          <w:szCs w:val="32"/>
        </w:rPr>
        <w:t>之均足</w:t>
      </w:r>
      <w:proofErr w:type="gramEnd"/>
      <w:r w:rsidR="00AE0261" w:rsidRPr="00CA3AC6">
        <w:rPr>
          <w:rFonts w:hAnsi="標楷體" w:hint="eastAsia"/>
          <w:color w:val="000000" w:themeColor="text1"/>
          <w:szCs w:val="32"/>
        </w:rPr>
        <w:t>；</w:t>
      </w:r>
      <w:r w:rsidRPr="00CA3AC6">
        <w:rPr>
          <w:rFonts w:hAnsi="標楷體" w:hint="eastAsia"/>
          <w:color w:val="000000" w:themeColor="text1"/>
          <w:szCs w:val="32"/>
        </w:rPr>
        <w:t>第143條規定，中華民國領土內之土地屬於國民全體</w:t>
      </w:r>
      <w:r w:rsidR="00AE0261" w:rsidRPr="00CA3AC6">
        <w:rPr>
          <w:rFonts w:hAnsi="標楷體" w:hint="eastAsia"/>
          <w:color w:val="000000" w:themeColor="text1"/>
          <w:szCs w:val="32"/>
        </w:rPr>
        <w:t>；</w:t>
      </w:r>
      <w:r w:rsidRPr="00CA3AC6">
        <w:rPr>
          <w:rFonts w:hAnsi="標楷體" w:hint="eastAsia"/>
          <w:color w:val="000000" w:themeColor="text1"/>
          <w:szCs w:val="32"/>
        </w:rPr>
        <w:t>第144</w:t>
      </w:r>
      <w:r w:rsidR="00AE0261" w:rsidRPr="00CA3AC6">
        <w:rPr>
          <w:rFonts w:hAnsi="標楷體" w:hint="eastAsia"/>
          <w:color w:val="000000" w:themeColor="text1"/>
          <w:szCs w:val="32"/>
        </w:rPr>
        <w:t>條</w:t>
      </w:r>
      <w:r w:rsidRPr="00CA3AC6">
        <w:rPr>
          <w:rFonts w:hAnsi="標楷體" w:hint="eastAsia"/>
          <w:color w:val="000000" w:themeColor="text1"/>
          <w:szCs w:val="32"/>
        </w:rPr>
        <w:t>規定，公用事業及其他有獨</w:t>
      </w:r>
      <w:proofErr w:type="gramStart"/>
      <w:r w:rsidRPr="00CA3AC6">
        <w:rPr>
          <w:rFonts w:hAnsi="標楷體" w:hint="eastAsia"/>
          <w:color w:val="000000" w:themeColor="text1"/>
          <w:szCs w:val="32"/>
        </w:rPr>
        <w:t>佔</w:t>
      </w:r>
      <w:proofErr w:type="gramEnd"/>
      <w:r w:rsidRPr="00CA3AC6">
        <w:rPr>
          <w:rFonts w:hAnsi="標楷體" w:hint="eastAsia"/>
          <w:color w:val="000000" w:themeColor="text1"/>
          <w:szCs w:val="32"/>
        </w:rPr>
        <w:t>性之企業，以公營為原則，其經法律許可者，得由國民經營之</w:t>
      </w:r>
      <w:r w:rsidR="00AE0261" w:rsidRPr="00CA3AC6">
        <w:rPr>
          <w:rFonts w:hAnsi="標楷體" w:hint="eastAsia"/>
          <w:color w:val="000000" w:themeColor="text1"/>
          <w:szCs w:val="32"/>
        </w:rPr>
        <w:t>；</w:t>
      </w:r>
      <w:r w:rsidRPr="00CA3AC6">
        <w:rPr>
          <w:rFonts w:hAnsi="標楷體" w:hint="eastAsia"/>
          <w:color w:val="000000" w:themeColor="text1"/>
          <w:szCs w:val="32"/>
        </w:rPr>
        <w:t>第145條規定，國家對於私人財富及私營事業，認為有妨害國計民生之平衡發展者，應以法律限制之。合作事業應受國家之獎勵與扶助</w:t>
      </w:r>
      <w:r w:rsidR="00AE0261" w:rsidRPr="00CA3AC6">
        <w:rPr>
          <w:rFonts w:hAnsi="標楷體" w:hint="eastAsia"/>
          <w:color w:val="000000" w:themeColor="text1"/>
          <w:szCs w:val="32"/>
        </w:rPr>
        <w:t>；</w:t>
      </w:r>
      <w:r w:rsidRPr="00CA3AC6">
        <w:rPr>
          <w:rFonts w:hAnsi="標楷體" w:hint="eastAsia"/>
          <w:color w:val="000000" w:themeColor="text1"/>
          <w:szCs w:val="32"/>
        </w:rPr>
        <w:t>第149條規定，金融機構，應依法受國家之管理</w:t>
      </w:r>
      <w:r w:rsidR="00AE0261" w:rsidRPr="00CA3AC6">
        <w:rPr>
          <w:rFonts w:hAnsi="標楷體" w:hint="eastAsia"/>
          <w:color w:val="000000" w:themeColor="text1"/>
          <w:szCs w:val="32"/>
        </w:rPr>
        <w:t>；</w:t>
      </w:r>
      <w:r w:rsidRPr="00CA3AC6">
        <w:rPr>
          <w:rFonts w:hAnsi="標楷體" w:hint="eastAsia"/>
          <w:color w:val="000000" w:themeColor="text1"/>
          <w:szCs w:val="32"/>
        </w:rPr>
        <w:t>第150條規定，</w:t>
      </w:r>
      <w:proofErr w:type="gramStart"/>
      <w:r w:rsidRPr="00CA3AC6">
        <w:rPr>
          <w:rFonts w:hAnsi="標楷體" w:hint="eastAsia"/>
          <w:color w:val="000000" w:themeColor="text1"/>
          <w:szCs w:val="32"/>
        </w:rPr>
        <w:t>國家應普設</w:t>
      </w:r>
      <w:proofErr w:type="gramEnd"/>
      <w:r w:rsidRPr="00CA3AC6">
        <w:rPr>
          <w:rFonts w:hAnsi="標楷體" w:hint="eastAsia"/>
          <w:color w:val="000000" w:themeColor="text1"/>
          <w:szCs w:val="32"/>
        </w:rPr>
        <w:t>平民金融機構，以救濟失業。上開條文依據孫中山遺教、三民主義並延續五五憲草</w:t>
      </w:r>
      <w:r w:rsidRPr="00CA3AC6">
        <w:rPr>
          <w:rStyle w:val="afc"/>
          <w:rFonts w:hAnsi="標楷體"/>
          <w:color w:val="000000" w:themeColor="text1"/>
          <w:szCs w:val="32"/>
        </w:rPr>
        <w:footnoteReference w:id="14"/>
      </w:r>
      <w:r w:rsidRPr="00CA3AC6">
        <w:rPr>
          <w:rFonts w:hAnsi="標楷體" w:hint="eastAsia"/>
          <w:color w:val="000000" w:themeColor="text1"/>
          <w:szCs w:val="32"/>
        </w:rPr>
        <w:t>第</w:t>
      </w:r>
      <w:r w:rsidR="00AE0261" w:rsidRPr="00CA3AC6">
        <w:rPr>
          <w:rFonts w:hAnsi="標楷體" w:hint="eastAsia"/>
          <w:color w:val="000000" w:themeColor="text1"/>
          <w:szCs w:val="32"/>
        </w:rPr>
        <w:t>6</w:t>
      </w:r>
      <w:r w:rsidRPr="00CA3AC6">
        <w:rPr>
          <w:rFonts w:hAnsi="標楷體" w:hint="eastAsia"/>
          <w:color w:val="000000" w:themeColor="text1"/>
          <w:szCs w:val="32"/>
        </w:rPr>
        <w:t>章國民經濟</w:t>
      </w:r>
      <w:r w:rsidRPr="00CA3AC6">
        <w:rPr>
          <w:rStyle w:val="afc"/>
          <w:rFonts w:hAnsi="標楷體"/>
          <w:color w:val="000000" w:themeColor="text1"/>
          <w:szCs w:val="32"/>
        </w:rPr>
        <w:footnoteReference w:id="15"/>
      </w:r>
      <w:r w:rsidRPr="00CA3AC6">
        <w:rPr>
          <w:rFonts w:hAnsi="標楷體" w:hint="eastAsia"/>
          <w:color w:val="000000" w:themeColor="text1"/>
          <w:szCs w:val="32"/>
        </w:rPr>
        <w:t>而來</w:t>
      </w:r>
      <w:r w:rsidRPr="00CA3AC6">
        <w:rPr>
          <w:rStyle w:val="afc"/>
          <w:rFonts w:hAnsi="標楷體"/>
          <w:color w:val="000000" w:themeColor="text1"/>
          <w:szCs w:val="32"/>
        </w:rPr>
        <w:footnoteReference w:id="16"/>
      </w:r>
      <w:r w:rsidRPr="00CA3AC6">
        <w:rPr>
          <w:rFonts w:hAnsi="標楷體" w:hint="eastAsia"/>
          <w:color w:val="000000" w:themeColor="text1"/>
          <w:szCs w:val="32"/>
        </w:rPr>
        <w:t>，其根本理念在於排斥資本主義，主張以國家力量發展經濟，公用事業及其他有獨</w:t>
      </w:r>
      <w:proofErr w:type="gramStart"/>
      <w:r w:rsidRPr="00CA3AC6">
        <w:rPr>
          <w:rFonts w:hAnsi="標楷體" w:hint="eastAsia"/>
          <w:color w:val="000000" w:themeColor="text1"/>
          <w:szCs w:val="32"/>
        </w:rPr>
        <w:t>佔</w:t>
      </w:r>
      <w:proofErr w:type="gramEnd"/>
      <w:r w:rsidRPr="00CA3AC6">
        <w:rPr>
          <w:rFonts w:hAnsi="標楷體" w:hint="eastAsia"/>
          <w:color w:val="000000" w:themeColor="text1"/>
          <w:szCs w:val="32"/>
        </w:rPr>
        <w:t>性之企業，應由政府經營，私人經營上開性質之企業應由政府許可；對於資本家濫用資本優勢有妨害國計民生之平衡發展者，政府有以法律限制「私人財富及私營事業發展」之憲</w:t>
      </w:r>
      <w:r w:rsidRPr="00CA3AC6">
        <w:rPr>
          <w:rFonts w:hAnsi="標楷體" w:hint="eastAsia"/>
          <w:color w:val="000000" w:themeColor="text1"/>
          <w:szCs w:val="32"/>
        </w:rPr>
        <w:lastRenderedPageBreak/>
        <w:t>法義務。</w:t>
      </w:r>
    </w:p>
    <w:p w:rsidR="00B852AE" w:rsidRPr="00CA3AC6" w:rsidRDefault="00BB5B0D" w:rsidP="00B852AE">
      <w:pPr>
        <w:pStyle w:val="4"/>
        <w:rPr>
          <w:rFonts w:hAnsi="標楷體"/>
          <w:color w:val="000000" w:themeColor="text1"/>
          <w:szCs w:val="32"/>
        </w:rPr>
      </w:pPr>
      <w:r w:rsidRPr="00CA3AC6">
        <w:rPr>
          <w:rFonts w:hAnsi="標楷體" w:hint="eastAsia"/>
          <w:color w:val="000000" w:themeColor="text1"/>
          <w:szCs w:val="32"/>
        </w:rPr>
        <w:t>國民經濟應以民生主義為主之憲法真意。</w:t>
      </w:r>
    </w:p>
    <w:p w:rsidR="00BB5B0D" w:rsidRPr="00CA3AC6" w:rsidRDefault="00BB5B0D" w:rsidP="00CB415D">
      <w:pPr>
        <w:pStyle w:val="4"/>
        <w:numPr>
          <w:ilvl w:val="0"/>
          <w:numId w:val="0"/>
        </w:numPr>
        <w:ind w:left="1701" w:firstLineChars="200" w:firstLine="680"/>
        <w:rPr>
          <w:rFonts w:hAnsi="標楷體"/>
          <w:color w:val="000000" w:themeColor="text1"/>
          <w:szCs w:val="32"/>
        </w:rPr>
      </w:pPr>
      <w:r w:rsidRPr="00CA3AC6">
        <w:rPr>
          <w:rFonts w:hAnsi="標楷體" w:hint="eastAsia"/>
          <w:color w:val="000000" w:themeColor="text1"/>
          <w:szCs w:val="32"/>
        </w:rPr>
        <w:t>民生主義中主張之節制私人資本，必須要以發達國家資本來解決，一方面在防止資本家壟斷，另一方面在使社會財富分配平均，而發達國家資本的理由，在於國家實行工業化以求富裕，實行社會化以求平等。故其提出限制私人企業經營的範圍，凡</w:t>
      </w:r>
      <w:r w:rsidR="00AE0261" w:rsidRPr="00CA3AC6">
        <w:rPr>
          <w:rFonts w:hAnsi="標楷體" w:hint="eastAsia"/>
          <w:color w:val="000000" w:themeColor="text1"/>
          <w:szCs w:val="32"/>
        </w:rPr>
        <w:t>獨</w:t>
      </w:r>
      <w:proofErr w:type="gramStart"/>
      <w:r w:rsidR="00AE0261" w:rsidRPr="00CA3AC6">
        <w:rPr>
          <w:rFonts w:hAnsi="標楷體" w:hint="eastAsia"/>
          <w:color w:val="000000" w:themeColor="text1"/>
          <w:szCs w:val="32"/>
        </w:rPr>
        <w:t>佔</w:t>
      </w:r>
      <w:proofErr w:type="gramEnd"/>
      <w:r w:rsidRPr="00CA3AC6">
        <w:rPr>
          <w:rFonts w:hAnsi="標楷體" w:hint="eastAsia"/>
          <w:color w:val="000000" w:themeColor="text1"/>
          <w:szCs w:val="32"/>
        </w:rPr>
        <w:t>性或規模過大之企業，由國家經營管理，而使私有資本不能操縱民生</w:t>
      </w:r>
      <w:r w:rsidR="00AE0261" w:rsidRPr="00CA3AC6">
        <w:rPr>
          <w:rFonts w:hAnsi="標楷體" w:hint="eastAsia"/>
          <w:color w:val="000000" w:themeColor="text1"/>
          <w:szCs w:val="32"/>
        </w:rPr>
        <w:t>，</w:t>
      </w:r>
      <w:r w:rsidRPr="00CA3AC6">
        <w:rPr>
          <w:rFonts w:hAnsi="標楷體" w:hint="eastAsia"/>
          <w:color w:val="000000" w:themeColor="text1"/>
          <w:szCs w:val="32"/>
        </w:rPr>
        <w:t>用以改變國民經濟結構，並改善人民生活。就工業化部分應依據實業</w:t>
      </w:r>
      <w:r w:rsidR="00A417C9" w:rsidRPr="00CA3AC6">
        <w:rPr>
          <w:rFonts w:hAnsi="標楷體" w:hint="eastAsia"/>
          <w:color w:val="000000" w:themeColor="text1"/>
          <w:szCs w:val="32"/>
        </w:rPr>
        <w:t>計畫</w:t>
      </w:r>
      <w:r w:rsidRPr="00CA3AC6">
        <w:rPr>
          <w:rFonts w:hAnsi="標楷體" w:hint="eastAsia"/>
          <w:color w:val="000000" w:themeColor="text1"/>
          <w:szCs w:val="32"/>
        </w:rPr>
        <w:t>為藍圖，先由交通而礦業而工業。若具有</w:t>
      </w:r>
      <w:proofErr w:type="gramStart"/>
      <w:r w:rsidRPr="00CA3AC6">
        <w:rPr>
          <w:rFonts w:hAnsi="標楷體" w:hint="eastAsia"/>
          <w:color w:val="000000" w:themeColor="text1"/>
          <w:szCs w:val="32"/>
        </w:rPr>
        <w:t>有</w:t>
      </w:r>
      <w:proofErr w:type="gramEnd"/>
      <w:r w:rsidR="00A417C9" w:rsidRPr="00CA3AC6">
        <w:rPr>
          <w:rFonts w:hAnsi="標楷體" w:hint="eastAsia"/>
          <w:color w:val="000000" w:themeColor="text1"/>
          <w:szCs w:val="32"/>
        </w:rPr>
        <w:t>獨</w:t>
      </w:r>
      <w:proofErr w:type="gramStart"/>
      <w:r w:rsidR="00A417C9" w:rsidRPr="00CA3AC6">
        <w:rPr>
          <w:rFonts w:hAnsi="標楷體" w:hint="eastAsia"/>
          <w:color w:val="000000" w:themeColor="text1"/>
          <w:szCs w:val="32"/>
        </w:rPr>
        <w:t>佔</w:t>
      </w:r>
      <w:proofErr w:type="gramEnd"/>
      <w:r w:rsidRPr="00CA3AC6">
        <w:rPr>
          <w:rFonts w:hAnsi="標楷體" w:hint="eastAsia"/>
          <w:color w:val="000000" w:themeColor="text1"/>
          <w:szCs w:val="32"/>
        </w:rPr>
        <w:t>性，且為私人之力所不能辦者，則由國家經營管理之。在經濟發展上，民生主義主張公私有財產並存，國民營企業兼顧，改良資本制度，認為大公司、大資本，為社會所公有之事業；而國有即民有，以國家所生之力，舉便民之事，大家共享其利，故主張民生工業包括食、衣、住、行、民生工業、</w:t>
      </w:r>
      <w:proofErr w:type="gramStart"/>
      <w:r w:rsidRPr="00CA3AC6">
        <w:rPr>
          <w:rFonts w:hAnsi="標楷體" w:hint="eastAsia"/>
          <w:color w:val="000000" w:themeColor="text1"/>
          <w:szCs w:val="32"/>
        </w:rPr>
        <w:t>煤鐵</w:t>
      </w:r>
      <w:proofErr w:type="gramEnd"/>
      <w:r w:rsidRPr="00CA3AC6">
        <w:rPr>
          <w:rFonts w:hAnsi="標楷體" w:hint="eastAsia"/>
          <w:color w:val="000000" w:themeColor="text1"/>
          <w:szCs w:val="32"/>
        </w:rPr>
        <w:t>、水力、礦、天然</w:t>
      </w:r>
      <w:r w:rsidR="00A417C9" w:rsidRPr="00CA3AC6">
        <w:rPr>
          <w:rFonts w:hAnsi="標楷體" w:hint="eastAsia"/>
          <w:color w:val="000000" w:themeColor="text1"/>
          <w:szCs w:val="32"/>
        </w:rPr>
        <w:t>資源</w:t>
      </w:r>
      <w:r w:rsidRPr="00CA3AC6">
        <w:rPr>
          <w:rFonts w:hAnsi="標楷體" w:hint="eastAsia"/>
          <w:color w:val="000000" w:themeColor="text1"/>
          <w:szCs w:val="32"/>
        </w:rPr>
        <w:t>、城市土地、交通等；</w:t>
      </w:r>
      <w:r w:rsidR="00A417C9" w:rsidRPr="00CA3AC6">
        <w:rPr>
          <w:rFonts w:hAnsi="標楷體" w:hint="eastAsia"/>
          <w:color w:val="000000" w:themeColor="text1"/>
          <w:szCs w:val="32"/>
        </w:rPr>
        <w:t>獨</w:t>
      </w:r>
      <w:proofErr w:type="gramStart"/>
      <w:r w:rsidR="00A417C9" w:rsidRPr="00CA3AC6">
        <w:rPr>
          <w:rFonts w:hAnsi="標楷體" w:hint="eastAsia"/>
          <w:color w:val="000000" w:themeColor="text1"/>
          <w:szCs w:val="32"/>
        </w:rPr>
        <w:t>佔</w:t>
      </w:r>
      <w:proofErr w:type="gramEnd"/>
      <w:r w:rsidRPr="00CA3AC6">
        <w:rPr>
          <w:rFonts w:hAnsi="標楷體" w:hint="eastAsia"/>
          <w:color w:val="000000" w:themeColor="text1"/>
          <w:szCs w:val="32"/>
        </w:rPr>
        <w:t>壟斷性事業，如銀行、鐵道、航路等，</w:t>
      </w:r>
      <w:proofErr w:type="gramStart"/>
      <w:r w:rsidRPr="00CA3AC6">
        <w:rPr>
          <w:rFonts w:hAnsi="標楷體" w:hint="eastAsia"/>
          <w:color w:val="000000" w:themeColor="text1"/>
          <w:szCs w:val="32"/>
        </w:rPr>
        <w:t>均由國營</w:t>
      </w:r>
      <w:proofErr w:type="gramEnd"/>
      <w:r w:rsidRPr="00CA3AC6">
        <w:rPr>
          <w:rFonts w:hAnsi="標楷體" w:hint="eastAsia"/>
          <w:color w:val="000000" w:themeColor="text1"/>
          <w:szCs w:val="32"/>
        </w:rPr>
        <w:t>企業來發展，以使一國經濟發達均衡而迅速，以避免國家成為資本家的附庸。</w:t>
      </w:r>
    </w:p>
    <w:p w:rsidR="00B852AE" w:rsidRPr="00CA3AC6" w:rsidRDefault="00214AF5" w:rsidP="00B852AE">
      <w:pPr>
        <w:pStyle w:val="3"/>
        <w:rPr>
          <w:rFonts w:hAnsi="標楷體"/>
          <w:color w:val="000000" w:themeColor="text1"/>
          <w:szCs w:val="32"/>
        </w:rPr>
      </w:pPr>
      <w:r w:rsidRPr="00CA3AC6">
        <w:rPr>
          <w:rFonts w:hAnsi="標楷體" w:hint="eastAsia"/>
          <w:color w:val="000000" w:themeColor="text1"/>
          <w:szCs w:val="32"/>
        </w:rPr>
        <w:t>民營公用事業監督條例係基於孫中山遺教先於憲法而存在，並符合民生主義「主張發</w:t>
      </w:r>
      <w:r w:rsidR="005D3106">
        <w:rPr>
          <w:rFonts w:hAnsi="標楷體" w:hint="eastAsia"/>
          <w:color w:val="000000" w:themeColor="text1"/>
          <w:szCs w:val="32"/>
        </w:rPr>
        <w:t>展國營事業並節制資本」之基本原則，具有基本法之型態，現行法</w:t>
      </w:r>
      <w:r w:rsidR="005D3106" w:rsidRPr="00853210">
        <w:rPr>
          <w:rFonts w:hAnsi="標楷體" w:hint="eastAsia"/>
          <w:szCs w:val="32"/>
        </w:rPr>
        <w:t>制</w:t>
      </w:r>
      <w:r w:rsidRPr="00853210">
        <w:rPr>
          <w:rFonts w:hAnsi="標楷體" w:hint="eastAsia"/>
          <w:szCs w:val="32"/>
        </w:rPr>
        <w:t>以相關同位階法律排斥</w:t>
      </w:r>
      <w:r w:rsidR="005D3106" w:rsidRPr="00853210">
        <w:rPr>
          <w:rFonts w:hAnsi="標楷體" w:hint="eastAsia"/>
          <w:szCs w:val="32"/>
        </w:rPr>
        <w:t>該條例之</w:t>
      </w:r>
      <w:r w:rsidRPr="00853210">
        <w:rPr>
          <w:rFonts w:hAnsi="標楷體" w:hint="eastAsia"/>
          <w:szCs w:val="32"/>
        </w:rPr>
        <w:t>適用，其所制定</w:t>
      </w:r>
      <w:r w:rsidRPr="00CA3AC6">
        <w:rPr>
          <w:rFonts w:hAnsi="標楷體" w:hint="eastAsia"/>
          <w:color w:val="000000" w:themeColor="text1"/>
          <w:szCs w:val="32"/>
        </w:rPr>
        <w:t>相關法律是否具有合憲性，尚有研究空間。</w:t>
      </w:r>
    </w:p>
    <w:p w:rsidR="00214AF5" w:rsidRPr="00CA3AC6" w:rsidRDefault="00214AF5" w:rsidP="00B05516">
      <w:pPr>
        <w:pStyle w:val="4"/>
        <w:rPr>
          <w:rFonts w:hAnsi="標楷體"/>
          <w:color w:val="000000" w:themeColor="text1"/>
          <w:szCs w:val="32"/>
        </w:rPr>
      </w:pPr>
      <w:r w:rsidRPr="00CA3AC6">
        <w:rPr>
          <w:rFonts w:hAnsi="標楷體" w:hint="eastAsia"/>
          <w:color w:val="000000" w:themeColor="text1"/>
          <w:szCs w:val="32"/>
        </w:rPr>
        <w:t>查民營公用事業監督條例先於憲法於18年制定</w:t>
      </w:r>
      <w:r w:rsidRPr="00CA3AC6">
        <w:rPr>
          <w:rStyle w:val="afc"/>
          <w:rFonts w:hAnsi="標楷體"/>
          <w:color w:val="000000" w:themeColor="text1"/>
          <w:szCs w:val="32"/>
        </w:rPr>
        <w:footnoteReference w:id="17"/>
      </w:r>
      <w:r w:rsidRPr="00CA3AC6">
        <w:rPr>
          <w:rFonts w:hAnsi="標楷體" w:hint="eastAsia"/>
          <w:color w:val="000000" w:themeColor="text1"/>
          <w:szCs w:val="32"/>
        </w:rPr>
        <w:lastRenderedPageBreak/>
        <w:tab/>
        <w:t>沿襲迄今，其間有修正</w:t>
      </w:r>
      <w:r w:rsidRPr="00CA3AC6">
        <w:rPr>
          <w:rStyle w:val="afc"/>
          <w:rFonts w:hAnsi="標楷體"/>
          <w:color w:val="000000" w:themeColor="text1"/>
          <w:szCs w:val="32"/>
        </w:rPr>
        <w:footnoteReference w:id="18"/>
      </w:r>
      <w:r w:rsidRPr="00CA3AC6">
        <w:rPr>
          <w:rFonts w:hAnsi="標楷體" w:hint="eastAsia"/>
          <w:color w:val="000000" w:themeColor="text1"/>
          <w:szCs w:val="32"/>
        </w:rPr>
        <w:t>但整體制度不變，依據民營公用事業監督條例第2條</w:t>
      </w:r>
      <w:r w:rsidR="00243EAA" w:rsidRPr="00CA3AC6">
        <w:rPr>
          <w:rFonts w:hAnsi="標楷體" w:hint="eastAsia"/>
          <w:color w:val="000000" w:themeColor="text1"/>
          <w:szCs w:val="32"/>
        </w:rPr>
        <w:t>規定</w:t>
      </w:r>
      <w:r w:rsidRPr="00CA3AC6">
        <w:rPr>
          <w:rFonts w:hAnsi="標楷體" w:hint="eastAsia"/>
          <w:color w:val="000000" w:themeColor="text1"/>
          <w:szCs w:val="32"/>
        </w:rPr>
        <w:t>：「左列</w:t>
      </w:r>
      <w:r w:rsidR="00F46F50" w:rsidRPr="00CA3AC6">
        <w:rPr>
          <w:rFonts w:hAnsi="標楷體" w:hint="eastAsia"/>
          <w:color w:val="000000" w:themeColor="text1"/>
          <w:szCs w:val="32"/>
        </w:rPr>
        <w:t>各款之公用事業，除由中央或地方公營</w:t>
      </w:r>
      <w:proofErr w:type="gramStart"/>
      <w:r w:rsidR="00F46F50" w:rsidRPr="00CA3AC6">
        <w:rPr>
          <w:rFonts w:hAnsi="標楷體" w:hint="eastAsia"/>
          <w:color w:val="000000" w:themeColor="text1"/>
          <w:szCs w:val="32"/>
        </w:rPr>
        <w:t>者外得許</w:t>
      </w:r>
      <w:proofErr w:type="gramEnd"/>
      <w:r w:rsidR="00F46F50" w:rsidRPr="00CA3AC6">
        <w:rPr>
          <w:rFonts w:hAnsi="標楷體" w:hint="eastAsia"/>
          <w:color w:val="000000" w:themeColor="text1"/>
          <w:szCs w:val="32"/>
        </w:rPr>
        <w:t>民營：一、電燈、電力</w:t>
      </w:r>
      <w:r w:rsidRPr="00CA3AC6">
        <w:rPr>
          <w:rFonts w:hAnsi="標楷體" w:hint="eastAsia"/>
          <w:color w:val="000000" w:themeColor="text1"/>
          <w:szCs w:val="32"/>
        </w:rPr>
        <w:t>及其他電氣事業。二、電車。三、市內電話。四、自來水。五、煤氣。六、公共汽車及長途汽車。七、船舶運輸。八、航空運輸。九、其他依法得由民營之公用事業</w:t>
      </w:r>
      <w:r w:rsidR="00BF77C6" w:rsidRPr="00CA3AC6">
        <w:rPr>
          <w:rFonts w:hAnsi="標楷體" w:hint="eastAsia"/>
          <w:color w:val="000000" w:themeColor="text1"/>
          <w:szCs w:val="32"/>
        </w:rPr>
        <w:t>。</w:t>
      </w:r>
      <w:r w:rsidRPr="00CA3AC6">
        <w:rPr>
          <w:rFonts w:hAnsi="標楷體" w:hint="eastAsia"/>
          <w:color w:val="000000" w:themeColor="text1"/>
          <w:szCs w:val="32"/>
        </w:rPr>
        <w:t>」第7條規定：「民營公用事業，訂立或修正有關公眾用戶之收費，及各項規章，應呈由地方監督機關，簽具意見，轉呈中央主管機關核准。」</w:t>
      </w:r>
      <w:r w:rsidR="00B05516" w:rsidRPr="00CA3AC6">
        <w:rPr>
          <w:rFonts w:hAnsi="標楷體" w:hint="eastAsia"/>
          <w:color w:val="000000" w:themeColor="text1"/>
          <w:szCs w:val="32"/>
        </w:rPr>
        <w:t>本院前調查「民營公用事業監督條例於18年12月21</w:t>
      </w:r>
      <w:r w:rsidR="00F46F50" w:rsidRPr="00CA3AC6">
        <w:rPr>
          <w:rFonts w:hAnsi="標楷體" w:hint="eastAsia"/>
          <w:color w:val="000000" w:themeColor="text1"/>
          <w:szCs w:val="32"/>
        </w:rPr>
        <w:t>日制定公布，最近1</w:t>
      </w:r>
      <w:r w:rsidR="00B05516" w:rsidRPr="00CA3AC6">
        <w:rPr>
          <w:rFonts w:hAnsi="標楷體" w:hint="eastAsia"/>
          <w:color w:val="000000" w:themeColor="text1"/>
          <w:szCs w:val="32"/>
        </w:rPr>
        <w:t>次修正日期為89年4月26日，各公用事業主管機關對民營公用事業有否落實監督職責？民營公用事業有無依該條例提列用戶公積金？</w:t>
      </w:r>
      <w:proofErr w:type="gramStart"/>
      <w:r w:rsidR="00B05516" w:rsidRPr="00CA3AC6">
        <w:rPr>
          <w:rFonts w:hAnsi="標楷體" w:hint="eastAsia"/>
          <w:color w:val="000000" w:themeColor="text1"/>
          <w:szCs w:val="32"/>
        </w:rPr>
        <w:t>均有深入</w:t>
      </w:r>
      <w:proofErr w:type="gramEnd"/>
      <w:r w:rsidR="00B05516" w:rsidRPr="00CA3AC6">
        <w:rPr>
          <w:rFonts w:hAnsi="標楷體" w:hint="eastAsia"/>
          <w:color w:val="000000" w:themeColor="text1"/>
          <w:szCs w:val="32"/>
        </w:rPr>
        <w:t>查明之必要」</w:t>
      </w:r>
      <w:proofErr w:type="gramStart"/>
      <w:r w:rsidR="00B05516" w:rsidRPr="00CA3AC6">
        <w:rPr>
          <w:rFonts w:hAnsi="標楷體" w:hint="eastAsia"/>
          <w:color w:val="000000" w:themeColor="text1"/>
          <w:szCs w:val="32"/>
        </w:rPr>
        <w:t>等情案</w:t>
      </w:r>
      <w:proofErr w:type="gramEnd"/>
      <w:r w:rsidR="00B05516" w:rsidRPr="00CA3AC6">
        <w:rPr>
          <w:rFonts w:hAnsi="標楷體" w:hint="eastAsia"/>
          <w:color w:val="000000" w:themeColor="text1"/>
          <w:szCs w:val="32"/>
        </w:rPr>
        <w:t>，就該</w:t>
      </w:r>
      <w:r w:rsidRPr="00CA3AC6">
        <w:rPr>
          <w:rFonts w:hAnsi="標楷體" w:hint="eastAsia"/>
          <w:color w:val="000000" w:themeColor="text1"/>
          <w:szCs w:val="32"/>
        </w:rPr>
        <w:t>條例所規範之民營公用事業涉及數個中央主管機關，包含經濟部（第1</w:t>
      </w:r>
      <w:r w:rsidR="00F46F50" w:rsidRPr="00CA3AC6">
        <w:rPr>
          <w:rFonts w:hAnsi="標楷體" w:hint="eastAsia"/>
          <w:color w:val="000000" w:themeColor="text1"/>
          <w:szCs w:val="32"/>
        </w:rPr>
        <w:t>款</w:t>
      </w:r>
      <w:r w:rsidRPr="00CA3AC6">
        <w:rPr>
          <w:rFonts w:hAnsi="標楷體" w:hint="eastAsia"/>
          <w:color w:val="000000" w:themeColor="text1"/>
          <w:szCs w:val="32"/>
        </w:rPr>
        <w:t>電燈、電力及其他電氣事業、第4</w:t>
      </w:r>
      <w:r w:rsidR="00F46F50" w:rsidRPr="00CA3AC6">
        <w:rPr>
          <w:rFonts w:hAnsi="標楷體" w:hint="eastAsia"/>
          <w:color w:val="000000" w:themeColor="text1"/>
          <w:szCs w:val="32"/>
        </w:rPr>
        <w:t>款</w:t>
      </w:r>
      <w:r w:rsidRPr="00CA3AC6">
        <w:rPr>
          <w:rFonts w:hAnsi="標楷體" w:hint="eastAsia"/>
          <w:color w:val="000000" w:themeColor="text1"/>
          <w:szCs w:val="32"/>
        </w:rPr>
        <w:t>自來水及第5</w:t>
      </w:r>
      <w:r w:rsidR="00F46F50" w:rsidRPr="00CA3AC6">
        <w:rPr>
          <w:rFonts w:hAnsi="標楷體" w:hint="eastAsia"/>
          <w:color w:val="000000" w:themeColor="text1"/>
          <w:szCs w:val="32"/>
        </w:rPr>
        <w:t>款</w:t>
      </w:r>
      <w:r w:rsidRPr="00CA3AC6">
        <w:rPr>
          <w:rFonts w:hAnsi="標楷體" w:hint="eastAsia"/>
          <w:color w:val="000000" w:themeColor="text1"/>
          <w:szCs w:val="32"/>
        </w:rPr>
        <w:t>煤氣）、交通部（第2款電車、第6款公共汽車及長途汽車、第7款船舶運輸及第8款航空運輸）與</w:t>
      </w:r>
      <w:r w:rsidR="00F46F50" w:rsidRPr="00CA3AC6">
        <w:rPr>
          <w:rFonts w:hAnsi="標楷體" w:hint="eastAsia"/>
          <w:color w:val="000000" w:themeColor="text1"/>
          <w:szCs w:val="32"/>
        </w:rPr>
        <w:t>國家通訊傳播委員會</w:t>
      </w:r>
      <w:r w:rsidRPr="00CA3AC6">
        <w:rPr>
          <w:rFonts w:hAnsi="標楷體" w:hint="eastAsia"/>
          <w:color w:val="000000" w:themeColor="text1"/>
          <w:szCs w:val="32"/>
        </w:rPr>
        <w:t>（第3款市內電話）等，曾詢問各該主管機關，</w:t>
      </w:r>
      <w:r w:rsidR="00B05516" w:rsidRPr="00CA3AC6">
        <w:rPr>
          <w:rFonts w:hAnsi="標楷體" w:hint="eastAsia"/>
          <w:color w:val="000000" w:themeColor="text1"/>
          <w:szCs w:val="32"/>
        </w:rPr>
        <w:t>其均</w:t>
      </w:r>
      <w:r w:rsidRPr="00CA3AC6">
        <w:rPr>
          <w:rFonts w:hAnsi="標楷體" w:hint="eastAsia"/>
          <w:color w:val="000000" w:themeColor="text1"/>
          <w:szCs w:val="32"/>
        </w:rPr>
        <w:t>表示，因</w:t>
      </w:r>
      <w:r w:rsidR="00F46F50" w:rsidRPr="00CA3AC6">
        <w:rPr>
          <w:rFonts w:hAnsi="標楷體" w:hint="eastAsia"/>
          <w:color w:val="000000" w:themeColor="text1"/>
          <w:szCs w:val="32"/>
        </w:rPr>
        <w:t>該條例制定有其時空背景，現今社會經濟環境已大不相</w:t>
      </w:r>
      <w:r w:rsidR="00F46F50" w:rsidRPr="00CA3AC6">
        <w:rPr>
          <w:rFonts w:hAnsi="標楷體" w:hint="eastAsia"/>
          <w:color w:val="000000" w:themeColor="text1"/>
          <w:szCs w:val="32"/>
        </w:rPr>
        <w:lastRenderedPageBreak/>
        <w:t>同，該</w:t>
      </w:r>
      <w:r w:rsidRPr="00CA3AC6">
        <w:rPr>
          <w:rFonts w:hAnsi="標楷體" w:hint="eastAsia"/>
          <w:color w:val="000000" w:themeColor="text1"/>
          <w:szCs w:val="32"/>
        </w:rPr>
        <w:t>條例規範事項恐與現實有所</w:t>
      </w:r>
      <w:proofErr w:type="gramStart"/>
      <w:r w:rsidRPr="00CA3AC6">
        <w:rPr>
          <w:rFonts w:hAnsi="標楷體" w:hint="eastAsia"/>
          <w:color w:val="000000" w:themeColor="text1"/>
          <w:szCs w:val="32"/>
        </w:rPr>
        <w:t>扞</w:t>
      </w:r>
      <w:proofErr w:type="gramEnd"/>
      <w:r w:rsidRPr="00CA3AC6">
        <w:rPr>
          <w:rFonts w:hAnsi="標楷體" w:hint="eastAsia"/>
          <w:color w:val="000000" w:themeColor="text1"/>
          <w:szCs w:val="32"/>
        </w:rPr>
        <w:t>格，大多民營交通事業均以</w:t>
      </w:r>
      <w:proofErr w:type="gramStart"/>
      <w:r w:rsidRPr="00CA3AC6">
        <w:rPr>
          <w:rFonts w:hAnsi="標楷體" w:hint="eastAsia"/>
          <w:color w:val="000000" w:themeColor="text1"/>
          <w:szCs w:val="32"/>
        </w:rPr>
        <w:t>採</w:t>
      </w:r>
      <w:proofErr w:type="gramEnd"/>
      <w:r w:rsidRPr="00CA3AC6">
        <w:rPr>
          <w:rFonts w:hAnsi="標楷體" w:hint="eastAsia"/>
          <w:color w:val="000000" w:themeColor="text1"/>
          <w:szCs w:val="32"/>
        </w:rPr>
        <w:t>制定專法方式排斥該條例之適用</w:t>
      </w:r>
      <w:r w:rsidRPr="00CA3AC6">
        <w:rPr>
          <w:rStyle w:val="afc"/>
          <w:rFonts w:hAnsi="標楷體"/>
          <w:color w:val="000000" w:themeColor="text1"/>
          <w:szCs w:val="32"/>
        </w:rPr>
        <w:footnoteReference w:id="19"/>
      </w:r>
      <w:r w:rsidRPr="00CA3AC6">
        <w:rPr>
          <w:rFonts w:hAnsi="標楷體" w:hint="eastAsia"/>
          <w:color w:val="000000" w:themeColor="text1"/>
          <w:szCs w:val="32"/>
        </w:rPr>
        <w:t>，固</w:t>
      </w:r>
      <w:r w:rsidR="00B05516" w:rsidRPr="00CA3AC6">
        <w:rPr>
          <w:rFonts w:hAnsi="標楷體" w:hint="eastAsia"/>
          <w:color w:val="000000" w:themeColor="text1"/>
          <w:szCs w:val="32"/>
        </w:rPr>
        <w:t>非無據</w:t>
      </w:r>
      <w:r w:rsidRPr="00CA3AC6">
        <w:rPr>
          <w:rFonts w:hAnsi="標楷體" w:hint="eastAsia"/>
          <w:color w:val="000000" w:themeColor="text1"/>
          <w:szCs w:val="32"/>
        </w:rPr>
        <w:t>。</w:t>
      </w:r>
    </w:p>
    <w:p w:rsidR="00214AF5" w:rsidRPr="00CA3AC6" w:rsidRDefault="00214AF5" w:rsidP="00214AF5">
      <w:pPr>
        <w:pStyle w:val="4"/>
        <w:rPr>
          <w:rFonts w:hAnsi="標楷體"/>
          <w:color w:val="000000" w:themeColor="text1"/>
          <w:szCs w:val="32"/>
        </w:rPr>
      </w:pPr>
      <w:r w:rsidRPr="00CA3AC6">
        <w:rPr>
          <w:rFonts w:hAnsi="標楷體" w:hint="eastAsia"/>
          <w:color w:val="000000" w:themeColor="text1"/>
          <w:szCs w:val="32"/>
        </w:rPr>
        <w:lastRenderedPageBreak/>
        <w:t>惟按，民營公用事業監督條例第2</w:t>
      </w:r>
      <w:r w:rsidR="00B72D82" w:rsidRPr="00CA3AC6">
        <w:rPr>
          <w:rFonts w:hAnsi="標楷體" w:hint="eastAsia"/>
          <w:color w:val="000000" w:themeColor="text1"/>
          <w:szCs w:val="32"/>
        </w:rPr>
        <w:t>條所定各項公用事業所包括：一、電燈、電力</w:t>
      </w:r>
      <w:r w:rsidRPr="00CA3AC6">
        <w:rPr>
          <w:rFonts w:hAnsi="標楷體" w:hint="eastAsia"/>
          <w:color w:val="000000" w:themeColor="text1"/>
          <w:szCs w:val="32"/>
        </w:rPr>
        <w:t>及其他電氣事業。二、電車。三、市內電話。四、自來水。五、煤氣。六、公共汽車及長途汽車。七、船舶運輸。八、航空運輸。九、其他依法得由民營之公用事業等，</w:t>
      </w:r>
      <w:proofErr w:type="gramStart"/>
      <w:r w:rsidRPr="00CA3AC6">
        <w:rPr>
          <w:rFonts w:hAnsi="標楷體" w:hint="eastAsia"/>
          <w:color w:val="000000" w:themeColor="text1"/>
          <w:szCs w:val="32"/>
        </w:rPr>
        <w:t>均為國家</w:t>
      </w:r>
      <w:proofErr w:type="gramEnd"/>
      <w:r w:rsidRPr="00CA3AC6">
        <w:rPr>
          <w:rFonts w:hAnsi="標楷體" w:hint="eastAsia"/>
          <w:color w:val="000000" w:themeColor="text1"/>
          <w:szCs w:val="32"/>
        </w:rPr>
        <w:t>公共基礎設施</w:t>
      </w:r>
      <w:r w:rsidR="005A14D9" w:rsidRPr="00CA3AC6">
        <w:rPr>
          <w:rFonts w:hAnsi="標楷體" w:hint="eastAsia"/>
          <w:color w:val="000000" w:themeColor="text1"/>
          <w:szCs w:val="32"/>
        </w:rPr>
        <w:t>。</w:t>
      </w:r>
      <w:r w:rsidRPr="00CA3AC6">
        <w:rPr>
          <w:rFonts w:hAnsi="標楷體" w:hint="eastAsia"/>
          <w:color w:val="000000" w:themeColor="text1"/>
          <w:szCs w:val="32"/>
        </w:rPr>
        <w:t>該條例係以三民主義與建國方略</w:t>
      </w:r>
      <w:r w:rsidR="00B72D82" w:rsidRPr="00CA3AC6">
        <w:rPr>
          <w:rFonts w:hAnsi="標楷體" w:hint="eastAsia"/>
          <w:color w:val="000000" w:themeColor="text1"/>
          <w:szCs w:val="32"/>
        </w:rPr>
        <w:t>做</w:t>
      </w:r>
      <w:r w:rsidRPr="00CA3AC6">
        <w:rPr>
          <w:rFonts w:hAnsi="標楷體" w:hint="eastAsia"/>
          <w:color w:val="000000" w:themeColor="text1"/>
          <w:szCs w:val="32"/>
        </w:rPr>
        <w:t>為根本大法，於</w:t>
      </w:r>
      <w:r w:rsidR="005A14D9" w:rsidRPr="00CA3AC6">
        <w:rPr>
          <w:rFonts w:hAnsi="標楷體" w:hint="eastAsia"/>
          <w:color w:val="000000" w:themeColor="text1"/>
          <w:szCs w:val="32"/>
        </w:rPr>
        <w:t>18</w:t>
      </w:r>
      <w:r w:rsidRPr="00CA3AC6">
        <w:rPr>
          <w:rFonts w:hAnsi="標楷體" w:hint="eastAsia"/>
          <w:color w:val="000000" w:themeColor="text1"/>
          <w:szCs w:val="32"/>
        </w:rPr>
        <w:t>年12月21日公布施行，並</w:t>
      </w:r>
      <w:r w:rsidR="00B72D82" w:rsidRPr="00CA3AC6">
        <w:rPr>
          <w:rFonts w:hAnsi="標楷體" w:hint="eastAsia"/>
          <w:color w:val="000000" w:themeColor="text1"/>
          <w:szCs w:val="32"/>
        </w:rPr>
        <w:t>做</w:t>
      </w:r>
      <w:r w:rsidRPr="00CA3AC6">
        <w:rPr>
          <w:rFonts w:hAnsi="標楷體" w:hint="eastAsia"/>
          <w:color w:val="000000" w:themeColor="text1"/>
          <w:szCs w:val="32"/>
        </w:rPr>
        <w:t>為憲法第144條與第145條規定之具體實踐而繼承下來，行憲後僅於61</w:t>
      </w:r>
      <w:r w:rsidR="00B72D82" w:rsidRPr="00CA3AC6">
        <w:rPr>
          <w:rFonts w:hAnsi="標楷體" w:hint="eastAsia"/>
          <w:color w:val="000000" w:themeColor="text1"/>
          <w:szCs w:val="32"/>
        </w:rPr>
        <w:t>年</w:t>
      </w:r>
      <w:r w:rsidRPr="00CA3AC6">
        <w:rPr>
          <w:rFonts w:hAnsi="標楷體" w:hint="eastAsia"/>
          <w:color w:val="000000" w:themeColor="text1"/>
          <w:szCs w:val="32"/>
        </w:rPr>
        <w:t>與89</w:t>
      </w:r>
      <w:r w:rsidR="00B72D82" w:rsidRPr="00CA3AC6">
        <w:rPr>
          <w:rFonts w:hAnsi="標楷體" w:hint="eastAsia"/>
          <w:color w:val="000000" w:themeColor="text1"/>
          <w:szCs w:val="32"/>
        </w:rPr>
        <w:t>年修正2</w:t>
      </w:r>
      <w:r w:rsidRPr="00CA3AC6">
        <w:rPr>
          <w:rFonts w:hAnsi="標楷體" w:hint="eastAsia"/>
          <w:color w:val="000000" w:themeColor="text1"/>
          <w:szCs w:val="32"/>
        </w:rPr>
        <w:t>條文，顯見該法具有強烈憲法意義，不同於一般法律，具有補充憲法的基本法之功能，故行政機關將民營交通事業以</w:t>
      </w:r>
      <w:proofErr w:type="gramStart"/>
      <w:r w:rsidRPr="00CA3AC6">
        <w:rPr>
          <w:rFonts w:hAnsi="標楷體" w:hint="eastAsia"/>
          <w:color w:val="000000" w:themeColor="text1"/>
          <w:szCs w:val="32"/>
        </w:rPr>
        <w:t>採</w:t>
      </w:r>
      <w:proofErr w:type="gramEnd"/>
      <w:r w:rsidRPr="00CA3AC6">
        <w:rPr>
          <w:rFonts w:hAnsi="標楷體" w:hint="eastAsia"/>
          <w:color w:val="000000" w:themeColor="text1"/>
          <w:szCs w:val="32"/>
        </w:rPr>
        <w:t>制定專法方式排斥該條例之適用，似有合憲性之疑義。</w:t>
      </w:r>
    </w:p>
    <w:p w:rsidR="00214AF5" w:rsidRPr="00853210" w:rsidRDefault="00FE616D" w:rsidP="004C40EB">
      <w:pPr>
        <w:pStyle w:val="4"/>
        <w:rPr>
          <w:rFonts w:hAnsi="標楷體"/>
        </w:rPr>
      </w:pPr>
      <w:r w:rsidRPr="00853210">
        <w:rPr>
          <w:rFonts w:hAnsi="標楷體" w:hint="eastAsia"/>
        </w:rPr>
        <w:t>另</w:t>
      </w:r>
      <w:r w:rsidR="005A14D9" w:rsidRPr="00853210">
        <w:rPr>
          <w:rFonts w:hAnsi="標楷體" w:hint="eastAsia"/>
        </w:rPr>
        <w:t>近期司法院大法官逐漸就</w:t>
      </w:r>
      <w:r w:rsidR="005D3106" w:rsidRPr="00853210">
        <w:rPr>
          <w:rFonts w:hAnsi="標楷體" w:hint="eastAsia"/>
        </w:rPr>
        <w:t>主管機關藉</w:t>
      </w:r>
      <w:r w:rsidR="00214AF5" w:rsidRPr="00853210">
        <w:rPr>
          <w:rFonts w:hAnsi="標楷體" w:hint="eastAsia"/>
        </w:rPr>
        <w:t>公用或公益之目的，制定偏袒財團法律或扭曲</w:t>
      </w:r>
      <w:r w:rsidR="005D3106" w:rsidRPr="00853210">
        <w:rPr>
          <w:rFonts w:hAnsi="標楷體" w:hint="eastAsia"/>
        </w:rPr>
        <w:t>解釋</w:t>
      </w:r>
      <w:r w:rsidR="00214AF5" w:rsidRPr="00853210">
        <w:rPr>
          <w:rFonts w:hAnsi="標楷體" w:hint="eastAsia"/>
        </w:rPr>
        <w:t>相關法令，剝奪人民財</w:t>
      </w:r>
      <w:r w:rsidR="005A14D9" w:rsidRPr="00853210">
        <w:rPr>
          <w:rFonts w:hAnsi="標楷體" w:hint="eastAsia"/>
        </w:rPr>
        <w:t>產權後，續將原屬人民之財產移轉為第三人所有，涉有</w:t>
      </w:r>
      <w:r w:rsidR="005D3106" w:rsidRPr="00853210">
        <w:rPr>
          <w:rFonts w:hAnsi="標楷體" w:hint="eastAsia"/>
        </w:rPr>
        <w:t>違憲情形，做出</w:t>
      </w:r>
      <w:r w:rsidR="005A14D9" w:rsidRPr="00853210">
        <w:rPr>
          <w:rFonts w:hAnsi="標楷體" w:hint="eastAsia"/>
        </w:rPr>
        <w:t>732</w:t>
      </w:r>
      <w:r w:rsidR="00026C24" w:rsidRPr="00853210">
        <w:rPr>
          <w:rStyle w:val="afc"/>
          <w:rFonts w:hAnsi="標楷體"/>
          <w:szCs w:val="32"/>
        </w:rPr>
        <w:footnoteReference w:id="20"/>
      </w:r>
      <w:r w:rsidR="005A14D9" w:rsidRPr="00853210">
        <w:rPr>
          <w:rFonts w:hAnsi="標楷體" w:hint="eastAsia"/>
        </w:rPr>
        <w:t>、</w:t>
      </w:r>
      <w:r w:rsidR="005A14D9" w:rsidRPr="00853210">
        <w:rPr>
          <w:rFonts w:hAnsi="標楷體" w:hint="eastAsia"/>
        </w:rPr>
        <w:lastRenderedPageBreak/>
        <w:t>743</w:t>
      </w:r>
      <w:r w:rsidR="003B77C9" w:rsidRPr="00853210">
        <w:rPr>
          <w:rStyle w:val="afc"/>
          <w:rFonts w:hAnsi="標楷體"/>
          <w:szCs w:val="32"/>
        </w:rPr>
        <w:footnoteReference w:id="21"/>
      </w:r>
      <w:r w:rsidR="005A14D9" w:rsidRPr="00853210">
        <w:rPr>
          <w:rFonts w:hAnsi="標楷體" w:hint="eastAsia"/>
        </w:rPr>
        <w:t>、</w:t>
      </w:r>
      <w:r w:rsidR="00BE6146" w:rsidRPr="00853210">
        <w:rPr>
          <w:rFonts w:hAnsi="標楷體" w:hint="eastAsia"/>
        </w:rPr>
        <w:t>747</w:t>
      </w:r>
      <w:r w:rsidR="003B77C9" w:rsidRPr="00853210">
        <w:rPr>
          <w:rStyle w:val="afc"/>
          <w:rFonts w:hAnsi="標楷體"/>
          <w:szCs w:val="32"/>
        </w:rPr>
        <w:footnoteReference w:id="22"/>
      </w:r>
      <w:r w:rsidR="00BE6146" w:rsidRPr="00853210">
        <w:rPr>
          <w:rFonts w:hAnsi="標楷體" w:hint="eastAsia"/>
        </w:rPr>
        <w:t>號解釋</w:t>
      </w:r>
      <w:r w:rsidR="00214AF5" w:rsidRPr="00853210">
        <w:rPr>
          <w:rFonts w:hAnsi="標楷體" w:hint="eastAsia"/>
        </w:rPr>
        <w:t>，</w:t>
      </w:r>
      <w:r w:rsidR="00BE6146" w:rsidRPr="00853210">
        <w:rPr>
          <w:rFonts w:hAnsi="標楷體" w:hint="eastAsia"/>
        </w:rPr>
        <w:t>以</w:t>
      </w:r>
      <w:proofErr w:type="gramStart"/>
      <w:r w:rsidR="00BE6146" w:rsidRPr="00853210">
        <w:rPr>
          <w:rFonts w:hAnsi="標楷體" w:hint="eastAsia"/>
        </w:rPr>
        <w:t>凸</w:t>
      </w:r>
      <w:proofErr w:type="gramEnd"/>
      <w:r w:rsidR="00BE6146" w:rsidRPr="00853210">
        <w:rPr>
          <w:rFonts w:hAnsi="標楷體" w:hint="eastAsia"/>
        </w:rPr>
        <w:t>顯</w:t>
      </w:r>
      <w:r w:rsidR="005D3106" w:rsidRPr="00853210">
        <w:rPr>
          <w:rFonts w:hAnsi="標楷體" w:hint="eastAsia"/>
        </w:rPr>
        <w:t>行政機關濫用權力等</w:t>
      </w:r>
      <w:r w:rsidR="00BE6146" w:rsidRPr="00853210">
        <w:rPr>
          <w:rFonts w:hAnsi="標楷體" w:hint="eastAsia"/>
        </w:rPr>
        <w:t>負面景象</w:t>
      </w:r>
      <w:r w:rsidR="00E2094E" w:rsidRPr="00853210">
        <w:rPr>
          <w:rFonts w:hAnsi="標楷體" w:hint="eastAsia"/>
        </w:rPr>
        <w:t>。</w:t>
      </w:r>
      <w:r w:rsidR="00C51041" w:rsidRPr="00853210">
        <w:rPr>
          <w:rFonts w:hAnsi="標楷體" w:hint="eastAsia"/>
          <w:szCs w:val="32"/>
        </w:rPr>
        <w:t>例如新店</w:t>
      </w:r>
      <w:proofErr w:type="gramStart"/>
      <w:r w:rsidR="00C51041" w:rsidRPr="00853210">
        <w:rPr>
          <w:rFonts w:hAnsi="標楷體" w:hint="eastAsia"/>
          <w:szCs w:val="32"/>
        </w:rPr>
        <w:t>美河市案</w:t>
      </w:r>
      <w:proofErr w:type="gramEnd"/>
      <w:r w:rsidR="005D3106" w:rsidRPr="00853210">
        <w:rPr>
          <w:rFonts w:hAnsi="標楷體" w:hint="eastAsia"/>
          <w:szCs w:val="32"/>
        </w:rPr>
        <w:t>，行政機關</w:t>
      </w:r>
      <w:r w:rsidR="00C51041" w:rsidRPr="00853210">
        <w:rPr>
          <w:rFonts w:hAnsi="標楷體" w:hint="eastAsia"/>
          <w:szCs w:val="32"/>
        </w:rPr>
        <w:t>在大眾捷運法中以公共利益為名，利用</w:t>
      </w:r>
      <w:r w:rsidR="00C51041" w:rsidRPr="00853210">
        <w:rPr>
          <w:rFonts w:hAnsi="標楷體"/>
          <w:szCs w:val="32"/>
        </w:rPr>
        <w:t>國家</w:t>
      </w:r>
      <w:r w:rsidR="00C51041" w:rsidRPr="00853210">
        <w:rPr>
          <w:rFonts w:hAnsi="標楷體" w:hint="eastAsia"/>
          <w:szCs w:val="32"/>
        </w:rPr>
        <w:t>統治高權</w:t>
      </w:r>
      <w:r w:rsidR="00C51041" w:rsidRPr="00853210">
        <w:rPr>
          <w:rFonts w:hAnsi="標楷體"/>
          <w:szCs w:val="32"/>
        </w:rPr>
        <w:t>以徵收方式剝奪</w:t>
      </w:r>
      <w:r w:rsidR="00C51041" w:rsidRPr="00853210">
        <w:rPr>
          <w:rFonts w:hAnsi="標楷體" w:hint="eastAsia"/>
          <w:szCs w:val="32"/>
        </w:rPr>
        <w:t>民眾</w:t>
      </w:r>
      <w:r w:rsidR="005D3106" w:rsidRPr="00853210">
        <w:rPr>
          <w:rFonts w:hAnsi="標楷體"/>
          <w:szCs w:val="32"/>
        </w:rPr>
        <w:t>土地所有權，</w:t>
      </w:r>
      <w:r w:rsidR="00C51041" w:rsidRPr="00853210">
        <w:rPr>
          <w:rFonts w:hAnsi="標楷體"/>
          <w:szCs w:val="32"/>
        </w:rPr>
        <w:t>影響土地上合法居住者之居住自由</w:t>
      </w:r>
      <w:r w:rsidR="00C51041" w:rsidRPr="00853210">
        <w:rPr>
          <w:rFonts w:hAnsi="標楷體" w:hint="eastAsia"/>
          <w:szCs w:val="32"/>
        </w:rPr>
        <w:t>，移轉圖利大財團，其違憲之處</w:t>
      </w:r>
      <w:r w:rsidR="005D3106" w:rsidRPr="00853210">
        <w:rPr>
          <w:rFonts w:hAnsi="標楷體" w:hint="eastAsia"/>
          <w:szCs w:val="32"/>
        </w:rPr>
        <w:t>，</w:t>
      </w:r>
      <w:r w:rsidR="00C51041" w:rsidRPr="00853210">
        <w:rPr>
          <w:rFonts w:hAnsi="標楷體" w:hint="eastAsia"/>
          <w:szCs w:val="32"/>
        </w:rPr>
        <w:t>業經前揭司法院釋字第733號與第743</w:t>
      </w:r>
      <w:r w:rsidR="005D3106" w:rsidRPr="00853210">
        <w:rPr>
          <w:rFonts w:hAnsi="標楷體" w:hint="eastAsia"/>
          <w:szCs w:val="32"/>
        </w:rPr>
        <w:t>號解釋指正在案。上開案例，均在</w:t>
      </w:r>
      <w:proofErr w:type="gramStart"/>
      <w:r w:rsidR="005D3106" w:rsidRPr="00853210">
        <w:rPr>
          <w:rFonts w:hAnsi="標楷體" w:hint="eastAsia"/>
          <w:szCs w:val="32"/>
        </w:rPr>
        <w:t>在</w:t>
      </w:r>
      <w:proofErr w:type="gramEnd"/>
      <w:r w:rsidR="005D3106" w:rsidRPr="00853210">
        <w:rPr>
          <w:rFonts w:hAnsi="標楷體" w:hint="eastAsia"/>
          <w:szCs w:val="32"/>
        </w:rPr>
        <w:t>證明「公共財私有化」</w:t>
      </w:r>
      <w:r w:rsidR="00C51041" w:rsidRPr="00853210">
        <w:rPr>
          <w:rFonts w:hAnsi="標楷體" w:hint="eastAsia"/>
          <w:szCs w:val="32"/>
        </w:rPr>
        <w:t>所造成官商勾結種種弊端，</w:t>
      </w:r>
      <w:r w:rsidR="005D3106" w:rsidRPr="00853210">
        <w:rPr>
          <w:rFonts w:hAnsi="標楷體" w:hint="eastAsia"/>
          <w:szCs w:val="32"/>
        </w:rPr>
        <w:t>不但對於減輕政府財政負擔沒有絲毫幫助，反助長大量國家資本移轉給財團，</w:t>
      </w:r>
      <w:r w:rsidR="00C51041" w:rsidRPr="00853210">
        <w:rPr>
          <w:rFonts w:hAnsi="標楷體" w:hint="eastAsia"/>
          <w:szCs w:val="32"/>
        </w:rPr>
        <w:t>實</w:t>
      </w:r>
      <w:r w:rsidR="005D3106" w:rsidRPr="00853210">
        <w:rPr>
          <w:rFonts w:hAnsi="標楷體" w:hint="eastAsia"/>
          <w:szCs w:val="32"/>
        </w:rPr>
        <w:t>應深刻檢討</w:t>
      </w:r>
      <w:r w:rsidR="00C51041" w:rsidRPr="00853210">
        <w:rPr>
          <w:rFonts w:hAnsi="標楷體" w:hint="eastAsia"/>
          <w:szCs w:val="32"/>
        </w:rPr>
        <w:t>。</w:t>
      </w:r>
    </w:p>
    <w:p w:rsidR="00214AF5" w:rsidRPr="00CA3AC6" w:rsidRDefault="00E44FAE" w:rsidP="00E44FAE">
      <w:pPr>
        <w:pStyle w:val="3"/>
        <w:rPr>
          <w:rFonts w:hAnsi="標楷體"/>
          <w:color w:val="000000" w:themeColor="text1"/>
          <w:szCs w:val="32"/>
        </w:rPr>
      </w:pPr>
      <w:r w:rsidRPr="00853210">
        <w:rPr>
          <w:rFonts w:hAnsi="標楷體" w:hint="eastAsia"/>
          <w:szCs w:val="32"/>
        </w:rPr>
        <w:t>自</w:t>
      </w:r>
      <w:r w:rsidR="005D3106" w:rsidRPr="00853210">
        <w:rPr>
          <w:rFonts w:hAnsi="標楷體" w:hint="eastAsia"/>
          <w:szCs w:val="32"/>
        </w:rPr>
        <w:t>民國80年</w:t>
      </w:r>
      <w:r w:rsidRPr="00853210">
        <w:rPr>
          <w:rFonts w:hAnsi="標楷體" w:hint="eastAsia"/>
          <w:szCs w:val="32"/>
        </w:rPr>
        <w:t>以後</w:t>
      </w:r>
      <w:r w:rsidR="00013346" w:rsidRPr="00853210">
        <w:rPr>
          <w:rFonts w:hAnsi="標楷體" w:hint="eastAsia"/>
          <w:szCs w:val="32"/>
        </w:rPr>
        <w:t>，我國經濟發展深受</w:t>
      </w:r>
      <w:r w:rsidRPr="00853210">
        <w:rPr>
          <w:rFonts w:hAnsi="標楷體" w:hint="eastAsia"/>
          <w:szCs w:val="32"/>
        </w:rPr>
        <w:t>「新自由主義」</w:t>
      </w:r>
      <w:r w:rsidR="00013346" w:rsidRPr="00853210">
        <w:rPr>
          <w:rFonts w:hAnsi="標楷體" w:hint="eastAsia"/>
          <w:szCs w:val="32"/>
        </w:rPr>
        <w:t>之影響</w:t>
      </w:r>
      <w:r w:rsidR="00072EB9" w:rsidRPr="00853210">
        <w:rPr>
          <w:rFonts w:hAnsi="標楷體" w:hint="eastAsia"/>
          <w:szCs w:val="32"/>
        </w:rPr>
        <w:t>，</w:t>
      </w:r>
      <w:r w:rsidRPr="00853210">
        <w:rPr>
          <w:rFonts w:hAnsi="標楷體" w:hint="eastAsia"/>
          <w:szCs w:val="32"/>
        </w:rPr>
        <w:t>起草各項法令，</w:t>
      </w:r>
      <w:r w:rsidR="00013346" w:rsidRPr="00853210">
        <w:rPr>
          <w:rFonts w:hAnsi="標楷體" w:hint="eastAsia"/>
          <w:szCs w:val="32"/>
        </w:rPr>
        <w:t>逐漸將公共財轉變為私有財，亦</w:t>
      </w:r>
      <w:r w:rsidRPr="00853210">
        <w:rPr>
          <w:rFonts w:hAnsi="標楷體" w:hint="eastAsia"/>
          <w:szCs w:val="32"/>
        </w:rPr>
        <w:t>輕忽臺灣所得分配惡化警訊</w:t>
      </w:r>
      <w:r w:rsidR="0043477C" w:rsidRPr="00853210">
        <w:rPr>
          <w:rFonts w:hAnsi="標楷體" w:hint="eastAsia"/>
          <w:szCs w:val="32"/>
        </w:rPr>
        <w:t>，改以五等分之</w:t>
      </w:r>
      <w:r w:rsidR="0043477C" w:rsidRPr="00CA3AC6">
        <w:rPr>
          <w:rFonts w:hAnsi="標楷體" w:hint="eastAsia"/>
          <w:color w:val="000000" w:themeColor="text1"/>
          <w:szCs w:val="32"/>
        </w:rPr>
        <w:lastRenderedPageBreak/>
        <w:t>所得分配比，意在</w:t>
      </w:r>
      <w:r w:rsidR="000601BB" w:rsidRPr="00CA3AC6">
        <w:rPr>
          <w:rFonts w:hAnsi="標楷體" w:hint="eastAsia"/>
          <w:color w:val="000000" w:themeColor="text1"/>
          <w:szCs w:val="32"/>
        </w:rPr>
        <w:t>使</w:t>
      </w:r>
      <w:r w:rsidR="0043477C" w:rsidRPr="00CA3AC6">
        <w:rPr>
          <w:rFonts w:hAnsi="標楷體" w:hint="eastAsia"/>
          <w:color w:val="000000" w:themeColor="text1"/>
          <w:szCs w:val="32"/>
        </w:rPr>
        <w:t>民眾對於貧富差距</w:t>
      </w:r>
      <w:r w:rsidR="000601BB" w:rsidRPr="00CA3AC6">
        <w:rPr>
          <w:rFonts w:hAnsi="標楷體" w:hint="eastAsia"/>
          <w:color w:val="000000" w:themeColor="text1"/>
          <w:szCs w:val="32"/>
        </w:rPr>
        <w:t>拉</w:t>
      </w:r>
      <w:r w:rsidRPr="00CA3AC6">
        <w:rPr>
          <w:rFonts w:hAnsi="標楷體" w:hint="eastAsia"/>
          <w:color w:val="000000" w:themeColor="text1"/>
          <w:szCs w:val="32"/>
        </w:rPr>
        <w:t>大之印象</w:t>
      </w:r>
      <w:r w:rsidR="00D457F2" w:rsidRPr="00CA3AC6">
        <w:rPr>
          <w:rFonts w:hAnsi="標楷體" w:hint="eastAsia"/>
          <w:color w:val="000000" w:themeColor="text1"/>
          <w:szCs w:val="32"/>
        </w:rPr>
        <w:t>變</w:t>
      </w:r>
      <w:r w:rsidR="000601BB" w:rsidRPr="00CA3AC6">
        <w:rPr>
          <w:rFonts w:hAnsi="標楷體" w:hint="eastAsia"/>
          <w:color w:val="000000" w:themeColor="text1"/>
          <w:szCs w:val="32"/>
        </w:rPr>
        <w:t>模糊</w:t>
      </w:r>
      <w:r w:rsidRPr="00CA3AC6">
        <w:rPr>
          <w:rFonts w:hAnsi="標楷體" w:hint="eastAsia"/>
          <w:color w:val="000000" w:themeColor="text1"/>
          <w:szCs w:val="32"/>
        </w:rPr>
        <w:t>，行政院似未正視貧富差距擴大之問題，妥為保障</w:t>
      </w:r>
      <w:r w:rsidR="00214AF5" w:rsidRPr="00CA3AC6">
        <w:rPr>
          <w:rFonts w:hAnsi="標楷體" w:hint="eastAsia"/>
          <w:color w:val="000000" w:themeColor="text1"/>
          <w:szCs w:val="32"/>
        </w:rPr>
        <w:t>人民生存</w:t>
      </w:r>
      <w:r w:rsidRPr="00CA3AC6">
        <w:rPr>
          <w:rFonts w:hAnsi="標楷體" w:hint="eastAsia"/>
          <w:color w:val="000000" w:themeColor="text1"/>
          <w:szCs w:val="32"/>
        </w:rPr>
        <w:t>之基本</w:t>
      </w:r>
      <w:r w:rsidR="00214AF5" w:rsidRPr="00CA3AC6">
        <w:rPr>
          <w:rFonts w:hAnsi="標楷體" w:hint="eastAsia"/>
          <w:color w:val="000000" w:themeColor="text1"/>
          <w:szCs w:val="32"/>
        </w:rPr>
        <w:t>權</w:t>
      </w:r>
      <w:r w:rsidRPr="00CA3AC6">
        <w:rPr>
          <w:rFonts w:hAnsi="標楷體" w:hint="eastAsia"/>
          <w:color w:val="000000" w:themeColor="text1"/>
          <w:szCs w:val="32"/>
        </w:rPr>
        <w:t>利</w:t>
      </w:r>
      <w:r w:rsidR="00214AF5" w:rsidRPr="00CA3AC6">
        <w:rPr>
          <w:rFonts w:hAnsi="標楷體" w:hint="eastAsia"/>
          <w:color w:val="000000" w:themeColor="text1"/>
          <w:szCs w:val="32"/>
        </w:rPr>
        <w:t>，</w:t>
      </w:r>
      <w:r w:rsidRPr="00CA3AC6">
        <w:rPr>
          <w:rFonts w:hAnsi="標楷體" w:hint="eastAsia"/>
          <w:color w:val="000000" w:themeColor="text1"/>
          <w:szCs w:val="32"/>
        </w:rPr>
        <w:t>確有值得改進之處</w:t>
      </w:r>
      <w:r w:rsidR="00214AF5" w:rsidRPr="00CA3AC6">
        <w:rPr>
          <w:rFonts w:hAnsi="標楷體" w:hint="eastAsia"/>
          <w:color w:val="000000" w:themeColor="text1"/>
          <w:szCs w:val="32"/>
        </w:rPr>
        <w:t>。</w:t>
      </w:r>
    </w:p>
    <w:p w:rsidR="00214AF5" w:rsidRPr="00CA3AC6" w:rsidRDefault="00214AF5" w:rsidP="00013346">
      <w:pPr>
        <w:pStyle w:val="4"/>
      </w:pPr>
      <w:r w:rsidRPr="00CA3AC6">
        <w:rPr>
          <w:rFonts w:hint="eastAsia"/>
        </w:rPr>
        <w:t>19世紀末，因俄國革命成功，共產國際勢力高漲，歐美逐漸認知到資本主義帶來的殘酷性，必須由政府透過社會干預，減輕資本主義制度所帶來的困境。從第一次世界大戰後經歷華爾街崩盤及經濟大蕭條</w:t>
      </w:r>
      <w:r w:rsidRPr="00CA3AC6">
        <w:t>(</w:t>
      </w:r>
      <w:r w:rsidRPr="00CA3AC6">
        <w:rPr>
          <w:rFonts w:hint="eastAsia"/>
        </w:rPr>
        <w:t>Great Depression</w:t>
      </w:r>
      <w:r w:rsidRPr="00CA3AC6">
        <w:t>)</w:t>
      </w:r>
      <w:r w:rsidRPr="00CA3AC6">
        <w:rPr>
          <w:rFonts w:hint="eastAsia"/>
        </w:rPr>
        <w:t>，與二次世界大戰所帶來的</w:t>
      </w:r>
      <w:proofErr w:type="gramStart"/>
      <w:r w:rsidRPr="00CA3AC6">
        <w:rPr>
          <w:rFonts w:hint="eastAsia"/>
        </w:rPr>
        <w:t>失業潮及戰後</w:t>
      </w:r>
      <w:proofErr w:type="gramEnd"/>
      <w:r w:rsidRPr="00CA3AC6">
        <w:rPr>
          <w:rFonts w:hint="eastAsia"/>
        </w:rPr>
        <w:t>苦難後，大多已開發國家為保障窮人的基本生存需求，同時為抵禦共</w:t>
      </w:r>
      <w:r w:rsidRPr="00CA3AC6">
        <w:rPr>
          <w:rFonts w:cs="細明體" w:hint="eastAsia"/>
        </w:rPr>
        <w:t>產</w:t>
      </w:r>
      <w:r w:rsidRPr="00CA3AC6">
        <w:rPr>
          <w:rFonts w:cs="MS Mincho" w:hint="eastAsia"/>
        </w:rPr>
        <w:t>主義而</w:t>
      </w:r>
      <w:r w:rsidRPr="00CA3AC6">
        <w:rPr>
          <w:rFonts w:hint="eastAsia"/>
        </w:rPr>
        <w:t>建構社會安全及福利制度</w:t>
      </w:r>
      <w:r w:rsidRPr="00CA3AC6">
        <w:rPr>
          <w:rStyle w:val="afc"/>
          <w:rFonts w:hAnsi="標楷體" w:cs="HiddenVertOCR"/>
          <w:color w:val="000000" w:themeColor="text1"/>
          <w:szCs w:val="32"/>
        </w:rPr>
        <w:footnoteReference w:id="23"/>
      </w:r>
      <w:r w:rsidRPr="00CA3AC6">
        <w:rPr>
          <w:rFonts w:hint="eastAsia"/>
        </w:rPr>
        <w:t>，政府不僅作為福利的主要供應者，也成為經濟的主要參與者。歐洲國家甚至在二次世界大戰前已開始將</w:t>
      </w:r>
      <w:r w:rsidRPr="00CA3AC6">
        <w:rPr>
          <w:rFonts w:cs="細明體" w:hint="eastAsia"/>
        </w:rPr>
        <w:t>產</w:t>
      </w:r>
      <w:r w:rsidRPr="00CA3AC6">
        <w:rPr>
          <w:rFonts w:cs="MS Mincho" w:hint="eastAsia"/>
        </w:rPr>
        <w:t>業國有化，這個過程在</w:t>
      </w:r>
      <w:r w:rsidR="0043477C" w:rsidRPr="00CA3AC6">
        <w:rPr>
          <w:rFonts w:cs="MS Mincho" w:hint="eastAsia"/>
        </w:rPr>
        <w:t>西元</w:t>
      </w:r>
      <w:r w:rsidRPr="00CA3AC6">
        <w:rPr>
          <w:rFonts w:cs="MS Mincho" w:hint="eastAsia"/>
        </w:rPr>
        <w:t>1945年後逐漸加劇。資本主義國家內之選民從此開始</w:t>
      </w:r>
      <w:r w:rsidRPr="00CA3AC6">
        <w:rPr>
          <w:rFonts w:hint="eastAsia"/>
        </w:rPr>
        <w:t>讓政府為適當之經濟管制，因為他們見識過戰時經濟由政府管控的效率，從新古典自由主義盡量讓市場自行決定之經濟生活的制度，逐漸被凱因斯經濟學</w:t>
      </w:r>
      <w:r w:rsidRPr="00CA3AC6">
        <w:rPr>
          <w:rStyle w:val="afc"/>
          <w:rFonts w:hAnsi="標楷體" w:cs="HiddenVertOCR"/>
          <w:color w:val="000000" w:themeColor="text1"/>
          <w:szCs w:val="32"/>
        </w:rPr>
        <w:footnoteReference w:id="24"/>
      </w:r>
      <w:r w:rsidRPr="00CA3AC6">
        <w:rPr>
          <w:rFonts w:hint="eastAsia"/>
        </w:rPr>
        <w:t>所取代。然60年代因石油危機造成凱因斯主義及大政府思維開始式微。</w:t>
      </w:r>
      <w:r w:rsidR="0043477C" w:rsidRPr="00CA3AC6">
        <w:rPr>
          <w:rFonts w:hint="eastAsia"/>
        </w:rPr>
        <w:t>西元</w:t>
      </w:r>
      <w:r w:rsidRPr="00CA3AC6">
        <w:rPr>
          <w:rFonts w:hint="eastAsia"/>
        </w:rPr>
        <w:t>1979及1980年，新右派的</w:t>
      </w:r>
      <w:r w:rsidRPr="00CA3AC6">
        <w:rPr>
          <w:rFonts w:hint="eastAsia"/>
        </w:rPr>
        <w:lastRenderedPageBreak/>
        <w:t>柴契爾夫人及雷根總統</w:t>
      </w:r>
      <w:r w:rsidRPr="00CA3AC6">
        <w:rPr>
          <w:rStyle w:val="afc"/>
          <w:rFonts w:hAnsi="標楷體" w:cs="HiddenVertOCR"/>
          <w:color w:val="000000" w:themeColor="text1"/>
          <w:szCs w:val="32"/>
        </w:rPr>
        <w:footnoteReference w:id="25"/>
      </w:r>
      <w:r w:rsidRPr="00CA3AC6">
        <w:rPr>
          <w:rFonts w:hint="eastAsia"/>
        </w:rPr>
        <w:t>先後贏得大選，鼓吹自由市場且反對國家干預，採用傅利曼</w:t>
      </w:r>
      <w:r w:rsidRPr="00CA3AC6">
        <w:rPr>
          <w:rStyle w:val="afc"/>
          <w:rFonts w:hAnsi="標楷體" w:cs="HiddenVertOCR"/>
          <w:color w:val="000000" w:themeColor="text1"/>
          <w:szCs w:val="32"/>
        </w:rPr>
        <w:footnoteReference w:id="26"/>
      </w:r>
      <w:r w:rsidRPr="00CA3AC6">
        <w:t>(</w:t>
      </w:r>
      <w:r w:rsidRPr="00CA3AC6">
        <w:rPr>
          <w:rFonts w:hint="eastAsia"/>
        </w:rPr>
        <w:t>Milton Friedman</w:t>
      </w:r>
      <w:r w:rsidRPr="00CA3AC6">
        <w:t>)</w:t>
      </w:r>
      <w:r w:rsidRPr="00CA3AC6">
        <w:rPr>
          <w:rFonts w:hint="eastAsia"/>
        </w:rPr>
        <w:t>及海耶克</w:t>
      </w:r>
      <w:r w:rsidRPr="00CA3AC6">
        <w:rPr>
          <w:rStyle w:val="afc"/>
          <w:rFonts w:hAnsi="標楷體" w:cs="HiddenVertOCR"/>
          <w:color w:val="000000" w:themeColor="text1"/>
          <w:szCs w:val="32"/>
        </w:rPr>
        <w:footnoteReference w:id="27"/>
      </w:r>
      <w:r w:rsidRPr="00CA3AC6">
        <w:t>(</w:t>
      </w:r>
      <w:r w:rsidRPr="00CA3AC6">
        <w:rPr>
          <w:rFonts w:hint="eastAsia"/>
        </w:rPr>
        <w:t>Friedrich Hayek)自由經濟觀點，其雖不反對市場可能失靈而且已經失靈</w:t>
      </w:r>
      <w:r w:rsidRPr="00CA3AC6">
        <w:rPr>
          <w:rFonts w:cs="細明體" w:hint="eastAsia"/>
        </w:rPr>
        <w:t>說</w:t>
      </w:r>
      <w:r w:rsidRPr="00CA3AC6">
        <w:rPr>
          <w:rFonts w:cs="MS Mincho" w:hint="eastAsia"/>
        </w:rPr>
        <w:t>法，但是其認為自由市場遠比國家更</w:t>
      </w:r>
      <w:r w:rsidRPr="00CA3AC6">
        <w:rPr>
          <w:rFonts w:hint="eastAsia"/>
        </w:rPr>
        <w:t>能有效分配商品及服務，亦即「國家的角色是監督契約的執行，供應充足的貨幣，確保市場力量不被扭曲」，同時更重要的是，由國家提供最佳環境使商業蓬勃發展。新右派全面否定完全就業及福利國家之目標，偏好縮減通貨膨脹及公共支出，認為</w:t>
      </w:r>
      <w:r w:rsidRPr="00CA3AC6">
        <w:rPr>
          <w:rFonts w:cs="MS Mincho" w:hint="eastAsia"/>
        </w:rPr>
        <w:t>經濟問題的主因之</w:t>
      </w:r>
      <w:proofErr w:type="gramStart"/>
      <w:r w:rsidRPr="00CA3AC6">
        <w:rPr>
          <w:rFonts w:cs="MS Mincho" w:hint="eastAsia"/>
        </w:rPr>
        <w:t>一</w:t>
      </w:r>
      <w:proofErr w:type="gramEnd"/>
      <w:r w:rsidRPr="00CA3AC6">
        <w:rPr>
          <w:rFonts w:cs="MS Mincho" w:hint="eastAsia"/>
        </w:rPr>
        <w:t>即來自於公共支出。新右派不但不主張公私混合型經</w:t>
      </w:r>
      <w:r w:rsidRPr="00CA3AC6">
        <w:rPr>
          <w:rFonts w:hint="eastAsia"/>
        </w:rPr>
        <w:t>濟，相反地，希望國家將各種職能全部民營化，將國家功能減到最小</w:t>
      </w:r>
      <w:r w:rsidRPr="00CA3AC6">
        <w:rPr>
          <w:rStyle w:val="afc"/>
          <w:rFonts w:hAnsi="標楷體" w:cs="HiddenVertOCR"/>
          <w:color w:val="000000" w:themeColor="text1"/>
          <w:szCs w:val="32"/>
        </w:rPr>
        <w:footnoteReference w:id="28"/>
      </w:r>
      <w:r w:rsidRPr="00CA3AC6">
        <w:rPr>
          <w:rFonts w:hint="eastAsia"/>
        </w:rPr>
        <w:t>。</w:t>
      </w:r>
      <w:r w:rsidR="00E524D6" w:rsidRPr="00CA3AC6">
        <w:rPr>
          <w:rFonts w:hint="eastAsia"/>
        </w:rPr>
        <w:lastRenderedPageBreak/>
        <w:t>然而</w:t>
      </w:r>
      <w:r w:rsidRPr="00CA3AC6">
        <w:rPr>
          <w:rFonts w:hint="eastAsia"/>
        </w:rPr>
        <w:t>國家漠視分配</w:t>
      </w:r>
      <w:proofErr w:type="gramStart"/>
      <w:r w:rsidRPr="00CA3AC6">
        <w:rPr>
          <w:rFonts w:hint="eastAsia"/>
        </w:rPr>
        <w:t>不均的根本</w:t>
      </w:r>
      <w:proofErr w:type="gramEnd"/>
      <w:r w:rsidRPr="00CA3AC6">
        <w:rPr>
          <w:rFonts w:hint="eastAsia"/>
        </w:rPr>
        <w:t>問題，並不會讓問題消失。當21世紀的今天卻依然重複著19世紀上演過的資本收益率超過經濟增長率</w:t>
      </w:r>
      <w:r w:rsidRPr="00CA3AC6">
        <w:rPr>
          <w:rStyle w:val="afc"/>
          <w:rFonts w:hAnsi="標楷體" w:cs="HiddenVertOCR"/>
          <w:color w:val="000000" w:themeColor="text1"/>
          <w:szCs w:val="32"/>
        </w:rPr>
        <w:footnoteReference w:id="29"/>
      </w:r>
      <w:r w:rsidRPr="00CA3AC6">
        <w:rPr>
          <w:rFonts w:hint="eastAsia"/>
        </w:rPr>
        <w:t>時，世界將回歸「世襲資本主義」，資本主義已經不自覺邁向不可控制且不可持續的社會不平等，這根本是以財團破壞並取代以傳統民主社會的基礎價值觀</w:t>
      </w:r>
      <w:r w:rsidRPr="00CA3AC6">
        <w:rPr>
          <w:rStyle w:val="afc"/>
          <w:rFonts w:hAnsi="標楷體" w:cs="HiddenVertOCR"/>
          <w:color w:val="000000" w:themeColor="text1"/>
          <w:szCs w:val="32"/>
        </w:rPr>
        <w:footnoteReference w:id="30"/>
      </w:r>
      <w:r w:rsidRPr="00CA3AC6">
        <w:rPr>
          <w:rFonts w:hint="eastAsia"/>
        </w:rPr>
        <w:t>。</w:t>
      </w:r>
    </w:p>
    <w:p w:rsidR="00881978" w:rsidRPr="005E44A9" w:rsidRDefault="008E017F" w:rsidP="00013346">
      <w:pPr>
        <w:pStyle w:val="4"/>
        <w:rPr>
          <w:rFonts w:cs="HiddenHorzOCR"/>
        </w:rPr>
      </w:pPr>
      <w:r>
        <w:rPr>
          <w:rFonts w:hAnsi="標楷體" w:hint="eastAsia"/>
          <w:szCs w:val="32"/>
        </w:rPr>
        <w:t>依據法國學者托馬</w:t>
      </w:r>
      <w:proofErr w:type="gramStart"/>
      <w:r w:rsidR="00960FE5">
        <w:rPr>
          <w:rFonts w:hAnsi="標楷體" w:hint="eastAsia"/>
          <w:szCs w:val="32"/>
        </w:rPr>
        <w:t>‧</w:t>
      </w:r>
      <w:proofErr w:type="gramEnd"/>
      <w:r w:rsidR="00960FE5" w:rsidRPr="00960FE5">
        <w:rPr>
          <w:rFonts w:hAnsi="標楷體" w:hint="eastAsia"/>
          <w:szCs w:val="32"/>
        </w:rPr>
        <w:t>皮凱提</w:t>
      </w:r>
      <w:r w:rsidR="00881978" w:rsidRPr="00960FE5">
        <w:rPr>
          <w:rFonts w:hAnsi="標楷體" w:hint="eastAsia"/>
          <w:bCs/>
          <w:szCs w:val="32"/>
        </w:rPr>
        <w:t>（</w:t>
      </w:r>
      <w:proofErr w:type="spellStart"/>
      <w:r w:rsidR="00881978" w:rsidRPr="00960FE5">
        <w:rPr>
          <w:rFonts w:hAnsi="標楷體"/>
          <w:bCs/>
          <w:szCs w:val="32"/>
        </w:rPr>
        <w:t>thomas</w:t>
      </w:r>
      <w:proofErr w:type="spellEnd"/>
      <w:r w:rsidR="00881978" w:rsidRPr="00960FE5">
        <w:rPr>
          <w:rFonts w:hAnsi="標楷體"/>
          <w:bCs/>
          <w:szCs w:val="32"/>
        </w:rPr>
        <w:t xml:space="preserve"> </w:t>
      </w:r>
      <w:proofErr w:type="spellStart"/>
      <w:r w:rsidR="00881978" w:rsidRPr="00960FE5">
        <w:rPr>
          <w:rFonts w:hAnsi="標楷體"/>
          <w:bCs/>
          <w:szCs w:val="32"/>
        </w:rPr>
        <w:t>piketty</w:t>
      </w:r>
      <w:proofErr w:type="spellEnd"/>
      <w:r w:rsidR="00881978" w:rsidRPr="00960FE5">
        <w:rPr>
          <w:rFonts w:hAnsi="標楷體" w:hint="eastAsia"/>
          <w:bCs/>
          <w:szCs w:val="32"/>
        </w:rPr>
        <w:t>）</w:t>
      </w:r>
      <w:r w:rsidR="00881978" w:rsidRPr="00CA3AC6">
        <w:rPr>
          <w:rFonts w:hint="eastAsia"/>
          <w:bCs/>
        </w:rPr>
        <w:t>21世紀資本論</w:t>
      </w:r>
      <w:r w:rsidR="00881978" w:rsidRPr="00CA3AC6">
        <w:rPr>
          <w:rFonts w:hint="eastAsia"/>
        </w:rPr>
        <w:t>統計：在新自由主義下的</w:t>
      </w:r>
      <w:r w:rsidR="0043477C" w:rsidRPr="00CA3AC6">
        <w:rPr>
          <w:rFonts w:hint="eastAsia"/>
        </w:rPr>
        <w:t>西元</w:t>
      </w:r>
      <w:r w:rsidR="00881978" w:rsidRPr="00CA3AC6">
        <w:rPr>
          <w:rFonts w:hint="eastAsia"/>
        </w:rPr>
        <w:t>1970至2010年間，私有財富在富裕國家大幅攀升，舉例而言在法國和德國的</w:t>
      </w:r>
      <w:r w:rsidR="00881978" w:rsidRPr="00CA3AC6">
        <w:rPr>
          <w:rFonts w:cs="HiddenVertOCR" w:hint="eastAsia"/>
        </w:rPr>
        <w:t>公有財富淨額在</w:t>
      </w:r>
      <w:r w:rsidR="0043477C" w:rsidRPr="00CA3AC6">
        <w:rPr>
          <w:rFonts w:cs="HiddenVertOCR" w:hint="eastAsia"/>
        </w:rPr>
        <w:t>西元</w:t>
      </w:r>
      <w:r w:rsidR="00881978" w:rsidRPr="00CA3AC6">
        <w:rPr>
          <w:rFonts w:hint="eastAsia"/>
        </w:rPr>
        <w:t>1950至1970</w:t>
      </w:r>
      <w:r w:rsidR="00881978" w:rsidRPr="00CA3AC6">
        <w:rPr>
          <w:rFonts w:cs="HiddenVertOCR" w:hint="eastAsia"/>
        </w:rPr>
        <w:t>年間曾經達到國民資本的四分之一</w:t>
      </w:r>
      <w:r w:rsidR="00881978" w:rsidRPr="00CA3AC6">
        <w:rPr>
          <w:rFonts w:hint="eastAsia"/>
        </w:rPr>
        <w:t>，甚至是三分之一，</w:t>
      </w:r>
      <w:r w:rsidR="00881978" w:rsidRPr="00CA3AC6">
        <w:rPr>
          <w:rFonts w:cs="HiddenVertOCR" w:hint="eastAsia"/>
        </w:rPr>
        <w:t>然現在只剩下國民資本的幾個百分點</w:t>
      </w:r>
      <w:r w:rsidR="00881978" w:rsidRPr="00CA3AC6">
        <w:t>(</w:t>
      </w:r>
      <w:r w:rsidR="00881978" w:rsidRPr="00CA3AC6">
        <w:rPr>
          <w:rFonts w:hint="eastAsia"/>
        </w:rPr>
        <w:t>公有資</w:t>
      </w:r>
      <w:r w:rsidR="00881978" w:rsidRPr="00CA3AC6">
        <w:rPr>
          <w:rFonts w:cs="細明體" w:hint="eastAsia"/>
        </w:rPr>
        <w:t>產</w:t>
      </w:r>
      <w:r w:rsidR="00881978" w:rsidRPr="00CA3AC6">
        <w:rPr>
          <w:rFonts w:cs="MS Mincho" w:hint="eastAsia"/>
        </w:rPr>
        <w:t>頂多只</w:t>
      </w:r>
      <w:r w:rsidR="00881978" w:rsidRPr="00CA3AC6">
        <w:rPr>
          <w:rFonts w:cs="細明體" w:hint="eastAsia"/>
        </w:rPr>
        <w:t>夠</w:t>
      </w:r>
      <w:r w:rsidR="00881978" w:rsidRPr="00CA3AC6">
        <w:rPr>
          <w:rFonts w:cs="MS Mincho" w:hint="eastAsia"/>
        </w:rPr>
        <w:t>與公共</w:t>
      </w:r>
      <w:r w:rsidR="00881978" w:rsidRPr="00CA3AC6">
        <w:rPr>
          <w:rFonts w:hint="eastAsia"/>
        </w:rPr>
        <w:t>債務相抵</w:t>
      </w:r>
      <w:r w:rsidR="00881978" w:rsidRPr="00CA3AC6">
        <w:t>)</w:t>
      </w:r>
      <w:r w:rsidR="00881978" w:rsidRPr="00CA3AC6">
        <w:rPr>
          <w:rFonts w:hint="eastAsia"/>
        </w:rPr>
        <w:t>。這樣演變事實上是富裕國家之普遍現象：</w:t>
      </w:r>
      <w:r w:rsidR="0043477C" w:rsidRPr="00CA3AC6">
        <w:rPr>
          <w:rFonts w:hint="eastAsia"/>
        </w:rPr>
        <w:t>西元</w:t>
      </w:r>
      <w:r w:rsidR="00881978" w:rsidRPr="00CA3AC6">
        <w:rPr>
          <w:rFonts w:hint="eastAsia"/>
        </w:rPr>
        <w:t>1970至2010</w:t>
      </w:r>
      <w:r w:rsidR="0043477C" w:rsidRPr="00CA3AC6">
        <w:rPr>
          <w:rFonts w:hint="eastAsia"/>
        </w:rPr>
        <w:t>年間，世界8</w:t>
      </w:r>
      <w:r w:rsidR="00881978" w:rsidRPr="00CA3AC6">
        <w:rPr>
          <w:rFonts w:hint="eastAsia"/>
        </w:rPr>
        <w:t>大已開發國家中，都可以見到公有資本相對於國民所得的比</w:t>
      </w:r>
      <w:r w:rsidR="00881978" w:rsidRPr="00CA3AC6">
        <w:rPr>
          <w:rFonts w:cs="細明體" w:hint="eastAsia"/>
        </w:rPr>
        <w:t>值</w:t>
      </w:r>
      <w:r w:rsidR="00881978" w:rsidRPr="00CA3AC6">
        <w:rPr>
          <w:rFonts w:cs="MS Mincho" w:hint="eastAsia"/>
        </w:rPr>
        <w:t>逐漸下降，而私有資本相對於國民所得的比</w:t>
      </w:r>
      <w:r w:rsidR="00881978" w:rsidRPr="00CA3AC6">
        <w:rPr>
          <w:rFonts w:cs="細明體" w:hint="eastAsia"/>
        </w:rPr>
        <w:t>值</w:t>
      </w:r>
      <w:proofErr w:type="gramStart"/>
      <w:r w:rsidR="00881978" w:rsidRPr="00CA3AC6">
        <w:rPr>
          <w:rFonts w:cs="MS Mincho" w:hint="eastAsia"/>
        </w:rPr>
        <w:t>則還漸上升</w:t>
      </w:r>
      <w:proofErr w:type="gramEnd"/>
      <w:r w:rsidR="00881978" w:rsidRPr="00CA3AC6">
        <w:t>(</w:t>
      </w:r>
      <w:r w:rsidR="007E2762" w:rsidRPr="00CA3AC6">
        <w:rPr>
          <w:rFonts w:hint="eastAsia"/>
        </w:rPr>
        <w:t>如</w:t>
      </w:r>
      <w:r w:rsidR="00881978" w:rsidRPr="00CA3AC6">
        <w:rPr>
          <w:rFonts w:hint="eastAsia"/>
        </w:rPr>
        <w:t>下圖</w:t>
      </w:r>
      <w:r w:rsidR="00881978" w:rsidRPr="00CA3AC6">
        <w:t>)</w:t>
      </w:r>
      <w:r w:rsidR="00881978" w:rsidRPr="00CA3AC6">
        <w:rPr>
          <w:rFonts w:hint="eastAsia"/>
        </w:rPr>
        <w:t>。換句話</w:t>
      </w:r>
      <w:r w:rsidR="00881978" w:rsidRPr="00CA3AC6">
        <w:rPr>
          <w:rFonts w:cs="細明體" w:hint="eastAsia"/>
        </w:rPr>
        <w:t>說</w:t>
      </w:r>
      <w:r w:rsidR="00881978" w:rsidRPr="00CA3AC6">
        <w:rPr>
          <w:rFonts w:cs="MS Mincho" w:hint="eastAsia"/>
        </w:rPr>
        <w:t>，私有財富的復甦</w:t>
      </w:r>
      <w:r w:rsidR="00881978" w:rsidRPr="00CA3AC6">
        <w:rPr>
          <w:rFonts w:hint="eastAsia"/>
        </w:rPr>
        <w:t>，其部分是因為公有財富的私有化。當然，在所有這些國家當中，</w:t>
      </w:r>
      <w:r w:rsidR="00881978" w:rsidRPr="00CA3AC6">
        <w:rPr>
          <w:rFonts w:hint="eastAsia"/>
        </w:rPr>
        <w:lastRenderedPageBreak/>
        <w:t>私有資本的上升都比公有資本的下滑要大上許多，這也使得國民資本</w:t>
      </w:r>
      <w:r w:rsidR="00881978" w:rsidRPr="00CA3AC6">
        <w:t>(</w:t>
      </w:r>
      <w:r w:rsidR="00881978" w:rsidRPr="00CA3AC6">
        <w:rPr>
          <w:rFonts w:hint="eastAsia"/>
        </w:rPr>
        <w:t>以國民所得的倍數來衡量</w:t>
      </w:r>
      <w:r w:rsidR="00881978" w:rsidRPr="00CA3AC6">
        <w:t>)</w:t>
      </w:r>
      <w:r w:rsidR="00881978" w:rsidRPr="00CA3AC6">
        <w:rPr>
          <w:rFonts w:hint="eastAsia"/>
        </w:rPr>
        <w:t>實際上增加許多。但國民資本的增加速度並不像私有資本那麼快</w:t>
      </w:r>
      <w:r w:rsidR="00881978" w:rsidRPr="00CA3AC6">
        <w:rPr>
          <w:rStyle w:val="afc"/>
          <w:rFonts w:hAnsi="標楷體" w:cs="HiddenHorzOCR"/>
          <w:color w:val="000000" w:themeColor="text1"/>
          <w:szCs w:val="32"/>
        </w:rPr>
        <w:footnoteReference w:id="31"/>
      </w:r>
      <w:r w:rsidR="00E524D6" w:rsidRPr="00CA3AC6">
        <w:rPr>
          <w:rFonts w:hint="eastAsia"/>
        </w:rPr>
        <w:t>。</w:t>
      </w:r>
      <w:r w:rsidR="00881978" w:rsidRPr="00CA3AC6">
        <w:rPr>
          <w:rFonts w:cs="HiddenHorzOCR" w:hint="eastAsia"/>
        </w:rPr>
        <w:t>多數國家的公共儲蓄也是負的</w:t>
      </w:r>
      <w:r w:rsidR="00881978" w:rsidRPr="00CA3AC6">
        <w:rPr>
          <w:rFonts w:cs="HiddenHorzOCR"/>
        </w:rPr>
        <w:t>(</w:t>
      </w:r>
      <w:r w:rsidR="00881978" w:rsidRPr="00CA3AC6">
        <w:rPr>
          <w:rFonts w:cs="HiddenHorzOCR" w:hint="eastAsia"/>
        </w:rPr>
        <w:t>意思是公共投資小於公共赤字，也就是</w:t>
      </w:r>
      <w:r w:rsidR="00881978" w:rsidRPr="00CA3AC6">
        <w:rPr>
          <w:rFonts w:cs="細明體" w:hint="eastAsia"/>
        </w:rPr>
        <w:t>說</w:t>
      </w:r>
      <w:r w:rsidR="00881978" w:rsidRPr="00CA3AC6">
        <w:rPr>
          <w:rFonts w:cs="MS Mincho" w:hint="eastAsia"/>
        </w:rPr>
        <w:t>政府投資的金額小於舉債的金額，或者是舉</w:t>
      </w:r>
      <w:r w:rsidR="00881978" w:rsidRPr="00CA3AC6">
        <w:rPr>
          <w:rFonts w:cs="HiddenHorzOCR" w:hint="eastAsia"/>
        </w:rPr>
        <w:t>債的款項用於當前的支出</w:t>
      </w:r>
      <w:r w:rsidR="00881978" w:rsidRPr="00CA3AC6">
        <w:rPr>
          <w:rFonts w:cs="HiddenHorzOCR"/>
        </w:rPr>
        <w:t>)</w:t>
      </w:r>
      <w:r w:rsidR="00881978" w:rsidRPr="00CA3AC6">
        <w:rPr>
          <w:rFonts w:cs="HiddenHorzOCR" w:hint="eastAsia"/>
        </w:rPr>
        <w:t>。</w:t>
      </w:r>
      <w:r w:rsidR="0043477C" w:rsidRPr="00CA3AC6">
        <w:rPr>
          <w:rFonts w:cs="HiddenHorzOCR" w:hint="eastAsia"/>
        </w:rPr>
        <w:t>西元</w:t>
      </w:r>
      <w:r w:rsidR="00881978" w:rsidRPr="00CA3AC6">
        <w:rPr>
          <w:rFonts w:cs="HiddenHorzOCR" w:hint="eastAsia"/>
        </w:rPr>
        <w:t>1970至2010年間，法國、英國、德國和美國的公共赤字，都比公共投資多出國民所得的</w:t>
      </w:r>
      <w:r w:rsidR="00881978" w:rsidRPr="00CA3AC6">
        <w:rPr>
          <w:rFonts w:cs="HiddenHorzOCR"/>
        </w:rPr>
        <w:t>2%</w:t>
      </w:r>
      <w:r w:rsidR="00881978" w:rsidRPr="00CA3AC6">
        <w:rPr>
          <w:rFonts w:cs="HiddenHorzOCR" w:hint="eastAsia"/>
        </w:rPr>
        <w:t>至</w:t>
      </w:r>
      <w:r w:rsidR="00881978" w:rsidRPr="00CA3AC6">
        <w:rPr>
          <w:rFonts w:cs="HiddenHorzOCR"/>
        </w:rPr>
        <w:t>3%</w:t>
      </w:r>
      <w:r w:rsidR="00881978" w:rsidRPr="00CA3AC6">
        <w:rPr>
          <w:rFonts w:cs="HiddenHorzOCR" w:hint="eastAsia"/>
        </w:rPr>
        <w:t>，而義大利則多出國民所得的</w:t>
      </w:r>
      <w:r w:rsidR="00881978" w:rsidRPr="00CA3AC6">
        <w:rPr>
          <w:rFonts w:cs="HiddenHorzOCR"/>
        </w:rPr>
        <w:t>6%</w:t>
      </w:r>
      <w:r w:rsidR="007E2762" w:rsidRPr="00CA3AC6">
        <w:rPr>
          <w:rFonts w:cs="HiddenHorzOCR" w:hint="eastAsia"/>
        </w:rPr>
        <w:t>（如</w:t>
      </w:r>
      <w:r w:rsidR="00881978" w:rsidRPr="00CA3AC6">
        <w:rPr>
          <w:rFonts w:cs="HiddenHorzOCR" w:hint="eastAsia"/>
        </w:rPr>
        <w:t>下表），總結來說，所有富裕國家的公共負儲蓄</w:t>
      </w:r>
      <w:r w:rsidR="00881978" w:rsidRPr="00CA3AC6">
        <w:rPr>
          <w:rFonts w:cs="HiddenHorzOCR"/>
        </w:rPr>
        <w:t>(d</w:t>
      </w:r>
      <w:r w:rsidR="00881978" w:rsidRPr="00CA3AC6">
        <w:rPr>
          <w:rFonts w:cs="HiddenHorzOCR" w:hint="eastAsia"/>
        </w:rPr>
        <w:t>é</w:t>
      </w:r>
      <w:r w:rsidR="00881978" w:rsidRPr="00CA3AC6">
        <w:rPr>
          <w:rFonts w:cs="HiddenHorzOCR"/>
        </w:rPr>
        <w:t>s</w:t>
      </w:r>
      <w:r w:rsidR="00881978" w:rsidRPr="00CA3AC6">
        <w:rPr>
          <w:rFonts w:cs="HiddenHorzOCR" w:hint="eastAsia"/>
        </w:rPr>
        <w:t>é</w:t>
      </w:r>
      <w:proofErr w:type="spellStart"/>
      <w:r w:rsidR="00881978" w:rsidRPr="00CA3AC6">
        <w:rPr>
          <w:rFonts w:cs="HiddenHorzOCR"/>
        </w:rPr>
        <w:t>pargne</w:t>
      </w:r>
      <w:proofErr w:type="spellEnd"/>
      <w:r w:rsidR="00881978" w:rsidRPr="00CA3AC6">
        <w:rPr>
          <w:rFonts w:cs="HiddenHorzOCR"/>
        </w:rPr>
        <w:t>; dissaving)</w:t>
      </w:r>
      <w:r w:rsidR="00881978" w:rsidRPr="00CA3AC6">
        <w:rPr>
          <w:rFonts w:cs="HiddenHorzOCR" w:hint="eastAsia"/>
        </w:rPr>
        <w:t>，以及相應造成的公有財富減少，相當程度助長了私有財富的增加</w:t>
      </w:r>
      <w:r w:rsidR="00881978" w:rsidRPr="00CA3AC6">
        <w:rPr>
          <w:rFonts w:cs="HiddenHorzOCR"/>
        </w:rPr>
        <w:t>(</w:t>
      </w:r>
      <w:r w:rsidR="00881978" w:rsidRPr="00CA3AC6">
        <w:rPr>
          <w:rFonts w:cs="HiddenHorzOCR" w:hint="eastAsia"/>
        </w:rPr>
        <w:t>依據各國情況，約占其升幅的十分之一到四分之一</w:t>
      </w:r>
      <w:r w:rsidR="00881978" w:rsidRPr="00CA3AC6">
        <w:rPr>
          <w:rFonts w:cs="HiddenHorzOCR"/>
        </w:rPr>
        <w:t>)</w:t>
      </w:r>
      <w:r w:rsidR="00881978" w:rsidRPr="00CA3AC6">
        <w:rPr>
          <w:rStyle w:val="afc"/>
          <w:rFonts w:hAnsi="標楷體" w:cs="HiddenHorzOCR"/>
          <w:color w:val="000000" w:themeColor="text1"/>
          <w:szCs w:val="32"/>
        </w:rPr>
        <w:footnoteReference w:id="32"/>
      </w:r>
      <w:r w:rsidR="00881978" w:rsidRPr="00CA3AC6">
        <w:rPr>
          <w:rFonts w:cs="HiddenHorzOCR" w:hint="eastAsia"/>
        </w:rPr>
        <w:t>。</w:t>
      </w:r>
    </w:p>
    <w:p w:rsidR="005E44A9" w:rsidRDefault="005E44A9" w:rsidP="005E44A9">
      <w:pPr>
        <w:pStyle w:val="1"/>
        <w:numPr>
          <w:ilvl w:val="0"/>
          <w:numId w:val="0"/>
        </w:numPr>
        <w:ind w:left="2381" w:hanging="2381"/>
        <w:rPr>
          <w:rFonts w:eastAsia="MS Mincho"/>
          <w:lang w:eastAsia="ja-JP"/>
        </w:rPr>
      </w:pPr>
    </w:p>
    <w:p w:rsidR="005E44A9" w:rsidRDefault="005E44A9" w:rsidP="005E44A9">
      <w:pPr>
        <w:pStyle w:val="1"/>
        <w:numPr>
          <w:ilvl w:val="0"/>
          <w:numId w:val="0"/>
        </w:numPr>
        <w:ind w:left="2381" w:hanging="2381"/>
        <w:rPr>
          <w:rFonts w:eastAsia="MS Mincho"/>
          <w:lang w:eastAsia="ja-JP"/>
        </w:rPr>
      </w:pPr>
    </w:p>
    <w:p w:rsidR="005E44A9" w:rsidRDefault="005E44A9" w:rsidP="005E44A9">
      <w:pPr>
        <w:pStyle w:val="1"/>
        <w:numPr>
          <w:ilvl w:val="0"/>
          <w:numId w:val="0"/>
        </w:numPr>
        <w:ind w:left="2381" w:hanging="2381"/>
        <w:rPr>
          <w:rFonts w:eastAsia="MS Mincho"/>
          <w:lang w:eastAsia="ja-JP"/>
        </w:rPr>
      </w:pPr>
    </w:p>
    <w:p w:rsidR="005E44A9" w:rsidRDefault="005E44A9" w:rsidP="005E44A9">
      <w:pPr>
        <w:pStyle w:val="1"/>
        <w:numPr>
          <w:ilvl w:val="0"/>
          <w:numId w:val="0"/>
        </w:numPr>
        <w:ind w:left="2381" w:hanging="2381"/>
        <w:rPr>
          <w:rFonts w:eastAsia="MS Mincho"/>
          <w:lang w:eastAsia="ja-JP"/>
        </w:rPr>
      </w:pPr>
    </w:p>
    <w:p w:rsidR="005E44A9" w:rsidRDefault="005E44A9" w:rsidP="005E44A9">
      <w:pPr>
        <w:pStyle w:val="1"/>
        <w:numPr>
          <w:ilvl w:val="0"/>
          <w:numId w:val="0"/>
        </w:numPr>
        <w:ind w:left="2381" w:hanging="2381"/>
        <w:rPr>
          <w:rFonts w:eastAsia="MS Mincho"/>
          <w:lang w:eastAsia="ja-JP"/>
        </w:rPr>
      </w:pPr>
    </w:p>
    <w:p w:rsidR="005E44A9" w:rsidRDefault="005E44A9" w:rsidP="005E44A9">
      <w:pPr>
        <w:pStyle w:val="1"/>
        <w:numPr>
          <w:ilvl w:val="0"/>
          <w:numId w:val="0"/>
        </w:numPr>
        <w:ind w:left="2381" w:hanging="2381"/>
        <w:rPr>
          <w:rFonts w:eastAsia="MS Mincho"/>
          <w:lang w:eastAsia="ja-JP"/>
        </w:rPr>
      </w:pPr>
    </w:p>
    <w:p w:rsidR="005E44A9" w:rsidRDefault="005E44A9" w:rsidP="005E44A9">
      <w:pPr>
        <w:pStyle w:val="1"/>
        <w:numPr>
          <w:ilvl w:val="0"/>
          <w:numId w:val="0"/>
        </w:numPr>
        <w:ind w:left="2381" w:hanging="2381"/>
        <w:rPr>
          <w:rFonts w:eastAsia="MS Mincho"/>
          <w:lang w:eastAsia="ja-JP"/>
        </w:rPr>
      </w:pPr>
    </w:p>
    <w:p w:rsidR="00A5753E" w:rsidRDefault="00A5753E" w:rsidP="002972B2">
      <w:pPr>
        <w:pStyle w:val="41"/>
        <w:ind w:leftChars="146" w:left="497" w:firstLineChars="266" w:firstLine="798"/>
        <w:jc w:val="center"/>
        <w:rPr>
          <w:rFonts w:eastAsia="MS Mincho" w:hAnsi="標楷體"/>
          <w:color w:val="000000" w:themeColor="text1"/>
          <w:sz w:val="28"/>
          <w:szCs w:val="28"/>
          <w:lang w:eastAsia="ja-JP"/>
        </w:rPr>
      </w:pPr>
    </w:p>
    <w:p w:rsidR="005E44A9" w:rsidRDefault="005E44A9" w:rsidP="002972B2">
      <w:pPr>
        <w:pStyle w:val="41"/>
        <w:ind w:leftChars="146" w:left="497" w:firstLineChars="266" w:firstLine="798"/>
        <w:jc w:val="center"/>
        <w:rPr>
          <w:rFonts w:eastAsia="MS Mincho" w:hAnsi="標楷體"/>
          <w:color w:val="000000" w:themeColor="text1"/>
          <w:sz w:val="28"/>
          <w:szCs w:val="28"/>
          <w:lang w:eastAsia="ja-JP"/>
        </w:rPr>
      </w:pPr>
    </w:p>
    <w:p w:rsidR="005E44A9" w:rsidRDefault="005E44A9" w:rsidP="002972B2">
      <w:pPr>
        <w:pStyle w:val="41"/>
        <w:ind w:leftChars="146" w:left="497" w:firstLineChars="266" w:firstLine="798"/>
        <w:jc w:val="center"/>
        <w:rPr>
          <w:rFonts w:eastAsia="MS Mincho" w:hAnsi="標楷體"/>
          <w:color w:val="000000" w:themeColor="text1"/>
          <w:sz w:val="28"/>
          <w:szCs w:val="28"/>
          <w:lang w:eastAsia="ja-JP"/>
        </w:rPr>
      </w:pPr>
    </w:p>
    <w:p w:rsidR="005E44A9" w:rsidRDefault="005E44A9" w:rsidP="002972B2">
      <w:pPr>
        <w:pStyle w:val="41"/>
        <w:ind w:leftChars="146" w:left="497" w:firstLineChars="266" w:firstLine="798"/>
        <w:jc w:val="center"/>
        <w:rPr>
          <w:rFonts w:eastAsia="MS Mincho" w:hAnsi="標楷體"/>
          <w:color w:val="000000" w:themeColor="text1"/>
          <w:sz w:val="28"/>
          <w:szCs w:val="28"/>
          <w:lang w:eastAsia="ja-JP"/>
        </w:rPr>
      </w:pPr>
    </w:p>
    <w:p w:rsidR="005E44A9" w:rsidRDefault="005E44A9" w:rsidP="002972B2">
      <w:pPr>
        <w:pStyle w:val="41"/>
        <w:ind w:leftChars="146" w:left="497" w:firstLineChars="266" w:firstLine="798"/>
        <w:jc w:val="center"/>
        <w:rPr>
          <w:rFonts w:eastAsiaTheme="minorEastAsia" w:hAnsi="標楷體"/>
          <w:color w:val="000000" w:themeColor="text1"/>
          <w:sz w:val="28"/>
          <w:szCs w:val="28"/>
        </w:rPr>
      </w:pPr>
    </w:p>
    <w:p w:rsidR="00881978" w:rsidRPr="00CA3AC6" w:rsidRDefault="002972B2" w:rsidP="002972B2">
      <w:pPr>
        <w:pStyle w:val="41"/>
        <w:ind w:leftChars="146" w:left="497" w:firstLineChars="266" w:firstLine="798"/>
        <w:jc w:val="center"/>
        <w:rPr>
          <w:rFonts w:hAnsi="標楷體"/>
          <w:color w:val="000000" w:themeColor="text1"/>
          <w:sz w:val="28"/>
          <w:szCs w:val="28"/>
        </w:rPr>
      </w:pPr>
      <w:r w:rsidRPr="00CA3AC6">
        <w:rPr>
          <w:rFonts w:hAnsi="標楷體" w:hint="eastAsia"/>
          <w:color w:val="000000" w:themeColor="text1"/>
          <w:sz w:val="28"/>
          <w:szCs w:val="28"/>
        </w:rPr>
        <w:lastRenderedPageBreak/>
        <w:t>西元1970-2010年富裕國家的私有與公有資本</w:t>
      </w:r>
    </w:p>
    <w:p w:rsidR="00881978" w:rsidRPr="00CA3AC6" w:rsidRDefault="00881978" w:rsidP="00881978">
      <w:pPr>
        <w:adjustRightInd w:val="0"/>
        <w:rPr>
          <w:rFonts w:hAnsi="標楷體"/>
          <w:color w:val="000000" w:themeColor="text1"/>
          <w:kern w:val="0"/>
          <w:sz w:val="28"/>
          <w:szCs w:val="28"/>
        </w:rPr>
      </w:pPr>
      <w:r w:rsidRPr="00CA3AC6">
        <w:rPr>
          <w:rFonts w:hAnsi="標楷體"/>
          <w:noProof/>
          <w:color w:val="000000" w:themeColor="text1"/>
          <w:kern w:val="0"/>
          <w:sz w:val="28"/>
          <w:szCs w:val="28"/>
        </w:rPr>
        <w:drawing>
          <wp:inline distT="0" distB="0" distL="0" distR="0" wp14:anchorId="09AA8C45" wp14:editId="6ED3FB4B">
            <wp:extent cx="5792994" cy="34099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92994" cy="3409950"/>
                    </a:xfrm>
                    <a:prstGeom prst="rect">
                      <a:avLst/>
                    </a:prstGeom>
                    <a:noFill/>
                    <a:ln>
                      <a:noFill/>
                    </a:ln>
                  </pic:spPr>
                </pic:pic>
              </a:graphicData>
            </a:graphic>
          </wp:inline>
        </w:drawing>
      </w:r>
    </w:p>
    <w:p w:rsidR="005E44A9" w:rsidRDefault="005E44A9" w:rsidP="00754024">
      <w:pPr>
        <w:adjustRightInd w:val="0"/>
        <w:jc w:val="center"/>
        <w:rPr>
          <w:rFonts w:eastAsia="MS Mincho" w:hAnsi="標楷體"/>
          <w:color w:val="000000" w:themeColor="text1"/>
          <w:kern w:val="0"/>
          <w:sz w:val="28"/>
          <w:szCs w:val="28"/>
          <w:lang w:eastAsia="ja-JP"/>
        </w:rPr>
      </w:pPr>
    </w:p>
    <w:p w:rsidR="008D7709" w:rsidRPr="00CA3AC6" w:rsidRDefault="008D7709" w:rsidP="00754024">
      <w:pPr>
        <w:adjustRightInd w:val="0"/>
        <w:jc w:val="center"/>
        <w:rPr>
          <w:rFonts w:hAnsi="標楷體"/>
          <w:color w:val="000000" w:themeColor="text1"/>
          <w:kern w:val="0"/>
          <w:sz w:val="28"/>
          <w:szCs w:val="28"/>
        </w:rPr>
      </w:pPr>
      <w:r w:rsidRPr="00CA3AC6">
        <w:rPr>
          <w:rFonts w:hAnsi="標楷體" w:hint="eastAsia"/>
          <w:color w:val="000000" w:themeColor="text1"/>
          <w:kern w:val="0"/>
          <w:sz w:val="28"/>
          <w:szCs w:val="28"/>
        </w:rPr>
        <w:t>西元1970-2010年富裕國家的民間與公共儲蓄</w:t>
      </w:r>
    </w:p>
    <w:tbl>
      <w:tblPr>
        <w:tblStyle w:val="af6"/>
        <w:tblW w:w="0" w:type="auto"/>
        <w:jc w:val="center"/>
        <w:tblLook w:val="04A0" w:firstRow="1" w:lastRow="0" w:firstColumn="1" w:lastColumn="0" w:noHBand="0" w:noVBand="1"/>
      </w:tblPr>
      <w:tblGrid>
        <w:gridCol w:w="2206"/>
        <w:gridCol w:w="2210"/>
        <w:gridCol w:w="2210"/>
        <w:gridCol w:w="2208"/>
      </w:tblGrid>
      <w:tr w:rsidR="00CA3AC6" w:rsidRPr="00CA3AC6" w:rsidTr="0051334B">
        <w:trPr>
          <w:jc w:val="center"/>
        </w:trPr>
        <w:tc>
          <w:tcPr>
            <w:tcW w:w="2225" w:type="dxa"/>
            <w:vAlign w:val="center"/>
          </w:tcPr>
          <w:p w:rsidR="002337BA" w:rsidRPr="00CA3AC6" w:rsidRDefault="002972B2" w:rsidP="0051334B">
            <w:pPr>
              <w:adjustRightInd w:val="0"/>
              <w:jc w:val="center"/>
              <w:rPr>
                <w:rFonts w:hAnsi="標楷體"/>
                <w:color w:val="000000" w:themeColor="text1"/>
                <w:kern w:val="0"/>
                <w:sz w:val="26"/>
                <w:szCs w:val="26"/>
              </w:rPr>
            </w:pPr>
            <w:r w:rsidRPr="00CA3AC6">
              <w:rPr>
                <w:rFonts w:hAnsi="標楷體" w:hint="eastAsia"/>
                <w:color w:val="000000" w:themeColor="text1"/>
                <w:kern w:val="0"/>
                <w:sz w:val="26"/>
                <w:szCs w:val="26"/>
              </w:rPr>
              <w:t>國家</w:t>
            </w:r>
          </w:p>
        </w:tc>
        <w:tc>
          <w:tcPr>
            <w:tcW w:w="2225" w:type="dxa"/>
            <w:vAlign w:val="center"/>
          </w:tcPr>
          <w:p w:rsidR="002337BA" w:rsidRPr="00CA3AC6" w:rsidRDefault="002972B2" w:rsidP="0051334B">
            <w:pPr>
              <w:adjustRightInd w:val="0"/>
              <w:jc w:val="center"/>
              <w:rPr>
                <w:rFonts w:hAnsi="標楷體"/>
                <w:color w:val="000000" w:themeColor="text1"/>
                <w:kern w:val="0"/>
                <w:sz w:val="26"/>
                <w:szCs w:val="26"/>
              </w:rPr>
            </w:pPr>
            <w:r w:rsidRPr="00CA3AC6">
              <w:rPr>
                <w:rFonts w:hAnsi="標楷體" w:hint="eastAsia"/>
                <w:color w:val="000000" w:themeColor="text1"/>
                <w:kern w:val="0"/>
                <w:sz w:val="26"/>
                <w:szCs w:val="26"/>
              </w:rPr>
              <w:t>國民儲蓄</w:t>
            </w:r>
          </w:p>
        </w:tc>
        <w:tc>
          <w:tcPr>
            <w:tcW w:w="2225" w:type="dxa"/>
            <w:vAlign w:val="center"/>
          </w:tcPr>
          <w:p w:rsidR="002337BA" w:rsidRPr="00CA3AC6" w:rsidRDefault="002972B2" w:rsidP="0051334B">
            <w:pPr>
              <w:adjustRightInd w:val="0"/>
              <w:jc w:val="center"/>
              <w:rPr>
                <w:rFonts w:hAnsi="標楷體"/>
                <w:color w:val="000000" w:themeColor="text1"/>
                <w:kern w:val="0"/>
                <w:sz w:val="26"/>
                <w:szCs w:val="26"/>
              </w:rPr>
            </w:pPr>
            <w:r w:rsidRPr="00CA3AC6">
              <w:rPr>
                <w:rFonts w:hAnsi="標楷體" w:hint="eastAsia"/>
                <w:color w:val="000000" w:themeColor="text1"/>
                <w:kern w:val="0"/>
                <w:sz w:val="26"/>
                <w:szCs w:val="26"/>
              </w:rPr>
              <w:t>民間儲蓄</w:t>
            </w:r>
          </w:p>
        </w:tc>
        <w:tc>
          <w:tcPr>
            <w:tcW w:w="2225" w:type="dxa"/>
            <w:vAlign w:val="center"/>
          </w:tcPr>
          <w:p w:rsidR="002337BA" w:rsidRPr="00CA3AC6" w:rsidRDefault="002972B2" w:rsidP="0051334B">
            <w:pPr>
              <w:adjustRightInd w:val="0"/>
              <w:jc w:val="center"/>
              <w:rPr>
                <w:rFonts w:hAnsi="標楷體"/>
                <w:color w:val="000000" w:themeColor="text1"/>
                <w:kern w:val="0"/>
                <w:sz w:val="26"/>
                <w:szCs w:val="26"/>
              </w:rPr>
            </w:pPr>
            <w:r w:rsidRPr="00CA3AC6">
              <w:rPr>
                <w:rFonts w:hAnsi="標楷體" w:hint="eastAsia"/>
                <w:color w:val="000000" w:themeColor="text1"/>
                <w:kern w:val="0"/>
                <w:sz w:val="26"/>
                <w:szCs w:val="26"/>
              </w:rPr>
              <w:t>公共儲蓄</w:t>
            </w:r>
          </w:p>
        </w:tc>
      </w:tr>
      <w:tr w:rsidR="00CA3AC6" w:rsidRPr="00CA3AC6" w:rsidTr="0051334B">
        <w:trPr>
          <w:jc w:val="center"/>
        </w:trPr>
        <w:tc>
          <w:tcPr>
            <w:tcW w:w="2225" w:type="dxa"/>
            <w:vAlign w:val="center"/>
          </w:tcPr>
          <w:p w:rsidR="002337BA" w:rsidRPr="00CA3AC6" w:rsidRDefault="002972B2" w:rsidP="0051334B">
            <w:pPr>
              <w:adjustRightInd w:val="0"/>
              <w:jc w:val="center"/>
              <w:rPr>
                <w:rFonts w:hAnsi="標楷體"/>
                <w:color w:val="000000" w:themeColor="text1"/>
                <w:kern w:val="0"/>
                <w:sz w:val="26"/>
                <w:szCs w:val="26"/>
              </w:rPr>
            </w:pPr>
            <w:r w:rsidRPr="00CA3AC6">
              <w:rPr>
                <w:rFonts w:hAnsi="標楷體" w:cs="HiddenHorzOCR" w:hint="eastAsia"/>
                <w:color w:val="000000" w:themeColor="text1"/>
                <w:sz w:val="26"/>
                <w:szCs w:val="26"/>
              </w:rPr>
              <w:t>美國</w:t>
            </w:r>
          </w:p>
        </w:tc>
        <w:tc>
          <w:tcPr>
            <w:tcW w:w="2225" w:type="dxa"/>
            <w:vAlign w:val="center"/>
          </w:tcPr>
          <w:p w:rsidR="0032247B" w:rsidRPr="00CA3AC6" w:rsidRDefault="0032247B" w:rsidP="0051334B">
            <w:pPr>
              <w:adjustRightInd w:val="0"/>
              <w:jc w:val="right"/>
              <w:rPr>
                <w:rFonts w:hAnsi="標楷體"/>
                <w:color w:val="000000" w:themeColor="text1"/>
                <w:kern w:val="0"/>
                <w:sz w:val="26"/>
                <w:szCs w:val="26"/>
              </w:rPr>
            </w:pPr>
            <w:r w:rsidRPr="00CA3AC6">
              <w:rPr>
                <w:rFonts w:hAnsi="標楷體" w:hint="eastAsia"/>
                <w:color w:val="000000" w:themeColor="text1"/>
                <w:kern w:val="0"/>
                <w:sz w:val="26"/>
                <w:szCs w:val="26"/>
              </w:rPr>
              <w:t>5.2%</w:t>
            </w:r>
          </w:p>
        </w:tc>
        <w:tc>
          <w:tcPr>
            <w:tcW w:w="2225" w:type="dxa"/>
            <w:vAlign w:val="center"/>
          </w:tcPr>
          <w:p w:rsidR="002337BA" w:rsidRPr="00CA3AC6" w:rsidRDefault="0032247B" w:rsidP="0051334B">
            <w:pPr>
              <w:adjustRightInd w:val="0"/>
              <w:jc w:val="right"/>
              <w:rPr>
                <w:rFonts w:hAnsi="標楷體"/>
                <w:color w:val="000000" w:themeColor="text1"/>
                <w:kern w:val="0"/>
                <w:sz w:val="26"/>
                <w:szCs w:val="26"/>
              </w:rPr>
            </w:pPr>
            <w:r w:rsidRPr="00CA3AC6">
              <w:rPr>
                <w:rFonts w:hAnsi="標楷體" w:hint="eastAsia"/>
                <w:color w:val="000000" w:themeColor="text1"/>
                <w:kern w:val="0"/>
                <w:sz w:val="26"/>
                <w:szCs w:val="26"/>
              </w:rPr>
              <w:t>7.6%</w:t>
            </w:r>
          </w:p>
        </w:tc>
        <w:tc>
          <w:tcPr>
            <w:tcW w:w="2225" w:type="dxa"/>
            <w:vAlign w:val="center"/>
          </w:tcPr>
          <w:p w:rsidR="002337BA" w:rsidRPr="00CA3AC6" w:rsidRDefault="0032247B" w:rsidP="0051334B">
            <w:pPr>
              <w:adjustRightInd w:val="0"/>
              <w:jc w:val="right"/>
              <w:rPr>
                <w:rFonts w:hAnsi="標楷體"/>
                <w:color w:val="000000" w:themeColor="text1"/>
                <w:kern w:val="0"/>
                <w:sz w:val="26"/>
                <w:szCs w:val="26"/>
              </w:rPr>
            </w:pPr>
            <w:r w:rsidRPr="00CA3AC6">
              <w:rPr>
                <w:rFonts w:hAnsi="標楷體" w:hint="eastAsia"/>
                <w:color w:val="000000" w:themeColor="text1"/>
                <w:kern w:val="0"/>
                <w:sz w:val="26"/>
                <w:szCs w:val="26"/>
              </w:rPr>
              <w:t>-2.4%</w:t>
            </w:r>
          </w:p>
        </w:tc>
      </w:tr>
      <w:tr w:rsidR="00CA3AC6" w:rsidRPr="00CA3AC6" w:rsidTr="0051334B">
        <w:trPr>
          <w:jc w:val="center"/>
        </w:trPr>
        <w:tc>
          <w:tcPr>
            <w:tcW w:w="2225" w:type="dxa"/>
            <w:vAlign w:val="center"/>
          </w:tcPr>
          <w:p w:rsidR="002972B2" w:rsidRPr="00CA3AC6" w:rsidRDefault="002972B2" w:rsidP="0051334B">
            <w:pPr>
              <w:adjustRightInd w:val="0"/>
              <w:jc w:val="center"/>
              <w:rPr>
                <w:rFonts w:hAnsi="標楷體" w:cs="HiddenHorzOCR"/>
                <w:color w:val="000000" w:themeColor="text1"/>
                <w:sz w:val="26"/>
                <w:szCs w:val="26"/>
              </w:rPr>
            </w:pPr>
            <w:r w:rsidRPr="00CA3AC6">
              <w:rPr>
                <w:rFonts w:hAnsi="標楷體" w:cs="HiddenHorzOCR" w:hint="eastAsia"/>
                <w:color w:val="000000" w:themeColor="text1"/>
                <w:sz w:val="26"/>
                <w:szCs w:val="26"/>
              </w:rPr>
              <w:t>日本</w:t>
            </w:r>
          </w:p>
        </w:tc>
        <w:tc>
          <w:tcPr>
            <w:tcW w:w="2225" w:type="dxa"/>
            <w:vAlign w:val="center"/>
          </w:tcPr>
          <w:p w:rsidR="002972B2" w:rsidRPr="00CA3AC6" w:rsidRDefault="0032247B" w:rsidP="0051334B">
            <w:pPr>
              <w:adjustRightInd w:val="0"/>
              <w:jc w:val="right"/>
              <w:rPr>
                <w:rFonts w:hAnsi="標楷體"/>
                <w:color w:val="000000" w:themeColor="text1"/>
                <w:kern w:val="0"/>
                <w:sz w:val="26"/>
                <w:szCs w:val="26"/>
              </w:rPr>
            </w:pPr>
            <w:r w:rsidRPr="00CA3AC6">
              <w:rPr>
                <w:rFonts w:hAnsi="標楷體" w:hint="eastAsia"/>
                <w:color w:val="000000" w:themeColor="text1"/>
                <w:kern w:val="0"/>
                <w:sz w:val="26"/>
                <w:szCs w:val="26"/>
              </w:rPr>
              <w:t>14.6%</w:t>
            </w:r>
          </w:p>
        </w:tc>
        <w:tc>
          <w:tcPr>
            <w:tcW w:w="2225" w:type="dxa"/>
            <w:vAlign w:val="center"/>
          </w:tcPr>
          <w:p w:rsidR="002972B2" w:rsidRPr="00CA3AC6" w:rsidRDefault="0032247B" w:rsidP="0051334B">
            <w:pPr>
              <w:adjustRightInd w:val="0"/>
              <w:jc w:val="right"/>
              <w:rPr>
                <w:rFonts w:hAnsi="標楷體"/>
                <w:color w:val="000000" w:themeColor="text1"/>
                <w:kern w:val="0"/>
                <w:sz w:val="26"/>
                <w:szCs w:val="26"/>
              </w:rPr>
            </w:pPr>
            <w:r w:rsidRPr="00CA3AC6">
              <w:rPr>
                <w:rFonts w:hAnsi="標楷體" w:hint="eastAsia"/>
                <w:color w:val="000000" w:themeColor="text1"/>
                <w:kern w:val="0"/>
                <w:sz w:val="26"/>
                <w:szCs w:val="26"/>
              </w:rPr>
              <w:t>14.5%</w:t>
            </w:r>
          </w:p>
        </w:tc>
        <w:tc>
          <w:tcPr>
            <w:tcW w:w="2225" w:type="dxa"/>
            <w:vAlign w:val="center"/>
          </w:tcPr>
          <w:p w:rsidR="002972B2" w:rsidRPr="00CA3AC6" w:rsidRDefault="0032247B" w:rsidP="0051334B">
            <w:pPr>
              <w:adjustRightInd w:val="0"/>
              <w:jc w:val="right"/>
              <w:rPr>
                <w:rFonts w:hAnsi="標楷體"/>
                <w:color w:val="000000" w:themeColor="text1"/>
                <w:kern w:val="0"/>
                <w:sz w:val="26"/>
                <w:szCs w:val="26"/>
              </w:rPr>
            </w:pPr>
            <w:r w:rsidRPr="00CA3AC6">
              <w:rPr>
                <w:rFonts w:hAnsi="標楷體" w:hint="eastAsia"/>
                <w:color w:val="000000" w:themeColor="text1"/>
                <w:kern w:val="0"/>
                <w:sz w:val="26"/>
                <w:szCs w:val="26"/>
              </w:rPr>
              <w:t>0.1%</w:t>
            </w:r>
          </w:p>
        </w:tc>
      </w:tr>
      <w:tr w:rsidR="00CA3AC6" w:rsidRPr="00CA3AC6" w:rsidTr="0051334B">
        <w:trPr>
          <w:jc w:val="center"/>
        </w:trPr>
        <w:tc>
          <w:tcPr>
            <w:tcW w:w="2225" w:type="dxa"/>
            <w:vAlign w:val="center"/>
          </w:tcPr>
          <w:p w:rsidR="002972B2" w:rsidRPr="00CA3AC6" w:rsidRDefault="002972B2" w:rsidP="0051334B">
            <w:pPr>
              <w:adjustRightInd w:val="0"/>
              <w:jc w:val="center"/>
              <w:rPr>
                <w:rFonts w:hAnsi="標楷體" w:cs="HiddenHorzOCR"/>
                <w:color w:val="000000" w:themeColor="text1"/>
                <w:sz w:val="26"/>
                <w:szCs w:val="26"/>
              </w:rPr>
            </w:pPr>
            <w:r w:rsidRPr="00CA3AC6">
              <w:rPr>
                <w:rFonts w:hAnsi="標楷體" w:cs="HiddenHorzOCR" w:hint="eastAsia"/>
                <w:color w:val="000000" w:themeColor="text1"/>
                <w:sz w:val="26"/>
                <w:szCs w:val="26"/>
              </w:rPr>
              <w:t>德國</w:t>
            </w:r>
          </w:p>
        </w:tc>
        <w:tc>
          <w:tcPr>
            <w:tcW w:w="2225" w:type="dxa"/>
            <w:vAlign w:val="center"/>
          </w:tcPr>
          <w:p w:rsidR="002972B2" w:rsidRPr="00CA3AC6" w:rsidRDefault="0032247B" w:rsidP="0051334B">
            <w:pPr>
              <w:adjustRightInd w:val="0"/>
              <w:jc w:val="right"/>
              <w:rPr>
                <w:rFonts w:hAnsi="標楷體"/>
                <w:color w:val="000000" w:themeColor="text1"/>
                <w:kern w:val="0"/>
                <w:sz w:val="26"/>
                <w:szCs w:val="26"/>
              </w:rPr>
            </w:pPr>
            <w:r w:rsidRPr="00CA3AC6">
              <w:rPr>
                <w:rFonts w:hAnsi="標楷體" w:hint="eastAsia"/>
                <w:color w:val="000000" w:themeColor="text1"/>
                <w:kern w:val="0"/>
                <w:sz w:val="26"/>
                <w:szCs w:val="26"/>
              </w:rPr>
              <w:t>10.2%</w:t>
            </w:r>
          </w:p>
        </w:tc>
        <w:tc>
          <w:tcPr>
            <w:tcW w:w="2225" w:type="dxa"/>
            <w:vAlign w:val="center"/>
          </w:tcPr>
          <w:p w:rsidR="002972B2" w:rsidRPr="00CA3AC6" w:rsidRDefault="0032247B" w:rsidP="0051334B">
            <w:pPr>
              <w:adjustRightInd w:val="0"/>
              <w:jc w:val="right"/>
              <w:rPr>
                <w:rFonts w:hAnsi="標楷體"/>
                <w:color w:val="000000" w:themeColor="text1"/>
                <w:kern w:val="0"/>
                <w:sz w:val="26"/>
                <w:szCs w:val="26"/>
              </w:rPr>
            </w:pPr>
            <w:r w:rsidRPr="00CA3AC6">
              <w:rPr>
                <w:rFonts w:hAnsi="標楷體" w:hint="eastAsia"/>
                <w:color w:val="000000" w:themeColor="text1"/>
                <w:kern w:val="0"/>
                <w:sz w:val="26"/>
                <w:szCs w:val="26"/>
              </w:rPr>
              <w:t>12.2%</w:t>
            </w:r>
          </w:p>
        </w:tc>
        <w:tc>
          <w:tcPr>
            <w:tcW w:w="2225" w:type="dxa"/>
            <w:vAlign w:val="center"/>
          </w:tcPr>
          <w:p w:rsidR="002972B2" w:rsidRPr="00CA3AC6" w:rsidRDefault="0032247B" w:rsidP="0051334B">
            <w:pPr>
              <w:adjustRightInd w:val="0"/>
              <w:jc w:val="right"/>
              <w:rPr>
                <w:rFonts w:hAnsi="標楷體"/>
                <w:color w:val="000000" w:themeColor="text1"/>
                <w:kern w:val="0"/>
                <w:sz w:val="26"/>
                <w:szCs w:val="26"/>
              </w:rPr>
            </w:pPr>
            <w:r w:rsidRPr="00CA3AC6">
              <w:rPr>
                <w:rFonts w:hAnsi="標楷體" w:hint="eastAsia"/>
                <w:color w:val="000000" w:themeColor="text1"/>
                <w:kern w:val="0"/>
                <w:sz w:val="26"/>
                <w:szCs w:val="26"/>
              </w:rPr>
              <w:t>-2.0%</w:t>
            </w:r>
          </w:p>
        </w:tc>
      </w:tr>
      <w:tr w:rsidR="00CA3AC6" w:rsidRPr="00CA3AC6" w:rsidTr="0051334B">
        <w:trPr>
          <w:jc w:val="center"/>
        </w:trPr>
        <w:tc>
          <w:tcPr>
            <w:tcW w:w="2225" w:type="dxa"/>
            <w:vAlign w:val="center"/>
          </w:tcPr>
          <w:p w:rsidR="002972B2" w:rsidRPr="00CA3AC6" w:rsidRDefault="002972B2" w:rsidP="0051334B">
            <w:pPr>
              <w:adjustRightInd w:val="0"/>
              <w:jc w:val="center"/>
              <w:rPr>
                <w:rFonts w:hAnsi="標楷體" w:cs="HiddenHorzOCR"/>
                <w:color w:val="000000" w:themeColor="text1"/>
                <w:sz w:val="26"/>
                <w:szCs w:val="26"/>
              </w:rPr>
            </w:pPr>
            <w:r w:rsidRPr="00CA3AC6">
              <w:rPr>
                <w:rFonts w:hAnsi="標楷體" w:cs="HiddenHorzOCR" w:hint="eastAsia"/>
                <w:color w:val="000000" w:themeColor="text1"/>
                <w:sz w:val="26"/>
                <w:szCs w:val="26"/>
              </w:rPr>
              <w:t>法國</w:t>
            </w:r>
          </w:p>
        </w:tc>
        <w:tc>
          <w:tcPr>
            <w:tcW w:w="2225" w:type="dxa"/>
            <w:vAlign w:val="center"/>
          </w:tcPr>
          <w:p w:rsidR="002972B2" w:rsidRPr="00CA3AC6" w:rsidRDefault="0032247B" w:rsidP="0051334B">
            <w:pPr>
              <w:adjustRightInd w:val="0"/>
              <w:jc w:val="right"/>
              <w:rPr>
                <w:rFonts w:hAnsi="標楷體"/>
                <w:color w:val="000000" w:themeColor="text1"/>
                <w:kern w:val="0"/>
                <w:sz w:val="26"/>
                <w:szCs w:val="26"/>
              </w:rPr>
            </w:pPr>
            <w:r w:rsidRPr="00CA3AC6">
              <w:rPr>
                <w:rFonts w:hAnsi="標楷體" w:hint="eastAsia"/>
                <w:color w:val="000000" w:themeColor="text1"/>
                <w:kern w:val="0"/>
                <w:sz w:val="26"/>
                <w:szCs w:val="26"/>
              </w:rPr>
              <w:t>9.2%</w:t>
            </w:r>
          </w:p>
        </w:tc>
        <w:tc>
          <w:tcPr>
            <w:tcW w:w="2225" w:type="dxa"/>
            <w:vAlign w:val="center"/>
          </w:tcPr>
          <w:p w:rsidR="002972B2" w:rsidRPr="00CA3AC6" w:rsidRDefault="0032247B" w:rsidP="0051334B">
            <w:pPr>
              <w:adjustRightInd w:val="0"/>
              <w:jc w:val="right"/>
              <w:rPr>
                <w:rFonts w:hAnsi="標楷體"/>
                <w:color w:val="000000" w:themeColor="text1"/>
                <w:kern w:val="0"/>
                <w:sz w:val="26"/>
                <w:szCs w:val="26"/>
              </w:rPr>
            </w:pPr>
            <w:r w:rsidRPr="00CA3AC6">
              <w:rPr>
                <w:rFonts w:hAnsi="標楷體" w:hint="eastAsia"/>
                <w:color w:val="000000" w:themeColor="text1"/>
                <w:kern w:val="0"/>
                <w:sz w:val="26"/>
                <w:szCs w:val="26"/>
              </w:rPr>
              <w:t>11.1%</w:t>
            </w:r>
          </w:p>
        </w:tc>
        <w:tc>
          <w:tcPr>
            <w:tcW w:w="2225" w:type="dxa"/>
            <w:vAlign w:val="center"/>
          </w:tcPr>
          <w:p w:rsidR="002972B2" w:rsidRPr="00CA3AC6" w:rsidRDefault="0032247B" w:rsidP="0051334B">
            <w:pPr>
              <w:adjustRightInd w:val="0"/>
              <w:jc w:val="right"/>
              <w:rPr>
                <w:rFonts w:hAnsi="標楷體"/>
                <w:color w:val="000000" w:themeColor="text1"/>
                <w:kern w:val="0"/>
                <w:sz w:val="26"/>
                <w:szCs w:val="26"/>
              </w:rPr>
            </w:pPr>
            <w:r w:rsidRPr="00CA3AC6">
              <w:rPr>
                <w:rFonts w:hAnsi="標楷體" w:hint="eastAsia"/>
                <w:color w:val="000000" w:themeColor="text1"/>
                <w:kern w:val="0"/>
                <w:sz w:val="26"/>
                <w:szCs w:val="26"/>
              </w:rPr>
              <w:t>-1.9%</w:t>
            </w:r>
          </w:p>
        </w:tc>
      </w:tr>
      <w:tr w:rsidR="00CA3AC6" w:rsidRPr="00CA3AC6" w:rsidTr="0051334B">
        <w:trPr>
          <w:jc w:val="center"/>
        </w:trPr>
        <w:tc>
          <w:tcPr>
            <w:tcW w:w="2225" w:type="dxa"/>
            <w:vAlign w:val="center"/>
          </w:tcPr>
          <w:p w:rsidR="002337BA" w:rsidRPr="00CA3AC6" w:rsidRDefault="002972B2" w:rsidP="0051334B">
            <w:pPr>
              <w:adjustRightInd w:val="0"/>
              <w:jc w:val="center"/>
              <w:rPr>
                <w:rFonts w:hAnsi="標楷體"/>
                <w:color w:val="000000" w:themeColor="text1"/>
                <w:kern w:val="0"/>
                <w:sz w:val="26"/>
                <w:szCs w:val="26"/>
              </w:rPr>
            </w:pPr>
            <w:r w:rsidRPr="00CA3AC6">
              <w:rPr>
                <w:rFonts w:hAnsi="標楷體" w:cs="HiddenHorzOCR" w:hint="eastAsia"/>
                <w:color w:val="000000" w:themeColor="text1"/>
                <w:sz w:val="26"/>
                <w:szCs w:val="26"/>
              </w:rPr>
              <w:t>英國</w:t>
            </w:r>
          </w:p>
        </w:tc>
        <w:tc>
          <w:tcPr>
            <w:tcW w:w="2225" w:type="dxa"/>
            <w:vAlign w:val="center"/>
          </w:tcPr>
          <w:p w:rsidR="002337BA" w:rsidRPr="00CA3AC6" w:rsidRDefault="0032247B" w:rsidP="0051334B">
            <w:pPr>
              <w:adjustRightInd w:val="0"/>
              <w:jc w:val="right"/>
              <w:rPr>
                <w:rFonts w:hAnsi="標楷體"/>
                <w:color w:val="000000" w:themeColor="text1"/>
                <w:kern w:val="0"/>
                <w:sz w:val="26"/>
                <w:szCs w:val="26"/>
              </w:rPr>
            </w:pPr>
            <w:r w:rsidRPr="00CA3AC6">
              <w:rPr>
                <w:rFonts w:hAnsi="標楷體" w:hint="eastAsia"/>
                <w:color w:val="000000" w:themeColor="text1"/>
                <w:kern w:val="0"/>
                <w:sz w:val="26"/>
                <w:szCs w:val="26"/>
              </w:rPr>
              <w:t>5.3%</w:t>
            </w:r>
          </w:p>
        </w:tc>
        <w:tc>
          <w:tcPr>
            <w:tcW w:w="2225" w:type="dxa"/>
            <w:vAlign w:val="center"/>
          </w:tcPr>
          <w:p w:rsidR="002337BA" w:rsidRPr="00CA3AC6" w:rsidRDefault="0032247B" w:rsidP="0051334B">
            <w:pPr>
              <w:adjustRightInd w:val="0"/>
              <w:jc w:val="right"/>
              <w:rPr>
                <w:rFonts w:hAnsi="標楷體"/>
                <w:color w:val="000000" w:themeColor="text1"/>
                <w:kern w:val="0"/>
                <w:sz w:val="26"/>
                <w:szCs w:val="26"/>
              </w:rPr>
            </w:pPr>
            <w:r w:rsidRPr="00CA3AC6">
              <w:rPr>
                <w:rFonts w:hAnsi="標楷體" w:hint="eastAsia"/>
                <w:color w:val="000000" w:themeColor="text1"/>
                <w:kern w:val="0"/>
                <w:sz w:val="26"/>
                <w:szCs w:val="26"/>
              </w:rPr>
              <w:t>7.3%</w:t>
            </w:r>
          </w:p>
        </w:tc>
        <w:tc>
          <w:tcPr>
            <w:tcW w:w="2225" w:type="dxa"/>
            <w:vAlign w:val="center"/>
          </w:tcPr>
          <w:p w:rsidR="002337BA" w:rsidRPr="00CA3AC6" w:rsidRDefault="0032247B" w:rsidP="0051334B">
            <w:pPr>
              <w:adjustRightInd w:val="0"/>
              <w:jc w:val="right"/>
              <w:rPr>
                <w:rFonts w:hAnsi="標楷體"/>
                <w:color w:val="000000" w:themeColor="text1"/>
                <w:kern w:val="0"/>
                <w:sz w:val="26"/>
                <w:szCs w:val="26"/>
              </w:rPr>
            </w:pPr>
            <w:r w:rsidRPr="00CA3AC6">
              <w:rPr>
                <w:rFonts w:hAnsi="標楷體" w:hint="eastAsia"/>
                <w:color w:val="000000" w:themeColor="text1"/>
                <w:kern w:val="0"/>
                <w:sz w:val="26"/>
                <w:szCs w:val="26"/>
              </w:rPr>
              <w:t>-2.0%</w:t>
            </w:r>
          </w:p>
        </w:tc>
      </w:tr>
      <w:tr w:rsidR="00CA3AC6" w:rsidRPr="00CA3AC6" w:rsidTr="0051334B">
        <w:trPr>
          <w:jc w:val="center"/>
        </w:trPr>
        <w:tc>
          <w:tcPr>
            <w:tcW w:w="2225" w:type="dxa"/>
            <w:vAlign w:val="center"/>
          </w:tcPr>
          <w:p w:rsidR="002337BA" w:rsidRPr="00CA3AC6" w:rsidRDefault="002972B2" w:rsidP="0051334B">
            <w:pPr>
              <w:adjustRightInd w:val="0"/>
              <w:jc w:val="center"/>
              <w:rPr>
                <w:rFonts w:hAnsi="標楷體"/>
                <w:color w:val="000000" w:themeColor="text1"/>
                <w:kern w:val="0"/>
                <w:sz w:val="26"/>
                <w:szCs w:val="26"/>
              </w:rPr>
            </w:pPr>
            <w:r w:rsidRPr="00CA3AC6">
              <w:rPr>
                <w:rFonts w:hAnsi="標楷體" w:cs="HiddenHorzOCR" w:hint="eastAsia"/>
                <w:color w:val="000000" w:themeColor="text1"/>
                <w:sz w:val="26"/>
                <w:szCs w:val="26"/>
              </w:rPr>
              <w:t>義大利</w:t>
            </w:r>
          </w:p>
        </w:tc>
        <w:tc>
          <w:tcPr>
            <w:tcW w:w="2225" w:type="dxa"/>
            <w:vAlign w:val="center"/>
          </w:tcPr>
          <w:p w:rsidR="002337BA" w:rsidRPr="00CA3AC6" w:rsidRDefault="0032247B" w:rsidP="0051334B">
            <w:pPr>
              <w:adjustRightInd w:val="0"/>
              <w:jc w:val="right"/>
              <w:rPr>
                <w:rFonts w:hAnsi="標楷體"/>
                <w:color w:val="000000" w:themeColor="text1"/>
                <w:kern w:val="0"/>
                <w:sz w:val="26"/>
                <w:szCs w:val="26"/>
              </w:rPr>
            </w:pPr>
            <w:r w:rsidRPr="00CA3AC6">
              <w:rPr>
                <w:rFonts w:hAnsi="標楷體" w:hint="eastAsia"/>
                <w:color w:val="000000" w:themeColor="text1"/>
                <w:kern w:val="0"/>
                <w:sz w:val="26"/>
                <w:szCs w:val="26"/>
              </w:rPr>
              <w:t>8.5%</w:t>
            </w:r>
          </w:p>
        </w:tc>
        <w:tc>
          <w:tcPr>
            <w:tcW w:w="2225" w:type="dxa"/>
            <w:vAlign w:val="center"/>
          </w:tcPr>
          <w:p w:rsidR="002337BA" w:rsidRPr="00CA3AC6" w:rsidRDefault="0032247B" w:rsidP="0051334B">
            <w:pPr>
              <w:adjustRightInd w:val="0"/>
              <w:jc w:val="right"/>
              <w:rPr>
                <w:rFonts w:hAnsi="標楷體"/>
                <w:color w:val="000000" w:themeColor="text1"/>
                <w:kern w:val="0"/>
                <w:sz w:val="26"/>
                <w:szCs w:val="26"/>
              </w:rPr>
            </w:pPr>
            <w:r w:rsidRPr="00CA3AC6">
              <w:rPr>
                <w:rFonts w:hAnsi="標楷體" w:hint="eastAsia"/>
                <w:color w:val="000000" w:themeColor="text1"/>
                <w:kern w:val="0"/>
                <w:sz w:val="26"/>
                <w:szCs w:val="26"/>
              </w:rPr>
              <w:t>15.0%</w:t>
            </w:r>
          </w:p>
        </w:tc>
        <w:tc>
          <w:tcPr>
            <w:tcW w:w="2225" w:type="dxa"/>
            <w:vAlign w:val="center"/>
          </w:tcPr>
          <w:p w:rsidR="002337BA" w:rsidRPr="00CA3AC6" w:rsidRDefault="0032247B" w:rsidP="0051334B">
            <w:pPr>
              <w:adjustRightInd w:val="0"/>
              <w:jc w:val="right"/>
              <w:rPr>
                <w:rFonts w:hAnsi="標楷體"/>
                <w:color w:val="000000" w:themeColor="text1"/>
                <w:kern w:val="0"/>
                <w:sz w:val="26"/>
                <w:szCs w:val="26"/>
              </w:rPr>
            </w:pPr>
            <w:r w:rsidRPr="00CA3AC6">
              <w:rPr>
                <w:rFonts w:hAnsi="標楷體" w:hint="eastAsia"/>
                <w:color w:val="000000" w:themeColor="text1"/>
                <w:kern w:val="0"/>
                <w:sz w:val="26"/>
                <w:szCs w:val="26"/>
              </w:rPr>
              <w:t>-6.5%</w:t>
            </w:r>
          </w:p>
        </w:tc>
      </w:tr>
      <w:tr w:rsidR="00CA3AC6" w:rsidRPr="00CA3AC6" w:rsidTr="0051334B">
        <w:trPr>
          <w:jc w:val="center"/>
        </w:trPr>
        <w:tc>
          <w:tcPr>
            <w:tcW w:w="2225" w:type="dxa"/>
            <w:vAlign w:val="center"/>
          </w:tcPr>
          <w:p w:rsidR="002337BA" w:rsidRPr="00CA3AC6" w:rsidRDefault="002972B2" w:rsidP="0051334B">
            <w:pPr>
              <w:adjustRightInd w:val="0"/>
              <w:jc w:val="center"/>
              <w:rPr>
                <w:rFonts w:hAnsi="標楷體"/>
                <w:color w:val="000000" w:themeColor="text1"/>
                <w:kern w:val="0"/>
                <w:sz w:val="26"/>
                <w:szCs w:val="26"/>
              </w:rPr>
            </w:pPr>
            <w:r w:rsidRPr="00CA3AC6">
              <w:rPr>
                <w:rFonts w:hAnsi="標楷體" w:cs="HiddenHorzOCR" w:hint="eastAsia"/>
                <w:color w:val="000000" w:themeColor="text1"/>
                <w:sz w:val="26"/>
                <w:szCs w:val="26"/>
              </w:rPr>
              <w:t>加拿大</w:t>
            </w:r>
          </w:p>
        </w:tc>
        <w:tc>
          <w:tcPr>
            <w:tcW w:w="2225" w:type="dxa"/>
            <w:vAlign w:val="center"/>
          </w:tcPr>
          <w:p w:rsidR="002337BA" w:rsidRPr="00CA3AC6" w:rsidRDefault="0032247B" w:rsidP="0051334B">
            <w:pPr>
              <w:adjustRightInd w:val="0"/>
              <w:jc w:val="right"/>
              <w:rPr>
                <w:rFonts w:hAnsi="標楷體"/>
                <w:color w:val="000000" w:themeColor="text1"/>
                <w:kern w:val="0"/>
                <w:sz w:val="26"/>
                <w:szCs w:val="26"/>
              </w:rPr>
            </w:pPr>
            <w:r w:rsidRPr="00CA3AC6">
              <w:rPr>
                <w:rFonts w:hAnsi="標楷體" w:hint="eastAsia"/>
                <w:color w:val="000000" w:themeColor="text1"/>
                <w:kern w:val="0"/>
                <w:sz w:val="26"/>
                <w:szCs w:val="26"/>
              </w:rPr>
              <w:t>10.1%</w:t>
            </w:r>
          </w:p>
        </w:tc>
        <w:tc>
          <w:tcPr>
            <w:tcW w:w="2225" w:type="dxa"/>
            <w:vAlign w:val="center"/>
          </w:tcPr>
          <w:p w:rsidR="002337BA" w:rsidRPr="00CA3AC6" w:rsidRDefault="0032247B" w:rsidP="0051334B">
            <w:pPr>
              <w:adjustRightInd w:val="0"/>
              <w:jc w:val="right"/>
              <w:rPr>
                <w:rFonts w:hAnsi="標楷體"/>
                <w:color w:val="000000" w:themeColor="text1"/>
                <w:kern w:val="0"/>
                <w:sz w:val="26"/>
                <w:szCs w:val="26"/>
              </w:rPr>
            </w:pPr>
            <w:r w:rsidRPr="00CA3AC6">
              <w:rPr>
                <w:rFonts w:hAnsi="標楷體" w:hint="eastAsia"/>
                <w:color w:val="000000" w:themeColor="text1"/>
                <w:kern w:val="0"/>
                <w:sz w:val="26"/>
                <w:szCs w:val="26"/>
              </w:rPr>
              <w:t>12.1%</w:t>
            </w:r>
          </w:p>
        </w:tc>
        <w:tc>
          <w:tcPr>
            <w:tcW w:w="2225" w:type="dxa"/>
            <w:vAlign w:val="center"/>
          </w:tcPr>
          <w:p w:rsidR="002337BA" w:rsidRPr="00CA3AC6" w:rsidRDefault="0032247B" w:rsidP="0051334B">
            <w:pPr>
              <w:adjustRightInd w:val="0"/>
              <w:jc w:val="right"/>
              <w:rPr>
                <w:rFonts w:hAnsi="標楷體"/>
                <w:color w:val="000000" w:themeColor="text1"/>
                <w:kern w:val="0"/>
                <w:sz w:val="26"/>
                <w:szCs w:val="26"/>
              </w:rPr>
            </w:pPr>
            <w:r w:rsidRPr="00CA3AC6">
              <w:rPr>
                <w:rFonts w:hAnsi="標楷體" w:hint="eastAsia"/>
                <w:color w:val="000000" w:themeColor="text1"/>
                <w:kern w:val="0"/>
                <w:sz w:val="26"/>
                <w:szCs w:val="26"/>
              </w:rPr>
              <w:t>-2.0%</w:t>
            </w:r>
          </w:p>
        </w:tc>
      </w:tr>
      <w:tr w:rsidR="00CA3AC6" w:rsidRPr="00CA3AC6" w:rsidTr="0051334B">
        <w:trPr>
          <w:jc w:val="center"/>
        </w:trPr>
        <w:tc>
          <w:tcPr>
            <w:tcW w:w="2225" w:type="dxa"/>
            <w:vAlign w:val="center"/>
          </w:tcPr>
          <w:p w:rsidR="002337BA" w:rsidRPr="00CA3AC6" w:rsidRDefault="002972B2" w:rsidP="0051334B">
            <w:pPr>
              <w:adjustRightInd w:val="0"/>
              <w:jc w:val="center"/>
              <w:rPr>
                <w:rFonts w:hAnsi="標楷體"/>
                <w:color w:val="000000" w:themeColor="text1"/>
                <w:kern w:val="0"/>
                <w:sz w:val="26"/>
                <w:szCs w:val="26"/>
              </w:rPr>
            </w:pPr>
            <w:r w:rsidRPr="00CA3AC6">
              <w:rPr>
                <w:rFonts w:hAnsi="標楷體" w:cs="HiddenHorzOCR" w:hint="eastAsia"/>
                <w:color w:val="000000" w:themeColor="text1"/>
                <w:sz w:val="26"/>
                <w:szCs w:val="26"/>
              </w:rPr>
              <w:t>澳大利亞</w:t>
            </w:r>
          </w:p>
        </w:tc>
        <w:tc>
          <w:tcPr>
            <w:tcW w:w="2225" w:type="dxa"/>
            <w:vAlign w:val="center"/>
          </w:tcPr>
          <w:p w:rsidR="002337BA" w:rsidRPr="00CA3AC6" w:rsidRDefault="0032247B" w:rsidP="0051334B">
            <w:pPr>
              <w:adjustRightInd w:val="0"/>
              <w:jc w:val="right"/>
              <w:rPr>
                <w:rFonts w:hAnsi="標楷體"/>
                <w:color w:val="000000" w:themeColor="text1"/>
                <w:kern w:val="0"/>
                <w:sz w:val="26"/>
                <w:szCs w:val="26"/>
              </w:rPr>
            </w:pPr>
            <w:r w:rsidRPr="00CA3AC6">
              <w:rPr>
                <w:rFonts w:hAnsi="標楷體" w:hint="eastAsia"/>
                <w:color w:val="000000" w:themeColor="text1"/>
                <w:kern w:val="0"/>
                <w:sz w:val="26"/>
                <w:szCs w:val="26"/>
              </w:rPr>
              <w:t>8.9%</w:t>
            </w:r>
          </w:p>
        </w:tc>
        <w:tc>
          <w:tcPr>
            <w:tcW w:w="2225" w:type="dxa"/>
            <w:vAlign w:val="center"/>
          </w:tcPr>
          <w:p w:rsidR="002337BA" w:rsidRPr="00CA3AC6" w:rsidRDefault="0032247B" w:rsidP="0051334B">
            <w:pPr>
              <w:adjustRightInd w:val="0"/>
              <w:jc w:val="right"/>
              <w:rPr>
                <w:rFonts w:hAnsi="標楷體"/>
                <w:color w:val="000000" w:themeColor="text1"/>
                <w:kern w:val="0"/>
                <w:sz w:val="26"/>
                <w:szCs w:val="26"/>
              </w:rPr>
            </w:pPr>
            <w:r w:rsidRPr="00CA3AC6">
              <w:rPr>
                <w:rFonts w:hAnsi="標楷體" w:hint="eastAsia"/>
                <w:color w:val="000000" w:themeColor="text1"/>
                <w:kern w:val="0"/>
                <w:sz w:val="26"/>
                <w:szCs w:val="26"/>
              </w:rPr>
              <w:t>9.8%</w:t>
            </w:r>
          </w:p>
        </w:tc>
        <w:tc>
          <w:tcPr>
            <w:tcW w:w="2225" w:type="dxa"/>
            <w:vAlign w:val="center"/>
          </w:tcPr>
          <w:p w:rsidR="002337BA" w:rsidRPr="00CA3AC6" w:rsidRDefault="0032247B" w:rsidP="0051334B">
            <w:pPr>
              <w:adjustRightInd w:val="0"/>
              <w:jc w:val="right"/>
              <w:rPr>
                <w:rFonts w:hAnsi="標楷體"/>
                <w:color w:val="000000" w:themeColor="text1"/>
                <w:kern w:val="0"/>
                <w:sz w:val="26"/>
                <w:szCs w:val="26"/>
              </w:rPr>
            </w:pPr>
            <w:r w:rsidRPr="00CA3AC6">
              <w:rPr>
                <w:rFonts w:hAnsi="標楷體" w:hint="eastAsia"/>
                <w:color w:val="000000" w:themeColor="text1"/>
                <w:kern w:val="0"/>
                <w:sz w:val="26"/>
                <w:szCs w:val="26"/>
              </w:rPr>
              <w:t>-0.9%</w:t>
            </w:r>
          </w:p>
        </w:tc>
      </w:tr>
    </w:tbl>
    <w:p w:rsidR="002972B2" w:rsidRPr="00CA3AC6" w:rsidRDefault="002972B2" w:rsidP="00754024">
      <w:pPr>
        <w:adjustRightInd w:val="0"/>
        <w:rPr>
          <w:rFonts w:hAnsi="標楷體"/>
          <w:color w:val="000000" w:themeColor="text1"/>
          <w:kern w:val="0"/>
          <w:sz w:val="24"/>
          <w:szCs w:val="24"/>
        </w:rPr>
      </w:pPr>
      <w:r w:rsidRPr="00CA3AC6">
        <w:rPr>
          <w:rFonts w:hAnsi="標楷體" w:hint="eastAsia"/>
          <w:color w:val="000000" w:themeColor="text1"/>
          <w:kern w:val="0"/>
          <w:sz w:val="24"/>
          <w:szCs w:val="24"/>
        </w:rPr>
        <w:t>資料來源：見piketty.pse.ens.fr/capital21c</w:t>
      </w:r>
    </w:p>
    <w:p w:rsidR="008D7709" w:rsidRPr="00CA3AC6" w:rsidRDefault="002972B2" w:rsidP="00754024">
      <w:pPr>
        <w:adjustRightInd w:val="0"/>
        <w:rPr>
          <w:rFonts w:hAnsi="標楷體"/>
          <w:color w:val="000000" w:themeColor="text1"/>
          <w:kern w:val="0"/>
          <w:sz w:val="24"/>
          <w:szCs w:val="24"/>
        </w:rPr>
      </w:pPr>
      <w:proofErr w:type="gramStart"/>
      <w:r w:rsidRPr="00CA3AC6">
        <w:rPr>
          <w:rFonts w:hAnsi="標楷體" w:hint="eastAsia"/>
          <w:color w:val="000000" w:themeColor="text1"/>
          <w:kern w:val="0"/>
          <w:sz w:val="24"/>
          <w:szCs w:val="24"/>
        </w:rPr>
        <w:t>註</w:t>
      </w:r>
      <w:proofErr w:type="gramEnd"/>
      <w:r w:rsidRPr="00CA3AC6">
        <w:rPr>
          <w:rFonts w:hAnsi="標楷體" w:hint="eastAsia"/>
          <w:color w:val="000000" w:themeColor="text1"/>
          <w:kern w:val="0"/>
          <w:sz w:val="24"/>
          <w:szCs w:val="24"/>
        </w:rPr>
        <w:t>：1.國民儲蓄＝民間＋公共儲蓄，係將資本折舊扣除，以國民所得%計。</w:t>
      </w:r>
    </w:p>
    <w:p w:rsidR="008D7709" w:rsidRPr="00CA3AC6" w:rsidRDefault="002972B2" w:rsidP="00754024">
      <w:pPr>
        <w:adjustRightInd w:val="0"/>
        <w:ind w:firstLineChars="180" w:firstLine="468"/>
        <w:rPr>
          <w:rFonts w:hAnsi="標楷體"/>
          <w:color w:val="000000" w:themeColor="text1"/>
          <w:kern w:val="0"/>
          <w:sz w:val="24"/>
          <w:szCs w:val="24"/>
        </w:rPr>
      </w:pPr>
      <w:r w:rsidRPr="00CA3AC6">
        <w:rPr>
          <w:rFonts w:hAnsi="標楷體" w:hint="eastAsia"/>
          <w:color w:val="000000" w:themeColor="text1"/>
          <w:kern w:val="0"/>
          <w:sz w:val="24"/>
          <w:szCs w:val="24"/>
        </w:rPr>
        <w:t>2.民間儲蓄有</w:t>
      </w:r>
      <w:r w:rsidR="0032247B" w:rsidRPr="00CA3AC6">
        <w:rPr>
          <w:rFonts w:hAnsi="標楷體" w:hint="eastAsia"/>
          <w:color w:val="000000" w:themeColor="text1"/>
          <w:kern w:val="0"/>
          <w:sz w:val="24"/>
          <w:szCs w:val="24"/>
        </w:rPr>
        <w:t>一</w:t>
      </w:r>
      <w:r w:rsidRPr="00CA3AC6">
        <w:rPr>
          <w:rFonts w:hAnsi="標楷體" w:hint="eastAsia"/>
          <w:color w:val="000000" w:themeColor="text1"/>
          <w:kern w:val="0"/>
          <w:sz w:val="24"/>
          <w:szCs w:val="24"/>
        </w:rPr>
        <w:t>部分會被公共赤字吸收，故國民儲蓄會低於民間儲蓄。</w:t>
      </w:r>
    </w:p>
    <w:p w:rsidR="00754024" w:rsidRPr="00CA3AC6" w:rsidRDefault="00754024" w:rsidP="00754024">
      <w:pPr>
        <w:adjustRightInd w:val="0"/>
        <w:ind w:firstLineChars="180" w:firstLine="468"/>
        <w:rPr>
          <w:rFonts w:hAnsi="標楷體"/>
          <w:color w:val="000000" w:themeColor="text1"/>
          <w:kern w:val="0"/>
          <w:sz w:val="24"/>
          <w:szCs w:val="24"/>
        </w:rPr>
      </w:pPr>
    </w:p>
    <w:p w:rsidR="00EE52DB" w:rsidRPr="00853210" w:rsidRDefault="00013346" w:rsidP="006F1DB9">
      <w:pPr>
        <w:pStyle w:val="4"/>
        <w:rPr>
          <w:rFonts w:hAnsi="標楷體"/>
        </w:rPr>
      </w:pPr>
      <w:r w:rsidRPr="00853210">
        <w:rPr>
          <w:rFonts w:hAnsi="標楷體" w:hint="eastAsia"/>
        </w:rPr>
        <w:t>我國自</w:t>
      </w:r>
      <w:r w:rsidR="005D3106" w:rsidRPr="00853210">
        <w:rPr>
          <w:rFonts w:hAnsi="標楷體" w:hint="eastAsia"/>
        </w:rPr>
        <w:t>民國80年</w:t>
      </w:r>
      <w:r w:rsidR="00EE52DB" w:rsidRPr="00853210">
        <w:rPr>
          <w:rFonts w:hAnsi="標楷體" w:hint="eastAsia"/>
        </w:rPr>
        <w:t>起</w:t>
      </w:r>
      <w:r w:rsidRPr="00853210">
        <w:rPr>
          <w:rFonts w:hAnsi="標楷體" w:hint="eastAsia"/>
        </w:rPr>
        <w:t>，</w:t>
      </w:r>
      <w:r w:rsidR="00EE52DB" w:rsidRPr="00853210">
        <w:rPr>
          <w:rFonts w:hAnsi="標楷體" w:hint="eastAsia"/>
        </w:rPr>
        <w:t>由行政機關</w:t>
      </w:r>
      <w:r w:rsidRPr="00853210">
        <w:rPr>
          <w:rFonts w:hAnsi="標楷體" w:hint="eastAsia"/>
        </w:rPr>
        <w:t>所</w:t>
      </w:r>
      <w:r w:rsidR="00EE52DB" w:rsidRPr="00853210">
        <w:rPr>
          <w:rFonts w:hAnsi="標楷體" w:hint="eastAsia"/>
        </w:rPr>
        <w:t>起草制定</w:t>
      </w:r>
      <w:r w:rsidRPr="00853210">
        <w:rPr>
          <w:rFonts w:hAnsi="標楷體" w:hint="eastAsia"/>
        </w:rPr>
        <w:t>之</w:t>
      </w:r>
      <w:r w:rsidR="00EE52DB" w:rsidRPr="00853210">
        <w:rPr>
          <w:rFonts w:hAnsi="標楷體" w:hint="eastAsia"/>
        </w:rPr>
        <w:t>各項法律，</w:t>
      </w:r>
      <w:r w:rsidRPr="00853210">
        <w:rPr>
          <w:rFonts w:hAnsi="標楷體" w:hint="eastAsia"/>
        </w:rPr>
        <w:t>逐漸</w:t>
      </w:r>
      <w:r w:rsidR="00E524D6" w:rsidRPr="00853210">
        <w:rPr>
          <w:rFonts w:hAnsi="標楷體" w:hint="eastAsia"/>
        </w:rPr>
        <w:t>造成公共財私有化的情形</w:t>
      </w:r>
      <w:r w:rsidR="00532E4E" w:rsidRPr="00853210">
        <w:rPr>
          <w:rFonts w:hAnsi="標楷體" w:hint="eastAsia"/>
        </w:rPr>
        <w:t>，非常嚴重</w:t>
      </w:r>
      <w:r w:rsidR="00EE52DB" w:rsidRPr="00853210">
        <w:rPr>
          <w:rFonts w:hAnsi="標楷體" w:hint="eastAsia"/>
        </w:rPr>
        <w:t>。</w:t>
      </w:r>
      <w:r w:rsidR="006F1DB9" w:rsidRPr="00853210">
        <w:rPr>
          <w:rFonts w:hAnsi="標楷體" w:hint="eastAsia"/>
        </w:rPr>
        <w:t>以</w:t>
      </w:r>
      <w:r w:rsidR="00EE52DB" w:rsidRPr="00853210">
        <w:rPr>
          <w:rFonts w:hAnsi="標楷體" w:hint="eastAsia"/>
        </w:rPr>
        <w:t>臺灣最早</w:t>
      </w:r>
      <w:r w:rsidR="006F1DB9" w:rsidRPr="00853210">
        <w:rPr>
          <w:rFonts w:hAnsi="標楷體" w:hint="eastAsia"/>
        </w:rPr>
        <w:t>的</w:t>
      </w:r>
      <w:r w:rsidR="00072EB9" w:rsidRPr="00853210">
        <w:rPr>
          <w:rFonts w:hAnsi="標楷體" w:hint="eastAsia"/>
        </w:rPr>
        <w:t>民間參與興建營運臺灣南北高速鐵路案</w:t>
      </w:r>
      <w:r w:rsidR="006F1DB9" w:rsidRPr="00853210">
        <w:rPr>
          <w:rFonts w:hAnsi="標楷體" w:hint="eastAsia"/>
          <w:szCs w:val="32"/>
        </w:rPr>
        <w:t>（下稱高鐵案）</w:t>
      </w:r>
      <w:r w:rsidR="006F1DB9" w:rsidRPr="00853210">
        <w:rPr>
          <w:rFonts w:hAnsi="標楷體" w:hint="eastAsia"/>
        </w:rPr>
        <w:t>而論，</w:t>
      </w:r>
      <w:r w:rsidR="00EE52DB" w:rsidRPr="00853210">
        <w:rPr>
          <w:rFonts w:hAnsi="標楷體" w:hint="eastAsia"/>
        </w:rPr>
        <w:t>政府</w:t>
      </w:r>
      <w:proofErr w:type="gramStart"/>
      <w:r w:rsidR="006F1DB9" w:rsidRPr="00853210">
        <w:rPr>
          <w:rFonts w:hAnsi="標楷體" w:hint="eastAsia"/>
        </w:rPr>
        <w:t>原主張</w:t>
      </w:r>
      <w:r w:rsidR="00EE52DB" w:rsidRPr="00853210">
        <w:rPr>
          <w:rFonts w:hAnsi="標楷體" w:hint="eastAsia"/>
        </w:rPr>
        <w:t>零出</w:t>
      </w:r>
      <w:r w:rsidR="00EE52DB" w:rsidRPr="00853210">
        <w:rPr>
          <w:rFonts w:hAnsi="標楷體" w:hint="eastAsia"/>
        </w:rPr>
        <w:lastRenderedPageBreak/>
        <w:t>資</w:t>
      </w:r>
      <w:proofErr w:type="gramEnd"/>
      <w:r w:rsidR="00EE52DB" w:rsidRPr="00853210">
        <w:rPr>
          <w:rFonts w:hAnsi="標楷體" w:hint="eastAsia"/>
        </w:rPr>
        <w:t>，事實</w:t>
      </w:r>
      <w:r w:rsidR="006F1DB9" w:rsidRPr="00853210">
        <w:rPr>
          <w:rFonts w:hAnsi="標楷體" w:hint="eastAsia"/>
        </w:rPr>
        <w:t>上</w:t>
      </w:r>
      <w:r w:rsidR="00EE52DB" w:rsidRPr="00853210">
        <w:rPr>
          <w:rFonts w:hAnsi="標楷體" w:hint="eastAsia"/>
        </w:rPr>
        <w:t>從興建開始，即由政府不斷增資或擔</w:t>
      </w:r>
      <w:r w:rsidR="00EE52DB" w:rsidRPr="001C6CB3">
        <w:rPr>
          <w:rFonts w:hAnsi="標楷體" w:hint="eastAsia"/>
        </w:rPr>
        <w:t>保</w:t>
      </w:r>
      <w:r w:rsidR="00EE52DB" w:rsidRPr="001C6CB3">
        <w:rPr>
          <w:rStyle w:val="afc"/>
          <w:rFonts w:hAnsi="標楷體"/>
          <w:color w:val="000000" w:themeColor="text1"/>
          <w:szCs w:val="32"/>
        </w:rPr>
        <w:footnoteReference w:id="33"/>
      </w:r>
      <w:r w:rsidR="00AE7EB2" w:rsidRPr="001C6CB3">
        <w:rPr>
          <w:rFonts w:hAnsi="標楷體" w:hint="eastAsia"/>
        </w:rPr>
        <w:t>，原始民間5</w:t>
      </w:r>
      <w:r w:rsidR="00EE52DB" w:rsidRPr="001C6CB3">
        <w:rPr>
          <w:rFonts w:hAnsi="標楷體" w:hint="eastAsia"/>
        </w:rPr>
        <w:t>大股東早透過營建除將全部投入資金取回外，更獲有極大利潤。然因正式營運時與預估日運量有重大差異，為彌補虧損，逼使立法院不得不於104年6月修正獎勵民間參與交通建設條例第4條規定為：「</w:t>
      </w:r>
      <w:r w:rsidR="00EE52DB" w:rsidRPr="001C6CB3">
        <w:rPr>
          <w:rFonts w:hAnsi="標楷體" w:hint="eastAsia"/>
          <w:bCs/>
        </w:rPr>
        <w:t>本條例所稱民間機構，係指依公司法設立之公司；其有政府、公營事業出資或捐助者，其出資或捐助不得超過該公司資本總額或財產總額</w:t>
      </w:r>
      <w:r w:rsidR="00AE7EB2" w:rsidRPr="001C6CB3">
        <w:rPr>
          <w:rFonts w:hAnsi="標楷體" w:hint="eastAsia"/>
          <w:bCs/>
        </w:rPr>
        <w:t>20%</w:t>
      </w:r>
      <w:r w:rsidR="00EE52DB" w:rsidRPr="001C6CB3">
        <w:rPr>
          <w:rFonts w:hAnsi="標楷體" w:hint="eastAsia"/>
          <w:bCs/>
        </w:rPr>
        <w:t>。前項總額比例限制之規定，於民間參與興建營運臺灣南北高速鐵路案應低於該公司資本總額或財產總額</w:t>
      </w:r>
      <w:r w:rsidR="00AE7EB2" w:rsidRPr="001C6CB3">
        <w:rPr>
          <w:rFonts w:hAnsi="標楷體" w:hint="eastAsia"/>
          <w:bCs/>
        </w:rPr>
        <w:t>50%</w:t>
      </w:r>
      <w:r w:rsidR="00EE52DB" w:rsidRPr="001C6CB3">
        <w:rPr>
          <w:rFonts w:hAnsi="標楷體" w:hint="eastAsia"/>
          <w:bCs/>
        </w:rPr>
        <w:t>。」而</w:t>
      </w:r>
      <w:r w:rsidR="00EE52DB" w:rsidRPr="001C6CB3">
        <w:rPr>
          <w:rFonts w:hAnsi="標楷體" w:hint="eastAsia"/>
        </w:rPr>
        <w:t>其立法理由為「目前適用獎參條例之民間參與興建營運臺灣南北高速鐵路案，發生財務問題，而有政府協助或主導解決之需求，擬由高鐵相關建設基金直接出資242億元、政府得以掌握董監事席次優勢之公司或法人（泛公股）投資58</w:t>
      </w:r>
      <w:r w:rsidR="00EA15D9" w:rsidRPr="001C6CB3">
        <w:rPr>
          <w:rFonts w:hAnsi="標楷體" w:hint="eastAsia"/>
        </w:rPr>
        <w:t>億元，以為解決；未來政府、公營事業出資額度將占</w:t>
      </w:r>
      <w:r w:rsidR="00EE52DB" w:rsidRPr="001C6CB3">
        <w:rPr>
          <w:rFonts w:hAnsi="標楷體" w:hint="eastAsia"/>
        </w:rPr>
        <w:t>臺灣高鐵公司資本總額約49%，</w:t>
      </w:r>
      <w:proofErr w:type="gramStart"/>
      <w:r w:rsidR="00EE52DB" w:rsidRPr="001C6CB3">
        <w:rPr>
          <w:rFonts w:hAnsi="標楷體" w:hint="eastAsia"/>
        </w:rPr>
        <w:t>加計泛公股</w:t>
      </w:r>
      <w:proofErr w:type="gramEnd"/>
      <w:r w:rsidR="00EE52DB" w:rsidRPr="001C6CB3">
        <w:rPr>
          <w:rFonts w:hAnsi="標楷體" w:hint="eastAsia"/>
        </w:rPr>
        <w:t>投資額度後，總持股比率約64%。</w:t>
      </w:r>
      <w:proofErr w:type="gramStart"/>
      <w:r w:rsidR="00EE52DB" w:rsidRPr="001C6CB3">
        <w:rPr>
          <w:rFonts w:hAnsi="標楷體" w:hint="eastAsia"/>
        </w:rPr>
        <w:t>爰</w:t>
      </w:r>
      <w:proofErr w:type="gramEnd"/>
      <w:r w:rsidR="00EE52DB" w:rsidRPr="001C6CB3">
        <w:rPr>
          <w:rFonts w:hAnsi="標楷體" w:hint="eastAsia"/>
        </w:rPr>
        <w:t>原條文規定應有就高鐵案修正放寬之必要。為維持高鐵案之民間機構仍具民營企業型態，經參酌國營事業管理法第</w:t>
      </w:r>
      <w:r w:rsidR="00AE7EB2" w:rsidRPr="001C6CB3">
        <w:rPr>
          <w:rFonts w:hAnsi="標楷體" w:hint="eastAsia"/>
        </w:rPr>
        <w:t>3</w:t>
      </w:r>
      <w:r w:rsidR="00EE52DB" w:rsidRPr="001C6CB3">
        <w:rPr>
          <w:rFonts w:hAnsi="標楷體" w:hint="eastAsia"/>
        </w:rPr>
        <w:t>條第</w:t>
      </w:r>
      <w:r w:rsidR="00AE7EB2" w:rsidRPr="001C6CB3">
        <w:rPr>
          <w:rFonts w:hAnsi="標楷體" w:hint="eastAsia"/>
        </w:rPr>
        <w:t>1</w:t>
      </w:r>
      <w:r w:rsidR="00EE52DB" w:rsidRPr="001C6CB3">
        <w:rPr>
          <w:rFonts w:hAnsi="標楷體" w:hint="eastAsia"/>
        </w:rPr>
        <w:t>項第</w:t>
      </w:r>
      <w:r w:rsidR="00AE7EB2" w:rsidRPr="001C6CB3">
        <w:rPr>
          <w:rFonts w:hAnsi="標楷體" w:hint="eastAsia"/>
        </w:rPr>
        <w:t>3</w:t>
      </w:r>
      <w:r w:rsidR="00EE52DB" w:rsidRPr="001C6CB3">
        <w:rPr>
          <w:rFonts w:hAnsi="標楷體" w:hint="eastAsia"/>
        </w:rPr>
        <w:t>款規定：</w:t>
      </w:r>
      <w:r w:rsidR="002D3B2F" w:rsidRPr="001C6CB3">
        <w:rPr>
          <w:rFonts w:hAnsi="標楷體" w:hint="eastAsia"/>
        </w:rPr>
        <w:t>『本法所稱國營事業如下：…</w:t>
      </w:r>
      <w:proofErr w:type="gramStart"/>
      <w:r w:rsidR="002D3B2F" w:rsidRPr="001C6CB3">
        <w:rPr>
          <w:rFonts w:hAnsi="標楷體" w:hint="eastAsia"/>
        </w:rPr>
        <w:t>…</w:t>
      </w:r>
      <w:proofErr w:type="gramEnd"/>
      <w:r w:rsidR="002D3B2F" w:rsidRPr="001C6CB3">
        <w:rPr>
          <w:rFonts w:hAnsi="標楷體" w:hint="eastAsia"/>
        </w:rPr>
        <w:t>三、依公司法之規定，由政府與人民合資經營，政府資本超過50%者。』</w:t>
      </w:r>
      <w:proofErr w:type="gramStart"/>
      <w:r w:rsidR="00AE7EB2" w:rsidRPr="001C6CB3">
        <w:rPr>
          <w:rFonts w:hAnsi="標楷體" w:hint="eastAsia"/>
        </w:rPr>
        <w:t>爰</w:t>
      </w:r>
      <w:proofErr w:type="gramEnd"/>
      <w:r w:rsidR="00AE7EB2" w:rsidRPr="001C6CB3">
        <w:rPr>
          <w:rFonts w:hAnsi="標楷體" w:hint="eastAsia"/>
        </w:rPr>
        <w:t>增列第2</w:t>
      </w:r>
      <w:r w:rsidR="00EE52DB" w:rsidRPr="001C6CB3">
        <w:rPr>
          <w:rFonts w:hAnsi="標楷體" w:hint="eastAsia"/>
        </w:rPr>
        <w:t>項，就高鐵案放寬本條有關政府、公營事業出資或捐助者，其出資</w:t>
      </w:r>
      <w:r w:rsidR="00EE52DB" w:rsidRPr="001C6CB3">
        <w:rPr>
          <w:rFonts w:hAnsi="標楷體" w:hint="eastAsia"/>
        </w:rPr>
        <w:lastRenderedPageBreak/>
        <w:t>或捐助不得超過該公司資本總額或</w:t>
      </w:r>
      <w:r w:rsidR="00EE52DB" w:rsidRPr="007F296A">
        <w:rPr>
          <w:rFonts w:hAnsi="標楷體" w:hint="eastAsia"/>
        </w:rPr>
        <w:t>財產總額</w:t>
      </w:r>
      <w:r w:rsidR="00AE7EB2" w:rsidRPr="007F296A">
        <w:rPr>
          <w:rFonts w:hAnsi="標楷體" w:hint="eastAsia"/>
        </w:rPr>
        <w:t>20%</w:t>
      </w:r>
      <w:r w:rsidR="00EE52DB" w:rsidRPr="007F296A">
        <w:rPr>
          <w:rFonts w:hAnsi="標楷體" w:hint="eastAsia"/>
        </w:rPr>
        <w:t>之規定為</w:t>
      </w:r>
      <w:r w:rsidR="00AE7EB2" w:rsidRPr="007F296A">
        <w:rPr>
          <w:rFonts w:hAnsi="標楷體" w:hint="eastAsia"/>
        </w:rPr>
        <w:t>50%</w:t>
      </w:r>
      <w:r w:rsidR="00EE52DB" w:rsidRPr="007F296A">
        <w:rPr>
          <w:rFonts w:hAnsi="標楷體" w:hint="eastAsia"/>
        </w:rPr>
        <w:t>。」</w:t>
      </w:r>
      <w:r w:rsidR="006F1DB9" w:rsidRPr="007F296A">
        <w:rPr>
          <w:rFonts w:hAnsi="標楷體" w:hint="eastAsia"/>
        </w:rPr>
        <w:t>由上可知，高鐵案</w:t>
      </w:r>
      <w:r w:rsidR="006F1DB9" w:rsidRPr="00853210">
        <w:rPr>
          <w:rFonts w:hAnsi="標楷體" w:hint="eastAsia"/>
        </w:rPr>
        <w:t>之轉折，已成為</w:t>
      </w:r>
      <w:r w:rsidR="00123FBB" w:rsidRPr="00853210">
        <w:rPr>
          <w:rFonts w:hAnsi="標楷體" w:hint="eastAsia"/>
        </w:rPr>
        <w:t>政府將公共財</w:t>
      </w:r>
      <w:r w:rsidR="006F1DB9" w:rsidRPr="00853210">
        <w:rPr>
          <w:rFonts w:hAnsi="標楷體" w:hint="eastAsia"/>
        </w:rPr>
        <w:t>私有化</w:t>
      </w:r>
      <w:r w:rsidR="00123FBB" w:rsidRPr="00853210">
        <w:rPr>
          <w:rFonts w:hAnsi="標楷體" w:hint="eastAsia"/>
        </w:rPr>
        <w:t>的</w:t>
      </w:r>
      <w:r w:rsidR="006F1DB9" w:rsidRPr="00853210">
        <w:rPr>
          <w:rFonts w:hAnsi="標楷體" w:hint="eastAsia"/>
        </w:rPr>
        <w:t>不良</w:t>
      </w:r>
      <w:r w:rsidR="00EE52DB" w:rsidRPr="00853210">
        <w:rPr>
          <w:rFonts w:hAnsi="標楷體" w:hint="eastAsia"/>
        </w:rPr>
        <w:t>示範</w:t>
      </w:r>
      <w:r w:rsidR="008759D6" w:rsidRPr="00853210">
        <w:rPr>
          <w:rFonts w:hAnsi="標楷體" w:hint="eastAsia"/>
        </w:rPr>
        <w:t>。</w:t>
      </w:r>
    </w:p>
    <w:p w:rsidR="005E44A9" w:rsidRPr="00853210" w:rsidRDefault="00123FBB" w:rsidP="00DE6D3E">
      <w:pPr>
        <w:pStyle w:val="4"/>
      </w:pPr>
      <w:r w:rsidRPr="00853210">
        <w:rPr>
          <w:rFonts w:hAnsi="標楷體" w:hint="eastAsia"/>
        </w:rPr>
        <w:t>近年我國改</w:t>
      </w:r>
      <w:proofErr w:type="gramStart"/>
      <w:r w:rsidRPr="00853210">
        <w:rPr>
          <w:rFonts w:hAnsi="標楷體" w:hint="eastAsia"/>
        </w:rPr>
        <w:t>採</w:t>
      </w:r>
      <w:proofErr w:type="gramEnd"/>
      <w:r w:rsidRPr="00853210">
        <w:rPr>
          <w:rFonts w:hAnsi="標楷體" w:hint="eastAsia"/>
        </w:rPr>
        <w:t>5等分之所得分配比，</w:t>
      </w:r>
      <w:r w:rsidR="007720DB" w:rsidRPr="00853210">
        <w:rPr>
          <w:rFonts w:hAnsi="標楷體" w:hint="eastAsia"/>
        </w:rPr>
        <w:t>依</w:t>
      </w:r>
      <w:r w:rsidR="00EE52DB" w:rsidRPr="00853210">
        <w:rPr>
          <w:rFonts w:hAnsi="標楷體"/>
        </w:rPr>
        <w:t>財政部102</w:t>
      </w:r>
      <w:r w:rsidR="007720DB" w:rsidRPr="00853210">
        <w:rPr>
          <w:rFonts w:hAnsi="標楷體"/>
        </w:rPr>
        <w:t>年</w:t>
      </w:r>
      <w:r w:rsidR="00EE52DB" w:rsidRPr="00853210">
        <w:rPr>
          <w:rFonts w:hAnsi="標楷體"/>
        </w:rPr>
        <w:t>綜所稅</w:t>
      </w:r>
      <w:r w:rsidR="007720DB" w:rsidRPr="00853210">
        <w:rPr>
          <w:rFonts w:hAnsi="標楷體" w:hint="eastAsia"/>
        </w:rPr>
        <w:t>統計</w:t>
      </w:r>
      <w:r w:rsidR="00EE52DB" w:rsidRPr="00853210">
        <w:rPr>
          <w:rFonts w:hAnsi="標楷體"/>
        </w:rPr>
        <w:t>資料</w:t>
      </w:r>
      <w:r w:rsidR="007720DB" w:rsidRPr="00853210">
        <w:rPr>
          <w:rFonts w:hAnsi="標楷體"/>
        </w:rPr>
        <w:t>，</w:t>
      </w:r>
      <w:proofErr w:type="gramStart"/>
      <w:r w:rsidR="007720DB" w:rsidRPr="00853210">
        <w:rPr>
          <w:rFonts w:hAnsi="標楷體" w:hint="eastAsia"/>
        </w:rPr>
        <w:t>按</w:t>
      </w:r>
      <w:r w:rsidR="00EE52DB" w:rsidRPr="00853210">
        <w:rPr>
          <w:rFonts w:hAnsi="標楷體"/>
        </w:rPr>
        <w:t>稅前</w:t>
      </w:r>
      <w:proofErr w:type="gramEnd"/>
      <w:r w:rsidR="00EE52DB" w:rsidRPr="00853210">
        <w:rPr>
          <w:rFonts w:hAnsi="標楷體"/>
        </w:rPr>
        <w:t>所得總額</w:t>
      </w:r>
      <w:r w:rsidR="007720DB" w:rsidRPr="00853210">
        <w:rPr>
          <w:rFonts w:hAnsi="標楷體" w:hint="eastAsia"/>
        </w:rPr>
        <w:t>20</w:t>
      </w:r>
      <w:r w:rsidR="00EE52DB" w:rsidRPr="00853210">
        <w:rPr>
          <w:rFonts w:hAnsi="標楷體"/>
        </w:rPr>
        <w:t>等分位排序，前5</w:t>
      </w:r>
      <w:r w:rsidR="00AE7EB2" w:rsidRPr="00853210">
        <w:rPr>
          <w:rFonts w:hAnsi="標楷體" w:hint="eastAsia"/>
        </w:rPr>
        <w:t>%</w:t>
      </w:r>
      <w:r w:rsidR="00EE52DB" w:rsidRPr="00853210">
        <w:rPr>
          <w:rFonts w:hAnsi="標楷體"/>
        </w:rPr>
        <w:t>最高家戶所得平均437萬</w:t>
      </w:r>
      <w:r w:rsidR="007720DB" w:rsidRPr="00853210">
        <w:rPr>
          <w:rFonts w:hAnsi="標楷體" w:hint="eastAsia"/>
        </w:rPr>
        <w:t>3,000</w:t>
      </w:r>
      <w:r w:rsidR="00EE52DB" w:rsidRPr="00853210">
        <w:rPr>
          <w:rFonts w:hAnsi="標楷體"/>
        </w:rPr>
        <w:t>元，是最低家戶所得</w:t>
      </w:r>
      <w:r w:rsidR="007720DB" w:rsidRPr="00853210">
        <w:rPr>
          <w:rFonts w:hAnsi="標楷體" w:hint="eastAsia"/>
        </w:rPr>
        <w:t>的</w:t>
      </w:r>
      <w:r w:rsidR="00EE52DB" w:rsidRPr="00853210">
        <w:rPr>
          <w:rFonts w:hAnsi="標楷體" w:hint="eastAsia"/>
        </w:rPr>
        <w:t>99倍。</w:t>
      </w:r>
      <w:r w:rsidRPr="00853210">
        <w:rPr>
          <w:rFonts w:hAnsi="標楷體" w:hint="eastAsia"/>
        </w:rPr>
        <w:t>但</w:t>
      </w:r>
      <w:r w:rsidR="006F1DB9" w:rsidRPr="00853210">
        <w:rPr>
          <w:rFonts w:hAnsi="標楷體" w:hint="eastAsia"/>
        </w:rPr>
        <w:t>據行政院主計總處統計家戶5等分位組之所得分配比與所得差距情形，最高（20%）與最低（20%）僅差距6倍左右。其區分方法係以每戶（家庭）可支配所得為計算標準，以94年為例，前20%家庭可支配所得為179萬6,884元；後20%家庭可支配所得為29萬7,694元，行政院主計總處據此認為所得分配並無惡化云云。</w:t>
      </w:r>
      <w:r w:rsidR="00DE6D3E" w:rsidRPr="00853210">
        <w:rPr>
          <w:rFonts w:hAnsi="標楷體" w:hint="eastAsia"/>
        </w:rPr>
        <w:t>另據財政部99年至101年之3年的第1分位與第5分位綜合所得總額平均數差距倍數約在13，</w:t>
      </w:r>
      <w:proofErr w:type="gramStart"/>
      <w:r w:rsidR="00DE6D3E" w:rsidRPr="00853210">
        <w:rPr>
          <w:rFonts w:hAnsi="標楷體" w:hint="eastAsia"/>
        </w:rPr>
        <w:t>採</w:t>
      </w:r>
      <w:proofErr w:type="gramEnd"/>
      <w:r w:rsidR="00DE6D3E" w:rsidRPr="00853210">
        <w:rPr>
          <w:rFonts w:hAnsi="標楷體" w:hint="eastAsia"/>
        </w:rPr>
        <w:t>10分位則在30-33之間，</w:t>
      </w:r>
      <w:proofErr w:type="gramStart"/>
      <w:r w:rsidR="00DE6D3E" w:rsidRPr="00853210">
        <w:rPr>
          <w:rFonts w:hAnsi="標楷體" w:hint="eastAsia"/>
        </w:rPr>
        <w:t>採</w:t>
      </w:r>
      <w:proofErr w:type="gramEnd"/>
      <w:r w:rsidR="00DE6D3E" w:rsidRPr="00853210">
        <w:rPr>
          <w:rFonts w:hAnsi="標楷體" w:hint="eastAsia"/>
        </w:rPr>
        <w:t>20分位則在85-94之間，</w:t>
      </w:r>
      <w:proofErr w:type="gramStart"/>
      <w:r w:rsidR="00DE6D3E" w:rsidRPr="00853210">
        <w:rPr>
          <w:rFonts w:hAnsi="標楷體" w:hint="eastAsia"/>
        </w:rPr>
        <w:t>採</w:t>
      </w:r>
      <w:proofErr w:type="gramEnd"/>
      <w:r w:rsidR="00DE6D3E" w:rsidRPr="00853210">
        <w:rPr>
          <w:rFonts w:hAnsi="標楷體" w:hint="eastAsia"/>
        </w:rPr>
        <w:t>100分位則在1,451-1,467之間。然財政部自103年起</w:t>
      </w:r>
      <w:proofErr w:type="gramStart"/>
      <w:r w:rsidR="00DE6D3E" w:rsidRPr="00853210">
        <w:rPr>
          <w:rFonts w:hAnsi="標楷體" w:hint="eastAsia"/>
        </w:rPr>
        <w:t>不</w:t>
      </w:r>
      <w:proofErr w:type="gramEnd"/>
      <w:r w:rsidR="00DE6D3E" w:rsidRPr="00853210">
        <w:rPr>
          <w:rFonts w:hAnsi="標楷體" w:hint="eastAsia"/>
        </w:rPr>
        <w:t>公布稅前所得總額五等分以外之相關資料，將家庭年收入180萬元以上受薪家庭，與國內首富歸入同一級而不做區分，掩蓋所得分配惡化之警訊，業招致經濟學者強烈批判。依財政部103年6月30日課稅所得分配統計資料，</w:t>
      </w:r>
      <w:proofErr w:type="gramStart"/>
      <w:r w:rsidR="00DE6D3E" w:rsidRPr="00853210">
        <w:rPr>
          <w:rFonts w:hAnsi="標楷體" w:hint="eastAsia"/>
        </w:rPr>
        <w:t>不</w:t>
      </w:r>
      <w:proofErr w:type="gramEnd"/>
      <w:r w:rsidR="00DE6D3E" w:rsidRPr="00853210">
        <w:rPr>
          <w:rFonts w:hAnsi="標楷體" w:hint="eastAsia"/>
        </w:rPr>
        <w:t>公布理由為：1.</w:t>
      </w:r>
      <w:proofErr w:type="gramStart"/>
      <w:r w:rsidR="00DE6D3E" w:rsidRPr="00853210">
        <w:rPr>
          <w:rFonts w:hAnsi="標楷體" w:hint="eastAsia"/>
        </w:rPr>
        <w:t>國際間多係</w:t>
      </w:r>
      <w:proofErr w:type="gramEnd"/>
      <w:r w:rsidR="00DE6D3E" w:rsidRPr="00853210">
        <w:rPr>
          <w:rFonts w:hAnsi="標楷體" w:hint="eastAsia"/>
        </w:rPr>
        <w:t>以吉尼係數或5等分位家庭所得差距倍數作為衡量所得分配之指標。我國近年來每戶所得差距倍數維持在6倍左右，吉尼係數維持在0.35以下，低於0.4之國際警戒線。2.財政部綜合所得稅申報核定</w:t>
      </w:r>
      <w:proofErr w:type="gramStart"/>
      <w:r w:rsidR="00DE6D3E" w:rsidRPr="00853210">
        <w:rPr>
          <w:rFonts w:hAnsi="標楷體" w:hint="eastAsia"/>
        </w:rPr>
        <w:t>統計專冊所</w:t>
      </w:r>
      <w:proofErr w:type="gramEnd"/>
      <w:r w:rsidR="00DE6D3E" w:rsidRPr="00853210">
        <w:rPr>
          <w:rFonts w:hAnsi="標楷體" w:hint="eastAsia"/>
        </w:rPr>
        <w:t>列所得為課稅資料，未納入「政府移轉支出」各戶所得、免稅所得、分離課稅所得等資料，致申報核定資料無法呈現完整所得狀況，或可供為學術研究及</w:t>
      </w:r>
      <w:r w:rsidR="00DE6D3E" w:rsidRPr="00853210">
        <w:rPr>
          <w:rFonts w:hAnsi="標楷體" w:hint="eastAsia"/>
        </w:rPr>
        <w:lastRenderedPageBreak/>
        <w:t>租稅政策分析參考，不宜</w:t>
      </w:r>
      <w:proofErr w:type="gramStart"/>
      <w:r w:rsidR="00DE6D3E" w:rsidRPr="00853210">
        <w:rPr>
          <w:rFonts w:hAnsi="標楷體" w:hint="eastAsia"/>
        </w:rPr>
        <w:t>逕</w:t>
      </w:r>
      <w:proofErr w:type="gramEnd"/>
      <w:r w:rsidR="00DE6D3E" w:rsidRPr="00853210">
        <w:rPr>
          <w:rFonts w:hAnsi="標楷體" w:hint="eastAsia"/>
        </w:rPr>
        <w:t>作為衡量所得差距</w:t>
      </w:r>
      <w:proofErr w:type="gramStart"/>
      <w:r w:rsidR="00DE6D3E" w:rsidRPr="00853210">
        <w:rPr>
          <w:rFonts w:hAnsi="標楷體" w:hint="eastAsia"/>
        </w:rPr>
        <w:t>之參據</w:t>
      </w:r>
      <w:proofErr w:type="gramEnd"/>
      <w:r w:rsidR="00DE6D3E" w:rsidRPr="00853210">
        <w:rPr>
          <w:rFonts w:hAnsi="標楷體" w:hint="eastAsia"/>
        </w:rPr>
        <w:t>。3.將綜合所得</w:t>
      </w:r>
      <w:proofErr w:type="gramStart"/>
      <w:r w:rsidR="00DE6D3E" w:rsidRPr="00853210">
        <w:rPr>
          <w:rFonts w:hAnsi="標楷體" w:hint="eastAsia"/>
        </w:rPr>
        <w:t>總額切分位</w:t>
      </w:r>
      <w:proofErr w:type="gramEnd"/>
      <w:r w:rsidR="00DE6D3E" w:rsidRPr="00853210">
        <w:rPr>
          <w:rFonts w:hAnsi="標楷體" w:hint="eastAsia"/>
        </w:rPr>
        <w:t>越多，每一分位涵蓋之納稅單位越少，最高分位與最低分位所得差距倍數自然就越大。如以101年稅後所得差距倍數而言，5分位為11倍，10分位為26倍，20分位為71倍，100分位為1,091倍，</w:t>
      </w:r>
      <w:proofErr w:type="gramStart"/>
      <w:r w:rsidR="00DE6D3E" w:rsidRPr="00853210">
        <w:rPr>
          <w:rFonts w:hAnsi="標楷體" w:hint="eastAsia"/>
        </w:rPr>
        <w:t>且切分位</w:t>
      </w:r>
      <w:proofErr w:type="gramEnd"/>
      <w:r w:rsidR="00DE6D3E" w:rsidRPr="00853210">
        <w:rPr>
          <w:rFonts w:hAnsi="標楷體" w:hint="eastAsia"/>
        </w:rPr>
        <w:t>越多，忽略的中間納稅單位也愈多，5等分位差距倍數，即忽略了中間60%納稅單位，10等分位忽略了80%，20等分位忽略了90%，100等分位忽略了98%納稅單位；忽略單位越多，越不能全面顯示真實情形。4.在5分位、10分位、20分位及100 分位下，分別計算我國綜合所得總額與稅後所得(係綜合所得總額減除應納稅額)最高與最低分位之差距倍數，以稅後所得為基礎計算之差距倍數明顯較以綜合所得總額為基礎計算之差距倍數小，顯示我國所得稅累進稅制發揮所得重分配功能，財政部仍將持續努力運用各項財稅措施，以改善所得分配</w:t>
      </w:r>
      <w:r w:rsidR="00590745" w:rsidRPr="00853210">
        <w:rPr>
          <w:rFonts w:hAnsi="標楷體" w:hint="eastAsia"/>
        </w:rPr>
        <w:t>云云，固</w:t>
      </w:r>
      <w:proofErr w:type="gramStart"/>
      <w:r w:rsidR="00590745" w:rsidRPr="00853210">
        <w:rPr>
          <w:rFonts w:hAnsi="標楷體" w:hint="eastAsia"/>
        </w:rPr>
        <w:t>非無見</w:t>
      </w:r>
      <w:proofErr w:type="gramEnd"/>
      <w:r w:rsidR="00590745" w:rsidRPr="00853210">
        <w:rPr>
          <w:rFonts w:hAnsi="標楷體" w:hint="eastAsia"/>
        </w:rPr>
        <w:t>。但</w:t>
      </w:r>
      <w:r w:rsidR="00DE6D3E" w:rsidRPr="00853210">
        <w:rPr>
          <w:rFonts w:hAnsi="標楷體" w:hint="eastAsia"/>
        </w:rPr>
        <w:t>若依據21世紀資本論作者對於貧富差距分析方式係</w:t>
      </w:r>
      <w:proofErr w:type="gramStart"/>
      <w:r w:rsidR="00DE6D3E" w:rsidRPr="00853210">
        <w:rPr>
          <w:rFonts w:hAnsi="標楷體" w:hint="eastAsia"/>
        </w:rPr>
        <w:t>採</w:t>
      </w:r>
      <w:proofErr w:type="gramEnd"/>
      <w:r w:rsidR="00DE6D3E" w:rsidRPr="00853210">
        <w:rPr>
          <w:rFonts w:hAnsi="標楷體" w:hint="eastAsia"/>
        </w:rPr>
        <w:t>前1%（支配階級，dominant class）、前9%（富裕階級，well-to-do class）、前10%（上層階級，upper class）居中之40%（中層階級，middle class），後50%（下層階級，lower class）% ，為區分，何以主管機關不採取此種方式以觀察貧富差距的現象，學者按照上開皮凱提方式重新就財政部資料重新統計，發現目前在臺灣前5%富人業取走國民總收入之30% ，中研院院士朱敬一在天下雜誌「臺灣所得分配惡化隱藏不了」 一文更嚴詞批評政府隱瞞所得分配惡化的警訊，內容略</w:t>
      </w:r>
      <w:proofErr w:type="gramStart"/>
      <w:r w:rsidR="00DE6D3E" w:rsidRPr="00853210">
        <w:rPr>
          <w:rFonts w:hAnsi="標楷體" w:hint="eastAsia"/>
        </w:rPr>
        <w:t>以</w:t>
      </w:r>
      <w:proofErr w:type="gramEnd"/>
      <w:r w:rsidR="00DE6D3E" w:rsidRPr="00853210">
        <w:rPr>
          <w:rFonts w:hAnsi="標楷體" w:hint="eastAsia"/>
        </w:rPr>
        <w:t>：「5等分切割所得最高20%</w:t>
      </w:r>
      <w:proofErr w:type="gramStart"/>
      <w:r w:rsidR="00DE6D3E" w:rsidRPr="00853210">
        <w:rPr>
          <w:rFonts w:hAnsi="標楷體" w:hint="eastAsia"/>
        </w:rPr>
        <w:t>的切分點</w:t>
      </w:r>
      <w:proofErr w:type="gramEnd"/>
      <w:r w:rsidR="00DE6D3E" w:rsidRPr="00853210">
        <w:rPr>
          <w:rFonts w:hAnsi="標楷體" w:hint="eastAsia"/>
        </w:rPr>
        <w:t>在近年是家庭年收入180萬</w:t>
      </w:r>
      <w:r w:rsidR="00DE6D3E" w:rsidRPr="00853210">
        <w:rPr>
          <w:rFonts w:hAnsi="標楷體" w:hint="eastAsia"/>
        </w:rPr>
        <w:lastRenderedPageBreak/>
        <w:t>元以上，這表示夫妻每月各賺8萬元的受薪家庭，會與郭台銘、</w:t>
      </w:r>
      <w:proofErr w:type="gramStart"/>
      <w:r w:rsidR="00DE6D3E" w:rsidRPr="00853210">
        <w:rPr>
          <w:rFonts w:hAnsi="標楷體" w:hint="eastAsia"/>
        </w:rPr>
        <w:t>魏應充等</w:t>
      </w:r>
      <w:proofErr w:type="gramEnd"/>
      <w:r w:rsidR="00DE6D3E" w:rsidRPr="00853210">
        <w:rPr>
          <w:rFonts w:hAnsi="標楷體" w:hint="eastAsia"/>
        </w:rPr>
        <w:t>超級大富歸入同一級而不做區分。如此，若是</w:t>
      </w:r>
      <w:proofErr w:type="gramStart"/>
      <w:r w:rsidR="00DE6D3E" w:rsidRPr="00853210">
        <w:rPr>
          <w:rFonts w:hAnsi="標楷體" w:hint="eastAsia"/>
        </w:rPr>
        <w:t>薪水凍漲但</w:t>
      </w:r>
      <w:proofErr w:type="gramEnd"/>
      <w:r w:rsidR="00DE6D3E" w:rsidRPr="00853210">
        <w:rPr>
          <w:rFonts w:hAnsi="標楷體" w:hint="eastAsia"/>
        </w:rPr>
        <w:t>郭魏等富豪大賺錢，則5等分層級所得比與吉尼係數都不會有太大的改變。這樣的數據當然是不合理的。…</w:t>
      </w:r>
      <w:proofErr w:type="gramStart"/>
      <w:r w:rsidR="00DE6D3E" w:rsidRPr="00853210">
        <w:rPr>
          <w:rFonts w:hAnsi="標楷體" w:hint="eastAsia"/>
        </w:rPr>
        <w:t>…</w:t>
      </w:r>
      <w:proofErr w:type="gramEnd"/>
      <w:r w:rsidR="00DE6D3E" w:rsidRPr="00853210">
        <w:rPr>
          <w:rFonts w:hAnsi="標楷體" w:hint="eastAsia"/>
        </w:rPr>
        <w:t>若將臺灣財稅資料中心所得資料20等分的14年數據，結果是觸目驚心。雖然財稅資料中心與主計處家庭收支調查的資料有些技術屬性的差異，但是如前所述，這些資料做時間數列分析，是絕對有意義的。臺灣20等分層級所得比在過去14年由</w:t>
      </w:r>
      <w:proofErr w:type="gramStart"/>
      <w:r w:rsidR="00DE6D3E" w:rsidRPr="00853210">
        <w:rPr>
          <w:rFonts w:hAnsi="標楷體" w:hint="eastAsia"/>
        </w:rPr>
        <w:t>32倍多暴增</w:t>
      </w:r>
      <w:proofErr w:type="gramEnd"/>
      <w:r w:rsidR="00DE6D3E" w:rsidRPr="00853210">
        <w:rPr>
          <w:rFonts w:hAnsi="標楷體" w:hint="eastAsia"/>
        </w:rPr>
        <w:t>到96倍多；這大概與許多人心裡的感覺若合符節…</w:t>
      </w:r>
      <w:proofErr w:type="gramStart"/>
      <w:r w:rsidR="00DE6D3E" w:rsidRPr="00853210">
        <w:rPr>
          <w:rFonts w:hAnsi="標楷體" w:hint="eastAsia"/>
        </w:rPr>
        <w:t>…</w:t>
      </w:r>
      <w:proofErr w:type="gramEnd"/>
      <w:r w:rsidR="00DE6D3E" w:rsidRPr="00853210">
        <w:rPr>
          <w:rFonts w:hAnsi="標楷體" w:hint="eastAsia"/>
        </w:rPr>
        <w:t>」等語，足見臺灣現實貧富差距非常嚴重。</w:t>
      </w:r>
    </w:p>
    <w:p w:rsidR="00EE52DB" w:rsidRPr="006F1DB9" w:rsidRDefault="00EE52DB" w:rsidP="005E44A9">
      <w:pPr>
        <w:pStyle w:val="4"/>
        <w:numPr>
          <w:ilvl w:val="0"/>
          <w:numId w:val="0"/>
        </w:numPr>
        <w:ind w:left="1701"/>
        <w:rPr>
          <w:rFonts w:hAnsi="標楷體"/>
          <w:color w:val="000000" w:themeColor="text1"/>
        </w:rPr>
      </w:pPr>
      <w:r w:rsidRPr="00CA3AC6">
        <w:rPr>
          <w:rFonts w:hAnsi="標楷體"/>
          <w:noProof/>
          <w:color w:val="000000" w:themeColor="text1"/>
        </w:rPr>
        <w:drawing>
          <wp:inline distT="0" distB="0" distL="0" distR="0" wp14:anchorId="555C7058" wp14:editId="564EC2CC">
            <wp:extent cx="3847465" cy="245745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7465" cy="2457450"/>
                    </a:xfrm>
                    <a:prstGeom prst="rect">
                      <a:avLst/>
                    </a:prstGeom>
                    <a:noFill/>
                  </pic:spPr>
                </pic:pic>
              </a:graphicData>
            </a:graphic>
          </wp:inline>
        </w:drawing>
      </w:r>
    </w:p>
    <w:p w:rsidR="0051769F" w:rsidRPr="00CA3AC6" w:rsidRDefault="0051769F" w:rsidP="005E44A9">
      <w:pPr>
        <w:pStyle w:val="6"/>
        <w:numPr>
          <w:ilvl w:val="0"/>
          <w:numId w:val="0"/>
        </w:numPr>
        <w:ind w:left="2381"/>
        <w:rPr>
          <w:rFonts w:hAnsi="標楷體"/>
          <w:color w:val="000000" w:themeColor="text1"/>
        </w:rPr>
      </w:pPr>
    </w:p>
    <w:tbl>
      <w:tblPr>
        <w:tblW w:w="6662" w:type="dxa"/>
        <w:tblInd w:w="20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538"/>
        <w:gridCol w:w="952"/>
        <w:gridCol w:w="854"/>
        <w:gridCol w:w="854"/>
        <w:gridCol w:w="882"/>
        <w:gridCol w:w="993"/>
        <w:gridCol w:w="589"/>
      </w:tblGrid>
      <w:tr w:rsidR="00CA3AC6" w:rsidRPr="00CA3AC6" w:rsidTr="005E44A9">
        <w:trPr>
          <w:trHeight w:val="360"/>
        </w:trPr>
        <w:tc>
          <w:tcPr>
            <w:tcW w:w="6662" w:type="dxa"/>
            <w:gridSpan w:val="7"/>
            <w:tcBorders>
              <w:top w:val="nil"/>
              <w:left w:val="nil"/>
              <w:bottom w:val="single" w:sz="4" w:space="0" w:color="auto"/>
              <w:right w:val="nil"/>
            </w:tcBorders>
            <w:vAlign w:val="center"/>
          </w:tcPr>
          <w:p w:rsidR="00EE52DB" w:rsidRPr="00CA3AC6" w:rsidRDefault="00EE52DB" w:rsidP="00EE52DB">
            <w:pPr>
              <w:autoSpaceDE/>
              <w:autoSpaceDN/>
              <w:jc w:val="center"/>
              <w:rPr>
                <w:rFonts w:hAnsi="標楷體"/>
                <w:color w:val="000000" w:themeColor="text1"/>
                <w:kern w:val="0"/>
                <w:sz w:val="20"/>
              </w:rPr>
            </w:pPr>
            <w:r w:rsidRPr="00CA3AC6">
              <w:rPr>
                <w:rFonts w:hAnsi="標楷體" w:hint="eastAsia"/>
                <w:bCs/>
                <w:color w:val="000000" w:themeColor="text1"/>
                <w:spacing w:val="-10"/>
                <w:sz w:val="24"/>
              </w:rPr>
              <w:t>我國</w:t>
            </w:r>
            <w:r w:rsidRPr="00CA3AC6">
              <w:rPr>
                <w:rFonts w:hAnsi="標楷體" w:cs="新細明體" w:hint="eastAsia"/>
                <w:bCs/>
                <w:color w:val="000000" w:themeColor="text1"/>
                <w:spacing w:val="-10"/>
                <w:sz w:val="24"/>
              </w:rPr>
              <w:t>戶數五等分位組之所得分配比與所得差距情形表</w:t>
            </w:r>
          </w:p>
        </w:tc>
      </w:tr>
      <w:tr w:rsidR="00CA3AC6" w:rsidRPr="00CA3AC6" w:rsidTr="005E44A9">
        <w:trPr>
          <w:trHeight w:val="186"/>
        </w:trPr>
        <w:tc>
          <w:tcPr>
            <w:tcW w:w="1538" w:type="dxa"/>
            <w:vMerge w:val="restart"/>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jc w:val="center"/>
              <w:rPr>
                <w:rFonts w:hAnsi="標楷體"/>
                <w:color w:val="000000" w:themeColor="text1"/>
                <w:kern w:val="0"/>
                <w:sz w:val="20"/>
              </w:rPr>
            </w:pPr>
            <w:proofErr w:type="gramStart"/>
            <w:r w:rsidRPr="00CA3AC6">
              <w:rPr>
                <w:rFonts w:hAnsi="標楷體" w:hint="eastAsia"/>
                <w:color w:val="000000" w:themeColor="text1"/>
                <w:kern w:val="0"/>
                <w:sz w:val="20"/>
              </w:rPr>
              <w:t>年別</w:t>
            </w:r>
            <w:proofErr w:type="gramEnd"/>
          </w:p>
        </w:tc>
        <w:tc>
          <w:tcPr>
            <w:tcW w:w="4535" w:type="dxa"/>
            <w:gridSpan w:val="5"/>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20" w:lineRule="exact"/>
              <w:jc w:val="center"/>
              <w:rPr>
                <w:rFonts w:hAnsi="標楷體"/>
                <w:color w:val="000000" w:themeColor="text1"/>
                <w:kern w:val="0"/>
                <w:sz w:val="20"/>
              </w:rPr>
            </w:pPr>
            <w:r w:rsidRPr="00CA3AC6">
              <w:rPr>
                <w:rFonts w:hAnsi="標楷體" w:hint="eastAsia"/>
                <w:color w:val="000000" w:themeColor="text1"/>
                <w:kern w:val="0"/>
                <w:sz w:val="20"/>
              </w:rPr>
              <w:t>可支配所得按戶數五等分位組之所得分配比(％)</w:t>
            </w:r>
          </w:p>
        </w:tc>
        <w:tc>
          <w:tcPr>
            <w:tcW w:w="589" w:type="dxa"/>
            <w:vMerge w:val="restart"/>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autoSpaceDE/>
              <w:autoSpaceDN/>
              <w:spacing w:line="220" w:lineRule="exact"/>
              <w:jc w:val="center"/>
              <w:rPr>
                <w:rFonts w:hAnsi="標楷體"/>
                <w:color w:val="000000" w:themeColor="text1"/>
                <w:kern w:val="0"/>
                <w:sz w:val="20"/>
              </w:rPr>
            </w:pPr>
            <w:r w:rsidRPr="00CA3AC6">
              <w:rPr>
                <w:rFonts w:hAnsi="標楷體" w:hint="eastAsia"/>
                <w:color w:val="000000" w:themeColor="text1"/>
                <w:kern w:val="0"/>
                <w:sz w:val="20"/>
              </w:rPr>
              <w:t>第五分位組為第一分位組之倍數(</w:t>
            </w:r>
            <w:proofErr w:type="gramStart"/>
            <w:r w:rsidRPr="00CA3AC6">
              <w:rPr>
                <w:rFonts w:hAnsi="標楷體" w:hint="eastAsia"/>
                <w:color w:val="000000" w:themeColor="text1"/>
                <w:kern w:val="0"/>
                <w:sz w:val="20"/>
              </w:rPr>
              <w:t>倍</w:t>
            </w:r>
            <w:proofErr w:type="gramEnd"/>
            <w:r w:rsidRPr="00CA3AC6">
              <w:rPr>
                <w:rFonts w:hAnsi="標楷體" w:hint="eastAsia"/>
                <w:color w:val="000000" w:themeColor="text1"/>
                <w:kern w:val="0"/>
                <w:sz w:val="20"/>
              </w:rPr>
              <w:t>)</w:t>
            </w:r>
          </w:p>
        </w:tc>
      </w:tr>
      <w:tr w:rsidR="00CA3AC6" w:rsidRPr="00CA3AC6" w:rsidTr="005E44A9">
        <w:trPr>
          <w:trHeight w:val="65"/>
        </w:trPr>
        <w:tc>
          <w:tcPr>
            <w:tcW w:w="1538" w:type="dxa"/>
            <w:vMerge/>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rPr>
                <w:rFonts w:hAnsi="標楷體"/>
                <w:color w:val="000000" w:themeColor="text1"/>
                <w:kern w:val="0"/>
                <w:sz w:val="20"/>
              </w:rPr>
            </w:pPr>
          </w:p>
        </w:tc>
        <w:tc>
          <w:tcPr>
            <w:tcW w:w="952" w:type="dxa"/>
            <w:tcBorders>
              <w:top w:val="single" w:sz="4" w:space="0" w:color="auto"/>
              <w:left w:val="single" w:sz="4" w:space="0" w:color="auto"/>
              <w:bottom w:val="single" w:sz="4" w:space="0" w:color="auto"/>
              <w:right w:val="single" w:sz="4" w:space="0" w:color="auto"/>
            </w:tcBorders>
            <w:hideMark/>
          </w:tcPr>
          <w:p w:rsidR="00EE52DB" w:rsidRPr="00CA3AC6" w:rsidRDefault="00EE52DB" w:rsidP="00EE52DB">
            <w:pPr>
              <w:widowControl/>
              <w:autoSpaceDE/>
              <w:autoSpaceDN/>
              <w:snapToGrid w:val="0"/>
              <w:spacing w:line="220" w:lineRule="exact"/>
              <w:jc w:val="center"/>
              <w:rPr>
                <w:rFonts w:hAnsi="標楷體"/>
                <w:b/>
                <w:bCs/>
                <w:color w:val="000000" w:themeColor="text1"/>
                <w:kern w:val="0"/>
                <w:sz w:val="20"/>
              </w:rPr>
            </w:pPr>
            <w:r w:rsidRPr="00CA3AC6">
              <w:rPr>
                <w:rFonts w:hAnsi="標楷體" w:hint="eastAsia"/>
                <w:b/>
                <w:bCs/>
                <w:color w:val="000000" w:themeColor="text1"/>
                <w:kern w:val="0"/>
                <w:sz w:val="20"/>
              </w:rPr>
              <w:t>1</w:t>
            </w:r>
          </w:p>
          <w:p w:rsidR="00EE52DB" w:rsidRPr="00CA3AC6" w:rsidRDefault="00EE52DB" w:rsidP="00EE52DB">
            <w:pPr>
              <w:autoSpaceDE/>
              <w:autoSpaceDN/>
              <w:snapToGrid w:val="0"/>
              <w:spacing w:line="220" w:lineRule="exact"/>
              <w:jc w:val="center"/>
              <w:rPr>
                <w:rFonts w:hAnsi="標楷體"/>
                <w:b/>
                <w:bCs/>
                <w:color w:val="000000" w:themeColor="text1"/>
                <w:spacing w:val="-10"/>
                <w:w w:val="95"/>
                <w:kern w:val="0"/>
                <w:sz w:val="20"/>
              </w:rPr>
            </w:pPr>
            <w:r w:rsidRPr="00CA3AC6">
              <w:rPr>
                <w:rFonts w:hAnsi="標楷體" w:hint="eastAsia"/>
                <w:color w:val="000000" w:themeColor="text1"/>
                <w:spacing w:val="-10"/>
                <w:w w:val="95"/>
                <w:kern w:val="0"/>
                <w:sz w:val="20"/>
              </w:rPr>
              <w:t>最低所得組</w:t>
            </w:r>
          </w:p>
        </w:tc>
        <w:tc>
          <w:tcPr>
            <w:tcW w:w="854" w:type="dxa"/>
            <w:tcBorders>
              <w:top w:val="single" w:sz="4" w:space="0" w:color="auto"/>
              <w:left w:val="single" w:sz="4" w:space="0" w:color="auto"/>
              <w:bottom w:val="single" w:sz="4" w:space="0" w:color="auto"/>
              <w:right w:val="single" w:sz="4" w:space="0" w:color="auto"/>
            </w:tcBorders>
            <w:hideMark/>
          </w:tcPr>
          <w:p w:rsidR="00EE52DB" w:rsidRPr="00CA3AC6" w:rsidRDefault="00EE52DB" w:rsidP="00EE52DB">
            <w:pPr>
              <w:widowControl/>
              <w:autoSpaceDE/>
              <w:autoSpaceDN/>
              <w:snapToGrid w:val="0"/>
              <w:spacing w:line="220" w:lineRule="exact"/>
              <w:jc w:val="center"/>
              <w:rPr>
                <w:rFonts w:hAnsi="標楷體"/>
                <w:b/>
                <w:bCs/>
                <w:color w:val="000000" w:themeColor="text1"/>
                <w:kern w:val="0"/>
                <w:sz w:val="20"/>
              </w:rPr>
            </w:pPr>
            <w:r w:rsidRPr="00CA3AC6">
              <w:rPr>
                <w:rFonts w:hAnsi="標楷體" w:hint="eastAsia"/>
                <w:b/>
                <w:bCs/>
                <w:color w:val="000000" w:themeColor="text1"/>
                <w:kern w:val="0"/>
                <w:sz w:val="20"/>
              </w:rPr>
              <w:t>2</w:t>
            </w:r>
          </w:p>
        </w:tc>
        <w:tc>
          <w:tcPr>
            <w:tcW w:w="854" w:type="dxa"/>
            <w:tcBorders>
              <w:top w:val="single" w:sz="4" w:space="0" w:color="auto"/>
              <w:left w:val="single" w:sz="4" w:space="0" w:color="auto"/>
              <w:bottom w:val="single" w:sz="4" w:space="0" w:color="auto"/>
              <w:right w:val="single" w:sz="4" w:space="0" w:color="auto"/>
            </w:tcBorders>
            <w:hideMark/>
          </w:tcPr>
          <w:p w:rsidR="00EE52DB" w:rsidRPr="00CA3AC6" w:rsidRDefault="00EE52DB" w:rsidP="00EE52DB">
            <w:pPr>
              <w:widowControl/>
              <w:autoSpaceDE/>
              <w:autoSpaceDN/>
              <w:snapToGrid w:val="0"/>
              <w:spacing w:line="220" w:lineRule="exact"/>
              <w:jc w:val="center"/>
              <w:rPr>
                <w:rFonts w:hAnsi="標楷體"/>
                <w:b/>
                <w:bCs/>
                <w:color w:val="000000" w:themeColor="text1"/>
                <w:kern w:val="0"/>
                <w:sz w:val="20"/>
              </w:rPr>
            </w:pPr>
            <w:r w:rsidRPr="00CA3AC6">
              <w:rPr>
                <w:rFonts w:hAnsi="標楷體" w:hint="eastAsia"/>
                <w:b/>
                <w:bCs/>
                <w:color w:val="000000" w:themeColor="text1"/>
                <w:kern w:val="0"/>
                <w:sz w:val="20"/>
              </w:rPr>
              <w:t>3</w:t>
            </w:r>
          </w:p>
        </w:tc>
        <w:tc>
          <w:tcPr>
            <w:tcW w:w="882" w:type="dxa"/>
            <w:tcBorders>
              <w:top w:val="single" w:sz="4" w:space="0" w:color="auto"/>
              <w:left w:val="single" w:sz="4" w:space="0" w:color="auto"/>
              <w:bottom w:val="single" w:sz="4" w:space="0" w:color="auto"/>
              <w:right w:val="single" w:sz="4" w:space="0" w:color="auto"/>
            </w:tcBorders>
            <w:hideMark/>
          </w:tcPr>
          <w:p w:rsidR="00EE52DB" w:rsidRPr="00CA3AC6" w:rsidRDefault="00EE52DB" w:rsidP="00EE52DB">
            <w:pPr>
              <w:widowControl/>
              <w:autoSpaceDE/>
              <w:autoSpaceDN/>
              <w:snapToGrid w:val="0"/>
              <w:spacing w:line="220" w:lineRule="exact"/>
              <w:jc w:val="center"/>
              <w:rPr>
                <w:rFonts w:hAnsi="標楷體"/>
                <w:b/>
                <w:bCs/>
                <w:color w:val="000000" w:themeColor="text1"/>
                <w:kern w:val="0"/>
                <w:sz w:val="20"/>
              </w:rPr>
            </w:pPr>
            <w:r w:rsidRPr="00CA3AC6">
              <w:rPr>
                <w:rFonts w:hAnsi="標楷體" w:hint="eastAsia"/>
                <w:b/>
                <w:bCs/>
                <w:color w:val="000000" w:themeColor="text1"/>
                <w:kern w:val="0"/>
                <w:sz w:val="20"/>
              </w:rPr>
              <w:t>4</w:t>
            </w:r>
          </w:p>
        </w:tc>
        <w:tc>
          <w:tcPr>
            <w:tcW w:w="993" w:type="dxa"/>
            <w:tcBorders>
              <w:top w:val="single" w:sz="4" w:space="0" w:color="auto"/>
              <w:left w:val="single" w:sz="4" w:space="0" w:color="auto"/>
              <w:bottom w:val="single" w:sz="4" w:space="0" w:color="auto"/>
              <w:right w:val="single" w:sz="4" w:space="0" w:color="auto"/>
            </w:tcBorders>
            <w:hideMark/>
          </w:tcPr>
          <w:p w:rsidR="00EE52DB" w:rsidRPr="00CA3AC6" w:rsidRDefault="00EE52DB" w:rsidP="00EE52DB">
            <w:pPr>
              <w:widowControl/>
              <w:autoSpaceDE/>
              <w:autoSpaceDN/>
              <w:snapToGrid w:val="0"/>
              <w:spacing w:line="220" w:lineRule="exact"/>
              <w:jc w:val="center"/>
              <w:rPr>
                <w:rFonts w:hAnsi="標楷體"/>
                <w:b/>
                <w:bCs/>
                <w:color w:val="000000" w:themeColor="text1"/>
                <w:kern w:val="0"/>
                <w:sz w:val="20"/>
              </w:rPr>
            </w:pPr>
            <w:r w:rsidRPr="00CA3AC6">
              <w:rPr>
                <w:rFonts w:hAnsi="標楷體" w:hint="eastAsia"/>
                <w:b/>
                <w:bCs/>
                <w:color w:val="000000" w:themeColor="text1"/>
                <w:kern w:val="0"/>
                <w:sz w:val="20"/>
              </w:rPr>
              <w:t>5</w:t>
            </w:r>
          </w:p>
          <w:p w:rsidR="00EE52DB" w:rsidRPr="00CA3AC6" w:rsidRDefault="00EE52DB" w:rsidP="00EE52DB">
            <w:pPr>
              <w:autoSpaceDE/>
              <w:autoSpaceDN/>
              <w:snapToGrid w:val="0"/>
              <w:spacing w:line="220" w:lineRule="exact"/>
              <w:jc w:val="center"/>
              <w:rPr>
                <w:rFonts w:hAnsi="標楷體"/>
                <w:b/>
                <w:bCs/>
                <w:color w:val="000000" w:themeColor="text1"/>
                <w:kern w:val="0"/>
                <w:sz w:val="20"/>
              </w:rPr>
            </w:pPr>
            <w:r w:rsidRPr="00CA3AC6">
              <w:rPr>
                <w:rFonts w:hAnsi="標楷體" w:hint="eastAsia"/>
                <w:color w:val="000000" w:themeColor="text1"/>
                <w:spacing w:val="-10"/>
                <w:w w:val="95"/>
                <w:kern w:val="0"/>
                <w:sz w:val="20"/>
              </w:rPr>
              <w:t>最高所得組</w:t>
            </w:r>
          </w:p>
        </w:tc>
        <w:tc>
          <w:tcPr>
            <w:tcW w:w="589" w:type="dxa"/>
            <w:vMerge/>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rPr>
                <w:rFonts w:hAnsi="標楷體"/>
                <w:color w:val="000000" w:themeColor="text1"/>
                <w:kern w:val="0"/>
                <w:sz w:val="20"/>
              </w:rPr>
            </w:pPr>
          </w:p>
        </w:tc>
      </w:tr>
      <w:tr w:rsidR="00CA3AC6" w:rsidRPr="00CA3AC6" w:rsidTr="005E44A9">
        <w:trPr>
          <w:trHeight w:val="210"/>
        </w:trPr>
        <w:tc>
          <w:tcPr>
            <w:tcW w:w="1538" w:type="dxa"/>
            <w:vMerge/>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rPr>
                <w:rFonts w:hAnsi="標楷體"/>
                <w:color w:val="000000" w:themeColor="text1"/>
                <w:kern w:val="0"/>
                <w:sz w:val="20"/>
              </w:rPr>
            </w:pPr>
          </w:p>
        </w:tc>
        <w:tc>
          <w:tcPr>
            <w:tcW w:w="952"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jc w:val="center"/>
              <w:rPr>
                <w:rFonts w:hAnsi="標楷體"/>
                <w:color w:val="000000" w:themeColor="text1"/>
                <w:spacing w:val="-14"/>
                <w:w w:val="95"/>
                <w:kern w:val="0"/>
                <w:sz w:val="18"/>
                <w:szCs w:val="18"/>
              </w:rPr>
            </w:pPr>
            <w:r w:rsidRPr="00CA3AC6">
              <w:rPr>
                <w:rFonts w:hAnsi="標楷體" w:hint="eastAsia"/>
                <w:color w:val="000000" w:themeColor="text1"/>
                <w:spacing w:val="-14"/>
                <w:w w:val="95"/>
                <w:kern w:val="0"/>
                <w:sz w:val="18"/>
                <w:szCs w:val="18"/>
              </w:rPr>
              <w:t>Lowest 20％</w:t>
            </w:r>
          </w:p>
        </w:tc>
        <w:tc>
          <w:tcPr>
            <w:tcW w:w="854"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jc w:val="center"/>
              <w:rPr>
                <w:rFonts w:hAnsi="標楷體"/>
                <w:color w:val="000000" w:themeColor="text1"/>
                <w:spacing w:val="-14"/>
                <w:w w:val="95"/>
                <w:kern w:val="0"/>
                <w:sz w:val="18"/>
                <w:szCs w:val="18"/>
              </w:rPr>
            </w:pPr>
            <w:r w:rsidRPr="00CA3AC6">
              <w:rPr>
                <w:rFonts w:hAnsi="標楷體" w:hint="eastAsia"/>
                <w:color w:val="000000" w:themeColor="text1"/>
                <w:spacing w:val="-14"/>
                <w:w w:val="95"/>
                <w:kern w:val="0"/>
                <w:sz w:val="18"/>
                <w:szCs w:val="18"/>
              </w:rPr>
              <w:t>Second 20％</w:t>
            </w:r>
          </w:p>
        </w:tc>
        <w:tc>
          <w:tcPr>
            <w:tcW w:w="854"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jc w:val="center"/>
              <w:rPr>
                <w:rFonts w:hAnsi="標楷體"/>
                <w:color w:val="000000" w:themeColor="text1"/>
                <w:spacing w:val="-14"/>
                <w:w w:val="95"/>
                <w:kern w:val="0"/>
                <w:sz w:val="18"/>
                <w:szCs w:val="18"/>
              </w:rPr>
            </w:pPr>
            <w:r w:rsidRPr="00CA3AC6">
              <w:rPr>
                <w:rFonts w:hAnsi="標楷體" w:hint="eastAsia"/>
                <w:color w:val="000000" w:themeColor="text1"/>
                <w:spacing w:val="-14"/>
                <w:w w:val="95"/>
                <w:kern w:val="0"/>
                <w:sz w:val="18"/>
                <w:szCs w:val="18"/>
              </w:rPr>
              <w:t>Third 20％</w:t>
            </w:r>
          </w:p>
        </w:tc>
        <w:tc>
          <w:tcPr>
            <w:tcW w:w="882"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jc w:val="center"/>
              <w:rPr>
                <w:rFonts w:hAnsi="標楷體"/>
                <w:color w:val="000000" w:themeColor="text1"/>
                <w:spacing w:val="-14"/>
                <w:w w:val="95"/>
                <w:kern w:val="0"/>
                <w:sz w:val="18"/>
                <w:szCs w:val="18"/>
              </w:rPr>
            </w:pPr>
            <w:r w:rsidRPr="00CA3AC6">
              <w:rPr>
                <w:rFonts w:hAnsi="標楷體" w:hint="eastAsia"/>
                <w:color w:val="000000" w:themeColor="text1"/>
                <w:spacing w:val="-14"/>
                <w:w w:val="95"/>
                <w:kern w:val="0"/>
                <w:sz w:val="18"/>
                <w:szCs w:val="18"/>
              </w:rPr>
              <w:t>Fourth 20％</w:t>
            </w:r>
          </w:p>
        </w:tc>
        <w:tc>
          <w:tcPr>
            <w:tcW w:w="993"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jc w:val="center"/>
              <w:rPr>
                <w:rFonts w:hAnsi="標楷體"/>
                <w:color w:val="000000" w:themeColor="text1"/>
                <w:spacing w:val="-14"/>
                <w:w w:val="95"/>
                <w:kern w:val="0"/>
                <w:sz w:val="18"/>
                <w:szCs w:val="18"/>
              </w:rPr>
            </w:pPr>
            <w:r w:rsidRPr="00CA3AC6">
              <w:rPr>
                <w:rFonts w:hAnsi="標楷體" w:hint="eastAsia"/>
                <w:color w:val="000000" w:themeColor="text1"/>
                <w:spacing w:val="-14"/>
                <w:w w:val="95"/>
                <w:kern w:val="0"/>
                <w:sz w:val="18"/>
                <w:szCs w:val="18"/>
              </w:rPr>
              <w:t>Highest 20％</w:t>
            </w:r>
          </w:p>
        </w:tc>
        <w:tc>
          <w:tcPr>
            <w:tcW w:w="589" w:type="dxa"/>
            <w:vMerge/>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rPr>
                <w:rFonts w:hAnsi="標楷體"/>
                <w:color w:val="000000" w:themeColor="text1"/>
                <w:kern w:val="0"/>
                <w:sz w:val="20"/>
              </w:rPr>
            </w:pPr>
          </w:p>
        </w:tc>
      </w:tr>
      <w:tr w:rsidR="00CA3AC6" w:rsidRPr="00CA3AC6" w:rsidTr="005E44A9">
        <w:tc>
          <w:tcPr>
            <w:tcW w:w="1538"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jc w:val="center"/>
              <w:rPr>
                <w:rFonts w:hAnsi="標楷體"/>
                <w:color w:val="000000" w:themeColor="text1"/>
                <w:kern w:val="0"/>
                <w:sz w:val="20"/>
              </w:rPr>
            </w:pPr>
            <w:r w:rsidRPr="00CA3AC6">
              <w:rPr>
                <w:rFonts w:hAnsi="標楷體" w:hint="eastAsia"/>
                <w:color w:val="000000" w:themeColor="text1"/>
                <w:kern w:val="0"/>
                <w:sz w:val="20"/>
              </w:rPr>
              <w:t>94</w:t>
            </w:r>
          </w:p>
        </w:tc>
        <w:tc>
          <w:tcPr>
            <w:tcW w:w="952"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6.66</w:t>
            </w:r>
          </w:p>
        </w:tc>
        <w:tc>
          <w:tcPr>
            <w:tcW w:w="854"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12.43</w:t>
            </w:r>
          </w:p>
        </w:tc>
        <w:tc>
          <w:tcPr>
            <w:tcW w:w="854"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17.42</w:t>
            </w:r>
          </w:p>
        </w:tc>
        <w:tc>
          <w:tcPr>
            <w:tcW w:w="882"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23.32</w:t>
            </w:r>
          </w:p>
        </w:tc>
        <w:tc>
          <w:tcPr>
            <w:tcW w:w="993"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40.17</w:t>
            </w:r>
          </w:p>
        </w:tc>
        <w:tc>
          <w:tcPr>
            <w:tcW w:w="589"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6.04</w:t>
            </w:r>
          </w:p>
        </w:tc>
      </w:tr>
      <w:tr w:rsidR="00CA3AC6" w:rsidRPr="00CA3AC6" w:rsidTr="005E44A9">
        <w:tc>
          <w:tcPr>
            <w:tcW w:w="1538"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jc w:val="center"/>
              <w:rPr>
                <w:rFonts w:hAnsi="標楷體"/>
                <w:color w:val="000000" w:themeColor="text1"/>
                <w:kern w:val="0"/>
                <w:sz w:val="20"/>
              </w:rPr>
            </w:pPr>
            <w:r w:rsidRPr="00CA3AC6">
              <w:rPr>
                <w:rFonts w:hAnsi="標楷體" w:hint="eastAsia"/>
                <w:color w:val="000000" w:themeColor="text1"/>
                <w:kern w:val="0"/>
                <w:sz w:val="20"/>
              </w:rPr>
              <w:t>95</w:t>
            </w:r>
          </w:p>
        </w:tc>
        <w:tc>
          <w:tcPr>
            <w:tcW w:w="952"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6.66</w:t>
            </w:r>
          </w:p>
        </w:tc>
        <w:tc>
          <w:tcPr>
            <w:tcW w:w="854"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12.37</w:t>
            </w:r>
          </w:p>
        </w:tc>
        <w:tc>
          <w:tcPr>
            <w:tcW w:w="854"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17.42</w:t>
            </w:r>
          </w:p>
        </w:tc>
        <w:tc>
          <w:tcPr>
            <w:tcW w:w="882"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23.51</w:t>
            </w:r>
          </w:p>
        </w:tc>
        <w:tc>
          <w:tcPr>
            <w:tcW w:w="993"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40.03</w:t>
            </w:r>
          </w:p>
        </w:tc>
        <w:tc>
          <w:tcPr>
            <w:tcW w:w="589"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6.01</w:t>
            </w:r>
          </w:p>
        </w:tc>
      </w:tr>
      <w:tr w:rsidR="00CA3AC6" w:rsidRPr="00CA3AC6" w:rsidTr="005E44A9">
        <w:tc>
          <w:tcPr>
            <w:tcW w:w="1538"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jc w:val="center"/>
              <w:rPr>
                <w:rFonts w:hAnsi="標楷體"/>
                <w:color w:val="000000" w:themeColor="text1"/>
                <w:kern w:val="0"/>
                <w:sz w:val="20"/>
              </w:rPr>
            </w:pPr>
            <w:r w:rsidRPr="00CA3AC6">
              <w:rPr>
                <w:rFonts w:hAnsi="標楷體" w:hint="eastAsia"/>
                <w:color w:val="000000" w:themeColor="text1"/>
                <w:kern w:val="0"/>
                <w:sz w:val="20"/>
              </w:rPr>
              <w:t>96</w:t>
            </w:r>
          </w:p>
        </w:tc>
        <w:tc>
          <w:tcPr>
            <w:tcW w:w="952"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6.76</w:t>
            </w:r>
          </w:p>
        </w:tc>
        <w:tc>
          <w:tcPr>
            <w:tcW w:w="854"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12.36</w:t>
            </w:r>
          </w:p>
        </w:tc>
        <w:tc>
          <w:tcPr>
            <w:tcW w:w="854"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17.31</w:t>
            </w:r>
          </w:p>
        </w:tc>
        <w:tc>
          <w:tcPr>
            <w:tcW w:w="882"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23.16</w:t>
            </w:r>
          </w:p>
        </w:tc>
        <w:tc>
          <w:tcPr>
            <w:tcW w:w="993"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40.41</w:t>
            </w:r>
          </w:p>
        </w:tc>
        <w:tc>
          <w:tcPr>
            <w:tcW w:w="589"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5.98</w:t>
            </w:r>
          </w:p>
        </w:tc>
      </w:tr>
      <w:tr w:rsidR="00CA3AC6" w:rsidRPr="00CA3AC6" w:rsidTr="005E44A9">
        <w:tc>
          <w:tcPr>
            <w:tcW w:w="1538"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jc w:val="center"/>
              <w:rPr>
                <w:rFonts w:hAnsi="標楷體"/>
                <w:color w:val="000000" w:themeColor="text1"/>
                <w:kern w:val="0"/>
                <w:sz w:val="20"/>
              </w:rPr>
            </w:pPr>
            <w:r w:rsidRPr="00CA3AC6">
              <w:rPr>
                <w:rFonts w:hAnsi="標楷體" w:hint="eastAsia"/>
                <w:color w:val="000000" w:themeColor="text1"/>
                <w:kern w:val="0"/>
                <w:sz w:val="20"/>
              </w:rPr>
              <w:t>97</w:t>
            </w:r>
          </w:p>
        </w:tc>
        <w:tc>
          <w:tcPr>
            <w:tcW w:w="952"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6.64</w:t>
            </w:r>
          </w:p>
        </w:tc>
        <w:tc>
          <w:tcPr>
            <w:tcW w:w="854"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12.37</w:t>
            </w:r>
          </w:p>
        </w:tc>
        <w:tc>
          <w:tcPr>
            <w:tcW w:w="854"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17.43</w:t>
            </w:r>
          </w:p>
        </w:tc>
        <w:tc>
          <w:tcPr>
            <w:tcW w:w="882"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23.40</w:t>
            </w:r>
          </w:p>
        </w:tc>
        <w:tc>
          <w:tcPr>
            <w:tcW w:w="993"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40.17</w:t>
            </w:r>
          </w:p>
        </w:tc>
        <w:tc>
          <w:tcPr>
            <w:tcW w:w="589"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6.05</w:t>
            </w:r>
          </w:p>
        </w:tc>
      </w:tr>
      <w:tr w:rsidR="00CA3AC6" w:rsidRPr="00CA3AC6" w:rsidTr="005E44A9">
        <w:tc>
          <w:tcPr>
            <w:tcW w:w="1538"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jc w:val="center"/>
              <w:rPr>
                <w:rFonts w:hAnsi="標楷體"/>
                <w:color w:val="000000" w:themeColor="text1"/>
                <w:kern w:val="0"/>
                <w:sz w:val="20"/>
              </w:rPr>
            </w:pPr>
            <w:r w:rsidRPr="00CA3AC6">
              <w:rPr>
                <w:rFonts w:hAnsi="標楷體" w:hint="eastAsia"/>
                <w:color w:val="000000" w:themeColor="text1"/>
                <w:kern w:val="0"/>
                <w:sz w:val="20"/>
              </w:rPr>
              <w:lastRenderedPageBreak/>
              <w:t>98</w:t>
            </w:r>
          </w:p>
        </w:tc>
        <w:tc>
          <w:tcPr>
            <w:tcW w:w="952"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6.36</w:t>
            </w:r>
          </w:p>
        </w:tc>
        <w:tc>
          <w:tcPr>
            <w:tcW w:w="854"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12.27</w:t>
            </w:r>
          </w:p>
        </w:tc>
        <w:tc>
          <w:tcPr>
            <w:tcW w:w="854"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17.39</w:t>
            </w:r>
          </w:p>
        </w:tc>
        <w:tc>
          <w:tcPr>
            <w:tcW w:w="882"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23.64</w:t>
            </w:r>
          </w:p>
        </w:tc>
        <w:tc>
          <w:tcPr>
            <w:tcW w:w="993"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40.34</w:t>
            </w:r>
          </w:p>
        </w:tc>
        <w:tc>
          <w:tcPr>
            <w:tcW w:w="589"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6.34</w:t>
            </w:r>
          </w:p>
        </w:tc>
      </w:tr>
      <w:tr w:rsidR="00CA3AC6" w:rsidRPr="00CA3AC6" w:rsidTr="005E44A9">
        <w:tc>
          <w:tcPr>
            <w:tcW w:w="1538"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jc w:val="center"/>
              <w:rPr>
                <w:rFonts w:hAnsi="標楷體"/>
                <w:color w:val="000000" w:themeColor="text1"/>
                <w:kern w:val="0"/>
                <w:sz w:val="20"/>
              </w:rPr>
            </w:pPr>
            <w:r w:rsidRPr="00CA3AC6">
              <w:rPr>
                <w:rFonts w:hAnsi="標楷體" w:hint="eastAsia"/>
                <w:color w:val="000000" w:themeColor="text1"/>
                <w:kern w:val="0"/>
                <w:sz w:val="20"/>
              </w:rPr>
              <w:t>99</w:t>
            </w:r>
          </w:p>
        </w:tc>
        <w:tc>
          <w:tcPr>
            <w:tcW w:w="952"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6.49</w:t>
            </w:r>
          </w:p>
        </w:tc>
        <w:tc>
          <w:tcPr>
            <w:tcW w:w="854"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12.21</w:t>
            </w:r>
          </w:p>
        </w:tc>
        <w:tc>
          <w:tcPr>
            <w:tcW w:w="854"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17.39</w:t>
            </w:r>
          </w:p>
        </w:tc>
        <w:tc>
          <w:tcPr>
            <w:tcW w:w="882"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23.72</w:t>
            </w:r>
          </w:p>
        </w:tc>
        <w:tc>
          <w:tcPr>
            <w:tcW w:w="993"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40.19</w:t>
            </w:r>
          </w:p>
        </w:tc>
        <w:tc>
          <w:tcPr>
            <w:tcW w:w="589"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6.19</w:t>
            </w:r>
          </w:p>
        </w:tc>
      </w:tr>
      <w:tr w:rsidR="00CA3AC6" w:rsidRPr="00CA3AC6" w:rsidTr="005E44A9">
        <w:tc>
          <w:tcPr>
            <w:tcW w:w="1538"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jc w:val="center"/>
              <w:rPr>
                <w:rFonts w:hAnsi="標楷體"/>
                <w:color w:val="000000" w:themeColor="text1"/>
                <w:kern w:val="0"/>
                <w:sz w:val="20"/>
              </w:rPr>
            </w:pPr>
            <w:r w:rsidRPr="00CA3AC6">
              <w:rPr>
                <w:rFonts w:hAnsi="標楷體" w:hint="eastAsia"/>
                <w:color w:val="000000" w:themeColor="text1"/>
                <w:kern w:val="0"/>
                <w:sz w:val="20"/>
              </w:rPr>
              <w:t>100</w:t>
            </w:r>
          </w:p>
        </w:tc>
        <w:tc>
          <w:tcPr>
            <w:tcW w:w="952"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6.53</w:t>
            </w:r>
          </w:p>
        </w:tc>
        <w:tc>
          <w:tcPr>
            <w:tcW w:w="854"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12.05</w:t>
            </w:r>
          </w:p>
        </w:tc>
        <w:tc>
          <w:tcPr>
            <w:tcW w:w="854"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17.32</w:t>
            </w:r>
          </w:p>
        </w:tc>
        <w:tc>
          <w:tcPr>
            <w:tcW w:w="882"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23.86</w:t>
            </w:r>
          </w:p>
        </w:tc>
        <w:tc>
          <w:tcPr>
            <w:tcW w:w="993"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40.25</w:t>
            </w:r>
          </w:p>
        </w:tc>
        <w:tc>
          <w:tcPr>
            <w:tcW w:w="589"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6.17</w:t>
            </w:r>
          </w:p>
        </w:tc>
      </w:tr>
      <w:tr w:rsidR="00CA3AC6" w:rsidRPr="00CA3AC6" w:rsidTr="005E44A9">
        <w:tc>
          <w:tcPr>
            <w:tcW w:w="1538"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jc w:val="center"/>
              <w:rPr>
                <w:rFonts w:hAnsi="標楷體"/>
                <w:color w:val="000000" w:themeColor="text1"/>
                <w:kern w:val="0"/>
                <w:sz w:val="20"/>
              </w:rPr>
            </w:pPr>
            <w:r w:rsidRPr="00CA3AC6">
              <w:rPr>
                <w:rFonts w:hAnsi="標楷體" w:hint="eastAsia"/>
                <w:color w:val="000000" w:themeColor="text1"/>
                <w:kern w:val="0"/>
                <w:sz w:val="20"/>
              </w:rPr>
              <w:t>101</w:t>
            </w:r>
          </w:p>
        </w:tc>
        <w:tc>
          <w:tcPr>
            <w:tcW w:w="952"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6.53</w:t>
            </w:r>
          </w:p>
        </w:tc>
        <w:tc>
          <w:tcPr>
            <w:tcW w:w="854"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12.27</w:t>
            </w:r>
          </w:p>
        </w:tc>
        <w:tc>
          <w:tcPr>
            <w:tcW w:w="854"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17.54</w:t>
            </w:r>
          </w:p>
        </w:tc>
        <w:tc>
          <w:tcPr>
            <w:tcW w:w="882"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23.68</w:t>
            </w:r>
          </w:p>
        </w:tc>
        <w:tc>
          <w:tcPr>
            <w:tcW w:w="993"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39.98</w:t>
            </w:r>
          </w:p>
        </w:tc>
        <w:tc>
          <w:tcPr>
            <w:tcW w:w="589"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6.13</w:t>
            </w:r>
          </w:p>
        </w:tc>
      </w:tr>
      <w:tr w:rsidR="00CA3AC6" w:rsidRPr="00CA3AC6" w:rsidTr="005E44A9">
        <w:tc>
          <w:tcPr>
            <w:tcW w:w="1538"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jc w:val="center"/>
              <w:rPr>
                <w:rFonts w:hAnsi="標楷體"/>
                <w:color w:val="000000" w:themeColor="text1"/>
                <w:kern w:val="0"/>
                <w:sz w:val="20"/>
              </w:rPr>
            </w:pPr>
            <w:r w:rsidRPr="00CA3AC6">
              <w:rPr>
                <w:rFonts w:hAnsi="標楷體" w:hint="eastAsia"/>
                <w:color w:val="000000" w:themeColor="text1"/>
                <w:kern w:val="0"/>
                <w:sz w:val="20"/>
              </w:rPr>
              <w:t>102</w:t>
            </w:r>
          </w:p>
        </w:tc>
        <w:tc>
          <w:tcPr>
            <w:tcW w:w="952"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6.57</w:t>
            </w:r>
          </w:p>
        </w:tc>
        <w:tc>
          <w:tcPr>
            <w:tcW w:w="854"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12.38</w:t>
            </w:r>
          </w:p>
        </w:tc>
        <w:tc>
          <w:tcPr>
            <w:tcW w:w="854"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17.49</w:t>
            </w:r>
          </w:p>
        </w:tc>
        <w:tc>
          <w:tcPr>
            <w:tcW w:w="882"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23.60</w:t>
            </w:r>
          </w:p>
        </w:tc>
        <w:tc>
          <w:tcPr>
            <w:tcW w:w="993"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39.96</w:t>
            </w:r>
          </w:p>
        </w:tc>
        <w:tc>
          <w:tcPr>
            <w:tcW w:w="589"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6.08</w:t>
            </w:r>
          </w:p>
        </w:tc>
      </w:tr>
      <w:tr w:rsidR="00CA3AC6" w:rsidRPr="00CA3AC6" w:rsidTr="005E44A9">
        <w:tc>
          <w:tcPr>
            <w:tcW w:w="1538"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jc w:val="center"/>
              <w:rPr>
                <w:rFonts w:hAnsi="標楷體"/>
                <w:color w:val="000000" w:themeColor="text1"/>
                <w:kern w:val="0"/>
                <w:sz w:val="20"/>
              </w:rPr>
            </w:pPr>
            <w:r w:rsidRPr="00CA3AC6">
              <w:rPr>
                <w:rFonts w:hAnsi="標楷體" w:hint="eastAsia"/>
                <w:color w:val="000000" w:themeColor="text1"/>
                <w:kern w:val="0"/>
                <w:sz w:val="20"/>
              </w:rPr>
              <w:t>103</w:t>
            </w:r>
          </w:p>
        </w:tc>
        <w:tc>
          <w:tcPr>
            <w:tcW w:w="952"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6.63</w:t>
            </w:r>
          </w:p>
        </w:tc>
        <w:tc>
          <w:tcPr>
            <w:tcW w:w="854"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12.28</w:t>
            </w:r>
          </w:p>
        </w:tc>
        <w:tc>
          <w:tcPr>
            <w:tcW w:w="854"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17.36</w:t>
            </w:r>
          </w:p>
        </w:tc>
        <w:tc>
          <w:tcPr>
            <w:tcW w:w="882"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23.59</w:t>
            </w:r>
          </w:p>
        </w:tc>
        <w:tc>
          <w:tcPr>
            <w:tcW w:w="993"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40.13</w:t>
            </w:r>
          </w:p>
        </w:tc>
        <w:tc>
          <w:tcPr>
            <w:tcW w:w="589" w:type="dxa"/>
            <w:tcBorders>
              <w:top w:val="single" w:sz="4" w:space="0" w:color="auto"/>
              <w:left w:val="single" w:sz="4" w:space="0" w:color="auto"/>
              <w:bottom w:val="single" w:sz="4" w:space="0" w:color="auto"/>
              <w:right w:val="single" w:sz="4" w:space="0" w:color="auto"/>
            </w:tcBorders>
            <w:vAlign w:val="center"/>
            <w:hideMark/>
          </w:tcPr>
          <w:p w:rsidR="00EE52DB" w:rsidRPr="00CA3AC6" w:rsidRDefault="00EE52DB" w:rsidP="00EE52DB">
            <w:pPr>
              <w:widowControl/>
              <w:autoSpaceDE/>
              <w:autoSpaceDN/>
              <w:spacing w:line="210" w:lineRule="exact"/>
              <w:ind w:rightChars="25" w:right="85"/>
              <w:jc w:val="right"/>
              <w:rPr>
                <w:rFonts w:hAnsi="標楷體"/>
                <w:color w:val="000000" w:themeColor="text1"/>
                <w:kern w:val="0"/>
                <w:sz w:val="20"/>
              </w:rPr>
            </w:pPr>
            <w:r w:rsidRPr="00CA3AC6">
              <w:rPr>
                <w:rFonts w:hAnsi="標楷體" w:hint="eastAsia"/>
                <w:color w:val="000000" w:themeColor="text1"/>
                <w:kern w:val="0"/>
                <w:sz w:val="20"/>
              </w:rPr>
              <w:t>6.05</w:t>
            </w:r>
          </w:p>
        </w:tc>
      </w:tr>
      <w:tr w:rsidR="00CA3AC6" w:rsidRPr="00CA3AC6" w:rsidTr="005E44A9">
        <w:trPr>
          <w:trHeight w:val="252"/>
        </w:trPr>
        <w:tc>
          <w:tcPr>
            <w:tcW w:w="6662" w:type="dxa"/>
            <w:gridSpan w:val="7"/>
            <w:tcBorders>
              <w:top w:val="single" w:sz="4" w:space="0" w:color="auto"/>
              <w:left w:val="nil"/>
              <w:bottom w:val="nil"/>
              <w:right w:val="nil"/>
            </w:tcBorders>
            <w:vAlign w:val="center"/>
          </w:tcPr>
          <w:p w:rsidR="00EE52DB" w:rsidRPr="00CA3AC6" w:rsidRDefault="00EE52DB" w:rsidP="00EE52DB">
            <w:pPr>
              <w:autoSpaceDE/>
              <w:autoSpaceDN/>
              <w:snapToGrid w:val="0"/>
              <w:spacing w:beforeLines="5" w:before="22" w:line="180" w:lineRule="exact"/>
              <w:ind w:left="590" w:hangingChars="295" w:hanging="590"/>
              <w:rPr>
                <w:rFonts w:hAnsi="標楷體"/>
                <w:color w:val="000000" w:themeColor="text1"/>
                <w:sz w:val="18"/>
                <w:szCs w:val="18"/>
              </w:rPr>
            </w:pPr>
            <w:proofErr w:type="gramStart"/>
            <w:r w:rsidRPr="00CA3AC6">
              <w:rPr>
                <w:rFonts w:hAnsi="標楷體" w:hint="eastAsia"/>
                <w:color w:val="000000" w:themeColor="text1"/>
                <w:sz w:val="18"/>
                <w:szCs w:val="18"/>
              </w:rPr>
              <w:t>註</w:t>
            </w:r>
            <w:proofErr w:type="gramEnd"/>
            <w:r w:rsidRPr="00CA3AC6">
              <w:rPr>
                <w:rFonts w:hAnsi="標楷體" w:hint="eastAsia"/>
                <w:color w:val="000000" w:themeColor="text1"/>
                <w:sz w:val="18"/>
                <w:szCs w:val="18"/>
              </w:rPr>
              <w:t>：1.第五分位組為第一分位組之倍數，為求精確係以第五分位組可支配所得除以第一分位組可支配所得計算而得。</w:t>
            </w:r>
          </w:p>
          <w:p w:rsidR="00EE52DB" w:rsidRPr="00CA3AC6" w:rsidRDefault="00EE52DB" w:rsidP="0051769F">
            <w:pPr>
              <w:widowControl/>
              <w:autoSpaceDE/>
              <w:autoSpaceDN/>
              <w:spacing w:line="180" w:lineRule="exact"/>
              <w:ind w:firstLineChars="200" w:firstLine="400"/>
              <w:rPr>
                <w:rFonts w:hAnsi="標楷體"/>
                <w:color w:val="000000" w:themeColor="text1"/>
                <w:sz w:val="18"/>
                <w:szCs w:val="18"/>
              </w:rPr>
            </w:pPr>
            <w:r w:rsidRPr="00CA3AC6">
              <w:rPr>
                <w:rFonts w:hAnsi="標楷體" w:hint="eastAsia"/>
                <w:color w:val="000000" w:themeColor="text1"/>
                <w:sz w:val="18"/>
                <w:szCs w:val="18"/>
              </w:rPr>
              <w:t>2.資料來源：行政院主計總處。</w:t>
            </w:r>
          </w:p>
          <w:p w:rsidR="00EE52DB" w:rsidRPr="00CA3AC6" w:rsidRDefault="00EE52DB" w:rsidP="00EE52DB">
            <w:pPr>
              <w:widowControl/>
              <w:autoSpaceDE/>
              <w:autoSpaceDN/>
              <w:spacing w:line="180" w:lineRule="exact"/>
              <w:rPr>
                <w:rFonts w:hAnsi="標楷體"/>
                <w:color w:val="000000" w:themeColor="text1"/>
                <w:kern w:val="0"/>
                <w:sz w:val="20"/>
              </w:rPr>
            </w:pPr>
          </w:p>
        </w:tc>
      </w:tr>
    </w:tbl>
    <w:p w:rsidR="00EE52DB" w:rsidRPr="00CA3AC6" w:rsidRDefault="00EE52DB" w:rsidP="005E44A9">
      <w:pPr>
        <w:pStyle w:val="6"/>
        <w:numPr>
          <w:ilvl w:val="0"/>
          <w:numId w:val="0"/>
        </w:numPr>
        <w:ind w:left="1985"/>
        <w:rPr>
          <w:rFonts w:hAnsi="標楷體"/>
          <w:color w:val="000000" w:themeColor="text1"/>
        </w:rPr>
      </w:pPr>
      <w:r w:rsidRPr="00CA3AC6">
        <w:rPr>
          <w:rFonts w:hAnsi="標楷體"/>
          <w:noProof/>
          <w:color w:val="000000" w:themeColor="text1"/>
        </w:rPr>
        <w:drawing>
          <wp:inline distT="0" distB="0" distL="0" distR="0" wp14:anchorId="2693FC5B" wp14:editId="1644E649">
            <wp:extent cx="4201160" cy="3764279"/>
            <wp:effectExtent l="0" t="0" r="0" b="825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2">
                      <a:extLst>
                        <a:ext uri="{28A0092B-C50C-407E-A947-70E740481C1C}">
                          <a14:useLocalDpi xmlns:a14="http://schemas.microsoft.com/office/drawing/2010/main" val="0"/>
                        </a:ext>
                      </a:extLst>
                    </a:blip>
                    <a:srcRect l="16551" t="9099" r="17699" b="10474"/>
                    <a:stretch>
                      <a:fillRect/>
                    </a:stretch>
                  </pic:blipFill>
                  <pic:spPr bwMode="auto">
                    <a:xfrm>
                      <a:off x="0" y="0"/>
                      <a:ext cx="4202838" cy="3765783"/>
                    </a:xfrm>
                    <a:prstGeom prst="rect">
                      <a:avLst/>
                    </a:prstGeom>
                    <a:noFill/>
                    <a:ln>
                      <a:noFill/>
                    </a:ln>
                  </pic:spPr>
                </pic:pic>
              </a:graphicData>
            </a:graphic>
          </wp:inline>
        </w:drawing>
      </w:r>
    </w:p>
    <w:p w:rsidR="00FD3214" w:rsidRPr="001C6CB3" w:rsidRDefault="00FD3214" w:rsidP="00FD3214">
      <w:pPr>
        <w:pStyle w:val="3"/>
        <w:rPr>
          <w:rFonts w:hAnsi="標楷體"/>
          <w:color w:val="000000" w:themeColor="text1"/>
        </w:rPr>
      </w:pPr>
      <w:r w:rsidRPr="001C6CB3">
        <w:rPr>
          <w:rFonts w:hAnsi="標楷體" w:hint="eastAsia"/>
          <w:color w:val="000000" w:themeColor="text1"/>
        </w:rPr>
        <w:t>行政院暨所屬應遵守憲法規範，正視所得分配惡化之問題，切實審視相關法令是否背離憲法第13章第7節國民經濟原則，以避免</w:t>
      </w:r>
      <w:proofErr w:type="gramStart"/>
      <w:r w:rsidRPr="001C6CB3">
        <w:rPr>
          <w:rFonts w:hAnsi="標楷體" w:hint="eastAsia"/>
          <w:color w:val="000000" w:themeColor="text1"/>
        </w:rPr>
        <w:t>斲</w:t>
      </w:r>
      <w:proofErr w:type="gramEnd"/>
      <w:r w:rsidRPr="001C6CB3">
        <w:rPr>
          <w:rFonts w:hAnsi="標楷體" w:hint="eastAsia"/>
          <w:color w:val="000000" w:themeColor="text1"/>
        </w:rPr>
        <w:t>傷人民生存權利。</w:t>
      </w:r>
    </w:p>
    <w:p w:rsidR="00FD3214" w:rsidRPr="001C6CB3" w:rsidRDefault="00FD3214" w:rsidP="00F3370F">
      <w:pPr>
        <w:pStyle w:val="31"/>
        <w:ind w:left="1361" w:firstLine="680"/>
        <w:rPr>
          <w:rFonts w:hAnsi="標楷體"/>
          <w:color w:val="000000" w:themeColor="text1"/>
        </w:rPr>
      </w:pPr>
      <w:r w:rsidRPr="001C6CB3">
        <w:rPr>
          <w:rFonts w:hAnsi="標楷體" w:hint="eastAsia"/>
          <w:color w:val="000000" w:themeColor="text1"/>
        </w:rPr>
        <w:t>按</w:t>
      </w:r>
      <w:r w:rsidRPr="001C6CB3">
        <w:rPr>
          <w:rFonts w:hAnsi="標楷體" w:cs="新細明體" w:hint="eastAsia"/>
          <w:color w:val="000000" w:themeColor="text1"/>
          <w:kern w:val="0"/>
          <w:szCs w:val="32"/>
        </w:rPr>
        <w:t>聯合國</w:t>
      </w:r>
      <w:r w:rsidRPr="001C6CB3">
        <w:rPr>
          <w:rFonts w:hAnsi="標楷體" w:hint="eastAsia"/>
          <w:color w:val="000000" w:themeColor="text1"/>
        </w:rPr>
        <w:t>經濟社會文化權利國際公約第6條第1項規定</w:t>
      </w:r>
      <w:r w:rsidR="00AE7EB2" w:rsidRPr="001C6CB3">
        <w:rPr>
          <w:rFonts w:hAnsi="標楷體" w:hint="eastAsia"/>
          <w:color w:val="000000" w:themeColor="text1"/>
        </w:rPr>
        <w:t>：「本公約締約國應確認人人有工作之權利，包括人人應有機會憑本人自由選擇或接受之工作謀生之權利，並將採取適當步驟保障之。」</w:t>
      </w:r>
      <w:r w:rsidRPr="001C6CB3">
        <w:rPr>
          <w:rFonts w:hAnsi="標楷體" w:hint="eastAsia"/>
          <w:color w:val="000000" w:themeColor="text1"/>
        </w:rPr>
        <w:t>同公約第7條規定：「本公約締約國確認人人有權享受公平與良好之工作條件，尤須確保：</w:t>
      </w:r>
      <w:r w:rsidRPr="001C6CB3">
        <w:rPr>
          <w:rFonts w:hAnsi="標楷體"/>
          <w:color w:val="000000" w:themeColor="text1"/>
        </w:rPr>
        <w:t>(</w:t>
      </w:r>
      <w:r w:rsidRPr="001C6CB3">
        <w:rPr>
          <w:rFonts w:hAnsi="標楷體" w:hint="eastAsia"/>
          <w:color w:val="000000" w:themeColor="text1"/>
        </w:rPr>
        <w:t>一</w:t>
      </w:r>
      <w:proofErr w:type="gramStart"/>
      <w:r w:rsidRPr="001C6CB3">
        <w:rPr>
          <w:rFonts w:hAnsi="標楷體" w:hint="eastAsia"/>
          <w:color w:val="000000" w:themeColor="text1"/>
        </w:rPr>
        <w:t>）</w:t>
      </w:r>
      <w:proofErr w:type="gramEnd"/>
      <w:r w:rsidRPr="001C6CB3">
        <w:rPr>
          <w:rFonts w:hAnsi="標楷體" w:hint="eastAsia"/>
          <w:color w:val="000000" w:themeColor="text1"/>
        </w:rPr>
        <w:t>所有工作者之報酬使其最低</w:t>
      </w:r>
      <w:proofErr w:type="gramStart"/>
      <w:r w:rsidRPr="001C6CB3">
        <w:rPr>
          <w:rFonts w:hAnsi="標楷體" w:hint="eastAsia"/>
          <w:color w:val="000000" w:themeColor="text1"/>
        </w:rPr>
        <w:t>限度均能</w:t>
      </w:r>
      <w:proofErr w:type="gramEnd"/>
      <w:r w:rsidRPr="001C6CB3">
        <w:rPr>
          <w:rFonts w:hAnsi="標楷體" w:hint="eastAsia"/>
          <w:color w:val="000000" w:themeColor="text1"/>
        </w:rPr>
        <w:t>：</w:t>
      </w:r>
      <w:r w:rsidRPr="001C6CB3">
        <w:rPr>
          <w:rFonts w:hAnsi="標楷體"/>
          <w:color w:val="000000" w:themeColor="text1"/>
        </w:rPr>
        <w:t>(1)</w:t>
      </w:r>
      <w:r w:rsidRPr="001C6CB3">
        <w:rPr>
          <w:rFonts w:hAnsi="標楷體" w:hint="eastAsia"/>
          <w:color w:val="000000" w:themeColor="text1"/>
        </w:rPr>
        <w:t>獲得公允之工資，工作價值相等者享受同等報酬，不得有任何區別，尤須保證婦女之工作條</w:t>
      </w:r>
      <w:r w:rsidRPr="001C6CB3">
        <w:rPr>
          <w:rFonts w:hAnsi="標楷體"/>
          <w:color w:val="000000" w:themeColor="text1"/>
        </w:rPr>
        <w:t xml:space="preserve"> </w:t>
      </w:r>
      <w:r w:rsidRPr="001C6CB3">
        <w:rPr>
          <w:rFonts w:hAnsi="標楷體" w:hint="eastAsia"/>
          <w:color w:val="000000" w:themeColor="text1"/>
        </w:rPr>
        <w:t>件不得次於男子，且應同工同</w:t>
      </w:r>
      <w:r w:rsidRPr="001C6CB3">
        <w:rPr>
          <w:rFonts w:hAnsi="標楷體" w:hint="eastAsia"/>
          <w:color w:val="000000" w:themeColor="text1"/>
        </w:rPr>
        <w:lastRenderedPageBreak/>
        <w:t>酬；</w:t>
      </w:r>
      <w:r w:rsidRPr="001C6CB3">
        <w:rPr>
          <w:rFonts w:hAnsi="標楷體"/>
          <w:color w:val="000000" w:themeColor="text1"/>
        </w:rPr>
        <w:t>(2)</w:t>
      </w:r>
      <w:r w:rsidRPr="001C6CB3">
        <w:rPr>
          <w:rFonts w:hAnsi="標楷體" w:hint="eastAsia"/>
          <w:color w:val="000000" w:themeColor="text1"/>
        </w:rPr>
        <w:t>維持本人及家屬符合本公約規定之合理生活水平；（二）安全衛生之工作環境；（三）人人有平等機會於所就職業升至適當之較高等級，不受年資才能以外其他考慮之限制；（四）休息、閒暇、工作時間之合理限制與照給薪資之定期休假，公共假日</w:t>
      </w:r>
      <w:proofErr w:type="gramStart"/>
      <w:r w:rsidRPr="001C6CB3">
        <w:rPr>
          <w:rFonts w:hAnsi="標楷體" w:hint="eastAsia"/>
          <w:color w:val="000000" w:themeColor="text1"/>
        </w:rPr>
        <w:t>亦須給酬</w:t>
      </w:r>
      <w:proofErr w:type="gramEnd"/>
      <w:r w:rsidRPr="001C6CB3">
        <w:rPr>
          <w:rFonts w:hAnsi="標楷體" w:hint="eastAsia"/>
          <w:color w:val="000000" w:themeColor="text1"/>
        </w:rPr>
        <w:t>。」是則，國家應保障人民基本經濟生活，維持合理生活水平，建立以才能分配資源的公平社會，並防止資本家於未從事</w:t>
      </w:r>
      <w:hyperlink r:id="rId13" w:tooltip="生產" w:history="1">
        <w:r w:rsidRPr="001C6CB3">
          <w:rPr>
            <w:rStyle w:val="ae"/>
            <w:rFonts w:hAnsi="標楷體" w:hint="eastAsia"/>
            <w:color w:val="000000" w:themeColor="text1"/>
            <w:u w:val="none"/>
          </w:rPr>
          <w:t>生產</w:t>
        </w:r>
      </w:hyperlink>
      <w:r w:rsidRPr="001C6CB3">
        <w:rPr>
          <w:rFonts w:hAnsi="標楷體" w:hint="eastAsia"/>
          <w:color w:val="000000" w:themeColor="text1"/>
        </w:rPr>
        <w:t>的情況下，</w:t>
      </w:r>
      <w:hyperlink r:id="rId14" w:tooltip="壟斷" w:history="1">
        <w:r w:rsidRPr="001C6CB3">
          <w:rPr>
            <w:rStyle w:val="ae"/>
            <w:rFonts w:hAnsi="標楷體" w:hint="eastAsia"/>
            <w:color w:val="000000" w:themeColor="text1"/>
            <w:u w:val="none"/>
          </w:rPr>
          <w:t>壟斷</w:t>
        </w:r>
      </w:hyperlink>
      <w:r w:rsidRPr="001C6CB3">
        <w:rPr>
          <w:rFonts w:hAnsi="標楷體" w:hint="eastAsia"/>
          <w:color w:val="000000" w:themeColor="text1"/>
        </w:rPr>
        <w:t>社會資源、或為維持</w:t>
      </w:r>
      <w:hyperlink r:id="rId15" w:tooltip="壟斷" w:history="1">
        <w:r w:rsidRPr="001C6CB3">
          <w:rPr>
            <w:rStyle w:val="ae"/>
            <w:rFonts w:hAnsi="標楷體" w:hint="eastAsia"/>
            <w:color w:val="000000" w:themeColor="text1"/>
            <w:u w:val="none"/>
          </w:rPr>
          <w:t>壟斷</w:t>
        </w:r>
      </w:hyperlink>
      <w:r w:rsidRPr="001C6CB3">
        <w:rPr>
          <w:rFonts w:hAnsi="標楷體" w:hint="eastAsia"/>
          <w:color w:val="000000" w:themeColor="text1"/>
        </w:rPr>
        <w:t>地位，從事非生產性的尋利活動得到</w:t>
      </w:r>
      <w:hyperlink r:id="rId16" w:tooltip="壟斷" w:history="1">
        <w:r w:rsidRPr="001C6CB3">
          <w:rPr>
            <w:rStyle w:val="ae"/>
            <w:rFonts w:hAnsi="標楷體" w:hint="eastAsia"/>
            <w:color w:val="000000" w:themeColor="text1"/>
            <w:u w:val="none"/>
          </w:rPr>
          <w:t>壟斷</w:t>
        </w:r>
      </w:hyperlink>
      <w:hyperlink r:id="rId17" w:tooltip="利潤" w:history="1">
        <w:r w:rsidRPr="001C6CB3">
          <w:rPr>
            <w:rStyle w:val="ae"/>
            <w:rFonts w:hAnsi="標楷體" w:hint="eastAsia"/>
            <w:color w:val="000000" w:themeColor="text1"/>
            <w:u w:val="none"/>
          </w:rPr>
          <w:t>利潤</w:t>
        </w:r>
      </w:hyperlink>
      <w:r w:rsidRPr="001C6CB3">
        <w:rPr>
          <w:rFonts w:hAnsi="標楷體" w:hint="eastAsia"/>
          <w:color w:val="000000" w:themeColor="text1"/>
        </w:rPr>
        <w:t>，引致勞動者為資本家以低於實際補償的價格進行工作，被迫出售自己的勞動，獲得工資，維持生計，以符合上開公約對於生存權之要求。</w:t>
      </w:r>
    </w:p>
    <w:p w:rsidR="00145692" w:rsidRDefault="00990DEB" w:rsidP="00145692">
      <w:pPr>
        <w:pStyle w:val="3"/>
        <w:rPr>
          <w:rFonts w:hAnsi="標楷體"/>
          <w:color w:val="000000" w:themeColor="text1"/>
        </w:rPr>
      </w:pPr>
      <w:r w:rsidRPr="001C6CB3">
        <w:rPr>
          <w:rFonts w:hAnsi="標楷體" w:hint="eastAsia"/>
          <w:color w:val="000000" w:themeColor="text1"/>
        </w:rPr>
        <w:t>曾擔任司法院院長之我國財經法律學者賴英照投稿以「認真看待憲法」嚴正質疑，行政機關以「經濟國際化，貿易自由化」作為我國經濟發展的基本政策，這是資本主義的體制，但我國憲法標</w:t>
      </w:r>
      <w:proofErr w:type="gramStart"/>
      <w:r w:rsidRPr="001C6CB3">
        <w:rPr>
          <w:rFonts w:hAnsi="標楷體" w:hint="eastAsia"/>
          <w:color w:val="000000" w:themeColor="text1"/>
        </w:rPr>
        <w:t>舉均富社會</w:t>
      </w:r>
      <w:proofErr w:type="gramEnd"/>
      <w:r w:rsidRPr="001C6CB3">
        <w:rPr>
          <w:rFonts w:hAnsi="標楷體" w:hint="eastAsia"/>
          <w:color w:val="000000" w:themeColor="text1"/>
        </w:rPr>
        <w:t>，</w:t>
      </w:r>
      <w:proofErr w:type="gramStart"/>
      <w:r w:rsidRPr="001C6CB3">
        <w:rPr>
          <w:rFonts w:hAnsi="標楷體" w:hint="eastAsia"/>
          <w:color w:val="000000" w:themeColor="text1"/>
        </w:rPr>
        <w:t>凸</w:t>
      </w:r>
      <w:proofErr w:type="gramEnd"/>
      <w:r w:rsidRPr="001C6CB3">
        <w:rPr>
          <w:rFonts w:hAnsi="標楷體" w:hint="eastAsia"/>
          <w:color w:val="000000" w:themeColor="text1"/>
        </w:rPr>
        <w:t>顯「憲法向左，政策往右」的極大落差。主政者應努力縮短貧富差距，消除「多而不均，富而不安」的疑慮，才能打造「青年住得起的臺灣」等語</w:t>
      </w:r>
      <w:r w:rsidRPr="001C6CB3">
        <w:rPr>
          <w:rStyle w:val="afc"/>
          <w:rFonts w:hAnsi="標楷體"/>
          <w:color w:val="000000" w:themeColor="text1"/>
        </w:rPr>
        <w:footnoteReference w:id="34"/>
      </w:r>
      <w:r w:rsidRPr="001C6CB3">
        <w:rPr>
          <w:rFonts w:hAnsi="標楷體" w:hint="eastAsia"/>
          <w:color w:val="000000" w:themeColor="text1"/>
        </w:rPr>
        <w:t>。</w:t>
      </w:r>
      <w:r w:rsidR="00FD3214" w:rsidRPr="001C6CB3">
        <w:rPr>
          <w:rFonts w:hAnsi="標楷體" w:hint="eastAsia"/>
          <w:color w:val="000000" w:themeColor="text1"/>
        </w:rPr>
        <w:t>綜上所述，</w:t>
      </w:r>
      <w:r w:rsidR="00B12195" w:rsidRPr="001C6CB3">
        <w:rPr>
          <w:rFonts w:hAnsi="標楷體" w:hint="eastAsia"/>
          <w:color w:val="000000" w:themeColor="text1"/>
        </w:rPr>
        <w:t>行政院依據憲法第53條規定，作為</w:t>
      </w:r>
      <w:r w:rsidR="00B12195" w:rsidRPr="001C6CB3">
        <w:rPr>
          <w:rFonts w:hAnsi="標楷體" w:hint="eastAsia"/>
          <w:color w:val="000000" w:themeColor="text1"/>
        </w:rPr>
        <w:lastRenderedPageBreak/>
        <w:t>國家最高行政機關，應正視悠遊卡公司所揭露普遍性問題，亦即行政機關利用實體法令將國家資</w:t>
      </w:r>
      <w:r w:rsidR="005E44A9" w:rsidRPr="001C6CB3">
        <w:rPr>
          <w:rFonts w:hAnsi="標楷體" w:hint="eastAsia"/>
          <w:color w:val="000000" w:themeColor="text1"/>
        </w:rPr>
        <w:t>本轉變為官僚資本進而交由私人資本之過程，業成為</w:t>
      </w:r>
      <w:r w:rsidR="00B12195" w:rsidRPr="001C6CB3">
        <w:rPr>
          <w:rFonts w:hAnsi="標楷體" w:hint="eastAsia"/>
          <w:color w:val="000000" w:themeColor="text1"/>
        </w:rPr>
        <w:t>普遍現象。行政院似未正視貧富差距擴大之問題，允宜積極檢討相關法令是否背離憲法第13章第7節國民經濟原則，以保障人民生存之基本權利</w:t>
      </w:r>
      <w:r w:rsidR="00FD3214" w:rsidRPr="001C6CB3">
        <w:rPr>
          <w:rFonts w:hAnsi="標楷體" w:hint="eastAsia"/>
          <w:color w:val="000000" w:themeColor="text1"/>
        </w:rPr>
        <w:t>。</w:t>
      </w:r>
      <w:bookmarkEnd w:id="49"/>
    </w:p>
    <w:p w:rsidR="00145692" w:rsidRDefault="00145692" w:rsidP="00145692">
      <w:pPr>
        <w:pStyle w:val="3"/>
        <w:numPr>
          <w:ilvl w:val="0"/>
          <w:numId w:val="0"/>
        </w:numPr>
        <w:ind w:left="1361"/>
        <w:rPr>
          <w:rFonts w:hAnsi="標楷體"/>
          <w:color w:val="000000" w:themeColor="text1"/>
        </w:rPr>
      </w:pPr>
    </w:p>
    <w:p w:rsidR="00145692" w:rsidRDefault="00145692" w:rsidP="00145692">
      <w:pPr>
        <w:pStyle w:val="3"/>
        <w:numPr>
          <w:ilvl w:val="0"/>
          <w:numId w:val="0"/>
        </w:numPr>
        <w:ind w:left="1361"/>
        <w:rPr>
          <w:rFonts w:hAnsi="標楷體"/>
          <w:color w:val="000000" w:themeColor="text1"/>
        </w:rPr>
      </w:pPr>
      <w:r>
        <w:rPr>
          <w:rFonts w:hAnsi="標楷體" w:hint="eastAsia"/>
          <w:color w:val="000000" w:themeColor="text1"/>
        </w:rPr>
        <w:t xml:space="preserve">          </w:t>
      </w:r>
    </w:p>
    <w:p w:rsidR="00E25849" w:rsidRPr="00145692" w:rsidRDefault="00145692" w:rsidP="00145692">
      <w:pPr>
        <w:pStyle w:val="3"/>
        <w:numPr>
          <w:ilvl w:val="0"/>
          <w:numId w:val="0"/>
        </w:numPr>
        <w:ind w:left="1361"/>
        <w:rPr>
          <w:rFonts w:hAnsi="標楷體"/>
          <w:color w:val="000000" w:themeColor="text1"/>
        </w:rPr>
      </w:pPr>
      <w:r>
        <w:rPr>
          <w:rFonts w:hAnsi="標楷體" w:hint="eastAsia"/>
          <w:color w:val="000000" w:themeColor="text1"/>
        </w:rPr>
        <w:t xml:space="preserve">                      </w:t>
      </w:r>
      <w:bookmarkStart w:id="50" w:name="_GoBack"/>
      <w:bookmarkEnd w:id="50"/>
      <w:r w:rsidR="00E25849" w:rsidRPr="00145692">
        <w:rPr>
          <w:rFonts w:hAnsi="標楷體" w:hint="eastAsia"/>
          <w:color w:val="000000" w:themeColor="text1"/>
          <w:spacing w:val="12"/>
          <w:kern w:val="0"/>
          <w:sz w:val="40"/>
        </w:rPr>
        <w:t>調查委員：</w:t>
      </w:r>
      <w:r w:rsidR="00D6499E" w:rsidRPr="00145692">
        <w:rPr>
          <w:rFonts w:hAnsi="標楷體" w:hint="eastAsia"/>
          <w:color w:val="000000" w:themeColor="text1"/>
          <w:spacing w:val="12"/>
          <w:kern w:val="0"/>
          <w:sz w:val="40"/>
        </w:rPr>
        <w:t>林雅鋒</w:t>
      </w:r>
    </w:p>
    <w:p w:rsidR="00E25849" w:rsidRPr="00CA3AC6" w:rsidRDefault="00E25849">
      <w:pPr>
        <w:pStyle w:val="aa"/>
        <w:spacing w:before="0" w:after="0"/>
        <w:ind w:leftChars="1100" w:left="3742" w:firstLineChars="500" w:firstLine="2021"/>
        <w:rPr>
          <w:rFonts w:hAnsi="標楷體"/>
          <w:b w:val="0"/>
          <w:bCs/>
          <w:snapToGrid/>
          <w:color w:val="000000" w:themeColor="text1"/>
          <w:spacing w:val="12"/>
          <w:kern w:val="0"/>
        </w:rPr>
      </w:pPr>
    </w:p>
    <w:p w:rsidR="00C61B79" w:rsidRPr="00CA3AC6" w:rsidRDefault="00C61B79" w:rsidP="00B6452D">
      <w:pPr>
        <w:widowControl/>
        <w:overflowPunct/>
        <w:autoSpaceDE/>
        <w:autoSpaceDN/>
        <w:jc w:val="left"/>
        <w:rPr>
          <w:rFonts w:hAnsi="標楷體"/>
          <w:bCs/>
          <w:color w:val="000000" w:themeColor="text1"/>
          <w:kern w:val="0"/>
        </w:rPr>
      </w:pPr>
    </w:p>
    <w:sectPr w:rsidR="00C61B79" w:rsidRPr="00CA3AC6" w:rsidSect="00931A10">
      <w:footerReference w:type="default" r:id="rId18"/>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887" w:rsidRDefault="006B6887">
      <w:r>
        <w:separator/>
      </w:r>
    </w:p>
  </w:endnote>
  <w:endnote w:type="continuationSeparator" w:id="0">
    <w:p w:rsidR="006B6887" w:rsidRDefault="006B6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MS Mincho">
    <w:altName w:val="MS Gothic"/>
    <w:panose1 w:val="02020609040205080304"/>
    <w:charset w:val="80"/>
    <w:family w:val="roman"/>
    <w:notTrueType/>
    <w:pitch w:val="fixed"/>
    <w:sig w:usb0="00000000" w:usb1="08070000" w:usb2="00000010" w:usb3="00000000" w:csb0="00020000" w:csb1="00000000"/>
  </w:font>
  <w:font w:name="HiddenVertOCR">
    <w:altName w:val="MS Gothic"/>
    <w:panose1 w:val="00000000000000000000"/>
    <w:charset w:val="80"/>
    <w:family w:val="auto"/>
    <w:notTrueType/>
    <w:pitch w:val="default"/>
    <w:sig w:usb0="00000000" w:usb1="08070000" w:usb2="00000010" w:usb3="00000000" w:csb0="00020000" w:csb1="00000000"/>
  </w:font>
  <w:font w:name="HiddenHorzOCR">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944" w:rsidRDefault="000F294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45692">
      <w:rPr>
        <w:rStyle w:val="ac"/>
        <w:noProof/>
        <w:sz w:val="24"/>
      </w:rPr>
      <w:t>38</w:t>
    </w:r>
    <w:r>
      <w:rPr>
        <w:rStyle w:val="ac"/>
        <w:sz w:val="24"/>
      </w:rPr>
      <w:fldChar w:fldCharType="end"/>
    </w:r>
  </w:p>
  <w:p w:rsidR="000F2944" w:rsidRDefault="000F294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887" w:rsidRDefault="006B6887">
      <w:r>
        <w:separator/>
      </w:r>
    </w:p>
  </w:footnote>
  <w:footnote w:type="continuationSeparator" w:id="0">
    <w:p w:rsidR="006B6887" w:rsidRDefault="006B6887">
      <w:r>
        <w:continuationSeparator/>
      </w:r>
    </w:p>
  </w:footnote>
  <w:footnote w:id="1">
    <w:p w:rsidR="000F2944" w:rsidRPr="003E33BA" w:rsidRDefault="000F2944" w:rsidP="005E44A9">
      <w:pPr>
        <w:pStyle w:val="afa"/>
        <w:ind w:left="44" w:hangingChars="20" w:hanging="44"/>
        <w:jc w:val="both"/>
        <w:rPr>
          <w:lang w:eastAsia="zh-TW"/>
        </w:rPr>
      </w:pPr>
      <w:r>
        <w:rPr>
          <w:rStyle w:val="afc"/>
        </w:rPr>
        <w:footnoteRef/>
      </w:r>
      <w:r>
        <w:t xml:space="preserve"> </w:t>
      </w:r>
      <w:r>
        <w:rPr>
          <w:rFonts w:hint="eastAsia"/>
          <w:lang w:eastAsia="zh-TW"/>
        </w:rPr>
        <w:t>詳見吳庚</w:t>
      </w:r>
      <w:r>
        <w:rPr>
          <w:rFonts w:ascii="新細明體" w:hAnsi="新細明體" w:hint="eastAsia"/>
          <w:lang w:eastAsia="zh-TW"/>
        </w:rPr>
        <w:t>，</w:t>
      </w:r>
      <w:r>
        <w:rPr>
          <w:rFonts w:hint="eastAsia"/>
          <w:lang w:eastAsia="zh-TW"/>
        </w:rPr>
        <w:t>行政法之理論與實用</w:t>
      </w:r>
      <w:r>
        <w:rPr>
          <w:rFonts w:ascii="新細明體" w:hAnsi="新細明體" w:hint="eastAsia"/>
          <w:lang w:eastAsia="zh-TW"/>
        </w:rPr>
        <w:t>（</w:t>
      </w:r>
      <w:r>
        <w:rPr>
          <w:rFonts w:hint="eastAsia"/>
          <w:lang w:eastAsia="zh-TW"/>
        </w:rPr>
        <w:t>增訂</w:t>
      </w:r>
      <w:r>
        <w:rPr>
          <w:rFonts w:hint="eastAsia"/>
          <w:lang w:eastAsia="zh-TW"/>
        </w:rPr>
        <w:t>12</w:t>
      </w:r>
      <w:r>
        <w:rPr>
          <w:rFonts w:hint="eastAsia"/>
          <w:lang w:eastAsia="zh-TW"/>
        </w:rPr>
        <w:t>版</w:t>
      </w:r>
      <w:r>
        <w:rPr>
          <w:rFonts w:ascii="標楷體" w:eastAsia="標楷體" w:hAnsi="標楷體" w:hint="eastAsia"/>
          <w:lang w:eastAsia="zh-TW"/>
        </w:rPr>
        <w:t>）</w:t>
      </w:r>
      <w:r>
        <w:rPr>
          <w:rFonts w:ascii="新細明體" w:hAnsi="新細明體" w:hint="eastAsia"/>
          <w:lang w:eastAsia="zh-TW"/>
        </w:rPr>
        <w:t>，</w:t>
      </w:r>
      <w:r w:rsidRPr="00B3377D">
        <w:rPr>
          <w:rFonts w:ascii="新細明體" w:hAnsi="新細明體" w:hint="eastAsia"/>
          <w:color w:val="000000"/>
          <w:lang w:val="en-US" w:eastAsia="zh-TW"/>
        </w:rPr>
        <w:t>三民書局</w:t>
      </w:r>
      <w:r>
        <w:rPr>
          <w:rFonts w:ascii="新細明體" w:hAnsi="新細明體" w:hint="eastAsia"/>
          <w:lang w:eastAsia="zh-TW"/>
        </w:rPr>
        <w:t>，2012年10月，頁11-19。</w:t>
      </w:r>
    </w:p>
  </w:footnote>
  <w:footnote w:id="2">
    <w:p w:rsidR="000F2944" w:rsidRPr="00781AB6" w:rsidRDefault="000F2944" w:rsidP="00200B13">
      <w:pPr>
        <w:pStyle w:val="afa"/>
        <w:ind w:left="44" w:hangingChars="20" w:hanging="44"/>
        <w:jc w:val="both"/>
        <w:rPr>
          <w:rFonts w:ascii="新細明體" w:hAnsi="新細明體"/>
          <w:color w:val="000000"/>
          <w:lang w:val="en-US" w:eastAsia="zh-TW"/>
        </w:rPr>
      </w:pPr>
      <w:r w:rsidRPr="00781AB6">
        <w:rPr>
          <w:rStyle w:val="afc"/>
          <w:rFonts w:ascii="新細明體" w:hAnsi="新細明體"/>
        </w:rPr>
        <w:footnoteRef/>
      </w:r>
      <w:r w:rsidRPr="00781AB6">
        <w:rPr>
          <w:rFonts w:ascii="新細明體" w:hAnsi="新細明體" w:hint="eastAsia"/>
          <w:color w:val="000000"/>
          <w:lang w:val="en-US" w:eastAsia="zh-TW"/>
        </w:rPr>
        <w:t>即其因電子票證發行機構業務管理規則第14條規定：「發行機構不得投資於其他企業，但經主管機關核准投資於與其業務密切關聯且持股比率</w:t>
      </w:r>
      <w:r>
        <w:rPr>
          <w:rFonts w:ascii="新細明體" w:hAnsi="新細明體" w:hint="eastAsia"/>
          <w:color w:val="000000"/>
          <w:lang w:val="en-US" w:eastAsia="zh-TW"/>
        </w:rPr>
        <w:t>50%</w:t>
      </w:r>
      <w:r w:rsidRPr="00781AB6">
        <w:rPr>
          <w:rFonts w:ascii="新細明體" w:hAnsi="新細明體" w:hint="eastAsia"/>
          <w:color w:val="000000"/>
          <w:lang w:val="en-US" w:eastAsia="zh-TW"/>
        </w:rPr>
        <w:t>以上之子公司，不在此限。發行機構轉投資總額不得超過其投資時實收資本額扣除本條例規定之最低實收資本額及累積虧損後之</w:t>
      </w:r>
      <w:r>
        <w:rPr>
          <w:rFonts w:ascii="新細明體" w:hAnsi="新細明體" w:hint="eastAsia"/>
          <w:color w:val="000000"/>
          <w:lang w:val="en-US" w:eastAsia="zh-TW"/>
        </w:rPr>
        <w:t>10%</w:t>
      </w:r>
      <w:r w:rsidRPr="00781AB6">
        <w:rPr>
          <w:rFonts w:ascii="新細明體" w:hAnsi="新細明體" w:hint="eastAsia"/>
          <w:color w:val="000000"/>
          <w:lang w:val="en-US" w:eastAsia="zh-TW"/>
        </w:rPr>
        <w:t>。發行機構就自有資金之運用，應訂定內部作業準則報董事會核准，修正時亦同。發行機構不得對外辦理保證。主管機關於必要時，得就發行機構各項負債之比率，規定其標準。」</w:t>
      </w:r>
    </w:p>
    <w:p w:rsidR="000F2944" w:rsidRPr="00781AB6" w:rsidRDefault="000F2944" w:rsidP="00370D99">
      <w:pPr>
        <w:pStyle w:val="afa"/>
        <w:rPr>
          <w:rFonts w:ascii="新細明體" w:hAnsi="新細明體"/>
          <w:color w:val="FF0000"/>
          <w:lang w:val="en-US" w:eastAsia="zh-TW"/>
        </w:rPr>
      </w:pPr>
    </w:p>
  </w:footnote>
  <w:footnote w:id="3">
    <w:p w:rsidR="000F2944" w:rsidRPr="008F4BB2" w:rsidRDefault="000F2944" w:rsidP="00563AE9">
      <w:pPr>
        <w:pStyle w:val="afa"/>
        <w:rPr>
          <w:rFonts w:ascii="新細明體" w:hAnsi="新細明體"/>
          <w:lang w:eastAsia="zh-TW"/>
        </w:rPr>
      </w:pPr>
      <w:r w:rsidRPr="008F4BB2">
        <w:rPr>
          <w:rStyle w:val="afc"/>
          <w:rFonts w:ascii="新細明體" w:hAnsi="新細明體"/>
        </w:rPr>
        <w:footnoteRef/>
      </w:r>
      <w:proofErr w:type="spellStart"/>
      <w:r w:rsidRPr="008F4BB2">
        <w:rPr>
          <w:rFonts w:ascii="新細明體" w:hAnsi="新細明體" w:hint="eastAsia"/>
        </w:rPr>
        <w:t>陳敏，</w:t>
      </w:r>
      <w:r w:rsidRPr="008F4BB2">
        <w:rPr>
          <w:rFonts w:ascii="新細明體" w:hAnsi="新細明體" w:hint="eastAsia"/>
          <w:lang w:eastAsia="zh-TW"/>
        </w:rPr>
        <w:t>行政法總論</w:t>
      </w:r>
      <w:proofErr w:type="spellEnd"/>
      <w:r w:rsidRPr="008F4BB2">
        <w:rPr>
          <w:rFonts w:ascii="新細明體" w:hAnsi="新細明體" w:hint="eastAsia"/>
          <w:lang w:eastAsia="zh-TW"/>
        </w:rPr>
        <w:t>（3版），</w:t>
      </w:r>
      <w:proofErr w:type="gramStart"/>
      <w:r w:rsidRPr="008F4BB2">
        <w:rPr>
          <w:rFonts w:ascii="新細明體" w:hAnsi="新細明體" w:hint="eastAsia"/>
          <w:lang w:eastAsia="zh-TW"/>
        </w:rPr>
        <w:t>自刊</w:t>
      </w:r>
      <w:proofErr w:type="gramEnd"/>
      <w:r w:rsidRPr="008F4BB2">
        <w:rPr>
          <w:rFonts w:ascii="新細明體" w:hAnsi="新細明體" w:hint="eastAsia"/>
          <w:lang w:eastAsia="zh-TW"/>
        </w:rPr>
        <w:t>，92年1月，頁16。</w:t>
      </w:r>
    </w:p>
  </w:footnote>
  <w:footnote w:id="4">
    <w:p w:rsidR="000F2944" w:rsidRPr="0036521E" w:rsidRDefault="000F2944" w:rsidP="002F2C1D">
      <w:pPr>
        <w:pStyle w:val="afa"/>
        <w:ind w:left="44" w:hangingChars="20" w:hanging="44"/>
        <w:jc w:val="both"/>
        <w:rPr>
          <w:rFonts w:ascii="新細明體" w:hAnsi="新細明體"/>
          <w:lang w:eastAsia="zh-TW"/>
        </w:rPr>
      </w:pPr>
      <w:r w:rsidRPr="0036521E">
        <w:rPr>
          <w:rStyle w:val="afc"/>
          <w:rFonts w:ascii="新細明體" w:hAnsi="新細明體"/>
        </w:rPr>
        <w:footnoteRef/>
      </w:r>
      <w:r w:rsidRPr="0036521E">
        <w:rPr>
          <w:rFonts w:ascii="新細明體" w:hAnsi="新細明體" w:hint="eastAsia"/>
        </w:rPr>
        <w:t>公司法第13條規定：「公司不得為他公司無限責任股東或合夥事業之合夥人；如為他公司有限責任股東時，其所有投資總額，</w:t>
      </w:r>
      <w:r w:rsidRPr="0036521E">
        <w:rPr>
          <w:rFonts w:ascii="新細明體" w:hAnsi="新細明體" w:hint="eastAsia"/>
          <w:lang w:val="en-US"/>
        </w:rPr>
        <w:t>除以投資為專業或公司章程另有規定或經依左列各款規定</w:t>
      </w:r>
      <w:r w:rsidRPr="0036521E">
        <w:rPr>
          <w:rFonts w:ascii="新細明體" w:hAnsi="新細明體" w:hint="eastAsia"/>
        </w:rPr>
        <w:t>，取得股東同意或股東會決議者外，不得超過本公司實收股本</w:t>
      </w:r>
      <w:r>
        <w:rPr>
          <w:rFonts w:ascii="新細明體" w:hAnsi="新細明體" w:hint="eastAsia"/>
          <w:lang w:eastAsia="zh-TW"/>
        </w:rPr>
        <w:t>40%</w:t>
      </w:r>
      <w:r w:rsidRPr="0036521E">
        <w:rPr>
          <w:rFonts w:ascii="新細明體" w:hAnsi="新細明體" w:hint="eastAsia"/>
        </w:rPr>
        <w:t>。」</w:t>
      </w:r>
    </w:p>
  </w:footnote>
  <w:footnote w:id="5">
    <w:p w:rsidR="000F2944" w:rsidRPr="0036521E" w:rsidRDefault="000F2944" w:rsidP="002F2C1D">
      <w:pPr>
        <w:pStyle w:val="afa"/>
        <w:ind w:left="44" w:hangingChars="20" w:hanging="44"/>
        <w:jc w:val="both"/>
        <w:rPr>
          <w:rFonts w:ascii="新細明體" w:hAnsi="新細明體"/>
          <w:lang w:eastAsia="zh-TW"/>
        </w:rPr>
      </w:pPr>
      <w:r w:rsidRPr="0036521E">
        <w:rPr>
          <w:rStyle w:val="afc"/>
          <w:rFonts w:ascii="新細明體" w:hAnsi="新細明體"/>
        </w:rPr>
        <w:footnoteRef/>
      </w:r>
      <w:r w:rsidRPr="0036521E">
        <w:rPr>
          <w:rFonts w:ascii="新細明體" w:hAnsi="新細明體" w:hint="eastAsia"/>
          <w:lang w:val="en-US"/>
        </w:rPr>
        <w:t>公司法</w:t>
      </w:r>
      <w:r w:rsidRPr="0036521E">
        <w:rPr>
          <w:rFonts w:ascii="新細明體" w:hAnsi="新細明體" w:hint="eastAsia"/>
        </w:rPr>
        <w:t>第</w:t>
      </w:r>
      <w:r w:rsidRPr="0036521E">
        <w:rPr>
          <w:rFonts w:ascii="新細明體" w:hAnsi="新細明體" w:hint="eastAsia"/>
          <w:lang w:eastAsia="zh-TW"/>
        </w:rPr>
        <w:t>16</w:t>
      </w:r>
      <w:r w:rsidRPr="0036521E">
        <w:rPr>
          <w:rFonts w:ascii="新細明體" w:hAnsi="新細明體" w:hint="eastAsia"/>
        </w:rPr>
        <w:t>條規定：「公司除依其他法律或公司章程規定得為保證者外，不得為任何保證人。</w:t>
      </w:r>
      <w:r w:rsidRPr="0036521E">
        <w:rPr>
          <w:rFonts w:ascii="新細明體" w:hAnsi="新細明體" w:hint="eastAsia"/>
          <w:lang w:val="en-US"/>
        </w:rPr>
        <w:t>公司負責人違反前項規定時</w:t>
      </w:r>
      <w:r w:rsidRPr="0036521E">
        <w:rPr>
          <w:rFonts w:ascii="新細明體" w:hAnsi="新細明體" w:hint="eastAsia"/>
        </w:rPr>
        <w:t>，應自負保證責任，如公司受有損害時，亦應負賠償責任。」</w:t>
      </w:r>
    </w:p>
  </w:footnote>
  <w:footnote w:id="6">
    <w:p w:rsidR="000F2944" w:rsidRPr="00781AB6" w:rsidRDefault="000F2944" w:rsidP="002F2C1D">
      <w:pPr>
        <w:pStyle w:val="afa"/>
        <w:ind w:left="44" w:hangingChars="20" w:hanging="44"/>
        <w:jc w:val="both"/>
        <w:rPr>
          <w:rFonts w:ascii="新細明體" w:hAnsi="新細明體"/>
          <w:lang w:eastAsia="zh-TW"/>
        </w:rPr>
      </w:pPr>
      <w:r w:rsidRPr="00781AB6">
        <w:rPr>
          <w:rStyle w:val="afc"/>
          <w:rFonts w:ascii="新細明體" w:hAnsi="新細明體"/>
        </w:rPr>
        <w:footnoteRef/>
      </w:r>
      <w:r w:rsidRPr="00781AB6">
        <w:rPr>
          <w:rFonts w:ascii="新細明體" w:hAnsi="新細明體" w:hint="eastAsia"/>
          <w:lang w:val="en-US"/>
        </w:rPr>
        <w:t>電子票證發行管理條例第7</w:t>
      </w:r>
      <w:proofErr w:type="spellStart"/>
      <w:r w:rsidRPr="00781AB6">
        <w:rPr>
          <w:rFonts w:ascii="新細明體" w:hAnsi="新細明體" w:hint="eastAsia"/>
          <w:lang w:val="en-US"/>
        </w:rPr>
        <w:t>條規定，發行機構以股份有限公司組織為限</w:t>
      </w:r>
      <w:proofErr w:type="spellEnd"/>
      <w:r w:rsidRPr="00781AB6">
        <w:rPr>
          <w:rFonts w:ascii="新細明體" w:hAnsi="新細明體" w:hint="eastAsia"/>
          <w:lang w:val="en-US"/>
        </w:rPr>
        <w:t>。</w:t>
      </w:r>
    </w:p>
  </w:footnote>
  <w:footnote w:id="7">
    <w:p w:rsidR="000F2944" w:rsidRPr="00781AB6" w:rsidRDefault="000F2944" w:rsidP="002F2C1D">
      <w:pPr>
        <w:pStyle w:val="afa"/>
        <w:ind w:left="44" w:hangingChars="20" w:hanging="44"/>
        <w:jc w:val="both"/>
        <w:rPr>
          <w:rFonts w:ascii="新細明體" w:hAnsi="新細明體"/>
          <w:lang w:eastAsia="zh-TW"/>
        </w:rPr>
      </w:pPr>
      <w:r w:rsidRPr="00781AB6">
        <w:rPr>
          <w:rStyle w:val="afc"/>
          <w:rFonts w:ascii="新細明體" w:hAnsi="新細明體"/>
        </w:rPr>
        <w:footnoteRef/>
      </w:r>
      <w:r w:rsidRPr="00781AB6">
        <w:rPr>
          <w:rFonts w:ascii="新細明體" w:hAnsi="新細明體"/>
          <w:lang w:val="en-US"/>
        </w:rPr>
        <w:t>電子票證發行機構業務管理規則</w:t>
      </w:r>
      <w:r w:rsidRPr="00781AB6">
        <w:rPr>
          <w:rFonts w:ascii="新細明體" w:hAnsi="新細明體" w:hint="eastAsia"/>
          <w:lang w:val="en-US"/>
        </w:rPr>
        <w:t>第14</w:t>
      </w:r>
      <w:proofErr w:type="spellStart"/>
      <w:r w:rsidRPr="00781AB6">
        <w:rPr>
          <w:rFonts w:ascii="新細明體" w:hAnsi="新細明體" w:hint="eastAsia"/>
          <w:lang w:val="en-US"/>
        </w:rPr>
        <w:t>條</w:t>
      </w:r>
      <w:r w:rsidRPr="00781AB6">
        <w:rPr>
          <w:rFonts w:ascii="新細明體" w:hAnsi="新細明體" w:hint="eastAsia"/>
          <w:lang w:val="en-US" w:eastAsia="zh-TW"/>
        </w:rPr>
        <w:t>規定，發行機構不得投資於其他企業，但經主管機關核准投資於與其業務密切關聯且持股比率</w:t>
      </w:r>
      <w:proofErr w:type="spellEnd"/>
      <w:r>
        <w:rPr>
          <w:rFonts w:ascii="新細明體" w:hAnsi="新細明體" w:hint="eastAsia"/>
          <w:lang w:val="en-US" w:eastAsia="zh-TW"/>
        </w:rPr>
        <w:t>50%</w:t>
      </w:r>
      <w:r w:rsidRPr="00781AB6">
        <w:rPr>
          <w:rFonts w:ascii="新細明體" w:hAnsi="新細明體" w:hint="eastAsia"/>
          <w:lang w:val="en-US" w:eastAsia="zh-TW"/>
        </w:rPr>
        <w:t>以上之子公司，不在此限。發行機構轉投資總額不得超過其投資時實收資本額扣除本條例規定之最低實收資本額及累積虧損後之</w:t>
      </w:r>
      <w:r>
        <w:rPr>
          <w:rFonts w:ascii="新細明體" w:hAnsi="新細明體" w:hint="eastAsia"/>
          <w:lang w:val="en-US" w:eastAsia="zh-TW"/>
        </w:rPr>
        <w:t>10%</w:t>
      </w:r>
      <w:r w:rsidRPr="00781AB6">
        <w:rPr>
          <w:rFonts w:ascii="新細明體" w:hAnsi="新細明體" w:hint="eastAsia"/>
          <w:lang w:val="en-US" w:eastAsia="zh-TW"/>
        </w:rPr>
        <w:t>。</w:t>
      </w:r>
      <w:r w:rsidRPr="00781AB6">
        <w:rPr>
          <w:rFonts w:ascii="新細明體" w:hAnsi="新細明體" w:hint="eastAsia"/>
          <w:lang w:val="en-US"/>
        </w:rPr>
        <w:t>發行</w:t>
      </w:r>
      <w:r w:rsidRPr="00781AB6">
        <w:rPr>
          <w:rFonts w:ascii="新細明體" w:hAnsi="新細明體" w:hint="eastAsia"/>
          <w:lang w:val="en-US" w:eastAsia="zh-TW"/>
        </w:rPr>
        <w:t>機構就自有資金之運用，應訂定內部作業準則報董事會核准，修正時亦同。發行機構不得對外辦理保證。主管機關於必要時，得就發行機構各項負債之比率，規定其標準。</w:t>
      </w:r>
    </w:p>
  </w:footnote>
  <w:footnote w:id="8">
    <w:p w:rsidR="000F2944" w:rsidRPr="00781AB6" w:rsidRDefault="000F2944" w:rsidP="002F2C1D">
      <w:pPr>
        <w:pStyle w:val="afa"/>
        <w:ind w:left="44" w:hangingChars="20" w:hanging="44"/>
        <w:jc w:val="both"/>
        <w:rPr>
          <w:rFonts w:ascii="新細明體" w:hAnsi="新細明體"/>
          <w:lang w:eastAsia="zh-TW"/>
        </w:rPr>
      </w:pPr>
      <w:r w:rsidRPr="00781AB6">
        <w:rPr>
          <w:rStyle w:val="afc"/>
          <w:rFonts w:ascii="新細明體" w:hAnsi="新細明體"/>
        </w:rPr>
        <w:footnoteRef/>
      </w:r>
      <w:r w:rsidRPr="00781AB6">
        <w:rPr>
          <w:rFonts w:ascii="新細明體" w:hAnsi="新細明體"/>
        </w:rPr>
        <w:t xml:space="preserve"> </w:t>
      </w:r>
      <w:r w:rsidRPr="00781AB6">
        <w:rPr>
          <w:rFonts w:ascii="新細明體" w:hAnsi="新細明體" w:hint="eastAsia"/>
          <w:lang w:eastAsia="zh-TW"/>
        </w:rPr>
        <w:t>造成目前有部分股東並非為大眾捷運法</w:t>
      </w:r>
      <w:r w:rsidRPr="00781AB6">
        <w:rPr>
          <w:rFonts w:ascii="新細明體" w:hAnsi="新細明體" w:hint="eastAsia"/>
          <w:lang w:val="en-US" w:eastAsia="zh-TW"/>
        </w:rPr>
        <w:t>第32條所定之大眾營運業者。</w:t>
      </w:r>
    </w:p>
  </w:footnote>
  <w:footnote w:id="9">
    <w:p w:rsidR="000F2944" w:rsidRPr="00EA5B4A" w:rsidRDefault="000F2944" w:rsidP="00811F26">
      <w:pPr>
        <w:pStyle w:val="afa"/>
        <w:ind w:left="44" w:hangingChars="20" w:hanging="44"/>
        <w:jc w:val="both"/>
        <w:rPr>
          <w:rFonts w:ascii="新細明體" w:hAnsi="新細明體"/>
          <w:lang w:val="en-US" w:eastAsia="zh-TW"/>
        </w:rPr>
      </w:pPr>
      <w:r w:rsidRPr="00EA5B4A">
        <w:rPr>
          <w:rStyle w:val="afc"/>
          <w:rFonts w:ascii="新細明體" w:hAnsi="新細明體"/>
        </w:rPr>
        <w:footnoteRef/>
      </w:r>
      <w:proofErr w:type="spellStart"/>
      <w:r w:rsidRPr="00EA5B4A">
        <w:rPr>
          <w:rFonts w:ascii="新細明體" w:hAnsi="新細明體"/>
          <w:lang w:val="en-US"/>
        </w:rPr>
        <w:t>林</w:t>
      </w:r>
      <w:r w:rsidRPr="00EA5B4A">
        <w:rPr>
          <w:rFonts w:ascii="新細明體" w:hAnsi="新細明體" w:hint="eastAsia"/>
          <w:lang w:val="en-US"/>
        </w:rPr>
        <w:t>委員</w:t>
      </w:r>
      <w:r w:rsidRPr="00EA5B4A">
        <w:rPr>
          <w:rFonts w:ascii="新細明體" w:hAnsi="新細明體"/>
          <w:lang w:val="en-US"/>
        </w:rPr>
        <w:t>雅鋒</w:t>
      </w:r>
      <w:r w:rsidRPr="00EA5B4A">
        <w:rPr>
          <w:rFonts w:ascii="新細明體" w:hAnsi="新細明體" w:hint="eastAsia"/>
          <w:lang w:val="en-US"/>
        </w:rPr>
        <w:t>：</w:t>
      </w:r>
      <w:proofErr w:type="gramStart"/>
      <w:r w:rsidRPr="00EA5B4A">
        <w:rPr>
          <w:rFonts w:ascii="新細明體" w:hAnsi="新細明體" w:hint="eastAsia"/>
          <w:lang w:val="en-US"/>
        </w:rPr>
        <w:t>一</w:t>
      </w:r>
      <w:proofErr w:type="gramEnd"/>
      <w:r w:rsidRPr="00EA5B4A">
        <w:rPr>
          <w:rFonts w:ascii="新細明體" w:hAnsi="新細明體" w:hint="eastAsia"/>
          <w:lang w:val="en-US"/>
        </w:rPr>
        <w:t>卡通</w:t>
      </w:r>
      <w:proofErr w:type="gramStart"/>
      <w:r w:rsidRPr="00EA5B4A">
        <w:rPr>
          <w:rFonts w:ascii="新細明體" w:hAnsi="新細明體" w:hint="eastAsia"/>
          <w:lang w:val="en-US"/>
        </w:rPr>
        <w:t>有無控股</w:t>
      </w:r>
      <w:proofErr w:type="gramEnd"/>
      <w:r w:rsidRPr="00EA5B4A">
        <w:rPr>
          <w:rFonts w:ascii="新細明體" w:hAnsi="新細明體" w:hint="eastAsia"/>
          <w:lang w:val="en-US" w:eastAsia="zh-TW"/>
        </w:rPr>
        <w:t>公司</w:t>
      </w:r>
      <w:proofErr w:type="spellEnd"/>
      <w:r w:rsidRPr="00EA5B4A">
        <w:rPr>
          <w:rFonts w:ascii="新細明體" w:hAnsi="新細明體" w:hint="eastAsia"/>
          <w:lang w:val="en-US"/>
        </w:rPr>
        <w:t>？</w:t>
      </w:r>
      <w:proofErr w:type="spellStart"/>
      <w:r w:rsidRPr="00EA5B4A">
        <w:rPr>
          <w:rFonts w:hAnsi="標楷體" w:cs="新細明體" w:hint="eastAsia"/>
          <w:kern w:val="0"/>
          <w:szCs w:val="32"/>
        </w:rPr>
        <w:t>悠遊卡公司</w:t>
      </w:r>
      <w:r w:rsidRPr="00EA5B4A">
        <w:rPr>
          <w:rFonts w:hAnsi="標楷體" w:hint="eastAsia"/>
          <w:szCs w:val="32"/>
        </w:rPr>
        <w:t>董事長林向愷</w:t>
      </w:r>
      <w:r w:rsidRPr="00EA5B4A">
        <w:rPr>
          <w:rFonts w:ascii="新細明體" w:hAnsi="新細明體" w:hint="eastAsia"/>
          <w:lang w:val="en-US" w:eastAsia="zh-TW"/>
        </w:rPr>
        <w:t>表示</w:t>
      </w:r>
      <w:proofErr w:type="spellEnd"/>
      <w:r w:rsidRPr="00EA5B4A">
        <w:rPr>
          <w:rFonts w:ascii="新細明體" w:hAnsi="新細明體" w:hint="eastAsia"/>
          <w:lang w:val="en-US"/>
        </w:rPr>
        <w:t>：</w:t>
      </w:r>
      <w:proofErr w:type="spellStart"/>
      <w:proofErr w:type="gramStart"/>
      <w:r w:rsidRPr="00EA5B4A">
        <w:rPr>
          <w:rFonts w:ascii="新細明體" w:hAnsi="新細明體" w:hint="eastAsia"/>
          <w:lang w:val="en-US"/>
        </w:rPr>
        <w:t>一</w:t>
      </w:r>
      <w:proofErr w:type="gramEnd"/>
      <w:r w:rsidRPr="00EA5B4A">
        <w:rPr>
          <w:rFonts w:ascii="新細明體" w:hAnsi="新細明體" w:hint="eastAsia"/>
          <w:lang w:val="en-US"/>
        </w:rPr>
        <w:t>卡通沒有控股公司，</w:t>
      </w:r>
      <w:proofErr w:type="gramStart"/>
      <w:r w:rsidRPr="00EA5B4A">
        <w:rPr>
          <w:rFonts w:ascii="新細明體" w:hAnsi="新細明體" w:hint="eastAsia"/>
          <w:lang w:val="en-US"/>
        </w:rPr>
        <w:t>未來</w:t>
      </w:r>
      <w:r w:rsidRPr="00EA5B4A">
        <w:rPr>
          <w:rFonts w:hAnsi="標楷體" w:cs="新細明體" w:hint="eastAsia"/>
          <w:kern w:val="0"/>
          <w:szCs w:val="32"/>
        </w:rPr>
        <w:t>悠遊卡投控</w:t>
      </w:r>
      <w:proofErr w:type="gramEnd"/>
      <w:r w:rsidRPr="00EA5B4A">
        <w:rPr>
          <w:rFonts w:hAnsi="標楷體" w:cs="新細明體" w:hint="eastAsia"/>
          <w:kern w:val="0"/>
          <w:szCs w:val="32"/>
        </w:rPr>
        <w:t>公司</w:t>
      </w:r>
      <w:r w:rsidRPr="00EA5B4A">
        <w:rPr>
          <w:rFonts w:ascii="新細明體" w:hAnsi="新細明體" w:hint="eastAsia"/>
          <w:lang w:val="en-US"/>
        </w:rPr>
        <w:t>經營目標主要</w:t>
      </w:r>
      <w:proofErr w:type="gramStart"/>
      <w:r w:rsidRPr="00EA5B4A">
        <w:rPr>
          <w:rFonts w:ascii="新細明體" w:hAnsi="新細明體" w:hint="eastAsia"/>
          <w:lang w:val="en-US"/>
        </w:rPr>
        <w:t>使點鑽</w:t>
      </w:r>
      <w:r w:rsidRPr="00EA5B4A">
        <w:rPr>
          <w:rFonts w:ascii="新細明體" w:hAnsi="新細明體" w:hint="eastAsia"/>
          <w:lang w:val="en-US" w:eastAsia="zh-TW"/>
        </w:rPr>
        <w:t>公司</w:t>
      </w:r>
      <w:r w:rsidRPr="00EA5B4A">
        <w:rPr>
          <w:rFonts w:ascii="新細明體" w:hAnsi="新細明體" w:hint="eastAsia"/>
          <w:lang w:val="en-US"/>
        </w:rPr>
        <w:t>與群信</w:t>
      </w:r>
      <w:r w:rsidRPr="00EA5B4A">
        <w:rPr>
          <w:rFonts w:ascii="新細明體" w:hAnsi="新細明體" w:hint="eastAsia"/>
          <w:lang w:val="en-US" w:eastAsia="zh-TW"/>
        </w:rPr>
        <w:t>公司</w:t>
      </w:r>
      <w:proofErr w:type="gramEnd"/>
      <w:r w:rsidRPr="00EA5B4A">
        <w:rPr>
          <w:rFonts w:ascii="新細明體" w:hAnsi="新細明體" w:hint="eastAsia"/>
          <w:lang w:val="en-US"/>
        </w:rPr>
        <w:t>不再虧損，悠遊卡公司不再做任何擴張性投資</w:t>
      </w:r>
      <w:proofErr w:type="spellEnd"/>
      <w:r w:rsidRPr="00EA5B4A">
        <w:rPr>
          <w:rFonts w:ascii="新細明體" w:hAnsi="新細明體" w:hint="eastAsia"/>
          <w:lang w:val="en-US"/>
        </w:rPr>
        <w:t>。</w:t>
      </w:r>
    </w:p>
  </w:footnote>
  <w:footnote w:id="10">
    <w:p w:rsidR="000F2944" w:rsidRPr="00781AB6" w:rsidRDefault="000F2944" w:rsidP="00811F26">
      <w:pPr>
        <w:pStyle w:val="afa"/>
        <w:ind w:left="44" w:hangingChars="20" w:hanging="44"/>
        <w:jc w:val="both"/>
        <w:rPr>
          <w:rFonts w:ascii="新細明體" w:hAnsi="新細明體"/>
          <w:lang w:val="en-US" w:eastAsia="zh-TW"/>
        </w:rPr>
      </w:pPr>
      <w:r w:rsidRPr="00781AB6">
        <w:rPr>
          <w:rStyle w:val="afc"/>
          <w:rFonts w:ascii="新細明體" w:hAnsi="新細明體"/>
        </w:rPr>
        <w:footnoteRef/>
      </w:r>
      <w:r w:rsidRPr="00EA5B4A">
        <w:rPr>
          <w:rFonts w:hAnsi="標楷體" w:cs="新細明體" w:hint="eastAsia"/>
          <w:kern w:val="0"/>
          <w:szCs w:val="32"/>
        </w:rPr>
        <w:t>悠遊卡公司</w:t>
      </w:r>
      <w:r w:rsidRPr="00EA5B4A">
        <w:rPr>
          <w:rFonts w:hAnsi="標楷體" w:hint="eastAsia"/>
          <w:szCs w:val="32"/>
        </w:rPr>
        <w:t>董事長林向愷</w:t>
      </w:r>
      <w:r w:rsidRPr="00781AB6">
        <w:rPr>
          <w:rFonts w:ascii="新細明體" w:hAnsi="新細明體" w:hint="eastAsia"/>
          <w:lang w:val="en-US"/>
        </w:rPr>
        <w:t>：</w:t>
      </w:r>
      <w:r w:rsidRPr="00EA5B4A">
        <w:rPr>
          <w:rFonts w:hAnsi="標楷體" w:cs="新細明體" w:hint="eastAsia"/>
          <w:kern w:val="0"/>
          <w:szCs w:val="32"/>
        </w:rPr>
        <w:t>悠遊</w:t>
      </w:r>
      <w:proofErr w:type="gramStart"/>
      <w:r w:rsidRPr="00EA5B4A">
        <w:rPr>
          <w:rFonts w:hAnsi="標楷體" w:cs="新細明體" w:hint="eastAsia"/>
          <w:kern w:val="0"/>
          <w:szCs w:val="32"/>
        </w:rPr>
        <w:t>卡投控</w:t>
      </w:r>
      <w:proofErr w:type="gramEnd"/>
      <w:r w:rsidRPr="00EA5B4A">
        <w:rPr>
          <w:rFonts w:hAnsi="標楷體" w:cs="新細明體" w:hint="eastAsia"/>
          <w:kern w:val="0"/>
          <w:szCs w:val="32"/>
        </w:rPr>
        <w:t>公司</w:t>
      </w:r>
      <w:r w:rsidRPr="00781AB6">
        <w:rPr>
          <w:rFonts w:ascii="新細明體" w:hAnsi="新細明體" w:hint="eastAsia"/>
          <w:lang w:val="en-US"/>
        </w:rPr>
        <w:t>章程</w:t>
      </w:r>
      <w:r>
        <w:rPr>
          <w:rFonts w:ascii="新細明體" w:hAnsi="新細明體" w:hint="eastAsia"/>
          <w:lang w:val="en-US" w:eastAsia="zh-TW"/>
        </w:rPr>
        <w:t>103</w:t>
      </w:r>
      <w:proofErr w:type="spellStart"/>
      <w:r w:rsidRPr="00781AB6">
        <w:rPr>
          <w:rFonts w:ascii="新細明體" w:hAnsi="新細明體" w:hint="eastAsia"/>
          <w:lang w:val="en-US"/>
        </w:rPr>
        <w:t>年確實</w:t>
      </w:r>
      <w:r>
        <w:rPr>
          <w:rFonts w:ascii="新細明體" w:hAnsi="新細明體" w:hint="eastAsia"/>
          <w:lang w:val="en-US" w:eastAsia="zh-TW"/>
        </w:rPr>
        <w:t>訂有</w:t>
      </w:r>
      <w:r w:rsidRPr="00781AB6">
        <w:rPr>
          <w:rFonts w:ascii="新細明體" w:hAnsi="新細明體" w:hint="eastAsia"/>
          <w:lang w:val="en-US"/>
        </w:rPr>
        <w:t>背書保證條款，我們會向董事會提案廢止</w:t>
      </w:r>
      <w:proofErr w:type="spellEnd"/>
      <w:r w:rsidRPr="00781AB6">
        <w:rPr>
          <w:rFonts w:ascii="新細明體" w:hAnsi="新細明體" w:hint="eastAsia"/>
          <w:lang w:val="en-US"/>
        </w:rPr>
        <w:t>。</w:t>
      </w:r>
    </w:p>
  </w:footnote>
  <w:footnote w:id="11">
    <w:p w:rsidR="000F2944" w:rsidRPr="001C2159" w:rsidRDefault="000F2944">
      <w:pPr>
        <w:pStyle w:val="afa"/>
        <w:rPr>
          <w:lang w:eastAsia="zh-TW"/>
        </w:rPr>
      </w:pPr>
      <w:r>
        <w:rPr>
          <w:rStyle w:val="afc"/>
        </w:rPr>
        <w:footnoteRef/>
      </w:r>
      <w:r w:rsidRPr="001C2159">
        <w:rPr>
          <w:rFonts w:hint="eastAsia"/>
        </w:rPr>
        <w:t>新自由主義（</w:t>
      </w:r>
      <w:r w:rsidRPr="001C2159">
        <w:rPr>
          <w:rFonts w:hint="eastAsia"/>
        </w:rPr>
        <w:t>Neoliberalism</w:t>
      </w:r>
      <w:r w:rsidRPr="001C2159">
        <w:rPr>
          <w:rFonts w:hint="eastAsia"/>
        </w:rPr>
        <w:t>）是在自由主義下其中一種政治與經濟哲學，強調自由市場的機制，反對國家對國內經濟的任何干預，對於商業行為和財產權的管制，其反對任何型態的社會福利政策，主張對於大企業減稅，鼓勵全球化貿易政策。</w:t>
      </w:r>
    </w:p>
  </w:footnote>
  <w:footnote w:id="12">
    <w:p w:rsidR="000F2944" w:rsidRPr="00043184" w:rsidRDefault="000F2944">
      <w:pPr>
        <w:pStyle w:val="afa"/>
        <w:rPr>
          <w:lang w:eastAsia="zh-TW"/>
        </w:rPr>
      </w:pPr>
      <w:r>
        <w:rPr>
          <w:rStyle w:val="afc"/>
        </w:rPr>
        <w:footnoteRef/>
      </w:r>
      <w:proofErr w:type="spellStart"/>
      <w:r w:rsidRPr="00043184">
        <w:rPr>
          <w:rFonts w:hint="eastAsia"/>
        </w:rPr>
        <w:t>亦即將納稅義務人的錢</w:t>
      </w:r>
      <w:proofErr w:type="spellEnd"/>
      <w:r w:rsidRPr="00043184">
        <w:rPr>
          <w:rFonts w:hint="eastAsia"/>
        </w:rPr>
        <w:t>—</w:t>
      </w:r>
      <w:proofErr w:type="spellStart"/>
      <w:r w:rsidRPr="00043184">
        <w:rPr>
          <w:rFonts w:hint="eastAsia"/>
        </w:rPr>
        <w:t>國家資本，先交由政經官僚控制，而不受民意監督，此即形成官僚資本</w:t>
      </w:r>
      <w:proofErr w:type="spellEnd"/>
      <w:r w:rsidRPr="00043184">
        <w:rPr>
          <w:rFonts w:hint="eastAsia"/>
        </w:rPr>
        <w:t>。</w:t>
      </w:r>
    </w:p>
  </w:footnote>
  <w:footnote w:id="13">
    <w:p w:rsidR="000F2944" w:rsidRPr="00781AB6" w:rsidRDefault="000F2944" w:rsidP="004A54DB">
      <w:pPr>
        <w:pStyle w:val="afa"/>
        <w:ind w:left="44" w:hangingChars="20" w:hanging="44"/>
        <w:jc w:val="both"/>
        <w:rPr>
          <w:rFonts w:ascii="新細明體" w:hAnsi="新細明體"/>
        </w:rPr>
      </w:pPr>
      <w:r w:rsidRPr="00781AB6">
        <w:rPr>
          <w:rStyle w:val="afc"/>
          <w:rFonts w:ascii="新細明體" w:hAnsi="新細明體"/>
        </w:rPr>
        <w:footnoteRef/>
      </w:r>
      <w:proofErr w:type="spellStart"/>
      <w:r w:rsidRPr="00781AB6">
        <w:rPr>
          <w:rFonts w:ascii="新細明體" w:hAnsi="新細明體" w:hint="eastAsia"/>
        </w:rPr>
        <w:t>相當於法國人權宣言前言</w:t>
      </w:r>
      <w:proofErr w:type="spellEnd"/>
      <w:r w:rsidRPr="00781AB6">
        <w:rPr>
          <w:rFonts w:ascii="新細明體" w:hAnsi="新細明體" w:hint="eastAsia"/>
        </w:rPr>
        <w:t>。</w:t>
      </w:r>
    </w:p>
  </w:footnote>
  <w:footnote w:id="14">
    <w:p w:rsidR="000F2944" w:rsidRPr="00781AB6" w:rsidRDefault="000F2944" w:rsidP="004A54DB">
      <w:pPr>
        <w:pStyle w:val="afa"/>
        <w:ind w:left="44" w:hangingChars="20" w:hanging="44"/>
        <w:jc w:val="both"/>
        <w:rPr>
          <w:rFonts w:ascii="新細明體" w:hAnsi="新細明體"/>
          <w:lang w:eastAsia="zh-TW"/>
        </w:rPr>
      </w:pPr>
      <w:r w:rsidRPr="00781AB6">
        <w:rPr>
          <w:rStyle w:val="afc"/>
          <w:rFonts w:ascii="新細明體" w:hAnsi="新細明體"/>
        </w:rPr>
        <w:footnoteRef/>
      </w:r>
      <w:r w:rsidRPr="00781AB6">
        <w:rPr>
          <w:rFonts w:ascii="新細明體" w:hAnsi="新細明體" w:hint="eastAsia"/>
        </w:rPr>
        <w:t>21</w:t>
      </w:r>
      <w:r>
        <w:rPr>
          <w:rFonts w:ascii="新細明體" w:hAnsi="新細明體" w:hint="eastAsia"/>
        </w:rPr>
        <w:t>年</w:t>
      </w:r>
      <w:r w:rsidRPr="00781AB6">
        <w:rPr>
          <w:rFonts w:ascii="新細明體" w:hAnsi="新細明體" w:hint="eastAsia"/>
        </w:rPr>
        <w:t>12月，中國國民黨召開第</w:t>
      </w:r>
      <w:r>
        <w:rPr>
          <w:rFonts w:ascii="新細明體" w:hAnsi="新細明體" w:hint="eastAsia"/>
          <w:lang w:eastAsia="zh-TW"/>
        </w:rPr>
        <w:t>4</w:t>
      </w:r>
      <w:r w:rsidRPr="00781AB6">
        <w:rPr>
          <w:rFonts w:ascii="新細明體" w:hAnsi="新細明體" w:hint="eastAsia"/>
        </w:rPr>
        <w:t>屆第</w:t>
      </w:r>
      <w:r>
        <w:rPr>
          <w:rFonts w:ascii="新細明體" w:hAnsi="新細明體" w:hint="eastAsia"/>
          <w:lang w:eastAsia="zh-TW"/>
        </w:rPr>
        <w:t>3</w:t>
      </w:r>
      <w:r w:rsidRPr="00781AB6">
        <w:rPr>
          <w:rFonts w:ascii="新細明體" w:hAnsi="新細明體" w:hint="eastAsia"/>
        </w:rPr>
        <w:t>次中央執行委員會，會中提議起草憲法及召開國民大會，以結束黨治，還政於民。最後決議以原則</w:t>
      </w:r>
      <w:r w:rsidRPr="00781AB6">
        <w:rPr>
          <w:rFonts w:ascii="新細明體" w:hAnsi="新細明體" w:hint="eastAsia"/>
          <w:lang w:eastAsia="zh-TW"/>
        </w:rPr>
        <w:t>25</w:t>
      </w:r>
      <w:r w:rsidRPr="00781AB6">
        <w:rPr>
          <w:rFonts w:ascii="新細明體" w:hAnsi="新細明體" w:hint="eastAsia"/>
        </w:rPr>
        <w:t>條，交由立法院起草憲法。翌年，立法院成立憲法起草委員會，中華民國憲法草案制定由此開始。25年5月5日，由國民政府公布之，即為「五五憲草」。</w:t>
      </w:r>
    </w:p>
  </w:footnote>
  <w:footnote w:id="15">
    <w:p w:rsidR="000F2944" w:rsidRPr="000C14DB" w:rsidRDefault="000F2944" w:rsidP="002607C2">
      <w:pPr>
        <w:pStyle w:val="afa"/>
        <w:ind w:left="44" w:hangingChars="20" w:hanging="44"/>
        <w:jc w:val="both"/>
        <w:rPr>
          <w:rFonts w:ascii="新細明體" w:hAnsi="新細明體"/>
          <w:lang w:eastAsia="zh-TW"/>
        </w:rPr>
      </w:pPr>
      <w:r w:rsidRPr="000C14DB">
        <w:rPr>
          <w:rStyle w:val="afc"/>
          <w:rFonts w:ascii="新細明體" w:hAnsi="新細明體"/>
        </w:rPr>
        <w:footnoteRef/>
      </w:r>
      <w:r w:rsidRPr="000C14DB">
        <w:rPr>
          <w:rFonts w:ascii="新細明體" w:hAnsi="新細明體" w:hint="eastAsia"/>
        </w:rPr>
        <w:t>第</w:t>
      </w:r>
      <w:r w:rsidRPr="000C14DB">
        <w:rPr>
          <w:rFonts w:ascii="新細明體" w:hAnsi="新細明體" w:hint="eastAsia"/>
          <w:lang w:eastAsia="zh-TW"/>
        </w:rPr>
        <w:t>116</w:t>
      </w:r>
      <w:r w:rsidRPr="000C14DB">
        <w:rPr>
          <w:rFonts w:ascii="新細明體" w:hAnsi="新細明體" w:hint="eastAsia"/>
        </w:rPr>
        <w:t>條規定：「中華民國之經濟制度，應以民生主義為基礎，以謀國民生計均足。」第</w:t>
      </w:r>
      <w:r w:rsidRPr="000C14DB">
        <w:rPr>
          <w:rFonts w:ascii="新細明體" w:hAnsi="新細明體" w:hint="eastAsia"/>
          <w:lang w:eastAsia="zh-TW"/>
        </w:rPr>
        <w:t>117</w:t>
      </w:r>
      <w:r w:rsidRPr="000C14DB">
        <w:rPr>
          <w:rFonts w:ascii="新細明體" w:hAnsi="新細明體" w:hint="eastAsia"/>
        </w:rPr>
        <w:t>條規定：「中華民國領域內之土地，屬於國民全體，其經人民依法律取得所有權者，其所有權受法律之保障及限制。</w:t>
      </w:r>
      <w:r w:rsidRPr="000C14DB">
        <w:rPr>
          <w:rFonts w:ascii="新細明體" w:hAnsi="新細明體" w:hint="eastAsia"/>
          <w:lang w:eastAsia="zh-TW"/>
        </w:rPr>
        <w:t>國家對於人民取得所有權之土地</w:t>
      </w:r>
      <w:r w:rsidRPr="000C14DB">
        <w:rPr>
          <w:rFonts w:ascii="新細明體" w:hAnsi="新細明體" w:hint="eastAsia"/>
        </w:rPr>
        <w:t>，得按照土地所有權人申報或政府估定之地價，依法律徵稅或徵收之。土地所有權人，對於其所有土地，負充分使用之義務。」第</w:t>
      </w:r>
      <w:r w:rsidRPr="000C14DB">
        <w:rPr>
          <w:rFonts w:ascii="新細明體" w:hAnsi="新細明體" w:hint="eastAsia"/>
          <w:lang w:eastAsia="zh-TW"/>
        </w:rPr>
        <w:t>118</w:t>
      </w:r>
      <w:r w:rsidRPr="000C14DB">
        <w:rPr>
          <w:rFonts w:ascii="新細明體" w:hAnsi="新細明體" w:hint="eastAsia"/>
        </w:rPr>
        <w:t>條規定：「附著於土地之礦，及經濟上可供公眾利用之天然力，屬於國家所有，不因人民取得土地所有權而受影響。」第</w:t>
      </w:r>
      <w:r w:rsidRPr="000C14DB">
        <w:rPr>
          <w:rFonts w:ascii="新細明體" w:hAnsi="新細明體" w:hint="eastAsia"/>
          <w:lang w:eastAsia="zh-TW"/>
        </w:rPr>
        <w:t>119</w:t>
      </w:r>
      <w:r w:rsidRPr="000C14DB">
        <w:rPr>
          <w:rFonts w:ascii="新細明體" w:hAnsi="新細明體" w:hint="eastAsia"/>
        </w:rPr>
        <w:t>條規定：「土地價值，非因施以勞力資本而增加者，應以徵收土地價值稅方法，收歸人民公共享受。」第</w:t>
      </w:r>
      <w:r w:rsidRPr="000C14DB">
        <w:rPr>
          <w:rFonts w:ascii="新細明體" w:hAnsi="新細明體" w:hint="eastAsia"/>
          <w:lang w:eastAsia="zh-TW"/>
        </w:rPr>
        <w:t>120</w:t>
      </w:r>
      <w:r w:rsidRPr="000C14DB">
        <w:rPr>
          <w:rFonts w:ascii="新細明體" w:hAnsi="新細明體" w:hint="eastAsia"/>
        </w:rPr>
        <w:t>條規定：「國家對於土地之分配整理，以扶植自耕農及自行使用土地人為原則。」第</w:t>
      </w:r>
      <w:r w:rsidRPr="000C14DB">
        <w:rPr>
          <w:rFonts w:ascii="新細明體" w:hAnsi="新細明體" w:hint="eastAsia"/>
          <w:lang w:eastAsia="zh-TW"/>
        </w:rPr>
        <w:t>121</w:t>
      </w:r>
      <w:r w:rsidRPr="000C14DB">
        <w:rPr>
          <w:rFonts w:ascii="新細明體" w:hAnsi="新細明體" w:hint="eastAsia"/>
        </w:rPr>
        <w:t>條規定：「國家對於私人之財富及私營事業，認為有妨害國民生計之均衡發展時，得依法律節制之。」第</w:t>
      </w:r>
      <w:r w:rsidRPr="000C14DB">
        <w:rPr>
          <w:rFonts w:ascii="新細明體" w:hAnsi="新細明體" w:hint="eastAsia"/>
          <w:lang w:eastAsia="zh-TW"/>
        </w:rPr>
        <w:t>122</w:t>
      </w:r>
      <w:r w:rsidRPr="000C14DB">
        <w:rPr>
          <w:rFonts w:ascii="新細明體" w:hAnsi="新細明體" w:hint="eastAsia"/>
        </w:rPr>
        <w:t>條規定：「國家對於國民生產事業及對外貿易，應獎勵指導及保護之。」第</w:t>
      </w:r>
      <w:r w:rsidRPr="000C14DB">
        <w:rPr>
          <w:rFonts w:ascii="新細明體" w:hAnsi="新細明體" w:hint="eastAsia"/>
          <w:lang w:eastAsia="zh-TW"/>
        </w:rPr>
        <w:t>123</w:t>
      </w:r>
      <w:r w:rsidRPr="000C14DB">
        <w:rPr>
          <w:rFonts w:ascii="新細明體" w:hAnsi="新細明體" w:hint="eastAsia"/>
        </w:rPr>
        <w:t>條規定：「公用事業及其他有</w:t>
      </w:r>
      <w:r w:rsidRPr="000C14DB">
        <w:rPr>
          <w:rFonts w:ascii="新細明體" w:hAnsi="新細明體" w:hint="eastAsia"/>
          <w:szCs w:val="32"/>
        </w:rPr>
        <w:t>獨佔</w:t>
      </w:r>
      <w:r w:rsidRPr="000C14DB">
        <w:rPr>
          <w:rFonts w:ascii="新細明體" w:hAnsi="新細明體" w:hint="eastAsia"/>
        </w:rPr>
        <w:t>性之企業，以國家公營為原則，但因必要，得特許國民私營之。國家對於前項特許之私營事業，因國防上之緊急需要，得臨時管理之，並得依法律收歸公營，但應予以適當之補償。</w:t>
      </w:r>
      <w:r w:rsidRPr="000C14DB">
        <w:rPr>
          <w:rFonts w:ascii="新細明體" w:hAnsi="新細明體" w:hint="eastAsia"/>
          <w:lang w:eastAsia="zh-TW"/>
        </w:rPr>
        <w:t>」</w:t>
      </w:r>
    </w:p>
  </w:footnote>
  <w:footnote w:id="16">
    <w:p w:rsidR="000F2944" w:rsidRPr="000C14DB" w:rsidRDefault="000F2944" w:rsidP="002607C2">
      <w:pPr>
        <w:pStyle w:val="afa"/>
        <w:ind w:left="44" w:hangingChars="20" w:hanging="44"/>
        <w:jc w:val="both"/>
        <w:rPr>
          <w:rFonts w:ascii="新細明體" w:hAnsi="新細明體"/>
          <w:lang w:eastAsia="zh-TW"/>
        </w:rPr>
      </w:pPr>
      <w:r w:rsidRPr="000C14DB">
        <w:rPr>
          <w:rStyle w:val="afc"/>
          <w:rFonts w:ascii="新細明體" w:hAnsi="新細明體"/>
        </w:rPr>
        <w:footnoteRef/>
      </w:r>
      <w:r w:rsidRPr="000C14DB">
        <w:rPr>
          <w:rFonts w:ascii="新細明體" w:hAnsi="新細明體" w:hint="eastAsia"/>
        </w:rPr>
        <w:t>謝瀛洲，中華民國憲法論，五南圖書出版公司，65年10月，</w:t>
      </w:r>
      <w:r w:rsidRPr="000C14DB">
        <w:rPr>
          <w:rFonts w:ascii="新細明體" w:hAnsi="新細明體" w:hint="eastAsia"/>
          <w:lang w:eastAsia="zh-TW"/>
        </w:rPr>
        <w:t>頁277-278</w:t>
      </w:r>
      <w:r w:rsidRPr="000C14DB">
        <w:rPr>
          <w:rFonts w:ascii="新細明體" w:hAnsi="新細明體" w:hint="eastAsia"/>
        </w:rPr>
        <w:t>。</w:t>
      </w:r>
    </w:p>
  </w:footnote>
  <w:footnote w:id="17">
    <w:p w:rsidR="000F2944" w:rsidRPr="00781AB6" w:rsidRDefault="000F2944" w:rsidP="000C14DB">
      <w:pPr>
        <w:pStyle w:val="afa"/>
        <w:ind w:left="44" w:hangingChars="20" w:hanging="44"/>
        <w:jc w:val="both"/>
        <w:rPr>
          <w:rFonts w:ascii="新細明體" w:hAnsi="新細明體"/>
          <w:lang w:eastAsia="zh-TW"/>
        </w:rPr>
      </w:pPr>
      <w:r w:rsidRPr="00781AB6">
        <w:rPr>
          <w:rStyle w:val="afc"/>
          <w:rFonts w:ascii="新細明體" w:hAnsi="新細明體"/>
        </w:rPr>
        <w:footnoteRef/>
      </w:r>
      <w:r w:rsidRPr="00781AB6">
        <w:rPr>
          <w:rFonts w:ascii="新細明體" w:hAnsi="新細明體" w:hint="eastAsia"/>
        </w:rPr>
        <w:t>18年12月21</w:t>
      </w:r>
      <w:r w:rsidRPr="00781AB6">
        <w:rPr>
          <w:rFonts w:ascii="新細明體" w:hAnsi="新細明體" w:hint="eastAsia"/>
          <w:lang w:eastAsia="zh-TW"/>
        </w:rPr>
        <w:t>日國民政府制定公布全文</w:t>
      </w:r>
      <w:r w:rsidRPr="00781AB6">
        <w:rPr>
          <w:rFonts w:ascii="新細明體" w:hAnsi="新細明體" w:hint="eastAsia"/>
        </w:rPr>
        <w:t>17條。20年3月7日國民政府令修正公布第14條條文。22年11月2日國民政府令修正公布全文24條。61年11月30日總統令修正公布第16條條文。89年4月26日總統令修正公布第3條條文。</w:t>
      </w:r>
    </w:p>
  </w:footnote>
  <w:footnote w:id="18">
    <w:p w:rsidR="000F2944" w:rsidRPr="00781AB6" w:rsidRDefault="000F2944" w:rsidP="000C14DB">
      <w:pPr>
        <w:pStyle w:val="afa"/>
        <w:ind w:left="44" w:hangingChars="20" w:hanging="44"/>
        <w:jc w:val="both"/>
        <w:rPr>
          <w:rFonts w:ascii="新細明體" w:hAnsi="新細明體"/>
          <w:lang w:eastAsia="zh-TW"/>
        </w:rPr>
      </w:pPr>
      <w:r w:rsidRPr="00781AB6">
        <w:rPr>
          <w:rStyle w:val="afc"/>
          <w:rFonts w:ascii="新細明體" w:hAnsi="新細明體"/>
        </w:rPr>
        <w:footnoteRef/>
      </w:r>
      <w:r w:rsidRPr="00781AB6">
        <w:rPr>
          <w:rFonts w:ascii="新細明體" w:hAnsi="新細明體" w:hint="eastAsia"/>
        </w:rPr>
        <w:t>18年訓政時期制定公布，20年修正第14條，22年再次修正公布全文；行憲後分別曾於61年與89年間修正第</w:t>
      </w:r>
      <w:r w:rsidRPr="00781AB6">
        <w:rPr>
          <w:rFonts w:ascii="新細明體" w:hAnsi="新細明體" w:hint="eastAsia"/>
          <w:lang w:eastAsia="zh-TW"/>
        </w:rPr>
        <w:t>16</w:t>
      </w:r>
      <w:r w:rsidRPr="00781AB6">
        <w:rPr>
          <w:rFonts w:ascii="新細明體" w:hAnsi="新細明體" w:hint="eastAsia"/>
        </w:rPr>
        <w:t>條與第3</w:t>
      </w:r>
      <w:r>
        <w:rPr>
          <w:rFonts w:ascii="新細明體" w:hAnsi="新細明體" w:hint="eastAsia"/>
        </w:rPr>
        <w:t>條，其餘條文內容則</w:t>
      </w:r>
      <w:r>
        <w:rPr>
          <w:rFonts w:ascii="新細明體" w:hAnsi="新細明體" w:hint="eastAsia"/>
          <w:lang w:eastAsia="zh-TW"/>
        </w:rPr>
        <w:t>與</w:t>
      </w:r>
      <w:r w:rsidRPr="00781AB6">
        <w:rPr>
          <w:rFonts w:ascii="新細明體" w:hAnsi="新細明體" w:hint="eastAsia"/>
        </w:rPr>
        <w:t>22年11月2日修正公布之版本相同。61年11月30日修正第16條，修正理由</w:t>
      </w:r>
      <w:r>
        <w:rPr>
          <w:rFonts w:ascii="新細明體" w:hAnsi="新細明體" w:hint="eastAsia"/>
        </w:rPr>
        <w:t>係當時行政院法規整理委員會認為</w:t>
      </w:r>
      <w:r>
        <w:rPr>
          <w:rFonts w:ascii="新細明體" w:hAnsi="新細明體" w:hint="eastAsia"/>
          <w:lang w:eastAsia="zh-TW"/>
        </w:rPr>
        <w:t>該</w:t>
      </w:r>
      <w:proofErr w:type="spellStart"/>
      <w:r>
        <w:rPr>
          <w:rFonts w:ascii="新細明體" w:hAnsi="新細明體" w:hint="eastAsia"/>
        </w:rPr>
        <w:t>條例仍存有舊制機關名稱，與現行體制不符，有修正之必要，故將</w:t>
      </w:r>
      <w:r>
        <w:rPr>
          <w:rFonts w:ascii="新細明體" w:hAnsi="新細明體" w:hint="eastAsia"/>
          <w:lang w:eastAsia="zh-TW"/>
        </w:rPr>
        <w:t>該</w:t>
      </w:r>
      <w:proofErr w:type="spellEnd"/>
      <w:r w:rsidRPr="00781AB6">
        <w:rPr>
          <w:rFonts w:ascii="新細明體" w:hAnsi="新細明體" w:hint="eastAsia"/>
        </w:rPr>
        <w:t>條例第16</w:t>
      </w:r>
      <w:r>
        <w:rPr>
          <w:rFonts w:ascii="新細明體" w:hAnsi="新細明體" w:hint="eastAsia"/>
        </w:rPr>
        <w:t>條</w:t>
      </w:r>
      <w:r w:rsidRPr="00781AB6">
        <w:rPr>
          <w:rFonts w:ascii="新細明體" w:hAnsi="新細明體" w:hint="eastAsia"/>
        </w:rPr>
        <w:t>「國民政府」修正為「行政院」。89年4月26日修正第3條，修正理由係經濟部當時為配合臺灣省政府功能業務與組織調整，並考量民營公用事業與地方整體發展息息相關之特性，爰將第3條「省、市、縣主管機關」修正為「直轄市、縣（市）主管機關」；另後附之條文對照表說明二，配合精簡組織層級，修正監督機關為中央與地方二層級，爰將「最高級監督機關」修正為「最高監督機關」。</w:t>
      </w:r>
    </w:p>
  </w:footnote>
  <w:footnote w:id="19">
    <w:p w:rsidR="000F2944" w:rsidRPr="00E5006E" w:rsidRDefault="000F2944" w:rsidP="00E5006E">
      <w:pPr>
        <w:pStyle w:val="afa"/>
        <w:ind w:left="44" w:hangingChars="20" w:hanging="44"/>
        <w:jc w:val="both"/>
        <w:rPr>
          <w:rFonts w:ascii="新細明體" w:hAnsi="新細明體"/>
        </w:rPr>
      </w:pPr>
      <w:r w:rsidRPr="00E5006E">
        <w:rPr>
          <w:rStyle w:val="afc"/>
          <w:rFonts w:ascii="新細明體" w:hAnsi="新細明體"/>
        </w:rPr>
        <w:footnoteRef/>
      </w:r>
      <w:r w:rsidRPr="00E5006E">
        <w:rPr>
          <w:rFonts w:ascii="新細明體" w:hAnsi="新細明體" w:hint="eastAsia"/>
        </w:rPr>
        <w:t>(</w:t>
      </w:r>
      <w:proofErr w:type="gramStart"/>
      <w:r w:rsidRPr="00E5006E">
        <w:rPr>
          <w:rFonts w:ascii="新細明體" w:hAnsi="新細明體" w:hint="eastAsia"/>
        </w:rPr>
        <w:t>一</w:t>
      </w:r>
      <w:proofErr w:type="gramEnd"/>
      <w:r w:rsidRPr="00E5006E">
        <w:rPr>
          <w:rFonts w:ascii="新細明體" w:hAnsi="新細明體" w:hint="eastAsia"/>
        </w:rPr>
        <w:t>)</w:t>
      </w:r>
      <w:proofErr w:type="spellStart"/>
      <w:r>
        <w:rPr>
          <w:rFonts w:ascii="新細明體" w:hAnsi="新細明體" w:hint="eastAsia"/>
        </w:rPr>
        <w:t>電燈、電力</w:t>
      </w:r>
      <w:r w:rsidRPr="00E5006E">
        <w:rPr>
          <w:rFonts w:ascii="新細明體" w:hAnsi="新細明體" w:hint="eastAsia"/>
          <w:lang w:eastAsia="zh-TW"/>
        </w:rPr>
        <w:t>及其他電氣事業</w:t>
      </w:r>
      <w:proofErr w:type="spellEnd"/>
    </w:p>
    <w:p w:rsidR="000F2944" w:rsidRPr="00E5006E" w:rsidRDefault="000F2944" w:rsidP="00E5006E">
      <w:pPr>
        <w:pStyle w:val="afa"/>
        <w:ind w:leftChars="100" w:left="340"/>
        <w:jc w:val="both"/>
        <w:rPr>
          <w:rFonts w:ascii="新細明體" w:hAnsi="新細明體"/>
        </w:rPr>
      </w:pPr>
      <w:r w:rsidRPr="00E5006E">
        <w:rPr>
          <w:rFonts w:ascii="新細明體" w:hAnsi="新細明體" w:hint="eastAsia"/>
        </w:rPr>
        <w:t>1、中央主管機關：經濟部。</w:t>
      </w:r>
    </w:p>
    <w:p w:rsidR="000F2944" w:rsidRPr="00E5006E" w:rsidRDefault="000F2944" w:rsidP="00E5006E">
      <w:pPr>
        <w:pStyle w:val="afa"/>
        <w:ind w:leftChars="100" w:left="670" w:hangingChars="150" w:hanging="330"/>
        <w:jc w:val="both"/>
        <w:rPr>
          <w:rFonts w:ascii="新細明體" w:hAnsi="新細明體"/>
        </w:rPr>
      </w:pPr>
      <w:r w:rsidRPr="00E5006E">
        <w:rPr>
          <w:rFonts w:ascii="新細明體" w:hAnsi="新細明體" w:hint="eastAsia"/>
        </w:rPr>
        <w:t>2、</w:t>
      </w:r>
      <w:r>
        <w:rPr>
          <w:rFonts w:ascii="新細明體" w:hAnsi="新細明體" w:hint="eastAsia"/>
        </w:rPr>
        <w:t>事業概況：經濟部表示民營電廠皆依電業法及相關子法設立，並無依據</w:t>
      </w:r>
      <w:r>
        <w:rPr>
          <w:rFonts w:ascii="新細明體" w:hAnsi="新細明體" w:hint="eastAsia"/>
          <w:lang w:eastAsia="zh-TW"/>
        </w:rPr>
        <w:t>該</w:t>
      </w:r>
      <w:r w:rsidRPr="00E5006E">
        <w:rPr>
          <w:rFonts w:ascii="新細明體" w:hAnsi="新細明體" w:hint="eastAsia"/>
        </w:rPr>
        <w:t>條例核准之情形；目前國內民營電廠共有9家傳統火力電廠及20家再生能源電廠，再生能源電廠包含太陽光電6家、風力11家與水力3家。</w:t>
      </w:r>
    </w:p>
    <w:p w:rsidR="000F2944" w:rsidRPr="00E5006E" w:rsidRDefault="000F2944" w:rsidP="00D27E2C">
      <w:pPr>
        <w:pStyle w:val="afa"/>
        <w:ind w:leftChars="30" w:left="102"/>
        <w:jc w:val="both"/>
        <w:rPr>
          <w:rFonts w:ascii="新細明體" w:hAnsi="新細明體"/>
        </w:rPr>
      </w:pPr>
      <w:r w:rsidRPr="00E5006E">
        <w:rPr>
          <w:rFonts w:ascii="新細明體" w:hAnsi="新細明體" w:hint="eastAsia"/>
        </w:rPr>
        <w:t>(二)</w:t>
      </w:r>
      <w:proofErr w:type="spellStart"/>
      <w:r w:rsidRPr="00E5006E">
        <w:rPr>
          <w:rFonts w:ascii="新細明體" w:hAnsi="新細明體" w:hint="eastAsia"/>
        </w:rPr>
        <w:t>電車</w:t>
      </w:r>
      <w:proofErr w:type="spellEnd"/>
    </w:p>
    <w:p w:rsidR="000F2944" w:rsidRPr="00E5006E" w:rsidRDefault="000F2944" w:rsidP="00E5006E">
      <w:pPr>
        <w:pStyle w:val="afa"/>
        <w:ind w:leftChars="100" w:left="340"/>
        <w:jc w:val="both"/>
        <w:rPr>
          <w:rFonts w:ascii="新細明體" w:hAnsi="新細明體"/>
        </w:rPr>
      </w:pPr>
      <w:r w:rsidRPr="00E5006E">
        <w:rPr>
          <w:rFonts w:ascii="新細明體" w:hAnsi="新細明體" w:hint="eastAsia"/>
        </w:rPr>
        <w:t>1、中央主管機關：交通部。</w:t>
      </w:r>
    </w:p>
    <w:p w:rsidR="000F2944" w:rsidRPr="00E5006E" w:rsidRDefault="000F2944" w:rsidP="00E5006E">
      <w:pPr>
        <w:pStyle w:val="afa"/>
        <w:ind w:leftChars="100" w:left="670" w:hangingChars="150" w:hanging="330"/>
        <w:jc w:val="both"/>
        <w:rPr>
          <w:rFonts w:ascii="新細明體" w:hAnsi="新細明體"/>
        </w:rPr>
      </w:pPr>
      <w:r w:rsidRPr="00E5006E">
        <w:rPr>
          <w:rFonts w:ascii="新細明體" w:hAnsi="新細明體" w:hint="eastAsia"/>
        </w:rPr>
        <w:t>2、事業概況：交通部表示，目前尚無電車運輸業申請籌設。</w:t>
      </w:r>
    </w:p>
    <w:p w:rsidR="000F2944" w:rsidRPr="00E5006E" w:rsidRDefault="000F2944" w:rsidP="00D27E2C">
      <w:pPr>
        <w:pStyle w:val="afa"/>
        <w:ind w:leftChars="30" w:left="102"/>
        <w:jc w:val="both"/>
        <w:rPr>
          <w:rFonts w:ascii="新細明體" w:hAnsi="新細明體"/>
        </w:rPr>
      </w:pPr>
      <w:r w:rsidRPr="00E5006E">
        <w:rPr>
          <w:rFonts w:ascii="新細明體" w:hAnsi="新細明體" w:hint="eastAsia"/>
        </w:rPr>
        <w:t>(三)</w:t>
      </w:r>
      <w:proofErr w:type="spellStart"/>
      <w:r w:rsidRPr="00E5006E">
        <w:rPr>
          <w:rFonts w:ascii="新細明體" w:hAnsi="新細明體" w:hint="eastAsia"/>
        </w:rPr>
        <w:t>市內電話</w:t>
      </w:r>
      <w:proofErr w:type="spellEnd"/>
    </w:p>
    <w:p w:rsidR="000F2944" w:rsidRDefault="000F2944" w:rsidP="00E5006E">
      <w:pPr>
        <w:pStyle w:val="afa"/>
        <w:ind w:leftChars="100" w:left="340"/>
        <w:jc w:val="both"/>
        <w:rPr>
          <w:rFonts w:ascii="新細明體" w:hAnsi="新細明體"/>
          <w:lang w:eastAsia="zh-TW"/>
        </w:rPr>
      </w:pPr>
      <w:r w:rsidRPr="00E5006E">
        <w:rPr>
          <w:rFonts w:ascii="新細明體" w:hAnsi="新細明體" w:hint="eastAsia"/>
        </w:rPr>
        <w:t>1、中央主管機關：通傳會。</w:t>
      </w:r>
    </w:p>
    <w:p w:rsidR="000F2944" w:rsidRPr="00E5006E" w:rsidRDefault="000F2944" w:rsidP="00E5006E">
      <w:pPr>
        <w:pStyle w:val="afa"/>
        <w:ind w:leftChars="100" w:left="670" w:hangingChars="150" w:hanging="330"/>
        <w:jc w:val="both"/>
        <w:rPr>
          <w:rFonts w:ascii="新細明體" w:hAnsi="新細明體"/>
          <w:lang w:eastAsia="zh-TW"/>
        </w:rPr>
      </w:pPr>
      <w:r>
        <w:rPr>
          <w:rFonts w:ascii="新細明體" w:hAnsi="新細明體" w:hint="eastAsia"/>
          <w:lang w:eastAsia="zh-TW"/>
        </w:rPr>
        <w:t>2、</w:t>
      </w:r>
      <w:r w:rsidRPr="00E5006E">
        <w:rPr>
          <w:rFonts w:ascii="新細明體" w:hAnsi="新細明體" w:hint="eastAsia"/>
        </w:rPr>
        <w:t>另交通部表示，市內電話屬電信業務其中之一，依據電信法及國家通訊傳播委員會組織法規定，其目的事業主管機關為通傳會，交通部僅為中華電信股份有限公司大股東，該部持股比率為35.29%。</w:t>
      </w:r>
    </w:p>
    <w:p w:rsidR="000F2944" w:rsidRPr="00E5006E" w:rsidRDefault="000F2944" w:rsidP="00D27E2C">
      <w:pPr>
        <w:pStyle w:val="afa"/>
        <w:ind w:leftChars="30" w:left="102"/>
        <w:jc w:val="both"/>
        <w:rPr>
          <w:rFonts w:ascii="新細明體" w:hAnsi="新細明體"/>
          <w:lang w:eastAsia="zh-TW"/>
        </w:rPr>
      </w:pPr>
      <w:r w:rsidRPr="00E5006E">
        <w:rPr>
          <w:rFonts w:ascii="新細明體" w:hAnsi="新細明體" w:hint="eastAsia"/>
          <w:lang w:eastAsia="zh-TW"/>
        </w:rPr>
        <w:t>(四)</w:t>
      </w:r>
      <w:proofErr w:type="spellStart"/>
      <w:r w:rsidRPr="00E5006E">
        <w:rPr>
          <w:rFonts w:ascii="新細明體" w:hAnsi="新細明體" w:hint="eastAsia"/>
          <w:lang w:eastAsia="zh-TW"/>
        </w:rPr>
        <w:t>自來水</w:t>
      </w:r>
      <w:proofErr w:type="spellEnd"/>
    </w:p>
    <w:p w:rsidR="000F2944" w:rsidRPr="00E5006E" w:rsidRDefault="000F2944" w:rsidP="00E5006E">
      <w:pPr>
        <w:pStyle w:val="afa"/>
        <w:ind w:leftChars="100" w:left="340"/>
        <w:jc w:val="both"/>
        <w:rPr>
          <w:rFonts w:ascii="新細明體" w:hAnsi="新細明體"/>
          <w:lang w:eastAsia="zh-TW"/>
        </w:rPr>
      </w:pPr>
      <w:r w:rsidRPr="00E5006E">
        <w:rPr>
          <w:rFonts w:ascii="新細明體" w:hAnsi="新細明體" w:hint="eastAsia"/>
          <w:lang w:eastAsia="zh-TW"/>
        </w:rPr>
        <w:t>1、中央主管機關：</w:t>
      </w:r>
      <w:proofErr w:type="spellStart"/>
      <w:r w:rsidRPr="00E5006E">
        <w:rPr>
          <w:rFonts w:ascii="新細明體" w:hAnsi="新細明體" w:hint="eastAsia"/>
        </w:rPr>
        <w:t>經濟部</w:t>
      </w:r>
      <w:proofErr w:type="spellEnd"/>
      <w:r w:rsidRPr="00E5006E">
        <w:rPr>
          <w:rFonts w:ascii="新細明體" w:hAnsi="新細明體" w:hint="eastAsia"/>
          <w:lang w:eastAsia="zh-TW"/>
        </w:rPr>
        <w:t>。</w:t>
      </w:r>
    </w:p>
    <w:p w:rsidR="000F2944" w:rsidRPr="00E5006E" w:rsidRDefault="000F2944" w:rsidP="00E5006E">
      <w:pPr>
        <w:pStyle w:val="afa"/>
        <w:ind w:leftChars="100" w:left="670" w:hangingChars="150" w:hanging="330"/>
        <w:jc w:val="both"/>
        <w:rPr>
          <w:rFonts w:ascii="新細明體" w:hAnsi="新細明體"/>
          <w:lang w:eastAsia="zh-TW"/>
        </w:rPr>
      </w:pPr>
      <w:r w:rsidRPr="00E5006E">
        <w:rPr>
          <w:rFonts w:ascii="新細明體" w:hAnsi="新細明體" w:hint="eastAsia"/>
          <w:lang w:eastAsia="zh-TW"/>
        </w:rPr>
        <w:t>2、事業</w:t>
      </w:r>
      <w:proofErr w:type="spellStart"/>
      <w:r w:rsidRPr="00E5006E">
        <w:rPr>
          <w:rFonts w:ascii="新細明體" w:hAnsi="新細明體" w:hint="eastAsia"/>
        </w:rPr>
        <w:t>概況</w:t>
      </w:r>
      <w:proofErr w:type="spellEnd"/>
      <w:r w:rsidRPr="00E5006E">
        <w:rPr>
          <w:rFonts w:ascii="新細明體" w:hAnsi="新細明體" w:hint="eastAsia"/>
          <w:lang w:eastAsia="zh-TW"/>
        </w:rPr>
        <w:t>：</w:t>
      </w:r>
    </w:p>
    <w:p w:rsidR="000F2944" w:rsidRPr="00E5006E" w:rsidRDefault="000F2944" w:rsidP="00E5006E">
      <w:pPr>
        <w:pStyle w:val="afa"/>
        <w:ind w:leftChars="100" w:left="340"/>
        <w:jc w:val="both"/>
        <w:rPr>
          <w:rFonts w:ascii="新細明體" w:hAnsi="新細明體"/>
          <w:lang w:eastAsia="zh-TW"/>
        </w:rPr>
      </w:pPr>
      <w:r w:rsidRPr="00E5006E">
        <w:rPr>
          <w:rFonts w:ascii="新細明體" w:hAnsi="新細明體" w:hint="eastAsia"/>
          <w:lang w:eastAsia="zh-TW"/>
        </w:rPr>
        <w:t>（1）目前主要自來水事業為公營，依自來水法管理。</w:t>
      </w:r>
    </w:p>
    <w:p w:rsidR="000F2944" w:rsidRPr="00E5006E" w:rsidRDefault="000F2944" w:rsidP="00E5006E">
      <w:pPr>
        <w:pStyle w:val="afa"/>
        <w:ind w:leftChars="100" w:left="846" w:hangingChars="230" w:hanging="506"/>
        <w:jc w:val="both"/>
        <w:rPr>
          <w:rFonts w:ascii="新細明體" w:hAnsi="新細明體"/>
          <w:lang w:eastAsia="zh-TW"/>
        </w:rPr>
      </w:pPr>
      <w:r w:rsidRPr="00E5006E">
        <w:rPr>
          <w:rFonts w:ascii="新細明體" w:hAnsi="新細明體" w:hint="eastAsia"/>
          <w:lang w:eastAsia="zh-TW"/>
        </w:rPr>
        <w:t>（2）另有由民眾管理之簡易自來水事業。依自來水法第17條之1規定，簡易自來水事業指自行開發水源或經合法取得水權，且自行設置及管理簡易供水處理系統，作為自來水使用之組織團體或事業經營體；依據自來水法第4條、第5條、第110條規定，簡易自來水事業由直轄市政府與縣(市)</w:t>
      </w:r>
      <w:proofErr w:type="spellStart"/>
      <w:r w:rsidRPr="00E5006E">
        <w:rPr>
          <w:rFonts w:ascii="新細明體" w:hAnsi="新細明體" w:hint="eastAsia"/>
          <w:lang w:eastAsia="zh-TW"/>
        </w:rPr>
        <w:t>政府負責監督與輔導；經濟部表示，目前簡易自來水事業多位於偏遠地區且規模不大，用戶數大都在</w:t>
      </w:r>
      <w:proofErr w:type="spellEnd"/>
      <w:r w:rsidRPr="00E5006E">
        <w:rPr>
          <w:rFonts w:ascii="新細明體" w:hAnsi="新細明體" w:hint="eastAsia"/>
          <w:lang w:eastAsia="zh-TW"/>
        </w:rPr>
        <w:t>100戶以下，由當地住戶成立管理委員會來管理，非以公司型態經營，且以非營利為目的，故並無民營自來水公用事業之存在。</w:t>
      </w:r>
    </w:p>
    <w:p w:rsidR="000F2944" w:rsidRPr="00E5006E" w:rsidRDefault="000F2944" w:rsidP="00D27E2C">
      <w:pPr>
        <w:pStyle w:val="afa"/>
        <w:ind w:leftChars="30" w:left="102"/>
        <w:jc w:val="both"/>
        <w:rPr>
          <w:rFonts w:ascii="新細明體" w:hAnsi="新細明體"/>
          <w:lang w:eastAsia="zh-TW"/>
        </w:rPr>
      </w:pPr>
      <w:r w:rsidRPr="00E5006E">
        <w:rPr>
          <w:rFonts w:ascii="新細明體" w:hAnsi="新細明體" w:hint="eastAsia"/>
          <w:lang w:eastAsia="zh-TW"/>
        </w:rPr>
        <w:t>(五)</w:t>
      </w:r>
      <w:proofErr w:type="spellStart"/>
      <w:r w:rsidRPr="00E5006E">
        <w:rPr>
          <w:rFonts w:ascii="新細明體" w:hAnsi="新細明體" w:hint="eastAsia"/>
          <w:lang w:eastAsia="zh-TW"/>
        </w:rPr>
        <w:t>煤氣</w:t>
      </w:r>
      <w:proofErr w:type="spellEnd"/>
    </w:p>
    <w:p w:rsidR="000F2944" w:rsidRPr="00E5006E" w:rsidRDefault="000F2944" w:rsidP="00D27E2C">
      <w:pPr>
        <w:pStyle w:val="afa"/>
        <w:ind w:leftChars="100" w:left="340"/>
        <w:jc w:val="both"/>
        <w:rPr>
          <w:rFonts w:ascii="新細明體" w:hAnsi="新細明體"/>
          <w:lang w:eastAsia="zh-TW"/>
        </w:rPr>
      </w:pPr>
      <w:r w:rsidRPr="00E5006E">
        <w:rPr>
          <w:rFonts w:ascii="新細明體" w:hAnsi="新細明體" w:hint="eastAsia"/>
          <w:lang w:eastAsia="zh-TW"/>
        </w:rPr>
        <w:t>1、中央</w:t>
      </w:r>
      <w:proofErr w:type="spellStart"/>
      <w:r w:rsidRPr="00E5006E">
        <w:rPr>
          <w:rFonts w:ascii="新細明體" w:hAnsi="新細明體" w:hint="eastAsia"/>
        </w:rPr>
        <w:t>主管機關</w:t>
      </w:r>
      <w:r w:rsidRPr="00E5006E">
        <w:rPr>
          <w:rFonts w:ascii="新細明體" w:hAnsi="新細明體" w:hint="eastAsia"/>
          <w:lang w:eastAsia="zh-TW"/>
        </w:rPr>
        <w:t>：經濟部</w:t>
      </w:r>
      <w:proofErr w:type="spellEnd"/>
      <w:r w:rsidRPr="00E5006E">
        <w:rPr>
          <w:rFonts w:ascii="新細明體" w:hAnsi="新細明體" w:hint="eastAsia"/>
          <w:lang w:eastAsia="zh-TW"/>
        </w:rPr>
        <w:t>。</w:t>
      </w:r>
    </w:p>
    <w:p w:rsidR="000F2944" w:rsidRPr="00781AB6" w:rsidRDefault="000F2944" w:rsidP="00D27E2C">
      <w:pPr>
        <w:pStyle w:val="afa"/>
        <w:ind w:leftChars="100" w:left="670" w:hangingChars="150" w:hanging="330"/>
        <w:jc w:val="both"/>
        <w:rPr>
          <w:rFonts w:ascii="新細明體" w:hAnsi="新細明體"/>
          <w:lang w:eastAsia="zh-TW"/>
        </w:rPr>
      </w:pPr>
      <w:r w:rsidRPr="00781AB6">
        <w:rPr>
          <w:rFonts w:ascii="新細明體" w:hAnsi="新細明體" w:hint="eastAsia"/>
          <w:lang w:eastAsia="zh-TW"/>
        </w:rPr>
        <w:t>2、事業概況：目前係依天然氣事業法管理，100年2月1日天然氣事業法公布施行後，依該法第71</w:t>
      </w:r>
      <w:r>
        <w:rPr>
          <w:rFonts w:ascii="新細明體" w:hAnsi="新細明體" w:hint="eastAsia"/>
          <w:lang w:eastAsia="zh-TW"/>
        </w:rPr>
        <w:t>條規定，該</w:t>
      </w:r>
      <w:r w:rsidRPr="00781AB6">
        <w:rPr>
          <w:rFonts w:ascii="新細明體" w:hAnsi="新細明體" w:hint="eastAsia"/>
          <w:lang w:eastAsia="zh-TW"/>
        </w:rPr>
        <w:t>條例有關煤氣及天然氣事業之規定不再適用。目前民營天然氣公司共23家。</w:t>
      </w:r>
    </w:p>
    <w:p w:rsidR="000F2944" w:rsidRPr="00781AB6" w:rsidRDefault="000F2944" w:rsidP="00D27E2C">
      <w:pPr>
        <w:pStyle w:val="afa"/>
        <w:ind w:leftChars="30" w:left="102"/>
        <w:jc w:val="both"/>
        <w:rPr>
          <w:rFonts w:ascii="新細明體" w:hAnsi="新細明體"/>
          <w:lang w:eastAsia="zh-TW"/>
        </w:rPr>
      </w:pPr>
      <w:r w:rsidRPr="00781AB6">
        <w:rPr>
          <w:rFonts w:ascii="新細明體" w:hAnsi="新細明體" w:hint="eastAsia"/>
          <w:lang w:eastAsia="zh-TW"/>
        </w:rPr>
        <w:t>(六)</w:t>
      </w:r>
      <w:proofErr w:type="spellStart"/>
      <w:r w:rsidRPr="00781AB6">
        <w:rPr>
          <w:rFonts w:ascii="新細明體" w:hAnsi="新細明體" w:hint="eastAsia"/>
          <w:lang w:eastAsia="zh-TW"/>
        </w:rPr>
        <w:t>公共汽車及長途汽車</w:t>
      </w:r>
      <w:proofErr w:type="spellEnd"/>
    </w:p>
    <w:p w:rsidR="000F2944" w:rsidRPr="00781AB6" w:rsidRDefault="000F2944" w:rsidP="00D27E2C">
      <w:pPr>
        <w:pStyle w:val="afa"/>
        <w:ind w:leftChars="100" w:left="340"/>
        <w:jc w:val="both"/>
        <w:rPr>
          <w:rFonts w:ascii="新細明體" w:hAnsi="新細明體"/>
          <w:lang w:eastAsia="zh-TW"/>
        </w:rPr>
      </w:pPr>
      <w:r w:rsidRPr="00781AB6">
        <w:rPr>
          <w:rFonts w:ascii="新細明體" w:hAnsi="新細明體" w:hint="eastAsia"/>
          <w:lang w:eastAsia="zh-TW"/>
        </w:rPr>
        <w:t>1、中央主管機關：交通部。</w:t>
      </w:r>
    </w:p>
    <w:p w:rsidR="000F2944" w:rsidRPr="00781AB6" w:rsidRDefault="000F2944" w:rsidP="00D27E2C">
      <w:pPr>
        <w:pStyle w:val="afa"/>
        <w:ind w:leftChars="100" w:left="670" w:hangingChars="150" w:hanging="330"/>
        <w:jc w:val="both"/>
        <w:rPr>
          <w:rFonts w:ascii="新細明體" w:hAnsi="新細明體"/>
          <w:lang w:eastAsia="zh-TW"/>
        </w:rPr>
      </w:pPr>
      <w:r w:rsidRPr="00781AB6">
        <w:rPr>
          <w:rFonts w:ascii="新細明體" w:hAnsi="新細明體" w:hint="eastAsia"/>
          <w:lang w:eastAsia="zh-TW"/>
        </w:rPr>
        <w:t>2、事業概況：交通部表示，公共汽車及長途汽車分別對應於公路法所稱之市區汽車客運業及公路汽車客運業；依公路法第37條規定，市區汽車客運業由其所在之地方政府監督，公路汽車客運業由該部監督，</w:t>
      </w:r>
      <w:proofErr w:type="gramStart"/>
      <w:r w:rsidRPr="00781AB6">
        <w:rPr>
          <w:rFonts w:ascii="新細明體" w:hAnsi="新細明體" w:hint="eastAsia"/>
          <w:lang w:eastAsia="zh-TW"/>
        </w:rPr>
        <w:t>該部並已</w:t>
      </w:r>
      <w:proofErr w:type="gramEnd"/>
      <w:r w:rsidRPr="00781AB6">
        <w:rPr>
          <w:rFonts w:ascii="新細明體" w:hAnsi="新細明體" w:hint="eastAsia"/>
          <w:lang w:eastAsia="zh-TW"/>
        </w:rPr>
        <w:t>將公路汽車客運業之營運管理及處罰委任公路總局辦理。經營公路汽車客運之民營公司計55家，其中39家係同時經營市區及公路汽車客運。</w:t>
      </w:r>
    </w:p>
    <w:p w:rsidR="000F2944" w:rsidRPr="00781AB6" w:rsidRDefault="000F2944" w:rsidP="00D27E2C">
      <w:pPr>
        <w:pStyle w:val="afa"/>
        <w:ind w:leftChars="30" w:left="102"/>
        <w:jc w:val="both"/>
        <w:rPr>
          <w:rFonts w:ascii="新細明體" w:hAnsi="新細明體"/>
          <w:lang w:eastAsia="zh-TW"/>
        </w:rPr>
      </w:pPr>
      <w:r w:rsidRPr="00781AB6">
        <w:rPr>
          <w:rFonts w:ascii="新細明體" w:hAnsi="新細明體" w:hint="eastAsia"/>
          <w:lang w:eastAsia="zh-TW"/>
        </w:rPr>
        <w:t>(七)</w:t>
      </w:r>
      <w:proofErr w:type="spellStart"/>
      <w:r w:rsidRPr="00781AB6">
        <w:rPr>
          <w:rFonts w:ascii="新細明體" w:hAnsi="新細明體" w:hint="eastAsia"/>
          <w:lang w:eastAsia="zh-TW"/>
        </w:rPr>
        <w:t>船舶運輸</w:t>
      </w:r>
      <w:proofErr w:type="spellEnd"/>
    </w:p>
    <w:p w:rsidR="000F2944" w:rsidRPr="00781AB6" w:rsidRDefault="000F2944" w:rsidP="00D27E2C">
      <w:pPr>
        <w:pStyle w:val="afa"/>
        <w:ind w:leftChars="100" w:left="340"/>
        <w:jc w:val="both"/>
        <w:rPr>
          <w:rFonts w:ascii="新細明體" w:hAnsi="新細明體"/>
          <w:lang w:eastAsia="zh-TW"/>
        </w:rPr>
      </w:pPr>
      <w:r w:rsidRPr="00781AB6">
        <w:rPr>
          <w:rFonts w:ascii="新細明體" w:hAnsi="新細明體" w:hint="eastAsia"/>
          <w:lang w:eastAsia="zh-TW"/>
        </w:rPr>
        <w:t>1、中央主管機關：交通部。</w:t>
      </w:r>
    </w:p>
    <w:p w:rsidR="000F2944" w:rsidRPr="00781AB6" w:rsidRDefault="000F2944" w:rsidP="00D27E2C">
      <w:pPr>
        <w:pStyle w:val="afa"/>
        <w:ind w:leftChars="100" w:left="670" w:hangingChars="150" w:hanging="330"/>
        <w:jc w:val="both"/>
        <w:rPr>
          <w:rFonts w:ascii="新細明體" w:hAnsi="新細明體"/>
          <w:lang w:eastAsia="zh-TW"/>
        </w:rPr>
      </w:pPr>
      <w:r w:rsidRPr="00781AB6">
        <w:rPr>
          <w:rFonts w:ascii="新細明體" w:hAnsi="新細明體" w:hint="eastAsia"/>
          <w:lang w:eastAsia="zh-TW"/>
        </w:rPr>
        <w:t>2、事業概況：交通部表示，船舶運輸對應於航業法所稱之船舶運送業，航業之業務由航政機關辦理之，航政機關為</w:t>
      </w:r>
      <w:proofErr w:type="gramStart"/>
      <w:r w:rsidRPr="00781AB6">
        <w:rPr>
          <w:rFonts w:ascii="新細明體" w:hAnsi="新細明體" w:hint="eastAsia"/>
          <w:lang w:eastAsia="zh-TW"/>
        </w:rPr>
        <w:t>該部航港</w:t>
      </w:r>
      <w:proofErr w:type="gramEnd"/>
      <w:r w:rsidRPr="00781AB6">
        <w:rPr>
          <w:rFonts w:ascii="新細明體" w:hAnsi="新細明體" w:hint="eastAsia"/>
          <w:lang w:eastAsia="zh-TW"/>
        </w:rPr>
        <w:t>局，惟依航業法第6條規定，小船從事客貨運送或其他業務不適用該法之規定，由其所在之地方政府監督。依航業法特許設立之船舶</w:t>
      </w:r>
      <w:proofErr w:type="gramStart"/>
      <w:r w:rsidRPr="00781AB6">
        <w:rPr>
          <w:rFonts w:ascii="新細明體" w:hAnsi="新細明體" w:hint="eastAsia"/>
          <w:lang w:eastAsia="zh-TW"/>
        </w:rPr>
        <w:t>運送業計183家</w:t>
      </w:r>
      <w:proofErr w:type="gramEnd"/>
      <w:r w:rsidRPr="00781AB6">
        <w:rPr>
          <w:rFonts w:ascii="新細明體" w:hAnsi="新細明體" w:hint="eastAsia"/>
          <w:lang w:eastAsia="zh-TW"/>
        </w:rPr>
        <w:t>。</w:t>
      </w:r>
    </w:p>
    <w:p w:rsidR="000F2944" w:rsidRPr="00781AB6" w:rsidRDefault="000F2944" w:rsidP="00D27E2C">
      <w:pPr>
        <w:pStyle w:val="afa"/>
        <w:ind w:leftChars="30" w:left="102"/>
        <w:jc w:val="both"/>
        <w:rPr>
          <w:rFonts w:ascii="新細明體" w:hAnsi="新細明體"/>
          <w:lang w:eastAsia="zh-TW"/>
        </w:rPr>
      </w:pPr>
      <w:r w:rsidRPr="00781AB6">
        <w:rPr>
          <w:rFonts w:ascii="新細明體" w:hAnsi="新細明體" w:hint="eastAsia"/>
          <w:lang w:eastAsia="zh-TW"/>
        </w:rPr>
        <w:t>(八)</w:t>
      </w:r>
      <w:proofErr w:type="spellStart"/>
      <w:r w:rsidRPr="00781AB6">
        <w:rPr>
          <w:rFonts w:ascii="新細明體" w:hAnsi="新細明體" w:hint="eastAsia"/>
          <w:lang w:eastAsia="zh-TW"/>
        </w:rPr>
        <w:t>航空運輸</w:t>
      </w:r>
      <w:proofErr w:type="spellEnd"/>
    </w:p>
    <w:p w:rsidR="000F2944" w:rsidRPr="00781AB6" w:rsidRDefault="000F2944" w:rsidP="00D27E2C">
      <w:pPr>
        <w:pStyle w:val="afa"/>
        <w:ind w:leftChars="100" w:left="340"/>
        <w:jc w:val="both"/>
        <w:rPr>
          <w:rFonts w:ascii="新細明體" w:hAnsi="新細明體"/>
          <w:lang w:eastAsia="zh-TW"/>
        </w:rPr>
      </w:pPr>
      <w:r w:rsidRPr="00781AB6">
        <w:rPr>
          <w:rFonts w:ascii="新細明體" w:hAnsi="新細明體" w:hint="eastAsia"/>
          <w:lang w:eastAsia="zh-TW"/>
        </w:rPr>
        <w:t>1、中央主管機關：交通部。</w:t>
      </w:r>
    </w:p>
    <w:p w:rsidR="000F2944" w:rsidRPr="00781AB6" w:rsidRDefault="000F2944" w:rsidP="00D27E2C">
      <w:pPr>
        <w:pStyle w:val="afa"/>
        <w:ind w:leftChars="100" w:left="670" w:hangingChars="150" w:hanging="330"/>
        <w:jc w:val="both"/>
        <w:rPr>
          <w:rFonts w:ascii="新細明體" w:hAnsi="新細明體"/>
          <w:lang w:eastAsia="zh-TW"/>
        </w:rPr>
      </w:pPr>
      <w:r w:rsidRPr="00781AB6">
        <w:rPr>
          <w:rFonts w:ascii="新細明體" w:hAnsi="新細明體" w:hint="eastAsia"/>
          <w:lang w:eastAsia="zh-TW"/>
        </w:rPr>
        <w:t>2、事業概況：交通部表示，目前民用航空運輸之</w:t>
      </w:r>
      <w:proofErr w:type="gramStart"/>
      <w:r w:rsidRPr="00781AB6">
        <w:rPr>
          <w:rFonts w:ascii="新細明體" w:hAnsi="新細明體" w:hint="eastAsia"/>
          <w:lang w:eastAsia="zh-TW"/>
        </w:rPr>
        <w:t>經營均受民用</w:t>
      </w:r>
      <w:proofErr w:type="gramEnd"/>
      <w:r w:rsidRPr="00781AB6">
        <w:rPr>
          <w:rFonts w:ascii="新細明體" w:hAnsi="新細明體" w:hint="eastAsia"/>
          <w:lang w:eastAsia="zh-TW"/>
        </w:rPr>
        <w:t>航空法之監督。依民用航空法特許設立之民用航空運輸業計10家，其中經營國內航線者共5家。</w:t>
      </w:r>
    </w:p>
  </w:footnote>
  <w:footnote w:id="20">
    <w:p w:rsidR="000F2944" w:rsidRPr="008F4BB2" w:rsidRDefault="000F2944" w:rsidP="00472943">
      <w:pPr>
        <w:pStyle w:val="afa"/>
        <w:ind w:left="44" w:hangingChars="20" w:hanging="44"/>
        <w:jc w:val="both"/>
        <w:rPr>
          <w:rFonts w:ascii="新細明體" w:hAnsi="新細明體"/>
          <w:lang w:eastAsia="zh-TW"/>
        </w:rPr>
      </w:pPr>
      <w:r w:rsidRPr="008F4BB2">
        <w:rPr>
          <w:rStyle w:val="afc"/>
          <w:rFonts w:ascii="新細明體" w:hAnsi="新細明體"/>
        </w:rPr>
        <w:footnoteRef/>
      </w:r>
      <w:r w:rsidRPr="008F4BB2">
        <w:rPr>
          <w:rFonts w:ascii="新細明體" w:hAnsi="新細明體" w:hint="eastAsia"/>
        </w:rPr>
        <w:t>司法院釋字第732號解釋：「國家以徵收方式剝奪人民土地所有權，甚而影響土地上合法居住者之居住自由，如非為公用，則須符合其他公益之正當目的。徵收捷運交通事業所必須之土地，屬為興辦交通事業公用之目的；而主管機關辦理毗鄰地區土地之開發，係在有效利用土地資源、促進地區發展並利大眾捷運系統建設經費之取得，固有其公益上之目的。然國家為利用土地資源、促進地區發展並利建設經費之取得等目的，依法報請徵收交通事業所必須者以外之毗鄰地區土地（下稱非交通事業所必須之土地），將使土地資源之利益重新分配或移轉予國家或其他私人享有，造成原土地所有權人遭受土地損失之特別犧牲。另為達利用土地資源、促進地區發展並利建設經費之取得等目的，非不得以適當優惠方式與土地所有權人合作進行聯合或共同開發、以市地重劃之方式使原土地所有權人於土地重新整理後仍分配土地、以區段徵收使原土地所有權人取回與原土地同價值之土地、或以其他適當且對土地所有權侵害較小之方式達成。系爭規定一、二、三以使土地所有權人遭受特別犧牲之方式，徵收非交通事業所必須之土地進行開發，並非達成土地資源有效利用、地區發展並利國家建設經費之取得目的所不得不採之必要手段，且非侵害最小之方式。其許主管機關為土地開發之目的，依法報請徵收非交通事業所必須之土地，於此範圍內，不符憲法第23條之比例原則，與憲法保障人民財產權及居住自由之意旨有違，應自本解釋公布之日起不予適用。」黃茂榮大法官指出國家透過公權力徵收取得私人土地給特定事業使用，在現代競爭法或國家經濟法下，是一個很大的忌諱，在自由經濟體制下，如容許國家介入市場自由競爭機能，將無法使市場經濟正常運轉。再者，在「有效利用土地資源、促進地區發展」的立法目的下，如要強調聯合開發而徵收人民之土地，則因土地所有權人所提供者，乃為聯合開發所需之重要生產因素（土地），因此，應當使原土地所有權人分享開發後之經濟效益，國家縱因主導、參與建設而或許得以主張分享開發後之經濟效益，然該開發利益之分配方式，應符合共同出資、聯合開發之合夥意旨與精神等語。</w:t>
      </w:r>
    </w:p>
  </w:footnote>
  <w:footnote w:id="21">
    <w:p w:rsidR="000F2944" w:rsidRPr="003B77C9" w:rsidRDefault="000F2944" w:rsidP="00472943">
      <w:pPr>
        <w:pStyle w:val="afa"/>
        <w:ind w:left="44" w:hangingChars="20" w:hanging="44"/>
        <w:jc w:val="both"/>
        <w:rPr>
          <w:lang w:eastAsia="zh-TW"/>
        </w:rPr>
      </w:pPr>
      <w:r w:rsidRPr="008F4BB2">
        <w:rPr>
          <w:rStyle w:val="afc"/>
          <w:rFonts w:ascii="新細明體" w:hAnsi="新細明體"/>
        </w:rPr>
        <w:footnoteRef/>
      </w:r>
      <w:r w:rsidRPr="008F4BB2">
        <w:rPr>
          <w:rFonts w:ascii="新細明體" w:hAnsi="新細明體" w:hint="eastAsia"/>
        </w:rPr>
        <w:t>司法院釋字第743號解釋稱，77年制定公布之大眾捷運法第6條規定：「大眾捷運系統需用之土地，得依法徵收之。」同法第7條第1項規定：「為有效利用土地資源，促進地區發展，地方主管機關得自行開發或與私人、團體聯合開發大眾捷運系統場、站與路線之土地及毗鄰地區之土地。」此為臺北市政府興辦臺北都會區大眾捷運系統新店線新店機廠聯合開發案適用之法律。臺北市政府（需用土地人）為興辦系爭聯合開發案用地之需要，分別（中略）准予徵收。准予徵收函所附徵收土地計畫書固援引土地法第208條第2款、都市計畫法第48條、大眾捷運法第6條與77年捷運法第7條作為法令依據。惟查系爭聯合開發案用地之都市計畫細部計畫係於88年3月25日始發布實施；臺北市政府於同年4月9日核定聯合開發計畫書。在此</w:t>
      </w:r>
      <w:proofErr w:type="gramStart"/>
      <w:r w:rsidRPr="008F4BB2">
        <w:rPr>
          <w:rFonts w:ascii="新細明體" w:hAnsi="新細明體" w:hint="eastAsia"/>
        </w:rPr>
        <w:t>之前系</w:t>
      </w:r>
      <w:proofErr w:type="gramEnd"/>
      <w:r w:rsidRPr="008F4BB2">
        <w:rPr>
          <w:rFonts w:ascii="新細明體" w:hAnsi="新細明體" w:hint="eastAsia"/>
        </w:rPr>
        <w:t>爭聯合開發案之內容無從確定，自難認臺北市政府已依77年捷運法第7條第2項</w:t>
      </w:r>
      <w:r w:rsidRPr="008F4BB2">
        <w:rPr>
          <w:rFonts w:ascii="新細明體" w:hAnsi="新細明體" w:hint="eastAsia"/>
          <w:lang w:eastAsia="zh-TW"/>
        </w:rPr>
        <w:t>：</w:t>
      </w:r>
      <w:r w:rsidRPr="008F4BB2">
        <w:rPr>
          <w:rFonts w:ascii="新細明體" w:hAnsi="新細明體" w:hint="eastAsia"/>
        </w:rPr>
        <w:t>「……協議不成者，得徵收之」之規定辦理徵收。至上開徵收土地計畫書所引土地法第208條第2款、都市計畫法第48條及大眾捷運法第6條作為法令依據。大眾</w:t>
      </w:r>
      <w:r w:rsidRPr="003B77C9">
        <w:rPr>
          <w:rFonts w:hint="eastAsia"/>
        </w:rPr>
        <w:t>捷運法第</w:t>
      </w:r>
      <w:r w:rsidRPr="003B77C9">
        <w:rPr>
          <w:rFonts w:hint="eastAsia"/>
        </w:rPr>
        <w:t>6</w:t>
      </w:r>
      <w:r w:rsidRPr="003B77C9">
        <w:rPr>
          <w:rFonts w:hint="eastAsia"/>
        </w:rPr>
        <w:t>條要求主管機關就大眾捷運系統需用之土地，依相關法律徵收，作興建捷運系統之特定目的使用，非以追求商業利益為考量。大眾捷運法第</w:t>
      </w:r>
      <w:r w:rsidRPr="003B77C9">
        <w:rPr>
          <w:rFonts w:hint="eastAsia"/>
        </w:rPr>
        <w:t>7</w:t>
      </w:r>
      <w:r w:rsidRPr="003B77C9">
        <w:rPr>
          <w:rFonts w:hint="eastAsia"/>
        </w:rPr>
        <w:t>條之目的，則在有效利用土地資源，促進地區發展並利大眾捷運系統建設經費之取得，故聯合開發係為有效利用土地資源，並因此涉及商業利益之分享及風險之分擔。主管機關依大眾捷運法第</w:t>
      </w:r>
      <w:r w:rsidRPr="003B77C9">
        <w:rPr>
          <w:rFonts w:hint="eastAsia"/>
        </w:rPr>
        <w:t>6</w:t>
      </w:r>
      <w:r w:rsidRPr="003B77C9">
        <w:rPr>
          <w:rFonts w:hint="eastAsia"/>
        </w:rPr>
        <w:t>條，按相關法律徵收人民土地，雖因而取得土地所有權人之地位，然其與一般土地所有權人得自由使用、收益、處分及行使其他土地權利者並不全然相同。其徵收既係基於興建捷運系統之特定目的，主管機關自不得於同一計畫，持該徵收之土地，依大眾捷運法第</w:t>
      </w:r>
      <w:r w:rsidRPr="003B77C9">
        <w:rPr>
          <w:rFonts w:hint="eastAsia"/>
        </w:rPr>
        <w:t>7</w:t>
      </w:r>
      <w:r w:rsidRPr="003B77C9">
        <w:rPr>
          <w:rFonts w:hint="eastAsia"/>
        </w:rPr>
        <w:t>條辦理聯合開發，而為經濟利用，故自亦無由主管機關將該徵收之土地所有權移轉予第三人之餘地等語。</w:t>
      </w:r>
    </w:p>
  </w:footnote>
  <w:footnote w:id="22">
    <w:p w:rsidR="000F2944" w:rsidRPr="003B77C9" w:rsidRDefault="000F2944" w:rsidP="00472943">
      <w:pPr>
        <w:pStyle w:val="afa"/>
        <w:ind w:left="44" w:hangingChars="20" w:hanging="44"/>
        <w:jc w:val="both"/>
        <w:rPr>
          <w:lang w:eastAsia="zh-TW"/>
        </w:rPr>
      </w:pPr>
      <w:r>
        <w:rPr>
          <w:rStyle w:val="afc"/>
        </w:rPr>
        <w:footnoteRef/>
      </w:r>
      <w:r w:rsidRPr="003B77C9">
        <w:rPr>
          <w:rFonts w:hint="eastAsia"/>
        </w:rPr>
        <w:t>司法院釋字第</w:t>
      </w:r>
      <w:r w:rsidRPr="003B77C9">
        <w:rPr>
          <w:rFonts w:hint="eastAsia"/>
        </w:rPr>
        <w:t>747</w:t>
      </w:r>
      <w:r w:rsidRPr="003B77C9">
        <w:rPr>
          <w:rFonts w:hint="eastAsia"/>
        </w:rPr>
        <w:t>號解釋就土地所有權人因公路穿越地下，至逾越其社會責任所應忍受範圍，得否請求需用土地人向主管機關申請徵收地上權之疑義，稱，人民之財產權應予保障，憲法第</w:t>
      </w:r>
      <w:r w:rsidRPr="003B77C9">
        <w:rPr>
          <w:rFonts w:hint="eastAsia"/>
        </w:rPr>
        <w:t>15</w:t>
      </w:r>
      <w:r w:rsidRPr="003B77C9">
        <w:rPr>
          <w:rFonts w:hint="eastAsia"/>
        </w:rPr>
        <w:t>條定有明文。</w:t>
      </w:r>
      <w:r w:rsidRPr="00472943">
        <w:rPr>
          <w:rFonts w:ascii="新細明體" w:hAnsi="新細明體" w:hint="eastAsia"/>
        </w:rPr>
        <w:t>需用土地人因興辦土地徵收條例第</w:t>
      </w:r>
      <w:r w:rsidRPr="003B77C9">
        <w:rPr>
          <w:rFonts w:hint="eastAsia"/>
        </w:rPr>
        <w:t>3</w:t>
      </w:r>
      <w:r w:rsidRPr="003B77C9">
        <w:rPr>
          <w:rFonts w:hint="eastAsia"/>
        </w:rPr>
        <w:t>條規定之事業，穿越私有土地之上空或地下，致逾越所有權人社會責任所應忍受範圍，形成個人之特別犧牲，而不依徵收規定向主管機關申請徵收地上權者，土地所有權人得請求需用土地人向主管機關申請徵收地上權。</w:t>
      </w:r>
    </w:p>
  </w:footnote>
  <w:footnote w:id="23">
    <w:p w:rsidR="000F2944" w:rsidRPr="0051551F" w:rsidRDefault="000F2944" w:rsidP="0051551F">
      <w:pPr>
        <w:pStyle w:val="afa"/>
        <w:ind w:left="44" w:hangingChars="20" w:hanging="44"/>
        <w:jc w:val="both"/>
        <w:rPr>
          <w:rFonts w:ascii="新細明體" w:hAnsi="新細明體"/>
          <w:lang w:eastAsia="zh-TW"/>
        </w:rPr>
      </w:pPr>
      <w:r w:rsidRPr="0051551F">
        <w:rPr>
          <w:rStyle w:val="afc"/>
          <w:rFonts w:ascii="新細明體" w:hAnsi="新細明體"/>
        </w:rPr>
        <w:footnoteRef/>
      </w:r>
      <w:r w:rsidRPr="0051551F">
        <w:rPr>
          <w:rFonts w:ascii="新細明體" w:hAnsi="新細明體" w:hint="eastAsia"/>
          <w:lang w:val="en-US" w:eastAsia="zh-TW"/>
        </w:rPr>
        <w:t>例如英國自</w:t>
      </w:r>
      <w:r>
        <w:rPr>
          <w:rFonts w:ascii="新細明體" w:hAnsi="新細明體" w:hint="eastAsia"/>
          <w:lang w:val="en-US" w:eastAsia="zh-TW"/>
        </w:rPr>
        <w:t>西元</w:t>
      </w:r>
      <w:r w:rsidRPr="0051551F">
        <w:rPr>
          <w:rFonts w:ascii="新細明體" w:hAnsi="新細明體" w:hint="eastAsia"/>
          <w:lang w:val="en-US" w:eastAsia="zh-TW"/>
        </w:rPr>
        <w:t>1945年至</w:t>
      </w:r>
      <w:proofErr w:type="gramStart"/>
      <w:r w:rsidRPr="0051551F">
        <w:rPr>
          <w:rFonts w:ascii="新細明體" w:hAnsi="新細明體" w:hint="eastAsia"/>
          <w:lang w:val="en-US" w:eastAsia="zh-TW"/>
        </w:rPr>
        <w:t>1970</w:t>
      </w:r>
      <w:proofErr w:type="gramEnd"/>
      <w:r w:rsidRPr="0051551F">
        <w:rPr>
          <w:rFonts w:ascii="新細明體" w:hAnsi="新細明體" w:hint="eastAsia"/>
          <w:lang w:val="en-US" w:eastAsia="zh-TW"/>
        </w:rPr>
        <w:t>年代中期，主要福利的支出從</w:t>
      </w:r>
      <w:r w:rsidRPr="0051551F">
        <w:rPr>
          <w:rFonts w:ascii="新細明體" w:hAnsi="新細明體"/>
          <w:lang w:val="en-US" w:eastAsia="zh-TW"/>
        </w:rPr>
        <w:t>GDP</w:t>
      </w:r>
      <w:r w:rsidRPr="0051551F">
        <w:rPr>
          <w:rFonts w:ascii="新細明體" w:hAnsi="新細明體" w:hint="eastAsia"/>
          <w:lang w:val="en-US" w:eastAsia="zh-TW"/>
        </w:rPr>
        <w:t>的5</w:t>
      </w:r>
      <w:r w:rsidRPr="0051551F">
        <w:rPr>
          <w:rFonts w:ascii="新細明體" w:hAnsi="新細明體"/>
          <w:lang w:val="en-US" w:eastAsia="zh-TW"/>
        </w:rPr>
        <w:t>%</w:t>
      </w:r>
      <w:r w:rsidRPr="0051551F">
        <w:rPr>
          <w:rFonts w:ascii="新細明體" w:hAnsi="新細明體" w:hint="eastAsia"/>
          <w:lang w:val="en-US" w:eastAsia="zh-TW"/>
        </w:rPr>
        <w:t>上升到20</w:t>
      </w:r>
      <w:r w:rsidRPr="0051551F">
        <w:rPr>
          <w:rFonts w:ascii="新細明體" w:hAnsi="新細明體"/>
          <w:lang w:val="en-US" w:eastAsia="zh-TW"/>
        </w:rPr>
        <w:t>%</w:t>
      </w:r>
      <w:r w:rsidRPr="0051551F">
        <w:rPr>
          <w:rFonts w:ascii="新細明體" w:hAnsi="新細明體" w:hint="eastAsia"/>
          <w:lang w:val="en-US" w:eastAsia="zh-TW"/>
        </w:rPr>
        <w:t>。國家健保支出自</w:t>
      </w:r>
      <w:r>
        <w:rPr>
          <w:rFonts w:ascii="新細明體" w:hAnsi="新細明體" w:hint="eastAsia"/>
          <w:lang w:val="en-US" w:eastAsia="zh-TW"/>
        </w:rPr>
        <w:t>西元</w:t>
      </w:r>
      <w:r w:rsidRPr="0051551F">
        <w:rPr>
          <w:rFonts w:ascii="新細明體" w:hAnsi="新細明體" w:hint="eastAsia"/>
          <w:lang w:val="en-US" w:eastAsia="zh-TW"/>
        </w:rPr>
        <w:t>1951年的5億</w:t>
      </w:r>
      <w:r>
        <w:rPr>
          <w:rFonts w:ascii="新細明體" w:hAnsi="新細明體" w:hint="eastAsia"/>
          <w:lang w:val="en-US" w:eastAsia="zh-TW"/>
        </w:rPr>
        <w:t>元</w:t>
      </w:r>
      <w:proofErr w:type="gramStart"/>
      <w:r w:rsidRPr="0051551F">
        <w:rPr>
          <w:rFonts w:ascii="新細明體" w:hAnsi="新細明體" w:hint="eastAsia"/>
          <w:lang w:val="en-US" w:eastAsia="zh-TW"/>
        </w:rPr>
        <w:t>英鎊，</w:t>
      </w:r>
      <w:proofErr w:type="gramEnd"/>
      <w:r w:rsidRPr="0051551F">
        <w:rPr>
          <w:rFonts w:ascii="新細明體" w:hAnsi="新細明體" w:hint="eastAsia"/>
          <w:lang w:val="en-US" w:eastAsia="zh-TW"/>
        </w:rPr>
        <w:t>上升至</w:t>
      </w:r>
      <w:r>
        <w:rPr>
          <w:rFonts w:ascii="新細明體" w:hAnsi="新細明體" w:hint="eastAsia"/>
          <w:lang w:val="en-US" w:eastAsia="zh-TW"/>
        </w:rPr>
        <w:t>西元</w:t>
      </w:r>
      <w:r w:rsidRPr="0051551F">
        <w:rPr>
          <w:rFonts w:ascii="新細明體" w:hAnsi="新細明體" w:hint="eastAsia"/>
          <w:lang w:val="en-US" w:eastAsia="zh-TW"/>
        </w:rPr>
        <w:t>1975年的55億</w:t>
      </w:r>
      <w:r>
        <w:rPr>
          <w:rFonts w:ascii="新細明體" w:hAnsi="新細明體" w:hint="eastAsia"/>
          <w:lang w:val="en-US" w:eastAsia="zh-TW"/>
        </w:rPr>
        <w:t>9,600</w:t>
      </w:r>
      <w:r w:rsidRPr="0051551F">
        <w:rPr>
          <w:rFonts w:ascii="新細明體" w:hAnsi="新細明體" w:hint="eastAsia"/>
          <w:lang w:val="en-US" w:eastAsia="zh-TW"/>
        </w:rPr>
        <w:t>萬</w:t>
      </w:r>
      <w:r>
        <w:rPr>
          <w:rFonts w:ascii="新細明體" w:hAnsi="新細明體" w:hint="eastAsia"/>
          <w:lang w:val="en-US" w:eastAsia="zh-TW"/>
        </w:rPr>
        <w:t>元</w:t>
      </w:r>
      <w:r w:rsidRPr="0051551F">
        <w:rPr>
          <w:rFonts w:ascii="新細明體" w:hAnsi="新細明體" w:hint="eastAsia"/>
          <w:lang w:val="en-US" w:eastAsia="zh-TW"/>
        </w:rPr>
        <w:t>英鎊。而美國的社會福利支出的時間則更晚，直到甘</w:t>
      </w:r>
      <w:proofErr w:type="gramStart"/>
      <w:r w:rsidRPr="0051551F">
        <w:rPr>
          <w:rFonts w:ascii="新細明體" w:hAnsi="新細明體" w:hint="eastAsia"/>
          <w:lang w:val="en-US" w:eastAsia="zh-TW"/>
        </w:rPr>
        <w:t>迺迪</w:t>
      </w:r>
      <w:proofErr w:type="gramEnd"/>
      <w:r w:rsidRPr="0051551F">
        <w:rPr>
          <w:rFonts w:ascii="新細明體" w:hAnsi="新細明體" w:hint="eastAsia"/>
          <w:lang w:val="en-US" w:eastAsia="zh-TW"/>
        </w:rPr>
        <w:t>及詹森總統</w:t>
      </w:r>
      <w:r w:rsidRPr="0051551F">
        <w:rPr>
          <w:rFonts w:ascii="新細明體" w:hAnsi="新細明體"/>
          <w:lang w:val="en-US" w:eastAsia="zh-TW"/>
        </w:rPr>
        <w:t>(</w:t>
      </w:r>
      <w:r>
        <w:rPr>
          <w:rFonts w:ascii="新細明體" w:hAnsi="新細明體" w:hint="eastAsia"/>
          <w:lang w:val="en-US" w:eastAsia="zh-TW"/>
        </w:rPr>
        <w:t>西元</w:t>
      </w:r>
      <w:r w:rsidRPr="0051551F">
        <w:rPr>
          <w:rFonts w:ascii="新細明體" w:hAnsi="新細明體" w:hint="eastAsia"/>
          <w:lang w:val="en-US" w:eastAsia="zh-TW"/>
        </w:rPr>
        <w:t>1956至1968年</w:t>
      </w:r>
      <w:r w:rsidRPr="0051551F">
        <w:rPr>
          <w:rFonts w:ascii="新細明體" w:hAnsi="新細明體"/>
          <w:lang w:val="en-US" w:eastAsia="zh-TW"/>
        </w:rPr>
        <w:t>)</w:t>
      </w:r>
      <w:r w:rsidRPr="0051551F">
        <w:rPr>
          <w:rFonts w:ascii="新細明體" w:hAnsi="新細明體" w:hint="eastAsia"/>
          <w:lang w:val="en-US" w:eastAsia="zh-TW"/>
        </w:rPr>
        <w:t>上任，美國政府才似乎真正願意大幅擴張福利支出。而只有在</w:t>
      </w:r>
      <w:r>
        <w:rPr>
          <w:rFonts w:ascii="新細明體" w:hAnsi="新細明體" w:hint="eastAsia"/>
          <w:lang w:val="en-US" w:eastAsia="zh-TW"/>
        </w:rPr>
        <w:t>西元</w:t>
      </w:r>
      <w:r w:rsidRPr="0051551F">
        <w:rPr>
          <w:rFonts w:ascii="新細明體" w:hAnsi="新細明體" w:hint="eastAsia"/>
          <w:lang w:val="en-US" w:eastAsia="zh-TW"/>
        </w:rPr>
        <w:t>1964年，由於經濟高度繁榮且持續發展，詹森總統才願宣示「全國對貧窮宣戰」。</w:t>
      </w:r>
    </w:p>
  </w:footnote>
  <w:footnote w:id="24">
    <w:p w:rsidR="000F2944" w:rsidRPr="0051551F" w:rsidRDefault="000F2944" w:rsidP="0051551F">
      <w:pPr>
        <w:pStyle w:val="afa"/>
        <w:ind w:left="44" w:hangingChars="20" w:hanging="44"/>
        <w:jc w:val="both"/>
        <w:rPr>
          <w:rFonts w:ascii="新細明體" w:hAnsi="新細明體"/>
          <w:lang w:val="en-US" w:eastAsia="zh-TW"/>
        </w:rPr>
      </w:pPr>
      <w:r w:rsidRPr="0051551F">
        <w:rPr>
          <w:rStyle w:val="afc"/>
          <w:rFonts w:ascii="新細明體" w:hAnsi="新細明體"/>
        </w:rPr>
        <w:footnoteRef/>
      </w:r>
      <w:proofErr w:type="spellStart"/>
      <w:r w:rsidRPr="0051551F">
        <w:rPr>
          <w:rFonts w:ascii="新細明體" w:hAnsi="新細明體" w:hint="eastAsia"/>
          <w:lang w:val="en-US"/>
        </w:rPr>
        <w:t>凱因斯</w:t>
      </w:r>
      <w:proofErr w:type="spellEnd"/>
      <w:r w:rsidRPr="0051551F">
        <w:rPr>
          <w:rFonts w:ascii="新細明體" w:hAnsi="新細明體"/>
          <w:lang w:val="en-US"/>
        </w:rPr>
        <w:t>(</w:t>
      </w:r>
      <w:r w:rsidRPr="0051551F">
        <w:rPr>
          <w:rFonts w:ascii="新細明體" w:hAnsi="新細明體" w:hint="eastAsia"/>
          <w:lang w:val="en-US"/>
        </w:rPr>
        <w:t>John Maynard Keynes</w:t>
      </w:r>
      <w:r w:rsidRPr="0051551F">
        <w:rPr>
          <w:rFonts w:ascii="新細明體" w:hAnsi="新細明體"/>
          <w:lang w:val="en-US"/>
        </w:rPr>
        <w:t>)</w:t>
      </w:r>
      <w:r w:rsidRPr="0051551F">
        <w:rPr>
          <w:rFonts w:ascii="新細明體" w:hAnsi="新細明體" w:hint="eastAsia"/>
        </w:rPr>
        <w:t xml:space="preserve"> </w:t>
      </w:r>
      <w:proofErr w:type="spellStart"/>
      <w:r w:rsidRPr="0051551F">
        <w:rPr>
          <w:rFonts w:ascii="新細明體" w:hAnsi="新細明體" w:hint="eastAsia"/>
          <w:lang w:val="en-US"/>
        </w:rPr>
        <w:t>於</w:t>
      </w:r>
      <w:r>
        <w:rPr>
          <w:rFonts w:ascii="新細明體" w:hAnsi="新細明體" w:hint="eastAsia"/>
          <w:lang w:val="en-US" w:eastAsia="zh-TW"/>
        </w:rPr>
        <w:t>西元</w:t>
      </w:r>
      <w:proofErr w:type="spellEnd"/>
      <w:r w:rsidRPr="0051551F">
        <w:rPr>
          <w:rFonts w:ascii="新細明體" w:hAnsi="新細明體" w:hint="eastAsia"/>
          <w:lang w:val="en-US"/>
        </w:rPr>
        <w:t>1936</w:t>
      </w:r>
      <w:proofErr w:type="spellStart"/>
      <w:r w:rsidRPr="0051551F">
        <w:rPr>
          <w:rFonts w:ascii="新細明體" w:hAnsi="新細明體" w:hint="eastAsia"/>
          <w:lang w:val="en-US"/>
        </w:rPr>
        <w:t>年的主要作品《就業、利息和貨幣通論》認為政府</w:t>
      </w:r>
      <w:proofErr w:type="gramStart"/>
      <w:r w:rsidRPr="0051551F">
        <w:rPr>
          <w:rFonts w:ascii="新細明體" w:hAnsi="新細明體" w:hint="eastAsia"/>
          <w:lang w:val="en-US"/>
        </w:rPr>
        <w:t>能對且應該</w:t>
      </w:r>
      <w:proofErr w:type="gramEnd"/>
      <w:r w:rsidRPr="0051551F">
        <w:rPr>
          <w:rFonts w:ascii="新細明體" w:hAnsi="新細明體" w:hint="eastAsia"/>
          <w:lang w:val="en-US"/>
        </w:rPr>
        <w:t>干預經濟，</w:t>
      </w:r>
      <w:r w:rsidRPr="0051551F">
        <w:rPr>
          <w:rFonts w:ascii="新細明體" w:hAnsi="新細明體" w:hint="eastAsia"/>
          <w:lang w:val="en-US" w:eastAsia="zh-TW"/>
        </w:rPr>
        <w:t>其</w:t>
      </w:r>
      <w:r w:rsidRPr="0051551F">
        <w:rPr>
          <w:rFonts w:ascii="新細明體" w:hAnsi="新細明體" w:hint="eastAsia"/>
          <w:lang w:val="en-US"/>
        </w:rPr>
        <w:t>主張經濟不具有創造完全就業</w:t>
      </w:r>
      <w:proofErr w:type="spellEnd"/>
      <w:r w:rsidRPr="0051551F">
        <w:rPr>
          <w:rFonts w:ascii="新細明體" w:hAnsi="新細明體"/>
          <w:lang w:val="en-US"/>
        </w:rPr>
        <w:t>(</w:t>
      </w:r>
      <w:r w:rsidRPr="0051551F">
        <w:rPr>
          <w:rFonts w:ascii="新細明體" w:hAnsi="新細明體" w:hint="eastAsia"/>
          <w:lang w:val="en-US"/>
        </w:rPr>
        <w:t>full employment)的自然傾向，若民間無法創造工作，政府就必須干預以提供工作。由於經濟不景氣並非來自支出太多，而是支出太少，因此政府支出便成為關鍵。在華爾街崩盤及經濟大蕭條之後成形的凱因斯理論，要求政府在混合型經濟及福利國家的情況下，維持總體經濟需求及完全就業。他的理論恰好順應人心一大政府的潛力在二次大戰時徹底發揮了。由完全就業及廣泛的福利制度所隱含的社會一體感，與社會大眾好不容易贏得和平之後亟需穩定與安全的感受相符。</w:t>
      </w:r>
      <w:r w:rsidRPr="0051551F">
        <w:rPr>
          <w:rFonts w:ascii="新細明體" w:hAnsi="新細明體" w:hint="eastAsia"/>
          <w:lang w:val="en-US" w:eastAsia="zh-TW"/>
        </w:rPr>
        <w:t>有關凱因斯理論介紹，詳見，</w:t>
      </w:r>
      <w:r w:rsidRPr="0051551F">
        <w:rPr>
          <w:rFonts w:ascii="新細明體" w:hAnsi="新細明體"/>
          <w:lang w:val="en-US" w:eastAsia="zh-TW"/>
        </w:rPr>
        <w:t>為什麼是凱因斯</w:t>
      </w:r>
      <w:r w:rsidRPr="0051551F">
        <w:rPr>
          <w:rFonts w:ascii="新細明體" w:hAnsi="新細明體" w:hint="eastAsia"/>
          <w:lang w:val="en-US" w:eastAsia="zh-TW"/>
        </w:rPr>
        <w:t>，彼得．克拉克</w:t>
      </w:r>
      <w:r w:rsidRPr="0051551F">
        <w:rPr>
          <w:rFonts w:ascii="新細明體" w:hAnsi="新細明體"/>
          <w:lang w:val="en-US" w:eastAsia="zh-TW"/>
        </w:rPr>
        <w:t>Peter Clarke</w:t>
      </w:r>
      <w:r w:rsidRPr="0051551F">
        <w:rPr>
          <w:rFonts w:ascii="新細明體" w:hAnsi="新細明體" w:hint="eastAsia"/>
          <w:lang w:val="en-US" w:eastAsia="zh-TW"/>
        </w:rPr>
        <w:t>，商周出版，</w:t>
      </w:r>
      <w:r>
        <w:rPr>
          <w:rFonts w:ascii="新細明體" w:hAnsi="新細明體" w:hint="eastAsia"/>
          <w:lang w:val="en-US" w:eastAsia="zh-TW"/>
        </w:rPr>
        <w:t>西元</w:t>
      </w:r>
      <w:r w:rsidRPr="0051551F">
        <w:rPr>
          <w:rFonts w:ascii="新細明體" w:hAnsi="新細明體"/>
          <w:lang w:val="en-US" w:eastAsia="zh-TW"/>
        </w:rPr>
        <w:t>2010</w:t>
      </w:r>
      <w:r>
        <w:rPr>
          <w:rFonts w:ascii="新細明體" w:hAnsi="新細明體" w:hint="eastAsia"/>
          <w:lang w:val="en-US" w:eastAsia="zh-TW"/>
        </w:rPr>
        <w:t>年</w:t>
      </w:r>
      <w:r w:rsidRPr="0051551F">
        <w:rPr>
          <w:rFonts w:ascii="新細明體" w:hAnsi="新細明體"/>
          <w:lang w:val="en-US" w:eastAsia="zh-TW"/>
        </w:rPr>
        <w:t>7</w:t>
      </w:r>
      <w:r>
        <w:rPr>
          <w:rFonts w:ascii="新細明體" w:hAnsi="新細明體" w:hint="eastAsia"/>
          <w:lang w:val="en-US" w:eastAsia="zh-TW"/>
        </w:rPr>
        <w:t>月</w:t>
      </w:r>
      <w:r w:rsidRPr="0051551F">
        <w:rPr>
          <w:rFonts w:ascii="新細明體" w:hAnsi="新細明體"/>
          <w:lang w:val="en-US" w:eastAsia="zh-TW"/>
        </w:rPr>
        <w:t>30</w:t>
      </w:r>
      <w:r>
        <w:rPr>
          <w:rFonts w:ascii="新細明體" w:hAnsi="新細明體" w:hint="eastAsia"/>
          <w:lang w:val="en-US" w:eastAsia="zh-TW"/>
        </w:rPr>
        <w:t>日</w:t>
      </w:r>
      <w:r w:rsidRPr="0051551F">
        <w:rPr>
          <w:rFonts w:ascii="新細明體" w:hAnsi="新細明體" w:hint="eastAsia"/>
          <w:lang w:val="en-US" w:eastAsia="zh-TW"/>
        </w:rPr>
        <w:t>。</w:t>
      </w:r>
    </w:p>
  </w:footnote>
  <w:footnote w:id="25">
    <w:p w:rsidR="000F2944" w:rsidRPr="0051551F" w:rsidRDefault="000F2944" w:rsidP="0051551F">
      <w:pPr>
        <w:pStyle w:val="afa"/>
        <w:ind w:left="44" w:hangingChars="20" w:hanging="44"/>
        <w:jc w:val="both"/>
        <w:rPr>
          <w:rFonts w:ascii="新細明體" w:hAnsi="新細明體"/>
          <w:lang w:eastAsia="zh-TW"/>
        </w:rPr>
      </w:pPr>
      <w:r w:rsidRPr="0051551F">
        <w:rPr>
          <w:rStyle w:val="afc"/>
          <w:rFonts w:ascii="新細明體" w:hAnsi="新細明體"/>
        </w:rPr>
        <w:footnoteRef/>
      </w:r>
      <w:proofErr w:type="spellStart"/>
      <w:r w:rsidRPr="0051551F">
        <w:rPr>
          <w:rFonts w:ascii="新細明體" w:hAnsi="新細明體" w:hint="eastAsia"/>
          <w:lang w:val="en-US"/>
        </w:rPr>
        <w:t>柴契爾夫人</w:t>
      </w:r>
      <w:r w:rsidRPr="0051551F">
        <w:rPr>
          <w:rFonts w:ascii="新細明體" w:hAnsi="新細明體" w:hint="eastAsia"/>
          <w:lang w:val="en-US" w:eastAsia="zh-TW"/>
        </w:rPr>
        <w:t>所</w:t>
      </w:r>
      <w:proofErr w:type="gramStart"/>
      <w:r w:rsidRPr="0051551F">
        <w:rPr>
          <w:rFonts w:ascii="新細明體" w:hAnsi="新細明體" w:hint="eastAsia"/>
          <w:lang w:val="en-US"/>
        </w:rPr>
        <w:t>採</w:t>
      </w:r>
      <w:proofErr w:type="gramEnd"/>
      <w:r w:rsidRPr="0051551F">
        <w:rPr>
          <w:rFonts w:ascii="新細明體" w:hAnsi="新細明體" w:hint="eastAsia"/>
          <w:lang w:val="en-US" w:eastAsia="zh-TW"/>
        </w:rPr>
        <w:t>之</w:t>
      </w:r>
      <w:r w:rsidRPr="0051551F">
        <w:rPr>
          <w:rFonts w:ascii="新細明體" w:hAnsi="新細明體" w:hint="eastAsia"/>
          <w:lang w:val="en-US"/>
        </w:rPr>
        <w:t>貨幣主義</w:t>
      </w:r>
      <w:proofErr w:type="spellEnd"/>
      <w:r w:rsidRPr="0051551F">
        <w:rPr>
          <w:rFonts w:ascii="新細明體" w:hAnsi="新細明體"/>
          <w:lang w:val="en-US"/>
        </w:rPr>
        <w:t>(</w:t>
      </w:r>
      <w:r w:rsidRPr="0051551F">
        <w:rPr>
          <w:rFonts w:ascii="新細明體" w:hAnsi="新細明體" w:hint="eastAsia"/>
          <w:lang w:val="en-US"/>
        </w:rPr>
        <w:t>Monetarism</w:t>
      </w:r>
      <w:r w:rsidRPr="0051551F">
        <w:rPr>
          <w:rFonts w:ascii="新細明體" w:hAnsi="新細明體"/>
          <w:lang w:val="en-US"/>
        </w:rPr>
        <w:t>)</w:t>
      </w:r>
      <w:r w:rsidRPr="0051551F">
        <w:rPr>
          <w:rFonts w:ascii="新細明體" w:hAnsi="新細明體" w:hint="eastAsia"/>
          <w:lang w:val="en-US"/>
        </w:rPr>
        <w:t>，</w:t>
      </w:r>
      <w:r w:rsidRPr="0051551F">
        <w:rPr>
          <w:rFonts w:ascii="新細明體" w:hAnsi="新細明體" w:hint="eastAsia"/>
          <w:lang w:val="en-US" w:eastAsia="zh-TW"/>
        </w:rPr>
        <w:t>是</w:t>
      </w:r>
      <w:proofErr w:type="spellStart"/>
      <w:r w:rsidRPr="0051551F">
        <w:rPr>
          <w:rFonts w:ascii="新細明體" w:hAnsi="新細明體" w:hint="eastAsia"/>
          <w:lang w:val="en-US"/>
        </w:rPr>
        <w:t>強調嚴格控制貨幣供給；雷根政府則由供給面經濟學家掌權，他們倡議</w:t>
      </w:r>
      <w:r w:rsidRPr="0051551F">
        <w:rPr>
          <w:rFonts w:ascii="新細明體" w:hAnsi="新細明體" w:hint="eastAsia"/>
          <w:lang w:val="en-US" w:eastAsia="zh-TW"/>
        </w:rPr>
        <w:t>大量</w:t>
      </w:r>
      <w:r w:rsidRPr="0051551F">
        <w:rPr>
          <w:rFonts w:ascii="新細明體" w:hAnsi="新細明體" w:hint="eastAsia"/>
          <w:lang w:val="en-US"/>
        </w:rPr>
        <w:t>減稅，以提供最多的誘因</w:t>
      </w:r>
      <w:proofErr w:type="spellEnd"/>
      <w:r>
        <w:rPr>
          <w:rFonts w:ascii="新細明體" w:hAnsi="新細明體" w:hint="eastAsia"/>
          <w:lang w:val="en-US" w:eastAsia="zh-TW"/>
        </w:rPr>
        <w:t>給資本家刺激生產</w:t>
      </w:r>
      <w:r w:rsidRPr="0051551F">
        <w:rPr>
          <w:rFonts w:ascii="新細明體" w:hAnsi="新細明體" w:hint="eastAsia"/>
          <w:lang w:val="en-US" w:eastAsia="zh-TW"/>
        </w:rPr>
        <w:t>。</w:t>
      </w:r>
    </w:p>
  </w:footnote>
  <w:footnote w:id="26">
    <w:p w:rsidR="000F2944" w:rsidRPr="0051551F" w:rsidRDefault="000F2944" w:rsidP="0051551F">
      <w:pPr>
        <w:pStyle w:val="afa"/>
        <w:ind w:left="44" w:hangingChars="20" w:hanging="44"/>
        <w:jc w:val="both"/>
        <w:rPr>
          <w:rFonts w:ascii="新細明體" w:hAnsi="新細明體"/>
          <w:lang w:eastAsia="zh-TW"/>
        </w:rPr>
      </w:pPr>
      <w:r w:rsidRPr="0051551F">
        <w:rPr>
          <w:rStyle w:val="afc"/>
          <w:rFonts w:ascii="新細明體" w:hAnsi="新細明體"/>
        </w:rPr>
        <w:footnoteRef/>
      </w:r>
      <w:proofErr w:type="spellStart"/>
      <w:r w:rsidRPr="0051551F">
        <w:rPr>
          <w:rFonts w:ascii="新細明體" w:hAnsi="新細明體" w:hint="eastAsia"/>
        </w:rPr>
        <w:t>米爾頓</w:t>
      </w:r>
      <w:proofErr w:type="gramStart"/>
      <w:r w:rsidRPr="0051551F">
        <w:rPr>
          <w:rFonts w:ascii="新細明體" w:hAnsi="新細明體" w:hint="eastAsia"/>
        </w:rPr>
        <w:t>‧</w:t>
      </w:r>
      <w:proofErr w:type="gramEnd"/>
      <w:r w:rsidRPr="0051551F">
        <w:rPr>
          <w:rFonts w:ascii="新細明體" w:hAnsi="新細明體" w:hint="eastAsia"/>
        </w:rPr>
        <w:t>傅利曼</w:t>
      </w:r>
      <w:proofErr w:type="spellEnd"/>
      <w:r w:rsidRPr="0051551F">
        <w:rPr>
          <w:rFonts w:ascii="新細明體" w:hAnsi="新細明體" w:hint="eastAsia"/>
        </w:rPr>
        <w:t>(Milton Friedman)</w:t>
      </w:r>
      <w:proofErr w:type="spellStart"/>
      <w:r w:rsidRPr="0051551F">
        <w:rPr>
          <w:rFonts w:ascii="新細明體" w:hAnsi="新細明體" w:hint="eastAsia"/>
        </w:rPr>
        <w:t>美國經濟學家，以研究總體經濟學、個體經濟學、經濟史、統計學、及主張自由放任資本主義而</w:t>
      </w:r>
      <w:r w:rsidRPr="0051551F">
        <w:rPr>
          <w:rFonts w:ascii="新細明體" w:hAnsi="新細明體" w:hint="eastAsia"/>
          <w:lang w:eastAsia="zh-TW"/>
        </w:rPr>
        <w:t>知名</w:t>
      </w:r>
      <w:proofErr w:type="spellEnd"/>
      <w:r w:rsidRPr="0051551F">
        <w:rPr>
          <w:rFonts w:ascii="新細明體" w:hAnsi="新細明體" w:hint="eastAsia"/>
        </w:rPr>
        <w:t>。</w:t>
      </w:r>
      <w:proofErr w:type="spellStart"/>
      <w:r>
        <w:rPr>
          <w:rFonts w:ascii="新細明體" w:hAnsi="新細明體" w:hint="eastAsia"/>
          <w:lang w:eastAsia="zh-TW"/>
        </w:rPr>
        <w:t>西元</w:t>
      </w:r>
      <w:proofErr w:type="spellEnd"/>
      <w:r w:rsidRPr="0051551F">
        <w:rPr>
          <w:rFonts w:ascii="新細明體" w:hAnsi="新細明體" w:hint="eastAsia"/>
        </w:rPr>
        <w:t>1976年取得諾貝爾經濟學獎，</w:t>
      </w:r>
      <w:r w:rsidRPr="0051551F">
        <w:rPr>
          <w:rFonts w:ascii="新細明體" w:hAnsi="新細明體" w:hint="eastAsia"/>
          <w:lang w:eastAsia="zh-TW"/>
        </w:rPr>
        <w:t>主要</w:t>
      </w:r>
      <w:proofErr w:type="spellStart"/>
      <w:r w:rsidRPr="0051551F">
        <w:rPr>
          <w:rFonts w:ascii="新細明體" w:hAnsi="新細明體" w:hint="eastAsia"/>
        </w:rPr>
        <w:t>表揚</w:t>
      </w:r>
      <w:r w:rsidRPr="0051551F">
        <w:rPr>
          <w:rFonts w:ascii="新細明體" w:hAnsi="新細明體" w:hint="eastAsia"/>
          <w:lang w:eastAsia="zh-TW"/>
        </w:rPr>
        <w:t>在</w:t>
      </w:r>
      <w:r w:rsidRPr="0051551F">
        <w:rPr>
          <w:rFonts w:ascii="新細明體" w:hAnsi="新細明體" w:hint="eastAsia"/>
        </w:rPr>
        <w:t>消費分析、貨幣供應理論及歷史、和穩定政策複雜性等範疇的貢獻，</w:t>
      </w:r>
      <w:r w:rsidRPr="0051551F">
        <w:rPr>
          <w:rFonts w:ascii="新細明體" w:hAnsi="新細明體" w:hint="eastAsia"/>
          <w:lang w:eastAsia="zh-TW"/>
        </w:rPr>
        <w:t>是</w:t>
      </w:r>
      <w:proofErr w:type="spellEnd"/>
      <w:r w:rsidRPr="0051551F">
        <w:rPr>
          <w:rFonts w:ascii="新細明體" w:hAnsi="新細明體" w:hint="eastAsia"/>
        </w:rPr>
        <w:t>20世紀最重要的經濟學家之一，</w:t>
      </w:r>
      <w:proofErr w:type="gramStart"/>
      <w:r w:rsidRPr="0051551F">
        <w:rPr>
          <w:rFonts w:ascii="新細明體" w:hAnsi="新細明體" w:hint="eastAsia"/>
          <w:lang w:eastAsia="zh-TW"/>
        </w:rPr>
        <w:t>見維基百</w:t>
      </w:r>
      <w:proofErr w:type="gramEnd"/>
      <w:r w:rsidRPr="0051551F">
        <w:rPr>
          <w:rFonts w:ascii="新細明體" w:hAnsi="新細明體" w:hint="eastAsia"/>
          <w:lang w:eastAsia="zh-TW"/>
        </w:rPr>
        <w:t>科</w:t>
      </w:r>
      <w:r w:rsidRPr="0051551F">
        <w:rPr>
          <w:rFonts w:ascii="新細明體" w:hAnsi="新細明體" w:hint="eastAsia"/>
        </w:rPr>
        <w:t>。</w:t>
      </w:r>
    </w:p>
  </w:footnote>
  <w:footnote w:id="27">
    <w:p w:rsidR="000F2944" w:rsidRPr="0051551F" w:rsidRDefault="000F2944" w:rsidP="0051551F">
      <w:pPr>
        <w:pStyle w:val="afa"/>
        <w:ind w:left="44" w:hangingChars="20" w:hanging="44"/>
        <w:jc w:val="both"/>
        <w:rPr>
          <w:rFonts w:ascii="新細明體" w:hAnsi="新細明體"/>
          <w:lang w:eastAsia="zh-TW"/>
        </w:rPr>
      </w:pPr>
      <w:r w:rsidRPr="0051551F">
        <w:rPr>
          <w:rStyle w:val="afc"/>
          <w:rFonts w:ascii="新細明體" w:hAnsi="新細明體"/>
        </w:rPr>
        <w:footnoteRef/>
      </w:r>
      <w:proofErr w:type="spellStart"/>
      <w:r w:rsidRPr="0051551F">
        <w:rPr>
          <w:rFonts w:ascii="新細明體" w:hAnsi="新細明體" w:hint="eastAsia"/>
        </w:rPr>
        <w:t>佛烈德利赫·奧古斯特·馮·</w:t>
      </w:r>
      <w:r w:rsidRPr="0051551F">
        <w:rPr>
          <w:rFonts w:ascii="新細明體" w:hAnsi="新細明體" w:hint="eastAsia"/>
          <w:lang w:val="en-US"/>
        </w:rPr>
        <w:t>海耶克</w:t>
      </w:r>
      <w:r w:rsidRPr="0051551F">
        <w:rPr>
          <w:rFonts w:ascii="新細明體" w:hAnsi="新細明體" w:hint="eastAsia"/>
        </w:rPr>
        <w:t>，CH（Friedrich</w:t>
      </w:r>
      <w:proofErr w:type="spellEnd"/>
      <w:r w:rsidRPr="0051551F">
        <w:rPr>
          <w:rFonts w:ascii="新細明體" w:hAnsi="新細明體" w:hint="eastAsia"/>
        </w:rPr>
        <w:t xml:space="preserve"> August von </w:t>
      </w:r>
      <w:proofErr w:type="spellStart"/>
      <w:r w:rsidRPr="0051551F">
        <w:rPr>
          <w:rFonts w:ascii="新細明體" w:hAnsi="新細明體" w:hint="eastAsia"/>
        </w:rPr>
        <w:t>Hayek，</w:t>
      </w:r>
      <w:r>
        <w:rPr>
          <w:rFonts w:ascii="新細明體" w:hAnsi="新細明體" w:hint="eastAsia"/>
          <w:lang w:eastAsia="zh-TW"/>
        </w:rPr>
        <w:t>西元</w:t>
      </w:r>
      <w:proofErr w:type="spellEnd"/>
      <w:r w:rsidRPr="0051551F">
        <w:rPr>
          <w:rFonts w:ascii="新細明體" w:hAnsi="新細明體" w:hint="eastAsia"/>
        </w:rPr>
        <w:t>1899年5月8</w:t>
      </w:r>
      <w:r>
        <w:rPr>
          <w:rFonts w:ascii="新細明體" w:hAnsi="新細明體" w:hint="eastAsia"/>
        </w:rPr>
        <w:t>日</w:t>
      </w:r>
      <w:r>
        <w:rPr>
          <w:rFonts w:ascii="新細明體" w:hAnsi="新細明體" w:hint="eastAsia"/>
          <w:lang w:eastAsia="zh-TW"/>
        </w:rPr>
        <w:t>-</w:t>
      </w:r>
      <w:r w:rsidRPr="0051551F">
        <w:rPr>
          <w:rFonts w:ascii="新細明體" w:hAnsi="新細明體" w:hint="eastAsia"/>
        </w:rPr>
        <w:t>1992年3月23</w:t>
      </w:r>
      <w:r>
        <w:rPr>
          <w:rFonts w:ascii="新細明體" w:hAnsi="新細明體" w:hint="eastAsia"/>
        </w:rPr>
        <w:t>日）</w:t>
      </w:r>
      <w:r w:rsidRPr="0051551F">
        <w:rPr>
          <w:rFonts w:ascii="新細明體" w:hAnsi="新細明體" w:hint="eastAsia"/>
        </w:rPr>
        <w:t>奧地利出生的英國知名經濟學家和政治哲學家。以堅持自由市場資本主義、反對社會主義、凱恩斯主義和集體主義而著稱。</w:t>
      </w:r>
      <w:r w:rsidRPr="0051551F">
        <w:rPr>
          <w:rFonts w:ascii="新細明體" w:hAnsi="新細明體" w:hint="eastAsia"/>
          <w:lang w:eastAsia="zh-TW"/>
        </w:rPr>
        <w:t>其在</w:t>
      </w:r>
      <w:r w:rsidRPr="0051551F">
        <w:rPr>
          <w:rFonts w:ascii="新細明體" w:hAnsi="新細明體" w:hint="eastAsia"/>
          <w:lang w:val="en-US" w:eastAsia="zh-TW"/>
        </w:rPr>
        <w:t>《通向奴役之路》（</w:t>
      </w:r>
      <w:r>
        <w:rPr>
          <w:rFonts w:ascii="新細明體" w:hAnsi="新細明體" w:hint="eastAsia"/>
          <w:lang w:val="en-US" w:eastAsia="zh-TW"/>
        </w:rPr>
        <w:t>西元</w:t>
      </w:r>
      <w:r w:rsidRPr="0051551F">
        <w:rPr>
          <w:rFonts w:ascii="新細明體" w:hAnsi="新細明體" w:hint="eastAsia"/>
          <w:lang w:val="en-US" w:eastAsia="zh-TW"/>
        </w:rPr>
        <w:t>1944）稱</w:t>
      </w:r>
      <w:proofErr w:type="spellStart"/>
      <w:r w:rsidRPr="0051551F">
        <w:rPr>
          <w:rFonts w:ascii="新細明體" w:hAnsi="新細明體" w:hint="eastAsia"/>
        </w:rPr>
        <w:t>所有形式的集體主義，最終都只有可能以中央集權的機構加以維持，他</w:t>
      </w:r>
      <w:r w:rsidRPr="0051551F">
        <w:rPr>
          <w:rFonts w:ascii="新細明體" w:hAnsi="新細明體" w:hint="eastAsia"/>
          <w:lang w:eastAsia="zh-TW"/>
        </w:rPr>
        <w:t>認為</w:t>
      </w:r>
      <w:proofErr w:type="spellEnd"/>
      <w:r w:rsidRPr="0051551F">
        <w:rPr>
          <w:rFonts w:ascii="新細明體" w:hAnsi="新細明體" w:hint="eastAsia"/>
        </w:rPr>
        <w:t>社會主義必須要有一個中央的經濟計畫，而這種計畫經濟最終將會導致極權主義，因為被賦予了強大經濟控制權力的政府也必然會擁有控制個人社會生活的權力</w:t>
      </w:r>
      <w:r w:rsidRPr="0051551F">
        <w:rPr>
          <w:rFonts w:ascii="新細明體" w:hAnsi="新細明體" w:hint="eastAsia"/>
          <w:lang w:eastAsia="zh-TW"/>
        </w:rPr>
        <w:t>等語</w:t>
      </w:r>
      <w:r w:rsidRPr="0051551F">
        <w:rPr>
          <w:rFonts w:ascii="新細明體" w:hAnsi="新細明體" w:hint="eastAsia"/>
        </w:rPr>
        <w:t>。</w:t>
      </w:r>
      <w:r w:rsidRPr="0051551F">
        <w:rPr>
          <w:rFonts w:ascii="新細明體" w:hAnsi="新細明體" w:hint="eastAsia"/>
          <w:lang w:eastAsia="zh-TW"/>
        </w:rPr>
        <w:t>這種主張不無道理，但是如同馬克思所講，資本主義所造成資本集中，所生強者越強、富者越富，將社會撕裂成兩個階級，國家不控制此種現象，最後控制的權力會交到財團手上，當國家成為財團的附庸，便成為無產階級推翻的對象，無疑造成另一次共產革命的到來，筆者</w:t>
      </w:r>
      <w:proofErr w:type="gramStart"/>
      <w:r w:rsidRPr="0051551F">
        <w:rPr>
          <w:rFonts w:ascii="新細明體" w:hAnsi="新細明體" w:hint="eastAsia"/>
          <w:lang w:eastAsia="zh-TW"/>
        </w:rPr>
        <w:t>註</w:t>
      </w:r>
      <w:proofErr w:type="gramEnd"/>
      <w:r w:rsidRPr="0051551F">
        <w:rPr>
          <w:rFonts w:ascii="新細明體" w:hAnsi="新細明體" w:hint="eastAsia"/>
          <w:lang w:eastAsia="zh-TW"/>
        </w:rPr>
        <w:t>。</w:t>
      </w:r>
    </w:p>
  </w:footnote>
  <w:footnote w:id="28">
    <w:p w:rsidR="000F2944" w:rsidRPr="00781AB6" w:rsidRDefault="000F2944" w:rsidP="0051551F">
      <w:pPr>
        <w:pStyle w:val="afa"/>
        <w:ind w:left="44" w:hangingChars="20" w:hanging="44"/>
        <w:jc w:val="both"/>
        <w:rPr>
          <w:rFonts w:ascii="新細明體" w:hAnsi="新細明體"/>
          <w:lang w:eastAsia="zh-TW"/>
        </w:rPr>
      </w:pPr>
      <w:r w:rsidRPr="00781AB6">
        <w:rPr>
          <w:rStyle w:val="afc"/>
          <w:rFonts w:ascii="新細明體" w:hAnsi="新細明體"/>
        </w:rPr>
        <w:footnoteRef/>
      </w:r>
      <w:proofErr w:type="spellStart"/>
      <w:r w:rsidRPr="00781AB6">
        <w:rPr>
          <w:rFonts w:ascii="新細明體" w:hAnsi="新細明體" w:hint="eastAsia"/>
        </w:rPr>
        <w:t>諾齊克（Robert</w:t>
      </w:r>
      <w:proofErr w:type="spellEnd"/>
      <w:r w:rsidRPr="00781AB6">
        <w:rPr>
          <w:rFonts w:ascii="新細明體" w:hAnsi="新細明體" w:hint="eastAsia"/>
        </w:rPr>
        <w:t xml:space="preserve"> </w:t>
      </w:r>
      <w:proofErr w:type="spellStart"/>
      <w:r w:rsidRPr="00781AB6">
        <w:rPr>
          <w:rFonts w:ascii="新細明體" w:hAnsi="新細明體" w:hint="eastAsia"/>
        </w:rPr>
        <w:t>Nozick）在</w:t>
      </w:r>
      <w:r>
        <w:rPr>
          <w:rFonts w:ascii="新細明體" w:hAnsi="新細明體" w:hint="eastAsia"/>
          <w:lang w:eastAsia="zh-TW"/>
        </w:rPr>
        <w:t>西元</w:t>
      </w:r>
      <w:proofErr w:type="spellEnd"/>
      <w:r w:rsidRPr="00781AB6">
        <w:rPr>
          <w:rFonts w:ascii="新細明體" w:hAnsi="新細明體" w:hint="eastAsia"/>
        </w:rPr>
        <w:t>1974</w:t>
      </w:r>
      <w:r w:rsidRPr="00781AB6">
        <w:rPr>
          <w:rFonts w:ascii="新細明體" w:hAnsi="新細明體" w:hint="eastAsia"/>
          <w:lang w:eastAsia="zh-TW"/>
        </w:rPr>
        <w:t>年發表</w:t>
      </w:r>
      <w:r w:rsidRPr="00781AB6">
        <w:rPr>
          <w:rFonts w:ascii="新細明體" w:hAnsi="新細明體" w:hint="eastAsia"/>
        </w:rPr>
        <w:t>《</w:t>
      </w:r>
      <w:proofErr w:type="spellStart"/>
      <w:r w:rsidRPr="00781AB6">
        <w:rPr>
          <w:rFonts w:ascii="新細明體" w:hAnsi="新細明體" w:hint="eastAsia"/>
        </w:rPr>
        <w:t>無政府、國家與烏托邦》</w:t>
      </w:r>
      <w:r w:rsidRPr="00781AB6">
        <w:rPr>
          <w:rFonts w:ascii="新細明體" w:hAnsi="新細明體" w:hint="eastAsia"/>
          <w:lang w:eastAsia="zh-TW"/>
        </w:rPr>
        <w:t>提供新自由主義哲學基礎，其以個人基本</w:t>
      </w:r>
      <w:r w:rsidRPr="00781AB6">
        <w:rPr>
          <w:rFonts w:ascii="新細明體" w:hAnsi="新細明體" w:hint="eastAsia"/>
        </w:rPr>
        <w:t>權利（individualrights）為核心，</w:t>
      </w:r>
      <w:proofErr w:type="gramStart"/>
      <w:r w:rsidRPr="00781AB6">
        <w:rPr>
          <w:rFonts w:ascii="新細明體" w:hAnsi="新細明體" w:hint="eastAsia"/>
          <w:lang w:eastAsia="zh-TW"/>
        </w:rPr>
        <w:t>最化</w:t>
      </w:r>
      <w:r w:rsidRPr="00781AB6">
        <w:rPr>
          <w:rFonts w:ascii="新細明體" w:hAnsi="新細明體" w:hint="eastAsia"/>
        </w:rPr>
        <w:t>歸結</w:t>
      </w:r>
      <w:proofErr w:type="gramEnd"/>
      <w:r w:rsidRPr="00781AB6">
        <w:rPr>
          <w:rFonts w:ascii="新細明體" w:hAnsi="新細明體" w:hint="eastAsia"/>
          <w:lang w:eastAsia="zh-TW"/>
        </w:rPr>
        <w:t>於</w:t>
      </w:r>
      <w:proofErr w:type="spellEnd"/>
      <w:r w:rsidRPr="00781AB6">
        <w:rPr>
          <w:rFonts w:ascii="新細明體" w:hAnsi="新細明體" w:hint="eastAsia"/>
        </w:rPr>
        <w:t>「</w:t>
      </w:r>
      <w:proofErr w:type="spellStart"/>
      <w:r w:rsidRPr="00781AB6">
        <w:rPr>
          <w:rFonts w:ascii="新細明體" w:hAnsi="新細明體" w:hint="eastAsia"/>
        </w:rPr>
        <w:t>最低限度的國家</w:t>
      </w:r>
      <w:proofErr w:type="spellEnd"/>
      <w:r w:rsidRPr="00781AB6">
        <w:rPr>
          <w:rFonts w:ascii="新細明體" w:hAnsi="新細明體" w:hint="eastAsia"/>
        </w:rPr>
        <w:t>」（minimal state），</w:t>
      </w:r>
      <w:proofErr w:type="spellStart"/>
      <w:r w:rsidRPr="00781AB6">
        <w:rPr>
          <w:rFonts w:ascii="新細明體" w:hAnsi="新細明體" w:hint="eastAsia"/>
          <w:lang w:eastAsia="zh-TW"/>
        </w:rPr>
        <w:t>認為</w:t>
      </w:r>
      <w:r w:rsidRPr="00781AB6">
        <w:rPr>
          <w:rFonts w:ascii="新細明體" w:hAnsi="新細明體" w:hint="eastAsia"/>
        </w:rPr>
        <w:t>是真正能在道德上被</w:t>
      </w:r>
      <w:r w:rsidRPr="00781AB6">
        <w:rPr>
          <w:rFonts w:ascii="新細明體" w:hAnsi="新細明體" w:hint="eastAsia"/>
          <w:lang w:eastAsia="zh-TW"/>
        </w:rPr>
        <w:t>論證為</w:t>
      </w:r>
      <w:r w:rsidRPr="00781AB6">
        <w:rPr>
          <w:rFonts w:ascii="新細明體" w:hAnsi="新細明體" w:hint="eastAsia"/>
        </w:rPr>
        <w:t>理想的烏托邦架構。諾齊克在</w:t>
      </w:r>
      <w:r w:rsidRPr="00781AB6">
        <w:rPr>
          <w:rFonts w:ascii="新細明體" w:hAnsi="新細明體" w:hint="eastAsia"/>
          <w:lang w:eastAsia="zh-TW"/>
        </w:rPr>
        <w:t>該書</w:t>
      </w:r>
      <w:r w:rsidRPr="00781AB6">
        <w:rPr>
          <w:rFonts w:ascii="新細明體" w:hAnsi="新細明體" w:hint="eastAsia"/>
        </w:rPr>
        <w:t>論證，是根據</w:t>
      </w:r>
      <w:proofErr w:type="gramStart"/>
      <w:r w:rsidRPr="00781AB6">
        <w:rPr>
          <w:rFonts w:ascii="新細明體" w:hAnsi="新細明體" w:hint="eastAsia"/>
        </w:rPr>
        <w:t>洛</w:t>
      </w:r>
      <w:proofErr w:type="gramEnd"/>
      <w:r w:rsidRPr="00781AB6">
        <w:rPr>
          <w:rFonts w:ascii="新細明體" w:hAnsi="新細明體" w:hint="eastAsia"/>
        </w:rPr>
        <w:t>克式（而非霍布斯式的）論證，指出國家的形成，</w:t>
      </w:r>
      <w:r w:rsidRPr="00781AB6">
        <w:rPr>
          <w:rFonts w:ascii="新細明體" w:hAnsi="新細明體" w:hint="eastAsia"/>
          <w:lang w:eastAsia="zh-TW"/>
        </w:rPr>
        <w:t>源自於</w:t>
      </w:r>
      <w:r w:rsidRPr="00781AB6">
        <w:rPr>
          <w:rFonts w:ascii="新細明體" w:hAnsi="新細明體" w:hint="eastAsia"/>
        </w:rPr>
        <w:t>自然狀態（state</w:t>
      </w:r>
      <w:proofErr w:type="spellEnd"/>
      <w:r w:rsidRPr="00781AB6">
        <w:rPr>
          <w:rFonts w:ascii="新細明體" w:hAnsi="新細明體" w:hint="eastAsia"/>
        </w:rPr>
        <w:t xml:space="preserve"> of </w:t>
      </w:r>
      <w:proofErr w:type="spellStart"/>
      <w:r w:rsidRPr="00781AB6">
        <w:rPr>
          <w:rFonts w:ascii="新細明體" w:hAnsi="新細明體" w:hint="eastAsia"/>
        </w:rPr>
        <w:t>nature）個人權利的維護，需由個人自己來執行，</w:t>
      </w:r>
      <w:r w:rsidRPr="00781AB6">
        <w:rPr>
          <w:rFonts w:ascii="新細明體" w:hAnsi="新細明體" w:hint="eastAsia"/>
          <w:lang w:eastAsia="zh-TW"/>
        </w:rPr>
        <w:t>但其不</w:t>
      </w:r>
      <w:proofErr w:type="gramStart"/>
      <w:r w:rsidRPr="00781AB6">
        <w:rPr>
          <w:rFonts w:ascii="新細明體" w:hAnsi="新細明體" w:hint="eastAsia"/>
          <w:lang w:eastAsia="zh-TW"/>
        </w:rPr>
        <w:t>採</w:t>
      </w:r>
      <w:proofErr w:type="gramEnd"/>
      <w:r w:rsidRPr="00781AB6">
        <w:rPr>
          <w:rFonts w:ascii="新細明體" w:hAnsi="新細明體" w:hint="eastAsia"/>
          <w:lang w:eastAsia="zh-TW"/>
        </w:rPr>
        <w:t>社會契約論觀點</w:t>
      </w:r>
      <w:proofErr w:type="spellEnd"/>
      <w:r w:rsidRPr="00781AB6">
        <w:rPr>
          <w:rFonts w:ascii="新細明體" w:hAnsi="新細明體" w:hint="eastAsia"/>
        </w:rPr>
        <w:t>，</w:t>
      </w:r>
      <w:proofErr w:type="spellStart"/>
      <w:r w:rsidRPr="00781AB6">
        <w:rPr>
          <w:rFonts w:ascii="新細明體" w:hAnsi="新細明體" w:hint="eastAsia"/>
        </w:rPr>
        <w:t>而以現代市場的觀點，來解釋國家的形成。</w:t>
      </w:r>
      <w:r w:rsidRPr="00781AB6">
        <w:rPr>
          <w:rFonts w:ascii="新細明體" w:hAnsi="新細明體" w:hint="eastAsia"/>
          <w:lang w:eastAsia="zh-TW"/>
        </w:rPr>
        <w:t>因為</w:t>
      </w:r>
      <w:r w:rsidRPr="00781AB6">
        <w:rPr>
          <w:rFonts w:ascii="新細明體" w:hAnsi="新細明體" w:hint="eastAsia"/>
        </w:rPr>
        <w:t>由個人自己來保護自己的權利，</w:t>
      </w:r>
      <w:r w:rsidRPr="00781AB6">
        <w:rPr>
          <w:rFonts w:ascii="新細明體" w:hAnsi="新細明體" w:hint="eastAsia"/>
          <w:lang w:eastAsia="zh-TW"/>
        </w:rPr>
        <w:t>會回復到自然狀態</w:t>
      </w:r>
      <w:proofErr w:type="spellEnd"/>
      <w:r w:rsidRPr="00781AB6">
        <w:rPr>
          <w:rFonts w:ascii="新細明體" w:hAnsi="新細明體" w:hint="eastAsia"/>
        </w:rPr>
        <w:t>，</w:t>
      </w:r>
      <w:proofErr w:type="spellStart"/>
      <w:r w:rsidRPr="00781AB6">
        <w:rPr>
          <w:rFonts w:ascii="新細明體" w:hAnsi="新細明體" w:hint="eastAsia"/>
          <w:lang w:eastAsia="zh-TW"/>
        </w:rPr>
        <w:t>所以</w:t>
      </w:r>
      <w:r w:rsidRPr="00781AB6">
        <w:rPr>
          <w:rFonts w:ascii="新細明體" w:hAnsi="新細明體" w:hint="eastAsia"/>
        </w:rPr>
        <w:t>必有提供保護權利服務的機構（protective</w:t>
      </w:r>
      <w:proofErr w:type="spellEnd"/>
      <w:r w:rsidRPr="00781AB6">
        <w:rPr>
          <w:rFonts w:ascii="新細明體" w:hAnsi="新細明體" w:hint="eastAsia"/>
        </w:rPr>
        <w:t xml:space="preserve"> </w:t>
      </w:r>
      <w:proofErr w:type="spellStart"/>
      <w:r w:rsidRPr="00781AB6">
        <w:rPr>
          <w:rFonts w:ascii="新細明體" w:hAnsi="新細明體" w:hint="eastAsia"/>
        </w:rPr>
        <w:t>associations）出現。</w:t>
      </w:r>
      <w:r w:rsidRPr="00781AB6">
        <w:rPr>
          <w:rFonts w:ascii="新細明體" w:hAnsi="新細明體" w:hint="eastAsia"/>
          <w:lang w:eastAsia="zh-TW"/>
        </w:rPr>
        <w:t>基於</w:t>
      </w:r>
      <w:r w:rsidRPr="00781AB6">
        <w:rPr>
          <w:rFonts w:ascii="新細明體" w:hAnsi="新細明體" w:hint="eastAsia"/>
        </w:rPr>
        <w:t>彼此在市場中競爭的結果，最後可能剩下少數保護能力較佳的強勢機構（dominantprotective</w:t>
      </w:r>
      <w:proofErr w:type="spellEnd"/>
      <w:r w:rsidRPr="00781AB6">
        <w:rPr>
          <w:rFonts w:ascii="新細明體" w:hAnsi="新細明體" w:hint="eastAsia"/>
        </w:rPr>
        <w:t xml:space="preserve"> associations）。</w:t>
      </w:r>
      <w:proofErr w:type="spellStart"/>
      <w:r w:rsidRPr="00781AB6">
        <w:rPr>
          <w:rFonts w:ascii="新細明體" w:hAnsi="新細明體" w:hint="eastAsia"/>
          <w:lang w:eastAsia="zh-TW"/>
        </w:rPr>
        <w:t>因為相互征戰</w:t>
      </w:r>
      <w:proofErr w:type="spellEnd"/>
      <w:r w:rsidRPr="00781AB6">
        <w:rPr>
          <w:rFonts w:ascii="新細明體" w:hAnsi="新細明體" w:hint="eastAsia"/>
        </w:rPr>
        <w:t>，</w:t>
      </w:r>
      <w:proofErr w:type="spellStart"/>
      <w:r w:rsidRPr="00781AB6">
        <w:rPr>
          <w:rFonts w:ascii="新細明體" w:hAnsi="新細明體" w:hint="eastAsia"/>
          <w:lang w:eastAsia="zh-TW"/>
        </w:rPr>
        <w:t>所以</w:t>
      </w:r>
      <w:r w:rsidRPr="00781AB6">
        <w:rPr>
          <w:rFonts w:ascii="新細明體" w:hAnsi="新細明體" w:hint="eastAsia"/>
        </w:rPr>
        <w:t>設立一個仲裁者</w:t>
      </w:r>
      <w:proofErr w:type="gramStart"/>
      <w:r w:rsidRPr="00781AB6">
        <w:rPr>
          <w:rFonts w:ascii="新細明體" w:hAnsi="新細明體" w:hint="eastAsia"/>
        </w:rPr>
        <w:t>一</w:t>
      </w:r>
      <w:proofErr w:type="gramEnd"/>
      <w:r w:rsidRPr="00781AB6">
        <w:rPr>
          <w:rFonts w:ascii="新細明體" w:hAnsi="新細明體" w:hint="eastAsia"/>
        </w:rPr>
        <w:t>擁有最後決定權，國家之雛形形成。</w:t>
      </w:r>
      <w:r w:rsidRPr="00781AB6">
        <w:rPr>
          <w:rFonts w:ascii="新細明體" w:hAnsi="新細明體" w:hint="eastAsia"/>
          <w:lang w:eastAsia="zh-TW"/>
        </w:rPr>
        <w:t>而國家基於人民</w:t>
      </w:r>
      <w:r w:rsidRPr="00781AB6">
        <w:rPr>
          <w:rFonts w:ascii="新細明體" w:hAnsi="新細明體" w:hint="eastAsia"/>
        </w:rPr>
        <w:t>自由結合，</w:t>
      </w:r>
      <w:r w:rsidRPr="00781AB6">
        <w:rPr>
          <w:rFonts w:ascii="新細明體" w:hAnsi="新細明體" w:hint="eastAsia"/>
          <w:lang w:eastAsia="zh-TW"/>
        </w:rPr>
        <w:t>所以</w:t>
      </w:r>
      <w:proofErr w:type="spellEnd"/>
      <w:r w:rsidRPr="00781AB6">
        <w:rPr>
          <w:rFonts w:ascii="新細明體" w:hAnsi="新細明體" w:hint="eastAsia"/>
        </w:rPr>
        <w:t>不容任何人將自己的烏托邦觀點，強加諸他人之上。在最低限度國家之中，是以不容侵犯的個人被看待。任何個人不會被他人以某種方式做為手段或工具，而是被視為擁有權利與尊嚴的個人，才是一個真正理想的烏托邦架構。諾齊克</w:t>
      </w:r>
      <w:r w:rsidRPr="00781AB6">
        <w:rPr>
          <w:rFonts w:ascii="新細明體" w:hAnsi="新細明體" w:hint="eastAsia"/>
          <w:lang w:eastAsia="zh-TW"/>
        </w:rPr>
        <w:t>的架構是以自我決定權為基礎，主張個人擁有不容侵犯的財產權之自由，反對任何重稅與福利國家的構想，其將國家功能定位在防止暴力、偷竊、詐欺，以及保障契約履行等基本功能，固</w:t>
      </w:r>
      <w:proofErr w:type="gramStart"/>
      <w:r w:rsidRPr="00781AB6">
        <w:rPr>
          <w:rFonts w:ascii="新細明體" w:hAnsi="新細明體" w:hint="eastAsia"/>
          <w:lang w:eastAsia="zh-TW"/>
        </w:rPr>
        <w:t>非無見</w:t>
      </w:r>
      <w:proofErr w:type="gramEnd"/>
      <w:r w:rsidRPr="00781AB6">
        <w:rPr>
          <w:rFonts w:ascii="新細明體" w:hAnsi="新細明體" w:hint="eastAsia"/>
          <w:lang w:eastAsia="zh-TW"/>
        </w:rPr>
        <w:t>，然而，其漠視人出生即有人種、財富與地位的不同，與原初自然社會有所不同，把個人財富等同於人格自由，無異將人格金錢化，即所謂商品拜物教，其所謂</w:t>
      </w:r>
      <w:r w:rsidR="008E017F">
        <w:rPr>
          <w:rFonts w:ascii="新細明體" w:hAnsi="新細明體" w:hint="eastAsia"/>
          <w:lang w:eastAsia="zh-TW"/>
        </w:rPr>
        <w:t>市場經濟公平競爭無非是出於邏輯推論的想像，個人實難以贊同</w:t>
      </w:r>
      <w:r w:rsidRPr="00781AB6">
        <w:rPr>
          <w:rFonts w:ascii="新細明體" w:hAnsi="新細明體" w:hint="eastAsia"/>
          <w:lang w:eastAsia="zh-TW"/>
        </w:rPr>
        <w:t>。</w:t>
      </w:r>
    </w:p>
  </w:footnote>
  <w:footnote w:id="29">
    <w:p w:rsidR="000F2944" w:rsidRPr="00781AB6" w:rsidRDefault="000F2944" w:rsidP="0051551F">
      <w:pPr>
        <w:pStyle w:val="afa"/>
        <w:ind w:left="44" w:hangingChars="20" w:hanging="44"/>
        <w:jc w:val="both"/>
        <w:rPr>
          <w:rFonts w:ascii="新細明體" w:hAnsi="新細明體"/>
          <w:lang w:eastAsia="zh-TW"/>
        </w:rPr>
      </w:pPr>
      <w:r w:rsidRPr="00781AB6">
        <w:rPr>
          <w:rStyle w:val="afc"/>
          <w:rFonts w:ascii="新細明體" w:hAnsi="新細明體"/>
        </w:rPr>
        <w:footnoteRef/>
      </w:r>
      <w:r w:rsidRPr="00781AB6">
        <w:rPr>
          <w:rFonts w:ascii="新細明體" w:hAnsi="新細明體" w:hint="eastAsia"/>
          <w:lang w:eastAsia="zh-TW"/>
        </w:rPr>
        <w:t>皮凱提</w:t>
      </w:r>
      <w:r>
        <w:rPr>
          <w:rFonts w:ascii="新細明體" w:hAnsi="新細明體" w:hint="eastAsia"/>
          <w:lang w:eastAsia="zh-TW"/>
        </w:rPr>
        <w:t>主要論點</w:t>
      </w:r>
      <w:proofErr w:type="gramStart"/>
      <w:r>
        <w:rPr>
          <w:rFonts w:ascii="新細明體" w:hAnsi="新細明體" w:hint="eastAsia"/>
          <w:lang w:eastAsia="zh-TW"/>
        </w:rPr>
        <w:t>繫</w:t>
      </w:r>
      <w:proofErr w:type="gramEnd"/>
      <w:r>
        <w:rPr>
          <w:rFonts w:ascii="新細明體" w:hAnsi="新細明體" w:hint="eastAsia"/>
          <w:lang w:eastAsia="zh-TW"/>
        </w:rPr>
        <w:t>於資本</w:t>
      </w:r>
      <w:r w:rsidRPr="00A568B3">
        <w:rPr>
          <w:rFonts w:ascii="新細明體" w:hAnsi="新細明體" w:hint="eastAsia"/>
          <w:lang w:eastAsia="zh-TW"/>
        </w:rPr>
        <w:t>收益率</w:t>
      </w:r>
      <w:r w:rsidRPr="00A568B3">
        <w:rPr>
          <w:rFonts w:ascii="新細明體" w:hAnsi="新細明體" w:hint="eastAsia"/>
        </w:rPr>
        <w:t>(r)</w:t>
      </w:r>
      <w:proofErr w:type="spellStart"/>
      <w:r w:rsidRPr="00A568B3">
        <w:rPr>
          <w:rFonts w:ascii="新細明體" w:hAnsi="新細明體" w:hint="eastAsia"/>
        </w:rPr>
        <w:t>與經濟增長率</w:t>
      </w:r>
      <w:proofErr w:type="spellEnd"/>
      <w:r w:rsidRPr="00A568B3">
        <w:rPr>
          <w:rFonts w:ascii="新細明體" w:hAnsi="新細明體" w:hint="eastAsia"/>
        </w:rPr>
        <w:t>(g)</w:t>
      </w:r>
      <w:proofErr w:type="spellStart"/>
      <w:r w:rsidRPr="00A568B3">
        <w:rPr>
          <w:rFonts w:ascii="新細明體" w:hAnsi="新細明體" w:hint="eastAsia"/>
        </w:rPr>
        <w:t>的關係公式</w:t>
      </w:r>
      <w:proofErr w:type="spellEnd"/>
      <w:r w:rsidRPr="00A568B3">
        <w:rPr>
          <w:rFonts w:ascii="新細明體" w:hAnsi="新細明體" w:hint="eastAsia"/>
        </w:rPr>
        <w:t>，「</w:t>
      </w:r>
      <w:proofErr w:type="spellStart"/>
      <w:r w:rsidRPr="00A568B3">
        <w:rPr>
          <w:rFonts w:ascii="新細明體" w:hAnsi="新細明體" w:hint="eastAsia"/>
        </w:rPr>
        <w:t>r」包括利潤、股息、利息、租金和其他來自於資本的收入，而g</w:t>
      </w:r>
      <w:r>
        <w:rPr>
          <w:rFonts w:ascii="新細明體" w:hAnsi="新細明體" w:hint="eastAsia"/>
          <w:lang w:eastAsia="zh-TW"/>
        </w:rPr>
        <w:t>則</w:t>
      </w:r>
      <w:r w:rsidRPr="00A568B3">
        <w:rPr>
          <w:rFonts w:ascii="新細明體" w:hAnsi="新細明體" w:hint="eastAsia"/>
        </w:rPr>
        <w:t>以收入或產出來測量。當增長率低時，那麼財富傾向於通過「r</w:t>
      </w:r>
      <w:r>
        <w:rPr>
          <w:rFonts w:ascii="新細明體" w:hAnsi="新細明體" w:hint="eastAsia"/>
        </w:rPr>
        <w:t>」</w:t>
      </w:r>
      <w:r>
        <w:rPr>
          <w:rFonts w:ascii="新細明體" w:hAnsi="新細明體" w:hint="eastAsia"/>
          <w:lang w:eastAsia="zh-TW"/>
        </w:rPr>
        <w:t>並非</w:t>
      </w:r>
      <w:proofErr w:type="spellEnd"/>
      <w:r>
        <w:rPr>
          <w:rFonts w:ascii="新細明體" w:hAnsi="新細明體" w:hint="eastAsia"/>
        </w:rPr>
        <w:t>勞動來積累，且會更</w:t>
      </w:r>
      <w:r w:rsidRPr="00A568B3">
        <w:rPr>
          <w:rFonts w:ascii="新細明體" w:hAnsi="新細明體" w:hint="eastAsia"/>
        </w:rPr>
        <w:t xml:space="preserve">向最富的10%或1%的人群集中，加劇貧富不均。因此，兩極分化和貧富差距的原理可以用不等式r &gt; </w:t>
      </w:r>
      <w:proofErr w:type="spellStart"/>
      <w:r w:rsidRPr="00A568B3">
        <w:rPr>
          <w:rFonts w:ascii="新細明體" w:hAnsi="新細明體" w:hint="eastAsia"/>
        </w:rPr>
        <w:t>g</w:t>
      </w:r>
      <w:r>
        <w:rPr>
          <w:rFonts w:ascii="新細明體" w:hAnsi="新細明體" w:hint="eastAsia"/>
          <w:lang w:eastAsia="zh-TW"/>
        </w:rPr>
        <w:t>來說明</w:t>
      </w:r>
      <w:proofErr w:type="spellEnd"/>
      <w:r w:rsidRPr="00A568B3">
        <w:rPr>
          <w:rFonts w:ascii="新細明體" w:hAnsi="新細明體" w:hint="eastAsia"/>
        </w:rPr>
        <w:t>。</w:t>
      </w:r>
    </w:p>
  </w:footnote>
  <w:footnote w:id="30">
    <w:p w:rsidR="000F2944" w:rsidRPr="00781AB6" w:rsidRDefault="000F2944" w:rsidP="0051551F">
      <w:pPr>
        <w:pStyle w:val="afa"/>
        <w:ind w:left="44" w:hangingChars="20" w:hanging="44"/>
        <w:jc w:val="both"/>
        <w:rPr>
          <w:rFonts w:ascii="新細明體" w:hAnsi="新細明體"/>
          <w:lang w:eastAsia="zh-TW"/>
        </w:rPr>
      </w:pPr>
      <w:r w:rsidRPr="00781AB6">
        <w:rPr>
          <w:rStyle w:val="afc"/>
          <w:rFonts w:ascii="新細明體" w:hAnsi="新細明體"/>
        </w:rPr>
        <w:footnoteRef/>
      </w:r>
      <w:r>
        <w:rPr>
          <w:rFonts w:ascii="新細明體" w:hAnsi="新細明體" w:hint="eastAsia"/>
          <w:lang w:eastAsia="zh-TW"/>
        </w:rPr>
        <w:t>依據法國人權宣言第1</w:t>
      </w:r>
      <w:r w:rsidRPr="0051551F">
        <w:rPr>
          <w:rFonts w:ascii="新細明體" w:hAnsi="新細明體" w:hint="eastAsia"/>
          <w:lang w:eastAsia="zh-TW"/>
        </w:rPr>
        <w:t>條</w:t>
      </w:r>
      <w:r w:rsidRPr="00781AB6">
        <w:rPr>
          <w:rFonts w:ascii="新細明體" w:hAnsi="新細明體"/>
          <w:lang w:val="en-US"/>
        </w:rPr>
        <w:t>:</w:t>
      </w:r>
      <w:r w:rsidRPr="00781AB6">
        <w:rPr>
          <w:rFonts w:ascii="新細明體" w:hAnsi="新細明體" w:hint="eastAsia"/>
          <w:lang w:val="en-US"/>
        </w:rPr>
        <w:t>「</w:t>
      </w:r>
      <w:proofErr w:type="spellStart"/>
      <w:r w:rsidRPr="00781AB6">
        <w:rPr>
          <w:rFonts w:ascii="新細明體" w:hAnsi="新細明體" w:hint="eastAsia"/>
          <w:lang w:val="en-US"/>
        </w:rPr>
        <w:t>社會差距僅能基於共同福祉而存在</w:t>
      </w:r>
      <w:proofErr w:type="spellEnd"/>
      <w:r w:rsidRPr="00781AB6">
        <w:rPr>
          <w:rFonts w:ascii="新細明體" w:hAnsi="新細明體" w:hint="eastAsia"/>
          <w:lang w:val="en-US"/>
        </w:rPr>
        <w:t>。」</w:t>
      </w:r>
      <w:proofErr w:type="spellStart"/>
      <w:r w:rsidRPr="00781AB6">
        <w:rPr>
          <w:rFonts w:ascii="新細明體" w:hAnsi="新細明體" w:hint="eastAsia"/>
          <w:lang w:val="en-US"/>
        </w:rPr>
        <w:t>現代民主社會存立是以才能為依歸的世界觀，至少是期待或想像「人是由才能</w:t>
      </w:r>
      <w:r w:rsidRPr="00781AB6">
        <w:rPr>
          <w:rFonts w:ascii="新細明體" w:hAnsi="新細明體" w:hint="eastAsia"/>
          <w:lang w:val="en-US" w:eastAsia="zh-TW"/>
        </w:rPr>
        <w:t>來</w:t>
      </w:r>
      <w:r w:rsidRPr="00781AB6">
        <w:rPr>
          <w:rFonts w:ascii="新細明體" w:hAnsi="新細明體" w:hint="eastAsia"/>
          <w:lang w:val="en-US"/>
        </w:rPr>
        <w:t>決定報酬</w:t>
      </w:r>
      <w:proofErr w:type="spellEnd"/>
      <w:r w:rsidRPr="00781AB6">
        <w:rPr>
          <w:rFonts w:ascii="新細明體" w:hAnsi="新細明體" w:hint="eastAsia"/>
          <w:lang w:val="en-US"/>
        </w:rPr>
        <w:t>｣</w:t>
      </w:r>
      <w:r>
        <w:rPr>
          <w:rFonts w:ascii="新細明體" w:hAnsi="新細明體" w:hint="eastAsia"/>
          <w:lang w:val="en-US" w:eastAsia="zh-TW"/>
        </w:rPr>
        <w:t>-</w:t>
      </w:r>
      <w:proofErr w:type="spellStart"/>
      <w:r w:rsidRPr="00781AB6">
        <w:rPr>
          <w:rFonts w:ascii="新細明體" w:hAnsi="新細明體" w:hint="eastAsia"/>
          <w:lang w:val="en-US"/>
        </w:rPr>
        <w:t>亦即信賴分配不均是源自於個人才能與努力，而非血緣與收租。這樣的想法與期待在現代社會裡扮演</w:t>
      </w:r>
      <w:r w:rsidRPr="00781AB6">
        <w:rPr>
          <w:rFonts w:ascii="新細明體" w:hAnsi="新細明體" w:hint="eastAsia"/>
          <w:lang w:val="en-US" w:eastAsia="zh-TW"/>
        </w:rPr>
        <w:t>重要</w:t>
      </w:r>
      <w:proofErr w:type="spellEnd"/>
      <w:r w:rsidRPr="00781AB6">
        <w:rPr>
          <w:rFonts w:ascii="新細明體" w:hAnsi="新細明體" w:hint="eastAsia"/>
          <w:lang w:val="en-US"/>
        </w:rPr>
        <w:t>關鍵角色，其原因在於民主社會裡，外觀而言所有公民人人權利平等，然實際上每個人生活條件的分配卻是不均。為解決這樣衝突，必須確保社會分配</w:t>
      </w:r>
      <w:proofErr w:type="gramStart"/>
      <w:r w:rsidRPr="00781AB6">
        <w:rPr>
          <w:rFonts w:ascii="新細明體" w:hAnsi="新細明體" w:hint="eastAsia"/>
          <w:lang w:val="en-US"/>
        </w:rPr>
        <w:t>不均的現象</w:t>
      </w:r>
      <w:proofErr w:type="gramEnd"/>
      <w:r w:rsidRPr="00781AB6">
        <w:rPr>
          <w:rFonts w:ascii="新細明體" w:hAnsi="新細明體" w:hint="eastAsia"/>
          <w:lang w:val="en-US" w:eastAsia="zh-TW"/>
        </w:rPr>
        <w:t>至少</w:t>
      </w:r>
      <w:proofErr w:type="spellStart"/>
      <w:r w:rsidRPr="00781AB6">
        <w:rPr>
          <w:rFonts w:ascii="新細明體" w:hAnsi="新細明體" w:hint="eastAsia"/>
          <w:lang w:val="en-US"/>
        </w:rPr>
        <w:t>是符合理性與普遍原則，而非</w:t>
      </w:r>
      <w:r w:rsidRPr="00781AB6">
        <w:rPr>
          <w:rFonts w:ascii="新細明體" w:hAnsi="新細明體" w:hint="eastAsia"/>
          <w:lang w:val="en-US" w:eastAsia="zh-TW"/>
        </w:rPr>
        <w:t>取決於上帝骰子</w:t>
      </w:r>
      <w:proofErr w:type="spellEnd"/>
      <w:r w:rsidRPr="00781AB6">
        <w:rPr>
          <w:rFonts w:ascii="新細明體" w:hAnsi="新細明體" w:hint="eastAsia"/>
          <w:lang w:val="en-US"/>
        </w:rPr>
        <w:t>。</w:t>
      </w:r>
      <w:proofErr w:type="spellStart"/>
      <w:r w:rsidRPr="00781AB6">
        <w:rPr>
          <w:rFonts w:ascii="新細明體" w:hAnsi="新細明體" w:hint="eastAsia"/>
          <w:lang w:val="en-US"/>
        </w:rPr>
        <w:t>分配</w:t>
      </w:r>
      <w:proofErr w:type="gramStart"/>
      <w:r w:rsidRPr="00781AB6">
        <w:rPr>
          <w:rFonts w:ascii="新細明體" w:hAnsi="新細明體" w:hint="eastAsia"/>
          <w:lang w:val="en-US"/>
        </w:rPr>
        <w:t>不均的情況</w:t>
      </w:r>
      <w:proofErr w:type="gramEnd"/>
      <w:r w:rsidRPr="00781AB6">
        <w:rPr>
          <w:rFonts w:ascii="新細明體" w:hAnsi="新細明體" w:hint="eastAsia"/>
          <w:lang w:val="en-US"/>
        </w:rPr>
        <w:t>必須公平公正又適用於所有人</w:t>
      </w:r>
      <w:proofErr w:type="spellEnd"/>
      <w:r>
        <w:rPr>
          <w:rFonts w:ascii="新細明體" w:hAnsi="新細明體" w:hint="eastAsia"/>
          <w:lang w:val="en-US" w:eastAsia="zh-TW"/>
        </w:rPr>
        <w:t>-</w:t>
      </w:r>
      <w:proofErr w:type="spellStart"/>
      <w:r w:rsidRPr="00781AB6">
        <w:rPr>
          <w:rFonts w:ascii="新細明體" w:hAnsi="新細明體" w:hint="eastAsia"/>
          <w:lang w:val="en-US"/>
        </w:rPr>
        <w:t>至少在</w:t>
      </w:r>
      <w:r w:rsidRPr="00781AB6">
        <w:rPr>
          <w:rFonts w:ascii="新細明體" w:hAnsi="新細明體" w:hint="eastAsia"/>
          <w:lang w:val="en-US" w:eastAsia="zh-TW"/>
        </w:rPr>
        <w:t>理性</w:t>
      </w:r>
      <w:r w:rsidRPr="00781AB6">
        <w:rPr>
          <w:rFonts w:ascii="新細明體" w:hAnsi="新細明體" w:hint="eastAsia"/>
          <w:lang w:val="en-US"/>
        </w:rPr>
        <w:t>論述的範疇內應如此，並盡可能符合現實，</w:t>
      </w:r>
      <w:r w:rsidRPr="00781AB6">
        <w:rPr>
          <w:rFonts w:ascii="新細明體" w:hAnsi="新細明體" w:hint="eastAsia"/>
          <w:lang w:val="en-US" w:eastAsia="zh-TW"/>
        </w:rPr>
        <w:t>見托</w:t>
      </w:r>
      <w:proofErr w:type="gramStart"/>
      <w:r w:rsidRPr="00781AB6">
        <w:rPr>
          <w:rFonts w:ascii="新細明體" w:hAnsi="新細明體" w:hint="eastAsia"/>
          <w:lang w:val="en-US" w:eastAsia="zh-TW"/>
        </w:rPr>
        <w:t>瑪</w:t>
      </w:r>
      <w:proofErr w:type="gramEnd"/>
      <w:r w:rsidRPr="00781AB6">
        <w:rPr>
          <w:rFonts w:ascii="新細明體" w:hAnsi="新細明體" w:hint="eastAsia"/>
          <w:lang w:val="en-US" w:eastAsia="zh-TW"/>
        </w:rPr>
        <w:t>．皮凱提</w:t>
      </w:r>
      <w:proofErr w:type="spellEnd"/>
      <w:r w:rsidRPr="00781AB6">
        <w:rPr>
          <w:rFonts w:ascii="新細明體" w:hAnsi="新細明體" w:hint="eastAsia"/>
          <w:lang w:val="en-US" w:eastAsia="zh-TW"/>
        </w:rPr>
        <w:t>,</w:t>
      </w:r>
      <w:r w:rsidRPr="00781AB6">
        <w:rPr>
          <w:rFonts w:ascii="新細明體" w:hAnsi="新細明體"/>
        </w:rPr>
        <w:t xml:space="preserve"> </w:t>
      </w:r>
      <w:r w:rsidRPr="00781AB6">
        <w:rPr>
          <w:rFonts w:ascii="新細明體" w:hAnsi="新細明體"/>
          <w:lang w:val="en-US" w:eastAsia="zh-TW"/>
        </w:rPr>
        <w:t>Thomas Piketty</w:t>
      </w:r>
      <w:r w:rsidRPr="00781AB6">
        <w:rPr>
          <w:rFonts w:ascii="新細明體" w:hAnsi="新細明體" w:hint="eastAsia"/>
          <w:lang w:val="en-US" w:eastAsia="zh-TW"/>
        </w:rPr>
        <w:t>，</w:t>
      </w:r>
      <w:r>
        <w:rPr>
          <w:rFonts w:ascii="新細明體" w:hAnsi="新細明體" w:hint="eastAsia"/>
          <w:lang w:val="en-US" w:eastAsia="zh-TW"/>
        </w:rPr>
        <w:t>21</w:t>
      </w:r>
      <w:r w:rsidRPr="00781AB6">
        <w:rPr>
          <w:rFonts w:ascii="新細明體" w:hAnsi="新細明體" w:hint="eastAsia"/>
          <w:lang w:val="en-US" w:eastAsia="zh-TW"/>
        </w:rPr>
        <w:t>世紀資本論，</w:t>
      </w:r>
      <w:proofErr w:type="gramStart"/>
      <w:r w:rsidRPr="00781AB6">
        <w:rPr>
          <w:rFonts w:ascii="新細明體" w:hAnsi="新細明體" w:hint="eastAsia"/>
          <w:lang w:val="en-US" w:eastAsia="zh-TW"/>
        </w:rPr>
        <w:t>衛城出版</w:t>
      </w:r>
      <w:proofErr w:type="gramEnd"/>
      <w:r w:rsidRPr="00781AB6">
        <w:rPr>
          <w:rFonts w:ascii="新細明體" w:hAnsi="新細明體" w:hint="eastAsia"/>
          <w:lang w:val="en-US" w:eastAsia="zh-TW"/>
        </w:rPr>
        <w:t>，</w:t>
      </w:r>
      <w:r>
        <w:rPr>
          <w:rFonts w:ascii="新細明體" w:hAnsi="新細明體" w:hint="eastAsia"/>
          <w:lang w:val="en-US" w:eastAsia="zh-TW"/>
        </w:rPr>
        <w:t>西元</w:t>
      </w:r>
      <w:r w:rsidRPr="00781AB6">
        <w:rPr>
          <w:rFonts w:ascii="新細明體" w:hAnsi="新細明體"/>
          <w:lang w:val="en-US" w:eastAsia="zh-TW"/>
        </w:rPr>
        <w:t>2015</w:t>
      </w:r>
      <w:r>
        <w:rPr>
          <w:rFonts w:ascii="新細明體" w:hAnsi="新細明體" w:hint="eastAsia"/>
          <w:lang w:val="en-US" w:eastAsia="zh-TW"/>
        </w:rPr>
        <w:t>年</w:t>
      </w:r>
      <w:r w:rsidRPr="00781AB6">
        <w:rPr>
          <w:rFonts w:ascii="新細明體" w:hAnsi="新細明體"/>
          <w:lang w:val="en-US" w:eastAsia="zh-TW"/>
        </w:rPr>
        <w:t>6</w:t>
      </w:r>
      <w:r>
        <w:rPr>
          <w:rFonts w:ascii="新細明體" w:hAnsi="新細明體" w:hint="eastAsia"/>
          <w:lang w:val="en-US" w:eastAsia="zh-TW"/>
        </w:rPr>
        <w:t>月</w:t>
      </w:r>
      <w:r w:rsidRPr="00781AB6">
        <w:rPr>
          <w:rFonts w:ascii="新細明體" w:hAnsi="新細明體"/>
          <w:lang w:val="en-US" w:eastAsia="zh-TW"/>
        </w:rPr>
        <w:t>1</w:t>
      </w:r>
      <w:r>
        <w:rPr>
          <w:rFonts w:ascii="新細明體" w:hAnsi="新細明體" w:hint="eastAsia"/>
          <w:lang w:val="en-US" w:eastAsia="zh-TW"/>
        </w:rPr>
        <w:t>日</w:t>
      </w:r>
      <w:r w:rsidRPr="00781AB6">
        <w:rPr>
          <w:rFonts w:ascii="新細明體" w:hAnsi="新細明體" w:hint="eastAsia"/>
          <w:lang w:val="en-US" w:eastAsia="zh-TW"/>
        </w:rPr>
        <w:t>，頁415</w:t>
      </w:r>
      <w:r w:rsidRPr="00781AB6">
        <w:rPr>
          <w:rFonts w:ascii="新細明體" w:hAnsi="新細明體" w:hint="eastAsia"/>
          <w:lang w:val="en-US"/>
        </w:rPr>
        <w:t>。</w:t>
      </w:r>
    </w:p>
  </w:footnote>
  <w:footnote w:id="31">
    <w:p w:rsidR="000F2944" w:rsidRPr="00781AB6" w:rsidRDefault="000F2944" w:rsidP="0051551F">
      <w:pPr>
        <w:pStyle w:val="afa"/>
        <w:ind w:left="44" w:hangingChars="20" w:hanging="44"/>
        <w:jc w:val="both"/>
        <w:rPr>
          <w:rFonts w:ascii="新細明體" w:hAnsi="新細明體"/>
          <w:lang w:eastAsia="zh-TW"/>
        </w:rPr>
      </w:pPr>
      <w:r w:rsidRPr="00781AB6">
        <w:rPr>
          <w:rStyle w:val="afc"/>
          <w:rFonts w:ascii="新細明體" w:hAnsi="新細明體"/>
        </w:rPr>
        <w:footnoteRef/>
      </w:r>
      <w:r w:rsidRPr="00781AB6">
        <w:rPr>
          <w:rFonts w:ascii="新細明體" w:hAnsi="新細明體" w:hint="eastAsia"/>
          <w:lang w:eastAsia="zh-TW"/>
        </w:rPr>
        <w:t>托</w:t>
      </w:r>
      <w:proofErr w:type="gramStart"/>
      <w:r w:rsidRPr="00781AB6">
        <w:rPr>
          <w:rFonts w:ascii="新細明體" w:hAnsi="新細明體" w:hint="eastAsia"/>
          <w:lang w:eastAsia="zh-TW"/>
        </w:rPr>
        <w:t>瑪</w:t>
      </w:r>
      <w:proofErr w:type="gramEnd"/>
      <w:r w:rsidRPr="00781AB6">
        <w:rPr>
          <w:rFonts w:ascii="新細明體" w:hAnsi="新細明體" w:hint="eastAsia"/>
          <w:lang w:eastAsia="zh-TW"/>
        </w:rPr>
        <w:t>．皮凱提, Thomas Piketty</w:t>
      </w:r>
      <w:r>
        <w:rPr>
          <w:rFonts w:ascii="新細明體" w:hAnsi="新細明體" w:hint="eastAsia"/>
          <w:lang w:eastAsia="zh-TW"/>
        </w:rPr>
        <w:t>，21</w:t>
      </w:r>
      <w:r w:rsidRPr="00781AB6">
        <w:rPr>
          <w:rFonts w:ascii="新細明體" w:hAnsi="新細明體" w:hint="eastAsia"/>
          <w:lang w:eastAsia="zh-TW"/>
        </w:rPr>
        <w:t>世紀資本論，</w:t>
      </w:r>
      <w:proofErr w:type="gramStart"/>
      <w:r w:rsidRPr="00781AB6">
        <w:rPr>
          <w:rFonts w:ascii="新細明體" w:hAnsi="新細明體" w:hint="eastAsia"/>
          <w:lang w:eastAsia="zh-TW"/>
        </w:rPr>
        <w:t>衛城出版</w:t>
      </w:r>
      <w:proofErr w:type="gramEnd"/>
      <w:r w:rsidRPr="00781AB6">
        <w:rPr>
          <w:rFonts w:ascii="新細明體" w:hAnsi="新細明體" w:hint="eastAsia"/>
          <w:lang w:eastAsia="zh-TW"/>
        </w:rPr>
        <w:t>，</w:t>
      </w:r>
      <w:r>
        <w:rPr>
          <w:rFonts w:ascii="新細明體" w:hAnsi="新細明體" w:hint="eastAsia"/>
          <w:lang w:val="en-US" w:eastAsia="zh-TW"/>
        </w:rPr>
        <w:t>西元</w:t>
      </w:r>
      <w:r w:rsidRPr="00781AB6">
        <w:rPr>
          <w:rFonts w:ascii="新細明體" w:hAnsi="新細明體"/>
          <w:lang w:val="en-US" w:eastAsia="zh-TW"/>
        </w:rPr>
        <w:t>2015</w:t>
      </w:r>
      <w:r>
        <w:rPr>
          <w:rFonts w:ascii="新細明體" w:hAnsi="新細明體" w:hint="eastAsia"/>
          <w:lang w:val="en-US" w:eastAsia="zh-TW"/>
        </w:rPr>
        <w:t>年</w:t>
      </w:r>
      <w:r w:rsidRPr="00781AB6">
        <w:rPr>
          <w:rFonts w:ascii="新細明體" w:hAnsi="新細明體"/>
          <w:lang w:val="en-US" w:eastAsia="zh-TW"/>
        </w:rPr>
        <w:t>6</w:t>
      </w:r>
      <w:r>
        <w:rPr>
          <w:rFonts w:ascii="新細明體" w:hAnsi="新細明體" w:hint="eastAsia"/>
          <w:lang w:val="en-US" w:eastAsia="zh-TW"/>
        </w:rPr>
        <w:t>月</w:t>
      </w:r>
      <w:r w:rsidRPr="00781AB6">
        <w:rPr>
          <w:rFonts w:ascii="新細明體" w:hAnsi="新細明體"/>
          <w:lang w:val="en-US" w:eastAsia="zh-TW"/>
        </w:rPr>
        <w:t>1</w:t>
      </w:r>
      <w:r>
        <w:rPr>
          <w:rFonts w:ascii="新細明體" w:hAnsi="新細明體" w:hint="eastAsia"/>
          <w:lang w:val="en-US" w:eastAsia="zh-TW"/>
        </w:rPr>
        <w:t>日</w:t>
      </w:r>
      <w:r w:rsidRPr="00781AB6">
        <w:rPr>
          <w:rFonts w:ascii="新細明體" w:hAnsi="新細明體" w:hint="eastAsia"/>
          <w:lang w:eastAsia="zh-TW"/>
        </w:rPr>
        <w:t>，頁184-185。</w:t>
      </w:r>
    </w:p>
  </w:footnote>
  <w:footnote w:id="32">
    <w:p w:rsidR="000F2944" w:rsidRPr="00781AB6" w:rsidRDefault="000F2944" w:rsidP="0051551F">
      <w:pPr>
        <w:pStyle w:val="afa"/>
        <w:ind w:left="44" w:hangingChars="20" w:hanging="44"/>
        <w:jc w:val="both"/>
        <w:rPr>
          <w:rFonts w:ascii="新細明體" w:hAnsi="新細明體"/>
          <w:lang w:eastAsia="zh-TW"/>
        </w:rPr>
      </w:pPr>
      <w:r w:rsidRPr="00781AB6">
        <w:rPr>
          <w:rStyle w:val="afc"/>
          <w:rFonts w:ascii="新細明體" w:hAnsi="新細明體"/>
        </w:rPr>
        <w:footnoteRef/>
      </w:r>
      <w:proofErr w:type="spellStart"/>
      <w:r w:rsidRPr="00781AB6">
        <w:rPr>
          <w:rFonts w:ascii="新細明體" w:hAnsi="新細明體" w:hint="eastAsia"/>
        </w:rPr>
        <w:t>托瑪．皮凱提</w:t>
      </w:r>
      <w:r>
        <w:rPr>
          <w:rFonts w:ascii="新細明體" w:hAnsi="新細明體" w:hint="eastAsia"/>
        </w:rPr>
        <w:t>,</w:t>
      </w:r>
      <w:r w:rsidRPr="00781AB6">
        <w:rPr>
          <w:rFonts w:ascii="新細明體" w:hAnsi="新細明體" w:hint="eastAsia"/>
        </w:rPr>
        <w:t>Thomas</w:t>
      </w:r>
      <w:proofErr w:type="spellEnd"/>
      <w:r w:rsidRPr="00781AB6">
        <w:rPr>
          <w:rFonts w:ascii="新細明體" w:hAnsi="新細明體" w:hint="eastAsia"/>
        </w:rPr>
        <w:t xml:space="preserve"> Piketty，</w:t>
      </w:r>
      <w:r>
        <w:rPr>
          <w:rFonts w:ascii="新細明體" w:hAnsi="新細明體" w:hint="eastAsia"/>
          <w:lang w:eastAsia="zh-TW"/>
        </w:rPr>
        <w:t>21</w:t>
      </w:r>
      <w:r w:rsidRPr="00781AB6">
        <w:rPr>
          <w:rFonts w:ascii="新細明體" w:hAnsi="新細明體" w:hint="eastAsia"/>
          <w:lang w:eastAsia="zh-TW"/>
        </w:rPr>
        <w:t>世紀資本論</w:t>
      </w:r>
      <w:r w:rsidRPr="00781AB6">
        <w:rPr>
          <w:rFonts w:ascii="新細明體" w:hAnsi="新細明體" w:hint="eastAsia"/>
        </w:rPr>
        <w:t>，</w:t>
      </w:r>
      <w:proofErr w:type="spellStart"/>
      <w:proofErr w:type="gramStart"/>
      <w:r w:rsidRPr="00781AB6">
        <w:rPr>
          <w:rFonts w:ascii="新細明體" w:hAnsi="新細明體" w:hint="eastAsia"/>
        </w:rPr>
        <w:t>衛城出版</w:t>
      </w:r>
      <w:proofErr w:type="gramEnd"/>
      <w:r w:rsidRPr="00781AB6">
        <w:rPr>
          <w:rFonts w:ascii="新細明體" w:hAnsi="新細明體" w:hint="eastAsia"/>
        </w:rPr>
        <w:t>，</w:t>
      </w:r>
      <w:r>
        <w:rPr>
          <w:rFonts w:ascii="新細明體" w:hAnsi="新細明體" w:hint="eastAsia"/>
          <w:lang w:val="en-US" w:eastAsia="zh-TW"/>
        </w:rPr>
        <w:t>西元</w:t>
      </w:r>
      <w:proofErr w:type="spellEnd"/>
      <w:r w:rsidRPr="00781AB6">
        <w:rPr>
          <w:rFonts w:ascii="新細明體" w:hAnsi="新細明體"/>
          <w:lang w:val="en-US" w:eastAsia="zh-TW"/>
        </w:rPr>
        <w:t>2015</w:t>
      </w:r>
      <w:r>
        <w:rPr>
          <w:rFonts w:ascii="新細明體" w:hAnsi="新細明體" w:hint="eastAsia"/>
          <w:lang w:val="en-US" w:eastAsia="zh-TW"/>
        </w:rPr>
        <w:t>年</w:t>
      </w:r>
      <w:r w:rsidRPr="00781AB6">
        <w:rPr>
          <w:rFonts w:ascii="新細明體" w:hAnsi="新細明體"/>
          <w:lang w:val="en-US" w:eastAsia="zh-TW"/>
        </w:rPr>
        <w:t>6</w:t>
      </w:r>
      <w:r>
        <w:rPr>
          <w:rFonts w:ascii="新細明體" w:hAnsi="新細明體" w:hint="eastAsia"/>
          <w:lang w:val="en-US" w:eastAsia="zh-TW"/>
        </w:rPr>
        <w:t>月</w:t>
      </w:r>
      <w:r w:rsidRPr="00781AB6">
        <w:rPr>
          <w:rFonts w:ascii="新細明體" w:hAnsi="新細明體"/>
          <w:lang w:val="en-US" w:eastAsia="zh-TW"/>
        </w:rPr>
        <w:t>1</w:t>
      </w:r>
      <w:r>
        <w:rPr>
          <w:rFonts w:ascii="新細明體" w:hAnsi="新細明體" w:hint="eastAsia"/>
          <w:lang w:val="en-US" w:eastAsia="zh-TW"/>
        </w:rPr>
        <w:t>日</w:t>
      </w:r>
      <w:r w:rsidRPr="00781AB6">
        <w:rPr>
          <w:rFonts w:ascii="新細明體" w:hAnsi="新細明體" w:hint="eastAsia"/>
        </w:rPr>
        <w:t>，頁18</w:t>
      </w:r>
      <w:r w:rsidRPr="00781AB6">
        <w:rPr>
          <w:rFonts w:ascii="新細明體" w:hAnsi="新細明體" w:hint="eastAsia"/>
          <w:lang w:eastAsia="zh-TW"/>
        </w:rPr>
        <w:t>7</w:t>
      </w:r>
      <w:r w:rsidRPr="00781AB6">
        <w:rPr>
          <w:rFonts w:ascii="新細明體" w:hAnsi="新細明體" w:hint="eastAsia"/>
        </w:rPr>
        <w:t>-18</w:t>
      </w:r>
      <w:r w:rsidRPr="00781AB6">
        <w:rPr>
          <w:rFonts w:ascii="新細明體" w:hAnsi="新細明體" w:hint="eastAsia"/>
          <w:lang w:eastAsia="zh-TW"/>
        </w:rPr>
        <w:t>8。</w:t>
      </w:r>
    </w:p>
  </w:footnote>
  <w:footnote w:id="33">
    <w:p w:rsidR="000F2944" w:rsidRPr="00781AB6" w:rsidRDefault="000F2944" w:rsidP="0051551F">
      <w:pPr>
        <w:pStyle w:val="afa"/>
        <w:ind w:left="44" w:hangingChars="20" w:hanging="44"/>
        <w:jc w:val="both"/>
        <w:rPr>
          <w:rFonts w:ascii="新細明體" w:hAnsi="新細明體" w:cs="新細明體"/>
          <w:kern w:val="0"/>
          <w:lang w:eastAsia="zh-TW"/>
        </w:rPr>
      </w:pPr>
      <w:r w:rsidRPr="00781AB6">
        <w:rPr>
          <w:rStyle w:val="afc"/>
          <w:rFonts w:ascii="新細明體" w:hAnsi="新細明體"/>
        </w:rPr>
        <w:footnoteRef/>
      </w:r>
      <w:r w:rsidRPr="00781AB6">
        <w:rPr>
          <w:rFonts w:ascii="新細明體" w:hAnsi="新細明體" w:hint="eastAsia"/>
          <w:lang w:eastAsia="zh-TW"/>
        </w:rPr>
        <w:t>86</w:t>
      </w:r>
      <w:r w:rsidRPr="00781AB6">
        <w:rPr>
          <w:rFonts w:ascii="新細明體" w:hAnsi="新細明體" w:hint="eastAsia"/>
        </w:rPr>
        <w:t>年殷琪主導的臺灣高鐵團隊，以號稱「政府零出資」，</w:t>
      </w:r>
      <w:r w:rsidRPr="00781AB6">
        <w:rPr>
          <w:rFonts w:ascii="新細明體" w:hAnsi="新細明體" w:hint="eastAsia"/>
          <w:color w:val="000000"/>
          <w:lang w:val="en-US"/>
        </w:rPr>
        <w:t>擊敗劉泰英</w:t>
      </w:r>
      <w:r w:rsidRPr="00781AB6">
        <w:rPr>
          <w:rFonts w:ascii="新細明體" w:hAnsi="新細明體" w:hint="eastAsia"/>
          <w:lang w:val="en-US"/>
        </w:rPr>
        <w:t>主導的中華高鐵團隊</w:t>
      </w:r>
      <w:r w:rsidRPr="00781AB6">
        <w:rPr>
          <w:rFonts w:ascii="新細明體" w:hAnsi="新細明體" w:hint="eastAsia"/>
        </w:rPr>
        <w:t>（要求政府出資1,500億</w:t>
      </w:r>
      <w:r>
        <w:rPr>
          <w:rFonts w:ascii="新細明體" w:hAnsi="新細明體" w:hint="eastAsia"/>
          <w:lang w:eastAsia="zh-TW"/>
        </w:rPr>
        <w:t>元</w:t>
      </w:r>
      <w:r w:rsidRPr="00781AB6">
        <w:rPr>
          <w:rFonts w:ascii="新細明體" w:hAnsi="新細明體" w:hint="eastAsia"/>
        </w:rPr>
        <w:t>），取得高鐵</w:t>
      </w:r>
      <w:r>
        <w:rPr>
          <w:rFonts w:ascii="新細明體" w:hAnsi="新細明體" w:hint="eastAsia"/>
          <w:lang w:eastAsia="zh-TW"/>
        </w:rPr>
        <w:t>BOT</w:t>
      </w:r>
      <w:r w:rsidRPr="00781AB6">
        <w:rPr>
          <w:rFonts w:ascii="新細明體" w:hAnsi="新細明體" w:hint="eastAsia"/>
        </w:rPr>
        <w:t>案。</w:t>
      </w:r>
      <w:r w:rsidRPr="00781AB6">
        <w:rPr>
          <w:rFonts w:ascii="新細明體" w:hAnsi="新細明體" w:cs="新細明體" w:hint="eastAsia"/>
          <w:kern w:val="0"/>
        </w:rPr>
        <w:t>後政府、公營事業與其轉投資公司，政府捐助的財團法人等政府相關單位挹注資金，合計投資高鐵394億餘元，泛公股集團持股高鐵合計股權37.42%。</w:t>
      </w:r>
      <w:r w:rsidRPr="00781AB6">
        <w:rPr>
          <w:rFonts w:ascii="新細明體" w:hAnsi="新細明體" w:cs="新細明體" w:hint="eastAsia"/>
          <w:kern w:val="0"/>
          <w:lang w:eastAsia="zh-TW"/>
        </w:rPr>
        <w:t>88</w:t>
      </w:r>
      <w:r w:rsidRPr="00781AB6">
        <w:rPr>
          <w:rFonts w:ascii="新細明體" w:hAnsi="新細明體" w:cs="新細明體" w:hint="eastAsia"/>
          <w:kern w:val="0"/>
        </w:rPr>
        <w:t>年9月，高鐵通車2年8個月（原預估日運量28.9萬人次，目前實際運量為8</w:t>
      </w:r>
      <w:r w:rsidRPr="0051551F">
        <w:rPr>
          <w:rFonts w:ascii="新細明體" w:hAnsi="新細明體" w:hint="eastAsia"/>
        </w:rPr>
        <w:t>萬多人次而不如當初預計</w:t>
      </w:r>
      <w:r w:rsidRPr="00781AB6">
        <w:rPr>
          <w:rFonts w:ascii="新細明體" w:hAnsi="新細明體" w:cs="新細明體" w:hint="eastAsia"/>
          <w:kern w:val="0"/>
        </w:rPr>
        <w:t>），虧損2/3實收資本額，負債超過4,400億</w:t>
      </w:r>
      <w:r>
        <w:rPr>
          <w:rFonts w:ascii="新細明體" w:hAnsi="新細明體" w:cs="新細明體" w:hint="eastAsia"/>
          <w:kern w:val="0"/>
          <w:lang w:eastAsia="zh-TW"/>
        </w:rPr>
        <w:t>元</w:t>
      </w:r>
      <w:r w:rsidRPr="00781AB6">
        <w:rPr>
          <w:rFonts w:ascii="新細明體" w:hAnsi="新細明體" w:cs="新細明體" w:hint="eastAsia"/>
          <w:kern w:val="0"/>
        </w:rPr>
        <w:t>，財務虧損超過700億</w:t>
      </w:r>
      <w:r>
        <w:rPr>
          <w:rFonts w:ascii="新細明體" w:hAnsi="新細明體" w:cs="新細明體" w:hint="eastAsia"/>
          <w:kern w:val="0"/>
          <w:lang w:eastAsia="zh-TW"/>
        </w:rPr>
        <w:t>元</w:t>
      </w:r>
      <w:r w:rsidRPr="00781AB6">
        <w:rPr>
          <w:rFonts w:ascii="新細明體" w:hAnsi="新細明體" w:cs="新細明體" w:hint="eastAsia"/>
          <w:kern w:val="0"/>
        </w:rPr>
        <w:t>。</w:t>
      </w:r>
    </w:p>
    <w:p w:rsidR="000F2944" w:rsidRPr="00781AB6" w:rsidRDefault="000F2944" w:rsidP="00EE52DB">
      <w:pPr>
        <w:pStyle w:val="afa"/>
        <w:rPr>
          <w:rFonts w:ascii="新細明體" w:hAnsi="新細明體"/>
          <w:lang w:eastAsia="zh-TW"/>
        </w:rPr>
      </w:pPr>
    </w:p>
  </w:footnote>
  <w:footnote w:id="34">
    <w:p w:rsidR="000F2944" w:rsidRPr="00990DEB" w:rsidRDefault="000F2944" w:rsidP="00990DEB">
      <w:pPr>
        <w:pStyle w:val="afa"/>
        <w:ind w:left="44" w:hangingChars="20" w:hanging="44"/>
        <w:jc w:val="both"/>
        <w:rPr>
          <w:rFonts w:ascii="新細明體" w:hAnsi="新細明體"/>
          <w:lang w:eastAsia="zh-TW"/>
        </w:rPr>
      </w:pPr>
      <w:r w:rsidRPr="00781AB6">
        <w:rPr>
          <w:rStyle w:val="afc"/>
          <w:rFonts w:ascii="新細明體" w:hAnsi="新細明體"/>
        </w:rPr>
        <w:footnoteRef/>
      </w:r>
      <w:r w:rsidRPr="00781AB6">
        <w:rPr>
          <w:rFonts w:ascii="新細明體" w:hAnsi="新細明體"/>
          <w:lang w:val="en-US"/>
        </w:rPr>
        <w:t>【聯合報</w:t>
      </w:r>
      <w:r w:rsidRPr="00781AB6">
        <w:rPr>
          <w:rFonts w:ascii="新細明體" w:hAnsi="新細明體" w:cs="新細明體" w:hint="eastAsia"/>
          <w:lang w:val="en-US"/>
        </w:rPr>
        <w:t>╱</w:t>
      </w:r>
      <w:r w:rsidRPr="00781AB6">
        <w:rPr>
          <w:rFonts w:ascii="新細明體" w:hAnsi="新細明體"/>
          <w:lang w:val="en-US"/>
        </w:rPr>
        <w:t>賴英照】</w:t>
      </w:r>
      <w:r>
        <w:rPr>
          <w:rFonts w:ascii="新細明體" w:hAnsi="新細明體" w:hint="eastAsia"/>
          <w:lang w:val="en-US" w:eastAsia="zh-TW"/>
        </w:rPr>
        <w:t>103</w:t>
      </w:r>
      <w:r>
        <w:rPr>
          <w:rFonts w:ascii="新細明體" w:hAnsi="新細明體" w:hint="eastAsia"/>
          <w:lang w:val="en-US" w:eastAsia="zh-TW"/>
        </w:rPr>
        <w:t>年5月25日</w:t>
      </w:r>
      <w:r w:rsidRPr="00781AB6">
        <w:rPr>
          <w:rFonts w:ascii="新細明體" w:hAnsi="新細明體" w:hint="eastAsia"/>
          <w:lang w:val="en-US"/>
        </w:rPr>
        <w:t>：</w:t>
      </w:r>
      <w:r w:rsidRPr="00781AB6">
        <w:rPr>
          <w:rFonts w:ascii="新細明體" w:hAnsi="新細明體" w:hint="eastAsia"/>
        </w:rPr>
        <w:t>憲法的本文總共</w:t>
      </w:r>
      <w:r w:rsidRPr="00781AB6">
        <w:rPr>
          <w:rFonts w:ascii="新細明體" w:hAnsi="新細明體" w:hint="eastAsia"/>
          <w:lang w:eastAsia="zh-TW"/>
        </w:rPr>
        <w:t>175</w:t>
      </w:r>
      <w:r>
        <w:rPr>
          <w:rFonts w:ascii="新細明體" w:hAnsi="新細明體" w:hint="eastAsia"/>
        </w:rPr>
        <w:t>條，制憲先賢用了</w:t>
      </w:r>
      <w:r>
        <w:rPr>
          <w:rFonts w:ascii="新細明體" w:hAnsi="新細明體" w:hint="eastAsia"/>
          <w:lang w:eastAsia="zh-TW"/>
        </w:rPr>
        <w:t>10</w:t>
      </w:r>
      <w:r w:rsidRPr="00781AB6">
        <w:rPr>
          <w:rFonts w:ascii="新細明體" w:hAnsi="新細明體" w:hint="eastAsia"/>
        </w:rPr>
        <w:t>個條文（第</w:t>
      </w:r>
      <w:r w:rsidRPr="00781AB6">
        <w:rPr>
          <w:rFonts w:ascii="新細明體" w:hAnsi="新細明體" w:hint="eastAsia"/>
          <w:lang w:eastAsia="zh-TW"/>
        </w:rPr>
        <w:t>142</w:t>
      </w:r>
      <w:r w:rsidRPr="00781AB6">
        <w:rPr>
          <w:rFonts w:ascii="新細明體" w:hAnsi="新細明體" w:hint="eastAsia"/>
        </w:rPr>
        <w:t>條至第</w:t>
      </w:r>
      <w:r w:rsidRPr="00781AB6">
        <w:rPr>
          <w:rFonts w:ascii="新細明體" w:hAnsi="新細明體" w:hint="eastAsia"/>
          <w:lang w:eastAsia="zh-TW"/>
        </w:rPr>
        <w:t>151</w:t>
      </w:r>
      <w:r w:rsidRPr="00781AB6">
        <w:rPr>
          <w:rFonts w:ascii="新細明體" w:hAnsi="新細明體" w:hint="eastAsia"/>
        </w:rPr>
        <w:t>條），規定「國民經濟」政策，數量上超過行政（</w:t>
      </w:r>
      <w:r w:rsidRPr="00781AB6">
        <w:rPr>
          <w:rFonts w:ascii="新細明體" w:hAnsi="新細明體" w:hint="eastAsia"/>
          <w:lang w:eastAsia="zh-TW"/>
        </w:rPr>
        <w:t>9</w:t>
      </w:r>
      <w:r w:rsidRPr="00781AB6">
        <w:rPr>
          <w:rFonts w:ascii="新細明體" w:hAnsi="新細明體" w:hint="eastAsia"/>
        </w:rPr>
        <w:t>條）、司法（</w:t>
      </w:r>
      <w:r w:rsidRPr="00781AB6">
        <w:rPr>
          <w:rFonts w:ascii="新細明體" w:hAnsi="新細明體" w:hint="eastAsia"/>
          <w:lang w:eastAsia="zh-TW"/>
        </w:rPr>
        <w:t>6</w:t>
      </w:r>
      <w:r w:rsidRPr="00781AB6">
        <w:rPr>
          <w:rFonts w:ascii="新細明體" w:hAnsi="新細明體" w:hint="eastAsia"/>
        </w:rPr>
        <w:t>條）或考試（</w:t>
      </w:r>
      <w:r w:rsidRPr="00781AB6">
        <w:rPr>
          <w:rFonts w:ascii="新細明體" w:hAnsi="新細明體" w:hint="eastAsia"/>
          <w:lang w:eastAsia="zh-TW"/>
        </w:rPr>
        <w:t>7</w:t>
      </w:r>
      <w:r w:rsidRPr="00781AB6">
        <w:rPr>
          <w:rFonts w:ascii="新細明體" w:hAnsi="新細明體" w:hint="eastAsia"/>
        </w:rPr>
        <w:t>條）所用的條文，重要性不言可喻。但現實生活中，這些條文卻沒有發揮根本大法的作用。我們先看幾個條文：一、憲法第</w:t>
      </w:r>
      <w:r w:rsidRPr="00781AB6">
        <w:rPr>
          <w:rFonts w:ascii="新細明體" w:hAnsi="新細明體" w:hint="eastAsia"/>
          <w:lang w:eastAsia="zh-TW"/>
        </w:rPr>
        <w:t>144</w:t>
      </w:r>
      <w:r w:rsidRPr="00781AB6">
        <w:rPr>
          <w:rFonts w:ascii="新細明體" w:hAnsi="新細明體" w:hint="eastAsia"/>
        </w:rPr>
        <w:t>條：「公用事業及其他有</w:t>
      </w:r>
      <w:r w:rsidRPr="007E2762">
        <w:rPr>
          <w:rFonts w:hAnsi="標楷體" w:hint="eastAsia"/>
          <w:szCs w:val="32"/>
        </w:rPr>
        <w:t>獨</w:t>
      </w:r>
      <w:proofErr w:type="gramStart"/>
      <w:r w:rsidRPr="007E2762">
        <w:rPr>
          <w:rFonts w:hAnsi="標楷體" w:hint="eastAsia"/>
          <w:szCs w:val="32"/>
        </w:rPr>
        <w:t>佔</w:t>
      </w:r>
      <w:proofErr w:type="gramEnd"/>
      <w:r w:rsidRPr="00781AB6">
        <w:rPr>
          <w:rFonts w:ascii="新細明體" w:hAnsi="新細明體" w:hint="eastAsia"/>
        </w:rPr>
        <w:t>性之企業，以公營為原則，其經法律許可者，得由國民經營之</w:t>
      </w:r>
      <w:r>
        <w:rPr>
          <w:rFonts w:ascii="新細明體" w:hAnsi="新細明體" w:hint="eastAsia"/>
          <w:lang w:eastAsia="zh-TW"/>
        </w:rPr>
        <w:t>。</w:t>
      </w:r>
      <w:r>
        <w:rPr>
          <w:rFonts w:ascii="新細明體" w:hAnsi="新細明體" w:hint="eastAsia"/>
        </w:rPr>
        <w:t>」</w:t>
      </w:r>
      <w:r w:rsidRPr="00781AB6">
        <w:rPr>
          <w:rFonts w:ascii="新細明體" w:hAnsi="新細明體" w:hint="eastAsia"/>
        </w:rPr>
        <w:t>這種「公營原則、民營例外」的基本政策，目的在發達國家資本，節制私人資本。但實際情形卻是公營日漸消減，民營大幅成長，局勢全面翻轉。二、憲法第</w:t>
      </w:r>
      <w:r w:rsidRPr="00781AB6">
        <w:rPr>
          <w:rFonts w:ascii="新細明體" w:hAnsi="新細明體" w:hint="eastAsia"/>
          <w:lang w:eastAsia="zh-TW"/>
        </w:rPr>
        <w:t>143</w:t>
      </w:r>
      <w:r w:rsidRPr="00781AB6">
        <w:rPr>
          <w:rFonts w:ascii="新細明體" w:hAnsi="新細明體" w:hint="eastAsia"/>
        </w:rPr>
        <w:t>條第</w:t>
      </w:r>
      <w:r w:rsidRPr="00781AB6">
        <w:rPr>
          <w:rFonts w:ascii="新細明體" w:hAnsi="新細明體" w:hint="eastAsia"/>
          <w:lang w:eastAsia="zh-TW"/>
        </w:rPr>
        <w:t>3</w:t>
      </w:r>
      <w:r w:rsidRPr="00781AB6">
        <w:rPr>
          <w:rFonts w:ascii="新細明體" w:hAnsi="新細明體" w:hint="eastAsia"/>
        </w:rPr>
        <w:t>項：「土地價值非因施以勞力資本而增加者，應由國家徵收土地增值稅，歸人民共享之</w:t>
      </w:r>
      <w:r>
        <w:rPr>
          <w:rFonts w:ascii="新細明體" w:hAnsi="新細明體" w:hint="eastAsia"/>
          <w:lang w:eastAsia="zh-TW"/>
        </w:rPr>
        <w:t>。</w:t>
      </w:r>
      <w:r>
        <w:rPr>
          <w:rFonts w:ascii="新細明體" w:hAnsi="新細明體" w:hint="eastAsia"/>
        </w:rPr>
        <w:t>」</w:t>
      </w:r>
      <w:r w:rsidRPr="00781AB6">
        <w:rPr>
          <w:rFonts w:ascii="新細明體" w:hAnsi="新細明體" w:hint="eastAsia"/>
        </w:rPr>
        <w:t>依照這項漲價歸公的規定，土地增值稅的稅率，就自然漲價部分，應該是</w:t>
      </w:r>
      <w:r>
        <w:rPr>
          <w:rFonts w:ascii="新細明體" w:hAnsi="新細明體" w:hint="eastAsia"/>
          <w:lang w:eastAsia="zh-TW"/>
        </w:rPr>
        <w:t>100%</w:t>
      </w:r>
      <w:r w:rsidRPr="00781AB6">
        <w:rPr>
          <w:rFonts w:ascii="新細明體" w:hAnsi="新細明體" w:hint="eastAsia"/>
        </w:rPr>
        <w:t>。但</w:t>
      </w:r>
      <w:r w:rsidRPr="00781AB6">
        <w:rPr>
          <w:rFonts w:ascii="新細明體" w:hAnsi="新細明體" w:hint="eastAsia"/>
          <w:lang w:eastAsia="zh-TW"/>
        </w:rPr>
        <w:t>61</w:t>
      </w:r>
      <w:r w:rsidRPr="00781AB6">
        <w:rPr>
          <w:rFonts w:ascii="新細明體" w:hAnsi="新細明體" w:hint="eastAsia"/>
        </w:rPr>
        <w:t>年</w:t>
      </w:r>
      <w:r w:rsidRPr="00781AB6">
        <w:rPr>
          <w:rFonts w:ascii="新細明體" w:hAnsi="新細明體" w:hint="eastAsia"/>
          <w:lang w:eastAsia="zh-TW"/>
        </w:rPr>
        <w:t>11</w:t>
      </w:r>
      <w:r w:rsidRPr="00781AB6">
        <w:rPr>
          <w:rFonts w:ascii="新細明體" w:hAnsi="新細明體" w:hint="eastAsia"/>
        </w:rPr>
        <w:t>月以後，土地增值稅的稅率就不再是</w:t>
      </w:r>
      <w:r>
        <w:rPr>
          <w:rFonts w:ascii="新細明體" w:hAnsi="新細明體" w:hint="eastAsia"/>
          <w:lang w:eastAsia="zh-TW"/>
        </w:rPr>
        <w:t>100%</w:t>
      </w:r>
      <w:r>
        <w:rPr>
          <w:rFonts w:ascii="新細明體" w:hAnsi="新細明體" w:hint="eastAsia"/>
        </w:rPr>
        <w:t>。此外，以每年</w:t>
      </w:r>
      <w:r>
        <w:rPr>
          <w:rFonts w:ascii="新細明體" w:hAnsi="新細明體" w:hint="eastAsia"/>
          <w:lang w:eastAsia="zh-TW"/>
        </w:rPr>
        <w:t>1</w:t>
      </w:r>
      <w:r w:rsidRPr="00781AB6">
        <w:rPr>
          <w:rFonts w:ascii="新細明體" w:hAnsi="新細明體" w:hint="eastAsia"/>
        </w:rPr>
        <w:t>次的公告土地現值做為課稅基礎，年初買地，年尾賣地，雖然獲利豐厚，因為公告土地現值並未調整，所有的增值利益都不用課稅。這種情形，也不符合漲價歸公的憲法意旨。三、憲法第</w:t>
      </w:r>
      <w:r w:rsidRPr="00781AB6">
        <w:rPr>
          <w:rFonts w:ascii="新細明體" w:hAnsi="新細明體" w:hint="eastAsia"/>
          <w:lang w:eastAsia="zh-TW"/>
        </w:rPr>
        <w:t>150</w:t>
      </w:r>
      <w:r>
        <w:rPr>
          <w:rFonts w:ascii="新細明體" w:hAnsi="新細明體" w:hint="eastAsia"/>
        </w:rPr>
        <w:t>條：「</w:t>
      </w:r>
      <w:proofErr w:type="gramStart"/>
      <w:r>
        <w:rPr>
          <w:rFonts w:ascii="新細明體" w:hAnsi="新細明體" w:hint="eastAsia"/>
        </w:rPr>
        <w:t>國家應普設</w:t>
      </w:r>
      <w:proofErr w:type="gramEnd"/>
      <w:r>
        <w:rPr>
          <w:rFonts w:ascii="新細明體" w:hAnsi="新細明體" w:hint="eastAsia"/>
        </w:rPr>
        <w:t>平民金融機構，以救濟失業</w:t>
      </w:r>
      <w:r>
        <w:rPr>
          <w:rFonts w:ascii="新細明體" w:hAnsi="新細明體" w:hint="eastAsia"/>
          <w:lang w:eastAsia="zh-TW"/>
        </w:rPr>
        <w:t>。</w:t>
      </w:r>
      <w:r>
        <w:rPr>
          <w:rFonts w:ascii="新細明體" w:hAnsi="新細明體" w:hint="eastAsia"/>
        </w:rPr>
        <w:t>」</w:t>
      </w:r>
      <w:proofErr w:type="spellStart"/>
      <w:r>
        <w:rPr>
          <w:rFonts w:ascii="新細明體" w:hAnsi="新細明體" w:hint="eastAsia"/>
        </w:rPr>
        <w:t>根據制憲史料，</w:t>
      </w:r>
      <w:r>
        <w:rPr>
          <w:rFonts w:ascii="新細明體" w:hAnsi="新細明體" w:hint="eastAsia"/>
          <w:lang w:eastAsia="zh-TW"/>
        </w:rPr>
        <w:t>該</w:t>
      </w:r>
      <w:proofErr w:type="spellEnd"/>
      <w:r w:rsidRPr="00781AB6">
        <w:rPr>
          <w:rFonts w:ascii="新細明體" w:hAnsi="新細明體" w:hint="eastAsia"/>
        </w:rPr>
        <w:t>條的目的是為提供「平民之日常生活及經營小本農工商業之資金」；而所謂平民金融機構，是指信用合作社及當時流行的「公營當鋪」與官民合辦的「小本借貸處」等機構。但現實的情形是，信用合作社紛紛改為商業銀行。股份制的金控公司已成為金融業的主流，公司的目的是為營利，而不是協助失業的人創業。他們雖然雇用大量員工，但只雇用最能為股東賺錢的人，而不是為救濟長期失業的勞工。仿自德國威瑪憲法的國民經濟條款，本帶有社會主義的色彩。憲法第</w:t>
      </w:r>
      <w:r w:rsidRPr="00781AB6">
        <w:rPr>
          <w:rFonts w:ascii="新細明體" w:hAnsi="新細明體" w:hint="eastAsia"/>
          <w:lang w:eastAsia="zh-TW"/>
        </w:rPr>
        <w:t>142</w:t>
      </w:r>
      <w:r w:rsidRPr="00781AB6">
        <w:rPr>
          <w:rFonts w:ascii="新細明體" w:hAnsi="新細明體" w:hint="eastAsia"/>
        </w:rPr>
        <w:t>條明定，「國民經濟應以民生主義為基本原則，實施平均地權，節制資本，以謀國計民生</w:t>
      </w:r>
      <w:proofErr w:type="gramStart"/>
      <w:r w:rsidRPr="00781AB6">
        <w:rPr>
          <w:rFonts w:ascii="新細明體" w:hAnsi="新細明體" w:hint="eastAsia"/>
        </w:rPr>
        <w:t>之均足</w:t>
      </w:r>
      <w:proofErr w:type="gramEnd"/>
      <w:r>
        <w:rPr>
          <w:rFonts w:ascii="新細明體" w:hAnsi="新細明體" w:hint="eastAsia"/>
          <w:lang w:eastAsia="zh-TW"/>
        </w:rPr>
        <w:t>。</w:t>
      </w:r>
      <w:r>
        <w:rPr>
          <w:rFonts w:ascii="新細明體" w:hAnsi="新細明體" w:hint="eastAsia"/>
        </w:rPr>
        <w:t>」</w:t>
      </w:r>
      <w:r w:rsidRPr="00781AB6">
        <w:rPr>
          <w:rFonts w:ascii="新細明體" w:hAnsi="新細明體" w:hint="eastAsia"/>
        </w:rPr>
        <w:t>為實施平均地權，憲法規定土地屬於國民全體，礦產及天然力均屬國家所有；土地的分配應以扶植自耕農及自行使用土地人為原則，並應限制其經營面積。為節制資本，憲法要求私人財富及私營事業有妨害國計民生之平衡發展者，應以法律限制之；合作事業應受國家的獎勵，以防止私人資本壟斷。整體而言，憲法的經濟體制，強調政府公權力的干預，以建構均富的社會。另一方面，「經濟國際化，貿易自由化」一直是我國經濟發展的基本政策。不論是出於自發性的改革，或是因應對外經貿談判的壓力，貿易及外匯的管制逐步撤除，進口關稅大幅降低，交通、電信、金融、證券及其他產業陸續開放，經貿典章制度大幅修訂，希望和國際接軌，並且符合世界貿易組織（ＷＴＯ）的規範。本質上，這是資本主義的體制。這些情形，凸顯「憲法向左，政策往右」的落差。如何面對這個問題？早期有學者認為基本國策，「僅指示立法行政之目標，無強行之性質」。但晚近學者多持異議。實務上，司法院釋字第</w:t>
      </w:r>
      <w:r w:rsidRPr="00781AB6">
        <w:rPr>
          <w:rFonts w:ascii="新細明體" w:hAnsi="新細明體" w:hint="eastAsia"/>
          <w:lang w:eastAsia="zh-TW"/>
        </w:rPr>
        <w:t>426</w:t>
      </w:r>
      <w:r w:rsidRPr="00781AB6">
        <w:rPr>
          <w:rFonts w:ascii="新細明體" w:hAnsi="新細明體" w:hint="eastAsia"/>
        </w:rPr>
        <w:t>號解釋，以「經濟及科學技術發展，應與環境及生態保護兼籌並顧」的增修條文，做為徵收空氣汙染防制費的憲法依據，顯示基本國策條款並非具文</w:t>
      </w:r>
      <w:r>
        <w:rPr>
          <w:rFonts w:ascii="新細明體" w:hAnsi="新細明體" w:hint="eastAsia"/>
          <w:lang w:eastAsia="zh-TW"/>
        </w:rPr>
        <w:t>…</w:t>
      </w:r>
      <w:proofErr w:type="gramStart"/>
      <w:r>
        <w:rPr>
          <w:rFonts w:ascii="新細明體" w:hAnsi="新細明體" w:hint="eastAsia"/>
          <w:lang w:eastAsia="zh-TW"/>
        </w:rPr>
        <w:t>…</w:t>
      </w:r>
      <w:proofErr w:type="gramEnd"/>
      <w:r>
        <w:rPr>
          <w:rFonts w:ascii="新細明體" w:hAnsi="新細明體" w:hint="eastAsia"/>
          <w:lang w:eastAsia="zh-TW"/>
        </w:rPr>
        <w:t>，此</w:t>
      </w:r>
      <w:proofErr w:type="spellStart"/>
      <w:r w:rsidRPr="00781AB6">
        <w:rPr>
          <w:rFonts w:ascii="新細明體" w:hAnsi="新細明體" w:hint="eastAsia"/>
        </w:rPr>
        <w:t>可以和</w:t>
      </w:r>
      <w:r w:rsidRPr="00781AB6">
        <w:rPr>
          <w:rFonts w:ascii="新細明體" w:hAnsi="新細明體" w:hint="eastAsia"/>
          <w:lang w:eastAsia="zh-TW"/>
        </w:rPr>
        <w:t>皮凱提</w:t>
      </w:r>
      <w:proofErr w:type="spellEnd"/>
      <w:r w:rsidRPr="00781AB6">
        <w:rPr>
          <w:rFonts w:ascii="新細明體" w:hAnsi="新細明體" w:hint="eastAsia"/>
        </w:rPr>
        <w:t>（Thomas Piketty）「未受節制的私人資本拉大貧富差距」的觀點，相互參照；更可以為憲法節制資本的</w:t>
      </w:r>
      <w:r w:rsidRPr="006711C0">
        <w:rPr>
          <w:rFonts w:ascii="新細明體" w:hAnsi="新細明體" w:hint="eastAsia"/>
        </w:rPr>
        <w:t>國策，提供堅實的註腳。經過</w:t>
      </w:r>
      <w:r w:rsidRPr="006711C0">
        <w:rPr>
          <w:rFonts w:ascii="新細明體" w:hAnsi="新細明體" w:hint="eastAsia"/>
          <w:lang w:eastAsia="zh-TW"/>
        </w:rPr>
        <w:t>60</w:t>
      </w:r>
      <w:r w:rsidRPr="006711C0">
        <w:rPr>
          <w:rFonts w:ascii="新細明體" w:hAnsi="新細明體" w:hint="eastAsia"/>
        </w:rPr>
        <w:t>多年的演變，國民經濟條款的技術層面（例如土地增值稅的規定），雖有不合時宜之處，必須修憲解決。但憲法所標舉的均富社會，是制憲的核心價值，也是全民的願景。主政者應努力縮短貧富差距，消除「多而不均，富而不安」的疑慮，才能</w:t>
      </w:r>
      <w:r w:rsidRPr="00990DEB">
        <w:rPr>
          <w:rFonts w:ascii="新細明體" w:hAnsi="新細明體" w:hint="eastAsia"/>
        </w:rPr>
        <w:t>打造「青年住得起的臺灣」。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02935"/>
    <w:multiLevelType w:val="hybridMultilevel"/>
    <w:tmpl w:val="F208C97E"/>
    <w:lvl w:ilvl="0" w:tplc="E410EED4">
      <w:start w:val="1"/>
      <w:numFmt w:val="taiwaneseCountingThousand"/>
      <w:lvlText w:val="%1、"/>
      <w:lvlJc w:val="left"/>
      <w:pPr>
        <w:ind w:left="720" w:hanging="720"/>
      </w:pPr>
      <w:rPr>
        <w:rFonts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11C285C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9B57A55"/>
    <w:multiLevelType w:val="hybridMultilevel"/>
    <w:tmpl w:val="B1AA5816"/>
    <w:lvl w:ilvl="0" w:tplc="501CC3F8">
      <w:start w:val="1"/>
      <w:numFmt w:val="decimal"/>
      <w:lvlText w:val="%1."/>
      <w:lvlJc w:val="left"/>
      <w:pPr>
        <w:ind w:left="360" w:hanging="360"/>
      </w:pPr>
      <w:rPr>
        <w:rFonts w:ascii="標楷體"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4021DE"/>
    <w:multiLevelType w:val="hybridMultilevel"/>
    <w:tmpl w:val="603A0216"/>
    <w:lvl w:ilvl="0" w:tplc="C1D80554">
      <w:start w:val="1"/>
      <w:numFmt w:val="decimal"/>
      <w:lvlText w:val="%1."/>
      <w:lvlJc w:val="left"/>
      <w:pPr>
        <w:ind w:left="480" w:hanging="480"/>
      </w:pPr>
      <w:rPr>
        <w:rFonts w:hint="default"/>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D314828"/>
    <w:multiLevelType w:val="hybridMultilevel"/>
    <w:tmpl w:val="603A0216"/>
    <w:lvl w:ilvl="0" w:tplc="C1D80554">
      <w:start w:val="1"/>
      <w:numFmt w:val="decimal"/>
      <w:lvlText w:val="%1."/>
      <w:lvlJc w:val="left"/>
      <w:pPr>
        <w:ind w:left="480" w:hanging="480"/>
      </w:pPr>
      <w:rPr>
        <w:rFonts w:hint="default"/>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D8218F7"/>
    <w:multiLevelType w:val="hybridMultilevel"/>
    <w:tmpl w:val="CEDA19F6"/>
    <w:lvl w:ilvl="0" w:tplc="503A265A">
      <w:start w:val="1"/>
      <w:numFmt w:val="decimal"/>
      <w:lvlText w:val="%1."/>
      <w:lvlJc w:val="left"/>
      <w:pPr>
        <w:ind w:left="360" w:hanging="360"/>
      </w:pPr>
      <w:rPr>
        <w:rFonts w:ascii="標楷體"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9"/>
  </w:num>
  <w:num w:numId="23">
    <w:abstractNumId w:val="6"/>
  </w:num>
  <w:num w:numId="24">
    <w:abstractNumId w:val="10"/>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1"/>
  </w:num>
  <w:num w:numId="29">
    <w:abstractNumId w:val="11"/>
  </w:num>
  <w:num w:numId="30">
    <w:abstractNumId w:val="8"/>
  </w:num>
  <w:num w:numId="31">
    <w:abstractNumId w:val="8"/>
  </w:num>
  <w:num w:numId="32">
    <w:abstractNumId w:val="2"/>
  </w:num>
  <w:num w:numId="33">
    <w:abstractNumId w:val="0"/>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5"/>
  </w:num>
  <w:num w:numId="42">
    <w:abstractNumId w:val="12"/>
  </w:num>
  <w:num w:numId="43">
    <w:abstractNumId w:val="4"/>
  </w:num>
  <w:num w:numId="44">
    <w:abstractNumId w:val="7"/>
  </w:num>
  <w:num w:numId="45">
    <w:abstractNumId w:val="2"/>
  </w:num>
  <w:num w:numId="46">
    <w:abstractNumId w:val="2"/>
  </w:num>
  <w:num w:numId="4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1"/>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567"/>
    <w:rsid w:val="00002386"/>
    <w:rsid w:val="00006961"/>
    <w:rsid w:val="00006A05"/>
    <w:rsid w:val="00007960"/>
    <w:rsid w:val="0001115A"/>
    <w:rsid w:val="000112BF"/>
    <w:rsid w:val="00011655"/>
    <w:rsid w:val="00012233"/>
    <w:rsid w:val="000132DF"/>
    <w:rsid w:val="00013346"/>
    <w:rsid w:val="000146A1"/>
    <w:rsid w:val="000171CD"/>
    <w:rsid w:val="00017318"/>
    <w:rsid w:val="000246F7"/>
    <w:rsid w:val="00026C24"/>
    <w:rsid w:val="00026D9E"/>
    <w:rsid w:val="00027940"/>
    <w:rsid w:val="00027DB6"/>
    <w:rsid w:val="0003022B"/>
    <w:rsid w:val="000302CE"/>
    <w:rsid w:val="000303C2"/>
    <w:rsid w:val="0003114D"/>
    <w:rsid w:val="000311F0"/>
    <w:rsid w:val="00036D76"/>
    <w:rsid w:val="00037CB2"/>
    <w:rsid w:val="000406EB"/>
    <w:rsid w:val="00042014"/>
    <w:rsid w:val="00042922"/>
    <w:rsid w:val="00043184"/>
    <w:rsid w:val="000445D7"/>
    <w:rsid w:val="00046075"/>
    <w:rsid w:val="00046A8B"/>
    <w:rsid w:val="0004710E"/>
    <w:rsid w:val="00047FC1"/>
    <w:rsid w:val="00052F64"/>
    <w:rsid w:val="000541CA"/>
    <w:rsid w:val="00057550"/>
    <w:rsid w:val="00057F32"/>
    <w:rsid w:val="000601BB"/>
    <w:rsid w:val="00062A25"/>
    <w:rsid w:val="00065E2D"/>
    <w:rsid w:val="00067312"/>
    <w:rsid w:val="00067F6A"/>
    <w:rsid w:val="00070980"/>
    <w:rsid w:val="0007160E"/>
    <w:rsid w:val="00072A95"/>
    <w:rsid w:val="00072EB9"/>
    <w:rsid w:val="000735F7"/>
    <w:rsid w:val="00073CB5"/>
    <w:rsid w:val="00073FBC"/>
    <w:rsid w:val="0007425C"/>
    <w:rsid w:val="00074D42"/>
    <w:rsid w:val="000768F2"/>
    <w:rsid w:val="00077553"/>
    <w:rsid w:val="00081838"/>
    <w:rsid w:val="00082279"/>
    <w:rsid w:val="00083EE6"/>
    <w:rsid w:val="000851A2"/>
    <w:rsid w:val="00085A44"/>
    <w:rsid w:val="00085C07"/>
    <w:rsid w:val="000864FC"/>
    <w:rsid w:val="00087217"/>
    <w:rsid w:val="00090593"/>
    <w:rsid w:val="00091AEB"/>
    <w:rsid w:val="0009352E"/>
    <w:rsid w:val="00096B96"/>
    <w:rsid w:val="000970F2"/>
    <w:rsid w:val="000A2721"/>
    <w:rsid w:val="000A2C97"/>
    <w:rsid w:val="000A2E56"/>
    <w:rsid w:val="000A2F3F"/>
    <w:rsid w:val="000A34C5"/>
    <w:rsid w:val="000A543C"/>
    <w:rsid w:val="000B0B4A"/>
    <w:rsid w:val="000B279A"/>
    <w:rsid w:val="000B37DF"/>
    <w:rsid w:val="000B4847"/>
    <w:rsid w:val="000B4E89"/>
    <w:rsid w:val="000B4FB7"/>
    <w:rsid w:val="000B5CD5"/>
    <w:rsid w:val="000B5EE9"/>
    <w:rsid w:val="000B5EF2"/>
    <w:rsid w:val="000B61D2"/>
    <w:rsid w:val="000B6E79"/>
    <w:rsid w:val="000B70A7"/>
    <w:rsid w:val="000B73DD"/>
    <w:rsid w:val="000B759F"/>
    <w:rsid w:val="000C0750"/>
    <w:rsid w:val="000C14DB"/>
    <w:rsid w:val="000C21E1"/>
    <w:rsid w:val="000C3DE6"/>
    <w:rsid w:val="000C495F"/>
    <w:rsid w:val="000C4B9D"/>
    <w:rsid w:val="000C5E90"/>
    <w:rsid w:val="000D190C"/>
    <w:rsid w:val="000D2BC8"/>
    <w:rsid w:val="000D34D7"/>
    <w:rsid w:val="000D4B29"/>
    <w:rsid w:val="000D50B9"/>
    <w:rsid w:val="000D513E"/>
    <w:rsid w:val="000E03C8"/>
    <w:rsid w:val="000E2F2C"/>
    <w:rsid w:val="000E3528"/>
    <w:rsid w:val="000E4213"/>
    <w:rsid w:val="000E6431"/>
    <w:rsid w:val="000E7038"/>
    <w:rsid w:val="000E74FF"/>
    <w:rsid w:val="000F1357"/>
    <w:rsid w:val="000F21A5"/>
    <w:rsid w:val="000F2944"/>
    <w:rsid w:val="000F3BD0"/>
    <w:rsid w:val="000F4ED2"/>
    <w:rsid w:val="000F5692"/>
    <w:rsid w:val="000F5CA3"/>
    <w:rsid w:val="000F6C36"/>
    <w:rsid w:val="00101A30"/>
    <w:rsid w:val="00102389"/>
    <w:rsid w:val="00102B9F"/>
    <w:rsid w:val="001030FE"/>
    <w:rsid w:val="001055DF"/>
    <w:rsid w:val="00111285"/>
    <w:rsid w:val="00112637"/>
    <w:rsid w:val="00112ABC"/>
    <w:rsid w:val="00112E87"/>
    <w:rsid w:val="00114B10"/>
    <w:rsid w:val="00115965"/>
    <w:rsid w:val="00116EB7"/>
    <w:rsid w:val="001170D4"/>
    <w:rsid w:val="0012001E"/>
    <w:rsid w:val="00123FBB"/>
    <w:rsid w:val="00126A55"/>
    <w:rsid w:val="00130BE5"/>
    <w:rsid w:val="001316E3"/>
    <w:rsid w:val="0013398A"/>
    <w:rsid w:val="00133F08"/>
    <w:rsid w:val="001345E6"/>
    <w:rsid w:val="0013545D"/>
    <w:rsid w:val="0013639C"/>
    <w:rsid w:val="00136B48"/>
    <w:rsid w:val="00137523"/>
    <w:rsid w:val="001378B0"/>
    <w:rsid w:val="0014071E"/>
    <w:rsid w:val="0014254B"/>
    <w:rsid w:val="00142A55"/>
    <w:rsid w:val="00142E00"/>
    <w:rsid w:val="001451BC"/>
    <w:rsid w:val="00145692"/>
    <w:rsid w:val="001476A9"/>
    <w:rsid w:val="00152793"/>
    <w:rsid w:val="00153B7E"/>
    <w:rsid w:val="001545A9"/>
    <w:rsid w:val="001559B3"/>
    <w:rsid w:val="00156E7A"/>
    <w:rsid w:val="00160300"/>
    <w:rsid w:val="00160684"/>
    <w:rsid w:val="00160B6E"/>
    <w:rsid w:val="00160E49"/>
    <w:rsid w:val="00161E5C"/>
    <w:rsid w:val="001637C7"/>
    <w:rsid w:val="0016480E"/>
    <w:rsid w:val="00164B28"/>
    <w:rsid w:val="00165BE0"/>
    <w:rsid w:val="0016664F"/>
    <w:rsid w:val="00170FDF"/>
    <w:rsid w:val="00173A54"/>
    <w:rsid w:val="00174297"/>
    <w:rsid w:val="0017492B"/>
    <w:rsid w:val="00174DB2"/>
    <w:rsid w:val="00177CAF"/>
    <w:rsid w:val="00180E06"/>
    <w:rsid w:val="0018179F"/>
    <w:rsid w:val="001817B3"/>
    <w:rsid w:val="0018191D"/>
    <w:rsid w:val="00182F4E"/>
    <w:rsid w:val="00183014"/>
    <w:rsid w:val="00184C1F"/>
    <w:rsid w:val="001929DE"/>
    <w:rsid w:val="00193919"/>
    <w:rsid w:val="001959C2"/>
    <w:rsid w:val="00196929"/>
    <w:rsid w:val="001A2878"/>
    <w:rsid w:val="001A51E3"/>
    <w:rsid w:val="001A6CDD"/>
    <w:rsid w:val="001A6EDA"/>
    <w:rsid w:val="001A789E"/>
    <w:rsid w:val="001A7968"/>
    <w:rsid w:val="001B007F"/>
    <w:rsid w:val="001B22DB"/>
    <w:rsid w:val="001B22E9"/>
    <w:rsid w:val="001B2E98"/>
    <w:rsid w:val="001B3167"/>
    <w:rsid w:val="001B3483"/>
    <w:rsid w:val="001B3C1E"/>
    <w:rsid w:val="001B4494"/>
    <w:rsid w:val="001C0B20"/>
    <w:rsid w:val="001C0D8B"/>
    <w:rsid w:val="001C0DA8"/>
    <w:rsid w:val="001C2159"/>
    <w:rsid w:val="001C5002"/>
    <w:rsid w:val="001C549C"/>
    <w:rsid w:val="001C5891"/>
    <w:rsid w:val="001C6CB3"/>
    <w:rsid w:val="001C6E66"/>
    <w:rsid w:val="001C7496"/>
    <w:rsid w:val="001D44E2"/>
    <w:rsid w:val="001D4AD7"/>
    <w:rsid w:val="001E09C2"/>
    <w:rsid w:val="001E0C32"/>
    <w:rsid w:val="001E0D8A"/>
    <w:rsid w:val="001E0FEA"/>
    <w:rsid w:val="001E5320"/>
    <w:rsid w:val="001E67BA"/>
    <w:rsid w:val="001E74C2"/>
    <w:rsid w:val="001E7D2C"/>
    <w:rsid w:val="001F00E3"/>
    <w:rsid w:val="001F1BC2"/>
    <w:rsid w:val="001F358E"/>
    <w:rsid w:val="001F5719"/>
    <w:rsid w:val="001F5A48"/>
    <w:rsid w:val="001F602B"/>
    <w:rsid w:val="001F6260"/>
    <w:rsid w:val="001F6C1D"/>
    <w:rsid w:val="001F7176"/>
    <w:rsid w:val="00200007"/>
    <w:rsid w:val="0020079E"/>
    <w:rsid w:val="00200B13"/>
    <w:rsid w:val="00201646"/>
    <w:rsid w:val="002030A5"/>
    <w:rsid w:val="00203131"/>
    <w:rsid w:val="0020354A"/>
    <w:rsid w:val="002037C0"/>
    <w:rsid w:val="00205A51"/>
    <w:rsid w:val="00207612"/>
    <w:rsid w:val="00207895"/>
    <w:rsid w:val="002101F7"/>
    <w:rsid w:val="00212B20"/>
    <w:rsid w:val="00212E88"/>
    <w:rsid w:val="00213C9C"/>
    <w:rsid w:val="00214AF5"/>
    <w:rsid w:val="002154CF"/>
    <w:rsid w:val="0022009E"/>
    <w:rsid w:val="00220458"/>
    <w:rsid w:val="00220E8D"/>
    <w:rsid w:val="00221127"/>
    <w:rsid w:val="00222A3E"/>
    <w:rsid w:val="00223241"/>
    <w:rsid w:val="0022425C"/>
    <w:rsid w:val="002246DE"/>
    <w:rsid w:val="002308E1"/>
    <w:rsid w:val="002337BA"/>
    <w:rsid w:val="0023457C"/>
    <w:rsid w:val="00234659"/>
    <w:rsid w:val="00234F56"/>
    <w:rsid w:val="002356E9"/>
    <w:rsid w:val="00235A5D"/>
    <w:rsid w:val="002404E5"/>
    <w:rsid w:val="00243241"/>
    <w:rsid w:val="00243445"/>
    <w:rsid w:val="00243EAA"/>
    <w:rsid w:val="0024577B"/>
    <w:rsid w:val="00245C62"/>
    <w:rsid w:val="00247071"/>
    <w:rsid w:val="00250837"/>
    <w:rsid w:val="00250EF8"/>
    <w:rsid w:val="00251722"/>
    <w:rsid w:val="002521C3"/>
    <w:rsid w:val="00252BC4"/>
    <w:rsid w:val="00252EA0"/>
    <w:rsid w:val="00253807"/>
    <w:rsid w:val="00254014"/>
    <w:rsid w:val="00254637"/>
    <w:rsid w:val="00256D29"/>
    <w:rsid w:val="002607C2"/>
    <w:rsid w:val="00263739"/>
    <w:rsid w:val="002640E2"/>
    <w:rsid w:val="0026504D"/>
    <w:rsid w:val="002655E2"/>
    <w:rsid w:val="0026691D"/>
    <w:rsid w:val="0026737B"/>
    <w:rsid w:val="0027043B"/>
    <w:rsid w:val="0027051C"/>
    <w:rsid w:val="002711FD"/>
    <w:rsid w:val="00273A2F"/>
    <w:rsid w:val="00274574"/>
    <w:rsid w:val="00277C75"/>
    <w:rsid w:val="00280077"/>
    <w:rsid w:val="00280986"/>
    <w:rsid w:val="00281ECE"/>
    <w:rsid w:val="002826F6"/>
    <w:rsid w:val="002831C7"/>
    <w:rsid w:val="002840C6"/>
    <w:rsid w:val="00286817"/>
    <w:rsid w:val="00291897"/>
    <w:rsid w:val="00292FA0"/>
    <w:rsid w:val="002937C6"/>
    <w:rsid w:val="00294531"/>
    <w:rsid w:val="00295174"/>
    <w:rsid w:val="00295A5D"/>
    <w:rsid w:val="00296172"/>
    <w:rsid w:val="00296891"/>
    <w:rsid w:val="00296B92"/>
    <w:rsid w:val="002972B2"/>
    <w:rsid w:val="002A2C22"/>
    <w:rsid w:val="002A3F95"/>
    <w:rsid w:val="002A6C2A"/>
    <w:rsid w:val="002B02EB"/>
    <w:rsid w:val="002B052C"/>
    <w:rsid w:val="002B12D5"/>
    <w:rsid w:val="002B1B7C"/>
    <w:rsid w:val="002B1D7B"/>
    <w:rsid w:val="002B3AEB"/>
    <w:rsid w:val="002B4F9D"/>
    <w:rsid w:val="002B5715"/>
    <w:rsid w:val="002B6EEC"/>
    <w:rsid w:val="002C0602"/>
    <w:rsid w:val="002C1860"/>
    <w:rsid w:val="002C5946"/>
    <w:rsid w:val="002C5C80"/>
    <w:rsid w:val="002C685B"/>
    <w:rsid w:val="002D0B7B"/>
    <w:rsid w:val="002D1E42"/>
    <w:rsid w:val="002D3B2F"/>
    <w:rsid w:val="002D5C16"/>
    <w:rsid w:val="002D6558"/>
    <w:rsid w:val="002D664E"/>
    <w:rsid w:val="002E4D92"/>
    <w:rsid w:val="002E7B0A"/>
    <w:rsid w:val="002F0019"/>
    <w:rsid w:val="002F1BDC"/>
    <w:rsid w:val="002F2C1D"/>
    <w:rsid w:val="002F3DFF"/>
    <w:rsid w:val="002F5E05"/>
    <w:rsid w:val="002F6891"/>
    <w:rsid w:val="00303B6A"/>
    <w:rsid w:val="00305695"/>
    <w:rsid w:val="00306AB2"/>
    <w:rsid w:val="00311354"/>
    <w:rsid w:val="00311636"/>
    <w:rsid w:val="0031193C"/>
    <w:rsid w:val="00312613"/>
    <w:rsid w:val="00314B8E"/>
    <w:rsid w:val="00315A16"/>
    <w:rsid w:val="00315EDA"/>
    <w:rsid w:val="00317053"/>
    <w:rsid w:val="00320156"/>
    <w:rsid w:val="00320C72"/>
    <w:rsid w:val="0032109C"/>
    <w:rsid w:val="003218E8"/>
    <w:rsid w:val="0032247B"/>
    <w:rsid w:val="00322B45"/>
    <w:rsid w:val="00323359"/>
    <w:rsid w:val="00323809"/>
    <w:rsid w:val="00323D41"/>
    <w:rsid w:val="00325414"/>
    <w:rsid w:val="00326442"/>
    <w:rsid w:val="003302F1"/>
    <w:rsid w:val="00330CDE"/>
    <w:rsid w:val="0033135E"/>
    <w:rsid w:val="0033148B"/>
    <w:rsid w:val="00331C62"/>
    <w:rsid w:val="00331D1C"/>
    <w:rsid w:val="00332B1A"/>
    <w:rsid w:val="00334CEF"/>
    <w:rsid w:val="00334F79"/>
    <w:rsid w:val="00337E28"/>
    <w:rsid w:val="0034207C"/>
    <w:rsid w:val="00342F91"/>
    <w:rsid w:val="00343327"/>
    <w:rsid w:val="003444C3"/>
    <w:rsid w:val="0034470E"/>
    <w:rsid w:val="00345CA2"/>
    <w:rsid w:val="003469C2"/>
    <w:rsid w:val="00350854"/>
    <w:rsid w:val="00350FEE"/>
    <w:rsid w:val="00352DB0"/>
    <w:rsid w:val="00353451"/>
    <w:rsid w:val="0035358A"/>
    <w:rsid w:val="003568B7"/>
    <w:rsid w:val="00356A21"/>
    <w:rsid w:val="00356CAA"/>
    <w:rsid w:val="00356E96"/>
    <w:rsid w:val="00357077"/>
    <w:rsid w:val="00360952"/>
    <w:rsid w:val="00360E0C"/>
    <w:rsid w:val="00361063"/>
    <w:rsid w:val="0036521E"/>
    <w:rsid w:val="0036590F"/>
    <w:rsid w:val="00366EA1"/>
    <w:rsid w:val="0037094A"/>
    <w:rsid w:val="00370D99"/>
    <w:rsid w:val="00371ED3"/>
    <w:rsid w:val="00372FFC"/>
    <w:rsid w:val="0037728A"/>
    <w:rsid w:val="00377724"/>
    <w:rsid w:val="0038092F"/>
    <w:rsid w:val="00380B7D"/>
    <w:rsid w:val="00381347"/>
    <w:rsid w:val="00381A99"/>
    <w:rsid w:val="00381BDB"/>
    <w:rsid w:val="003829C2"/>
    <w:rsid w:val="003830B2"/>
    <w:rsid w:val="00384724"/>
    <w:rsid w:val="00385029"/>
    <w:rsid w:val="003850F6"/>
    <w:rsid w:val="0038586E"/>
    <w:rsid w:val="00386B40"/>
    <w:rsid w:val="003919B7"/>
    <w:rsid w:val="00391D57"/>
    <w:rsid w:val="00392292"/>
    <w:rsid w:val="003939C6"/>
    <w:rsid w:val="00393DF7"/>
    <w:rsid w:val="00394B8E"/>
    <w:rsid w:val="003A0604"/>
    <w:rsid w:val="003A2A53"/>
    <w:rsid w:val="003A5927"/>
    <w:rsid w:val="003B047D"/>
    <w:rsid w:val="003B1017"/>
    <w:rsid w:val="003B363F"/>
    <w:rsid w:val="003B3823"/>
    <w:rsid w:val="003B3C07"/>
    <w:rsid w:val="003B5CDB"/>
    <w:rsid w:val="003B6775"/>
    <w:rsid w:val="003B687B"/>
    <w:rsid w:val="003B77C9"/>
    <w:rsid w:val="003B793D"/>
    <w:rsid w:val="003C1283"/>
    <w:rsid w:val="003C1735"/>
    <w:rsid w:val="003C375E"/>
    <w:rsid w:val="003C48E2"/>
    <w:rsid w:val="003C595B"/>
    <w:rsid w:val="003C59DB"/>
    <w:rsid w:val="003C5FE2"/>
    <w:rsid w:val="003D05FB"/>
    <w:rsid w:val="003D0AE9"/>
    <w:rsid w:val="003D156E"/>
    <w:rsid w:val="003D1B16"/>
    <w:rsid w:val="003D45BF"/>
    <w:rsid w:val="003D46FE"/>
    <w:rsid w:val="003D4EAA"/>
    <w:rsid w:val="003D508A"/>
    <w:rsid w:val="003D537F"/>
    <w:rsid w:val="003D6A2E"/>
    <w:rsid w:val="003D7B75"/>
    <w:rsid w:val="003E0208"/>
    <w:rsid w:val="003E0894"/>
    <w:rsid w:val="003E1A15"/>
    <w:rsid w:val="003E28C4"/>
    <w:rsid w:val="003E33BA"/>
    <w:rsid w:val="003E4B57"/>
    <w:rsid w:val="003E6EE4"/>
    <w:rsid w:val="003F0FE4"/>
    <w:rsid w:val="003F1902"/>
    <w:rsid w:val="003F27E1"/>
    <w:rsid w:val="003F4219"/>
    <w:rsid w:val="003F437A"/>
    <w:rsid w:val="003F5C2B"/>
    <w:rsid w:val="004023E9"/>
    <w:rsid w:val="00404330"/>
    <w:rsid w:val="0040454A"/>
    <w:rsid w:val="004049D3"/>
    <w:rsid w:val="004073F7"/>
    <w:rsid w:val="00407EFC"/>
    <w:rsid w:val="0041397B"/>
    <w:rsid w:val="00413F83"/>
    <w:rsid w:val="0041490C"/>
    <w:rsid w:val="00416191"/>
    <w:rsid w:val="00416721"/>
    <w:rsid w:val="00421EF0"/>
    <w:rsid w:val="004224FA"/>
    <w:rsid w:val="00423D07"/>
    <w:rsid w:val="00424B11"/>
    <w:rsid w:val="004265F5"/>
    <w:rsid w:val="00426BEF"/>
    <w:rsid w:val="0043477C"/>
    <w:rsid w:val="004351B9"/>
    <w:rsid w:val="00435AA8"/>
    <w:rsid w:val="00435E79"/>
    <w:rsid w:val="00435F74"/>
    <w:rsid w:val="00437905"/>
    <w:rsid w:val="0044346F"/>
    <w:rsid w:val="0044375E"/>
    <w:rsid w:val="00447213"/>
    <w:rsid w:val="00450E5A"/>
    <w:rsid w:val="00451DA7"/>
    <w:rsid w:val="0045357E"/>
    <w:rsid w:val="00454166"/>
    <w:rsid w:val="0045534A"/>
    <w:rsid w:val="00457F62"/>
    <w:rsid w:val="0046138A"/>
    <w:rsid w:val="00464051"/>
    <w:rsid w:val="0046520A"/>
    <w:rsid w:val="00465D85"/>
    <w:rsid w:val="004672AB"/>
    <w:rsid w:val="004714FE"/>
    <w:rsid w:val="004718B2"/>
    <w:rsid w:val="00472693"/>
    <w:rsid w:val="00472943"/>
    <w:rsid w:val="00473269"/>
    <w:rsid w:val="004737A0"/>
    <w:rsid w:val="004737D8"/>
    <w:rsid w:val="00474C9A"/>
    <w:rsid w:val="004752A6"/>
    <w:rsid w:val="00476D16"/>
    <w:rsid w:val="0047742E"/>
    <w:rsid w:val="00477BAA"/>
    <w:rsid w:val="0048181F"/>
    <w:rsid w:val="004818CD"/>
    <w:rsid w:val="00484606"/>
    <w:rsid w:val="004847F6"/>
    <w:rsid w:val="004851CD"/>
    <w:rsid w:val="00486899"/>
    <w:rsid w:val="004879E4"/>
    <w:rsid w:val="00491696"/>
    <w:rsid w:val="00492E1C"/>
    <w:rsid w:val="00495053"/>
    <w:rsid w:val="00495D87"/>
    <w:rsid w:val="00496111"/>
    <w:rsid w:val="00496344"/>
    <w:rsid w:val="004A1E94"/>
    <w:rsid w:val="004A1F59"/>
    <w:rsid w:val="004A2727"/>
    <w:rsid w:val="004A29BE"/>
    <w:rsid w:val="004A3225"/>
    <w:rsid w:val="004A33EE"/>
    <w:rsid w:val="004A3AA8"/>
    <w:rsid w:val="004A40CF"/>
    <w:rsid w:val="004A4DF1"/>
    <w:rsid w:val="004A54DB"/>
    <w:rsid w:val="004A61F0"/>
    <w:rsid w:val="004A6279"/>
    <w:rsid w:val="004A634B"/>
    <w:rsid w:val="004A6C41"/>
    <w:rsid w:val="004B0FA4"/>
    <w:rsid w:val="004B13C7"/>
    <w:rsid w:val="004B177E"/>
    <w:rsid w:val="004B2F8E"/>
    <w:rsid w:val="004B3D93"/>
    <w:rsid w:val="004B3FB4"/>
    <w:rsid w:val="004B7445"/>
    <w:rsid w:val="004B778F"/>
    <w:rsid w:val="004C40EB"/>
    <w:rsid w:val="004C640C"/>
    <w:rsid w:val="004C6C7F"/>
    <w:rsid w:val="004D1115"/>
    <w:rsid w:val="004D141F"/>
    <w:rsid w:val="004D1D44"/>
    <w:rsid w:val="004D2742"/>
    <w:rsid w:val="004D3EB6"/>
    <w:rsid w:val="004D4D3F"/>
    <w:rsid w:val="004D4F59"/>
    <w:rsid w:val="004D57F4"/>
    <w:rsid w:val="004D603A"/>
    <w:rsid w:val="004D6310"/>
    <w:rsid w:val="004D7071"/>
    <w:rsid w:val="004E0062"/>
    <w:rsid w:val="004E05A1"/>
    <w:rsid w:val="004E2F0D"/>
    <w:rsid w:val="004E3148"/>
    <w:rsid w:val="004E62D9"/>
    <w:rsid w:val="004E6558"/>
    <w:rsid w:val="004F04D6"/>
    <w:rsid w:val="004F4AD8"/>
    <w:rsid w:val="004F5E57"/>
    <w:rsid w:val="004F6710"/>
    <w:rsid w:val="004F7197"/>
    <w:rsid w:val="00500C3E"/>
    <w:rsid w:val="00502849"/>
    <w:rsid w:val="0050312E"/>
    <w:rsid w:val="00503D8E"/>
    <w:rsid w:val="00503E6C"/>
    <w:rsid w:val="00504334"/>
    <w:rsid w:val="0050498D"/>
    <w:rsid w:val="0050505D"/>
    <w:rsid w:val="005104D7"/>
    <w:rsid w:val="00510B9E"/>
    <w:rsid w:val="0051298A"/>
    <w:rsid w:val="00512FD0"/>
    <w:rsid w:val="0051334B"/>
    <w:rsid w:val="0051506D"/>
    <w:rsid w:val="0051551F"/>
    <w:rsid w:val="00515EEE"/>
    <w:rsid w:val="0051707C"/>
    <w:rsid w:val="0051769F"/>
    <w:rsid w:val="00517A92"/>
    <w:rsid w:val="0052187A"/>
    <w:rsid w:val="00521D8B"/>
    <w:rsid w:val="005229AC"/>
    <w:rsid w:val="00523137"/>
    <w:rsid w:val="005273C6"/>
    <w:rsid w:val="00532E4E"/>
    <w:rsid w:val="0053481C"/>
    <w:rsid w:val="00534F46"/>
    <w:rsid w:val="00536BC2"/>
    <w:rsid w:val="00540AC5"/>
    <w:rsid w:val="005425E1"/>
    <w:rsid w:val="005427C5"/>
    <w:rsid w:val="00542CF6"/>
    <w:rsid w:val="00543B4F"/>
    <w:rsid w:val="005448C7"/>
    <w:rsid w:val="00544B7F"/>
    <w:rsid w:val="0054557D"/>
    <w:rsid w:val="00545D29"/>
    <w:rsid w:val="00546052"/>
    <w:rsid w:val="00551A7A"/>
    <w:rsid w:val="0055264F"/>
    <w:rsid w:val="00553C03"/>
    <w:rsid w:val="00562989"/>
    <w:rsid w:val="00562BBF"/>
    <w:rsid w:val="00563692"/>
    <w:rsid w:val="00563A5D"/>
    <w:rsid w:val="00563AE9"/>
    <w:rsid w:val="00564FCC"/>
    <w:rsid w:val="00565CE1"/>
    <w:rsid w:val="00566067"/>
    <w:rsid w:val="00566A38"/>
    <w:rsid w:val="005673E7"/>
    <w:rsid w:val="00567AC3"/>
    <w:rsid w:val="00571679"/>
    <w:rsid w:val="005724FF"/>
    <w:rsid w:val="00572C6B"/>
    <w:rsid w:val="00573233"/>
    <w:rsid w:val="005740C4"/>
    <w:rsid w:val="0057525C"/>
    <w:rsid w:val="005756C2"/>
    <w:rsid w:val="005761C4"/>
    <w:rsid w:val="00577239"/>
    <w:rsid w:val="00577AC8"/>
    <w:rsid w:val="0058037E"/>
    <w:rsid w:val="005836A7"/>
    <w:rsid w:val="005842CA"/>
    <w:rsid w:val="005844E7"/>
    <w:rsid w:val="00585381"/>
    <w:rsid w:val="00585F9A"/>
    <w:rsid w:val="00586B25"/>
    <w:rsid w:val="00587C82"/>
    <w:rsid w:val="00590745"/>
    <w:rsid w:val="005908B8"/>
    <w:rsid w:val="005909B4"/>
    <w:rsid w:val="00591B21"/>
    <w:rsid w:val="0059481E"/>
    <w:rsid w:val="0059512E"/>
    <w:rsid w:val="00596C69"/>
    <w:rsid w:val="005A129B"/>
    <w:rsid w:val="005A14D9"/>
    <w:rsid w:val="005A18DE"/>
    <w:rsid w:val="005A1EEA"/>
    <w:rsid w:val="005A1FD7"/>
    <w:rsid w:val="005A24E7"/>
    <w:rsid w:val="005A2C9F"/>
    <w:rsid w:val="005A6DD2"/>
    <w:rsid w:val="005A7131"/>
    <w:rsid w:val="005B0ABB"/>
    <w:rsid w:val="005B2488"/>
    <w:rsid w:val="005B2D9B"/>
    <w:rsid w:val="005B344C"/>
    <w:rsid w:val="005C07CF"/>
    <w:rsid w:val="005C30BD"/>
    <w:rsid w:val="005C385D"/>
    <w:rsid w:val="005C464F"/>
    <w:rsid w:val="005C5CF2"/>
    <w:rsid w:val="005D11C2"/>
    <w:rsid w:val="005D190D"/>
    <w:rsid w:val="005D298D"/>
    <w:rsid w:val="005D3106"/>
    <w:rsid w:val="005D3B20"/>
    <w:rsid w:val="005D4E41"/>
    <w:rsid w:val="005D5727"/>
    <w:rsid w:val="005E0EAB"/>
    <w:rsid w:val="005E13A8"/>
    <w:rsid w:val="005E2236"/>
    <w:rsid w:val="005E2369"/>
    <w:rsid w:val="005E2798"/>
    <w:rsid w:val="005E3CCA"/>
    <w:rsid w:val="005E3DFE"/>
    <w:rsid w:val="005E41E2"/>
    <w:rsid w:val="005E44A9"/>
    <w:rsid w:val="005E4759"/>
    <w:rsid w:val="005E5C68"/>
    <w:rsid w:val="005E65C0"/>
    <w:rsid w:val="005E6B7A"/>
    <w:rsid w:val="005E7662"/>
    <w:rsid w:val="005E79D2"/>
    <w:rsid w:val="005E7BC7"/>
    <w:rsid w:val="005F0390"/>
    <w:rsid w:val="005F6C66"/>
    <w:rsid w:val="00600A79"/>
    <w:rsid w:val="00600F36"/>
    <w:rsid w:val="0060159B"/>
    <w:rsid w:val="00601D97"/>
    <w:rsid w:val="00602ABE"/>
    <w:rsid w:val="00605068"/>
    <w:rsid w:val="00605F93"/>
    <w:rsid w:val="006064CE"/>
    <w:rsid w:val="006072CD"/>
    <w:rsid w:val="00607B81"/>
    <w:rsid w:val="00607D3A"/>
    <w:rsid w:val="00610448"/>
    <w:rsid w:val="00612023"/>
    <w:rsid w:val="0061268C"/>
    <w:rsid w:val="006126D6"/>
    <w:rsid w:val="00614190"/>
    <w:rsid w:val="00615DB1"/>
    <w:rsid w:val="0062196B"/>
    <w:rsid w:val="00622A99"/>
    <w:rsid w:val="00622E67"/>
    <w:rsid w:val="00625EAA"/>
    <w:rsid w:val="00626EDC"/>
    <w:rsid w:val="00627187"/>
    <w:rsid w:val="00630F71"/>
    <w:rsid w:val="0063231A"/>
    <w:rsid w:val="006324BB"/>
    <w:rsid w:val="00634CD8"/>
    <w:rsid w:val="006360D7"/>
    <w:rsid w:val="0063684B"/>
    <w:rsid w:val="00636F34"/>
    <w:rsid w:val="006402B6"/>
    <w:rsid w:val="00644A58"/>
    <w:rsid w:val="0064664E"/>
    <w:rsid w:val="006470EC"/>
    <w:rsid w:val="006542D6"/>
    <w:rsid w:val="0065598E"/>
    <w:rsid w:val="00655AF2"/>
    <w:rsid w:val="00655BC5"/>
    <w:rsid w:val="006568BE"/>
    <w:rsid w:val="0066025D"/>
    <w:rsid w:val="0066091A"/>
    <w:rsid w:val="0066230D"/>
    <w:rsid w:val="0066270A"/>
    <w:rsid w:val="00665BBE"/>
    <w:rsid w:val="0067074E"/>
    <w:rsid w:val="006711C0"/>
    <w:rsid w:val="006723F4"/>
    <w:rsid w:val="0067287C"/>
    <w:rsid w:val="00675ACB"/>
    <w:rsid w:val="006773EC"/>
    <w:rsid w:val="0068009B"/>
    <w:rsid w:val="00680504"/>
    <w:rsid w:val="00680A73"/>
    <w:rsid w:val="00681CD9"/>
    <w:rsid w:val="00682756"/>
    <w:rsid w:val="00683E30"/>
    <w:rsid w:val="00686ED9"/>
    <w:rsid w:val="00687024"/>
    <w:rsid w:val="00687655"/>
    <w:rsid w:val="00692737"/>
    <w:rsid w:val="00693A52"/>
    <w:rsid w:val="00693DD5"/>
    <w:rsid w:val="00695241"/>
    <w:rsid w:val="00695E22"/>
    <w:rsid w:val="00695F1A"/>
    <w:rsid w:val="006B118E"/>
    <w:rsid w:val="006B22CA"/>
    <w:rsid w:val="006B26E9"/>
    <w:rsid w:val="006B407B"/>
    <w:rsid w:val="006B462F"/>
    <w:rsid w:val="006B6887"/>
    <w:rsid w:val="006B6E01"/>
    <w:rsid w:val="006B7093"/>
    <w:rsid w:val="006B7417"/>
    <w:rsid w:val="006B784D"/>
    <w:rsid w:val="006C01D0"/>
    <w:rsid w:val="006C1E98"/>
    <w:rsid w:val="006C5048"/>
    <w:rsid w:val="006C66A1"/>
    <w:rsid w:val="006D3691"/>
    <w:rsid w:val="006D3FA3"/>
    <w:rsid w:val="006D4A0A"/>
    <w:rsid w:val="006D4D93"/>
    <w:rsid w:val="006D6349"/>
    <w:rsid w:val="006D63E6"/>
    <w:rsid w:val="006D7305"/>
    <w:rsid w:val="006E026A"/>
    <w:rsid w:val="006E1B5A"/>
    <w:rsid w:val="006E2C85"/>
    <w:rsid w:val="006E34E1"/>
    <w:rsid w:val="006E41F1"/>
    <w:rsid w:val="006E5EF0"/>
    <w:rsid w:val="006F1950"/>
    <w:rsid w:val="006F1DB9"/>
    <w:rsid w:val="006F215B"/>
    <w:rsid w:val="006F28D4"/>
    <w:rsid w:val="006F2F7B"/>
    <w:rsid w:val="006F3563"/>
    <w:rsid w:val="006F3A22"/>
    <w:rsid w:val="006F4291"/>
    <w:rsid w:val="006F42B9"/>
    <w:rsid w:val="006F46D8"/>
    <w:rsid w:val="006F52B8"/>
    <w:rsid w:val="006F577B"/>
    <w:rsid w:val="006F6103"/>
    <w:rsid w:val="006F7AC3"/>
    <w:rsid w:val="007010E0"/>
    <w:rsid w:val="0070224E"/>
    <w:rsid w:val="00702D60"/>
    <w:rsid w:val="0070453C"/>
    <w:rsid w:val="00704E00"/>
    <w:rsid w:val="007052DE"/>
    <w:rsid w:val="007059DC"/>
    <w:rsid w:val="007066E2"/>
    <w:rsid w:val="00707935"/>
    <w:rsid w:val="007107F0"/>
    <w:rsid w:val="0071161C"/>
    <w:rsid w:val="007117E6"/>
    <w:rsid w:val="00714E47"/>
    <w:rsid w:val="00715730"/>
    <w:rsid w:val="00716005"/>
    <w:rsid w:val="00716172"/>
    <w:rsid w:val="00720158"/>
    <w:rsid w:val="007209E7"/>
    <w:rsid w:val="00725B9C"/>
    <w:rsid w:val="00726031"/>
    <w:rsid w:val="00726182"/>
    <w:rsid w:val="00727635"/>
    <w:rsid w:val="00731678"/>
    <w:rsid w:val="00732329"/>
    <w:rsid w:val="00732A6B"/>
    <w:rsid w:val="0073376C"/>
    <w:rsid w:val="007337CA"/>
    <w:rsid w:val="00733810"/>
    <w:rsid w:val="00734CE4"/>
    <w:rsid w:val="00734D35"/>
    <w:rsid w:val="00735123"/>
    <w:rsid w:val="00741837"/>
    <w:rsid w:val="007436AB"/>
    <w:rsid w:val="007448CC"/>
    <w:rsid w:val="00745211"/>
    <w:rsid w:val="007453E6"/>
    <w:rsid w:val="007522DC"/>
    <w:rsid w:val="00754024"/>
    <w:rsid w:val="007544E9"/>
    <w:rsid w:val="00755826"/>
    <w:rsid w:val="00762AB3"/>
    <w:rsid w:val="0076404E"/>
    <w:rsid w:val="007670B9"/>
    <w:rsid w:val="00767868"/>
    <w:rsid w:val="007720DB"/>
    <w:rsid w:val="00772BC0"/>
    <w:rsid w:val="0077309D"/>
    <w:rsid w:val="0077353C"/>
    <w:rsid w:val="00773D10"/>
    <w:rsid w:val="007747FF"/>
    <w:rsid w:val="007764A9"/>
    <w:rsid w:val="007774EE"/>
    <w:rsid w:val="00780D62"/>
    <w:rsid w:val="00781822"/>
    <w:rsid w:val="00782C33"/>
    <w:rsid w:val="00783F21"/>
    <w:rsid w:val="00785ABB"/>
    <w:rsid w:val="007862B3"/>
    <w:rsid w:val="00787159"/>
    <w:rsid w:val="00787F7F"/>
    <w:rsid w:val="0079043A"/>
    <w:rsid w:val="00790E2F"/>
    <w:rsid w:val="0079131C"/>
    <w:rsid w:val="00791668"/>
    <w:rsid w:val="00791AA1"/>
    <w:rsid w:val="007933DF"/>
    <w:rsid w:val="0079341A"/>
    <w:rsid w:val="007A1C21"/>
    <w:rsid w:val="007A2380"/>
    <w:rsid w:val="007A2D77"/>
    <w:rsid w:val="007A3793"/>
    <w:rsid w:val="007A4514"/>
    <w:rsid w:val="007A4EA7"/>
    <w:rsid w:val="007B0671"/>
    <w:rsid w:val="007B2E78"/>
    <w:rsid w:val="007B2EF6"/>
    <w:rsid w:val="007B40DD"/>
    <w:rsid w:val="007B5D08"/>
    <w:rsid w:val="007B73C7"/>
    <w:rsid w:val="007C0785"/>
    <w:rsid w:val="007C10E1"/>
    <w:rsid w:val="007C1BA2"/>
    <w:rsid w:val="007C2B48"/>
    <w:rsid w:val="007C2B9C"/>
    <w:rsid w:val="007C4A67"/>
    <w:rsid w:val="007C5DDD"/>
    <w:rsid w:val="007D1480"/>
    <w:rsid w:val="007D1753"/>
    <w:rsid w:val="007D20E9"/>
    <w:rsid w:val="007D2877"/>
    <w:rsid w:val="007D2B19"/>
    <w:rsid w:val="007D6A3F"/>
    <w:rsid w:val="007D6FAB"/>
    <w:rsid w:val="007D73CF"/>
    <w:rsid w:val="007D7881"/>
    <w:rsid w:val="007D7E3A"/>
    <w:rsid w:val="007E0D2D"/>
    <w:rsid w:val="007E0E10"/>
    <w:rsid w:val="007E22D9"/>
    <w:rsid w:val="007E2762"/>
    <w:rsid w:val="007E4768"/>
    <w:rsid w:val="007E5327"/>
    <w:rsid w:val="007E7144"/>
    <w:rsid w:val="007E777B"/>
    <w:rsid w:val="007F1EFA"/>
    <w:rsid w:val="007F2070"/>
    <w:rsid w:val="007F296A"/>
    <w:rsid w:val="007F3BE1"/>
    <w:rsid w:val="007F427D"/>
    <w:rsid w:val="007F4B31"/>
    <w:rsid w:val="007F4BAD"/>
    <w:rsid w:val="007F7363"/>
    <w:rsid w:val="00800318"/>
    <w:rsid w:val="008053F5"/>
    <w:rsid w:val="00806857"/>
    <w:rsid w:val="00807AF7"/>
    <w:rsid w:val="00810198"/>
    <w:rsid w:val="00811615"/>
    <w:rsid w:val="00811F26"/>
    <w:rsid w:val="00814C63"/>
    <w:rsid w:val="00815DA8"/>
    <w:rsid w:val="0081672E"/>
    <w:rsid w:val="0082067D"/>
    <w:rsid w:val="00820895"/>
    <w:rsid w:val="00820ADB"/>
    <w:rsid w:val="0082194D"/>
    <w:rsid w:val="00822092"/>
    <w:rsid w:val="008221F9"/>
    <w:rsid w:val="00822AAF"/>
    <w:rsid w:val="00824676"/>
    <w:rsid w:val="00826A02"/>
    <w:rsid w:val="00826EF5"/>
    <w:rsid w:val="00827699"/>
    <w:rsid w:val="00831487"/>
    <w:rsid w:val="00831693"/>
    <w:rsid w:val="00832B6A"/>
    <w:rsid w:val="00833F29"/>
    <w:rsid w:val="00835216"/>
    <w:rsid w:val="00835527"/>
    <w:rsid w:val="00836422"/>
    <w:rsid w:val="00837AC4"/>
    <w:rsid w:val="00837C85"/>
    <w:rsid w:val="00840104"/>
    <w:rsid w:val="00840C1F"/>
    <w:rsid w:val="0084162F"/>
    <w:rsid w:val="00841FC5"/>
    <w:rsid w:val="00843858"/>
    <w:rsid w:val="00844C3A"/>
    <w:rsid w:val="00845709"/>
    <w:rsid w:val="0084594E"/>
    <w:rsid w:val="0085111C"/>
    <w:rsid w:val="008512AD"/>
    <w:rsid w:val="00853210"/>
    <w:rsid w:val="00853770"/>
    <w:rsid w:val="0085479E"/>
    <w:rsid w:val="00856DB1"/>
    <w:rsid w:val="008570E6"/>
    <w:rsid w:val="008576BD"/>
    <w:rsid w:val="00860463"/>
    <w:rsid w:val="00864843"/>
    <w:rsid w:val="00864945"/>
    <w:rsid w:val="00865739"/>
    <w:rsid w:val="00866C76"/>
    <w:rsid w:val="008710EC"/>
    <w:rsid w:val="0087209B"/>
    <w:rsid w:val="008726E0"/>
    <w:rsid w:val="008733DA"/>
    <w:rsid w:val="008759D6"/>
    <w:rsid w:val="00880D08"/>
    <w:rsid w:val="00881482"/>
    <w:rsid w:val="00881978"/>
    <w:rsid w:val="00881CDE"/>
    <w:rsid w:val="00884451"/>
    <w:rsid w:val="008850E4"/>
    <w:rsid w:val="008855E2"/>
    <w:rsid w:val="0088742B"/>
    <w:rsid w:val="0089077F"/>
    <w:rsid w:val="008939AB"/>
    <w:rsid w:val="00896479"/>
    <w:rsid w:val="0089797A"/>
    <w:rsid w:val="008A12F5"/>
    <w:rsid w:val="008A20A8"/>
    <w:rsid w:val="008A64F3"/>
    <w:rsid w:val="008A6B4D"/>
    <w:rsid w:val="008A7B23"/>
    <w:rsid w:val="008B0181"/>
    <w:rsid w:val="008B1587"/>
    <w:rsid w:val="008B1B01"/>
    <w:rsid w:val="008B3BCD"/>
    <w:rsid w:val="008B5DBB"/>
    <w:rsid w:val="008B6DF8"/>
    <w:rsid w:val="008B7F8E"/>
    <w:rsid w:val="008C106C"/>
    <w:rsid w:val="008C10F1"/>
    <w:rsid w:val="008C1926"/>
    <w:rsid w:val="008C1E99"/>
    <w:rsid w:val="008C2CD6"/>
    <w:rsid w:val="008C46CC"/>
    <w:rsid w:val="008C692B"/>
    <w:rsid w:val="008C710D"/>
    <w:rsid w:val="008D0085"/>
    <w:rsid w:val="008D009E"/>
    <w:rsid w:val="008D0FCA"/>
    <w:rsid w:val="008D22BB"/>
    <w:rsid w:val="008D2FBC"/>
    <w:rsid w:val="008D3AEF"/>
    <w:rsid w:val="008D43D4"/>
    <w:rsid w:val="008D7709"/>
    <w:rsid w:val="008E0085"/>
    <w:rsid w:val="008E017F"/>
    <w:rsid w:val="008E0A21"/>
    <w:rsid w:val="008E235B"/>
    <w:rsid w:val="008E2AA6"/>
    <w:rsid w:val="008E311B"/>
    <w:rsid w:val="008E3275"/>
    <w:rsid w:val="008E34F8"/>
    <w:rsid w:val="008E4702"/>
    <w:rsid w:val="008E49D9"/>
    <w:rsid w:val="008E58BA"/>
    <w:rsid w:val="008E6692"/>
    <w:rsid w:val="008F3CCF"/>
    <w:rsid w:val="008F46E7"/>
    <w:rsid w:val="008F4B1D"/>
    <w:rsid w:val="008F4BB2"/>
    <w:rsid w:val="008F6F0B"/>
    <w:rsid w:val="008F75F5"/>
    <w:rsid w:val="009003B9"/>
    <w:rsid w:val="00901552"/>
    <w:rsid w:val="009038BA"/>
    <w:rsid w:val="00905460"/>
    <w:rsid w:val="009057D2"/>
    <w:rsid w:val="00907BA7"/>
    <w:rsid w:val="00910381"/>
    <w:rsid w:val="0091064E"/>
    <w:rsid w:val="00910E11"/>
    <w:rsid w:val="00911226"/>
    <w:rsid w:val="00911FC5"/>
    <w:rsid w:val="0091206C"/>
    <w:rsid w:val="009142D8"/>
    <w:rsid w:val="00915237"/>
    <w:rsid w:val="009178A8"/>
    <w:rsid w:val="00917A3B"/>
    <w:rsid w:val="00917AB1"/>
    <w:rsid w:val="009302A2"/>
    <w:rsid w:val="00930DC8"/>
    <w:rsid w:val="00931A10"/>
    <w:rsid w:val="009322EC"/>
    <w:rsid w:val="00932DF5"/>
    <w:rsid w:val="00935747"/>
    <w:rsid w:val="00935FB7"/>
    <w:rsid w:val="009428AA"/>
    <w:rsid w:val="00943B61"/>
    <w:rsid w:val="009452E1"/>
    <w:rsid w:val="0094725A"/>
    <w:rsid w:val="00947967"/>
    <w:rsid w:val="009504F7"/>
    <w:rsid w:val="00955201"/>
    <w:rsid w:val="009576ED"/>
    <w:rsid w:val="00960FE5"/>
    <w:rsid w:val="0096307B"/>
    <w:rsid w:val="009639D0"/>
    <w:rsid w:val="00963F0E"/>
    <w:rsid w:val="00964FCB"/>
    <w:rsid w:val="00965200"/>
    <w:rsid w:val="009668B3"/>
    <w:rsid w:val="00966966"/>
    <w:rsid w:val="00967F0D"/>
    <w:rsid w:val="0097086C"/>
    <w:rsid w:val="00971471"/>
    <w:rsid w:val="00971D98"/>
    <w:rsid w:val="00972580"/>
    <w:rsid w:val="009773B6"/>
    <w:rsid w:val="00977542"/>
    <w:rsid w:val="00977B87"/>
    <w:rsid w:val="00982469"/>
    <w:rsid w:val="009846FD"/>
    <w:rsid w:val="009849C2"/>
    <w:rsid w:val="00984D24"/>
    <w:rsid w:val="009858EB"/>
    <w:rsid w:val="0098649F"/>
    <w:rsid w:val="00986DBA"/>
    <w:rsid w:val="009900E7"/>
    <w:rsid w:val="00990DEB"/>
    <w:rsid w:val="00990EE7"/>
    <w:rsid w:val="009A1519"/>
    <w:rsid w:val="009A3F47"/>
    <w:rsid w:val="009A5788"/>
    <w:rsid w:val="009A5DDD"/>
    <w:rsid w:val="009B0046"/>
    <w:rsid w:val="009B0151"/>
    <w:rsid w:val="009B1BEE"/>
    <w:rsid w:val="009B2E14"/>
    <w:rsid w:val="009B4D54"/>
    <w:rsid w:val="009B5A80"/>
    <w:rsid w:val="009C1440"/>
    <w:rsid w:val="009C1495"/>
    <w:rsid w:val="009C1B74"/>
    <w:rsid w:val="009C2107"/>
    <w:rsid w:val="009C3A52"/>
    <w:rsid w:val="009C5113"/>
    <w:rsid w:val="009C5960"/>
    <w:rsid w:val="009C5D9E"/>
    <w:rsid w:val="009C600A"/>
    <w:rsid w:val="009C7352"/>
    <w:rsid w:val="009C7C4D"/>
    <w:rsid w:val="009D11DB"/>
    <w:rsid w:val="009D1825"/>
    <w:rsid w:val="009D1C21"/>
    <w:rsid w:val="009D2B54"/>
    <w:rsid w:val="009D2C3E"/>
    <w:rsid w:val="009D2E89"/>
    <w:rsid w:val="009D33B3"/>
    <w:rsid w:val="009D343E"/>
    <w:rsid w:val="009D7244"/>
    <w:rsid w:val="009E00F3"/>
    <w:rsid w:val="009E0625"/>
    <w:rsid w:val="009E1435"/>
    <w:rsid w:val="009E1DA0"/>
    <w:rsid w:val="009E3034"/>
    <w:rsid w:val="009E522B"/>
    <w:rsid w:val="009E549F"/>
    <w:rsid w:val="009E58E8"/>
    <w:rsid w:val="009E5D32"/>
    <w:rsid w:val="009F0D71"/>
    <w:rsid w:val="009F28A8"/>
    <w:rsid w:val="009F3F2B"/>
    <w:rsid w:val="009F473E"/>
    <w:rsid w:val="009F4B92"/>
    <w:rsid w:val="009F5780"/>
    <w:rsid w:val="009F682A"/>
    <w:rsid w:val="00A01320"/>
    <w:rsid w:val="00A017A0"/>
    <w:rsid w:val="00A022BE"/>
    <w:rsid w:val="00A0339B"/>
    <w:rsid w:val="00A03722"/>
    <w:rsid w:val="00A0642B"/>
    <w:rsid w:val="00A06755"/>
    <w:rsid w:val="00A06B0A"/>
    <w:rsid w:val="00A07794"/>
    <w:rsid w:val="00A079A8"/>
    <w:rsid w:val="00A109B0"/>
    <w:rsid w:val="00A124BF"/>
    <w:rsid w:val="00A16ACE"/>
    <w:rsid w:val="00A20145"/>
    <w:rsid w:val="00A24C95"/>
    <w:rsid w:val="00A24F25"/>
    <w:rsid w:val="00A2599A"/>
    <w:rsid w:val="00A25DD6"/>
    <w:rsid w:val="00A25F83"/>
    <w:rsid w:val="00A26094"/>
    <w:rsid w:val="00A26CFE"/>
    <w:rsid w:val="00A27FD4"/>
    <w:rsid w:val="00A301BF"/>
    <w:rsid w:val="00A302B2"/>
    <w:rsid w:val="00A305CB"/>
    <w:rsid w:val="00A30EB6"/>
    <w:rsid w:val="00A3222B"/>
    <w:rsid w:val="00A331B4"/>
    <w:rsid w:val="00A33F5B"/>
    <w:rsid w:val="00A340F6"/>
    <w:rsid w:val="00A3484E"/>
    <w:rsid w:val="00A356D3"/>
    <w:rsid w:val="00A36ADA"/>
    <w:rsid w:val="00A374EB"/>
    <w:rsid w:val="00A417C9"/>
    <w:rsid w:val="00A438D8"/>
    <w:rsid w:val="00A44792"/>
    <w:rsid w:val="00A46480"/>
    <w:rsid w:val="00A473F5"/>
    <w:rsid w:val="00A51F9D"/>
    <w:rsid w:val="00A5416A"/>
    <w:rsid w:val="00A54808"/>
    <w:rsid w:val="00A5753E"/>
    <w:rsid w:val="00A57CEC"/>
    <w:rsid w:val="00A61A2C"/>
    <w:rsid w:val="00A61F41"/>
    <w:rsid w:val="00A639F4"/>
    <w:rsid w:val="00A65C4B"/>
    <w:rsid w:val="00A66384"/>
    <w:rsid w:val="00A71B7D"/>
    <w:rsid w:val="00A73F16"/>
    <w:rsid w:val="00A749FE"/>
    <w:rsid w:val="00A75C83"/>
    <w:rsid w:val="00A75D55"/>
    <w:rsid w:val="00A7603A"/>
    <w:rsid w:val="00A80CAE"/>
    <w:rsid w:val="00A81A32"/>
    <w:rsid w:val="00A835BD"/>
    <w:rsid w:val="00A83DA2"/>
    <w:rsid w:val="00A84A70"/>
    <w:rsid w:val="00A86C1D"/>
    <w:rsid w:val="00A9203D"/>
    <w:rsid w:val="00A920B9"/>
    <w:rsid w:val="00A938A2"/>
    <w:rsid w:val="00A94310"/>
    <w:rsid w:val="00A9437D"/>
    <w:rsid w:val="00A94543"/>
    <w:rsid w:val="00A95A8F"/>
    <w:rsid w:val="00A95F91"/>
    <w:rsid w:val="00A97B15"/>
    <w:rsid w:val="00AA0F76"/>
    <w:rsid w:val="00AA1C22"/>
    <w:rsid w:val="00AA1F6D"/>
    <w:rsid w:val="00AA1FA1"/>
    <w:rsid w:val="00AA23D7"/>
    <w:rsid w:val="00AA42D5"/>
    <w:rsid w:val="00AA44E9"/>
    <w:rsid w:val="00AA61B8"/>
    <w:rsid w:val="00AA70E0"/>
    <w:rsid w:val="00AB2FAB"/>
    <w:rsid w:val="00AB3063"/>
    <w:rsid w:val="00AB5C14"/>
    <w:rsid w:val="00AC1EA5"/>
    <w:rsid w:val="00AC1EE7"/>
    <w:rsid w:val="00AC333F"/>
    <w:rsid w:val="00AC34B3"/>
    <w:rsid w:val="00AC585C"/>
    <w:rsid w:val="00AD0FF6"/>
    <w:rsid w:val="00AD1925"/>
    <w:rsid w:val="00AD4762"/>
    <w:rsid w:val="00AD5219"/>
    <w:rsid w:val="00AD625E"/>
    <w:rsid w:val="00AE0152"/>
    <w:rsid w:val="00AE0261"/>
    <w:rsid w:val="00AE067D"/>
    <w:rsid w:val="00AE2085"/>
    <w:rsid w:val="00AE4095"/>
    <w:rsid w:val="00AE7EB2"/>
    <w:rsid w:val="00AF08D3"/>
    <w:rsid w:val="00AF1181"/>
    <w:rsid w:val="00AF2C69"/>
    <w:rsid w:val="00AF2F79"/>
    <w:rsid w:val="00AF4653"/>
    <w:rsid w:val="00AF7DB7"/>
    <w:rsid w:val="00B00B4D"/>
    <w:rsid w:val="00B02372"/>
    <w:rsid w:val="00B04CB6"/>
    <w:rsid w:val="00B04D56"/>
    <w:rsid w:val="00B04E09"/>
    <w:rsid w:val="00B05516"/>
    <w:rsid w:val="00B05B1B"/>
    <w:rsid w:val="00B05B61"/>
    <w:rsid w:val="00B072B2"/>
    <w:rsid w:val="00B07545"/>
    <w:rsid w:val="00B12195"/>
    <w:rsid w:val="00B128EA"/>
    <w:rsid w:val="00B1501F"/>
    <w:rsid w:val="00B1634D"/>
    <w:rsid w:val="00B164B5"/>
    <w:rsid w:val="00B200DC"/>
    <w:rsid w:val="00B201E2"/>
    <w:rsid w:val="00B22B0A"/>
    <w:rsid w:val="00B239D6"/>
    <w:rsid w:val="00B248BF"/>
    <w:rsid w:val="00B279B7"/>
    <w:rsid w:val="00B30C4D"/>
    <w:rsid w:val="00B31E71"/>
    <w:rsid w:val="00B3204B"/>
    <w:rsid w:val="00B3377D"/>
    <w:rsid w:val="00B33858"/>
    <w:rsid w:val="00B33D6C"/>
    <w:rsid w:val="00B35047"/>
    <w:rsid w:val="00B351B4"/>
    <w:rsid w:val="00B3600B"/>
    <w:rsid w:val="00B36119"/>
    <w:rsid w:val="00B40707"/>
    <w:rsid w:val="00B415B3"/>
    <w:rsid w:val="00B42828"/>
    <w:rsid w:val="00B436E6"/>
    <w:rsid w:val="00B44270"/>
    <w:rsid w:val="00B443E4"/>
    <w:rsid w:val="00B4498B"/>
    <w:rsid w:val="00B44DB7"/>
    <w:rsid w:val="00B45EB5"/>
    <w:rsid w:val="00B4716C"/>
    <w:rsid w:val="00B47633"/>
    <w:rsid w:val="00B5035E"/>
    <w:rsid w:val="00B5484D"/>
    <w:rsid w:val="00B55CA3"/>
    <w:rsid w:val="00B56045"/>
    <w:rsid w:val="00B563EA"/>
    <w:rsid w:val="00B56CDF"/>
    <w:rsid w:val="00B60E51"/>
    <w:rsid w:val="00B61845"/>
    <w:rsid w:val="00B62C19"/>
    <w:rsid w:val="00B6359E"/>
    <w:rsid w:val="00B63A54"/>
    <w:rsid w:val="00B6452D"/>
    <w:rsid w:val="00B645BD"/>
    <w:rsid w:val="00B661DB"/>
    <w:rsid w:val="00B667AE"/>
    <w:rsid w:val="00B700CB"/>
    <w:rsid w:val="00B70BCF"/>
    <w:rsid w:val="00B72D82"/>
    <w:rsid w:val="00B7586C"/>
    <w:rsid w:val="00B77D18"/>
    <w:rsid w:val="00B82A62"/>
    <w:rsid w:val="00B83133"/>
    <w:rsid w:val="00B8313A"/>
    <w:rsid w:val="00B83187"/>
    <w:rsid w:val="00B852AE"/>
    <w:rsid w:val="00B8646B"/>
    <w:rsid w:val="00B87C39"/>
    <w:rsid w:val="00B91CFC"/>
    <w:rsid w:val="00B93503"/>
    <w:rsid w:val="00B93DAC"/>
    <w:rsid w:val="00B954A2"/>
    <w:rsid w:val="00B95ADC"/>
    <w:rsid w:val="00BA0BAD"/>
    <w:rsid w:val="00BA0EE1"/>
    <w:rsid w:val="00BA16BF"/>
    <w:rsid w:val="00BA31E8"/>
    <w:rsid w:val="00BA3872"/>
    <w:rsid w:val="00BA55E0"/>
    <w:rsid w:val="00BA6930"/>
    <w:rsid w:val="00BA6BD4"/>
    <w:rsid w:val="00BA6C7A"/>
    <w:rsid w:val="00BB1131"/>
    <w:rsid w:val="00BB14B4"/>
    <w:rsid w:val="00BB17D1"/>
    <w:rsid w:val="00BB295F"/>
    <w:rsid w:val="00BB3752"/>
    <w:rsid w:val="00BB457A"/>
    <w:rsid w:val="00BB5B0D"/>
    <w:rsid w:val="00BB5C23"/>
    <w:rsid w:val="00BB6688"/>
    <w:rsid w:val="00BC147E"/>
    <w:rsid w:val="00BC1F52"/>
    <w:rsid w:val="00BC26D4"/>
    <w:rsid w:val="00BC36FA"/>
    <w:rsid w:val="00BC4BD0"/>
    <w:rsid w:val="00BD071F"/>
    <w:rsid w:val="00BD08B6"/>
    <w:rsid w:val="00BD109E"/>
    <w:rsid w:val="00BD3E3E"/>
    <w:rsid w:val="00BD50CD"/>
    <w:rsid w:val="00BD6C87"/>
    <w:rsid w:val="00BE0C80"/>
    <w:rsid w:val="00BE50FC"/>
    <w:rsid w:val="00BE6146"/>
    <w:rsid w:val="00BE7805"/>
    <w:rsid w:val="00BF050F"/>
    <w:rsid w:val="00BF2A42"/>
    <w:rsid w:val="00BF5246"/>
    <w:rsid w:val="00BF6C36"/>
    <w:rsid w:val="00BF6FC8"/>
    <w:rsid w:val="00BF77C6"/>
    <w:rsid w:val="00C00148"/>
    <w:rsid w:val="00C002F8"/>
    <w:rsid w:val="00C017F5"/>
    <w:rsid w:val="00C01BAF"/>
    <w:rsid w:val="00C01C98"/>
    <w:rsid w:val="00C03D8C"/>
    <w:rsid w:val="00C055EC"/>
    <w:rsid w:val="00C06694"/>
    <w:rsid w:val="00C06E31"/>
    <w:rsid w:val="00C07D41"/>
    <w:rsid w:val="00C10DC9"/>
    <w:rsid w:val="00C117DF"/>
    <w:rsid w:val="00C1267E"/>
    <w:rsid w:val="00C12CF8"/>
    <w:rsid w:val="00C12FB3"/>
    <w:rsid w:val="00C1520C"/>
    <w:rsid w:val="00C15C75"/>
    <w:rsid w:val="00C16854"/>
    <w:rsid w:val="00C17341"/>
    <w:rsid w:val="00C2042B"/>
    <w:rsid w:val="00C20D81"/>
    <w:rsid w:val="00C218CC"/>
    <w:rsid w:val="00C21C47"/>
    <w:rsid w:val="00C22CB2"/>
    <w:rsid w:val="00C24EEF"/>
    <w:rsid w:val="00C25CF6"/>
    <w:rsid w:val="00C26C36"/>
    <w:rsid w:val="00C27429"/>
    <w:rsid w:val="00C27A9F"/>
    <w:rsid w:val="00C31226"/>
    <w:rsid w:val="00C312E5"/>
    <w:rsid w:val="00C319EB"/>
    <w:rsid w:val="00C32768"/>
    <w:rsid w:val="00C32EC6"/>
    <w:rsid w:val="00C336EC"/>
    <w:rsid w:val="00C35429"/>
    <w:rsid w:val="00C35BDA"/>
    <w:rsid w:val="00C35E3E"/>
    <w:rsid w:val="00C35FF9"/>
    <w:rsid w:val="00C36711"/>
    <w:rsid w:val="00C431DF"/>
    <w:rsid w:val="00C43B2B"/>
    <w:rsid w:val="00C43D13"/>
    <w:rsid w:val="00C450BD"/>
    <w:rsid w:val="00C456BD"/>
    <w:rsid w:val="00C461A2"/>
    <w:rsid w:val="00C4624A"/>
    <w:rsid w:val="00C47890"/>
    <w:rsid w:val="00C47AB7"/>
    <w:rsid w:val="00C51041"/>
    <w:rsid w:val="00C51978"/>
    <w:rsid w:val="00C530DC"/>
    <w:rsid w:val="00C53302"/>
    <w:rsid w:val="00C5350D"/>
    <w:rsid w:val="00C55E55"/>
    <w:rsid w:val="00C56978"/>
    <w:rsid w:val="00C60ED2"/>
    <w:rsid w:val="00C6123C"/>
    <w:rsid w:val="00C61B79"/>
    <w:rsid w:val="00C62C94"/>
    <w:rsid w:val="00C6311A"/>
    <w:rsid w:val="00C63F10"/>
    <w:rsid w:val="00C64C2B"/>
    <w:rsid w:val="00C64C40"/>
    <w:rsid w:val="00C662C4"/>
    <w:rsid w:val="00C703C5"/>
    <w:rsid w:val="00C7084D"/>
    <w:rsid w:val="00C71A6E"/>
    <w:rsid w:val="00C7315E"/>
    <w:rsid w:val="00C73F3D"/>
    <w:rsid w:val="00C74644"/>
    <w:rsid w:val="00C74AF0"/>
    <w:rsid w:val="00C75895"/>
    <w:rsid w:val="00C836B4"/>
    <w:rsid w:val="00C83C9F"/>
    <w:rsid w:val="00C840B4"/>
    <w:rsid w:val="00C860B9"/>
    <w:rsid w:val="00C905BC"/>
    <w:rsid w:val="00C90E98"/>
    <w:rsid w:val="00C9170D"/>
    <w:rsid w:val="00C92BA1"/>
    <w:rsid w:val="00C92F21"/>
    <w:rsid w:val="00C9328A"/>
    <w:rsid w:val="00C944EC"/>
    <w:rsid w:val="00C94840"/>
    <w:rsid w:val="00C954B1"/>
    <w:rsid w:val="00C96872"/>
    <w:rsid w:val="00C97A83"/>
    <w:rsid w:val="00CA39AB"/>
    <w:rsid w:val="00CA3AC6"/>
    <w:rsid w:val="00CA3B42"/>
    <w:rsid w:val="00CA3EF2"/>
    <w:rsid w:val="00CA4DC2"/>
    <w:rsid w:val="00CA4EE3"/>
    <w:rsid w:val="00CA7006"/>
    <w:rsid w:val="00CB027F"/>
    <w:rsid w:val="00CB1A67"/>
    <w:rsid w:val="00CB1FAA"/>
    <w:rsid w:val="00CB27E8"/>
    <w:rsid w:val="00CB284F"/>
    <w:rsid w:val="00CB3367"/>
    <w:rsid w:val="00CB353D"/>
    <w:rsid w:val="00CB415D"/>
    <w:rsid w:val="00CB61A0"/>
    <w:rsid w:val="00CB72F0"/>
    <w:rsid w:val="00CC0EBB"/>
    <w:rsid w:val="00CC37AB"/>
    <w:rsid w:val="00CC4273"/>
    <w:rsid w:val="00CC6297"/>
    <w:rsid w:val="00CC7690"/>
    <w:rsid w:val="00CD1986"/>
    <w:rsid w:val="00CD1CA6"/>
    <w:rsid w:val="00CD2876"/>
    <w:rsid w:val="00CD306D"/>
    <w:rsid w:val="00CD38BE"/>
    <w:rsid w:val="00CD54BF"/>
    <w:rsid w:val="00CD6906"/>
    <w:rsid w:val="00CD73DA"/>
    <w:rsid w:val="00CE1DFF"/>
    <w:rsid w:val="00CE4D5C"/>
    <w:rsid w:val="00CE544B"/>
    <w:rsid w:val="00CE5B00"/>
    <w:rsid w:val="00CF05DA"/>
    <w:rsid w:val="00CF1484"/>
    <w:rsid w:val="00CF4CBF"/>
    <w:rsid w:val="00CF5782"/>
    <w:rsid w:val="00CF58EB"/>
    <w:rsid w:val="00CF6FEC"/>
    <w:rsid w:val="00CF7750"/>
    <w:rsid w:val="00CF77E8"/>
    <w:rsid w:val="00D005DF"/>
    <w:rsid w:val="00D0106E"/>
    <w:rsid w:val="00D02DBC"/>
    <w:rsid w:val="00D06383"/>
    <w:rsid w:val="00D07AE3"/>
    <w:rsid w:val="00D120D7"/>
    <w:rsid w:val="00D15978"/>
    <w:rsid w:val="00D1747F"/>
    <w:rsid w:val="00D20E85"/>
    <w:rsid w:val="00D2212A"/>
    <w:rsid w:val="00D23341"/>
    <w:rsid w:val="00D23D3D"/>
    <w:rsid w:val="00D23D4D"/>
    <w:rsid w:val="00D24615"/>
    <w:rsid w:val="00D25426"/>
    <w:rsid w:val="00D25ACD"/>
    <w:rsid w:val="00D2774B"/>
    <w:rsid w:val="00D27E2C"/>
    <w:rsid w:val="00D300CE"/>
    <w:rsid w:val="00D302D5"/>
    <w:rsid w:val="00D30B2A"/>
    <w:rsid w:val="00D31702"/>
    <w:rsid w:val="00D33BB2"/>
    <w:rsid w:val="00D359F1"/>
    <w:rsid w:val="00D362E2"/>
    <w:rsid w:val="00D36EB1"/>
    <w:rsid w:val="00D37842"/>
    <w:rsid w:val="00D42DC2"/>
    <w:rsid w:val="00D44669"/>
    <w:rsid w:val="00D45135"/>
    <w:rsid w:val="00D457F2"/>
    <w:rsid w:val="00D526D8"/>
    <w:rsid w:val="00D52EB0"/>
    <w:rsid w:val="00D537E1"/>
    <w:rsid w:val="00D55BB2"/>
    <w:rsid w:val="00D5642F"/>
    <w:rsid w:val="00D565E4"/>
    <w:rsid w:val="00D571E4"/>
    <w:rsid w:val="00D600EC"/>
    <w:rsid w:val="00D6091A"/>
    <w:rsid w:val="00D627C8"/>
    <w:rsid w:val="00D6499E"/>
    <w:rsid w:val="00D6605A"/>
    <w:rsid w:val="00D6695F"/>
    <w:rsid w:val="00D66FC6"/>
    <w:rsid w:val="00D704B7"/>
    <w:rsid w:val="00D70FC3"/>
    <w:rsid w:val="00D72BC4"/>
    <w:rsid w:val="00D73CA6"/>
    <w:rsid w:val="00D741B8"/>
    <w:rsid w:val="00D75644"/>
    <w:rsid w:val="00D76113"/>
    <w:rsid w:val="00D77648"/>
    <w:rsid w:val="00D779E0"/>
    <w:rsid w:val="00D81656"/>
    <w:rsid w:val="00D819A6"/>
    <w:rsid w:val="00D82876"/>
    <w:rsid w:val="00D83D87"/>
    <w:rsid w:val="00D83F03"/>
    <w:rsid w:val="00D84A6D"/>
    <w:rsid w:val="00D84A92"/>
    <w:rsid w:val="00D86A30"/>
    <w:rsid w:val="00D916E1"/>
    <w:rsid w:val="00D91D2A"/>
    <w:rsid w:val="00D947FA"/>
    <w:rsid w:val="00D96175"/>
    <w:rsid w:val="00D97CB4"/>
    <w:rsid w:val="00D97DD4"/>
    <w:rsid w:val="00DA0880"/>
    <w:rsid w:val="00DA1053"/>
    <w:rsid w:val="00DA4536"/>
    <w:rsid w:val="00DA5A8A"/>
    <w:rsid w:val="00DA600F"/>
    <w:rsid w:val="00DA77ED"/>
    <w:rsid w:val="00DB2466"/>
    <w:rsid w:val="00DB26CD"/>
    <w:rsid w:val="00DB3D26"/>
    <w:rsid w:val="00DB441C"/>
    <w:rsid w:val="00DB44AF"/>
    <w:rsid w:val="00DC048A"/>
    <w:rsid w:val="00DC0E58"/>
    <w:rsid w:val="00DC128E"/>
    <w:rsid w:val="00DC1F58"/>
    <w:rsid w:val="00DC339B"/>
    <w:rsid w:val="00DC46C1"/>
    <w:rsid w:val="00DC5462"/>
    <w:rsid w:val="00DC5D40"/>
    <w:rsid w:val="00DC69A7"/>
    <w:rsid w:val="00DC753F"/>
    <w:rsid w:val="00DD1966"/>
    <w:rsid w:val="00DD30E9"/>
    <w:rsid w:val="00DD3723"/>
    <w:rsid w:val="00DD4F47"/>
    <w:rsid w:val="00DD53DA"/>
    <w:rsid w:val="00DD6F2C"/>
    <w:rsid w:val="00DD7FBB"/>
    <w:rsid w:val="00DE0B9F"/>
    <w:rsid w:val="00DE28A4"/>
    <w:rsid w:val="00DE2A9E"/>
    <w:rsid w:val="00DE3358"/>
    <w:rsid w:val="00DE4238"/>
    <w:rsid w:val="00DE657F"/>
    <w:rsid w:val="00DE6D3E"/>
    <w:rsid w:val="00DE6E28"/>
    <w:rsid w:val="00DF0C1C"/>
    <w:rsid w:val="00DF0FB8"/>
    <w:rsid w:val="00DF1218"/>
    <w:rsid w:val="00DF5B12"/>
    <w:rsid w:val="00DF6462"/>
    <w:rsid w:val="00DF7492"/>
    <w:rsid w:val="00DF7633"/>
    <w:rsid w:val="00E02FA0"/>
    <w:rsid w:val="00E036DC"/>
    <w:rsid w:val="00E03DF0"/>
    <w:rsid w:val="00E053B4"/>
    <w:rsid w:val="00E06614"/>
    <w:rsid w:val="00E06AA0"/>
    <w:rsid w:val="00E10454"/>
    <w:rsid w:val="00E112E5"/>
    <w:rsid w:val="00E11ECA"/>
    <w:rsid w:val="00E12CC8"/>
    <w:rsid w:val="00E12FDE"/>
    <w:rsid w:val="00E130DA"/>
    <w:rsid w:val="00E1472C"/>
    <w:rsid w:val="00E15352"/>
    <w:rsid w:val="00E167A4"/>
    <w:rsid w:val="00E2094E"/>
    <w:rsid w:val="00E21CC7"/>
    <w:rsid w:val="00E2298A"/>
    <w:rsid w:val="00E22ADC"/>
    <w:rsid w:val="00E233BD"/>
    <w:rsid w:val="00E2344B"/>
    <w:rsid w:val="00E2434A"/>
    <w:rsid w:val="00E24D9E"/>
    <w:rsid w:val="00E24DDF"/>
    <w:rsid w:val="00E24F5B"/>
    <w:rsid w:val="00E2512A"/>
    <w:rsid w:val="00E25760"/>
    <w:rsid w:val="00E25849"/>
    <w:rsid w:val="00E25887"/>
    <w:rsid w:val="00E263C1"/>
    <w:rsid w:val="00E30491"/>
    <w:rsid w:val="00E30CE7"/>
    <w:rsid w:val="00E3197E"/>
    <w:rsid w:val="00E319D6"/>
    <w:rsid w:val="00E33936"/>
    <w:rsid w:val="00E342F8"/>
    <w:rsid w:val="00E34353"/>
    <w:rsid w:val="00E348D1"/>
    <w:rsid w:val="00E34D9B"/>
    <w:rsid w:val="00E351ED"/>
    <w:rsid w:val="00E3797D"/>
    <w:rsid w:val="00E40672"/>
    <w:rsid w:val="00E40EC3"/>
    <w:rsid w:val="00E41AB3"/>
    <w:rsid w:val="00E42068"/>
    <w:rsid w:val="00E42B38"/>
    <w:rsid w:val="00E43DF6"/>
    <w:rsid w:val="00E4409A"/>
    <w:rsid w:val="00E44FAE"/>
    <w:rsid w:val="00E457A3"/>
    <w:rsid w:val="00E46BBB"/>
    <w:rsid w:val="00E5006E"/>
    <w:rsid w:val="00E5029B"/>
    <w:rsid w:val="00E50B07"/>
    <w:rsid w:val="00E524D6"/>
    <w:rsid w:val="00E54764"/>
    <w:rsid w:val="00E548EB"/>
    <w:rsid w:val="00E55A53"/>
    <w:rsid w:val="00E566D0"/>
    <w:rsid w:val="00E57F86"/>
    <w:rsid w:val="00E6034B"/>
    <w:rsid w:val="00E634F8"/>
    <w:rsid w:val="00E6549E"/>
    <w:rsid w:val="00E65EDE"/>
    <w:rsid w:val="00E702A5"/>
    <w:rsid w:val="00E70F81"/>
    <w:rsid w:val="00E7392A"/>
    <w:rsid w:val="00E75C93"/>
    <w:rsid w:val="00E76778"/>
    <w:rsid w:val="00E77055"/>
    <w:rsid w:val="00E77460"/>
    <w:rsid w:val="00E810CE"/>
    <w:rsid w:val="00E83ABC"/>
    <w:rsid w:val="00E843A1"/>
    <w:rsid w:val="00E844F2"/>
    <w:rsid w:val="00E8797E"/>
    <w:rsid w:val="00E87AA7"/>
    <w:rsid w:val="00E90AD0"/>
    <w:rsid w:val="00E91462"/>
    <w:rsid w:val="00E92F67"/>
    <w:rsid w:val="00E92FCB"/>
    <w:rsid w:val="00E94386"/>
    <w:rsid w:val="00E95B88"/>
    <w:rsid w:val="00E95C0C"/>
    <w:rsid w:val="00E962DC"/>
    <w:rsid w:val="00EA0774"/>
    <w:rsid w:val="00EA117A"/>
    <w:rsid w:val="00EA147F"/>
    <w:rsid w:val="00EA15D9"/>
    <w:rsid w:val="00EA2722"/>
    <w:rsid w:val="00EA3A50"/>
    <w:rsid w:val="00EA3BAD"/>
    <w:rsid w:val="00EA4A27"/>
    <w:rsid w:val="00EA4FA6"/>
    <w:rsid w:val="00EA5B4A"/>
    <w:rsid w:val="00EA6109"/>
    <w:rsid w:val="00EA6B24"/>
    <w:rsid w:val="00EB07AF"/>
    <w:rsid w:val="00EB1A25"/>
    <w:rsid w:val="00EB2D6B"/>
    <w:rsid w:val="00EB3553"/>
    <w:rsid w:val="00EB4D6F"/>
    <w:rsid w:val="00EB620F"/>
    <w:rsid w:val="00EB6DA8"/>
    <w:rsid w:val="00EC0033"/>
    <w:rsid w:val="00EC1E33"/>
    <w:rsid w:val="00EC4928"/>
    <w:rsid w:val="00EC5BF4"/>
    <w:rsid w:val="00EC5F50"/>
    <w:rsid w:val="00ED03AB"/>
    <w:rsid w:val="00ED18CC"/>
    <w:rsid w:val="00ED1CD4"/>
    <w:rsid w:val="00ED1D2B"/>
    <w:rsid w:val="00ED3265"/>
    <w:rsid w:val="00ED5700"/>
    <w:rsid w:val="00ED64B5"/>
    <w:rsid w:val="00EE3672"/>
    <w:rsid w:val="00EE52DB"/>
    <w:rsid w:val="00EE576B"/>
    <w:rsid w:val="00EE6D5C"/>
    <w:rsid w:val="00EE7784"/>
    <w:rsid w:val="00EE7CCA"/>
    <w:rsid w:val="00EF16A5"/>
    <w:rsid w:val="00EF47A8"/>
    <w:rsid w:val="00EF785B"/>
    <w:rsid w:val="00EF7E03"/>
    <w:rsid w:val="00F00700"/>
    <w:rsid w:val="00F02583"/>
    <w:rsid w:val="00F07D1F"/>
    <w:rsid w:val="00F10944"/>
    <w:rsid w:val="00F145E4"/>
    <w:rsid w:val="00F16A14"/>
    <w:rsid w:val="00F173CB"/>
    <w:rsid w:val="00F22792"/>
    <w:rsid w:val="00F22DB7"/>
    <w:rsid w:val="00F240A1"/>
    <w:rsid w:val="00F26B1C"/>
    <w:rsid w:val="00F276ED"/>
    <w:rsid w:val="00F27C48"/>
    <w:rsid w:val="00F331D0"/>
    <w:rsid w:val="00F3341A"/>
    <w:rsid w:val="00F3370F"/>
    <w:rsid w:val="00F33E24"/>
    <w:rsid w:val="00F3430E"/>
    <w:rsid w:val="00F35DC0"/>
    <w:rsid w:val="00F362D7"/>
    <w:rsid w:val="00F37D7B"/>
    <w:rsid w:val="00F4449C"/>
    <w:rsid w:val="00F46628"/>
    <w:rsid w:val="00F46F50"/>
    <w:rsid w:val="00F50EA7"/>
    <w:rsid w:val="00F521FB"/>
    <w:rsid w:val="00F5314C"/>
    <w:rsid w:val="00F54AD9"/>
    <w:rsid w:val="00F566E9"/>
    <w:rsid w:val="00F5688C"/>
    <w:rsid w:val="00F57E63"/>
    <w:rsid w:val="00F60048"/>
    <w:rsid w:val="00F606D3"/>
    <w:rsid w:val="00F635DD"/>
    <w:rsid w:val="00F6627B"/>
    <w:rsid w:val="00F66B67"/>
    <w:rsid w:val="00F718AC"/>
    <w:rsid w:val="00F72DB7"/>
    <w:rsid w:val="00F730C2"/>
    <w:rsid w:val="00F7336E"/>
    <w:rsid w:val="00F734F2"/>
    <w:rsid w:val="00F73E14"/>
    <w:rsid w:val="00F75052"/>
    <w:rsid w:val="00F76927"/>
    <w:rsid w:val="00F804D3"/>
    <w:rsid w:val="00F80744"/>
    <w:rsid w:val="00F81CD2"/>
    <w:rsid w:val="00F82641"/>
    <w:rsid w:val="00F83760"/>
    <w:rsid w:val="00F85879"/>
    <w:rsid w:val="00F85D91"/>
    <w:rsid w:val="00F865BB"/>
    <w:rsid w:val="00F87B8B"/>
    <w:rsid w:val="00F90C68"/>
    <w:rsid w:val="00F90F18"/>
    <w:rsid w:val="00F920DE"/>
    <w:rsid w:val="00F92BBA"/>
    <w:rsid w:val="00F92F08"/>
    <w:rsid w:val="00F937E4"/>
    <w:rsid w:val="00F95EE7"/>
    <w:rsid w:val="00F9753A"/>
    <w:rsid w:val="00F97560"/>
    <w:rsid w:val="00FA1FA6"/>
    <w:rsid w:val="00FA39E6"/>
    <w:rsid w:val="00FA453F"/>
    <w:rsid w:val="00FA5396"/>
    <w:rsid w:val="00FA62E8"/>
    <w:rsid w:val="00FA6979"/>
    <w:rsid w:val="00FA7BC9"/>
    <w:rsid w:val="00FB1DB9"/>
    <w:rsid w:val="00FB378E"/>
    <w:rsid w:val="00FB37F1"/>
    <w:rsid w:val="00FB3B5D"/>
    <w:rsid w:val="00FB3D05"/>
    <w:rsid w:val="00FB47C0"/>
    <w:rsid w:val="00FB501B"/>
    <w:rsid w:val="00FB7770"/>
    <w:rsid w:val="00FC03A3"/>
    <w:rsid w:val="00FC0A95"/>
    <w:rsid w:val="00FC4B75"/>
    <w:rsid w:val="00FD00A5"/>
    <w:rsid w:val="00FD00AC"/>
    <w:rsid w:val="00FD0AC3"/>
    <w:rsid w:val="00FD1093"/>
    <w:rsid w:val="00FD185F"/>
    <w:rsid w:val="00FD2494"/>
    <w:rsid w:val="00FD3214"/>
    <w:rsid w:val="00FD3B91"/>
    <w:rsid w:val="00FD525D"/>
    <w:rsid w:val="00FD576B"/>
    <w:rsid w:val="00FD579E"/>
    <w:rsid w:val="00FD6845"/>
    <w:rsid w:val="00FD6C36"/>
    <w:rsid w:val="00FD7A75"/>
    <w:rsid w:val="00FE060A"/>
    <w:rsid w:val="00FE152D"/>
    <w:rsid w:val="00FE27DB"/>
    <w:rsid w:val="00FE4516"/>
    <w:rsid w:val="00FE616D"/>
    <w:rsid w:val="00FE64C8"/>
    <w:rsid w:val="00FE6C7E"/>
    <w:rsid w:val="00FF155C"/>
    <w:rsid w:val="00FF5017"/>
    <w:rsid w:val="00FF5400"/>
    <w:rsid w:val="00FF661B"/>
    <w:rsid w:val="00FF6AE2"/>
    <w:rsid w:val="00FF6B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269581E-3F5B-4F85-BAFC-E4E84551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HTML">
    <w:name w:val="HTML Preformatted"/>
    <w:basedOn w:val="a6"/>
    <w:link w:val="HTML0"/>
    <w:uiPriority w:val="99"/>
    <w:semiHidden/>
    <w:unhideWhenUsed/>
    <w:rsid w:val="008A6B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8A6B4D"/>
    <w:rPr>
      <w:rFonts w:ascii="細明體" w:eastAsia="細明體" w:hAnsi="細明體" w:cs="細明體"/>
      <w:sz w:val="24"/>
      <w:szCs w:val="24"/>
    </w:rPr>
  </w:style>
  <w:style w:type="paragraph" w:styleId="afa">
    <w:name w:val="footnote text"/>
    <w:basedOn w:val="a6"/>
    <w:link w:val="afb"/>
    <w:uiPriority w:val="99"/>
    <w:rsid w:val="00B279B7"/>
    <w:pPr>
      <w:overflowPunct/>
      <w:autoSpaceDE/>
      <w:autoSpaceDN/>
      <w:snapToGrid w:val="0"/>
      <w:jc w:val="left"/>
    </w:pPr>
    <w:rPr>
      <w:rFonts w:ascii="Times New Roman" w:eastAsia="新細明體"/>
      <w:sz w:val="20"/>
      <w:lang w:val="x-none" w:eastAsia="x-none"/>
    </w:rPr>
  </w:style>
  <w:style w:type="character" w:customStyle="1" w:styleId="afb">
    <w:name w:val="註腳文字 字元"/>
    <w:basedOn w:val="a7"/>
    <w:link w:val="afa"/>
    <w:uiPriority w:val="99"/>
    <w:rsid w:val="00B279B7"/>
    <w:rPr>
      <w:kern w:val="2"/>
      <w:lang w:val="x-none" w:eastAsia="x-none"/>
    </w:rPr>
  </w:style>
  <w:style w:type="character" w:styleId="afc">
    <w:name w:val="footnote reference"/>
    <w:uiPriority w:val="99"/>
    <w:semiHidden/>
    <w:rsid w:val="00B279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5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h.wikipedia.org/wiki/%E7%94%9F%E7%94%A2"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zh.wikipedia.org/wiki/%E5%88%A9%E6%B6%A6" TargetMode="External"/><Relationship Id="rId2" Type="http://schemas.openxmlformats.org/officeDocument/2006/relationships/customXml" Target="../customXml/item1.xml"/><Relationship Id="rId16" Type="http://schemas.openxmlformats.org/officeDocument/2006/relationships/hyperlink" Target="https://zh.wikipedia.org/wiki/%E5%9E%84%E6%96%AD"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zh.wikipedia.org/wiki/%E5%9E%84%E6%96%AD" TargetMode="Externa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zh.wikipedia.org/wiki/%E5%A3%9F%E6%96%B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584F7-A253-4C44-9AA3-06D8AC025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38</Pages>
  <Words>2934</Words>
  <Characters>16730</Characters>
  <Application>Microsoft Office Word</Application>
  <DocSecurity>0</DocSecurity>
  <Lines>139</Lines>
  <Paragraphs>39</Paragraphs>
  <ScaleCrop>false</ScaleCrop>
  <Company>cy</Company>
  <LinksUpToDate>false</LinksUpToDate>
  <CharactersWithSpaces>19625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容梅玲</dc:creator>
  <cp:lastModifiedBy>曾莉雯</cp:lastModifiedBy>
  <cp:revision>4</cp:revision>
  <cp:lastPrinted>2017-05-19T09:10:00Z</cp:lastPrinted>
  <dcterms:created xsi:type="dcterms:W3CDTF">2017-05-22T02:46:00Z</dcterms:created>
  <dcterms:modified xsi:type="dcterms:W3CDTF">2017-05-23T02:54:00Z</dcterms:modified>
</cp:coreProperties>
</file>