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B42DC" w:rsidRDefault="00A3260D" w:rsidP="00F37D7B">
      <w:pPr>
        <w:pStyle w:val="af3"/>
      </w:pPr>
      <w:r w:rsidRPr="006B42DC">
        <w:rPr>
          <w:rFonts w:hint="eastAsia"/>
        </w:rPr>
        <w:t>調查</w:t>
      </w:r>
      <w:r w:rsidR="00D75644" w:rsidRPr="006B42DC">
        <w:rPr>
          <w:rFonts w:hint="eastAsia"/>
        </w:rPr>
        <w:t>報告</w:t>
      </w:r>
    </w:p>
    <w:p w:rsidR="00E25849" w:rsidRPr="006B42D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6B42DC">
        <w:rPr>
          <w:rFonts w:hint="eastAsia"/>
        </w:rPr>
        <w:t>案　　由：</w:t>
      </w:r>
      <w:bookmarkEnd w:id="0"/>
      <w:bookmarkEnd w:id="1"/>
      <w:bookmarkEnd w:id="2"/>
      <w:bookmarkEnd w:id="3"/>
      <w:bookmarkEnd w:id="4"/>
      <w:bookmarkEnd w:id="5"/>
      <w:bookmarkEnd w:id="6"/>
      <w:bookmarkEnd w:id="7"/>
      <w:bookmarkEnd w:id="8"/>
      <w:bookmarkEnd w:id="9"/>
      <w:r w:rsidR="001C0DA8" w:rsidRPr="006B42DC">
        <w:fldChar w:fldCharType="begin"/>
      </w:r>
      <w:r w:rsidRPr="006B42DC">
        <w:instrText xml:space="preserve"> MERGEFIELD </w:instrText>
      </w:r>
      <w:r w:rsidRPr="006B42DC">
        <w:rPr>
          <w:rFonts w:hint="eastAsia"/>
        </w:rPr>
        <w:instrText>案由</w:instrText>
      </w:r>
      <w:r w:rsidRPr="006B42DC">
        <w:instrText xml:space="preserve"> </w:instrText>
      </w:r>
      <w:r w:rsidR="001C0DA8" w:rsidRPr="006B42DC">
        <w:fldChar w:fldCharType="separate"/>
      </w:r>
      <w:bookmarkEnd w:id="11"/>
      <w:r w:rsidR="007702B4" w:rsidRPr="006B42DC">
        <w:rPr>
          <w:noProof/>
        </w:rPr>
        <w:t>交通部為健全危險物品船舶運輸安全管理，訂定商港法等規範，惟相關規範及管理機制仍欠周妥，亟待賡續研謀改善等情案。</w:t>
      </w:r>
      <w:bookmarkEnd w:id="10"/>
      <w:r w:rsidR="001C0DA8" w:rsidRPr="006B42DC">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6B42DC"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B42DC">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B42DC" w:rsidRDefault="00FB71F8" w:rsidP="00A639F4">
      <w:pPr>
        <w:pStyle w:val="10"/>
        <w:ind w:left="680" w:firstLine="680"/>
      </w:pPr>
      <w:bookmarkStart w:id="49" w:name="_Toc524902730"/>
      <w:r w:rsidRPr="006B42DC">
        <w:rPr>
          <w:rFonts w:hint="eastAsia"/>
        </w:rPr>
        <w:t>因民國（下同）104年8月</w:t>
      </w:r>
      <w:r w:rsidR="000C4E09" w:rsidRPr="006B42DC">
        <w:rPr>
          <w:rFonts w:hint="eastAsia"/>
        </w:rPr>
        <w:t>大陸</w:t>
      </w:r>
      <w:r w:rsidRPr="006B42DC">
        <w:rPr>
          <w:rFonts w:hint="eastAsia"/>
        </w:rPr>
        <w:t>天津濱海新區發生大爆炸，經「天津港爆炸事故調查組」的調查報告認定，該事其直接原因是貨櫃內硝化棉局部</w:t>
      </w:r>
      <w:proofErr w:type="gramStart"/>
      <w:r w:rsidRPr="006B42DC">
        <w:rPr>
          <w:rFonts w:hint="eastAsia"/>
        </w:rPr>
        <w:t>乾燥，</w:t>
      </w:r>
      <w:proofErr w:type="gramEnd"/>
      <w:r w:rsidRPr="006B42DC">
        <w:rPr>
          <w:rFonts w:hint="eastAsia"/>
        </w:rPr>
        <w:t>在高溫等因素的作用下加速分解放熱，積熱自燃，最後致</w:t>
      </w:r>
      <w:proofErr w:type="gramStart"/>
      <w:r w:rsidRPr="006B42DC">
        <w:rPr>
          <w:rFonts w:hint="eastAsia"/>
        </w:rPr>
        <w:t>硝酸銨等危險</w:t>
      </w:r>
      <w:proofErr w:type="gramEnd"/>
      <w:r w:rsidRPr="006B42DC">
        <w:rPr>
          <w:rFonts w:hint="eastAsia"/>
        </w:rPr>
        <w:t>化學品發生爆炸。事故共造成165人</w:t>
      </w:r>
      <w:r w:rsidR="004349C9" w:rsidRPr="006B42DC">
        <w:rPr>
          <w:rFonts w:hint="eastAsia"/>
        </w:rPr>
        <w:t>死亡</w:t>
      </w:r>
      <w:r w:rsidRPr="006B42DC">
        <w:rPr>
          <w:rFonts w:hint="eastAsia"/>
        </w:rPr>
        <w:t>、8人失蹤，798人受傷，已核定直接經濟損失68.66億元人民幣，其中消防公安人員占死亡人數中的110人，顯見港區危險品落實管理之重要性。又本案</w:t>
      </w:r>
      <w:proofErr w:type="gramStart"/>
      <w:r w:rsidRPr="006B42DC">
        <w:rPr>
          <w:rFonts w:hint="eastAsia"/>
        </w:rPr>
        <w:t>係據審計部函</w:t>
      </w:r>
      <w:proofErr w:type="gramEnd"/>
      <w:r w:rsidRPr="006B42DC">
        <w:rPr>
          <w:rFonts w:hint="eastAsia"/>
        </w:rPr>
        <w:t>送「中華民國</w:t>
      </w:r>
      <w:proofErr w:type="gramStart"/>
      <w:r w:rsidRPr="006B42DC">
        <w:rPr>
          <w:rFonts w:hint="eastAsia"/>
        </w:rPr>
        <w:t>104</w:t>
      </w:r>
      <w:proofErr w:type="gramEnd"/>
      <w:r w:rsidRPr="006B42DC">
        <w:rPr>
          <w:rFonts w:hint="eastAsia"/>
        </w:rPr>
        <w:t>年度中央政府總決算審核報告」，案由係交通部為健全危險物品船舶運輸安全管理，</w:t>
      </w:r>
      <w:r w:rsidR="005C5070" w:rsidRPr="006B42DC">
        <w:rPr>
          <w:rFonts w:hint="eastAsia"/>
        </w:rPr>
        <w:t>制定</w:t>
      </w:r>
      <w:r w:rsidRPr="006B42DC">
        <w:rPr>
          <w:rFonts w:hint="eastAsia"/>
        </w:rPr>
        <w:t>商港法等規範，惟相關規範及管理機制仍欠周妥，亟待</w:t>
      </w:r>
      <w:proofErr w:type="gramStart"/>
      <w:r w:rsidRPr="006B42DC">
        <w:rPr>
          <w:rFonts w:hint="eastAsia"/>
        </w:rPr>
        <w:t>賡</w:t>
      </w:r>
      <w:proofErr w:type="gramEnd"/>
      <w:r w:rsidRPr="006B42DC">
        <w:rPr>
          <w:rFonts w:hint="eastAsia"/>
        </w:rPr>
        <w:t>續</w:t>
      </w:r>
      <w:proofErr w:type="gramStart"/>
      <w:r w:rsidRPr="006B42DC">
        <w:rPr>
          <w:rFonts w:hint="eastAsia"/>
        </w:rPr>
        <w:t>研</w:t>
      </w:r>
      <w:proofErr w:type="gramEnd"/>
      <w:r w:rsidRPr="006B42DC">
        <w:rPr>
          <w:rFonts w:hint="eastAsia"/>
        </w:rPr>
        <w:t>謀改善等情，經105年10月11日本院交通及採購委員會第5屆第27次會議決議，推派調查。案經本院函</w:t>
      </w:r>
      <w:proofErr w:type="gramStart"/>
      <w:r w:rsidRPr="006B42DC">
        <w:rPr>
          <w:rFonts w:hint="eastAsia"/>
        </w:rPr>
        <w:t>詢</w:t>
      </w:r>
      <w:proofErr w:type="gramEnd"/>
      <w:r w:rsidRPr="006B42DC">
        <w:rPr>
          <w:rFonts w:hint="eastAsia"/>
        </w:rPr>
        <w:t>交通部、財政部關務署及審計部，並於106年1月6日及13日履</w:t>
      </w:r>
      <w:proofErr w:type="gramStart"/>
      <w:r w:rsidRPr="006B42DC">
        <w:rPr>
          <w:rFonts w:hint="eastAsia"/>
        </w:rPr>
        <w:t>勘</w:t>
      </w:r>
      <w:proofErr w:type="gramEnd"/>
      <w:r w:rsidRPr="006B42DC">
        <w:rPr>
          <w:rFonts w:hint="eastAsia"/>
        </w:rPr>
        <w:t>基隆港及高雄港，除實地履</w:t>
      </w:r>
      <w:proofErr w:type="gramStart"/>
      <w:r w:rsidRPr="006B42DC">
        <w:rPr>
          <w:rFonts w:hint="eastAsia"/>
        </w:rPr>
        <w:t>勘</w:t>
      </w:r>
      <w:proofErr w:type="gramEnd"/>
      <w:r w:rsidRPr="006B42DC">
        <w:rPr>
          <w:rFonts w:hint="eastAsia"/>
        </w:rPr>
        <w:t>港口危險品運送相關之碼頭、裝卸、倉儲及運送等相關設施及場所，並邀請相關航運業者座談，</w:t>
      </w:r>
      <w:proofErr w:type="gramStart"/>
      <w:r w:rsidRPr="006B42DC">
        <w:rPr>
          <w:rFonts w:hint="eastAsia"/>
        </w:rPr>
        <w:t>嗣</w:t>
      </w:r>
      <w:proofErr w:type="gramEnd"/>
      <w:r w:rsidRPr="006B42DC">
        <w:rPr>
          <w:rFonts w:hint="eastAsia"/>
        </w:rPr>
        <w:t>於同年2月23日諮詢相關學術界、</w:t>
      </w:r>
      <w:r w:rsidR="001A41E3" w:rsidRPr="006B42DC">
        <w:rPr>
          <w:rFonts w:hint="eastAsia"/>
        </w:rPr>
        <w:t>法學界</w:t>
      </w:r>
      <w:r w:rsidRPr="006B42DC">
        <w:rPr>
          <w:rFonts w:hint="eastAsia"/>
        </w:rPr>
        <w:t>及實務界之學者專家，及同年3月24日詢問交通部暨其所屬航港局（下稱航港局）、臺灣港務</w:t>
      </w:r>
      <w:r w:rsidR="000C4E09" w:rsidRPr="006B42DC">
        <w:rPr>
          <w:rFonts w:hint="eastAsia"/>
        </w:rPr>
        <w:t>股份有限公司</w:t>
      </w:r>
      <w:r w:rsidRPr="006B42DC">
        <w:rPr>
          <w:rFonts w:hint="eastAsia"/>
        </w:rPr>
        <w:t>(下稱港務公司)、財政部關務署等相關主管人員，</w:t>
      </w:r>
      <w:r w:rsidR="00FB501B" w:rsidRPr="006B42DC">
        <w:rPr>
          <w:rFonts w:hint="eastAsia"/>
        </w:rPr>
        <w:t>已調查完竣，</w:t>
      </w:r>
      <w:proofErr w:type="gramStart"/>
      <w:r w:rsidR="00FB501B" w:rsidRPr="006B42DC">
        <w:rPr>
          <w:rFonts w:hint="eastAsia"/>
        </w:rPr>
        <w:t>綜整有關</w:t>
      </w:r>
      <w:proofErr w:type="gramEnd"/>
      <w:r w:rsidR="00FB501B" w:rsidRPr="006B42DC">
        <w:rPr>
          <w:rFonts w:hint="eastAsia"/>
        </w:rPr>
        <w:t>缺失，</w:t>
      </w:r>
      <w:proofErr w:type="gramStart"/>
      <w:r w:rsidR="00FB501B" w:rsidRPr="006B42DC">
        <w:rPr>
          <w:rFonts w:hint="eastAsia"/>
        </w:rPr>
        <w:t>列述調查</w:t>
      </w:r>
      <w:proofErr w:type="gramEnd"/>
      <w:r w:rsidR="00FB501B" w:rsidRPr="006B42DC">
        <w:rPr>
          <w:rFonts w:hint="eastAsia"/>
        </w:rPr>
        <w:t>意見如下：</w:t>
      </w:r>
    </w:p>
    <w:p w:rsidR="008622C1" w:rsidRPr="006B42DC" w:rsidRDefault="008622C1" w:rsidP="008622C1">
      <w:pPr>
        <w:pStyle w:val="2"/>
        <w:rPr>
          <w:b/>
        </w:rPr>
      </w:pPr>
      <w:bookmarkStart w:id="50" w:name="_Toc421794874"/>
      <w:bookmarkStart w:id="51" w:name="_Toc421795440"/>
      <w:bookmarkStart w:id="52" w:name="_Toc421796021"/>
      <w:bookmarkStart w:id="53" w:name="_Toc422834159"/>
      <w:r w:rsidRPr="006B42DC">
        <w:rPr>
          <w:rFonts w:hint="eastAsia"/>
          <w:b/>
        </w:rPr>
        <w:t>交通部主管危險品船舶運輸安全管理，分由港務公司負責經營及航港局負責監理，惟因欠缺危險品運送資料之分享與勾</w:t>
      </w:r>
      <w:proofErr w:type="gramStart"/>
      <w:r w:rsidRPr="006B42DC">
        <w:rPr>
          <w:rFonts w:hint="eastAsia"/>
          <w:b/>
        </w:rPr>
        <w:t>稽</w:t>
      </w:r>
      <w:proofErr w:type="gramEnd"/>
      <w:r w:rsidRPr="006B42DC">
        <w:rPr>
          <w:rFonts w:hint="eastAsia"/>
          <w:b/>
        </w:rPr>
        <w:t>機制，亦未善用財稅</w:t>
      </w:r>
      <w:proofErr w:type="gramStart"/>
      <w:r w:rsidRPr="006B42DC">
        <w:rPr>
          <w:rFonts w:hint="eastAsia"/>
          <w:b/>
        </w:rPr>
        <w:t>機關之艙單</w:t>
      </w:r>
      <w:proofErr w:type="gramEnd"/>
      <w:r w:rsidRPr="006B42DC">
        <w:rPr>
          <w:rFonts w:hint="eastAsia"/>
          <w:b/>
        </w:rPr>
        <w:t>報單</w:t>
      </w:r>
      <w:r w:rsidRPr="006B42DC">
        <w:rPr>
          <w:rFonts w:hint="eastAsia"/>
          <w:b/>
        </w:rPr>
        <w:lastRenderedPageBreak/>
        <w:t>資料，致生業者未依規定申報危險品情事屢見不鮮，顯見港區危險品運送之經營及</w:t>
      </w:r>
      <w:proofErr w:type="gramStart"/>
      <w:r w:rsidRPr="006B42DC">
        <w:rPr>
          <w:rFonts w:hint="eastAsia"/>
          <w:b/>
        </w:rPr>
        <w:t>監理仍有</w:t>
      </w:r>
      <w:proofErr w:type="gramEnd"/>
      <w:r w:rsidRPr="006B42DC">
        <w:rPr>
          <w:rFonts w:hint="eastAsia"/>
          <w:b/>
        </w:rPr>
        <w:t>提升改善之處，應予檢討改進。</w:t>
      </w:r>
    </w:p>
    <w:p w:rsidR="008622C1" w:rsidRPr="006B42DC" w:rsidRDefault="008622C1" w:rsidP="008622C1">
      <w:pPr>
        <w:pStyle w:val="3"/>
        <w:ind w:left="1358"/>
        <w:rPr>
          <w:rFonts w:hAnsi="標楷體"/>
          <w:szCs w:val="32"/>
        </w:rPr>
      </w:pPr>
      <w:r w:rsidRPr="006B42DC">
        <w:rPr>
          <w:rFonts w:hint="eastAsia"/>
          <w:bCs w:val="0"/>
        </w:rPr>
        <w:t>依商港法第19條規定：「船舶進入國際商</w:t>
      </w:r>
      <w:r w:rsidRPr="006B42DC">
        <w:rPr>
          <w:rFonts w:hAnsi="標楷體" w:hint="eastAsia"/>
          <w:szCs w:val="32"/>
        </w:rPr>
        <w:t>港，應於到達港區</w:t>
      </w:r>
      <w:r w:rsidR="009514B6" w:rsidRPr="006B42DC">
        <w:rPr>
          <w:rFonts w:hAnsi="標楷體" w:hint="eastAsia"/>
          <w:szCs w:val="32"/>
        </w:rPr>
        <w:t>24</w:t>
      </w:r>
      <w:r w:rsidRPr="006B42DC">
        <w:rPr>
          <w:rFonts w:hAnsi="標楷體" w:hint="eastAsia"/>
          <w:szCs w:val="32"/>
        </w:rPr>
        <w:t>小時前，出港應於</w:t>
      </w:r>
      <w:r w:rsidR="009514B6" w:rsidRPr="006B42DC">
        <w:rPr>
          <w:rFonts w:hAnsi="標楷體" w:hint="eastAsia"/>
          <w:szCs w:val="32"/>
        </w:rPr>
        <w:t>12</w:t>
      </w:r>
      <w:r w:rsidRPr="006B42DC">
        <w:rPr>
          <w:rFonts w:hAnsi="標楷體" w:hint="eastAsia"/>
          <w:szCs w:val="32"/>
        </w:rPr>
        <w:t>小時前，由船舶所有人或其代理人據實填具船舶入港或出港預報表，</w:t>
      </w:r>
      <w:proofErr w:type="gramStart"/>
      <w:r w:rsidRPr="006B42DC">
        <w:rPr>
          <w:rFonts w:hAnsi="標楷體" w:hint="eastAsia"/>
          <w:szCs w:val="32"/>
        </w:rPr>
        <w:t>送航港</w:t>
      </w:r>
      <w:proofErr w:type="gramEnd"/>
      <w:r w:rsidRPr="006B42DC">
        <w:rPr>
          <w:rFonts w:hAnsi="標楷體" w:hint="eastAsia"/>
          <w:szCs w:val="32"/>
        </w:rPr>
        <w:t>局查核後，交由商港經營事業機構安排船席…</w:t>
      </w:r>
      <w:proofErr w:type="gramStart"/>
      <w:r w:rsidRPr="006B42DC">
        <w:rPr>
          <w:rFonts w:hAnsi="標楷體" w:hint="eastAsia"/>
          <w:szCs w:val="32"/>
        </w:rPr>
        <w:t>…</w:t>
      </w:r>
      <w:proofErr w:type="gramEnd"/>
      <w:r w:rsidRPr="006B42DC">
        <w:rPr>
          <w:rFonts w:hAnsi="標楷體" w:hint="eastAsia"/>
          <w:szCs w:val="32"/>
        </w:rPr>
        <w:t>。」同法第25條規定：「入港船舶裝載爆炸性、壓縮性、易燃性、氧化性、有毒性、傳染性、放射性、腐蝕性之危險物品者，應先申請商港經營事業機構、航港局或指定機關指定停泊地點後，方得入港。船舶在港區裝卸危險物品，應經商港經營事業機構、航港局或指定機關之同意…</w:t>
      </w:r>
      <w:proofErr w:type="gramStart"/>
      <w:r w:rsidRPr="006B42DC">
        <w:rPr>
          <w:rFonts w:hAnsi="標楷體" w:hint="eastAsia"/>
          <w:szCs w:val="32"/>
        </w:rPr>
        <w:t>…</w:t>
      </w:r>
      <w:proofErr w:type="gramEnd"/>
      <w:r w:rsidRPr="006B42DC">
        <w:rPr>
          <w:rFonts w:hAnsi="標楷體" w:hint="eastAsia"/>
          <w:szCs w:val="32"/>
        </w:rPr>
        <w:t>。」；商港港務管理規則第 3 條第1項規定：「船舶入港，應於到達港區</w:t>
      </w:r>
      <w:r w:rsidR="009514B6" w:rsidRPr="006B42DC">
        <w:rPr>
          <w:rFonts w:hAnsi="標楷體" w:hint="eastAsia"/>
          <w:szCs w:val="32"/>
        </w:rPr>
        <w:t>24</w:t>
      </w:r>
      <w:r w:rsidRPr="006B42DC">
        <w:rPr>
          <w:rFonts w:hAnsi="標楷體" w:hint="eastAsia"/>
          <w:szCs w:val="32"/>
        </w:rPr>
        <w:t>小時前，出港應</w:t>
      </w:r>
      <w:proofErr w:type="gramStart"/>
      <w:r w:rsidRPr="006B42DC">
        <w:rPr>
          <w:rFonts w:hAnsi="標楷體" w:hint="eastAsia"/>
          <w:szCs w:val="32"/>
        </w:rPr>
        <w:t>於發航</w:t>
      </w:r>
      <w:r w:rsidR="009514B6" w:rsidRPr="006B42DC">
        <w:rPr>
          <w:rFonts w:hAnsi="標楷體" w:hint="eastAsia"/>
          <w:szCs w:val="32"/>
        </w:rPr>
        <w:t>12</w:t>
      </w:r>
      <w:r w:rsidRPr="006B42DC">
        <w:rPr>
          <w:rFonts w:hAnsi="標楷體" w:hint="eastAsia"/>
          <w:szCs w:val="32"/>
        </w:rPr>
        <w:t>小時前</w:t>
      </w:r>
      <w:proofErr w:type="gramEnd"/>
      <w:r w:rsidRPr="006B42DC">
        <w:rPr>
          <w:rFonts w:hAnsi="標楷體" w:hint="eastAsia"/>
          <w:szCs w:val="32"/>
        </w:rPr>
        <w:t>，由船舶所有人或其代理人據實填具船舶入港或出港預報表，載明航線、預定到達時間、吃水、船長、貨運種類、數量、船員與旅客人數、到達次一港及目的港等相關資料，國際商港</w:t>
      </w:r>
      <w:proofErr w:type="gramStart"/>
      <w:r w:rsidRPr="006B42DC">
        <w:rPr>
          <w:rFonts w:hAnsi="標楷體" w:hint="eastAsia"/>
          <w:szCs w:val="32"/>
        </w:rPr>
        <w:t>應送航港</w:t>
      </w:r>
      <w:proofErr w:type="gramEnd"/>
      <w:r w:rsidRPr="006B42DC">
        <w:rPr>
          <w:rFonts w:hAnsi="標楷體" w:hint="eastAsia"/>
          <w:szCs w:val="32"/>
        </w:rPr>
        <w:t>局查核後，交由商港經營事業機構安排船席…</w:t>
      </w:r>
      <w:proofErr w:type="gramStart"/>
      <w:r w:rsidRPr="006B42DC">
        <w:rPr>
          <w:rFonts w:hAnsi="標楷體" w:hint="eastAsia"/>
          <w:szCs w:val="32"/>
        </w:rPr>
        <w:t>…</w:t>
      </w:r>
      <w:proofErr w:type="gramEnd"/>
      <w:r w:rsidRPr="006B42DC">
        <w:rPr>
          <w:rFonts w:hAnsi="標楷體" w:hint="eastAsia"/>
          <w:szCs w:val="32"/>
        </w:rPr>
        <w:t>。」由上開規定可知，船舶到達港區24小時前及</w:t>
      </w:r>
      <w:proofErr w:type="gramStart"/>
      <w:r w:rsidRPr="006B42DC">
        <w:rPr>
          <w:rFonts w:hAnsi="標楷體" w:hint="eastAsia"/>
          <w:szCs w:val="32"/>
        </w:rPr>
        <w:t>出港發航12小時前</w:t>
      </w:r>
      <w:proofErr w:type="gramEnd"/>
      <w:r w:rsidRPr="006B42DC">
        <w:rPr>
          <w:rFonts w:hAnsi="標楷體" w:hint="eastAsia"/>
          <w:szCs w:val="32"/>
        </w:rPr>
        <w:t>，應據實填報船舶入港或出港預報表單，載明船舶航線、貨運種類、數量等相關資料。另依商港港務管理規則第33條規定，載運危險物品之船舶應填具危險物品種類、品名、性質、數量及裝卸應注意事項等資料。如業者未依規定申報或未詳實申報，則應依商港法第66條規定，以違反第44條所定商港港務管理規則，處新臺幣（下同）10萬元以上50萬元以下罰鍰。</w:t>
      </w:r>
    </w:p>
    <w:p w:rsidR="008622C1" w:rsidRPr="006B42DC" w:rsidRDefault="008622C1" w:rsidP="008622C1">
      <w:pPr>
        <w:pStyle w:val="3"/>
        <w:ind w:left="1358"/>
        <w:rPr>
          <w:rFonts w:hAnsi="標楷體"/>
          <w:szCs w:val="32"/>
        </w:rPr>
      </w:pPr>
      <w:r w:rsidRPr="006B42DC">
        <w:rPr>
          <w:rFonts w:hAnsi="標楷體" w:hint="eastAsia"/>
          <w:szCs w:val="32"/>
        </w:rPr>
        <w:t>查危險物品載運及裝卸相關申報實務作法，係由業者登入航港局建置之航港單一窗口服務平</w:t>
      </w:r>
      <w:proofErr w:type="gramStart"/>
      <w:r w:rsidRPr="006B42DC">
        <w:rPr>
          <w:rFonts w:hAnsi="標楷體" w:hint="eastAsia"/>
          <w:szCs w:val="32"/>
        </w:rPr>
        <w:t>臺</w:t>
      </w:r>
      <w:proofErr w:type="gramEnd"/>
      <w:r w:rsidRPr="006B42DC">
        <w:rPr>
          <w:rFonts w:hAnsi="標楷體" w:hint="eastAsia"/>
          <w:szCs w:val="32"/>
        </w:rPr>
        <w:t>（下稱</w:t>
      </w:r>
      <w:proofErr w:type="spellStart"/>
      <w:r w:rsidRPr="006B42DC">
        <w:rPr>
          <w:rFonts w:hAnsi="標楷體" w:hint="eastAsia"/>
          <w:szCs w:val="32"/>
        </w:rPr>
        <w:lastRenderedPageBreak/>
        <w:t>MTNet</w:t>
      </w:r>
      <w:proofErr w:type="spellEnd"/>
      <w:r w:rsidRPr="006B42DC">
        <w:rPr>
          <w:rFonts w:hAnsi="標楷體" w:hint="eastAsia"/>
          <w:szCs w:val="32"/>
        </w:rPr>
        <w:t>系統）填報預定到達時間等資料，且須額外標記勾選運載危險物品並提供「船舶危險</w:t>
      </w:r>
      <w:proofErr w:type="gramStart"/>
      <w:r w:rsidRPr="006B42DC">
        <w:rPr>
          <w:rFonts w:hAnsi="標楷體" w:hint="eastAsia"/>
          <w:szCs w:val="32"/>
        </w:rPr>
        <w:t>品適裝</w:t>
      </w:r>
      <w:proofErr w:type="gramEnd"/>
      <w:r w:rsidRPr="006B42DC">
        <w:rPr>
          <w:rFonts w:hAnsi="標楷體" w:hint="eastAsia"/>
          <w:szCs w:val="32"/>
        </w:rPr>
        <w:t>證書」等資料，經航港局查核後，交由港務公司安排船席。另載運危險物品業者須登入港務公司建置之危險物品申報系統，填寫危險物品種類等詳細載運資料，以利港務公司列管各港危險物品進出（轉）口裝卸情形。</w:t>
      </w:r>
      <w:r w:rsidR="004F4DB9" w:rsidRPr="006B42DC">
        <w:rPr>
          <w:rFonts w:hAnsi="標楷體" w:hint="eastAsia"/>
          <w:szCs w:val="32"/>
        </w:rPr>
        <w:t>依審計部查核報告</w:t>
      </w:r>
      <w:r w:rsidRPr="006B42DC">
        <w:rPr>
          <w:rFonts w:hAnsi="標楷體" w:hint="eastAsia"/>
          <w:szCs w:val="32"/>
        </w:rPr>
        <w:t>，為瞭解業者申報危險物品船舶運輸及港區裝卸情形，經利用聯合國國際海事組織</w:t>
      </w:r>
      <w:r w:rsidR="005C5070" w:rsidRPr="006B42DC">
        <w:rPr>
          <w:rFonts w:hAnsi="標楷體" w:hint="eastAsia"/>
          <w:szCs w:val="32"/>
        </w:rPr>
        <w:t>制定</w:t>
      </w:r>
      <w:r w:rsidRPr="006B42DC">
        <w:rPr>
          <w:rFonts w:hAnsi="標楷體" w:hint="eastAsia"/>
          <w:szCs w:val="32"/>
        </w:rPr>
        <w:t>「國際海運危險物品準則」所列之危險物品清冊與經濟部國際貿易局列管之輸出入貨品分類表等資料，勾</w:t>
      </w:r>
      <w:proofErr w:type="gramStart"/>
      <w:r w:rsidRPr="006B42DC">
        <w:rPr>
          <w:rFonts w:hAnsi="標楷體" w:hint="eastAsia"/>
          <w:szCs w:val="32"/>
        </w:rPr>
        <w:t>稽</w:t>
      </w:r>
      <w:proofErr w:type="gramEnd"/>
      <w:r w:rsidRPr="006B42DC">
        <w:rPr>
          <w:rFonts w:hAnsi="標楷體" w:hint="eastAsia"/>
          <w:szCs w:val="32"/>
        </w:rPr>
        <w:t>部分危險物品之貨品分類號列，請財政部關務署提供104年1至8月</w:t>
      </w:r>
      <w:proofErr w:type="gramStart"/>
      <w:r w:rsidRPr="006B42DC">
        <w:rPr>
          <w:rFonts w:hAnsi="標楷體" w:hint="eastAsia"/>
          <w:szCs w:val="32"/>
        </w:rPr>
        <w:t>上開表列</w:t>
      </w:r>
      <w:proofErr w:type="gramEnd"/>
      <w:r w:rsidRPr="006B42DC">
        <w:rPr>
          <w:rFonts w:hAnsi="標楷體" w:hint="eastAsia"/>
          <w:szCs w:val="32"/>
        </w:rPr>
        <w:t>特定危險物品進出口艙單及報單資料；另經請航港局提供104年1至8月份</w:t>
      </w:r>
      <w:proofErr w:type="spellStart"/>
      <w:r w:rsidRPr="006B42DC">
        <w:rPr>
          <w:rFonts w:hAnsi="標楷體" w:hint="eastAsia"/>
          <w:szCs w:val="32"/>
        </w:rPr>
        <w:t>MTNet</w:t>
      </w:r>
      <w:proofErr w:type="spellEnd"/>
      <w:r w:rsidRPr="006B42DC">
        <w:rPr>
          <w:rFonts w:hAnsi="標楷體" w:hint="eastAsia"/>
          <w:szCs w:val="32"/>
        </w:rPr>
        <w:t>系統列管之船舶進出港預報資料，及港務公司提供同期間危險物品申報系統列管之港區危險品裝卸資料，並勾</w:t>
      </w:r>
      <w:proofErr w:type="gramStart"/>
      <w:r w:rsidRPr="006B42DC">
        <w:rPr>
          <w:rFonts w:hAnsi="標楷體" w:hint="eastAsia"/>
          <w:szCs w:val="32"/>
        </w:rPr>
        <w:t>稽</w:t>
      </w:r>
      <w:proofErr w:type="gramEnd"/>
      <w:r w:rsidRPr="006B42DC">
        <w:rPr>
          <w:rFonts w:hAnsi="標楷體" w:hint="eastAsia"/>
          <w:szCs w:val="32"/>
        </w:rPr>
        <w:t>比對結果，僅4,286筆財政部關務署、航港局及港務公司列管之危險物品申報資料完整可供比對，並發現其中1,267艘次載運危險物品船舶未據實填寫進出港</w:t>
      </w:r>
      <w:proofErr w:type="gramStart"/>
      <w:r w:rsidRPr="006B42DC">
        <w:rPr>
          <w:rFonts w:hAnsi="標楷體" w:hint="eastAsia"/>
          <w:szCs w:val="32"/>
        </w:rPr>
        <w:t>預報表向航</w:t>
      </w:r>
      <w:proofErr w:type="gramEnd"/>
      <w:r w:rsidRPr="006B42DC">
        <w:rPr>
          <w:rFonts w:hAnsi="標楷體" w:hint="eastAsia"/>
          <w:szCs w:val="32"/>
        </w:rPr>
        <w:t>港局申報；計有448艘次載運危險物品船舶未向港務公司申請危險物品裝卸作業；計有539艘次載運危險物品船舶未依規定填寫進出港</w:t>
      </w:r>
      <w:proofErr w:type="gramStart"/>
      <w:r w:rsidRPr="006B42DC">
        <w:rPr>
          <w:rFonts w:hAnsi="標楷體" w:hint="eastAsia"/>
          <w:szCs w:val="32"/>
        </w:rPr>
        <w:t>預報表向航</w:t>
      </w:r>
      <w:proofErr w:type="gramEnd"/>
      <w:r w:rsidRPr="006B42DC">
        <w:rPr>
          <w:rFonts w:hAnsi="標楷體" w:hint="eastAsia"/>
          <w:szCs w:val="32"/>
        </w:rPr>
        <w:t>港局申報及未向港務公司申請危險物品裝卸作業；另分析財政部關務署提供之特定危險物品報單資料及港務公司列管之同期間危險物品裝卸資料，查核結果發現計有1,148艘次船舶未詳實向港務公司申報危險物品裝卸品項。由</w:t>
      </w:r>
      <w:proofErr w:type="gramStart"/>
      <w:r w:rsidRPr="006B42DC">
        <w:rPr>
          <w:rFonts w:hAnsi="標楷體" w:hint="eastAsia"/>
          <w:szCs w:val="32"/>
        </w:rPr>
        <w:t>上開函報</w:t>
      </w:r>
      <w:proofErr w:type="gramEnd"/>
      <w:r w:rsidRPr="006B42DC">
        <w:rPr>
          <w:rFonts w:hAnsi="標楷體" w:hint="eastAsia"/>
          <w:szCs w:val="32"/>
        </w:rPr>
        <w:t>結果，4,286艘次裝載危險物品之船舶，共計有3,402艘次存在違規申報情形，違規比率高達79.37％。</w:t>
      </w:r>
    </w:p>
    <w:p w:rsidR="008622C1" w:rsidRPr="006B42DC" w:rsidRDefault="008622C1" w:rsidP="008622C1">
      <w:pPr>
        <w:pStyle w:val="3"/>
        <w:ind w:left="1358"/>
        <w:rPr>
          <w:rFonts w:hAnsi="標楷體"/>
          <w:szCs w:val="32"/>
        </w:rPr>
      </w:pPr>
      <w:r w:rsidRPr="006B42DC">
        <w:rPr>
          <w:rFonts w:hAnsi="標楷體" w:hint="eastAsia"/>
          <w:szCs w:val="32"/>
        </w:rPr>
        <w:t>經查，財政部關務署提供104年1至8月特定危險物品</w:t>
      </w:r>
      <w:r w:rsidRPr="006B42DC">
        <w:rPr>
          <w:rFonts w:hAnsi="標楷體" w:hint="eastAsia"/>
          <w:szCs w:val="32"/>
        </w:rPr>
        <w:lastRenderedPageBreak/>
        <w:t>進出口艙單及報單資料，係以海關進口稅則及中華民國輸出入貨品分類CCC代碼標記，合計4,238艘次，然同期間航港局提供同期間</w:t>
      </w:r>
      <w:proofErr w:type="spellStart"/>
      <w:r w:rsidRPr="006B42DC">
        <w:rPr>
          <w:rFonts w:hAnsi="標楷體" w:hint="eastAsia"/>
          <w:szCs w:val="32"/>
        </w:rPr>
        <w:t>MTNet</w:t>
      </w:r>
      <w:proofErr w:type="spellEnd"/>
      <w:r w:rsidRPr="006B42DC">
        <w:rPr>
          <w:rFonts w:hAnsi="標楷體" w:hint="eastAsia"/>
          <w:szCs w:val="32"/>
        </w:rPr>
        <w:t>系統列管之船舶進出港預報資料及港務公司提供同期間危險物品申報系統列管之港區危險品裝卸資料，則以聯合國代碼UN標記，為884艘次（業者自行申報），又本院由財政部關務署提供104年全年特定危險品進出口艙單及報單資料</w:t>
      </w:r>
      <w:proofErr w:type="gramStart"/>
      <w:r w:rsidRPr="006B42DC">
        <w:rPr>
          <w:rFonts w:hAnsi="標楷體" w:hint="eastAsia"/>
          <w:szCs w:val="32"/>
        </w:rPr>
        <w:t>船舶艘次</w:t>
      </w:r>
      <w:proofErr w:type="gramEnd"/>
      <w:r w:rsidRPr="006B42DC">
        <w:rPr>
          <w:rFonts w:hAnsi="標楷體" w:hint="eastAsia"/>
          <w:szCs w:val="32"/>
        </w:rPr>
        <w:t>，以危險物品代碼IMDG標記，僅為369艘次，且為</w:t>
      </w:r>
      <w:proofErr w:type="gramStart"/>
      <w:r w:rsidRPr="006B42DC">
        <w:rPr>
          <w:rFonts w:hAnsi="標楷體" w:hint="eastAsia"/>
          <w:szCs w:val="32"/>
        </w:rPr>
        <w:t>非必填欄位</w:t>
      </w:r>
      <w:proofErr w:type="gramEnd"/>
      <w:r w:rsidRPr="006B42DC">
        <w:rPr>
          <w:rFonts w:hAnsi="標楷體" w:hint="eastAsia"/>
          <w:szCs w:val="32"/>
        </w:rPr>
        <w:t>，由業者自主申報，顯示危險品資料勾</w:t>
      </w:r>
      <w:proofErr w:type="gramStart"/>
      <w:r w:rsidRPr="006B42DC">
        <w:rPr>
          <w:rFonts w:hAnsi="標楷體" w:hint="eastAsia"/>
          <w:szCs w:val="32"/>
        </w:rPr>
        <w:t>稽</w:t>
      </w:r>
      <w:proofErr w:type="gramEnd"/>
      <w:r w:rsidRPr="006B42DC">
        <w:rPr>
          <w:rFonts w:hAnsi="標楷體" w:hint="eastAsia"/>
          <w:szCs w:val="32"/>
        </w:rPr>
        <w:t>碼之差異情形嚴重，致生</w:t>
      </w:r>
      <w:proofErr w:type="gramStart"/>
      <w:r w:rsidRPr="006B42DC">
        <w:rPr>
          <w:rFonts w:hAnsi="標楷體" w:hint="eastAsia"/>
          <w:szCs w:val="32"/>
        </w:rPr>
        <w:t>危險品控管</w:t>
      </w:r>
      <w:proofErr w:type="gramEnd"/>
      <w:r w:rsidRPr="006B42DC">
        <w:rPr>
          <w:rFonts w:hAnsi="標楷體" w:hint="eastAsia"/>
          <w:szCs w:val="32"/>
        </w:rPr>
        <w:t>及漏報等情事。另商港法雖規定載運危險物品未詳實申報者得予處罰，</w:t>
      </w:r>
      <w:proofErr w:type="gramStart"/>
      <w:r w:rsidRPr="006B42DC">
        <w:rPr>
          <w:rFonts w:hAnsi="標楷體" w:hint="eastAsia"/>
          <w:szCs w:val="32"/>
        </w:rPr>
        <w:t>惟航港</w:t>
      </w:r>
      <w:proofErr w:type="gramEnd"/>
      <w:r w:rsidRPr="006B42DC">
        <w:rPr>
          <w:rFonts w:hAnsi="標楷體" w:hint="eastAsia"/>
          <w:szCs w:val="32"/>
        </w:rPr>
        <w:t>局建置之</w:t>
      </w:r>
      <w:proofErr w:type="spellStart"/>
      <w:r w:rsidR="007A0EE6" w:rsidRPr="006B42DC">
        <w:rPr>
          <w:rFonts w:hAnsi="標楷體" w:hint="eastAsia"/>
          <w:szCs w:val="32"/>
        </w:rPr>
        <w:t>MTNet</w:t>
      </w:r>
      <w:proofErr w:type="spellEnd"/>
      <w:r w:rsidRPr="006B42DC">
        <w:rPr>
          <w:rFonts w:hAnsi="標楷體" w:hint="eastAsia"/>
          <w:szCs w:val="32"/>
        </w:rPr>
        <w:t>系統並未</w:t>
      </w:r>
      <w:proofErr w:type="gramStart"/>
      <w:r w:rsidRPr="006B42DC">
        <w:rPr>
          <w:rFonts w:hAnsi="標楷體" w:hint="eastAsia"/>
          <w:szCs w:val="32"/>
        </w:rPr>
        <w:t>介</w:t>
      </w:r>
      <w:proofErr w:type="gramEnd"/>
      <w:r w:rsidRPr="006B42DC">
        <w:rPr>
          <w:rFonts w:hAnsi="標楷體" w:hint="eastAsia"/>
          <w:szCs w:val="32"/>
        </w:rPr>
        <w:t>接港務公司之危險物品裝卸申報資料及財政部關務署之進出口艙單、報單資料，</w:t>
      </w:r>
      <w:proofErr w:type="gramStart"/>
      <w:r w:rsidRPr="006B42DC">
        <w:rPr>
          <w:rFonts w:hAnsi="標楷體" w:hint="eastAsia"/>
          <w:szCs w:val="32"/>
        </w:rPr>
        <w:t>致航港</w:t>
      </w:r>
      <w:proofErr w:type="gramEnd"/>
      <w:r w:rsidRPr="006B42DC">
        <w:rPr>
          <w:rFonts w:hAnsi="標楷體" w:hint="eastAsia"/>
          <w:szCs w:val="32"/>
        </w:rPr>
        <w:t>局各航務中心無法有效掌握進出港船舶之危險物品載運及裝卸情形。又港務公司雖稱，透過不定期現場巡查船舶裝卸作業，隨機抽查業者有無依規定辦理危險物品申報作業情形，如查核發現存有違規事實將通報轄區航務中心辦理相關裁罰作業，惟據該公司統計104年1至8月皆無通報違反商港法第44條規定案件紀錄，顯見港務公司亦未能掌握危險物品船舶運送及港區裝卸情形，並通報航港局予以裁罰。由以上說明可知，財稅</w:t>
      </w:r>
      <w:proofErr w:type="gramStart"/>
      <w:r w:rsidRPr="006B42DC">
        <w:rPr>
          <w:rFonts w:hAnsi="標楷體" w:hint="eastAsia"/>
          <w:szCs w:val="32"/>
        </w:rPr>
        <w:t>機關之艙單</w:t>
      </w:r>
      <w:proofErr w:type="gramEnd"/>
      <w:r w:rsidRPr="006B42DC">
        <w:rPr>
          <w:rFonts w:hAnsi="標楷體" w:hint="eastAsia"/>
          <w:szCs w:val="32"/>
        </w:rPr>
        <w:t>、報單係行之多年之財稅資料，對於業者未依規定申報危險品情事，主事</w:t>
      </w:r>
      <w:proofErr w:type="gramStart"/>
      <w:r w:rsidRPr="006B42DC">
        <w:rPr>
          <w:rFonts w:hAnsi="標楷體" w:hint="eastAsia"/>
          <w:szCs w:val="32"/>
        </w:rPr>
        <w:t>機關顯欠危險</w:t>
      </w:r>
      <w:proofErr w:type="gramEnd"/>
      <w:r w:rsidRPr="006B42DC">
        <w:rPr>
          <w:rFonts w:hAnsi="標楷體" w:hint="eastAsia"/>
          <w:szCs w:val="32"/>
        </w:rPr>
        <w:t>品運送資料之分享與勾</w:t>
      </w:r>
      <w:proofErr w:type="gramStart"/>
      <w:r w:rsidRPr="006B42DC">
        <w:rPr>
          <w:rFonts w:hAnsi="標楷體" w:hint="eastAsia"/>
          <w:szCs w:val="32"/>
        </w:rPr>
        <w:t>稽</w:t>
      </w:r>
      <w:proofErr w:type="gramEnd"/>
      <w:r w:rsidRPr="006B42DC">
        <w:rPr>
          <w:rFonts w:hAnsi="標楷體" w:hint="eastAsia"/>
          <w:szCs w:val="32"/>
        </w:rPr>
        <w:t>機制。</w:t>
      </w:r>
    </w:p>
    <w:p w:rsidR="008622C1" w:rsidRPr="006B42DC" w:rsidRDefault="008622C1" w:rsidP="008622C1">
      <w:pPr>
        <w:pStyle w:val="3"/>
        <w:ind w:left="1358"/>
        <w:rPr>
          <w:rFonts w:hAnsi="標楷體"/>
          <w:szCs w:val="32"/>
        </w:rPr>
      </w:pPr>
      <w:proofErr w:type="gramStart"/>
      <w:r w:rsidRPr="006B42DC">
        <w:rPr>
          <w:rFonts w:hAnsi="標楷體" w:hint="eastAsia"/>
          <w:szCs w:val="32"/>
        </w:rPr>
        <w:t>詢</w:t>
      </w:r>
      <w:proofErr w:type="gramEnd"/>
      <w:r w:rsidRPr="006B42DC">
        <w:rPr>
          <w:rFonts w:hAnsi="標楷體" w:hint="eastAsia"/>
          <w:szCs w:val="32"/>
        </w:rPr>
        <w:t>據航港局組長</w:t>
      </w:r>
      <w:r w:rsidR="00A84695" w:rsidRPr="006B42DC">
        <w:rPr>
          <w:rFonts w:hAnsi="標楷體" w:hint="eastAsia"/>
          <w:szCs w:val="32"/>
        </w:rPr>
        <w:t>饒智平</w:t>
      </w:r>
      <w:r w:rsidR="004F4DB9" w:rsidRPr="006B42DC">
        <w:rPr>
          <w:rFonts w:hAnsi="標楷體" w:hint="eastAsia"/>
          <w:szCs w:val="32"/>
        </w:rPr>
        <w:t>表示略</w:t>
      </w:r>
      <w:proofErr w:type="gramStart"/>
      <w:r w:rsidR="004F4DB9" w:rsidRPr="006B42DC">
        <w:rPr>
          <w:rFonts w:hAnsi="標楷體" w:hint="eastAsia"/>
          <w:szCs w:val="32"/>
        </w:rPr>
        <w:t>以</w:t>
      </w:r>
      <w:proofErr w:type="gramEnd"/>
      <w:r w:rsidR="004F4DB9" w:rsidRPr="006B42DC">
        <w:rPr>
          <w:rFonts w:hAnsi="標楷體" w:hint="eastAsia"/>
          <w:szCs w:val="32"/>
        </w:rPr>
        <w:t>：「</w:t>
      </w:r>
      <w:r w:rsidRPr="006B42DC">
        <w:rPr>
          <w:rFonts w:hAnsi="標楷體" w:hint="eastAsia"/>
          <w:szCs w:val="32"/>
        </w:rPr>
        <w:t>危險品的管理問題面向可區分如下：人為的投機取巧、處置的專業不足、公約的認知不足等面向，另外，橫向資訊不流通、倉儲裝卸的限制、法規制定不夠</w:t>
      </w:r>
      <w:proofErr w:type="gramStart"/>
      <w:r w:rsidRPr="006B42DC">
        <w:rPr>
          <w:rFonts w:hAnsi="標楷體" w:hint="eastAsia"/>
          <w:szCs w:val="32"/>
        </w:rPr>
        <w:t>健全、</w:t>
      </w:r>
      <w:proofErr w:type="gramEnd"/>
      <w:r w:rsidRPr="006B42DC">
        <w:rPr>
          <w:rFonts w:hAnsi="標楷體" w:hint="eastAsia"/>
          <w:szCs w:val="32"/>
        </w:rPr>
        <w:t>應變</w:t>
      </w:r>
      <w:r w:rsidRPr="006B42DC">
        <w:rPr>
          <w:rFonts w:hAnsi="標楷體" w:hint="eastAsia"/>
          <w:szCs w:val="32"/>
        </w:rPr>
        <w:lastRenderedPageBreak/>
        <w:t>的機制不夠及人員教育訓練不足等因素，都是當前船舶危險品運送所面臨之課題。因此因應前述課題，航</w:t>
      </w:r>
      <w:proofErr w:type="gramStart"/>
      <w:r w:rsidRPr="006B42DC">
        <w:rPr>
          <w:rFonts w:hAnsi="標楷體" w:hint="eastAsia"/>
          <w:szCs w:val="32"/>
        </w:rPr>
        <w:t>港局刻正</w:t>
      </w:r>
      <w:proofErr w:type="gramEnd"/>
      <w:r w:rsidRPr="006B42DC">
        <w:rPr>
          <w:rFonts w:hAnsi="標楷體" w:hint="eastAsia"/>
          <w:szCs w:val="32"/>
        </w:rPr>
        <w:t>辦理危險品管理系統提升計畫，由於實際面執行者是業者，倉儲及航運業者扮演重要的角色，該計畫將協助業者建立櫃貨櫃廠管理系統，並提供諮詢服務。</w:t>
      </w:r>
      <w:r w:rsidR="004F4DB9" w:rsidRPr="006B42DC">
        <w:rPr>
          <w:rFonts w:hAnsi="標楷體" w:hint="eastAsia"/>
          <w:szCs w:val="32"/>
        </w:rPr>
        <w:t>」</w:t>
      </w:r>
      <w:r w:rsidRPr="006B42DC">
        <w:rPr>
          <w:rFonts w:hAnsi="標楷體" w:hint="eastAsia"/>
          <w:szCs w:val="32"/>
        </w:rPr>
        <w:t>由以上說明可知，目前業者未依規定申報危險品情事之原委，係屬多面向課題，肇致隱匿申報之情事，顯見港區危險品運送之經營及</w:t>
      </w:r>
      <w:proofErr w:type="gramStart"/>
      <w:r w:rsidRPr="006B42DC">
        <w:rPr>
          <w:rFonts w:hAnsi="標楷體" w:hint="eastAsia"/>
          <w:szCs w:val="32"/>
        </w:rPr>
        <w:t>監理仍有</w:t>
      </w:r>
      <w:proofErr w:type="gramEnd"/>
      <w:r w:rsidRPr="006B42DC">
        <w:rPr>
          <w:rFonts w:hAnsi="標楷體" w:hint="eastAsia"/>
          <w:szCs w:val="32"/>
        </w:rPr>
        <w:t>提升改善之處。</w:t>
      </w:r>
    </w:p>
    <w:p w:rsidR="008622C1" w:rsidRPr="006B42DC" w:rsidRDefault="008622C1" w:rsidP="008622C1">
      <w:pPr>
        <w:pStyle w:val="3"/>
        <w:ind w:left="1358"/>
        <w:rPr>
          <w:rFonts w:hAnsi="標楷體"/>
          <w:szCs w:val="32"/>
        </w:rPr>
      </w:pPr>
      <w:r w:rsidRPr="006B42DC">
        <w:rPr>
          <w:rFonts w:hAnsi="標楷體" w:hint="eastAsia"/>
          <w:szCs w:val="32"/>
        </w:rPr>
        <w:t>綜上，交通部主管危險品船舶運輸安全管理，分由港務公司負責經營及航港局負責監理，然因欠缺危險品運送資料之分享與勾</w:t>
      </w:r>
      <w:proofErr w:type="gramStart"/>
      <w:r w:rsidRPr="006B42DC">
        <w:rPr>
          <w:rFonts w:hAnsi="標楷體" w:hint="eastAsia"/>
          <w:szCs w:val="32"/>
        </w:rPr>
        <w:t>稽</w:t>
      </w:r>
      <w:proofErr w:type="gramEnd"/>
      <w:r w:rsidRPr="006B42DC">
        <w:rPr>
          <w:rFonts w:hAnsi="標楷體" w:hint="eastAsia"/>
          <w:szCs w:val="32"/>
        </w:rPr>
        <w:t>機制，亦未善用財稅</w:t>
      </w:r>
      <w:proofErr w:type="gramStart"/>
      <w:r w:rsidRPr="006B42DC">
        <w:rPr>
          <w:rFonts w:hAnsi="標楷體" w:hint="eastAsia"/>
          <w:szCs w:val="32"/>
        </w:rPr>
        <w:t>機關之艙單</w:t>
      </w:r>
      <w:proofErr w:type="gramEnd"/>
      <w:r w:rsidRPr="006B42DC">
        <w:rPr>
          <w:rFonts w:hAnsi="標楷體" w:hint="eastAsia"/>
          <w:szCs w:val="32"/>
        </w:rPr>
        <w:t>報單資料</w:t>
      </w:r>
      <w:r w:rsidR="00EC27CE" w:rsidRPr="006B42DC">
        <w:rPr>
          <w:rFonts w:hAnsi="標楷體" w:hint="eastAsia"/>
          <w:szCs w:val="32"/>
        </w:rPr>
        <w:t>（</w:t>
      </w:r>
      <w:r w:rsidRPr="006B42DC">
        <w:rPr>
          <w:rFonts w:hAnsi="標楷體" w:hint="eastAsia"/>
          <w:szCs w:val="32"/>
        </w:rPr>
        <w:t>財稅機關之艙單、報單係行之多年之財稅資料</w:t>
      </w:r>
      <w:r w:rsidR="00EC27CE" w:rsidRPr="006B42DC">
        <w:rPr>
          <w:rFonts w:hAnsi="標楷體" w:hint="eastAsia"/>
          <w:szCs w:val="32"/>
        </w:rPr>
        <w:t>）</w:t>
      </w:r>
      <w:r w:rsidRPr="006B42DC">
        <w:rPr>
          <w:rFonts w:hAnsi="標楷體" w:hint="eastAsia"/>
          <w:szCs w:val="32"/>
        </w:rPr>
        <w:t>，致生業者未依規定申報危險品情事屢見不鮮，顯見港區危險品運送之經營及</w:t>
      </w:r>
      <w:proofErr w:type="gramStart"/>
      <w:r w:rsidRPr="006B42DC">
        <w:rPr>
          <w:rFonts w:hAnsi="標楷體" w:hint="eastAsia"/>
          <w:szCs w:val="32"/>
        </w:rPr>
        <w:t>監理仍有</w:t>
      </w:r>
      <w:proofErr w:type="gramEnd"/>
      <w:r w:rsidRPr="006B42DC">
        <w:rPr>
          <w:rFonts w:hAnsi="標楷體" w:hint="eastAsia"/>
          <w:szCs w:val="32"/>
        </w:rPr>
        <w:t>提升改善之處，應予檢討改進。</w:t>
      </w:r>
    </w:p>
    <w:p w:rsidR="008622C1" w:rsidRPr="006B42DC" w:rsidRDefault="008622C1" w:rsidP="008622C1">
      <w:pPr>
        <w:pStyle w:val="2"/>
        <w:rPr>
          <w:b/>
        </w:rPr>
      </w:pPr>
      <w:r w:rsidRPr="006B42DC">
        <w:rPr>
          <w:rFonts w:hint="eastAsia"/>
          <w:b/>
        </w:rPr>
        <w:t>交通部督導港區危險品安全管理，分由港務公司掌握危險品之動向，及航港局</w:t>
      </w:r>
      <w:r w:rsidR="005C5070" w:rsidRPr="006B42DC">
        <w:rPr>
          <w:rFonts w:hint="eastAsia"/>
          <w:b/>
        </w:rPr>
        <w:t>制定</w:t>
      </w:r>
      <w:r w:rsidRPr="006B42DC">
        <w:rPr>
          <w:rFonts w:hint="eastAsia"/>
          <w:b/>
        </w:rPr>
        <w:t>危險品之處置，惟對危險品於港區之儲運狀態欠缺即時掌握，且對高度危險品之處置規範不明，皆不利於港區危險品之掌握及處置，允應檢討改善。</w:t>
      </w:r>
    </w:p>
    <w:p w:rsidR="008622C1" w:rsidRPr="006B42DC" w:rsidRDefault="008622C1" w:rsidP="00544386">
      <w:pPr>
        <w:pStyle w:val="3"/>
        <w:ind w:left="1358"/>
        <w:rPr>
          <w:rFonts w:hAnsi="標楷體"/>
          <w:szCs w:val="32"/>
        </w:rPr>
      </w:pPr>
      <w:r w:rsidRPr="006B42DC">
        <w:rPr>
          <w:rFonts w:hAnsi="標楷體" w:hint="eastAsia"/>
          <w:szCs w:val="32"/>
        </w:rPr>
        <w:t>依商港法第25條規定：「…</w:t>
      </w:r>
      <w:proofErr w:type="gramStart"/>
      <w:r w:rsidRPr="006B42DC">
        <w:rPr>
          <w:rFonts w:hAnsi="標楷體" w:hint="eastAsia"/>
          <w:szCs w:val="32"/>
        </w:rPr>
        <w:t>…</w:t>
      </w:r>
      <w:proofErr w:type="gramEnd"/>
      <w:r w:rsidRPr="006B42DC">
        <w:rPr>
          <w:rFonts w:hAnsi="標楷體" w:hint="eastAsia"/>
          <w:szCs w:val="32"/>
        </w:rPr>
        <w:t>對具有高度危險性之危險物品，應由貨物所有人備妥裝運工具，於危險</w:t>
      </w:r>
      <w:proofErr w:type="gramStart"/>
      <w:r w:rsidRPr="006B42DC">
        <w:rPr>
          <w:rFonts w:hAnsi="標楷體" w:hint="eastAsia"/>
          <w:szCs w:val="32"/>
        </w:rPr>
        <w:t>物品卸船後</w:t>
      </w:r>
      <w:proofErr w:type="gramEnd"/>
      <w:r w:rsidRPr="006B42DC">
        <w:rPr>
          <w:rFonts w:hAnsi="標楷體" w:hint="eastAsia"/>
          <w:szCs w:val="32"/>
        </w:rPr>
        <w:t>立即運離港區；其餘危險物品未能立即</w:t>
      </w:r>
      <w:proofErr w:type="gramStart"/>
      <w:r w:rsidRPr="006B42DC">
        <w:rPr>
          <w:rFonts w:hAnsi="標楷體" w:hint="eastAsia"/>
          <w:szCs w:val="32"/>
        </w:rPr>
        <w:t>運離者</w:t>
      </w:r>
      <w:proofErr w:type="gramEnd"/>
      <w:r w:rsidRPr="006B42DC">
        <w:rPr>
          <w:rFonts w:hAnsi="標楷體" w:hint="eastAsia"/>
          <w:szCs w:val="32"/>
        </w:rPr>
        <w:t>，應於商港經營事業機構、航港局或指定機關指定之堆置場、所，妥為存放…</w:t>
      </w:r>
      <w:proofErr w:type="gramStart"/>
      <w:r w:rsidRPr="006B42DC">
        <w:rPr>
          <w:rFonts w:hAnsi="標楷體" w:hint="eastAsia"/>
          <w:szCs w:val="32"/>
        </w:rPr>
        <w:t>…</w:t>
      </w:r>
      <w:proofErr w:type="gramEnd"/>
      <w:r w:rsidRPr="006B42DC">
        <w:rPr>
          <w:rFonts w:hAnsi="標楷體" w:hint="eastAsia"/>
          <w:szCs w:val="32"/>
        </w:rPr>
        <w:t>。」故為</w:t>
      </w:r>
      <w:r w:rsidRPr="006B42DC">
        <w:rPr>
          <w:rFonts w:hAnsi="標楷體" w:hint="eastAsia"/>
          <w:bCs w:val="0"/>
          <w:szCs w:val="32"/>
        </w:rPr>
        <w:t>考量港區危險物品裝卸、倉儲作業需要，高度危險性之危險物品應</w:t>
      </w:r>
      <w:proofErr w:type="gramStart"/>
      <w:r w:rsidRPr="006B42DC">
        <w:rPr>
          <w:rFonts w:hAnsi="標楷體" w:hint="eastAsia"/>
          <w:bCs w:val="0"/>
          <w:szCs w:val="32"/>
        </w:rPr>
        <w:t>於卸船</w:t>
      </w:r>
      <w:proofErr w:type="gramEnd"/>
      <w:r w:rsidRPr="006B42DC">
        <w:rPr>
          <w:rFonts w:hAnsi="標楷體" w:hint="eastAsia"/>
          <w:bCs w:val="0"/>
          <w:szCs w:val="32"/>
        </w:rPr>
        <w:t>後立即運離港區；其餘危險物品未能立即</w:t>
      </w:r>
      <w:proofErr w:type="gramStart"/>
      <w:r w:rsidRPr="006B42DC">
        <w:rPr>
          <w:rFonts w:hAnsi="標楷體" w:hint="eastAsia"/>
          <w:bCs w:val="0"/>
          <w:szCs w:val="32"/>
        </w:rPr>
        <w:t>運離者</w:t>
      </w:r>
      <w:proofErr w:type="gramEnd"/>
      <w:r w:rsidRPr="006B42DC">
        <w:rPr>
          <w:rFonts w:hAnsi="標楷體" w:hint="eastAsia"/>
          <w:bCs w:val="0"/>
          <w:szCs w:val="32"/>
        </w:rPr>
        <w:t>，應於指定堆置場所妥為存放。如違反上開規定，則依商港法第62條規定裁處60萬元以</w:t>
      </w:r>
      <w:r w:rsidRPr="006B42DC">
        <w:rPr>
          <w:rFonts w:hAnsi="標楷體" w:hint="eastAsia"/>
          <w:bCs w:val="0"/>
          <w:szCs w:val="32"/>
        </w:rPr>
        <w:lastRenderedPageBreak/>
        <w:t>上300萬元以下罰鍰。</w:t>
      </w:r>
    </w:p>
    <w:p w:rsidR="008622C1" w:rsidRPr="006B42DC" w:rsidRDefault="004F4DB9" w:rsidP="00544386">
      <w:pPr>
        <w:pStyle w:val="3"/>
        <w:ind w:left="1358"/>
        <w:rPr>
          <w:rFonts w:hAnsi="標楷體"/>
          <w:bCs w:val="0"/>
          <w:szCs w:val="32"/>
        </w:rPr>
      </w:pPr>
      <w:r w:rsidRPr="006B42DC">
        <w:rPr>
          <w:rFonts w:hAnsi="標楷體" w:hint="eastAsia"/>
          <w:bCs w:val="0"/>
          <w:szCs w:val="32"/>
        </w:rPr>
        <w:t>依審計部查核報告</w:t>
      </w:r>
      <w:r w:rsidR="008622C1" w:rsidRPr="006B42DC">
        <w:rPr>
          <w:rFonts w:hAnsi="標楷體" w:hint="eastAsia"/>
          <w:bCs w:val="0"/>
          <w:szCs w:val="32"/>
        </w:rPr>
        <w:t>，為瞭解基隆港及高雄港危險物品貨櫃儲放情形，經參</w:t>
      </w:r>
      <w:proofErr w:type="gramStart"/>
      <w:r w:rsidR="008622C1" w:rsidRPr="006B42DC">
        <w:rPr>
          <w:rFonts w:hAnsi="標楷體" w:hint="eastAsia"/>
          <w:bCs w:val="0"/>
          <w:szCs w:val="32"/>
        </w:rPr>
        <w:t>採</w:t>
      </w:r>
      <w:proofErr w:type="gramEnd"/>
      <w:r w:rsidR="008939D5" w:rsidRPr="006B42DC">
        <w:rPr>
          <w:rFonts w:hAnsi="標楷體" w:hint="eastAsia"/>
          <w:bCs w:val="0"/>
          <w:szCs w:val="32"/>
        </w:rPr>
        <w:t>基隆港及高雄港港務分公司規範</w:t>
      </w:r>
      <w:r w:rsidR="008622C1" w:rsidRPr="006B42DC">
        <w:rPr>
          <w:rFonts w:hAnsi="標楷體" w:hint="eastAsia"/>
          <w:bCs w:val="0"/>
          <w:szCs w:val="32"/>
        </w:rPr>
        <w:t>之轉口高度危險性物品認定標準，並篩選港務</w:t>
      </w:r>
      <w:r w:rsidR="008622C1" w:rsidRPr="006B42DC">
        <w:rPr>
          <w:rFonts w:hAnsi="標楷體" w:hint="eastAsia"/>
          <w:szCs w:val="32"/>
        </w:rPr>
        <w:t>公司</w:t>
      </w:r>
      <w:r w:rsidR="008622C1" w:rsidRPr="006B42DC">
        <w:rPr>
          <w:rFonts w:hAnsi="標楷體" w:hint="eastAsia"/>
          <w:bCs w:val="0"/>
          <w:szCs w:val="32"/>
        </w:rPr>
        <w:t>列管之104年1至8月危險物品裝卸申報資料，其中121只高度危險物品貨櫃於基隆港進口卸貨(</w:t>
      </w:r>
      <w:r w:rsidR="008622C1" w:rsidRPr="006B42DC">
        <w:rPr>
          <w:rFonts w:hAnsi="標楷體" w:hint="eastAsia"/>
          <w:szCs w:val="32"/>
        </w:rPr>
        <w:t>裝有</w:t>
      </w:r>
      <w:proofErr w:type="gramStart"/>
      <w:r w:rsidR="008622C1" w:rsidRPr="006B42DC">
        <w:rPr>
          <w:rFonts w:hAnsi="標楷體" w:hint="eastAsia"/>
          <w:bCs w:val="0"/>
          <w:szCs w:val="32"/>
        </w:rPr>
        <w:t>3.0類閃火</w:t>
      </w:r>
      <w:proofErr w:type="gramEnd"/>
      <w:r w:rsidR="008622C1" w:rsidRPr="006B42DC">
        <w:rPr>
          <w:rFonts w:hAnsi="標楷體" w:hint="eastAsia"/>
          <w:bCs w:val="0"/>
          <w:szCs w:val="32"/>
        </w:rPr>
        <w:t>點為-18度C以下之易燃液體及</w:t>
      </w:r>
      <w:proofErr w:type="gramStart"/>
      <w:r w:rsidR="008622C1" w:rsidRPr="006B42DC">
        <w:rPr>
          <w:rFonts w:hAnsi="標楷體" w:hint="eastAsia"/>
          <w:bCs w:val="0"/>
          <w:szCs w:val="32"/>
        </w:rPr>
        <w:t>4.3類遇</w:t>
      </w:r>
      <w:proofErr w:type="gramEnd"/>
      <w:r w:rsidR="008622C1" w:rsidRPr="006B42DC">
        <w:rPr>
          <w:rFonts w:hAnsi="標楷體" w:hint="eastAsia"/>
          <w:bCs w:val="0"/>
          <w:szCs w:val="32"/>
        </w:rPr>
        <w:t>水或空氣能放出易燃氣體之易燃固體或物質)，另318只高度危險物品貨櫃於高雄港進口卸貨(裝有</w:t>
      </w:r>
      <w:proofErr w:type="gramStart"/>
      <w:r w:rsidR="008622C1" w:rsidRPr="006B42DC">
        <w:rPr>
          <w:rFonts w:hAnsi="標楷體" w:hint="eastAsia"/>
          <w:bCs w:val="0"/>
          <w:szCs w:val="32"/>
        </w:rPr>
        <w:t>3.0類閃火</w:t>
      </w:r>
      <w:proofErr w:type="gramEnd"/>
      <w:r w:rsidR="008622C1" w:rsidRPr="006B42DC">
        <w:rPr>
          <w:rFonts w:hAnsi="標楷體" w:hint="eastAsia"/>
          <w:bCs w:val="0"/>
          <w:szCs w:val="32"/>
        </w:rPr>
        <w:t>點為-18度C以下易燃液體)，經</w:t>
      </w:r>
      <w:proofErr w:type="gramStart"/>
      <w:r w:rsidR="008622C1" w:rsidRPr="006B42DC">
        <w:rPr>
          <w:rFonts w:hAnsi="標楷體" w:hint="eastAsia"/>
          <w:bCs w:val="0"/>
          <w:szCs w:val="32"/>
        </w:rPr>
        <w:t>另請關貿</w:t>
      </w:r>
      <w:proofErr w:type="gramEnd"/>
      <w:r w:rsidR="008622C1" w:rsidRPr="006B42DC">
        <w:rPr>
          <w:rFonts w:hAnsi="標楷體" w:hint="eastAsia"/>
          <w:bCs w:val="0"/>
          <w:szCs w:val="32"/>
        </w:rPr>
        <w:t>網路股份有限公司（下稱關貿公司）利用貨櫃（物）查詢動態系統協助提供上開高度危險物品貨櫃動態資訊。經檢視關貿公司提供資料，發現於基隆港卸貨之121只高度危險物品貨櫃中，計有59只貨櫃置於基隆港區內超過1天，甚有放置長達13天之情形，高度危險物品貨櫃未能立即運離基隆港比率達48.76％；另於高雄港卸貨之318只高度危險物品貨櫃中，計有139只貨櫃置於高雄港區內超過1天，甚有放置長達32天之情形，高度危險物品貨櫃未能立即運離高雄港比率達43.71％，顯示高度危險物品多有</w:t>
      </w:r>
      <w:proofErr w:type="gramStart"/>
      <w:r w:rsidR="008622C1" w:rsidRPr="006B42DC">
        <w:rPr>
          <w:rFonts w:hAnsi="標楷體" w:hint="eastAsia"/>
          <w:bCs w:val="0"/>
          <w:szCs w:val="32"/>
        </w:rPr>
        <w:t>儲放港區</w:t>
      </w:r>
      <w:proofErr w:type="gramEnd"/>
      <w:r w:rsidR="008622C1" w:rsidRPr="006B42DC">
        <w:rPr>
          <w:rFonts w:hAnsi="標楷體" w:hint="eastAsia"/>
          <w:bCs w:val="0"/>
          <w:szCs w:val="32"/>
        </w:rPr>
        <w:t>情形。且港務公司並未</w:t>
      </w:r>
      <w:proofErr w:type="gramStart"/>
      <w:r w:rsidR="008622C1" w:rsidRPr="006B42DC">
        <w:rPr>
          <w:rFonts w:hAnsi="標楷體" w:hint="eastAsia"/>
          <w:bCs w:val="0"/>
          <w:szCs w:val="32"/>
        </w:rPr>
        <w:t>介</w:t>
      </w:r>
      <w:proofErr w:type="gramEnd"/>
      <w:r w:rsidR="008622C1" w:rsidRPr="006B42DC">
        <w:rPr>
          <w:rFonts w:hAnsi="標楷體" w:hint="eastAsia"/>
          <w:bCs w:val="0"/>
          <w:szCs w:val="32"/>
        </w:rPr>
        <w:t>接關貿公司建置之貨櫃(物)查詢動態系統資料，致無法掌握並據以加強查核高度危險物品違規</w:t>
      </w:r>
      <w:proofErr w:type="gramStart"/>
      <w:r w:rsidR="008622C1" w:rsidRPr="006B42DC">
        <w:rPr>
          <w:rFonts w:hAnsi="標楷體" w:hint="eastAsia"/>
          <w:bCs w:val="0"/>
          <w:szCs w:val="32"/>
        </w:rPr>
        <w:t>儲放港區</w:t>
      </w:r>
      <w:proofErr w:type="gramEnd"/>
      <w:r w:rsidR="008622C1" w:rsidRPr="006B42DC">
        <w:rPr>
          <w:rFonts w:hAnsi="標楷體" w:hint="eastAsia"/>
          <w:bCs w:val="0"/>
          <w:szCs w:val="32"/>
        </w:rPr>
        <w:t>情形。</w:t>
      </w:r>
    </w:p>
    <w:p w:rsidR="008622C1" w:rsidRPr="006B42DC" w:rsidRDefault="008622C1" w:rsidP="00544386">
      <w:pPr>
        <w:pStyle w:val="3"/>
        <w:ind w:left="1358"/>
        <w:rPr>
          <w:rFonts w:hAnsi="標楷體"/>
          <w:bCs w:val="0"/>
          <w:szCs w:val="32"/>
        </w:rPr>
      </w:pPr>
      <w:r w:rsidRPr="006B42DC">
        <w:rPr>
          <w:rFonts w:hAnsi="標楷體" w:hint="eastAsia"/>
          <w:bCs w:val="0"/>
          <w:szCs w:val="32"/>
        </w:rPr>
        <w:t>經查，據國際海事組織IMO頒布之「港區危險貨品安全運輸修訂建議書」，有關港區危險貨品隔離表之規定，第1類（除1.4類S包裝等級除外）、第6.2類及第7類危險物品，</w:t>
      </w:r>
      <w:proofErr w:type="gramStart"/>
      <w:r w:rsidRPr="006B42DC">
        <w:rPr>
          <w:rFonts w:hAnsi="標楷體" w:hint="eastAsia"/>
          <w:bCs w:val="0"/>
          <w:szCs w:val="32"/>
        </w:rPr>
        <w:t>為卸船</w:t>
      </w:r>
      <w:proofErr w:type="gramEnd"/>
      <w:r w:rsidRPr="006B42DC">
        <w:rPr>
          <w:rFonts w:hAnsi="標楷體" w:hint="eastAsia"/>
          <w:bCs w:val="0"/>
          <w:szCs w:val="32"/>
        </w:rPr>
        <w:t>後應立即運離港區之高度危險性物品</w:t>
      </w:r>
      <w:r w:rsidR="00237F52" w:rsidRPr="006B42DC">
        <w:rPr>
          <w:rFonts w:hAnsi="標楷體" w:hint="eastAsia"/>
          <w:bCs w:val="0"/>
          <w:szCs w:val="32"/>
        </w:rPr>
        <w:t>，且</w:t>
      </w:r>
      <w:r w:rsidR="00237F52" w:rsidRPr="006B42DC">
        <w:rPr>
          <w:rFonts w:hAnsi="標楷體" w:hint="eastAsia"/>
          <w:szCs w:val="32"/>
        </w:rPr>
        <w:t>商港法第25條已規定，高度危險性之危險物品，</w:t>
      </w:r>
      <w:proofErr w:type="gramStart"/>
      <w:r w:rsidR="00237F52" w:rsidRPr="006B42DC">
        <w:rPr>
          <w:rFonts w:hAnsi="標楷體" w:hint="eastAsia"/>
          <w:szCs w:val="32"/>
        </w:rPr>
        <w:t>於卸船</w:t>
      </w:r>
      <w:proofErr w:type="gramEnd"/>
      <w:r w:rsidR="00237F52" w:rsidRPr="006B42DC">
        <w:rPr>
          <w:rFonts w:hAnsi="標楷體" w:hint="eastAsia"/>
          <w:szCs w:val="32"/>
        </w:rPr>
        <w:t>後立即運離港區</w:t>
      </w:r>
      <w:r w:rsidRPr="006B42DC">
        <w:rPr>
          <w:rFonts w:hAnsi="標楷體" w:hint="eastAsia"/>
          <w:bCs w:val="0"/>
          <w:szCs w:val="32"/>
        </w:rPr>
        <w:t>。又我國「船舶危險品裝載規則」第2條已明定，航行國際航線船舶應</w:t>
      </w:r>
      <w:r w:rsidRPr="006B42DC">
        <w:rPr>
          <w:rFonts w:hAnsi="標楷體" w:hint="eastAsia"/>
          <w:bCs w:val="0"/>
          <w:szCs w:val="32"/>
        </w:rPr>
        <w:lastRenderedPageBreak/>
        <w:t>符合「國際海運危險品章程」及其修正案、「防止船舶污染國際公約」及其修正案規定。</w:t>
      </w:r>
      <w:proofErr w:type="gramStart"/>
      <w:r w:rsidRPr="006B42DC">
        <w:rPr>
          <w:rFonts w:hAnsi="標楷體" w:hint="eastAsia"/>
          <w:bCs w:val="0"/>
          <w:szCs w:val="32"/>
        </w:rPr>
        <w:t>然航港局</w:t>
      </w:r>
      <w:r w:rsidR="00237F52" w:rsidRPr="006B42DC">
        <w:rPr>
          <w:rFonts w:hAnsi="標楷體" w:hint="eastAsia"/>
          <w:bCs w:val="0"/>
          <w:szCs w:val="32"/>
        </w:rPr>
        <w:t>係</w:t>
      </w:r>
      <w:proofErr w:type="gramEnd"/>
      <w:r w:rsidRPr="006B42DC">
        <w:rPr>
          <w:rFonts w:hAnsi="標楷體" w:hint="eastAsia"/>
          <w:bCs w:val="0"/>
          <w:szCs w:val="32"/>
        </w:rPr>
        <w:t>於105年7月6日始召開</w:t>
      </w:r>
      <w:proofErr w:type="gramStart"/>
      <w:r w:rsidRPr="006B42DC">
        <w:rPr>
          <w:rFonts w:hAnsi="標楷體" w:hint="eastAsia"/>
          <w:bCs w:val="0"/>
          <w:szCs w:val="32"/>
        </w:rPr>
        <w:t>研</w:t>
      </w:r>
      <w:proofErr w:type="gramEnd"/>
      <w:r w:rsidRPr="006B42DC">
        <w:rPr>
          <w:rFonts w:hAnsi="標楷體" w:hint="eastAsia"/>
          <w:bCs w:val="0"/>
          <w:szCs w:val="32"/>
        </w:rPr>
        <w:t>商「</w:t>
      </w:r>
      <w:proofErr w:type="gramStart"/>
      <w:r w:rsidRPr="006B42DC">
        <w:rPr>
          <w:rFonts w:hAnsi="標楷體" w:hint="eastAsia"/>
          <w:bCs w:val="0"/>
          <w:szCs w:val="32"/>
        </w:rPr>
        <w:t>確認卸船後</w:t>
      </w:r>
      <w:proofErr w:type="gramEnd"/>
      <w:r w:rsidRPr="006B42DC">
        <w:rPr>
          <w:rFonts w:hAnsi="標楷體" w:hint="eastAsia"/>
          <w:bCs w:val="0"/>
          <w:szCs w:val="32"/>
        </w:rPr>
        <w:t>需立即運離港區之高度危險性物品類別及相關配套措施」，確定高度危險性物品種類，明</w:t>
      </w:r>
      <w:proofErr w:type="gramStart"/>
      <w:r w:rsidRPr="006B42DC">
        <w:rPr>
          <w:rFonts w:hAnsi="標楷體" w:hint="eastAsia"/>
          <w:bCs w:val="0"/>
          <w:szCs w:val="32"/>
        </w:rPr>
        <w:t>定卸船</w:t>
      </w:r>
      <w:proofErr w:type="gramEnd"/>
      <w:r w:rsidRPr="006B42DC">
        <w:rPr>
          <w:rFonts w:hAnsi="標楷體" w:hint="eastAsia"/>
          <w:bCs w:val="0"/>
          <w:szCs w:val="32"/>
        </w:rPr>
        <w:t>後應立即運離港區之危險物品種類及處置等。由上開航港局之作為，顯對高度危險性物品處置有欠積極，另</w:t>
      </w:r>
      <w:r w:rsidRPr="006B42DC">
        <w:rPr>
          <w:rFonts w:hAnsi="標楷體" w:hint="eastAsia"/>
          <w:szCs w:val="32"/>
        </w:rPr>
        <w:t>因</w:t>
      </w:r>
      <w:r w:rsidRPr="006B42DC">
        <w:rPr>
          <w:rFonts w:hAnsi="標楷體" w:hint="eastAsia"/>
          <w:bCs w:val="0"/>
          <w:szCs w:val="32"/>
        </w:rPr>
        <w:t>航港局並未明定</w:t>
      </w:r>
      <w:r w:rsidRPr="006B42DC">
        <w:rPr>
          <w:rFonts w:hAnsi="標楷體" w:hint="eastAsia"/>
          <w:szCs w:val="32"/>
        </w:rPr>
        <w:t>所謂</w:t>
      </w:r>
      <w:r w:rsidRPr="006B42DC">
        <w:rPr>
          <w:rFonts w:hAnsi="標楷體" w:hint="eastAsia"/>
          <w:bCs w:val="0"/>
          <w:szCs w:val="32"/>
        </w:rPr>
        <w:t>高度危險性危險物品之種類，且危險物品運離港區前須經裝卸、報關等流程，未</w:t>
      </w:r>
      <w:r w:rsidR="007A0EE6" w:rsidRPr="006B42DC">
        <w:rPr>
          <w:rFonts w:hAnsi="標楷體" w:hint="eastAsia"/>
          <w:bCs w:val="0"/>
          <w:szCs w:val="32"/>
        </w:rPr>
        <w:t>明定</w:t>
      </w:r>
      <w:r w:rsidRPr="006B42DC">
        <w:rPr>
          <w:rFonts w:hAnsi="標楷體" w:hint="eastAsia"/>
          <w:bCs w:val="0"/>
          <w:szCs w:val="32"/>
        </w:rPr>
        <w:t>其作業完成之合理時間，不利業者遵循於規定</w:t>
      </w:r>
      <w:proofErr w:type="gramStart"/>
      <w:r w:rsidRPr="006B42DC">
        <w:rPr>
          <w:rFonts w:hAnsi="標楷體" w:hint="eastAsia"/>
          <w:bCs w:val="0"/>
          <w:szCs w:val="32"/>
        </w:rPr>
        <w:t>期間運</w:t>
      </w:r>
      <w:proofErr w:type="gramEnd"/>
      <w:r w:rsidRPr="006B42DC">
        <w:rPr>
          <w:rFonts w:hAnsi="標楷體" w:hint="eastAsia"/>
          <w:bCs w:val="0"/>
          <w:szCs w:val="32"/>
        </w:rPr>
        <w:t>離港區，各航港局航務中心及港務公司亦無法據以查核危險物品</w:t>
      </w:r>
      <w:proofErr w:type="gramStart"/>
      <w:r w:rsidRPr="006B42DC">
        <w:rPr>
          <w:rFonts w:hAnsi="標楷體" w:hint="eastAsia"/>
          <w:bCs w:val="0"/>
          <w:szCs w:val="32"/>
        </w:rPr>
        <w:t>港區儲放</w:t>
      </w:r>
      <w:proofErr w:type="gramEnd"/>
      <w:r w:rsidRPr="006B42DC">
        <w:rPr>
          <w:rFonts w:hAnsi="標楷體" w:hint="eastAsia"/>
          <w:bCs w:val="0"/>
          <w:szCs w:val="32"/>
        </w:rPr>
        <w:t>情形，要求違規業者儘速將危險物品運離港區或辦理違規裁罰作業。</w:t>
      </w:r>
    </w:p>
    <w:p w:rsidR="008622C1" w:rsidRPr="006B42DC" w:rsidRDefault="008622C1" w:rsidP="00544386">
      <w:pPr>
        <w:pStyle w:val="3"/>
        <w:ind w:left="1358"/>
        <w:rPr>
          <w:rFonts w:hAnsi="標楷體"/>
          <w:bCs w:val="0"/>
          <w:szCs w:val="32"/>
        </w:rPr>
      </w:pPr>
      <w:proofErr w:type="gramStart"/>
      <w:r w:rsidRPr="006B42DC">
        <w:rPr>
          <w:rFonts w:hAnsi="標楷體" w:hint="eastAsia"/>
          <w:bCs w:val="0"/>
          <w:szCs w:val="32"/>
        </w:rPr>
        <w:t>詢</w:t>
      </w:r>
      <w:proofErr w:type="gramEnd"/>
      <w:r w:rsidRPr="006B42DC">
        <w:rPr>
          <w:rFonts w:hAnsi="標楷體" w:hint="eastAsia"/>
          <w:bCs w:val="0"/>
          <w:szCs w:val="32"/>
        </w:rPr>
        <w:t>據港務公司處長</w:t>
      </w:r>
      <w:r w:rsidRPr="00595AAE">
        <w:rPr>
          <w:rFonts w:hAnsi="標楷體" w:hint="eastAsia"/>
          <w:bCs w:val="0"/>
          <w:szCs w:val="32"/>
        </w:rPr>
        <w:t>張</w:t>
      </w:r>
      <w:r w:rsidR="00595AAE" w:rsidRPr="00595AAE">
        <w:rPr>
          <w:rFonts w:hAnsi="標楷體" w:hint="eastAsia"/>
          <w:bCs w:val="0"/>
          <w:szCs w:val="32"/>
        </w:rPr>
        <w:t>雅</w:t>
      </w:r>
      <w:r w:rsidRPr="00595AAE">
        <w:rPr>
          <w:rFonts w:hAnsi="標楷體" w:hint="eastAsia"/>
          <w:bCs w:val="0"/>
          <w:szCs w:val="32"/>
        </w:rPr>
        <w:t>富</w:t>
      </w:r>
      <w:r w:rsidR="00082B88" w:rsidRPr="006B42DC">
        <w:rPr>
          <w:rFonts w:hAnsi="標楷體" w:hint="eastAsia"/>
          <w:bCs w:val="0"/>
          <w:szCs w:val="32"/>
        </w:rPr>
        <w:t>表示略</w:t>
      </w:r>
      <w:proofErr w:type="gramStart"/>
      <w:r w:rsidR="00082B88" w:rsidRPr="006B42DC">
        <w:rPr>
          <w:rFonts w:hAnsi="標楷體" w:hint="eastAsia"/>
          <w:bCs w:val="0"/>
          <w:szCs w:val="32"/>
        </w:rPr>
        <w:t>以</w:t>
      </w:r>
      <w:proofErr w:type="gramEnd"/>
      <w:r w:rsidR="00082B88" w:rsidRPr="006B42DC">
        <w:rPr>
          <w:rFonts w:hAnsi="標楷體" w:hint="eastAsia"/>
          <w:bCs w:val="0"/>
          <w:szCs w:val="32"/>
        </w:rPr>
        <w:t>：「</w:t>
      </w:r>
      <w:r w:rsidRPr="006B42DC">
        <w:rPr>
          <w:rFonts w:hAnsi="標楷體" w:hint="eastAsia"/>
          <w:bCs w:val="0"/>
          <w:szCs w:val="32"/>
        </w:rPr>
        <w:t>高度危險性物品明</w:t>
      </w:r>
      <w:proofErr w:type="gramStart"/>
      <w:r w:rsidRPr="006B42DC">
        <w:rPr>
          <w:rFonts w:hAnsi="標楷體" w:hint="eastAsia"/>
          <w:bCs w:val="0"/>
          <w:szCs w:val="32"/>
        </w:rPr>
        <w:t>定卸船</w:t>
      </w:r>
      <w:proofErr w:type="gramEnd"/>
      <w:r w:rsidRPr="006B42DC">
        <w:rPr>
          <w:rFonts w:hAnsi="標楷體" w:hint="eastAsia"/>
          <w:bCs w:val="0"/>
          <w:szCs w:val="32"/>
        </w:rPr>
        <w:t>後應立即運離港區，程序上若關務署許可後即可送離港區，因過去沒有明確說明其危險品之定義，且商港法規定的危險品是9大類，但過去較細的品項因為經常變動故沒有機動檢討。</w:t>
      </w:r>
      <w:r w:rsidR="00082B88" w:rsidRPr="006B42DC">
        <w:rPr>
          <w:rFonts w:hAnsi="標楷體" w:hint="eastAsia"/>
          <w:bCs w:val="0"/>
          <w:szCs w:val="32"/>
        </w:rPr>
        <w:t>」</w:t>
      </w:r>
      <w:r w:rsidRPr="006B42DC">
        <w:rPr>
          <w:rFonts w:hAnsi="標楷體" w:hint="eastAsia"/>
          <w:bCs w:val="0"/>
          <w:szCs w:val="32"/>
        </w:rPr>
        <w:t>由上開說明可知，因未明定所謂高度危險性危險物品之種類，且未</w:t>
      </w:r>
      <w:r w:rsidR="007A0EE6" w:rsidRPr="006B42DC">
        <w:rPr>
          <w:rFonts w:hAnsi="標楷體" w:hint="eastAsia"/>
          <w:bCs w:val="0"/>
          <w:szCs w:val="32"/>
        </w:rPr>
        <w:t>明定</w:t>
      </w:r>
      <w:r w:rsidRPr="006B42DC">
        <w:rPr>
          <w:rFonts w:hAnsi="標楷體" w:hint="eastAsia"/>
          <w:bCs w:val="0"/>
          <w:szCs w:val="32"/>
        </w:rPr>
        <w:t>其作業完成之合理時間，亦無法據以查核危險物品</w:t>
      </w:r>
      <w:proofErr w:type="gramStart"/>
      <w:r w:rsidRPr="006B42DC">
        <w:rPr>
          <w:rFonts w:hAnsi="標楷體" w:hint="eastAsia"/>
          <w:bCs w:val="0"/>
          <w:szCs w:val="32"/>
        </w:rPr>
        <w:t>港區儲放</w:t>
      </w:r>
      <w:proofErr w:type="gramEnd"/>
      <w:r w:rsidRPr="006B42DC">
        <w:rPr>
          <w:rFonts w:hAnsi="標楷體" w:hint="eastAsia"/>
          <w:bCs w:val="0"/>
          <w:szCs w:val="32"/>
        </w:rPr>
        <w:t>情形，要求儘速將高度危險物品運離港區或辦理違規裁罰作業。</w:t>
      </w:r>
    </w:p>
    <w:p w:rsidR="008622C1" w:rsidRPr="006B42DC" w:rsidRDefault="008622C1" w:rsidP="00544386">
      <w:pPr>
        <w:pStyle w:val="3"/>
        <w:ind w:left="1358"/>
        <w:rPr>
          <w:rFonts w:hAnsi="標楷體"/>
          <w:bCs w:val="0"/>
          <w:szCs w:val="32"/>
        </w:rPr>
      </w:pPr>
      <w:r w:rsidRPr="006B42DC">
        <w:rPr>
          <w:rFonts w:hAnsi="標楷體" w:hint="eastAsia"/>
          <w:szCs w:val="32"/>
        </w:rPr>
        <w:t>綜上，交通部督導港區危險品安全管理，分由港務公司掌握危險品之動向，及航港局</w:t>
      </w:r>
      <w:r w:rsidR="005C5070" w:rsidRPr="006B42DC">
        <w:rPr>
          <w:rFonts w:hAnsi="標楷體" w:hint="eastAsia"/>
          <w:szCs w:val="32"/>
        </w:rPr>
        <w:t>制定</w:t>
      </w:r>
      <w:r w:rsidRPr="006B42DC">
        <w:rPr>
          <w:rFonts w:hAnsi="標楷體" w:hint="eastAsia"/>
          <w:szCs w:val="32"/>
        </w:rPr>
        <w:t>危險品之處置，惟由關貿公司之貨櫃（物）查詢動態系統可知，港務公司對危險品於港區之儲運狀態欠缺即時掌握；航港局方於105年7月6日始召開</w:t>
      </w:r>
      <w:proofErr w:type="gramStart"/>
      <w:r w:rsidRPr="006B42DC">
        <w:rPr>
          <w:rFonts w:hAnsi="標楷體" w:hint="eastAsia"/>
          <w:szCs w:val="32"/>
        </w:rPr>
        <w:t>研</w:t>
      </w:r>
      <w:proofErr w:type="gramEnd"/>
      <w:r w:rsidRPr="006B42DC">
        <w:rPr>
          <w:rFonts w:hAnsi="標楷體" w:hint="eastAsia"/>
          <w:szCs w:val="32"/>
        </w:rPr>
        <w:t>商「</w:t>
      </w:r>
      <w:proofErr w:type="gramStart"/>
      <w:r w:rsidRPr="006B42DC">
        <w:rPr>
          <w:rFonts w:hAnsi="標楷體" w:hint="eastAsia"/>
          <w:szCs w:val="32"/>
        </w:rPr>
        <w:t>確認卸船後</w:t>
      </w:r>
      <w:proofErr w:type="gramEnd"/>
      <w:r w:rsidRPr="006B42DC">
        <w:rPr>
          <w:rFonts w:hAnsi="標楷體" w:hint="eastAsia"/>
          <w:szCs w:val="32"/>
        </w:rPr>
        <w:t>需立即運離港區之高度危險性物品類別及相關配套措施」，顯對高度危險品之處置規範不明，皆不利於港區危險品之掌握及處置，允應檢討改善。</w:t>
      </w:r>
    </w:p>
    <w:p w:rsidR="008622C1" w:rsidRPr="006B42DC" w:rsidRDefault="008622C1" w:rsidP="008622C1">
      <w:pPr>
        <w:pStyle w:val="2"/>
        <w:rPr>
          <w:b/>
        </w:rPr>
      </w:pPr>
      <w:r w:rsidRPr="006B42DC">
        <w:rPr>
          <w:rFonts w:hint="eastAsia"/>
          <w:b/>
        </w:rPr>
        <w:lastRenderedPageBreak/>
        <w:t>港務公司執行港區液化危險品安全查核作業，漏未將管線維護情形納入查核項目，無法確保危險品管線運輸特性之安全要求；航港局稽核業者進行安全督導，卻未依規定查核港區內貨櫃場及倉儲業者之安全管理情形，且未能強化危險物品安全督導查核缺失之後續追蹤改善機制，皆無法確保港區內危險物品作業安全，允應檢討改善。</w:t>
      </w:r>
    </w:p>
    <w:p w:rsidR="008622C1" w:rsidRPr="006B42DC" w:rsidRDefault="008622C1" w:rsidP="00544386">
      <w:pPr>
        <w:pStyle w:val="3"/>
        <w:ind w:left="1358"/>
        <w:rPr>
          <w:rFonts w:hAnsi="標楷體"/>
          <w:szCs w:val="32"/>
        </w:rPr>
      </w:pPr>
      <w:r w:rsidRPr="006B42DC">
        <w:rPr>
          <w:rFonts w:hAnsi="標楷體" w:hint="eastAsia"/>
          <w:szCs w:val="32"/>
        </w:rPr>
        <w:t>依商港港務管理規則第 29 條規定：「航港局或指定機關</w:t>
      </w:r>
      <w:proofErr w:type="gramStart"/>
      <w:r w:rsidRPr="006B42DC">
        <w:rPr>
          <w:rFonts w:hAnsi="標楷體" w:hint="eastAsia"/>
          <w:szCs w:val="32"/>
        </w:rPr>
        <w:t>為策港區</w:t>
      </w:r>
      <w:proofErr w:type="gramEnd"/>
      <w:r w:rsidRPr="006B42DC">
        <w:rPr>
          <w:rFonts w:hAnsi="標楷體" w:hint="eastAsia"/>
          <w:szCs w:val="32"/>
        </w:rPr>
        <w:t>內之安全，得會商有關機關、團體及業者設立危險物品安全督導小組，督導港區內危險物品之裝卸、運送、存放及事故之處理。」交通部航港局港區危險品安全督導實施作業要點第3點規定：「依商港法規定國際商港由臺灣港務</w:t>
      </w:r>
      <w:r w:rsidRPr="006B42DC">
        <w:rPr>
          <w:rFonts w:hint="eastAsia"/>
        </w:rPr>
        <w:t>股份有限公司</w:t>
      </w:r>
      <w:r w:rsidRPr="006B42DC">
        <w:rPr>
          <w:rFonts w:hAnsi="標楷體" w:hint="eastAsia"/>
          <w:szCs w:val="32"/>
        </w:rPr>
        <w:t>負責經營及管理，有關危險物品管理、安全巡查及相關</w:t>
      </w:r>
      <w:proofErr w:type="gramStart"/>
      <w:r w:rsidRPr="006B42DC">
        <w:rPr>
          <w:rFonts w:hAnsi="標楷體" w:hint="eastAsia"/>
          <w:szCs w:val="32"/>
        </w:rPr>
        <w:t>勞</w:t>
      </w:r>
      <w:proofErr w:type="gramEnd"/>
      <w:r w:rsidRPr="006B42DC">
        <w:rPr>
          <w:rFonts w:hAnsi="標楷體" w:hint="eastAsia"/>
          <w:szCs w:val="32"/>
        </w:rPr>
        <w:t>安、環保、災害防救業務等，屬商港管理事項由臺灣港務股份有限公司負責；至港區危險物品之安全督導及違反商港法相關規定之</w:t>
      </w:r>
      <w:proofErr w:type="gramStart"/>
      <w:r w:rsidRPr="006B42DC">
        <w:rPr>
          <w:rFonts w:hAnsi="標楷體" w:hint="eastAsia"/>
          <w:szCs w:val="32"/>
        </w:rPr>
        <w:t>裁罰由交通部航港局</w:t>
      </w:r>
      <w:proofErr w:type="gramEnd"/>
      <w:r w:rsidRPr="006B42DC">
        <w:rPr>
          <w:rFonts w:hAnsi="標楷體" w:hint="eastAsia"/>
          <w:szCs w:val="32"/>
        </w:rPr>
        <w:t>負責。」同要點第5點規定：「本要點督導對象為石化</w:t>
      </w:r>
      <w:proofErr w:type="gramStart"/>
      <w:r w:rsidRPr="006B42DC">
        <w:rPr>
          <w:rFonts w:hAnsi="標楷體" w:hint="eastAsia"/>
          <w:szCs w:val="32"/>
        </w:rPr>
        <w:t>儲運業</w:t>
      </w:r>
      <w:proofErr w:type="gramEnd"/>
      <w:r w:rsidRPr="006B42DC">
        <w:rPr>
          <w:rFonts w:hAnsi="標楷體" w:hint="eastAsia"/>
          <w:szCs w:val="32"/>
        </w:rPr>
        <w:t>(管道及儲槽)、</w:t>
      </w:r>
      <w:proofErr w:type="gramStart"/>
      <w:r w:rsidRPr="006B42DC">
        <w:rPr>
          <w:rFonts w:hAnsi="標楷體" w:hint="eastAsia"/>
          <w:szCs w:val="32"/>
        </w:rPr>
        <w:t>港區列管</w:t>
      </w:r>
      <w:proofErr w:type="gramEnd"/>
      <w:r w:rsidRPr="006B42DC">
        <w:rPr>
          <w:rFonts w:hAnsi="標楷體" w:hint="eastAsia"/>
          <w:szCs w:val="32"/>
        </w:rPr>
        <w:t>許可之危險物品倉庫業者及港區各公民營貨櫃集散站。」故由上開規定可知，有關液化危險物品管理、安全巡查及相關</w:t>
      </w:r>
      <w:proofErr w:type="gramStart"/>
      <w:r w:rsidRPr="006B42DC">
        <w:rPr>
          <w:rFonts w:hAnsi="標楷體" w:hint="eastAsia"/>
          <w:szCs w:val="32"/>
        </w:rPr>
        <w:t>勞</w:t>
      </w:r>
      <w:proofErr w:type="gramEnd"/>
      <w:r w:rsidRPr="006B42DC">
        <w:rPr>
          <w:rFonts w:hAnsi="標楷體" w:hint="eastAsia"/>
          <w:szCs w:val="32"/>
        </w:rPr>
        <w:t>安、環保、災害防救業務等，屬商港管理事項之安全查核作業由港務公司負責；至港區危險物品之安全督導及違反商港法相關規定之裁罰，則由航港局負責。</w:t>
      </w:r>
    </w:p>
    <w:p w:rsidR="008622C1" w:rsidRPr="006B42DC" w:rsidRDefault="004F4DB9" w:rsidP="00544386">
      <w:pPr>
        <w:pStyle w:val="3"/>
        <w:ind w:left="1358"/>
        <w:rPr>
          <w:rFonts w:hAnsi="標楷體"/>
          <w:szCs w:val="32"/>
        </w:rPr>
      </w:pPr>
      <w:r w:rsidRPr="006B42DC">
        <w:rPr>
          <w:rFonts w:hAnsi="標楷體" w:hint="eastAsia"/>
          <w:szCs w:val="32"/>
        </w:rPr>
        <w:t>依審計部查核報告</w:t>
      </w:r>
      <w:r w:rsidR="008622C1" w:rsidRPr="006B42DC">
        <w:rPr>
          <w:rFonts w:hAnsi="標楷體" w:hint="eastAsia"/>
          <w:szCs w:val="32"/>
        </w:rPr>
        <w:t>，高雄氣爆事件發生後，港務公司已要求各分公司調查</w:t>
      </w:r>
      <w:proofErr w:type="gramStart"/>
      <w:r w:rsidR="008622C1" w:rsidRPr="006B42DC">
        <w:rPr>
          <w:rFonts w:hAnsi="標楷體" w:hint="eastAsia"/>
          <w:szCs w:val="32"/>
        </w:rPr>
        <w:t>所轄港區</w:t>
      </w:r>
      <w:proofErr w:type="gramEnd"/>
      <w:r w:rsidR="008622C1" w:rsidRPr="006B42DC">
        <w:rPr>
          <w:rFonts w:hAnsi="標楷體" w:hint="eastAsia"/>
          <w:szCs w:val="32"/>
        </w:rPr>
        <w:t>管線，並建立</w:t>
      </w:r>
      <w:proofErr w:type="gramStart"/>
      <w:r w:rsidR="008622C1" w:rsidRPr="006B42DC">
        <w:rPr>
          <w:rFonts w:hAnsi="標楷體" w:hint="eastAsia"/>
          <w:szCs w:val="32"/>
        </w:rPr>
        <w:t>管線圖資系統</w:t>
      </w:r>
      <w:proofErr w:type="gramEnd"/>
      <w:r w:rsidR="008622C1" w:rsidRPr="006B42DC">
        <w:rPr>
          <w:rFonts w:hAnsi="標楷體" w:hint="eastAsia"/>
          <w:szCs w:val="32"/>
        </w:rPr>
        <w:t>，截至104</w:t>
      </w:r>
      <w:r w:rsidR="008622C1" w:rsidRPr="006B42DC">
        <w:rPr>
          <w:rFonts w:hint="eastAsia"/>
        </w:rPr>
        <w:t>年底</w:t>
      </w:r>
      <w:r w:rsidR="008622C1" w:rsidRPr="006B42DC">
        <w:rPr>
          <w:rFonts w:hAnsi="標楷體" w:hint="eastAsia"/>
          <w:szCs w:val="32"/>
        </w:rPr>
        <w:t>止，各分公司已完成管線調查，且已</w:t>
      </w:r>
      <w:proofErr w:type="gramStart"/>
      <w:r w:rsidR="008622C1" w:rsidRPr="006B42DC">
        <w:rPr>
          <w:rFonts w:hAnsi="標楷體" w:hint="eastAsia"/>
          <w:szCs w:val="32"/>
        </w:rPr>
        <w:t>能</w:t>
      </w:r>
      <w:r w:rsidR="008939D5" w:rsidRPr="006B42DC">
        <w:rPr>
          <w:rFonts w:hAnsi="標楷體" w:hint="eastAsia"/>
          <w:szCs w:val="32"/>
        </w:rPr>
        <w:t>套繪</w:t>
      </w:r>
      <w:r w:rsidR="008622C1" w:rsidRPr="006B42DC">
        <w:rPr>
          <w:rFonts w:hAnsi="標楷體" w:hint="eastAsia"/>
          <w:szCs w:val="32"/>
        </w:rPr>
        <w:t>及</w:t>
      </w:r>
      <w:proofErr w:type="gramEnd"/>
      <w:r w:rsidR="008622C1" w:rsidRPr="006B42DC">
        <w:rPr>
          <w:rFonts w:hAnsi="標楷體" w:hint="eastAsia"/>
          <w:szCs w:val="32"/>
        </w:rPr>
        <w:t xml:space="preserve">視需要立即查詢，另基隆及臺中分公司已具備GIS（Geographic Information </w:t>
      </w:r>
      <w:r w:rsidR="008622C1" w:rsidRPr="006B42DC">
        <w:rPr>
          <w:rFonts w:hAnsi="標楷體" w:hint="eastAsia"/>
          <w:szCs w:val="32"/>
        </w:rPr>
        <w:lastRenderedPageBreak/>
        <w:t>System，地理資訊系統）系統查詢功能。經查核港務公司高雄分公司發現，該分公司與業者簽訂之租賃契約中，已要求業者應加強管溝強度、管路檢查與維修保養工作，且定期保養檢修應作成紀錄等，至有關業者是否落實管路檢查及維修保養工作之查核，則係由該公司契約管理健檢小組負責，</w:t>
      </w:r>
      <w:proofErr w:type="gramStart"/>
      <w:r w:rsidR="008622C1" w:rsidRPr="006B42DC">
        <w:rPr>
          <w:rFonts w:hAnsi="標楷體" w:hint="eastAsia"/>
          <w:szCs w:val="32"/>
        </w:rPr>
        <w:t>惟查該</w:t>
      </w:r>
      <w:proofErr w:type="gramEnd"/>
      <w:r w:rsidR="008622C1" w:rsidRPr="006B42DC">
        <w:rPr>
          <w:rFonts w:hAnsi="標楷體" w:hint="eastAsia"/>
          <w:szCs w:val="32"/>
        </w:rPr>
        <w:t>小組主要係針對契約租金及水電費用，未依約繳付、投資興建等契約進度落後等，影響該公司營收之異常案件為主要督導項目，然其管線檢查及維修保養狀況，雖有相關單位組成督導小組辦理危險品安全督導作業，</w:t>
      </w:r>
      <w:proofErr w:type="gramStart"/>
      <w:r w:rsidR="008622C1" w:rsidRPr="006B42DC">
        <w:rPr>
          <w:rFonts w:hAnsi="標楷體" w:hint="eastAsia"/>
          <w:szCs w:val="32"/>
        </w:rPr>
        <w:t>督檢項目</w:t>
      </w:r>
      <w:proofErr w:type="gramEnd"/>
      <w:r w:rsidR="008622C1" w:rsidRPr="006B42DC">
        <w:rPr>
          <w:rFonts w:hAnsi="標楷體" w:hint="eastAsia"/>
          <w:szCs w:val="32"/>
        </w:rPr>
        <w:t>有關各項設備(施)檢測1大項，督導重點包含是否訂定各項設備(施)（如油槽、鍋爐、避雷針、接地等）、檢測計畫等3小項 ，惟</w:t>
      </w:r>
      <w:r w:rsidR="00F90D08" w:rsidRPr="006B42DC">
        <w:rPr>
          <w:rFonts w:hAnsi="標楷體" w:hint="eastAsia"/>
          <w:szCs w:val="32"/>
        </w:rPr>
        <w:t>並無</w:t>
      </w:r>
      <w:r w:rsidR="00237F52" w:rsidRPr="006B42DC">
        <w:rPr>
          <w:rFonts w:hAnsi="標楷體" w:hint="eastAsia"/>
          <w:szCs w:val="32"/>
        </w:rPr>
        <w:t>對於</w:t>
      </w:r>
      <w:r w:rsidR="008622C1" w:rsidRPr="006B42DC">
        <w:rPr>
          <w:rFonts w:hAnsi="標楷體" w:hint="eastAsia"/>
          <w:szCs w:val="32"/>
        </w:rPr>
        <w:t>業者</w:t>
      </w:r>
      <w:r w:rsidR="009E1AB0" w:rsidRPr="006B42DC">
        <w:rPr>
          <w:rFonts w:hAnsi="標楷體" w:hint="eastAsia"/>
          <w:szCs w:val="32"/>
        </w:rPr>
        <w:t>針對</w:t>
      </w:r>
      <w:r w:rsidR="008622C1" w:rsidRPr="006B42DC">
        <w:rPr>
          <w:rFonts w:hAnsi="標楷體" w:hint="eastAsia"/>
          <w:szCs w:val="32"/>
        </w:rPr>
        <w:t>管線維修保養</w:t>
      </w:r>
      <w:r w:rsidR="009E1AB0" w:rsidRPr="006B42DC">
        <w:rPr>
          <w:rFonts w:hAnsi="標楷體" w:hint="eastAsia"/>
          <w:szCs w:val="32"/>
        </w:rPr>
        <w:t>事項</w:t>
      </w:r>
      <w:proofErr w:type="gramStart"/>
      <w:r w:rsidR="008622C1" w:rsidRPr="006B42DC">
        <w:rPr>
          <w:rFonts w:hAnsi="標楷體" w:hint="eastAsia"/>
          <w:szCs w:val="32"/>
        </w:rPr>
        <w:t>之督檢</w:t>
      </w:r>
      <w:proofErr w:type="gramEnd"/>
      <w:r w:rsidR="008622C1" w:rsidRPr="006B42DC">
        <w:rPr>
          <w:rFonts w:hAnsi="標楷體" w:hint="eastAsia"/>
          <w:szCs w:val="32"/>
        </w:rPr>
        <w:t>，顯見僅仰賴港務公司契約管理健檢小組</w:t>
      </w:r>
      <w:r w:rsidR="001C2489" w:rsidRPr="006B42DC">
        <w:rPr>
          <w:rFonts w:hAnsi="標楷體" w:hint="eastAsia"/>
          <w:szCs w:val="32"/>
        </w:rPr>
        <w:t>所</w:t>
      </w:r>
      <w:r w:rsidR="008622C1" w:rsidRPr="006B42DC">
        <w:rPr>
          <w:rFonts w:hAnsi="標楷體" w:hint="eastAsia"/>
          <w:szCs w:val="32"/>
        </w:rPr>
        <w:t>負責。由上開說明可知，港務公司執行港區液化危險品安全查核作業，疏未將管線維護情形納入查核項目，</w:t>
      </w:r>
      <w:r w:rsidR="00AD5A92" w:rsidRPr="006B42DC">
        <w:rPr>
          <w:rFonts w:hAnsi="標楷體" w:hint="eastAsia"/>
          <w:szCs w:val="32"/>
        </w:rPr>
        <w:t>未詳究「交通部航港局港區危險品安全督導實施作業要點」相關規定意旨。</w:t>
      </w:r>
    </w:p>
    <w:p w:rsidR="008622C1" w:rsidRPr="006B42DC" w:rsidRDefault="008622C1" w:rsidP="00544386">
      <w:pPr>
        <w:pStyle w:val="3"/>
        <w:ind w:left="1358"/>
        <w:rPr>
          <w:rFonts w:hAnsi="標楷體"/>
          <w:szCs w:val="32"/>
        </w:rPr>
      </w:pPr>
      <w:proofErr w:type="gramStart"/>
      <w:r w:rsidRPr="006B42DC">
        <w:rPr>
          <w:rFonts w:hAnsi="標楷體" w:hint="eastAsia"/>
          <w:szCs w:val="32"/>
        </w:rPr>
        <w:t>嗣</w:t>
      </w:r>
      <w:proofErr w:type="gramEnd"/>
      <w:r w:rsidRPr="006B42DC">
        <w:rPr>
          <w:rFonts w:hAnsi="標楷體" w:hint="eastAsia"/>
          <w:szCs w:val="32"/>
        </w:rPr>
        <w:t>據交通部航港局港區危險品安全督導實施作業</w:t>
      </w:r>
      <w:r w:rsidRPr="006B42DC">
        <w:rPr>
          <w:rFonts w:hint="eastAsia"/>
        </w:rPr>
        <w:t>要點</w:t>
      </w:r>
      <w:r w:rsidRPr="006B42DC">
        <w:rPr>
          <w:rFonts w:hAnsi="標楷體" w:hint="eastAsia"/>
          <w:szCs w:val="32"/>
        </w:rPr>
        <w:t>第7點規定略</w:t>
      </w:r>
      <w:proofErr w:type="gramStart"/>
      <w:r w:rsidRPr="006B42DC">
        <w:rPr>
          <w:rFonts w:hAnsi="標楷體" w:hint="eastAsia"/>
          <w:szCs w:val="32"/>
        </w:rPr>
        <w:t>以</w:t>
      </w:r>
      <w:proofErr w:type="gramEnd"/>
      <w:r w:rsidRPr="006B42DC">
        <w:rPr>
          <w:rFonts w:hAnsi="標楷體" w:hint="eastAsia"/>
          <w:szCs w:val="32"/>
        </w:rPr>
        <w:t>，航港局所屬各航務中心應邀集各港務消防隊、港務公司各分公司組成督導小組，每年辦理1至2次危險物品安全督導業務，</w:t>
      </w:r>
      <w:proofErr w:type="gramStart"/>
      <w:r w:rsidRPr="006B42DC">
        <w:rPr>
          <w:rFonts w:hAnsi="標楷體" w:hint="eastAsia"/>
          <w:szCs w:val="32"/>
        </w:rPr>
        <w:t>就港區</w:t>
      </w:r>
      <w:proofErr w:type="gramEnd"/>
      <w:r w:rsidRPr="006B42DC">
        <w:rPr>
          <w:rFonts w:hAnsi="標楷體" w:hint="eastAsia"/>
          <w:szCs w:val="32"/>
        </w:rPr>
        <w:t>內各公民營業者之危險物品裝卸、運送、存放及事故之處理通報等事項進行實地督導，</w:t>
      </w:r>
      <w:proofErr w:type="gramStart"/>
      <w:r w:rsidRPr="006B42DC">
        <w:rPr>
          <w:rFonts w:hAnsi="標楷體" w:hint="eastAsia"/>
          <w:szCs w:val="32"/>
        </w:rPr>
        <w:t>督檢項目</w:t>
      </w:r>
      <w:proofErr w:type="gramEnd"/>
      <w:r w:rsidRPr="006B42DC">
        <w:rPr>
          <w:rFonts w:hAnsi="標楷體" w:hint="eastAsia"/>
          <w:szCs w:val="32"/>
        </w:rPr>
        <w:t>包含廠區危險品管理與教育訓練、危險品事故通報、各項設備（施）檢測、危險品之管理、消防設施(備)及防火區劃、污染防制（治）等，以確保港區內危險物品作業安全。且該要點第8點規定略</w:t>
      </w:r>
      <w:proofErr w:type="gramStart"/>
      <w:r w:rsidRPr="006B42DC">
        <w:rPr>
          <w:rFonts w:hAnsi="標楷體" w:hint="eastAsia"/>
          <w:szCs w:val="32"/>
        </w:rPr>
        <w:t>以</w:t>
      </w:r>
      <w:proofErr w:type="gramEnd"/>
      <w:r w:rsidRPr="006B42DC">
        <w:rPr>
          <w:rFonts w:hAnsi="標楷體" w:hint="eastAsia"/>
          <w:szCs w:val="32"/>
        </w:rPr>
        <w:t>，查訪如發現不符規定，應立即糾正改善並留存紀錄，如不能立</w:t>
      </w:r>
      <w:r w:rsidRPr="006B42DC">
        <w:rPr>
          <w:rFonts w:hAnsi="標楷體" w:hint="eastAsia"/>
          <w:szCs w:val="32"/>
        </w:rPr>
        <w:lastRenderedPageBreak/>
        <w:t>即改善者，應</w:t>
      </w:r>
      <w:proofErr w:type="gramStart"/>
      <w:r w:rsidRPr="006B42DC">
        <w:rPr>
          <w:rFonts w:hAnsi="標楷體" w:hint="eastAsia"/>
          <w:szCs w:val="32"/>
        </w:rPr>
        <w:t>請受督考</w:t>
      </w:r>
      <w:proofErr w:type="gramEnd"/>
      <w:r w:rsidRPr="006B42DC">
        <w:rPr>
          <w:rFonts w:hAnsi="標楷體" w:hint="eastAsia"/>
          <w:szCs w:val="32"/>
        </w:rPr>
        <w:t>業者切實執行改善後予以復查或列為下年度稽核重點。</w:t>
      </w:r>
      <w:r w:rsidR="004F4DB9" w:rsidRPr="006B42DC">
        <w:rPr>
          <w:rFonts w:hAnsi="標楷體" w:hint="eastAsia"/>
          <w:szCs w:val="32"/>
        </w:rPr>
        <w:t>依審計部查核報告</w:t>
      </w:r>
      <w:r w:rsidRPr="006B42DC">
        <w:rPr>
          <w:rFonts w:hAnsi="標楷體" w:hint="eastAsia"/>
          <w:szCs w:val="32"/>
        </w:rPr>
        <w:t>，航港局各航務</w:t>
      </w:r>
      <w:proofErr w:type="gramStart"/>
      <w:r w:rsidRPr="006B42DC">
        <w:rPr>
          <w:rFonts w:hAnsi="標楷體" w:hint="eastAsia"/>
          <w:szCs w:val="32"/>
        </w:rPr>
        <w:t>中心均已完成104</w:t>
      </w:r>
      <w:proofErr w:type="gramEnd"/>
      <w:r w:rsidRPr="006B42DC">
        <w:rPr>
          <w:rFonts w:hAnsi="標楷體" w:hint="eastAsia"/>
          <w:szCs w:val="32"/>
        </w:rPr>
        <w:t>年度危險物品安全督導作業，惟比對各航務中心</w:t>
      </w:r>
      <w:proofErr w:type="gramStart"/>
      <w:r w:rsidRPr="006B42DC">
        <w:rPr>
          <w:rFonts w:hAnsi="標楷體" w:hint="eastAsia"/>
          <w:szCs w:val="32"/>
        </w:rPr>
        <w:t>104</w:t>
      </w:r>
      <w:proofErr w:type="gramEnd"/>
      <w:r w:rsidRPr="006B42DC">
        <w:rPr>
          <w:rFonts w:hAnsi="標楷體" w:hint="eastAsia"/>
          <w:szCs w:val="32"/>
        </w:rPr>
        <w:t>年度查核名單發現，中部及南部航務中心並未將其轄內</w:t>
      </w:r>
      <w:r w:rsidRPr="006B42DC">
        <w:rPr>
          <w:rFonts w:hAnsi="標楷體" w:hint="eastAsia"/>
          <w:b/>
          <w:szCs w:val="32"/>
        </w:rPr>
        <w:t>所有</w:t>
      </w:r>
      <w:r w:rsidRPr="006B42DC">
        <w:rPr>
          <w:rFonts w:hAnsi="標楷體" w:hint="eastAsia"/>
          <w:szCs w:val="32"/>
        </w:rPr>
        <w:t>公民營業者</w:t>
      </w:r>
      <w:r w:rsidR="006A2489" w:rsidRPr="006B42DC">
        <w:rPr>
          <w:rFonts w:hAnsi="標楷體" w:hint="eastAsia"/>
          <w:szCs w:val="32"/>
        </w:rPr>
        <w:t>均</w:t>
      </w:r>
      <w:r w:rsidRPr="006B42DC">
        <w:rPr>
          <w:rFonts w:hAnsi="標楷體" w:hint="eastAsia"/>
          <w:szCs w:val="32"/>
        </w:rPr>
        <w:t>納入查核名單，核與上開要點第7點規定不符。另</w:t>
      </w:r>
      <w:proofErr w:type="gramStart"/>
      <w:r w:rsidRPr="006B42DC">
        <w:rPr>
          <w:rFonts w:hAnsi="標楷體" w:hint="eastAsia"/>
          <w:szCs w:val="32"/>
        </w:rPr>
        <w:t>104</w:t>
      </w:r>
      <w:proofErr w:type="gramEnd"/>
      <w:r w:rsidRPr="006B42DC">
        <w:rPr>
          <w:rFonts w:hAnsi="標楷體" w:hint="eastAsia"/>
          <w:szCs w:val="32"/>
        </w:rPr>
        <w:t>年度各航務中心辦理之相關督考結果，多為緊急聯絡通報資料未及時更新等缺失，航港局各航務中心多未依上開要點第8點規定，</w:t>
      </w:r>
      <w:proofErr w:type="gramStart"/>
      <w:r w:rsidRPr="006B42DC">
        <w:rPr>
          <w:rFonts w:hAnsi="標楷體" w:hint="eastAsia"/>
          <w:szCs w:val="32"/>
        </w:rPr>
        <w:t>要求受督考</w:t>
      </w:r>
      <w:proofErr w:type="gramEnd"/>
      <w:r w:rsidRPr="006B42DC">
        <w:rPr>
          <w:rFonts w:hAnsi="標楷體" w:hint="eastAsia"/>
          <w:szCs w:val="32"/>
        </w:rPr>
        <w:t>業者立即改善或切實執行改善後予以復查，相關查核缺失</w:t>
      </w:r>
      <w:r w:rsidR="006A2489" w:rsidRPr="006B42DC">
        <w:rPr>
          <w:rFonts w:hAnsi="標楷體" w:hint="eastAsia"/>
          <w:szCs w:val="32"/>
        </w:rPr>
        <w:t>多</w:t>
      </w:r>
      <w:r w:rsidRPr="006B42DC">
        <w:rPr>
          <w:rFonts w:hAnsi="標楷體" w:hint="eastAsia"/>
          <w:szCs w:val="32"/>
        </w:rPr>
        <w:t>僅列為下年度</w:t>
      </w:r>
      <w:r w:rsidR="006A2489" w:rsidRPr="006B42DC">
        <w:rPr>
          <w:rFonts w:hAnsi="標楷體" w:hint="eastAsia"/>
          <w:szCs w:val="32"/>
        </w:rPr>
        <w:t>之</w:t>
      </w:r>
      <w:r w:rsidRPr="006B42DC">
        <w:rPr>
          <w:rFonts w:hAnsi="標楷體" w:hint="eastAsia"/>
          <w:szCs w:val="32"/>
        </w:rPr>
        <w:t>稽核重點，顯未能有效督促業者儘速改善，</w:t>
      </w:r>
      <w:r w:rsidR="00EC4626" w:rsidRPr="006B42DC">
        <w:rPr>
          <w:rFonts w:hAnsi="標楷體" w:hint="eastAsia"/>
          <w:szCs w:val="32"/>
        </w:rPr>
        <w:t>致無法確保港區內危險物品作業安全</w:t>
      </w:r>
      <w:r w:rsidRPr="006B42DC">
        <w:rPr>
          <w:rFonts w:hAnsi="標楷體" w:hint="eastAsia"/>
          <w:szCs w:val="32"/>
        </w:rPr>
        <w:t>。</w:t>
      </w:r>
    </w:p>
    <w:p w:rsidR="008622C1" w:rsidRPr="006B42DC" w:rsidRDefault="008622C1" w:rsidP="00544386">
      <w:pPr>
        <w:pStyle w:val="3"/>
        <w:ind w:left="1358"/>
        <w:rPr>
          <w:rFonts w:hAnsi="標楷體"/>
          <w:szCs w:val="32"/>
        </w:rPr>
      </w:pPr>
      <w:r w:rsidRPr="006B42DC">
        <w:rPr>
          <w:rFonts w:hAnsi="標楷體" w:hint="eastAsia"/>
          <w:szCs w:val="32"/>
        </w:rPr>
        <w:t>綜上，港務公司執行港區液化危險品安全查核作業，漏未將管線維護情形納入查核項目，僅仰賴該公司契約管理健檢小組</w:t>
      </w:r>
      <w:r w:rsidRPr="006B42DC">
        <w:rPr>
          <w:rFonts w:hint="eastAsia"/>
        </w:rPr>
        <w:t>負責</w:t>
      </w:r>
      <w:r w:rsidRPr="006B42DC">
        <w:rPr>
          <w:rFonts w:hAnsi="標楷體" w:hint="eastAsia"/>
          <w:szCs w:val="32"/>
        </w:rPr>
        <w:t>，檢查強度明顯不足，無法確保危險品管線運輸特性之安全要求；航港局稽核業者進行安全督導，卻未將其轄內所有公民營業者納入查核名單，依規定查核港區內貨櫃場及倉儲業者之安全管理情形，且未能強化危險物品安全督導查核缺失之後續追蹤改善機制，皆無法確保港區內危險物品作業安全，允應檢討改善。</w:t>
      </w:r>
    </w:p>
    <w:p w:rsidR="008622C1" w:rsidRPr="006B42DC" w:rsidRDefault="008622C1" w:rsidP="008622C1">
      <w:pPr>
        <w:pStyle w:val="2"/>
        <w:rPr>
          <w:b/>
        </w:rPr>
      </w:pPr>
      <w:r w:rsidRPr="006B42DC">
        <w:rPr>
          <w:rFonts w:hint="eastAsia"/>
          <w:b/>
        </w:rPr>
        <w:t>交通部為規範國際商港</w:t>
      </w:r>
      <w:proofErr w:type="gramStart"/>
      <w:r w:rsidRPr="006B42DC">
        <w:rPr>
          <w:rFonts w:hint="eastAsia"/>
          <w:b/>
        </w:rPr>
        <w:t>港</w:t>
      </w:r>
      <w:proofErr w:type="gramEnd"/>
      <w:r w:rsidRPr="006B42DC">
        <w:rPr>
          <w:rFonts w:hint="eastAsia"/>
          <w:b/>
        </w:rPr>
        <w:t>區危險物品裝卸、倉儲作業需要，除應以通用之國際運輸專用名稱，落實危險物品申報、審核機制，</w:t>
      </w:r>
      <w:r w:rsidR="004F74ED" w:rsidRPr="006B42DC">
        <w:rPr>
          <w:rFonts w:hint="eastAsia"/>
          <w:b/>
        </w:rPr>
        <w:t>以利國際</w:t>
      </w:r>
      <w:proofErr w:type="gramStart"/>
      <w:r w:rsidR="004F74ED" w:rsidRPr="006B42DC">
        <w:rPr>
          <w:rFonts w:hint="eastAsia"/>
          <w:b/>
        </w:rPr>
        <w:t>接軌外</w:t>
      </w:r>
      <w:proofErr w:type="gramEnd"/>
      <w:r w:rsidR="004F74ED" w:rsidRPr="006B42DC">
        <w:rPr>
          <w:rFonts w:hint="eastAsia"/>
          <w:b/>
        </w:rPr>
        <w:t>；</w:t>
      </w:r>
      <w:r w:rsidRPr="006B42DC">
        <w:rPr>
          <w:rFonts w:hint="eastAsia"/>
          <w:b/>
        </w:rPr>
        <w:t>對於裝卸作業及倉儲管理亦應負督導責任，允應提升危機意識與人員教育訓練，</w:t>
      </w:r>
      <w:proofErr w:type="gramStart"/>
      <w:r w:rsidRPr="006B42DC">
        <w:rPr>
          <w:rFonts w:hint="eastAsia"/>
          <w:b/>
        </w:rPr>
        <w:t>以維港區</w:t>
      </w:r>
      <w:proofErr w:type="gramEnd"/>
      <w:r w:rsidRPr="006B42DC">
        <w:rPr>
          <w:rFonts w:hint="eastAsia"/>
          <w:b/>
        </w:rPr>
        <w:t>危險物品作業安全。</w:t>
      </w:r>
    </w:p>
    <w:p w:rsidR="008622C1" w:rsidRPr="006B42DC" w:rsidRDefault="008622C1" w:rsidP="00544386">
      <w:pPr>
        <w:pStyle w:val="3"/>
        <w:ind w:left="1358"/>
        <w:rPr>
          <w:rFonts w:hAnsi="標楷體"/>
          <w:szCs w:val="32"/>
        </w:rPr>
      </w:pPr>
      <w:r w:rsidRPr="006B42DC">
        <w:rPr>
          <w:rFonts w:hAnsi="標楷體" w:hint="eastAsia"/>
          <w:szCs w:val="32"/>
        </w:rPr>
        <w:t>依國際商港</w:t>
      </w:r>
      <w:proofErr w:type="gramStart"/>
      <w:r w:rsidRPr="006B42DC">
        <w:rPr>
          <w:rFonts w:hAnsi="標楷體" w:hint="eastAsia"/>
          <w:szCs w:val="32"/>
        </w:rPr>
        <w:t>港</w:t>
      </w:r>
      <w:proofErr w:type="gramEnd"/>
      <w:r w:rsidRPr="006B42DC">
        <w:rPr>
          <w:rFonts w:hAnsi="標楷體" w:hint="eastAsia"/>
          <w:szCs w:val="32"/>
        </w:rPr>
        <w:t>區</w:t>
      </w:r>
      <w:r w:rsidRPr="006B42DC">
        <w:rPr>
          <w:rFonts w:hint="eastAsia"/>
        </w:rPr>
        <w:t>危險</w:t>
      </w:r>
      <w:r w:rsidRPr="006B42DC">
        <w:rPr>
          <w:rFonts w:hAnsi="標楷體" w:hint="eastAsia"/>
          <w:szCs w:val="32"/>
        </w:rPr>
        <w:t>物品裝卸倉儲設施作業要點第1點規定：「為規範國際商港</w:t>
      </w:r>
      <w:proofErr w:type="gramStart"/>
      <w:r w:rsidRPr="006B42DC">
        <w:rPr>
          <w:rFonts w:hAnsi="標楷體" w:hint="eastAsia"/>
          <w:szCs w:val="32"/>
        </w:rPr>
        <w:t>港</w:t>
      </w:r>
      <w:proofErr w:type="gramEnd"/>
      <w:r w:rsidRPr="006B42DC">
        <w:rPr>
          <w:rFonts w:hAnsi="標楷體" w:hint="eastAsia"/>
          <w:szCs w:val="32"/>
        </w:rPr>
        <w:t>區危險物品裝卸、倉儲作業需要，參照商港法、商港港務管理規則、商港</w:t>
      </w:r>
      <w:proofErr w:type="gramStart"/>
      <w:r w:rsidRPr="006B42DC">
        <w:rPr>
          <w:rFonts w:hAnsi="標楷體" w:hint="eastAsia"/>
          <w:szCs w:val="32"/>
        </w:rPr>
        <w:t>棧</w:t>
      </w:r>
      <w:proofErr w:type="gramEnd"/>
      <w:r w:rsidRPr="006B42DC">
        <w:rPr>
          <w:rFonts w:hAnsi="標楷體" w:hint="eastAsia"/>
          <w:szCs w:val="32"/>
        </w:rPr>
        <w:t>埠管理規則、毒性化學物質管理法、勞工安全</w:t>
      </w:r>
      <w:r w:rsidRPr="006B42DC">
        <w:rPr>
          <w:rFonts w:hAnsi="標楷體" w:hint="eastAsia"/>
          <w:szCs w:val="32"/>
        </w:rPr>
        <w:lastRenderedPageBreak/>
        <w:t>衛生法、船舶危險品裝載規則、國際海運危險品章程、公共危險物品及可燃性高壓氣體設置標準暨安全管理辦法等之規定，訂定本要點。」商港港務管理規則第 29 條規定：「航港局或指定機關</w:t>
      </w:r>
      <w:proofErr w:type="gramStart"/>
      <w:r w:rsidRPr="006B42DC">
        <w:rPr>
          <w:rFonts w:hAnsi="標楷體" w:hint="eastAsia"/>
          <w:szCs w:val="32"/>
        </w:rPr>
        <w:t>為策港區</w:t>
      </w:r>
      <w:proofErr w:type="gramEnd"/>
      <w:r w:rsidRPr="006B42DC">
        <w:rPr>
          <w:rFonts w:hAnsi="標楷體" w:hint="eastAsia"/>
          <w:szCs w:val="32"/>
        </w:rPr>
        <w:t>內之安全，得會商有關機關、團體及業者設立危險物品安全督導小組，督導港區內危險物品之裝卸、運送、存放及事故之處理。」交通部航港局港區危險物品作業安全督導實施要點其附件之督導項目，包含廠區危險物品管理與教育訓練等有關危機意識建立之項目。由上開規定可知，交通部暨其所屬航港局及港務公司，為規範國際商港</w:t>
      </w:r>
      <w:proofErr w:type="gramStart"/>
      <w:r w:rsidRPr="006B42DC">
        <w:rPr>
          <w:rFonts w:hAnsi="標楷體" w:hint="eastAsia"/>
          <w:szCs w:val="32"/>
        </w:rPr>
        <w:t>港</w:t>
      </w:r>
      <w:proofErr w:type="gramEnd"/>
      <w:r w:rsidRPr="006B42DC">
        <w:rPr>
          <w:rFonts w:hAnsi="標楷體" w:hint="eastAsia"/>
          <w:szCs w:val="32"/>
        </w:rPr>
        <w:t>區危險物品裝卸、倉儲作業需要，應依上開法令規定負督導責任。</w:t>
      </w:r>
    </w:p>
    <w:p w:rsidR="008622C1" w:rsidRPr="006B42DC" w:rsidRDefault="008622C1" w:rsidP="00544386">
      <w:pPr>
        <w:pStyle w:val="3"/>
        <w:ind w:left="1358"/>
        <w:rPr>
          <w:rFonts w:hAnsi="標楷體"/>
          <w:szCs w:val="32"/>
        </w:rPr>
      </w:pPr>
      <w:r w:rsidRPr="006B42DC">
        <w:rPr>
          <w:rFonts w:hAnsi="標楷體" w:hint="eastAsia"/>
          <w:szCs w:val="32"/>
        </w:rPr>
        <w:t>據本院諮詢專家學者指出，現今我國海運危險物品在運輸文件上使用的是技術名稱，而國際上使用的是聯合國危險物品辨識系統，也就是運輸專用名稱(Proper Shipping Name)，因而無法與海、陸、空各種運輸模式之國際規範接軌。若我國海運危險物品在運輸文件上使用運輸專用名稱，包括港務公司建置之資訊系統，則可利用船舶抵達前之預先通告，完成勾</w:t>
      </w:r>
      <w:proofErr w:type="gramStart"/>
      <w:r w:rsidRPr="006B42DC">
        <w:rPr>
          <w:rFonts w:hAnsi="標楷體" w:hint="eastAsia"/>
          <w:szCs w:val="32"/>
        </w:rPr>
        <w:t>稽</w:t>
      </w:r>
      <w:proofErr w:type="gramEnd"/>
      <w:r w:rsidRPr="006B42DC">
        <w:rPr>
          <w:rFonts w:hAnsi="標楷體" w:hint="eastAsia"/>
          <w:szCs w:val="32"/>
        </w:rPr>
        <w:t>，以發現危險物品之</w:t>
      </w:r>
      <w:proofErr w:type="gramStart"/>
      <w:r w:rsidRPr="006B42DC">
        <w:rPr>
          <w:rFonts w:hAnsi="標楷體" w:hint="eastAsia"/>
          <w:szCs w:val="32"/>
        </w:rPr>
        <w:t>匿</w:t>
      </w:r>
      <w:proofErr w:type="gramEnd"/>
      <w:r w:rsidRPr="006B42DC">
        <w:rPr>
          <w:rFonts w:hAnsi="標楷體" w:hint="eastAsia"/>
          <w:szCs w:val="32"/>
        </w:rPr>
        <w:t>報、謊報等。由上開說明可知，船舶危險品運送目前遭遇之隱匿申報、控管平台欠缺橫向勾</w:t>
      </w:r>
      <w:proofErr w:type="gramStart"/>
      <w:r w:rsidRPr="006B42DC">
        <w:rPr>
          <w:rFonts w:hAnsi="標楷體" w:hint="eastAsia"/>
          <w:szCs w:val="32"/>
        </w:rPr>
        <w:t>稽</w:t>
      </w:r>
      <w:proofErr w:type="gramEnd"/>
      <w:r w:rsidRPr="006B42DC">
        <w:rPr>
          <w:rFonts w:hAnsi="標楷體" w:hint="eastAsia"/>
          <w:szCs w:val="32"/>
        </w:rPr>
        <w:t>、安全查核機制欠缺及落實等課題，係因對危險品查核名稱未能一致，致生漏洞，且出口之危險物品也必須使用聯合國危險物品辨識系統，才能與目的地國家接軌，廠商不致因為違反法律遭受裁罰，遭致嚴重損失。</w:t>
      </w:r>
    </w:p>
    <w:p w:rsidR="008622C1" w:rsidRPr="006B42DC" w:rsidRDefault="008622C1" w:rsidP="00544386">
      <w:pPr>
        <w:pStyle w:val="3"/>
        <w:ind w:left="1358"/>
        <w:rPr>
          <w:rFonts w:hAnsi="標楷體"/>
          <w:szCs w:val="32"/>
        </w:rPr>
      </w:pPr>
      <w:r w:rsidRPr="006B42DC">
        <w:rPr>
          <w:rFonts w:hAnsi="標楷體" w:hint="eastAsia"/>
          <w:szCs w:val="32"/>
        </w:rPr>
        <w:t>另由本院履</w:t>
      </w:r>
      <w:proofErr w:type="gramStart"/>
      <w:r w:rsidRPr="006B42DC">
        <w:rPr>
          <w:rFonts w:hAnsi="標楷體" w:hint="eastAsia"/>
          <w:szCs w:val="32"/>
        </w:rPr>
        <w:t>勘</w:t>
      </w:r>
      <w:proofErr w:type="gramEnd"/>
      <w:r w:rsidRPr="006B42DC">
        <w:rPr>
          <w:rFonts w:hAnsi="標楷體" w:hint="eastAsia"/>
          <w:szCs w:val="32"/>
        </w:rPr>
        <w:t>發現，對於是否設置危險品專區儲放</w:t>
      </w:r>
      <w:r w:rsidR="00EE63A9" w:rsidRPr="006B42DC">
        <w:rPr>
          <w:rFonts w:hAnsi="標楷體" w:hint="eastAsia"/>
          <w:szCs w:val="32"/>
        </w:rPr>
        <w:t>一節</w:t>
      </w:r>
      <w:r w:rsidRPr="006B42DC">
        <w:rPr>
          <w:rFonts w:hAnsi="標楷體" w:hint="eastAsia"/>
          <w:szCs w:val="32"/>
        </w:rPr>
        <w:t>，於座談時主管機關與業者</w:t>
      </w:r>
      <w:r w:rsidR="004F74ED" w:rsidRPr="006B42DC">
        <w:rPr>
          <w:rFonts w:hAnsi="標楷體" w:hint="eastAsia"/>
          <w:szCs w:val="32"/>
        </w:rPr>
        <w:t>雖</w:t>
      </w:r>
      <w:r w:rsidRPr="006B42DC">
        <w:rPr>
          <w:rFonts w:hAnsi="標楷體" w:hint="eastAsia"/>
          <w:szCs w:val="32"/>
        </w:rPr>
        <w:t>有不同之論點，惟</w:t>
      </w:r>
      <w:proofErr w:type="gramStart"/>
      <w:r w:rsidRPr="006B42DC">
        <w:rPr>
          <w:rFonts w:hAnsi="標楷體" w:hint="eastAsia"/>
          <w:szCs w:val="32"/>
        </w:rPr>
        <w:t>仍</w:t>
      </w:r>
      <w:r w:rsidR="004F74ED" w:rsidRPr="006B42DC">
        <w:rPr>
          <w:rFonts w:hAnsi="標楷體" w:hint="eastAsia"/>
          <w:szCs w:val="32"/>
        </w:rPr>
        <w:t>認</w:t>
      </w:r>
      <w:r w:rsidRPr="006B42DC">
        <w:rPr>
          <w:rFonts w:hAnsi="標楷體" w:hint="eastAsia"/>
          <w:szCs w:val="32"/>
        </w:rPr>
        <w:t>須以</w:t>
      </w:r>
      <w:proofErr w:type="gramEnd"/>
      <w:r w:rsidRPr="006B42DC">
        <w:rPr>
          <w:rFonts w:hAnsi="標楷體" w:hint="eastAsia"/>
          <w:szCs w:val="32"/>
        </w:rPr>
        <w:t>安全為首要考量，然履</w:t>
      </w:r>
      <w:proofErr w:type="gramStart"/>
      <w:r w:rsidRPr="006B42DC">
        <w:rPr>
          <w:rFonts w:hAnsi="標楷體" w:hint="eastAsia"/>
          <w:szCs w:val="32"/>
        </w:rPr>
        <w:t>勘</w:t>
      </w:r>
      <w:proofErr w:type="gramEnd"/>
      <w:r w:rsidRPr="006B42DC">
        <w:rPr>
          <w:rFonts w:hAnsi="標楷體" w:hint="eastAsia"/>
          <w:szCs w:val="32"/>
        </w:rPr>
        <w:t>時發現有業者將</w:t>
      </w:r>
      <w:proofErr w:type="gramStart"/>
      <w:r w:rsidRPr="006B42DC">
        <w:rPr>
          <w:rFonts w:hAnsi="標楷體" w:hint="eastAsia"/>
          <w:szCs w:val="32"/>
        </w:rPr>
        <w:t>危險品置放</w:t>
      </w:r>
      <w:proofErr w:type="gramEnd"/>
      <w:r w:rsidRPr="006B42DC">
        <w:rPr>
          <w:rFonts w:hAnsi="標楷體" w:hint="eastAsia"/>
          <w:szCs w:val="32"/>
        </w:rPr>
        <w:t>於運輸車道旁，且並無適當之安全阻</w:t>
      </w:r>
      <w:r w:rsidRPr="006B42DC">
        <w:rPr>
          <w:rFonts w:hAnsi="標楷體" w:hint="eastAsia"/>
          <w:szCs w:val="32"/>
        </w:rPr>
        <w:lastRenderedPageBreak/>
        <w:t>隔，對於大型貨櫃車來往頻繁，</w:t>
      </w:r>
      <w:proofErr w:type="gramStart"/>
      <w:r w:rsidRPr="006B42DC">
        <w:rPr>
          <w:rFonts w:hAnsi="標楷體" w:hint="eastAsia"/>
          <w:szCs w:val="32"/>
        </w:rPr>
        <w:t>顯易生</w:t>
      </w:r>
      <w:proofErr w:type="gramEnd"/>
      <w:r w:rsidRPr="006B42DC">
        <w:rPr>
          <w:rFonts w:hAnsi="標楷體" w:hint="eastAsia"/>
          <w:szCs w:val="32"/>
        </w:rPr>
        <w:t>肇事意外，徒增危險品外</w:t>
      </w:r>
      <w:proofErr w:type="gramStart"/>
      <w:r w:rsidRPr="006B42DC">
        <w:rPr>
          <w:rFonts w:hAnsi="標楷體" w:hint="eastAsia"/>
          <w:szCs w:val="32"/>
        </w:rPr>
        <w:t>洩</w:t>
      </w:r>
      <w:proofErr w:type="gramEnd"/>
      <w:r w:rsidRPr="006B42DC">
        <w:rPr>
          <w:rFonts w:hAnsi="標楷體" w:hint="eastAsia"/>
          <w:szCs w:val="32"/>
        </w:rPr>
        <w:t>之機率。又基隆港及高雄港近年來發生數</w:t>
      </w:r>
      <w:r w:rsidR="00873063" w:rsidRPr="006B42DC">
        <w:rPr>
          <w:rFonts w:hAnsi="標楷體" w:hint="eastAsia"/>
          <w:szCs w:val="32"/>
        </w:rPr>
        <w:t>起</w:t>
      </w:r>
      <w:r w:rsidRPr="006B42DC">
        <w:rPr>
          <w:rFonts w:hAnsi="標楷體" w:hint="eastAsia"/>
          <w:szCs w:val="32"/>
        </w:rPr>
        <w:t>危險品外</w:t>
      </w:r>
      <w:proofErr w:type="gramStart"/>
      <w:r w:rsidRPr="006B42DC">
        <w:rPr>
          <w:rFonts w:hAnsi="標楷體" w:hint="eastAsia"/>
          <w:szCs w:val="32"/>
        </w:rPr>
        <w:t>洩</w:t>
      </w:r>
      <w:proofErr w:type="gramEnd"/>
      <w:r w:rsidRPr="006B42DC">
        <w:rPr>
          <w:rFonts w:hAnsi="標楷體" w:hint="eastAsia"/>
          <w:szCs w:val="32"/>
        </w:rPr>
        <w:t>事件，多屬容器設備故障或人為裝卸操作不當等缺失，造成危害港區安全之情事，茲簡述如下：</w:t>
      </w:r>
    </w:p>
    <w:p w:rsidR="008622C1" w:rsidRPr="006B42DC" w:rsidRDefault="008622C1" w:rsidP="00107F32">
      <w:pPr>
        <w:pStyle w:val="4"/>
      </w:pPr>
      <w:r w:rsidRPr="006B42DC">
        <w:rPr>
          <w:rFonts w:hint="eastAsia"/>
        </w:rPr>
        <w:t>基隆港於104年2月13日及同年月16日於東11號碼頭化學品</w:t>
      </w:r>
      <w:proofErr w:type="gramStart"/>
      <w:r w:rsidRPr="006B42DC">
        <w:rPr>
          <w:rFonts w:hint="eastAsia"/>
        </w:rPr>
        <w:t>氫氟酸</w:t>
      </w:r>
      <w:proofErr w:type="gramEnd"/>
      <w:r w:rsidRPr="006B42DC">
        <w:rPr>
          <w:rFonts w:hint="eastAsia"/>
        </w:rPr>
        <w:t>(UN No.1790 Class8)</w:t>
      </w:r>
      <w:proofErr w:type="gramStart"/>
      <w:r w:rsidRPr="006B42DC">
        <w:rPr>
          <w:rFonts w:hint="eastAsia"/>
        </w:rPr>
        <w:t>槽櫃洩漏</w:t>
      </w:r>
      <w:proofErr w:type="gramEnd"/>
      <w:r w:rsidRPr="006B42DC">
        <w:rPr>
          <w:rFonts w:hint="eastAsia"/>
        </w:rPr>
        <w:t>，原因</w:t>
      </w:r>
      <w:proofErr w:type="gramStart"/>
      <w:r w:rsidRPr="006B42DC">
        <w:rPr>
          <w:rFonts w:hint="eastAsia"/>
        </w:rPr>
        <w:t>係櫃體</w:t>
      </w:r>
      <w:proofErr w:type="gramEnd"/>
      <w:r w:rsidRPr="006B42DC">
        <w:rPr>
          <w:rFonts w:hint="eastAsia"/>
        </w:rPr>
        <w:t>上有裂縫，屬容器設備故障；104年11月20日東10號碼頭聯興貨櫃出口處20呎貨櫃化學品無</w:t>
      </w:r>
      <w:proofErr w:type="gramStart"/>
      <w:r w:rsidRPr="006B42DC">
        <w:rPr>
          <w:rFonts w:hint="eastAsia"/>
        </w:rPr>
        <w:t>水氫氟酸</w:t>
      </w:r>
      <w:proofErr w:type="gramEnd"/>
      <w:r w:rsidRPr="006B42DC">
        <w:rPr>
          <w:rFonts w:hint="eastAsia"/>
        </w:rPr>
        <w:t>(UN No.1052 Class8/6.1)洩漏，原因</w:t>
      </w:r>
      <w:proofErr w:type="gramStart"/>
      <w:r w:rsidRPr="006B42DC">
        <w:rPr>
          <w:rFonts w:hint="eastAsia"/>
        </w:rPr>
        <w:t>係槽體</w:t>
      </w:r>
      <w:proofErr w:type="gramEnd"/>
      <w:r w:rsidRPr="006B42DC">
        <w:rPr>
          <w:rFonts w:hint="eastAsia"/>
        </w:rPr>
        <w:t>上方的盲</w:t>
      </w:r>
      <w:proofErr w:type="gramStart"/>
      <w:r w:rsidRPr="006B42DC">
        <w:rPr>
          <w:rFonts w:hint="eastAsia"/>
        </w:rPr>
        <w:t>板閥門鬆</w:t>
      </w:r>
      <w:proofErr w:type="gramEnd"/>
      <w:r w:rsidRPr="006B42DC">
        <w:rPr>
          <w:rFonts w:hint="eastAsia"/>
        </w:rPr>
        <w:t>脫，屬容器設備故障。所採取之檢討及改善作為包括：實施危險品管理教育訓練、加強現場人員專業能力、加強源頭管理、落實現場裝卸管理、危險品櫃以船邊提貨方式辦理，儘量減少在港滯留時間、落實緊急應變計畫。</w:t>
      </w:r>
    </w:p>
    <w:p w:rsidR="008622C1" w:rsidRPr="006B42DC" w:rsidRDefault="008622C1" w:rsidP="00107F32">
      <w:pPr>
        <w:pStyle w:val="4"/>
      </w:pPr>
      <w:r w:rsidRPr="006B42DC">
        <w:rPr>
          <w:rFonts w:hint="eastAsia"/>
        </w:rPr>
        <w:t>高雄港於104年9月2日於62號碼頭「史都櫻花輪」裝卸「二甲苯」(UN1307 Class 3)，原因係人為裝卸作業不慎，導致破裂油料外溢；</w:t>
      </w:r>
      <w:proofErr w:type="gramStart"/>
      <w:r w:rsidRPr="006B42DC">
        <w:rPr>
          <w:rFonts w:hint="eastAsia"/>
        </w:rPr>
        <w:t>105年7月29日異戊</w:t>
      </w:r>
      <w:proofErr w:type="gramEnd"/>
      <w:r w:rsidRPr="006B42DC">
        <w:rPr>
          <w:rFonts w:hint="eastAsia"/>
        </w:rPr>
        <w:t>二烯(UN No.1218  Class3)及同年</w:t>
      </w:r>
      <w:proofErr w:type="gramStart"/>
      <w:r w:rsidRPr="006B42DC">
        <w:rPr>
          <w:rFonts w:hint="eastAsia"/>
        </w:rPr>
        <w:t>8月2日戊</w:t>
      </w:r>
      <w:proofErr w:type="gramEnd"/>
      <w:r w:rsidRPr="006B42DC">
        <w:rPr>
          <w:rFonts w:hint="eastAsia"/>
        </w:rPr>
        <w:t>二烯(UN No.1993  Class3)於70號碼頭，原因係危險</w:t>
      </w:r>
      <w:proofErr w:type="gramStart"/>
      <w:r w:rsidRPr="006B42DC">
        <w:rPr>
          <w:rFonts w:hint="eastAsia"/>
        </w:rPr>
        <w:t>品櫃閥門</w:t>
      </w:r>
      <w:proofErr w:type="gramEnd"/>
      <w:r w:rsidRPr="006B42DC">
        <w:rPr>
          <w:rFonts w:hint="eastAsia"/>
        </w:rPr>
        <w:t>墊片質變，導致氣體外</w:t>
      </w:r>
      <w:proofErr w:type="gramStart"/>
      <w:r w:rsidRPr="006B42DC">
        <w:rPr>
          <w:rFonts w:hint="eastAsia"/>
        </w:rPr>
        <w:t>洩</w:t>
      </w:r>
      <w:proofErr w:type="gramEnd"/>
      <w:r w:rsidRPr="006B42DC">
        <w:rPr>
          <w:rFonts w:hint="eastAsia"/>
        </w:rPr>
        <w:t>。所採取之檢討及改善作為包括：檢討貨主標準作業流程、加強緊急應變演練、人員教育訓練及備妥防護器具、加強不定期巡檢。</w:t>
      </w:r>
    </w:p>
    <w:p w:rsidR="008622C1" w:rsidRPr="006B42DC" w:rsidRDefault="008622C1" w:rsidP="00544386">
      <w:pPr>
        <w:pStyle w:val="3"/>
        <w:ind w:left="1358"/>
        <w:rPr>
          <w:rFonts w:hAnsi="標楷體"/>
          <w:szCs w:val="32"/>
        </w:rPr>
      </w:pPr>
      <w:r w:rsidRPr="006B42DC">
        <w:rPr>
          <w:rFonts w:hAnsi="標楷體" w:hint="eastAsia"/>
          <w:szCs w:val="32"/>
        </w:rPr>
        <w:t>綜上，交通部暨其所屬航港局及港務公司，為規範國際商港</w:t>
      </w:r>
      <w:proofErr w:type="gramStart"/>
      <w:r w:rsidRPr="006B42DC">
        <w:rPr>
          <w:rFonts w:hAnsi="標楷體" w:hint="eastAsia"/>
          <w:szCs w:val="32"/>
        </w:rPr>
        <w:t>港</w:t>
      </w:r>
      <w:proofErr w:type="gramEnd"/>
      <w:r w:rsidRPr="006B42DC">
        <w:rPr>
          <w:rFonts w:hAnsi="標楷體" w:hint="eastAsia"/>
          <w:szCs w:val="32"/>
        </w:rPr>
        <w:t>區危險物品裝卸、倉儲作業需要，除應以通用之國際運輸專用名稱，落實危險物品申報、審核機制，</w:t>
      </w:r>
      <w:r w:rsidR="00273520" w:rsidRPr="006B42DC">
        <w:rPr>
          <w:rFonts w:hAnsi="標楷體" w:hint="eastAsia"/>
          <w:szCs w:val="32"/>
        </w:rPr>
        <w:t>以利</w:t>
      </w:r>
      <w:r w:rsidRPr="006B42DC">
        <w:rPr>
          <w:rFonts w:hAnsi="標楷體" w:hint="eastAsia"/>
          <w:szCs w:val="32"/>
        </w:rPr>
        <w:t>與國際接軌</w:t>
      </w:r>
      <w:r w:rsidR="00273520" w:rsidRPr="006B42DC">
        <w:rPr>
          <w:rFonts w:hAnsi="標楷體" w:hint="eastAsia"/>
          <w:szCs w:val="32"/>
        </w:rPr>
        <w:t>；</w:t>
      </w:r>
      <w:r w:rsidRPr="006B42DC">
        <w:rPr>
          <w:rFonts w:hAnsi="標楷體" w:hint="eastAsia"/>
          <w:szCs w:val="32"/>
        </w:rPr>
        <w:t>對於裝卸作業及倉儲管理亦應負督導責任，然由本院履</w:t>
      </w:r>
      <w:proofErr w:type="gramStart"/>
      <w:r w:rsidRPr="006B42DC">
        <w:rPr>
          <w:rFonts w:hAnsi="標楷體" w:hint="eastAsia"/>
          <w:szCs w:val="32"/>
        </w:rPr>
        <w:t>勘</w:t>
      </w:r>
      <w:proofErr w:type="gramEnd"/>
      <w:r w:rsidRPr="006B42DC">
        <w:rPr>
          <w:rFonts w:hAnsi="標楷體" w:hint="eastAsia"/>
          <w:szCs w:val="32"/>
        </w:rPr>
        <w:t>發現，基隆港</w:t>
      </w:r>
      <w:r w:rsidRPr="006B42DC">
        <w:rPr>
          <w:rFonts w:hAnsi="標楷體" w:hint="eastAsia"/>
          <w:szCs w:val="32"/>
        </w:rPr>
        <w:lastRenderedPageBreak/>
        <w:t>及高雄港近年來發生數</w:t>
      </w:r>
      <w:r w:rsidR="00273520" w:rsidRPr="006B42DC">
        <w:rPr>
          <w:rFonts w:hAnsi="標楷體" w:hint="eastAsia"/>
          <w:szCs w:val="32"/>
        </w:rPr>
        <w:t>起</w:t>
      </w:r>
      <w:r w:rsidRPr="006B42DC">
        <w:rPr>
          <w:rFonts w:hAnsi="標楷體" w:hint="eastAsia"/>
          <w:szCs w:val="32"/>
        </w:rPr>
        <w:t>危險品外</w:t>
      </w:r>
      <w:proofErr w:type="gramStart"/>
      <w:r w:rsidRPr="006B42DC">
        <w:rPr>
          <w:rFonts w:hAnsi="標楷體" w:hint="eastAsia"/>
          <w:szCs w:val="32"/>
        </w:rPr>
        <w:t>洩</w:t>
      </w:r>
      <w:proofErr w:type="gramEnd"/>
      <w:r w:rsidRPr="006B42DC">
        <w:rPr>
          <w:rFonts w:hAnsi="標楷體" w:hint="eastAsia"/>
          <w:szCs w:val="32"/>
        </w:rPr>
        <w:t>事件，多屬容器設備故障或人為裝卸操作不當等缺失，且部分危險品貨櫃放置區緊鄰車道，造成危害港區安全之情事，顯見於港區危險物品裝卸、倉儲作業仍有提升之處，允應提升危機意識與人員教育訓練等作為，</w:t>
      </w:r>
      <w:proofErr w:type="gramStart"/>
      <w:r w:rsidRPr="006B42DC">
        <w:rPr>
          <w:rFonts w:hAnsi="標楷體" w:hint="eastAsia"/>
          <w:szCs w:val="32"/>
        </w:rPr>
        <w:t>以維港區</w:t>
      </w:r>
      <w:proofErr w:type="gramEnd"/>
      <w:r w:rsidRPr="006B42DC">
        <w:rPr>
          <w:rFonts w:hAnsi="標楷體" w:hint="eastAsia"/>
          <w:szCs w:val="32"/>
        </w:rPr>
        <w:t>危險物品作業安全。</w:t>
      </w:r>
    </w:p>
    <w:p w:rsidR="008622C1" w:rsidRPr="006B42DC" w:rsidRDefault="008622C1" w:rsidP="008622C1">
      <w:pPr>
        <w:pStyle w:val="2"/>
        <w:rPr>
          <w:b/>
        </w:rPr>
      </w:pPr>
      <w:r w:rsidRPr="006B42DC">
        <w:rPr>
          <w:rFonts w:hint="eastAsia"/>
          <w:b/>
        </w:rPr>
        <w:t>交通部依法督促業者應遵照國際海運危險品準則等相關公約及規定，對該等準則之變更或修正，應</w:t>
      </w:r>
      <w:r w:rsidR="00873063" w:rsidRPr="006B42DC">
        <w:rPr>
          <w:rFonts w:hint="eastAsia"/>
          <w:b/>
        </w:rPr>
        <w:t>有明確</w:t>
      </w:r>
      <w:r w:rsidRPr="006B42DC">
        <w:rPr>
          <w:rFonts w:hint="eastAsia"/>
          <w:b/>
        </w:rPr>
        <w:t>規範，並</w:t>
      </w:r>
      <w:r w:rsidR="00873063" w:rsidRPr="006B42DC">
        <w:rPr>
          <w:rFonts w:hint="eastAsia"/>
          <w:b/>
        </w:rPr>
        <w:t>以公文書方式</w:t>
      </w:r>
      <w:r w:rsidRPr="006B42DC">
        <w:rPr>
          <w:rFonts w:hint="eastAsia"/>
          <w:b/>
        </w:rPr>
        <w:t>公告周知，以利業者確實遵行，又對違反相關規定之業者，亦應明定法律義務關係，以落實罰則之執行，皆應檢討改善。</w:t>
      </w:r>
    </w:p>
    <w:p w:rsidR="008622C1" w:rsidRPr="006B42DC" w:rsidRDefault="008622C1" w:rsidP="00544386">
      <w:pPr>
        <w:pStyle w:val="3"/>
        <w:ind w:left="1358"/>
        <w:rPr>
          <w:rFonts w:hAnsi="標楷體"/>
          <w:szCs w:val="32"/>
        </w:rPr>
      </w:pPr>
      <w:r w:rsidRPr="006B42DC">
        <w:rPr>
          <w:rFonts w:hAnsi="標楷體" w:hint="eastAsia"/>
          <w:szCs w:val="32"/>
        </w:rPr>
        <w:t>依商港法第 3 條第1項第10款規定：「十、危險物品：指依聯合國國際海事組織所定國際海運危險品準則指定之物質。」國際商港</w:t>
      </w:r>
      <w:proofErr w:type="gramStart"/>
      <w:r w:rsidRPr="006B42DC">
        <w:rPr>
          <w:rFonts w:hAnsi="標楷體" w:hint="eastAsia"/>
          <w:szCs w:val="32"/>
        </w:rPr>
        <w:t>港</w:t>
      </w:r>
      <w:proofErr w:type="gramEnd"/>
      <w:r w:rsidRPr="006B42DC">
        <w:rPr>
          <w:rFonts w:hAnsi="標楷體" w:hint="eastAsia"/>
          <w:szCs w:val="32"/>
        </w:rPr>
        <w:t>區危險物品裝卸倉儲設施作業要點第3點規定略</w:t>
      </w:r>
      <w:proofErr w:type="gramStart"/>
      <w:r w:rsidRPr="006B42DC">
        <w:rPr>
          <w:rFonts w:hAnsi="標楷體" w:hint="eastAsia"/>
          <w:szCs w:val="32"/>
        </w:rPr>
        <w:t>以</w:t>
      </w:r>
      <w:proofErr w:type="gramEnd"/>
      <w:r w:rsidRPr="006B42DC">
        <w:rPr>
          <w:rFonts w:hAnsi="標楷體" w:hint="eastAsia"/>
          <w:szCs w:val="32"/>
        </w:rPr>
        <w:t>：「三、危險物品裝卸、倉儲作業除應遵照國際海事組織（IMO）</w:t>
      </w:r>
      <w:r w:rsidR="005C5070" w:rsidRPr="006B42DC">
        <w:rPr>
          <w:rFonts w:hAnsi="標楷體" w:hint="eastAsia"/>
          <w:szCs w:val="32"/>
        </w:rPr>
        <w:t>制定</w:t>
      </w:r>
      <w:r w:rsidRPr="006B42DC">
        <w:rPr>
          <w:rFonts w:hAnsi="標楷體" w:hint="eastAsia"/>
          <w:szCs w:val="32"/>
        </w:rPr>
        <w:t>之國際海運危險品準則（IMDG Code）規定…</w:t>
      </w:r>
      <w:proofErr w:type="gramStart"/>
      <w:r w:rsidRPr="006B42DC">
        <w:rPr>
          <w:rFonts w:hAnsi="標楷體" w:hint="eastAsia"/>
          <w:szCs w:val="32"/>
        </w:rPr>
        <w:t>…</w:t>
      </w:r>
      <w:proofErr w:type="gramEnd"/>
      <w:r w:rsidRPr="006B42DC">
        <w:rPr>
          <w:rFonts w:hAnsi="標楷體" w:hint="eastAsia"/>
          <w:szCs w:val="32"/>
        </w:rPr>
        <w:t>」船舶危險品裝載規則第2條規定略</w:t>
      </w:r>
      <w:proofErr w:type="gramStart"/>
      <w:r w:rsidRPr="006B42DC">
        <w:rPr>
          <w:rFonts w:hAnsi="標楷體" w:hint="eastAsia"/>
          <w:szCs w:val="32"/>
        </w:rPr>
        <w:t>以</w:t>
      </w:r>
      <w:proofErr w:type="gramEnd"/>
      <w:r w:rsidRPr="006B42DC">
        <w:rPr>
          <w:rFonts w:hAnsi="標楷體" w:hint="eastAsia"/>
          <w:szCs w:val="32"/>
        </w:rPr>
        <w:t>：「…</w:t>
      </w:r>
      <w:proofErr w:type="gramStart"/>
      <w:r w:rsidRPr="006B42DC">
        <w:rPr>
          <w:rFonts w:hAnsi="標楷體" w:hint="eastAsia"/>
          <w:szCs w:val="32"/>
        </w:rPr>
        <w:t>…</w:t>
      </w:r>
      <w:proofErr w:type="gramEnd"/>
      <w:r w:rsidRPr="006B42DC">
        <w:rPr>
          <w:rFonts w:hAnsi="標楷體" w:hint="eastAsia"/>
          <w:szCs w:val="32"/>
        </w:rPr>
        <w:t>航行國際航線之船舶並應符合國際海運危險品章程及其修正案、防止船舶污染國際公約附錄</w:t>
      </w:r>
      <w:proofErr w:type="gramStart"/>
      <w:r w:rsidRPr="006B42DC">
        <w:rPr>
          <w:rFonts w:hAnsi="標楷體" w:hint="eastAsia"/>
          <w:szCs w:val="32"/>
        </w:rPr>
        <w:t>三</w:t>
      </w:r>
      <w:proofErr w:type="gramEnd"/>
      <w:r w:rsidRPr="006B42DC">
        <w:rPr>
          <w:rFonts w:hAnsi="標楷體" w:hint="eastAsia"/>
          <w:szCs w:val="32"/>
        </w:rPr>
        <w:t>防止海上載運包裝型式有害物質污染規則及其修正案規定。」由上開法令規定可知，交通部應依法督促業者應遵照國際海運危險品準則等相關公約及規定，進行危險物品運送作業。</w:t>
      </w:r>
    </w:p>
    <w:p w:rsidR="008622C1" w:rsidRPr="006B42DC" w:rsidRDefault="008622C1" w:rsidP="00544386">
      <w:pPr>
        <w:pStyle w:val="3"/>
        <w:ind w:left="1358"/>
        <w:rPr>
          <w:rFonts w:hAnsi="標楷體"/>
          <w:szCs w:val="32"/>
        </w:rPr>
      </w:pPr>
      <w:r w:rsidRPr="006B42DC">
        <w:rPr>
          <w:rFonts w:hAnsi="標楷體" w:hint="eastAsia"/>
          <w:szCs w:val="32"/>
        </w:rPr>
        <w:t>經查有關國際海運危險品準則等相關公約及規定，係定期或不定期會進行相關</w:t>
      </w:r>
      <w:r w:rsidRPr="006B42DC">
        <w:rPr>
          <w:rFonts w:hint="eastAsia"/>
        </w:rPr>
        <w:t>改版</w:t>
      </w:r>
      <w:r w:rsidRPr="006B42DC">
        <w:rPr>
          <w:rFonts w:hAnsi="標楷體" w:hint="eastAsia"/>
          <w:szCs w:val="32"/>
        </w:rPr>
        <w:t>及修正，惟於本院履</w:t>
      </w:r>
      <w:proofErr w:type="gramStart"/>
      <w:r w:rsidRPr="006B42DC">
        <w:rPr>
          <w:rFonts w:hAnsi="標楷體" w:hint="eastAsia"/>
          <w:szCs w:val="32"/>
        </w:rPr>
        <w:t>勘</w:t>
      </w:r>
      <w:proofErr w:type="gramEnd"/>
      <w:r w:rsidRPr="006B42DC">
        <w:rPr>
          <w:rFonts w:hAnsi="標楷體" w:hint="eastAsia"/>
          <w:szCs w:val="32"/>
        </w:rPr>
        <w:t>時與業者座談，業界表示對上開國際公約或準則之修正及公告，業者之取得及認知容有差異，故主管機關應有公文書效力之行使作為，以利業者確實遵行。然據交通部暨其所屬稱，有關「國際海運</w:t>
      </w:r>
      <w:r w:rsidRPr="006B42DC">
        <w:rPr>
          <w:rFonts w:hAnsi="標楷體" w:hint="eastAsia"/>
          <w:szCs w:val="32"/>
        </w:rPr>
        <w:lastRenderedPageBreak/>
        <w:t>危險品運送章程」對危險品運送之更新或修正，航港局得依「商港法」第44條規定原則性授權事項，就危險物品裝卸配合</w:t>
      </w:r>
      <w:r w:rsidR="005C5070" w:rsidRPr="006B42DC">
        <w:rPr>
          <w:rFonts w:hAnsi="標楷體" w:hint="eastAsia"/>
          <w:szCs w:val="32"/>
        </w:rPr>
        <w:t>修正</w:t>
      </w:r>
      <w:r w:rsidRPr="006B42DC">
        <w:rPr>
          <w:rFonts w:hAnsi="標楷體" w:hint="eastAsia"/>
          <w:szCs w:val="32"/>
        </w:rPr>
        <w:t>「商港港務管理規則」；港務公司未來亦將配合「國際海運危險品運送章程」對危險品運送之更新或修正，適時檢討</w:t>
      </w:r>
      <w:r w:rsidR="005C5070" w:rsidRPr="006B42DC">
        <w:rPr>
          <w:rFonts w:hAnsi="標楷體" w:hint="eastAsia"/>
          <w:szCs w:val="32"/>
        </w:rPr>
        <w:t>修正</w:t>
      </w:r>
      <w:r w:rsidRPr="006B42DC">
        <w:rPr>
          <w:rFonts w:hAnsi="標楷體" w:hint="eastAsia"/>
          <w:szCs w:val="32"/>
        </w:rPr>
        <w:t>「國際商港</w:t>
      </w:r>
      <w:proofErr w:type="gramStart"/>
      <w:r w:rsidRPr="006B42DC">
        <w:rPr>
          <w:rFonts w:hAnsi="標楷體" w:hint="eastAsia"/>
          <w:szCs w:val="32"/>
        </w:rPr>
        <w:t>港</w:t>
      </w:r>
      <w:proofErr w:type="gramEnd"/>
      <w:r w:rsidRPr="006B42DC">
        <w:rPr>
          <w:rFonts w:hAnsi="標楷體" w:hint="eastAsia"/>
          <w:szCs w:val="32"/>
        </w:rPr>
        <w:t>區危險物品裝卸倉儲設施作業要點」等。由上開說明可知，交通部僅就國內相關法令進行消極之修法，惟未對國際海運危險品準則等相關公約及規定之改版或修正，進行積極之</w:t>
      </w:r>
      <w:r w:rsidR="003367FC" w:rsidRPr="006B42DC">
        <w:rPr>
          <w:rFonts w:hAnsi="標楷體" w:hint="eastAsia"/>
          <w:szCs w:val="32"/>
        </w:rPr>
        <w:t>法制</w:t>
      </w:r>
      <w:r w:rsidRPr="006B42DC">
        <w:rPr>
          <w:rFonts w:hAnsi="標楷體" w:hint="eastAsia"/>
          <w:szCs w:val="32"/>
        </w:rPr>
        <w:t>作為。</w:t>
      </w:r>
    </w:p>
    <w:p w:rsidR="008622C1" w:rsidRPr="006B42DC" w:rsidRDefault="008622C1" w:rsidP="00544386">
      <w:pPr>
        <w:pStyle w:val="3"/>
        <w:ind w:left="1358"/>
        <w:rPr>
          <w:rFonts w:hAnsi="標楷體"/>
          <w:szCs w:val="32"/>
        </w:rPr>
      </w:pPr>
      <w:r w:rsidRPr="006B42DC">
        <w:rPr>
          <w:rFonts w:hAnsi="標楷體" w:hint="eastAsia"/>
          <w:szCs w:val="32"/>
        </w:rPr>
        <w:t>依國際商港</w:t>
      </w:r>
      <w:proofErr w:type="gramStart"/>
      <w:r w:rsidRPr="006B42DC">
        <w:rPr>
          <w:rFonts w:hAnsi="標楷體" w:hint="eastAsia"/>
          <w:szCs w:val="32"/>
        </w:rPr>
        <w:t>港</w:t>
      </w:r>
      <w:proofErr w:type="gramEnd"/>
      <w:r w:rsidRPr="006B42DC">
        <w:rPr>
          <w:rFonts w:hAnsi="標楷體" w:hint="eastAsia"/>
          <w:szCs w:val="32"/>
        </w:rPr>
        <w:t>區危險物品裝卸倉儲設施作業要點第2點第1項第2款規定：「委託人：指委託商港</w:t>
      </w:r>
      <w:proofErr w:type="gramStart"/>
      <w:r w:rsidRPr="006B42DC">
        <w:rPr>
          <w:rFonts w:hAnsi="標楷體" w:hint="eastAsia"/>
          <w:szCs w:val="32"/>
        </w:rPr>
        <w:t>棧</w:t>
      </w:r>
      <w:proofErr w:type="gramEnd"/>
      <w:r w:rsidRPr="006B42DC">
        <w:rPr>
          <w:rFonts w:hAnsi="標楷體" w:hint="eastAsia"/>
          <w:szCs w:val="32"/>
        </w:rPr>
        <w:t>埠作業機構作業之船舶所有人、運送人、貨物託運人</w:t>
      </w:r>
      <w:proofErr w:type="gramStart"/>
      <w:r w:rsidRPr="006B42DC">
        <w:rPr>
          <w:rFonts w:hAnsi="標楷體" w:hint="eastAsia"/>
          <w:szCs w:val="32"/>
        </w:rPr>
        <w:t>或受貨人</w:t>
      </w:r>
      <w:proofErr w:type="gramEnd"/>
      <w:r w:rsidRPr="006B42DC">
        <w:rPr>
          <w:rFonts w:hAnsi="標楷體" w:hint="eastAsia"/>
          <w:szCs w:val="32"/>
        </w:rPr>
        <w:t>等。」同作業要點第9點規定：「委託人或受託人、</w:t>
      </w:r>
      <w:proofErr w:type="gramStart"/>
      <w:r w:rsidRPr="006B42DC">
        <w:rPr>
          <w:rFonts w:hAnsi="標楷體" w:hint="eastAsia"/>
          <w:szCs w:val="32"/>
        </w:rPr>
        <w:t>棧</w:t>
      </w:r>
      <w:proofErr w:type="gramEnd"/>
      <w:r w:rsidRPr="006B42DC">
        <w:rPr>
          <w:rFonts w:hAnsi="標楷體" w:hint="eastAsia"/>
          <w:szCs w:val="32"/>
        </w:rPr>
        <w:t>埠作業機構違反商港港務管理規則、各港所</w:t>
      </w:r>
      <w:r w:rsidR="005C5070" w:rsidRPr="006B42DC">
        <w:rPr>
          <w:rFonts w:hAnsi="標楷體" w:hint="eastAsia"/>
          <w:szCs w:val="32"/>
        </w:rPr>
        <w:t>制定</w:t>
      </w:r>
      <w:r w:rsidRPr="006B42DC">
        <w:rPr>
          <w:rFonts w:hAnsi="標楷體" w:hint="eastAsia"/>
          <w:szCs w:val="32"/>
        </w:rPr>
        <w:t>之船舶貨物裝卸承攬業相關作業手冊及本作業要點者，依各港書面報告或港務消防機關之舉發單報請航港局依據商港法或權責單位之相關規定處罰。」由上開作業要點可知，委託人或受託人、</w:t>
      </w:r>
      <w:proofErr w:type="gramStart"/>
      <w:r w:rsidRPr="006B42DC">
        <w:rPr>
          <w:rFonts w:hAnsi="標楷體" w:hint="eastAsia"/>
          <w:szCs w:val="32"/>
        </w:rPr>
        <w:t>棧</w:t>
      </w:r>
      <w:proofErr w:type="gramEnd"/>
      <w:r w:rsidRPr="006B42DC">
        <w:rPr>
          <w:rFonts w:hAnsi="標楷體" w:hint="eastAsia"/>
          <w:szCs w:val="32"/>
        </w:rPr>
        <w:t>埠作業機構若違反相關作業規定，則依商港法或權責單位之相關規定進行裁罰。</w:t>
      </w:r>
    </w:p>
    <w:p w:rsidR="008622C1" w:rsidRPr="006B42DC" w:rsidRDefault="008622C1" w:rsidP="00544386">
      <w:pPr>
        <w:pStyle w:val="3"/>
        <w:ind w:left="1358"/>
        <w:rPr>
          <w:rFonts w:hAnsi="標楷體"/>
          <w:szCs w:val="32"/>
        </w:rPr>
      </w:pPr>
      <w:r w:rsidRPr="006B42DC">
        <w:rPr>
          <w:rFonts w:hAnsi="標楷體" w:hint="eastAsia"/>
          <w:szCs w:val="32"/>
        </w:rPr>
        <w:t>據交通部稱，目前危險品申報不實多因貨物託運人便宜行事，未依規定申報危險物品，於座談時航運及倉儲運業者亦是如此表示。</w:t>
      </w:r>
      <w:proofErr w:type="gramStart"/>
      <w:r w:rsidRPr="006B42DC">
        <w:rPr>
          <w:rFonts w:hAnsi="標楷體" w:hint="eastAsia"/>
          <w:szCs w:val="32"/>
        </w:rPr>
        <w:t>惟</w:t>
      </w:r>
      <w:proofErr w:type="gramEnd"/>
      <w:r w:rsidRPr="006B42DC">
        <w:rPr>
          <w:rFonts w:hAnsi="標楷體" w:hint="eastAsia"/>
          <w:szCs w:val="32"/>
        </w:rPr>
        <w:t>違反「商港法」第19條第1項</w:t>
      </w:r>
      <w:r w:rsidRPr="006B42DC">
        <w:rPr>
          <w:rFonts w:hint="eastAsia"/>
        </w:rPr>
        <w:t>規定</w:t>
      </w:r>
      <w:r w:rsidRPr="006B42DC">
        <w:rPr>
          <w:rFonts w:hAnsi="標楷體" w:hint="eastAsia"/>
          <w:szCs w:val="32"/>
        </w:rPr>
        <w:t>，</w:t>
      </w:r>
      <w:r w:rsidR="0047184A" w:rsidRPr="006B42DC">
        <w:rPr>
          <w:rFonts w:hAnsi="標楷體" w:hint="eastAsia"/>
          <w:szCs w:val="32"/>
        </w:rPr>
        <w:t>未</w:t>
      </w:r>
      <w:r w:rsidRPr="006B42DC">
        <w:rPr>
          <w:rFonts w:hAnsi="標楷體" w:hint="eastAsia"/>
          <w:szCs w:val="32"/>
        </w:rPr>
        <w:t>據實填具船舶入港或出港預報表，</w:t>
      </w:r>
      <w:r w:rsidR="0047184A" w:rsidRPr="006B42DC">
        <w:rPr>
          <w:rFonts w:hAnsi="標楷體" w:hint="eastAsia"/>
          <w:szCs w:val="32"/>
        </w:rPr>
        <w:t>依</w:t>
      </w:r>
      <w:r w:rsidRPr="006B42DC">
        <w:rPr>
          <w:rFonts w:hAnsi="標楷體" w:hint="eastAsia"/>
          <w:szCs w:val="32"/>
        </w:rPr>
        <w:t>同法第67條第2款規定係裁處船舶所有人，</w:t>
      </w:r>
      <w:r w:rsidR="0047184A" w:rsidRPr="006B42DC">
        <w:rPr>
          <w:rFonts w:hAnsi="標楷體" w:hint="eastAsia"/>
          <w:szCs w:val="32"/>
        </w:rPr>
        <w:t>而非貨物託運人，</w:t>
      </w:r>
      <w:r w:rsidRPr="006B42DC">
        <w:rPr>
          <w:rFonts w:hAnsi="標楷體" w:hint="eastAsia"/>
          <w:szCs w:val="32"/>
        </w:rPr>
        <w:t>顯有行為人與</w:t>
      </w:r>
      <w:proofErr w:type="gramStart"/>
      <w:r w:rsidRPr="006B42DC">
        <w:rPr>
          <w:rFonts w:hAnsi="標楷體" w:hint="eastAsia"/>
          <w:szCs w:val="32"/>
        </w:rPr>
        <w:t>受裁罰人</w:t>
      </w:r>
      <w:proofErr w:type="gramEnd"/>
      <w:r w:rsidRPr="006B42DC">
        <w:rPr>
          <w:rFonts w:hAnsi="標楷體" w:hint="eastAsia"/>
          <w:szCs w:val="32"/>
        </w:rPr>
        <w:t>不同之情事，無法達到</w:t>
      </w:r>
      <w:r w:rsidR="0047184A" w:rsidRPr="006B42DC">
        <w:rPr>
          <w:rFonts w:hAnsi="標楷體" w:hint="eastAsia"/>
          <w:szCs w:val="32"/>
        </w:rPr>
        <w:t>制裁</w:t>
      </w:r>
      <w:r w:rsidRPr="006B42DC">
        <w:rPr>
          <w:rFonts w:hAnsi="標楷體" w:hint="eastAsia"/>
          <w:szCs w:val="32"/>
        </w:rPr>
        <w:t>之</w:t>
      </w:r>
      <w:r w:rsidR="0047184A" w:rsidRPr="006B42DC">
        <w:rPr>
          <w:rFonts w:hAnsi="標楷體" w:hint="eastAsia"/>
          <w:szCs w:val="32"/>
        </w:rPr>
        <w:t>效果</w:t>
      </w:r>
      <w:r w:rsidRPr="006B42DC">
        <w:rPr>
          <w:rFonts w:hAnsi="標楷體" w:hint="eastAsia"/>
          <w:szCs w:val="32"/>
        </w:rPr>
        <w:t>，</w:t>
      </w:r>
      <w:r w:rsidR="00E87B4A" w:rsidRPr="006B42DC">
        <w:rPr>
          <w:rFonts w:hAnsi="標楷體" w:hint="eastAsia"/>
          <w:szCs w:val="32"/>
        </w:rPr>
        <w:t>確</w:t>
      </w:r>
      <w:r w:rsidRPr="006B42DC">
        <w:rPr>
          <w:rFonts w:hAnsi="標楷體" w:hint="eastAsia"/>
          <w:szCs w:val="32"/>
        </w:rPr>
        <w:t>有</w:t>
      </w:r>
      <w:proofErr w:type="gramStart"/>
      <w:r w:rsidR="00E87B4A" w:rsidRPr="006B42DC">
        <w:rPr>
          <w:rFonts w:hAnsi="標楷體" w:hint="eastAsia"/>
          <w:szCs w:val="32"/>
        </w:rPr>
        <w:t>研</w:t>
      </w:r>
      <w:proofErr w:type="gramEnd"/>
      <w:r w:rsidR="00E87B4A" w:rsidRPr="006B42DC">
        <w:rPr>
          <w:rFonts w:hAnsi="標楷體" w:hint="eastAsia"/>
          <w:szCs w:val="32"/>
        </w:rPr>
        <w:t>議</w:t>
      </w:r>
      <w:r w:rsidRPr="006B42DC">
        <w:rPr>
          <w:rFonts w:hAnsi="標楷體" w:hint="eastAsia"/>
          <w:szCs w:val="32"/>
        </w:rPr>
        <w:t>修正裁罰對象之需要。又因船舶已離港或為外國籍船舶，依上開規定，目前則由船務代理公司協助轉交等情，雖交通部稱，航商與代理人之間互有契約關係，故執行</w:t>
      </w:r>
      <w:r w:rsidRPr="006B42DC">
        <w:rPr>
          <w:rFonts w:hAnsi="標楷體" w:hint="eastAsia"/>
          <w:szCs w:val="32"/>
        </w:rPr>
        <w:lastRenderedPageBreak/>
        <w:t>上尚無窒礙之處，</w:t>
      </w:r>
      <w:proofErr w:type="gramStart"/>
      <w:r w:rsidRPr="006B42DC">
        <w:rPr>
          <w:rFonts w:hAnsi="標楷體" w:hint="eastAsia"/>
          <w:szCs w:val="32"/>
        </w:rPr>
        <w:t>惟</w:t>
      </w:r>
      <w:r w:rsidR="00273520" w:rsidRPr="006B42DC">
        <w:rPr>
          <w:rFonts w:hAnsi="標楷體" w:hint="eastAsia"/>
          <w:szCs w:val="32"/>
        </w:rPr>
        <w:t>裁罰</w:t>
      </w:r>
      <w:proofErr w:type="gramEnd"/>
      <w:r w:rsidR="00273520" w:rsidRPr="006B42DC">
        <w:rPr>
          <w:rFonts w:hAnsi="標楷體" w:hint="eastAsia"/>
          <w:szCs w:val="32"/>
        </w:rPr>
        <w:t>執行、</w:t>
      </w:r>
      <w:r w:rsidR="00B450D7" w:rsidRPr="006B42DC">
        <w:rPr>
          <w:rFonts w:hAnsi="標楷體" w:hint="eastAsia"/>
          <w:szCs w:val="32"/>
        </w:rPr>
        <w:t>損壞追償的行使，能否順利無虞</w:t>
      </w:r>
      <w:bookmarkStart w:id="54" w:name="_GoBack"/>
      <w:bookmarkEnd w:id="54"/>
      <w:r w:rsidR="00B450D7" w:rsidRPr="006B42DC">
        <w:rPr>
          <w:rFonts w:hAnsi="標楷體" w:hint="eastAsia"/>
          <w:szCs w:val="32"/>
        </w:rPr>
        <w:t>，</w:t>
      </w:r>
      <w:r w:rsidRPr="006B42DC">
        <w:rPr>
          <w:rFonts w:hAnsi="標楷體" w:hint="eastAsia"/>
          <w:szCs w:val="32"/>
        </w:rPr>
        <w:t>權管單位仍須</w:t>
      </w:r>
      <w:r w:rsidR="00B450D7" w:rsidRPr="006B42DC">
        <w:rPr>
          <w:rFonts w:hAnsi="標楷體" w:hint="eastAsia"/>
          <w:szCs w:val="32"/>
        </w:rPr>
        <w:t>評估以對</w:t>
      </w:r>
      <w:r w:rsidRPr="006B42DC">
        <w:rPr>
          <w:rFonts w:hAnsi="標楷體" w:hint="eastAsia"/>
          <w:szCs w:val="32"/>
        </w:rPr>
        <w:t>。</w:t>
      </w:r>
    </w:p>
    <w:p w:rsidR="008622C1" w:rsidRPr="006B42DC" w:rsidRDefault="008622C1" w:rsidP="00544386">
      <w:pPr>
        <w:pStyle w:val="3"/>
        <w:ind w:left="1358"/>
        <w:rPr>
          <w:rFonts w:hAnsi="標楷體"/>
          <w:szCs w:val="32"/>
        </w:rPr>
      </w:pPr>
      <w:proofErr w:type="gramStart"/>
      <w:r w:rsidRPr="006B42DC">
        <w:rPr>
          <w:rFonts w:hAnsi="標楷體" w:hint="eastAsia"/>
          <w:szCs w:val="32"/>
        </w:rPr>
        <w:t>詢</w:t>
      </w:r>
      <w:proofErr w:type="gramEnd"/>
      <w:r w:rsidRPr="006B42DC">
        <w:rPr>
          <w:rFonts w:hAnsi="標楷體" w:hint="eastAsia"/>
          <w:szCs w:val="32"/>
        </w:rPr>
        <w:t>據航港局科長</w:t>
      </w:r>
      <w:r w:rsidRPr="00595AAE">
        <w:rPr>
          <w:rFonts w:hAnsi="標楷體" w:hint="eastAsia"/>
          <w:szCs w:val="32"/>
        </w:rPr>
        <w:t>廖</w:t>
      </w:r>
      <w:r w:rsidR="00595AAE" w:rsidRPr="00595AAE">
        <w:rPr>
          <w:rFonts w:hAnsi="標楷體" w:hint="eastAsia"/>
          <w:szCs w:val="32"/>
        </w:rPr>
        <w:t>君</w:t>
      </w:r>
      <w:r w:rsidRPr="00595AAE">
        <w:rPr>
          <w:rFonts w:hAnsi="標楷體" w:hint="eastAsia"/>
          <w:szCs w:val="32"/>
        </w:rPr>
        <w:t>穎</w:t>
      </w:r>
      <w:r w:rsidR="00082B88" w:rsidRPr="00595AAE">
        <w:rPr>
          <w:rFonts w:hAnsi="標楷體" w:hint="eastAsia"/>
          <w:szCs w:val="32"/>
        </w:rPr>
        <w:t>表</w:t>
      </w:r>
      <w:r w:rsidR="00082B88" w:rsidRPr="006B42DC">
        <w:rPr>
          <w:rFonts w:hAnsi="標楷體" w:hint="eastAsia"/>
          <w:szCs w:val="32"/>
        </w:rPr>
        <w:t>示略</w:t>
      </w:r>
      <w:proofErr w:type="gramStart"/>
      <w:r w:rsidR="00082B88" w:rsidRPr="006B42DC">
        <w:rPr>
          <w:rFonts w:hAnsi="標楷體" w:hint="eastAsia"/>
          <w:szCs w:val="32"/>
        </w:rPr>
        <w:t>以</w:t>
      </w:r>
      <w:proofErr w:type="gramEnd"/>
      <w:r w:rsidR="00082B88" w:rsidRPr="006B42DC">
        <w:rPr>
          <w:rFonts w:hAnsi="標楷體" w:hint="eastAsia"/>
          <w:szCs w:val="32"/>
        </w:rPr>
        <w:t>：「</w:t>
      </w:r>
      <w:r w:rsidRPr="006B42DC">
        <w:rPr>
          <w:rFonts w:hAnsi="標楷體" w:hint="eastAsia"/>
          <w:szCs w:val="32"/>
        </w:rPr>
        <w:t>船務代理雖負責申報，依航業法第3條規定，以委託人名義代理船舶運送業，民法103條規定，代理人代理權限內，直接對本人發生效力，因為代理人代船舶運送業執行業務，因此，罰則直接及於船舶運送業者。目前船務代理業者會將處分書交給船舶運送業。未來檢討法規面，針對商港法授權</w:t>
      </w:r>
      <w:r w:rsidR="005C5070" w:rsidRPr="006B42DC">
        <w:rPr>
          <w:rFonts w:hAnsi="標楷體" w:hint="eastAsia"/>
          <w:szCs w:val="32"/>
        </w:rPr>
        <w:t>制定</w:t>
      </w:r>
      <w:r w:rsidRPr="006B42DC">
        <w:rPr>
          <w:rFonts w:hAnsi="標楷體" w:hint="eastAsia"/>
          <w:szCs w:val="32"/>
        </w:rPr>
        <w:t>港務管理的事項，包含危險品裝卸作業，該局105年與業者召開座談會，港區作業的行為應</w:t>
      </w:r>
      <w:r w:rsidR="005C5070" w:rsidRPr="006B42DC">
        <w:rPr>
          <w:rFonts w:hAnsi="標楷體" w:hint="eastAsia"/>
          <w:szCs w:val="32"/>
        </w:rPr>
        <w:t>制定</w:t>
      </w:r>
      <w:r w:rsidRPr="006B42DC">
        <w:rPr>
          <w:rFonts w:hAnsi="標楷體" w:hint="eastAsia"/>
          <w:szCs w:val="32"/>
        </w:rPr>
        <w:t>更為明確，貨主的責任、船舶運送人、裝卸業者等的責任等，草擬後送交通部審議後公告。</w:t>
      </w:r>
      <w:r w:rsidR="00082B88" w:rsidRPr="006B42DC">
        <w:rPr>
          <w:rFonts w:hAnsi="標楷體" w:hint="eastAsia"/>
          <w:szCs w:val="32"/>
        </w:rPr>
        <w:t>」</w:t>
      </w:r>
      <w:r w:rsidRPr="006B42DC">
        <w:rPr>
          <w:rFonts w:hAnsi="標楷體" w:hint="eastAsia"/>
          <w:szCs w:val="32"/>
        </w:rPr>
        <w:t>由上開說明可知，目前處分書以轉交之執行方式，</w:t>
      </w:r>
      <w:proofErr w:type="gramStart"/>
      <w:r w:rsidRPr="006B42DC">
        <w:rPr>
          <w:rFonts w:hAnsi="標楷體" w:hint="eastAsia"/>
          <w:szCs w:val="32"/>
        </w:rPr>
        <w:t>仍有</w:t>
      </w:r>
      <w:r w:rsidR="00971CF4" w:rsidRPr="006B42DC">
        <w:rPr>
          <w:rFonts w:hAnsi="標楷體" w:hint="eastAsia"/>
          <w:szCs w:val="32"/>
        </w:rPr>
        <w:t>律定</w:t>
      </w:r>
      <w:proofErr w:type="gramEnd"/>
      <w:r w:rsidR="00971CF4" w:rsidRPr="006B42DC">
        <w:rPr>
          <w:rFonts w:hAnsi="標楷體" w:hint="eastAsia"/>
          <w:szCs w:val="32"/>
        </w:rPr>
        <w:t>法律義務關係</w:t>
      </w:r>
      <w:r w:rsidRPr="006B42DC">
        <w:rPr>
          <w:rFonts w:hAnsi="標楷體" w:hint="eastAsia"/>
          <w:szCs w:val="32"/>
        </w:rPr>
        <w:t>之處</w:t>
      </w:r>
      <w:r w:rsidR="00971CF4" w:rsidRPr="006B42DC">
        <w:rPr>
          <w:rFonts w:hAnsi="標楷體" w:hint="eastAsia"/>
          <w:szCs w:val="32"/>
        </w:rPr>
        <w:t>，確有</w:t>
      </w:r>
      <w:proofErr w:type="gramStart"/>
      <w:r w:rsidR="00971CF4" w:rsidRPr="006B42DC">
        <w:rPr>
          <w:rFonts w:hAnsi="標楷體" w:hint="eastAsia"/>
          <w:szCs w:val="32"/>
        </w:rPr>
        <w:t>研議裁</w:t>
      </w:r>
      <w:proofErr w:type="gramEnd"/>
      <w:r w:rsidR="00971CF4" w:rsidRPr="006B42DC">
        <w:rPr>
          <w:rFonts w:hAnsi="標楷體" w:hint="eastAsia"/>
          <w:szCs w:val="32"/>
        </w:rPr>
        <w:t>罰對象之需要</w:t>
      </w:r>
      <w:r w:rsidRPr="006B42DC">
        <w:rPr>
          <w:rFonts w:hAnsi="標楷體" w:hint="eastAsia"/>
          <w:szCs w:val="32"/>
        </w:rPr>
        <w:t>，顯有檢討之空間。</w:t>
      </w:r>
    </w:p>
    <w:p w:rsidR="008622C1" w:rsidRPr="006B42DC" w:rsidRDefault="008622C1" w:rsidP="00544386">
      <w:pPr>
        <w:pStyle w:val="3"/>
        <w:ind w:left="1358"/>
        <w:rPr>
          <w:rFonts w:hAnsi="標楷體"/>
          <w:szCs w:val="32"/>
        </w:rPr>
      </w:pPr>
      <w:r w:rsidRPr="006B42DC">
        <w:rPr>
          <w:rFonts w:hAnsi="標楷體" w:hint="eastAsia"/>
          <w:szCs w:val="32"/>
        </w:rPr>
        <w:t>綜上，交通部依法督促業者應遵照國際海運危險品準則等相關公約及規定，惟相關公約及規定，係定期或不定期會進行改版及修正，對該等準則之變更或修正，交通部僅就國內相關法令進行消極之修法，未對國際海運危險品準則等相關公約及規定之改版或修正，</w:t>
      </w:r>
      <w:r w:rsidR="00FB3D94" w:rsidRPr="006B42DC">
        <w:rPr>
          <w:rFonts w:hAnsi="標楷體" w:hint="eastAsia"/>
          <w:szCs w:val="32"/>
        </w:rPr>
        <w:t>定</w:t>
      </w:r>
      <w:r w:rsidR="005E23F5" w:rsidRPr="006B42DC">
        <w:rPr>
          <w:rFonts w:hAnsi="標楷體" w:hint="eastAsia"/>
          <w:szCs w:val="32"/>
        </w:rPr>
        <w:t>有明確規範，並以公文書方式公告周知</w:t>
      </w:r>
      <w:r w:rsidRPr="006B42DC">
        <w:rPr>
          <w:rFonts w:hAnsi="標楷體" w:hint="eastAsia"/>
          <w:szCs w:val="32"/>
        </w:rPr>
        <w:t>，以利業者確實遵行，又對違反相關作業規定之業者，有行為人與</w:t>
      </w:r>
      <w:proofErr w:type="gramStart"/>
      <w:r w:rsidRPr="006B42DC">
        <w:rPr>
          <w:rFonts w:hAnsi="標楷體" w:hint="eastAsia"/>
          <w:szCs w:val="32"/>
        </w:rPr>
        <w:t>受裁罰人</w:t>
      </w:r>
      <w:proofErr w:type="gramEnd"/>
      <w:r w:rsidRPr="006B42DC">
        <w:rPr>
          <w:rFonts w:hAnsi="標楷體" w:hint="eastAsia"/>
          <w:szCs w:val="32"/>
        </w:rPr>
        <w:t>不同之情事，</w:t>
      </w:r>
      <w:r w:rsidR="003475DD" w:rsidRPr="006B42DC">
        <w:rPr>
          <w:rFonts w:hAnsi="標楷體" w:hint="eastAsia"/>
          <w:szCs w:val="32"/>
        </w:rPr>
        <w:t>能否</w:t>
      </w:r>
      <w:r w:rsidRPr="006B42DC">
        <w:rPr>
          <w:rFonts w:hAnsi="標楷體" w:hint="eastAsia"/>
          <w:szCs w:val="32"/>
        </w:rPr>
        <w:t>達到</w:t>
      </w:r>
      <w:r w:rsidR="003475DD" w:rsidRPr="006B42DC">
        <w:rPr>
          <w:rFonts w:hAnsi="標楷體" w:hint="eastAsia"/>
          <w:szCs w:val="32"/>
        </w:rPr>
        <w:t>制裁的效果</w:t>
      </w:r>
      <w:r w:rsidRPr="006B42DC">
        <w:rPr>
          <w:rFonts w:hAnsi="標楷體" w:hint="eastAsia"/>
          <w:szCs w:val="32"/>
        </w:rPr>
        <w:t>，確</w:t>
      </w:r>
      <w:r w:rsidR="003475DD" w:rsidRPr="006B42DC">
        <w:rPr>
          <w:rFonts w:hAnsi="標楷體" w:hint="eastAsia"/>
          <w:szCs w:val="32"/>
        </w:rPr>
        <w:t>有</w:t>
      </w:r>
      <w:proofErr w:type="gramStart"/>
      <w:r w:rsidR="003475DD" w:rsidRPr="006B42DC">
        <w:rPr>
          <w:rFonts w:hAnsi="標楷體" w:hint="eastAsia"/>
          <w:szCs w:val="32"/>
        </w:rPr>
        <w:t>研議</w:t>
      </w:r>
      <w:r w:rsidRPr="006B42DC">
        <w:rPr>
          <w:rFonts w:hAnsi="標楷體" w:hint="eastAsia"/>
          <w:szCs w:val="32"/>
        </w:rPr>
        <w:t>裁</w:t>
      </w:r>
      <w:proofErr w:type="gramEnd"/>
      <w:r w:rsidRPr="006B42DC">
        <w:rPr>
          <w:rFonts w:hAnsi="標楷體" w:hint="eastAsia"/>
          <w:szCs w:val="32"/>
        </w:rPr>
        <w:t>罰對象之需要，</w:t>
      </w:r>
      <w:proofErr w:type="gramStart"/>
      <w:r w:rsidRPr="006B42DC">
        <w:rPr>
          <w:rFonts w:hAnsi="標楷體" w:hint="eastAsia"/>
          <w:szCs w:val="32"/>
        </w:rPr>
        <w:t>並</w:t>
      </w:r>
      <w:r w:rsidR="003475DD" w:rsidRPr="006B42DC">
        <w:rPr>
          <w:rFonts w:hAnsi="標楷體" w:hint="eastAsia"/>
          <w:szCs w:val="32"/>
        </w:rPr>
        <w:t>律定</w:t>
      </w:r>
      <w:proofErr w:type="gramEnd"/>
      <w:r w:rsidR="003475DD" w:rsidRPr="006B42DC">
        <w:rPr>
          <w:rFonts w:hAnsi="標楷體" w:hint="eastAsia"/>
          <w:szCs w:val="32"/>
        </w:rPr>
        <w:t>明確</w:t>
      </w:r>
      <w:r w:rsidRPr="006B42DC">
        <w:rPr>
          <w:rFonts w:hAnsi="標楷體" w:hint="eastAsia"/>
          <w:szCs w:val="32"/>
        </w:rPr>
        <w:t>法律義務關係，以落實罰則之執行，皆應檢討改善。</w:t>
      </w:r>
    </w:p>
    <w:p w:rsidR="003475DD" w:rsidRPr="006B42DC" w:rsidRDefault="008622C1" w:rsidP="008622C1">
      <w:pPr>
        <w:pStyle w:val="2"/>
        <w:rPr>
          <w:b/>
        </w:rPr>
      </w:pPr>
      <w:r w:rsidRPr="006B42DC">
        <w:rPr>
          <w:rFonts w:hint="eastAsia"/>
          <w:b/>
        </w:rPr>
        <w:t>危險物品運輸已邁入全球化，而海、空運等國際複合運輸都需以公路運送方能達到及戶服務，</w:t>
      </w:r>
      <w:r w:rsidR="00747550" w:rsidRPr="006B42DC">
        <w:rPr>
          <w:rFonts w:hint="eastAsia"/>
          <w:b/>
        </w:rPr>
        <w:t>故</w:t>
      </w:r>
      <w:r w:rsidR="003475DD" w:rsidRPr="006B42DC">
        <w:rPr>
          <w:rFonts w:hint="eastAsia"/>
          <w:b/>
        </w:rPr>
        <w:t>公路危險</w:t>
      </w:r>
      <w:r w:rsidR="0021607F" w:rsidRPr="006B42DC">
        <w:rPr>
          <w:rFonts w:hint="eastAsia"/>
          <w:b/>
        </w:rPr>
        <w:t>物</w:t>
      </w:r>
      <w:r w:rsidR="003475DD" w:rsidRPr="006B42DC">
        <w:rPr>
          <w:rFonts w:hint="eastAsia"/>
          <w:b/>
        </w:rPr>
        <w:t>品運送之</w:t>
      </w:r>
      <w:r w:rsidR="00EE63A9" w:rsidRPr="006B42DC">
        <w:rPr>
          <w:rFonts w:hint="eastAsia"/>
          <w:b/>
        </w:rPr>
        <w:t>法制面</w:t>
      </w:r>
      <w:r w:rsidR="003475DD" w:rsidRPr="006B42DC">
        <w:rPr>
          <w:rFonts w:hint="eastAsia"/>
          <w:b/>
        </w:rPr>
        <w:t>、執行面及督導面</w:t>
      </w:r>
      <w:r w:rsidR="0021607F" w:rsidRPr="006B42DC">
        <w:rPr>
          <w:rFonts w:hint="eastAsia"/>
          <w:b/>
        </w:rPr>
        <w:t>之健全與</w:t>
      </w:r>
      <w:r w:rsidR="00747550" w:rsidRPr="006B42DC">
        <w:rPr>
          <w:rFonts w:hint="eastAsia"/>
          <w:b/>
        </w:rPr>
        <w:t>落實</w:t>
      </w:r>
      <w:r w:rsidR="0021607F" w:rsidRPr="006B42DC">
        <w:rPr>
          <w:rFonts w:hint="eastAsia"/>
          <w:b/>
        </w:rPr>
        <w:t>，皆與海運危險品運送同等重要</w:t>
      </w:r>
      <w:r w:rsidR="007C665C" w:rsidRPr="006B42DC">
        <w:rPr>
          <w:rFonts w:hint="eastAsia"/>
          <w:b/>
        </w:rPr>
        <w:t>，應予正視</w:t>
      </w:r>
      <w:r w:rsidR="0021607F" w:rsidRPr="006B42DC">
        <w:rPr>
          <w:rFonts w:hint="eastAsia"/>
          <w:b/>
        </w:rPr>
        <w:t>。</w:t>
      </w:r>
    </w:p>
    <w:p w:rsidR="008622C1" w:rsidRPr="006B42DC" w:rsidRDefault="008622C1" w:rsidP="00544386">
      <w:pPr>
        <w:pStyle w:val="3"/>
        <w:ind w:left="1358"/>
        <w:rPr>
          <w:rFonts w:hAnsi="標楷體"/>
          <w:szCs w:val="32"/>
        </w:rPr>
      </w:pPr>
      <w:r w:rsidRPr="006B42DC">
        <w:rPr>
          <w:rFonts w:hAnsi="標楷體" w:hint="eastAsia"/>
          <w:szCs w:val="32"/>
        </w:rPr>
        <w:lastRenderedPageBreak/>
        <w:t>因全球物流業之蓬勃發展，陸、海、空等不同運輸模式之相互關聯日益密切，而海、空運等國際複合運輸都需以公路運送方能達到及戶服務（door to door），其中也包含</w:t>
      </w:r>
      <w:r w:rsidRPr="006B42DC">
        <w:rPr>
          <w:rFonts w:hint="eastAsia"/>
        </w:rPr>
        <w:t>數量</w:t>
      </w:r>
      <w:r w:rsidRPr="006B42DC">
        <w:rPr>
          <w:rFonts w:hAnsi="標楷體" w:hint="eastAsia"/>
          <w:szCs w:val="32"/>
        </w:rPr>
        <w:t>眾多危險物品之運輸。這些危險物品對於健康、生命、財產與環境都將造成極大的危害。危險物品多具有爆炸性、易燃性、毒性、腐蝕性、感染性、輻射性，或上述一種以上的危險性，因此在運輸時，必須加以嚴格風險管控。</w:t>
      </w:r>
      <w:proofErr w:type="gramStart"/>
      <w:r w:rsidRPr="006B42DC">
        <w:rPr>
          <w:rFonts w:hAnsi="標楷體" w:hint="eastAsia"/>
          <w:szCs w:val="32"/>
        </w:rPr>
        <w:t>鑑</w:t>
      </w:r>
      <w:proofErr w:type="gramEnd"/>
      <w:r w:rsidRPr="006B42DC">
        <w:rPr>
          <w:rFonts w:hAnsi="標楷體" w:hint="eastAsia"/>
          <w:szCs w:val="32"/>
        </w:rPr>
        <w:t>於每</w:t>
      </w:r>
      <w:proofErr w:type="gramStart"/>
      <w:r w:rsidRPr="006B42DC">
        <w:rPr>
          <w:rFonts w:hAnsi="標楷體" w:hint="eastAsia"/>
          <w:szCs w:val="32"/>
        </w:rPr>
        <w:t>個</w:t>
      </w:r>
      <w:proofErr w:type="gramEnd"/>
      <w:r w:rsidRPr="006B42DC">
        <w:rPr>
          <w:rFonts w:hAnsi="標楷體" w:hint="eastAsia"/>
          <w:szCs w:val="32"/>
        </w:rPr>
        <w:t>國家各自立法管理將造成危險物品跨國運輸的不便，每種不同運輸模式分別規範，亦將造成陸海空轉運的困難，聯合國「危險物品運輸專家委員會」於危險物品運輸規範的統一，制定聯合國「危險物品運輸建議書」(Recommendations on the Transport of Dangerous Goods)。此「危險物品運輸建議書」即為各個國家、各種運輸模式都要遵守的規範。在「危險物品運輸建議書」的主要架構之下，各種不同運輸模式的國際機構再跟據其運輸模式的特性，制定危險物品個別模式的運輸規範。</w:t>
      </w:r>
    </w:p>
    <w:p w:rsidR="008622C1" w:rsidRPr="006B42DC" w:rsidRDefault="008622C1" w:rsidP="00544386">
      <w:pPr>
        <w:pStyle w:val="3"/>
        <w:ind w:left="1358"/>
        <w:rPr>
          <w:rFonts w:hAnsi="標楷體"/>
          <w:szCs w:val="32"/>
        </w:rPr>
      </w:pPr>
      <w:r w:rsidRPr="006B42DC">
        <w:rPr>
          <w:rFonts w:hAnsi="標楷體" w:hint="eastAsia"/>
          <w:szCs w:val="32"/>
        </w:rPr>
        <w:t>聯合國「危險物品運輸建議書」為危險物品海、陸、空運輸之基本架構，世界各</w:t>
      </w:r>
      <w:r w:rsidRPr="006B42DC">
        <w:rPr>
          <w:rFonts w:hint="eastAsia"/>
        </w:rPr>
        <w:t>先進</w:t>
      </w:r>
      <w:r w:rsidRPr="006B42DC">
        <w:rPr>
          <w:rFonts w:hAnsi="標楷體" w:hint="eastAsia"/>
          <w:szCs w:val="32"/>
        </w:rPr>
        <w:t>國家皆遵守聯合國「危險物品運輸建議書」對於危險物品之各層面控管。然由相關研究得知</w:t>
      </w:r>
      <w:r w:rsidRPr="006B42DC">
        <w:rPr>
          <w:rStyle w:val="afe"/>
          <w:rFonts w:hAnsi="標楷體"/>
          <w:szCs w:val="32"/>
        </w:rPr>
        <w:footnoteReference w:id="1"/>
      </w:r>
      <w:r w:rsidRPr="006B42DC">
        <w:rPr>
          <w:rFonts w:hAnsi="標楷體" w:hint="eastAsia"/>
          <w:szCs w:val="32"/>
        </w:rPr>
        <w:t>，針對國內危險物品道路運送現況風險評估之結果顯示與先進國家相較我國仍有需多待改善空間，該研究並建議，若我國能與國際接軌，導入聯合國及歐美等先進國家之危險物品運送規範，將可使國內道路危險物品運送符合風險管理之精神，且總體風險大幅降低至先進國家水準。</w:t>
      </w:r>
      <w:proofErr w:type="gramStart"/>
      <w:r w:rsidRPr="006B42DC">
        <w:rPr>
          <w:rFonts w:hAnsi="標楷體" w:hint="eastAsia"/>
          <w:szCs w:val="32"/>
        </w:rPr>
        <w:t>惟</w:t>
      </w:r>
      <w:proofErr w:type="gramEnd"/>
      <w:r w:rsidRPr="006B42DC">
        <w:rPr>
          <w:rFonts w:hAnsi="標楷體" w:hint="eastAsia"/>
          <w:szCs w:val="32"/>
        </w:rPr>
        <w:t>現行「道路交通安全規則」第84 條有關危險</w:t>
      </w:r>
      <w:r w:rsidRPr="006B42DC">
        <w:rPr>
          <w:rFonts w:hAnsi="標楷體" w:hint="eastAsia"/>
          <w:szCs w:val="32"/>
        </w:rPr>
        <w:lastRenderedPageBreak/>
        <w:t>物品運送安全之規範，但與先進國家比較，法令規定嚴重不足。</w:t>
      </w:r>
    </w:p>
    <w:p w:rsidR="008622C1" w:rsidRPr="006B42DC" w:rsidRDefault="008622C1" w:rsidP="00544386">
      <w:pPr>
        <w:pStyle w:val="3"/>
        <w:ind w:left="1358"/>
        <w:rPr>
          <w:rFonts w:hAnsi="標楷體"/>
          <w:szCs w:val="32"/>
        </w:rPr>
      </w:pPr>
      <w:r w:rsidRPr="006B42DC">
        <w:rPr>
          <w:rFonts w:hAnsi="標楷體" w:hint="eastAsia"/>
          <w:szCs w:val="32"/>
        </w:rPr>
        <w:t>經查本院近10年立案調查有關道路危險物品運輸之相關案件，僅有於99年5月14日（99）院</w:t>
      </w:r>
      <w:proofErr w:type="gramStart"/>
      <w:r w:rsidRPr="006B42DC">
        <w:rPr>
          <w:rFonts w:hAnsi="標楷體" w:hint="eastAsia"/>
          <w:szCs w:val="32"/>
        </w:rPr>
        <w:t>台調壹字第0990800381號函派</w:t>
      </w:r>
      <w:proofErr w:type="gramEnd"/>
      <w:r w:rsidRPr="006B42DC">
        <w:rPr>
          <w:rFonts w:hAnsi="標楷體" w:hint="eastAsia"/>
          <w:szCs w:val="32"/>
        </w:rPr>
        <w:t>查，案由：有關高壓</w:t>
      </w:r>
      <w:proofErr w:type="gramStart"/>
      <w:r w:rsidRPr="006B42DC">
        <w:rPr>
          <w:rFonts w:hAnsi="標楷體" w:hint="eastAsia"/>
          <w:szCs w:val="32"/>
        </w:rPr>
        <w:t>氣體罐槽車</w:t>
      </w:r>
      <w:proofErr w:type="gramEnd"/>
      <w:r w:rsidRPr="006B42DC">
        <w:rPr>
          <w:rFonts w:hAnsi="標楷體" w:hint="eastAsia"/>
          <w:szCs w:val="32"/>
        </w:rPr>
        <w:t>之檢驗及</w:t>
      </w:r>
      <w:r w:rsidRPr="006B42DC">
        <w:rPr>
          <w:rFonts w:hint="eastAsia"/>
        </w:rPr>
        <w:t>管理</w:t>
      </w:r>
      <w:r w:rsidRPr="006B42DC">
        <w:rPr>
          <w:rFonts w:hAnsi="標楷體" w:hint="eastAsia"/>
          <w:szCs w:val="32"/>
        </w:rPr>
        <w:t>事項，行政院勞工委員會及交通部互相推諉，事權未統一，違反勞工安全衛生法相關規定；又現行道路交通管理處罰條例之相關規定亦未</w:t>
      </w:r>
      <w:proofErr w:type="gramStart"/>
      <w:r w:rsidRPr="006B42DC">
        <w:rPr>
          <w:rFonts w:hAnsi="標楷體" w:hint="eastAsia"/>
          <w:szCs w:val="32"/>
        </w:rPr>
        <w:t>臻</w:t>
      </w:r>
      <w:proofErr w:type="gramEnd"/>
      <w:r w:rsidRPr="006B42DC">
        <w:rPr>
          <w:rFonts w:hAnsi="標楷體" w:hint="eastAsia"/>
          <w:szCs w:val="32"/>
        </w:rPr>
        <w:t>完備，嚴重影響勞工及公共安全</w:t>
      </w:r>
      <w:proofErr w:type="gramStart"/>
      <w:r w:rsidRPr="006B42DC">
        <w:rPr>
          <w:rFonts w:hAnsi="標楷體" w:hint="eastAsia"/>
          <w:szCs w:val="32"/>
        </w:rPr>
        <w:t>等情案</w:t>
      </w:r>
      <w:proofErr w:type="gramEnd"/>
      <w:r w:rsidRPr="006B42DC">
        <w:rPr>
          <w:rFonts w:hAnsi="標楷體" w:hint="eastAsia"/>
          <w:szCs w:val="32"/>
        </w:rPr>
        <w:t>。又於本案調查過程中，與業者相關座談時指稱，公路危險物品運送申請程序繁瑣、冗長，故業者常不依規定標示、裝載或申請，造成危險物品</w:t>
      </w:r>
      <w:r w:rsidR="0000725E" w:rsidRPr="006B42DC">
        <w:rPr>
          <w:rFonts w:hAnsi="標楷體" w:hint="eastAsia"/>
          <w:szCs w:val="32"/>
        </w:rPr>
        <w:t>公路</w:t>
      </w:r>
      <w:r w:rsidRPr="006B42DC">
        <w:rPr>
          <w:rFonts w:hAnsi="標楷體" w:hint="eastAsia"/>
          <w:szCs w:val="32"/>
        </w:rPr>
        <w:t>運送危機四伏。</w:t>
      </w:r>
    </w:p>
    <w:p w:rsidR="008622C1" w:rsidRPr="006B42DC" w:rsidRDefault="008622C1" w:rsidP="00544386">
      <w:pPr>
        <w:pStyle w:val="3"/>
        <w:ind w:left="1358"/>
        <w:rPr>
          <w:rFonts w:hAnsi="標楷體"/>
          <w:szCs w:val="32"/>
        </w:rPr>
      </w:pPr>
      <w:r w:rsidRPr="006B42DC">
        <w:rPr>
          <w:rFonts w:hAnsi="標楷體" w:hint="eastAsia"/>
          <w:szCs w:val="32"/>
        </w:rPr>
        <w:t>綜上，隨全球物流業之蓬勃發展，因此危險物品運輸也已邁入全球化，陸、海、空等不同運輸模式之相互關聯日益密切，而海、空運等國際複合運輸都需以公路運送方能達到及戶服務，惟由相關研究得知，國內危險物品道路運送現況風險評估之結果，顯示與先進國家相較，我國仍有待改善，且我國危險物品道路運送規定僅於「道路交通安全規則」第84 條有所律定</w:t>
      </w:r>
      <w:r w:rsidR="00747550" w:rsidRPr="006B42DC">
        <w:rPr>
          <w:rFonts w:hAnsi="標楷體" w:hint="eastAsia"/>
          <w:szCs w:val="32"/>
        </w:rPr>
        <w:t>，故公路危險物品運送之</w:t>
      </w:r>
      <w:r w:rsidR="00EE63A9" w:rsidRPr="006B42DC">
        <w:rPr>
          <w:rFonts w:hAnsi="標楷體" w:hint="eastAsia"/>
          <w:szCs w:val="32"/>
        </w:rPr>
        <w:t>法制面</w:t>
      </w:r>
      <w:r w:rsidR="00747550" w:rsidRPr="006B42DC">
        <w:rPr>
          <w:rFonts w:hAnsi="標楷體" w:hint="eastAsia"/>
          <w:szCs w:val="32"/>
        </w:rPr>
        <w:t>、執行面及督導面之健全與落實，皆與海運危險品運送同等重要</w:t>
      </w:r>
      <w:r w:rsidR="007C665C" w:rsidRPr="006B42DC">
        <w:rPr>
          <w:rFonts w:hAnsi="標楷體" w:hint="eastAsia"/>
          <w:szCs w:val="32"/>
        </w:rPr>
        <w:t>，應予正視</w:t>
      </w:r>
      <w:r w:rsidR="00747550" w:rsidRPr="006B42DC">
        <w:rPr>
          <w:rFonts w:hAnsi="標楷體" w:hint="eastAsia"/>
          <w:szCs w:val="32"/>
        </w:rPr>
        <w:t>。</w:t>
      </w:r>
    </w:p>
    <w:p w:rsidR="00E25849" w:rsidRPr="006B42DC" w:rsidRDefault="00E25849" w:rsidP="004E05A1">
      <w:pPr>
        <w:pStyle w:val="1"/>
        <w:ind w:left="2380" w:hanging="2380"/>
      </w:pPr>
      <w:bookmarkStart w:id="55" w:name="_Toc524895648"/>
      <w:bookmarkStart w:id="56" w:name="_Toc524896194"/>
      <w:bookmarkStart w:id="57" w:name="_Toc524896224"/>
      <w:bookmarkStart w:id="58" w:name="_Toc524902734"/>
      <w:bookmarkStart w:id="59" w:name="_Toc525066148"/>
      <w:bookmarkStart w:id="60" w:name="_Toc525070839"/>
      <w:bookmarkStart w:id="61" w:name="_Toc525938379"/>
      <w:bookmarkStart w:id="62" w:name="_Toc525939227"/>
      <w:bookmarkStart w:id="63" w:name="_Toc525939732"/>
      <w:bookmarkStart w:id="64" w:name="_Toc529218272"/>
      <w:bookmarkEnd w:id="49"/>
      <w:bookmarkEnd w:id="50"/>
      <w:bookmarkEnd w:id="51"/>
      <w:bookmarkEnd w:id="52"/>
      <w:bookmarkEnd w:id="53"/>
      <w:r w:rsidRPr="006B42DC">
        <w:br w:type="page"/>
      </w:r>
      <w:bookmarkStart w:id="65" w:name="_Toc529222689"/>
      <w:bookmarkStart w:id="66" w:name="_Toc529223111"/>
      <w:bookmarkStart w:id="67" w:name="_Toc529223862"/>
      <w:bookmarkStart w:id="68" w:name="_Toc529228265"/>
      <w:bookmarkStart w:id="69" w:name="_Toc2400395"/>
      <w:bookmarkStart w:id="70" w:name="_Toc4316189"/>
      <w:bookmarkStart w:id="71" w:name="_Toc4473330"/>
      <w:bookmarkStart w:id="72" w:name="_Toc69556897"/>
      <w:bookmarkStart w:id="73" w:name="_Toc69556946"/>
      <w:bookmarkStart w:id="74" w:name="_Toc69609820"/>
      <w:bookmarkStart w:id="75" w:name="_Toc70241816"/>
      <w:bookmarkStart w:id="76" w:name="_Toc70242205"/>
      <w:bookmarkStart w:id="77" w:name="_Toc421794875"/>
      <w:bookmarkStart w:id="78" w:name="_Toc422834160"/>
      <w:r w:rsidRPr="006B42DC">
        <w:rPr>
          <w:rFonts w:hint="eastAsia"/>
        </w:rPr>
        <w:lastRenderedPageBreak/>
        <w:t>處理辦法：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E25849" w:rsidRPr="006B42DC" w:rsidRDefault="00E25849">
      <w:pPr>
        <w:pStyle w:val="2"/>
      </w:pPr>
      <w:bookmarkStart w:id="79" w:name="_Toc524895649"/>
      <w:bookmarkStart w:id="80" w:name="_Toc524896195"/>
      <w:bookmarkStart w:id="81" w:name="_Toc524896225"/>
      <w:bookmarkStart w:id="82" w:name="_Toc2400396"/>
      <w:bookmarkStart w:id="83" w:name="_Toc4316190"/>
      <w:bookmarkStart w:id="84" w:name="_Toc4473331"/>
      <w:bookmarkStart w:id="85" w:name="_Toc69556898"/>
      <w:bookmarkStart w:id="86" w:name="_Toc69556947"/>
      <w:bookmarkStart w:id="87" w:name="_Toc69609821"/>
      <w:bookmarkStart w:id="88" w:name="_Toc70241817"/>
      <w:bookmarkStart w:id="89" w:name="_Toc70242206"/>
      <w:bookmarkStart w:id="90" w:name="_Toc421794877"/>
      <w:bookmarkStart w:id="91" w:name="_Toc421795443"/>
      <w:bookmarkStart w:id="92" w:name="_Toc421796024"/>
      <w:bookmarkStart w:id="93" w:name="_Toc422728959"/>
      <w:bookmarkStart w:id="94" w:name="_Toc422834162"/>
      <w:bookmarkStart w:id="95" w:name="_Toc524902735"/>
      <w:bookmarkStart w:id="96" w:name="_Toc525066149"/>
      <w:bookmarkStart w:id="97" w:name="_Toc525070840"/>
      <w:bookmarkStart w:id="98" w:name="_Toc525938380"/>
      <w:bookmarkStart w:id="99" w:name="_Toc525939228"/>
      <w:bookmarkStart w:id="100" w:name="_Toc525939733"/>
      <w:bookmarkStart w:id="101" w:name="_Toc529218273"/>
      <w:bookmarkStart w:id="102" w:name="_Toc529222690"/>
      <w:bookmarkStart w:id="103" w:name="_Toc529223112"/>
      <w:bookmarkStart w:id="104" w:name="_Toc529223863"/>
      <w:bookmarkStart w:id="105" w:name="_Toc529228266"/>
      <w:bookmarkEnd w:id="79"/>
      <w:bookmarkEnd w:id="80"/>
      <w:bookmarkEnd w:id="81"/>
      <w:r w:rsidRPr="006B42DC">
        <w:rPr>
          <w:rFonts w:hint="eastAsia"/>
        </w:rPr>
        <w:t>調查意見</w:t>
      </w:r>
      <w:r w:rsidR="00C32F9E" w:rsidRPr="006B42DC">
        <w:rPr>
          <w:rFonts w:hint="eastAsia"/>
        </w:rPr>
        <w:t>一</w:t>
      </w:r>
      <w:r w:rsidRPr="006B42DC">
        <w:rPr>
          <w:rFonts w:hint="eastAsia"/>
        </w:rPr>
        <w:t>至</w:t>
      </w:r>
      <w:r w:rsidR="00C32F9E" w:rsidRPr="006B42DC">
        <w:rPr>
          <w:rFonts w:hint="eastAsia"/>
        </w:rPr>
        <w:t>五</w:t>
      </w:r>
      <w:r w:rsidRPr="006B42DC">
        <w:rPr>
          <w:rFonts w:hint="eastAsia"/>
        </w:rPr>
        <w:t>，函請</w:t>
      </w:r>
      <w:r w:rsidR="00C32F9E" w:rsidRPr="006B42DC">
        <w:rPr>
          <w:rFonts w:hint="eastAsia"/>
        </w:rPr>
        <w:t>交通部督促所屬</w:t>
      </w:r>
      <w:r w:rsidRPr="006B42DC">
        <w:rPr>
          <w:rFonts w:hint="eastAsia"/>
        </w:rPr>
        <w:t>確實檢討改進</w:t>
      </w:r>
      <w:proofErr w:type="gramStart"/>
      <w:r w:rsidRPr="006B42DC">
        <w:rPr>
          <w:rFonts w:hint="eastAsia"/>
        </w:rPr>
        <w:t>見復。</w:t>
      </w:r>
      <w:bookmarkEnd w:id="82"/>
      <w:bookmarkEnd w:id="83"/>
      <w:bookmarkEnd w:id="84"/>
      <w:bookmarkEnd w:id="85"/>
      <w:bookmarkEnd w:id="86"/>
      <w:bookmarkEnd w:id="87"/>
      <w:bookmarkEnd w:id="88"/>
      <w:bookmarkEnd w:id="89"/>
      <w:bookmarkEnd w:id="90"/>
      <w:bookmarkEnd w:id="91"/>
      <w:bookmarkEnd w:id="92"/>
      <w:bookmarkEnd w:id="93"/>
      <w:bookmarkEnd w:id="94"/>
      <w:proofErr w:type="gramEnd"/>
    </w:p>
    <w:p w:rsidR="00FB7770" w:rsidRPr="006B42DC" w:rsidRDefault="00FB7770" w:rsidP="00F804D3">
      <w:pPr>
        <w:pStyle w:val="2"/>
      </w:pPr>
      <w:bookmarkStart w:id="106" w:name="_Toc70241819"/>
      <w:bookmarkStart w:id="107" w:name="_Toc70242208"/>
      <w:bookmarkStart w:id="108" w:name="_Toc421794878"/>
      <w:bookmarkStart w:id="109" w:name="_Toc421795444"/>
      <w:bookmarkStart w:id="110" w:name="_Toc421796025"/>
      <w:bookmarkStart w:id="111" w:name="_Toc422728960"/>
      <w:bookmarkStart w:id="112" w:name="_Toc422834163"/>
      <w:bookmarkStart w:id="113" w:name="_Toc70241818"/>
      <w:bookmarkStart w:id="114" w:name="_Toc70242207"/>
      <w:bookmarkStart w:id="115" w:name="_Toc69556899"/>
      <w:bookmarkStart w:id="116" w:name="_Toc69556948"/>
      <w:bookmarkStart w:id="117" w:name="_Toc69609822"/>
      <w:r w:rsidRPr="006B42DC">
        <w:rPr>
          <w:rFonts w:hint="eastAsia"/>
        </w:rPr>
        <w:t>調查意見</w:t>
      </w:r>
      <w:r w:rsidR="00C32F9E" w:rsidRPr="006B42DC">
        <w:rPr>
          <w:rFonts w:hint="eastAsia"/>
        </w:rPr>
        <w:t>一</w:t>
      </w:r>
      <w:r w:rsidRPr="006B42DC">
        <w:rPr>
          <w:rFonts w:hint="eastAsia"/>
        </w:rPr>
        <w:t>至</w:t>
      </w:r>
      <w:r w:rsidR="00C32F9E" w:rsidRPr="006B42DC">
        <w:rPr>
          <w:rFonts w:hint="eastAsia"/>
        </w:rPr>
        <w:t>五</w:t>
      </w:r>
      <w:r w:rsidRPr="006B42DC">
        <w:rPr>
          <w:rFonts w:hint="eastAsia"/>
        </w:rPr>
        <w:t>，函復審計部。</w:t>
      </w:r>
      <w:bookmarkEnd w:id="106"/>
      <w:bookmarkEnd w:id="107"/>
      <w:bookmarkEnd w:id="108"/>
      <w:bookmarkEnd w:id="109"/>
      <w:bookmarkEnd w:id="110"/>
      <w:bookmarkEnd w:id="111"/>
      <w:bookmarkEnd w:id="112"/>
    </w:p>
    <w:p w:rsidR="00E25849" w:rsidRPr="006B42DC" w:rsidRDefault="00E25849">
      <w:pPr>
        <w:pStyle w:val="2"/>
      </w:pPr>
      <w:bookmarkStart w:id="118" w:name="_Toc421794879"/>
      <w:bookmarkStart w:id="119" w:name="_Toc421795445"/>
      <w:bookmarkStart w:id="120" w:name="_Toc421796026"/>
      <w:bookmarkStart w:id="121" w:name="_Toc422728961"/>
      <w:bookmarkStart w:id="122" w:name="_Toc422834164"/>
      <w:r w:rsidRPr="006B42DC">
        <w:rPr>
          <w:rFonts w:hint="eastAsia"/>
        </w:rPr>
        <w:t>調查意見</w:t>
      </w:r>
      <w:r w:rsidR="00C32F9E" w:rsidRPr="006B42DC">
        <w:rPr>
          <w:rFonts w:hint="eastAsia"/>
        </w:rPr>
        <w:t>六</w:t>
      </w:r>
      <w:r w:rsidRPr="006B42DC">
        <w:rPr>
          <w:rFonts w:hint="eastAsia"/>
        </w:rPr>
        <w:t>，</w:t>
      </w:r>
      <w:r w:rsidR="006F4BA9" w:rsidRPr="006B42DC">
        <w:rPr>
          <w:rFonts w:hint="eastAsia"/>
        </w:rPr>
        <w:t>建</w:t>
      </w:r>
      <w:r w:rsidR="00C32F9E" w:rsidRPr="006B42DC">
        <w:rPr>
          <w:rFonts w:hint="eastAsia"/>
        </w:rPr>
        <w:t>請本院交通及採購委員會立案</w:t>
      </w:r>
      <w:r w:rsidR="006F4BA9" w:rsidRPr="006B42DC">
        <w:rPr>
          <w:rFonts w:hint="eastAsia"/>
        </w:rPr>
        <w:t>派</w:t>
      </w:r>
      <w:r w:rsidR="00C32F9E" w:rsidRPr="006B42DC">
        <w:rPr>
          <w:rFonts w:hint="eastAsia"/>
        </w:rPr>
        <w:t>查</w:t>
      </w:r>
      <w:r w:rsidRPr="006B42DC">
        <w:rPr>
          <w:rFonts w:hint="eastAsia"/>
        </w:rPr>
        <w:t>。</w:t>
      </w:r>
      <w:bookmarkEnd w:id="113"/>
      <w:bookmarkEnd w:id="114"/>
      <w:bookmarkEnd w:id="118"/>
      <w:bookmarkEnd w:id="119"/>
      <w:bookmarkEnd w:id="120"/>
      <w:bookmarkEnd w:id="121"/>
      <w:bookmarkEnd w:id="122"/>
    </w:p>
    <w:p w:rsidR="00E25849" w:rsidRPr="006B42DC" w:rsidRDefault="00E25849" w:rsidP="00C32F9E">
      <w:pPr>
        <w:pStyle w:val="2"/>
      </w:pPr>
      <w:bookmarkStart w:id="123" w:name="_Toc2400397"/>
      <w:bookmarkStart w:id="124" w:name="_Toc4316191"/>
      <w:bookmarkStart w:id="125" w:name="_Toc4473332"/>
      <w:bookmarkStart w:id="126" w:name="_Toc69556901"/>
      <w:bookmarkStart w:id="127" w:name="_Toc69556950"/>
      <w:bookmarkStart w:id="128" w:name="_Toc69609824"/>
      <w:bookmarkStart w:id="129" w:name="_Toc70241822"/>
      <w:bookmarkStart w:id="130" w:name="_Toc70242211"/>
      <w:bookmarkStart w:id="131" w:name="_Toc421794881"/>
      <w:bookmarkStart w:id="132" w:name="_Toc421795447"/>
      <w:bookmarkStart w:id="133" w:name="_Toc421796028"/>
      <w:bookmarkStart w:id="134" w:name="_Toc422728963"/>
      <w:bookmarkStart w:id="135" w:name="_Toc422834166"/>
      <w:bookmarkEnd w:id="95"/>
      <w:bookmarkEnd w:id="96"/>
      <w:bookmarkEnd w:id="97"/>
      <w:bookmarkEnd w:id="98"/>
      <w:bookmarkEnd w:id="99"/>
      <w:bookmarkEnd w:id="100"/>
      <w:bookmarkEnd w:id="101"/>
      <w:bookmarkEnd w:id="102"/>
      <w:bookmarkEnd w:id="103"/>
      <w:bookmarkEnd w:id="104"/>
      <w:bookmarkEnd w:id="105"/>
      <w:bookmarkEnd w:id="115"/>
      <w:bookmarkEnd w:id="116"/>
      <w:bookmarkEnd w:id="117"/>
      <w:r w:rsidRPr="006B42DC">
        <w:rPr>
          <w:rFonts w:hint="eastAsia"/>
        </w:rPr>
        <w:t>檢</w:t>
      </w:r>
      <w:proofErr w:type="gramStart"/>
      <w:r w:rsidRPr="006B42DC">
        <w:rPr>
          <w:rFonts w:hint="eastAsia"/>
        </w:rPr>
        <w:t>附派查函</w:t>
      </w:r>
      <w:proofErr w:type="gramEnd"/>
      <w:r w:rsidRPr="006B42DC">
        <w:rPr>
          <w:rFonts w:hint="eastAsia"/>
        </w:rPr>
        <w:t>及相關附件，送請</w:t>
      </w:r>
      <w:r w:rsidR="00C32F9E" w:rsidRPr="006B42DC">
        <w:rPr>
          <w:rFonts w:hint="eastAsia"/>
        </w:rPr>
        <w:t>交通及採購委員會</w:t>
      </w:r>
      <w:r w:rsidRPr="006B42DC">
        <w:rPr>
          <w:rFonts w:hint="eastAsia"/>
        </w:rPr>
        <w:t>處理。</w:t>
      </w:r>
      <w:bookmarkEnd w:id="123"/>
      <w:bookmarkEnd w:id="124"/>
      <w:bookmarkEnd w:id="125"/>
      <w:bookmarkEnd w:id="126"/>
      <w:bookmarkEnd w:id="127"/>
      <w:bookmarkEnd w:id="128"/>
      <w:bookmarkEnd w:id="129"/>
      <w:bookmarkEnd w:id="130"/>
      <w:bookmarkEnd w:id="131"/>
      <w:bookmarkEnd w:id="132"/>
      <w:bookmarkEnd w:id="133"/>
      <w:bookmarkEnd w:id="134"/>
      <w:bookmarkEnd w:id="135"/>
    </w:p>
    <w:p w:rsidR="00E25849" w:rsidRDefault="00E25849" w:rsidP="00AE067D">
      <w:pPr>
        <w:pStyle w:val="aa"/>
        <w:spacing w:beforeLines="50" w:before="228" w:after="0"/>
        <w:ind w:leftChars="1100" w:left="3742"/>
        <w:rPr>
          <w:b w:val="0"/>
          <w:bCs/>
          <w:snapToGrid/>
          <w:spacing w:val="12"/>
          <w:kern w:val="0"/>
          <w:sz w:val="40"/>
        </w:rPr>
      </w:pPr>
      <w:r w:rsidRPr="006B42DC">
        <w:rPr>
          <w:rFonts w:hint="eastAsia"/>
          <w:b w:val="0"/>
          <w:bCs/>
          <w:snapToGrid/>
          <w:spacing w:val="12"/>
          <w:kern w:val="0"/>
          <w:sz w:val="40"/>
        </w:rPr>
        <w:t>調查委員：</w:t>
      </w:r>
      <w:r w:rsidR="00243A83">
        <w:rPr>
          <w:rFonts w:hint="eastAsia"/>
          <w:b w:val="0"/>
          <w:bCs/>
          <w:snapToGrid/>
          <w:spacing w:val="12"/>
          <w:kern w:val="0"/>
          <w:sz w:val="40"/>
        </w:rPr>
        <w:t>楊美鈴</w:t>
      </w:r>
    </w:p>
    <w:p w:rsidR="00243A83" w:rsidRDefault="00243A83" w:rsidP="00243A83">
      <w:pPr>
        <w:pStyle w:val="aa"/>
        <w:spacing w:beforeLines="50" w:before="228" w:after="0"/>
        <w:ind w:leftChars="1753" w:left="5963"/>
        <w:rPr>
          <w:b w:val="0"/>
          <w:bCs/>
          <w:snapToGrid/>
          <w:spacing w:val="12"/>
          <w:kern w:val="0"/>
          <w:sz w:val="40"/>
        </w:rPr>
      </w:pPr>
      <w:r>
        <w:rPr>
          <w:rFonts w:hint="eastAsia"/>
          <w:b w:val="0"/>
          <w:bCs/>
          <w:snapToGrid/>
          <w:spacing w:val="12"/>
          <w:kern w:val="0"/>
          <w:sz w:val="40"/>
        </w:rPr>
        <w:t>蔡培村</w:t>
      </w:r>
    </w:p>
    <w:p w:rsidR="00243A83" w:rsidRPr="006B42DC" w:rsidRDefault="00243A83" w:rsidP="00243A83">
      <w:pPr>
        <w:pStyle w:val="aa"/>
        <w:spacing w:beforeLines="50" w:before="228" w:after="0"/>
        <w:ind w:leftChars="1766" w:left="6007"/>
        <w:rPr>
          <w:rFonts w:ascii="Times New Roman"/>
          <w:b w:val="0"/>
          <w:bCs/>
          <w:snapToGrid/>
          <w:spacing w:val="0"/>
          <w:kern w:val="0"/>
          <w:sz w:val="40"/>
        </w:rPr>
      </w:pPr>
      <w:r>
        <w:rPr>
          <w:rFonts w:hint="eastAsia"/>
          <w:b w:val="0"/>
          <w:bCs/>
          <w:snapToGrid/>
          <w:spacing w:val="12"/>
          <w:kern w:val="0"/>
          <w:sz w:val="40"/>
        </w:rPr>
        <w:t>方萬富</w:t>
      </w:r>
    </w:p>
    <w:p w:rsidR="00E25849" w:rsidRDefault="00E25849">
      <w:pPr>
        <w:pStyle w:val="aa"/>
        <w:spacing w:before="0" w:after="0"/>
        <w:ind w:leftChars="1100" w:left="3742" w:firstLineChars="500" w:firstLine="2021"/>
        <w:rPr>
          <w:b w:val="0"/>
          <w:bCs/>
          <w:snapToGrid/>
          <w:spacing w:val="12"/>
          <w:kern w:val="0"/>
        </w:rPr>
      </w:pPr>
    </w:p>
    <w:p w:rsidR="00243A83" w:rsidRDefault="00243A83">
      <w:pPr>
        <w:pStyle w:val="aa"/>
        <w:spacing w:before="0" w:after="0"/>
        <w:ind w:leftChars="1100" w:left="3742" w:firstLineChars="500" w:firstLine="2021"/>
        <w:rPr>
          <w:b w:val="0"/>
          <w:bCs/>
          <w:snapToGrid/>
          <w:spacing w:val="12"/>
          <w:kern w:val="0"/>
        </w:rPr>
      </w:pPr>
    </w:p>
    <w:p w:rsidR="00243A83" w:rsidRDefault="00243A83">
      <w:pPr>
        <w:pStyle w:val="aa"/>
        <w:spacing w:before="0" w:after="0"/>
        <w:ind w:leftChars="1100" w:left="3742" w:firstLineChars="500" w:firstLine="2021"/>
        <w:rPr>
          <w:b w:val="0"/>
          <w:bCs/>
          <w:snapToGrid/>
          <w:spacing w:val="12"/>
          <w:kern w:val="0"/>
        </w:rPr>
      </w:pPr>
    </w:p>
    <w:p w:rsidR="00243A83" w:rsidRPr="006B42DC" w:rsidRDefault="00243A83">
      <w:pPr>
        <w:pStyle w:val="aa"/>
        <w:spacing w:before="0" w:after="0"/>
        <w:ind w:leftChars="1100" w:left="3742" w:firstLineChars="500" w:firstLine="2021"/>
        <w:rPr>
          <w:b w:val="0"/>
          <w:bCs/>
          <w:snapToGrid/>
          <w:spacing w:val="12"/>
          <w:kern w:val="0"/>
        </w:rPr>
      </w:pPr>
    </w:p>
    <w:sectPr w:rsidR="00243A83" w:rsidRPr="006B42D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69E" w:rsidRDefault="0066169E">
      <w:r>
        <w:separator/>
      </w:r>
    </w:p>
  </w:endnote>
  <w:endnote w:type="continuationSeparator" w:id="0">
    <w:p w:rsidR="0066169E" w:rsidRDefault="006616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C0E" w:rsidRDefault="00FD7C0E">
    <w:pPr>
      <w:pStyle w:val="af4"/>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595AAE">
      <w:rPr>
        <w:rStyle w:val="ac"/>
        <w:noProof/>
        <w:sz w:val="24"/>
      </w:rPr>
      <w:t>15</w:t>
    </w:r>
    <w:r>
      <w:rPr>
        <w:rStyle w:val="ac"/>
        <w:sz w:val="24"/>
      </w:rPr>
      <w:fldChar w:fldCharType="end"/>
    </w:r>
  </w:p>
  <w:p w:rsidR="00FD7C0E" w:rsidRDefault="00FD7C0E">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69E" w:rsidRDefault="0066169E">
      <w:r>
        <w:separator/>
      </w:r>
    </w:p>
  </w:footnote>
  <w:footnote w:type="continuationSeparator" w:id="0">
    <w:p w:rsidR="0066169E" w:rsidRDefault="0066169E">
      <w:r>
        <w:continuationSeparator/>
      </w:r>
    </w:p>
  </w:footnote>
  <w:footnote w:id="1">
    <w:p w:rsidR="00FD7C0E" w:rsidRDefault="00FD7C0E" w:rsidP="008622C1">
      <w:pPr>
        <w:pStyle w:val="afc"/>
        <w:rPr>
          <w:rFonts w:ascii="標楷體" w:eastAsia="標楷體" w:hAnsi="標楷體"/>
        </w:rPr>
      </w:pPr>
      <w:r>
        <w:rPr>
          <w:rStyle w:val="afe"/>
          <w:rFonts w:ascii="標楷體" w:eastAsia="標楷體" w:hAnsi="標楷體"/>
        </w:rPr>
        <w:footnoteRef/>
      </w:r>
      <w:r>
        <w:rPr>
          <w:rFonts w:ascii="標楷體" w:eastAsia="標楷體" w:hAnsi="標楷體" w:hint="eastAsia"/>
        </w:rPr>
        <w:t>交通部運輸研究所，道路危險物品運送風險評估機制之規劃研究，100 年1 月。</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D88482C"/>
    <w:multiLevelType w:val="hybridMultilevel"/>
    <w:tmpl w:val="3A30A11A"/>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2">
    <w:nsid w:val="140E010C"/>
    <w:multiLevelType w:val="multilevel"/>
    <w:tmpl w:val="FF609A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382"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3686"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20731F45"/>
    <w:multiLevelType w:val="hybridMultilevel"/>
    <w:tmpl w:val="BF9C739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7B21A6E"/>
    <w:multiLevelType w:val="hybridMultilevel"/>
    <w:tmpl w:val="87764CBA"/>
    <w:lvl w:ilvl="0" w:tplc="04090017">
      <w:start w:val="1"/>
      <w:numFmt w:val="ideographLegalTraditional"/>
      <w:lvlText w:val="%1、"/>
      <w:lvlJc w:val="left"/>
      <w:pPr>
        <w:ind w:left="840" w:hanging="480"/>
      </w:pPr>
      <w:rPr>
        <w:rFonts w:cs="Times New Roman"/>
      </w:rPr>
    </w:lvl>
    <w:lvl w:ilvl="1" w:tplc="F8FA42D6">
      <w:start w:val="1"/>
      <w:numFmt w:val="taiwaneseCountingThousand"/>
      <w:lvlText w:val="%2、"/>
      <w:lvlJc w:val="left"/>
      <w:pPr>
        <w:tabs>
          <w:tab w:val="num" w:pos="897"/>
        </w:tabs>
        <w:ind w:left="1407" w:hanging="567"/>
      </w:pPr>
      <w:rPr>
        <w:rFonts w:cs="Times New Roman"/>
        <w:lang w:val="en-US"/>
      </w:rPr>
    </w:lvl>
    <w:lvl w:ilvl="2" w:tplc="510EFC12">
      <w:start w:val="1"/>
      <w:numFmt w:val="taiwaneseCountingThousand"/>
      <w:lvlText w:val="（%3）"/>
      <w:lvlJc w:val="left"/>
      <w:pPr>
        <w:tabs>
          <w:tab w:val="num" w:pos="855"/>
        </w:tabs>
        <w:ind w:left="855" w:hanging="855"/>
      </w:pPr>
      <w:rPr>
        <w:rFonts w:cs="Times New Roman"/>
      </w:rPr>
    </w:lvl>
    <w:lvl w:ilvl="3" w:tplc="8996C0E8">
      <w:start w:val="1"/>
      <w:numFmt w:val="decimal"/>
      <w:lvlText w:val="（%4）"/>
      <w:lvlJc w:val="left"/>
      <w:pPr>
        <w:ind w:left="2520" w:hanging="720"/>
      </w:pPr>
      <w:rPr>
        <w:rFonts w:ascii="標楷體" w:eastAsia="標楷體" w:hAnsi="標楷體" w:hint="eastAsia"/>
      </w:rPr>
    </w:lvl>
    <w:lvl w:ilvl="4" w:tplc="32845982">
      <w:start w:val="1"/>
      <w:numFmt w:val="decimal"/>
      <w:lvlText w:val="%5、"/>
      <w:lvlJc w:val="left"/>
      <w:pPr>
        <w:ind w:left="3000" w:hanging="720"/>
      </w:pPr>
      <w:rPr>
        <w:rFonts w:ascii="標楷體" w:eastAsia="標楷體" w:hAnsi="標楷體" w:hint="eastAsia"/>
      </w:rPr>
    </w:lvl>
    <w:lvl w:ilvl="5" w:tplc="74649FE8">
      <w:start w:val="1"/>
      <w:numFmt w:val="decimal"/>
      <w:lvlText w:val="%6."/>
      <w:lvlJc w:val="left"/>
      <w:pPr>
        <w:ind w:left="3120" w:hanging="360"/>
      </w:pPr>
      <w:rPr>
        <w:color w:val="000000" w:themeColor="text1"/>
      </w:rPr>
    </w:lvl>
    <w:lvl w:ilvl="6" w:tplc="0409000F">
      <w:start w:val="1"/>
      <w:numFmt w:val="decimal"/>
      <w:lvlText w:val="%7."/>
      <w:lvlJc w:val="left"/>
      <w:pPr>
        <w:ind w:left="3720" w:hanging="480"/>
      </w:pPr>
      <w:rPr>
        <w:rFonts w:cs="Times New Roman"/>
      </w:rPr>
    </w:lvl>
    <w:lvl w:ilvl="7" w:tplc="04090019">
      <w:start w:val="1"/>
      <w:numFmt w:val="ideographTraditional"/>
      <w:lvlText w:val="%8、"/>
      <w:lvlJc w:val="left"/>
      <w:pPr>
        <w:ind w:left="4200" w:hanging="480"/>
      </w:pPr>
      <w:rPr>
        <w:rFonts w:cs="Times New Roman"/>
      </w:rPr>
    </w:lvl>
    <w:lvl w:ilvl="8" w:tplc="0409001B">
      <w:start w:val="1"/>
      <w:numFmt w:val="lowerRoman"/>
      <w:lvlText w:val="%9."/>
      <w:lvlJc w:val="right"/>
      <w:pPr>
        <w:ind w:left="4680" w:hanging="480"/>
      </w:pPr>
      <w:rPr>
        <w:rFonts w:cs="Times New Roman"/>
      </w:rPr>
    </w:lvl>
  </w:abstractNum>
  <w:abstractNum w:abstractNumId="6">
    <w:nsid w:val="32CB6350"/>
    <w:multiLevelType w:val="hybridMultilevel"/>
    <w:tmpl w:val="3A30A11A"/>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7">
    <w:nsid w:val="33BE482B"/>
    <w:multiLevelType w:val="hybridMultilevel"/>
    <w:tmpl w:val="0F626DD4"/>
    <w:lvl w:ilvl="0" w:tplc="C6DCA1F0">
      <w:start w:val="1"/>
      <w:numFmt w:val="taiwaneseCountingThousand"/>
      <w:lvlText w:val="（%1）"/>
      <w:lvlJc w:val="left"/>
      <w:pPr>
        <w:ind w:left="862" w:hanging="720"/>
      </w:pPr>
      <w:rPr>
        <w:color w:val="000000" w:themeColor="text1"/>
        <w:lang w:val="en-US"/>
      </w:rPr>
    </w:lvl>
    <w:lvl w:ilvl="1" w:tplc="0409000F">
      <w:start w:val="1"/>
      <w:numFmt w:val="decimal"/>
      <w:lvlText w:val="%2."/>
      <w:lvlJc w:val="left"/>
      <w:pPr>
        <w:ind w:left="1099" w:hanging="480"/>
      </w:pPr>
    </w:lvl>
    <w:lvl w:ilvl="2" w:tplc="8FEE1954">
      <w:start w:val="1"/>
      <w:numFmt w:val="decimal"/>
      <w:lvlText w:val="(%3)"/>
      <w:lvlJc w:val="left"/>
      <w:pPr>
        <w:ind w:left="1579" w:hanging="480"/>
      </w:pPr>
    </w:lvl>
    <w:lvl w:ilvl="3" w:tplc="0409000F">
      <w:start w:val="1"/>
      <w:numFmt w:val="decimal"/>
      <w:lvlText w:val="%4."/>
      <w:lvlJc w:val="left"/>
      <w:pPr>
        <w:ind w:left="2059" w:hanging="480"/>
      </w:pPr>
    </w:lvl>
    <w:lvl w:ilvl="4" w:tplc="04090019">
      <w:start w:val="1"/>
      <w:numFmt w:val="ideographTraditional"/>
      <w:lvlText w:val="%5、"/>
      <w:lvlJc w:val="left"/>
      <w:pPr>
        <w:ind w:left="2539" w:hanging="480"/>
      </w:pPr>
    </w:lvl>
    <w:lvl w:ilvl="5" w:tplc="0409001B">
      <w:start w:val="1"/>
      <w:numFmt w:val="lowerRoman"/>
      <w:lvlText w:val="%6."/>
      <w:lvlJc w:val="right"/>
      <w:pPr>
        <w:ind w:left="3019" w:hanging="480"/>
      </w:pPr>
    </w:lvl>
    <w:lvl w:ilvl="6" w:tplc="0409000F">
      <w:start w:val="1"/>
      <w:numFmt w:val="decimal"/>
      <w:lvlText w:val="%7."/>
      <w:lvlJc w:val="left"/>
      <w:pPr>
        <w:ind w:left="3499" w:hanging="480"/>
      </w:pPr>
    </w:lvl>
    <w:lvl w:ilvl="7" w:tplc="04090019">
      <w:start w:val="1"/>
      <w:numFmt w:val="ideographTraditional"/>
      <w:lvlText w:val="%8、"/>
      <w:lvlJc w:val="left"/>
      <w:pPr>
        <w:ind w:left="3979" w:hanging="480"/>
      </w:pPr>
    </w:lvl>
    <w:lvl w:ilvl="8" w:tplc="0409001B">
      <w:start w:val="1"/>
      <w:numFmt w:val="lowerRoman"/>
      <w:lvlText w:val="%9."/>
      <w:lvlJc w:val="right"/>
      <w:pPr>
        <w:ind w:left="4459" w:hanging="480"/>
      </w:pPr>
    </w:lvl>
  </w:abstractNum>
  <w:abstractNum w:abstractNumId="8">
    <w:nsid w:val="3AAB653E"/>
    <w:multiLevelType w:val="hybridMultilevel"/>
    <w:tmpl w:val="B3820598"/>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9">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F4F6FD7"/>
    <w:multiLevelType w:val="hybridMultilevel"/>
    <w:tmpl w:val="B3820598"/>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11">
    <w:nsid w:val="425D1FB4"/>
    <w:multiLevelType w:val="hybridMultilevel"/>
    <w:tmpl w:val="C5143630"/>
    <w:lvl w:ilvl="0" w:tplc="D4DA3B48">
      <w:start w:val="1"/>
      <w:numFmt w:val="taiwaneseCountingThousand"/>
      <w:lvlText w:val="（%1）"/>
      <w:lvlJc w:val="left"/>
      <w:pPr>
        <w:ind w:left="862" w:hanging="720"/>
      </w:pPr>
      <w:rPr>
        <w:rFonts w:hint="eastAsia"/>
        <w:color w:val="000000" w:themeColor="text1"/>
      </w:rPr>
    </w:lvl>
    <w:lvl w:ilvl="1" w:tplc="61A8E4A4">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2882CAB"/>
    <w:multiLevelType w:val="hybridMultilevel"/>
    <w:tmpl w:val="BE2C34F2"/>
    <w:lvl w:ilvl="0" w:tplc="8AE4C33E">
      <w:start w:val="1"/>
      <w:numFmt w:val="taiwaneseCountingThousand"/>
      <w:lvlText w:val="（%1）"/>
      <w:lvlJc w:val="left"/>
      <w:pPr>
        <w:ind w:left="862" w:hanging="720"/>
      </w:pPr>
      <w:rPr>
        <w:color w:val="000000" w:themeColor="text1"/>
        <w:lang w:val="en-US"/>
      </w:rPr>
    </w:lvl>
    <w:lvl w:ilvl="1" w:tplc="0409000F">
      <w:start w:val="1"/>
      <w:numFmt w:val="decimal"/>
      <w:lvlText w:val="%2."/>
      <w:lvlJc w:val="left"/>
      <w:pPr>
        <w:ind w:left="1099" w:hanging="480"/>
      </w:pPr>
    </w:lvl>
    <w:lvl w:ilvl="2" w:tplc="8FEE1954">
      <w:start w:val="1"/>
      <w:numFmt w:val="decimal"/>
      <w:lvlText w:val="(%3)"/>
      <w:lvlJc w:val="left"/>
      <w:pPr>
        <w:ind w:left="1579" w:hanging="480"/>
      </w:pPr>
    </w:lvl>
    <w:lvl w:ilvl="3" w:tplc="0409000F">
      <w:start w:val="1"/>
      <w:numFmt w:val="decimal"/>
      <w:lvlText w:val="%4."/>
      <w:lvlJc w:val="left"/>
      <w:pPr>
        <w:ind w:left="2059" w:hanging="480"/>
      </w:pPr>
    </w:lvl>
    <w:lvl w:ilvl="4" w:tplc="04090019">
      <w:start w:val="1"/>
      <w:numFmt w:val="ideographTraditional"/>
      <w:lvlText w:val="%5、"/>
      <w:lvlJc w:val="left"/>
      <w:pPr>
        <w:ind w:left="2539" w:hanging="480"/>
      </w:pPr>
    </w:lvl>
    <w:lvl w:ilvl="5" w:tplc="0409001B">
      <w:start w:val="1"/>
      <w:numFmt w:val="lowerRoman"/>
      <w:lvlText w:val="%6."/>
      <w:lvlJc w:val="right"/>
      <w:pPr>
        <w:ind w:left="3019" w:hanging="480"/>
      </w:pPr>
    </w:lvl>
    <w:lvl w:ilvl="6" w:tplc="0409000F">
      <w:start w:val="1"/>
      <w:numFmt w:val="decimal"/>
      <w:lvlText w:val="%7."/>
      <w:lvlJc w:val="left"/>
      <w:pPr>
        <w:ind w:left="3499" w:hanging="480"/>
      </w:pPr>
    </w:lvl>
    <w:lvl w:ilvl="7" w:tplc="04090019">
      <w:start w:val="1"/>
      <w:numFmt w:val="ideographTraditional"/>
      <w:lvlText w:val="%8、"/>
      <w:lvlJc w:val="left"/>
      <w:pPr>
        <w:ind w:left="3979" w:hanging="480"/>
      </w:pPr>
    </w:lvl>
    <w:lvl w:ilvl="8" w:tplc="0409001B">
      <w:start w:val="1"/>
      <w:numFmt w:val="lowerRoman"/>
      <w:lvlText w:val="%9."/>
      <w:lvlJc w:val="right"/>
      <w:pPr>
        <w:ind w:left="4459" w:hanging="480"/>
      </w:pPr>
    </w:lvl>
  </w:abstractNum>
  <w:abstractNum w:abstractNumId="13">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555F678E"/>
    <w:multiLevelType w:val="hybridMultilevel"/>
    <w:tmpl w:val="370E7AE0"/>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1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594A27B9"/>
    <w:multiLevelType w:val="hybridMultilevel"/>
    <w:tmpl w:val="3A30A11A"/>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19">
    <w:nsid w:val="618460B4"/>
    <w:multiLevelType w:val="hybridMultilevel"/>
    <w:tmpl w:val="33A6C21C"/>
    <w:lvl w:ilvl="0" w:tplc="2FBA63B4">
      <w:start w:val="1"/>
      <w:numFmt w:val="taiwaneseCountingThousand"/>
      <w:lvlText w:val="（%1）"/>
      <w:lvlJc w:val="left"/>
      <w:pPr>
        <w:ind w:left="862" w:hanging="720"/>
      </w:pPr>
      <w:rPr>
        <w:color w:val="000000" w:themeColor="text1"/>
        <w:lang w:val="en-US"/>
      </w:rPr>
    </w:lvl>
    <w:lvl w:ilvl="1" w:tplc="0409000F">
      <w:start w:val="1"/>
      <w:numFmt w:val="decimal"/>
      <w:lvlText w:val="%2."/>
      <w:lvlJc w:val="left"/>
      <w:pPr>
        <w:ind w:left="1099" w:hanging="480"/>
      </w:pPr>
    </w:lvl>
    <w:lvl w:ilvl="2" w:tplc="8FEE1954">
      <w:start w:val="1"/>
      <w:numFmt w:val="decimal"/>
      <w:lvlText w:val="(%3)"/>
      <w:lvlJc w:val="left"/>
      <w:pPr>
        <w:ind w:left="1579" w:hanging="480"/>
      </w:pPr>
    </w:lvl>
    <w:lvl w:ilvl="3" w:tplc="0409000F">
      <w:start w:val="1"/>
      <w:numFmt w:val="decimal"/>
      <w:lvlText w:val="%4."/>
      <w:lvlJc w:val="left"/>
      <w:pPr>
        <w:ind w:left="2059" w:hanging="480"/>
      </w:pPr>
    </w:lvl>
    <w:lvl w:ilvl="4" w:tplc="04090019">
      <w:start w:val="1"/>
      <w:numFmt w:val="ideographTraditional"/>
      <w:lvlText w:val="%5、"/>
      <w:lvlJc w:val="left"/>
      <w:pPr>
        <w:ind w:left="2539" w:hanging="480"/>
      </w:pPr>
    </w:lvl>
    <w:lvl w:ilvl="5" w:tplc="0409001B">
      <w:start w:val="1"/>
      <w:numFmt w:val="lowerRoman"/>
      <w:lvlText w:val="%6."/>
      <w:lvlJc w:val="right"/>
      <w:pPr>
        <w:ind w:left="3019" w:hanging="480"/>
      </w:pPr>
    </w:lvl>
    <w:lvl w:ilvl="6" w:tplc="0409000F">
      <w:start w:val="1"/>
      <w:numFmt w:val="decimal"/>
      <w:lvlText w:val="%7."/>
      <w:lvlJc w:val="left"/>
      <w:pPr>
        <w:ind w:left="3499" w:hanging="480"/>
      </w:pPr>
    </w:lvl>
    <w:lvl w:ilvl="7" w:tplc="04090019">
      <w:start w:val="1"/>
      <w:numFmt w:val="ideographTraditional"/>
      <w:lvlText w:val="%8、"/>
      <w:lvlJc w:val="left"/>
      <w:pPr>
        <w:ind w:left="3979" w:hanging="480"/>
      </w:pPr>
    </w:lvl>
    <w:lvl w:ilvl="8" w:tplc="0409001B">
      <w:start w:val="1"/>
      <w:numFmt w:val="lowerRoman"/>
      <w:lvlText w:val="%9."/>
      <w:lvlJc w:val="right"/>
      <w:pPr>
        <w:ind w:left="4459" w:hanging="480"/>
      </w:pPr>
    </w:lvl>
  </w:abstractNum>
  <w:abstractNum w:abstractNumId="20">
    <w:nsid w:val="645150A1"/>
    <w:multiLevelType w:val="hybridMultilevel"/>
    <w:tmpl w:val="3A30A11A"/>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21">
    <w:nsid w:val="67BF50A8"/>
    <w:multiLevelType w:val="hybridMultilevel"/>
    <w:tmpl w:val="20D034CC"/>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abstractNum w:abstractNumId="22">
    <w:nsid w:val="692B6186"/>
    <w:multiLevelType w:val="hybridMultilevel"/>
    <w:tmpl w:val="0F626DD4"/>
    <w:lvl w:ilvl="0" w:tplc="C6DCA1F0">
      <w:start w:val="1"/>
      <w:numFmt w:val="taiwaneseCountingThousand"/>
      <w:lvlText w:val="（%1）"/>
      <w:lvlJc w:val="left"/>
      <w:pPr>
        <w:ind w:left="862" w:hanging="720"/>
      </w:pPr>
      <w:rPr>
        <w:color w:val="000000" w:themeColor="text1"/>
        <w:lang w:val="en-US"/>
      </w:rPr>
    </w:lvl>
    <w:lvl w:ilvl="1" w:tplc="0409000F">
      <w:start w:val="1"/>
      <w:numFmt w:val="decimal"/>
      <w:lvlText w:val="%2."/>
      <w:lvlJc w:val="left"/>
      <w:pPr>
        <w:ind w:left="1099" w:hanging="480"/>
      </w:pPr>
    </w:lvl>
    <w:lvl w:ilvl="2" w:tplc="8FEE1954">
      <w:start w:val="1"/>
      <w:numFmt w:val="decimal"/>
      <w:lvlText w:val="(%3)"/>
      <w:lvlJc w:val="left"/>
      <w:pPr>
        <w:ind w:left="1579" w:hanging="480"/>
      </w:pPr>
    </w:lvl>
    <w:lvl w:ilvl="3" w:tplc="0409000F">
      <w:start w:val="1"/>
      <w:numFmt w:val="decimal"/>
      <w:lvlText w:val="%4."/>
      <w:lvlJc w:val="left"/>
      <w:pPr>
        <w:ind w:left="2059" w:hanging="480"/>
      </w:pPr>
    </w:lvl>
    <w:lvl w:ilvl="4" w:tplc="04090019">
      <w:start w:val="1"/>
      <w:numFmt w:val="ideographTraditional"/>
      <w:lvlText w:val="%5、"/>
      <w:lvlJc w:val="left"/>
      <w:pPr>
        <w:ind w:left="2539" w:hanging="480"/>
      </w:pPr>
    </w:lvl>
    <w:lvl w:ilvl="5" w:tplc="0409001B">
      <w:start w:val="1"/>
      <w:numFmt w:val="lowerRoman"/>
      <w:lvlText w:val="%6."/>
      <w:lvlJc w:val="right"/>
      <w:pPr>
        <w:ind w:left="3019" w:hanging="480"/>
      </w:pPr>
    </w:lvl>
    <w:lvl w:ilvl="6" w:tplc="0409000F">
      <w:start w:val="1"/>
      <w:numFmt w:val="decimal"/>
      <w:lvlText w:val="%7."/>
      <w:lvlJc w:val="left"/>
      <w:pPr>
        <w:ind w:left="3499" w:hanging="480"/>
      </w:pPr>
    </w:lvl>
    <w:lvl w:ilvl="7" w:tplc="04090019">
      <w:start w:val="1"/>
      <w:numFmt w:val="ideographTraditional"/>
      <w:lvlText w:val="%8、"/>
      <w:lvlJc w:val="left"/>
      <w:pPr>
        <w:ind w:left="3979" w:hanging="480"/>
      </w:pPr>
    </w:lvl>
    <w:lvl w:ilvl="8" w:tplc="0409001B">
      <w:start w:val="1"/>
      <w:numFmt w:val="lowerRoman"/>
      <w:lvlText w:val="%9."/>
      <w:lvlJc w:val="right"/>
      <w:pPr>
        <w:ind w:left="4459" w:hanging="480"/>
      </w:pPr>
    </w:lvl>
  </w:abstractNum>
  <w:abstractNum w:abstractNumId="23">
    <w:nsid w:val="6ADC3FA0"/>
    <w:multiLevelType w:val="hybridMultilevel"/>
    <w:tmpl w:val="0994E6A0"/>
    <w:lvl w:ilvl="0" w:tplc="A27E3C56">
      <w:start w:val="7"/>
      <w:numFmt w:val="taiwaneseCountingThousand"/>
      <w:lvlText w:val="%1、"/>
      <w:lvlJc w:val="left"/>
      <w:pPr>
        <w:ind w:left="1525" w:hanging="480"/>
      </w:pPr>
    </w:lvl>
    <w:lvl w:ilvl="1" w:tplc="88C471D4">
      <w:start w:val="1"/>
      <w:numFmt w:val="taiwaneseCountingThousand"/>
      <w:lvlText w:val="(%2)"/>
      <w:lvlJc w:val="left"/>
      <w:pPr>
        <w:ind w:left="960" w:hanging="480"/>
      </w:pPr>
    </w:lvl>
    <w:lvl w:ilvl="2" w:tplc="0409000F">
      <w:start w:val="1"/>
      <w:numFmt w:val="decimal"/>
      <w:lvlText w:val="%3."/>
      <w:lvlJc w:val="lef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nsid w:val="715C2133"/>
    <w:multiLevelType w:val="hybridMultilevel"/>
    <w:tmpl w:val="D1FA05A6"/>
    <w:lvl w:ilvl="0" w:tplc="61A8E4A4">
      <w:start w:val="1"/>
      <w:numFmt w:val="decimal"/>
      <w:lvlText w:val="%1."/>
      <w:lvlJc w:val="left"/>
      <w:pPr>
        <w:ind w:left="109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790C1CAC"/>
    <w:multiLevelType w:val="hybridMultilevel"/>
    <w:tmpl w:val="370E7AE0"/>
    <w:lvl w:ilvl="0" w:tplc="0409000F">
      <w:start w:val="1"/>
      <w:numFmt w:val="decimal"/>
      <w:lvlText w:val="%1."/>
      <w:lvlJc w:val="left"/>
      <w:pPr>
        <w:ind w:left="1099" w:hanging="480"/>
      </w:pPr>
    </w:lvl>
    <w:lvl w:ilvl="1" w:tplc="04090019">
      <w:start w:val="1"/>
      <w:numFmt w:val="ideographTraditional"/>
      <w:lvlText w:val="%2、"/>
      <w:lvlJc w:val="left"/>
      <w:pPr>
        <w:ind w:left="1579" w:hanging="480"/>
      </w:pPr>
    </w:lvl>
    <w:lvl w:ilvl="2" w:tplc="0409001B">
      <w:start w:val="1"/>
      <w:numFmt w:val="lowerRoman"/>
      <w:lvlText w:val="%3."/>
      <w:lvlJc w:val="right"/>
      <w:pPr>
        <w:ind w:left="2059" w:hanging="480"/>
      </w:pPr>
    </w:lvl>
    <w:lvl w:ilvl="3" w:tplc="0409000F">
      <w:start w:val="1"/>
      <w:numFmt w:val="decimal"/>
      <w:lvlText w:val="%4."/>
      <w:lvlJc w:val="left"/>
      <w:pPr>
        <w:ind w:left="2539" w:hanging="480"/>
      </w:pPr>
    </w:lvl>
    <w:lvl w:ilvl="4" w:tplc="04090019">
      <w:start w:val="1"/>
      <w:numFmt w:val="ideographTraditional"/>
      <w:lvlText w:val="%5、"/>
      <w:lvlJc w:val="left"/>
      <w:pPr>
        <w:ind w:left="3019" w:hanging="480"/>
      </w:pPr>
    </w:lvl>
    <w:lvl w:ilvl="5" w:tplc="0409001B">
      <w:start w:val="1"/>
      <w:numFmt w:val="lowerRoman"/>
      <w:lvlText w:val="%6."/>
      <w:lvlJc w:val="right"/>
      <w:pPr>
        <w:ind w:left="3499" w:hanging="480"/>
      </w:pPr>
    </w:lvl>
    <w:lvl w:ilvl="6" w:tplc="0409000F">
      <w:start w:val="1"/>
      <w:numFmt w:val="decimal"/>
      <w:lvlText w:val="%7."/>
      <w:lvlJc w:val="left"/>
      <w:pPr>
        <w:ind w:left="3979" w:hanging="480"/>
      </w:pPr>
    </w:lvl>
    <w:lvl w:ilvl="7" w:tplc="04090019">
      <w:start w:val="1"/>
      <w:numFmt w:val="ideographTraditional"/>
      <w:lvlText w:val="%8、"/>
      <w:lvlJc w:val="left"/>
      <w:pPr>
        <w:ind w:left="4459" w:hanging="480"/>
      </w:pPr>
    </w:lvl>
    <w:lvl w:ilvl="8" w:tplc="0409001B">
      <w:start w:val="1"/>
      <w:numFmt w:val="lowerRoman"/>
      <w:lvlText w:val="%9."/>
      <w:lvlJc w:val="right"/>
      <w:pPr>
        <w:ind w:left="4939" w:hanging="480"/>
      </w:pPr>
    </w:lvl>
  </w:abstractNum>
  <w:num w:numId="1">
    <w:abstractNumId w:val="3"/>
  </w:num>
  <w:num w:numId="2">
    <w:abstractNumId w:val="0"/>
  </w:num>
  <w:num w:numId="3">
    <w:abstractNumId w:val="14"/>
  </w:num>
  <w:num w:numId="4">
    <w:abstractNumId w:val="9"/>
  </w:num>
  <w:num w:numId="5">
    <w:abstractNumId w:val="15"/>
  </w:num>
  <w:num w:numId="6">
    <w:abstractNumId w:val="2"/>
  </w:num>
  <w:num w:numId="7">
    <w:abstractNumId w:val="17"/>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11"/>
  </w:num>
  <w:num w:numId="26">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2B4"/>
    <w:rsid w:val="000011D0"/>
    <w:rsid w:val="00002890"/>
    <w:rsid w:val="0000356B"/>
    <w:rsid w:val="00006961"/>
    <w:rsid w:val="0000725E"/>
    <w:rsid w:val="000112BF"/>
    <w:rsid w:val="00012233"/>
    <w:rsid w:val="00017318"/>
    <w:rsid w:val="000246F7"/>
    <w:rsid w:val="00024D42"/>
    <w:rsid w:val="0003114D"/>
    <w:rsid w:val="00032393"/>
    <w:rsid w:val="00034E40"/>
    <w:rsid w:val="00036D76"/>
    <w:rsid w:val="00057F32"/>
    <w:rsid w:val="00062A25"/>
    <w:rsid w:val="0007136D"/>
    <w:rsid w:val="00071EDB"/>
    <w:rsid w:val="00073CB5"/>
    <w:rsid w:val="0007425C"/>
    <w:rsid w:val="00077553"/>
    <w:rsid w:val="00082B88"/>
    <w:rsid w:val="000851A2"/>
    <w:rsid w:val="0009009B"/>
    <w:rsid w:val="000912E8"/>
    <w:rsid w:val="0009352E"/>
    <w:rsid w:val="000964EF"/>
    <w:rsid w:val="00096B96"/>
    <w:rsid w:val="000A2F3F"/>
    <w:rsid w:val="000B0B4A"/>
    <w:rsid w:val="000B279A"/>
    <w:rsid w:val="000B3303"/>
    <w:rsid w:val="000B61D2"/>
    <w:rsid w:val="000B70A7"/>
    <w:rsid w:val="000C495F"/>
    <w:rsid w:val="000C4E09"/>
    <w:rsid w:val="000E399E"/>
    <w:rsid w:val="000E4755"/>
    <w:rsid w:val="000E6431"/>
    <w:rsid w:val="000E7A42"/>
    <w:rsid w:val="000F21A5"/>
    <w:rsid w:val="00102B9F"/>
    <w:rsid w:val="0010593E"/>
    <w:rsid w:val="00107F32"/>
    <w:rsid w:val="00110DAC"/>
    <w:rsid w:val="00112637"/>
    <w:rsid w:val="00112ABC"/>
    <w:rsid w:val="0012001E"/>
    <w:rsid w:val="00125092"/>
    <w:rsid w:val="00126A55"/>
    <w:rsid w:val="001320AF"/>
    <w:rsid w:val="00133F08"/>
    <w:rsid w:val="001345E6"/>
    <w:rsid w:val="001378B0"/>
    <w:rsid w:val="001402DF"/>
    <w:rsid w:val="00142E00"/>
    <w:rsid w:val="00151440"/>
    <w:rsid w:val="00152793"/>
    <w:rsid w:val="00153B7E"/>
    <w:rsid w:val="001545A9"/>
    <w:rsid w:val="001637C7"/>
    <w:rsid w:val="001644E4"/>
    <w:rsid w:val="0016480E"/>
    <w:rsid w:val="00174297"/>
    <w:rsid w:val="00180E06"/>
    <w:rsid w:val="001817B3"/>
    <w:rsid w:val="00183014"/>
    <w:rsid w:val="00184F5D"/>
    <w:rsid w:val="00186644"/>
    <w:rsid w:val="001874F2"/>
    <w:rsid w:val="00192662"/>
    <w:rsid w:val="001959C2"/>
    <w:rsid w:val="001A41E3"/>
    <w:rsid w:val="001A51E3"/>
    <w:rsid w:val="001A7968"/>
    <w:rsid w:val="001B2E98"/>
    <w:rsid w:val="001B3483"/>
    <w:rsid w:val="001B349D"/>
    <w:rsid w:val="001B3C1E"/>
    <w:rsid w:val="001B4494"/>
    <w:rsid w:val="001B4EAF"/>
    <w:rsid w:val="001C0D8B"/>
    <w:rsid w:val="001C0DA8"/>
    <w:rsid w:val="001C2489"/>
    <w:rsid w:val="001D3DA6"/>
    <w:rsid w:val="001D4AD7"/>
    <w:rsid w:val="001E0088"/>
    <w:rsid w:val="001E0D8A"/>
    <w:rsid w:val="001E67BA"/>
    <w:rsid w:val="001E74C2"/>
    <w:rsid w:val="001F3D1A"/>
    <w:rsid w:val="001F5A48"/>
    <w:rsid w:val="001F6260"/>
    <w:rsid w:val="00200007"/>
    <w:rsid w:val="002030A5"/>
    <w:rsid w:val="00203131"/>
    <w:rsid w:val="0021268D"/>
    <w:rsid w:val="00212E88"/>
    <w:rsid w:val="00213C9C"/>
    <w:rsid w:val="00214121"/>
    <w:rsid w:val="0021607F"/>
    <w:rsid w:val="0022009E"/>
    <w:rsid w:val="00223241"/>
    <w:rsid w:val="002234F6"/>
    <w:rsid w:val="0022425C"/>
    <w:rsid w:val="002246DE"/>
    <w:rsid w:val="00226E89"/>
    <w:rsid w:val="00236CA2"/>
    <w:rsid w:val="00237F52"/>
    <w:rsid w:val="00243A83"/>
    <w:rsid w:val="00246152"/>
    <w:rsid w:val="00251053"/>
    <w:rsid w:val="00252BC4"/>
    <w:rsid w:val="00254014"/>
    <w:rsid w:val="002552EA"/>
    <w:rsid w:val="002556E1"/>
    <w:rsid w:val="002622D6"/>
    <w:rsid w:val="0026504D"/>
    <w:rsid w:val="0026635E"/>
    <w:rsid w:val="00273520"/>
    <w:rsid w:val="00273A2F"/>
    <w:rsid w:val="00280986"/>
    <w:rsid w:val="00281ECE"/>
    <w:rsid w:val="002831C7"/>
    <w:rsid w:val="002840C6"/>
    <w:rsid w:val="00290AF4"/>
    <w:rsid w:val="00295174"/>
    <w:rsid w:val="00296172"/>
    <w:rsid w:val="00296B92"/>
    <w:rsid w:val="002A2C22"/>
    <w:rsid w:val="002B02EB"/>
    <w:rsid w:val="002B3684"/>
    <w:rsid w:val="002B3C01"/>
    <w:rsid w:val="002B73C5"/>
    <w:rsid w:val="002C0602"/>
    <w:rsid w:val="002C0C05"/>
    <w:rsid w:val="002C1A21"/>
    <w:rsid w:val="002C6FBC"/>
    <w:rsid w:val="002D5C16"/>
    <w:rsid w:val="002F28CC"/>
    <w:rsid w:val="002F3DFF"/>
    <w:rsid w:val="002F5E05"/>
    <w:rsid w:val="003008FC"/>
    <w:rsid w:val="00312958"/>
    <w:rsid w:val="00315A16"/>
    <w:rsid w:val="00317053"/>
    <w:rsid w:val="0032109C"/>
    <w:rsid w:val="00322B45"/>
    <w:rsid w:val="00323809"/>
    <w:rsid w:val="00323D41"/>
    <w:rsid w:val="00325414"/>
    <w:rsid w:val="003302F1"/>
    <w:rsid w:val="003367FC"/>
    <w:rsid w:val="0034470E"/>
    <w:rsid w:val="003475DD"/>
    <w:rsid w:val="00352DB0"/>
    <w:rsid w:val="00353C7C"/>
    <w:rsid w:val="00361063"/>
    <w:rsid w:val="003678A3"/>
    <w:rsid w:val="0037094A"/>
    <w:rsid w:val="00371ED3"/>
    <w:rsid w:val="00372FFC"/>
    <w:rsid w:val="0037601C"/>
    <w:rsid w:val="0037728A"/>
    <w:rsid w:val="00380B7D"/>
    <w:rsid w:val="00381A99"/>
    <w:rsid w:val="003829C2"/>
    <w:rsid w:val="003830B2"/>
    <w:rsid w:val="00384724"/>
    <w:rsid w:val="0038772D"/>
    <w:rsid w:val="003919B7"/>
    <w:rsid w:val="00391D57"/>
    <w:rsid w:val="00392292"/>
    <w:rsid w:val="003955B5"/>
    <w:rsid w:val="00397184"/>
    <w:rsid w:val="003B1017"/>
    <w:rsid w:val="003B3C07"/>
    <w:rsid w:val="003B6775"/>
    <w:rsid w:val="003C5FE2"/>
    <w:rsid w:val="003D05FB"/>
    <w:rsid w:val="003D1B16"/>
    <w:rsid w:val="003D45BF"/>
    <w:rsid w:val="003D508A"/>
    <w:rsid w:val="003D537F"/>
    <w:rsid w:val="003D5525"/>
    <w:rsid w:val="003D7757"/>
    <w:rsid w:val="003D7B75"/>
    <w:rsid w:val="003E0208"/>
    <w:rsid w:val="003E48E9"/>
    <w:rsid w:val="003E4B57"/>
    <w:rsid w:val="003F27E1"/>
    <w:rsid w:val="003F426C"/>
    <w:rsid w:val="003F437A"/>
    <w:rsid w:val="003F5C2B"/>
    <w:rsid w:val="004023E9"/>
    <w:rsid w:val="0040454A"/>
    <w:rsid w:val="004051D6"/>
    <w:rsid w:val="00413296"/>
    <w:rsid w:val="00413F83"/>
    <w:rsid w:val="0041490C"/>
    <w:rsid w:val="00416191"/>
    <w:rsid w:val="00416721"/>
    <w:rsid w:val="00421EF0"/>
    <w:rsid w:val="004224FA"/>
    <w:rsid w:val="00423D07"/>
    <w:rsid w:val="004349C9"/>
    <w:rsid w:val="00440E85"/>
    <w:rsid w:val="0044346F"/>
    <w:rsid w:val="00445E43"/>
    <w:rsid w:val="00456613"/>
    <w:rsid w:val="0046520A"/>
    <w:rsid w:val="004672AB"/>
    <w:rsid w:val="004714FE"/>
    <w:rsid w:val="0047184A"/>
    <w:rsid w:val="00471BA1"/>
    <w:rsid w:val="00472AF7"/>
    <w:rsid w:val="00477BAA"/>
    <w:rsid w:val="00484E5B"/>
    <w:rsid w:val="00487B79"/>
    <w:rsid w:val="00495053"/>
    <w:rsid w:val="004A1F59"/>
    <w:rsid w:val="004A29BE"/>
    <w:rsid w:val="004A3225"/>
    <w:rsid w:val="004A33EE"/>
    <w:rsid w:val="004A3AA8"/>
    <w:rsid w:val="004B13C7"/>
    <w:rsid w:val="004B4A1C"/>
    <w:rsid w:val="004B4DC0"/>
    <w:rsid w:val="004B778F"/>
    <w:rsid w:val="004D141F"/>
    <w:rsid w:val="004D2742"/>
    <w:rsid w:val="004D6310"/>
    <w:rsid w:val="004E0062"/>
    <w:rsid w:val="004E05A1"/>
    <w:rsid w:val="004E7496"/>
    <w:rsid w:val="004F4DB9"/>
    <w:rsid w:val="004F58E6"/>
    <w:rsid w:val="004F5E57"/>
    <w:rsid w:val="004F6710"/>
    <w:rsid w:val="004F74ED"/>
    <w:rsid w:val="004F7503"/>
    <w:rsid w:val="00500C3E"/>
    <w:rsid w:val="00502849"/>
    <w:rsid w:val="00504334"/>
    <w:rsid w:val="0050498D"/>
    <w:rsid w:val="00505F4A"/>
    <w:rsid w:val="005104D7"/>
    <w:rsid w:val="00510B9E"/>
    <w:rsid w:val="00536BC2"/>
    <w:rsid w:val="005425E1"/>
    <w:rsid w:val="005427C5"/>
    <w:rsid w:val="00542CF6"/>
    <w:rsid w:val="00544386"/>
    <w:rsid w:val="00545B5D"/>
    <w:rsid w:val="00553C03"/>
    <w:rsid w:val="00560723"/>
    <w:rsid w:val="00563692"/>
    <w:rsid w:val="00571679"/>
    <w:rsid w:val="0057393B"/>
    <w:rsid w:val="00573B98"/>
    <w:rsid w:val="005844E7"/>
    <w:rsid w:val="005908B8"/>
    <w:rsid w:val="005922F1"/>
    <w:rsid w:val="0059512E"/>
    <w:rsid w:val="00595AAE"/>
    <w:rsid w:val="005A6DD2"/>
    <w:rsid w:val="005C0CBB"/>
    <w:rsid w:val="005C385D"/>
    <w:rsid w:val="005C5070"/>
    <w:rsid w:val="005C57C7"/>
    <w:rsid w:val="005D3B20"/>
    <w:rsid w:val="005E23F5"/>
    <w:rsid w:val="005E28CD"/>
    <w:rsid w:val="005E2FAE"/>
    <w:rsid w:val="005E3AEB"/>
    <w:rsid w:val="005E4759"/>
    <w:rsid w:val="005E5C68"/>
    <w:rsid w:val="005E65C0"/>
    <w:rsid w:val="005F0390"/>
    <w:rsid w:val="005F22C6"/>
    <w:rsid w:val="006072CD"/>
    <w:rsid w:val="00612023"/>
    <w:rsid w:val="006122E6"/>
    <w:rsid w:val="00614190"/>
    <w:rsid w:val="00617153"/>
    <w:rsid w:val="00617D23"/>
    <w:rsid w:val="00617E61"/>
    <w:rsid w:val="00622A99"/>
    <w:rsid w:val="00622E67"/>
    <w:rsid w:val="00626EDC"/>
    <w:rsid w:val="00634424"/>
    <w:rsid w:val="006470EC"/>
    <w:rsid w:val="00652F59"/>
    <w:rsid w:val="006542D6"/>
    <w:rsid w:val="0065598E"/>
    <w:rsid w:val="00655AF2"/>
    <w:rsid w:val="00655BC5"/>
    <w:rsid w:val="006568BE"/>
    <w:rsid w:val="0066025D"/>
    <w:rsid w:val="0066091A"/>
    <w:rsid w:val="0066169E"/>
    <w:rsid w:val="00666A83"/>
    <w:rsid w:val="00675881"/>
    <w:rsid w:val="006773EC"/>
    <w:rsid w:val="00680504"/>
    <w:rsid w:val="00681CD9"/>
    <w:rsid w:val="00683E30"/>
    <w:rsid w:val="00687024"/>
    <w:rsid w:val="00691263"/>
    <w:rsid w:val="00695E22"/>
    <w:rsid w:val="006A2489"/>
    <w:rsid w:val="006B42DC"/>
    <w:rsid w:val="006B7093"/>
    <w:rsid w:val="006B7417"/>
    <w:rsid w:val="006C77D7"/>
    <w:rsid w:val="006D2486"/>
    <w:rsid w:val="006D3691"/>
    <w:rsid w:val="006D3721"/>
    <w:rsid w:val="006D77D3"/>
    <w:rsid w:val="006E5EF0"/>
    <w:rsid w:val="006F06C6"/>
    <w:rsid w:val="006F3563"/>
    <w:rsid w:val="006F42B9"/>
    <w:rsid w:val="006F4BA9"/>
    <w:rsid w:val="006F6103"/>
    <w:rsid w:val="00703A86"/>
    <w:rsid w:val="00704E00"/>
    <w:rsid w:val="00716C46"/>
    <w:rsid w:val="00717173"/>
    <w:rsid w:val="007209E7"/>
    <w:rsid w:val="00720F0A"/>
    <w:rsid w:val="00724E17"/>
    <w:rsid w:val="00726182"/>
    <w:rsid w:val="00727635"/>
    <w:rsid w:val="00727883"/>
    <w:rsid w:val="00732329"/>
    <w:rsid w:val="007337CA"/>
    <w:rsid w:val="00734CE4"/>
    <w:rsid w:val="00735123"/>
    <w:rsid w:val="00741837"/>
    <w:rsid w:val="007453E6"/>
    <w:rsid w:val="00747550"/>
    <w:rsid w:val="00751796"/>
    <w:rsid w:val="00754D56"/>
    <w:rsid w:val="00762FDF"/>
    <w:rsid w:val="007702B4"/>
    <w:rsid w:val="00770590"/>
    <w:rsid w:val="0077309D"/>
    <w:rsid w:val="0077376C"/>
    <w:rsid w:val="007774EE"/>
    <w:rsid w:val="00781822"/>
    <w:rsid w:val="00783F21"/>
    <w:rsid w:val="00787159"/>
    <w:rsid w:val="0079043A"/>
    <w:rsid w:val="00791668"/>
    <w:rsid w:val="00791AA1"/>
    <w:rsid w:val="00793657"/>
    <w:rsid w:val="007A0EE6"/>
    <w:rsid w:val="007A3793"/>
    <w:rsid w:val="007A5423"/>
    <w:rsid w:val="007A599B"/>
    <w:rsid w:val="007C1BA2"/>
    <w:rsid w:val="007C2918"/>
    <w:rsid w:val="007C2B48"/>
    <w:rsid w:val="007C665C"/>
    <w:rsid w:val="007D20E9"/>
    <w:rsid w:val="007D6D37"/>
    <w:rsid w:val="007D7881"/>
    <w:rsid w:val="007D7E3A"/>
    <w:rsid w:val="007E0E10"/>
    <w:rsid w:val="007E36FF"/>
    <w:rsid w:val="007E4768"/>
    <w:rsid w:val="007E5DD6"/>
    <w:rsid w:val="007E777B"/>
    <w:rsid w:val="007F2070"/>
    <w:rsid w:val="007F46D6"/>
    <w:rsid w:val="008053F5"/>
    <w:rsid w:val="00807AF7"/>
    <w:rsid w:val="00810198"/>
    <w:rsid w:val="00811CDE"/>
    <w:rsid w:val="00813B18"/>
    <w:rsid w:val="008153EA"/>
    <w:rsid w:val="00815B84"/>
    <w:rsid w:val="00815DA8"/>
    <w:rsid w:val="0082194D"/>
    <w:rsid w:val="00826EF5"/>
    <w:rsid w:val="00831693"/>
    <w:rsid w:val="00836326"/>
    <w:rsid w:val="00840104"/>
    <w:rsid w:val="00840C1F"/>
    <w:rsid w:val="008413E7"/>
    <w:rsid w:val="00841FC5"/>
    <w:rsid w:val="00842BA7"/>
    <w:rsid w:val="00843837"/>
    <w:rsid w:val="00845709"/>
    <w:rsid w:val="008576BD"/>
    <w:rsid w:val="00860463"/>
    <w:rsid w:val="008622C1"/>
    <w:rsid w:val="0086523F"/>
    <w:rsid w:val="00866F80"/>
    <w:rsid w:val="008715A9"/>
    <w:rsid w:val="00873063"/>
    <w:rsid w:val="008733DA"/>
    <w:rsid w:val="008850E4"/>
    <w:rsid w:val="00885CE6"/>
    <w:rsid w:val="008907BF"/>
    <w:rsid w:val="008939AB"/>
    <w:rsid w:val="008939D5"/>
    <w:rsid w:val="008A12F5"/>
    <w:rsid w:val="008A2678"/>
    <w:rsid w:val="008A5490"/>
    <w:rsid w:val="008A7987"/>
    <w:rsid w:val="008B1587"/>
    <w:rsid w:val="008B1B01"/>
    <w:rsid w:val="008B2FA2"/>
    <w:rsid w:val="008B3BCD"/>
    <w:rsid w:val="008B6711"/>
    <w:rsid w:val="008B6DF8"/>
    <w:rsid w:val="008C0EE7"/>
    <w:rsid w:val="008C106C"/>
    <w:rsid w:val="008C10F1"/>
    <w:rsid w:val="008C1926"/>
    <w:rsid w:val="008C1E99"/>
    <w:rsid w:val="008E0085"/>
    <w:rsid w:val="008E2AA6"/>
    <w:rsid w:val="008E311B"/>
    <w:rsid w:val="008F28D9"/>
    <w:rsid w:val="008F46E7"/>
    <w:rsid w:val="008F6F0B"/>
    <w:rsid w:val="008F747C"/>
    <w:rsid w:val="008F7ED8"/>
    <w:rsid w:val="009065F0"/>
    <w:rsid w:val="00907BA7"/>
    <w:rsid w:val="0091064E"/>
    <w:rsid w:val="00911FC5"/>
    <w:rsid w:val="0092115F"/>
    <w:rsid w:val="00931A10"/>
    <w:rsid w:val="00947967"/>
    <w:rsid w:val="009514B6"/>
    <w:rsid w:val="00955201"/>
    <w:rsid w:val="009565AF"/>
    <w:rsid w:val="00962340"/>
    <w:rsid w:val="00965200"/>
    <w:rsid w:val="009668B3"/>
    <w:rsid w:val="00971471"/>
    <w:rsid w:val="00971CF4"/>
    <w:rsid w:val="009849C2"/>
    <w:rsid w:val="00984D24"/>
    <w:rsid w:val="009858EB"/>
    <w:rsid w:val="009B0046"/>
    <w:rsid w:val="009C1440"/>
    <w:rsid w:val="009C2107"/>
    <w:rsid w:val="009C5D9E"/>
    <w:rsid w:val="009D2C3E"/>
    <w:rsid w:val="009E0625"/>
    <w:rsid w:val="009E1AB0"/>
    <w:rsid w:val="009E3034"/>
    <w:rsid w:val="009E549F"/>
    <w:rsid w:val="009E622A"/>
    <w:rsid w:val="009E6A19"/>
    <w:rsid w:val="009F28A8"/>
    <w:rsid w:val="009F473E"/>
    <w:rsid w:val="009F682A"/>
    <w:rsid w:val="00A022BE"/>
    <w:rsid w:val="00A21BCB"/>
    <w:rsid w:val="00A22289"/>
    <w:rsid w:val="00A24C95"/>
    <w:rsid w:val="00A2599A"/>
    <w:rsid w:val="00A26094"/>
    <w:rsid w:val="00A301BF"/>
    <w:rsid w:val="00A302B2"/>
    <w:rsid w:val="00A30B72"/>
    <w:rsid w:val="00A3260D"/>
    <w:rsid w:val="00A331B4"/>
    <w:rsid w:val="00A3484E"/>
    <w:rsid w:val="00A356D3"/>
    <w:rsid w:val="00A36ADA"/>
    <w:rsid w:val="00A438D8"/>
    <w:rsid w:val="00A4446A"/>
    <w:rsid w:val="00A473F5"/>
    <w:rsid w:val="00A511BD"/>
    <w:rsid w:val="00A51F9D"/>
    <w:rsid w:val="00A535C2"/>
    <w:rsid w:val="00A5416A"/>
    <w:rsid w:val="00A636D9"/>
    <w:rsid w:val="00A639F4"/>
    <w:rsid w:val="00A67F1D"/>
    <w:rsid w:val="00A7383F"/>
    <w:rsid w:val="00A81A32"/>
    <w:rsid w:val="00A82ACA"/>
    <w:rsid w:val="00A835BD"/>
    <w:rsid w:val="00A84695"/>
    <w:rsid w:val="00A91896"/>
    <w:rsid w:val="00A91DB4"/>
    <w:rsid w:val="00A95712"/>
    <w:rsid w:val="00A97B15"/>
    <w:rsid w:val="00AA00CE"/>
    <w:rsid w:val="00AA42D5"/>
    <w:rsid w:val="00AB0D89"/>
    <w:rsid w:val="00AB1100"/>
    <w:rsid w:val="00AB2FAB"/>
    <w:rsid w:val="00AB3F82"/>
    <w:rsid w:val="00AB5C14"/>
    <w:rsid w:val="00AC1EE7"/>
    <w:rsid w:val="00AC333F"/>
    <w:rsid w:val="00AC585C"/>
    <w:rsid w:val="00AC7556"/>
    <w:rsid w:val="00AD00E7"/>
    <w:rsid w:val="00AD1925"/>
    <w:rsid w:val="00AD5A92"/>
    <w:rsid w:val="00AD6447"/>
    <w:rsid w:val="00AE067D"/>
    <w:rsid w:val="00AF01D7"/>
    <w:rsid w:val="00AF1181"/>
    <w:rsid w:val="00AF2F79"/>
    <w:rsid w:val="00AF4653"/>
    <w:rsid w:val="00AF7A4F"/>
    <w:rsid w:val="00AF7DB7"/>
    <w:rsid w:val="00B12C78"/>
    <w:rsid w:val="00B12ED5"/>
    <w:rsid w:val="00B17F85"/>
    <w:rsid w:val="00B201E2"/>
    <w:rsid w:val="00B23D82"/>
    <w:rsid w:val="00B26813"/>
    <w:rsid w:val="00B36685"/>
    <w:rsid w:val="00B3717B"/>
    <w:rsid w:val="00B443E4"/>
    <w:rsid w:val="00B450D7"/>
    <w:rsid w:val="00B52772"/>
    <w:rsid w:val="00B555DB"/>
    <w:rsid w:val="00B563EA"/>
    <w:rsid w:val="00B60E51"/>
    <w:rsid w:val="00B63A54"/>
    <w:rsid w:val="00B71480"/>
    <w:rsid w:val="00B71C17"/>
    <w:rsid w:val="00B76536"/>
    <w:rsid w:val="00B76B7F"/>
    <w:rsid w:val="00B77D18"/>
    <w:rsid w:val="00B8313A"/>
    <w:rsid w:val="00B92276"/>
    <w:rsid w:val="00B93503"/>
    <w:rsid w:val="00BA261F"/>
    <w:rsid w:val="00BA31E8"/>
    <w:rsid w:val="00BA3872"/>
    <w:rsid w:val="00BA55E0"/>
    <w:rsid w:val="00BA5D6E"/>
    <w:rsid w:val="00BA6BD4"/>
    <w:rsid w:val="00BA6C7A"/>
    <w:rsid w:val="00BB3752"/>
    <w:rsid w:val="00BB6688"/>
    <w:rsid w:val="00BC26D4"/>
    <w:rsid w:val="00BE0C80"/>
    <w:rsid w:val="00BF1FB7"/>
    <w:rsid w:val="00BF2A42"/>
    <w:rsid w:val="00C01D64"/>
    <w:rsid w:val="00C03D8C"/>
    <w:rsid w:val="00C055C2"/>
    <w:rsid w:val="00C055EC"/>
    <w:rsid w:val="00C10DC9"/>
    <w:rsid w:val="00C116B5"/>
    <w:rsid w:val="00C12113"/>
    <w:rsid w:val="00C12FB3"/>
    <w:rsid w:val="00C17341"/>
    <w:rsid w:val="00C24EEF"/>
    <w:rsid w:val="00C25CF6"/>
    <w:rsid w:val="00C26C36"/>
    <w:rsid w:val="00C30B14"/>
    <w:rsid w:val="00C32768"/>
    <w:rsid w:val="00C32F9E"/>
    <w:rsid w:val="00C34CC0"/>
    <w:rsid w:val="00C4067E"/>
    <w:rsid w:val="00C431DF"/>
    <w:rsid w:val="00C456BD"/>
    <w:rsid w:val="00C461DF"/>
    <w:rsid w:val="00C530DC"/>
    <w:rsid w:val="00C5350D"/>
    <w:rsid w:val="00C545E7"/>
    <w:rsid w:val="00C6123C"/>
    <w:rsid w:val="00C627D4"/>
    <w:rsid w:val="00C6311A"/>
    <w:rsid w:val="00C63283"/>
    <w:rsid w:val="00C7084D"/>
    <w:rsid w:val="00C7315E"/>
    <w:rsid w:val="00C75895"/>
    <w:rsid w:val="00C803EE"/>
    <w:rsid w:val="00C83C9F"/>
    <w:rsid w:val="00C9382D"/>
    <w:rsid w:val="00C94840"/>
    <w:rsid w:val="00CA4EE3"/>
    <w:rsid w:val="00CB027F"/>
    <w:rsid w:val="00CC077D"/>
    <w:rsid w:val="00CC0C38"/>
    <w:rsid w:val="00CC0EBB"/>
    <w:rsid w:val="00CC61A9"/>
    <w:rsid w:val="00CC6297"/>
    <w:rsid w:val="00CC7690"/>
    <w:rsid w:val="00CD1986"/>
    <w:rsid w:val="00CD54BF"/>
    <w:rsid w:val="00CE1456"/>
    <w:rsid w:val="00CE4D5C"/>
    <w:rsid w:val="00CF05DA"/>
    <w:rsid w:val="00CF2BDE"/>
    <w:rsid w:val="00CF58EB"/>
    <w:rsid w:val="00CF5BF1"/>
    <w:rsid w:val="00CF6FEC"/>
    <w:rsid w:val="00D0106E"/>
    <w:rsid w:val="00D04713"/>
    <w:rsid w:val="00D06383"/>
    <w:rsid w:val="00D11CDA"/>
    <w:rsid w:val="00D13CE7"/>
    <w:rsid w:val="00D203D5"/>
    <w:rsid w:val="00D20E85"/>
    <w:rsid w:val="00D24615"/>
    <w:rsid w:val="00D318B6"/>
    <w:rsid w:val="00D37842"/>
    <w:rsid w:val="00D41064"/>
    <w:rsid w:val="00D42DC2"/>
    <w:rsid w:val="00D50BD5"/>
    <w:rsid w:val="00D537E1"/>
    <w:rsid w:val="00D55BB2"/>
    <w:rsid w:val="00D6091A"/>
    <w:rsid w:val="00D6605A"/>
    <w:rsid w:val="00D6695F"/>
    <w:rsid w:val="00D66BB8"/>
    <w:rsid w:val="00D75644"/>
    <w:rsid w:val="00D81656"/>
    <w:rsid w:val="00D83D87"/>
    <w:rsid w:val="00D84A6D"/>
    <w:rsid w:val="00D86A30"/>
    <w:rsid w:val="00D97CB4"/>
    <w:rsid w:val="00D97DD4"/>
    <w:rsid w:val="00DA0814"/>
    <w:rsid w:val="00DA327E"/>
    <w:rsid w:val="00DA5A8A"/>
    <w:rsid w:val="00DB06D5"/>
    <w:rsid w:val="00DB26CD"/>
    <w:rsid w:val="00DB3FCE"/>
    <w:rsid w:val="00DB441C"/>
    <w:rsid w:val="00DB44AF"/>
    <w:rsid w:val="00DC1F58"/>
    <w:rsid w:val="00DC339B"/>
    <w:rsid w:val="00DC5D40"/>
    <w:rsid w:val="00DC69A7"/>
    <w:rsid w:val="00DD0EEF"/>
    <w:rsid w:val="00DD30E9"/>
    <w:rsid w:val="00DD4F47"/>
    <w:rsid w:val="00DD7FBB"/>
    <w:rsid w:val="00DE0B9F"/>
    <w:rsid w:val="00DE382F"/>
    <w:rsid w:val="00DE4238"/>
    <w:rsid w:val="00DE5F2A"/>
    <w:rsid w:val="00DE657F"/>
    <w:rsid w:val="00DF1218"/>
    <w:rsid w:val="00DF6462"/>
    <w:rsid w:val="00E01D99"/>
    <w:rsid w:val="00E02FA0"/>
    <w:rsid w:val="00E036DC"/>
    <w:rsid w:val="00E10454"/>
    <w:rsid w:val="00E112E5"/>
    <w:rsid w:val="00E12CC8"/>
    <w:rsid w:val="00E14F8A"/>
    <w:rsid w:val="00E15352"/>
    <w:rsid w:val="00E156C1"/>
    <w:rsid w:val="00E21CC7"/>
    <w:rsid w:val="00E24D9E"/>
    <w:rsid w:val="00E25849"/>
    <w:rsid w:val="00E31160"/>
    <w:rsid w:val="00E3197E"/>
    <w:rsid w:val="00E342F8"/>
    <w:rsid w:val="00E351ED"/>
    <w:rsid w:val="00E42307"/>
    <w:rsid w:val="00E44EF4"/>
    <w:rsid w:val="00E51B1B"/>
    <w:rsid w:val="00E553FC"/>
    <w:rsid w:val="00E6034B"/>
    <w:rsid w:val="00E6549E"/>
    <w:rsid w:val="00E65EDE"/>
    <w:rsid w:val="00E70F81"/>
    <w:rsid w:val="00E7376B"/>
    <w:rsid w:val="00E752F9"/>
    <w:rsid w:val="00E77055"/>
    <w:rsid w:val="00E77460"/>
    <w:rsid w:val="00E83ABC"/>
    <w:rsid w:val="00E844F2"/>
    <w:rsid w:val="00E87B4A"/>
    <w:rsid w:val="00E90AD0"/>
    <w:rsid w:val="00E926E0"/>
    <w:rsid w:val="00E92FCB"/>
    <w:rsid w:val="00EA147F"/>
    <w:rsid w:val="00EA4A27"/>
    <w:rsid w:val="00EA4FA6"/>
    <w:rsid w:val="00EB1A25"/>
    <w:rsid w:val="00EB2814"/>
    <w:rsid w:val="00EB4A84"/>
    <w:rsid w:val="00EC27CE"/>
    <w:rsid w:val="00EC4626"/>
    <w:rsid w:val="00ED03AB"/>
    <w:rsid w:val="00ED1CD4"/>
    <w:rsid w:val="00ED1D2B"/>
    <w:rsid w:val="00ED64B5"/>
    <w:rsid w:val="00EE63A9"/>
    <w:rsid w:val="00EE7CCA"/>
    <w:rsid w:val="00EF0A79"/>
    <w:rsid w:val="00EF338B"/>
    <w:rsid w:val="00F10EE3"/>
    <w:rsid w:val="00F16A14"/>
    <w:rsid w:val="00F20A8C"/>
    <w:rsid w:val="00F212E3"/>
    <w:rsid w:val="00F33A9D"/>
    <w:rsid w:val="00F362D7"/>
    <w:rsid w:val="00F37D7B"/>
    <w:rsid w:val="00F5314C"/>
    <w:rsid w:val="00F5688C"/>
    <w:rsid w:val="00F635DD"/>
    <w:rsid w:val="00F6627B"/>
    <w:rsid w:val="00F7336E"/>
    <w:rsid w:val="00F734F2"/>
    <w:rsid w:val="00F75052"/>
    <w:rsid w:val="00F804D3"/>
    <w:rsid w:val="00F81CD2"/>
    <w:rsid w:val="00F82641"/>
    <w:rsid w:val="00F8598F"/>
    <w:rsid w:val="00F8616B"/>
    <w:rsid w:val="00F8675B"/>
    <w:rsid w:val="00F90D08"/>
    <w:rsid w:val="00F90F18"/>
    <w:rsid w:val="00F934F2"/>
    <w:rsid w:val="00F937E4"/>
    <w:rsid w:val="00F94EA9"/>
    <w:rsid w:val="00F95EE7"/>
    <w:rsid w:val="00FA39E6"/>
    <w:rsid w:val="00FA7BC9"/>
    <w:rsid w:val="00FB378E"/>
    <w:rsid w:val="00FB37F1"/>
    <w:rsid w:val="00FB3D94"/>
    <w:rsid w:val="00FB47C0"/>
    <w:rsid w:val="00FB501B"/>
    <w:rsid w:val="00FB71F8"/>
    <w:rsid w:val="00FB7770"/>
    <w:rsid w:val="00FD3B91"/>
    <w:rsid w:val="00FD576B"/>
    <w:rsid w:val="00FD579E"/>
    <w:rsid w:val="00FD6845"/>
    <w:rsid w:val="00FD7C0E"/>
    <w:rsid w:val="00FE2122"/>
    <w:rsid w:val="00FE4516"/>
    <w:rsid w:val="00FE4E69"/>
    <w:rsid w:val="00FE64C8"/>
    <w:rsid w:val="00FE6DFA"/>
    <w:rsid w:val="00FF66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link w:val="af2"/>
    <w:uiPriority w:val="99"/>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semiHidden/>
    <w:unhideWhenUsed/>
    <w:rsid w:val="006F06C6"/>
    <w:rPr>
      <w:rFonts w:ascii="Courier New" w:hAnsi="Courier New" w:cs="Courier New"/>
      <w:sz w:val="20"/>
    </w:rPr>
  </w:style>
  <w:style w:type="character" w:customStyle="1" w:styleId="HTML0">
    <w:name w:val="HTML 預設格式 字元"/>
    <w:basedOn w:val="a7"/>
    <w:link w:val="HTML"/>
    <w:uiPriority w:val="99"/>
    <w:semiHidden/>
    <w:rsid w:val="006F06C6"/>
    <w:rPr>
      <w:rFonts w:ascii="Courier New" w:eastAsia="標楷體" w:hAnsi="Courier New" w:cs="Courier New"/>
      <w:kern w:val="2"/>
    </w:rPr>
  </w:style>
  <w:style w:type="paragraph" w:customStyle="1" w:styleId="afb">
    <w:name w:val="標題（一）"/>
    <w:basedOn w:val="a6"/>
    <w:link w:val="13"/>
    <w:rsid w:val="00B12ED5"/>
    <w:pPr>
      <w:overflowPunct/>
      <w:autoSpaceDE/>
      <w:autoSpaceDN/>
      <w:spacing w:beforeLines="20" w:before="20" w:afterLines="20" w:after="20" w:line="400" w:lineRule="exact"/>
      <w:ind w:firstLineChars="200" w:firstLine="200"/>
    </w:pPr>
    <w:rPr>
      <w:rFonts w:ascii="Times New Roman"/>
      <w:b/>
      <w:bCs/>
      <w:sz w:val="28"/>
      <w:szCs w:val="28"/>
    </w:rPr>
  </w:style>
  <w:style w:type="character" w:customStyle="1" w:styleId="13">
    <w:name w:val="標題（一） 字元1"/>
    <w:link w:val="afb"/>
    <w:rsid w:val="00B12ED5"/>
    <w:rPr>
      <w:rFonts w:eastAsia="標楷體"/>
      <w:b/>
      <w:bCs/>
      <w:kern w:val="2"/>
      <w:sz w:val="28"/>
      <w:szCs w:val="28"/>
    </w:rPr>
  </w:style>
  <w:style w:type="character" w:customStyle="1" w:styleId="af2">
    <w:name w:val="本文縮排 字元"/>
    <w:link w:val="af1"/>
    <w:uiPriority w:val="99"/>
    <w:rsid w:val="006C77D7"/>
    <w:rPr>
      <w:rFonts w:ascii="標楷體" w:eastAsia="標楷體"/>
      <w:kern w:val="2"/>
      <w:sz w:val="32"/>
    </w:rPr>
  </w:style>
  <w:style w:type="paragraph" w:styleId="afc">
    <w:name w:val="footnote text"/>
    <w:aliases w:val="註腳文字1,註腳文字 字元 字元"/>
    <w:basedOn w:val="a6"/>
    <w:link w:val="afd"/>
    <w:uiPriority w:val="99"/>
    <w:rsid w:val="005E3AEB"/>
    <w:pPr>
      <w:overflowPunct/>
      <w:autoSpaceDE/>
      <w:autoSpaceDN/>
      <w:snapToGrid w:val="0"/>
      <w:jc w:val="left"/>
    </w:pPr>
    <w:rPr>
      <w:rFonts w:ascii="Times New Roman" w:eastAsia="新細明體"/>
      <w:sz w:val="20"/>
    </w:rPr>
  </w:style>
  <w:style w:type="character" w:customStyle="1" w:styleId="afd">
    <w:name w:val="註腳文字 字元"/>
    <w:aliases w:val="註腳文字1 字元,註腳文字 字元 字元 字元"/>
    <w:basedOn w:val="a7"/>
    <w:link w:val="afc"/>
    <w:uiPriority w:val="99"/>
    <w:rsid w:val="005E3AEB"/>
    <w:rPr>
      <w:kern w:val="2"/>
    </w:rPr>
  </w:style>
  <w:style w:type="character" w:styleId="afe">
    <w:name w:val="footnote reference"/>
    <w:uiPriority w:val="99"/>
    <w:rsid w:val="005E3AEB"/>
    <w:rPr>
      <w:vertAlign w:val="superscript"/>
    </w:rPr>
  </w:style>
  <w:style w:type="character" w:customStyle="1" w:styleId="30">
    <w:name w:val="標題 3 字元"/>
    <w:basedOn w:val="a7"/>
    <w:link w:val="3"/>
    <w:rsid w:val="00573B98"/>
    <w:rPr>
      <w:rFonts w:ascii="標楷體" w:eastAsia="標楷體" w:hAnsi="Arial"/>
      <w:bCs/>
      <w:kern w:val="32"/>
      <w:sz w:val="32"/>
      <w:szCs w:val="36"/>
    </w:rPr>
  </w:style>
  <w:style w:type="character" w:customStyle="1" w:styleId="ya-q-full-text">
    <w:name w:val="ya-q-full-text"/>
    <w:basedOn w:val="a7"/>
    <w:rsid w:val="001F3D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link w:val="af2"/>
    <w:uiPriority w:val="99"/>
    <w:rsid w:val="004E0062"/>
    <w:pPr>
      <w:ind w:left="698" w:hangingChars="200" w:hanging="698"/>
    </w:pPr>
  </w:style>
  <w:style w:type="paragraph" w:customStyle="1" w:styleId="af3">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HTML">
    <w:name w:val="HTML Preformatted"/>
    <w:basedOn w:val="a6"/>
    <w:link w:val="HTML0"/>
    <w:uiPriority w:val="99"/>
    <w:semiHidden/>
    <w:unhideWhenUsed/>
    <w:rsid w:val="006F06C6"/>
    <w:rPr>
      <w:rFonts w:ascii="Courier New" w:hAnsi="Courier New" w:cs="Courier New"/>
      <w:sz w:val="20"/>
    </w:rPr>
  </w:style>
  <w:style w:type="character" w:customStyle="1" w:styleId="HTML0">
    <w:name w:val="HTML 預設格式 字元"/>
    <w:basedOn w:val="a7"/>
    <w:link w:val="HTML"/>
    <w:uiPriority w:val="99"/>
    <w:semiHidden/>
    <w:rsid w:val="006F06C6"/>
    <w:rPr>
      <w:rFonts w:ascii="Courier New" w:eastAsia="標楷體" w:hAnsi="Courier New" w:cs="Courier New"/>
      <w:kern w:val="2"/>
    </w:rPr>
  </w:style>
  <w:style w:type="paragraph" w:customStyle="1" w:styleId="afb">
    <w:name w:val="標題（一）"/>
    <w:basedOn w:val="a6"/>
    <w:link w:val="13"/>
    <w:rsid w:val="00B12ED5"/>
    <w:pPr>
      <w:overflowPunct/>
      <w:autoSpaceDE/>
      <w:autoSpaceDN/>
      <w:spacing w:beforeLines="20" w:before="20" w:afterLines="20" w:after="20" w:line="400" w:lineRule="exact"/>
      <w:ind w:firstLineChars="200" w:firstLine="200"/>
    </w:pPr>
    <w:rPr>
      <w:rFonts w:ascii="Times New Roman"/>
      <w:b/>
      <w:bCs/>
      <w:sz w:val="28"/>
      <w:szCs w:val="28"/>
    </w:rPr>
  </w:style>
  <w:style w:type="character" w:customStyle="1" w:styleId="13">
    <w:name w:val="標題（一） 字元1"/>
    <w:link w:val="afb"/>
    <w:rsid w:val="00B12ED5"/>
    <w:rPr>
      <w:rFonts w:eastAsia="標楷體"/>
      <w:b/>
      <w:bCs/>
      <w:kern w:val="2"/>
      <w:sz w:val="28"/>
      <w:szCs w:val="28"/>
    </w:rPr>
  </w:style>
  <w:style w:type="character" w:customStyle="1" w:styleId="af2">
    <w:name w:val="本文縮排 字元"/>
    <w:link w:val="af1"/>
    <w:uiPriority w:val="99"/>
    <w:rsid w:val="006C77D7"/>
    <w:rPr>
      <w:rFonts w:ascii="標楷體" w:eastAsia="標楷體"/>
      <w:kern w:val="2"/>
      <w:sz w:val="32"/>
    </w:rPr>
  </w:style>
  <w:style w:type="paragraph" w:styleId="afc">
    <w:name w:val="footnote text"/>
    <w:aliases w:val="註腳文字1,註腳文字 字元 字元"/>
    <w:basedOn w:val="a6"/>
    <w:link w:val="afd"/>
    <w:uiPriority w:val="99"/>
    <w:rsid w:val="005E3AEB"/>
    <w:pPr>
      <w:overflowPunct/>
      <w:autoSpaceDE/>
      <w:autoSpaceDN/>
      <w:snapToGrid w:val="0"/>
      <w:jc w:val="left"/>
    </w:pPr>
    <w:rPr>
      <w:rFonts w:ascii="Times New Roman" w:eastAsia="新細明體"/>
      <w:sz w:val="20"/>
    </w:rPr>
  </w:style>
  <w:style w:type="character" w:customStyle="1" w:styleId="afd">
    <w:name w:val="註腳文字 字元"/>
    <w:aliases w:val="註腳文字1 字元,註腳文字 字元 字元 字元"/>
    <w:basedOn w:val="a7"/>
    <w:link w:val="afc"/>
    <w:uiPriority w:val="99"/>
    <w:rsid w:val="005E3AEB"/>
    <w:rPr>
      <w:kern w:val="2"/>
    </w:rPr>
  </w:style>
  <w:style w:type="character" w:styleId="afe">
    <w:name w:val="footnote reference"/>
    <w:uiPriority w:val="99"/>
    <w:rsid w:val="005E3AEB"/>
    <w:rPr>
      <w:vertAlign w:val="superscript"/>
    </w:rPr>
  </w:style>
  <w:style w:type="character" w:customStyle="1" w:styleId="30">
    <w:name w:val="標題 3 字元"/>
    <w:basedOn w:val="a7"/>
    <w:link w:val="3"/>
    <w:rsid w:val="00573B98"/>
    <w:rPr>
      <w:rFonts w:ascii="標楷體" w:eastAsia="標楷體" w:hAnsi="Arial"/>
      <w:bCs/>
      <w:kern w:val="32"/>
      <w:sz w:val="32"/>
      <w:szCs w:val="36"/>
    </w:rPr>
  </w:style>
  <w:style w:type="character" w:customStyle="1" w:styleId="ya-q-full-text">
    <w:name w:val="ya-q-full-text"/>
    <w:basedOn w:val="a7"/>
    <w:rsid w:val="001F3D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27380">
      <w:bodyDiv w:val="1"/>
      <w:marLeft w:val="0"/>
      <w:marRight w:val="0"/>
      <w:marTop w:val="0"/>
      <w:marBottom w:val="0"/>
      <w:divBdr>
        <w:top w:val="none" w:sz="0" w:space="0" w:color="auto"/>
        <w:left w:val="none" w:sz="0" w:space="0" w:color="auto"/>
        <w:bottom w:val="none" w:sz="0" w:space="0" w:color="auto"/>
        <w:right w:val="none" w:sz="0" w:space="0" w:color="auto"/>
      </w:divBdr>
    </w:div>
    <w:div w:id="732697867">
      <w:bodyDiv w:val="1"/>
      <w:marLeft w:val="0"/>
      <w:marRight w:val="0"/>
      <w:marTop w:val="0"/>
      <w:marBottom w:val="0"/>
      <w:divBdr>
        <w:top w:val="none" w:sz="0" w:space="0" w:color="auto"/>
        <w:left w:val="none" w:sz="0" w:space="0" w:color="auto"/>
        <w:bottom w:val="none" w:sz="0" w:space="0" w:color="auto"/>
        <w:right w:val="none" w:sz="0" w:space="0" w:color="auto"/>
      </w:divBdr>
    </w:div>
    <w:div w:id="1071663236">
      <w:bodyDiv w:val="1"/>
      <w:marLeft w:val="0"/>
      <w:marRight w:val="0"/>
      <w:marTop w:val="0"/>
      <w:marBottom w:val="0"/>
      <w:divBdr>
        <w:top w:val="none" w:sz="0" w:space="0" w:color="auto"/>
        <w:left w:val="none" w:sz="0" w:space="0" w:color="auto"/>
        <w:bottom w:val="none" w:sz="0" w:space="0" w:color="auto"/>
        <w:right w:val="none" w:sz="0" w:space="0" w:color="auto"/>
      </w:divBdr>
    </w:div>
    <w:div w:id="1439446128">
      <w:bodyDiv w:val="1"/>
      <w:marLeft w:val="0"/>
      <w:marRight w:val="0"/>
      <w:marTop w:val="0"/>
      <w:marBottom w:val="0"/>
      <w:divBdr>
        <w:top w:val="none" w:sz="0" w:space="0" w:color="auto"/>
        <w:left w:val="none" w:sz="0" w:space="0" w:color="auto"/>
        <w:bottom w:val="none" w:sz="0" w:space="0" w:color="auto"/>
        <w:right w:val="none" w:sz="0" w:space="0" w:color="auto"/>
      </w:divBdr>
    </w:div>
    <w:div w:id="2138716723">
      <w:bodyDiv w:val="1"/>
      <w:marLeft w:val="0"/>
      <w:marRight w:val="0"/>
      <w:marTop w:val="0"/>
      <w:marBottom w:val="0"/>
      <w:divBdr>
        <w:top w:val="none" w:sz="0" w:space="0" w:color="auto"/>
        <w:left w:val="none" w:sz="0" w:space="0" w:color="auto"/>
        <w:bottom w:val="none" w:sz="0" w:space="0" w:color="auto"/>
        <w:right w:val="none" w:sz="0" w:space="0" w:color="auto"/>
      </w:divBdr>
    </w:div>
    <w:div w:id="214442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in\AppData\Roaming\Microsoft\Templates\&#35519;&#26597;&#34920;&#21934;\003&#35519;&#26597;&#22577;&#21578;_104.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F4A3E-1049-498B-B49D-11D3C3E5C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003調查報告_104</Template>
  <TotalTime>88</TotalTime>
  <Pages>18</Pages>
  <Words>1672</Words>
  <Characters>9532</Characters>
  <Application>Microsoft Office Word</Application>
  <DocSecurity>0</DocSecurity>
  <Lines>79</Lines>
  <Paragraphs>22</Paragraphs>
  <ScaleCrop>false</ScaleCrop>
  <Company>cy</Company>
  <LinksUpToDate>false</LinksUpToDate>
  <CharactersWithSpaces>11182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stud01</dc:creator>
  <cp:lastModifiedBy>余文誌</cp:lastModifiedBy>
  <cp:revision>7</cp:revision>
  <cp:lastPrinted>2017-05-08T01:48:00Z</cp:lastPrinted>
  <dcterms:created xsi:type="dcterms:W3CDTF">2017-05-10T09:53:00Z</dcterms:created>
  <dcterms:modified xsi:type="dcterms:W3CDTF">2017-05-18T04:48:00Z</dcterms:modified>
</cp:coreProperties>
</file>