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4"/>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222B13" w:rsidRPr="00AD19E9">
        <w:rPr>
          <w:rFonts w:hint="eastAsia"/>
          <w:noProof/>
        </w:rPr>
        <w:t>據悉：</w:t>
      </w:r>
      <w:r w:rsidR="00E360A7" w:rsidRPr="00B825FD">
        <w:rPr>
          <w:rFonts w:hAnsi="標楷體" w:hint="eastAsia"/>
          <w:szCs w:val="32"/>
        </w:rPr>
        <w:t>行政院主計總處於104年8月點名中央政府17個非營業特種基金應研議整併或裁撤，經審計部調查發現，多數被點名基金僅由基金主管機關研議中，並未研訂具體作業期程</w:t>
      </w:r>
      <w:r w:rsidR="00E360A7">
        <w:rPr>
          <w:rFonts w:hAnsi="標楷體" w:hint="eastAsia"/>
          <w:szCs w:val="32"/>
        </w:rPr>
        <w:t>；另部分基金閒置資金龐大，營運績效不佳，亟需檢討改善，有深入瞭解之必要</w:t>
      </w:r>
      <w:r w:rsidR="00222B13" w:rsidRPr="00AD19E9">
        <w:rPr>
          <w:rFonts w:hint="eastAsia"/>
          <w:noProof/>
        </w:rPr>
        <w:t>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5954A4">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757CC5" w:rsidP="00182E9D">
      <w:pPr>
        <w:pStyle w:val="10"/>
        <w:ind w:left="680" w:rightChars="141" w:right="480" w:firstLine="680"/>
        <w:rPr>
          <w:rFonts w:hAnsi="標楷體"/>
          <w:szCs w:val="32"/>
        </w:rPr>
      </w:pPr>
      <w:bookmarkStart w:id="49" w:name="_Toc524902730"/>
      <w:r>
        <w:rPr>
          <w:rFonts w:hint="eastAsia"/>
        </w:rPr>
        <w:t>依審計部查復本院資料，</w:t>
      </w:r>
      <w:r>
        <w:rPr>
          <w:rFonts w:hAnsi="標楷體" w:hint="eastAsia"/>
          <w:szCs w:val="32"/>
        </w:rPr>
        <w:t>民國（下同）</w:t>
      </w:r>
      <w:r w:rsidRPr="00085E21">
        <w:rPr>
          <w:rFonts w:hint="eastAsia"/>
        </w:rPr>
        <w:t>100</w:t>
      </w:r>
      <w:r>
        <w:rPr>
          <w:rFonts w:hint="eastAsia"/>
        </w:rPr>
        <w:t>年度</w:t>
      </w:r>
      <w:r w:rsidRPr="00085E21">
        <w:rPr>
          <w:rFonts w:hint="eastAsia"/>
        </w:rPr>
        <w:t>至104</w:t>
      </w:r>
      <w:r w:rsidR="00976BDF">
        <w:rPr>
          <w:rFonts w:hint="eastAsia"/>
        </w:rPr>
        <w:t>年度編製附屬單位預算之非營業特種基金</w:t>
      </w:r>
      <w:r w:rsidRPr="00085E21">
        <w:rPr>
          <w:rFonts w:hint="eastAsia"/>
        </w:rPr>
        <w:t>為105個，分預算單位由100年度之</w:t>
      </w:r>
      <w:r w:rsidR="004D1AAE">
        <w:rPr>
          <w:rFonts w:hint="eastAsia"/>
        </w:rPr>
        <w:t>114</w:t>
      </w:r>
      <w:r w:rsidRPr="00085E21">
        <w:rPr>
          <w:rFonts w:hint="eastAsia"/>
        </w:rPr>
        <w:t>個，</w:t>
      </w:r>
      <w:r w:rsidR="004D1AAE">
        <w:rPr>
          <w:rFonts w:hint="eastAsia"/>
        </w:rPr>
        <w:t>減少為</w:t>
      </w:r>
      <w:r>
        <w:rPr>
          <w:rFonts w:hint="eastAsia"/>
        </w:rPr>
        <w:t>104</w:t>
      </w:r>
      <w:r w:rsidRPr="00085E21">
        <w:rPr>
          <w:rFonts w:hint="eastAsia"/>
        </w:rPr>
        <w:t>年度之109</w:t>
      </w:r>
      <w:r w:rsidR="00646C32">
        <w:rPr>
          <w:rFonts w:hint="eastAsia"/>
        </w:rPr>
        <w:t>個，總收支規模</w:t>
      </w:r>
      <w:r w:rsidR="004D1AAE">
        <w:rPr>
          <w:rFonts w:hint="eastAsia"/>
        </w:rPr>
        <w:t>則</w:t>
      </w:r>
      <w:r w:rsidRPr="00085E21">
        <w:rPr>
          <w:rFonts w:hint="eastAsia"/>
        </w:rPr>
        <w:t>由100年度之</w:t>
      </w:r>
      <w:r>
        <w:rPr>
          <w:rFonts w:hint="eastAsia"/>
        </w:rPr>
        <w:t>新臺幣（下同）</w:t>
      </w:r>
      <w:r w:rsidRPr="00085E21">
        <w:rPr>
          <w:rFonts w:hint="eastAsia"/>
        </w:rPr>
        <w:t>4兆163億餘</w:t>
      </w:r>
      <w:r w:rsidR="004D1AAE">
        <w:rPr>
          <w:rFonts w:hint="eastAsia"/>
        </w:rPr>
        <w:t>元，增加為</w:t>
      </w:r>
      <w:r>
        <w:rPr>
          <w:rFonts w:hint="eastAsia"/>
        </w:rPr>
        <w:t>104</w:t>
      </w:r>
      <w:r w:rsidRPr="00085E21">
        <w:rPr>
          <w:rFonts w:hint="eastAsia"/>
        </w:rPr>
        <w:t>年度之5兆9,908</w:t>
      </w:r>
      <w:r w:rsidR="004D1AAE">
        <w:rPr>
          <w:rFonts w:hint="eastAsia"/>
        </w:rPr>
        <w:t>億餘元，顯示非營業特種基金之</w:t>
      </w:r>
      <w:r w:rsidRPr="00085E21">
        <w:rPr>
          <w:rFonts w:hint="eastAsia"/>
        </w:rPr>
        <w:t>規模</w:t>
      </w:r>
      <w:r w:rsidR="00646C32">
        <w:rPr>
          <w:rFonts w:hint="eastAsia"/>
        </w:rPr>
        <w:t>龎大</w:t>
      </w:r>
      <w:r>
        <w:rPr>
          <w:rFonts w:hint="eastAsia"/>
        </w:rPr>
        <w:t>。</w:t>
      </w:r>
      <w:r w:rsidR="00EB044C">
        <w:rPr>
          <w:rFonts w:hAnsi="標楷體" w:hint="eastAsia"/>
          <w:szCs w:val="32"/>
        </w:rPr>
        <w:t>有關「</w:t>
      </w:r>
      <w:r w:rsidR="00FB121E" w:rsidRPr="00B825FD">
        <w:rPr>
          <w:rFonts w:hAnsi="標楷體" w:hint="eastAsia"/>
          <w:szCs w:val="32"/>
        </w:rPr>
        <w:t>行政院主計總處於104年8月點名中央政府17個非營業特種基金應研議整併或裁撤，經審計部調查發現，多數被點名基金僅由基金主管機關研議中，並未研訂具體作業期程</w:t>
      </w:r>
      <w:r w:rsidR="00976BDF">
        <w:rPr>
          <w:rFonts w:hAnsi="標楷體" w:hint="eastAsia"/>
          <w:szCs w:val="32"/>
        </w:rPr>
        <w:t>；另部分基金閒置資金龐大，營運績效不佳，待</w:t>
      </w:r>
      <w:r w:rsidR="00FB121E">
        <w:rPr>
          <w:rFonts w:hAnsi="標楷體" w:hint="eastAsia"/>
          <w:szCs w:val="32"/>
        </w:rPr>
        <w:t>檢討改善，有深入瞭解之必要</w:t>
      </w:r>
      <w:r w:rsidR="004D1AAE">
        <w:rPr>
          <w:rFonts w:hAnsi="標楷體" w:hint="eastAsia"/>
          <w:szCs w:val="32"/>
        </w:rPr>
        <w:t>等情</w:t>
      </w:r>
      <w:r w:rsidR="00EB044C">
        <w:rPr>
          <w:rFonts w:hAnsi="標楷體" w:hint="eastAsia"/>
          <w:szCs w:val="32"/>
        </w:rPr>
        <w:t>」乙</w:t>
      </w:r>
      <w:r w:rsidR="00FB121E" w:rsidRPr="00AD19E9">
        <w:rPr>
          <w:rFonts w:hint="eastAsia"/>
          <w:noProof/>
        </w:rPr>
        <w:t>案</w:t>
      </w:r>
      <w:r w:rsidR="00EB044C">
        <w:rPr>
          <w:rFonts w:hint="eastAsia"/>
          <w:noProof/>
        </w:rPr>
        <w:t>，經</w:t>
      </w:r>
      <w:r w:rsidR="00EB044C" w:rsidRPr="00DC6A44">
        <w:rPr>
          <w:rFonts w:hAnsi="標楷體" w:hint="eastAsia"/>
          <w:szCs w:val="32"/>
        </w:rPr>
        <w:t>調閱</w:t>
      </w:r>
      <w:r w:rsidR="005A5418" w:rsidRPr="00DC6A44">
        <w:rPr>
          <w:rFonts w:hAnsi="標楷體" w:hint="eastAsia"/>
          <w:szCs w:val="32"/>
        </w:rPr>
        <w:t>行政院、行政院主計總處（下稱主計總處）、審計部、內政部、經濟部、行政院農業委員會（下稱農委會）、國家通訊傳播委員會（下稱通傳會）及國防部</w:t>
      </w:r>
      <w:r w:rsidR="00DC6A44" w:rsidRPr="00DC6A44">
        <w:rPr>
          <w:rFonts w:hAnsi="標楷體" w:hint="eastAsia"/>
          <w:szCs w:val="32"/>
        </w:rPr>
        <w:t>之卷證資料。嗣</w:t>
      </w:r>
      <w:r w:rsidR="005A5418" w:rsidRPr="00DC6A44">
        <w:rPr>
          <w:rFonts w:hAnsi="標楷體" w:hint="eastAsia"/>
          <w:szCs w:val="32"/>
        </w:rPr>
        <w:t>分別於106年1月19日及25</w:t>
      </w:r>
      <w:r w:rsidR="00646C32">
        <w:rPr>
          <w:rFonts w:hAnsi="標楷體" w:hint="eastAsia"/>
          <w:szCs w:val="32"/>
        </w:rPr>
        <w:t>日赴內政部及經濟部</w:t>
      </w:r>
      <w:r w:rsidR="005A5418" w:rsidRPr="00DC6A44">
        <w:rPr>
          <w:rFonts w:hAnsi="標楷體" w:hint="eastAsia"/>
          <w:szCs w:val="32"/>
        </w:rPr>
        <w:t>現勘及聽取業務說明</w:t>
      </w:r>
      <w:r w:rsidR="00DC6A44" w:rsidRPr="00DC6A44">
        <w:rPr>
          <w:rFonts w:hAnsi="標楷體" w:hint="eastAsia"/>
          <w:szCs w:val="32"/>
        </w:rPr>
        <w:t>後</w:t>
      </w:r>
      <w:r w:rsidR="005A5418" w:rsidRPr="00DC6A44">
        <w:rPr>
          <w:rFonts w:hAnsi="標楷體" w:hint="eastAsia"/>
          <w:szCs w:val="32"/>
        </w:rPr>
        <w:t>，</w:t>
      </w:r>
      <w:r w:rsidR="00DC6A44" w:rsidRPr="00DC6A44">
        <w:rPr>
          <w:rFonts w:hAnsi="標楷體" w:hint="eastAsia"/>
          <w:szCs w:val="32"/>
        </w:rPr>
        <w:t>再</w:t>
      </w:r>
      <w:r w:rsidR="005A5418" w:rsidRPr="00DC6A44">
        <w:rPr>
          <w:rFonts w:hAnsi="標楷體" w:hint="eastAsia"/>
          <w:szCs w:val="32"/>
        </w:rPr>
        <w:t>於</w:t>
      </w:r>
      <w:r w:rsidR="00DC6A44">
        <w:rPr>
          <w:rFonts w:hAnsi="標楷體" w:hint="eastAsia"/>
          <w:szCs w:val="32"/>
        </w:rPr>
        <w:t>同</w:t>
      </w:r>
      <w:r w:rsidR="005A5418" w:rsidRPr="00DC6A44">
        <w:rPr>
          <w:rFonts w:hAnsi="標楷體" w:hint="eastAsia"/>
          <w:szCs w:val="32"/>
        </w:rPr>
        <w:t>年2月8日詢問主計總處</w:t>
      </w:r>
      <w:r w:rsidR="001E3181" w:rsidRPr="001C3B19">
        <w:rPr>
          <w:rFonts w:hAnsi="標楷體" w:hint="eastAsia"/>
        </w:rPr>
        <w:t>副主計長蔡鴻坤</w:t>
      </w:r>
      <w:r w:rsidR="005A5418" w:rsidRPr="00DC6A44">
        <w:rPr>
          <w:rFonts w:hAnsi="標楷體" w:hint="eastAsia"/>
          <w:szCs w:val="32"/>
        </w:rPr>
        <w:t>、內政部</w:t>
      </w:r>
      <w:r w:rsidR="001E3181" w:rsidRPr="001C3B19">
        <w:rPr>
          <w:rFonts w:hAnsi="標楷體" w:hint="eastAsia"/>
        </w:rPr>
        <w:t>常務次長林慈玲</w:t>
      </w:r>
      <w:r w:rsidR="005A5418" w:rsidRPr="00DC6A44">
        <w:rPr>
          <w:rFonts w:hAnsi="標楷體" w:hint="eastAsia"/>
          <w:szCs w:val="32"/>
        </w:rPr>
        <w:t>、經濟部</w:t>
      </w:r>
      <w:r w:rsidR="001E3181" w:rsidRPr="001C3B19">
        <w:rPr>
          <w:rFonts w:hAnsi="標楷體" w:hint="eastAsia"/>
        </w:rPr>
        <w:t>政務次長沈榮津</w:t>
      </w:r>
      <w:r w:rsidR="005A5418" w:rsidRPr="00DC6A44">
        <w:rPr>
          <w:rFonts w:hAnsi="標楷體" w:hint="eastAsia"/>
          <w:szCs w:val="32"/>
        </w:rPr>
        <w:t>、農委會</w:t>
      </w:r>
      <w:r w:rsidR="001E3181" w:rsidRPr="001C3B19">
        <w:rPr>
          <w:rFonts w:hAnsi="標楷體" w:hint="eastAsia"/>
        </w:rPr>
        <w:t>副主任委員翁章梁</w:t>
      </w:r>
      <w:r w:rsidR="005A5418" w:rsidRPr="00DC6A44">
        <w:rPr>
          <w:rFonts w:hAnsi="標楷體" w:hint="eastAsia"/>
          <w:szCs w:val="32"/>
        </w:rPr>
        <w:t>、通傳會</w:t>
      </w:r>
      <w:r w:rsidR="001E3181" w:rsidRPr="001C3B19">
        <w:rPr>
          <w:rFonts w:hAnsi="標楷體" w:hint="eastAsia"/>
        </w:rPr>
        <w:t>副主任委員翁柏宗</w:t>
      </w:r>
      <w:r w:rsidR="005A5418" w:rsidRPr="00DC6A44">
        <w:rPr>
          <w:rFonts w:hAnsi="標楷體" w:hint="eastAsia"/>
          <w:szCs w:val="32"/>
        </w:rPr>
        <w:t>及國防部</w:t>
      </w:r>
      <w:r w:rsidR="001E3181" w:rsidRPr="001C3B19">
        <w:rPr>
          <w:rFonts w:hAnsi="標楷體" w:hint="eastAsia"/>
        </w:rPr>
        <w:t>政治作戰局</w:t>
      </w:r>
      <w:r w:rsidR="001E3181">
        <w:rPr>
          <w:rFonts w:hAnsi="標楷體" w:hint="eastAsia"/>
        </w:rPr>
        <w:t>局長</w:t>
      </w:r>
      <w:r w:rsidR="001E3181" w:rsidRPr="001C3B19">
        <w:rPr>
          <w:rFonts w:hAnsi="標楷體" w:hint="eastAsia"/>
        </w:rPr>
        <w:t>聞政國</w:t>
      </w:r>
      <w:r w:rsidR="001E3181">
        <w:rPr>
          <w:rFonts w:hAnsi="標楷體" w:hint="eastAsia"/>
        </w:rPr>
        <w:t>等</w:t>
      </w:r>
      <w:r w:rsidR="00DC6A44" w:rsidRPr="00DC6A44">
        <w:rPr>
          <w:rFonts w:hAnsi="標楷體" w:hint="eastAsia"/>
          <w:szCs w:val="32"/>
        </w:rPr>
        <w:t>主管</w:t>
      </w:r>
      <w:r w:rsidR="00DC6A44">
        <w:rPr>
          <w:rFonts w:hAnsi="標楷體" w:hint="eastAsia"/>
          <w:szCs w:val="32"/>
        </w:rPr>
        <w:t>人員</w:t>
      </w:r>
      <w:r w:rsidR="001E3181">
        <w:rPr>
          <w:rFonts w:hAnsi="標楷體" w:hint="eastAsia"/>
          <w:szCs w:val="32"/>
        </w:rPr>
        <w:t>與各部會業管人員</w:t>
      </w:r>
      <w:r w:rsidR="00DC6A44" w:rsidRPr="00DC6A44">
        <w:rPr>
          <w:rFonts w:hAnsi="標楷體" w:hint="eastAsia"/>
          <w:szCs w:val="32"/>
        </w:rPr>
        <w:t>後，業已調查竣事，茲臚列調查意見如下：</w:t>
      </w:r>
    </w:p>
    <w:p w:rsidR="00D202B9" w:rsidRPr="00DC6A44" w:rsidRDefault="00D202B9" w:rsidP="00A639F4">
      <w:pPr>
        <w:pStyle w:val="10"/>
        <w:ind w:left="680" w:firstLine="680"/>
        <w:rPr>
          <w:rFonts w:hAnsi="標楷體"/>
          <w:szCs w:val="32"/>
        </w:rPr>
      </w:pPr>
    </w:p>
    <w:p w:rsidR="007213D9" w:rsidRPr="00D1173F" w:rsidRDefault="004B281A" w:rsidP="00182E9D">
      <w:pPr>
        <w:pStyle w:val="2"/>
        <w:ind w:rightChars="141" w:right="480"/>
        <w:rPr>
          <w:b/>
          <w:szCs w:val="32"/>
        </w:rPr>
      </w:pPr>
      <w:r w:rsidRPr="00D1173F">
        <w:rPr>
          <w:rFonts w:hint="eastAsia"/>
          <w:b/>
          <w:szCs w:val="32"/>
        </w:rPr>
        <w:t>有關</w:t>
      </w:r>
      <w:r w:rsidRPr="00D1173F">
        <w:rPr>
          <w:b/>
          <w:szCs w:val="32"/>
        </w:rPr>
        <w:t>104</w:t>
      </w:r>
      <w:r w:rsidRPr="00D1173F">
        <w:rPr>
          <w:rFonts w:hint="eastAsia"/>
          <w:b/>
          <w:szCs w:val="32"/>
        </w:rPr>
        <w:t>年度中央政府總決算審核報告所指經檢討應進行裁併之17個非營業特種基金，計有「中央都市更新基金」等4個基金已完成裁併或已有確切裁併進程，餘13個基金囿於配合行政院組織改造</w:t>
      </w:r>
      <w:r w:rsidR="001C3DEA">
        <w:rPr>
          <w:rFonts w:hint="eastAsia"/>
          <w:b/>
          <w:szCs w:val="32"/>
        </w:rPr>
        <w:t>時</w:t>
      </w:r>
      <w:r w:rsidRPr="00D1173F">
        <w:rPr>
          <w:rFonts w:hint="eastAsia"/>
          <w:b/>
          <w:szCs w:val="32"/>
        </w:rPr>
        <w:t>程、基金設置法源修正需要及興辦業務尚未完成等因素，列為中長期裁併目標，主計總處允宜依該總處104年8月4日函發之檢討結果彙總表，密切配合行政院</w:t>
      </w:r>
      <w:r w:rsidR="001C3DEA">
        <w:rPr>
          <w:rFonts w:hint="eastAsia"/>
          <w:b/>
          <w:szCs w:val="32"/>
        </w:rPr>
        <w:t>之</w:t>
      </w:r>
      <w:r w:rsidRPr="00D1173F">
        <w:rPr>
          <w:rFonts w:hint="eastAsia"/>
          <w:b/>
          <w:szCs w:val="32"/>
        </w:rPr>
        <w:t>組織改造</w:t>
      </w:r>
      <w:r w:rsidR="001C3DEA">
        <w:rPr>
          <w:rFonts w:hint="eastAsia"/>
          <w:b/>
          <w:szCs w:val="32"/>
        </w:rPr>
        <w:t>及修法等進度</w:t>
      </w:r>
      <w:r w:rsidRPr="00D1173F">
        <w:rPr>
          <w:rFonts w:hint="eastAsia"/>
          <w:b/>
          <w:szCs w:val="32"/>
        </w:rPr>
        <w:t>，持續推動案關13個</w:t>
      </w:r>
      <w:r>
        <w:rPr>
          <w:rFonts w:hint="eastAsia"/>
          <w:b/>
          <w:szCs w:val="32"/>
        </w:rPr>
        <w:t>基金之整併作業</w:t>
      </w:r>
      <w:r w:rsidR="007213D9" w:rsidRPr="00D1173F">
        <w:rPr>
          <w:rFonts w:hint="eastAsia"/>
          <w:b/>
          <w:szCs w:val="32"/>
        </w:rPr>
        <w:t>。</w:t>
      </w:r>
    </w:p>
    <w:p w:rsidR="00AB6EA6" w:rsidRPr="00B57E29" w:rsidRDefault="00AB6EA6" w:rsidP="00182E9D">
      <w:pPr>
        <w:pStyle w:val="3"/>
        <w:ind w:rightChars="99" w:right="337"/>
      </w:pPr>
      <w:r>
        <w:rPr>
          <w:rFonts w:hint="eastAsia"/>
        </w:rPr>
        <w:t>緣</w:t>
      </w:r>
      <w:r w:rsidR="00B57E29">
        <w:rPr>
          <w:rFonts w:cs="標楷體" w:hint="eastAsia"/>
          <w:kern w:val="0"/>
          <w:szCs w:val="32"/>
          <w:lang w:val="zh-TW"/>
        </w:rPr>
        <w:t>立法院於審議104年度中央政府總預算案歲出部分</w:t>
      </w:r>
      <w:r w:rsidR="006024FC">
        <w:rPr>
          <w:rFonts w:cs="標楷體" w:hint="eastAsia"/>
          <w:kern w:val="0"/>
          <w:szCs w:val="32"/>
          <w:lang w:val="zh-TW"/>
        </w:rPr>
        <w:t>行政</w:t>
      </w:r>
      <w:r w:rsidR="00B57E29">
        <w:rPr>
          <w:rFonts w:cs="標楷體" w:hint="eastAsia"/>
          <w:kern w:val="0"/>
          <w:szCs w:val="32"/>
          <w:lang w:val="zh-TW"/>
        </w:rPr>
        <w:t>院主管第17項決議：……我國非營業特種基金數目繁多，非但未配合中央政府組織改造予以檢討，其收支更時有違反</w:t>
      </w:r>
      <w:r w:rsidR="00D31B5B">
        <w:rPr>
          <w:rFonts w:cs="標楷體" w:hint="eastAsia"/>
          <w:kern w:val="0"/>
          <w:szCs w:val="32"/>
          <w:lang w:val="zh-TW"/>
        </w:rPr>
        <w:t>「</w:t>
      </w:r>
      <w:r w:rsidR="00B57E29">
        <w:rPr>
          <w:rFonts w:cs="標楷體" w:hint="eastAsia"/>
          <w:kern w:val="0"/>
          <w:szCs w:val="32"/>
          <w:lang w:val="zh-TW"/>
        </w:rPr>
        <w:t>預算法</w:t>
      </w:r>
      <w:r w:rsidR="00D31B5B">
        <w:rPr>
          <w:rFonts w:cs="標楷體" w:hint="eastAsia"/>
          <w:kern w:val="0"/>
          <w:szCs w:val="32"/>
          <w:lang w:val="zh-TW"/>
        </w:rPr>
        <w:t>」</w:t>
      </w:r>
      <w:r w:rsidR="00B57E29">
        <w:rPr>
          <w:rFonts w:cs="標楷體" w:hint="eastAsia"/>
          <w:kern w:val="0"/>
          <w:szCs w:val="32"/>
          <w:lang w:val="zh-TW"/>
        </w:rPr>
        <w:t>或替代普通基金而形成所屬機關「小金庫」</w:t>
      </w:r>
      <w:r w:rsidR="006024FC">
        <w:rPr>
          <w:rFonts w:cs="標楷體" w:hint="eastAsia"/>
          <w:kern w:val="0"/>
          <w:szCs w:val="32"/>
          <w:lang w:val="zh-TW"/>
        </w:rPr>
        <w:t>，且</w:t>
      </w:r>
      <w:r w:rsidR="00B57E29">
        <w:rPr>
          <w:rFonts w:cs="標楷體" w:hint="eastAsia"/>
          <w:kern w:val="0"/>
          <w:szCs w:val="32"/>
          <w:lang w:val="zh-TW"/>
        </w:rPr>
        <w:t>非營業特種基金之舉借，近年對我國財政紀律產生嚴重影響</w:t>
      </w:r>
      <w:r w:rsidR="006024FC">
        <w:rPr>
          <w:rFonts w:cs="標楷體" w:hint="eastAsia"/>
          <w:kern w:val="0"/>
          <w:szCs w:val="32"/>
          <w:lang w:val="zh-TW"/>
        </w:rPr>
        <w:t>等情</w:t>
      </w:r>
      <w:r w:rsidR="00B57E29">
        <w:rPr>
          <w:rFonts w:cs="標楷體" w:hint="eastAsia"/>
          <w:kern w:val="0"/>
          <w:szCs w:val="32"/>
          <w:lang w:val="zh-TW"/>
        </w:rPr>
        <w:t>。爰</w:t>
      </w:r>
      <w:r w:rsidR="004D1AAE">
        <w:rPr>
          <w:rFonts w:cs="標楷體" w:hint="eastAsia"/>
          <w:kern w:val="0"/>
          <w:szCs w:val="32"/>
          <w:lang w:val="zh-TW"/>
        </w:rPr>
        <w:t>請</w:t>
      </w:r>
      <w:r w:rsidR="00B57E29">
        <w:rPr>
          <w:rFonts w:cs="標楷體" w:hint="eastAsia"/>
          <w:kern w:val="0"/>
          <w:szCs w:val="32"/>
          <w:lang w:val="zh-TW"/>
        </w:rPr>
        <w:t>行政院於1個月內，要求各部會檢討所屬非營業特種基金</w:t>
      </w:r>
      <w:r w:rsidR="00D202B9">
        <w:rPr>
          <w:rFonts w:cs="標楷體" w:hint="eastAsia"/>
          <w:kern w:val="0"/>
          <w:szCs w:val="32"/>
          <w:lang w:val="zh-TW"/>
        </w:rPr>
        <w:t>存在</w:t>
      </w:r>
      <w:r w:rsidR="00B57E29">
        <w:rPr>
          <w:rFonts w:cs="標楷體" w:hint="eastAsia"/>
          <w:kern w:val="0"/>
          <w:szCs w:val="32"/>
          <w:lang w:val="zh-TW"/>
        </w:rPr>
        <w:t>之必要性。行政院</w:t>
      </w:r>
      <w:r w:rsidR="00337A87">
        <w:rPr>
          <w:rFonts w:cs="標楷體" w:hint="eastAsia"/>
          <w:kern w:val="0"/>
          <w:szCs w:val="32"/>
          <w:lang w:val="zh-TW"/>
        </w:rPr>
        <w:t>嗣</w:t>
      </w:r>
      <w:r w:rsidR="00B57E29">
        <w:rPr>
          <w:rFonts w:cs="標楷體" w:hint="eastAsia"/>
          <w:kern w:val="0"/>
          <w:szCs w:val="32"/>
          <w:lang w:val="zh-TW"/>
        </w:rPr>
        <w:t>於104年2月間將上開決議轉請主計總處及各非營業特種基金之主管機關依規定辦理。</w:t>
      </w:r>
    </w:p>
    <w:p w:rsidR="00337A87" w:rsidRPr="00337A87" w:rsidRDefault="00B57E29" w:rsidP="009C0194">
      <w:pPr>
        <w:pStyle w:val="3"/>
        <w:ind w:rightChars="57" w:right="194"/>
      </w:pPr>
      <w:r>
        <w:rPr>
          <w:rFonts w:hint="eastAsia"/>
        </w:rPr>
        <w:t>復以主計總處</w:t>
      </w:r>
      <w:r>
        <w:rPr>
          <w:rFonts w:hAnsi="標楷體" w:hint="eastAsia"/>
          <w:szCs w:val="32"/>
        </w:rPr>
        <w:t>參酌以往立法院決議及審計部之建議等，就既有基金進行檢討，針對內政部等主管機</w:t>
      </w:r>
      <w:r w:rsidR="00D202B9">
        <w:rPr>
          <w:rFonts w:hAnsi="標楷體" w:hint="eastAsia"/>
          <w:szCs w:val="32"/>
        </w:rPr>
        <w:t>關所屬非營業特種基金提出整併</w:t>
      </w:r>
      <w:r>
        <w:rPr>
          <w:rFonts w:hAnsi="標楷體" w:hint="eastAsia"/>
          <w:szCs w:val="32"/>
        </w:rPr>
        <w:t>方向，</w:t>
      </w:r>
      <w:r w:rsidR="00337A87">
        <w:rPr>
          <w:rFonts w:hAnsi="標楷體" w:hint="eastAsia"/>
          <w:szCs w:val="32"/>
        </w:rPr>
        <w:t>前</w:t>
      </w:r>
      <w:r>
        <w:rPr>
          <w:rFonts w:hAnsi="標楷體" w:hint="eastAsia"/>
          <w:szCs w:val="32"/>
        </w:rPr>
        <w:t>於103年12月25日召開「研商中央政府非營業特種基金整併及裁撤之檢討會議」，決議對內政部</w:t>
      </w:r>
      <w:r w:rsidR="00337A87">
        <w:rPr>
          <w:rFonts w:hAnsi="標楷體" w:hint="eastAsia"/>
          <w:szCs w:val="32"/>
        </w:rPr>
        <w:t>「</w:t>
      </w:r>
      <w:r>
        <w:rPr>
          <w:rFonts w:hAnsi="標楷體" w:hint="eastAsia"/>
          <w:szCs w:val="32"/>
        </w:rPr>
        <w:t>營建建設基金</w:t>
      </w:r>
      <w:r w:rsidR="00337A87">
        <w:rPr>
          <w:rFonts w:hAnsi="標楷體" w:hint="eastAsia"/>
          <w:szCs w:val="32"/>
        </w:rPr>
        <w:t>」</w:t>
      </w:r>
      <w:r>
        <w:rPr>
          <w:rFonts w:hAnsi="標楷體" w:hint="eastAsia"/>
          <w:szCs w:val="32"/>
        </w:rPr>
        <w:t>等24</w:t>
      </w:r>
      <w:r w:rsidR="00D202B9">
        <w:rPr>
          <w:rFonts w:hAnsi="標楷體" w:hint="eastAsia"/>
          <w:szCs w:val="32"/>
        </w:rPr>
        <w:t>個基金提出研議</w:t>
      </w:r>
      <w:r>
        <w:rPr>
          <w:rFonts w:hAnsi="標楷體" w:hint="eastAsia"/>
          <w:szCs w:val="32"/>
        </w:rPr>
        <w:t>整併或裁撤方向，行政院並於104年1月20日函</w:t>
      </w:r>
      <w:r w:rsidR="00926F86">
        <w:rPr>
          <w:rStyle w:val="aff1"/>
          <w:rFonts w:hAnsi="標楷體"/>
          <w:szCs w:val="32"/>
        </w:rPr>
        <w:footnoteReference w:id="1"/>
      </w:r>
      <w:r>
        <w:rPr>
          <w:rFonts w:hAnsi="標楷體" w:hint="eastAsia"/>
          <w:szCs w:val="32"/>
        </w:rPr>
        <w:t>請相關機關依會議決議辦理。</w:t>
      </w:r>
      <w:r w:rsidR="00337A87">
        <w:rPr>
          <w:rFonts w:hAnsi="標楷體" w:hint="eastAsia"/>
          <w:szCs w:val="32"/>
        </w:rPr>
        <w:t>再</w:t>
      </w:r>
      <w:r>
        <w:rPr>
          <w:rFonts w:hAnsi="標楷體" w:hint="eastAsia"/>
          <w:szCs w:val="32"/>
        </w:rPr>
        <w:t>為應上開立法院決議要求，主計總處</w:t>
      </w:r>
      <w:r>
        <w:rPr>
          <w:rFonts w:hAnsi="標楷體" w:hint="eastAsia"/>
          <w:szCs w:val="32"/>
        </w:rPr>
        <w:lastRenderedPageBreak/>
        <w:t>於104年2</w:t>
      </w:r>
      <w:r w:rsidR="00337A87">
        <w:rPr>
          <w:rFonts w:hAnsi="標楷體" w:hint="eastAsia"/>
          <w:szCs w:val="32"/>
        </w:rPr>
        <w:t>月間</w:t>
      </w:r>
      <w:r>
        <w:rPr>
          <w:rFonts w:hAnsi="標楷體" w:hint="eastAsia"/>
          <w:szCs w:val="32"/>
        </w:rPr>
        <w:t>以書函請各主管機關依立法院決議及「中央政府非營業特種基金設立及存續原則」規定等，通盤檢討所屬非營業特種基金</w:t>
      </w:r>
      <w:r w:rsidR="00D202B9">
        <w:rPr>
          <w:rFonts w:hAnsi="標楷體" w:hint="eastAsia"/>
          <w:szCs w:val="32"/>
        </w:rPr>
        <w:t>存在</w:t>
      </w:r>
      <w:r>
        <w:rPr>
          <w:rFonts w:hAnsi="標楷體" w:hint="eastAsia"/>
          <w:szCs w:val="32"/>
        </w:rPr>
        <w:t>之必要性。</w:t>
      </w:r>
    </w:p>
    <w:p w:rsidR="00B57E29" w:rsidRPr="00B57E29" w:rsidRDefault="006024FC" w:rsidP="00AB6EA6">
      <w:pPr>
        <w:pStyle w:val="3"/>
      </w:pPr>
      <w:r>
        <w:rPr>
          <w:rFonts w:hAnsi="標楷體" w:hint="eastAsia"/>
          <w:szCs w:val="32"/>
        </w:rPr>
        <w:t>嗣</w:t>
      </w:r>
      <w:r w:rsidR="00B57E29">
        <w:rPr>
          <w:rFonts w:hAnsi="標楷體" w:hint="eastAsia"/>
          <w:szCs w:val="32"/>
        </w:rPr>
        <w:t>經主計總處彙總各主管機關函復檢討結果，及依</w:t>
      </w:r>
      <w:r>
        <w:rPr>
          <w:rFonts w:hAnsi="標楷體" w:hint="eastAsia"/>
          <w:szCs w:val="32"/>
        </w:rPr>
        <w:t>前揭</w:t>
      </w:r>
      <w:r w:rsidR="00B57E29">
        <w:rPr>
          <w:rFonts w:hAnsi="標楷體" w:hint="eastAsia"/>
          <w:szCs w:val="32"/>
        </w:rPr>
        <w:t>103年12月25日會議決議，計有內政部</w:t>
      </w:r>
      <w:r w:rsidR="001539C0">
        <w:rPr>
          <w:rFonts w:hAnsi="標楷體" w:hint="eastAsia"/>
          <w:szCs w:val="32"/>
        </w:rPr>
        <w:t>「</w:t>
      </w:r>
      <w:r w:rsidR="00B57E29">
        <w:rPr>
          <w:rFonts w:hAnsi="標楷體" w:hint="eastAsia"/>
          <w:szCs w:val="32"/>
        </w:rPr>
        <w:t>營建建設基金</w:t>
      </w:r>
      <w:r w:rsidR="001539C0">
        <w:rPr>
          <w:rFonts w:hAnsi="標楷體" w:hint="eastAsia"/>
          <w:szCs w:val="32"/>
        </w:rPr>
        <w:t>」</w:t>
      </w:r>
      <w:r w:rsidR="00B57E29">
        <w:rPr>
          <w:rFonts w:hAnsi="標楷體" w:hint="eastAsia"/>
          <w:szCs w:val="32"/>
        </w:rPr>
        <w:t>等17</w:t>
      </w:r>
      <w:r w:rsidR="00D202B9">
        <w:rPr>
          <w:rFonts w:hAnsi="標楷體" w:hint="eastAsia"/>
          <w:szCs w:val="32"/>
        </w:rPr>
        <w:t>個基金之檢討結果，須賡續辦理基金整併或裁撤</w:t>
      </w:r>
      <w:r w:rsidR="00B57E29">
        <w:rPr>
          <w:rFonts w:hAnsi="標楷體" w:hint="eastAsia"/>
          <w:szCs w:val="32"/>
        </w:rPr>
        <w:t>作業。主計總處</w:t>
      </w:r>
      <w:r w:rsidR="00337A87">
        <w:rPr>
          <w:rFonts w:hAnsi="標楷體" w:hint="eastAsia"/>
          <w:szCs w:val="32"/>
        </w:rPr>
        <w:t>爰</w:t>
      </w:r>
      <w:r w:rsidR="00B57E29">
        <w:rPr>
          <w:rFonts w:hAnsi="標楷體" w:hint="eastAsia"/>
          <w:szCs w:val="32"/>
        </w:rPr>
        <w:t>於104年8月4日以主基作字第1040200662號函（下稱主計總處104年8月4日函）請各非營業特種基金之主管機關依</w:t>
      </w:r>
      <w:r w:rsidR="00D202B9">
        <w:rPr>
          <w:rFonts w:hAnsi="標楷體" w:hint="eastAsia"/>
          <w:szCs w:val="32"/>
        </w:rPr>
        <w:t>研議</w:t>
      </w:r>
      <w:r w:rsidR="00B57E29">
        <w:rPr>
          <w:rFonts w:hAnsi="標楷體" w:hint="eastAsia"/>
          <w:szCs w:val="32"/>
        </w:rPr>
        <w:t>結果辦理</w:t>
      </w:r>
      <w:r w:rsidR="00337A87">
        <w:rPr>
          <w:rFonts w:hAnsi="標楷體" w:hint="eastAsia"/>
          <w:szCs w:val="32"/>
        </w:rPr>
        <w:t>後續裁併事宜</w:t>
      </w:r>
      <w:r w:rsidR="00B57E29">
        <w:rPr>
          <w:rFonts w:hAnsi="標楷體" w:hint="eastAsia"/>
          <w:szCs w:val="32"/>
        </w:rPr>
        <w:t>。</w:t>
      </w:r>
    </w:p>
    <w:p w:rsidR="00B57E29" w:rsidRPr="005378A0" w:rsidRDefault="00B57E29" w:rsidP="00AB6EA6">
      <w:pPr>
        <w:pStyle w:val="3"/>
      </w:pPr>
      <w:r>
        <w:rPr>
          <w:rFonts w:hAnsi="標楷體" w:hint="eastAsia"/>
          <w:szCs w:val="32"/>
        </w:rPr>
        <w:t>經查，主計總處104年8月4</w:t>
      </w:r>
      <w:r w:rsidR="00D202B9">
        <w:rPr>
          <w:rFonts w:hAnsi="標楷體" w:hint="eastAsia"/>
          <w:szCs w:val="32"/>
        </w:rPr>
        <w:t>日函附「非營業特種基金存續必要性、整併</w:t>
      </w:r>
      <w:r>
        <w:rPr>
          <w:rFonts w:hAnsi="標楷體" w:hint="eastAsia"/>
          <w:szCs w:val="32"/>
        </w:rPr>
        <w:t>及</w:t>
      </w:r>
      <w:r w:rsidR="005378A0">
        <w:rPr>
          <w:rFonts w:hAnsi="標楷體" w:hint="eastAsia"/>
          <w:szCs w:val="32"/>
        </w:rPr>
        <w:t>規劃之檢討結果彙總表」所列17</w:t>
      </w:r>
      <w:r w:rsidR="00926F86">
        <w:rPr>
          <w:rFonts w:hAnsi="標楷體" w:hint="eastAsia"/>
          <w:szCs w:val="32"/>
        </w:rPr>
        <w:t>個</w:t>
      </w:r>
      <w:r w:rsidR="005378A0">
        <w:rPr>
          <w:rFonts w:hAnsi="標楷體" w:hint="eastAsia"/>
          <w:szCs w:val="32"/>
        </w:rPr>
        <w:t>非營業特種基金，迄106年2月之裁併</w:t>
      </w:r>
      <w:r w:rsidR="00D245FF">
        <w:rPr>
          <w:rFonts w:hAnsi="標楷體" w:hint="eastAsia"/>
          <w:szCs w:val="32"/>
        </w:rPr>
        <w:t>辦理</w:t>
      </w:r>
      <w:r w:rsidR="005378A0">
        <w:rPr>
          <w:rFonts w:hAnsi="標楷體" w:hint="eastAsia"/>
          <w:szCs w:val="32"/>
        </w:rPr>
        <w:t>結果如下：</w:t>
      </w:r>
    </w:p>
    <w:p w:rsidR="005378A0" w:rsidRPr="005378A0" w:rsidRDefault="005378A0" w:rsidP="005378A0">
      <w:pPr>
        <w:pStyle w:val="4"/>
      </w:pPr>
      <w:r>
        <w:rPr>
          <w:rFonts w:hint="eastAsia"/>
        </w:rPr>
        <w:t>已完成整併及有明確整併時程者，計有「中央都市更新基金」等</w:t>
      </w:r>
      <w:r w:rsidR="00E52162">
        <w:rPr>
          <w:rFonts w:hint="eastAsia"/>
        </w:rPr>
        <w:t>4個</w:t>
      </w:r>
      <w:r>
        <w:rPr>
          <w:rFonts w:hint="eastAsia"/>
        </w:rPr>
        <w:t>基金，相關裁併情形如下：</w:t>
      </w:r>
    </w:p>
    <w:p w:rsidR="005378A0" w:rsidRPr="000B3EE4" w:rsidRDefault="005378A0" w:rsidP="005378A0">
      <w:pPr>
        <w:pStyle w:val="5"/>
      </w:pPr>
      <w:r>
        <w:rPr>
          <w:rFonts w:hint="eastAsia"/>
        </w:rPr>
        <w:t>「中央都市更新基金」已於105年度循預算程序，整併為</w:t>
      </w:r>
      <w:r w:rsidR="00337A87">
        <w:rPr>
          <w:rFonts w:hint="eastAsia"/>
        </w:rPr>
        <w:t>「</w:t>
      </w:r>
      <w:r>
        <w:rPr>
          <w:rFonts w:hint="eastAsia"/>
        </w:rPr>
        <w:t>營建建設基金</w:t>
      </w:r>
      <w:r w:rsidR="00337A87">
        <w:rPr>
          <w:rFonts w:hint="eastAsia"/>
        </w:rPr>
        <w:t>」</w:t>
      </w:r>
      <w:r>
        <w:rPr>
          <w:rFonts w:hint="eastAsia"/>
        </w:rPr>
        <w:t>之分預算。</w:t>
      </w:r>
    </w:p>
    <w:p w:rsidR="005378A0" w:rsidRPr="000B3EE4" w:rsidRDefault="005378A0" w:rsidP="005378A0">
      <w:pPr>
        <w:pStyle w:val="5"/>
      </w:pPr>
      <w:r>
        <w:rPr>
          <w:rFonts w:hint="eastAsia"/>
        </w:rPr>
        <w:t>「漁產平準基金」已於105年度循預算程序併入</w:t>
      </w:r>
      <w:r w:rsidR="00337A87">
        <w:rPr>
          <w:rFonts w:hint="eastAsia"/>
        </w:rPr>
        <w:t>「</w:t>
      </w:r>
      <w:r>
        <w:rPr>
          <w:rFonts w:hint="eastAsia"/>
        </w:rPr>
        <w:t>農業發展基金</w:t>
      </w:r>
      <w:r w:rsidR="00337A87">
        <w:rPr>
          <w:rFonts w:hint="eastAsia"/>
        </w:rPr>
        <w:t>」</w:t>
      </w:r>
      <w:r>
        <w:rPr>
          <w:rFonts w:hint="eastAsia"/>
        </w:rPr>
        <w:t>。</w:t>
      </w:r>
      <w:r w:rsidRPr="000B3EE4">
        <w:rPr>
          <w:rFonts w:hint="eastAsia"/>
          <w:color w:val="FF0000"/>
          <w:sz w:val="24"/>
        </w:rPr>
        <w:t xml:space="preserve"> </w:t>
      </w:r>
    </w:p>
    <w:p w:rsidR="005378A0" w:rsidRPr="000B3EE4" w:rsidRDefault="00926F86" w:rsidP="005378A0">
      <w:pPr>
        <w:pStyle w:val="5"/>
      </w:pPr>
      <w:r>
        <w:rPr>
          <w:rFonts w:hint="eastAsia"/>
        </w:rPr>
        <w:t>「</w:t>
      </w:r>
      <w:r w:rsidRPr="00926F86">
        <w:rPr>
          <w:rFonts w:hint="eastAsia"/>
        </w:rPr>
        <w:t>警察消防海巡移民空勤人員及協勤民力安全基金</w:t>
      </w:r>
      <w:r>
        <w:rPr>
          <w:rFonts w:hint="eastAsia"/>
        </w:rPr>
        <w:t>」（下稱</w:t>
      </w:r>
      <w:r w:rsidR="005378A0">
        <w:rPr>
          <w:rFonts w:hint="eastAsia"/>
        </w:rPr>
        <w:t>「警民基金」</w:t>
      </w:r>
      <w:r>
        <w:rPr>
          <w:rFonts w:hint="eastAsia"/>
        </w:rPr>
        <w:t>）</w:t>
      </w:r>
      <w:r w:rsidR="005378A0">
        <w:rPr>
          <w:rFonts w:hint="eastAsia"/>
        </w:rPr>
        <w:t>與</w:t>
      </w:r>
      <w:r>
        <w:rPr>
          <w:rFonts w:hint="eastAsia"/>
        </w:rPr>
        <w:t>「</w:t>
      </w:r>
      <w:r w:rsidR="004D1AAE" w:rsidRPr="003F3E8E">
        <w:rPr>
          <w:rFonts w:hAnsi="標楷體" w:hint="eastAsia"/>
          <w:szCs w:val="32"/>
        </w:rPr>
        <w:t>警察及消防人員安全濟助基金</w:t>
      </w:r>
      <w:r w:rsidR="004D1AAE">
        <w:rPr>
          <w:rFonts w:hAnsi="標楷體" w:hint="eastAsia"/>
          <w:szCs w:val="32"/>
        </w:rPr>
        <w:t>」</w:t>
      </w:r>
      <w:r w:rsidR="004D1AAE" w:rsidRPr="00B94C37">
        <w:rPr>
          <w:rFonts w:hAnsi="標楷體"/>
          <w:szCs w:val="32"/>
        </w:rPr>
        <w:t>(</w:t>
      </w:r>
      <w:r w:rsidR="004D1AAE" w:rsidRPr="00B94C37">
        <w:rPr>
          <w:rFonts w:hAnsi="標楷體" w:hint="eastAsia"/>
          <w:szCs w:val="32"/>
        </w:rPr>
        <w:t>下稱「警安基金」)</w:t>
      </w:r>
      <w:r w:rsidR="005378A0">
        <w:rPr>
          <w:rFonts w:hint="eastAsia"/>
        </w:rPr>
        <w:t>整併辦理經過及預計完成時程</w:t>
      </w:r>
    </w:p>
    <w:p w:rsidR="005378A0" w:rsidRPr="00EA17E8" w:rsidRDefault="005378A0" w:rsidP="00182E9D">
      <w:pPr>
        <w:pStyle w:val="6"/>
        <w:ind w:rightChars="16" w:right="54"/>
      </w:pPr>
      <w:r w:rsidRPr="00EA17E8">
        <w:rPr>
          <w:rFonts w:hint="eastAsia"/>
        </w:rPr>
        <w:t>主計總處於104年6月5日主基法字第1040200486號函復內政部略以：｢依中央政府特種基金管理準則第16條規定，循預算程序將警安基金併入警民基金，尚屬妥適｣</w:t>
      </w:r>
      <w:r w:rsidR="00337A87">
        <w:rPr>
          <w:rFonts w:hint="eastAsia"/>
        </w:rPr>
        <w:t>。</w:t>
      </w:r>
      <w:r w:rsidRPr="00EA17E8">
        <w:rPr>
          <w:rFonts w:hint="eastAsia"/>
        </w:rPr>
        <w:t>內政部爰依上開函示，擬具「警察消防海巡</w:t>
      </w:r>
      <w:r w:rsidRPr="00EA17E8">
        <w:rPr>
          <w:rFonts w:hint="eastAsia"/>
        </w:rPr>
        <w:lastRenderedPageBreak/>
        <w:t>移民空勤人員及協勤民力安全金發給辦法」、「警察消防海巡移民空勤機關協勤民力人員範圍」修正草案及其修正總說明，於104年8月11日函請行政院海岸巡防署等機關提供修正意見，復於104年11月20日及105年2月4</w:t>
      </w:r>
      <w:r w:rsidR="006024FC">
        <w:rPr>
          <w:rFonts w:hint="eastAsia"/>
        </w:rPr>
        <w:t>日召開</w:t>
      </w:r>
      <w:r w:rsidRPr="00EA17E8">
        <w:rPr>
          <w:rFonts w:hint="eastAsia"/>
        </w:rPr>
        <w:t xml:space="preserve">「警民基金管理會」討論相關條文修正事宜，並經決議通過在案。 </w:t>
      </w:r>
    </w:p>
    <w:p w:rsidR="005378A0" w:rsidRPr="001B7F28" w:rsidRDefault="005378A0" w:rsidP="00182E9D">
      <w:pPr>
        <w:pStyle w:val="6"/>
        <w:ind w:rightChars="141" w:right="480"/>
      </w:pPr>
      <w:r w:rsidRPr="00EA17E8">
        <w:rPr>
          <w:rFonts w:hint="eastAsia"/>
        </w:rPr>
        <w:t>因本整併案須配合修正「警察消防海巡移民空勤人員及協勤民力安全金發給辦法」及「警察消防海巡移民空勤機關協勤民力人員範圍」</w:t>
      </w:r>
      <w:r w:rsidR="00337A87">
        <w:rPr>
          <w:rFonts w:hint="eastAsia"/>
        </w:rPr>
        <w:t>等</w:t>
      </w:r>
      <w:r w:rsidR="00E52162">
        <w:rPr>
          <w:rFonts w:hint="eastAsia"/>
        </w:rPr>
        <w:t>二</w:t>
      </w:r>
      <w:r w:rsidRPr="00EA17E8">
        <w:rPr>
          <w:rFonts w:hint="eastAsia"/>
        </w:rPr>
        <w:t>種法令，有關「警察消防海巡移民空勤機關協勤民力人員範圍」業於105年9月22日修正發布，另「警察消防海巡移民空勤人員及協勤民力安全金發給辦法</w:t>
      </w:r>
      <w:r w:rsidR="006024FC">
        <w:rPr>
          <w:rFonts w:hint="eastAsia"/>
        </w:rPr>
        <w:t>」亦</w:t>
      </w:r>
      <w:r w:rsidRPr="00EA17E8">
        <w:rPr>
          <w:rFonts w:hint="eastAsia"/>
        </w:rPr>
        <w:t>於105年10月25日召開審查會議</w:t>
      </w:r>
      <w:r w:rsidR="00D202B9">
        <w:rPr>
          <w:rFonts w:hint="eastAsia"/>
        </w:rPr>
        <w:t>，決議</w:t>
      </w:r>
      <w:r w:rsidRPr="00EA17E8">
        <w:rPr>
          <w:rFonts w:hint="eastAsia"/>
        </w:rPr>
        <w:t>自105年12月27日起至106年2月24日止辦理預告，預告期滿即可辦理後續法制作業事宜。內政部</w:t>
      </w:r>
      <w:r w:rsidR="00337A87">
        <w:rPr>
          <w:rFonts w:hint="eastAsia"/>
        </w:rPr>
        <w:t>嗣</w:t>
      </w:r>
      <w:r w:rsidRPr="00EA17E8">
        <w:rPr>
          <w:rFonts w:hint="eastAsia"/>
        </w:rPr>
        <w:t>於本院詢問會後</w:t>
      </w:r>
      <w:r>
        <w:rPr>
          <w:rFonts w:hint="eastAsia"/>
        </w:rPr>
        <w:t>查</w:t>
      </w:r>
      <w:r w:rsidRPr="00EA17E8">
        <w:rPr>
          <w:rFonts w:hint="eastAsia"/>
        </w:rPr>
        <w:t>復稱，預計106年度即可完成整併事宜。</w:t>
      </w:r>
      <w:r>
        <w:rPr>
          <w:rFonts w:hint="eastAsia"/>
          <w:color w:val="FF0000"/>
          <w:sz w:val="28"/>
          <w:szCs w:val="28"/>
        </w:rPr>
        <w:t xml:space="preserve"> </w:t>
      </w:r>
    </w:p>
    <w:p w:rsidR="005378A0" w:rsidRPr="00EA17E8" w:rsidRDefault="005378A0" w:rsidP="00182E9D">
      <w:pPr>
        <w:pStyle w:val="5"/>
        <w:ind w:rightChars="141" w:right="480"/>
      </w:pPr>
      <w:r>
        <w:rPr>
          <w:rFonts w:hint="eastAsia"/>
        </w:rPr>
        <w:t>「地方產業發展基金」</w:t>
      </w:r>
      <w:r w:rsidR="00337A87">
        <w:rPr>
          <w:rFonts w:hint="eastAsia"/>
        </w:rPr>
        <w:t>併入</w:t>
      </w:r>
      <w:r>
        <w:rPr>
          <w:rFonts w:hint="eastAsia"/>
        </w:rPr>
        <w:t>「中小企業發展基金」</w:t>
      </w:r>
      <w:r w:rsidR="00337A87">
        <w:rPr>
          <w:rFonts w:hint="eastAsia"/>
        </w:rPr>
        <w:t>之</w:t>
      </w:r>
      <w:r>
        <w:rPr>
          <w:rFonts w:hAnsi="標楷體" w:hint="eastAsia"/>
          <w:kern w:val="0"/>
        </w:rPr>
        <w:t>預計完成時程</w:t>
      </w:r>
    </w:p>
    <w:p w:rsidR="005378A0" w:rsidRDefault="005378A0" w:rsidP="00182E9D">
      <w:pPr>
        <w:pStyle w:val="52"/>
        <w:ind w:left="2041" w:rightChars="141" w:right="480" w:firstLine="680"/>
        <w:rPr>
          <w:noProof/>
        </w:rPr>
      </w:pPr>
      <w:r>
        <w:rPr>
          <w:rFonts w:hint="eastAsia"/>
        </w:rPr>
        <w:t>經濟部</w:t>
      </w:r>
      <w:r w:rsidRPr="000B1308">
        <w:t>於105年11月8日函報</w:t>
      </w:r>
      <w:r w:rsidRPr="000B1308">
        <w:rPr>
          <w:noProof/>
          <w:color w:val="000000"/>
        </w:rPr>
        <w:t>行政院</w:t>
      </w:r>
      <w:r w:rsidRPr="000B1308">
        <w:t>，擬</w:t>
      </w:r>
      <w:r>
        <w:rPr>
          <w:rFonts w:hint="eastAsia"/>
        </w:rPr>
        <w:t>將</w:t>
      </w:r>
      <w:r w:rsidRPr="000B1308">
        <w:t>「地</w:t>
      </w:r>
      <w:r>
        <w:rPr>
          <w:rFonts w:hint="eastAsia"/>
        </w:rPr>
        <w:t>方</w:t>
      </w:r>
      <w:r w:rsidRPr="000B1308">
        <w:t>產</w:t>
      </w:r>
      <w:r>
        <w:rPr>
          <w:rFonts w:hint="eastAsia"/>
        </w:rPr>
        <w:t>業發展</w:t>
      </w:r>
      <w:r w:rsidR="00A51370">
        <w:t>基金」</w:t>
      </w:r>
      <w:r>
        <w:rPr>
          <w:rFonts w:hint="eastAsia"/>
        </w:rPr>
        <w:t>整併為</w:t>
      </w:r>
      <w:r w:rsidR="00A51370" w:rsidRPr="000B1308">
        <w:t>「中小</w:t>
      </w:r>
      <w:r w:rsidR="00A51370">
        <w:rPr>
          <w:rFonts w:hint="eastAsia"/>
        </w:rPr>
        <w:t>企業發展基金</w:t>
      </w:r>
      <w:r w:rsidR="00A51370" w:rsidRPr="000B1308">
        <w:t>」</w:t>
      </w:r>
      <w:r w:rsidR="00A51370">
        <w:rPr>
          <w:rFonts w:hint="eastAsia"/>
        </w:rPr>
        <w:t>之</w:t>
      </w:r>
      <w:r w:rsidRPr="000B1308">
        <w:t>分基金</w:t>
      </w:r>
      <w:r>
        <w:rPr>
          <w:rFonts w:hint="eastAsia"/>
        </w:rPr>
        <w:t>，嗣經濟</w:t>
      </w:r>
      <w:r w:rsidR="002D0824">
        <w:rPr>
          <w:rFonts w:hAnsi="標楷體" w:hint="eastAsia"/>
          <w:szCs w:val="32"/>
        </w:rPr>
        <w:t>部於本院詢問會後查</w:t>
      </w:r>
      <w:r w:rsidRPr="00EA17E8">
        <w:rPr>
          <w:rFonts w:hAnsi="標楷體" w:hint="eastAsia"/>
          <w:szCs w:val="32"/>
        </w:rPr>
        <w:t>復稱，</w:t>
      </w:r>
      <w:r w:rsidRPr="007800E9">
        <w:rPr>
          <w:noProof/>
        </w:rPr>
        <w:t>行政院業於106年1月24日以院授主基經字第1060200058號函核定，</w:t>
      </w:r>
      <w:r>
        <w:rPr>
          <w:rFonts w:hint="eastAsia"/>
          <w:noProof/>
        </w:rPr>
        <w:t>「</w:t>
      </w:r>
      <w:r w:rsidRPr="007800E9">
        <w:rPr>
          <w:noProof/>
        </w:rPr>
        <w:t>中小企業發展基金</w:t>
      </w:r>
      <w:r>
        <w:rPr>
          <w:rFonts w:hint="eastAsia"/>
          <w:noProof/>
        </w:rPr>
        <w:t>」</w:t>
      </w:r>
      <w:r w:rsidRPr="007800E9">
        <w:rPr>
          <w:noProof/>
        </w:rPr>
        <w:t>及</w:t>
      </w:r>
      <w:r>
        <w:rPr>
          <w:rFonts w:hint="eastAsia"/>
          <w:noProof/>
        </w:rPr>
        <w:t>「</w:t>
      </w:r>
      <w:r w:rsidRPr="007800E9">
        <w:rPr>
          <w:noProof/>
        </w:rPr>
        <w:t>地方產業發展基金</w:t>
      </w:r>
      <w:r>
        <w:rPr>
          <w:rFonts w:hint="eastAsia"/>
          <w:noProof/>
        </w:rPr>
        <w:t>」</w:t>
      </w:r>
      <w:r w:rsidRPr="007800E9">
        <w:rPr>
          <w:noProof/>
        </w:rPr>
        <w:t>自107年整併，</w:t>
      </w:r>
      <w:r w:rsidR="00337A87">
        <w:rPr>
          <w:rFonts w:hint="eastAsia"/>
          <w:noProof/>
        </w:rPr>
        <w:t>將</w:t>
      </w:r>
      <w:r>
        <w:rPr>
          <w:rFonts w:hint="eastAsia"/>
          <w:noProof/>
        </w:rPr>
        <w:t>「</w:t>
      </w:r>
      <w:r w:rsidRPr="007800E9">
        <w:rPr>
          <w:noProof/>
        </w:rPr>
        <w:t>地方產業發展基金</w:t>
      </w:r>
      <w:r>
        <w:rPr>
          <w:rFonts w:hint="eastAsia"/>
          <w:noProof/>
        </w:rPr>
        <w:t>」</w:t>
      </w:r>
      <w:r w:rsidRPr="007800E9">
        <w:rPr>
          <w:noProof/>
        </w:rPr>
        <w:t>業務納入</w:t>
      </w:r>
      <w:r>
        <w:rPr>
          <w:rFonts w:hint="eastAsia"/>
          <w:noProof/>
        </w:rPr>
        <w:t>「</w:t>
      </w:r>
      <w:r w:rsidRPr="007800E9">
        <w:rPr>
          <w:noProof/>
        </w:rPr>
        <w:t>中小企業發展基金</w:t>
      </w:r>
      <w:r>
        <w:rPr>
          <w:rFonts w:hint="eastAsia"/>
          <w:noProof/>
        </w:rPr>
        <w:t>」</w:t>
      </w:r>
      <w:r w:rsidRPr="007800E9">
        <w:rPr>
          <w:noProof/>
        </w:rPr>
        <w:t>辦理</w:t>
      </w:r>
      <w:r>
        <w:rPr>
          <w:rFonts w:hint="eastAsia"/>
          <w:noProof/>
        </w:rPr>
        <w:t>。</w:t>
      </w:r>
    </w:p>
    <w:p w:rsidR="00B4535E" w:rsidRDefault="00B4535E" w:rsidP="009C0194">
      <w:pPr>
        <w:pStyle w:val="4"/>
        <w:ind w:rightChars="57" w:right="194"/>
      </w:pPr>
      <w:r>
        <w:rPr>
          <w:rFonts w:hint="eastAsia"/>
        </w:rPr>
        <w:t>列為中長期整併期程</w:t>
      </w:r>
      <w:r w:rsidR="00337A87" w:rsidRPr="00D1173F">
        <w:rPr>
          <w:rFonts w:hint="eastAsia"/>
        </w:rPr>
        <w:t>之13個</w:t>
      </w:r>
      <w:r w:rsidRPr="00D1173F">
        <w:rPr>
          <w:rFonts w:hint="eastAsia"/>
        </w:rPr>
        <w:t>基金</w:t>
      </w:r>
      <w:r w:rsidR="00337A87">
        <w:rPr>
          <w:rFonts w:hint="eastAsia"/>
        </w:rPr>
        <w:t>，</w:t>
      </w:r>
      <w:r>
        <w:rPr>
          <w:rFonts w:hint="eastAsia"/>
        </w:rPr>
        <w:t>預計裁併時</w:t>
      </w:r>
      <w:r>
        <w:rPr>
          <w:rFonts w:hint="eastAsia"/>
        </w:rPr>
        <w:lastRenderedPageBreak/>
        <w:t>程如下：</w:t>
      </w:r>
    </w:p>
    <w:p w:rsidR="00B4535E" w:rsidRDefault="00B4535E" w:rsidP="00B4535E">
      <w:pPr>
        <w:pStyle w:val="5"/>
      </w:pPr>
      <w:r>
        <w:rPr>
          <w:rFonts w:hint="eastAsia"/>
        </w:rPr>
        <w:t>須配合行政院組織改造</w:t>
      </w:r>
      <w:r w:rsidRPr="00CA5FEE">
        <w:rPr>
          <w:rFonts w:hint="eastAsia"/>
        </w:rPr>
        <w:t>業務</w:t>
      </w:r>
      <w:r w:rsidR="00D202B9">
        <w:rPr>
          <w:rFonts w:hint="eastAsia"/>
        </w:rPr>
        <w:t>辦理</w:t>
      </w:r>
      <w:r w:rsidRPr="00CA5FEE">
        <w:rPr>
          <w:rFonts w:hint="eastAsia"/>
        </w:rPr>
        <w:t>改隸</w:t>
      </w:r>
      <w:r w:rsidR="00A51370">
        <w:rPr>
          <w:rFonts w:hint="eastAsia"/>
        </w:rPr>
        <w:t>部分</w:t>
      </w:r>
    </w:p>
    <w:p w:rsidR="00B4535E" w:rsidRPr="00CA5FEE" w:rsidRDefault="00B4535E" w:rsidP="009C0194">
      <w:pPr>
        <w:pStyle w:val="6"/>
        <w:ind w:rightChars="99" w:right="337"/>
      </w:pPr>
      <w:r>
        <w:rPr>
          <w:rFonts w:hint="eastAsia"/>
          <w:shd w:val="clear" w:color="auto" w:fill="FFFFFF"/>
        </w:rPr>
        <w:t>「</w:t>
      </w:r>
      <w:r w:rsidRPr="009F06A2">
        <w:rPr>
          <w:rFonts w:hint="eastAsia"/>
          <w:shd w:val="clear" w:color="auto" w:fill="FFFFFF"/>
        </w:rPr>
        <w:t>加工出口區作業基金</w:t>
      </w:r>
      <w:r>
        <w:rPr>
          <w:rFonts w:hint="eastAsia"/>
          <w:shd w:val="clear" w:color="auto" w:fill="FFFFFF"/>
        </w:rPr>
        <w:t>」</w:t>
      </w:r>
      <w:r w:rsidRPr="009F06A2">
        <w:rPr>
          <w:rFonts w:hint="eastAsia"/>
          <w:shd w:val="clear" w:color="auto" w:fill="FFFFFF"/>
        </w:rPr>
        <w:t>及</w:t>
      </w:r>
      <w:r>
        <w:rPr>
          <w:rFonts w:hint="eastAsia"/>
          <w:shd w:val="clear" w:color="auto" w:fill="FFFFFF"/>
        </w:rPr>
        <w:t>「</w:t>
      </w:r>
      <w:r w:rsidRPr="009F06A2">
        <w:rPr>
          <w:rFonts w:hint="eastAsia"/>
          <w:shd w:val="clear" w:color="auto" w:fill="FFFFFF"/>
        </w:rPr>
        <w:t>產業園區開發管理基金</w:t>
      </w:r>
      <w:r>
        <w:rPr>
          <w:rFonts w:hint="eastAsia"/>
          <w:shd w:val="clear" w:color="auto" w:fill="FFFFFF"/>
        </w:rPr>
        <w:t>」之</w:t>
      </w:r>
      <w:r w:rsidRPr="009F06A2">
        <w:rPr>
          <w:rFonts w:hint="eastAsia"/>
          <w:shd w:val="clear" w:color="auto" w:fill="FFFFFF"/>
        </w:rPr>
        <w:t>管理機關</w:t>
      </w:r>
      <w:r>
        <w:rPr>
          <w:rFonts w:hint="eastAsia"/>
          <w:shd w:val="clear" w:color="auto" w:fill="FFFFFF"/>
        </w:rPr>
        <w:t>，</w:t>
      </w:r>
      <w:r w:rsidR="00A51370">
        <w:rPr>
          <w:rFonts w:hint="eastAsia"/>
          <w:shd w:val="clear" w:color="auto" w:fill="FFFFFF"/>
        </w:rPr>
        <w:t>將</w:t>
      </w:r>
      <w:r w:rsidR="00337A87">
        <w:rPr>
          <w:rFonts w:hint="eastAsia"/>
          <w:shd w:val="clear" w:color="auto" w:fill="FFFFFF"/>
        </w:rPr>
        <w:t>俟</w:t>
      </w:r>
      <w:r w:rsidRPr="009F06A2">
        <w:rPr>
          <w:rFonts w:hint="eastAsia"/>
          <w:shd w:val="clear" w:color="auto" w:fill="FFFFFF"/>
        </w:rPr>
        <w:t>行政院組織改造後，規劃整併為1機關，因</w:t>
      </w:r>
      <w:r>
        <w:rPr>
          <w:rFonts w:hint="eastAsia"/>
          <w:shd w:val="clear" w:color="auto" w:fill="FFFFFF"/>
        </w:rPr>
        <w:t>尚需辦理</w:t>
      </w:r>
      <w:r w:rsidRPr="003600C1">
        <w:rPr>
          <w:rFonts w:hint="eastAsia"/>
          <w:shd w:val="clear" w:color="auto" w:fill="FFFFFF"/>
        </w:rPr>
        <w:t>業務</w:t>
      </w:r>
      <w:r>
        <w:rPr>
          <w:rFonts w:hint="eastAsia"/>
          <w:shd w:val="clear" w:color="auto" w:fill="FFFFFF"/>
        </w:rPr>
        <w:t>整合及相關法規研修作業，將於</w:t>
      </w:r>
      <w:r>
        <w:rPr>
          <w:rFonts w:hint="eastAsia"/>
        </w:rPr>
        <w:t>行政院組織改造</w:t>
      </w:r>
      <w:r w:rsidR="00A51370">
        <w:rPr>
          <w:rFonts w:hint="eastAsia"/>
        </w:rPr>
        <w:t>後</w:t>
      </w:r>
      <w:r>
        <w:rPr>
          <w:rFonts w:hint="eastAsia"/>
        </w:rPr>
        <w:t>2年內完成</w:t>
      </w:r>
      <w:r w:rsidRPr="009F06A2">
        <w:rPr>
          <w:shd w:val="clear" w:color="auto" w:fill="FFFFFF"/>
        </w:rPr>
        <w:t>。</w:t>
      </w:r>
    </w:p>
    <w:p w:rsidR="00B4535E" w:rsidRPr="0077624C" w:rsidRDefault="00B4535E" w:rsidP="009C0194">
      <w:pPr>
        <w:pStyle w:val="6"/>
        <w:ind w:rightChars="57" w:right="194"/>
        <w:rPr>
          <w:color w:val="000000"/>
          <w:shd w:val="clear" w:color="auto" w:fill="FFFFFF"/>
        </w:rPr>
      </w:pPr>
      <w:r>
        <w:rPr>
          <w:rFonts w:hint="eastAsia"/>
        </w:rPr>
        <w:t>「林務發展及造林基金」與「</w:t>
      </w:r>
      <w:r w:rsidRPr="00CA5FEE">
        <w:rPr>
          <w:rFonts w:hint="eastAsia"/>
        </w:rPr>
        <w:t>水資源作業基金</w:t>
      </w:r>
      <w:r>
        <w:rPr>
          <w:rFonts w:hint="eastAsia"/>
        </w:rPr>
        <w:t>」之整併，將配合基金相關業務規劃</w:t>
      </w:r>
      <w:r w:rsidR="00D202B9" w:rsidRPr="00CA5FEE">
        <w:rPr>
          <w:rFonts w:hint="eastAsia"/>
        </w:rPr>
        <w:t>檢討</w:t>
      </w:r>
      <w:r>
        <w:rPr>
          <w:rFonts w:hint="eastAsia"/>
        </w:rPr>
        <w:t>改隸情形，於行政院組織改造完成後即可</w:t>
      </w:r>
      <w:r w:rsidR="00D202B9">
        <w:rPr>
          <w:rFonts w:hint="eastAsia"/>
        </w:rPr>
        <w:t>進行</w:t>
      </w:r>
      <w:r w:rsidRPr="00CA5FEE">
        <w:t>。</w:t>
      </w:r>
    </w:p>
    <w:p w:rsidR="0077624C" w:rsidRPr="00EF762B" w:rsidRDefault="0077624C" w:rsidP="009C0194">
      <w:pPr>
        <w:pStyle w:val="6"/>
        <w:ind w:rightChars="57" w:right="194"/>
      </w:pPr>
      <w:r>
        <w:rPr>
          <w:rFonts w:hint="eastAsia"/>
        </w:rPr>
        <w:t>行政院組織改造自97</w:t>
      </w:r>
      <w:r w:rsidRPr="0075777F">
        <w:t>年7月</w:t>
      </w:r>
      <w:r>
        <w:rPr>
          <w:rFonts w:hint="eastAsia"/>
        </w:rPr>
        <w:t>開始推動後，</w:t>
      </w:r>
      <w:r w:rsidRPr="00EF762B">
        <w:rPr>
          <w:rFonts w:hint="eastAsia"/>
        </w:rPr>
        <w:t>迄今</w:t>
      </w:r>
      <w:r w:rsidR="00EF762B" w:rsidRPr="00EF762B">
        <w:rPr>
          <w:rFonts w:hint="eastAsia"/>
        </w:rPr>
        <w:t>已歷8年餘，僅</w:t>
      </w:r>
      <w:r w:rsidRPr="00EF762B">
        <w:rPr>
          <w:rFonts w:hint="eastAsia"/>
        </w:rPr>
        <w:t>院本部、外交部等23個部會及所屬、相當中央三級之獨立機關飛航安全調查委員會、駐外機構組織通則、政風機構人員設置條例、主計機構人員設置管理條例完成立法，</w:t>
      </w:r>
      <w:r w:rsidR="00EF762B" w:rsidRPr="00EF762B">
        <w:rPr>
          <w:rFonts w:hint="eastAsia"/>
        </w:rPr>
        <w:t>且</w:t>
      </w:r>
      <w:r w:rsidRPr="00EF762B">
        <w:rPr>
          <w:rFonts w:hint="eastAsia"/>
        </w:rPr>
        <w:t>尚</w:t>
      </w:r>
      <w:r w:rsidR="00EF762B" w:rsidRPr="00EF762B">
        <w:rPr>
          <w:rFonts w:hint="eastAsia"/>
        </w:rPr>
        <w:t>有海洋委員會雖已完成立法工作，惟仍未施行</w:t>
      </w:r>
      <w:r w:rsidR="00F35B90">
        <w:rPr>
          <w:rStyle w:val="aff1"/>
        </w:rPr>
        <w:footnoteReference w:id="2"/>
      </w:r>
      <w:r w:rsidR="00EF762B" w:rsidRPr="00EF762B">
        <w:rPr>
          <w:rFonts w:hint="eastAsia"/>
        </w:rPr>
        <w:t>。爰政府允應加速推動</w:t>
      </w:r>
      <w:r w:rsidR="00F35B90">
        <w:rPr>
          <w:rFonts w:hint="eastAsia"/>
        </w:rPr>
        <w:t>組織再造</w:t>
      </w:r>
      <w:r w:rsidR="00EF762B" w:rsidRPr="00EF762B">
        <w:rPr>
          <w:rFonts w:hint="eastAsia"/>
        </w:rPr>
        <w:t>工作，以達建立有競爭力的政府之目的，並可裨</w:t>
      </w:r>
      <w:r w:rsidR="00EF762B">
        <w:rPr>
          <w:rFonts w:hint="eastAsia"/>
        </w:rPr>
        <w:t>益</w:t>
      </w:r>
      <w:r w:rsidR="00EF762B" w:rsidRPr="00EF762B">
        <w:rPr>
          <w:rFonts w:hint="eastAsia"/>
        </w:rPr>
        <w:t>「加工出口區作業基金」及「產業園區開發管理基金」、與</w:t>
      </w:r>
      <w:r w:rsidR="00EF762B">
        <w:rPr>
          <w:rFonts w:hint="eastAsia"/>
        </w:rPr>
        <w:t>「林務發展及造林基金」及「</w:t>
      </w:r>
      <w:r w:rsidR="00EF762B" w:rsidRPr="00CA5FEE">
        <w:rPr>
          <w:rFonts w:hint="eastAsia"/>
        </w:rPr>
        <w:t>水資源作業基金</w:t>
      </w:r>
      <w:r w:rsidR="00EF762B">
        <w:rPr>
          <w:rFonts w:hint="eastAsia"/>
        </w:rPr>
        <w:t>」整併工作之進展。</w:t>
      </w:r>
    </w:p>
    <w:p w:rsidR="00B4535E" w:rsidRDefault="0058671C" w:rsidP="00B4535E">
      <w:pPr>
        <w:pStyle w:val="5"/>
      </w:pPr>
      <w:r>
        <w:rPr>
          <w:rFonts w:hint="eastAsia"/>
        </w:rPr>
        <w:t>須</w:t>
      </w:r>
      <w:r w:rsidRPr="00DB3A26">
        <w:rPr>
          <w:rFonts w:hint="eastAsia"/>
        </w:rPr>
        <w:t>配合基金設置法源</w:t>
      </w:r>
      <w:r>
        <w:rPr>
          <w:rFonts w:hint="eastAsia"/>
        </w:rPr>
        <w:t>修正後檢討辦理</w:t>
      </w:r>
      <w:r w:rsidR="00A51370">
        <w:rPr>
          <w:rFonts w:hint="eastAsia"/>
        </w:rPr>
        <w:t>部分</w:t>
      </w:r>
    </w:p>
    <w:p w:rsidR="00B4535E" w:rsidRPr="00E6619D" w:rsidRDefault="00B4535E" w:rsidP="00B5030F">
      <w:pPr>
        <w:pStyle w:val="6"/>
        <w:ind w:rightChars="99" w:right="337"/>
        <w:rPr>
          <w:color w:val="000000"/>
          <w:shd w:val="clear" w:color="auto" w:fill="FFFFFF"/>
        </w:rPr>
      </w:pPr>
      <w:r>
        <w:rPr>
          <w:rFonts w:hint="eastAsia"/>
          <w:color w:val="000000"/>
          <w:shd w:val="clear" w:color="auto" w:fill="FFFFFF"/>
        </w:rPr>
        <w:t>「</w:t>
      </w:r>
      <w:r w:rsidRPr="00247F24">
        <w:rPr>
          <w:rFonts w:hint="eastAsia"/>
          <w:color w:val="000000"/>
          <w:shd w:val="clear" w:color="auto" w:fill="FFFFFF"/>
        </w:rPr>
        <w:t>通訊傳播監督管理基金</w:t>
      </w:r>
      <w:r>
        <w:rPr>
          <w:rFonts w:hint="eastAsia"/>
          <w:color w:val="000000"/>
          <w:shd w:val="clear" w:color="auto" w:fill="FFFFFF"/>
        </w:rPr>
        <w:t>」</w:t>
      </w:r>
      <w:r w:rsidRPr="00247F24">
        <w:rPr>
          <w:rFonts w:hint="eastAsia"/>
          <w:color w:val="000000"/>
          <w:shd w:val="clear" w:color="auto" w:fill="FFFFFF"/>
        </w:rPr>
        <w:t>係依</w:t>
      </w:r>
      <w:r w:rsidR="00D31B5B">
        <w:rPr>
          <w:rFonts w:hint="eastAsia"/>
          <w:color w:val="000000"/>
          <w:shd w:val="clear" w:color="auto" w:fill="FFFFFF"/>
        </w:rPr>
        <w:t>「</w:t>
      </w:r>
      <w:r w:rsidRPr="00247F24">
        <w:rPr>
          <w:rFonts w:hint="eastAsia"/>
          <w:color w:val="000000"/>
          <w:shd w:val="clear" w:color="auto" w:fill="FFFFFF"/>
        </w:rPr>
        <w:t>通</w:t>
      </w:r>
      <w:r>
        <w:rPr>
          <w:rFonts w:hint="eastAsia"/>
          <w:color w:val="000000"/>
          <w:shd w:val="clear" w:color="auto" w:fill="FFFFFF"/>
        </w:rPr>
        <w:t>訊傳播基本法</w:t>
      </w:r>
      <w:r w:rsidR="00D31B5B">
        <w:rPr>
          <w:rFonts w:hint="eastAsia"/>
          <w:color w:val="000000"/>
          <w:shd w:val="clear" w:color="auto" w:fill="FFFFFF"/>
        </w:rPr>
        <w:t>」</w:t>
      </w:r>
      <w:r>
        <w:rPr>
          <w:rFonts w:hint="eastAsia"/>
          <w:color w:val="000000"/>
          <w:shd w:val="clear" w:color="auto" w:fill="FFFFFF"/>
        </w:rPr>
        <w:t>、「有線廣播電視事業發展基金」係依</w:t>
      </w:r>
      <w:r w:rsidR="00D31B5B">
        <w:rPr>
          <w:rFonts w:hint="eastAsia"/>
          <w:color w:val="000000"/>
          <w:shd w:val="clear" w:color="auto" w:fill="FFFFFF"/>
        </w:rPr>
        <w:t>「</w:t>
      </w:r>
      <w:r>
        <w:rPr>
          <w:rFonts w:hint="eastAsia"/>
          <w:color w:val="000000"/>
          <w:shd w:val="clear" w:color="auto" w:fill="FFFFFF"/>
        </w:rPr>
        <w:t>有線廣播電視法</w:t>
      </w:r>
      <w:r w:rsidR="00D31B5B">
        <w:rPr>
          <w:rFonts w:hint="eastAsia"/>
          <w:color w:val="000000"/>
          <w:shd w:val="clear" w:color="auto" w:fill="FFFFFF"/>
        </w:rPr>
        <w:t>」</w:t>
      </w:r>
      <w:r>
        <w:rPr>
          <w:rFonts w:hint="eastAsia"/>
          <w:color w:val="000000"/>
          <w:shd w:val="clear" w:color="auto" w:fill="FFFFFF"/>
        </w:rPr>
        <w:t>設置，通傳</w:t>
      </w:r>
      <w:r w:rsidRPr="00D1173F">
        <w:rPr>
          <w:rFonts w:hint="eastAsia"/>
          <w:shd w:val="clear" w:color="auto" w:fill="FFFFFF"/>
        </w:rPr>
        <w:t>會前已研議將該</w:t>
      </w:r>
      <w:r w:rsidR="002D0824">
        <w:rPr>
          <w:rFonts w:hint="eastAsia"/>
          <w:shd w:val="clear" w:color="auto" w:fill="FFFFFF"/>
        </w:rPr>
        <w:t>二基金整併，</w:t>
      </w:r>
      <w:r w:rsidRPr="00D1173F">
        <w:rPr>
          <w:rFonts w:hint="eastAsia"/>
        </w:rPr>
        <w:t>研</w:t>
      </w:r>
      <w:r w:rsidRPr="00247F24">
        <w:rPr>
          <w:rFonts w:hint="eastAsia"/>
        </w:rPr>
        <w:t>擬通訊傳播匯</w:t>
      </w:r>
      <w:r w:rsidRPr="00247F24">
        <w:rPr>
          <w:rFonts w:hint="eastAsia"/>
        </w:rPr>
        <w:lastRenderedPageBreak/>
        <w:t>流五法草案，</w:t>
      </w:r>
      <w:r w:rsidR="00A51370">
        <w:rPr>
          <w:rFonts w:hint="eastAsia"/>
        </w:rPr>
        <w:t>並經</w:t>
      </w:r>
      <w:r w:rsidRPr="00247F24">
        <w:rPr>
          <w:rFonts w:hint="eastAsia"/>
        </w:rPr>
        <w:t>行政院</w:t>
      </w:r>
      <w:r>
        <w:rPr>
          <w:rFonts w:hint="eastAsia"/>
        </w:rPr>
        <w:t>函</w:t>
      </w:r>
      <w:r w:rsidR="00A51370">
        <w:rPr>
          <w:rFonts w:hint="eastAsia"/>
        </w:rPr>
        <w:t>送</w:t>
      </w:r>
      <w:r w:rsidRPr="00247F24">
        <w:rPr>
          <w:rFonts w:hint="eastAsia"/>
        </w:rPr>
        <w:t>立法院審議，</w:t>
      </w:r>
      <w:r w:rsidR="00A47307">
        <w:rPr>
          <w:rFonts w:hint="eastAsia"/>
        </w:rPr>
        <w:t>惟</w:t>
      </w:r>
      <w:r>
        <w:rPr>
          <w:rFonts w:hint="eastAsia"/>
        </w:rPr>
        <w:t>嗣於105</w:t>
      </w:r>
      <w:r w:rsidRPr="00247F24">
        <w:rPr>
          <w:rFonts w:hint="eastAsia"/>
        </w:rPr>
        <w:t>年</w:t>
      </w:r>
      <w:r w:rsidRPr="00247F24">
        <w:t>6</w:t>
      </w:r>
      <w:r w:rsidRPr="00247F24">
        <w:rPr>
          <w:rFonts w:hint="eastAsia"/>
        </w:rPr>
        <w:t>月</w:t>
      </w:r>
      <w:r w:rsidRPr="00247F24">
        <w:t>23</w:t>
      </w:r>
      <w:r w:rsidRPr="00247F24">
        <w:rPr>
          <w:rFonts w:hint="eastAsia"/>
        </w:rPr>
        <w:t>日函請立法院同意</w:t>
      </w:r>
      <w:r w:rsidR="00D202B9">
        <w:rPr>
          <w:rFonts w:hint="eastAsia"/>
        </w:rPr>
        <w:t>後</w:t>
      </w:r>
      <w:r w:rsidRPr="00247F24">
        <w:rPr>
          <w:rFonts w:hint="eastAsia"/>
        </w:rPr>
        <w:t>撤回。</w:t>
      </w:r>
      <w:r w:rsidRPr="00247F24">
        <w:t>基於</w:t>
      </w:r>
      <w:r>
        <w:rPr>
          <w:rFonts w:hint="eastAsia"/>
        </w:rPr>
        <w:t>該</w:t>
      </w:r>
      <w:r w:rsidRPr="00247F24">
        <w:rPr>
          <w:rFonts w:hint="eastAsia"/>
        </w:rPr>
        <w:t>會</w:t>
      </w:r>
      <w:r w:rsidRPr="00247F24">
        <w:t>未來仍將針對匯流五法進行重新檢討，屆時配合</w:t>
      </w:r>
      <w:r>
        <w:rPr>
          <w:rFonts w:hint="eastAsia"/>
        </w:rPr>
        <w:t>行政</w:t>
      </w:r>
      <w:r w:rsidRPr="00247F24">
        <w:t>院政策及立法院決</w:t>
      </w:r>
      <w:r w:rsidR="00A51370">
        <w:t>議，將涉及未來基金成立及運作等相關條文，於立法過程中納入研議</w:t>
      </w:r>
      <w:r w:rsidRPr="00247F24">
        <w:rPr>
          <w:rFonts w:hint="eastAsia"/>
        </w:rPr>
        <w:t>。</w:t>
      </w:r>
    </w:p>
    <w:p w:rsidR="00B4535E" w:rsidRPr="00E6619D" w:rsidRDefault="00B4535E" w:rsidP="009C0194">
      <w:pPr>
        <w:pStyle w:val="6"/>
        <w:ind w:rightChars="99" w:right="337"/>
        <w:rPr>
          <w:shd w:val="clear" w:color="auto" w:fill="FFFFFF"/>
        </w:rPr>
      </w:pPr>
      <w:r>
        <w:rPr>
          <w:rFonts w:hint="eastAsia"/>
          <w:shd w:val="clear" w:color="auto" w:fill="FFFFFF"/>
        </w:rPr>
        <w:t>「</w:t>
      </w:r>
      <w:r w:rsidRPr="00E17C82">
        <w:rPr>
          <w:rFonts w:hint="eastAsia"/>
          <w:shd w:val="clear" w:color="auto" w:fill="FFFFFF"/>
        </w:rPr>
        <w:t>營建建設基金</w:t>
      </w:r>
      <w:r>
        <w:rPr>
          <w:rFonts w:hint="eastAsia"/>
          <w:shd w:val="clear" w:color="auto" w:fill="FFFFFF"/>
        </w:rPr>
        <w:t>」</w:t>
      </w:r>
      <w:r w:rsidRPr="00E17C82">
        <w:rPr>
          <w:rFonts w:hint="eastAsia"/>
          <w:shd w:val="clear" w:color="auto" w:fill="FFFFFF"/>
        </w:rPr>
        <w:t>項下</w:t>
      </w:r>
      <w:r>
        <w:rPr>
          <w:rFonts w:hint="eastAsia"/>
          <w:shd w:val="clear" w:color="auto" w:fill="FFFFFF"/>
        </w:rPr>
        <w:t>「</w:t>
      </w:r>
      <w:r w:rsidRPr="00E17C82">
        <w:rPr>
          <w:rFonts w:hint="eastAsia"/>
          <w:shd w:val="clear" w:color="auto" w:fill="FFFFFF"/>
        </w:rPr>
        <w:t>住宅基金</w:t>
      </w:r>
      <w:r>
        <w:rPr>
          <w:rFonts w:hint="eastAsia"/>
          <w:shd w:val="clear" w:color="auto" w:fill="FFFFFF"/>
        </w:rPr>
        <w:t>」</w:t>
      </w:r>
      <w:r w:rsidRPr="00E17C82">
        <w:rPr>
          <w:rFonts w:hint="eastAsia"/>
          <w:shd w:val="clear" w:color="auto" w:fill="FFFFFF"/>
        </w:rPr>
        <w:t>係依</w:t>
      </w:r>
      <w:r w:rsidR="00D31B5B">
        <w:rPr>
          <w:rFonts w:hint="eastAsia"/>
          <w:shd w:val="clear" w:color="auto" w:fill="FFFFFF"/>
        </w:rPr>
        <w:t>「</w:t>
      </w:r>
      <w:r w:rsidRPr="00E17C82">
        <w:rPr>
          <w:rFonts w:hint="eastAsia"/>
        </w:rPr>
        <w:t>住宅法</w:t>
      </w:r>
      <w:r w:rsidR="00D31B5B">
        <w:rPr>
          <w:rFonts w:hint="eastAsia"/>
        </w:rPr>
        <w:t>」</w:t>
      </w:r>
      <w:r w:rsidRPr="00E17C82">
        <w:rPr>
          <w:rFonts w:hint="eastAsia"/>
          <w:shd w:val="clear" w:color="auto" w:fill="FFFFFF"/>
        </w:rPr>
        <w:t>、</w:t>
      </w:r>
      <w:r>
        <w:rPr>
          <w:rFonts w:hint="eastAsia"/>
          <w:shd w:val="clear" w:color="auto" w:fill="FFFFFF"/>
        </w:rPr>
        <w:t>「</w:t>
      </w:r>
      <w:r w:rsidRPr="00E17C82">
        <w:rPr>
          <w:rFonts w:hint="eastAsia"/>
          <w:shd w:val="clear" w:color="auto" w:fill="FFFFFF"/>
        </w:rPr>
        <w:t>新市鎮開發基金</w:t>
      </w:r>
      <w:r>
        <w:rPr>
          <w:rFonts w:hint="eastAsia"/>
          <w:shd w:val="clear" w:color="auto" w:fill="FFFFFF"/>
        </w:rPr>
        <w:t>」</w:t>
      </w:r>
      <w:r w:rsidRPr="00E17C82">
        <w:rPr>
          <w:rFonts w:hint="eastAsia"/>
          <w:shd w:val="clear" w:color="auto" w:fill="FFFFFF"/>
        </w:rPr>
        <w:t>係依</w:t>
      </w:r>
      <w:r w:rsidR="00D31B5B">
        <w:rPr>
          <w:rFonts w:hint="eastAsia"/>
          <w:shd w:val="clear" w:color="auto" w:fill="FFFFFF"/>
        </w:rPr>
        <w:t>「</w:t>
      </w:r>
      <w:r w:rsidRPr="00E17C82">
        <w:rPr>
          <w:rFonts w:hint="eastAsia"/>
        </w:rPr>
        <w:t>新市鎮開發</w:t>
      </w:r>
      <w:r w:rsidRPr="00E17C82">
        <w:t>條例</w:t>
      </w:r>
      <w:r w:rsidR="00D31B5B">
        <w:rPr>
          <w:rFonts w:hint="eastAsia"/>
        </w:rPr>
        <w:t>」</w:t>
      </w:r>
      <w:r w:rsidRPr="00E17C82">
        <w:rPr>
          <w:rFonts w:hint="eastAsia"/>
          <w:shd w:val="clear" w:color="auto" w:fill="FFFFFF"/>
        </w:rPr>
        <w:t>及</w:t>
      </w:r>
      <w:r>
        <w:rPr>
          <w:rFonts w:hint="eastAsia"/>
          <w:shd w:val="clear" w:color="auto" w:fill="FFFFFF"/>
        </w:rPr>
        <w:t>「</w:t>
      </w:r>
      <w:r w:rsidRPr="00E17C82">
        <w:rPr>
          <w:rFonts w:hint="eastAsia"/>
          <w:shd w:val="clear" w:color="auto" w:fill="FFFFFF"/>
        </w:rPr>
        <w:t>中央都市更新基金</w:t>
      </w:r>
      <w:r>
        <w:rPr>
          <w:rFonts w:hint="eastAsia"/>
          <w:shd w:val="clear" w:color="auto" w:fill="FFFFFF"/>
        </w:rPr>
        <w:t>」</w:t>
      </w:r>
      <w:r w:rsidRPr="00E17C82">
        <w:rPr>
          <w:rFonts w:hint="eastAsia"/>
          <w:shd w:val="clear" w:color="auto" w:fill="FFFFFF"/>
        </w:rPr>
        <w:t>係依</w:t>
      </w:r>
      <w:r w:rsidR="00D31B5B">
        <w:rPr>
          <w:rFonts w:hint="eastAsia"/>
          <w:shd w:val="clear" w:color="auto" w:fill="FFFFFF"/>
        </w:rPr>
        <w:t>「</w:t>
      </w:r>
      <w:r w:rsidRPr="00E17C82">
        <w:t>都市更新條例</w:t>
      </w:r>
      <w:r w:rsidR="00D31B5B">
        <w:rPr>
          <w:rFonts w:hint="eastAsia"/>
        </w:rPr>
        <w:t>」</w:t>
      </w:r>
      <w:r w:rsidRPr="00E17C82">
        <w:rPr>
          <w:rFonts w:hint="eastAsia"/>
          <w:shd w:val="clear" w:color="auto" w:fill="FFFFFF"/>
        </w:rPr>
        <w:t>設置，爰該</w:t>
      </w:r>
      <w:r w:rsidR="002D0824">
        <w:rPr>
          <w:rFonts w:hint="eastAsia"/>
          <w:shd w:val="clear" w:color="auto" w:fill="FFFFFF"/>
        </w:rPr>
        <w:t>三</w:t>
      </w:r>
      <w:r w:rsidRPr="00E17C82">
        <w:rPr>
          <w:rFonts w:hint="eastAsia"/>
          <w:shd w:val="clear" w:color="auto" w:fill="FFFFFF"/>
        </w:rPr>
        <w:t>基金之整併須配合其設置法源之檢討修正</w:t>
      </w:r>
      <w:r w:rsidR="00A51370">
        <w:rPr>
          <w:rFonts w:hint="eastAsia"/>
          <w:shd w:val="clear" w:color="auto" w:fill="FFFFFF"/>
        </w:rPr>
        <w:t>作業</w:t>
      </w:r>
      <w:r>
        <w:rPr>
          <w:rFonts w:hint="eastAsia"/>
          <w:shd w:val="clear" w:color="auto" w:fill="FFFFFF"/>
        </w:rPr>
        <w:t>。</w:t>
      </w:r>
    </w:p>
    <w:p w:rsidR="00B4535E" w:rsidRPr="00247F24" w:rsidRDefault="00B4535E" w:rsidP="00182E9D">
      <w:pPr>
        <w:pStyle w:val="6"/>
        <w:ind w:rightChars="57" w:right="194"/>
        <w:rPr>
          <w:shd w:val="clear" w:color="auto" w:fill="FFFFFF"/>
        </w:rPr>
      </w:pPr>
      <w:r>
        <w:rPr>
          <w:rFonts w:hint="eastAsia"/>
          <w:shd w:val="clear" w:color="auto" w:fill="FFFFFF"/>
        </w:rPr>
        <w:t>「</w:t>
      </w:r>
      <w:r w:rsidRPr="00386D02">
        <w:rPr>
          <w:rFonts w:hint="eastAsia"/>
          <w:shd w:val="clear" w:color="auto" w:fill="FFFFFF"/>
        </w:rPr>
        <w:t>能源研究發展基金</w:t>
      </w:r>
      <w:r>
        <w:rPr>
          <w:rFonts w:hint="eastAsia"/>
          <w:shd w:val="clear" w:color="auto" w:fill="FFFFFF"/>
        </w:rPr>
        <w:t>」</w:t>
      </w:r>
      <w:r w:rsidRPr="00386D02">
        <w:rPr>
          <w:rFonts w:hint="eastAsia"/>
          <w:shd w:val="clear" w:color="auto" w:fill="FFFFFF"/>
        </w:rPr>
        <w:t>係依</w:t>
      </w:r>
      <w:r w:rsidR="00D31B5B">
        <w:rPr>
          <w:rFonts w:hint="eastAsia"/>
          <w:shd w:val="clear" w:color="auto" w:fill="FFFFFF"/>
        </w:rPr>
        <w:t>「</w:t>
      </w:r>
      <w:r w:rsidRPr="00386D02">
        <w:rPr>
          <w:rFonts w:hint="eastAsia"/>
          <w:shd w:val="clear" w:color="auto" w:fill="FFFFFF"/>
        </w:rPr>
        <w:t>能源管理法</w:t>
      </w:r>
      <w:r w:rsidR="00D31B5B">
        <w:rPr>
          <w:rFonts w:hint="eastAsia"/>
          <w:shd w:val="clear" w:color="auto" w:fill="FFFFFF"/>
        </w:rPr>
        <w:t>」</w:t>
      </w:r>
      <w:r w:rsidRPr="00386D02">
        <w:rPr>
          <w:rFonts w:hint="eastAsia"/>
          <w:shd w:val="clear" w:color="auto" w:fill="FFFFFF"/>
        </w:rPr>
        <w:t>、</w:t>
      </w:r>
      <w:r>
        <w:rPr>
          <w:rFonts w:hint="eastAsia"/>
          <w:shd w:val="clear" w:color="auto" w:fill="FFFFFF"/>
        </w:rPr>
        <w:t>「</w:t>
      </w:r>
      <w:r w:rsidRPr="00386D02">
        <w:rPr>
          <w:rFonts w:hint="eastAsia"/>
          <w:shd w:val="clear" w:color="auto" w:fill="FFFFFF"/>
        </w:rPr>
        <w:t>石油基金</w:t>
      </w:r>
      <w:r>
        <w:rPr>
          <w:rFonts w:hint="eastAsia"/>
          <w:shd w:val="clear" w:color="auto" w:fill="FFFFFF"/>
        </w:rPr>
        <w:t>」</w:t>
      </w:r>
      <w:r w:rsidRPr="00386D02">
        <w:rPr>
          <w:rFonts w:hint="eastAsia"/>
          <w:shd w:val="clear" w:color="auto" w:fill="FFFFFF"/>
        </w:rPr>
        <w:t>係依</w:t>
      </w:r>
      <w:r w:rsidR="00D31B5B">
        <w:rPr>
          <w:rFonts w:hint="eastAsia"/>
          <w:shd w:val="clear" w:color="auto" w:fill="FFFFFF"/>
        </w:rPr>
        <w:t>「</w:t>
      </w:r>
      <w:r w:rsidRPr="00386D02">
        <w:rPr>
          <w:rFonts w:hint="eastAsia"/>
          <w:shd w:val="clear" w:color="auto" w:fill="FFFFFF"/>
        </w:rPr>
        <w:t>石油管理法</w:t>
      </w:r>
      <w:r w:rsidR="00D31B5B">
        <w:rPr>
          <w:rFonts w:hint="eastAsia"/>
          <w:shd w:val="clear" w:color="auto" w:fill="FFFFFF"/>
        </w:rPr>
        <w:t>」</w:t>
      </w:r>
      <w:r w:rsidRPr="00386D02">
        <w:rPr>
          <w:rFonts w:hint="eastAsia"/>
          <w:shd w:val="clear" w:color="auto" w:fill="FFFFFF"/>
        </w:rPr>
        <w:t>及</w:t>
      </w:r>
      <w:r>
        <w:rPr>
          <w:rFonts w:hint="eastAsia"/>
          <w:shd w:val="clear" w:color="auto" w:fill="FFFFFF"/>
        </w:rPr>
        <w:t>「</w:t>
      </w:r>
      <w:r w:rsidRPr="00386D02">
        <w:rPr>
          <w:rFonts w:hint="eastAsia"/>
          <w:shd w:val="clear" w:color="auto" w:fill="FFFFFF"/>
        </w:rPr>
        <w:t>再生能源發展基金</w:t>
      </w:r>
      <w:r>
        <w:rPr>
          <w:rFonts w:hint="eastAsia"/>
          <w:shd w:val="clear" w:color="auto" w:fill="FFFFFF"/>
        </w:rPr>
        <w:t>」</w:t>
      </w:r>
      <w:r w:rsidRPr="00386D02">
        <w:rPr>
          <w:rFonts w:hint="eastAsia"/>
          <w:shd w:val="clear" w:color="auto" w:fill="FFFFFF"/>
        </w:rPr>
        <w:t>係依</w:t>
      </w:r>
      <w:r w:rsidR="00D31B5B">
        <w:rPr>
          <w:rFonts w:hint="eastAsia"/>
          <w:shd w:val="clear" w:color="auto" w:fill="FFFFFF"/>
        </w:rPr>
        <w:t>「</w:t>
      </w:r>
      <w:r w:rsidRPr="00386D02">
        <w:rPr>
          <w:rFonts w:hint="eastAsia"/>
          <w:shd w:val="clear" w:color="auto" w:fill="FFFFFF"/>
        </w:rPr>
        <w:t>再生能源發展條例</w:t>
      </w:r>
      <w:r w:rsidR="00D31B5B">
        <w:rPr>
          <w:rFonts w:hint="eastAsia"/>
          <w:shd w:val="clear" w:color="auto" w:fill="FFFFFF"/>
        </w:rPr>
        <w:t>」</w:t>
      </w:r>
      <w:r w:rsidRPr="00386D02">
        <w:rPr>
          <w:rFonts w:hint="eastAsia"/>
          <w:shd w:val="clear" w:color="auto" w:fill="FFFFFF"/>
        </w:rPr>
        <w:t>設置，</w:t>
      </w:r>
      <w:r>
        <w:rPr>
          <w:rFonts w:hint="eastAsia"/>
          <w:shd w:val="clear" w:color="auto" w:fill="FFFFFF"/>
        </w:rPr>
        <w:t>爰該</w:t>
      </w:r>
      <w:r w:rsidR="004E1F17">
        <w:rPr>
          <w:rFonts w:hint="eastAsia"/>
          <w:shd w:val="clear" w:color="auto" w:fill="FFFFFF"/>
        </w:rPr>
        <w:t>三</w:t>
      </w:r>
      <w:r w:rsidRPr="00386D02">
        <w:rPr>
          <w:rFonts w:hint="eastAsia"/>
          <w:shd w:val="clear" w:color="auto" w:fill="FFFFFF"/>
        </w:rPr>
        <w:t>基金</w:t>
      </w:r>
      <w:r>
        <w:rPr>
          <w:rFonts w:hint="eastAsia"/>
          <w:shd w:val="clear" w:color="auto" w:fill="FFFFFF"/>
        </w:rPr>
        <w:t>之整併須配合</w:t>
      </w:r>
      <w:r w:rsidRPr="00386D02">
        <w:rPr>
          <w:rFonts w:hint="eastAsia"/>
          <w:shd w:val="clear" w:color="auto" w:fill="FFFFFF"/>
        </w:rPr>
        <w:t>其設置法源</w:t>
      </w:r>
      <w:r w:rsidR="00275442">
        <w:rPr>
          <w:rFonts w:hint="eastAsia"/>
          <w:shd w:val="clear" w:color="auto" w:fill="FFFFFF"/>
        </w:rPr>
        <w:t>之</w:t>
      </w:r>
      <w:r>
        <w:rPr>
          <w:rFonts w:hint="eastAsia"/>
          <w:shd w:val="clear" w:color="auto" w:fill="FFFFFF"/>
        </w:rPr>
        <w:t>修正</w:t>
      </w:r>
      <w:r w:rsidR="00A51370">
        <w:rPr>
          <w:rFonts w:hint="eastAsia"/>
          <w:shd w:val="clear" w:color="auto" w:fill="FFFFFF"/>
        </w:rPr>
        <w:t>，並</w:t>
      </w:r>
      <w:r w:rsidRPr="00386D02">
        <w:rPr>
          <w:rFonts w:hint="eastAsia"/>
          <w:shd w:val="clear" w:color="auto" w:fill="FFFFFF"/>
        </w:rPr>
        <w:t>由經濟部配合電業自由化、能源稅等推動情形，持續研</w:t>
      </w:r>
      <w:r w:rsidRPr="00E17C82">
        <w:rPr>
          <w:rFonts w:hint="eastAsia"/>
          <w:shd w:val="clear" w:color="auto" w:fill="FFFFFF"/>
        </w:rPr>
        <w:t>議</w:t>
      </w:r>
      <w:r w:rsidRPr="00386D02">
        <w:rPr>
          <w:rFonts w:hint="eastAsia"/>
          <w:shd w:val="clear" w:color="auto" w:fill="FFFFFF"/>
        </w:rPr>
        <w:t>該</w:t>
      </w:r>
      <w:r w:rsidR="002D0824">
        <w:rPr>
          <w:rFonts w:hint="eastAsia"/>
          <w:shd w:val="clear" w:color="auto" w:fill="FFFFFF"/>
        </w:rPr>
        <w:t>三</w:t>
      </w:r>
      <w:r w:rsidRPr="00386D02">
        <w:rPr>
          <w:rFonts w:hint="eastAsia"/>
          <w:shd w:val="clear" w:color="auto" w:fill="FFFFFF"/>
        </w:rPr>
        <w:t>基金</w:t>
      </w:r>
      <w:r w:rsidR="00A51370">
        <w:rPr>
          <w:rFonts w:hint="eastAsia"/>
          <w:shd w:val="clear" w:color="auto" w:fill="FFFFFF"/>
        </w:rPr>
        <w:t>之</w:t>
      </w:r>
      <w:r w:rsidRPr="00386D02">
        <w:rPr>
          <w:rFonts w:hint="eastAsia"/>
          <w:shd w:val="clear" w:color="auto" w:fill="FFFFFF"/>
        </w:rPr>
        <w:t>整併。</w:t>
      </w:r>
    </w:p>
    <w:p w:rsidR="00432CF1" w:rsidRPr="00432CF1" w:rsidRDefault="00A51370" w:rsidP="00182E9D">
      <w:pPr>
        <w:pStyle w:val="5"/>
        <w:ind w:rightChars="57" w:right="194"/>
      </w:pPr>
      <w:r>
        <w:rPr>
          <w:rFonts w:hAnsi="標楷體" w:hint="eastAsia"/>
        </w:rPr>
        <w:t>配合基金設置目的</w:t>
      </w:r>
      <w:r w:rsidR="00141478">
        <w:rPr>
          <w:rFonts w:hAnsi="標楷體" w:hint="eastAsia"/>
        </w:rPr>
        <w:t>，</w:t>
      </w:r>
      <w:r w:rsidR="00432CF1" w:rsidRPr="00432CF1">
        <w:rPr>
          <w:rFonts w:hAnsi="標楷體" w:hint="eastAsia"/>
        </w:rPr>
        <w:t>完成計畫目標後研議裁撤</w:t>
      </w:r>
      <w:r>
        <w:rPr>
          <w:rFonts w:hAnsi="標楷體" w:hint="eastAsia"/>
        </w:rPr>
        <w:t>部分</w:t>
      </w:r>
    </w:p>
    <w:p w:rsidR="00B4535E" w:rsidRPr="00AB6EA6" w:rsidRDefault="00B4535E" w:rsidP="00182E9D">
      <w:pPr>
        <w:pStyle w:val="41"/>
        <w:ind w:leftChars="542" w:left="1844" w:rightChars="99" w:right="337" w:firstLine="680"/>
      </w:pPr>
      <w:r>
        <w:rPr>
          <w:rFonts w:hint="eastAsia"/>
          <w:shd w:val="clear" w:color="auto" w:fill="FFFFFF"/>
        </w:rPr>
        <w:t>「</w:t>
      </w:r>
      <w:r w:rsidRPr="002C7017">
        <w:rPr>
          <w:rFonts w:hint="eastAsia"/>
          <w:shd w:val="clear" w:color="auto" w:fill="FFFFFF"/>
        </w:rPr>
        <w:t>國軍老舊眷村改建基金</w:t>
      </w:r>
      <w:r>
        <w:rPr>
          <w:rFonts w:hint="eastAsia"/>
          <w:shd w:val="clear" w:color="auto" w:fill="FFFFFF"/>
        </w:rPr>
        <w:t>」係</w:t>
      </w:r>
      <w:r w:rsidRPr="002C7017">
        <w:rPr>
          <w:rFonts w:hint="eastAsia"/>
          <w:shd w:val="clear" w:color="auto" w:fill="FFFFFF"/>
        </w:rPr>
        <w:t>依行政院核定之「國軍老舊眷村改建計畫」暨「國軍老舊眷村改建融資計畫」</w:t>
      </w:r>
      <w:r>
        <w:rPr>
          <w:rFonts w:hint="eastAsia"/>
          <w:shd w:val="clear" w:color="auto" w:fill="FFFFFF"/>
        </w:rPr>
        <w:t>辦理</w:t>
      </w:r>
      <w:r w:rsidRPr="002C7017">
        <w:rPr>
          <w:rFonts w:hint="eastAsia"/>
          <w:shd w:val="clear" w:color="auto" w:fill="FFFFFF"/>
        </w:rPr>
        <w:t>眷村改建及清償債務</w:t>
      </w:r>
      <w:r>
        <w:rPr>
          <w:rFonts w:hint="eastAsia"/>
          <w:shd w:val="clear" w:color="auto" w:fill="FFFFFF"/>
        </w:rPr>
        <w:t>等</w:t>
      </w:r>
      <w:r w:rsidRPr="002C7017">
        <w:rPr>
          <w:rFonts w:hint="eastAsia"/>
          <w:shd w:val="clear" w:color="auto" w:fill="FFFFFF"/>
        </w:rPr>
        <w:t>工作</w:t>
      </w:r>
      <w:r>
        <w:rPr>
          <w:rFonts w:hint="eastAsia"/>
          <w:shd w:val="clear" w:color="auto" w:fill="FFFFFF"/>
        </w:rPr>
        <w:t>，目前</w:t>
      </w:r>
      <w:r w:rsidR="00A51370">
        <w:rPr>
          <w:rFonts w:hint="eastAsia"/>
          <w:shd w:val="clear" w:color="auto" w:fill="FFFFFF"/>
        </w:rPr>
        <w:t>（106年2月）</w:t>
      </w:r>
      <w:r>
        <w:rPr>
          <w:rFonts w:hint="eastAsia"/>
          <w:shd w:val="clear" w:color="auto" w:fill="FFFFFF"/>
        </w:rPr>
        <w:t>眷村改建工作</w:t>
      </w:r>
      <w:r w:rsidR="00D202B9">
        <w:rPr>
          <w:rFonts w:hint="eastAsia"/>
          <w:shd w:val="clear" w:color="auto" w:fill="FFFFFF"/>
        </w:rPr>
        <w:t>已完成</w:t>
      </w:r>
      <w:r>
        <w:rPr>
          <w:rFonts w:hint="eastAsia"/>
          <w:shd w:val="clear" w:color="auto" w:fill="FFFFFF"/>
        </w:rPr>
        <w:t>，</w:t>
      </w:r>
      <w:r w:rsidRPr="002C7017">
        <w:rPr>
          <w:rFonts w:hint="eastAsia"/>
          <w:shd w:val="clear" w:color="auto" w:fill="FFFFFF"/>
        </w:rPr>
        <w:t>依目標</w:t>
      </w:r>
      <w:r>
        <w:rPr>
          <w:rFonts w:hint="eastAsia"/>
          <w:shd w:val="clear" w:color="auto" w:fill="FFFFFF"/>
        </w:rPr>
        <w:t>將於</w:t>
      </w:r>
      <w:r w:rsidRPr="002C7017">
        <w:rPr>
          <w:rFonts w:hint="eastAsia"/>
          <w:shd w:val="clear" w:color="auto" w:fill="FFFFFF"/>
        </w:rPr>
        <w:t>111年完成融資</w:t>
      </w:r>
      <w:r w:rsidR="00A47307">
        <w:rPr>
          <w:rFonts w:hint="eastAsia"/>
          <w:shd w:val="clear" w:color="auto" w:fill="FFFFFF"/>
        </w:rPr>
        <w:t>清</w:t>
      </w:r>
      <w:r w:rsidRPr="002C7017">
        <w:rPr>
          <w:rFonts w:hint="eastAsia"/>
          <w:shd w:val="clear" w:color="auto" w:fill="FFFFFF"/>
        </w:rPr>
        <w:t>償等</w:t>
      </w:r>
      <w:r w:rsidR="00432CF1">
        <w:rPr>
          <w:rFonts w:hint="eastAsia"/>
          <w:shd w:val="clear" w:color="auto" w:fill="FFFFFF"/>
        </w:rPr>
        <w:t>工作，由</w:t>
      </w:r>
      <w:r w:rsidR="00275442">
        <w:rPr>
          <w:rFonts w:hint="eastAsia"/>
          <w:shd w:val="clear" w:color="auto" w:fill="FFFFFF"/>
        </w:rPr>
        <w:t>國防部依計畫目標及早結束</w:t>
      </w:r>
      <w:r>
        <w:rPr>
          <w:rFonts w:hint="eastAsia"/>
          <w:shd w:val="clear" w:color="auto" w:fill="FFFFFF"/>
        </w:rPr>
        <w:t>相關</w:t>
      </w:r>
      <w:r w:rsidRPr="002C7017">
        <w:rPr>
          <w:rFonts w:hint="eastAsia"/>
          <w:shd w:val="clear" w:color="auto" w:fill="FFFFFF"/>
        </w:rPr>
        <w:t>工作</w:t>
      </w:r>
      <w:r>
        <w:rPr>
          <w:rFonts w:hint="eastAsia"/>
          <w:shd w:val="clear" w:color="auto" w:fill="FFFFFF"/>
        </w:rPr>
        <w:t>，將於基金設置目的達成後即可檢討</w:t>
      </w:r>
      <w:r w:rsidRPr="002C7017">
        <w:rPr>
          <w:rFonts w:hint="eastAsia"/>
          <w:shd w:val="clear" w:color="auto" w:fill="FFFFFF"/>
        </w:rPr>
        <w:t>裁撤</w:t>
      </w:r>
      <w:r w:rsidR="00432CF1">
        <w:rPr>
          <w:rFonts w:hint="eastAsia"/>
          <w:shd w:val="clear" w:color="auto" w:fill="FFFFFF"/>
        </w:rPr>
        <w:t>。</w:t>
      </w:r>
      <w:r w:rsidR="005B6DE3">
        <w:rPr>
          <w:rFonts w:hint="eastAsia"/>
          <w:shd w:val="clear" w:color="auto" w:fill="FFFFFF"/>
        </w:rPr>
        <w:t xml:space="preserve"> </w:t>
      </w:r>
    </w:p>
    <w:p w:rsidR="00432CF1" w:rsidRDefault="00432CF1" w:rsidP="00182E9D">
      <w:pPr>
        <w:pStyle w:val="3"/>
        <w:ind w:rightChars="99" w:right="337"/>
      </w:pPr>
      <w:r>
        <w:rPr>
          <w:rFonts w:hint="eastAsia"/>
        </w:rPr>
        <w:t>綜上，</w:t>
      </w:r>
      <w:r w:rsidR="001C3DEA">
        <w:rPr>
          <w:rFonts w:hint="eastAsia"/>
        </w:rPr>
        <w:t>本案</w:t>
      </w:r>
      <w:r w:rsidR="001C3DEA" w:rsidRPr="00AB6EA6">
        <w:rPr>
          <w:rFonts w:hint="eastAsia"/>
        </w:rPr>
        <w:t>所</w:t>
      </w:r>
      <w:r w:rsidR="001C3DEA">
        <w:rPr>
          <w:rFonts w:hint="eastAsia"/>
        </w:rPr>
        <w:t>涉</w:t>
      </w:r>
      <w:r w:rsidR="001C3DEA" w:rsidRPr="00AB6EA6">
        <w:rPr>
          <w:rFonts w:hint="eastAsia"/>
        </w:rPr>
        <w:t>經檢討應進行裁併之17個</w:t>
      </w:r>
      <w:r w:rsidR="001C3DEA">
        <w:rPr>
          <w:rFonts w:hint="eastAsia"/>
        </w:rPr>
        <w:t>非營業特種</w:t>
      </w:r>
      <w:r w:rsidR="001C3DEA" w:rsidRPr="00AB6EA6">
        <w:rPr>
          <w:rFonts w:hint="eastAsia"/>
        </w:rPr>
        <w:t>基金，計有「中央都市更新基金」等</w:t>
      </w:r>
      <w:r w:rsidR="001C3DEA">
        <w:rPr>
          <w:rFonts w:hint="eastAsia"/>
        </w:rPr>
        <w:t>4個基金</w:t>
      </w:r>
      <w:r w:rsidR="001C3DEA">
        <w:rPr>
          <w:rFonts w:hint="eastAsia"/>
        </w:rPr>
        <w:lastRenderedPageBreak/>
        <w:t>已完成裁併或有確切裁併時</w:t>
      </w:r>
      <w:r w:rsidR="001C3DEA" w:rsidRPr="00AB6EA6">
        <w:rPr>
          <w:rFonts w:hint="eastAsia"/>
        </w:rPr>
        <w:t>程，餘13個基金囿於行政院組織改造進程、基金設置法源修正需要及興辦業務尚未完成等因素，列為中長期裁併目標，主計總處允宜依該總處104年8月4日函發之檢討結果彙總表</w:t>
      </w:r>
      <w:r w:rsidR="001C3DEA">
        <w:rPr>
          <w:rFonts w:hint="eastAsia"/>
        </w:rPr>
        <w:t>，</w:t>
      </w:r>
      <w:r w:rsidR="001C3DEA" w:rsidRPr="00AB6EA6">
        <w:rPr>
          <w:rFonts w:hint="eastAsia"/>
        </w:rPr>
        <w:t>持續推動</w:t>
      </w:r>
      <w:r w:rsidR="001C3DEA">
        <w:rPr>
          <w:rFonts w:hint="eastAsia"/>
        </w:rPr>
        <w:t>整併作業。復以行政院組織改造自97</w:t>
      </w:r>
      <w:r w:rsidR="001C3DEA" w:rsidRPr="0075777F">
        <w:t>年7月</w:t>
      </w:r>
      <w:r w:rsidR="001C3DEA">
        <w:rPr>
          <w:rFonts w:hint="eastAsia"/>
        </w:rPr>
        <w:t>即開始推動，</w:t>
      </w:r>
      <w:r w:rsidR="001C3DEA">
        <w:rPr>
          <w:rFonts w:hint="eastAsia"/>
          <w:shd w:val="clear" w:color="auto" w:fill="FFFFFF"/>
        </w:rPr>
        <w:t>「</w:t>
      </w:r>
      <w:r w:rsidR="001C3DEA" w:rsidRPr="009F06A2">
        <w:rPr>
          <w:rFonts w:hint="eastAsia"/>
          <w:shd w:val="clear" w:color="auto" w:fill="FFFFFF"/>
        </w:rPr>
        <w:t>加工出口區作業基金</w:t>
      </w:r>
      <w:r w:rsidR="001C3DEA">
        <w:rPr>
          <w:rFonts w:hint="eastAsia"/>
          <w:shd w:val="clear" w:color="auto" w:fill="FFFFFF"/>
        </w:rPr>
        <w:t>」、「</w:t>
      </w:r>
      <w:r w:rsidR="001C3DEA" w:rsidRPr="009F06A2">
        <w:rPr>
          <w:rFonts w:hint="eastAsia"/>
          <w:shd w:val="clear" w:color="auto" w:fill="FFFFFF"/>
        </w:rPr>
        <w:t>產業園區開發管理基金</w:t>
      </w:r>
      <w:r w:rsidR="001C3DEA">
        <w:rPr>
          <w:rFonts w:hint="eastAsia"/>
          <w:shd w:val="clear" w:color="auto" w:fill="FFFFFF"/>
        </w:rPr>
        <w:t>」、</w:t>
      </w:r>
      <w:r w:rsidR="001C3DEA">
        <w:rPr>
          <w:rFonts w:hint="eastAsia"/>
        </w:rPr>
        <w:t>「林務發展及造林基金」與「</w:t>
      </w:r>
      <w:r w:rsidR="001C3DEA" w:rsidRPr="00CA5FEE">
        <w:rPr>
          <w:rFonts w:hint="eastAsia"/>
        </w:rPr>
        <w:t>水資源作業基金</w:t>
      </w:r>
      <w:r w:rsidR="001C3DEA">
        <w:rPr>
          <w:rFonts w:hint="eastAsia"/>
        </w:rPr>
        <w:t>」均以配合前揭組改結果作為整併與否考量，主計總處尤應督促相關部會，確依原訂檢討期程整併本案相關基金，以符立法院決議</w:t>
      </w:r>
      <w:r w:rsidRPr="00AB6EA6">
        <w:rPr>
          <w:rFonts w:hint="eastAsia"/>
        </w:rPr>
        <w:t>。</w:t>
      </w:r>
    </w:p>
    <w:p w:rsidR="005B6DE3" w:rsidRDefault="005B6DE3" w:rsidP="005B6DE3">
      <w:pPr>
        <w:pStyle w:val="3"/>
        <w:numPr>
          <w:ilvl w:val="0"/>
          <w:numId w:val="0"/>
        </w:numPr>
        <w:ind w:left="1361"/>
      </w:pPr>
    </w:p>
    <w:p w:rsidR="00BA1627" w:rsidRPr="00D1173F" w:rsidRDefault="002E22F0" w:rsidP="009C0194">
      <w:pPr>
        <w:pStyle w:val="2"/>
        <w:ind w:rightChars="99" w:right="337"/>
        <w:rPr>
          <w:rFonts w:hAnsi="標楷體"/>
          <w:b/>
          <w:szCs w:val="32"/>
        </w:rPr>
      </w:pPr>
      <w:r w:rsidRPr="00D1173F">
        <w:rPr>
          <w:rFonts w:hAnsi="標楷體" w:hint="eastAsia"/>
          <w:b/>
          <w:kern w:val="0"/>
          <w:szCs w:val="32"/>
        </w:rPr>
        <w:t>內政部所屬「住宅基金」及</w:t>
      </w:r>
      <w:r w:rsidR="00AD7E70" w:rsidRPr="00D1173F">
        <w:rPr>
          <w:rFonts w:hAnsi="標楷體" w:hint="eastAsia"/>
          <w:b/>
          <w:kern w:val="0"/>
          <w:szCs w:val="32"/>
        </w:rPr>
        <w:t>「中央都市更新基金」</w:t>
      </w:r>
      <w:r w:rsidRPr="00D1173F">
        <w:rPr>
          <w:rFonts w:hAnsi="標楷體" w:hint="eastAsia"/>
          <w:b/>
          <w:kern w:val="0"/>
          <w:szCs w:val="32"/>
        </w:rPr>
        <w:t>，與經濟部所屬之</w:t>
      </w:r>
      <w:r w:rsidR="00AD7E70" w:rsidRPr="00D1173F">
        <w:rPr>
          <w:rFonts w:hAnsi="標楷體" w:hint="eastAsia"/>
          <w:b/>
          <w:kern w:val="0"/>
          <w:szCs w:val="32"/>
        </w:rPr>
        <w:t>「中小企業發展基金」及</w:t>
      </w:r>
      <w:r w:rsidRPr="00D1173F">
        <w:rPr>
          <w:rFonts w:hAnsi="標楷體" w:hint="eastAsia"/>
          <w:b/>
          <w:kern w:val="0"/>
          <w:szCs w:val="32"/>
        </w:rPr>
        <w:t>「水資源作業基金</w:t>
      </w:r>
      <w:r w:rsidR="00AD7E70" w:rsidRPr="00D1173F">
        <w:rPr>
          <w:rFonts w:hAnsi="標楷體" w:hint="eastAsia"/>
          <w:b/>
          <w:kern w:val="0"/>
          <w:szCs w:val="32"/>
        </w:rPr>
        <w:t>」</w:t>
      </w:r>
      <w:r w:rsidR="00965830" w:rsidRPr="00D1173F">
        <w:rPr>
          <w:rFonts w:hAnsi="標楷體" w:hint="eastAsia"/>
          <w:b/>
          <w:szCs w:val="32"/>
        </w:rPr>
        <w:t>等基金</w:t>
      </w:r>
      <w:r w:rsidRPr="00D1173F">
        <w:rPr>
          <w:rFonts w:hAnsi="標楷體" w:hint="eastAsia"/>
          <w:b/>
          <w:szCs w:val="32"/>
        </w:rPr>
        <w:t>之</w:t>
      </w:r>
      <w:r w:rsidR="00BA1627" w:rsidRPr="00D1173F">
        <w:rPr>
          <w:rFonts w:hAnsi="標楷體" w:hint="eastAsia"/>
          <w:b/>
          <w:szCs w:val="32"/>
        </w:rPr>
        <w:t>屬</w:t>
      </w:r>
      <w:r w:rsidR="00965830" w:rsidRPr="00D1173F">
        <w:rPr>
          <w:rFonts w:hAnsi="標楷體" w:hint="eastAsia"/>
          <w:b/>
          <w:szCs w:val="32"/>
        </w:rPr>
        <w:t>性雖為</w:t>
      </w:r>
      <w:r w:rsidR="00BA1627" w:rsidRPr="00D1173F">
        <w:rPr>
          <w:rFonts w:hAnsi="標楷體" w:hint="eastAsia"/>
          <w:b/>
          <w:szCs w:val="32"/>
        </w:rPr>
        <w:t>作業基金，依</w:t>
      </w:r>
      <w:r w:rsidR="00D31B5B">
        <w:rPr>
          <w:rFonts w:hAnsi="標楷體" w:hint="eastAsia"/>
          <w:b/>
          <w:szCs w:val="32"/>
        </w:rPr>
        <w:t>「</w:t>
      </w:r>
      <w:r w:rsidR="00BA1627" w:rsidRPr="00D1173F">
        <w:rPr>
          <w:rFonts w:hAnsi="標楷體" w:hint="eastAsia"/>
          <w:b/>
          <w:szCs w:val="32"/>
        </w:rPr>
        <w:t>預算法</w:t>
      </w:r>
      <w:r w:rsidR="00D31B5B">
        <w:rPr>
          <w:rFonts w:hAnsi="標楷體" w:hint="eastAsia"/>
          <w:b/>
          <w:szCs w:val="32"/>
        </w:rPr>
        <w:t>」</w:t>
      </w:r>
      <w:r w:rsidR="00BA1627" w:rsidRPr="00D1173F">
        <w:rPr>
          <w:rFonts w:hAnsi="標楷體" w:hint="eastAsia"/>
          <w:b/>
          <w:szCs w:val="32"/>
        </w:rPr>
        <w:t>規定，其支出應有自償性，惟卻</w:t>
      </w:r>
      <w:r w:rsidR="006532AD" w:rsidRPr="00D1173F">
        <w:rPr>
          <w:rFonts w:hAnsi="標楷體" w:hint="eastAsia"/>
          <w:b/>
          <w:szCs w:val="32"/>
        </w:rPr>
        <w:t>負</w:t>
      </w:r>
      <w:r w:rsidR="00AD7E70" w:rsidRPr="00D1173F">
        <w:rPr>
          <w:rFonts w:hAnsi="標楷體" w:hint="eastAsia"/>
          <w:b/>
          <w:szCs w:val="32"/>
        </w:rPr>
        <w:t>擔</w:t>
      </w:r>
      <w:r w:rsidR="006532AD" w:rsidRPr="00D1173F">
        <w:rPr>
          <w:rFonts w:hAnsi="標楷體" w:hint="eastAsia"/>
          <w:b/>
          <w:szCs w:val="32"/>
        </w:rPr>
        <w:t>諸多不具回收性</w:t>
      </w:r>
      <w:r w:rsidR="00EE491C" w:rsidRPr="00D1173F">
        <w:rPr>
          <w:rFonts w:hAnsi="標楷體" w:hint="eastAsia"/>
          <w:b/>
          <w:szCs w:val="32"/>
        </w:rPr>
        <w:t>支出</w:t>
      </w:r>
      <w:r w:rsidR="00BA1627" w:rsidRPr="00D1173F">
        <w:rPr>
          <w:rFonts w:hAnsi="標楷體" w:hint="eastAsia"/>
          <w:b/>
          <w:szCs w:val="32"/>
        </w:rPr>
        <w:t>，</w:t>
      </w:r>
      <w:r w:rsidR="002D0824">
        <w:rPr>
          <w:rFonts w:hAnsi="標楷體" w:hint="eastAsia"/>
          <w:b/>
          <w:szCs w:val="32"/>
        </w:rPr>
        <w:t>恐有損</w:t>
      </w:r>
      <w:r w:rsidRPr="00D1173F">
        <w:rPr>
          <w:rFonts w:hAnsi="標楷體" w:hint="eastAsia"/>
          <w:b/>
          <w:szCs w:val="32"/>
        </w:rPr>
        <w:t>及基金營運永續性</w:t>
      </w:r>
      <w:r w:rsidR="002D0824">
        <w:rPr>
          <w:rFonts w:hAnsi="標楷體" w:hint="eastAsia"/>
          <w:b/>
          <w:szCs w:val="32"/>
        </w:rPr>
        <w:t>之疑慮</w:t>
      </w:r>
      <w:r w:rsidRPr="00D1173F">
        <w:rPr>
          <w:rFonts w:hAnsi="標楷體" w:hint="eastAsia"/>
          <w:b/>
          <w:szCs w:val="32"/>
        </w:rPr>
        <w:t>；</w:t>
      </w:r>
      <w:r w:rsidR="006532AD" w:rsidRPr="00D1173F">
        <w:rPr>
          <w:rFonts w:hAnsi="標楷體" w:hint="eastAsia"/>
          <w:b/>
          <w:kern w:val="0"/>
          <w:szCs w:val="32"/>
        </w:rPr>
        <w:t>甚至</w:t>
      </w:r>
      <w:r w:rsidRPr="00D1173F">
        <w:rPr>
          <w:rFonts w:hAnsi="標楷體" w:hint="eastAsia"/>
          <w:b/>
          <w:szCs w:val="24"/>
        </w:rPr>
        <w:t>部分原由</w:t>
      </w:r>
      <w:r w:rsidR="006532AD" w:rsidRPr="00D1173F">
        <w:rPr>
          <w:rFonts w:hAnsi="標楷體" w:hint="eastAsia"/>
          <w:b/>
          <w:szCs w:val="24"/>
        </w:rPr>
        <w:t>經濟部</w:t>
      </w:r>
      <w:r w:rsidR="006532AD" w:rsidRPr="00D1173F">
        <w:rPr>
          <w:rFonts w:hint="eastAsia"/>
          <w:b/>
        </w:rPr>
        <w:t>中小企業處</w:t>
      </w:r>
      <w:r w:rsidRPr="00D1173F">
        <w:rPr>
          <w:rFonts w:hAnsi="標楷體" w:hint="eastAsia"/>
          <w:b/>
          <w:szCs w:val="24"/>
        </w:rPr>
        <w:t>公務預算支應之經費，改由</w:t>
      </w:r>
      <w:r w:rsidR="006532AD" w:rsidRPr="00D1173F">
        <w:rPr>
          <w:rFonts w:hAnsi="標楷體" w:hint="eastAsia"/>
          <w:b/>
          <w:kern w:val="0"/>
          <w:szCs w:val="32"/>
        </w:rPr>
        <w:t>「中小企業發展基金」</w:t>
      </w:r>
      <w:r w:rsidRPr="00D1173F">
        <w:rPr>
          <w:rFonts w:hAnsi="標楷體" w:hint="eastAsia"/>
          <w:b/>
          <w:szCs w:val="24"/>
        </w:rPr>
        <w:t>支付，</w:t>
      </w:r>
      <w:r w:rsidR="006532AD" w:rsidRPr="00D1173F">
        <w:rPr>
          <w:rFonts w:hAnsi="標楷體" w:hint="eastAsia"/>
          <w:b/>
          <w:szCs w:val="24"/>
        </w:rPr>
        <w:t>而</w:t>
      </w:r>
      <w:r w:rsidRPr="00D1173F">
        <w:rPr>
          <w:rFonts w:hAnsi="標楷體" w:hint="eastAsia"/>
          <w:b/>
          <w:szCs w:val="24"/>
        </w:rPr>
        <w:t>加重</w:t>
      </w:r>
      <w:r w:rsidR="006532AD" w:rsidRPr="00D1173F">
        <w:rPr>
          <w:rFonts w:hAnsi="標楷體" w:hint="eastAsia"/>
          <w:b/>
          <w:szCs w:val="24"/>
        </w:rPr>
        <w:t>該</w:t>
      </w:r>
      <w:r w:rsidRPr="00D1173F">
        <w:rPr>
          <w:rFonts w:hAnsi="標楷體" w:hint="eastAsia"/>
          <w:b/>
          <w:szCs w:val="24"/>
        </w:rPr>
        <w:t>基金財務負擔情事，</w:t>
      </w:r>
      <w:r w:rsidR="00EE491C" w:rsidRPr="00D1173F">
        <w:rPr>
          <w:rFonts w:hAnsi="標楷體" w:hint="eastAsia"/>
          <w:b/>
          <w:szCs w:val="24"/>
        </w:rPr>
        <w:t>均</w:t>
      </w:r>
      <w:r w:rsidRPr="00D1173F">
        <w:rPr>
          <w:rFonts w:hAnsi="標楷體" w:hint="eastAsia"/>
          <w:b/>
          <w:szCs w:val="32"/>
        </w:rPr>
        <w:t>已影響基金之財務健全</w:t>
      </w:r>
      <w:r w:rsidR="00C11627" w:rsidRPr="00D1173F">
        <w:rPr>
          <w:rFonts w:hAnsi="標楷體" w:hint="eastAsia"/>
          <w:b/>
          <w:szCs w:val="32"/>
        </w:rPr>
        <w:t>，且造成難以</w:t>
      </w:r>
      <w:r w:rsidR="000771DC" w:rsidRPr="00D1173F">
        <w:rPr>
          <w:rFonts w:hAnsi="標楷體" w:hint="eastAsia"/>
          <w:b/>
          <w:szCs w:val="32"/>
        </w:rPr>
        <w:t>覈</w:t>
      </w:r>
      <w:r w:rsidR="00C11627" w:rsidRPr="00D1173F">
        <w:rPr>
          <w:rFonts w:hAnsi="標楷體" w:hint="eastAsia"/>
          <w:b/>
          <w:szCs w:val="32"/>
        </w:rPr>
        <w:t>實衡量基金營運績效之負面影響</w:t>
      </w:r>
      <w:r w:rsidR="005B6DE3">
        <w:rPr>
          <w:rFonts w:hAnsi="標楷體" w:hint="eastAsia"/>
          <w:b/>
          <w:szCs w:val="32"/>
        </w:rPr>
        <w:t>，均宜檢討正視</w:t>
      </w:r>
      <w:r w:rsidRPr="00D1173F">
        <w:rPr>
          <w:rFonts w:hAnsi="標楷體" w:hint="eastAsia"/>
          <w:b/>
          <w:szCs w:val="32"/>
        </w:rPr>
        <w:t>。</w:t>
      </w:r>
    </w:p>
    <w:p w:rsidR="002E22F0" w:rsidRDefault="002E22F0" w:rsidP="00182E9D">
      <w:pPr>
        <w:pStyle w:val="3"/>
        <w:ind w:rightChars="141" w:right="480"/>
      </w:pPr>
      <w:r>
        <w:rPr>
          <w:rFonts w:hint="eastAsia"/>
        </w:rPr>
        <w:t>依</w:t>
      </w:r>
      <w:r w:rsidR="00D31B5B">
        <w:rPr>
          <w:rFonts w:hint="eastAsia"/>
        </w:rPr>
        <w:t>「</w:t>
      </w:r>
      <w:r>
        <w:rPr>
          <w:rFonts w:hint="eastAsia"/>
        </w:rPr>
        <w:t>預算法</w:t>
      </w:r>
      <w:r w:rsidR="00D31B5B">
        <w:rPr>
          <w:rFonts w:hint="eastAsia"/>
        </w:rPr>
        <w:t>」</w:t>
      </w:r>
      <w:r>
        <w:rPr>
          <w:rFonts w:hint="eastAsia"/>
        </w:rPr>
        <w:t>第4條規定：「稱基金者，謂已定用途而已收入或尚未收入之現金或其他財產。基金分左列二類︰……特種基金︰歲入之供特殊用途者，為特種基金，其種類如左︰……（四）凡經付出仍可收回，而非用於營業者，為作業基金。……」爰屬前揭規定</w:t>
      </w:r>
      <w:r w:rsidR="00284975">
        <w:rPr>
          <w:rFonts w:hint="eastAsia"/>
        </w:rPr>
        <w:t>之</w:t>
      </w:r>
      <w:r w:rsidRPr="002E22F0">
        <w:rPr>
          <w:rFonts w:hint="eastAsia"/>
        </w:rPr>
        <w:t>作業基金，</w:t>
      </w:r>
      <w:r w:rsidR="00284975">
        <w:rPr>
          <w:rFonts w:hint="eastAsia"/>
        </w:rPr>
        <w:t>其</w:t>
      </w:r>
      <w:r w:rsidRPr="002E22F0">
        <w:rPr>
          <w:rFonts w:hint="eastAsia"/>
        </w:rPr>
        <w:t>支出均需具自償性，凡無法收回者皆不適用作業基金，始符</w:t>
      </w:r>
      <w:r w:rsidR="000771DC">
        <w:rPr>
          <w:rFonts w:hint="eastAsia"/>
        </w:rPr>
        <w:t>作業</w:t>
      </w:r>
      <w:r w:rsidRPr="002E22F0">
        <w:rPr>
          <w:rFonts w:hint="eastAsia"/>
        </w:rPr>
        <w:t>基金設立目的</w:t>
      </w:r>
      <w:r w:rsidR="00284975">
        <w:rPr>
          <w:rFonts w:hint="eastAsia"/>
        </w:rPr>
        <w:t>，合先敘明</w:t>
      </w:r>
      <w:r w:rsidRPr="002E22F0">
        <w:rPr>
          <w:rFonts w:hint="eastAsia"/>
        </w:rPr>
        <w:t>。</w:t>
      </w:r>
    </w:p>
    <w:p w:rsidR="00EE491C" w:rsidRDefault="002E22F0" w:rsidP="00C47FB7">
      <w:pPr>
        <w:pStyle w:val="3"/>
      </w:pPr>
      <w:r>
        <w:rPr>
          <w:rFonts w:hint="eastAsia"/>
        </w:rPr>
        <w:lastRenderedPageBreak/>
        <w:t>經查，</w:t>
      </w:r>
      <w:r w:rsidR="00EE491C">
        <w:rPr>
          <w:rFonts w:hint="eastAsia"/>
        </w:rPr>
        <w:t>本案作業基金非自償性支出情形如下：</w:t>
      </w:r>
    </w:p>
    <w:p w:rsidR="00EE491C" w:rsidRDefault="00EE491C" w:rsidP="00C47FB7">
      <w:pPr>
        <w:pStyle w:val="4"/>
      </w:pPr>
      <w:r>
        <w:rPr>
          <w:rFonts w:hint="eastAsia"/>
        </w:rPr>
        <w:t>內政部所屬作業基金</w:t>
      </w:r>
    </w:p>
    <w:p w:rsidR="00EE491C" w:rsidRDefault="00EE491C" w:rsidP="00C47FB7">
      <w:pPr>
        <w:pStyle w:val="5"/>
      </w:pPr>
      <w:r>
        <w:rPr>
          <w:rFonts w:hint="eastAsia"/>
        </w:rPr>
        <w:t>「住宅基金」</w:t>
      </w:r>
    </w:p>
    <w:p w:rsidR="00EE491C" w:rsidRDefault="00EE491C" w:rsidP="009C0194">
      <w:pPr>
        <w:pStyle w:val="52"/>
        <w:ind w:left="2041" w:rightChars="57" w:right="194" w:firstLine="680"/>
      </w:pPr>
      <w:r w:rsidRPr="00D03E23">
        <w:rPr>
          <w:rFonts w:hint="eastAsia"/>
        </w:rPr>
        <w:t>102年至105年「住宅基金」之非自償性支出金額及占基金</w:t>
      </w:r>
      <w:r>
        <w:rPr>
          <w:rFonts w:hint="eastAsia"/>
        </w:rPr>
        <w:t>總</w:t>
      </w:r>
      <w:r w:rsidRPr="00D03E23">
        <w:rPr>
          <w:rFonts w:hint="eastAsia"/>
        </w:rPr>
        <w:t>支出金額比率</w:t>
      </w:r>
      <w:r>
        <w:rPr>
          <w:rFonts w:hint="eastAsia"/>
        </w:rPr>
        <w:t>分別為63.84億餘元及84﹪、54.61億餘元及87﹪、52.65億餘元及91﹪與53.77億餘元及77﹪</w:t>
      </w:r>
      <w:r w:rsidRPr="00D03E23">
        <w:rPr>
          <w:rFonts w:hint="eastAsia"/>
        </w:rPr>
        <w:t>，</w:t>
      </w:r>
      <w:r w:rsidRPr="00D03E23">
        <w:rPr>
          <w:rFonts w:hint="eastAsia"/>
          <w:color w:val="FF0000"/>
        </w:rPr>
        <w:t>如表</w:t>
      </w:r>
      <w:r w:rsidR="00B1597F">
        <w:rPr>
          <w:rFonts w:hint="eastAsia"/>
          <w:color w:val="FF0000"/>
        </w:rPr>
        <w:t>1</w:t>
      </w:r>
      <w:r w:rsidRPr="00D03E23">
        <w:rPr>
          <w:rFonts w:hint="eastAsia"/>
        </w:rPr>
        <w:t>。</w:t>
      </w:r>
    </w:p>
    <w:p w:rsidR="005B6DE3" w:rsidRDefault="005B6DE3" w:rsidP="00C47FB7">
      <w:pPr>
        <w:pStyle w:val="52"/>
        <w:ind w:left="2041" w:firstLine="680"/>
      </w:pPr>
    </w:p>
    <w:p w:rsidR="00EE491C" w:rsidRPr="009459D8" w:rsidRDefault="000771DC" w:rsidP="000771DC">
      <w:pPr>
        <w:pStyle w:val="afa"/>
        <w:snapToGrid w:val="0"/>
        <w:ind w:leftChars="-42" w:left="-2" w:rightChars="-260" w:right="-884" w:hangingChars="47" w:hanging="141"/>
        <w:rPr>
          <w:rFonts w:hAnsi="標楷體"/>
          <w:b/>
          <w:sz w:val="28"/>
          <w:szCs w:val="28"/>
        </w:rPr>
      </w:pPr>
      <w:r w:rsidRPr="009459D8">
        <w:rPr>
          <w:rFonts w:hAnsi="標楷體" w:hint="eastAsia"/>
          <w:b/>
          <w:sz w:val="28"/>
          <w:szCs w:val="28"/>
        </w:rPr>
        <w:t>表</w:t>
      </w:r>
      <w:r w:rsidR="00B1597F" w:rsidRPr="009459D8">
        <w:rPr>
          <w:rFonts w:hAnsi="標楷體" w:hint="eastAsia"/>
          <w:b/>
          <w:sz w:val="28"/>
          <w:szCs w:val="28"/>
        </w:rPr>
        <w:t>1</w:t>
      </w:r>
      <w:r w:rsidRPr="009459D8">
        <w:rPr>
          <w:rFonts w:hAnsi="標楷體" w:hint="eastAsia"/>
          <w:b/>
          <w:sz w:val="28"/>
          <w:szCs w:val="28"/>
        </w:rPr>
        <w:t xml:space="preserve">  </w:t>
      </w:r>
      <w:r w:rsidR="00EE491C" w:rsidRPr="009459D8">
        <w:rPr>
          <w:rFonts w:hAnsi="標楷體" w:hint="eastAsia"/>
          <w:b/>
          <w:sz w:val="28"/>
          <w:szCs w:val="28"/>
        </w:rPr>
        <w:t>「住宅基金」非</w:t>
      </w:r>
      <w:r w:rsidR="00EE491C" w:rsidRPr="009459D8">
        <w:rPr>
          <w:rFonts w:hAnsi="標楷體" w:hint="eastAsia"/>
          <w:b/>
          <w:spacing w:val="-4"/>
          <w:sz w:val="28"/>
          <w:szCs w:val="28"/>
        </w:rPr>
        <w:t>自償性支出情形統計表             單位：千元，﹪</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977"/>
        <w:gridCol w:w="1418"/>
        <w:gridCol w:w="1417"/>
        <w:gridCol w:w="1559"/>
        <w:gridCol w:w="1560"/>
      </w:tblGrid>
      <w:tr w:rsidR="00EE491C" w:rsidRPr="003A0F72" w:rsidTr="00182E9D">
        <w:trPr>
          <w:trHeight w:val="397"/>
          <w:tblHeader/>
        </w:trPr>
        <w:tc>
          <w:tcPr>
            <w:tcW w:w="84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基金名稱</w:t>
            </w:r>
          </w:p>
        </w:tc>
        <w:tc>
          <w:tcPr>
            <w:tcW w:w="2977" w:type="dxa"/>
            <w:tcBorders>
              <w:top w:val="single" w:sz="4" w:space="0" w:color="auto"/>
              <w:left w:val="single" w:sz="4" w:space="0" w:color="auto"/>
              <w:bottom w:val="single" w:sz="4" w:space="0" w:color="auto"/>
              <w:right w:val="single" w:sz="4" w:space="0" w:color="auto"/>
              <w:tl2br w:val="single" w:sz="4" w:space="0" w:color="auto"/>
            </w:tcBorders>
            <w:hideMark/>
          </w:tcPr>
          <w:p w:rsidR="00EE491C" w:rsidRPr="003A0F72" w:rsidRDefault="00EE491C" w:rsidP="00FC409C">
            <w:pPr>
              <w:spacing w:before="100" w:beforeAutospacing="1" w:line="240" w:lineRule="exact"/>
              <w:jc w:val="right"/>
              <w:rPr>
                <w:rFonts w:hAnsi="標楷體"/>
                <w:sz w:val="27"/>
                <w:szCs w:val="27"/>
              </w:rPr>
            </w:pPr>
            <w:r w:rsidRPr="003A0F72">
              <w:rPr>
                <w:rFonts w:hAnsi="標楷體" w:hint="eastAsia"/>
                <w:sz w:val="27"/>
                <w:szCs w:val="27"/>
              </w:rPr>
              <w:t xml:space="preserve">   年度</w:t>
            </w:r>
          </w:p>
          <w:p w:rsidR="00EE491C" w:rsidRPr="003A0F72" w:rsidRDefault="00EE491C" w:rsidP="00FC409C">
            <w:pPr>
              <w:spacing w:before="100" w:beforeAutospacing="1" w:line="240" w:lineRule="exact"/>
              <w:rPr>
                <w:rFonts w:hAnsi="標楷體"/>
                <w:sz w:val="27"/>
                <w:szCs w:val="27"/>
              </w:rPr>
            </w:pPr>
            <w:r w:rsidRPr="003A0F72">
              <w:rPr>
                <w:rFonts w:hAnsi="標楷體" w:hint="eastAsia"/>
                <w:sz w:val="27"/>
                <w:szCs w:val="27"/>
              </w:rPr>
              <w:t>項目</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102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103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104</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105</w:t>
            </w:r>
          </w:p>
        </w:tc>
      </w:tr>
      <w:tr w:rsidR="00EE491C" w:rsidRPr="003A0F72" w:rsidTr="00FC409C">
        <w:trPr>
          <w:trHeight w:val="391"/>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住宅基金</w:t>
            </w:r>
          </w:p>
        </w:tc>
        <w:tc>
          <w:tcPr>
            <w:tcW w:w="297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B121E">
            <w:pPr>
              <w:spacing w:before="100" w:beforeAutospacing="1" w:line="240" w:lineRule="exact"/>
              <w:rPr>
                <w:rFonts w:hAnsi="標楷體" w:cs="新細明體"/>
                <w:b/>
                <w:sz w:val="24"/>
                <w:szCs w:val="24"/>
              </w:rPr>
            </w:pPr>
            <w:r w:rsidRPr="003A0F72">
              <w:rPr>
                <w:rFonts w:hAnsi="標楷體" w:hint="eastAsia"/>
                <w:b/>
                <w:sz w:val="24"/>
                <w:szCs w:val="24"/>
              </w:rPr>
              <w:t>支出總金額-含業務成本與費用、業務外費用</w:t>
            </w:r>
            <w:r w:rsidRPr="003A0F72">
              <w:rPr>
                <w:rFonts w:hAnsi="標楷體" w:hint="eastAsia"/>
                <w:b/>
                <w:sz w:val="24"/>
                <w:szCs w:val="24"/>
              </w:rPr>
              <w:br/>
              <w: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EE491C">
            <w:pPr>
              <w:spacing w:before="100" w:beforeAutospacing="1"/>
              <w:ind w:leftChars="-83" w:left="-1" w:hangingChars="104" w:hanging="281"/>
              <w:jc w:val="right"/>
              <w:rPr>
                <w:rFonts w:hAnsi="標楷體" w:cs="新細明體"/>
                <w:sz w:val="25"/>
                <w:szCs w:val="25"/>
              </w:rPr>
            </w:pPr>
            <w:r w:rsidRPr="003A0F72">
              <w:rPr>
                <w:rFonts w:hAnsi="標楷體" w:hint="eastAsia"/>
                <w:sz w:val="25"/>
                <w:szCs w:val="25"/>
              </w:rPr>
              <w:t>7,631,653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EE491C">
            <w:pPr>
              <w:spacing w:before="100" w:beforeAutospacing="1"/>
              <w:ind w:leftChars="-83" w:left="-1" w:hangingChars="104" w:hanging="281"/>
              <w:jc w:val="right"/>
              <w:rPr>
                <w:rFonts w:hAnsi="標楷體" w:cs="新細明體"/>
                <w:sz w:val="25"/>
                <w:szCs w:val="25"/>
              </w:rPr>
            </w:pPr>
            <w:r w:rsidRPr="003A0F72">
              <w:rPr>
                <w:rFonts w:hAnsi="標楷體" w:hint="eastAsia"/>
                <w:sz w:val="25"/>
                <w:szCs w:val="25"/>
              </w:rPr>
              <w:t xml:space="preserve">6,281,242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5,755,329 </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6,960,918 </w:t>
            </w:r>
          </w:p>
        </w:tc>
      </w:tr>
      <w:tr w:rsidR="00EE491C" w:rsidRPr="003A0F72" w:rsidTr="00FC409C">
        <w:trPr>
          <w:trHeight w:val="392"/>
        </w:trPr>
        <w:tc>
          <w:tcPr>
            <w:tcW w:w="849" w:type="dxa"/>
            <w:vMerge/>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widowControl/>
              <w:rPr>
                <w:rFonts w:hAnsi="標楷體"/>
                <w:sz w:val="27"/>
                <w:szCs w:val="27"/>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B121E">
            <w:pPr>
              <w:spacing w:before="100" w:beforeAutospacing="1" w:line="240" w:lineRule="exact"/>
              <w:rPr>
                <w:rFonts w:hAnsi="標楷體" w:cs="新細明體"/>
                <w:sz w:val="24"/>
                <w:szCs w:val="24"/>
              </w:rPr>
            </w:pPr>
            <w:r w:rsidRPr="003A0F72">
              <w:rPr>
                <w:rFonts w:hAnsi="標楷體" w:hint="eastAsia"/>
                <w:sz w:val="24"/>
                <w:szCs w:val="24"/>
              </w:rPr>
              <w:t>行銷費用-政策行銷</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4,428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5,405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5,459 </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    4,960 </w:t>
            </w:r>
          </w:p>
        </w:tc>
      </w:tr>
      <w:tr w:rsidR="00EE491C" w:rsidRPr="003A0F72" w:rsidTr="00FC409C">
        <w:trPr>
          <w:trHeight w:val="392"/>
        </w:trPr>
        <w:tc>
          <w:tcPr>
            <w:tcW w:w="849" w:type="dxa"/>
            <w:vMerge/>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widowControl/>
              <w:rPr>
                <w:rFonts w:hAnsi="標楷體"/>
                <w:sz w:val="27"/>
                <w:szCs w:val="27"/>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B121E">
            <w:pPr>
              <w:spacing w:before="100" w:beforeAutospacing="1" w:line="240" w:lineRule="exact"/>
              <w:rPr>
                <w:rFonts w:hAnsi="標楷體" w:cs="新細明體"/>
                <w:sz w:val="24"/>
                <w:szCs w:val="24"/>
              </w:rPr>
            </w:pPr>
            <w:r w:rsidRPr="003A0F72">
              <w:rPr>
                <w:rFonts w:hAnsi="標楷體" w:hint="eastAsia"/>
                <w:sz w:val="24"/>
                <w:szCs w:val="24"/>
              </w:rPr>
              <w:t>管理費用及總務費用-用人、服務費用及事務費等</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20,336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 20,019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  20,802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19,934 </w:t>
            </w:r>
          </w:p>
        </w:tc>
      </w:tr>
      <w:tr w:rsidR="00EE491C" w:rsidRPr="003A0F72" w:rsidTr="00FC409C">
        <w:trPr>
          <w:trHeight w:val="392"/>
        </w:trPr>
        <w:tc>
          <w:tcPr>
            <w:tcW w:w="849" w:type="dxa"/>
            <w:vMerge/>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widowControl/>
              <w:rPr>
                <w:rFonts w:hAnsi="標楷體"/>
                <w:sz w:val="27"/>
                <w:szCs w:val="27"/>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B121E">
            <w:pPr>
              <w:spacing w:before="100" w:beforeAutospacing="1" w:line="240" w:lineRule="exact"/>
              <w:rPr>
                <w:rFonts w:hAnsi="標楷體" w:cs="新細明體"/>
                <w:sz w:val="24"/>
                <w:szCs w:val="24"/>
              </w:rPr>
            </w:pPr>
            <w:r w:rsidRPr="003A0F72">
              <w:rPr>
                <w:rFonts w:hAnsi="標楷體" w:hint="eastAsia"/>
                <w:sz w:val="24"/>
                <w:szCs w:val="24"/>
              </w:rPr>
              <w:t>雜項業務費用-服務費用</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18,321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CE40E1">
            <w:pPr>
              <w:spacing w:before="100" w:beforeAutospacing="1"/>
              <w:jc w:val="right"/>
              <w:rPr>
                <w:rFonts w:hAnsi="標楷體" w:cs="新細明體"/>
                <w:sz w:val="25"/>
                <w:szCs w:val="25"/>
              </w:rPr>
            </w:pPr>
            <w:r w:rsidRPr="003A0F72">
              <w:rPr>
                <w:rFonts w:hAnsi="標楷體" w:hint="eastAsia"/>
                <w:sz w:val="25"/>
                <w:szCs w:val="25"/>
              </w:rPr>
              <w:t xml:space="preserve">13,884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16,850 </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   17,673 </w:t>
            </w:r>
          </w:p>
        </w:tc>
      </w:tr>
      <w:tr w:rsidR="00EE491C" w:rsidRPr="003A0F72" w:rsidTr="00FC409C">
        <w:trPr>
          <w:trHeight w:val="392"/>
        </w:trPr>
        <w:tc>
          <w:tcPr>
            <w:tcW w:w="849" w:type="dxa"/>
            <w:vMerge/>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widowControl/>
              <w:rPr>
                <w:rFonts w:hAnsi="標楷體"/>
                <w:sz w:val="27"/>
                <w:szCs w:val="27"/>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B121E">
            <w:pPr>
              <w:spacing w:before="100" w:beforeAutospacing="1" w:line="240" w:lineRule="exact"/>
              <w:ind w:firstLine="2"/>
              <w:rPr>
                <w:rFonts w:hAnsi="標楷體" w:cs="新細明體"/>
                <w:sz w:val="24"/>
                <w:szCs w:val="24"/>
              </w:rPr>
            </w:pPr>
            <w:r w:rsidRPr="003A0F72">
              <w:rPr>
                <w:rFonts w:hAnsi="標楷體" w:hint="eastAsia"/>
                <w:sz w:val="24"/>
                <w:szCs w:val="24"/>
              </w:rPr>
              <w:t>雜項業務費用-獎補助政府機關(主要為短中長期</w:t>
            </w:r>
            <w:r w:rsidRPr="003A0F72">
              <w:rPr>
                <w:rFonts w:hAnsi="標楷體" w:hint="eastAsia"/>
                <w:sz w:val="24"/>
                <w:szCs w:val="24"/>
                <w:lang w:eastAsia="zh-HK"/>
              </w:rPr>
              <w:t>推動</w:t>
            </w:r>
            <w:r w:rsidRPr="003A0F72">
              <w:rPr>
                <w:rFonts w:hAnsi="標楷體" w:hint="eastAsia"/>
                <w:sz w:val="24"/>
                <w:szCs w:val="24"/>
              </w:rPr>
              <w:t>社會住宅、整合住宅及租屋平台)</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927,720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906,911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  898,606 </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 970,276 </w:t>
            </w:r>
          </w:p>
        </w:tc>
      </w:tr>
      <w:tr w:rsidR="00EE491C" w:rsidRPr="003A0F72" w:rsidTr="00FC409C">
        <w:trPr>
          <w:trHeight w:val="392"/>
        </w:trPr>
        <w:tc>
          <w:tcPr>
            <w:tcW w:w="849" w:type="dxa"/>
            <w:vMerge/>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widowControl/>
              <w:rPr>
                <w:rFonts w:hAnsi="標楷體"/>
                <w:sz w:val="27"/>
                <w:szCs w:val="27"/>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B121E">
            <w:pPr>
              <w:spacing w:before="100" w:beforeAutospacing="1" w:line="240" w:lineRule="exact"/>
              <w:rPr>
                <w:rFonts w:hAnsi="標楷體" w:cs="新細明體"/>
                <w:sz w:val="24"/>
                <w:szCs w:val="24"/>
              </w:rPr>
            </w:pPr>
            <w:r w:rsidRPr="003A0F72">
              <w:rPr>
                <w:rFonts w:hAnsi="標楷體" w:hint="eastAsia"/>
                <w:sz w:val="24"/>
                <w:szCs w:val="24"/>
              </w:rPr>
              <w:t>雜項業務費用-住宅補貼</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EE491C">
            <w:pPr>
              <w:spacing w:before="100" w:beforeAutospacing="1"/>
              <w:ind w:leftChars="-41" w:left="-1" w:hangingChars="51" w:hanging="138"/>
              <w:jc w:val="right"/>
              <w:rPr>
                <w:rFonts w:hAnsi="標楷體" w:cs="新細明體"/>
                <w:sz w:val="25"/>
                <w:szCs w:val="25"/>
              </w:rPr>
            </w:pPr>
            <w:r w:rsidRPr="003A0F72">
              <w:rPr>
                <w:rFonts w:hAnsi="標楷體" w:hint="eastAsia"/>
                <w:sz w:val="25"/>
                <w:szCs w:val="25"/>
              </w:rPr>
              <w:t>5,413,592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EE491C">
            <w:pPr>
              <w:spacing w:before="100" w:beforeAutospacing="1"/>
              <w:ind w:leftChars="-83" w:left="-1" w:hangingChars="104" w:hanging="281"/>
              <w:jc w:val="right"/>
              <w:rPr>
                <w:rFonts w:hAnsi="標楷體" w:cs="新細明體"/>
                <w:sz w:val="25"/>
                <w:szCs w:val="25"/>
              </w:rPr>
            </w:pPr>
            <w:r w:rsidRPr="003A0F72">
              <w:rPr>
                <w:rFonts w:hAnsi="標楷體" w:hint="eastAsia"/>
                <w:sz w:val="25"/>
                <w:szCs w:val="25"/>
              </w:rPr>
              <w:t xml:space="preserve">4,515,426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4,323,415 </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4,364,458 </w:t>
            </w:r>
          </w:p>
        </w:tc>
      </w:tr>
      <w:tr w:rsidR="00EE491C" w:rsidRPr="003A0F72" w:rsidTr="00FC409C">
        <w:trPr>
          <w:trHeight w:val="392"/>
        </w:trPr>
        <w:tc>
          <w:tcPr>
            <w:tcW w:w="849" w:type="dxa"/>
            <w:vMerge/>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widowControl/>
              <w:rPr>
                <w:rFonts w:hAnsi="標楷體"/>
                <w:sz w:val="27"/>
                <w:szCs w:val="27"/>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B121E">
            <w:pPr>
              <w:spacing w:before="100" w:beforeAutospacing="1" w:line="240" w:lineRule="exact"/>
              <w:rPr>
                <w:rFonts w:hAnsi="標楷體" w:cs="新細明體"/>
                <w:b/>
                <w:sz w:val="24"/>
                <w:szCs w:val="24"/>
              </w:rPr>
            </w:pPr>
            <w:r w:rsidRPr="003A0F72">
              <w:rPr>
                <w:rFonts w:hAnsi="標楷體" w:hint="eastAsia"/>
                <w:b/>
                <w:sz w:val="24"/>
                <w:szCs w:val="24"/>
              </w:rPr>
              <w:t>非自償性支出金額合計</w:t>
            </w:r>
            <w:r w:rsidRPr="003A0F72">
              <w:rPr>
                <w:rFonts w:hAnsi="標楷體" w:hint="eastAsia"/>
                <w:b/>
                <w:sz w:val="24"/>
                <w:szCs w:val="24"/>
              </w:rPr>
              <w:br/>
              <w:t>(B)</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EE491C">
            <w:pPr>
              <w:spacing w:before="100" w:beforeAutospacing="1"/>
              <w:ind w:leftChars="-41" w:left="-1" w:hangingChars="51" w:hanging="138"/>
              <w:jc w:val="right"/>
              <w:rPr>
                <w:rFonts w:hAnsi="標楷體" w:cs="新細明體"/>
                <w:sz w:val="25"/>
                <w:szCs w:val="25"/>
              </w:rPr>
            </w:pPr>
            <w:r w:rsidRPr="003A0F72">
              <w:rPr>
                <w:rFonts w:hAnsi="標楷體" w:hint="eastAsia"/>
                <w:sz w:val="25"/>
                <w:szCs w:val="25"/>
              </w:rPr>
              <w:t xml:space="preserve">6,384,397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EE491C">
            <w:pPr>
              <w:spacing w:before="100" w:beforeAutospacing="1"/>
              <w:ind w:leftChars="-83" w:left="-1" w:hangingChars="104" w:hanging="281"/>
              <w:jc w:val="right"/>
              <w:rPr>
                <w:rFonts w:hAnsi="標楷體" w:cs="新細明體"/>
                <w:sz w:val="25"/>
                <w:szCs w:val="25"/>
              </w:rPr>
            </w:pPr>
            <w:r w:rsidRPr="003A0F72">
              <w:rPr>
                <w:rFonts w:hAnsi="標楷體" w:hint="eastAsia"/>
                <w:sz w:val="25"/>
                <w:szCs w:val="25"/>
              </w:rPr>
              <w:t xml:space="preserve">5,461,645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5,265,132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 xml:space="preserve">5,377,301            </w:t>
            </w:r>
          </w:p>
        </w:tc>
      </w:tr>
      <w:tr w:rsidR="00EE491C" w:rsidRPr="003A0F72" w:rsidTr="00FC409C">
        <w:trPr>
          <w:trHeight w:val="227"/>
        </w:trPr>
        <w:tc>
          <w:tcPr>
            <w:tcW w:w="849" w:type="dxa"/>
            <w:vMerge/>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widowControl/>
              <w:rPr>
                <w:rFonts w:hAnsi="標楷體"/>
                <w:sz w:val="27"/>
                <w:szCs w:val="27"/>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B121E">
            <w:pPr>
              <w:spacing w:before="100" w:beforeAutospacing="1" w:line="240" w:lineRule="exact"/>
              <w:rPr>
                <w:rFonts w:hAnsi="標楷體" w:cs="新細明體"/>
                <w:b/>
                <w:sz w:val="24"/>
                <w:szCs w:val="24"/>
              </w:rPr>
            </w:pPr>
            <w:r w:rsidRPr="003A0F72">
              <w:rPr>
                <w:rFonts w:hAnsi="標楷體" w:hint="eastAsia"/>
                <w:b/>
                <w:sz w:val="24"/>
                <w:szCs w:val="24"/>
              </w:rPr>
              <w:t>非自償性支出比率</w:t>
            </w:r>
            <w:r w:rsidRPr="003A0F72">
              <w:rPr>
                <w:rFonts w:hAnsi="標楷體" w:hint="eastAsia"/>
                <w:b/>
                <w:sz w:val="24"/>
                <w:szCs w:val="24"/>
              </w:rPr>
              <w:br/>
              <w:t>(B/A)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87%</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91%</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77%</w:t>
            </w:r>
          </w:p>
        </w:tc>
      </w:tr>
    </w:tbl>
    <w:p w:rsidR="002D0824" w:rsidRDefault="002D0824" w:rsidP="002D0824">
      <w:pPr>
        <w:pStyle w:val="5"/>
        <w:numPr>
          <w:ilvl w:val="0"/>
          <w:numId w:val="0"/>
        </w:numPr>
        <w:rPr>
          <w:sz w:val="24"/>
          <w:szCs w:val="24"/>
        </w:rPr>
      </w:pPr>
      <w:r w:rsidRPr="002D0824">
        <w:rPr>
          <w:rFonts w:hint="eastAsia"/>
          <w:sz w:val="24"/>
          <w:szCs w:val="24"/>
        </w:rPr>
        <w:t>資料來源：內政部。</w:t>
      </w:r>
    </w:p>
    <w:p w:rsidR="005B6DE3" w:rsidRPr="002D0824" w:rsidRDefault="005B6DE3" w:rsidP="002D0824">
      <w:pPr>
        <w:pStyle w:val="5"/>
        <w:numPr>
          <w:ilvl w:val="0"/>
          <w:numId w:val="0"/>
        </w:numPr>
        <w:rPr>
          <w:sz w:val="24"/>
          <w:szCs w:val="24"/>
        </w:rPr>
      </w:pPr>
    </w:p>
    <w:p w:rsidR="00EE491C" w:rsidRDefault="00EE491C" w:rsidP="00C47FB7">
      <w:pPr>
        <w:pStyle w:val="5"/>
      </w:pPr>
      <w:r w:rsidRPr="003A0F72">
        <w:rPr>
          <w:rFonts w:hint="eastAsia"/>
        </w:rPr>
        <w:t>「中央都市更新基金」</w:t>
      </w:r>
    </w:p>
    <w:p w:rsidR="00EE491C" w:rsidRDefault="00EE491C" w:rsidP="00C47FB7">
      <w:pPr>
        <w:pStyle w:val="52"/>
        <w:ind w:left="2041" w:firstLine="680"/>
      </w:pPr>
      <w:r w:rsidRPr="00D03E23">
        <w:rPr>
          <w:rFonts w:hint="eastAsia"/>
        </w:rPr>
        <w:t>102年至105年「</w:t>
      </w:r>
      <w:r w:rsidRPr="003A0F72">
        <w:rPr>
          <w:rFonts w:hAnsi="標楷體" w:hint="eastAsia"/>
          <w:szCs w:val="32"/>
        </w:rPr>
        <w:t>中央都市更新基金</w:t>
      </w:r>
      <w:r w:rsidRPr="00D03E23">
        <w:rPr>
          <w:rFonts w:hint="eastAsia"/>
        </w:rPr>
        <w:t>」之非自償性支出金額及占基金</w:t>
      </w:r>
      <w:r>
        <w:rPr>
          <w:rFonts w:hint="eastAsia"/>
        </w:rPr>
        <w:t>總</w:t>
      </w:r>
      <w:r w:rsidRPr="00D03E23">
        <w:rPr>
          <w:rFonts w:hint="eastAsia"/>
        </w:rPr>
        <w:t>支出金額比率</w:t>
      </w:r>
      <w:r>
        <w:rPr>
          <w:rFonts w:hint="eastAsia"/>
        </w:rPr>
        <w:t>分別為1.42億餘元及42.14﹪、1.66億餘元及19.81﹪、1.74億餘元及10.92﹪與1.00億餘元及56.39﹪</w:t>
      </w:r>
      <w:r w:rsidRPr="00D03E23">
        <w:rPr>
          <w:rFonts w:hint="eastAsia"/>
        </w:rPr>
        <w:t>，</w:t>
      </w:r>
      <w:r w:rsidRPr="00D03E23">
        <w:rPr>
          <w:rFonts w:hint="eastAsia"/>
          <w:color w:val="FF0000"/>
        </w:rPr>
        <w:t>如表</w:t>
      </w:r>
      <w:r w:rsidR="00B1597F">
        <w:rPr>
          <w:rFonts w:hint="eastAsia"/>
          <w:color w:val="FF0000"/>
        </w:rPr>
        <w:t>2</w:t>
      </w:r>
      <w:r w:rsidRPr="00D03E23">
        <w:rPr>
          <w:rFonts w:hint="eastAsia"/>
        </w:rPr>
        <w:t>。</w:t>
      </w:r>
    </w:p>
    <w:p w:rsidR="009E29CD" w:rsidRDefault="009E29CD" w:rsidP="00C47FB7">
      <w:pPr>
        <w:pStyle w:val="52"/>
        <w:ind w:left="2041" w:firstLine="680"/>
      </w:pPr>
    </w:p>
    <w:p w:rsidR="00EE491C" w:rsidRPr="009459D8" w:rsidRDefault="000771DC" w:rsidP="000771DC">
      <w:pPr>
        <w:pStyle w:val="afa"/>
        <w:snapToGrid w:val="0"/>
        <w:spacing w:before="100" w:beforeAutospacing="1"/>
        <w:ind w:leftChars="-42" w:left="-23" w:rightChars="-260" w:right="-884" w:hangingChars="41" w:hanging="120"/>
        <w:rPr>
          <w:rFonts w:hAnsi="標楷體"/>
          <w:b/>
          <w:sz w:val="28"/>
          <w:szCs w:val="28"/>
        </w:rPr>
      </w:pPr>
      <w:r w:rsidRPr="009459D8">
        <w:rPr>
          <w:rFonts w:hAnsi="標楷體" w:hint="eastAsia"/>
          <w:b/>
          <w:spacing w:val="-4"/>
          <w:sz w:val="28"/>
          <w:szCs w:val="28"/>
        </w:rPr>
        <w:t>表</w:t>
      </w:r>
      <w:r w:rsidR="00B1597F" w:rsidRPr="009459D8">
        <w:rPr>
          <w:rFonts w:hAnsi="標楷體" w:hint="eastAsia"/>
          <w:b/>
          <w:spacing w:val="-4"/>
          <w:sz w:val="28"/>
          <w:szCs w:val="28"/>
        </w:rPr>
        <w:t>2</w:t>
      </w:r>
      <w:r w:rsidRPr="009459D8">
        <w:rPr>
          <w:rFonts w:hAnsi="標楷體" w:hint="eastAsia"/>
          <w:b/>
          <w:spacing w:val="-4"/>
          <w:sz w:val="28"/>
          <w:szCs w:val="28"/>
        </w:rPr>
        <w:t xml:space="preserve"> </w:t>
      </w:r>
      <w:r w:rsidRPr="009459D8">
        <w:rPr>
          <w:rFonts w:hint="eastAsia"/>
          <w:b/>
          <w:color w:val="FF0000"/>
        </w:rPr>
        <w:t xml:space="preserve"> </w:t>
      </w:r>
      <w:r w:rsidR="00EE491C" w:rsidRPr="009459D8">
        <w:rPr>
          <w:rFonts w:hAnsi="標楷體" w:hint="eastAsia"/>
          <w:b/>
          <w:sz w:val="28"/>
          <w:szCs w:val="28"/>
        </w:rPr>
        <w:t>「中央都市更新基金」非</w:t>
      </w:r>
      <w:r w:rsidR="00EE491C" w:rsidRPr="009459D8">
        <w:rPr>
          <w:rFonts w:hAnsi="標楷體" w:hint="eastAsia"/>
          <w:b/>
          <w:spacing w:val="-4"/>
          <w:sz w:val="28"/>
          <w:szCs w:val="28"/>
        </w:rPr>
        <w:t>自償性支出情形統計表     單位：千元，﹪</w:t>
      </w:r>
    </w:p>
    <w:tbl>
      <w:tblPr>
        <w:tblW w:w="99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52"/>
        <w:gridCol w:w="1666"/>
        <w:gridCol w:w="1667"/>
        <w:gridCol w:w="1667"/>
        <w:gridCol w:w="1667"/>
      </w:tblGrid>
      <w:tr w:rsidR="00EE491C" w:rsidRPr="003A0F72" w:rsidTr="009C0194">
        <w:trPr>
          <w:trHeight w:val="397"/>
          <w:tblHeader/>
        </w:trPr>
        <w:tc>
          <w:tcPr>
            <w:tcW w:w="738"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0771DC">
            <w:pPr>
              <w:spacing w:before="100" w:beforeAutospacing="1" w:line="240" w:lineRule="exact"/>
              <w:ind w:leftChars="-32" w:left="-109" w:firstLineChars="1" w:firstLine="3"/>
              <w:jc w:val="center"/>
              <w:rPr>
                <w:rFonts w:hAnsi="標楷體"/>
                <w:sz w:val="27"/>
                <w:szCs w:val="27"/>
              </w:rPr>
            </w:pPr>
            <w:r w:rsidRPr="003A0F72">
              <w:rPr>
                <w:rFonts w:hAnsi="標楷體" w:hint="eastAsia"/>
                <w:sz w:val="27"/>
                <w:szCs w:val="27"/>
              </w:rPr>
              <w:t>基金名稱</w:t>
            </w: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EE491C" w:rsidRPr="003A0F72" w:rsidRDefault="00EE491C" w:rsidP="00FC409C">
            <w:pPr>
              <w:spacing w:before="100" w:beforeAutospacing="1" w:line="240" w:lineRule="exact"/>
              <w:jc w:val="right"/>
              <w:rPr>
                <w:rFonts w:hAnsi="標楷體"/>
                <w:sz w:val="27"/>
                <w:szCs w:val="27"/>
              </w:rPr>
            </w:pPr>
            <w:r w:rsidRPr="003A0F72">
              <w:rPr>
                <w:rFonts w:hAnsi="標楷體" w:hint="eastAsia"/>
                <w:sz w:val="27"/>
                <w:szCs w:val="27"/>
              </w:rPr>
              <w:t xml:space="preserve">   年度</w:t>
            </w:r>
          </w:p>
          <w:p w:rsidR="00EE491C" w:rsidRPr="003A0F72" w:rsidRDefault="00EE491C" w:rsidP="00FC409C">
            <w:pPr>
              <w:spacing w:before="100" w:beforeAutospacing="1" w:line="240" w:lineRule="exact"/>
              <w:rPr>
                <w:rFonts w:hAnsi="標楷體"/>
                <w:sz w:val="27"/>
                <w:szCs w:val="27"/>
              </w:rPr>
            </w:pPr>
            <w:r w:rsidRPr="003A0F72">
              <w:rPr>
                <w:rFonts w:hAnsi="標楷體" w:hint="eastAsia"/>
                <w:sz w:val="27"/>
                <w:szCs w:val="27"/>
              </w:rPr>
              <w:t>項目</w:t>
            </w:r>
          </w:p>
        </w:tc>
        <w:tc>
          <w:tcPr>
            <w:tcW w:w="1666"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102</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103</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104</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line="240" w:lineRule="exact"/>
              <w:jc w:val="center"/>
              <w:rPr>
                <w:rFonts w:hAnsi="標楷體"/>
                <w:sz w:val="27"/>
                <w:szCs w:val="27"/>
              </w:rPr>
            </w:pPr>
            <w:r w:rsidRPr="003A0F72">
              <w:rPr>
                <w:rFonts w:hAnsi="標楷體" w:hint="eastAsia"/>
                <w:sz w:val="27"/>
                <w:szCs w:val="27"/>
              </w:rPr>
              <w:t>105</w:t>
            </w:r>
          </w:p>
        </w:tc>
      </w:tr>
      <w:tr w:rsidR="00EE491C" w:rsidRPr="003A0F72" w:rsidTr="000771DC">
        <w:trPr>
          <w:trHeight w:val="391"/>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EE491C" w:rsidRPr="003A0F72" w:rsidRDefault="00EE491C" w:rsidP="00EE491C">
            <w:pPr>
              <w:adjustRightInd w:val="0"/>
              <w:snapToGrid w:val="0"/>
              <w:spacing w:before="100" w:beforeAutospacing="1" w:line="240" w:lineRule="exact"/>
              <w:ind w:leftChars="-17" w:left="-58" w:rightChars="-26" w:right="-88"/>
              <w:textAlignment w:val="baseline"/>
              <w:rPr>
                <w:rFonts w:hAnsi="標楷體"/>
                <w:sz w:val="27"/>
                <w:szCs w:val="27"/>
              </w:rPr>
            </w:pPr>
            <w:r w:rsidRPr="003A0F72">
              <w:rPr>
                <w:rFonts w:hAnsi="標楷體" w:hint="eastAsia"/>
                <w:sz w:val="27"/>
                <w:szCs w:val="27"/>
              </w:rPr>
              <w:t>中央都市更新基金</w:t>
            </w:r>
          </w:p>
          <w:p w:rsidR="00EE491C" w:rsidRPr="003A0F72" w:rsidRDefault="00EE491C" w:rsidP="00EE491C">
            <w:pPr>
              <w:adjustRightInd w:val="0"/>
              <w:snapToGrid w:val="0"/>
              <w:spacing w:before="100" w:beforeAutospacing="1" w:line="240" w:lineRule="exact"/>
              <w:ind w:leftChars="-17" w:left="-58" w:rightChars="-26" w:right="-88"/>
              <w:textAlignment w:val="baseline"/>
              <w:rPr>
                <w:rFonts w:hAnsi="標楷體"/>
                <w:sz w:val="27"/>
                <w:szCs w:val="27"/>
              </w:rPr>
            </w:pPr>
          </w:p>
        </w:tc>
        <w:tc>
          <w:tcPr>
            <w:tcW w:w="2552"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line="240" w:lineRule="exact"/>
              <w:rPr>
                <w:rFonts w:hAnsi="標楷體"/>
                <w:b/>
                <w:sz w:val="24"/>
                <w:szCs w:val="24"/>
              </w:rPr>
            </w:pPr>
            <w:r w:rsidRPr="003A0F72">
              <w:rPr>
                <w:rFonts w:hAnsi="標楷體" w:hint="eastAsia"/>
                <w:b/>
                <w:sz w:val="24"/>
                <w:szCs w:val="24"/>
              </w:rPr>
              <w:t>支出總金額（A）</w:t>
            </w:r>
          </w:p>
        </w:tc>
        <w:tc>
          <w:tcPr>
            <w:tcW w:w="1666"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line="240" w:lineRule="exact"/>
              <w:jc w:val="right"/>
              <w:rPr>
                <w:rFonts w:hAnsi="標楷體"/>
                <w:sz w:val="25"/>
                <w:szCs w:val="25"/>
              </w:rPr>
            </w:pPr>
            <w:r w:rsidRPr="003A0F72">
              <w:rPr>
                <w:rFonts w:hAnsi="標楷體" w:hint="eastAsia"/>
                <w:sz w:val="25"/>
                <w:szCs w:val="25"/>
              </w:rPr>
              <w:t>338</w:t>
            </w:r>
            <w:r w:rsidRPr="003A0F72">
              <w:rPr>
                <w:rFonts w:hAnsi="標楷體"/>
                <w:sz w:val="25"/>
                <w:szCs w:val="25"/>
              </w:rPr>
              <w:t>,</w:t>
            </w:r>
            <w:r w:rsidRPr="003A0F72">
              <w:rPr>
                <w:rFonts w:hAnsi="標楷體" w:hint="eastAsia"/>
                <w:sz w:val="25"/>
                <w:szCs w:val="25"/>
              </w:rPr>
              <w:t>120</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line="240" w:lineRule="exact"/>
              <w:jc w:val="right"/>
              <w:rPr>
                <w:rFonts w:hAnsi="標楷體"/>
                <w:sz w:val="25"/>
                <w:szCs w:val="25"/>
              </w:rPr>
            </w:pPr>
            <w:r w:rsidRPr="003A0F72">
              <w:rPr>
                <w:rFonts w:hAnsi="標楷體" w:hint="eastAsia"/>
                <w:sz w:val="25"/>
                <w:szCs w:val="25"/>
              </w:rPr>
              <w:t>842</w:t>
            </w:r>
            <w:r w:rsidRPr="003A0F72">
              <w:rPr>
                <w:rFonts w:hAnsi="標楷體"/>
                <w:sz w:val="25"/>
                <w:szCs w:val="25"/>
              </w:rPr>
              <w:t>,</w:t>
            </w:r>
            <w:r w:rsidRPr="003A0F72">
              <w:rPr>
                <w:rFonts w:hAnsi="標楷體" w:hint="eastAsia"/>
                <w:sz w:val="25"/>
                <w:szCs w:val="25"/>
              </w:rPr>
              <w:t>060</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EE491C">
            <w:pPr>
              <w:spacing w:before="100" w:beforeAutospacing="1" w:line="240" w:lineRule="exact"/>
              <w:ind w:leftChars="-56" w:left="-190"/>
              <w:jc w:val="right"/>
              <w:rPr>
                <w:rFonts w:hAnsi="標楷體"/>
                <w:sz w:val="25"/>
                <w:szCs w:val="25"/>
              </w:rPr>
            </w:pPr>
            <w:r w:rsidRPr="003A0F72">
              <w:rPr>
                <w:rFonts w:hAnsi="標楷體" w:hint="eastAsia"/>
                <w:sz w:val="25"/>
                <w:szCs w:val="25"/>
              </w:rPr>
              <w:t>1</w:t>
            </w:r>
            <w:r w:rsidRPr="003A0F72">
              <w:rPr>
                <w:rFonts w:hAnsi="標楷體"/>
                <w:sz w:val="25"/>
                <w:szCs w:val="25"/>
              </w:rPr>
              <w:t>,</w:t>
            </w:r>
            <w:r w:rsidRPr="003A0F72">
              <w:rPr>
                <w:rFonts w:hAnsi="標楷體" w:hint="eastAsia"/>
                <w:sz w:val="25"/>
                <w:szCs w:val="25"/>
              </w:rPr>
              <w:t>594</w:t>
            </w:r>
            <w:r w:rsidRPr="003A0F72">
              <w:rPr>
                <w:rFonts w:hAnsi="標楷體"/>
                <w:sz w:val="25"/>
                <w:szCs w:val="25"/>
              </w:rPr>
              <w:t>,</w:t>
            </w:r>
            <w:r w:rsidRPr="003A0F72">
              <w:rPr>
                <w:rFonts w:hAnsi="標楷體" w:hint="eastAsia"/>
                <w:sz w:val="25"/>
                <w:szCs w:val="25"/>
              </w:rPr>
              <w:t>026</w:t>
            </w:r>
            <w:r w:rsidRPr="003A0F72">
              <w:rPr>
                <w:rFonts w:hAnsi="標楷體" w:hint="eastAsia"/>
                <w:sz w:val="20"/>
                <w:szCs w:val="25"/>
                <w:vertAlign w:val="superscript"/>
              </w:rPr>
              <w:t>註</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line="240" w:lineRule="exact"/>
              <w:jc w:val="right"/>
              <w:rPr>
                <w:rFonts w:hAnsi="標楷體"/>
                <w:sz w:val="25"/>
                <w:szCs w:val="25"/>
              </w:rPr>
            </w:pPr>
            <w:r w:rsidRPr="003A0F72">
              <w:rPr>
                <w:rFonts w:hAnsi="標楷體" w:hint="eastAsia"/>
                <w:sz w:val="25"/>
                <w:szCs w:val="25"/>
              </w:rPr>
              <w:t>178,483</w:t>
            </w:r>
          </w:p>
        </w:tc>
      </w:tr>
      <w:tr w:rsidR="00EE491C" w:rsidRPr="003A0F72" w:rsidTr="000771DC">
        <w:trPr>
          <w:trHeight w:val="392"/>
        </w:trPr>
        <w:tc>
          <w:tcPr>
            <w:tcW w:w="738" w:type="dxa"/>
            <w:vMerge/>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widowControl/>
              <w:spacing w:before="100" w:beforeAutospacing="1"/>
              <w:rPr>
                <w:rFonts w:hAnsi="標楷體"/>
                <w:sz w:val="27"/>
                <w:szCs w:val="27"/>
              </w:rPr>
            </w:pPr>
          </w:p>
        </w:tc>
        <w:tc>
          <w:tcPr>
            <w:tcW w:w="2552"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rPr>
                <w:rFonts w:hAnsi="標楷體" w:cs="新細明體"/>
                <w:sz w:val="24"/>
                <w:szCs w:val="24"/>
              </w:rPr>
            </w:pPr>
            <w:r w:rsidRPr="003A0F72">
              <w:rPr>
                <w:rFonts w:hAnsi="標楷體" w:hint="eastAsia"/>
                <w:sz w:val="24"/>
                <w:szCs w:val="24"/>
              </w:rPr>
              <w:t>業務費用</w:t>
            </w:r>
          </w:p>
        </w:tc>
        <w:tc>
          <w:tcPr>
            <w:tcW w:w="1666"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16</w:t>
            </w:r>
            <w:r w:rsidRPr="003A0F72">
              <w:rPr>
                <w:rFonts w:hAnsi="標楷體"/>
                <w:sz w:val="25"/>
                <w:szCs w:val="25"/>
              </w:rPr>
              <w:t>,287</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20,174</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16,</w:t>
            </w:r>
            <w:r w:rsidRPr="003A0F72">
              <w:rPr>
                <w:rFonts w:hAnsi="標楷體"/>
                <w:sz w:val="25"/>
                <w:szCs w:val="25"/>
              </w:rPr>
              <w:t>422</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19,199</w:t>
            </w:r>
          </w:p>
        </w:tc>
      </w:tr>
      <w:tr w:rsidR="00EE491C" w:rsidRPr="003A0F72" w:rsidTr="000771DC">
        <w:trPr>
          <w:trHeight w:val="392"/>
        </w:trPr>
        <w:tc>
          <w:tcPr>
            <w:tcW w:w="738" w:type="dxa"/>
            <w:vMerge/>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widowControl/>
              <w:spacing w:before="100" w:beforeAutospacing="1"/>
              <w:rPr>
                <w:rFonts w:hAnsi="標楷體"/>
                <w:sz w:val="27"/>
                <w:szCs w:val="27"/>
              </w:rPr>
            </w:pPr>
          </w:p>
        </w:tc>
        <w:tc>
          <w:tcPr>
            <w:tcW w:w="2552"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B121E">
            <w:pPr>
              <w:spacing w:before="100" w:beforeAutospacing="1" w:line="240" w:lineRule="exact"/>
              <w:rPr>
                <w:rFonts w:hAnsi="標楷體" w:cs="新細明體"/>
                <w:sz w:val="24"/>
                <w:szCs w:val="24"/>
              </w:rPr>
            </w:pPr>
            <w:r w:rsidRPr="003A0F72">
              <w:rPr>
                <w:rFonts w:hAnsi="標楷體" w:hint="eastAsia"/>
                <w:sz w:val="24"/>
                <w:szCs w:val="24"/>
              </w:rPr>
              <w:t>管理費用及總務費用</w:t>
            </w:r>
          </w:p>
        </w:tc>
        <w:tc>
          <w:tcPr>
            <w:tcW w:w="1666"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1,052</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2,467</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1,337</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2</w:t>
            </w:r>
            <w:r w:rsidRPr="003A0F72">
              <w:rPr>
                <w:rFonts w:hAnsi="標楷體"/>
                <w:sz w:val="25"/>
                <w:szCs w:val="25"/>
              </w:rPr>
              <w:t>,</w:t>
            </w:r>
            <w:r w:rsidRPr="003A0F72">
              <w:rPr>
                <w:rFonts w:hAnsi="標楷體" w:hint="eastAsia"/>
                <w:sz w:val="25"/>
                <w:szCs w:val="25"/>
              </w:rPr>
              <w:t>511</w:t>
            </w:r>
          </w:p>
        </w:tc>
      </w:tr>
      <w:tr w:rsidR="00EE491C" w:rsidRPr="003A0F72" w:rsidTr="000771DC">
        <w:trPr>
          <w:trHeight w:val="392"/>
        </w:trPr>
        <w:tc>
          <w:tcPr>
            <w:tcW w:w="738" w:type="dxa"/>
            <w:vMerge/>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widowControl/>
              <w:spacing w:before="100" w:beforeAutospacing="1"/>
              <w:rPr>
                <w:rFonts w:hAnsi="標楷體"/>
                <w:sz w:val="27"/>
                <w:szCs w:val="27"/>
              </w:rPr>
            </w:pPr>
          </w:p>
        </w:tc>
        <w:tc>
          <w:tcPr>
            <w:tcW w:w="2552"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B121E">
            <w:pPr>
              <w:spacing w:before="100" w:beforeAutospacing="1" w:line="240" w:lineRule="exact"/>
              <w:rPr>
                <w:rFonts w:hAnsi="標楷體" w:cs="新細明體"/>
                <w:sz w:val="24"/>
                <w:szCs w:val="24"/>
              </w:rPr>
            </w:pPr>
            <w:r w:rsidRPr="003A0F72">
              <w:rPr>
                <w:rFonts w:hAnsi="標楷體" w:hint="eastAsia"/>
                <w:sz w:val="24"/>
                <w:szCs w:val="24"/>
              </w:rPr>
              <w:t>雜項業務費用-其他(INTA會費及競賽及交流活動費)</w:t>
            </w:r>
          </w:p>
        </w:tc>
        <w:tc>
          <w:tcPr>
            <w:tcW w:w="1666"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cs="新細明體" w:hint="eastAsia"/>
                <w:sz w:val="25"/>
                <w:szCs w:val="25"/>
              </w:rPr>
              <w:t>648</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cs="新細明體" w:hint="eastAsia"/>
                <w:sz w:val="25"/>
                <w:szCs w:val="25"/>
              </w:rPr>
              <w:t>361</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cs="新細明體" w:hint="eastAsia"/>
                <w:sz w:val="25"/>
                <w:szCs w:val="25"/>
              </w:rPr>
              <w:t>592</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cs="新細明體" w:hint="eastAsia"/>
                <w:sz w:val="25"/>
                <w:szCs w:val="25"/>
              </w:rPr>
              <w:t>441</w:t>
            </w:r>
          </w:p>
        </w:tc>
      </w:tr>
      <w:tr w:rsidR="00EE491C" w:rsidRPr="003A0F72" w:rsidTr="000771DC">
        <w:trPr>
          <w:trHeight w:val="392"/>
        </w:trPr>
        <w:tc>
          <w:tcPr>
            <w:tcW w:w="738" w:type="dxa"/>
            <w:vMerge/>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widowControl/>
              <w:spacing w:before="100" w:beforeAutospacing="1"/>
              <w:rPr>
                <w:rFonts w:hAnsi="標楷體"/>
                <w:sz w:val="27"/>
                <w:szCs w:val="27"/>
              </w:rPr>
            </w:pPr>
          </w:p>
        </w:tc>
        <w:tc>
          <w:tcPr>
            <w:tcW w:w="2552"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B121E">
            <w:pPr>
              <w:spacing w:before="100" w:beforeAutospacing="1" w:line="240" w:lineRule="exact"/>
              <w:rPr>
                <w:rFonts w:hAnsi="標楷體"/>
                <w:sz w:val="24"/>
                <w:szCs w:val="24"/>
              </w:rPr>
            </w:pPr>
            <w:r w:rsidRPr="003A0F72">
              <w:rPr>
                <w:rFonts w:hAnsi="標楷體" w:hint="eastAsia"/>
                <w:sz w:val="24"/>
                <w:szCs w:val="24"/>
              </w:rPr>
              <w:t>雜項業務費用-獎補助(補助辦理都市更新先期規劃暨關聯性公共工程、自主更新及公共設施用地檢討）</w:t>
            </w:r>
          </w:p>
        </w:tc>
        <w:tc>
          <w:tcPr>
            <w:tcW w:w="1666"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sz w:val="25"/>
                <w:szCs w:val="25"/>
              </w:rPr>
            </w:pPr>
            <w:r w:rsidRPr="003A0F72">
              <w:rPr>
                <w:rFonts w:hAnsi="標楷體" w:hint="eastAsia"/>
                <w:sz w:val="25"/>
                <w:szCs w:val="25"/>
              </w:rPr>
              <w:t>124,480</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sz w:val="25"/>
                <w:szCs w:val="25"/>
              </w:rPr>
            </w:pPr>
            <w:r w:rsidRPr="003A0F72">
              <w:rPr>
                <w:rFonts w:hAnsi="標楷體" w:hint="eastAsia"/>
                <w:sz w:val="25"/>
                <w:szCs w:val="25"/>
              </w:rPr>
              <w:t>143,843</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sz w:val="25"/>
                <w:szCs w:val="25"/>
              </w:rPr>
            </w:pPr>
            <w:r w:rsidRPr="003A0F72">
              <w:rPr>
                <w:rFonts w:hAnsi="標楷體" w:hint="eastAsia"/>
                <w:sz w:val="25"/>
                <w:szCs w:val="25"/>
              </w:rPr>
              <w:t>155,793</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sz w:val="25"/>
                <w:szCs w:val="25"/>
              </w:rPr>
            </w:pPr>
            <w:r w:rsidRPr="003A0F72">
              <w:rPr>
                <w:rFonts w:hAnsi="標楷體" w:hint="eastAsia"/>
                <w:sz w:val="25"/>
                <w:szCs w:val="25"/>
              </w:rPr>
              <w:t>78,499</w:t>
            </w:r>
          </w:p>
        </w:tc>
      </w:tr>
      <w:tr w:rsidR="00EE491C" w:rsidRPr="003A0F72" w:rsidTr="000771DC">
        <w:trPr>
          <w:trHeight w:val="392"/>
        </w:trPr>
        <w:tc>
          <w:tcPr>
            <w:tcW w:w="738" w:type="dxa"/>
            <w:vMerge/>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widowControl/>
              <w:spacing w:before="100" w:beforeAutospacing="1"/>
              <w:rPr>
                <w:rFonts w:hAnsi="標楷體"/>
                <w:sz w:val="27"/>
                <w:szCs w:val="27"/>
              </w:rPr>
            </w:pPr>
          </w:p>
        </w:tc>
        <w:tc>
          <w:tcPr>
            <w:tcW w:w="2552"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B121E">
            <w:pPr>
              <w:spacing w:before="100" w:beforeAutospacing="1" w:line="240" w:lineRule="exact"/>
              <w:rPr>
                <w:rFonts w:hAnsi="標楷體" w:cs="新細明體"/>
                <w:b/>
                <w:sz w:val="24"/>
                <w:szCs w:val="24"/>
              </w:rPr>
            </w:pPr>
            <w:r w:rsidRPr="003A0F72">
              <w:rPr>
                <w:rFonts w:hAnsi="標楷體" w:hint="eastAsia"/>
                <w:b/>
                <w:sz w:val="24"/>
                <w:szCs w:val="24"/>
              </w:rPr>
              <w:t>非自償性支出金額合計（B）</w:t>
            </w:r>
          </w:p>
        </w:tc>
        <w:tc>
          <w:tcPr>
            <w:tcW w:w="1666"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142,467</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166,845</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174,144</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100,651</w:t>
            </w:r>
          </w:p>
        </w:tc>
      </w:tr>
      <w:tr w:rsidR="00EE491C" w:rsidRPr="003A0F72" w:rsidTr="000771DC">
        <w:trPr>
          <w:trHeight w:val="392"/>
        </w:trPr>
        <w:tc>
          <w:tcPr>
            <w:tcW w:w="738" w:type="dxa"/>
            <w:vMerge/>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widowControl/>
              <w:spacing w:before="100" w:beforeAutospacing="1"/>
              <w:rPr>
                <w:rFonts w:hAnsi="標楷體"/>
                <w:sz w:val="27"/>
                <w:szCs w:val="27"/>
              </w:rPr>
            </w:pPr>
          </w:p>
        </w:tc>
        <w:tc>
          <w:tcPr>
            <w:tcW w:w="2552"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B121E">
            <w:pPr>
              <w:spacing w:before="100" w:beforeAutospacing="1" w:line="240" w:lineRule="exact"/>
              <w:rPr>
                <w:rFonts w:hAnsi="標楷體" w:cs="新細明體"/>
                <w:b/>
                <w:sz w:val="24"/>
                <w:szCs w:val="24"/>
              </w:rPr>
            </w:pPr>
            <w:r w:rsidRPr="003A0F72">
              <w:rPr>
                <w:rFonts w:hAnsi="標楷體" w:hint="eastAsia"/>
                <w:b/>
                <w:sz w:val="24"/>
                <w:szCs w:val="24"/>
              </w:rPr>
              <w:t>非自償性支出比率（B/A）</w:t>
            </w:r>
          </w:p>
        </w:tc>
        <w:tc>
          <w:tcPr>
            <w:tcW w:w="1666"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42.14%</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19.81%</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10.92%</w:t>
            </w:r>
          </w:p>
        </w:tc>
        <w:tc>
          <w:tcPr>
            <w:tcW w:w="1667" w:type="dxa"/>
            <w:tcBorders>
              <w:top w:val="single" w:sz="4" w:space="0" w:color="auto"/>
              <w:left w:val="single" w:sz="4" w:space="0" w:color="auto"/>
              <w:bottom w:val="single" w:sz="4" w:space="0" w:color="auto"/>
              <w:right w:val="single" w:sz="4" w:space="0" w:color="auto"/>
            </w:tcBorders>
            <w:vAlign w:val="center"/>
          </w:tcPr>
          <w:p w:rsidR="00EE491C" w:rsidRPr="003A0F72" w:rsidRDefault="00EE491C" w:rsidP="00FC409C">
            <w:pPr>
              <w:spacing w:before="100" w:beforeAutospacing="1"/>
              <w:jc w:val="right"/>
              <w:rPr>
                <w:rFonts w:hAnsi="標楷體" w:cs="新細明體"/>
                <w:sz w:val="25"/>
                <w:szCs w:val="25"/>
              </w:rPr>
            </w:pPr>
            <w:r w:rsidRPr="003A0F72">
              <w:rPr>
                <w:rFonts w:hAnsi="標楷體" w:hint="eastAsia"/>
                <w:sz w:val="25"/>
                <w:szCs w:val="25"/>
              </w:rPr>
              <w:t>56.39%</w:t>
            </w:r>
          </w:p>
        </w:tc>
      </w:tr>
    </w:tbl>
    <w:p w:rsidR="00EE491C" w:rsidRDefault="00EE491C" w:rsidP="00381B4B">
      <w:pPr>
        <w:pStyle w:val="41"/>
        <w:snapToGrid w:val="0"/>
        <w:ind w:leftChars="-42" w:left="193" w:hangingChars="129" w:hanging="336"/>
        <w:rPr>
          <w:rFonts w:hAnsi="標楷體"/>
          <w:kern w:val="0"/>
          <w:sz w:val="24"/>
          <w:szCs w:val="24"/>
        </w:rPr>
      </w:pPr>
      <w:r w:rsidRPr="00381B4B">
        <w:rPr>
          <w:rFonts w:hAnsi="標楷體" w:hint="eastAsia"/>
          <w:sz w:val="24"/>
          <w:szCs w:val="24"/>
        </w:rPr>
        <w:t>註：1</w:t>
      </w:r>
      <w:r w:rsidRPr="00381B4B">
        <w:rPr>
          <w:rFonts w:hAnsi="標楷體"/>
          <w:kern w:val="0"/>
          <w:sz w:val="24"/>
          <w:szCs w:val="24"/>
        </w:rPr>
        <w:t>04</w:t>
      </w:r>
      <w:r w:rsidRPr="00381B4B">
        <w:rPr>
          <w:rFonts w:hAnsi="標楷體" w:hint="eastAsia"/>
          <w:kern w:val="0"/>
          <w:sz w:val="24"/>
          <w:szCs w:val="24"/>
        </w:rPr>
        <w:t>年度支出總金額較往年增加係因「配合板橋浮洲榮民公司周邊地區興建合宜住宅整體計畫</w:t>
      </w:r>
      <w:r w:rsidRPr="00381B4B">
        <w:rPr>
          <w:rFonts w:hAnsi="標楷體"/>
          <w:kern w:val="0"/>
          <w:sz w:val="24"/>
          <w:szCs w:val="24"/>
        </w:rPr>
        <w:t>-</w:t>
      </w:r>
      <w:r w:rsidRPr="00381B4B">
        <w:rPr>
          <w:rFonts w:hAnsi="標楷體" w:hint="eastAsia"/>
          <w:kern w:val="0"/>
          <w:sz w:val="24"/>
          <w:szCs w:val="24"/>
        </w:rPr>
        <w:t>辦理道路、橋樑興闢及交通改善計畫」及國中用地</w:t>
      </w:r>
      <w:r w:rsidRPr="00381B4B">
        <w:rPr>
          <w:rFonts w:hAnsi="標楷體"/>
          <w:kern w:val="0"/>
          <w:sz w:val="24"/>
          <w:szCs w:val="24"/>
        </w:rPr>
        <w:t>(</w:t>
      </w:r>
      <w:r w:rsidRPr="00381B4B">
        <w:rPr>
          <w:rFonts w:hAnsi="標楷體" w:hint="eastAsia"/>
          <w:kern w:val="0"/>
          <w:sz w:val="24"/>
          <w:szCs w:val="24"/>
        </w:rPr>
        <w:t>文中二</w:t>
      </w:r>
      <w:r w:rsidRPr="00381B4B">
        <w:rPr>
          <w:rFonts w:hAnsi="標楷體"/>
          <w:kern w:val="0"/>
          <w:sz w:val="24"/>
          <w:szCs w:val="24"/>
        </w:rPr>
        <w:t>)</w:t>
      </w:r>
      <w:r w:rsidRPr="00381B4B">
        <w:rPr>
          <w:rFonts w:hAnsi="標楷體" w:hint="eastAsia"/>
          <w:kern w:val="0"/>
          <w:sz w:val="24"/>
          <w:szCs w:val="24"/>
        </w:rPr>
        <w:t>國有土地有償撥用成本認列所致。</w:t>
      </w:r>
    </w:p>
    <w:p w:rsidR="005B6DE3" w:rsidRDefault="005B6DE3" w:rsidP="005B6DE3">
      <w:pPr>
        <w:pStyle w:val="41"/>
        <w:snapToGrid w:val="0"/>
        <w:ind w:leftChars="-42" w:left="193" w:hangingChars="129" w:hanging="336"/>
        <w:rPr>
          <w:rFonts w:hAnsi="標楷體"/>
          <w:sz w:val="20"/>
        </w:rPr>
      </w:pPr>
      <w:r w:rsidRPr="002D0824">
        <w:rPr>
          <w:rFonts w:hint="eastAsia"/>
          <w:sz w:val="24"/>
          <w:szCs w:val="24"/>
        </w:rPr>
        <w:t>資料來源：內政部</w:t>
      </w:r>
      <w:r>
        <w:rPr>
          <w:rFonts w:hint="eastAsia"/>
          <w:sz w:val="24"/>
          <w:szCs w:val="24"/>
        </w:rPr>
        <w:t>。</w:t>
      </w:r>
    </w:p>
    <w:p w:rsidR="005B6DE3" w:rsidRPr="005B6DE3" w:rsidRDefault="005B6DE3" w:rsidP="00381B4B">
      <w:pPr>
        <w:pStyle w:val="41"/>
        <w:snapToGrid w:val="0"/>
        <w:ind w:leftChars="-42" w:left="193" w:hangingChars="129" w:hanging="336"/>
        <w:rPr>
          <w:rFonts w:hAnsi="標楷體"/>
          <w:kern w:val="0"/>
          <w:sz w:val="24"/>
          <w:szCs w:val="24"/>
        </w:rPr>
      </w:pPr>
    </w:p>
    <w:p w:rsidR="00EE491C" w:rsidRDefault="00EE491C" w:rsidP="00C47FB7">
      <w:pPr>
        <w:pStyle w:val="4"/>
      </w:pPr>
      <w:r>
        <w:rPr>
          <w:rFonts w:hint="eastAsia"/>
        </w:rPr>
        <w:t>經濟部所屬作業基金</w:t>
      </w:r>
    </w:p>
    <w:p w:rsidR="00EE491C" w:rsidRDefault="00EE491C" w:rsidP="00C47FB7">
      <w:pPr>
        <w:pStyle w:val="41"/>
        <w:ind w:left="1701" w:firstLine="680"/>
      </w:pPr>
      <w:r w:rsidRPr="007B28D6">
        <w:rPr>
          <w:rFonts w:hint="eastAsia"/>
        </w:rPr>
        <w:t>經濟</w:t>
      </w:r>
      <w:r w:rsidRPr="007B28D6">
        <w:t>部所屬之「加工出口區作業基金」、「產業園區開發管理基金」、「中小企業發展基金」、「水資源作業基金」等</w:t>
      </w:r>
      <w:r w:rsidR="00381B4B">
        <w:rPr>
          <w:rFonts w:hint="eastAsia"/>
        </w:rPr>
        <w:t>四</w:t>
      </w:r>
      <w:r w:rsidRPr="007B28D6">
        <w:t>作業基金</w:t>
      </w:r>
      <w:r w:rsidRPr="007B28D6">
        <w:rPr>
          <w:rFonts w:hint="eastAsia"/>
        </w:rPr>
        <w:t>，102年至105年間</w:t>
      </w:r>
      <w:r w:rsidRPr="007B28D6">
        <w:t>「加工出口區作業基金」</w:t>
      </w:r>
      <w:r w:rsidRPr="007B28D6">
        <w:rPr>
          <w:rFonts w:hint="eastAsia"/>
        </w:rPr>
        <w:t>及</w:t>
      </w:r>
      <w:r w:rsidRPr="007B28D6">
        <w:t>「產業園區開發管理基金」</w:t>
      </w:r>
      <w:r w:rsidRPr="007B28D6">
        <w:rPr>
          <w:rFonts w:hint="eastAsia"/>
        </w:rPr>
        <w:t>之基金支出均屬自</w:t>
      </w:r>
      <w:r w:rsidRPr="007B28D6">
        <w:t>償性支出</w:t>
      </w:r>
      <w:r w:rsidRPr="007B28D6">
        <w:rPr>
          <w:rFonts w:hint="eastAsia"/>
        </w:rPr>
        <w:t>，另</w:t>
      </w:r>
      <w:r w:rsidRPr="007B28D6">
        <w:t>「中小企業發展基金」</w:t>
      </w:r>
      <w:r w:rsidRPr="007B28D6">
        <w:rPr>
          <w:rFonts w:hint="eastAsia"/>
        </w:rPr>
        <w:t>及</w:t>
      </w:r>
      <w:r w:rsidRPr="007B28D6">
        <w:t>「水資源作業基金」</w:t>
      </w:r>
      <w:r w:rsidRPr="007B28D6">
        <w:rPr>
          <w:rFonts w:hint="eastAsia"/>
        </w:rPr>
        <w:t>均有非</w:t>
      </w:r>
      <w:r w:rsidRPr="007B28D6">
        <w:t>自償性支出</w:t>
      </w:r>
      <w:r w:rsidRPr="007B28D6">
        <w:rPr>
          <w:rFonts w:hint="eastAsia"/>
        </w:rPr>
        <w:t>，敘述如下：</w:t>
      </w:r>
    </w:p>
    <w:p w:rsidR="00EE491C" w:rsidRDefault="00EE491C" w:rsidP="00C47FB7">
      <w:pPr>
        <w:pStyle w:val="5"/>
      </w:pPr>
      <w:r w:rsidRPr="007B28D6">
        <w:t>「中小企業發展基金」</w:t>
      </w:r>
    </w:p>
    <w:p w:rsidR="00EE491C" w:rsidRDefault="00EE491C" w:rsidP="00C47FB7">
      <w:pPr>
        <w:pStyle w:val="6"/>
      </w:pPr>
      <w:r w:rsidRPr="00D03E23">
        <w:rPr>
          <w:rFonts w:hint="eastAsia"/>
        </w:rPr>
        <w:t>102年至105年</w:t>
      </w:r>
      <w:r w:rsidRPr="007B28D6">
        <w:t>「中小企業發展基金」</w:t>
      </w:r>
      <w:r w:rsidRPr="00D03E23">
        <w:rPr>
          <w:rFonts w:hint="eastAsia"/>
        </w:rPr>
        <w:t>之非自償性支出金額及占基金</w:t>
      </w:r>
      <w:r>
        <w:rPr>
          <w:rFonts w:hint="eastAsia"/>
        </w:rPr>
        <w:t>總</w:t>
      </w:r>
      <w:r w:rsidRPr="00D03E23">
        <w:rPr>
          <w:rFonts w:hint="eastAsia"/>
        </w:rPr>
        <w:t>支出金額比率</w:t>
      </w:r>
      <w:r>
        <w:rPr>
          <w:rFonts w:hint="eastAsia"/>
        </w:rPr>
        <w:t>分別為5.00億餘元及94.07﹪、5.45億餘元及</w:t>
      </w:r>
      <w:r>
        <w:rPr>
          <w:rFonts w:hint="eastAsia"/>
        </w:rPr>
        <w:lastRenderedPageBreak/>
        <w:t>94.25﹪、6.17億餘元及93.82﹪與5.65億餘元及92.95﹪</w:t>
      </w:r>
      <w:r w:rsidRPr="00D03E23">
        <w:rPr>
          <w:rFonts w:hint="eastAsia"/>
        </w:rPr>
        <w:t>，</w:t>
      </w:r>
      <w:r w:rsidRPr="00D03E23">
        <w:rPr>
          <w:rFonts w:hint="eastAsia"/>
          <w:color w:val="FF0000"/>
        </w:rPr>
        <w:t>如表</w:t>
      </w:r>
      <w:r w:rsidR="00B1597F">
        <w:rPr>
          <w:rFonts w:hint="eastAsia"/>
          <w:color w:val="FF0000"/>
        </w:rPr>
        <w:t>3</w:t>
      </w:r>
      <w:r w:rsidRPr="00D03E23">
        <w:rPr>
          <w:rFonts w:hint="eastAsia"/>
        </w:rPr>
        <w:t>。</w:t>
      </w:r>
    </w:p>
    <w:p w:rsidR="005A0CB9" w:rsidRDefault="005A0CB9" w:rsidP="000771DC">
      <w:pPr>
        <w:overflowPunct/>
        <w:autoSpaceDE/>
        <w:autoSpaceDN/>
        <w:snapToGrid w:val="0"/>
        <w:ind w:leftChars="-42" w:left="-2" w:hangingChars="47" w:hanging="141"/>
        <w:rPr>
          <w:rFonts w:hAnsi="標楷體"/>
          <w:b/>
          <w:sz w:val="28"/>
          <w:szCs w:val="28"/>
        </w:rPr>
      </w:pPr>
    </w:p>
    <w:p w:rsidR="00EE491C" w:rsidRPr="009459D8" w:rsidRDefault="000771DC" w:rsidP="000771DC">
      <w:pPr>
        <w:overflowPunct/>
        <w:autoSpaceDE/>
        <w:autoSpaceDN/>
        <w:snapToGrid w:val="0"/>
        <w:ind w:leftChars="-42" w:left="-2" w:hangingChars="47" w:hanging="141"/>
        <w:rPr>
          <w:rFonts w:hAnsi="標楷體"/>
          <w:b/>
          <w:sz w:val="28"/>
          <w:szCs w:val="28"/>
        </w:rPr>
      </w:pPr>
      <w:r w:rsidRPr="009459D8">
        <w:rPr>
          <w:rFonts w:hAnsi="標楷體" w:hint="eastAsia"/>
          <w:b/>
          <w:sz w:val="28"/>
          <w:szCs w:val="28"/>
        </w:rPr>
        <w:t>表</w:t>
      </w:r>
      <w:r w:rsidR="00B1597F" w:rsidRPr="009459D8">
        <w:rPr>
          <w:rFonts w:hAnsi="標楷體" w:hint="eastAsia"/>
          <w:b/>
          <w:sz w:val="28"/>
          <w:szCs w:val="28"/>
        </w:rPr>
        <w:t>3</w:t>
      </w:r>
      <w:r w:rsidRPr="009459D8">
        <w:rPr>
          <w:rFonts w:hAnsi="標楷體" w:hint="eastAsia"/>
          <w:b/>
          <w:sz w:val="28"/>
          <w:szCs w:val="28"/>
        </w:rPr>
        <w:t xml:space="preserve">  </w:t>
      </w:r>
      <w:r w:rsidR="00EE491C" w:rsidRPr="009459D8">
        <w:rPr>
          <w:rFonts w:hAnsi="標楷體"/>
          <w:b/>
          <w:sz w:val="28"/>
          <w:szCs w:val="28"/>
        </w:rPr>
        <w:t>「中小企業發展基金</w:t>
      </w:r>
      <w:r w:rsidR="00EE491C" w:rsidRPr="009459D8">
        <w:rPr>
          <w:rFonts w:hAnsi="標楷體" w:hint="eastAsia"/>
          <w:b/>
          <w:sz w:val="28"/>
          <w:szCs w:val="28"/>
        </w:rPr>
        <w:t>」非自償性支出</w:t>
      </w:r>
      <w:r w:rsidR="00EE491C" w:rsidRPr="009459D8">
        <w:rPr>
          <w:rFonts w:hAnsi="標楷體"/>
          <w:b/>
          <w:spacing w:val="-4"/>
          <w:sz w:val="28"/>
          <w:szCs w:val="28"/>
        </w:rPr>
        <w:t>統計表</w:t>
      </w:r>
      <w:r w:rsidR="00EE491C" w:rsidRPr="009459D8">
        <w:rPr>
          <w:rFonts w:hAnsi="標楷體" w:hint="eastAsia"/>
          <w:b/>
          <w:spacing w:val="-4"/>
          <w:sz w:val="28"/>
          <w:szCs w:val="28"/>
        </w:rPr>
        <w:t xml:space="preserve"> </w:t>
      </w:r>
      <w:r w:rsidRPr="009459D8">
        <w:rPr>
          <w:rFonts w:hAnsi="標楷體" w:hint="eastAsia"/>
          <w:b/>
          <w:spacing w:val="-4"/>
          <w:sz w:val="28"/>
          <w:szCs w:val="28"/>
        </w:rPr>
        <w:t xml:space="preserve">  </w:t>
      </w:r>
      <w:r w:rsidR="00EE491C" w:rsidRPr="009459D8">
        <w:rPr>
          <w:rFonts w:hAnsi="標楷體"/>
          <w:b/>
          <w:spacing w:val="-4"/>
          <w:sz w:val="28"/>
          <w:szCs w:val="28"/>
        </w:rPr>
        <w:t>單位：千元，%</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116"/>
        <w:gridCol w:w="1533"/>
        <w:gridCol w:w="1534"/>
        <w:gridCol w:w="1533"/>
        <w:gridCol w:w="1534"/>
      </w:tblGrid>
      <w:tr w:rsidR="00EE491C" w:rsidRPr="007B28D6" w:rsidTr="00FC409C">
        <w:trPr>
          <w:trHeight w:val="397"/>
          <w:tblHeader/>
          <w:jc w:val="center"/>
        </w:trPr>
        <w:tc>
          <w:tcPr>
            <w:tcW w:w="814" w:type="dxa"/>
            <w:tcBorders>
              <w:top w:val="single" w:sz="4" w:space="0" w:color="auto"/>
              <w:left w:val="single" w:sz="4" w:space="0" w:color="auto"/>
              <w:bottom w:val="single" w:sz="4" w:space="0" w:color="auto"/>
              <w:right w:val="single" w:sz="4" w:space="0" w:color="auto"/>
            </w:tcBorders>
            <w:vAlign w:val="center"/>
            <w:hideMark/>
          </w:tcPr>
          <w:p w:rsidR="00EE491C" w:rsidRPr="007B28D6" w:rsidRDefault="00EE491C" w:rsidP="00FB121E">
            <w:pPr>
              <w:spacing w:line="240" w:lineRule="exact"/>
              <w:ind w:leftChars="-41" w:left="-139" w:firstLine="1"/>
              <w:jc w:val="center"/>
              <w:rPr>
                <w:rFonts w:hAnsi="標楷體"/>
                <w:sz w:val="24"/>
                <w:szCs w:val="24"/>
              </w:rPr>
            </w:pPr>
            <w:r w:rsidRPr="007B28D6">
              <w:rPr>
                <w:rFonts w:hAnsi="標楷體"/>
                <w:sz w:val="24"/>
                <w:szCs w:val="24"/>
              </w:rPr>
              <w:t>基金名稱</w:t>
            </w:r>
          </w:p>
        </w:tc>
        <w:tc>
          <w:tcPr>
            <w:tcW w:w="2116" w:type="dxa"/>
            <w:tcBorders>
              <w:top w:val="single" w:sz="4" w:space="0" w:color="auto"/>
              <w:left w:val="single" w:sz="4" w:space="0" w:color="auto"/>
              <w:bottom w:val="single" w:sz="4" w:space="0" w:color="auto"/>
              <w:right w:val="single" w:sz="4" w:space="0" w:color="auto"/>
              <w:tl2br w:val="single" w:sz="4" w:space="0" w:color="auto"/>
            </w:tcBorders>
            <w:hideMark/>
          </w:tcPr>
          <w:p w:rsidR="00EE491C" w:rsidRPr="007B28D6" w:rsidRDefault="00EE491C" w:rsidP="00FC409C">
            <w:pPr>
              <w:spacing w:line="240" w:lineRule="exact"/>
              <w:jc w:val="right"/>
              <w:rPr>
                <w:rFonts w:hAnsi="標楷體"/>
                <w:sz w:val="24"/>
                <w:szCs w:val="24"/>
              </w:rPr>
            </w:pPr>
            <w:r w:rsidRPr="007B28D6">
              <w:rPr>
                <w:rFonts w:hAnsi="標楷體"/>
                <w:sz w:val="24"/>
                <w:szCs w:val="24"/>
              </w:rPr>
              <w:t xml:space="preserve">   年度</w:t>
            </w:r>
          </w:p>
          <w:p w:rsidR="00EE491C" w:rsidRPr="007B28D6" w:rsidRDefault="00EE491C" w:rsidP="00FC409C">
            <w:pPr>
              <w:spacing w:line="240" w:lineRule="exact"/>
              <w:rPr>
                <w:rFonts w:hAnsi="標楷體"/>
                <w:sz w:val="24"/>
                <w:szCs w:val="24"/>
              </w:rPr>
            </w:pPr>
            <w:r w:rsidRPr="007B28D6">
              <w:rPr>
                <w:rFonts w:hAnsi="標楷體"/>
                <w:sz w:val="24"/>
                <w:szCs w:val="24"/>
              </w:rPr>
              <w:t>項目</w:t>
            </w:r>
          </w:p>
        </w:tc>
        <w:tc>
          <w:tcPr>
            <w:tcW w:w="1533" w:type="dxa"/>
            <w:tcBorders>
              <w:top w:val="single" w:sz="4" w:space="0" w:color="auto"/>
              <w:left w:val="single" w:sz="4" w:space="0" w:color="auto"/>
              <w:bottom w:val="single" w:sz="4" w:space="0" w:color="auto"/>
              <w:right w:val="single" w:sz="4" w:space="0" w:color="auto"/>
            </w:tcBorders>
            <w:vAlign w:val="center"/>
            <w:hideMark/>
          </w:tcPr>
          <w:p w:rsidR="00EE491C" w:rsidRPr="007B28D6" w:rsidRDefault="00EE491C" w:rsidP="00FC409C">
            <w:pPr>
              <w:spacing w:line="240" w:lineRule="exact"/>
              <w:jc w:val="center"/>
              <w:rPr>
                <w:rFonts w:hAnsi="標楷體"/>
                <w:sz w:val="24"/>
                <w:szCs w:val="24"/>
              </w:rPr>
            </w:pPr>
            <w:r w:rsidRPr="007B28D6">
              <w:rPr>
                <w:rFonts w:hAnsi="標楷體"/>
                <w:sz w:val="24"/>
                <w:szCs w:val="24"/>
              </w:rPr>
              <w:t>102</w:t>
            </w:r>
          </w:p>
        </w:tc>
        <w:tc>
          <w:tcPr>
            <w:tcW w:w="1534" w:type="dxa"/>
            <w:tcBorders>
              <w:top w:val="single" w:sz="4" w:space="0" w:color="auto"/>
              <w:left w:val="single" w:sz="4" w:space="0" w:color="auto"/>
              <w:bottom w:val="single" w:sz="4" w:space="0" w:color="auto"/>
              <w:right w:val="single" w:sz="4" w:space="0" w:color="auto"/>
            </w:tcBorders>
            <w:vAlign w:val="center"/>
            <w:hideMark/>
          </w:tcPr>
          <w:p w:rsidR="00EE491C" w:rsidRPr="007B28D6" w:rsidRDefault="00EE491C" w:rsidP="00FC409C">
            <w:pPr>
              <w:spacing w:line="240" w:lineRule="exact"/>
              <w:jc w:val="center"/>
              <w:rPr>
                <w:rFonts w:hAnsi="標楷體"/>
                <w:sz w:val="24"/>
                <w:szCs w:val="24"/>
              </w:rPr>
            </w:pPr>
            <w:r w:rsidRPr="007B28D6">
              <w:rPr>
                <w:rFonts w:hAnsi="標楷體"/>
                <w:sz w:val="24"/>
                <w:szCs w:val="24"/>
              </w:rPr>
              <w:t>103</w:t>
            </w:r>
          </w:p>
        </w:tc>
        <w:tc>
          <w:tcPr>
            <w:tcW w:w="1533" w:type="dxa"/>
            <w:tcBorders>
              <w:top w:val="single" w:sz="4" w:space="0" w:color="auto"/>
              <w:left w:val="single" w:sz="4" w:space="0" w:color="auto"/>
              <w:bottom w:val="single" w:sz="4" w:space="0" w:color="auto"/>
              <w:right w:val="single" w:sz="4" w:space="0" w:color="auto"/>
            </w:tcBorders>
            <w:vAlign w:val="center"/>
            <w:hideMark/>
          </w:tcPr>
          <w:p w:rsidR="00EE491C" w:rsidRPr="007B28D6" w:rsidRDefault="00EE491C" w:rsidP="00FC409C">
            <w:pPr>
              <w:spacing w:line="240" w:lineRule="exact"/>
              <w:jc w:val="center"/>
              <w:rPr>
                <w:rFonts w:hAnsi="標楷體"/>
                <w:sz w:val="24"/>
                <w:szCs w:val="24"/>
              </w:rPr>
            </w:pPr>
            <w:r w:rsidRPr="007B28D6">
              <w:rPr>
                <w:rFonts w:hAnsi="標楷體"/>
                <w:sz w:val="24"/>
                <w:szCs w:val="24"/>
              </w:rPr>
              <w:t>104</w:t>
            </w:r>
          </w:p>
        </w:tc>
        <w:tc>
          <w:tcPr>
            <w:tcW w:w="1534"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center"/>
              <w:rPr>
                <w:rFonts w:hAnsi="標楷體"/>
                <w:sz w:val="24"/>
                <w:szCs w:val="24"/>
              </w:rPr>
            </w:pPr>
            <w:r w:rsidRPr="007B28D6">
              <w:rPr>
                <w:rFonts w:hAnsi="標楷體"/>
                <w:sz w:val="24"/>
                <w:szCs w:val="24"/>
              </w:rPr>
              <w:t>105</w:t>
            </w:r>
          </w:p>
        </w:tc>
      </w:tr>
      <w:tr w:rsidR="00EE491C" w:rsidRPr="007B28D6" w:rsidTr="00FC409C">
        <w:trPr>
          <w:trHeight w:val="391"/>
          <w:jc w:val="center"/>
        </w:trPr>
        <w:tc>
          <w:tcPr>
            <w:tcW w:w="814" w:type="dxa"/>
            <w:vMerge w:val="restart"/>
            <w:tcBorders>
              <w:top w:val="single" w:sz="4" w:space="0" w:color="auto"/>
              <w:left w:val="single" w:sz="4" w:space="0" w:color="auto"/>
              <w:bottom w:val="single" w:sz="4" w:space="0" w:color="auto"/>
              <w:right w:val="single" w:sz="4" w:space="0" w:color="auto"/>
            </w:tcBorders>
            <w:vAlign w:val="center"/>
          </w:tcPr>
          <w:p w:rsidR="00EE491C" w:rsidRPr="007B28D6" w:rsidRDefault="00EE491C" w:rsidP="00EE491C">
            <w:pPr>
              <w:adjustRightInd w:val="0"/>
              <w:snapToGrid w:val="0"/>
              <w:spacing w:line="240" w:lineRule="exact"/>
              <w:ind w:leftChars="-17" w:left="-58" w:rightChars="-26" w:right="-88"/>
              <w:textAlignment w:val="baseline"/>
              <w:rPr>
                <w:rFonts w:hAnsi="標楷體"/>
                <w:sz w:val="24"/>
                <w:szCs w:val="24"/>
              </w:rPr>
            </w:pPr>
            <w:r w:rsidRPr="007B28D6">
              <w:rPr>
                <w:rFonts w:hAnsi="標楷體"/>
                <w:kern w:val="0"/>
                <w:sz w:val="24"/>
                <w:szCs w:val="24"/>
              </w:rPr>
              <w:t>中小企業發展基金</w:t>
            </w:r>
          </w:p>
        </w:tc>
        <w:tc>
          <w:tcPr>
            <w:tcW w:w="2116" w:type="dxa"/>
            <w:tcBorders>
              <w:top w:val="single" w:sz="4" w:space="0" w:color="auto"/>
              <w:left w:val="single" w:sz="4" w:space="0" w:color="auto"/>
              <w:bottom w:val="single" w:sz="4" w:space="0" w:color="auto"/>
              <w:right w:val="single" w:sz="4" w:space="0" w:color="auto"/>
            </w:tcBorders>
            <w:vAlign w:val="center"/>
            <w:hideMark/>
          </w:tcPr>
          <w:p w:rsidR="00EE491C" w:rsidRPr="00C2236E" w:rsidRDefault="00EE491C" w:rsidP="00FC409C">
            <w:pPr>
              <w:spacing w:line="240" w:lineRule="exact"/>
              <w:rPr>
                <w:rFonts w:hAnsi="標楷體"/>
                <w:b/>
                <w:sz w:val="24"/>
                <w:szCs w:val="24"/>
              </w:rPr>
            </w:pPr>
            <w:r w:rsidRPr="00C2236E">
              <w:rPr>
                <w:rFonts w:hAnsi="標楷體"/>
                <w:b/>
                <w:sz w:val="24"/>
                <w:szCs w:val="24"/>
              </w:rPr>
              <w:t>支出總金額（A）</w:t>
            </w:r>
          </w:p>
        </w:tc>
        <w:tc>
          <w:tcPr>
            <w:tcW w:w="1533"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532,145</w:t>
            </w:r>
          </w:p>
        </w:tc>
        <w:tc>
          <w:tcPr>
            <w:tcW w:w="1534"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578,252</w:t>
            </w:r>
          </w:p>
        </w:tc>
        <w:tc>
          <w:tcPr>
            <w:tcW w:w="1533"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657,878</w:t>
            </w:r>
          </w:p>
        </w:tc>
        <w:tc>
          <w:tcPr>
            <w:tcW w:w="1534"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608,666</w:t>
            </w:r>
          </w:p>
        </w:tc>
      </w:tr>
      <w:tr w:rsidR="00EE491C" w:rsidRPr="007B28D6" w:rsidTr="00FC409C">
        <w:trPr>
          <w:trHeight w:val="392"/>
          <w:jc w:val="center"/>
        </w:trPr>
        <w:tc>
          <w:tcPr>
            <w:tcW w:w="814" w:type="dxa"/>
            <w:vMerge/>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widowControl/>
              <w:rPr>
                <w:rFonts w:hAnsi="標楷體"/>
                <w:sz w:val="24"/>
                <w:szCs w:val="24"/>
              </w:rPr>
            </w:pPr>
          </w:p>
        </w:tc>
        <w:tc>
          <w:tcPr>
            <w:tcW w:w="2116"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rPr>
                <w:rFonts w:hAnsi="標楷體"/>
                <w:sz w:val="24"/>
                <w:szCs w:val="24"/>
              </w:rPr>
            </w:pPr>
            <w:r w:rsidRPr="007B28D6">
              <w:rPr>
                <w:rFonts w:hAnsi="標楷體"/>
                <w:sz w:val="24"/>
                <w:szCs w:val="24"/>
              </w:rPr>
              <w:t>非自償性支出項目名稱</w:t>
            </w:r>
            <w:r w:rsidRPr="007B28D6">
              <w:rPr>
                <w:rFonts w:hAnsi="標楷體" w:hint="eastAsia"/>
                <w:sz w:val="24"/>
                <w:szCs w:val="24"/>
              </w:rPr>
              <w:t>：</w:t>
            </w:r>
          </w:p>
          <w:p w:rsidR="00EE491C" w:rsidRPr="007B28D6" w:rsidRDefault="00EE491C" w:rsidP="00FC409C">
            <w:pPr>
              <w:spacing w:line="240" w:lineRule="exact"/>
              <w:rPr>
                <w:rFonts w:hAnsi="標楷體"/>
                <w:sz w:val="24"/>
                <w:szCs w:val="24"/>
              </w:rPr>
            </w:pPr>
            <w:r w:rsidRPr="007B28D6">
              <w:rPr>
                <w:rFonts w:hAnsi="標楷體" w:hint="eastAsia"/>
                <w:sz w:val="24"/>
                <w:szCs w:val="24"/>
              </w:rPr>
              <w:t>除自設育成中心、中小企業融資服務平台及中小企業財務人才認證業務可部分自償外，均屬無法自償部分。(註)</w:t>
            </w:r>
          </w:p>
        </w:tc>
        <w:tc>
          <w:tcPr>
            <w:tcW w:w="1533"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500,568</w:t>
            </w:r>
          </w:p>
        </w:tc>
        <w:tc>
          <w:tcPr>
            <w:tcW w:w="1534"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545,007</w:t>
            </w:r>
          </w:p>
        </w:tc>
        <w:tc>
          <w:tcPr>
            <w:tcW w:w="1533"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617,220</w:t>
            </w:r>
          </w:p>
        </w:tc>
        <w:tc>
          <w:tcPr>
            <w:tcW w:w="1534"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565,729</w:t>
            </w:r>
          </w:p>
        </w:tc>
      </w:tr>
      <w:tr w:rsidR="00EE491C" w:rsidRPr="007B28D6" w:rsidTr="00FC409C">
        <w:trPr>
          <w:trHeight w:val="696"/>
          <w:jc w:val="center"/>
        </w:trPr>
        <w:tc>
          <w:tcPr>
            <w:tcW w:w="814" w:type="dxa"/>
            <w:vMerge/>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widowControl/>
              <w:rPr>
                <w:rFonts w:hAnsi="標楷體"/>
                <w:sz w:val="24"/>
                <w:szCs w:val="24"/>
              </w:rPr>
            </w:pPr>
          </w:p>
        </w:tc>
        <w:tc>
          <w:tcPr>
            <w:tcW w:w="2116"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C409C">
            <w:pPr>
              <w:spacing w:line="240" w:lineRule="exact"/>
              <w:rPr>
                <w:rFonts w:hAnsi="標楷體"/>
                <w:b/>
                <w:sz w:val="24"/>
                <w:szCs w:val="24"/>
              </w:rPr>
            </w:pPr>
            <w:r w:rsidRPr="00C2236E">
              <w:rPr>
                <w:rFonts w:hAnsi="標楷體"/>
                <w:b/>
                <w:sz w:val="24"/>
                <w:szCs w:val="24"/>
              </w:rPr>
              <w:t>非自償性支出金額合計（B）</w:t>
            </w:r>
          </w:p>
        </w:tc>
        <w:tc>
          <w:tcPr>
            <w:tcW w:w="1533"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500,568</w:t>
            </w:r>
          </w:p>
        </w:tc>
        <w:tc>
          <w:tcPr>
            <w:tcW w:w="1534"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545,007</w:t>
            </w:r>
          </w:p>
        </w:tc>
        <w:tc>
          <w:tcPr>
            <w:tcW w:w="1533"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617,220</w:t>
            </w:r>
          </w:p>
        </w:tc>
        <w:tc>
          <w:tcPr>
            <w:tcW w:w="1534" w:type="dxa"/>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565,729</w:t>
            </w:r>
          </w:p>
        </w:tc>
      </w:tr>
      <w:tr w:rsidR="00EE491C" w:rsidRPr="007B28D6" w:rsidTr="00FC409C">
        <w:trPr>
          <w:trHeight w:val="692"/>
          <w:jc w:val="center"/>
        </w:trPr>
        <w:tc>
          <w:tcPr>
            <w:tcW w:w="814" w:type="dxa"/>
            <w:vMerge/>
            <w:tcBorders>
              <w:top w:val="single" w:sz="4" w:space="0" w:color="auto"/>
              <w:left w:val="single" w:sz="4" w:space="0" w:color="auto"/>
              <w:bottom w:val="single" w:sz="4" w:space="0" w:color="auto"/>
              <w:right w:val="single" w:sz="4" w:space="0" w:color="auto"/>
            </w:tcBorders>
            <w:vAlign w:val="center"/>
          </w:tcPr>
          <w:p w:rsidR="00EE491C" w:rsidRPr="007B28D6" w:rsidRDefault="00EE491C" w:rsidP="00FC409C">
            <w:pPr>
              <w:widowControl/>
              <w:rPr>
                <w:rFonts w:hAnsi="標楷體"/>
                <w:sz w:val="24"/>
                <w:szCs w:val="24"/>
              </w:rPr>
            </w:pPr>
          </w:p>
        </w:tc>
        <w:tc>
          <w:tcPr>
            <w:tcW w:w="2116" w:type="dxa"/>
            <w:tcBorders>
              <w:top w:val="single" w:sz="4" w:space="0" w:color="auto"/>
              <w:left w:val="single" w:sz="4" w:space="0" w:color="auto"/>
              <w:right w:val="single" w:sz="4" w:space="0" w:color="auto"/>
            </w:tcBorders>
            <w:vAlign w:val="center"/>
            <w:hideMark/>
          </w:tcPr>
          <w:p w:rsidR="00EE491C" w:rsidRPr="00C2236E" w:rsidRDefault="00EE491C" w:rsidP="00FC409C">
            <w:pPr>
              <w:spacing w:line="240" w:lineRule="exact"/>
              <w:rPr>
                <w:rFonts w:hAnsi="標楷體"/>
                <w:b/>
                <w:sz w:val="24"/>
                <w:szCs w:val="24"/>
              </w:rPr>
            </w:pPr>
            <w:r w:rsidRPr="00C2236E">
              <w:rPr>
                <w:rFonts w:hAnsi="標楷體"/>
                <w:b/>
                <w:sz w:val="24"/>
                <w:szCs w:val="24"/>
              </w:rPr>
              <w:t>非自償性支出比率（B/A）</w:t>
            </w:r>
          </w:p>
        </w:tc>
        <w:tc>
          <w:tcPr>
            <w:tcW w:w="1533" w:type="dxa"/>
            <w:tcBorders>
              <w:top w:val="single" w:sz="4" w:space="0" w:color="auto"/>
              <w:left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94.07%</w:t>
            </w:r>
          </w:p>
        </w:tc>
        <w:tc>
          <w:tcPr>
            <w:tcW w:w="1534" w:type="dxa"/>
            <w:tcBorders>
              <w:top w:val="single" w:sz="4" w:space="0" w:color="auto"/>
              <w:left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94.25%</w:t>
            </w:r>
          </w:p>
        </w:tc>
        <w:tc>
          <w:tcPr>
            <w:tcW w:w="1533" w:type="dxa"/>
            <w:tcBorders>
              <w:top w:val="single" w:sz="4" w:space="0" w:color="auto"/>
              <w:left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93.82%</w:t>
            </w:r>
          </w:p>
        </w:tc>
        <w:tc>
          <w:tcPr>
            <w:tcW w:w="1534" w:type="dxa"/>
            <w:tcBorders>
              <w:top w:val="single" w:sz="4" w:space="0" w:color="auto"/>
              <w:left w:val="single" w:sz="4" w:space="0" w:color="auto"/>
              <w:right w:val="single" w:sz="4" w:space="0" w:color="auto"/>
            </w:tcBorders>
            <w:vAlign w:val="center"/>
          </w:tcPr>
          <w:p w:rsidR="00EE491C" w:rsidRPr="007B28D6" w:rsidRDefault="00EE491C" w:rsidP="00FC409C">
            <w:pPr>
              <w:spacing w:line="240" w:lineRule="exact"/>
              <w:jc w:val="right"/>
              <w:rPr>
                <w:rFonts w:hAnsi="標楷體"/>
                <w:sz w:val="24"/>
                <w:szCs w:val="24"/>
              </w:rPr>
            </w:pPr>
            <w:r w:rsidRPr="007B28D6">
              <w:rPr>
                <w:rFonts w:hAnsi="標楷體" w:hint="eastAsia"/>
                <w:sz w:val="24"/>
                <w:szCs w:val="24"/>
              </w:rPr>
              <w:t>92.95%</w:t>
            </w:r>
          </w:p>
        </w:tc>
      </w:tr>
    </w:tbl>
    <w:p w:rsidR="00EE491C" w:rsidRPr="007B28D6" w:rsidRDefault="00EE491C" w:rsidP="00EE491C">
      <w:pPr>
        <w:pStyle w:val="afa"/>
        <w:snapToGrid w:val="0"/>
        <w:ind w:leftChars="0" w:left="567" w:rightChars="117" w:right="398" w:hangingChars="218" w:hanging="567"/>
        <w:rPr>
          <w:rFonts w:hAnsi="標楷體"/>
          <w:sz w:val="24"/>
          <w:szCs w:val="24"/>
        </w:rPr>
      </w:pPr>
      <w:r w:rsidRPr="007B28D6">
        <w:rPr>
          <w:rFonts w:hAnsi="標楷體" w:hint="eastAsia"/>
          <w:sz w:val="24"/>
          <w:szCs w:val="24"/>
        </w:rPr>
        <w:t>註：中小企業發展基金依據所收取之收入，計算102年度至105年度可部分自償項目及金額分述如下：</w:t>
      </w:r>
    </w:p>
    <w:p w:rsidR="00EE491C" w:rsidRPr="007B28D6" w:rsidRDefault="00EE491C" w:rsidP="000A6DA5">
      <w:pPr>
        <w:pStyle w:val="afa"/>
        <w:numPr>
          <w:ilvl w:val="0"/>
          <w:numId w:val="11"/>
        </w:numPr>
        <w:overflowPunct/>
        <w:autoSpaceDE/>
        <w:autoSpaceDN/>
        <w:snapToGrid w:val="0"/>
        <w:ind w:leftChars="0" w:left="567" w:rightChars="117" w:right="398"/>
        <w:rPr>
          <w:rFonts w:hAnsi="標楷體"/>
          <w:sz w:val="24"/>
          <w:szCs w:val="24"/>
        </w:rPr>
      </w:pPr>
      <w:r w:rsidRPr="007B28D6">
        <w:rPr>
          <w:rFonts w:hAnsi="標楷體" w:hint="eastAsia"/>
          <w:sz w:val="24"/>
          <w:szCs w:val="24"/>
        </w:rPr>
        <w:t>自設育成中心：3,051萬7千元、3,119萬2千元、3,814萬4千元及4,139萬3千元。</w:t>
      </w:r>
    </w:p>
    <w:p w:rsidR="00EE491C" w:rsidRPr="007B28D6" w:rsidRDefault="00EE491C" w:rsidP="000A6DA5">
      <w:pPr>
        <w:pStyle w:val="afa"/>
        <w:numPr>
          <w:ilvl w:val="0"/>
          <w:numId w:val="11"/>
        </w:numPr>
        <w:overflowPunct/>
        <w:autoSpaceDE/>
        <w:autoSpaceDN/>
        <w:snapToGrid w:val="0"/>
        <w:ind w:leftChars="60" w:left="564" w:rightChars="117" w:right="398"/>
        <w:rPr>
          <w:rFonts w:hAnsi="標楷體"/>
          <w:sz w:val="24"/>
          <w:szCs w:val="24"/>
        </w:rPr>
      </w:pPr>
      <w:r w:rsidRPr="007B28D6">
        <w:rPr>
          <w:rFonts w:hAnsi="標楷體" w:hint="eastAsia"/>
          <w:sz w:val="24"/>
          <w:szCs w:val="24"/>
        </w:rPr>
        <w:t>中小企業融資服務平台：100萬元、200萬元、246萬7千元及149萬8千元。</w:t>
      </w:r>
    </w:p>
    <w:p w:rsidR="00EE491C" w:rsidRDefault="00EE491C" w:rsidP="000A6DA5">
      <w:pPr>
        <w:pStyle w:val="afa"/>
        <w:numPr>
          <w:ilvl w:val="0"/>
          <w:numId w:val="11"/>
        </w:numPr>
        <w:overflowPunct/>
        <w:autoSpaceDE/>
        <w:autoSpaceDN/>
        <w:snapToGrid w:val="0"/>
        <w:ind w:leftChars="60" w:left="564" w:rightChars="117" w:right="398"/>
        <w:rPr>
          <w:rFonts w:hAnsi="標楷體"/>
          <w:sz w:val="24"/>
          <w:szCs w:val="24"/>
        </w:rPr>
      </w:pPr>
      <w:r w:rsidRPr="007B28D6">
        <w:rPr>
          <w:rFonts w:hAnsi="標楷體" w:hint="eastAsia"/>
          <w:sz w:val="24"/>
          <w:szCs w:val="24"/>
        </w:rPr>
        <w:t>中小企業財務人才認證業務：6萬1千元、5萬3千元、4萬7千元及4萬6千元。</w:t>
      </w:r>
    </w:p>
    <w:p w:rsidR="005B6DE3" w:rsidRDefault="005B6DE3" w:rsidP="005B6DE3">
      <w:pPr>
        <w:pStyle w:val="afa"/>
        <w:snapToGrid w:val="0"/>
        <w:ind w:leftChars="0" w:left="0" w:rightChars="117" w:right="398"/>
        <w:rPr>
          <w:rFonts w:hAnsi="標楷體"/>
          <w:sz w:val="24"/>
          <w:szCs w:val="24"/>
        </w:rPr>
      </w:pPr>
      <w:r w:rsidRPr="002D0824">
        <w:rPr>
          <w:rFonts w:hint="eastAsia"/>
          <w:sz w:val="24"/>
          <w:szCs w:val="24"/>
        </w:rPr>
        <w:t>資料來源：</w:t>
      </w:r>
      <w:r>
        <w:rPr>
          <w:rFonts w:hint="eastAsia"/>
          <w:sz w:val="24"/>
          <w:szCs w:val="24"/>
        </w:rPr>
        <w:t>經濟</w:t>
      </w:r>
      <w:r w:rsidRPr="002D0824">
        <w:rPr>
          <w:rFonts w:hint="eastAsia"/>
          <w:sz w:val="24"/>
          <w:szCs w:val="24"/>
        </w:rPr>
        <w:t>部</w:t>
      </w:r>
      <w:r>
        <w:rPr>
          <w:rFonts w:hint="eastAsia"/>
          <w:sz w:val="24"/>
          <w:szCs w:val="24"/>
        </w:rPr>
        <w:t>。</w:t>
      </w:r>
    </w:p>
    <w:p w:rsidR="005B6DE3" w:rsidRDefault="005B6DE3" w:rsidP="005B6DE3">
      <w:pPr>
        <w:pStyle w:val="afa"/>
        <w:overflowPunct/>
        <w:autoSpaceDE/>
        <w:autoSpaceDN/>
        <w:snapToGrid w:val="0"/>
        <w:ind w:leftChars="0" w:left="564" w:rightChars="117" w:right="398"/>
        <w:rPr>
          <w:rFonts w:hAnsi="標楷體"/>
          <w:sz w:val="24"/>
          <w:szCs w:val="24"/>
        </w:rPr>
      </w:pPr>
    </w:p>
    <w:p w:rsidR="00EE491C" w:rsidRPr="00DC0132" w:rsidRDefault="00EE491C" w:rsidP="00182E9D">
      <w:pPr>
        <w:pStyle w:val="6"/>
        <w:ind w:rightChars="57" w:right="194"/>
      </w:pPr>
      <w:r>
        <w:rPr>
          <w:rFonts w:hint="eastAsia"/>
        </w:rPr>
        <w:t>復經審計部</w:t>
      </w:r>
      <w:r>
        <w:rPr>
          <w:rStyle w:val="aff1"/>
          <w:rFonts w:hAnsi="標楷體"/>
          <w:color w:val="FF0000"/>
          <w:szCs w:val="24"/>
        </w:rPr>
        <w:footnoteReference w:id="3"/>
      </w:r>
      <w:r>
        <w:rPr>
          <w:rFonts w:hint="eastAsia"/>
        </w:rPr>
        <w:t>查得，經濟部中小企業</w:t>
      </w:r>
      <w:r w:rsidRPr="00D53679">
        <w:rPr>
          <w:rFonts w:hint="eastAsia"/>
        </w:rPr>
        <w:t>處囿於公務預算逐年遞減，自100年度起，陸續將原編列於公務預算之「強化縣市中小企業榮譽指導員(企業服務志工)功能計畫」（100年度起）、「深耕中小企業數位關懷計畫」(101年度起)、「中小企業綠色小巨人輔導計畫」(102年度起)、補助辦理創業楷</w:t>
      </w:r>
      <w:r w:rsidRPr="00D53679">
        <w:rPr>
          <w:rFonts w:hint="eastAsia"/>
        </w:rPr>
        <w:lastRenderedPageBreak/>
        <w:t>模選拔表揚系列活動(102年度起)、「婦女飛雁計畫」(103年度起)、「國家磐石獎-卓越中小企業選拔表揚計畫」(104年度起)、「金書獎-優良中小企業經營管理出版品推廣計畫」(104年度起)、「促進中小企業財務環境健全發展計畫」(104年度起)、「中小企業融資協助服務計畫」(104年度起)等計畫移由該基金辦理，</w:t>
      </w:r>
      <w:r w:rsidR="00381B4B">
        <w:rPr>
          <w:rFonts w:hint="eastAsia"/>
        </w:rPr>
        <w:t>於</w:t>
      </w:r>
      <w:r w:rsidRPr="00D53679">
        <w:rPr>
          <w:rFonts w:hint="eastAsia"/>
        </w:rPr>
        <w:t>104年度投入經費</w:t>
      </w:r>
      <w:r>
        <w:rPr>
          <w:rFonts w:hint="eastAsia"/>
        </w:rPr>
        <w:t>共計</w:t>
      </w:r>
      <w:r w:rsidRPr="00D53679">
        <w:rPr>
          <w:rFonts w:hint="eastAsia"/>
        </w:rPr>
        <w:t>1億3,391萬餘元</w:t>
      </w:r>
      <w:r>
        <w:rPr>
          <w:rFonts w:hint="eastAsia"/>
        </w:rPr>
        <w:t>。</w:t>
      </w:r>
    </w:p>
    <w:p w:rsidR="00EE491C" w:rsidRPr="00C2236E" w:rsidRDefault="00EE491C" w:rsidP="00C47FB7">
      <w:pPr>
        <w:pStyle w:val="5"/>
        <w:rPr>
          <w:rFonts w:hAnsi="標楷體"/>
          <w:sz w:val="24"/>
          <w:szCs w:val="24"/>
        </w:rPr>
      </w:pPr>
      <w:r w:rsidRPr="007B28D6">
        <w:t>「水資源作業基金」</w:t>
      </w:r>
    </w:p>
    <w:p w:rsidR="00EE491C" w:rsidRDefault="00EE491C" w:rsidP="00C47FB7">
      <w:pPr>
        <w:pStyle w:val="61"/>
        <w:ind w:left="2381" w:firstLine="680"/>
      </w:pPr>
      <w:r w:rsidRPr="00D03E23">
        <w:rPr>
          <w:rFonts w:hint="eastAsia"/>
        </w:rPr>
        <w:t>102年至105年</w:t>
      </w:r>
      <w:r w:rsidRPr="007B28D6">
        <w:t>「水資源作業基金」</w:t>
      </w:r>
      <w:r w:rsidRPr="00D03E23">
        <w:rPr>
          <w:rFonts w:hint="eastAsia"/>
        </w:rPr>
        <w:t>之非自償性支出金額及占基金</w:t>
      </w:r>
      <w:r>
        <w:rPr>
          <w:rFonts w:hint="eastAsia"/>
        </w:rPr>
        <w:t>總</w:t>
      </w:r>
      <w:r w:rsidRPr="00D03E23">
        <w:rPr>
          <w:rFonts w:hint="eastAsia"/>
        </w:rPr>
        <w:t>支出金額比率</w:t>
      </w:r>
      <w:r>
        <w:rPr>
          <w:rFonts w:hint="eastAsia"/>
        </w:rPr>
        <w:t>分別為11.97億餘元及17.45﹪、20.28億餘元及27.79﹪、17.50億餘元及23.09﹪與24.18億餘元及30.35﹪</w:t>
      </w:r>
      <w:r w:rsidRPr="00D03E23">
        <w:rPr>
          <w:rFonts w:hint="eastAsia"/>
        </w:rPr>
        <w:t>，</w:t>
      </w:r>
      <w:r w:rsidRPr="00D03E23">
        <w:rPr>
          <w:rFonts w:hint="eastAsia"/>
          <w:color w:val="FF0000"/>
        </w:rPr>
        <w:t>如表</w:t>
      </w:r>
      <w:r w:rsidR="00B1597F">
        <w:rPr>
          <w:rFonts w:hint="eastAsia"/>
          <w:color w:val="FF0000"/>
        </w:rPr>
        <w:t>4</w:t>
      </w:r>
      <w:r w:rsidRPr="00D03E23">
        <w:rPr>
          <w:rFonts w:hint="eastAsia"/>
        </w:rPr>
        <w:t>。</w:t>
      </w:r>
    </w:p>
    <w:p w:rsidR="00275442" w:rsidRDefault="00275442" w:rsidP="00C47FB7">
      <w:pPr>
        <w:pStyle w:val="61"/>
        <w:ind w:left="2381" w:firstLine="680"/>
      </w:pPr>
    </w:p>
    <w:p w:rsidR="00EE491C" w:rsidRPr="009459D8" w:rsidRDefault="000771DC" w:rsidP="00EE491C">
      <w:pPr>
        <w:pStyle w:val="4"/>
        <w:numPr>
          <w:ilvl w:val="0"/>
          <w:numId w:val="0"/>
        </w:numPr>
        <w:ind w:leftChars="-42" w:left="-3" w:hangingChars="48" w:hanging="140"/>
        <w:rPr>
          <w:b/>
        </w:rPr>
      </w:pPr>
      <w:r w:rsidRPr="009459D8">
        <w:rPr>
          <w:rFonts w:hAnsi="標楷體" w:hint="eastAsia"/>
          <w:b/>
          <w:spacing w:val="-4"/>
          <w:sz w:val="28"/>
          <w:szCs w:val="28"/>
        </w:rPr>
        <w:t>表</w:t>
      </w:r>
      <w:r w:rsidR="00B1597F" w:rsidRPr="009459D8">
        <w:rPr>
          <w:rFonts w:hAnsi="標楷體" w:hint="eastAsia"/>
          <w:b/>
          <w:spacing w:val="-4"/>
          <w:sz w:val="28"/>
          <w:szCs w:val="28"/>
        </w:rPr>
        <w:t>4</w:t>
      </w:r>
      <w:r w:rsidRPr="009459D8">
        <w:rPr>
          <w:rFonts w:hAnsi="標楷體" w:hint="eastAsia"/>
          <w:b/>
          <w:spacing w:val="-4"/>
          <w:sz w:val="28"/>
          <w:szCs w:val="28"/>
        </w:rPr>
        <w:t xml:space="preserve"> </w:t>
      </w:r>
      <w:r w:rsidR="00EE491C" w:rsidRPr="009459D8">
        <w:rPr>
          <w:rFonts w:hAnsi="標楷體"/>
          <w:b/>
          <w:spacing w:val="-4"/>
          <w:sz w:val="28"/>
          <w:szCs w:val="28"/>
        </w:rPr>
        <w:t>「水資源作業基金」</w:t>
      </w:r>
      <w:r w:rsidR="00EE491C" w:rsidRPr="009459D8">
        <w:rPr>
          <w:rFonts w:hAnsi="標楷體" w:hint="eastAsia"/>
          <w:b/>
          <w:spacing w:val="-4"/>
          <w:sz w:val="28"/>
          <w:szCs w:val="28"/>
        </w:rPr>
        <w:t>非自償性支出情形統計表   單位：千元，﹪</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656"/>
        <w:gridCol w:w="1387"/>
        <w:gridCol w:w="1544"/>
        <w:gridCol w:w="1686"/>
        <w:gridCol w:w="1830"/>
      </w:tblGrid>
      <w:tr w:rsidR="00EE491C" w:rsidRPr="00C2236E" w:rsidTr="009459D8">
        <w:trPr>
          <w:trHeight w:val="397"/>
          <w:tblHeade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9459D8" w:rsidRDefault="00EE491C" w:rsidP="00FB121E">
            <w:pPr>
              <w:spacing w:line="240" w:lineRule="exact"/>
              <w:jc w:val="center"/>
              <w:rPr>
                <w:rFonts w:hAnsi="標楷體"/>
                <w:sz w:val="24"/>
                <w:szCs w:val="24"/>
              </w:rPr>
            </w:pPr>
            <w:r w:rsidRPr="00C2236E">
              <w:rPr>
                <w:rFonts w:hAnsi="標楷體"/>
                <w:sz w:val="24"/>
                <w:szCs w:val="24"/>
              </w:rPr>
              <w:t>基金</w:t>
            </w:r>
          </w:p>
          <w:p w:rsidR="00EE491C" w:rsidRPr="00C2236E" w:rsidRDefault="00EE491C" w:rsidP="00FB121E">
            <w:pPr>
              <w:spacing w:line="240" w:lineRule="exact"/>
              <w:jc w:val="center"/>
              <w:rPr>
                <w:rFonts w:hAnsi="標楷體"/>
                <w:sz w:val="24"/>
                <w:szCs w:val="24"/>
              </w:rPr>
            </w:pPr>
            <w:r w:rsidRPr="00C2236E">
              <w:rPr>
                <w:rFonts w:hAnsi="標楷體"/>
                <w:sz w:val="24"/>
                <w:szCs w:val="24"/>
              </w:rPr>
              <w:t>名稱</w:t>
            </w:r>
          </w:p>
        </w:tc>
        <w:tc>
          <w:tcPr>
            <w:tcW w:w="1656" w:type="dxa"/>
            <w:tcBorders>
              <w:top w:val="single" w:sz="4" w:space="0" w:color="auto"/>
              <w:left w:val="single" w:sz="4" w:space="0" w:color="auto"/>
              <w:bottom w:val="single" w:sz="4" w:space="0" w:color="auto"/>
              <w:right w:val="single" w:sz="4" w:space="0" w:color="auto"/>
              <w:tl2br w:val="single" w:sz="4" w:space="0" w:color="auto"/>
            </w:tcBorders>
            <w:hideMark/>
          </w:tcPr>
          <w:p w:rsidR="00EE491C" w:rsidRPr="00C2236E" w:rsidRDefault="00EE491C" w:rsidP="00FB121E">
            <w:pPr>
              <w:spacing w:line="240" w:lineRule="exact"/>
              <w:jc w:val="right"/>
              <w:rPr>
                <w:rFonts w:hAnsi="標楷體"/>
                <w:sz w:val="24"/>
                <w:szCs w:val="24"/>
              </w:rPr>
            </w:pPr>
            <w:r w:rsidRPr="00C2236E">
              <w:rPr>
                <w:rFonts w:hAnsi="標楷體"/>
                <w:sz w:val="24"/>
                <w:szCs w:val="24"/>
              </w:rPr>
              <w:t xml:space="preserve">   年度</w:t>
            </w:r>
          </w:p>
          <w:p w:rsidR="00EE491C" w:rsidRPr="00C2236E" w:rsidRDefault="00EE491C" w:rsidP="00FB121E">
            <w:pPr>
              <w:spacing w:line="240" w:lineRule="exact"/>
              <w:rPr>
                <w:rFonts w:hAnsi="標楷體"/>
                <w:sz w:val="24"/>
                <w:szCs w:val="24"/>
              </w:rPr>
            </w:pPr>
            <w:r w:rsidRPr="00C2236E">
              <w:rPr>
                <w:rFonts w:hAnsi="標楷體"/>
                <w:sz w:val="24"/>
                <w:szCs w:val="24"/>
              </w:rPr>
              <w:t>項目</w:t>
            </w:r>
          </w:p>
        </w:tc>
        <w:tc>
          <w:tcPr>
            <w:tcW w:w="1387" w:type="dxa"/>
            <w:tcBorders>
              <w:top w:val="single" w:sz="4" w:space="0" w:color="auto"/>
              <w:left w:val="single" w:sz="4" w:space="0" w:color="auto"/>
              <w:bottom w:val="single" w:sz="4" w:space="0" w:color="auto"/>
              <w:right w:val="single" w:sz="4" w:space="0" w:color="auto"/>
            </w:tcBorders>
            <w:vAlign w:val="center"/>
            <w:hideMark/>
          </w:tcPr>
          <w:p w:rsidR="00EE491C" w:rsidRPr="00C2236E" w:rsidRDefault="00EE491C" w:rsidP="00FB121E">
            <w:pPr>
              <w:spacing w:line="240" w:lineRule="exact"/>
              <w:jc w:val="center"/>
              <w:rPr>
                <w:rFonts w:hAnsi="標楷體"/>
                <w:sz w:val="24"/>
                <w:szCs w:val="24"/>
              </w:rPr>
            </w:pPr>
            <w:r w:rsidRPr="00C2236E">
              <w:rPr>
                <w:rFonts w:hAnsi="標楷體"/>
                <w:sz w:val="24"/>
                <w:szCs w:val="24"/>
              </w:rPr>
              <w:t>102</w:t>
            </w:r>
          </w:p>
        </w:tc>
        <w:tc>
          <w:tcPr>
            <w:tcW w:w="1544" w:type="dxa"/>
            <w:tcBorders>
              <w:top w:val="single" w:sz="4" w:space="0" w:color="auto"/>
              <w:left w:val="single" w:sz="4" w:space="0" w:color="auto"/>
              <w:bottom w:val="single" w:sz="4" w:space="0" w:color="auto"/>
              <w:right w:val="single" w:sz="4" w:space="0" w:color="auto"/>
            </w:tcBorders>
            <w:vAlign w:val="center"/>
            <w:hideMark/>
          </w:tcPr>
          <w:p w:rsidR="00EE491C" w:rsidRPr="00C2236E" w:rsidRDefault="00EE491C" w:rsidP="00FB121E">
            <w:pPr>
              <w:spacing w:line="240" w:lineRule="exact"/>
              <w:jc w:val="center"/>
              <w:rPr>
                <w:rFonts w:hAnsi="標楷體"/>
                <w:sz w:val="24"/>
                <w:szCs w:val="24"/>
              </w:rPr>
            </w:pPr>
            <w:r w:rsidRPr="00C2236E">
              <w:rPr>
                <w:rFonts w:hAnsi="標楷體"/>
                <w:sz w:val="24"/>
                <w:szCs w:val="24"/>
              </w:rPr>
              <w:t>103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EE491C" w:rsidRPr="00C2236E" w:rsidRDefault="00EE491C" w:rsidP="00FB121E">
            <w:pPr>
              <w:spacing w:line="240" w:lineRule="exact"/>
              <w:jc w:val="center"/>
              <w:rPr>
                <w:rFonts w:hAnsi="標楷體"/>
                <w:sz w:val="24"/>
                <w:szCs w:val="24"/>
              </w:rPr>
            </w:pPr>
            <w:r w:rsidRPr="00C2236E">
              <w:rPr>
                <w:rFonts w:hAnsi="標楷體"/>
                <w:sz w:val="24"/>
                <w:szCs w:val="24"/>
              </w:rPr>
              <w:t>104</w:t>
            </w:r>
          </w:p>
        </w:tc>
        <w:tc>
          <w:tcPr>
            <w:tcW w:w="1830"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center"/>
              <w:rPr>
                <w:rFonts w:hAnsi="標楷體"/>
                <w:sz w:val="24"/>
                <w:szCs w:val="24"/>
              </w:rPr>
            </w:pPr>
            <w:r w:rsidRPr="00C2236E">
              <w:rPr>
                <w:rFonts w:hAnsi="標楷體"/>
                <w:sz w:val="24"/>
                <w:szCs w:val="24"/>
              </w:rPr>
              <w:t>105</w:t>
            </w:r>
          </w:p>
        </w:tc>
      </w:tr>
      <w:tr w:rsidR="00EE491C" w:rsidRPr="00C2236E" w:rsidTr="009459D8">
        <w:trPr>
          <w:trHeight w:val="391"/>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9459D8" w:rsidRDefault="00EE491C" w:rsidP="00FB121E">
            <w:pPr>
              <w:adjustRightInd w:val="0"/>
              <w:snapToGrid w:val="0"/>
              <w:spacing w:line="240" w:lineRule="exact"/>
              <w:ind w:leftChars="-17" w:left="-58" w:rightChars="-26" w:right="-88"/>
              <w:textAlignment w:val="baseline"/>
              <w:rPr>
                <w:rFonts w:hAnsi="標楷體"/>
                <w:sz w:val="24"/>
                <w:szCs w:val="24"/>
              </w:rPr>
            </w:pPr>
            <w:r w:rsidRPr="00C2236E">
              <w:rPr>
                <w:rFonts w:hAnsi="標楷體" w:hint="eastAsia"/>
                <w:sz w:val="24"/>
                <w:szCs w:val="24"/>
              </w:rPr>
              <w:t>水資源</w:t>
            </w:r>
          </w:p>
          <w:p w:rsidR="00EE491C" w:rsidRPr="00C2236E" w:rsidRDefault="00EE491C" w:rsidP="00FB121E">
            <w:pPr>
              <w:adjustRightInd w:val="0"/>
              <w:snapToGrid w:val="0"/>
              <w:spacing w:line="240" w:lineRule="exact"/>
              <w:ind w:leftChars="-17" w:left="-58" w:rightChars="-26" w:right="-88"/>
              <w:textAlignment w:val="baseline"/>
              <w:rPr>
                <w:rFonts w:hAnsi="標楷體"/>
                <w:sz w:val="24"/>
                <w:szCs w:val="24"/>
              </w:rPr>
            </w:pPr>
            <w:r w:rsidRPr="00C2236E">
              <w:rPr>
                <w:rFonts w:hAnsi="標楷體" w:hint="eastAsia"/>
                <w:sz w:val="24"/>
                <w:szCs w:val="24"/>
              </w:rPr>
              <w:t>作業基金</w:t>
            </w:r>
          </w:p>
        </w:tc>
        <w:tc>
          <w:tcPr>
            <w:tcW w:w="1656" w:type="dxa"/>
            <w:tcBorders>
              <w:top w:val="single" w:sz="4" w:space="0" w:color="auto"/>
              <w:left w:val="single" w:sz="4" w:space="0" w:color="auto"/>
              <w:bottom w:val="single" w:sz="4" w:space="0" w:color="auto"/>
              <w:right w:val="single" w:sz="4" w:space="0" w:color="auto"/>
            </w:tcBorders>
            <w:vAlign w:val="center"/>
            <w:hideMark/>
          </w:tcPr>
          <w:p w:rsidR="00EE491C" w:rsidRPr="003C5CE5" w:rsidRDefault="00EE491C" w:rsidP="00FB121E">
            <w:pPr>
              <w:spacing w:line="240" w:lineRule="exact"/>
              <w:rPr>
                <w:rFonts w:hAnsi="標楷體"/>
                <w:b/>
                <w:sz w:val="24"/>
                <w:szCs w:val="24"/>
              </w:rPr>
            </w:pPr>
            <w:r w:rsidRPr="003C5CE5">
              <w:rPr>
                <w:rFonts w:hAnsi="標楷體"/>
                <w:b/>
                <w:sz w:val="24"/>
                <w:szCs w:val="24"/>
              </w:rPr>
              <w:t>支出總金額（A）</w:t>
            </w:r>
          </w:p>
        </w:tc>
        <w:tc>
          <w:tcPr>
            <w:tcW w:w="1387"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6,863,511</w:t>
            </w:r>
          </w:p>
        </w:tc>
        <w:tc>
          <w:tcPr>
            <w:tcW w:w="1544"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7,299,778</w:t>
            </w:r>
          </w:p>
        </w:tc>
        <w:tc>
          <w:tcPr>
            <w:tcW w:w="1686"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7,581,256</w:t>
            </w:r>
          </w:p>
        </w:tc>
        <w:tc>
          <w:tcPr>
            <w:tcW w:w="1830"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7,968,493</w:t>
            </w:r>
          </w:p>
        </w:tc>
      </w:tr>
      <w:tr w:rsidR="00EE491C" w:rsidRPr="00C2236E" w:rsidTr="009459D8">
        <w:trPr>
          <w:trHeight w:val="392"/>
          <w:jc w:val="center"/>
        </w:trPr>
        <w:tc>
          <w:tcPr>
            <w:tcW w:w="1135" w:type="dxa"/>
            <w:vMerge/>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widowControl/>
              <w:spacing w:line="240" w:lineRule="exact"/>
              <w:rPr>
                <w:rFonts w:hAnsi="標楷體"/>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hideMark/>
          </w:tcPr>
          <w:p w:rsidR="00EE491C" w:rsidRPr="00C2236E" w:rsidRDefault="00EE491C" w:rsidP="00FB121E">
            <w:pPr>
              <w:spacing w:line="240" w:lineRule="exact"/>
              <w:rPr>
                <w:rFonts w:hAnsi="標楷體"/>
                <w:sz w:val="24"/>
                <w:szCs w:val="24"/>
              </w:rPr>
            </w:pPr>
            <w:r w:rsidRPr="00C2236E">
              <w:rPr>
                <w:rFonts w:hAnsi="標楷體" w:hint="eastAsia"/>
                <w:sz w:val="24"/>
                <w:szCs w:val="24"/>
              </w:rPr>
              <w:t>非自償性支出項目名稱：</w:t>
            </w:r>
          </w:p>
          <w:p w:rsidR="00EE491C" w:rsidRPr="00C2236E" w:rsidRDefault="00EE491C" w:rsidP="00FB121E">
            <w:pPr>
              <w:spacing w:line="240" w:lineRule="exact"/>
              <w:rPr>
                <w:rFonts w:hAnsi="標楷體"/>
                <w:sz w:val="24"/>
                <w:szCs w:val="24"/>
              </w:rPr>
            </w:pPr>
            <w:r w:rsidRPr="00C2236E">
              <w:rPr>
                <w:rFonts w:hAnsi="標楷體" w:hint="eastAsia"/>
                <w:sz w:val="24"/>
                <w:szCs w:val="24"/>
              </w:rPr>
              <w:t>曾文南化烏山頭水庫治理及穩定南部地區供水計畫</w:t>
            </w:r>
          </w:p>
        </w:tc>
        <w:tc>
          <w:tcPr>
            <w:tcW w:w="1387"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1,197,427</w:t>
            </w:r>
          </w:p>
        </w:tc>
        <w:tc>
          <w:tcPr>
            <w:tcW w:w="1544"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2,028,490</w:t>
            </w:r>
          </w:p>
        </w:tc>
        <w:tc>
          <w:tcPr>
            <w:tcW w:w="1686"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1,750,676</w:t>
            </w:r>
          </w:p>
        </w:tc>
        <w:tc>
          <w:tcPr>
            <w:tcW w:w="1830"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2,418,509</w:t>
            </w:r>
          </w:p>
        </w:tc>
      </w:tr>
      <w:tr w:rsidR="00EE491C" w:rsidRPr="00C2236E" w:rsidTr="009459D8">
        <w:trPr>
          <w:trHeight w:val="392"/>
          <w:jc w:val="center"/>
        </w:trPr>
        <w:tc>
          <w:tcPr>
            <w:tcW w:w="1135" w:type="dxa"/>
            <w:vMerge/>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widowControl/>
              <w:spacing w:line="240" w:lineRule="exact"/>
              <w:rPr>
                <w:rFonts w:hAnsi="標楷體"/>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EE491C" w:rsidRPr="003C5CE5" w:rsidRDefault="00EE491C" w:rsidP="00FB121E">
            <w:pPr>
              <w:spacing w:line="240" w:lineRule="exact"/>
              <w:rPr>
                <w:rFonts w:hAnsi="標楷體"/>
                <w:b/>
                <w:sz w:val="24"/>
                <w:szCs w:val="24"/>
              </w:rPr>
            </w:pPr>
            <w:r w:rsidRPr="003C5CE5">
              <w:rPr>
                <w:rFonts w:hAnsi="標楷體"/>
                <w:b/>
                <w:sz w:val="24"/>
                <w:szCs w:val="24"/>
              </w:rPr>
              <w:t>非自償性支出金額合計（B）</w:t>
            </w:r>
          </w:p>
        </w:tc>
        <w:tc>
          <w:tcPr>
            <w:tcW w:w="1387"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1,197,427</w:t>
            </w:r>
          </w:p>
        </w:tc>
        <w:tc>
          <w:tcPr>
            <w:tcW w:w="1544"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2,028,490</w:t>
            </w:r>
          </w:p>
        </w:tc>
        <w:tc>
          <w:tcPr>
            <w:tcW w:w="1686"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1,750,676</w:t>
            </w:r>
          </w:p>
        </w:tc>
        <w:tc>
          <w:tcPr>
            <w:tcW w:w="1830" w:type="dxa"/>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2,418,509</w:t>
            </w:r>
          </w:p>
        </w:tc>
      </w:tr>
      <w:tr w:rsidR="00EE491C" w:rsidRPr="00C2236E" w:rsidTr="009459D8">
        <w:trPr>
          <w:trHeight w:val="227"/>
          <w:jc w:val="center"/>
        </w:trPr>
        <w:tc>
          <w:tcPr>
            <w:tcW w:w="1135" w:type="dxa"/>
            <w:vMerge/>
            <w:tcBorders>
              <w:top w:val="single" w:sz="4" w:space="0" w:color="auto"/>
              <w:left w:val="single" w:sz="4" w:space="0" w:color="auto"/>
              <w:bottom w:val="single" w:sz="4" w:space="0" w:color="auto"/>
              <w:right w:val="single" w:sz="4" w:space="0" w:color="auto"/>
            </w:tcBorders>
            <w:vAlign w:val="center"/>
          </w:tcPr>
          <w:p w:rsidR="00EE491C" w:rsidRPr="00C2236E" w:rsidRDefault="00EE491C" w:rsidP="00FB121E">
            <w:pPr>
              <w:widowControl/>
              <w:spacing w:line="240" w:lineRule="exact"/>
              <w:rPr>
                <w:rFonts w:hAnsi="標楷體"/>
                <w:sz w:val="24"/>
                <w:szCs w:val="24"/>
              </w:rPr>
            </w:pPr>
          </w:p>
        </w:tc>
        <w:tc>
          <w:tcPr>
            <w:tcW w:w="1656" w:type="dxa"/>
            <w:tcBorders>
              <w:top w:val="single" w:sz="4" w:space="0" w:color="auto"/>
              <w:left w:val="single" w:sz="4" w:space="0" w:color="auto"/>
              <w:right w:val="single" w:sz="4" w:space="0" w:color="auto"/>
            </w:tcBorders>
            <w:vAlign w:val="center"/>
            <w:hideMark/>
          </w:tcPr>
          <w:p w:rsidR="00EE491C" w:rsidRPr="003C5CE5" w:rsidRDefault="00EE491C" w:rsidP="00FB121E">
            <w:pPr>
              <w:spacing w:line="240" w:lineRule="exact"/>
              <w:rPr>
                <w:rFonts w:hAnsi="標楷體"/>
                <w:b/>
                <w:sz w:val="24"/>
                <w:szCs w:val="24"/>
              </w:rPr>
            </w:pPr>
            <w:r w:rsidRPr="003C5CE5">
              <w:rPr>
                <w:rFonts w:hAnsi="標楷體"/>
                <w:b/>
                <w:sz w:val="24"/>
                <w:szCs w:val="24"/>
              </w:rPr>
              <w:t>非自償性支出比率（B/A）</w:t>
            </w:r>
          </w:p>
        </w:tc>
        <w:tc>
          <w:tcPr>
            <w:tcW w:w="1387" w:type="dxa"/>
            <w:tcBorders>
              <w:top w:val="single" w:sz="4" w:space="0" w:color="auto"/>
              <w:left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17.45%</w:t>
            </w:r>
          </w:p>
        </w:tc>
        <w:tc>
          <w:tcPr>
            <w:tcW w:w="1544" w:type="dxa"/>
            <w:tcBorders>
              <w:top w:val="single" w:sz="4" w:space="0" w:color="auto"/>
              <w:left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27.79%</w:t>
            </w:r>
          </w:p>
        </w:tc>
        <w:tc>
          <w:tcPr>
            <w:tcW w:w="1686" w:type="dxa"/>
            <w:tcBorders>
              <w:top w:val="single" w:sz="4" w:space="0" w:color="auto"/>
              <w:left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23.09%</w:t>
            </w:r>
          </w:p>
        </w:tc>
        <w:tc>
          <w:tcPr>
            <w:tcW w:w="1830" w:type="dxa"/>
            <w:tcBorders>
              <w:top w:val="single" w:sz="4" w:space="0" w:color="auto"/>
              <w:left w:val="single" w:sz="4" w:space="0" w:color="auto"/>
              <w:right w:val="single" w:sz="4" w:space="0" w:color="auto"/>
            </w:tcBorders>
            <w:vAlign w:val="center"/>
          </w:tcPr>
          <w:p w:rsidR="00EE491C" w:rsidRPr="00C2236E" w:rsidRDefault="00EE491C" w:rsidP="00FB121E">
            <w:pPr>
              <w:spacing w:line="240" w:lineRule="exact"/>
              <w:jc w:val="right"/>
              <w:rPr>
                <w:rFonts w:hAnsi="標楷體"/>
                <w:sz w:val="24"/>
                <w:szCs w:val="24"/>
              </w:rPr>
            </w:pPr>
            <w:r w:rsidRPr="00C2236E">
              <w:rPr>
                <w:rFonts w:hAnsi="標楷體"/>
                <w:sz w:val="24"/>
                <w:szCs w:val="24"/>
              </w:rPr>
              <w:t>30.35%</w:t>
            </w:r>
          </w:p>
        </w:tc>
      </w:tr>
    </w:tbl>
    <w:p w:rsidR="00381B4B" w:rsidRDefault="00381B4B" w:rsidP="00381B4B">
      <w:pPr>
        <w:pStyle w:val="3"/>
        <w:numPr>
          <w:ilvl w:val="0"/>
          <w:numId w:val="0"/>
        </w:numPr>
        <w:rPr>
          <w:sz w:val="24"/>
          <w:szCs w:val="24"/>
        </w:rPr>
      </w:pPr>
      <w:r w:rsidRPr="002D0824">
        <w:rPr>
          <w:rFonts w:hint="eastAsia"/>
          <w:sz w:val="24"/>
          <w:szCs w:val="24"/>
        </w:rPr>
        <w:t>資料來源：</w:t>
      </w:r>
      <w:r>
        <w:rPr>
          <w:rFonts w:hint="eastAsia"/>
          <w:sz w:val="24"/>
          <w:szCs w:val="24"/>
        </w:rPr>
        <w:t>經濟</w:t>
      </w:r>
      <w:r w:rsidRPr="002D0824">
        <w:rPr>
          <w:rFonts w:hint="eastAsia"/>
          <w:sz w:val="24"/>
          <w:szCs w:val="24"/>
        </w:rPr>
        <w:t>部</w:t>
      </w:r>
      <w:r>
        <w:rPr>
          <w:rFonts w:hint="eastAsia"/>
          <w:sz w:val="24"/>
          <w:szCs w:val="24"/>
        </w:rPr>
        <w:t>。</w:t>
      </w:r>
    </w:p>
    <w:p w:rsidR="005B6DE3" w:rsidRDefault="005B6DE3" w:rsidP="00381B4B">
      <w:pPr>
        <w:pStyle w:val="3"/>
        <w:numPr>
          <w:ilvl w:val="0"/>
          <w:numId w:val="0"/>
        </w:numPr>
      </w:pPr>
    </w:p>
    <w:p w:rsidR="002E22F0" w:rsidRPr="005B6DE3" w:rsidRDefault="00EE491C" w:rsidP="002E22F0">
      <w:pPr>
        <w:pStyle w:val="3"/>
      </w:pPr>
      <w:r>
        <w:rPr>
          <w:rFonts w:hint="eastAsia"/>
        </w:rPr>
        <w:t>綜上，</w:t>
      </w:r>
      <w:r w:rsidR="002D0824" w:rsidRPr="002D0824">
        <w:rPr>
          <w:rFonts w:hAnsi="標楷體" w:hint="eastAsia"/>
          <w:kern w:val="0"/>
          <w:szCs w:val="32"/>
        </w:rPr>
        <w:t>內政部所屬「住宅基金」及「中央都市更新基金」，與經濟部所屬之「中小企業發展基金」及</w:t>
      </w:r>
      <w:r w:rsidR="002D0824" w:rsidRPr="002D0824">
        <w:rPr>
          <w:rFonts w:hAnsi="標楷體" w:hint="eastAsia"/>
          <w:kern w:val="0"/>
          <w:szCs w:val="32"/>
        </w:rPr>
        <w:lastRenderedPageBreak/>
        <w:t>「水資源作業基金」</w:t>
      </w:r>
      <w:r w:rsidR="002D0824" w:rsidRPr="002D0824">
        <w:rPr>
          <w:rFonts w:hAnsi="標楷體" w:hint="eastAsia"/>
          <w:szCs w:val="32"/>
        </w:rPr>
        <w:t>等基金之屬性雖為作業基金，依</w:t>
      </w:r>
      <w:r w:rsidR="00D31B5B">
        <w:rPr>
          <w:rFonts w:hAnsi="標楷體" w:hint="eastAsia"/>
          <w:szCs w:val="32"/>
        </w:rPr>
        <w:t>「</w:t>
      </w:r>
      <w:r w:rsidR="002D0824" w:rsidRPr="002D0824">
        <w:rPr>
          <w:rFonts w:hAnsi="標楷體" w:hint="eastAsia"/>
          <w:szCs w:val="32"/>
        </w:rPr>
        <w:t>預算法</w:t>
      </w:r>
      <w:r w:rsidR="00D31B5B">
        <w:rPr>
          <w:rFonts w:hAnsi="標楷體" w:hint="eastAsia"/>
          <w:szCs w:val="32"/>
        </w:rPr>
        <w:t>」</w:t>
      </w:r>
      <w:r w:rsidR="002D0824" w:rsidRPr="002D0824">
        <w:rPr>
          <w:rFonts w:hAnsi="標楷體" w:hint="eastAsia"/>
          <w:szCs w:val="32"/>
        </w:rPr>
        <w:t>規定，其支出應有自償性，惟卻負擔諸多不具回收性支出，恐有損及基金營運永續性之疑慮；</w:t>
      </w:r>
      <w:r w:rsidR="002D0824" w:rsidRPr="002D0824">
        <w:rPr>
          <w:rFonts w:hAnsi="標楷體" w:hint="eastAsia"/>
          <w:kern w:val="0"/>
          <w:szCs w:val="32"/>
        </w:rPr>
        <w:t>甚至</w:t>
      </w:r>
      <w:r w:rsidR="002D0824" w:rsidRPr="002D0824">
        <w:rPr>
          <w:rFonts w:hAnsi="標楷體" w:hint="eastAsia"/>
          <w:szCs w:val="24"/>
        </w:rPr>
        <w:t>部分原由經濟部</w:t>
      </w:r>
      <w:r w:rsidR="002D0824" w:rsidRPr="002D0824">
        <w:rPr>
          <w:rFonts w:hint="eastAsia"/>
        </w:rPr>
        <w:t>中小企業處</w:t>
      </w:r>
      <w:r w:rsidR="002D0824" w:rsidRPr="002D0824">
        <w:rPr>
          <w:rFonts w:hAnsi="標楷體" w:hint="eastAsia"/>
          <w:szCs w:val="24"/>
        </w:rPr>
        <w:t>公務預算支應之經費，改由</w:t>
      </w:r>
      <w:r w:rsidR="002D0824" w:rsidRPr="002D0824">
        <w:rPr>
          <w:rFonts w:hAnsi="標楷體" w:hint="eastAsia"/>
          <w:kern w:val="0"/>
          <w:szCs w:val="32"/>
        </w:rPr>
        <w:t>「中小企業發展基金」</w:t>
      </w:r>
      <w:r w:rsidR="002D0824" w:rsidRPr="002D0824">
        <w:rPr>
          <w:rFonts w:hAnsi="標楷體" w:hint="eastAsia"/>
          <w:szCs w:val="24"/>
        </w:rPr>
        <w:t>支付，而加重該基金財務負擔情事，均</w:t>
      </w:r>
      <w:r w:rsidR="002D0824" w:rsidRPr="002D0824">
        <w:rPr>
          <w:rFonts w:hAnsi="標楷體" w:hint="eastAsia"/>
          <w:szCs w:val="32"/>
        </w:rPr>
        <w:t>已影響基金之財務健全，且造成難以覈實衡量基金營運績效之負面影響</w:t>
      </w:r>
      <w:r w:rsidR="005B6DE3" w:rsidRPr="005B6DE3">
        <w:rPr>
          <w:rFonts w:hAnsi="標楷體" w:hint="eastAsia"/>
          <w:szCs w:val="32"/>
        </w:rPr>
        <w:t>，均宜檢討正視</w:t>
      </w:r>
      <w:r w:rsidR="00C11627">
        <w:rPr>
          <w:rFonts w:hAnsi="標楷體" w:hint="eastAsia"/>
          <w:szCs w:val="32"/>
        </w:rPr>
        <w:t>。</w:t>
      </w:r>
    </w:p>
    <w:p w:rsidR="005B6DE3" w:rsidRPr="00F70D9F" w:rsidRDefault="005B6DE3" w:rsidP="005B6DE3">
      <w:pPr>
        <w:pStyle w:val="3"/>
        <w:numPr>
          <w:ilvl w:val="0"/>
          <w:numId w:val="0"/>
        </w:numPr>
        <w:ind w:left="1361"/>
      </w:pPr>
    </w:p>
    <w:p w:rsidR="00BA1627" w:rsidRPr="00D1173F" w:rsidRDefault="008F525E" w:rsidP="00E050A9">
      <w:pPr>
        <w:pStyle w:val="2"/>
        <w:ind w:rightChars="57" w:right="194"/>
        <w:rPr>
          <w:rFonts w:hAnsi="標楷體"/>
          <w:b/>
          <w:szCs w:val="32"/>
        </w:rPr>
      </w:pPr>
      <w:r w:rsidRPr="00D1173F">
        <w:rPr>
          <w:rFonts w:hAnsi="標楷體" w:hint="eastAsia"/>
          <w:b/>
          <w:szCs w:val="32"/>
        </w:rPr>
        <w:t>行政院業核定</w:t>
      </w:r>
      <w:r w:rsidR="007213D9" w:rsidRPr="00D1173F">
        <w:rPr>
          <w:rFonts w:hAnsi="標楷體" w:hint="eastAsia"/>
          <w:b/>
          <w:szCs w:val="32"/>
        </w:rPr>
        <w:t>「地</w:t>
      </w:r>
      <w:r w:rsidRPr="00D1173F">
        <w:rPr>
          <w:rFonts w:hAnsi="標楷體" w:hint="eastAsia"/>
          <w:b/>
          <w:szCs w:val="32"/>
        </w:rPr>
        <w:t>方</w:t>
      </w:r>
      <w:r w:rsidR="007213D9" w:rsidRPr="00D1173F">
        <w:rPr>
          <w:rFonts w:hAnsi="標楷體" w:hint="eastAsia"/>
          <w:b/>
          <w:szCs w:val="32"/>
        </w:rPr>
        <w:t>產</w:t>
      </w:r>
      <w:r w:rsidR="00215DB4" w:rsidRPr="00D1173F">
        <w:rPr>
          <w:rFonts w:hAnsi="標楷體" w:hint="eastAsia"/>
          <w:b/>
          <w:szCs w:val="32"/>
        </w:rPr>
        <w:t>業發展</w:t>
      </w:r>
      <w:r w:rsidR="007213D9" w:rsidRPr="00D1173F">
        <w:rPr>
          <w:rFonts w:hAnsi="標楷體" w:hint="eastAsia"/>
          <w:b/>
          <w:szCs w:val="32"/>
        </w:rPr>
        <w:t>基金」</w:t>
      </w:r>
      <w:r w:rsidR="00215DB4" w:rsidRPr="00D1173F">
        <w:rPr>
          <w:rFonts w:hAnsi="標楷體" w:hint="eastAsia"/>
          <w:b/>
          <w:szCs w:val="32"/>
        </w:rPr>
        <w:t>與</w:t>
      </w:r>
      <w:r w:rsidR="007213D9" w:rsidRPr="00D1173F">
        <w:rPr>
          <w:rFonts w:hAnsi="標楷體" w:hint="eastAsia"/>
          <w:b/>
          <w:szCs w:val="32"/>
        </w:rPr>
        <w:t>「中小企業基金」</w:t>
      </w:r>
      <w:r w:rsidR="00215DB4" w:rsidRPr="00D1173F">
        <w:rPr>
          <w:rFonts w:hAnsi="標楷體" w:hint="eastAsia"/>
          <w:b/>
          <w:szCs w:val="32"/>
        </w:rPr>
        <w:t>於107年</w:t>
      </w:r>
      <w:r w:rsidR="00EC7BB2" w:rsidRPr="00D1173F">
        <w:rPr>
          <w:rFonts w:hAnsi="標楷體" w:hint="eastAsia"/>
          <w:b/>
          <w:szCs w:val="32"/>
        </w:rPr>
        <w:t>完成整併，</w:t>
      </w:r>
      <w:r w:rsidR="00215DB4" w:rsidRPr="00D1173F">
        <w:rPr>
          <w:rFonts w:hAnsi="標楷體" w:hint="eastAsia"/>
          <w:b/>
          <w:szCs w:val="32"/>
        </w:rPr>
        <w:t>且</w:t>
      </w:r>
      <w:r w:rsidR="00215DB4" w:rsidRPr="00D1173F">
        <w:rPr>
          <w:rFonts w:ascii="Times New Roman" w:hAnsi="Times New Roman"/>
          <w:b/>
          <w:noProof/>
          <w:szCs w:val="32"/>
        </w:rPr>
        <w:t>將以中小企業整體發展角度納入地方產業發展需求，規劃整體發展推動策略</w:t>
      </w:r>
      <w:r w:rsidR="00215DB4" w:rsidRPr="00D1173F">
        <w:rPr>
          <w:rFonts w:ascii="Times New Roman" w:hAnsi="Times New Roman" w:hint="eastAsia"/>
          <w:b/>
          <w:noProof/>
          <w:szCs w:val="32"/>
        </w:rPr>
        <w:t>。</w:t>
      </w:r>
      <w:r w:rsidR="00381B4B">
        <w:rPr>
          <w:rFonts w:hAnsi="標楷體" w:hint="eastAsia"/>
          <w:b/>
          <w:szCs w:val="32"/>
        </w:rPr>
        <w:t>基於</w:t>
      </w:r>
      <w:r w:rsidR="00567988" w:rsidRPr="00D1173F">
        <w:rPr>
          <w:rFonts w:hAnsi="標楷體" w:hint="eastAsia"/>
          <w:b/>
          <w:szCs w:val="32"/>
        </w:rPr>
        <w:t>「地</w:t>
      </w:r>
      <w:r w:rsidR="00215DB4" w:rsidRPr="00D1173F">
        <w:rPr>
          <w:rFonts w:hAnsi="標楷體" w:hint="eastAsia"/>
          <w:b/>
          <w:szCs w:val="32"/>
        </w:rPr>
        <w:t>方</w:t>
      </w:r>
      <w:r w:rsidR="00567988" w:rsidRPr="00D1173F">
        <w:rPr>
          <w:rFonts w:hAnsi="標楷體" w:hint="eastAsia"/>
          <w:b/>
          <w:szCs w:val="32"/>
        </w:rPr>
        <w:t>產</w:t>
      </w:r>
      <w:r w:rsidR="00215DB4" w:rsidRPr="00D1173F">
        <w:rPr>
          <w:rFonts w:hAnsi="標楷體" w:hint="eastAsia"/>
          <w:b/>
          <w:szCs w:val="32"/>
        </w:rPr>
        <w:t>業發展</w:t>
      </w:r>
      <w:r w:rsidR="00567988" w:rsidRPr="00D1173F">
        <w:rPr>
          <w:rFonts w:hAnsi="標楷體" w:hint="eastAsia"/>
          <w:b/>
          <w:szCs w:val="32"/>
        </w:rPr>
        <w:t>基金」</w:t>
      </w:r>
      <w:r w:rsidR="00215DB4" w:rsidRPr="00D1173F">
        <w:rPr>
          <w:rFonts w:hAnsi="標楷體" w:hint="eastAsia"/>
          <w:b/>
          <w:szCs w:val="32"/>
        </w:rPr>
        <w:t>之</w:t>
      </w:r>
      <w:r w:rsidR="00567988" w:rsidRPr="00D1173F">
        <w:rPr>
          <w:rFonts w:hAnsi="標楷體" w:hint="eastAsia"/>
          <w:b/>
          <w:szCs w:val="32"/>
        </w:rPr>
        <w:t>裁併原因</w:t>
      </w:r>
      <w:r w:rsidR="00215DB4" w:rsidRPr="00D1173F">
        <w:rPr>
          <w:rFonts w:hAnsi="標楷體" w:hint="eastAsia"/>
          <w:b/>
          <w:szCs w:val="32"/>
        </w:rPr>
        <w:t>，</w:t>
      </w:r>
      <w:r w:rsidR="00567988" w:rsidRPr="00D1173F">
        <w:rPr>
          <w:rFonts w:hAnsi="標楷體" w:hint="eastAsia"/>
          <w:b/>
          <w:szCs w:val="32"/>
        </w:rPr>
        <w:t>係該基金雖為特別收入</w:t>
      </w:r>
      <w:r w:rsidR="00EC7BB2" w:rsidRPr="00D1173F">
        <w:rPr>
          <w:rFonts w:hAnsi="標楷體" w:hint="eastAsia"/>
          <w:b/>
          <w:szCs w:val="32"/>
        </w:rPr>
        <w:t>基金，惟法定收入偏低，倘無</w:t>
      </w:r>
      <w:r w:rsidR="00567988" w:rsidRPr="00D1173F">
        <w:rPr>
          <w:rFonts w:hAnsi="標楷體" w:hint="eastAsia"/>
          <w:b/>
          <w:szCs w:val="32"/>
        </w:rPr>
        <w:t>國庫撥補</w:t>
      </w:r>
      <w:r w:rsidR="00EC7BB2" w:rsidRPr="00D1173F">
        <w:rPr>
          <w:rFonts w:hAnsi="標楷體" w:hint="eastAsia"/>
          <w:b/>
          <w:szCs w:val="32"/>
        </w:rPr>
        <w:t>，即無以為繼。然</w:t>
      </w:r>
      <w:r w:rsidR="00567988" w:rsidRPr="00D1173F">
        <w:rPr>
          <w:rFonts w:hAnsi="標楷體" w:hint="eastAsia"/>
          <w:b/>
          <w:szCs w:val="32"/>
        </w:rPr>
        <w:t>「中小企業</w:t>
      </w:r>
      <w:r w:rsidR="00215DB4" w:rsidRPr="00D1173F">
        <w:rPr>
          <w:rFonts w:hAnsi="標楷體" w:hint="eastAsia"/>
          <w:b/>
          <w:szCs w:val="32"/>
        </w:rPr>
        <w:t>發展</w:t>
      </w:r>
      <w:r w:rsidR="00567988" w:rsidRPr="00D1173F">
        <w:rPr>
          <w:rFonts w:hAnsi="標楷體" w:hint="eastAsia"/>
          <w:b/>
          <w:szCs w:val="32"/>
        </w:rPr>
        <w:t>基金」</w:t>
      </w:r>
      <w:r w:rsidR="00193446">
        <w:rPr>
          <w:rFonts w:hAnsi="標楷體" w:hint="eastAsia"/>
          <w:b/>
          <w:szCs w:val="32"/>
        </w:rPr>
        <w:t>於</w:t>
      </w:r>
      <w:r w:rsidR="00567988" w:rsidRPr="00D1173F">
        <w:rPr>
          <w:rFonts w:hAnsi="標楷體" w:hint="eastAsia"/>
          <w:b/>
          <w:szCs w:val="32"/>
        </w:rPr>
        <w:t>102年至104年間，每年亦發生短絀</w:t>
      </w:r>
      <w:r w:rsidR="00EC7BB2" w:rsidRPr="00D1173F">
        <w:rPr>
          <w:rFonts w:hAnsi="標楷體" w:hint="eastAsia"/>
          <w:b/>
          <w:szCs w:val="32"/>
        </w:rPr>
        <w:t>達</w:t>
      </w:r>
      <w:r w:rsidR="00567988" w:rsidRPr="00D1173F">
        <w:rPr>
          <w:rFonts w:hAnsi="標楷體" w:hint="eastAsia"/>
          <w:b/>
          <w:szCs w:val="32"/>
        </w:rPr>
        <w:t>4億餘元至5億餘元</w:t>
      </w:r>
      <w:r w:rsidR="00706ED7" w:rsidRPr="00D1173F">
        <w:rPr>
          <w:rFonts w:hAnsi="標楷體" w:hint="eastAsia"/>
          <w:b/>
          <w:szCs w:val="32"/>
        </w:rPr>
        <w:t>，</w:t>
      </w:r>
      <w:r w:rsidR="00706ED7" w:rsidRPr="00D1173F">
        <w:rPr>
          <w:rFonts w:ascii="Times New Roman" w:hint="eastAsia"/>
          <w:b/>
        </w:rPr>
        <w:t>105</w:t>
      </w:r>
      <w:r w:rsidR="00706ED7" w:rsidRPr="00D1173F">
        <w:rPr>
          <w:rFonts w:ascii="Times New Roman" w:hint="eastAsia"/>
          <w:b/>
        </w:rPr>
        <w:t>年短絀雖略為減少，惟</w:t>
      </w:r>
      <w:r w:rsidR="00706ED7" w:rsidRPr="00D1173F">
        <w:rPr>
          <w:rFonts w:ascii="Times New Roman"/>
          <w:b/>
        </w:rPr>
        <w:t>截至</w:t>
      </w:r>
      <w:r w:rsidR="00706ED7" w:rsidRPr="00D1173F">
        <w:rPr>
          <w:rFonts w:ascii="Times New Roman"/>
          <w:b/>
        </w:rPr>
        <w:t>10</w:t>
      </w:r>
      <w:r w:rsidR="00706ED7" w:rsidRPr="00D1173F">
        <w:rPr>
          <w:rFonts w:ascii="Times New Roman" w:hint="eastAsia"/>
          <w:b/>
        </w:rPr>
        <w:t>5</w:t>
      </w:r>
      <w:r w:rsidR="00706ED7" w:rsidRPr="00D1173F">
        <w:rPr>
          <w:rFonts w:ascii="Times New Roman"/>
          <w:b/>
        </w:rPr>
        <w:t>年底，累積待填補短絀金額</w:t>
      </w:r>
      <w:r w:rsidR="00706ED7" w:rsidRPr="00D1173F">
        <w:rPr>
          <w:rFonts w:ascii="Times New Roman" w:hint="eastAsia"/>
          <w:b/>
        </w:rPr>
        <w:t>高</w:t>
      </w:r>
      <w:r w:rsidR="00706ED7" w:rsidRPr="00D1173F">
        <w:rPr>
          <w:rFonts w:ascii="Times New Roman"/>
          <w:b/>
        </w:rPr>
        <w:t>達</w:t>
      </w:r>
      <w:r w:rsidR="00706ED7" w:rsidRPr="00D1173F">
        <w:rPr>
          <w:rFonts w:ascii="Times New Roman"/>
          <w:b/>
        </w:rPr>
        <w:t>2</w:t>
      </w:r>
      <w:r w:rsidR="00706ED7" w:rsidRPr="00D1173F">
        <w:rPr>
          <w:rFonts w:ascii="Times New Roman" w:hint="eastAsia"/>
          <w:b/>
        </w:rPr>
        <w:t>7.65</w:t>
      </w:r>
      <w:r w:rsidR="00706ED7" w:rsidRPr="00D1173F">
        <w:rPr>
          <w:rFonts w:ascii="Times New Roman"/>
          <w:b/>
        </w:rPr>
        <w:t>億餘元</w:t>
      </w:r>
      <w:r w:rsidR="00567988" w:rsidRPr="00D1173F">
        <w:rPr>
          <w:rFonts w:hAnsi="標楷體" w:hint="eastAsia"/>
          <w:b/>
          <w:szCs w:val="32"/>
        </w:rPr>
        <w:t>，</w:t>
      </w:r>
      <w:r w:rsidR="00215DB4" w:rsidRPr="00D1173F">
        <w:rPr>
          <w:rFonts w:hAnsi="標楷體" w:hint="eastAsia"/>
          <w:b/>
          <w:szCs w:val="32"/>
        </w:rPr>
        <w:t>為免</w:t>
      </w:r>
      <w:r w:rsidR="00EC7BB2" w:rsidRPr="00D1173F">
        <w:rPr>
          <w:rFonts w:hAnsi="標楷體" w:hint="eastAsia"/>
          <w:b/>
          <w:szCs w:val="32"/>
        </w:rPr>
        <w:t>本項</w:t>
      </w:r>
      <w:r w:rsidR="00567988" w:rsidRPr="00D1173F">
        <w:rPr>
          <w:rFonts w:hAnsi="標楷體" w:hint="eastAsia"/>
          <w:b/>
          <w:szCs w:val="32"/>
        </w:rPr>
        <w:t>整併方式，</w:t>
      </w:r>
      <w:r w:rsidR="00EC7BB2" w:rsidRPr="00D1173F">
        <w:rPr>
          <w:rFonts w:hAnsi="標楷體" w:hint="eastAsia"/>
          <w:b/>
          <w:szCs w:val="32"/>
        </w:rPr>
        <w:t>導致</w:t>
      </w:r>
      <w:r w:rsidR="00567988" w:rsidRPr="00D1173F">
        <w:rPr>
          <w:rFonts w:hAnsi="標楷體" w:hint="eastAsia"/>
          <w:b/>
          <w:szCs w:val="32"/>
        </w:rPr>
        <w:t>「中小企業</w:t>
      </w:r>
      <w:r w:rsidR="00215DB4" w:rsidRPr="00D1173F">
        <w:rPr>
          <w:rFonts w:hAnsi="標楷體" w:hint="eastAsia"/>
          <w:b/>
          <w:szCs w:val="32"/>
        </w:rPr>
        <w:t>發展</w:t>
      </w:r>
      <w:r w:rsidR="00567988" w:rsidRPr="00D1173F">
        <w:rPr>
          <w:rFonts w:hAnsi="標楷體" w:hint="eastAsia"/>
          <w:b/>
          <w:szCs w:val="32"/>
        </w:rPr>
        <w:t>基金」之營運</w:t>
      </w:r>
      <w:r w:rsidR="00215DB4" w:rsidRPr="00D1173F">
        <w:rPr>
          <w:rFonts w:hAnsi="標楷體" w:hint="eastAsia"/>
          <w:b/>
          <w:szCs w:val="32"/>
        </w:rPr>
        <w:t>短絀</w:t>
      </w:r>
      <w:r w:rsidR="00EC7BB2" w:rsidRPr="00D1173F">
        <w:rPr>
          <w:rFonts w:hAnsi="標楷體" w:hint="eastAsia"/>
          <w:b/>
          <w:szCs w:val="32"/>
        </w:rPr>
        <w:t>更形惡化</w:t>
      </w:r>
      <w:r w:rsidR="00567988" w:rsidRPr="00D1173F">
        <w:rPr>
          <w:rFonts w:hAnsi="標楷體" w:hint="eastAsia"/>
          <w:b/>
          <w:szCs w:val="32"/>
        </w:rPr>
        <w:t>，</w:t>
      </w:r>
      <w:r w:rsidR="00215DB4" w:rsidRPr="00D1173F">
        <w:rPr>
          <w:rFonts w:hAnsi="標楷體" w:hint="eastAsia"/>
          <w:b/>
          <w:szCs w:val="32"/>
        </w:rPr>
        <w:t>國庫應考量</w:t>
      </w:r>
      <w:r w:rsidR="00E60393" w:rsidRPr="00D1173F">
        <w:rPr>
          <w:rFonts w:hAnsi="標楷體" w:hint="eastAsia"/>
          <w:b/>
          <w:szCs w:val="32"/>
        </w:rPr>
        <w:t>適時</w:t>
      </w:r>
      <w:r w:rsidR="00215DB4" w:rsidRPr="00D1173F">
        <w:rPr>
          <w:rFonts w:hAnsi="標楷體" w:hint="eastAsia"/>
          <w:b/>
          <w:szCs w:val="32"/>
        </w:rPr>
        <w:t>給予財務挹注，以達</w:t>
      </w:r>
      <w:r w:rsidR="00567988" w:rsidRPr="00D1173F">
        <w:rPr>
          <w:rFonts w:hAnsi="標楷體" w:hint="eastAsia"/>
          <w:b/>
          <w:szCs w:val="32"/>
        </w:rPr>
        <w:t>該基金</w:t>
      </w:r>
      <w:r w:rsidR="002B7EE4" w:rsidRPr="00D1173F">
        <w:rPr>
          <w:rFonts w:hAnsi="標楷體" w:hint="eastAsia"/>
          <w:b/>
          <w:szCs w:val="32"/>
        </w:rPr>
        <w:t>原</w:t>
      </w:r>
      <w:r w:rsidR="002B7EE4" w:rsidRPr="00D1173F">
        <w:rPr>
          <w:rFonts w:hint="eastAsia"/>
          <w:b/>
          <w:szCs w:val="32"/>
        </w:rPr>
        <w:t>為協助中小企業健全發展</w:t>
      </w:r>
      <w:r w:rsidR="00F17074" w:rsidRPr="00D1173F">
        <w:rPr>
          <w:rFonts w:hint="eastAsia"/>
          <w:b/>
          <w:szCs w:val="32"/>
        </w:rPr>
        <w:t>之</w:t>
      </w:r>
      <w:r w:rsidR="00381B4B">
        <w:rPr>
          <w:rFonts w:hAnsi="標楷體" w:hint="eastAsia"/>
          <w:b/>
          <w:szCs w:val="32"/>
        </w:rPr>
        <w:t>設立目的</w:t>
      </w:r>
      <w:r w:rsidR="00567988" w:rsidRPr="00D1173F">
        <w:rPr>
          <w:rFonts w:hAnsi="標楷體" w:hint="eastAsia"/>
          <w:b/>
          <w:szCs w:val="32"/>
        </w:rPr>
        <w:t>。</w:t>
      </w:r>
      <w:r w:rsidR="003550BC" w:rsidRPr="00D1173F">
        <w:rPr>
          <w:rFonts w:hAnsi="標楷體" w:hint="eastAsia"/>
          <w:b/>
          <w:szCs w:val="32"/>
        </w:rPr>
        <w:t>復應落實</w:t>
      </w:r>
      <w:r w:rsidR="00F17074" w:rsidRPr="00D1173F">
        <w:rPr>
          <w:rFonts w:hAnsi="標楷體" w:hint="eastAsia"/>
          <w:b/>
          <w:szCs w:val="32"/>
        </w:rPr>
        <w:t>原</w:t>
      </w:r>
      <w:r w:rsidR="003550BC" w:rsidRPr="00D1173F">
        <w:rPr>
          <w:rFonts w:ascii="Times New Roman" w:hint="eastAsia"/>
          <w:b/>
        </w:rPr>
        <w:t>「</w:t>
      </w:r>
      <w:r w:rsidR="003550BC" w:rsidRPr="00D1173F">
        <w:rPr>
          <w:rFonts w:ascii="Times New Roman"/>
          <w:b/>
        </w:rPr>
        <w:t>地方產業發展基金</w:t>
      </w:r>
      <w:r w:rsidR="003550BC" w:rsidRPr="00D1173F">
        <w:rPr>
          <w:rFonts w:ascii="Times New Roman" w:hint="eastAsia"/>
          <w:b/>
        </w:rPr>
        <w:t>」</w:t>
      </w:r>
      <w:r w:rsidR="00F17074" w:rsidRPr="00D1173F">
        <w:rPr>
          <w:rFonts w:ascii="Times New Roman" w:hint="eastAsia"/>
          <w:b/>
        </w:rPr>
        <w:t>規劃</w:t>
      </w:r>
      <w:r w:rsidR="005B6DE3">
        <w:rPr>
          <w:rFonts w:ascii="Times New Roman" w:hint="eastAsia"/>
          <w:b/>
        </w:rPr>
        <w:t>，</w:t>
      </w:r>
      <w:r w:rsidR="003550BC" w:rsidRPr="00D1173F">
        <w:rPr>
          <w:rFonts w:ascii="Times New Roman" w:hint="eastAsia"/>
          <w:b/>
        </w:rPr>
        <w:t>強</w:t>
      </w:r>
      <w:r w:rsidR="0048656B" w:rsidRPr="00D1173F">
        <w:rPr>
          <w:rFonts w:ascii="Times New Roman" w:hint="eastAsia"/>
          <w:b/>
        </w:rPr>
        <w:t>化</w:t>
      </w:r>
      <w:r w:rsidR="003550BC" w:rsidRPr="00D1173F">
        <w:rPr>
          <w:rFonts w:ascii="Times New Roman" w:hint="eastAsia"/>
          <w:b/>
        </w:rPr>
        <w:t>地方政府功</w:t>
      </w:r>
      <w:r w:rsidR="00E60393" w:rsidRPr="00D1173F">
        <w:rPr>
          <w:rFonts w:ascii="Times New Roman" w:hint="eastAsia"/>
          <w:b/>
        </w:rPr>
        <w:t>能，</w:t>
      </w:r>
      <w:r w:rsidR="0048656B" w:rsidRPr="00D1173F">
        <w:rPr>
          <w:rFonts w:ascii="Times New Roman" w:hint="eastAsia"/>
          <w:b/>
        </w:rPr>
        <w:t>以</w:t>
      </w:r>
      <w:r w:rsidR="00E60393" w:rsidRPr="00D1173F">
        <w:rPr>
          <w:rFonts w:ascii="Times New Roman" w:hint="eastAsia"/>
          <w:b/>
        </w:rPr>
        <w:t>提升</w:t>
      </w:r>
      <w:r w:rsidR="00381B4B" w:rsidRPr="00D1173F">
        <w:rPr>
          <w:rFonts w:ascii="Times New Roman" w:hint="eastAsia"/>
          <w:b/>
        </w:rPr>
        <w:t>輔導</w:t>
      </w:r>
      <w:r w:rsidR="00E60393" w:rsidRPr="00D1173F">
        <w:rPr>
          <w:rFonts w:ascii="Times New Roman" w:hint="eastAsia"/>
          <w:b/>
        </w:rPr>
        <w:t>計畫成功機會，基金</w:t>
      </w:r>
      <w:r w:rsidR="00F17074" w:rsidRPr="00D1173F">
        <w:rPr>
          <w:rFonts w:ascii="Times New Roman" w:hint="eastAsia"/>
          <w:b/>
        </w:rPr>
        <w:t>再</w:t>
      </w:r>
      <w:r w:rsidR="00E60393" w:rsidRPr="00D1173F">
        <w:rPr>
          <w:rFonts w:ascii="Times New Roman" w:hint="eastAsia"/>
          <w:b/>
        </w:rPr>
        <w:t>由計畫營收中收取回饋金之轉型</w:t>
      </w:r>
      <w:r w:rsidR="00193446">
        <w:rPr>
          <w:rFonts w:ascii="Times New Roman" w:hint="eastAsia"/>
          <w:b/>
        </w:rPr>
        <w:t>目標</w:t>
      </w:r>
      <w:r w:rsidR="00E60393" w:rsidRPr="00D1173F">
        <w:rPr>
          <w:rFonts w:ascii="Times New Roman" w:hint="eastAsia"/>
          <w:b/>
        </w:rPr>
        <w:t>。</w:t>
      </w:r>
    </w:p>
    <w:p w:rsidR="00F17074" w:rsidRPr="00F17074" w:rsidRDefault="005A5213" w:rsidP="00905C11">
      <w:pPr>
        <w:pStyle w:val="3"/>
        <w:ind w:rightChars="57" w:right="194"/>
      </w:pPr>
      <w:r>
        <w:rPr>
          <w:rFonts w:hint="eastAsia"/>
          <w:kern w:val="0"/>
        </w:rPr>
        <w:t>按「地方產業發展基金」係</w:t>
      </w:r>
      <w:r w:rsidR="00197971">
        <w:rPr>
          <w:rFonts w:hint="eastAsia"/>
          <w:kern w:val="0"/>
        </w:rPr>
        <w:t>經濟部</w:t>
      </w:r>
      <w:r w:rsidR="00381B4B">
        <w:rPr>
          <w:rFonts w:hint="eastAsia"/>
          <w:kern w:val="0"/>
        </w:rPr>
        <w:t>於</w:t>
      </w:r>
      <w:r w:rsidR="00381B4B">
        <w:rPr>
          <w:kern w:val="0"/>
        </w:rPr>
        <w:t>97</w:t>
      </w:r>
      <w:r w:rsidR="00381B4B">
        <w:rPr>
          <w:rFonts w:hint="eastAsia"/>
          <w:kern w:val="0"/>
        </w:rPr>
        <w:t>年</w:t>
      </w:r>
      <w:r w:rsidR="00381B4B">
        <w:rPr>
          <w:kern w:val="0"/>
        </w:rPr>
        <w:t>8</w:t>
      </w:r>
      <w:r w:rsidR="00381B4B">
        <w:rPr>
          <w:rFonts w:hint="eastAsia"/>
          <w:kern w:val="0"/>
        </w:rPr>
        <w:t>月</w:t>
      </w:r>
      <w:r w:rsidR="00381B4B">
        <w:rPr>
          <w:kern w:val="0"/>
        </w:rPr>
        <w:t>22</w:t>
      </w:r>
      <w:r w:rsidR="00381B4B">
        <w:rPr>
          <w:rFonts w:hint="eastAsia"/>
          <w:kern w:val="0"/>
        </w:rPr>
        <w:t>日</w:t>
      </w:r>
      <w:r>
        <w:rPr>
          <w:rFonts w:hint="eastAsia"/>
          <w:kern w:val="0"/>
        </w:rPr>
        <w:t>奉行政院核定，本「一鄉一品」之施政方針，以促進地方產業發展，提高區域或地方經濟成長之基本動能，於</w:t>
      </w:r>
      <w:r>
        <w:rPr>
          <w:kern w:val="0"/>
        </w:rPr>
        <w:t>98</w:t>
      </w:r>
      <w:r>
        <w:rPr>
          <w:rFonts w:hint="eastAsia"/>
          <w:kern w:val="0"/>
        </w:rPr>
        <w:t>年度依</w:t>
      </w:r>
      <w:r w:rsidR="005B6DE3">
        <w:rPr>
          <w:rFonts w:hint="eastAsia"/>
          <w:kern w:val="0"/>
        </w:rPr>
        <w:t>「</w:t>
      </w:r>
      <w:r>
        <w:rPr>
          <w:rFonts w:hint="eastAsia"/>
          <w:kern w:val="0"/>
        </w:rPr>
        <w:t>中小企業發展條例</w:t>
      </w:r>
      <w:r w:rsidR="005B6DE3">
        <w:rPr>
          <w:rFonts w:hint="eastAsia"/>
          <w:kern w:val="0"/>
        </w:rPr>
        <w:t>」</w:t>
      </w:r>
      <w:r>
        <w:rPr>
          <w:rFonts w:hint="eastAsia"/>
          <w:kern w:val="0"/>
        </w:rPr>
        <w:t>第</w:t>
      </w:r>
      <w:r>
        <w:rPr>
          <w:kern w:val="0"/>
        </w:rPr>
        <w:t>24</w:t>
      </w:r>
      <w:r>
        <w:rPr>
          <w:rFonts w:hint="eastAsia"/>
          <w:kern w:val="0"/>
        </w:rPr>
        <w:t>條之</w:t>
      </w:r>
      <w:r>
        <w:rPr>
          <w:kern w:val="0"/>
        </w:rPr>
        <w:t>1</w:t>
      </w:r>
      <w:r>
        <w:rPr>
          <w:rFonts w:hint="eastAsia"/>
          <w:kern w:val="0"/>
        </w:rPr>
        <w:t>規定設置。惟</w:t>
      </w:r>
      <w:r w:rsidR="002A1BE0" w:rsidRPr="00031146">
        <w:rPr>
          <w:rFonts w:ascii="Times New Roman"/>
        </w:rPr>
        <w:t>審計部</w:t>
      </w:r>
      <w:r w:rsidR="002A1BE0" w:rsidRPr="00031146">
        <w:rPr>
          <w:rFonts w:ascii="Times New Roman"/>
        </w:rPr>
        <w:t>103</w:t>
      </w:r>
      <w:r w:rsidR="002A1BE0" w:rsidRPr="00031146">
        <w:rPr>
          <w:rFonts w:ascii="Times New Roman"/>
        </w:rPr>
        <w:t>年度中央政府總決算審核報告</w:t>
      </w:r>
      <w:r w:rsidR="002A1BE0">
        <w:rPr>
          <w:rFonts w:ascii="Times New Roman" w:hint="eastAsia"/>
        </w:rPr>
        <w:t>業指出，「</w:t>
      </w:r>
      <w:r w:rsidR="002A1BE0" w:rsidRPr="00031146">
        <w:rPr>
          <w:rFonts w:ascii="Times New Roman"/>
        </w:rPr>
        <w:t>地方產業發展基金</w:t>
      </w:r>
      <w:r w:rsidR="002A1BE0">
        <w:rPr>
          <w:rFonts w:ascii="Times New Roman" w:hint="eastAsia"/>
        </w:rPr>
        <w:t>」因</w:t>
      </w:r>
      <w:r w:rsidR="002A1BE0" w:rsidRPr="00031146">
        <w:rPr>
          <w:rFonts w:ascii="Times New Roman"/>
        </w:rPr>
        <w:t>未</w:t>
      </w:r>
      <w:r w:rsidR="002A1BE0" w:rsidRPr="00031146">
        <w:rPr>
          <w:rFonts w:ascii="Times New Roman"/>
        </w:rPr>
        <w:lastRenderedPageBreak/>
        <w:t>獲國庫挹注，</w:t>
      </w:r>
      <w:r w:rsidR="002A1BE0">
        <w:rPr>
          <w:rFonts w:ascii="Times New Roman" w:hint="eastAsia"/>
        </w:rPr>
        <w:t>且</w:t>
      </w:r>
      <w:r w:rsidR="002A1BE0" w:rsidRPr="00031146">
        <w:rPr>
          <w:rFonts w:ascii="Times New Roman"/>
        </w:rPr>
        <w:t>回饋機制執行成效欠佳，</w:t>
      </w:r>
      <w:r w:rsidR="00F17074">
        <w:rPr>
          <w:rFonts w:ascii="Times New Roman" w:hint="eastAsia"/>
        </w:rPr>
        <w:t>致</w:t>
      </w:r>
      <w:r w:rsidR="002A1BE0" w:rsidRPr="00031146">
        <w:rPr>
          <w:rFonts w:ascii="Times New Roman"/>
        </w:rPr>
        <w:t>連年發生短絀</w:t>
      </w:r>
      <w:r w:rsidR="002A1BE0">
        <w:rPr>
          <w:rFonts w:ascii="Times New Roman" w:hint="eastAsia"/>
        </w:rPr>
        <w:t>。</w:t>
      </w:r>
    </w:p>
    <w:p w:rsidR="00215DB4" w:rsidRPr="00B067BD" w:rsidRDefault="002A1BE0" w:rsidP="005A5213">
      <w:pPr>
        <w:pStyle w:val="3"/>
      </w:pPr>
      <w:r>
        <w:rPr>
          <w:rFonts w:ascii="Times New Roman" w:hint="eastAsia"/>
        </w:rPr>
        <w:t>經查「</w:t>
      </w:r>
      <w:r w:rsidRPr="00031146">
        <w:rPr>
          <w:rFonts w:ascii="Times New Roman"/>
        </w:rPr>
        <w:t>地方產業發展基金</w:t>
      </w:r>
      <w:r>
        <w:rPr>
          <w:rFonts w:ascii="Times New Roman" w:hint="eastAsia"/>
        </w:rPr>
        <w:t>」之屬性為特別收入基金，惟</w:t>
      </w:r>
      <w:r>
        <w:rPr>
          <w:rFonts w:ascii="Times New Roman" w:hint="eastAsia"/>
        </w:rPr>
        <w:t>102</w:t>
      </w:r>
      <w:r>
        <w:rPr>
          <w:rFonts w:ascii="Times New Roman" w:hint="eastAsia"/>
        </w:rPr>
        <w:t>年至</w:t>
      </w:r>
      <w:r>
        <w:rPr>
          <w:rFonts w:ascii="Times New Roman" w:hint="eastAsia"/>
        </w:rPr>
        <w:t>10</w:t>
      </w:r>
      <w:r w:rsidR="00A53B8D">
        <w:rPr>
          <w:rFonts w:ascii="Times New Roman" w:hint="eastAsia"/>
        </w:rPr>
        <w:t>5</w:t>
      </w:r>
      <w:r>
        <w:rPr>
          <w:rFonts w:ascii="Times New Roman" w:hint="eastAsia"/>
        </w:rPr>
        <w:t>年間，每年營運短絀金額分別為</w:t>
      </w:r>
      <w:r>
        <w:rPr>
          <w:rFonts w:ascii="Times New Roman" w:hint="eastAsia"/>
        </w:rPr>
        <w:t>4.33</w:t>
      </w:r>
      <w:r>
        <w:rPr>
          <w:rFonts w:ascii="Times New Roman" w:hint="eastAsia"/>
        </w:rPr>
        <w:t>億餘元、</w:t>
      </w:r>
      <w:r w:rsidR="00A53B8D">
        <w:rPr>
          <w:rFonts w:ascii="Times New Roman" w:hint="eastAsia"/>
        </w:rPr>
        <w:t>4.38</w:t>
      </w:r>
      <w:r>
        <w:rPr>
          <w:rFonts w:ascii="Times New Roman" w:hint="eastAsia"/>
        </w:rPr>
        <w:t>億餘元</w:t>
      </w:r>
      <w:r w:rsidR="00A53B8D">
        <w:rPr>
          <w:rFonts w:ascii="Times New Roman" w:hint="eastAsia"/>
        </w:rPr>
        <w:t>、</w:t>
      </w:r>
      <w:r w:rsidR="00A53B8D">
        <w:rPr>
          <w:rFonts w:ascii="Times New Roman" w:hint="eastAsia"/>
        </w:rPr>
        <w:t>3.06</w:t>
      </w:r>
      <w:r w:rsidR="00A53B8D">
        <w:rPr>
          <w:rFonts w:ascii="Times New Roman" w:hint="eastAsia"/>
        </w:rPr>
        <w:t>億餘元</w:t>
      </w:r>
      <w:r>
        <w:rPr>
          <w:rFonts w:ascii="Times New Roman" w:hint="eastAsia"/>
        </w:rPr>
        <w:t>及</w:t>
      </w:r>
      <w:r w:rsidR="00A53B8D">
        <w:rPr>
          <w:rFonts w:ascii="Times New Roman" w:hint="eastAsia"/>
        </w:rPr>
        <w:t>1.42</w:t>
      </w:r>
      <w:r w:rsidR="00A53B8D">
        <w:rPr>
          <w:rFonts w:ascii="Times New Roman" w:hint="eastAsia"/>
        </w:rPr>
        <w:t>億餘元，致迄</w:t>
      </w:r>
      <w:r w:rsidR="00A53B8D">
        <w:rPr>
          <w:rFonts w:ascii="Times New Roman" w:hint="eastAsia"/>
        </w:rPr>
        <w:t>105</w:t>
      </w:r>
      <w:r w:rsidR="005B6DE3">
        <w:rPr>
          <w:rFonts w:ascii="Times New Roman" w:hint="eastAsia"/>
        </w:rPr>
        <w:t>年底該基金餘額僅</w:t>
      </w:r>
      <w:r w:rsidR="00A53B8D">
        <w:rPr>
          <w:rFonts w:ascii="Times New Roman" w:hint="eastAsia"/>
        </w:rPr>
        <w:t>2.97</w:t>
      </w:r>
      <w:r w:rsidR="00A53B8D">
        <w:rPr>
          <w:rFonts w:ascii="Times New Roman" w:hint="eastAsia"/>
        </w:rPr>
        <w:t>億餘元</w:t>
      </w:r>
      <w:r w:rsidR="00A53B8D">
        <w:rPr>
          <w:rStyle w:val="aff1"/>
          <w:rFonts w:ascii="Times New Roman"/>
        </w:rPr>
        <w:footnoteReference w:id="4"/>
      </w:r>
      <w:r w:rsidR="00A53B8D">
        <w:rPr>
          <w:rFonts w:ascii="Times New Roman" w:hint="eastAsia"/>
        </w:rPr>
        <w:t>。</w:t>
      </w:r>
      <w:r w:rsidR="00FC0D26">
        <w:rPr>
          <w:rFonts w:ascii="Times New Roman" w:hint="eastAsia"/>
        </w:rPr>
        <w:t>為解決</w:t>
      </w:r>
      <w:r w:rsidR="00F17074">
        <w:rPr>
          <w:rFonts w:hint="eastAsia"/>
          <w:kern w:val="0"/>
        </w:rPr>
        <w:t>「地方產業發展基金」</w:t>
      </w:r>
      <w:r w:rsidR="00FC0D26">
        <w:rPr>
          <w:rFonts w:hAnsi="標楷體" w:hint="eastAsia"/>
          <w:color w:val="000000"/>
        </w:rPr>
        <w:t>未能落實該基金補助回饋機制，亦未能符合特別收入基金應有之專款專用屬性等問題，經濟部於105年初擬具該基金之整併方向，並於同年11月間報行政院審查，</w:t>
      </w:r>
      <w:r w:rsidR="00A53B8D">
        <w:rPr>
          <w:rFonts w:ascii="Times New Roman" w:hint="eastAsia"/>
        </w:rPr>
        <w:t>嗣</w:t>
      </w:r>
      <w:r w:rsidR="00A53B8D" w:rsidRPr="00B067BD">
        <w:rPr>
          <w:rFonts w:ascii="Times New Roman"/>
        </w:rPr>
        <w:t>行政院於</w:t>
      </w:r>
      <w:r w:rsidR="00A53B8D" w:rsidRPr="00B067BD">
        <w:rPr>
          <w:rFonts w:ascii="Times New Roman"/>
        </w:rPr>
        <w:t>106</w:t>
      </w:r>
      <w:r w:rsidR="00A53B8D" w:rsidRPr="00B067BD">
        <w:rPr>
          <w:rFonts w:ascii="Times New Roman"/>
        </w:rPr>
        <w:t>年</w:t>
      </w:r>
      <w:r w:rsidR="00A53B8D" w:rsidRPr="00B067BD">
        <w:rPr>
          <w:rFonts w:ascii="Times New Roman"/>
        </w:rPr>
        <w:t>1</w:t>
      </w:r>
      <w:r w:rsidR="00A53B8D" w:rsidRPr="00B067BD">
        <w:rPr>
          <w:rFonts w:ascii="Times New Roman"/>
        </w:rPr>
        <w:t>月</w:t>
      </w:r>
      <w:r w:rsidR="00A53B8D" w:rsidRPr="00B067BD">
        <w:rPr>
          <w:rFonts w:ascii="Times New Roman"/>
        </w:rPr>
        <w:t>24</w:t>
      </w:r>
      <w:r w:rsidR="00A53B8D" w:rsidRPr="00B067BD">
        <w:rPr>
          <w:rFonts w:ascii="Times New Roman"/>
        </w:rPr>
        <w:t>日以院授主基經字第</w:t>
      </w:r>
      <w:r w:rsidR="00A53B8D" w:rsidRPr="00B067BD">
        <w:rPr>
          <w:rFonts w:ascii="Times New Roman"/>
        </w:rPr>
        <w:t>1060200058</w:t>
      </w:r>
      <w:r w:rsidR="00A53B8D" w:rsidRPr="00B067BD">
        <w:rPr>
          <w:rFonts w:ascii="Times New Roman"/>
        </w:rPr>
        <w:t>號函核定，</w:t>
      </w:r>
      <w:r w:rsidR="00A53B8D" w:rsidRPr="00B067BD">
        <w:rPr>
          <w:rFonts w:ascii="Times New Roman" w:hint="eastAsia"/>
        </w:rPr>
        <w:t>「</w:t>
      </w:r>
      <w:r w:rsidR="00A53B8D" w:rsidRPr="00B067BD">
        <w:rPr>
          <w:rFonts w:ascii="Times New Roman"/>
        </w:rPr>
        <w:t>中小企業發展基金</w:t>
      </w:r>
      <w:r w:rsidR="00A53B8D" w:rsidRPr="00B067BD">
        <w:rPr>
          <w:rFonts w:ascii="Times New Roman" w:hint="eastAsia"/>
        </w:rPr>
        <w:t>」</w:t>
      </w:r>
      <w:r w:rsidR="00A53B8D" w:rsidRPr="00B067BD">
        <w:rPr>
          <w:rFonts w:ascii="Times New Roman"/>
        </w:rPr>
        <w:t>及</w:t>
      </w:r>
      <w:r w:rsidR="00A53B8D" w:rsidRPr="00B067BD">
        <w:rPr>
          <w:rFonts w:ascii="Times New Roman" w:hint="eastAsia"/>
        </w:rPr>
        <w:t>「</w:t>
      </w:r>
      <w:r w:rsidR="00A53B8D" w:rsidRPr="00B067BD">
        <w:rPr>
          <w:rFonts w:ascii="Times New Roman"/>
        </w:rPr>
        <w:t>地方產業發展基金</w:t>
      </w:r>
      <w:r w:rsidR="00A53B8D" w:rsidRPr="00B067BD">
        <w:rPr>
          <w:rFonts w:ascii="Times New Roman" w:hint="eastAsia"/>
        </w:rPr>
        <w:t>」</w:t>
      </w:r>
      <w:r w:rsidR="00A53B8D" w:rsidRPr="00B067BD">
        <w:rPr>
          <w:rFonts w:ascii="Times New Roman"/>
        </w:rPr>
        <w:t>自</w:t>
      </w:r>
      <w:r w:rsidR="00A53B8D" w:rsidRPr="00B067BD">
        <w:rPr>
          <w:rFonts w:ascii="Times New Roman"/>
        </w:rPr>
        <w:t>107</w:t>
      </w:r>
      <w:r w:rsidR="00A53B8D" w:rsidRPr="00B067BD">
        <w:rPr>
          <w:rFonts w:ascii="Times New Roman"/>
        </w:rPr>
        <w:t>年</w:t>
      </w:r>
      <w:r w:rsidR="00A53B8D" w:rsidRPr="00B067BD">
        <w:rPr>
          <w:rFonts w:ascii="Times New Roman" w:hint="eastAsia"/>
        </w:rPr>
        <w:t>起</w:t>
      </w:r>
      <w:r w:rsidR="00BF4043">
        <w:rPr>
          <w:rFonts w:ascii="Times New Roman"/>
        </w:rPr>
        <w:t>整併</w:t>
      </w:r>
      <w:r w:rsidR="00BF4043">
        <w:rPr>
          <w:rFonts w:ascii="Times New Roman" w:hint="eastAsia"/>
        </w:rPr>
        <w:t>。</w:t>
      </w:r>
      <w:r w:rsidR="00BF4043" w:rsidRPr="00B067BD">
        <w:rPr>
          <w:rFonts w:hint="eastAsia"/>
        </w:rPr>
        <w:t xml:space="preserve"> </w:t>
      </w:r>
    </w:p>
    <w:p w:rsidR="003550BC" w:rsidRPr="006C0D0D" w:rsidRDefault="00B067BD" w:rsidP="00B5030F">
      <w:pPr>
        <w:pStyle w:val="3"/>
        <w:ind w:rightChars="99" w:right="337"/>
        <w:rPr>
          <w:rFonts w:hAnsi="標楷體"/>
        </w:rPr>
      </w:pPr>
      <w:r w:rsidRPr="006C0D0D">
        <w:rPr>
          <w:rFonts w:hAnsi="標楷體" w:hint="eastAsia"/>
        </w:rPr>
        <w:t>惟查</w:t>
      </w:r>
      <w:r w:rsidR="00F17074" w:rsidRPr="006C0D0D">
        <w:rPr>
          <w:rFonts w:hAnsi="標楷體"/>
        </w:rPr>
        <w:t>95</w:t>
      </w:r>
      <w:r w:rsidR="00F17074" w:rsidRPr="006C0D0D">
        <w:rPr>
          <w:rFonts w:hAnsi="標楷體" w:hint="eastAsia"/>
        </w:rPr>
        <w:t>年</w:t>
      </w:r>
      <w:r w:rsidR="00F17074" w:rsidRPr="006C0D0D">
        <w:rPr>
          <w:rFonts w:hAnsi="標楷體"/>
        </w:rPr>
        <w:t>至104年</w:t>
      </w:r>
      <w:r w:rsidRPr="006C0D0D">
        <w:rPr>
          <w:rFonts w:hAnsi="標楷體" w:hint="eastAsia"/>
        </w:rPr>
        <w:t>「中小企業發展</w:t>
      </w:r>
      <w:r w:rsidRPr="006C0D0D">
        <w:rPr>
          <w:rFonts w:hAnsi="標楷體"/>
          <w:szCs w:val="32"/>
        </w:rPr>
        <w:t>基金</w:t>
      </w:r>
      <w:r w:rsidRPr="006C0D0D">
        <w:rPr>
          <w:rFonts w:hAnsi="標楷體" w:hint="eastAsia"/>
          <w:szCs w:val="32"/>
        </w:rPr>
        <w:t>」</w:t>
      </w:r>
      <w:r w:rsidR="005B6DE3">
        <w:rPr>
          <w:rFonts w:hAnsi="標楷體" w:hint="eastAsia"/>
          <w:szCs w:val="32"/>
        </w:rPr>
        <w:t>之</w:t>
      </w:r>
      <w:r w:rsidRPr="006C0D0D">
        <w:rPr>
          <w:rFonts w:hAnsi="標楷體"/>
        </w:rPr>
        <w:t>營運均發生短絀，短絀金額由99年度</w:t>
      </w:r>
      <w:r w:rsidR="00BF4043" w:rsidRPr="006C0D0D">
        <w:rPr>
          <w:rFonts w:hAnsi="標楷體" w:hint="eastAsia"/>
        </w:rPr>
        <w:t>0.</w:t>
      </w:r>
      <w:r w:rsidRPr="006C0D0D">
        <w:rPr>
          <w:rFonts w:hAnsi="標楷體"/>
        </w:rPr>
        <w:t>93</w:t>
      </w:r>
      <w:r w:rsidR="00BF4043" w:rsidRPr="006C0D0D">
        <w:rPr>
          <w:rFonts w:hAnsi="標楷體" w:hint="eastAsia"/>
        </w:rPr>
        <w:t>億</w:t>
      </w:r>
      <w:r w:rsidRPr="006C0D0D">
        <w:rPr>
          <w:rFonts w:hAnsi="標楷體"/>
        </w:rPr>
        <w:t>餘元，增至104年度5</w:t>
      </w:r>
      <w:r w:rsidR="00BF4043" w:rsidRPr="006C0D0D">
        <w:rPr>
          <w:rFonts w:hAnsi="標楷體" w:hint="eastAsia"/>
        </w:rPr>
        <w:t>.62</w:t>
      </w:r>
      <w:r w:rsidRPr="006C0D0D">
        <w:rPr>
          <w:rFonts w:hAnsi="標楷體"/>
        </w:rPr>
        <w:t>億</w:t>
      </w:r>
      <w:r w:rsidR="00BF4043" w:rsidRPr="006C0D0D">
        <w:rPr>
          <w:rFonts w:hAnsi="標楷體"/>
        </w:rPr>
        <w:t>餘元</w:t>
      </w:r>
      <w:r w:rsidR="00F17074" w:rsidRPr="006C0D0D">
        <w:rPr>
          <w:rFonts w:hAnsi="標楷體" w:hint="eastAsia"/>
        </w:rPr>
        <w:t>。</w:t>
      </w:r>
      <w:r w:rsidR="00BF4043" w:rsidRPr="006C0D0D">
        <w:rPr>
          <w:rFonts w:hAnsi="標楷體" w:hint="eastAsia"/>
        </w:rPr>
        <w:t>105年底短絀雖減少為5.00億元，惟</w:t>
      </w:r>
      <w:r w:rsidRPr="006C0D0D">
        <w:rPr>
          <w:rFonts w:hAnsi="標楷體"/>
        </w:rPr>
        <w:t>截至</w:t>
      </w:r>
      <w:r w:rsidR="00BF4043" w:rsidRPr="006C0D0D">
        <w:rPr>
          <w:rFonts w:hAnsi="標楷體"/>
        </w:rPr>
        <w:t>10</w:t>
      </w:r>
      <w:r w:rsidR="00BF4043" w:rsidRPr="006C0D0D">
        <w:rPr>
          <w:rFonts w:hAnsi="標楷體" w:hint="eastAsia"/>
        </w:rPr>
        <w:t>5</w:t>
      </w:r>
      <w:r w:rsidRPr="006C0D0D">
        <w:rPr>
          <w:rFonts w:hAnsi="標楷體"/>
        </w:rPr>
        <w:t>年底，累積待填補短絀金額達2</w:t>
      </w:r>
      <w:r w:rsidR="00BF4043" w:rsidRPr="006C0D0D">
        <w:rPr>
          <w:rFonts w:hAnsi="標楷體" w:hint="eastAsia"/>
        </w:rPr>
        <w:t>7.65</w:t>
      </w:r>
      <w:r w:rsidRPr="006C0D0D">
        <w:rPr>
          <w:rFonts w:hAnsi="標楷體"/>
        </w:rPr>
        <w:t>億餘元，基金淨值已由99年度67</w:t>
      </w:r>
      <w:r w:rsidR="006C0D0D">
        <w:rPr>
          <w:rFonts w:hAnsi="標楷體" w:hint="eastAsia"/>
        </w:rPr>
        <w:t>.</w:t>
      </w:r>
      <w:r w:rsidR="006C0D0D" w:rsidRPr="006C0D0D">
        <w:rPr>
          <w:rFonts w:hAnsi="標楷體"/>
        </w:rPr>
        <w:t>96</w:t>
      </w:r>
      <w:r w:rsidRPr="006C0D0D">
        <w:rPr>
          <w:rFonts w:hAnsi="標楷體"/>
        </w:rPr>
        <w:t>億餘元，降</w:t>
      </w:r>
      <w:r w:rsidR="00BF4043" w:rsidRPr="006C0D0D">
        <w:rPr>
          <w:rFonts w:hAnsi="標楷體" w:hint="eastAsia"/>
        </w:rPr>
        <w:t>為</w:t>
      </w:r>
      <w:r w:rsidRPr="006C0D0D">
        <w:rPr>
          <w:rFonts w:hAnsi="標楷體"/>
        </w:rPr>
        <w:t>10</w:t>
      </w:r>
      <w:r w:rsidR="00BF4043" w:rsidRPr="006C0D0D">
        <w:rPr>
          <w:rFonts w:hAnsi="標楷體" w:hint="eastAsia"/>
        </w:rPr>
        <w:t>5</w:t>
      </w:r>
      <w:r w:rsidRPr="006C0D0D">
        <w:rPr>
          <w:rFonts w:hAnsi="標楷體"/>
        </w:rPr>
        <w:t>年度4</w:t>
      </w:r>
      <w:r w:rsidR="00BF4043" w:rsidRPr="006C0D0D">
        <w:rPr>
          <w:rFonts w:hAnsi="標楷體" w:hint="eastAsia"/>
        </w:rPr>
        <w:t>3.67</w:t>
      </w:r>
      <w:r w:rsidRPr="006C0D0D">
        <w:rPr>
          <w:rFonts w:hAnsi="標楷體"/>
        </w:rPr>
        <w:t>億餘元。</w:t>
      </w:r>
      <w:r w:rsidR="000C11A9" w:rsidRPr="006C0D0D">
        <w:rPr>
          <w:rFonts w:hAnsi="標楷體" w:hint="eastAsia"/>
        </w:rPr>
        <w:t>鑑於我國</w:t>
      </w:r>
      <w:r w:rsidR="007C2DEF" w:rsidRPr="006C0D0D">
        <w:rPr>
          <w:rFonts w:hAnsi="標楷體" w:hint="eastAsia"/>
          <w:color w:val="000000"/>
          <w:szCs w:val="32"/>
        </w:rPr>
        <w:t>中小企業高達138萬餘家，占整體企業數之比率近98﹪，且近年來面臨重大國際競爭壓力，轉型升級的需求日益迫切，</w:t>
      </w:r>
      <w:r w:rsidR="007C2DEF" w:rsidRPr="006C0D0D">
        <w:rPr>
          <w:rFonts w:hAnsi="標楷體" w:hint="eastAsia"/>
        </w:rPr>
        <w:t>「</w:t>
      </w:r>
      <w:r w:rsidR="007C2DEF" w:rsidRPr="006C0D0D">
        <w:rPr>
          <w:rFonts w:hAnsi="標楷體"/>
        </w:rPr>
        <w:t>中小企業發展基金</w:t>
      </w:r>
      <w:r w:rsidR="007C2DEF" w:rsidRPr="006C0D0D">
        <w:rPr>
          <w:rFonts w:hAnsi="標楷體" w:hint="eastAsia"/>
        </w:rPr>
        <w:t>」</w:t>
      </w:r>
      <w:r w:rsidR="002A16CE" w:rsidRPr="006C0D0D">
        <w:rPr>
          <w:rFonts w:hAnsi="標楷體" w:hint="eastAsia"/>
        </w:rPr>
        <w:t>更應</w:t>
      </w:r>
      <w:r w:rsidR="00F17074" w:rsidRPr="006C0D0D">
        <w:rPr>
          <w:rFonts w:hAnsi="標楷體" w:hint="eastAsia"/>
        </w:rPr>
        <w:t>擔</w:t>
      </w:r>
      <w:r w:rsidR="002A16CE" w:rsidRPr="006C0D0D">
        <w:rPr>
          <w:rFonts w:hAnsi="標楷體" w:hint="eastAsia"/>
        </w:rPr>
        <w:t>負長期穩定支援輔導中小企業</w:t>
      </w:r>
      <w:r w:rsidR="00F17074" w:rsidRPr="006C0D0D">
        <w:rPr>
          <w:rFonts w:hAnsi="標楷體" w:hint="eastAsia"/>
        </w:rPr>
        <w:t>發展之角色</w:t>
      </w:r>
      <w:r w:rsidR="002A16CE" w:rsidRPr="006C0D0D">
        <w:rPr>
          <w:rFonts w:hAnsi="標楷體" w:hint="eastAsia"/>
        </w:rPr>
        <w:t>。現行政院核定將「</w:t>
      </w:r>
      <w:r w:rsidR="002A16CE" w:rsidRPr="006C0D0D">
        <w:rPr>
          <w:rFonts w:hAnsi="標楷體"/>
        </w:rPr>
        <w:t>地方產業發展基金</w:t>
      </w:r>
      <w:r w:rsidR="002A16CE" w:rsidRPr="006C0D0D">
        <w:rPr>
          <w:rFonts w:hAnsi="標楷體" w:hint="eastAsia"/>
        </w:rPr>
        <w:t>」</w:t>
      </w:r>
      <w:r w:rsidR="002A16CE" w:rsidRPr="006C0D0D">
        <w:rPr>
          <w:rFonts w:hAnsi="標楷體"/>
        </w:rPr>
        <w:t>業務納入</w:t>
      </w:r>
      <w:r w:rsidR="002A16CE" w:rsidRPr="006C0D0D">
        <w:rPr>
          <w:rFonts w:hAnsi="標楷體" w:hint="eastAsia"/>
        </w:rPr>
        <w:t>「</w:t>
      </w:r>
      <w:r w:rsidR="002A16CE" w:rsidRPr="006C0D0D">
        <w:rPr>
          <w:rFonts w:hAnsi="標楷體"/>
        </w:rPr>
        <w:t>中小企業發展基金</w:t>
      </w:r>
      <w:r w:rsidR="002A16CE" w:rsidRPr="006C0D0D">
        <w:rPr>
          <w:rFonts w:hAnsi="標楷體" w:hint="eastAsia"/>
        </w:rPr>
        <w:t>」</w:t>
      </w:r>
      <w:r w:rsidR="002A16CE" w:rsidRPr="006C0D0D">
        <w:rPr>
          <w:rFonts w:hAnsi="標楷體"/>
        </w:rPr>
        <w:t>辦理</w:t>
      </w:r>
      <w:r w:rsidR="002A16CE" w:rsidRPr="006C0D0D">
        <w:rPr>
          <w:rFonts w:hAnsi="標楷體" w:hint="eastAsia"/>
        </w:rPr>
        <w:t>，倘原定「</w:t>
      </w:r>
      <w:r w:rsidR="002A16CE" w:rsidRPr="006C0D0D">
        <w:rPr>
          <w:rFonts w:hAnsi="標楷體"/>
        </w:rPr>
        <w:t>地方產業發展基金</w:t>
      </w:r>
      <w:r w:rsidR="002A16CE" w:rsidRPr="006C0D0D">
        <w:rPr>
          <w:rFonts w:hAnsi="標楷體" w:hint="eastAsia"/>
        </w:rPr>
        <w:t>」之收入來源仍未有改善，勢必更令「</w:t>
      </w:r>
      <w:r w:rsidR="002A16CE" w:rsidRPr="006C0D0D">
        <w:rPr>
          <w:rFonts w:hAnsi="標楷體"/>
        </w:rPr>
        <w:t>中小企業發展基金</w:t>
      </w:r>
      <w:r w:rsidR="002A16CE" w:rsidRPr="006C0D0D">
        <w:rPr>
          <w:rFonts w:hAnsi="標楷體" w:hint="eastAsia"/>
        </w:rPr>
        <w:t>」</w:t>
      </w:r>
      <w:r w:rsidR="00275442">
        <w:rPr>
          <w:rFonts w:hAnsi="標楷體" w:hint="eastAsia"/>
        </w:rPr>
        <w:t>之</w:t>
      </w:r>
      <w:r w:rsidR="002A16CE" w:rsidRPr="006C0D0D">
        <w:rPr>
          <w:rFonts w:hAnsi="標楷體" w:hint="eastAsia"/>
        </w:rPr>
        <w:t>財務狀況益形惡化。爰</w:t>
      </w:r>
      <w:r w:rsidR="003550BC" w:rsidRPr="006C0D0D">
        <w:rPr>
          <w:rFonts w:hAnsi="標楷體" w:hint="eastAsia"/>
        </w:rPr>
        <w:t>為穩定「</w:t>
      </w:r>
      <w:r w:rsidR="003550BC" w:rsidRPr="006C0D0D">
        <w:rPr>
          <w:rFonts w:hAnsi="標楷體"/>
        </w:rPr>
        <w:t>中小企業發展基金</w:t>
      </w:r>
      <w:r w:rsidR="003550BC" w:rsidRPr="006C0D0D">
        <w:rPr>
          <w:rFonts w:hAnsi="標楷體" w:hint="eastAsia"/>
        </w:rPr>
        <w:t>」</w:t>
      </w:r>
      <w:r w:rsidR="00F17074" w:rsidRPr="006C0D0D">
        <w:rPr>
          <w:rFonts w:hAnsi="標楷體" w:hint="eastAsia"/>
        </w:rPr>
        <w:t>長期</w:t>
      </w:r>
      <w:r w:rsidR="003550BC" w:rsidRPr="006C0D0D">
        <w:rPr>
          <w:rFonts w:hAnsi="標楷體" w:hint="eastAsia"/>
        </w:rPr>
        <w:t>支援輔導</w:t>
      </w:r>
      <w:r w:rsidR="00F17074" w:rsidRPr="006C0D0D">
        <w:rPr>
          <w:rFonts w:hAnsi="標楷體" w:hint="eastAsia"/>
        </w:rPr>
        <w:t>我國</w:t>
      </w:r>
      <w:r w:rsidR="003550BC" w:rsidRPr="006C0D0D">
        <w:rPr>
          <w:rFonts w:hAnsi="標楷體" w:hint="eastAsia"/>
        </w:rPr>
        <w:t>中小企業</w:t>
      </w:r>
      <w:r w:rsidR="00F17074" w:rsidRPr="006C0D0D">
        <w:rPr>
          <w:rFonts w:hAnsi="標楷體" w:hint="eastAsia"/>
        </w:rPr>
        <w:t>升級</w:t>
      </w:r>
      <w:r w:rsidR="00F17074" w:rsidRPr="006C0D0D">
        <w:rPr>
          <w:rFonts w:hAnsi="標楷體" w:hint="eastAsia"/>
        </w:rPr>
        <w:lastRenderedPageBreak/>
        <w:t>發展之資金需求，以促進中小企業健全成長</w:t>
      </w:r>
      <w:r w:rsidR="003550BC" w:rsidRPr="006C0D0D">
        <w:rPr>
          <w:rFonts w:hAnsi="標楷體" w:hint="eastAsia"/>
        </w:rPr>
        <w:t>，國庫允宜適時給予財務挹注。</w:t>
      </w:r>
    </w:p>
    <w:p w:rsidR="00B067BD" w:rsidRPr="003550BC" w:rsidRDefault="003550BC" w:rsidP="00E050A9">
      <w:pPr>
        <w:pStyle w:val="3"/>
        <w:ind w:rightChars="99" w:right="337"/>
      </w:pPr>
      <w:r>
        <w:rPr>
          <w:rFonts w:ascii="Times New Roman" w:hint="eastAsia"/>
        </w:rPr>
        <w:t>末以，</w:t>
      </w:r>
      <w:r w:rsidR="007E0F42">
        <w:rPr>
          <w:rFonts w:ascii="Times New Roman" w:hint="eastAsia"/>
        </w:rPr>
        <w:t>為維持兩基金合併後之健全營運，</w:t>
      </w:r>
      <w:r>
        <w:rPr>
          <w:rFonts w:ascii="Times New Roman" w:hint="eastAsia"/>
        </w:rPr>
        <w:t>亦</w:t>
      </w:r>
      <w:r w:rsidR="007E0F42">
        <w:rPr>
          <w:rFonts w:ascii="Times New Roman" w:hint="eastAsia"/>
        </w:rPr>
        <w:t>應</w:t>
      </w:r>
      <w:r w:rsidR="00F17074">
        <w:rPr>
          <w:rFonts w:ascii="Times New Roman" w:hint="eastAsia"/>
        </w:rPr>
        <w:t>落實</w:t>
      </w:r>
      <w:r w:rsidR="002A16CE">
        <w:rPr>
          <w:rFonts w:ascii="Times New Roman" w:hint="eastAsia"/>
        </w:rPr>
        <w:t>「</w:t>
      </w:r>
      <w:r w:rsidR="002A16CE" w:rsidRPr="00B067BD">
        <w:rPr>
          <w:rFonts w:ascii="Times New Roman"/>
        </w:rPr>
        <w:t>地方產業發展基金</w:t>
      </w:r>
      <w:r w:rsidR="002A16CE">
        <w:rPr>
          <w:rFonts w:ascii="Times New Roman" w:hint="eastAsia"/>
        </w:rPr>
        <w:t>」</w:t>
      </w:r>
      <w:r w:rsidR="00F17074">
        <w:rPr>
          <w:rFonts w:ascii="Times New Roman" w:hint="eastAsia"/>
        </w:rPr>
        <w:t>原</w:t>
      </w:r>
      <w:r w:rsidR="0050090A">
        <w:rPr>
          <w:rFonts w:ascii="Times New Roman" w:hint="eastAsia"/>
        </w:rPr>
        <w:t>擬轉型規劃，</w:t>
      </w:r>
      <w:r w:rsidR="007E0F42">
        <w:rPr>
          <w:rFonts w:ascii="Times New Roman" w:hint="eastAsia"/>
        </w:rPr>
        <w:t>由</w:t>
      </w:r>
      <w:r w:rsidR="002A16CE" w:rsidRPr="002A16CE">
        <w:rPr>
          <w:rFonts w:ascii="Times New Roman" w:hint="eastAsia"/>
        </w:rPr>
        <w:t>地方政府依縣市整體產業發展藍圖規劃提出計畫</w:t>
      </w:r>
      <w:r w:rsidR="007E0F42">
        <w:rPr>
          <w:rFonts w:ascii="Times New Roman" w:hint="eastAsia"/>
        </w:rPr>
        <w:t>，並編列分擔經費後</w:t>
      </w:r>
      <w:r w:rsidR="002A16CE">
        <w:rPr>
          <w:rFonts w:ascii="Times New Roman" w:hint="eastAsia"/>
        </w:rPr>
        <w:t>，再由基金輔導</w:t>
      </w:r>
      <w:r w:rsidR="007E0F42">
        <w:rPr>
          <w:rFonts w:ascii="Times New Roman" w:hint="eastAsia"/>
        </w:rPr>
        <w:t>補助，</w:t>
      </w:r>
      <w:r w:rsidR="001E35A0" w:rsidRPr="003550BC">
        <w:rPr>
          <w:rFonts w:ascii="Times New Roman" w:hint="eastAsia"/>
        </w:rPr>
        <w:t>以強化地方政府共同參與分工</w:t>
      </w:r>
      <w:r w:rsidR="0050090A" w:rsidRPr="003550BC">
        <w:rPr>
          <w:rFonts w:ascii="Times New Roman" w:hint="eastAsia"/>
        </w:rPr>
        <w:t>機能，提升計畫之成功機</w:t>
      </w:r>
      <w:r w:rsidR="00E60393">
        <w:rPr>
          <w:rFonts w:ascii="Times New Roman" w:hint="eastAsia"/>
        </w:rPr>
        <w:t>率</w:t>
      </w:r>
      <w:r w:rsidR="001E35A0" w:rsidRPr="003550BC">
        <w:rPr>
          <w:rFonts w:ascii="Times New Roman" w:hint="eastAsia"/>
        </w:rPr>
        <w:t>，基金</w:t>
      </w:r>
      <w:r w:rsidR="005B6DE3">
        <w:rPr>
          <w:rFonts w:ascii="Times New Roman" w:hint="eastAsia"/>
        </w:rPr>
        <w:t>方有</w:t>
      </w:r>
      <w:r w:rsidR="007E0F42">
        <w:rPr>
          <w:rFonts w:ascii="Times New Roman" w:hint="eastAsia"/>
        </w:rPr>
        <w:t>由</w:t>
      </w:r>
      <w:r w:rsidR="001E35A0">
        <w:rPr>
          <w:rFonts w:ascii="Times New Roman" w:hint="eastAsia"/>
        </w:rPr>
        <w:t>輔導之</w:t>
      </w:r>
      <w:r w:rsidR="007E0F42">
        <w:rPr>
          <w:rFonts w:ascii="Times New Roman" w:hint="eastAsia"/>
        </w:rPr>
        <w:t>計畫營收中收取回饋金</w:t>
      </w:r>
      <w:r w:rsidR="0050090A">
        <w:rPr>
          <w:rFonts w:ascii="Times New Roman" w:hint="eastAsia"/>
        </w:rPr>
        <w:t>之</w:t>
      </w:r>
      <w:r w:rsidR="005B6DE3">
        <w:rPr>
          <w:rFonts w:ascii="Times New Roman" w:hint="eastAsia"/>
        </w:rPr>
        <w:t>可能</w:t>
      </w:r>
      <w:r w:rsidR="0050090A">
        <w:rPr>
          <w:rFonts w:ascii="Times New Roman" w:hint="eastAsia"/>
          <w:b/>
        </w:rPr>
        <w:t>。</w:t>
      </w:r>
      <w:r w:rsidR="00B067BD">
        <w:rPr>
          <w:rFonts w:ascii="Times New Roman" w:hAnsi="Times New Roman" w:hint="eastAsia"/>
          <w:sz w:val="28"/>
          <w:szCs w:val="28"/>
        </w:rPr>
        <w:t xml:space="preserve"> </w:t>
      </w:r>
    </w:p>
    <w:p w:rsidR="003550BC" w:rsidRDefault="003550BC" w:rsidP="00E050A9">
      <w:pPr>
        <w:pStyle w:val="3"/>
        <w:ind w:rightChars="99" w:right="337"/>
        <w:rPr>
          <w:rFonts w:hAnsi="標楷體"/>
          <w:szCs w:val="32"/>
        </w:rPr>
      </w:pPr>
      <w:r w:rsidRPr="00E60393">
        <w:rPr>
          <w:rFonts w:hAnsi="標楷體" w:hint="eastAsia"/>
          <w:szCs w:val="32"/>
        </w:rPr>
        <w:t>綜上，</w:t>
      </w:r>
      <w:r w:rsidR="00381B4B" w:rsidRPr="00381B4B">
        <w:rPr>
          <w:rFonts w:hAnsi="標楷體" w:hint="eastAsia"/>
          <w:szCs w:val="32"/>
        </w:rPr>
        <w:t>行政院業核定「地方產業發展基金」與「中小企業基金」於107年完成整併，且</w:t>
      </w:r>
      <w:r w:rsidR="00381B4B" w:rsidRPr="00381B4B">
        <w:rPr>
          <w:rFonts w:ascii="Times New Roman" w:hAnsi="Times New Roman"/>
          <w:noProof/>
          <w:szCs w:val="32"/>
        </w:rPr>
        <w:t>將以中小企業整體發展角度納入地方產業發展需求，規劃整體發展推動策略</w:t>
      </w:r>
      <w:r w:rsidR="00381B4B" w:rsidRPr="00381B4B">
        <w:rPr>
          <w:rFonts w:ascii="Times New Roman" w:hAnsi="Times New Roman" w:hint="eastAsia"/>
          <w:noProof/>
          <w:szCs w:val="32"/>
        </w:rPr>
        <w:t>。</w:t>
      </w:r>
      <w:r w:rsidR="00381B4B" w:rsidRPr="00381B4B">
        <w:rPr>
          <w:rFonts w:hAnsi="標楷體" w:hint="eastAsia"/>
          <w:szCs w:val="32"/>
        </w:rPr>
        <w:t>基於「地方產業發展基金」之裁併原因，係該基金雖為特別收入基金，惟法定收入偏低，倘無國庫撥補，即無以為繼。然「中小企業發展基金」</w:t>
      </w:r>
      <w:r w:rsidR="00193446">
        <w:rPr>
          <w:rFonts w:hAnsi="標楷體" w:hint="eastAsia"/>
          <w:szCs w:val="32"/>
        </w:rPr>
        <w:t>於</w:t>
      </w:r>
      <w:r w:rsidR="00381B4B" w:rsidRPr="00381B4B">
        <w:rPr>
          <w:rFonts w:hAnsi="標楷體" w:hint="eastAsia"/>
          <w:szCs w:val="32"/>
        </w:rPr>
        <w:t>102年至104年間，每年亦發生短絀達4億餘元至5億餘元，</w:t>
      </w:r>
      <w:r w:rsidR="00381B4B" w:rsidRPr="00381B4B">
        <w:rPr>
          <w:rFonts w:ascii="Times New Roman" w:hint="eastAsia"/>
        </w:rPr>
        <w:t>105</w:t>
      </w:r>
      <w:r w:rsidR="00381B4B" w:rsidRPr="00381B4B">
        <w:rPr>
          <w:rFonts w:ascii="Times New Roman" w:hint="eastAsia"/>
        </w:rPr>
        <w:t>年短絀雖略為減少，惟</w:t>
      </w:r>
      <w:r w:rsidR="00381B4B" w:rsidRPr="00381B4B">
        <w:rPr>
          <w:rFonts w:ascii="Times New Roman"/>
        </w:rPr>
        <w:t>截至</w:t>
      </w:r>
      <w:r w:rsidR="00381B4B" w:rsidRPr="00381B4B">
        <w:rPr>
          <w:rFonts w:ascii="Times New Roman"/>
        </w:rPr>
        <w:t>10</w:t>
      </w:r>
      <w:r w:rsidR="00381B4B" w:rsidRPr="00381B4B">
        <w:rPr>
          <w:rFonts w:ascii="Times New Roman" w:hint="eastAsia"/>
        </w:rPr>
        <w:t>5</w:t>
      </w:r>
      <w:r w:rsidR="00381B4B" w:rsidRPr="00381B4B">
        <w:rPr>
          <w:rFonts w:ascii="Times New Roman"/>
        </w:rPr>
        <w:t>年底，累積待填補短絀金額</w:t>
      </w:r>
      <w:r w:rsidR="00381B4B" w:rsidRPr="00381B4B">
        <w:rPr>
          <w:rFonts w:ascii="Times New Roman" w:hint="eastAsia"/>
        </w:rPr>
        <w:t>高</w:t>
      </w:r>
      <w:r w:rsidR="00381B4B" w:rsidRPr="00381B4B">
        <w:rPr>
          <w:rFonts w:ascii="Times New Roman"/>
        </w:rPr>
        <w:t>達</w:t>
      </w:r>
      <w:r w:rsidR="00381B4B" w:rsidRPr="00381B4B">
        <w:rPr>
          <w:rFonts w:ascii="Times New Roman"/>
        </w:rPr>
        <w:t>2</w:t>
      </w:r>
      <w:r w:rsidR="00381B4B" w:rsidRPr="00381B4B">
        <w:rPr>
          <w:rFonts w:ascii="Times New Roman" w:hint="eastAsia"/>
        </w:rPr>
        <w:t>7.65</w:t>
      </w:r>
      <w:r w:rsidR="00381B4B" w:rsidRPr="00381B4B">
        <w:rPr>
          <w:rFonts w:ascii="Times New Roman"/>
        </w:rPr>
        <w:t>億餘元</w:t>
      </w:r>
      <w:r w:rsidR="00381B4B" w:rsidRPr="00381B4B">
        <w:rPr>
          <w:rFonts w:hAnsi="標楷體" w:hint="eastAsia"/>
          <w:szCs w:val="32"/>
        </w:rPr>
        <w:t>，為免本項整併方式，導致「中小企業發展基金」之營運短絀更形惡化，國庫應考量適時給予財務挹注，以達該基金原</w:t>
      </w:r>
      <w:r w:rsidR="00381B4B" w:rsidRPr="00381B4B">
        <w:rPr>
          <w:rFonts w:hint="eastAsia"/>
          <w:szCs w:val="32"/>
        </w:rPr>
        <w:t>為協助中小企業健全發展之</w:t>
      </w:r>
      <w:r w:rsidR="00381B4B" w:rsidRPr="00381B4B">
        <w:rPr>
          <w:rFonts w:hAnsi="標楷體" w:hint="eastAsia"/>
          <w:szCs w:val="32"/>
        </w:rPr>
        <w:t>設立目的。復應落實原</w:t>
      </w:r>
      <w:r w:rsidR="00381B4B" w:rsidRPr="00381B4B">
        <w:rPr>
          <w:rFonts w:ascii="Times New Roman" w:hint="eastAsia"/>
        </w:rPr>
        <w:t>「</w:t>
      </w:r>
      <w:r w:rsidR="00381B4B" w:rsidRPr="00381B4B">
        <w:rPr>
          <w:rFonts w:ascii="Times New Roman"/>
        </w:rPr>
        <w:t>地方產業發展基金</w:t>
      </w:r>
      <w:r w:rsidR="00381B4B" w:rsidRPr="00381B4B">
        <w:rPr>
          <w:rFonts w:ascii="Times New Roman" w:hint="eastAsia"/>
        </w:rPr>
        <w:t>」規劃強化地方政府功能</w:t>
      </w:r>
      <w:r w:rsidR="00193446">
        <w:rPr>
          <w:rFonts w:ascii="Times New Roman" w:hint="eastAsia"/>
        </w:rPr>
        <w:t>，以提升輔導計畫成功機會，基金再由計畫營收中收取回饋金之轉型目標</w:t>
      </w:r>
      <w:r w:rsidR="00E60393" w:rsidRPr="00E60393">
        <w:rPr>
          <w:rFonts w:hAnsi="標楷體" w:hint="eastAsia"/>
          <w:szCs w:val="32"/>
        </w:rPr>
        <w:t>。</w:t>
      </w:r>
    </w:p>
    <w:p w:rsidR="00193446" w:rsidRPr="00E60393" w:rsidRDefault="00193446" w:rsidP="00193446">
      <w:pPr>
        <w:pStyle w:val="3"/>
        <w:numPr>
          <w:ilvl w:val="0"/>
          <w:numId w:val="0"/>
        </w:numPr>
        <w:ind w:left="1361"/>
        <w:rPr>
          <w:rFonts w:hAnsi="標楷體"/>
          <w:szCs w:val="32"/>
        </w:rPr>
      </w:pPr>
    </w:p>
    <w:p w:rsidR="00567988" w:rsidRPr="00D1173F" w:rsidRDefault="00D501B8" w:rsidP="00E050A9">
      <w:pPr>
        <w:pStyle w:val="2"/>
        <w:ind w:rightChars="57" w:right="194"/>
        <w:rPr>
          <w:rFonts w:hAnsi="標楷體"/>
          <w:b/>
          <w:szCs w:val="32"/>
        </w:rPr>
      </w:pPr>
      <w:r w:rsidRPr="00D1173F">
        <w:rPr>
          <w:rFonts w:hAnsi="標楷體" w:hint="eastAsia"/>
          <w:b/>
          <w:szCs w:val="32"/>
        </w:rPr>
        <w:t>內政部</w:t>
      </w:r>
      <w:r w:rsidR="00F74D6B" w:rsidRPr="00D1173F">
        <w:rPr>
          <w:rFonts w:hAnsi="標楷體" w:hint="eastAsia"/>
          <w:b/>
          <w:szCs w:val="32"/>
        </w:rPr>
        <w:t>為</w:t>
      </w:r>
      <w:r w:rsidR="00193446">
        <w:rPr>
          <w:rFonts w:hAnsi="標楷體" w:hint="eastAsia"/>
          <w:b/>
          <w:szCs w:val="32"/>
        </w:rPr>
        <w:t>落實</w:t>
      </w:r>
      <w:r w:rsidR="00F74D6B" w:rsidRPr="00D1173F">
        <w:rPr>
          <w:rFonts w:hAnsi="標楷體"/>
          <w:b/>
          <w:szCs w:val="32"/>
        </w:rPr>
        <w:t>8</w:t>
      </w:r>
      <w:r w:rsidR="00F74D6B" w:rsidRPr="00D1173F">
        <w:rPr>
          <w:rFonts w:hAnsi="標楷體" w:hint="eastAsia"/>
          <w:b/>
          <w:szCs w:val="32"/>
        </w:rPr>
        <w:t>年</w:t>
      </w:r>
      <w:r w:rsidR="00F74D6B" w:rsidRPr="00D1173F">
        <w:rPr>
          <w:rFonts w:hAnsi="標楷體"/>
          <w:b/>
          <w:szCs w:val="32"/>
        </w:rPr>
        <w:t>20</w:t>
      </w:r>
      <w:r w:rsidR="00F74D6B" w:rsidRPr="00D1173F">
        <w:rPr>
          <w:rFonts w:hAnsi="標楷體" w:hint="eastAsia"/>
          <w:b/>
          <w:szCs w:val="32"/>
        </w:rPr>
        <w:t>萬戶社會住宅興辦目標，業研擬「社會住宅興辦計畫」，</w:t>
      </w:r>
      <w:r w:rsidR="003B242F" w:rsidRPr="00D1173F">
        <w:rPr>
          <w:rFonts w:hAnsi="標楷體" w:hint="eastAsia"/>
          <w:b/>
          <w:szCs w:val="32"/>
        </w:rPr>
        <w:t>規劃</w:t>
      </w:r>
      <w:r w:rsidR="00F74D6B" w:rsidRPr="00D1173F">
        <w:rPr>
          <w:rFonts w:hAnsi="標楷體" w:hint="eastAsia"/>
          <w:b/>
          <w:szCs w:val="32"/>
        </w:rPr>
        <w:t>興建</w:t>
      </w:r>
      <w:r w:rsidR="00F74D6B" w:rsidRPr="00D1173F">
        <w:rPr>
          <w:rFonts w:hAnsi="標楷體"/>
          <w:b/>
          <w:szCs w:val="32"/>
        </w:rPr>
        <w:t>12</w:t>
      </w:r>
      <w:r w:rsidR="00F74D6B" w:rsidRPr="00D1173F">
        <w:rPr>
          <w:rFonts w:hAnsi="標楷體" w:hint="eastAsia"/>
          <w:b/>
          <w:szCs w:val="32"/>
        </w:rPr>
        <w:t>萬戶</w:t>
      </w:r>
      <w:r w:rsidR="003B242F" w:rsidRPr="00D1173F">
        <w:rPr>
          <w:rFonts w:hAnsi="標楷體" w:hint="eastAsia"/>
          <w:b/>
          <w:szCs w:val="32"/>
        </w:rPr>
        <w:t>住宅</w:t>
      </w:r>
      <w:r w:rsidR="00F74D6B" w:rsidRPr="00D1173F">
        <w:rPr>
          <w:rFonts w:hAnsi="標楷體" w:hint="eastAsia"/>
          <w:b/>
          <w:szCs w:val="32"/>
        </w:rPr>
        <w:t>及包租代管民間空餘屋</w:t>
      </w:r>
      <w:r w:rsidR="00F74D6B" w:rsidRPr="00D1173F">
        <w:rPr>
          <w:rFonts w:hAnsi="標楷體"/>
          <w:b/>
          <w:szCs w:val="32"/>
        </w:rPr>
        <w:t>8</w:t>
      </w:r>
      <w:r w:rsidR="00F74D6B" w:rsidRPr="00D1173F">
        <w:rPr>
          <w:rFonts w:hAnsi="標楷體" w:hint="eastAsia"/>
          <w:b/>
          <w:szCs w:val="32"/>
        </w:rPr>
        <w:t>萬戶，</w:t>
      </w:r>
      <w:r w:rsidR="00A03923" w:rsidRPr="00D1173F">
        <w:rPr>
          <w:rFonts w:hint="eastAsia"/>
          <w:b/>
        </w:rPr>
        <w:t>執行期間所需經費將由「住宅基金」支應</w:t>
      </w:r>
      <w:r>
        <w:rPr>
          <w:rFonts w:hint="eastAsia"/>
          <w:b/>
        </w:rPr>
        <w:t>，爰該基金財務健全攸關前揭計畫之</w:t>
      </w:r>
      <w:r>
        <w:rPr>
          <w:rFonts w:hint="eastAsia"/>
          <w:b/>
        </w:rPr>
        <w:lastRenderedPageBreak/>
        <w:t>成敗</w:t>
      </w:r>
      <w:r>
        <w:rPr>
          <w:rFonts w:hAnsi="標楷體" w:hint="eastAsia"/>
          <w:b/>
          <w:szCs w:val="32"/>
        </w:rPr>
        <w:t>。是以</w:t>
      </w:r>
      <w:r w:rsidR="00946F63">
        <w:rPr>
          <w:rFonts w:hAnsi="標楷體" w:hint="eastAsia"/>
          <w:b/>
          <w:szCs w:val="32"/>
        </w:rPr>
        <w:t>內政部</w:t>
      </w:r>
      <w:r w:rsidR="00F16255" w:rsidRPr="00D1173F">
        <w:rPr>
          <w:rFonts w:hAnsi="標楷體" w:hint="eastAsia"/>
          <w:b/>
          <w:szCs w:val="32"/>
        </w:rPr>
        <w:t>允應汲取過往</w:t>
      </w:r>
      <w:r w:rsidR="00A03923" w:rsidRPr="00D1173F">
        <w:rPr>
          <w:rFonts w:hAnsi="標楷體" w:hint="eastAsia"/>
          <w:b/>
          <w:szCs w:val="32"/>
        </w:rPr>
        <w:t>辦理</w:t>
      </w:r>
      <w:r w:rsidR="00F16255" w:rsidRPr="00D1173F">
        <w:rPr>
          <w:rFonts w:hAnsi="標楷體" w:hint="eastAsia"/>
          <w:b/>
          <w:szCs w:val="32"/>
        </w:rPr>
        <w:t>國宅政策</w:t>
      </w:r>
      <w:r w:rsidR="00A03923" w:rsidRPr="00D1173F">
        <w:rPr>
          <w:rFonts w:hAnsi="標楷體" w:hint="eastAsia"/>
          <w:b/>
          <w:szCs w:val="32"/>
        </w:rPr>
        <w:t>業務</w:t>
      </w:r>
      <w:r w:rsidR="00F16255" w:rsidRPr="00D1173F">
        <w:rPr>
          <w:rFonts w:hAnsi="標楷體" w:hint="eastAsia"/>
          <w:b/>
          <w:szCs w:val="32"/>
        </w:rPr>
        <w:t>之經驗，並注意「住宅基金」經費負擔及收入來源問題，以利政策目標之遂行</w:t>
      </w:r>
      <w:r w:rsidR="00B41F3F" w:rsidRPr="00D1173F">
        <w:rPr>
          <w:rFonts w:hAnsi="標楷體" w:hint="eastAsia"/>
          <w:b/>
          <w:szCs w:val="32"/>
        </w:rPr>
        <w:t>。</w:t>
      </w:r>
    </w:p>
    <w:p w:rsidR="00A03923" w:rsidRDefault="00A03923" w:rsidP="008F1904">
      <w:pPr>
        <w:pStyle w:val="3"/>
      </w:pPr>
      <w:r>
        <w:rPr>
          <w:rFonts w:hint="eastAsia"/>
        </w:rPr>
        <w:t>查「</w:t>
      </w:r>
      <w:r w:rsidRPr="00A03923">
        <w:rPr>
          <w:rFonts w:hint="eastAsia"/>
        </w:rPr>
        <w:t>住宅基金</w:t>
      </w:r>
      <w:r>
        <w:rPr>
          <w:rFonts w:hint="eastAsia"/>
        </w:rPr>
        <w:t>」</w:t>
      </w:r>
      <w:r w:rsidR="00193446">
        <w:rPr>
          <w:rFonts w:hint="eastAsia"/>
        </w:rPr>
        <w:t>係</w:t>
      </w:r>
      <w:r w:rsidRPr="00A03923">
        <w:rPr>
          <w:rFonts w:hint="eastAsia"/>
        </w:rPr>
        <w:t>於97年度由</w:t>
      </w:r>
      <w:r w:rsidR="00D501B8">
        <w:rPr>
          <w:rFonts w:hint="eastAsia"/>
        </w:rPr>
        <w:t>「</w:t>
      </w:r>
      <w:r w:rsidRPr="00A03923">
        <w:rPr>
          <w:rFonts w:hint="eastAsia"/>
        </w:rPr>
        <w:t>原國軍官兵購置住宅貸款基金</w:t>
      </w:r>
      <w:r w:rsidR="00D501B8">
        <w:rPr>
          <w:rFonts w:hint="eastAsia"/>
        </w:rPr>
        <w:t>」</w:t>
      </w:r>
      <w:r w:rsidRPr="00A03923">
        <w:rPr>
          <w:rFonts w:hint="eastAsia"/>
        </w:rPr>
        <w:t>、</w:t>
      </w:r>
      <w:r w:rsidR="00D501B8">
        <w:rPr>
          <w:rFonts w:hint="eastAsia"/>
        </w:rPr>
        <w:t>「</w:t>
      </w:r>
      <w:r w:rsidRPr="00A03923">
        <w:rPr>
          <w:rFonts w:hint="eastAsia"/>
        </w:rPr>
        <w:t>中央公務人員購置住宅貸款基金</w:t>
      </w:r>
      <w:r w:rsidR="00D501B8">
        <w:rPr>
          <w:rFonts w:hint="eastAsia"/>
        </w:rPr>
        <w:t>」</w:t>
      </w:r>
      <w:r w:rsidRPr="00A03923">
        <w:rPr>
          <w:rFonts w:hint="eastAsia"/>
        </w:rPr>
        <w:t>及</w:t>
      </w:r>
      <w:r w:rsidR="00D501B8">
        <w:rPr>
          <w:rFonts w:hint="eastAsia"/>
        </w:rPr>
        <w:t>「</w:t>
      </w:r>
      <w:r w:rsidRPr="00A03923">
        <w:rPr>
          <w:rFonts w:hint="eastAsia"/>
        </w:rPr>
        <w:t>中央國民住宅基金</w:t>
      </w:r>
      <w:r w:rsidR="00D501B8">
        <w:rPr>
          <w:rFonts w:hint="eastAsia"/>
        </w:rPr>
        <w:t>」</w:t>
      </w:r>
      <w:r w:rsidRPr="00A03923">
        <w:rPr>
          <w:rFonts w:hint="eastAsia"/>
        </w:rPr>
        <w:t>整併成立</w:t>
      </w:r>
      <w:r>
        <w:rPr>
          <w:rFonts w:hint="eastAsia"/>
        </w:rPr>
        <w:t>。現</w:t>
      </w:r>
      <w:r w:rsidR="000A6DA5" w:rsidRPr="00A03923">
        <w:rPr>
          <w:rFonts w:hint="eastAsia"/>
        </w:rPr>
        <w:t>除續辦</w:t>
      </w:r>
      <w:r w:rsidR="00193446">
        <w:rPr>
          <w:rFonts w:hint="eastAsia"/>
        </w:rPr>
        <w:t>過往</w:t>
      </w:r>
      <w:r w:rsidR="000A6DA5" w:rsidRPr="00A03923">
        <w:rPr>
          <w:rFonts w:hint="eastAsia"/>
        </w:rPr>
        <w:t>國宅、公教、國軍官兵等住宅貸款業務外，並辦理社會住宅推動方案及各類政策性住宅補貼(含利息及租金)，每年約支應60億元。</w:t>
      </w:r>
    </w:p>
    <w:p w:rsidR="008F1904" w:rsidRPr="00A03923" w:rsidRDefault="00A03923" w:rsidP="00E050A9">
      <w:pPr>
        <w:pStyle w:val="3"/>
        <w:ind w:rightChars="57" w:right="194"/>
      </w:pPr>
      <w:r w:rsidRPr="00A03923">
        <w:rPr>
          <w:rFonts w:hint="eastAsia"/>
        </w:rPr>
        <w:t>次查</w:t>
      </w:r>
      <w:r w:rsidR="00D501B8" w:rsidRPr="00A03923">
        <w:rPr>
          <w:rFonts w:hint="eastAsia"/>
        </w:rPr>
        <w:t>內政部</w:t>
      </w:r>
      <w:r w:rsidR="008F1904" w:rsidRPr="00A03923">
        <w:rPr>
          <w:rFonts w:hint="eastAsia"/>
        </w:rPr>
        <w:t>為達成</w:t>
      </w:r>
      <w:r w:rsidR="008F1904" w:rsidRPr="00A03923">
        <w:t>8</w:t>
      </w:r>
      <w:r w:rsidR="008F1904" w:rsidRPr="00A03923">
        <w:rPr>
          <w:rFonts w:hint="eastAsia"/>
        </w:rPr>
        <w:t>年</w:t>
      </w:r>
      <w:r w:rsidR="008F1904" w:rsidRPr="00A03923">
        <w:t>20</w:t>
      </w:r>
      <w:r w:rsidR="008F1904" w:rsidRPr="00A03923">
        <w:rPr>
          <w:rFonts w:hint="eastAsia"/>
        </w:rPr>
        <w:t>萬戶社會住宅興辦目標，除修正</w:t>
      </w:r>
      <w:r w:rsidR="00193446">
        <w:rPr>
          <w:rFonts w:hint="eastAsia"/>
        </w:rPr>
        <w:t>「</w:t>
      </w:r>
      <w:r w:rsidR="008F1904" w:rsidRPr="00A03923">
        <w:rPr>
          <w:rFonts w:hint="eastAsia"/>
        </w:rPr>
        <w:t>住宅法</w:t>
      </w:r>
      <w:r w:rsidR="00193446">
        <w:rPr>
          <w:rFonts w:hint="eastAsia"/>
        </w:rPr>
        <w:t>」</w:t>
      </w:r>
      <w:r w:rsidR="008F1904" w:rsidRPr="00A03923">
        <w:rPr>
          <w:rFonts w:hint="eastAsia"/>
        </w:rPr>
        <w:t>，</w:t>
      </w:r>
      <w:r w:rsidRPr="00A03923">
        <w:rPr>
          <w:rFonts w:hint="eastAsia"/>
        </w:rPr>
        <w:t>建立</w:t>
      </w:r>
      <w:r w:rsidR="003B242F">
        <w:rPr>
          <w:rFonts w:hint="eastAsia"/>
        </w:rPr>
        <w:t>相關配套機制外，並研擬「社會住宅興辦計畫」，規劃</w:t>
      </w:r>
      <w:r w:rsidR="008F1904" w:rsidRPr="00A03923">
        <w:rPr>
          <w:rFonts w:hint="eastAsia"/>
        </w:rPr>
        <w:t>興建</w:t>
      </w:r>
      <w:r w:rsidR="008F1904" w:rsidRPr="00A03923">
        <w:t>12</w:t>
      </w:r>
      <w:r w:rsidR="008F1904" w:rsidRPr="00A03923">
        <w:rPr>
          <w:rFonts w:hint="eastAsia"/>
        </w:rPr>
        <w:t>萬戶</w:t>
      </w:r>
      <w:r w:rsidR="003B242F">
        <w:rPr>
          <w:rFonts w:hint="eastAsia"/>
        </w:rPr>
        <w:t>住宅</w:t>
      </w:r>
      <w:r w:rsidR="008F1904" w:rsidRPr="00A03923">
        <w:rPr>
          <w:rFonts w:hint="eastAsia"/>
        </w:rPr>
        <w:t>及包租代管民間空餘屋</w:t>
      </w:r>
      <w:r w:rsidR="008F1904" w:rsidRPr="00A03923">
        <w:t>8</w:t>
      </w:r>
      <w:r w:rsidR="003B242F">
        <w:rPr>
          <w:rFonts w:hint="eastAsia"/>
        </w:rPr>
        <w:t>萬戶</w:t>
      </w:r>
      <w:r w:rsidR="008F1904" w:rsidRPr="00A03923">
        <w:rPr>
          <w:rFonts w:hint="eastAsia"/>
        </w:rPr>
        <w:t>，主要執行策略包含協助地方政府取得土地、成立社會住宅融資服務平臺、推動包租代管、補助各直轄市、縣</w:t>
      </w:r>
      <w:r w:rsidR="008F1904" w:rsidRPr="00A03923">
        <w:t>(</w:t>
      </w:r>
      <w:r w:rsidR="008F1904" w:rsidRPr="00A03923">
        <w:rPr>
          <w:rFonts w:hint="eastAsia"/>
        </w:rPr>
        <w:t>市</w:t>
      </w:r>
      <w:r w:rsidR="008F1904" w:rsidRPr="00A03923">
        <w:t>)</w:t>
      </w:r>
      <w:r w:rsidR="008F1904" w:rsidRPr="00A03923">
        <w:rPr>
          <w:rFonts w:hint="eastAsia"/>
        </w:rPr>
        <w:t>政府社會住宅興建及修繕期間</w:t>
      </w:r>
      <w:r w:rsidR="00193446">
        <w:rPr>
          <w:rFonts w:hint="eastAsia"/>
        </w:rPr>
        <w:t>之</w:t>
      </w:r>
      <w:r w:rsidR="008F1904" w:rsidRPr="00A03923">
        <w:rPr>
          <w:rFonts w:hint="eastAsia"/>
        </w:rPr>
        <w:t>融資利息及營運期間非自償性經費等項目。有關「社會住宅興辦計畫」草案業於</w:t>
      </w:r>
      <w:r w:rsidR="008F1904" w:rsidRPr="00A03923">
        <w:t>105</w:t>
      </w:r>
      <w:r w:rsidR="008F1904" w:rsidRPr="00A03923">
        <w:rPr>
          <w:rFonts w:hint="eastAsia"/>
        </w:rPr>
        <w:t>年</w:t>
      </w:r>
      <w:r w:rsidR="008F1904" w:rsidRPr="00A03923">
        <w:t>11</w:t>
      </w:r>
      <w:r w:rsidR="008F1904" w:rsidRPr="00A03923">
        <w:rPr>
          <w:rFonts w:hint="eastAsia"/>
        </w:rPr>
        <w:t>月</w:t>
      </w:r>
      <w:r w:rsidR="008F1904" w:rsidRPr="00A03923">
        <w:t>29</w:t>
      </w:r>
      <w:r w:rsidR="008F1904" w:rsidRPr="00A03923">
        <w:rPr>
          <w:rFonts w:hint="eastAsia"/>
        </w:rPr>
        <w:t>日報請行政院核定，刻（106年2月）由行政院交付國家發展委員會審議中。</w:t>
      </w:r>
    </w:p>
    <w:p w:rsidR="008F1904" w:rsidRDefault="008A3433" w:rsidP="008F1904">
      <w:pPr>
        <w:pStyle w:val="3"/>
      </w:pPr>
      <w:r>
        <w:rPr>
          <w:rFonts w:hint="eastAsia"/>
        </w:rPr>
        <w:t>前揭</w:t>
      </w:r>
      <w:r w:rsidR="008F1904" w:rsidRPr="005B662C">
        <w:rPr>
          <w:rFonts w:hint="eastAsia"/>
        </w:rPr>
        <w:t>計畫</w:t>
      </w:r>
      <w:r w:rsidR="00D501B8">
        <w:rPr>
          <w:rFonts w:hint="eastAsia"/>
        </w:rPr>
        <w:t>規劃</w:t>
      </w:r>
      <w:r w:rsidR="008F1904" w:rsidRPr="005B662C">
        <w:rPr>
          <w:rFonts w:hint="eastAsia"/>
        </w:rPr>
        <w:t>自106年至113年止，共計8年，第一階段目標預定於109年達成政府直接興建4萬戶(既有7,281戶+地方政府提報37,713戶)及包租代管4萬戶，合計8萬戶；第二階段目標於113年達成政府直接興建12萬戶（含容積獎勵補充）及包租代管8萬戶，合計20萬戶，執行期間所需經費將由</w:t>
      </w:r>
      <w:r w:rsidR="008F1904">
        <w:rPr>
          <w:rFonts w:hint="eastAsia"/>
        </w:rPr>
        <w:t>「</w:t>
      </w:r>
      <w:r w:rsidR="008F1904" w:rsidRPr="005B662C">
        <w:rPr>
          <w:rFonts w:hint="eastAsia"/>
        </w:rPr>
        <w:t>住宅基金</w:t>
      </w:r>
      <w:r w:rsidR="008F1904">
        <w:rPr>
          <w:rFonts w:hint="eastAsia"/>
        </w:rPr>
        <w:t>」支應</w:t>
      </w:r>
      <w:r w:rsidR="00751973">
        <w:rPr>
          <w:rFonts w:hint="eastAsia"/>
        </w:rPr>
        <w:t>等情</w:t>
      </w:r>
      <w:r w:rsidR="008F1904">
        <w:rPr>
          <w:rFonts w:hint="eastAsia"/>
        </w:rPr>
        <w:t>。</w:t>
      </w:r>
    </w:p>
    <w:p w:rsidR="008F1904" w:rsidRPr="00751973" w:rsidRDefault="00724627" w:rsidP="00E050A9">
      <w:pPr>
        <w:pStyle w:val="3"/>
        <w:ind w:rightChars="60" w:right="204"/>
      </w:pPr>
      <w:r>
        <w:rPr>
          <w:rFonts w:hint="eastAsia"/>
        </w:rPr>
        <w:t>經</w:t>
      </w:r>
      <w:r w:rsidR="008F1904">
        <w:rPr>
          <w:rFonts w:hint="eastAsia"/>
        </w:rPr>
        <w:t>查</w:t>
      </w:r>
      <w:r w:rsidR="00EF6310">
        <w:rPr>
          <w:rFonts w:hint="eastAsia"/>
        </w:rPr>
        <w:t>前揭</w:t>
      </w:r>
      <w:r w:rsidR="00EF6310" w:rsidRPr="005B662C">
        <w:rPr>
          <w:rFonts w:hint="eastAsia"/>
        </w:rPr>
        <w:t>地方政府提報37,713戶</w:t>
      </w:r>
      <w:r w:rsidR="00751973">
        <w:rPr>
          <w:rFonts w:hint="eastAsia"/>
        </w:rPr>
        <w:t>社會住宅</w:t>
      </w:r>
      <w:r w:rsidR="00EF6310">
        <w:rPr>
          <w:rFonts w:hint="eastAsia"/>
        </w:rPr>
        <w:t>中</w:t>
      </w:r>
      <w:r w:rsidR="008F1904">
        <w:rPr>
          <w:rFonts w:hint="eastAsia"/>
        </w:rPr>
        <w:t>，</w:t>
      </w:r>
      <w:r w:rsidR="00EF6310">
        <w:rPr>
          <w:rFonts w:hint="eastAsia"/>
        </w:rPr>
        <w:t>除民眾</w:t>
      </w:r>
      <w:r w:rsidR="00751973">
        <w:rPr>
          <w:rFonts w:hint="eastAsia"/>
        </w:rPr>
        <w:t>購置</w:t>
      </w:r>
      <w:r w:rsidR="00EF6310">
        <w:rPr>
          <w:rFonts w:hint="eastAsia"/>
        </w:rPr>
        <w:t>房屋需求</w:t>
      </w:r>
      <w:r w:rsidR="00A71AC1">
        <w:rPr>
          <w:rFonts w:hint="eastAsia"/>
        </w:rPr>
        <w:t>較為</w:t>
      </w:r>
      <w:r w:rsidR="00EF6310">
        <w:rPr>
          <w:rFonts w:hint="eastAsia"/>
        </w:rPr>
        <w:t>殷切</w:t>
      </w:r>
      <w:r w:rsidR="00A911E7">
        <w:rPr>
          <w:rFonts w:hint="eastAsia"/>
        </w:rPr>
        <w:t>之臺灣北部</w:t>
      </w:r>
      <w:r w:rsidR="00EF6310">
        <w:rPr>
          <w:rFonts w:hint="eastAsia"/>
        </w:rPr>
        <w:t>地區外，尚有</w:t>
      </w:r>
      <w:r w:rsidR="00A911E7">
        <w:rPr>
          <w:rFonts w:hint="eastAsia"/>
        </w:rPr>
        <w:t>非都會地區</w:t>
      </w:r>
      <w:r w:rsidR="00EF6310">
        <w:rPr>
          <w:rFonts w:hint="eastAsia"/>
        </w:rPr>
        <w:t>及離島縣市</w:t>
      </w:r>
      <w:r w:rsidR="00751973">
        <w:rPr>
          <w:rFonts w:hint="eastAsia"/>
        </w:rPr>
        <w:t>政府亦提報興建計</w:t>
      </w:r>
      <w:r w:rsidR="00751973">
        <w:rPr>
          <w:rFonts w:hint="eastAsia"/>
        </w:rPr>
        <w:lastRenderedPageBreak/>
        <w:t>畫。</w:t>
      </w:r>
      <w:r w:rsidR="0076723E">
        <w:rPr>
          <w:rFonts w:hint="eastAsia"/>
        </w:rPr>
        <w:t>然</w:t>
      </w:r>
      <w:r w:rsidR="00751973">
        <w:rPr>
          <w:rFonts w:hint="eastAsia"/>
        </w:rPr>
        <w:t>以</w:t>
      </w:r>
      <w:r w:rsidR="008F1904">
        <w:rPr>
          <w:rFonts w:hint="eastAsia"/>
        </w:rPr>
        <w:t>政府前為</w:t>
      </w:r>
      <w:r w:rsidR="008F1904" w:rsidRPr="006071E3">
        <w:rPr>
          <w:rFonts w:hAnsi="標楷體" w:hint="eastAsia"/>
          <w:color w:val="141513"/>
          <w:spacing w:val="15"/>
          <w:szCs w:val="32"/>
        </w:rPr>
        <w:t>照顧收入較低家庭，改善居住環境辦理國民住宅</w:t>
      </w:r>
      <w:r w:rsidR="008F1904">
        <w:rPr>
          <w:rFonts w:hAnsi="標楷體" w:hint="eastAsia"/>
          <w:color w:val="141513"/>
          <w:spacing w:val="15"/>
          <w:szCs w:val="32"/>
        </w:rPr>
        <w:t>興建業務</w:t>
      </w:r>
      <w:r w:rsidR="00193446">
        <w:rPr>
          <w:rFonts w:hAnsi="標楷體" w:hint="eastAsia"/>
          <w:color w:val="141513"/>
          <w:spacing w:val="15"/>
          <w:szCs w:val="32"/>
        </w:rPr>
        <w:t>經驗</w:t>
      </w:r>
      <w:r w:rsidR="008F1904">
        <w:rPr>
          <w:rFonts w:hAnsi="標楷體" w:hint="eastAsia"/>
          <w:color w:val="141513"/>
          <w:spacing w:val="15"/>
          <w:szCs w:val="32"/>
        </w:rPr>
        <w:t>，自65年</w:t>
      </w:r>
      <w:r>
        <w:rPr>
          <w:rFonts w:hAnsi="標楷體" w:hint="eastAsia"/>
          <w:color w:val="141513"/>
          <w:spacing w:val="15"/>
          <w:szCs w:val="32"/>
        </w:rPr>
        <w:t>始以</w:t>
      </w:r>
      <w:r w:rsidRPr="006071E3">
        <w:rPr>
          <w:rFonts w:hAnsi="標楷體" w:hint="eastAsia"/>
          <w:color w:val="141513"/>
          <w:spacing w:val="15"/>
          <w:szCs w:val="32"/>
        </w:rPr>
        <w:t>直接興建</w:t>
      </w:r>
      <w:r w:rsidR="004D656F">
        <w:rPr>
          <w:rFonts w:hAnsi="標楷體" w:hint="eastAsia"/>
          <w:color w:val="141513"/>
          <w:spacing w:val="15"/>
          <w:szCs w:val="32"/>
        </w:rPr>
        <w:t>等方式協助民眾購（建）國民住宅</w:t>
      </w:r>
      <w:r>
        <w:rPr>
          <w:rFonts w:hAnsi="標楷體" w:hint="eastAsia"/>
          <w:color w:val="141513"/>
          <w:spacing w:val="15"/>
          <w:szCs w:val="32"/>
        </w:rPr>
        <w:t>，至</w:t>
      </w:r>
      <w:r w:rsidR="008F1904">
        <w:rPr>
          <w:rFonts w:hAnsi="標楷體" w:hint="eastAsia"/>
          <w:color w:val="141513"/>
          <w:spacing w:val="15"/>
          <w:szCs w:val="32"/>
        </w:rPr>
        <w:t>88</w:t>
      </w:r>
      <w:r>
        <w:rPr>
          <w:rFonts w:hAnsi="標楷體" w:hint="eastAsia"/>
          <w:color w:val="141513"/>
          <w:spacing w:val="15"/>
          <w:szCs w:val="32"/>
        </w:rPr>
        <w:t>年</w:t>
      </w:r>
      <w:r w:rsidRPr="003B242F">
        <w:rPr>
          <w:rFonts w:hAnsi="標楷體" w:hint="eastAsia"/>
          <w:spacing w:val="15"/>
          <w:szCs w:val="32"/>
        </w:rPr>
        <w:t>因</w:t>
      </w:r>
      <w:r w:rsidRPr="003B242F">
        <w:rPr>
          <w:rFonts w:hAnsi="標楷體" w:cs="Arial"/>
          <w:spacing w:val="12"/>
          <w:kern w:val="0"/>
          <w:szCs w:val="32"/>
        </w:rPr>
        <w:t>房屋市場不景氣，空餘屋甚多，</w:t>
      </w:r>
      <w:r w:rsidRPr="003B242F">
        <w:rPr>
          <w:rFonts w:hAnsi="標楷體" w:cs="Arial" w:hint="eastAsia"/>
          <w:spacing w:val="12"/>
          <w:kern w:val="0"/>
          <w:szCs w:val="32"/>
        </w:rPr>
        <w:t>爰</w:t>
      </w:r>
      <w:r w:rsidRPr="003B242F">
        <w:rPr>
          <w:rFonts w:hAnsi="標楷體" w:cs="Arial"/>
          <w:spacing w:val="12"/>
          <w:kern w:val="0"/>
          <w:szCs w:val="32"/>
        </w:rPr>
        <w:t>政府宣示暫緩直接興建及獎勵投資興建</w:t>
      </w:r>
      <w:r w:rsidRPr="003B242F">
        <w:rPr>
          <w:rFonts w:hAnsi="標楷體" w:cs="Arial" w:hint="eastAsia"/>
          <w:spacing w:val="12"/>
          <w:kern w:val="0"/>
          <w:szCs w:val="32"/>
        </w:rPr>
        <w:t>止</w:t>
      </w:r>
      <w:r w:rsidRPr="003B242F">
        <w:rPr>
          <w:rFonts w:hAnsi="標楷體" w:cs="Arial"/>
          <w:spacing w:val="12"/>
          <w:kern w:val="0"/>
          <w:szCs w:val="32"/>
        </w:rPr>
        <w:t>，</w:t>
      </w:r>
      <w:r w:rsidRPr="003B242F">
        <w:rPr>
          <w:rFonts w:hAnsi="標楷體" w:cs="Arial" w:hint="eastAsia"/>
          <w:spacing w:val="12"/>
          <w:kern w:val="0"/>
          <w:szCs w:val="32"/>
        </w:rPr>
        <w:t>歷年以</w:t>
      </w:r>
      <w:r w:rsidRPr="003B242F">
        <w:rPr>
          <w:rFonts w:hAnsi="標楷體" w:hint="eastAsia"/>
          <w:spacing w:val="15"/>
          <w:szCs w:val="32"/>
        </w:rPr>
        <w:t>直接興</w:t>
      </w:r>
      <w:r w:rsidRPr="006071E3">
        <w:rPr>
          <w:rFonts w:hAnsi="標楷體" w:hint="eastAsia"/>
          <w:color w:val="141513"/>
          <w:spacing w:val="15"/>
          <w:szCs w:val="32"/>
        </w:rPr>
        <w:t>建國宅</w:t>
      </w:r>
      <w:r>
        <w:rPr>
          <w:rFonts w:hAnsi="標楷體" w:hint="eastAsia"/>
          <w:color w:val="141513"/>
          <w:spacing w:val="15"/>
          <w:szCs w:val="32"/>
        </w:rPr>
        <w:t>、貸款</w:t>
      </w:r>
      <w:r w:rsidRPr="006071E3">
        <w:rPr>
          <w:rFonts w:hAnsi="標楷體" w:hint="eastAsia"/>
          <w:color w:val="141513"/>
          <w:spacing w:val="15"/>
          <w:szCs w:val="32"/>
        </w:rPr>
        <w:t>自建國宅</w:t>
      </w:r>
      <w:r>
        <w:rPr>
          <w:rFonts w:hAnsi="標楷體" w:hint="eastAsia"/>
          <w:color w:val="141513"/>
          <w:spacing w:val="15"/>
          <w:szCs w:val="32"/>
        </w:rPr>
        <w:t>、</w:t>
      </w:r>
      <w:r w:rsidRPr="006071E3">
        <w:rPr>
          <w:rFonts w:hAnsi="標楷體" w:hint="eastAsia"/>
          <w:color w:val="141513"/>
          <w:spacing w:val="15"/>
          <w:szCs w:val="32"/>
        </w:rPr>
        <w:t>獎勵投資興建國宅</w:t>
      </w:r>
      <w:r>
        <w:rPr>
          <w:rFonts w:hAnsi="標楷體" w:hint="eastAsia"/>
          <w:color w:val="141513"/>
          <w:spacing w:val="15"/>
          <w:szCs w:val="32"/>
        </w:rPr>
        <w:t>及</w:t>
      </w:r>
      <w:r w:rsidRPr="006071E3">
        <w:rPr>
          <w:rFonts w:hAnsi="標楷體" w:hint="eastAsia"/>
          <w:color w:val="141513"/>
          <w:spacing w:val="15"/>
          <w:szCs w:val="32"/>
        </w:rPr>
        <w:t>輔助人民貸款自購住宅</w:t>
      </w:r>
      <w:r>
        <w:rPr>
          <w:rFonts w:hAnsi="標楷體" w:hint="eastAsia"/>
          <w:color w:val="141513"/>
          <w:spacing w:val="15"/>
          <w:szCs w:val="32"/>
        </w:rPr>
        <w:t>等方式，</w:t>
      </w:r>
      <w:r w:rsidR="004D656F">
        <w:rPr>
          <w:rFonts w:hAnsi="標楷體" w:hint="eastAsia"/>
          <w:color w:val="141513"/>
          <w:spacing w:val="15"/>
          <w:szCs w:val="32"/>
        </w:rPr>
        <w:t>完成</w:t>
      </w:r>
      <w:r w:rsidRPr="006071E3">
        <w:rPr>
          <w:rFonts w:hAnsi="標楷體" w:hint="eastAsia"/>
          <w:color w:val="141513"/>
          <w:spacing w:val="15"/>
          <w:szCs w:val="32"/>
        </w:rPr>
        <w:t>購（建）國（住）宅</w:t>
      </w:r>
      <w:r w:rsidRPr="006071E3">
        <w:rPr>
          <w:rFonts w:hAnsi="標楷體"/>
          <w:color w:val="141513"/>
          <w:spacing w:val="15"/>
          <w:szCs w:val="32"/>
        </w:rPr>
        <w:t>40</w:t>
      </w:r>
      <w:r w:rsidR="003B242F">
        <w:rPr>
          <w:rFonts w:hAnsi="標楷體" w:hint="eastAsia"/>
          <w:color w:val="141513"/>
          <w:spacing w:val="15"/>
          <w:szCs w:val="32"/>
        </w:rPr>
        <w:t>萬餘</w:t>
      </w:r>
      <w:r w:rsidRPr="006071E3">
        <w:rPr>
          <w:rFonts w:hAnsi="標楷體" w:hint="eastAsia"/>
          <w:color w:val="141513"/>
          <w:spacing w:val="15"/>
          <w:szCs w:val="32"/>
        </w:rPr>
        <w:t>戶，</w:t>
      </w:r>
      <w:r w:rsidR="004D656F">
        <w:rPr>
          <w:rFonts w:hAnsi="標楷體" w:hint="eastAsia"/>
          <w:color w:val="141513"/>
          <w:spacing w:val="15"/>
          <w:szCs w:val="32"/>
        </w:rPr>
        <w:t>雖</w:t>
      </w:r>
      <w:r w:rsidRPr="006071E3">
        <w:rPr>
          <w:rFonts w:hAnsi="標楷體" w:hint="eastAsia"/>
          <w:color w:val="141513"/>
          <w:spacing w:val="15"/>
          <w:szCs w:val="32"/>
        </w:rPr>
        <w:t>協助</w:t>
      </w:r>
      <w:r w:rsidRPr="006071E3">
        <w:rPr>
          <w:rFonts w:hAnsi="標楷體"/>
          <w:color w:val="141513"/>
          <w:spacing w:val="15"/>
          <w:szCs w:val="32"/>
        </w:rPr>
        <w:t>39</w:t>
      </w:r>
      <w:r w:rsidRPr="006071E3">
        <w:rPr>
          <w:rFonts w:hAnsi="標楷體" w:hint="eastAsia"/>
          <w:color w:val="141513"/>
          <w:spacing w:val="15"/>
          <w:szCs w:val="32"/>
        </w:rPr>
        <w:t>萬餘戶家庭解決居住問題</w:t>
      </w:r>
      <w:r w:rsidR="00A71AC1">
        <w:rPr>
          <w:rFonts w:hAnsi="標楷體" w:hint="eastAsia"/>
          <w:color w:val="141513"/>
          <w:spacing w:val="15"/>
          <w:szCs w:val="32"/>
        </w:rPr>
        <w:t>，</w:t>
      </w:r>
      <w:r>
        <w:rPr>
          <w:rFonts w:hAnsi="標楷體" w:hint="eastAsia"/>
          <w:color w:val="141513"/>
          <w:spacing w:val="15"/>
          <w:szCs w:val="32"/>
        </w:rPr>
        <w:t>惟</w:t>
      </w:r>
      <w:r w:rsidR="004D656F">
        <w:rPr>
          <w:rFonts w:hAnsi="標楷體" w:hint="eastAsia"/>
          <w:color w:val="141513"/>
          <w:spacing w:val="15"/>
          <w:szCs w:val="32"/>
        </w:rPr>
        <w:t>前揭期間</w:t>
      </w:r>
      <w:r w:rsidR="0076723E">
        <w:rPr>
          <w:rFonts w:hAnsi="標楷體" w:hint="eastAsia"/>
          <w:color w:val="141513"/>
          <w:spacing w:val="15"/>
          <w:szCs w:val="32"/>
        </w:rPr>
        <w:t>國民住宅業務</w:t>
      </w:r>
      <w:r w:rsidR="00193446">
        <w:rPr>
          <w:rFonts w:hAnsi="標楷體" w:hint="eastAsia"/>
          <w:color w:val="141513"/>
          <w:spacing w:val="15"/>
          <w:szCs w:val="32"/>
        </w:rPr>
        <w:t>之</w:t>
      </w:r>
      <w:r w:rsidR="004D656F">
        <w:rPr>
          <w:rFonts w:hAnsi="標楷體" w:hint="eastAsia"/>
          <w:color w:val="141513"/>
          <w:spacing w:val="15"/>
          <w:szCs w:val="32"/>
        </w:rPr>
        <w:t>辦理，</w:t>
      </w:r>
      <w:r w:rsidR="0076723E">
        <w:rPr>
          <w:rFonts w:hAnsi="標楷體" w:hint="eastAsia"/>
          <w:color w:val="141513"/>
          <w:spacing w:val="15"/>
          <w:szCs w:val="32"/>
        </w:rPr>
        <w:t>常發生</w:t>
      </w:r>
      <w:r w:rsidR="004D656F">
        <w:rPr>
          <w:rFonts w:hAnsi="標楷體" w:hint="eastAsia"/>
          <w:color w:val="141513"/>
          <w:spacing w:val="15"/>
          <w:szCs w:val="32"/>
        </w:rPr>
        <w:t>區段位置佳之國民住宅，民眾爭相搶標</w:t>
      </w:r>
      <w:r w:rsidR="003B242F">
        <w:rPr>
          <w:rFonts w:hAnsi="標楷體" w:hint="eastAsia"/>
          <w:color w:val="141513"/>
          <w:spacing w:val="15"/>
          <w:szCs w:val="32"/>
        </w:rPr>
        <w:t>，</w:t>
      </w:r>
      <w:r w:rsidR="004D656F">
        <w:rPr>
          <w:rFonts w:hAnsi="標楷體" w:hint="eastAsia"/>
          <w:color w:val="141513"/>
          <w:spacing w:val="15"/>
          <w:szCs w:val="32"/>
        </w:rPr>
        <w:t>一屋難求，區段位置不良之國民住宅，則乏人問</w:t>
      </w:r>
      <w:r w:rsidR="00193446">
        <w:rPr>
          <w:rFonts w:hAnsi="標楷體" w:hint="eastAsia"/>
          <w:color w:val="141513"/>
          <w:spacing w:val="15"/>
          <w:szCs w:val="32"/>
        </w:rPr>
        <w:t>津</w:t>
      </w:r>
      <w:r w:rsidR="004D656F">
        <w:rPr>
          <w:rFonts w:hAnsi="標楷體" w:hint="eastAsia"/>
          <w:color w:val="141513"/>
          <w:spacing w:val="15"/>
          <w:szCs w:val="32"/>
        </w:rPr>
        <w:t>，至今尚有71年興建之</w:t>
      </w:r>
      <w:r w:rsidR="004D656F" w:rsidRPr="00EF6310">
        <w:rPr>
          <w:rFonts w:hAnsi="標楷體" w:hint="eastAsia"/>
          <w:color w:val="141513"/>
          <w:spacing w:val="15"/>
          <w:szCs w:val="32"/>
        </w:rPr>
        <w:t>國宅</w:t>
      </w:r>
      <w:r w:rsidR="0076723E">
        <w:rPr>
          <w:rFonts w:hAnsi="標楷體" w:hint="eastAsia"/>
          <w:color w:val="141513"/>
          <w:spacing w:val="15"/>
          <w:szCs w:val="32"/>
        </w:rPr>
        <w:t>仍</w:t>
      </w:r>
      <w:r w:rsidR="004D656F" w:rsidRPr="00EF6310">
        <w:rPr>
          <w:rFonts w:hAnsi="標楷體" w:hint="eastAsia"/>
          <w:color w:val="141513"/>
          <w:spacing w:val="15"/>
          <w:szCs w:val="32"/>
        </w:rPr>
        <w:t>在標售中</w:t>
      </w:r>
      <w:r w:rsidR="004D656F">
        <w:rPr>
          <w:rStyle w:val="aff1"/>
          <w:rFonts w:cs="標楷體"/>
          <w:kern w:val="0"/>
          <w:sz w:val="28"/>
          <w:szCs w:val="28"/>
        </w:rPr>
        <w:footnoteReference w:id="5"/>
      </w:r>
      <w:r w:rsidR="00751973">
        <w:rPr>
          <w:rFonts w:cs="標楷體" w:hint="eastAsia"/>
          <w:kern w:val="0"/>
          <w:sz w:val="28"/>
          <w:szCs w:val="28"/>
        </w:rPr>
        <w:t>。</w:t>
      </w:r>
      <w:r w:rsidR="00751973" w:rsidRPr="00751973">
        <w:rPr>
          <w:rFonts w:cs="標楷體" w:hint="eastAsia"/>
          <w:kern w:val="0"/>
          <w:szCs w:val="32"/>
        </w:rPr>
        <w:t>是</w:t>
      </w:r>
      <w:r w:rsidR="00193446">
        <w:rPr>
          <w:rFonts w:cs="標楷體" w:hint="eastAsia"/>
          <w:kern w:val="0"/>
          <w:szCs w:val="32"/>
        </w:rPr>
        <w:t>以</w:t>
      </w:r>
      <w:r w:rsidR="00751973" w:rsidRPr="00751973">
        <w:rPr>
          <w:rFonts w:cs="標楷體" w:hint="eastAsia"/>
          <w:kern w:val="0"/>
          <w:szCs w:val="32"/>
        </w:rPr>
        <w:t>內政部允應就前揭已提報</w:t>
      </w:r>
      <w:r w:rsidR="00A911E7">
        <w:rPr>
          <w:rFonts w:cs="標楷體" w:hint="eastAsia"/>
          <w:kern w:val="0"/>
          <w:szCs w:val="32"/>
        </w:rPr>
        <w:t>（將提報）</w:t>
      </w:r>
      <w:r w:rsidR="00751973" w:rsidRPr="00751973">
        <w:rPr>
          <w:rFonts w:cs="標楷體" w:hint="eastAsia"/>
          <w:kern w:val="0"/>
          <w:szCs w:val="32"/>
        </w:rPr>
        <w:t>之興建計畫，切實</w:t>
      </w:r>
      <w:r w:rsidR="00D501B8">
        <w:rPr>
          <w:rFonts w:cs="標楷體" w:hint="eastAsia"/>
          <w:kern w:val="0"/>
          <w:szCs w:val="32"/>
        </w:rPr>
        <w:t>探</w:t>
      </w:r>
      <w:r w:rsidR="00751973" w:rsidRPr="00751973">
        <w:rPr>
          <w:rFonts w:cs="標楷體" w:hint="eastAsia"/>
          <w:kern w:val="0"/>
          <w:szCs w:val="32"/>
        </w:rPr>
        <w:t>究</w:t>
      </w:r>
      <w:r w:rsidR="00D501B8">
        <w:rPr>
          <w:rFonts w:cs="標楷體" w:hint="eastAsia"/>
          <w:kern w:val="0"/>
          <w:szCs w:val="32"/>
        </w:rPr>
        <w:t>規劃興建社會住宅地區</w:t>
      </w:r>
      <w:r w:rsidR="003B242F">
        <w:rPr>
          <w:rFonts w:hint="eastAsia"/>
          <w:szCs w:val="32"/>
        </w:rPr>
        <w:t>民眾</w:t>
      </w:r>
      <w:r w:rsidR="00751973" w:rsidRPr="00751973">
        <w:rPr>
          <w:rFonts w:hint="eastAsia"/>
          <w:szCs w:val="32"/>
        </w:rPr>
        <w:t>之需求，以免虛擲政府有限資源</w:t>
      </w:r>
      <w:r w:rsidR="00D501B8">
        <w:rPr>
          <w:rFonts w:hint="eastAsia"/>
          <w:szCs w:val="32"/>
        </w:rPr>
        <w:t>，卻無從回收</w:t>
      </w:r>
      <w:r w:rsidR="00751973" w:rsidRPr="00751973">
        <w:rPr>
          <w:rFonts w:hint="eastAsia"/>
          <w:szCs w:val="32"/>
        </w:rPr>
        <w:t>。</w:t>
      </w:r>
    </w:p>
    <w:p w:rsidR="00751973" w:rsidRDefault="001A233D" w:rsidP="00E050A9">
      <w:pPr>
        <w:pStyle w:val="3"/>
        <w:ind w:rightChars="122" w:right="415"/>
        <w:rPr>
          <w:szCs w:val="32"/>
        </w:rPr>
      </w:pPr>
      <w:r>
        <w:rPr>
          <w:rFonts w:hint="eastAsia"/>
          <w:szCs w:val="32"/>
        </w:rPr>
        <w:t>復據105年9月內政部查復本院稱，「</w:t>
      </w:r>
      <w:r w:rsidRPr="001A233D">
        <w:rPr>
          <w:rFonts w:hint="eastAsia"/>
          <w:szCs w:val="32"/>
        </w:rPr>
        <w:t>住宅基金」雖淨值為</w:t>
      </w:r>
      <w:r w:rsidRPr="001A233D">
        <w:rPr>
          <w:szCs w:val="32"/>
        </w:rPr>
        <w:t>6</w:t>
      </w:r>
      <w:r w:rsidRPr="001A233D">
        <w:rPr>
          <w:rFonts w:hint="eastAsia"/>
          <w:szCs w:val="32"/>
        </w:rPr>
        <w:t>68億元</w:t>
      </w:r>
      <w:r w:rsidRPr="001A233D">
        <w:rPr>
          <w:szCs w:val="32"/>
        </w:rPr>
        <w:t>(</w:t>
      </w:r>
      <w:r w:rsidRPr="001A233D">
        <w:rPr>
          <w:rFonts w:hint="eastAsia"/>
          <w:szCs w:val="32"/>
        </w:rPr>
        <w:t>現金約190億元</w:t>
      </w:r>
      <w:r w:rsidRPr="001A233D">
        <w:rPr>
          <w:szCs w:val="32"/>
        </w:rPr>
        <w:t>)</w:t>
      </w:r>
      <w:r w:rsidRPr="001A233D">
        <w:rPr>
          <w:rFonts w:hint="eastAsia"/>
          <w:szCs w:val="32"/>
        </w:rPr>
        <w:t>，惟近年繳庫高達</w:t>
      </w:r>
      <w:r w:rsidRPr="001A233D">
        <w:rPr>
          <w:szCs w:val="32"/>
        </w:rPr>
        <w:t>311</w:t>
      </w:r>
      <w:r w:rsidRPr="001A233D">
        <w:rPr>
          <w:rFonts w:hint="eastAsia"/>
          <w:szCs w:val="32"/>
        </w:rPr>
        <w:t>億元，且每年住宅補貼及社會住宅補助高達</w:t>
      </w:r>
      <w:r w:rsidRPr="001A233D">
        <w:rPr>
          <w:szCs w:val="32"/>
        </w:rPr>
        <w:t>60</w:t>
      </w:r>
      <w:r w:rsidRPr="001A233D">
        <w:rPr>
          <w:rFonts w:hint="eastAsia"/>
          <w:szCs w:val="32"/>
        </w:rPr>
        <w:t>億元，倘加計興辦社會住宅20萬戶計畫</w:t>
      </w:r>
      <w:r w:rsidR="009D057A">
        <w:rPr>
          <w:rFonts w:hint="eastAsia"/>
          <w:szCs w:val="32"/>
        </w:rPr>
        <w:t>所需</w:t>
      </w:r>
      <w:r w:rsidRPr="001A233D">
        <w:rPr>
          <w:rFonts w:hint="eastAsia"/>
          <w:szCs w:val="32"/>
        </w:rPr>
        <w:t>經費，總經費</w:t>
      </w:r>
      <w:r w:rsidR="009D057A">
        <w:rPr>
          <w:rFonts w:hint="eastAsia"/>
          <w:szCs w:val="32"/>
        </w:rPr>
        <w:t>需求</w:t>
      </w:r>
      <w:r w:rsidRPr="001A233D">
        <w:rPr>
          <w:rFonts w:hint="eastAsia"/>
          <w:szCs w:val="32"/>
        </w:rPr>
        <w:t>持續攀高，將加速耗盡淨值等情。</w:t>
      </w:r>
      <w:r>
        <w:rPr>
          <w:rFonts w:hint="eastAsia"/>
          <w:szCs w:val="32"/>
        </w:rPr>
        <w:t>再據106年2月內政部查復本院</w:t>
      </w:r>
      <w:r w:rsidR="00193446">
        <w:rPr>
          <w:rFonts w:hint="eastAsia"/>
          <w:szCs w:val="32"/>
        </w:rPr>
        <w:t>所</w:t>
      </w:r>
      <w:r>
        <w:rPr>
          <w:rFonts w:hint="eastAsia"/>
          <w:szCs w:val="32"/>
        </w:rPr>
        <w:t>稱：</w:t>
      </w:r>
      <w:r w:rsidR="00D31B5B">
        <w:rPr>
          <w:rFonts w:hint="eastAsia"/>
          <w:szCs w:val="32"/>
        </w:rPr>
        <w:t>「</w:t>
      </w:r>
      <w:r w:rsidR="00430AB0" w:rsidRPr="00F16255">
        <w:rPr>
          <w:rFonts w:hint="eastAsia"/>
          <w:szCs w:val="32"/>
        </w:rPr>
        <w:t>房地合一課徵所得稅稅課收入分配及運用辦法</w:t>
      </w:r>
      <w:r w:rsidR="00D31B5B">
        <w:rPr>
          <w:rFonts w:hint="eastAsia"/>
          <w:szCs w:val="32"/>
        </w:rPr>
        <w:t>」</w:t>
      </w:r>
      <w:r w:rsidR="00430AB0" w:rsidRPr="00F16255">
        <w:rPr>
          <w:rFonts w:hint="eastAsia"/>
          <w:szCs w:val="32"/>
        </w:rPr>
        <w:t>，雖規定該稅收可挹注住宅政策，惟</w:t>
      </w:r>
      <w:r w:rsidR="00430AB0" w:rsidRPr="00F16255">
        <w:rPr>
          <w:szCs w:val="32"/>
        </w:rPr>
        <w:t>105</w:t>
      </w:r>
      <w:r w:rsidR="00430AB0" w:rsidRPr="00F16255">
        <w:rPr>
          <w:rFonts w:hint="eastAsia"/>
          <w:szCs w:val="32"/>
        </w:rPr>
        <w:t>年房地合一稅</w:t>
      </w:r>
      <w:r w:rsidR="00662F53">
        <w:rPr>
          <w:rStyle w:val="aff1"/>
          <w:szCs w:val="32"/>
        </w:rPr>
        <w:footnoteReference w:id="6"/>
      </w:r>
      <w:r w:rsidR="00430AB0" w:rsidRPr="00F16255">
        <w:rPr>
          <w:rFonts w:hint="eastAsia"/>
          <w:szCs w:val="32"/>
        </w:rPr>
        <w:t>並未能挹注「住宅基金」，且</w:t>
      </w:r>
      <w:r w:rsidR="00430AB0" w:rsidRPr="00F16255">
        <w:rPr>
          <w:szCs w:val="32"/>
        </w:rPr>
        <w:t>106</w:t>
      </w:r>
      <w:r w:rsidR="00430AB0" w:rsidRPr="00F16255">
        <w:rPr>
          <w:rFonts w:hint="eastAsia"/>
          <w:szCs w:val="32"/>
        </w:rPr>
        <w:t>年</w:t>
      </w:r>
      <w:r w:rsidR="00430AB0" w:rsidRPr="00F16255">
        <w:rPr>
          <w:szCs w:val="32"/>
        </w:rPr>
        <w:t>1</w:t>
      </w:r>
      <w:r w:rsidR="00430AB0" w:rsidRPr="00F16255">
        <w:rPr>
          <w:rFonts w:hint="eastAsia"/>
          <w:szCs w:val="32"/>
        </w:rPr>
        <w:t>月</w:t>
      </w:r>
      <w:r w:rsidR="00430AB0" w:rsidRPr="00F16255">
        <w:rPr>
          <w:szCs w:val="32"/>
        </w:rPr>
        <w:t>17</w:t>
      </w:r>
      <w:r w:rsidR="00430AB0" w:rsidRPr="00F16255">
        <w:rPr>
          <w:rFonts w:hint="eastAsia"/>
          <w:szCs w:val="32"/>
        </w:rPr>
        <w:t>日「住宅基金」</w:t>
      </w:r>
      <w:r w:rsidR="00193446">
        <w:rPr>
          <w:rFonts w:hint="eastAsia"/>
          <w:szCs w:val="32"/>
        </w:rPr>
        <w:t>在</w:t>
      </w:r>
      <w:r w:rsidR="00430AB0" w:rsidRPr="00F16255">
        <w:rPr>
          <w:rFonts w:hint="eastAsia"/>
          <w:szCs w:val="32"/>
        </w:rPr>
        <w:t>應要求繳</w:t>
      </w:r>
      <w:r w:rsidR="00A03923">
        <w:rPr>
          <w:rFonts w:hint="eastAsia"/>
          <w:szCs w:val="32"/>
        </w:rPr>
        <w:t>國</w:t>
      </w:r>
      <w:r w:rsidR="00430AB0" w:rsidRPr="00F16255">
        <w:rPr>
          <w:rFonts w:hint="eastAsia"/>
          <w:szCs w:val="32"/>
        </w:rPr>
        <w:t>庫</w:t>
      </w:r>
      <w:r w:rsidR="00430AB0" w:rsidRPr="00F16255">
        <w:rPr>
          <w:szCs w:val="32"/>
        </w:rPr>
        <w:t>70</w:t>
      </w:r>
      <w:r w:rsidR="00430AB0" w:rsidRPr="00F16255">
        <w:rPr>
          <w:rFonts w:hint="eastAsia"/>
          <w:szCs w:val="32"/>
        </w:rPr>
        <w:t>億元後，預計至</w:t>
      </w:r>
      <w:r w:rsidR="00430AB0" w:rsidRPr="00F16255">
        <w:rPr>
          <w:szCs w:val="32"/>
        </w:rPr>
        <w:lastRenderedPageBreak/>
        <w:t>108</w:t>
      </w:r>
      <w:r w:rsidR="00430AB0" w:rsidRPr="00F16255">
        <w:rPr>
          <w:rFonts w:hint="eastAsia"/>
          <w:szCs w:val="32"/>
        </w:rPr>
        <w:t>年底現金將少於</w:t>
      </w:r>
      <w:r w:rsidR="00430AB0" w:rsidRPr="00F16255">
        <w:rPr>
          <w:szCs w:val="32"/>
        </w:rPr>
        <w:t>20</w:t>
      </w:r>
      <w:r w:rsidR="00F16255" w:rsidRPr="00F16255">
        <w:rPr>
          <w:rFonts w:hint="eastAsia"/>
          <w:szCs w:val="32"/>
        </w:rPr>
        <w:t>億元。</w:t>
      </w:r>
      <w:r w:rsidR="00430AB0" w:rsidRPr="00F16255">
        <w:rPr>
          <w:rFonts w:hint="eastAsia"/>
          <w:szCs w:val="32"/>
        </w:rPr>
        <w:t>顯見「住宅基金」因配合各項住宅政策之推動，除每年需負擔政策需求，支用相</w:t>
      </w:r>
      <w:r w:rsidR="00F16255" w:rsidRPr="00F16255">
        <w:rPr>
          <w:rFonts w:hint="eastAsia"/>
          <w:szCs w:val="32"/>
        </w:rPr>
        <w:t>關</w:t>
      </w:r>
      <w:r w:rsidR="00430AB0" w:rsidRPr="00F16255">
        <w:rPr>
          <w:rFonts w:hint="eastAsia"/>
          <w:szCs w:val="32"/>
        </w:rPr>
        <w:t>經費</w:t>
      </w:r>
      <w:r w:rsidR="00F16255" w:rsidRPr="00F16255">
        <w:rPr>
          <w:rFonts w:hint="eastAsia"/>
          <w:szCs w:val="32"/>
        </w:rPr>
        <w:t>外</w:t>
      </w:r>
      <w:r w:rsidR="00430AB0" w:rsidRPr="00F16255">
        <w:rPr>
          <w:rFonts w:hint="eastAsia"/>
          <w:szCs w:val="32"/>
        </w:rPr>
        <w:t>，</w:t>
      </w:r>
      <w:r w:rsidR="00A71AC1">
        <w:rPr>
          <w:rFonts w:hint="eastAsia"/>
          <w:szCs w:val="32"/>
        </w:rPr>
        <w:t>亦常應</w:t>
      </w:r>
      <w:r w:rsidR="00F16255" w:rsidRPr="00F16255">
        <w:rPr>
          <w:rFonts w:hint="eastAsia"/>
          <w:szCs w:val="32"/>
        </w:rPr>
        <w:t>要求辦理繳庫，未來可能產生資金財務缺口，而</w:t>
      </w:r>
      <w:r w:rsidR="009D057A">
        <w:rPr>
          <w:rFonts w:hint="eastAsia"/>
          <w:szCs w:val="32"/>
        </w:rPr>
        <w:t>有</w:t>
      </w:r>
      <w:r w:rsidR="00F16255" w:rsidRPr="00F16255">
        <w:rPr>
          <w:rFonts w:hint="eastAsia"/>
          <w:szCs w:val="32"/>
        </w:rPr>
        <w:t>導致基金業務運作延宕</w:t>
      </w:r>
      <w:r w:rsidR="003B242F">
        <w:rPr>
          <w:rFonts w:hint="eastAsia"/>
          <w:szCs w:val="32"/>
        </w:rPr>
        <w:t>之疑慮</w:t>
      </w:r>
      <w:r w:rsidR="00430AB0" w:rsidRPr="00F16255">
        <w:rPr>
          <w:rFonts w:hint="eastAsia"/>
          <w:szCs w:val="32"/>
        </w:rPr>
        <w:t>。</w:t>
      </w:r>
    </w:p>
    <w:p w:rsidR="00F16255" w:rsidRPr="00193446" w:rsidRDefault="00F16255" w:rsidP="00905C11">
      <w:pPr>
        <w:pStyle w:val="3"/>
        <w:ind w:rightChars="99" w:right="337"/>
        <w:rPr>
          <w:szCs w:val="32"/>
        </w:rPr>
      </w:pPr>
      <w:r>
        <w:rPr>
          <w:rFonts w:hint="eastAsia"/>
          <w:szCs w:val="32"/>
        </w:rPr>
        <w:t>綜上，</w:t>
      </w:r>
      <w:r w:rsidR="00193446">
        <w:rPr>
          <w:rFonts w:hAnsi="標楷體" w:hint="eastAsia"/>
          <w:szCs w:val="32"/>
        </w:rPr>
        <w:t>內政部為落實</w:t>
      </w:r>
      <w:r w:rsidR="00D501B8" w:rsidRPr="00D501B8">
        <w:rPr>
          <w:rFonts w:hAnsi="標楷體"/>
          <w:szCs w:val="32"/>
        </w:rPr>
        <w:t>8</w:t>
      </w:r>
      <w:r w:rsidR="00D501B8" w:rsidRPr="00D501B8">
        <w:rPr>
          <w:rFonts w:hAnsi="標楷體" w:hint="eastAsia"/>
          <w:szCs w:val="32"/>
        </w:rPr>
        <w:t>年</w:t>
      </w:r>
      <w:r w:rsidR="00D501B8" w:rsidRPr="00D501B8">
        <w:rPr>
          <w:rFonts w:hAnsi="標楷體"/>
          <w:szCs w:val="32"/>
        </w:rPr>
        <w:t>20</w:t>
      </w:r>
      <w:r w:rsidR="00D501B8" w:rsidRPr="00D501B8">
        <w:rPr>
          <w:rFonts w:hAnsi="標楷體" w:hint="eastAsia"/>
          <w:szCs w:val="32"/>
        </w:rPr>
        <w:t>萬戶社會住宅興辦目標，業研擬「社會住宅興辦計畫」，規劃興建</w:t>
      </w:r>
      <w:r w:rsidR="00D501B8" w:rsidRPr="00D501B8">
        <w:rPr>
          <w:rFonts w:hAnsi="標楷體"/>
          <w:szCs w:val="32"/>
        </w:rPr>
        <w:t>12</w:t>
      </w:r>
      <w:r w:rsidR="00D501B8" w:rsidRPr="00D501B8">
        <w:rPr>
          <w:rFonts w:hAnsi="標楷體" w:hint="eastAsia"/>
          <w:szCs w:val="32"/>
        </w:rPr>
        <w:t>萬戶住宅及包租代管民間空餘屋</w:t>
      </w:r>
      <w:r w:rsidR="00D501B8" w:rsidRPr="00D501B8">
        <w:rPr>
          <w:rFonts w:hAnsi="標楷體"/>
          <w:szCs w:val="32"/>
        </w:rPr>
        <w:t>8</w:t>
      </w:r>
      <w:r w:rsidR="00D501B8" w:rsidRPr="00D501B8">
        <w:rPr>
          <w:rFonts w:hAnsi="標楷體" w:hint="eastAsia"/>
          <w:szCs w:val="32"/>
        </w:rPr>
        <w:t>萬戶，</w:t>
      </w:r>
      <w:r w:rsidR="00D501B8" w:rsidRPr="00D501B8">
        <w:rPr>
          <w:rFonts w:hint="eastAsia"/>
        </w:rPr>
        <w:t>執行期間所需經費將由「住宅基金」支應，爰該基金財務健全攸關前揭計畫之成敗</w:t>
      </w:r>
      <w:r w:rsidR="00946F63">
        <w:rPr>
          <w:rFonts w:hAnsi="標楷體" w:hint="eastAsia"/>
          <w:szCs w:val="32"/>
        </w:rPr>
        <w:t>。是以內政部</w:t>
      </w:r>
      <w:r w:rsidR="00D501B8" w:rsidRPr="00D501B8">
        <w:rPr>
          <w:rFonts w:hAnsi="標楷體" w:hint="eastAsia"/>
          <w:szCs w:val="32"/>
        </w:rPr>
        <w:t>允應汲取過往辦理國宅政策業務之經驗，並注意「住宅基金」經費負擔及收入來源問題，以利政策目標之遂行</w:t>
      </w:r>
      <w:r w:rsidRPr="00F70D9F">
        <w:rPr>
          <w:rFonts w:hAnsi="標楷體" w:hint="eastAsia"/>
          <w:szCs w:val="32"/>
        </w:rPr>
        <w:t>。</w:t>
      </w:r>
    </w:p>
    <w:p w:rsidR="00193446" w:rsidRPr="001A233D" w:rsidRDefault="00193446" w:rsidP="00193446">
      <w:pPr>
        <w:pStyle w:val="3"/>
        <w:numPr>
          <w:ilvl w:val="0"/>
          <w:numId w:val="0"/>
        </w:numPr>
        <w:ind w:left="1361"/>
        <w:rPr>
          <w:szCs w:val="32"/>
        </w:rPr>
      </w:pPr>
    </w:p>
    <w:p w:rsidR="00C90C69" w:rsidRPr="00D1173F" w:rsidRDefault="004C43F8" w:rsidP="00915733">
      <w:pPr>
        <w:pStyle w:val="2"/>
        <w:rPr>
          <w:b/>
          <w:szCs w:val="32"/>
        </w:rPr>
      </w:pPr>
      <w:r w:rsidRPr="00D1173F">
        <w:rPr>
          <w:rFonts w:hint="eastAsia"/>
          <w:b/>
          <w:szCs w:val="32"/>
        </w:rPr>
        <w:t>我國</w:t>
      </w:r>
      <w:r w:rsidR="00C5704F" w:rsidRPr="00D1173F">
        <w:rPr>
          <w:rFonts w:hint="eastAsia"/>
          <w:b/>
          <w:szCs w:val="32"/>
        </w:rPr>
        <w:t>設立</w:t>
      </w:r>
      <w:r w:rsidR="00573CF0" w:rsidRPr="00D1173F">
        <w:rPr>
          <w:rFonts w:hint="eastAsia"/>
          <w:b/>
          <w:szCs w:val="32"/>
        </w:rPr>
        <w:t>加工出口區</w:t>
      </w:r>
      <w:r w:rsidR="00C5704F" w:rsidRPr="00D1173F">
        <w:rPr>
          <w:rFonts w:hint="eastAsia"/>
          <w:b/>
          <w:szCs w:val="32"/>
        </w:rPr>
        <w:t>已歷半世紀，</w:t>
      </w:r>
      <w:r w:rsidR="00A76CE2" w:rsidRPr="00D1173F">
        <w:rPr>
          <w:rFonts w:hint="eastAsia"/>
          <w:b/>
          <w:szCs w:val="32"/>
        </w:rPr>
        <w:t>確有</w:t>
      </w:r>
      <w:r w:rsidR="00C5704F" w:rsidRPr="00D1173F">
        <w:rPr>
          <w:rFonts w:hint="eastAsia"/>
          <w:b/>
          <w:szCs w:val="32"/>
        </w:rPr>
        <w:t>達成吸引外資、帶動就業、引進技術</w:t>
      </w:r>
      <w:r w:rsidR="00A76CE2" w:rsidRPr="00D1173F">
        <w:rPr>
          <w:rFonts w:hint="eastAsia"/>
          <w:b/>
          <w:szCs w:val="32"/>
        </w:rPr>
        <w:t>及</w:t>
      </w:r>
      <w:r w:rsidR="00C5704F" w:rsidRPr="00D1173F">
        <w:rPr>
          <w:rFonts w:hint="eastAsia"/>
          <w:b/>
          <w:szCs w:val="32"/>
        </w:rPr>
        <w:t>創造外匯等</w:t>
      </w:r>
      <w:r w:rsidR="00DD57F1" w:rsidRPr="00D1173F">
        <w:rPr>
          <w:rFonts w:hint="eastAsia"/>
          <w:b/>
          <w:szCs w:val="32"/>
        </w:rPr>
        <w:t>四</w:t>
      </w:r>
      <w:r w:rsidR="00C5704F" w:rsidRPr="00D1173F">
        <w:rPr>
          <w:rFonts w:hint="eastAsia"/>
          <w:b/>
          <w:szCs w:val="32"/>
        </w:rPr>
        <w:t>大設立目標</w:t>
      </w:r>
      <w:r w:rsidR="00A76CE2" w:rsidRPr="00D1173F">
        <w:rPr>
          <w:rFonts w:hint="eastAsia"/>
          <w:b/>
          <w:szCs w:val="32"/>
        </w:rPr>
        <w:t>。然</w:t>
      </w:r>
      <w:r w:rsidR="00DD57F1" w:rsidRPr="00D1173F">
        <w:rPr>
          <w:rFonts w:hint="eastAsia"/>
          <w:b/>
          <w:szCs w:val="32"/>
        </w:rPr>
        <w:t>現有加工出口區</w:t>
      </w:r>
      <w:r w:rsidR="00A76CE2" w:rsidRPr="00D1173F">
        <w:rPr>
          <w:rFonts w:hint="eastAsia"/>
          <w:b/>
          <w:szCs w:val="32"/>
        </w:rPr>
        <w:t>配合我國產業發展，推動</w:t>
      </w:r>
      <w:r w:rsidR="004447E0" w:rsidRPr="00D1173F">
        <w:rPr>
          <w:rFonts w:hint="eastAsia"/>
          <w:b/>
          <w:szCs w:val="32"/>
        </w:rPr>
        <w:t>升級轉型後，</w:t>
      </w:r>
      <w:r w:rsidR="00573CF0" w:rsidRPr="00D1173F">
        <w:rPr>
          <w:rFonts w:hint="eastAsia"/>
          <w:b/>
          <w:szCs w:val="32"/>
        </w:rPr>
        <w:t>區內主要產業</w:t>
      </w:r>
      <w:r w:rsidR="009D057A">
        <w:rPr>
          <w:rFonts w:hint="eastAsia"/>
          <w:b/>
          <w:szCs w:val="32"/>
        </w:rPr>
        <w:t>群聚</w:t>
      </w:r>
      <w:r w:rsidR="00573CF0" w:rsidRPr="00D1173F">
        <w:rPr>
          <w:rFonts w:hint="eastAsia"/>
          <w:b/>
          <w:szCs w:val="32"/>
        </w:rPr>
        <w:t>與科學園區相近</w:t>
      </w:r>
      <w:r w:rsidR="00DD57F1" w:rsidRPr="00D1173F">
        <w:rPr>
          <w:rFonts w:hint="eastAsia"/>
          <w:b/>
          <w:szCs w:val="32"/>
        </w:rPr>
        <w:t>。復</w:t>
      </w:r>
      <w:r w:rsidR="00573CF0" w:rsidRPr="00D1173F">
        <w:rPr>
          <w:rFonts w:hint="eastAsia"/>
          <w:b/>
          <w:szCs w:val="32"/>
        </w:rPr>
        <w:t>鑑於近年來，加工出口區之總產值有</w:t>
      </w:r>
      <w:r w:rsidR="00193446">
        <w:rPr>
          <w:rFonts w:hint="eastAsia"/>
          <w:b/>
          <w:szCs w:val="32"/>
        </w:rPr>
        <w:t>成長</w:t>
      </w:r>
      <w:r w:rsidR="00573CF0" w:rsidRPr="00D1173F">
        <w:rPr>
          <w:rFonts w:hint="eastAsia"/>
          <w:b/>
          <w:szCs w:val="32"/>
        </w:rPr>
        <w:t>停滯情形，且加工出口區與科學園區之設置法源與主管機關雖</w:t>
      </w:r>
      <w:r w:rsidR="009D057A">
        <w:rPr>
          <w:rFonts w:hint="eastAsia"/>
          <w:b/>
          <w:szCs w:val="32"/>
        </w:rPr>
        <w:t>有異</w:t>
      </w:r>
      <w:r w:rsidR="00573CF0" w:rsidRPr="00D1173F">
        <w:rPr>
          <w:rFonts w:hint="eastAsia"/>
          <w:b/>
          <w:szCs w:val="32"/>
        </w:rPr>
        <w:t>，惟營運管理</w:t>
      </w:r>
      <w:r w:rsidR="00DD57F1" w:rsidRPr="00D1173F">
        <w:rPr>
          <w:rFonts w:hint="eastAsia"/>
          <w:b/>
          <w:szCs w:val="32"/>
        </w:rPr>
        <w:t>方式</w:t>
      </w:r>
      <w:r w:rsidR="00F44B03" w:rsidRPr="00D1173F">
        <w:rPr>
          <w:rFonts w:hint="eastAsia"/>
          <w:b/>
          <w:szCs w:val="32"/>
        </w:rPr>
        <w:t>幾近相同，</w:t>
      </w:r>
      <w:r w:rsidR="00A71AC1">
        <w:rPr>
          <w:rFonts w:hint="eastAsia"/>
          <w:b/>
          <w:szCs w:val="32"/>
        </w:rPr>
        <w:t>似宜考量是否有加以整合之必要</w:t>
      </w:r>
      <w:r w:rsidR="00573CF0" w:rsidRPr="00D1173F">
        <w:rPr>
          <w:rFonts w:hint="eastAsia"/>
          <w:b/>
          <w:szCs w:val="32"/>
        </w:rPr>
        <w:t>，以</w:t>
      </w:r>
      <w:r w:rsidR="004447E0" w:rsidRPr="00D1173F">
        <w:rPr>
          <w:rFonts w:hint="eastAsia"/>
          <w:b/>
          <w:szCs w:val="32"/>
        </w:rPr>
        <w:t>統合</w:t>
      </w:r>
      <w:r w:rsidR="00573CF0" w:rsidRPr="00D1173F">
        <w:rPr>
          <w:rFonts w:hint="eastAsia"/>
          <w:b/>
          <w:szCs w:val="32"/>
        </w:rPr>
        <w:t>國家資源</w:t>
      </w:r>
      <w:r w:rsidR="00DD57F1" w:rsidRPr="00D1173F">
        <w:rPr>
          <w:rFonts w:hint="eastAsia"/>
          <w:b/>
          <w:szCs w:val="32"/>
        </w:rPr>
        <w:t>、</w:t>
      </w:r>
      <w:r w:rsidR="00A76CE2" w:rsidRPr="00D1173F">
        <w:rPr>
          <w:rFonts w:hint="eastAsia"/>
          <w:b/>
          <w:szCs w:val="32"/>
        </w:rPr>
        <w:t>管理事權</w:t>
      </w:r>
      <w:r w:rsidR="00DD57F1" w:rsidRPr="00D1173F">
        <w:rPr>
          <w:rFonts w:hint="eastAsia"/>
          <w:b/>
          <w:szCs w:val="32"/>
        </w:rPr>
        <w:t>及發展目標</w:t>
      </w:r>
      <w:r w:rsidR="00573CF0" w:rsidRPr="00D1173F">
        <w:rPr>
          <w:rFonts w:hint="eastAsia"/>
          <w:b/>
          <w:szCs w:val="32"/>
        </w:rPr>
        <w:t>，</w:t>
      </w:r>
      <w:r w:rsidR="004447E0" w:rsidRPr="00D1173F">
        <w:rPr>
          <w:rFonts w:hint="eastAsia"/>
          <w:b/>
          <w:szCs w:val="32"/>
        </w:rPr>
        <w:t>從而</w:t>
      </w:r>
      <w:r w:rsidR="00DD57F1" w:rsidRPr="00D1173F">
        <w:rPr>
          <w:rFonts w:hint="eastAsia"/>
          <w:b/>
          <w:szCs w:val="32"/>
        </w:rPr>
        <w:t>提升</w:t>
      </w:r>
      <w:r w:rsidR="00573CF0" w:rsidRPr="00D1173F">
        <w:rPr>
          <w:rFonts w:hint="eastAsia"/>
          <w:b/>
          <w:szCs w:val="32"/>
        </w:rPr>
        <w:t>我國產</w:t>
      </w:r>
      <w:r w:rsidR="00193446" w:rsidRPr="00D1173F">
        <w:rPr>
          <w:rFonts w:hint="eastAsia"/>
          <w:b/>
          <w:szCs w:val="32"/>
        </w:rPr>
        <w:t>業</w:t>
      </w:r>
      <w:r w:rsidR="00193446">
        <w:rPr>
          <w:rFonts w:hint="eastAsia"/>
          <w:b/>
          <w:szCs w:val="32"/>
        </w:rPr>
        <w:t>之</w:t>
      </w:r>
      <w:r w:rsidR="00331265" w:rsidRPr="00D1173F">
        <w:rPr>
          <w:rFonts w:hint="eastAsia"/>
          <w:b/>
          <w:szCs w:val="32"/>
        </w:rPr>
        <w:t>整體</w:t>
      </w:r>
      <w:r w:rsidR="00573CF0" w:rsidRPr="00D1173F">
        <w:rPr>
          <w:rFonts w:hint="eastAsia"/>
          <w:b/>
          <w:szCs w:val="32"/>
        </w:rPr>
        <w:t>競爭力</w:t>
      </w:r>
      <w:r w:rsidRPr="00D1173F">
        <w:rPr>
          <w:rFonts w:hint="eastAsia"/>
          <w:b/>
          <w:szCs w:val="32"/>
        </w:rPr>
        <w:t>。</w:t>
      </w:r>
    </w:p>
    <w:p w:rsidR="00B51EF0" w:rsidRPr="00E465C6" w:rsidRDefault="00B51EF0" w:rsidP="00B51EF0">
      <w:pPr>
        <w:pStyle w:val="3"/>
      </w:pPr>
      <w:r w:rsidRPr="00E465C6">
        <w:rPr>
          <w:rFonts w:hint="eastAsia"/>
        </w:rPr>
        <w:t>我國為拓展對外貿易、吸引工業投資、引進最新技術，並增加就業機會，55年12月3日於高雄</w:t>
      </w:r>
      <w:r w:rsidR="004447E0">
        <w:rPr>
          <w:rFonts w:hint="eastAsia"/>
        </w:rPr>
        <w:t>市</w:t>
      </w:r>
      <w:r w:rsidRPr="00E465C6">
        <w:rPr>
          <w:rFonts w:hint="eastAsia"/>
        </w:rPr>
        <w:t>前鎮</w:t>
      </w:r>
      <w:r w:rsidR="004447E0">
        <w:rPr>
          <w:rFonts w:hint="eastAsia"/>
        </w:rPr>
        <w:t>區</w:t>
      </w:r>
      <w:r w:rsidRPr="00E465C6">
        <w:rPr>
          <w:rFonts w:hint="eastAsia"/>
        </w:rPr>
        <w:t>成立第一個加工出口區，係融合自由貿易區及工業區等多功能之特區。迄106年</w:t>
      </w:r>
      <w:r>
        <w:rPr>
          <w:rFonts w:hint="eastAsia"/>
        </w:rPr>
        <w:t>1月</w:t>
      </w:r>
      <w:r w:rsidR="00131700">
        <w:rPr>
          <w:rFonts w:hint="eastAsia"/>
        </w:rPr>
        <w:t>已</w:t>
      </w:r>
      <w:r w:rsidR="00331265">
        <w:rPr>
          <w:rFonts w:hint="eastAsia"/>
        </w:rPr>
        <w:t>於高雄地區、臺中地區及屏東地區設有園區，</w:t>
      </w:r>
      <w:r w:rsidRPr="00E465C6">
        <w:rPr>
          <w:rFonts w:hint="eastAsia"/>
        </w:rPr>
        <w:t>總面積</w:t>
      </w:r>
      <w:r w:rsidRPr="00E465C6">
        <w:t>530.3</w:t>
      </w:r>
      <w:r w:rsidRPr="00E465C6">
        <w:rPr>
          <w:rFonts w:hint="eastAsia"/>
        </w:rPr>
        <w:t>公頃，可出租面積</w:t>
      </w:r>
      <w:r w:rsidRPr="00E465C6">
        <w:t>370.85</w:t>
      </w:r>
      <w:r w:rsidRPr="00E465C6">
        <w:rPr>
          <w:rFonts w:hint="eastAsia"/>
        </w:rPr>
        <w:t>公頃，僅屏東園區剩</w:t>
      </w:r>
      <w:r w:rsidRPr="00E465C6">
        <w:t>1.93</w:t>
      </w:r>
      <w:r w:rsidRPr="00E465C6">
        <w:rPr>
          <w:rFonts w:hint="eastAsia"/>
        </w:rPr>
        <w:t>公頃未出租，總出租率達</w:t>
      </w:r>
      <w:r w:rsidRPr="00E465C6">
        <w:t>99.48%</w:t>
      </w:r>
      <w:r w:rsidRPr="00E465C6">
        <w:rPr>
          <w:rFonts w:hint="eastAsia"/>
        </w:rPr>
        <w:t>。</w:t>
      </w:r>
    </w:p>
    <w:p w:rsidR="00B51EF0" w:rsidRDefault="00B51EF0" w:rsidP="00B51EF0">
      <w:pPr>
        <w:pStyle w:val="3"/>
      </w:pPr>
      <w:r>
        <w:rPr>
          <w:rFonts w:hint="eastAsia"/>
        </w:rPr>
        <w:lastRenderedPageBreak/>
        <w:t>經查我國現有加工出口區之廠商家數、投資額、就業人數及營業額，99年為526家、119億餘元（美金）、64,902人及3,795億餘元，至105年為695家、194億元（美金）、</w:t>
      </w:r>
      <w:r w:rsidRPr="00D1173F">
        <w:rPr>
          <w:rFonts w:hint="eastAsia"/>
        </w:rPr>
        <w:t>81,736人及3,772億餘元</w:t>
      </w:r>
      <w:r w:rsidR="00675DBF">
        <w:rPr>
          <w:rFonts w:hint="eastAsia"/>
        </w:rPr>
        <w:t>。</w:t>
      </w:r>
      <w:r w:rsidR="009D057A">
        <w:rPr>
          <w:rFonts w:hint="eastAsia"/>
        </w:rPr>
        <w:t>105年</w:t>
      </w:r>
      <w:r w:rsidR="00131700">
        <w:rPr>
          <w:rFonts w:hint="eastAsia"/>
        </w:rPr>
        <w:t>相較</w:t>
      </w:r>
      <w:r w:rsidR="00193446">
        <w:rPr>
          <w:rFonts w:hint="eastAsia"/>
        </w:rPr>
        <w:t>於</w:t>
      </w:r>
      <w:r w:rsidR="009D057A">
        <w:rPr>
          <w:rFonts w:hint="eastAsia"/>
        </w:rPr>
        <w:t>99年</w:t>
      </w:r>
      <w:r w:rsidR="00131700">
        <w:rPr>
          <w:rFonts w:hint="eastAsia"/>
        </w:rPr>
        <w:t>，廠商家數、投資額及就業人數雖有成</w:t>
      </w:r>
      <w:r w:rsidR="00193446">
        <w:rPr>
          <w:rFonts w:hint="eastAsia"/>
        </w:rPr>
        <w:t>長</w:t>
      </w:r>
      <w:r w:rsidR="00131700">
        <w:rPr>
          <w:rFonts w:hint="eastAsia"/>
        </w:rPr>
        <w:t>，惟產值反衰退約</w:t>
      </w:r>
      <w:r>
        <w:rPr>
          <w:rFonts w:hint="eastAsia"/>
        </w:rPr>
        <w:t>0.</w:t>
      </w:r>
      <w:r w:rsidR="00131700">
        <w:rPr>
          <w:rFonts w:hint="eastAsia"/>
        </w:rPr>
        <w:t>6</w:t>
      </w:r>
      <w:r w:rsidR="00675DBF">
        <w:rPr>
          <w:rFonts w:hint="eastAsia"/>
        </w:rPr>
        <w:t>3</w:t>
      </w:r>
      <w:r>
        <w:rPr>
          <w:rFonts w:hint="eastAsia"/>
        </w:rPr>
        <w:t>﹪</w:t>
      </w:r>
      <w:r w:rsidR="00131700">
        <w:rPr>
          <w:rFonts w:hint="eastAsia"/>
        </w:rPr>
        <w:t>。</w:t>
      </w:r>
      <w:r>
        <w:rPr>
          <w:rFonts w:hint="eastAsia"/>
        </w:rPr>
        <w:t>99年至105年</w:t>
      </w:r>
      <w:r w:rsidR="00131700">
        <w:rPr>
          <w:rFonts w:hint="eastAsia"/>
        </w:rPr>
        <w:t>廠商家數、投資額、就業人數及營業額</w:t>
      </w:r>
      <w:r>
        <w:rPr>
          <w:rFonts w:hint="eastAsia"/>
        </w:rPr>
        <w:t>之變化情形</w:t>
      </w:r>
      <w:r w:rsidR="00193446">
        <w:rPr>
          <w:rFonts w:hint="eastAsia"/>
        </w:rPr>
        <w:t>詳</w:t>
      </w:r>
      <w:r>
        <w:rPr>
          <w:rFonts w:hint="eastAsia"/>
        </w:rPr>
        <w:t>如</w:t>
      </w:r>
      <w:r w:rsidRPr="00B1597F">
        <w:rPr>
          <w:rFonts w:hint="eastAsia"/>
          <w:color w:val="FF0000"/>
        </w:rPr>
        <w:t>表</w:t>
      </w:r>
      <w:r w:rsidR="00B1597F">
        <w:rPr>
          <w:rFonts w:hint="eastAsia"/>
        </w:rPr>
        <w:t>5</w:t>
      </w:r>
      <w:r w:rsidR="00331265">
        <w:rPr>
          <w:rFonts w:hint="eastAsia"/>
        </w:rPr>
        <w:t>。</w:t>
      </w:r>
    </w:p>
    <w:p w:rsidR="00193446" w:rsidRDefault="00193446" w:rsidP="00193446">
      <w:pPr>
        <w:pStyle w:val="3"/>
        <w:numPr>
          <w:ilvl w:val="0"/>
          <w:numId w:val="0"/>
        </w:numPr>
        <w:ind w:left="1361"/>
      </w:pPr>
    </w:p>
    <w:p w:rsidR="00B51EF0" w:rsidRPr="00197971" w:rsidRDefault="00331265" w:rsidP="00B51EF0">
      <w:pPr>
        <w:pStyle w:val="4"/>
        <w:numPr>
          <w:ilvl w:val="0"/>
          <w:numId w:val="0"/>
        </w:numPr>
        <w:ind w:leftChars="-50" w:left="-20" w:hangingChars="50" w:hanging="150"/>
        <w:rPr>
          <w:b/>
          <w:sz w:val="28"/>
          <w:szCs w:val="28"/>
        </w:rPr>
      </w:pPr>
      <w:r w:rsidRPr="00197971">
        <w:rPr>
          <w:rFonts w:hint="eastAsia"/>
          <w:b/>
          <w:sz w:val="28"/>
          <w:szCs w:val="28"/>
        </w:rPr>
        <w:t>表</w:t>
      </w:r>
      <w:r w:rsidR="00B1597F" w:rsidRPr="00197971">
        <w:rPr>
          <w:rFonts w:hint="eastAsia"/>
          <w:b/>
          <w:sz w:val="28"/>
          <w:szCs w:val="28"/>
        </w:rPr>
        <w:t>5</w:t>
      </w:r>
      <w:r w:rsidRPr="00197971">
        <w:rPr>
          <w:rFonts w:hint="eastAsia"/>
          <w:b/>
          <w:sz w:val="28"/>
          <w:szCs w:val="28"/>
        </w:rPr>
        <w:t xml:space="preserve">  </w:t>
      </w:r>
      <w:r w:rsidR="00B51EF0" w:rsidRPr="00197971">
        <w:rPr>
          <w:rFonts w:hint="eastAsia"/>
          <w:b/>
          <w:sz w:val="28"/>
          <w:szCs w:val="28"/>
        </w:rPr>
        <w:t>99年至105年我國加工出口區投資、就業及營業額統計表</w:t>
      </w:r>
    </w:p>
    <w:tbl>
      <w:tblPr>
        <w:tblStyle w:val="af9"/>
        <w:tblW w:w="10349" w:type="dxa"/>
        <w:tblInd w:w="-318" w:type="dxa"/>
        <w:tblLook w:val="04A0" w:firstRow="1" w:lastRow="0" w:firstColumn="1" w:lastColumn="0" w:noHBand="0" w:noVBand="1"/>
      </w:tblPr>
      <w:tblGrid>
        <w:gridCol w:w="1890"/>
        <w:gridCol w:w="1237"/>
        <w:gridCol w:w="1237"/>
        <w:gridCol w:w="1237"/>
        <w:gridCol w:w="1237"/>
        <w:gridCol w:w="1237"/>
        <w:gridCol w:w="1237"/>
        <w:gridCol w:w="1037"/>
      </w:tblGrid>
      <w:tr w:rsidR="00B51EF0" w:rsidRPr="00960A2A" w:rsidTr="009C0194">
        <w:trPr>
          <w:tblHeader/>
        </w:trPr>
        <w:tc>
          <w:tcPr>
            <w:tcW w:w="1890" w:type="dxa"/>
          </w:tcPr>
          <w:p w:rsidR="00B51EF0" w:rsidRPr="00960A2A" w:rsidRDefault="00B51EF0" w:rsidP="00FB121E">
            <w:pPr>
              <w:pStyle w:val="4"/>
              <w:numPr>
                <w:ilvl w:val="0"/>
                <w:numId w:val="0"/>
              </w:numPr>
              <w:spacing w:line="280" w:lineRule="exact"/>
              <w:ind w:firstLineChars="400" w:firstLine="1041"/>
              <w:rPr>
                <w:sz w:val="24"/>
                <w:szCs w:val="24"/>
              </w:rPr>
            </w:pPr>
            <w:r w:rsidRPr="00960A2A">
              <w:rPr>
                <w:rFonts w:hint="eastAsia"/>
                <w:sz w:val="24"/>
                <w:szCs w:val="24"/>
              </w:rPr>
              <w:t>年度</w:t>
            </w:r>
          </w:p>
          <w:p w:rsidR="00B51EF0" w:rsidRPr="00960A2A" w:rsidRDefault="00B51EF0" w:rsidP="00FB121E">
            <w:pPr>
              <w:pStyle w:val="4"/>
              <w:numPr>
                <w:ilvl w:val="0"/>
                <w:numId w:val="0"/>
              </w:numPr>
              <w:spacing w:line="280" w:lineRule="exact"/>
              <w:ind w:leftChars="-5" w:left="-17" w:firstLineChars="5" w:firstLine="13"/>
              <w:rPr>
                <w:sz w:val="24"/>
                <w:szCs w:val="24"/>
              </w:rPr>
            </w:pPr>
            <w:r w:rsidRPr="00960A2A">
              <w:rPr>
                <w:rFonts w:hint="eastAsia"/>
                <w:sz w:val="24"/>
                <w:szCs w:val="24"/>
              </w:rPr>
              <w:t>項目</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99</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100</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101</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102</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103</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104</w:t>
            </w:r>
          </w:p>
        </w:tc>
        <w:tc>
          <w:tcPr>
            <w:tcW w:w="10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105</w:t>
            </w:r>
          </w:p>
        </w:tc>
      </w:tr>
      <w:tr w:rsidR="00B51EF0" w:rsidRPr="00960A2A" w:rsidTr="00A71AC1">
        <w:tc>
          <w:tcPr>
            <w:tcW w:w="1890"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廠商家數</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526</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556</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580</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601</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619</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646</w:t>
            </w:r>
          </w:p>
        </w:tc>
        <w:tc>
          <w:tcPr>
            <w:tcW w:w="10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695</w:t>
            </w:r>
          </w:p>
        </w:tc>
      </w:tr>
      <w:tr w:rsidR="00B51EF0" w:rsidRPr="00960A2A" w:rsidTr="00A71AC1">
        <w:tc>
          <w:tcPr>
            <w:tcW w:w="1890"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投資額</w:t>
            </w:r>
          </w:p>
          <w:p w:rsidR="00B51EF0" w:rsidRPr="00960A2A" w:rsidRDefault="00331265" w:rsidP="00FB121E">
            <w:pPr>
              <w:pStyle w:val="4"/>
              <w:numPr>
                <w:ilvl w:val="0"/>
                <w:numId w:val="0"/>
              </w:numPr>
              <w:spacing w:line="280" w:lineRule="exact"/>
              <w:rPr>
                <w:sz w:val="24"/>
                <w:szCs w:val="24"/>
              </w:rPr>
            </w:pPr>
            <w:r>
              <w:rPr>
                <w:rFonts w:hint="eastAsia"/>
                <w:sz w:val="24"/>
                <w:szCs w:val="24"/>
              </w:rPr>
              <w:t>（美金</w:t>
            </w:r>
            <w:r w:rsidR="00B51EF0" w:rsidRPr="00960A2A">
              <w:rPr>
                <w:rFonts w:hint="eastAsia"/>
                <w:sz w:val="24"/>
                <w:szCs w:val="24"/>
              </w:rPr>
              <w:t>：億</w:t>
            </w:r>
            <w:r>
              <w:rPr>
                <w:rFonts w:hint="eastAsia"/>
                <w:sz w:val="24"/>
                <w:szCs w:val="24"/>
              </w:rPr>
              <w:t>元</w:t>
            </w:r>
            <w:r w:rsidR="00B51EF0" w:rsidRPr="00960A2A">
              <w:rPr>
                <w:rFonts w:hint="eastAsia"/>
                <w:sz w:val="24"/>
                <w:szCs w:val="24"/>
              </w:rPr>
              <w:t>）</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119</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141</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152</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165</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174</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179</w:t>
            </w:r>
          </w:p>
        </w:tc>
        <w:tc>
          <w:tcPr>
            <w:tcW w:w="10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194</w:t>
            </w:r>
          </w:p>
        </w:tc>
      </w:tr>
      <w:tr w:rsidR="00B51EF0" w:rsidRPr="00960A2A" w:rsidTr="00A71AC1">
        <w:tc>
          <w:tcPr>
            <w:tcW w:w="1890"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就業員工人數</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64,902</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69,862</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73,337</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75,989</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80,245</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80,687</w:t>
            </w:r>
          </w:p>
        </w:tc>
        <w:tc>
          <w:tcPr>
            <w:tcW w:w="10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81,736</w:t>
            </w:r>
          </w:p>
        </w:tc>
      </w:tr>
      <w:tr w:rsidR="00B51EF0" w:rsidRPr="00960A2A" w:rsidTr="00A71AC1">
        <w:tc>
          <w:tcPr>
            <w:tcW w:w="1890"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營業額（億元）</w:t>
            </w:r>
          </w:p>
        </w:tc>
        <w:tc>
          <w:tcPr>
            <w:tcW w:w="1237" w:type="dxa"/>
          </w:tcPr>
          <w:p w:rsidR="00B51EF0" w:rsidRPr="00960A2A" w:rsidRDefault="004447E0" w:rsidP="00FB121E">
            <w:pPr>
              <w:pStyle w:val="4"/>
              <w:numPr>
                <w:ilvl w:val="0"/>
                <w:numId w:val="0"/>
              </w:numPr>
              <w:spacing w:line="280" w:lineRule="exact"/>
              <w:rPr>
                <w:sz w:val="24"/>
                <w:szCs w:val="24"/>
              </w:rPr>
            </w:pPr>
            <w:r>
              <w:rPr>
                <w:rFonts w:hint="eastAsia"/>
                <w:sz w:val="24"/>
                <w:szCs w:val="24"/>
              </w:rPr>
              <w:t>3,796</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3,633</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3,762</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3,687</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3,822</w:t>
            </w:r>
          </w:p>
        </w:tc>
        <w:tc>
          <w:tcPr>
            <w:tcW w:w="12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3,809</w:t>
            </w:r>
          </w:p>
        </w:tc>
        <w:tc>
          <w:tcPr>
            <w:tcW w:w="1037" w:type="dxa"/>
          </w:tcPr>
          <w:p w:rsidR="00B51EF0" w:rsidRPr="00960A2A" w:rsidRDefault="00B51EF0" w:rsidP="00FB121E">
            <w:pPr>
              <w:pStyle w:val="4"/>
              <w:numPr>
                <w:ilvl w:val="0"/>
                <w:numId w:val="0"/>
              </w:numPr>
              <w:spacing w:line="280" w:lineRule="exact"/>
              <w:rPr>
                <w:sz w:val="24"/>
                <w:szCs w:val="24"/>
              </w:rPr>
            </w:pPr>
            <w:r w:rsidRPr="00960A2A">
              <w:rPr>
                <w:rFonts w:hint="eastAsia"/>
                <w:sz w:val="24"/>
                <w:szCs w:val="24"/>
              </w:rPr>
              <w:t>3,772</w:t>
            </w:r>
          </w:p>
        </w:tc>
      </w:tr>
    </w:tbl>
    <w:p w:rsidR="00B51EF0" w:rsidRDefault="00B51EF0" w:rsidP="00B51EF0">
      <w:pPr>
        <w:pStyle w:val="3"/>
        <w:numPr>
          <w:ilvl w:val="0"/>
          <w:numId w:val="0"/>
        </w:numPr>
        <w:wordWrap w:val="0"/>
        <w:snapToGrid w:val="0"/>
        <w:ind w:left="-284" w:rightChars="-275" w:right="-935"/>
        <w:rPr>
          <w:sz w:val="24"/>
          <w:szCs w:val="24"/>
        </w:rPr>
      </w:pPr>
      <w:r w:rsidRPr="0002608B">
        <w:rPr>
          <w:rFonts w:hint="eastAsia"/>
          <w:sz w:val="24"/>
          <w:szCs w:val="24"/>
        </w:rPr>
        <w:t>資料來源：經濟部加工出口區管理處統計資料，本院彙整</w:t>
      </w:r>
      <w:r>
        <w:rPr>
          <w:rFonts w:hint="eastAsia"/>
          <w:sz w:val="24"/>
          <w:szCs w:val="24"/>
        </w:rPr>
        <w:t>（</w:t>
      </w:r>
      <w:hyperlink r:id="rId9" w:history="1">
        <w:r w:rsidR="00193446" w:rsidRPr="000A1F9F">
          <w:rPr>
            <w:rStyle w:val="af0"/>
            <w:sz w:val="24"/>
            <w:szCs w:val="24"/>
          </w:rPr>
          <w:t>http://www.epza.gov.tw/people/formdownload.aspx?pageid=4d029eb6240d15b8</w:t>
        </w:r>
      </w:hyperlink>
      <w:r>
        <w:rPr>
          <w:rFonts w:hint="eastAsia"/>
          <w:sz w:val="24"/>
          <w:szCs w:val="24"/>
        </w:rPr>
        <w:t>）</w:t>
      </w:r>
      <w:r w:rsidRPr="0002608B">
        <w:rPr>
          <w:rFonts w:hint="eastAsia"/>
          <w:sz w:val="24"/>
          <w:szCs w:val="24"/>
        </w:rPr>
        <w:t>。</w:t>
      </w:r>
    </w:p>
    <w:p w:rsidR="00193446" w:rsidRPr="00193446" w:rsidRDefault="00193446" w:rsidP="00B51EF0">
      <w:pPr>
        <w:pStyle w:val="3"/>
        <w:numPr>
          <w:ilvl w:val="0"/>
          <w:numId w:val="0"/>
        </w:numPr>
        <w:wordWrap w:val="0"/>
        <w:snapToGrid w:val="0"/>
        <w:ind w:left="-284" w:rightChars="-275" w:right="-935"/>
      </w:pPr>
    </w:p>
    <w:p w:rsidR="00C90C69" w:rsidRDefault="00131700" w:rsidP="00B51EF0">
      <w:pPr>
        <w:pStyle w:val="3"/>
      </w:pPr>
      <w:r>
        <w:rPr>
          <w:rFonts w:hint="eastAsia"/>
        </w:rPr>
        <w:t>次查，</w:t>
      </w:r>
      <w:r w:rsidR="006311C3">
        <w:rPr>
          <w:rFonts w:hint="eastAsia"/>
        </w:rPr>
        <w:t>目前</w:t>
      </w:r>
      <w:r>
        <w:rPr>
          <w:rFonts w:hint="eastAsia"/>
        </w:rPr>
        <w:t>我國加工出口區之主要產業亦</w:t>
      </w:r>
      <w:r w:rsidR="00B51EF0">
        <w:rPr>
          <w:rFonts w:hint="eastAsia"/>
        </w:rPr>
        <w:t>偏重</w:t>
      </w:r>
      <w:r>
        <w:rPr>
          <w:rFonts w:hint="eastAsia"/>
        </w:rPr>
        <w:t>於</w:t>
      </w:r>
      <w:r w:rsidR="00B51EF0">
        <w:rPr>
          <w:rFonts w:hint="eastAsia"/>
        </w:rPr>
        <w:t>資通訊產業</w:t>
      </w:r>
      <w:r w:rsidR="0039454C">
        <w:rPr>
          <w:rFonts w:hint="eastAsia"/>
        </w:rPr>
        <w:t>，</w:t>
      </w:r>
      <w:r w:rsidR="00675DBF">
        <w:rPr>
          <w:rFonts w:hint="eastAsia"/>
        </w:rPr>
        <w:t>雷同於</w:t>
      </w:r>
      <w:r w:rsidR="0039454C">
        <w:rPr>
          <w:rFonts w:hint="eastAsia"/>
        </w:rPr>
        <w:t>科學園區</w:t>
      </w:r>
      <w:r w:rsidR="00675DBF">
        <w:rPr>
          <w:rFonts w:hint="eastAsia"/>
        </w:rPr>
        <w:t>之</w:t>
      </w:r>
      <w:r w:rsidR="0039454C">
        <w:rPr>
          <w:rFonts w:hint="eastAsia"/>
        </w:rPr>
        <w:t>產業</w:t>
      </w:r>
      <w:r w:rsidR="00675DBF">
        <w:rPr>
          <w:rFonts w:hint="eastAsia"/>
        </w:rPr>
        <w:t>群聚</w:t>
      </w:r>
      <w:r w:rsidR="0039454C">
        <w:rPr>
          <w:rStyle w:val="aff1"/>
        </w:rPr>
        <w:footnoteReference w:id="7"/>
      </w:r>
      <w:r w:rsidR="0039454C">
        <w:rPr>
          <w:rFonts w:hint="eastAsia"/>
        </w:rPr>
        <w:t>。</w:t>
      </w:r>
      <w:r w:rsidR="00B51EF0">
        <w:rPr>
          <w:rFonts w:hint="eastAsia"/>
        </w:rPr>
        <w:t>各加工出口區之主要產業群落投資</w:t>
      </w:r>
      <w:r w:rsidR="00985A82">
        <w:rPr>
          <w:rFonts w:hint="eastAsia"/>
        </w:rPr>
        <w:t>額</w:t>
      </w:r>
      <w:r w:rsidR="00B51EF0">
        <w:rPr>
          <w:rFonts w:hint="eastAsia"/>
        </w:rPr>
        <w:t>及營業額比重如</w:t>
      </w:r>
      <w:r w:rsidR="00B51EF0" w:rsidRPr="004447E0">
        <w:rPr>
          <w:rFonts w:hint="eastAsia"/>
          <w:color w:val="FF0000"/>
        </w:rPr>
        <w:t>表</w:t>
      </w:r>
      <w:r w:rsidR="00B1597F">
        <w:rPr>
          <w:rFonts w:hint="eastAsia"/>
          <w:color w:val="FF0000"/>
        </w:rPr>
        <w:t>6</w:t>
      </w:r>
      <w:r w:rsidR="00193446" w:rsidRPr="00193446">
        <w:rPr>
          <w:rFonts w:hint="eastAsia"/>
        </w:rPr>
        <w:t>所示</w:t>
      </w:r>
      <w:r w:rsidR="00D65649">
        <w:rPr>
          <w:rFonts w:hint="eastAsia"/>
        </w:rPr>
        <w:t>。</w:t>
      </w:r>
    </w:p>
    <w:p w:rsidR="00193446" w:rsidRDefault="00193446" w:rsidP="00193446">
      <w:pPr>
        <w:pStyle w:val="3"/>
        <w:numPr>
          <w:ilvl w:val="0"/>
          <w:numId w:val="0"/>
        </w:numPr>
        <w:ind w:left="1361"/>
      </w:pPr>
    </w:p>
    <w:p w:rsidR="00F44B03" w:rsidRPr="00197971" w:rsidRDefault="00F44B03" w:rsidP="00F44B03">
      <w:pPr>
        <w:pStyle w:val="3"/>
        <w:numPr>
          <w:ilvl w:val="0"/>
          <w:numId w:val="0"/>
        </w:numPr>
        <w:ind w:left="1361"/>
        <w:rPr>
          <w:b/>
          <w:sz w:val="28"/>
          <w:szCs w:val="28"/>
        </w:rPr>
      </w:pPr>
      <w:r w:rsidRPr="00197971">
        <w:rPr>
          <w:rFonts w:hint="eastAsia"/>
          <w:b/>
          <w:sz w:val="28"/>
          <w:szCs w:val="28"/>
        </w:rPr>
        <w:t>表</w:t>
      </w:r>
      <w:r w:rsidR="00B1597F" w:rsidRPr="00197971">
        <w:rPr>
          <w:rFonts w:hint="eastAsia"/>
          <w:b/>
          <w:sz w:val="28"/>
          <w:szCs w:val="28"/>
        </w:rPr>
        <w:t>6</w:t>
      </w:r>
      <w:r w:rsidRPr="00197971">
        <w:rPr>
          <w:rFonts w:hint="eastAsia"/>
          <w:b/>
          <w:sz w:val="28"/>
          <w:szCs w:val="28"/>
        </w:rPr>
        <w:t xml:space="preserve"> 我國加工出口區主要產業群聚統計表</w:t>
      </w:r>
    </w:p>
    <w:tbl>
      <w:tblPr>
        <w:tblW w:w="5511" w:type="pct"/>
        <w:tblInd w:w="-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1707"/>
        <w:gridCol w:w="4672"/>
        <w:gridCol w:w="1844"/>
        <w:gridCol w:w="1842"/>
      </w:tblGrid>
      <w:tr w:rsidR="00B51EF0" w:rsidRPr="00132AF0" w:rsidTr="00F8620D">
        <w:trPr>
          <w:trHeight w:val="20"/>
          <w:tblHeader/>
        </w:trPr>
        <w:tc>
          <w:tcPr>
            <w:tcW w:w="848"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2" w:left="-17" w:hangingChars="42" w:hanging="126"/>
              <w:rPr>
                <w:rFonts w:hAnsi="標楷體"/>
                <w:sz w:val="28"/>
                <w:szCs w:val="28"/>
              </w:rPr>
            </w:pPr>
            <w:r w:rsidRPr="00132AF0">
              <w:rPr>
                <w:rFonts w:hAnsi="標楷體" w:hint="eastAsia"/>
                <w:bCs/>
                <w:sz w:val="28"/>
                <w:szCs w:val="28"/>
              </w:rPr>
              <w:t>園區別</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65"/>
              <w:rPr>
                <w:rFonts w:hAnsi="標楷體"/>
                <w:sz w:val="28"/>
                <w:szCs w:val="28"/>
              </w:rPr>
            </w:pPr>
            <w:r w:rsidRPr="00132AF0">
              <w:rPr>
                <w:rFonts w:hAnsi="標楷體" w:hint="eastAsia"/>
                <w:bCs/>
                <w:sz w:val="28"/>
                <w:szCs w:val="28"/>
              </w:rPr>
              <w:t>主要產業群聚</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8" w:left="2" w:hangingChars="55" w:hanging="165"/>
              <w:rPr>
                <w:rFonts w:hAnsi="標楷體"/>
                <w:bCs/>
                <w:sz w:val="28"/>
                <w:szCs w:val="28"/>
              </w:rPr>
            </w:pPr>
            <w:r w:rsidRPr="00132AF0">
              <w:rPr>
                <w:rFonts w:hAnsi="標楷體" w:hint="eastAsia"/>
                <w:bCs/>
                <w:sz w:val="28"/>
                <w:szCs w:val="28"/>
              </w:rPr>
              <w:t>占園區</w:t>
            </w:r>
          </w:p>
          <w:p w:rsidR="00B51EF0" w:rsidRPr="00132AF0" w:rsidRDefault="00B51EF0" w:rsidP="00FB121E">
            <w:pPr>
              <w:pStyle w:val="4"/>
              <w:numPr>
                <w:ilvl w:val="0"/>
                <w:numId w:val="0"/>
              </w:numPr>
              <w:spacing w:line="280" w:lineRule="exact"/>
              <w:ind w:leftChars="-48" w:left="2" w:hangingChars="55" w:hanging="165"/>
              <w:rPr>
                <w:rFonts w:hAnsi="標楷體"/>
                <w:sz w:val="28"/>
                <w:szCs w:val="28"/>
              </w:rPr>
            </w:pPr>
            <w:r w:rsidRPr="00132AF0">
              <w:rPr>
                <w:rFonts w:hAnsi="標楷體" w:hint="eastAsia"/>
                <w:bCs/>
                <w:sz w:val="28"/>
                <w:szCs w:val="28"/>
              </w:rPr>
              <w:t>投資額比重</w:t>
            </w:r>
          </w:p>
        </w:tc>
        <w:tc>
          <w:tcPr>
            <w:tcW w:w="915"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24" w:left="-1" w:hangingChars="27" w:hanging="81"/>
              <w:rPr>
                <w:rFonts w:hAnsi="標楷體"/>
                <w:bCs/>
                <w:sz w:val="28"/>
                <w:szCs w:val="28"/>
              </w:rPr>
            </w:pPr>
            <w:r w:rsidRPr="00132AF0">
              <w:rPr>
                <w:rFonts w:hAnsi="標楷體" w:hint="eastAsia"/>
                <w:bCs/>
                <w:sz w:val="28"/>
                <w:szCs w:val="28"/>
              </w:rPr>
              <w:t>占園區</w:t>
            </w:r>
          </w:p>
          <w:p w:rsidR="00B51EF0" w:rsidRPr="00132AF0" w:rsidRDefault="00B51EF0" w:rsidP="00FB121E">
            <w:pPr>
              <w:pStyle w:val="4"/>
              <w:numPr>
                <w:ilvl w:val="0"/>
                <w:numId w:val="0"/>
              </w:numPr>
              <w:spacing w:line="280" w:lineRule="exact"/>
              <w:ind w:leftChars="-24" w:left="-1" w:hangingChars="27" w:hanging="81"/>
              <w:rPr>
                <w:rFonts w:hAnsi="標楷體"/>
                <w:sz w:val="28"/>
                <w:szCs w:val="28"/>
              </w:rPr>
            </w:pPr>
            <w:r w:rsidRPr="00132AF0">
              <w:rPr>
                <w:rFonts w:hAnsi="標楷體" w:hint="eastAsia"/>
                <w:bCs/>
                <w:sz w:val="28"/>
                <w:szCs w:val="28"/>
              </w:rPr>
              <w:t>營業額比重</w:t>
            </w:r>
          </w:p>
        </w:tc>
      </w:tr>
      <w:tr w:rsidR="00B51EF0" w:rsidRPr="00132AF0" w:rsidTr="00FB121E">
        <w:trPr>
          <w:trHeight w:val="20"/>
        </w:trPr>
        <w:tc>
          <w:tcPr>
            <w:tcW w:w="848" w:type="pct"/>
            <w:shd w:val="clear" w:color="auto" w:fill="FFFFFF" w:themeFill="background1"/>
            <w:tcMar>
              <w:top w:w="28" w:type="dxa"/>
              <w:left w:w="144" w:type="dxa"/>
              <w:bottom w:w="28" w:type="dxa"/>
              <w:right w:w="144" w:type="dxa"/>
            </w:tcMar>
            <w:vAlign w:val="center"/>
            <w:hideMark/>
          </w:tcPr>
          <w:p w:rsidR="00B51EF0" w:rsidRDefault="00B51EF0" w:rsidP="00FB121E">
            <w:pPr>
              <w:pStyle w:val="4"/>
              <w:numPr>
                <w:ilvl w:val="0"/>
                <w:numId w:val="0"/>
              </w:numPr>
              <w:spacing w:line="280" w:lineRule="exact"/>
              <w:ind w:leftChars="-42" w:left="-23" w:hangingChars="40" w:hanging="120"/>
              <w:rPr>
                <w:rFonts w:hAnsi="標楷體"/>
                <w:bCs/>
                <w:sz w:val="28"/>
                <w:szCs w:val="28"/>
              </w:rPr>
            </w:pPr>
            <w:r w:rsidRPr="00132AF0">
              <w:rPr>
                <w:rFonts w:hAnsi="標楷體" w:hint="eastAsia"/>
                <w:bCs/>
                <w:sz w:val="28"/>
                <w:szCs w:val="28"/>
              </w:rPr>
              <w:t>楠梓園區</w:t>
            </w:r>
          </w:p>
          <w:p w:rsidR="00B51EF0" w:rsidRPr="00132AF0" w:rsidRDefault="00B51EF0" w:rsidP="00FB121E">
            <w:pPr>
              <w:pStyle w:val="4"/>
              <w:numPr>
                <w:ilvl w:val="0"/>
                <w:numId w:val="0"/>
              </w:numPr>
              <w:spacing w:line="280" w:lineRule="exact"/>
              <w:ind w:leftChars="-42" w:left="-55" w:hangingChars="40" w:hanging="88"/>
              <w:rPr>
                <w:rFonts w:hAnsi="標楷體"/>
                <w:sz w:val="28"/>
                <w:szCs w:val="28"/>
              </w:rPr>
            </w:pPr>
            <w:r w:rsidRPr="00132AF0">
              <w:rPr>
                <w:rFonts w:hAnsi="標楷體" w:hint="eastAsia"/>
                <w:sz w:val="20"/>
                <w:szCs w:val="20"/>
              </w:rPr>
              <w:t>(含第二園區)</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08"/>
              <w:rPr>
                <w:rFonts w:hAnsi="標楷體"/>
                <w:sz w:val="28"/>
                <w:szCs w:val="28"/>
              </w:rPr>
            </w:pPr>
            <w:r w:rsidRPr="00132AF0">
              <w:rPr>
                <w:rFonts w:hAnsi="標楷體" w:hint="eastAsia"/>
                <w:bCs/>
                <w:sz w:val="28"/>
                <w:szCs w:val="28"/>
              </w:rPr>
              <w:t>半導體封裝及測試產業</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sz w:val="28"/>
                <w:szCs w:val="28"/>
              </w:rPr>
            </w:pPr>
            <w:r w:rsidRPr="00132AF0">
              <w:rPr>
                <w:rFonts w:hAnsi="標楷體" w:hint="eastAsia"/>
                <w:bCs/>
                <w:sz w:val="28"/>
                <w:szCs w:val="28"/>
              </w:rPr>
              <w:t>88%</w:t>
            </w:r>
          </w:p>
        </w:tc>
        <w:tc>
          <w:tcPr>
            <w:tcW w:w="915"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86%</w:t>
            </w:r>
          </w:p>
        </w:tc>
      </w:tr>
      <w:tr w:rsidR="00B51EF0" w:rsidRPr="00132AF0" w:rsidTr="00FB121E">
        <w:trPr>
          <w:trHeight w:val="20"/>
        </w:trPr>
        <w:tc>
          <w:tcPr>
            <w:tcW w:w="848"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2" w:left="-23" w:hangingChars="40" w:hanging="120"/>
              <w:rPr>
                <w:rFonts w:hAnsi="標楷體"/>
                <w:sz w:val="28"/>
                <w:szCs w:val="28"/>
              </w:rPr>
            </w:pPr>
            <w:r w:rsidRPr="00132AF0">
              <w:rPr>
                <w:rFonts w:hAnsi="標楷體" w:hint="eastAsia"/>
                <w:bCs/>
                <w:sz w:val="28"/>
                <w:szCs w:val="28"/>
              </w:rPr>
              <w:t>高雄園區</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08"/>
              <w:rPr>
                <w:rFonts w:hAnsi="標楷體"/>
                <w:bCs/>
                <w:sz w:val="28"/>
                <w:szCs w:val="28"/>
              </w:rPr>
            </w:pPr>
            <w:r w:rsidRPr="00132AF0">
              <w:rPr>
                <w:rFonts w:hAnsi="標楷體" w:hint="eastAsia"/>
                <w:bCs/>
                <w:sz w:val="28"/>
                <w:szCs w:val="28"/>
              </w:rPr>
              <w:t>IC封測、LCD、光電產業</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70%</w:t>
            </w:r>
          </w:p>
        </w:tc>
        <w:tc>
          <w:tcPr>
            <w:tcW w:w="915"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65%</w:t>
            </w:r>
          </w:p>
        </w:tc>
      </w:tr>
      <w:tr w:rsidR="00B51EF0" w:rsidRPr="00132AF0" w:rsidTr="00FB121E">
        <w:trPr>
          <w:trHeight w:val="20"/>
        </w:trPr>
        <w:tc>
          <w:tcPr>
            <w:tcW w:w="848"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2" w:left="-23" w:hangingChars="40" w:hanging="120"/>
              <w:rPr>
                <w:rFonts w:hAnsi="標楷體"/>
                <w:sz w:val="28"/>
                <w:szCs w:val="28"/>
              </w:rPr>
            </w:pPr>
            <w:r w:rsidRPr="00132AF0">
              <w:rPr>
                <w:rFonts w:hAnsi="標楷體" w:hint="eastAsia"/>
                <w:bCs/>
                <w:sz w:val="28"/>
                <w:szCs w:val="28"/>
              </w:rPr>
              <w:t>臨廣園區</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08"/>
              <w:rPr>
                <w:rFonts w:hAnsi="標楷體"/>
                <w:bCs/>
                <w:sz w:val="28"/>
                <w:szCs w:val="28"/>
              </w:rPr>
            </w:pPr>
            <w:r w:rsidRPr="00132AF0">
              <w:rPr>
                <w:rFonts w:hAnsi="標楷體" w:hint="eastAsia"/>
                <w:bCs/>
                <w:sz w:val="28"/>
                <w:szCs w:val="28"/>
              </w:rPr>
              <w:t>LCD、光電產業</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34%</w:t>
            </w:r>
          </w:p>
        </w:tc>
        <w:tc>
          <w:tcPr>
            <w:tcW w:w="915"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30%</w:t>
            </w:r>
          </w:p>
        </w:tc>
      </w:tr>
      <w:tr w:rsidR="00B51EF0" w:rsidRPr="00132AF0" w:rsidTr="00FB121E">
        <w:trPr>
          <w:trHeight w:val="20"/>
        </w:trPr>
        <w:tc>
          <w:tcPr>
            <w:tcW w:w="848"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2" w:left="-23" w:hangingChars="40" w:hanging="120"/>
              <w:rPr>
                <w:rFonts w:hAnsi="標楷體"/>
                <w:sz w:val="28"/>
                <w:szCs w:val="28"/>
              </w:rPr>
            </w:pPr>
            <w:r w:rsidRPr="00132AF0">
              <w:rPr>
                <w:rFonts w:hAnsi="標楷體" w:hint="eastAsia"/>
                <w:bCs/>
                <w:sz w:val="28"/>
                <w:szCs w:val="28"/>
              </w:rPr>
              <w:lastRenderedPageBreak/>
              <w:t>成功園區</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08"/>
              <w:rPr>
                <w:rFonts w:hAnsi="標楷體"/>
                <w:bCs/>
                <w:sz w:val="28"/>
                <w:szCs w:val="28"/>
              </w:rPr>
            </w:pPr>
            <w:r w:rsidRPr="00132AF0">
              <w:rPr>
                <w:rFonts w:hAnsi="標楷體" w:hint="eastAsia"/>
                <w:bCs/>
                <w:sz w:val="28"/>
                <w:szCs w:val="28"/>
              </w:rPr>
              <w:t>物流產業</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100</w:t>
            </w:r>
            <w:r w:rsidR="00C93840">
              <w:rPr>
                <w:rFonts w:hAnsi="標楷體" w:hint="eastAsia"/>
                <w:bCs/>
                <w:sz w:val="28"/>
                <w:szCs w:val="28"/>
              </w:rPr>
              <w:t>﹪</w:t>
            </w:r>
          </w:p>
        </w:tc>
        <w:tc>
          <w:tcPr>
            <w:tcW w:w="915"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100</w:t>
            </w:r>
            <w:r w:rsidR="00C93840">
              <w:rPr>
                <w:rFonts w:hAnsi="標楷體" w:hint="eastAsia"/>
                <w:bCs/>
                <w:sz w:val="28"/>
                <w:szCs w:val="28"/>
              </w:rPr>
              <w:t>﹪</w:t>
            </w:r>
          </w:p>
        </w:tc>
      </w:tr>
      <w:tr w:rsidR="00B51EF0" w:rsidRPr="00132AF0" w:rsidTr="00FB121E">
        <w:trPr>
          <w:trHeight w:val="20"/>
        </w:trPr>
        <w:tc>
          <w:tcPr>
            <w:tcW w:w="848"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2" w:left="-23" w:hangingChars="40" w:hanging="120"/>
              <w:rPr>
                <w:rFonts w:hAnsi="標楷體"/>
                <w:sz w:val="28"/>
                <w:szCs w:val="28"/>
              </w:rPr>
            </w:pPr>
            <w:r w:rsidRPr="00132AF0">
              <w:rPr>
                <w:rFonts w:hAnsi="標楷體" w:hint="eastAsia"/>
                <w:bCs/>
                <w:sz w:val="28"/>
                <w:szCs w:val="28"/>
              </w:rPr>
              <w:t>臺中園區</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08"/>
              <w:rPr>
                <w:rFonts w:hAnsi="標楷體"/>
                <w:bCs/>
                <w:sz w:val="28"/>
                <w:szCs w:val="28"/>
              </w:rPr>
            </w:pPr>
            <w:r w:rsidRPr="00132AF0">
              <w:rPr>
                <w:rFonts w:hAnsi="標楷體" w:hint="eastAsia"/>
                <w:bCs/>
                <w:sz w:val="28"/>
                <w:szCs w:val="28"/>
              </w:rPr>
              <w:t>光學及電子產業</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93</w:t>
            </w:r>
            <w:r w:rsidR="00C93840">
              <w:rPr>
                <w:rFonts w:hAnsi="標楷體" w:hint="eastAsia"/>
                <w:bCs/>
                <w:sz w:val="28"/>
                <w:szCs w:val="28"/>
              </w:rPr>
              <w:t>﹪</w:t>
            </w:r>
          </w:p>
        </w:tc>
        <w:tc>
          <w:tcPr>
            <w:tcW w:w="915"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83</w:t>
            </w:r>
            <w:r w:rsidR="00C93840">
              <w:rPr>
                <w:rFonts w:hAnsi="標楷體" w:hint="eastAsia"/>
                <w:bCs/>
                <w:sz w:val="28"/>
                <w:szCs w:val="28"/>
              </w:rPr>
              <w:t>﹪</w:t>
            </w:r>
          </w:p>
        </w:tc>
      </w:tr>
      <w:tr w:rsidR="00B51EF0" w:rsidRPr="00132AF0" w:rsidTr="00FB121E">
        <w:trPr>
          <w:trHeight w:val="20"/>
        </w:trPr>
        <w:tc>
          <w:tcPr>
            <w:tcW w:w="848"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2" w:left="-23" w:hangingChars="40" w:hanging="120"/>
              <w:rPr>
                <w:rFonts w:hAnsi="標楷體"/>
                <w:sz w:val="28"/>
                <w:szCs w:val="28"/>
              </w:rPr>
            </w:pPr>
            <w:r w:rsidRPr="00132AF0">
              <w:rPr>
                <w:rFonts w:hAnsi="標楷體" w:hint="eastAsia"/>
                <w:bCs/>
                <w:sz w:val="28"/>
                <w:szCs w:val="28"/>
              </w:rPr>
              <w:t>中港園區</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08"/>
              <w:rPr>
                <w:rFonts w:hAnsi="標楷體"/>
                <w:bCs/>
                <w:sz w:val="28"/>
                <w:szCs w:val="28"/>
              </w:rPr>
            </w:pPr>
            <w:r w:rsidRPr="00132AF0">
              <w:rPr>
                <w:rFonts w:hAnsi="標楷體" w:hint="eastAsia"/>
                <w:bCs/>
                <w:sz w:val="28"/>
                <w:szCs w:val="28"/>
              </w:rPr>
              <w:t>面板關聯產業</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61</w:t>
            </w:r>
            <w:r w:rsidR="00C93840">
              <w:rPr>
                <w:rFonts w:hAnsi="標楷體" w:hint="eastAsia"/>
                <w:bCs/>
                <w:sz w:val="28"/>
                <w:szCs w:val="28"/>
              </w:rPr>
              <w:t>﹪</w:t>
            </w:r>
          </w:p>
        </w:tc>
        <w:tc>
          <w:tcPr>
            <w:tcW w:w="915"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71</w:t>
            </w:r>
            <w:r w:rsidR="00C93840">
              <w:rPr>
                <w:rFonts w:hAnsi="標楷體" w:hint="eastAsia"/>
                <w:bCs/>
                <w:sz w:val="28"/>
                <w:szCs w:val="28"/>
              </w:rPr>
              <w:t>﹪</w:t>
            </w:r>
          </w:p>
        </w:tc>
      </w:tr>
      <w:tr w:rsidR="00B51EF0" w:rsidRPr="00132AF0" w:rsidTr="00FB121E">
        <w:trPr>
          <w:trHeight w:val="20"/>
        </w:trPr>
        <w:tc>
          <w:tcPr>
            <w:tcW w:w="848"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2" w:left="-23" w:hangingChars="40" w:hanging="120"/>
              <w:rPr>
                <w:rFonts w:hAnsi="標楷體"/>
                <w:sz w:val="28"/>
                <w:szCs w:val="28"/>
              </w:rPr>
            </w:pPr>
            <w:r w:rsidRPr="00132AF0">
              <w:rPr>
                <w:rFonts w:hAnsi="標楷體" w:hint="eastAsia"/>
                <w:bCs/>
                <w:sz w:val="28"/>
                <w:szCs w:val="28"/>
              </w:rPr>
              <w:t>屏東園區</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08"/>
              <w:rPr>
                <w:rFonts w:hAnsi="標楷體"/>
                <w:bCs/>
                <w:sz w:val="28"/>
                <w:szCs w:val="28"/>
              </w:rPr>
            </w:pPr>
            <w:r w:rsidRPr="00132AF0">
              <w:rPr>
                <w:rFonts w:hAnsi="標楷體" w:hint="eastAsia"/>
                <w:bCs/>
                <w:sz w:val="28"/>
                <w:szCs w:val="28"/>
              </w:rPr>
              <w:t>水處理設備、馬達相關產業</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20</w:t>
            </w:r>
            <w:r w:rsidR="00C93840">
              <w:rPr>
                <w:rFonts w:hAnsi="標楷體" w:hint="eastAsia"/>
                <w:bCs/>
                <w:sz w:val="28"/>
                <w:szCs w:val="28"/>
              </w:rPr>
              <w:t>﹪</w:t>
            </w:r>
          </w:p>
        </w:tc>
        <w:tc>
          <w:tcPr>
            <w:tcW w:w="915"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53</w:t>
            </w:r>
            <w:r w:rsidR="00C93840">
              <w:rPr>
                <w:rFonts w:hAnsi="標楷體" w:hint="eastAsia"/>
                <w:bCs/>
                <w:sz w:val="28"/>
                <w:szCs w:val="28"/>
              </w:rPr>
              <w:t>﹪</w:t>
            </w:r>
          </w:p>
        </w:tc>
      </w:tr>
      <w:tr w:rsidR="00B51EF0" w:rsidRPr="00132AF0" w:rsidTr="00FB121E">
        <w:trPr>
          <w:trHeight w:val="20"/>
        </w:trPr>
        <w:tc>
          <w:tcPr>
            <w:tcW w:w="848"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2" w:left="-23" w:hangingChars="40" w:hanging="120"/>
              <w:rPr>
                <w:rFonts w:hAnsi="標楷體"/>
                <w:sz w:val="28"/>
                <w:szCs w:val="28"/>
              </w:rPr>
            </w:pPr>
            <w:r w:rsidRPr="00132AF0">
              <w:rPr>
                <w:rFonts w:hAnsi="標楷體" w:hint="eastAsia"/>
                <w:bCs/>
                <w:sz w:val="28"/>
                <w:szCs w:val="28"/>
              </w:rPr>
              <w:t>高軟園區</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08"/>
              <w:rPr>
                <w:rFonts w:hAnsi="標楷體"/>
                <w:bCs/>
                <w:sz w:val="28"/>
                <w:szCs w:val="28"/>
              </w:rPr>
            </w:pPr>
            <w:r w:rsidRPr="00132AF0">
              <w:rPr>
                <w:rFonts w:hAnsi="標楷體" w:hint="eastAsia"/>
                <w:bCs/>
                <w:sz w:val="28"/>
                <w:szCs w:val="28"/>
              </w:rPr>
              <w:t>資訊軟體、數位內容及研發設計等</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83%</w:t>
            </w:r>
          </w:p>
        </w:tc>
        <w:tc>
          <w:tcPr>
            <w:tcW w:w="915" w:type="pct"/>
            <w:shd w:val="clear" w:color="auto" w:fill="FFFFFF" w:themeFill="background1"/>
            <w:tcMar>
              <w:top w:w="28" w:type="dxa"/>
              <w:left w:w="144" w:type="dxa"/>
              <w:bottom w:w="28" w:type="dxa"/>
              <w:right w:w="144" w:type="dxa"/>
            </w:tcMar>
            <w:vAlign w:val="center"/>
            <w:hideMark/>
          </w:tcPr>
          <w:p w:rsidR="00B51EF0" w:rsidRPr="001C5F9E" w:rsidRDefault="00B51EF0" w:rsidP="00FB121E">
            <w:pPr>
              <w:pStyle w:val="4"/>
              <w:numPr>
                <w:ilvl w:val="0"/>
                <w:numId w:val="0"/>
              </w:numPr>
              <w:spacing w:line="280" w:lineRule="exact"/>
              <w:rPr>
                <w:bCs/>
                <w:sz w:val="24"/>
                <w:szCs w:val="24"/>
              </w:rPr>
            </w:pPr>
            <w:r w:rsidRPr="001C5F9E">
              <w:rPr>
                <w:rFonts w:hint="eastAsia"/>
                <w:bCs/>
                <w:sz w:val="24"/>
                <w:szCs w:val="24"/>
              </w:rPr>
              <w:t>(註1)</w:t>
            </w:r>
          </w:p>
        </w:tc>
      </w:tr>
      <w:tr w:rsidR="00B51EF0" w:rsidRPr="00132AF0" w:rsidTr="00FB121E">
        <w:trPr>
          <w:trHeight w:val="20"/>
        </w:trPr>
        <w:tc>
          <w:tcPr>
            <w:tcW w:w="848"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Chars="-42" w:left="-23" w:hangingChars="40" w:hanging="120"/>
              <w:rPr>
                <w:rFonts w:hAnsi="標楷體"/>
                <w:sz w:val="28"/>
                <w:szCs w:val="28"/>
              </w:rPr>
            </w:pPr>
            <w:r w:rsidRPr="00132AF0">
              <w:rPr>
                <w:rFonts w:hAnsi="標楷體" w:hint="eastAsia"/>
                <w:bCs/>
                <w:sz w:val="28"/>
                <w:szCs w:val="28"/>
              </w:rPr>
              <w:t>中軟園區</w:t>
            </w:r>
          </w:p>
        </w:tc>
        <w:tc>
          <w:tcPr>
            <w:tcW w:w="2321"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08"/>
              <w:rPr>
                <w:rFonts w:hAnsi="標楷體"/>
                <w:bCs/>
                <w:sz w:val="28"/>
                <w:szCs w:val="28"/>
              </w:rPr>
            </w:pPr>
            <w:r w:rsidRPr="00132AF0">
              <w:rPr>
                <w:rFonts w:hAnsi="標楷體" w:hint="eastAsia"/>
                <w:bCs/>
                <w:sz w:val="28"/>
                <w:szCs w:val="28"/>
              </w:rPr>
              <w:t>資訊軟體、數位內容、線上遊戲</w:t>
            </w:r>
          </w:p>
        </w:tc>
        <w:tc>
          <w:tcPr>
            <w:tcW w:w="916" w:type="pct"/>
            <w:shd w:val="clear" w:color="auto" w:fill="FFFFFF" w:themeFill="background1"/>
            <w:tcMar>
              <w:top w:w="28" w:type="dxa"/>
              <w:left w:w="144" w:type="dxa"/>
              <w:bottom w:w="28" w:type="dxa"/>
              <w:right w:w="144" w:type="dxa"/>
            </w:tcMar>
            <w:vAlign w:val="center"/>
            <w:hideMark/>
          </w:tcPr>
          <w:p w:rsidR="00B51EF0" w:rsidRPr="00132AF0" w:rsidRDefault="00B51EF0" w:rsidP="00FB121E">
            <w:pPr>
              <w:pStyle w:val="4"/>
              <w:numPr>
                <w:ilvl w:val="0"/>
                <w:numId w:val="0"/>
              </w:numPr>
              <w:spacing w:line="280" w:lineRule="exact"/>
              <w:ind w:left="139"/>
              <w:rPr>
                <w:rFonts w:hAnsi="標楷體"/>
                <w:bCs/>
                <w:sz w:val="28"/>
                <w:szCs w:val="28"/>
              </w:rPr>
            </w:pPr>
            <w:r w:rsidRPr="00132AF0">
              <w:rPr>
                <w:rFonts w:hAnsi="標楷體" w:hint="eastAsia"/>
                <w:bCs/>
                <w:sz w:val="28"/>
                <w:szCs w:val="28"/>
              </w:rPr>
              <w:t>89%</w:t>
            </w:r>
          </w:p>
        </w:tc>
        <w:tc>
          <w:tcPr>
            <w:tcW w:w="915" w:type="pct"/>
            <w:shd w:val="clear" w:color="auto" w:fill="FFFFFF" w:themeFill="background1"/>
            <w:tcMar>
              <w:top w:w="28" w:type="dxa"/>
              <w:left w:w="144" w:type="dxa"/>
              <w:bottom w:w="28" w:type="dxa"/>
              <w:right w:w="144" w:type="dxa"/>
            </w:tcMar>
            <w:vAlign w:val="center"/>
            <w:hideMark/>
          </w:tcPr>
          <w:p w:rsidR="00B51EF0" w:rsidRPr="001C5F9E" w:rsidRDefault="00B51EF0" w:rsidP="00FB121E">
            <w:pPr>
              <w:pStyle w:val="4"/>
              <w:numPr>
                <w:ilvl w:val="0"/>
                <w:numId w:val="0"/>
              </w:numPr>
              <w:spacing w:line="280" w:lineRule="exact"/>
              <w:rPr>
                <w:bCs/>
                <w:sz w:val="24"/>
                <w:szCs w:val="24"/>
              </w:rPr>
            </w:pPr>
            <w:r w:rsidRPr="001C5F9E">
              <w:rPr>
                <w:rFonts w:hint="eastAsia"/>
                <w:bCs/>
                <w:sz w:val="24"/>
                <w:szCs w:val="24"/>
              </w:rPr>
              <w:t>(註2)</w:t>
            </w:r>
          </w:p>
        </w:tc>
      </w:tr>
    </w:tbl>
    <w:p w:rsidR="00985A82" w:rsidRPr="00B51EF0" w:rsidRDefault="00985A82" w:rsidP="00985A82">
      <w:pPr>
        <w:pStyle w:val="3"/>
        <w:numPr>
          <w:ilvl w:val="0"/>
          <w:numId w:val="0"/>
        </w:numPr>
        <w:snapToGrid w:val="0"/>
        <w:ind w:left="-284"/>
        <w:rPr>
          <w:sz w:val="24"/>
          <w:szCs w:val="24"/>
        </w:rPr>
      </w:pPr>
      <w:r w:rsidRPr="00B51EF0">
        <w:rPr>
          <w:rFonts w:hint="eastAsia"/>
          <w:sz w:val="24"/>
          <w:szCs w:val="24"/>
        </w:rPr>
        <w:t>註</w:t>
      </w:r>
      <w:r w:rsidRPr="00B51EF0">
        <w:rPr>
          <w:sz w:val="24"/>
          <w:szCs w:val="24"/>
        </w:rPr>
        <w:t>1</w:t>
      </w:r>
      <w:r w:rsidRPr="00B51EF0">
        <w:rPr>
          <w:rFonts w:hint="eastAsia"/>
          <w:sz w:val="24"/>
          <w:szCs w:val="24"/>
        </w:rPr>
        <w:t>：高雄軟體園區管理費以樓地板面積計算，無個別廠商營業額申報資料。</w:t>
      </w:r>
    </w:p>
    <w:p w:rsidR="00B51EF0" w:rsidRDefault="00985A82" w:rsidP="00985A82">
      <w:pPr>
        <w:pStyle w:val="3"/>
        <w:numPr>
          <w:ilvl w:val="0"/>
          <w:numId w:val="0"/>
        </w:numPr>
        <w:snapToGrid w:val="0"/>
        <w:ind w:left="-284"/>
        <w:rPr>
          <w:sz w:val="24"/>
          <w:szCs w:val="24"/>
        </w:rPr>
      </w:pPr>
      <w:r w:rsidRPr="00B51EF0">
        <w:rPr>
          <w:rFonts w:hint="eastAsia"/>
          <w:sz w:val="24"/>
          <w:szCs w:val="24"/>
        </w:rPr>
        <w:t>註</w:t>
      </w:r>
      <w:r w:rsidRPr="00B51EF0">
        <w:rPr>
          <w:sz w:val="24"/>
          <w:szCs w:val="24"/>
        </w:rPr>
        <w:t>2</w:t>
      </w:r>
      <w:r w:rsidRPr="00B51EF0">
        <w:rPr>
          <w:rFonts w:hint="eastAsia"/>
          <w:sz w:val="24"/>
          <w:szCs w:val="24"/>
        </w:rPr>
        <w:t>：臺中軟體園區廠辦大樓興建中，現已核准投資</w:t>
      </w:r>
      <w:r w:rsidRPr="00B51EF0">
        <w:rPr>
          <w:sz w:val="24"/>
          <w:szCs w:val="24"/>
        </w:rPr>
        <w:t>57</w:t>
      </w:r>
      <w:r w:rsidRPr="00B51EF0">
        <w:rPr>
          <w:rFonts w:hint="eastAsia"/>
          <w:sz w:val="24"/>
          <w:szCs w:val="24"/>
        </w:rPr>
        <w:t>案。</w:t>
      </w:r>
    </w:p>
    <w:p w:rsidR="00193446" w:rsidRDefault="00193446" w:rsidP="00193446">
      <w:pPr>
        <w:pStyle w:val="3"/>
        <w:numPr>
          <w:ilvl w:val="0"/>
          <w:numId w:val="0"/>
        </w:numPr>
        <w:snapToGrid w:val="0"/>
        <w:ind w:left="-284"/>
        <w:rPr>
          <w:sz w:val="24"/>
          <w:szCs w:val="24"/>
        </w:rPr>
      </w:pPr>
      <w:r>
        <w:rPr>
          <w:rFonts w:hint="eastAsia"/>
          <w:sz w:val="24"/>
          <w:szCs w:val="24"/>
        </w:rPr>
        <w:t>資料來源：經濟部。</w:t>
      </w:r>
    </w:p>
    <w:p w:rsidR="00193446" w:rsidRDefault="00193446" w:rsidP="00985A82">
      <w:pPr>
        <w:pStyle w:val="3"/>
        <w:numPr>
          <w:ilvl w:val="0"/>
          <w:numId w:val="0"/>
        </w:numPr>
        <w:snapToGrid w:val="0"/>
        <w:ind w:left="-284"/>
      </w:pPr>
    </w:p>
    <w:p w:rsidR="00C5704F" w:rsidRDefault="00C5704F" w:rsidP="00C5704F">
      <w:pPr>
        <w:pStyle w:val="3"/>
      </w:pPr>
      <w:r>
        <w:rPr>
          <w:rFonts w:hint="eastAsia"/>
        </w:rPr>
        <w:t>末查，我國加工出口</w:t>
      </w:r>
      <w:r w:rsidR="006311C3">
        <w:rPr>
          <w:rFonts w:hint="eastAsia"/>
        </w:rPr>
        <w:t>區與科學園區，除設立法源與主管機關不同外，有關園區提供之服務、</w:t>
      </w:r>
      <w:r>
        <w:rPr>
          <w:rFonts w:hint="eastAsia"/>
        </w:rPr>
        <w:t>稅區別、土地使用方式、租稅優惠及貨物管理作業等項目，並無差異，茲列表比較如</w:t>
      </w:r>
      <w:r w:rsidR="006544C9" w:rsidRPr="006311C3">
        <w:rPr>
          <w:rFonts w:hint="eastAsia"/>
          <w:color w:val="FF0000"/>
        </w:rPr>
        <w:t>表</w:t>
      </w:r>
      <w:r w:rsidR="00B1597F">
        <w:rPr>
          <w:rFonts w:hint="eastAsia"/>
          <w:color w:val="FF0000"/>
        </w:rPr>
        <w:t>7</w:t>
      </w:r>
      <w:r w:rsidR="006544C9">
        <w:rPr>
          <w:rFonts w:hint="eastAsia"/>
        </w:rPr>
        <w:t>。</w:t>
      </w:r>
    </w:p>
    <w:p w:rsidR="00F56844" w:rsidRDefault="00F56844" w:rsidP="00C5704F">
      <w:pPr>
        <w:pStyle w:val="4"/>
        <w:numPr>
          <w:ilvl w:val="0"/>
          <w:numId w:val="0"/>
        </w:numPr>
        <w:ind w:left="1701"/>
        <w:rPr>
          <w:rFonts w:hAnsi="標楷體"/>
          <w:b/>
          <w:bCs/>
          <w:sz w:val="28"/>
          <w:szCs w:val="28"/>
        </w:rPr>
      </w:pPr>
    </w:p>
    <w:p w:rsidR="00C5704F" w:rsidRPr="006544C9" w:rsidRDefault="006544C9" w:rsidP="00C5704F">
      <w:pPr>
        <w:pStyle w:val="4"/>
        <w:numPr>
          <w:ilvl w:val="0"/>
          <w:numId w:val="0"/>
        </w:numPr>
        <w:ind w:left="1701"/>
        <w:rPr>
          <w:rFonts w:hAnsi="標楷體"/>
          <w:b/>
          <w:bCs/>
          <w:sz w:val="28"/>
          <w:szCs w:val="28"/>
        </w:rPr>
      </w:pPr>
      <w:r w:rsidRPr="006544C9">
        <w:rPr>
          <w:rFonts w:hAnsi="標楷體" w:hint="eastAsia"/>
          <w:b/>
          <w:bCs/>
          <w:sz w:val="28"/>
          <w:szCs w:val="28"/>
        </w:rPr>
        <w:t>表</w:t>
      </w:r>
      <w:r w:rsidR="00B1597F">
        <w:rPr>
          <w:rFonts w:hAnsi="標楷體" w:hint="eastAsia"/>
          <w:b/>
          <w:bCs/>
          <w:sz w:val="28"/>
          <w:szCs w:val="28"/>
        </w:rPr>
        <w:t>7</w:t>
      </w:r>
      <w:r w:rsidRPr="006544C9">
        <w:rPr>
          <w:rFonts w:hAnsi="標楷體" w:hint="eastAsia"/>
          <w:b/>
          <w:bCs/>
          <w:sz w:val="28"/>
          <w:szCs w:val="28"/>
        </w:rPr>
        <w:t xml:space="preserve">  </w:t>
      </w:r>
      <w:r w:rsidR="00C5704F" w:rsidRPr="006544C9">
        <w:rPr>
          <w:rFonts w:hAnsi="標楷體" w:hint="eastAsia"/>
          <w:b/>
          <w:bCs/>
          <w:sz w:val="28"/>
          <w:szCs w:val="28"/>
        </w:rPr>
        <w:t>加工出口區與科學園區制度比較表</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000" w:firstRow="0" w:lastRow="0" w:firstColumn="0" w:lastColumn="0" w:noHBand="0" w:noVBand="0"/>
      </w:tblPr>
      <w:tblGrid>
        <w:gridCol w:w="1328"/>
        <w:gridCol w:w="4738"/>
        <w:gridCol w:w="4422"/>
      </w:tblGrid>
      <w:tr w:rsidR="00C5704F" w:rsidRPr="00B1597F" w:rsidTr="00F44B03">
        <w:trPr>
          <w:trHeight w:val="20"/>
          <w:tblHeader/>
          <w:jc w:val="center"/>
        </w:trPr>
        <w:tc>
          <w:tcPr>
            <w:tcW w:w="633" w:type="pct"/>
            <w:shd w:val="clear" w:color="auto" w:fill="FFFFFF" w:themeFill="background1"/>
            <w:vAlign w:val="center"/>
          </w:tcPr>
          <w:p w:rsidR="00C5704F" w:rsidRPr="00B1597F" w:rsidRDefault="00C5704F" w:rsidP="00FB121E">
            <w:pPr>
              <w:spacing w:line="280" w:lineRule="exact"/>
              <w:jc w:val="center"/>
              <w:rPr>
                <w:bCs/>
                <w:sz w:val="28"/>
                <w:szCs w:val="28"/>
              </w:rPr>
            </w:pPr>
            <w:r w:rsidRPr="00B1597F">
              <w:rPr>
                <w:bCs/>
                <w:sz w:val="28"/>
                <w:szCs w:val="28"/>
              </w:rPr>
              <w:t>項目</w:t>
            </w:r>
          </w:p>
        </w:tc>
        <w:tc>
          <w:tcPr>
            <w:tcW w:w="2259" w:type="pct"/>
            <w:shd w:val="clear" w:color="auto" w:fill="FFFFFF" w:themeFill="background1"/>
            <w:vAlign w:val="center"/>
          </w:tcPr>
          <w:p w:rsidR="00C5704F" w:rsidRPr="00B1597F" w:rsidRDefault="00C5704F" w:rsidP="00FB121E">
            <w:pPr>
              <w:spacing w:line="280" w:lineRule="exact"/>
              <w:jc w:val="center"/>
              <w:rPr>
                <w:bCs/>
                <w:sz w:val="28"/>
                <w:szCs w:val="28"/>
              </w:rPr>
            </w:pPr>
            <w:r w:rsidRPr="00B1597F">
              <w:rPr>
                <w:bCs/>
                <w:sz w:val="28"/>
                <w:szCs w:val="28"/>
              </w:rPr>
              <w:t>加工出口區</w:t>
            </w:r>
          </w:p>
        </w:tc>
        <w:tc>
          <w:tcPr>
            <w:tcW w:w="2108" w:type="pct"/>
            <w:shd w:val="clear" w:color="auto" w:fill="FFFFFF" w:themeFill="background1"/>
            <w:vAlign w:val="center"/>
          </w:tcPr>
          <w:p w:rsidR="00C5704F" w:rsidRPr="00B1597F" w:rsidRDefault="00C5704F" w:rsidP="00FB121E">
            <w:pPr>
              <w:spacing w:line="280" w:lineRule="exact"/>
              <w:jc w:val="center"/>
              <w:rPr>
                <w:bCs/>
                <w:sz w:val="28"/>
                <w:szCs w:val="28"/>
              </w:rPr>
            </w:pPr>
            <w:r w:rsidRPr="00B1597F">
              <w:rPr>
                <w:bCs/>
                <w:sz w:val="28"/>
                <w:szCs w:val="28"/>
              </w:rPr>
              <w:t>科學園區</w:t>
            </w:r>
          </w:p>
        </w:tc>
      </w:tr>
      <w:tr w:rsidR="00C5704F" w:rsidRPr="00404154" w:rsidTr="00F44B03">
        <w:trPr>
          <w:trHeight w:val="20"/>
          <w:jc w:val="center"/>
        </w:trPr>
        <w:tc>
          <w:tcPr>
            <w:tcW w:w="633" w:type="pct"/>
            <w:shd w:val="clear" w:color="auto" w:fill="FFFFFF" w:themeFill="background1"/>
            <w:vAlign w:val="center"/>
          </w:tcPr>
          <w:p w:rsidR="00C5704F" w:rsidRPr="00404154" w:rsidRDefault="00C5704F" w:rsidP="00FB121E">
            <w:pPr>
              <w:spacing w:line="280" w:lineRule="exact"/>
              <w:jc w:val="center"/>
              <w:rPr>
                <w:sz w:val="28"/>
                <w:szCs w:val="28"/>
              </w:rPr>
            </w:pPr>
            <w:r w:rsidRPr="00404154">
              <w:rPr>
                <w:sz w:val="28"/>
                <w:szCs w:val="28"/>
              </w:rPr>
              <w:t>法源依據</w:t>
            </w:r>
          </w:p>
        </w:tc>
        <w:tc>
          <w:tcPr>
            <w:tcW w:w="2259" w:type="pct"/>
            <w:shd w:val="clear" w:color="auto" w:fill="FFFFFF" w:themeFill="background1"/>
            <w:vAlign w:val="center"/>
          </w:tcPr>
          <w:p w:rsidR="00C5704F" w:rsidRPr="00404154" w:rsidRDefault="00D31B5B" w:rsidP="00FB121E">
            <w:pPr>
              <w:spacing w:line="280" w:lineRule="exact"/>
              <w:rPr>
                <w:sz w:val="28"/>
                <w:szCs w:val="28"/>
              </w:rPr>
            </w:pPr>
            <w:r>
              <w:rPr>
                <w:rFonts w:hint="eastAsia"/>
                <w:sz w:val="28"/>
                <w:szCs w:val="28"/>
              </w:rPr>
              <w:t>「</w:t>
            </w:r>
            <w:r w:rsidR="00C5704F" w:rsidRPr="00404154">
              <w:rPr>
                <w:sz w:val="28"/>
                <w:szCs w:val="28"/>
              </w:rPr>
              <w:t>加工出口區設置管理條例</w:t>
            </w:r>
            <w:r>
              <w:rPr>
                <w:rFonts w:hint="eastAsia"/>
                <w:sz w:val="28"/>
                <w:szCs w:val="28"/>
              </w:rPr>
              <w:t>」</w:t>
            </w:r>
          </w:p>
        </w:tc>
        <w:tc>
          <w:tcPr>
            <w:tcW w:w="2108" w:type="pct"/>
            <w:shd w:val="clear" w:color="auto" w:fill="FFFFFF" w:themeFill="background1"/>
            <w:vAlign w:val="center"/>
          </w:tcPr>
          <w:p w:rsidR="00C5704F" w:rsidRPr="00404154" w:rsidRDefault="00D31B5B" w:rsidP="00FB121E">
            <w:pPr>
              <w:spacing w:line="280" w:lineRule="exact"/>
              <w:rPr>
                <w:sz w:val="28"/>
                <w:szCs w:val="28"/>
              </w:rPr>
            </w:pPr>
            <w:r>
              <w:rPr>
                <w:rFonts w:hint="eastAsia"/>
                <w:sz w:val="28"/>
                <w:szCs w:val="28"/>
              </w:rPr>
              <w:t>「</w:t>
            </w:r>
            <w:r w:rsidR="00C5704F" w:rsidRPr="00404154">
              <w:rPr>
                <w:sz w:val="28"/>
                <w:szCs w:val="28"/>
              </w:rPr>
              <w:t>科學工業園區設置管理條例</w:t>
            </w:r>
            <w:r>
              <w:rPr>
                <w:rFonts w:hint="eastAsia"/>
                <w:sz w:val="28"/>
                <w:szCs w:val="28"/>
              </w:rPr>
              <w:t>」</w:t>
            </w:r>
          </w:p>
        </w:tc>
      </w:tr>
      <w:tr w:rsidR="00C5704F" w:rsidRPr="00404154" w:rsidTr="00F44B03">
        <w:trPr>
          <w:trHeight w:val="20"/>
          <w:jc w:val="center"/>
        </w:trPr>
        <w:tc>
          <w:tcPr>
            <w:tcW w:w="633" w:type="pct"/>
            <w:shd w:val="clear" w:color="auto" w:fill="FFFFFF" w:themeFill="background1"/>
            <w:vAlign w:val="center"/>
          </w:tcPr>
          <w:p w:rsidR="00C5704F" w:rsidRPr="00404154" w:rsidRDefault="00C5704F" w:rsidP="00FB121E">
            <w:pPr>
              <w:spacing w:line="280" w:lineRule="exact"/>
              <w:jc w:val="center"/>
              <w:rPr>
                <w:sz w:val="28"/>
                <w:szCs w:val="28"/>
              </w:rPr>
            </w:pPr>
            <w:r w:rsidRPr="00404154">
              <w:rPr>
                <w:sz w:val="28"/>
                <w:szCs w:val="28"/>
              </w:rPr>
              <w:t>設置目標</w:t>
            </w:r>
          </w:p>
        </w:tc>
        <w:tc>
          <w:tcPr>
            <w:tcW w:w="2259" w:type="pct"/>
            <w:shd w:val="clear" w:color="auto" w:fill="FFFFFF" w:themeFill="background1"/>
            <w:vAlign w:val="center"/>
          </w:tcPr>
          <w:p w:rsidR="00C5704F" w:rsidRPr="00404154" w:rsidRDefault="00C5704F" w:rsidP="00FB121E">
            <w:pPr>
              <w:spacing w:line="280" w:lineRule="exact"/>
              <w:rPr>
                <w:sz w:val="28"/>
                <w:szCs w:val="28"/>
              </w:rPr>
            </w:pPr>
            <w:r w:rsidRPr="00404154">
              <w:rPr>
                <w:sz w:val="28"/>
                <w:szCs w:val="28"/>
              </w:rPr>
              <w:t>促進投資及國際貿易</w:t>
            </w:r>
          </w:p>
        </w:tc>
        <w:tc>
          <w:tcPr>
            <w:tcW w:w="2108" w:type="pct"/>
            <w:shd w:val="clear" w:color="auto" w:fill="FFFFFF" w:themeFill="background1"/>
            <w:vAlign w:val="center"/>
          </w:tcPr>
          <w:p w:rsidR="00C5704F" w:rsidRPr="00404154" w:rsidRDefault="00C5704F" w:rsidP="00FB121E">
            <w:pPr>
              <w:spacing w:line="280" w:lineRule="exact"/>
              <w:rPr>
                <w:sz w:val="28"/>
                <w:szCs w:val="28"/>
              </w:rPr>
            </w:pPr>
            <w:r w:rsidRPr="00404154">
              <w:rPr>
                <w:sz w:val="28"/>
                <w:szCs w:val="28"/>
              </w:rPr>
              <w:t>為引進高級技術工業及科技人才，以激勵國內工業技術之研究創新，並促進高級技術工業之發展</w:t>
            </w:r>
          </w:p>
        </w:tc>
      </w:tr>
      <w:tr w:rsidR="00C5704F" w:rsidRPr="00404154" w:rsidTr="00F44B03">
        <w:trPr>
          <w:trHeight w:val="20"/>
          <w:jc w:val="center"/>
        </w:trPr>
        <w:tc>
          <w:tcPr>
            <w:tcW w:w="633" w:type="pct"/>
            <w:shd w:val="clear" w:color="auto" w:fill="FFFFFF" w:themeFill="background1"/>
            <w:vAlign w:val="center"/>
          </w:tcPr>
          <w:p w:rsidR="00C5704F" w:rsidRPr="00404154" w:rsidRDefault="00C5704F" w:rsidP="00FB121E">
            <w:pPr>
              <w:spacing w:line="280" w:lineRule="exact"/>
              <w:jc w:val="center"/>
              <w:rPr>
                <w:sz w:val="28"/>
                <w:szCs w:val="28"/>
              </w:rPr>
            </w:pPr>
            <w:r w:rsidRPr="00404154">
              <w:rPr>
                <w:sz w:val="28"/>
                <w:szCs w:val="28"/>
              </w:rPr>
              <w:t>主管機關</w:t>
            </w:r>
          </w:p>
        </w:tc>
        <w:tc>
          <w:tcPr>
            <w:tcW w:w="2259" w:type="pct"/>
            <w:shd w:val="clear" w:color="auto" w:fill="FFFFFF" w:themeFill="background1"/>
            <w:vAlign w:val="center"/>
          </w:tcPr>
          <w:p w:rsidR="00C5704F" w:rsidRPr="00404154" w:rsidRDefault="00C5704F" w:rsidP="00FB121E">
            <w:pPr>
              <w:spacing w:line="280" w:lineRule="exact"/>
              <w:rPr>
                <w:sz w:val="28"/>
                <w:szCs w:val="28"/>
              </w:rPr>
            </w:pPr>
            <w:r w:rsidRPr="00404154">
              <w:rPr>
                <w:sz w:val="28"/>
                <w:szCs w:val="28"/>
              </w:rPr>
              <w:t>經濟部加工出口區管理處</w:t>
            </w:r>
          </w:p>
        </w:tc>
        <w:tc>
          <w:tcPr>
            <w:tcW w:w="2108" w:type="pct"/>
            <w:shd w:val="clear" w:color="auto" w:fill="FFFFFF" w:themeFill="background1"/>
            <w:vAlign w:val="center"/>
          </w:tcPr>
          <w:p w:rsidR="00C5704F" w:rsidRPr="00404154" w:rsidRDefault="00C5704F" w:rsidP="00FB121E">
            <w:pPr>
              <w:spacing w:line="280" w:lineRule="exact"/>
              <w:rPr>
                <w:sz w:val="28"/>
                <w:szCs w:val="28"/>
              </w:rPr>
            </w:pPr>
            <w:r w:rsidRPr="00404154">
              <w:rPr>
                <w:sz w:val="28"/>
                <w:szCs w:val="28"/>
              </w:rPr>
              <w:t>科技部科學工業園區管理局</w:t>
            </w:r>
          </w:p>
        </w:tc>
      </w:tr>
      <w:tr w:rsidR="00C5704F" w:rsidRPr="00404154" w:rsidTr="00F44B03">
        <w:trPr>
          <w:trHeight w:val="20"/>
          <w:jc w:val="center"/>
        </w:trPr>
        <w:tc>
          <w:tcPr>
            <w:tcW w:w="633" w:type="pct"/>
            <w:shd w:val="clear" w:color="auto" w:fill="FFFFFF" w:themeFill="background1"/>
            <w:vAlign w:val="center"/>
          </w:tcPr>
          <w:p w:rsidR="00C5704F" w:rsidRPr="00404154" w:rsidRDefault="00C5704F" w:rsidP="00FB121E">
            <w:pPr>
              <w:spacing w:line="280" w:lineRule="exact"/>
              <w:jc w:val="center"/>
              <w:rPr>
                <w:sz w:val="28"/>
                <w:szCs w:val="28"/>
              </w:rPr>
            </w:pPr>
            <w:r w:rsidRPr="00404154">
              <w:rPr>
                <w:sz w:val="28"/>
                <w:szCs w:val="28"/>
              </w:rPr>
              <w:t>園區服務</w:t>
            </w:r>
          </w:p>
        </w:tc>
        <w:tc>
          <w:tcPr>
            <w:tcW w:w="2259" w:type="pct"/>
            <w:shd w:val="clear" w:color="auto" w:fill="FFFFFF" w:themeFill="background1"/>
            <w:vAlign w:val="center"/>
          </w:tcPr>
          <w:p w:rsidR="00C5704F" w:rsidRPr="00404154" w:rsidRDefault="00C5704F" w:rsidP="00FB121E">
            <w:pPr>
              <w:spacing w:line="280" w:lineRule="exact"/>
              <w:rPr>
                <w:sz w:val="28"/>
                <w:szCs w:val="28"/>
              </w:rPr>
            </w:pPr>
            <w:r w:rsidRPr="00404154">
              <w:rPr>
                <w:sz w:val="28"/>
                <w:szCs w:val="28"/>
              </w:rPr>
              <w:t>採單一窗口服務，由投資申請、審查、公司登記到廠房建築及開工許可等之核發皆由加工出口區管理處統籌辦理</w:t>
            </w:r>
          </w:p>
        </w:tc>
        <w:tc>
          <w:tcPr>
            <w:tcW w:w="2108" w:type="pct"/>
            <w:shd w:val="clear" w:color="auto" w:fill="FFFFFF" w:themeFill="background1"/>
            <w:vAlign w:val="center"/>
          </w:tcPr>
          <w:p w:rsidR="00C5704F" w:rsidRPr="00404154" w:rsidRDefault="00C5704F" w:rsidP="00FB121E">
            <w:pPr>
              <w:spacing w:line="280" w:lineRule="exact"/>
              <w:rPr>
                <w:sz w:val="28"/>
                <w:szCs w:val="28"/>
              </w:rPr>
            </w:pPr>
            <w:r>
              <w:rPr>
                <w:rFonts w:hint="eastAsia"/>
                <w:sz w:val="28"/>
                <w:szCs w:val="28"/>
              </w:rPr>
              <w:t>(</w:t>
            </w:r>
            <w:r w:rsidRPr="00404154">
              <w:rPr>
                <w:sz w:val="28"/>
                <w:szCs w:val="28"/>
              </w:rPr>
              <w:t>同左，由科學工業園區管理局統籌辦理</w:t>
            </w:r>
            <w:r>
              <w:rPr>
                <w:rFonts w:hint="eastAsia"/>
                <w:sz w:val="28"/>
                <w:szCs w:val="28"/>
              </w:rPr>
              <w:t>)</w:t>
            </w:r>
          </w:p>
        </w:tc>
      </w:tr>
      <w:tr w:rsidR="00C5704F" w:rsidRPr="00404154" w:rsidTr="00F44B03">
        <w:trPr>
          <w:trHeight w:val="20"/>
          <w:jc w:val="center"/>
        </w:trPr>
        <w:tc>
          <w:tcPr>
            <w:tcW w:w="633" w:type="pct"/>
            <w:shd w:val="clear" w:color="auto" w:fill="FFFFFF" w:themeFill="background1"/>
            <w:vAlign w:val="center"/>
          </w:tcPr>
          <w:p w:rsidR="00C5704F" w:rsidRPr="00404154" w:rsidRDefault="00C5704F" w:rsidP="00FB121E">
            <w:pPr>
              <w:spacing w:line="280" w:lineRule="exact"/>
              <w:jc w:val="center"/>
              <w:rPr>
                <w:sz w:val="28"/>
                <w:szCs w:val="28"/>
              </w:rPr>
            </w:pPr>
            <w:r w:rsidRPr="00404154">
              <w:rPr>
                <w:sz w:val="28"/>
                <w:szCs w:val="28"/>
              </w:rPr>
              <w:t>稅區別</w:t>
            </w:r>
          </w:p>
        </w:tc>
        <w:tc>
          <w:tcPr>
            <w:tcW w:w="2259" w:type="pct"/>
            <w:shd w:val="clear" w:color="auto" w:fill="FFFFFF" w:themeFill="background1"/>
            <w:vAlign w:val="center"/>
          </w:tcPr>
          <w:p w:rsidR="00C5704F" w:rsidRPr="00404154" w:rsidRDefault="00C5704F" w:rsidP="00FB121E">
            <w:pPr>
              <w:spacing w:line="280" w:lineRule="exact"/>
              <w:rPr>
                <w:sz w:val="28"/>
                <w:szCs w:val="28"/>
              </w:rPr>
            </w:pPr>
            <w:r w:rsidRPr="00404154">
              <w:rPr>
                <w:sz w:val="28"/>
                <w:szCs w:val="28"/>
              </w:rPr>
              <w:t>保稅區</w:t>
            </w:r>
          </w:p>
        </w:tc>
        <w:tc>
          <w:tcPr>
            <w:tcW w:w="2108" w:type="pct"/>
            <w:shd w:val="clear" w:color="auto" w:fill="FFFFFF" w:themeFill="background1"/>
            <w:vAlign w:val="center"/>
          </w:tcPr>
          <w:p w:rsidR="00C5704F" w:rsidRPr="00404154" w:rsidRDefault="00C5704F" w:rsidP="00FB121E">
            <w:pPr>
              <w:spacing w:line="280" w:lineRule="exact"/>
              <w:rPr>
                <w:sz w:val="28"/>
                <w:szCs w:val="28"/>
              </w:rPr>
            </w:pPr>
            <w:r>
              <w:rPr>
                <w:rFonts w:hint="eastAsia"/>
                <w:sz w:val="28"/>
                <w:szCs w:val="28"/>
              </w:rPr>
              <w:t>(</w:t>
            </w:r>
            <w:r>
              <w:rPr>
                <w:sz w:val="28"/>
                <w:szCs w:val="28"/>
              </w:rPr>
              <w:t>同左</w:t>
            </w:r>
            <w:r>
              <w:rPr>
                <w:rFonts w:hint="eastAsia"/>
                <w:sz w:val="28"/>
                <w:szCs w:val="28"/>
              </w:rPr>
              <w:t>)</w:t>
            </w:r>
          </w:p>
        </w:tc>
      </w:tr>
      <w:tr w:rsidR="00C5704F" w:rsidRPr="00404154" w:rsidTr="00F44B03">
        <w:trPr>
          <w:trHeight w:val="20"/>
          <w:jc w:val="center"/>
        </w:trPr>
        <w:tc>
          <w:tcPr>
            <w:tcW w:w="633" w:type="pct"/>
            <w:shd w:val="clear" w:color="auto" w:fill="FFFFFF" w:themeFill="background1"/>
            <w:vAlign w:val="center"/>
          </w:tcPr>
          <w:p w:rsidR="00C5704F" w:rsidRPr="00404154" w:rsidRDefault="00C5704F" w:rsidP="00FB121E">
            <w:pPr>
              <w:spacing w:line="280" w:lineRule="exact"/>
              <w:jc w:val="center"/>
              <w:rPr>
                <w:sz w:val="28"/>
                <w:szCs w:val="28"/>
              </w:rPr>
            </w:pPr>
            <w:r w:rsidRPr="00404154">
              <w:rPr>
                <w:sz w:val="28"/>
                <w:szCs w:val="28"/>
              </w:rPr>
              <w:t>土地使用</w:t>
            </w:r>
          </w:p>
        </w:tc>
        <w:tc>
          <w:tcPr>
            <w:tcW w:w="2259" w:type="pct"/>
            <w:shd w:val="clear" w:color="auto" w:fill="FFFFFF" w:themeFill="background1"/>
            <w:vAlign w:val="center"/>
          </w:tcPr>
          <w:p w:rsidR="00C5704F" w:rsidRPr="00404154" w:rsidRDefault="00C5704F" w:rsidP="00FB121E">
            <w:pPr>
              <w:spacing w:line="280" w:lineRule="exact"/>
              <w:ind w:left="210" w:hangingChars="70" w:hanging="210"/>
              <w:rPr>
                <w:sz w:val="28"/>
                <w:szCs w:val="28"/>
              </w:rPr>
            </w:pPr>
            <w:r w:rsidRPr="00404154">
              <w:rPr>
                <w:sz w:val="28"/>
                <w:szCs w:val="28"/>
              </w:rPr>
              <w:t>只租不售</w:t>
            </w:r>
          </w:p>
        </w:tc>
        <w:tc>
          <w:tcPr>
            <w:tcW w:w="2108" w:type="pct"/>
            <w:shd w:val="clear" w:color="auto" w:fill="FFFFFF" w:themeFill="background1"/>
            <w:vAlign w:val="center"/>
          </w:tcPr>
          <w:p w:rsidR="00C5704F" w:rsidRPr="00404154" w:rsidRDefault="00C5704F" w:rsidP="00FB121E">
            <w:pPr>
              <w:spacing w:line="280" w:lineRule="exact"/>
              <w:rPr>
                <w:sz w:val="28"/>
                <w:szCs w:val="28"/>
              </w:rPr>
            </w:pPr>
            <w:r>
              <w:rPr>
                <w:rFonts w:hint="eastAsia"/>
                <w:sz w:val="28"/>
                <w:szCs w:val="28"/>
              </w:rPr>
              <w:t>(</w:t>
            </w:r>
            <w:r>
              <w:rPr>
                <w:sz w:val="28"/>
                <w:szCs w:val="28"/>
              </w:rPr>
              <w:t>同左</w:t>
            </w:r>
            <w:r>
              <w:rPr>
                <w:rFonts w:hint="eastAsia"/>
                <w:sz w:val="28"/>
                <w:szCs w:val="28"/>
              </w:rPr>
              <w:t>)</w:t>
            </w:r>
          </w:p>
        </w:tc>
      </w:tr>
      <w:tr w:rsidR="00C5704F" w:rsidRPr="00404154" w:rsidTr="00F44B03">
        <w:trPr>
          <w:trHeight w:val="20"/>
          <w:jc w:val="center"/>
        </w:trPr>
        <w:tc>
          <w:tcPr>
            <w:tcW w:w="633" w:type="pct"/>
            <w:shd w:val="clear" w:color="auto" w:fill="FFFFFF" w:themeFill="background1"/>
            <w:vAlign w:val="center"/>
          </w:tcPr>
          <w:p w:rsidR="00C5704F" w:rsidRPr="00404154" w:rsidRDefault="00C5704F" w:rsidP="00FB121E">
            <w:pPr>
              <w:spacing w:line="280" w:lineRule="exact"/>
              <w:jc w:val="center"/>
              <w:rPr>
                <w:sz w:val="28"/>
                <w:szCs w:val="28"/>
              </w:rPr>
            </w:pPr>
            <w:r w:rsidRPr="00404154">
              <w:rPr>
                <w:sz w:val="28"/>
                <w:szCs w:val="28"/>
              </w:rPr>
              <w:t>租稅優惠措施</w:t>
            </w:r>
          </w:p>
        </w:tc>
        <w:tc>
          <w:tcPr>
            <w:tcW w:w="2259" w:type="pct"/>
            <w:shd w:val="clear" w:color="auto" w:fill="FFFFFF" w:themeFill="background1"/>
          </w:tcPr>
          <w:p w:rsidR="00C5704F" w:rsidRPr="00404154" w:rsidRDefault="00C5704F" w:rsidP="00FB121E">
            <w:pPr>
              <w:numPr>
                <w:ilvl w:val="0"/>
                <w:numId w:val="16"/>
              </w:numPr>
              <w:overflowPunct/>
              <w:autoSpaceDE/>
              <w:autoSpaceDN/>
              <w:snapToGrid w:val="0"/>
              <w:spacing w:line="280" w:lineRule="exact"/>
              <w:rPr>
                <w:sz w:val="28"/>
                <w:szCs w:val="28"/>
              </w:rPr>
            </w:pPr>
            <w:r w:rsidRPr="00404154">
              <w:rPr>
                <w:sz w:val="28"/>
                <w:szCs w:val="28"/>
              </w:rPr>
              <w:t>區內事業免徵下列各款之稅捐：</w:t>
            </w:r>
          </w:p>
          <w:p w:rsidR="00C5704F" w:rsidRPr="00404154" w:rsidRDefault="00C5704F" w:rsidP="00FB121E">
            <w:pPr>
              <w:numPr>
                <w:ilvl w:val="1"/>
                <w:numId w:val="16"/>
              </w:numPr>
              <w:overflowPunct/>
              <w:autoSpaceDE/>
              <w:autoSpaceDN/>
              <w:snapToGrid w:val="0"/>
              <w:spacing w:line="280" w:lineRule="exact"/>
              <w:ind w:left="512"/>
              <w:rPr>
                <w:sz w:val="28"/>
                <w:szCs w:val="28"/>
              </w:rPr>
            </w:pPr>
            <w:r w:rsidRPr="00404154">
              <w:rPr>
                <w:sz w:val="28"/>
                <w:szCs w:val="28"/>
              </w:rPr>
              <w:t>區內事業進口機器設備、原料、燃料、物料、半製品、樣品、實驗用動植物及供貿易、倉儲轉運用貨品免徵進口稅捐、貨物稅、營業稅。</w:t>
            </w:r>
          </w:p>
          <w:p w:rsidR="00C5704F" w:rsidRPr="00404154" w:rsidRDefault="00C5704F" w:rsidP="00FB121E">
            <w:pPr>
              <w:numPr>
                <w:ilvl w:val="1"/>
                <w:numId w:val="16"/>
              </w:numPr>
              <w:overflowPunct/>
              <w:autoSpaceDE/>
              <w:autoSpaceDN/>
              <w:snapToGrid w:val="0"/>
              <w:spacing w:line="280" w:lineRule="exact"/>
              <w:ind w:left="512"/>
              <w:rPr>
                <w:sz w:val="28"/>
                <w:szCs w:val="28"/>
              </w:rPr>
            </w:pPr>
            <w:r w:rsidRPr="00404154">
              <w:rPr>
                <w:sz w:val="28"/>
                <w:szCs w:val="28"/>
              </w:rPr>
              <w:t>取得加工出口區內新建之標準廠房或自管理處依法取得建築物之契稅。</w:t>
            </w:r>
          </w:p>
          <w:p w:rsidR="00C5704F" w:rsidRPr="00404154" w:rsidRDefault="00C5704F" w:rsidP="00FB121E">
            <w:pPr>
              <w:numPr>
                <w:ilvl w:val="0"/>
                <w:numId w:val="16"/>
              </w:numPr>
              <w:overflowPunct/>
              <w:autoSpaceDE/>
              <w:autoSpaceDN/>
              <w:snapToGrid w:val="0"/>
              <w:spacing w:line="280" w:lineRule="exact"/>
              <w:rPr>
                <w:sz w:val="28"/>
                <w:szCs w:val="28"/>
              </w:rPr>
            </w:pPr>
            <w:r w:rsidRPr="00404154">
              <w:rPr>
                <w:sz w:val="28"/>
                <w:szCs w:val="28"/>
              </w:rPr>
              <w:t>區內事業從事轉運業務者，得按其轉運業務收入之百分之十為營利事業所得額，課徵營利事業所</w:t>
            </w:r>
            <w:r w:rsidRPr="00404154">
              <w:rPr>
                <w:sz w:val="28"/>
                <w:szCs w:val="28"/>
              </w:rPr>
              <w:lastRenderedPageBreak/>
              <w:t>得稅。</w:t>
            </w:r>
          </w:p>
        </w:tc>
        <w:tc>
          <w:tcPr>
            <w:tcW w:w="2108" w:type="pct"/>
            <w:shd w:val="clear" w:color="auto" w:fill="FFFFFF" w:themeFill="background1"/>
            <w:vAlign w:val="center"/>
          </w:tcPr>
          <w:p w:rsidR="00C5704F" w:rsidRPr="00404154" w:rsidRDefault="00C5704F" w:rsidP="00FB121E">
            <w:pPr>
              <w:spacing w:line="280" w:lineRule="exact"/>
              <w:rPr>
                <w:sz w:val="28"/>
                <w:szCs w:val="28"/>
              </w:rPr>
            </w:pPr>
            <w:r>
              <w:rPr>
                <w:rFonts w:hint="eastAsia"/>
                <w:sz w:val="28"/>
                <w:szCs w:val="28"/>
              </w:rPr>
              <w:lastRenderedPageBreak/>
              <w:t>(</w:t>
            </w:r>
            <w:r>
              <w:rPr>
                <w:sz w:val="28"/>
                <w:szCs w:val="28"/>
              </w:rPr>
              <w:t>同左</w:t>
            </w:r>
            <w:r>
              <w:rPr>
                <w:rFonts w:hint="eastAsia"/>
                <w:sz w:val="28"/>
                <w:szCs w:val="28"/>
              </w:rPr>
              <w:t>)</w:t>
            </w:r>
          </w:p>
        </w:tc>
      </w:tr>
      <w:tr w:rsidR="00C5704F" w:rsidRPr="00404154" w:rsidTr="00F44B03">
        <w:trPr>
          <w:trHeight w:val="20"/>
          <w:jc w:val="center"/>
        </w:trPr>
        <w:tc>
          <w:tcPr>
            <w:tcW w:w="633" w:type="pct"/>
            <w:shd w:val="clear" w:color="auto" w:fill="FFFFFF" w:themeFill="background1"/>
            <w:vAlign w:val="center"/>
          </w:tcPr>
          <w:p w:rsidR="00C5704F" w:rsidRPr="00404154" w:rsidRDefault="00C5704F" w:rsidP="00FB121E">
            <w:pPr>
              <w:spacing w:line="280" w:lineRule="exact"/>
              <w:jc w:val="center"/>
              <w:rPr>
                <w:sz w:val="28"/>
                <w:szCs w:val="28"/>
              </w:rPr>
            </w:pPr>
            <w:r w:rsidRPr="00404154">
              <w:rPr>
                <w:sz w:val="28"/>
                <w:szCs w:val="28"/>
              </w:rPr>
              <w:t>貨品管理作業</w:t>
            </w:r>
          </w:p>
        </w:tc>
        <w:tc>
          <w:tcPr>
            <w:tcW w:w="2259" w:type="pct"/>
            <w:shd w:val="clear" w:color="auto" w:fill="FFFFFF" w:themeFill="background1"/>
            <w:vAlign w:val="center"/>
          </w:tcPr>
          <w:p w:rsidR="00C5704F" w:rsidRPr="00404154" w:rsidRDefault="00C5704F" w:rsidP="00FB121E">
            <w:pPr>
              <w:numPr>
                <w:ilvl w:val="0"/>
                <w:numId w:val="17"/>
              </w:numPr>
              <w:overflowPunct/>
              <w:autoSpaceDE/>
              <w:autoSpaceDN/>
              <w:snapToGrid w:val="0"/>
              <w:spacing w:line="280" w:lineRule="exact"/>
              <w:rPr>
                <w:sz w:val="28"/>
                <w:szCs w:val="28"/>
              </w:rPr>
            </w:pPr>
            <w:r w:rsidRPr="00404154">
              <w:rPr>
                <w:sz w:val="28"/>
                <w:szCs w:val="28"/>
              </w:rPr>
              <w:t>帳冊式自主管理，通關自動化，輸往課稅區採「按月彙報」。</w:t>
            </w:r>
          </w:p>
          <w:p w:rsidR="00C5704F" w:rsidRPr="00404154" w:rsidRDefault="00C5704F" w:rsidP="00FB121E">
            <w:pPr>
              <w:numPr>
                <w:ilvl w:val="0"/>
                <w:numId w:val="17"/>
              </w:numPr>
              <w:overflowPunct/>
              <w:autoSpaceDE/>
              <w:autoSpaceDN/>
              <w:snapToGrid w:val="0"/>
              <w:spacing w:line="280" w:lineRule="exact"/>
              <w:rPr>
                <w:sz w:val="28"/>
                <w:szCs w:val="28"/>
              </w:rPr>
            </w:pPr>
            <w:r w:rsidRPr="00404154">
              <w:rPr>
                <w:sz w:val="28"/>
                <w:szCs w:val="28"/>
              </w:rPr>
              <w:t>區內事業得輸入經濟部未公告准許輸入之大陸地區原物料、零組件，加工或重整後全數外銷，可達成兩岸生產線垂直整合效益及節省廠商成本。</w:t>
            </w:r>
          </w:p>
        </w:tc>
        <w:tc>
          <w:tcPr>
            <w:tcW w:w="2108" w:type="pct"/>
            <w:shd w:val="clear" w:color="auto" w:fill="FFFFFF" w:themeFill="background1"/>
            <w:vAlign w:val="center"/>
          </w:tcPr>
          <w:p w:rsidR="00C5704F" w:rsidRPr="00404154" w:rsidRDefault="00C5704F" w:rsidP="00FB121E">
            <w:pPr>
              <w:snapToGrid w:val="0"/>
              <w:spacing w:line="280" w:lineRule="exact"/>
              <w:rPr>
                <w:sz w:val="28"/>
                <w:szCs w:val="28"/>
              </w:rPr>
            </w:pPr>
            <w:r>
              <w:rPr>
                <w:rFonts w:hint="eastAsia"/>
                <w:sz w:val="28"/>
                <w:szCs w:val="28"/>
              </w:rPr>
              <w:t>(</w:t>
            </w:r>
            <w:r>
              <w:rPr>
                <w:sz w:val="28"/>
                <w:szCs w:val="28"/>
              </w:rPr>
              <w:t>同左</w:t>
            </w:r>
            <w:r>
              <w:rPr>
                <w:rFonts w:hint="eastAsia"/>
                <w:sz w:val="28"/>
                <w:szCs w:val="28"/>
              </w:rPr>
              <w:t>)</w:t>
            </w:r>
          </w:p>
        </w:tc>
      </w:tr>
    </w:tbl>
    <w:p w:rsidR="00DD57F1" w:rsidRDefault="00DD57F1" w:rsidP="00DD57F1">
      <w:pPr>
        <w:pStyle w:val="3"/>
        <w:numPr>
          <w:ilvl w:val="0"/>
          <w:numId w:val="0"/>
        </w:numPr>
        <w:ind w:leftChars="-209" w:left="-170" w:hangingChars="208" w:hanging="541"/>
        <w:rPr>
          <w:sz w:val="24"/>
          <w:szCs w:val="24"/>
        </w:rPr>
      </w:pPr>
      <w:r w:rsidRPr="00DD57F1">
        <w:rPr>
          <w:rFonts w:hint="eastAsia"/>
          <w:sz w:val="24"/>
          <w:szCs w:val="24"/>
        </w:rPr>
        <w:t>資料來源：經濟部。</w:t>
      </w:r>
    </w:p>
    <w:p w:rsidR="00193446" w:rsidRPr="00DD57F1" w:rsidRDefault="00193446" w:rsidP="00DD57F1">
      <w:pPr>
        <w:pStyle w:val="3"/>
        <w:numPr>
          <w:ilvl w:val="0"/>
          <w:numId w:val="0"/>
        </w:numPr>
        <w:ind w:leftChars="-209" w:left="-170" w:hangingChars="208" w:hanging="541"/>
        <w:rPr>
          <w:sz w:val="24"/>
          <w:szCs w:val="24"/>
        </w:rPr>
      </w:pPr>
    </w:p>
    <w:p w:rsidR="00A76CE2" w:rsidRDefault="00C5704F" w:rsidP="00A76CE2">
      <w:pPr>
        <w:pStyle w:val="3"/>
        <w:rPr>
          <w:szCs w:val="32"/>
        </w:rPr>
      </w:pPr>
      <w:r>
        <w:rPr>
          <w:rFonts w:hint="eastAsia"/>
        </w:rPr>
        <w:t>綜上，</w:t>
      </w:r>
      <w:r w:rsidR="00A71AC1" w:rsidRPr="00A71AC1">
        <w:rPr>
          <w:rFonts w:hint="eastAsia"/>
          <w:szCs w:val="32"/>
        </w:rPr>
        <w:t>我國設立加工出口區已歷半世紀，確有達成吸引外資、帶動就業、引進技術及創造外匯等四大設立目標。然現有加工出口區配合我國產業發展，推動升級轉型後，區內主要產業群聚與科學園區相近。復鑑於近年來，加工出口區之總產值有成長停滯情形，且加工出口區與科學園區之設置法源與主管機關雖有異，惟營運管理方式幾近相同，</w:t>
      </w:r>
      <w:r w:rsidR="00A71AC1">
        <w:rPr>
          <w:rFonts w:hint="eastAsia"/>
          <w:szCs w:val="32"/>
        </w:rPr>
        <w:t>政府</w:t>
      </w:r>
      <w:r w:rsidR="00A71AC1" w:rsidRPr="00A71AC1">
        <w:rPr>
          <w:rFonts w:hint="eastAsia"/>
          <w:szCs w:val="32"/>
        </w:rPr>
        <w:t>似宜考量是否有加以整合之必要，以統合國家資源、管理事權及發展目標，從而提升我國產業之整體競爭力</w:t>
      </w:r>
      <w:r w:rsidR="00A76CE2" w:rsidRPr="00A76CE2">
        <w:rPr>
          <w:rFonts w:hint="eastAsia"/>
          <w:szCs w:val="32"/>
        </w:rPr>
        <w:t>。</w:t>
      </w:r>
    </w:p>
    <w:p w:rsidR="00193446" w:rsidRPr="00A76CE2" w:rsidRDefault="00193446" w:rsidP="00193446">
      <w:pPr>
        <w:pStyle w:val="3"/>
        <w:numPr>
          <w:ilvl w:val="0"/>
          <w:numId w:val="0"/>
        </w:numPr>
        <w:ind w:left="1361"/>
        <w:rPr>
          <w:szCs w:val="32"/>
        </w:rPr>
      </w:pPr>
    </w:p>
    <w:p w:rsidR="00C90C69" w:rsidRPr="00D1173F" w:rsidRDefault="0030798A" w:rsidP="00A76CE2">
      <w:pPr>
        <w:pStyle w:val="2"/>
        <w:rPr>
          <w:rFonts w:hAnsi="標楷體"/>
          <w:b/>
          <w:szCs w:val="32"/>
        </w:rPr>
      </w:pPr>
      <w:r w:rsidRPr="00D1173F">
        <w:rPr>
          <w:rFonts w:hAnsi="標楷體" w:hint="eastAsia"/>
          <w:b/>
          <w:szCs w:val="32"/>
        </w:rPr>
        <w:t>經濟部</w:t>
      </w:r>
      <w:r w:rsidR="0078674B" w:rsidRPr="00D1173F">
        <w:rPr>
          <w:rFonts w:hAnsi="標楷體" w:hint="eastAsia"/>
          <w:b/>
          <w:szCs w:val="32"/>
        </w:rPr>
        <w:t>為解決所屬</w:t>
      </w:r>
      <w:r w:rsidR="00C2167B" w:rsidRPr="00D1173F">
        <w:rPr>
          <w:rFonts w:hint="eastAsia"/>
          <w:b/>
        </w:rPr>
        <w:t>「能源研究發展基金</w:t>
      </w:r>
      <w:r w:rsidR="00675DBF">
        <w:rPr>
          <w:rFonts w:hint="eastAsia"/>
          <w:b/>
        </w:rPr>
        <w:t>」</w:t>
      </w:r>
      <w:r w:rsidR="00C2167B" w:rsidRPr="00D1173F">
        <w:rPr>
          <w:rFonts w:hint="eastAsia"/>
          <w:b/>
        </w:rPr>
        <w:t>、「石油基金」</w:t>
      </w:r>
      <w:r w:rsidR="006311C3" w:rsidRPr="00D1173F">
        <w:rPr>
          <w:rFonts w:hint="eastAsia"/>
          <w:b/>
        </w:rPr>
        <w:t>及</w:t>
      </w:r>
      <w:r w:rsidR="00C2167B" w:rsidRPr="00D1173F">
        <w:rPr>
          <w:rFonts w:hint="eastAsia"/>
          <w:b/>
        </w:rPr>
        <w:t>「再生能源發展基金」等</w:t>
      </w:r>
      <w:r w:rsidR="0078674B" w:rsidRPr="00D1173F">
        <w:rPr>
          <w:rFonts w:hAnsi="標楷體" w:hint="eastAsia"/>
          <w:b/>
          <w:szCs w:val="32"/>
        </w:rPr>
        <w:t>能源三基金</w:t>
      </w:r>
      <w:r w:rsidR="006311C3" w:rsidRPr="00D1173F">
        <w:rPr>
          <w:rFonts w:hAnsi="標楷體" w:hint="eastAsia"/>
          <w:b/>
          <w:szCs w:val="32"/>
        </w:rPr>
        <w:t>所涉</w:t>
      </w:r>
      <w:r w:rsidR="006311C3" w:rsidRPr="00D1173F">
        <w:rPr>
          <w:rFonts w:hAnsi="標楷體" w:hint="eastAsia"/>
          <w:b/>
          <w:color w:val="000000"/>
          <w:szCs w:val="32"/>
        </w:rPr>
        <w:t>法定用途重疊問題</w:t>
      </w:r>
      <w:r w:rsidR="00444004" w:rsidRPr="00D1173F">
        <w:rPr>
          <w:rFonts w:hAnsi="標楷體" w:hint="eastAsia"/>
          <w:b/>
          <w:color w:val="000000"/>
          <w:szCs w:val="32"/>
        </w:rPr>
        <w:t>，</w:t>
      </w:r>
      <w:r w:rsidRPr="00D1173F">
        <w:rPr>
          <w:rFonts w:hAnsi="標楷體"/>
          <w:b/>
          <w:color w:val="000000"/>
          <w:szCs w:val="32"/>
        </w:rPr>
        <w:t>業於104年12月17日訂定</w:t>
      </w:r>
      <w:r w:rsidR="00F67C23" w:rsidRPr="00D1173F">
        <w:rPr>
          <w:rFonts w:hint="eastAsia"/>
          <w:b/>
        </w:rPr>
        <w:t>「能源研究發展基金石油基金及再生能源發展基金業務劃分作業要點」</w:t>
      </w:r>
      <w:r w:rsidRPr="00D1173F">
        <w:rPr>
          <w:rFonts w:hAnsi="標楷體"/>
          <w:b/>
          <w:color w:val="000000"/>
          <w:szCs w:val="32"/>
        </w:rPr>
        <w:t>，作為能源三基金預算支用依據</w:t>
      </w:r>
      <w:r w:rsidRPr="00D1173F">
        <w:rPr>
          <w:rFonts w:hAnsi="標楷體" w:hint="eastAsia"/>
          <w:b/>
          <w:color w:val="000000"/>
          <w:szCs w:val="32"/>
        </w:rPr>
        <w:t>，以</w:t>
      </w:r>
      <w:r w:rsidRPr="00D1173F">
        <w:rPr>
          <w:rFonts w:hAnsi="標楷體"/>
          <w:b/>
          <w:color w:val="000000"/>
          <w:szCs w:val="32"/>
        </w:rPr>
        <w:t>避免</w:t>
      </w:r>
      <w:r w:rsidR="00444004" w:rsidRPr="00D1173F">
        <w:rPr>
          <w:rFonts w:hAnsi="標楷體" w:hint="eastAsia"/>
          <w:b/>
          <w:color w:val="000000"/>
          <w:szCs w:val="32"/>
        </w:rPr>
        <w:t>重複編列與支用預算</w:t>
      </w:r>
      <w:r w:rsidR="001B3856" w:rsidRPr="00D1173F">
        <w:rPr>
          <w:rFonts w:hAnsi="標楷體" w:hint="eastAsia"/>
          <w:b/>
          <w:color w:val="000000"/>
          <w:szCs w:val="32"/>
        </w:rPr>
        <w:t>。然該部</w:t>
      </w:r>
      <w:r w:rsidR="0078674B" w:rsidRPr="00D1173F">
        <w:rPr>
          <w:rFonts w:hAnsi="標楷體" w:hint="eastAsia"/>
          <w:b/>
          <w:color w:val="000000"/>
          <w:szCs w:val="32"/>
        </w:rPr>
        <w:t>允</w:t>
      </w:r>
      <w:r w:rsidR="00DD6374" w:rsidRPr="00D1173F">
        <w:rPr>
          <w:rFonts w:hAnsi="標楷體" w:hint="eastAsia"/>
          <w:b/>
          <w:color w:val="000000"/>
          <w:szCs w:val="32"/>
        </w:rPr>
        <w:t>應</w:t>
      </w:r>
      <w:r w:rsidR="004712FF" w:rsidRPr="00D1173F">
        <w:rPr>
          <w:rFonts w:hAnsi="標楷體" w:hint="eastAsia"/>
          <w:b/>
          <w:color w:val="000000"/>
          <w:szCs w:val="32"/>
        </w:rPr>
        <w:t>更積極督促能源三基金善用現有資源，順</w:t>
      </w:r>
      <w:r w:rsidRPr="00D1173F">
        <w:rPr>
          <w:rFonts w:hAnsi="標楷體" w:hint="eastAsia"/>
          <w:b/>
          <w:color w:val="000000"/>
          <w:szCs w:val="32"/>
        </w:rPr>
        <w:t>應國際上節能減碳</w:t>
      </w:r>
      <w:r w:rsidR="001B3856" w:rsidRPr="00D1173F">
        <w:rPr>
          <w:rFonts w:hAnsi="標楷體" w:hint="eastAsia"/>
          <w:b/>
          <w:color w:val="000000"/>
          <w:szCs w:val="32"/>
        </w:rPr>
        <w:t>之</w:t>
      </w:r>
      <w:r w:rsidR="004712FF" w:rsidRPr="00D1173F">
        <w:rPr>
          <w:rFonts w:hAnsi="標楷體" w:hint="eastAsia"/>
          <w:b/>
          <w:color w:val="000000"/>
          <w:szCs w:val="32"/>
        </w:rPr>
        <w:t>重大趨勢</w:t>
      </w:r>
      <w:r w:rsidRPr="00D1173F">
        <w:rPr>
          <w:rFonts w:hAnsi="標楷體" w:hint="eastAsia"/>
          <w:b/>
          <w:color w:val="000000"/>
          <w:szCs w:val="32"/>
        </w:rPr>
        <w:t>，致力</w:t>
      </w:r>
      <w:r w:rsidR="001B3856" w:rsidRPr="00D1173F">
        <w:rPr>
          <w:rFonts w:hAnsi="標楷體" w:hint="eastAsia"/>
          <w:b/>
          <w:color w:val="000000"/>
          <w:szCs w:val="32"/>
        </w:rPr>
        <w:t>推動我國綠色能源發展，</w:t>
      </w:r>
      <w:r w:rsidR="0078674B" w:rsidRPr="00D1173F">
        <w:rPr>
          <w:rFonts w:hAnsi="標楷體" w:hint="eastAsia"/>
          <w:b/>
          <w:color w:val="000000"/>
          <w:szCs w:val="32"/>
        </w:rPr>
        <w:t>以</w:t>
      </w:r>
      <w:r w:rsidR="001B3856" w:rsidRPr="00D1173F">
        <w:rPr>
          <w:rFonts w:hAnsi="標楷體" w:hint="eastAsia"/>
          <w:b/>
          <w:color w:val="000000"/>
          <w:szCs w:val="32"/>
        </w:rPr>
        <w:t>解決電力供應</w:t>
      </w:r>
      <w:r w:rsidR="0078674B" w:rsidRPr="00D1173F">
        <w:rPr>
          <w:rFonts w:hAnsi="標楷體" w:hint="eastAsia"/>
          <w:b/>
          <w:color w:val="000000"/>
          <w:szCs w:val="32"/>
        </w:rPr>
        <w:t>可能</w:t>
      </w:r>
      <w:r w:rsidR="00675DBF">
        <w:rPr>
          <w:rFonts w:hAnsi="標楷體" w:hint="eastAsia"/>
          <w:b/>
          <w:color w:val="000000"/>
          <w:szCs w:val="32"/>
        </w:rPr>
        <w:t>發生之</w:t>
      </w:r>
      <w:r w:rsidR="001B3856" w:rsidRPr="00D1173F">
        <w:rPr>
          <w:rFonts w:hAnsi="標楷體" w:hint="eastAsia"/>
          <w:b/>
          <w:color w:val="000000"/>
          <w:szCs w:val="32"/>
        </w:rPr>
        <w:t>缺口，進而帶動</w:t>
      </w:r>
      <w:r w:rsidR="00C2167B" w:rsidRPr="00D1173F">
        <w:rPr>
          <w:rFonts w:hAnsi="標楷體" w:hint="eastAsia"/>
          <w:b/>
          <w:color w:val="000000"/>
          <w:szCs w:val="32"/>
        </w:rPr>
        <w:t>相關</w:t>
      </w:r>
      <w:r w:rsidR="001B3856" w:rsidRPr="00D1173F">
        <w:rPr>
          <w:rFonts w:hAnsi="標楷體" w:hint="eastAsia"/>
          <w:b/>
          <w:color w:val="000000"/>
          <w:szCs w:val="32"/>
        </w:rPr>
        <w:t>產業成長</w:t>
      </w:r>
      <w:r w:rsidRPr="00D1173F">
        <w:rPr>
          <w:rFonts w:hAnsi="標楷體"/>
          <w:b/>
          <w:color w:val="000000"/>
          <w:szCs w:val="32"/>
        </w:rPr>
        <w:t>。</w:t>
      </w:r>
    </w:p>
    <w:p w:rsidR="001B3856" w:rsidRPr="001B3856" w:rsidRDefault="001B3856" w:rsidP="00F67C23">
      <w:pPr>
        <w:pStyle w:val="3"/>
      </w:pPr>
      <w:r>
        <w:rPr>
          <w:rFonts w:hint="eastAsia"/>
        </w:rPr>
        <w:t>查</w:t>
      </w:r>
      <w:r w:rsidR="00703D6D">
        <w:rPr>
          <w:rFonts w:hint="eastAsia"/>
        </w:rPr>
        <w:t>「</w:t>
      </w:r>
      <w:r w:rsidRPr="008F7763">
        <w:rPr>
          <w:rFonts w:hint="eastAsia"/>
        </w:rPr>
        <w:t>能源管理法</w:t>
      </w:r>
      <w:r w:rsidR="00703D6D">
        <w:rPr>
          <w:rFonts w:hint="eastAsia"/>
        </w:rPr>
        <w:t>」</w:t>
      </w:r>
      <w:r w:rsidRPr="008F7763">
        <w:rPr>
          <w:rFonts w:hint="eastAsia"/>
        </w:rPr>
        <w:t>第2</w:t>
      </w:r>
      <w:r>
        <w:rPr>
          <w:rFonts w:hint="eastAsia"/>
        </w:rPr>
        <w:t>條規定，能源包括石油、天然氣、煤炭、電能等，</w:t>
      </w:r>
      <w:r w:rsidR="00703D6D">
        <w:rPr>
          <w:rFonts w:hint="eastAsia"/>
        </w:rPr>
        <w:t>「</w:t>
      </w:r>
      <w:r w:rsidRPr="008F7763">
        <w:rPr>
          <w:rFonts w:hint="eastAsia"/>
        </w:rPr>
        <w:t>能源管理法</w:t>
      </w:r>
      <w:r w:rsidR="00703D6D">
        <w:rPr>
          <w:rFonts w:hint="eastAsia"/>
        </w:rPr>
        <w:t>」</w:t>
      </w:r>
      <w:r w:rsidRPr="008F7763">
        <w:rPr>
          <w:rFonts w:hint="eastAsia"/>
        </w:rPr>
        <w:t>第5</w:t>
      </w:r>
      <w:r>
        <w:rPr>
          <w:rFonts w:hint="eastAsia"/>
        </w:rPr>
        <w:t>條</w:t>
      </w:r>
      <w:r w:rsidRPr="008F7763">
        <w:rPr>
          <w:rFonts w:hint="eastAsia"/>
        </w:rPr>
        <w:t>、</w:t>
      </w:r>
      <w:r w:rsidR="00703D6D">
        <w:rPr>
          <w:rFonts w:hint="eastAsia"/>
        </w:rPr>
        <w:t>「</w:t>
      </w:r>
      <w:r w:rsidRPr="008F7763">
        <w:rPr>
          <w:rFonts w:hint="eastAsia"/>
        </w:rPr>
        <w:t>石油</w:t>
      </w:r>
      <w:r w:rsidRPr="008F7763">
        <w:rPr>
          <w:rFonts w:hint="eastAsia"/>
        </w:rPr>
        <w:lastRenderedPageBreak/>
        <w:t>管理法</w:t>
      </w:r>
      <w:r w:rsidR="00703D6D">
        <w:rPr>
          <w:rFonts w:hint="eastAsia"/>
        </w:rPr>
        <w:t>」</w:t>
      </w:r>
      <w:r w:rsidRPr="008F7763">
        <w:rPr>
          <w:rFonts w:hint="eastAsia"/>
        </w:rPr>
        <w:t>第36</w:t>
      </w:r>
      <w:r w:rsidR="00675DBF">
        <w:rPr>
          <w:rFonts w:hint="eastAsia"/>
        </w:rPr>
        <w:t>條及</w:t>
      </w:r>
      <w:r w:rsidR="00703D6D">
        <w:rPr>
          <w:rFonts w:hint="eastAsia"/>
        </w:rPr>
        <w:t>「</w:t>
      </w:r>
      <w:r w:rsidRPr="008F7763">
        <w:rPr>
          <w:rFonts w:hint="eastAsia"/>
        </w:rPr>
        <w:t>再生能源發展條例</w:t>
      </w:r>
      <w:r w:rsidR="00703D6D">
        <w:rPr>
          <w:rFonts w:hint="eastAsia"/>
        </w:rPr>
        <w:t>」</w:t>
      </w:r>
      <w:r w:rsidRPr="008F7763">
        <w:rPr>
          <w:rFonts w:hint="eastAsia"/>
        </w:rPr>
        <w:t>第7</w:t>
      </w:r>
      <w:r w:rsidR="00C2167B">
        <w:rPr>
          <w:rFonts w:hint="eastAsia"/>
        </w:rPr>
        <w:t>條所定相關</w:t>
      </w:r>
      <w:r w:rsidRPr="008F7763">
        <w:rPr>
          <w:rFonts w:hint="eastAsia"/>
        </w:rPr>
        <w:t>基金法定業務用途中，「能源研究發展基金」及「石油基金」均涵蓋能源開發技術及替代能源之研究，能源合理有效使用及節約技術與方法之發展，另「再生能源發展基金」亦得辦理再生能源發展之相關用途</w:t>
      </w:r>
      <w:r>
        <w:rPr>
          <w:rFonts w:hint="eastAsia"/>
        </w:rPr>
        <w:t>。致</w:t>
      </w:r>
      <w:r w:rsidRPr="001B3856">
        <w:rPr>
          <w:rFonts w:hAnsi="標楷體" w:hint="eastAsia"/>
          <w:color w:val="000000"/>
          <w:kern w:val="0"/>
        </w:rPr>
        <w:t>立法院審查</w:t>
      </w:r>
      <w:r w:rsidR="00675DBF">
        <w:rPr>
          <w:rFonts w:hAnsi="標楷體" w:hint="eastAsia"/>
          <w:color w:val="000000"/>
          <w:kern w:val="0"/>
        </w:rPr>
        <w:t>「</w:t>
      </w:r>
      <w:r w:rsidRPr="001B3856">
        <w:rPr>
          <w:rFonts w:hAnsi="標楷體" w:hint="eastAsia"/>
          <w:color w:val="000000"/>
          <w:kern w:val="0"/>
        </w:rPr>
        <w:t>經濟特別收入基金</w:t>
      </w:r>
      <w:r w:rsidR="00675DBF">
        <w:rPr>
          <w:rFonts w:hAnsi="標楷體" w:hint="eastAsia"/>
          <w:color w:val="000000"/>
          <w:kern w:val="0"/>
        </w:rPr>
        <w:t>」</w:t>
      </w:r>
      <w:r w:rsidRPr="001B3856">
        <w:rPr>
          <w:rFonts w:hAnsi="標楷體"/>
          <w:color w:val="000000"/>
          <w:kern w:val="0"/>
        </w:rPr>
        <w:t>99</w:t>
      </w:r>
      <w:r w:rsidRPr="001B3856">
        <w:rPr>
          <w:rFonts w:hAnsi="標楷體" w:hint="eastAsia"/>
          <w:color w:val="000000"/>
          <w:kern w:val="0"/>
        </w:rPr>
        <w:t>年度及</w:t>
      </w:r>
      <w:r w:rsidRPr="001B3856">
        <w:rPr>
          <w:rFonts w:hAnsi="標楷體"/>
          <w:color w:val="000000"/>
          <w:kern w:val="0"/>
        </w:rPr>
        <w:t>100</w:t>
      </w:r>
      <w:r w:rsidRPr="001B3856">
        <w:rPr>
          <w:rFonts w:hAnsi="標楷體" w:hint="eastAsia"/>
          <w:color w:val="000000"/>
          <w:kern w:val="0"/>
        </w:rPr>
        <w:t>年度預算決議略以，「再生能源發展基金」、「能源研究發展基金」及「石油基金」工作計畫重複性高，已造成疊床架屋，業務內容並與經濟部能源局重疊</w:t>
      </w:r>
      <w:r>
        <w:rPr>
          <w:rStyle w:val="aff1"/>
          <w:rFonts w:hAnsi="標楷體"/>
          <w:color w:val="000000"/>
          <w:kern w:val="0"/>
        </w:rPr>
        <w:footnoteReference w:id="8"/>
      </w:r>
      <w:r w:rsidRPr="001B3856">
        <w:rPr>
          <w:rFonts w:hAnsi="標楷體" w:hint="eastAsia"/>
          <w:color w:val="000000"/>
          <w:kern w:val="0"/>
        </w:rPr>
        <w:t>。</w:t>
      </w:r>
      <w:r w:rsidRPr="001B3856">
        <w:rPr>
          <w:rFonts w:hAnsi="標楷體" w:hint="eastAsia"/>
          <w:color w:val="000000"/>
          <w:szCs w:val="32"/>
        </w:rPr>
        <w:t>且本院102年7月17日調查報告（102財調94）亦指出，「石油基金」部分法定用途與「能源研究發展基金」及「再生能源發展基金」</w:t>
      </w:r>
      <w:r w:rsidR="00703D6D">
        <w:rPr>
          <w:rFonts w:hAnsi="標楷體" w:hint="eastAsia"/>
          <w:color w:val="000000"/>
          <w:szCs w:val="32"/>
        </w:rPr>
        <w:t>似有</w:t>
      </w:r>
      <w:r w:rsidRPr="001B3856">
        <w:rPr>
          <w:rFonts w:hAnsi="標楷體" w:hint="eastAsia"/>
          <w:color w:val="000000"/>
          <w:szCs w:val="32"/>
        </w:rPr>
        <w:t>相同</w:t>
      </w:r>
      <w:r w:rsidR="00C2167B">
        <w:rPr>
          <w:rFonts w:hAnsi="標楷體" w:hint="eastAsia"/>
          <w:color w:val="000000"/>
          <w:szCs w:val="32"/>
        </w:rPr>
        <w:t>情事</w:t>
      </w:r>
      <w:r w:rsidRPr="001B3856">
        <w:rPr>
          <w:rFonts w:hAnsi="標楷體" w:hint="eastAsia"/>
          <w:color w:val="000000"/>
          <w:szCs w:val="32"/>
        </w:rPr>
        <w:t>。</w:t>
      </w:r>
    </w:p>
    <w:p w:rsidR="001B3856" w:rsidRDefault="001B3856" w:rsidP="00F67C23">
      <w:pPr>
        <w:pStyle w:val="3"/>
      </w:pPr>
      <w:r w:rsidRPr="00F67C23">
        <w:rPr>
          <w:rFonts w:hAnsi="標楷體" w:hint="eastAsia"/>
          <w:color w:val="000000"/>
          <w:szCs w:val="32"/>
        </w:rPr>
        <w:t>次查主計總處嗣考量</w:t>
      </w:r>
      <w:r w:rsidR="00F67C23">
        <w:rPr>
          <w:rFonts w:hAnsi="標楷體" w:hint="eastAsia"/>
          <w:color w:val="000000"/>
          <w:szCs w:val="32"/>
        </w:rPr>
        <w:t>能源三</w:t>
      </w:r>
      <w:r w:rsidRPr="00F67C23">
        <w:rPr>
          <w:rFonts w:hAnsi="標楷體" w:hint="eastAsia"/>
          <w:color w:val="000000"/>
          <w:szCs w:val="32"/>
        </w:rPr>
        <w:t>基金權責宜予明確劃分，且為能更有效運用政府財源，爰建請經濟部釐清該等基金之定位及用途與研議整併之可行性。</w:t>
      </w:r>
      <w:r w:rsidR="00F67C23">
        <w:rPr>
          <w:rFonts w:hAnsi="標楷體" w:hint="eastAsia"/>
          <w:color w:val="000000"/>
          <w:szCs w:val="32"/>
        </w:rPr>
        <w:t>惟因基金</w:t>
      </w:r>
      <w:r w:rsidR="00F67C23">
        <w:rPr>
          <w:rFonts w:hint="eastAsia"/>
        </w:rPr>
        <w:t>法定用途重疊涉及設置法源之修正，</w:t>
      </w:r>
      <w:r w:rsidRPr="008F7763">
        <w:rPr>
          <w:rFonts w:hint="eastAsia"/>
        </w:rPr>
        <w:t>考量修法</w:t>
      </w:r>
      <w:r w:rsidR="00F67C23">
        <w:rPr>
          <w:rFonts w:hint="eastAsia"/>
        </w:rPr>
        <w:t>費</w:t>
      </w:r>
      <w:r w:rsidRPr="008F7763">
        <w:rPr>
          <w:rFonts w:hint="eastAsia"/>
        </w:rPr>
        <w:t>時，故經濟部檢討於修法前，為規劃各基金用途依其政策任務適切運用，爰於</w:t>
      </w:r>
      <w:r w:rsidRPr="008F7763">
        <w:t>104</w:t>
      </w:r>
      <w:r w:rsidRPr="008F7763">
        <w:rPr>
          <w:rFonts w:hint="eastAsia"/>
        </w:rPr>
        <w:t>年</w:t>
      </w:r>
      <w:r w:rsidRPr="008F7763">
        <w:t>12</w:t>
      </w:r>
      <w:r w:rsidRPr="008F7763">
        <w:rPr>
          <w:rFonts w:hint="eastAsia"/>
        </w:rPr>
        <w:t>月</w:t>
      </w:r>
      <w:r w:rsidRPr="008F7763">
        <w:t>17</w:t>
      </w:r>
      <w:r w:rsidRPr="008F7763">
        <w:rPr>
          <w:rFonts w:hint="eastAsia"/>
        </w:rPr>
        <w:t>日訂定「能源研究發展基金石油基金及再生能源發展基金業務劃分作業要點」，作為能源三基金預算編列及支用</w:t>
      </w:r>
      <w:r w:rsidR="00444004">
        <w:rPr>
          <w:rFonts w:hint="eastAsia"/>
        </w:rPr>
        <w:t>依據，實際運作係分別依其政策任務執行，以避免資源重複運用情事</w:t>
      </w:r>
      <w:r>
        <w:rPr>
          <w:rFonts w:hint="eastAsia"/>
        </w:rPr>
        <w:t>，相關</w:t>
      </w:r>
      <w:r w:rsidR="00C2167B">
        <w:rPr>
          <w:rFonts w:hint="eastAsia"/>
        </w:rPr>
        <w:t>法定</w:t>
      </w:r>
      <w:r>
        <w:rPr>
          <w:rFonts w:hint="eastAsia"/>
        </w:rPr>
        <w:t>用途劃分如</w:t>
      </w:r>
      <w:r w:rsidRPr="00F67C23">
        <w:rPr>
          <w:rFonts w:hint="eastAsia"/>
          <w:color w:val="FF0000"/>
        </w:rPr>
        <w:t>表</w:t>
      </w:r>
      <w:r w:rsidR="00B1597F">
        <w:rPr>
          <w:rFonts w:hint="eastAsia"/>
          <w:color w:val="FF0000"/>
        </w:rPr>
        <w:t>8</w:t>
      </w:r>
      <w:r>
        <w:rPr>
          <w:rFonts w:hint="eastAsia"/>
        </w:rPr>
        <w:t>。</w:t>
      </w:r>
    </w:p>
    <w:p w:rsidR="00F8620D" w:rsidRDefault="00F8620D" w:rsidP="001B3856">
      <w:pPr>
        <w:pStyle w:val="aff4"/>
        <w:spacing w:beforeLines="0" w:afterLines="20" w:after="91"/>
        <w:ind w:left="1041" w:hanging="1041"/>
        <w:rPr>
          <w:rFonts w:ascii="標楷體" w:hAnsi="標楷體"/>
          <w:color w:val="auto"/>
        </w:rPr>
      </w:pPr>
    </w:p>
    <w:p w:rsidR="001B3856" w:rsidRPr="00197971" w:rsidRDefault="001B3856" w:rsidP="001B3856">
      <w:pPr>
        <w:pStyle w:val="aff4"/>
        <w:spacing w:beforeLines="0" w:afterLines="20" w:after="91"/>
        <w:ind w:left="1041" w:hanging="1041"/>
        <w:rPr>
          <w:rFonts w:ascii="標楷體" w:hAnsi="標楷體"/>
          <w:color w:val="auto"/>
        </w:rPr>
      </w:pPr>
      <w:r w:rsidRPr="00197971">
        <w:rPr>
          <w:rFonts w:ascii="標楷體" w:hAnsi="標楷體"/>
          <w:color w:val="auto"/>
        </w:rPr>
        <w:t>表</w:t>
      </w:r>
      <w:r w:rsidR="00B1597F" w:rsidRPr="00197971">
        <w:rPr>
          <w:rFonts w:ascii="標楷體" w:hAnsi="標楷體" w:hint="eastAsia"/>
          <w:color w:val="auto"/>
        </w:rPr>
        <w:t>8</w:t>
      </w:r>
      <w:r w:rsidR="006544C9" w:rsidRPr="00197971">
        <w:rPr>
          <w:rFonts w:ascii="標楷體" w:hAnsi="標楷體" w:hint="eastAsia"/>
          <w:color w:val="auto"/>
        </w:rPr>
        <w:t xml:space="preserve">    </w:t>
      </w:r>
      <w:r w:rsidRPr="00197971">
        <w:rPr>
          <w:rFonts w:ascii="標楷體" w:hAnsi="標楷體"/>
          <w:color w:val="auto"/>
        </w:rPr>
        <w:t>能源三基金之基金用途劃分方式</w:t>
      </w:r>
    </w:p>
    <w:tbl>
      <w:tblPr>
        <w:tblW w:w="8537" w:type="dxa"/>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568"/>
        <w:gridCol w:w="1102"/>
        <w:gridCol w:w="850"/>
        <w:gridCol w:w="1166"/>
      </w:tblGrid>
      <w:tr w:rsidR="001B3856" w:rsidRPr="00E15BFA" w:rsidTr="00197971">
        <w:trPr>
          <w:trHeight w:val="590"/>
          <w:tblHeader/>
        </w:trPr>
        <w:tc>
          <w:tcPr>
            <w:tcW w:w="5419" w:type="dxa"/>
            <w:gridSpan w:val="2"/>
            <w:shd w:val="clear" w:color="auto" w:fill="FFFFFF" w:themeFill="background1"/>
            <w:vAlign w:val="center"/>
            <w:hideMark/>
          </w:tcPr>
          <w:p w:rsidR="001B3856" w:rsidRPr="00E15BFA" w:rsidRDefault="001B3856" w:rsidP="001B3856">
            <w:pPr>
              <w:snapToGrid w:val="0"/>
              <w:spacing w:line="300" w:lineRule="exact"/>
              <w:jc w:val="center"/>
              <w:rPr>
                <w:rFonts w:hAnsi="標楷體"/>
                <w:b/>
                <w:sz w:val="24"/>
                <w:szCs w:val="24"/>
              </w:rPr>
            </w:pPr>
            <w:r w:rsidRPr="00E15BFA">
              <w:rPr>
                <w:rFonts w:hAnsi="標楷體"/>
                <w:b/>
                <w:sz w:val="24"/>
                <w:szCs w:val="24"/>
              </w:rPr>
              <w:t>基金法定用途</w:t>
            </w:r>
          </w:p>
        </w:tc>
        <w:tc>
          <w:tcPr>
            <w:tcW w:w="1102" w:type="dxa"/>
            <w:shd w:val="clear" w:color="auto" w:fill="FFFFFF" w:themeFill="background1"/>
            <w:vAlign w:val="center"/>
            <w:hideMark/>
          </w:tcPr>
          <w:p w:rsidR="001B3856" w:rsidRPr="00E15BFA" w:rsidRDefault="001B3856" w:rsidP="001B3856">
            <w:pPr>
              <w:snapToGrid w:val="0"/>
              <w:spacing w:line="300" w:lineRule="exact"/>
              <w:jc w:val="center"/>
              <w:rPr>
                <w:rFonts w:hAnsi="標楷體"/>
                <w:b/>
                <w:sz w:val="24"/>
                <w:szCs w:val="24"/>
              </w:rPr>
            </w:pPr>
            <w:r w:rsidRPr="00E15BFA">
              <w:rPr>
                <w:rFonts w:hAnsi="標楷體"/>
                <w:b/>
                <w:sz w:val="24"/>
                <w:szCs w:val="24"/>
              </w:rPr>
              <w:t>能源研究發展基金</w:t>
            </w:r>
          </w:p>
        </w:tc>
        <w:tc>
          <w:tcPr>
            <w:tcW w:w="850" w:type="dxa"/>
            <w:shd w:val="clear" w:color="auto" w:fill="FFFFFF" w:themeFill="background1"/>
            <w:vAlign w:val="center"/>
            <w:hideMark/>
          </w:tcPr>
          <w:p w:rsidR="001B3856" w:rsidRPr="00E15BFA" w:rsidRDefault="001B3856" w:rsidP="001B3856">
            <w:pPr>
              <w:snapToGrid w:val="0"/>
              <w:spacing w:line="300" w:lineRule="exact"/>
              <w:jc w:val="center"/>
              <w:rPr>
                <w:rFonts w:hAnsi="標楷體"/>
                <w:b/>
                <w:sz w:val="24"/>
                <w:szCs w:val="24"/>
              </w:rPr>
            </w:pPr>
            <w:r w:rsidRPr="00E15BFA">
              <w:rPr>
                <w:rFonts w:hAnsi="標楷體"/>
                <w:b/>
                <w:sz w:val="24"/>
                <w:szCs w:val="24"/>
              </w:rPr>
              <w:t>石油基金</w:t>
            </w:r>
          </w:p>
        </w:tc>
        <w:tc>
          <w:tcPr>
            <w:tcW w:w="1166" w:type="dxa"/>
            <w:shd w:val="clear" w:color="auto" w:fill="FFFFFF" w:themeFill="background1"/>
            <w:vAlign w:val="center"/>
            <w:hideMark/>
          </w:tcPr>
          <w:p w:rsidR="001B3856" w:rsidRPr="00E15BFA" w:rsidRDefault="001B3856" w:rsidP="00197971">
            <w:pPr>
              <w:snapToGrid w:val="0"/>
              <w:spacing w:line="300" w:lineRule="exact"/>
              <w:ind w:leftChars="-22" w:left="-75" w:rightChars="-15" w:right="-51"/>
              <w:jc w:val="center"/>
              <w:rPr>
                <w:rFonts w:hAnsi="標楷體"/>
                <w:b/>
                <w:sz w:val="24"/>
                <w:szCs w:val="24"/>
              </w:rPr>
            </w:pPr>
            <w:r w:rsidRPr="00E15BFA">
              <w:rPr>
                <w:rFonts w:hAnsi="標楷體"/>
                <w:b/>
                <w:sz w:val="24"/>
                <w:szCs w:val="24"/>
              </w:rPr>
              <w:t>再生能源基金</w:t>
            </w:r>
          </w:p>
        </w:tc>
      </w:tr>
      <w:tr w:rsidR="001B3856" w:rsidRPr="00E15BFA" w:rsidTr="00197971">
        <w:trPr>
          <w:trHeight w:val="470"/>
        </w:trPr>
        <w:tc>
          <w:tcPr>
            <w:tcW w:w="851" w:type="dxa"/>
            <w:vMerge w:val="restart"/>
            <w:shd w:val="clear" w:color="auto" w:fill="auto"/>
            <w:vAlign w:val="center"/>
            <w:hideMark/>
          </w:tcPr>
          <w:p w:rsidR="001B3856" w:rsidRPr="00E15BFA" w:rsidRDefault="001B3856" w:rsidP="001B3856">
            <w:pPr>
              <w:spacing w:line="240" w:lineRule="exact"/>
              <w:jc w:val="center"/>
              <w:rPr>
                <w:rFonts w:hAnsi="標楷體"/>
                <w:b/>
                <w:sz w:val="24"/>
                <w:szCs w:val="24"/>
              </w:rPr>
            </w:pPr>
            <w:r w:rsidRPr="00E15BFA">
              <w:rPr>
                <w:rFonts w:hAnsi="標楷體"/>
                <w:b/>
                <w:sz w:val="24"/>
                <w:szCs w:val="24"/>
              </w:rPr>
              <w:lastRenderedPageBreak/>
              <w:t>獎勵補助</w:t>
            </w:r>
          </w:p>
        </w:tc>
        <w:tc>
          <w:tcPr>
            <w:tcW w:w="4568" w:type="dxa"/>
            <w:shd w:val="clear" w:color="auto" w:fill="auto"/>
            <w:hideMark/>
          </w:tcPr>
          <w:p w:rsidR="001B3856" w:rsidRPr="00E15BFA" w:rsidRDefault="001B3856" w:rsidP="001B3856">
            <w:pPr>
              <w:spacing w:line="240" w:lineRule="exact"/>
              <w:rPr>
                <w:rFonts w:hAnsi="標楷體"/>
                <w:sz w:val="24"/>
                <w:szCs w:val="24"/>
              </w:rPr>
            </w:pPr>
            <w:r w:rsidRPr="00E15BFA">
              <w:rPr>
                <w:rFonts w:hAnsi="標楷體"/>
                <w:sz w:val="24"/>
                <w:szCs w:val="24"/>
              </w:rPr>
              <w:t>偏遠地區、原住民族地區及離島地區石油設施、運輸費用之補助及差價之補貼</w:t>
            </w:r>
          </w:p>
        </w:tc>
        <w:tc>
          <w:tcPr>
            <w:tcW w:w="1102"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hideMark/>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1166" w:type="dxa"/>
            <w:shd w:val="clear" w:color="auto" w:fill="auto"/>
            <w:vAlign w:val="center"/>
            <w:hideMark/>
          </w:tcPr>
          <w:p w:rsidR="001B3856" w:rsidRPr="00E15BFA" w:rsidRDefault="001B3856" w:rsidP="001B3856">
            <w:pPr>
              <w:spacing w:line="240" w:lineRule="exact"/>
              <w:jc w:val="center"/>
              <w:rPr>
                <w:rFonts w:hAnsi="標楷體"/>
                <w:sz w:val="24"/>
                <w:szCs w:val="24"/>
              </w:rPr>
            </w:pPr>
          </w:p>
        </w:tc>
      </w:tr>
      <w:tr w:rsidR="001B3856" w:rsidRPr="00E15BFA" w:rsidTr="00197971">
        <w:trPr>
          <w:trHeight w:val="274"/>
        </w:trPr>
        <w:tc>
          <w:tcPr>
            <w:tcW w:w="851" w:type="dxa"/>
            <w:vMerge/>
            <w:shd w:val="clear" w:color="auto" w:fill="auto"/>
            <w:vAlign w:val="center"/>
          </w:tcPr>
          <w:p w:rsidR="001B3856" w:rsidRPr="00E15BFA" w:rsidRDefault="001B3856" w:rsidP="001B3856">
            <w:pPr>
              <w:spacing w:line="240" w:lineRule="exact"/>
              <w:jc w:val="center"/>
              <w:rPr>
                <w:rFonts w:hAnsi="標楷體"/>
                <w:b/>
                <w:sz w:val="24"/>
                <w:szCs w:val="24"/>
              </w:rPr>
            </w:pPr>
          </w:p>
        </w:tc>
        <w:tc>
          <w:tcPr>
            <w:tcW w:w="4568" w:type="dxa"/>
            <w:shd w:val="clear" w:color="auto" w:fill="auto"/>
          </w:tcPr>
          <w:p w:rsidR="001B3856" w:rsidRPr="00E15BFA" w:rsidRDefault="001B3856" w:rsidP="001B3856">
            <w:pPr>
              <w:spacing w:line="240" w:lineRule="exact"/>
              <w:rPr>
                <w:rFonts w:hAnsi="標楷體"/>
                <w:sz w:val="24"/>
                <w:szCs w:val="24"/>
              </w:rPr>
            </w:pPr>
            <w:r w:rsidRPr="00E15BFA">
              <w:rPr>
                <w:rFonts w:hAnsi="標楷體"/>
                <w:sz w:val="24"/>
                <w:szCs w:val="24"/>
              </w:rPr>
              <w:t>訂有回饋機制之石油、天然氣探勘開發之獎勵</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p>
        </w:tc>
      </w:tr>
      <w:tr w:rsidR="001B3856" w:rsidRPr="00E15BFA" w:rsidTr="00197971">
        <w:trPr>
          <w:trHeight w:val="274"/>
        </w:trPr>
        <w:tc>
          <w:tcPr>
            <w:tcW w:w="851" w:type="dxa"/>
            <w:vMerge/>
            <w:shd w:val="clear" w:color="auto" w:fill="auto"/>
            <w:vAlign w:val="center"/>
          </w:tcPr>
          <w:p w:rsidR="001B3856" w:rsidRPr="00E15BFA" w:rsidRDefault="001B3856" w:rsidP="001B3856">
            <w:pPr>
              <w:spacing w:line="240" w:lineRule="exact"/>
              <w:jc w:val="center"/>
              <w:rPr>
                <w:rFonts w:hAnsi="標楷體"/>
                <w:b/>
                <w:sz w:val="24"/>
                <w:szCs w:val="24"/>
              </w:rPr>
            </w:pPr>
          </w:p>
        </w:tc>
        <w:tc>
          <w:tcPr>
            <w:tcW w:w="4568" w:type="dxa"/>
            <w:shd w:val="clear" w:color="auto" w:fill="auto"/>
          </w:tcPr>
          <w:p w:rsidR="001B3856" w:rsidRPr="00E15BFA" w:rsidRDefault="00703D6D" w:rsidP="001B3856">
            <w:pPr>
              <w:spacing w:line="240" w:lineRule="exact"/>
              <w:rPr>
                <w:rFonts w:hAnsi="標楷體"/>
                <w:sz w:val="24"/>
                <w:szCs w:val="24"/>
              </w:rPr>
            </w:pPr>
            <w:r>
              <w:rPr>
                <w:rFonts w:hAnsi="標楷體"/>
                <w:sz w:val="24"/>
                <w:szCs w:val="24"/>
              </w:rPr>
              <w:t>再生能源</w:t>
            </w:r>
            <w:r w:rsidR="001B3856" w:rsidRPr="00E15BFA">
              <w:rPr>
                <w:rFonts w:hAnsi="標楷體"/>
                <w:sz w:val="24"/>
                <w:szCs w:val="24"/>
              </w:rPr>
              <w:t>利用替代石油能源獎勵之補助</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p>
        </w:tc>
      </w:tr>
      <w:tr w:rsidR="001B3856" w:rsidRPr="00E15BFA" w:rsidTr="00197971">
        <w:trPr>
          <w:trHeight w:val="274"/>
        </w:trPr>
        <w:tc>
          <w:tcPr>
            <w:tcW w:w="851" w:type="dxa"/>
            <w:vMerge/>
            <w:shd w:val="clear" w:color="auto" w:fill="auto"/>
            <w:vAlign w:val="center"/>
          </w:tcPr>
          <w:p w:rsidR="001B3856" w:rsidRPr="00E15BFA" w:rsidRDefault="001B3856" w:rsidP="001B3856">
            <w:pPr>
              <w:spacing w:line="240" w:lineRule="exact"/>
              <w:jc w:val="center"/>
              <w:rPr>
                <w:rFonts w:hAnsi="標楷體"/>
                <w:b/>
                <w:sz w:val="24"/>
                <w:szCs w:val="24"/>
              </w:rPr>
            </w:pPr>
          </w:p>
        </w:tc>
        <w:tc>
          <w:tcPr>
            <w:tcW w:w="4568" w:type="dxa"/>
            <w:shd w:val="clear" w:color="auto" w:fill="auto"/>
          </w:tcPr>
          <w:p w:rsidR="001B3856" w:rsidRPr="00E15BFA" w:rsidRDefault="001B3856" w:rsidP="001B3856">
            <w:pPr>
              <w:spacing w:line="240" w:lineRule="exact"/>
              <w:rPr>
                <w:rFonts w:hAnsi="標楷體"/>
                <w:sz w:val="24"/>
                <w:szCs w:val="24"/>
              </w:rPr>
            </w:pPr>
            <w:r w:rsidRPr="00E15BFA">
              <w:rPr>
                <w:rFonts w:hAnsi="標楷體"/>
                <w:sz w:val="24"/>
                <w:szCs w:val="24"/>
              </w:rPr>
              <w:t>直轄市、縣（市）主管機關執行石油管理及</w:t>
            </w:r>
            <w:r w:rsidR="00703D6D">
              <w:rPr>
                <w:rFonts w:hAnsi="標楷體" w:hint="eastAsia"/>
                <w:sz w:val="24"/>
                <w:szCs w:val="24"/>
              </w:rPr>
              <w:t>「</w:t>
            </w:r>
            <w:r w:rsidRPr="00E15BFA">
              <w:rPr>
                <w:rFonts w:hAnsi="標楷體"/>
                <w:sz w:val="24"/>
                <w:szCs w:val="24"/>
              </w:rPr>
              <w:t>石油管理法</w:t>
            </w:r>
            <w:r w:rsidR="00703D6D">
              <w:rPr>
                <w:rFonts w:hAnsi="標楷體" w:hint="eastAsia"/>
                <w:sz w:val="24"/>
                <w:szCs w:val="24"/>
              </w:rPr>
              <w:t>」</w:t>
            </w:r>
            <w:r w:rsidRPr="00E15BFA">
              <w:rPr>
                <w:rFonts w:hAnsi="標楷體"/>
                <w:sz w:val="24"/>
                <w:szCs w:val="24"/>
              </w:rPr>
              <w:t>第54條第1項各款之取締、調查或查核業務之補助</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p>
        </w:tc>
      </w:tr>
      <w:tr w:rsidR="001B3856" w:rsidRPr="00E15BFA" w:rsidTr="00197971">
        <w:trPr>
          <w:trHeight w:val="223"/>
        </w:trPr>
        <w:tc>
          <w:tcPr>
            <w:tcW w:w="851" w:type="dxa"/>
            <w:vMerge/>
            <w:shd w:val="clear" w:color="auto" w:fill="auto"/>
            <w:vAlign w:val="center"/>
            <w:hideMark/>
          </w:tcPr>
          <w:p w:rsidR="001B3856" w:rsidRPr="00E15BFA" w:rsidRDefault="001B3856" w:rsidP="001B3856">
            <w:pPr>
              <w:spacing w:line="240" w:lineRule="exact"/>
              <w:jc w:val="center"/>
              <w:rPr>
                <w:rFonts w:hAnsi="標楷體"/>
                <w:b/>
                <w:sz w:val="24"/>
                <w:szCs w:val="24"/>
              </w:rPr>
            </w:pPr>
          </w:p>
        </w:tc>
        <w:tc>
          <w:tcPr>
            <w:tcW w:w="4568" w:type="dxa"/>
            <w:shd w:val="clear" w:color="auto" w:fill="auto"/>
            <w:hideMark/>
          </w:tcPr>
          <w:p w:rsidR="001B3856" w:rsidRPr="00E15BFA" w:rsidRDefault="001B3856" w:rsidP="001B3856">
            <w:pPr>
              <w:spacing w:line="240" w:lineRule="exact"/>
              <w:rPr>
                <w:rFonts w:hAnsi="標楷體"/>
                <w:sz w:val="24"/>
                <w:szCs w:val="24"/>
              </w:rPr>
            </w:pPr>
            <w:r w:rsidRPr="00E15BFA">
              <w:rPr>
                <w:rFonts w:hAnsi="標楷體"/>
                <w:sz w:val="24"/>
                <w:szCs w:val="24"/>
              </w:rPr>
              <w:t>再生能源電價之補貼</w:t>
            </w:r>
          </w:p>
        </w:tc>
        <w:tc>
          <w:tcPr>
            <w:tcW w:w="1102"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1166" w:type="dxa"/>
            <w:shd w:val="clear" w:color="auto" w:fill="auto"/>
            <w:vAlign w:val="center"/>
            <w:hideMark/>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r>
      <w:tr w:rsidR="001B3856" w:rsidRPr="00E15BFA" w:rsidTr="00197971">
        <w:trPr>
          <w:trHeight w:val="223"/>
        </w:trPr>
        <w:tc>
          <w:tcPr>
            <w:tcW w:w="851" w:type="dxa"/>
            <w:vMerge/>
            <w:shd w:val="clear" w:color="auto" w:fill="auto"/>
            <w:vAlign w:val="center"/>
            <w:hideMark/>
          </w:tcPr>
          <w:p w:rsidR="001B3856" w:rsidRPr="00E15BFA" w:rsidRDefault="001B3856" w:rsidP="001B3856">
            <w:pPr>
              <w:spacing w:line="240" w:lineRule="exact"/>
              <w:jc w:val="center"/>
              <w:rPr>
                <w:rFonts w:hAnsi="標楷體"/>
                <w:b/>
                <w:sz w:val="24"/>
                <w:szCs w:val="24"/>
              </w:rPr>
            </w:pPr>
          </w:p>
        </w:tc>
        <w:tc>
          <w:tcPr>
            <w:tcW w:w="4568" w:type="dxa"/>
            <w:shd w:val="clear" w:color="auto" w:fill="auto"/>
            <w:hideMark/>
          </w:tcPr>
          <w:p w:rsidR="001B3856" w:rsidRPr="00E15BFA" w:rsidRDefault="001B3856" w:rsidP="001B3856">
            <w:pPr>
              <w:spacing w:line="240" w:lineRule="exact"/>
              <w:rPr>
                <w:rFonts w:hAnsi="標楷體"/>
                <w:sz w:val="24"/>
                <w:szCs w:val="24"/>
              </w:rPr>
            </w:pPr>
            <w:r w:rsidRPr="00E15BFA">
              <w:rPr>
                <w:rFonts w:hAnsi="標楷體"/>
                <w:sz w:val="24"/>
                <w:szCs w:val="24"/>
              </w:rPr>
              <w:t>再生能源設備之補貼</w:t>
            </w:r>
          </w:p>
        </w:tc>
        <w:tc>
          <w:tcPr>
            <w:tcW w:w="1102"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1166" w:type="dxa"/>
            <w:shd w:val="clear" w:color="auto" w:fill="auto"/>
            <w:vAlign w:val="center"/>
            <w:hideMark/>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r>
      <w:tr w:rsidR="001B3856" w:rsidRPr="00E15BFA" w:rsidTr="00197971">
        <w:trPr>
          <w:trHeight w:val="274"/>
        </w:trPr>
        <w:tc>
          <w:tcPr>
            <w:tcW w:w="851" w:type="dxa"/>
            <w:vMerge/>
            <w:shd w:val="clear" w:color="auto" w:fill="auto"/>
            <w:vAlign w:val="center"/>
            <w:hideMark/>
          </w:tcPr>
          <w:p w:rsidR="001B3856" w:rsidRPr="00E15BFA" w:rsidRDefault="001B3856" w:rsidP="001B3856">
            <w:pPr>
              <w:spacing w:line="240" w:lineRule="exact"/>
              <w:jc w:val="center"/>
              <w:rPr>
                <w:rFonts w:hAnsi="標楷體"/>
                <w:b/>
                <w:sz w:val="24"/>
                <w:szCs w:val="24"/>
              </w:rPr>
            </w:pPr>
          </w:p>
        </w:tc>
        <w:tc>
          <w:tcPr>
            <w:tcW w:w="4568" w:type="dxa"/>
            <w:shd w:val="clear" w:color="auto" w:fill="auto"/>
            <w:hideMark/>
          </w:tcPr>
          <w:p w:rsidR="001B3856" w:rsidRPr="00E15BFA" w:rsidRDefault="001B3856" w:rsidP="001B3856">
            <w:pPr>
              <w:spacing w:line="240" w:lineRule="exact"/>
              <w:rPr>
                <w:rFonts w:hAnsi="標楷體"/>
                <w:sz w:val="24"/>
                <w:szCs w:val="24"/>
              </w:rPr>
            </w:pPr>
            <w:r w:rsidRPr="00E15BFA">
              <w:rPr>
                <w:rFonts w:hAnsi="標楷體"/>
                <w:sz w:val="24"/>
                <w:szCs w:val="24"/>
              </w:rPr>
              <w:t>再生能源之示範補助及推廣利用</w:t>
            </w:r>
          </w:p>
        </w:tc>
        <w:tc>
          <w:tcPr>
            <w:tcW w:w="1102"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1166" w:type="dxa"/>
            <w:shd w:val="clear" w:color="auto" w:fill="auto"/>
            <w:vAlign w:val="center"/>
            <w:hideMark/>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r>
      <w:tr w:rsidR="001B3856" w:rsidRPr="00E15BFA" w:rsidTr="00197971">
        <w:trPr>
          <w:trHeight w:val="244"/>
        </w:trPr>
        <w:tc>
          <w:tcPr>
            <w:tcW w:w="851" w:type="dxa"/>
            <w:vMerge w:val="restart"/>
            <w:shd w:val="clear" w:color="auto" w:fill="auto"/>
            <w:vAlign w:val="center"/>
            <w:hideMark/>
          </w:tcPr>
          <w:p w:rsidR="001B3856" w:rsidRPr="00E15BFA" w:rsidRDefault="001B3856" w:rsidP="001B3856">
            <w:pPr>
              <w:spacing w:line="240" w:lineRule="exact"/>
              <w:jc w:val="center"/>
              <w:rPr>
                <w:rFonts w:hAnsi="標楷體"/>
                <w:b/>
                <w:sz w:val="24"/>
                <w:szCs w:val="24"/>
              </w:rPr>
            </w:pPr>
            <w:r w:rsidRPr="00E15BFA">
              <w:rPr>
                <w:rFonts w:hAnsi="標楷體"/>
                <w:b/>
                <w:sz w:val="24"/>
                <w:szCs w:val="24"/>
              </w:rPr>
              <w:t>技術研展</w:t>
            </w:r>
          </w:p>
        </w:tc>
        <w:tc>
          <w:tcPr>
            <w:tcW w:w="4568" w:type="dxa"/>
            <w:shd w:val="clear" w:color="auto" w:fill="auto"/>
          </w:tcPr>
          <w:p w:rsidR="001B3856" w:rsidRPr="00E15BFA" w:rsidRDefault="001B3856" w:rsidP="001B3856">
            <w:pPr>
              <w:spacing w:line="240" w:lineRule="exact"/>
              <w:rPr>
                <w:rFonts w:hAnsi="標楷體"/>
                <w:sz w:val="24"/>
                <w:szCs w:val="24"/>
              </w:rPr>
            </w:pPr>
            <w:r w:rsidRPr="00E15BFA">
              <w:rPr>
                <w:rFonts w:hAnsi="標楷體"/>
                <w:sz w:val="24"/>
                <w:szCs w:val="24"/>
              </w:rPr>
              <w:t>能源開發技術之研究發展支出</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p>
        </w:tc>
      </w:tr>
      <w:tr w:rsidR="001B3856" w:rsidRPr="00E15BFA" w:rsidTr="00197971">
        <w:trPr>
          <w:trHeight w:val="244"/>
        </w:trPr>
        <w:tc>
          <w:tcPr>
            <w:tcW w:w="851" w:type="dxa"/>
            <w:vMerge/>
            <w:shd w:val="clear" w:color="auto" w:fill="auto"/>
            <w:vAlign w:val="center"/>
          </w:tcPr>
          <w:p w:rsidR="001B3856" w:rsidRPr="00E15BFA" w:rsidRDefault="001B3856" w:rsidP="001B3856">
            <w:pPr>
              <w:spacing w:line="240" w:lineRule="exact"/>
              <w:jc w:val="center"/>
              <w:rPr>
                <w:rFonts w:hAnsi="標楷體"/>
                <w:b/>
                <w:sz w:val="24"/>
                <w:szCs w:val="24"/>
              </w:rPr>
            </w:pPr>
          </w:p>
        </w:tc>
        <w:tc>
          <w:tcPr>
            <w:tcW w:w="4568" w:type="dxa"/>
            <w:shd w:val="clear" w:color="auto" w:fill="auto"/>
          </w:tcPr>
          <w:p w:rsidR="001B3856" w:rsidRPr="00E15BFA" w:rsidRDefault="001B3856" w:rsidP="001B3856">
            <w:pPr>
              <w:spacing w:line="240" w:lineRule="exact"/>
              <w:rPr>
                <w:rFonts w:hAnsi="標楷體"/>
                <w:sz w:val="24"/>
                <w:szCs w:val="24"/>
              </w:rPr>
            </w:pPr>
            <w:r w:rsidRPr="00E15BFA">
              <w:rPr>
                <w:rFonts w:hAnsi="標楷體"/>
                <w:sz w:val="24"/>
                <w:szCs w:val="24"/>
              </w:rPr>
              <w:t>能源合理有效使用及節約技術、方法之研究發展</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p>
        </w:tc>
      </w:tr>
      <w:tr w:rsidR="001B3856" w:rsidRPr="00E15BFA" w:rsidTr="00197971">
        <w:trPr>
          <w:trHeight w:val="244"/>
        </w:trPr>
        <w:tc>
          <w:tcPr>
            <w:tcW w:w="851" w:type="dxa"/>
            <w:vMerge/>
            <w:shd w:val="clear" w:color="auto" w:fill="auto"/>
            <w:vAlign w:val="center"/>
          </w:tcPr>
          <w:p w:rsidR="001B3856" w:rsidRPr="00E15BFA" w:rsidRDefault="001B3856" w:rsidP="001B3856">
            <w:pPr>
              <w:spacing w:line="240" w:lineRule="exact"/>
              <w:jc w:val="center"/>
              <w:rPr>
                <w:rFonts w:hAnsi="標楷體"/>
                <w:b/>
                <w:sz w:val="24"/>
                <w:szCs w:val="24"/>
              </w:rPr>
            </w:pPr>
          </w:p>
        </w:tc>
        <w:tc>
          <w:tcPr>
            <w:tcW w:w="4568" w:type="dxa"/>
            <w:shd w:val="clear" w:color="auto" w:fill="auto"/>
          </w:tcPr>
          <w:p w:rsidR="001B3856" w:rsidRPr="00E15BFA" w:rsidRDefault="001B3856" w:rsidP="001B3856">
            <w:pPr>
              <w:spacing w:line="240" w:lineRule="exact"/>
              <w:rPr>
                <w:rFonts w:hAnsi="標楷體"/>
                <w:sz w:val="24"/>
                <w:szCs w:val="24"/>
              </w:rPr>
            </w:pPr>
            <w:r w:rsidRPr="00E15BFA">
              <w:rPr>
                <w:rFonts w:hAnsi="標楷體"/>
                <w:sz w:val="24"/>
                <w:szCs w:val="24"/>
              </w:rPr>
              <w:t>能</w:t>
            </w:r>
            <w:r w:rsidR="00703D6D">
              <w:rPr>
                <w:rFonts w:hAnsi="標楷體"/>
                <w:sz w:val="24"/>
                <w:szCs w:val="24"/>
              </w:rPr>
              <w:t>源政策、石油開發技術之研究發展、應用與推廣及替代能源之研究發展</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p>
        </w:tc>
      </w:tr>
      <w:tr w:rsidR="001B3856" w:rsidRPr="00E15BFA" w:rsidTr="00197971">
        <w:trPr>
          <w:trHeight w:val="244"/>
        </w:trPr>
        <w:tc>
          <w:tcPr>
            <w:tcW w:w="851" w:type="dxa"/>
            <w:vMerge/>
            <w:shd w:val="clear" w:color="auto" w:fill="auto"/>
            <w:vAlign w:val="center"/>
          </w:tcPr>
          <w:p w:rsidR="001B3856" w:rsidRPr="00E15BFA" w:rsidRDefault="001B3856" w:rsidP="001B3856">
            <w:pPr>
              <w:spacing w:line="240" w:lineRule="exact"/>
              <w:jc w:val="center"/>
              <w:rPr>
                <w:rFonts w:hAnsi="標楷體"/>
                <w:b/>
                <w:sz w:val="24"/>
                <w:szCs w:val="24"/>
              </w:rPr>
            </w:pPr>
          </w:p>
        </w:tc>
        <w:tc>
          <w:tcPr>
            <w:tcW w:w="4568" w:type="dxa"/>
            <w:shd w:val="clear" w:color="auto" w:fill="auto"/>
          </w:tcPr>
          <w:p w:rsidR="001B3856" w:rsidRPr="00E15BFA" w:rsidRDefault="001B3856" w:rsidP="001B3856">
            <w:pPr>
              <w:spacing w:line="240" w:lineRule="exact"/>
              <w:rPr>
                <w:rFonts w:hAnsi="標楷體"/>
                <w:sz w:val="24"/>
                <w:szCs w:val="24"/>
              </w:rPr>
            </w:pPr>
            <w:r w:rsidRPr="00E15BFA">
              <w:rPr>
                <w:rFonts w:hAnsi="標楷體"/>
                <w:sz w:val="24"/>
                <w:szCs w:val="24"/>
              </w:rPr>
              <w:t>油氣（含液化石油氣）安全、節約油氣技術與方法之發展、應用及推廣</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p>
        </w:tc>
      </w:tr>
      <w:tr w:rsidR="001B3856" w:rsidRPr="00E15BFA" w:rsidTr="00197971">
        <w:trPr>
          <w:trHeight w:val="289"/>
        </w:trPr>
        <w:tc>
          <w:tcPr>
            <w:tcW w:w="851" w:type="dxa"/>
            <w:vMerge w:val="restart"/>
            <w:shd w:val="clear" w:color="auto" w:fill="auto"/>
            <w:vAlign w:val="center"/>
            <w:hideMark/>
          </w:tcPr>
          <w:p w:rsidR="001B3856" w:rsidRPr="00E15BFA" w:rsidRDefault="001B3856" w:rsidP="001B3856">
            <w:pPr>
              <w:spacing w:line="240" w:lineRule="exact"/>
              <w:jc w:val="center"/>
              <w:rPr>
                <w:rFonts w:hAnsi="標楷體"/>
                <w:b/>
                <w:sz w:val="24"/>
                <w:szCs w:val="24"/>
              </w:rPr>
            </w:pPr>
            <w:r w:rsidRPr="00E15BFA">
              <w:rPr>
                <w:rFonts w:hAnsi="標楷體"/>
                <w:b/>
                <w:sz w:val="24"/>
                <w:szCs w:val="24"/>
              </w:rPr>
              <w:t>其他用途</w:t>
            </w:r>
          </w:p>
        </w:tc>
        <w:tc>
          <w:tcPr>
            <w:tcW w:w="4568" w:type="dxa"/>
            <w:shd w:val="clear" w:color="auto" w:fill="auto"/>
            <w:hideMark/>
          </w:tcPr>
          <w:p w:rsidR="001B3856" w:rsidRPr="00E15BFA" w:rsidRDefault="001B3856" w:rsidP="001B3856">
            <w:pPr>
              <w:spacing w:line="240" w:lineRule="exact"/>
              <w:rPr>
                <w:rFonts w:hAnsi="標楷體"/>
                <w:sz w:val="24"/>
                <w:szCs w:val="24"/>
              </w:rPr>
            </w:pPr>
            <w:r w:rsidRPr="00E15BFA">
              <w:rPr>
                <w:rFonts w:hAnsi="標楷體"/>
                <w:sz w:val="24"/>
                <w:szCs w:val="24"/>
              </w:rPr>
              <w:t>能源經濟分析及其情報資料之蒐集</w:t>
            </w:r>
          </w:p>
        </w:tc>
        <w:tc>
          <w:tcPr>
            <w:tcW w:w="1102" w:type="dxa"/>
            <w:shd w:val="clear" w:color="auto" w:fill="auto"/>
            <w:vAlign w:val="center"/>
            <w:hideMark/>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850"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1166" w:type="dxa"/>
            <w:shd w:val="clear" w:color="auto" w:fill="auto"/>
            <w:vAlign w:val="center"/>
            <w:hideMark/>
          </w:tcPr>
          <w:p w:rsidR="001B3856" w:rsidRPr="00E15BFA" w:rsidRDefault="001B3856" w:rsidP="001B3856">
            <w:pPr>
              <w:spacing w:line="240" w:lineRule="exact"/>
              <w:jc w:val="center"/>
              <w:rPr>
                <w:rFonts w:hAnsi="標楷體"/>
                <w:sz w:val="24"/>
                <w:szCs w:val="24"/>
              </w:rPr>
            </w:pPr>
          </w:p>
        </w:tc>
      </w:tr>
      <w:tr w:rsidR="001B3856" w:rsidRPr="00E15BFA" w:rsidTr="00197971">
        <w:trPr>
          <w:trHeight w:val="227"/>
        </w:trPr>
        <w:tc>
          <w:tcPr>
            <w:tcW w:w="851" w:type="dxa"/>
            <w:vMerge/>
            <w:shd w:val="clear" w:color="auto" w:fill="auto"/>
            <w:vAlign w:val="center"/>
            <w:hideMark/>
          </w:tcPr>
          <w:p w:rsidR="001B3856" w:rsidRPr="00E15BFA" w:rsidRDefault="001B3856" w:rsidP="001B3856">
            <w:pPr>
              <w:spacing w:line="240" w:lineRule="exact"/>
              <w:jc w:val="center"/>
              <w:rPr>
                <w:rFonts w:hAnsi="標楷體"/>
                <w:b/>
                <w:sz w:val="24"/>
                <w:szCs w:val="24"/>
              </w:rPr>
            </w:pPr>
          </w:p>
        </w:tc>
        <w:tc>
          <w:tcPr>
            <w:tcW w:w="4568" w:type="dxa"/>
            <w:shd w:val="clear" w:color="auto" w:fill="auto"/>
            <w:hideMark/>
          </w:tcPr>
          <w:p w:rsidR="001B3856" w:rsidRPr="00E15BFA" w:rsidRDefault="001B3856" w:rsidP="001B3856">
            <w:pPr>
              <w:spacing w:line="240" w:lineRule="exact"/>
              <w:rPr>
                <w:rFonts w:hAnsi="標楷體"/>
                <w:sz w:val="24"/>
                <w:szCs w:val="24"/>
              </w:rPr>
            </w:pPr>
            <w:r w:rsidRPr="00E15BFA">
              <w:rPr>
                <w:rFonts w:hAnsi="標楷體"/>
                <w:sz w:val="24"/>
                <w:szCs w:val="24"/>
              </w:rPr>
              <w:t>能源規劃及技術等專業人員之培訓</w:t>
            </w:r>
          </w:p>
        </w:tc>
        <w:tc>
          <w:tcPr>
            <w:tcW w:w="1102" w:type="dxa"/>
            <w:shd w:val="clear" w:color="auto" w:fill="auto"/>
            <w:vAlign w:val="center"/>
            <w:hideMark/>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850"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1166" w:type="dxa"/>
            <w:shd w:val="clear" w:color="auto" w:fill="auto"/>
            <w:vAlign w:val="center"/>
            <w:hideMark/>
          </w:tcPr>
          <w:p w:rsidR="001B3856" w:rsidRPr="00E15BFA" w:rsidRDefault="001B3856" w:rsidP="001B3856">
            <w:pPr>
              <w:spacing w:line="240" w:lineRule="exact"/>
              <w:jc w:val="center"/>
              <w:rPr>
                <w:rFonts w:hAnsi="標楷體"/>
                <w:sz w:val="24"/>
                <w:szCs w:val="24"/>
              </w:rPr>
            </w:pPr>
          </w:p>
        </w:tc>
      </w:tr>
      <w:tr w:rsidR="001B3856" w:rsidRPr="00E15BFA" w:rsidTr="00197971">
        <w:trPr>
          <w:trHeight w:val="266"/>
        </w:trPr>
        <w:tc>
          <w:tcPr>
            <w:tcW w:w="851" w:type="dxa"/>
            <w:vMerge/>
            <w:shd w:val="clear" w:color="auto" w:fill="auto"/>
            <w:vAlign w:val="center"/>
            <w:hideMark/>
          </w:tcPr>
          <w:p w:rsidR="001B3856" w:rsidRPr="00E15BFA" w:rsidRDefault="001B3856" w:rsidP="001B3856">
            <w:pPr>
              <w:spacing w:line="240" w:lineRule="exact"/>
              <w:jc w:val="center"/>
              <w:rPr>
                <w:rFonts w:hAnsi="標楷體"/>
                <w:b/>
                <w:sz w:val="24"/>
                <w:szCs w:val="24"/>
              </w:rPr>
            </w:pPr>
          </w:p>
        </w:tc>
        <w:tc>
          <w:tcPr>
            <w:tcW w:w="4568" w:type="dxa"/>
            <w:shd w:val="clear" w:color="auto" w:fill="auto"/>
            <w:hideMark/>
          </w:tcPr>
          <w:p w:rsidR="001B3856" w:rsidRPr="00E15BFA" w:rsidRDefault="001B3856" w:rsidP="001B3856">
            <w:pPr>
              <w:spacing w:line="240" w:lineRule="exact"/>
              <w:rPr>
                <w:rFonts w:hAnsi="標楷體"/>
                <w:sz w:val="24"/>
                <w:szCs w:val="24"/>
              </w:rPr>
            </w:pPr>
            <w:r w:rsidRPr="00E15BFA">
              <w:rPr>
                <w:rFonts w:hAnsi="標楷體"/>
                <w:sz w:val="24"/>
                <w:szCs w:val="24"/>
              </w:rPr>
              <w:t>政府安全儲油</w:t>
            </w:r>
          </w:p>
        </w:tc>
        <w:tc>
          <w:tcPr>
            <w:tcW w:w="1102" w:type="dxa"/>
            <w:shd w:val="clear" w:color="auto" w:fill="auto"/>
            <w:vAlign w:val="center"/>
            <w:hideMark/>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hideMark/>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1166" w:type="dxa"/>
            <w:shd w:val="clear" w:color="auto" w:fill="auto"/>
            <w:vAlign w:val="center"/>
            <w:hideMark/>
          </w:tcPr>
          <w:p w:rsidR="001B3856" w:rsidRPr="00E15BFA" w:rsidRDefault="001B3856" w:rsidP="001B3856">
            <w:pPr>
              <w:spacing w:line="240" w:lineRule="exact"/>
              <w:jc w:val="center"/>
              <w:rPr>
                <w:rFonts w:hAnsi="標楷體"/>
                <w:sz w:val="24"/>
                <w:szCs w:val="24"/>
              </w:rPr>
            </w:pPr>
          </w:p>
        </w:tc>
      </w:tr>
      <w:tr w:rsidR="001B3856" w:rsidRPr="00E15BFA" w:rsidTr="00197971">
        <w:trPr>
          <w:trHeight w:val="223"/>
        </w:trPr>
        <w:tc>
          <w:tcPr>
            <w:tcW w:w="851" w:type="dxa"/>
            <w:vMerge w:val="restart"/>
            <w:shd w:val="clear" w:color="auto" w:fill="auto"/>
            <w:vAlign w:val="center"/>
            <w:hideMark/>
          </w:tcPr>
          <w:p w:rsidR="001B3856" w:rsidRPr="00E15BFA" w:rsidRDefault="001B3856" w:rsidP="001B3856">
            <w:pPr>
              <w:spacing w:line="240" w:lineRule="exact"/>
              <w:jc w:val="center"/>
              <w:rPr>
                <w:rFonts w:hAnsi="標楷體"/>
                <w:b/>
                <w:sz w:val="24"/>
                <w:szCs w:val="24"/>
              </w:rPr>
            </w:pPr>
            <w:r w:rsidRPr="00E15BFA">
              <w:rPr>
                <w:rFonts w:hAnsi="標楷體"/>
                <w:b/>
                <w:sz w:val="24"/>
                <w:szCs w:val="24"/>
              </w:rPr>
              <w:t>彈性條款</w:t>
            </w:r>
          </w:p>
        </w:tc>
        <w:tc>
          <w:tcPr>
            <w:tcW w:w="4568" w:type="dxa"/>
            <w:shd w:val="clear" w:color="auto" w:fill="auto"/>
          </w:tcPr>
          <w:p w:rsidR="001B3856" w:rsidRPr="00E15BFA" w:rsidRDefault="001B3856" w:rsidP="001B3856">
            <w:pPr>
              <w:spacing w:line="240" w:lineRule="exact"/>
              <w:rPr>
                <w:rFonts w:hAnsi="標楷體"/>
                <w:sz w:val="24"/>
                <w:szCs w:val="24"/>
              </w:rPr>
            </w:pPr>
            <w:r w:rsidRPr="00E15BFA">
              <w:rPr>
                <w:rFonts w:hAnsi="標楷體"/>
                <w:sz w:val="24"/>
                <w:szCs w:val="24"/>
              </w:rPr>
              <w:t>其他經中央主管機關認為穩定石油供應及維護油品市場秩序之必要措施</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p>
        </w:tc>
      </w:tr>
      <w:tr w:rsidR="001B3856" w:rsidRPr="00E15BFA" w:rsidTr="00197971">
        <w:trPr>
          <w:trHeight w:val="223"/>
        </w:trPr>
        <w:tc>
          <w:tcPr>
            <w:tcW w:w="851" w:type="dxa"/>
            <w:vMerge/>
            <w:shd w:val="clear" w:color="auto" w:fill="auto"/>
            <w:vAlign w:val="center"/>
          </w:tcPr>
          <w:p w:rsidR="001B3856" w:rsidRPr="00E15BFA" w:rsidRDefault="001B3856" w:rsidP="001B3856">
            <w:pPr>
              <w:spacing w:line="240" w:lineRule="exact"/>
              <w:jc w:val="center"/>
              <w:rPr>
                <w:rFonts w:hAnsi="標楷體"/>
                <w:b/>
                <w:sz w:val="24"/>
                <w:szCs w:val="24"/>
              </w:rPr>
            </w:pPr>
          </w:p>
        </w:tc>
        <w:tc>
          <w:tcPr>
            <w:tcW w:w="4568" w:type="dxa"/>
            <w:shd w:val="clear" w:color="auto" w:fill="auto"/>
          </w:tcPr>
          <w:p w:rsidR="001B3856" w:rsidRPr="00E15BFA" w:rsidRDefault="001B3856" w:rsidP="001B3856">
            <w:pPr>
              <w:spacing w:line="240" w:lineRule="exact"/>
              <w:rPr>
                <w:rFonts w:hAnsi="標楷體"/>
                <w:sz w:val="24"/>
                <w:szCs w:val="24"/>
              </w:rPr>
            </w:pPr>
            <w:r w:rsidRPr="00E15BFA">
              <w:rPr>
                <w:rFonts w:hAnsi="標楷體"/>
                <w:sz w:val="24"/>
                <w:szCs w:val="24"/>
              </w:rPr>
              <w:t>其他經中央主管機關核准再生能源發展之相關用途</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r>
      <w:tr w:rsidR="001B3856" w:rsidRPr="00E15BFA" w:rsidTr="00197971">
        <w:trPr>
          <w:trHeight w:val="223"/>
        </w:trPr>
        <w:tc>
          <w:tcPr>
            <w:tcW w:w="851" w:type="dxa"/>
            <w:vMerge/>
            <w:shd w:val="clear" w:color="auto" w:fill="auto"/>
            <w:vAlign w:val="center"/>
          </w:tcPr>
          <w:p w:rsidR="001B3856" w:rsidRPr="00E15BFA" w:rsidRDefault="001B3856" w:rsidP="001B3856">
            <w:pPr>
              <w:spacing w:line="240" w:lineRule="exact"/>
              <w:jc w:val="center"/>
              <w:rPr>
                <w:rFonts w:hAnsi="標楷體"/>
                <w:b/>
                <w:sz w:val="24"/>
                <w:szCs w:val="24"/>
              </w:rPr>
            </w:pPr>
          </w:p>
        </w:tc>
        <w:tc>
          <w:tcPr>
            <w:tcW w:w="4568" w:type="dxa"/>
            <w:shd w:val="clear" w:color="auto" w:fill="auto"/>
          </w:tcPr>
          <w:p w:rsidR="001B3856" w:rsidRPr="00E15BFA" w:rsidRDefault="001B3856" w:rsidP="001B3856">
            <w:pPr>
              <w:spacing w:line="240" w:lineRule="exact"/>
              <w:rPr>
                <w:rFonts w:hAnsi="標楷體"/>
                <w:sz w:val="24"/>
                <w:szCs w:val="24"/>
              </w:rPr>
            </w:pPr>
            <w:r w:rsidRPr="00E15BFA">
              <w:rPr>
                <w:rFonts w:hAnsi="標楷體"/>
                <w:sz w:val="24"/>
                <w:szCs w:val="24"/>
              </w:rPr>
              <w:t>其他經核定之支出(不含中央主管機關認為穩定石油供應及維護油品市場秩序之必要措施與核准再生能源發展之相關用途)</w:t>
            </w:r>
          </w:p>
        </w:tc>
        <w:tc>
          <w:tcPr>
            <w:tcW w:w="1102" w:type="dxa"/>
            <w:shd w:val="clear" w:color="auto" w:fill="auto"/>
            <w:vAlign w:val="center"/>
          </w:tcPr>
          <w:p w:rsidR="001B3856" w:rsidRPr="00E15BFA" w:rsidRDefault="001B3856" w:rsidP="001B3856">
            <w:pPr>
              <w:spacing w:line="240" w:lineRule="exact"/>
              <w:jc w:val="center"/>
              <w:rPr>
                <w:rFonts w:hAnsi="標楷體"/>
                <w:sz w:val="24"/>
                <w:szCs w:val="24"/>
              </w:rPr>
            </w:pPr>
            <w:r w:rsidRPr="00E15BFA">
              <w:rPr>
                <w:rFonts w:hAnsi="標楷體"/>
                <w:sz w:val="24"/>
                <w:szCs w:val="24"/>
              </w:rPr>
              <w:sym w:font="Wingdings" w:char="F0FC"/>
            </w:r>
          </w:p>
        </w:tc>
        <w:tc>
          <w:tcPr>
            <w:tcW w:w="850" w:type="dxa"/>
            <w:shd w:val="clear" w:color="auto" w:fill="auto"/>
            <w:vAlign w:val="center"/>
          </w:tcPr>
          <w:p w:rsidR="001B3856" w:rsidRPr="00E15BFA" w:rsidRDefault="001B3856" w:rsidP="001B3856">
            <w:pPr>
              <w:spacing w:line="240" w:lineRule="exact"/>
              <w:jc w:val="center"/>
              <w:rPr>
                <w:rFonts w:hAnsi="標楷體"/>
                <w:sz w:val="24"/>
                <w:szCs w:val="24"/>
              </w:rPr>
            </w:pPr>
          </w:p>
        </w:tc>
        <w:tc>
          <w:tcPr>
            <w:tcW w:w="1166" w:type="dxa"/>
            <w:shd w:val="clear" w:color="auto" w:fill="auto"/>
            <w:vAlign w:val="center"/>
          </w:tcPr>
          <w:p w:rsidR="001B3856" w:rsidRPr="00E15BFA" w:rsidRDefault="001B3856" w:rsidP="001B3856">
            <w:pPr>
              <w:spacing w:line="240" w:lineRule="exact"/>
              <w:jc w:val="center"/>
              <w:rPr>
                <w:rFonts w:hAnsi="標楷體"/>
                <w:sz w:val="24"/>
                <w:szCs w:val="24"/>
              </w:rPr>
            </w:pPr>
          </w:p>
        </w:tc>
      </w:tr>
    </w:tbl>
    <w:p w:rsidR="001B3856" w:rsidRDefault="001B3856" w:rsidP="001B3856">
      <w:pPr>
        <w:pStyle w:val="41"/>
        <w:ind w:leftChars="334" w:left="1568" w:hangingChars="166" w:hanging="432"/>
        <w:rPr>
          <w:sz w:val="24"/>
          <w:szCs w:val="24"/>
        </w:rPr>
      </w:pPr>
      <w:r w:rsidRPr="00E15BFA">
        <w:rPr>
          <w:rFonts w:hint="eastAsia"/>
          <w:sz w:val="24"/>
          <w:szCs w:val="24"/>
        </w:rPr>
        <w:t>資料來源：經濟部。</w:t>
      </w:r>
    </w:p>
    <w:p w:rsidR="00703D6D" w:rsidRDefault="00703D6D" w:rsidP="001B3856">
      <w:pPr>
        <w:pStyle w:val="41"/>
        <w:ind w:leftChars="334" w:left="1568" w:hangingChars="166" w:hanging="432"/>
        <w:rPr>
          <w:sz w:val="24"/>
          <w:szCs w:val="24"/>
        </w:rPr>
      </w:pPr>
    </w:p>
    <w:p w:rsidR="001B3856" w:rsidRDefault="00DD57F1" w:rsidP="009C0194">
      <w:pPr>
        <w:pStyle w:val="3"/>
        <w:ind w:rightChars="141" w:right="480"/>
      </w:pPr>
      <w:r w:rsidRPr="006F05A1">
        <w:rPr>
          <w:rFonts w:hint="eastAsia"/>
        </w:rPr>
        <w:t>依經濟部「2016年能源產業技術白皮書」</w:t>
      </w:r>
      <w:r>
        <w:rPr>
          <w:rFonts w:hint="eastAsia"/>
        </w:rPr>
        <w:t>，</w:t>
      </w:r>
      <w:r w:rsidR="00C2167B">
        <w:rPr>
          <w:rFonts w:hint="eastAsia"/>
        </w:rPr>
        <w:t>為提升能源自主率以</w:t>
      </w:r>
      <w:r w:rsidR="001B3856">
        <w:rPr>
          <w:rFonts w:hint="eastAsia"/>
        </w:rPr>
        <w:t>強化我國的能源安全，政府從</w:t>
      </w:r>
      <w:r w:rsidR="00763901">
        <w:rPr>
          <w:rFonts w:hint="eastAsia"/>
        </w:rPr>
        <w:t>105</w:t>
      </w:r>
      <w:r w:rsidR="001B3856">
        <w:rPr>
          <w:rFonts w:hint="eastAsia"/>
        </w:rPr>
        <w:t>年</w:t>
      </w:r>
      <w:r w:rsidR="001B3856">
        <w:t>5</w:t>
      </w:r>
      <w:r w:rsidR="001B3856">
        <w:rPr>
          <w:rFonts w:hint="eastAsia"/>
        </w:rPr>
        <w:t>月開始加速推動綠能產業，全力發展綠色智慧電網及建立可循環的能源系統；訂定再生能源發電占比目標將由</w:t>
      </w:r>
      <w:r w:rsidR="00763901">
        <w:rPr>
          <w:rFonts w:hint="eastAsia"/>
        </w:rPr>
        <w:t>104</w:t>
      </w:r>
      <w:r w:rsidR="001B3856">
        <w:rPr>
          <w:rFonts w:hint="eastAsia"/>
        </w:rPr>
        <w:t>年</w:t>
      </w:r>
      <w:r w:rsidR="006311C3">
        <w:rPr>
          <w:rFonts w:hint="eastAsia"/>
        </w:rPr>
        <w:t>之</w:t>
      </w:r>
      <w:r w:rsidR="001B3856">
        <w:t>4%</w:t>
      </w:r>
      <w:r w:rsidR="001B3856">
        <w:rPr>
          <w:rFonts w:hint="eastAsia"/>
        </w:rPr>
        <w:t>提升到</w:t>
      </w:r>
      <w:r w:rsidR="00763901">
        <w:rPr>
          <w:rFonts w:hint="eastAsia"/>
        </w:rPr>
        <w:t>114</w:t>
      </w:r>
      <w:r w:rsidR="001B3856">
        <w:rPr>
          <w:rFonts w:hint="eastAsia"/>
        </w:rPr>
        <w:t>年</w:t>
      </w:r>
      <w:r w:rsidR="006311C3">
        <w:rPr>
          <w:rFonts w:hint="eastAsia"/>
        </w:rPr>
        <w:t>之</w:t>
      </w:r>
      <w:r w:rsidR="001B3856">
        <w:t>20%</w:t>
      </w:r>
      <w:r w:rsidR="001B3856">
        <w:rPr>
          <w:rFonts w:hint="eastAsia"/>
        </w:rPr>
        <w:t>，同時提倡節約用電，期望結合全國各縣市一起發動「省一座核電廠」運動之願景。</w:t>
      </w:r>
      <w:r w:rsidR="00763901">
        <w:rPr>
          <w:rFonts w:hint="eastAsia"/>
        </w:rPr>
        <w:t>同時經由</w:t>
      </w:r>
      <w:r w:rsidR="001B3856">
        <w:rPr>
          <w:rFonts w:hint="eastAsia"/>
        </w:rPr>
        <w:t>開發綠色能源</w:t>
      </w:r>
      <w:r w:rsidR="00763901">
        <w:rPr>
          <w:rFonts w:hint="eastAsia"/>
        </w:rPr>
        <w:t>，</w:t>
      </w:r>
      <w:r w:rsidR="001B3856">
        <w:rPr>
          <w:rFonts w:hint="eastAsia"/>
        </w:rPr>
        <w:t>將以循環經濟理念建立完整經濟創新生態體系，除可促進國內綠能產業發展，</w:t>
      </w:r>
      <w:r w:rsidR="00763901">
        <w:rPr>
          <w:rFonts w:hint="eastAsia"/>
        </w:rPr>
        <w:lastRenderedPageBreak/>
        <w:t>並結合國內綠色科技產業</w:t>
      </w:r>
      <w:r>
        <w:rPr>
          <w:rFonts w:hint="eastAsia"/>
        </w:rPr>
        <w:t>之</w:t>
      </w:r>
      <w:r w:rsidR="00763901">
        <w:rPr>
          <w:rFonts w:hint="eastAsia"/>
        </w:rPr>
        <w:t>研發，期</w:t>
      </w:r>
      <w:r w:rsidR="001B3856">
        <w:rPr>
          <w:rFonts w:hint="eastAsia"/>
        </w:rPr>
        <w:t>望</w:t>
      </w:r>
      <w:r>
        <w:rPr>
          <w:rFonts w:hint="eastAsia"/>
        </w:rPr>
        <w:t>至</w:t>
      </w:r>
      <w:r w:rsidR="00763901">
        <w:rPr>
          <w:rFonts w:hint="eastAsia"/>
        </w:rPr>
        <w:t>114</w:t>
      </w:r>
      <w:r w:rsidR="001B3856">
        <w:rPr>
          <w:rFonts w:hint="eastAsia"/>
        </w:rPr>
        <w:t>年能創造綠色產業產值5,000億元目標。</w:t>
      </w:r>
      <w:r w:rsidR="00763901">
        <w:rPr>
          <w:rFonts w:hint="eastAsia"/>
        </w:rPr>
        <w:t>且藉由</w:t>
      </w:r>
      <w:r w:rsidR="001B3856">
        <w:rPr>
          <w:rFonts w:hint="eastAsia"/>
        </w:rPr>
        <w:t>綠能發展與國際協議接軌，朝永續經營與減碳目標邁進，進而在</w:t>
      </w:r>
      <w:r w:rsidR="00763901">
        <w:rPr>
          <w:rFonts w:hint="eastAsia"/>
        </w:rPr>
        <w:t>119</w:t>
      </w:r>
      <w:r w:rsidR="001B3856">
        <w:rPr>
          <w:rFonts w:hint="eastAsia"/>
        </w:rPr>
        <w:t>年溫室氣體排放為排放基線減量</w:t>
      </w:r>
      <w:r w:rsidR="001B3856">
        <w:t>50%</w:t>
      </w:r>
      <w:r w:rsidR="001B3856">
        <w:rPr>
          <w:rFonts w:hint="eastAsia"/>
        </w:rPr>
        <w:t>，即達到降為</w:t>
      </w:r>
      <w:r w:rsidR="001B3856">
        <w:t>2.14</w:t>
      </w:r>
      <w:r w:rsidR="001B3856">
        <w:rPr>
          <w:rFonts w:hint="eastAsia"/>
        </w:rPr>
        <w:t>億噸</w:t>
      </w:r>
      <w:r w:rsidR="001B3856">
        <w:t>CO</w:t>
      </w:r>
      <w:r w:rsidR="001B3856" w:rsidRPr="00763901">
        <w:rPr>
          <w:sz w:val="11"/>
          <w:szCs w:val="11"/>
        </w:rPr>
        <w:t>2</w:t>
      </w:r>
      <w:r w:rsidR="001B3856">
        <w:rPr>
          <w:rFonts w:hint="eastAsia"/>
        </w:rPr>
        <w:t>當量目標。</w:t>
      </w:r>
    </w:p>
    <w:p w:rsidR="001B3856" w:rsidRPr="00DD6374" w:rsidRDefault="00DD57F1" w:rsidP="009C0194">
      <w:pPr>
        <w:pStyle w:val="3"/>
        <w:ind w:rightChars="99" w:right="337"/>
      </w:pPr>
      <w:r>
        <w:rPr>
          <w:rFonts w:hint="eastAsia"/>
        </w:rPr>
        <w:t>再</w:t>
      </w:r>
      <w:r w:rsidR="001B3856" w:rsidRPr="006F05A1">
        <w:rPr>
          <w:rFonts w:hint="eastAsia"/>
        </w:rPr>
        <w:t>依經濟部「2016年能源產業技術白皮書」，</w:t>
      </w:r>
      <w:r w:rsidR="00763901">
        <w:rPr>
          <w:rFonts w:hint="eastAsia"/>
        </w:rPr>
        <w:t>至105年</w:t>
      </w:r>
      <w:r w:rsidR="001B3856" w:rsidRPr="006F05A1">
        <w:rPr>
          <w:rFonts w:hint="eastAsia"/>
        </w:rPr>
        <w:t>我國推動再生能源之目標裝置容量為4,480MW（百萬瓦），</w:t>
      </w:r>
      <w:r w:rsidR="00763901">
        <w:rPr>
          <w:rFonts w:hint="eastAsia"/>
        </w:rPr>
        <w:t>經查</w:t>
      </w:r>
      <w:r w:rsidR="001B3856" w:rsidRPr="006F05A1">
        <w:rPr>
          <w:rFonts w:hint="eastAsia"/>
        </w:rPr>
        <w:t>迄105年底再生能源累計裝置容量為4,722MW，</w:t>
      </w:r>
      <w:r w:rsidR="00763901">
        <w:rPr>
          <w:rFonts w:hint="eastAsia"/>
        </w:rPr>
        <w:t>尚符白皮書所訂目標</w:t>
      </w:r>
      <w:r w:rsidR="00A35BE2">
        <w:rPr>
          <w:rFonts w:hint="eastAsia"/>
        </w:rPr>
        <w:t>。惟</w:t>
      </w:r>
      <w:r w:rsidR="00DD6374">
        <w:rPr>
          <w:rFonts w:hint="eastAsia"/>
        </w:rPr>
        <w:t>查</w:t>
      </w:r>
      <w:r w:rsidR="00A35BE2">
        <w:rPr>
          <w:rFonts w:hint="eastAsia"/>
        </w:rPr>
        <w:t>作為綠色</w:t>
      </w:r>
      <w:r w:rsidR="00703D6D">
        <w:rPr>
          <w:rFonts w:hint="eastAsia"/>
        </w:rPr>
        <w:t>能</w:t>
      </w:r>
      <w:r w:rsidR="00A35BE2">
        <w:rPr>
          <w:rFonts w:hint="eastAsia"/>
        </w:rPr>
        <w:t>源發展重點之風力發電部分，白皮書</w:t>
      </w:r>
      <w:r>
        <w:rPr>
          <w:rFonts w:hint="eastAsia"/>
        </w:rPr>
        <w:t>原</w:t>
      </w:r>
      <w:r w:rsidR="00A35BE2">
        <w:rPr>
          <w:rFonts w:hint="eastAsia"/>
        </w:rPr>
        <w:t>訂定104年之</w:t>
      </w:r>
      <w:r w:rsidR="00B402E1">
        <w:rPr>
          <w:rFonts w:hint="eastAsia"/>
        </w:rPr>
        <w:t>目標</w:t>
      </w:r>
      <w:r w:rsidR="00A35BE2">
        <w:rPr>
          <w:rFonts w:hint="eastAsia"/>
        </w:rPr>
        <w:t>裝置容量為737</w:t>
      </w:r>
      <w:r w:rsidR="00A35BE2" w:rsidRPr="006F05A1">
        <w:rPr>
          <w:rFonts w:hint="eastAsia"/>
        </w:rPr>
        <w:t>MW</w:t>
      </w:r>
      <w:r w:rsidR="00A35BE2">
        <w:rPr>
          <w:rFonts w:hint="eastAsia"/>
        </w:rPr>
        <w:t>，</w:t>
      </w:r>
      <w:r w:rsidR="008656C4">
        <w:rPr>
          <w:rFonts w:hint="eastAsia"/>
        </w:rPr>
        <w:t>然104年及105年之</w:t>
      </w:r>
      <w:r w:rsidR="00A35BE2">
        <w:rPr>
          <w:rFonts w:hint="eastAsia"/>
        </w:rPr>
        <w:t>實際裝置容量</w:t>
      </w:r>
      <w:r w:rsidR="008656C4">
        <w:rPr>
          <w:rFonts w:hint="eastAsia"/>
        </w:rPr>
        <w:t>分別</w:t>
      </w:r>
      <w:r w:rsidR="00A35BE2">
        <w:rPr>
          <w:rFonts w:hint="eastAsia"/>
        </w:rPr>
        <w:t>為</w:t>
      </w:r>
      <w:r w:rsidR="00A35BE2" w:rsidRPr="00DD6374">
        <w:rPr>
          <w:rFonts w:hint="eastAsia"/>
        </w:rPr>
        <w:t>647</w:t>
      </w:r>
      <w:r w:rsidR="00A35BE2" w:rsidRPr="006F05A1">
        <w:rPr>
          <w:rFonts w:hint="eastAsia"/>
        </w:rPr>
        <w:t>MW</w:t>
      </w:r>
      <w:r w:rsidR="008656C4">
        <w:rPr>
          <w:rFonts w:hint="eastAsia"/>
        </w:rPr>
        <w:t>及</w:t>
      </w:r>
      <w:r w:rsidR="008656C4" w:rsidRPr="008656C4">
        <w:rPr>
          <w:rFonts w:hint="eastAsia"/>
        </w:rPr>
        <w:t>682</w:t>
      </w:r>
      <w:r w:rsidR="008656C4" w:rsidRPr="006F05A1">
        <w:rPr>
          <w:rFonts w:hint="eastAsia"/>
        </w:rPr>
        <w:t>MW</w:t>
      </w:r>
      <w:r w:rsidR="00DD6374">
        <w:rPr>
          <w:rFonts w:hint="eastAsia"/>
        </w:rPr>
        <w:t>，</w:t>
      </w:r>
      <w:r w:rsidR="006311C3">
        <w:rPr>
          <w:rFonts w:hint="eastAsia"/>
        </w:rPr>
        <w:t>明顯落後</w:t>
      </w:r>
      <w:r w:rsidR="008656C4">
        <w:rPr>
          <w:rFonts w:hint="eastAsia"/>
        </w:rPr>
        <w:t>於目標</w:t>
      </w:r>
      <w:r>
        <w:rPr>
          <w:rFonts w:hint="eastAsia"/>
        </w:rPr>
        <w:t>裝置容</w:t>
      </w:r>
      <w:r w:rsidR="008656C4">
        <w:rPr>
          <w:rFonts w:hint="eastAsia"/>
        </w:rPr>
        <w:t>量；又</w:t>
      </w:r>
      <w:r w:rsidR="00A35BE2">
        <w:rPr>
          <w:rFonts w:hint="eastAsia"/>
        </w:rPr>
        <w:t>白皮書亦</w:t>
      </w:r>
      <w:r w:rsidR="00A35BE2" w:rsidRPr="00DD6374">
        <w:rPr>
          <w:rFonts w:hint="eastAsia"/>
        </w:rPr>
        <w:t>預計於105年完成首座離岸風力</w:t>
      </w:r>
      <w:r w:rsidR="00A35BE2" w:rsidRPr="0048095C">
        <w:rPr>
          <w:rFonts w:hAnsi="標楷體" w:hint="eastAsia"/>
          <w:szCs w:val="32"/>
        </w:rPr>
        <w:t>機</w:t>
      </w:r>
      <w:r w:rsidR="00A35BE2">
        <w:rPr>
          <w:rFonts w:hAnsi="標楷體" w:hint="eastAsia"/>
          <w:szCs w:val="32"/>
        </w:rPr>
        <w:t>，然迄105年底我國在離岸風力機仍未</w:t>
      </w:r>
      <w:r w:rsidR="00DD6374">
        <w:rPr>
          <w:rFonts w:hAnsi="標楷體" w:hint="eastAsia"/>
          <w:szCs w:val="32"/>
        </w:rPr>
        <w:t>有</w:t>
      </w:r>
      <w:r w:rsidR="00A35BE2">
        <w:rPr>
          <w:rFonts w:hAnsi="標楷體" w:hint="eastAsia"/>
          <w:szCs w:val="32"/>
        </w:rPr>
        <w:t>裝機實績</w:t>
      </w:r>
      <w:r w:rsidR="00DD6374">
        <w:rPr>
          <w:rFonts w:hAnsi="標楷體" w:hint="eastAsia"/>
          <w:szCs w:val="32"/>
        </w:rPr>
        <w:t>，</w:t>
      </w:r>
      <w:r w:rsidR="00703D6D">
        <w:rPr>
          <w:rFonts w:hAnsi="標楷體" w:hint="eastAsia"/>
          <w:szCs w:val="32"/>
        </w:rPr>
        <w:t>顯見</w:t>
      </w:r>
      <w:r w:rsidR="008656C4">
        <w:rPr>
          <w:rFonts w:hAnsi="標楷體" w:hint="eastAsia"/>
          <w:szCs w:val="32"/>
        </w:rPr>
        <w:t>我國發展</w:t>
      </w:r>
      <w:r w:rsidR="008656C4">
        <w:rPr>
          <w:rFonts w:hint="eastAsia"/>
        </w:rPr>
        <w:t>風力發電方面已</w:t>
      </w:r>
      <w:r w:rsidR="00A35BE2">
        <w:rPr>
          <w:rFonts w:hint="eastAsia"/>
        </w:rPr>
        <w:t>有落後</w:t>
      </w:r>
      <w:r w:rsidR="00DD6374">
        <w:rPr>
          <w:rFonts w:hint="eastAsia"/>
        </w:rPr>
        <w:t>情形。爰經濟</w:t>
      </w:r>
      <w:r w:rsidR="00DD6374" w:rsidRPr="001B3856">
        <w:rPr>
          <w:rFonts w:hAnsi="標楷體" w:hint="eastAsia"/>
          <w:color w:val="000000"/>
          <w:szCs w:val="32"/>
        </w:rPr>
        <w:t>部應積極督促能源三</w:t>
      </w:r>
      <w:r w:rsidR="00703D6D">
        <w:rPr>
          <w:rFonts w:hAnsi="標楷體" w:hint="eastAsia"/>
          <w:color w:val="000000"/>
          <w:szCs w:val="32"/>
        </w:rPr>
        <w:t>基金善用現有資源，致力推動我國綠色能源發展，解決電力供應缺口，</w:t>
      </w:r>
      <w:r w:rsidR="00DD6374" w:rsidRPr="001B3856">
        <w:rPr>
          <w:rFonts w:hAnsi="標楷體" w:hint="eastAsia"/>
          <w:color w:val="000000"/>
          <w:szCs w:val="32"/>
        </w:rPr>
        <w:t>進而帶動</w:t>
      </w:r>
      <w:r>
        <w:rPr>
          <w:rFonts w:hAnsi="標楷體" w:hint="eastAsia"/>
          <w:color w:val="000000"/>
          <w:szCs w:val="32"/>
        </w:rPr>
        <w:t>相關</w:t>
      </w:r>
      <w:r w:rsidR="00DD6374" w:rsidRPr="001B3856">
        <w:rPr>
          <w:rFonts w:hAnsi="標楷體" w:hint="eastAsia"/>
          <w:color w:val="000000"/>
          <w:szCs w:val="32"/>
        </w:rPr>
        <w:t>產業成長</w:t>
      </w:r>
      <w:r w:rsidR="00DD6374">
        <w:rPr>
          <w:rFonts w:hAnsi="標楷體" w:hint="eastAsia"/>
          <w:color w:val="000000"/>
          <w:szCs w:val="32"/>
        </w:rPr>
        <w:t>。</w:t>
      </w:r>
    </w:p>
    <w:p w:rsidR="001B3856" w:rsidRPr="00703D6D" w:rsidRDefault="00DD6374" w:rsidP="00905C11">
      <w:pPr>
        <w:pStyle w:val="3"/>
        <w:ind w:rightChars="99" w:right="337"/>
        <w:rPr>
          <w:sz w:val="24"/>
          <w:szCs w:val="24"/>
        </w:rPr>
      </w:pPr>
      <w:r>
        <w:rPr>
          <w:rFonts w:hAnsi="標楷體" w:hint="eastAsia"/>
          <w:color w:val="000000"/>
          <w:szCs w:val="32"/>
        </w:rPr>
        <w:t>綜上，</w:t>
      </w:r>
      <w:r w:rsidR="00675DBF" w:rsidRPr="00675DBF">
        <w:rPr>
          <w:rFonts w:hAnsi="標楷體" w:hint="eastAsia"/>
          <w:szCs w:val="32"/>
        </w:rPr>
        <w:t>經濟部為解決所屬</w:t>
      </w:r>
      <w:r w:rsidR="00675DBF" w:rsidRPr="00675DBF">
        <w:rPr>
          <w:rFonts w:hint="eastAsia"/>
        </w:rPr>
        <w:t>「能源研究發展基金」、「石油基金」及「再生能源發展基金」等</w:t>
      </w:r>
      <w:r w:rsidR="00703D6D">
        <w:rPr>
          <w:rFonts w:hAnsi="標楷體" w:hint="eastAsia"/>
          <w:szCs w:val="32"/>
        </w:rPr>
        <w:t>能源三基金</w:t>
      </w:r>
      <w:r w:rsidR="00675DBF" w:rsidRPr="00675DBF">
        <w:rPr>
          <w:rFonts w:hAnsi="標楷體" w:hint="eastAsia"/>
          <w:szCs w:val="32"/>
        </w:rPr>
        <w:t>所涉</w:t>
      </w:r>
      <w:r w:rsidR="00675DBF" w:rsidRPr="00675DBF">
        <w:rPr>
          <w:rFonts w:hAnsi="標楷體" w:hint="eastAsia"/>
          <w:color w:val="000000"/>
          <w:szCs w:val="32"/>
        </w:rPr>
        <w:t>法定用途重疊問題，</w:t>
      </w:r>
      <w:r w:rsidR="00675DBF" w:rsidRPr="00675DBF">
        <w:rPr>
          <w:rFonts w:hAnsi="標楷體"/>
          <w:color w:val="000000"/>
          <w:szCs w:val="32"/>
        </w:rPr>
        <w:t>業於104年12月17日訂定</w:t>
      </w:r>
      <w:r w:rsidR="00675DBF" w:rsidRPr="00675DBF">
        <w:rPr>
          <w:rFonts w:hint="eastAsia"/>
        </w:rPr>
        <w:t>「能源研究發展基金石油基金及再生能源發展基金業務劃分作業要點」</w:t>
      </w:r>
      <w:r w:rsidR="00675DBF" w:rsidRPr="00675DBF">
        <w:rPr>
          <w:rFonts w:hAnsi="標楷體"/>
          <w:color w:val="000000"/>
          <w:szCs w:val="32"/>
        </w:rPr>
        <w:t>，作為能源三基金預算支用依據</w:t>
      </w:r>
      <w:r w:rsidR="00675DBF" w:rsidRPr="00675DBF">
        <w:rPr>
          <w:rFonts w:hAnsi="標楷體" w:hint="eastAsia"/>
          <w:color w:val="000000"/>
          <w:szCs w:val="32"/>
        </w:rPr>
        <w:t>，以</w:t>
      </w:r>
      <w:r w:rsidR="00675DBF" w:rsidRPr="00675DBF">
        <w:rPr>
          <w:rFonts w:hAnsi="標楷體"/>
          <w:color w:val="000000"/>
          <w:szCs w:val="32"/>
        </w:rPr>
        <w:t>避免</w:t>
      </w:r>
      <w:r w:rsidR="00675DBF" w:rsidRPr="00675DBF">
        <w:rPr>
          <w:rFonts w:hAnsi="標楷體" w:hint="eastAsia"/>
          <w:color w:val="000000"/>
          <w:szCs w:val="32"/>
        </w:rPr>
        <w:t>重複編列與支用預算。然該部允應更積極督促能源三基金善用現有資源，順應國際上節能減碳之重大</w:t>
      </w:r>
      <w:r w:rsidR="00703D6D">
        <w:rPr>
          <w:rFonts w:hAnsi="標楷體" w:hint="eastAsia"/>
          <w:color w:val="000000"/>
          <w:szCs w:val="32"/>
        </w:rPr>
        <w:t>趨勢，致力推動我國綠色能源發展，以解決電力供應可能發生之缺口，</w:t>
      </w:r>
      <w:r w:rsidR="00675DBF" w:rsidRPr="00675DBF">
        <w:rPr>
          <w:rFonts w:hAnsi="標楷體" w:hint="eastAsia"/>
          <w:color w:val="000000"/>
          <w:szCs w:val="32"/>
        </w:rPr>
        <w:t>進而帶動相關產業成長</w:t>
      </w:r>
      <w:r w:rsidRPr="001B3856">
        <w:rPr>
          <w:rFonts w:hAnsi="標楷體"/>
          <w:color w:val="000000"/>
          <w:szCs w:val="32"/>
        </w:rPr>
        <w:t>。</w:t>
      </w:r>
      <w:r w:rsidR="006311C3">
        <w:rPr>
          <w:rFonts w:hAnsi="標楷體" w:hint="eastAsia"/>
          <w:color w:val="000000"/>
          <w:szCs w:val="32"/>
        </w:rPr>
        <w:t xml:space="preserve"> </w:t>
      </w:r>
    </w:p>
    <w:p w:rsidR="00703D6D" w:rsidRPr="0076270F" w:rsidRDefault="00703D6D" w:rsidP="00703D6D">
      <w:pPr>
        <w:pStyle w:val="3"/>
        <w:numPr>
          <w:ilvl w:val="0"/>
          <w:numId w:val="0"/>
        </w:numPr>
        <w:ind w:left="1361"/>
        <w:rPr>
          <w:sz w:val="24"/>
          <w:szCs w:val="24"/>
        </w:rPr>
      </w:pPr>
    </w:p>
    <w:p w:rsidR="001B3856" w:rsidRPr="00D1173F" w:rsidRDefault="00781245" w:rsidP="009C0194">
      <w:pPr>
        <w:pStyle w:val="2"/>
        <w:ind w:rightChars="99" w:right="337"/>
        <w:rPr>
          <w:rFonts w:hAnsi="標楷體"/>
          <w:b/>
          <w:color w:val="000000"/>
          <w:kern w:val="0"/>
        </w:rPr>
      </w:pPr>
      <w:r w:rsidRPr="00D1173F">
        <w:rPr>
          <w:rFonts w:hAnsi="標楷體" w:hint="eastAsia"/>
          <w:b/>
          <w:color w:val="000000"/>
          <w:kern w:val="0"/>
        </w:rPr>
        <w:t>有關</w:t>
      </w:r>
      <w:r w:rsidR="00F8670F" w:rsidRPr="00D1173F">
        <w:rPr>
          <w:rFonts w:hAnsi="標楷體" w:hint="eastAsia"/>
          <w:b/>
          <w:color w:val="000000"/>
          <w:kern w:val="0"/>
        </w:rPr>
        <w:t>「通訊傳播監督管理基金」及「有線廣播電視</w:t>
      </w:r>
      <w:r w:rsidR="00F8670F" w:rsidRPr="00D1173F">
        <w:rPr>
          <w:rFonts w:hAnsi="標楷體" w:hint="eastAsia"/>
          <w:b/>
          <w:color w:val="000000"/>
          <w:kern w:val="0"/>
        </w:rPr>
        <w:lastRenderedPageBreak/>
        <w:t>事業發展基金」整併事宜，因涉及</w:t>
      </w:r>
      <w:r w:rsidR="00D31B5B">
        <w:rPr>
          <w:rFonts w:hAnsi="標楷體" w:hint="eastAsia"/>
          <w:b/>
          <w:color w:val="000000"/>
          <w:kern w:val="0"/>
        </w:rPr>
        <w:t>「</w:t>
      </w:r>
      <w:r w:rsidR="00F8670F" w:rsidRPr="00D1173F">
        <w:rPr>
          <w:rFonts w:hAnsi="標楷體" w:hint="eastAsia"/>
          <w:b/>
          <w:color w:val="000000"/>
          <w:kern w:val="0"/>
        </w:rPr>
        <w:t>通傳會組織法</w:t>
      </w:r>
      <w:r w:rsidR="00D31B5B">
        <w:rPr>
          <w:rFonts w:hAnsi="標楷體" w:hint="eastAsia"/>
          <w:b/>
          <w:color w:val="000000"/>
          <w:kern w:val="0"/>
        </w:rPr>
        <w:t>」</w:t>
      </w:r>
      <w:r w:rsidR="00F8670F" w:rsidRPr="00D1173F">
        <w:rPr>
          <w:rFonts w:hAnsi="標楷體" w:hint="eastAsia"/>
          <w:b/>
          <w:color w:val="000000"/>
          <w:kern w:val="0"/>
        </w:rPr>
        <w:t>與</w:t>
      </w:r>
      <w:r w:rsidR="00D31B5B">
        <w:rPr>
          <w:rFonts w:hAnsi="標楷體" w:hint="eastAsia"/>
          <w:b/>
          <w:color w:val="000000"/>
          <w:kern w:val="0"/>
        </w:rPr>
        <w:t>「</w:t>
      </w:r>
      <w:r w:rsidR="00F8670F" w:rsidRPr="00D1173F">
        <w:rPr>
          <w:rFonts w:hAnsi="標楷體" w:hint="eastAsia"/>
          <w:b/>
          <w:color w:val="000000"/>
          <w:kern w:val="0"/>
        </w:rPr>
        <w:t>有線廣播電視法</w:t>
      </w:r>
      <w:r w:rsidR="00D31B5B">
        <w:rPr>
          <w:rFonts w:hAnsi="標楷體" w:hint="eastAsia"/>
          <w:b/>
          <w:color w:val="000000"/>
          <w:kern w:val="0"/>
        </w:rPr>
        <w:t>」</w:t>
      </w:r>
      <w:r w:rsidR="00F8670F" w:rsidRPr="00D1173F">
        <w:rPr>
          <w:rFonts w:hAnsi="標楷體" w:hint="eastAsia"/>
          <w:b/>
          <w:color w:val="000000"/>
          <w:kern w:val="0"/>
        </w:rPr>
        <w:t>修法議題，</w:t>
      </w:r>
      <w:r w:rsidRPr="00D1173F">
        <w:rPr>
          <w:rFonts w:hAnsi="標楷體" w:hint="eastAsia"/>
          <w:b/>
          <w:color w:val="000000"/>
          <w:kern w:val="0"/>
        </w:rPr>
        <w:t>規劃</w:t>
      </w:r>
      <w:r w:rsidR="00F26130">
        <w:rPr>
          <w:rFonts w:hAnsi="標楷體" w:hint="eastAsia"/>
          <w:b/>
          <w:color w:val="000000"/>
          <w:kern w:val="0"/>
        </w:rPr>
        <w:t>納入通傳</w:t>
      </w:r>
      <w:r w:rsidR="00F8670F" w:rsidRPr="00D1173F">
        <w:rPr>
          <w:rFonts w:hAnsi="標楷體" w:hint="eastAsia"/>
          <w:b/>
          <w:color w:val="000000"/>
          <w:kern w:val="0"/>
        </w:rPr>
        <w:t>會辦理中之通訊傳播數位匯流修法作業</w:t>
      </w:r>
      <w:r w:rsidR="006311C3" w:rsidRPr="00D1173F">
        <w:rPr>
          <w:rFonts w:hAnsi="標楷體" w:hint="eastAsia"/>
          <w:b/>
          <w:color w:val="000000"/>
          <w:kern w:val="0"/>
        </w:rPr>
        <w:t>之</w:t>
      </w:r>
      <w:r w:rsidR="00F8670F" w:rsidRPr="00D1173F">
        <w:rPr>
          <w:rFonts w:hAnsi="標楷體" w:hint="eastAsia"/>
          <w:b/>
          <w:color w:val="000000"/>
          <w:kern w:val="0"/>
        </w:rPr>
        <w:t>研議範圍</w:t>
      </w:r>
      <w:r w:rsidRPr="00D1173F">
        <w:rPr>
          <w:rFonts w:hAnsi="標楷體" w:hint="eastAsia"/>
          <w:b/>
          <w:color w:val="000000"/>
          <w:kern w:val="0"/>
        </w:rPr>
        <w:t>，目前尚未有定論</w:t>
      </w:r>
      <w:r w:rsidR="00F8670F" w:rsidRPr="00D1173F">
        <w:rPr>
          <w:rFonts w:hAnsi="標楷體" w:hint="eastAsia"/>
          <w:b/>
          <w:color w:val="000000"/>
          <w:kern w:val="0"/>
        </w:rPr>
        <w:t>。</w:t>
      </w:r>
      <w:r w:rsidRPr="00D1173F">
        <w:rPr>
          <w:rFonts w:hAnsi="標楷體" w:hint="eastAsia"/>
          <w:b/>
          <w:color w:val="000000"/>
          <w:kern w:val="0"/>
        </w:rPr>
        <w:t>惟</w:t>
      </w:r>
      <w:r w:rsidR="00E7398A" w:rsidRPr="00D1173F">
        <w:rPr>
          <w:b/>
        </w:rPr>
        <w:t>行政院</w:t>
      </w:r>
      <w:r w:rsidR="009B05A7" w:rsidRPr="00D1173F">
        <w:rPr>
          <w:rFonts w:hint="eastAsia"/>
          <w:b/>
        </w:rPr>
        <w:t>前</w:t>
      </w:r>
      <w:r w:rsidR="00E7398A" w:rsidRPr="00D1173F">
        <w:rPr>
          <w:b/>
        </w:rPr>
        <w:t>核定「數位匯流發展方案」</w:t>
      </w:r>
      <w:r w:rsidR="00E7398A" w:rsidRPr="00D1173F">
        <w:rPr>
          <w:rFonts w:hint="eastAsia"/>
          <w:b/>
        </w:rPr>
        <w:t>中，</w:t>
      </w:r>
      <w:r w:rsidR="00E7398A" w:rsidRPr="00D1173F">
        <w:rPr>
          <w:rFonts w:hint="eastAsia"/>
          <w:b/>
          <w:szCs w:val="32"/>
        </w:rPr>
        <w:t>屬通傳</w:t>
      </w:r>
      <w:r w:rsidR="00E7398A" w:rsidRPr="00D1173F">
        <w:rPr>
          <w:b/>
          <w:szCs w:val="32"/>
        </w:rPr>
        <w:t>會</w:t>
      </w:r>
      <w:r w:rsidR="00E7398A" w:rsidRPr="00D1173F">
        <w:rPr>
          <w:rFonts w:hint="eastAsia"/>
          <w:b/>
          <w:szCs w:val="32"/>
        </w:rPr>
        <w:t>主政指標，尚未全數達成。</w:t>
      </w:r>
      <w:r w:rsidR="00F8670F" w:rsidRPr="00D1173F">
        <w:rPr>
          <w:rFonts w:hAnsi="標楷體" w:hint="eastAsia"/>
          <w:b/>
          <w:color w:val="000000"/>
          <w:kern w:val="0"/>
        </w:rPr>
        <w:t>鑑於數位匯流技術發展，</w:t>
      </w:r>
      <w:r w:rsidR="00E7398A" w:rsidRPr="00D1173F">
        <w:rPr>
          <w:rFonts w:hAnsi="標楷體" w:hint="eastAsia"/>
          <w:b/>
          <w:color w:val="000000"/>
          <w:kern w:val="0"/>
        </w:rPr>
        <w:t>業</w:t>
      </w:r>
      <w:r w:rsidR="00D97AA0" w:rsidRPr="00D1173F">
        <w:rPr>
          <w:rFonts w:hAnsi="標楷體" w:hint="eastAsia"/>
          <w:b/>
          <w:color w:val="000000"/>
          <w:kern w:val="0"/>
        </w:rPr>
        <w:t>打破</w:t>
      </w:r>
      <w:r w:rsidR="00593906" w:rsidRPr="00D1173F">
        <w:rPr>
          <w:rFonts w:hAnsi="標楷體" w:hint="eastAsia"/>
          <w:b/>
          <w:color w:val="000000"/>
          <w:kern w:val="0"/>
        </w:rPr>
        <w:t>原有技術藩籬，消費者</w:t>
      </w:r>
      <w:r w:rsidR="00437BF3">
        <w:rPr>
          <w:rFonts w:hAnsi="標楷體" w:hint="eastAsia"/>
          <w:b/>
          <w:color w:val="000000"/>
          <w:kern w:val="0"/>
        </w:rPr>
        <w:t>已</w:t>
      </w:r>
      <w:r w:rsidR="00593906" w:rsidRPr="00D1173F">
        <w:rPr>
          <w:rFonts w:hAnsi="標楷體" w:hint="eastAsia"/>
          <w:b/>
          <w:color w:val="000000"/>
          <w:kern w:val="0"/>
        </w:rPr>
        <w:t>得經由</w:t>
      </w:r>
      <w:r w:rsidR="003D36FA" w:rsidRPr="003D36FA">
        <w:rPr>
          <w:rFonts w:hAnsi="標楷體" w:hint="eastAsia"/>
          <w:b/>
          <w:color w:val="000000"/>
          <w:kern w:val="0"/>
        </w:rPr>
        <w:t>各式終端設備</w:t>
      </w:r>
      <w:r w:rsidR="00593906" w:rsidRPr="00D1173F">
        <w:rPr>
          <w:rFonts w:hAnsi="標楷體" w:hint="eastAsia"/>
          <w:b/>
          <w:color w:val="000000"/>
          <w:kern w:val="0"/>
        </w:rPr>
        <w:t>取得語音、</w:t>
      </w:r>
      <w:r w:rsidR="003D36FA">
        <w:rPr>
          <w:rFonts w:hAnsi="標楷體" w:hint="eastAsia"/>
          <w:b/>
          <w:color w:val="000000"/>
          <w:kern w:val="0"/>
        </w:rPr>
        <w:t>資訊</w:t>
      </w:r>
      <w:r w:rsidR="00593906" w:rsidRPr="00D1173F">
        <w:rPr>
          <w:rFonts w:hAnsi="標楷體" w:hint="eastAsia"/>
          <w:b/>
          <w:color w:val="000000"/>
          <w:kern w:val="0"/>
        </w:rPr>
        <w:t>及影音內容等服務。</w:t>
      </w:r>
      <w:r w:rsidR="00D97AA0" w:rsidRPr="00D1173F">
        <w:rPr>
          <w:rFonts w:hAnsi="標楷體" w:hint="eastAsia"/>
          <w:b/>
          <w:color w:val="000000"/>
          <w:kern w:val="0"/>
        </w:rPr>
        <w:t>爰通傳會允宜</w:t>
      </w:r>
      <w:r w:rsidR="009B05A7" w:rsidRPr="00D1173F">
        <w:rPr>
          <w:rFonts w:hAnsi="標楷體" w:hint="eastAsia"/>
          <w:b/>
          <w:color w:val="000000"/>
          <w:kern w:val="0"/>
        </w:rPr>
        <w:t>與時俱進，配合前揭技術進步及產業轉變態勢，藉由完備匯流法制，</w:t>
      </w:r>
      <w:r w:rsidR="00593906" w:rsidRPr="00D1173F">
        <w:rPr>
          <w:rFonts w:hAnsi="標楷體" w:hint="eastAsia"/>
          <w:b/>
          <w:color w:val="000000"/>
          <w:kern w:val="0"/>
        </w:rPr>
        <w:t>建立公平競爭及健全發展之通訊傳播環境</w:t>
      </w:r>
      <w:r w:rsidR="00437BF3" w:rsidRPr="00D1173F">
        <w:rPr>
          <w:rFonts w:hAnsi="標楷體" w:hint="eastAsia"/>
          <w:b/>
          <w:color w:val="000000"/>
          <w:kern w:val="0"/>
        </w:rPr>
        <w:t>，以提供民眾更優良服務</w:t>
      </w:r>
      <w:r w:rsidR="00593906" w:rsidRPr="00D1173F">
        <w:rPr>
          <w:rFonts w:hAnsi="標楷體" w:hint="eastAsia"/>
          <w:b/>
          <w:color w:val="000000"/>
          <w:kern w:val="0"/>
        </w:rPr>
        <w:t>，並</w:t>
      </w:r>
      <w:r w:rsidR="009B05A7" w:rsidRPr="00D1173F">
        <w:rPr>
          <w:rFonts w:hAnsi="標楷體" w:hint="eastAsia"/>
          <w:b/>
          <w:color w:val="000000"/>
          <w:kern w:val="0"/>
        </w:rPr>
        <w:t>刺激業界創新發展</w:t>
      </w:r>
      <w:r w:rsidR="009866B2" w:rsidRPr="00D1173F">
        <w:rPr>
          <w:rFonts w:hAnsi="標楷體" w:hint="eastAsia"/>
          <w:b/>
          <w:color w:val="000000"/>
          <w:kern w:val="0"/>
        </w:rPr>
        <w:t>。</w:t>
      </w:r>
      <w:r w:rsidR="00B5238A" w:rsidRPr="00B5238A">
        <w:rPr>
          <w:rFonts w:hAnsi="標楷體" w:hint="eastAsia"/>
          <w:b/>
          <w:color w:val="000000"/>
          <w:kern w:val="0"/>
        </w:rPr>
        <w:t>且「通訊傳播監督管理基金」及「有線廣播電視事業發展基金」整併工作，亦宜考量配合前揭工作進度持續推動。</w:t>
      </w:r>
    </w:p>
    <w:p w:rsidR="009866B2" w:rsidRPr="00740D14" w:rsidRDefault="00740D14" w:rsidP="00905C11">
      <w:pPr>
        <w:pStyle w:val="3"/>
        <w:ind w:rightChars="99" w:right="337"/>
      </w:pPr>
      <w:r>
        <w:rPr>
          <w:rFonts w:hint="eastAsia"/>
        </w:rPr>
        <w:t>依主計總處查復本院稱，</w:t>
      </w:r>
      <w:r>
        <w:rPr>
          <w:rFonts w:hAnsi="標楷體" w:hint="eastAsia"/>
          <w:kern w:val="0"/>
        </w:rPr>
        <w:t>通傳會前已研議</w:t>
      </w:r>
      <w:r>
        <w:rPr>
          <w:rFonts w:hAnsi="標楷體" w:hint="eastAsia"/>
          <w:color w:val="000000"/>
          <w:kern w:val="0"/>
        </w:rPr>
        <w:t>「通訊傳播監督管理基金」及「有線廣播電視事業發展基金」</w:t>
      </w:r>
      <w:r>
        <w:rPr>
          <w:rFonts w:hAnsi="標楷體" w:hint="eastAsia"/>
          <w:kern w:val="0"/>
        </w:rPr>
        <w:t>之整併，研擬通訊傳播匯流五法草案，</w:t>
      </w:r>
      <w:r w:rsidR="00593906">
        <w:rPr>
          <w:rFonts w:hAnsi="標楷體" w:hint="eastAsia"/>
          <w:kern w:val="0"/>
        </w:rPr>
        <w:t>並經</w:t>
      </w:r>
      <w:r>
        <w:rPr>
          <w:rFonts w:hAnsi="標楷體" w:hint="eastAsia"/>
          <w:kern w:val="0"/>
        </w:rPr>
        <w:t>行政院</w:t>
      </w:r>
      <w:r w:rsidR="00593906">
        <w:rPr>
          <w:rFonts w:hAnsi="標楷體" w:hint="eastAsia"/>
          <w:kern w:val="0"/>
        </w:rPr>
        <w:t xml:space="preserve"> 審查</w:t>
      </w:r>
      <w:r>
        <w:rPr>
          <w:rFonts w:hAnsi="標楷體" w:hint="eastAsia"/>
          <w:kern w:val="0"/>
        </w:rPr>
        <w:t>通過</w:t>
      </w:r>
      <w:r w:rsidR="00593906">
        <w:rPr>
          <w:rFonts w:hAnsi="標楷體" w:hint="eastAsia"/>
          <w:kern w:val="0"/>
        </w:rPr>
        <w:t>，且</w:t>
      </w:r>
      <w:r>
        <w:rPr>
          <w:rFonts w:hAnsi="標楷體" w:hint="eastAsia"/>
          <w:kern w:val="0"/>
        </w:rPr>
        <w:t>於105年5月5日送請</w:t>
      </w:r>
      <w:r w:rsidRPr="00905C11">
        <w:rPr>
          <w:rFonts w:hint="eastAsia"/>
        </w:rPr>
        <w:t>立法院</w:t>
      </w:r>
      <w:r>
        <w:rPr>
          <w:rFonts w:hAnsi="標楷體" w:hint="eastAsia"/>
          <w:kern w:val="0"/>
        </w:rPr>
        <w:t>審議，</w:t>
      </w:r>
      <w:r w:rsidR="00593906">
        <w:rPr>
          <w:rFonts w:hAnsi="標楷體" w:hint="eastAsia"/>
          <w:kern w:val="0"/>
        </w:rPr>
        <w:t>惟</w:t>
      </w:r>
      <w:r>
        <w:rPr>
          <w:rFonts w:hAnsi="標楷體" w:hint="eastAsia"/>
          <w:kern w:val="0"/>
        </w:rPr>
        <w:t>行政院</w:t>
      </w:r>
      <w:r w:rsidR="00593906">
        <w:rPr>
          <w:rFonts w:hAnsi="標楷體" w:hint="eastAsia"/>
          <w:kern w:val="0"/>
        </w:rPr>
        <w:t>嗣</w:t>
      </w:r>
      <w:r>
        <w:rPr>
          <w:rFonts w:hAnsi="標楷體" w:hint="eastAsia"/>
          <w:kern w:val="0"/>
        </w:rPr>
        <w:t>於同年6月23日函請立法院同意</w:t>
      </w:r>
      <w:r w:rsidR="001539C0">
        <w:rPr>
          <w:rFonts w:hAnsi="標楷體" w:hint="eastAsia"/>
          <w:kern w:val="0"/>
        </w:rPr>
        <w:t>後</w:t>
      </w:r>
      <w:r>
        <w:rPr>
          <w:rFonts w:hAnsi="標楷體" w:hint="eastAsia"/>
          <w:kern w:val="0"/>
        </w:rPr>
        <w:t>撤回。基於通傳會未來仍將針對匯流五法進行重新檢討，屆時配合行政院政策及立法院決議，將涉及未來基金成立及運作等相關條文，於立法過程中納入研議考量</w:t>
      </w:r>
      <w:r w:rsidR="00DC4419">
        <w:rPr>
          <w:rFonts w:hAnsi="標楷體" w:hint="eastAsia"/>
          <w:kern w:val="0"/>
        </w:rPr>
        <w:t>，合先敘明</w:t>
      </w:r>
      <w:r>
        <w:rPr>
          <w:rFonts w:hAnsi="標楷體" w:hint="eastAsia"/>
          <w:kern w:val="0"/>
        </w:rPr>
        <w:t>。</w:t>
      </w:r>
    </w:p>
    <w:p w:rsidR="00DC4419" w:rsidRDefault="00593906" w:rsidP="00905C11">
      <w:pPr>
        <w:pStyle w:val="3"/>
        <w:ind w:rightChars="99" w:right="337"/>
      </w:pPr>
      <w:r>
        <w:rPr>
          <w:rFonts w:hint="eastAsia"/>
        </w:rPr>
        <w:t>按</w:t>
      </w:r>
      <w:r w:rsidR="00DC4419">
        <w:rPr>
          <w:rFonts w:hint="eastAsia"/>
        </w:rPr>
        <w:t>傳統通訊傳播產業架構受限於技術，使通訊、網路及廣電產業各自垂直發展，各自進行產業的上下游整合工作。惟於匯流技術帶動下，相關產業已進行融合，預期未來，通訊、網路及廣電產業各自垂直發展的經營模式將被解構，</w:t>
      </w:r>
      <w:r>
        <w:rPr>
          <w:rFonts w:hint="eastAsia"/>
        </w:rPr>
        <w:t>轉而</w:t>
      </w:r>
      <w:r w:rsidR="00DC4419">
        <w:rPr>
          <w:rFonts w:hint="eastAsia"/>
        </w:rPr>
        <w:t>朝向網路傳輸業務、播送平台業務、內容應用業務等水平產業型態</w:t>
      </w:r>
      <w:r>
        <w:rPr>
          <w:rFonts w:hint="eastAsia"/>
        </w:rPr>
        <w:t>發展。因此，政府產業政策及管制架構必須因應調整，以促進</w:t>
      </w:r>
      <w:r w:rsidR="00DC4419" w:rsidRPr="00DC4419">
        <w:rPr>
          <w:rFonts w:hint="eastAsia"/>
        </w:rPr>
        <w:t>市場健全發展</w:t>
      </w:r>
      <w:r w:rsidR="00DC4419">
        <w:rPr>
          <w:rFonts w:hint="eastAsia"/>
        </w:rPr>
        <w:t>及產業</w:t>
      </w:r>
      <w:r w:rsidR="00DC4419">
        <w:rPr>
          <w:rFonts w:hint="eastAsia"/>
        </w:rPr>
        <w:lastRenderedPageBreak/>
        <w:t>良性競爭，爰</w:t>
      </w:r>
      <w:r w:rsidR="00740D14" w:rsidRPr="00D5164D">
        <w:t>行政院於101年5月核定通過「數位匯流發展方案(2010</w:t>
      </w:r>
      <w:r w:rsidR="00932F36">
        <w:rPr>
          <w:rFonts w:hint="eastAsia"/>
        </w:rPr>
        <w:t>年</w:t>
      </w:r>
      <w:r w:rsidR="00740D14" w:rsidRPr="00D5164D">
        <w:t>-2015年)」</w:t>
      </w:r>
      <w:r>
        <w:rPr>
          <w:rStyle w:val="aff1"/>
        </w:rPr>
        <w:footnoteReference w:id="9"/>
      </w:r>
      <w:r w:rsidR="00740D14" w:rsidRPr="00D5164D">
        <w:t>，執行期限為</w:t>
      </w:r>
      <w:r w:rsidR="00DC4419">
        <w:rPr>
          <w:rFonts w:hint="eastAsia"/>
        </w:rPr>
        <w:t>99年至104年</w:t>
      </w:r>
      <w:r w:rsidR="00740D14">
        <w:t>，</w:t>
      </w:r>
      <w:r w:rsidR="00DC4419">
        <w:rPr>
          <w:rFonts w:hint="eastAsia"/>
        </w:rPr>
        <w:t>前揭方案</w:t>
      </w:r>
      <w:r>
        <w:rPr>
          <w:rFonts w:hint="eastAsia"/>
        </w:rPr>
        <w:t>原</w:t>
      </w:r>
      <w:r w:rsidR="00740D14">
        <w:t>定九大指標</w:t>
      </w:r>
      <w:r w:rsidR="00DC4419">
        <w:rPr>
          <w:rFonts w:hint="eastAsia"/>
        </w:rPr>
        <w:t>如下：</w:t>
      </w:r>
      <w:r w:rsidR="00740D14" w:rsidRPr="00D5164D">
        <w:t>100Mbps寬頻網路全面到家戶、有線電視全面數位化、光纖用戶數達720萬戶、無線寬頻網路帳號數達1,100萬戶</w:t>
      </w:r>
      <w:r>
        <w:t>、新興視訊服務用戶普及率</w:t>
      </w:r>
      <w:r w:rsidR="00740D14" w:rsidRPr="00D5164D">
        <w:t>達50</w:t>
      </w:r>
      <w:r w:rsidR="003D65A5">
        <w:rPr>
          <w:rFonts w:hint="eastAsia"/>
        </w:rPr>
        <w:t>﹪</w:t>
      </w:r>
      <w:r w:rsidR="00740D14" w:rsidRPr="00D5164D">
        <w:t>、新製全類別電視節目達35,372個小時、高畫質節目達5,383個小時、每家無線電視</w:t>
      </w:r>
      <w:r w:rsidR="00740D14">
        <w:rPr>
          <w:rFonts w:hint="eastAsia"/>
        </w:rPr>
        <w:t>臺</w:t>
      </w:r>
      <w:r w:rsidR="001539C0">
        <w:t>至少應有一個可播放高畫質節目之頻道、可接</w:t>
      </w:r>
      <w:r w:rsidR="001539C0">
        <w:rPr>
          <w:rFonts w:hint="eastAsia"/>
        </w:rPr>
        <w:t>收</w:t>
      </w:r>
      <w:r w:rsidR="00740D14" w:rsidRPr="00D5164D">
        <w:t>高畫質電視頻道總數達74個</w:t>
      </w:r>
      <w:r w:rsidR="00DC4419">
        <w:rPr>
          <w:rFonts w:hint="eastAsia"/>
        </w:rPr>
        <w:t>及</w:t>
      </w:r>
      <w:r w:rsidR="00740D14" w:rsidRPr="00D5164D">
        <w:t>數位匯流法規架構調整通過立法</w:t>
      </w:r>
      <w:r w:rsidR="00740D14">
        <w:rPr>
          <w:rFonts w:hint="eastAsia"/>
        </w:rPr>
        <w:t>等</w:t>
      </w:r>
      <w:r w:rsidR="00DC4419">
        <w:rPr>
          <w:rFonts w:hint="eastAsia"/>
        </w:rPr>
        <w:t>。</w:t>
      </w:r>
    </w:p>
    <w:p w:rsidR="00740D14" w:rsidRDefault="00DC4419" w:rsidP="009C0194">
      <w:pPr>
        <w:pStyle w:val="3"/>
        <w:ind w:rightChars="57" w:right="194"/>
        <w:rPr>
          <w:szCs w:val="32"/>
        </w:rPr>
      </w:pPr>
      <w:r w:rsidRPr="00687FCB">
        <w:rPr>
          <w:rFonts w:hint="eastAsia"/>
          <w:szCs w:val="32"/>
        </w:rPr>
        <w:t>前揭方案所</w:t>
      </w:r>
      <w:r w:rsidRPr="00687FCB">
        <w:rPr>
          <w:szCs w:val="32"/>
        </w:rPr>
        <w:t>定九大指標</w:t>
      </w:r>
      <w:r w:rsidRPr="00687FCB">
        <w:rPr>
          <w:rFonts w:hint="eastAsia"/>
          <w:szCs w:val="32"/>
        </w:rPr>
        <w:t>中，</w:t>
      </w:r>
      <w:r w:rsidR="00740D14" w:rsidRPr="00687FCB">
        <w:rPr>
          <w:rFonts w:hint="eastAsia"/>
          <w:szCs w:val="32"/>
        </w:rPr>
        <w:t>屬通傳</w:t>
      </w:r>
      <w:r w:rsidR="00740D14" w:rsidRPr="00687FCB">
        <w:rPr>
          <w:szCs w:val="32"/>
        </w:rPr>
        <w:t>會</w:t>
      </w:r>
      <w:r w:rsidR="00687FCB" w:rsidRPr="00687FCB">
        <w:rPr>
          <w:rFonts w:hint="eastAsia"/>
          <w:szCs w:val="32"/>
        </w:rPr>
        <w:t>主政</w:t>
      </w:r>
      <w:r w:rsidR="00740D14" w:rsidRPr="00687FCB">
        <w:rPr>
          <w:szCs w:val="32"/>
        </w:rPr>
        <w:t>執行者計</w:t>
      </w:r>
      <w:r w:rsidR="00740D14" w:rsidRPr="00687FCB">
        <w:rPr>
          <w:rFonts w:hint="eastAsia"/>
          <w:szCs w:val="32"/>
        </w:rPr>
        <w:t>有</w:t>
      </w:r>
      <w:r w:rsidRPr="00687FCB">
        <w:rPr>
          <w:rFonts w:hint="eastAsia"/>
          <w:szCs w:val="32"/>
        </w:rPr>
        <w:t>「</w:t>
      </w:r>
      <w:r w:rsidRPr="00687FCB">
        <w:rPr>
          <w:rFonts w:hAnsi="標楷體"/>
          <w:szCs w:val="32"/>
        </w:rPr>
        <w:t>103年有線電視全面數位化</w:t>
      </w:r>
      <w:r w:rsidRPr="00687FCB">
        <w:rPr>
          <w:rFonts w:hAnsi="標楷體" w:hint="eastAsia"/>
          <w:szCs w:val="32"/>
        </w:rPr>
        <w:t>」、「</w:t>
      </w:r>
      <w:r w:rsidRPr="00687FCB">
        <w:rPr>
          <w:rFonts w:hAnsi="標楷體"/>
          <w:szCs w:val="32"/>
        </w:rPr>
        <w:t>104年每家無</w:t>
      </w:r>
      <w:r w:rsidR="00703D6D">
        <w:rPr>
          <w:rFonts w:hAnsi="標楷體" w:hint="eastAsia"/>
          <w:szCs w:val="32"/>
        </w:rPr>
        <w:t>線</w:t>
      </w:r>
      <w:r w:rsidRPr="00687FCB">
        <w:rPr>
          <w:rFonts w:hAnsi="標楷體"/>
          <w:szCs w:val="32"/>
        </w:rPr>
        <w:t>電視</w:t>
      </w:r>
      <w:r w:rsidRPr="00687FCB">
        <w:rPr>
          <w:rFonts w:hAnsi="標楷體" w:hint="eastAsia"/>
          <w:szCs w:val="32"/>
        </w:rPr>
        <w:t>臺</w:t>
      </w:r>
      <w:r w:rsidRPr="00687FCB">
        <w:rPr>
          <w:rFonts w:hAnsi="標楷體"/>
          <w:szCs w:val="32"/>
        </w:rPr>
        <w:t>至少有1個高畫質頻道</w:t>
      </w:r>
      <w:r w:rsidRPr="00687FCB">
        <w:rPr>
          <w:rFonts w:hAnsi="標楷體" w:hint="eastAsia"/>
          <w:szCs w:val="32"/>
        </w:rPr>
        <w:t>」、「</w:t>
      </w:r>
      <w:r w:rsidRPr="00687FCB">
        <w:rPr>
          <w:rFonts w:hAnsi="標楷體"/>
          <w:szCs w:val="32"/>
        </w:rPr>
        <w:t>104</w:t>
      </w:r>
      <w:r w:rsidR="001539C0">
        <w:rPr>
          <w:rFonts w:hAnsi="標楷體"/>
          <w:szCs w:val="32"/>
        </w:rPr>
        <w:t>年可接</w:t>
      </w:r>
      <w:r w:rsidR="001539C0">
        <w:rPr>
          <w:rFonts w:hAnsi="標楷體" w:hint="eastAsia"/>
          <w:szCs w:val="32"/>
        </w:rPr>
        <w:t>收</w:t>
      </w:r>
      <w:r w:rsidRPr="00687FCB">
        <w:rPr>
          <w:rFonts w:hAnsi="標楷體"/>
          <w:szCs w:val="32"/>
        </w:rPr>
        <w:t>高畫質電視頻道總數達74個</w:t>
      </w:r>
      <w:r w:rsidRPr="00687FCB">
        <w:rPr>
          <w:rFonts w:hAnsi="標楷體" w:hint="eastAsia"/>
          <w:szCs w:val="32"/>
        </w:rPr>
        <w:t>」及「</w:t>
      </w:r>
      <w:r w:rsidRPr="00687FCB">
        <w:rPr>
          <w:rFonts w:hAnsi="標楷體"/>
          <w:szCs w:val="32"/>
        </w:rPr>
        <w:t>103年6月數位匯流法規架構調整通過</w:t>
      </w:r>
      <w:r w:rsidRPr="00687FCB">
        <w:rPr>
          <w:rFonts w:hAnsi="標楷體" w:hint="eastAsia"/>
          <w:szCs w:val="32"/>
        </w:rPr>
        <w:t>」等</w:t>
      </w:r>
      <w:r w:rsidR="00740D14" w:rsidRPr="00687FCB">
        <w:rPr>
          <w:szCs w:val="32"/>
        </w:rPr>
        <w:t>4</w:t>
      </w:r>
      <w:r w:rsidR="00687FCB" w:rsidRPr="00687FCB">
        <w:rPr>
          <w:szCs w:val="32"/>
        </w:rPr>
        <w:t>項</w:t>
      </w:r>
      <w:r w:rsidR="00932F36">
        <w:rPr>
          <w:rFonts w:hint="eastAsia"/>
          <w:szCs w:val="32"/>
        </w:rPr>
        <w:t>。經查</w:t>
      </w:r>
      <w:r w:rsidRPr="00687FCB">
        <w:rPr>
          <w:rFonts w:hAnsi="標楷體"/>
          <w:szCs w:val="32"/>
        </w:rPr>
        <w:t>有線電視</w:t>
      </w:r>
      <w:r w:rsidR="005A0CB9">
        <w:rPr>
          <w:rFonts w:hAnsi="標楷體" w:hint="eastAsia"/>
          <w:szCs w:val="32"/>
        </w:rPr>
        <w:t>全面</w:t>
      </w:r>
      <w:r w:rsidRPr="00687FCB">
        <w:rPr>
          <w:rFonts w:hAnsi="標楷體" w:hint="eastAsia"/>
          <w:szCs w:val="32"/>
        </w:rPr>
        <w:t>數</w:t>
      </w:r>
      <w:r w:rsidR="00593906">
        <w:rPr>
          <w:rFonts w:hAnsi="標楷體" w:hint="eastAsia"/>
          <w:szCs w:val="32"/>
        </w:rPr>
        <w:t>位</w:t>
      </w:r>
      <w:r w:rsidRPr="00687FCB">
        <w:rPr>
          <w:rFonts w:hAnsi="標楷體" w:hint="eastAsia"/>
          <w:szCs w:val="32"/>
        </w:rPr>
        <w:t>化目標</w:t>
      </w:r>
      <w:r w:rsidR="00703D6D">
        <w:rPr>
          <w:rFonts w:hAnsi="標楷體" w:hint="eastAsia"/>
          <w:szCs w:val="32"/>
        </w:rPr>
        <w:t>原應於</w:t>
      </w:r>
      <w:r w:rsidR="00687FCB" w:rsidRPr="00687FCB">
        <w:rPr>
          <w:rFonts w:hAnsi="標楷體" w:hint="eastAsia"/>
          <w:szCs w:val="32"/>
        </w:rPr>
        <w:t>103年完成</w:t>
      </w:r>
      <w:r w:rsidRPr="00687FCB">
        <w:rPr>
          <w:rFonts w:hAnsi="標楷體" w:hint="eastAsia"/>
          <w:szCs w:val="32"/>
        </w:rPr>
        <w:t>，</w:t>
      </w:r>
      <w:r w:rsidR="00593906">
        <w:rPr>
          <w:rFonts w:hAnsi="標楷體" w:hint="eastAsia"/>
          <w:szCs w:val="32"/>
        </w:rPr>
        <w:t>然</w:t>
      </w:r>
      <w:r w:rsidRPr="00687FCB">
        <w:rPr>
          <w:rFonts w:hAnsi="標楷體"/>
          <w:szCs w:val="32"/>
        </w:rPr>
        <w:t>104年第2季</w:t>
      </w:r>
      <w:r w:rsidR="00703D6D">
        <w:rPr>
          <w:rFonts w:hAnsi="標楷體" w:hint="eastAsia"/>
          <w:szCs w:val="32"/>
        </w:rPr>
        <w:t>時</w:t>
      </w:r>
      <w:r w:rsidRPr="00687FCB">
        <w:rPr>
          <w:rFonts w:hAnsi="標楷體" w:hint="eastAsia"/>
          <w:szCs w:val="32"/>
        </w:rPr>
        <w:t>仍僅</w:t>
      </w:r>
      <w:r w:rsidRPr="00687FCB">
        <w:rPr>
          <w:rFonts w:hAnsi="標楷體"/>
          <w:szCs w:val="32"/>
        </w:rPr>
        <w:t>達85.02%</w:t>
      </w:r>
      <w:r w:rsidR="00687FCB" w:rsidRPr="00687FCB">
        <w:rPr>
          <w:rFonts w:hAnsi="標楷體" w:hint="eastAsia"/>
          <w:szCs w:val="32"/>
        </w:rPr>
        <w:t>；另</w:t>
      </w:r>
      <w:r w:rsidR="00687FCB" w:rsidRPr="00687FCB">
        <w:rPr>
          <w:rFonts w:hAnsi="標楷體"/>
          <w:szCs w:val="32"/>
        </w:rPr>
        <w:t>數位匯流法規架構調整</w:t>
      </w:r>
      <w:r w:rsidR="00687FCB" w:rsidRPr="00687FCB">
        <w:rPr>
          <w:rFonts w:hAnsi="標楷體" w:hint="eastAsia"/>
          <w:szCs w:val="32"/>
        </w:rPr>
        <w:t>，原</w:t>
      </w:r>
      <w:r w:rsidR="00593906">
        <w:rPr>
          <w:rFonts w:hAnsi="標楷體" w:hint="eastAsia"/>
          <w:szCs w:val="32"/>
        </w:rPr>
        <w:t>定</w:t>
      </w:r>
      <w:r w:rsidR="00703D6D">
        <w:rPr>
          <w:rFonts w:hAnsi="標楷體" w:hint="eastAsia"/>
          <w:szCs w:val="32"/>
        </w:rPr>
        <w:t>應於</w:t>
      </w:r>
      <w:r w:rsidR="00687FCB" w:rsidRPr="00687FCB">
        <w:rPr>
          <w:rFonts w:hAnsi="標楷體"/>
          <w:szCs w:val="32"/>
        </w:rPr>
        <w:t>103年6月</w:t>
      </w:r>
      <w:r w:rsidR="00687FCB" w:rsidRPr="00687FCB">
        <w:rPr>
          <w:rFonts w:hAnsi="標楷體" w:hint="eastAsia"/>
          <w:szCs w:val="32"/>
        </w:rPr>
        <w:t>完成相關法規修定作業部分，</w:t>
      </w:r>
      <w:r w:rsidR="00687FCB" w:rsidRPr="00687FCB">
        <w:rPr>
          <w:rFonts w:hAnsi="標楷體" w:hint="eastAsia"/>
          <w:kern w:val="0"/>
          <w:szCs w:val="32"/>
        </w:rPr>
        <w:t>雖於105年5月5日送請立法院審議，惟行政院再於同年6月23日函請立法院同意</w:t>
      </w:r>
      <w:r w:rsidR="001539C0">
        <w:rPr>
          <w:rFonts w:hAnsi="標楷體" w:hint="eastAsia"/>
          <w:kern w:val="0"/>
          <w:szCs w:val="32"/>
        </w:rPr>
        <w:t>後</w:t>
      </w:r>
      <w:r w:rsidR="00687FCB" w:rsidRPr="00687FCB">
        <w:rPr>
          <w:rFonts w:hAnsi="標楷體" w:hint="eastAsia"/>
          <w:kern w:val="0"/>
          <w:szCs w:val="32"/>
        </w:rPr>
        <w:t>撤回</w:t>
      </w:r>
      <w:r w:rsidRPr="00687FCB">
        <w:rPr>
          <w:rFonts w:hAnsi="標楷體"/>
          <w:szCs w:val="32"/>
        </w:rPr>
        <w:t>，</w:t>
      </w:r>
      <w:r w:rsidR="00932F36">
        <w:rPr>
          <w:rFonts w:hAnsi="標楷體" w:hint="eastAsia"/>
          <w:szCs w:val="32"/>
        </w:rPr>
        <w:t>是</w:t>
      </w:r>
      <w:r w:rsidR="00546A68">
        <w:rPr>
          <w:rFonts w:hAnsi="標楷體" w:hint="eastAsia"/>
          <w:szCs w:val="32"/>
        </w:rPr>
        <w:t>前揭二項指標均未</w:t>
      </w:r>
      <w:r w:rsidR="00687FCB" w:rsidRPr="00687FCB">
        <w:rPr>
          <w:rFonts w:hAnsi="標楷體" w:hint="eastAsia"/>
          <w:szCs w:val="32"/>
        </w:rPr>
        <w:t>符原方案所定期程</w:t>
      </w:r>
      <w:r w:rsidR="00740D14" w:rsidRPr="00687FCB">
        <w:rPr>
          <w:rFonts w:hint="eastAsia"/>
          <w:szCs w:val="32"/>
        </w:rPr>
        <w:t>。</w:t>
      </w:r>
    </w:p>
    <w:p w:rsidR="00687FCB" w:rsidRPr="00BB6DAD" w:rsidRDefault="007F2CC7" w:rsidP="00905C11">
      <w:pPr>
        <w:pStyle w:val="3"/>
        <w:ind w:rightChars="99" w:right="337"/>
        <w:rPr>
          <w:szCs w:val="32"/>
        </w:rPr>
      </w:pPr>
      <w:r w:rsidRPr="00BB6DAD">
        <w:rPr>
          <w:rFonts w:ascii="Times New Roman" w:hAnsi="Times New Roman" w:hint="eastAsia"/>
          <w:szCs w:val="32"/>
        </w:rPr>
        <w:t>基於</w:t>
      </w:r>
      <w:r w:rsidR="00180056">
        <w:rPr>
          <w:rFonts w:ascii="Times New Roman" w:hAnsi="Times New Roman"/>
          <w:szCs w:val="32"/>
        </w:rPr>
        <w:t>通訊傳播匯流發展趨勢下，通傳網路之數位化發展，使</w:t>
      </w:r>
      <w:r w:rsidRPr="00BB6DAD">
        <w:rPr>
          <w:rFonts w:ascii="Times New Roman" w:hAnsi="Times New Roman"/>
          <w:szCs w:val="32"/>
        </w:rPr>
        <w:t>通訊傳播服務得以跨越不同</w:t>
      </w:r>
      <w:r w:rsidR="00180056">
        <w:rPr>
          <w:rFonts w:ascii="Times New Roman" w:hAnsi="Times New Roman" w:hint="eastAsia"/>
          <w:szCs w:val="32"/>
        </w:rPr>
        <w:t>網路</w:t>
      </w:r>
      <w:r w:rsidRPr="00BB6DAD">
        <w:rPr>
          <w:rFonts w:ascii="Times New Roman" w:hAnsi="Times New Roman"/>
          <w:szCs w:val="32"/>
        </w:rPr>
        <w:t>提供</w:t>
      </w:r>
      <w:r w:rsidR="00546A68">
        <w:rPr>
          <w:rFonts w:ascii="Times New Roman" w:hAnsi="Times New Roman"/>
          <w:szCs w:val="32"/>
        </w:rPr>
        <w:t>，</w:t>
      </w:r>
      <w:r w:rsidR="00180056" w:rsidRPr="003D36FA">
        <w:rPr>
          <w:rFonts w:ascii="Times New Roman" w:hAnsi="Times New Roman" w:hint="eastAsia"/>
          <w:szCs w:val="32"/>
        </w:rPr>
        <w:t>消費者亦可隨時隨地透過智慧手機、平板、電腦與電視等各式終端設備使用整合服務</w:t>
      </w:r>
      <w:r w:rsidRPr="00BB6DAD">
        <w:rPr>
          <w:rFonts w:ascii="Times New Roman" w:hAnsi="Times New Roman" w:hint="eastAsia"/>
          <w:szCs w:val="32"/>
        </w:rPr>
        <w:t>，將</w:t>
      </w:r>
      <w:r w:rsidR="003D36FA">
        <w:rPr>
          <w:rFonts w:ascii="Times New Roman" w:hAnsi="Times New Roman" w:hint="eastAsia"/>
          <w:szCs w:val="32"/>
        </w:rPr>
        <w:t>大幅</w:t>
      </w:r>
      <w:r w:rsidRPr="00BB6DAD">
        <w:rPr>
          <w:rFonts w:ascii="Times New Roman" w:hAnsi="Times New Roman"/>
          <w:szCs w:val="32"/>
        </w:rPr>
        <w:t>改變</w:t>
      </w:r>
      <w:r w:rsidRPr="00BB6DAD">
        <w:rPr>
          <w:rFonts w:ascii="Times New Roman" w:hAnsi="Times New Roman" w:hint="eastAsia"/>
          <w:szCs w:val="32"/>
        </w:rPr>
        <w:t>現有</w:t>
      </w:r>
      <w:r w:rsidRPr="00BB6DAD">
        <w:rPr>
          <w:rFonts w:ascii="Times New Roman" w:hAnsi="Times New Roman"/>
          <w:szCs w:val="32"/>
        </w:rPr>
        <w:t>產業秩序。</w:t>
      </w:r>
      <w:r w:rsidRPr="00BB6DAD">
        <w:rPr>
          <w:rFonts w:ascii="Times New Roman" w:hAnsi="Times New Roman" w:hint="eastAsia"/>
          <w:szCs w:val="32"/>
        </w:rPr>
        <w:t>爰</w:t>
      </w:r>
      <w:r w:rsidRPr="00BB6DAD">
        <w:rPr>
          <w:rFonts w:ascii="Times New Roman" w:hAnsi="Times New Roman"/>
          <w:szCs w:val="32"/>
          <w:lang w:eastAsia="ja-JP"/>
        </w:rPr>
        <w:t>通傳會</w:t>
      </w:r>
      <w:r w:rsidR="00BB6DAD" w:rsidRPr="00BB6DAD">
        <w:rPr>
          <w:rFonts w:ascii="Times New Roman" w:hAnsi="Times New Roman" w:hint="eastAsia"/>
          <w:szCs w:val="32"/>
        </w:rPr>
        <w:t>允</w:t>
      </w:r>
      <w:r w:rsidRPr="00BB6DAD">
        <w:rPr>
          <w:rFonts w:ascii="Times New Roman" w:hAnsi="Times New Roman" w:hint="eastAsia"/>
          <w:szCs w:val="32"/>
        </w:rPr>
        <w:t>應善盡</w:t>
      </w:r>
      <w:r w:rsidRPr="00BB6DAD">
        <w:rPr>
          <w:rFonts w:ascii="Times New Roman" w:hAnsi="Times New Roman"/>
          <w:szCs w:val="32"/>
          <w:lang w:eastAsia="ja-JP"/>
        </w:rPr>
        <w:t>職責</w:t>
      </w:r>
      <w:r w:rsidR="00546A68">
        <w:rPr>
          <w:rFonts w:ascii="Times New Roman" w:hAnsi="Times New Roman" w:hint="eastAsia"/>
          <w:szCs w:val="32"/>
        </w:rPr>
        <w:t>，優化</w:t>
      </w:r>
      <w:r w:rsidRPr="00BB6DAD">
        <w:rPr>
          <w:rFonts w:ascii="Times New Roman" w:hAnsi="Times New Roman"/>
          <w:szCs w:val="32"/>
          <w:lang w:eastAsia="ja-JP"/>
        </w:rPr>
        <w:t>數位經濟發展</w:t>
      </w:r>
      <w:r w:rsidRPr="00BB6DAD">
        <w:rPr>
          <w:rFonts w:ascii="Times New Roman" w:hAnsi="Times New Roman" w:hint="eastAsia"/>
          <w:szCs w:val="32"/>
        </w:rPr>
        <w:t>、</w:t>
      </w:r>
      <w:r w:rsidRPr="00BB6DAD">
        <w:rPr>
          <w:rFonts w:ascii="Times New Roman" w:hAnsi="Times New Roman"/>
          <w:szCs w:val="32"/>
          <w:lang w:eastAsia="ja-JP"/>
        </w:rPr>
        <w:t>網際網路創新應用與發明</w:t>
      </w:r>
      <w:r w:rsidRPr="00BB6DAD">
        <w:rPr>
          <w:rFonts w:ascii="Times New Roman" w:hAnsi="Times New Roman" w:hint="eastAsia"/>
          <w:szCs w:val="32"/>
          <w:lang w:eastAsia="ja-JP"/>
        </w:rPr>
        <w:t>之</w:t>
      </w:r>
      <w:r w:rsidRPr="00BB6DAD">
        <w:rPr>
          <w:rFonts w:ascii="Times New Roman" w:hAnsi="Times New Roman"/>
          <w:szCs w:val="32"/>
          <w:lang w:eastAsia="ja-JP"/>
        </w:rPr>
        <w:lastRenderedPageBreak/>
        <w:t>法制環境</w:t>
      </w:r>
      <w:r w:rsidR="00BB6DAD" w:rsidRPr="00BB6DAD">
        <w:rPr>
          <w:rFonts w:ascii="Times New Roman" w:hAnsi="Times New Roman" w:hint="eastAsia"/>
          <w:szCs w:val="32"/>
        </w:rPr>
        <w:t>，以</w:t>
      </w:r>
      <w:r w:rsidR="00BB6DAD" w:rsidRPr="00BB6DAD">
        <w:rPr>
          <w:rFonts w:ascii="Times New Roman" w:hAnsi="Times New Roman"/>
          <w:szCs w:val="32"/>
          <w:lang w:eastAsia="ja-JP"/>
        </w:rPr>
        <w:t>積極回應時代</w:t>
      </w:r>
      <w:r w:rsidR="00BB6DAD" w:rsidRPr="00BB6DAD">
        <w:rPr>
          <w:rFonts w:ascii="Times New Roman" w:hAnsi="Times New Roman" w:hint="eastAsia"/>
          <w:szCs w:val="32"/>
        </w:rPr>
        <w:t>變革</w:t>
      </w:r>
      <w:r w:rsidR="00BB6DAD" w:rsidRPr="00BB6DAD">
        <w:rPr>
          <w:rFonts w:ascii="Times New Roman" w:hAnsi="Times New Roman"/>
          <w:szCs w:val="32"/>
          <w:lang w:eastAsia="ja-JP"/>
        </w:rPr>
        <w:t>需要，</w:t>
      </w:r>
      <w:r w:rsidR="00BB6DAD" w:rsidRPr="00BB6DAD">
        <w:rPr>
          <w:rFonts w:ascii="Times New Roman" w:hAnsi="Times New Roman" w:hint="eastAsia"/>
          <w:szCs w:val="32"/>
        </w:rPr>
        <w:t>吸引投資促進產業創新，</w:t>
      </w:r>
      <w:r w:rsidR="003D36FA">
        <w:rPr>
          <w:rFonts w:ascii="Times New Roman" w:hAnsi="Times New Roman" w:hint="eastAsia"/>
          <w:szCs w:val="32"/>
        </w:rPr>
        <w:t>加速</w:t>
      </w:r>
      <w:r w:rsidR="00BB6DAD" w:rsidRPr="00BB6DAD">
        <w:rPr>
          <w:rFonts w:ascii="Times New Roman" w:hAnsi="Times New Roman" w:hint="eastAsia"/>
          <w:szCs w:val="32"/>
        </w:rPr>
        <w:t>我國數位經濟的發展，並</w:t>
      </w:r>
      <w:r w:rsidR="00546A68" w:rsidRPr="00BB6DAD">
        <w:rPr>
          <w:rFonts w:ascii="Times New Roman" w:hAnsi="Times New Roman" w:hint="eastAsia"/>
          <w:szCs w:val="32"/>
        </w:rPr>
        <w:t>普及</w:t>
      </w:r>
      <w:r w:rsidR="00BB6DAD" w:rsidRPr="00BB6DAD">
        <w:rPr>
          <w:rFonts w:ascii="Times New Roman" w:hAnsi="Times New Roman" w:hint="eastAsia"/>
          <w:szCs w:val="32"/>
        </w:rPr>
        <w:t>服務</w:t>
      </w:r>
      <w:r w:rsidR="00546A68">
        <w:rPr>
          <w:rFonts w:ascii="Times New Roman" w:hAnsi="Times New Roman" w:hint="eastAsia"/>
          <w:szCs w:val="32"/>
        </w:rPr>
        <w:t>之提供</w:t>
      </w:r>
      <w:r w:rsidRPr="00BB6DAD">
        <w:rPr>
          <w:rFonts w:ascii="Times New Roman" w:hAnsi="Times New Roman"/>
          <w:szCs w:val="32"/>
          <w:lang w:eastAsia="ja-JP"/>
        </w:rPr>
        <w:t>。</w:t>
      </w:r>
    </w:p>
    <w:p w:rsidR="00BB6DAD" w:rsidRPr="00BB6DAD" w:rsidRDefault="00BB6DAD" w:rsidP="00905C11">
      <w:pPr>
        <w:pStyle w:val="3"/>
        <w:ind w:rightChars="99" w:right="337"/>
        <w:rPr>
          <w:szCs w:val="32"/>
        </w:rPr>
      </w:pPr>
      <w:r>
        <w:rPr>
          <w:rFonts w:ascii="Times New Roman" w:hAnsi="Times New Roman" w:hint="eastAsia"/>
          <w:szCs w:val="32"/>
        </w:rPr>
        <w:t>綜上，</w:t>
      </w:r>
      <w:r w:rsidR="00437BF3" w:rsidRPr="00437BF3">
        <w:rPr>
          <w:rFonts w:hAnsi="標楷體" w:hint="eastAsia"/>
          <w:color w:val="000000"/>
          <w:kern w:val="0"/>
        </w:rPr>
        <w:t>「通訊傳播監督管理基金」及「有線廣播電視事業發展基金」整併事宜，因涉及</w:t>
      </w:r>
      <w:r w:rsidR="001F1D6A">
        <w:rPr>
          <w:rFonts w:hAnsi="標楷體" w:hint="eastAsia"/>
          <w:color w:val="000000"/>
          <w:kern w:val="0"/>
        </w:rPr>
        <w:t>「</w:t>
      </w:r>
      <w:r w:rsidR="00437BF3" w:rsidRPr="00437BF3">
        <w:rPr>
          <w:rFonts w:hAnsi="標楷體" w:hint="eastAsia"/>
          <w:color w:val="000000"/>
          <w:kern w:val="0"/>
        </w:rPr>
        <w:t>通傳會組織法</w:t>
      </w:r>
      <w:r w:rsidR="001F1D6A">
        <w:rPr>
          <w:rFonts w:hAnsi="標楷體" w:hint="eastAsia"/>
          <w:color w:val="000000"/>
          <w:kern w:val="0"/>
        </w:rPr>
        <w:t>」</w:t>
      </w:r>
      <w:r w:rsidR="00437BF3" w:rsidRPr="00437BF3">
        <w:rPr>
          <w:rFonts w:hAnsi="標楷體" w:hint="eastAsia"/>
          <w:color w:val="000000"/>
          <w:kern w:val="0"/>
        </w:rPr>
        <w:t>與</w:t>
      </w:r>
      <w:r w:rsidR="001F1D6A">
        <w:rPr>
          <w:rFonts w:hAnsi="標楷體" w:hint="eastAsia"/>
          <w:color w:val="000000"/>
          <w:kern w:val="0"/>
        </w:rPr>
        <w:t>「</w:t>
      </w:r>
      <w:r w:rsidR="00437BF3" w:rsidRPr="00437BF3">
        <w:rPr>
          <w:rFonts w:hAnsi="標楷體" w:hint="eastAsia"/>
          <w:color w:val="000000"/>
          <w:kern w:val="0"/>
        </w:rPr>
        <w:t>有線廣播電視法</w:t>
      </w:r>
      <w:r w:rsidR="001F1D6A">
        <w:rPr>
          <w:rFonts w:hAnsi="標楷體" w:hint="eastAsia"/>
          <w:color w:val="000000"/>
          <w:kern w:val="0"/>
        </w:rPr>
        <w:t>」</w:t>
      </w:r>
      <w:r w:rsidR="00437BF3" w:rsidRPr="00437BF3">
        <w:rPr>
          <w:rFonts w:hAnsi="標楷體" w:hint="eastAsia"/>
          <w:color w:val="000000"/>
          <w:kern w:val="0"/>
        </w:rPr>
        <w:t>修法議題，規劃納入該會辦理中之通訊傳播數位匯流修法作業之研議範圍，目前尚未有定論。惟</w:t>
      </w:r>
      <w:r w:rsidR="00437BF3" w:rsidRPr="00437BF3">
        <w:t>行政院</w:t>
      </w:r>
      <w:r w:rsidR="00437BF3" w:rsidRPr="00437BF3">
        <w:rPr>
          <w:rFonts w:hint="eastAsia"/>
        </w:rPr>
        <w:t>前</w:t>
      </w:r>
      <w:r w:rsidR="00703D6D">
        <w:rPr>
          <w:rFonts w:hint="eastAsia"/>
        </w:rPr>
        <w:t>已</w:t>
      </w:r>
      <w:r w:rsidR="00437BF3" w:rsidRPr="00437BF3">
        <w:t>核定</w:t>
      </w:r>
      <w:r w:rsidR="00703D6D">
        <w:rPr>
          <w:rFonts w:hint="eastAsia"/>
        </w:rPr>
        <w:t>之</w:t>
      </w:r>
      <w:r w:rsidR="00437BF3" w:rsidRPr="00437BF3">
        <w:t>「數位匯流發展方案」</w:t>
      </w:r>
      <w:r w:rsidR="00437BF3" w:rsidRPr="00437BF3">
        <w:rPr>
          <w:rFonts w:hint="eastAsia"/>
        </w:rPr>
        <w:t>中，</w:t>
      </w:r>
      <w:r w:rsidR="00437BF3" w:rsidRPr="00437BF3">
        <w:rPr>
          <w:rFonts w:hint="eastAsia"/>
          <w:szCs w:val="32"/>
        </w:rPr>
        <w:t>屬通傳</w:t>
      </w:r>
      <w:r w:rsidR="00437BF3" w:rsidRPr="00437BF3">
        <w:rPr>
          <w:szCs w:val="32"/>
        </w:rPr>
        <w:t>會</w:t>
      </w:r>
      <w:r w:rsidR="00437BF3" w:rsidRPr="00437BF3">
        <w:rPr>
          <w:rFonts w:hint="eastAsia"/>
          <w:szCs w:val="32"/>
        </w:rPr>
        <w:t>主政指標，尚未全數達成</w:t>
      </w:r>
      <w:r w:rsidR="00437BF3">
        <w:rPr>
          <w:rFonts w:hint="eastAsia"/>
          <w:szCs w:val="32"/>
        </w:rPr>
        <w:t>。</w:t>
      </w:r>
      <w:r w:rsidR="00437BF3" w:rsidRPr="00437BF3">
        <w:rPr>
          <w:rFonts w:hAnsi="標楷體" w:hint="eastAsia"/>
          <w:color w:val="000000"/>
          <w:kern w:val="0"/>
        </w:rPr>
        <w:t>鑑於數位匯流技術發展，業打破原有技術藩籬，消費者已得經由</w:t>
      </w:r>
      <w:r w:rsidR="00437BF3" w:rsidRPr="00437BF3">
        <w:rPr>
          <w:rFonts w:hAnsi="標楷體" w:hint="eastAsia"/>
          <w:color w:val="000000"/>
          <w:kern w:val="0"/>
          <w:szCs w:val="48"/>
        </w:rPr>
        <w:t>各式終端設備</w:t>
      </w:r>
      <w:r w:rsidR="00437BF3" w:rsidRPr="00437BF3">
        <w:rPr>
          <w:rFonts w:hAnsi="標楷體" w:hint="eastAsia"/>
          <w:color w:val="000000"/>
          <w:kern w:val="0"/>
        </w:rPr>
        <w:t>取得語音、資訊及影音內容等服務。爰通傳會允宜與時俱進，配合前揭技術</w:t>
      </w:r>
      <w:r w:rsidR="00703D6D">
        <w:rPr>
          <w:rFonts w:hAnsi="標楷體" w:hint="eastAsia"/>
          <w:color w:val="000000"/>
          <w:kern w:val="0"/>
        </w:rPr>
        <w:t>之</w:t>
      </w:r>
      <w:r w:rsidR="00437BF3" w:rsidRPr="00437BF3">
        <w:rPr>
          <w:rFonts w:hAnsi="標楷體" w:hint="eastAsia"/>
          <w:color w:val="000000"/>
          <w:kern w:val="0"/>
        </w:rPr>
        <w:t>進步及產業轉變態勢，藉由完備匯流法制，建立公平競爭及健全發展之通訊傳播環境，以提供民眾更優良服務，並刺激業界創新發展。</w:t>
      </w:r>
      <w:r w:rsidR="00B5238A">
        <w:rPr>
          <w:rFonts w:hAnsi="標楷體" w:hint="eastAsia"/>
          <w:color w:val="000000"/>
          <w:kern w:val="0"/>
        </w:rPr>
        <w:t>且</w:t>
      </w:r>
      <w:r w:rsidR="00703D6D" w:rsidRPr="00437BF3">
        <w:rPr>
          <w:rFonts w:hAnsi="標楷體" w:hint="eastAsia"/>
          <w:color w:val="000000"/>
          <w:kern w:val="0"/>
        </w:rPr>
        <w:t>「通訊傳播監督管理基金」及「有線廣播電視事業發展基金」整併</w:t>
      </w:r>
      <w:r w:rsidR="00B5238A">
        <w:rPr>
          <w:rFonts w:hAnsi="標楷體" w:hint="eastAsia"/>
          <w:color w:val="000000"/>
          <w:kern w:val="0"/>
        </w:rPr>
        <w:t>工作，</w:t>
      </w:r>
      <w:r w:rsidR="004D4293">
        <w:rPr>
          <w:rFonts w:hAnsi="標楷體" w:hint="eastAsia"/>
          <w:color w:val="000000"/>
          <w:kern w:val="0"/>
        </w:rPr>
        <w:t>似</w:t>
      </w:r>
      <w:r w:rsidR="00B5238A">
        <w:rPr>
          <w:rFonts w:hAnsi="標楷體" w:hint="eastAsia"/>
          <w:color w:val="000000"/>
          <w:kern w:val="0"/>
        </w:rPr>
        <w:t>宜考量配合前揭工作進度持續推動。</w:t>
      </w:r>
    </w:p>
    <w:bookmarkEnd w:id="49"/>
    <w:p w:rsidR="00E25849" w:rsidRPr="00C5795B" w:rsidRDefault="00C5795B" w:rsidP="00C5795B">
      <w:pPr>
        <w:pStyle w:val="1"/>
        <w:numPr>
          <w:ilvl w:val="0"/>
          <w:numId w:val="0"/>
        </w:numPr>
        <w:spacing w:beforeLines="50" w:before="228"/>
        <w:rPr>
          <w:rFonts w:ascii="Times New Roman"/>
          <w:kern w:val="0"/>
          <w:sz w:val="40"/>
        </w:rPr>
      </w:pPr>
      <w:r>
        <w:rPr>
          <w:rFonts w:hint="eastAsia"/>
        </w:rPr>
        <w:t xml:space="preserve">                     </w:t>
      </w:r>
      <w:r w:rsidR="00E25849" w:rsidRPr="00C5795B">
        <w:rPr>
          <w:rFonts w:hint="eastAsia"/>
          <w:spacing w:val="12"/>
          <w:kern w:val="0"/>
          <w:sz w:val="40"/>
        </w:rPr>
        <w:t>調查委員：</w:t>
      </w:r>
      <w:r>
        <w:rPr>
          <w:rFonts w:hint="eastAsia"/>
          <w:spacing w:val="12"/>
          <w:kern w:val="0"/>
          <w:sz w:val="40"/>
        </w:rPr>
        <w:t>陳慶財</w:t>
      </w:r>
    </w:p>
    <w:p w:rsidR="00E25849" w:rsidRPr="00C5795B" w:rsidRDefault="00C5795B" w:rsidP="00C5795B">
      <w:pPr>
        <w:pStyle w:val="aa"/>
        <w:spacing w:before="0" w:after="0"/>
        <w:ind w:left="0"/>
        <w:rPr>
          <w:b w:val="0"/>
          <w:bCs/>
          <w:snapToGrid/>
          <w:spacing w:val="12"/>
          <w:kern w:val="0"/>
          <w:sz w:val="40"/>
          <w:szCs w:val="40"/>
        </w:rPr>
      </w:pPr>
      <w:r>
        <w:rPr>
          <w:rFonts w:hint="eastAsia"/>
          <w:b w:val="0"/>
          <w:bCs/>
          <w:snapToGrid/>
          <w:spacing w:val="12"/>
          <w:kern w:val="0"/>
          <w:sz w:val="40"/>
          <w:szCs w:val="40"/>
        </w:rPr>
        <w:t xml:space="preserve">                         陳小紅</w:t>
      </w:r>
    </w:p>
    <w:p w:rsidR="00E25849" w:rsidRPr="00C5795B" w:rsidRDefault="00C5795B" w:rsidP="00C5795B">
      <w:pPr>
        <w:pStyle w:val="aa"/>
        <w:spacing w:before="0" w:after="0"/>
        <w:ind w:left="0"/>
        <w:rPr>
          <w:b w:val="0"/>
          <w:bCs/>
          <w:snapToGrid/>
          <w:spacing w:val="12"/>
          <w:kern w:val="0"/>
          <w:sz w:val="40"/>
          <w:szCs w:val="40"/>
        </w:rPr>
      </w:pPr>
      <w:r>
        <w:rPr>
          <w:rFonts w:hint="eastAsia"/>
          <w:b w:val="0"/>
          <w:bCs/>
          <w:snapToGrid/>
          <w:spacing w:val="12"/>
          <w:kern w:val="0"/>
          <w:sz w:val="40"/>
          <w:szCs w:val="40"/>
        </w:rPr>
        <w:t xml:space="preserve">                         李月德</w:t>
      </w:r>
    </w:p>
    <w:p w:rsidR="00E25849" w:rsidRDefault="00E25849">
      <w:pPr>
        <w:pStyle w:val="aa"/>
        <w:spacing w:before="0" w:after="0"/>
        <w:ind w:leftChars="1100" w:left="3742" w:firstLineChars="500" w:firstLine="2021"/>
        <w:rPr>
          <w:b w:val="0"/>
          <w:bCs/>
          <w:snapToGrid/>
          <w:spacing w:val="12"/>
          <w:kern w:val="0"/>
        </w:rPr>
      </w:pPr>
    </w:p>
    <w:p w:rsidR="00424BEC" w:rsidRDefault="00424BEC" w:rsidP="006544C9">
      <w:pPr>
        <w:pStyle w:val="af2"/>
        <w:kinsoku/>
        <w:autoSpaceDE w:val="0"/>
        <w:ind w:left="1020" w:hanging="1020"/>
        <w:rPr>
          <w:rFonts w:hAnsi="標楷體"/>
        </w:rPr>
      </w:pPr>
      <w:bookmarkStart w:id="50" w:name="_GoBack"/>
      <w:bookmarkEnd w:id="50"/>
    </w:p>
    <w:sectPr w:rsidR="00424BEC" w:rsidSect="00D1173F">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FA1" w:rsidRDefault="00854FA1">
      <w:r>
        <w:separator/>
      </w:r>
    </w:p>
  </w:endnote>
  <w:endnote w:type="continuationSeparator" w:id="0">
    <w:p w:rsidR="00854FA1" w:rsidRDefault="0085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9D" w:rsidRDefault="00182E9D">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5795B">
      <w:rPr>
        <w:rStyle w:val="ad"/>
        <w:noProof/>
        <w:sz w:val="24"/>
      </w:rPr>
      <w:t>26</w:t>
    </w:r>
    <w:r>
      <w:rPr>
        <w:rStyle w:val="ad"/>
        <w:sz w:val="24"/>
      </w:rPr>
      <w:fldChar w:fldCharType="end"/>
    </w:r>
  </w:p>
  <w:p w:rsidR="00182E9D" w:rsidRDefault="00182E9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FA1" w:rsidRDefault="00854FA1">
      <w:r>
        <w:separator/>
      </w:r>
    </w:p>
  </w:footnote>
  <w:footnote w:type="continuationSeparator" w:id="0">
    <w:p w:rsidR="00854FA1" w:rsidRDefault="00854FA1">
      <w:r>
        <w:continuationSeparator/>
      </w:r>
    </w:p>
  </w:footnote>
  <w:footnote w:id="1">
    <w:p w:rsidR="00182E9D" w:rsidRPr="00926F86" w:rsidRDefault="00182E9D">
      <w:pPr>
        <w:pStyle w:val="aff"/>
        <w:rPr>
          <w:rFonts w:eastAsiaTheme="minorEastAsia"/>
        </w:rPr>
      </w:pPr>
      <w:r>
        <w:rPr>
          <w:rStyle w:val="aff1"/>
        </w:rPr>
        <w:footnoteRef/>
      </w:r>
      <w:r>
        <w:t xml:space="preserve"> </w:t>
      </w:r>
      <w:r>
        <w:rPr>
          <w:rFonts w:hint="eastAsia"/>
        </w:rPr>
        <w:t>行政院104年1月20日</w:t>
      </w:r>
      <w:r w:rsidRPr="00926F86">
        <w:rPr>
          <w:rFonts w:hint="eastAsia"/>
        </w:rPr>
        <w:t>院授主基字第</w:t>
      </w:r>
      <w:r w:rsidRPr="00926F86">
        <w:t>1040200024</w:t>
      </w:r>
      <w:r w:rsidRPr="00926F86">
        <w:rPr>
          <w:rFonts w:hint="eastAsia"/>
        </w:rPr>
        <w:t>號函。</w:t>
      </w:r>
    </w:p>
  </w:footnote>
  <w:footnote w:id="2">
    <w:p w:rsidR="00F35B90" w:rsidRPr="00F35B90" w:rsidRDefault="00F35B90">
      <w:pPr>
        <w:pStyle w:val="aff"/>
      </w:pPr>
      <w:r>
        <w:rPr>
          <w:rStyle w:val="aff1"/>
        </w:rPr>
        <w:footnoteRef/>
      </w:r>
      <w:r>
        <w:t xml:space="preserve"> </w:t>
      </w:r>
      <w:hyperlink r:id="rId1" w:history="1">
        <w:r w:rsidRPr="003F4D1E">
          <w:rPr>
            <w:rStyle w:val="af0"/>
          </w:rPr>
          <w:t>http://www.ndc.gov.tw/News.aspx?n=CAB5D137A3FE907F&amp;sms=E0FFB21B0CCBE27B</w:t>
        </w:r>
      </w:hyperlink>
      <w:r>
        <w:rPr>
          <w:rFonts w:hint="eastAsia"/>
        </w:rPr>
        <w:t>。</w:t>
      </w:r>
    </w:p>
  </w:footnote>
  <w:footnote w:id="3">
    <w:p w:rsidR="00182E9D" w:rsidRDefault="00182E9D" w:rsidP="00EE491C">
      <w:pPr>
        <w:pStyle w:val="aff"/>
      </w:pPr>
      <w:r>
        <w:rPr>
          <w:rStyle w:val="aff1"/>
        </w:rPr>
        <w:footnoteRef/>
      </w:r>
      <w:r>
        <w:t xml:space="preserve"> </w:t>
      </w:r>
      <w:r w:rsidRPr="007B627F">
        <w:rPr>
          <w:rFonts w:hint="eastAsia"/>
        </w:rPr>
        <w:t>審計部</w:t>
      </w:r>
      <w:r w:rsidRPr="007B627F">
        <w:rPr>
          <w:rFonts w:hAnsi="標楷體" w:hint="eastAsia"/>
          <w:szCs w:val="24"/>
        </w:rPr>
        <w:t>105年5月5日台審部四字第1050051746號函。</w:t>
      </w:r>
    </w:p>
  </w:footnote>
  <w:footnote w:id="4">
    <w:p w:rsidR="00182E9D" w:rsidRDefault="00182E9D">
      <w:pPr>
        <w:pStyle w:val="aff"/>
      </w:pPr>
      <w:r>
        <w:rPr>
          <w:rStyle w:val="aff1"/>
        </w:rPr>
        <w:footnoteRef/>
      </w:r>
      <w:r>
        <w:t xml:space="preserve"> </w:t>
      </w:r>
      <w:r>
        <w:rPr>
          <w:rFonts w:hint="eastAsia"/>
        </w:rPr>
        <w:t>105年金額均為決算數。</w:t>
      </w:r>
    </w:p>
  </w:footnote>
  <w:footnote w:id="5">
    <w:p w:rsidR="00182E9D" w:rsidRDefault="00182E9D" w:rsidP="004D656F">
      <w:pPr>
        <w:pStyle w:val="Default"/>
        <w:snapToGrid w:val="0"/>
      </w:pPr>
      <w:r>
        <w:rPr>
          <w:rStyle w:val="aff1"/>
        </w:rPr>
        <w:footnoteRef/>
      </w:r>
      <w:r>
        <w:t xml:space="preserve"> </w:t>
      </w:r>
      <w:r>
        <w:rPr>
          <w:rFonts w:ascii="標楷體" w:eastAsia="標楷體" w:hAnsi="標楷體" w:cs="標楷體" w:hint="eastAsia"/>
          <w:sz w:val="20"/>
          <w:szCs w:val="20"/>
        </w:rPr>
        <w:t>嘉義市興嘉國宅，由臺</w:t>
      </w:r>
      <w:r w:rsidRPr="004D656F">
        <w:rPr>
          <w:rFonts w:ascii="標楷體" w:eastAsia="標楷體" w:hAnsi="標楷體" w:cs="標楷體" w:hint="eastAsia"/>
          <w:sz w:val="20"/>
          <w:szCs w:val="20"/>
        </w:rPr>
        <w:t>灣省政府與嘉義</w:t>
      </w:r>
      <w:r>
        <w:rPr>
          <w:rFonts w:ascii="標楷體" w:eastAsia="標楷體" w:hAnsi="標楷體" w:cs="標楷體" w:hint="eastAsia"/>
          <w:sz w:val="20"/>
          <w:szCs w:val="20"/>
        </w:rPr>
        <w:t>市</w:t>
      </w:r>
      <w:r w:rsidRPr="004D656F">
        <w:rPr>
          <w:rFonts w:ascii="標楷體" w:eastAsia="標楷體" w:hAnsi="標楷體" w:cs="標楷體" w:hint="eastAsia"/>
          <w:sz w:val="20"/>
          <w:szCs w:val="20"/>
        </w:rPr>
        <w:t>政府於</w:t>
      </w:r>
      <w:r w:rsidRPr="004D656F">
        <w:rPr>
          <w:rFonts w:ascii="標楷體" w:eastAsia="標楷體" w:hAnsi="標楷體"/>
          <w:sz w:val="20"/>
          <w:szCs w:val="20"/>
        </w:rPr>
        <w:t>71</w:t>
      </w:r>
      <w:r w:rsidRPr="004D656F">
        <w:rPr>
          <w:rFonts w:ascii="標楷體" w:eastAsia="標楷體" w:hAnsi="標楷體" w:cs="標楷體" w:hint="eastAsia"/>
          <w:sz w:val="20"/>
          <w:szCs w:val="20"/>
        </w:rPr>
        <w:t>年合作興建，計興建</w:t>
      </w:r>
      <w:r w:rsidRPr="004D656F">
        <w:rPr>
          <w:rFonts w:ascii="標楷體" w:eastAsia="標楷體" w:hAnsi="標楷體"/>
          <w:sz w:val="20"/>
          <w:szCs w:val="20"/>
        </w:rPr>
        <w:t>78</w:t>
      </w:r>
      <w:r w:rsidRPr="004D656F">
        <w:rPr>
          <w:rFonts w:ascii="標楷體" w:eastAsia="標楷體" w:hAnsi="標楷體" w:cs="標楷體" w:hint="eastAsia"/>
          <w:sz w:val="20"/>
          <w:szCs w:val="20"/>
        </w:rPr>
        <w:t>戶</w:t>
      </w:r>
      <w:r>
        <w:rPr>
          <w:rFonts w:ascii="標楷體" w:eastAsia="標楷體" w:hAnsi="標楷體" w:cs="標楷體" w:hint="eastAsia"/>
          <w:sz w:val="20"/>
          <w:szCs w:val="20"/>
        </w:rPr>
        <w:t>，尚</w:t>
      </w:r>
      <w:r w:rsidRPr="004D656F">
        <w:rPr>
          <w:rFonts w:ascii="標楷體" w:eastAsia="標楷體" w:hAnsi="標楷體" w:cs="標楷體" w:hint="eastAsia"/>
          <w:sz w:val="20"/>
          <w:szCs w:val="20"/>
        </w:rPr>
        <w:t>餘國宅</w:t>
      </w:r>
      <w:r w:rsidRPr="004D656F">
        <w:rPr>
          <w:rFonts w:ascii="標楷體" w:eastAsia="標楷體" w:hAnsi="標楷體"/>
          <w:sz w:val="20"/>
          <w:szCs w:val="20"/>
        </w:rPr>
        <w:t>1</w:t>
      </w:r>
      <w:r w:rsidRPr="004D656F">
        <w:rPr>
          <w:rFonts w:ascii="標楷體" w:eastAsia="標楷體" w:hAnsi="標楷體" w:cs="標楷體" w:hint="eastAsia"/>
          <w:sz w:val="20"/>
          <w:szCs w:val="20"/>
        </w:rPr>
        <w:t>戶待售（座落嘉義市上海路</w:t>
      </w:r>
      <w:r w:rsidRPr="004D656F">
        <w:rPr>
          <w:rFonts w:ascii="標楷體" w:eastAsia="標楷體" w:hAnsi="標楷體"/>
          <w:sz w:val="20"/>
          <w:szCs w:val="20"/>
        </w:rPr>
        <w:t>79</w:t>
      </w:r>
      <w:r w:rsidRPr="004D656F">
        <w:rPr>
          <w:rFonts w:ascii="標楷體" w:eastAsia="標楷體" w:hAnsi="標楷體" w:cs="標楷體" w:hint="eastAsia"/>
          <w:sz w:val="20"/>
          <w:szCs w:val="20"/>
        </w:rPr>
        <w:t>號</w:t>
      </w:r>
      <w:r w:rsidRPr="004D656F">
        <w:rPr>
          <w:rFonts w:ascii="標楷體" w:eastAsia="標楷體" w:hAnsi="標楷體"/>
          <w:sz w:val="20"/>
          <w:szCs w:val="20"/>
        </w:rPr>
        <w:t>5</w:t>
      </w:r>
      <w:r w:rsidRPr="004D656F">
        <w:rPr>
          <w:rFonts w:ascii="標楷體" w:eastAsia="標楷體" w:hAnsi="標楷體" w:cs="標楷體" w:hint="eastAsia"/>
          <w:sz w:val="20"/>
          <w:szCs w:val="20"/>
        </w:rPr>
        <w:t>樓之</w:t>
      </w:r>
      <w:r w:rsidRPr="004D656F">
        <w:rPr>
          <w:rFonts w:ascii="標楷體" w:eastAsia="標楷體" w:hAnsi="標楷體"/>
          <w:sz w:val="20"/>
          <w:szCs w:val="20"/>
        </w:rPr>
        <w:t>3</w:t>
      </w:r>
      <w:r w:rsidRPr="004D656F">
        <w:rPr>
          <w:rFonts w:ascii="標楷體" w:eastAsia="標楷體" w:hAnsi="標楷體" w:cs="標楷體" w:hint="eastAsia"/>
          <w:sz w:val="20"/>
          <w:szCs w:val="20"/>
        </w:rPr>
        <w:t>）。</w:t>
      </w:r>
      <w:r w:rsidRPr="00EF6310">
        <w:rPr>
          <w:rFonts w:ascii="標楷體" w:eastAsia="標楷體" w:hAnsi="標楷體" w:cs="標楷體"/>
          <w:sz w:val="20"/>
          <w:szCs w:val="20"/>
        </w:rPr>
        <w:t>http://www.cpami.gov.tw/chinese/index.php?option=com_content&amp;view=article&amp;id=7725&amp;Itemid=132</w:t>
      </w:r>
    </w:p>
  </w:footnote>
  <w:footnote w:id="6">
    <w:p w:rsidR="00182E9D" w:rsidRDefault="00182E9D">
      <w:pPr>
        <w:pStyle w:val="aff"/>
      </w:pPr>
      <w:r>
        <w:rPr>
          <w:rStyle w:val="aff1"/>
        </w:rPr>
        <w:footnoteRef/>
      </w:r>
      <w:r>
        <w:t xml:space="preserve"> </w:t>
      </w:r>
      <w:r>
        <w:rPr>
          <w:rFonts w:hint="eastAsia"/>
        </w:rPr>
        <w:t>105年徵起</w:t>
      </w:r>
      <w:r w:rsidRPr="00A613A4">
        <w:t>稅額約12.4億元</w:t>
      </w:r>
      <w:r w:rsidRPr="00662F53">
        <w:rPr>
          <w:rFonts w:hint="eastAsia"/>
        </w:rPr>
        <w:t>。</w:t>
      </w:r>
    </w:p>
  </w:footnote>
  <w:footnote w:id="7">
    <w:p w:rsidR="00182E9D" w:rsidRDefault="00182E9D">
      <w:pPr>
        <w:pStyle w:val="aff"/>
      </w:pPr>
      <w:r>
        <w:rPr>
          <w:rStyle w:val="aff1"/>
        </w:rPr>
        <w:footnoteRef/>
      </w:r>
      <w:r>
        <w:t xml:space="preserve"> </w:t>
      </w:r>
      <w:r>
        <w:rPr>
          <w:rFonts w:hint="eastAsia"/>
        </w:rPr>
        <w:t>104年新竹科學園區積體電路、光電、電腦及周邊與通訊等產業之營業額，占園區總營業額之比率分別為72.73﹪、17.20﹪、3.39﹪及2.77﹪，合計占園區總營業額之96.09﹪（</w:t>
      </w:r>
      <w:r w:rsidRPr="006311C3">
        <w:t>http://saturn.sipa.gov.tw/InnovationWeb/download/10503.pdf</w:t>
      </w:r>
      <w:r>
        <w:rPr>
          <w:rFonts w:hint="eastAsia"/>
        </w:rPr>
        <w:t>）。</w:t>
      </w:r>
    </w:p>
  </w:footnote>
  <w:footnote w:id="8">
    <w:p w:rsidR="00182E9D" w:rsidRPr="00907AB4" w:rsidRDefault="00182E9D" w:rsidP="001B3856">
      <w:pPr>
        <w:pStyle w:val="aff"/>
      </w:pPr>
      <w:r>
        <w:rPr>
          <w:rStyle w:val="aff1"/>
        </w:rPr>
        <w:footnoteRef/>
      </w:r>
      <w:r>
        <w:t xml:space="preserve"> </w:t>
      </w:r>
      <w:r>
        <w:rPr>
          <w:rFonts w:hint="eastAsia"/>
        </w:rPr>
        <w:t>103年12月25日會議擬議意見。</w:t>
      </w:r>
    </w:p>
  </w:footnote>
  <w:footnote w:id="9">
    <w:p w:rsidR="00182E9D" w:rsidRDefault="00182E9D">
      <w:pPr>
        <w:pStyle w:val="aff"/>
      </w:pPr>
      <w:r>
        <w:rPr>
          <w:rStyle w:val="aff1"/>
        </w:rPr>
        <w:footnoteRef/>
      </w:r>
      <w:r>
        <w:t xml:space="preserve"> </w:t>
      </w:r>
      <w:r w:rsidRPr="00D5164D">
        <w:t>（第二版）改版修訂</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60AC5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F824D18"/>
    <w:multiLevelType w:val="hybridMultilevel"/>
    <w:tmpl w:val="51B604EC"/>
    <w:lvl w:ilvl="0" w:tplc="6D4C82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5A41B38"/>
    <w:multiLevelType w:val="hybridMultilevel"/>
    <w:tmpl w:val="A970A5C8"/>
    <w:lvl w:ilvl="0" w:tplc="7AEE9EDE">
      <w:start w:val="1"/>
      <w:numFmt w:val="decimal"/>
      <w:lvlText w:val="%1."/>
      <w:lvlJc w:val="left"/>
      <w:pPr>
        <w:tabs>
          <w:tab w:val="num" w:pos="360"/>
        </w:tabs>
        <w:ind w:left="360" w:hanging="360"/>
      </w:pPr>
      <w:rPr>
        <w:rFonts w:hint="eastAsia"/>
      </w:rPr>
    </w:lvl>
    <w:lvl w:ilvl="1" w:tplc="9D0C701A">
      <w:start w:val="1"/>
      <w:numFmt w:val="decimal"/>
      <w:suff w:val="nothing"/>
      <w:lvlText w:val="(%2)"/>
      <w:lvlJc w:val="left"/>
      <w:pPr>
        <w:ind w:left="840" w:hanging="360"/>
      </w:pPr>
      <w:rPr>
        <w:rFonts w:ascii="Times New Roman" w:hAnsi="Times New Roman" w:cs="Times New Roman" w:hint="default"/>
        <w:b w:val="0"/>
        <w:bCs w:val="0"/>
        <w:color w:val="auto"/>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CB28B8"/>
    <w:multiLevelType w:val="hybridMultilevel"/>
    <w:tmpl w:val="A970A5C8"/>
    <w:lvl w:ilvl="0" w:tplc="7AEE9EDE">
      <w:start w:val="1"/>
      <w:numFmt w:val="decimal"/>
      <w:lvlText w:val="%1."/>
      <w:lvlJc w:val="left"/>
      <w:pPr>
        <w:tabs>
          <w:tab w:val="num" w:pos="360"/>
        </w:tabs>
        <w:ind w:left="360" w:hanging="360"/>
      </w:pPr>
      <w:rPr>
        <w:rFonts w:hint="eastAsia"/>
      </w:rPr>
    </w:lvl>
    <w:lvl w:ilvl="1" w:tplc="9D0C701A">
      <w:start w:val="1"/>
      <w:numFmt w:val="decimal"/>
      <w:suff w:val="nothing"/>
      <w:lvlText w:val="(%2)"/>
      <w:lvlJc w:val="left"/>
      <w:pPr>
        <w:ind w:left="840" w:hanging="360"/>
      </w:pPr>
      <w:rPr>
        <w:rFonts w:ascii="Times New Roman" w:hAnsi="Times New Roman" w:cs="Times New Roman" w:hint="default"/>
        <w:b w:val="0"/>
        <w:bCs w:val="0"/>
        <w:color w:val="auto"/>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B6112B0"/>
    <w:multiLevelType w:val="hybridMultilevel"/>
    <w:tmpl w:val="A970A5C8"/>
    <w:lvl w:ilvl="0" w:tplc="7AEE9EDE">
      <w:start w:val="1"/>
      <w:numFmt w:val="decimal"/>
      <w:lvlText w:val="%1."/>
      <w:lvlJc w:val="left"/>
      <w:pPr>
        <w:tabs>
          <w:tab w:val="num" w:pos="360"/>
        </w:tabs>
        <w:ind w:left="360" w:hanging="360"/>
      </w:pPr>
      <w:rPr>
        <w:rFonts w:hint="eastAsia"/>
      </w:rPr>
    </w:lvl>
    <w:lvl w:ilvl="1" w:tplc="9D0C701A">
      <w:start w:val="1"/>
      <w:numFmt w:val="decimal"/>
      <w:suff w:val="nothing"/>
      <w:lvlText w:val="(%2)"/>
      <w:lvlJc w:val="left"/>
      <w:pPr>
        <w:ind w:left="840" w:hanging="360"/>
      </w:pPr>
      <w:rPr>
        <w:rFonts w:ascii="Times New Roman" w:hAnsi="Times New Roman" w:cs="Times New Roman" w:hint="default"/>
        <w:b w:val="0"/>
        <w:bCs w:val="0"/>
        <w:color w:val="auto"/>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0965665"/>
    <w:multiLevelType w:val="hybridMultilevel"/>
    <w:tmpl w:val="A970A5C8"/>
    <w:lvl w:ilvl="0" w:tplc="7AEE9EDE">
      <w:start w:val="1"/>
      <w:numFmt w:val="decimal"/>
      <w:lvlText w:val="%1."/>
      <w:lvlJc w:val="left"/>
      <w:pPr>
        <w:tabs>
          <w:tab w:val="num" w:pos="360"/>
        </w:tabs>
        <w:ind w:left="360" w:hanging="360"/>
      </w:pPr>
      <w:rPr>
        <w:rFonts w:hint="eastAsia"/>
      </w:rPr>
    </w:lvl>
    <w:lvl w:ilvl="1" w:tplc="9D0C701A">
      <w:start w:val="1"/>
      <w:numFmt w:val="decimal"/>
      <w:suff w:val="nothing"/>
      <w:lvlText w:val="(%2)"/>
      <w:lvlJc w:val="left"/>
      <w:pPr>
        <w:ind w:left="840" w:hanging="360"/>
      </w:pPr>
      <w:rPr>
        <w:rFonts w:ascii="Times New Roman" w:hAnsi="Times New Roman" w:cs="Times New Roman" w:hint="default"/>
        <w:b w:val="0"/>
        <w:bCs w:val="0"/>
        <w:color w:val="auto"/>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CD0434"/>
    <w:multiLevelType w:val="hybridMultilevel"/>
    <w:tmpl w:val="E7067696"/>
    <w:lvl w:ilvl="0" w:tplc="EDFEC5F2">
      <w:start w:val="1"/>
      <w:numFmt w:val="bullet"/>
      <w:lvlText w:val=""/>
      <w:lvlJc w:val="left"/>
      <w:pPr>
        <w:tabs>
          <w:tab w:val="num" w:pos="720"/>
        </w:tabs>
        <w:ind w:left="720" w:hanging="360"/>
      </w:pPr>
      <w:rPr>
        <w:rFonts w:ascii="Wingdings" w:hAnsi="Wingdings" w:hint="default"/>
      </w:rPr>
    </w:lvl>
    <w:lvl w:ilvl="1" w:tplc="6548E076" w:tentative="1">
      <w:start w:val="1"/>
      <w:numFmt w:val="bullet"/>
      <w:lvlText w:val=""/>
      <w:lvlJc w:val="left"/>
      <w:pPr>
        <w:tabs>
          <w:tab w:val="num" w:pos="1440"/>
        </w:tabs>
        <w:ind w:left="1440" w:hanging="360"/>
      </w:pPr>
      <w:rPr>
        <w:rFonts w:ascii="Wingdings" w:hAnsi="Wingdings" w:hint="default"/>
      </w:rPr>
    </w:lvl>
    <w:lvl w:ilvl="2" w:tplc="8A1827FC" w:tentative="1">
      <w:start w:val="1"/>
      <w:numFmt w:val="bullet"/>
      <w:lvlText w:val=""/>
      <w:lvlJc w:val="left"/>
      <w:pPr>
        <w:tabs>
          <w:tab w:val="num" w:pos="2160"/>
        </w:tabs>
        <w:ind w:left="2160" w:hanging="360"/>
      </w:pPr>
      <w:rPr>
        <w:rFonts w:ascii="Wingdings" w:hAnsi="Wingdings" w:hint="default"/>
      </w:rPr>
    </w:lvl>
    <w:lvl w:ilvl="3" w:tplc="728E4FD0" w:tentative="1">
      <w:start w:val="1"/>
      <w:numFmt w:val="bullet"/>
      <w:lvlText w:val=""/>
      <w:lvlJc w:val="left"/>
      <w:pPr>
        <w:tabs>
          <w:tab w:val="num" w:pos="2880"/>
        </w:tabs>
        <w:ind w:left="2880" w:hanging="360"/>
      </w:pPr>
      <w:rPr>
        <w:rFonts w:ascii="Wingdings" w:hAnsi="Wingdings" w:hint="default"/>
      </w:rPr>
    </w:lvl>
    <w:lvl w:ilvl="4" w:tplc="62EC908C" w:tentative="1">
      <w:start w:val="1"/>
      <w:numFmt w:val="bullet"/>
      <w:lvlText w:val=""/>
      <w:lvlJc w:val="left"/>
      <w:pPr>
        <w:tabs>
          <w:tab w:val="num" w:pos="3600"/>
        </w:tabs>
        <w:ind w:left="3600" w:hanging="360"/>
      </w:pPr>
      <w:rPr>
        <w:rFonts w:ascii="Wingdings" w:hAnsi="Wingdings" w:hint="default"/>
      </w:rPr>
    </w:lvl>
    <w:lvl w:ilvl="5" w:tplc="DEB6AC88" w:tentative="1">
      <w:start w:val="1"/>
      <w:numFmt w:val="bullet"/>
      <w:lvlText w:val=""/>
      <w:lvlJc w:val="left"/>
      <w:pPr>
        <w:tabs>
          <w:tab w:val="num" w:pos="4320"/>
        </w:tabs>
        <w:ind w:left="4320" w:hanging="360"/>
      </w:pPr>
      <w:rPr>
        <w:rFonts w:ascii="Wingdings" w:hAnsi="Wingdings" w:hint="default"/>
      </w:rPr>
    </w:lvl>
    <w:lvl w:ilvl="6" w:tplc="8168FEC8" w:tentative="1">
      <w:start w:val="1"/>
      <w:numFmt w:val="bullet"/>
      <w:lvlText w:val=""/>
      <w:lvlJc w:val="left"/>
      <w:pPr>
        <w:tabs>
          <w:tab w:val="num" w:pos="5040"/>
        </w:tabs>
        <w:ind w:left="5040" w:hanging="360"/>
      </w:pPr>
      <w:rPr>
        <w:rFonts w:ascii="Wingdings" w:hAnsi="Wingdings" w:hint="default"/>
      </w:rPr>
    </w:lvl>
    <w:lvl w:ilvl="7" w:tplc="EFD44CC2" w:tentative="1">
      <w:start w:val="1"/>
      <w:numFmt w:val="bullet"/>
      <w:lvlText w:val=""/>
      <w:lvlJc w:val="left"/>
      <w:pPr>
        <w:tabs>
          <w:tab w:val="num" w:pos="5760"/>
        </w:tabs>
        <w:ind w:left="5760" w:hanging="360"/>
      </w:pPr>
      <w:rPr>
        <w:rFonts w:ascii="Wingdings" w:hAnsi="Wingdings" w:hint="default"/>
      </w:rPr>
    </w:lvl>
    <w:lvl w:ilvl="8" w:tplc="040A3E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6A253D"/>
    <w:multiLevelType w:val="hybridMultilevel"/>
    <w:tmpl w:val="51B604EC"/>
    <w:lvl w:ilvl="0" w:tplc="6D4C82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2"/>
    <w:lvlOverride w:ilvl="0">
      <w:startOverride w:val="1"/>
    </w:lvlOverride>
  </w:num>
  <w:num w:numId="4">
    <w:abstractNumId w:val="8"/>
  </w:num>
  <w:num w:numId="5">
    <w:abstractNumId w:val="5"/>
  </w:num>
  <w:num w:numId="6">
    <w:abstractNumId w:val="11"/>
  </w:num>
  <w:num w:numId="7">
    <w:abstractNumId w:val="1"/>
  </w:num>
  <w:num w:numId="8">
    <w:abstractNumId w:val="12"/>
  </w:num>
  <w:num w:numId="9">
    <w:abstractNumId w:val="7"/>
  </w:num>
  <w:num w:numId="10">
    <w:abstractNumId w:val="3"/>
  </w:num>
  <w:num w:numId="11">
    <w:abstractNumId w:val="14"/>
  </w:num>
  <w:num w:numId="12">
    <w:abstractNumId w:val="9"/>
  </w:num>
  <w:num w:numId="13">
    <w:abstractNumId w:val="6"/>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3"/>
  </w:num>
  <w:num w:numId="2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88D"/>
    <w:rsid w:val="00004FC7"/>
    <w:rsid w:val="00006961"/>
    <w:rsid w:val="000102A5"/>
    <w:rsid w:val="000112BF"/>
    <w:rsid w:val="00012233"/>
    <w:rsid w:val="00015389"/>
    <w:rsid w:val="00015576"/>
    <w:rsid w:val="00017318"/>
    <w:rsid w:val="00021B30"/>
    <w:rsid w:val="00023F22"/>
    <w:rsid w:val="000246F7"/>
    <w:rsid w:val="0002608B"/>
    <w:rsid w:val="0003114D"/>
    <w:rsid w:val="00036D76"/>
    <w:rsid w:val="0004392F"/>
    <w:rsid w:val="00045B6B"/>
    <w:rsid w:val="00054187"/>
    <w:rsid w:val="00057F32"/>
    <w:rsid w:val="00060D4B"/>
    <w:rsid w:val="00061198"/>
    <w:rsid w:val="00062A25"/>
    <w:rsid w:val="0006392A"/>
    <w:rsid w:val="00064C05"/>
    <w:rsid w:val="00066E3C"/>
    <w:rsid w:val="0007358B"/>
    <w:rsid w:val="00073CB5"/>
    <w:rsid w:val="0007425C"/>
    <w:rsid w:val="00076768"/>
    <w:rsid w:val="000771DC"/>
    <w:rsid w:val="00077553"/>
    <w:rsid w:val="00083CD2"/>
    <w:rsid w:val="000851A2"/>
    <w:rsid w:val="00085559"/>
    <w:rsid w:val="0008650A"/>
    <w:rsid w:val="0009352E"/>
    <w:rsid w:val="00096B96"/>
    <w:rsid w:val="000A06AE"/>
    <w:rsid w:val="000A2F3F"/>
    <w:rsid w:val="000A6DA5"/>
    <w:rsid w:val="000A77E7"/>
    <w:rsid w:val="000B0B4A"/>
    <w:rsid w:val="000B279A"/>
    <w:rsid w:val="000B3AF2"/>
    <w:rsid w:val="000B3EE4"/>
    <w:rsid w:val="000B61D2"/>
    <w:rsid w:val="000B6B62"/>
    <w:rsid w:val="000B70A7"/>
    <w:rsid w:val="000B73DD"/>
    <w:rsid w:val="000C11A9"/>
    <w:rsid w:val="000C495F"/>
    <w:rsid w:val="000E6431"/>
    <w:rsid w:val="000E7DB9"/>
    <w:rsid w:val="000F21A5"/>
    <w:rsid w:val="000F5A09"/>
    <w:rsid w:val="000F62C5"/>
    <w:rsid w:val="00102B9F"/>
    <w:rsid w:val="00106F61"/>
    <w:rsid w:val="00112637"/>
    <w:rsid w:val="00112ABC"/>
    <w:rsid w:val="0011749D"/>
    <w:rsid w:val="0012001E"/>
    <w:rsid w:val="00121C50"/>
    <w:rsid w:val="00122072"/>
    <w:rsid w:val="00124A05"/>
    <w:rsid w:val="00126A55"/>
    <w:rsid w:val="00131686"/>
    <w:rsid w:val="00131700"/>
    <w:rsid w:val="00132AF0"/>
    <w:rsid w:val="00133F08"/>
    <w:rsid w:val="0013401D"/>
    <w:rsid w:val="001345E6"/>
    <w:rsid w:val="00135358"/>
    <w:rsid w:val="001378B0"/>
    <w:rsid w:val="00141478"/>
    <w:rsid w:val="00142104"/>
    <w:rsid w:val="00142E00"/>
    <w:rsid w:val="00142F24"/>
    <w:rsid w:val="00152793"/>
    <w:rsid w:val="001539C0"/>
    <w:rsid w:val="00153B7E"/>
    <w:rsid w:val="001544E9"/>
    <w:rsid w:val="001545A9"/>
    <w:rsid w:val="00154613"/>
    <w:rsid w:val="00160DB9"/>
    <w:rsid w:val="001637C7"/>
    <w:rsid w:val="00163A2B"/>
    <w:rsid w:val="0016480E"/>
    <w:rsid w:val="00174297"/>
    <w:rsid w:val="00174ADE"/>
    <w:rsid w:val="00180056"/>
    <w:rsid w:val="00180E06"/>
    <w:rsid w:val="001817B3"/>
    <w:rsid w:val="00182E9D"/>
    <w:rsid w:val="00183014"/>
    <w:rsid w:val="00186226"/>
    <w:rsid w:val="0019266D"/>
    <w:rsid w:val="00193446"/>
    <w:rsid w:val="00194B2D"/>
    <w:rsid w:val="001959C2"/>
    <w:rsid w:val="00197971"/>
    <w:rsid w:val="001A233D"/>
    <w:rsid w:val="001A51E3"/>
    <w:rsid w:val="001A5BBE"/>
    <w:rsid w:val="001A71D2"/>
    <w:rsid w:val="001A7968"/>
    <w:rsid w:val="001B1F9E"/>
    <w:rsid w:val="001B2E98"/>
    <w:rsid w:val="001B3483"/>
    <w:rsid w:val="001B3856"/>
    <w:rsid w:val="001B3C1E"/>
    <w:rsid w:val="001B4350"/>
    <w:rsid w:val="001B4494"/>
    <w:rsid w:val="001B6133"/>
    <w:rsid w:val="001B7F28"/>
    <w:rsid w:val="001C00BD"/>
    <w:rsid w:val="001C0883"/>
    <w:rsid w:val="001C0D8B"/>
    <w:rsid w:val="001C0DA8"/>
    <w:rsid w:val="001C3DEA"/>
    <w:rsid w:val="001C4148"/>
    <w:rsid w:val="001C5F9E"/>
    <w:rsid w:val="001D00AC"/>
    <w:rsid w:val="001D1822"/>
    <w:rsid w:val="001D4AD7"/>
    <w:rsid w:val="001D79DF"/>
    <w:rsid w:val="001E0D4B"/>
    <w:rsid w:val="001E0D8A"/>
    <w:rsid w:val="001E1AA4"/>
    <w:rsid w:val="001E3181"/>
    <w:rsid w:val="001E347D"/>
    <w:rsid w:val="001E35A0"/>
    <w:rsid w:val="001E67BA"/>
    <w:rsid w:val="001E74C2"/>
    <w:rsid w:val="001F0472"/>
    <w:rsid w:val="001F1D6A"/>
    <w:rsid w:val="001F3A10"/>
    <w:rsid w:val="001F465A"/>
    <w:rsid w:val="001F4F82"/>
    <w:rsid w:val="001F5A48"/>
    <w:rsid w:val="001F6260"/>
    <w:rsid w:val="001F7E5F"/>
    <w:rsid w:val="00200007"/>
    <w:rsid w:val="00202887"/>
    <w:rsid w:val="00202F39"/>
    <w:rsid w:val="002030A5"/>
    <w:rsid w:val="00203131"/>
    <w:rsid w:val="00203EFD"/>
    <w:rsid w:val="002078C3"/>
    <w:rsid w:val="00212880"/>
    <w:rsid w:val="00212E88"/>
    <w:rsid w:val="002135C4"/>
    <w:rsid w:val="00213C9C"/>
    <w:rsid w:val="0021464F"/>
    <w:rsid w:val="00214C3A"/>
    <w:rsid w:val="00215DB4"/>
    <w:rsid w:val="00215FA9"/>
    <w:rsid w:val="0021640D"/>
    <w:rsid w:val="0022009E"/>
    <w:rsid w:val="00222B13"/>
    <w:rsid w:val="00223241"/>
    <w:rsid w:val="0022425C"/>
    <w:rsid w:val="002246DE"/>
    <w:rsid w:val="00225004"/>
    <w:rsid w:val="002258FA"/>
    <w:rsid w:val="00225BFF"/>
    <w:rsid w:val="0023474E"/>
    <w:rsid w:val="00234984"/>
    <w:rsid w:val="00245CDF"/>
    <w:rsid w:val="00250355"/>
    <w:rsid w:val="00250590"/>
    <w:rsid w:val="002516CB"/>
    <w:rsid w:val="00252BC4"/>
    <w:rsid w:val="00254014"/>
    <w:rsid w:val="00254B39"/>
    <w:rsid w:val="00263ED5"/>
    <w:rsid w:val="00264E42"/>
    <w:rsid w:val="0026504D"/>
    <w:rsid w:val="00270D11"/>
    <w:rsid w:val="00273A2F"/>
    <w:rsid w:val="00275442"/>
    <w:rsid w:val="00275601"/>
    <w:rsid w:val="00275D77"/>
    <w:rsid w:val="0027725E"/>
    <w:rsid w:val="00280986"/>
    <w:rsid w:val="00281ECE"/>
    <w:rsid w:val="002831C7"/>
    <w:rsid w:val="002840C6"/>
    <w:rsid w:val="00284975"/>
    <w:rsid w:val="002852FE"/>
    <w:rsid w:val="00286368"/>
    <w:rsid w:val="00292FA4"/>
    <w:rsid w:val="002940D8"/>
    <w:rsid w:val="00295174"/>
    <w:rsid w:val="00295518"/>
    <w:rsid w:val="00296172"/>
    <w:rsid w:val="00296B92"/>
    <w:rsid w:val="002A16CE"/>
    <w:rsid w:val="002A1BE0"/>
    <w:rsid w:val="002A2C22"/>
    <w:rsid w:val="002A3968"/>
    <w:rsid w:val="002B02EB"/>
    <w:rsid w:val="002B62E1"/>
    <w:rsid w:val="002B7EE4"/>
    <w:rsid w:val="002C01C2"/>
    <w:rsid w:val="002C0602"/>
    <w:rsid w:val="002C265F"/>
    <w:rsid w:val="002C3244"/>
    <w:rsid w:val="002D0824"/>
    <w:rsid w:val="002D2795"/>
    <w:rsid w:val="002D5C16"/>
    <w:rsid w:val="002E0A35"/>
    <w:rsid w:val="002E22F0"/>
    <w:rsid w:val="002E4641"/>
    <w:rsid w:val="002F08F1"/>
    <w:rsid w:val="002F2476"/>
    <w:rsid w:val="002F3DFF"/>
    <w:rsid w:val="002F4E02"/>
    <w:rsid w:val="002F5E05"/>
    <w:rsid w:val="0030174D"/>
    <w:rsid w:val="00302F08"/>
    <w:rsid w:val="00304562"/>
    <w:rsid w:val="003061F6"/>
    <w:rsid w:val="003070B1"/>
    <w:rsid w:val="00307351"/>
    <w:rsid w:val="0030798A"/>
    <w:rsid w:val="00307A76"/>
    <w:rsid w:val="00315831"/>
    <w:rsid w:val="00315A16"/>
    <w:rsid w:val="00317053"/>
    <w:rsid w:val="0032109C"/>
    <w:rsid w:val="00322B45"/>
    <w:rsid w:val="00323809"/>
    <w:rsid w:val="00323841"/>
    <w:rsid w:val="00323D41"/>
    <w:rsid w:val="0032440E"/>
    <w:rsid w:val="00325414"/>
    <w:rsid w:val="00326F61"/>
    <w:rsid w:val="003302F1"/>
    <w:rsid w:val="00331265"/>
    <w:rsid w:val="00331652"/>
    <w:rsid w:val="00333426"/>
    <w:rsid w:val="0033370C"/>
    <w:rsid w:val="00334F8C"/>
    <w:rsid w:val="00337588"/>
    <w:rsid w:val="00337A87"/>
    <w:rsid w:val="00340A52"/>
    <w:rsid w:val="0034470E"/>
    <w:rsid w:val="00347CB7"/>
    <w:rsid w:val="00352DB0"/>
    <w:rsid w:val="003550BC"/>
    <w:rsid w:val="00361063"/>
    <w:rsid w:val="00364386"/>
    <w:rsid w:val="00366D94"/>
    <w:rsid w:val="0037094A"/>
    <w:rsid w:val="00371ED3"/>
    <w:rsid w:val="00372B70"/>
    <w:rsid w:val="00372F40"/>
    <w:rsid w:val="00372FFC"/>
    <w:rsid w:val="0037728A"/>
    <w:rsid w:val="003774A1"/>
    <w:rsid w:val="003808A8"/>
    <w:rsid w:val="00380B7D"/>
    <w:rsid w:val="00381A99"/>
    <w:rsid w:val="00381B4B"/>
    <w:rsid w:val="003829C2"/>
    <w:rsid w:val="003830B2"/>
    <w:rsid w:val="00384724"/>
    <w:rsid w:val="0038494A"/>
    <w:rsid w:val="003919B7"/>
    <w:rsid w:val="00391D57"/>
    <w:rsid w:val="00392292"/>
    <w:rsid w:val="00392F0E"/>
    <w:rsid w:val="0039454C"/>
    <w:rsid w:val="00394FEB"/>
    <w:rsid w:val="00396624"/>
    <w:rsid w:val="003A0F72"/>
    <w:rsid w:val="003A4F1D"/>
    <w:rsid w:val="003A5927"/>
    <w:rsid w:val="003A7040"/>
    <w:rsid w:val="003A705A"/>
    <w:rsid w:val="003B1017"/>
    <w:rsid w:val="003B242F"/>
    <w:rsid w:val="003B3C07"/>
    <w:rsid w:val="003B431E"/>
    <w:rsid w:val="003B6081"/>
    <w:rsid w:val="003B6775"/>
    <w:rsid w:val="003C1670"/>
    <w:rsid w:val="003C5CE5"/>
    <w:rsid w:val="003C5FE2"/>
    <w:rsid w:val="003D05FB"/>
    <w:rsid w:val="003D0D2B"/>
    <w:rsid w:val="003D1A11"/>
    <w:rsid w:val="003D1B16"/>
    <w:rsid w:val="003D2142"/>
    <w:rsid w:val="003D36FA"/>
    <w:rsid w:val="003D45BF"/>
    <w:rsid w:val="003D508A"/>
    <w:rsid w:val="003D537F"/>
    <w:rsid w:val="003D65A5"/>
    <w:rsid w:val="003D7384"/>
    <w:rsid w:val="003D7B75"/>
    <w:rsid w:val="003E0208"/>
    <w:rsid w:val="003E0A28"/>
    <w:rsid w:val="003E113C"/>
    <w:rsid w:val="003E4B57"/>
    <w:rsid w:val="003E5309"/>
    <w:rsid w:val="003F27E1"/>
    <w:rsid w:val="003F3E8E"/>
    <w:rsid w:val="003F437A"/>
    <w:rsid w:val="003F438F"/>
    <w:rsid w:val="003F4E84"/>
    <w:rsid w:val="003F5C2B"/>
    <w:rsid w:val="003F7DAF"/>
    <w:rsid w:val="003F7DE8"/>
    <w:rsid w:val="00402240"/>
    <w:rsid w:val="004023E9"/>
    <w:rsid w:val="0040454A"/>
    <w:rsid w:val="00412AF5"/>
    <w:rsid w:val="00413F83"/>
    <w:rsid w:val="0041490C"/>
    <w:rsid w:val="00416191"/>
    <w:rsid w:val="00416721"/>
    <w:rsid w:val="00416A13"/>
    <w:rsid w:val="0042104F"/>
    <w:rsid w:val="00421D44"/>
    <w:rsid w:val="00421EF0"/>
    <w:rsid w:val="004224FA"/>
    <w:rsid w:val="00422B49"/>
    <w:rsid w:val="00423D07"/>
    <w:rsid w:val="00424B1B"/>
    <w:rsid w:val="00424BEC"/>
    <w:rsid w:val="004253EC"/>
    <w:rsid w:val="00426834"/>
    <w:rsid w:val="00427936"/>
    <w:rsid w:val="004305B4"/>
    <w:rsid w:val="00430AB0"/>
    <w:rsid w:val="00431D6D"/>
    <w:rsid w:val="00432CF1"/>
    <w:rsid w:val="00433955"/>
    <w:rsid w:val="00437BF3"/>
    <w:rsid w:val="0044346F"/>
    <w:rsid w:val="00444004"/>
    <w:rsid w:val="004447E0"/>
    <w:rsid w:val="00451F07"/>
    <w:rsid w:val="0046520A"/>
    <w:rsid w:val="00465D46"/>
    <w:rsid w:val="004662E5"/>
    <w:rsid w:val="004672AB"/>
    <w:rsid w:val="00467DE7"/>
    <w:rsid w:val="004712FF"/>
    <w:rsid w:val="004714FE"/>
    <w:rsid w:val="004755C5"/>
    <w:rsid w:val="00477BAA"/>
    <w:rsid w:val="0048095C"/>
    <w:rsid w:val="004847D0"/>
    <w:rsid w:val="0048656B"/>
    <w:rsid w:val="00490E2A"/>
    <w:rsid w:val="00491D05"/>
    <w:rsid w:val="00495053"/>
    <w:rsid w:val="004A1F59"/>
    <w:rsid w:val="004A26D2"/>
    <w:rsid w:val="004A29BE"/>
    <w:rsid w:val="004A2B3C"/>
    <w:rsid w:val="004A3225"/>
    <w:rsid w:val="004A33EE"/>
    <w:rsid w:val="004A3AA8"/>
    <w:rsid w:val="004A63C4"/>
    <w:rsid w:val="004B085B"/>
    <w:rsid w:val="004B13C7"/>
    <w:rsid w:val="004B281A"/>
    <w:rsid w:val="004B5006"/>
    <w:rsid w:val="004B6CD9"/>
    <w:rsid w:val="004B778F"/>
    <w:rsid w:val="004C0609"/>
    <w:rsid w:val="004C43F8"/>
    <w:rsid w:val="004D141F"/>
    <w:rsid w:val="004D1AAE"/>
    <w:rsid w:val="004D1C93"/>
    <w:rsid w:val="004D2742"/>
    <w:rsid w:val="004D2855"/>
    <w:rsid w:val="004D4293"/>
    <w:rsid w:val="004D6310"/>
    <w:rsid w:val="004D656F"/>
    <w:rsid w:val="004D75D0"/>
    <w:rsid w:val="004D76EF"/>
    <w:rsid w:val="004D7DA4"/>
    <w:rsid w:val="004E0062"/>
    <w:rsid w:val="004E05A1"/>
    <w:rsid w:val="004E1F17"/>
    <w:rsid w:val="004E7414"/>
    <w:rsid w:val="004E7E58"/>
    <w:rsid w:val="004F5E57"/>
    <w:rsid w:val="004F6710"/>
    <w:rsid w:val="004F73BB"/>
    <w:rsid w:val="0050090A"/>
    <w:rsid w:val="00500C3E"/>
    <w:rsid w:val="00501187"/>
    <w:rsid w:val="00502849"/>
    <w:rsid w:val="005032E7"/>
    <w:rsid w:val="00504334"/>
    <w:rsid w:val="0050498D"/>
    <w:rsid w:val="005104D7"/>
    <w:rsid w:val="00510A5E"/>
    <w:rsid w:val="00510B9E"/>
    <w:rsid w:val="005157F4"/>
    <w:rsid w:val="00516630"/>
    <w:rsid w:val="00516AD7"/>
    <w:rsid w:val="00522811"/>
    <w:rsid w:val="0052595D"/>
    <w:rsid w:val="005273EE"/>
    <w:rsid w:val="0053065A"/>
    <w:rsid w:val="0053243C"/>
    <w:rsid w:val="00532573"/>
    <w:rsid w:val="00532F5B"/>
    <w:rsid w:val="00533B21"/>
    <w:rsid w:val="00535491"/>
    <w:rsid w:val="00536BC2"/>
    <w:rsid w:val="005378A0"/>
    <w:rsid w:val="005425E1"/>
    <w:rsid w:val="005427C5"/>
    <w:rsid w:val="00542CF6"/>
    <w:rsid w:val="00543710"/>
    <w:rsid w:val="005441CA"/>
    <w:rsid w:val="005445FF"/>
    <w:rsid w:val="0054561C"/>
    <w:rsid w:val="00546A68"/>
    <w:rsid w:val="0055258B"/>
    <w:rsid w:val="00552DEC"/>
    <w:rsid w:val="00553C03"/>
    <w:rsid w:val="0055689D"/>
    <w:rsid w:val="00563692"/>
    <w:rsid w:val="00564E5D"/>
    <w:rsid w:val="00567988"/>
    <w:rsid w:val="00571590"/>
    <w:rsid w:val="00571679"/>
    <w:rsid w:val="005722BE"/>
    <w:rsid w:val="00573CF0"/>
    <w:rsid w:val="005778B4"/>
    <w:rsid w:val="005804F0"/>
    <w:rsid w:val="00580CA5"/>
    <w:rsid w:val="005844E7"/>
    <w:rsid w:val="00585E38"/>
    <w:rsid w:val="0058671C"/>
    <w:rsid w:val="005908B8"/>
    <w:rsid w:val="00593906"/>
    <w:rsid w:val="0059512E"/>
    <w:rsid w:val="005954A4"/>
    <w:rsid w:val="005A0869"/>
    <w:rsid w:val="005A0CB9"/>
    <w:rsid w:val="005A5213"/>
    <w:rsid w:val="005A5418"/>
    <w:rsid w:val="005A5FDE"/>
    <w:rsid w:val="005A6351"/>
    <w:rsid w:val="005A6DD2"/>
    <w:rsid w:val="005B1C5C"/>
    <w:rsid w:val="005B32EE"/>
    <w:rsid w:val="005B5DFE"/>
    <w:rsid w:val="005B662C"/>
    <w:rsid w:val="005B6DE3"/>
    <w:rsid w:val="005B72EC"/>
    <w:rsid w:val="005B74E4"/>
    <w:rsid w:val="005C385D"/>
    <w:rsid w:val="005D3B20"/>
    <w:rsid w:val="005D3DFC"/>
    <w:rsid w:val="005D641F"/>
    <w:rsid w:val="005E2DFB"/>
    <w:rsid w:val="005E4759"/>
    <w:rsid w:val="005E5C68"/>
    <w:rsid w:val="005E65C0"/>
    <w:rsid w:val="005F0390"/>
    <w:rsid w:val="005F1054"/>
    <w:rsid w:val="005F23C4"/>
    <w:rsid w:val="005F65F5"/>
    <w:rsid w:val="00600C5C"/>
    <w:rsid w:val="006024FC"/>
    <w:rsid w:val="006072CD"/>
    <w:rsid w:val="00612023"/>
    <w:rsid w:val="00612560"/>
    <w:rsid w:val="00614190"/>
    <w:rsid w:val="006150F4"/>
    <w:rsid w:val="00616F47"/>
    <w:rsid w:val="006213B2"/>
    <w:rsid w:val="00622A99"/>
    <w:rsid w:val="00622E67"/>
    <w:rsid w:val="00626EDC"/>
    <w:rsid w:val="006311C3"/>
    <w:rsid w:val="00636BE4"/>
    <w:rsid w:val="00641BF0"/>
    <w:rsid w:val="00642615"/>
    <w:rsid w:val="00646C32"/>
    <w:rsid w:val="006470EC"/>
    <w:rsid w:val="006519CE"/>
    <w:rsid w:val="00652A40"/>
    <w:rsid w:val="006532AD"/>
    <w:rsid w:val="006539F6"/>
    <w:rsid w:val="006542D6"/>
    <w:rsid w:val="006544C9"/>
    <w:rsid w:val="0065598E"/>
    <w:rsid w:val="00655AF2"/>
    <w:rsid w:val="00655BC5"/>
    <w:rsid w:val="006568BE"/>
    <w:rsid w:val="00657249"/>
    <w:rsid w:val="0066025D"/>
    <w:rsid w:val="0066091A"/>
    <w:rsid w:val="00662F53"/>
    <w:rsid w:val="00664275"/>
    <w:rsid w:val="00667296"/>
    <w:rsid w:val="00667A76"/>
    <w:rsid w:val="00675DBF"/>
    <w:rsid w:val="006773EC"/>
    <w:rsid w:val="00680504"/>
    <w:rsid w:val="00681CD9"/>
    <w:rsid w:val="00683092"/>
    <w:rsid w:val="00683E30"/>
    <w:rsid w:val="00685610"/>
    <w:rsid w:val="006867D5"/>
    <w:rsid w:val="00686D82"/>
    <w:rsid w:val="00687024"/>
    <w:rsid w:val="00687035"/>
    <w:rsid w:val="00687FCB"/>
    <w:rsid w:val="00691683"/>
    <w:rsid w:val="00695E22"/>
    <w:rsid w:val="006A3F12"/>
    <w:rsid w:val="006A6076"/>
    <w:rsid w:val="006B2F78"/>
    <w:rsid w:val="006B7093"/>
    <w:rsid w:val="006B7417"/>
    <w:rsid w:val="006B75D7"/>
    <w:rsid w:val="006C0D0D"/>
    <w:rsid w:val="006C2A49"/>
    <w:rsid w:val="006C2C96"/>
    <w:rsid w:val="006D3691"/>
    <w:rsid w:val="006D5964"/>
    <w:rsid w:val="006D7136"/>
    <w:rsid w:val="006E42FA"/>
    <w:rsid w:val="006E5EF0"/>
    <w:rsid w:val="006E6476"/>
    <w:rsid w:val="006F05A1"/>
    <w:rsid w:val="006F1692"/>
    <w:rsid w:val="006F3563"/>
    <w:rsid w:val="006F42B9"/>
    <w:rsid w:val="006F6103"/>
    <w:rsid w:val="00703D6D"/>
    <w:rsid w:val="00704E00"/>
    <w:rsid w:val="00704F11"/>
    <w:rsid w:val="00705207"/>
    <w:rsid w:val="00706C50"/>
    <w:rsid w:val="00706ED7"/>
    <w:rsid w:val="00714793"/>
    <w:rsid w:val="00715939"/>
    <w:rsid w:val="00715C76"/>
    <w:rsid w:val="007161FE"/>
    <w:rsid w:val="007209B1"/>
    <w:rsid w:val="007209E7"/>
    <w:rsid w:val="007213D9"/>
    <w:rsid w:val="00724627"/>
    <w:rsid w:val="00726182"/>
    <w:rsid w:val="00727635"/>
    <w:rsid w:val="00731D19"/>
    <w:rsid w:val="00732329"/>
    <w:rsid w:val="007337CA"/>
    <w:rsid w:val="00734269"/>
    <w:rsid w:val="00734CE4"/>
    <w:rsid w:val="00735123"/>
    <w:rsid w:val="00740D14"/>
    <w:rsid w:val="00741837"/>
    <w:rsid w:val="00743D6A"/>
    <w:rsid w:val="007453E6"/>
    <w:rsid w:val="00751973"/>
    <w:rsid w:val="00752090"/>
    <w:rsid w:val="00754987"/>
    <w:rsid w:val="00756C4A"/>
    <w:rsid w:val="0075777F"/>
    <w:rsid w:val="00757CC5"/>
    <w:rsid w:val="0076270F"/>
    <w:rsid w:val="00763901"/>
    <w:rsid w:val="0076723E"/>
    <w:rsid w:val="00767337"/>
    <w:rsid w:val="00770B73"/>
    <w:rsid w:val="0077309D"/>
    <w:rsid w:val="00774282"/>
    <w:rsid w:val="0077624C"/>
    <w:rsid w:val="007774EE"/>
    <w:rsid w:val="00780E55"/>
    <w:rsid w:val="00781245"/>
    <w:rsid w:val="00781822"/>
    <w:rsid w:val="00783F21"/>
    <w:rsid w:val="0078638B"/>
    <w:rsid w:val="0078674B"/>
    <w:rsid w:val="00787159"/>
    <w:rsid w:val="00790026"/>
    <w:rsid w:val="0079043A"/>
    <w:rsid w:val="00791668"/>
    <w:rsid w:val="00791AA1"/>
    <w:rsid w:val="007A1645"/>
    <w:rsid w:val="007A1E9A"/>
    <w:rsid w:val="007A3793"/>
    <w:rsid w:val="007B239A"/>
    <w:rsid w:val="007B28D6"/>
    <w:rsid w:val="007B627F"/>
    <w:rsid w:val="007C1BA2"/>
    <w:rsid w:val="007C21BA"/>
    <w:rsid w:val="007C2B48"/>
    <w:rsid w:val="007C2DEF"/>
    <w:rsid w:val="007C497A"/>
    <w:rsid w:val="007D20E9"/>
    <w:rsid w:val="007D58EF"/>
    <w:rsid w:val="007D7881"/>
    <w:rsid w:val="007D7E3A"/>
    <w:rsid w:val="007E0E10"/>
    <w:rsid w:val="007E0F42"/>
    <w:rsid w:val="007E4768"/>
    <w:rsid w:val="007E63F7"/>
    <w:rsid w:val="007E777B"/>
    <w:rsid w:val="007F05A8"/>
    <w:rsid w:val="007F2070"/>
    <w:rsid w:val="007F26D7"/>
    <w:rsid w:val="007F2CC7"/>
    <w:rsid w:val="008037AE"/>
    <w:rsid w:val="008053F5"/>
    <w:rsid w:val="00807AF7"/>
    <w:rsid w:val="00810198"/>
    <w:rsid w:val="0081208C"/>
    <w:rsid w:val="00812F3D"/>
    <w:rsid w:val="00815DA8"/>
    <w:rsid w:val="00816AD3"/>
    <w:rsid w:val="00817132"/>
    <w:rsid w:val="00820FA4"/>
    <w:rsid w:val="008213E0"/>
    <w:rsid w:val="0082194D"/>
    <w:rsid w:val="008221F9"/>
    <w:rsid w:val="008236EC"/>
    <w:rsid w:val="00825727"/>
    <w:rsid w:val="008260D4"/>
    <w:rsid w:val="00826EF5"/>
    <w:rsid w:val="00831693"/>
    <w:rsid w:val="0083201E"/>
    <w:rsid w:val="00833F0B"/>
    <w:rsid w:val="0083422C"/>
    <w:rsid w:val="008359B5"/>
    <w:rsid w:val="00840104"/>
    <w:rsid w:val="008403AE"/>
    <w:rsid w:val="00840C1F"/>
    <w:rsid w:val="00841D5B"/>
    <w:rsid w:val="00841FC5"/>
    <w:rsid w:val="00842216"/>
    <w:rsid w:val="00843A36"/>
    <w:rsid w:val="00845709"/>
    <w:rsid w:val="00851FF4"/>
    <w:rsid w:val="00854FA1"/>
    <w:rsid w:val="008574C4"/>
    <w:rsid w:val="008576BD"/>
    <w:rsid w:val="00860463"/>
    <w:rsid w:val="008610DC"/>
    <w:rsid w:val="008656C4"/>
    <w:rsid w:val="008701A0"/>
    <w:rsid w:val="0087142F"/>
    <w:rsid w:val="008733DA"/>
    <w:rsid w:val="00877964"/>
    <w:rsid w:val="00880A13"/>
    <w:rsid w:val="0088164E"/>
    <w:rsid w:val="008849B6"/>
    <w:rsid w:val="008850E4"/>
    <w:rsid w:val="00886122"/>
    <w:rsid w:val="008939AB"/>
    <w:rsid w:val="00894F18"/>
    <w:rsid w:val="008A12F5"/>
    <w:rsid w:val="008A3433"/>
    <w:rsid w:val="008A74FC"/>
    <w:rsid w:val="008A797F"/>
    <w:rsid w:val="008B1587"/>
    <w:rsid w:val="008B1B01"/>
    <w:rsid w:val="008B3BCD"/>
    <w:rsid w:val="008B6DF8"/>
    <w:rsid w:val="008C106C"/>
    <w:rsid w:val="008C10F1"/>
    <w:rsid w:val="008C1926"/>
    <w:rsid w:val="008C1E99"/>
    <w:rsid w:val="008C2A7A"/>
    <w:rsid w:val="008C2C66"/>
    <w:rsid w:val="008D3D93"/>
    <w:rsid w:val="008D6240"/>
    <w:rsid w:val="008E0085"/>
    <w:rsid w:val="008E2AA6"/>
    <w:rsid w:val="008E311B"/>
    <w:rsid w:val="008E50F1"/>
    <w:rsid w:val="008F1904"/>
    <w:rsid w:val="008F46E7"/>
    <w:rsid w:val="008F525E"/>
    <w:rsid w:val="008F678E"/>
    <w:rsid w:val="008F6F0B"/>
    <w:rsid w:val="009020A2"/>
    <w:rsid w:val="009025A5"/>
    <w:rsid w:val="00902A9F"/>
    <w:rsid w:val="00905C11"/>
    <w:rsid w:val="00906D4C"/>
    <w:rsid w:val="00907AB4"/>
    <w:rsid w:val="00907BA7"/>
    <w:rsid w:val="0091064E"/>
    <w:rsid w:val="009113E8"/>
    <w:rsid w:val="00911B61"/>
    <w:rsid w:val="00911FC5"/>
    <w:rsid w:val="009154D0"/>
    <w:rsid w:val="00915733"/>
    <w:rsid w:val="00920667"/>
    <w:rsid w:val="009225CF"/>
    <w:rsid w:val="00923100"/>
    <w:rsid w:val="00925E5F"/>
    <w:rsid w:val="00926F86"/>
    <w:rsid w:val="009301B9"/>
    <w:rsid w:val="00931A10"/>
    <w:rsid w:val="00932F36"/>
    <w:rsid w:val="00941C71"/>
    <w:rsid w:val="0094454E"/>
    <w:rsid w:val="00945026"/>
    <w:rsid w:val="009457F0"/>
    <w:rsid w:val="009459D8"/>
    <w:rsid w:val="00946057"/>
    <w:rsid w:val="00946F63"/>
    <w:rsid w:val="00947967"/>
    <w:rsid w:val="009516D3"/>
    <w:rsid w:val="00952FBD"/>
    <w:rsid w:val="00955201"/>
    <w:rsid w:val="00957BAF"/>
    <w:rsid w:val="00960A2A"/>
    <w:rsid w:val="009624EE"/>
    <w:rsid w:val="00962515"/>
    <w:rsid w:val="00963E2D"/>
    <w:rsid w:val="00965200"/>
    <w:rsid w:val="00965830"/>
    <w:rsid w:val="009668B3"/>
    <w:rsid w:val="00971471"/>
    <w:rsid w:val="00972FFC"/>
    <w:rsid w:val="0097382C"/>
    <w:rsid w:val="00973A1D"/>
    <w:rsid w:val="00976BDF"/>
    <w:rsid w:val="009849C2"/>
    <w:rsid w:val="00984D24"/>
    <w:rsid w:val="009858EB"/>
    <w:rsid w:val="00985A82"/>
    <w:rsid w:val="009866B2"/>
    <w:rsid w:val="00987002"/>
    <w:rsid w:val="00990BB5"/>
    <w:rsid w:val="00994669"/>
    <w:rsid w:val="00997A7B"/>
    <w:rsid w:val="009A04E8"/>
    <w:rsid w:val="009A082D"/>
    <w:rsid w:val="009A3F47"/>
    <w:rsid w:val="009A5598"/>
    <w:rsid w:val="009A6FA7"/>
    <w:rsid w:val="009B0046"/>
    <w:rsid w:val="009B05A7"/>
    <w:rsid w:val="009B4E51"/>
    <w:rsid w:val="009B582C"/>
    <w:rsid w:val="009B6C35"/>
    <w:rsid w:val="009C0194"/>
    <w:rsid w:val="009C1440"/>
    <w:rsid w:val="009C2107"/>
    <w:rsid w:val="009C2BEC"/>
    <w:rsid w:val="009C3937"/>
    <w:rsid w:val="009C39FC"/>
    <w:rsid w:val="009C5D9E"/>
    <w:rsid w:val="009D057A"/>
    <w:rsid w:val="009D1668"/>
    <w:rsid w:val="009D2C3E"/>
    <w:rsid w:val="009E0625"/>
    <w:rsid w:val="009E17F9"/>
    <w:rsid w:val="009E29CD"/>
    <w:rsid w:val="009E3034"/>
    <w:rsid w:val="009E3690"/>
    <w:rsid w:val="009E4702"/>
    <w:rsid w:val="009E549F"/>
    <w:rsid w:val="009F0C30"/>
    <w:rsid w:val="009F28A8"/>
    <w:rsid w:val="009F473E"/>
    <w:rsid w:val="009F682A"/>
    <w:rsid w:val="009F6956"/>
    <w:rsid w:val="009F7A40"/>
    <w:rsid w:val="00A01BD9"/>
    <w:rsid w:val="00A022BE"/>
    <w:rsid w:val="00A02765"/>
    <w:rsid w:val="00A03923"/>
    <w:rsid w:val="00A0508B"/>
    <w:rsid w:val="00A06AB4"/>
    <w:rsid w:val="00A06C27"/>
    <w:rsid w:val="00A1046F"/>
    <w:rsid w:val="00A114B1"/>
    <w:rsid w:val="00A1317A"/>
    <w:rsid w:val="00A13A3A"/>
    <w:rsid w:val="00A13D9B"/>
    <w:rsid w:val="00A227F4"/>
    <w:rsid w:val="00A24C95"/>
    <w:rsid w:val="00A2599A"/>
    <w:rsid w:val="00A26094"/>
    <w:rsid w:val="00A27EED"/>
    <w:rsid w:val="00A301BF"/>
    <w:rsid w:val="00A302B2"/>
    <w:rsid w:val="00A331B4"/>
    <w:rsid w:val="00A3484E"/>
    <w:rsid w:val="00A350E6"/>
    <w:rsid w:val="00A356D3"/>
    <w:rsid w:val="00A35BE2"/>
    <w:rsid w:val="00A36ADA"/>
    <w:rsid w:val="00A37FA0"/>
    <w:rsid w:val="00A412F5"/>
    <w:rsid w:val="00A438D8"/>
    <w:rsid w:val="00A46454"/>
    <w:rsid w:val="00A46892"/>
    <w:rsid w:val="00A46C59"/>
    <w:rsid w:val="00A47307"/>
    <w:rsid w:val="00A473F5"/>
    <w:rsid w:val="00A51370"/>
    <w:rsid w:val="00A51F9D"/>
    <w:rsid w:val="00A53B8D"/>
    <w:rsid w:val="00A5416A"/>
    <w:rsid w:val="00A62C1C"/>
    <w:rsid w:val="00A639F4"/>
    <w:rsid w:val="00A642CA"/>
    <w:rsid w:val="00A651A7"/>
    <w:rsid w:val="00A70C4A"/>
    <w:rsid w:val="00A71AC1"/>
    <w:rsid w:val="00A76CE2"/>
    <w:rsid w:val="00A8108A"/>
    <w:rsid w:val="00A819B8"/>
    <w:rsid w:val="00A81A32"/>
    <w:rsid w:val="00A835BD"/>
    <w:rsid w:val="00A84A48"/>
    <w:rsid w:val="00A911E7"/>
    <w:rsid w:val="00A943E5"/>
    <w:rsid w:val="00A94AC5"/>
    <w:rsid w:val="00A97B15"/>
    <w:rsid w:val="00AA42D5"/>
    <w:rsid w:val="00AA4B16"/>
    <w:rsid w:val="00AA4C07"/>
    <w:rsid w:val="00AA513B"/>
    <w:rsid w:val="00AB10BD"/>
    <w:rsid w:val="00AB2FAB"/>
    <w:rsid w:val="00AB5C14"/>
    <w:rsid w:val="00AB6EA6"/>
    <w:rsid w:val="00AB7748"/>
    <w:rsid w:val="00AC1EE7"/>
    <w:rsid w:val="00AC22E2"/>
    <w:rsid w:val="00AC333F"/>
    <w:rsid w:val="00AC585C"/>
    <w:rsid w:val="00AC5B80"/>
    <w:rsid w:val="00AD1925"/>
    <w:rsid w:val="00AD7E70"/>
    <w:rsid w:val="00AE067D"/>
    <w:rsid w:val="00AE0738"/>
    <w:rsid w:val="00AE5D35"/>
    <w:rsid w:val="00AF1181"/>
    <w:rsid w:val="00AF2F79"/>
    <w:rsid w:val="00AF430A"/>
    <w:rsid w:val="00AF4653"/>
    <w:rsid w:val="00AF7DB7"/>
    <w:rsid w:val="00B01691"/>
    <w:rsid w:val="00B067BD"/>
    <w:rsid w:val="00B10D02"/>
    <w:rsid w:val="00B139DA"/>
    <w:rsid w:val="00B15960"/>
    <w:rsid w:val="00B1597F"/>
    <w:rsid w:val="00B17ED1"/>
    <w:rsid w:val="00B201E2"/>
    <w:rsid w:val="00B20E87"/>
    <w:rsid w:val="00B21538"/>
    <w:rsid w:val="00B30736"/>
    <w:rsid w:val="00B402E1"/>
    <w:rsid w:val="00B41F3F"/>
    <w:rsid w:val="00B41F5E"/>
    <w:rsid w:val="00B4327F"/>
    <w:rsid w:val="00B443E4"/>
    <w:rsid w:val="00B4535E"/>
    <w:rsid w:val="00B501E6"/>
    <w:rsid w:val="00B5030F"/>
    <w:rsid w:val="00B519F2"/>
    <w:rsid w:val="00B51EF0"/>
    <w:rsid w:val="00B5238A"/>
    <w:rsid w:val="00B5484D"/>
    <w:rsid w:val="00B563EA"/>
    <w:rsid w:val="00B56CDF"/>
    <w:rsid w:val="00B57E29"/>
    <w:rsid w:val="00B60E51"/>
    <w:rsid w:val="00B63A54"/>
    <w:rsid w:val="00B65503"/>
    <w:rsid w:val="00B65DB3"/>
    <w:rsid w:val="00B77D18"/>
    <w:rsid w:val="00B80416"/>
    <w:rsid w:val="00B81FC3"/>
    <w:rsid w:val="00B82FE4"/>
    <w:rsid w:val="00B8313A"/>
    <w:rsid w:val="00B83EEE"/>
    <w:rsid w:val="00B84510"/>
    <w:rsid w:val="00B86949"/>
    <w:rsid w:val="00B92CA5"/>
    <w:rsid w:val="00B93503"/>
    <w:rsid w:val="00B94C37"/>
    <w:rsid w:val="00BA1627"/>
    <w:rsid w:val="00BA23FA"/>
    <w:rsid w:val="00BA31E8"/>
    <w:rsid w:val="00BA54C3"/>
    <w:rsid w:val="00BA55E0"/>
    <w:rsid w:val="00BA6BD4"/>
    <w:rsid w:val="00BA6C7A"/>
    <w:rsid w:val="00BA73AE"/>
    <w:rsid w:val="00BB0443"/>
    <w:rsid w:val="00BB0469"/>
    <w:rsid w:val="00BB17D1"/>
    <w:rsid w:val="00BB2900"/>
    <w:rsid w:val="00BB3752"/>
    <w:rsid w:val="00BB6688"/>
    <w:rsid w:val="00BB6DAD"/>
    <w:rsid w:val="00BC26D4"/>
    <w:rsid w:val="00BE0C80"/>
    <w:rsid w:val="00BE111C"/>
    <w:rsid w:val="00BE1797"/>
    <w:rsid w:val="00BF2A42"/>
    <w:rsid w:val="00BF3375"/>
    <w:rsid w:val="00BF4043"/>
    <w:rsid w:val="00C03D8C"/>
    <w:rsid w:val="00C055EC"/>
    <w:rsid w:val="00C05BDC"/>
    <w:rsid w:val="00C10DC9"/>
    <w:rsid w:val="00C10E32"/>
    <w:rsid w:val="00C11627"/>
    <w:rsid w:val="00C12FB3"/>
    <w:rsid w:val="00C1500C"/>
    <w:rsid w:val="00C169BA"/>
    <w:rsid w:val="00C17341"/>
    <w:rsid w:val="00C21549"/>
    <w:rsid w:val="00C2167B"/>
    <w:rsid w:val="00C220D2"/>
    <w:rsid w:val="00C2236E"/>
    <w:rsid w:val="00C243ED"/>
    <w:rsid w:val="00C24EEF"/>
    <w:rsid w:val="00C25CF6"/>
    <w:rsid w:val="00C26C36"/>
    <w:rsid w:val="00C32768"/>
    <w:rsid w:val="00C42257"/>
    <w:rsid w:val="00C431DF"/>
    <w:rsid w:val="00C43906"/>
    <w:rsid w:val="00C456BD"/>
    <w:rsid w:val="00C47FB7"/>
    <w:rsid w:val="00C524FE"/>
    <w:rsid w:val="00C52E1C"/>
    <w:rsid w:val="00C530DC"/>
    <w:rsid w:val="00C5350D"/>
    <w:rsid w:val="00C54ABB"/>
    <w:rsid w:val="00C55F06"/>
    <w:rsid w:val="00C5704F"/>
    <w:rsid w:val="00C5795B"/>
    <w:rsid w:val="00C603F7"/>
    <w:rsid w:val="00C6123C"/>
    <w:rsid w:val="00C6311A"/>
    <w:rsid w:val="00C64D14"/>
    <w:rsid w:val="00C66CF7"/>
    <w:rsid w:val="00C66D0B"/>
    <w:rsid w:val="00C66DEC"/>
    <w:rsid w:val="00C67239"/>
    <w:rsid w:val="00C7084D"/>
    <w:rsid w:val="00C7314F"/>
    <w:rsid w:val="00C7315E"/>
    <w:rsid w:val="00C75895"/>
    <w:rsid w:val="00C81306"/>
    <w:rsid w:val="00C83C9F"/>
    <w:rsid w:val="00C90C69"/>
    <w:rsid w:val="00C93840"/>
    <w:rsid w:val="00C94840"/>
    <w:rsid w:val="00C94E0B"/>
    <w:rsid w:val="00C9545F"/>
    <w:rsid w:val="00C96BF8"/>
    <w:rsid w:val="00CA449D"/>
    <w:rsid w:val="00CA4EE3"/>
    <w:rsid w:val="00CB027F"/>
    <w:rsid w:val="00CB0E2E"/>
    <w:rsid w:val="00CB3BFE"/>
    <w:rsid w:val="00CB5A28"/>
    <w:rsid w:val="00CB5B43"/>
    <w:rsid w:val="00CC00EA"/>
    <w:rsid w:val="00CC0EBB"/>
    <w:rsid w:val="00CC37FD"/>
    <w:rsid w:val="00CC6297"/>
    <w:rsid w:val="00CC7690"/>
    <w:rsid w:val="00CD1986"/>
    <w:rsid w:val="00CD28C5"/>
    <w:rsid w:val="00CD54BF"/>
    <w:rsid w:val="00CD762F"/>
    <w:rsid w:val="00CE40E1"/>
    <w:rsid w:val="00CE4D5C"/>
    <w:rsid w:val="00CF0121"/>
    <w:rsid w:val="00CF05DA"/>
    <w:rsid w:val="00CF4763"/>
    <w:rsid w:val="00CF58EB"/>
    <w:rsid w:val="00CF6FEC"/>
    <w:rsid w:val="00D004C2"/>
    <w:rsid w:val="00D0106E"/>
    <w:rsid w:val="00D01448"/>
    <w:rsid w:val="00D03E23"/>
    <w:rsid w:val="00D06383"/>
    <w:rsid w:val="00D111B9"/>
    <w:rsid w:val="00D11695"/>
    <w:rsid w:val="00D1173F"/>
    <w:rsid w:val="00D13D44"/>
    <w:rsid w:val="00D166EA"/>
    <w:rsid w:val="00D200D6"/>
    <w:rsid w:val="00D202B9"/>
    <w:rsid w:val="00D20B7B"/>
    <w:rsid w:val="00D20E85"/>
    <w:rsid w:val="00D21238"/>
    <w:rsid w:val="00D2255B"/>
    <w:rsid w:val="00D23144"/>
    <w:rsid w:val="00D245FF"/>
    <w:rsid w:val="00D24615"/>
    <w:rsid w:val="00D2472B"/>
    <w:rsid w:val="00D30AB1"/>
    <w:rsid w:val="00D31458"/>
    <w:rsid w:val="00D31B5B"/>
    <w:rsid w:val="00D33520"/>
    <w:rsid w:val="00D34721"/>
    <w:rsid w:val="00D35C6E"/>
    <w:rsid w:val="00D37842"/>
    <w:rsid w:val="00D42DC2"/>
    <w:rsid w:val="00D44892"/>
    <w:rsid w:val="00D4524F"/>
    <w:rsid w:val="00D501B8"/>
    <w:rsid w:val="00D52306"/>
    <w:rsid w:val="00D537E1"/>
    <w:rsid w:val="00D54A2B"/>
    <w:rsid w:val="00D55BB2"/>
    <w:rsid w:val="00D6091A"/>
    <w:rsid w:val="00D61623"/>
    <w:rsid w:val="00D630C9"/>
    <w:rsid w:val="00D6396E"/>
    <w:rsid w:val="00D65649"/>
    <w:rsid w:val="00D6605A"/>
    <w:rsid w:val="00D660AA"/>
    <w:rsid w:val="00D6695F"/>
    <w:rsid w:val="00D72215"/>
    <w:rsid w:val="00D7496D"/>
    <w:rsid w:val="00D75644"/>
    <w:rsid w:val="00D81656"/>
    <w:rsid w:val="00D83D87"/>
    <w:rsid w:val="00D84A6D"/>
    <w:rsid w:val="00D86A30"/>
    <w:rsid w:val="00D91C6C"/>
    <w:rsid w:val="00D97AA0"/>
    <w:rsid w:val="00D97CB4"/>
    <w:rsid w:val="00D97DD4"/>
    <w:rsid w:val="00DA53F3"/>
    <w:rsid w:val="00DA5A8A"/>
    <w:rsid w:val="00DA79E6"/>
    <w:rsid w:val="00DB15D2"/>
    <w:rsid w:val="00DB26CD"/>
    <w:rsid w:val="00DB3A26"/>
    <w:rsid w:val="00DB441C"/>
    <w:rsid w:val="00DB44AF"/>
    <w:rsid w:val="00DC0132"/>
    <w:rsid w:val="00DC1792"/>
    <w:rsid w:val="00DC1F58"/>
    <w:rsid w:val="00DC339B"/>
    <w:rsid w:val="00DC351C"/>
    <w:rsid w:val="00DC4419"/>
    <w:rsid w:val="00DC54F3"/>
    <w:rsid w:val="00DC5D40"/>
    <w:rsid w:val="00DC69A7"/>
    <w:rsid w:val="00DC6A44"/>
    <w:rsid w:val="00DC6CEA"/>
    <w:rsid w:val="00DD30E9"/>
    <w:rsid w:val="00DD4F47"/>
    <w:rsid w:val="00DD57F1"/>
    <w:rsid w:val="00DD6374"/>
    <w:rsid w:val="00DD706D"/>
    <w:rsid w:val="00DD7CA3"/>
    <w:rsid w:val="00DD7FBB"/>
    <w:rsid w:val="00DE0B9F"/>
    <w:rsid w:val="00DE2A9E"/>
    <w:rsid w:val="00DE4238"/>
    <w:rsid w:val="00DE657F"/>
    <w:rsid w:val="00DF1218"/>
    <w:rsid w:val="00DF51D0"/>
    <w:rsid w:val="00DF6462"/>
    <w:rsid w:val="00DF7673"/>
    <w:rsid w:val="00E02C01"/>
    <w:rsid w:val="00E02FA0"/>
    <w:rsid w:val="00E036DC"/>
    <w:rsid w:val="00E03EB4"/>
    <w:rsid w:val="00E050A9"/>
    <w:rsid w:val="00E10454"/>
    <w:rsid w:val="00E112E5"/>
    <w:rsid w:val="00E122D8"/>
    <w:rsid w:val="00E12754"/>
    <w:rsid w:val="00E12CC8"/>
    <w:rsid w:val="00E15352"/>
    <w:rsid w:val="00E15BFA"/>
    <w:rsid w:val="00E2104B"/>
    <w:rsid w:val="00E21CC7"/>
    <w:rsid w:val="00E24D9E"/>
    <w:rsid w:val="00E25849"/>
    <w:rsid w:val="00E25935"/>
    <w:rsid w:val="00E27D26"/>
    <w:rsid w:val="00E30087"/>
    <w:rsid w:val="00E3197E"/>
    <w:rsid w:val="00E342F8"/>
    <w:rsid w:val="00E351ED"/>
    <w:rsid w:val="00E360A7"/>
    <w:rsid w:val="00E45CE3"/>
    <w:rsid w:val="00E465C6"/>
    <w:rsid w:val="00E468FC"/>
    <w:rsid w:val="00E47A34"/>
    <w:rsid w:val="00E47C0E"/>
    <w:rsid w:val="00E52162"/>
    <w:rsid w:val="00E6034B"/>
    <w:rsid w:val="00E60393"/>
    <w:rsid w:val="00E62CB2"/>
    <w:rsid w:val="00E6549E"/>
    <w:rsid w:val="00E65EDE"/>
    <w:rsid w:val="00E70F81"/>
    <w:rsid w:val="00E7398A"/>
    <w:rsid w:val="00E7470C"/>
    <w:rsid w:val="00E77055"/>
    <w:rsid w:val="00E77460"/>
    <w:rsid w:val="00E83ABC"/>
    <w:rsid w:val="00E844F2"/>
    <w:rsid w:val="00E907AE"/>
    <w:rsid w:val="00E90AD0"/>
    <w:rsid w:val="00E911A9"/>
    <w:rsid w:val="00E92FCB"/>
    <w:rsid w:val="00EA04CE"/>
    <w:rsid w:val="00EA147F"/>
    <w:rsid w:val="00EA17E8"/>
    <w:rsid w:val="00EA1819"/>
    <w:rsid w:val="00EA3EFD"/>
    <w:rsid w:val="00EA4A27"/>
    <w:rsid w:val="00EA4FA6"/>
    <w:rsid w:val="00EA56C3"/>
    <w:rsid w:val="00EA6620"/>
    <w:rsid w:val="00EA67D3"/>
    <w:rsid w:val="00EA6F44"/>
    <w:rsid w:val="00EB044C"/>
    <w:rsid w:val="00EB1A25"/>
    <w:rsid w:val="00EB3BD6"/>
    <w:rsid w:val="00EB6C87"/>
    <w:rsid w:val="00EB725D"/>
    <w:rsid w:val="00EC2619"/>
    <w:rsid w:val="00EC7363"/>
    <w:rsid w:val="00EC7BB2"/>
    <w:rsid w:val="00ED03AB"/>
    <w:rsid w:val="00ED1CD4"/>
    <w:rsid w:val="00ED1D2B"/>
    <w:rsid w:val="00ED64B5"/>
    <w:rsid w:val="00EE2424"/>
    <w:rsid w:val="00EE256F"/>
    <w:rsid w:val="00EE491C"/>
    <w:rsid w:val="00EE7CCA"/>
    <w:rsid w:val="00EF0B72"/>
    <w:rsid w:val="00EF6310"/>
    <w:rsid w:val="00EF762B"/>
    <w:rsid w:val="00F007CC"/>
    <w:rsid w:val="00F1019A"/>
    <w:rsid w:val="00F1040F"/>
    <w:rsid w:val="00F11F88"/>
    <w:rsid w:val="00F16255"/>
    <w:rsid w:val="00F16A14"/>
    <w:rsid w:val="00F17074"/>
    <w:rsid w:val="00F26130"/>
    <w:rsid w:val="00F35B90"/>
    <w:rsid w:val="00F35D7D"/>
    <w:rsid w:val="00F362D7"/>
    <w:rsid w:val="00F37D7B"/>
    <w:rsid w:val="00F42A6E"/>
    <w:rsid w:val="00F44B03"/>
    <w:rsid w:val="00F450F1"/>
    <w:rsid w:val="00F5314C"/>
    <w:rsid w:val="00F5609D"/>
    <w:rsid w:val="00F56844"/>
    <w:rsid w:val="00F5688C"/>
    <w:rsid w:val="00F60048"/>
    <w:rsid w:val="00F635DD"/>
    <w:rsid w:val="00F64C0A"/>
    <w:rsid w:val="00F654F3"/>
    <w:rsid w:val="00F6627B"/>
    <w:rsid w:val="00F67C23"/>
    <w:rsid w:val="00F70D9F"/>
    <w:rsid w:val="00F7336E"/>
    <w:rsid w:val="00F734F2"/>
    <w:rsid w:val="00F74D6B"/>
    <w:rsid w:val="00F75052"/>
    <w:rsid w:val="00F804D3"/>
    <w:rsid w:val="00F81CD2"/>
    <w:rsid w:val="00F81F3D"/>
    <w:rsid w:val="00F82641"/>
    <w:rsid w:val="00F8620D"/>
    <w:rsid w:val="00F8670F"/>
    <w:rsid w:val="00F90F18"/>
    <w:rsid w:val="00F92BF9"/>
    <w:rsid w:val="00F9311F"/>
    <w:rsid w:val="00F933A7"/>
    <w:rsid w:val="00F937E4"/>
    <w:rsid w:val="00F95EE7"/>
    <w:rsid w:val="00FA39E6"/>
    <w:rsid w:val="00FA7712"/>
    <w:rsid w:val="00FA7BC9"/>
    <w:rsid w:val="00FA7F57"/>
    <w:rsid w:val="00FB121E"/>
    <w:rsid w:val="00FB378E"/>
    <w:rsid w:val="00FB37F1"/>
    <w:rsid w:val="00FB47C0"/>
    <w:rsid w:val="00FB4B4B"/>
    <w:rsid w:val="00FB501B"/>
    <w:rsid w:val="00FB7770"/>
    <w:rsid w:val="00FC0D26"/>
    <w:rsid w:val="00FC409C"/>
    <w:rsid w:val="00FC4111"/>
    <w:rsid w:val="00FD074B"/>
    <w:rsid w:val="00FD1D09"/>
    <w:rsid w:val="00FD3B91"/>
    <w:rsid w:val="00FD4890"/>
    <w:rsid w:val="00FD576B"/>
    <w:rsid w:val="00FD579E"/>
    <w:rsid w:val="00FD6285"/>
    <w:rsid w:val="00FD6845"/>
    <w:rsid w:val="00FE0020"/>
    <w:rsid w:val="00FE0ED5"/>
    <w:rsid w:val="00FE2B61"/>
    <w:rsid w:val="00FE2E32"/>
    <w:rsid w:val="00FE4516"/>
    <w:rsid w:val="00FE64C8"/>
    <w:rsid w:val="00FF6438"/>
    <w:rsid w:val="00FF6D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BA598CD-2D48-4FD0-8733-AA32DAA8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uiPriority w:val="99"/>
    <w:semiHidden/>
    <w:rsid w:val="004E0062"/>
    <w:pPr>
      <w:kinsoku w:val="0"/>
      <w:autoSpaceDE/>
      <w:spacing w:before="240"/>
      <w:ind w:left="1021" w:hanging="1021"/>
    </w:pPr>
    <w:rPr>
      <w:snapToGrid w:val="0"/>
      <w:spacing w:val="10"/>
    </w:rPr>
  </w:style>
  <w:style w:type="character" w:customStyle="1" w:styleId="ac">
    <w:name w:val="章節附註文字 字元"/>
    <w:basedOn w:val="a7"/>
    <w:link w:val="ab"/>
    <w:uiPriority w:val="99"/>
    <w:semiHidden/>
    <w:rsid w:val="009B6C35"/>
    <w:rPr>
      <w:rFonts w:ascii="標楷體" w:eastAsia="標楷體"/>
      <w:snapToGrid w:val="0"/>
      <w:spacing w:val="10"/>
      <w:kern w:val="2"/>
      <w:sz w:val="32"/>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9B6C35"/>
    <w:rPr>
      <w:rFonts w:ascii="標楷體" w:eastAsia="標楷體"/>
      <w:kern w:val="2"/>
    </w:rPr>
  </w:style>
  <w:style w:type="paragraph" w:customStyle="1" w:styleId="31">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b"/>
    <w:uiPriority w:val="99"/>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9B6C35"/>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qFormat/>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link w:val="afb"/>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afe">
    <w:name w:val="大項"/>
    <w:basedOn w:val="a6"/>
    <w:rsid w:val="00DC1792"/>
    <w:pPr>
      <w:kinsoku w:val="0"/>
      <w:overflowPunct/>
      <w:autoSpaceDE/>
      <w:autoSpaceDN/>
      <w:adjustRightInd w:val="0"/>
      <w:spacing w:line="440" w:lineRule="atLeast"/>
      <w:ind w:left="1260" w:hanging="644"/>
      <w:jc w:val="left"/>
      <w:textAlignment w:val="baseline"/>
    </w:pPr>
    <w:rPr>
      <w:kern w:val="0"/>
    </w:rPr>
  </w:style>
  <w:style w:type="paragraph" w:styleId="aff">
    <w:name w:val="footnote text"/>
    <w:basedOn w:val="a6"/>
    <w:link w:val="aff0"/>
    <w:uiPriority w:val="99"/>
    <w:semiHidden/>
    <w:unhideWhenUsed/>
    <w:rsid w:val="00B20E87"/>
    <w:pPr>
      <w:snapToGrid w:val="0"/>
      <w:jc w:val="left"/>
    </w:pPr>
    <w:rPr>
      <w:sz w:val="20"/>
    </w:rPr>
  </w:style>
  <w:style w:type="character" w:customStyle="1" w:styleId="aff0">
    <w:name w:val="註腳文字 字元"/>
    <w:basedOn w:val="a7"/>
    <w:link w:val="aff"/>
    <w:uiPriority w:val="99"/>
    <w:semiHidden/>
    <w:rsid w:val="00B20E87"/>
    <w:rPr>
      <w:rFonts w:ascii="標楷體" w:eastAsia="標楷體"/>
      <w:kern w:val="2"/>
    </w:rPr>
  </w:style>
  <w:style w:type="character" w:styleId="aff1">
    <w:name w:val="footnote reference"/>
    <w:basedOn w:val="a7"/>
    <w:uiPriority w:val="99"/>
    <w:semiHidden/>
    <w:unhideWhenUsed/>
    <w:rsid w:val="00B20E87"/>
    <w:rPr>
      <w:vertAlign w:val="superscript"/>
    </w:rPr>
  </w:style>
  <w:style w:type="paragraph" w:styleId="HTML">
    <w:name w:val="HTML Preformatted"/>
    <w:basedOn w:val="a6"/>
    <w:link w:val="HTML0"/>
    <w:rsid w:val="00CA44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Courier New" w:cs="Courier New"/>
      <w:color w:val="000000"/>
      <w:kern w:val="0"/>
      <w:sz w:val="20"/>
    </w:rPr>
  </w:style>
  <w:style w:type="character" w:customStyle="1" w:styleId="HTML0">
    <w:name w:val="HTML 預設格式 字元"/>
    <w:basedOn w:val="a7"/>
    <w:link w:val="HTML"/>
    <w:uiPriority w:val="99"/>
    <w:rsid w:val="00CA449D"/>
    <w:rPr>
      <w:rFonts w:ascii="細明體" w:eastAsia="細明體" w:hAnsi="Courier New" w:cs="Courier New"/>
      <w:color w:val="000000"/>
    </w:rPr>
  </w:style>
  <w:style w:type="character" w:customStyle="1" w:styleId="myspan">
    <w:name w:val="myspan"/>
    <w:basedOn w:val="a7"/>
    <w:rsid w:val="00B80416"/>
  </w:style>
  <w:style w:type="character" w:customStyle="1" w:styleId="50">
    <w:name w:val="標題 5 字元"/>
    <w:link w:val="5"/>
    <w:rsid w:val="00212880"/>
    <w:rPr>
      <w:rFonts w:ascii="標楷體" w:eastAsia="標楷體" w:hAnsi="Arial"/>
      <w:bCs/>
      <w:kern w:val="32"/>
      <w:sz w:val="32"/>
      <w:szCs w:val="36"/>
    </w:rPr>
  </w:style>
  <w:style w:type="character" w:customStyle="1" w:styleId="afb">
    <w:name w:val="清單段落 字元"/>
    <w:link w:val="afa"/>
    <w:uiPriority w:val="34"/>
    <w:locked/>
    <w:rsid w:val="00212880"/>
    <w:rPr>
      <w:rFonts w:ascii="標楷體" w:eastAsia="標楷體"/>
      <w:kern w:val="2"/>
      <w:sz w:val="32"/>
    </w:rPr>
  </w:style>
  <w:style w:type="paragraph" w:customStyle="1" w:styleId="Default">
    <w:name w:val="Default"/>
    <w:rsid w:val="00752090"/>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3550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2">
    <w:name w:val="Subtitle"/>
    <w:basedOn w:val="a6"/>
    <w:next w:val="a6"/>
    <w:link w:val="aff3"/>
    <w:qFormat/>
    <w:rsid w:val="005B662C"/>
    <w:pPr>
      <w:overflowPunct/>
      <w:autoSpaceDE/>
      <w:autoSpaceDN/>
      <w:spacing w:after="60"/>
      <w:jc w:val="center"/>
      <w:outlineLvl w:val="1"/>
    </w:pPr>
    <w:rPr>
      <w:rFonts w:ascii="Cambria" w:eastAsia="新細明體" w:hAnsi="Cambria"/>
      <w:i/>
      <w:iCs/>
      <w:sz w:val="24"/>
      <w:szCs w:val="24"/>
    </w:rPr>
  </w:style>
  <w:style w:type="character" w:customStyle="1" w:styleId="aff3">
    <w:name w:val="副標題 字元"/>
    <w:basedOn w:val="a7"/>
    <w:link w:val="aff2"/>
    <w:rsid w:val="005B662C"/>
    <w:rPr>
      <w:rFonts w:ascii="Cambria" w:hAnsi="Cambria"/>
      <w:i/>
      <w:iCs/>
      <w:kern w:val="2"/>
      <w:sz w:val="24"/>
      <w:szCs w:val="24"/>
    </w:rPr>
  </w:style>
  <w:style w:type="paragraph" w:customStyle="1" w:styleId="aff4">
    <w:name w:val="表"/>
    <w:basedOn w:val="a6"/>
    <w:link w:val="aff5"/>
    <w:qFormat/>
    <w:rsid w:val="00E15BFA"/>
    <w:pPr>
      <w:overflowPunct/>
      <w:autoSpaceDE/>
      <w:autoSpaceDN/>
      <w:spacing w:beforeLines="50" w:afterLines="50" w:line="480" w:lineRule="exact"/>
      <w:jc w:val="center"/>
    </w:pPr>
    <w:rPr>
      <w:rFonts w:ascii="Times New Roman"/>
      <w:b/>
      <w:color w:val="000000"/>
      <w:sz w:val="28"/>
      <w:szCs w:val="28"/>
    </w:rPr>
  </w:style>
  <w:style w:type="character" w:customStyle="1" w:styleId="aff5">
    <w:name w:val="表 字元"/>
    <w:link w:val="aff4"/>
    <w:rsid w:val="00E15BFA"/>
    <w:rPr>
      <w:rFonts w:eastAsia="標楷體"/>
      <w:b/>
      <w:color w:val="00000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88">
      <w:bodyDiv w:val="1"/>
      <w:marLeft w:val="0"/>
      <w:marRight w:val="0"/>
      <w:marTop w:val="0"/>
      <w:marBottom w:val="0"/>
      <w:divBdr>
        <w:top w:val="none" w:sz="0" w:space="0" w:color="auto"/>
        <w:left w:val="none" w:sz="0" w:space="0" w:color="auto"/>
        <w:bottom w:val="none" w:sz="0" w:space="0" w:color="auto"/>
        <w:right w:val="none" w:sz="0" w:space="0" w:color="auto"/>
      </w:divBdr>
    </w:div>
    <w:div w:id="15039891">
      <w:bodyDiv w:val="1"/>
      <w:marLeft w:val="0"/>
      <w:marRight w:val="0"/>
      <w:marTop w:val="0"/>
      <w:marBottom w:val="0"/>
      <w:divBdr>
        <w:top w:val="none" w:sz="0" w:space="0" w:color="auto"/>
        <w:left w:val="none" w:sz="0" w:space="0" w:color="auto"/>
        <w:bottom w:val="none" w:sz="0" w:space="0" w:color="auto"/>
        <w:right w:val="none" w:sz="0" w:space="0" w:color="auto"/>
      </w:divBdr>
    </w:div>
    <w:div w:id="34165250">
      <w:bodyDiv w:val="1"/>
      <w:marLeft w:val="0"/>
      <w:marRight w:val="0"/>
      <w:marTop w:val="0"/>
      <w:marBottom w:val="0"/>
      <w:divBdr>
        <w:top w:val="none" w:sz="0" w:space="0" w:color="auto"/>
        <w:left w:val="none" w:sz="0" w:space="0" w:color="auto"/>
        <w:bottom w:val="none" w:sz="0" w:space="0" w:color="auto"/>
        <w:right w:val="none" w:sz="0" w:space="0" w:color="auto"/>
      </w:divBdr>
    </w:div>
    <w:div w:id="141703920">
      <w:bodyDiv w:val="1"/>
      <w:marLeft w:val="0"/>
      <w:marRight w:val="0"/>
      <w:marTop w:val="0"/>
      <w:marBottom w:val="0"/>
      <w:divBdr>
        <w:top w:val="none" w:sz="0" w:space="0" w:color="auto"/>
        <w:left w:val="none" w:sz="0" w:space="0" w:color="auto"/>
        <w:bottom w:val="none" w:sz="0" w:space="0" w:color="auto"/>
        <w:right w:val="none" w:sz="0" w:space="0" w:color="auto"/>
      </w:divBdr>
    </w:div>
    <w:div w:id="153689740">
      <w:bodyDiv w:val="1"/>
      <w:marLeft w:val="0"/>
      <w:marRight w:val="0"/>
      <w:marTop w:val="0"/>
      <w:marBottom w:val="0"/>
      <w:divBdr>
        <w:top w:val="none" w:sz="0" w:space="0" w:color="auto"/>
        <w:left w:val="none" w:sz="0" w:space="0" w:color="auto"/>
        <w:bottom w:val="none" w:sz="0" w:space="0" w:color="auto"/>
        <w:right w:val="none" w:sz="0" w:space="0" w:color="auto"/>
      </w:divBdr>
      <w:divsChild>
        <w:div w:id="887062034">
          <w:marLeft w:val="418"/>
          <w:marRight w:val="0"/>
          <w:marTop w:val="0"/>
          <w:marBottom w:val="0"/>
          <w:divBdr>
            <w:top w:val="none" w:sz="0" w:space="0" w:color="auto"/>
            <w:left w:val="none" w:sz="0" w:space="0" w:color="auto"/>
            <w:bottom w:val="none" w:sz="0" w:space="0" w:color="auto"/>
            <w:right w:val="none" w:sz="0" w:space="0" w:color="auto"/>
          </w:divBdr>
        </w:div>
        <w:div w:id="1829709817">
          <w:marLeft w:val="418"/>
          <w:marRight w:val="0"/>
          <w:marTop w:val="0"/>
          <w:marBottom w:val="0"/>
          <w:divBdr>
            <w:top w:val="none" w:sz="0" w:space="0" w:color="auto"/>
            <w:left w:val="none" w:sz="0" w:space="0" w:color="auto"/>
            <w:bottom w:val="none" w:sz="0" w:space="0" w:color="auto"/>
            <w:right w:val="none" w:sz="0" w:space="0" w:color="auto"/>
          </w:divBdr>
        </w:div>
        <w:div w:id="880675452">
          <w:marLeft w:val="418"/>
          <w:marRight w:val="0"/>
          <w:marTop w:val="0"/>
          <w:marBottom w:val="0"/>
          <w:divBdr>
            <w:top w:val="none" w:sz="0" w:space="0" w:color="auto"/>
            <w:left w:val="none" w:sz="0" w:space="0" w:color="auto"/>
            <w:bottom w:val="none" w:sz="0" w:space="0" w:color="auto"/>
            <w:right w:val="none" w:sz="0" w:space="0" w:color="auto"/>
          </w:divBdr>
        </w:div>
        <w:div w:id="1709866172">
          <w:marLeft w:val="418"/>
          <w:marRight w:val="0"/>
          <w:marTop w:val="0"/>
          <w:marBottom w:val="0"/>
          <w:divBdr>
            <w:top w:val="none" w:sz="0" w:space="0" w:color="auto"/>
            <w:left w:val="none" w:sz="0" w:space="0" w:color="auto"/>
            <w:bottom w:val="none" w:sz="0" w:space="0" w:color="auto"/>
            <w:right w:val="none" w:sz="0" w:space="0" w:color="auto"/>
          </w:divBdr>
        </w:div>
        <w:div w:id="1226142549">
          <w:marLeft w:val="418"/>
          <w:marRight w:val="0"/>
          <w:marTop w:val="0"/>
          <w:marBottom w:val="0"/>
          <w:divBdr>
            <w:top w:val="none" w:sz="0" w:space="0" w:color="auto"/>
            <w:left w:val="none" w:sz="0" w:space="0" w:color="auto"/>
            <w:bottom w:val="none" w:sz="0" w:space="0" w:color="auto"/>
            <w:right w:val="none" w:sz="0" w:space="0" w:color="auto"/>
          </w:divBdr>
        </w:div>
        <w:div w:id="1818640856">
          <w:marLeft w:val="418"/>
          <w:marRight w:val="0"/>
          <w:marTop w:val="0"/>
          <w:marBottom w:val="0"/>
          <w:divBdr>
            <w:top w:val="none" w:sz="0" w:space="0" w:color="auto"/>
            <w:left w:val="none" w:sz="0" w:space="0" w:color="auto"/>
            <w:bottom w:val="none" w:sz="0" w:space="0" w:color="auto"/>
            <w:right w:val="none" w:sz="0" w:space="0" w:color="auto"/>
          </w:divBdr>
        </w:div>
      </w:divsChild>
    </w:div>
    <w:div w:id="155808611">
      <w:bodyDiv w:val="1"/>
      <w:marLeft w:val="0"/>
      <w:marRight w:val="0"/>
      <w:marTop w:val="0"/>
      <w:marBottom w:val="0"/>
      <w:divBdr>
        <w:top w:val="none" w:sz="0" w:space="0" w:color="auto"/>
        <w:left w:val="none" w:sz="0" w:space="0" w:color="auto"/>
        <w:bottom w:val="none" w:sz="0" w:space="0" w:color="auto"/>
        <w:right w:val="none" w:sz="0" w:space="0" w:color="auto"/>
      </w:divBdr>
    </w:div>
    <w:div w:id="161240000">
      <w:bodyDiv w:val="1"/>
      <w:marLeft w:val="0"/>
      <w:marRight w:val="0"/>
      <w:marTop w:val="0"/>
      <w:marBottom w:val="0"/>
      <w:divBdr>
        <w:top w:val="none" w:sz="0" w:space="0" w:color="auto"/>
        <w:left w:val="none" w:sz="0" w:space="0" w:color="auto"/>
        <w:bottom w:val="none" w:sz="0" w:space="0" w:color="auto"/>
        <w:right w:val="none" w:sz="0" w:space="0" w:color="auto"/>
      </w:divBdr>
    </w:div>
    <w:div w:id="174080798">
      <w:bodyDiv w:val="1"/>
      <w:marLeft w:val="0"/>
      <w:marRight w:val="0"/>
      <w:marTop w:val="0"/>
      <w:marBottom w:val="0"/>
      <w:divBdr>
        <w:top w:val="none" w:sz="0" w:space="0" w:color="auto"/>
        <w:left w:val="none" w:sz="0" w:space="0" w:color="auto"/>
        <w:bottom w:val="none" w:sz="0" w:space="0" w:color="auto"/>
        <w:right w:val="none" w:sz="0" w:space="0" w:color="auto"/>
      </w:divBdr>
    </w:div>
    <w:div w:id="226190297">
      <w:bodyDiv w:val="1"/>
      <w:marLeft w:val="0"/>
      <w:marRight w:val="0"/>
      <w:marTop w:val="0"/>
      <w:marBottom w:val="0"/>
      <w:divBdr>
        <w:top w:val="none" w:sz="0" w:space="0" w:color="auto"/>
        <w:left w:val="none" w:sz="0" w:space="0" w:color="auto"/>
        <w:bottom w:val="none" w:sz="0" w:space="0" w:color="auto"/>
        <w:right w:val="none" w:sz="0" w:space="0" w:color="auto"/>
      </w:divBdr>
    </w:div>
    <w:div w:id="237787396">
      <w:bodyDiv w:val="1"/>
      <w:marLeft w:val="0"/>
      <w:marRight w:val="0"/>
      <w:marTop w:val="0"/>
      <w:marBottom w:val="0"/>
      <w:divBdr>
        <w:top w:val="none" w:sz="0" w:space="0" w:color="auto"/>
        <w:left w:val="none" w:sz="0" w:space="0" w:color="auto"/>
        <w:bottom w:val="none" w:sz="0" w:space="0" w:color="auto"/>
        <w:right w:val="none" w:sz="0" w:space="0" w:color="auto"/>
      </w:divBdr>
      <w:divsChild>
        <w:div w:id="597710641">
          <w:marLeft w:val="0"/>
          <w:marRight w:val="0"/>
          <w:marTop w:val="0"/>
          <w:marBottom w:val="0"/>
          <w:divBdr>
            <w:top w:val="none" w:sz="0" w:space="0" w:color="auto"/>
            <w:left w:val="none" w:sz="0" w:space="0" w:color="auto"/>
            <w:bottom w:val="none" w:sz="0" w:space="0" w:color="auto"/>
            <w:right w:val="none" w:sz="0" w:space="0" w:color="auto"/>
          </w:divBdr>
          <w:divsChild>
            <w:div w:id="1777797198">
              <w:marLeft w:val="0"/>
              <w:marRight w:val="0"/>
              <w:marTop w:val="100"/>
              <w:marBottom w:val="100"/>
              <w:divBdr>
                <w:top w:val="none" w:sz="0" w:space="0" w:color="auto"/>
                <w:left w:val="none" w:sz="0" w:space="0" w:color="auto"/>
                <w:bottom w:val="none" w:sz="0" w:space="0" w:color="auto"/>
                <w:right w:val="none" w:sz="0" w:space="0" w:color="auto"/>
              </w:divBdr>
              <w:divsChild>
                <w:div w:id="1905601335">
                  <w:marLeft w:val="0"/>
                  <w:marRight w:val="0"/>
                  <w:marTop w:val="45"/>
                  <w:marBottom w:val="120"/>
                  <w:divBdr>
                    <w:top w:val="none" w:sz="0" w:space="0" w:color="auto"/>
                    <w:left w:val="none" w:sz="0" w:space="0" w:color="auto"/>
                    <w:bottom w:val="none" w:sz="0" w:space="0" w:color="auto"/>
                    <w:right w:val="none" w:sz="0" w:space="0" w:color="auto"/>
                  </w:divBdr>
                  <w:divsChild>
                    <w:div w:id="1110780820">
                      <w:marLeft w:val="0"/>
                      <w:marRight w:val="0"/>
                      <w:marTop w:val="0"/>
                      <w:marBottom w:val="0"/>
                      <w:divBdr>
                        <w:top w:val="none" w:sz="0" w:space="0" w:color="auto"/>
                        <w:left w:val="none" w:sz="0" w:space="0" w:color="auto"/>
                        <w:bottom w:val="none" w:sz="0" w:space="0" w:color="auto"/>
                        <w:right w:val="none" w:sz="0" w:space="0" w:color="auto"/>
                      </w:divBdr>
                      <w:divsChild>
                        <w:div w:id="1135836841">
                          <w:marLeft w:val="0"/>
                          <w:marRight w:val="0"/>
                          <w:marTop w:val="180"/>
                          <w:marBottom w:val="180"/>
                          <w:divBdr>
                            <w:top w:val="single" w:sz="6" w:space="0" w:color="4EA3E9"/>
                            <w:left w:val="single" w:sz="6" w:space="0" w:color="4EA3E9"/>
                            <w:bottom w:val="single" w:sz="6" w:space="12" w:color="4EA3E9"/>
                            <w:right w:val="single" w:sz="6" w:space="0" w:color="4EA3E9"/>
                          </w:divBdr>
                          <w:divsChild>
                            <w:div w:id="13659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088959">
      <w:bodyDiv w:val="1"/>
      <w:marLeft w:val="0"/>
      <w:marRight w:val="0"/>
      <w:marTop w:val="0"/>
      <w:marBottom w:val="0"/>
      <w:divBdr>
        <w:top w:val="none" w:sz="0" w:space="0" w:color="auto"/>
        <w:left w:val="none" w:sz="0" w:space="0" w:color="auto"/>
        <w:bottom w:val="none" w:sz="0" w:space="0" w:color="auto"/>
        <w:right w:val="none" w:sz="0" w:space="0" w:color="auto"/>
      </w:divBdr>
    </w:div>
    <w:div w:id="503982256">
      <w:bodyDiv w:val="1"/>
      <w:marLeft w:val="0"/>
      <w:marRight w:val="0"/>
      <w:marTop w:val="0"/>
      <w:marBottom w:val="0"/>
      <w:divBdr>
        <w:top w:val="none" w:sz="0" w:space="0" w:color="auto"/>
        <w:left w:val="none" w:sz="0" w:space="0" w:color="auto"/>
        <w:bottom w:val="none" w:sz="0" w:space="0" w:color="auto"/>
        <w:right w:val="none" w:sz="0" w:space="0" w:color="auto"/>
      </w:divBdr>
    </w:div>
    <w:div w:id="755057366">
      <w:bodyDiv w:val="1"/>
      <w:marLeft w:val="0"/>
      <w:marRight w:val="0"/>
      <w:marTop w:val="0"/>
      <w:marBottom w:val="0"/>
      <w:divBdr>
        <w:top w:val="none" w:sz="0" w:space="0" w:color="auto"/>
        <w:left w:val="none" w:sz="0" w:space="0" w:color="auto"/>
        <w:bottom w:val="none" w:sz="0" w:space="0" w:color="auto"/>
        <w:right w:val="none" w:sz="0" w:space="0" w:color="auto"/>
      </w:divBdr>
    </w:div>
    <w:div w:id="847643561">
      <w:bodyDiv w:val="1"/>
      <w:marLeft w:val="0"/>
      <w:marRight w:val="0"/>
      <w:marTop w:val="0"/>
      <w:marBottom w:val="0"/>
      <w:divBdr>
        <w:top w:val="none" w:sz="0" w:space="0" w:color="auto"/>
        <w:left w:val="none" w:sz="0" w:space="0" w:color="auto"/>
        <w:bottom w:val="none" w:sz="0" w:space="0" w:color="auto"/>
        <w:right w:val="none" w:sz="0" w:space="0" w:color="auto"/>
      </w:divBdr>
      <w:divsChild>
        <w:div w:id="1639073411">
          <w:marLeft w:val="0"/>
          <w:marRight w:val="0"/>
          <w:marTop w:val="230"/>
          <w:marBottom w:val="0"/>
          <w:divBdr>
            <w:top w:val="none" w:sz="0" w:space="0" w:color="auto"/>
            <w:left w:val="none" w:sz="0" w:space="0" w:color="auto"/>
            <w:bottom w:val="none" w:sz="0" w:space="0" w:color="auto"/>
            <w:right w:val="none" w:sz="0" w:space="0" w:color="auto"/>
          </w:divBdr>
        </w:div>
      </w:divsChild>
    </w:div>
    <w:div w:id="1001422428">
      <w:bodyDiv w:val="1"/>
      <w:marLeft w:val="0"/>
      <w:marRight w:val="0"/>
      <w:marTop w:val="0"/>
      <w:marBottom w:val="0"/>
      <w:divBdr>
        <w:top w:val="none" w:sz="0" w:space="0" w:color="auto"/>
        <w:left w:val="none" w:sz="0" w:space="0" w:color="auto"/>
        <w:bottom w:val="none" w:sz="0" w:space="0" w:color="auto"/>
        <w:right w:val="none" w:sz="0" w:space="0" w:color="auto"/>
      </w:divBdr>
    </w:div>
    <w:div w:id="1108235983">
      <w:bodyDiv w:val="1"/>
      <w:marLeft w:val="0"/>
      <w:marRight w:val="0"/>
      <w:marTop w:val="0"/>
      <w:marBottom w:val="0"/>
      <w:divBdr>
        <w:top w:val="none" w:sz="0" w:space="0" w:color="auto"/>
        <w:left w:val="none" w:sz="0" w:space="0" w:color="auto"/>
        <w:bottom w:val="none" w:sz="0" w:space="0" w:color="auto"/>
        <w:right w:val="none" w:sz="0" w:space="0" w:color="auto"/>
      </w:divBdr>
    </w:div>
    <w:div w:id="1212691471">
      <w:bodyDiv w:val="1"/>
      <w:marLeft w:val="0"/>
      <w:marRight w:val="0"/>
      <w:marTop w:val="0"/>
      <w:marBottom w:val="0"/>
      <w:divBdr>
        <w:top w:val="none" w:sz="0" w:space="0" w:color="auto"/>
        <w:left w:val="none" w:sz="0" w:space="0" w:color="auto"/>
        <w:bottom w:val="none" w:sz="0" w:space="0" w:color="auto"/>
        <w:right w:val="none" w:sz="0" w:space="0" w:color="auto"/>
      </w:divBdr>
    </w:div>
    <w:div w:id="1368680524">
      <w:bodyDiv w:val="1"/>
      <w:marLeft w:val="0"/>
      <w:marRight w:val="0"/>
      <w:marTop w:val="0"/>
      <w:marBottom w:val="0"/>
      <w:divBdr>
        <w:top w:val="none" w:sz="0" w:space="0" w:color="auto"/>
        <w:left w:val="none" w:sz="0" w:space="0" w:color="auto"/>
        <w:bottom w:val="none" w:sz="0" w:space="0" w:color="auto"/>
        <w:right w:val="none" w:sz="0" w:space="0" w:color="auto"/>
      </w:divBdr>
    </w:div>
    <w:div w:id="1508448916">
      <w:bodyDiv w:val="1"/>
      <w:marLeft w:val="0"/>
      <w:marRight w:val="0"/>
      <w:marTop w:val="0"/>
      <w:marBottom w:val="0"/>
      <w:divBdr>
        <w:top w:val="none" w:sz="0" w:space="0" w:color="auto"/>
        <w:left w:val="none" w:sz="0" w:space="0" w:color="auto"/>
        <w:bottom w:val="none" w:sz="0" w:space="0" w:color="auto"/>
        <w:right w:val="none" w:sz="0" w:space="0" w:color="auto"/>
      </w:divBdr>
    </w:div>
    <w:div w:id="1540432247">
      <w:bodyDiv w:val="1"/>
      <w:marLeft w:val="0"/>
      <w:marRight w:val="0"/>
      <w:marTop w:val="0"/>
      <w:marBottom w:val="0"/>
      <w:divBdr>
        <w:top w:val="none" w:sz="0" w:space="0" w:color="auto"/>
        <w:left w:val="none" w:sz="0" w:space="0" w:color="auto"/>
        <w:bottom w:val="none" w:sz="0" w:space="0" w:color="auto"/>
        <w:right w:val="none" w:sz="0" w:space="0" w:color="auto"/>
      </w:divBdr>
      <w:divsChild>
        <w:div w:id="2099785250">
          <w:marLeft w:val="1267"/>
          <w:marRight w:val="0"/>
          <w:marTop w:val="168"/>
          <w:marBottom w:val="0"/>
          <w:divBdr>
            <w:top w:val="none" w:sz="0" w:space="0" w:color="auto"/>
            <w:left w:val="none" w:sz="0" w:space="0" w:color="auto"/>
            <w:bottom w:val="none" w:sz="0" w:space="0" w:color="auto"/>
            <w:right w:val="none" w:sz="0" w:space="0" w:color="auto"/>
          </w:divBdr>
        </w:div>
      </w:divsChild>
    </w:div>
    <w:div w:id="1572545165">
      <w:bodyDiv w:val="1"/>
      <w:marLeft w:val="0"/>
      <w:marRight w:val="0"/>
      <w:marTop w:val="0"/>
      <w:marBottom w:val="0"/>
      <w:divBdr>
        <w:top w:val="none" w:sz="0" w:space="0" w:color="auto"/>
        <w:left w:val="none" w:sz="0" w:space="0" w:color="auto"/>
        <w:bottom w:val="none" w:sz="0" w:space="0" w:color="auto"/>
        <w:right w:val="none" w:sz="0" w:space="0" w:color="auto"/>
      </w:divBdr>
      <w:divsChild>
        <w:div w:id="754745011">
          <w:marLeft w:val="1267"/>
          <w:marRight w:val="0"/>
          <w:marTop w:val="96"/>
          <w:marBottom w:val="0"/>
          <w:divBdr>
            <w:top w:val="none" w:sz="0" w:space="0" w:color="auto"/>
            <w:left w:val="none" w:sz="0" w:space="0" w:color="auto"/>
            <w:bottom w:val="none" w:sz="0" w:space="0" w:color="auto"/>
            <w:right w:val="none" w:sz="0" w:space="0" w:color="auto"/>
          </w:divBdr>
        </w:div>
        <w:div w:id="1926647349">
          <w:marLeft w:val="1267"/>
          <w:marRight w:val="0"/>
          <w:marTop w:val="96"/>
          <w:marBottom w:val="0"/>
          <w:divBdr>
            <w:top w:val="none" w:sz="0" w:space="0" w:color="auto"/>
            <w:left w:val="none" w:sz="0" w:space="0" w:color="auto"/>
            <w:bottom w:val="none" w:sz="0" w:space="0" w:color="auto"/>
            <w:right w:val="none" w:sz="0" w:space="0" w:color="auto"/>
          </w:divBdr>
        </w:div>
      </w:divsChild>
    </w:div>
    <w:div w:id="1672097663">
      <w:bodyDiv w:val="1"/>
      <w:marLeft w:val="0"/>
      <w:marRight w:val="0"/>
      <w:marTop w:val="0"/>
      <w:marBottom w:val="0"/>
      <w:divBdr>
        <w:top w:val="none" w:sz="0" w:space="0" w:color="auto"/>
        <w:left w:val="none" w:sz="0" w:space="0" w:color="auto"/>
        <w:bottom w:val="none" w:sz="0" w:space="0" w:color="auto"/>
        <w:right w:val="none" w:sz="0" w:space="0" w:color="auto"/>
      </w:divBdr>
    </w:div>
    <w:div w:id="1699156103">
      <w:bodyDiv w:val="1"/>
      <w:marLeft w:val="0"/>
      <w:marRight w:val="0"/>
      <w:marTop w:val="0"/>
      <w:marBottom w:val="0"/>
      <w:divBdr>
        <w:top w:val="none" w:sz="0" w:space="0" w:color="auto"/>
        <w:left w:val="none" w:sz="0" w:space="0" w:color="auto"/>
        <w:bottom w:val="none" w:sz="0" w:space="0" w:color="auto"/>
        <w:right w:val="none" w:sz="0" w:space="0" w:color="auto"/>
      </w:divBdr>
    </w:div>
    <w:div w:id="1730108232">
      <w:bodyDiv w:val="1"/>
      <w:marLeft w:val="0"/>
      <w:marRight w:val="0"/>
      <w:marTop w:val="0"/>
      <w:marBottom w:val="0"/>
      <w:divBdr>
        <w:top w:val="none" w:sz="0" w:space="0" w:color="auto"/>
        <w:left w:val="none" w:sz="0" w:space="0" w:color="auto"/>
        <w:bottom w:val="none" w:sz="0" w:space="0" w:color="auto"/>
        <w:right w:val="none" w:sz="0" w:space="0" w:color="auto"/>
      </w:divBdr>
    </w:div>
    <w:div w:id="1804883730">
      <w:bodyDiv w:val="1"/>
      <w:marLeft w:val="0"/>
      <w:marRight w:val="0"/>
      <w:marTop w:val="0"/>
      <w:marBottom w:val="0"/>
      <w:divBdr>
        <w:top w:val="none" w:sz="0" w:space="0" w:color="auto"/>
        <w:left w:val="none" w:sz="0" w:space="0" w:color="auto"/>
        <w:bottom w:val="none" w:sz="0" w:space="0" w:color="auto"/>
        <w:right w:val="none" w:sz="0" w:space="0" w:color="auto"/>
      </w:divBdr>
    </w:div>
    <w:div w:id="1881934814">
      <w:bodyDiv w:val="1"/>
      <w:marLeft w:val="0"/>
      <w:marRight w:val="0"/>
      <w:marTop w:val="0"/>
      <w:marBottom w:val="0"/>
      <w:divBdr>
        <w:top w:val="none" w:sz="0" w:space="0" w:color="auto"/>
        <w:left w:val="none" w:sz="0" w:space="0" w:color="auto"/>
        <w:bottom w:val="none" w:sz="0" w:space="0" w:color="auto"/>
        <w:right w:val="none" w:sz="0" w:space="0" w:color="auto"/>
      </w:divBdr>
    </w:div>
    <w:div w:id="1936473403">
      <w:bodyDiv w:val="1"/>
      <w:marLeft w:val="0"/>
      <w:marRight w:val="0"/>
      <w:marTop w:val="0"/>
      <w:marBottom w:val="0"/>
      <w:divBdr>
        <w:top w:val="none" w:sz="0" w:space="0" w:color="auto"/>
        <w:left w:val="none" w:sz="0" w:space="0" w:color="auto"/>
        <w:bottom w:val="none" w:sz="0" w:space="0" w:color="auto"/>
        <w:right w:val="none" w:sz="0" w:space="0" w:color="auto"/>
      </w:divBdr>
    </w:div>
    <w:div w:id="198083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pza.gov.tw/people/formdownload.aspx?pageid=4d029eb6240d15b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dc.gov.tw/News.aspx?n=CAB5D137A3FE907F&amp;sms=E0FFB21B0CCBE27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A8ADA-AB11-4D73-852A-AFF462BB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49</TotalTime>
  <Pages>26</Pages>
  <Words>2436</Words>
  <Characters>13890</Characters>
  <Application>Microsoft Office Word</Application>
  <DocSecurity>0</DocSecurity>
  <Lines>115</Lines>
  <Paragraphs>32</Paragraphs>
  <ScaleCrop>false</ScaleCrop>
  <Company>cy</Company>
  <LinksUpToDate>false</LinksUpToDate>
  <CharactersWithSpaces>16294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廖春媛</cp:lastModifiedBy>
  <cp:revision>5</cp:revision>
  <cp:lastPrinted>2017-03-28T08:09:00Z</cp:lastPrinted>
  <dcterms:created xsi:type="dcterms:W3CDTF">2017-04-05T01:23:00Z</dcterms:created>
  <dcterms:modified xsi:type="dcterms:W3CDTF">2017-04-05T08:56:00Z</dcterms:modified>
</cp:coreProperties>
</file>