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47B3D" w:rsidRDefault="00A901F8" w:rsidP="00F37D7B">
      <w:pPr>
        <w:pStyle w:val="af2"/>
      </w:pPr>
      <w:r w:rsidRPr="00F47B3D">
        <w:rPr>
          <w:rFonts w:hint="eastAsia"/>
        </w:rPr>
        <w:t>調查</w:t>
      </w:r>
      <w:r w:rsidR="00EB4664">
        <w:rPr>
          <w:rFonts w:hint="eastAsia"/>
          <w:lang w:eastAsia="zh-HK"/>
        </w:rPr>
        <w:t>意見</w:t>
      </w:r>
    </w:p>
    <w:p w:rsidR="004F6710" w:rsidRPr="00F47B3D" w:rsidRDefault="00EE3D63" w:rsidP="00A639F4">
      <w:pPr>
        <w:pStyle w:val="10"/>
        <w:ind w:left="680" w:firstLine="680"/>
      </w:pPr>
      <w:bookmarkStart w:id="0" w:name="_Toc524902730"/>
      <w:r w:rsidRPr="00EE3D63">
        <w:rPr>
          <w:rFonts w:hint="eastAsia"/>
        </w:rPr>
        <w:t>本案係於民國（下同）105年1月6日機關</w:t>
      </w:r>
      <w:r w:rsidR="00DC00B1" w:rsidRPr="00F47B3D">
        <w:rPr>
          <w:rFonts w:hint="eastAsia"/>
        </w:rPr>
        <w:t>函送「臺中市快捷巴士(BRT)廢除後相關人員及車輛等設備財產處分情形」專案調查報告到院；同年3月2日</w:t>
      </w:r>
      <w:r w:rsidR="00E82B36" w:rsidRPr="00F47B3D">
        <w:rPr>
          <w:rFonts w:hint="eastAsia"/>
        </w:rPr>
        <w:t>立法院立法委員江</w:t>
      </w:r>
      <w:r w:rsidR="00D74A3D" w:rsidRPr="00D74A3D">
        <w:rPr>
          <w:rFonts w:hAnsi="標楷體"/>
          <w:snapToGrid w:val="0"/>
          <w:szCs w:val="32"/>
        </w:rPr>
        <w:t>ΟΟ</w:t>
      </w:r>
      <w:r w:rsidR="00DC00B1" w:rsidRPr="00F47B3D">
        <w:rPr>
          <w:rFonts w:hint="eastAsia"/>
        </w:rPr>
        <w:t>，陪同臺中市議會</w:t>
      </w:r>
      <w:r w:rsidR="00E82B36" w:rsidRPr="00F47B3D">
        <w:rPr>
          <w:rFonts w:hint="eastAsia"/>
        </w:rPr>
        <w:t>市議員李</w:t>
      </w:r>
      <w:r w:rsidR="00D74A3D" w:rsidRPr="00D74A3D">
        <w:rPr>
          <w:rFonts w:hAnsi="標楷體"/>
          <w:snapToGrid w:val="0"/>
          <w:szCs w:val="32"/>
        </w:rPr>
        <w:t>Ο</w:t>
      </w:r>
      <w:r w:rsidR="00E82B36" w:rsidRPr="00F47B3D">
        <w:rPr>
          <w:rFonts w:hint="eastAsia"/>
        </w:rPr>
        <w:t>、黃</w:t>
      </w:r>
      <w:r w:rsidR="00D74A3D" w:rsidRPr="00D74A3D">
        <w:rPr>
          <w:rFonts w:hAnsi="標楷體"/>
          <w:snapToGrid w:val="0"/>
          <w:szCs w:val="32"/>
        </w:rPr>
        <w:t>ΟΟ</w:t>
      </w:r>
      <w:r w:rsidR="00DC00B1" w:rsidRPr="00F47B3D">
        <w:rPr>
          <w:rFonts w:hint="eastAsia"/>
        </w:rPr>
        <w:t>等人到院陳訴，臺中市政府廢止臺中市快捷巴士</w:t>
      </w:r>
      <w:r w:rsidR="001C196A" w:rsidRPr="00F47B3D">
        <w:rPr>
          <w:rFonts w:hint="eastAsia"/>
        </w:rPr>
        <w:t>（</w:t>
      </w:r>
      <w:r w:rsidR="00DC00B1" w:rsidRPr="00F47B3D">
        <w:rPr>
          <w:rFonts w:hint="eastAsia"/>
        </w:rPr>
        <w:t>下稱臺中BRT</w:t>
      </w:r>
      <w:r w:rsidR="006B6AD2">
        <w:rPr>
          <w:rFonts w:hint="eastAsia"/>
        </w:rPr>
        <w:t>，Bus Rapid Transit</w:t>
      </w:r>
      <w:r w:rsidR="00DC00B1" w:rsidRPr="00F47B3D">
        <w:rPr>
          <w:rFonts w:hint="eastAsia"/>
        </w:rPr>
        <w:t>）建置計畫，疑浪費公帑且圖利特定客運業者等情；陳訴人王</w:t>
      </w:r>
      <w:r w:rsidR="00D74A3D" w:rsidRPr="00D74A3D">
        <w:rPr>
          <w:rFonts w:hAnsi="標楷體"/>
          <w:snapToGrid w:val="0"/>
          <w:szCs w:val="32"/>
        </w:rPr>
        <w:t>ΟΟ</w:t>
      </w:r>
      <w:bookmarkStart w:id="1" w:name="_GoBack"/>
      <w:bookmarkEnd w:id="1"/>
      <w:r w:rsidR="00DC00B1" w:rsidRPr="00F47B3D">
        <w:rPr>
          <w:rFonts w:hint="eastAsia"/>
        </w:rPr>
        <w:t>君，於105年6月23日以電子郵件陳訴，臺中BRT廢止後，造價高昂的機電設備、行車控制中心迄今仍遭閒置；優化公車道在尖峰時段行駛時間大幅增加，造成市民時間損失；該府交通局要求臺中快捷巴士股份有限公司(下稱快巴公司)退出臺灣大道營運，導致該公司虧空解散等情。經105年7月12日本院交通及採購委員會第5屆第24次會議決議，推派調查，案由略以，臺中BRT藍線之建置、營運及廢止，迄未擬妥因應對策，致車輛及財產設備閒置，且部分工程尚未完成驗收，疑有浪費公帑之嫌，及交通部對於核定補助款運用情形，後續處理是否妥適等情。案經本院函詢臺中市政府、交通部及審計部，並於105年10月21日履勘，並請交通部交通運輸研究所及審計部派員會同參加履勘，及同年12月5日詢問上開機關相關主管人員，</w:t>
      </w:r>
      <w:r w:rsidR="00FB501B" w:rsidRPr="00F47B3D">
        <w:rPr>
          <w:rFonts w:hint="eastAsia"/>
        </w:rPr>
        <w:t>已調查完竣，綜整</w:t>
      </w:r>
      <w:r w:rsidR="00DC00B1" w:rsidRPr="00F47B3D">
        <w:rPr>
          <w:rFonts w:hAnsi="標楷體" w:hint="eastAsia"/>
        </w:rPr>
        <w:t>臺中市政府及交通部</w:t>
      </w:r>
      <w:r w:rsidR="00FB501B" w:rsidRPr="00F47B3D">
        <w:rPr>
          <w:rFonts w:hint="eastAsia"/>
        </w:rPr>
        <w:t>有關缺失，列述調查意見如下：</w:t>
      </w:r>
    </w:p>
    <w:p w:rsidR="00423ECF" w:rsidRPr="00F47B3D" w:rsidRDefault="00423ECF" w:rsidP="00075389">
      <w:pPr>
        <w:pStyle w:val="af8"/>
        <w:numPr>
          <w:ilvl w:val="0"/>
          <w:numId w:val="37"/>
        </w:numPr>
        <w:overflowPunct/>
        <w:autoSpaceDE/>
        <w:autoSpaceDN/>
        <w:spacing w:line="480" w:lineRule="exact"/>
        <w:ind w:leftChars="0" w:left="1036" w:hanging="840"/>
        <w:rPr>
          <w:rFonts w:hAnsi="標楷體"/>
          <w:b/>
          <w:szCs w:val="32"/>
        </w:rPr>
      </w:pPr>
      <w:bookmarkStart w:id="2" w:name="_Toc524895648"/>
      <w:bookmarkStart w:id="3" w:name="_Toc524896194"/>
      <w:bookmarkStart w:id="4" w:name="_Toc524896224"/>
      <w:bookmarkStart w:id="5" w:name="_Toc524902734"/>
      <w:bookmarkStart w:id="6" w:name="_Toc525066148"/>
      <w:bookmarkStart w:id="7" w:name="_Toc525070839"/>
      <w:bookmarkStart w:id="8" w:name="_Toc525938379"/>
      <w:bookmarkStart w:id="9" w:name="_Toc525939227"/>
      <w:bookmarkStart w:id="10" w:name="_Toc525939732"/>
      <w:bookmarkStart w:id="11" w:name="_Toc529218272"/>
      <w:bookmarkEnd w:id="0"/>
      <w:r w:rsidRPr="00F47B3D">
        <w:rPr>
          <w:rFonts w:hAnsi="標楷體" w:hint="eastAsia"/>
          <w:b/>
          <w:szCs w:val="32"/>
        </w:rPr>
        <w:t>臺中市政府推動BRT藍線優先段，未能妥適考量臺灣大道之交通特性，致當地交通肇事率增加，且因BRT專用道占用現有道路容量，影響臺灣大道整體交通服務水準，招致民怨，相關設施亦有疏漏，有違政府推動交通建設之美意，顯有疏失。</w:t>
      </w:r>
    </w:p>
    <w:p w:rsidR="00423ECF" w:rsidRPr="00F47B3D" w:rsidRDefault="00423ECF" w:rsidP="00A82D62">
      <w:pPr>
        <w:numPr>
          <w:ilvl w:val="0"/>
          <w:numId w:val="38"/>
        </w:numPr>
        <w:overflowPunct/>
        <w:autoSpaceDE/>
        <w:autoSpaceDN/>
        <w:spacing w:line="480" w:lineRule="exact"/>
        <w:ind w:left="1395" w:hanging="822"/>
        <w:rPr>
          <w:rFonts w:hAnsi="標楷體"/>
          <w:szCs w:val="32"/>
        </w:rPr>
      </w:pPr>
      <w:r w:rsidRPr="00F47B3D">
        <w:rPr>
          <w:rFonts w:hAnsi="標楷體" w:hint="eastAsia"/>
          <w:szCs w:val="32"/>
        </w:rPr>
        <w:t>據本院104年4月15日院台調壹字第1040800067</w:t>
      </w:r>
      <w:r w:rsidRPr="00F47B3D">
        <w:rPr>
          <w:rFonts w:hAnsi="標楷體" w:hint="eastAsia"/>
          <w:szCs w:val="32"/>
        </w:rPr>
        <w:lastRenderedPageBreak/>
        <w:t>號派查函，案由：於臺中市私立靜宜大學及弘光科技大學前之臺灣大道6段至7段（下稱本路段）為易肇事路段，且似因現場BRT站體設計與交通動線規劃不良，肇致交通事故頻仍，惟未見臺中市政府相關單位提出具體解決方案，影響學生通行安全等情案。本案係由本院地方機關巡察移來，因本路段本為列管之易肇事路段，且似因現場臺中BRT系統站體設計與交通動線規劃不良，致交通事故頻仍，經統計本路段交通肇事件數於99年為450件、100年為541件、101年為461件、102年為569件，至103年時高升至663件，有逐年增加趨勢，是否與BRT站體設計與交通規劃動線不良有關，有深入調查之必要。嗣經調查完竣，於同年12月8日本院交通及採購委員會第5屆第17次會議決議通過，其調查意見重點摘要如下：</w:t>
      </w:r>
    </w:p>
    <w:p w:rsidR="00423ECF" w:rsidRPr="00F47B3D" w:rsidRDefault="00423ECF" w:rsidP="00FE307F">
      <w:pPr>
        <w:spacing w:line="480" w:lineRule="exact"/>
        <w:ind w:leftChars="360" w:left="1722" w:hangingChars="146" w:hanging="497"/>
        <w:rPr>
          <w:rFonts w:hAnsi="標楷體"/>
          <w:szCs w:val="32"/>
        </w:rPr>
      </w:pPr>
      <w:r w:rsidRPr="00F47B3D">
        <w:rPr>
          <w:rFonts w:hAnsi="標楷體" w:hint="eastAsia"/>
          <w:szCs w:val="32"/>
        </w:rPr>
        <w:t>1、交通部公路總局對於本路段之易肇事情形，歷年雖已進行多次交通改善措施，惟成效仍屬有限，然本路段係經媒體報導及肇事嚴重性指標進行易肇事路段排序篩選作業而為列管及執行之改善對象，顯見本路段肇事之經常性及嚴重性，故公路總局對於本路段因道路線形、車流模式及運具種類等特性所肇致之易肇事情形仍應予持續妥適處理。</w:t>
      </w:r>
    </w:p>
    <w:p w:rsidR="00423ECF" w:rsidRPr="00F47B3D" w:rsidRDefault="00423ECF" w:rsidP="00FE307F">
      <w:pPr>
        <w:spacing w:line="480" w:lineRule="exact"/>
        <w:ind w:leftChars="360" w:left="1722" w:hangingChars="146" w:hanging="497"/>
        <w:rPr>
          <w:rFonts w:hAnsi="標楷體"/>
          <w:szCs w:val="32"/>
        </w:rPr>
      </w:pPr>
      <w:r w:rsidRPr="00F47B3D">
        <w:rPr>
          <w:rFonts w:hAnsi="標楷體" w:hint="eastAsia"/>
          <w:szCs w:val="32"/>
        </w:rPr>
        <w:t>2、臺中市政府為培養地區大眾運輸運量，以階段性方式推動建立大眾運輸路網，以因應臺中都會區未來的發展而採行BRT系統，然於大眾運輸路網未臻完成前，尚未能有效減少私有運具使用，因BRT專用道占用道路容量，故造成道路容量縮減，</w:t>
      </w:r>
      <w:r w:rsidRPr="00F47B3D">
        <w:rPr>
          <w:rFonts w:hAnsi="標楷體" w:hint="eastAsia"/>
          <w:szCs w:val="32"/>
        </w:rPr>
        <w:lastRenderedPageBreak/>
        <w:t>道路服務水準下降，又部分站體設置影響快慢車道用路人的行車視距，減少行車反應時間，致加劇本易肇事路段肇事情形。</w:t>
      </w:r>
    </w:p>
    <w:p w:rsidR="00423ECF" w:rsidRPr="00F47B3D" w:rsidRDefault="00423ECF" w:rsidP="00FE307F">
      <w:pPr>
        <w:spacing w:line="480" w:lineRule="exact"/>
        <w:ind w:leftChars="360" w:left="1722" w:hangingChars="146" w:hanging="497"/>
        <w:rPr>
          <w:rFonts w:hAnsi="標楷體"/>
          <w:szCs w:val="32"/>
        </w:rPr>
      </w:pPr>
      <w:r w:rsidRPr="00F47B3D">
        <w:rPr>
          <w:rFonts w:hAnsi="標楷體" w:hint="eastAsia"/>
          <w:szCs w:val="32"/>
        </w:rPr>
        <w:t>3、臺中市政府因應BRT修正，提出「優化公車專用道」方案，然由本路段之交通肇事原因分析可知，係因本路段長直陡坡之道路線型特性、新建BRT設施改變道路型態與影響行車應變視距、快慢車道交織之車流模式及公車停靠之運轉態樣等，皆為導致本路段易肇事情事之肇因。</w:t>
      </w:r>
    </w:p>
    <w:p w:rsidR="00423ECF" w:rsidRPr="00F47B3D" w:rsidRDefault="00423ECF" w:rsidP="00075389">
      <w:pPr>
        <w:numPr>
          <w:ilvl w:val="0"/>
          <w:numId w:val="38"/>
        </w:numPr>
        <w:overflowPunct/>
        <w:autoSpaceDE/>
        <w:autoSpaceDN/>
        <w:spacing w:line="480" w:lineRule="exact"/>
        <w:ind w:left="1232" w:hanging="657"/>
        <w:rPr>
          <w:rFonts w:hAnsi="標楷體"/>
          <w:szCs w:val="32"/>
        </w:rPr>
      </w:pPr>
      <w:r w:rsidRPr="00F47B3D">
        <w:rPr>
          <w:rFonts w:hAnsi="標楷體" w:hint="eastAsia"/>
          <w:szCs w:val="32"/>
        </w:rPr>
        <w:t>嗣據臺中市政府於104年1月設置「快捷巴士(BRT)體檢及改善專案小組」，並啟動體檢程序，遴聘「土木營建」、「車輛機電」、「法治財務」及「交通管理」等領域專家學者及「公民團體」共17位委員進行體檢作業，體檢過程歷經「土木營建組」召開6次會議、「車輛機電組」召開4次會議、「法制財務組」召開1次會議、「交通管理組」召開7次會議，加上3次全體會議，合計會議共21次，並經過4次現場勘查後，於同年3月21日提出「臺中市快捷巴士系統體檢及改善總結報告」。相關體檢缺失摘要說明如下：</w:t>
      </w:r>
    </w:p>
    <w:p w:rsidR="00423ECF" w:rsidRPr="00F47B3D" w:rsidRDefault="00423ECF" w:rsidP="00C25A8E">
      <w:pPr>
        <w:spacing w:line="480" w:lineRule="exact"/>
        <w:ind w:leftChars="323" w:left="1596" w:hangingChars="146" w:hanging="497"/>
        <w:rPr>
          <w:rFonts w:hAnsi="標楷體"/>
          <w:szCs w:val="32"/>
        </w:rPr>
      </w:pPr>
      <w:r w:rsidRPr="00F47B3D">
        <w:rPr>
          <w:rFonts w:hAnsi="標楷體" w:hint="eastAsia"/>
          <w:szCs w:val="32"/>
        </w:rPr>
        <w:t>1、「土木營建組」部分：逐段分階段拆除易壅塞路段BRT專用道變為混合車道，拆掉之站體可移至西延線使用，並可開放部分時段路邊停車。</w:t>
      </w:r>
    </w:p>
    <w:p w:rsidR="00423ECF" w:rsidRPr="00F47B3D" w:rsidRDefault="00423ECF" w:rsidP="00C25A8E">
      <w:pPr>
        <w:spacing w:line="480" w:lineRule="exact"/>
        <w:ind w:leftChars="323" w:left="1596" w:hangingChars="146" w:hanging="497"/>
        <w:rPr>
          <w:rFonts w:hAnsi="標楷體"/>
          <w:szCs w:val="32"/>
        </w:rPr>
      </w:pPr>
      <w:r w:rsidRPr="00F47B3D">
        <w:rPr>
          <w:rFonts w:hAnsi="標楷體" w:hint="eastAsia"/>
          <w:szCs w:val="32"/>
        </w:rPr>
        <w:t>2、「車輛機電組」部分：目前聯營車是依班表發車，行控中心未發揮調度車輛功能，且BRT車輛採相對優先號誌(Priority Singal)，BRT車輛時刻表應與道路交通號誌週期整合設計，其相對優先號誌應與道路交通控制系統為整合協調控制，俾使BRT車輛對橫交路口的交通衝擊降至最低；興中行控</w:t>
      </w:r>
      <w:r w:rsidRPr="00F47B3D">
        <w:rPr>
          <w:rFonts w:hAnsi="標楷體" w:hint="eastAsia"/>
          <w:szCs w:val="32"/>
        </w:rPr>
        <w:lastRenderedPageBreak/>
        <w:t>中心供電容量不足問題，宜儘速處理，俾設備與系統正常運作之維持，避免損及設備穩定性與使用壽命；車站提供BRT車輛預估到站時間相關資訊，惟資料內容有限；車站設有球型可動式或半球型固定式網路攝影機，惟仍有監控死角；BRT系統月台門啟閉控制與公車車門連動，兩者間通訊一有不穩定狀況，即有啟動過慢、不同步，甚或需由司機員以手動開啟月台門之情形；BRT系統站台設備之設置環境，不利設備穩定性與合理壽命之維持，站台照明未納入行控中心設施監控項目；BRT專用道並無全線設置，部分狹窄人多路段並無專用道，且在該路段令行人有壓迫之感受。</w:t>
      </w:r>
    </w:p>
    <w:p w:rsidR="00423ECF" w:rsidRPr="00F47B3D" w:rsidRDefault="00423ECF" w:rsidP="00C25A8E">
      <w:pPr>
        <w:spacing w:line="480" w:lineRule="exact"/>
        <w:ind w:leftChars="323" w:left="1596" w:hangingChars="146" w:hanging="497"/>
        <w:rPr>
          <w:rFonts w:hAnsi="標楷體"/>
          <w:szCs w:val="32"/>
        </w:rPr>
      </w:pPr>
      <w:r w:rsidRPr="00F47B3D">
        <w:rPr>
          <w:rFonts w:hAnsi="標楷體" w:hint="eastAsia"/>
          <w:szCs w:val="32"/>
        </w:rPr>
        <w:t>3、「交通管理組」部分：車輛方面故障率高；站體設計未與設備整合，造成占用空間、驗票閘門動線及寬度不當、設備與車輛整合連動不穩定、號誌時制及燈頭位置未整合等；BRT採站外驗票閘門收費，異常比例高；班次受限於號誌週期、車輛數限制，致班距大而無法滿足容量要求；缺乏控制行車功能及號誌最佳化功能等缺失。</w:t>
      </w:r>
    </w:p>
    <w:p w:rsidR="00423ECF" w:rsidRPr="00F47B3D" w:rsidRDefault="00423ECF" w:rsidP="00075389">
      <w:pPr>
        <w:numPr>
          <w:ilvl w:val="0"/>
          <w:numId w:val="38"/>
        </w:numPr>
        <w:overflowPunct/>
        <w:autoSpaceDE/>
        <w:autoSpaceDN/>
        <w:spacing w:line="480" w:lineRule="exact"/>
        <w:ind w:left="1232" w:hanging="657"/>
        <w:rPr>
          <w:rFonts w:hAnsi="標楷體"/>
          <w:szCs w:val="32"/>
        </w:rPr>
      </w:pPr>
      <w:r w:rsidRPr="00F47B3D">
        <w:rPr>
          <w:rFonts w:hAnsi="標楷體" w:hint="eastAsia"/>
          <w:szCs w:val="32"/>
        </w:rPr>
        <w:t>據本院詢問時，臺中市政府提供之說明資料表示，</w:t>
      </w:r>
      <w:r w:rsidRPr="00F47B3D">
        <w:rPr>
          <w:rFonts w:hAnsi="標楷體" w:hint="eastAsia"/>
          <w:szCs w:val="32"/>
          <w:lang w:val="en-GB"/>
        </w:rPr>
        <w:t>依「中臺灣公車捷運系統(BRT)服務規劃設計與可行性評估報告」(100年8月版)，BRT路廊選之條件主要考慮「公車需求量」及「路幅寬度」兩項因子，公車</w:t>
      </w:r>
      <w:r w:rsidRPr="00F47B3D">
        <w:rPr>
          <w:rFonts w:hAnsi="標楷體" w:hint="eastAsia"/>
          <w:szCs w:val="32"/>
        </w:rPr>
        <w:t>需求量</w:t>
      </w:r>
      <w:r w:rsidRPr="00F47B3D">
        <w:rPr>
          <w:rFonts w:hAnsi="標楷體" w:hint="eastAsia"/>
          <w:szCs w:val="32"/>
          <w:lang w:val="en-GB"/>
        </w:rPr>
        <w:t>門檻值為每小時2,000人次，道路寬度為有效行車寬度30公尺以上且單向至少3車道。由上開評選因子可知，顯見該府係以「公車需求量」及「路幅寬度」為考量，顯</w:t>
      </w:r>
      <w:r w:rsidRPr="00F47B3D">
        <w:rPr>
          <w:rFonts w:hAnsi="標楷體" w:hint="eastAsia"/>
          <w:szCs w:val="32"/>
        </w:rPr>
        <w:t>未能妥適衡酌臺灣大道之交通易肇事之特性。</w:t>
      </w:r>
    </w:p>
    <w:p w:rsidR="00423ECF" w:rsidRPr="00F47B3D" w:rsidRDefault="00423ECF" w:rsidP="00075389">
      <w:pPr>
        <w:numPr>
          <w:ilvl w:val="0"/>
          <w:numId w:val="38"/>
        </w:numPr>
        <w:overflowPunct/>
        <w:autoSpaceDE/>
        <w:autoSpaceDN/>
        <w:spacing w:line="480" w:lineRule="exact"/>
        <w:ind w:left="1232" w:hanging="657"/>
        <w:rPr>
          <w:rFonts w:hAnsi="標楷體"/>
          <w:szCs w:val="32"/>
        </w:rPr>
      </w:pPr>
      <w:r w:rsidRPr="00F47B3D">
        <w:rPr>
          <w:rFonts w:hAnsi="標楷體" w:hint="eastAsia"/>
          <w:szCs w:val="32"/>
        </w:rPr>
        <w:lastRenderedPageBreak/>
        <w:t>綜上，根據本院前案調查發現，臺中市政府推動BRT藍線優先段，係以臺灣大道為主要行駛路線，採占用雙向快車道最外側車道為專用車道，然本路段係經媒體報導及肇事嚴重性指標，進行易肇事路段排序篩選作業而為列管及執行之改善對象，顯見本路段肇事之經常性及嚴重性，且在臺中BRT大眾運輸路網未臻完成前，尚未能有效減少私有運具使用，因BRT專用道占用道路容量，造成道路容量縮減，道路服務水準下降，又本路段為長直陡坡之道路線型特性、新建BRT設施改變道路型態與影響行車應變視距、快慢車道交織之車流模式及公車停靠之運轉態樣等，皆導致本路段易肇事情事之肇因，其中部分站體設置影響快慢車道用路人的行車視距，減少行車反應時間，致加劇本易肇事路段肇事等情事，顯見該府未能妥適考量臺灣大道之交通特性，致當地交通肇事率增加，影響臺灣大道整體交通服務水準，又由該府所成立之BRT體檢及改善專案小組提出之體檢結果，由「土木營建」、「車輛機電」及「交通管理」等各部分皆有尚待改善情事，指出相關設施仍有疏漏或缺失，顯見該府推動BRT藍線優先段，略顯倉促、未盡完善，皆招致民怨，實有違政府推動交通建設之美意，核有疏失。</w:t>
      </w:r>
    </w:p>
    <w:p w:rsidR="00423ECF" w:rsidRPr="00F47B3D" w:rsidRDefault="00423ECF" w:rsidP="00075389">
      <w:pPr>
        <w:pStyle w:val="af8"/>
        <w:numPr>
          <w:ilvl w:val="0"/>
          <w:numId w:val="37"/>
        </w:numPr>
        <w:overflowPunct/>
        <w:autoSpaceDE/>
        <w:autoSpaceDN/>
        <w:spacing w:line="480" w:lineRule="exact"/>
        <w:ind w:leftChars="0" w:left="1036" w:hanging="840"/>
        <w:rPr>
          <w:rFonts w:hAnsi="標楷體"/>
          <w:b/>
          <w:szCs w:val="32"/>
        </w:rPr>
      </w:pPr>
      <w:r w:rsidRPr="00F47B3D">
        <w:rPr>
          <w:rFonts w:hAnsi="標楷體" w:hint="eastAsia"/>
          <w:b/>
          <w:szCs w:val="32"/>
        </w:rPr>
        <w:t>臺中市政府廢止BRT系統，僅採認藍線優先段未具備BRT功能與效益，</w:t>
      </w:r>
      <w:r w:rsidR="00B93CC8" w:rsidRPr="00F47B3D">
        <w:rPr>
          <w:rFonts w:hAnsi="標楷體" w:hint="eastAsia"/>
          <w:b/>
          <w:szCs w:val="32"/>
        </w:rPr>
        <w:t>以設備體檢缺失為由，不思改善</w:t>
      </w:r>
      <w:r w:rsidRPr="00F47B3D">
        <w:rPr>
          <w:rFonts w:hAnsi="標楷體" w:hint="eastAsia"/>
          <w:b/>
          <w:szCs w:val="32"/>
        </w:rPr>
        <w:t>，</w:t>
      </w:r>
      <w:r w:rsidR="00B93CC8" w:rsidRPr="00F47B3D">
        <w:rPr>
          <w:rFonts w:hAnsi="標楷體" w:hint="eastAsia"/>
          <w:b/>
          <w:szCs w:val="32"/>
        </w:rPr>
        <w:t>逕</w:t>
      </w:r>
      <w:r w:rsidRPr="00F47B3D">
        <w:rPr>
          <w:rFonts w:hAnsi="標楷體" w:hint="eastAsia"/>
          <w:b/>
          <w:szCs w:val="32"/>
        </w:rPr>
        <w:t>將多年規劃之BRT系統全盤廢止，有違健全整體中臺灣公共運輸系統及培養大臺中地區大眾運輸運量之目標，亦不符政府施政一致性，有損市府形象，核有違失。</w:t>
      </w:r>
    </w:p>
    <w:p w:rsidR="00423ECF" w:rsidRPr="00F47B3D" w:rsidRDefault="00A82D62" w:rsidP="00075389">
      <w:pPr>
        <w:numPr>
          <w:ilvl w:val="0"/>
          <w:numId w:val="39"/>
        </w:numPr>
        <w:overflowPunct/>
        <w:autoSpaceDE/>
        <w:autoSpaceDN/>
        <w:spacing w:line="480" w:lineRule="exact"/>
        <w:ind w:left="1400" w:hanging="657"/>
        <w:rPr>
          <w:rFonts w:hAnsi="標楷體"/>
          <w:szCs w:val="32"/>
        </w:rPr>
      </w:pPr>
      <w:r w:rsidRPr="00F47B3D">
        <w:rPr>
          <w:rFonts w:hAnsi="標楷體" w:hint="eastAsia"/>
          <w:szCs w:val="32"/>
        </w:rPr>
        <w:lastRenderedPageBreak/>
        <w:t>查</w:t>
      </w:r>
      <w:r w:rsidR="00423ECF" w:rsidRPr="00F47B3D">
        <w:rPr>
          <w:rFonts w:hAnsi="標楷體" w:hint="eastAsia"/>
          <w:szCs w:val="32"/>
        </w:rPr>
        <w:t>臺中市政府因縣市合併之初公共運輸路網仍缺乏高服務水準之運輸骨幹，爰配合中央所推動之強化公共運輸發展計畫，以BRT為主要思考方向，期以BRT快捷主幹線系統對高效率、營運規劃高彈性、低成本等優點，培養中部地區公共運輸人口、建全整體公路公共運輸路網，並做為我國發展BRT的示範計畫，亦作為未來臺中捷運得以成功營運之運量培養主力，提供民眾良好之快捷公共運輸服務。故臺中市政府自99至104年度間，於99年度起辦理「中台灣公車捷運系統(BRT)服務規劃設計與可行性評估計畫」，針對臺中BRT路網進行整體規劃及第一優先建置路段設置BRT系統進行可行性評估，至104年共計編列預算數</w:t>
      </w:r>
      <w:r w:rsidR="00B97667">
        <w:rPr>
          <w:rFonts w:hAnsi="標楷體" w:hint="eastAsia"/>
          <w:szCs w:val="32"/>
        </w:rPr>
        <w:t>新臺幣</w:t>
      </w:r>
      <w:r w:rsidR="00423ECF" w:rsidRPr="00F47B3D">
        <w:rPr>
          <w:rFonts w:hAnsi="標楷體" w:hint="eastAsia"/>
          <w:szCs w:val="32"/>
        </w:rPr>
        <w:t>（下同）39億1,504萬餘元，規劃在臺中境內規劃6條總長218公里的BRT路網，覆蓋全市29個行政區，以達成「大臺中一小時生活圈」的理想。由上開說明可知，依該府近幾年度之交通建設白皮書及施政計畫、預算編列可知，臺中BRT系統係臺中市政府近年來重大交通施政計畫之一。</w:t>
      </w:r>
    </w:p>
    <w:p w:rsidR="00423ECF" w:rsidRPr="00F47B3D" w:rsidRDefault="00423ECF" w:rsidP="00075389">
      <w:pPr>
        <w:numPr>
          <w:ilvl w:val="0"/>
          <w:numId w:val="39"/>
        </w:numPr>
        <w:overflowPunct/>
        <w:autoSpaceDE/>
        <w:autoSpaceDN/>
        <w:spacing w:line="480" w:lineRule="exact"/>
        <w:ind w:left="1400" w:hanging="657"/>
        <w:rPr>
          <w:rFonts w:hAnsi="標楷體"/>
          <w:szCs w:val="32"/>
        </w:rPr>
      </w:pPr>
      <w:r w:rsidRPr="00F47B3D">
        <w:rPr>
          <w:rFonts w:hAnsi="標楷體" w:hint="eastAsia"/>
          <w:szCs w:val="32"/>
        </w:rPr>
        <w:t>嗣臺中市政府於市府團隊變更後，為審議BRT系統原規劃設計內容、實際運作情形、相關預算及契約執行成果等事項，於104年1月設置「快捷巴士(BRT)體檢及改善專案小組」，並啟動體檢程序，嗣於同年3月21日提出「臺中市快捷巴士系統體檢及改善總結報告」。據市府函復，本體檢改善報告於104年3月23日第200次市政會議提報討論，稱因BRT藍線優先段沒有獨立專用路權、缺乏絕對優先號誌通行權、行控中心無法與車輛及車站進行三方</w:t>
      </w:r>
      <w:r w:rsidRPr="00F47B3D">
        <w:rPr>
          <w:rFonts w:hAnsi="標楷體" w:hint="eastAsia"/>
          <w:szCs w:val="32"/>
        </w:rPr>
        <w:lastRenderedPageBreak/>
        <w:t>通話及系統管理，無法真正發揮BRT之功能與效益，在性質上似公車專用道之優化，爰臺中BRT藍線優先段自104年7月8日起改為「優化公車專用道」，並採「兩節式公車+單節Bus（皆為低底盤公車）」方式運行，同時取消優先號誌，維持車輛於專用道運行。由上開說明可知，臺中市政府認為BRT藍線優先段無法真正發揮BRT之功能與效益，而採改為「優化公車專用道」，雖由「兩節式公車+單節Bus」運行，惟實際仍屬公車專用道之性質。</w:t>
      </w:r>
    </w:p>
    <w:p w:rsidR="00423ECF" w:rsidRPr="00F47B3D" w:rsidRDefault="00423ECF" w:rsidP="00075389">
      <w:pPr>
        <w:numPr>
          <w:ilvl w:val="0"/>
          <w:numId w:val="39"/>
        </w:numPr>
        <w:overflowPunct/>
        <w:autoSpaceDE/>
        <w:autoSpaceDN/>
        <w:spacing w:line="480" w:lineRule="exact"/>
        <w:ind w:left="1400" w:hanging="657"/>
        <w:rPr>
          <w:rFonts w:hAnsi="標楷體"/>
          <w:szCs w:val="32"/>
        </w:rPr>
      </w:pPr>
      <w:r w:rsidRPr="00F47B3D">
        <w:rPr>
          <w:rFonts w:hAnsi="標楷體" w:hint="eastAsia"/>
          <w:szCs w:val="32"/>
        </w:rPr>
        <w:t>查臺中市政府為評估BRT藍線優先路段執行成效，該府交通局於103年委託辦理「新運輸系統使用道路交通管理及績效評估」，並於104年11月審查通過期末報告。有關BRT藍線優先路段相關執行成效如下：BRT透過公車專用道之快速服務，可提供高效率運輸服務，在相同路段上BRT平均旅行速率約為19.9公里/小時，較同</w:t>
      </w:r>
      <w:r w:rsidR="00D0063A" w:rsidRPr="00F47B3D">
        <w:rPr>
          <w:rFonts w:hAnsi="標楷體" w:hint="eastAsia"/>
          <w:szCs w:val="32"/>
        </w:rPr>
        <w:t>路廊高重疊</w:t>
      </w:r>
      <w:r w:rsidR="00D0063A" w:rsidRPr="00F47B3D">
        <w:rPr>
          <w:rFonts w:hAnsi="標楷體"/>
          <w:szCs w:val="32"/>
          <w:vertAlign w:val="superscript"/>
        </w:rPr>
        <w:footnoteReference w:id="1"/>
      </w:r>
      <w:r w:rsidRPr="00F47B3D">
        <w:rPr>
          <w:rFonts w:hAnsi="標楷體" w:hint="eastAsia"/>
          <w:szCs w:val="32"/>
        </w:rPr>
        <w:t>公車旅行速率快1.2倍，若再與BRT營運前一般公車速率14.8公里/小時相比，BRT營運速率較原有公車提升34.45％；平日BRT平均旅次時間為28.3分鐘，假日平均旅次時間稍微增加至31分鐘，高重疊路線公車則因停站數較多、及受一般車流交織影響，平日平均旅次時間為35.1分鐘，假日則增加至37.9分鐘。故由上開BRT藍線優先路段之交通管理及績效評估結果可知，BRT藍線優先路段服務效率確實較同路廊之公車為高，應對健全整體中臺灣公共運輸系統及培養大臺中地區大眾運輸運量有其相當之效益，且由該府104年3月21日提出「臺中市</w:t>
      </w:r>
      <w:r w:rsidRPr="00F47B3D">
        <w:rPr>
          <w:rFonts w:hAnsi="標楷體" w:hint="eastAsia"/>
          <w:szCs w:val="32"/>
        </w:rPr>
        <w:lastRenderedPageBreak/>
        <w:t>快捷巴士系統體檢及改善總結報告」，並無廢止BRT系統之建議或對臺中BRT藍線優先路段嚴重至不可改善之缺失。</w:t>
      </w:r>
    </w:p>
    <w:p w:rsidR="003201E1" w:rsidRPr="00F47B3D" w:rsidRDefault="003201E1" w:rsidP="00C0193E">
      <w:pPr>
        <w:numPr>
          <w:ilvl w:val="0"/>
          <w:numId w:val="39"/>
        </w:numPr>
        <w:overflowPunct/>
        <w:autoSpaceDE/>
        <w:autoSpaceDN/>
        <w:spacing w:line="480" w:lineRule="exact"/>
        <w:ind w:left="1400" w:hanging="657"/>
        <w:rPr>
          <w:bCs/>
          <w:szCs w:val="48"/>
          <w:lang w:val="en-GB"/>
        </w:rPr>
      </w:pPr>
      <w:r w:rsidRPr="00F47B3D">
        <w:rPr>
          <w:rFonts w:hint="eastAsia"/>
          <w:bCs/>
          <w:szCs w:val="48"/>
        </w:rPr>
        <w:t>另</w:t>
      </w:r>
      <w:r w:rsidRPr="00F47B3D">
        <w:rPr>
          <w:rFonts w:hint="eastAsia"/>
          <w:bCs/>
          <w:szCs w:val="48"/>
          <w:lang w:val="en-GB"/>
        </w:rPr>
        <w:t>據臺中市政府函復，</w:t>
      </w:r>
      <w:r w:rsidRPr="00F47B3D">
        <w:rPr>
          <w:bCs/>
          <w:szCs w:val="48"/>
          <w:lang w:val="en-GB"/>
        </w:rPr>
        <w:t>優化公車專用道</w:t>
      </w:r>
      <w:r w:rsidRPr="00F47B3D">
        <w:rPr>
          <w:rFonts w:hint="eastAsia"/>
          <w:bCs/>
          <w:szCs w:val="48"/>
          <w:lang w:val="en-GB"/>
        </w:rPr>
        <w:t>運行</w:t>
      </w:r>
      <w:r w:rsidRPr="00F47B3D">
        <w:rPr>
          <w:bCs/>
          <w:szCs w:val="48"/>
          <w:lang w:val="en-GB"/>
        </w:rPr>
        <w:t>實施屆滿</w:t>
      </w:r>
      <w:r w:rsidR="00E21D3B">
        <w:rPr>
          <w:bCs/>
          <w:szCs w:val="48"/>
          <w:lang w:val="en-GB"/>
        </w:rPr>
        <w:t>1年</w:t>
      </w:r>
      <w:r w:rsidRPr="00F47B3D">
        <w:rPr>
          <w:rFonts w:hAnsi="標楷體"/>
          <w:szCs w:val="32"/>
        </w:rPr>
        <w:t>後</w:t>
      </w:r>
      <w:r w:rsidRPr="00F47B3D">
        <w:rPr>
          <w:bCs/>
          <w:szCs w:val="48"/>
          <w:lang w:val="en-GB"/>
        </w:rPr>
        <w:t>，於105年8月</w:t>
      </w:r>
      <w:r w:rsidRPr="00F47B3D">
        <w:rPr>
          <w:rFonts w:hint="eastAsia"/>
          <w:bCs/>
          <w:szCs w:val="48"/>
          <w:lang w:val="en-GB"/>
        </w:rPr>
        <w:t>該府</w:t>
      </w:r>
      <w:r w:rsidRPr="00F47B3D">
        <w:rPr>
          <w:bCs/>
          <w:szCs w:val="48"/>
          <w:lang w:val="en-GB"/>
        </w:rPr>
        <w:t>再次進行旅行時間調查，</w:t>
      </w:r>
      <w:r w:rsidR="00C0193E" w:rsidRPr="00F47B3D">
        <w:rPr>
          <w:rFonts w:hint="eastAsia"/>
          <w:bCs/>
          <w:szCs w:val="48"/>
          <w:lang w:val="en-GB"/>
        </w:rPr>
        <w:t>據</w:t>
      </w:r>
      <w:r w:rsidRPr="00F47B3D">
        <w:rPr>
          <w:bCs/>
          <w:szCs w:val="48"/>
          <w:lang w:val="en-GB"/>
        </w:rPr>
        <w:t>調查結果顯示，</w:t>
      </w:r>
      <w:r w:rsidR="00C0193E" w:rsidRPr="00F47B3D">
        <w:rPr>
          <w:rFonts w:hint="eastAsia"/>
          <w:bCs/>
          <w:szCs w:val="48"/>
          <w:lang w:val="en-GB"/>
        </w:rPr>
        <w:t>汽機車</w:t>
      </w:r>
      <w:r w:rsidRPr="00F47B3D">
        <w:rPr>
          <w:bCs/>
          <w:szCs w:val="48"/>
          <w:lang w:val="en-GB"/>
        </w:rPr>
        <w:t>旅行時間縮短，</w:t>
      </w:r>
      <w:r w:rsidRPr="00F47B3D">
        <w:rPr>
          <w:rFonts w:hint="eastAsia"/>
          <w:bCs/>
          <w:szCs w:val="48"/>
          <w:lang w:val="en-GB"/>
        </w:rPr>
        <w:t>且</w:t>
      </w:r>
      <w:r w:rsidR="00FE5880" w:rsidRPr="00F47B3D">
        <w:rPr>
          <w:rFonts w:hint="eastAsia"/>
          <w:bCs/>
          <w:szCs w:val="48"/>
          <w:lang w:val="en-GB"/>
        </w:rPr>
        <w:t>優化</w:t>
      </w:r>
      <w:r w:rsidRPr="00F47B3D">
        <w:rPr>
          <w:rFonts w:hint="eastAsia"/>
          <w:bCs/>
          <w:szCs w:val="48"/>
          <w:lang w:val="en-GB"/>
        </w:rPr>
        <w:t>公車</w:t>
      </w:r>
      <w:r w:rsidR="00FE5880" w:rsidRPr="00F47B3D">
        <w:rPr>
          <w:rFonts w:hint="eastAsia"/>
          <w:bCs/>
          <w:szCs w:val="48"/>
          <w:lang w:val="en-GB"/>
        </w:rPr>
        <w:t>專用道</w:t>
      </w:r>
      <w:r w:rsidRPr="00F47B3D">
        <w:rPr>
          <w:bCs/>
          <w:szCs w:val="48"/>
          <w:lang w:val="en-GB"/>
        </w:rPr>
        <w:t>每日運量由約5萬6,920人次，提升至7萬4,838人次，臺灣大道整體大眾運輸人次提升約31%。</w:t>
      </w:r>
      <w:r w:rsidR="00FE5880" w:rsidRPr="00F47B3D">
        <w:rPr>
          <w:rFonts w:hint="eastAsia"/>
          <w:bCs/>
          <w:szCs w:val="48"/>
          <w:lang w:val="en-GB"/>
        </w:rPr>
        <w:t>惟查</w:t>
      </w:r>
      <w:r w:rsidRPr="00F47B3D">
        <w:rPr>
          <w:rFonts w:hint="eastAsia"/>
          <w:bCs/>
          <w:szCs w:val="48"/>
          <w:lang w:val="en-GB"/>
        </w:rPr>
        <w:t>八月</w:t>
      </w:r>
      <w:r w:rsidR="00C0193E" w:rsidRPr="00F47B3D">
        <w:rPr>
          <w:rFonts w:hint="eastAsia"/>
          <w:bCs/>
          <w:szCs w:val="48"/>
          <w:lang w:val="en-GB"/>
        </w:rPr>
        <w:t>係</w:t>
      </w:r>
      <w:r w:rsidRPr="00F47B3D">
        <w:rPr>
          <w:rFonts w:hint="eastAsia"/>
          <w:bCs/>
          <w:szCs w:val="48"/>
          <w:lang w:val="en-GB"/>
        </w:rPr>
        <w:t>為暑假期間，以臺灣大道眾多學生之交通特性，暑假期間確實不宜進行相關交通調查，以免調查資料失真</w:t>
      </w:r>
      <w:r w:rsidR="00A77791" w:rsidRPr="00F47B3D">
        <w:rPr>
          <w:rFonts w:hint="eastAsia"/>
          <w:bCs/>
          <w:szCs w:val="48"/>
          <w:lang w:val="en-GB"/>
        </w:rPr>
        <w:t>，且所稱有提升運量人</w:t>
      </w:r>
      <w:r w:rsidR="000C7521" w:rsidRPr="00F47B3D">
        <w:rPr>
          <w:rFonts w:hint="eastAsia"/>
          <w:bCs/>
          <w:szCs w:val="48"/>
          <w:lang w:val="en-GB"/>
        </w:rPr>
        <w:t>次</w:t>
      </w:r>
      <w:r w:rsidR="00A77791" w:rsidRPr="00F47B3D">
        <w:rPr>
          <w:rFonts w:hint="eastAsia"/>
          <w:bCs/>
          <w:szCs w:val="48"/>
          <w:lang w:val="en-GB"/>
        </w:rPr>
        <w:t>效果，係因</w:t>
      </w:r>
      <w:r w:rsidR="00C0193E" w:rsidRPr="00F47B3D">
        <w:rPr>
          <w:rFonts w:hint="eastAsia"/>
          <w:bCs/>
          <w:szCs w:val="48"/>
          <w:lang w:val="en-GB"/>
        </w:rPr>
        <w:t>優化公車專用道</w:t>
      </w:r>
      <w:r w:rsidR="000C7521" w:rsidRPr="00F47B3D">
        <w:rPr>
          <w:rFonts w:hint="eastAsia"/>
          <w:bCs/>
          <w:szCs w:val="48"/>
          <w:lang w:val="en-GB"/>
        </w:rPr>
        <w:t>公車班次</w:t>
      </w:r>
      <w:r w:rsidR="00A77791" w:rsidRPr="00F47B3D">
        <w:rPr>
          <w:rFonts w:hint="eastAsia"/>
          <w:bCs/>
          <w:szCs w:val="48"/>
          <w:lang w:val="en-GB"/>
        </w:rPr>
        <w:t>由426班提升至855班，提高將近一倍車班，惟實際</w:t>
      </w:r>
      <w:r w:rsidR="00C0193E" w:rsidRPr="00F47B3D">
        <w:rPr>
          <w:rFonts w:hint="eastAsia"/>
          <w:bCs/>
          <w:szCs w:val="48"/>
          <w:lang w:val="en-GB"/>
        </w:rPr>
        <w:t>整體</w:t>
      </w:r>
      <w:r w:rsidR="00A77791" w:rsidRPr="00F47B3D">
        <w:rPr>
          <w:rFonts w:hint="eastAsia"/>
          <w:bCs/>
          <w:szCs w:val="48"/>
          <w:lang w:val="en-GB"/>
        </w:rPr>
        <w:t>搭乘大眾運輸工具之總人數是否增加，則尚屬未定，</w:t>
      </w:r>
      <w:r w:rsidR="00C0193E" w:rsidRPr="00F47B3D">
        <w:rPr>
          <w:rFonts w:hint="eastAsia"/>
          <w:bCs/>
          <w:szCs w:val="48"/>
          <w:lang w:val="en-GB"/>
        </w:rPr>
        <w:t>又該府所稱機車及慢車道小汽車旅行時間縮短，係因減少原行駛於慢車道之公車已移至優化公車專用道所致，</w:t>
      </w:r>
      <w:r w:rsidR="000C7521" w:rsidRPr="00F47B3D">
        <w:rPr>
          <w:rFonts w:hint="eastAsia"/>
          <w:bCs/>
          <w:szCs w:val="48"/>
          <w:lang w:val="en-GB"/>
        </w:rPr>
        <w:t>然</w:t>
      </w:r>
      <w:r w:rsidR="00C0193E" w:rsidRPr="00F47B3D">
        <w:rPr>
          <w:rFonts w:hint="eastAsia"/>
          <w:bCs/>
          <w:szCs w:val="48"/>
          <w:lang w:val="en-GB"/>
        </w:rPr>
        <w:t>以都會區發展之交通政策方向而言，應鼓勵大眾運輸工具，並抑制私有運具為</w:t>
      </w:r>
      <w:r w:rsidR="000C7521" w:rsidRPr="00F47B3D">
        <w:rPr>
          <w:rFonts w:hint="eastAsia"/>
          <w:bCs/>
          <w:szCs w:val="48"/>
          <w:lang w:val="en-GB"/>
        </w:rPr>
        <w:t>政策</w:t>
      </w:r>
      <w:r w:rsidR="00C0193E" w:rsidRPr="00F47B3D">
        <w:rPr>
          <w:rFonts w:hint="eastAsia"/>
          <w:bCs/>
          <w:szCs w:val="48"/>
          <w:lang w:val="en-GB"/>
        </w:rPr>
        <w:t>方向，方有利於都會交通政策。</w:t>
      </w:r>
    </w:p>
    <w:p w:rsidR="00423ECF" w:rsidRPr="00F47B3D" w:rsidRDefault="00423ECF" w:rsidP="00075389">
      <w:pPr>
        <w:numPr>
          <w:ilvl w:val="0"/>
          <w:numId w:val="39"/>
        </w:numPr>
        <w:overflowPunct/>
        <w:autoSpaceDE/>
        <w:autoSpaceDN/>
        <w:spacing w:line="480" w:lineRule="exact"/>
        <w:ind w:left="1400" w:hanging="657"/>
        <w:rPr>
          <w:rFonts w:hAnsi="標楷體"/>
          <w:szCs w:val="32"/>
        </w:rPr>
      </w:pPr>
      <w:r w:rsidRPr="00F47B3D">
        <w:rPr>
          <w:rFonts w:hAnsi="標楷體" w:hint="eastAsia"/>
          <w:szCs w:val="32"/>
        </w:rPr>
        <w:t>嗣參考交通部科技顧問室94年4月完成之「公車捷運化設計手冊之研究(1/2)-設計手冊」3.1.1節所示：目前有關公車捷運系統之定義仍相當寬鬆，由國外案例分析亦可知，其呈現之實質型式並無單一型式，而是因地制宜採取符合適用環境之技術型式。總體來說，公車捷運系統之整體概念上共通之意義為：公車捷運系統以公車運轉，結合完全專用或部分專用路權以及軌道系統營運方式，提供快速</w:t>
      </w:r>
      <w:r w:rsidR="00A82D62" w:rsidRPr="00F47B3D">
        <w:rPr>
          <w:rFonts w:hAnsi="標楷體" w:hint="eastAsia"/>
          <w:szCs w:val="32"/>
        </w:rPr>
        <w:t>及</w:t>
      </w:r>
      <w:r w:rsidRPr="00F47B3D">
        <w:rPr>
          <w:rFonts w:hAnsi="標楷體" w:hint="eastAsia"/>
          <w:szCs w:val="32"/>
        </w:rPr>
        <w:t>彈性、低成本的公共運輸服務。另3.1.5節亦再</w:t>
      </w:r>
      <w:r w:rsidRPr="00F47B3D">
        <w:rPr>
          <w:rFonts w:hAnsi="標楷體" w:hint="eastAsia"/>
          <w:szCs w:val="32"/>
        </w:rPr>
        <w:lastRenderedPageBreak/>
        <w:t>說明：綜合BRT之定義、內涵、組成元素與範疇分析可知，公車捷運系統是「動態」之進程，「全程專用或部分專用路權」為基本條件，為了達到快速之目標，可針對各元素選擇進階型態之升級，當公車系統進階到路線、營運、票證整合時，加上車外收費系統，即達到公車捷運系統之極致，即所謂「軌道思維、公車運行」。據交通部函稱，所謂專用路權、優先號誌通行權及行控中心之通訊技術應為BRT之組成元素之一，惟執行強度仍須視當地交通特性而定。又國內辦理BRT縣市，以嘉義市為例說明：嘉義市政府為配合高鐵通車，提供「高鐵嘉義站」至「台鐵嘉義站」兩軌道系統間「快速」及「準點性」之客運服務並兼具提升嘉義縣(太保市)及嘉義市中心區大眾運輸服務功能，該府特研擬「嘉義BRT」計畫，於94年3月24日奉行政院核定實施，其計畫內容主要包含BRT專用公車道部分路段實體分隔、低底盤公車、號誌連鎖及部分路段優先號誌、公車動態資訊、電子票證車內收費及密集車班等。故由上開交通部之說明，有關BRT系統之定義仍相當寬鬆，其呈現之實質型式並無單一型式，而是因地制宜採取符合適用環境之技術型式，且由嘉義市BRT之經驗而言，專用路權、優先號誌通行權及行控中心之通訊亦非認定BRT之功能與效益之絕對條件。</w:t>
      </w:r>
    </w:p>
    <w:p w:rsidR="00423ECF" w:rsidRPr="00F47B3D" w:rsidRDefault="00423ECF" w:rsidP="00075389">
      <w:pPr>
        <w:numPr>
          <w:ilvl w:val="0"/>
          <w:numId w:val="39"/>
        </w:numPr>
        <w:overflowPunct/>
        <w:autoSpaceDE/>
        <w:autoSpaceDN/>
        <w:spacing w:line="480" w:lineRule="exact"/>
        <w:ind w:left="1400" w:hanging="657"/>
        <w:rPr>
          <w:rFonts w:hAnsi="標楷體"/>
          <w:szCs w:val="32"/>
        </w:rPr>
      </w:pPr>
      <w:r w:rsidRPr="00F47B3D">
        <w:rPr>
          <w:rFonts w:hAnsi="標楷體" w:hint="eastAsia"/>
          <w:szCs w:val="32"/>
        </w:rPr>
        <w:t>據本院履勘時，臺中市政府提供之簡報資料指稱，未執行BRT系統改善，係因若要改良成純BRT系統，必須升級：1、車輛與行控中心間通訊及設備2、車站設備（月台門/收費閘門）3、重新設計為Ａ型路權（與地面交通完全隔離，例如高速公路、高速鐵</w:t>
      </w:r>
      <w:r w:rsidRPr="00F47B3D">
        <w:rPr>
          <w:rFonts w:hAnsi="標楷體" w:hint="eastAsia"/>
          <w:szCs w:val="32"/>
        </w:rPr>
        <w:lastRenderedPageBreak/>
        <w:t>路、地鐵）公車專用道4、增建乘客進出車站之天橋或地下道。故市府認為原BRT系統設備缺失，難以完善，許多需重新設計，改善成本太高，難以維持正常營運，改善風險亦高，車站還要再加裝天候防護設施，並防止BRT車輛擦撞站體，公車專用道績效低，設施要重新設計，且BRT車輛故障率高、功能不良要一併解決等，故需重新設計建造，所需經費龐大。由以上說明可知，市府所提之改善項目，雖有利於BRT系統之營運功能與效益，惟就現有BRT藍線優先段可就缺失進行改善，並評估後續BRT計畫，而非廢止整體BRT系統，且所提優化公車專用道之績效，亦僅就局部路段，而非就整體大臺中路網之結果。</w:t>
      </w:r>
    </w:p>
    <w:p w:rsidR="00DE370D" w:rsidRPr="00F47B3D" w:rsidRDefault="00423ECF" w:rsidP="00075389">
      <w:pPr>
        <w:numPr>
          <w:ilvl w:val="0"/>
          <w:numId w:val="39"/>
        </w:numPr>
        <w:overflowPunct/>
        <w:autoSpaceDE/>
        <w:autoSpaceDN/>
        <w:spacing w:line="480" w:lineRule="exact"/>
        <w:ind w:left="1400" w:hanging="657"/>
        <w:rPr>
          <w:rFonts w:hAnsi="標楷體"/>
          <w:szCs w:val="32"/>
        </w:rPr>
      </w:pPr>
      <w:r w:rsidRPr="00F47B3D">
        <w:rPr>
          <w:rFonts w:hAnsi="標楷體" w:hint="eastAsia"/>
          <w:szCs w:val="32"/>
        </w:rPr>
        <w:t>綜上，臺中BRT系統係市府近年來重大交通施政計畫之一，然該府</w:t>
      </w:r>
      <w:r w:rsidR="00C35035" w:rsidRPr="00F47B3D">
        <w:rPr>
          <w:rFonts w:hAnsi="標楷體" w:hint="eastAsia"/>
          <w:szCs w:val="32"/>
        </w:rPr>
        <w:t>於103年7月底</w:t>
      </w:r>
      <w:r w:rsidR="00442A7C" w:rsidRPr="00F47B3D">
        <w:rPr>
          <w:rFonts w:hAnsi="標楷體" w:hint="eastAsia"/>
          <w:szCs w:val="32"/>
        </w:rPr>
        <w:t>藍線優先段</w:t>
      </w:r>
      <w:r w:rsidR="00C35035" w:rsidRPr="00F47B3D">
        <w:rPr>
          <w:rFonts w:hAnsi="標楷體" w:hint="eastAsia"/>
          <w:szCs w:val="32"/>
        </w:rPr>
        <w:t>始試營運，104年1月成立體檢小組，同年3月</w:t>
      </w:r>
      <w:r w:rsidR="00F7067E" w:rsidRPr="00F47B3D">
        <w:rPr>
          <w:rFonts w:hAnsi="標楷體" w:hint="eastAsia"/>
          <w:szCs w:val="32"/>
        </w:rPr>
        <w:t>即</w:t>
      </w:r>
      <w:r w:rsidR="001C2AC8" w:rsidRPr="00F47B3D">
        <w:rPr>
          <w:rFonts w:hAnsi="標楷體" w:hint="eastAsia"/>
          <w:szCs w:val="32"/>
        </w:rPr>
        <w:t>針對設備缺失提出</w:t>
      </w:r>
      <w:r w:rsidR="005D3E8B" w:rsidRPr="00F47B3D">
        <w:rPr>
          <w:rFonts w:hAnsi="標楷體" w:hint="eastAsia"/>
          <w:szCs w:val="32"/>
        </w:rPr>
        <w:t>體檢</w:t>
      </w:r>
      <w:r w:rsidR="00B042FD" w:rsidRPr="00F47B3D">
        <w:rPr>
          <w:rFonts w:hAnsi="標楷體" w:hint="eastAsia"/>
          <w:szCs w:val="32"/>
        </w:rPr>
        <w:t>結果</w:t>
      </w:r>
      <w:r w:rsidR="00DE2F60" w:rsidRPr="00F47B3D">
        <w:rPr>
          <w:rFonts w:hAnsi="標楷體" w:hint="eastAsia"/>
          <w:szCs w:val="32"/>
        </w:rPr>
        <w:t>，</w:t>
      </w:r>
      <w:r w:rsidR="00A11BD0" w:rsidRPr="00F47B3D">
        <w:rPr>
          <w:rFonts w:hAnsi="標楷體" w:hint="eastAsia"/>
          <w:szCs w:val="32"/>
        </w:rPr>
        <w:t>惟當時尚未到達預估運量，</w:t>
      </w:r>
      <w:r w:rsidR="000C7521" w:rsidRPr="00F47B3D">
        <w:rPr>
          <w:rFonts w:hAnsi="標楷體" w:hint="eastAsia"/>
          <w:szCs w:val="32"/>
        </w:rPr>
        <w:t>倉促</w:t>
      </w:r>
      <w:r w:rsidR="00F13A7B" w:rsidRPr="00F47B3D">
        <w:rPr>
          <w:rFonts w:hAnsi="標楷體" w:hint="eastAsia"/>
          <w:szCs w:val="32"/>
        </w:rPr>
        <w:t>未</w:t>
      </w:r>
      <w:r w:rsidR="000C7521" w:rsidRPr="00F47B3D">
        <w:rPr>
          <w:rFonts w:hAnsi="標楷體" w:hint="eastAsia"/>
          <w:szCs w:val="32"/>
        </w:rPr>
        <w:t>能</w:t>
      </w:r>
      <w:r w:rsidR="00F13A7B" w:rsidRPr="00F47B3D">
        <w:rPr>
          <w:rFonts w:hAnsi="標楷體" w:hint="eastAsia"/>
          <w:szCs w:val="32"/>
        </w:rPr>
        <w:t>詳盡評估</w:t>
      </w:r>
      <w:r w:rsidR="00A11BD0" w:rsidRPr="00F47B3D">
        <w:rPr>
          <w:rFonts w:hAnsi="標楷體" w:hint="eastAsia"/>
          <w:szCs w:val="32"/>
        </w:rPr>
        <w:t>，卻</w:t>
      </w:r>
      <w:r w:rsidRPr="00F47B3D">
        <w:rPr>
          <w:rFonts w:hAnsi="標楷體" w:hint="eastAsia"/>
          <w:szCs w:val="32"/>
        </w:rPr>
        <w:t>因藍線優先段沒有獨立專用路權、缺乏絕對優先號誌通行權、行控中心無法與車輛及車站進行三方通話及系統管理</w:t>
      </w:r>
      <w:r w:rsidR="00B93CC8" w:rsidRPr="00F47B3D">
        <w:rPr>
          <w:rFonts w:hAnsi="標楷體" w:hint="eastAsia"/>
          <w:szCs w:val="32"/>
        </w:rPr>
        <w:t>等設備缺失</w:t>
      </w:r>
      <w:r w:rsidRPr="00F47B3D">
        <w:rPr>
          <w:rFonts w:hAnsi="標楷體" w:hint="eastAsia"/>
          <w:szCs w:val="32"/>
        </w:rPr>
        <w:t>，無法發揮真正BRT之功能與效益，即廢止BRT系統，惟BRT系統呈現之實質型式並無單一型式，而是因地制宜採取符合適用環境之技術型式，且由嘉義市BRT之經驗而言，專用路權、優先號誌通行權及行控中心之通訊，亦非認定BRT之功能與效益之絕對條件，然市府不加思索如何有效提升改善，僅稱所需經費龐大，竟將多年規劃之BRT系統全盤廢止，</w:t>
      </w:r>
      <w:r w:rsidR="00DE370D" w:rsidRPr="00F47B3D">
        <w:rPr>
          <w:rFonts w:hAnsi="標楷體" w:hint="eastAsia"/>
          <w:szCs w:val="32"/>
        </w:rPr>
        <w:t>所稱</w:t>
      </w:r>
      <w:r w:rsidR="00206CCC" w:rsidRPr="00F47B3D">
        <w:rPr>
          <w:rFonts w:hAnsi="標楷體" w:hint="eastAsia"/>
          <w:szCs w:val="32"/>
        </w:rPr>
        <w:t>優化公車專用道可</w:t>
      </w:r>
      <w:r w:rsidR="00DE370D" w:rsidRPr="00F47B3D">
        <w:rPr>
          <w:rFonts w:hAnsi="標楷體" w:hint="eastAsia"/>
          <w:szCs w:val="32"/>
        </w:rPr>
        <w:t>縮短旅行時間及增加旅運</w:t>
      </w:r>
      <w:r w:rsidR="00DE370D" w:rsidRPr="00F47B3D">
        <w:rPr>
          <w:rFonts w:hAnsi="標楷體" w:hint="eastAsia"/>
          <w:szCs w:val="32"/>
        </w:rPr>
        <w:lastRenderedPageBreak/>
        <w:t>人次，</w:t>
      </w:r>
      <w:r w:rsidR="003258D9" w:rsidRPr="004A3F99">
        <w:rPr>
          <w:rFonts w:hAnsi="標楷體" w:hint="eastAsia"/>
          <w:szCs w:val="32"/>
        </w:rPr>
        <w:t>不符政策方向</w:t>
      </w:r>
      <w:r w:rsidR="00CA4961" w:rsidRPr="004A3F99">
        <w:rPr>
          <w:rFonts w:hAnsi="標楷體" w:hint="eastAsia"/>
          <w:szCs w:val="32"/>
        </w:rPr>
        <w:t>，</w:t>
      </w:r>
      <w:r w:rsidR="00CA4961" w:rsidRPr="00F47B3D">
        <w:rPr>
          <w:rFonts w:hAnsi="標楷體" w:hint="eastAsia"/>
          <w:szCs w:val="32"/>
        </w:rPr>
        <w:t>實</w:t>
      </w:r>
      <w:r w:rsidR="00206CCC" w:rsidRPr="00F47B3D">
        <w:rPr>
          <w:rFonts w:hAnsi="標楷體" w:hint="eastAsia"/>
          <w:szCs w:val="32"/>
        </w:rPr>
        <w:t>有違健全整體中臺灣公共運輸系統及培養大臺中地區大眾運輸運量之目標，亦不符政府施政一致性、大眾運輸之長遠性及重大投資之經濟性等原則，有損市府形象，核有違失。</w:t>
      </w:r>
    </w:p>
    <w:p w:rsidR="00423ECF" w:rsidRPr="00F47B3D" w:rsidRDefault="00423ECF" w:rsidP="00075389">
      <w:pPr>
        <w:pStyle w:val="af8"/>
        <w:numPr>
          <w:ilvl w:val="0"/>
          <w:numId w:val="37"/>
        </w:numPr>
        <w:overflowPunct/>
        <w:autoSpaceDE/>
        <w:autoSpaceDN/>
        <w:spacing w:line="480" w:lineRule="exact"/>
        <w:ind w:leftChars="0" w:left="1036" w:hanging="840"/>
        <w:rPr>
          <w:rFonts w:hAnsi="標楷體"/>
          <w:b/>
          <w:szCs w:val="32"/>
        </w:rPr>
      </w:pPr>
      <w:r w:rsidRPr="00F47B3D">
        <w:rPr>
          <w:rFonts w:hAnsi="標楷體" w:hint="eastAsia"/>
          <w:b/>
          <w:szCs w:val="32"/>
        </w:rPr>
        <w:t>臺中市政府執行廢止BRT系統，卻未對原藍線優先段已採購之雙節公車、機電設施及維修機廠等設施妥適規劃後續使用及配套措施，致車輛長期閒置、機電設施停擺及機廠功能失效等缺失，且驗收作業屢生爭端</w:t>
      </w:r>
      <w:r w:rsidR="00A82D62" w:rsidRPr="00F47B3D">
        <w:rPr>
          <w:rFonts w:hAnsi="標楷體" w:hint="eastAsia"/>
          <w:b/>
          <w:szCs w:val="32"/>
        </w:rPr>
        <w:t>與延宕</w:t>
      </w:r>
      <w:r w:rsidRPr="00F47B3D">
        <w:rPr>
          <w:rFonts w:hAnsi="標楷體" w:hint="eastAsia"/>
          <w:b/>
          <w:szCs w:val="32"/>
        </w:rPr>
        <w:t>，致鉅額公帑財務支出效能不彰，顯有怠失。</w:t>
      </w:r>
    </w:p>
    <w:p w:rsidR="00423ECF" w:rsidRPr="00F47B3D" w:rsidRDefault="00423ECF" w:rsidP="00075389">
      <w:pPr>
        <w:numPr>
          <w:ilvl w:val="0"/>
          <w:numId w:val="40"/>
        </w:numPr>
        <w:overflowPunct/>
        <w:autoSpaceDE/>
        <w:autoSpaceDN/>
        <w:spacing w:line="480" w:lineRule="exact"/>
        <w:ind w:left="1386" w:hanging="657"/>
        <w:rPr>
          <w:rFonts w:hAnsi="標楷體"/>
          <w:szCs w:val="32"/>
        </w:rPr>
      </w:pPr>
      <w:r w:rsidRPr="00F47B3D">
        <w:rPr>
          <w:rFonts w:hAnsi="標楷體" w:hint="eastAsia"/>
          <w:szCs w:val="32"/>
        </w:rPr>
        <w:t>查臺中市政府於102及103年間進行BRT雙節公車、機電系統工程及土建水環工程相關採購事宜，共計採購BRT藍線雙節公車採購（計18輛）及後續擴充(計14輛)，契約價金分別為2億4,621萬餘元及2億253萬餘元，履約標的除雙節公車外，尚包含2年期間之維修服務，並將雙節公車出租予快巴公司使用；機電系統工程契約金額為5億802萬餘元，尚未完成驗收作業；土建水環工程契約金額為11億3,855萬7,731元，尚未完成驗收作業。故有關BRT藍線優先段總採購金額超過20億元，對此鉅額公帑支出，市府前於104年3月23日第200次市政會議正式宣布廢止BRT系統，BRT藍線優先段自104年7月8日起改為「優化公車專用道」，市府應予妥適研擬相關設施之後續使用及配套措施。</w:t>
      </w:r>
    </w:p>
    <w:p w:rsidR="00423ECF" w:rsidRPr="00F47B3D" w:rsidRDefault="00423ECF" w:rsidP="00075389">
      <w:pPr>
        <w:numPr>
          <w:ilvl w:val="0"/>
          <w:numId w:val="40"/>
        </w:numPr>
        <w:overflowPunct/>
        <w:autoSpaceDE/>
        <w:autoSpaceDN/>
        <w:spacing w:line="480" w:lineRule="exact"/>
        <w:ind w:left="1386" w:hanging="657"/>
        <w:rPr>
          <w:rFonts w:hAnsi="標楷體"/>
          <w:szCs w:val="32"/>
        </w:rPr>
      </w:pPr>
      <w:r w:rsidRPr="00F47B3D">
        <w:rPr>
          <w:rFonts w:hAnsi="標楷體" w:hint="eastAsia"/>
          <w:szCs w:val="32"/>
        </w:rPr>
        <w:t>臺中市政府於102及103年度分別辦理臺中BRT藍線雙節公車採購計32輛，契約價金計4億4,874萬餘元，並於103年7月27日開始營運使用。然自市府公告(104年3月23日)至實施優化公車專用</w:t>
      </w:r>
      <w:r w:rsidRPr="00F47B3D">
        <w:rPr>
          <w:rFonts w:hAnsi="標楷體" w:hint="eastAsia"/>
          <w:szCs w:val="32"/>
        </w:rPr>
        <w:lastRenderedPageBreak/>
        <w:t>道(104年7月8日)前，計有3個半月之準備期，其中交通部補助之18輛BRT雙節公車，未事先洽詢補助機關(交通部)變更行駛路線之可行性，即於104年6月30日函請快巴公司自104年7月8日起全部32輛雙節公車同時進場全面檢修，肇致該公司無車輛可供營運。又有關雙節公車後續利用及處理方式，該府交通局至104年8月28日及9月16日，始邀集該府法制局、財政局、公共運輸處等單位召開「臺中市政府交通局雙節公車會議」及「原有雙節公車財產利用管理等相關事項討論會議」研商討論，惟未獲具體結論，並於104年10月27日始函請交通部同意變更行駛路線，惟未獲得交通部同意，肇致交通部補助耗資2億4,621萬餘元購置之18輛BRT雙節公車，自政策變更後業已閒置至今，停放文心拖吊保管場。另查，後續擴充之14輛BRT雙節公車，自政策變更後至104年10月15日停止行駛，閒置約3個月餘，迄同年月16日起，改行駛海線616路「梧棲-大甲」及617路「梧棲-台鐵新烏日站」。經統計自104年10月16日至11月22日止之搭乘人數，616路平均每班次搭乘人數僅8人；617路平均每班次搭乘人數僅11人。市府雖稱，停駛檢修係因車輛安全問題，惟車輛採購合約尚包含2年期間之維修服務，且其先後2次檢修內容差異不大，又同時民營業者所使用之32輛雙節公車，卻仍正常行駛。由上開市府對雙節公車之處置方式，自104年3月23日公告至同年7月8日實施優化公車專用道前，計有3個半月之準備期，卻遲至同年8月28日及9月16日，始邀集相關單</w:t>
      </w:r>
      <w:r w:rsidRPr="00F47B3D">
        <w:rPr>
          <w:rFonts w:hAnsi="標楷體" w:hint="eastAsia"/>
          <w:szCs w:val="32"/>
        </w:rPr>
        <w:lastRenderedPageBreak/>
        <w:t>位研商討論，顯然於BRT停駛後，始開始研擬其後續處理方式，對於持有之財產未善盡管理及有效利用之責。</w:t>
      </w:r>
    </w:p>
    <w:p w:rsidR="00423ECF" w:rsidRPr="00F47B3D" w:rsidRDefault="00423ECF" w:rsidP="00075389">
      <w:pPr>
        <w:numPr>
          <w:ilvl w:val="0"/>
          <w:numId w:val="40"/>
        </w:numPr>
        <w:overflowPunct/>
        <w:autoSpaceDE/>
        <w:autoSpaceDN/>
        <w:spacing w:line="480" w:lineRule="exact"/>
        <w:ind w:left="1386" w:hanging="657"/>
        <w:rPr>
          <w:rFonts w:hAnsi="標楷體"/>
          <w:szCs w:val="32"/>
        </w:rPr>
      </w:pPr>
      <w:r w:rsidRPr="00F47B3D">
        <w:rPr>
          <w:rFonts w:hAnsi="標楷體" w:hint="eastAsia"/>
          <w:szCs w:val="32"/>
        </w:rPr>
        <w:t>臺中BRT藍線機電系統工程，依契約應給付廠商金額為5億802萬餘元，實際已給付金額為3億5,745萬餘元。經查直至104年8月6日始召開優化公車專用道站台及行控中心機電設備使用討論會議、同年9月23日召開優化公車專用道站台及興中行控中心電費分攤協調會，討論興中行控中心使用</w:t>
      </w:r>
      <w:r w:rsidR="00AD000B" w:rsidRPr="00F47B3D">
        <w:rPr>
          <w:rFonts w:hAnsi="標楷體" w:hint="eastAsia"/>
          <w:szCs w:val="32"/>
        </w:rPr>
        <w:t>之</w:t>
      </w:r>
      <w:r w:rsidRPr="00F47B3D">
        <w:rPr>
          <w:rFonts w:hAnsi="標楷體" w:hint="eastAsia"/>
          <w:szCs w:val="32"/>
        </w:rPr>
        <w:t>需求，惟均無具體結論。上開機電設備因配合「優化公車專用道」政策，多數設備均已停止使用，依該府交通局104年9月23日優化公車專用道站台及興中行控中心電費分攤協調會會議紀錄，其會議結果，僅動態資訊顯示看板配合公車系統使用，其餘自動收費系統、月台門系統、安全監視系統、對講機系統、電設系統、廣播系統、監控系統、傳輸系統(光纖)、優先號誌系統、車輛營運調度系統等相關財產，均無相關使用需求而無具體利用方式。由上開說明可知，BRT藍線機電系統設備因系統之專用性，實難以於他處運用。</w:t>
      </w:r>
    </w:p>
    <w:p w:rsidR="00423ECF" w:rsidRPr="00F47B3D" w:rsidRDefault="00423ECF" w:rsidP="00075389">
      <w:pPr>
        <w:numPr>
          <w:ilvl w:val="0"/>
          <w:numId w:val="40"/>
        </w:numPr>
        <w:overflowPunct/>
        <w:autoSpaceDE/>
        <w:autoSpaceDN/>
        <w:spacing w:line="480" w:lineRule="exact"/>
        <w:ind w:left="1386" w:hanging="657"/>
        <w:rPr>
          <w:rFonts w:hAnsi="標楷體"/>
          <w:szCs w:val="32"/>
        </w:rPr>
      </w:pPr>
      <w:r w:rsidRPr="00F47B3D">
        <w:rPr>
          <w:rFonts w:hAnsi="標楷體" w:hint="eastAsia"/>
          <w:szCs w:val="32"/>
        </w:rPr>
        <w:t>臺中BRT藍線CL02標土建水環工程於102年6月25日辦理公開招標，依契約應給付廠商金額為11億3,855萬7,731元，實際給付金額8億3,374萬8,711元。依契約第7條規定，履約期限為103年6月30日以前竣工，後依該府實際需求辦理變更設計等，工程完工日期展延至104年5月28日，經專案管理公司於104年8月12日審認該工程第1次變更契約至104年7月15日執行完竣而無其他</w:t>
      </w:r>
      <w:r w:rsidRPr="00F47B3D">
        <w:rPr>
          <w:rFonts w:hAnsi="標楷體" w:hint="eastAsia"/>
          <w:szCs w:val="32"/>
        </w:rPr>
        <w:lastRenderedPageBreak/>
        <w:t>應辦事項，惟仍有第2次變更設計尚在辦理中，致工程未能進入實質驗收階段，工程進度已有延宕。又因前揭第2次變更設計遲未完成，致梧棲機廠尚未能辦理驗收，而未點交快巴公司進駐使用，快巴公司借用臺中市停車管理處經管之文心拖吊場作為臨時調度及停放車輛場地，顯示梧棲機廠因工程延宕，遲未辦理驗收，不僅設置功能未能有效發揮，亦需借用文心拖吊場作為臨時調度及停放車輛場地。</w:t>
      </w:r>
    </w:p>
    <w:p w:rsidR="00423ECF" w:rsidRPr="00F47B3D" w:rsidRDefault="00423ECF" w:rsidP="00075389">
      <w:pPr>
        <w:numPr>
          <w:ilvl w:val="0"/>
          <w:numId w:val="40"/>
        </w:numPr>
        <w:overflowPunct/>
        <w:autoSpaceDE/>
        <w:autoSpaceDN/>
        <w:spacing w:line="480" w:lineRule="exact"/>
        <w:ind w:left="1386" w:hanging="657"/>
        <w:rPr>
          <w:rFonts w:hAnsi="標楷體"/>
          <w:szCs w:val="32"/>
        </w:rPr>
      </w:pPr>
      <w:r w:rsidRPr="00F47B3D">
        <w:rPr>
          <w:rFonts w:hAnsi="標楷體" w:hint="eastAsia"/>
          <w:szCs w:val="32"/>
        </w:rPr>
        <w:t>據本院詢問時，臺中市政府提供之說明資料表示，</w:t>
      </w:r>
      <w:r w:rsidRPr="00F47B3D">
        <w:rPr>
          <w:rFonts w:hAnsi="標楷體" w:hint="eastAsia"/>
          <w:szCs w:val="32"/>
          <w:lang w:val="en-GB"/>
        </w:rPr>
        <w:t>因104年3、4月間發生多次車輛於營運中拋錨及夾傷乘客等事件，基於維護乘客與交通安全原則，於104年7月8日起全部32部車同時進場全面檢修，嗣因原BRT系統於104年7月8日後轉型為優化公車，考量當時社會對雙節車輛品質安全存有高度疑慮之氛圍，且為確保市民安全之前題下，請營運單位再次確認車輛之安全性，在未確保安全情形下，不宜貿然上路。目前已完成18輛車委外經營招標作業</w:t>
      </w:r>
      <w:r w:rsidRPr="00F47B3D">
        <w:rPr>
          <w:rFonts w:hAnsi="標楷體" w:hint="eastAsia"/>
          <w:szCs w:val="32"/>
        </w:rPr>
        <w:t>；機電設施部分則將優先號誌系統及營運調度系統研議整合利用於ITS系統，增益該市智慧運輸系統。自動收費系統部分，收費閘門將研議提供展場或其他交通系統需收費時使用。補票機則研議於臺中捷運或公營停車場活化使用。月台門則研議提供展場或特殊活動作為管制人潮之用；梧棲機廠俟驗收完成後可規劃作為海線公車轉運站，並比照車輛標模式，將廠房及車輛維修設備(動產)以業務委託方式予民間業者使用，並收取權利金。</w:t>
      </w:r>
    </w:p>
    <w:p w:rsidR="00423ECF" w:rsidRPr="00F47B3D" w:rsidRDefault="00423ECF" w:rsidP="00075389">
      <w:pPr>
        <w:numPr>
          <w:ilvl w:val="0"/>
          <w:numId w:val="40"/>
        </w:numPr>
        <w:overflowPunct/>
        <w:autoSpaceDE/>
        <w:autoSpaceDN/>
        <w:spacing w:line="480" w:lineRule="exact"/>
        <w:ind w:left="1386" w:hanging="657"/>
        <w:rPr>
          <w:rFonts w:hAnsi="標楷體"/>
          <w:szCs w:val="32"/>
        </w:rPr>
      </w:pPr>
      <w:r w:rsidRPr="00F47B3D">
        <w:rPr>
          <w:rFonts w:hAnsi="標楷體" w:hint="eastAsia"/>
          <w:szCs w:val="32"/>
        </w:rPr>
        <w:t>綜上，臺中市政府於BRT藍線優先段總採購金額超</w:t>
      </w:r>
      <w:r w:rsidRPr="00F47B3D">
        <w:rPr>
          <w:rFonts w:hAnsi="標楷體" w:hint="eastAsia"/>
          <w:szCs w:val="32"/>
        </w:rPr>
        <w:lastRenderedPageBreak/>
        <w:t>過20億元，對此鉅額公帑支出，市府前於104年3月23日第200次市政會議正式宣布，臺中BRT藍線優先段自104年7月8日起改為「優化公車專用道」，應予妥適研擬相關設施之後續使用及配套措施，然對雙節公車之處置方式，自104年3月23日公告至同年7月8日實施優化公車專用道前，計有3個半月之準備期，該府卻遲至同年8月28日及9月16日，始邀集相關單位研商討論，顯然於BRT停駛後，始開始研擬其後續處理方式，其中並有18輛雙節公車閒置至今，又市府以安全為由車輛全面進場檢修，惟同時仍有32輛民營業者車輛，於臺灣大道行駛，卻無相同之安全問題，實令人質疑；BRT藍線機電系統設備，僅動態資訊顯示看板配合公車系統使用，其餘設備均無相關使用需求而無具體利用方式，顯見BRT藍線機電系統設備因系統之專用性，實難以於他處運用；梧棲機廠則因工程延宕，遲未辦理驗收，不僅設置功能未能有效發揮，亦需借用文心拖吊場作為臨時調度及停放車輛場地等缺失，故因車輛長期閒置、機電設施停擺及機廠功能失效，致鉅額公帑財務支出效能不彰，顯有怠失。</w:t>
      </w:r>
    </w:p>
    <w:p w:rsidR="00423ECF" w:rsidRPr="00F47B3D" w:rsidRDefault="00423ECF" w:rsidP="00075389">
      <w:pPr>
        <w:pStyle w:val="af8"/>
        <w:numPr>
          <w:ilvl w:val="0"/>
          <w:numId w:val="37"/>
        </w:numPr>
        <w:overflowPunct/>
        <w:autoSpaceDE/>
        <w:autoSpaceDN/>
        <w:spacing w:line="480" w:lineRule="exact"/>
        <w:ind w:leftChars="0" w:left="1036" w:hanging="840"/>
        <w:rPr>
          <w:rFonts w:hAnsi="標楷體"/>
          <w:b/>
          <w:szCs w:val="32"/>
        </w:rPr>
      </w:pPr>
      <w:r w:rsidRPr="00F47B3D">
        <w:rPr>
          <w:rFonts w:hAnsi="標楷體" w:hint="eastAsia"/>
          <w:b/>
          <w:szCs w:val="32"/>
        </w:rPr>
        <w:t>交通部補助臺中市政府建置BRT系統及購買藍線優先段雙節公車，然BRT系統營運不滿一年，即改弦易轍為「優化公車專用道」，已與原補助系統有間，又補助購買之雙節公車，亦遭閒置或功能不彰，皆有失補助機關之立場，允應檢討改善。</w:t>
      </w:r>
    </w:p>
    <w:p w:rsidR="00423ECF" w:rsidRPr="00F47B3D" w:rsidRDefault="00423ECF" w:rsidP="00075389">
      <w:pPr>
        <w:numPr>
          <w:ilvl w:val="0"/>
          <w:numId w:val="41"/>
        </w:numPr>
        <w:overflowPunct/>
        <w:autoSpaceDE/>
        <w:autoSpaceDN/>
        <w:spacing w:line="480" w:lineRule="exact"/>
        <w:ind w:left="1372" w:hanging="657"/>
        <w:rPr>
          <w:rFonts w:hAnsi="標楷體"/>
          <w:szCs w:val="32"/>
        </w:rPr>
      </w:pPr>
      <w:r w:rsidRPr="00F47B3D">
        <w:rPr>
          <w:rFonts w:hAnsi="標楷體" w:hint="eastAsia"/>
          <w:szCs w:val="32"/>
        </w:rPr>
        <w:t>交通部自99年起為執行公共運輸計畫，即推廣實施公車優先通行設施，希望建立地方政府公車優先行駛觀念，培養公共運輸使用人口，以紓緩軌道建</w:t>
      </w:r>
      <w:r w:rsidRPr="00F47B3D">
        <w:rPr>
          <w:rFonts w:hAnsi="標楷體" w:hint="eastAsia"/>
          <w:szCs w:val="32"/>
        </w:rPr>
        <w:lastRenderedPageBreak/>
        <w:t>設龐大之財政壓力，當公車使用人口達一定規模之都會地區，協助循序推動BRT系統。故臺中市政府於99年著手規劃建置BRT系統，交通部即以上述精神予以協助，並在公路公共運輸計畫之預算下，計補助該府1億8,202萬3,400元，補助項目含：中臺灣公車捷運系統規劃、專案管理、雙節公車、候車設施及鋪面工程等項目。由上開說明可知，交通部係以建置BRT系統立場補助臺中市政府進行規劃、管理及設施採購。</w:t>
      </w:r>
    </w:p>
    <w:p w:rsidR="00423ECF" w:rsidRPr="00F47B3D" w:rsidRDefault="00423ECF" w:rsidP="00075389">
      <w:pPr>
        <w:numPr>
          <w:ilvl w:val="0"/>
          <w:numId w:val="41"/>
        </w:numPr>
        <w:overflowPunct/>
        <w:autoSpaceDE/>
        <w:autoSpaceDN/>
        <w:spacing w:line="480" w:lineRule="exact"/>
        <w:ind w:left="1372" w:hanging="657"/>
        <w:rPr>
          <w:rFonts w:hAnsi="標楷體"/>
          <w:szCs w:val="32"/>
        </w:rPr>
      </w:pPr>
      <w:r w:rsidRPr="00F47B3D">
        <w:rPr>
          <w:rFonts w:hAnsi="標楷體" w:hint="eastAsia"/>
          <w:szCs w:val="32"/>
        </w:rPr>
        <w:t>查臺中市政府於104年6月30日以安全為由，函請快巴公司自同年7月8日起，將營運之雙節公車全數進場檢修，又該府於同年10月27日函請交通部公路總局（下稱公路總局）同意變更行駛路線，該局105年3月29日回復，請該府依該局105年2月5日函頒受補助車輛調度支援其他路線申請原則辦理，並申明受新闢路線之購車補助者應遵守定稿計畫書承諾之營運計畫班次提供營運服務，車輛不得有閒置之情形發生。嗣臺中市政府於105年7月6日函請公路總局，由該局補助採購之18輛雙節公車現由快巴公司領牌營運及管理，又BRT系統自104年7月8日改為優化公車專用道系統，階段性任務已完成，該公司現已進入清算解散程序，所經營之市區公車路線已全數經該府市區汽車客運審議委員會同意停止營運，規劃車輛後續將委託該市市區客運業者於臺灣大道上營運。然臺中市政府對雙節公車之處置方式，自104年3月23日公告至同年7月8日實施優化公車專用道前，計有3個半月之期間，媒體已大肆報導臺中市政府將廢止BRT系統，</w:t>
      </w:r>
      <w:r w:rsidRPr="00F47B3D">
        <w:rPr>
          <w:rFonts w:hAnsi="標楷體" w:hint="eastAsia"/>
          <w:szCs w:val="32"/>
        </w:rPr>
        <w:lastRenderedPageBreak/>
        <w:t>補助機關不得謂為不知，該府雖遲至同年10月27日函請公路總局同意變更行駛路線，公路總局則延宕至105年3月29日始回復臺中市政府，因「公路公共運輸提昇計畫」新闢路線購車補助，依公路公共運輸提昇計畫補助經費核撥處理原則第10條第1項第1款規定：「屬新闢路線者，自領牌日起五年內，限於行駛各該車輛核定補助之新闢路線……如有必要變更行駛路線者，應報經交通部同意」。前揭18輛雙節公車僅能於臺中BRT藍線優先路段行駛，故由交通部所補助之18輛雙節公車，自104年7月8日起閒置至今。</w:t>
      </w:r>
    </w:p>
    <w:p w:rsidR="00423ECF" w:rsidRPr="00F47B3D" w:rsidRDefault="00423ECF" w:rsidP="00075389">
      <w:pPr>
        <w:numPr>
          <w:ilvl w:val="0"/>
          <w:numId w:val="41"/>
        </w:numPr>
        <w:overflowPunct/>
        <w:autoSpaceDE/>
        <w:autoSpaceDN/>
        <w:spacing w:line="480" w:lineRule="exact"/>
        <w:ind w:left="1372" w:hanging="657"/>
        <w:rPr>
          <w:rFonts w:hAnsi="標楷體"/>
          <w:szCs w:val="32"/>
        </w:rPr>
      </w:pPr>
      <w:r w:rsidRPr="00F47B3D">
        <w:rPr>
          <w:rFonts w:hAnsi="標楷體" w:hint="eastAsia"/>
          <w:szCs w:val="32"/>
        </w:rPr>
        <w:t>據交通部函稱，臺中市政府現因政策方向修正為優化公車專用道，將更多路線公車納入公車專用道以提供民眾搭乘，在保有全程專用或部分專用路權之基本條件並採雙節公車營運持續提供民眾服務之前提下，對於地方政府因地制宜所為之調整，尚難謂違反原補助目的，因此交通部原則予以尊重。另地方政府執行公共運輸計畫有時基於地方需求或政策方向而有所調整，倘調整之措施仍符合民眾需求並有助於當地公共運輸之發展，交通部原則均會尊重地方政府調整考量。詢據交通部路政司胡技正</w:t>
      </w:r>
      <w:r w:rsidR="00AD000B" w:rsidRPr="00F47B3D">
        <w:rPr>
          <w:rFonts w:hAnsi="標楷體" w:hint="eastAsia"/>
          <w:szCs w:val="32"/>
        </w:rPr>
        <w:t>表示</w:t>
      </w:r>
      <w:r w:rsidRPr="00F47B3D">
        <w:rPr>
          <w:rFonts w:hAnsi="標楷體" w:hint="eastAsia"/>
          <w:szCs w:val="32"/>
        </w:rPr>
        <w:t>，市府申請時有提供可行性評估報告，審查方向係偏向行政審查，畢竟地方生態比較不了解，對於公共運輸是正向的，世界各國也都蔚為風潮，因此交通部予以支持。</w:t>
      </w:r>
    </w:p>
    <w:p w:rsidR="00423ECF" w:rsidRPr="00F47B3D" w:rsidRDefault="00423ECF" w:rsidP="00075389">
      <w:pPr>
        <w:numPr>
          <w:ilvl w:val="0"/>
          <w:numId w:val="41"/>
        </w:numPr>
        <w:overflowPunct/>
        <w:autoSpaceDE/>
        <w:autoSpaceDN/>
        <w:spacing w:line="480" w:lineRule="exact"/>
        <w:ind w:left="1372" w:hanging="657"/>
        <w:rPr>
          <w:rFonts w:hAnsi="標楷體"/>
          <w:szCs w:val="32"/>
        </w:rPr>
      </w:pPr>
      <w:r w:rsidRPr="00F47B3D">
        <w:rPr>
          <w:rFonts w:hAnsi="標楷體" w:hint="eastAsia"/>
          <w:szCs w:val="32"/>
        </w:rPr>
        <w:t>綜上，交通部係因臺中市政府於99年著手規劃建置BRT系統，故在公路公共運輸計畫之預算下，補助該府以建置BRT系統及購買藍線優先段18輛雙</w:t>
      </w:r>
      <w:r w:rsidRPr="00F47B3D">
        <w:rPr>
          <w:rFonts w:hAnsi="標楷體" w:hint="eastAsia"/>
          <w:szCs w:val="32"/>
        </w:rPr>
        <w:lastRenderedPageBreak/>
        <w:t>節公車，然臺中BRT藍線優先段自103年8月起正式營運，至104年7月8日止，市府即宣布廢止BRT系統，BRT藍線優先段營運時間不滿</w:t>
      </w:r>
      <w:r w:rsidR="00606B65">
        <w:rPr>
          <w:rFonts w:hAnsi="標楷體" w:hint="eastAsia"/>
          <w:szCs w:val="32"/>
        </w:rPr>
        <w:t>1</w:t>
      </w:r>
      <w:r w:rsidRPr="00F47B3D">
        <w:rPr>
          <w:rFonts w:hAnsi="標楷體" w:hint="eastAsia"/>
          <w:szCs w:val="32"/>
        </w:rPr>
        <w:t>年，即改弦易轍為「優化公車專用道」，已與交通部原補助系統有間，又補助購買之雙節公車，自104年7月8日起，因受「公路公共運輸提昇計畫」新闢路線購車補助之限制，故18輛雙節公車閒置至今，交通部雖稱，已函知市府不得閒置，惟亦束手無策，坐視財務效能不彰，皆有失補助機關之立場，允應檢討改善。</w:t>
      </w:r>
    </w:p>
    <w:p w:rsidR="00E25849" w:rsidRPr="00F47B3D" w:rsidRDefault="00E25849" w:rsidP="004E05A1">
      <w:pPr>
        <w:pStyle w:val="1"/>
        <w:ind w:left="2380" w:hanging="2380"/>
      </w:pPr>
      <w:r w:rsidRPr="00F47B3D">
        <w:br w:type="page"/>
      </w:r>
      <w:bookmarkStart w:id="12" w:name="_Toc529222689"/>
      <w:bookmarkStart w:id="13" w:name="_Toc529223111"/>
      <w:bookmarkStart w:id="14" w:name="_Toc529223862"/>
      <w:bookmarkStart w:id="15" w:name="_Toc529228265"/>
      <w:bookmarkStart w:id="16" w:name="_Toc2400395"/>
      <w:bookmarkStart w:id="17" w:name="_Toc4316189"/>
      <w:bookmarkStart w:id="18" w:name="_Toc4473330"/>
      <w:bookmarkStart w:id="19" w:name="_Toc69556897"/>
      <w:bookmarkStart w:id="20" w:name="_Toc69556946"/>
      <w:bookmarkStart w:id="21" w:name="_Toc69609820"/>
      <w:bookmarkStart w:id="22" w:name="_Toc70241816"/>
      <w:bookmarkStart w:id="23" w:name="_Toc70242205"/>
      <w:bookmarkStart w:id="24" w:name="_Toc421794875"/>
      <w:bookmarkStart w:id="25" w:name="_Toc422834160"/>
      <w:r w:rsidRPr="00F47B3D">
        <w:rPr>
          <w:rFonts w:hint="eastAsia"/>
        </w:rPr>
        <w:lastRenderedPageBreak/>
        <w:t>處理辦法：</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FB7770" w:rsidRPr="00F47B3D" w:rsidRDefault="00FB7770" w:rsidP="00B27A5C">
      <w:pPr>
        <w:pStyle w:val="2"/>
      </w:pPr>
      <w:bookmarkStart w:id="26" w:name="_Toc524895649"/>
      <w:bookmarkStart w:id="27" w:name="_Toc524896195"/>
      <w:bookmarkStart w:id="28" w:name="_Toc524896225"/>
      <w:bookmarkStart w:id="29" w:name="_Toc70241820"/>
      <w:bookmarkStart w:id="30" w:name="_Toc70242209"/>
      <w:bookmarkStart w:id="31" w:name="_Toc421794876"/>
      <w:bookmarkStart w:id="32" w:name="_Toc421795442"/>
      <w:bookmarkStart w:id="33" w:name="_Toc421796023"/>
      <w:bookmarkStart w:id="34" w:name="_Toc422728958"/>
      <w:bookmarkStart w:id="35" w:name="_Toc422834161"/>
      <w:bookmarkStart w:id="36" w:name="_Toc2400396"/>
      <w:bookmarkStart w:id="37" w:name="_Toc4316190"/>
      <w:bookmarkStart w:id="38" w:name="_Toc4473331"/>
      <w:bookmarkStart w:id="39" w:name="_Toc69556898"/>
      <w:bookmarkStart w:id="40" w:name="_Toc69556947"/>
      <w:bookmarkStart w:id="41" w:name="_Toc69609821"/>
      <w:bookmarkStart w:id="42" w:name="_Toc70241817"/>
      <w:bookmarkStart w:id="43" w:name="_Toc70242206"/>
      <w:bookmarkStart w:id="44" w:name="_Toc524902735"/>
      <w:bookmarkStart w:id="45" w:name="_Toc525066149"/>
      <w:bookmarkStart w:id="46" w:name="_Toc525070840"/>
      <w:bookmarkStart w:id="47" w:name="_Toc525938380"/>
      <w:bookmarkStart w:id="48" w:name="_Toc525939228"/>
      <w:bookmarkStart w:id="49" w:name="_Toc525939733"/>
      <w:bookmarkStart w:id="50" w:name="_Toc529218273"/>
      <w:bookmarkStart w:id="51" w:name="_Toc529222690"/>
      <w:bookmarkStart w:id="52" w:name="_Toc529223112"/>
      <w:bookmarkStart w:id="53" w:name="_Toc529223863"/>
      <w:bookmarkStart w:id="54" w:name="_Toc529228266"/>
      <w:bookmarkEnd w:id="26"/>
      <w:bookmarkEnd w:id="27"/>
      <w:bookmarkEnd w:id="28"/>
      <w:r w:rsidRPr="00F47B3D">
        <w:rPr>
          <w:rFonts w:hint="eastAsia"/>
        </w:rPr>
        <w:t>調查意見</w:t>
      </w:r>
      <w:r w:rsidR="00B27A5C" w:rsidRPr="00F47B3D">
        <w:rPr>
          <w:rFonts w:hint="eastAsia"/>
        </w:rPr>
        <w:t>一</w:t>
      </w:r>
      <w:r w:rsidRPr="00F47B3D">
        <w:rPr>
          <w:rFonts w:hint="eastAsia"/>
        </w:rPr>
        <w:t>至</w:t>
      </w:r>
      <w:r w:rsidR="00B27A5C" w:rsidRPr="00F47B3D">
        <w:rPr>
          <w:rFonts w:hint="eastAsia"/>
        </w:rPr>
        <w:t>三</w:t>
      </w:r>
      <w:r w:rsidRPr="00F47B3D">
        <w:rPr>
          <w:rFonts w:hint="eastAsia"/>
        </w:rPr>
        <w:t>，提案糾正</w:t>
      </w:r>
      <w:r w:rsidR="00B27A5C" w:rsidRPr="00F47B3D">
        <w:rPr>
          <w:rFonts w:hint="eastAsia"/>
        </w:rPr>
        <w:t>臺中市政府</w:t>
      </w:r>
      <w:r w:rsidRPr="00F47B3D">
        <w:rPr>
          <w:rFonts w:hAnsi="標楷體" w:hint="eastAsia"/>
        </w:rPr>
        <w:t>。</w:t>
      </w:r>
      <w:bookmarkEnd w:id="29"/>
      <w:bookmarkEnd w:id="30"/>
      <w:bookmarkEnd w:id="31"/>
      <w:bookmarkEnd w:id="32"/>
      <w:bookmarkEnd w:id="33"/>
      <w:bookmarkEnd w:id="34"/>
      <w:bookmarkEnd w:id="35"/>
    </w:p>
    <w:p w:rsidR="00E25849" w:rsidRPr="00F47B3D" w:rsidRDefault="00E25849">
      <w:pPr>
        <w:pStyle w:val="2"/>
      </w:pPr>
      <w:bookmarkStart w:id="55" w:name="_Toc421794877"/>
      <w:bookmarkStart w:id="56" w:name="_Toc421795443"/>
      <w:bookmarkStart w:id="57" w:name="_Toc421796024"/>
      <w:bookmarkStart w:id="58" w:name="_Toc422728959"/>
      <w:bookmarkStart w:id="59" w:name="_Toc422834162"/>
      <w:r w:rsidRPr="00F47B3D">
        <w:rPr>
          <w:rFonts w:hint="eastAsia"/>
        </w:rPr>
        <w:t>調查意見</w:t>
      </w:r>
      <w:r w:rsidR="00B27A5C" w:rsidRPr="00F47B3D">
        <w:rPr>
          <w:rFonts w:hint="eastAsia"/>
        </w:rPr>
        <w:t>四</w:t>
      </w:r>
      <w:r w:rsidRPr="00F47B3D">
        <w:rPr>
          <w:rFonts w:hint="eastAsia"/>
        </w:rPr>
        <w:t>，函請</w:t>
      </w:r>
      <w:r w:rsidR="00B27A5C" w:rsidRPr="00F47B3D">
        <w:rPr>
          <w:rFonts w:hint="eastAsia"/>
        </w:rPr>
        <w:t>交通部</w:t>
      </w:r>
      <w:r w:rsidRPr="00F47B3D">
        <w:rPr>
          <w:rFonts w:hint="eastAsia"/>
        </w:rPr>
        <w:t>確實檢討改進見復。</w:t>
      </w:r>
      <w:bookmarkEnd w:id="36"/>
      <w:bookmarkEnd w:id="37"/>
      <w:bookmarkEnd w:id="38"/>
      <w:bookmarkEnd w:id="39"/>
      <w:bookmarkEnd w:id="40"/>
      <w:bookmarkEnd w:id="41"/>
      <w:bookmarkEnd w:id="42"/>
      <w:bookmarkEnd w:id="43"/>
      <w:bookmarkEnd w:id="55"/>
      <w:bookmarkEnd w:id="56"/>
      <w:bookmarkEnd w:id="57"/>
      <w:bookmarkEnd w:id="58"/>
      <w:bookmarkEnd w:id="59"/>
    </w:p>
    <w:p w:rsidR="00FB7770" w:rsidRPr="00F47B3D" w:rsidRDefault="00FB7770" w:rsidP="00F804D3">
      <w:pPr>
        <w:pStyle w:val="2"/>
      </w:pPr>
      <w:bookmarkStart w:id="60" w:name="_Toc70241819"/>
      <w:bookmarkStart w:id="61" w:name="_Toc70242208"/>
      <w:bookmarkStart w:id="62" w:name="_Toc421794878"/>
      <w:bookmarkStart w:id="63" w:name="_Toc421795444"/>
      <w:bookmarkStart w:id="64" w:name="_Toc421796025"/>
      <w:bookmarkStart w:id="65" w:name="_Toc422728960"/>
      <w:bookmarkStart w:id="66" w:name="_Toc422834163"/>
      <w:bookmarkStart w:id="67" w:name="_Toc70241818"/>
      <w:bookmarkStart w:id="68" w:name="_Toc70242207"/>
      <w:bookmarkStart w:id="69" w:name="_Toc69556899"/>
      <w:bookmarkStart w:id="70" w:name="_Toc69556948"/>
      <w:bookmarkStart w:id="71" w:name="_Toc69609822"/>
      <w:r w:rsidRPr="00F47B3D">
        <w:rPr>
          <w:rFonts w:hint="eastAsia"/>
        </w:rPr>
        <w:t>調查意見</w:t>
      </w:r>
      <w:r w:rsidR="00B27A5C" w:rsidRPr="00F47B3D">
        <w:rPr>
          <w:rFonts w:hint="eastAsia"/>
        </w:rPr>
        <w:t>一</w:t>
      </w:r>
      <w:r w:rsidRPr="00F47B3D">
        <w:rPr>
          <w:rFonts w:hint="eastAsia"/>
        </w:rPr>
        <w:t>至</w:t>
      </w:r>
      <w:r w:rsidR="00B27A5C" w:rsidRPr="00F47B3D">
        <w:rPr>
          <w:rFonts w:hint="eastAsia"/>
        </w:rPr>
        <w:t>四</w:t>
      </w:r>
      <w:r w:rsidRPr="00F47B3D">
        <w:rPr>
          <w:rFonts w:hint="eastAsia"/>
        </w:rPr>
        <w:t>，函復陳訴人。</w:t>
      </w:r>
      <w:bookmarkEnd w:id="60"/>
      <w:bookmarkEnd w:id="61"/>
      <w:bookmarkEnd w:id="62"/>
      <w:bookmarkEnd w:id="63"/>
      <w:bookmarkEnd w:id="64"/>
      <w:bookmarkEnd w:id="65"/>
      <w:bookmarkEnd w:id="66"/>
    </w:p>
    <w:p w:rsidR="00E25849" w:rsidRPr="00F47B3D" w:rsidRDefault="00E25849">
      <w:pPr>
        <w:pStyle w:val="2"/>
      </w:pPr>
      <w:bookmarkStart w:id="72" w:name="_Toc2400397"/>
      <w:bookmarkStart w:id="73" w:name="_Toc4316191"/>
      <w:bookmarkStart w:id="74" w:name="_Toc4473332"/>
      <w:bookmarkStart w:id="75" w:name="_Toc69556901"/>
      <w:bookmarkStart w:id="76" w:name="_Toc69556950"/>
      <w:bookmarkStart w:id="77" w:name="_Toc69609824"/>
      <w:bookmarkStart w:id="78" w:name="_Toc70241822"/>
      <w:bookmarkStart w:id="79" w:name="_Toc70242211"/>
      <w:bookmarkStart w:id="80" w:name="_Toc421794881"/>
      <w:bookmarkStart w:id="81" w:name="_Toc421795447"/>
      <w:bookmarkStart w:id="82" w:name="_Toc421796028"/>
      <w:bookmarkStart w:id="83" w:name="_Toc422728963"/>
      <w:bookmarkStart w:id="84" w:name="_Toc422834166"/>
      <w:bookmarkEnd w:id="44"/>
      <w:bookmarkEnd w:id="45"/>
      <w:bookmarkEnd w:id="46"/>
      <w:bookmarkEnd w:id="47"/>
      <w:bookmarkEnd w:id="48"/>
      <w:bookmarkEnd w:id="49"/>
      <w:bookmarkEnd w:id="50"/>
      <w:bookmarkEnd w:id="51"/>
      <w:bookmarkEnd w:id="52"/>
      <w:bookmarkEnd w:id="53"/>
      <w:bookmarkEnd w:id="54"/>
      <w:bookmarkEnd w:id="67"/>
      <w:bookmarkEnd w:id="68"/>
      <w:bookmarkEnd w:id="69"/>
      <w:bookmarkEnd w:id="70"/>
      <w:bookmarkEnd w:id="71"/>
      <w:r w:rsidRPr="00F47B3D">
        <w:rPr>
          <w:rFonts w:hint="eastAsia"/>
        </w:rPr>
        <w:t>檢附派查函及相關附件，送請</w:t>
      </w:r>
      <w:r w:rsidR="00B27A5C" w:rsidRPr="00F47B3D">
        <w:rPr>
          <w:rFonts w:hint="eastAsia"/>
        </w:rPr>
        <w:t>交通</w:t>
      </w:r>
      <w:r w:rsidRPr="00F47B3D">
        <w:rPr>
          <w:rFonts w:hint="eastAsia"/>
        </w:rPr>
        <w:t>及</w:t>
      </w:r>
      <w:r w:rsidR="00B27A5C" w:rsidRPr="00F47B3D">
        <w:rPr>
          <w:rFonts w:hint="eastAsia"/>
        </w:rPr>
        <w:t>採購</w:t>
      </w:r>
      <w:r w:rsidRPr="00F47B3D">
        <w:rPr>
          <w:rFonts w:hint="eastAsia"/>
        </w:rPr>
        <w:t>委員會處理。</w:t>
      </w:r>
      <w:bookmarkEnd w:id="72"/>
      <w:bookmarkEnd w:id="73"/>
      <w:bookmarkEnd w:id="74"/>
      <w:bookmarkEnd w:id="75"/>
      <w:bookmarkEnd w:id="76"/>
      <w:bookmarkEnd w:id="77"/>
      <w:bookmarkEnd w:id="78"/>
      <w:bookmarkEnd w:id="79"/>
      <w:bookmarkEnd w:id="80"/>
      <w:bookmarkEnd w:id="81"/>
      <w:bookmarkEnd w:id="82"/>
      <w:bookmarkEnd w:id="83"/>
      <w:bookmarkEnd w:id="84"/>
    </w:p>
    <w:p w:rsidR="00E25849" w:rsidRDefault="00E25849" w:rsidP="00EB4664">
      <w:pPr>
        <w:pStyle w:val="aa"/>
        <w:spacing w:beforeLines="25" w:before="114" w:after="0"/>
        <w:ind w:leftChars="1100" w:left="3742"/>
        <w:rPr>
          <w:b w:val="0"/>
          <w:bCs/>
          <w:snapToGrid/>
          <w:spacing w:val="12"/>
          <w:kern w:val="0"/>
          <w:sz w:val="40"/>
          <w:lang w:eastAsia="zh-HK"/>
        </w:rPr>
      </w:pPr>
      <w:r w:rsidRPr="00F47B3D">
        <w:rPr>
          <w:rFonts w:hint="eastAsia"/>
          <w:b w:val="0"/>
          <w:bCs/>
          <w:snapToGrid/>
          <w:spacing w:val="12"/>
          <w:kern w:val="0"/>
          <w:sz w:val="40"/>
        </w:rPr>
        <w:t>調查委員：</w:t>
      </w:r>
      <w:r w:rsidR="00EB4664">
        <w:rPr>
          <w:rFonts w:hint="eastAsia"/>
          <w:b w:val="0"/>
          <w:bCs/>
          <w:snapToGrid/>
          <w:spacing w:val="12"/>
          <w:kern w:val="0"/>
          <w:sz w:val="40"/>
          <w:lang w:eastAsia="zh-HK"/>
        </w:rPr>
        <w:t>章仁香</w:t>
      </w:r>
    </w:p>
    <w:p w:rsidR="00EB4664" w:rsidRPr="00F47B3D" w:rsidRDefault="00EB4664" w:rsidP="00EB4664">
      <w:pPr>
        <w:pStyle w:val="aa"/>
        <w:spacing w:before="0" w:after="0"/>
        <w:ind w:leftChars="1750" w:left="5953"/>
        <w:rPr>
          <w:rFonts w:hint="eastAsia"/>
          <w:b w:val="0"/>
          <w:bCs/>
          <w:snapToGrid/>
          <w:spacing w:val="12"/>
          <w:kern w:val="0"/>
        </w:rPr>
      </w:pPr>
      <w:r>
        <w:rPr>
          <w:rFonts w:hint="eastAsia"/>
          <w:b w:val="0"/>
          <w:bCs/>
          <w:snapToGrid/>
          <w:spacing w:val="12"/>
          <w:kern w:val="0"/>
          <w:sz w:val="40"/>
          <w:lang w:eastAsia="zh-HK"/>
        </w:rPr>
        <w:t>尹祚芊</w:t>
      </w:r>
    </w:p>
    <w:sectPr w:rsidR="00EB4664" w:rsidRPr="00F47B3D" w:rsidSect="00EB4664">
      <w:footerReference w:type="default" r:id="rId8"/>
      <w:pgSz w:w="11907" w:h="16840" w:code="9"/>
      <w:pgMar w:top="1701" w:right="1418" w:bottom="1418" w:left="1418" w:header="851" w:footer="680"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F66" w:rsidRDefault="00794F66">
      <w:r>
        <w:separator/>
      </w:r>
    </w:p>
  </w:endnote>
  <w:endnote w:type="continuationSeparator" w:id="0">
    <w:p w:rsidR="00794F66" w:rsidRDefault="0079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13628"/>
      <w:docPartObj>
        <w:docPartGallery w:val="Page Numbers (Bottom of Page)"/>
        <w:docPartUnique/>
      </w:docPartObj>
    </w:sdtPr>
    <w:sdtEndPr>
      <w:rPr>
        <w:rFonts w:ascii="Times New Roman"/>
        <w:b/>
        <w:sz w:val="24"/>
        <w:szCs w:val="24"/>
      </w:rPr>
    </w:sdtEndPr>
    <w:sdtContent>
      <w:p w:rsidR="00AB5620" w:rsidRPr="00EB4664" w:rsidRDefault="00EB4664" w:rsidP="00EB4664">
        <w:pPr>
          <w:pStyle w:val="af3"/>
          <w:jc w:val="center"/>
          <w:rPr>
            <w:rFonts w:hint="eastAsia"/>
          </w:rPr>
        </w:pPr>
        <w:r w:rsidRPr="00EB4664">
          <w:rPr>
            <w:rFonts w:ascii="Times New Roman"/>
            <w:b/>
            <w:sz w:val="24"/>
            <w:szCs w:val="24"/>
          </w:rPr>
          <w:fldChar w:fldCharType="begin"/>
        </w:r>
        <w:r w:rsidRPr="00EB4664">
          <w:rPr>
            <w:rFonts w:ascii="Times New Roman"/>
            <w:b/>
            <w:sz w:val="24"/>
            <w:szCs w:val="24"/>
          </w:rPr>
          <w:instrText>PAGE   \* MERGEFORMAT</w:instrText>
        </w:r>
        <w:r w:rsidRPr="00EB4664">
          <w:rPr>
            <w:rFonts w:ascii="Times New Roman"/>
            <w:b/>
            <w:sz w:val="24"/>
            <w:szCs w:val="24"/>
          </w:rPr>
          <w:fldChar w:fldCharType="separate"/>
        </w:r>
        <w:r w:rsidR="00635D7F" w:rsidRPr="00635D7F">
          <w:rPr>
            <w:rFonts w:ascii="Times New Roman"/>
            <w:b/>
            <w:noProof/>
            <w:sz w:val="24"/>
            <w:szCs w:val="24"/>
            <w:lang w:val="zh-TW"/>
          </w:rPr>
          <w:t>18</w:t>
        </w:r>
        <w:r w:rsidRPr="00EB4664">
          <w:rPr>
            <w:rFonts w:ascii="Times New Roman"/>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F66" w:rsidRDefault="00794F66">
      <w:r>
        <w:separator/>
      </w:r>
    </w:p>
  </w:footnote>
  <w:footnote w:type="continuationSeparator" w:id="0">
    <w:p w:rsidR="00794F66" w:rsidRDefault="00794F66">
      <w:r>
        <w:continuationSeparator/>
      </w:r>
    </w:p>
  </w:footnote>
  <w:footnote w:id="1">
    <w:p w:rsidR="00D0063A" w:rsidRPr="00DE0C10" w:rsidRDefault="00D0063A" w:rsidP="00D0063A">
      <w:pPr>
        <w:pStyle w:val="afb"/>
        <w:rPr>
          <w:rFonts w:hAnsi="標楷體"/>
        </w:rPr>
      </w:pPr>
      <w:r w:rsidRPr="00DE0C10">
        <w:rPr>
          <w:rStyle w:val="afd"/>
          <w:rFonts w:hAnsi="標楷體"/>
        </w:rPr>
        <w:footnoteRef/>
      </w:r>
      <w:r w:rsidRPr="00DE0C10">
        <w:rPr>
          <w:rFonts w:hAnsi="標楷體"/>
        </w:rPr>
        <w:t xml:space="preserve"> </w:t>
      </w:r>
      <w:r w:rsidRPr="00DE0C10">
        <w:rPr>
          <w:rFonts w:hAnsi="標楷體" w:hint="eastAsia"/>
        </w:rPr>
        <w:t>同路廊高重疊公車係指與BRT行駛同路廊(即臺灣大道)且路線高度重疊之公車。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40129F"/>
    <w:multiLevelType w:val="hybridMultilevel"/>
    <w:tmpl w:val="32C4D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BB28E9"/>
    <w:multiLevelType w:val="hybridMultilevel"/>
    <w:tmpl w:val="77EAC49C"/>
    <w:lvl w:ilvl="0" w:tplc="6BE8126C">
      <w:start w:val="1"/>
      <w:numFmt w:val="taiwaneseCountingThousand"/>
      <w:lvlText w:val="(%1)"/>
      <w:lvlJc w:val="left"/>
      <w:pPr>
        <w:ind w:left="133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40E010C"/>
    <w:multiLevelType w:val="multilevel"/>
    <w:tmpl w:val="B4FCA200"/>
    <w:lvl w:ilvl="0">
      <w:start w:val="1"/>
      <w:numFmt w:val="ideographLegalTraditional"/>
      <w:pStyle w:val="1"/>
      <w:suff w:val="nothing"/>
      <w:lvlText w:val="%1、"/>
      <w:lvlJc w:val="left"/>
      <w:pPr>
        <w:ind w:left="3374"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66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GB"/>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GB"/>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0C4075"/>
    <w:multiLevelType w:val="hybridMultilevel"/>
    <w:tmpl w:val="32C4D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FC4C20"/>
    <w:multiLevelType w:val="hybridMultilevel"/>
    <w:tmpl w:val="6CE4F3A2"/>
    <w:lvl w:ilvl="0" w:tplc="1F22A7F0">
      <w:start w:val="1"/>
      <w:numFmt w:val="taiwaneseCountingThousand"/>
      <w:lvlText w:val="(%1)"/>
      <w:lvlJc w:val="left"/>
      <w:pPr>
        <w:ind w:left="133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D21365F"/>
    <w:multiLevelType w:val="hybridMultilevel"/>
    <w:tmpl w:val="9036FBAC"/>
    <w:lvl w:ilvl="0" w:tplc="1680AE88">
      <w:start w:val="1"/>
      <w:numFmt w:val="taiwaneseCountingThousand"/>
      <w:lvlText w:val="%1、"/>
      <w:lvlJc w:val="left"/>
      <w:pPr>
        <w:ind w:left="749" w:hanging="720"/>
      </w:pPr>
      <w:rPr>
        <w:rFonts w:hint="default"/>
      </w:rPr>
    </w:lvl>
    <w:lvl w:ilvl="1" w:tplc="A59CBB6A">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D36BB"/>
    <w:multiLevelType w:val="hybridMultilevel"/>
    <w:tmpl w:val="FC6ED5EE"/>
    <w:lvl w:ilvl="0" w:tplc="B2CAA75C">
      <w:start w:val="1"/>
      <w:numFmt w:val="decimal"/>
      <w:suff w:val="nothing"/>
      <w:lvlText w:val="(%1)"/>
      <w:lvlJc w:val="left"/>
      <w:pPr>
        <w:ind w:left="360" w:hanging="360"/>
      </w:pPr>
      <w:rPr>
        <w:rFonts w:hint="default"/>
        <w:b w:val="0"/>
        <w:color w:val="000000"/>
        <w:u w:val="no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268E4A18"/>
    <w:multiLevelType w:val="hybridMultilevel"/>
    <w:tmpl w:val="32C4D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40DBE"/>
    <w:multiLevelType w:val="hybridMultilevel"/>
    <w:tmpl w:val="32C4D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B74BC0"/>
    <w:multiLevelType w:val="hybridMultilevel"/>
    <w:tmpl w:val="60E0C9EA"/>
    <w:lvl w:ilvl="0" w:tplc="0409000F">
      <w:start w:val="1"/>
      <w:numFmt w:val="decimal"/>
      <w:lvlText w:val="%1."/>
      <w:lvlJc w:val="left"/>
      <w:pPr>
        <w:ind w:left="1229" w:hanging="480"/>
      </w:pPr>
    </w:lvl>
    <w:lvl w:ilvl="1" w:tplc="0409000F">
      <w:start w:val="1"/>
      <w:numFmt w:val="decimal"/>
      <w:lvlText w:val="%2."/>
      <w:lvlJc w:val="left"/>
      <w:pPr>
        <w:ind w:left="1709" w:hanging="480"/>
      </w:pPr>
    </w:lvl>
    <w:lvl w:ilvl="2" w:tplc="C79406B8">
      <w:start w:val="1"/>
      <w:numFmt w:val="decimal"/>
      <w:lvlText w:val="(%3)"/>
      <w:lvlJc w:val="left"/>
      <w:pPr>
        <w:ind w:left="2189" w:hanging="480"/>
      </w:pPr>
      <w:rPr>
        <w:rFonts w:hint="default"/>
      </w:rPr>
    </w:lvl>
    <w:lvl w:ilvl="3" w:tplc="0409000F" w:tentative="1">
      <w:start w:val="1"/>
      <w:numFmt w:val="decimal"/>
      <w:lvlText w:val="%4."/>
      <w:lvlJc w:val="left"/>
      <w:pPr>
        <w:ind w:left="2669" w:hanging="480"/>
      </w:pPr>
    </w:lvl>
    <w:lvl w:ilvl="4" w:tplc="04090019" w:tentative="1">
      <w:start w:val="1"/>
      <w:numFmt w:val="ideographTraditional"/>
      <w:lvlText w:val="%5、"/>
      <w:lvlJc w:val="left"/>
      <w:pPr>
        <w:ind w:left="3149" w:hanging="480"/>
      </w:pPr>
    </w:lvl>
    <w:lvl w:ilvl="5" w:tplc="0409001B" w:tentative="1">
      <w:start w:val="1"/>
      <w:numFmt w:val="lowerRoman"/>
      <w:lvlText w:val="%6."/>
      <w:lvlJc w:val="right"/>
      <w:pPr>
        <w:ind w:left="3629" w:hanging="480"/>
      </w:pPr>
    </w:lvl>
    <w:lvl w:ilvl="6" w:tplc="0409000F" w:tentative="1">
      <w:start w:val="1"/>
      <w:numFmt w:val="decimal"/>
      <w:lvlText w:val="%7."/>
      <w:lvlJc w:val="left"/>
      <w:pPr>
        <w:ind w:left="4109" w:hanging="480"/>
      </w:pPr>
    </w:lvl>
    <w:lvl w:ilvl="7" w:tplc="04090019" w:tentative="1">
      <w:start w:val="1"/>
      <w:numFmt w:val="ideographTraditional"/>
      <w:lvlText w:val="%8、"/>
      <w:lvlJc w:val="left"/>
      <w:pPr>
        <w:ind w:left="4589" w:hanging="480"/>
      </w:pPr>
    </w:lvl>
    <w:lvl w:ilvl="8" w:tplc="0409001B" w:tentative="1">
      <w:start w:val="1"/>
      <w:numFmt w:val="lowerRoman"/>
      <w:lvlText w:val="%9."/>
      <w:lvlJc w:val="right"/>
      <w:pPr>
        <w:ind w:left="5069" w:hanging="480"/>
      </w:pPr>
    </w:lvl>
  </w:abstractNum>
  <w:abstractNum w:abstractNumId="12" w15:restartNumberingAfterBreak="0">
    <w:nsid w:val="3BBA05D2"/>
    <w:multiLevelType w:val="hybridMultilevel"/>
    <w:tmpl w:val="DCF68B30"/>
    <w:lvl w:ilvl="0" w:tplc="9E88550A">
      <w:start w:val="1"/>
      <w:numFmt w:val="taiwaneseCountingThousand"/>
      <w:lvlText w:val="(%1)"/>
      <w:lvlJc w:val="left"/>
      <w:pPr>
        <w:ind w:left="1330" w:hanging="480"/>
      </w:p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start w:val="1"/>
      <w:numFmt w:val="ideographTraditional"/>
      <w:lvlText w:val="%5、"/>
      <w:lvlJc w:val="left"/>
      <w:pPr>
        <w:ind w:left="3250" w:hanging="480"/>
      </w:pPr>
    </w:lvl>
    <w:lvl w:ilvl="5" w:tplc="0409001B">
      <w:start w:val="1"/>
      <w:numFmt w:val="lowerRoman"/>
      <w:lvlText w:val="%6."/>
      <w:lvlJc w:val="right"/>
      <w:pPr>
        <w:ind w:left="3730" w:hanging="480"/>
      </w:pPr>
    </w:lvl>
    <w:lvl w:ilvl="6" w:tplc="0409000F">
      <w:start w:val="1"/>
      <w:numFmt w:val="decimal"/>
      <w:lvlText w:val="%7."/>
      <w:lvlJc w:val="left"/>
      <w:pPr>
        <w:ind w:left="4210" w:hanging="480"/>
      </w:pPr>
    </w:lvl>
    <w:lvl w:ilvl="7" w:tplc="04090019">
      <w:start w:val="1"/>
      <w:numFmt w:val="ideographTraditional"/>
      <w:lvlText w:val="%8、"/>
      <w:lvlJc w:val="left"/>
      <w:pPr>
        <w:ind w:left="4690" w:hanging="480"/>
      </w:pPr>
    </w:lvl>
    <w:lvl w:ilvl="8" w:tplc="0409001B">
      <w:start w:val="1"/>
      <w:numFmt w:val="lowerRoman"/>
      <w:lvlText w:val="%9."/>
      <w:lvlJc w:val="right"/>
      <w:pPr>
        <w:ind w:left="517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DB288F"/>
    <w:multiLevelType w:val="hybridMultilevel"/>
    <w:tmpl w:val="F0F8F260"/>
    <w:lvl w:ilvl="0" w:tplc="17A218E8">
      <w:start w:val="1"/>
      <w:numFmt w:val="decimal"/>
      <w:lvlText w:val="%1."/>
      <w:lvlJc w:val="left"/>
      <w:pPr>
        <w:ind w:left="1109" w:hanging="360"/>
      </w:pPr>
      <w:rPr>
        <w:rFonts w:hint="default"/>
      </w:rPr>
    </w:lvl>
    <w:lvl w:ilvl="1" w:tplc="04090019" w:tentative="1">
      <w:start w:val="1"/>
      <w:numFmt w:val="ideographTraditional"/>
      <w:lvlText w:val="%2、"/>
      <w:lvlJc w:val="left"/>
      <w:pPr>
        <w:ind w:left="1709" w:hanging="480"/>
      </w:pPr>
    </w:lvl>
    <w:lvl w:ilvl="2" w:tplc="0409001B" w:tentative="1">
      <w:start w:val="1"/>
      <w:numFmt w:val="lowerRoman"/>
      <w:lvlText w:val="%3."/>
      <w:lvlJc w:val="right"/>
      <w:pPr>
        <w:ind w:left="2189" w:hanging="480"/>
      </w:pPr>
    </w:lvl>
    <w:lvl w:ilvl="3" w:tplc="0409000F" w:tentative="1">
      <w:start w:val="1"/>
      <w:numFmt w:val="decimal"/>
      <w:lvlText w:val="%4."/>
      <w:lvlJc w:val="left"/>
      <w:pPr>
        <w:ind w:left="2669" w:hanging="480"/>
      </w:pPr>
    </w:lvl>
    <w:lvl w:ilvl="4" w:tplc="04090019" w:tentative="1">
      <w:start w:val="1"/>
      <w:numFmt w:val="ideographTraditional"/>
      <w:lvlText w:val="%5、"/>
      <w:lvlJc w:val="left"/>
      <w:pPr>
        <w:ind w:left="3149" w:hanging="480"/>
      </w:pPr>
    </w:lvl>
    <w:lvl w:ilvl="5" w:tplc="0409001B" w:tentative="1">
      <w:start w:val="1"/>
      <w:numFmt w:val="lowerRoman"/>
      <w:lvlText w:val="%6."/>
      <w:lvlJc w:val="right"/>
      <w:pPr>
        <w:ind w:left="3629" w:hanging="480"/>
      </w:pPr>
    </w:lvl>
    <w:lvl w:ilvl="6" w:tplc="0409000F" w:tentative="1">
      <w:start w:val="1"/>
      <w:numFmt w:val="decimal"/>
      <w:lvlText w:val="%7."/>
      <w:lvlJc w:val="left"/>
      <w:pPr>
        <w:ind w:left="4109" w:hanging="480"/>
      </w:pPr>
    </w:lvl>
    <w:lvl w:ilvl="7" w:tplc="04090019" w:tentative="1">
      <w:start w:val="1"/>
      <w:numFmt w:val="ideographTraditional"/>
      <w:lvlText w:val="%8、"/>
      <w:lvlJc w:val="left"/>
      <w:pPr>
        <w:ind w:left="4589" w:hanging="480"/>
      </w:pPr>
    </w:lvl>
    <w:lvl w:ilvl="8" w:tplc="0409001B" w:tentative="1">
      <w:start w:val="1"/>
      <w:numFmt w:val="lowerRoman"/>
      <w:lvlText w:val="%9."/>
      <w:lvlJc w:val="right"/>
      <w:pPr>
        <w:ind w:left="5069"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E4628A1"/>
    <w:multiLevelType w:val="hybridMultilevel"/>
    <w:tmpl w:val="8C62EC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C83E28"/>
    <w:multiLevelType w:val="hybridMultilevel"/>
    <w:tmpl w:val="98A2151A"/>
    <w:lvl w:ilvl="0" w:tplc="758AAF46">
      <w:start w:val="1"/>
      <w:numFmt w:val="taiwaneseCountingThousand"/>
      <w:lvlText w:val="(%1)"/>
      <w:lvlJc w:val="left"/>
      <w:pPr>
        <w:ind w:left="133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FD4B67"/>
    <w:multiLevelType w:val="hybridMultilevel"/>
    <w:tmpl w:val="BE90443C"/>
    <w:lvl w:ilvl="0" w:tplc="9D623320">
      <w:start w:val="1"/>
      <w:numFmt w:val="decimal"/>
      <w:suff w:val="nothing"/>
      <w:lvlText w:val="%1."/>
      <w:lvlJc w:val="left"/>
      <w:pPr>
        <w:ind w:left="906"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F440E7"/>
    <w:multiLevelType w:val="hybridMultilevel"/>
    <w:tmpl w:val="32C4D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D94085"/>
    <w:multiLevelType w:val="hybridMultilevel"/>
    <w:tmpl w:val="FD1242C2"/>
    <w:lvl w:ilvl="0" w:tplc="04090015">
      <w:start w:val="1"/>
      <w:numFmt w:val="taiwaneseCountingThousand"/>
      <w:lvlText w:val="%1、"/>
      <w:lvlJc w:val="left"/>
      <w:pPr>
        <w:ind w:left="374" w:hanging="360"/>
      </w:pPr>
    </w:lvl>
    <w:lvl w:ilvl="1" w:tplc="04090019">
      <w:start w:val="1"/>
      <w:numFmt w:val="ideographTraditional"/>
      <w:lvlText w:val="%2、"/>
      <w:lvlJc w:val="left"/>
      <w:pPr>
        <w:ind w:left="974" w:hanging="480"/>
      </w:pPr>
    </w:lvl>
    <w:lvl w:ilvl="2" w:tplc="0409001B">
      <w:start w:val="1"/>
      <w:numFmt w:val="lowerRoman"/>
      <w:lvlText w:val="%3."/>
      <w:lvlJc w:val="right"/>
      <w:pPr>
        <w:ind w:left="1454" w:hanging="480"/>
      </w:pPr>
    </w:lvl>
    <w:lvl w:ilvl="3" w:tplc="0409000F">
      <w:start w:val="1"/>
      <w:numFmt w:val="decimal"/>
      <w:lvlText w:val="%4."/>
      <w:lvlJc w:val="left"/>
      <w:pPr>
        <w:ind w:left="1934" w:hanging="480"/>
      </w:pPr>
    </w:lvl>
    <w:lvl w:ilvl="4" w:tplc="04090019">
      <w:start w:val="1"/>
      <w:numFmt w:val="ideographTraditional"/>
      <w:lvlText w:val="%5、"/>
      <w:lvlJc w:val="left"/>
      <w:pPr>
        <w:ind w:left="2414" w:hanging="480"/>
      </w:pPr>
    </w:lvl>
    <w:lvl w:ilvl="5" w:tplc="0409001B">
      <w:start w:val="1"/>
      <w:numFmt w:val="lowerRoman"/>
      <w:lvlText w:val="%6."/>
      <w:lvlJc w:val="right"/>
      <w:pPr>
        <w:ind w:left="2894" w:hanging="480"/>
      </w:pPr>
    </w:lvl>
    <w:lvl w:ilvl="6" w:tplc="0409000F">
      <w:start w:val="1"/>
      <w:numFmt w:val="decimal"/>
      <w:lvlText w:val="%7."/>
      <w:lvlJc w:val="left"/>
      <w:pPr>
        <w:ind w:left="3374" w:hanging="480"/>
      </w:pPr>
    </w:lvl>
    <w:lvl w:ilvl="7" w:tplc="04090019">
      <w:start w:val="1"/>
      <w:numFmt w:val="ideographTraditional"/>
      <w:lvlText w:val="%8、"/>
      <w:lvlJc w:val="left"/>
      <w:pPr>
        <w:ind w:left="3854" w:hanging="480"/>
      </w:pPr>
    </w:lvl>
    <w:lvl w:ilvl="8" w:tplc="0409001B">
      <w:start w:val="1"/>
      <w:numFmt w:val="lowerRoman"/>
      <w:lvlText w:val="%9."/>
      <w:lvlJc w:val="right"/>
      <w:pPr>
        <w:ind w:left="4334" w:hanging="480"/>
      </w:pPr>
    </w:lvl>
  </w:abstractNum>
  <w:num w:numId="1">
    <w:abstractNumId w:val="4"/>
  </w:num>
  <w:num w:numId="2">
    <w:abstractNumId w:val="0"/>
  </w:num>
  <w:num w:numId="3">
    <w:abstractNumId w:val="4"/>
    <w:lvlOverride w:ilvl="0">
      <w:startOverride w:val="1"/>
    </w:lvlOverride>
  </w:num>
  <w:num w:numId="4">
    <w:abstractNumId w:val="16"/>
  </w:num>
  <w:num w:numId="5">
    <w:abstractNumId w:val="13"/>
  </w:num>
  <w:num w:numId="6">
    <w:abstractNumId w:val="18"/>
  </w:num>
  <w:num w:numId="7">
    <w:abstractNumId w:val="3"/>
  </w:num>
  <w:num w:numId="8">
    <w:abstractNumId w:val="20"/>
  </w:num>
  <w:num w:numId="9">
    <w:abstractNumId w:val="14"/>
  </w:num>
  <w:num w:numId="10">
    <w:abstractNumId w:val="1"/>
  </w:num>
  <w:num w:numId="11">
    <w:abstractNumId w:val="9"/>
  </w:num>
  <w:num w:numId="12">
    <w:abstractNumId w:val="22"/>
  </w:num>
  <w:num w:numId="13">
    <w:abstractNumId w:val="5"/>
  </w:num>
  <w:num w:numId="14">
    <w:abstractNumId w:val="10"/>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8"/>
  </w:num>
  <w:num w:numId="23">
    <w:abstractNumId w:val="21"/>
  </w:num>
  <w:num w:numId="24">
    <w:abstractNumId w:val="3"/>
  </w:num>
  <w:num w:numId="25">
    <w:abstractNumId w:val="3"/>
  </w:num>
  <w:num w:numId="26">
    <w:abstractNumId w:val="3"/>
  </w:num>
  <w:num w:numId="27">
    <w:abstractNumId w:val="3"/>
  </w:num>
  <w:num w:numId="28">
    <w:abstractNumId w:val="17"/>
  </w:num>
  <w:num w:numId="29">
    <w:abstractNumId w:val="7"/>
  </w:num>
  <w:num w:numId="30">
    <w:abstractNumId w:val="15"/>
  </w:num>
  <w:num w:numId="31">
    <w:abstractNumId w:val="11"/>
  </w:num>
  <w:num w:numId="32">
    <w:abstractNumId w:val="3"/>
  </w:num>
  <w:num w:numId="33">
    <w:abstractNumId w:val="3"/>
  </w:num>
  <w:num w:numId="34">
    <w:abstractNumId w:val="3"/>
  </w:num>
  <w:num w:numId="35">
    <w:abstractNumId w:val="3"/>
  </w:num>
  <w:num w:numId="36">
    <w:abstractNumId w:val="3"/>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BE"/>
    <w:rsid w:val="00006961"/>
    <w:rsid w:val="00006B70"/>
    <w:rsid w:val="000112BF"/>
    <w:rsid w:val="00011FF2"/>
    <w:rsid w:val="00012233"/>
    <w:rsid w:val="00017318"/>
    <w:rsid w:val="000246F7"/>
    <w:rsid w:val="0003114D"/>
    <w:rsid w:val="0003256E"/>
    <w:rsid w:val="0003514C"/>
    <w:rsid w:val="00036D76"/>
    <w:rsid w:val="000422F7"/>
    <w:rsid w:val="000508FB"/>
    <w:rsid w:val="000523CE"/>
    <w:rsid w:val="00057F32"/>
    <w:rsid w:val="00062A25"/>
    <w:rsid w:val="000657BE"/>
    <w:rsid w:val="00073CB5"/>
    <w:rsid w:val="0007425C"/>
    <w:rsid w:val="00075389"/>
    <w:rsid w:val="00075E45"/>
    <w:rsid w:val="00076572"/>
    <w:rsid w:val="00077553"/>
    <w:rsid w:val="00077585"/>
    <w:rsid w:val="000823D8"/>
    <w:rsid w:val="000851A2"/>
    <w:rsid w:val="0009352E"/>
    <w:rsid w:val="00096B96"/>
    <w:rsid w:val="00097454"/>
    <w:rsid w:val="000A2F3F"/>
    <w:rsid w:val="000B0B4A"/>
    <w:rsid w:val="000B1E00"/>
    <w:rsid w:val="000B279A"/>
    <w:rsid w:val="000B61D2"/>
    <w:rsid w:val="000B70A7"/>
    <w:rsid w:val="000C45DE"/>
    <w:rsid w:val="000C495F"/>
    <w:rsid w:val="000C5520"/>
    <w:rsid w:val="000C7521"/>
    <w:rsid w:val="000D7CA9"/>
    <w:rsid w:val="000E0964"/>
    <w:rsid w:val="000E6431"/>
    <w:rsid w:val="000F21A5"/>
    <w:rsid w:val="000F545C"/>
    <w:rsid w:val="00102B9F"/>
    <w:rsid w:val="00106E9D"/>
    <w:rsid w:val="00112637"/>
    <w:rsid w:val="00112ABC"/>
    <w:rsid w:val="00114721"/>
    <w:rsid w:val="0012001E"/>
    <w:rsid w:val="00126A55"/>
    <w:rsid w:val="00133F08"/>
    <w:rsid w:val="001345E6"/>
    <w:rsid w:val="00135DFC"/>
    <w:rsid w:val="00136F8A"/>
    <w:rsid w:val="001378B0"/>
    <w:rsid w:val="00141133"/>
    <w:rsid w:val="00142E00"/>
    <w:rsid w:val="001439E0"/>
    <w:rsid w:val="0014627E"/>
    <w:rsid w:val="00146FE2"/>
    <w:rsid w:val="00152793"/>
    <w:rsid w:val="00152E85"/>
    <w:rsid w:val="00153B7E"/>
    <w:rsid w:val="001545A9"/>
    <w:rsid w:val="001637C7"/>
    <w:rsid w:val="0016480E"/>
    <w:rsid w:val="00174297"/>
    <w:rsid w:val="00175D64"/>
    <w:rsid w:val="00180E06"/>
    <w:rsid w:val="001817B3"/>
    <w:rsid w:val="00183014"/>
    <w:rsid w:val="00194D77"/>
    <w:rsid w:val="001959C2"/>
    <w:rsid w:val="001A51E3"/>
    <w:rsid w:val="001A7968"/>
    <w:rsid w:val="001B2E98"/>
    <w:rsid w:val="001B3483"/>
    <w:rsid w:val="001B3C1E"/>
    <w:rsid w:val="001B3F64"/>
    <w:rsid w:val="001B4494"/>
    <w:rsid w:val="001C0D8B"/>
    <w:rsid w:val="001C0DA8"/>
    <w:rsid w:val="001C196A"/>
    <w:rsid w:val="001C2AC8"/>
    <w:rsid w:val="001D2910"/>
    <w:rsid w:val="001D4AD7"/>
    <w:rsid w:val="001E0D88"/>
    <w:rsid w:val="001E0D8A"/>
    <w:rsid w:val="001E67BA"/>
    <w:rsid w:val="001E6BE5"/>
    <w:rsid w:val="001E74C2"/>
    <w:rsid w:val="001F3BED"/>
    <w:rsid w:val="001F5A48"/>
    <w:rsid w:val="001F6260"/>
    <w:rsid w:val="001F63D2"/>
    <w:rsid w:val="001F72D8"/>
    <w:rsid w:val="00200007"/>
    <w:rsid w:val="002030A5"/>
    <w:rsid w:val="00203131"/>
    <w:rsid w:val="00206CCC"/>
    <w:rsid w:val="00212E88"/>
    <w:rsid w:val="00213C9C"/>
    <w:rsid w:val="0022009E"/>
    <w:rsid w:val="00223241"/>
    <w:rsid w:val="0022425C"/>
    <w:rsid w:val="002246DE"/>
    <w:rsid w:val="002304A4"/>
    <w:rsid w:val="00235ECA"/>
    <w:rsid w:val="00242322"/>
    <w:rsid w:val="00246D33"/>
    <w:rsid w:val="00252BC4"/>
    <w:rsid w:val="00254014"/>
    <w:rsid w:val="002544E6"/>
    <w:rsid w:val="0026504D"/>
    <w:rsid w:val="00273A2F"/>
    <w:rsid w:val="00280986"/>
    <w:rsid w:val="00281ECE"/>
    <w:rsid w:val="002831C7"/>
    <w:rsid w:val="002840C6"/>
    <w:rsid w:val="00290A44"/>
    <w:rsid w:val="00292A2A"/>
    <w:rsid w:val="00295174"/>
    <w:rsid w:val="00296172"/>
    <w:rsid w:val="00296B92"/>
    <w:rsid w:val="002A2C22"/>
    <w:rsid w:val="002B02EB"/>
    <w:rsid w:val="002C0602"/>
    <w:rsid w:val="002C0C98"/>
    <w:rsid w:val="002C71E8"/>
    <w:rsid w:val="002D5C16"/>
    <w:rsid w:val="002E12DC"/>
    <w:rsid w:val="002F00A4"/>
    <w:rsid w:val="002F1B18"/>
    <w:rsid w:val="002F3DFF"/>
    <w:rsid w:val="002F4EDC"/>
    <w:rsid w:val="002F5E05"/>
    <w:rsid w:val="00311E00"/>
    <w:rsid w:val="00315A16"/>
    <w:rsid w:val="00317053"/>
    <w:rsid w:val="003201E1"/>
    <w:rsid w:val="0032109C"/>
    <w:rsid w:val="00322B45"/>
    <w:rsid w:val="00323809"/>
    <w:rsid w:val="00323D41"/>
    <w:rsid w:val="0032524F"/>
    <w:rsid w:val="00325414"/>
    <w:rsid w:val="003258D9"/>
    <w:rsid w:val="003302F1"/>
    <w:rsid w:val="00331914"/>
    <w:rsid w:val="00333C9C"/>
    <w:rsid w:val="00340B3D"/>
    <w:rsid w:val="0034160E"/>
    <w:rsid w:val="0034470E"/>
    <w:rsid w:val="0034746B"/>
    <w:rsid w:val="00347AB2"/>
    <w:rsid w:val="003507F7"/>
    <w:rsid w:val="003517AA"/>
    <w:rsid w:val="00351E15"/>
    <w:rsid w:val="00352DB0"/>
    <w:rsid w:val="00353C82"/>
    <w:rsid w:val="00361063"/>
    <w:rsid w:val="0037094A"/>
    <w:rsid w:val="00371ED3"/>
    <w:rsid w:val="00372FFC"/>
    <w:rsid w:val="0037728A"/>
    <w:rsid w:val="00380B7D"/>
    <w:rsid w:val="00381A99"/>
    <w:rsid w:val="003829C2"/>
    <w:rsid w:val="003830B2"/>
    <w:rsid w:val="00384724"/>
    <w:rsid w:val="00390F48"/>
    <w:rsid w:val="003919B7"/>
    <w:rsid w:val="00391D57"/>
    <w:rsid w:val="00392292"/>
    <w:rsid w:val="003966C4"/>
    <w:rsid w:val="003A53D1"/>
    <w:rsid w:val="003B03BD"/>
    <w:rsid w:val="003B1017"/>
    <w:rsid w:val="003B3C07"/>
    <w:rsid w:val="003B6775"/>
    <w:rsid w:val="003B7D75"/>
    <w:rsid w:val="003C3772"/>
    <w:rsid w:val="003C3F38"/>
    <w:rsid w:val="003C5FE2"/>
    <w:rsid w:val="003C62D7"/>
    <w:rsid w:val="003C75B0"/>
    <w:rsid w:val="003C7F28"/>
    <w:rsid w:val="003D05FB"/>
    <w:rsid w:val="003D1B16"/>
    <w:rsid w:val="003D45BF"/>
    <w:rsid w:val="003D508A"/>
    <w:rsid w:val="003D537F"/>
    <w:rsid w:val="003D7B75"/>
    <w:rsid w:val="003E0208"/>
    <w:rsid w:val="003E4B57"/>
    <w:rsid w:val="003E559C"/>
    <w:rsid w:val="003F27E1"/>
    <w:rsid w:val="003F437A"/>
    <w:rsid w:val="003F59E5"/>
    <w:rsid w:val="003F5C2B"/>
    <w:rsid w:val="0040140B"/>
    <w:rsid w:val="004023E9"/>
    <w:rsid w:val="0040454A"/>
    <w:rsid w:val="00405429"/>
    <w:rsid w:val="00413F83"/>
    <w:rsid w:val="0041490C"/>
    <w:rsid w:val="00416191"/>
    <w:rsid w:val="00416721"/>
    <w:rsid w:val="00421EF0"/>
    <w:rsid w:val="004224FA"/>
    <w:rsid w:val="0042250D"/>
    <w:rsid w:val="00423D07"/>
    <w:rsid w:val="00423ECF"/>
    <w:rsid w:val="0043182C"/>
    <w:rsid w:val="0043752E"/>
    <w:rsid w:val="00442A7C"/>
    <w:rsid w:val="0044346F"/>
    <w:rsid w:val="00457F0C"/>
    <w:rsid w:val="00460B65"/>
    <w:rsid w:val="0046352D"/>
    <w:rsid w:val="0046520A"/>
    <w:rsid w:val="004672AB"/>
    <w:rsid w:val="004714FE"/>
    <w:rsid w:val="00473930"/>
    <w:rsid w:val="00477BAA"/>
    <w:rsid w:val="004811CA"/>
    <w:rsid w:val="0048746B"/>
    <w:rsid w:val="00491FB4"/>
    <w:rsid w:val="00495053"/>
    <w:rsid w:val="004A1F59"/>
    <w:rsid w:val="004A29BE"/>
    <w:rsid w:val="004A3225"/>
    <w:rsid w:val="004A33EE"/>
    <w:rsid w:val="004A3AA8"/>
    <w:rsid w:val="004A3F99"/>
    <w:rsid w:val="004A59A2"/>
    <w:rsid w:val="004B13C7"/>
    <w:rsid w:val="004B63B1"/>
    <w:rsid w:val="004B778F"/>
    <w:rsid w:val="004D141F"/>
    <w:rsid w:val="004D18A7"/>
    <w:rsid w:val="004D2742"/>
    <w:rsid w:val="004D6310"/>
    <w:rsid w:val="004D769D"/>
    <w:rsid w:val="004E0062"/>
    <w:rsid w:val="004E05A1"/>
    <w:rsid w:val="004E1266"/>
    <w:rsid w:val="004E7D58"/>
    <w:rsid w:val="004F5E57"/>
    <w:rsid w:val="004F6710"/>
    <w:rsid w:val="00500C3E"/>
    <w:rsid w:val="00502849"/>
    <w:rsid w:val="00504334"/>
    <w:rsid w:val="0050498D"/>
    <w:rsid w:val="00504DB6"/>
    <w:rsid w:val="005104D7"/>
    <w:rsid w:val="00510B53"/>
    <w:rsid w:val="00510B9E"/>
    <w:rsid w:val="0051172C"/>
    <w:rsid w:val="0052039F"/>
    <w:rsid w:val="00536BC2"/>
    <w:rsid w:val="005425E1"/>
    <w:rsid w:val="005427C5"/>
    <w:rsid w:val="00542CF6"/>
    <w:rsid w:val="005440F2"/>
    <w:rsid w:val="00547381"/>
    <w:rsid w:val="00553C03"/>
    <w:rsid w:val="005576B3"/>
    <w:rsid w:val="00557C78"/>
    <w:rsid w:val="0056272A"/>
    <w:rsid w:val="00563692"/>
    <w:rsid w:val="00571679"/>
    <w:rsid w:val="005844E7"/>
    <w:rsid w:val="005908B8"/>
    <w:rsid w:val="0059512E"/>
    <w:rsid w:val="005A6DD2"/>
    <w:rsid w:val="005A7FBB"/>
    <w:rsid w:val="005C385D"/>
    <w:rsid w:val="005D0831"/>
    <w:rsid w:val="005D3B20"/>
    <w:rsid w:val="005D3E8B"/>
    <w:rsid w:val="005E4759"/>
    <w:rsid w:val="005E4BBF"/>
    <w:rsid w:val="005E4EF8"/>
    <w:rsid w:val="005E5C68"/>
    <w:rsid w:val="005E65C0"/>
    <w:rsid w:val="005F0390"/>
    <w:rsid w:val="005F2A55"/>
    <w:rsid w:val="005F7D33"/>
    <w:rsid w:val="00606B65"/>
    <w:rsid w:val="006072CD"/>
    <w:rsid w:val="006101E0"/>
    <w:rsid w:val="00612023"/>
    <w:rsid w:val="00614190"/>
    <w:rsid w:val="00622A99"/>
    <w:rsid w:val="00622E67"/>
    <w:rsid w:val="00624C28"/>
    <w:rsid w:val="006262C7"/>
    <w:rsid w:val="00626EDC"/>
    <w:rsid w:val="006310C1"/>
    <w:rsid w:val="00635D7F"/>
    <w:rsid w:val="00640868"/>
    <w:rsid w:val="006470EC"/>
    <w:rsid w:val="00651B8D"/>
    <w:rsid w:val="006535EE"/>
    <w:rsid w:val="006542D6"/>
    <w:rsid w:val="00654480"/>
    <w:rsid w:val="0065598E"/>
    <w:rsid w:val="00655AF2"/>
    <w:rsid w:val="00655BC5"/>
    <w:rsid w:val="006568BE"/>
    <w:rsid w:val="0066025D"/>
    <w:rsid w:val="0066091A"/>
    <w:rsid w:val="00661DEE"/>
    <w:rsid w:val="006627E9"/>
    <w:rsid w:val="00663F30"/>
    <w:rsid w:val="00665C08"/>
    <w:rsid w:val="006773EC"/>
    <w:rsid w:val="0067767E"/>
    <w:rsid w:val="00680504"/>
    <w:rsid w:val="00681CD9"/>
    <w:rsid w:val="00683047"/>
    <w:rsid w:val="00683E30"/>
    <w:rsid w:val="0068419E"/>
    <w:rsid w:val="00687024"/>
    <w:rsid w:val="00695E22"/>
    <w:rsid w:val="006A2011"/>
    <w:rsid w:val="006B6AD2"/>
    <w:rsid w:val="006B7093"/>
    <w:rsid w:val="006B7417"/>
    <w:rsid w:val="006C0B9B"/>
    <w:rsid w:val="006C6EF5"/>
    <w:rsid w:val="006D35BD"/>
    <w:rsid w:val="006D3691"/>
    <w:rsid w:val="006D7312"/>
    <w:rsid w:val="006E5EF0"/>
    <w:rsid w:val="006E6ADB"/>
    <w:rsid w:val="006F3563"/>
    <w:rsid w:val="006F42B9"/>
    <w:rsid w:val="006F4388"/>
    <w:rsid w:val="006F5D13"/>
    <w:rsid w:val="006F6103"/>
    <w:rsid w:val="00704E00"/>
    <w:rsid w:val="00710B27"/>
    <w:rsid w:val="007119C1"/>
    <w:rsid w:val="00713DAD"/>
    <w:rsid w:val="007209E7"/>
    <w:rsid w:val="00726182"/>
    <w:rsid w:val="00727635"/>
    <w:rsid w:val="00732329"/>
    <w:rsid w:val="007337CA"/>
    <w:rsid w:val="00734CE4"/>
    <w:rsid w:val="00735123"/>
    <w:rsid w:val="00735DE7"/>
    <w:rsid w:val="00736BEE"/>
    <w:rsid w:val="00741837"/>
    <w:rsid w:val="00744390"/>
    <w:rsid w:val="007453E6"/>
    <w:rsid w:val="007546CA"/>
    <w:rsid w:val="00756115"/>
    <w:rsid w:val="00762116"/>
    <w:rsid w:val="00771E48"/>
    <w:rsid w:val="0077309D"/>
    <w:rsid w:val="007774EE"/>
    <w:rsid w:val="00781822"/>
    <w:rsid w:val="00783F21"/>
    <w:rsid w:val="00785593"/>
    <w:rsid w:val="00787159"/>
    <w:rsid w:val="00787346"/>
    <w:rsid w:val="0079043A"/>
    <w:rsid w:val="00791668"/>
    <w:rsid w:val="00791AA1"/>
    <w:rsid w:val="00793236"/>
    <w:rsid w:val="00794F66"/>
    <w:rsid w:val="007A3793"/>
    <w:rsid w:val="007B5446"/>
    <w:rsid w:val="007C1BA2"/>
    <w:rsid w:val="007C2B48"/>
    <w:rsid w:val="007D20E9"/>
    <w:rsid w:val="007D2AC5"/>
    <w:rsid w:val="007D7881"/>
    <w:rsid w:val="007D7E3A"/>
    <w:rsid w:val="007E0E10"/>
    <w:rsid w:val="007E4768"/>
    <w:rsid w:val="007E777B"/>
    <w:rsid w:val="007F2070"/>
    <w:rsid w:val="007F30FA"/>
    <w:rsid w:val="007F3C97"/>
    <w:rsid w:val="007F73CF"/>
    <w:rsid w:val="008053F5"/>
    <w:rsid w:val="00807AF7"/>
    <w:rsid w:val="00810198"/>
    <w:rsid w:val="00815DA8"/>
    <w:rsid w:val="0082194D"/>
    <w:rsid w:val="00826EF5"/>
    <w:rsid w:val="00830A78"/>
    <w:rsid w:val="00831693"/>
    <w:rsid w:val="00840104"/>
    <w:rsid w:val="00840C1F"/>
    <w:rsid w:val="00841FC5"/>
    <w:rsid w:val="00842395"/>
    <w:rsid w:val="00842BA7"/>
    <w:rsid w:val="00843BB3"/>
    <w:rsid w:val="00845709"/>
    <w:rsid w:val="008576BD"/>
    <w:rsid w:val="0086016F"/>
    <w:rsid w:val="00860463"/>
    <w:rsid w:val="00864154"/>
    <w:rsid w:val="0087175F"/>
    <w:rsid w:val="008733DA"/>
    <w:rsid w:val="008839C9"/>
    <w:rsid w:val="008850E4"/>
    <w:rsid w:val="008939AB"/>
    <w:rsid w:val="008A12F5"/>
    <w:rsid w:val="008B1587"/>
    <w:rsid w:val="008B1B01"/>
    <w:rsid w:val="008B3BCD"/>
    <w:rsid w:val="008B40F4"/>
    <w:rsid w:val="008B6DF8"/>
    <w:rsid w:val="008B6EBB"/>
    <w:rsid w:val="008B7DC4"/>
    <w:rsid w:val="008C106C"/>
    <w:rsid w:val="008C10F1"/>
    <w:rsid w:val="008C1926"/>
    <w:rsid w:val="008C1E99"/>
    <w:rsid w:val="008C262E"/>
    <w:rsid w:val="008C4E86"/>
    <w:rsid w:val="008D4700"/>
    <w:rsid w:val="008E0085"/>
    <w:rsid w:val="008E01F4"/>
    <w:rsid w:val="008E2AA6"/>
    <w:rsid w:val="008E311B"/>
    <w:rsid w:val="008E7749"/>
    <w:rsid w:val="008F46E7"/>
    <w:rsid w:val="008F6F0B"/>
    <w:rsid w:val="0090264C"/>
    <w:rsid w:val="00907BA7"/>
    <w:rsid w:val="0091064E"/>
    <w:rsid w:val="00911FC5"/>
    <w:rsid w:val="00931A10"/>
    <w:rsid w:val="009445B2"/>
    <w:rsid w:val="00945DCB"/>
    <w:rsid w:val="0094650E"/>
    <w:rsid w:val="00947967"/>
    <w:rsid w:val="009537CA"/>
    <w:rsid w:val="00955201"/>
    <w:rsid w:val="00964BB3"/>
    <w:rsid w:val="00965200"/>
    <w:rsid w:val="009668B3"/>
    <w:rsid w:val="00971471"/>
    <w:rsid w:val="00976D20"/>
    <w:rsid w:val="009849C2"/>
    <w:rsid w:val="00984D24"/>
    <w:rsid w:val="009858EB"/>
    <w:rsid w:val="009920C8"/>
    <w:rsid w:val="009B0046"/>
    <w:rsid w:val="009B1066"/>
    <w:rsid w:val="009B2A83"/>
    <w:rsid w:val="009B7F5C"/>
    <w:rsid w:val="009C0578"/>
    <w:rsid w:val="009C1440"/>
    <w:rsid w:val="009C2107"/>
    <w:rsid w:val="009C5D9E"/>
    <w:rsid w:val="009C647C"/>
    <w:rsid w:val="009C6586"/>
    <w:rsid w:val="009D2C3E"/>
    <w:rsid w:val="009E0625"/>
    <w:rsid w:val="009E3034"/>
    <w:rsid w:val="009E35C2"/>
    <w:rsid w:val="009E549F"/>
    <w:rsid w:val="009F28A8"/>
    <w:rsid w:val="009F473E"/>
    <w:rsid w:val="009F682A"/>
    <w:rsid w:val="00A022BE"/>
    <w:rsid w:val="00A0575A"/>
    <w:rsid w:val="00A11BD0"/>
    <w:rsid w:val="00A20693"/>
    <w:rsid w:val="00A24C95"/>
    <w:rsid w:val="00A2599A"/>
    <w:rsid w:val="00A26094"/>
    <w:rsid w:val="00A301BF"/>
    <w:rsid w:val="00A302B2"/>
    <w:rsid w:val="00A30B85"/>
    <w:rsid w:val="00A331B4"/>
    <w:rsid w:val="00A3484E"/>
    <w:rsid w:val="00A356D3"/>
    <w:rsid w:val="00A36ADA"/>
    <w:rsid w:val="00A420A6"/>
    <w:rsid w:val="00A437D9"/>
    <w:rsid w:val="00A438D8"/>
    <w:rsid w:val="00A43A49"/>
    <w:rsid w:val="00A46B5F"/>
    <w:rsid w:val="00A473F5"/>
    <w:rsid w:val="00A505BA"/>
    <w:rsid w:val="00A51F9D"/>
    <w:rsid w:val="00A54039"/>
    <w:rsid w:val="00A5416A"/>
    <w:rsid w:val="00A639F4"/>
    <w:rsid w:val="00A74290"/>
    <w:rsid w:val="00A77791"/>
    <w:rsid w:val="00A81A32"/>
    <w:rsid w:val="00A82D62"/>
    <w:rsid w:val="00A83133"/>
    <w:rsid w:val="00A835BD"/>
    <w:rsid w:val="00A872BB"/>
    <w:rsid w:val="00A901F8"/>
    <w:rsid w:val="00A93795"/>
    <w:rsid w:val="00A9513F"/>
    <w:rsid w:val="00A97B15"/>
    <w:rsid w:val="00AA42D5"/>
    <w:rsid w:val="00AA61D5"/>
    <w:rsid w:val="00AB2D1A"/>
    <w:rsid w:val="00AB2FAB"/>
    <w:rsid w:val="00AB5620"/>
    <w:rsid w:val="00AB5C14"/>
    <w:rsid w:val="00AC1EE7"/>
    <w:rsid w:val="00AC333F"/>
    <w:rsid w:val="00AC585C"/>
    <w:rsid w:val="00AD000B"/>
    <w:rsid w:val="00AD1925"/>
    <w:rsid w:val="00AE067D"/>
    <w:rsid w:val="00AE66A4"/>
    <w:rsid w:val="00AF02FF"/>
    <w:rsid w:val="00AF1181"/>
    <w:rsid w:val="00AF1E2F"/>
    <w:rsid w:val="00AF2F79"/>
    <w:rsid w:val="00AF4653"/>
    <w:rsid w:val="00AF7DB7"/>
    <w:rsid w:val="00B042FD"/>
    <w:rsid w:val="00B14FA7"/>
    <w:rsid w:val="00B17F71"/>
    <w:rsid w:val="00B201E2"/>
    <w:rsid w:val="00B27A5C"/>
    <w:rsid w:val="00B33D31"/>
    <w:rsid w:val="00B443E4"/>
    <w:rsid w:val="00B563EA"/>
    <w:rsid w:val="00B56C0F"/>
    <w:rsid w:val="00B60D68"/>
    <w:rsid w:val="00B60E51"/>
    <w:rsid w:val="00B6178E"/>
    <w:rsid w:val="00B63A54"/>
    <w:rsid w:val="00B650D9"/>
    <w:rsid w:val="00B76989"/>
    <w:rsid w:val="00B77D18"/>
    <w:rsid w:val="00B8313A"/>
    <w:rsid w:val="00B93503"/>
    <w:rsid w:val="00B93CC8"/>
    <w:rsid w:val="00B97667"/>
    <w:rsid w:val="00BA1DCF"/>
    <w:rsid w:val="00BA31E8"/>
    <w:rsid w:val="00BA55E0"/>
    <w:rsid w:val="00BA6BD4"/>
    <w:rsid w:val="00BA6C7A"/>
    <w:rsid w:val="00BA7337"/>
    <w:rsid w:val="00BB3752"/>
    <w:rsid w:val="00BB6688"/>
    <w:rsid w:val="00BC26D4"/>
    <w:rsid w:val="00BC27D4"/>
    <w:rsid w:val="00BC58C6"/>
    <w:rsid w:val="00BD1F72"/>
    <w:rsid w:val="00BD21D8"/>
    <w:rsid w:val="00BE0C80"/>
    <w:rsid w:val="00BE2A47"/>
    <w:rsid w:val="00BF2A42"/>
    <w:rsid w:val="00C0193E"/>
    <w:rsid w:val="00C03D8C"/>
    <w:rsid w:val="00C055EC"/>
    <w:rsid w:val="00C059E9"/>
    <w:rsid w:val="00C10DC9"/>
    <w:rsid w:val="00C12C8E"/>
    <w:rsid w:val="00C12FB3"/>
    <w:rsid w:val="00C14A56"/>
    <w:rsid w:val="00C16D59"/>
    <w:rsid w:val="00C17341"/>
    <w:rsid w:val="00C20F9C"/>
    <w:rsid w:val="00C24EEF"/>
    <w:rsid w:val="00C25A8E"/>
    <w:rsid w:val="00C25CF6"/>
    <w:rsid w:val="00C25F7F"/>
    <w:rsid w:val="00C26C36"/>
    <w:rsid w:val="00C32768"/>
    <w:rsid w:val="00C35035"/>
    <w:rsid w:val="00C431DF"/>
    <w:rsid w:val="00C456BD"/>
    <w:rsid w:val="00C509D9"/>
    <w:rsid w:val="00C52E79"/>
    <w:rsid w:val="00C530DC"/>
    <w:rsid w:val="00C5350D"/>
    <w:rsid w:val="00C537E4"/>
    <w:rsid w:val="00C54126"/>
    <w:rsid w:val="00C607C7"/>
    <w:rsid w:val="00C6123C"/>
    <w:rsid w:val="00C6311A"/>
    <w:rsid w:val="00C7084D"/>
    <w:rsid w:val="00C7315E"/>
    <w:rsid w:val="00C75895"/>
    <w:rsid w:val="00C82F31"/>
    <w:rsid w:val="00C83C9F"/>
    <w:rsid w:val="00C86A22"/>
    <w:rsid w:val="00C94840"/>
    <w:rsid w:val="00C97D22"/>
    <w:rsid w:val="00CA3CBC"/>
    <w:rsid w:val="00CA4961"/>
    <w:rsid w:val="00CA4EE3"/>
    <w:rsid w:val="00CB027F"/>
    <w:rsid w:val="00CB5EE0"/>
    <w:rsid w:val="00CC0EBB"/>
    <w:rsid w:val="00CC4B5F"/>
    <w:rsid w:val="00CC6297"/>
    <w:rsid w:val="00CC7690"/>
    <w:rsid w:val="00CD01D8"/>
    <w:rsid w:val="00CD121D"/>
    <w:rsid w:val="00CD1986"/>
    <w:rsid w:val="00CD54BF"/>
    <w:rsid w:val="00CE3279"/>
    <w:rsid w:val="00CE4D5C"/>
    <w:rsid w:val="00CF01E0"/>
    <w:rsid w:val="00CF05DA"/>
    <w:rsid w:val="00CF58EB"/>
    <w:rsid w:val="00CF6FEC"/>
    <w:rsid w:val="00D0063A"/>
    <w:rsid w:val="00D0106E"/>
    <w:rsid w:val="00D0271E"/>
    <w:rsid w:val="00D06383"/>
    <w:rsid w:val="00D067EC"/>
    <w:rsid w:val="00D20E85"/>
    <w:rsid w:val="00D23F17"/>
    <w:rsid w:val="00D24615"/>
    <w:rsid w:val="00D37842"/>
    <w:rsid w:val="00D37B5A"/>
    <w:rsid w:val="00D42DC2"/>
    <w:rsid w:val="00D46D79"/>
    <w:rsid w:val="00D537E1"/>
    <w:rsid w:val="00D55BB2"/>
    <w:rsid w:val="00D6091A"/>
    <w:rsid w:val="00D6605A"/>
    <w:rsid w:val="00D6695F"/>
    <w:rsid w:val="00D74A3D"/>
    <w:rsid w:val="00D74F5B"/>
    <w:rsid w:val="00D75644"/>
    <w:rsid w:val="00D81656"/>
    <w:rsid w:val="00D83D87"/>
    <w:rsid w:val="00D84A6D"/>
    <w:rsid w:val="00D86A30"/>
    <w:rsid w:val="00D97CB4"/>
    <w:rsid w:val="00D97DD4"/>
    <w:rsid w:val="00DA545E"/>
    <w:rsid w:val="00DA5A8A"/>
    <w:rsid w:val="00DA748E"/>
    <w:rsid w:val="00DB26CD"/>
    <w:rsid w:val="00DB441C"/>
    <w:rsid w:val="00DB44AF"/>
    <w:rsid w:val="00DC00B1"/>
    <w:rsid w:val="00DC195E"/>
    <w:rsid w:val="00DC1F58"/>
    <w:rsid w:val="00DC339B"/>
    <w:rsid w:val="00DC3979"/>
    <w:rsid w:val="00DC5D40"/>
    <w:rsid w:val="00DC69A7"/>
    <w:rsid w:val="00DD30E9"/>
    <w:rsid w:val="00DD4F47"/>
    <w:rsid w:val="00DD7FBB"/>
    <w:rsid w:val="00DE0B9F"/>
    <w:rsid w:val="00DE1948"/>
    <w:rsid w:val="00DE2F60"/>
    <w:rsid w:val="00DE370D"/>
    <w:rsid w:val="00DE4238"/>
    <w:rsid w:val="00DE6239"/>
    <w:rsid w:val="00DE657F"/>
    <w:rsid w:val="00DF1218"/>
    <w:rsid w:val="00DF431E"/>
    <w:rsid w:val="00DF6462"/>
    <w:rsid w:val="00E02FA0"/>
    <w:rsid w:val="00E036DC"/>
    <w:rsid w:val="00E10454"/>
    <w:rsid w:val="00E10C75"/>
    <w:rsid w:val="00E112E5"/>
    <w:rsid w:val="00E12CC8"/>
    <w:rsid w:val="00E15352"/>
    <w:rsid w:val="00E21CC7"/>
    <w:rsid w:val="00E21D3B"/>
    <w:rsid w:val="00E22C01"/>
    <w:rsid w:val="00E24D9E"/>
    <w:rsid w:val="00E25849"/>
    <w:rsid w:val="00E3197E"/>
    <w:rsid w:val="00E342F8"/>
    <w:rsid w:val="00E351ED"/>
    <w:rsid w:val="00E35ADB"/>
    <w:rsid w:val="00E43EF8"/>
    <w:rsid w:val="00E4525F"/>
    <w:rsid w:val="00E6034B"/>
    <w:rsid w:val="00E6549E"/>
    <w:rsid w:val="00E65EDE"/>
    <w:rsid w:val="00E70F81"/>
    <w:rsid w:val="00E77055"/>
    <w:rsid w:val="00E77460"/>
    <w:rsid w:val="00E82B36"/>
    <w:rsid w:val="00E83ABC"/>
    <w:rsid w:val="00E83E3B"/>
    <w:rsid w:val="00E844F2"/>
    <w:rsid w:val="00E90AD0"/>
    <w:rsid w:val="00E92024"/>
    <w:rsid w:val="00E92FCB"/>
    <w:rsid w:val="00EA0418"/>
    <w:rsid w:val="00EA147F"/>
    <w:rsid w:val="00EA4A27"/>
    <w:rsid w:val="00EA4FA6"/>
    <w:rsid w:val="00EB1A25"/>
    <w:rsid w:val="00EB3795"/>
    <w:rsid w:val="00EB4664"/>
    <w:rsid w:val="00EB4BEC"/>
    <w:rsid w:val="00EB7DFD"/>
    <w:rsid w:val="00EC0B7D"/>
    <w:rsid w:val="00EC7E00"/>
    <w:rsid w:val="00ED03AB"/>
    <w:rsid w:val="00ED1CD4"/>
    <w:rsid w:val="00ED1D2B"/>
    <w:rsid w:val="00ED5298"/>
    <w:rsid w:val="00ED64B5"/>
    <w:rsid w:val="00EE3D63"/>
    <w:rsid w:val="00EE7CCA"/>
    <w:rsid w:val="00EF2F8C"/>
    <w:rsid w:val="00EF62E6"/>
    <w:rsid w:val="00EF6D0C"/>
    <w:rsid w:val="00F001C8"/>
    <w:rsid w:val="00F13A7B"/>
    <w:rsid w:val="00F16A14"/>
    <w:rsid w:val="00F2012A"/>
    <w:rsid w:val="00F27E91"/>
    <w:rsid w:val="00F35E88"/>
    <w:rsid w:val="00F362D7"/>
    <w:rsid w:val="00F37D7B"/>
    <w:rsid w:val="00F4230E"/>
    <w:rsid w:val="00F44388"/>
    <w:rsid w:val="00F47B3D"/>
    <w:rsid w:val="00F5314C"/>
    <w:rsid w:val="00F5688C"/>
    <w:rsid w:val="00F635DD"/>
    <w:rsid w:val="00F6627B"/>
    <w:rsid w:val="00F67A85"/>
    <w:rsid w:val="00F7067E"/>
    <w:rsid w:val="00F72072"/>
    <w:rsid w:val="00F7336E"/>
    <w:rsid w:val="00F734F2"/>
    <w:rsid w:val="00F74A28"/>
    <w:rsid w:val="00F75052"/>
    <w:rsid w:val="00F804D3"/>
    <w:rsid w:val="00F81CD2"/>
    <w:rsid w:val="00F82641"/>
    <w:rsid w:val="00F83F0B"/>
    <w:rsid w:val="00F846B1"/>
    <w:rsid w:val="00F90E35"/>
    <w:rsid w:val="00F90F18"/>
    <w:rsid w:val="00F937E4"/>
    <w:rsid w:val="00F95EE7"/>
    <w:rsid w:val="00F97583"/>
    <w:rsid w:val="00FA39E6"/>
    <w:rsid w:val="00FA5E6A"/>
    <w:rsid w:val="00FA7BC9"/>
    <w:rsid w:val="00FA7D37"/>
    <w:rsid w:val="00FB1457"/>
    <w:rsid w:val="00FB378E"/>
    <w:rsid w:val="00FB37F1"/>
    <w:rsid w:val="00FB47C0"/>
    <w:rsid w:val="00FB501B"/>
    <w:rsid w:val="00FB7770"/>
    <w:rsid w:val="00FC14F1"/>
    <w:rsid w:val="00FC35BA"/>
    <w:rsid w:val="00FD298C"/>
    <w:rsid w:val="00FD3B91"/>
    <w:rsid w:val="00FD576B"/>
    <w:rsid w:val="00FD579E"/>
    <w:rsid w:val="00FD6845"/>
    <w:rsid w:val="00FE307F"/>
    <w:rsid w:val="00FE4516"/>
    <w:rsid w:val="00FE5880"/>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C10C54-86A2-48F5-9CB0-ABE2A540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ind w:left="1361"/>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 字元,字元"/>
    <w:basedOn w:val="a6"/>
    <w:link w:val="afc"/>
    <w:uiPriority w:val="99"/>
    <w:unhideWhenUsed/>
    <w:rsid w:val="002F1B18"/>
    <w:pPr>
      <w:snapToGrid w:val="0"/>
      <w:jc w:val="left"/>
    </w:pPr>
    <w:rPr>
      <w:sz w:val="20"/>
    </w:rPr>
  </w:style>
  <w:style w:type="character" w:customStyle="1" w:styleId="afc">
    <w:name w:val="註腳文字 字元"/>
    <w:aliases w:val=" 字元 字元,字元 字元"/>
    <w:basedOn w:val="a7"/>
    <w:link w:val="afb"/>
    <w:uiPriority w:val="99"/>
    <w:rsid w:val="002F1B18"/>
    <w:rPr>
      <w:rFonts w:ascii="標楷體" w:eastAsia="標楷體"/>
      <w:kern w:val="2"/>
    </w:rPr>
  </w:style>
  <w:style w:type="character" w:styleId="afd">
    <w:name w:val="footnote reference"/>
    <w:basedOn w:val="a7"/>
    <w:uiPriority w:val="99"/>
    <w:unhideWhenUsed/>
    <w:rsid w:val="002F1B18"/>
    <w:rPr>
      <w:vertAlign w:val="superscript"/>
    </w:rPr>
  </w:style>
  <w:style w:type="character" w:styleId="afe">
    <w:name w:val="endnote reference"/>
    <w:basedOn w:val="a7"/>
    <w:uiPriority w:val="99"/>
    <w:semiHidden/>
    <w:unhideWhenUsed/>
    <w:rsid w:val="000523CE"/>
    <w:rPr>
      <w:vertAlign w:val="superscript"/>
    </w:rPr>
  </w:style>
  <w:style w:type="character" w:customStyle="1" w:styleId="af4">
    <w:name w:val="頁尾 字元"/>
    <w:basedOn w:val="a7"/>
    <w:link w:val="af3"/>
    <w:uiPriority w:val="99"/>
    <w:rsid w:val="00EB466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1005">
      <w:bodyDiv w:val="1"/>
      <w:marLeft w:val="0"/>
      <w:marRight w:val="0"/>
      <w:marTop w:val="0"/>
      <w:marBottom w:val="0"/>
      <w:divBdr>
        <w:top w:val="none" w:sz="0" w:space="0" w:color="auto"/>
        <w:left w:val="none" w:sz="0" w:space="0" w:color="auto"/>
        <w:bottom w:val="none" w:sz="0" w:space="0" w:color="auto"/>
        <w:right w:val="none" w:sz="0" w:space="0" w:color="auto"/>
      </w:divBdr>
    </w:div>
    <w:div w:id="479729742">
      <w:bodyDiv w:val="1"/>
      <w:marLeft w:val="0"/>
      <w:marRight w:val="0"/>
      <w:marTop w:val="0"/>
      <w:marBottom w:val="0"/>
      <w:divBdr>
        <w:top w:val="none" w:sz="0" w:space="0" w:color="auto"/>
        <w:left w:val="none" w:sz="0" w:space="0" w:color="auto"/>
        <w:bottom w:val="none" w:sz="0" w:space="0" w:color="auto"/>
        <w:right w:val="none" w:sz="0" w:space="0" w:color="auto"/>
      </w:divBdr>
    </w:div>
    <w:div w:id="514421327">
      <w:bodyDiv w:val="1"/>
      <w:marLeft w:val="0"/>
      <w:marRight w:val="0"/>
      <w:marTop w:val="0"/>
      <w:marBottom w:val="0"/>
      <w:divBdr>
        <w:top w:val="none" w:sz="0" w:space="0" w:color="auto"/>
        <w:left w:val="none" w:sz="0" w:space="0" w:color="auto"/>
        <w:bottom w:val="none" w:sz="0" w:space="0" w:color="auto"/>
        <w:right w:val="none" w:sz="0" w:space="0" w:color="auto"/>
      </w:divBdr>
    </w:div>
    <w:div w:id="778649243">
      <w:bodyDiv w:val="1"/>
      <w:marLeft w:val="0"/>
      <w:marRight w:val="0"/>
      <w:marTop w:val="0"/>
      <w:marBottom w:val="0"/>
      <w:divBdr>
        <w:top w:val="none" w:sz="0" w:space="0" w:color="auto"/>
        <w:left w:val="none" w:sz="0" w:space="0" w:color="auto"/>
        <w:bottom w:val="none" w:sz="0" w:space="0" w:color="auto"/>
        <w:right w:val="none" w:sz="0" w:space="0" w:color="auto"/>
      </w:divBdr>
    </w:div>
    <w:div w:id="904072222">
      <w:bodyDiv w:val="1"/>
      <w:marLeft w:val="0"/>
      <w:marRight w:val="0"/>
      <w:marTop w:val="0"/>
      <w:marBottom w:val="0"/>
      <w:divBdr>
        <w:top w:val="none" w:sz="0" w:space="0" w:color="auto"/>
        <w:left w:val="none" w:sz="0" w:space="0" w:color="auto"/>
        <w:bottom w:val="none" w:sz="0" w:space="0" w:color="auto"/>
        <w:right w:val="none" w:sz="0" w:space="0" w:color="auto"/>
      </w:divBdr>
    </w:div>
    <w:div w:id="17082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07E86-338A-4BA9-8B7A-F1E6F8E0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11</TotalTime>
  <Pages>19</Pages>
  <Words>1627</Words>
  <Characters>9274</Characters>
  <Application>Microsoft Office Word</Application>
  <DocSecurity>0</DocSecurity>
  <Lines>77</Lines>
  <Paragraphs>21</Paragraphs>
  <ScaleCrop>false</ScaleCrop>
  <Company>cy</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龔盟芳</cp:lastModifiedBy>
  <cp:revision>3</cp:revision>
  <cp:lastPrinted>2017-03-09T08:34:00Z</cp:lastPrinted>
  <dcterms:created xsi:type="dcterms:W3CDTF">2017-03-16T01:24:00Z</dcterms:created>
  <dcterms:modified xsi:type="dcterms:W3CDTF">2017-03-16T01:36:00Z</dcterms:modified>
</cp:coreProperties>
</file>