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0FF" w:rsidRPr="0042269F" w:rsidRDefault="002620FF" w:rsidP="002620FF">
      <w:pPr>
        <w:pStyle w:val="af6"/>
        <w:rPr>
          <w:rFonts w:hAnsi="標楷體"/>
          <w:b w:val="0"/>
          <w:color w:val="000000" w:themeColor="text1"/>
        </w:rPr>
      </w:pPr>
      <w:r w:rsidRPr="0042269F">
        <w:rPr>
          <w:rFonts w:hAnsi="標楷體" w:hint="eastAsia"/>
          <w:b w:val="0"/>
          <w:color w:val="000000" w:themeColor="text1"/>
        </w:rPr>
        <w:t>調查報告</w:t>
      </w:r>
    </w:p>
    <w:p w:rsidR="002620FF" w:rsidRPr="0042269F" w:rsidRDefault="002620FF" w:rsidP="002620FF">
      <w:pPr>
        <w:pStyle w:val="1"/>
        <w:rPr>
          <w:rFonts w:hAnsi="標楷體"/>
          <w:color w:val="000000" w:themeColor="text1"/>
        </w:rPr>
      </w:pPr>
      <w:r w:rsidRPr="0042269F">
        <w:rPr>
          <w:rFonts w:hAnsi="標楷體" w:hint="eastAsia"/>
          <w:color w:val="000000" w:themeColor="text1"/>
        </w:rPr>
        <w:t>案　　由：依據觀察勒戒處分執行條例第8條第2項後段規定，法院裁定移送強制</w:t>
      </w:r>
      <w:proofErr w:type="gramStart"/>
      <w:r w:rsidRPr="0042269F">
        <w:rPr>
          <w:rFonts w:hAnsi="標楷體" w:hint="eastAsia"/>
          <w:color w:val="000000" w:themeColor="text1"/>
        </w:rPr>
        <w:t>戒治前</w:t>
      </w:r>
      <w:proofErr w:type="gramEnd"/>
      <w:r w:rsidRPr="0042269F">
        <w:rPr>
          <w:rFonts w:hAnsi="標楷體" w:hint="eastAsia"/>
          <w:color w:val="000000" w:themeColor="text1"/>
        </w:rPr>
        <w:t>，勒戒處所應繼續收容，該規定是否違反憲法第23條之</w:t>
      </w:r>
      <w:r w:rsidR="0052000E" w:rsidRPr="0042269F">
        <w:rPr>
          <w:rFonts w:hAnsi="標楷體" w:hint="eastAsia"/>
          <w:color w:val="000000" w:themeColor="text1"/>
        </w:rPr>
        <w:t>比例原則</w:t>
      </w:r>
      <w:r w:rsidRPr="0042269F">
        <w:rPr>
          <w:rFonts w:hAnsi="標楷體" w:hint="eastAsia"/>
          <w:color w:val="000000" w:themeColor="text1"/>
        </w:rPr>
        <w:t xml:space="preserve">？法院如得於觀察、勒戒屆滿後，隨時為強制戒治之裁定，則關於受觀察、勒戒者之人身自由保障，與法院為延長羈押裁定時，依據刑事訴訟法第108條第2項需於羈押期滿前將裁定合法送達，否則視為撤銷羈押之規定，相去甚遠。為保障人民之人身自由，實有深入探討之必要案。 </w:t>
      </w:r>
    </w:p>
    <w:p w:rsidR="002620FF" w:rsidRPr="0042269F" w:rsidRDefault="002620FF" w:rsidP="002620FF">
      <w:pPr>
        <w:pStyle w:val="1"/>
        <w:rPr>
          <w:rFonts w:hAnsi="標楷體"/>
          <w:color w:val="000000" w:themeColor="text1"/>
        </w:rPr>
      </w:pPr>
      <w:r w:rsidRPr="0042269F">
        <w:rPr>
          <w:rFonts w:hAnsi="標楷體" w:hint="eastAsia"/>
          <w:color w:val="000000" w:themeColor="text1"/>
        </w:rPr>
        <w:t>調查意見</w:t>
      </w:r>
    </w:p>
    <w:p w:rsidR="002620FF" w:rsidRPr="0042269F" w:rsidRDefault="002620FF" w:rsidP="002620FF">
      <w:pPr>
        <w:pStyle w:val="11"/>
        <w:ind w:left="680" w:firstLine="680"/>
        <w:rPr>
          <w:rFonts w:hAnsi="標楷體"/>
          <w:color w:val="000000" w:themeColor="text1"/>
        </w:rPr>
      </w:pPr>
      <w:r w:rsidRPr="0042269F">
        <w:rPr>
          <w:rFonts w:hAnsi="標楷體" w:hint="eastAsia"/>
          <w:color w:val="000000" w:themeColor="text1"/>
        </w:rPr>
        <w:t>本案係因調查委員從法務部發行之法務</w:t>
      </w:r>
      <w:proofErr w:type="gramStart"/>
      <w:r w:rsidRPr="0042269F">
        <w:rPr>
          <w:rFonts w:hAnsi="標楷體" w:hint="eastAsia"/>
          <w:color w:val="000000" w:themeColor="text1"/>
        </w:rPr>
        <w:t>通訊發見</w:t>
      </w:r>
      <w:proofErr w:type="gramEnd"/>
      <w:r w:rsidRPr="0042269F">
        <w:rPr>
          <w:rFonts w:hAnsi="標楷體" w:hint="eastAsia"/>
          <w:color w:val="000000" w:themeColor="text1"/>
        </w:rPr>
        <w:t>，有從事觀察勒戒實務之監所第一線同仁，對於觀察勒戒處分執行條例第8條第2項規定後段「裁定」基準點之合憲性提出質疑，遂進而瞭解戒治所、地檢署、法院三方間，如何實際處理接受戒治處分之相關行政程序，基於收容人基本人權保障之要求，遂就「依據觀察勒戒處分執行條例第8條第2項後段規定，法院裁定移送強制</w:t>
      </w:r>
      <w:proofErr w:type="gramStart"/>
      <w:r w:rsidRPr="0042269F">
        <w:rPr>
          <w:rFonts w:hAnsi="標楷體" w:hint="eastAsia"/>
          <w:color w:val="000000" w:themeColor="text1"/>
        </w:rPr>
        <w:t>戒治前</w:t>
      </w:r>
      <w:proofErr w:type="gramEnd"/>
      <w:r w:rsidRPr="0042269F">
        <w:rPr>
          <w:rFonts w:hAnsi="標楷體" w:hint="eastAsia"/>
          <w:color w:val="000000" w:themeColor="text1"/>
        </w:rPr>
        <w:t>，勒戒處所應繼續收容，該規定是否違反憲法第23條之</w:t>
      </w:r>
      <w:r w:rsidR="0052000E" w:rsidRPr="0042269F">
        <w:rPr>
          <w:rFonts w:hAnsi="標楷體" w:hint="eastAsia"/>
          <w:color w:val="000000" w:themeColor="text1"/>
        </w:rPr>
        <w:t>比例原則</w:t>
      </w:r>
      <w:r w:rsidRPr="0042269F">
        <w:rPr>
          <w:rFonts w:hAnsi="標楷體" w:hint="eastAsia"/>
          <w:color w:val="000000" w:themeColor="text1"/>
        </w:rPr>
        <w:t>？法院如得於觀察、勒戒屆滿後，隨時為強制戒治之裁定，則關於受觀察、勒戒者之人身自由保障，與法院為延長羈押裁定時，依據刑事訴訟法第108條第2項需於羈押期滿前將裁定合法送達，否則視為撤銷羈押之規定，相去甚遠。為保障人民之人身自由，實有深入探討之必要」等情立案調查，</w:t>
      </w:r>
      <w:r w:rsidR="006E7217" w:rsidRPr="0042269F">
        <w:rPr>
          <w:rFonts w:hAnsi="標楷體" w:hint="eastAsia"/>
          <w:color w:val="000000" w:themeColor="text1"/>
        </w:rPr>
        <w:t>其目的在於檢視</w:t>
      </w:r>
      <w:r w:rsidR="009B5A93" w:rsidRPr="0042269F">
        <w:rPr>
          <w:rFonts w:hAnsi="標楷體" w:hint="eastAsia"/>
          <w:color w:val="000000" w:themeColor="text1"/>
        </w:rPr>
        <w:t>觀察</w:t>
      </w:r>
      <w:proofErr w:type="gramStart"/>
      <w:r w:rsidR="009B5A93" w:rsidRPr="0042269F">
        <w:rPr>
          <w:rFonts w:hAnsi="標楷體" w:hint="eastAsia"/>
          <w:color w:val="000000" w:themeColor="text1"/>
        </w:rPr>
        <w:t>勒戒</w:t>
      </w:r>
      <w:r w:rsidR="006E7217" w:rsidRPr="0042269F">
        <w:rPr>
          <w:rFonts w:hAnsi="標楷體" w:hint="eastAsia"/>
          <w:color w:val="000000" w:themeColor="text1"/>
        </w:rPr>
        <w:t>及強制</w:t>
      </w:r>
      <w:proofErr w:type="gramEnd"/>
      <w:r w:rsidR="006E7217" w:rsidRPr="0042269F">
        <w:rPr>
          <w:rFonts w:hAnsi="標楷體" w:hint="eastAsia"/>
          <w:color w:val="000000" w:themeColor="text1"/>
        </w:rPr>
        <w:t>戒治</w:t>
      </w:r>
      <w:r w:rsidR="009B5A93" w:rsidRPr="0042269F">
        <w:rPr>
          <w:rFonts w:hAnsi="標楷體" w:hint="eastAsia"/>
          <w:color w:val="000000" w:themeColor="text1"/>
        </w:rPr>
        <w:t>處分</w:t>
      </w:r>
      <w:r w:rsidR="006E7217" w:rsidRPr="0042269F">
        <w:rPr>
          <w:rFonts w:hAnsi="標楷體" w:hint="eastAsia"/>
          <w:color w:val="000000" w:themeColor="text1"/>
        </w:rPr>
        <w:t>與執行</w:t>
      </w:r>
      <w:r w:rsidRPr="0042269F">
        <w:rPr>
          <w:rFonts w:hAnsi="標楷體" w:hint="eastAsia"/>
          <w:color w:val="000000" w:themeColor="text1"/>
        </w:rPr>
        <w:t>有無符合憲法第8條及聯合國公民與政治權利國際</w:t>
      </w:r>
      <w:r w:rsidR="00113D89" w:rsidRPr="0042269F">
        <w:rPr>
          <w:rFonts w:hAnsi="標楷體" w:hint="eastAsia"/>
          <w:color w:val="000000" w:themeColor="text1"/>
        </w:rPr>
        <w:t>公約第9條所定人身自由保障</w:t>
      </w:r>
      <w:r w:rsidRPr="0042269F">
        <w:rPr>
          <w:rFonts w:hAnsi="標楷體" w:hint="eastAsia"/>
          <w:color w:val="000000" w:themeColor="text1"/>
        </w:rPr>
        <w:t>之最低標準，</w:t>
      </w:r>
      <w:proofErr w:type="gramStart"/>
      <w:r w:rsidRPr="0042269F">
        <w:rPr>
          <w:rFonts w:hAnsi="標楷體" w:hint="eastAsia"/>
          <w:color w:val="000000" w:themeColor="text1"/>
        </w:rPr>
        <w:t>俾</w:t>
      </w:r>
      <w:proofErr w:type="gramEnd"/>
      <w:r w:rsidRPr="0042269F">
        <w:rPr>
          <w:rFonts w:hAnsi="標楷體" w:hint="eastAsia"/>
          <w:color w:val="000000" w:themeColor="text1"/>
        </w:rPr>
        <w:t>促使現行司法制度能符合國際人權標準，以建</w:t>
      </w:r>
      <w:r w:rsidRPr="0042269F">
        <w:rPr>
          <w:rFonts w:hAnsi="標楷體" w:hint="eastAsia"/>
          <w:color w:val="000000" w:themeColor="text1"/>
        </w:rPr>
        <w:lastRenderedPageBreak/>
        <w:t>立值得全民信賴、專業與公正之司法制度，經向司法院所屬地方法院及法務部所屬地方法院檢察署（臺灣</w:t>
      </w:r>
      <w:proofErr w:type="gramStart"/>
      <w:r w:rsidRPr="0042269F">
        <w:rPr>
          <w:rFonts w:hAnsi="標楷體" w:hint="eastAsia"/>
          <w:color w:val="000000" w:themeColor="text1"/>
        </w:rPr>
        <w:t>臺</w:t>
      </w:r>
      <w:proofErr w:type="gramEnd"/>
      <w:r w:rsidRPr="0042269F">
        <w:rPr>
          <w:rFonts w:hAnsi="標楷體" w:hint="eastAsia"/>
          <w:color w:val="000000" w:themeColor="text1"/>
        </w:rPr>
        <w:t>中地方法院檢察署拒絕提供）調閱相關卷證、並函</w:t>
      </w:r>
      <w:proofErr w:type="gramStart"/>
      <w:r w:rsidRPr="0042269F">
        <w:rPr>
          <w:rFonts w:hAnsi="標楷體" w:hint="eastAsia"/>
          <w:color w:val="000000" w:themeColor="text1"/>
        </w:rPr>
        <w:t>詢</w:t>
      </w:r>
      <w:proofErr w:type="gramEnd"/>
      <w:r w:rsidRPr="0042269F">
        <w:rPr>
          <w:rFonts w:hAnsi="標楷體" w:hint="eastAsia"/>
          <w:color w:val="000000" w:themeColor="text1"/>
        </w:rPr>
        <w:t>司法院與法務部相關司法行政作業期程，經詳實</w:t>
      </w:r>
      <w:proofErr w:type="gramStart"/>
      <w:r w:rsidRPr="0042269F">
        <w:rPr>
          <w:rFonts w:hAnsi="標楷體" w:hint="eastAsia"/>
          <w:color w:val="000000" w:themeColor="text1"/>
        </w:rPr>
        <w:t>研</w:t>
      </w:r>
      <w:proofErr w:type="gramEnd"/>
      <w:r w:rsidRPr="0042269F">
        <w:rPr>
          <w:rFonts w:hAnsi="標楷體" w:hint="eastAsia"/>
          <w:color w:val="000000" w:themeColor="text1"/>
        </w:rPr>
        <w:t>閱案卷，業</w:t>
      </w:r>
      <w:proofErr w:type="gramStart"/>
      <w:r w:rsidRPr="0042269F">
        <w:rPr>
          <w:rFonts w:hAnsi="標楷體" w:hint="eastAsia"/>
          <w:color w:val="000000" w:themeColor="text1"/>
        </w:rPr>
        <w:t>調查竣事</w:t>
      </w:r>
      <w:proofErr w:type="gramEnd"/>
      <w:r w:rsidRPr="0042269F">
        <w:rPr>
          <w:rFonts w:hAnsi="標楷體" w:hint="eastAsia"/>
          <w:color w:val="000000" w:themeColor="text1"/>
        </w:rPr>
        <w:t>，茲提出調查意見如次：</w:t>
      </w:r>
    </w:p>
    <w:p w:rsidR="002620FF" w:rsidRPr="0042269F" w:rsidRDefault="00C13B10" w:rsidP="0061783A">
      <w:pPr>
        <w:pStyle w:val="2"/>
        <w:rPr>
          <w:rFonts w:hAnsi="標楷體"/>
          <w:b/>
          <w:color w:val="000000" w:themeColor="text1"/>
        </w:rPr>
      </w:pPr>
      <w:r w:rsidRPr="0042269F">
        <w:rPr>
          <w:rFonts w:hAnsi="標楷體" w:hint="eastAsia"/>
          <w:b/>
          <w:color w:val="000000" w:themeColor="text1"/>
        </w:rPr>
        <w:t>司法院與法務部就觀察勒戒處分</w:t>
      </w:r>
      <w:r w:rsidR="002620FF" w:rsidRPr="0042269F">
        <w:rPr>
          <w:rFonts w:hAnsi="標楷體" w:hint="eastAsia"/>
          <w:b/>
          <w:color w:val="000000" w:themeColor="text1"/>
        </w:rPr>
        <w:t>執行條例第8條第2項後段</w:t>
      </w:r>
      <w:r w:rsidR="0061783A" w:rsidRPr="0042269F">
        <w:rPr>
          <w:rFonts w:hAnsi="標楷體" w:hint="eastAsia"/>
          <w:b/>
          <w:color w:val="000000" w:themeColor="text1"/>
        </w:rPr>
        <w:t>：「</w:t>
      </w:r>
      <w:r w:rsidR="0061783A" w:rsidRPr="0042269F">
        <w:rPr>
          <w:rFonts w:hAnsi="標楷體" w:hint="eastAsia"/>
          <w:b/>
          <w:color w:val="000000" w:themeColor="text1"/>
          <w:szCs w:val="52"/>
        </w:rPr>
        <w:t>有繼續施用毒品傾向者，</w:t>
      </w:r>
      <w:proofErr w:type="gramStart"/>
      <w:r w:rsidR="0061783A" w:rsidRPr="0042269F">
        <w:rPr>
          <w:rFonts w:hAnsi="標楷體" w:hint="eastAsia"/>
          <w:b/>
          <w:color w:val="000000" w:themeColor="text1"/>
          <w:szCs w:val="52"/>
        </w:rPr>
        <w:t>於勒戒</w:t>
      </w:r>
      <w:proofErr w:type="gramEnd"/>
      <w:r w:rsidR="0061783A" w:rsidRPr="0042269F">
        <w:rPr>
          <w:rFonts w:hAnsi="標楷體" w:hint="eastAsia"/>
          <w:b/>
          <w:color w:val="000000" w:themeColor="text1"/>
          <w:szCs w:val="52"/>
        </w:rPr>
        <w:t>處所依法院或由少年法院(庭)裁定移送戒治處所施以強制</w:t>
      </w:r>
      <w:proofErr w:type="gramStart"/>
      <w:r w:rsidR="0061783A" w:rsidRPr="0042269F">
        <w:rPr>
          <w:rFonts w:hAnsi="標楷體" w:hint="eastAsia"/>
          <w:b/>
          <w:color w:val="000000" w:themeColor="text1"/>
          <w:szCs w:val="52"/>
        </w:rPr>
        <w:t>戒治前</w:t>
      </w:r>
      <w:proofErr w:type="gramEnd"/>
      <w:r w:rsidR="0061783A" w:rsidRPr="0042269F">
        <w:rPr>
          <w:rFonts w:hAnsi="標楷體" w:hint="eastAsia"/>
          <w:b/>
          <w:color w:val="000000" w:themeColor="text1"/>
          <w:szCs w:val="52"/>
        </w:rPr>
        <w:t>，應繼續收容。其收容</w:t>
      </w:r>
      <w:proofErr w:type="gramStart"/>
      <w:r w:rsidR="0061783A" w:rsidRPr="0042269F">
        <w:rPr>
          <w:rFonts w:hAnsi="標楷體" w:hint="eastAsia"/>
          <w:b/>
          <w:color w:val="000000" w:themeColor="text1"/>
          <w:szCs w:val="52"/>
        </w:rPr>
        <w:t>期間，計入戒</w:t>
      </w:r>
      <w:proofErr w:type="gramEnd"/>
      <w:r w:rsidR="0061783A" w:rsidRPr="0042269F">
        <w:rPr>
          <w:rFonts w:hAnsi="標楷體" w:hint="eastAsia"/>
          <w:b/>
          <w:color w:val="000000" w:themeColor="text1"/>
          <w:szCs w:val="52"/>
        </w:rPr>
        <w:t>治期間。」</w:t>
      </w:r>
      <w:r w:rsidRPr="0042269F">
        <w:rPr>
          <w:rFonts w:hAnsi="標楷體" w:hint="eastAsia"/>
          <w:b/>
          <w:color w:val="000000" w:themeColor="text1"/>
        </w:rPr>
        <w:t>之規定</w:t>
      </w:r>
      <w:r w:rsidR="002620FF" w:rsidRPr="0042269F">
        <w:rPr>
          <w:rFonts w:hAnsi="標楷體" w:hint="eastAsia"/>
          <w:b/>
          <w:color w:val="000000" w:themeColor="text1"/>
        </w:rPr>
        <w:t>，</w:t>
      </w:r>
      <w:r w:rsidRPr="0042269F">
        <w:rPr>
          <w:rFonts w:hAnsi="標楷體" w:hint="eastAsia"/>
          <w:b/>
          <w:color w:val="000000" w:themeColor="text1"/>
        </w:rPr>
        <w:t>因未明定</w:t>
      </w:r>
      <w:r w:rsidR="002620FF" w:rsidRPr="0042269F">
        <w:rPr>
          <w:rFonts w:hAnsi="標楷體" w:hint="eastAsia"/>
          <w:b/>
          <w:color w:val="000000" w:themeColor="text1"/>
        </w:rPr>
        <w:t>法院</w:t>
      </w:r>
      <w:r w:rsidR="007C2DCD" w:rsidRPr="0042269F">
        <w:rPr>
          <w:rFonts w:hAnsi="標楷體" w:hint="eastAsia"/>
          <w:b/>
          <w:color w:val="000000" w:themeColor="text1"/>
        </w:rPr>
        <w:t>強制戒治</w:t>
      </w:r>
      <w:r w:rsidR="002620FF" w:rsidRPr="0042269F">
        <w:rPr>
          <w:rFonts w:hAnsi="標楷體" w:hint="eastAsia"/>
          <w:b/>
          <w:color w:val="000000" w:themeColor="text1"/>
        </w:rPr>
        <w:t>裁定期限，肇致裁定日期超過觀察勒戒人執行期滿日期，構成法律漏洞，而與刑事訴訟法第108條第2項視為撤銷羈押之規定，相去甚遠，</w:t>
      </w:r>
      <w:r w:rsidRPr="0042269F">
        <w:rPr>
          <w:rFonts w:hAnsi="標楷體" w:hint="eastAsia"/>
          <w:b/>
          <w:color w:val="000000" w:themeColor="text1"/>
        </w:rPr>
        <w:t>侵害基本權利至</w:t>
      </w:r>
      <w:proofErr w:type="gramStart"/>
      <w:r w:rsidRPr="0042269F">
        <w:rPr>
          <w:rFonts w:hAnsi="標楷體" w:hint="eastAsia"/>
          <w:b/>
          <w:color w:val="000000" w:themeColor="text1"/>
        </w:rPr>
        <w:t>鉅</w:t>
      </w:r>
      <w:proofErr w:type="gramEnd"/>
      <w:r w:rsidR="002620FF" w:rsidRPr="0042269F">
        <w:rPr>
          <w:rFonts w:hAnsi="標楷體" w:hint="eastAsia"/>
          <w:b/>
          <w:color w:val="000000" w:themeColor="text1"/>
        </w:rPr>
        <w:t>，自應妥為檢討所涉法令及措施，以符憲法第8條及聯合國公民與政治權利國際公約第9條所定人身自由之保障。</w:t>
      </w:r>
    </w:p>
    <w:p w:rsidR="002620FF" w:rsidRPr="0042269F" w:rsidRDefault="002620FF" w:rsidP="002620FF">
      <w:pPr>
        <w:pStyle w:val="1"/>
        <w:numPr>
          <w:ilvl w:val="2"/>
          <w:numId w:val="6"/>
        </w:numPr>
        <w:rPr>
          <w:rFonts w:hAnsi="標楷體"/>
          <w:b/>
          <w:color w:val="000000" w:themeColor="text1"/>
        </w:rPr>
      </w:pPr>
      <w:r w:rsidRPr="0042269F">
        <w:rPr>
          <w:rFonts w:hAnsi="標楷體" w:hint="eastAsia"/>
          <w:b/>
          <w:color w:val="000000" w:themeColor="text1"/>
        </w:rPr>
        <w:t>我國憲法第8條對於人身自由之保障，應依據正當法律程序原則之要求，非由法院依法定程序，不得審問處罰，係</w:t>
      </w:r>
      <w:proofErr w:type="gramStart"/>
      <w:r w:rsidRPr="0042269F">
        <w:rPr>
          <w:rFonts w:hAnsi="標楷體" w:hint="eastAsia"/>
          <w:b/>
          <w:color w:val="000000" w:themeColor="text1"/>
        </w:rPr>
        <w:t>採</w:t>
      </w:r>
      <w:proofErr w:type="gramEnd"/>
      <w:r w:rsidRPr="0042269F">
        <w:rPr>
          <w:rFonts w:hAnsi="標楷體" w:hint="eastAsia"/>
          <w:b/>
          <w:color w:val="000000" w:themeColor="text1"/>
        </w:rPr>
        <w:t>所謂「法官保留原則」，就人民自由保障而言，</w:t>
      </w:r>
      <w:proofErr w:type="gramStart"/>
      <w:r w:rsidRPr="0042269F">
        <w:rPr>
          <w:rFonts w:hAnsi="標楷體"/>
          <w:b/>
          <w:color w:val="000000" w:themeColor="text1"/>
        </w:rPr>
        <w:t>係指凡限制</w:t>
      </w:r>
      <w:proofErr w:type="gramEnd"/>
      <w:r w:rsidRPr="0042269F">
        <w:rPr>
          <w:rFonts w:hAnsi="標楷體"/>
          <w:b/>
          <w:color w:val="000000" w:themeColor="text1"/>
        </w:rPr>
        <w:t>人民身體自由之</w:t>
      </w:r>
      <w:r w:rsidRPr="0042269F">
        <w:rPr>
          <w:rFonts w:hAnsi="標楷體" w:hint="eastAsia"/>
          <w:b/>
          <w:color w:val="000000" w:themeColor="text1"/>
        </w:rPr>
        <w:t>一切</w:t>
      </w:r>
      <w:r w:rsidRPr="0042269F">
        <w:rPr>
          <w:rFonts w:hAnsi="標楷體"/>
          <w:b/>
          <w:color w:val="000000" w:themeColor="text1"/>
        </w:rPr>
        <w:t>處置，</w:t>
      </w:r>
      <w:proofErr w:type="gramStart"/>
      <w:r w:rsidRPr="0042269F">
        <w:rPr>
          <w:rFonts w:hAnsi="標楷體" w:hint="eastAsia"/>
          <w:b/>
          <w:color w:val="000000" w:themeColor="text1"/>
        </w:rPr>
        <w:t>均</w:t>
      </w:r>
      <w:r w:rsidRPr="0042269F">
        <w:rPr>
          <w:rFonts w:hAnsi="標楷體"/>
          <w:b/>
          <w:color w:val="000000" w:themeColor="text1"/>
        </w:rPr>
        <w:t>為憲法</w:t>
      </w:r>
      <w:proofErr w:type="gramEnd"/>
      <w:r w:rsidRPr="0042269F">
        <w:rPr>
          <w:rFonts w:hAnsi="標楷體"/>
          <w:b/>
          <w:color w:val="000000" w:themeColor="text1"/>
        </w:rPr>
        <w:t>保留之範圍，不問是否屬於刑事被告身分，</w:t>
      </w:r>
      <w:proofErr w:type="gramStart"/>
      <w:r w:rsidRPr="0042269F">
        <w:rPr>
          <w:rFonts w:hAnsi="標楷體"/>
          <w:b/>
          <w:color w:val="000000" w:themeColor="text1"/>
        </w:rPr>
        <w:t>均受</w:t>
      </w:r>
      <w:r w:rsidRPr="0042269F">
        <w:rPr>
          <w:rFonts w:hAnsi="標楷體" w:hint="eastAsia"/>
          <w:b/>
          <w:color w:val="000000" w:themeColor="text1"/>
        </w:rPr>
        <w:t>憲法</w:t>
      </w:r>
      <w:proofErr w:type="gramEnd"/>
      <w:r w:rsidRPr="0042269F">
        <w:rPr>
          <w:rFonts w:hAnsi="標楷體" w:hint="eastAsia"/>
          <w:b/>
          <w:color w:val="000000" w:themeColor="text1"/>
        </w:rPr>
        <w:t>第8條之</w:t>
      </w:r>
      <w:r w:rsidRPr="0042269F">
        <w:rPr>
          <w:rFonts w:hAnsi="標楷體"/>
          <w:b/>
          <w:color w:val="000000" w:themeColor="text1"/>
        </w:rPr>
        <w:t>保障</w:t>
      </w:r>
      <w:r w:rsidRPr="0042269F">
        <w:rPr>
          <w:rFonts w:hAnsi="標楷體" w:hint="eastAsia"/>
          <w:b/>
          <w:color w:val="000000" w:themeColor="text1"/>
        </w:rPr>
        <w:t>，惟應所</w:t>
      </w:r>
      <w:proofErr w:type="gramStart"/>
      <w:r w:rsidRPr="0042269F">
        <w:rPr>
          <w:rFonts w:hAnsi="標楷體" w:hint="eastAsia"/>
          <w:b/>
          <w:color w:val="000000" w:themeColor="text1"/>
        </w:rPr>
        <w:t>踐行</w:t>
      </w:r>
      <w:proofErr w:type="gramEnd"/>
      <w:r w:rsidRPr="0042269F">
        <w:rPr>
          <w:rFonts w:hAnsi="標楷體" w:hint="eastAsia"/>
          <w:b/>
          <w:color w:val="000000" w:themeColor="text1"/>
        </w:rPr>
        <w:t>之法定程序，得依事物本質，就法規範保障之內涵與</w:t>
      </w:r>
      <w:r w:rsidRPr="0042269F">
        <w:rPr>
          <w:rFonts w:hAnsi="標楷體"/>
          <w:b/>
          <w:color w:val="000000" w:themeColor="text1"/>
        </w:rPr>
        <w:t>人身自由限制</w:t>
      </w:r>
      <w:r w:rsidRPr="0042269F">
        <w:rPr>
          <w:rFonts w:hAnsi="標楷體" w:hint="eastAsia"/>
          <w:b/>
          <w:color w:val="000000" w:themeColor="text1"/>
        </w:rPr>
        <w:t>程度等，分別採用事前、</w:t>
      </w:r>
      <w:r w:rsidR="00C13B10" w:rsidRPr="0042269F">
        <w:rPr>
          <w:rFonts w:hAnsi="標楷體" w:hint="eastAsia"/>
          <w:b/>
          <w:color w:val="000000" w:themeColor="text1"/>
        </w:rPr>
        <w:t>事後司法審查</w:t>
      </w:r>
      <w:r w:rsidRPr="0042269F">
        <w:rPr>
          <w:rFonts w:hAnsi="標楷體" w:hint="eastAsia"/>
          <w:b/>
          <w:color w:val="000000" w:themeColor="text1"/>
        </w:rPr>
        <w:t>或單純提審制度，並就審查期限為合理差別待遇</w:t>
      </w:r>
      <w:r w:rsidRPr="0042269F">
        <w:rPr>
          <w:rFonts w:hAnsi="標楷體"/>
          <w:b/>
          <w:color w:val="000000" w:themeColor="text1"/>
        </w:rPr>
        <w:t>。</w:t>
      </w:r>
    </w:p>
    <w:p w:rsidR="002620FF" w:rsidRPr="0042269F" w:rsidRDefault="002620FF" w:rsidP="002620FF">
      <w:pPr>
        <w:pStyle w:val="1"/>
        <w:numPr>
          <w:ilvl w:val="3"/>
          <w:numId w:val="6"/>
        </w:numPr>
        <w:rPr>
          <w:rFonts w:hAnsi="標楷體"/>
          <w:color w:val="000000" w:themeColor="text1"/>
        </w:rPr>
      </w:pPr>
      <w:r w:rsidRPr="0042269F">
        <w:rPr>
          <w:rFonts w:hAnsi="標楷體" w:hint="eastAsia"/>
          <w:color w:val="000000" w:themeColor="text1"/>
        </w:rPr>
        <w:t>我國憲法第8條對於人身自由之保障，應依據正當法律程序原則之要求，非由法院依法定程序，不得審問處罰，係</w:t>
      </w:r>
      <w:proofErr w:type="gramStart"/>
      <w:r w:rsidRPr="0042269F">
        <w:rPr>
          <w:rFonts w:hAnsi="標楷體" w:hint="eastAsia"/>
          <w:color w:val="000000" w:themeColor="text1"/>
        </w:rPr>
        <w:t>採</w:t>
      </w:r>
      <w:proofErr w:type="gramEnd"/>
      <w:r w:rsidRPr="0042269F">
        <w:rPr>
          <w:rFonts w:hAnsi="標楷體" w:hint="eastAsia"/>
          <w:color w:val="000000" w:themeColor="text1"/>
        </w:rPr>
        <w:t>所謂「法官保留原則」，就人民自由保障而言</w:t>
      </w:r>
      <w:proofErr w:type="gramStart"/>
      <w:r w:rsidRPr="0042269F">
        <w:rPr>
          <w:rFonts w:hAnsi="標楷體"/>
          <w:color w:val="000000" w:themeColor="text1"/>
        </w:rPr>
        <w:t>係指凡限制</w:t>
      </w:r>
      <w:proofErr w:type="gramEnd"/>
      <w:r w:rsidRPr="0042269F">
        <w:rPr>
          <w:rFonts w:hAnsi="標楷體"/>
          <w:color w:val="000000" w:themeColor="text1"/>
        </w:rPr>
        <w:t>人民身體自由之</w:t>
      </w:r>
      <w:r w:rsidRPr="0042269F">
        <w:rPr>
          <w:rFonts w:hAnsi="標楷體" w:hint="eastAsia"/>
          <w:color w:val="000000" w:themeColor="text1"/>
        </w:rPr>
        <w:t>一切</w:t>
      </w:r>
      <w:r w:rsidRPr="0042269F">
        <w:rPr>
          <w:rFonts w:hAnsi="標楷體"/>
          <w:color w:val="000000" w:themeColor="text1"/>
        </w:rPr>
        <w:t>處置，</w:t>
      </w:r>
      <w:proofErr w:type="gramStart"/>
      <w:r w:rsidRPr="0042269F">
        <w:rPr>
          <w:rFonts w:hAnsi="標楷體" w:hint="eastAsia"/>
          <w:color w:val="000000" w:themeColor="text1"/>
        </w:rPr>
        <w:t>均</w:t>
      </w:r>
      <w:r w:rsidRPr="0042269F">
        <w:rPr>
          <w:rFonts w:hAnsi="標楷體"/>
          <w:color w:val="000000" w:themeColor="text1"/>
        </w:rPr>
        <w:t>為憲法</w:t>
      </w:r>
      <w:proofErr w:type="gramEnd"/>
      <w:r w:rsidRPr="0042269F">
        <w:rPr>
          <w:rFonts w:hAnsi="標楷體"/>
          <w:color w:val="000000" w:themeColor="text1"/>
        </w:rPr>
        <w:t>保留之範圍，不問是否屬於刑事被告身分，</w:t>
      </w:r>
      <w:proofErr w:type="gramStart"/>
      <w:r w:rsidRPr="0042269F">
        <w:rPr>
          <w:rFonts w:hAnsi="標楷體"/>
          <w:color w:val="000000" w:themeColor="text1"/>
        </w:rPr>
        <w:t>均受</w:t>
      </w:r>
      <w:r w:rsidRPr="0042269F">
        <w:rPr>
          <w:rFonts w:hAnsi="標楷體" w:hint="eastAsia"/>
          <w:color w:val="000000" w:themeColor="text1"/>
        </w:rPr>
        <w:t>憲法</w:t>
      </w:r>
      <w:proofErr w:type="gramEnd"/>
      <w:r w:rsidRPr="0042269F">
        <w:rPr>
          <w:rFonts w:hAnsi="標楷體" w:hint="eastAsia"/>
          <w:color w:val="000000" w:themeColor="text1"/>
        </w:rPr>
        <w:t>第8條之</w:t>
      </w:r>
      <w:r w:rsidRPr="0042269F">
        <w:rPr>
          <w:rFonts w:hAnsi="標楷體"/>
          <w:color w:val="000000" w:themeColor="text1"/>
        </w:rPr>
        <w:t>保障。</w:t>
      </w:r>
    </w:p>
    <w:p w:rsidR="002620FF" w:rsidRPr="0042269F" w:rsidRDefault="002620FF" w:rsidP="002620FF">
      <w:pPr>
        <w:pStyle w:val="42"/>
        <w:ind w:left="1701" w:firstLine="680"/>
        <w:rPr>
          <w:rFonts w:hAnsi="標楷體"/>
          <w:color w:val="000000" w:themeColor="text1"/>
        </w:rPr>
      </w:pPr>
      <w:r w:rsidRPr="0042269F">
        <w:rPr>
          <w:rFonts w:hAnsi="標楷體" w:hint="eastAsia"/>
          <w:color w:val="000000" w:themeColor="text1"/>
        </w:rPr>
        <w:lastRenderedPageBreak/>
        <w:t>按憲法第8條第1項與第2項規定，人民身體之自由應予保障。除現行犯之逮捕由法律</w:t>
      </w:r>
      <w:proofErr w:type="gramStart"/>
      <w:r w:rsidRPr="0042269F">
        <w:rPr>
          <w:rFonts w:hAnsi="標楷體" w:hint="eastAsia"/>
          <w:color w:val="000000" w:themeColor="text1"/>
        </w:rPr>
        <w:t>另定外</w:t>
      </w:r>
      <w:proofErr w:type="gramEnd"/>
      <w:r w:rsidRPr="0042269F">
        <w:rPr>
          <w:rFonts w:hAnsi="標楷體" w:hint="eastAsia"/>
          <w:color w:val="000000" w:themeColor="text1"/>
        </w:rPr>
        <w:t>，非經司法或警察機關依法定程序，不得逮捕拘禁。非由法院依法定程序，不得審問處罰。非依法定程序之逮捕、拘禁、審問、處罰，得拒絕之。人民因犯罪嫌疑被逮捕拘禁時，其逮捕拘禁機關應將逮捕拘禁原因，以書面告知本人及其本人指定之親友，並至遲於24小時內移送該管法院審問。司法院釋字第384號解釋稱，</w:t>
      </w:r>
      <w:r w:rsidRPr="0042269F">
        <w:rPr>
          <w:rFonts w:hAnsi="標楷體"/>
          <w:color w:val="000000" w:themeColor="text1"/>
        </w:rPr>
        <w:t>人民身體自由享有充分保障，乃行使其憲法上所保障其他自由權利之前提，為重要之基本人權。</w:t>
      </w:r>
      <w:r w:rsidRPr="0042269F">
        <w:rPr>
          <w:rFonts w:hAnsi="標楷體" w:hint="eastAsia"/>
          <w:color w:val="000000" w:themeColor="text1"/>
        </w:rPr>
        <w:t>故</w:t>
      </w:r>
      <w:r w:rsidRPr="0042269F">
        <w:rPr>
          <w:rFonts w:hAnsi="標楷體"/>
          <w:color w:val="000000" w:themeColor="text1"/>
        </w:rPr>
        <w:t>憲法第</w:t>
      </w:r>
      <w:r w:rsidRPr="0042269F">
        <w:rPr>
          <w:rFonts w:hAnsi="標楷體" w:hint="eastAsia"/>
          <w:color w:val="000000" w:themeColor="text1"/>
        </w:rPr>
        <w:t>8</w:t>
      </w:r>
      <w:r w:rsidRPr="0042269F">
        <w:rPr>
          <w:rFonts w:hAnsi="標楷體"/>
          <w:color w:val="000000" w:themeColor="text1"/>
        </w:rPr>
        <w:t>條第1項規定</w:t>
      </w:r>
      <w:proofErr w:type="gramStart"/>
      <w:r w:rsidRPr="0042269F">
        <w:rPr>
          <w:rFonts w:hAnsi="標楷體"/>
          <w:color w:val="000000" w:themeColor="text1"/>
        </w:rPr>
        <w:t>係指凡限制</w:t>
      </w:r>
      <w:proofErr w:type="gramEnd"/>
      <w:r w:rsidRPr="0042269F">
        <w:rPr>
          <w:rFonts w:hAnsi="標楷體"/>
          <w:color w:val="000000" w:themeColor="text1"/>
        </w:rPr>
        <w:t>人民身體自由之處置，在一定限度內為憲法保留之範圍，不問是否屬於刑事被告身分，</w:t>
      </w:r>
      <w:proofErr w:type="gramStart"/>
      <w:r w:rsidRPr="0042269F">
        <w:rPr>
          <w:rFonts w:hAnsi="標楷體"/>
          <w:color w:val="000000" w:themeColor="text1"/>
        </w:rPr>
        <w:t>均受上</w:t>
      </w:r>
      <w:proofErr w:type="gramEnd"/>
      <w:r w:rsidRPr="0042269F">
        <w:rPr>
          <w:rFonts w:hAnsi="標楷體"/>
          <w:color w:val="000000" w:themeColor="text1"/>
        </w:rPr>
        <w:t>開規定之保障。除現行犯之逮捕，由法律</w:t>
      </w:r>
      <w:proofErr w:type="gramStart"/>
      <w:r w:rsidRPr="0042269F">
        <w:rPr>
          <w:rFonts w:hAnsi="標楷體"/>
          <w:color w:val="000000" w:themeColor="text1"/>
        </w:rPr>
        <w:t>另定外</w:t>
      </w:r>
      <w:proofErr w:type="gramEnd"/>
      <w:r w:rsidRPr="0042269F">
        <w:rPr>
          <w:rFonts w:hAnsi="標楷體"/>
          <w:color w:val="000000" w:themeColor="text1"/>
        </w:rPr>
        <w:t>，其他事項所定之程序，亦須以法律定之，且立法機關於制定法律時，其內容更須合於實質正當，並應符合憲法第23條所定之條件，此乃屬人身自由之制度性保障</w:t>
      </w:r>
      <w:r w:rsidRPr="0042269F">
        <w:rPr>
          <w:rFonts w:hAnsi="標楷體" w:hint="eastAsia"/>
          <w:color w:val="000000" w:themeColor="text1"/>
        </w:rPr>
        <w:t>；而</w:t>
      </w:r>
      <w:r w:rsidRPr="0042269F">
        <w:rPr>
          <w:rFonts w:hAnsi="標楷體"/>
          <w:color w:val="000000" w:themeColor="text1"/>
        </w:rPr>
        <w:t>實質正當之法律程序，兼指實體法及程序法規定之內容，就實體法而言，如須遵守罪刑法定主義；就程序法而言，如犯罪嫌疑人除現行犯外，其逮捕應</w:t>
      </w:r>
      <w:proofErr w:type="gramStart"/>
      <w:r w:rsidRPr="0042269F">
        <w:rPr>
          <w:rFonts w:hAnsi="標楷體"/>
          <w:color w:val="000000" w:themeColor="text1"/>
        </w:rPr>
        <w:t>踐行</w:t>
      </w:r>
      <w:proofErr w:type="gramEnd"/>
      <w:r w:rsidRPr="0042269F">
        <w:rPr>
          <w:rFonts w:hAnsi="標楷體"/>
          <w:color w:val="000000" w:themeColor="text1"/>
        </w:rPr>
        <w:t>必要之司法程序、被告自白須出於自由意志、犯罪事實應依證據認定、同一行為不得重覆處罰、當事人有與證人對質或詰問證人之權利、審判與檢察之分離、審判過程以公開為原則及對裁判不服提供審級救濟等為</w:t>
      </w:r>
      <w:proofErr w:type="gramStart"/>
      <w:r w:rsidRPr="0042269F">
        <w:rPr>
          <w:rFonts w:hAnsi="標楷體"/>
          <w:color w:val="000000" w:themeColor="text1"/>
        </w:rPr>
        <w:t>其要者</w:t>
      </w:r>
      <w:proofErr w:type="gramEnd"/>
      <w:r w:rsidRPr="0042269F">
        <w:rPr>
          <w:rFonts w:hAnsi="標楷體"/>
          <w:color w:val="000000" w:themeColor="text1"/>
        </w:rPr>
        <w:t>。除依法宣告戒嚴或國家、人民處於緊急危難之狀態，容許其有必要之例外情形外，各種法律之規定，</w:t>
      </w:r>
      <w:proofErr w:type="gramStart"/>
      <w:r w:rsidRPr="0042269F">
        <w:rPr>
          <w:rFonts w:hAnsi="標楷體"/>
          <w:color w:val="000000" w:themeColor="text1"/>
        </w:rPr>
        <w:t>倘與上述</w:t>
      </w:r>
      <w:proofErr w:type="gramEnd"/>
      <w:r w:rsidRPr="0042269F">
        <w:rPr>
          <w:rFonts w:hAnsi="標楷體"/>
          <w:color w:val="000000" w:themeColor="text1"/>
        </w:rPr>
        <w:t>各項原則</w:t>
      </w:r>
      <w:proofErr w:type="gramStart"/>
      <w:r w:rsidRPr="0042269F">
        <w:rPr>
          <w:rFonts w:hAnsi="標楷體"/>
          <w:color w:val="000000" w:themeColor="text1"/>
        </w:rPr>
        <w:t>悖離</w:t>
      </w:r>
      <w:proofErr w:type="gramEnd"/>
      <w:r w:rsidRPr="0042269F">
        <w:rPr>
          <w:rFonts w:hAnsi="標楷體"/>
          <w:color w:val="000000" w:themeColor="text1"/>
        </w:rPr>
        <w:t>，即應認為有違憲法上實質正當之法律程序。</w:t>
      </w:r>
      <w:r w:rsidRPr="0042269F">
        <w:rPr>
          <w:rFonts w:hAnsi="標楷體" w:hint="eastAsia"/>
          <w:color w:val="000000" w:themeColor="text1"/>
        </w:rPr>
        <w:t>同院釋字第392號解釋稱，憲法第8</w:t>
      </w:r>
      <w:r w:rsidRPr="0042269F">
        <w:rPr>
          <w:rFonts w:hAnsi="標楷體" w:hint="eastAsia"/>
          <w:color w:val="000000" w:themeColor="text1"/>
        </w:rPr>
        <w:lastRenderedPageBreak/>
        <w:t>條第1項、第2項所規定之「審問」，係指法院審理之訊問，其無審判權者既不得為之，則此兩項所稱之「法院」，當指有審判權之法官所構成之獨任或合議之法院之謂。法院以外之逮捕拘禁機關，依上開憲法第8條第2項規定，應至遲於24小時內，將因犯罪嫌疑被逮捕拘禁之人民移送該管法院審問。</w:t>
      </w:r>
      <w:proofErr w:type="gramStart"/>
      <w:r w:rsidRPr="0042269F">
        <w:rPr>
          <w:rFonts w:hAnsi="標楷體" w:hint="eastAsia"/>
          <w:color w:val="000000" w:themeColor="text1"/>
        </w:rPr>
        <w:t>從而，</w:t>
      </w:r>
      <w:proofErr w:type="gramEnd"/>
      <w:r w:rsidRPr="0042269F">
        <w:rPr>
          <w:rFonts w:hAnsi="標楷體"/>
          <w:color w:val="000000" w:themeColor="text1"/>
        </w:rPr>
        <w:t>憲法第</w:t>
      </w:r>
      <w:r w:rsidRPr="0042269F">
        <w:rPr>
          <w:rFonts w:hAnsi="標楷體" w:hint="eastAsia"/>
          <w:color w:val="000000" w:themeColor="text1"/>
        </w:rPr>
        <w:t>8</w:t>
      </w:r>
      <w:r w:rsidRPr="0042269F">
        <w:rPr>
          <w:rFonts w:hAnsi="標楷體"/>
          <w:color w:val="000000" w:themeColor="text1"/>
        </w:rPr>
        <w:t>條第1項規定人</w:t>
      </w:r>
      <w:r w:rsidRPr="0042269F">
        <w:rPr>
          <w:rFonts w:hAnsi="標楷體" w:hint="eastAsia"/>
          <w:color w:val="000000" w:themeColor="text1"/>
        </w:rPr>
        <w:t>身</w:t>
      </w:r>
      <w:r w:rsidRPr="0042269F">
        <w:rPr>
          <w:rFonts w:hAnsi="標楷體"/>
          <w:color w:val="000000" w:themeColor="text1"/>
        </w:rPr>
        <w:t>自由</w:t>
      </w:r>
      <w:r w:rsidRPr="0042269F">
        <w:rPr>
          <w:rFonts w:hAnsi="標楷體" w:hint="eastAsia"/>
          <w:color w:val="000000" w:themeColor="text1"/>
        </w:rPr>
        <w:t>保障</w:t>
      </w:r>
      <w:r w:rsidRPr="0042269F">
        <w:rPr>
          <w:rFonts w:hAnsi="標楷體"/>
          <w:color w:val="000000" w:themeColor="text1"/>
        </w:rPr>
        <w:t>，不問是否屬於刑事被告身分，</w:t>
      </w:r>
      <w:proofErr w:type="gramStart"/>
      <w:r w:rsidRPr="0042269F">
        <w:rPr>
          <w:rFonts w:hAnsi="標楷體" w:hint="eastAsia"/>
          <w:color w:val="000000" w:themeColor="text1"/>
        </w:rPr>
        <w:t>均</w:t>
      </w:r>
      <w:r w:rsidRPr="0042269F">
        <w:rPr>
          <w:rFonts w:hAnsi="標楷體"/>
          <w:color w:val="000000" w:themeColor="text1"/>
        </w:rPr>
        <w:t>為憲法</w:t>
      </w:r>
      <w:proofErr w:type="gramEnd"/>
      <w:r w:rsidRPr="0042269F">
        <w:rPr>
          <w:rFonts w:hAnsi="標楷體"/>
          <w:color w:val="000000" w:themeColor="text1"/>
        </w:rPr>
        <w:t>保留之範圍</w:t>
      </w:r>
      <w:r w:rsidRPr="0042269F">
        <w:rPr>
          <w:rFonts w:hAnsi="標楷體" w:hint="eastAsia"/>
          <w:color w:val="000000" w:themeColor="text1"/>
        </w:rPr>
        <w:t>，有法官保留原則之適用。</w:t>
      </w:r>
    </w:p>
    <w:p w:rsidR="002620FF" w:rsidRPr="0042269F" w:rsidRDefault="002620FF" w:rsidP="002620FF">
      <w:pPr>
        <w:pStyle w:val="1"/>
        <w:numPr>
          <w:ilvl w:val="3"/>
          <w:numId w:val="6"/>
        </w:numPr>
        <w:rPr>
          <w:rFonts w:hAnsi="標楷體"/>
          <w:color w:val="000000" w:themeColor="text1"/>
        </w:rPr>
      </w:pPr>
      <w:r w:rsidRPr="0042269F">
        <w:rPr>
          <w:rFonts w:hAnsi="標楷體" w:hint="eastAsia"/>
          <w:color w:val="000000" w:themeColor="text1"/>
        </w:rPr>
        <w:t>人身自由保障雖依據憲法第8條規定有法官保留原則之適用，但得依據事物本質，就法規範保障之內涵與</w:t>
      </w:r>
      <w:r w:rsidRPr="0042269F">
        <w:rPr>
          <w:rFonts w:hAnsi="標楷體"/>
          <w:color w:val="000000" w:themeColor="text1"/>
        </w:rPr>
        <w:t>人身自由限制</w:t>
      </w:r>
      <w:r w:rsidRPr="0042269F">
        <w:rPr>
          <w:rFonts w:hAnsi="標楷體" w:hint="eastAsia"/>
          <w:color w:val="000000" w:themeColor="text1"/>
        </w:rPr>
        <w:t>程度等，採用事前、</w:t>
      </w:r>
      <w:r w:rsidR="00C13B10" w:rsidRPr="0042269F">
        <w:rPr>
          <w:rFonts w:hAnsi="標楷體" w:hint="eastAsia"/>
          <w:color w:val="000000" w:themeColor="text1"/>
        </w:rPr>
        <w:t>事後司法審查</w:t>
      </w:r>
      <w:r w:rsidRPr="0042269F">
        <w:rPr>
          <w:rFonts w:hAnsi="標楷體" w:hint="eastAsia"/>
          <w:color w:val="000000" w:themeColor="text1"/>
        </w:rPr>
        <w:t>或單純提審制度，並就審查期限為合理差別待遇，惟仍應</w:t>
      </w:r>
      <w:proofErr w:type="gramStart"/>
      <w:r w:rsidRPr="0042269F">
        <w:rPr>
          <w:rFonts w:hAnsi="標楷體" w:hint="eastAsia"/>
          <w:color w:val="000000" w:themeColor="text1"/>
        </w:rPr>
        <w:t>踐行</w:t>
      </w:r>
      <w:proofErr w:type="gramEnd"/>
      <w:r w:rsidRPr="0042269F">
        <w:rPr>
          <w:rFonts w:hAnsi="標楷體" w:hint="eastAsia"/>
          <w:color w:val="000000" w:themeColor="text1"/>
        </w:rPr>
        <w:t>正當法律程序原則為適當之審問。</w:t>
      </w:r>
    </w:p>
    <w:p w:rsidR="002620FF" w:rsidRPr="0042269F" w:rsidRDefault="002620FF" w:rsidP="002620FF">
      <w:pPr>
        <w:pStyle w:val="42"/>
        <w:ind w:left="1701" w:firstLine="680"/>
        <w:rPr>
          <w:rFonts w:hAnsi="標楷體"/>
          <w:color w:val="000000" w:themeColor="text1"/>
        </w:rPr>
      </w:pPr>
      <w:r w:rsidRPr="0042269F">
        <w:rPr>
          <w:rFonts w:hAnsi="標楷體" w:hint="eastAsia"/>
          <w:color w:val="000000" w:themeColor="text1"/>
        </w:rPr>
        <w:t>按司法院釋字第588號解釋理由書就行政程序法拘提管收部分稱，</w:t>
      </w:r>
      <w:r w:rsidRPr="0042269F">
        <w:rPr>
          <w:rFonts w:hAnsi="標楷體"/>
          <w:color w:val="000000" w:themeColor="text1"/>
        </w:rPr>
        <w:t>人身自由乃人民行使其憲法上各項自由權利所不可或缺之前提，憲法第8條第1項規定所稱「法定程序」，</w:t>
      </w:r>
      <w:proofErr w:type="gramStart"/>
      <w:r w:rsidRPr="0042269F">
        <w:rPr>
          <w:rFonts w:hAnsi="標楷體"/>
          <w:color w:val="000000" w:themeColor="text1"/>
        </w:rPr>
        <w:t>係指凡限制</w:t>
      </w:r>
      <w:proofErr w:type="gramEnd"/>
      <w:r w:rsidRPr="0042269F">
        <w:rPr>
          <w:rFonts w:hAnsi="標楷體"/>
          <w:color w:val="000000" w:themeColor="text1"/>
        </w:rPr>
        <w:t>人民身體自由之處置，不問其是否屬於刑事被告之身分，除須有法律之依據外，尚須分別</w:t>
      </w:r>
      <w:proofErr w:type="gramStart"/>
      <w:r w:rsidRPr="0042269F">
        <w:rPr>
          <w:rFonts w:hAnsi="標楷體"/>
          <w:color w:val="000000" w:themeColor="text1"/>
        </w:rPr>
        <w:t>踐行</w:t>
      </w:r>
      <w:proofErr w:type="gramEnd"/>
      <w:r w:rsidRPr="0042269F">
        <w:rPr>
          <w:rFonts w:hAnsi="標楷體"/>
          <w:color w:val="000000" w:themeColor="text1"/>
        </w:rPr>
        <w:t>必要之司法程序或其他正當法律程序，始得為之。此項程序固屬憲法保留之範疇，</w:t>
      </w:r>
      <w:proofErr w:type="gramStart"/>
      <w:r w:rsidRPr="0042269F">
        <w:rPr>
          <w:rFonts w:hAnsi="標楷體"/>
          <w:color w:val="000000" w:themeColor="text1"/>
        </w:rPr>
        <w:t>縱係立法機關</w:t>
      </w:r>
      <w:proofErr w:type="gramEnd"/>
      <w:r w:rsidRPr="0042269F">
        <w:rPr>
          <w:rFonts w:hAnsi="標楷體"/>
          <w:color w:val="000000" w:themeColor="text1"/>
        </w:rPr>
        <w:t>亦不得制定法律而</w:t>
      </w:r>
      <w:proofErr w:type="gramStart"/>
      <w:r w:rsidRPr="0042269F">
        <w:rPr>
          <w:rFonts w:hAnsi="標楷體"/>
          <w:color w:val="000000" w:themeColor="text1"/>
        </w:rPr>
        <w:t>遽</w:t>
      </w:r>
      <w:proofErr w:type="gramEnd"/>
      <w:r w:rsidRPr="0042269F">
        <w:rPr>
          <w:rFonts w:hAnsi="標楷體"/>
          <w:color w:val="000000" w:themeColor="text1"/>
        </w:rPr>
        <w:t>予剝奪；</w:t>
      </w:r>
      <w:proofErr w:type="gramStart"/>
      <w:r w:rsidRPr="0042269F">
        <w:rPr>
          <w:rFonts w:hAnsi="標楷體"/>
          <w:color w:val="000000" w:themeColor="text1"/>
        </w:rPr>
        <w:t>惟</w:t>
      </w:r>
      <w:proofErr w:type="gramEnd"/>
      <w:r w:rsidRPr="0042269F">
        <w:rPr>
          <w:rFonts w:hAnsi="標楷體"/>
          <w:color w:val="000000" w:themeColor="text1"/>
        </w:rPr>
        <w:t>刑事被告與非刑事被告之人身自由限制，畢竟有其本質上之差異，是其必須</w:t>
      </w:r>
      <w:proofErr w:type="gramStart"/>
      <w:r w:rsidRPr="0042269F">
        <w:rPr>
          <w:rFonts w:hAnsi="標楷體"/>
          <w:color w:val="000000" w:themeColor="text1"/>
        </w:rPr>
        <w:t>踐行</w:t>
      </w:r>
      <w:proofErr w:type="gramEnd"/>
      <w:r w:rsidRPr="0042269F">
        <w:rPr>
          <w:rFonts w:hAnsi="標楷體"/>
          <w:color w:val="000000" w:themeColor="text1"/>
        </w:rPr>
        <w:t>之司法程序或其他正當法律程序，自</w:t>
      </w:r>
      <w:proofErr w:type="gramStart"/>
      <w:r w:rsidRPr="0042269F">
        <w:rPr>
          <w:rFonts w:hAnsi="標楷體"/>
          <w:color w:val="000000" w:themeColor="text1"/>
        </w:rPr>
        <w:t>非均須同一</w:t>
      </w:r>
      <w:proofErr w:type="gramEnd"/>
      <w:r w:rsidRPr="0042269F">
        <w:rPr>
          <w:rFonts w:hAnsi="標楷體"/>
          <w:color w:val="000000" w:themeColor="text1"/>
        </w:rPr>
        <w:t>不可。</w:t>
      </w:r>
    </w:p>
    <w:p w:rsidR="002620FF" w:rsidRPr="0042269F" w:rsidRDefault="002620FF" w:rsidP="002620FF">
      <w:pPr>
        <w:pStyle w:val="1"/>
        <w:numPr>
          <w:ilvl w:val="2"/>
          <w:numId w:val="6"/>
        </w:numPr>
        <w:rPr>
          <w:rFonts w:hAnsi="標楷體"/>
          <w:b/>
          <w:color w:val="000000" w:themeColor="text1"/>
        </w:rPr>
      </w:pPr>
      <w:r w:rsidRPr="0042269F">
        <w:rPr>
          <w:rFonts w:hAnsi="標楷體" w:hint="eastAsia"/>
          <w:b/>
          <w:color w:val="000000" w:themeColor="text1"/>
        </w:rPr>
        <w:t>聯合國公民與政治權利國際公約對我國法律具有法定之拘束力，對於人身自由之保障，亦與我國憲法第8條雷同，適用「法官保留原則」，並有迅速審</w:t>
      </w:r>
      <w:r w:rsidRPr="0042269F">
        <w:rPr>
          <w:rFonts w:hAnsi="標楷體" w:hint="eastAsia"/>
          <w:b/>
          <w:color w:val="000000" w:themeColor="text1"/>
        </w:rPr>
        <w:lastRenderedPageBreak/>
        <w:t>理義務之要求，其適用範圍並不限刑事案件，「非依法定理由及程序」之判斷標準除「違法」外，亦包括「任意」，法庭應於合理期間內審訊或釋放被拘禁人，以符合「迅速」標準，並應確保符合公平法院原則，</w:t>
      </w:r>
      <w:proofErr w:type="gramStart"/>
      <w:r w:rsidRPr="0042269F">
        <w:rPr>
          <w:rFonts w:hAnsi="標楷體" w:hint="eastAsia"/>
          <w:b/>
          <w:color w:val="000000" w:themeColor="text1"/>
        </w:rPr>
        <w:t>俾</w:t>
      </w:r>
      <w:proofErr w:type="gramEnd"/>
      <w:r w:rsidRPr="0042269F">
        <w:rPr>
          <w:rFonts w:hAnsi="標楷體" w:hint="eastAsia"/>
          <w:b/>
          <w:color w:val="000000" w:themeColor="text1"/>
        </w:rPr>
        <w:t>維基本人權。</w:t>
      </w:r>
    </w:p>
    <w:p w:rsidR="002620FF" w:rsidRPr="0042269F" w:rsidRDefault="002620FF" w:rsidP="002620FF">
      <w:pPr>
        <w:pStyle w:val="1"/>
        <w:numPr>
          <w:ilvl w:val="3"/>
          <w:numId w:val="6"/>
        </w:numPr>
        <w:rPr>
          <w:rFonts w:hAnsi="標楷體"/>
          <w:color w:val="000000" w:themeColor="text1"/>
        </w:rPr>
      </w:pPr>
      <w:r w:rsidRPr="0042269F">
        <w:rPr>
          <w:rFonts w:hAnsi="標楷體" w:hint="eastAsia"/>
          <w:color w:val="000000" w:themeColor="text1"/>
        </w:rPr>
        <w:t>聯合國公民與政治權利國際公約對我國法律具有法定之拘束力，其他法令不得與之牴觸，而不同於一般法效力。</w:t>
      </w:r>
    </w:p>
    <w:p w:rsidR="002620FF" w:rsidRPr="0042269F" w:rsidRDefault="002620FF" w:rsidP="002620FF">
      <w:pPr>
        <w:pStyle w:val="42"/>
        <w:ind w:left="1701" w:firstLine="680"/>
        <w:rPr>
          <w:rFonts w:hAnsi="標楷體"/>
          <w:color w:val="000000" w:themeColor="text1"/>
        </w:rPr>
      </w:pPr>
      <w:r w:rsidRPr="0042269F">
        <w:rPr>
          <w:rFonts w:hAnsi="標楷體" w:hint="eastAsia"/>
          <w:color w:val="000000" w:themeColor="text1"/>
        </w:rPr>
        <w:t>按聯合國公民與政治權利國際公約及經濟社會文化權利國際公約（下稱兩公約）施行法第2條規定，兩公約所揭示保障人權之規定，具有國內法律之效力。同法第3條規定，適用兩公約規定，應參照其立法意旨及兩公約人權事務委員會之解釋。同法第4條規定，各級政府機關行使其職權，應符合兩公約有關人權保障之規定，避免侵害人權，保護人民不受他人侵害，並應積極促進各項人權之實現。同法第8條規定，各級政府機關應依兩公約規定之內容，檢討所主管之法令及行政措施，有不符兩公約規定者，應於本法施行後</w:t>
      </w:r>
      <w:r w:rsidR="002E084D" w:rsidRPr="0042269F">
        <w:rPr>
          <w:rFonts w:hAnsi="標楷體" w:hint="eastAsia"/>
          <w:color w:val="000000" w:themeColor="text1"/>
        </w:rPr>
        <w:t>2年內</w:t>
      </w:r>
      <w:r w:rsidRPr="0042269F">
        <w:rPr>
          <w:rFonts w:hAnsi="標楷體" w:hint="eastAsia"/>
          <w:color w:val="000000" w:themeColor="text1"/>
        </w:rPr>
        <w:t>，完成法令之制（訂）定、修正或廢止及行政措施之改進，是則，聯合國公民與政治權利國際公約對我國法律具有法定之拘束力，其他法令不得與之牴觸，而不同於一般法效力。</w:t>
      </w:r>
    </w:p>
    <w:p w:rsidR="002620FF" w:rsidRPr="0042269F" w:rsidRDefault="002620FF" w:rsidP="002620FF">
      <w:pPr>
        <w:pStyle w:val="1"/>
        <w:numPr>
          <w:ilvl w:val="3"/>
          <w:numId w:val="6"/>
        </w:numPr>
        <w:rPr>
          <w:rFonts w:hAnsi="標楷體"/>
          <w:color w:val="000000" w:themeColor="text1"/>
        </w:rPr>
      </w:pPr>
      <w:r w:rsidRPr="0042269F">
        <w:rPr>
          <w:rFonts w:hAnsi="標楷體" w:hint="eastAsia"/>
          <w:color w:val="000000" w:themeColor="text1"/>
        </w:rPr>
        <w:t>聯合國公民與政治權利國際公約第9條規定，對於人身自由之保障，亦與我國憲法第8條雷同，適用「法官保留原則」，並有迅速審理義務之要求。</w:t>
      </w:r>
    </w:p>
    <w:p w:rsidR="002620FF" w:rsidRPr="0042269F" w:rsidRDefault="002620FF" w:rsidP="002620FF">
      <w:pPr>
        <w:pStyle w:val="42"/>
        <w:ind w:left="1701" w:firstLine="680"/>
        <w:rPr>
          <w:rFonts w:hAnsi="標楷體"/>
          <w:color w:val="000000" w:themeColor="text1"/>
        </w:rPr>
      </w:pPr>
      <w:r w:rsidRPr="0042269F">
        <w:rPr>
          <w:rFonts w:hAnsi="標楷體" w:hint="eastAsia"/>
          <w:color w:val="000000" w:themeColor="text1"/>
        </w:rPr>
        <w:t>查聯合國公民與政治權利國際公約第9條規定，人人有權享有身體自由及人身安全。任何人不得無理予以逮捕或拘禁。非依法定理由及程</w:t>
      </w:r>
      <w:r w:rsidRPr="0042269F">
        <w:rPr>
          <w:rFonts w:hAnsi="標楷體" w:hint="eastAsia"/>
          <w:color w:val="000000" w:themeColor="text1"/>
        </w:rPr>
        <w:lastRenderedPageBreak/>
        <w:t>序，不得剝奪任何人之自由。執行逮捕時，應當場向</w:t>
      </w:r>
      <w:proofErr w:type="gramStart"/>
      <w:r w:rsidRPr="0042269F">
        <w:rPr>
          <w:rFonts w:hAnsi="標楷體" w:hint="eastAsia"/>
          <w:color w:val="000000" w:themeColor="text1"/>
        </w:rPr>
        <w:t>被捕人宣告</w:t>
      </w:r>
      <w:proofErr w:type="gramEnd"/>
      <w:r w:rsidRPr="0042269F">
        <w:rPr>
          <w:rFonts w:hAnsi="標楷體" w:hint="eastAsia"/>
          <w:color w:val="000000" w:themeColor="text1"/>
        </w:rPr>
        <w:t>逮捕原因，並應隨即告知被控案由。因刑事罪名而被逮捕或拘禁之人，應迅即解送法官或依法執行司法權力之其他官員，並</w:t>
      </w:r>
      <w:r w:rsidR="009B0045" w:rsidRPr="0042269F">
        <w:rPr>
          <w:rFonts w:hAnsi="標楷體" w:hint="eastAsia"/>
          <w:color w:val="000000" w:themeColor="text1"/>
        </w:rPr>
        <w:t>應於合理期間內審訊或釋放。候訊人通常不得加以羈押，但釋放得令具結</w:t>
      </w:r>
      <w:r w:rsidRPr="0042269F">
        <w:rPr>
          <w:rFonts w:hAnsi="標楷體" w:hint="eastAsia"/>
          <w:color w:val="000000" w:themeColor="text1"/>
        </w:rPr>
        <w:t>，於審訊時，於司法程序之任何其他階段、並於一旦執行判決時，候傳到場。任何人因逮捕或拘禁而被奪自由時，有權聲請法院提審，以迅速決定其拘禁是否合法，如屬非法，應即令釋放，是則，聯合國公民與政治權利國際公約第9條規定，對於人身自由之保障，亦與我國憲法第8條雷同，適用「法官保留原則」，並有迅速審理義務之要求。</w:t>
      </w:r>
    </w:p>
    <w:p w:rsidR="002620FF" w:rsidRPr="0042269F" w:rsidRDefault="002620FF" w:rsidP="002620FF">
      <w:pPr>
        <w:pStyle w:val="1"/>
        <w:numPr>
          <w:ilvl w:val="3"/>
          <w:numId w:val="6"/>
        </w:numPr>
        <w:rPr>
          <w:rFonts w:hAnsi="標楷體"/>
          <w:color w:val="000000" w:themeColor="text1"/>
        </w:rPr>
      </w:pPr>
      <w:r w:rsidRPr="0042269F">
        <w:rPr>
          <w:rFonts w:hAnsi="標楷體" w:hint="eastAsia"/>
          <w:color w:val="000000" w:themeColor="text1"/>
        </w:rPr>
        <w:t>聯合國人權事務委員會對上開公約第9條解釋認為，所規定拘禁之程序其適用範圍並不限刑事案件，尚包括精神病、遊蕩、吸毒成癮、為教育目的、管制移民等拘禁作為，其「非依法定理由及程序」之判斷標準除「違法」外，亦包括「任意」，使文義射程範圍包括不適當、不正當、缺乏可預見性和正當法律程序，以及合理性、必要性和</w:t>
      </w:r>
      <w:r w:rsidR="00FF5419" w:rsidRPr="0042269F">
        <w:rPr>
          <w:rFonts w:hAnsi="標楷體" w:hint="eastAsia"/>
          <w:color w:val="000000" w:themeColor="text1"/>
        </w:rPr>
        <w:t>比例性</w:t>
      </w:r>
      <w:r w:rsidRPr="0042269F">
        <w:rPr>
          <w:rFonts w:hAnsi="標楷體" w:hint="eastAsia"/>
          <w:color w:val="000000" w:themeColor="text1"/>
        </w:rPr>
        <w:t>等要素。其人身自由最終判斷之決定權，應基於「法官保留原則」由法庭決定拘禁是否合理，於合理期間內審訊或釋放被拘禁人，符合「迅速」標準，被捕者帶到和準備進行司法聽證以</w:t>
      </w:r>
      <w:r w:rsidRPr="0042269F">
        <w:rPr>
          <w:rFonts w:hAnsi="標楷體"/>
          <w:color w:val="000000" w:themeColor="text1"/>
        </w:rPr>
        <w:t>48</w:t>
      </w:r>
      <w:r w:rsidRPr="0042269F">
        <w:rPr>
          <w:rFonts w:hAnsi="標楷體" w:hint="eastAsia"/>
          <w:color w:val="000000" w:themeColor="text1"/>
        </w:rPr>
        <w:t>小時為限，在少年案件中，應以24小時為限，並應確保符合公平法院原則，諸如給予被拘禁人接觸律師與公開審理之權利。</w:t>
      </w:r>
    </w:p>
    <w:p w:rsidR="002620FF" w:rsidRPr="0042269F" w:rsidRDefault="002620FF" w:rsidP="00750DBC">
      <w:pPr>
        <w:pStyle w:val="5"/>
        <w:ind w:left="2041"/>
        <w:rPr>
          <w:rFonts w:hAnsi="標楷體"/>
          <w:color w:val="000000" w:themeColor="text1"/>
        </w:rPr>
      </w:pPr>
      <w:r w:rsidRPr="0042269F">
        <w:rPr>
          <w:rFonts w:hAnsi="標楷體" w:hint="eastAsia"/>
          <w:color w:val="000000" w:themeColor="text1"/>
        </w:rPr>
        <w:t>聯合國人權事務委員會第8號一般性意見</w:t>
      </w:r>
      <w:r w:rsidRPr="0042269F">
        <w:rPr>
          <w:rFonts w:hAnsi="標楷體"/>
          <w:color w:val="000000" w:themeColor="text1"/>
          <w:vertAlign w:val="superscript"/>
        </w:rPr>
        <w:footnoteReference w:id="1"/>
      </w:r>
      <w:r w:rsidRPr="0042269F">
        <w:rPr>
          <w:rFonts w:hAnsi="標楷體" w:hint="eastAsia"/>
          <w:color w:val="000000" w:themeColor="text1"/>
        </w:rPr>
        <w:t>認</w:t>
      </w:r>
      <w:r w:rsidRPr="0042269F">
        <w:rPr>
          <w:rFonts w:hAnsi="標楷體" w:hint="eastAsia"/>
          <w:color w:val="000000" w:themeColor="text1"/>
        </w:rPr>
        <w:lastRenderedPageBreak/>
        <w:t>為，第9條第1項適用於剝奪自由的一切情況，不論他涉及刑事案件或涉及諸如精神疾病(含藥癮)、遊蕩、吸毒成癮、為教育目的、管制移民等其他情況。第4項為國家的重要保證，亦即應由法院決定拘禁是否合法，適用於因逮捕或拘禁而被剝奪自由的任何人。</w:t>
      </w:r>
      <w:proofErr w:type="gramStart"/>
      <w:r w:rsidRPr="0042269F">
        <w:rPr>
          <w:rFonts w:hAnsi="標楷體" w:hint="eastAsia"/>
          <w:color w:val="000000" w:themeColor="text1"/>
        </w:rPr>
        <w:t>此外，</w:t>
      </w:r>
      <w:proofErr w:type="gramEnd"/>
      <w:r w:rsidRPr="0042269F">
        <w:rPr>
          <w:rFonts w:hAnsi="標楷體" w:hint="eastAsia"/>
          <w:color w:val="000000" w:themeColor="text1"/>
        </w:rPr>
        <w:t>依照公約第2條第3項的規定，締約國也必須保證，在個人聲稱被剝奪了自由，因而違反《公約》規定的其他情況下，向他提供有效的救濟（第1點）。因刑事案件被逮捕或拘禁的人，應被「迅速」移送法官或其他經法律授權行使司法權力的官員。在大多數締約國，法律會規定出更明確的時限。該委員會認為，延遲的期限不得超過幾天（第2點）。</w:t>
      </w:r>
    </w:p>
    <w:p w:rsidR="002620FF" w:rsidRPr="0042269F" w:rsidRDefault="002620FF" w:rsidP="00750DBC">
      <w:pPr>
        <w:pStyle w:val="5"/>
        <w:ind w:left="2041"/>
        <w:rPr>
          <w:rFonts w:hAnsi="標楷體"/>
          <w:color w:val="000000" w:themeColor="text1"/>
        </w:rPr>
      </w:pPr>
      <w:r w:rsidRPr="0042269F">
        <w:rPr>
          <w:rFonts w:hAnsi="標楷體" w:hint="eastAsia"/>
          <w:color w:val="000000" w:themeColor="text1"/>
        </w:rPr>
        <w:t>同委員會第35號一般性意見</w:t>
      </w:r>
      <w:r w:rsidRPr="0042269F">
        <w:rPr>
          <w:rStyle w:val="aff1"/>
          <w:rFonts w:hAnsi="標楷體"/>
          <w:color w:val="000000" w:themeColor="text1"/>
        </w:rPr>
        <w:footnoteReference w:id="2"/>
      </w:r>
      <w:r w:rsidRPr="0042269F">
        <w:rPr>
          <w:rFonts w:hAnsi="標楷體" w:hint="eastAsia"/>
          <w:color w:val="000000" w:themeColor="text1"/>
        </w:rPr>
        <w:t>則認為，公約第9條所承認與保護之人身自由和人身安全。正如世界人權宣言第3條所稱，人人有權享有生命、自由和人身安全。其顯示公約第9條對個人和全體社會之深刻意義。人身自由與安全本身就是寶貴的，另外，從歷史上來說，剝奪人身自由與安全從來都是影響享受其他權利的主要手段</w:t>
      </w:r>
      <w:proofErr w:type="gramStart"/>
      <w:r w:rsidRPr="0042269F">
        <w:rPr>
          <w:rFonts w:hAnsi="標楷體" w:hint="eastAsia"/>
          <w:color w:val="000000" w:themeColor="text1"/>
        </w:rPr>
        <w:t>（</w:t>
      </w:r>
      <w:proofErr w:type="gramEnd"/>
      <w:r w:rsidRPr="0042269F">
        <w:rPr>
          <w:rFonts w:hAnsi="標楷體" w:hint="eastAsia"/>
          <w:color w:val="000000" w:themeColor="text1"/>
        </w:rPr>
        <w:t>第2點)。公約第9條第2至5項列舉了保護人身自由與安全具體標準。第9條部分規定(第2項的部分和第3項)</w:t>
      </w:r>
      <w:proofErr w:type="gramStart"/>
      <w:r w:rsidRPr="0042269F">
        <w:rPr>
          <w:rFonts w:hAnsi="標楷體" w:hint="eastAsia"/>
          <w:color w:val="000000" w:themeColor="text1"/>
        </w:rPr>
        <w:t>固僅適用</w:t>
      </w:r>
      <w:proofErr w:type="gramEnd"/>
      <w:r w:rsidRPr="0042269F">
        <w:rPr>
          <w:rFonts w:hAnsi="標楷體" w:hint="eastAsia"/>
          <w:color w:val="000000" w:themeColor="text1"/>
        </w:rPr>
        <w:t>於與刑事訴訟，但其餘部分，特別是第4項規定的重要保障，即由一個法庭對拘禁的合法性進行審查的權利，適用於所有被剝奪自由的人（第4點）。人身自由權並非絕對，第9條也承認，剝奪自由有時是合理，</w:t>
      </w:r>
      <w:r w:rsidRPr="0042269F">
        <w:rPr>
          <w:rFonts w:hAnsi="標楷體" w:hint="eastAsia"/>
          <w:color w:val="000000" w:themeColor="text1"/>
        </w:rPr>
        <w:lastRenderedPageBreak/>
        <w:t>例如，在執行刑法過程中，在第1項要求，除依法執行外，不得任意剝奪自由（第10點）。逮捕或</w:t>
      </w:r>
      <w:proofErr w:type="gramStart"/>
      <w:r w:rsidRPr="0042269F">
        <w:rPr>
          <w:rFonts w:hAnsi="標楷體" w:hint="eastAsia"/>
          <w:color w:val="000000" w:themeColor="text1"/>
        </w:rPr>
        <w:t>拘禁縱係國內</w:t>
      </w:r>
      <w:proofErr w:type="gramEnd"/>
      <w:r w:rsidRPr="0042269F">
        <w:rPr>
          <w:rFonts w:hAnsi="標楷體" w:hint="eastAsia"/>
          <w:color w:val="000000" w:themeColor="text1"/>
        </w:rPr>
        <w:t>法授權，但仍可能屬於任意。「任意」概念不能和「違法」劃等號，必須給予更廣泛的解釋，使其包括不適當、不正當、缺乏可預見性和正當法律程序，以及合理性、必要性和</w:t>
      </w:r>
      <w:r w:rsidR="00FF5419" w:rsidRPr="0042269F">
        <w:rPr>
          <w:rFonts w:hAnsi="標楷體" w:hint="eastAsia"/>
          <w:color w:val="000000" w:themeColor="text1"/>
        </w:rPr>
        <w:t>比例性</w:t>
      </w:r>
      <w:r w:rsidRPr="0042269F">
        <w:rPr>
          <w:rFonts w:hAnsi="標楷體" w:hint="eastAsia"/>
          <w:color w:val="000000" w:themeColor="text1"/>
        </w:rPr>
        <w:t>等要素（第12點）。「逮捕」一詞</w:t>
      </w:r>
      <w:proofErr w:type="gramStart"/>
      <w:r w:rsidRPr="0042269F">
        <w:rPr>
          <w:rFonts w:hAnsi="標楷體" w:hint="eastAsia"/>
          <w:color w:val="000000" w:themeColor="text1"/>
        </w:rPr>
        <w:t>係指抓獲</w:t>
      </w:r>
      <w:proofErr w:type="gramEnd"/>
      <w:r w:rsidRPr="0042269F">
        <w:rPr>
          <w:rFonts w:hAnsi="標楷體" w:hint="eastAsia"/>
          <w:color w:val="000000" w:themeColor="text1"/>
        </w:rPr>
        <w:t>某人從而開始剝奪其自由；「拘禁」一詞係指從逮捕開始的剝奪自由，其延續</w:t>
      </w:r>
      <w:proofErr w:type="gramStart"/>
      <w:r w:rsidRPr="0042269F">
        <w:rPr>
          <w:rFonts w:hAnsi="標楷體" w:hint="eastAsia"/>
          <w:color w:val="000000" w:themeColor="text1"/>
        </w:rPr>
        <w:t>時間從抓獲</w:t>
      </w:r>
      <w:proofErr w:type="gramEnd"/>
      <w:r w:rsidRPr="0042269F">
        <w:rPr>
          <w:rFonts w:hAnsi="標楷體" w:hint="eastAsia"/>
          <w:color w:val="000000" w:themeColor="text1"/>
        </w:rPr>
        <w:t>開始至釋放。公約第9條射程範圍內之逮捕不限於國內法律所界定的正式逮捕。在對已經在押的</w:t>
      </w:r>
      <w:proofErr w:type="gramStart"/>
      <w:r w:rsidRPr="0042269F">
        <w:rPr>
          <w:rFonts w:hAnsi="標楷體" w:hint="eastAsia"/>
          <w:color w:val="000000" w:themeColor="text1"/>
        </w:rPr>
        <w:t>一</w:t>
      </w:r>
      <w:proofErr w:type="gramEnd"/>
      <w:r w:rsidRPr="0042269F">
        <w:rPr>
          <w:rFonts w:hAnsi="標楷體" w:hint="eastAsia"/>
          <w:color w:val="000000" w:themeColor="text1"/>
        </w:rPr>
        <w:t>個人另外實行剝奪自由的情況下，如根據無關的刑事指控實行的拘禁，剝奪自由的開始也相當於逮捕（第13點）。締約國並非為進行刑事訴訟而實行安全拘禁(有時稱為行政拘留或拘禁)的情況下，委員會認為，這種拘禁有成為任意剝奪自由的嚴重危險。這種拘禁一般就等於任意拘禁（第15點）。公約第9條要求，實施合法授權剝奪自由之程序應為法律所定，締約國除應確保符合正當法定程序外，並應符合國內法則如：何時必須從法官或其他官員獲得繼續拘禁的授權；可在何處拘禁人員；必須在何時將被拘禁者帶至法庭；拘禁的法定期限與對逮捕作記錄和允許接觸律師等重要保障。（第23點）。「迅速」的確切意義，固應依客觀情況加以區別，但延滯情形不應超過從逮捕時起的數天。委員會認為，48小時一般足以將被捕者帶到和準備進行司法聽證；超過48小時的任何拖延都必須絕對是例外，而且根據當時情況應當是有道理的。拖延執法人員監管下的拘</w:t>
      </w:r>
      <w:r w:rsidRPr="0042269F">
        <w:rPr>
          <w:rFonts w:hAnsi="標楷體" w:hint="eastAsia"/>
          <w:color w:val="000000" w:themeColor="text1"/>
        </w:rPr>
        <w:lastRenderedPageBreak/>
        <w:t>禁時間而沒有司法管制，會不必要地增加虐待危險。多數締約國的法律都具體規定了時間限制，有些規定少於48小時，不應超過這些時間限制。在少年案件中，應當嚴格適用「迅速」的標準，如24小時（第33點）。必須根據每</w:t>
      </w:r>
      <w:proofErr w:type="gramStart"/>
      <w:r w:rsidRPr="0042269F">
        <w:rPr>
          <w:rFonts w:hAnsi="標楷體" w:hint="eastAsia"/>
          <w:color w:val="000000" w:themeColor="text1"/>
        </w:rPr>
        <w:t>個</w:t>
      </w:r>
      <w:proofErr w:type="gramEnd"/>
      <w:r w:rsidRPr="0042269F">
        <w:rPr>
          <w:rFonts w:hAnsi="標楷體" w:hint="eastAsia"/>
          <w:color w:val="000000" w:themeColor="text1"/>
        </w:rPr>
        <w:t>案件的具體情況評估延誤審判的合理性，同時要考慮到案件的複雜性、被告在訴訟過程中的表現以及行政和司法當局處理問題的方式。完成調查的障礙可以是延長時間的理由，但人手不足或預算限制等一般條件不應成為理由。在有必要延後時，法官必須考慮審判前拘禁的替代辦法。應避免對少年實行審判前拘禁，但如果已經拘禁，根據公約第10條第2項第2款，被拘禁人有權以最快的方式接受審判（第37點）。人身保障適用於流浪拘禁或吸毒拘禁，為教育目的對與法律發生衝突的兒童的拘禁，以及其他各種形式的行政拘留（第40點）。非法拘禁包括開始時合法、但後來因為當事人已經服完刑期或作為拘禁理由的情況有變化而變得不合法的拘禁（第43點）。</w:t>
      </w:r>
    </w:p>
    <w:p w:rsidR="002620FF" w:rsidRPr="0042269F" w:rsidRDefault="002620FF" w:rsidP="002620FF">
      <w:pPr>
        <w:pStyle w:val="1"/>
        <w:numPr>
          <w:ilvl w:val="3"/>
          <w:numId w:val="6"/>
        </w:numPr>
        <w:rPr>
          <w:rFonts w:hAnsi="標楷體"/>
          <w:color w:val="000000" w:themeColor="text1"/>
        </w:rPr>
      </w:pPr>
      <w:r w:rsidRPr="0042269F">
        <w:rPr>
          <w:rFonts w:hAnsi="標楷體" w:hint="eastAsia"/>
          <w:color w:val="000000" w:themeColor="text1"/>
        </w:rPr>
        <w:t>綜上，依據聯合國公民與政治權利國際公約第9條所規定拘禁之程序其適用範圍並不限刑事案件，尚包括精神病、遊蕩、吸毒成癮、為教育目的、管制移民等拘禁作為，其「非依法定理由及程序」之判斷標準除「違法」外，亦包括「任意」，使文義射程範圍包括不適當、不正當、缺乏可預見性和正當法律程序，以及合理性、必要性和</w:t>
      </w:r>
      <w:r w:rsidR="00FF5419" w:rsidRPr="0042269F">
        <w:rPr>
          <w:rFonts w:hAnsi="標楷體" w:hint="eastAsia"/>
          <w:color w:val="000000" w:themeColor="text1"/>
        </w:rPr>
        <w:t>比例性</w:t>
      </w:r>
      <w:r w:rsidRPr="0042269F">
        <w:rPr>
          <w:rFonts w:hAnsi="標楷體" w:hint="eastAsia"/>
          <w:color w:val="000000" w:themeColor="text1"/>
        </w:rPr>
        <w:t>等要素。其人身自由最終判斷之決定權，應基於「法官保留原則」由法庭決定拘禁是否合理，於合理期間內審訊或釋放被拘禁人，符合「迅</w:t>
      </w:r>
      <w:r w:rsidRPr="0042269F">
        <w:rPr>
          <w:rFonts w:hAnsi="標楷體" w:hint="eastAsia"/>
          <w:color w:val="000000" w:themeColor="text1"/>
        </w:rPr>
        <w:lastRenderedPageBreak/>
        <w:t>速」標準，被捕者帶到和準備進行司法聽證以</w:t>
      </w:r>
      <w:r w:rsidRPr="0042269F">
        <w:rPr>
          <w:rFonts w:hAnsi="標楷體"/>
          <w:color w:val="000000" w:themeColor="text1"/>
        </w:rPr>
        <w:t>48</w:t>
      </w:r>
      <w:r w:rsidRPr="0042269F">
        <w:rPr>
          <w:rFonts w:hAnsi="標楷體" w:hint="eastAsia"/>
          <w:color w:val="000000" w:themeColor="text1"/>
        </w:rPr>
        <w:t>小時為限，在少年案件中，應以24小時為限，並應確保符合公平法院原則，諸如給予被拘禁人接觸律師與公開審理之權利。</w:t>
      </w:r>
    </w:p>
    <w:p w:rsidR="006E7217" w:rsidRPr="0042269F" w:rsidRDefault="00E302C7" w:rsidP="00E302C7">
      <w:pPr>
        <w:pStyle w:val="3"/>
        <w:rPr>
          <w:rFonts w:hAnsi="標楷體"/>
          <w:b/>
          <w:color w:val="000000" w:themeColor="text1"/>
        </w:rPr>
      </w:pPr>
      <w:r w:rsidRPr="0042269F">
        <w:rPr>
          <w:rFonts w:hAnsi="標楷體" w:hint="eastAsia"/>
          <w:b/>
          <w:color w:val="000000" w:themeColor="text1"/>
          <w:szCs w:val="52"/>
        </w:rPr>
        <w:t>毒品觀察</w:t>
      </w:r>
      <w:proofErr w:type="gramStart"/>
      <w:r w:rsidRPr="0042269F">
        <w:rPr>
          <w:rFonts w:hAnsi="標楷體" w:hint="eastAsia"/>
          <w:b/>
          <w:color w:val="000000" w:themeColor="text1"/>
          <w:szCs w:val="52"/>
        </w:rPr>
        <w:t>勒戒</w:t>
      </w:r>
      <w:r w:rsidR="00970529" w:rsidRPr="0042269F">
        <w:rPr>
          <w:rFonts w:hAnsi="標楷體" w:hint="eastAsia"/>
          <w:b/>
          <w:color w:val="000000" w:themeColor="text1"/>
          <w:szCs w:val="52"/>
        </w:rPr>
        <w:t>與</w:t>
      </w:r>
      <w:r w:rsidRPr="0042269F">
        <w:rPr>
          <w:rFonts w:hAnsi="標楷體" w:hint="eastAsia"/>
          <w:b/>
          <w:color w:val="000000" w:themeColor="text1"/>
          <w:szCs w:val="52"/>
        </w:rPr>
        <w:t>強制</w:t>
      </w:r>
      <w:proofErr w:type="gramEnd"/>
      <w:r w:rsidRPr="0042269F">
        <w:rPr>
          <w:rFonts w:hAnsi="標楷體" w:hint="eastAsia"/>
          <w:b/>
          <w:color w:val="000000" w:themeColor="text1"/>
          <w:szCs w:val="52"/>
        </w:rPr>
        <w:t>戒治處分之</w:t>
      </w:r>
      <w:r w:rsidR="006E7217" w:rsidRPr="0042269F">
        <w:rPr>
          <w:rFonts w:hAnsi="標楷體" w:hint="eastAsia"/>
          <w:b/>
          <w:color w:val="000000" w:themeColor="text1"/>
        </w:rPr>
        <w:t>法律定位係屬保安處分，就其事物本質亦為實施具體刑罰權，雖</w:t>
      </w:r>
      <w:proofErr w:type="gramStart"/>
      <w:r w:rsidR="006E7217" w:rsidRPr="0042269F">
        <w:rPr>
          <w:rFonts w:hAnsi="標楷體" w:hint="eastAsia"/>
          <w:b/>
          <w:color w:val="000000" w:themeColor="text1"/>
        </w:rPr>
        <w:t>不</w:t>
      </w:r>
      <w:proofErr w:type="gramEnd"/>
      <w:r w:rsidR="006E7217" w:rsidRPr="0042269F">
        <w:rPr>
          <w:rFonts w:hAnsi="標楷體" w:hint="eastAsia"/>
          <w:b/>
          <w:color w:val="000000" w:themeColor="text1"/>
        </w:rPr>
        <w:t>全然</w:t>
      </w:r>
      <w:proofErr w:type="gramStart"/>
      <w:r w:rsidR="006E7217" w:rsidRPr="0042269F">
        <w:rPr>
          <w:rFonts w:hAnsi="標楷體" w:hint="eastAsia"/>
          <w:b/>
          <w:color w:val="000000" w:themeColor="text1"/>
        </w:rPr>
        <w:t>等同但趨近於</w:t>
      </w:r>
      <w:proofErr w:type="gramEnd"/>
      <w:r w:rsidR="006E7217" w:rsidRPr="0042269F">
        <w:rPr>
          <w:rFonts w:hAnsi="標楷體" w:hint="eastAsia"/>
          <w:b/>
          <w:color w:val="000000" w:themeColor="text1"/>
        </w:rPr>
        <w:t>「羈押處分」，固有「法官保留原則」之適用。惟為顧及我國現行實務</w:t>
      </w:r>
      <w:proofErr w:type="gramStart"/>
      <w:r w:rsidR="006E7217" w:rsidRPr="0042269F">
        <w:rPr>
          <w:rFonts w:hAnsi="標楷體" w:hint="eastAsia"/>
          <w:b/>
          <w:color w:val="000000" w:themeColor="text1"/>
        </w:rPr>
        <w:t>偵</w:t>
      </w:r>
      <w:proofErr w:type="gramEnd"/>
      <w:r w:rsidR="006E7217" w:rsidRPr="0042269F">
        <w:rPr>
          <w:rFonts w:hAnsi="標楷體" w:hint="eastAsia"/>
          <w:b/>
          <w:color w:val="000000" w:themeColor="text1"/>
        </w:rPr>
        <w:t>審人力、預算與防制毒品危害，維護國民身心健康之政策目的，並考量</w:t>
      </w:r>
      <w:r w:rsidR="006E7217" w:rsidRPr="0042269F">
        <w:rPr>
          <w:rFonts w:hAnsi="標楷體"/>
          <w:b/>
          <w:color w:val="000000" w:themeColor="text1"/>
        </w:rPr>
        <w:t>繼續施用毒品傾向</w:t>
      </w:r>
      <w:r w:rsidR="006E7217" w:rsidRPr="0042269F">
        <w:rPr>
          <w:rFonts w:hAnsi="標楷體" w:hint="eastAsia"/>
          <w:b/>
          <w:color w:val="000000" w:themeColor="text1"/>
        </w:rPr>
        <w:t>係為醫學專業之經驗法則判斷，而與「羈押處分」在目的、方式與程度上有其相當差異，是以</w:t>
      </w:r>
      <w:proofErr w:type="gramStart"/>
      <w:r w:rsidR="006E7217" w:rsidRPr="0042269F">
        <w:rPr>
          <w:rFonts w:hAnsi="標楷體" w:hint="eastAsia"/>
          <w:b/>
          <w:color w:val="000000" w:themeColor="text1"/>
        </w:rPr>
        <w:t>踐行</w:t>
      </w:r>
      <w:proofErr w:type="gramEnd"/>
      <w:r w:rsidR="006E7217" w:rsidRPr="0042269F">
        <w:rPr>
          <w:rFonts w:hAnsi="標楷體" w:hint="eastAsia"/>
          <w:b/>
          <w:color w:val="000000" w:themeColor="text1"/>
        </w:rPr>
        <w:t>之司法程序或其他正當法律程序，本院初步研究得</w:t>
      </w:r>
      <w:proofErr w:type="gramStart"/>
      <w:r w:rsidR="006E7217" w:rsidRPr="0042269F">
        <w:rPr>
          <w:rFonts w:hAnsi="標楷體" w:hint="eastAsia"/>
          <w:b/>
          <w:color w:val="000000" w:themeColor="text1"/>
        </w:rPr>
        <w:t>不</w:t>
      </w:r>
      <w:proofErr w:type="gramEnd"/>
      <w:r w:rsidR="006E7217" w:rsidRPr="0042269F">
        <w:rPr>
          <w:rFonts w:hAnsi="標楷體" w:hint="eastAsia"/>
          <w:b/>
          <w:color w:val="000000" w:themeColor="text1"/>
        </w:rPr>
        <w:t>全然比照刑事訴訟法第108條第2項，視為撤銷羈押規定，得</w:t>
      </w:r>
      <w:r w:rsidR="00D770A6" w:rsidRPr="0042269F">
        <w:rPr>
          <w:rFonts w:hAnsi="標楷體" w:hint="eastAsia"/>
          <w:b/>
          <w:color w:val="000000" w:themeColor="text1"/>
        </w:rPr>
        <w:t>容許</w:t>
      </w:r>
      <w:proofErr w:type="gramStart"/>
      <w:r w:rsidR="006E7217" w:rsidRPr="0042269F">
        <w:rPr>
          <w:rFonts w:hAnsi="標楷體" w:hint="eastAsia"/>
          <w:b/>
          <w:color w:val="000000" w:themeColor="text1"/>
        </w:rPr>
        <w:t>採</w:t>
      </w:r>
      <w:proofErr w:type="gramEnd"/>
      <w:r w:rsidR="006E7217" w:rsidRPr="0042269F">
        <w:rPr>
          <w:rFonts w:hAnsi="標楷體" w:hint="eastAsia"/>
          <w:b/>
          <w:color w:val="000000" w:themeColor="text1"/>
        </w:rPr>
        <w:t>「事後審查制度」。並基於合憲性解釋、目的解釋與體系解釋，法院裁定之日期以不得超過</w:t>
      </w:r>
      <w:r w:rsidR="006E7217" w:rsidRPr="0042269F">
        <w:rPr>
          <w:rFonts w:hAnsi="標楷體"/>
          <w:b/>
          <w:color w:val="000000" w:themeColor="text1"/>
        </w:rPr>
        <w:t>觀察、勒戒期間屆滿</w:t>
      </w:r>
      <w:r w:rsidR="006E7217" w:rsidRPr="0042269F">
        <w:rPr>
          <w:rFonts w:hAnsi="標楷體" w:hint="eastAsia"/>
          <w:b/>
          <w:color w:val="000000" w:themeColor="text1"/>
        </w:rPr>
        <w:t>日後24小時內為宜，以符合前揭憲法第8條及聯合國公民與政治權利國際公約第9條規定之要求，我國現行司法實務</w:t>
      </w:r>
      <w:r w:rsidR="00D770A6" w:rsidRPr="0042269F">
        <w:rPr>
          <w:rFonts w:hAnsi="標楷體" w:hint="eastAsia"/>
          <w:b/>
          <w:color w:val="000000" w:themeColor="text1"/>
        </w:rPr>
        <w:t>尚</w:t>
      </w:r>
      <w:r w:rsidR="006E7217" w:rsidRPr="0042269F">
        <w:rPr>
          <w:rFonts w:hAnsi="標楷體" w:hint="eastAsia"/>
          <w:b/>
          <w:color w:val="000000" w:themeColor="text1"/>
        </w:rPr>
        <w:t>有值得</w:t>
      </w:r>
      <w:proofErr w:type="gramStart"/>
      <w:r w:rsidR="006E7217" w:rsidRPr="0042269F">
        <w:rPr>
          <w:rFonts w:hAnsi="標楷體" w:hint="eastAsia"/>
          <w:b/>
          <w:color w:val="000000" w:themeColor="text1"/>
        </w:rPr>
        <w:t>檢討並精進</w:t>
      </w:r>
      <w:proofErr w:type="gramEnd"/>
      <w:r w:rsidR="006E7217" w:rsidRPr="0042269F">
        <w:rPr>
          <w:rFonts w:hAnsi="標楷體" w:hint="eastAsia"/>
          <w:b/>
          <w:color w:val="000000" w:themeColor="text1"/>
        </w:rPr>
        <w:t xml:space="preserve">之處。 </w:t>
      </w:r>
    </w:p>
    <w:p w:rsidR="006E7217" w:rsidRPr="0042269F" w:rsidRDefault="006E7217" w:rsidP="006E7217">
      <w:pPr>
        <w:pStyle w:val="1"/>
        <w:numPr>
          <w:ilvl w:val="3"/>
          <w:numId w:val="6"/>
        </w:numPr>
        <w:rPr>
          <w:rFonts w:hAnsi="標楷體"/>
          <w:color w:val="000000" w:themeColor="text1"/>
        </w:rPr>
      </w:pPr>
      <w:r w:rsidRPr="0042269F">
        <w:rPr>
          <w:rFonts w:hAnsi="標楷體" w:hint="eastAsia"/>
          <w:color w:val="000000" w:themeColor="text1"/>
        </w:rPr>
        <w:t>毒品觀察</w:t>
      </w:r>
      <w:proofErr w:type="gramStart"/>
      <w:r w:rsidRPr="0042269F">
        <w:rPr>
          <w:rFonts w:hAnsi="標楷體" w:hint="eastAsia"/>
          <w:color w:val="000000" w:themeColor="text1"/>
        </w:rPr>
        <w:t>勒戒</w:t>
      </w:r>
      <w:r w:rsidR="00E302C7" w:rsidRPr="0042269F">
        <w:rPr>
          <w:rFonts w:hAnsi="標楷體" w:hint="eastAsia"/>
          <w:color w:val="000000" w:themeColor="text1"/>
        </w:rPr>
        <w:t>與強制</w:t>
      </w:r>
      <w:proofErr w:type="gramEnd"/>
      <w:r w:rsidR="00E302C7" w:rsidRPr="0042269F">
        <w:rPr>
          <w:rFonts w:hAnsi="標楷體" w:hint="eastAsia"/>
          <w:color w:val="000000" w:themeColor="text1"/>
        </w:rPr>
        <w:t>戒治</w:t>
      </w:r>
      <w:r w:rsidRPr="0042269F">
        <w:rPr>
          <w:rFonts w:hAnsi="標楷體" w:hint="eastAsia"/>
          <w:color w:val="000000" w:themeColor="text1"/>
        </w:rPr>
        <w:t>處分之法律</w:t>
      </w:r>
      <w:proofErr w:type="gramStart"/>
      <w:r w:rsidRPr="0042269F">
        <w:rPr>
          <w:rFonts w:hAnsi="標楷體" w:hint="eastAsia"/>
          <w:color w:val="000000" w:themeColor="text1"/>
        </w:rPr>
        <w:t>性質</w:t>
      </w:r>
      <w:r w:rsidR="009B5A93" w:rsidRPr="0042269F">
        <w:rPr>
          <w:rFonts w:hAnsi="標楷體" w:hint="eastAsia"/>
          <w:color w:val="000000" w:themeColor="text1"/>
        </w:rPr>
        <w:t>均</w:t>
      </w:r>
      <w:r w:rsidRPr="0042269F">
        <w:rPr>
          <w:rFonts w:hAnsi="標楷體" w:hint="eastAsia"/>
          <w:color w:val="000000" w:themeColor="text1"/>
        </w:rPr>
        <w:t>為保安</w:t>
      </w:r>
      <w:proofErr w:type="gramEnd"/>
      <w:r w:rsidRPr="0042269F">
        <w:rPr>
          <w:rFonts w:hAnsi="標楷體" w:hint="eastAsia"/>
          <w:color w:val="000000" w:themeColor="text1"/>
        </w:rPr>
        <w:t>處分。</w:t>
      </w:r>
    </w:p>
    <w:p w:rsidR="006E7217" w:rsidRPr="0042269F" w:rsidRDefault="006E7217" w:rsidP="006E7217">
      <w:pPr>
        <w:pStyle w:val="42"/>
        <w:ind w:left="1701" w:firstLine="680"/>
        <w:rPr>
          <w:rFonts w:hAnsi="標楷體"/>
          <w:color w:val="000000" w:themeColor="text1"/>
        </w:rPr>
      </w:pPr>
      <w:r w:rsidRPr="0042269F">
        <w:rPr>
          <w:rFonts w:hAnsi="標楷體" w:hint="eastAsia"/>
          <w:color w:val="000000" w:themeColor="text1"/>
        </w:rPr>
        <w:t>按毒品危害防制條例第1條規定，為防制毒品危害，維護國民身心健康，制定本條例。同條例第20條第1項與第2項規定，施用毒品者，檢察官應聲請法院裁定，或少年法院（地方法院少年法庭）應先裁定，令被告或少年入勒戒處所觀察、勒戒，其期間不得逾</w:t>
      </w:r>
      <w:r w:rsidR="002E084D" w:rsidRPr="0042269F">
        <w:rPr>
          <w:rFonts w:hAnsi="標楷體" w:hint="eastAsia"/>
          <w:color w:val="000000" w:themeColor="text1"/>
        </w:rPr>
        <w:t>2月</w:t>
      </w:r>
      <w:r w:rsidRPr="0042269F">
        <w:rPr>
          <w:rFonts w:hAnsi="標楷體" w:hint="eastAsia"/>
          <w:color w:val="000000" w:themeColor="text1"/>
        </w:rPr>
        <w:t>。觀察、</w:t>
      </w:r>
      <w:proofErr w:type="gramStart"/>
      <w:r w:rsidRPr="0042269F">
        <w:rPr>
          <w:rFonts w:hAnsi="標楷體" w:hint="eastAsia"/>
          <w:color w:val="000000" w:themeColor="text1"/>
        </w:rPr>
        <w:t>勒戒後</w:t>
      </w:r>
      <w:proofErr w:type="gramEnd"/>
      <w:r w:rsidRPr="0042269F">
        <w:rPr>
          <w:rFonts w:hAnsi="標楷體" w:hint="eastAsia"/>
          <w:color w:val="000000" w:themeColor="text1"/>
        </w:rPr>
        <w:t>，檢察官或少年法院（地方法院少年法庭）依據勒戒處所之陳報，認受觀察、勒戒人無繼續施用毒品傾向者，應即釋放，並為不起訴之處分或不付審理</w:t>
      </w:r>
      <w:r w:rsidRPr="0042269F">
        <w:rPr>
          <w:rFonts w:hAnsi="標楷體" w:hint="eastAsia"/>
          <w:color w:val="000000" w:themeColor="text1"/>
        </w:rPr>
        <w:lastRenderedPageBreak/>
        <w:t>之裁定；認受觀察、勒戒人有繼續施用毒品傾向者，檢察官應聲請法院裁定或由少年法院（地方法院少年法庭）裁定</w:t>
      </w:r>
      <w:proofErr w:type="gramStart"/>
      <w:r w:rsidRPr="0042269F">
        <w:rPr>
          <w:rFonts w:hAnsi="標楷體" w:hint="eastAsia"/>
          <w:color w:val="000000" w:themeColor="text1"/>
        </w:rPr>
        <w:t>令入戒治</w:t>
      </w:r>
      <w:proofErr w:type="gramEnd"/>
      <w:r w:rsidRPr="0042269F">
        <w:rPr>
          <w:rFonts w:hAnsi="標楷體" w:hint="eastAsia"/>
          <w:color w:val="000000" w:themeColor="text1"/>
        </w:rPr>
        <w:t>處所強制戒治，其期間為</w:t>
      </w:r>
      <w:r w:rsidR="008C2779" w:rsidRPr="0042269F">
        <w:rPr>
          <w:rFonts w:hAnsi="標楷體" w:hint="eastAsia"/>
          <w:color w:val="000000" w:themeColor="text1"/>
        </w:rPr>
        <w:t>6</w:t>
      </w:r>
      <w:r w:rsidRPr="0042269F">
        <w:rPr>
          <w:rFonts w:hAnsi="標楷體" w:hint="eastAsia"/>
          <w:color w:val="000000" w:themeColor="text1"/>
        </w:rPr>
        <w:t>個月以上，至無繼續強制戒治之必要為止。但最長不得逾</w:t>
      </w:r>
      <w:r w:rsidR="008C2779" w:rsidRPr="0042269F">
        <w:rPr>
          <w:rFonts w:hAnsi="標楷體" w:hint="eastAsia"/>
          <w:color w:val="000000" w:themeColor="text1"/>
        </w:rPr>
        <w:t>1</w:t>
      </w:r>
      <w:r w:rsidRPr="0042269F">
        <w:rPr>
          <w:rFonts w:hAnsi="標楷體" w:hint="eastAsia"/>
          <w:color w:val="000000" w:themeColor="text1"/>
        </w:rPr>
        <w:t>年。同條例第29規定，觀察、</w:t>
      </w:r>
      <w:proofErr w:type="gramStart"/>
      <w:r w:rsidRPr="0042269F">
        <w:rPr>
          <w:rFonts w:hAnsi="標楷體" w:hint="eastAsia"/>
          <w:color w:val="000000" w:themeColor="text1"/>
        </w:rPr>
        <w:t>勒戒及強制</w:t>
      </w:r>
      <w:proofErr w:type="gramEnd"/>
      <w:r w:rsidRPr="0042269F">
        <w:rPr>
          <w:rFonts w:hAnsi="標楷體" w:hint="eastAsia"/>
          <w:color w:val="000000" w:themeColor="text1"/>
        </w:rPr>
        <w:t>戒治之執行，另以法律定之。</w:t>
      </w:r>
      <w:proofErr w:type="gramStart"/>
      <w:r w:rsidRPr="0042269F">
        <w:rPr>
          <w:rFonts w:hAnsi="標楷體" w:hint="eastAsia"/>
          <w:color w:val="000000" w:themeColor="text1"/>
        </w:rPr>
        <w:t>復按觀察</w:t>
      </w:r>
      <w:proofErr w:type="gramEnd"/>
      <w:r w:rsidRPr="0042269F">
        <w:rPr>
          <w:rFonts w:hAnsi="標楷體" w:hint="eastAsia"/>
          <w:color w:val="000000" w:themeColor="text1"/>
        </w:rPr>
        <w:t>勒戒處分執行條例第1條規定，本條例依毒品危害防制條例第29條規定制定之。同條例第2條規定，觀察、勒戒處分之執行，本條例未規定者，適用保安處分執行法之相關規定。是則，依據上開條例得知，觀察、勒戒處分係為防制毒品危害，維護國民身心健康，乃基於特別預防理論以替代刑罰之方式，避免犯罪行為人再犯措施，</w:t>
      </w:r>
      <w:r w:rsidR="009B5A93" w:rsidRPr="0042269F">
        <w:rPr>
          <w:rFonts w:hAnsi="標楷體" w:hint="eastAsia"/>
          <w:color w:val="000000" w:themeColor="text1"/>
        </w:rPr>
        <w:t>均</w:t>
      </w:r>
      <w:r w:rsidRPr="0042269F">
        <w:rPr>
          <w:rFonts w:hAnsi="標楷體" w:hint="eastAsia"/>
          <w:color w:val="000000" w:themeColor="text1"/>
        </w:rPr>
        <w:t>具有保安處分</w:t>
      </w:r>
      <w:r w:rsidRPr="0042269F">
        <w:rPr>
          <w:rFonts w:hAnsi="標楷體"/>
          <w:color w:val="000000" w:themeColor="text1"/>
          <w:vertAlign w:val="superscript"/>
        </w:rPr>
        <w:footnoteReference w:id="3"/>
      </w:r>
      <w:r w:rsidRPr="0042269F">
        <w:rPr>
          <w:rFonts w:hAnsi="標楷體" w:hint="eastAsia"/>
          <w:color w:val="000000" w:themeColor="text1"/>
        </w:rPr>
        <w:t>性質。</w:t>
      </w:r>
    </w:p>
    <w:p w:rsidR="006E7217" w:rsidRPr="0042269F" w:rsidRDefault="00693A46" w:rsidP="009B5A93">
      <w:pPr>
        <w:pStyle w:val="4"/>
        <w:rPr>
          <w:rFonts w:hAnsi="標楷體"/>
          <w:color w:val="000000" w:themeColor="text1"/>
        </w:rPr>
      </w:pPr>
      <w:r w:rsidRPr="0042269F">
        <w:rPr>
          <w:rFonts w:hAnsi="標楷體" w:hint="eastAsia"/>
          <w:bCs/>
          <w:color w:val="000000" w:themeColor="text1"/>
          <w:szCs w:val="52"/>
        </w:rPr>
        <w:t>毒品</w:t>
      </w:r>
      <w:r w:rsidR="009B5A93" w:rsidRPr="0042269F">
        <w:rPr>
          <w:rFonts w:hAnsi="標楷體" w:hint="eastAsia"/>
          <w:bCs/>
          <w:color w:val="000000" w:themeColor="text1"/>
          <w:szCs w:val="52"/>
        </w:rPr>
        <w:t>強制戒治處分</w:t>
      </w:r>
      <w:r w:rsidR="006E7217" w:rsidRPr="0042269F">
        <w:rPr>
          <w:rFonts w:hAnsi="標楷體" w:hint="eastAsia"/>
          <w:color w:val="000000" w:themeColor="text1"/>
        </w:rPr>
        <w:t>依據事物本質，就刑罰權實踐性質與羈押處分固具有同一法律理由，惟為顧及我國現行實務</w:t>
      </w:r>
      <w:proofErr w:type="gramStart"/>
      <w:r w:rsidR="006E7217" w:rsidRPr="0042269F">
        <w:rPr>
          <w:rFonts w:hAnsi="標楷體" w:hint="eastAsia"/>
          <w:color w:val="000000" w:themeColor="text1"/>
        </w:rPr>
        <w:t>偵</w:t>
      </w:r>
      <w:proofErr w:type="gramEnd"/>
      <w:r w:rsidR="006E7217" w:rsidRPr="0042269F">
        <w:rPr>
          <w:rFonts w:hAnsi="標楷體" w:hint="eastAsia"/>
          <w:color w:val="000000" w:themeColor="text1"/>
        </w:rPr>
        <w:t>審人力、預算與防制毒品危害，維護國民身心健康之政策目的，並考量</w:t>
      </w:r>
      <w:r w:rsidR="006E7217" w:rsidRPr="0042269F">
        <w:rPr>
          <w:rFonts w:hAnsi="標楷體"/>
          <w:color w:val="000000" w:themeColor="text1"/>
        </w:rPr>
        <w:t>繼續施用毒品傾向</w:t>
      </w:r>
      <w:r w:rsidR="006E7217" w:rsidRPr="0042269F">
        <w:rPr>
          <w:rFonts w:hAnsi="標楷體" w:hint="eastAsia"/>
          <w:color w:val="000000" w:themeColor="text1"/>
        </w:rPr>
        <w:t>係為醫學專業之經驗法則判斷，而與羈押處分性質尚非全然一致，得</w:t>
      </w:r>
      <w:proofErr w:type="gramStart"/>
      <w:r w:rsidR="006E7217" w:rsidRPr="0042269F">
        <w:rPr>
          <w:rFonts w:hAnsi="標楷體" w:hint="eastAsia"/>
          <w:color w:val="000000" w:themeColor="text1"/>
        </w:rPr>
        <w:t>採</w:t>
      </w:r>
      <w:proofErr w:type="gramEnd"/>
      <w:r w:rsidR="006E7217" w:rsidRPr="0042269F">
        <w:rPr>
          <w:rFonts w:hAnsi="標楷體" w:hint="eastAsia"/>
          <w:color w:val="000000" w:themeColor="text1"/>
        </w:rPr>
        <w:t>「事後審查制</w:t>
      </w:r>
      <w:r w:rsidR="006E7217" w:rsidRPr="0042269F">
        <w:rPr>
          <w:rFonts w:hAnsi="標楷體" w:hint="eastAsia"/>
          <w:color w:val="000000" w:themeColor="text1"/>
        </w:rPr>
        <w:lastRenderedPageBreak/>
        <w:t>度」，基於合憲性解釋與體系解釋，法院裁定之日期以不得超過</w:t>
      </w:r>
      <w:r w:rsidR="006E7217" w:rsidRPr="0042269F">
        <w:rPr>
          <w:rFonts w:hAnsi="標楷體"/>
          <w:color w:val="000000" w:themeColor="text1"/>
        </w:rPr>
        <w:t>觀察、勒戒期間屆滿</w:t>
      </w:r>
      <w:r w:rsidR="006E7217" w:rsidRPr="0042269F">
        <w:rPr>
          <w:rFonts w:hAnsi="標楷體" w:hint="eastAsia"/>
          <w:color w:val="000000" w:themeColor="text1"/>
        </w:rPr>
        <w:t>日後24小時內為宜，以符合前揭憲法第8條及聯合國公民與政治權利國際公約第9條規定之要求。</w:t>
      </w:r>
    </w:p>
    <w:p w:rsidR="006E7217" w:rsidRPr="0042269F" w:rsidRDefault="006E7217" w:rsidP="00750DBC">
      <w:pPr>
        <w:pStyle w:val="5"/>
        <w:ind w:left="2041"/>
        <w:rPr>
          <w:rFonts w:hAnsi="標楷體"/>
          <w:color w:val="000000" w:themeColor="text1"/>
        </w:rPr>
      </w:pPr>
      <w:r w:rsidRPr="0042269F">
        <w:rPr>
          <w:rFonts w:hAnsi="標楷體" w:hint="eastAsia"/>
          <w:color w:val="000000" w:themeColor="text1"/>
        </w:rPr>
        <w:t>人身自由</w:t>
      </w:r>
      <w:proofErr w:type="gramStart"/>
      <w:r w:rsidRPr="0042269F">
        <w:rPr>
          <w:rFonts w:hAnsi="標楷體" w:hint="eastAsia"/>
          <w:color w:val="000000" w:themeColor="text1"/>
        </w:rPr>
        <w:t>保障固以憲法</w:t>
      </w:r>
      <w:proofErr w:type="gramEnd"/>
      <w:r w:rsidRPr="0042269F">
        <w:rPr>
          <w:rFonts w:hAnsi="標楷體" w:hint="eastAsia"/>
          <w:color w:val="000000" w:themeColor="text1"/>
        </w:rPr>
        <w:t>第8條為依歸，然應</w:t>
      </w:r>
      <w:proofErr w:type="gramStart"/>
      <w:r w:rsidRPr="0042269F">
        <w:rPr>
          <w:rFonts w:hAnsi="標楷體" w:hint="eastAsia"/>
          <w:color w:val="000000" w:themeColor="text1"/>
        </w:rPr>
        <w:t>踐行</w:t>
      </w:r>
      <w:proofErr w:type="gramEnd"/>
      <w:r w:rsidRPr="0042269F">
        <w:rPr>
          <w:rFonts w:hAnsi="標楷體" w:hint="eastAsia"/>
          <w:color w:val="000000" w:themeColor="text1"/>
        </w:rPr>
        <w:t>何種正當法律程序，則應基於事物本質，</w:t>
      </w:r>
      <w:r w:rsidR="009B5A93" w:rsidRPr="0042269F">
        <w:rPr>
          <w:rFonts w:hAnsi="標楷體" w:hint="eastAsia"/>
          <w:color w:val="000000" w:themeColor="text1"/>
          <w:szCs w:val="52"/>
        </w:rPr>
        <w:t>毒品強制戒治處分</w:t>
      </w:r>
      <w:r w:rsidRPr="0042269F">
        <w:rPr>
          <w:rFonts w:hAnsi="標楷體" w:hint="eastAsia"/>
          <w:color w:val="000000" w:themeColor="text1"/>
        </w:rPr>
        <w:t>具有刑罰權之實踐之性質與羈押處分具有同一法律理由。</w:t>
      </w:r>
    </w:p>
    <w:p w:rsidR="006E7217" w:rsidRPr="0042269F" w:rsidRDefault="006E7217" w:rsidP="006E7217">
      <w:pPr>
        <w:pStyle w:val="52"/>
        <w:ind w:left="2041" w:firstLine="680"/>
        <w:rPr>
          <w:rFonts w:hAnsi="標楷體"/>
          <w:color w:val="000000" w:themeColor="text1"/>
        </w:rPr>
      </w:pPr>
      <w:r w:rsidRPr="0042269F">
        <w:rPr>
          <w:rFonts w:hAnsi="標楷體" w:hint="eastAsia"/>
          <w:color w:val="000000" w:themeColor="text1"/>
        </w:rPr>
        <w:t>依據前揭所示司法院大法官解釋，人身自由權雖應依據前揭憲法第8條與公民與政治權利國際公約第9條規定。</w:t>
      </w:r>
      <w:proofErr w:type="gramStart"/>
      <w:r w:rsidRPr="0042269F">
        <w:rPr>
          <w:rFonts w:hAnsi="標楷體" w:hint="eastAsia"/>
          <w:color w:val="000000" w:themeColor="text1"/>
        </w:rPr>
        <w:t>惟</w:t>
      </w:r>
      <w:proofErr w:type="gramEnd"/>
      <w:r w:rsidRPr="0042269F">
        <w:rPr>
          <w:rFonts w:hAnsi="標楷體" w:hint="eastAsia"/>
          <w:color w:val="000000" w:themeColor="text1"/>
        </w:rPr>
        <w:t>刑事被告與非刑事被告等各種人身自由限制，則應基於事物本質</w:t>
      </w:r>
      <w:r w:rsidRPr="0042269F">
        <w:rPr>
          <w:rFonts w:hAnsi="標楷體"/>
          <w:color w:val="000000" w:themeColor="text1"/>
          <w:vertAlign w:val="superscript"/>
        </w:rPr>
        <w:footnoteReference w:id="4"/>
      </w:r>
      <w:r w:rsidRPr="0042269F">
        <w:rPr>
          <w:rFonts w:hAnsi="標楷體" w:hint="eastAsia"/>
          <w:color w:val="000000" w:themeColor="text1"/>
        </w:rPr>
        <w:t>，各就其實際剝奪之方式、目的與造成之影響，在目的、方式與程度上就其差異，</w:t>
      </w:r>
      <w:proofErr w:type="gramStart"/>
      <w:r w:rsidRPr="0042269F">
        <w:rPr>
          <w:rFonts w:hAnsi="標楷體" w:hint="eastAsia"/>
          <w:color w:val="000000" w:themeColor="text1"/>
        </w:rPr>
        <w:t>踐行</w:t>
      </w:r>
      <w:proofErr w:type="gramEnd"/>
      <w:r w:rsidRPr="0042269F">
        <w:rPr>
          <w:rFonts w:hAnsi="標楷體" w:hint="eastAsia"/>
          <w:color w:val="000000" w:themeColor="text1"/>
        </w:rPr>
        <w:t>適當之司法程序或其他正當法律程序，在審查上定相當之標準，</w:t>
      </w:r>
      <w:proofErr w:type="gramStart"/>
      <w:r w:rsidRPr="0042269F">
        <w:rPr>
          <w:rFonts w:hAnsi="標楷體" w:hint="eastAsia"/>
          <w:color w:val="000000" w:themeColor="text1"/>
        </w:rPr>
        <w:t>並非均須同一</w:t>
      </w:r>
      <w:proofErr w:type="gramEnd"/>
      <w:r w:rsidRPr="0042269F">
        <w:rPr>
          <w:rFonts w:hAnsi="標楷體" w:hint="eastAsia"/>
          <w:color w:val="000000" w:themeColor="text1"/>
        </w:rPr>
        <w:t>不可，從而國家公權力對人民身體自由之限制，若涉及嚴重拘束人民身體自由而與刑罰無異之法律規定，其法定要件應符合法律明確性原則，應受最嚴格之審查，若拘束人身自由於一定處所，係以保護人民生命安全與身體健康為目的，而與刑事處罰之本質有極大不同時，則毋須如刑事處罰拘束人民身體自由之</w:t>
      </w:r>
      <w:proofErr w:type="gramStart"/>
      <w:r w:rsidRPr="0042269F">
        <w:rPr>
          <w:rFonts w:hAnsi="標楷體" w:hint="eastAsia"/>
          <w:color w:val="000000" w:themeColor="text1"/>
        </w:rPr>
        <w:t>採</w:t>
      </w:r>
      <w:proofErr w:type="gramEnd"/>
      <w:r w:rsidRPr="0042269F">
        <w:rPr>
          <w:rFonts w:hAnsi="標楷體" w:hint="eastAsia"/>
          <w:color w:val="000000" w:themeColor="text1"/>
        </w:rPr>
        <w:t>嚴格審查標準，</w:t>
      </w:r>
      <w:r w:rsidR="00E302C7" w:rsidRPr="0042269F">
        <w:rPr>
          <w:rFonts w:hAnsi="標楷體" w:hint="eastAsia"/>
          <w:color w:val="000000" w:themeColor="text1"/>
        </w:rPr>
        <w:t>業如前述，故</w:t>
      </w:r>
      <w:r w:rsidR="009B5A93" w:rsidRPr="0042269F">
        <w:rPr>
          <w:rFonts w:hAnsi="標楷體" w:hint="eastAsia"/>
          <w:color w:val="000000" w:themeColor="text1"/>
        </w:rPr>
        <w:t>毒品觀察</w:t>
      </w:r>
      <w:proofErr w:type="gramStart"/>
      <w:r w:rsidR="009B5A93" w:rsidRPr="0042269F">
        <w:rPr>
          <w:rFonts w:hAnsi="標楷體" w:hint="eastAsia"/>
          <w:color w:val="000000" w:themeColor="text1"/>
        </w:rPr>
        <w:t>勒戒與強制</w:t>
      </w:r>
      <w:proofErr w:type="gramEnd"/>
      <w:r w:rsidR="009B5A93" w:rsidRPr="0042269F">
        <w:rPr>
          <w:rFonts w:hAnsi="標楷體" w:hint="eastAsia"/>
          <w:color w:val="000000" w:themeColor="text1"/>
        </w:rPr>
        <w:t>戒治處分</w:t>
      </w:r>
      <w:r w:rsidR="005674DE" w:rsidRPr="0042269F">
        <w:rPr>
          <w:rFonts w:hAnsi="標楷體" w:hint="eastAsia"/>
          <w:color w:val="000000" w:themeColor="text1"/>
        </w:rPr>
        <w:t>，係屬替代刑罰之方式，為保安處分，不同於防治</w:t>
      </w:r>
      <w:r w:rsidRPr="0042269F">
        <w:rPr>
          <w:rFonts w:hAnsi="標楷體" w:hint="eastAsia"/>
          <w:color w:val="000000" w:themeColor="text1"/>
        </w:rPr>
        <w:t>傳染病之</w:t>
      </w:r>
      <w:r w:rsidRPr="0042269F">
        <w:rPr>
          <w:rFonts w:hAnsi="標楷體" w:hint="eastAsia"/>
          <w:color w:val="000000" w:themeColor="text1"/>
        </w:rPr>
        <w:lastRenderedPageBreak/>
        <w:t>「強制隔離處分」，而與</w:t>
      </w:r>
      <w:r w:rsidRPr="0042269F">
        <w:rPr>
          <w:rFonts w:hAnsi="標楷體"/>
          <w:color w:val="000000" w:themeColor="text1"/>
        </w:rPr>
        <w:t>羈押重在程序之保全</w:t>
      </w:r>
      <w:proofErr w:type="gramStart"/>
      <w:r w:rsidRPr="0042269F">
        <w:rPr>
          <w:rFonts w:hAnsi="標楷體"/>
          <w:color w:val="000000" w:themeColor="text1"/>
        </w:rPr>
        <w:t>—</w:t>
      </w:r>
      <w:proofErr w:type="gramEnd"/>
      <w:r w:rsidRPr="0042269F">
        <w:rPr>
          <w:rFonts w:hAnsi="標楷體"/>
          <w:color w:val="000000" w:themeColor="text1"/>
        </w:rPr>
        <w:t>即保全被告</w:t>
      </w:r>
      <w:proofErr w:type="gramStart"/>
      <w:r w:rsidRPr="0042269F">
        <w:rPr>
          <w:rFonts w:hAnsi="標楷體"/>
          <w:color w:val="000000" w:themeColor="text1"/>
        </w:rPr>
        <w:t>俾</w:t>
      </w:r>
      <w:proofErr w:type="gramEnd"/>
      <w:r w:rsidRPr="0042269F">
        <w:rPr>
          <w:rFonts w:hAnsi="標楷體"/>
          <w:color w:val="000000" w:themeColor="text1"/>
        </w:rPr>
        <w:t>其於整個刑事</w:t>
      </w:r>
      <w:proofErr w:type="gramStart"/>
      <w:r w:rsidRPr="0042269F">
        <w:rPr>
          <w:rFonts w:hAnsi="標楷體"/>
          <w:color w:val="000000" w:themeColor="text1"/>
        </w:rPr>
        <w:t>程序均能始終</w:t>
      </w:r>
      <w:proofErr w:type="gramEnd"/>
      <w:r w:rsidRPr="0042269F">
        <w:rPr>
          <w:rFonts w:hAnsi="標楷體"/>
          <w:color w:val="000000" w:themeColor="text1"/>
        </w:rPr>
        <w:t>到場，以利偵查、審判之有效進行，以及判決確定後之能有效執行</w:t>
      </w:r>
      <w:r w:rsidRPr="0042269F">
        <w:rPr>
          <w:rFonts w:hAnsi="標楷體" w:hint="eastAsia"/>
          <w:color w:val="000000" w:themeColor="text1"/>
        </w:rPr>
        <w:t>，就其刑罰權之實踐，</w:t>
      </w:r>
      <w:r w:rsidR="00693A46" w:rsidRPr="0042269F">
        <w:rPr>
          <w:rFonts w:hAnsi="標楷體" w:hint="eastAsia"/>
          <w:color w:val="000000" w:themeColor="text1"/>
        </w:rPr>
        <w:t>有其</w:t>
      </w:r>
      <w:r w:rsidRPr="0042269F">
        <w:rPr>
          <w:rFonts w:hAnsi="標楷體" w:hint="eastAsia"/>
          <w:color w:val="000000" w:themeColor="text1"/>
        </w:rPr>
        <w:t>同一法律理由，自可就羈押相同部分比照，當然若能</w:t>
      </w:r>
      <w:proofErr w:type="gramStart"/>
      <w:r w:rsidRPr="0042269F">
        <w:rPr>
          <w:rFonts w:hAnsi="標楷體" w:hint="eastAsia"/>
          <w:color w:val="000000" w:themeColor="text1"/>
        </w:rPr>
        <w:t>採</w:t>
      </w:r>
      <w:proofErr w:type="gramEnd"/>
      <w:r w:rsidRPr="0042269F">
        <w:rPr>
          <w:rFonts w:hAnsi="標楷體" w:hint="eastAsia"/>
          <w:color w:val="000000" w:themeColor="text1"/>
        </w:rPr>
        <w:t>「法官保留原則」之事前審查制度，而依據刑事訴訟法第108條第2項規定：「期間未滿前以正本送達被告者，發生延長羈押之效力。羈押期滿，延長羈押之裁定未經合法送達者，視為撤銷羈押。」最為妥適，惟為顧及我國現行實務</w:t>
      </w:r>
      <w:proofErr w:type="gramStart"/>
      <w:r w:rsidRPr="0042269F">
        <w:rPr>
          <w:rFonts w:hAnsi="標楷體" w:hint="eastAsia"/>
          <w:color w:val="000000" w:themeColor="text1"/>
        </w:rPr>
        <w:t>偵</w:t>
      </w:r>
      <w:proofErr w:type="gramEnd"/>
      <w:r w:rsidRPr="0042269F">
        <w:rPr>
          <w:rFonts w:hAnsi="標楷體" w:hint="eastAsia"/>
          <w:color w:val="000000" w:themeColor="text1"/>
        </w:rPr>
        <w:t>審人力、預算與防制毒品危害，維護國民身心健康之政策目的，若在符合上開憲法與公約之要求下，非不得尋求較低之標準。</w:t>
      </w:r>
    </w:p>
    <w:p w:rsidR="006E7217" w:rsidRPr="0042269F" w:rsidRDefault="00693A46" w:rsidP="00750DBC">
      <w:pPr>
        <w:pStyle w:val="5"/>
        <w:ind w:left="2041"/>
        <w:rPr>
          <w:rFonts w:hAnsi="標楷體"/>
          <w:color w:val="000000" w:themeColor="text1"/>
        </w:rPr>
      </w:pPr>
      <w:r w:rsidRPr="0042269F">
        <w:rPr>
          <w:rFonts w:hAnsi="標楷體" w:hint="eastAsia"/>
          <w:color w:val="000000" w:themeColor="text1"/>
        </w:rPr>
        <w:t>觀察勒戒處分執行條例第8條規定，有關</w:t>
      </w:r>
      <w:r w:rsidR="006E7217" w:rsidRPr="0042269F">
        <w:rPr>
          <w:rFonts w:hAnsi="標楷體" w:hint="eastAsia"/>
          <w:color w:val="000000" w:themeColor="text1"/>
        </w:rPr>
        <w:t>「</w:t>
      </w:r>
      <w:r w:rsidR="006E7217" w:rsidRPr="0042269F">
        <w:rPr>
          <w:rFonts w:hAnsi="標楷體"/>
          <w:color w:val="000000" w:themeColor="text1"/>
        </w:rPr>
        <w:t>繼續施用毒品傾向</w:t>
      </w:r>
      <w:r w:rsidR="006E7217" w:rsidRPr="0042269F">
        <w:rPr>
          <w:rFonts w:hAnsi="標楷體" w:hint="eastAsia"/>
          <w:color w:val="000000" w:themeColor="text1"/>
        </w:rPr>
        <w:t>」係為醫學專業之經驗法則判斷，而與羈押處分性質尚非全然一致，得</w:t>
      </w:r>
      <w:proofErr w:type="gramStart"/>
      <w:r w:rsidR="006E7217" w:rsidRPr="0042269F">
        <w:rPr>
          <w:rFonts w:hAnsi="標楷體" w:hint="eastAsia"/>
          <w:color w:val="000000" w:themeColor="text1"/>
        </w:rPr>
        <w:t>採</w:t>
      </w:r>
      <w:proofErr w:type="gramEnd"/>
      <w:r w:rsidR="006E7217" w:rsidRPr="0042269F">
        <w:rPr>
          <w:rFonts w:hAnsi="標楷體" w:hint="eastAsia"/>
          <w:color w:val="000000" w:themeColor="text1"/>
        </w:rPr>
        <w:t>「事後審查制度」，</w:t>
      </w:r>
      <w:r w:rsidR="007C2DCD" w:rsidRPr="0042269F">
        <w:rPr>
          <w:rFonts w:hAnsi="標楷體" w:hint="eastAsia"/>
          <w:color w:val="000000" w:themeColor="text1"/>
        </w:rPr>
        <w:t>然</w:t>
      </w:r>
      <w:r w:rsidR="006E7217" w:rsidRPr="0042269F">
        <w:rPr>
          <w:rFonts w:hAnsi="標楷體" w:hint="eastAsia"/>
          <w:color w:val="000000" w:themeColor="text1"/>
        </w:rPr>
        <w:t>基於</w:t>
      </w:r>
      <w:r w:rsidR="006E7217" w:rsidRPr="0042269F">
        <w:rPr>
          <w:rFonts w:hAnsi="標楷體" w:hint="eastAsia"/>
          <w:color w:val="000000" w:themeColor="text1"/>
          <w:szCs w:val="52"/>
        </w:rPr>
        <w:t>憲法第8條及聯合國公民與政治權利國際公約第9條規定</w:t>
      </w:r>
      <w:r w:rsidR="006E7217" w:rsidRPr="0042269F">
        <w:rPr>
          <w:rFonts w:hAnsi="標楷體" w:hint="eastAsia"/>
          <w:color w:val="000000" w:themeColor="text1"/>
        </w:rPr>
        <w:t>，法官審理期限應符合「迅速」標準，以法院裁定之日期不得超過</w:t>
      </w:r>
      <w:r w:rsidR="006E7217" w:rsidRPr="0042269F">
        <w:rPr>
          <w:rFonts w:hAnsi="標楷體"/>
          <w:color w:val="000000" w:themeColor="text1"/>
        </w:rPr>
        <w:t>觀察、勒戒期間屆滿</w:t>
      </w:r>
      <w:r w:rsidR="006E7217" w:rsidRPr="0042269F">
        <w:rPr>
          <w:rFonts w:hAnsi="標楷體" w:hint="eastAsia"/>
          <w:color w:val="000000" w:themeColor="text1"/>
        </w:rPr>
        <w:t>後24小時內為宜，故我國現行司法實務仍有值得</w:t>
      </w:r>
      <w:proofErr w:type="gramStart"/>
      <w:r w:rsidR="006E7217" w:rsidRPr="0042269F">
        <w:rPr>
          <w:rFonts w:hAnsi="標楷體" w:hint="eastAsia"/>
          <w:color w:val="000000" w:themeColor="text1"/>
        </w:rPr>
        <w:t>檢討並精進</w:t>
      </w:r>
      <w:proofErr w:type="gramEnd"/>
      <w:r w:rsidR="006E7217" w:rsidRPr="0042269F">
        <w:rPr>
          <w:rFonts w:hAnsi="標楷體" w:hint="eastAsia"/>
          <w:color w:val="000000" w:themeColor="text1"/>
        </w:rPr>
        <w:t>之處。</w:t>
      </w:r>
    </w:p>
    <w:p w:rsidR="006E7217" w:rsidRPr="0042269F" w:rsidRDefault="00CC53B7" w:rsidP="007C2DCD">
      <w:pPr>
        <w:pStyle w:val="52"/>
        <w:ind w:left="2041" w:firstLine="680"/>
        <w:rPr>
          <w:rFonts w:hAnsi="標楷體"/>
          <w:color w:val="000000" w:themeColor="text1"/>
        </w:rPr>
      </w:pPr>
      <w:r w:rsidRPr="0042269F">
        <w:rPr>
          <w:rFonts w:hAnsi="標楷體" w:hint="eastAsia"/>
          <w:color w:val="000000" w:themeColor="text1"/>
        </w:rPr>
        <w:t>查觀察勒戒處分執行條例第8條規定</w:t>
      </w:r>
      <w:proofErr w:type="gramStart"/>
      <w:r w:rsidRPr="0042269F">
        <w:rPr>
          <w:rFonts w:hAnsi="標楷體" w:hint="eastAsia"/>
          <w:color w:val="000000" w:themeColor="text1"/>
        </w:rPr>
        <w:t>採</w:t>
      </w:r>
      <w:proofErr w:type="gramEnd"/>
      <w:r w:rsidRPr="0042269F">
        <w:rPr>
          <w:rFonts w:hAnsi="標楷體" w:hint="eastAsia"/>
          <w:color w:val="000000" w:themeColor="text1"/>
        </w:rPr>
        <w:t>事前</w:t>
      </w:r>
      <w:proofErr w:type="gramStart"/>
      <w:r w:rsidRPr="0042269F">
        <w:rPr>
          <w:rFonts w:hAnsi="標楷體" w:hint="eastAsia"/>
          <w:color w:val="000000" w:themeColor="text1"/>
        </w:rPr>
        <w:t>陳報制</w:t>
      </w:r>
      <w:proofErr w:type="gramEnd"/>
      <w:r w:rsidRPr="0042269F">
        <w:rPr>
          <w:rFonts w:hAnsi="標楷體" w:hint="eastAsia"/>
          <w:color w:val="000000" w:themeColor="text1"/>
        </w:rPr>
        <w:t>，由醫師研判其有或無繼續施用毒品傾向，再由司法人員以命令或裁定為之。無繼續施用毒品傾向者，不待命令或裁定應即釋放；有繼續施用毒品傾向者，亦不待裁定移送戒治處所施以強制</w:t>
      </w:r>
      <w:proofErr w:type="gramStart"/>
      <w:r w:rsidRPr="0042269F">
        <w:rPr>
          <w:rFonts w:hAnsi="標楷體" w:hint="eastAsia"/>
          <w:color w:val="000000" w:themeColor="text1"/>
        </w:rPr>
        <w:t>戒治前</w:t>
      </w:r>
      <w:proofErr w:type="gramEnd"/>
      <w:r w:rsidRPr="0042269F">
        <w:rPr>
          <w:rFonts w:hAnsi="標楷體" w:hint="eastAsia"/>
          <w:color w:val="000000" w:themeColor="text1"/>
        </w:rPr>
        <w:t>，仍應繼續收容。給予行政機關相當決定空間，究其理由在於「有無繼續施用毒品傾向」係屬精神醫學專業之經驗法則之判斷，</w:t>
      </w:r>
      <w:proofErr w:type="gramStart"/>
      <w:r w:rsidRPr="0042269F">
        <w:rPr>
          <w:rFonts w:hAnsi="標楷體" w:hint="eastAsia"/>
          <w:color w:val="000000" w:themeColor="text1"/>
        </w:rPr>
        <w:t>故委諸醫師</w:t>
      </w:r>
      <w:proofErr w:type="gramEnd"/>
      <w:r w:rsidRPr="0042269F">
        <w:rPr>
          <w:rFonts w:hAnsi="標楷體" w:hint="eastAsia"/>
          <w:color w:val="000000" w:themeColor="text1"/>
        </w:rPr>
        <w:t>決定，而與羈押處</w:t>
      </w:r>
      <w:r w:rsidRPr="0042269F">
        <w:rPr>
          <w:rFonts w:hAnsi="標楷體" w:hint="eastAsia"/>
          <w:color w:val="000000" w:themeColor="text1"/>
        </w:rPr>
        <w:lastRenderedPageBreak/>
        <w:t>分性質尚非全然一致，若</w:t>
      </w:r>
      <w:r w:rsidR="000E011D" w:rsidRPr="0042269F">
        <w:rPr>
          <w:rFonts w:hAnsi="標楷體" w:hint="eastAsia"/>
          <w:color w:val="000000" w:themeColor="text1"/>
        </w:rPr>
        <w:t>縱</w:t>
      </w:r>
      <w:r w:rsidRPr="0042269F">
        <w:rPr>
          <w:rFonts w:hAnsi="標楷體" w:hint="eastAsia"/>
          <w:color w:val="000000" w:themeColor="text1"/>
        </w:rPr>
        <w:t>容許法院採用「事後審查制度」，未可逕行直斥為非，</w:t>
      </w:r>
      <w:r w:rsidR="00693A46" w:rsidRPr="0042269F">
        <w:rPr>
          <w:rFonts w:hAnsi="標楷體" w:hint="eastAsia"/>
          <w:color w:val="000000" w:themeColor="text1"/>
        </w:rPr>
        <w:t>惟按，</w:t>
      </w:r>
      <w:r w:rsidR="006E7217" w:rsidRPr="0042269F">
        <w:rPr>
          <w:rFonts w:hAnsi="標楷體" w:hint="eastAsia"/>
          <w:color w:val="000000" w:themeColor="text1"/>
        </w:rPr>
        <w:t>聯合國公民與政治權利國際公約第9條規定與聯合國人權事務委員會一般性意見所定拘禁之程序並不限單純刑事案件，尚包括吸毒成癮等等其他拘禁作為，法官應於合理期間內審訊或釋放被拘禁人，其司法聽證應以</w:t>
      </w:r>
      <w:r w:rsidR="006E7217" w:rsidRPr="0042269F">
        <w:rPr>
          <w:rFonts w:hAnsi="標楷體"/>
          <w:color w:val="000000" w:themeColor="text1"/>
        </w:rPr>
        <w:t>48</w:t>
      </w:r>
      <w:r w:rsidR="006E7217" w:rsidRPr="0042269F">
        <w:rPr>
          <w:rFonts w:hAnsi="標楷體" w:hint="eastAsia"/>
          <w:color w:val="000000" w:themeColor="text1"/>
        </w:rPr>
        <w:t>小時為限，在少年案件中，應以24小時為限，始符合「迅速」標準，以確保符合正當法定程序原則之實踐，故觀察勒戒處分執行條例雖未明文規定，仍不得違反「迅速」之標準；復就觀察勒戒處分執行條例第3條規定，檢察官依毒品危害防制條例第20條第1項</w:t>
      </w:r>
      <w:proofErr w:type="gramStart"/>
      <w:r w:rsidR="006E7217" w:rsidRPr="0042269F">
        <w:rPr>
          <w:rFonts w:hAnsi="標楷體" w:hint="eastAsia"/>
          <w:color w:val="000000" w:themeColor="text1"/>
        </w:rPr>
        <w:t>規定命送勒</w:t>
      </w:r>
      <w:proofErr w:type="gramEnd"/>
      <w:r w:rsidR="006E7217" w:rsidRPr="0042269F">
        <w:rPr>
          <w:rFonts w:hAnsi="標楷體" w:hint="eastAsia"/>
          <w:color w:val="000000" w:themeColor="text1"/>
        </w:rPr>
        <w:t>戒處所執行觀察、勒戒處分者，應先向法院聲請裁定，法院應於受理聲請後24小時內為之（第1項）。前項聲請裁定</w:t>
      </w:r>
      <w:proofErr w:type="gramStart"/>
      <w:r w:rsidR="006E7217" w:rsidRPr="0042269F">
        <w:rPr>
          <w:rFonts w:hAnsi="標楷體" w:hint="eastAsia"/>
          <w:color w:val="000000" w:themeColor="text1"/>
        </w:rPr>
        <w:t>期間，</w:t>
      </w:r>
      <w:proofErr w:type="gramEnd"/>
      <w:r w:rsidR="006E7217" w:rsidRPr="0042269F">
        <w:rPr>
          <w:rFonts w:hAnsi="標楷體" w:hint="eastAsia"/>
          <w:color w:val="000000" w:themeColor="text1"/>
        </w:rPr>
        <w:t>法院得依檢察官之聲請</w:t>
      </w:r>
      <w:proofErr w:type="gramStart"/>
      <w:r w:rsidR="006E7217" w:rsidRPr="0042269F">
        <w:rPr>
          <w:rFonts w:hAnsi="標楷體" w:hint="eastAsia"/>
          <w:color w:val="000000" w:themeColor="text1"/>
        </w:rPr>
        <w:t>將被聲請</w:t>
      </w:r>
      <w:proofErr w:type="gramEnd"/>
      <w:r w:rsidR="006E7217" w:rsidRPr="0042269F">
        <w:rPr>
          <w:rFonts w:hAnsi="標楷體" w:hint="eastAsia"/>
          <w:color w:val="000000" w:themeColor="text1"/>
        </w:rPr>
        <w:t>人</w:t>
      </w:r>
      <w:proofErr w:type="gramStart"/>
      <w:r w:rsidR="006E7217" w:rsidRPr="0042269F">
        <w:rPr>
          <w:rFonts w:hAnsi="標楷體" w:hint="eastAsia"/>
          <w:color w:val="000000" w:themeColor="text1"/>
        </w:rPr>
        <w:t>留置於勒戒</w:t>
      </w:r>
      <w:proofErr w:type="gramEnd"/>
      <w:r w:rsidR="006E7217" w:rsidRPr="0042269F">
        <w:rPr>
          <w:rFonts w:hAnsi="標楷體" w:hint="eastAsia"/>
          <w:color w:val="000000" w:themeColor="text1"/>
        </w:rPr>
        <w:t>處所（第2項）。留置</w:t>
      </w:r>
      <w:proofErr w:type="gramStart"/>
      <w:r w:rsidR="006E7217" w:rsidRPr="0042269F">
        <w:rPr>
          <w:rFonts w:hAnsi="標楷體" w:hint="eastAsia"/>
          <w:color w:val="000000" w:themeColor="text1"/>
        </w:rPr>
        <w:t>期間得折抵</w:t>
      </w:r>
      <w:proofErr w:type="gramEnd"/>
      <w:r w:rsidR="006E7217" w:rsidRPr="0042269F">
        <w:rPr>
          <w:rFonts w:hAnsi="標楷體" w:hint="eastAsia"/>
          <w:color w:val="000000" w:themeColor="text1"/>
        </w:rPr>
        <w:t>執行觀察、勒戒</w:t>
      </w:r>
      <w:proofErr w:type="gramStart"/>
      <w:r w:rsidR="006E7217" w:rsidRPr="0042269F">
        <w:rPr>
          <w:rFonts w:hAnsi="標楷體" w:hint="eastAsia"/>
          <w:color w:val="000000" w:themeColor="text1"/>
        </w:rPr>
        <w:t>期間（</w:t>
      </w:r>
      <w:proofErr w:type="gramEnd"/>
      <w:r w:rsidR="006E7217" w:rsidRPr="0042269F">
        <w:rPr>
          <w:rFonts w:hAnsi="標楷體" w:hint="eastAsia"/>
          <w:color w:val="000000" w:themeColor="text1"/>
        </w:rPr>
        <w:t>第3項）。法院為不付觀察、勒戒之裁定或逾期不為裁定者，受留置人應即釋放（第4項），顯係依據憲法第8條所定，明定受司法事後審查時間最低限制</w:t>
      </w:r>
      <w:proofErr w:type="gramStart"/>
      <w:r w:rsidR="006E7217" w:rsidRPr="0042269F">
        <w:rPr>
          <w:rFonts w:hAnsi="標楷體" w:hint="eastAsia"/>
          <w:color w:val="000000" w:themeColor="text1"/>
        </w:rPr>
        <w:t>期間，</w:t>
      </w:r>
      <w:proofErr w:type="gramEnd"/>
      <w:r w:rsidR="006E7217" w:rsidRPr="0042269F">
        <w:rPr>
          <w:rFonts w:hAnsi="標楷體" w:hint="eastAsia"/>
          <w:color w:val="000000" w:themeColor="text1"/>
        </w:rPr>
        <w:t>基於上開人身自由保障之相同法律理由，從合憲性解釋、目的解釋與體系解釋，自應對觀察勒戒處分執行條例第8條第2項後段之法律漏洞，予以填補，以符法制。</w:t>
      </w:r>
      <w:proofErr w:type="gramStart"/>
      <w:r w:rsidR="006E7217" w:rsidRPr="0042269F">
        <w:rPr>
          <w:rFonts w:hAnsi="標楷體" w:hint="eastAsia"/>
          <w:color w:val="000000" w:themeColor="text1"/>
        </w:rPr>
        <w:t>從而，</w:t>
      </w:r>
      <w:proofErr w:type="gramEnd"/>
      <w:r w:rsidR="006E7217" w:rsidRPr="0042269F">
        <w:rPr>
          <w:rFonts w:hAnsi="標楷體" w:hint="eastAsia"/>
          <w:color w:val="000000" w:themeColor="text1"/>
        </w:rPr>
        <w:t>現行法律業要求勒戒處所於</w:t>
      </w:r>
      <w:r w:rsidR="006E7217" w:rsidRPr="0042269F">
        <w:rPr>
          <w:rFonts w:hAnsi="標楷體"/>
          <w:color w:val="000000" w:themeColor="text1"/>
        </w:rPr>
        <w:t>期滿</w:t>
      </w:r>
      <w:r w:rsidR="006E7217" w:rsidRPr="0042269F">
        <w:rPr>
          <w:rFonts w:hAnsi="標楷體" w:hint="eastAsia"/>
          <w:color w:val="000000" w:themeColor="text1"/>
        </w:rPr>
        <w:t>7</w:t>
      </w:r>
      <w:r w:rsidR="006E7217" w:rsidRPr="0042269F">
        <w:rPr>
          <w:rFonts w:hAnsi="標楷體"/>
          <w:color w:val="000000" w:themeColor="text1"/>
        </w:rPr>
        <w:t>日前陳報</w:t>
      </w:r>
      <w:r w:rsidR="006E7217" w:rsidRPr="0042269F">
        <w:rPr>
          <w:rFonts w:hAnsi="標楷體" w:hint="eastAsia"/>
          <w:color w:val="000000" w:themeColor="text1"/>
        </w:rPr>
        <w:t>，並非未給予司法機關合理決定</w:t>
      </w:r>
      <w:proofErr w:type="gramStart"/>
      <w:r w:rsidR="006E7217" w:rsidRPr="0042269F">
        <w:rPr>
          <w:rFonts w:hAnsi="標楷體" w:hint="eastAsia"/>
          <w:color w:val="000000" w:themeColor="text1"/>
        </w:rPr>
        <w:t>期間，</w:t>
      </w:r>
      <w:proofErr w:type="gramEnd"/>
      <w:r w:rsidR="006E7217" w:rsidRPr="0042269F">
        <w:rPr>
          <w:rFonts w:hAnsi="標楷體" w:hint="eastAsia"/>
          <w:color w:val="000000" w:themeColor="text1"/>
        </w:rPr>
        <w:t>縱不得依據刑事訴訟法第108條第2項規定，視</w:t>
      </w:r>
      <w:r w:rsidR="00EB0E3A" w:rsidRPr="0042269F">
        <w:rPr>
          <w:rFonts w:hAnsi="標楷體" w:hint="eastAsia"/>
          <w:color w:val="000000" w:themeColor="text1"/>
        </w:rPr>
        <w:t>為撤銷羈押之「法官保留原則」規定。退</w:t>
      </w:r>
      <w:proofErr w:type="gramStart"/>
      <w:r w:rsidR="00EB0E3A" w:rsidRPr="0042269F">
        <w:rPr>
          <w:rFonts w:hAnsi="標楷體" w:hint="eastAsia"/>
          <w:color w:val="000000" w:themeColor="text1"/>
        </w:rPr>
        <w:t>萬步言</w:t>
      </w:r>
      <w:proofErr w:type="gramEnd"/>
      <w:r w:rsidR="00EB0E3A" w:rsidRPr="0042269F">
        <w:rPr>
          <w:rFonts w:hAnsi="標楷體" w:hint="eastAsia"/>
          <w:color w:val="000000" w:themeColor="text1"/>
        </w:rPr>
        <w:t>，其法院裁定之日期亦以</w:t>
      </w:r>
      <w:r w:rsidR="006E7217" w:rsidRPr="0042269F">
        <w:rPr>
          <w:rFonts w:hAnsi="標楷體" w:hint="eastAsia"/>
          <w:color w:val="000000" w:themeColor="text1"/>
        </w:rPr>
        <w:t>不得超過</w:t>
      </w:r>
      <w:r w:rsidR="006E7217" w:rsidRPr="0042269F">
        <w:rPr>
          <w:rFonts w:hAnsi="標楷體"/>
          <w:color w:val="000000" w:themeColor="text1"/>
        </w:rPr>
        <w:t>觀察、勒戒期間屆滿</w:t>
      </w:r>
      <w:r w:rsidR="006E7217" w:rsidRPr="0042269F">
        <w:rPr>
          <w:rFonts w:hAnsi="標楷體" w:hint="eastAsia"/>
          <w:color w:val="000000" w:themeColor="text1"/>
        </w:rPr>
        <w:t>日後24小時，始能確保</w:t>
      </w:r>
      <w:r w:rsidR="006E7217" w:rsidRPr="0042269F">
        <w:rPr>
          <w:rFonts w:hAnsi="標楷體" w:hint="eastAsia"/>
          <w:color w:val="000000" w:themeColor="text1"/>
        </w:rPr>
        <w:lastRenderedPageBreak/>
        <w:t>符合憲法第8條及聯合國公民與政治權利國際公約第9條</w:t>
      </w:r>
      <w:r w:rsidRPr="0042269F">
        <w:rPr>
          <w:rFonts w:hAnsi="標楷體" w:hint="eastAsia"/>
          <w:color w:val="000000" w:themeColor="text1"/>
        </w:rPr>
        <w:t>所定「迅速」標準</w:t>
      </w:r>
      <w:r w:rsidR="00693A46" w:rsidRPr="0042269F">
        <w:rPr>
          <w:rFonts w:hAnsi="標楷體" w:hint="eastAsia"/>
          <w:color w:val="000000" w:themeColor="text1"/>
        </w:rPr>
        <w:t>，故我國現行司法實務</w:t>
      </w:r>
      <w:r w:rsidR="00B453DE" w:rsidRPr="0042269F">
        <w:rPr>
          <w:rFonts w:hAnsi="標楷體" w:hint="eastAsia"/>
          <w:color w:val="000000" w:themeColor="text1"/>
        </w:rPr>
        <w:t>（如調查意見</w:t>
      </w:r>
      <w:proofErr w:type="gramStart"/>
      <w:r w:rsidR="00B453DE" w:rsidRPr="0042269F">
        <w:rPr>
          <w:rFonts w:hAnsi="標楷體" w:hint="eastAsia"/>
          <w:color w:val="000000" w:themeColor="text1"/>
        </w:rPr>
        <w:t>二所述</w:t>
      </w:r>
      <w:proofErr w:type="gramEnd"/>
      <w:r w:rsidR="00B453DE" w:rsidRPr="0042269F">
        <w:rPr>
          <w:rFonts w:hAnsi="標楷體" w:hint="eastAsia"/>
          <w:color w:val="000000" w:themeColor="text1"/>
        </w:rPr>
        <w:t>）若有延宕至觀察、勒戒期間屆滿日24小時後之情形，</w:t>
      </w:r>
      <w:r w:rsidRPr="0042269F">
        <w:rPr>
          <w:rFonts w:hAnsi="標楷體" w:hint="eastAsia"/>
          <w:color w:val="000000" w:themeColor="text1"/>
        </w:rPr>
        <w:t>似仍有值得</w:t>
      </w:r>
      <w:proofErr w:type="gramStart"/>
      <w:r w:rsidRPr="0042269F">
        <w:rPr>
          <w:rFonts w:hAnsi="標楷體" w:hint="eastAsia"/>
          <w:color w:val="000000" w:themeColor="text1"/>
        </w:rPr>
        <w:t>檢討並精進</w:t>
      </w:r>
      <w:proofErr w:type="gramEnd"/>
      <w:r w:rsidRPr="0042269F">
        <w:rPr>
          <w:rFonts w:hAnsi="標楷體" w:hint="eastAsia"/>
          <w:color w:val="000000" w:themeColor="text1"/>
        </w:rPr>
        <w:t>之餘地</w:t>
      </w:r>
      <w:r w:rsidR="00693A46" w:rsidRPr="0042269F">
        <w:rPr>
          <w:rFonts w:hAnsi="標楷體" w:hint="eastAsia"/>
          <w:color w:val="000000" w:themeColor="text1"/>
        </w:rPr>
        <w:t>。</w:t>
      </w:r>
    </w:p>
    <w:p w:rsidR="00B453DE" w:rsidRPr="0042269F" w:rsidRDefault="006E7217" w:rsidP="0061783A">
      <w:pPr>
        <w:pStyle w:val="3"/>
        <w:rPr>
          <w:rFonts w:hAnsi="標楷體"/>
          <w:color w:val="000000" w:themeColor="text1"/>
          <w:szCs w:val="52"/>
        </w:rPr>
      </w:pPr>
      <w:r w:rsidRPr="0042269F">
        <w:rPr>
          <w:rFonts w:hAnsi="標楷體" w:hint="eastAsia"/>
          <w:color w:val="000000" w:themeColor="text1"/>
        </w:rPr>
        <w:t>綜上，</w:t>
      </w:r>
      <w:r w:rsidR="0061783A" w:rsidRPr="0042269F">
        <w:rPr>
          <w:rFonts w:hAnsi="標楷體" w:hint="eastAsia"/>
          <w:color w:val="000000" w:themeColor="text1"/>
          <w:szCs w:val="52"/>
        </w:rPr>
        <w:t>司法院與法務部就觀察勒戒處分執行條例第8條第2項後段：「有繼續施用毒品傾向者，</w:t>
      </w:r>
      <w:proofErr w:type="gramStart"/>
      <w:r w:rsidR="0061783A" w:rsidRPr="0042269F">
        <w:rPr>
          <w:rFonts w:hAnsi="標楷體" w:hint="eastAsia"/>
          <w:color w:val="000000" w:themeColor="text1"/>
          <w:szCs w:val="52"/>
        </w:rPr>
        <w:t>於勒戒</w:t>
      </w:r>
      <w:proofErr w:type="gramEnd"/>
      <w:r w:rsidR="0061783A" w:rsidRPr="0042269F">
        <w:rPr>
          <w:rFonts w:hAnsi="標楷體" w:hint="eastAsia"/>
          <w:color w:val="000000" w:themeColor="text1"/>
          <w:szCs w:val="52"/>
        </w:rPr>
        <w:t>處所依法院或由少年法院(庭)裁定移送戒治處所施以強制</w:t>
      </w:r>
      <w:proofErr w:type="gramStart"/>
      <w:r w:rsidR="0061783A" w:rsidRPr="0042269F">
        <w:rPr>
          <w:rFonts w:hAnsi="標楷體" w:hint="eastAsia"/>
          <w:color w:val="000000" w:themeColor="text1"/>
          <w:szCs w:val="52"/>
        </w:rPr>
        <w:t>戒治前</w:t>
      </w:r>
      <w:proofErr w:type="gramEnd"/>
      <w:r w:rsidR="0061783A" w:rsidRPr="0042269F">
        <w:rPr>
          <w:rFonts w:hAnsi="標楷體" w:hint="eastAsia"/>
          <w:color w:val="000000" w:themeColor="text1"/>
          <w:szCs w:val="52"/>
        </w:rPr>
        <w:t>，應繼續收容。其收容</w:t>
      </w:r>
      <w:proofErr w:type="gramStart"/>
      <w:r w:rsidR="0061783A" w:rsidRPr="0042269F">
        <w:rPr>
          <w:rFonts w:hAnsi="標楷體" w:hint="eastAsia"/>
          <w:color w:val="000000" w:themeColor="text1"/>
          <w:szCs w:val="52"/>
        </w:rPr>
        <w:t>期間，計入戒</w:t>
      </w:r>
      <w:proofErr w:type="gramEnd"/>
      <w:r w:rsidR="0061783A" w:rsidRPr="0042269F">
        <w:rPr>
          <w:rFonts w:hAnsi="標楷體" w:hint="eastAsia"/>
          <w:color w:val="000000" w:themeColor="text1"/>
          <w:szCs w:val="52"/>
        </w:rPr>
        <w:t>治期間。」之規定，因未明定法院強制戒治裁定期限，肇致裁定日期超過觀察勒戒人執行期滿日期，構成法律漏洞，而與刑事訴訟法第108條第2項視為撤銷羈押之規定，相去甚遠，侵害基本權利至</w:t>
      </w:r>
      <w:proofErr w:type="gramStart"/>
      <w:r w:rsidR="0061783A" w:rsidRPr="0042269F">
        <w:rPr>
          <w:rFonts w:hAnsi="標楷體" w:hint="eastAsia"/>
          <w:color w:val="000000" w:themeColor="text1"/>
          <w:szCs w:val="52"/>
        </w:rPr>
        <w:t>鉅</w:t>
      </w:r>
      <w:proofErr w:type="gramEnd"/>
      <w:r w:rsidR="0061783A" w:rsidRPr="0042269F">
        <w:rPr>
          <w:rFonts w:hAnsi="標楷體" w:hint="eastAsia"/>
          <w:color w:val="000000" w:themeColor="text1"/>
          <w:szCs w:val="52"/>
        </w:rPr>
        <w:t>，自應妥為檢討所涉法令及措施，以符憲法第8條及聯合國公民與政治權利國際公約第9條所定人身自由之保障。</w:t>
      </w:r>
    </w:p>
    <w:p w:rsidR="002620FF" w:rsidRPr="0042269F" w:rsidRDefault="00CC53B7" w:rsidP="00BC3A2F">
      <w:pPr>
        <w:pStyle w:val="2"/>
        <w:rPr>
          <w:rFonts w:hAnsi="標楷體"/>
          <w:b/>
          <w:color w:val="000000" w:themeColor="text1"/>
        </w:rPr>
      </w:pPr>
      <w:r w:rsidRPr="0042269F">
        <w:rPr>
          <w:rFonts w:hAnsi="標楷體" w:hint="eastAsia"/>
          <w:b/>
          <w:color w:val="000000" w:themeColor="text1"/>
        </w:rPr>
        <w:t>我國司法實務就</w:t>
      </w:r>
      <w:r w:rsidR="002620FF" w:rsidRPr="0042269F">
        <w:rPr>
          <w:rFonts w:hAnsi="標楷體" w:hint="eastAsia"/>
          <w:b/>
          <w:color w:val="000000" w:themeColor="text1"/>
        </w:rPr>
        <w:t>觀察勒戒處分</w:t>
      </w:r>
      <w:r w:rsidRPr="0042269F">
        <w:rPr>
          <w:rFonts w:hAnsi="標楷體" w:hint="eastAsia"/>
          <w:b/>
          <w:color w:val="000000" w:themeColor="text1"/>
        </w:rPr>
        <w:t>之</w:t>
      </w:r>
      <w:r w:rsidR="002620FF" w:rsidRPr="0042269F">
        <w:rPr>
          <w:rFonts w:hAnsi="標楷體" w:hint="eastAsia"/>
          <w:b/>
          <w:color w:val="000000" w:themeColor="text1"/>
        </w:rPr>
        <w:t>執行，</w:t>
      </w:r>
      <w:r w:rsidR="00A20367" w:rsidRPr="0042269F">
        <w:rPr>
          <w:rFonts w:hAnsi="標楷體" w:hint="eastAsia"/>
          <w:b/>
          <w:color w:val="000000" w:themeColor="text1"/>
        </w:rPr>
        <w:t>因</w:t>
      </w:r>
      <w:r w:rsidR="002620FF" w:rsidRPr="0042269F">
        <w:rPr>
          <w:rFonts w:hAnsi="標楷體" w:hint="eastAsia"/>
          <w:b/>
          <w:color w:val="000000" w:themeColor="text1"/>
        </w:rPr>
        <w:t>現行法律並未對於</w:t>
      </w:r>
      <w:r w:rsidR="002620FF" w:rsidRPr="0042269F">
        <w:rPr>
          <w:rFonts w:hAnsi="標楷體"/>
          <w:b/>
          <w:color w:val="000000" w:themeColor="text1"/>
        </w:rPr>
        <w:t>有繼續施用毒品傾向者，</w:t>
      </w:r>
      <w:r w:rsidR="002620FF" w:rsidRPr="0042269F">
        <w:rPr>
          <w:rFonts w:hAnsi="標楷體" w:hint="eastAsia"/>
          <w:b/>
          <w:color w:val="000000" w:themeColor="text1"/>
        </w:rPr>
        <w:t>明定法院</w:t>
      </w:r>
      <w:r w:rsidR="00A20367" w:rsidRPr="0042269F">
        <w:rPr>
          <w:rFonts w:hAnsi="標楷體" w:hint="eastAsia"/>
          <w:b/>
          <w:color w:val="000000" w:themeColor="text1"/>
        </w:rPr>
        <w:t>應</w:t>
      </w:r>
      <w:r w:rsidR="002620FF" w:rsidRPr="0042269F">
        <w:rPr>
          <w:rFonts w:hAnsi="標楷體" w:hint="eastAsia"/>
          <w:b/>
          <w:color w:val="000000" w:themeColor="text1"/>
        </w:rPr>
        <w:t>裁定</w:t>
      </w:r>
      <w:r w:rsidR="00A20367" w:rsidRPr="0042269F">
        <w:rPr>
          <w:rFonts w:hAnsi="標楷體" w:hint="eastAsia"/>
          <w:b/>
          <w:color w:val="000000" w:themeColor="text1"/>
        </w:rPr>
        <w:t>強制戒治</w:t>
      </w:r>
      <w:r w:rsidR="002620FF" w:rsidRPr="0042269F">
        <w:rPr>
          <w:rFonts w:hAnsi="標楷體" w:hint="eastAsia"/>
          <w:b/>
          <w:color w:val="000000" w:themeColor="text1"/>
        </w:rPr>
        <w:t>之期限，肇致</w:t>
      </w:r>
      <w:r w:rsidR="00A20367" w:rsidRPr="0042269F">
        <w:rPr>
          <w:rFonts w:hAnsi="標楷體" w:hint="eastAsia"/>
          <w:b/>
          <w:color w:val="000000" w:themeColor="text1"/>
        </w:rPr>
        <w:t>縱使觀察勒戒</w:t>
      </w:r>
      <w:r w:rsidR="002620FF" w:rsidRPr="0042269F">
        <w:rPr>
          <w:rFonts w:hAnsi="標楷體" w:hint="eastAsia"/>
          <w:b/>
          <w:color w:val="000000" w:themeColor="text1"/>
        </w:rPr>
        <w:t>執行期滿，</w:t>
      </w:r>
      <w:r w:rsidR="00A20367" w:rsidRPr="0042269F">
        <w:rPr>
          <w:rFonts w:hAnsi="標楷體" w:hint="eastAsia"/>
          <w:b/>
          <w:color w:val="000000" w:themeColor="text1"/>
        </w:rPr>
        <w:t>受觀察勒戒人之人身自由</w:t>
      </w:r>
      <w:r w:rsidRPr="0042269F">
        <w:rPr>
          <w:rFonts w:hAnsi="標楷體" w:hint="eastAsia"/>
          <w:b/>
          <w:color w:val="000000" w:themeColor="text1"/>
        </w:rPr>
        <w:t>仍被</w:t>
      </w:r>
      <w:r w:rsidR="00A20367" w:rsidRPr="0042269F">
        <w:rPr>
          <w:rFonts w:hAnsi="標楷體" w:hint="eastAsia"/>
          <w:b/>
          <w:color w:val="000000" w:themeColor="text1"/>
        </w:rPr>
        <w:t>剝奪，</w:t>
      </w:r>
      <w:r w:rsidRPr="0042269F">
        <w:rPr>
          <w:rFonts w:hAnsi="標楷體" w:hint="eastAsia"/>
          <w:b/>
          <w:color w:val="000000" w:themeColor="text1"/>
        </w:rPr>
        <w:t>並未即時受到法院保護，</w:t>
      </w:r>
      <w:r w:rsidR="00A20367" w:rsidRPr="0042269F">
        <w:rPr>
          <w:rFonts w:hAnsi="標楷體" w:hint="eastAsia"/>
          <w:b/>
          <w:color w:val="000000" w:themeColor="text1"/>
        </w:rPr>
        <w:t>此種案例極多（詳見附表），</w:t>
      </w:r>
      <w:r w:rsidR="00BC3A2F" w:rsidRPr="0042269F">
        <w:rPr>
          <w:rFonts w:hAnsi="標楷體" w:hint="eastAsia"/>
          <w:b/>
          <w:color w:val="000000" w:themeColor="text1"/>
        </w:rPr>
        <w:t>顯見係因觀察勒戒之相關作業期程欠缺妥當司法行政管制措施所致，</w:t>
      </w:r>
      <w:r w:rsidRPr="0042269F">
        <w:rPr>
          <w:rFonts w:hAnsi="標楷體" w:hint="eastAsia"/>
          <w:b/>
          <w:color w:val="000000" w:themeColor="text1"/>
        </w:rPr>
        <w:t>核有違失，</w:t>
      </w:r>
      <w:r w:rsidR="00A20367" w:rsidRPr="0042269F">
        <w:rPr>
          <w:rFonts w:hAnsi="標楷體" w:hint="eastAsia"/>
          <w:b/>
          <w:color w:val="000000" w:themeColor="text1"/>
        </w:rPr>
        <w:t>司法院及法務部</w:t>
      </w:r>
      <w:r w:rsidR="00B453DE" w:rsidRPr="0042269F">
        <w:rPr>
          <w:rFonts w:hAnsi="標楷體" w:hint="eastAsia"/>
          <w:b/>
          <w:color w:val="000000" w:themeColor="text1"/>
          <w:szCs w:val="52"/>
        </w:rPr>
        <w:t>自</w:t>
      </w:r>
      <w:r w:rsidR="00A20367" w:rsidRPr="0042269F">
        <w:rPr>
          <w:rFonts w:hAnsi="標楷體" w:hint="eastAsia"/>
          <w:b/>
          <w:color w:val="000000" w:themeColor="text1"/>
          <w:szCs w:val="52"/>
        </w:rPr>
        <w:t>應速謀改進</w:t>
      </w:r>
      <w:r w:rsidRPr="0042269F">
        <w:rPr>
          <w:rFonts w:hAnsi="標楷體" w:hint="eastAsia"/>
          <w:b/>
          <w:color w:val="000000" w:themeColor="text1"/>
          <w:szCs w:val="52"/>
        </w:rPr>
        <w:t>，</w:t>
      </w:r>
      <w:proofErr w:type="gramStart"/>
      <w:r w:rsidRPr="0042269F">
        <w:rPr>
          <w:rFonts w:hAnsi="標楷體" w:hint="eastAsia"/>
          <w:b/>
          <w:color w:val="000000" w:themeColor="text1"/>
          <w:szCs w:val="52"/>
        </w:rPr>
        <w:t>俾</w:t>
      </w:r>
      <w:proofErr w:type="gramEnd"/>
      <w:r w:rsidRPr="0042269F">
        <w:rPr>
          <w:rFonts w:hAnsi="標楷體" w:hint="eastAsia"/>
          <w:b/>
          <w:color w:val="000000" w:themeColor="text1"/>
          <w:szCs w:val="52"/>
        </w:rPr>
        <w:t>維人民訴訟基本權利</w:t>
      </w:r>
      <w:r w:rsidR="002620FF" w:rsidRPr="0042269F">
        <w:rPr>
          <w:rFonts w:hAnsi="標楷體" w:hint="eastAsia"/>
          <w:b/>
          <w:color w:val="000000" w:themeColor="text1"/>
        </w:rPr>
        <w:t>。</w:t>
      </w:r>
    </w:p>
    <w:p w:rsidR="002620FF" w:rsidRPr="0042269F" w:rsidRDefault="002620FF" w:rsidP="00A20367">
      <w:pPr>
        <w:pStyle w:val="3"/>
        <w:rPr>
          <w:rFonts w:hAnsi="標楷體"/>
          <w:color w:val="000000" w:themeColor="text1"/>
        </w:rPr>
      </w:pPr>
      <w:r w:rsidRPr="0042269F">
        <w:rPr>
          <w:rFonts w:hAnsi="標楷體" w:hint="eastAsia"/>
          <w:color w:val="000000" w:themeColor="text1"/>
        </w:rPr>
        <w:t>按觀察勒戒處分執行條例第8條規定，</w:t>
      </w:r>
      <w:r w:rsidRPr="0042269F">
        <w:rPr>
          <w:rFonts w:hAnsi="標楷體"/>
          <w:color w:val="000000" w:themeColor="text1"/>
        </w:rPr>
        <w:t>勒戒處所經醫師研判其有或無繼續施用毒品傾向後，至遲應於</w:t>
      </w:r>
      <w:r w:rsidR="00750DBC" w:rsidRPr="0042269F">
        <w:rPr>
          <w:rFonts w:hAnsi="標楷體"/>
          <w:color w:val="000000" w:themeColor="text1"/>
        </w:rPr>
        <w:t>觀察、勒戒期滿7日前</w:t>
      </w:r>
      <w:r w:rsidRPr="0042269F">
        <w:rPr>
          <w:rFonts w:hAnsi="標楷體"/>
          <w:color w:val="000000" w:themeColor="text1"/>
        </w:rPr>
        <w:t>，陳報該管檢察官或少年法院(庭)</w:t>
      </w:r>
      <w:r w:rsidRPr="0042269F">
        <w:rPr>
          <w:rFonts w:hAnsi="標楷體" w:hint="eastAsia"/>
          <w:color w:val="000000" w:themeColor="text1"/>
        </w:rPr>
        <w:t>（第1項）</w:t>
      </w:r>
      <w:r w:rsidRPr="0042269F">
        <w:rPr>
          <w:rFonts w:hAnsi="標楷體"/>
          <w:color w:val="000000" w:themeColor="text1"/>
        </w:rPr>
        <w:t>。受觀察、勒戒人經觀察、勒戒結果，無繼續施用毒品傾向者，檢察官或少年法院 (庭)應即命令或裁定將其釋放，其觀察、勒戒期間屆</w:t>
      </w:r>
      <w:r w:rsidRPr="0042269F">
        <w:rPr>
          <w:rFonts w:hAnsi="標楷體"/>
          <w:color w:val="000000" w:themeColor="text1"/>
        </w:rPr>
        <w:lastRenderedPageBreak/>
        <w:t>滿，未獲檢察官命令或少年法院(庭)裁定者，勒戒處所應</w:t>
      </w:r>
      <w:proofErr w:type="gramStart"/>
      <w:r w:rsidRPr="0042269F">
        <w:rPr>
          <w:rFonts w:hAnsi="標楷體"/>
          <w:color w:val="000000" w:themeColor="text1"/>
        </w:rPr>
        <w:t>逕</w:t>
      </w:r>
      <w:proofErr w:type="gramEnd"/>
      <w:r w:rsidRPr="0042269F">
        <w:rPr>
          <w:rFonts w:hAnsi="標楷體"/>
          <w:color w:val="000000" w:themeColor="text1"/>
        </w:rPr>
        <w:t>將受觀察、勒戒人釋放，同時通知檢察官或少年法院(庭)；有繼續施用毒品傾向者，</w:t>
      </w:r>
      <w:proofErr w:type="gramStart"/>
      <w:r w:rsidRPr="0042269F">
        <w:rPr>
          <w:rFonts w:hAnsi="標楷體"/>
          <w:color w:val="000000" w:themeColor="text1"/>
        </w:rPr>
        <w:t>於勒戒</w:t>
      </w:r>
      <w:proofErr w:type="gramEnd"/>
      <w:r w:rsidRPr="0042269F">
        <w:rPr>
          <w:rFonts w:hAnsi="標楷體"/>
          <w:color w:val="000000" w:themeColor="text1"/>
        </w:rPr>
        <w:t>處所依法院或由少年法院(庭)裁定移送戒治處所施以強制</w:t>
      </w:r>
      <w:proofErr w:type="gramStart"/>
      <w:r w:rsidRPr="0042269F">
        <w:rPr>
          <w:rFonts w:hAnsi="標楷體"/>
          <w:color w:val="000000" w:themeColor="text1"/>
        </w:rPr>
        <w:t>戒治前</w:t>
      </w:r>
      <w:proofErr w:type="gramEnd"/>
      <w:r w:rsidRPr="0042269F">
        <w:rPr>
          <w:rFonts w:hAnsi="標楷體"/>
          <w:color w:val="000000" w:themeColor="text1"/>
        </w:rPr>
        <w:t>，應繼續收容。其收容</w:t>
      </w:r>
      <w:proofErr w:type="gramStart"/>
      <w:r w:rsidRPr="0042269F">
        <w:rPr>
          <w:rFonts w:hAnsi="標楷體"/>
          <w:color w:val="000000" w:themeColor="text1"/>
        </w:rPr>
        <w:t>期間，計入戒治期間</w:t>
      </w:r>
      <w:r w:rsidRPr="0042269F">
        <w:rPr>
          <w:rFonts w:hAnsi="標楷體" w:hint="eastAsia"/>
          <w:color w:val="000000" w:themeColor="text1"/>
        </w:rPr>
        <w:t>（</w:t>
      </w:r>
      <w:proofErr w:type="gramEnd"/>
      <w:r w:rsidRPr="0042269F">
        <w:rPr>
          <w:rFonts w:hAnsi="標楷體" w:hint="eastAsia"/>
          <w:color w:val="000000" w:themeColor="text1"/>
        </w:rPr>
        <w:t>第2項）</w:t>
      </w:r>
      <w:r w:rsidRPr="0042269F">
        <w:rPr>
          <w:rFonts w:hAnsi="標楷體"/>
          <w:color w:val="000000" w:themeColor="text1"/>
        </w:rPr>
        <w:t>。</w:t>
      </w:r>
      <w:r w:rsidRPr="0042269F">
        <w:rPr>
          <w:rFonts w:hAnsi="標楷體" w:hint="eastAsia"/>
          <w:color w:val="000000" w:themeColor="text1"/>
        </w:rPr>
        <w:t>是則，</w:t>
      </w:r>
      <w:r w:rsidRPr="0042269F">
        <w:rPr>
          <w:rFonts w:hAnsi="標楷體"/>
          <w:color w:val="000000" w:themeColor="text1"/>
        </w:rPr>
        <w:t>觀察、勒戒</w:t>
      </w:r>
      <w:r w:rsidRPr="0042269F">
        <w:rPr>
          <w:rFonts w:hAnsi="標楷體" w:hint="eastAsia"/>
          <w:color w:val="000000" w:themeColor="text1"/>
        </w:rPr>
        <w:t>處分，應於</w:t>
      </w:r>
      <w:r w:rsidRPr="0042269F">
        <w:rPr>
          <w:rFonts w:hAnsi="標楷體"/>
          <w:color w:val="000000" w:themeColor="text1"/>
        </w:rPr>
        <w:t>期滿七日前陳報該管檢察官或少年法院(庭)</w:t>
      </w:r>
      <w:r w:rsidRPr="0042269F">
        <w:rPr>
          <w:rFonts w:hAnsi="標楷體" w:hint="eastAsia"/>
          <w:color w:val="000000" w:themeColor="text1"/>
        </w:rPr>
        <w:t>，若</w:t>
      </w:r>
      <w:r w:rsidRPr="0042269F">
        <w:rPr>
          <w:rFonts w:hAnsi="標楷體"/>
          <w:color w:val="000000" w:themeColor="text1"/>
        </w:rPr>
        <w:t>有繼續施用毒品傾向者，</w:t>
      </w:r>
      <w:r w:rsidRPr="0042269F">
        <w:rPr>
          <w:rFonts w:hAnsi="標楷體" w:hint="eastAsia"/>
          <w:color w:val="000000" w:themeColor="text1"/>
        </w:rPr>
        <w:t>於</w:t>
      </w:r>
      <w:r w:rsidRPr="0042269F">
        <w:rPr>
          <w:rFonts w:hAnsi="標楷體"/>
          <w:color w:val="000000" w:themeColor="text1"/>
        </w:rPr>
        <w:t>法院或由少年法院(庭)裁定移送戒治處所施以強制</w:t>
      </w:r>
      <w:proofErr w:type="gramStart"/>
      <w:r w:rsidRPr="0042269F">
        <w:rPr>
          <w:rFonts w:hAnsi="標楷體"/>
          <w:color w:val="000000" w:themeColor="text1"/>
        </w:rPr>
        <w:t>戒治前</w:t>
      </w:r>
      <w:proofErr w:type="gramEnd"/>
      <w:r w:rsidRPr="0042269F">
        <w:rPr>
          <w:rFonts w:hAnsi="標楷體"/>
          <w:color w:val="000000" w:themeColor="text1"/>
        </w:rPr>
        <w:t>，應繼續收容</w:t>
      </w:r>
      <w:r w:rsidRPr="0042269F">
        <w:rPr>
          <w:rFonts w:hAnsi="標楷體" w:hint="eastAsia"/>
          <w:color w:val="000000" w:themeColor="text1"/>
        </w:rPr>
        <w:t>，故該法並未規定法院裁定期限，是否已構成人身自由保障之漏洞，</w:t>
      </w:r>
      <w:proofErr w:type="gramStart"/>
      <w:r w:rsidRPr="0042269F">
        <w:rPr>
          <w:rFonts w:hAnsi="標楷體" w:hint="eastAsia"/>
          <w:color w:val="000000" w:themeColor="text1"/>
        </w:rPr>
        <w:t>似值研究</w:t>
      </w:r>
      <w:proofErr w:type="gramEnd"/>
      <w:r w:rsidRPr="0042269F">
        <w:rPr>
          <w:rFonts w:hAnsi="標楷體" w:hint="eastAsia"/>
          <w:color w:val="000000" w:themeColor="text1"/>
        </w:rPr>
        <w:t>。</w:t>
      </w:r>
    </w:p>
    <w:p w:rsidR="00A20367" w:rsidRPr="0042269F" w:rsidRDefault="002620FF" w:rsidP="00A20367">
      <w:pPr>
        <w:pStyle w:val="3"/>
        <w:rPr>
          <w:rFonts w:hAnsi="標楷體"/>
          <w:color w:val="000000" w:themeColor="text1"/>
        </w:rPr>
      </w:pPr>
      <w:r w:rsidRPr="0042269F">
        <w:rPr>
          <w:rFonts w:hAnsi="標楷體" w:hint="eastAsia"/>
          <w:color w:val="000000" w:themeColor="text1"/>
        </w:rPr>
        <w:t>經查，有關司法實務就觀察勒戒相關作業期程，經本院調閱各地方法院及地方法院檢察署102年至104年觀察勒戒之104案</w:t>
      </w:r>
      <w:proofErr w:type="gramStart"/>
      <w:r w:rsidRPr="0042269F">
        <w:rPr>
          <w:rFonts w:hAnsi="標楷體" w:hint="eastAsia"/>
          <w:color w:val="000000" w:themeColor="text1"/>
        </w:rPr>
        <w:t>（</w:t>
      </w:r>
      <w:proofErr w:type="gramEnd"/>
      <w:r w:rsidRPr="0042269F">
        <w:rPr>
          <w:rFonts w:hAnsi="標楷體" w:hint="eastAsia"/>
          <w:color w:val="000000" w:themeColor="text1"/>
        </w:rPr>
        <w:t>詳如附表)，</w:t>
      </w:r>
      <w:r w:rsidR="00A20367" w:rsidRPr="0042269F">
        <w:rPr>
          <w:rFonts w:hAnsi="標楷體" w:hint="eastAsia"/>
          <w:color w:val="000000" w:themeColor="text1"/>
        </w:rPr>
        <w:t>就各聲請強制戒治案件所涉：1.函請檢察官</w:t>
      </w:r>
      <w:proofErr w:type="gramStart"/>
      <w:r w:rsidR="00A20367" w:rsidRPr="0042269F">
        <w:rPr>
          <w:rFonts w:hAnsi="標楷體" w:hint="eastAsia"/>
          <w:color w:val="000000" w:themeColor="text1"/>
        </w:rPr>
        <w:t>聲請戒治</w:t>
      </w:r>
      <w:proofErr w:type="gramEnd"/>
      <w:r w:rsidR="00A20367" w:rsidRPr="0042269F">
        <w:rPr>
          <w:rFonts w:hAnsi="標楷體" w:hint="eastAsia"/>
          <w:color w:val="000000" w:themeColor="text1"/>
        </w:rPr>
        <w:t>日期（甲）。2.</w:t>
      </w:r>
      <w:r w:rsidR="00A20367" w:rsidRPr="0042269F">
        <w:rPr>
          <w:rFonts w:hAnsi="標楷體" w:hint="eastAsia"/>
          <w:color w:val="000000" w:themeColor="text1"/>
        </w:rPr>
        <w:tab/>
        <w:t>本觀察勒戒人執行期滿日期（乙）。3.檢察官聲請法院戒治處分之日期（丙）。4.</w:t>
      </w:r>
      <w:r w:rsidR="00A20367" w:rsidRPr="0042269F">
        <w:rPr>
          <w:rFonts w:hAnsi="標楷體" w:hint="eastAsia"/>
          <w:color w:val="000000" w:themeColor="text1"/>
        </w:rPr>
        <w:tab/>
        <w:t>法院收受檢察官聲請書之日期（丁）。5.法院法官裁定之日期（戊）。6.</w:t>
      </w:r>
      <w:r w:rsidR="00A20367" w:rsidRPr="0042269F">
        <w:rPr>
          <w:rFonts w:hAnsi="標楷體" w:hint="eastAsia"/>
          <w:color w:val="000000" w:themeColor="text1"/>
        </w:rPr>
        <w:tab/>
        <w:t>法院核發裁定書囑託送達當事人之日期（己）。7.</w:t>
      </w:r>
      <w:r w:rsidR="00A20367" w:rsidRPr="0042269F">
        <w:rPr>
          <w:rFonts w:hAnsi="標楷體" w:hint="eastAsia"/>
          <w:color w:val="000000" w:themeColor="text1"/>
        </w:rPr>
        <w:tab/>
        <w:t>檢察官收受裁定之日期（庚）。8.</w:t>
      </w:r>
      <w:r w:rsidR="00A20367" w:rsidRPr="0042269F">
        <w:rPr>
          <w:rFonts w:hAnsi="標楷體" w:hint="eastAsia"/>
          <w:color w:val="000000" w:themeColor="text1"/>
        </w:rPr>
        <w:tab/>
        <w:t>戒治所收受裁定之日期天數（辛）等，逐一登載，並以觀察勒戒人執行期滿日期為基準，分別計算，A：各地方法院法官裁定日期，超過觀察勒戒人執行期滿日期（戊-乙）/顯示裁定有無延宕；B：戒治所收受裁定之日期，超過觀察勒戒人執行期滿日期（辛-乙）/顯示法官裁定後，院檢有關司法行政流程處理時間；C：法院收受檢察官聲請書之日期，超過觀察勒戒人執行期滿日期（丁-乙）/顯示檢察署送達法院時所費時間，並得與A相較判斷法官處理期間；D：檢察官聲請法院戒治處分之日期，超</w:t>
      </w:r>
      <w:r w:rsidR="00A20367" w:rsidRPr="0042269F">
        <w:rPr>
          <w:rFonts w:hAnsi="標楷體" w:hint="eastAsia"/>
          <w:color w:val="000000" w:themeColor="text1"/>
        </w:rPr>
        <w:lastRenderedPageBreak/>
        <w:t>過觀察勒戒人執行期滿日期（丙-乙）/顯示檢察官處理強制戒治案件所用時間；E：觀察勒戒機關函請檢察官</w:t>
      </w:r>
      <w:proofErr w:type="gramStart"/>
      <w:r w:rsidR="00A20367" w:rsidRPr="0042269F">
        <w:rPr>
          <w:rFonts w:hAnsi="標楷體" w:hint="eastAsia"/>
          <w:color w:val="000000" w:themeColor="text1"/>
        </w:rPr>
        <w:t>聲請戒治</w:t>
      </w:r>
      <w:proofErr w:type="gramEnd"/>
      <w:r w:rsidR="00A20367" w:rsidRPr="0042269F">
        <w:rPr>
          <w:rFonts w:hAnsi="標楷體" w:hint="eastAsia"/>
          <w:color w:val="000000" w:themeColor="text1"/>
        </w:rPr>
        <w:t>日期，距離超過觀察勒戒人執行期滿日期（甲-乙）/顯示勒戒處所有無依據法定期間辦理等，用以了解各機關（勒戒處所、檢察署、法院），處理個別案件所需時間。</w:t>
      </w:r>
    </w:p>
    <w:p w:rsidR="00A20367" w:rsidRPr="0042269F" w:rsidRDefault="00B453DE" w:rsidP="00E82535">
      <w:pPr>
        <w:pStyle w:val="3"/>
        <w:rPr>
          <w:rFonts w:hAnsi="標楷體"/>
          <w:color w:val="000000" w:themeColor="text1"/>
        </w:rPr>
      </w:pPr>
      <w:r w:rsidRPr="0042269F">
        <w:rPr>
          <w:rFonts w:hAnsi="標楷體" w:hint="eastAsia"/>
          <w:color w:val="000000" w:themeColor="text1"/>
        </w:rPr>
        <w:t>依據</w:t>
      </w:r>
      <w:r w:rsidR="00980BDC" w:rsidRPr="0042269F">
        <w:rPr>
          <w:rFonts w:hAnsi="標楷體" w:hint="eastAsia"/>
          <w:color w:val="000000" w:themeColor="text1"/>
        </w:rPr>
        <w:t>首揭</w:t>
      </w:r>
      <w:r w:rsidRPr="0042269F">
        <w:rPr>
          <w:rFonts w:hAnsi="標楷體" w:hint="eastAsia"/>
          <w:color w:val="000000" w:themeColor="text1"/>
        </w:rPr>
        <w:t>司法院大法官解釋就人身自由保障最為嚴格係屬羈押處分，中間性質者為收容處分，尚有最寬鬆毋庸法官決定之強制隔離處分。</w:t>
      </w:r>
      <w:r w:rsidR="00980BDC" w:rsidRPr="0042269F">
        <w:rPr>
          <w:rFonts w:hAnsi="標楷體" w:hint="eastAsia"/>
          <w:color w:val="000000" w:themeColor="text1"/>
        </w:rPr>
        <w:t>故</w:t>
      </w:r>
      <w:r w:rsidRPr="0042269F">
        <w:rPr>
          <w:rFonts w:hAnsi="標楷體" w:hint="eastAsia"/>
          <w:color w:val="000000" w:themeColor="text1"/>
        </w:rPr>
        <w:t>「</w:t>
      </w:r>
      <w:r w:rsidRPr="0042269F">
        <w:rPr>
          <w:rFonts w:hAnsi="標楷體"/>
          <w:color w:val="000000" w:themeColor="text1"/>
        </w:rPr>
        <w:t>有無繼續施用毒品傾向</w:t>
      </w:r>
      <w:r w:rsidRPr="0042269F">
        <w:rPr>
          <w:rFonts w:hAnsi="標楷體" w:hint="eastAsia"/>
          <w:color w:val="000000" w:themeColor="text1"/>
        </w:rPr>
        <w:t>」</w:t>
      </w:r>
      <w:r w:rsidR="00980BDC" w:rsidRPr="0042269F">
        <w:rPr>
          <w:rFonts w:hAnsi="標楷體" w:hint="eastAsia"/>
          <w:color w:val="000000" w:themeColor="text1"/>
        </w:rPr>
        <w:t>，如前所述，</w:t>
      </w:r>
      <w:r w:rsidRPr="0042269F">
        <w:rPr>
          <w:rFonts w:hAnsi="標楷體" w:hint="eastAsia"/>
          <w:color w:val="000000" w:themeColor="text1"/>
        </w:rPr>
        <w:t>係屬精神醫學專業之經驗法則之判斷，而與羈押處分性質</w:t>
      </w:r>
      <w:r w:rsidR="00980BDC" w:rsidRPr="0042269F">
        <w:rPr>
          <w:rFonts w:hAnsi="標楷體" w:hint="eastAsia"/>
          <w:color w:val="000000" w:themeColor="text1"/>
        </w:rPr>
        <w:t>有間</w:t>
      </w:r>
      <w:r w:rsidRPr="0042269F">
        <w:rPr>
          <w:rFonts w:hAnsi="標楷體" w:hint="eastAsia"/>
          <w:color w:val="000000" w:themeColor="text1"/>
        </w:rPr>
        <w:t>，</w:t>
      </w:r>
      <w:proofErr w:type="gramStart"/>
      <w:r w:rsidR="00980BDC" w:rsidRPr="0042269F">
        <w:rPr>
          <w:rFonts w:hAnsi="標楷體" w:hint="eastAsia"/>
          <w:color w:val="000000" w:themeColor="text1"/>
        </w:rPr>
        <w:t>縱退而</w:t>
      </w:r>
      <w:proofErr w:type="gramEnd"/>
      <w:r w:rsidR="00980BDC" w:rsidRPr="0042269F">
        <w:rPr>
          <w:rFonts w:hAnsi="標楷體" w:hint="eastAsia"/>
          <w:color w:val="000000" w:themeColor="text1"/>
        </w:rPr>
        <w:t>容許採用</w:t>
      </w:r>
      <w:r w:rsidRPr="0042269F">
        <w:rPr>
          <w:rFonts w:hAnsi="標楷體" w:hint="eastAsia"/>
          <w:color w:val="000000" w:themeColor="text1"/>
        </w:rPr>
        <w:t>「事後審查制度」，</w:t>
      </w:r>
      <w:r w:rsidR="00980BDC" w:rsidRPr="0042269F">
        <w:rPr>
          <w:rFonts w:hAnsi="標楷體" w:hint="eastAsia"/>
          <w:color w:val="000000" w:themeColor="text1"/>
        </w:rPr>
        <w:t>但仍應於觀察勒戒執行期滿日後24小時內為強制戒治裁定</w:t>
      </w:r>
      <w:r w:rsidRPr="0042269F">
        <w:rPr>
          <w:rFonts w:hAnsi="標楷體" w:hint="eastAsia"/>
          <w:color w:val="000000" w:themeColor="text1"/>
        </w:rPr>
        <w:t>，</w:t>
      </w:r>
      <w:r w:rsidR="00980BDC" w:rsidRPr="0042269F">
        <w:rPr>
          <w:rFonts w:hAnsi="標楷體" w:hint="eastAsia"/>
          <w:color w:val="000000" w:themeColor="text1"/>
        </w:rPr>
        <w:t>以符合「迅速」標準，然</w:t>
      </w:r>
      <w:r w:rsidR="00980BDC" w:rsidRPr="0042269F">
        <w:rPr>
          <w:rFonts w:hAnsi="標楷體" w:hint="eastAsia"/>
          <w:b/>
          <w:color w:val="000000" w:themeColor="text1"/>
        </w:rPr>
        <w:t>現行法制</w:t>
      </w:r>
      <w:r w:rsidRPr="0042269F">
        <w:rPr>
          <w:rFonts w:hAnsi="標楷體" w:hint="eastAsia"/>
          <w:b/>
          <w:color w:val="000000" w:themeColor="text1"/>
        </w:rPr>
        <w:t>司法機關竟</w:t>
      </w:r>
      <w:proofErr w:type="gramStart"/>
      <w:r w:rsidRPr="0042269F">
        <w:rPr>
          <w:rFonts w:hAnsi="標楷體" w:hint="eastAsia"/>
          <w:b/>
          <w:color w:val="000000" w:themeColor="text1"/>
        </w:rPr>
        <w:t>得於</w:t>
      </w:r>
      <w:r w:rsidRPr="0042269F">
        <w:rPr>
          <w:rFonts w:hAnsi="標楷體"/>
          <w:b/>
          <w:color w:val="000000" w:themeColor="text1"/>
        </w:rPr>
        <w:t>勒戒</w:t>
      </w:r>
      <w:proofErr w:type="gramEnd"/>
      <w:r w:rsidRPr="0042269F">
        <w:rPr>
          <w:rFonts w:hAnsi="標楷體"/>
          <w:b/>
          <w:color w:val="000000" w:themeColor="text1"/>
        </w:rPr>
        <w:t>處所</w:t>
      </w:r>
      <w:r w:rsidRPr="0042269F">
        <w:rPr>
          <w:rFonts w:hAnsi="標楷體" w:hint="eastAsia"/>
          <w:b/>
          <w:color w:val="000000" w:themeColor="text1"/>
        </w:rPr>
        <w:t>陳報後，逾越執行期滿日期短則2、3日，多則逾30日以上者，如附表編號89（38日）、編號100（34日）；逾20日以上者，如編號25（22日）、編號27（22日）、編號57（25日）；逾10日以上者，有編號4（12日）、編號6（10日）、編號89（13日）、編號12（10日）、編號13（13日）、編號26（10日）、編號39（10日）、編號40（10日）、編號43（16日）、編號44（15日）、編號47（11日）、編號56（13日）、編號78（11日）、編號82（12日）、編號83（11日）、編號85（10日）、編號90（10日）、編號102（11日）等</w:t>
      </w:r>
      <w:r w:rsidRPr="0042269F">
        <w:rPr>
          <w:rFonts w:hAnsi="標楷體" w:hint="eastAsia"/>
          <w:color w:val="000000" w:themeColor="text1"/>
        </w:rPr>
        <w:t>，</w:t>
      </w:r>
      <w:r w:rsidR="00E82535" w:rsidRPr="0042269F">
        <w:rPr>
          <w:rFonts w:hAnsi="標楷體" w:hint="eastAsia"/>
          <w:color w:val="000000" w:themeColor="text1"/>
        </w:rPr>
        <w:t>上開實務所生延宕現象固難謂有明確</w:t>
      </w:r>
      <w:proofErr w:type="gramStart"/>
      <w:r w:rsidR="00E82535" w:rsidRPr="0042269F">
        <w:rPr>
          <w:rFonts w:hAnsi="標楷體" w:hint="eastAsia"/>
          <w:color w:val="000000" w:themeColor="text1"/>
        </w:rPr>
        <w:t>悖離</w:t>
      </w:r>
      <w:proofErr w:type="gramEnd"/>
      <w:r w:rsidR="00E82535" w:rsidRPr="0042269F">
        <w:rPr>
          <w:rFonts w:hAnsi="標楷體" w:hint="eastAsia"/>
          <w:color w:val="000000" w:themeColor="text1"/>
        </w:rPr>
        <w:t>法律之處，然就人權保障亦難稱周詳，實有改進之餘地。</w:t>
      </w:r>
    </w:p>
    <w:p w:rsidR="00A20367" w:rsidRPr="0042269F" w:rsidRDefault="00A20367" w:rsidP="00A20367">
      <w:pPr>
        <w:pStyle w:val="3"/>
        <w:rPr>
          <w:rFonts w:hAnsi="標楷體"/>
          <w:color w:val="000000" w:themeColor="text1"/>
        </w:rPr>
      </w:pPr>
      <w:r w:rsidRPr="0042269F">
        <w:rPr>
          <w:rFonts w:hAnsi="標楷體" w:hint="eastAsia"/>
          <w:color w:val="000000" w:themeColor="text1"/>
        </w:rPr>
        <w:t>法院裁定日期超過觀察勒戒人執行期滿日期，</w:t>
      </w:r>
      <w:r w:rsidR="0026586F" w:rsidRPr="0042269F">
        <w:rPr>
          <w:rFonts w:hAnsi="標楷體" w:hint="eastAsia"/>
          <w:color w:val="000000" w:themeColor="text1"/>
        </w:rPr>
        <w:t>雖</w:t>
      </w:r>
      <w:r w:rsidRPr="0042269F">
        <w:rPr>
          <w:rFonts w:hAnsi="標楷體" w:hint="eastAsia"/>
          <w:color w:val="000000" w:themeColor="text1"/>
        </w:rPr>
        <w:t>可認定</w:t>
      </w:r>
      <w:r w:rsidR="00E82535" w:rsidRPr="0042269F">
        <w:rPr>
          <w:rFonts w:hAnsi="標楷體" w:hint="eastAsia"/>
          <w:color w:val="000000" w:themeColor="text1"/>
        </w:rPr>
        <w:t>涉有</w:t>
      </w:r>
      <w:r w:rsidRPr="0042269F">
        <w:rPr>
          <w:rFonts w:hAnsi="標楷體" w:hint="eastAsia"/>
          <w:color w:val="000000" w:themeColor="text1"/>
        </w:rPr>
        <w:t>延宕</w:t>
      </w:r>
      <w:r w:rsidR="00E82535" w:rsidRPr="0042269F">
        <w:rPr>
          <w:rFonts w:hAnsi="標楷體" w:hint="eastAsia"/>
          <w:color w:val="000000" w:themeColor="text1"/>
        </w:rPr>
        <w:t>情事</w:t>
      </w:r>
      <w:r w:rsidRPr="0042269F">
        <w:rPr>
          <w:rFonts w:hAnsi="標楷體" w:hint="eastAsia"/>
          <w:color w:val="000000" w:themeColor="text1"/>
        </w:rPr>
        <w:t>，但責任未必為法院所致</w:t>
      </w:r>
      <w:r w:rsidR="00E82535" w:rsidRPr="0042269F">
        <w:rPr>
          <w:rFonts w:hAnsi="標楷體" w:hint="eastAsia"/>
          <w:color w:val="000000" w:themeColor="text1"/>
        </w:rPr>
        <w:t>，</w:t>
      </w:r>
      <w:r w:rsidR="0026586F" w:rsidRPr="0042269F">
        <w:rPr>
          <w:rFonts w:hAnsi="標楷體" w:hint="eastAsia"/>
          <w:color w:val="000000" w:themeColor="text1"/>
        </w:rPr>
        <w:t>得</w:t>
      </w:r>
      <w:r w:rsidRPr="0042269F">
        <w:rPr>
          <w:rFonts w:hAnsi="標楷體" w:hint="eastAsia"/>
          <w:color w:val="000000" w:themeColor="text1"/>
        </w:rPr>
        <w:t>從</w:t>
      </w:r>
      <w:r w:rsidR="00C221BC" w:rsidRPr="0042269F">
        <w:rPr>
          <w:rFonts w:hAnsi="標楷體" w:hint="eastAsia"/>
          <w:color w:val="000000" w:themeColor="text1"/>
        </w:rPr>
        <w:t>附表所示</w:t>
      </w:r>
      <w:r w:rsidRPr="0042269F">
        <w:rPr>
          <w:rFonts w:hAnsi="標楷體" w:hint="eastAsia"/>
          <w:color w:val="000000" w:themeColor="text1"/>
        </w:rPr>
        <w:t>時間序列</w:t>
      </w:r>
      <w:r w:rsidR="0026586F" w:rsidRPr="0042269F">
        <w:rPr>
          <w:rFonts w:hAnsi="標楷體" w:hint="eastAsia"/>
          <w:color w:val="000000" w:themeColor="text1"/>
        </w:rPr>
        <w:t>，</w:t>
      </w:r>
      <w:r w:rsidRPr="0042269F">
        <w:rPr>
          <w:rFonts w:hAnsi="標楷體" w:hint="eastAsia"/>
          <w:color w:val="000000" w:themeColor="text1"/>
        </w:rPr>
        <w:t>了解主要延宕責任是發生在何機關，又繼續加深延宕責任為何機關，舉例言之：</w:t>
      </w:r>
    </w:p>
    <w:p w:rsidR="00A20367" w:rsidRPr="0042269F" w:rsidRDefault="00A20367" w:rsidP="00A20367">
      <w:pPr>
        <w:pStyle w:val="4"/>
        <w:rPr>
          <w:rFonts w:hAnsi="標楷體"/>
          <w:color w:val="000000" w:themeColor="text1"/>
        </w:rPr>
      </w:pPr>
      <w:r w:rsidRPr="0042269F">
        <w:rPr>
          <w:rFonts w:hAnsi="標楷體" w:hint="eastAsia"/>
          <w:color w:val="000000" w:themeColor="text1"/>
        </w:rPr>
        <w:lastRenderedPageBreak/>
        <w:t>序號1，</w:t>
      </w:r>
      <w:proofErr w:type="gramStart"/>
      <w:r w:rsidRPr="0042269F">
        <w:rPr>
          <w:rFonts w:hAnsi="標楷體" w:hint="eastAsia"/>
          <w:color w:val="000000" w:themeColor="text1"/>
        </w:rPr>
        <w:t>102</w:t>
      </w:r>
      <w:proofErr w:type="gramEnd"/>
      <w:r w:rsidRPr="0042269F">
        <w:rPr>
          <w:rFonts w:hAnsi="標楷體" w:hint="eastAsia"/>
          <w:color w:val="000000" w:themeColor="text1"/>
        </w:rPr>
        <w:t>年度</w:t>
      </w:r>
      <w:proofErr w:type="gramStart"/>
      <w:r w:rsidRPr="0042269F">
        <w:rPr>
          <w:rFonts w:hAnsi="標楷體" w:hint="eastAsia"/>
          <w:color w:val="000000" w:themeColor="text1"/>
        </w:rPr>
        <w:t>聲戒字</w:t>
      </w:r>
      <w:proofErr w:type="gramEnd"/>
      <w:r w:rsidRPr="0042269F">
        <w:rPr>
          <w:rFonts w:hAnsi="標楷體" w:hint="eastAsia"/>
          <w:color w:val="000000" w:themeColor="text1"/>
        </w:rPr>
        <w:t>第1號案件，A項為2日顯示法院作成准予強制戒治之裁定時超過觀察勒戒人執行期滿日2日，其主要延宕責任可分別觀察EDC選項，其中就E選項勒戒處所之法定聲請期間為「</w:t>
      </w:r>
      <w:r w:rsidR="00750DBC" w:rsidRPr="0042269F">
        <w:rPr>
          <w:rFonts w:hAnsi="標楷體" w:hint="eastAsia"/>
          <w:color w:val="000000" w:themeColor="text1"/>
        </w:rPr>
        <w:t>觀察、勒戒期滿7日前</w:t>
      </w:r>
      <w:r w:rsidRPr="0042269F">
        <w:rPr>
          <w:rFonts w:hAnsi="標楷體" w:hint="eastAsia"/>
          <w:color w:val="000000" w:themeColor="text1"/>
        </w:rPr>
        <w:t>」，所顯示則為-57日，亦即勒戒處所並未延宕陳報檢察官，尚有57日可供檢察官向法院</w:t>
      </w:r>
      <w:proofErr w:type="gramStart"/>
      <w:r w:rsidRPr="0042269F">
        <w:rPr>
          <w:rFonts w:hAnsi="標楷體" w:hint="eastAsia"/>
          <w:color w:val="000000" w:themeColor="text1"/>
        </w:rPr>
        <w:t>聲請戒治</w:t>
      </w:r>
      <w:proofErr w:type="gramEnd"/>
      <w:r w:rsidRPr="0042269F">
        <w:rPr>
          <w:rFonts w:hAnsi="標楷體" w:hint="eastAsia"/>
          <w:color w:val="000000" w:themeColor="text1"/>
        </w:rPr>
        <w:t>處分，但</w:t>
      </w:r>
      <w:r w:rsidRPr="0042269F">
        <w:rPr>
          <w:rFonts w:hAnsi="標楷體"/>
          <w:color w:val="000000" w:themeColor="text1"/>
        </w:rPr>
        <w:t>D</w:t>
      </w:r>
      <w:r w:rsidRPr="0042269F">
        <w:rPr>
          <w:rFonts w:hAnsi="標楷體" w:hint="eastAsia"/>
          <w:color w:val="000000" w:themeColor="text1"/>
        </w:rPr>
        <w:t>項檢察官聲請法院戒治處分之日期，超過觀察勒戒人執行期滿日1日，顯示檢察機關於流程上將案件置於檢察機關有58日，始送到法院。再就C項法院收受檢察官聲請書之日期，雖超過觀察勒戒人執行期滿日期2日，但法官係於當日立即作成裁定，並無延宕情形。</w:t>
      </w:r>
    </w:p>
    <w:p w:rsidR="00A20367" w:rsidRPr="0042269F" w:rsidRDefault="00A20367" w:rsidP="00A20367">
      <w:pPr>
        <w:pStyle w:val="4"/>
        <w:rPr>
          <w:rFonts w:hAnsi="標楷體"/>
          <w:color w:val="000000" w:themeColor="text1"/>
        </w:rPr>
      </w:pPr>
      <w:r w:rsidRPr="0042269F">
        <w:rPr>
          <w:rFonts w:hAnsi="標楷體" w:hint="eastAsia"/>
          <w:color w:val="000000" w:themeColor="text1"/>
        </w:rPr>
        <w:t>序號4，102年</w:t>
      </w:r>
      <w:proofErr w:type="gramStart"/>
      <w:r w:rsidRPr="0042269F">
        <w:rPr>
          <w:rFonts w:hAnsi="標楷體" w:hint="eastAsia"/>
          <w:color w:val="000000" w:themeColor="text1"/>
        </w:rPr>
        <w:t>聲戒字</w:t>
      </w:r>
      <w:proofErr w:type="gramEnd"/>
      <w:r w:rsidRPr="0042269F">
        <w:rPr>
          <w:rFonts w:hAnsi="標楷體" w:hint="eastAsia"/>
          <w:color w:val="000000" w:themeColor="text1"/>
        </w:rPr>
        <w:t>第6號案件，A項為12日顯示法院作成准予強制戒治之裁定時超過觀察勒戒人執行期滿日12日，其中就E項所顯示為-23日，</w:t>
      </w:r>
      <w:proofErr w:type="gramStart"/>
      <w:r w:rsidRPr="0042269F">
        <w:rPr>
          <w:rFonts w:hAnsi="標楷體" w:hint="eastAsia"/>
          <w:color w:val="000000" w:themeColor="text1"/>
        </w:rPr>
        <w:t>即勒戒</w:t>
      </w:r>
      <w:proofErr w:type="gramEnd"/>
      <w:r w:rsidRPr="0042269F">
        <w:rPr>
          <w:rFonts w:hAnsi="標楷體" w:hint="eastAsia"/>
          <w:color w:val="000000" w:themeColor="text1"/>
        </w:rPr>
        <w:t>處所並未延宕陳報檢察官，尚有23日可供檢察官向法院</w:t>
      </w:r>
      <w:proofErr w:type="gramStart"/>
      <w:r w:rsidRPr="0042269F">
        <w:rPr>
          <w:rFonts w:hAnsi="標楷體" w:hint="eastAsia"/>
          <w:color w:val="000000" w:themeColor="text1"/>
        </w:rPr>
        <w:t>聲請戒治</w:t>
      </w:r>
      <w:proofErr w:type="gramEnd"/>
      <w:r w:rsidRPr="0042269F">
        <w:rPr>
          <w:rFonts w:hAnsi="標楷體" w:hint="eastAsia"/>
          <w:color w:val="000000" w:themeColor="text1"/>
        </w:rPr>
        <w:t>處分。而D為-13日，則顯示檢察機關亦無延宕向法院</w:t>
      </w:r>
      <w:proofErr w:type="gramStart"/>
      <w:r w:rsidRPr="0042269F">
        <w:rPr>
          <w:rFonts w:hAnsi="標楷體" w:hint="eastAsia"/>
          <w:color w:val="000000" w:themeColor="text1"/>
        </w:rPr>
        <w:t>聲請戒治</w:t>
      </w:r>
      <w:proofErr w:type="gramEnd"/>
      <w:r w:rsidRPr="0042269F">
        <w:rPr>
          <w:rFonts w:hAnsi="標楷體" w:hint="eastAsia"/>
          <w:color w:val="000000" w:themeColor="text1"/>
        </w:rPr>
        <w:t>處分，尚有13日可供法院審理並作成裁定；C為-12日院檢行政單位</w:t>
      </w:r>
      <w:proofErr w:type="gramStart"/>
      <w:r w:rsidRPr="0042269F">
        <w:rPr>
          <w:rFonts w:hAnsi="標楷體" w:hint="eastAsia"/>
          <w:color w:val="000000" w:themeColor="text1"/>
        </w:rPr>
        <w:t>收受亦無</w:t>
      </w:r>
      <w:proofErr w:type="gramEnd"/>
      <w:r w:rsidRPr="0042269F">
        <w:rPr>
          <w:rFonts w:hAnsi="標楷體" w:hint="eastAsia"/>
          <w:color w:val="000000" w:themeColor="text1"/>
        </w:rPr>
        <w:t>延宕，然A為12日與C對照，則發現案件係因法官處理時間耗費24日所延宕。</w:t>
      </w:r>
    </w:p>
    <w:p w:rsidR="00A20367" w:rsidRPr="0042269F" w:rsidRDefault="00A20367" w:rsidP="00A20367">
      <w:pPr>
        <w:pStyle w:val="4"/>
        <w:rPr>
          <w:rFonts w:hAnsi="標楷體"/>
          <w:color w:val="000000" w:themeColor="text1"/>
        </w:rPr>
      </w:pPr>
      <w:r w:rsidRPr="0042269F">
        <w:rPr>
          <w:rFonts w:hAnsi="標楷體" w:hint="eastAsia"/>
          <w:color w:val="000000" w:themeColor="text1"/>
        </w:rPr>
        <w:t>序號18，103年</w:t>
      </w:r>
      <w:proofErr w:type="gramStart"/>
      <w:r w:rsidRPr="0042269F">
        <w:rPr>
          <w:rFonts w:hAnsi="標楷體" w:hint="eastAsia"/>
          <w:color w:val="000000" w:themeColor="text1"/>
        </w:rPr>
        <w:t>聲戒字</w:t>
      </w:r>
      <w:proofErr w:type="gramEnd"/>
      <w:r w:rsidRPr="0042269F">
        <w:rPr>
          <w:rFonts w:hAnsi="標楷體" w:hint="eastAsia"/>
          <w:color w:val="000000" w:themeColor="text1"/>
        </w:rPr>
        <w:t>第5號案件，A為8日顯示法院作成准予強制戒治之裁定時超過觀察勒戒人執行期滿日8日，其原因在E選項所顯示為-5日，</w:t>
      </w:r>
      <w:proofErr w:type="gramStart"/>
      <w:r w:rsidRPr="0042269F">
        <w:rPr>
          <w:rFonts w:hAnsi="標楷體" w:hint="eastAsia"/>
          <w:color w:val="000000" w:themeColor="text1"/>
        </w:rPr>
        <w:t>即勒戒</w:t>
      </w:r>
      <w:proofErr w:type="gramEnd"/>
      <w:r w:rsidRPr="0042269F">
        <w:rPr>
          <w:rFonts w:hAnsi="標楷體" w:hint="eastAsia"/>
          <w:color w:val="000000" w:themeColor="text1"/>
        </w:rPr>
        <w:t>處所未在法定聲請期間7日之前陳報檢察官，勒戒處所發生延宕。而D項為4日，則顯示檢察機關辦理本案耗費9日。C項為4日院檢行政單位</w:t>
      </w:r>
      <w:proofErr w:type="gramStart"/>
      <w:r w:rsidRPr="0042269F">
        <w:rPr>
          <w:rFonts w:hAnsi="標楷體" w:hint="eastAsia"/>
          <w:color w:val="000000" w:themeColor="text1"/>
        </w:rPr>
        <w:t>收受亦無</w:t>
      </w:r>
      <w:proofErr w:type="gramEnd"/>
      <w:r w:rsidRPr="0042269F">
        <w:rPr>
          <w:rFonts w:hAnsi="標楷體" w:hint="eastAsia"/>
          <w:color w:val="000000" w:themeColor="text1"/>
        </w:rPr>
        <w:t>延宕，然A項為8日，法官處理本案耗費4日，則該案件主要延宕</w:t>
      </w:r>
      <w:proofErr w:type="gramStart"/>
      <w:r w:rsidRPr="0042269F">
        <w:rPr>
          <w:rFonts w:hAnsi="標楷體" w:hint="eastAsia"/>
          <w:color w:val="000000" w:themeColor="text1"/>
        </w:rPr>
        <w:t>責任為勒戒</w:t>
      </w:r>
      <w:proofErr w:type="gramEnd"/>
      <w:r w:rsidRPr="0042269F">
        <w:rPr>
          <w:rFonts w:hAnsi="標楷體" w:hint="eastAsia"/>
          <w:color w:val="000000" w:themeColor="text1"/>
        </w:rPr>
        <w:t>處所，而</w:t>
      </w:r>
      <w:r w:rsidRPr="0042269F">
        <w:rPr>
          <w:rFonts w:hAnsi="標楷體" w:hint="eastAsia"/>
          <w:color w:val="000000" w:themeColor="text1"/>
        </w:rPr>
        <w:lastRenderedPageBreak/>
        <w:t>檢察官與法官分別應負次要與再次要責任。</w:t>
      </w:r>
    </w:p>
    <w:p w:rsidR="00A20367" w:rsidRPr="0042269F" w:rsidRDefault="00A20367" w:rsidP="00A20367">
      <w:pPr>
        <w:pStyle w:val="4"/>
        <w:rPr>
          <w:rFonts w:hAnsi="標楷體"/>
          <w:color w:val="000000" w:themeColor="text1"/>
        </w:rPr>
      </w:pPr>
      <w:r w:rsidRPr="0042269F">
        <w:rPr>
          <w:rFonts w:hAnsi="標楷體" w:hint="eastAsia"/>
          <w:color w:val="000000" w:themeColor="text1"/>
        </w:rPr>
        <w:t>序號56，104年</w:t>
      </w:r>
      <w:proofErr w:type="gramStart"/>
      <w:r w:rsidRPr="0042269F">
        <w:rPr>
          <w:rFonts w:hAnsi="標楷體" w:hint="eastAsia"/>
          <w:color w:val="000000" w:themeColor="text1"/>
        </w:rPr>
        <w:t>聲戒字</w:t>
      </w:r>
      <w:proofErr w:type="gramEnd"/>
      <w:r w:rsidRPr="0042269F">
        <w:rPr>
          <w:rFonts w:hAnsi="標楷體" w:hint="eastAsia"/>
          <w:color w:val="000000" w:themeColor="text1"/>
        </w:rPr>
        <w:t>第8號案件，A項為13日顯示法院作成准予強制戒治之裁定時超過觀察勒戒人執行期滿日13日，其原因在E項所顯示為1日，</w:t>
      </w:r>
      <w:proofErr w:type="gramStart"/>
      <w:r w:rsidRPr="0042269F">
        <w:rPr>
          <w:rFonts w:hAnsi="標楷體" w:hint="eastAsia"/>
          <w:color w:val="000000" w:themeColor="text1"/>
        </w:rPr>
        <w:t>即勒戒</w:t>
      </w:r>
      <w:proofErr w:type="gramEnd"/>
      <w:r w:rsidRPr="0042269F">
        <w:rPr>
          <w:rFonts w:hAnsi="標楷體" w:hint="eastAsia"/>
          <w:color w:val="000000" w:themeColor="text1"/>
        </w:rPr>
        <w:t>處所未在法定聲請期間7日之前陳報檢察官且超過觀察勒戒人執行期滿日1日，勒戒處所發生延宕。而D項為3日，則顯示檢察機關辦理本案耗費2日。C項為3日則顯示院檢行政單位</w:t>
      </w:r>
      <w:proofErr w:type="gramStart"/>
      <w:r w:rsidRPr="0042269F">
        <w:rPr>
          <w:rFonts w:hAnsi="標楷體" w:hint="eastAsia"/>
          <w:color w:val="000000" w:themeColor="text1"/>
        </w:rPr>
        <w:t>收受亦無</w:t>
      </w:r>
      <w:proofErr w:type="gramEnd"/>
      <w:r w:rsidRPr="0042269F">
        <w:rPr>
          <w:rFonts w:hAnsi="標楷體" w:hint="eastAsia"/>
          <w:color w:val="000000" w:themeColor="text1"/>
        </w:rPr>
        <w:t>延宕，然A為13日，顯示案件因法官處理本案耗費10日，該案件主要延宕</w:t>
      </w:r>
      <w:proofErr w:type="gramStart"/>
      <w:r w:rsidRPr="0042269F">
        <w:rPr>
          <w:rFonts w:hAnsi="標楷體" w:hint="eastAsia"/>
          <w:color w:val="000000" w:themeColor="text1"/>
        </w:rPr>
        <w:t>責任為勒戒</w:t>
      </w:r>
      <w:proofErr w:type="gramEnd"/>
      <w:r w:rsidRPr="0042269F">
        <w:rPr>
          <w:rFonts w:hAnsi="標楷體" w:hint="eastAsia"/>
          <w:color w:val="000000" w:themeColor="text1"/>
        </w:rPr>
        <w:t>處所，法官負次要責任，檢察機關應無責任。</w:t>
      </w:r>
    </w:p>
    <w:p w:rsidR="002620FF" w:rsidRPr="0042269F" w:rsidRDefault="00C221BC" w:rsidP="00C221BC">
      <w:pPr>
        <w:pStyle w:val="3"/>
        <w:rPr>
          <w:rFonts w:hAnsi="標楷體"/>
          <w:color w:val="000000" w:themeColor="text1"/>
        </w:rPr>
      </w:pPr>
      <w:r w:rsidRPr="0042269F">
        <w:rPr>
          <w:rFonts w:hAnsi="標楷體" w:hint="eastAsia"/>
          <w:color w:val="000000" w:themeColor="text1"/>
        </w:rPr>
        <w:t>復從附表整體統計各機關處理情形，本院所查104案除因資料不足未登載3件外，再扣除法官裁定日期，未超過觀察勒戒人執行期滿日期8件，最終法院作成准予強制戒治之裁定，超過觀察勒戒執行期滿日，致有裁定延宕情形者為93件，若</w:t>
      </w:r>
      <w:proofErr w:type="gramStart"/>
      <w:r w:rsidRPr="0042269F">
        <w:rPr>
          <w:rFonts w:hAnsi="標楷體" w:hint="eastAsia"/>
          <w:color w:val="000000" w:themeColor="text1"/>
        </w:rPr>
        <w:t>採</w:t>
      </w:r>
      <w:proofErr w:type="gramEnd"/>
      <w:r w:rsidRPr="0042269F">
        <w:rPr>
          <w:rFonts w:hAnsi="標楷體" w:hint="eastAsia"/>
          <w:color w:val="000000" w:themeColor="text1"/>
        </w:rPr>
        <w:t>本文前揭見解，容許以觀察、勒戒期間屆滿日加上24小時作為裁定延宕之標準，因有8件符合標準，故裁定延宕者得再減為85件（93件-8件）。以前</w:t>
      </w:r>
      <w:proofErr w:type="gramStart"/>
      <w:r w:rsidRPr="0042269F">
        <w:rPr>
          <w:rFonts w:hAnsi="標楷體" w:hint="eastAsia"/>
          <w:color w:val="000000" w:themeColor="text1"/>
        </w:rPr>
        <w:t>揭</w:t>
      </w:r>
      <w:proofErr w:type="gramEnd"/>
      <w:r w:rsidRPr="0042269F">
        <w:rPr>
          <w:rFonts w:hAnsi="標楷體" w:hint="eastAsia"/>
          <w:color w:val="000000" w:themeColor="text1"/>
        </w:rPr>
        <w:t>觀察勒戒人執行期滿日期作為基準統計，</w:t>
      </w:r>
      <w:r w:rsidRPr="0042269F">
        <w:rPr>
          <w:rFonts w:hAnsi="標楷體" w:hint="eastAsia"/>
          <w:b/>
          <w:color w:val="000000" w:themeColor="text1"/>
        </w:rPr>
        <w:t>其主要延宕責任在勒戒處所為3件（以法定聲請期間7日前+1日前為8日前），</w:t>
      </w:r>
      <w:r w:rsidR="00750DBC" w:rsidRPr="0042269F">
        <w:rPr>
          <w:rFonts w:hAnsi="標楷體" w:hint="eastAsia"/>
          <w:b/>
          <w:color w:val="000000" w:themeColor="text1"/>
        </w:rPr>
        <w:t>比率</w:t>
      </w:r>
      <w:r w:rsidRPr="0042269F">
        <w:rPr>
          <w:rFonts w:hAnsi="標楷體" w:hint="eastAsia"/>
          <w:b/>
          <w:color w:val="000000" w:themeColor="text1"/>
        </w:rPr>
        <w:t>3%（3／93），在檢察機關為55件，</w:t>
      </w:r>
      <w:r w:rsidR="00750DBC" w:rsidRPr="0042269F">
        <w:rPr>
          <w:rFonts w:hAnsi="標楷體" w:hint="eastAsia"/>
          <w:b/>
          <w:color w:val="000000" w:themeColor="text1"/>
        </w:rPr>
        <w:t>比率</w:t>
      </w:r>
      <w:r w:rsidRPr="0042269F">
        <w:rPr>
          <w:rFonts w:hAnsi="標楷體" w:hint="eastAsia"/>
          <w:b/>
          <w:color w:val="000000" w:themeColor="text1"/>
        </w:rPr>
        <w:t>為59%（55/93）；在法院為35件，</w:t>
      </w:r>
      <w:r w:rsidR="00750DBC" w:rsidRPr="0042269F">
        <w:rPr>
          <w:rFonts w:hAnsi="標楷體" w:hint="eastAsia"/>
          <w:b/>
          <w:color w:val="000000" w:themeColor="text1"/>
        </w:rPr>
        <w:t>比率</w:t>
      </w:r>
      <w:r w:rsidRPr="0042269F">
        <w:rPr>
          <w:rFonts w:hAnsi="標楷體" w:hint="eastAsia"/>
          <w:b/>
          <w:color w:val="000000" w:themeColor="text1"/>
        </w:rPr>
        <w:t>38%（35/93）；</w:t>
      </w:r>
      <w:r w:rsidRPr="0042269F">
        <w:rPr>
          <w:rFonts w:hAnsi="標楷體" w:hint="eastAsia"/>
          <w:color w:val="000000" w:themeColor="text1"/>
        </w:rPr>
        <w:t>若以觀察、勒戒期間屆滿日加上24小時作為裁定延宕之統計標準，得認定</w:t>
      </w:r>
      <w:r w:rsidRPr="0042269F">
        <w:rPr>
          <w:rFonts w:hAnsi="標楷體" w:hint="eastAsia"/>
          <w:b/>
          <w:color w:val="000000" w:themeColor="text1"/>
        </w:rPr>
        <w:t>主要責任在勒戒處所為3件，</w:t>
      </w:r>
      <w:r w:rsidR="00750DBC" w:rsidRPr="0042269F">
        <w:rPr>
          <w:rFonts w:hAnsi="標楷體" w:hint="eastAsia"/>
          <w:b/>
          <w:color w:val="000000" w:themeColor="text1"/>
        </w:rPr>
        <w:t>比率</w:t>
      </w:r>
      <w:r w:rsidRPr="0042269F">
        <w:rPr>
          <w:rFonts w:hAnsi="標楷體" w:hint="eastAsia"/>
          <w:b/>
          <w:color w:val="000000" w:themeColor="text1"/>
        </w:rPr>
        <w:t>4%（3／85）；在檢察機關為53件，</w:t>
      </w:r>
      <w:r w:rsidR="00750DBC" w:rsidRPr="0042269F">
        <w:rPr>
          <w:rFonts w:hAnsi="標楷體" w:hint="eastAsia"/>
          <w:b/>
          <w:color w:val="000000" w:themeColor="text1"/>
        </w:rPr>
        <w:t>比率</w:t>
      </w:r>
      <w:r w:rsidRPr="0042269F">
        <w:rPr>
          <w:rFonts w:hAnsi="標楷體" w:hint="eastAsia"/>
          <w:b/>
          <w:color w:val="000000" w:themeColor="text1"/>
        </w:rPr>
        <w:t>62%（53/85）；在法院為29件，</w:t>
      </w:r>
      <w:r w:rsidR="00750DBC" w:rsidRPr="0042269F">
        <w:rPr>
          <w:rFonts w:hAnsi="標楷體" w:hint="eastAsia"/>
          <w:b/>
          <w:color w:val="000000" w:themeColor="text1"/>
        </w:rPr>
        <w:t>比率</w:t>
      </w:r>
      <w:r w:rsidRPr="0042269F">
        <w:rPr>
          <w:rFonts w:hAnsi="標楷體" w:hint="eastAsia"/>
          <w:b/>
          <w:color w:val="000000" w:themeColor="text1"/>
        </w:rPr>
        <w:t>34%（29/85）</w:t>
      </w:r>
      <w:r w:rsidR="002620FF" w:rsidRPr="0042269F">
        <w:rPr>
          <w:rFonts w:hAnsi="標楷體" w:hint="eastAsia"/>
          <w:color w:val="000000" w:themeColor="text1"/>
        </w:rPr>
        <w:t>，</w:t>
      </w:r>
      <w:proofErr w:type="gramStart"/>
      <w:r w:rsidR="002620FF" w:rsidRPr="0042269F">
        <w:rPr>
          <w:rFonts w:hAnsi="標楷體" w:hint="eastAsia"/>
          <w:b/>
          <w:color w:val="000000" w:themeColor="text1"/>
        </w:rPr>
        <w:t>故各聲請</w:t>
      </w:r>
      <w:proofErr w:type="gramEnd"/>
      <w:r w:rsidR="002620FF" w:rsidRPr="0042269F">
        <w:rPr>
          <w:rFonts w:hAnsi="標楷體" w:hint="eastAsia"/>
          <w:b/>
          <w:color w:val="000000" w:themeColor="text1"/>
        </w:rPr>
        <w:t>強制戒治案件裁定延宕，以上開統計數據而言，大多為法務部所屬各地方法院檢察署所造成之裁定延宕，其次為法院，勒戒處所</w:t>
      </w:r>
      <w:proofErr w:type="gramStart"/>
      <w:r w:rsidR="002620FF" w:rsidRPr="0042269F">
        <w:rPr>
          <w:rFonts w:hAnsi="標楷體" w:hint="eastAsia"/>
          <w:b/>
          <w:color w:val="000000" w:themeColor="text1"/>
        </w:rPr>
        <w:t>所</w:t>
      </w:r>
      <w:proofErr w:type="gramEnd"/>
      <w:r w:rsidR="002620FF" w:rsidRPr="0042269F">
        <w:rPr>
          <w:rFonts w:hAnsi="標楷體" w:hint="eastAsia"/>
          <w:b/>
          <w:color w:val="000000" w:themeColor="text1"/>
        </w:rPr>
        <w:lastRenderedPageBreak/>
        <w:t>涉微乎其微。</w:t>
      </w:r>
      <w:proofErr w:type="gramStart"/>
      <w:r w:rsidR="002620FF" w:rsidRPr="0042269F">
        <w:rPr>
          <w:rFonts w:hAnsi="標楷體" w:hint="eastAsia"/>
          <w:color w:val="000000" w:themeColor="text1"/>
        </w:rPr>
        <w:t>復按法務部</w:t>
      </w:r>
      <w:proofErr w:type="gramEnd"/>
      <w:r w:rsidR="002620FF" w:rsidRPr="0042269F">
        <w:rPr>
          <w:rFonts w:hAnsi="標楷體" w:hint="eastAsia"/>
          <w:color w:val="000000" w:themeColor="text1"/>
        </w:rPr>
        <w:t>矯正署105年11月22日法</w:t>
      </w:r>
      <w:proofErr w:type="gramStart"/>
      <w:r w:rsidR="002620FF" w:rsidRPr="0042269F">
        <w:rPr>
          <w:rFonts w:hAnsi="標楷體" w:hint="eastAsia"/>
          <w:color w:val="000000" w:themeColor="text1"/>
        </w:rPr>
        <w:t>矯</w:t>
      </w:r>
      <w:proofErr w:type="gramEnd"/>
      <w:r w:rsidR="002620FF" w:rsidRPr="0042269F">
        <w:rPr>
          <w:rFonts w:hAnsi="標楷體" w:hint="eastAsia"/>
          <w:color w:val="000000" w:themeColor="text1"/>
        </w:rPr>
        <w:t>署</w:t>
      </w:r>
      <w:proofErr w:type="gramStart"/>
      <w:r w:rsidR="002620FF" w:rsidRPr="0042269F">
        <w:rPr>
          <w:rFonts w:hAnsi="標楷體" w:hint="eastAsia"/>
          <w:color w:val="000000" w:themeColor="text1"/>
        </w:rPr>
        <w:t>醫</w:t>
      </w:r>
      <w:proofErr w:type="gramEnd"/>
      <w:r w:rsidR="002620FF" w:rsidRPr="0042269F">
        <w:rPr>
          <w:rFonts w:hAnsi="標楷體" w:hint="eastAsia"/>
          <w:color w:val="000000" w:themeColor="text1"/>
        </w:rPr>
        <w:t>字第10506001620號就「法院於觀察勒戒期間屆滿後始為強制戒治裁定之案件」查復，亦顯示仍有許多聲請強制戒治案件未妥為處置，</w:t>
      </w:r>
      <w:proofErr w:type="gramStart"/>
      <w:r w:rsidR="002620FF" w:rsidRPr="0042269F">
        <w:rPr>
          <w:rFonts w:hAnsi="標楷體" w:hint="eastAsia"/>
          <w:color w:val="000000" w:themeColor="text1"/>
        </w:rPr>
        <w:t>似因院檢就</w:t>
      </w:r>
      <w:proofErr w:type="gramEnd"/>
      <w:r w:rsidR="002620FF" w:rsidRPr="0042269F">
        <w:rPr>
          <w:rFonts w:hAnsi="標楷體" w:hint="eastAsia"/>
          <w:color w:val="000000" w:themeColor="text1"/>
        </w:rPr>
        <w:t>處理期程未有完善之司法行政管制措施所致。</w:t>
      </w:r>
    </w:p>
    <w:p w:rsidR="002620FF" w:rsidRPr="0042269F" w:rsidRDefault="002620FF" w:rsidP="00E82535">
      <w:pPr>
        <w:pStyle w:val="3"/>
        <w:rPr>
          <w:rFonts w:hAnsi="標楷體"/>
          <w:color w:val="000000" w:themeColor="text1"/>
        </w:rPr>
      </w:pPr>
      <w:proofErr w:type="gramStart"/>
      <w:r w:rsidRPr="0042269F">
        <w:rPr>
          <w:rFonts w:hAnsi="標楷體" w:hint="eastAsia"/>
          <w:color w:val="000000" w:themeColor="text1"/>
        </w:rPr>
        <w:t>復本院</w:t>
      </w:r>
      <w:proofErr w:type="gramEnd"/>
      <w:r w:rsidRPr="0042269F">
        <w:rPr>
          <w:rFonts w:hAnsi="標楷體" w:hint="eastAsia"/>
          <w:color w:val="000000" w:themeColor="text1"/>
        </w:rPr>
        <w:t>針對「觀察勒戒處分執行條例第8條第2項後段規定，有關裁定移送戒治處所施以強制</w:t>
      </w:r>
      <w:proofErr w:type="gramStart"/>
      <w:r w:rsidRPr="0042269F">
        <w:rPr>
          <w:rFonts w:hAnsi="標楷體" w:hint="eastAsia"/>
          <w:color w:val="000000" w:themeColor="text1"/>
        </w:rPr>
        <w:t>戒治前</w:t>
      </w:r>
      <w:proofErr w:type="gramEnd"/>
      <w:r w:rsidRPr="0042269F">
        <w:rPr>
          <w:rFonts w:hAnsi="標楷體" w:hint="eastAsia"/>
          <w:color w:val="000000" w:themeColor="text1"/>
        </w:rPr>
        <w:t>，應繼續收容，就其辦理期限有無相關行政法令或司法行政督考機制」函請司法院與法務部查復，司法院刑事廳於105年12月23日</w:t>
      </w:r>
      <w:proofErr w:type="gramStart"/>
      <w:r w:rsidRPr="0042269F">
        <w:rPr>
          <w:rFonts w:hAnsi="標楷體" w:hint="eastAsia"/>
          <w:color w:val="000000" w:themeColor="text1"/>
        </w:rPr>
        <w:t>以廳刑</w:t>
      </w:r>
      <w:proofErr w:type="gramEnd"/>
      <w:r w:rsidRPr="0042269F">
        <w:rPr>
          <w:rFonts w:hAnsi="標楷體" w:hint="eastAsia"/>
          <w:color w:val="000000" w:themeColor="text1"/>
        </w:rPr>
        <w:t>一字第1050031503號函稱，目前司法院依據各級法院辦案期限實施要點第2點、第4點與第9點進行管考，亦即強制</w:t>
      </w:r>
      <w:proofErr w:type="gramStart"/>
      <w:r w:rsidRPr="0042269F">
        <w:rPr>
          <w:rFonts w:hAnsi="標楷體" w:hint="eastAsia"/>
          <w:color w:val="000000" w:themeColor="text1"/>
        </w:rPr>
        <w:t>戒治聲請</w:t>
      </w:r>
      <w:proofErr w:type="gramEnd"/>
      <w:r w:rsidRPr="0042269F">
        <w:rPr>
          <w:rFonts w:hAnsi="標楷體" w:hint="eastAsia"/>
          <w:color w:val="000000" w:themeColor="text1"/>
        </w:rPr>
        <w:t>案件自收容之</w:t>
      </w:r>
      <w:proofErr w:type="gramStart"/>
      <w:r w:rsidRPr="0042269F">
        <w:rPr>
          <w:rFonts w:hAnsi="標楷體" w:hint="eastAsia"/>
          <w:color w:val="000000" w:themeColor="text1"/>
        </w:rPr>
        <w:t>日起逾5個月</w:t>
      </w:r>
      <w:proofErr w:type="gramEnd"/>
      <w:r w:rsidRPr="0042269F">
        <w:rPr>
          <w:rFonts w:hAnsi="標楷體" w:hint="eastAsia"/>
          <w:color w:val="000000" w:themeColor="text1"/>
        </w:rPr>
        <w:t>尚未終結者，列為遲延案件，實務上地方法院平均終結日數：104年為「3.16日」、105年1至10月為「3.33日」；法務部則於106年1月9日以</w:t>
      </w:r>
      <w:proofErr w:type="gramStart"/>
      <w:r w:rsidRPr="0042269F">
        <w:rPr>
          <w:rFonts w:hAnsi="標楷體" w:hint="eastAsia"/>
          <w:color w:val="000000" w:themeColor="text1"/>
        </w:rPr>
        <w:t>法檢決字</w:t>
      </w:r>
      <w:proofErr w:type="gramEnd"/>
      <w:r w:rsidRPr="0042269F">
        <w:rPr>
          <w:rFonts w:hAnsi="標楷體" w:hint="eastAsia"/>
          <w:color w:val="000000" w:themeColor="text1"/>
        </w:rPr>
        <w:t>第10604502200號函稱，</w:t>
      </w:r>
      <w:proofErr w:type="gramStart"/>
      <w:r w:rsidRPr="0042269F">
        <w:rPr>
          <w:rFonts w:hAnsi="標楷體" w:hint="eastAsia"/>
          <w:color w:val="000000" w:themeColor="text1"/>
        </w:rPr>
        <w:t>該部前於</w:t>
      </w:r>
      <w:proofErr w:type="gramEnd"/>
      <w:r w:rsidRPr="0042269F">
        <w:rPr>
          <w:rFonts w:hAnsi="標楷體" w:hint="eastAsia"/>
          <w:color w:val="000000" w:themeColor="text1"/>
        </w:rPr>
        <w:t>105年8月3日召開會議作成決議略</w:t>
      </w:r>
      <w:proofErr w:type="gramStart"/>
      <w:r w:rsidRPr="0042269F">
        <w:rPr>
          <w:rFonts w:hAnsi="標楷體" w:hint="eastAsia"/>
          <w:color w:val="000000" w:themeColor="text1"/>
        </w:rPr>
        <w:t>以</w:t>
      </w:r>
      <w:proofErr w:type="gramEnd"/>
      <w:r w:rsidRPr="0042269F">
        <w:rPr>
          <w:rFonts w:hAnsi="標楷體" w:hint="eastAsia"/>
          <w:color w:val="000000" w:themeColor="text1"/>
        </w:rPr>
        <w:t>：1.勒戒處所應於觀察勒戒判定期內，完成繼續施用毒品傾向之判定後陳報。2.檢察官收受勒戒處所陳報後，應儘速聲請，並敘明「觀察勒戒期滿日」，以利法院注意即時完成裁定送達。3.觀察勒戒處分執行條例第8條是否周延，請矯正署</w:t>
      </w:r>
      <w:proofErr w:type="gramStart"/>
      <w:r w:rsidRPr="0042269F">
        <w:rPr>
          <w:rFonts w:hAnsi="標楷體" w:hint="eastAsia"/>
          <w:color w:val="000000" w:themeColor="text1"/>
        </w:rPr>
        <w:t>研</w:t>
      </w:r>
      <w:proofErr w:type="gramEnd"/>
      <w:r w:rsidRPr="0042269F">
        <w:rPr>
          <w:rFonts w:hAnsi="標楷體" w:hint="eastAsia"/>
          <w:color w:val="000000" w:themeColor="text1"/>
        </w:rPr>
        <w:t>議等語。然如前所述，</w:t>
      </w:r>
      <w:r w:rsidRPr="0042269F">
        <w:rPr>
          <w:rFonts w:hAnsi="標楷體" w:hint="eastAsia"/>
          <w:color w:val="000000" w:themeColor="text1"/>
          <w:szCs w:val="52"/>
        </w:rPr>
        <w:t>勒戒處所陳請之延宕情形微乎其微，其主要責任為地檢署，次為法院，上開所謂管考措施，是否確能改善現狀，以合乎正當法律程序原則之要求，不無疑問。</w:t>
      </w:r>
    </w:p>
    <w:p w:rsidR="007B6422" w:rsidRPr="0042269F" w:rsidRDefault="00BC3A2F" w:rsidP="007B6422">
      <w:pPr>
        <w:pStyle w:val="3"/>
        <w:numPr>
          <w:ilvl w:val="0"/>
          <w:numId w:val="0"/>
        </w:numPr>
        <w:ind w:left="1361"/>
        <w:rPr>
          <w:rFonts w:hAnsi="標楷體"/>
          <w:color w:val="000000" w:themeColor="text1"/>
        </w:rPr>
      </w:pPr>
      <w:r w:rsidRPr="0042269F">
        <w:rPr>
          <w:rFonts w:hAnsi="標楷體" w:hint="eastAsia"/>
          <w:color w:val="000000" w:themeColor="text1"/>
        </w:rPr>
        <w:t>綜上</w:t>
      </w:r>
      <w:r w:rsidR="002620FF" w:rsidRPr="0042269F">
        <w:rPr>
          <w:rFonts w:hAnsi="標楷體" w:hint="eastAsia"/>
          <w:color w:val="000000" w:themeColor="text1"/>
        </w:rPr>
        <w:t>，</w:t>
      </w:r>
      <w:r w:rsidRPr="0042269F">
        <w:rPr>
          <w:rFonts w:hAnsi="標楷體" w:hint="eastAsia"/>
          <w:color w:val="000000" w:themeColor="text1"/>
        </w:rPr>
        <w:t>我國司法實務就觀察勒戒處分之執行，因現行法律並未對於有繼續施用毒品傾向者，明定法院應裁定強制戒治之期限，肇致縱使觀察勒戒執行期滿，受觀察勒戒人之人身自由仍被剝奪，並未即時</w:t>
      </w:r>
      <w:r w:rsidRPr="0042269F">
        <w:rPr>
          <w:rFonts w:hAnsi="標楷體" w:hint="eastAsia"/>
          <w:color w:val="000000" w:themeColor="text1"/>
        </w:rPr>
        <w:lastRenderedPageBreak/>
        <w:t>受到法院保護，此種案例極多，顯見係因觀察勒戒之相關作業期程欠缺妥當司法行政管制措施所致，核有違失，司法院及法務部自應速謀改進，</w:t>
      </w:r>
      <w:proofErr w:type="gramStart"/>
      <w:r w:rsidRPr="0042269F">
        <w:rPr>
          <w:rFonts w:hAnsi="標楷體" w:hint="eastAsia"/>
          <w:color w:val="000000" w:themeColor="text1"/>
        </w:rPr>
        <w:t>俾</w:t>
      </w:r>
      <w:proofErr w:type="gramEnd"/>
      <w:r w:rsidRPr="0042269F">
        <w:rPr>
          <w:rFonts w:hAnsi="標楷體" w:hint="eastAsia"/>
          <w:color w:val="000000" w:themeColor="text1"/>
        </w:rPr>
        <w:t>維人民訴訟基本權利。</w:t>
      </w:r>
    </w:p>
    <w:p w:rsidR="002620FF" w:rsidRPr="0042269F" w:rsidRDefault="00B617AB" w:rsidP="002620FF">
      <w:pPr>
        <w:pStyle w:val="2"/>
        <w:rPr>
          <w:rFonts w:hAnsi="標楷體"/>
          <w:b/>
          <w:color w:val="000000" w:themeColor="text1"/>
          <w:szCs w:val="52"/>
        </w:rPr>
      </w:pPr>
      <w:r w:rsidRPr="0042269F">
        <w:rPr>
          <w:rFonts w:hAnsi="標楷體" w:hint="eastAsia"/>
          <w:b/>
          <w:color w:val="000000" w:themeColor="text1"/>
          <w:szCs w:val="52"/>
        </w:rPr>
        <w:t>強制戒治處分</w:t>
      </w:r>
      <w:r w:rsidR="002620FF" w:rsidRPr="0042269F">
        <w:rPr>
          <w:rFonts w:hAnsi="標楷體" w:hint="eastAsia"/>
          <w:b/>
          <w:color w:val="000000" w:themeColor="text1"/>
          <w:szCs w:val="52"/>
        </w:rPr>
        <w:t>依據現行法制</w:t>
      </w:r>
      <w:r w:rsidRPr="0042269F">
        <w:rPr>
          <w:rFonts w:hAnsi="標楷體" w:hint="eastAsia"/>
          <w:b/>
          <w:color w:val="000000" w:themeColor="text1"/>
          <w:szCs w:val="52"/>
        </w:rPr>
        <w:t>以裁定為之</w:t>
      </w:r>
      <w:r w:rsidRPr="0042269F">
        <w:rPr>
          <w:rFonts w:ascii="新細明體" w:eastAsia="新細明體" w:hAnsi="新細明體" w:hint="eastAsia"/>
          <w:b/>
          <w:color w:val="000000" w:themeColor="text1"/>
          <w:szCs w:val="52"/>
        </w:rPr>
        <w:t>，</w:t>
      </w:r>
      <w:r w:rsidRPr="0042269F">
        <w:rPr>
          <w:rFonts w:hAnsi="標楷體" w:hint="eastAsia"/>
          <w:b/>
          <w:color w:val="000000" w:themeColor="text1"/>
          <w:szCs w:val="52"/>
        </w:rPr>
        <w:t>故</w:t>
      </w:r>
      <w:r w:rsidR="002620FF" w:rsidRPr="0042269F">
        <w:rPr>
          <w:rFonts w:hAnsi="標楷體" w:hint="eastAsia"/>
          <w:b/>
          <w:color w:val="000000" w:themeColor="text1"/>
          <w:szCs w:val="52"/>
        </w:rPr>
        <w:t>無庸</w:t>
      </w:r>
      <w:proofErr w:type="gramStart"/>
      <w:r w:rsidR="002620FF" w:rsidRPr="0042269F">
        <w:rPr>
          <w:rFonts w:hAnsi="標楷體" w:hint="eastAsia"/>
          <w:b/>
          <w:color w:val="000000" w:themeColor="text1"/>
          <w:szCs w:val="52"/>
        </w:rPr>
        <w:t>踐行</w:t>
      </w:r>
      <w:proofErr w:type="gramEnd"/>
      <w:r w:rsidR="002620FF" w:rsidRPr="0042269F">
        <w:rPr>
          <w:rFonts w:hAnsi="標楷體" w:hint="eastAsia"/>
          <w:b/>
          <w:color w:val="000000" w:themeColor="text1"/>
          <w:szCs w:val="52"/>
        </w:rPr>
        <w:t>審問程序，係</w:t>
      </w:r>
      <w:proofErr w:type="gramStart"/>
      <w:r w:rsidR="002620FF" w:rsidRPr="0042269F">
        <w:rPr>
          <w:rFonts w:hAnsi="標楷體" w:hint="eastAsia"/>
          <w:b/>
          <w:color w:val="000000" w:themeColor="text1"/>
          <w:szCs w:val="52"/>
        </w:rPr>
        <w:t>採</w:t>
      </w:r>
      <w:proofErr w:type="gramEnd"/>
      <w:r w:rsidR="002620FF" w:rsidRPr="0042269F">
        <w:rPr>
          <w:rFonts w:hAnsi="標楷體" w:hint="eastAsia"/>
          <w:b/>
          <w:color w:val="000000" w:themeColor="text1"/>
          <w:szCs w:val="52"/>
        </w:rPr>
        <w:t>書面</w:t>
      </w:r>
      <w:r w:rsidR="002620FF" w:rsidRPr="0042269F">
        <w:rPr>
          <w:rFonts w:hAnsi="標楷體" w:hint="eastAsia"/>
          <w:b/>
          <w:color w:val="000000" w:themeColor="text1"/>
        </w:rPr>
        <w:t>審理</w:t>
      </w:r>
      <w:r w:rsidR="002620FF" w:rsidRPr="0042269F">
        <w:rPr>
          <w:rFonts w:hAnsi="標楷體" w:hint="eastAsia"/>
          <w:b/>
          <w:color w:val="000000" w:themeColor="text1"/>
          <w:szCs w:val="52"/>
        </w:rPr>
        <w:t>，尚與憲法第8條規定與聯合國公民與政治權利國際公約第9條所示「適當審訊與聽證原則」未盡相符，</w:t>
      </w:r>
      <w:proofErr w:type="gramStart"/>
      <w:r w:rsidR="002620FF" w:rsidRPr="0042269F">
        <w:rPr>
          <w:rFonts w:hAnsi="標楷體" w:hint="eastAsia"/>
          <w:b/>
          <w:color w:val="000000" w:themeColor="text1"/>
          <w:szCs w:val="52"/>
        </w:rPr>
        <w:t>司法院允宜</w:t>
      </w:r>
      <w:proofErr w:type="gramEnd"/>
      <w:r w:rsidR="002620FF" w:rsidRPr="0042269F">
        <w:rPr>
          <w:rFonts w:hAnsi="標楷體" w:hint="eastAsia"/>
          <w:b/>
          <w:color w:val="000000" w:themeColor="text1"/>
          <w:szCs w:val="52"/>
        </w:rPr>
        <w:t>在考量司法人力、預算配置下，同時兼顧人身自由保障與正當法律程序原則，逐次改進，以符法治國基本原則。</w:t>
      </w:r>
    </w:p>
    <w:p w:rsidR="002620FF" w:rsidRPr="0042269F" w:rsidRDefault="002620FF" w:rsidP="002620FF">
      <w:pPr>
        <w:pStyle w:val="3"/>
        <w:rPr>
          <w:rFonts w:hAnsi="標楷體"/>
          <w:b/>
          <w:color w:val="000000" w:themeColor="text1"/>
        </w:rPr>
      </w:pPr>
      <w:r w:rsidRPr="0042269F">
        <w:rPr>
          <w:rFonts w:hAnsi="標楷體" w:hint="eastAsia"/>
          <w:b/>
          <w:color w:val="000000" w:themeColor="text1"/>
        </w:rPr>
        <w:t>憲法第8條規定對於人身自由之保障，應依據正當法律程序原則之要求，非由法院依法定程序，不得審問處罰，其所指並不限於刑事訴訟程序，涉及人身自由部分，均應</w:t>
      </w:r>
      <w:proofErr w:type="gramStart"/>
      <w:r w:rsidRPr="0042269F">
        <w:rPr>
          <w:rFonts w:hAnsi="標楷體" w:hint="eastAsia"/>
          <w:b/>
          <w:color w:val="000000" w:themeColor="text1"/>
        </w:rPr>
        <w:t>踐行</w:t>
      </w:r>
      <w:proofErr w:type="gramEnd"/>
      <w:r w:rsidRPr="0042269F">
        <w:rPr>
          <w:rFonts w:hAnsi="標楷體" w:hint="eastAsia"/>
          <w:b/>
          <w:color w:val="000000" w:themeColor="text1"/>
        </w:rPr>
        <w:t>審問程序，不得為書面審理，此與聯合國公民與政治權利國際公約第9條意旨相同，均</w:t>
      </w:r>
      <w:proofErr w:type="gramStart"/>
      <w:r w:rsidRPr="0042269F">
        <w:rPr>
          <w:rFonts w:hAnsi="標楷體" w:hint="eastAsia"/>
          <w:b/>
          <w:color w:val="000000" w:themeColor="text1"/>
        </w:rPr>
        <w:t>採</w:t>
      </w:r>
      <w:proofErr w:type="gramEnd"/>
      <w:r w:rsidRPr="0042269F">
        <w:rPr>
          <w:rFonts w:hAnsi="標楷體" w:hint="eastAsia"/>
          <w:b/>
          <w:color w:val="000000" w:themeColor="text1"/>
        </w:rPr>
        <w:t>「適當審訊與聽證原則」。</w:t>
      </w:r>
    </w:p>
    <w:p w:rsidR="002620FF" w:rsidRPr="0042269F" w:rsidRDefault="002620FF" w:rsidP="002620FF">
      <w:pPr>
        <w:pStyle w:val="3"/>
        <w:numPr>
          <w:ilvl w:val="0"/>
          <w:numId w:val="0"/>
        </w:numPr>
        <w:ind w:left="1361" w:firstLineChars="183" w:firstLine="622"/>
        <w:rPr>
          <w:rFonts w:hAnsi="標楷體"/>
          <w:color w:val="000000" w:themeColor="text1"/>
        </w:rPr>
      </w:pPr>
      <w:r w:rsidRPr="0042269F">
        <w:rPr>
          <w:rFonts w:hAnsi="標楷體" w:hint="eastAsia"/>
          <w:color w:val="000000" w:themeColor="text1"/>
        </w:rPr>
        <w:t>按司法院釋字第384號解釋略</w:t>
      </w:r>
      <w:proofErr w:type="gramStart"/>
      <w:r w:rsidRPr="0042269F">
        <w:rPr>
          <w:rFonts w:hAnsi="標楷體" w:hint="eastAsia"/>
          <w:color w:val="000000" w:themeColor="text1"/>
        </w:rPr>
        <w:t>以</w:t>
      </w:r>
      <w:proofErr w:type="gramEnd"/>
      <w:r w:rsidRPr="0042269F">
        <w:rPr>
          <w:rFonts w:hAnsi="標楷體" w:hint="eastAsia"/>
          <w:color w:val="000000" w:themeColor="text1"/>
        </w:rPr>
        <w:t>，人民身體之自由應享有充分保障，乃行使其憲法上所保障其他自由權利之前提，為重要之基本人權。故憲法第8條第1項規定</w:t>
      </w:r>
      <w:proofErr w:type="gramStart"/>
      <w:r w:rsidRPr="0042269F">
        <w:rPr>
          <w:rFonts w:hAnsi="標楷體" w:hint="eastAsia"/>
          <w:color w:val="000000" w:themeColor="text1"/>
        </w:rPr>
        <w:t>係指凡限制</w:t>
      </w:r>
      <w:proofErr w:type="gramEnd"/>
      <w:r w:rsidRPr="0042269F">
        <w:rPr>
          <w:rFonts w:hAnsi="標楷體" w:hint="eastAsia"/>
          <w:color w:val="000000" w:themeColor="text1"/>
        </w:rPr>
        <w:t>人民身體自由之處置，在一定限度內為憲法保留之範圍，不問是否屬於刑事被告身分，</w:t>
      </w:r>
      <w:proofErr w:type="gramStart"/>
      <w:r w:rsidRPr="0042269F">
        <w:rPr>
          <w:rFonts w:hAnsi="標楷體" w:hint="eastAsia"/>
          <w:color w:val="000000" w:themeColor="text1"/>
        </w:rPr>
        <w:t>均受該</w:t>
      </w:r>
      <w:proofErr w:type="gramEnd"/>
      <w:r w:rsidRPr="0042269F">
        <w:rPr>
          <w:rFonts w:hAnsi="標楷體" w:hint="eastAsia"/>
          <w:color w:val="000000" w:themeColor="text1"/>
        </w:rPr>
        <w:t>規定之保障。</w:t>
      </w:r>
      <w:proofErr w:type="gramStart"/>
      <w:r w:rsidRPr="0042269F">
        <w:rPr>
          <w:rFonts w:hAnsi="標楷體" w:hint="eastAsia"/>
          <w:color w:val="000000" w:themeColor="text1"/>
        </w:rPr>
        <w:t>復同院</w:t>
      </w:r>
      <w:proofErr w:type="gramEnd"/>
      <w:r w:rsidRPr="0042269F">
        <w:rPr>
          <w:rFonts w:hAnsi="標楷體" w:hint="eastAsia"/>
          <w:color w:val="000000" w:themeColor="text1"/>
        </w:rPr>
        <w:t>釋字第588號解釋理由書就人身自由保障與訴訟基本權關係稱「</w:t>
      </w:r>
      <w:proofErr w:type="gramStart"/>
      <w:r w:rsidRPr="0042269F">
        <w:rPr>
          <w:rFonts w:hAnsi="標楷體" w:hint="eastAsia"/>
          <w:color w:val="000000" w:themeColor="text1"/>
        </w:rPr>
        <w:t>法院係單憑</w:t>
      </w:r>
      <w:proofErr w:type="gramEnd"/>
      <w:r w:rsidRPr="0042269F">
        <w:rPr>
          <w:rFonts w:hAnsi="標楷體" w:hint="eastAsia"/>
          <w:color w:val="000000" w:themeColor="text1"/>
        </w:rPr>
        <w:t>行政執行處一方所提之聲請資料以為審查，無從為言詞之審理，</w:t>
      </w:r>
      <w:proofErr w:type="gramStart"/>
      <w:r w:rsidRPr="0042269F">
        <w:rPr>
          <w:rFonts w:hAnsi="標楷體" w:hint="eastAsia"/>
          <w:color w:val="000000" w:themeColor="text1"/>
        </w:rPr>
        <w:t>俾</w:t>
      </w:r>
      <w:proofErr w:type="gramEnd"/>
      <w:r w:rsidRPr="0042269F">
        <w:rPr>
          <w:rFonts w:hAnsi="標楷體" w:hint="eastAsia"/>
          <w:color w:val="000000" w:themeColor="text1"/>
        </w:rPr>
        <w:t>以查明管收之聲請是否合乎法定要件暨有無管收之必要，更未賦予該義務人以防禦之機會，使其能為有利之抗辯，指出證明之方法以供法院審酌，即得為管收之裁定，</w:t>
      </w:r>
      <w:proofErr w:type="gramStart"/>
      <w:r w:rsidRPr="0042269F">
        <w:rPr>
          <w:rFonts w:hAnsi="標楷體" w:hint="eastAsia"/>
          <w:color w:val="000000" w:themeColor="text1"/>
        </w:rPr>
        <w:t>且竟可</w:t>
      </w:r>
      <w:proofErr w:type="gramEnd"/>
      <w:r w:rsidRPr="0042269F">
        <w:rPr>
          <w:rFonts w:hAnsi="標楷體" w:hint="eastAsia"/>
          <w:color w:val="000000" w:themeColor="text1"/>
        </w:rPr>
        <w:t>於拘提後將之</w:t>
      </w:r>
      <w:proofErr w:type="gramStart"/>
      <w:r w:rsidRPr="0042269F">
        <w:rPr>
          <w:rFonts w:hAnsi="標楷體" w:hint="eastAsia"/>
          <w:color w:val="000000" w:themeColor="text1"/>
        </w:rPr>
        <w:t>逕</w:t>
      </w:r>
      <w:proofErr w:type="gramEnd"/>
      <w:r w:rsidRPr="0042269F">
        <w:rPr>
          <w:rFonts w:hAnsi="標楷體" w:hint="eastAsia"/>
          <w:color w:val="000000" w:themeColor="text1"/>
        </w:rPr>
        <w:t>送管收所，亦無須經審問程序，即連『人別』之訊問亦可從缺，尤</w:t>
      </w:r>
      <w:proofErr w:type="gramStart"/>
      <w:r w:rsidRPr="0042269F">
        <w:rPr>
          <w:rFonts w:hAnsi="標楷體" w:hint="eastAsia"/>
          <w:color w:val="000000" w:themeColor="text1"/>
        </w:rPr>
        <w:t>有違於正當</w:t>
      </w:r>
      <w:proofErr w:type="gramEnd"/>
      <w:r w:rsidRPr="0042269F">
        <w:rPr>
          <w:rFonts w:hAnsi="標楷體" w:hint="eastAsia"/>
          <w:color w:val="000000" w:themeColor="text1"/>
        </w:rPr>
        <w:lastRenderedPageBreak/>
        <w:t>法律程序之要求。</w:t>
      </w:r>
      <w:proofErr w:type="gramStart"/>
      <w:r w:rsidRPr="0042269F">
        <w:rPr>
          <w:rFonts w:hAnsi="標楷體" w:hint="eastAsia"/>
          <w:color w:val="000000" w:themeColor="text1"/>
        </w:rPr>
        <w:t>再者，</w:t>
      </w:r>
      <w:proofErr w:type="gramEnd"/>
      <w:r w:rsidRPr="0042269F">
        <w:rPr>
          <w:rFonts w:hAnsi="標楷體" w:hint="eastAsia"/>
          <w:color w:val="000000" w:themeColor="text1"/>
        </w:rPr>
        <w:t>前開法院得為裁定管收之事由中，其『經合法通知，無正當理由而不到場』之此款，亦係強制執行法（第22條第1、2項）及刑事訴訟法（第101條、第101條之1）之所無，而該義務</w:t>
      </w:r>
      <w:proofErr w:type="gramStart"/>
      <w:r w:rsidRPr="0042269F">
        <w:rPr>
          <w:rFonts w:hAnsi="標楷體" w:hint="eastAsia"/>
          <w:color w:val="000000" w:themeColor="text1"/>
        </w:rPr>
        <w:t>人既猶未</w:t>
      </w:r>
      <w:proofErr w:type="gramEnd"/>
      <w:r w:rsidRPr="0042269F">
        <w:rPr>
          <w:rFonts w:hAnsi="標楷體" w:hint="eastAsia"/>
          <w:color w:val="000000" w:themeColor="text1"/>
        </w:rPr>
        <w:t>到場，自亦不可能</w:t>
      </w:r>
      <w:proofErr w:type="gramStart"/>
      <w:r w:rsidRPr="0042269F">
        <w:rPr>
          <w:rFonts w:hAnsi="標楷體" w:hint="eastAsia"/>
          <w:color w:val="000000" w:themeColor="text1"/>
        </w:rPr>
        <w:t>踐行</w:t>
      </w:r>
      <w:proofErr w:type="gramEnd"/>
      <w:r w:rsidRPr="0042269F">
        <w:rPr>
          <w:rFonts w:hAnsi="標楷體" w:hint="eastAsia"/>
          <w:color w:val="000000" w:themeColor="text1"/>
        </w:rPr>
        <w:t>審問程序，乃法院竟</w:t>
      </w:r>
      <w:proofErr w:type="gramStart"/>
      <w:r w:rsidRPr="0042269F">
        <w:rPr>
          <w:rFonts w:hAnsi="標楷體" w:hint="eastAsia"/>
          <w:color w:val="000000" w:themeColor="text1"/>
        </w:rPr>
        <w:t>得依聲請</w:t>
      </w:r>
      <w:proofErr w:type="gramEnd"/>
      <w:r w:rsidRPr="0042269F">
        <w:rPr>
          <w:rFonts w:hAnsi="標楷體" w:hint="eastAsia"/>
          <w:color w:val="000000" w:themeColor="text1"/>
        </w:rPr>
        <w:t>而為管收之裁定，此一容許為書面審理之規定，其有悖於前述正當法律程序之憲法意旨」，上開解釋不限刑事訴訟程序，認涉及人身自由部分，</w:t>
      </w:r>
      <w:proofErr w:type="gramStart"/>
      <w:r w:rsidRPr="0042269F">
        <w:rPr>
          <w:rFonts w:hAnsi="標楷體" w:hint="eastAsia"/>
          <w:color w:val="000000" w:themeColor="text1"/>
        </w:rPr>
        <w:t>縱於行政</w:t>
      </w:r>
      <w:proofErr w:type="gramEnd"/>
      <w:r w:rsidRPr="0042269F">
        <w:rPr>
          <w:rFonts w:hAnsi="標楷體" w:hint="eastAsia"/>
          <w:color w:val="000000" w:themeColor="text1"/>
        </w:rPr>
        <w:t>執行程序之「管收」，亦應</w:t>
      </w:r>
      <w:proofErr w:type="gramStart"/>
      <w:r w:rsidRPr="0042269F">
        <w:rPr>
          <w:rFonts w:hAnsi="標楷體" w:hint="eastAsia"/>
          <w:color w:val="000000" w:themeColor="text1"/>
        </w:rPr>
        <w:t>踐行</w:t>
      </w:r>
      <w:proofErr w:type="gramEnd"/>
      <w:r w:rsidRPr="0042269F">
        <w:rPr>
          <w:rFonts w:hAnsi="標楷體" w:hint="eastAsia"/>
          <w:color w:val="000000" w:themeColor="text1"/>
        </w:rPr>
        <w:t>審問程序，不得為書面審理。再就聯合國公民與政治權利國際公約人權事務委員會第35號一般性意見（公約第9條規定）之一般性意見第4點稱，由一個法庭對拘禁的合法性進行審查的權利，適用於所有被剝奪自由的人。第34點稱，被拘禁者本身必須被帶到法官面前或經法律授權行使司法權的其他官員面前。被拘禁者親身出席聽證會可提供機會詢問他們在被拘禁時受到的待遇，且在命令繼續拘禁的情況下便於立即將其轉移到還押拘禁中心。因此，這是人身安全的一種保障，也可防止酷刑和殘忍、不人道或有辱人格的待遇。在隨後的審訊和後來法官評估拘禁的合法性和必要性的聽證會上，被捕者有權得到法律援助等語，</w:t>
      </w:r>
      <w:proofErr w:type="gramStart"/>
      <w:r w:rsidRPr="0042269F">
        <w:rPr>
          <w:rFonts w:hAnsi="標楷體" w:hint="eastAsia"/>
          <w:color w:val="000000" w:themeColor="text1"/>
        </w:rPr>
        <w:t>從而，</w:t>
      </w:r>
      <w:proofErr w:type="gramEnd"/>
      <w:r w:rsidRPr="0042269F">
        <w:rPr>
          <w:rFonts w:hAnsi="標楷體" w:hint="eastAsia"/>
          <w:color w:val="000000" w:themeColor="text1"/>
        </w:rPr>
        <w:t>憲法第8條規定對於人身自由之保障，應依據正當法律程序原則之要求，非由法院依法定程序，不得審問處罰，其所指並不限於刑事訴訟程序，涉及人身自由部分，均應</w:t>
      </w:r>
      <w:proofErr w:type="gramStart"/>
      <w:r w:rsidRPr="0042269F">
        <w:rPr>
          <w:rFonts w:hAnsi="標楷體" w:hint="eastAsia"/>
          <w:color w:val="000000" w:themeColor="text1"/>
        </w:rPr>
        <w:t>踐行</w:t>
      </w:r>
      <w:proofErr w:type="gramEnd"/>
      <w:r w:rsidRPr="0042269F">
        <w:rPr>
          <w:rFonts w:hAnsi="標楷體" w:hint="eastAsia"/>
          <w:color w:val="000000" w:themeColor="text1"/>
        </w:rPr>
        <w:t>審問程序，不得為書面審理，此與聯合國公民與政治權利國際公約第9條意旨相同，均</w:t>
      </w:r>
      <w:proofErr w:type="gramStart"/>
      <w:r w:rsidRPr="0042269F">
        <w:rPr>
          <w:rFonts w:hAnsi="標楷體" w:hint="eastAsia"/>
          <w:color w:val="000000" w:themeColor="text1"/>
        </w:rPr>
        <w:t>採</w:t>
      </w:r>
      <w:proofErr w:type="gramEnd"/>
      <w:r w:rsidRPr="0042269F">
        <w:rPr>
          <w:rFonts w:hAnsi="標楷體" w:hint="eastAsia"/>
          <w:color w:val="000000" w:themeColor="text1"/>
        </w:rPr>
        <w:t>「適當審訊與聽證原則」。</w:t>
      </w:r>
    </w:p>
    <w:p w:rsidR="002620FF" w:rsidRPr="0042269F" w:rsidRDefault="002620FF" w:rsidP="002620FF">
      <w:pPr>
        <w:pStyle w:val="3"/>
        <w:rPr>
          <w:rFonts w:hAnsi="標楷體"/>
          <w:b/>
          <w:color w:val="000000" w:themeColor="text1"/>
        </w:rPr>
      </w:pPr>
      <w:r w:rsidRPr="0042269F">
        <w:rPr>
          <w:rFonts w:hAnsi="標楷體" w:hint="eastAsia"/>
          <w:b/>
          <w:color w:val="000000" w:themeColor="text1"/>
        </w:rPr>
        <w:t>毒品危害防制條例第20條第2項規定，強制戒治</w:t>
      </w:r>
      <w:r w:rsidR="00B617AB" w:rsidRPr="0042269F">
        <w:rPr>
          <w:rFonts w:hAnsi="標楷體" w:hint="eastAsia"/>
          <w:b/>
          <w:color w:val="000000" w:themeColor="text1"/>
        </w:rPr>
        <w:t>處分</w:t>
      </w:r>
      <w:r w:rsidRPr="0042269F">
        <w:rPr>
          <w:rFonts w:hAnsi="標楷體" w:hint="eastAsia"/>
          <w:b/>
          <w:color w:val="000000" w:themeColor="text1"/>
        </w:rPr>
        <w:t>應以裁定為之，復依現行刑事訴訟法相關規定裁</w:t>
      </w:r>
      <w:r w:rsidRPr="0042269F">
        <w:rPr>
          <w:rFonts w:hAnsi="標楷體" w:hint="eastAsia"/>
          <w:b/>
          <w:color w:val="000000" w:themeColor="text1"/>
        </w:rPr>
        <w:lastRenderedPageBreak/>
        <w:t>定應</w:t>
      </w:r>
      <w:proofErr w:type="gramStart"/>
      <w:r w:rsidRPr="0042269F">
        <w:rPr>
          <w:rFonts w:hAnsi="標楷體" w:hint="eastAsia"/>
          <w:b/>
          <w:color w:val="000000" w:themeColor="text1"/>
        </w:rPr>
        <w:t>採</w:t>
      </w:r>
      <w:proofErr w:type="gramEnd"/>
      <w:r w:rsidRPr="0042269F">
        <w:rPr>
          <w:rFonts w:hAnsi="標楷體" w:hint="eastAsia"/>
          <w:b/>
          <w:color w:val="000000" w:themeColor="text1"/>
        </w:rPr>
        <w:t>書面審理，故強制戒治裁定無庸</w:t>
      </w:r>
      <w:proofErr w:type="gramStart"/>
      <w:r w:rsidRPr="0042269F">
        <w:rPr>
          <w:rFonts w:hAnsi="標楷體" w:hint="eastAsia"/>
          <w:b/>
          <w:color w:val="000000" w:themeColor="text1"/>
        </w:rPr>
        <w:t>踐行</w:t>
      </w:r>
      <w:proofErr w:type="gramEnd"/>
      <w:r w:rsidRPr="0042269F">
        <w:rPr>
          <w:rFonts w:hAnsi="標楷體" w:hint="eastAsia"/>
          <w:b/>
          <w:color w:val="000000" w:themeColor="text1"/>
        </w:rPr>
        <w:t>審問程序。</w:t>
      </w:r>
    </w:p>
    <w:p w:rsidR="002620FF" w:rsidRPr="0042269F" w:rsidRDefault="002620FF" w:rsidP="002620FF">
      <w:pPr>
        <w:pStyle w:val="3"/>
        <w:numPr>
          <w:ilvl w:val="0"/>
          <w:numId w:val="0"/>
        </w:numPr>
        <w:ind w:left="1361" w:firstLineChars="183" w:firstLine="622"/>
        <w:rPr>
          <w:rFonts w:hAnsi="標楷體"/>
          <w:color w:val="000000" w:themeColor="text1"/>
        </w:rPr>
      </w:pPr>
      <w:r w:rsidRPr="0042269F">
        <w:rPr>
          <w:rFonts w:hAnsi="標楷體" w:hint="eastAsia"/>
          <w:color w:val="000000" w:themeColor="text1"/>
        </w:rPr>
        <w:t>按毒品危害防制條例第20條第2項所定，觀察、</w:t>
      </w:r>
      <w:proofErr w:type="gramStart"/>
      <w:r w:rsidRPr="0042269F">
        <w:rPr>
          <w:rFonts w:hAnsi="標楷體" w:hint="eastAsia"/>
          <w:color w:val="000000" w:themeColor="text1"/>
        </w:rPr>
        <w:t>勒戒後</w:t>
      </w:r>
      <w:proofErr w:type="gramEnd"/>
      <w:r w:rsidRPr="0042269F">
        <w:rPr>
          <w:rFonts w:hAnsi="標楷體" w:hint="eastAsia"/>
          <w:color w:val="000000" w:themeColor="text1"/>
        </w:rPr>
        <w:t>，檢察官或少年法院（地方法院少年法庭）依據勒戒處所之陳報，認受觀察、勒戒人無繼續施用毒品傾向者，應即釋放，並為不起訴之處分或不付審理之裁定；認受觀察、勒戒人有繼續施用毒品傾向者，檢察官應聲請法院裁定或由少年法院（地方法院少年法庭）裁定</w:t>
      </w:r>
      <w:proofErr w:type="gramStart"/>
      <w:r w:rsidRPr="0042269F">
        <w:rPr>
          <w:rFonts w:hAnsi="標楷體" w:hint="eastAsia"/>
          <w:color w:val="000000" w:themeColor="text1"/>
        </w:rPr>
        <w:t>令入戒治</w:t>
      </w:r>
      <w:proofErr w:type="gramEnd"/>
      <w:r w:rsidRPr="0042269F">
        <w:rPr>
          <w:rFonts w:hAnsi="標楷體" w:hint="eastAsia"/>
          <w:color w:val="000000" w:themeColor="text1"/>
        </w:rPr>
        <w:t>處所強制戒治，其期間為</w:t>
      </w:r>
      <w:r w:rsidR="008C2779" w:rsidRPr="0042269F">
        <w:rPr>
          <w:rFonts w:hAnsi="標楷體" w:hint="eastAsia"/>
          <w:color w:val="000000" w:themeColor="text1"/>
        </w:rPr>
        <w:t>6</w:t>
      </w:r>
      <w:r w:rsidRPr="0042269F">
        <w:rPr>
          <w:rFonts w:hAnsi="標楷體" w:hint="eastAsia"/>
          <w:color w:val="000000" w:themeColor="text1"/>
        </w:rPr>
        <w:t>個月以上，至無繼續強制戒治之必要為止。但最長不得逾</w:t>
      </w:r>
      <w:r w:rsidR="008C2779" w:rsidRPr="0042269F">
        <w:rPr>
          <w:rFonts w:hAnsi="標楷體" w:hint="eastAsia"/>
          <w:color w:val="000000" w:themeColor="text1"/>
        </w:rPr>
        <w:t>1</w:t>
      </w:r>
      <w:r w:rsidRPr="0042269F">
        <w:rPr>
          <w:rFonts w:hAnsi="標楷體" w:hint="eastAsia"/>
          <w:color w:val="000000" w:themeColor="text1"/>
        </w:rPr>
        <w:t>年。復依刑事訴訟法第220條規定：「裁判，除依本法應以判決行之者外，以裁定行之。」同法第222條規定：「裁定因當庭之聲明而為之者，應經訴訟關係人之言詞陳述。為裁定前有必要時，得調查事實。」換言之，裁定無論係基於聲請或職權為之，</w:t>
      </w:r>
      <w:proofErr w:type="gramStart"/>
      <w:r w:rsidRPr="0042269F">
        <w:rPr>
          <w:rFonts w:hAnsi="標楷體" w:hint="eastAsia"/>
          <w:color w:val="000000" w:themeColor="text1"/>
        </w:rPr>
        <w:t>均應以</w:t>
      </w:r>
      <w:proofErr w:type="gramEnd"/>
      <w:r w:rsidRPr="0042269F">
        <w:rPr>
          <w:rFonts w:hAnsi="標楷體" w:hint="eastAsia"/>
          <w:color w:val="000000" w:themeColor="text1"/>
        </w:rPr>
        <w:t>書面審理為原則，</w:t>
      </w:r>
      <w:proofErr w:type="gramStart"/>
      <w:r w:rsidRPr="0042269F">
        <w:rPr>
          <w:rFonts w:hAnsi="標楷體" w:hint="eastAsia"/>
          <w:color w:val="000000" w:themeColor="text1"/>
        </w:rPr>
        <w:t>專據案件</w:t>
      </w:r>
      <w:proofErr w:type="gramEnd"/>
      <w:r w:rsidRPr="0042269F">
        <w:rPr>
          <w:rFonts w:hAnsi="標楷體" w:hint="eastAsia"/>
          <w:color w:val="000000" w:themeColor="text1"/>
        </w:rPr>
        <w:t>之訴訟資料予以裁定，而無須訴訟關係人之言詞陳述。惟當庭之聲明而為之者，</w:t>
      </w:r>
      <w:proofErr w:type="gramStart"/>
      <w:r w:rsidRPr="0042269F">
        <w:rPr>
          <w:rFonts w:hAnsi="標楷體" w:hint="eastAsia"/>
          <w:color w:val="000000" w:themeColor="text1"/>
        </w:rPr>
        <w:t>始使其</w:t>
      </w:r>
      <w:proofErr w:type="gramEnd"/>
      <w:r w:rsidRPr="0042269F">
        <w:rPr>
          <w:rFonts w:hAnsi="標楷體" w:hint="eastAsia"/>
          <w:color w:val="000000" w:themeColor="text1"/>
        </w:rPr>
        <w:t>以言詞陳述，並於案件資料尚有欠缺，認非經調查不足以資明瞭者，方以其有必要為由，調查事實。</w:t>
      </w:r>
      <w:proofErr w:type="gramStart"/>
      <w:r w:rsidRPr="0042269F">
        <w:rPr>
          <w:rFonts w:hAnsi="標楷體" w:hint="eastAsia"/>
          <w:color w:val="000000" w:themeColor="text1"/>
        </w:rPr>
        <w:t>是縱為</w:t>
      </w:r>
      <w:proofErr w:type="gramEnd"/>
      <w:r w:rsidRPr="0042269F">
        <w:rPr>
          <w:rFonts w:hAnsi="標楷體" w:hint="eastAsia"/>
          <w:color w:val="000000" w:themeColor="text1"/>
        </w:rPr>
        <w:t>法院所為之裁定，亦毋庸言詞辯論，此與判決之最大不同</w:t>
      </w:r>
      <w:r w:rsidRPr="0042269F">
        <w:rPr>
          <w:rStyle w:val="aff1"/>
          <w:rFonts w:hAnsi="標楷體"/>
          <w:color w:val="000000" w:themeColor="text1"/>
        </w:rPr>
        <w:footnoteReference w:id="5"/>
      </w:r>
      <w:r w:rsidRPr="0042269F">
        <w:rPr>
          <w:rFonts w:hAnsi="標楷體" w:hint="eastAsia"/>
          <w:color w:val="000000" w:themeColor="text1"/>
        </w:rPr>
        <w:t>，</w:t>
      </w:r>
      <w:proofErr w:type="gramStart"/>
      <w:r w:rsidRPr="0042269F">
        <w:rPr>
          <w:rFonts w:hAnsi="標楷體" w:hint="eastAsia"/>
          <w:color w:val="000000" w:themeColor="text1"/>
        </w:rPr>
        <w:t>從而，</w:t>
      </w:r>
      <w:proofErr w:type="gramEnd"/>
      <w:r w:rsidRPr="0042269F">
        <w:rPr>
          <w:rFonts w:hAnsi="標楷體" w:hint="eastAsia"/>
          <w:color w:val="000000" w:themeColor="text1"/>
        </w:rPr>
        <w:t>強制戒治</w:t>
      </w:r>
      <w:r w:rsidR="00B617AB" w:rsidRPr="0042269F">
        <w:rPr>
          <w:rFonts w:hAnsi="標楷體" w:hint="eastAsia"/>
          <w:color w:val="000000" w:themeColor="text1"/>
        </w:rPr>
        <w:t>處分</w:t>
      </w:r>
      <w:r w:rsidRPr="0042269F">
        <w:rPr>
          <w:rFonts w:hAnsi="標楷體" w:hint="eastAsia"/>
          <w:color w:val="000000" w:themeColor="text1"/>
        </w:rPr>
        <w:t>依據現行法制</w:t>
      </w:r>
      <w:r w:rsidR="00B617AB" w:rsidRPr="0042269F">
        <w:rPr>
          <w:rFonts w:hAnsi="標楷體" w:hint="eastAsia"/>
          <w:color w:val="000000" w:themeColor="text1"/>
        </w:rPr>
        <w:t>以裁定為之</w:t>
      </w:r>
      <w:r w:rsidR="00B617AB" w:rsidRPr="0042269F">
        <w:rPr>
          <w:rFonts w:ascii="新細明體" w:eastAsia="新細明體" w:hAnsi="新細明體" w:hint="eastAsia"/>
          <w:color w:val="000000" w:themeColor="text1"/>
        </w:rPr>
        <w:t>，</w:t>
      </w:r>
      <w:r w:rsidR="00B617AB" w:rsidRPr="0042269F">
        <w:rPr>
          <w:rFonts w:hAnsi="標楷體" w:hint="eastAsia"/>
          <w:color w:val="000000" w:themeColor="text1"/>
        </w:rPr>
        <w:t>故</w:t>
      </w:r>
      <w:r w:rsidRPr="0042269F">
        <w:rPr>
          <w:rFonts w:hAnsi="標楷體" w:hint="eastAsia"/>
          <w:color w:val="000000" w:themeColor="text1"/>
        </w:rPr>
        <w:t>無庸</w:t>
      </w:r>
      <w:proofErr w:type="gramStart"/>
      <w:r w:rsidRPr="0042269F">
        <w:rPr>
          <w:rFonts w:hAnsi="標楷體" w:hint="eastAsia"/>
          <w:color w:val="000000" w:themeColor="text1"/>
        </w:rPr>
        <w:t>踐行</w:t>
      </w:r>
      <w:proofErr w:type="gramEnd"/>
      <w:r w:rsidRPr="0042269F">
        <w:rPr>
          <w:rFonts w:hAnsi="標楷體" w:hint="eastAsia"/>
          <w:color w:val="000000" w:themeColor="text1"/>
        </w:rPr>
        <w:t>審問程序，</w:t>
      </w:r>
      <w:proofErr w:type="gramStart"/>
      <w:r w:rsidRPr="0042269F">
        <w:rPr>
          <w:rFonts w:hAnsi="標楷體" w:hint="eastAsia"/>
          <w:color w:val="000000" w:themeColor="text1"/>
        </w:rPr>
        <w:t>採</w:t>
      </w:r>
      <w:proofErr w:type="gramEnd"/>
      <w:r w:rsidRPr="0042269F">
        <w:rPr>
          <w:rFonts w:hAnsi="標楷體" w:hint="eastAsia"/>
          <w:color w:val="000000" w:themeColor="text1"/>
        </w:rPr>
        <w:t>書面審理</w:t>
      </w:r>
      <w:r w:rsidR="006B78E6" w:rsidRPr="0042269F">
        <w:rPr>
          <w:rFonts w:hAnsi="標楷體" w:hint="eastAsia"/>
          <w:color w:val="000000" w:themeColor="text1"/>
        </w:rPr>
        <w:t>，尚與憲法及上開公約之人權標準有間</w:t>
      </w:r>
      <w:r w:rsidRPr="0042269F">
        <w:rPr>
          <w:rFonts w:hAnsi="標楷體" w:hint="eastAsia"/>
          <w:color w:val="000000" w:themeColor="text1"/>
        </w:rPr>
        <w:t>。</w:t>
      </w:r>
    </w:p>
    <w:p w:rsidR="002620FF" w:rsidRPr="0042269F" w:rsidRDefault="002620FF" w:rsidP="00B617AB">
      <w:pPr>
        <w:pStyle w:val="3"/>
        <w:rPr>
          <w:rFonts w:hAnsi="標楷體"/>
          <w:color w:val="000000" w:themeColor="text1"/>
        </w:rPr>
      </w:pPr>
      <w:r w:rsidRPr="0042269F">
        <w:rPr>
          <w:rFonts w:hAnsi="標楷體" w:hint="eastAsia"/>
          <w:color w:val="000000" w:themeColor="text1"/>
        </w:rPr>
        <w:t>綜上，</w:t>
      </w:r>
      <w:r w:rsidR="00B617AB" w:rsidRPr="0042269F">
        <w:rPr>
          <w:rFonts w:hAnsi="標楷體" w:hint="eastAsia"/>
          <w:color w:val="000000" w:themeColor="text1"/>
        </w:rPr>
        <w:t>強制戒治處分依據現行法制以裁定為之，故無庸</w:t>
      </w:r>
      <w:proofErr w:type="gramStart"/>
      <w:r w:rsidR="00B617AB" w:rsidRPr="0042269F">
        <w:rPr>
          <w:rFonts w:hAnsi="標楷體" w:hint="eastAsia"/>
          <w:color w:val="000000" w:themeColor="text1"/>
        </w:rPr>
        <w:t>踐行</w:t>
      </w:r>
      <w:proofErr w:type="gramEnd"/>
      <w:r w:rsidR="00B617AB" w:rsidRPr="0042269F">
        <w:rPr>
          <w:rFonts w:hAnsi="標楷體" w:hint="eastAsia"/>
          <w:color w:val="000000" w:themeColor="text1"/>
        </w:rPr>
        <w:t>審問程序，係</w:t>
      </w:r>
      <w:proofErr w:type="gramStart"/>
      <w:r w:rsidR="00B617AB" w:rsidRPr="0042269F">
        <w:rPr>
          <w:rFonts w:hAnsi="標楷體" w:hint="eastAsia"/>
          <w:color w:val="000000" w:themeColor="text1"/>
        </w:rPr>
        <w:t>採</w:t>
      </w:r>
      <w:proofErr w:type="gramEnd"/>
      <w:r w:rsidR="00B617AB" w:rsidRPr="0042269F">
        <w:rPr>
          <w:rFonts w:hAnsi="標楷體" w:hint="eastAsia"/>
          <w:color w:val="000000" w:themeColor="text1"/>
        </w:rPr>
        <w:t>書面審理，尚與憲法第8條規定與聯合國公民與政治權利國際公約第9條所示「適當審訊與聽證原則」未盡相符，</w:t>
      </w:r>
      <w:proofErr w:type="gramStart"/>
      <w:r w:rsidR="00B617AB" w:rsidRPr="0042269F">
        <w:rPr>
          <w:rFonts w:hAnsi="標楷體" w:hint="eastAsia"/>
          <w:color w:val="000000" w:themeColor="text1"/>
        </w:rPr>
        <w:t>司法院允宜</w:t>
      </w:r>
      <w:proofErr w:type="gramEnd"/>
      <w:r w:rsidR="00B617AB" w:rsidRPr="0042269F">
        <w:rPr>
          <w:rFonts w:hAnsi="標楷體" w:hint="eastAsia"/>
          <w:color w:val="000000" w:themeColor="text1"/>
        </w:rPr>
        <w:lastRenderedPageBreak/>
        <w:t>在考量司法人力、預算配置下，同時兼顧人身自由保障與正當法律程序原則，逐次改進，以符法治國基本原則。</w:t>
      </w:r>
    </w:p>
    <w:p w:rsidR="002620FF" w:rsidRPr="0042269F" w:rsidRDefault="006249C5" w:rsidP="002620FF">
      <w:pPr>
        <w:pStyle w:val="1"/>
        <w:numPr>
          <w:ilvl w:val="1"/>
          <w:numId w:val="6"/>
        </w:numPr>
        <w:rPr>
          <w:rFonts w:hAnsi="標楷體"/>
          <w:b/>
          <w:color w:val="000000" w:themeColor="text1"/>
        </w:rPr>
      </w:pPr>
      <w:r w:rsidRPr="0042269F">
        <w:rPr>
          <w:rFonts w:hAnsi="標楷體" w:hint="eastAsia"/>
          <w:b/>
          <w:color w:val="000000" w:themeColor="text1"/>
        </w:rPr>
        <w:t>臺灣</w:t>
      </w:r>
      <w:proofErr w:type="gramStart"/>
      <w:r w:rsidRPr="0042269F">
        <w:rPr>
          <w:rFonts w:hAnsi="標楷體" w:hint="eastAsia"/>
          <w:b/>
          <w:color w:val="000000" w:themeColor="text1"/>
        </w:rPr>
        <w:t>臺</w:t>
      </w:r>
      <w:proofErr w:type="gramEnd"/>
      <w:r w:rsidRPr="0042269F">
        <w:rPr>
          <w:rFonts w:hAnsi="標楷體" w:hint="eastAsia"/>
          <w:b/>
          <w:color w:val="000000" w:themeColor="text1"/>
        </w:rPr>
        <w:t>中地方法院檢察署忽視憲法賦予監察院作為國家最高監察機關之權力，於本案調查</w:t>
      </w:r>
      <w:proofErr w:type="gramStart"/>
      <w:r w:rsidRPr="0042269F">
        <w:rPr>
          <w:rFonts w:hAnsi="標楷體" w:hint="eastAsia"/>
          <w:b/>
          <w:color w:val="000000" w:themeColor="text1"/>
        </w:rPr>
        <w:t>期間，</w:t>
      </w:r>
      <w:proofErr w:type="gramEnd"/>
      <w:r w:rsidRPr="0042269F">
        <w:rPr>
          <w:rFonts w:hAnsi="標楷體" w:hint="eastAsia"/>
          <w:b/>
          <w:color w:val="000000" w:themeColor="text1"/>
        </w:rPr>
        <w:t>對於本院依據憲法與監察法行使之調查權，以司法案件個案為由，一概拒絕，且未就個案偵查終結時點，提出任何說明，涉有背離憲法與監察法相關規定，有所不當</w:t>
      </w:r>
      <w:r w:rsidR="002620FF" w:rsidRPr="0042269F">
        <w:rPr>
          <w:rFonts w:hAnsi="標楷體" w:hint="eastAsia"/>
          <w:b/>
          <w:color w:val="000000" w:themeColor="text1"/>
        </w:rPr>
        <w:t>。</w:t>
      </w:r>
    </w:p>
    <w:p w:rsidR="002620FF" w:rsidRPr="0042269F" w:rsidRDefault="002620FF" w:rsidP="002620FF">
      <w:pPr>
        <w:pStyle w:val="1"/>
        <w:numPr>
          <w:ilvl w:val="2"/>
          <w:numId w:val="6"/>
        </w:numPr>
        <w:rPr>
          <w:rFonts w:hAnsi="標楷體"/>
          <w:b/>
          <w:color w:val="000000" w:themeColor="text1"/>
        </w:rPr>
      </w:pPr>
      <w:r w:rsidRPr="0042269F">
        <w:rPr>
          <w:rFonts w:hAnsi="標楷體" w:hint="eastAsia"/>
          <w:b/>
          <w:color w:val="000000" w:themeColor="text1"/>
        </w:rPr>
        <w:t>監察院為國家最高監察機關，除對法務部所屬各檢察機關有對事之</w:t>
      </w:r>
      <w:proofErr w:type="gramStart"/>
      <w:r w:rsidRPr="0042269F">
        <w:rPr>
          <w:rFonts w:hAnsi="標楷體" w:hint="eastAsia"/>
          <w:b/>
          <w:color w:val="000000" w:themeColor="text1"/>
        </w:rPr>
        <w:t>糾正權外</w:t>
      </w:r>
      <w:proofErr w:type="gramEnd"/>
      <w:r w:rsidRPr="0042269F">
        <w:rPr>
          <w:rFonts w:hAnsi="標楷體" w:hint="eastAsia"/>
          <w:b/>
          <w:color w:val="000000" w:themeColor="text1"/>
        </w:rPr>
        <w:t>，對於中央文武百官不論其為法官或檢察官亦有對人之彈劾權，其調查權行使範圍，就審判與檢察而言，亦涵蓋各項刑事政策與刑事個案，檢察</w:t>
      </w:r>
      <w:proofErr w:type="gramStart"/>
      <w:r w:rsidRPr="0042269F">
        <w:rPr>
          <w:rFonts w:hAnsi="標楷體" w:hint="eastAsia"/>
          <w:b/>
          <w:color w:val="000000" w:themeColor="text1"/>
        </w:rPr>
        <w:t>機關若率予</w:t>
      </w:r>
      <w:proofErr w:type="gramEnd"/>
      <w:r w:rsidRPr="0042269F">
        <w:rPr>
          <w:rFonts w:hAnsi="標楷體" w:hint="eastAsia"/>
          <w:b/>
          <w:color w:val="000000" w:themeColor="text1"/>
        </w:rPr>
        <w:t>拒絕，本院自得依法糾正與彈劾，自行憲以來，迄無任何爭議。</w:t>
      </w:r>
    </w:p>
    <w:p w:rsidR="002620FF" w:rsidRPr="0042269F" w:rsidRDefault="002620FF" w:rsidP="002620FF">
      <w:pPr>
        <w:pStyle w:val="32"/>
        <w:ind w:left="1361" w:firstLine="680"/>
        <w:rPr>
          <w:rFonts w:hAnsi="標楷體"/>
          <w:color w:val="000000" w:themeColor="text1"/>
        </w:rPr>
      </w:pPr>
      <w:r w:rsidRPr="0042269F">
        <w:rPr>
          <w:rFonts w:hAnsi="標楷體" w:hint="eastAsia"/>
          <w:color w:val="000000" w:themeColor="text1"/>
        </w:rPr>
        <w:t>按憲法第90條規定，監察院為國家最高監察機關，行使彈劾、</w:t>
      </w:r>
      <w:proofErr w:type="gramStart"/>
      <w:r w:rsidRPr="0042269F">
        <w:rPr>
          <w:rFonts w:hAnsi="標楷體" w:hint="eastAsia"/>
          <w:color w:val="000000" w:themeColor="text1"/>
        </w:rPr>
        <w:t>糾舉權</w:t>
      </w:r>
      <w:proofErr w:type="gramEnd"/>
      <w:r w:rsidRPr="0042269F">
        <w:rPr>
          <w:rFonts w:hAnsi="標楷體" w:hint="eastAsia"/>
          <w:color w:val="000000" w:themeColor="text1"/>
        </w:rPr>
        <w:t>。同法第95條規定，監察院為行使監察權，得向行政院及其各部會</w:t>
      </w:r>
      <w:proofErr w:type="gramStart"/>
      <w:r w:rsidRPr="0042269F">
        <w:rPr>
          <w:rFonts w:hAnsi="標楷體" w:hint="eastAsia"/>
          <w:color w:val="000000" w:themeColor="text1"/>
        </w:rPr>
        <w:t>調閱其所</w:t>
      </w:r>
      <w:proofErr w:type="gramEnd"/>
      <w:r w:rsidRPr="0042269F">
        <w:rPr>
          <w:rFonts w:hAnsi="標楷體" w:hint="eastAsia"/>
          <w:color w:val="000000" w:themeColor="text1"/>
        </w:rPr>
        <w:t>發布之命令及各種有關文件。同法第96條規定，監察院得按行政院及其各部會之工作，分設若干委員會，調查一切設施，注意其是否違法或失職。同法第97條規定，監察院經各該委員會之審查及決議，得提出糾正案並促其注意改善。監察院對於中央及地方公務人員，認為有失職或違法情事，得提出糾舉案或彈劾案，如涉及刑事，應移送法院辦理。同法第99條規定，監察院對於司法院或考試院人員失職或違法之彈劾，適用本憲法第95條、第97條及第98條之規定。</w:t>
      </w:r>
      <w:proofErr w:type="gramStart"/>
      <w:r w:rsidRPr="0042269F">
        <w:rPr>
          <w:rFonts w:hAnsi="標楷體" w:hint="eastAsia"/>
          <w:color w:val="000000" w:themeColor="text1"/>
        </w:rPr>
        <w:t>復按監察</w:t>
      </w:r>
      <w:proofErr w:type="gramEnd"/>
      <w:r w:rsidRPr="0042269F">
        <w:rPr>
          <w:rFonts w:hAnsi="標楷體" w:hint="eastAsia"/>
          <w:color w:val="000000" w:themeColor="text1"/>
        </w:rPr>
        <w:t>法第26條規定，監察法第26條第1項前段規定，向公私團體調查</w:t>
      </w:r>
      <w:proofErr w:type="gramStart"/>
      <w:r w:rsidRPr="0042269F">
        <w:rPr>
          <w:rFonts w:hAnsi="標楷體" w:hint="eastAsia"/>
          <w:color w:val="000000" w:themeColor="text1"/>
        </w:rPr>
        <w:t>檔案冊籍及</w:t>
      </w:r>
      <w:proofErr w:type="gramEnd"/>
      <w:r w:rsidRPr="0042269F">
        <w:rPr>
          <w:rFonts w:hAnsi="標楷體" w:hint="eastAsia"/>
          <w:color w:val="000000" w:themeColor="text1"/>
        </w:rPr>
        <w:t>其他有關文件，各該機關，部隊或團體主管人員及其他關係人員不得拒絕。法官法第89條第7項、第8項</w:t>
      </w:r>
      <w:proofErr w:type="gramStart"/>
      <w:r w:rsidRPr="0042269F">
        <w:rPr>
          <w:rFonts w:hAnsi="標楷體" w:hint="eastAsia"/>
          <w:color w:val="000000" w:themeColor="text1"/>
        </w:rPr>
        <w:lastRenderedPageBreak/>
        <w:t>準</w:t>
      </w:r>
      <w:proofErr w:type="gramEnd"/>
      <w:r w:rsidRPr="0042269F">
        <w:rPr>
          <w:rFonts w:hAnsi="標楷體" w:hint="eastAsia"/>
          <w:color w:val="000000" w:themeColor="text1"/>
        </w:rPr>
        <w:t>用第51條第1項之規定，檢察官有規定之違法情事，有懲戒之必要者，應受懲戒，檢察官之懲戒，由司法院職務法庭審理之。其移送及審理程序</w:t>
      </w:r>
      <w:proofErr w:type="gramStart"/>
      <w:r w:rsidRPr="0042269F">
        <w:rPr>
          <w:rFonts w:hAnsi="標楷體" w:hint="eastAsia"/>
          <w:color w:val="000000" w:themeColor="text1"/>
        </w:rPr>
        <w:t>準</w:t>
      </w:r>
      <w:proofErr w:type="gramEnd"/>
      <w:r w:rsidRPr="0042269F">
        <w:rPr>
          <w:rFonts w:hAnsi="標楷體" w:hint="eastAsia"/>
          <w:color w:val="000000" w:themeColor="text1"/>
        </w:rPr>
        <w:t>用法官之懲戒程序。是則，監察院為國家最高監察機關，除對法務部所屬各檢察機關有對事之</w:t>
      </w:r>
      <w:proofErr w:type="gramStart"/>
      <w:r w:rsidRPr="0042269F">
        <w:rPr>
          <w:rFonts w:hAnsi="標楷體" w:hint="eastAsia"/>
          <w:color w:val="000000" w:themeColor="text1"/>
        </w:rPr>
        <w:t>糾正權外</w:t>
      </w:r>
      <w:proofErr w:type="gramEnd"/>
      <w:r w:rsidRPr="0042269F">
        <w:rPr>
          <w:rFonts w:hAnsi="標楷體" w:hint="eastAsia"/>
          <w:color w:val="000000" w:themeColor="text1"/>
        </w:rPr>
        <w:t>，對於中央文武百官不論其為法官或檢察官亦有對人之彈劾權，其調查權行使範圍，就審判與檢察而言，亦涵蓋各項刑事政策與刑事個案，檢察</w:t>
      </w:r>
      <w:proofErr w:type="gramStart"/>
      <w:r w:rsidRPr="0042269F">
        <w:rPr>
          <w:rFonts w:hAnsi="標楷體" w:hint="eastAsia"/>
          <w:color w:val="000000" w:themeColor="text1"/>
        </w:rPr>
        <w:t>機關若率予</w:t>
      </w:r>
      <w:proofErr w:type="gramEnd"/>
      <w:r w:rsidRPr="0042269F">
        <w:rPr>
          <w:rFonts w:hAnsi="標楷體" w:hint="eastAsia"/>
          <w:color w:val="000000" w:themeColor="text1"/>
        </w:rPr>
        <w:t>拒絕，本院自得依法糾正與彈劾，自行憲以來，迄無任何爭議。</w:t>
      </w:r>
    </w:p>
    <w:p w:rsidR="002620FF" w:rsidRPr="0042269F" w:rsidRDefault="002620FF" w:rsidP="002620FF">
      <w:pPr>
        <w:pStyle w:val="1"/>
        <w:numPr>
          <w:ilvl w:val="2"/>
          <w:numId w:val="6"/>
        </w:numPr>
        <w:rPr>
          <w:rFonts w:hAnsi="標楷體"/>
          <w:b/>
          <w:color w:val="000000" w:themeColor="text1"/>
        </w:rPr>
      </w:pPr>
      <w:r w:rsidRPr="0042269F">
        <w:rPr>
          <w:rFonts w:hAnsi="標楷體" w:hint="eastAsia"/>
          <w:b/>
          <w:color w:val="000000" w:themeColor="text1"/>
        </w:rPr>
        <w:t>臺灣</w:t>
      </w:r>
      <w:proofErr w:type="gramStart"/>
      <w:r w:rsidRPr="0042269F">
        <w:rPr>
          <w:rFonts w:hAnsi="標楷體" w:hint="eastAsia"/>
          <w:b/>
          <w:color w:val="000000" w:themeColor="text1"/>
        </w:rPr>
        <w:t>臺</w:t>
      </w:r>
      <w:proofErr w:type="gramEnd"/>
      <w:r w:rsidRPr="0042269F">
        <w:rPr>
          <w:rFonts w:hAnsi="標楷體" w:hint="eastAsia"/>
          <w:b/>
          <w:color w:val="000000" w:themeColor="text1"/>
        </w:rPr>
        <w:t>中地方法院檢察署以本次所調閱刑事案件係屬司法刑事訴訟制度個案，並非行政命令，且以部分案件尚在偵查為由，拒絕本院行使調查權。</w:t>
      </w:r>
    </w:p>
    <w:p w:rsidR="002620FF" w:rsidRPr="0042269F" w:rsidRDefault="002620FF" w:rsidP="002620FF">
      <w:pPr>
        <w:pStyle w:val="32"/>
        <w:ind w:left="1361" w:firstLine="680"/>
        <w:rPr>
          <w:rFonts w:hAnsi="標楷體"/>
          <w:color w:val="000000" w:themeColor="text1"/>
        </w:rPr>
      </w:pPr>
      <w:r w:rsidRPr="0042269F">
        <w:rPr>
          <w:rFonts w:hAnsi="標楷體" w:hint="eastAsia"/>
          <w:color w:val="000000" w:themeColor="text1"/>
        </w:rPr>
        <w:t>查本院監察調查處前於105年4月27日以處</w:t>
      </w:r>
      <w:proofErr w:type="gramStart"/>
      <w:r w:rsidRPr="0042269F">
        <w:rPr>
          <w:rFonts w:hAnsi="標楷體" w:hint="eastAsia"/>
          <w:color w:val="000000" w:themeColor="text1"/>
        </w:rPr>
        <w:t>台調壹字</w:t>
      </w:r>
      <w:proofErr w:type="gramEnd"/>
      <w:r w:rsidRPr="0042269F">
        <w:rPr>
          <w:rFonts w:hAnsi="標楷體" w:hint="eastAsia"/>
          <w:color w:val="000000" w:themeColor="text1"/>
        </w:rPr>
        <w:t>第1050830788號函調臺灣</w:t>
      </w:r>
      <w:proofErr w:type="gramStart"/>
      <w:r w:rsidRPr="0042269F">
        <w:rPr>
          <w:rFonts w:hAnsi="標楷體" w:hint="eastAsia"/>
          <w:color w:val="000000" w:themeColor="text1"/>
        </w:rPr>
        <w:t>臺</w:t>
      </w:r>
      <w:proofErr w:type="gramEnd"/>
      <w:r w:rsidRPr="0042269F">
        <w:rPr>
          <w:rFonts w:hAnsi="標楷體" w:hint="eastAsia"/>
          <w:color w:val="000000" w:themeColor="text1"/>
        </w:rPr>
        <w:t>中地方法院檢察署</w:t>
      </w:r>
      <w:proofErr w:type="gramStart"/>
      <w:r w:rsidRPr="0042269F">
        <w:rPr>
          <w:rFonts w:hAnsi="標楷體" w:hint="eastAsia"/>
          <w:color w:val="000000" w:themeColor="text1"/>
        </w:rPr>
        <w:t>101</w:t>
      </w:r>
      <w:proofErr w:type="gramEnd"/>
      <w:r w:rsidRPr="0042269F">
        <w:rPr>
          <w:rFonts w:hAnsi="標楷體" w:hint="eastAsia"/>
          <w:color w:val="000000" w:themeColor="text1"/>
        </w:rPr>
        <w:t>年度</w:t>
      </w:r>
      <w:proofErr w:type="gramStart"/>
      <w:r w:rsidRPr="0042269F">
        <w:rPr>
          <w:rFonts w:hAnsi="標楷體" w:hint="eastAsia"/>
          <w:color w:val="000000" w:themeColor="text1"/>
        </w:rPr>
        <w:t>聲戒字</w:t>
      </w:r>
      <w:proofErr w:type="gramEnd"/>
      <w:r w:rsidRPr="0042269F">
        <w:rPr>
          <w:rFonts w:hAnsi="標楷體" w:hint="eastAsia"/>
          <w:color w:val="000000" w:themeColor="text1"/>
        </w:rPr>
        <w:t>第85號等38件卷宗資料，該署竟以105年5月12日中</w:t>
      </w:r>
      <w:proofErr w:type="gramStart"/>
      <w:r w:rsidRPr="0042269F">
        <w:rPr>
          <w:rFonts w:hAnsi="標楷體" w:hint="eastAsia"/>
          <w:color w:val="000000" w:themeColor="text1"/>
        </w:rPr>
        <w:t>檢秀莊</w:t>
      </w:r>
      <w:proofErr w:type="gramEnd"/>
      <w:r w:rsidRPr="0042269F">
        <w:rPr>
          <w:rFonts w:hAnsi="標楷體" w:hint="eastAsia"/>
          <w:color w:val="000000" w:themeColor="text1"/>
        </w:rPr>
        <w:t>105調47字第049297號函稱「經調查完畢，</w:t>
      </w:r>
      <w:proofErr w:type="gramStart"/>
      <w:r w:rsidRPr="0042269F">
        <w:rPr>
          <w:rFonts w:hAnsi="標楷體" w:hint="eastAsia"/>
          <w:color w:val="000000" w:themeColor="text1"/>
        </w:rPr>
        <w:t>經核於法</w:t>
      </w:r>
      <w:proofErr w:type="gramEnd"/>
      <w:r w:rsidRPr="0042269F">
        <w:rPr>
          <w:rFonts w:hAnsi="標楷體" w:hint="eastAsia"/>
          <w:color w:val="000000" w:themeColor="text1"/>
        </w:rPr>
        <w:t>不合，歉難照辦」云云。其理由略</w:t>
      </w:r>
      <w:proofErr w:type="gramStart"/>
      <w:r w:rsidRPr="0042269F">
        <w:rPr>
          <w:rFonts w:hAnsi="標楷體" w:hint="eastAsia"/>
          <w:color w:val="000000" w:themeColor="text1"/>
        </w:rPr>
        <w:t>以</w:t>
      </w:r>
      <w:proofErr w:type="gramEnd"/>
      <w:r w:rsidRPr="0042269F">
        <w:rPr>
          <w:rFonts w:hAnsi="標楷體" w:hint="eastAsia"/>
          <w:color w:val="000000" w:themeColor="text1"/>
        </w:rPr>
        <w:t>：「1.按中華民國憲法</w:t>
      </w:r>
      <w:proofErr w:type="gramStart"/>
      <w:r w:rsidRPr="0042269F">
        <w:rPr>
          <w:rFonts w:hAnsi="標楷體" w:hint="eastAsia"/>
          <w:color w:val="000000" w:themeColor="text1"/>
        </w:rPr>
        <w:t>採</w:t>
      </w:r>
      <w:proofErr w:type="gramEnd"/>
      <w:r w:rsidRPr="0042269F">
        <w:rPr>
          <w:rFonts w:hAnsi="標楷體" w:hint="eastAsia"/>
          <w:color w:val="000000" w:themeColor="text1"/>
        </w:rPr>
        <w:t>五權分立制度，係五權分治</w:t>
      </w:r>
      <w:proofErr w:type="gramStart"/>
      <w:r w:rsidRPr="0042269F">
        <w:rPr>
          <w:rFonts w:hAnsi="標楷體" w:hint="eastAsia"/>
          <w:color w:val="000000" w:themeColor="text1"/>
        </w:rPr>
        <w:t>彼此相維之</w:t>
      </w:r>
      <w:proofErr w:type="gramEnd"/>
      <w:r w:rsidRPr="0042269F">
        <w:rPr>
          <w:rFonts w:hAnsi="標楷體" w:hint="eastAsia"/>
          <w:color w:val="000000" w:themeColor="text1"/>
        </w:rPr>
        <w:t>憲政體制，此為司法院釋字第235號與第175號解釋所揭</w:t>
      </w:r>
      <w:proofErr w:type="gramStart"/>
      <w:r w:rsidRPr="0042269F">
        <w:rPr>
          <w:rFonts w:hAnsi="標楷體" w:hint="eastAsia"/>
          <w:color w:val="000000" w:themeColor="text1"/>
        </w:rPr>
        <w:t>櫫</w:t>
      </w:r>
      <w:proofErr w:type="gramEnd"/>
      <w:r w:rsidRPr="0042269F">
        <w:rPr>
          <w:rFonts w:hAnsi="標楷體" w:hint="eastAsia"/>
          <w:color w:val="000000" w:themeColor="text1"/>
        </w:rPr>
        <w:t>之原則。而司法權之</w:t>
      </w:r>
      <w:proofErr w:type="gramStart"/>
      <w:r w:rsidRPr="0042269F">
        <w:rPr>
          <w:rFonts w:hAnsi="標楷體" w:hint="eastAsia"/>
          <w:color w:val="000000" w:themeColor="text1"/>
        </w:rPr>
        <w:t>一</w:t>
      </w:r>
      <w:proofErr w:type="gramEnd"/>
      <w:r w:rsidRPr="0042269F">
        <w:rPr>
          <w:rFonts w:hAnsi="標楷體" w:hint="eastAsia"/>
          <w:color w:val="000000" w:themeColor="text1"/>
        </w:rPr>
        <w:t>之刑事訴訟即刑事司法之裁判，係以實現國家刑罰權為目的之司法程序，其審判乃以追訴而開始，追訴必須實施偵查，</w:t>
      </w:r>
      <w:proofErr w:type="gramStart"/>
      <w:r w:rsidRPr="0042269F">
        <w:rPr>
          <w:rFonts w:hAnsi="標楷體" w:hint="eastAsia"/>
          <w:color w:val="000000" w:themeColor="text1"/>
        </w:rPr>
        <w:t>迨</w:t>
      </w:r>
      <w:proofErr w:type="gramEnd"/>
      <w:r w:rsidRPr="0042269F">
        <w:rPr>
          <w:rFonts w:hAnsi="標楷體" w:hint="eastAsia"/>
          <w:color w:val="000000" w:themeColor="text1"/>
        </w:rPr>
        <w:t>判決確定，尚須執行始能實現裁判之內容。是以此等</w:t>
      </w:r>
      <w:proofErr w:type="gramStart"/>
      <w:r w:rsidRPr="0042269F">
        <w:rPr>
          <w:rFonts w:hAnsi="標楷體" w:hint="eastAsia"/>
          <w:color w:val="000000" w:themeColor="text1"/>
        </w:rPr>
        <w:t>程序悉與審判</w:t>
      </w:r>
      <w:proofErr w:type="gramEnd"/>
      <w:r w:rsidRPr="0042269F">
        <w:rPr>
          <w:rFonts w:hAnsi="標楷體" w:hint="eastAsia"/>
          <w:color w:val="000000" w:themeColor="text1"/>
        </w:rPr>
        <w:t>、處罰具有不可分離之關係。亦即偵查、訴追、審判與刑事司法之過程，其間代表國家從事偵查、訴追、執行之檢察機關，其所行使之職權，目的既亦在達成刑事司法之任務，則在此</w:t>
      </w:r>
      <w:proofErr w:type="gramStart"/>
      <w:r w:rsidRPr="0042269F">
        <w:rPr>
          <w:rFonts w:hAnsi="標楷體" w:hint="eastAsia"/>
          <w:color w:val="000000" w:themeColor="text1"/>
        </w:rPr>
        <w:t>一</w:t>
      </w:r>
      <w:proofErr w:type="gramEnd"/>
      <w:r w:rsidRPr="0042269F">
        <w:rPr>
          <w:rFonts w:hAnsi="標楷體" w:hint="eastAsia"/>
          <w:color w:val="000000" w:themeColor="text1"/>
        </w:rPr>
        <w:t>範圍之國家作用，當應屬廣義司法之一，釋字第392號解釋前段亦解釋甚</w:t>
      </w:r>
      <w:r w:rsidRPr="0042269F">
        <w:rPr>
          <w:rFonts w:hAnsi="標楷體" w:hint="eastAsia"/>
          <w:color w:val="000000" w:themeColor="text1"/>
        </w:rPr>
        <w:lastRenderedPageBreak/>
        <w:t>明。2.又按憲法第95條明文規定監察院為行使監察權 得向行政院及其各部會</w:t>
      </w:r>
      <w:proofErr w:type="gramStart"/>
      <w:r w:rsidRPr="0042269F">
        <w:rPr>
          <w:rFonts w:hAnsi="標楷體" w:hint="eastAsia"/>
          <w:color w:val="000000" w:themeColor="text1"/>
        </w:rPr>
        <w:t>調閱所發布</w:t>
      </w:r>
      <w:proofErr w:type="gramEnd"/>
      <w:r w:rsidRPr="0042269F">
        <w:rPr>
          <w:rFonts w:hAnsi="標楷體" w:hint="eastAsia"/>
          <w:color w:val="000000" w:themeColor="text1"/>
        </w:rPr>
        <w:t>之命令及各種有關文件，然貴處</w:t>
      </w:r>
      <w:proofErr w:type="gramStart"/>
      <w:r w:rsidRPr="0042269F">
        <w:rPr>
          <w:rFonts w:hAnsi="標楷體" w:hint="eastAsia"/>
          <w:color w:val="000000" w:themeColor="text1"/>
        </w:rPr>
        <w:t>向本署調取之卷證</w:t>
      </w:r>
      <w:proofErr w:type="gramEnd"/>
      <w:r w:rsidRPr="0042269F">
        <w:rPr>
          <w:rFonts w:hAnsi="標楷體" w:hint="eastAsia"/>
          <w:color w:val="000000" w:themeColor="text1"/>
        </w:rPr>
        <w:t>資料，</w:t>
      </w:r>
      <w:proofErr w:type="gramStart"/>
      <w:r w:rsidRPr="0042269F">
        <w:rPr>
          <w:rFonts w:hAnsi="標楷體" w:hint="eastAsia"/>
          <w:color w:val="000000" w:themeColor="text1"/>
        </w:rPr>
        <w:t>核屬司法</w:t>
      </w:r>
      <w:proofErr w:type="gramEnd"/>
      <w:r w:rsidRPr="0042269F">
        <w:rPr>
          <w:rFonts w:hAnsi="標楷體" w:hint="eastAsia"/>
          <w:color w:val="000000" w:themeColor="text1"/>
        </w:rPr>
        <w:t>刑事訴訟制度個案，而非行政命令。基於上述憲法五權分立制度，以及受憲法保障獨立行使職權之廣義司法權之行使，自應遵循刑事訴訟法相關檢閱訴訟卷宗之規定，</w:t>
      </w:r>
      <w:proofErr w:type="gramStart"/>
      <w:r w:rsidRPr="0042269F">
        <w:rPr>
          <w:rFonts w:hAnsi="標楷體" w:hint="eastAsia"/>
          <w:color w:val="000000" w:themeColor="text1"/>
        </w:rPr>
        <w:t>迭如上述</w:t>
      </w:r>
      <w:proofErr w:type="gramEnd"/>
      <w:r w:rsidRPr="0042269F">
        <w:rPr>
          <w:rFonts w:hAnsi="標楷體" w:hint="eastAsia"/>
          <w:color w:val="000000" w:themeColor="text1"/>
        </w:rPr>
        <w:t>。</w:t>
      </w:r>
      <w:r w:rsidRPr="0042269F">
        <w:rPr>
          <w:rFonts w:hAnsi="標楷體"/>
          <w:color w:val="000000" w:themeColor="text1"/>
        </w:rPr>
        <w:t>偵查，不公開之</w:t>
      </w:r>
      <w:r w:rsidRPr="0042269F">
        <w:rPr>
          <w:rFonts w:hAnsi="標楷體" w:hint="eastAsia"/>
          <w:color w:val="000000" w:themeColor="text1"/>
        </w:rPr>
        <w:t>；</w:t>
      </w:r>
      <w:r w:rsidRPr="0042269F">
        <w:rPr>
          <w:rFonts w:hAnsi="標楷體"/>
          <w:color w:val="000000" w:themeColor="text1"/>
        </w:rPr>
        <w:t>檢察官、檢察事務官、司法警察官、司法警察、辯護人、告訴代理人或其他於偵查程序依法執行職務之人員，除依法令或為維護公共利益或保護合法權益有必要者外，偵查中因執行職務知悉之事項，不得公開或揭露予執行法定職務必要範圍以外之人員</w:t>
      </w:r>
      <w:r w:rsidRPr="0042269F">
        <w:rPr>
          <w:rFonts w:hAnsi="標楷體" w:hint="eastAsia"/>
          <w:color w:val="000000" w:themeColor="text1"/>
        </w:rPr>
        <w:t>，刑事訴訟法第245條第1項、第3項定有明文</w:t>
      </w:r>
      <w:r w:rsidRPr="0042269F">
        <w:rPr>
          <w:rFonts w:hAnsi="標楷體"/>
          <w:color w:val="000000" w:themeColor="text1"/>
        </w:rPr>
        <w:t>。</w:t>
      </w:r>
      <w:r w:rsidRPr="0042269F">
        <w:rPr>
          <w:rFonts w:hAnsi="標楷體" w:hint="eastAsia"/>
          <w:color w:val="000000" w:themeColor="text1"/>
        </w:rPr>
        <w:t>貴處上開調閱之案件中，尚有案件仍在調查中，依刑事訴訟法上開規定 亦難給</w:t>
      </w:r>
      <w:proofErr w:type="gramStart"/>
      <w:r w:rsidRPr="0042269F">
        <w:rPr>
          <w:rFonts w:hAnsi="標楷體" w:hint="eastAsia"/>
          <w:color w:val="000000" w:themeColor="text1"/>
        </w:rPr>
        <w:t>閱</w:t>
      </w:r>
      <w:proofErr w:type="gramEnd"/>
      <w:r w:rsidRPr="0042269F">
        <w:rPr>
          <w:rFonts w:hAnsi="標楷體" w:hint="eastAsia"/>
          <w:color w:val="000000" w:themeColor="text1"/>
        </w:rPr>
        <w:t>。3.經查，對犯毒品危害防制條例第10條者施以觀察勒戒或強制戒治，係依據毒品危害防制條例第20條規定，由檢察官聲請法院裁定後為之，</w:t>
      </w:r>
      <w:proofErr w:type="gramStart"/>
      <w:r w:rsidRPr="0042269F">
        <w:rPr>
          <w:rFonts w:hAnsi="標楷體" w:hint="eastAsia"/>
          <w:color w:val="000000" w:themeColor="text1"/>
        </w:rPr>
        <w:t>均係刑事訴訟</w:t>
      </w:r>
      <w:proofErr w:type="gramEnd"/>
      <w:r w:rsidRPr="0042269F">
        <w:rPr>
          <w:rFonts w:hAnsi="標楷體" w:hint="eastAsia"/>
          <w:color w:val="000000" w:themeColor="text1"/>
        </w:rPr>
        <w:t>個案偵查權之行使，是仍屬司法權行使之</w:t>
      </w:r>
      <w:proofErr w:type="gramStart"/>
      <w:r w:rsidRPr="0042269F">
        <w:rPr>
          <w:rFonts w:hAnsi="標楷體" w:hint="eastAsia"/>
          <w:color w:val="000000" w:themeColor="text1"/>
        </w:rPr>
        <w:t>乙環</w:t>
      </w:r>
      <w:r w:rsidR="008C2779" w:rsidRPr="0042269F">
        <w:rPr>
          <w:rFonts w:ascii="新細明體" w:eastAsia="新細明體" w:hAnsi="新細明體" w:hint="eastAsia"/>
          <w:color w:val="000000" w:themeColor="text1"/>
        </w:rPr>
        <w:t>，</w:t>
      </w:r>
      <w:r w:rsidRPr="0042269F">
        <w:rPr>
          <w:rFonts w:hAnsi="標楷體" w:hint="eastAsia"/>
          <w:color w:val="000000" w:themeColor="text1"/>
        </w:rPr>
        <w:t>參諸釋</w:t>
      </w:r>
      <w:proofErr w:type="gramEnd"/>
      <w:r w:rsidRPr="0042269F">
        <w:rPr>
          <w:rFonts w:hAnsi="標楷體" w:hint="eastAsia"/>
          <w:color w:val="000000" w:themeColor="text1"/>
        </w:rPr>
        <w:t>字第325號解釋，此項司法權之行使，亦非行政機關之行政處分行使調查權之規定，於法自非有據，是則，上開</w:t>
      </w:r>
      <w:proofErr w:type="gramStart"/>
      <w:r w:rsidRPr="0042269F">
        <w:rPr>
          <w:rFonts w:hAnsi="標楷體" w:hint="eastAsia"/>
          <w:color w:val="000000" w:themeColor="text1"/>
        </w:rPr>
        <w:t>卷宗均礙難</w:t>
      </w:r>
      <w:proofErr w:type="gramEnd"/>
      <w:r w:rsidRPr="0042269F">
        <w:rPr>
          <w:rFonts w:hAnsi="標楷體" w:hint="eastAsia"/>
          <w:color w:val="000000" w:themeColor="text1"/>
        </w:rPr>
        <w:t>給閱」云云，</w:t>
      </w:r>
      <w:proofErr w:type="gramStart"/>
      <w:r w:rsidRPr="0042269F">
        <w:rPr>
          <w:rFonts w:hAnsi="標楷體" w:hint="eastAsia"/>
          <w:color w:val="000000" w:themeColor="text1"/>
        </w:rPr>
        <w:t>從而，臺灣臺</w:t>
      </w:r>
      <w:proofErr w:type="gramEnd"/>
      <w:r w:rsidRPr="0042269F">
        <w:rPr>
          <w:rFonts w:hAnsi="標楷體" w:hint="eastAsia"/>
          <w:color w:val="000000" w:themeColor="text1"/>
        </w:rPr>
        <w:t>中地方法院檢察署以本次所調閱刑事案件係屬司法刑事訴訟制度個案，並非行政命令，且以部分案件尚在偵查為由，拒絕本院行使調查權</w:t>
      </w:r>
      <w:r w:rsidR="00E91C0D" w:rsidRPr="0042269F">
        <w:rPr>
          <w:rFonts w:hAnsi="標楷體" w:hint="eastAsia"/>
          <w:color w:val="000000" w:themeColor="text1"/>
        </w:rPr>
        <w:t>等由，惟</w:t>
      </w:r>
      <w:proofErr w:type="gramStart"/>
      <w:r w:rsidR="00E91C0D" w:rsidRPr="0042269F">
        <w:rPr>
          <w:rFonts w:hAnsi="標楷體" w:hint="eastAsia"/>
          <w:color w:val="000000" w:themeColor="text1"/>
        </w:rPr>
        <w:t>該署似應</w:t>
      </w:r>
      <w:proofErr w:type="gramEnd"/>
      <w:r w:rsidR="00E91C0D" w:rsidRPr="0042269F">
        <w:rPr>
          <w:rFonts w:hAnsi="標楷體" w:hint="eastAsia"/>
          <w:color w:val="000000" w:themeColor="text1"/>
        </w:rPr>
        <w:t>先行詳查所調閱案件何者尚在偵查階段，再為查復，</w:t>
      </w:r>
      <w:proofErr w:type="gramStart"/>
      <w:r w:rsidR="006249C5" w:rsidRPr="0042269F">
        <w:rPr>
          <w:rFonts w:hAnsi="標楷體" w:hint="eastAsia"/>
          <w:color w:val="000000" w:themeColor="text1"/>
        </w:rPr>
        <w:t>較為</w:t>
      </w:r>
      <w:r w:rsidR="00E91C0D" w:rsidRPr="0042269F">
        <w:rPr>
          <w:rFonts w:hAnsi="標楷體" w:hint="eastAsia"/>
          <w:color w:val="000000" w:themeColor="text1"/>
        </w:rPr>
        <w:t>允洽</w:t>
      </w:r>
      <w:proofErr w:type="gramEnd"/>
      <w:r w:rsidRPr="0042269F">
        <w:rPr>
          <w:rFonts w:hAnsi="標楷體" w:hint="eastAsia"/>
          <w:color w:val="000000" w:themeColor="text1"/>
        </w:rPr>
        <w:t>。</w:t>
      </w:r>
    </w:p>
    <w:p w:rsidR="002620FF" w:rsidRPr="0042269F" w:rsidRDefault="00E91C0D" w:rsidP="002620FF">
      <w:pPr>
        <w:pStyle w:val="1"/>
        <w:numPr>
          <w:ilvl w:val="2"/>
          <w:numId w:val="6"/>
        </w:numPr>
        <w:rPr>
          <w:rFonts w:hAnsi="標楷體"/>
          <w:b/>
          <w:color w:val="000000" w:themeColor="text1"/>
        </w:rPr>
      </w:pPr>
      <w:r w:rsidRPr="0042269F">
        <w:rPr>
          <w:rFonts w:hAnsi="標楷體" w:hint="eastAsia"/>
          <w:b/>
          <w:color w:val="000000" w:themeColor="text1"/>
        </w:rPr>
        <w:t>本院</w:t>
      </w:r>
      <w:r w:rsidR="002620FF" w:rsidRPr="0042269F">
        <w:rPr>
          <w:rFonts w:hAnsi="標楷體" w:hint="eastAsia"/>
          <w:b/>
          <w:color w:val="000000" w:themeColor="text1"/>
        </w:rPr>
        <w:t>為尊重偵查不公開原則，以保障檢察官偵查案件時之遂行，</w:t>
      </w:r>
      <w:proofErr w:type="gramStart"/>
      <w:r w:rsidRPr="0042269F">
        <w:rPr>
          <w:rFonts w:hAnsi="標楷體" w:hint="eastAsia"/>
          <w:b/>
          <w:color w:val="000000" w:themeColor="text1"/>
        </w:rPr>
        <w:t>固</w:t>
      </w:r>
      <w:r w:rsidR="002620FF" w:rsidRPr="0042269F">
        <w:rPr>
          <w:rFonts w:hAnsi="標楷體" w:hint="eastAsia"/>
          <w:b/>
          <w:color w:val="000000" w:themeColor="text1"/>
        </w:rPr>
        <w:t>得暫不</w:t>
      </w:r>
      <w:proofErr w:type="gramEnd"/>
      <w:r w:rsidR="002620FF" w:rsidRPr="0042269F">
        <w:rPr>
          <w:rFonts w:hAnsi="標楷體" w:hint="eastAsia"/>
          <w:b/>
          <w:color w:val="000000" w:themeColor="text1"/>
        </w:rPr>
        <w:t>調查。</w:t>
      </w:r>
      <w:proofErr w:type="gramStart"/>
      <w:r w:rsidR="002620FF" w:rsidRPr="0042269F">
        <w:rPr>
          <w:rFonts w:hAnsi="標楷體" w:hint="eastAsia"/>
          <w:b/>
          <w:color w:val="000000" w:themeColor="text1"/>
        </w:rPr>
        <w:t>惟</w:t>
      </w:r>
      <w:proofErr w:type="gramEnd"/>
      <w:r w:rsidR="002620FF" w:rsidRPr="0042269F">
        <w:rPr>
          <w:rFonts w:hAnsi="標楷體" w:hint="eastAsia"/>
          <w:b/>
          <w:color w:val="000000" w:themeColor="text1"/>
        </w:rPr>
        <w:t>臺灣</w:t>
      </w:r>
      <w:proofErr w:type="gramStart"/>
      <w:r w:rsidR="00EB0E3A" w:rsidRPr="0042269F">
        <w:rPr>
          <w:rFonts w:hAnsi="標楷體" w:hint="eastAsia"/>
          <w:b/>
          <w:color w:val="000000" w:themeColor="text1"/>
        </w:rPr>
        <w:t>臺</w:t>
      </w:r>
      <w:proofErr w:type="gramEnd"/>
      <w:r w:rsidR="00EB0E3A" w:rsidRPr="0042269F">
        <w:rPr>
          <w:rFonts w:hAnsi="標楷體" w:hint="eastAsia"/>
          <w:b/>
          <w:color w:val="000000" w:themeColor="text1"/>
        </w:rPr>
        <w:t>中地方法院</w:t>
      </w:r>
      <w:r w:rsidR="006B78E6" w:rsidRPr="0042269F">
        <w:rPr>
          <w:rFonts w:hAnsi="標楷體" w:hint="eastAsia"/>
          <w:b/>
          <w:color w:val="000000" w:themeColor="text1"/>
        </w:rPr>
        <w:t>檢察署</w:t>
      </w:r>
      <w:r w:rsidR="002620FF" w:rsidRPr="0042269F">
        <w:rPr>
          <w:rFonts w:hAnsi="標楷體" w:hint="eastAsia"/>
          <w:b/>
          <w:color w:val="000000" w:themeColor="text1"/>
        </w:rPr>
        <w:t>除不得以司法案件係屬個案，拒絕本院行使</w:t>
      </w:r>
      <w:r w:rsidR="002620FF" w:rsidRPr="0042269F">
        <w:rPr>
          <w:rFonts w:hAnsi="標楷體" w:hint="eastAsia"/>
          <w:b/>
          <w:color w:val="000000" w:themeColor="text1"/>
        </w:rPr>
        <w:lastRenderedPageBreak/>
        <w:t>調查</w:t>
      </w:r>
      <w:proofErr w:type="gramStart"/>
      <w:r w:rsidR="002620FF" w:rsidRPr="0042269F">
        <w:rPr>
          <w:rFonts w:hAnsi="標楷體" w:hint="eastAsia"/>
          <w:b/>
          <w:color w:val="000000" w:themeColor="text1"/>
        </w:rPr>
        <w:t>權外，其縱</w:t>
      </w:r>
      <w:proofErr w:type="gramEnd"/>
      <w:r w:rsidR="002620FF" w:rsidRPr="0042269F">
        <w:rPr>
          <w:rFonts w:hAnsi="標楷體" w:hint="eastAsia"/>
          <w:b/>
          <w:color w:val="000000" w:themeColor="text1"/>
        </w:rPr>
        <w:t>或有部分案件尚在偵查中，該署就偵查終結時點，仍應提出說明，其一概拒絕本院調卷，顯然背離憲法與監察法明定檢察機關受有被調查之義務，</w:t>
      </w:r>
      <w:r w:rsidR="0026586F" w:rsidRPr="0042269F">
        <w:rPr>
          <w:rFonts w:hAnsi="標楷體" w:hint="eastAsia"/>
          <w:b/>
          <w:color w:val="000000" w:themeColor="text1"/>
        </w:rPr>
        <w:t>有所不當</w:t>
      </w:r>
      <w:r w:rsidR="002620FF" w:rsidRPr="0042269F">
        <w:rPr>
          <w:rFonts w:hAnsi="標楷體" w:hint="eastAsia"/>
          <w:b/>
          <w:color w:val="000000" w:themeColor="text1"/>
        </w:rPr>
        <w:t>。</w:t>
      </w:r>
    </w:p>
    <w:p w:rsidR="0026586F" w:rsidRPr="0042269F" w:rsidRDefault="0026586F" w:rsidP="0026586F">
      <w:pPr>
        <w:pStyle w:val="4"/>
        <w:rPr>
          <w:rFonts w:hAnsi="標楷體"/>
          <w:color w:val="000000" w:themeColor="text1"/>
        </w:rPr>
      </w:pPr>
      <w:r w:rsidRPr="0042269F">
        <w:rPr>
          <w:rFonts w:hAnsi="標楷體" w:hint="eastAsia"/>
          <w:bCs/>
          <w:color w:val="000000" w:themeColor="text1"/>
          <w:szCs w:val="52"/>
        </w:rPr>
        <w:t>本院調查本案期間曾分別向司法院所屬各地方法院</w:t>
      </w:r>
      <w:r w:rsidRPr="0042269F">
        <w:rPr>
          <w:rStyle w:val="aff1"/>
          <w:rFonts w:hAnsi="標楷體"/>
          <w:bCs/>
          <w:color w:val="000000" w:themeColor="text1"/>
          <w:szCs w:val="52"/>
        </w:rPr>
        <w:footnoteReference w:id="6"/>
      </w:r>
      <w:r w:rsidRPr="0042269F">
        <w:rPr>
          <w:rFonts w:hAnsi="標楷體" w:hint="eastAsia"/>
          <w:bCs/>
          <w:color w:val="000000" w:themeColor="text1"/>
          <w:szCs w:val="52"/>
        </w:rPr>
        <w:t>與法務部所屬各地方法院檢察署</w:t>
      </w:r>
      <w:r w:rsidRPr="0042269F">
        <w:rPr>
          <w:rStyle w:val="aff1"/>
          <w:rFonts w:hAnsi="標楷體"/>
          <w:bCs/>
          <w:color w:val="000000" w:themeColor="text1"/>
          <w:szCs w:val="52"/>
        </w:rPr>
        <w:footnoteReference w:id="7"/>
      </w:r>
      <w:r w:rsidRPr="0042269F">
        <w:rPr>
          <w:rFonts w:hAnsi="標楷體" w:hint="eastAsia"/>
          <w:bCs/>
          <w:color w:val="000000" w:themeColor="text1"/>
          <w:szCs w:val="52"/>
        </w:rPr>
        <w:t>調閱相關</w:t>
      </w:r>
      <w:proofErr w:type="gramStart"/>
      <w:r w:rsidRPr="0042269F">
        <w:rPr>
          <w:rFonts w:hAnsi="標楷體" w:hint="eastAsia"/>
          <w:bCs/>
          <w:color w:val="000000" w:themeColor="text1"/>
          <w:szCs w:val="52"/>
        </w:rPr>
        <w:t>偵審卷</w:t>
      </w:r>
      <w:proofErr w:type="gramEnd"/>
      <w:r w:rsidRPr="0042269F">
        <w:rPr>
          <w:rFonts w:hAnsi="標楷體" w:hint="eastAsia"/>
          <w:bCs/>
          <w:color w:val="000000" w:themeColor="text1"/>
          <w:szCs w:val="52"/>
        </w:rPr>
        <w:t>證，除臺灣</w:t>
      </w:r>
      <w:proofErr w:type="gramStart"/>
      <w:r w:rsidRPr="0042269F">
        <w:rPr>
          <w:rFonts w:hAnsi="標楷體" w:hint="eastAsia"/>
          <w:bCs/>
          <w:color w:val="000000" w:themeColor="text1"/>
          <w:szCs w:val="52"/>
        </w:rPr>
        <w:t>臺</w:t>
      </w:r>
      <w:proofErr w:type="gramEnd"/>
      <w:r w:rsidRPr="0042269F">
        <w:rPr>
          <w:rFonts w:hAnsi="標楷體" w:hint="eastAsia"/>
          <w:bCs/>
          <w:color w:val="000000" w:themeColor="text1"/>
          <w:szCs w:val="52"/>
        </w:rPr>
        <w:t>中地方法院檢察署外，並</w:t>
      </w:r>
      <w:proofErr w:type="gramStart"/>
      <w:r w:rsidRPr="0042269F">
        <w:rPr>
          <w:rFonts w:hAnsi="標楷體" w:hint="eastAsia"/>
          <w:bCs/>
          <w:color w:val="000000" w:themeColor="text1"/>
          <w:szCs w:val="52"/>
        </w:rPr>
        <w:t>無任何院檢</w:t>
      </w:r>
      <w:proofErr w:type="gramEnd"/>
      <w:r w:rsidRPr="0042269F">
        <w:rPr>
          <w:rFonts w:hAnsi="標楷體" w:hint="eastAsia"/>
          <w:bCs/>
          <w:color w:val="000000" w:themeColor="text1"/>
          <w:szCs w:val="52"/>
        </w:rPr>
        <w:t>機關拒絕本院行使調查權，</w:t>
      </w:r>
      <w:proofErr w:type="gramStart"/>
      <w:r w:rsidRPr="0042269F">
        <w:rPr>
          <w:rFonts w:hAnsi="標楷體" w:hint="eastAsia"/>
          <w:bCs/>
          <w:color w:val="000000" w:themeColor="text1"/>
          <w:szCs w:val="52"/>
        </w:rPr>
        <w:t>先予敘明</w:t>
      </w:r>
      <w:proofErr w:type="gramEnd"/>
      <w:r w:rsidRPr="0042269F">
        <w:rPr>
          <w:rFonts w:hAnsi="標楷體" w:hint="eastAsia"/>
          <w:bCs/>
          <w:color w:val="000000" w:themeColor="text1"/>
          <w:szCs w:val="52"/>
        </w:rPr>
        <w:t>。</w:t>
      </w:r>
    </w:p>
    <w:p w:rsidR="00EC1B0D" w:rsidRPr="0042269F" w:rsidRDefault="002620FF" w:rsidP="00EC1B0D">
      <w:pPr>
        <w:pStyle w:val="4"/>
        <w:numPr>
          <w:ilvl w:val="0"/>
          <w:numId w:val="0"/>
        </w:numPr>
        <w:ind w:left="1701"/>
        <w:rPr>
          <w:rFonts w:hAnsi="標楷體"/>
          <w:color w:val="000000" w:themeColor="text1"/>
        </w:rPr>
      </w:pPr>
      <w:r w:rsidRPr="0042269F">
        <w:rPr>
          <w:rFonts w:hAnsi="標楷體" w:hint="eastAsia"/>
          <w:color w:val="000000" w:themeColor="text1"/>
        </w:rPr>
        <w:t>臺灣</w:t>
      </w:r>
      <w:proofErr w:type="gramStart"/>
      <w:r w:rsidRPr="0042269F">
        <w:rPr>
          <w:rFonts w:hAnsi="標楷體" w:hint="eastAsia"/>
          <w:color w:val="000000" w:themeColor="text1"/>
        </w:rPr>
        <w:t>臺</w:t>
      </w:r>
      <w:proofErr w:type="gramEnd"/>
      <w:r w:rsidRPr="0042269F">
        <w:rPr>
          <w:rFonts w:hAnsi="標楷體" w:hint="eastAsia"/>
          <w:color w:val="000000" w:themeColor="text1"/>
        </w:rPr>
        <w:t>中地方法院檢察署引用司法院釋字第175號、釋字第235號與釋字第392號解釋，主張五權</w:t>
      </w:r>
      <w:proofErr w:type="gramStart"/>
      <w:r w:rsidRPr="0042269F">
        <w:rPr>
          <w:rFonts w:hAnsi="標楷體" w:hint="eastAsia"/>
          <w:color w:val="000000" w:themeColor="text1"/>
        </w:rPr>
        <w:t>平等相維</w:t>
      </w:r>
      <w:proofErr w:type="gramEnd"/>
      <w:r w:rsidRPr="0042269F">
        <w:rPr>
          <w:rFonts w:hAnsi="標楷體" w:hint="eastAsia"/>
          <w:color w:val="000000" w:themeColor="text1"/>
        </w:rPr>
        <w:t>，進而稱檢察權係屬廣義司法權，本院應予尊重云云，</w:t>
      </w:r>
      <w:proofErr w:type="gramStart"/>
      <w:r w:rsidRPr="0042269F">
        <w:rPr>
          <w:rFonts w:hAnsi="標楷體" w:hint="eastAsia"/>
          <w:color w:val="000000" w:themeColor="text1"/>
        </w:rPr>
        <w:t>惟查司法</w:t>
      </w:r>
      <w:proofErr w:type="gramEnd"/>
      <w:r w:rsidRPr="0042269F">
        <w:rPr>
          <w:rFonts w:hAnsi="標楷體" w:hint="eastAsia"/>
          <w:color w:val="000000" w:themeColor="text1"/>
        </w:rPr>
        <w:t>院釋字第175號解釋稱，司法院</w:t>
      </w:r>
      <w:r w:rsidRPr="0042269F">
        <w:rPr>
          <w:rFonts w:hAnsi="標楷體"/>
          <w:color w:val="000000" w:themeColor="text1"/>
        </w:rPr>
        <w:t>為國家最高司法機關，基於五權分治</w:t>
      </w:r>
      <w:proofErr w:type="gramStart"/>
      <w:r w:rsidRPr="0042269F">
        <w:rPr>
          <w:rFonts w:hAnsi="標楷體"/>
          <w:color w:val="000000" w:themeColor="text1"/>
        </w:rPr>
        <w:t>彼此相維之</w:t>
      </w:r>
      <w:proofErr w:type="gramEnd"/>
      <w:r w:rsidRPr="0042269F">
        <w:rPr>
          <w:rFonts w:hAnsi="標楷體"/>
          <w:color w:val="000000" w:themeColor="text1"/>
        </w:rPr>
        <w:t>憲政體制，就其所掌有關司法機關之組織及司法權行使之事項，得向立法院提出法律案</w:t>
      </w:r>
      <w:r w:rsidRPr="0042269F">
        <w:rPr>
          <w:rFonts w:hAnsi="標楷體" w:hint="eastAsia"/>
          <w:color w:val="000000" w:themeColor="text1"/>
        </w:rPr>
        <w:t>等語，係在處理司法權與立法權之問題，給予司法院法律案提案權；司法院釋字第235號解釋則稱，</w:t>
      </w:r>
      <w:r w:rsidRPr="0042269F">
        <w:rPr>
          <w:rFonts w:hAnsi="標楷體"/>
          <w:color w:val="000000" w:themeColor="text1"/>
        </w:rPr>
        <w:t>中華民國憲法</w:t>
      </w:r>
      <w:proofErr w:type="gramStart"/>
      <w:r w:rsidRPr="0042269F">
        <w:rPr>
          <w:rFonts w:hAnsi="標楷體"/>
          <w:color w:val="000000" w:themeColor="text1"/>
        </w:rPr>
        <w:t>採</w:t>
      </w:r>
      <w:proofErr w:type="gramEnd"/>
      <w:r w:rsidRPr="0042269F">
        <w:rPr>
          <w:rFonts w:hAnsi="標楷體"/>
          <w:color w:val="000000" w:themeColor="text1"/>
        </w:rPr>
        <w:t>五權分立制度，審計權乃屬監察權之範圍，應由中央立法並執行之，</w:t>
      </w:r>
      <w:proofErr w:type="gramStart"/>
      <w:r w:rsidRPr="0042269F">
        <w:rPr>
          <w:rFonts w:hAnsi="標楷體"/>
          <w:color w:val="000000" w:themeColor="text1"/>
        </w:rPr>
        <w:t>此觀憲法</w:t>
      </w:r>
      <w:proofErr w:type="gramEnd"/>
      <w:r w:rsidRPr="0042269F">
        <w:rPr>
          <w:rFonts w:hAnsi="標楷體"/>
          <w:color w:val="000000" w:themeColor="text1"/>
        </w:rPr>
        <w:t>第</w:t>
      </w:r>
      <w:r w:rsidRPr="0042269F">
        <w:rPr>
          <w:rFonts w:hAnsi="標楷體" w:hint="eastAsia"/>
          <w:color w:val="000000" w:themeColor="text1"/>
        </w:rPr>
        <w:t>90</w:t>
      </w:r>
      <w:r w:rsidRPr="0042269F">
        <w:rPr>
          <w:rFonts w:hAnsi="標楷體"/>
          <w:color w:val="000000" w:themeColor="text1"/>
        </w:rPr>
        <w:t>條及第</w:t>
      </w:r>
      <w:r w:rsidRPr="0042269F">
        <w:rPr>
          <w:rFonts w:hAnsi="標楷體" w:hint="eastAsia"/>
          <w:color w:val="000000" w:themeColor="text1"/>
        </w:rPr>
        <w:t>107</w:t>
      </w:r>
      <w:r w:rsidRPr="0042269F">
        <w:rPr>
          <w:rFonts w:hAnsi="標楷體"/>
          <w:color w:val="000000" w:themeColor="text1"/>
        </w:rPr>
        <w:t>條第</w:t>
      </w:r>
      <w:r w:rsidRPr="0042269F">
        <w:rPr>
          <w:rFonts w:hAnsi="標楷體" w:hint="eastAsia"/>
          <w:color w:val="000000" w:themeColor="text1"/>
        </w:rPr>
        <w:t>13</w:t>
      </w:r>
      <w:r w:rsidRPr="0042269F">
        <w:rPr>
          <w:rFonts w:hAnsi="標楷體"/>
          <w:color w:val="000000" w:themeColor="text1"/>
        </w:rPr>
        <w:t>款規定自明。隸屬於監察院之</w:t>
      </w:r>
      <w:proofErr w:type="gramStart"/>
      <w:r w:rsidRPr="0042269F">
        <w:rPr>
          <w:rFonts w:hAnsi="標楷體"/>
          <w:color w:val="000000" w:themeColor="text1"/>
        </w:rPr>
        <w:t>審計部於省</w:t>
      </w:r>
      <w:proofErr w:type="gramEnd"/>
      <w:r w:rsidRPr="0042269F">
        <w:rPr>
          <w:rFonts w:hAnsi="標楷體"/>
          <w:color w:val="000000" w:themeColor="text1"/>
        </w:rPr>
        <w:t>（市）設審計處，並依審計法第5條辦理各該省（市）政府及其所屬機關財務之審計，與憲法並無牴觸</w:t>
      </w:r>
      <w:r w:rsidRPr="0042269F">
        <w:rPr>
          <w:rFonts w:hAnsi="標楷體" w:hint="eastAsia"/>
          <w:color w:val="000000" w:themeColor="text1"/>
        </w:rPr>
        <w:t>等語</w:t>
      </w:r>
      <w:r w:rsidRPr="0042269F">
        <w:rPr>
          <w:rFonts w:hAnsi="標楷體"/>
          <w:color w:val="000000" w:themeColor="text1"/>
        </w:rPr>
        <w:t>。</w:t>
      </w:r>
      <w:r w:rsidRPr="0042269F">
        <w:rPr>
          <w:rFonts w:hAnsi="標楷體" w:hint="eastAsia"/>
          <w:color w:val="000000" w:themeColor="text1"/>
        </w:rPr>
        <w:t>係為解決中央與地方機關審計權之爭議。至於釋字第392號解</w:t>
      </w:r>
      <w:r w:rsidRPr="0042269F">
        <w:rPr>
          <w:rFonts w:hAnsi="標楷體" w:hint="eastAsia"/>
          <w:color w:val="000000" w:themeColor="text1"/>
        </w:rPr>
        <w:lastRenderedPageBreak/>
        <w:t>釋則稱，</w:t>
      </w:r>
      <w:r w:rsidRPr="0042269F">
        <w:rPr>
          <w:rFonts w:hAnsi="標楷體"/>
          <w:color w:val="000000" w:themeColor="text1"/>
        </w:rPr>
        <w:t>刑事司法之裁判，係以實現國家刑罰權為目的之司法程序，其審判乃以追訴而開始，追訴必須實施偵查，</w:t>
      </w:r>
      <w:proofErr w:type="gramStart"/>
      <w:r w:rsidRPr="0042269F">
        <w:rPr>
          <w:rFonts w:hAnsi="標楷體"/>
          <w:color w:val="000000" w:themeColor="text1"/>
        </w:rPr>
        <w:t>迨</w:t>
      </w:r>
      <w:proofErr w:type="gramEnd"/>
      <w:r w:rsidRPr="0042269F">
        <w:rPr>
          <w:rFonts w:hAnsi="標楷體"/>
          <w:color w:val="000000" w:themeColor="text1"/>
        </w:rPr>
        <w:t>判決確定，尚須執行始能實現裁判之內容。是以此等</w:t>
      </w:r>
      <w:proofErr w:type="gramStart"/>
      <w:r w:rsidRPr="0042269F">
        <w:rPr>
          <w:rFonts w:hAnsi="標楷體"/>
          <w:color w:val="000000" w:themeColor="text1"/>
        </w:rPr>
        <w:t>程序悉與審判</w:t>
      </w:r>
      <w:proofErr w:type="gramEnd"/>
      <w:r w:rsidRPr="0042269F">
        <w:rPr>
          <w:rFonts w:hAnsi="標楷體"/>
          <w:color w:val="000000" w:themeColor="text1"/>
        </w:rPr>
        <w:t>、處罰具有不可分離之關係，亦即偵查、訴追、審判、刑之</w:t>
      </w:r>
      <w:proofErr w:type="gramStart"/>
      <w:r w:rsidRPr="0042269F">
        <w:rPr>
          <w:rFonts w:hAnsi="標楷體"/>
          <w:color w:val="000000" w:themeColor="text1"/>
        </w:rPr>
        <w:t>執行均屬刑事</w:t>
      </w:r>
      <w:proofErr w:type="gramEnd"/>
      <w:r w:rsidRPr="0042269F">
        <w:rPr>
          <w:rFonts w:hAnsi="標楷體"/>
          <w:color w:val="000000" w:themeColor="text1"/>
        </w:rPr>
        <w:t>司法之過程，其間代表國家從事「偵查」「訴追」「執行」之檢察機關，其所行使之職權，目的既亦在達成刑事司法之任務，則在此</w:t>
      </w:r>
      <w:proofErr w:type="gramStart"/>
      <w:r w:rsidRPr="0042269F">
        <w:rPr>
          <w:rFonts w:hAnsi="標楷體"/>
          <w:color w:val="000000" w:themeColor="text1"/>
        </w:rPr>
        <w:t>一</w:t>
      </w:r>
      <w:proofErr w:type="gramEnd"/>
      <w:r w:rsidRPr="0042269F">
        <w:rPr>
          <w:rFonts w:hAnsi="標楷體"/>
          <w:color w:val="000000" w:themeColor="text1"/>
        </w:rPr>
        <w:t>範圍內之國家作用，當應屬廣義司法之</w:t>
      </w:r>
      <w:proofErr w:type="gramStart"/>
      <w:r w:rsidRPr="0042269F">
        <w:rPr>
          <w:rFonts w:hAnsi="標楷體" w:hint="eastAsia"/>
          <w:color w:val="000000" w:themeColor="text1"/>
        </w:rPr>
        <w:t>一</w:t>
      </w:r>
      <w:proofErr w:type="gramEnd"/>
      <w:r w:rsidRPr="0042269F">
        <w:rPr>
          <w:rFonts w:hAnsi="標楷體"/>
          <w:color w:val="000000" w:themeColor="text1"/>
        </w:rPr>
        <w:t>。憲法第8條第1項所規定之「司法機關」，自非</w:t>
      </w:r>
      <w:proofErr w:type="gramStart"/>
      <w:r w:rsidRPr="0042269F">
        <w:rPr>
          <w:rFonts w:hAnsi="標楷體"/>
          <w:color w:val="000000" w:themeColor="text1"/>
        </w:rPr>
        <w:t>僅指同法</w:t>
      </w:r>
      <w:proofErr w:type="gramEnd"/>
      <w:r w:rsidRPr="0042269F">
        <w:rPr>
          <w:rFonts w:hAnsi="標楷體"/>
          <w:color w:val="000000" w:themeColor="text1"/>
        </w:rPr>
        <w:t>第77條規定之司法機關而言，而係包括檢察機關在內之廣義司法機關</w:t>
      </w:r>
      <w:r w:rsidRPr="0042269F">
        <w:rPr>
          <w:rFonts w:hAnsi="標楷體" w:hint="eastAsia"/>
          <w:color w:val="000000" w:themeColor="text1"/>
        </w:rPr>
        <w:t>等語，乃係為解決非經司法或警察機關依法定程序，不得逮捕拘禁之有關司法機關所指之疑義</w:t>
      </w:r>
      <w:r w:rsidR="00AD23D1" w:rsidRPr="0042269F">
        <w:rPr>
          <w:rFonts w:hAnsi="標楷體" w:hint="eastAsia"/>
          <w:color w:val="000000" w:themeColor="text1"/>
        </w:rPr>
        <w:t>。</w:t>
      </w:r>
      <w:proofErr w:type="gramStart"/>
      <w:r w:rsidRPr="0042269F">
        <w:rPr>
          <w:rFonts w:hAnsi="標楷體" w:hint="eastAsia"/>
          <w:color w:val="000000" w:themeColor="text1"/>
        </w:rPr>
        <w:t>縱上開</w:t>
      </w:r>
      <w:proofErr w:type="gramEnd"/>
      <w:r w:rsidRPr="0042269F">
        <w:rPr>
          <w:rFonts w:hAnsi="標楷體" w:hint="eastAsia"/>
          <w:color w:val="000000" w:themeColor="text1"/>
        </w:rPr>
        <w:t>各司法院大法官解釋相聯繫，亦無從推論可因刑事案件拒絕本院行使調查權，其法律邏輯何在？法學方法與解釋之基礎何在？</w:t>
      </w:r>
      <w:r w:rsidR="00AD23D1" w:rsidRPr="0042269F">
        <w:rPr>
          <w:rFonts w:hAnsi="標楷體" w:hint="eastAsia"/>
          <w:color w:val="000000" w:themeColor="text1"/>
        </w:rPr>
        <w:t>實難理解</w:t>
      </w:r>
      <w:r w:rsidRPr="0042269F">
        <w:rPr>
          <w:rFonts w:hAnsi="標楷體"/>
          <w:color w:val="000000" w:themeColor="text1"/>
        </w:rPr>
        <w:t>。</w:t>
      </w:r>
      <w:proofErr w:type="gramStart"/>
      <w:r w:rsidRPr="0042269F">
        <w:rPr>
          <w:rFonts w:hAnsi="標楷體" w:hint="eastAsia"/>
          <w:color w:val="000000" w:themeColor="text1"/>
        </w:rPr>
        <w:t>復按該署稱</w:t>
      </w:r>
      <w:proofErr w:type="gramEnd"/>
      <w:r w:rsidRPr="0042269F">
        <w:rPr>
          <w:rFonts w:hAnsi="標楷體" w:hint="eastAsia"/>
          <w:color w:val="000000" w:themeColor="text1"/>
        </w:rPr>
        <w:t>：「憲法第95條明文規定監察院為行使監察權，得向行政院及其各部會</w:t>
      </w:r>
      <w:proofErr w:type="gramStart"/>
      <w:r w:rsidRPr="0042269F">
        <w:rPr>
          <w:rFonts w:hAnsi="標楷體" w:hint="eastAsia"/>
          <w:color w:val="000000" w:themeColor="text1"/>
        </w:rPr>
        <w:t>調閱所發布</w:t>
      </w:r>
      <w:proofErr w:type="gramEnd"/>
      <w:r w:rsidRPr="0042269F">
        <w:rPr>
          <w:rFonts w:hAnsi="標楷體" w:hint="eastAsia"/>
          <w:color w:val="000000" w:themeColor="text1"/>
        </w:rPr>
        <w:t>之命令及各種有關文件，然貴處</w:t>
      </w:r>
      <w:proofErr w:type="gramStart"/>
      <w:r w:rsidRPr="0042269F">
        <w:rPr>
          <w:rFonts w:hAnsi="標楷體" w:hint="eastAsia"/>
          <w:color w:val="000000" w:themeColor="text1"/>
        </w:rPr>
        <w:t>向本署調取之卷證</w:t>
      </w:r>
      <w:proofErr w:type="gramEnd"/>
      <w:r w:rsidRPr="0042269F">
        <w:rPr>
          <w:rFonts w:hAnsi="標楷體" w:hint="eastAsia"/>
          <w:color w:val="000000" w:themeColor="text1"/>
        </w:rPr>
        <w:t>資料，</w:t>
      </w:r>
      <w:proofErr w:type="gramStart"/>
      <w:r w:rsidRPr="0042269F">
        <w:rPr>
          <w:rFonts w:hAnsi="標楷體" w:hint="eastAsia"/>
          <w:color w:val="000000" w:themeColor="text1"/>
        </w:rPr>
        <w:t>核屬司法</w:t>
      </w:r>
      <w:proofErr w:type="gramEnd"/>
      <w:r w:rsidRPr="0042269F">
        <w:rPr>
          <w:rFonts w:hAnsi="標楷體" w:hint="eastAsia"/>
          <w:color w:val="000000" w:themeColor="text1"/>
        </w:rPr>
        <w:t>刑事訴訟制度個案，而非行政命令。」顯認為本院行使調查權僅能調閱行政命令</w:t>
      </w:r>
      <w:r w:rsidR="00AD23D1" w:rsidRPr="0042269F">
        <w:rPr>
          <w:rFonts w:hAnsi="標楷體" w:hint="eastAsia"/>
          <w:color w:val="000000" w:themeColor="text1"/>
        </w:rPr>
        <w:t>云云</w:t>
      </w:r>
      <w:r w:rsidRPr="0042269F">
        <w:rPr>
          <w:rFonts w:hAnsi="標楷體" w:hint="eastAsia"/>
          <w:color w:val="000000" w:themeColor="text1"/>
        </w:rPr>
        <w:t>，</w:t>
      </w:r>
      <w:r w:rsidR="00AD23D1" w:rsidRPr="0042269F">
        <w:rPr>
          <w:rFonts w:hAnsi="標楷體" w:hint="eastAsia"/>
          <w:color w:val="000000" w:themeColor="text1"/>
        </w:rPr>
        <w:t>然</w:t>
      </w:r>
      <w:r w:rsidRPr="0042269F">
        <w:rPr>
          <w:rFonts w:hAnsi="標楷體" w:hint="eastAsia"/>
          <w:color w:val="000000" w:themeColor="text1"/>
        </w:rPr>
        <w:t>依據首揭所示憲法賦予本院調查權</w:t>
      </w:r>
      <w:r w:rsidR="00AD23D1" w:rsidRPr="0042269F">
        <w:rPr>
          <w:rFonts w:hAnsi="標楷體" w:hint="eastAsia"/>
          <w:color w:val="000000" w:themeColor="text1"/>
        </w:rPr>
        <w:t>，</w:t>
      </w:r>
      <w:r w:rsidRPr="0042269F">
        <w:rPr>
          <w:rFonts w:hAnsi="標楷體" w:hint="eastAsia"/>
          <w:color w:val="000000" w:themeColor="text1"/>
        </w:rPr>
        <w:t>乃基於糾正、糾舉與彈劾之法律基礎，</w:t>
      </w:r>
      <w:r w:rsidR="00AD23D1" w:rsidRPr="0042269F">
        <w:rPr>
          <w:rFonts w:hAnsi="標楷體" w:hint="eastAsia"/>
          <w:color w:val="000000" w:themeColor="text1"/>
        </w:rPr>
        <w:t>從何推論本院只能調閱行政命令而已</w:t>
      </w:r>
      <w:r w:rsidRPr="0042269F">
        <w:rPr>
          <w:rFonts w:hAnsi="標楷體" w:hint="eastAsia"/>
          <w:color w:val="000000" w:themeColor="text1"/>
        </w:rPr>
        <w:t>。</w:t>
      </w:r>
      <w:r w:rsidR="00EC1B0D" w:rsidRPr="0042269F">
        <w:rPr>
          <w:rFonts w:hAnsi="標楷體" w:hint="eastAsia"/>
          <w:color w:val="000000" w:themeColor="text1"/>
        </w:rPr>
        <w:t>另查法務部90年2月6日法九十檢字第000260號函稱，為尊重監察院調查權之行使，各檢察機關檢察官對監察院監察委員因調查案件有必要詢問偵查中羈押之被告，不宜拒絕監察委員詢問，監察委員詢問羈押禁見時被告時，不應監看、錄音或錄影等語，基於舉重以明輕之法</w:t>
      </w:r>
      <w:r w:rsidR="00EC1B0D" w:rsidRPr="0042269F">
        <w:rPr>
          <w:rFonts w:hAnsi="標楷體" w:hint="eastAsia"/>
          <w:color w:val="000000" w:themeColor="text1"/>
        </w:rPr>
        <w:lastRenderedPageBreak/>
        <w:t>理，本院對於偵查中羈押禁見被告，</w:t>
      </w:r>
      <w:proofErr w:type="gramStart"/>
      <w:r w:rsidR="00EC1B0D" w:rsidRPr="0042269F">
        <w:rPr>
          <w:rFonts w:hAnsi="標楷體" w:hint="eastAsia"/>
          <w:color w:val="000000" w:themeColor="text1"/>
        </w:rPr>
        <w:t>均得行使</w:t>
      </w:r>
      <w:proofErr w:type="gramEnd"/>
      <w:r w:rsidR="00EC1B0D" w:rsidRPr="0042269F">
        <w:rPr>
          <w:rFonts w:hAnsi="標楷體" w:hint="eastAsia"/>
          <w:color w:val="000000" w:themeColor="text1"/>
        </w:rPr>
        <w:t>調查權，就</w:t>
      </w:r>
      <w:proofErr w:type="gramStart"/>
      <w:r w:rsidR="00EC1B0D" w:rsidRPr="0042269F">
        <w:rPr>
          <w:rFonts w:hAnsi="標楷體" w:hint="eastAsia"/>
          <w:color w:val="000000" w:themeColor="text1"/>
        </w:rPr>
        <w:t>調閱非偵查</w:t>
      </w:r>
      <w:proofErr w:type="gramEnd"/>
      <w:r w:rsidR="00EC1B0D" w:rsidRPr="0042269F">
        <w:rPr>
          <w:rFonts w:hAnsi="標楷體" w:hint="eastAsia"/>
          <w:color w:val="000000" w:themeColor="text1"/>
        </w:rPr>
        <w:t>中之</w:t>
      </w:r>
      <w:proofErr w:type="gramStart"/>
      <w:r w:rsidR="00EC1B0D" w:rsidRPr="0042269F">
        <w:rPr>
          <w:rFonts w:hAnsi="標楷體" w:hint="eastAsia"/>
          <w:color w:val="000000" w:themeColor="text1"/>
        </w:rPr>
        <w:t>個</w:t>
      </w:r>
      <w:proofErr w:type="gramEnd"/>
      <w:r w:rsidR="00EC1B0D" w:rsidRPr="0042269F">
        <w:rPr>
          <w:rFonts w:hAnsi="標楷體" w:hint="eastAsia"/>
          <w:color w:val="000000" w:themeColor="text1"/>
        </w:rPr>
        <w:t>案卷證，依法當無任何限制</w:t>
      </w:r>
      <w:r w:rsidR="006E21C7" w:rsidRPr="0042269F">
        <w:rPr>
          <w:rFonts w:ascii="新細明體" w:eastAsia="新細明體" w:hAnsi="新細明體" w:hint="eastAsia"/>
          <w:color w:val="000000" w:themeColor="text1"/>
        </w:rPr>
        <w:t>，</w:t>
      </w:r>
      <w:r w:rsidR="006E21C7" w:rsidRPr="0042269F">
        <w:rPr>
          <w:rFonts w:hAnsi="標楷體" w:hint="eastAsia"/>
          <w:color w:val="000000" w:themeColor="text1"/>
        </w:rPr>
        <w:t>自不待言</w:t>
      </w:r>
      <w:r w:rsidR="00EC1B0D" w:rsidRPr="0042269F">
        <w:rPr>
          <w:rFonts w:hAnsi="標楷體" w:hint="eastAsia"/>
          <w:color w:val="000000" w:themeColor="text1"/>
        </w:rPr>
        <w:t>。</w:t>
      </w:r>
    </w:p>
    <w:p w:rsidR="002620FF" w:rsidRPr="0042269F" w:rsidRDefault="002620FF" w:rsidP="002620FF">
      <w:pPr>
        <w:pStyle w:val="1"/>
        <w:numPr>
          <w:ilvl w:val="3"/>
          <w:numId w:val="6"/>
        </w:numPr>
        <w:rPr>
          <w:rFonts w:hAnsi="標楷體"/>
          <w:color w:val="000000" w:themeColor="text1"/>
        </w:rPr>
      </w:pPr>
      <w:proofErr w:type="gramStart"/>
      <w:r w:rsidRPr="0042269F">
        <w:rPr>
          <w:rFonts w:hAnsi="標楷體" w:hint="eastAsia"/>
          <w:color w:val="000000" w:themeColor="text1"/>
        </w:rPr>
        <w:t>再者，</w:t>
      </w:r>
      <w:proofErr w:type="gramEnd"/>
      <w:r w:rsidRPr="0042269F">
        <w:rPr>
          <w:rFonts w:hAnsi="標楷體" w:hint="eastAsia"/>
          <w:color w:val="000000" w:themeColor="text1"/>
        </w:rPr>
        <w:t>該</w:t>
      </w:r>
      <w:proofErr w:type="gramStart"/>
      <w:r w:rsidRPr="0042269F">
        <w:rPr>
          <w:rFonts w:hAnsi="標楷體" w:hint="eastAsia"/>
          <w:color w:val="000000" w:themeColor="text1"/>
        </w:rPr>
        <w:t>署稱</w:t>
      </w:r>
      <w:proofErr w:type="gramEnd"/>
      <w:r w:rsidRPr="0042269F">
        <w:rPr>
          <w:rFonts w:hAnsi="標楷體" w:hint="eastAsia"/>
          <w:color w:val="000000" w:themeColor="text1"/>
        </w:rPr>
        <w:t>：「上開調閱之案件中，尚有案件仍在調查中，依刑事訴訟法上開規定</w:t>
      </w:r>
      <w:r w:rsidR="00AD23D1" w:rsidRPr="0042269F">
        <w:rPr>
          <w:rFonts w:hAnsi="標楷體" w:hint="eastAsia"/>
          <w:color w:val="000000" w:themeColor="text1"/>
        </w:rPr>
        <w:t>，</w:t>
      </w:r>
      <w:r w:rsidRPr="0042269F">
        <w:rPr>
          <w:rFonts w:hAnsi="標楷體" w:hint="eastAsia"/>
          <w:color w:val="000000" w:themeColor="text1"/>
        </w:rPr>
        <w:t>亦難給</w:t>
      </w:r>
      <w:proofErr w:type="gramStart"/>
      <w:r w:rsidRPr="0042269F">
        <w:rPr>
          <w:rFonts w:hAnsi="標楷體" w:hint="eastAsia"/>
          <w:color w:val="000000" w:themeColor="text1"/>
        </w:rPr>
        <w:t>閱</w:t>
      </w:r>
      <w:proofErr w:type="gramEnd"/>
      <w:r w:rsidRPr="0042269F">
        <w:rPr>
          <w:rFonts w:hAnsi="標楷體" w:hint="eastAsia"/>
          <w:color w:val="000000" w:themeColor="text1"/>
        </w:rPr>
        <w:t>。」對於偵查不公開原則，</w:t>
      </w:r>
      <w:proofErr w:type="gramStart"/>
      <w:r w:rsidRPr="0042269F">
        <w:rPr>
          <w:rFonts w:hAnsi="標楷體" w:hint="eastAsia"/>
          <w:color w:val="000000" w:themeColor="text1"/>
        </w:rPr>
        <w:t>本院固應</w:t>
      </w:r>
      <w:proofErr w:type="gramEnd"/>
      <w:r w:rsidRPr="0042269F">
        <w:rPr>
          <w:rFonts w:hAnsi="標楷體" w:hint="eastAsia"/>
          <w:color w:val="000000" w:themeColor="text1"/>
        </w:rPr>
        <w:t>給予適度尊重，惟本院調閱案件中部分依其文號年度，殊難想像其尚在偵查中，該署一概拒絕本院調卷，顯有違反前揭所示憲法與監察法</w:t>
      </w:r>
      <w:r w:rsidR="00AD23D1" w:rsidRPr="0042269F">
        <w:rPr>
          <w:rFonts w:hAnsi="標楷體" w:hint="eastAsia"/>
          <w:color w:val="000000" w:themeColor="text1"/>
        </w:rPr>
        <w:t>之規定</w:t>
      </w:r>
      <w:r w:rsidRPr="0042269F">
        <w:rPr>
          <w:rFonts w:hAnsi="標楷體" w:hint="eastAsia"/>
          <w:color w:val="000000" w:themeColor="text1"/>
        </w:rPr>
        <w:t>。</w:t>
      </w:r>
    </w:p>
    <w:p w:rsidR="002620FF" w:rsidRPr="0042269F" w:rsidRDefault="002620FF" w:rsidP="002620FF">
      <w:pPr>
        <w:pStyle w:val="3"/>
        <w:rPr>
          <w:rFonts w:hAnsi="標楷體"/>
          <w:color w:val="000000" w:themeColor="text1"/>
        </w:rPr>
      </w:pPr>
      <w:r w:rsidRPr="0042269F">
        <w:rPr>
          <w:rFonts w:hAnsi="標楷體" w:hint="eastAsia"/>
          <w:color w:val="000000" w:themeColor="text1"/>
        </w:rPr>
        <w:t>綜上，臺灣</w:t>
      </w:r>
      <w:proofErr w:type="gramStart"/>
      <w:r w:rsidRPr="0042269F">
        <w:rPr>
          <w:rFonts w:hAnsi="標楷體" w:hint="eastAsia"/>
          <w:color w:val="000000" w:themeColor="text1"/>
        </w:rPr>
        <w:t>臺</w:t>
      </w:r>
      <w:proofErr w:type="gramEnd"/>
      <w:r w:rsidRPr="0042269F">
        <w:rPr>
          <w:rFonts w:hAnsi="標楷體" w:hint="eastAsia"/>
          <w:color w:val="000000" w:themeColor="text1"/>
        </w:rPr>
        <w:t>中地方法院檢察署忽視憲法賦予監察院作為國家最高監察機關之權力，於本案調查</w:t>
      </w:r>
      <w:proofErr w:type="gramStart"/>
      <w:r w:rsidRPr="0042269F">
        <w:rPr>
          <w:rFonts w:hAnsi="標楷體" w:hint="eastAsia"/>
          <w:color w:val="000000" w:themeColor="text1"/>
        </w:rPr>
        <w:t>期間，</w:t>
      </w:r>
      <w:proofErr w:type="gramEnd"/>
      <w:r w:rsidRPr="0042269F">
        <w:rPr>
          <w:rFonts w:hAnsi="標楷體" w:hint="eastAsia"/>
          <w:color w:val="000000" w:themeColor="text1"/>
        </w:rPr>
        <w:t>對於本院依據憲法與監察法行使之調查權，以司法案件個案為由，一概拒絕，且未就個案偵查終結時點，提出任何說明，涉有背離憲法與監察法</w:t>
      </w:r>
      <w:r w:rsidR="006249C5" w:rsidRPr="0042269F">
        <w:rPr>
          <w:rFonts w:hAnsi="標楷體" w:hint="eastAsia"/>
          <w:color w:val="000000" w:themeColor="text1"/>
        </w:rPr>
        <w:t>相關規定</w:t>
      </w:r>
      <w:r w:rsidRPr="0042269F">
        <w:rPr>
          <w:rFonts w:hAnsi="標楷體" w:hint="eastAsia"/>
          <w:color w:val="000000" w:themeColor="text1"/>
        </w:rPr>
        <w:t>，有所不當。</w:t>
      </w:r>
    </w:p>
    <w:p w:rsidR="002620FF" w:rsidRPr="0042269F" w:rsidRDefault="002620FF" w:rsidP="002620FF">
      <w:pPr>
        <w:pStyle w:val="1"/>
        <w:rPr>
          <w:rFonts w:hAnsi="標楷體"/>
          <w:color w:val="000000" w:themeColor="text1"/>
        </w:rPr>
      </w:pPr>
      <w:bookmarkStart w:id="0" w:name="_Toc529222689"/>
      <w:bookmarkStart w:id="1" w:name="_Toc529223111"/>
      <w:bookmarkStart w:id="2" w:name="_Toc529223862"/>
      <w:bookmarkStart w:id="3" w:name="_Toc529228265"/>
      <w:bookmarkStart w:id="4" w:name="_Toc2400395"/>
      <w:bookmarkStart w:id="5" w:name="_Toc4316189"/>
      <w:bookmarkStart w:id="6" w:name="_Toc4473330"/>
      <w:bookmarkStart w:id="7" w:name="_Toc69556897"/>
      <w:bookmarkStart w:id="8" w:name="_Toc69556946"/>
      <w:bookmarkStart w:id="9" w:name="_Toc69609820"/>
      <w:bookmarkStart w:id="10" w:name="_Toc70241816"/>
      <w:bookmarkStart w:id="11" w:name="_Toc70242205"/>
      <w:bookmarkStart w:id="12" w:name="_Toc384890491"/>
      <w:r w:rsidRPr="0042269F">
        <w:rPr>
          <w:rFonts w:hAnsi="標楷體" w:hint="eastAsia"/>
          <w:color w:val="000000" w:themeColor="text1"/>
        </w:rPr>
        <w:t>處理辦法：</w:t>
      </w:r>
      <w:bookmarkEnd w:id="0"/>
      <w:bookmarkEnd w:id="1"/>
      <w:bookmarkEnd w:id="2"/>
      <w:bookmarkEnd w:id="3"/>
      <w:bookmarkEnd w:id="4"/>
      <w:bookmarkEnd w:id="5"/>
      <w:bookmarkEnd w:id="6"/>
      <w:bookmarkEnd w:id="7"/>
      <w:bookmarkEnd w:id="8"/>
      <w:bookmarkEnd w:id="9"/>
      <w:bookmarkEnd w:id="10"/>
      <w:bookmarkEnd w:id="11"/>
      <w:bookmarkEnd w:id="12"/>
    </w:p>
    <w:p w:rsidR="002620FF" w:rsidRPr="0042269F" w:rsidRDefault="002620FF" w:rsidP="006249C5">
      <w:pPr>
        <w:pStyle w:val="2"/>
        <w:rPr>
          <w:color w:val="000000" w:themeColor="text1"/>
        </w:rPr>
      </w:pPr>
      <w:bookmarkStart w:id="13" w:name="_Toc524895649"/>
      <w:bookmarkStart w:id="14" w:name="_Toc524896195"/>
      <w:bookmarkStart w:id="15" w:name="_Toc524896225"/>
      <w:bookmarkStart w:id="16" w:name="_Toc380994514"/>
      <w:bookmarkStart w:id="17" w:name="_Toc383339132"/>
      <w:bookmarkStart w:id="18" w:name="_Toc384890492"/>
      <w:bookmarkStart w:id="19" w:name="_Toc524902735"/>
      <w:bookmarkStart w:id="20" w:name="_Toc525066149"/>
      <w:bookmarkStart w:id="21" w:name="_Toc525070840"/>
      <w:bookmarkStart w:id="22" w:name="_Toc525938380"/>
      <w:bookmarkStart w:id="23" w:name="_Toc525939228"/>
      <w:bookmarkStart w:id="24" w:name="_Toc525939733"/>
      <w:bookmarkStart w:id="25" w:name="_Toc529218273"/>
      <w:bookmarkStart w:id="26" w:name="_Toc529222690"/>
      <w:bookmarkStart w:id="27" w:name="_Toc529223112"/>
      <w:bookmarkStart w:id="28" w:name="_Toc529223863"/>
      <w:bookmarkStart w:id="29" w:name="_Toc529228266"/>
      <w:bookmarkStart w:id="30" w:name="_Toc2400396"/>
      <w:bookmarkStart w:id="31" w:name="_Toc4316190"/>
      <w:bookmarkStart w:id="32" w:name="_Toc4473331"/>
      <w:bookmarkStart w:id="33" w:name="_Toc69556898"/>
      <w:bookmarkStart w:id="34" w:name="_Toc69556947"/>
      <w:bookmarkStart w:id="35" w:name="_Toc69609821"/>
      <w:bookmarkStart w:id="36" w:name="_Toc70241817"/>
      <w:bookmarkStart w:id="37" w:name="_Toc70242206"/>
      <w:bookmarkStart w:id="38" w:name="_Toc363814697"/>
      <w:bookmarkEnd w:id="13"/>
      <w:bookmarkEnd w:id="14"/>
      <w:bookmarkEnd w:id="15"/>
      <w:r w:rsidRPr="0042269F">
        <w:rPr>
          <w:rFonts w:hint="eastAsia"/>
          <w:color w:val="000000" w:themeColor="text1"/>
        </w:rPr>
        <w:t>調查意見一</w:t>
      </w:r>
      <w:r w:rsidR="00BC3A2F" w:rsidRPr="0042269F">
        <w:rPr>
          <w:rFonts w:hint="eastAsia"/>
          <w:color w:val="000000" w:themeColor="text1"/>
        </w:rPr>
        <w:t>、二</w:t>
      </w:r>
      <w:r w:rsidRPr="0042269F">
        <w:rPr>
          <w:rFonts w:hint="eastAsia"/>
          <w:color w:val="000000" w:themeColor="text1"/>
        </w:rPr>
        <w:t>函請</w:t>
      </w:r>
      <w:r w:rsidR="006249C5" w:rsidRPr="0042269F">
        <w:rPr>
          <w:rFonts w:hAnsi="標楷體" w:hint="eastAsia"/>
          <w:color w:val="000000" w:themeColor="text1"/>
        </w:rPr>
        <w:t>法務部</w:t>
      </w:r>
      <w:r w:rsidRPr="0042269F">
        <w:rPr>
          <w:rFonts w:hAnsi="標楷體" w:hint="eastAsia"/>
          <w:color w:val="000000" w:themeColor="text1"/>
        </w:rPr>
        <w:t>與</w:t>
      </w:r>
      <w:r w:rsidRPr="0042269F">
        <w:rPr>
          <w:rFonts w:hint="eastAsia"/>
          <w:color w:val="000000" w:themeColor="text1"/>
        </w:rPr>
        <w:t>司法院</w:t>
      </w:r>
      <w:r w:rsidR="009B0045" w:rsidRPr="0042269F">
        <w:rPr>
          <w:rFonts w:hint="eastAsia"/>
          <w:color w:val="000000" w:themeColor="text1"/>
        </w:rPr>
        <w:t>研究</w:t>
      </w:r>
      <w:r w:rsidRPr="0042269F">
        <w:rPr>
          <w:rFonts w:hint="eastAsia"/>
          <w:color w:val="000000" w:themeColor="text1"/>
        </w:rPr>
        <w:t>改進</w:t>
      </w:r>
      <w:proofErr w:type="gramStart"/>
      <w:r w:rsidRPr="0042269F">
        <w:rPr>
          <w:rFonts w:hint="eastAsia"/>
          <w:color w:val="000000" w:themeColor="text1"/>
        </w:rPr>
        <w:t>見復。</w:t>
      </w:r>
      <w:proofErr w:type="gramEnd"/>
    </w:p>
    <w:p w:rsidR="003B1B4A" w:rsidRPr="0042269F" w:rsidRDefault="00BC3A2F" w:rsidP="003B1B4A">
      <w:pPr>
        <w:pStyle w:val="2"/>
        <w:rPr>
          <w:rFonts w:hAnsi="標楷體"/>
          <w:color w:val="000000" w:themeColor="text1"/>
        </w:rPr>
      </w:pPr>
      <w:r w:rsidRPr="0042269F">
        <w:rPr>
          <w:rFonts w:hAnsi="標楷體" w:hint="eastAsia"/>
          <w:color w:val="000000" w:themeColor="text1"/>
        </w:rPr>
        <w:t>調查意見三</w:t>
      </w:r>
      <w:r w:rsidR="009B0045" w:rsidRPr="0042269F">
        <w:rPr>
          <w:rFonts w:hAnsi="標楷體" w:hint="eastAsia"/>
          <w:color w:val="000000" w:themeColor="text1"/>
        </w:rPr>
        <w:t>函請司法院研究</w:t>
      </w:r>
      <w:r w:rsidR="003B1B4A" w:rsidRPr="0042269F">
        <w:rPr>
          <w:rFonts w:hAnsi="標楷體" w:hint="eastAsia"/>
          <w:color w:val="000000" w:themeColor="text1"/>
        </w:rPr>
        <w:t>改進</w:t>
      </w:r>
      <w:proofErr w:type="gramStart"/>
      <w:r w:rsidR="003B1B4A" w:rsidRPr="0042269F">
        <w:rPr>
          <w:rFonts w:hAnsi="標楷體" w:hint="eastAsia"/>
          <w:color w:val="000000" w:themeColor="text1"/>
        </w:rPr>
        <w:t>見復。</w:t>
      </w:r>
      <w:proofErr w:type="gramEnd"/>
    </w:p>
    <w:p w:rsidR="002620FF" w:rsidRPr="0042269F" w:rsidRDefault="00BC3A2F" w:rsidP="002620FF">
      <w:pPr>
        <w:pStyle w:val="2"/>
        <w:kinsoku w:val="0"/>
        <w:overflowPunct/>
        <w:autoSpaceDE/>
        <w:autoSpaceDN/>
        <w:ind w:left="1020" w:hanging="680"/>
        <w:rPr>
          <w:rFonts w:hAnsi="標楷體"/>
          <w:color w:val="000000" w:themeColor="text1"/>
        </w:rPr>
      </w:pPr>
      <w:r w:rsidRPr="0042269F">
        <w:rPr>
          <w:rFonts w:hAnsi="標楷體" w:hint="eastAsia"/>
          <w:color w:val="000000" w:themeColor="text1"/>
        </w:rPr>
        <w:t>調查意見四</w:t>
      </w:r>
      <w:r w:rsidR="001D6113" w:rsidRPr="0042269F">
        <w:rPr>
          <w:rFonts w:hAnsi="標楷體" w:hint="eastAsia"/>
          <w:color w:val="000000" w:themeColor="text1"/>
        </w:rPr>
        <w:t>函請</w:t>
      </w:r>
      <w:r w:rsidR="002620FF" w:rsidRPr="0042269F">
        <w:rPr>
          <w:rFonts w:hAnsi="標楷體" w:hint="eastAsia"/>
          <w:color w:val="000000" w:themeColor="text1"/>
        </w:rPr>
        <w:t>法務部督促所屬臺灣</w:t>
      </w:r>
      <w:proofErr w:type="gramStart"/>
      <w:r w:rsidR="002620FF" w:rsidRPr="0042269F">
        <w:rPr>
          <w:rFonts w:hAnsi="標楷體" w:hint="eastAsia"/>
          <w:color w:val="000000" w:themeColor="text1"/>
        </w:rPr>
        <w:t>臺</w:t>
      </w:r>
      <w:proofErr w:type="gramEnd"/>
      <w:r w:rsidR="002620FF" w:rsidRPr="0042269F">
        <w:rPr>
          <w:rFonts w:hAnsi="標楷體" w:hint="eastAsia"/>
          <w:color w:val="000000" w:themeColor="text1"/>
        </w:rPr>
        <w:t>中地方法院檢察署切實檢討改進</w:t>
      </w:r>
      <w:proofErr w:type="gramStart"/>
      <w:r w:rsidR="002620FF" w:rsidRPr="0042269F">
        <w:rPr>
          <w:rFonts w:hAnsi="標楷體" w:hint="eastAsia"/>
          <w:color w:val="000000" w:themeColor="text1"/>
        </w:rPr>
        <w:t>見復。</w:t>
      </w:r>
      <w:bookmarkEnd w:id="16"/>
      <w:bookmarkEnd w:id="17"/>
      <w:bookmarkEnd w:id="18"/>
      <w:proofErr w:type="gramEnd"/>
    </w:p>
    <w:p w:rsidR="002620FF" w:rsidRPr="0042269F" w:rsidRDefault="002620FF" w:rsidP="002620FF">
      <w:pPr>
        <w:pStyle w:val="2"/>
        <w:kinsoku w:val="0"/>
        <w:overflowPunct/>
        <w:autoSpaceDE/>
        <w:autoSpaceDN/>
        <w:ind w:left="1020" w:hanging="680"/>
        <w:rPr>
          <w:rFonts w:hAnsi="標楷體"/>
          <w:color w:val="000000" w:themeColor="text1"/>
        </w:rPr>
      </w:pPr>
      <w:r w:rsidRPr="0042269F">
        <w:rPr>
          <w:rFonts w:hAnsi="標楷體" w:hint="eastAsia"/>
          <w:color w:val="000000" w:themeColor="text1"/>
        </w:rPr>
        <w:t>調查報告送本院人權</w:t>
      </w:r>
      <w:r w:rsidR="00534004">
        <w:rPr>
          <w:rFonts w:hAnsi="標楷體" w:hint="eastAsia"/>
          <w:color w:val="000000" w:themeColor="text1"/>
        </w:rPr>
        <w:t>保障</w:t>
      </w:r>
      <w:r w:rsidRPr="0042269F">
        <w:rPr>
          <w:rFonts w:hAnsi="標楷體" w:hint="eastAsia"/>
          <w:color w:val="000000" w:themeColor="text1"/>
        </w:rPr>
        <w:t>委員會。</w:t>
      </w:r>
    </w:p>
    <w:p w:rsidR="002620FF" w:rsidRPr="0042269F" w:rsidRDefault="002620FF" w:rsidP="002620FF">
      <w:pPr>
        <w:pStyle w:val="2"/>
        <w:kinsoku w:val="0"/>
        <w:overflowPunct/>
        <w:autoSpaceDE/>
        <w:autoSpaceDN/>
        <w:ind w:left="1020" w:hanging="680"/>
        <w:rPr>
          <w:rFonts w:hAnsi="標楷體"/>
          <w:color w:val="000000" w:themeColor="text1"/>
        </w:rPr>
      </w:pPr>
      <w:bookmarkStart w:id="39" w:name="_Toc2400397"/>
      <w:bookmarkStart w:id="40" w:name="_Toc4316191"/>
      <w:bookmarkStart w:id="41" w:name="_Toc4473332"/>
      <w:bookmarkStart w:id="42" w:name="_Toc69556901"/>
      <w:bookmarkStart w:id="43" w:name="_Toc69556950"/>
      <w:bookmarkStart w:id="44" w:name="_Toc69609824"/>
      <w:bookmarkStart w:id="45" w:name="_Toc70241822"/>
      <w:bookmarkStart w:id="46" w:name="_Toc70242211"/>
      <w:bookmarkStart w:id="47" w:name="_Toc363814702"/>
      <w:bookmarkStart w:id="48" w:name="_Toc380994518"/>
      <w:bookmarkStart w:id="49" w:name="_Toc383339137"/>
      <w:bookmarkStart w:id="50" w:name="_Toc38489049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42269F">
        <w:rPr>
          <w:rFonts w:hAnsi="標楷體" w:hint="eastAsia"/>
          <w:color w:val="000000" w:themeColor="text1"/>
        </w:rPr>
        <w:t>檢</w:t>
      </w:r>
      <w:proofErr w:type="gramStart"/>
      <w:r w:rsidRPr="0042269F">
        <w:rPr>
          <w:rFonts w:hAnsi="標楷體" w:hint="eastAsia"/>
          <w:color w:val="000000" w:themeColor="text1"/>
        </w:rPr>
        <w:t>附派查函</w:t>
      </w:r>
      <w:proofErr w:type="gramEnd"/>
      <w:r w:rsidRPr="0042269F">
        <w:rPr>
          <w:rFonts w:hAnsi="標楷體" w:hint="eastAsia"/>
          <w:color w:val="000000" w:themeColor="text1"/>
        </w:rPr>
        <w:t>及相關附件，送請司法及獄政委員會會議處理。</w:t>
      </w:r>
      <w:bookmarkEnd w:id="39"/>
      <w:bookmarkEnd w:id="40"/>
      <w:bookmarkEnd w:id="41"/>
      <w:bookmarkEnd w:id="42"/>
      <w:bookmarkEnd w:id="43"/>
      <w:bookmarkEnd w:id="44"/>
      <w:bookmarkEnd w:id="45"/>
      <w:bookmarkEnd w:id="46"/>
      <w:bookmarkEnd w:id="47"/>
      <w:bookmarkEnd w:id="48"/>
      <w:bookmarkEnd w:id="49"/>
      <w:bookmarkEnd w:id="50"/>
    </w:p>
    <w:p w:rsidR="002620FF" w:rsidRPr="0042269F" w:rsidRDefault="002620FF" w:rsidP="002620FF">
      <w:pPr>
        <w:pStyle w:val="aa"/>
        <w:kinsoku w:val="0"/>
        <w:spacing w:before="0" w:after="0"/>
        <w:ind w:leftChars="1100" w:left="3742"/>
        <w:rPr>
          <w:rFonts w:hAnsi="標楷體"/>
          <w:b w:val="0"/>
          <w:bCs/>
          <w:snapToGrid/>
          <w:color w:val="000000" w:themeColor="text1"/>
          <w:spacing w:val="12"/>
          <w:kern w:val="0"/>
          <w:sz w:val="40"/>
        </w:rPr>
      </w:pPr>
    </w:p>
    <w:p w:rsidR="002620FF" w:rsidRPr="0042269F" w:rsidRDefault="002620FF" w:rsidP="00534004">
      <w:pPr>
        <w:pStyle w:val="aa"/>
        <w:kinsoku w:val="0"/>
        <w:spacing w:before="0" w:after="0"/>
        <w:ind w:leftChars="1100" w:left="3742"/>
        <w:rPr>
          <w:rFonts w:hAnsi="標楷體"/>
          <w:bCs/>
          <w:color w:val="000000" w:themeColor="text1"/>
        </w:rPr>
      </w:pPr>
      <w:r w:rsidRPr="0042269F">
        <w:rPr>
          <w:rFonts w:hAnsi="標楷體" w:hint="eastAsia"/>
          <w:b w:val="0"/>
          <w:bCs/>
          <w:snapToGrid/>
          <w:color w:val="000000" w:themeColor="text1"/>
          <w:spacing w:val="12"/>
          <w:kern w:val="0"/>
          <w:sz w:val="40"/>
        </w:rPr>
        <w:t>調查委員：</w:t>
      </w:r>
      <w:r w:rsidR="00534004">
        <w:rPr>
          <w:rFonts w:hAnsi="標楷體" w:hint="eastAsia"/>
          <w:b w:val="0"/>
          <w:bCs/>
          <w:snapToGrid/>
          <w:color w:val="000000" w:themeColor="text1"/>
          <w:spacing w:val="12"/>
          <w:kern w:val="0"/>
          <w:sz w:val="40"/>
        </w:rPr>
        <w:t>林雅鋒</w:t>
      </w:r>
      <w:bookmarkStart w:id="51" w:name="_GoBack"/>
      <w:bookmarkEnd w:id="51"/>
    </w:p>
    <w:p w:rsidR="002620FF" w:rsidRPr="0042269F" w:rsidRDefault="002620FF" w:rsidP="002620FF">
      <w:pPr>
        <w:pStyle w:val="af2"/>
        <w:rPr>
          <w:rFonts w:hAnsi="標楷體"/>
          <w:bCs/>
          <w:color w:val="000000" w:themeColor="text1"/>
        </w:rPr>
      </w:pPr>
    </w:p>
    <w:p w:rsidR="002620FF" w:rsidRPr="0042269F" w:rsidRDefault="002620FF" w:rsidP="002620FF">
      <w:pPr>
        <w:pStyle w:val="af2"/>
        <w:rPr>
          <w:rFonts w:hAnsi="標楷體"/>
          <w:bCs/>
          <w:color w:val="000000" w:themeColor="text1"/>
        </w:rPr>
      </w:pPr>
    </w:p>
    <w:p w:rsidR="0042269F" w:rsidRPr="0042269F" w:rsidRDefault="0042269F" w:rsidP="00DB0D4B">
      <w:pPr>
        <w:pStyle w:val="af3"/>
        <w:ind w:left="1020" w:hanging="1020"/>
        <w:rPr>
          <w:rFonts w:hAnsi="標楷體"/>
          <w:bCs/>
          <w:color w:val="000000" w:themeColor="text1"/>
        </w:rPr>
      </w:pPr>
    </w:p>
    <w:sectPr w:rsidR="0042269F" w:rsidRPr="0042269F" w:rsidSect="00913BD5">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661" w:rsidRDefault="00E92661">
      <w:r>
        <w:separator/>
      </w:r>
    </w:p>
  </w:endnote>
  <w:endnote w:type="continuationSeparator" w:id="0">
    <w:p w:rsidR="00E92661" w:rsidRDefault="00E9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859351"/>
      <w:docPartObj>
        <w:docPartGallery w:val="Page Numbers (Bottom of Page)"/>
        <w:docPartUnique/>
      </w:docPartObj>
    </w:sdtPr>
    <w:sdtEndPr/>
    <w:sdtContent>
      <w:p w:rsidR="009917D5" w:rsidRDefault="009917D5">
        <w:pPr>
          <w:pStyle w:val="af7"/>
          <w:jc w:val="center"/>
        </w:pPr>
        <w:r>
          <w:fldChar w:fldCharType="begin"/>
        </w:r>
        <w:r>
          <w:instrText>PAGE   \* MERGEFORMAT</w:instrText>
        </w:r>
        <w:r>
          <w:fldChar w:fldCharType="separate"/>
        </w:r>
        <w:r w:rsidR="00534004" w:rsidRPr="00534004">
          <w:rPr>
            <w:noProof/>
            <w:lang w:val="zh-TW"/>
          </w:rPr>
          <w:t>29</w:t>
        </w:r>
        <w:r>
          <w:fldChar w:fldCharType="end"/>
        </w:r>
      </w:p>
    </w:sdtContent>
  </w:sdt>
  <w:p w:rsidR="009917D5" w:rsidRDefault="009917D5">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661" w:rsidRDefault="00E92661">
      <w:r>
        <w:separator/>
      </w:r>
    </w:p>
  </w:footnote>
  <w:footnote w:type="continuationSeparator" w:id="0">
    <w:p w:rsidR="00E92661" w:rsidRDefault="00E92661">
      <w:r>
        <w:continuationSeparator/>
      </w:r>
    </w:p>
  </w:footnote>
  <w:footnote w:id="1">
    <w:p w:rsidR="002620FF" w:rsidRPr="008C2779" w:rsidRDefault="002620FF" w:rsidP="002620FF">
      <w:pPr>
        <w:pStyle w:val="aff"/>
        <w:rPr>
          <w:rFonts w:hAnsi="標楷體"/>
        </w:rPr>
      </w:pPr>
      <w:r w:rsidRPr="008C2779">
        <w:rPr>
          <w:rStyle w:val="aff1"/>
          <w:rFonts w:hAnsi="標楷體"/>
        </w:rPr>
        <w:footnoteRef/>
      </w:r>
      <w:r w:rsidRPr="008C2779">
        <w:rPr>
          <w:rFonts w:hAnsi="標楷體" w:hint="eastAsia"/>
        </w:rPr>
        <w:t>第十六屆會議(1982年)第8號一般性意見：個人享有身體自由及人身安全的權利(《公約》</w:t>
      </w:r>
      <w:r w:rsidR="00750DBC" w:rsidRPr="008C2779">
        <w:rPr>
          <w:rFonts w:hAnsi="標楷體" w:hint="eastAsia"/>
        </w:rPr>
        <w:t>第9條</w:t>
      </w:r>
      <w:r w:rsidRPr="008C2779">
        <w:rPr>
          <w:rFonts w:hAnsi="標楷體" w:hint="eastAsia"/>
        </w:rPr>
        <w:t>)</w:t>
      </w:r>
    </w:p>
  </w:footnote>
  <w:footnote w:id="2">
    <w:p w:rsidR="002620FF" w:rsidRPr="008C2779" w:rsidRDefault="002620FF" w:rsidP="002620FF">
      <w:pPr>
        <w:pStyle w:val="aff"/>
        <w:rPr>
          <w:rFonts w:hAnsi="標楷體"/>
        </w:rPr>
      </w:pPr>
      <w:r w:rsidRPr="008C2779">
        <w:rPr>
          <w:rStyle w:val="aff1"/>
          <w:rFonts w:hAnsi="標楷體"/>
        </w:rPr>
        <w:footnoteRef/>
      </w:r>
      <w:r w:rsidRPr="008C2779">
        <w:rPr>
          <w:rFonts w:hAnsi="標楷體" w:hint="eastAsia"/>
        </w:rPr>
        <w:t>本一般性意見取代第十六屆會議(1982年)第8號一般性意見。</w:t>
      </w:r>
    </w:p>
  </w:footnote>
  <w:footnote w:id="3">
    <w:p w:rsidR="006E7217" w:rsidRPr="008C2779" w:rsidRDefault="006E7217" w:rsidP="006E7217">
      <w:pPr>
        <w:pStyle w:val="aff"/>
        <w:rPr>
          <w:rFonts w:hAnsi="標楷體"/>
        </w:rPr>
      </w:pPr>
      <w:r w:rsidRPr="008C2779">
        <w:rPr>
          <w:rStyle w:val="aff1"/>
          <w:rFonts w:hAnsi="標楷體"/>
        </w:rPr>
        <w:footnoteRef/>
      </w:r>
      <w:r w:rsidRPr="008C2779">
        <w:rPr>
          <w:rFonts w:hAnsi="標楷體" w:hint="eastAsia"/>
        </w:rPr>
        <w:t>預防理論是刑罰學的重要理論之一，主張刑罰不是對犯罪的應報，而是在藉由刑罰的設定，保障社會上人們的共同安全。在德國刑法學傳統中，由於應報理論又被稱為「絕對刑罰理論」</w:t>
      </w:r>
      <w:proofErr w:type="gramStart"/>
      <w:r w:rsidRPr="008C2779">
        <w:rPr>
          <w:rFonts w:hAnsi="標楷體" w:hint="eastAsia"/>
        </w:rPr>
        <w:t>（</w:t>
      </w:r>
      <w:proofErr w:type="gramEnd"/>
      <w:r w:rsidRPr="008C2779">
        <w:rPr>
          <w:rFonts w:hAnsi="標楷體" w:hint="eastAsia"/>
        </w:rPr>
        <w:t xml:space="preserve">德語：absolute </w:t>
      </w:r>
      <w:proofErr w:type="spellStart"/>
      <w:r w:rsidRPr="008C2779">
        <w:rPr>
          <w:rFonts w:hAnsi="標楷體" w:hint="eastAsia"/>
        </w:rPr>
        <w:t>Straftheorie</w:t>
      </w:r>
      <w:proofErr w:type="spellEnd"/>
      <w:proofErr w:type="gramStart"/>
      <w:r w:rsidRPr="008C2779">
        <w:rPr>
          <w:rFonts w:hAnsi="標楷體" w:hint="eastAsia"/>
        </w:rPr>
        <w:t>）</w:t>
      </w:r>
      <w:proofErr w:type="gramEnd"/>
      <w:r w:rsidRPr="008C2779">
        <w:rPr>
          <w:rFonts w:hAnsi="標楷體" w:hint="eastAsia"/>
        </w:rPr>
        <w:t>，因此預防理論被相應地稱為「相對刑罰理論」</w:t>
      </w:r>
      <w:proofErr w:type="gramStart"/>
      <w:r w:rsidRPr="008C2779">
        <w:rPr>
          <w:rFonts w:hAnsi="標楷體" w:hint="eastAsia"/>
        </w:rPr>
        <w:t>（</w:t>
      </w:r>
      <w:proofErr w:type="gramEnd"/>
      <w:r w:rsidRPr="008C2779">
        <w:rPr>
          <w:rFonts w:hAnsi="標楷體" w:hint="eastAsia"/>
        </w:rPr>
        <w:t xml:space="preserve">德語：relative </w:t>
      </w:r>
      <w:proofErr w:type="spellStart"/>
      <w:r w:rsidRPr="008C2779">
        <w:rPr>
          <w:rFonts w:hAnsi="標楷體" w:hint="eastAsia"/>
        </w:rPr>
        <w:t>Straftheorie</w:t>
      </w:r>
      <w:proofErr w:type="spellEnd"/>
      <w:proofErr w:type="gramStart"/>
      <w:r w:rsidRPr="008C2779">
        <w:rPr>
          <w:rFonts w:hAnsi="標楷體" w:hint="eastAsia"/>
        </w:rPr>
        <w:t>）</w:t>
      </w:r>
      <w:proofErr w:type="gramEnd"/>
      <w:r w:rsidRPr="008C2779">
        <w:rPr>
          <w:rFonts w:hAnsi="標楷體" w:hint="eastAsia"/>
        </w:rPr>
        <w:t>。預防理論可以分為「一般預防」和「特別預防」兩大面向，每</w:t>
      </w:r>
      <w:proofErr w:type="gramStart"/>
      <w:r w:rsidRPr="008C2779">
        <w:rPr>
          <w:rFonts w:hAnsi="標楷體" w:hint="eastAsia"/>
        </w:rPr>
        <w:t>個</w:t>
      </w:r>
      <w:proofErr w:type="gramEnd"/>
      <w:r w:rsidRPr="008C2779">
        <w:rPr>
          <w:rFonts w:hAnsi="標楷體" w:hint="eastAsia"/>
        </w:rPr>
        <w:t>面向又可分為積極的和消極的方法。一般預防的「一般」（general）是指「大眾」；此刑罰目的旨在透過社會大眾的信服或恐懼等心理作用，來減少犯罪。特別預防的「特別」（special）是指「個別犯罪人」，亦即已被送進司法機關處理的嫌犯或已定罪的犯人；此刑罰目的旨在透過對特定犯罪人的處罰或改善，來減少他們的再犯。1.積極的一般預防旨在透過刑罰對大眾進行教育，增進大眾對刑法規範的認同，使人主動依規範行事，以此減少犯罪。2.消極的一般預防亦即威嚇理論，旨在透過刑罰的嚴厲性和迅速性來警惕社會大眾，使人們因害怕受罰而不敢犯罪。3.積極的特別預防旨在透過對犯罪人的矯治、教化，使他將不犯罪的主流價值觀內化，以此減少再犯。4.消極的特別預防旨在透過對（尤其是高風險的）犯罪人的（長期）監禁，使他因空間隔離而無法在社會上犯罪。這四種預防理論並不是互斥的，而是可以互相補充。因為人類是多樣的，人類遵守規範的原因也是多樣的，</w:t>
      </w:r>
      <w:proofErr w:type="gramStart"/>
      <w:r w:rsidRPr="008C2779">
        <w:rPr>
          <w:rFonts w:hAnsi="標楷體" w:hint="eastAsia"/>
        </w:rPr>
        <w:t>併</w:t>
      </w:r>
      <w:proofErr w:type="gramEnd"/>
      <w:r w:rsidRPr="008C2779">
        <w:rPr>
          <w:rFonts w:hAnsi="標楷體" w:hint="eastAsia"/>
        </w:rPr>
        <w:t>用多種觀點才能達到最大的犯罪預防效果。</w:t>
      </w:r>
    </w:p>
  </w:footnote>
  <w:footnote w:id="4">
    <w:p w:rsidR="006E7217" w:rsidRPr="008C2779" w:rsidRDefault="006E7217" w:rsidP="006E7217">
      <w:pPr>
        <w:pStyle w:val="aff"/>
        <w:rPr>
          <w:rFonts w:hAnsi="標楷體"/>
        </w:rPr>
      </w:pPr>
      <w:r w:rsidRPr="008C2779">
        <w:rPr>
          <w:rStyle w:val="aff1"/>
          <w:rFonts w:hAnsi="標楷體"/>
        </w:rPr>
        <w:footnoteRef/>
      </w:r>
      <w:r w:rsidRPr="008C2779">
        <w:rPr>
          <w:rFonts w:hAnsi="標楷體"/>
        </w:rPr>
        <w:t xml:space="preserve"> </w:t>
      </w:r>
      <w:r w:rsidRPr="008C2779">
        <w:rPr>
          <w:rFonts w:hAnsi="標楷體"/>
        </w:rPr>
        <w:t>「事物本質」，</w:t>
      </w:r>
      <w:r w:rsidRPr="008C2779">
        <w:rPr>
          <w:rFonts w:hAnsi="標楷體" w:hint="eastAsia"/>
        </w:rPr>
        <w:t>亦即確定</w:t>
      </w:r>
      <w:r w:rsidRPr="008C2779">
        <w:rPr>
          <w:rFonts w:hAnsi="標楷體" w:hint="eastAsia"/>
          <w:b/>
          <w:bCs/>
        </w:rPr>
        <w:t>事物</w:t>
      </w:r>
      <w:r w:rsidRPr="008C2779">
        <w:rPr>
          <w:rFonts w:hAnsi="標楷體" w:hint="eastAsia"/>
        </w:rPr>
        <w:t>的真實</w:t>
      </w:r>
      <w:r w:rsidRPr="008C2779">
        <w:rPr>
          <w:rFonts w:hAnsi="標楷體" w:hint="eastAsia"/>
          <w:b/>
          <w:bCs/>
        </w:rPr>
        <w:t>本質</w:t>
      </w:r>
      <w:r w:rsidRPr="008C2779">
        <w:rPr>
          <w:rFonts w:hAnsi="標楷體" w:hint="eastAsia"/>
        </w:rPr>
        <w:t>，係作為形上學的根本目的，或可稱為「本體論」、「第一哲學」、「形而上學」、「實體論」。應用於法律上即就</w:t>
      </w:r>
      <w:r w:rsidRPr="008C2779">
        <w:rPr>
          <w:rFonts w:hAnsi="標楷體"/>
        </w:rPr>
        <w:t>存於各種不同事物</w:t>
      </w:r>
      <w:r w:rsidRPr="008C2779">
        <w:rPr>
          <w:rFonts w:hAnsi="標楷體" w:hint="eastAsia"/>
        </w:rPr>
        <w:t>，</w:t>
      </w:r>
      <w:r w:rsidRPr="008C2779">
        <w:rPr>
          <w:rFonts w:hAnsi="標楷體" w:hint="eastAsia"/>
          <w:b/>
          <w:bCs/>
        </w:rPr>
        <w:t>探求事物</w:t>
      </w:r>
      <w:r w:rsidRPr="008C2779">
        <w:rPr>
          <w:rFonts w:hAnsi="標楷體" w:hint="eastAsia"/>
        </w:rPr>
        <w:t>的不同內在聯繫及其發展的規律性，找尋合乎</w:t>
      </w:r>
      <w:r w:rsidRPr="008C2779">
        <w:rPr>
          <w:rFonts w:hAnsi="標楷體"/>
        </w:rPr>
        <w:t>自然法正義</w:t>
      </w:r>
      <w:r w:rsidRPr="008C2779">
        <w:rPr>
          <w:rFonts w:hAnsi="標楷體" w:hint="eastAsia"/>
        </w:rPr>
        <w:t>之觀點</w:t>
      </w:r>
      <w:r w:rsidRPr="008C2779">
        <w:rPr>
          <w:rFonts w:hAnsi="標楷體"/>
        </w:rPr>
        <w:t>，</w:t>
      </w:r>
      <w:r w:rsidRPr="008C2779">
        <w:rPr>
          <w:rFonts w:hAnsi="標楷體" w:hint="eastAsia"/>
        </w:rPr>
        <w:t>用以實現</w:t>
      </w:r>
      <w:r w:rsidRPr="008C2779">
        <w:rPr>
          <w:rFonts w:hAnsi="標楷體"/>
        </w:rPr>
        <w:t>實</w:t>
      </w:r>
      <w:r w:rsidRPr="008C2779">
        <w:rPr>
          <w:rFonts w:hAnsi="標楷體" w:hint="eastAsia"/>
        </w:rPr>
        <w:t>體</w:t>
      </w:r>
      <w:r w:rsidRPr="008C2779">
        <w:rPr>
          <w:rFonts w:hAnsi="標楷體"/>
        </w:rPr>
        <w:t>法</w:t>
      </w:r>
      <w:r w:rsidRPr="008C2779">
        <w:rPr>
          <w:rFonts w:hAnsi="標楷體" w:hint="eastAsia"/>
        </w:rPr>
        <w:t>的規範</w:t>
      </w:r>
      <w:r w:rsidRPr="008C2779">
        <w:rPr>
          <w:rFonts w:hAnsi="標楷體"/>
        </w:rPr>
        <w:t>價值表現</w:t>
      </w:r>
      <w:r w:rsidRPr="008C2779">
        <w:rPr>
          <w:rFonts w:hAnsi="標楷體" w:hint="eastAsia"/>
        </w:rPr>
        <w:t>，未經事物本質探求之法律適用與法律解釋不過是法律的戲論</w:t>
      </w:r>
      <w:proofErr w:type="gramStart"/>
      <w:r w:rsidRPr="008C2779">
        <w:rPr>
          <w:rFonts w:hAnsi="標楷體" w:hint="eastAsia"/>
        </w:rPr>
        <w:t>（</w:t>
      </w:r>
      <w:proofErr w:type="gramEnd"/>
      <w:r w:rsidRPr="008C2779">
        <w:rPr>
          <w:rFonts w:hAnsi="標楷體" w:hint="eastAsia"/>
        </w:rPr>
        <w:t>巴利文及梵文：</w:t>
      </w:r>
      <w:proofErr w:type="spellStart"/>
      <w:r w:rsidRPr="008C2779">
        <w:rPr>
          <w:rFonts w:hAnsi="標楷體" w:hint="eastAsia"/>
        </w:rPr>
        <w:t>papañca</w:t>
      </w:r>
      <w:proofErr w:type="spellEnd"/>
      <w:r w:rsidRPr="008C2779">
        <w:rPr>
          <w:rFonts w:hAnsi="標楷體" w:hint="eastAsia"/>
        </w:rPr>
        <w:t>，大</w:t>
      </w:r>
      <w:proofErr w:type="gramStart"/>
      <w:r w:rsidRPr="008C2779">
        <w:rPr>
          <w:rFonts w:hAnsi="標楷體" w:hint="eastAsia"/>
        </w:rPr>
        <w:t>毘盧</w:t>
      </w:r>
      <w:proofErr w:type="gramEnd"/>
      <w:r w:rsidRPr="008C2779">
        <w:rPr>
          <w:rFonts w:hAnsi="標楷體" w:hint="eastAsia"/>
        </w:rPr>
        <w:t>遮那成佛經十</w:t>
      </w:r>
      <w:proofErr w:type="gramStart"/>
      <w:r w:rsidRPr="008C2779">
        <w:rPr>
          <w:rFonts w:hAnsi="標楷體" w:hint="eastAsia"/>
        </w:rPr>
        <w:t>說疏稱，戲論</w:t>
      </w:r>
      <w:proofErr w:type="gramEnd"/>
      <w:r w:rsidRPr="008C2779">
        <w:rPr>
          <w:rFonts w:hAnsi="標楷體" w:hint="eastAsia"/>
        </w:rPr>
        <w:t>者，如</w:t>
      </w:r>
      <w:proofErr w:type="gramStart"/>
      <w:r w:rsidRPr="008C2779">
        <w:rPr>
          <w:rFonts w:hAnsi="標楷體" w:hint="eastAsia"/>
        </w:rPr>
        <w:t>世</w:t>
      </w:r>
      <w:proofErr w:type="gramEnd"/>
      <w:r w:rsidRPr="008C2779">
        <w:rPr>
          <w:rFonts w:hAnsi="標楷體" w:hint="eastAsia"/>
        </w:rPr>
        <w:t>戲人以散亂心動作種種身口，</w:t>
      </w:r>
      <w:proofErr w:type="gramStart"/>
      <w:r w:rsidRPr="008C2779">
        <w:rPr>
          <w:rFonts w:hAnsi="標楷體" w:hint="eastAsia"/>
        </w:rPr>
        <w:t>但悅前人</w:t>
      </w:r>
      <w:proofErr w:type="gramEnd"/>
      <w:r w:rsidRPr="008C2779">
        <w:rPr>
          <w:rFonts w:hAnsi="標楷體" w:hint="eastAsia"/>
        </w:rPr>
        <w:t>而無實義。今</w:t>
      </w:r>
      <w:proofErr w:type="gramStart"/>
      <w:r w:rsidRPr="008C2779">
        <w:rPr>
          <w:rFonts w:hAnsi="標楷體" w:hint="eastAsia"/>
        </w:rPr>
        <w:t>妄</w:t>
      </w:r>
      <w:proofErr w:type="gramEnd"/>
      <w:r w:rsidRPr="008C2779">
        <w:rPr>
          <w:rFonts w:hAnsi="標楷體" w:hint="eastAsia"/>
        </w:rPr>
        <w:t>見者所作者亦同於此，故</w:t>
      </w:r>
      <w:proofErr w:type="gramStart"/>
      <w:r w:rsidRPr="008C2779">
        <w:rPr>
          <w:rFonts w:hAnsi="標楷體" w:hint="eastAsia"/>
        </w:rPr>
        <w:t>名戲論</w:t>
      </w:r>
      <w:proofErr w:type="gramEnd"/>
      <w:r w:rsidRPr="008C2779">
        <w:rPr>
          <w:rFonts w:hAnsi="標楷體" w:hint="eastAsia"/>
        </w:rPr>
        <w:t>也。）而已。</w:t>
      </w:r>
    </w:p>
  </w:footnote>
  <w:footnote w:id="5">
    <w:p w:rsidR="002620FF" w:rsidRPr="008C2779" w:rsidRDefault="002620FF" w:rsidP="002620FF">
      <w:pPr>
        <w:pStyle w:val="aff"/>
        <w:rPr>
          <w:rFonts w:hAnsi="標楷體"/>
        </w:rPr>
      </w:pPr>
      <w:r w:rsidRPr="008C2779">
        <w:rPr>
          <w:rStyle w:val="aff1"/>
          <w:rFonts w:hAnsi="標楷體"/>
        </w:rPr>
        <w:footnoteRef/>
      </w:r>
      <w:r w:rsidRPr="008C2779">
        <w:rPr>
          <w:rFonts w:hAnsi="標楷體"/>
        </w:rPr>
        <w:t xml:space="preserve"> </w:t>
      </w:r>
      <w:r w:rsidRPr="008C2779">
        <w:rPr>
          <w:rFonts w:hAnsi="標楷體" w:hint="eastAsia"/>
        </w:rPr>
        <w:t>林永謀，</w:t>
      </w:r>
      <w:r w:rsidRPr="008C2779">
        <w:rPr>
          <w:rFonts w:hAnsi="標楷體"/>
        </w:rPr>
        <w:t>刑事</w:t>
      </w:r>
      <w:proofErr w:type="gramStart"/>
      <w:r w:rsidRPr="008C2779">
        <w:rPr>
          <w:rFonts w:hAnsi="標楷體"/>
        </w:rPr>
        <w:t>訴訟法釋論</w:t>
      </w:r>
      <w:proofErr w:type="gramEnd"/>
      <w:r w:rsidRPr="008C2779">
        <w:rPr>
          <w:rFonts w:hAnsi="標楷體"/>
        </w:rPr>
        <w:t>（上冊）</w:t>
      </w:r>
      <w:r w:rsidRPr="008C2779">
        <w:rPr>
          <w:rFonts w:hAnsi="標楷體" w:hint="eastAsia"/>
        </w:rPr>
        <w:t>，2006年10月，頁447-448。</w:t>
      </w:r>
    </w:p>
  </w:footnote>
  <w:footnote w:id="6">
    <w:p w:rsidR="0026586F" w:rsidRPr="008C2779" w:rsidRDefault="0026586F">
      <w:pPr>
        <w:pStyle w:val="aff"/>
        <w:rPr>
          <w:rFonts w:hAnsi="標楷體"/>
        </w:rPr>
      </w:pPr>
      <w:r w:rsidRPr="008C2779">
        <w:rPr>
          <w:rStyle w:val="aff1"/>
          <w:rFonts w:hAnsi="標楷體"/>
        </w:rPr>
        <w:footnoteRef/>
      </w:r>
      <w:r w:rsidRPr="008C2779">
        <w:rPr>
          <w:rFonts w:hAnsi="標楷體" w:hint="eastAsia"/>
          <w:color w:val="000000"/>
        </w:rPr>
        <w:t>計有臺灣</w:t>
      </w:r>
      <w:proofErr w:type="gramStart"/>
      <w:r w:rsidRPr="008C2779">
        <w:rPr>
          <w:rFonts w:hAnsi="標楷體" w:hint="eastAsia"/>
          <w:color w:val="000000"/>
        </w:rPr>
        <w:t>臺</w:t>
      </w:r>
      <w:proofErr w:type="gramEnd"/>
      <w:r w:rsidRPr="008C2779">
        <w:rPr>
          <w:rFonts w:hAnsi="標楷體" w:hint="eastAsia"/>
          <w:color w:val="000000"/>
        </w:rPr>
        <w:t>北地方法院（簡稱</w:t>
      </w:r>
      <w:proofErr w:type="gramStart"/>
      <w:r w:rsidRPr="008C2779">
        <w:rPr>
          <w:rFonts w:hAnsi="標楷體" w:hint="eastAsia"/>
          <w:color w:val="000000"/>
        </w:rPr>
        <w:t>臺</w:t>
      </w:r>
      <w:proofErr w:type="gramEnd"/>
      <w:r w:rsidRPr="008C2779">
        <w:rPr>
          <w:rFonts w:hAnsi="標楷體" w:hint="eastAsia"/>
          <w:color w:val="000000"/>
        </w:rPr>
        <w:t>北地院，簡稱方式下同）、士林地院、新北地院、桃園地院、新竹地院、苗栗地院、</w:t>
      </w:r>
      <w:proofErr w:type="gramStart"/>
      <w:r w:rsidRPr="008C2779">
        <w:rPr>
          <w:rFonts w:hAnsi="標楷體" w:hint="eastAsia"/>
          <w:color w:val="000000"/>
        </w:rPr>
        <w:t>臺</w:t>
      </w:r>
      <w:proofErr w:type="gramEnd"/>
      <w:r w:rsidRPr="008C2779">
        <w:rPr>
          <w:rFonts w:hAnsi="標楷體" w:hint="eastAsia"/>
          <w:color w:val="000000"/>
        </w:rPr>
        <w:t>中地院、彰化地院、雲林地院、嘉義地院、</w:t>
      </w:r>
      <w:proofErr w:type="gramStart"/>
      <w:r w:rsidRPr="008C2779">
        <w:rPr>
          <w:rFonts w:hAnsi="標楷體" w:hint="eastAsia"/>
          <w:color w:val="000000"/>
        </w:rPr>
        <w:t>臺</w:t>
      </w:r>
      <w:proofErr w:type="gramEnd"/>
      <w:r w:rsidRPr="008C2779">
        <w:rPr>
          <w:rFonts w:hAnsi="標楷體" w:hint="eastAsia"/>
          <w:color w:val="000000"/>
        </w:rPr>
        <w:t>南地院、高雄地院、屏東地院、基隆地院、宜蘭地院、花蓮地院、</w:t>
      </w:r>
      <w:proofErr w:type="gramStart"/>
      <w:r w:rsidRPr="008C2779">
        <w:rPr>
          <w:rFonts w:hAnsi="標楷體" w:hint="eastAsia"/>
          <w:color w:val="000000"/>
        </w:rPr>
        <w:t>臺</w:t>
      </w:r>
      <w:proofErr w:type="gramEnd"/>
      <w:r w:rsidRPr="008C2779">
        <w:rPr>
          <w:rFonts w:hAnsi="標楷體" w:hint="eastAsia"/>
          <w:color w:val="000000"/>
        </w:rPr>
        <w:t>東地院</w:t>
      </w:r>
      <w:r w:rsidR="006C7018" w:rsidRPr="008C2779">
        <w:rPr>
          <w:rFonts w:hAnsi="標楷體" w:hint="eastAsia"/>
          <w:color w:val="000000"/>
        </w:rPr>
        <w:t>。</w:t>
      </w:r>
    </w:p>
  </w:footnote>
  <w:footnote w:id="7">
    <w:p w:rsidR="006C7018" w:rsidRPr="008C2779" w:rsidRDefault="0026586F" w:rsidP="006C7018">
      <w:pPr>
        <w:pStyle w:val="aff"/>
        <w:rPr>
          <w:rFonts w:hAnsi="標楷體"/>
        </w:rPr>
      </w:pPr>
      <w:r w:rsidRPr="008C2779">
        <w:rPr>
          <w:rStyle w:val="aff1"/>
          <w:rFonts w:hAnsi="標楷體"/>
        </w:rPr>
        <w:footnoteRef/>
      </w:r>
      <w:r w:rsidRPr="008C2779">
        <w:rPr>
          <w:rFonts w:hAnsi="標楷體" w:hint="eastAsia"/>
        </w:rPr>
        <w:t>計有</w:t>
      </w:r>
      <w:r w:rsidR="006C7018" w:rsidRPr="008C2779">
        <w:rPr>
          <w:rFonts w:hAnsi="標楷體" w:hint="eastAsia"/>
        </w:rPr>
        <w:t>臺灣</w:t>
      </w:r>
      <w:proofErr w:type="gramStart"/>
      <w:r w:rsidR="006C7018" w:rsidRPr="008C2779">
        <w:rPr>
          <w:rFonts w:hAnsi="標楷體" w:hint="eastAsia"/>
        </w:rPr>
        <w:t>臺</w:t>
      </w:r>
      <w:proofErr w:type="gramEnd"/>
      <w:r w:rsidR="006C7018" w:rsidRPr="008C2779">
        <w:rPr>
          <w:rFonts w:hAnsi="標楷體" w:hint="eastAsia"/>
        </w:rPr>
        <w:t>北地方法院檢察署（簡稱</w:t>
      </w:r>
      <w:proofErr w:type="gramStart"/>
      <w:r w:rsidR="006C7018" w:rsidRPr="008C2779">
        <w:rPr>
          <w:rFonts w:hAnsi="標楷體" w:hint="eastAsia"/>
        </w:rPr>
        <w:t>臺</w:t>
      </w:r>
      <w:proofErr w:type="gramEnd"/>
      <w:r w:rsidR="006C7018" w:rsidRPr="008C2779">
        <w:rPr>
          <w:rFonts w:hAnsi="標楷體" w:hint="eastAsia"/>
        </w:rPr>
        <w:t>北地檢署，簡稱方式下同）、士林地檢署、新北地檢署、桃園地檢署、新竹地檢署、苗栗地檢署、</w:t>
      </w:r>
      <w:proofErr w:type="gramStart"/>
      <w:r w:rsidR="006C7018" w:rsidRPr="008C2779">
        <w:rPr>
          <w:rFonts w:hAnsi="標楷體" w:hint="eastAsia"/>
        </w:rPr>
        <w:t>臺</w:t>
      </w:r>
      <w:proofErr w:type="gramEnd"/>
      <w:r w:rsidR="006C7018" w:rsidRPr="008C2779">
        <w:rPr>
          <w:rFonts w:hAnsi="標楷體" w:hint="eastAsia"/>
        </w:rPr>
        <w:t>中地檢署、彰化地檢署、雲林地檢署、嘉義地檢署、</w:t>
      </w:r>
      <w:proofErr w:type="gramStart"/>
      <w:r w:rsidR="006C7018" w:rsidRPr="008C2779">
        <w:rPr>
          <w:rFonts w:hAnsi="標楷體" w:hint="eastAsia"/>
        </w:rPr>
        <w:t>臺</w:t>
      </w:r>
      <w:proofErr w:type="gramEnd"/>
      <w:r w:rsidR="006C7018" w:rsidRPr="008C2779">
        <w:rPr>
          <w:rFonts w:hAnsi="標楷體" w:hint="eastAsia"/>
        </w:rPr>
        <w:t>南地檢署、高雄地檢署、屏東地檢署、基隆地檢署、宜蘭地檢署、花蓮地檢署、</w:t>
      </w:r>
      <w:proofErr w:type="gramStart"/>
      <w:r w:rsidR="006C7018" w:rsidRPr="008C2779">
        <w:rPr>
          <w:rFonts w:hAnsi="標楷體" w:hint="eastAsia"/>
        </w:rPr>
        <w:t>臺</w:t>
      </w:r>
      <w:proofErr w:type="gramEnd"/>
      <w:r w:rsidR="006C7018" w:rsidRPr="008C2779">
        <w:rPr>
          <w:rFonts w:hAnsi="標楷體" w:hint="eastAsia"/>
        </w:rPr>
        <w:t>東地檢署。</w:t>
      </w:r>
    </w:p>
    <w:p w:rsidR="0026586F" w:rsidRPr="008C2779" w:rsidRDefault="0026586F">
      <w:pPr>
        <w:pStyle w:val="aff"/>
        <w:rPr>
          <w:rFonts w:hAnsi="標楷體"/>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DE2BBE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szCs w:val="32"/>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61D"/>
    <w:rsid w:val="00006961"/>
    <w:rsid w:val="000112BF"/>
    <w:rsid w:val="00012233"/>
    <w:rsid w:val="00013CBB"/>
    <w:rsid w:val="00017318"/>
    <w:rsid w:val="00020F91"/>
    <w:rsid w:val="00021754"/>
    <w:rsid w:val="0002320D"/>
    <w:rsid w:val="000246F7"/>
    <w:rsid w:val="00025228"/>
    <w:rsid w:val="0002634F"/>
    <w:rsid w:val="00027F73"/>
    <w:rsid w:val="0003114D"/>
    <w:rsid w:val="000319DD"/>
    <w:rsid w:val="000352CC"/>
    <w:rsid w:val="00036D76"/>
    <w:rsid w:val="000435F9"/>
    <w:rsid w:val="00044BF5"/>
    <w:rsid w:val="0004621B"/>
    <w:rsid w:val="000464AA"/>
    <w:rsid w:val="00047453"/>
    <w:rsid w:val="00053C5E"/>
    <w:rsid w:val="0005490A"/>
    <w:rsid w:val="000562CB"/>
    <w:rsid w:val="00057F32"/>
    <w:rsid w:val="00062A25"/>
    <w:rsid w:val="00062C03"/>
    <w:rsid w:val="000649BA"/>
    <w:rsid w:val="0006595A"/>
    <w:rsid w:val="00066293"/>
    <w:rsid w:val="000662D7"/>
    <w:rsid w:val="000704BC"/>
    <w:rsid w:val="0007123A"/>
    <w:rsid w:val="0007295C"/>
    <w:rsid w:val="00073CB5"/>
    <w:rsid w:val="0007425C"/>
    <w:rsid w:val="00077553"/>
    <w:rsid w:val="0008011B"/>
    <w:rsid w:val="000808D8"/>
    <w:rsid w:val="000851A2"/>
    <w:rsid w:val="000901D7"/>
    <w:rsid w:val="0009352E"/>
    <w:rsid w:val="00096B96"/>
    <w:rsid w:val="000977C4"/>
    <w:rsid w:val="00097FA4"/>
    <w:rsid w:val="000A2F3F"/>
    <w:rsid w:val="000A2F77"/>
    <w:rsid w:val="000A4CA1"/>
    <w:rsid w:val="000B0B4A"/>
    <w:rsid w:val="000B279A"/>
    <w:rsid w:val="000B31CE"/>
    <w:rsid w:val="000B61D2"/>
    <w:rsid w:val="000B6507"/>
    <w:rsid w:val="000B70A7"/>
    <w:rsid w:val="000B7E64"/>
    <w:rsid w:val="000C034B"/>
    <w:rsid w:val="000C2935"/>
    <w:rsid w:val="000C495F"/>
    <w:rsid w:val="000D047C"/>
    <w:rsid w:val="000D3EF4"/>
    <w:rsid w:val="000D625D"/>
    <w:rsid w:val="000D63E8"/>
    <w:rsid w:val="000E011D"/>
    <w:rsid w:val="000E2521"/>
    <w:rsid w:val="000E46C2"/>
    <w:rsid w:val="000E6431"/>
    <w:rsid w:val="000F0918"/>
    <w:rsid w:val="000F21A5"/>
    <w:rsid w:val="000F3733"/>
    <w:rsid w:val="000F38F3"/>
    <w:rsid w:val="000F4514"/>
    <w:rsid w:val="00101330"/>
    <w:rsid w:val="00101362"/>
    <w:rsid w:val="00102B9F"/>
    <w:rsid w:val="00107245"/>
    <w:rsid w:val="00110803"/>
    <w:rsid w:val="00110976"/>
    <w:rsid w:val="00110F08"/>
    <w:rsid w:val="00112637"/>
    <w:rsid w:val="00112ABC"/>
    <w:rsid w:val="00113D89"/>
    <w:rsid w:val="00115D10"/>
    <w:rsid w:val="0012001E"/>
    <w:rsid w:val="001205E8"/>
    <w:rsid w:val="0012377A"/>
    <w:rsid w:val="00124364"/>
    <w:rsid w:val="001246F7"/>
    <w:rsid w:val="00126A55"/>
    <w:rsid w:val="00133F08"/>
    <w:rsid w:val="0013442C"/>
    <w:rsid w:val="001345E6"/>
    <w:rsid w:val="00136550"/>
    <w:rsid w:val="001378B0"/>
    <w:rsid w:val="001400A0"/>
    <w:rsid w:val="00141D5D"/>
    <w:rsid w:val="00142E00"/>
    <w:rsid w:val="00144270"/>
    <w:rsid w:val="00150505"/>
    <w:rsid w:val="00151C13"/>
    <w:rsid w:val="00152793"/>
    <w:rsid w:val="00153B7E"/>
    <w:rsid w:val="001545A9"/>
    <w:rsid w:val="00162EDA"/>
    <w:rsid w:val="001637C7"/>
    <w:rsid w:val="0016480E"/>
    <w:rsid w:val="00164928"/>
    <w:rsid w:val="00174297"/>
    <w:rsid w:val="0017507D"/>
    <w:rsid w:val="001752AC"/>
    <w:rsid w:val="00180E06"/>
    <w:rsid w:val="001817B3"/>
    <w:rsid w:val="00182068"/>
    <w:rsid w:val="00183014"/>
    <w:rsid w:val="00183A7B"/>
    <w:rsid w:val="00184D27"/>
    <w:rsid w:val="001854E1"/>
    <w:rsid w:val="00186D66"/>
    <w:rsid w:val="00190BC3"/>
    <w:rsid w:val="0019344E"/>
    <w:rsid w:val="0019397D"/>
    <w:rsid w:val="001959C2"/>
    <w:rsid w:val="00196FAD"/>
    <w:rsid w:val="001A237D"/>
    <w:rsid w:val="001A4A8F"/>
    <w:rsid w:val="001A51E3"/>
    <w:rsid w:val="001A5B8B"/>
    <w:rsid w:val="001A7968"/>
    <w:rsid w:val="001B2E98"/>
    <w:rsid w:val="001B3483"/>
    <w:rsid w:val="001B367A"/>
    <w:rsid w:val="001B3C1E"/>
    <w:rsid w:val="001B4325"/>
    <w:rsid w:val="001B4494"/>
    <w:rsid w:val="001B6358"/>
    <w:rsid w:val="001C0D8B"/>
    <w:rsid w:val="001C0DA8"/>
    <w:rsid w:val="001C1EB3"/>
    <w:rsid w:val="001C2200"/>
    <w:rsid w:val="001C4560"/>
    <w:rsid w:val="001C4FB7"/>
    <w:rsid w:val="001D4925"/>
    <w:rsid w:val="001D4AD7"/>
    <w:rsid w:val="001D6113"/>
    <w:rsid w:val="001E0D8A"/>
    <w:rsid w:val="001E6031"/>
    <w:rsid w:val="001E6716"/>
    <w:rsid w:val="001E67BA"/>
    <w:rsid w:val="001E74C2"/>
    <w:rsid w:val="001E7848"/>
    <w:rsid w:val="001F2DAA"/>
    <w:rsid w:val="001F5A48"/>
    <w:rsid w:val="001F6260"/>
    <w:rsid w:val="00200007"/>
    <w:rsid w:val="00200A58"/>
    <w:rsid w:val="00200DCF"/>
    <w:rsid w:val="002030A5"/>
    <w:rsid w:val="00203131"/>
    <w:rsid w:val="002059B9"/>
    <w:rsid w:val="00210D06"/>
    <w:rsid w:val="00211C4D"/>
    <w:rsid w:val="00212AC1"/>
    <w:rsid w:val="00212E88"/>
    <w:rsid w:val="00213C9C"/>
    <w:rsid w:val="002160D5"/>
    <w:rsid w:val="00217E87"/>
    <w:rsid w:val="0022009E"/>
    <w:rsid w:val="00220620"/>
    <w:rsid w:val="002214C0"/>
    <w:rsid w:val="00223241"/>
    <w:rsid w:val="0022332B"/>
    <w:rsid w:val="0022425C"/>
    <w:rsid w:val="002246DE"/>
    <w:rsid w:val="002312B8"/>
    <w:rsid w:val="00231666"/>
    <w:rsid w:val="00233510"/>
    <w:rsid w:val="00233B18"/>
    <w:rsid w:val="002410E4"/>
    <w:rsid w:val="00242A5F"/>
    <w:rsid w:val="00243E10"/>
    <w:rsid w:val="00246B11"/>
    <w:rsid w:val="00251E4C"/>
    <w:rsid w:val="00252BC4"/>
    <w:rsid w:val="00252CE1"/>
    <w:rsid w:val="00254014"/>
    <w:rsid w:val="0025443F"/>
    <w:rsid w:val="002620FF"/>
    <w:rsid w:val="0026289E"/>
    <w:rsid w:val="00263537"/>
    <w:rsid w:val="0026504D"/>
    <w:rsid w:val="0026586F"/>
    <w:rsid w:val="002667CA"/>
    <w:rsid w:val="00266A60"/>
    <w:rsid w:val="00270975"/>
    <w:rsid w:val="00270A8A"/>
    <w:rsid w:val="00273A2F"/>
    <w:rsid w:val="00275701"/>
    <w:rsid w:val="00277393"/>
    <w:rsid w:val="00280986"/>
    <w:rsid w:val="00281ECE"/>
    <w:rsid w:val="002831C7"/>
    <w:rsid w:val="002840C6"/>
    <w:rsid w:val="00284FD2"/>
    <w:rsid w:val="00286A49"/>
    <w:rsid w:val="00294AE6"/>
    <w:rsid w:val="00295174"/>
    <w:rsid w:val="002960FD"/>
    <w:rsid w:val="00296172"/>
    <w:rsid w:val="00296B92"/>
    <w:rsid w:val="00296C02"/>
    <w:rsid w:val="00296E12"/>
    <w:rsid w:val="002A0548"/>
    <w:rsid w:val="002A2C22"/>
    <w:rsid w:val="002A552D"/>
    <w:rsid w:val="002B0107"/>
    <w:rsid w:val="002B02EB"/>
    <w:rsid w:val="002B0767"/>
    <w:rsid w:val="002B3CCD"/>
    <w:rsid w:val="002B3F64"/>
    <w:rsid w:val="002B4702"/>
    <w:rsid w:val="002B5DF4"/>
    <w:rsid w:val="002B6900"/>
    <w:rsid w:val="002C0602"/>
    <w:rsid w:val="002C3DBE"/>
    <w:rsid w:val="002C62AC"/>
    <w:rsid w:val="002D14AD"/>
    <w:rsid w:val="002D3812"/>
    <w:rsid w:val="002D3F87"/>
    <w:rsid w:val="002D5638"/>
    <w:rsid w:val="002D5C16"/>
    <w:rsid w:val="002D5EE0"/>
    <w:rsid w:val="002E084D"/>
    <w:rsid w:val="002E4586"/>
    <w:rsid w:val="002F17C1"/>
    <w:rsid w:val="002F1E36"/>
    <w:rsid w:val="002F1F1F"/>
    <w:rsid w:val="002F2F0B"/>
    <w:rsid w:val="002F3DFF"/>
    <w:rsid w:val="002F5E05"/>
    <w:rsid w:val="003001AD"/>
    <w:rsid w:val="00305287"/>
    <w:rsid w:val="003112EA"/>
    <w:rsid w:val="00311BE3"/>
    <w:rsid w:val="00315A16"/>
    <w:rsid w:val="00315EF6"/>
    <w:rsid w:val="0031634B"/>
    <w:rsid w:val="00317053"/>
    <w:rsid w:val="0032109C"/>
    <w:rsid w:val="003216EB"/>
    <w:rsid w:val="00322B45"/>
    <w:rsid w:val="00323809"/>
    <w:rsid w:val="00323D41"/>
    <w:rsid w:val="00325414"/>
    <w:rsid w:val="003273F9"/>
    <w:rsid w:val="003302F1"/>
    <w:rsid w:val="00333729"/>
    <w:rsid w:val="0034470E"/>
    <w:rsid w:val="00344A6D"/>
    <w:rsid w:val="00346430"/>
    <w:rsid w:val="00346DEF"/>
    <w:rsid w:val="00352DB0"/>
    <w:rsid w:val="003539B8"/>
    <w:rsid w:val="0035639E"/>
    <w:rsid w:val="00356812"/>
    <w:rsid w:val="00356D73"/>
    <w:rsid w:val="003609B8"/>
    <w:rsid w:val="00361063"/>
    <w:rsid w:val="00362E62"/>
    <w:rsid w:val="00363605"/>
    <w:rsid w:val="0036424E"/>
    <w:rsid w:val="00364BD9"/>
    <w:rsid w:val="0037094A"/>
    <w:rsid w:val="00371ED3"/>
    <w:rsid w:val="00372FFC"/>
    <w:rsid w:val="0037728A"/>
    <w:rsid w:val="00377B49"/>
    <w:rsid w:val="003802C8"/>
    <w:rsid w:val="00380B7D"/>
    <w:rsid w:val="003814FE"/>
    <w:rsid w:val="00381A99"/>
    <w:rsid w:val="003828F2"/>
    <w:rsid w:val="003829C2"/>
    <w:rsid w:val="003830B2"/>
    <w:rsid w:val="00384724"/>
    <w:rsid w:val="0038509B"/>
    <w:rsid w:val="0038607E"/>
    <w:rsid w:val="00386A05"/>
    <w:rsid w:val="00386B74"/>
    <w:rsid w:val="00390E7F"/>
    <w:rsid w:val="003919B7"/>
    <w:rsid w:val="00391D57"/>
    <w:rsid w:val="00392207"/>
    <w:rsid w:val="00392292"/>
    <w:rsid w:val="003924E7"/>
    <w:rsid w:val="00392AE0"/>
    <w:rsid w:val="00393FBA"/>
    <w:rsid w:val="003B1017"/>
    <w:rsid w:val="003B1B4A"/>
    <w:rsid w:val="003B2E03"/>
    <w:rsid w:val="003B3C07"/>
    <w:rsid w:val="003B49E1"/>
    <w:rsid w:val="003B4C80"/>
    <w:rsid w:val="003B6775"/>
    <w:rsid w:val="003C02E5"/>
    <w:rsid w:val="003C1B73"/>
    <w:rsid w:val="003C2088"/>
    <w:rsid w:val="003C5FE2"/>
    <w:rsid w:val="003C69F8"/>
    <w:rsid w:val="003D05DE"/>
    <w:rsid w:val="003D05FB"/>
    <w:rsid w:val="003D0A26"/>
    <w:rsid w:val="003D1B16"/>
    <w:rsid w:val="003D2FBC"/>
    <w:rsid w:val="003D45BF"/>
    <w:rsid w:val="003D508A"/>
    <w:rsid w:val="003D537F"/>
    <w:rsid w:val="003D7B75"/>
    <w:rsid w:val="003D7C72"/>
    <w:rsid w:val="003E0208"/>
    <w:rsid w:val="003E06AF"/>
    <w:rsid w:val="003E1464"/>
    <w:rsid w:val="003E4B57"/>
    <w:rsid w:val="003E50A4"/>
    <w:rsid w:val="003E6479"/>
    <w:rsid w:val="003E7756"/>
    <w:rsid w:val="003E7B03"/>
    <w:rsid w:val="003F016C"/>
    <w:rsid w:val="003F13BC"/>
    <w:rsid w:val="003F27E1"/>
    <w:rsid w:val="003F437A"/>
    <w:rsid w:val="003F5C2B"/>
    <w:rsid w:val="00400564"/>
    <w:rsid w:val="0040226F"/>
    <w:rsid w:val="004023E9"/>
    <w:rsid w:val="0040454A"/>
    <w:rsid w:val="004070D2"/>
    <w:rsid w:val="00411B2C"/>
    <w:rsid w:val="004128C4"/>
    <w:rsid w:val="0041291C"/>
    <w:rsid w:val="00413F83"/>
    <w:rsid w:val="0041490C"/>
    <w:rsid w:val="0041498A"/>
    <w:rsid w:val="00416191"/>
    <w:rsid w:val="00416721"/>
    <w:rsid w:val="004179BA"/>
    <w:rsid w:val="00421DAE"/>
    <w:rsid w:val="00421EF0"/>
    <w:rsid w:val="004224FA"/>
    <w:rsid w:val="0042269F"/>
    <w:rsid w:val="00423D07"/>
    <w:rsid w:val="00424BEF"/>
    <w:rsid w:val="00425A00"/>
    <w:rsid w:val="00426B93"/>
    <w:rsid w:val="00430FE7"/>
    <w:rsid w:val="00432DB1"/>
    <w:rsid w:val="004368AF"/>
    <w:rsid w:val="0044346F"/>
    <w:rsid w:val="00445382"/>
    <w:rsid w:val="00446158"/>
    <w:rsid w:val="0044716D"/>
    <w:rsid w:val="00452636"/>
    <w:rsid w:val="00452D1A"/>
    <w:rsid w:val="0045342D"/>
    <w:rsid w:val="004544BF"/>
    <w:rsid w:val="00454604"/>
    <w:rsid w:val="00456455"/>
    <w:rsid w:val="00456A4D"/>
    <w:rsid w:val="0046434B"/>
    <w:rsid w:val="0046520A"/>
    <w:rsid w:val="004672AB"/>
    <w:rsid w:val="004714FE"/>
    <w:rsid w:val="0047335D"/>
    <w:rsid w:val="00475994"/>
    <w:rsid w:val="0047612F"/>
    <w:rsid w:val="00477BAA"/>
    <w:rsid w:val="00486CA3"/>
    <w:rsid w:val="00486CD2"/>
    <w:rsid w:val="00491C6E"/>
    <w:rsid w:val="00491D5A"/>
    <w:rsid w:val="0049224B"/>
    <w:rsid w:val="004944FB"/>
    <w:rsid w:val="00495053"/>
    <w:rsid w:val="00496E69"/>
    <w:rsid w:val="004A1F59"/>
    <w:rsid w:val="004A2300"/>
    <w:rsid w:val="004A29BE"/>
    <w:rsid w:val="004A2CDB"/>
    <w:rsid w:val="004A3225"/>
    <w:rsid w:val="004A33EE"/>
    <w:rsid w:val="004A3999"/>
    <w:rsid w:val="004A3AA8"/>
    <w:rsid w:val="004A6454"/>
    <w:rsid w:val="004A6907"/>
    <w:rsid w:val="004A72A3"/>
    <w:rsid w:val="004B13C7"/>
    <w:rsid w:val="004B5A82"/>
    <w:rsid w:val="004B5EF6"/>
    <w:rsid w:val="004B717C"/>
    <w:rsid w:val="004B778F"/>
    <w:rsid w:val="004C37C2"/>
    <w:rsid w:val="004C4C05"/>
    <w:rsid w:val="004C63B6"/>
    <w:rsid w:val="004C6568"/>
    <w:rsid w:val="004C678B"/>
    <w:rsid w:val="004C71C1"/>
    <w:rsid w:val="004C7B3E"/>
    <w:rsid w:val="004D1127"/>
    <w:rsid w:val="004D11DC"/>
    <w:rsid w:val="004D141F"/>
    <w:rsid w:val="004D2742"/>
    <w:rsid w:val="004D2915"/>
    <w:rsid w:val="004D6310"/>
    <w:rsid w:val="004E0062"/>
    <w:rsid w:val="004E05A1"/>
    <w:rsid w:val="004E1C62"/>
    <w:rsid w:val="004E34C7"/>
    <w:rsid w:val="004E388A"/>
    <w:rsid w:val="004E7915"/>
    <w:rsid w:val="004F1892"/>
    <w:rsid w:val="004F1AFE"/>
    <w:rsid w:val="004F2950"/>
    <w:rsid w:val="004F5E57"/>
    <w:rsid w:val="004F6710"/>
    <w:rsid w:val="005003FC"/>
    <w:rsid w:val="00500C3E"/>
    <w:rsid w:val="00502849"/>
    <w:rsid w:val="00504334"/>
    <w:rsid w:val="0050498D"/>
    <w:rsid w:val="00505535"/>
    <w:rsid w:val="00505679"/>
    <w:rsid w:val="00506701"/>
    <w:rsid w:val="00507103"/>
    <w:rsid w:val="005104D7"/>
    <w:rsid w:val="0051063A"/>
    <w:rsid w:val="00510B9E"/>
    <w:rsid w:val="00515622"/>
    <w:rsid w:val="00515625"/>
    <w:rsid w:val="00516CBE"/>
    <w:rsid w:val="00516E25"/>
    <w:rsid w:val="0052000E"/>
    <w:rsid w:val="0052389F"/>
    <w:rsid w:val="00523BD8"/>
    <w:rsid w:val="00525BBA"/>
    <w:rsid w:val="00533484"/>
    <w:rsid w:val="00534004"/>
    <w:rsid w:val="00536BC2"/>
    <w:rsid w:val="00536D39"/>
    <w:rsid w:val="00540BED"/>
    <w:rsid w:val="0054111F"/>
    <w:rsid w:val="00542097"/>
    <w:rsid w:val="005425E1"/>
    <w:rsid w:val="005427C5"/>
    <w:rsid w:val="00542AD6"/>
    <w:rsid w:val="00542CF6"/>
    <w:rsid w:val="00547C9D"/>
    <w:rsid w:val="00550F4A"/>
    <w:rsid w:val="00551AFD"/>
    <w:rsid w:val="00552F7D"/>
    <w:rsid w:val="00553C03"/>
    <w:rsid w:val="005573BF"/>
    <w:rsid w:val="00563692"/>
    <w:rsid w:val="005650EC"/>
    <w:rsid w:val="00565E34"/>
    <w:rsid w:val="00566A02"/>
    <w:rsid w:val="005674DE"/>
    <w:rsid w:val="005714D0"/>
    <w:rsid w:val="00571679"/>
    <w:rsid w:val="00572D74"/>
    <w:rsid w:val="00575ACF"/>
    <w:rsid w:val="00580739"/>
    <w:rsid w:val="00581966"/>
    <w:rsid w:val="005844E7"/>
    <w:rsid w:val="005908B8"/>
    <w:rsid w:val="00594E54"/>
    <w:rsid w:val="0059512E"/>
    <w:rsid w:val="00597ADD"/>
    <w:rsid w:val="00597E57"/>
    <w:rsid w:val="005A5BBE"/>
    <w:rsid w:val="005A6DD2"/>
    <w:rsid w:val="005A7F21"/>
    <w:rsid w:val="005B3EB0"/>
    <w:rsid w:val="005B40C8"/>
    <w:rsid w:val="005B4830"/>
    <w:rsid w:val="005C385D"/>
    <w:rsid w:val="005C610F"/>
    <w:rsid w:val="005C78D7"/>
    <w:rsid w:val="005D1857"/>
    <w:rsid w:val="005D3B20"/>
    <w:rsid w:val="005D53E8"/>
    <w:rsid w:val="005E0645"/>
    <w:rsid w:val="005E3284"/>
    <w:rsid w:val="005E340B"/>
    <w:rsid w:val="005E3B6E"/>
    <w:rsid w:val="005E4759"/>
    <w:rsid w:val="005E5C68"/>
    <w:rsid w:val="005E65C0"/>
    <w:rsid w:val="005F0390"/>
    <w:rsid w:val="005F141E"/>
    <w:rsid w:val="005F142F"/>
    <w:rsid w:val="005F2705"/>
    <w:rsid w:val="005F5B4A"/>
    <w:rsid w:val="00600A69"/>
    <w:rsid w:val="006011A9"/>
    <w:rsid w:val="006061E8"/>
    <w:rsid w:val="00606F7E"/>
    <w:rsid w:val="006072CD"/>
    <w:rsid w:val="006075A9"/>
    <w:rsid w:val="00607830"/>
    <w:rsid w:val="00607F84"/>
    <w:rsid w:val="0061027D"/>
    <w:rsid w:val="00612023"/>
    <w:rsid w:val="006126F4"/>
    <w:rsid w:val="00614190"/>
    <w:rsid w:val="0061783A"/>
    <w:rsid w:val="006211BF"/>
    <w:rsid w:val="00622A99"/>
    <w:rsid w:val="00622E67"/>
    <w:rsid w:val="0062400C"/>
    <w:rsid w:val="006249C5"/>
    <w:rsid w:val="00626D12"/>
    <w:rsid w:val="00626EDC"/>
    <w:rsid w:val="00627B6F"/>
    <w:rsid w:val="006339C7"/>
    <w:rsid w:val="00634E60"/>
    <w:rsid w:val="00636868"/>
    <w:rsid w:val="00637283"/>
    <w:rsid w:val="0064207F"/>
    <w:rsid w:val="00645CA5"/>
    <w:rsid w:val="00646168"/>
    <w:rsid w:val="006463F7"/>
    <w:rsid w:val="006468C8"/>
    <w:rsid w:val="006470EC"/>
    <w:rsid w:val="00651AFA"/>
    <w:rsid w:val="006542D6"/>
    <w:rsid w:val="00654816"/>
    <w:rsid w:val="0065598E"/>
    <w:rsid w:val="00655AF2"/>
    <w:rsid w:val="00655BC5"/>
    <w:rsid w:val="006568BE"/>
    <w:rsid w:val="0066025D"/>
    <w:rsid w:val="0066091A"/>
    <w:rsid w:val="00662000"/>
    <w:rsid w:val="006773EC"/>
    <w:rsid w:val="006801D7"/>
    <w:rsid w:val="00680504"/>
    <w:rsid w:val="00680E22"/>
    <w:rsid w:val="00681CD9"/>
    <w:rsid w:val="006827A7"/>
    <w:rsid w:val="00683E30"/>
    <w:rsid w:val="006843FA"/>
    <w:rsid w:val="0068547E"/>
    <w:rsid w:val="0068628E"/>
    <w:rsid w:val="00687024"/>
    <w:rsid w:val="00692F57"/>
    <w:rsid w:val="00693A46"/>
    <w:rsid w:val="00694ED2"/>
    <w:rsid w:val="00695E22"/>
    <w:rsid w:val="00697219"/>
    <w:rsid w:val="006976A6"/>
    <w:rsid w:val="006A086F"/>
    <w:rsid w:val="006A289A"/>
    <w:rsid w:val="006A63E9"/>
    <w:rsid w:val="006A6DD7"/>
    <w:rsid w:val="006B0E41"/>
    <w:rsid w:val="006B7093"/>
    <w:rsid w:val="006B7417"/>
    <w:rsid w:val="006B78E6"/>
    <w:rsid w:val="006C58F4"/>
    <w:rsid w:val="006C7018"/>
    <w:rsid w:val="006D10D1"/>
    <w:rsid w:val="006D3691"/>
    <w:rsid w:val="006E1C7D"/>
    <w:rsid w:val="006E21C7"/>
    <w:rsid w:val="006E36A6"/>
    <w:rsid w:val="006E3877"/>
    <w:rsid w:val="006E5EF0"/>
    <w:rsid w:val="006E7217"/>
    <w:rsid w:val="006F0092"/>
    <w:rsid w:val="006F0199"/>
    <w:rsid w:val="006F3563"/>
    <w:rsid w:val="006F42B9"/>
    <w:rsid w:val="006F4A3B"/>
    <w:rsid w:val="006F6103"/>
    <w:rsid w:val="00702CD0"/>
    <w:rsid w:val="00704E00"/>
    <w:rsid w:val="00707843"/>
    <w:rsid w:val="00717EA8"/>
    <w:rsid w:val="007209E7"/>
    <w:rsid w:val="00720E5B"/>
    <w:rsid w:val="00721EE0"/>
    <w:rsid w:val="00726182"/>
    <w:rsid w:val="00727635"/>
    <w:rsid w:val="00727ED0"/>
    <w:rsid w:val="007306A4"/>
    <w:rsid w:val="00732329"/>
    <w:rsid w:val="007324D0"/>
    <w:rsid w:val="007337CA"/>
    <w:rsid w:val="00734424"/>
    <w:rsid w:val="00734CE4"/>
    <w:rsid w:val="00735123"/>
    <w:rsid w:val="00740371"/>
    <w:rsid w:val="00741837"/>
    <w:rsid w:val="007453E6"/>
    <w:rsid w:val="00750DBC"/>
    <w:rsid w:val="0075161B"/>
    <w:rsid w:val="00753851"/>
    <w:rsid w:val="00753C34"/>
    <w:rsid w:val="007614D5"/>
    <w:rsid w:val="007642CE"/>
    <w:rsid w:val="00764336"/>
    <w:rsid w:val="0076615C"/>
    <w:rsid w:val="007724E3"/>
    <w:rsid w:val="0077309D"/>
    <w:rsid w:val="0077356D"/>
    <w:rsid w:val="00773EEB"/>
    <w:rsid w:val="00775345"/>
    <w:rsid w:val="007774EE"/>
    <w:rsid w:val="007776A7"/>
    <w:rsid w:val="007779A3"/>
    <w:rsid w:val="00781822"/>
    <w:rsid w:val="00782E53"/>
    <w:rsid w:val="00783F21"/>
    <w:rsid w:val="00785C77"/>
    <w:rsid w:val="007862A5"/>
    <w:rsid w:val="00786915"/>
    <w:rsid w:val="00787159"/>
    <w:rsid w:val="0079043A"/>
    <w:rsid w:val="00790B35"/>
    <w:rsid w:val="00791668"/>
    <w:rsid w:val="007919ED"/>
    <w:rsid w:val="00791AA1"/>
    <w:rsid w:val="00793259"/>
    <w:rsid w:val="00795C23"/>
    <w:rsid w:val="00797B4E"/>
    <w:rsid w:val="007A19DA"/>
    <w:rsid w:val="007A3793"/>
    <w:rsid w:val="007A43A9"/>
    <w:rsid w:val="007A5041"/>
    <w:rsid w:val="007B2184"/>
    <w:rsid w:val="007B44EA"/>
    <w:rsid w:val="007B4FF1"/>
    <w:rsid w:val="007B6422"/>
    <w:rsid w:val="007B6A16"/>
    <w:rsid w:val="007B7632"/>
    <w:rsid w:val="007C1BA2"/>
    <w:rsid w:val="007C237F"/>
    <w:rsid w:val="007C2B48"/>
    <w:rsid w:val="007C2DCD"/>
    <w:rsid w:val="007C4C3C"/>
    <w:rsid w:val="007C512E"/>
    <w:rsid w:val="007C56C1"/>
    <w:rsid w:val="007C5D57"/>
    <w:rsid w:val="007D1ABA"/>
    <w:rsid w:val="007D20E9"/>
    <w:rsid w:val="007D4A86"/>
    <w:rsid w:val="007D4DB3"/>
    <w:rsid w:val="007D4FEB"/>
    <w:rsid w:val="007D594D"/>
    <w:rsid w:val="007D7881"/>
    <w:rsid w:val="007D7E3A"/>
    <w:rsid w:val="007D7F3D"/>
    <w:rsid w:val="007E0E10"/>
    <w:rsid w:val="007E44E0"/>
    <w:rsid w:val="007E4768"/>
    <w:rsid w:val="007E555D"/>
    <w:rsid w:val="007E5CE5"/>
    <w:rsid w:val="007E777B"/>
    <w:rsid w:val="007F072E"/>
    <w:rsid w:val="007F2039"/>
    <w:rsid w:val="007F2070"/>
    <w:rsid w:val="007F37AE"/>
    <w:rsid w:val="007F4C3B"/>
    <w:rsid w:val="007F4D3E"/>
    <w:rsid w:val="007F5037"/>
    <w:rsid w:val="008017CF"/>
    <w:rsid w:val="0080511A"/>
    <w:rsid w:val="008053F5"/>
    <w:rsid w:val="00805847"/>
    <w:rsid w:val="008074D0"/>
    <w:rsid w:val="00807AF7"/>
    <w:rsid w:val="00810198"/>
    <w:rsid w:val="00811B54"/>
    <w:rsid w:val="00813AC2"/>
    <w:rsid w:val="00815DA8"/>
    <w:rsid w:val="008170F3"/>
    <w:rsid w:val="0081785D"/>
    <w:rsid w:val="00820952"/>
    <w:rsid w:val="0082194D"/>
    <w:rsid w:val="008227BE"/>
    <w:rsid w:val="00823DA6"/>
    <w:rsid w:val="0082605C"/>
    <w:rsid w:val="00826EF5"/>
    <w:rsid w:val="00827749"/>
    <w:rsid w:val="00831693"/>
    <w:rsid w:val="00834439"/>
    <w:rsid w:val="008350B8"/>
    <w:rsid w:val="00837D91"/>
    <w:rsid w:val="00840104"/>
    <w:rsid w:val="00840C1B"/>
    <w:rsid w:val="00840C1F"/>
    <w:rsid w:val="00840F33"/>
    <w:rsid w:val="00841FC5"/>
    <w:rsid w:val="00844D3B"/>
    <w:rsid w:val="00845709"/>
    <w:rsid w:val="0084619D"/>
    <w:rsid w:val="00846AF1"/>
    <w:rsid w:val="008470FF"/>
    <w:rsid w:val="00852554"/>
    <w:rsid w:val="00852962"/>
    <w:rsid w:val="008576BD"/>
    <w:rsid w:val="00860463"/>
    <w:rsid w:val="00861EBD"/>
    <w:rsid w:val="00863847"/>
    <w:rsid w:val="008668BE"/>
    <w:rsid w:val="0086764E"/>
    <w:rsid w:val="008721B6"/>
    <w:rsid w:val="008733DA"/>
    <w:rsid w:val="0087441D"/>
    <w:rsid w:val="008745CF"/>
    <w:rsid w:val="0087522A"/>
    <w:rsid w:val="00876A69"/>
    <w:rsid w:val="00876AE8"/>
    <w:rsid w:val="0088031F"/>
    <w:rsid w:val="00883DA8"/>
    <w:rsid w:val="008850E4"/>
    <w:rsid w:val="008859FB"/>
    <w:rsid w:val="00893240"/>
    <w:rsid w:val="008939AB"/>
    <w:rsid w:val="008941D2"/>
    <w:rsid w:val="0089638B"/>
    <w:rsid w:val="00897B43"/>
    <w:rsid w:val="00897B5D"/>
    <w:rsid w:val="008A12F5"/>
    <w:rsid w:val="008A321D"/>
    <w:rsid w:val="008A4036"/>
    <w:rsid w:val="008B0ED4"/>
    <w:rsid w:val="008B1587"/>
    <w:rsid w:val="008B1B01"/>
    <w:rsid w:val="008B3BCD"/>
    <w:rsid w:val="008B5166"/>
    <w:rsid w:val="008B52BC"/>
    <w:rsid w:val="008B58C3"/>
    <w:rsid w:val="008B5AE5"/>
    <w:rsid w:val="008B5FEA"/>
    <w:rsid w:val="008B6DF8"/>
    <w:rsid w:val="008C106C"/>
    <w:rsid w:val="008C10F1"/>
    <w:rsid w:val="008C1926"/>
    <w:rsid w:val="008C1E99"/>
    <w:rsid w:val="008C2779"/>
    <w:rsid w:val="008C27E8"/>
    <w:rsid w:val="008D2115"/>
    <w:rsid w:val="008D300C"/>
    <w:rsid w:val="008D617E"/>
    <w:rsid w:val="008E0085"/>
    <w:rsid w:val="008E2AA6"/>
    <w:rsid w:val="008E311B"/>
    <w:rsid w:val="008E7651"/>
    <w:rsid w:val="008F0FD8"/>
    <w:rsid w:val="008F46E7"/>
    <w:rsid w:val="008F47EA"/>
    <w:rsid w:val="008F513B"/>
    <w:rsid w:val="008F6F0B"/>
    <w:rsid w:val="00904E2E"/>
    <w:rsid w:val="00907BA7"/>
    <w:rsid w:val="0091064E"/>
    <w:rsid w:val="00911FC5"/>
    <w:rsid w:val="00913BD5"/>
    <w:rsid w:val="00914D05"/>
    <w:rsid w:val="00914D09"/>
    <w:rsid w:val="00915FBF"/>
    <w:rsid w:val="00921120"/>
    <w:rsid w:val="00925A17"/>
    <w:rsid w:val="00931A10"/>
    <w:rsid w:val="009327E2"/>
    <w:rsid w:val="00936DD5"/>
    <w:rsid w:val="00945EBF"/>
    <w:rsid w:val="00947967"/>
    <w:rsid w:val="00950270"/>
    <w:rsid w:val="0095141C"/>
    <w:rsid w:val="00953996"/>
    <w:rsid w:val="00953B7E"/>
    <w:rsid w:val="009542FA"/>
    <w:rsid w:val="00955201"/>
    <w:rsid w:val="00961D3D"/>
    <w:rsid w:val="00965200"/>
    <w:rsid w:val="00965FA2"/>
    <w:rsid w:val="009668B3"/>
    <w:rsid w:val="00970529"/>
    <w:rsid w:val="00970B41"/>
    <w:rsid w:val="00971335"/>
    <w:rsid w:val="00971471"/>
    <w:rsid w:val="00972BA5"/>
    <w:rsid w:val="00974E5D"/>
    <w:rsid w:val="0097595D"/>
    <w:rsid w:val="00980BDC"/>
    <w:rsid w:val="00980D96"/>
    <w:rsid w:val="009849C2"/>
    <w:rsid w:val="00984D24"/>
    <w:rsid w:val="009858EB"/>
    <w:rsid w:val="009917D5"/>
    <w:rsid w:val="00994524"/>
    <w:rsid w:val="009A17C2"/>
    <w:rsid w:val="009A40DA"/>
    <w:rsid w:val="009A6D31"/>
    <w:rsid w:val="009B0045"/>
    <w:rsid w:val="009B0046"/>
    <w:rsid w:val="009B5A93"/>
    <w:rsid w:val="009B615F"/>
    <w:rsid w:val="009B6D54"/>
    <w:rsid w:val="009C0614"/>
    <w:rsid w:val="009C0E22"/>
    <w:rsid w:val="009C1440"/>
    <w:rsid w:val="009C2107"/>
    <w:rsid w:val="009C2996"/>
    <w:rsid w:val="009C47FD"/>
    <w:rsid w:val="009C4D7B"/>
    <w:rsid w:val="009C5D9E"/>
    <w:rsid w:val="009C5FB4"/>
    <w:rsid w:val="009C68A4"/>
    <w:rsid w:val="009C7E39"/>
    <w:rsid w:val="009D00C5"/>
    <w:rsid w:val="009D0330"/>
    <w:rsid w:val="009D0D90"/>
    <w:rsid w:val="009D2C3E"/>
    <w:rsid w:val="009D2CDE"/>
    <w:rsid w:val="009D3C4B"/>
    <w:rsid w:val="009D55E6"/>
    <w:rsid w:val="009D60E4"/>
    <w:rsid w:val="009E0625"/>
    <w:rsid w:val="009E22F2"/>
    <w:rsid w:val="009E24EF"/>
    <w:rsid w:val="009E3034"/>
    <w:rsid w:val="009E549F"/>
    <w:rsid w:val="009F28A8"/>
    <w:rsid w:val="009F473E"/>
    <w:rsid w:val="009F5437"/>
    <w:rsid w:val="009F682A"/>
    <w:rsid w:val="009F7C92"/>
    <w:rsid w:val="00A001FC"/>
    <w:rsid w:val="00A022BE"/>
    <w:rsid w:val="00A02B8B"/>
    <w:rsid w:val="00A03335"/>
    <w:rsid w:val="00A05050"/>
    <w:rsid w:val="00A0603F"/>
    <w:rsid w:val="00A164D6"/>
    <w:rsid w:val="00A16CA0"/>
    <w:rsid w:val="00A17551"/>
    <w:rsid w:val="00A2030E"/>
    <w:rsid w:val="00A20367"/>
    <w:rsid w:val="00A24C95"/>
    <w:rsid w:val="00A2534E"/>
    <w:rsid w:val="00A2599A"/>
    <w:rsid w:val="00A26094"/>
    <w:rsid w:val="00A301BF"/>
    <w:rsid w:val="00A302B2"/>
    <w:rsid w:val="00A33117"/>
    <w:rsid w:val="00A331B4"/>
    <w:rsid w:val="00A33E05"/>
    <w:rsid w:val="00A3484E"/>
    <w:rsid w:val="00A356D3"/>
    <w:rsid w:val="00A36ADA"/>
    <w:rsid w:val="00A3708F"/>
    <w:rsid w:val="00A438D8"/>
    <w:rsid w:val="00A44ED7"/>
    <w:rsid w:val="00A4676C"/>
    <w:rsid w:val="00A473F5"/>
    <w:rsid w:val="00A478C7"/>
    <w:rsid w:val="00A51F9D"/>
    <w:rsid w:val="00A52336"/>
    <w:rsid w:val="00A5416A"/>
    <w:rsid w:val="00A562C9"/>
    <w:rsid w:val="00A639F4"/>
    <w:rsid w:val="00A72D4D"/>
    <w:rsid w:val="00A74927"/>
    <w:rsid w:val="00A749FD"/>
    <w:rsid w:val="00A813B6"/>
    <w:rsid w:val="00A81A32"/>
    <w:rsid w:val="00A835BD"/>
    <w:rsid w:val="00A913D0"/>
    <w:rsid w:val="00A9498B"/>
    <w:rsid w:val="00A9625A"/>
    <w:rsid w:val="00A97B15"/>
    <w:rsid w:val="00AA0B17"/>
    <w:rsid w:val="00AA279D"/>
    <w:rsid w:val="00AA2883"/>
    <w:rsid w:val="00AA3BFC"/>
    <w:rsid w:val="00AA3F5F"/>
    <w:rsid w:val="00AA42D5"/>
    <w:rsid w:val="00AA55A0"/>
    <w:rsid w:val="00AA70DB"/>
    <w:rsid w:val="00AB1C63"/>
    <w:rsid w:val="00AB2FAB"/>
    <w:rsid w:val="00AB5035"/>
    <w:rsid w:val="00AB5050"/>
    <w:rsid w:val="00AB5C14"/>
    <w:rsid w:val="00AC1EE7"/>
    <w:rsid w:val="00AC333F"/>
    <w:rsid w:val="00AC43C7"/>
    <w:rsid w:val="00AC51A9"/>
    <w:rsid w:val="00AC585C"/>
    <w:rsid w:val="00AD1925"/>
    <w:rsid w:val="00AD23D1"/>
    <w:rsid w:val="00AD3015"/>
    <w:rsid w:val="00AD62EA"/>
    <w:rsid w:val="00AD6A49"/>
    <w:rsid w:val="00AE067D"/>
    <w:rsid w:val="00AE2ABD"/>
    <w:rsid w:val="00AE4546"/>
    <w:rsid w:val="00AE6B70"/>
    <w:rsid w:val="00AF0C39"/>
    <w:rsid w:val="00AF1181"/>
    <w:rsid w:val="00AF2F79"/>
    <w:rsid w:val="00AF4653"/>
    <w:rsid w:val="00AF7158"/>
    <w:rsid w:val="00AF7DB7"/>
    <w:rsid w:val="00B046D9"/>
    <w:rsid w:val="00B069BE"/>
    <w:rsid w:val="00B06BE0"/>
    <w:rsid w:val="00B07464"/>
    <w:rsid w:val="00B13767"/>
    <w:rsid w:val="00B15537"/>
    <w:rsid w:val="00B16D02"/>
    <w:rsid w:val="00B16F43"/>
    <w:rsid w:val="00B201E2"/>
    <w:rsid w:val="00B21360"/>
    <w:rsid w:val="00B2587A"/>
    <w:rsid w:val="00B31A6D"/>
    <w:rsid w:val="00B34D5E"/>
    <w:rsid w:val="00B366A8"/>
    <w:rsid w:val="00B37965"/>
    <w:rsid w:val="00B41A53"/>
    <w:rsid w:val="00B443E4"/>
    <w:rsid w:val="00B453DE"/>
    <w:rsid w:val="00B468A8"/>
    <w:rsid w:val="00B473AE"/>
    <w:rsid w:val="00B51FF7"/>
    <w:rsid w:val="00B52593"/>
    <w:rsid w:val="00B54082"/>
    <w:rsid w:val="00B563EA"/>
    <w:rsid w:val="00B60E51"/>
    <w:rsid w:val="00B61423"/>
    <w:rsid w:val="00B617AB"/>
    <w:rsid w:val="00B62178"/>
    <w:rsid w:val="00B62647"/>
    <w:rsid w:val="00B63A54"/>
    <w:rsid w:val="00B6654F"/>
    <w:rsid w:val="00B706DC"/>
    <w:rsid w:val="00B73F4F"/>
    <w:rsid w:val="00B77D18"/>
    <w:rsid w:val="00B82F75"/>
    <w:rsid w:val="00B82FAA"/>
    <w:rsid w:val="00B8313A"/>
    <w:rsid w:val="00B8438E"/>
    <w:rsid w:val="00B93503"/>
    <w:rsid w:val="00B958EB"/>
    <w:rsid w:val="00BA1494"/>
    <w:rsid w:val="00BA31E8"/>
    <w:rsid w:val="00BA55E0"/>
    <w:rsid w:val="00BA62CD"/>
    <w:rsid w:val="00BA6BD4"/>
    <w:rsid w:val="00BA6C7A"/>
    <w:rsid w:val="00BA763E"/>
    <w:rsid w:val="00BB266E"/>
    <w:rsid w:val="00BB3752"/>
    <w:rsid w:val="00BB3A20"/>
    <w:rsid w:val="00BB6688"/>
    <w:rsid w:val="00BC0AFC"/>
    <w:rsid w:val="00BC26D4"/>
    <w:rsid w:val="00BC3A2F"/>
    <w:rsid w:val="00BC41FC"/>
    <w:rsid w:val="00BD3736"/>
    <w:rsid w:val="00BD3D8E"/>
    <w:rsid w:val="00BE0C80"/>
    <w:rsid w:val="00BE13AF"/>
    <w:rsid w:val="00BE1F7E"/>
    <w:rsid w:val="00BE463C"/>
    <w:rsid w:val="00BF2A42"/>
    <w:rsid w:val="00BF3679"/>
    <w:rsid w:val="00BF4DE5"/>
    <w:rsid w:val="00C007ED"/>
    <w:rsid w:val="00C00C96"/>
    <w:rsid w:val="00C00F8E"/>
    <w:rsid w:val="00C03D8C"/>
    <w:rsid w:val="00C0484F"/>
    <w:rsid w:val="00C04AC2"/>
    <w:rsid w:val="00C055EC"/>
    <w:rsid w:val="00C10DC9"/>
    <w:rsid w:val="00C12FB3"/>
    <w:rsid w:val="00C13B10"/>
    <w:rsid w:val="00C17341"/>
    <w:rsid w:val="00C20702"/>
    <w:rsid w:val="00C20DCE"/>
    <w:rsid w:val="00C221BC"/>
    <w:rsid w:val="00C2223A"/>
    <w:rsid w:val="00C24EEF"/>
    <w:rsid w:val="00C25CF6"/>
    <w:rsid w:val="00C26C36"/>
    <w:rsid w:val="00C270EB"/>
    <w:rsid w:val="00C32768"/>
    <w:rsid w:val="00C34EB0"/>
    <w:rsid w:val="00C35CD1"/>
    <w:rsid w:val="00C35D7B"/>
    <w:rsid w:val="00C36653"/>
    <w:rsid w:val="00C430DA"/>
    <w:rsid w:val="00C431DF"/>
    <w:rsid w:val="00C4384B"/>
    <w:rsid w:val="00C44EA8"/>
    <w:rsid w:val="00C456BD"/>
    <w:rsid w:val="00C52AFF"/>
    <w:rsid w:val="00C530DC"/>
    <w:rsid w:val="00C5350D"/>
    <w:rsid w:val="00C6123C"/>
    <w:rsid w:val="00C624CF"/>
    <w:rsid w:val="00C6311A"/>
    <w:rsid w:val="00C63E23"/>
    <w:rsid w:val="00C65320"/>
    <w:rsid w:val="00C660A0"/>
    <w:rsid w:val="00C704F6"/>
    <w:rsid w:val="00C7084D"/>
    <w:rsid w:val="00C7315E"/>
    <w:rsid w:val="00C732C7"/>
    <w:rsid w:val="00C73C2C"/>
    <w:rsid w:val="00C742AD"/>
    <w:rsid w:val="00C74F13"/>
    <w:rsid w:val="00C75895"/>
    <w:rsid w:val="00C80CC3"/>
    <w:rsid w:val="00C81729"/>
    <w:rsid w:val="00C83C9F"/>
    <w:rsid w:val="00C83EE9"/>
    <w:rsid w:val="00C9175D"/>
    <w:rsid w:val="00C93329"/>
    <w:rsid w:val="00C94840"/>
    <w:rsid w:val="00CA00A1"/>
    <w:rsid w:val="00CA1F14"/>
    <w:rsid w:val="00CA2697"/>
    <w:rsid w:val="00CA4EE3"/>
    <w:rsid w:val="00CA63CA"/>
    <w:rsid w:val="00CA699B"/>
    <w:rsid w:val="00CB027F"/>
    <w:rsid w:val="00CB29BE"/>
    <w:rsid w:val="00CB503C"/>
    <w:rsid w:val="00CB772A"/>
    <w:rsid w:val="00CC0EBB"/>
    <w:rsid w:val="00CC25B9"/>
    <w:rsid w:val="00CC4DFD"/>
    <w:rsid w:val="00CC50AD"/>
    <w:rsid w:val="00CC53B7"/>
    <w:rsid w:val="00CC6297"/>
    <w:rsid w:val="00CC7690"/>
    <w:rsid w:val="00CD0D7A"/>
    <w:rsid w:val="00CD1986"/>
    <w:rsid w:val="00CD54BF"/>
    <w:rsid w:val="00CD5FE1"/>
    <w:rsid w:val="00CD7F0E"/>
    <w:rsid w:val="00CE26AC"/>
    <w:rsid w:val="00CE314E"/>
    <w:rsid w:val="00CE4D5C"/>
    <w:rsid w:val="00CE746E"/>
    <w:rsid w:val="00CF05DA"/>
    <w:rsid w:val="00CF1752"/>
    <w:rsid w:val="00CF2AFF"/>
    <w:rsid w:val="00CF3A3A"/>
    <w:rsid w:val="00CF58EB"/>
    <w:rsid w:val="00CF6FEC"/>
    <w:rsid w:val="00D002A4"/>
    <w:rsid w:val="00D0106E"/>
    <w:rsid w:val="00D046F8"/>
    <w:rsid w:val="00D06383"/>
    <w:rsid w:val="00D12341"/>
    <w:rsid w:val="00D1405A"/>
    <w:rsid w:val="00D20E85"/>
    <w:rsid w:val="00D231E4"/>
    <w:rsid w:val="00D24615"/>
    <w:rsid w:val="00D270D1"/>
    <w:rsid w:val="00D3009D"/>
    <w:rsid w:val="00D3405F"/>
    <w:rsid w:val="00D3461D"/>
    <w:rsid w:val="00D35DEE"/>
    <w:rsid w:val="00D37842"/>
    <w:rsid w:val="00D42DC2"/>
    <w:rsid w:val="00D4424A"/>
    <w:rsid w:val="00D44756"/>
    <w:rsid w:val="00D512B9"/>
    <w:rsid w:val="00D52254"/>
    <w:rsid w:val="00D537E1"/>
    <w:rsid w:val="00D55BB2"/>
    <w:rsid w:val="00D567A3"/>
    <w:rsid w:val="00D56BF5"/>
    <w:rsid w:val="00D6091A"/>
    <w:rsid w:val="00D6287A"/>
    <w:rsid w:val="00D63139"/>
    <w:rsid w:val="00D64D34"/>
    <w:rsid w:val="00D65A01"/>
    <w:rsid w:val="00D6605A"/>
    <w:rsid w:val="00D6695F"/>
    <w:rsid w:val="00D75644"/>
    <w:rsid w:val="00D7570E"/>
    <w:rsid w:val="00D7641D"/>
    <w:rsid w:val="00D770A6"/>
    <w:rsid w:val="00D773D1"/>
    <w:rsid w:val="00D81656"/>
    <w:rsid w:val="00D83D87"/>
    <w:rsid w:val="00D846AC"/>
    <w:rsid w:val="00D84A6D"/>
    <w:rsid w:val="00D858C2"/>
    <w:rsid w:val="00D86A30"/>
    <w:rsid w:val="00D87A90"/>
    <w:rsid w:val="00D97CB4"/>
    <w:rsid w:val="00D97DD4"/>
    <w:rsid w:val="00DA332A"/>
    <w:rsid w:val="00DA4D7F"/>
    <w:rsid w:val="00DA5A8A"/>
    <w:rsid w:val="00DB00E3"/>
    <w:rsid w:val="00DB0D4B"/>
    <w:rsid w:val="00DB26CD"/>
    <w:rsid w:val="00DB2CD7"/>
    <w:rsid w:val="00DB441C"/>
    <w:rsid w:val="00DB44AF"/>
    <w:rsid w:val="00DB5033"/>
    <w:rsid w:val="00DC0158"/>
    <w:rsid w:val="00DC10D9"/>
    <w:rsid w:val="00DC1F58"/>
    <w:rsid w:val="00DC339B"/>
    <w:rsid w:val="00DC3C69"/>
    <w:rsid w:val="00DC5D40"/>
    <w:rsid w:val="00DC69A7"/>
    <w:rsid w:val="00DD30E9"/>
    <w:rsid w:val="00DD4F47"/>
    <w:rsid w:val="00DD5C17"/>
    <w:rsid w:val="00DD6E40"/>
    <w:rsid w:val="00DD6FCD"/>
    <w:rsid w:val="00DD7FBB"/>
    <w:rsid w:val="00DE0B9F"/>
    <w:rsid w:val="00DE10B9"/>
    <w:rsid w:val="00DE128D"/>
    <w:rsid w:val="00DE1B79"/>
    <w:rsid w:val="00DE4238"/>
    <w:rsid w:val="00DE657F"/>
    <w:rsid w:val="00DF1218"/>
    <w:rsid w:val="00DF37AE"/>
    <w:rsid w:val="00DF4744"/>
    <w:rsid w:val="00DF6462"/>
    <w:rsid w:val="00E02FA0"/>
    <w:rsid w:val="00E036DC"/>
    <w:rsid w:val="00E07C07"/>
    <w:rsid w:val="00E10454"/>
    <w:rsid w:val="00E112E5"/>
    <w:rsid w:val="00E12CC8"/>
    <w:rsid w:val="00E136A5"/>
    <w:rsid w:val="00E14261"/>
    <w:rsid w:val="00E15352"/>
    <w:rsid w:val="00E1786D"/>
    <w:rsid w:val="00E21CC7"/>
    <w:rsid w:val="00E220CD"/>
    <w:rsid w:val="00E2257B"/>
    <w:rsid w:val="00E24D9E"/>
    <w:rsid w:val="00E25849"/>
    <w:rsid w:val="00E302C7"/>
    <w:rsid w:val="00E3197E"/>
    <w:rsid w:val="00E342F8"/>
    <w:rsid w:val="00E351ED"/>
    <w:rsid w:val="00E41361"/>
    <w:rsid w:val="00E41A28"/>
    <w:rsid w:val="00E42576"/>
    <w:rsid w:val="00E4377F"/>
    <w:rsid w:val="00E43E12"/>
    <w:rsid w:val="00E46F45"/>
    <w:rsid w:val="00E56592"/>
    <w:rsid w:val="00E6034B"/>
    <w:rsid w:val="00E60A83"/>
    <w:rsid w:val="00E63B18"/>
    <w:rsid w:val="00E6549E"/>
    <w:rsid w:val="00E65EDE"/>
    <w:rsid w:val="00E70F81"/>
    <w:rsid w:val="00E75AA4"/>
    <w:rsid w:val="00E77055"/>
    <w:rsid w:val="00E77460"/>
    <w:rsid w:val="00E81ACA"/>
    <w:rsid w:val="00E82535"/>
    <w:rsid w:val="00E83ABC"/>
    <w:rsid w:val="00E844F2"/>
    <w:rsid w:val="00E8661E"/>
    <w:rsid w:val="00E90AD0"/>
    <w:rsid w:val="00E91994"/>
    <w:rsid w:val="00E91C0D"/>
    <w:rsid w:val="00E92661"/>
    <w:rsid w:val="00E92FCB"/>
    <w:rsid w:val="00EA0389"/>
    <w:rsid w:val="00EA0F10"/>
    <w:rsid w:val="00EA147F"/>
    <w:rsid w:val="00EA15DA"/>
    <w:rsid w:val="00EA43DD"/>
    <w:rsid w:val="00EA4A27"/>
    <w:rsid w:val="00EA4FA6"/>
    <w:rsid w:val="00EA753D"/>
    <w:rsid w:val="00EB0E3A"/>
    <w:rsid w:val="00EB1A25"/>
    <w:rsid w:val="00EB45D3"/>
    <w:rsid w:val="00EB658C"/>
    <w:rsid w:val="00EC1B0D"/>
    <w:rsid w:val="00EC3741"/>
    <w:rsid w:val="00ED03AB"/>
    <w:rsid w:val="00ED0E07"/>
    <w:rsid w:val="00ED1CD4"/>
    <w:rsid w:val="00ED1D2B"/>
    <w:rsid w:val="00ED4CAC"/>
    <w:rsid w:val="00ED64B5"/>
    <w:rsid w:val="00ED6C8E"/>
    <w:rsid w:val="00ED7B57"/>
    <w:rsid w:val="00EE7CCA"/>
    <w:rsid w:val="00EF0D6A"/>
    <w:rsid w:val="00EF2FE1"/>
    <w:rsid w:val="00EF47A3"/>
    <w:rsid w:val="00EF5A8E"/>
    <w:rsid w:val="00F016B5"/>
    <w:rsid w:val="00F04D57"/>
    <w:rsid w:val="00F07557"/>
    <w:rsid w:val="00F07631"/>
    <w:rsid w:val="00F10D60"/>
    <w:rsid w:val="00F133D0"/>
    <w:rsid w:val="00F145A4"/>
    <w:rsid w:val="00F159FF"/>
    <w:rsid w:val="00F15EE2"/>
    <w:rsid w:val="00F1656A"/>
    <w:rsid w:val="00F16A14"/>
    <w:rsid w:val="00F24513"/>
    <w:rsid w:val="00F2687D"/>
    <w:rsid w:val="00F26D6F"/>
    <w:rsid w:val="00F32D3C"/>
    <w:rsid w:val="00F333F2"/>
    <w:rsid w:val="00F33BB6"/>
    <w:rsid w:val="00F345E6"/>
    <w:rsid w:val="00F34CF3"/>
    <w:rsid w:val="00F35E98"/>
    <w:rsid w:val="00F362D7"/>
    <w:rsid w:val="00F37D7B"/>
    <w:rsid w:val="00F44CDD"/>
    <w:rsid w:val="00F47C3E"/>
    <w:rsid w:val="00F51CA7"/>
    <w:rsid w:val="00F5314C"/>
    <w:rsid w:val="00F5381A"/>
    <w:rsid w:val="00F5688C"/>
    <w:rsid w:val="00F635DD"/>
    <w:rsid w:val="00F65406"/>
    <w:rsid w:val="00F6627B"/>
    <w:rsid w:val="00F66F60"/>
    <w:rsid w:val="00F671D6"/>
    <w:rsid w:val="00F701D7"/>
    <w:rsid w:val="00F707CB"/>
    <w:rsid w:val="00F7336E"/>
    <w:rsid w:val="00F734F2"/>
    <w:rsid w:val="00F75052"/>
    <w:rsid w:val="00F7685C"/>
    <w:rsid w:val="00F77071"/>
    <w:rsid w:val="00F804D3"/>
    <w:rsid w:val="00F81CD2"/>
    <w:rsid w:val="00F8261D"/>
    <w:rsid w:val="00F82641"/>
    <w:rsid w:val="00F84336"/>
    <w:rsid w:val="00F90F18"/>
    <w:rsid w:val="00F922B7"/>
    <w:rsid w:val="00F937E4"/>
    <w:rsid w:val="00F95EE7"/>
    <w:rsid w:val="00F960FD"/>
    <w:rsid w:val="00F97184"/>
    <w:rsid w:val="00FA0BC1"/>
    <w:rsid w:val="00FA39E6"/>
    <w:rsid w:val="00FA5CE6"/>
    <w:rsid w:val="00FA7665"/>
    <w:rsid w:val="00FA7BC9"/>
    <w:rsid w:val="00FB1273"/>
    <w:rsid w:val="00FB356F"/>
    <w:rsid w:val="00FB378E"/>
    <w:rsid w:val="00FB37F1"/>
    <w:rsid w:val="00FB47C0"/>
    <w:rsid w:val="00FB501B"/>
    <w:rsid w:val="00FB7770"/>
    <w:rsid w:val="00FC0175"/>
    <w:rsid w:val="00FC2280"/>
    <w:rsid w:val="00FC3D1A"/>
    <w:rsid w:val="00FC5123"/>
    <w:rsid w:val="00FC74F7"/>
    <w:rsid w:val="00FD2A9B"/>
    <w:rsid w:val="00FD3B91"/>
    <w:rsid w:val="00FD3BC1"/>
    <w:rsid w:val="00FD3EE9"/>
    <w:rsid w:val="00FD576B"/>
    <w:rsid w:val="00FD579E"/>
    <w:rsid w:val="00FD6845"/>
    <w:rsid w:val="00FE4516"/>
    <w:rsid w:val="00FE64C8"/>
    <w:rsid w:val="00FE6655"/>
    <w:rsid w:val="00FE7CE6"/>
    <w:rsid w:val="00FF03BC"/>
    <w:rsid w:val="00FF1899"/>
    <w:rsid w:val="00FF1A8A"/>
    <w:rsid w:val="00FF527A"/>
    <w:rsid w:val="00FF54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270D1"/>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6"/>
      </w:numPr>
      <w:outlineLvl w:val="0"/>
    </w:pPr>
    <w:rPr>
      <w:rFonts w:hAnsi="Arial"/>
      <w:bCs/>
      <w:kern w:val="32"/>
      <w:szCs w:val="52"/>
    </w:rPr>
  </w:style>
  <w:style w:type="paragraph" w:styleId="2">
    <w:name w:val="heading 2"/>
    <w:aliases w:val="一.,標題110/111,節,節1"/>
    <w:basedOn w:val="a6"/>
    <w:link w:val="20"/>
    <w:uiPriority w:val="9"/>
    <w:qFormat/>
    <w:rsid w:val="004F5E57"/>
    <w:pPr>
      <w:numPr>
        <w:ilvl w:val="1"/>
        <w:numId w:val="6"/>
      </w:numPr>
      <w:outlineLvl w:val="1"/>
    </w:pPr>
    <w:rPr>
      <w:rFonts w:hAnsi="Arial"/>
      <w:bCs/>
      <w:kern w:val="32"/>
      <w:szCs w:val="48"/>
    </w:rPr>
  </w:style>
  <w:style w:type="paragraph" w:styleId="3">
    <w:name w:val="heading 3"/>
    <w:aliases w:val="(一)"/>
    <w:basedOn w:val="a6"/>
    <w:link w:val="30"/>
    <w:uiPriority w:val="9"/>
    <w:qFormat/>
    <w:rsid w:val="004F5E57"/>
    <w:pPr>
      <w:numPr>
        <w:ilvl w:val="2"/>
        <w:numId w:val="6"/>
      </w:numPr>
      <w:outlineLvl w:val="2"/>
    </w:pPr>
    <w:rPr>
      <w:rFonts w:hAnsi="Arial"/>
      <w:bCs/>
      <w:kern w:val="32"/>
      <w:szCs w:val="36"/>
    </w:rPr>
  </w:style>
  <w:style w:type="paragraph" w:styleId="4">
    <w:name w:val="heading 4"/>
    <w:aliases w:val="1.,表格,一"/>
    <w:basedOn w:val="a6"/>
    <w:link w:val="40"/>
    <w:uiPriority w:val="9"/>
    <w:qFormat/>
    <w:rsid w:val="004F5E57"/>
    <w:pPr>
      <w:numPr>
        <w:ilvl w:val="3"/>
        <w:numId w:val="6"/>
      </w:numPr>
      <w:outlineLvl w:val="3"/>
    </w:pPr>
    <w:rPr>
      <w:rFonts w:hAnsi="Arial"/>
      <w:kern w:val="32"/>
      <w:szCs w:val="36"/>
    </w:rPr>
  </w:style>
  <w:style w:type="paragraph" w:styleId="5">
    <w:name w:val="heading 5"/>
    <w:basedOn w:val="a6"/>
    <w:link w:val="50"/>
    <w:uiPriority w:val="9"/>
    <w:qFormat/>
    <w:rsid w:val="004F5E57"/>
    <w:pPr>
      <w:numPr>
        <w:ilvl w:val="4"/>
        <w:numId w:val="6"/>
      </w:numPr>
      <w:outlineLvl w:val="4"/>
    </w:pPr>
    <w:rPr>
      <w:rFonts w:hAnsi="Arial"/>
      <w:bCs/>
      <w:kern w:val="32"/>
      <w:szCs w:val="36"/>
    </w:rPr>
  </w:style>
  <w:style w:type="paragraph" w:styleId="6">
    <w:name w:val="heading 6"/>
    <w:aliases w:val="1"/>
    <w:basedOn w:val="a6"/>
    <w:link w:val="60"/>
    <w:uiPriority w:val="9"/>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uiPriority w:val="9"/>
    <w:qFormat/>
    <w:rsid w:val="004F5E57"/>
    <w:pPr>
      <w:numPr>
        <w:ilvl w:val="6"/>
        <w:numId w:val="6"/>
      </w:numPr>
      <w:outlineLvl w:val="6"/>
    </w:pPr>
    <w:rPr>
      <w:rFonts w:hAnsi="Arial"/>
      <w:bCs/>
      <w:kern w:val="32"/>
      <w:szCs w:val="36"/>
    </w:rPr>
  </w:style>
  <w:style w:type="paragraph" w:styleId="8">
    <w:name w:val="heading 8"/>
    <w:basedOn w:val="a6"/>
    <w:link w:val="80"/>
    <w:uiPriority w:val="9"/>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uiPriority w:val="99"/>
    <w:semiHidden/>
    <w:rsid w:val="004E0062"/>
    <w:pPr>
      <w:spacing w:before="720" w:after="720"/>
      <w:ind w:left="7371"/>
    </w:pPr>
    <w:rPr>
      <w:b/>
      <w:snapToGrid w:val="0"/>
      <w:spacing w:val="10"/>
      <w:sz w:val="36"/>
    </w:rPr>
  </w:style>
  <w:style w:type="paragraph" w:styleId="ac">
    <w:name w:val="endnote text"/>
    <w:basedOn w:val="a6"/>
    <w:link w:val="ad"/>
    <w:uiPriority w:val="99"/>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semiHidden/>
    <w:rsid w:val="004E0062"/>
    <w:pPr>
      <w:ind w:leftChars="400" w:left="600" w:rightChars="200" w:right="200" w:hangingChars="200" w:hanging="200"/>
    </w:pPr>
  </w:style>
  <w:style w:type="character" w:styleId="ae">
    <w:name w:val="page number"/>
    <w:basedOn w:val="a7"/>
    <w:uiPriority w:val="99"/>
    <w:semiHidden/>
    <w:rsid w:val="004E0062"/>
    <w:rPr>
      <w:rFonts w:ascii="標楷體" w:eastAsia="標楷體"/>
      <w:sz w:val="20"/>
    </w:rPr>
  </w:style>
  <w:style w:type="paragraph" w:styleId="61">
    <w:name w:val="toc 6"/>
    <w:basedOn w:val="a6"/>
    <w:next w:val="a6"/>
    <w:autoRedefine/>
    <w:uiPriority w:val="39"/>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F159FF"/>
    <w:pPr>
      <w:tabs>
        <w:tab w:val="left" w:pos="3840"/>
        <w:tab w:val="right" w:leader="hyphen" w:pos="8834"/>
      </w:tabs>
      <w:kinsoku w:val="0"/>
      <w:ind w:left="1361" w:rightChars="100" w:right="340" w:hangingChars="400" w:hanging="136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semiHidden/>
    <w:rsid w:val="004E0062"/>
    <w:pPr>
      <w:kinsoku w:val="0"/>
      <w:ind w:leftChars="300" w:left="500" w:rightChars="200" w:right="200" w:hangingChars="200" w:hanging="200"/>
    </w:pPr>
  </w:style>
  <w:style w:type="paragraph" w:styleId="71">
    <w:name w:val="toc 7"/>
    <w:basedOn w:val="a6"/>
    <w:next w:val="a6"/>
    <w:autoRedefine/>
    <w:uiPriority w:val="39"/>
    <w:semiHidden/>
    <w:rsid w:val="004E0062"/>
    <w:pPr>
      <w:ind w:leftChars="600" w:left="800" w:hangingChars="200" w:hanging="200"/>
    </w:pPr>
  </w:style>
  <w:style w:type="paragraph" w:styleId="81">
    <w:name w:val="toc 8"/>
    <w:basedOn w:val="a6"/>
    <w:next w:val="a6"/>
    <w:autoRedefine/>
    <w:uiPriority w:val="39"/>
    <w:semiHidden/>
    <w:rsid w:val="004E0062"/>
    <w:pPr>
      <w:ind w:leftChars="700" w:left="900" w:hangingChars="200" w:hanging="200"/>
    </w:pPr>
  </w:style>
  <w:style w:type="paragraph" w:styleId="91">
    <w:name w:val="toc 9"/>
    <w:basedOn w:val="a6"/>
    <w:next w:val="a6"/>
    <w:autoRedefine/>
    <w:uiPriority w:val="39"/>
    <w:semiHidden/>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uiPriority w:val="99"/>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uiPriority w:val="99"/>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f0"/>
    <w:uiPriority w:val="99"/>
    <w:unhideWhenUsed/>
    <w:rsid w:val="00B82FAA"/>
    <w:pPr>
      <w:snapToGrid w:val="0"/>
      <w:jc w:val="left"/>
    </w:pPr>
    <w:rPr>
      <w:sz w:val="20"/>
    </w:rPr>
  </w:style>
  <w:style w:type="character" w:customStyle="1" w:styleId="aff0">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f"/>
    <w:uiPriority w:val="99"/>
    <w:rsid w:val="00B82FAA"/>
    <w:rPr>
      <w:rFonts w:ascii="標楷體" w:eastAsia="標楷體"/>
      <w:kern w:val="2"/>
    </w:rPr>
  </w:style>
  <w:style w:type="character" w:styleId="aff1">
    <w:name w:val="footnote reference"/>
    <w:basedOn w:val="a7"/>
    <w:uiPriority w:val="99"/>
    <w:semiHidden/>
    <w:unhideWhenUsed/>
    <w:rsid w:val="00B82FAA"/>
    <w:rPr>
      <w:vertAlign w:val="superscript"/>
    </w:rPr>
  </w:style>
  <w:style w:type="paragraph" w:styleId="aff2">
    <w:name w:val="No Spacing"/>
    <w:link w:val="aff3"/>
    <w:uiPriority w:val="1"/>
    <w:qFormat/>
    <w:rsid w:val="000352CC"/>
    <w:rPr>
      <w:rFonts w:ascii="Calibri" w:hAnsi="Calibri"/>
      <w:sz w:val="22"/>
      <w:szCs w:val="22"/>
    </w:rPr>
  </w:style>
  <w:style w:type="character" w:customStyle="1" w:styleId="aff3">
    <w:name w:val="無間距 字元"/>
    <w:link w:val="aff2"/>
    <w:uiPriority w:val="1"/>
    <w:rsid w:val="000352CC"/>
    <w:rPr>
      <w:rFonts w:ascii="Calibri" w:hAnsi="Calibri"/>
      <w:sz w:val="22"/>
      <w:szCs w:val="22"/>
    </w:rPr>
  </w:style>
  <w:style w:type="numbering" w:customStyle="1" w:styleId="13">
    <w:name w:val="無清單1"/>
    <w:next w:val="a9"/>
    <w:uiPriority w:val="99"/>
    <w:semiHidden/>
    <w:unhideWhenUsed/>
    <w:rsid w:val="00EC3741"/>
  </w:style>
  <w:style w:type="character" w:customStyle="1" w:styleId="10">
    <w:name w:val="標題 1 字元"/>
    <w:aliases w:val="壹 字元1,題號1 字元"/>
    <w:basedOn w:val="a7"/>
    <w:link w:val="1"/>
    <w:rsid w:val="00EC3741"/>
    <w:rPr>
      <w:rFonts w:ascii="標楷體" w:eastAsia="標楷體" w:hAnsi="Arial"/>
      <w:bCs/>
      <w:kern w:val="32"/>
      <w:sz w:val="32"/>
      <w:szCs w:val="52"/>
    </w:rPr>
  </w:style>
  <w:style w:type="character" w:customStyle="1" w:styleId="20">
    <w:name w:val="標題 2 字元"/>
    <w:aliases w:val="一. 字元,標題110/111 字元,節 字元,節1 字元"/>
    <w:basedOn w:val="a7"/>
    <w:link w:val="2"/>
    <w:uiPriority w:val="9"/>
    <w:rsid w:val="00EC3741"/>
    <w:rPr>
      <w:rFonts w:ascii="標楷體" w:eastAsia="標楷體" w:hAnsi="Arial"/>
      <w:bCs/>
      <w:kern w:val="32"/>
      <w:sz w:val="32"/>
      <w:szCs w:val="48"/>
    </w:rPr>
  </w:style>
  <w:style w:type="character" w:customStyle="1" w:styleId="30">
    <w:name w:val="標題 3 字元"/>
    <w:aliases w:val="(一) 字元"/>
    <w:basedOn w:val="a7"/>
    <w:link w:val="3"/>
    <w:uiPriority w:val="9"/>
    <w:rsid w:val="00EC3741"/>
    <w:rPr>
      <w:rFonts w:ascii="標楷體" w:eastAsia="標楷體" w:hAnsi="Arial"/>
      <w:bCs/>
      <w:kern w:val="32"/>
      <w:sz w:val="32"/>
      <w:szCs w:val="36"/>
    </w:rPr>
  </w:style>
  <w:style w:type="character" w:customStyle="1" w:styleId="40">
    <w:name w:val="標題 4 字元"/>
    <w:aliases w:val="1. 字元,表格 字元,一 字元"/>
    <w:basedOn w:val="a7"/>
    <w:link w:val="4"/>
    <w:uiPriority w:val="9"/>
    <w:rsid w:val="00EC3741"/>
    <w:rPr>
      <w:rFonts w:ascii="標楷體" w:eastAsia="標楷體" w:hAnsi="Arial"/>
      <w:kern w:val="32"/>
      <w:sz w:val="32"/>
      <w:szCs w:val="36"/>
    </w:rPr>
  </w:style>
  <w:style w:type="character" w:customStyle="1" w:styleId="50">
    <w:name w:val="標題 5 字元"/>
    <w:basedOn w:val="a7"/>
    <w:link w:val="5"/>
    <w:uiPriority w:val="9"/>
    <w:rsid w:val="00EC3741"/>
    <w:rPr>
      <w:rFonts w:ascii="標楷體" w:eastAsia="標楷體" w:hAnsi="Arial"/>
      <w:bCs/>
      <w:kern w:val="32"/>
      <w:sz w:val="32"/>
      <w:szCs w:val="36"/>
    </w:rPr>
  </w:style>
  <w:style w:type="character" w:customStyle="1" w:styleId="60">
    <w:name w:val="標題 6 字元"/>
    <w:aliases w:val="1 字元"/>
    <w:basedOn w:val="a7"/>
    <w:link w:val="6"/>
    <w:uiPriority w:val="9"/>
    <w:rsid w:val="00EC3741"/>
    <w:rPr>
      <w:rFonts w:ascii="標楷體" w:eastAsia="標楷體" w:hAnsi="Arial"/>
      <w:kern w:val="32"/>
      <w:sz w:val="32"/>
      <w:szCs w:val="36"/>
    </w:rPr>
  </w:style>
  <w:style w:type="character" w:customStyle="1" w:styleId="70">
    <w:name w:val="標題 7 字元"/>
    <w:aliases w:val="(1) 字元"/>
    <w:basedOn w:val="a7"/>
    <w:link w:val="7"/>
    <w:uiPriority w:val="9"/>
    <w:rsid w:val="00EC3741"/>
    <w:rPr>
      <w:rFonts w:ascii="標楷體" w:eastAsia="標楷體" w:hAnsi="Arial"/>
      <w:bCs/>
      <w:kern w:val="32"/>
      <w:sz w:val="32"/>
      <w:szCs w:val="36"/>
    </w:rPr>
  </w:style>
  <w:style w:type="character" w:customStyle="1" w:styleId="80">
    <w:name w:val="標題 8 字元"/>
    <w:basedOn w:val="a7"/>
    <w:link w:val="8"/>
    <w:uiPriority w:val="9"/>
    <w:rsid w:val="00EC3741"/>
    <w:rPr>
      <w:rFonts w:ascii="標楷體" w:eastAsia="標楷體" w:hAnsi="Arial"/>
      <w:kern w:val="32"/>
      <w:sz w:val="32"/>
      <w:szCs w:val="36"/>
    </w:rPr>
  </w:style>
  <w:style w:type="character" w:customStyle="1" w:styleId="aff4">
    <w:name w:val="壹 字元"/>
    <w:aliases w:val="標題 1 字元1,題號1 字元1"/>
    <w:basedOn w:val="a7"/>
    <w:uiPriority w:val="9"/>
    <w:rsid w:val="00EC3741"/>
    <w:rPr>
      <w:rFonts w:ascii="標楷體" w:eastAsia="標楷體" w:hAnsi="標楷體"/>
      <w:bCs/>
      <w:sz w:val="32"/>
      <w:szCs w:val="32"/>
    </w:rPr>
  </w:style>
  <w:style w:type="paragraph" w:customStyle="1" w:styleId="23">
    <w:name w:val="標題2"/>
    <w:basedOn w:val="a6"/>
    <w:link w:val="24"/>
    <w:qFormat/>
    <w:rsid w:val="00EC3741"/>
    <w:pPr>
      <w:overflowPunct/>
      <w:autoSpaceDE/>
      <w:autoSpaceDN/>
      <w:spacing w:line="460" w:lineRule="exact"/>
      <w:ind w:firstLineChars="100" w:firstLine="320"/>
      <w:jc w:val="left"/>
    </w:pPr>
    <w:rPr>
      <w:rFonts w:hAnsi="標楷體"/>
      <w:bCs/>
      <w:szCs w:val="32"/>
    </w:rPr>
  </w:style>
  <w:style w:type="character" w:customStyle="1" w:styleId="24">
    <w:name w:val="標題2 字元"/>
    <w:basedOn w:val="a7"/>
    <w:link w:val="23"/>
    <w:rsid w:val="00EC3741"/>
    <w:rPr>
      <w:rFonts w:ascii="標楷體" w:eastAsia="標楷體" w:hAnsi="標楷體"/>
      <w:bCs/>
      <w:kern w:val="2"/>
      <w:sz w:val="32"/>
      <w:szCs w:val="32"/>
    </w:rPr>
  </w:style>
  <w:style w:type="character" w:styleId="aff5">
    <w:name w:val="FollowedHyperlink"/>
    <w:basedOn w:val="a7"/>
    <w:uiPriority w:val="99"/>
    <w:semiHidden/>
    <w:unhideWhenUsed/>
    <w:rsid w:val="00EC3741"/>
    <w:rPr>
      <w:color w:val="800080"/>
      <w:u w:val="single"/>
    </w:rPr>
  </w:style>
  <w:style w:type="table" w:customStyle="1" w:styleId="15">
    <w:name w:val="表格格線1"/>
    <w:basedOn w:val="a8"/>
    <w:next w:val="afb"/>
    <w:uiPriority w:val="59"/>
    <w:rsid w:val="00EC374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頁首 字元"/>
    <w:basedOn w:val="a7"/>
    <w:link w:val="af"/>
    <w:uiPriority w:val="99"/>
    <w:rsid w:val="00EC3741"/>
    <w:rPr>
      <w:rFonts w:ascii="標楷體" w:eastAsia="標楷體"/>
      <w:kern w:val="2"/>
    </w:rPr>
  </w:style>
  <w:style w:type="character" w:customStyle="1" w:styleId="af8">
    <w:name w:val="頁尾 字元"/>
    <w:basedOn w:val="a7"/>
    <w:link w:val="af7"/>
    <w:uiPriority w:val="99"/>
    <w:rsid w:val="00EC3741"/>
    <w:rPr>
      <w:rFonts w:ascii="標楷體" w:eastAsia="標楷體"/>
      <w:kern w:val="2"/>
    </w:rPr>
  </w:style>
  <w:style w:type="character" w:styleId="aff6">
    <w:name w:val="Strong"/>
    <w:uiPriority w:val="22"/>
    <w:qFormat/>
    <w:rsid w:val="004A2300"/>
    <w:rPr>
      <w:b/>
      <w:bCs/>
    </w:rPr>
  </w:style>
  <w:style w:type="character" w:styleId="aff7">
    <w:name w:val="Placeholder Text"/>
    <w:basedOn w:val="a7"/>
    <w:uiPriority w:val="99"/>
    <w:semiHidden/>
    <w:rsid w:val="004A2300"/>
    <w:rPr>
      <w:color w:val="808080"/>
    </w:rPr>
  </w:style>
  <w:style w:type="numbering" w:customStyle="1" w:styleId="25">
    <w:name w:val="無清單2"/>
    <w:next w:val="a9"/>
    <w:uiPriority w:val="99"/>
    <w:semiHidden/>
    <w:unhideWhenUsed/>
    <w:rsid w:val="004A2300"/>
  </w:style>
  <w:style w:type="character" w:customStyle="1" w:styleId="af5">
    <w:name w:val="本文縮排 字元"/>
    <w:basedOn w:val="a7"/>
    <w:link w:val="af4"/>
    <w:uiPriority w:val="99"/>
    <w:semiHidden/>
    <w:rsid w:val="004A2300"/>
    <w:rPr>
      <w:rFonts w:ascii="標楷體" w:eastAsia="標楷體"/>
      <w:kern w:val="2"/>
      <w:sz w:val="32"/>
    </w:rPr>
  </w:style>
  <w:style w:type="character" w:customStyle="1" w:styleId="ad">
    <w:name w:val="章節附註文字 字元"/>
    <w:basedOn w:val="a7"/>
    <w:link w:val="ac"/>
    <w:uiPriority w:val="99"/>
    <w:semiHidden/>
    <w:rsid w:val="004A2300"/>
    <w:rPr>
      <w:rFonts w:ascii="標楷體" w:eastAsia="標楷體"/>
      <w:snapToGrid w:val="0"/>
      <w:spacing w:val="10"/>
      <w:kern w:val="2"/>
      <w:sz w:val="32"/>
    </w:rPr>
  </w:style>
  <w:style w:type="character" w:customStyle="1" w:styleId="ab">
    <w:name w:val="簽名 字元"/>
    <w:basedOn w:val="a7"/>
    <w:link w:val="aa"/>
    <w:uiPriority w:val="99"/>
    <w:semiHidden/>
    <w:rsid w:val="004A2300"/>
    <w:rPr>
      <w:rFonts w:ascii="標楷體" w:eastAsia="標楷體"/>
      <w:b/>
      <w:snapToGrid w:val="0"/>
      <w:spacing w:val="10"/>
      <w:kern w:val="2"/>
      <w:sz w:val="36"/>
    </w:rPr>
  </w:style>
  <w:style w:type="character" w:customStyle="1" w:styleId="410">
    <w:name w:val="標題 4 字元1"/>
    <w:aliases w:val="1. 字元1,表格 字元1,一 字元1"/>
    <w:basedOn w:val="a7"/>
    <w:uiPriority w:val="9"/>
    <w:semiHidden/>
    <w:rsid w:val="004A2300"/>
    <w:rPr>
      <w:rFonts w:ascii="Cambria" w:hAnsi="Cambria" w:hint="default"/>
    </w:rPr>
  </w:style>
  <w:style w:type="character" w:customStyle="1" w:styleId="610">
    <w:name w:val="標題 6 字元1"/>
    <w:aliases w:val="1 字元1"/>
    <w:basedOn w:val="a7"/>
    <w:uiPriority w:val="9"/>
    <w:semiHidden/>
    <w:rsid w:val="004A2300"/>
    <w:rPr>
      <w:rFonts w:ascii="Cambria" w:hAnsi="Cambria" w:hint="default"/>
    </w:rPr>
  </w:style>
  <w:style w:type="character" w:customStyle="1" w:styleId="16">
    <w:name w:val="字元 字元1"/>
    <w:aliases w:val="註腳文字 字元3 字元1,註腳文字 字元2 字元 字元1,註腳文字 字元 字元1 字元 字元1,字元 字元1 字元 字元 字元1,ftx 字元 字元 字元 字元1,註腳文字 字元1 字元 字元 字元 字元1,註腳文字 字元 字元 字元 字元 字元 字元1,ftx 字元1 字元 字元1,註腳文字 字元1 字元1 字元 字元1,註腳文字 字元 字元 字元1 字元 字元1,字元 字元2 字元 字元1,註腳文字 字元 字元2 字元1,字元 字元1 字元1 字元1,f 字元1"/>
    <w:basedOn w:val="a7"/>
    <w:uiPriority w:val="99"/>
    <w:semiHidden/>
    <w:rsid w:val="004A2300"/>
    <w:rPr>
      <w:rFonts w:ascii="標楷體" w:eastAsia="標楷體" w:hAnsi="標楷體" w:cs="新細明體"/>
      <w:kern w:val="0"/>
    </w:rPr>
  </w:style>
  <w:style w:type="paragraph" w:styleId="HTML">
    <w:name w:val="HTML Preformatted"/>
    <w:basedOn w:val="a6"/>
    <w:link w:val="HTML0"/>
    <w:uiPriority w:val="99"/>
    <w:unhideWhenUsed/>
    <w:rsid w:val="004A2300"/>
    <w:rPr>
      <w:rFonts w:ascii="Courier New" w:hAnsi="Courier New" w:cs="Courier New"/>
      <w:sz w:val="20"/>
    </w:rPr>
  </w:style>
  <w:style w:type="character" w:customStyle="1" w:styleId="HTML0">
    <w:name w:val="HTML 預設格式 字元"/>
    <w:basedOn w:val="a7"/>
    <w:link w:val="HTML"/>
    <w:uiPriority w:val="99"/>
    <w:rsid w:val="004A2300"/>
    <w:rPr>
      <w:rFonts w:ascii="Courier New" w:eastAsia="標楷體" w:hAnsi="Courier New" w:cs="Courier New"/>
      <w:kern w:val="2"/>
    </w:rPr>
  </w:style>
  <w:style w:type="paragraph" w:styleId="aff8">
    <w:name w:val="Salutation"/>
    <w:basedOn w:val="a6"/>
    <w:next w:val="a6"/>
    <w:link w:val="aff9"/>
    <w:uiPriority w:val="99"/>
    <w:unhideWhenUsed/>
    <w:rsid w:val="004A2300"/>
    <w:rPr>
      <w:rFonts w:ascii="Courier New" w:hAnsi="標楷體" w:cs="Courier New"/>
      <w:sz w:val="20"/>
    </w:rPr>
  </w:style>
  <w:style w:type="character" w:customStyle="1" w:styleId="aff9">
    <w:name w:val="問候 字元"/>
    <w:basedOn w:val="a7"/>
    <w:link w:val="aff8"/>
    <w:uiPriority w:val="99"/>
    <w:rsid w:val="004A2300"/>
    <w:rPr>
      <w:rFonts w:ascii="Courier New" w:eastAsia="標楷體" w:hAnsi="標楷體" w:cs="Courier New"/>
      <w:kern w:val="2"/>
    </w:rPr>
  </w:style>
  <w:style w:type="paragraph" w:styleId="affa">
    <w:name w:val="Closing"/>
    <w:basedOn w:val="a6"/>
    <w:link w:val="affb"/>
    <w:uiPriority w:val="99"/>
    <w:unhideWhenUsed/>
    <w:rsid w:val="004A2300"/>
    <w:pPr>
      <w:ind w:leftChars="1800" w:left="100"/>
    </w:pPr>
    <w:rPr>
      <w:rFonts w:ascii="Courier New" w:hAnsi="標楷體" w:cs="Courier New"/>
      <w:sz w:val="20"/>
    </w:rPr>
  </w:style>
  <w:style w:type="character" w:customStyle="1" w:styleId="affb">
    <w:name w:val="結語 字元"/>
    <w:basedOn w:val="a7"/>
    <w:link w:val="affa"/>
    <w:uiPriority w:val="99"/>
    <w:rsid w:val="004A2300"/>
    <w:rPr>
      <w:rFonts w:ascii="Courier New" w:eastAsia="標楷體" w:hAnsi="標楷體" w:cs="Courier New"/>
      <w:kern w:val="2"/>
    </w:rPr>
  </w:style>
  <w:style w:type="paragraph" w:customStyle="1" w:styleId="font5">
    <w:name w:val="font5"/>
    <w:basedOn w:val="a6"/>
    <w:rsid w:val="002620FF"/>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6"/>
    <w:rsid w:val="002620FF"/>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6">
    <w:name w:val="xl66"/>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7">
    <w:name w:val="xl67"/>
    <w:basedOn w:val="a6"/>
    <w:rsid w:val="002620FF"/>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6"/>
    <w:rsid w:val="002620FF"/>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9">
    <w:name w:val="xl69"/>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0">
    <w:name w:val="xl70"/>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1">
    <w:name w:val="xl71"/>
    <w:basedOn w:val="a6"/>
    <w:rsid w:val="002620FF"/>
    <w:pPr>
      <w:widowControl/>
      <w:pBdr>
        <w:top w:val="single" w:sz="4" w:space="0" w:color="auto"/>
        <w:left w:val="single" w:sz="4" w:space="0" w:color="auto"/>
        <w:bottom w:val="single" w:sz="4" w:space="0" w:color="auto"/>
        <w:right w:val="single" w:sz="4" w:space="0" w:color="auto"/>
      </w:pBdr>
      <w:shd w:val="clear" w:color="000000" w:fill="FDE9D9"/>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2">
    <w:name w:val="xl72"/>
    <w:basedOn w:val="a6"/>
    <w:rsid w:val="002620FF"/>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6"/>
    <w:rsid w:val="002620FF"/>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4">
    <w:name w:val="xl74"/>
    <w:basedOn w:val="a6"/>
    <w:rsid w:val="002620FF"/>
    <w:pPr>
      <w:widowControl/>
      <w:pBdr>
        <w:top w:val="single" w:sz="4" w:space="0" w:color="auto"/>
        <w:left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5">
    <w:name w:val="xl75"/>
    <w:basedOn w:val="a6"/>
    <w:rsid w:val="002620FF"/>
    <w:pPr>
      <w:widowControl/>
      <w:pBdr>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6">
    <w:name w:val="xl76"/>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7">
    <w:name w:val="xl77"/>
    <w:basedOn w:val="a6"/>
    <w:rsid w:val="002620FF"/>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8">
    <w:name w:val="xl78"/>
    <w:basedOn w:val="a6"/>
    <w:rsid w:val="002620FF"/>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9">
    <w:name w:val="xl79"/>
    <w:basedOn w:val="a6"/>
    <w:rsid w:val="002620FF"/>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0">
    <w:name w:val="xl80"/>
    <w:basedOn w:val="a6"/>
    <w:rsid w:val="002620FF"/>
    <w:pPr>
      <w:widowControl/>
      <w:pBdr>
        <w:top w:val="single" w:sz="4" w:space="0" w:color="auto"/>
        <w:left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1">
    <w:name w:val="xl81"/>
    <w:basedOn w:val="a6"/>
    <w:rsid w:val="002620FF"/>
    <w:pPr>
      <w:widowControl/>
      <w:pBdr>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2">
    <w:name w:val="xl82"/>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3">
    <w:name w:val="xl83"/>
    <w:basedOn w:val="a6"/>
    <w:rsid w:val="002620FF"/>
    <w:pPr>
      <w:widowControl/>
      <w:pBdr>
        <w:top w:val="single" w:sz="4" w:space="0" w:color="auto"/>
        <w:left w:val="single" w:sz="4" w:space="0" w:color="auto"/>
        <w:bottom w:val="single" w:sz="4" w:space="0" w:color="auto"/>
        <w:right w:val="single" w:sz="4" w:space="0" w:color="auto"/>
      </w:pBdr>
      <w:shd w:val="clear" w:color="000000" w:fill="FDE9D9"/>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4">
    <w:name w:val="xl84"/>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8"/>
      <w:szCs w:val="28"/>
    </w:rPr>
  </w:style>
  <w:style w:type="paragraph" w:customStyle="1" w:styleId="xl85">
    <w:name w:val="xl85"/>
    <w:basedOn w:val="a6"/>
    <w:rsid w:val="002620FF"/>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6">
    <w:name w:val="xl86"/>
    <w:basedOn w:val="a6"/>
    <w:rsid w:val="002620FF"/>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7">
    <w:name w:val="xl87"/>
    <w:basedOn w:val="a6"/>
    <w:rsid w:val="002620FF"/>
    <w:pPr>
      <w:widowControl/>
      <w:pBdr>
        <w:top w:val="single" w:sz="4" w:space="0" w:color="auto"/>
        <w:left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8">
    <w:name w:val="xl88"/>
    <w:basedOn w:val="a6"/>
    <w:rsid w:val="002620FF"/>
    <w:pPr>
      <w:widowControl/>
      <w:pBdr>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styleId="affc">
    <w:name w:val="Date"/>
    <w:basedOn w:val="a6"/>
    <w:next w:val="a6"/>
    <w:link w:val="affd"/>
    <w:uiPriority w:val="99"/>
    <w:semiHidden/>
    <w:unhideWhenUsed/>
    <w:rsid w:val="0042269F"/>
    <w:pPr>
      <w:jc w:val="right"/>
    </w:pPr>
  </w:style>
  <w:style w:type="character" w:customStyle="1" w:styleId="affd">
    <w:name w:val="日期 字元"/>
    <w:basedOn w:val="a7"/>
    <w:link w:val="affc"/>
    <w:uiPriority w:val="99"/>
    <w:semiHidden/>
    <w:rsid w:val="0042269F"/>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270D1"/>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6"/>
      </w:numPr>
      <w:outlineLvl w:val="0"/>
    </w:pPr>
    <w:rPr>
      <w:rFonts w:hAnsi="Arial"/>
      <w:bCs/>
      <w:kern w:val="32"/>
      <w:szCs w:val="52"/>
    </w:rPr>
  </w:style>
  <w:style w:type="paragraph" w:styleId="2">
    <w:name w:val="heading 2"/>
    <w:aliases w:val="一.,標題110/111,節,節1"/>
    <w:basedOn w:val="a6"/>
    <w:link w:val="20"/>
    <w:uiPriority w:val="9"/>
    <w:qFormat/>
    <w:rsid w:val="004F5E57"/>
    <w:pPr>
      <w:numPr>
        <w:ilvl w:val="1"/>
        <w:numId w:val="6"/>
      </w:numPr>
      <w:outlineLvl w:val="1"/>
    </w:pPr>
    <w:rPr>
      <w:rFonts w:hAnsi="Arial"/>
      <w:bCs/>
      <w:kern w:val="32"/>
      <w:szCs w:val="48"/>
    </w:rPr>
  </w:style>
  <w:style w:type="paragraph" w:styleId="3">
    <w:name w:val="heading 3"/>
    <w:aliases w:val="(一)"/>
    <w:basedOn w:val="a6"/>
    <w:link w:val="30"/>
    <w:uiPriority w:val="9"/>
    <w:qFormat/>
    <w:rsid w:val="004F5E57"/>
    <w:pPr>
      <w:numPr>
        <w:ilvl w:val="2"/>
        <w:numId w:val="6"/>
      </w:numPr>
      <w:outlineLvl w:val="2"/>
    </w:pPr>
    <w:rPr>
      <w:rFonts w:hAnsi="Arial"/>
      <w:bCs/>
      <w:kern w:val="32"/>
      <w:szCs w:val="36"/>
    </w:rPr>
  </w:style>
  <w:style w:type="paragraph" w:styleId="4">
    <w:name w:val="heading 4"/>
    <w:aliases w:val="1.,表格,一"/>
    <w:basedOn w:val="a6"/>
    <w:link w:val="40"/>
    <w:uiPriority w:val="9"/>
    <w:qFormat/>
    <w:rsid w:val="004F5E57"/>
    <w:pPr>
      <w:numPr>
        <w:ilvl w:val="3"/>
        <w:numId w:val="6"/>
      </w:numPr>
      <w:outlineLvl w:val="3"/>
    </w:pPr>
    <w:rPr>
      <w:rFonts w:hAnsi="Arial"/>
      <w:kern w:val="32"/>
      <w:szCs w:val="36"/>
    </w:rPr>
  </w:style>
  <w:style w:type="paragraph" w:styleId="5">
    <w:name w:val="heading 5"/>
    <w:basedOn w:val="a6"/>
    <w:link w:val="50"/>
    <w:uiPriority w:val="9"/>
    <w:qFormat/>
    <w:rsid w:val="004F5E57"/>
    <w:pPr>
      <w:numPr>
        <w:ilvl w:val="4"/>
        <w:numId w:val="6"/>
      </w:numPr>
      <w:outlineLvl w:val="4"/>
    </w:pPr>
    <w:rPr>
      <w:rFonts w:hAnsi="Arial"/>
      <w:bCs/>
      <w:kern w:val="32"/>
      <w:szCs w:val="36"/>
    </w:rPr>
  </w:style>
  <w:style w:type="paragraph" w:styleId="6">
    <w:name w:val="heading 6"/>
    <w:aliases w:val="1"/>
    <w:basedOn w:val="a6"/>
    <w:link w:val="60"/>
    <w:uiPriority w:val="9"/>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uiPriority w:val="9"/>
    <w:qFormat/>
    <w:rsid w:val="004F5E57"/>
    <w:pPr>
      <w:numPr>
        <w:ilvl w:val="6"/>
        <w:numId w:val="6"/>
      </w:numPr>
      <w:outlineLvl w:val="6"/>
    </w:pPr>
    <w:rPr>
      <w:rFonts w:hAnsi="Arial"/>
      <w:bCs/>
      <w:kern w:val="32"/>
      <w:szCs w:val="36"/>
    </w:rPr>
  </w:style>
  <w:style w:type="paragraph" w:styleId="8">
    <w:name w:val="heading 8"/>
    <w:basedOn w:val="a6"/>
    <w:link w:val="80"/>
    <w:uiPriority w:val="9"/>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uiPriority w:val="99"/>
    <w:semiHidden/>
    <w:rsid w:val="004E0062"/>
    <w:pPr>
      <w:spacing w:before="720" w:after="720"/>
      <w:ind w:left="7371"/>
    </w:pPr>
    <w:rPr>
      <w:b/>
      <w:snapToGrid w:val="0"/>
      <w:spacing w:val="10"/>
      <w:sz w:val="36"/>
    </w:rPr>
  </w:style>
  <w:style w:type="paragraph" w:styleId="ac">
    <w:name w:val="endnote text"/>
    <w:basedOn w:val="a6"/>
    <w:link w:val="ad"/>
    <w:uiPriority w:val="99"/>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semiHidden/>
    <w:rsid w:val="004E0062"/>
    <w:pPr>
      <w:ind w:leftChars="400" w:left="600" w:rightChars="200" w:right="200" w:hangingChars="200" w:hanging="200"/>
    </w:pPr>
  </w:style>
  <w:style w:type="character" w:styleId="ae">
    <w:name w:val="page number"/>
    <w:basedOn w:val="a7"/>
    <w:uiPriority w:val="99"/>
    <w:semiHidden/>
    <w:rsid w:val="004E0062"/>
    <w:rPr>
      <w:rFonts w:ascii="標楷體" w:eastAsia="標楷體"/>
      <w:sz w:val="20"/>
    </w:rPr>
  </w:style>
  <w:style w:type="paragraph" w:styleId="61">
    <w:name w:val="toc 6"/>
    <w:basedOn w:val="a6"/>
    <w:next w:val="a6"/>
    <w:autoRedefine/>
    <w:uiPriority w:val="39"/>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F159FF"/>
    <w:pPr>
      <w:tabs>
        <w:tab w:val="left" w:pos="3840"/>
        <w:tab w:val="right" w:leader="hyphen" w:pos="8834"/>
      </w:tabs>
      <w:kinsoku w:val="0"/>
      <w:ind w:left="1361" w:rightChars="100" w:right="340" w:hangingChars="400" w:hanging="136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semiHidden/>
    <w:rsid w:val="004E0062"/>
    <w:pPr>
      <w:kinsoku w:val="0"/>
      <w:ind w:leftChars="300" w:left="500" w:rightChars="200" w:right="200" w:hangingChars="200" w:hanging="200"/>
    </w:pPr>
  </w:style>
  <w:style w:type="paragraph" w:styleId="71">
    <w:name w:val="toc 7"/>
    <w:basedOn w:val="a6"/>
    <w:next w:val="a6"/>
    <w:autoRedefine/>
    <w:uiPriority w:val="39"/>
    <w:semiHidden/>
    <w:rsid w:val="004E0062"/>
    <w:pPr>
      <w:ind w:leftChars="600" w:left="800" w:hangingChars="200" w:hanging="200"/>
    </w:pPr>
  </w:style>
  <w:style w:type="paragraph" w:styleId="81">
    <w:name w:val="toc 8"/>
    <w:basedOn w:val="a6"/>
    <w:next w:val="a6"/>
    <w:autoRedefine/>
    <w:uiPriority w:val="39"/>
    <w:semiHidden/>
    <w:rsid w:val="004E0062"/>
    <w:pPr>
      <w:ind w:leftChars="700" w:left="900" w:hangingChars="200" w:hanging="200"/>
    </w:pPr>
  </w:style>
  <w:style w:type="paragraph" w:styleId="91">
    <w:name w:val="toc 9"/>
    <w:basedOn w:val="a6"/>
    <w:next w:val="a6"/>
    <w:autoRedefine/>
    <w:uiPriority w:val="39"/>
    <w:semiHidden/>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uiPriority w:val="99"/>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uiPriority w:val="99"/>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f0"/>
    <w:uiPriority w:val="99"/>
    <w:unhideWhenUsed/>
    <w:rsid w:val="00B82FAA"/>
    <w:pPr>
      <w:snapToGrid w:val="0"/>
      <w:jc w:val="left"/>
    </w:pPr>
    <w:rPr>
      <w:sz w:val="20"/>
    </w:rPr>
  </w:style>
  <w:style w:type="character" w:customStyle="1" w:styleId="aff0">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f"/>
    <w:uiPriority w:val="99"/>
    <w:rsid w:val="00B82FAA"/>
    <w:rPr>
      <w:rFonts w:ascii="標楷體" w:eastAsia="標楷體"/>
      <w:kern w:val="2"/>
    </w:rPr>
  </w:style>
  <w:style w:type="character" w:styleId="aff1">
    <w:name w:val="footnote reference"/>
    <w:basedOn w:val="a7"/>
    <w:uiPriority w:val="99"/>
    <w:semiHidden/>
    <w:unhideWhenUsed/>
    <w:rsid w:val="00B82FAA"/>
    <w:rPr>
      <w:vertAlign w:val="superscript"/>
    </w:rPr>
  </w:style>
  <w:style w:type="paragraph" w:styleId="aff2">
    <w:name w:val="No Spacing"/>
    <w:link w:val="aff3"/>
    <w:uiPriority w:val="1"/>
    <w:qFormat/>
    <w:rsid w:val="000352CC"/>
    <w:rPr>
      <w:rFonts w:ascii="Calibri" w:hAnsi="Calibri"/>
      <w:sz w:val="22"/>
      <w:szCs w:val="22"/>
    </w:rPr>
  </w:style>
  <w:style w:type="character" w:customStyle="1" w:styleId="aff3">
    <w:name w:val="無間距 字元"/>
    <w:link w:val="aff2"/>
    <w:uiPriority w:val="1"/>
    <w:rsid w:val="000352CC"/>
    <w:rPr>
      <w:rFonts w:ascii="Calibri" w:hAnsi="Calibri"/>
      <w:sz w:val="22"/>
      <w:szCs w:val="22"/>
    </w:rPr>
  </w:style>
  <w:style w:type="numbering" w:customStyle="1" w:styleId="13">
    <w:name w:val="無清單1"/>
    <w:next w:val="a9"/>
    <w:uiPriority w:val="99"/>
    <w:semiHidden/>
    <w:unhideWhenUsed/>
    <w:rsid w:val="00EC3741"/>
  </w:style>
  <w:style w:type="character" w:customStyle="1" w:styleId="10">
    <w:name w:val="標題 1 字元"/>
    <w:aliases w:val="壹 字元1,題號1 字元"/>
    <w:basedOn w:val="a7"/>
    <w:link w:val="1"/>
    <w:rsid w:val="00EC3741"/>
    <w:rPr>
      <w:rFonts w:ascii="標楷體" w:eastAsia="標楷體" w:hAnsi="Arial"/>
      <w:bCs/>
      <w:kern w:val="32"/>
      <w:sz w:val="32"/>
      <w:szCs w:val="52"/>
    </w:rPr>
  </w:style>
  <w:style w:type="character" w:customStyle="1" w:styleId="20">
    <w:name w:val="標題 2 字元"/>
    <w:aliases w:val="一. 字元,標題110/111 字元,節 字元,節1 字元"/>
    <w:basedOn w:val="a7"/>
    <w:link w:val="2"/>
    <w:uiPriority w:val="9"/>
    <w:rsid w:val="00EC3741"/>
    <w:rPr>
      <w:rFonts w:ascii="標楷體" w:eastAsia="標楷體" w:hAnsi="Arial"/>
      <w:bCs/>
      <w:kern w:val="32"/>
      <w:sz w:val="32"/>
      <w:szCs w:val="48"/>
    </w:rPr>
  </w:style>
  <w:style w:type="character" w:customStyle="1" w:styleId="30">
    <w:name w:val="標題 3 字元"/>
    <w:aliases w:val="(一) 字元"/>
    <w:basedOn w:val="a7"/>
    <w:link w:val="3"/>
    <w:uiPriority w:val="9"/>
    <w:rsid w:val="00EC3741"/>
    <w:rPr>
      <w:rFonts w:ascii="標楷體" w:eastAsia="標楷體" w:hAnsi="Arial"/>
      <w:bCs/>
      <w:kern w:val="32"/>
      <w:sz w:val="32"/>
      <w:szCs w:val="36"/>
    </w:rPr>
  </w:style>
  <w:style w:type="character" w:customStyle="1" w:styleId="40">
    <w:name w:val="標題 4 字元"/>
    <w:aliases w:val="1. 字元,表格 字元,一 字元"/>
    <w:basedOn w:val="a7"/>
    <w:link w:val="4"/>
    <w:uiPriority w:val="9"/>
    <w:rsid w:val="00EC3741"/>
    <w:rPr>
      <w:rFonts w:ascii="標楷體" w:eastAsia="標楷體" w:hAnsi="Arial"/>
      <w:kern w:val="32"/>
      <w:sz w:val="32"/>
      <w:szCs w:val="36"/>
    </w:rPr>
  </w:style>
  <w:style w:type="character" w:customStyle="1" w:styleId="50">
    <w:name w:val="標題 5 字元"/>
    <w:basedOn w:val="a7"/>
    <w:link w:val="5"/>
    <w:uiPriority w:val="9"/>
    <w:rsid w:val="00EC3741"/>
    <w:rPr>
      <w:rFonts w:ascii="標楷體" w:eastAsia="標楷體" w:hAnsi="Arial"/>
      <w:bCs/>
      <w:kern w:val="32"/>
      <w:sz w:val="32"/>
      <w:szCs w:val="36"/>
    </w:rPr>
  </w:style>
  <w:style w:type="character" w:customStyle="1" w:styleId="60">
    <w:name w:val="標題 6 字元"/>
    <w:aliases w:val="1 字元"/>
    <w:basedOn w:val="a7"/>
    <w:link w:val="6"/>
    <w:uiPriority w:val="9"/>
    <w:rsid w:val="00EC3741"/>
    <w:rPr>
      <w:rFonts w:ascii="標楷體" w:eastAsia="標楷體" w:hAnsi="Arial"/>
      <w:kern w:val="32"/>
      <w:sz w:val="32"/>
      <w:szCs w:val="36"/>
    </w:rPr>
  </w:style>
  <w:style w:type="character" w:customStyle="1" w:styleId="70">
    <w:name w:val="標題 7 字元"/>
    <w:aliases w:val="(1) 字元"/>
    <w:basedOn w:val="a7"/>
    <w:link w:val="7"/>
    <w:uiPriority w:val="9"/>
    <w:rsid w:val="00EC3741"/>
    <w:rPr>
      <w:rFonts w:ascii="標楷體" w:eastAsia="標楷體" w:hAnsi="Arial"/>
      <w:bCs/>
      <w:kern w:val="32"/>
      <w:sz w:val="32"/>
      <w:szCs w:val="36"/>
    </w:rPr>
  </w:style>
  <w:style w:type="character" w:customStyle="1" w:styleId="80">
    <w:name w:val="標題 8 字元"/>
    <w:basedOn w:val="a7"/>
    <w:link w:val="8"/>
    <w:uiPriority w:val="9"/>
    <w:rsid w:val="00EC3741"/>
    <w:rPr>
      <w:rFonts w:ascii="標楷體" w:eastAsia="標楷體" w:hAnsi="Arial"/>
      <w:kern w:val="32"/>
      <w:sz w:val="32"/>
      <w:szCs w:val="36"/>
    </w:rPr>
  </w:style>
  <w:style w:type="character" w:customStyle="1" w:styleId="aff4">
    <w:name w:val="壹 字元"/>
    <w:aliases w:val="標題 1 字元1,題號1 字元1"/>
    <w:basedOn w:val="a7"/>
    <w:uiPriority w:val="9"/>
    <w:rsid w:val="00EC3741"/>
    <w:rPr>
      <w:rFonts w:ascii="標楷體" w:eastAsia="標楷體" w:hAnsi="標楷體"/>
      <w:bCs/>
      <w:sz w:val="32"/>
      <w:szCs w:val="32"/>
    </w:rPr>
  </w:style>
  <w:style w:type="paragraph" w:customStyle="1" w:styleId="23">
    <w:name w:val="標題2"/>
    <w:basedOn w:val="a6"/>
    <w:link w:val="24"/>
    <w:qFormat/>
    <w:rsid w:val="00EC3741"/>
    <w:pPr>
      <w:overflowPunct/>
      <w:autoSpaceDE/>
      <w:autoSpaceDN/>
      <w:spacing w:line="460" w:lineRule="exact"/>
      <w:ind w:firstLineChars="100" w:firstLine="320"/>
      <w:jc w:val="left"/>
    </w:pPr>
    <w:rPr>
      <w:rFonts w:hAnsi="標楷體"/>
      <w:bCs/>
      <w:szCs w:val="32"/>
    </w:rPr>
  </w:style>
  <w:style w:type="character" w:customStyle="1" w:styleId="24">
    <w:name w:val="標題2 字元"/>
    <w:basedOn w:val="a7"/>
    <w:link w:val="23"/>
    <w:rsid w:val="00EC3741"/>
    <w:rPr>
      <w:rFonts w:ascii="標楷體" w:eastAsia="標楷體" w:hAnsi="標楷體"/>
      <w:bCs/>
      <w:kern w:val="2"/>
      <w:sz w:val="32"/>
      <w:szCs w:val="32"/>
    </w:rPr>
  </w:style>
  <w:style w:type="character" w:styleId="aff5">
    <w:name w:val="FollowedHyperlink"/>
    <w:basedOn w:val="a7"/>
    <w:uiPriority w:val="99"/>
    <w:semiHidden/>
    <w:unhideWhenUsed/>
    <w:rsid w:val="00EC3741"/>
    <w:rPr>
      <w:color w:val="800080"/>
      <w:u w:val="single"/>
    </w:rPr>
  </w:style>
  <w:style w:type="table" w:customStyle="1" w:styleId="15">
    <w:name w:val="表格格線1"/>
    <w:basedOn w:val="a8"/>
    <w:next w:val="afb"/>
    <w:uiPriority w:val="59"/>
    <w:rsid w:val="00EC374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頁首 字元"/>
    <w:basedOn w:val="a7"/>
    <w:link w:val="af"/>
    <w:uiPriority w:val="99"/>
    <w:rsid w:val="00EC3741"/>
    <w:rPr>
      <w:rFonts w:ascii="標楷體" w:eastAsia="標楷體"/>
      <w:kern w:val="2"/>
    </w:rPr>
  </w:style>
  <w:style w:type="character" w:customStyle="1" w:styleId="af8">
    <w:name w:val="頁尾 字元"/>
    <w:basedOn w:val="a7"/>
    <w:link w:val="af7"/>
    <w:uiPriority w:val="99"/>
    <w:rsid w:val="00EC3741"/>
    <w:rPr>
      <w:rFonts w:ascii="標楷體" w:eastAsia="標楷體"/>
      <w:kern w:val="2"/>
    </w:rPr>
  </w:style>
  <w:style w:type="character" w:styleId="aff6">
    <w:name w:val="Strong"/>
    <w:uiPriority w:val="22"/>
    <w:qFormat/>
    <w:rsid w:val="004A2300"/>
    <w:rPr>
      <w:b/>
      <w:bCs/>
    </w:rPr>
  </w:style>
  <w:style w:type="character" w:styleId="aff7">
    <w:name w:val="Placeholder Text"/>
    <w:basedOn w:val="a7"/>
    <w:uiPriority w:val="99"/>
    <w:semiHidden/>
    <w:rsid w:val="004A2300"/>
    <w:rPr>
      <w:color w:val="808080"/>
    </w:rPr>
  </w:style>
  <w:style w:type="numbering" w:customStyle="1" w:styleId="25">
    <w:name w:val="無清單2"/>
    <w:next w:val="a9"/>
    <w:uiPriority w:val="99"/>
    <w:semiHidden/>
    <w:unhideWhenUsed/>
    <w:rsid w:val="004A2300"/>
  </w:style>
  <w:style w:type="character" w:customStyle="1" w:styleId="af5">
    <w:name w:val="本文縮排 字元"/>
    <w:basedOn w:val="a7"/>
    <w:link w:val="af4"/>
    <w:uiPriority w:val="99"/>
    <w:semiHidden/>
    <w:rsid w:val="004A2300"/>
    <w:rPr>
      <w:rFonts w:ascii="標楷體" w:eastAsia="標楷體"/>
      <w:kern w:val="2"/>
      <w:sz w:val="32"/>
    </w:rPr>
  </w:style>
  <w:style w:type="character" w:customStyle="1" w:styleId="ad">
    <w:name w:val="章節附註文字 字元"/>
    <w:basedOn w:val="a7"/>
    <w:link w:val="ac"/>
    <w:uiPriority w:val="99"/>
    <w:semiHidden/>
    <w:rsid w:val="004A2300"/>
    <w:rPr>
      <w:rFonts w:ascii="標楷體" w:eastAsia="標楷體"/>
      <w:snapToGrid w:val="0"/>
      <w:spacing w:val="10"/>
      <w:kern w:val="2"/>
      <w:sz w:val="32"/>
    </w:rPr>
  </w:style>
  <w:style w:type="character" w:customStyle="1" w:styleId="ab">
    <w:name w:val="簽名 字元"/>
    <w:basedOn w:val="a7"/>
    <w:link w:val="aa"/>
    <w:uiPriority w:val="99"/>
    <w:semiHidden/>
    <w:rsid w:val="004A2300"/>
    <w:rPr>
      <w:rFonts w:ascii="標楷體" w:eastAsia="標楷體"/>
      <w:b/>
      <w:snapToGrid w:val="0"/>
      <w:spacing w:val="10"/>
      <w:kern w:val="2"/>
      <w:sz w:val="36"/>
    </w:rPr>
  </w:style>
  <w:style w:type="character" w:customStyle="1" w:styleId="410">
    <w:name w:val="標題 4 字元1"/>
    <w:aliases w:val="1. 字元1,表格 字元1,一 字元1"/>
    <w:basedOn w:val="a7"/>
    <w:uiPriority w:val="9"/>
    <w:semiHidden/>
    <w:rsid w:val="004A2300"/>
    <w:rPr>
      <w:rFonts w:ascii="Cambria" w:hAnsi="Cambria" w:hint="default"/>
    </w:rPr>
  </w:style>
  <w:style w:type="character" w:customStyle="1" w:styleId="610">
    <w:name w:val="標題 6 字元1"/>
    <w:aliases w:val="1 字元1"/>
    <w:basedOn w:val="a7"/>
    <w:uiPriority w:val="9"/>
    <w:semiHidden/>
    <w:rsid w:val="004A2300"/>
    <w:rPr>
      <w:rFonts w:ascii="Cambria" w:hAnsi="Cambria" w:hint="default"/>
    </w:rPr>
  </w:style>
  <w:style w:type="character" w:customStyle="1" w:styleId="16">
    <w:name w:val="字元 字元1"/>
    <w:aliases w:val="註腳文字 字元3 字元1,註腳文字 字元2 字元 字元1,註腳文字 字元 字元1 字元 字元1,字元 字元1 字元 字元 字元1,ftx 字元 字元 字元 字元1,註腳文字 字元1 字元 字元 字元 字元1,註腳文字 字元 字元 字元 字元 字元 字元1,ftx 字元1 字元 字元1,註腳文字 字元1 字元1 字元 字元1,註腳文字 字元 字元 字元1 字元 字元1,字元 字元2 字元 字元1,註腳文字 字元 字元2 字元1,字元 字元1 字元1 字元1,f 字元1"/>
    <w:basedOn w:val="a7"/>
    <w:uiPriority w:val="99"/>
    <w:semiHidden/>
    <w:rsid w:val="004A2300"/>
    <w:rPr>
      <w:rFonts w:ascii="標楷體" w:eastAsia="標楷體" w:hAnsi="標楷體" w:cs="新細明體"/>
      <w:kern w:val="0"/>
    </w:rPr>
  </w:style>
  <w:style w:type="paragraph" w:styleId="HTML">
    <w:name w:val="HTML Preformatted"/>
    <w:basedOn w:val="a6"/>
    <w:link w:val="HTML0"/>
    <w:uiPriority w:val="99"/>
    <w:unhideWhenUsed/>
    <w:rsid w:val="004A2300"/>
    <w:rPr>
      <w:rFonts w:ascii="Courier New" w:hAnsi="Courier New" w:cs="Courier New"/>
      <w:sz w:val="20"/>
    </w:rPr>
  </w:style>
  <w:style w:type="character" w:customStyle="1" w:styleId="HTML0">
    <w:name w:val="HTML 預設格式 字元"/>
    <w:basedOn w:val="a7"/>
    <w:link w:val="HTML"/>
    <w:uiPriority w:val="99"/>
    <w:rsid w:val="004A2300"/>
    <w:rPr>
      <w:rFonts w:ascii="Courier New" w:eastAsia="標楷體" w:hAnsi="Courier New" w:cs="Courier New"/>
      <w:kern w:val="2"/>
    </w:rPr>
  </w:style>
  <w:style w:type="paragraph" w:styleId="aff8">
    <w:name w:val="Salutation"/>
    <w:basedOn w:val="a6"/>
    <w:next w:val="a6"/>
    <w:link w:val="aff9"/>
    <w:uiPriority w:val="99"/>
    <w:unhideWhenUsed/>
    <w:rsid w:val="004A2300"/>
    <w:rPr>
      <w:rFonts w:ascii="Courier New" w:hAnsi="標楷體" w:cs="Courier New"/>
      <w:sz w:val="20"/>
    </w:rPr>
  </w:style>
  <w:style w:type="character" w:customStyle="1" w:styleId="aff9">
    <w:name w:val="問候 字元"/>
    <w:basedOn w:val="a7"/>
    <w:link w:val="aff8"/>
    <w:uiPriority w:val="99"/>
    <w:rsid w:val="004A2300"/>
    <w:rPr>
      <w:rFonts w:ascii="Courier New" w:eastAsia="標楷體" w:hAnsi="標楷體" w:cs="Courier New"/>
      <w:kern w:val="2"/>
    </w:rPr>
  </w:style>
  <w:style w:type="paragraph" w:styleId="affa">
    <w:name w:val="Closing"/>
    <w:basedOn w:val="a6"/>
    <w:link w:val="affb"/>
    <w:uiPriority w:val="99"/>
    <w:unhideWhenUsed/>
    <w:rsid w:val="004A2300"/>
    <w:pPr>
      <w:ind w:leftChars="1800" w:left="100"/>
    </w:pPr>
    <w:rPr>
      <w:rFonts w:ascii="Courier New" w:hAnsi="標楷體" w:cs="Courier New"/>
      <w:sz w:val="20"/>
    </w:rPr>
  </w:style>
  <w:style w:type="character" w:customStyle="1" w:styleId="affb">
    <w:name w:val="結語 字元"/>
    <w:basedOn w:val="a7"/>
    <w:link w:val="affa"/>
    <w:uiPriority w:val="99"/>
    <w:rsid w:val="004A2300"/>
    <w:rPr>
      <w:rFonts w:ascii="Courier New" w:eastAsia="標楷體" w:hAnsi="標楷體" w:cs="Courier New"/>
      <w:kern w:val="2"/>
    </w:rPr>
  </w:style>
  <w:style w:type="paragraph" w:customStyle="1" w:styleId="font5">
    <w:name w:val="font5"/>
    <w:basedOn w:val="a6"/>
    <w:rsid w:val="002620FF"/>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6"/>
    <w:rsid w:val="002620FF"/>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6">
    <w:name w:val="xl66"/>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7">
    <w:name w:val="xl67"/>
    <w:basedOn w:val="a6"/>
    <w:rsid w:val="002620FF"/>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6"/>
    <w:rsid w:val="002620FF"/>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9">
    <w:name w:val="xl69"/>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0">
    <w:name w:val="xl70"/>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1">
    <w:name w:val="xl71"/>
    <w:basedOn w:val="a6"/>
    <w:rsid w:val="002620FF"/>
    <w:pPr>
      <w:widowControl/>
      <w:pBdr>
        <w:top w:val="single" w:sz="4" w:space="0" w:color="auto"/>
        <w:left w:val="single" w:sz="4" w:space="0" w:color="auto"/>
        <w:bottom w:val="single" w:sz="4" w:space="0" w:color="auto"/>
        <w:right w:val="single" w:sz="4" w:space="0" w:color="auto"/>
      </w:pBdr>
      <w:shd w:val="clear" w:color="000000" w:fill="FDE9D9"/>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2">
    <w:name w:val="xl72"/>
    <w:basedOn w:val="a6"/>
    <w:rsid w:val="002620FF"/>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6"/>
    <w:rsid w:val="002620FF"/>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4">
    <w:name w:val="xl74"/>
    <w:basedOn w:val="a6"/>
    <w:rsid w:val="002620FF"/>
    <w:pPr>
      <w:widowControl/>
      <w:pBdr>
        <w:top w:val="single" w:sz="4" w:space="0" w:color="auto"/>
        <w:left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5">
    <w:name w:val="xl75"/>
    <w:basedOn w:val="a6"/>
    <w:rsid w:val="002620FF"/>
    <w:pPr>
      <w:widowControl/>
      <w:pBdr>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6">
    <w:name w:val="xl76"/>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7">
    <w:name w:val="xl77"/>
    <w:basedOn w:val="a6"/>
    <w:rsid w:val="002620FF"/>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8">
    <w:name w:val="xl78"/>
    <w:basedOn w:val="a6"/>
    <w:rsid w:val="002620FF"/>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9">
    <w:name w:val="xl79"/>
    <w:basedOn w:val="a6"/>
    <w:rsid w:val="002620FF"/>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0">
    <w:name w:val="xl80"/>
    <w:basedOn w:val="a6"/>
    <w:rsid w:val="002620FF"/>
    <w:pPr>
      <w:widowControl/>
      <w:pBdr>
        <w:top w:val="single" w:sz="4" w:space="0" w:color="auto"/>
        <w:left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1">
    <w:name w:val="xl81"/>
    <w:basedOn w:val="a6"/>
    <w:rsid w:val="002620FF"/>
    <w:pPr>
      <w:widowControl/>
      <w:pBdr>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2">
    <w:name w:val="xl82"/>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3">
    <w:name w:val="xl83"/>
    <w:basedOn w:val="a6"/>
    <w:rsid w:val="002620FF"/>
    <w:pPr>
      <w:widowControl/>
      <w:pBdr>
        <w:top w:val="single" w:sz="4" w:space="0" w:color="auto"/>
        <w:left w:val="single" w:sz="4" w:space="0" w:color="auto"/>
        <w:bottom w:val="single" w:sz="4" w:space="0" w:color="auto"/>
        <w:right w:val="single" w:sz="4" w:space="0" w:color="auto"/>
      </w:pBdr>
      <w:shd w:val="clear" w:color="000000" w:fill="FDE9D9"/>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4">
    <w:name w:val="xl84"/>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8"/>
      <w:szCs w:val="28"/>
    </w:rPr>
  </w:style>
  <w:style w:type="paragraph" w:customStyle="1" w:styleId="xl85">
    <w:name w:val="xl85"/>
    <w:basedOn w:val="a6"/>
    <w:rsid w:val="002620FF"/>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6">
    <w:name w:val="xl86"/>
    <w:basedOn w:val="a6"/>
    <w:rsid w:val="002620FF"/>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7">
    <w:name w:val="xl87"/>
    <w:basedOn w:val="a6"/>
    <w:rsid w:val="002620FF"/>
    <w:pPr>
      <w:widowControl/>
      <w:pBdr>
        <w:top w:val="single" w:sz="4" w:space="0" w:color="auto"/>
        <w:left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8">
    <w:name w:val="xl88"/>
    <w:basedOn w:val="a6"/>
    <w:rsid w:val="002620FF"/>
    <w:pPr>
      <w:widowControl/>
      <w:pBdr>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styleId="affc">
    <w:name w:val="Date"/>
    <w:basedOn w:val="a6"/>
    <w:next w:val="a6"/>
    <w:link w:val="affd"/>
    <w:uiPriority w:val="99"/>
    <w:semiHidden/>
    <w:unhideWhenUsed/>
    <w:rsid w:val="0042269F"/>
    <w:pPr>
      <w:jc w:val="right"/>
    </w:pPr>
  </w:style>
  <w:style w:type="character" w:customStyle="1" w:styleId="affd">
    <w:name w:val="日期 字元"/>
    <w:basedOn w:val="a7"/>
    <w:link w:val="affc"/>
    <w:uiPriority w:val="99"/>
    <w:semiHidden/>
    <w:rsid w:val="0042269F"/>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642172">
      <w:bodyDiv w:val="1"/>
      <w:marLeft w:val="0"/>
      <w:marRight w:val="0"/>
      <w:marTop w:val="0"/>
      <w:marBottom w:val="150"/>
      <w:divBdr>
        <w:top w:val="none" w:sz="0" w:space="0" w:color="auto"/>
        <w:left w:val="none" w:sz="0" w:space="0" w:color="auto"/>
        <w:bottom w:val="none" w:sz="0" w:space="0" w:color="auto"/>
        <w:right w:val="none" w:sz="0" w:space="0" w:color="auto"/>
      </w:divBdr>
      <w:divsChild>
        <w:div w:id="145443177">
          <w:marLeft w:val="0"/>
          <w:marRight w:val="0"/>
          <w:marTop w:val="0"/>
          <w:marBottom w:val="0"/>
          <w:divBdr>
            <w:top w:val="none" w:sz="0" w:space="0" w:color="auto"/>
            <w:left w:val="none" w:sz="0" w:space="0" w:color="auto"/>
            <w:bottom w:val="none" w:sz="0" w:space="0" w:color="auto"/>
            <w:right w:val="none" w:sz="0" w:space="0" w:color="auto"/>
          </w:divBdr>
          <w:divsChild>
            <w:div w:id="1639609759">
              <w:marLeft w:val="0"/>
              <w:marRight w:val="0"/>
              <w:marTop w:val="0"/>
              <w:marBottom w:val="0"/>
              <w:divBdr>
                <w:top w:val="none" w:sz="0" w:space="0" w:color="auto"/>
                <w:left w:val="none" w:sz="0" w:space="0" w:color="auto"/>
                <w:bottom w:val="none" w:sz="0" w:space="0" w:color="auto"/>
                <w:right w:val="none" w:sz="0" w:space="0" w:color="auto"/>
              </w:divBdr>
            </w:div>
          </w:divsChild>
        </w:div>
        <w:div w:id="1204947506">
          <w:marLeft w:val="0"/>
          <w:marRight w:val="0"/>
          <w:marTop w:val="0"/>
          <w:marBottom w:val="0"/>
          <w:divBdr>
            <w:top w:val="none" w:sz="0" w:space="0" w:color="auto"/>
            <w:left w:val="none" w:sz="0" w:space="0" w:color="auto"/>
            <w:bottom w:val="none" w:sz="0" w:space="0" w:color="auto"/>
            <w:right w:val="none" w:sz="0" w:space="0" w:color="auto"/>
          </w:divBdr>
          <w:divsChild>
            <w:div w:id="1874876624">
              <w:marLeft w:val="0"/>
              <w:marRight w:val="0"/>
              <w:marTop w:val="0"/>
              <w:marBottom w:val="0"/>
              <w:divBdr>
                <w:top w:val="none" w:sz="0" w:space="0" w:color="auto"/>
                <w:left w:val="none" w:sz="0" w:space="0" w:color="auto"/>
                <w:bottom w:val="none" w:sz="0" w:space="0" w:color="auto"/>
                <w:right w:val="none" w:sz="0" w:space="0" w:color="auto"/>
              </w:divBdr>
            </w:div>
          </w:divsChild>
        </w:div>
        <w:div w:id="1237395638">
          <w:marLeft w:val="0"/>
          <w:marRight w:val="0"/>
          <w:marTop w:val="0"/>
          <w:marBottom w:val="0"/>
          <w:divBdr>
            <w:top w:val="none" w:sz="0" w:space="0" w:color="auto"/>
            <w:left w:val="none" w:sz="0" w:space="0" w:color="auto"/>
            <w:bottom w:val="none" w:sz="0" w:space="0" w:color="auto"/>
            <w:right w:val="none" w:sz="0" w:space="0" w:color="auto"/>
          </w:divBdr>
          <w:divsChild>
            <w:div w:id="8124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4634">
      <w:bodyDiv w:val="1"/>
      <w:marLeft w:val="0"/>
      <w:marRight w:val="0"/>
      <w:marTop w:val="0"/>
      <w:marBottom w:val="150"/>
      <w:divBdr>
        <w:top w:val="none" w:sz="0" w:space="0" w:color="auto"/>
        <w:left w:val="none" w:sz="0" w:space="0" w:color="auto"/>
        <w:bottom w:val="none" w:sz="0" w:space="0" w:color="auto"/>
        <w:right w:val="none" w:sz="0" w:space="0" w:color="auto"/>
      </w:divBdr>
      <w:divsChild>
        <w:div w:id="1611620405">
          <w:marLeft w:val="0"/>
          <w:marRight w:val="0"/>
          <w:marTop w:val="0"/>
          <w:marBottom w:val="0"/>
          <w:divBdr>
            <w:top w:val="none" w:sz="0" w:space="0" w:color="auto"/>
            <w:left w:val="none" w:sz="0" w:space="0" w:color="auto"/>
            <w:bottom w:val="none" w:sz="0" w:space="0" w:color="auto"/>
            <w:right w:val="none" w:sz="0" w:space="0" w:color="auto"/>
          </w:divBdr>
          <w:divsChild>
            <w:div w:id="2049992991">
              <w:marLeft w:val="0"/>
              <w:marRight w:val="0"/>
              <w:marTop w:val="0"/>
              <w:marBottom w:val="0"/>
              <w:divBdr>
                <w:top w:val="none" w:sz="0" w:space="0" w:color="auto"/>
                <w:left w:val="none" w:sz="0" w:space="0" w:color="auto"/>
                <w:bottom w:val="none" w:sz="0" w:space="0" w:color="auto"/>
                <w:right w:val="none" w:sz="0" w:space="0" w:color="auto"/>
              </w:divBdr>
            </w:div>
          </w:divsChild>
        </w:div>
        <w:div w:id="1581408787">
          <w:marLeft w:val="0"/>
          <w:marRight w:val="0"/>
          <w:marTop w:val="0"/>
          <w:marBottom w:val="0"/>
          <w:divBdr>
            <w:top w:val="none" w:sz="0" w:space="0" w:color="auto"/>
            <w:left w:val="none" w:sz="0" w:space="0" w:color="auto"/>
            <w:bottom w:val="none" w:sz="0" w:space="0" w:color="auto"/>
            <w:right w:val="none" w:sz="0" w:space="0" w:color="auto"/>
          </w:divBdr>
          <w:divsChild>
            <w:div w:id="173985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7033">
      <w:bodyDiv w:val="1"/>
      <w:marLeft w:val="0"/>
      <w:marRight w:val="0"/>
      <w:marTop w:val="0"/>
      <w:marBottom w:val="150"/>
      <w:divBdr>
        <w:top w:val="none" w:sz="0" w:space="0" w:color="auto"/>
        <w:left w:val="none" w:sz="0" w:space="0" w:color="auto"/>
        <w:bottom w:val="none" w:sz="0" w:space="0" w:color="auto"/>
        <w:right w:val="none" w:sz="0" w:space="0" w:color="auto"/>
      </w:divBdr>
      <w:divsChild>
        <w:div w:id="814102467">
          <w:marLeft w:val="0"/>
          <w:marRight w:val="0"/>
          <w:marTop w:val="0"/>
          <w:marBottom w:val="0"/>
          <w:divBdr>
            <w:top w:val="none" w:sz="0" w:space="0" w:color="auto"/>
            <w:left w:val="none" w:sz="0" w:space="0" w:color="auto"/>
            <w:bottom w:val="none" w:sz="0" w:space="0" w:color="auto"/>
            <w:right w:val="none" w:sz="0" w:space="0" w:color="auto"/>
          </w:divBdr>
        </w:div>
        <w:div w:id="1275745562">
          <w:marLeft w:val="0"/>
          <w:marRight w:val="0"/>
          <w:marTop w:val="0"/>
          <w:marBottom w:val="0"/>
          <w:divBdr>
            <w:top w:val="none" w:sz="0" w:space="0" w:color="auto"/>
            <w:left w:val="none" w:sz="0" w:space="0" w:color="auto"/>
            <w:bottom w:val="none" w:sz="0" w:space="0" w:color="auto"/>
            <w:right w:val="none" w:sz="0" w:space="0" w:color="auto"/>
          </w:divBdr>
        </w:div>
        <w:div w:id="1456095418">
          <w:marLeft w:val="0"/>
          <w:marRight w:val="0"/>
          <w:marTop w:val="0"/>
          <w:marBottom w:val="0"/>
          <w:divBdr>
            <w:top w:val="none" w:sz="0" w:space="0" w:color="auto"/>
            <w:left w:val="none" w:sz="0" w:space="0" w:color="auto"/>
            <w:bottom w:val="none" w:sz="0" w:space="0" w:color="auto"/>
            <w:right w:val="none" w:sz="0" w:space="0" w:color="auto"/>
          </w:divBdr>
        </w:div>
        <w:div w:id="1159233139">
          <w:marLeft w:val="0"/>
          <w:marRight w:val="0"/>
          <w:marTop w:val="0"/>
          <w:marBottom w:val="0"/>
          <w:divBdr>
            <w:top w:val="none" w:sz="0" w:space="0" w:color="auto"/>
            <w:left w:val="none" w:sz="0" w:space="0" w:color="auto"/>
            <w:bottom w:val="none" w:sz="0" w:space="0" w:color="auto"/>
            <w:right w:val="none" w:sz="0" w:space="0" w:color="auto"/>
          </w:divBdr>
        </w:div>
        <w:div w:id="885413299">
          <w:marLeft w:val="0"/>
          <w:marRight w:val="0"/>
          <w:marTop w:val="0"/>
          <w:marBottom w:val="0"/>
          <w:divBdr>
            <w:top w:val="none" w:sz="0" w:space="0" w:color="auto"/>
            <w:left w:val="none" w:sz="0" w:space="0" w:color="auto"/>
            <w:bottom w:val="none" w:sz="0" w:space="0" w:color="auto"/>
            <w:right w:val="none" w:sz="0" w:space="0" w:color="auto"/>
          </w:divBdr>
        </w:div>
        <w:div w:id="1384523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DB244-7C16-4783-97C1-0F44E790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92</TotalTime>
  <Pages>29</Pages>
  <Words>2643</Words>
  <Characters>15070</Characters>
  <Application>Microsoft Office Word</Application>
  <DocSecurity>0</DocSecurity>
  <Lines>125</Lines>
  <Paragraphs>35</Paragraphs>
  <ScaleCrop>false</ScaleCrop>
  <Company>cy</Company>
  <LinksUpToDate>false</LinksUpToDate>
  <CharactersWithSpaces>17678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stud01</cp:lastModifiedBy>
  <cp:revision>22</cp:revision>
  <cp:lastPrinted>2017-03-15T06:55:00Z</cp:lastPrinted>
  <dcterms:created xsi:type="dcterms:W3CDTF">2017-03-15T05:44:00Z</dcterms:created>
  <dcterms:modified xsi:type="dcterms:W3CDTF">2017-03-16T08:07:00Z</dcterms:modified>
</cp:coreProperties>
</file>