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28F" w:rsidRPr="004A1B56" w:rsidRDefault="0074528F">
      <w:pPr>
        <w:pStyle w:val="a8"/>
        <w:kinsoku w:val="0"/>
        <w:spacing w:before="0"/>
        <w:ind w:leftChars="700" w:left="2381" w:firstLine="0"/>
        <w:rPr>
          <w:bCs/>
          <w:snapToGrid/>
          <w:spacing w:val="200"/>
          <w:kern w:val="0"/>
          <w:sz w:val="40"/>
        </w:rPr>
      </w:pPr>
      <w:bookmarkStart w:id="0" w:name="_GoBack"/>
      <w:bookmarkEnd w:id="0"/>
      <w:r w:rsidRPr="004A1B56">
        <w:rPr>
          <w:rFonts w:hint="eastAsia"/>
          <w:bCs/>
          <w:snapToGrid/>
          <w:spacing w:val="200"/>
          <w:kern w:val="0"/>
          <w:sz w:val="40"/>
        </w:rPr>
        <w:t>調查</w:t>
      </w:r>
      <w:r w:rsidR="00254A8D" w:rsidRPr="004A1B56">
        <w:rPr>
          <w:rFonts w:hint="eastAsia"/>
          <w:bCs/>
          <w:snapToGrid/>
          <w:spacing w:val="200"/>
          <w:kern w:val="0"/>
          <w:sz w:val="40"/>
        </w:rPr>
        <w:t>報告</w:t>
      </w:r>
    </w:p>
    <w:p w:rsidR="00EF742F" w:rsidRPr="00EF742F" w:rsidRDefault="004E2221" w:rsidP="005169E0">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r w:rsidRPr="004A1B56">
        <w:rPr>
          <w:rFonts w:hint="eastAsia"/>
        </w:rPr>
        <w:t xml:space="preserve">案　　</w:t>
      </w:r>
      <w:r w:rsidR="00EF742F">
        <w:rPr>
          <w:rFonts w:hint="eastAsia"/>
        </w:rPr>
        <w:t xml:space="preserve"> </w:t>
      </w:r>
      <w:r w:rsidRPr="004A1B56">
        <w:rPr>
          <w:rFonts w:hint="eastAsia"/>
        </w:rPr>
        <w:t>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A1B56">
        <w:rPr>
          <w:rFonts w:hint="eastAsia"/>
        </w:rPr>
        <w:t>據報載，臺灣彰化地方法院審理栽種大麻案，美籍被告聆判後，當庭持預藏之銳器刺頸自戕死亡。究法庭安檢設備之設置、操作、維護及法令有無欠缺？法警執勤有無落實？教育訓練及應變能力是否足夠？相關人員有無違失</w:t>
      </w:r>
      <w:r w:rsidR="00FA247D">
        <w:rPr>
          <w:rFonts w:hint="eastAsia"/>
        </w:rPr>
        <w:t>，均有深入瞭解必要</w:t>
      </w:r>
      <w:r w:rsidRPr="004A1B56">
        <w:rPr>
          <w:rFonts w:hint="eastAsia"/>
        </w:rPr>
        <w:t>乙案</w:t>
      </w:r>
      <w:r w:rsidRPr="00EF742F">
        <w:rPr>
          <w:rFonts w:hint="eastAsia"/>
          <w:szCs w:val="32"/>
        </w:rPr>
        <w:t>。</w:t>
      </w:r>
    </w:p>
    <w:p w:rsidR="009A0C27" w:rsidRPr="004A1B56" w:rsidRDefault="009A0C27" w:rsidP="005169E0">
      <w:pPr>
        <w:pStyle w:val="1"/>
        <w:ind w:left="2380" w:hanging="2380"/>
      </w:pPr>
      <w:r w:rsidRPr="004A1B56">
        <w:rPr>
          <w:rFonts w:hint="eastAsia"/>
        </w:rPr>
        <w:t>調查意見</w:t>
      </w:r>
    </w:p>
    <w:p w:rsidR="009A0C27" w:rsidRPr="004A1B56" w:rsidRDefault="009A0C27" w:rsidP="009A0C27">
      <w:pPr>
        <w:pStyle w:val="2"/>
        <w:numPr>
          <w:ilvl w:val="0"/>
          <w:numId w:val="0"/>
        </w:numPr>
        <w:ind w:leftChars="202" w:left="687" w:firstLineChars="200" w:firstLine="680"/>
      </w:pPr>
      <w:r w:rsidRPr="004A1B56">
        <w:rPr>
          <w:rFonts w:hint="eastAsia"/>
        </w:rPr>
        <w:t>臺灣彰化地方法院（下稱彰化地院）審理105 年</w:t>
      </w:r>
      <w:r w:rsidR="00A6007B">
        <w:rPr>
          <w:rFonts w:hint="eastAsia"/>
        </w:rPr>
        <w:t>度</w:t>
      </w:r>
      <w:r w:rsidRPr="004A1B56">
        <w:rPr>
          <w:rFonts w:hint="eastAsia"/>
        </w:rPr>
        <w:t>訴字第130 號美籍被告AR</w:t>
      </w:r>
      <w:r w:rsidR="00EF742F">
        <w:rPr>
          <w:rFonts w:hAnsi="標楷體" w:hint="eastAsia"/>
        </w:rPr>
        <w:t>Ｏ</w:t>
      </w:r>
      <w:r w:rsidR="00863865">
        <w:rPr>
          <w:rFonts w:hAnsi="標楷體" w:hint="eastAsia"/>
        </w:rPr>
        <w:t>Ｏ</w:t>
      </w:r>
      <w:r w:rsidRPr="004A1B56">
        <w:rPr>
          <w:rFonts w:hint="eastAsia"/>
        </w:rPr>
        <w:t>KA TY</w:t>
      </w:r>
      <w:r w:rsidR="00863865">
        <w:rPr>
          <w:rFonts w:hAnsi="標楷體" w:hint="eastAsia"/>
        </w:rPr>
        <w:t>Ｏ</w:t>
      </w:r>
      <w:r w:rsidR="00EF742F">
        <w:rPr>
          <w:rFonts w:hAnsi="標楷體" w:hint="eastAsia"/>
        </w:rPr>
        <w:t>Ｏ</w:t>
      </w:r>
      <w:r w:rsidRPr="004A1B56">
        <w:rPr>
          <w:rFonts w:hint="eastAsia"/>
        </w:rPr>
        <w:t>EL MA</w:t>
      </w:r>
      <w:r w:rsidR="00EF742F">
        <w:rPr>
          <w:rFonts w:hAnsi="標楷體" w:hint="eastAsia"/>
        </w:rPr>
        <w:t>Ｏ</w:t>
      </w:r>
      <w:r w:rsidR="00863865">
        <w:rPr>
          <w:rFonts w:hAnsi="標楷體" w:hint="eastAsia"/>
        </w:rPr>
        <w:t>Ｏ</w:t>
      </w:r>
      <w:r w:rsidRPr="004A1B56">
        <w:rPr>
          <w:rFonts w:hint="eastAsia"/>
        </w:rPr>
        <w:t>INC（中文名李</w:t>
      </w:r>
      <w:r w:rsidR="00EF742F">
        <w:rPr>
          <w:rFonts w:hAnsi="標楷體" w:hint="eastAsia"/>
        </w:rPr>
        <w:t>Ｏ</w:t>
      </w:r>
      <w:r w:rsidRPr="004A1B56">
        <w:rPr>
          <w:rFonts w:hint="eastAsia"/>
        </w:rPr>
        <w:t>翰)因走私罌</w:t>
      </w:r>
      <w:r w:rsidR="00FA247D">
        <w:rPr>
          <w:rFonts w:hint="eastAsia"/>
        </w:rPr>
        <w:t>粟</w:t>
      </w:r>
      <w:r w:rsidRPr="004A1B56">
        <w:rPr>
          <w:rFonts w:hint="eastAsia"/>
        </w:rPr>
        <w:t>種子及大麻種子入境</w:t>
      </w:r>
      <w:r w:rsidR="00A6007B">
        <w:rPr>
          <w:rFonts w:hint="eastAsia"/>
        </w:rPr>
        <w:t>臺灣</w:t>
      </w:r>
      <w:r w:rsidRPr="004A1B56">
        <w:rPr>
          <w:rFonts w:hint="eastAsia"/>
        </w:rPr>
        <w:t>，並栽種大麻成株後製造第二級毒品大麻浸膏乙案，於民國(下同) 105年6月16日上午10 時15分許宣判，被告李</w:t>
      </w:r>
      <w:r w:rsidR="002A788E">
        <w:rPr>
          <w:rFonts w:hAnsi="標楷體" w:hint="eastAsia"/>
        </w:rPr>
        <w:t>Ｏ</w:t>
      </w:r>
      <w:r w:rsidRPr="004A1B56">
        <w:rPr>
          <w:rFonts w:hint="eastAsia"/>
        </w:rPr>
        <w:t>翰到庭聆判，在法官向其說明仍可上訴之際，拿出預藏於口袋並已拆成兩片之利剪，以刺頸之方式自戕身亡。案發後，各界</w:t>
      </w:r>
      <w:r w:rsidR="001C63A6" w:rsidRPr="004A1B56">
        <w:rPr>
          <w:rFonts w:hint="eastAsia"/>
        </w:rPr>
        <w:t>對於</w:t>
      </w:r>
      <w:r w:rsidRPr="004A1B56">
        <w:rPr>
          <w:rFonts w:hint="eastAsia"/>
        </w:rPr>
        <w:t>被告何以攜帶利器進入法庭，及法院安全檢查流於形式</w:t>
      </w:r>
      <w:r w:rsidRPr="004A1B56">
        <w:rPr>
          <w:rStyle w:val="af8"/>
        </w:rPr>
        <w:footnoteReference w:id="1"/>
      </w:r>
      <w:r w:rsidR="001C63A6" w:rsidRPr="004A1B56">
        <w:rPr>
          <w:rFonts w:hint="eastAsia"/>
        </w:rPr>
        <w:t>等多所質疑</w:t>
      </w:r>
      <w:r w:rsidRPr="004A1B56">
        <w:rPr>
          <w:rFonts w:hint="eastAsia"/>
        </w:rPr>
        <w:t>，本院105年6月22日赴彰化地院現場履勘、聽取簡報及進行座談，並於同日下午詢問該案合議庭王義閔庭長、值庭之邱</w:t>
      </w:r>
      <w:r w:rsidR="002A788E">
        <w:rPr>
          <w:rFonts w:hAnsi="標楷體" w:hint="eastAsia"/>
        </w:rPr>
        <w:t>Ｏ</w:t>
      </w:r>
      <w:r w:rsidRPr="004A1B56">
        <w:rPr>
          <w:rFonts w:hint="eastAsia"/>
        </w:rPr>
        <w:t>濤法警、門禁警衛之張騰文法警及顧漢地法警長等人；另為深入了解法院安全維護情形，函</w:t>
      </w:r>
      <w:r w:rsidRPr="004A1B56">
        <w:rPr>
          <w:rFonts w:hint="eastAsia"/>
        </w:rPr>
        <w:lastRenderedPageBreak/>
        <w:t>請司法院及彰化地院提供相關卷證資料，再於105年10月21日約詢司法院司法行政廳</w:t>
      </w:r>
      <w:r w:rsidR="00487204" w:rsidRPr="004A1B56">
        <w:rPr>
          <w:rFonts w:hint="eastAsia"/>
        </w:rPr>
        <w:t>副廳長許旭聖</w:t>
      </w:r>
      <w:r w:rsidRPr="004A1B56">
        <w:rPr>
          <w:rFonts w:hint="eastAsia"/>
        </w:rPr>
        <w:t>、政風處</w:t>
      </w:r>
      <w:r w:rsidR="00487204" w:rsidRPr="004A1B56">
        <w:rPr>
          <w:rFonts w:hint="eastAsia"/>
        </w:rPr>
        <w:t>專門委員楊華興、科長吳健民</w:t>
      </w:r>
      <w:r w:rsidRPr="004A1B56">
        <w:rPr>
          <w:rFonts w:hint="eastAsia"/>
        </w:rPr>
        <w:t>及彰化地院</w:t>
      </w:r>
      <w:r w:rsidR="00487204" w:rsidRPr="004A1B56">
        <w:rPr>
          <w:rFonts w:hint="eastAsia"/>
        </w:rPr>
        <w:t>行政庭長王義閔</w:t>
      </w:r>
      <w:r w:rsidRPr="004A1B56">
        <w:rPr>
          <w:rFonts w:hint="eastAsia"/>
        </w:rPr>
        <w:t>等機關代表，茲綜整調查意見如下：</w:t>
      </w:r>
    </w:p>
    <w:p w:rsidR="009A0C27" w:rsidRPr="004A1B56" w:rsidRDefault="009A0C27" w:rsidP="009A0C27">
      <w:pPr>
        <w:pStyle w:val="2"/>
        <w:rPr>
          <w:b/>
        </w:rPr>
      </w:pPr>
      <w:r w:rsidRPr="004A1B56">
        <w:rPr>
          <w:rFonts w:hint="eastAsia"/>
          <w:b/>
        </w:rPr>
        <w:t>本案彰化地院因法庭入口處金屬探測門老舊失效，致美籍被告得以雜誌包夾藏利器進入法庭，尚難認為法警安全檢查及法警長指揮監督有何疏失。惟該院2台金屬探測門早經法警室簽報汰換，並由司法院補助經費汰換其中1台，彰化地院卻未重視機關安全維護之需求，以即將搬遷新廈及經費不足為由，繼續使用另1台舊型探測門，又未隨時檢測其功能，肇生重大危安事故，核有疏失。</w:t>
      </w:r>
    </w:p>
    <w:p w:rsidR="009A0C27" w:rsidRPr="004A1B56" w:rsidRDefault="009A0C27" w:rsidP="009A0C27">
      <w:pPr>
        <w:pStyle w:val="3"/>
      </w:pPr>
      <w:r w:rsidRPr="004A1B56">
        <w:rPr>
          <w:rFonts w:hint="eastAsia"/>
        </w:rPr>
        <w:t>依「法院組織法」第23條規定，各地方法院法警辦理值庭、執行、警衛、解送人犯及有關司法警察事務。又依該條授權司法院及行政院會銜發布之「法警管理辦法」及臺灣高等法院</w:t>
      </w:r>
      <w:r w:rsidR="00ED7930" w:rsidRPr="004A1B56">
        <w:rPr>
          <w:rFonts w:hAnsi="標楷體" w:hint="eastAsia"/>
        </w:rPr>
        <w:t>（下稱高等法院）</w:t>
      </w:r>
      <w:r w:rsidRPr="004A1B56">
        <w:rPr>
          <w:rFonts w:hint="eastAsia"/>
        </w:rPr>
        <w:t>訂</w:t>
      </w:r>
      <w:r w:rsidR="00FA247D">
        <w:rPr>
          <w:rFonts w:hint="eastAsia"/>
        </w:rPr>
        <w:t>定</w:t>
      </w:r>
      <w:r w:rsidRPr="004A1B56">
        <w:rPr>
          <w:rFonts w:hint="eastAsia"/>
        </w:rPr>
        <w:t>之「臺灣高等法院及所屬各級法院法警執行職務應行注意事項」規定，法警執行職務，應受各該法院院長之監督指揮，並由各法院書記官長秉承院長之命，對法警負直接監督考核之責。法警長應依據法院週圍環境，檢視法院出入口及法庭當事人進出動線之設置是否適當，擬訂警衛崗哨位置與巡邏方式，報請該管長官核定後，編製警衛勤務表，輪派法警服行警衛勤務，並應檢查安全維護設施是否完善，以確保法院之安全與秩序</w:t>
      </w:r>
      <w:r w:rsidR="00965222" w:rsidRPr="004A1B56">
        <w:rPr>
          <w:rFonts w:hint="eastAsia"/>
        </w:rPr>
        <w:t>，</w:t>
      </w:r>
      <w:r w:rsidRPr="004A1B56">
        <w:rPr>
          <w:rFonts w:hint="eastAsia"/>
        </w:rPr>
        <w:t>法警管理辦法第4、5條</w:t>
      </w:r>
      <w:r w:rsidR="00965222" w:rsidRPr="004A1B56">
        <w:rPr>
          <w:rFonts w:hint="eastAsia"/>
        </w:rPr>
        <w:t>及前揭</w:t>
      </w:r>
      <w:r w:rsidRPr="004A1B56">
        <w:rPr>
          <w:rFonts w:hint="eastAsia"/>
        </w:rPr>
        <w:t>注意事項第2點、第33點第1項</w:t>
      </w:r>
      <w:r w:rsidR="00965222" w:rsidRPr="004A1B56">
        <w:rPr>
          <w:rFonts w:hint="eastAsia"/>
        </w:rPr>
        <w:t>定有明文</w:t>
      </w:r>
      <w:r w:rsidRPr="004A1B56">
        <w:rPr>
          <w:rFonts w:hint="eastAsia"/>
        </w:rPr>
        <w:t>。</w:t>
      </w:r>
    </w:p>
    <w:p w:rsidR="009A0C27" w:rsidRPr="004A1B56" w:rsidRDefault="009A0C27" w:rsidP="009A0C27">
      <w:pPr>
        <w:pStyle w:val="3"/>
      </w:pPr>
      <w:r w:rsidRPr="004A1B56">
        <w:rPr>
          <w:rFonts w:hint="eastAsia"/>
        </w:rPr>
        <w:t>美籍被告李</w:t>
      </w:r>
      <w:r w:rsidR="000A59D4">
        <w:rPr>
          <w:rFonts w:hAnsi="標楷體" w:hint="eastAsia"/>
        </w:rPr>
        <w:t>Ｏ</w:t>
      </w:r>
      <w:r w:rsidRPr="004A1B56">
        <w:rPr>
          <w:rFonts w:hint="eastAsia"/>
        </w:rPr>
        <w:t>翰攜帶利器進入法庭自戕事件</w:t>
      </w:r>
      <w:r w:rsidRPr="004A1B56">
        <w:rPr>
          <w:rFonts w:hint="eastAsia"/>
          <w:szCs w:val="48"/>
        </w:rPr>
        <w:t>經過如下</w:t>
      </w:r>
      <w:r w:rsidRPr="004A1B56">
        <w:rPr>
          <w:rFonts w:hint="eastAsia"/>
        </w:rPr>
        <w:t>：</w:t>
      </w:r>
    </w:p>
    <w:p w:rsidR="009A0C27" w:rsidRPr="004A1B56" w:rsidRDefault="009A0C27" w:rsidP="009A0C27">
      <w:pPr>
        <w:pStyle w:val="4"/>
      </w:pPr>
      <w:r w:rsidRPr="004A1B56">
        <w:rPr>
          <w:rFonts w:hint="eastAsia"/>
        </w:rPr>
        <w:t>105年6月16日上午9 時許，被告李</w:t>
      </w:r>
      <w:r w:rsidR="000A59D4">
        <w:rPr>
          <w:rFonts w:hAnsi="標楷體" w:hint="eastAsia"/>
        </w:rPr>
        <w:t>Ｏ</w:t>
      </w:r>
      <w:r w:rsidRPr="004A1B56">
        <w:rPr>
          <w:rFonts w:hint="eastAsia"/>
        </w:rPr>
        <w:t>翰抵達彰化地院，經該院退休人員志</w:t>
      </w:r>
      <w:r w:rsidRPr="004A1B56">
        <w:rPr>
          <w:rFonts w:hint="eastAsia"/>
        </w:rPr>
        <w:lastRenderedPageBreak/>
        <w:t>工引導，至</w:t>
      </w:r>
      <w:r w:rsidR="00965222" w:rsidRPr="004A1B56">
        <w:rPr>
          <w:rFonts w:hint="eastAsia"/>
        </w:rPr>
        <w:t>第</w:t>
      </w:r>
      <w:r w:rsidRPr="004A1B56">
        <w:rPr>
          <w:rFonts w:hint="eastAsia"/>
        </w:rPr>
        <w:t>十二法庭外等候。</w:t>
      </w:r>
    </w:p>
    <w:p w:rsidR="009A0C27" w:rsidRPr="004A1B56" w:rsidRDefault="009A0C27" w:rsidP="009A0C27">
      <w:pPr>
        <w:pStyle w:val="4"/>
      </w:pPr>
      <w:r w:rsidRPr="004A1B56">
        <w:rPr>
          <w:rFonts w:hint="eastAsia"/>
        </w:rPr>
        <w:t>9</w:t>
      </w:r>
      <w:r w:rsidR="0019576C">
        <w:rPr>
          <w:rFonts w:hint="eastAsia"/>
        </w:rPr>
        <w:t>時</w:t>
      </w:r>
      <w:r w:rsidRPr="004A1B56">
        <w:rPr>
          <w:rFonts w:hint="eastAsia"/>
        </w:rPr>
        <w:t>20分，被告李</w:t>
      </w:r>
      <w:r w:rsidR="000A59D4">
        <w:rPr>
          <w:rFonts w:hAnsi="標楷體" w:hint="eastAsia"/>
        </w:rPr>
        <w:t>Ｏ</w:t>
      </w:r>
      <w:r w:rsidRPr="004A1B56">
        <w:rPr>
          <w:rFonts w:hint="eastAsia"/>
        </w:rPr>
        <w:t>翰自行辦理報到，進入</w:t>
      </w:r>
      <w:r w:rsidR="00965222" w:rsidRPr="004A1B56">
        <w:rPr>
          <w:rFonts w:hint="eastAsia"/>
        </w:rPr>
        <w:t>第</w:t>
      </w:r>
      <w:r w:rsidRPr="004A1B56">
        <w:rPr>
          <w:rFonts w:hint="eastAsia"/>
        </w:rPr>
        <w:t>十二法庭後方旁聽席。</w:t>
      </w:r>
    </w:p>
    <w:p w:rsidR="009A0C27" w:rsidRPr="004A1B56" w:rsidRDefault="009A0C27" w:rsidP="009A0C27">
      <w:pPr>
        <w:pStyle w:val="4"/>
      </w:pPr>
      <w:r w:rsidRPr="004A1B56">
        <w:rPr>
          <w:rFonts w:hint="eastAsia"/>
        </w:rPr>
        <w:t>10時15分許，法官宣示判決，被告李</w:t>
      </w:r>
      <w:r w:rsidR="000A59D4">
        <w:rPr>
          <w:rFonts w:hAnsi="標楷體" w:hint="eastAsia"/>
        </w:rPr>
        <w:t>Ｏ</w:t>
      </w:r>
      <w:r w:rsidRPr="004A1B56">
        <w:rPr>
          <w:rFonts w:hint="eastAsia"/>
        </w:rPr>
        <w:t>翰因私運管制物品罪及製造第二級毒品罪被宣判二罪合併定應執行有期徒刑</w:t>
      </w:r>
      <w:r w:rsidR="00965222" w:rsidRPr="004A1B56">
        <w:rPr>
          <w:rFonts w:hint="eastAsia"/>
        </w:rPr>
        <w:t>4</w:t>
      </w:r>
      <w:r w:rsidRPr="004A1B56">
        <w:rPr>
          <w:rFonts w:hint="eastAsia"/>
        </w:rPr>
        <w:t>年。李</w:t>
      </w:r>
      <w:r w:rsidR="000A59D4">
        <w:rPr>
          <w:rFonts w:hAnsi="標楷體" w:hint="eastAsia"/>
        </w:rPr>
        <w:t>Ｏ</w:t>
      </w:r>
      <w:r w:rsidRPr="004A1B56">
        <w:rPr>
          <w:rFonts w:hint="eastAsia"/>
        </w:rPr>
        <w:t>翰於宣判後，在法官向</w:t>
      </w:r>
      <w:r w:rsidR="00965222" w:rsidRPr="004A1B56">
        <w:rPr>
          <w:rFonts w:hint="eastAsia"/>
        </w:rPr>
        <w:t>渠</w:t>
      </w:r>
      <w:r w:rsidRPr="004A1B56">
        <w:rPr>
          <w:rFonts w:hint="eastAsia"/>
        </w:rPr>
        <w:t>說明仍可上訴之際，當庭拿出預藏於口袋，已拆成兩片之剪刀 ，以刺頸之方式自戕，合議庭</w:t>
      </w:r>
      <w:r w:rsidR="00965222" w:rsidRPr="004A1B56">
        <w:rPr>
          <w:rFonts w:hint="eastAsia"/>
        </w:rPr>
        <w:t>法官</w:t>
      </w:r>
      <w:r w:rsidRPr="004A1B56">
        <w:rPr>
          <w:rFonts w:hint="eastAsia"/>
        </w:rPr>
        <w:t>及值庭法警當場不及制止。</w:t>
      </w:r>
    </w:p>
    <w:p w:rsidR="009A0C27" w:rsidRPr="004A1B56" w:rsidRDefault="009A0C27" w:rsidP="009A0C27">
      <w:pPr>
        <w:pStyle w:val="4"/>
      </w:pPr>
      <w:r w:rsidRPr="004A1B56">
        <w:rPr>
          <w:rFonts w:hint="eastAsia"/>
        </w:rPr>
        <w:t>10時19分，救護車抵達彰化地院。</w:t>
      </w:r>
    </w:p>
    <w:p w:rsidR="009A0C27" w:rsidRPr="004A1B56" w:rsidRDefault="009A0C27" w:rsidP="009A0C27">
      <w:pPr>
        <w:pStyle w:val="4"/>
      </w:pPr>
      <w:r w:rsidRPr="004A1B56">
        <w:rPr>
          <w:rFonts w:hint="eastAsia"/>
        </w:rPr>
        <w:t>10時20分，救護車將傷患送醫。</w:t>
      </w:r>
    </w:p>
    <w:p w:rsidR="009A0C27" w:rsidRPr="004A1B56" w:rsidRDefault="009A0C27" w:rsidP="009A0C27">
      <w:pPr>
        <w:pStyle w:val="4"/>
      </w:pPr>
      <w:r w:rsidRPr="004A1B56">
        <w:rPr>
          <w:rFonts w:hint="eastAsia"/>
        </w:rPr>
        <w:t>10時25分，政風室通報司法院政風處及高</w:t>
      </w:r>
      <w:r w:rsidR="00ED7930" w:rsidRPr="004A1B56">
        <w:rPr>
          <w:rFonts w:hint="eastAsia"/>
        </w:rPr>
        <w:t>等法</w:t>
      </w:r>
      <w:r w:rsidRPr="004A1B56">
        <w:rPr>
          <w:rFonts w:hint="eastAsia"/>
        </w:rPr>
        <w:t>院政風室，並向轄區</w:t>
      </w:r>
      <w:r w:rsidR="002976B5" w:rsidRPr="004A1B56">
        <w:rPr>
          <w:rFonts w:hint="eastAsia"/>
        </w:rPr>
        <w:t>彰化縣警察局員林分局</w:t>
      </w:r>
      <w:r w:rsidR="002976B5" w:rsidRPr="004A1B56">
        <w:rPr>
          <w:rFonts w:hAnsi="標楷體" w:hint="eastAsia"/>
        </w:rPr>
        <w:t>（</w:t>
      </w:r>
      <w:r w:rsidR="002976B5" w:rsidRPr="004A1B56">
        <w:rPr>
          <w:rFonts w:hint="eastAsia"/>
        </w:rPr>
        <w:t>下稱員林分局</w:t>
      </w:r>
      <w:r w:rsidR="002976B5" w:rsidRPr="004A1B56">
        <w:rPr>
          <w:rFonts w:hAnsi="標楷體" w:hint="eastAsia"/>
        </w:rPr>
        <w:t>）</w:t>
      </w:r>
      <w:r w:rsidRPr="004A1B56">
        <w:rPr>
          <w:rFonts w:hint="eastAsia"/>
        </w:rPr>
        <w:t>報案。</w:t>
      </w:r>
    </w:p>
    <w:p w:rsidR="009A0C27" w:rsidRPr="004A1B56" w:rsidRDefault="009A0C27" w:rsidP="009A0C27">
      <w:pPr>
        <w:pStyle w:val="4"/>
      </w:pPr>
      <w:r w:rsidRPr="004A1B56">
        <w:rPr>
          <w:rFonts w:hint="eastAsia"/>
        </w:rPr>
        <w:t>11時15分，被告李</w:t>
      </w:r>
      <w:r w:rsidR="000A59D4">
        <w:rPr>
          <w:rFonts w:hAnsi="標楷體" w:hint="eastAsia"/>
        </w:rPr>
        <w:t>Ｏ</w:t>
      </w:r>
      <w:r w:rsidRPr="004A1B56">
        <w:rPr>
          <w:rFonts w:hint="eastAsia"/>
        </w:rPr>
        <w:t>翰</w:t>
      </w:r>
      <w:r w:rsidR="00965222" w:rsidRPr="004A1B56">
        <w:rPr>
          <w:rFonts w:hint="eastAsia"/>
        </w:rPr>
        <w:t>經</w:t>
      </w:r>
      <w:r w:rsidRPr="004A1B56">
        <w:rPr>
          <w:rFonts w:hint="eastAsia"/>
        </w:rPr>
        <w:t>宣告急救無效。</w:t>
      </w:r>
    </w:p>
    <w:p w:rsidR="009A0C27" w:rsidRPr="004A1B56" w:rsidRDefault="00BE1E31" w:rsidP="009A0C27">
      <w:pPr>
        <w:pStyle w:val="3"/>
      </w:pPr>
      <w:r w:rsidRPr="004A1B56">
        <w:rPr>
          <w:rFonts w:hint="eastAsia"/>
        </w:rPr>
        <w:t>經查，</w:t>
      </w:r>
      <w:r w:rsidR="009A0C27" w:rsidRPr="004A1B56">
        <w:rPr>
          <w:rFonts w:hint="eastAsia"/>
        </w:rPr>
        <w:t>事件發生時彰化地院法庭區出入口設置金屬探測門2座，並指派法警1員輔以手持式金屬探測器專責安檢勤務</w:t>
      </w:r>
      <w:r w:rsidRPr="004A1B56">
        <w:rPr>
          <w:rFonts w:hint="eastAsia"/>
        </w:rPr>
        <w:t>。</w:t>
      </w:r>
      <w:r w:rsidR="009A0C27" w:rsidRPr="004A1B56">
        <w:rPr>
          <w:rFonts w:hint="eastAsia"/>
        </w:rPr>
        <w:t>依該院安檢流程，自行到庭之民眾須先通過金屬探測門，若發出警示聲響，應以手持</w:t>
      </w:r>
      <w:r w:rsidR="00ED7930" w:rsidRPr="004A1B56">
        <w:rPr>
          <w:rFonts w:hint="eastAsia"/>
        </w:rPr>
        <w:t>式</w:t>
      </w:r>
      <w:r w:rsidR="009A0C27" w:rsidRPr="004A1B56">
        <w:rPr>
          <w:rFonts w:hint="eastAsia"/>
        </w:rPr>
        <w:t>金屬探測</w:t>
      </w:r>
      <w:r w:rsidR="00ED7930" w:rsidRPr="004A1B56">
        <w:rPr>
          <w:rFonts w:hint="eastAsia"/>
        </w:rPr>
        <w:t>器</w:t>
      </w:r>
      <w:r w:rsidR="009A0C27" w:rsidRPr="004A1B56">
        <w:rPr>
          <w:rFonts w:hint="eastAsia"/>
        </w:rPr>
        <w:t>檢查有無攜帶違禁物品；如未發出聲響，則無庸再行檢查。</w:t>
      </w:r>
      <w:r w:rsidRPr="004A1B56">
        <w:rPr>
          <w:rFonts w:hint="eastAsia"/>
        </w:rPr>
        <w:t>詢據輪值法庭區出入口之法警張</w:t>
      </w:r>
      <w:r w:rsidR="000A59D4">
        <w:rPr>
          <w:rFonts w:hAnsi="標楷體" w:hint="eastAsia"/>
        </w:rPr>
        <w:t>Ｏ</w:t>
      </w:r>
      <w:r w:rsidRPr="004A1B56">
        <w:rPr>
          <w:rFonts w:hint="eastAsia"/>
        </w:rPr>
        <w:t>文表示，</w:t>
      </w:r>
      <w:r w:rsidR="009A0C27" w:rsidRPr="004A1B56">
        <w:rPr>
          <w:rFonts w:hint="eastAsia"/>
        </w:rPr>
        <w:t>美籍被告李</w:t>
      </w:r>
      <w:r w:rsidR="000A59D4">
        <w:rPr>
          <w:rFonts w:hAnsi="標楷體" w:hint="eastAsia"/>
        </w:rPr>
        <w:t>Ｏ</w:t>
      </w:r>
      <w:r w:rsidR="009A0C27" w:rsidRPr="004A1B56">
        <w:rPr>
          <w:rFonts w:hint="eastAsia"/>
        </w:rPr>
        <w:t>翰係當日上午9時許通過左側舊型金屬探測門進入法庭區，隨身僅右腋下夾有雜誌</w:t>
      </w:r>
      <w:r w:rsidR="00965222" w:rsidRPr="004A1B56">
        <w:rPr>
          <w:rFonts w:hint="eastAsia"/>
        </w:rPr>
        <w:t>1</w:t>
      </w:r>
      <w:r w:rsidR="009A0C27" w:rsidRPr="004A1B56">
        <w:rPr>
          <w:rFonts w:hint="eastAsia"/>
        </w:rPr>
        <w:t>本，經過金屬</w:t>
      </w:r>
      <w:r w:rsidR="00F82BC0" w:rsidRPr="004A1B56">
        <w:rPr>
          <w:rFonts w:hint="eastAsia"/>
        </w:rPr>
        <w:t>探測</w:t>
      </w:r>
      <w:r w:rsidR="009A0C27" w:rsidRPr="004A1B56">
        <w:rPr>
          <w:rFonts w:hint="eastAsia"/>
        </w:rPr>
        <w:t>門時，伊未聽到警示聲響，目視</w:t>
      </w:r>
      <w:r w:rsidRPr="004A1B56">
        <w:rPr>
          <w:rFonts w:hint="eastAsia"/>
        </w:rPr>
        <w:t>被告</w:t>
      </w:r>
      <w:r w:rsidR="009A0C27" w:rsidRPr="004A1B56">
        <w:rPr>
          <w:rFonts w:hint="eastAsia"/>
        </w:rPr>
        <w:t>外觀並無異狀，故未加以特別盤查等語，核與當日法庭外走廊監視錄影畫面相符。本院於105年6月22日現場勘查美籍被告通過之舊型金屬</w:t>
      </w:r>
      <w:r w:rsidR="00F82BC0" w:rsidRPr="004A1B56">
        <w:rPr>
          <w:rFonts w:hint="eastAsia"/>
        </w:rPr>
        <w:t>探測</w:t>
      </w:r>
      <w:r w:rsidR="009A0C27" w:rsidRPr="004A1B56">
        <w:rPr>
          <w:rFonts w:hint="eastAsia"/>
        </w:rPr>
        <w:t>門，</w:t>
      </w:r>
      <w:r w:rsidR="00965222" w:rsidRPr="004A1B56">
        <w:rPr>
          <w:rFonts w:hint="eastAsia"/>
        </w:rPr>
        <w:t>測試</w:t>
      </w:r>
      <w:r w:rsidR="009A0C27" w:rsidRPr="004A1B56">
        <w:rPr>
          <w:rFonts w:hint="eastAsia"/>
        </w:rPr>
        <w:t>發現如將金屬物品夾於雜誌、</w:t>
      </w:r>
      <w:r w:rsidR="009A0C27" w:rsidRPr="004A1B56">
        <w:rPr>
          <w:rFonts w:hint="eastAsia"/>
        </w:rPr>
        <w:lastRenderedPageBreak/>
        <w:t>書本中，門側雖亮起紅燈但無警示嗶聲，顯示該金屬</w:t>
      </w:r>
      <w:r w:rsidR="00F82BC0" w:rsidRPr="004A1B56">
        <w:rPr>
          <w:rFonts w:hint="eastAsia"/>
        </w:rPr>
        <w:t>探測</w:t>
      </w:r>
      <w:r w:rsidR="009A0C27" w:rsidRPr="004A1B56">
        <w:rPr>
          <w:rFonts w:hint="eastAsia"/>
        </w:rPr>
        <w:t>門確因老舊欠缺敏感度而失去安檢功能。</w:t>
      </w:r>
      <w:r w:rsidRPr="004A1B56">
        <w:rPr>
          <w:rFonts w:hint="eastAsia"/>
        </w:rPr>
        <w:t>又</w:t>
      </w:r>
      <w:r w:rsidR="009A0C27" w:rsidRPr="004A1B56">
        <w:rPr>
          <w:rFonts w:hint="eastAsia"/>
          <w:szCs w:val="48"/>
        </w:rPr>
        <w:t>彰化地院105年第11次考績委員會審議相關事證，認為該院值班法警、值庭法警均依規定到班執勤，並無鬆弛職務等情形，事後通報、送醫等處置亦尚無違誤，決議法警長及值庭、值勤法警均不予懲處，有考績委員會會議紀錄可稽。</w:t>
      </w:r>
      <w:r w:rsidR="009A0C27" w:rsidRPr="004A1B56">
        <w:rPr>
          <w:rFonts w:hint="eastAsia"/>
        </w:rPr>
        <w:t>堪信</w:t>
      </w:r>
      <w:r w:rsidR="009A0C27" w:rsidRPr="004A1B56">
        <w:rPr>
          <w:rFonts w:hint="eastAsia"/>
          <w:szCs w:val="48"/>
        </w:rPr>
        <w:t>被告得</w:t>
      </w:r>
      <w:r w:rsidR="009A0C27" w:rsidRPr="004A1B56">
        <w:rPr>
          <w:rFonts w:hint="eastAsia"/>
        </w:rPr>
        <w:t>夾藏金屬利器進入法庭區，係因器材老舊失修，而非法庭入口處</w:t>
      </w:r>
      <w:r w:rsidR="009A0C27" w:rsidRPr="004A1B56">
        <w:rPr>
          <w:rFonts w:hint="eastAsia"/>
          <w:szCs w:val="48"/>
        </w:rPr>
        <w:t>值班法警鬆弛職務所致</w:t>
      </w:r>
      <w:r w:rsidR="009A0C27" w:rsidRPr="004A1B56">
        <w:rPr>
          <w:rFonts w:hint="eastAsia"/>
        </w:rPr>
        <w:t>。</w:t>
      </w:r>
    </w:p>
    <w:p w:rsidR="009A0C27" w:rsidRPr="004A1B56" w:rsidRDefault="009A0C27" w:rsidP="009A0C27">
      <w:pPr>
        <w:pStyle w:val="3"/>
      </w:pPr>
      <w:r w:rsidRPr="004A1B56">
        <w:rPr>
          <w:rFonts w:hint="eastAsia"/>
        </w:rPr>
        <w:t>該失效之金屬探測門係司法院於95年6月統一採購移撥彰化地院使用，迄本案發生時已使用逾10年，相關之維修及測試均由法警室協助辦理。104年10月5日司法院政風處就當年度「司法人員安全設備購置及維護經費」資本門標餘款函請該院提報採購需求，法警長顧</w:t>
      </w:r>
      <w:r w:rsidR="001B1F71">
        <w:rPr>
          <w:rFonts w:hAnsi="標楷體" w:hint="eastAsia"/>
        </w:rPr>
        <w:t>Ｏ</w:t>
      </w:r>
      <w:r w:rsidRPr="004A1B56">
        <w:rPr>
          <w:rFonts w:hint="eastAsia"/>
        </w:rPr>
        <w:t>地於104年10月6日簽報總務科略以：「本院法庭區入口處之偵測感應門，因使用年限已久，有二台因接觸不良時常故障，為提升法庭區之安全維護，如經費許可，建請汰舊換新。」向司法院政風處申請安全設備經費，然因該項目剩餘金額僅</w:t>
      </w:r>
      <w:r w:rsidR="003513A0" w:rsidRPr="004A1B56">
        <w:rPr>
          <w:rFonts w:hint="eastAsia"/>
        </w:rPr>
        <w:t>新台幣</w:t>
      </w:r>
      <w:r w:rsidR="003513A0" w:rsidRPr="004A1B56">
        <w:rPr>
          <w:rFonts w:hAnsi="標楷體" w:hint="eastAsia"/>
        </w:rPr>
        <w:t>（下同）</w:t>
      </w:r>
      <w:r w:rsidRPr="004A1B56">
        <w:rPr>
          <w:rFonts w:hint="eastAsia"/>
        </w:rPr>
        <w:t>93萬元（金屬探測門1台約16萬餘元），且需分配全國各司法機關使用，故准予核配更換1台，於104年12月以公開方式辦理採購並設置於法庭區入口處，有相關函文可稽。彰化地院表示考量新大樓即將完工，及該舊式金屬探測門係敏感度較低，非故障失效，事發後已重新規劃民眾進入法庭區之動線，立即更換新型探測門云云</w:t>
      </w:r>
      <w:r w:rsidR="00BE1E31" w:rsidRPr="004A1B56">
        <w:rPr>
          <w:rFonts w:hint="eastAsia"/>
        </w:rPr>
        <w:t>。</w:t>
      </w:r>
      <w:r w:rsidRPr="004A1B56">
        <w:rPr>
          <w:rFonts w:hint="eastAsia"/>
        </w:rPr>
        <w:t>惟詢據司法院表示：各法院安全設備經費應由各該法院於機關年度預算內編列，如有不足或臨時緊急性需求，再向司法院申請「加強維護司法人員安全方案」專項經費支應等語。彰化地院既明知2台</w:t>
      </w:r>
      <w:r w:rsidRPr="004A1B56">
        <w:rPr>
          <w:rFonts w:hint="eastAsia"/>
        </w:rPr>
        <w:lastRenderedPageBreak/>
        <w:t>金屬探測門均因</w:t>
      </w:r>
      <w:r w:rsidR="003E74A8" w:rsidRPr="004A1B56">
        <w:rPr>
          <w:rFonts w:hint="eastAsia"/>
        </w:rPr>
        <w:t>使用多</w:t>
      </w:r>
      <w:r w:rsidRPr="004A1B56">
        <w:rPr>
          <w:rFonts w:hint="eastAsia"/>
        </w:rPr>
        <w:t>年經常故障，且司法院已補助汰換其中1台，而新大樓啟用後，新購置之金屬探測門亦可繼續使用，彰化地院本應運用本身結餘經費或於次年度預算中編列相關經費，確實評估及時汰換另1台之可行性；如認為仍屬堪用，亦應隨時檢測、定期維護；縱然因經費拮据而有實際困難，亦應重新規劃法院出入口及法庭當事人進出動線，以確實維護機關及民眾安全。然彰化地院卻無積極作為，顯與法院組織法、法警管理辦法及臺灣高等法院及所屬各級法院法警執行職務應行注意事項之相關規定不符。且該舊型之金屬探測門於104年11月3日維修後，迄案發時長達半年以上未有維護紀錄，足見其明知有接觸不良及敏感度不足等問題，</w:t>
      </w:r>
      <w:r w:rsidR="002976B5" w:rsidRPr="004A1B56">
        <w:rPr>
          <w:rFonts w:hint="eastAsia"/>
        </w:rPr>
        <w:t>卻疏於注意，導致被告得以雜誌</w:t>
      </w:r>
      <w:r w:rsidRPr="004A1B56">
        <w:rPr>
          <w:rFonts w:hint="eastAsia"/>
        </w:rPr>
        <w:t>夾藏利器進入法庭自戕。該院就安全維護設施之設置與管理流於輕忽，核有疏失。</w:t>
      </w:r>
    </w:p>
    <w:p w:rsidR="009A0C27" w:rsidRPr="004A1B56" w:rsidRDefault="009A0C27" w:rsidP="009A0C27">
      <w:pPr>
        <w:pStyle w:val="2"/>
        <w:rPr>
          <w:b/>
        </w:rPr>
      </w:pPr>
      <w:r w:rsidRPr="004A1B56">
        <w:rPr>
          <w:rFonts w:hint="eastAsia"/>
          <w:b/>
        </w:rPr>
        <w:t>各法院安檢設備普遍老舊，設置及維護經費不足，全國僅有1</w:t>
      </w:r>
      <w:r w:rsidR="00C3380B">
        <w:rPr>
          <w:rFonts w:hint="eastAsia"/>
          <w:b/>
        </w:rPr>
        <w:t>3</w:t>
      </w:r>
      <w:r w:rsidRPr="004A1B56">
        <w:rPr>
          <w:rFonts w:hint="eastAsia"/>
          <w:b/>
        </w:rPr>
        <w:t>間法院設置X光行李檢查儀，加以法警人力欠缺，難以落實門禁管理及安全檢查。司法院允應指示各法院重視機關安全，寬列經費，以避免類似事件再度發生。</w:t>
      </w:r>
    </w:p>
    <w:p w:rsidR="009A0C27" w:rsidRPr="004A1B56" w:rsidRDefault="009A0C27" w:rsidP="009A0C27">
      <w:pPr>
        <w:pStyle w:val="3"/>
      </w:pPr>
      <w:r w:rsidRPr="004A1B56">
        <w:rPr>
          <w:rFonts w:hint="eastAsia"/>
        </w:rPr>
        <w:t>按法院法庭區之門禁安全檢查，屬機關安全維護極為重要的一環。「臺灣高等法院及所屬各級法院法警執行職務應行注意事項」第33點第2項規定：「關於大門民眾出入之處，應設置門禁安全檢查，並採『人物分離』措施，以X光行李檢查儀、金屬探測門、金屬探測器等輔助加強檢查，並隨時檢測各項設備之功能是否正常。」本院前調查「各院檢現行法警人力進用、配置、人員素質及教育訓練」乙案（下稱前案），發現部分院檢機關門禁安全檢查未落實，安全硬體設施不足，設備逾年</w:t>
      </w:r>
      <w:r w:rsidRPr="004A1B56">
        <w:rPr>
          <w:rFonts w:hint="eastAsia"/>
        </w:rPr>
        <w:lastRenderedPageBreak/>
        <w:t>限不堪使用而未定期保養檢查汰換，導致維安事故頻傳。於104年4月15日經本院司法及獄政委員會第5屆第9次會議決議，函請司法院及法務部確實檢討改進。</w:t>
      </w:r>
    </w:p>
    <w:p w:rsidR="009A0C27" w:rsidRPr="004A1B56" w:rsidRDefault="009A0C27" w:rsidP="009A0C27">
      <w:pPr>
        <w:pStyle w:val="3"/>
      </w:pPr>
      <w:r w:rsidRPr="004A1B56">
        <w:rPr>
          <w:rFonts w:hint="eastAsia"/>
        </w:rPr>
        <w:t>另有關法警人力配置，依法院組織法規定，第</w:t>
      </w:r>
      <w:r w:rsidR="003E74A8" w:rsidRPr="004A1B56">
        <w:rPr>
          <w:rFonts w:hint="eastAsia"/>
        </w:rPr>
        <w:t>1</w:t>
      </w:r>
      <w:r w:rsidRPr="004A1B56">
        <w:rPr>
          <w:rFonts w:hint="eastAsia"/>
        </w:rPr>
        <w:t>類地方法院法官與法警及第</w:t>
      </w:r>
      <w:r w:rsidR="003E74A8" w:rsidRPr="004A1B56">
        <w:rPr>
          <w:rFonts w:hint="eastAsia"/>
        </w:rPr>
        <w:t>1</w:t>
      </w:r>
      <w:r w:rsidRPr="004A1B56">
        <w:rPr>
          <w:rFonts w:hint="eastAsia"/>
        </w:rPr>
        <w:t>類地檢署之檢察官與法警之法定配置，其比例高限應分別為1：0.78</w:t>
      </w:r>
      <w:r w:rsidRPr="004A1B56">
        <w:rPr>
          <w:rStyle w:val="af8"/>
        </w:rPr>
        <w:footnoteReference w:id="2"/>
      </w:r>
      <w:r w:rsidRPr="004A1B56">
        <w:rPr>
          <w:rFonts w:hint="eastAsia"/>
        </w:rPr>
        <w:t>及1：1.37</w:t>
      </w:r>
      <w:r w:rsidRPr="004A1B56">
        <w:rPr>
          <w:rStyle w:val="af8"/>
        </w:rPr>
        <w:footnoteReference w:id="3"/>
      </w:r>
      <w:r w:rsidRPr="004A1B56">
        <w:rPr>
          <w:rFonts w:hint="eastAsia"/>
        </w:rPr>
        <w:t>。但多年來因司法及檢</w:t>
      </w:r>
      <w:r w:rsidR="003E74A8" w:rsidRPr="004A1B56">
        <w:rPr>
          <w:rFonts w:hint="eastAsia"/>
        </w:rPr>
        <w:t>察</w:t>
      </w:r>
      <w:r w:rsidRPr="004A1B56">
        <w:rPr>
          <w:rFonts w:hint="eastAsia"/>
        </w:rPr>
        <w:t>業務量增加，院檢機關各類員額未能依法院組織法規定等比率增補，致法警等輔助人力普遍低於法定配置比</w:t>
      </w:r>
      <w:r w:rsidR="003E74A8" w:rsidRPr="004A1B56">
        <w:rPr>
          <w:rFonts w:hint="eastAsia"/>
        </w:rPr>
        <w:t>例</w:t>
      </w:r>
      <w:r w:rsidRPr="004A1B56">
        <w:rPr>
          <w:rFonts w:hint="eastAsia"/>
        </w:rPr>
        <w:t>，係院檢機關多年來共同的問題</w:t>
      </w:r>
      <w:r w:rsidRPr="004A1B56">
        <w:rPr>
          <w:rStyle w:val="af8"/>
        </w:rPr>
        <w:footnoteReference w:id="4"/>
      </w:r>
      <w:r w:rsidRPr="004A1B56">
        <w:rPr>
          <w:rFonts w:hint="eastAsia"/>
        </w:rPr>
        <w:t>，並涉及中央政府機關總員額法賦予各主管機關檢討調整所屬機關員額配置之權限。據司法院表示，所屬各機關法警業於96年大幅增員200人，目前第1類地方法院法警設置比例為0.53～0.65，法警人力與執達員、錄事或庭務員等職務相比較，暫無提高法警人力配置比例之規劃等語，固屬實情，惟現行各法院在案件量及開庭時間增加的情況下，各法院普遍法警人力不足，並衍生勤務編排不合理、未落實教育訓練、勤務督導困難，及導致值勤人員之警覺性、應變能力低落等問題。司法院仍應</w:t>
      </w:r>
      <w:r w:rsidRPr="004A1B56">
        <w:rPr>
          <w:rFonts w:hint="eastAsia"/>
        </w:rPr>
        <w:lastRenderedPageBreak/>
        <w:t>確實就依各法院及各職務考量業務需求，通盤檢討人力規劃的合理性，避免組織體系向高階人力傾斜，而不當壓縮法警等輔助人力之配置。</w:t>
      </w:r>
    </w:p>
    <w:p w:rsidR="009A0C27" w:rsidRPr="004A1B56" w:rsidRDefault="009A0C27" w:rsidP="009A0C27">
      <w:pPr>
        <w:pStyle w:val="3"/>
      </w:pPr>
      <w:r w:rsidRPr="004A1B56">
        <w:rPr>
          <w:rFonts w:hint="eastAsia"/>
        </w:rPr>
        <w:t>在法警人力不足且難以增加員額的情形下，司法院本應提升設備效能，強化相關安全設施及法警執勤裝備，以彌補法警人力</w:t>
      </w:r>
      <w:r w:rsidR="00BE1E31" w:rsidRPr="004A1B56">
        <w:rPr>
          <w:rFonts w:hint="eastAsia"/>
        </w:rPr>
        <w:t>之</w:t>
      </w:r>
      <w:r w:rsidR="00B570D6" w:rsidRPr="004A1B56">
        <w:rPr>
          <w:rFonts w:hint="eastAsia"/>
        </w:rPr>
        <w:t>不足。惟查，各法院之安檢設備逾使用年限之情形極為普遍</w:t>
      </w:r>
      <w:r w:rsidR="00C3380B">
        <w:rPr>
          <w:rFonts w:hint="eastAsia"/>
        </w:rPr>
        <w:t>，法警應勤設備亦有不足</w:t>
      </w:r>
      <w:r w:rsidR="00B570D6" w:rsidRPr="004A1B56">
        <w:rPr>
          <w:rFonts w:hint="eastAsia"/>
        </w:rPr>
        <w:t>。例如：</w:t>
      </w:r>
      <w:r w:rsidR="004579A2">
        <w:rPr>
          <w:rFonts w:hint="eastAsia"/>
        </w:rPr>
        <w:t>臺灣</w:t>
      </w:r>
      <w:r w:rsidRPr="004A1B56">
        <w:rPr>
          <w:rFonts w:hint="eastAsia"/>
        </w:rPr>
        <w:t>高等法院高雄分院所設置之5台金屬探測門，其中4台係86年購置使用迄今；臺灣基隆地方法院設置之6台金屬探測門皆逾使用年限，其中4台故障；各法院手持式金屬探測器使用年限為2年，但除南投、臺東、宜蘭地方法院外，其他各法院均已逾使用年限，甚至臺灣新北地方法院自80年購置使用迄今仍未汰換，臺灣基隆地方法院</w:t>
      </w:r>
      <w:r w:rsidR="00154890">
        <w:rPr>
          <w:rFonts w:hint="eastAsia"/>
        </w:rPr>
        <w:t>購置</w:t>
      </w:r>
      <w:r w:rsidRPr="004A1B56">
        <w:rPr>
          <w:rFonts w:hint="eastAsia"/>
        </w:rPr>
        <w:t>3支</w:t>
      </w:r>
      <w:r w:rsidR="00154890">
        <w:rPr>
          <w:rFonts w:hint="eastAsia"/>
        </w:rPr>
        <w:t>惟</w:t>
      </w:r>
      <w:r w:rsidRPr="004A1B56">
        <w:rPr>
          <w:rFonts w:hint="eastAsia"/>
        </w:rPr>
        <w:t>僅餘1支堪用。X光行李檢查儀部分，依「臺灣高等法院及所屬各級法院法警執行職務應行注意事項」規定，為落實「人物分離」之門禁安全檢查措施，各法院應設置X光行李檢查儀，但多數法院因受限於人力、經費、設置空間不足及維護不易等因素而排斥設置，</w:t>
      </w:r>
      <w:r w:rsidR="00C3380B">
        <w:rPr>
          <w:rFonts w:hint="eastAsia"/>
        </w:rPr>
        <w:t>目前</w:t>
      </w:r>
      <w:r w:rsidR="00C3380B" w:rsidRPr="004A1B56">
        <w:rPr>
          <w:rFonts w:hint="eastAsia"/>
        </w:rPr>
        <w:t>全國僅有1</w:t>
      </w:r>
      <w:r w:rsidR="00C3380B">
        <w:rPr>
          <w:rFonts w:hint="eastAsia"/>
        </w:rPr>
        <w:t>3</w:t>
      </w:r>
      <w:r w:rsidR="00C3380B" w:rsidRPr="004A1B56">
        <w:rPr>
          <w:rFonts w:hint="eastAsia"/>
        </w:rPr>
        <w:t>間法院設置X光行李檢查儀</w:t>
      </w:r>
      <w:r w:rsidR="00417B43" w:rsidRPr="004A1B56">
        <w:rPr>
          <w:rStyle w:val="af8"/>
        </w:rPr>
        <w:footnoteReference w:id="5"/>
      </w:r>
      <w:r w:rsidRPr="004A1B56">
        <w:rPr>
          <w:rFonts w:hint="eastAsia"/>
        </w:rPr>
        <w:t>（詳附表），顯示各法院安檢設備普遍老舊不足。</w:t>
      </w:r>
    </w:p>
    <w:p w:rsidR="009A0C27" w:rsidRPr="004A1B56" w:rsidRDefault="009A0C27" w:rsidP="009A0C27">
      <w:pPr>
        <w:pStyle w:val="3"/>
      </w:pPr>
      <w:r w:rsidRPr="004A1B56">
        <w:rPr>
          <w:rFonts w:hint="eastAsia"/>
        </w:rPr>
        <w:t>另有關各法院安全設備之經費編列，據司法院表示，相關經費應由各法院於機關年度預算內編列，如有不足或臨時緊急性需求，再向司法院申請「加強維護司法人員安全方案」專項經費支應。而該專案經費係緣於84年間發生數起司法官遭受暴力</w:t>
      </w:r>
      <w:r w:rsidRPr="004A1B56">
        <w:rPr>
          <w:rFonts w:hint="eastAsia"/>
        </w:rPr>
        <w:lastRenderedPageBreak/>
        <w:t>事件，法務部於84年7月26日函訂「加強維護司法人員安全方案」（適用對象含各級法院及檢察署），司法院依該方案逐年編列專項經費支應各法院所需（105年度</w:t>
      </w:r>
      <w:r w:rsidR="00417B43" w:rsidRPr="004A1B56">
        <w:rPr>
          <w:rFonts w:hint="eastAsia"/>
        </w:rPr>
        <w:t>共</w:t>
      </w:r>
      <w:r w:rsidRPr="004A1B56">
        <w:rPr>
          <w:rFonts w:hint="eastAsia"/>
        </w:rPr>
        <w:t>編列946萬</w:t>
      </w:r>
      <w:r w:rsidR="00417B43" w:rsidRPr="004A1B56">
        <w:rPr>
          <w:rFonts w:hint="eastAsia"/>
        </w:rPr>
        <w:t>3千</w:t>
      </w:r>
      <w:r w:rsidRPr="004A1B56">
        <w:rPr>
          <w:rFonts w:hint="eastAsia"/>
        </w:rPr>
        <w:t>元，其中經常門146萬3千元、資本門800萬元)，購置項目原則限於門禁管制設施、監視錄影設施與保護司法官身體安全相關必要之安全裝備；法警之執勤裝備及消防設施等與司法官人身安全非直接相關者，均不含在內。且金額有限，無法充分提供所屬34</w:t>
      </w:r>
      <w:r w:rsidR="003513A0" w:rsidRPr="004A1B56">
        <w:rPr>
          <w:rFonts w:hint="eastAsia"/>
        </w:rPr>
        <w:t>間</w:t>
      </w:r>
      <w:r w:rsidRPr="004A1B56">
        <w:rPr>
          <w:rFonts w:hint="eastAsia"/>
        </w:rPr>
        <w:t>法院所需，為符實際需要，該院決定自106年度起，將本項專案經費回歸各法院自行依需要編列，不再統一編列。並表示106年度各法院按所提需求計編列758萬8千元，與105年度預算規模相當，相關經費並無預算減縮或排擠情形等語。惟據彰化地院表示，該院因經費因素，相關科室對安全設備並未另行編列定期維護保養預算，而最高法院、</w:t>
      </w:r>
      <w:r w:rsidR="004579A2">
        <w:rPr>
          <w:rFonts w:hint="eastAsia"/>
        </w:rPr>
        <w:t>臺灣</w:t>
      </w:r>
      <w:r w:rsidRPr="004A1B56">
        <w:rPr>
          <w:rFonts w:hint="eastAsia"/>
        </w:rPr>
        <w:t>高等法院高雄分院、</w:t>
      </w:r>
      <w:r w:rsidR="004579A2">
        <w:rPr>
          <w:rFonts w:hint="eastAsia"/>
        </w:rPr>
        <w:t>臺灣</w:t>
      </w:r>
      <w:r w:rsidRPr="004A1B56">
        <w:rPr>
          <w:rFonts w:hint="eastAsia"/>
        </w:rPr>
        <w:t>臺北地</w:t>
      </w:r>
      <w:r w:rsidR="004579A2">
        <w:rPr>
          <w:rFonts w:hint="eastAsia"/>
        </w:rPr>
        <w:t>方法</w:t>
      </w:r>
      <w:r w:rsidRPr="004A1B56">
        <w:rPr>
          <w:rFonts w:hint="eastAsia"/>
        </w:rPr>
        <w:t>院及</w:t>
      </w:r>
      <w:r w:rsidR="004579A2">
        <w:rPr>
          <w:rFonts w:hint="eastAsia"/>
        </w:rPr>
        <w:t>臺灣</w:t>
      </w:r>
      <w:r w:rsidRPr="004A1B56">
        <w:rPr>
          <w:rFonts w:hint="eastAsia"/>
        </w:rPr>
        <w:t>屏東地</w:t>
      </w:r>
      <w:r w:rsidR="004579A2">
        <w:rPr>
          <w:rFonts w:hint="eastAsia"/>
        </w:rPr>
        <w:t>方法</w:t>
      </w:r>
      <w:r w:rsidRPr="004A1B56">
        <w:rPr>
          <w:rFonts w:hint="eastAsia"/>
        </w:rPr>
        <w:t>院</w:t>
      </w:r>
      <w:r w:rsidR="00417B43" w:rsidRPr="004A1B56">
        <w:rPr>
          <w:rFonts w:hint="eastAsia"/>
        </w:rPr>
        <w:t>等</w:t>
      </w:r>
      <w:r w:rsidRPr="004A1B56">
        <w:rPr>
          <w:rFonts w:hint="eastAsia"/>
        </w:rPr>
        <w:t>亦反映安全設備維護保養經費不足，顯示部分法院未重視機關安全維護，設備經費編列不足。</w:t>
      </w:r>
    </w:p>
    <w:p w:rsidR="009A0C27" w:rsidRPr="004A1B56" w:rsidRDefault="009A0C27" w:rsidP="009A0C27">
      <w:pPr>
        <w:pStyle w:val="3"/>
      </w:pPr>
      <w:r w:rsidRPr="004A1B56">
        <w:rPr>
          <w:rFonts w:hint="eastAsia"/>
        </w:rPr>
        <w:t>綜上，司法院</w:t>
      </w:r>
      <w:r w:rsidR="003513A0" w:rsidRPr="004A1B56">
        <w:rPr>
          <w:rFonts w:hint="eastAsia"/>
        </w:rPr>
        <w:t>於</w:t>
      </w:r>
      <w:r w:rsidRPr="004A1B56">
        <w:rPr>
          <w:rFonts w:hint="eastAsia"/>
        </w:rPr>
        <w:t>本事件發生後，雖已加強法警教育訓練並辦理專案業務檢查及安全維護督導，惟各法院安檢設備普遍老舊，設置及維護經費不足，全國僅有1</w:t>
      </w:r>
      <w:r w:rsidR="004579A2">
        <w:rPr>
          <w:rFonts w:hint="eastAsia"/>
        </w:rPr>
        <w:t>3</w:t>
      </w:r>
      <w:r w:rsidRPr="004A1B56">
        <w:rPr>
          <w:rFonts w:hint="eastAsia"/>
        </w:rPr>
        <w:t>間法院設置X光行李檢查儀，司法院允應指示各法院寬列安檢設備經費，並落實相關設施之設置及管理，以彌補法警人力之不足，避免類似事件再度發生。</w:t>
      </w:r>
    </w:p>
    <w:p w:rsidR="009A0C27" w:rsidRPr="004A1B56" w:rsidRDefault="009A0C27" w:rsidP="009A0C27">
      <w:pPr>
        <w:pStyle w:val="2"/>
        <w:rPr>
          <w:b/>
        </w:rPr>
      </w:pPr>
      <w:r w:rsidRPr="004A1B56">
        <w:rPr>
          <w:rFonts w:hint="eastAsia"/>
          <w:b/>
        </w:rPr>
        <w:t>彰化地院雖表示該美籍被告在審理期間表現正常，無任何自戕徵兆，亦無法理解其動機，惟該院合議庭於宣判期日未通知特約通譯到場，被告可能在語言不通之情形下，</w:t>
      </w:r>
      <w:r w:rsidR="001E3926">
        <w:rPr>
          <w:rFonts w:hint="eastAsia"/>
          <w:b/>
        </w:rPr>
        <w:t>恐</w:t>
      </w:r>
      <w:r w:rsidRPr="004A1B56">
        <w:rPr>
          <w:rFonts w:hint="eastAsia"/>
          <w:b/>
        </w:rPr>
        <w:t>誤解將被當庭收押執行徒刑，或服刑完畢後將被驅逐出境，導致其採取自戕之過激</w:t>
      </w:r>
      <w:r w:rsidRPr="004A1B56">
        <w:rPr>
          <w:rFonts w:hint="eastAsia"/>
          <w:b/>
        </w:rPr>
        <w:lastRenderedPageBreak/>
        <w:t>行為。司法院允宜累積有關外籍人士審判之案例經驗，強化法官對外籍被告審判心理之掌握，並提醒法官宣判期日屬審判程序一環，應</w:t>
      </w:r>
      <w:r w:rsidR="003513A0" w:rsidRPr="004A1B56">
        <w:rPr>
          <w:rFonts w:hint="eastAsia"/>
          <w:b/>
        </w:rPr>
        <w:t>視需要</w:t>
      </w:r>
      <w:r w:rsidRPr="004A1B56">
        <w:rPr>
          <w:rFonts w:hint="eastAsia"/>
          <w:b/>
        </w:rPr>
        <w:t>通知特約通譯到庭，以落實對外籍被告訴訟權益之保障。</w:t>
      </w:r>
    </w:p>
    <w:p w:rsidR="009A0C27" w:rsidRPr="004A1B56" w:rsidRDefault="009A0C27" w:rsidP="009A0C27">
      <w:pPr>
        <w:pStyle w:val="3"/>
      </w:pPr>
      <w:r w:rsidRPr="004A1B56">
        <w:rPr>
          <w:rFonts w:hint="eastAsia"/>
        </w:rPr>
        <w:t>依刑事訴訟法第281條第1項及第283條第1項規定，被告於審判期日有到庭之義務。</w:t>
      </w:r>
      <w:r w:rsidR="003513A0" w:rsidRPr="004A1B56">
        <w:rPr>
          <w:rFonts w:hint="eastAsia"/>
        </w:rPr>
        <w:t>公民與政治權利國際公約</w:t>
      </w:r>
      <w:r w:rsidRPr="004A1B56">
        <w:rPr>
          <w:rFonts w:hint="eastAsia"/>
        </w:rPr>
        <w:t>第14條第3項第6款規定，如被告不通曉或不能使用法院所用之語言，應備免費通譯協助之。法院組織法第98條規定，訴訟當事人、證人、鑑定人及其他有關係之人，如有不通曉國語者，由通譯傳譯之；其為聽覺或語言障礙者，</w:t>
      </w:r>
      <w:r w:rsidR="00154890">
        <w:rPr>
          <w:rFonts w:hint="eastAsia"/>
        </w:rPr>
        <w:t>除由通譯傳譯外，並得依其選擇以文字訊問，或命以文字陳述。司法院</w:t>
      </w:r>
      <w:r w:rsidRPr="004A1B56">
        <w:rPr>
          <w:rFonts w:hint="eastAsia"/>
        </w:rPr>
        <w:t>訂</w:t>
      </w:r>
      <w:r w:rsidR="00154890">
        <w:rPr>
          <w:rFonts w:hint="eastAsia"/>
        </w:rPr>
        <w:t>定</w:t>
      </w:r>
      <w:r w:rsidRPr="004A1B56">
        <w:rPr>
          <w:rFonts w:hint="eastAsia"/>
        </w:rPr>
        <w:t>之「法院使用通譯作業規定」第3點規定，法院審理案件時，宜主動瞭解、詢問當事人或關係人有無傳譯需求，並視個案需要選任通譯；於傳喚或通知時，以附記文字或附加使用通譯聲請書之方式，告知民眾可向法院提出傳譯需求。</w:t>
      </w:r>
    </w:p>
    <w:p w:rsidR="009A0C27" w:rsidRPr="004A1B56" w:rsidRDefault="009A0C27" w:rsidP="00302D13">
      <w:pPr>
        <w:pStyle w:val="3"/>
      </w:pPr>
      <w:r w:rsidRPr="004A1B56">
        <w:rPr>
          <w:rFonts w:hint="eastAsia"/>
        </w:rPr>
        <w:t>經查，該美籍被告不諳中文，彰化地院</w:t>
      </w:r>
      <w:r w:rsidR="00302D13" w:rsidRPr="004A1B56">
        <w:rPr>
          <w:rFonts w:hint="eastAsia"/>
        </w:rPr>
        <w:t>於審理期間雖為其聘請特約通譯，然</w:t>
      </w:r>
      <w:r w:rsidRPr="004A1B56">
        <w:rPr>
          <w:rFonts w:hint="eastAsia"/>
        </w:rPr>
        <w:t>合議庭於105年6月16日之宣判期日未通知特約通譯到場，</w:t>
      </w:r>
      <w:r w:rsidR="00302D13" w:rsidRPr="004A1B56">
        <w:rPr>
          <w:rFonts w:hint="eastAsia"/>
        </w:rPr>
        <w:t>當日</w:t>
      </w:r>
      <w:r w:rsidRPr="004A1B56">
        <w:rPr>
          <w:rFonts w:hint="eastAsia"/>
        </w:rPr>
        <w:t>被告</w:t>
      </w:r>
      <w:r w:rsidR="00302D13" w:rsidRPr="004A1B56">
        <w:rPr>
          <w:rFonts w:hint="eastAsia"/>
        </w:rPr>
        <w:t>不能理解</w:t>
      </w:r>
      <w:r w:rsidRPr="004A1B56">
        <w:rPr>
          <w:rFonts w:hint="eastAsia"/>
        </w:rPr>
        <w:t>法官以中文宣判之內容，嗣法官以英文向其解釋刑期4年並得在10天內上訴（You can ask for appeal in ten days</w:t>
      </w:r>
      <w:r w:rsidR="00BE1E31" w:rsidRPr="004A1B56">
        <w:rPr>
          <w:rFonts w:hint="eastAsia"/>
        </w:rPr>
        <w:t>, a</w:t>
      </w:r>
      <w:r w:rsidRPr="004A1B56">
        <w:rPr>
          <w:rFonts w:hint="eastAsia"/>
        </w:rPr>
        <w:t>nd the conclusion is four years.），被告表示不願上訴（No, I am not going appeal.），反問法官「How about kill myself?」隨即取出預藏利器以刺頸之方式自戕。詢據審理本案之王</w:t>
      </w:r>
      <w:r w:rsidR="001B1F71">
        <w:rPr>
          <w:rFonts w:hAnsi="標楷體" w:hint="eastAsia"/>
        </w:rPr>
        <w:t>Ｏ</w:t>
      </w:r>
      <w:r w:rsidRPr="004A1B56">
        <w:rPr>
          <w:rFonts w:hint="eastAsia"/>
        </w:rPr>
        <w:t>閔庭長表示：該院為其選任律師並聘請特約通譯，但考量宣判期日被告不一定到庭，審判業務費有限，故未再聯繫特約通譯人員到庭，開庭期間合議庭曾向其解釋種植大麻在</w:t>
      </w:r>
      <w:r w:rsidR="00A6007B">
        <w:rPr>
          <w:rFonts w:hint="eastAsia"/>
        </w:rPr>
        <w:t>臺灣</w:t>
      </w:r>
      <w:r w:rsidRPr="004A1B56">
        <w:rPr>
          <w:rFonts w:hint="eastAsia"/>
        </w:rPr>
        <w:t>屬違法行</w:t>
      </w:r>
      <w:r w:rsidRPr="004A1B56">
        <w:rPr>
          <w:rFonts w:hint="eastAsia"/>
        </w:rPr>
        <w:lastRenderedPageBreak/>
        <w:t>為，其認罪種植大麻但辯稱供個人施用，判決主文有說明不驅逐出境，歷次開庭皆屬正常，自戕前無任何預兆，其持有兇器顯示應為預謀，然實在難以理解被告動機等語。</w:t>
      </w:r>
    </w:p>
    <w:p w:rsidR="009A0C27" w:rsidRPr="004A1B56" w:rsidRDefault="009A0C27" w:rsidP="00302D13">
      <w:pPr>
        <w:pStyle w:val="3"/>
      </w:pPr>
      <w:r w:rsidRPr="004A1B56">
        <w:rPr>
          <w:rFonts w:hint="eastAsia"/>
        </w:rPr>
        <w:t>按法院將宣示判決與審判程序切割，</w:t>
      </w:r>
      <w:r w:rsidR="004A1B56" w:rsidRPr="004A1B56">
        <w:rPr>
          <w:rFonts w:hint="eastAsia"/>
        </w:rPr>
        <w:t>實務上</w:t>
      </w:r>
      <w:r w:rsidRPr="004A1B56">
        <w:rPr>
          <w:rFonts w:hint="eastAsia"/>
        </w:rPr>
        <w:t>被告無庸到庭聆判，係長久以來實務之慣行，尚難據以苛責審理</w:t>
      </w:r>
      <w:r w:rsidR="00926F54" w:rsidRPr="004A1B56">
        <w:rPr>
          <w:rFonts w:hint="eastAsia"/>
        </w:rPr>
        <w:t>本案</w:t>
      </w:r>
      <w:r w:rsidRPr="004A1B56">
        <w:rPr>
          <w:rFonts w:hint="eastAsia"/>
        </w:rPr>
        <w:t>之法官。惟據司法院另案說明，刑事訴訟法第312條固規定宣示判決被告雖不在庭亦應為之，但宣示判決為審判程序之一部，自當仍予傳喚或為同法第72條之告知，僅被告不到庭尚不影響宣示判決程序</w:t>
      </w:r>
      <w:r w:rsidR="003513A0" w:rsidRPr="004A1B56">
        <w:rPr>
          <w:rFonts w:hint="eastAsia"/>
        </w:rPr>
        <w:t>之進行等語。詢據司法院司法行政廳許旭聖副廳長表示，</w:t>
      </w:r>
      <w:r w:rsidRPr="004A1B56">
        <w:rPr>
          <w:rFonts w:hint="eastAsia"/>
        </w:rPr>
        <w:t>依規定所有的開庭皆需請通譯，以被告通曉的語言，宣判期日不僅須告知被告判決主文，也需要告知救濟程序。司法院司法行政廳的原則是無論被告是否到場，皆需請特約通譯到場；有關外籍被告的想法，未來將可透過審判心理學來加強探究等語。亦即本案被告</w:t>
      </w:r>
      <w:r w:rsidR="001E3926">
        <w:rPr>
          <w:rFonts w:hint="eastAsia"/>
        </w:rPr>
        <w:t>或</w:t>
      </w:r>
      <w:r w:rsidRPr="004A1B56">
        <w:rPr>
          <w:rFonts w:hint="eastAsia"/>
        </w:rPr>
        <w:t>可能在語言不通之情形下，依其本國法制或生活經驗，誤解</w:t>
      </w:r>
      <w:r w:rsidR="001E3926">
        <w:rPr>
          <w:rFonts w:hint="eastAsia"/>
        </w:rPr>
        <w:t>恐</w:t>
      </w:r>
      <w:r w:rsidRPr="004A1B56">
        <w:rPr>
          <w:rFonts w:hint="eastAsia"/>
        </w:rPr>
        <w:t>將被當庭收押，導致其採取自戕之過激行為，且法官欠缺對外籍被告審判心理之理解，而未能事前注意防範。綜上，司法院允宜累積有關外籍人士審判之案例經驗，強化法官對外籍被告審判心理之掌握，並提醒法官宣判期日屬審判程序一環，</w:t>
      </w:r>
      <w:r w:rsidR="00302D13" w:rsidRPr="004A1B56">
        <w:rPr>
          <w:rFonts w:hint="eastAsia"/>
        </w:rPr>
        <w:t>對不通曉法院語言之外籍被告宣示判決時，應依實際</w:t>
      </w:r>
      <w:r w:rsidR="003513A0" w:rsidRPr="004A1B56">
        <w:rPr>
          <w:rFonts w:hint="eastAsia"/>
        </w:rPr>
        <w:t>需要</w:t>
      </w:r>
      <w:r w:rsidRPr="004A1B56">
        <w:rPr>
          <w:rFonts w:hint="eastAsia"/>
        </w:rPr>
        <w:t>通知特約通譯到庭，以落實對外籍被告訴訟權益之保障。</w:t>
      </w:r>
    </w:p>
    <w:p w:rsidR="009A0C27" w:rsidRPr="004A1B56" w:rsidRDefault="009A0C27" w:rsidP="009A0C27">
      <w:pPr>
        <w:pStyle w:val="2"/>
        <w:rPr>
          <w:b/>
        </w:rPr>
      </w:pPr>
      <w:r w:rsidRPr="004A1B56">
        <w:rPr>
          <w:rFonts w:hint="eastAsia"/>
          <w:b/>
        </w:rPr>
        <w:t>彰化地院於事發時之應變作為尚無延誤，值庭法警邱</w:t>
      </w:r>
      <w:r w:rsidR="002A788E">
        <w:rPr>
          <w:rFonts w:hAnsi="標楷體" w:hint="eastAsia"/>
        </w:rPr>
        <w:t>Ｏ</w:t>
      </w:r>
      <w:r w:rsidRPr="004A1B56">
        <w:rPr>
          <w:rFonts w:hint="eastAsia"/>
          <w:b/>
        </w:rPr>
        <w:t>濤為救護被告，在第一時間持續按</w:t>
      </w:r>
      <w:r w:rsidR="003513A0" w:rsidRPr="004A1B56">
        <w:rPr>
          <w:rFonts w:hint="eastAsia"/>
          <w:b/>
        </w:rPr>
        <w:t>壓</w:t>
      </w:r>
      <w:r w:rsidRPr="004A1B56">
        <w:rPr>
          <w:rFonts w:hint="eastAsia"/>
          <w:b/>
        </w:rPr>
        <w:t>被告頸部傷口，該院亦緊急通報送醫，救護車及人員約5分鐘內抵達進行急救，然因被告自戕傷及頸動脈，大量出血，送醫後仍不治</w:t>
      </w:r>
      <w:r w:rsidR="008A105E" w:rsidRPr="004A1B56">
        <w:rPr>
          <w:rFonts w:hint="eastAsia"/>
          <w:b/>
        </w:rPr>
        <w:t>身</w:t>
      </w:r>
      <w:r w:rsidRPr="004A1B56">
        <w:rPr>
          <w:rFonts w:hint="eastAsia"/>
          <w:b/>
        </w:rPr>
        <w:t>亡，邱法警心理遭受極大衝</w:t>
      </w:r>
      <w:r w:rsidRPr="004A1B56">
        <w:rPr>
          <w:rFonts w:hint="eastAsia"/>
          <w:b/>
        </w:rPr>
        <w:lastRenderedPageBreak/>
        <w:t>擊，彰化地院允應給予必要之關懷及協助，司法院亦應加強法警應變及救護之訓練。</w:t>
      </w:r>
    </w:p>
    <w:p w:rsidR="009A0C27" w:rsidRPr="004A1B56" w:rsidRDefault="009A0C27" w:rsidP="009A0C27">
      <w:pPr>
        <w:pStyle w:val="3"/>
      </w:pPr>
      <w:r w:rsidRPr="004A1B56">
        <w:rPr>
          <w:rFonts w:hint="eastAsia"/>
        </w:rPr>
        <w:t>彰化地院於當日10時15分發生被告自戕後，立即通報119及</w:t>
      </w:r>
      <w:r w:rsidR="008A105E" w:rsidRPr="004A1B56">
        <w:rPr>
          <w:rFonts w:hint="eastAsia"/>
        </w:rPr>
        <w:t>緊鄰之地檢署</w:t>
      </w:r>
      <w:r w:rsidRPr="004A1B56">
        <w:rPr>
          <w:rFonts w:hint="eastAsia"/>
        </w:rPr>
        <w:t>法醫協助急救，而值庭</w:t>
      </w:r>
      <w:r w:rsidR="008A105E" w:rsidRPr="004A1B56">
        <w:rPr>
          <w:rFonts w:hint="eastAsia"/>
        </w:rPr>
        <w:t>之</w:t>
      </w:r>
      <w:r w:rsidRPr="004A1B56">
        <w:rPr>
          <w:rFonts w:hint="eastAsia"/>
        </w:rPr>
        <w:t>邱法警持續按壓被告傷口，救護車及人員約5分鐘內抵達進行急救並送往員林基督教醫院</w:t>
      </w:r>
      <w:r w:rsidR="00926F54" w:rsidRPr="004A1B56">
        <w:rPr>
          <w:rFonts w:hint="eastAsia"/>
        </w:rPr>
        <w:t>救</w:t>
      </w:r>
      <w:r w:rsidRPr="004A1B56">
        <w:rPr>
          <w:rFonts w:hint="eastAsia"/>
        </w:rPr>
        <w:t>治，該院並通知</w:t>
      </w:r>
      <w:r w:rsidR="008A105E" w:rsidRPr="004A1B56">
        <w:rPr>
          <w:rFonts w:hint="eastAsia"/>
        </w:rPr>
        <w:t>轄區員林分局</w:t>
      </w:r>
      <w:r w:rsidRPr="004A1B56">
        <w:rPr>
          <w:rFonts w:hint="eastAsia"/>
        </w:rPr>
        <w:t>緊急聯絡被告台籍妻子至醫院，及依程序呈報高等法院透過外交部轉知美國在台協會，聯繫被告美籍親屬，下午3時10分發布新聞稿，並由發言人王</w:t>
      </w:r>
      <w:r w:rsidR="001B1F71">
        <w:rPr>
          <w:rFonts w:hAnsi="標楷體" w:hint="eastAsia"/>
        </w:rPr>
        <w:t>Ｏ</w:t>
      </w:r>
      <w:r w:rsidRPr="004A1B56">
        <w:rPr>
          <w:rFonts w:hint="eastAsia"/>
        </w:rPr>
        <w:t>閔庭長召開記者會說明。事後該院並檢討事件發生原因，加強安全檢查等改進作為，綜據其事後通報、送醫、對外發布新聞及檢討等處置</w:t>
      </w:r>
      <w:r w:rsidR="00926F54" w:rsidRPr="004A1B56">
        <w:rPr>
          <w:rFonts w:hint="eastAsia"/>
        </w:rPr>
        <w:t>作為</w:t>
      </w:r>
      <w:r w:rsidRPr="004A1B56">
        <w:rPr>
          <w:rFonts w:hint="eastAsia"/>
        </w:rPr>
        <w:t>，尚</w:t>
      </w:r>
      <w:r w:rsidR="00BE1E31" w:rsidRPr="004A1B56">
        <w:rPr>
          <w:rFonts w:hint="eastAsia"/>
        </w:rPr>
        <w:t>無延誤</w:t>
      </w:r>
      <w:r w:rsidRPr="004A1B56">
        <w:rPr>
          <w:rFonts w:hint="eastAsia"/>
        </w:rPr>
        <w:t>。</w:t>
      </w:r>
    </w:p>
    <w:p w:rsidR="009A0C27" w:rsidRPr="004A1B56" w:rsidRDefault="009A0C27" w:rsidP="009A0C27">
      <w:pPr>
        <w:pStyle w:val="3"/>
      </w:pPr>
      <w:r w:rsidRPr="004A1B56">
        <w:rPr>
          <w:rFonts w:hint="eastAsia"/>
        </w:rPr>
        <w:t>案發過程據值庭法警邱</w:t>
      </w:r>
      <w:r w:rsidR="002A788E">
        <w:rPr>
          <w:rFonts w:hAnsi="標楷體" w:hint="eastAsia"/>
        </w:rPr>
        <w:t>Ｏ</w:t>
      </w:r>
      <w:r w:rsidRPr="004A1B56">
        <w:rPr>
          <w:rFonts w:hint="eastAsia"/>
        </w:rPr>
        <w:t>濤表示，李</w:t>
      </w:r>
      <w:r w:rsidR="001B1F71">
        <w:rPr>
          <w:rFonts w:hAnsi="標楷體" w:hint="eastAsia"/>
        </w:rPr>
        <w:t>Ｏ</w:t>
      </w:r>
      <w:r w:rsidRPr="004A1B56">
        <w:rPr>
          <w:rFonts w:hint="eastAsia"/>
        </w:rPr>
        <w:t>翰在法庭後方旁聽席等待宣判前，態度從容，並未顯現異常之處，事發第一時間本欲搶下兇器制止，但被告已將剪刀刺進自己頸部，</w:t>
      </w:r>
      <w:r w:rsidRPr="004A1B56">
        <w:rPr>
          <w:rFonts w:hint="eastAsia"/>
          <w:szCs w:val="48"/>
        </w:rPr>
        <w:t>血一直噴出，其</w:t>
      </w:r>
      <w:r w:rsidR="00302D13" w:rsidRPr="004A1B56">
        <w:rPr>
          <w:rFonts w:hint="eastAsia"/>
          <w:szCs w:val="48"/>
        </w:rPr>
        <w:t>自身後</w:t>
      </w:r>
      <w:r w:rsidRPr="004A1B56">
        <w:rPr>
          <w:rFonts w:hint="eastAsia"/>
        </w:rPr>
        <w:t>扶住被告依直覺持續按壓傷口</w:t>
      </w:r>
      <w:r w:rsidR="00302D13" w:rsidRPr="004A1B56">
        <w:rPr>
          <w:rFonts w:hint="eastAsia"/>
        </w:rPr>
        <w:t>止血</w:t>
      </w:r>
      <w:r w:rsidRPr="004A1B56">
        <w:rPr>
          <w:rFonts w:hint="eastAsia"/>
        </w:rPr>
        <w:t>，並安撫被告情緒，當時一度聽不到外界的聲音，事後難以接受，心裡壓力極大，思緒無法集中，反應變慢、遲鈍，容易緊張等語。彰化地院表示，邱法警因現場目睹案件發生，以致情緒受到影響，除由相關單位進行輔導外，亦調整其職務，以平復心情。目前已逐漸復原並正常執勤，並表示該院法警訓練課程原著重於便民、禮民，未來將強化應變及急救課程之安排等語。</w:t>
      </w:r>
    </w:p>
    <w:p w:rsidR="009D1A96" w:rsidRDefault="009A0C27" w:rsidP="009A0C27">
      <w:pPr>
        <w:pStyle w:val="3"/>
      </w:pPr>
      <w:r w:rsidRPr="004A1B56">
        <w:rPr>
          <w:rFonts w:hint="eastAsia"/>
        </w:rPr>
        <w:t>綜上，本案值庭法警邱</w:t>
      </w:r>
      <w:r w:rsidR="001B1F71">
        <w:rPr>
          <w:rFonts w:hAnsi="標楷體" w:hint="eastAsia"/>
        </w:rPr>
        <w:t>Ｏ</w:t>
      </w:r>
      <w:r w:rsidRPr="004A1B56">
        <w:rPr>
          <w:rFonts w:hint="eastAsia"/>
        </w:rPr>
        <w:t>濤為救護被告，在第一時間持續按</w:t>
      </w:r>
      <w:r w:rsidR="008A105E" w:rsidRPr="004A1B56">
        <w:rPr>
          <w:rFonts w:hint="eastAsia"/>
        </w:rPr>
        <w:t>壓</w:t>
      </w:r>
      <w:r w:rsidRPr="004A1B56">
        <w:rPr>
          <w:rFonts w:hint="eastAsia"/>
        </w:rPr>
        <w:t>被告頸部傷口並安撫其情緒，該院亦緊急通報送醫，救護車及人員約5分鐘內抵達送往醫院急救，緊急聯絡在</w:t>
      </w:r>
      <w:r w:rsidR="00502E2F">
        <w:rPr>
          <w:rFonts w:hint="eastAsia"/>
        </w:rPr>
        <w:t>臺</w:t>
      </w:r>
      <w:r w:rsidRPr="004A1B56">
        <w:rPr>
          <w:rFonts w:hint="eastAsia"/>
        </w:rPr>
        <w:t>配偶及循外交途徑轉知其親屬，並發布新聞及進行檢討，相關處置尚屬妥</w:t>
      </w:r>
      <w:r w:rsidRPr="004A1B56">
        <w:rPr>
          <w:rFonts w:hint="eastAsia"/>
        </w:rPr>
        <w:lastRenderedPageBreak/>
        <w:t>適。惟邱法警心理遭受極大衝擊，彰化地院允應給予必要之關懷及協助，司法院亦應以本案例為鑑，加強法警應變及救護之訓練。</w:t>
      </w:r>
    </w:p>
    <w:p w:rsidR="009A0C27" w:rsidRPr="009D1A96" w:rsidRDefault="00297C32" w:rsidP="009D1A96">
      <w:pPr>
        <w:pStyle w:val="2"/>
        <w:rPr>
          <w:b/>
        </w:rPr>
      </w:pPr>
      <w:r w:rsidRPr="009D1A96">
        <w:rPr>
          <w:rFonts w:hint="eastAsia"/>
          <w:b/>
        </w:rPr>
        <w:t>法院為維護法庭之秩序或法庭之安全，雖得</w:t>
      </w:r>
      <w:r w:rsidR="0086733C" w:rsidRPr="009D1A96">
        <w:rPr>
          <w:rFonts w:hint="eastAsia"/>
          <w:b/>
        </w:rPr>
        <w:t>對進出法院建築物之民眾</w:t>
      </w:r>
      <w:r w:rsidRPr="009D1A96">
        <w:rPr>
          <w:rFonts w:hint="eastAsia"/>
          <w:b/>
        </w:rPr>
        <w:t>，採取必要之</w:t>
      </w:r>
      <w:r w:rsidR="00F10F92" w:rsidRPr="009D1A96">
        <w:rPr>
          <w:rFonts w:hint="eastAsia"/>
          <w:b/>
        </w:rPr>
        <w:t>安全檢查</w:t>
      </w:r>
      <w:r w:rsidR="0086733C" w:rsidRPr="009D1A96">
        <w:rPr>
          <w:rFonts w:hint="eastAsia"/>
          <w:b/>
        </w:rPr>
        <w:t>及強制</w:t>
      </w:r>
      <w:r w:rsidRPr="009D1A96">
        <w:rPr>
          <w:rFonts w:hint="eastAsia"/>
          <w:b/>
        </w:rPr>
        <w:t>措施，惟仍有法律保留原則之適用</w:t>
      </w:r>
      <w:r w:rsidR="00895025" w:rsidRPr="009D1A96">
        <w:rPr>
          <w:rFonts w:hint="eastAsia"/>
          <w:b/>
        </w:rPr>
        <w:t>。</w:t>
      </w:r>
      <w:r w:rsidR="00F10F92" w:rsidRPr="009D1A96">
        <w:rPr>
          <w:rFonts w:hint="eastAsia"/>
          <w:b/>
        </w:rPr>
        <w:t>現行法院組織法有關法警職務之規定，</w:t>
      </w:r>
      <w:r w:rsidR="0086733C" w:rsidRPr="009D1A96">
        <w:rPr>
          <w:rFonts w:hint="eastAsia"/>
          <w:b/>
        </w:rPr>
        <w:t>尚</w:t>
      </w:r>
      <w:r w:rsidR="00F10F92" w:rsidRPr="009D1A96">
        <w:rPr>
          <w:rFonts w:hint="eastAsia"/>
          <w:b/>
        </w:rPr>
        <w:t>不足以作為干預權行使之基礎</w:t>
      </w:r>
      <w:r w:rsidR="00895025" w:rsidRPr="009D1A96">
        <w:rPr>
          <w:rFonts w:hint="eastAsia"/>
          <w:b/>
        </w:rPr>
        <w:t>，</w:t>
      </w:r>
      <w:r w:rsidR="00F10F92" w:rsidRPr="009D1A96">
        <w:rPr>
          <w:rFonts w:hint="eastAsia"/>
          <w:b/>
        </w:rPr>
        <w:t>而</w:t>
      </w:r>
      <w:r w:rsidR="00AF02F0" w:rsidRPr="009D1A96">
        <w:rPr>
          <w:rFonts w:hint="eastAsia"/>
          <w:b/>
        </w:rPr>
        <w:t>各法院依據最高法院及高等法院處務規程訂定</w:t>
      </w:r>
      <w:r w:rsidR="00F10F92" w:rsidRPr="009D1A96">
        <w:rPr>
          <w:rFonts w:hint="eastAsia"/>
          <w:b/>
        </w:rPr>
        <w:t>之法警執行職務注意事項</w:t>
      </w:r>
      <w:r w:rsidR="00AF02F0" w:rsidRPr="009D1A96">
        <w:rPr>
          <w:rFonts w:hint="eastAsia"/>
          <w:b/>
        </w:rPr>
        <w:t>，</w:t>
      </w:r>
      <w:r w:rsidR="008F4AA2" w:rsidRPr="009D1A96">
        <w:rPr>
          <w:rFonts w:hint="eastAsia"/>
          <w:b/>
        </w:rPr>
        <w:t>亦</w:t>
      </w:r>
      <w:r w:rsidR="0086733C" w:rsidRPr="009D1A96">
        <w:rPr>
          <w:rFonts w:hint="eastAsia"/>
          <w:b/>
        </w:rPr>
        <w:t>乏</w:t>
      </w:r>
      <w:r w:rsidR="00F10F92" w:rsidRPr="009D1A96">
        <w:rPr>
          <w:rFonts w:hint="eastAsia"/>
          <w:b/>
        </w:rPr>
        <w:t>法律授權之依據，</w:t>
      </w:r>
      <w:r w:rsidR="008F4AA2" w:rsidRPr="009D1A96">
        <w:rPr>
          <w:rFonts w:hint="eastAsia"/>
          <w:b/>
        </w:rPr>
        <w:t>且內容</w:t>
      </w:r>
      <w:r w:rsidRPr="009D1A96">
        <w:rPr>
          <w:rFonts w:hint="eastAsia"/>
          <w:b/>
        </w:rPr>
        <w:t>有欠完備</w:t>
      </w:r>
      <w:r w:rsidR="00AF02F0" w:rsidRPr="009D1A96">
        <w:rPr>
          <w:rFonts w:hint="eastAsia"/>
          <w:b/>
        </w:rPr>
        <w:t>。</w:t>
      </w:r>
      <w:r w:rsidR="00B57C27" w:rsidRPr="009D1A96">
        <w:rPr>
          <w:rFonts w:hint="eastAsia"/>
          <w:b/>
        </w:rPr>
        <w:t>司法院</w:t>
      </w:r>
      <w:r w:rsidR="007407CB" w:rsidRPr="009D1A96">
        <w:rPr>
          <w:rFonts w:hint="eastAsia"/>
          <w:b/>
        </w:rPr>
        <w:t>擬</w:t>
      </w:r>
      <w:r w:rsidR="00B57C27" w:rsidRPr="009D1A96">
        <w:rPr>
          <w:rFonts w:hint="eastAsia"/>
          <w:b/>
        </w:rPr>
        <w:t>於法院組織法中增訂法警執行</w:t>
      </w:r>
      <w:r w:rsidR="00D14C1A" w:rsidRPr="009D1A96">
        <w:rPr>
          <w:rFonts w:hint="eastAsia"/>
          <w:b/>
        </w:rPr>
        <w:t>安全檢查</w:t>
      </w:r>
      <w:r w:rsidR="00B57C27" w:rsidRPr="009D1A96">
        <w:rPr>
          <w:rFonts w:hint="eastAsia"/>
          <w:b/>
        </w:rPr>
        <w:t>之修法</w:t>
      </w:r>
      <w:r w:rsidR="00511AFB" w:rsidRPr="009D1A96">
        <w:rPr>
          <w:rFonts w:hint="eastAsia"/>
          <w:b/>
        </w:rPr>
        <w:t>草案</w:t>
      </w:r>
      <w:r w:rsidR="00B57C27" w:rsidRPr="009D1A96">
        <w:rPr>
          <w:rFonts w:hint="eastAsia"/>
          <w:b/>
        </w:rPr>
        <w:t>，</w:t>
      </w:r>
      <w:r w:rsidR="007407CB" w:rsidRPr="009D1A96">
        <w:rPr>
          <w:rFonts w:hint="eastAsia"/>
          <w:b/>
        </w:rPr>
        <w:t>與</w:t>
      </w:r>
      <w:r w:rsidR="00B57C27" w:rsidRPr="009D1A96">
        <w:rPr>
          <w:rFonts w:hint="eastAsia"/>
          <w:b/>
        </w:rPr>
        <w:t>組織法作用法分立</w:t>
      </w:r>
      <w:r w:rsidR="00FE50A2" w:rsidRPr="009D1A96">
        <w:rPr>
          <w:rFonts w:hint="eastAsia"/>
          <w:b/>
        </w:rPr>
        <w:t>原則</w:t>
      </w:r>
      <w:r w:rsidR="007407CB" w:rsidRPr="009D1A96">
        <w:rPr>
          <w:rFonts w:hint="eastAsia"/>
          <w:b/>
        </w:rPr>
        <w:t>容有未合</w:t>
      </w:r>
      <w:r w:rsidR="00B57C27" w:rsidRPr="009D1A96">
        <w:rPr>
          <w:rFonts w:hint="eastAsia"/>
          <w:b/>
        </w:rPr>
        <w:t>，</w:t>
      </w:r>
      <w:r w:rsidR="00895025" w:rsidRPr="009D1A96">
        <w:rPr>
          <w:rFonts w:hint="eastAsia"/>
          <w:b/>
        </w:rPr>
        <w:t>雖</w:t>
      </w:r>
      <w:r w:rsidR="00B57C27" w:rsidRPr="009D1A96">
        <w:rPr>
          <w:rFonts w:hint="eastAsia"/>
          <w:b/>
        </w:rPr>
        <w:t>非健全法制</w:t>
      </w:r>
      <w:r w:rsidR="00FE50A2" w:rsidRPr="009D1A96">
        <w:rPr>
          <w:rFonts w:hint="eastAsia"/>
          <w:b/>
        </w:rPr>
        <w:t>之</w:t>
      </w:r>
      <w:r w:rsidR="009D1A96" w:rsidRPr="009D1A96">
        <w:rPr>
          <w:rFonts w:hint="eastAsia"/>
          <w:b/>
        </w:rPr>
        <w:t>正辧</w:t>
      </w:r>
      <w:r w:rsidR="00B57C27" w:rsidRPr="009D1A96">
        <w:rPr>
          <w:rFonts w:hint="eastAsia"/>
          <w:b/>
        </w:rPr>
        <w:t>，但有助於完備法庭安全維護之法源依據，</w:t>
      </w:r>
      <w:r w:rsidR="00AF02F0" w:rsidRPr="009D1A96">
        <w:rPr>
          <w:rFonts w:hint="eastAsia"/>
          <w:b/>
        </w:rPr>
        <w:t>允應儘速推動</w:t>
      </w:r>
      <w:r w:rsidR="00E92314">
        <w:rPr>
          <w:rFonts w:hint="eastAsia"/>
          <w:b/>
        </w:rPr>
        <w:t>修</w:t>
      </w:r>
      <w:r w:rsidR="00AF02F0" w:rsidRPr="009D1A96">
        <w:rPr>
          <w:rFonts w:hint="eastAsia"/>
          <w:b/>
        </w:rPr>
        <w:t>法工作之完成</w:t>
      </w:r>
      <w:r w:rsidR="00B57C27" w:rsidRPr="009D1A96">
        <w:rPr>
          <w:rFonts w:hint="eastAsia"/>
          <w:b/>
        </w:rPr>
        <w:t>。</w:t>
      </w:r>
    </w:p>
    <w:p w:rsidR="008D30DF" w:rsidRDefault="007407CB" w:rsidP="0086733C">
      <w:pPr>
        <w:pStyle w:val="3"/>
      </w:pPr>
      <w:r>
        <w:rPr>
          <w:rFonts w:hint="eastAsia"/>
        </w:rPr>
        <w:t>司法院表示，</w:t>
      </w:r>
      <w:r w:rsidR="008E7746" w:rsidRPr="008D30DF">
        <w:rPr>
          <w:rFonts w:hint="eastAsia"/>
        </w:rPr>
        <w:t>現行各</w:t>
      </w:r>
      <w:r w:rsidR="001E3926" w:rsidRPr="008D30DF">
        <w:rPr>
          <w:rFonts w:hint="eastAsia"/>
        </w:rPr>
        <w:t>級</w:t>
      </w:r>
      <w:r w:rsidR="008E7746" w:rsidRPr="008D30DF">
        <w:rPr>
          <w:rFonts w:hint="eastAsia"/>
        </w:rPr>
        <w:t>法院對民眾進入法院建築物</w:t>
      </w:r>
      <w:r>
        <w:rPr>
          <w:rFonts w:hint="eastAsia"/>
        </w:rPr>
        <w:t>之</w:t>
      </w:r>
      <w:r w:rsidR="008E7746" w:rsidRPr="008D30DF">
        <w:rPr>
          <w:rFonts w:hint="eastAsia"/>
        </w:rPr>
        <w:t>安全檢查</w:t>
      </w:r>
      <w:r w:rsidR="001E3926" w:rsidRPr="008D30DF">
        <w:rPr>
          <w:rFonts w:hint="eastAsia"/>
        </w:rPr>
        <w:t>之</w:t>
      </w:r>
      <w:r w:rsidR="00B61C07">
        <w:rPr>
          <w:rFonts w:hint="eastAsia"/>
        </w:rPr>
        <w:t>規定</w:t>
      </w:r>
      <w:r w:rsidR="008E7746" w:rsidRPr="008D30DF">
        <w:rPr>
          <w:rFonts w:hint="eastAsia"/>
        </w:rPr>
        <w:t>，係法院組織法</w:t>
      </w:r>
      <w:r w:rsidR="008E7746" w:rsidRPr="004A1B56">
        <w:rPr>
          <w:rFonts w:hint="eastAsia"/>
        </w:rPr>
        <w:t>第23條第3項、第39條第3項、第53條第3項</w:t>
      </w:r>
      <w:r w:rsidR="008E7746" w:rsidRPr="004A1B56">
        <w:rPr>
          <w:rStyle w:val="af8"/>
        </w:rPr>
        <w:footnoteReference w:id="6"/>
      </w:r>
      <w:r w:rsidR="00EA226A">
        <w:rPr>
          <w:rFonts w:hint="eastAsia"/>
        </w:rPr>
        <w:t>；</w:t>
      </w:r>
      <w:r w:rsidR="008E7746" w:rsidRPr="008D30DF">
        <w:rPr>
          <w:rFonts w:hint="eastAsia"/>
        </w:rPr>
        <w:t>最高法院處務規程授權訂定之「最高法院法警執行警衛及值日勤務注意事項」</w:t>
      </w:r>
      <w:r w:rsidR="008E7746">
        <w:rPr>
          <w:rStyle w:val="af8"/>
          <w:szCs w:val="48"/>
        </w:rPr>
        <w:footnoteReference w:id="7"/>
      </w:r>
      <w:r w:rsidR="008E7746" w:rsidRPr="008D30DF">
        <w:rPr>
          <w:rFonts w:hint="eastAsia"/>
        </w:rPr>
        <w:t>、高等法院處務規程</w:t>
      </w:r>
      <w:r w:rsidR="001E3926" w:rsidRPr="008D30DF">
        <w:rPr>
          <w:rFonts w:hint="eastAsia"/>
        </w:rPr>
        <w:t>授權訂定之「臺灣高等法院暨所屬各級法院法警執行職務應行注意事項」</w:t>
      </w:r>
      <w:r w:rsidR="008E7746" w:rsidRPr="004A1B56">
        <w:rPr>
          <w:rStyle w:val="af8"/>
        </w:rPr>
        <w:footnoteReference w:id="8"/>
      </w:r>
      <w:r w:rsidR="00EA226A" w:rsidRPr="008D30DF">
        <w:rPr>
          <w:rFonts w:hint="eastAsia"/>
        </w:rPr>
        <w:t>；</w:t>
      </w:r>
      <w:r w:rsidR="001E3926" w:rsidRPr="008D30DF">
        <w:rPr>
          <w:rFonts w:hint="eastAsia"/>
        </w:rPr>
        <w:t>法院組織法授權</w:t>
      </w:r>
      <w:r w:rsidR="001E3926" w:rsidRPr="008D30DF">
        <w:rPr>
          <w:rFonts w:hint="eastAsia"/>
        </w:rPr>
        <w:lastRenderedPageBreak/>
        <w:t>訂定之「法庭旁聽規則」</w:t>
      </w:r>
      <w:r w:rsidR="001E3926">
        <w:rPr>
          <w:rStyle w:val="af8"/>
          <w:szCs w:val="48"/>
        </w:rPr>
        <w:footnoteReference w:id="9"/>
      </w:r>
      <w:r w:rsidR="008E7746" w:rsidRPr="008D30DF">
        <w:rPr>
          <w:rFonts w:hint="eastAsia"/>
        </w:rPr>
        <w:t>，</w:t>
      </w:r>
      <w:r w:rsidR="00EA226A" w:rsidRPr="008D30DF">
        <w:rPr>
          <w:rFonts w:hint="eastAsia"/>
        </w:rPr>
        <w:t>及</w:t>
      </w:r>
      <w:r w:rsidR="008E7746" w:rsidRPr="004A1B56">
        <w:rPr>
          <w:rFonts w:hint="eastAsia"/>
        </w:rPr>
        <w:t>司法院前於91年4月18日函請所屬各法院訂定相關注意事項，禁止民眾攜帶錄音、攝影器材或其他有損法庭秩序及法院尊嚴之物品進入法院</w:t>
      </w:r>
      <w:r w:rsidR="001E3926" w:rsidRPr="004A1B56">
        <w:rPr>
          <w:rStyle w:val="af8"/>
        </w:rPr>
        <w:footnoteReference w:id="10"/>
      </w:r>
      <w:r w:rsidR="008E7746" w:rsidRPr="004A1B56">
        <w:rPr>
          <w:rFonts w:hint="eastAsia"/>
        </w:rPr>
        <w:t>。</w:t>
      </w:r>
      <w:r w:rsidR="008E7746">
        <w:rPr>
          <w:rFonts w:hint="eastAsia"/>
        </w:rPr>
        <w:t>惟</w:t>
      </w:r>
      <w:r w:rsidR="008E7746" w:rsidRPr="004A1B56">
        <w:rPr>
          <w:rFonts w:hint="eastAsia"/>
        </w:rPr>
        <w:t>法院組織法</w:t>
      </w:r>
      <w:r w:rsidR="00BE3251">
        <w:rPr>
          <w:rFonts w:hint="eastAsia"/>
        </w:rPr>
        <w:t>僅</w:t>
      </w:r>
      <w:r w:rsidR="0086733C">
        <w:rPr>
          <w:rFonts w:hint="eastAsia"/>
        </w:rPr>
        <w:t>規定</w:t>
      </w:r>
      <w:r w:rsidR="008E7746" w:rsidRPr="004A1B56">
        <w:rPr>
          <w:rFonts w:hint="eastAsia"/>
        </w:rPr>
        <w:t>各級法院</w:t>
      </w:r>
      <w:r w:rsidR="009D1A96">
        <w:rPr>
          <w:rFonts w:hint="eastAsia"/>
        </w:rPr>
        <w:t>設置</w:t>
      </w:r>
      <w:r w:rsidR="008E7746" w:rsidRPr="004A1B56">
        <w:rPr>
          <w:rFonts w:hint="eastAsia"/>
        </w:rPr>
        <w:t>法警</w:t>
      </w:r>
      <w:r w:rsidR="0086733C">
        <w:rPr>
          <w:rFonts w:hint="eastAsia"/>
        </w:rPr>
        <w:t>辦理值庭、執行、警衛、解送人犯及有關司法警察</w:t>
      </w:r>
      <w:r w:rsidR="009D1A96">
        <w:rPr>
          <w:rFonts w:hint="eastAsia"/>
        </w:rPr>
        <w:t>之</w:t>
      </w:r>
      <w:r w:rsidR="0086733C">
        <w:rPr>
          <w:rFonts w:hint="eastAsia"/>
        </w:rPr>
        <w:t>事務</w:t>
      </w:r>
      <w:r w:rsidR="009D1A96">
        <w:rPr>
          <w:rFonts w:hint="eastAsia"/>
        </w:rPr>
        <w:t>，以及法警之職等、職稱</w:t>
      </w:r>
      <w:r w:rsidR="008E7746" w:rsidRPr="004A1B56">
        <w:rPr>
          <w:rFonts w:hint="eastAsia"/>
        </w:rPr>
        <w:t>，屬</w:t>
      </w:r>
      <w:r w:rsidR="009D1A96">
        <w:rPr>
          <w:rFonts w:hint="eastAsia"/>
        </w:rPr>
        <w:t>內部</w:t>
      </w:r>
      <w:r w:rsidR="008E7746" w:rsidRPr="004A1B56">
        <w:rPr>
          <w:rFonts w:hint="eastAsia"/>
        </w:rPr>
        <w:t>組織</w:t>
      </w:r>
      <w:r w:rsidR="009D1A96">
        <w:rPr>
          <w:rFonts w:hint="eastAsia"/>
        </w:rPr>
        <w:t>之一般性規定；又</w:t>
      </w:r>
      <w:r w:rsidR="008E7746">
        <w:rPr>
          <w:rFonts w:hint="eastAsia"/>
        </w:rPr>
        <w:t>該法</w:t>
      </w:r>
      <w:r w:rsidR="008E7746" w:rsidRPr="004A1B56">
        <w:rPr>
          <w:rFonts w:hint="eastAsia"/>
        </w:rPr>
        <w:t>授權訂定之「法警管理辦法」</w:t>
      </w:r>
      <w:r>
        <w:rPr>
          <w:rFonts w:hint="eastAsia"/>
        </w:rPr>
        <w:t>僅規定</w:t>
      </w:r>
      <w:r w:rsidR="009D1A96">
        <w:rPr>
          <w:rFonts w:hint="eastAsia"/>
        </w:rPr>
        <w:t>業務處理</w:t>
      </w:r>
      <w:r w:rsidR="006C469E">
        <w:rPr>
          <w:rFonts w:hint="eastAsia"/>
        </w:rPr>
        <w:t>、</w:t>
      </w:r>
      <w:r w:rsidR="009D1A96">
        <w:rPr>
          <w:rFonts w:hint="eastAsia"/>
        </w:rPr>
        <w:t>事務分配</w:t>
      </w:r>
      <w:r w:rsidR="006C469E">
        <w:rPr>
          <w:rFonts w:hint="eastAsia"/>
        </w:rPr>
        <w:t>等</w:t>
      </w:r>
      <w:r>
        <w:rPr>
          <w:rFonts w:hint="eastAsia"/>
        </w:rPr>
        <w:t>內部管理事項</w:t>
      </w:r>
      <w:r w:rsidR="008E7746" w:rsidRPr="004A1B56">
        <w:rPr>
          <w:rFonts w:hint="eastAsia"/>
        </w:rPr>
        <w:t>；</w:t>
      </w:r>
      <w:r w:rsidR="0086733C" w:rsidRPr="0086733C">
        <w:rPr>
          <w:rFonts w:hint="eastAsia"/>
        </w:rPr>
        <w:t>最高法院處務規程</w:t>
      </w:r>
      <w:r w:rsidR="0008380E">
        <w:rPr>
          <w:rFonts w:hint="eastAsia"/>
        </w:rPr>
        <w:t>授權訂定</w:t>
      </w:r>
      <w:r w:rsidR="0086733C">
        <w:rPr>
          <w:rFonts w:hint="eastAsia"/>
        </w:rPr>
        <w:t>之</w:t>
      </w:r>
      <w:r w:rsidR="008E7746" w:rsidRPr="004A1B56">
        <w:rPr>
          <w:rFonts w:hint="eastAsia"/>
        </w:rPr>
        <w:t>「最高法院法警執行警衛及值日勤務注意事項」</w:t>
      </w:r>
      <w:r w:rsidR="00BE3251" w:rsidRPr="004A1B56">
        <w:rPr>
          <w:rStyle w:val="af8"/>
        </w:rPr>
        <w:footnoteReference w:id="11"/>
      </w:r>
      <w:r w:rsidR="00BE3251">
        <w:rPr>
          <w:rFonts w:hint="eastAsia"/>
        </w:rPr>
        <w:t>、</w:t>
      </w:r>
      <w:r w:rsidR="0086733C" w:rsidRPr="0086733C">
        <w:rPr>
          <w:rFonts w:hint="eastAsia"/>
        </w:rPr>
        <w:t>高等法院處務規程授權訂定之</w:t>
      </w:r>
      <w:r w:rsidR="008E7746" w:rsidRPr="004A1B56">
        <w:rPr>
          <w:rFonts w:hint="eastAsia"/>
        </w:rPr>
        <w:t>「臺灣高等法院暨所屬各級法院法警執行職務應行注意事項」</w:t>
      </w:r>
      <w:r w:rsidR="008E7746" w:rsidRPr="004A1B56">
        <w:rPr>
          <w:rStyle w:val="af8"/>
        </w:rPr>
        <w:footnoteReference w:id="12"/>
      </w:r>
      <w:r w:rsidR="0008380E">
        <w:rPr>
          <w:rFonts w:hint="eastAsia"/>
        </w:rPr>
        <w:t>，</w:t>
      </w:r>
      <w:r w:rsidR="00BE3251">
        <w:rPr>
          <w:rFonts w:hint="eastAsia"/>
        </w:rPr>
        <w:t>及</w:t>
      </w:r>
      <w:r w:rsidR="00BE3251" w:rsidRPr="004A1B56">
        <w:rPr>
          <w:rFonts w:hint="eastAsia"/>
        </w:rPr>
        <w:t>各法院自行訂定</w:t>
      </w:r>
      <w:r w:rsidR="00EA226A">
        <w:rPr>
          <w:rFonts w:hint="eastAsia"/>
        </w:rPr>
        <w:t>之</w:t>
      </w:r>
      <w:r w:rsidR="00BE3251" w:rsidRPr="004A1B56">
        <w:rPr>
          <w:rFonts w:hint="eastAsia"/>
        </w:rPr>
        <w:t>安全維護實施要點</w:t>
      </w:r>
      <w:r w:rsidR="001266D2">
        <w:rPr>
          <w:rStyle w:val="af8"/>
        </w:rPr>
        <w:footnoteReference w:id="13"/>
      </w:r>
      <w:r w:rsidR="00EA226A">
        <w:rPr>
          <w:rFonts w:hint="eastAsia"/>
        </w:rPr>
        <w:t>，</w:t>
      </w:r>
      <w:r w:rsidR="008E7746" w:rsidRPr="004A1B56">
        <w:rPr>
          <w:rFonts w:hint="eastAsia"/>
        </w:rPr>
        <w:t>對於進入法院建築物之民眾</w:t>
      </w:r>
      <w:r w:rsidR="008E7746" w:rsidRPr="004A1B56">
        <w:rPr>
          <w:rFonts w:hint="eastAsia"/>
        </w:rPr>
        <w:lastRenderedPageBreak/>
        <w:t>，僅止於要求其通過金屬探測門，輔以自願性配合之檢查，但不涉及使用強制力或進行人身搜查</w:t>
      </w:r>
      <w:r w:rsidR="00EA226A">
        <w:rPr>
          <w:rFonts w:hint="eastAsia"/>
        </w:rPr>
        <w:t>；</w:t>
      </w:r>
      <w:r w:rsidR="00BE3251" w:rsidRPr="00BE3251">
        <w:rPr>
          <w:rFonts w:hint="eastAsia"/>
        </w:rPr>
        <w:t>「法庭旁聽規則」第6條第6款雖</w:t>
      </w:r>
      <w:r w:rsidR="00BE3251">
        <w:rPr>
          <w:rFonts w:hint="eastAsia"/>
        </w:rPr>
        <w:t>規定</w:t>
      </w:r>
      <w:r w:rsidR="00BE3251" w:rsidRPr="00BE3251">
        <w:rPr>
          <w:rFonts w:hint="eastAsia"/>
        </w:rPr>
        <w:t>「拒絕安全檢查」者禁止進入法庭，然其適用對象限於旁聽民眾</w:t>
      </w:r>
      <w:r w:rsidR="001E3926">
        <w:rPr>
          <w:rFonts w:hint="eastAsia"/>
        </w:rPr>
        <w:t>。</w:t>
      </w:r>
      <w:r w:rsidR="00590C3E" w:rsidRPr="00590C3E">
        <w:rPr>
          <w:rFonts w:hint="eastAsia"/>
        </w:rPr>
        <w:t>本案美籍被告係自行到庭</w:t>
      </w:r>
      <w:r w:rsidR="00B61C07">
        <w:rPr>
          <w:rFonts w:hint="eastAsia"/>
        </w:rPr>
        <w:t>聆</w:t>
      </w:r>
      <w:r w:rsidR="00590C3E" w:rsidRPr="00590C3E">
        <w:rPr>
          <w:rFonts w:hint="eastAsia"/>
        </w:rPr>
        <w:t>聽</w:t>
      </w:r>
      <w:r w:rsidR="00B61C07">
        <w:rPr>
          <w:rFonts w:hint="eastAsia"/>
        </w:rPr>
        <w:t>法官宣示</w:t>
      </w:r>
      <w:r w:rsidR="00590C3E" w:rsidRPr="00590C3E">
        <w:rPr>
          <w:rFonts w:hint="eastAsia"/>
        </w:rPr>
        <w:t>判</w:t>
      </w:r>
      <w:r w:rsidR="00B61C07">
        <w:rPr>
          <w:rFonts w:hint="eastAsia"/>
        </w:rPr>
        <w:t>決</w:t>
      </w:r>
      <w:r w:rsidR="00590C3E" w:rsidRPr="00590C3E">
        <w:rPr>
          <w:rFonts w:hint="eastAsia"/>
        </w:rPr>
        <w:t>，非</w:t>
      </w:r>
      <w:r w:rsidR="00B61C07">
        <w:rPr>
          <w:rFonts w:hint="eastAsia"/>
        </w:rPr>
        <w:t>法院</w:t>
      </w:r>
      <w:r w:rsidR="00590C3E" w:rsidRPr="00590C3E">
        <w:rPr>
          <w:rFonts w:hint="eastAsia"/>
        </w:rPr>
        <w:t>提解之人犯，亦非屬受強制處分之人</w:t>
      </w:r>
      <w:r w:rsidR="00082F1C">
        <w:rPr>
          <w:rFonts w:hint="eastAsia"/>
        </w:rPr>
        <w:t>，</w:t>
      </w:r>
      <w:r w:rsidR="008D30DF">
        <w:rPr>
          <w:rFonts w:hint="eastAsia"/>
        </w:rPr>
        <w:t>綜據上揭規定，法警</w:t>
      </w:r>
      <w:r>
        <w:rPr>
          <w:rFonts w:hint="eastAsia"/>
        </w:rPr>
        <w:t>尚</w:t>
      </w:r>
      <w:r w:rsidR="008D30DF">
        <w:rPr>
          <w:rFonts w:hint="eastAsia"/>
        </w:rPr>
        <w:t>不得使用強制力進行人身安檢或強制保管民眾攜帶之物品；</w:t>
      </w:r>
      <w:r w:rsidR="00193E2F">
        <w:rPr>
          <w:rFonts w:hint="eastAsia"/>
        </w:rPr>
        <w:t>另</w:t>
      </w:r>
      <w:r w:rsidR="008D30DF">
        <w:rPr>
          <w:rFonts w:hint="eastAsia"/>
        </w:rPr>
        <w:t>對於到場之被告或證人</w:t>
      </w:r>
      <w:r w:rsidR="00193E2F">
        <w:rPr>
          <w:rFonts w:hint="eastAsia"/>
        </w:rPr>
        <w:t>，係基於法院傳喚而來，為進行訴訟之當事人或協助真實發現之人</w:t>
      </w:r>
      <w:r w:rsidR="008D30DF">
        <w:rPr>
          <w:rFonts w:hint="eastAsia"/>
        </w:rPr>
        <w:t>，縱然拒絕接受檢查，亦不能禁止其進入法庭，</w:t>
      </w:r>
      <w:r w:rsidR="008D30DF" w:rsidRPr="00590C3E">
        <w:rPr>
          <w:rFonts w:hint="eastAsia"/>
        </w:rPr>
        <w:t>足見法院對於民眾進入法庭</w:t>
      </w:r>
      <w:r w:rsidR="00082F1C">
        <w:rPr>
          <w:rFonts w:hint="eastAsia"/>
        </w:rPr>
        <w:t>之</w:t>
      </w:r>
      <w:r w:rsidR="008D30DF" w:rsidRPr="00590C3E">
        <w:rPr>
          <w:rFonts w:hint="eastAsia"/>
        </w:rPr>
        <w:t>安全檢查規範，有欠完備。</w:t>
      </w:r>
    </w:p>
    <w:p w:rsidR="0086733C" w:rsidRDefault="00EA226A" w:rsidP="00321859">
      <w:pPr>
        <w:pStyle w:val="3"/>
      </w:pPr>
      <w:r>
        <w:rPr>
          <w:rFonts w:hint="eastAsia"/>
        </w:rPr>
        <w:t>本院前調查</w:t>
      </w:r>
      <w:r w:rsidRPr="00EA226A">
        <w:rPr>
          <w:rFonts w:hint="eastAsia"/>
        </w:rPr>
        <w:t>「</w:t>
      </w:r>
      <w:r w:rsidR="00BF41D1" w:rsidRPr="00BF41D1">
        <w:rPr>
          <w:rFonts w:hint="eastAsia"/>
        </w:rPr>
        <w:t>各院檢現行法警人力進用、配置、人員素質及教育訓練</w:t>
      </w:r>
      <w:r w:rsidRPr="00EA226A">
        <w:rPr>
          <w:rFonts w:hint="eastAsia"/>
        </w:rPr>
        <w:t>」乙案</w:t>
      </w:r>
      <w:r w:rsidR="008D30DF">
        <w:rPr>
          <w:rFonts w:hint="eastAsia"/>
        </w:rPr>
        <w:t>即</w:t>
      </w:r>
      <w:r w:rsidR="00590C3E" w:rsidRPr="004A1B56">
        <w:rPr>
          <w:rFonts w:hint="eastAsia"/>
        </w:rPr>
        <w:t>發現</w:t>
      </w:r>
      <w:r w:rsidR="008D30DF">
        <w:rPr>
          <w:rFonts w:hint="eastAsia"/>
        </w:rPr>
        <w:t>上開問題</w:t>
      </w:r>
      <w:r w:rsidR="00590C3E" w:rsidRPr="004A1B56">
        <w:rPr>
          <w:rFonts w:hint="eastAsia"/>
        </w:rPr>
        <w:t>，</w:t>
      </w:r>
      <w:r w:rsidR="00590C3E">
        <w:rPr>
          <w:rFonts w:hint="eastAsia"/>
        </w:rPr>
        <w:t>經函請</w:t>
      </w:r>
      <w:r w:rsidR="00590C3E" w:rsidRPr="004A1B56">
        <w:rPr>
          <w:rFonts w:hint="eastAsia"/>
        </w:rPr>
        <w:t>司法院儘速檢討。</w:t>
      </w:r>
      <w:r w:rsidR="00590C3E">
        <w:rPr>
          <w:rFonts w:hint="eastAsia"/>
        </w:rPr>
        <w:t>該院</w:t>
      </w:r>
      <w:r w:rsidR="00590C3E" w:rsidRPr="00590C3E">
        <w:rPr>
          <w:rFonts w:hint="eastAsia"/>
        </w:rPr>
        <w:t>於104年5月27日向立法院司法及法制委員會議提出法院組織法第23 條第4項、第39條第3項及第53條第3項之修正動議，規定法警於必要時，得對進出法院之人員為安全檢查</w:t>
      </w:r>
      <w:r w:rsidR="0086733C">
        <w:rPr>
          <w:rFonts w:hint="eastAsia"/>
        </w:rPr>
        <w:t>；發現危險物品，或影響法院莊嚴之物時，得暫時保管</w:t>
      </w:r>
      <w:r w:rsidR="00590C3E" w:rsidRPr="00590C3E">
        <w:rPr>
          <w:rFonts w:hint="eastAsia"/>
        </w:rPr>
        <w:t>，</w:t>
      </w:r>
      <w:r w:rsidR="0086733C">
        <w:rPr>
          <w:rFonts w:hint="eastAsia"/>
        </w:rPr>
        <w:t>及</w:t>
      </w:r>
      <w:r w:rsidR="00590C3E" w:rsidRPr="00590C3E">
        <w:rPr>
          <w:rFonts w:hint="eastAsia"/>
        </w:rPr>
        <w:t>授權司法院訂定執行警衛事務之規則</w:t>
      </w:r>
      <w:r w:rsidR="007407CB">
        <w:rPr>
          <w:rFonts w:hint="eastAsia"/>
        </w:rPr>
        <w:t>。因立法院屆期不連續，105年2月1日第9屆立法委員就職後，該院表示將送請立法院審議</w:t>
      </w:r>
      <w:r w:rsidR="00590C3E" w:rsidRPr="00590C3E">
        <w:rPr>
          <w:rFonts w:hint="eastAsia"/>
        </w:rPr>
        <w:t>。</w:t>
      </w:r>
      <w:r w:rsidR="008D30DF">
        <w:rPr>
          <w:rFonts w:hint="eastAsia"/>
        </w:rPr>
        <w:t>又本案據司法院</w:t>
      </w:r>
      <w:r w:rsidR="00082F1C">
        <w:rPr>
          <w:rFonts w:hint="eastAsia"/>
        </w:rPr>
        <w:t>函復</w:t>
      </w:r>
      <w:r w:rsidR="008D30DF">
        <w:rPr>
          <w:rFonts w:hint="eastAsia"/>
        </w:rPr>
        <w:t>表示：</w:t>
      </w:r>
      <w:r w:rsidR="0086733C">
        <w:rPr>
          <w:rFonts w:hint="eastAsia"/>
        </w:rPr>
        <w:t>法院係為提供司法給付所設之營造物，</w:t>
      </w:r>
      <w:r w:rsidR="008D30DF" w:rsidRPr="004A1B56">
        <w:rPr>
          <w:rFonts w:hint="eastAsia"/>
        </w:rPr>
        <w:t>各法院本諸營造物管理者及憲法保障人民訴訟權之意旨，依據</w:t>
      </w:r>
      <w:r w:rsidR="008D30DF">
        <w:rPr>
          <w:rFonts w:hint="eastAsia"/>
        </w:rPr>
        <w:t>司法院</w:t>
      </w:r>
      <w:r w:rsidR="008D30DF" w:rsidRPr="004A1B56">
        <w:rPr>
          <w:rFonts w:hint="eastAsia"/>
        </w:rPr>
        <w:t>函示及其自行訂定之注意事項或實施要點</w:t>
      </w:r>
      <w:r w:rsidR="0086733C">
        <w:rPr>
          <w:rFonts w:hint="eastAsia"/>
        </w:rPr>
        <w:t>，得對利用人之特定行為加以限制，及採取取締或排除措施。</w:t>
      </w:r>
      <w:r w:rsidR="00321859">
        <w:rPr>
          <w:rFonts w:hint="eastAsia"/>
        </w:rPr>
        <w:t>本於</w:t>
      </w:r>
      <w:r w:rsidR="00321859" w:rsidRPr="004A1B56">
        <w:rPr>
          <w:rFonts w:hint="eastAsia"/>
        </w:rPr>
        <w:lastRenderedPageBreak/>
        <w:t>法院組織法</w:t>
      </w:r>
      <w:r w:rsidR="00321859">
        <w:rPr>
          <w:rFonts w:hint="eastAsia"/>
        </w:rPr>
        <w:t>之警衛職務</w:t>
      </w:r>
      <w:r w:rsidR="00321859" w:rsidRPr="004A1B56">
        <w:rPr>
          <w:rFonts w:hint="eastAsia"/>
        </w:rPr>
        <w:t>，最高法院及高等法院依據相關處務規程</w:t>
      </w:r>
      <w:r w:rsidR="00321859">
        <w:rPr>
          <w:rFonts w:hint="eastAsia"/>
        </w:rPr>
        <w:t>授權訂定法警執行職務注意事項辦理</w:t>
      </w:r>
      <w:r w:rsidR="00321859" w:rsidRPr="004A1B56">
        <w:rPr>
          <w:rFonts w:hint="eastAsia"/>
        </w:rPr>
        <w:t>，</w:t>
      </w:r>
      <w:r w:rsidR="00321859">
        <w:rPr>
          <w:rFonts w:hint="eastAsia"/>
        </w:rPr>
        <w:t>現行實務已訂定相關一致性規範據以執行。</w:t>
      </w:r>
      <w:r w:rsidR="008D30DF" w:rsidRPr="004A1B56">
        <w:rPr>
          <w:rFonts w:hint="eastAsia"/>
        </w:rPr>
        <w:t>並表示由外國的立法例觀之，美國、德國未設專法，依家主權維護營造物安全之概念，本可依其權限制定相關規範</w:t>
      </w:r>
      <w:r w:rsidR="00933013">
        <w:rPr>
          <w:rFonts w:hint="eastAsia"/>
        </w:rPr>
        <w:t>等語</w:t>
      </w:r>
      <w:r w:rsidR="008D30DF" w:rsidRPr="004A1B56">
        <w:rPr>
          <w:rFonts w:hint="eastAsia"/>
        </w:rPr>
        <w:t>。</w:t>
      </w:r>
    </w:p>
    <w:p w:rsidR="00321859" w:rsidRDefault="00933013" w:rsidP="0043737C">
      <w:pPr>
        <w:pStyle w:val="3"/>
      </w:pPr>
      <w:r>
        <w:rPr>
          <w:rFonts w:hint="eastAsia"/>
        </w:rPr>
        <w:t>經查</w:t>
      </w:r>
      <w:r w:rsidR="0043737C">
        <w:rPr>
          <w:rFonts w:hint="eastAsia"/>
        </w:rPr>
        <w:t>，</w:t>
      </w:r>
      <w:r w:rsidR="0043737C" w:rsidRPr="0043737C">
        <w:rPr>
          <w:rFonts w:hint="eastAsia"/>
        </w:rPr>
        <w:t>司法院雖於104年5月27日向立法院司法及法制委員會議提出法院組織法第23 條第4項、第39條第3項及第53條第3項涉及法警</w:t>
      </w:r>
      <w:r w:rsidR="00B81D3D">
        <w:rPr>
          <w:rFonts w:hint="eastAsia"/>
        </w:rPr>
        <w:t>執行安全檢查法律依據</w:t>
      </w:r>
      <w:r w:rsidR="0043737C" w:rsidRPr="0043737C">
        <w:rPr>
          <w:rFonts w:hint="eastAsia"/>
        </w:rPr>
        <w:t>之修正動議，</w:t>
      </w:r>
      <w:r w:rsidR="0043737C">
        <w:rPr>
          <w:rFonts w:hint="eastAsia"/>
        </w:rPr>
        <w:t>然</w:t>
      </w:r>
      <w:r w:rsidR="0043737C" w:rsidRPr="0043737C">
        <w:rPr>
          <w:rFonts w:hint="eastAsia"/>
        </w:rPr>
        <w:t>因第9屆立法委員於105年2月1日就職，屆期不連續</w:t>
      </w:r>
      <w:r w:rsidR="0043737C">
        <w:rPr>
          <w:rFonts w:hint="eastAsia"/>
        </w:rPr>
        <w:t>而視同退回提案機關，然司法院迄仍未再送請立法院審議。現行</w:t>
      </w:r>
      <w:r w:rsidR="00321859" w:rsidRPr="00321859">
        <w:rPr>
          <w:rFonts w:hint="eastAsia"/>
        </w:rPr>
        <w:t>法院組織法第23條第3項</w:t>
      </w:r>
      <w:r w:rsidR="00321859">
        <w:rPr>
          <w:rFonts w:hint="eastAsia"/>
        </w:rPr>
        <w:t>僅</w:t>
      </w:r>
      <w:r w:rsidR="00321859" w:rsidRPr="00321859">
        <w:rPr>
          <w:rFonts w:hint="eastAsia"/>
        </w:rPr>
        <w:t>規定：</w:t>
      </w:r>
      <w:r w:rsidR="00321859">
        <w:rPr>
          <w:rFonts w:hint="eastAsia"/>
        </w:rPr>
        <w:t>「</w:t>
      </w:r>
      <w:r w:rsidR="00321859" w:rsidRPr="00321859">
        <w:rPr>
          <w:rFonts w:hint="eastAsia"/>
        </w:rPr>
        <w:t>地方法院為辦理值庭、執行、警衛、解送人犯及有關司法警察事務，置法警</w:t>
      </w:r>
      <w:r w:rsidR="00321859">
        <w:rPr>
          <w:rFonts w:hint="eastAsia"/>
        </w:rPr>
        <w:t>。……」該項組織法</w:t>
      </w:r>
      <w:r w:rsidR="00193E2F">
        <w:rPr>
          <w:rFonts w:hint="eastAsia"/>
        </w:rPr>
        <w:t>僅規範法警</w:t>
      </w:r>
      <w:r w:rsidR="007963A8">
        <w:rPr>
          <w:rFonts w:hint="eastAsia"/>
        </w:rPr>
        <w:t>辦理之</w:t>
      </w:r>
      <w:r w:rsidR="00193E2F">
        <w:rPr>
          <w:rFonts w:hint="eastAsia"/>
        </w:rPr>
        <w:t>職務，以及法警之職等、職稱等，屬組織之一般性規定</w:t>
      </w:r>
      <w:r w:rsidR="00321859">
        <w:rPr>
          <w:rFonts w:hint="eastAsia"/>
        </w:rPr>
        <w:t>，</w:t>
      </w:r>
      <w:r w:rsidR="00984EB9">
        <w:rPr>
          <w:rFonts w:hint="eastAsia"/>
        </w:rPr>
        <w:t>不得作為限制人民自由權利之法源依據，有</w:t>
      </w:r>
      <w:r w:rsidR="00321859">
        <w:rPr>
          <w:rFonts w:hint="eastAsia"/>
        </w:rPr>
        <w:t>司法</w:t>
      </w:r>
      <w:r w:rsidR="00984EB9">
        <w:rPr>
          <w:rFonts w:hint="eastAsia"/>
        </w:rPr>
        <w:t>院釋字第390號、第535號等解釋闡述甚明</w:t>
      </w:r>
      <w:r w:rsidR="00984EB9">
        <w:rPr>
          <w:rStyle w:val="af8"/>
        </w:rPr>
        <w:footnoteReference w:id="14"/>
      </w:r>
      <w:r w:rsidR="00984EB9">
        <w:rPr>
          <w:rFonts w:hint="eastAsia"/>
        </w:rPr>
        <w:t>。</w:t>
      </w:r>
      <w:r w:rsidR="00895025">
        <w:rPr>
          <w:rFonts w:hint="eastAsia"/>
        </w:rPr>
        <w:t>姑</w:t>
      </w:r>
      <w:r w:rsidR="00984EB9">
        <w:rPr>
          <w:rFonts w:hint="eastAsia"/>
        </w:rPr>
        <w:t>不論法院是否屬「公營造物」</w:t>
      </w:r>
      <w:r w:rsidR="000B7DC3">
        <w:rPr>
          <w:rFonts w:hint="eastAsia"/>
        </w:rPr>
        <w:t>、</w:t>
      </w:r>
      <w:r>
        <w:rPr>
          <w:rFonts w:hint="eastAsia"/>
        </w:rPr>
        <w:t>得</w:t>
      </w:r>
      <w:r w:rsidR="003C1658">
        <w:rPr>
          <w:rFonts w:hint="eastAsia"/>
        </w:rPr>
        <w:t>否依「營造物權</w:t>
      </w:r>
      <w:r w:rsidR="003C1658">
        <w:rPr>
          <w:rFonts w:hint="eastAsia"/>
        </w:rPr>
        <w:lastRenderedPageBreak/>
        <w:t>力」訂定</w:t>
      </w:r>
      <w:r w:rsidR="00984EB9">
        <w:rPr>
          <w:rFonts w:hint="eastAsia"/>
        </w:rPr>
        <w:t>「利用規則」</w:t>
      </w:r>
      <w:r w:rsidR="000B7DC3">
        <w:rPr>
          <w:rStyle w:val="af8"/>
        </w:rPr>
        <w:footnoteReference w:id="15"/>
      </w:r>
      <w:r w:rsidR="000B7DC3">
        <w:rPr>
          <w:rFonts w:hint="eastAsia"/>
        </w:rPr>
        <w:t>、</w:t>
      </w:r>
      <w:r>
        <w:rPr>
          <w:rFonts w:hint="eastAsia"/>
        </w:rPr>
        <w:t>得</w:t>
      </w:r>
      <w:r w:rsidR="000B7DC3">
        <w:rPr>
          <w:rFonts w:hint="eastAsia"/>
        </w:rPr>
        <w:t>否</w:t>
      </w:r>
      <w:r w:rsidR="003C1658">
        <w:rPr>
          <w:rFonts w:hint="eastAsia"/>
        </w:rPr>
        <w:t>依「公法上家主權」</w:t>
      </w:r>
      <w:r>
        <w:rPr>
          <w:rFonts w:hint="eastAsia"/>
        </w:rPr>
        <w:t>或「營造物警察權」</w:t>
      </w:r>
      <w:r w:rsidR="000B7DC3">
        <w:rPr>
          <w:rStyle w:val="af8"/>
        </w:rPr>
        <w:footnoteReference w:id="16"/>
      </w:r>
      <w:r w:rsidR="000B7DC3">
        <w:rPr>
          <w:rFonts w:hint="eastAsia"/>
        </w:rPr>
        <w:t>排除不當利用或防禦侵害</w:t>
      </w:r>
      <w:r w:rsidR="003C1658">
        <w:rPr>
          <w:rFonts w:hint="eastAsia"/>
        </w:rPr>
        <w:t>，</w:t>
      </w:r>
      <w:r w:rsidR="000B7DC3">
        <w:rPr>
          <w:rFonts w:hint="eastAsia"/>
        </w:rPr>
        <w:t>凡</w:t>
      </w:r>
      <w:r w:rsidR="003C1658">
        <w:rPr>
          <w:rFonts w:hint="eastAsia"/>
        </w:rPr>
        <w:t>對</w:t>
      </w:r>
      <w:r w:rsidR="000B7DC3">
        <w:rPr>
          <w:rFonts w:hint="eastAsia"/>
        </w:rPr>
        <w:t>於進出法院之民眾進行強制性之</w:t>
      </w:r>
      <w:r w:rsidR="003C1658">
        <w:rPr>
          <w:rFonts w:hint="eastAsia"/>
        </w:rPr>
        <w:t>安全檢查，</w:t>
      </w:r>
      <w:r w:rsidR="000B7DC3">
        <w:rPr>
          <w:rFonts w:hint="eastAsia"/>
        </w:rPr>
        <w:t>屬</w:t>
      </w:r>
      <w:r w:rsidR="003C1658">
        <w:rPr>
          <w:rFonts w:hint="eastAsia"/>
        </w:rPr>
        <w:t>涉及人民權益之干預，應</w:t>
      </w:r>
      <w:r w:rsidR="000B7DC3">
        <w:rPr>
          <w:rFonts w:hint="eastAsia"/>
        </w:rPr>
        <w:t>有法律授權之依據。且法院為維護其秩序與安全，而訂定相關規範時，除考慮其政策之必要性外，並應注意受規範義務人所受限制之輕重，依</w:t>
      </w:r>
      <w:r w:rsidR="00C30B8E">
        <w:rPr>
          <w:rFonts w:hint="eastAsia"/>
        </w:rPr>
        <w:t>司法院</w:t>
      </w:r>
      <w:r w:rsidR="000B7DC3">
        <w:rPr>
          <w:rFonts w:hint="eastAsia"/>
        </w:rPr>
        <w:t>釋字第443 號解釋層級化之法律保留，制(訂)定不同性質之法律規範。亦</w:t>
      </w:r>
      <w:r w:rsidR="000B7DC3" w:rsidRPr="000B7DC3">
        <w:rPr>
          <w:rFonts w:hint="eastAsia"/>
        </w:rPr>
        <w:t>即</w:t>
      </w:r>
      <w:r w:rsidR="00193E2F">
        <w:rPr>
          <w:rFonts w:hint="eastAsia"/>
        </w:rPr>
        <w:t>至少應</w:t>
      </w:r>
      <w:r w:rsidR="000B7DC3" w:rsidRPr="000B7DC3">
        <w:rPr>
          <w:rFonts w:hint="eastAsia"/>
        </w:rPr>
        <w:t>先規定檢查之權源，再分別依其檢查手段干涉人民權益之強弱而訂定法規命令或行政規則，除能符合法律保留原則之意旨外，在立法上亦較能與其他</w:t>
      </w:r>
      <w:r w:rsidR="00193E2F">
        <w:rPr>
          <w:rFonts w:hint="eastAsia"/>
        </w:rPr>
        <w:t>將強行安檢事項入法的做法達齊一衡平</w:t>
      </w:r>
      <w:r w:rsidR="00193E2F">
        <w:rPr>
          <w:rStyle w:val="af8"/>
        </w:rPr>
        <w:footnoteReference w:id="17"/>
      </w:r>
      <w:r w:rsidR="000B7DC3" w:rsidRPr="000B7DC3">
        <w:rPr>
          <w:rFonts w:hint="eastAsia"/>
        </w:rPr>
        <w:t>。</w:t>
      </w:r>
    </w:p>
    <w:p w:rsidR="00C0566A" w:rsidRDefault="00A9475F" w:rsidP="007E3FFC">
      <w:pPr>
        <w:pStyle w:val="3"/>
      </w:pPr>
      <w:r>
        <w:rPr>
          <w:rFonts w:hint="eastAsia"/>
        </w:rPr>
        <w:t>依</w:t>
      </w:r>
      <w:r w:rsidR="00C0566A">
        <w:rPr>
          <w:rFonts w:hint="eastAsia"/>
        </w:rPr>
        <w:t>傳統內部法及外部法區分理論，規</w:t>
      </w:r>
      <w:r w:rsidR="0058625C">
        <w:rPr>
          <w:rFonts w:hint="eastAsia"/>
        </w:rPr>
        <w:t>律</w:t>
      </w:r>
      <w:r>
        <w:rPr>
          <w:rFonts w:hint="eastAsia"/>
        </w:rPr>
        <w:t>行政主體組織行政機關與公務員之內部關係，屬「內部法」，與規律行政主體與人民間法律關係之「外部法」有別，內部法不</w:t>
      </w:r>
      <w:r w:rsidR="004E5F5E">
        <w:rPr>
          <w:rFonts w:hint="eastAsia"/>
        </w:rPr>
        <w:t>直接涉及人民權益，亦不得作為行政爭訟之理由</w:t>
      </w:r>
      <w:r w:rsidR="0058625C">
        <w:rPr>
          <w:rFonts w:hint="eastAsia"/>
        </w:rPr>
        <w:t>。司法院釋字第535號解釋</w:t>
      </w:r>
      <w:r w:rsidR="007E3FFC" w:rsidRPr="007E3FFC">
        <w:rPr>
          <w:rFonts w:hint="eastAsia"/>
        </w:rPr>
        <w:t>為維護警察勤務條例</w:t>
      </w:r>
      <w:r w:rsidR="007E3FFC">
        <w:rPr>
          <w:rFonts w:hint="eastAsia"/>
        </w:rPr>
        <w:t>之</w:t>
      </w:r>
      <w:r w:rsidR="007E3FFC" w:rsidRPr="007E3FFC">
        <w:rPr>
          <w:rFonts w:hint="eastAsia"/>
        </w:rPr>
        <w:t>規範效力，</w:t>
      </w:r>
      <w:r w:rsidR="0058625C">
        <w:rPr>
          <w:rFonts w:hint="eastAsia"/>
        </w:rPr>
        <w:t>雖認為：「警察勤務條例……除有組織法性質外，實兼具行為法之功能」，但為避免誤解，</w:t>
      </w:r>
      <w:r w:rsidR="00193E2F">
        <w:rPr>
          <w:rFonts w:hint="eastAsia"/>
        </w:rPr>
        <w:t>如為健全</w:t>
      </w:r>
      <w:r w:rsidR="0058625C">
        <w:rPr>
          <w:rFonts w:hint="eastAsia"/>
        </w:rPr>
        <w:t>法制作業</w:t>
      </w:r>
      <w:r w:rsidR="00193E2F">
        <w:rPr>
          <w:rFonts w:hint="eastAsia"/>
        </w:rPr>
        <w:t>，</w:t>
      </w:r>
      <w:r w:rsidR="0058625C">
        <w:rPr>
          <w:rFonts w:hint="eastAsia"/>
        </w:rPr>
        <w:t>仍有區分組織法與作用法之必要。</w:t>
      </w:r>
      <w:r w:rsidR="00811B5F">
        <w:rPr>
          <w:rFonts w:hint="eastAsia"/>
        </w:rPr>
        <w:t>「</w:t>
      </w:r>
      <w:r w:rsidR="0058625C">
        <w:rPr>
          <w:rFonts w:hint="eastAsia"/>
        </w:rPr>
        <w:t>法院組織法</w:t>
      </w:r>
      <w:r w:rsidR="00811B5F">
        <w:rPr>
          <w:rFonts w:hint="eastAsia"/>
        </w:rPr>
        <w:t>」</w:t>
      </w:r>
      <w:r w:rsidR="001C78CD">
        <w:rPr>
          <w:rFonts w:hint="eastAsia"/>
        </w:rPr>
        <w:t>規範司法審判機關之組織、權限、職掌</w:t>
      </w:r>
      <w:r w:rsidR="004E5F5E">
        <w:rPr>
          <w:rFonts w:hint="eastAsia"/>
        </w:rPr>
        <w:t>及</w:t>
      </w:r>
      <w:r w:rsidR="001C78CD">
        <w:rPr>
          <w:rFonts w:hint="eastAsia"/>
        </w:rPr>
        <w:t>所屬公務員職稱、官職等及員額等</w:t>
      </w:r>
      <w:r w:rsidR="004E5F5E">
        <w:rPr>
          <w:rFonts w:hint="eastAsia"/>
        </w:rPr>
        <w:t>事項</w:t>
      </w:r>
      <w:r w:rsidR="001C78CD">
        <w:rPr>
          <w:rFonts w:hint="eastAsia"/>
        </w:rPr>
        <w:t>，屬組織法</w:t>
      </w:r>
      <w:r w:rsidR="004E5F5E">
        <w:rPr>
          <w:rFonts w:hint="eastAsia"/>
        </w:rPr>
        <w:t>性質</w:t>
      </w:r>
      <w:r w:rsidR="001C78CD">
        <w:rPr>
          <w:rFonts w:hint="eastAsia"/>
        </w:rPr>
        <w:t>。該法如增訂</w:t>
      </w:r>
      <w:r w:rsidR="00811B5F">
        <w:rPr>
          <w:rFonts w:hint="eastAsia"/>
        </w:rPr>
        <w:t>涉及人民權益之安全檢查等作</w:t>
      </w:r>
      <w:r w:rsidR="00811B5F">
        <w:rPr>
          <w:rFonts w:hint="eastAsia"/>
        </w:rPr>
        <w:lastRenderedPageBreak/>
        <w:t>用法，似不</w:t>
      </w:r>
      <w:r w:rsidR="0043737C">
        <w:rPr>
          <w:rFonts w:hint="eastAsia"/>
        </w:rPr>
        <w:t>符</w:t>
      </w:r>
      <w:r w:rsidR="00811B5F">
        <w:rPr>
          <w:rFonts w:hint="eastAsia"/>
        </w:rPr>
        <w:t>合</w:t>
      </w:r>
      <w:r w:rsidR="00395641" w:rsidRPr="00395641">
        <w:rPr>
          <w:rFonts w:hint="eastAsia"/>
        </w:rPr>
        <w:t>組織法</w:t>
      </w:r>
      <w:r w:rsidR="0043737C">
        <w:rPr>
          <w:rFonts w:hint="eastAsia"/>
        </w:rPr>
        <w:t>與</w:t>
      </w:r>
      <w:r w:rsidR="00395641" w:rsidRPr="00395641">
        <w:rPr>
          <w:rFonts w:hint="eastAsia"/>
        </w:rPr>
        <w:t>作用法分</w:t>
      </w:r>
      <w:r w:rsidR="00193E2F">
        <w:rPr>
          <w:rFonts w:hint="eastAsia"/>
        </w:rPr>
        <w:t>別訂</w:t>
      </w:r>
      <w:r w:rsidR="00395641" w:rsidRPr="00395641">
        <w:rPr>
          <w:rFonts w:hint="eastAsia"/>
        </w:rPr>
        <w:t>立</w:t>
      </w:r>
      <w:r w:rsidR="00395641">
        <w:rPr>
          <w:rFonts w:hint="eastAsia"/>
        </w:rPr>
        <w:t>之</w:t>
      </w:r>
      <w:r w:rsidR="00193E2F">
        <w:rPr>
          <w:rFonts w:hint="eastAsia"/>
        </w:rPr>
        <w:t>理想</w:t>
      </w:r>
      <w:r w:rsidR="00811B5F">
        <w:rPr>
          <w:rFonts w:hint="eastAsia"/>
        </w:rPr>
        <w:t>法制</w:t>
      </w:r>
      <w:r w:rsidR="00D93FC7">
        <w:rPr>
          <w:rFonts w:hint="eastAsia"/>
        </w:rPr>
        <w:t>作業</w:t>
      </w:r>
      <w:r w:rsidR="00193E2F">
        <w:rPr>
          <w:rFonts w:hint="eastAsia"/>
        </w:rPr>
        <w:t>之做法</w:t>
      </w:r>
      <w:r w:rsidR="00811B5F">
        <w:rPr>
          <w:rFonts w:hint="eastAsia"/>
        </w:rPr>
        <w:t>。司法院雖表示德國</w:t>
      </w:r>
      <w:r w:rsidR="009B7CE4">
        <w:rPr>
          <w:rFonts w:hint="eastAsia"/>
        </w:rPr>
        <w:t>「警察任務與職權法」、「聯邦國境保護法」等法例中</w:t>
      </w:r>
      <w:r w:rsidR="00D93FC7">
        <w:rPr>
          <w:rFonts w:hint="eastAsia"/>
        </w:rPr>
        <w:t>，亦</w:t>
      </w:r>
      <w:r w:rsidR="009B7CE4">
        <w:rPr>
          <w:rFonts w:hint="eastAsia"/>
        </w:rPr>
        <w:t>可見組織法與作用法併同規定之方式</w:t>
      </w:r>
      <w:r w:rsidR="009443A1">
        <w:rPr>
          <w:rFonts w:hint="eastAsia"/>
        </w:rPr>
        <w:t>等語</w:t>
      </w:r>
      <w:r w:rsidR="00933013">
        <w:rPr>
          <w:rStyle w:val="af8"/>
        </w:rPr>
        <w:footnoteReference w:id="18"/>
      </w:r>
      <w:r w:rsidR="0043737C">
        <w:rPr>
          <w:rFonts w:hint="eastAsia"/>
        </w:rPr>
        <w:t>，惟上開立法例與本件司法院擬在法院組織法中增訂單一之作用法條款，仍有不同</w:t>
      </w:r>
      <w:r w:rsidR="00193E2F">
        <w:rPr>
          <w:rFonts w:hint="eastAsia"/>
        </w:rPr>
        <w:t>。</w:t>
      </w:r>
      <w:r w:rsidR="001C78CD">
        <w:rPr>
          <w:rFonts w:hint="eastAsia"/>
        </w:rPr>
        <w:t>惟考量</w:t>
      </w:r>
      <w:r w:rsidR="004E5F5E">
        <w:rPr>
          <w:rFonts w:hint="eastAsia"/>
        </w:rPr>
        <w:t>我國現行法律</w:t>
      </w:r>
      <w:r w:rsidR="007E3FFC">
        <w:rPr>
          <w:rFonts w:hint="eastAsia"/>
        </w:rPr>
        <w:t>中，</w:t>
      </w:r>
      <w:r w:rsidR="004E5F5E">
        <w:rPr>
          <w:rFonts w:hint="eastAsia"/>
        </w:rPr>
        <w:t>僅法院組織法設有法警規定</w:t>
      </w:r>
      <w:r w:rsidR="00D93FC7" w:rsidRPr="00D93FC7">
        <w:rPr>
          <w:rFonts w:hint="eastAsia"/>
        </w:rPr>
        <w:t>，</w:t>
      </w:r>
      <w:r w:rsidR="004E5F5E">
        <w:rPr>
          <w:rFonts w:hint="eastAsia"/>
        </w:rPr>
        <w:t>司法院於</w:t>
      </w:r>
      <w:r w:rsidR="009443A1">
        <w:rPr>
          <w:rFonts w:hint="eastAsia"/>
        </w:rPr>
        <w:t>該</w:t>
      </w:r>
      <w:r w:rsidR="004E5F5E">
        <w:rPr>
          <w:rFonts w:hint="eastAsia"/>
        </w:rPr>
        <w:t>法增訂</w:t>
      </w:r>
      <w:r w:rsidR="007E3FFC">
        <w:rPr>
          <w:rFonts w:hint="eastAsia"/>
        </w:rPr>
        <w:t>法警對進</w:t>
      </w:r>
      <w:r w:rsidR="00C30B8E">
        <w:rPr>
          <w:rFonts w:hint="eastAsia"/>
        </w:rPr>
        <w:t>出</w:t>
      </w:r>
      <w:r w:rsidR="007E3FFC">
        <w:rPr>
          <w:rFonts w:hint="eastAsia"/>
        </w:rPr>
        <w:t>法院人員為</w:t>
      </w:r>
      <w:r w:rsidR="004E5F5E">
        <w:rPr>
          <w:rFonts w:hint="eastAsia"/>
        </w:rPr>
        <w:t>安全檢查</w:t>
      </w:r>
      <w:r w:rsidR="007E3FFC">
        <w:rPr>
          <w:rFonts w:hint="eastAsia"/>
        </w:rPr>
        <w:t>，並授權司法院訂定相關規則</w:t>
      </w:r>
      <w:r w:rsidR="004E5F5E">
        <w:rPr>
          <w:rFonts w:hint="eastAsia"/>
        </w:rPr>
        <w:t>，仍</w:t>
      </w:r>
      <w:r w:rsidR="00D93FC7" w:rsidRPr="00D93FC7">
        <w:rPr>
          <w:rFonts w:hint="eastAsia"/>
        </w:rPr>
        <w:t>有助於完備法庭安全維護</w:t>
      </w:r>
      <w:r w:rsidR="007E3FFC">
        <w:rPr>
          <w:rFonts w:hint="eastAsia"/>
        </w:rPr>
        <w:t>之法制</w:t>
      </w:r>
      <w:r w:rsidR="00B81D3D">
        <w:rPr>
          <w:rFonts w:hint="eastAsia"/>
        </w:rPr>
        <w:t>。該院表示將一併調整法警之職等及職缺，修正草案將會銜考試院，</w:t>
      </w:r>
      <w:r w:rsidR="0019576C">
        <w:rPr>
          <w:rFonts w:hint="eastAsia"/>
        </w:rPr>
        <w:t>儘</w:t>
      </w:r>
      <w:r w:rsidR="00B81D3D">
        <w:rPr>
          <w:rFonts w:hint="eastAsia"/>
        </w:rPr>
        <w:t>速完成法制作業等語</w:t>
      </w:r>
      <w:r w:rsidR="00D93FC7" w:rsidRPr="00D93FC7">
        <w:rPr>
          <w:rFonts w:hint="eastAsia"/>
        </w:rPr>
        <w:t>，</w:t>
      </w:r>
      <w:r w:rsidR="00193E2F">
        <w:rPr>
          <w:rFonts w:hint="eastAsia"/>
        </w:rPr>
        <w:t>自</w:t>
      </w:r>
      <w:r w:rsidR="007E3FFC" w:rsidRPr="007E3FFC">
        <w:rPr>
          <w:rFonts w:hint="eastAsia"/>
        </w:rPr>
        <w:t>應儘速推動</w:t>
      </w:r>
      <w:r w:rsidR="00193E2F">
        <w:rPr>
          <w:rFonts w:hint="eastAsia"/>
        </w:rPr>
        <w:t>該項</w:t>
      </w:r>
      <w:r w:rsidR="00E92314">
        <w:rPr>
          <w:rFonts w:hint="eastAsia"/>
        </w:rPr>
        <w:t>修</w:t>
      </w:r>
      <w:r w:rsidR="007E3FFC" w:rsidRPr="007E3FFC">
        <w:rPr>
          <w:rFonts w:hint="eastAsia"/>
        </w:rPr>
        <w:t>法</w:t>
      </w:r>
      <w:r w:rsidR="00193E2F">
        <w:rPr>
          <w:rFonts w:hint="eastAsia"/>
        </w:rPr>
        <w:t>，促使落實</w:t>
      </w:r>
      <w:r w:rsidR="007E3FFC" w:rsidRPr="007E3FFC">
        <w:rPr>
          <w:rFonts w:hint="eastAsia"/>
        </w:rPr>
        <w:t>完成</w:t>
      </w:r>
      <w:r w:rsidR="00193E2F">
        <w:rPr>
          <w:rFonts w:hint="eastAsia"/>
        </w:rPr>
        <w:t>，俾進入法庭之維安搜身有所準據</w:t>
      </w:r>
      <w:r w:rsidR="004E5F5E">
        <w:rPr>
          <w:rFonts w:hint="eastAsia"/>
        </w:rPr>
        <w:t>。</w:t>
      </w:r>
    </w:p>
    <w:p w:rsidR="00825E8D" w:rsidRPr="004A1B56" w:rsidRDefault="00825E8D" w:rsidP="00825E8D">
      <w:pPr>
        <w:pStyle w:val="1"/>
        <w:ind w:left="2380" w:hanging="2380"/>
      </w:pPr>
      <w:r w:rsidRPr="004A1B56">
        <w:br w:type="page"/>
      </w:r>
      <w:bookmarkStart w:id="24" w:name="_Toc529222689"/>
      <w:bookmarkStart w:id="25" w:name="_Toc529223111"/>
      <w:bookmarkStart w:id="26" w:name="_Toc529223862"/>
      <w:bookmarkStart w:id="27" w:name="_Toc529228265"/>
      <w:bookmarkStart w:id="28" w:name="_Toc2400395"/>
      <w:bookmarkStart w:id="29" w:name="_Toc4316189"/>
      <w:bookmarkStart w:id="30" w:name="_Toc4473330"/>
      <w:bookmarkStart w:id="31" w:name="_Toc69556897"/>
      <w:bookmarkStart w:id="32" w:name="_Toc69556946"/>
      <w:bookmarkStart w:id="33" w:name="_Toc69609820"/>
      <w:bookmarkStart w:id="34" w:name="_Toc70241816"/>
      <w:bookmarkStart w:id="35" w:name="_Toc70242205"/>
      <w:r w:rsidRPr="004A1B56">
        <w:rPr>
          <w:rFonts w:hint="eastAsia"/>
        </w:rPr>
        <w:lastRenderedPageBreak/>
        <w:t>處理辦法：</w:t>
      </w:r>
      <w:bookmarkEnd w:id="24"/>
      <w:bookmarkEnd w:id="25"/>
      <w:bookmarkEnd w:id="26"/>
      <w:bookmarkEnd w:id="27"/>
      <w:bookmarkEnd w:id="28"/>
      <w:bookmarkEnd w:id="29"/>
      <w:bookmarkEnd w:id="30"/>
      <w:bookmarkEnd w:id="31"/>
      <w:bookmarkEnd w:id="32"/>
      <w:bookmarkEnd w:id="33"/>
      <w:bookmarkEnd w:id="34"/>
      <w:bookmarkEnd w:id="35"/>
    </w:p>
    <w:p w:rsidR="00825E8D" w:rsidRPr="004A1B56" w:rsidRDefault="00825E8D" w:rsidP="00825E8D">
      <w:pPr>
        <w:pStyle w:val="2"/>
        <w:ind w:left="1020" w:hanging="680"/>
      </w:pPr>
      <w:bookmarkStart w:id="36" w:name="_Toc524895649"/>
      <w:bookmarkStart w:id="37" w:name="_Toc524896195"/>
      <w:bookmarkStart w:id="38" w:name="_Toc524896225"/>
      <w:bookmarkStart w:id="39" w:name="_Toc2400396"/>
      <w:bookmarkStart w:id="40" w:name="_Toc4316190"/>
      <w:bookmarkStart w:id="41" w:name="_Toc4473331"/>
      <w:bookmarkStart w:id="42" w:name="_Toc69556898"/>
      <w:bookmarkStart w:id="43" w:name="_Toc69556947"/>
      <w:bookmarkStart w:id="44" w:name="_Toc69609821"/>
      <w:bookmarkStart w:id="45" w:name="_Toc70241817"/>
      <w:bookmarkStart w:id="46" w:name="_Toc70242206"/>
      <w:bookmarkStart w:id="47" w:name="_Toc524902735"/>
      <w:bookmarkStart w:id="48" w:name="_Toc525066149"/>
      <w:bookmarkStart w:id="49" w:name="_Toc525070840"/>
      <w:bookmarkStart w:id="50" w:name="_Toc525938380"/>
      <w:bookmarkStart w:id="51" w:name="_Toc525939228"/>
      <w:bookmarkStart w:id="52" w:name="_Toc525939733"/>
      <w:bookmarkStart w:id="53" w:name="_Toc529218273"/>
      <w:bookmarkStart w:id="54" w:name="_Toc529222690"/>
      <w:bookmarkStart w:id="55" w:name="_Toc529223112"/>
      <w:bookmarkStart w:id="56" w:name="_Toc529223863"/>
      <w:bookmarkStart w:id="57" w:name="_Toc529228266"/>
      <w:bookmarkEnd w:id="36"/>
      <w:bookmarkEnd w:id="37"/>
      <w:bookmarkEnd w:id="38"/>
      <w:r w:rsidRPr="004A1B56">
        <w:rPr>
          <w:rFonts w:hint="eastAsia"/>
        </w:rPr>
        <w:t>調查意見</w:t>
      </w:r>
      <w:r w:rsidR="00203419">
        <w:rPr>
          <w:rFonts w:hint="eastAsia"/>
        </w:rPr>
        <w:t>一</w:t>
      </w:r>
      <w:r w:rsidRPr="004A1B56">
        <w:rPr>
          <w:rFonts w:hint="eastAsia"/>
        </w:rPr>
        <w:t>，函請司法院</w:t>
      </w:r>
      <w:r w:rsidR="00203419">
        <w:rPr>
          <w:rFonts w:hint="eastAsia"/>
        </w:rPr>
        <w:t>參考</w:t>
      </w:r>
      <w:r w:rsidR="004C3AF0">
        <w:rPr>
          <w:rFonts w:hint="eastAsia"/>
        </w:rPr>
        <w:t>；</w:t>
      </w:r>
      <w:r w:rsidR="00203419">
        <w:rPr>
          <w:rFonts w:hint="eastAsia"/>
        </w:rPr>
        <w:t>調查意見二至五，函請</w:t>
      </w:r>
      <w:r w:rsidR="004C3AF0">
        <w:rPr>
          <w:rFonts w:hint="eastAsia"/>
        </w:rPr>
        <w:t>該</w:t>
      </w:r>
      <w:r w:rsidR="00203419">
        <w:rPr>
          <w:rFonts w:hint="eastAsia"/>
        </w:rPr>
        <w:t>院</w:t>
      </w:r>
      <w:r w:rsidRPr="004A1B56">
        <w:rPr>
          <w:rFonts w:hint="eastAsia"/>
        </w:rPr>
        <w:t>確實檢討改進見復。</w:t>
      </w:r>
      <w:bookmarkEnd w:id="39"/>
      <w:bookmarkEnd w:id="40"/>
      <w:bookmarkEnd w:id="41"/>
      <w:bookmarkEnd w:id="42"/>
      <w:bookmarkEnd w:id="43"/>
      <w:bookmarkEnd w:id="44"/>
      <w:bookmarkEnd w:id="45"/>
      <w:bookmarkEnd w:id="46"/>
    </w:p>
    <w:p w:rsidR="00EF742F" w:rsidRPr="00EF742F" w:rsidRDefault="00825E8D" w:rsidP="00EF742F">
      <w:pPr>
        <w:pStyle w:val="2"/>
        <w:ind w:left="1020" w:hanging="680"/>
        <w:rPr>
          <w:rFonts w:ascii="Times New Roman"/>
          <w:b/>
          <w:bCs w:val="0"/>
          <w:sz w:val="40"/>
        </w:rPr>
      </w:pPr>
      <w:bookmarkStart w:id="58" w:name="_Toc70241818"/>
      <w:bookmarkStart w:id="59" w:name="_Toc70242207"/>
      <w:bookmarkStart w:id="60" w:name="_Toc69556899"/>
      <w:bookmarkStart w:id="61" w:name="_Toc69556948"/>
      <w:bookmarkStart w:id="62" w:name="_Toc69609822"/>
      <w:r w:rsidRPr="004A1B56">
        <w:rPr>
          <w:rFonts w:hint="eastAsia"/>
        </w:rPr>
        <w:t>調查意見</w:t>
      </w:r>
      <w:r w:rsidR="00BE1E31" w:rsidRPr="004A1B56">
        <w:rPr>
          <w:rFonts w:hint="eastAsia"/>
        </w:rPr>
        <w:t>一、</w:t>
      </w:r>
      <w:r w:rsidRPr="004A1B56">
        <w:rPr>
          <w:rFonts w:hint="eastAsia"/>
        </w:rPr>
        <w:t>三</w:t>
      </w:r>
      <w:r w:rsidR="00BB4CBC" w:rsidRPr="004A1B56">
        <w:rPr>
          <w:rFonts w:hint="eastAsia"/>
        </w:rPr>
        <w:t>及</w:t>
      </w:r>
      <w:r w:rsidRPr="004A1B56">
        <w:rPr>
          <w:rFonts w:hint="eastAsia"/>
        </w:rPr>
        <w:t>四，函請臺灣彰化地方法院</w:t>
      </w:r>
      <w:r w:rsidR="00BE1E31" w:rsidRPr="004A1B56">
        <w:rPr>
          <w:rFonts w:hint="eastAsia"/>
        </w:rPr>
        <w:t>確實檢討改進</w:t>
      </w:r>
      <w:r w:rsidRPr="004A1B56">
        <w:rPr>
          <w:rFonts w:hint="eastAsia"/>
        </w:rPr>
        <w:t>見復。</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EF742F" w:rsidRDefault="00EF742F" w:rsidP="00EF742F">
      <w:pPr>
        <w:pStyle w:val="2"/>
        <w:numPr>
          <w:ilvl w:val="0"/>
          <w:numId w:val="0"/>
        </w:numPr>
        <w:spacing w:line="660" w:lineRule="exact"/>
        <w:ind w:left="1021"/>
        <w:rPr>
          <w:spacing w:val="12"/>
          <w:sz w:val="36"/>
          <w:szCs w:val="36"/>
        </w:rPr>
      </w:pPr>
      <w:r>
        <w:rPr>
          <w:rFonts w:hint="eastAsia"/>
        </w:rPr>
        <w:t xml:space="preserve">              </w:t>
      </w:r>
      <w:r w:rsidR="00C23B55">
        <w:rPr>
          <w:rFonts w:hint="eastAsia"/>
        </w:rPr>
        <w:t xml:space="preserve">               </w:t>
      </w:r>
      <w:r w:rsidR="00825E8D" w:rsidRPr="00EF742F">
        <w:rPr>
          <w:rFonts w:hint="eastAsia"/>
          <w:spacing w:val="12"/>
          <w:sz w:val="36"/>
          <w:szCs w:val="36"/>
        </w:rPr>
        <w:t>調查委員：</w:t>
      </w:r>
      <w:r w:rsidRPr="00EF742F">
        <w:rPr>
          <w:rFonts w:hint="eastAsia"/>
          <w:spacing w:val="12"/>
          <w:sz w:val="36"/>
          <w:szCs w:val="36"/>
        </w:rPr>
        <w:t>林雅鋒</w:t>
      </w:r>
    </w:p>
    <w:p w:rsidR="00EF742F" w:rsidRPr="00EF742F" w:rsidRDefault="00EF742F" w:rsidP="00EF742F">
      <w:pPr>
        <w:pStyle w:val="2"/>
        <w:numPr>
          <w:ilvl w:val="0"/>
          <w:numId w:val="0"/>
        </w:numPr>
        <w:spacing w:line="660" w:lineRule="exact"/>
        <w:ind w:left="1021"/>
        <w:rPr>
          <w:rFonts w:ascii="Times New Roman"/>
          <w:b/>
          <w:bCs w:val="0"/>
          <w:sz w:val="36"/>
          <w:szCs w:val="36"/>
        </w:rPr>
      </w:pPr>
      <w:r w:rsidRPr="00EF742F">
        <w:rPr>
          <w:rFonts w:hint="eastAsia"/>
          <w:spacing w:val="12"/>
          <w:sz w:val="36"/>
          <w:szCs w:val="36"/>
        </w:rPr>
        <w:t xml:space="preserve">                    </w:t>
      </w:r>
      <w:r>
        <w:rPr>
          <w:rFonts w:hint="eastAsia"/>
          <w:spacing w:val="12"/>
          <w:sz w:val="36"/>
          <w:szCs w:val="36"/>
        </w:rPr>
        <w:t xml:space="preserve"> </w:t>
      </w:r>
      <w:r w:rsidR="00C23B55">
        <w:rPr>
          <w:rFonts w:hint="eastAsia"/>
          <w:spacing w:val="12"/>
          <w:sz w:val="36"/>
          <w:szCs w:val="36"/>
        </w:rPr>
        <w:t xml:space="preserve">            </w:t>
      </w:r>
      <w:r w:rsidRPr="00EF742F">
        <w:rPr>
          <w:rFonts w:hint="eastAsia"/>
          <w:spacing w:val="12"/>
          <w:sz w:val="36"/>
          <w:szCs w:val="36"/>
        </w:rPr>
        <w:t>楊美鈴</w:t>
      </w:r>
    </w:p>
    <w:p w:rsidR="00825E8D" w:rsidRPr="00EF742F" w:rsidRDefault="00825E8D" w:rsidP="00EF742F">
      <w:pPr>
        <w:pStyle w:val="a6"/>
        <w:kinsoku w:val="0"/>
        <w:spacing w:before="0" w:after="0" w:line="660" w:lineRule="exact"/>
        <w:ind w:leftChars="1100" w:left="3742" w:firstLineChars="500" w:firstLine="2021"/>
        <w:jc w:val="both"/>
        <w:rPr>
          <w:b w:val="0"/>
          <w:bCs/>
          <w:snapToGrid/>
          <w:spacing w:val="12"/>
          <w:kern w:val="0"/>
          <w:szCs w:val="36"/>
        </w:rPr>
      </w:pPr>
    </w:p>
    <w:p w:rsidR="00825E8D" w:rsidRPr="004A1B56" w:rsidRDefault="00825E8D" w:rsidP="00825E8D">
      <w:pPr>
        <w:pStyle w:val="a6"/>
        <w:kinsoku w:val="0"/>
        <w:spacing w:before="0" w:after="0"/>
        <w:ind w:leftChars="1100" w:left="3742" w:firstLineChars="500" w:firstLine="2021"/>
        <w:jc w:val="both"/>
        <w:rPr>
          <w:b w:val="0"/>
          <w:bCs/>
          <w:snapToGrid/>
          <w:spacing w:val="12"/>
          <w:kern w:val="0"/>
        </w:rPr>
      </w:pPr>
    </w:p>
    <w:p w:rsidR="00BB4CBC" w:rsidRPr="004A1B56" w:rsidRDefault="00BB4CBC" w:rsidP="00825E8D">
      <w:pPr>
        <w:pStyle w:val="a6"/>
        <w:kinsoku w:val="0"/>
        <w:spacing w:before="0" w:after="0"/>
        <w:ind w:leftChars="1100" w:left="3742" w:firstLineChars="500" w:firstLine="2021"/>
        <w:jc w:val="both"/>
        <w:rPr>
          <w:b w:val="0"/>
          <w:bCs/>
          <w:snapToGrid/>
          <w:spacing w:val="12"/>
          <w:kern w:val="0"/>
        </w:rPr>
      </w:pPr>
    </w:p>
    <w:p w:rsidR="00BB4CBC" w:rsidRPr="004A1B56" w:rsidRDefault="00BB4CBC" w:rsidP="00825E8D">
      <w:pPr>
        <w:pStyle w:val="a6"/>
        <w:kinsoku w:val="0"/>
        <w:spacing w:before="0" w:after="0"/>
        <w:ind w:leftChars="1100" w:left="3742" w:firstLineChars="500" w:firstLine="2021"/>
        <w:jc w:val="both"/>
        <w:rPr>
          <w:b w:val="0"/>
          <w:bCs/>
          <w:snapToGrid/>
          <w:spacing w:val="12"/>
          <w:kern w:val="0"/>
        </w:rPr>
      </w:pPr>
    </w:p>
    <w:p w:rsidR="00BB4CBC" w:rsidRPr="004A1B56" w:rsidRDefault="00BB4CBC" w:rsidP="00825E8D">
      <w:pPr>
        <w:pStyle w:val="a6"/>
        <w:kinsoku w:val="0"/>
        <w:spacing w:before="0" w:after="0"/>
        <w:ind w:leftChars="1100" w:left="3742" w:firstLineChars="500" w:firstLine="2021"/>
        <w:jc w:val="both"/>
        <w:rPr>
          <w:b w:val="0"/>
          <w:bCs/>
          <w:snapToGrid/>
          <w:spacing w:val="12"/>
          <w:kern w:val="0"/>
        </w:rPr>
      </w:pPr>
    </w:p>
    <w:p w:rsidR="00BB4CBC" w:rsidRPr="004A1B56" w:rsidRDefault="00BB4CBC" w:rsidP="00825E8D">
      <w:pPr>
        <w:pStyle w:val="a6"/>
        <w:kinsoku w:val="0"/>
        <w:spacing w:before="0" w:after="0"/>
        <w:ind w:leftChars="1100" w:left="3742" w:firstLineChars="500" w:firstLine="2021"/>
        <w:jc w:val="both"/>
        <w:rPr>
          <w:b w:val="0"/>
          <w:bCs/>
          <w:snapToGrid/>
          <w:spacing w:val="12"/>
          <w:kern w:val="0"/>
        </w:rPr>
      </w:pPr>
    </w:p>
    <w:p w:rsidR="00825E8D" w:rsidRPr="004A1B56" w:rsidRDefault="00825E8D" w:rsidP="00825E8D">
      <w:pPr>
        <w:pStyle w:val="a6"/>
        <w:kinsoku w:val="0"/>
        <w:spacing w:before="0" w:after="0"/>
        <w:ind w:leftChars="1100" w:left="3742" w:firstLineChars="500" w:firstLine="2021"/>
        <w:jc w:val="both"/>
        <w:rPr>
          <w:b w:val="0"/>
          <w:bCs/>
          <w:snapToGrid/>
          <w:spacing w:val="12"/>
          <w:kern w:val="0"/>
        </w:rPr>
      </w:pPr>
    </w:p>
    <w:p w:rsidR="00E37A92" w:rsidRPr="004A1B56" w:rsidRDefault="00E30441" w:rsidP="00E30441">
      <w:pPr>
        <w:pStyle w:val="a0"/>
        <w:numPr>
          <w:ilvl w:val="0"/>
          <w:numId w:val="0"/>
        </w:numPr>
      </w:pPr>
      <w:r w:rsidRPr="004A1B56">
        <w:rPr>
          <w:rFonts w:hint="eastAsia"/>
        </w:rPr>
        <w:lastRenderedPageBreak/>
        <w:t>附表：</w:t>
      </w:r>
      <w:r w:rsidR="00E37A92" w:rsidRPr="004A1B56">
        <w:rPr>
          <w:rFonts w:hint="eastAsia"/>
        </w:rPr>
        <w:t>各法院安檢設備</w:t>
      </w:r>
    </w:p>
    <w:tbl>
      <w:tblPr>
        <w:tblW w:w="13777" w:type="dxa"/>
        <w:tblCellMar>
          <w:left w:w="28" w:type="dxa"/>
          <w:right w:w="28" w:type="dxa"/>
        </w:tblCellMar>
        <w:tblLook w:val="04A0" w:firstRow="1" w:lastRow="0" w:firstColumn="1" w:lastColumn="0" w:noHBand="0" w:noVBand="1"/>
      </w:tblPr>
      <w:tblGrid>
        <w:gridCol w:w="1701"/>
        <w:gridCol w:w="1871"/>
        <w:gridCol w:w="3118"/>
        <w:gridCol w:w="2268"/>
        <w:gridCol w:w="1134"/>
        <w:gridCol w:w="3685"/>
      </w:tblGrid>
      <w:tr w:rsidR="004A1B56" w:rsidRPr="004A1B56" w:rsidTr="00D74FDD">
        <w:trPr>
          <w:trHeight w:val="454"/>
          <w:tblHeader/>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jc w:val="center"/>
              <w:rPr>
                <w:rFonts w:ascii="標楷體" w:hAnsi="標楷體"/>
                <w:sz w:val="24"/>
                <w:szCs w:val="24"/>
              </w:rPr>
            </w:pPr>
            <w:r w:rsidRPr="004A1B56">
              <w:rPr>
                <w:rFonts w:ascii="標楷體" w:hAnsi="標楷體" w:hint="eastAsia"/>
                <w:sz w:val="24"/>
                <w:szCs w:val="24"/>
              </w:rPr>
              <w:t>法院名稱</w:t>
            </w:r>
          </w:p>
        </w:tc>
        <w:tc>
          <w:tcPr>
            <w:tcW w:w="1871" w:type="dxa"/>
            <w:tcBorders>
              <w:top w:val="single" w:sz="4" w:space="0" w:color="auto"/>
              <w:left w:val="nil"/>
              <w:bottom w:val="single" w:sz="4" w:space="0" w:color="auto"/>
              <w:right w:val="single" w:sz="4" w:space="0" w:color="auto"/>
            </w:tcBorders>
            <w:shd w:val="clear" w:color="auto" w:fill="auto"/>
            <w:vAlign w:val="center"/>
            <w:hideMark/>
          </w:tcPr>
          <w:p w:rsidR="00E37A92" w:rsidRPr="004A1B56" w:rsidRDefault="00E37A92" w:rsidP="00D74FDD">
            <w:pPr>
              <w:jc w:val="center"/>
              <w:rPr>
                <w:rFonts w:ascii="標楷體" w:hAnsi="標楷體"/>
                <w:sz w:val="24"/>
                <w:szCs w:val="24"/>
              </w:rPr>
            </w:pPr>
            <w:r w:rsidRPr="004A1B56">
              <w:rPr>
                <w:rFonts w:ascii="標楷體" w:hAnsi="標楷體" w:hint="eastAsia"/>
                <w:sz w:val="24"/>
                <w:szCs w:val="24"/>
              </w:rPr>
              <w:t>X光行李檢查儀</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E37A92" w:rsidRPr="004A1B56" w:rsidRDefault="00E37A92" w:rsidP="00D74FDD">
            <w:pPr>
              <w:jc w:val="center"/>
              <w:rPr>
                <w:rFonts w:ascii="標楷體" w:hAnsi="標楷體"/>
                <w:sz w:val="24"/>
                <w:szCs w:val="24"/>
              </w:rPr>
            </w:pPr>
            <w:r w:rsidRPr="004A1B56">
              <w:rPr>
                <w:rFonts w:ascii="標楷體" w:hAnsi="標楷體" w:hint="eastAsia"/>
                <w:sz w:val="24"/>
                <w:szCs w:val="24"/>
              </w:rPr>
              <w:t>金屬探測門</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E37A92" w:rsidRPr="004A1B56" w:rsidRDefault="00E37A92" w:rsidP="00D74FDD">
            <w:pPr>
              <w:jc w:val="center"/>
              <w:rPr>
                <w:rFonts w:ascii="標楷體" w:hAnsi="標楷體"/>
                <w:sz w:val="24"/>
                <w:szCs w:val="24"/>
              </w:rPr>
            </w:pPr>
            <w:r w:rsidRPr="004A1B56">
              <w:rPr>
                <w:rFonts w:ascii="標楷體" w:hAnsi="標楷體" w:hint="eastAsia"/>
                <w:sz w:val="24"/>
                <w:szCs w:val="24"/>
              </w:rPr>
              <w:t>手持式金屬探測器</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E37A92" w:rsidRPr="004A1B56" w:rsidRDefault="00E37A92" w:rsidP="00D74FDD">
            <w:pPr>
              <w:jc w:val="center"/>
              <w:rPr>
                <w:rFonts w:ascii="標楷體" w:hAnsi="標楷體"/>
                <w:sz w:val="24"/>
                <w:szCs w:val="24"/>
              </w:rPr>
            </w:pPr>
            <w:r w:rsidRPr="004A1B56">
              <w:rPr>
                <w:rFonts w:ascii="標楷體" w:hAnsi="標楷體" w:hint="eastAsia"/>
                <w:sz w:val="24"/>
                <w:szCs w:val="24"/>
              </w:rPr>
              <w:t>監視系統</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E37A92" w:rsidRPr="004A1B56" w:rsidRDefault="00E37A92" w:rsidP="00D74FDD">
            <w:pPr>
              <w:jc w:val="center"/>
              <w:rPr>
                <w:rFonts w:ascii="標楷體" w:hAnsi="標楷體"/>
                <w:sz w:val="24"/>
                <w:szCs w:val="24"/>
              </w:rPr>
            </w:pPr>
            <w:r w:rsidRPr="004A1B56">
              <w:rPr>
                <w:rFonts w:ascii="標楷體" w:hAnsi="標楷體" w:hint="eastAsia"/>
                <w:sz w:val="24"/>
                <w:szCs w:val="24"/>
              </w:rPr>
              <w:t>無線電對講機</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最高法院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2台(1台使用中、1台備用)</w:t>
            </w:r>
            <w:r w:rsidRPr="004A1B56">
              <w:rPr>
                <w:rFonts w:ascii="標楷體" w:hAnsi="標楷體" w:hint="eastAsia"/>
                <w:sz w:val="24"/>
                <w:szCs w:val="24"/>
              </w:rPr>
              <w:br/>
              <w:t>(95年及102年購置)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3支</w:t>
            </w:r>
            <w:r w:rsidRPr="004A1B56">
              <w:rPr>
                <w:rFonts w:ascii="標楷體" w:hAnsi="標楷體" w:hint="eastAsia"/>
                <w:sz w:val="24"/>
                <w:szCs w:val="24"/>
              </w:rPr>
              <w:br/>
              <w:t>(81年購置)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6支(99年購置)</w:t>
            </w:r>
          </w:p>
        </w:tc>
      </w:tr>
      <w:tr w:rsidR="004A1B56" w:rsidRPr="004A1B56" w:rsidTr="00D74FDD">
        <w:trPr>
          <w:trHeight w:val="33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最高行政法院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4支(99年購置)</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臺北高等行政法院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3台</w:t>
            </w:r>
            <w:r w:rsidRPr="004A1B56">
              <w:rPr>
                <w:rFonts w:ascii="標楷體" w:hAnsi="標楷體" w:hint="eastAsia"/>
                <w:sz w:val="24"/>
                <w:szCs w:val="24"/>
              </w:rPr>
              <w:br/>
              <w:t>(103年6月購置)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6支</w:t>
            </w:r>
            <w:r w:rsidRPr="004A1B56">
              <w:rPr>
                <w:rFonts w:ascii="標楷體" w:hAnsi="標楷體" w:hint="eastAsia"/>
                <w:sz w:val="24"/>
                <w:szCs w:val="24"/>
              </w:rPr>
              <w:br/>
              <w:t>(已逾使用年限，堪用)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13支(103年9月購置)</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臺中高等行政法院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有(已逾使用年限，堪用)</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有(已逾使用年限，堪用)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有(汰換中)</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有(104年增購1台)</w:t>
            </w:r>
          </w:p>
        </w:tc>
      </w:tr>
      <w:tr w:rsidR="004A1B56" w:rsidRPr="004A1B56" w:rsidTr="00D74FDD">
        <w:trPr>
          <w:trHeight w:val="132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高雄高等行政法院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2台(1台使用中、1台備用)</w:t>
            </w:r>
            <w:r w:rsidRPr="004A1B56">
              <w:rPr>
                <w:rFonts w:ascii="標楷體" w:hAnsi="標楷體" w:hint="eastAsia"/>
                <w:sz w:val="24"/>
                <w:szCs w:val="24"/>
              </w:rPr>
              <w:br/>
              <w:t>(89年11月購置，堪用)</w:t>
            </w:r>
            <w:r w:rsidRPr="004A1B56">
              <w:rPr>
                <w:rFonts w:ascii="標楷體" w:hAnsi="標楷體" w:hint="eastAsia"/>
                <w:sz w:val="24"/>
                <w:szCs w:val="24"/>
              </w:rPr>
              <w:br/>
              <w:t>另台南庭1台95年4月購置，堪用)</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2支</w:t>
            </w:r>
            <w:r w:rsidRPr="004A1B56">
              <w:rPr>
                <w:rFonts w:ascii="標楷體" w:hAnsi="標楷體" w:hint="eastAsia"/>
                <w:sz w:val="24"/>
                <w:szCs w:val="24"/>
              </w:rPr>
              <w:br/>
              <w:t>(100年6月購置，已逾使用年限，堪用)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4支(89年12月購置，106年汰換)</w:t>
            </w:r>
            <w:r w:rsidRPr="004A1B56">
              <w:rPr>
                <w:rFonts w:ascii="標楷體" w:hAnsi="標楷體" w:hint="eastAsia"/>
                <w:sz w:val="24"/>
                <w:szCs w:val="24"/>
              </w:rPr>
              <w:br/>
              <w:t>5支(91年4月購置，106年汰換)</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智慧財產法院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3台</w:t>
            </w:r>
            <w:r w:rsidRPr="004A1B56">
              <w:rPr>
                <w:rFonts w:ascii="標楷體" w:hAnsi="標楷體" w:hint="eastAsia"/>
                <w:sz w:val="24"/>
                <w:szCs w:val="24"/>
              </w:rPr>
              <w:br/>
              <w:t>(103年購置)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1支</w:t>
            </w:r>
            <w:r w:rsidRPr="004A1B56">
              <w:rPr>
                <w:rFonts w:ascii="標楷體" w:hAnsi="標楷體" w:hint="eastAsia"/>
                <w:sz w:val="24"/>
                <w:szCs w:val="24"/>
              </w:rPr>
              <w:br/>
              <w:t>(已逾使用年限，堪用)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10支</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福建高等法院金門分院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(同金門地院及連江地院)</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2支</w:t>
            </w:r>
            <w:r w:rsidRPr="004A1B56">
              <w:rPr>
                <w:rFonts w:ascii="標楷體" w:hAnsi="標楷體" w:hint="eastAsia"/>
                <w:sz w:val="24"/>
                <w:szCs w:val="24"/>
              </w:rPr>
              <w:br/>
              <w:t>(105年購置)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無(因法警僅1人)</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福建金門地方法院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w:t>
            </w:r>
            <w:r w:rsidRPr="004A1B56">
              <w:rPr>
                <w:rFonts w:ascii="標楷體" w:hAnsi="標楷體" w:hint="eastAsia"/>
                <w:sz w:val="24"/>
                <w:szCs w:val="24"/>
              </w:rPr>
              <w:br/>
              <w:t>(84年11月購置，堪用)</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1支</w:t>
            </w:r>
            <w:r w:rsidRPr="004A1B56">
              <w:rPr>
                <w:rFonts w:ascii="標楷體" w:hAnsi="標楷體" w:hint="eastAsia"/>
                <w:sz w:val="24"/>
                <w:szCs w:val="24"/>
              </w:rPr>
              <w:br/>
              <w:t>(91年5月購置，堪用)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有(汰換中)</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有(分別於85年11月及88年6月購置，堪用)</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連江地院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w:t>
            </w:r>
            <w:r w:rsidRPr="004A1B56">
              <w:rPr>
                <w:rFonts w:ascii="標楷體" w:hAnsi="標楷體" w:hint="eastAsia"/>
                <w:sz w:val="24"/>
                <w:szCs w:val="24"/>
              </w:rPr>
              <w:br/>
              <w:t>(97年12月購置，堪用)</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2支</w:t>
            </w:r>
            <w:r w:rsidRPr="004A1B56">
              <w:rPr>
                <w:rFonts w:ascii="標楷體" w:hAnsi="標楷體" w:hint="eastAsia"/>
                <w:sz w:val="24"/>
                <w:szCs w:val="24"/>
              </w:rPr>
              <w:br/>
              <w:t>(購置日期不可考，堪用)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有(汰換中)</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r>
      <w:tr w:rsidR="004A1B56" w:rsidRPr="004A1B56" w:rsidTr="00D74FDD">
        <w:trPr>
          <w:trHeight w:val="9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lastRenderedPageBreak/>
              <w:t>高等法院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2台(92年10月及93年8月購置)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8台(分別於99年10月及100年11月購置)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10支(92年12月購置，堪用)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20支(82年6月購置)</w:t>
            </w:r>
            <w:r w:rsidRPr="004A1B56">
              <w:rPr>
                <w:rFonts w:ascii="標楷體" w:hAnsi="標楷體" w:hint="eastAsia"/>
                <w:sz w:val="24"/>
                <w:szCs w:val="24"/>
              </w:rPr>
              <w:br/>
              <w:t>20支(92年10月購置)</w:t>
            </w:r>
          </w:p>
        </w:tc>
      </w:tr>
      <w:tr w:rsidR="004A1B56" w:rsidRPr="004A1B56" w:rsidTr="00D74FDD">
        <w:trPr>
          <w:trHeight w:val="9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高等法院</w:t>
            </w:r>
            <w:r w:rsidR="00B570D6" w:rsidRPr="004A1B56">
              <w:rPr>
                <w:rFonts w:ascii="標楷體" w:hAnsi="標楷體"/>
                <w:sz w:val="24"/>
                <w:szCs w:val="24"/>
              </w:rPr>
              <w:br/>
            </w:r>
            <w:r w:rsidRPr="004A1B56">
              <w:rPr>
                <w:rFonts w:ascii="標楷體" w:hAnsi="標楷體" w:hint="eastAsia"/>
                <w:sz w:val="24"/>
                <w:szCs w:val="24"/>
              </w:rPr>
              <w:t>臺中分院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w:t>
            </w:r>
            <w:r w:rsidRPr="004A1B56">
              <w:rPr>
                <w:rFonts w:ascii="標楷體" w:hAnsi="標楷體" w:hint="eastAsia"/>
                <w:sz w:val="24"/>
                <w:szCs w:val="24"/>
              </w:rPr>
              <w:br/>
              <w:t>(97年購置)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5台</w:t>
            </w:r>
            <w:r w:rsidRPr="004A1B56">
              <w:rPr>
                <w:rFonts w:ascii="標楷體" w:hAnsi="標楷體" w:hint="eastAsia"/>
                <w:sz w:val="24"/>
                <w:szCs w:val="24"/>
              </w:rPr>
              <w:br/>
              <w:t>(4台於89年購置、1台於96年購置)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5支</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15支</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高等法院</w:t>
            </w:r>
            <w:r w:rsidR="00B570D6" w:rsidRPr="004A1B56">
              <w:rPr>
                <w:rFonts w:ascii="標楷體" w:hAnsi="標楷體"/>
                <w:sz w:val="24"/>
                <w:szCs w:val="24"/>
              </w:rPr>
              <w:br/>
            </w:r>
            <w:r w:rsidRPr="004A1B56">
              <w:rPr>
                <w:rFonts w:ascii="標楷體" w:hAnsi="標楷體" w:hint="eastAsia"/>
                <w:sz w:val="24"/>
                <w:szCs w:val="24"/>
              </w:rPr>
              <w:t>臺南分院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有(汰換中)</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r>
      <w:tr w:rsidR="004A1B56" w:rsidRPr="004A1B56" w:rsidTr="00D74FDD">
        <w:trPr>
          <w:trHeight w:val="9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高等法院</w:t>
            </w:r>
            <w:r w:rsidR="00B570D6" w:rsidRPr="004A1B56">
              <w:rPr>
                <w:rFonts w:ascii="標楷體" w:hAnsi="標楷體"/>
                <w:sz w:val="24"/>
                <w:szCs w:val="24"/>
              </w:rPr>
              <w:br/>
            </w:r>
            <w:r w:rsidRPr="004A1B56">
              <w:rPr>
                <w:rFonts w:ascii="標楷體" w:hAnsi="標楷體" w:hint="eastAsia"/>
                <w:sz w:val="24"/>
                <w:szCs w:val="24"/>
              </w:rPr>
              <w:t>高雄分院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5台，3台使用中</w:t>
            </w:r>
            <w:r w:rsidRPr="004A1B56">
              <w:rPr>
                <w:rFonts w:ascii="標楷體" w:hAnsi="標楷體" w:hint="eastAsia"/>
                <w:sz w:val="24"/>
                <w:szCs w:val="24"/>
              </w:rPr>
              <w:br/>
              <w:t>(4台於86年購置、1台於102年購置)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8支</w:t>
            </w:r>
            <w:r w:rsidRPr="004A1B56">
              <w:rPr>
                <w:rFonts w:ascii="標楷體" w:hAnsi="標楷體" w:hint="eastAsia"/>
                <w:sz w:val="24"/>
                <w:szCs w:val="24"/>
              </w:rPr>
              <w:br/>
              <w:t>(86年購置，堪用)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36支(90年購置，堪用)</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高等法院</w:t>
            </w:r>
            <w:r w:rsidR="00B570D6" w:rsidRPr="004A1B56">
              <w:rPr>
                <w:rFonts w:ascii="標楷體" w:hAnsi="標楷體"/>
                <w:sz w:val="24"/>
                <w:szCs w:val="24"/>
              </w:rPr>
              <w:br/>
            </w:r>
            <w:r w:rsidRPr="004A1B56">
              <w:rPr>
                <w:rFonts w:ascii="標楷體" w:hAnsi="標楷體" w:hint="eastAsia"/>
                <w:sz w:val="24"/>
                <w:szCs w:val="24"/>
              </w:rPr>
              <w:t>花蓮分院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2台</w:t>
            </w:r>
            <w:r w:rsidRPr="004A1B56">
              <w:rPr>
                <w:rFonts w:ascii="標楷體" w:hAnsi="標楷體" w:hint="eastAsia"/>
                <w:sz w:val="24"/>
                <w:szCs w:val="24"/>
              </w:rPr>
              <w:br/>
              <w:t>(已逾使用年限，堪用)</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臺北地院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1台(104年購置)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9台(1台已逾10年，堪用)</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16支(已逾使用年限，堪用)</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42支(已逾使用年限，堪用)</w:t>
            </w:r>
          </w:p>
        </w:tc>
      </w:tr>
      <w:tr w:rsidR="004A1B56" w:rsidRPr="004A1B56" w:rsidTr="00D74FDD">
        <w:trPr>
          <w:trHeight w:val="132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士林地院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1台(104年10月購置)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6台(於95年5月及12月購置、106年預計汰換6台)</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13支(102年9月購置)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37支(8台報廢留用，20支於98年10月、9支於96年12月購置，105年預計汰換9支)</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新北地院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w:t>
            </w:r>
            <w:r w:rsidRPr="004A1B56">
              <w:rPr>
                <w:rFonts w:ascii="標楷體" w:hAnsi="標楷體" w:hint="eastAsia"/>
                <w:sz w:val="24"/>
                <w:szCs w:val="24"/>
              </w:rPr>
              <w:br/>
              <w:t>(95年12月購置)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r w:rsidRPr="004A1B56">
              <w:rPr>
                <w:rFonts w:ascii="標楷體" w:hAnsi="標楷體" w:hint="eastAsia"/>
                <w:sz w:val="24"/>
                <w:szCs w:val="24"/>
              </w:rPr>
              <w:br/>
              <w:t>(95年購置)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r w:rsidRPr="004A1B56">
              <w:rPr>
                <w:rFonts w:ascii="標楷體" w:hAnsi="標楷體" w:hint="eastAsia"/>
                <w:sz w:val="24"/>
                <w:szCs w:val="24"/>
              </w:rPr>
              <w:br/>
              <w:t>(80年購置)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r>
      <w:tr w:rsidR="004A1B56" w:rsidRPr="004A1B56" w:rsidTr="00D74FDD">
        <w:trPr>
          <w:trHeight w:val="132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lastRenderedPageBreak/>
              <w:t>桃園地院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5台</w:t>
            </w:r>
            <w:r w:rsidRPr="004A1B56">
              <w:rPr>
                <w:rFonts w:ascii="標楷體" w:hAnsi="標楷體" w:hint="eastAsia"/>
                <w:sz w:val="24"/>
                <w:szCs w:val="24"/>
              </w:rPr>
              <w:br/>
              <w:t>(3台已逾使用年限)</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15支</w:t>
            </w:r>
            <w:r w:rsidRPr="004A1B56">
              <w:rPr>
                <w:rFonts w:ascii="標楷體" w:hAnsi="標楷體" w:hint="eastAsia"/>
                <w:sz w:val="24"/>
                <w:szCs w:val="24"/>
              </w:rPr>
              <w:br/>
              <w:t>(102年5月購置)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48支</w:t>
            </w:r>
            <w:r w:rsidRPr="004A1B56">
              <w:rPr>
                <w:rFonts w:ascii="標楷體" w:hAnsi="標楷體" w:hint="eastAsia"/>
                <w:sz w:val="24"/>
                <w:szCs w:val="24"/>
              </w:rPr>
              <w:br/>
              <w:t>(40支於101年12月購置，3支於103年2月購置，已逾使用年限，堪用)</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新竹地院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有-新設大樓</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有(103年購置)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r w:rsidRPr="004A1B56">
              <w:rPr>
                <w:rFonts w:ascii="標楷體" w:hAnsi="標楷體" w:hint="eastAsia"/>
                <w:sz w:val="24"/>
                <w:szCs w:val="24"/>
              </w:rPr>
              <w:br/>
              <w:t>(104年11月購置)</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苗栗地院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1台(96年12月購置)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2台</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4支</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23支</w:t>
            </w:r>
          </w:p>
        </w:tc>
      </w:tr>
      <w:tr w:rsidR="004A1B56" w:rsidRPr="004A1B56" w:rsidTr="00D74FDD">
        <w:trPr>
          <w:trHeight w:val="9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臺中地院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1台(損壞)</w:t>
            </w:r>
            <w:r w:rsidRPr="004A1B56">
              <w:rPr>
                <w:rFonts w:ascii="標楷體" w:hAnsi="標楷體" w:hint="eastAsia"/>
                <w:sz w:val="24"/>
                <w:szCs w:val="24"/>
              </w:rPr>
              <w:br/>
              <w:t>(95年7月購置-預計107年汰換)</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4台(已逾使用年限，堪用)</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33支</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135支</w:t>
            </w:r>
            <w:r w:rsidRPr="004A1B56">
              <w:rPr>
                <w:rFonts w:ascii="標楷體" w:hAnsi="標楷體" w:hint="eastAsia"/>
                <w:sz w:val="24"/>
                <w:szCs w:val="24"/>
              </w:rPr>
              <w:br/>
              <w:t>(其中10支於104年購置，其餘堪用)</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南投地院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有(105年新購3支)</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彰化地院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2台-新設大樓</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5台</w:t>
            </w:r>
            <w:r w:rsidRPr="004A1B56">
              <w:rPr>
                <w:rFonts w:ascii="標楷體" w:hAnsi="標楷體" w:hint="eastAsia"/>
                <w:sz w:val="24"/>
                <w:szCs w:val="24"/>
              </w:rPr>
              <w:br/>
              <w:t>(95年購置)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21支(90年購置)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45支</w:t>
            </w:r>
            <w:r w:rsidRPr="004A1B56">
              <w:rPr>
                <w:rFonts w:ascii="標楷體" w:hAnsi="標楷體" w:hint="eastAsia"/>
                <w:sz w:val="24"/>
                <w:szCs w:val="24"/>
              </w:rPr>
              <w:br/>
              <w:t>(105年購置)</w:t>
            </w:r>
          </w:p>
        </w:tc>
      </w:tr>
      <w:tr w:rsidR="004A1B56" w:rsidRPr="004A1B56" w:rsidTr="00D74FDD">
        <w:trPr>
          <w:trHeight w:val="132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雲林地院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4台(分別於94年、95年、99年及100年購置，2台已逾使用年限，堪用)</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15支(101年購置)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11支</w:t>
            </w:r>
            <w:r w:rsidRPr="004A1B56">
              <w:rPr>
                <w:rFonts w:ascii="標楷體" w:hAnsi="標楷體" w:hint="eastAsia"/>
                <w:sz w:val="24"/>
                <w:szCs w:val="24"/>
              </w:rPr>
              <w:br/>
              <w:t>(105年購置)</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嘉義地院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有(103年6月購置)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有(96年購置)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r w:rsidRPr="004A1B56">
              <w:rPr>
                <w:rFonts w:ascii="標楷體" w:hAnsi="標楷體" w:hint="eastAsia"/>
                <w:sz w:val="24"/>
                <w:szCs w:val="24"/>
              </w:rPr>
              <w:br/>
              <w:t>(96年購置)</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臺南地院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w:t>
            </w:r>
            <w:r w:rsidRPr="004A1B56">
              <w:rPr>
                <w:rFonts w:ascii="標楷體" w:hAnsi="標楷體" w:hint="eastAsia"/>
                <w:sz w:val="24"/>
                <w:szCs w:val="24"/>
              </w:rPr>
              <w:br/>
              <w:t>(98年11月購置)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7台(已逾使用年限)</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9支(已逾使用年限)</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65支</w:t>
            </w:r>
            <w:r w:rsidRPr="004A1B56">
              <w:rPr>
                <w:rFonts w:ascii="標楷體" w:hAnsi="標楷體" w:hint="eastAsia"/>
                <w:sz w:val="24"/>
                <w:szCs w:val="24"/>
              </w:rPr>
              <w:br/>
              <w:t>(103年購置)</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lastRenderedPageBreak/>
              <w:t>高雄地院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2台(98年及100年購置)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13支(已逾使用年限)</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58支</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屏東地院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7台(已逾使用年限)</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2支</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NA</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39支</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臺東地院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無(預計106年購置)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1台(101年10月購置)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5支(103年6月購置)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20支</w:t>
            </w:r>
            <w:r w:rsidRPr="004A1B56">
              <w:rPr>
                <w:rFonts w:ascii="標楷體" w:hAnsi="標楷體" w:hint="eastAsia"/>
                <w:sz w:val="24"/>
                <w:szCs w:val="24"/>
              </w:rPr>
              <w:br/>
              <w:t>(98年7月購置)</w:t>
            </w:r>
          </w:p>
        </w:tc>
      </w:tr>
      <w:tr w:rsidR="004A1B56" w:rsidRPr="004A1B56" w:rsidTr="00D74FDD">
        <w:trPr>
          <w:trHeight w:val="9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花蓮地院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5台(2台99年5月購置、3台95年3月購置)</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24支</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r>
      <w:tr w:rsidR="004A1B56" w:rsidRPr="004A1B56" w:rsidTr="00D74FDD">
        <w:trPr>
          <w:trHeight w:val="132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宜蘭地院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無(預計107年購置)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8台(7台於91年至95年間購置，已逾使用年限，1台故障、1台待報廢)</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5支(103年購置)</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22支</w:t>
            </w:r>
            <w:r w:rsidRPr="004A1B56">
              <w:rPr>
                <w:rFonts w:ascii="標楷體" w:hAnsi="標楷體" w:hint="eastAsia"/>
                <w:sz w:val="24"/>
                <w:szCs w:val="24"/>
              </w:rPr>
              <w:br/>
              <w:t>(88年3月及93年4月購置)</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基隆地院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6台(皆逾使用年限，4台故障)</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3支(僅1支堪用，另擬增購3支)</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24支</w:t>
            </w:r>
          </w:p>
        </w:tc>
      </w:tr>
      <w:tr w:rsidR="004A1B56" w:rsidRPr="004A1B56" w:rsidTr="00D74FDD">
        <w:trPr>
          <w:trHeight w:val="66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澎湖地院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無</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7台(96年4月購置，2台故障)</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r>
      <w:tr w:rsidR="004A1B56" w:rsidRPr="004A1B56" w:rsidTr="00D74FDD">
        <w:trPr>
          <w:trHeight w:val="990"/>
        </w:trPr>
        <w:tc>
          <w:tcPr>
            <w:tcW w:w="1701" w:type="dxa"/>
            <w:tcBorders>
              <w:top w:val="nil"/>
              <w:left w:val="single" w:sz="4" w:space="0" w:color="auto"/>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高雄少年及</w:t>
            </w:r>
            <w:r w:rsidR="00B570D6" w:rsidRPr="004A1B56">
              <w:rPr>
                <w:rFonts w:ascii="標楷體" w:hAnsi="標楷體"/>
                <w:sz w:val="24"/>
                <w:szCs w:val="24"/>
              </w:rPr>
              <w:br/>
            </w:r>
            <w:r w:rsidRPr="004A1B56">
              <w:rPr>
                <w:rFonts w:ascii="標楷體" w:hAnsi="標楷體" w:hint="eastAsia"/>
                <w:sz w:val="24"/>
                <w:szCs w:val="24"/>
              </w:rPr>
              <w:t>家事法院</w:t>
            </w:r>
          </w:p>
        </w:tc>
        <w:tc>
          <w:tcPr>
            <w:tcW w:w="1871"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1台(家事大樓)。少年大樓預計106年購置</w:t>
            </w:r>
          </w:p>
        </w:tc>
        <w:tc>
          <w:tcPr>
            <w:tcW w:w="311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4台(2台於103年購置，2台今年汰換)</w:t>
            </w:r>
          </w:p>
        </w:tc>
        <w:tc>
          <w:tcPr>
            <w:tcW w:w="2268"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1134"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c>
          <w:tcPr>
            <w:tcW w:w="3685" w:type="dxa"/>
            <w:tcBorders>
              <w:top w:val="nil"/>
              <w:left w:val="nil"/>
              <w:bottom w:val="single" w:sz="4" w:space="0" w:color="auto"/>
              <w:right w:val="single" w:sz="4" w:space="0" w:color="auto"/>
            </w:tcBorders>
            <w:shd w:val="clear" w:color="auto" w:fill="auto"/>
            <w:vAlign w:val="center"/>
            <w:hideMark/>
          </w:tcPr>
          <w:p w:rsidR="00E37A92" w:rsidRPr="004A1B56" w:rsidRDefault="00E37A92" w:rsidP="00D74FDD">
            <w:pPr>
              <w:rPr>
                <w:rFonts w:ascii="標楷體" w:hAnsi="標楷體"/>
                <w:sz w:val="24"/>
                <w:szCs w:val="24"/>
              </w:rPr>
            </w:pPr>
            <w:r w:rsidRPr="004A1B56">
              <w:rPr>
                <w:rFonts w:ascii="標楷體" w:hAnsi="標楷體" w:hint="eastAsia"/>
                <w:sz w:val="24"/>
                <w:szCs w:val="24"/>
              </w:rPr>
              <w:t>有</w:t>
            </w:r>
          </w:p>
        </w:tc>
      </w:tr>
    </w:tbl>
    <w:p w:rsidR="006E352D" w:rsidRPr="00B81D3D" w:rsidRDefault="00E37A92" w:rsidP="00A57C89">
      <w:pPr>
        <w:pStyle w:val="af9"/>
      </w:pPr>
      <w:r w:rsidRPr="004A1B56">
        <w:rPr>
          <w:rFonts w:hint="eastAsia"/>
        </w:rPr>
        <w:t>資料來源：摘整</w:t>
      </w:r>
      <w:r w:rsidR="00487204" w:rsidRPr="004A1B56">
        <w:rPr>
          <w:rFonts w:hint="eastAsia"/>
        </w:rPr>
        <w:t>自</w:t>
      </w:r>
      <w:r w:rsidRPr="004A1B56">
        <w:rPr>
          <w:rFonts w:hint="eastAsia"/>
        </w:rPr>
        <w:t>司法院函復資料。</w:t>
      </w:r>
      <w:r w:rsidR="00F52496">
        <w:rPr>
          <w:rFonts w:hint="eastAsia"/>
        </w:rPr>
        <w:t xml:space="preserve"> </w:t>
      </w:r>
    </w:p>
    <w:sectPr w:rsidR="006E352D" w:rsidRPr="00B81D3D" w:rsidSect="00A57C89">
      <w:footerReference w:type="default" r:id="rId8"/>
      <w:pgSz w:w="16840" w:h="11907" w:orient="landscape" w:code="9"/>
      <w:pgMar w:top="1418" w:right="1701"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068" w:rsidRDefault="008E4068">
      <w:r>
        <w:separator/>
      </w:r>
    </w:p>
  </w:endnote>
  <w:endnote w:type="continuationSeparator" w:id="0">
    <w:p w:rsidR="008E4068" w:rsidRDefault="008E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E2F" w:rsidRDefault="00193E2F">
    <w:pPr>
      <w:pStyle w:val="af2"/>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sidR="006534DE">
      <w:rPr>
        <w:rStyle w:val="a9"/>
        <w:noProof/>
        <w:sz w:val="24"/>
      </w:rPr>
      <w:t>3</w:t>
    </w:r>
    <w:r>
      <w:rPr>
        <w:rStyle w:val="a9"/>
        <w:sz w:val="24"/>
      </w:rPr>
      <w:fldChar w:fldCharType="end"/>
    </w:r>
  </w:p>
  <w:p w:rsidR="00193E2F" w:rsidRDefault="00193E2F">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068" w:rsidRDefault="008E4068">
      <w:r>
        <w:separator/>
      </w:r>
    </w:p>
  </w:footnote>
  <w:footnote w:type="continuationSeparator" w:id="0">
    <w:p w:rsidR="008E4068" w:rsidRDefault="008E4068">
      <w:r>
        <w:continuationSeparator/>
      </w:r>
    </w:p>
  </w:footnote>
  <w:footnote w:id="1">
    <w:p w:rsidR="00193E2F" w:rsidRDefault="00193E2F" w:rsidP="00DA4A08">
      <w:pPr>
        <w:pStyle w:val="af6"/>
        <w:ind w:left="198" w:right="57" w:hangingChars="90" w:hanging="198"/>
        <w:jc w:val="both"/>
      </w:pPr>
      <w:r>
        <w:rPr>
          <w:rStyle w:val="af8"/>
        </w:rPr>
        <w:footnoteRef/>
      </w:r>
      <w:r>
        <w:t xml:space="preserve"> </w:t>
      </w:r>
      <w:r w:rsidRPr="006C469E">
        <w:rPr>
          <w:sz w:val="24"/>
          <w:szCs w:val="24"/>
        </w:rPr>
        <w:t>105</w:t>
      </w:r>
      <w:r w:rsidRPr="006C469E">
        <w:rPr>
          <w:rFonts w:hint="eastAsia"/>
          <w:sz w:val="24"/>
          <w:szCs w:val="24"/>
        </w:rPr>
        <w:t>年</w:t>
      </w:r>
      <w:r w:rsidRPr="006C469E">
        <w:rPr>
          <w:sz w:val="24"/>
          <w:szCs w:val="24"/>
        </w:rPr>
        <w:t>6</w:t>
      </w:r>
      <w:r w:rsidRPr="006C469E">
        <w:rPr>
          <w:rFonts w:hint="eastAsia"/>
          <w:sz w:val="24"/>
          <w:szCs w:val="24"/>
        </w:rPr>
        <w:t>月</w:t>
      </w:r>
      <w:r w:rsidRPr="006C469E">
        <w:rPr>
          <w:sz w:val="24"/>
          <w:szCs w:val="24"/>
        </w:rPr>
        <w:t>13</w:t>
      </w:r>
      <w:r w:rsidRPr="006C469E">
        <w:rPr>
          <w:rFonts w:hint="eastAsia"/>
          <w:sz w:val="24"/>
          <w:szCs w:val="24"/>
        </w:rPr>
        <w:t>日中國時報</w:t>
      </w:r>
      <w:r w:rsidRPr="006C469E">
        <w:rPr>
          <w:sz w:val="24"/>
          <w:szCs w:val="24"/>
        </w:rPr>
        <w:t>A1</w:t>
      </w:r>
      <w:r w:rsidRPr="006C469E">
        <w:rPr>
          <w:rFonts w:hint="eastAsia"/>
          <w:sz w:val="24"/>
          <w:szCs w:val="24"/>
        </w:rPr>
        <w:t>版「美籍男法院割頸亡」、</w:t>
      </w:r>
      <w:r w:rsidRPr="006C469E">
        <w:rPr>
          <w:sz w:val="24"/>
          <w:szCs w:val="24"/>
        </w:rPr>
        <w:t>A3</w:t>
      </w:r>
      <w:r w:rsidRPr="006C469E">
        <w:rPr>
          <w:rFonts w:hint="eastAsia"/>
          <w:sz w:val="24"/>
          <w:szCs w:val="24"/>
        </w:rPr>
        <w:t>版「外界質疑彰院涉疏失</w:t>
      </w:r>
      <w:r w:rsidRPr="006C469E">
        <w:rPr>
          <w:sz w:val="24"/>
          <w:szCs w:val="24"/>
        </w:rPr>
        <w:t xml:space="preserve"> </w:t>
      </w:r>
      <w:r w:rsidRPr="006C469E">
        <w:rPr>
          <w:rFonts w:hint="eastAsia"/>
          <w:sz w:val="24"/>
          <w:szCs w:val="24"/>
        </w:rPr>
        <w:t>帶剪刀也不嗶</w:t>
      </w:r>
      <w:r w:rsidRPr="006C469E">
        <w:rPr>
          <w:sz w:val="24"/>
          <w:szCs w:val="24"/>
        </w:rPr>
        <w:t xml:space="preserve"> </w:t>
      </w:r>
      <w:r w:rsidRPr="006C469E">
        <w:rPr>
          <w:rFonts w:hint="eastAsia"/>
          <w:sz w:val="24"/>
          <w:szCs w:val="24"/>
        </w:rPr>
        <w:t>安檢什麼？」聯合報</w:t>
      </w:r>
      <w:r w:rsidRPr="006C469E">
        <w:rPr>
          <w:sz w:val="24"/>
          <w:szCs w:val="24"/>
        </w:rPr>
        <w:t>A3</w:t>
      </w:r>
      <w:r w:rsidRPr="006C469E">
        <w:rPr>
          <w:rFonts w:hint="eastAsia"/>
          <w:sz w:val="24"/>
          <w:szCs w:val="24"/>
        </w:rPr>
        <w:t>版「嗶假的？司法院通令落實安檢」、「種大麻判刑</w:t>
      </w:r>
      <w:r w:rsidRPr="006C469E">
        <w:rPr>
          <w:sz w:val="24"/>
          <w:szCs w:val="24"/>
        </w:rPr>
        <w:t xml:space="preserve"> </w:t>
      </w:r>
      <w:r w:rsidRPr="006C469E">
        <w:rPr>
          <w:rFonts w:hint="eastAsia"/>
          <w:sz w:val="24"/>
          <w:szCs w:val="24"/>
        </w:rPr>
        <w:t>老美當庭利剪插脖」等報導，略以：李</w:t>
      </w:r>
      <w:r w:rsidR="00863865">
        <w:rPr>
          <w:rFonts w:ascii="標楷體" w:hAnsi="標楷體" w:hint="eastAsia"/>
          <w:sz w:val="24"/>
          <w:szCs w:val="24"/>
        </w:rPr>
        <w:t>Ｏ</w:t>
      </w:r>
      <w:r w:rsidRPr="006C469E">
        <w:rPr>
          <w:rFonts w:hint="eastAsia"/>
          <w:sz w:val="24"/>
          <w:szCs w:val="24"/>
        </w:rPr>
        <w:t>翰在法庭內持剪刀自戕身亡，外界質疑彰化地院的安檢出現嚴重漏洞並涉疏失。李男夾帶包藏剪刀的雜誌，疑似就是走舊安檢感測門進入，雖有亮燈，卻無聲響，法警見李男只帶一本雜誌，竟未攔下檢查，讓他夾帶剪刀闖關，導致自戕悲劇無法阻止。司法院通令全國各法院落實安檢，要求安檢不能形式化，同時應定期檢測安檢設備，老舊不堪使用的設備要適時更新。</w:t>
      </w:r>
    </w:p>
  </w:footnote>
  <w:footnote w:id="2">
    <w:p w:rsidR="00193E2F" w:rsidRDefault="00193E2F" w:rsidP="003E74A8">
      <w:pPr>
        <w:pStyle w:val="af6"/>
        <w:ind w:left="198" w:hangingChars="90" w:hanging="198"/>
        <w:jc w:val="both"/>
      </w:pPr>
      <w:r>
        <w:rPr>
          <w:rStyle w:val="af8"/>
        </w:rPr>
        <w:footnoteRef/>
      </w:r>
      <w:r>
        <w:rPr>
          <w:rFonts w:hint="eastAsia"/>
        </w:rPr>
        <w:t xml:space="preserve"> </w:t>
      </w:r>
      <w:r w:rsidRPr="006C469E">
        <w:rPr>
          <w:rFonts w:hint="eastAsia"/>
          <w:sz w:val="24"/>
          <w:szCs w:val="24"/>
        </w:rPr>
        <w:t>參照法院組織法第</w:t>
      </w:r>
      <w:r w:rsidRPr="006C469E">
        <w:rPr>
          <w:sz w:val="24"/>
          <w:szCs w:val="24"/>
        </w:rPr>
        <w:t>11</w:t>
      </w:r>
      <w:r w:rsidRPr="006C469E">
        <w:rPr>
          <w:rFonts w:hint="eastAsia"/>
          <w:sz w:val="24"/>
          <w:szCs w:val="24"/>
        </w:rPr>
        <w:t>條附表第一類地方法院員額數，計算式如下，</w:t>
      </w:r>
      <w:r w:rsidRPr="006C469E">
        <w:rPr>
          <w:sz w:val="24"/>
          <w:szCs w:val="24"/>
        </w:rPr>
        <w:t>(</w:t>
      </w:r>
      <w:r w:rsidRPr="006C469E">
        <w:rPr>
          <w:rFonts w:hint="eastAsia"/>
          <w:sz w:val="24"/>
          <w:szCs w:val="24"/>
        </w:rPr>
        <w:t>庭長</w:t>
      </w:r>
      <w:r w:rsidRPr="006C469E">
        <w:rPr>
          <w:sz w:val="24"/>
          <w:szCs w:val="24"/>
        </w:rPr>
        <w:t>20~40</w:t>
      </w:r>
      <w:r w:rsidRPr="006C469E">
        <w:rPr>
          <w:rFonts w:hint="eastAsia"/>
          <w:sz w:val="24"/>
          <w:szCs w:val="24"/>
        </w:rPr>
        <w:t>人＋法官</w:t>
      </w:r>
      <w:r w:rsidRPr="006C469E">
        <w:rPr>
          <w:sz w:val="24"/>
          <w:szCs w:val="24"/>
        </w:rPr>
        <w:t>80~160</w:t>
      </w:r>
      <w:r w:rsidRPr="006C469E">
        <w:rPr>
          <w:rFonts w:hint="eastAsia"/>
          <w:sz w:val="24"/>
          <w:szCs w:val="24"/>
        </w:rPr>
        <w:t>人</w:t>
      </w:r>
      <w:r w:rsidRPr="006C469E">
        <w:rPr>
          <w:sz w:val="24"/>
          <w:szCs w:val="24"/>
        </w:rPr>
        <w:t>)</w:t>
      </w:r>
      <w:r w:rsidRPr="006C469E">
        <w:rPr>
          <w:rFonts w:hint="eastAsia"/>
          <w:sz w:val="24"/>
          <w:szCs w:val="24"/>
        </w:rPr>
        <w:t>：</w:t>
      </w:r>
      <w:r w:rsidRPr="006C469E">
        <w:rPr>
          <w:sz w:val="24"/>
          <w:szCs w:val="24"/>
        </w:rPr>
        <w:t>(</w:t>
      </w:r>
      <w:r w:rsidRPr="006C469E">
        <w:rPr>
          <w:rFonts w:hint="eastAsia"/>
          <w:sz w:val="24"/>
          <w:szCs w:val="24"/>
        </w:rPr>
        <w:t>法警長</w:t>
      </w:r>
      <w:r w:rsidRPr="006C469E">
        <w:rPr>
          <w:sz w:val="24"/>
          <w:szCs w:val="24"/>
        </w:rPr>
        <w:t>1</w:t>
      </w:r>
      <w:r w:rsidRPr="006C469E">
        <w:rPr>
          <w:rFonts w:hint="eastAsia"/>
          <w:sz w:val="24"/>
          <w:szCs w:val="24"/>
        </w:rPr>
        <w:t>人＋副法警長</w:t>
      </w:r>
      <w:r w:rsidRPr="006C469E">
        <w:rPr>
          <w:sz w:val="24"/>
          <w:szCs w:val="24"/>
        </w:rPr>
        <w:t>2~4</w:t>
      </w:r>
      <w:r w:rsidRPr="006C469E">
        <w:rPr>
          <w:rFonts w:hint="eastAsia"/>
          <w:sz w:val="24"/>
          <w:szCs w:val="24"/>
        </w:rPr>
        <w:t>人＋法警</w:t>
      </w:r>
      <w:r w:rsidRPr="006C469E">
        <w:rPr>
          <w:sz w:val="24"/>
          <w:szCs w:val="24"/>
        </w:rPr>
        <w:t>75~150</w:t>
      </w:r>
      <w:r w:rsidRPr="006C469E">
        <w:rPr>
          <w:rFonts w:hint="eastAsia"/>
          <w:sz w:val="24"/>
          <w:szCs w:val="24"/>
        </w:rPr>
        <w:t>人</w:t>
      </w:r>
      <w:r w:rsidRPr="006C469E">
        <w:rPr>
          <w:sz w:val="24"/>
          <w:szCs w:val="24"/>
        </w:rPr>
        <w:t>)</w:t>
      </w:r>
      <w:r w:rsidRPr="006C469E">
        <w:rPr>
          <w:rFonts w:hint="eastAsia"/>
          <w:sz w:val="24"/>
          <w:szCs w:val="24"/>
        </w:rPr>
        <w:t>≒</w:t>
      </w:r>
      <w:r w:rsidRPr="006C469E">
        <w:rPr>
          <w:sz w:val="24"/>
          <w:szCs w:val="24"/>
        </w:rPr>
        <w:t>1</w:t>
      </w:r>
      <w:r w:rsidRPr="006C469E">
        <w:rPr>
          <w:rFonts w:hint="eastAsia"/>
          <w:sz w:val="24"/>
          <w:szCs w:val="24"/>
        </w:rPr>
        <w:t>：</w:t>
      </w:r>
      <w:r w:rsidRPr="006C469E">
        <w:rPr>
          <w:sz w:val="24"/>
          <w:szCs w:val="24"/>
        </w:rPr>
        <w:t>0.78</w:t>
      </w:r>
      <w:r w:rsidRPr="006C469E">
        <w:rPr>
          <w:rFonts w:hint="eastAsia"/>
          <w:sz w:val="24"/>
          <w:szCs w:val="24"/>
        </w:rPr>
        <w:t>。</w:t>
      </w:r>
    </w:p>
  </w:footnote>
  <w:footnote w:id="3">
    <w:p w:rsidR="00193E2F" w:rsidRDefault="00193E2F" w:rsidP="003E74A8">
      <w:pPr>
        <w:pStyle w:val="af6"/>
        <w:ind w:left="198" w:hangingChars="90" w:hanging="198"/>
        <w:jc w:val="both"/>
      </w:pPr>
      <w:r>
        <w:rPr>
          <w:rStyle w:val="af8"/>
        </w:rPr>
        <w:footnoteRef/>
      </w:r>
      <w:r>
        <w:rPr>
          <w:rFonts w:hint="eastAsia"/>
        </w:rPr>
        <w:t xml:space="preserve"> </w:t>
      </w:r>
      <w:r w:rsidRPr="006C469E">
        <w:rPr>
          <w:rFonts w:hint="eastAsia"/>
          <w:sz w:val="24"/>
          <w:szCs w:val="24"/>
        </w:rPr>
        <w:t>參照法院組織法第</w:t>
      </w:r>
      <w:r w:rsidRPr="006C469E">
        <w:rPr>
          <w:sz w:val="24"/>
          <w:szCs w:val="24"/>
        </w:rPr>
        <w:t>73</w:t>
      </w:r>
      <w:r w:rsidRPr="006C469E">
        <w:rPr>
          <w:rFonts w:hint="eastAsia"/>
          <w:sz w:val="24"/>
          <w:szCs w:val="24"/>
        </w:rPr>
        <w:t>條附表第一類地檢署員額數，計算式如下，</w:t>
      </w:r>
      <w:r w:rsidRPr="006C469E">
        <w:rPr>
          <w:sz w:val="24"/>
          <w:szCs w:val="24"/>
        </w:rPr>
        <w:t>(</w:t>
      </w:r>
      <w:r w:rsidRPr="006C469E">
        <w:rPr>
          <w:rFonts w:hint="eastAsia"/>
          <w:sz w:val="24"/>
          <w:szCs w:val="24"/>
        </w:rPr>
        <w:t>主任檢察官</w:t>
      </w:r>
      <w:r w:rsidRPr="006C469E">
        <w:rPr>
          <w:sz w:val="24"/>
          <w:szCs w:val="24"/>
        </w:rPr>
        <w:t>18~37</w:t>
      </w:r>
      <w:r w:rsidRPr="006C469E">
        <w:rPr>
          <w:rFonts w:hint="eastAsia"/>
          <w:sz w:val="24"/>
          <w:szCs w:val="24"/>
        </w:rPr>
        <w:t>人＋檢察官</w:t>
      </w:r>
      <w:r w:rsidRPr="006C469E">
        <w:rPr>
          <w:sz w:val="24"/>
          <w:szCs w:val="24"/>
        </w:rPr>
        <w:t>93~185</w:t>
      </w:r>
      <w:r w:rsidRPr="006C469E">
        <w:rPr>
          <w:rFonts w:hint="eastAsia"/>
          <w:sz w:val="24"/>
          <w:szCs w:val="24"/>
        </w:rPr>
        <w:t>人</w:t>
      </w:r>
      <w:r w:rsidRPr="006C469E">
        <w:rPr>
          <w:sz w:val="24"/>
          <w:szCs w:val="24"/>
        </w:rPr>
        <w:t>)</w:t>
      </w:r>
      <w:r w:rsidRPr="006C469E">
        <w:rPr>
          <w:rFonts w:hint="eastAsia"/>
          <w:sz w:val="24"/>
          <w:szCs w:val="24"/>
        </w:rPr>
        <w:t>：</w:t>
      </w:r>
      <w:r w:rsidRPr="006C469E">
        <w:rPr>
          <w:sz w:val="24"/>
          <w:szCs w:val="24"/>
        </w:rPr>
        <w:t>(</w:t>
      </w:r>
      <w:r w:rsidRPr="006C469E">
        <w:rPr>
          <w:rFonts w:hint="eastAsia"/>
          <w:sz w:val="24"/>
          <w:szCs w:val="24"/>
        </w:rPr>
        <w:t>法警長</w:t>
      </w:r>
      <w:r w:rsidRPr="006C469E">
        <w:rPr>
          <w:sz w:val="24"/>
          <w:szCs w:val="24"/>
        </w:rPr>
        <w:t>1</w:t>
      </w:r>
      <w:r w:rsidRPr="006C469E">
        <w:rPr>
          <w:rFonts w:hint="eastAsia"/>
          <w:sz w:val="24"/>
          <w:szCs w:val="24"/>
        </w:rPr>
        <w:t>人＋副法警長</w:t>
      </w:r>
      <w:r w:rsidRPr="006C469E">
        <w:rPr>
          <w:sz w:val="24"/>
          <w:szCs w:val="24"/>
        </w:rPr>
        <w:t>2~4</w:t>
      </w:r>
      <w:r w:rsidRPr="006C469E">
        <w:rPr>
          <w:rFonts w:hint="eastAsia"/>
          <w:sz w:val="24"/>
          <w:szCs w:val="24"/>
        </w:rPr>
        <w:t>人＋法警</w:t>
      </w:r>
      <w:r w:rsidRPr="006C469E">
        <w:rPr>
          <w:sz w:val="24"/>
          <w:szCs w:val="24"/>
        </w:rPr>
        <w:t>150~300</w:t>
      </w:r>
      <w:r w:rsidRPr="006C469E">
        <w:rPr>
          <w:rFonts w:hint="eastAsia"/>
          <w:sz w:val="24"/>
          <w:szCs w:val="24"/>
        </w:rPr>
        <w:t>人</w:t>
      </w:r>
      <w:r w:rsidRPr="006C469E">
        <w:rPr>
          <w:sz w:val="24"/>
          <w:szCs w:val="24"/>
        </w:rPr>
        <w:t>)</w:t>
      </w:r>
      <w:r w:rsidRPr="006C469E">
        <w:rPr>
          <w:rFonts w:hint="eastAsia"/>
          <w:sz w:val="24"/>
          <w:szCs w:val="24"/>
        </w:rPr>
        <w:t>≒</w:t>
      </w:r>
      <w:r w:rsidRPr="006C469E">
        <w:rPr>
          <w:sz w:val="24"/>
          <w:szCs w:val="24"/>
        </w:rPr>
        <w:t>1</w:t>
      </w:r>
      <w:r w:rsidRPr="006C469E">
        <w:rPr>
          <w:rFonts w:hint="eastAsia"/>
          <w:sz w:val="24"/>
          <w:szCs w:val="24"/>
        </w:rPr>
        <w:t>：</w:t>
      </w:r>
      <w:r w:rsidRPr="006C469E">
        <w:rPr>
          <w:sz w:val="24"/>
          <w:szCs w:val="24"/>
        </w:rPr>
        <w:t>1.37</w:t>
      </w:r>
      <w:r w:rsidRPr="006C469E">
        <w:rPr>
          <w:rFonts w:hint="eastAsia"/>
          <w:sz w:val="24"/>
          <w:szCs w:val="24"/>
        </w:rPr>
        <w:t>。</w:t>
      </w:r>
    </w:p>
  </w:footnote>
  <w:footnote w:id="4">
    <w:p w:rsidR="00193E2F" w:rsidRDefault="00193E2F" w:rsidP="007C4D83">
      <w:pPr>
        <w:pStyle w:val="af6"/>
        <w:ind w:left="264" w:hangingChars="120" w:hanging="264"/>
        <w:jc w:val="both"/>
      </w:pPr>
      <w:r>
        <w:rPr>
          <w:rStyle w:val="af8"/>
        </w:rPr>
        <w:footnoteRef/>
      </w:r>
      <w:r>
        <w:rPr>
          <w:rFonts w:hint="eastAsia"/>
        </w:rPr>
        <w:t xml:space="preserve"> </w:t>
      </w:r>
      <w:r w:rsidRPr="006C469E">
        <w:rPr>
          <w:rFonts w:hint="eastAsia"/>
          <w:sz w:val="24"/>
          <w:szCs w:val="24"/>
        </w:rPr>
        <w:t>截至</w:t>
      </w:r>
      <w:r w:rsidRPr="006C469E">
        <w:rPr>
          <w:sz w:val="24"/>
          <w:szCs w:val="24"/>
        </w:rPr>
        <w:t>103</w:t>
      </w:r>
      <w:r w:rsidRPr="006C469E">
        <w:rPr>
          <w:rFonts w:hint="eastAsia"/>
          <w:sz w:val="24"/>
          <w:szCs w:val="24"/>
        </w:rPr>
        <w:t>年</w:t>
      </w:r>
      <w:r w:rsidRPr="006C469E">
        <w:rPr>
          <w:sz w:val="24"/>
          <w:szCs w:val="24"/>
        </w:rPr>
        <w:t>10</w:t>
      </w:r>
      <w:r w:rsidRPr="006C469E">
        <w:rPr>
          <w:rFonts w:hint="eastAsia"/>
          <w:sz w:val="24"/>
          <w:szCs w:val="24"/>
        </w:rPr>
        <w:t>月底，全國檢察官（</w:t>
      </w:r>
      <w:r w:rsidRPr="006C469E">
        <w:rPr>
          <w:sz w:val="24"/>
          <w:szCs w:val="24"/>
        </w:rPr>
        <w:t>1,402</w:t>
      </w:r>
      <w:r w:rsidRPr="006C469E">
        <w:rPr>
          <w:rFonts w:hint="eastAsia"/>
          <w:sz w:val="24"/>
          <w:szCs w:val="24"/>
        </w:rPr>
        <w:t>人）及法警（</w:t>
      </w:r>
      <w:r w:rsidRPr="006C469E">
        <w:rPr>
          <w:sz w:val="24"/>
          <w:szCs w:val="24"/>
        </w:rPr>
        <w:t>581</w:t>
      </w:r>
      <w:r w:rsidRPr="006C469E">
        <w:rPr>
          <w:rFonts w:hint="eastAsia"/>
          <w:sz w:val="24"/>
          <w:szCs w:val="24"/>
        </w:rPr>
        <w:t>人）比例為</w:t>
      </w:r>
      <w:r w:rsidRPr="006C469E">
        <w:rPr>
          <w:sz w:val="24"/>
          <w:szCs w:val="24"/>
        </w:rPr>
        <w:t>1</w:t>
      </w:r>
      <w:r w:rsidRPr="006C469E">
        <w:rPr>
          <w:rFonts w:hint="eastAsia"/>
          <w:sz w:val="24"/>
          <w:szCs w:val="24"/>
        </w:rPr>
        <w:t>：</w:t>
      </w:r>
      <w:r w:rsidRPr="006C469E">
        <w:rPr>
          <w:sz w:val="24"/>
          <w:szCs w:val="24"/>
        </w:rPr>
        <w:t>0.414</w:t>
      </w:r>
      <w:r w:rsidRPr="006C469E">
        <w:rPr>
          <w:rFonts w:hint="eastAsia"/>
          <w:sz w:val="24"/>
          <w:szCs w:val="24"/>
        </w:rPr>
        <w:t>，約僅法定比例高限的</w:t>
      </w:r>
      <w:r w:rsidR="00FA247D">
        <w:rPr>
          <w:rFonts w:hint="eastAsia"/>
          <w:sz w:val="24"/>
          <w:szCs w:val="24"/>
        </w:rPr>
        <w:t>三</w:t>
      </w:r>
      <w:r w:rsidRPr="006C469E">
        <w:rPr>
          <w:rFonts w:hint="eastAsia"/>
          <w:sz w:val="24"/>
          <w:szCs w:val="24"/>
        </w:rPr>
        <w:t>分之</w:t>
      </w:r>
      <w:r w:rsidR="00FA247D">
        <w:rPr>
          <w:rFonts w:hint="eastAsia"/>
          <w:sz w:val="24"/>
          <w:szCs w:val="24"/>
        </w:rPr>
        <w:t>一</w:t>
      </w:r>
      <w:r w:rsidRPr="006C469E">
        <w:rPr>
          <w:rFonts w:hint="eastAsia"/>
          <w:sz w:val="24"/>
          <w:szCs w:val="24"/>
        </w:rPr>
        <w:t>，其中新北地檢署及桃園地檢署更低至每名檢察官可分配使用之法警數分別為</w:t>
      </w:r>
      <w:r w:rsidRPr="006C469E">
        <w:rPr>
          <w:sz w:val="24"/>
          <w:szCs w:val="24"/>
        </w:rPr>
        <w:t>0.282</w:t>
      </w:r>
      <w:r w:rsidRPr="006C469E">
        <w:rPr>
          <w:rFonts w:hint="eastAsia"/>
          <w:sz w:val="24"/>
          <w:szCs w:val="24"/>
        </w:rPr>
        <w:t>及</w:t>
      </w:r>
      <w:r w:rsidRPr="006C469E">
        <w:rPr>
          <w:sz w:val="24"/>
          <w:szCs w:val="24"/>
        </w:rPr>
        <w:t>0.318</w:t>
      </w:r>
      <w:r w:rsidRPr="006C469E">
        <w:rPr>
          <w:rFonts w:hint="eastAsia"/>
          <w:sz w:val="24"/>
          <w:szCs w:val="24"/>
        </w:rPr>
        <w:t>。法務部表示，因「中央政府機關總員額法」明確規範中央政府機關員額總數上限，僅能由各主管機關於分配員額總數內，檢視所屬各機關業務消長及人力運用情形，檢討調配員額支應，無淨增員額之空間，目前僅能依照高檢署按現有缺額數之評估，提報司法特考名額數，補實人力。</w:t>
      </w:r>
    </w:p>
  </w:footnote>
  <w:footnote w:id="5">
    <w:p w:rsidR="00193E2F" w:rsidRPr="006C469E" w:rsidRDefault="00193E2F" w:rsidP="00082F1C">
      <w:pPr>
        <w:pStyle w:val="af6"/>
        <w:ind w:left="264" w:hangingChars="120" w:hanging="264"/>
        <w:jc w:val="both"/>
        <w:rPr>
          <w:sz w:val="24"/>
          <w:szCs w:val="24"/>
        </w:rPr>
      </w:pPr>
      <w:r>
        <w:rPr>
          <w:rStyle w:val="af8"/>
        </w:rPr>
        <w:footnoteRef/>
      </w:r>
      <w:r>
        <w:t xml:space="preserve"> </w:t>
      </w:r>
      <w:r w:rsidRPr="006C469E">
        <w:rPr>
          <w:rFonts w:hint="eastAsia"/>
          <w:sz w:val="24"/>
          <w:szCs w:val="24"/>
        </w:rPr>
        <w:t>本案發生時，全國僅</w:t>
      </w:r>
      <w:r w:rsidRPr="006C469E">
        <w:rPr>
          <w:rFonts w:hint="eastAsia"/>
          <w:sz w:val="24"/>
          <w:szCs w:val="24"/>
        </w:rPr>
        <w:t>11</w:t>
      </w:r>
      <w:r w:rsidRPr="006C469E">
        <w:rPr>
          <w:rFonts w:hint="eastAsia"/>
          <w:sz w:val="24"/>
          <w:szCs w:val="24"/>
        </w:rPr>
        <w:t>間法院設置</w:t>
      </w:r>
      <w:r w:rsidRPr="006C469E">
        <w:rPr>
          <w:rFonts w:hint="eastAsia"/>
          <w:sz w:val="24"/>
          <w:szCs w:val="24"/>
        </w:rPr>
        <w:t>X</w:t>
      </w:r>
      <w:r w:rsidRPr="006C469E">
        <w:rPr>
          <w:rFonts w:hint="eastAsia"/>
          <w:sz w:val="24"/>
          <w:szCs w:val="24"/>
        </w:rPr>
        <w:t>光行李檢查儀；</w:t>
      </w:r>
      <w:r w:rsidRPr="006C469E">
        <w:rPr>
          <w:rFonts w:hint="eastAsia"/>
          <w:sz w:val="24"/>
          <w:szCs w:val="24"/>
        </w:rPr>
        <w:t>105</w:t>
      </w:r>
      <w:r w:rsidRPr="006C469E">
        <w:rPr>
          <w:rFonts w:hint="eastAsia"/>
          <w:sz w:val="24"/>
          <w:szCs w:val="24"/>
        </w:rPr>
        <w:t>年</w:t>
      </w:r>
      <w:r w:rsidRPr="006C469E">
        <w:rPr>
          <w:rFonts w:hint="eastAsia"/>
          <w:sz w:val="24"/>
          <w:szCs w:val="24"/>
        </w:rPr>
        <w:t>9</w:t>
      </w:r>
      <w:r w:rsidRPr="006C469E">
        <w:rPr>
          <w:rFonts w:hint="eastAsia"/>
          <w:sz w:val="24"/>
          <w:szCs w:val="24"/>
        </w:rPr>
        <w:t>月及</w:t>
      </w:r>
      <w:r w:rsidRPr="006C469E">
        <w:rPr>
          <w:rFonts w:hint="eastAsia"/>
          <w:sz w:val="24"/>
          <w:szCs w:val="24"/>
        </w:rPr>
        <w:t>10</w:t>
      </w:r>
      <w:r w:rsidRPr="006C469E">
        <w:rPr>
          <w:rFonts w:hint="eastAsia"/>
          <w:sz w:val="24"/>
          <w:szCs w:val="24"/>
        </w:rPr>
        <w:t>月，新竹地院及彰化地院於新廈落成後，陸續啟用</w:t>
      </w:r>
      <w:r w:rsidRPr="006C469E">
        <w:rPr>
          <w:rFonts w:hint="eastAsia"/>
          <w:sz w:val="24"/>
          <w:szCs w:val="24"/>
        </w:rPr>
        <w:t>X</w:t>
      </w:r>
      <w:r w:rsidRPr="006C469E">
        <w:rPr>
          <w:rFonts w:hint="eastAsia"/>
          <w:sz w:val="24"/>
          <w:szCs w:val="24"/>
        </w:rPr>
        <w:t>光行李檢查儀。</w:t>
      </w:r>
    </w:p>
  </w:footnote>
  <w:footnote w:id="6">
    <w:p w:rsidR="00193E2F" w:rsidRPr="006C469E" w:rsidRDefault="00193E2F" w:rsidP="008E7746">
      <w:pPr>
        <w:pStyle w:val="af6"/>
        <w:ind w:left="264" w:hangingChars="120" w:hanging="264"/>
        <w:jc w:val="both"/>
        <w:rPr>
          <w:sz w:val="24"/>
          <w:szCs w:val="24"/>
        </w:rPr>
      </w:pPr>
      <w:r>
        <w:rPr>
          <w:rStyle w:val="af8"/>
        </w:rPr>
        <w:footnoteRef/>
      </w:r>
      <w:r>
        <w:t xml:space="preserve"> </w:t>
      </w:r>
      <w:r w:rsidRPr="006C469E">
        <w:rPr>
          <w:rFonts w:hint="eastAsia"/>
          <w:sz w:val="24"/>
          <w:szCs w:val="24"/>
        </w:rPr>
        <w:t>法院組織法第</w:t>
      </w:r>
      <w:r w:rsidRPr="006C469E">
        <w:rPr>
          <w:sz w:val="24"/>
          <w:szCs w:val="24"/>
        </w:rPr>
        <w:t>23</w:t>
      </w:r>
      <w:r w:rsidRPr="006C469E">
        <w:rPr>
          <w:rFonts w:hint="eastAsia"/>
          <w:sz w:val="24"/>
          <w:szCs w:val="24"/>
        </w:rPr>
        <w:t>條第</w:t>
      </w:r>
      <w:r w:rsidRPr="006C469E">
        <w:rPr>
          <w:sz w:val="24"/>
          <w:szCs w:val="24"/>
        </w:rPr>
        <w:t>3</w:t>
      </w:r>
      <w:r w:rsidRPr="006C469E">
        <w:rPr>
          <w:rFonts w:hint="eastAsia"/>
          <w:sz w:val="24"/>
          <w:szCs w:val="24"/>
        </w:rPr>
        <w:t>項規定：「地方法院為辦理值庭、執行、警衛、解送人犯及有關司法警察事務，置法警；法警長，委任第</w:t>
      </w:r>
      <w:r w:rsidRPr="006C469E">
        <w:rPr>
          <w:rFonts w:hint="eastAsia"/>
          <w:sz w:val="24"/>
          <w:szCs w:val="24"/>
        </w:rPr>
        <w:t>5</w:t>
      </w:r>
      <w:r w:rsidRPr="006C469E">
        <w:rPr>
          <w:rFonts w:hint="eastAsia"/>
          <w:sz w:val="24"/>
          <w:szCs w:val="24"/>
        </w:rPr>
        <w:t>職等或薦任第</w:t>
      </w:r>
      <w:r w:rsidRPr="006C469E">
        <w:rPr>
          <w:rFonts w:hint="eastAsia"/>
          <w:sz w:val="24"/>
          <w:szCs w:val="24"/>
        </w:rPr>
        <w:t>6</w:t>
      </w:r>
      <w:r w:rsidRPr="006C469E">
        <w:rPr>
          <w:rFonts w:hint="eastAsia"/>
          <w:sz w:val="24"/>
          <w:szCs w:val="24"/>
        </w:rPr>
        <w:t>職等至第</w:t>
      </w:r>
      <w:r w:rsidRPr="006C469E">
        <w:rPr>
          <w:rFonts w:hint="eastAsia"/>
          <w:sz w:val="24"/>
          <w:szCs w:val="24"/>
        </w:rPr>
        <w:t>7</w:t>
      </w:r>
      <w:r w:rsidRPr="006C469E">
        <w:rPr>
          <w:rFonts w:hint="eastAsia"/>
          <w:sz w:val="24"/>
          <w:szCs w:val="24"/>
        </w:rPr>
        <w:t>職等；副法警長，委任第</w:t>
      </w:r>
      <w:r w:rsidRPr="006C469E">
        <w:rPr>
          <w:rFonts w:hint="eastAsia"/>
          <w:sz w:val="24"/>
          <w:szCs w:val="24"/>
        </w:rPr>
        <w:t>4</w:t>
      </w:r>
      <w:r w:rsidRPr="006C469E">
        <w:rPr>
          <w:rFonts w:hint="eastAsia"/>
          <w:sz w:val="24"/>
          <w:szCs w:val="24"/>
        </w:rPr>
        <w:t>職等至第</w:t>
      </w:r>
      <w:r w:rsidRPr="006C469E">
        <w:rPr>
          <w:rFonts w:hint="eastAsia"/>
          <w:sz w:val="24"/>
          <w:szCs w:val="24"/>
        </w:rPr>
        <w:t>5</w:t>
      </w:r>
      <w:r w:rsidRPr="006C469E">
        <w:rPr>
          <w:rFonts w:hint="eastAsia"/>
          <w:sz w:val="24"/>
          <w:szCs w:val="24"/>
        </w:rPr>
        <w:t>職等或薦任第</w:t>
      </w:r>
      <w:r w:rsidRPr="006C469E">
        <w:rPr>
          <w:rFonts w:hint="eastAsia"/>
          <w:sz w:val="24"/>
          <w:szCs w:val="24"/>
        </w:rPr>
        <w:t>6</w:t>
      </w:r>
      <w:r w:rsidRPr="006C469E">
        <w:rPr>
          <w:rFonts w:hint="eastAsia"/>
          <w:sz w:val="24"/>
          <w:szCs w:val="24"/>
        </w:rPr>
        <w:t>職等；法警，委任第</w:t>
      </w:r>
      <w:r w:rsidRPr="006C469E">
        <w:rPr>
          <w:rFonts w:hint="eastAsia"/>
          <w:sz w:val="24"/>
          <w:szCs w:val="24"/>
        </w:rPr>
        <w:t>3</w:t>
      </w:r>
      <w:r w:rsidRPr="006C469E">
        <w:rPr>
          <w:rFonts w:hint="eastAsia"/>
          <w:sz w:val="24"/>
          <w:szCs w:val="24"/>
        </w:rPr>
        <w:t>職等至第</w:t>
      </w:r>
      <w:r w:rsidRPr="006C469E">
        <w:rPr>
          <w:rFonts w:hint="eastAsia"/>
          <w:sz w:val="24"/>
          <w:szCs w:val="24"/>
        </w:rPr>
        <w:t>5</w:t>
      </w:r>
      <w:r w:rsidRPr="006C469E">
        <w:rPr>
          <w:rFonts w:hint="eastAsia"/>
          <w:sz w:val="24"/>
          <w:szCs w:val="24"/>
        </w:rPr>
        <w:t>職等；其管理辦法，由司法院會同行政院定之。」第</w:t>
      </w:r>
      <w:r w:rsidRPr="006C469E">
        <w:rPr>
          <w:sz w:val="24"/>
          <w:szCs w:val="24"/>
        </w:rPr>
        <w:t>39</w:t>
      </w:r>
      <w:r w:rsidRPr="006C469E">
        <w:rPr>
          <w:rFonts w:hint="eastAsia"/>
          <w:sz w:val="24"/>
          <w:szCs w:val="24"/>
        </w:rPr>
        <w:t>條第</w:t>
      </w:r>
      <w:r w:rsidRPr="006C469E">
        <w:rPr>
          <w:sz w:val="24"/>
          <w:szCs w:val="24"/>
        </w:rPr>
        <w:t>3</w:t>
      </w:r>
      <w:r w:rsidRPr="006C469E">
        <w:rPr>
          <w:rFonts w:hint="eastAsia"/>
          <w:sz w:val="24"/>
          <w:szCs w:val="24"/>
        </w:rPr>
        <w:t>項規定：「第</w:t>
      </w:r>
      <w:r w:rsidRPr="006C469E">
        <w:rPr>
          <w:rFonts w:hint="eastAsia"/>
          <w:sz w:val="24"/>
          <w:szCs w:val="24"/>
        </w:rPr>
        <w:t>23</w:t>
      </w:r>
      <w:r w:rsidRPr="006C469E">
        <w:rPr>
          <w:rFonts w:hint="eastAsia"/>
          <w:sz w:val="24"/>
          <w:szCs w:val="24"/>
        </w:rPr>
        <w:t>條第</w:t>
      </w:r>
      <w:r w:rsidRPr="006C469E">
        <w:rPr>
          <w:rFonts w:hint="eastAsia"/>
          <w:sz w:val="24"/>
          <w:szCs w:val="24"/>
        </w:rPr>
        <w:t>3</w:t>
      </w:r>
      <w:r w:rsidRPr="006C469E">
        <w:rPr>
          <w:rFonts w:hint="eastAsia"/>
          <w:sz w:val="24"/>
          <w:szCs w:val="24"/>
        </w:rPr>
        <w:t>項、第</w:t>
      </w:r>
      <w:r w:rsidRPr="006C469E">
        <w:rPr>
          <w:rFonts w:hint="eastAsia"/>
          <w:sz w:val="24"/>
          <w:szCs w:val="24"/>
        </w:rPr>
        <w:t>4</w:t>
      </w:r>
      <w:r w:rsidRPr="006C469E">
        <w:rPr>
          <w:rFonts w:hint="eastAsia"/>
          <w:sz w:val="24"/>
          <w:szCs w:val="24"/>
        </w:rPr>
        <w:t>項規定，於高等法院或其分院準用之。」第</w:t>
      </w:r>
      <w:r w:rsidRPr="006C469E">
        <w:rPr>
          <w:sz w:val="24"/>
          <w:szCs w:val="24"/>
        </w:rPr>
        <w:t>39</w:t>
      </w:r>
      <w:r w:rsidRPr="006C469E">
        <w:rPr>
          <w:rFonts w:hint="eastAsia"/>
          <w:sz w:val="24"/>
          <w:szCs w:val="24"/>
        </w:rPr>
        <w:t>條第</w:t>
      </w:r>
      <w:r w:rsidRPr="006C469E">
        <w:rPr>
          <w:sz w:val="24"/>
          <w:szCs w:val="24"/>
        </w:rPr>
        <w:t>3</w:t>
      </w:r>
      <w:r w:rsidRPr="006C469E">
        <w:rPr>
          <w:rFonts w:hint="eastAsia"/>
          <w:sz w:val="24"/>
          <w:szCs w:val="24"/>
        </w:rPr>
        <w:t>項規定：「第</w:t>
      </w:r>
      <w:r w:rsidRPr="006C469E">
        <w:rPr>
          <w:rFonts w:hint="eastAsia"/>
          <w:sz w:val="24"/>
          <w:szCs w:val="24"/>
        </w:rPr>
        <w:t>23</w:t>
      </w:r>
      <w:r w:rsidRPr="006C469E">
        <w:rPr>
          <w:rFonts w:hint="eastAsia"/>
          <w:sz w:val="24"/>
          <w:szCs w:val="24"/>
        </w:rPr>
        <w:t>條第</w:t>
      </w:r>
      <w:r w:rsidRPr="006C469E">
        <w:rPr>
          <w:rFonts w:hint="eastAsia"/>
          <w:sz w:val="24"/>
          <w:szCs w:val="24"/>
        </w:rPr>
        <w:t>3</w:t>
      </w:r>
      <w:r w:rsidRPr="006C469E">
        <w:rPr>
          <w:rFonts w:hint="eastAsia"/>
          <w:sz w:val="24"/>
          <w:szCs w:val="24"/>
        </w:rPr>
        <w:t>項、第</w:t>
      </w:r>
      <w:r w:rsidRPr="006C469E">
        <w:rPr>
          <w:rFonts w:hint="eastAsia"/>
          <w:sz w:val="24"/>
          <w:szCs w:val="24"/>
        </w:rPr>
        <w:t>4</w:t>
      </w:r>
      <w:r w:rsidRPr="006C469E">
        <w:rPr>
          <w:rFonts w:hint="eastAsia"/>
          <w:sz w:val="24"/>
          <w:szCs w:val="24"/>
        </w:rPr>
        <w:t>項之規定，於最高法院準用之。」</w:t>
      </w:r>
    </w:p>
  </w:footnote>
  <w:footnote w:id="7">
    <w:p w:rsidR="00193E2F" w:rsidRPr="008E7746" w:rsidRDefault="00193E2F" w:rsidP="008E7746">
      <w:pPr>
        <w:pStyle w:val="af6"/>
        <w:ind w:left="264" w:hangingChars="120" w:hanging="264"/>
        <w:jc w:val="both"/>
      </w:pPr>
      <w:r>
        <w:rPr>
          <w:rStyle w:val="af8"/>
        </w:rPr>
        <w:footnoteRef/>
      </w:r>
      <w:r>
        <w:rPr>
          <w:rFonts w:hint="eastAsia"/>
        </w:rPr>
        <w:t xml:space="preserve"> </w:t>
      </w:r>
      <w:r w:rsidRPr="006C469E">
        <w:rPr>
          <w:rFonts w:hint="eastAsia"/>
          <w:sz w:val="24"/>
          <w:szCs w:val="24"/>
        </w:rPr>
        <w:t>最高法院處務規程第</w:t>
      </w:r>
      <w:r w:rsidRPr="006C469E">
        <w:rPr>
          <w:sz w:val="24"/>
          <w:szCs w:val="24"/>
        </w:rPr>
        <w:t>75</w:t>
      </w:r>
      <w:r w:rsidRPr="006C469E">
        <w:rPr>
          <w:rFonts w:hint="eastAsia"/>
          <w:sz w:val="24"/>
          <w:szCs w:val="24"/>
        </w:rPr>
        <w:t>條規定：「本院設法警室，置法警長、副法警長各一人，法警若干人，辦理值庭、警衛及其他有關司法警察事務。法警受院長之監督指揮，由書記官長承院長之命，負直接監督考核之責。法警管理及執行職務依照本院訂定之最高法院法警執行警衛及值日勤務注意事項及有關法令規定辦理。」</w:t>
      </w:r>
    </w:p>
  </w:footnote>
  <w:footnote w:id="8">
    <w:p w:rsidR="00193E2F" w:rsidRDefault="00193E2F" w:rsidP="008E7746">
      <w:pPr>
        <w:pStyle w:val="af6"/>
        <w:ind w:left="264" w:hangingChars="120" w:hanging="264"/>
        <w:jc w:val="both"/>
      </w:pPr>
      <w:r>
        <w:rPr>
          <w:rStyle w:val="af8"/>
        </w:rPr>
        <w:footnoteRef/>
      </w:r>
      <w:r>
        <w:rPr>
          <w:rFonts w:hint="eastAsia"/>
        </w:rPr>
        <w:t xml:space="preserve"> </w:t>
      </w:r>
      <w:r w:rsidRPr="006C469E">
        <w:rPr>
          <w:rFonts w:hint="eastAsia"/>
          <w:sz w:val="24"/>
          <w:szCs w:val="24"/>
        </w:rPr>
        <w:t>高等法院處務規程第</w:t>
      </w:r>
      <w:r w:rsidRPr="006C469E">
        <w:rPr>
          <w:sz w:val="24"/>
          <w:szCs w:val="24"/>
        </w:rPr>
        <w:t>33</w:t>
      </w:r>
      <w:r w:rsidRPr="006C469E">
        <w:rPr>
          <w:rFonts w:hint="eastAsia"/>
          <w:sz w:val="24"/>
          <w:szCs w:val="24"/>
        </w:rPr>
        <w:t>條第</w:t>
      </w:r>
      <w:r w:rsidRPr="006C469E">
        <w:rPr>
          <w:sz w:val="24"/>
          <w:szCs w:val="24"/>
        </w:rPr>
        <w:t>1</w:t>
      </w:r>
      <w:r w:rsidRPr="006C469E">
        <w:rPr>
          <w:rFonts w:hint="eastAsia"/>
          <w:sz w:val="24"/>
          <w:szCs w:val="24"/>
        </w:rPr>
        <w:t>項第</w:t>
      </w:r>
      <w:r w:rsidRPr="006C469E">
        <w:rPr>
          <w:sz w:val="24"/>
          <w:szCs w:val="24"/>
        </w:rPr>
        <w:t>6</w:t>
      </w:r>
      <w:r w:rsidRPr="006C469E">
        <w:rPr>
          <w:rFonts w:hint="eastAsia"/>
          <w:sz w:val="24"/>
          <w:szCs w:val="24"/>
        </w:rPr>
        <w:t>款規定：「置法警長一人、法警若干人，必要時得置副法警長一人；法警管理依法警管理辦法之規定，其他作業要點及執行職務注意事項由高等行政法院另定之。」</w:t>
      </w:r>
    </w:p>
  </w:footnote>
  <w:footnote w:id="9">
    <w:p w:rsidR="00193E2F" w:rsidRPr="001E3926" w:rsidRDefault="00193E2F" w:rsidP="00EA226A">
      <w:pPr>
        <w:pStyle w:val="af6"/>
        <w:ind w:left="264" w:hangingChars="120" w:hanging="264"/>
        <w:jc w:val="both"/>
      </w:pPr>
      <w:r>
        <w:rPr>
          <w:rStyle w:val="af8"/>
        </w:rPr>
        <w:footnoteRef/>
      </w:r>
      <w:r>
        <w:t xml:space="preserve"> </w:t>
      </w:r>
      <w:r w:rsidRPr="006C469E">
        <w:rPr>
          <w:rFonts w:hint="eastAsia"/>
          <w:sz w:val="24"/>
          <w:szCs w:val="24"/>
        </w:rPr>
        <w:t>法庭旁聽規則第</w:t>
      </w:r>
      <w:r w:rsidRPr="006C469E">
        <w:rPr>
          <w:rFonts w:hint="eastAsia"/>
          <w:sz w:val="24"/>
          <w:szCs w:val="24"/>
        </w:rPr>
        <w:t>5</w:t>
      </w:r>
      <w:r w:rsidRPr="006C469E">
        <w:rPr>
          <w:rFonts w:hint="eastAsia"/>
          <w:sz w:val="24"/>
          <w:szCs w:val="24"/>
        </w:rPr>
        <w:t>條規定：「旁聽人出入法庭及在庭旁聽，應受審判長及其他在法庭執行職務人員所為有關維持法庭秩序之指示。」第</w:t>
      </w:r>
      <w:r w:rsidRPr="006C469E">
        <w:rPr>
          <w:rFonts w:hint="eastAsia"/>
          <w:sz w:val="24"/>
          <w:szCs w:val="24"/>
        </w:rPr>
        <w:t>6</w:t>
      </w:r>
      <w:r w:rsidRPr="006C469E">
        <w:rPr>
          <w:rFonts w:hint="eastAsia"/>
          <w:sz w:val="24"/>
          <w:szCs w:val="24"/>
        </w:rPr>
        <w:t>條規定：「有下列情形之一者，不論有無旁聽證，均禁止旁聽：……六、拒絕安全檢查。七、其他認為有擾亂法庭秩序或影響法庭莊嚴之虞。」</w:t>
      </w:r>
    </w:p>
  </w:footnote>
  <w:footnote w:id="10">
    <w:p w:rsidR="00193E2F" w:rsidRDefault="00193E2F" w:rsidP="001E3926">
      <w:pPr>
        <w:pStyle w:val="af6"/>
        <w:ind w:left="220" w:right="680" w:hangingChars="100" w:hanging="220"/>
      </w:pPr>
      <w:r>
        <w:rPr>
          <w:rStyle w:val="af8"/>
        </w:rPr>
        <w:footnoteRef/>
      </w:r>
      <w:r>
        <w:t xml:space="preserve"> </w:t>
      </w:r>
      <w:r w:rsidRPr="006C469E">
        <w:rPr>
          <w:rFonts w:hint="eastAsia"/>
          <w:sz w:val="24"/>
          <w:szCs w:val="24"/>
        </w:rPr>
        <w:t>司法院</w:t>
      </w:r>
      <w:r w:rsidRPr="006C469E">
        <w:rPr>
          <w:sz w:val="24"/>
          <w:szCs w:val="24"/>
        </w:rPr>
        <w:t>91</w:t>
      </w:r>
      <w:r w:rsidRPr="006C469E">
        <w:rPr>
          <w:rFonts w:hint="eastAsia"/>
          <w:sz w:val="24"/>
          <w:szCs w:val="24"/>
        </w:rPr>
        <w:t>年</w:t>
      </w:r>
      <w:r w:rsidRPr="006C469E">
        <w:rPr>
          <w:sz w:val="24"/>
          <w:szCs w:val="24"/>
        </w:rPr>
        <w:t>4</w:t>
      </w:r>
      <w:r w:rsidRPr="006C469E">
        <w:rPr>
          <w:rFonts w:hint="eastAsia"/>
          <w:sz w:val="24"/>
          <w:szCs w:val="24"/>
        </w:rPr>
        <w:t>月</w:t>
      </w:r>
      <w:r w:rsidRPr="006C469E">
        <w:rPr>
          <w:sz w:val="24"/>
          <w:szCs w:val="24"/>
        </w:rPr>
        <w:t>18</w:t>
      </w:r>
      <w:r w:rsidRPr="006C469E">
        <w:rPr>
          <w:rFonts w:hint="eastAsia"/>
          <w:sz w:val="24"/>
          <w:szCs w:val="24"/>
        </w:rPr>
        <w:t>日</w:t>
      </w:r>
      <w:r w:rsidRPr="006C469E">
        <w:rPr>
          <w:sz w:val="24"/>
          <w:szCs w:val="24"/>
        </w:rPr>
        <w:t>(91)</w:t>
      </w:r>
      <w:r w:rsidRPr="006C469E">
        <w:rPr>
          <w:rFonts w:hint="eastAsia"/>
          <w:sz w:val="24"/>
          <w:szCs w:val="24"/>
        </w:rPr>
        <w:t>院台廳司三字第</w:t>
      </w:r>
      <w:r w:rsidRPr="006C469E">
        <w:rPr>
          <w:sz w:val="24"/>
          <w:szCs w:val="24"/>
        </w:rPr>
        <w:t>10278</w:t>
      </w:r>
      <w:r w:rsidRPr="006C469E">
        <w:rPr>
          <w:rFonts w:hint="eastAsia"/>
          <w:sz w:val="24"/>
          <w:szCs w:val="24"/>
        </w:rPr>
        <w:t>號函</w:t>
      </w:r>
      <w:r w:rsidR="00154890">
        <w:rPr>
          <w:rFonts w:hint="eastAsia"/>
          <w:sz w:val="24"/>
          <w:szCs w:val="24"/>
        </w:rPr>
        <w:t>。</w:t>
      </w:r>
    </w:p>
  </w:footnote>
  <w:footnote w:id="11">
    <w:p w:rsidR="00193E2F" w:rsidRDefault="00193E2F" w:rsidP="00BE3251">
      <w:pPr>
        <w:pStyle w:val="af6"/>
        <w:ind w:left="264" w:hangingChars="120" w:hanging="264"/>
        <w:jc w:val="both"/>
      </w:pPr>
      <w:r>
        <w:rPr>
          <w:rStyle w:val="af8"/>
        </w:rPr>
        <w:footnoteRef/>
      </w:r>
      <w:r>
        <w:rPr>
          <w:rFonts w:hint="eastAsia"/>
        </w:rPr>
        <w:t xml:space="preserve"> </w:t>
      </w:r>
      <w:r w:rsidRPr="006C469E">
        <w:rPr>
          <w:rFonts w:hint="eastAsia"/>
          <w:sz w:val="24"/>
          <w:szCs w:val="24"/>
        </w:rPr>
        <w:t>最高法院法警執行警衛及值日勤務注意事項第</w:t>
      </w:r>
      <w:r w:rsidRPr="006C469E">
        <w:rPr>
          <w:sz w:val="24"/>
          <w:szCs w:val="24"/>
        </w:rPr>
        <w:t>3</w:t>
      </w:r>
      <w:r w:rsidRPr="006C469E">
        <w:rPr>
          <w:rFonts w:hint="eastAsia"/>
          <w:sz w:val="24"/>
          <w:szCs w:val="24"/>
        </w:rPr>
        <w:t>點第</w:t>
      </w:r>
      <w:r w:rsidRPr="006C469E">
        <w:rPr>
          <w:sz w:val="24"/>
          <w:szCs w:val="24"/>
        </w:rPr>
        <w:t>9</w:t>
      </w:r>
      <w:r w:rsidRPr="006C469E">
        <w:rPr>
          <w:rFonts w:hint="eastAsia"/>
          <w:sz w:val="24"/>
          <w:szCs w:val="24"/>
        </w:rPr>
        <w:t>款規定：「法警回答民眾之詢問或執行安全檢查時，應和藹親切；對女性民眾執行安全檢查，應由女性檢查人員為之，如有爭端，應即陳報處理。」</w:t>
      </w:r>
    </w:p>
  </w:footnote>
  <w:footnote w:id="12">
    <w:p w:rsidR="00193E2F" w:rsidRDefault="00193E2F" w:rsidP="008E7746">
      <w:pPr>
        <w:pStyle w:val="af6"/>
        <w:ind w:left="264" w:hangingChars="120" w:hanging="264"/>
        <w:jc w:val="both"/>
      </w:pPr>
      <w:r>
        <w:rPr>
          <w:rStyle w:val="af8"/>
        </w:rPr>
        <w:footnoteRef/>
      </w:r>
      <w:r>
        <w:rPr>
          <w:rFonts w:hint="eastAsia"/>
        </w:rPr>
        <w:t xml:space="preserve"> </w:t>
      </w:r>
      <w:r w:rsidRPr="006C469E">
        <w:rPr>
          <w:rFonts w:hint="eastAsia"/>
          <w:sz w:val="24"/>
          <w:szCs w:val="24"/>
        </w:rPr>
        <w:t>臺灣高等法院暨所屬各級法院法警執行職務應行注意事項第</w:t>
      </w:r>
      <w:r w:rsidRPr="006C469E">
        <w:rPr>
          <w:rFonts w:hint="eastAsia"/>
          <w:sz w:val="24"/>
          <w:szCs w:val="24"/>
        </w:rPr>
        <w:t>64</w:t>
      </w:r>
      <w:r w:rsidRPr="006C469E">
        <w:rPr>
          <w:rFonts w:hint="eastAsia"/>
          <w:sz w:val="24"/>
          <w:szCs w:val="24"/>
        </w:rPr>
        <w:t>點規定：「法警於回答民眾之詢問或執行安全檢查時，應和藹親切；遇有對女性民眾執行安全檢查，應由女性檢查人員為之，如有爭端，應即陳報處理。」</w:t>
      </w:r>
    </w:p>
  </w:footnote>
  <w:footnote w:id="13">
    <w:p w:rsidR="00193E2F" w:rsidRPr="006C469E" w:rsidRDefault="00193E2F" w:rsidP="00D83920">
      <w:pPr>
        <w:pStyle w:val="af6"/>
        <w:ind w:left="264" w:hangingChars="120" w:hanging="264"/>
        <w:jc w:val="both"/>
        <w:rPr>
          <w:sz w:val="24"/>
          <w:szCs w:val="24"/>
        </w:rPr>
      </w:pPr>
      <w:r>
        <w:rPr>
          <w:rStyle w:val="af8"/>
        </w:rPr>
        <w:footnoteRef/>
      </w:r>
      <w:r>
        <w:rPr>
          <w:rFonts w:hint="eastAsia"/>
        </w:rPr>
        <w:t xml:space="preserve"> </w:t>
      </w:r>
      <w:r w:rsidRPr="006C469E">
        <w:rPr>
          <w:rFonts w:hint="eastAsia"/>
          <w:sz w:val="24"/>
          <w:szCs w:val="24"/>
        </w:rPr>
        <w:t>臺灣高等法院安全維護實施要點第</w:t>
      </w:r>
      <w:r w:rsidRPr="006C469E">
        <w:rPr>
          <w:rFonts w:hint="eastAsia"/>
          <w:sz w:val="24"/>
          <w:szCs w:val="24"/>
        </w:rPr>
        <w:t>3</w:t>
      </w:r>
      <w:r w:rsidRPr="006C469E">
        <w:rPr>
          <w:rFonts w:hint="eastAsia"/>
          <w:sz w:val="24"/>
          <w:szCs w:val="24"/>
        </w:rPr>
        <w:t>點規定：「本院得於刑事庭及民事庭大廈適當地點設置檢查哨並使用金屬探測儀器，由法警室執行安全檢查，並由政風人員不定期督導。進入本院均須經過安全檢查，拒絕安全檢查者，禁止其進入。……」第</w:t>
      </w:r>
      <w:r w:rsidRPr="006C469E">
        <w:rPr>
          <w:rFonts w:hint="eastAsia"/>
          <w:sz w:val="24"/>
          <w:szCs w:val="24"/>
        </w:rPr>
        <w:t>5</w:t>
      </w:r>
      <w:r w:rsidRPr="006C469E">
        <w:rPr>
          <w:rFonts w:hint="eastAsia"/>
          <w:sz w:val="24"/>
          <w:szCs w:val="24"/>
        </w:rPr>
        <w:t>點規定：「任何人有下列情形之一者，禁止進入本院：……（二）拒絕安全檢查者。……」第</w:t>
      </w:r>
      <w:r w:rsidRPr="006C469E">
        <w:rPr>
          <w:rFonts w:hint="eastAsia"/>
          <w:sz w:val="24"/>
          <w:szCs w:val="24"/>
        </w:rPr>
        <w:t>7</w:t>
      </w:r>
      <w:r w:rsidRPr="006C469E">
        <w:rPr>
          <w:rFonts w:hint="eastAsia"/>
          <w:sz w:val="24"/>
          <w:szCs w:val="24"/>
        </w:rPr>
        <w:t>點規定：「本院執行安全檢查之人員，應態度和藹、注意禮貌，遇有女性民眾有搜身之必要時，應由女性檢查人員為之。執行遇有爭執或爭議時，應即陳報處理。」臺灣士林地方法院安全維護實施要點第</w:t>
      </w:r>
      <w:r w:rsidRPr="006C469E">
        <w:rPr>
          <w:rFonts w:hint="eastAsia"/>
          <w:sz w:val="24"/>
          <w:szCs w:val="24"/>
        </w:rPr>
        <w:t>4</w:t>
      </w:r>
      <w:r w:rsidRPr="006C469E">
        <w:rPr>
          <w:rFonts w:hint="eastAsia"/>
          <w:sz w:val="24"/>
          <w:szCs w:val="24"/>
        </w:rPr>
        <w:t>點規定：「本院得於院區適當地點設置檢查哨，由法警執行安全檢查，並得使用金屬探測門（器）或</w:t>
      </w:r>
      <w:r w:rsidRPr="006C469E">
        <w:rPr>
          <w:rFonts w:hint="eastAsia"/>
          <w:sz w:val="24"/>
          <w:szCs w:val="24"/>
        </w:rPr>
        <w:t>X</w:t>
      </w:r>
      <w:r w:rsidRPr="006C469E">
        <w:rPr>
          <w:rFonts w:hint="eastAsia"/>
          <w:sz w:val="24"/>
          <w:szCs w:val="24"/>
        </w:rPr>
        <w:t>光行李檢查儀等輔助儀器。民眾進入本院，經金屬探測門（器）偵測有金屬物品反應時，須接受安全檢查。」第五點規定：「第四點第一項所稱安全檢查之執行方式為：（一）由民眾自行取出口袋內所有物品，置於門口平台上，供安全檢查人員檢視。（二）攜帶手提袋、背包、行李箱等物品之民眾，應自行開啟封口，並逐一翻開內容物品，供安全檢查人員檢視。」臺灣基隆司法大廈安全維護實施要點第</w:t>
      </w:r>
      <w:r w:rsidRPr="006C469E">
        <w:rPr>
          <w:rFonts w:hint="eastAsia"/>
          <w:sz w:val="24"/>
          <w:szCs w:val="24"/>
        </w:rPr>
        <w:t>3</w:t>
      </w:r>
      <w:r w:rsidRPr="006C469E">
        <w:rPr>
          <w:rFonts w:hint="eastAsia"/>
          <w:sz w:val="24"/>
          <w:szCs w:val="24"/>
        </w:rPr>
        <w:t>點規定：「本司法大廈得於門口及適當地點設置檢查哨並使用金屬探測儀器，由院、檢法警室每月輪流執行安全檢查，政風室不定期督導。」第</w:t>
      </w:r>
      <w:r w:rsidRPr="006C469E">
        <w:rPr>
          <w:rFonts w:hint="eastAsia"/>
          <w:sz w:val="24"/>
          <w:szCs w:val="24"/>
        </w:rPr>
        <w:t>4</w:t>
      </w:r>
      <w:r w:rsidRPr="006C469E">
        <w:rPr>
          <w:rFonts w:hint="eastAsia"/>
          <w:sz w:val="24"/>
          <w:szCs w:val="24"/>
        </w:rPr>
        <w:t>點規定：「進入司法大廈均須經過安全檢查，拒絕安全檢查者，禁止其進入。……」</w:t>
      </w:r>
    </w:p>
  </w:footnote>
  <w:footnote w:id="14">
    <w:p w:rsidR="00193E2F" w:rsidRPr="00984EB9" w:rsidRDefault="00193E2F" w:rsidP="00933013">
      <w:pPr>
        <w:pStyle w:val="af6"/>
        <w:ind w:left="264" w:hangingChars="120" w:hanging="264"/>
        <w:jc w:val="both"/>
      </w:pPr>
      <w:r>
        <w:rPr>
          <w:rStyle w:val="af8"/>
        </w:rPr>
        <w:footnoteRef/>
      </w:r>
      <w:r>
        <w:t xml:space="preserve"> </w:t>
      </w:r>
      <w:r w:rsidRPr="006C469E">
        <w:rPr>
          <w:rFonts w:hint="eastAsia"/>
          <w:sz w:val="24"/>
          <w:szCs w:val="24"/>
        </w:rPr>
        <w:t>吳庚教授指出：若認同「有組織法即有行為法」為法制上之一項原則，則所謂依法行政、法律保留將無存在餘地。大法官近年在重建依法行政之過程中，首須否定有組織法即有行為法之誤謬，是以釋字第</w:t>
      </w:r>
      <w:r w:rsidRPr="006C469E">
        <w:rPr>
          <w:rFonts w:hint="eastAsia"/>
          <w:sz w:val="24"/>
          <w:szCs w:val="24"/>
        </w:rPr>
        <w:t>390</w:t>
      </w:r>
      <w:r w:rsidRPr="006C469E">
        <w:rPr>
          <w:rFonts w:hint="eastAsia"/>
          <w:sz w:val="24"/>
          <w:szCs w:val="24"/>
        </w:rPr>
        <w:t>號解釋宣告工廠設立登記規則有關罰則等規定違害。又警察勤務條例以組織法之規定授予警察臨檢、盤查等權限，釋憲機關為維護其規範效力，不致立即失效，在釋字第</w:t>
      </w:r>
      <w:r w:rsidRPr="006C469E">
        <w:rPr>
          <w:rFonts w:hint="eastAsia"/>
          <w:sz w:val="24"/>
          <w:szCs w:val="24"/>
        </w:rPr>
        <w:t>535</w:t>
      </w:r>
      <w:r w:rsidRPr="006C469E">
        <w:rPr>
          <w:rFonts w:hint="eastAsia"/>
          <w:sz w:val="24"/>
          <w:szCs w:val="24"/>
        </w:rPr>
        <w:t>號解釋謂：「警察勤務條例規定警察機關執行勤務之編組及分工，並對執行勤務得採取之方式加以列舉，已非單純之組織法，實兼有行為法之性質。」可知僅憑組織法並不能發號施令，限制人民之自由權利。</w:t>
      </w:r>
      <w:r w:rsidR="0029596A">
        <w:rPr>
          <w:rFonts w:hint="eastAsia"/>
          <w:sz w:val="24"/>
          <w:szCs w:val="24"/>
        </w:rPr>
        <w:t>參見氏著《行政法之理論與實用》，</w:t>
      </w:r>
      <w:r w:rsidR="0029596A">
        <w:rPr>
          <w:rFonts w:hint="eastAsia"/>
          <w:sz w:val="24"/>
          <w:szCs w:val="24"/>
        </w:rPr>
        <w:t>10</w:t>
      </w:r>
      <w:r w:rsidR="0029596A">
        <w:rPr>
          <w:rFonts w:hint="eastAsia"/>
          <w:sz w:val="24"/>
          <w:szCs w:val="24"/>
        </w:rPr>
        <w:t>版，</w:t>
      </w:r>
      <w:r w:rsidR="0029596A">
        <w:rPr>
          <w:rFonts w:hint="eastAsia"/>
          <w:sz w:val="24"/>
          <w:szCs w:val="24"/>
        </w:rPr>
        <w:t>97</w:t>
      </w:r>
      <w:r w:rsidR="0029596A">
        <w:rPr>
          <w:rFonts w:hint="eastAsia"/>
          <w:sz w:val="24"/>
          <w:szCs w:val="24"/>
        </w:rPr>
        <w:t>年</w:t>
      </w:r>
      <w:r w:rsidR="0029596A">
        <w:rPr>
          <w:rFonts w:hint="eastAsia"/>
          <w:sz w:val="24"/>
          <w:szCs w:val="24"/>
        </w:rPr>
        <w:t>9</w:t>
      </w:r>
      <w:r w:rsidR="0029596A">
        <w:rPr>
          <w:rFonts w:hint="eastAsia"/>
          <w:sz w:val="24"/>
          <w:szCs w:val="24"/>
        </w:rPr>
        <w:t>月，</w:t>
      </w:r>
      <w:r w:rsidRPr="006C469E">
        <w:rPr>
          <w:rFonts w:hint="eastAsia"/>
          <w:sz w:val="24"/>
          <w:szCs w:val="24"/>
        </w:rPr>
        <w:t>109</w:t>
      </w:r>
      <w:r w:rsidRPr="006C469E">
        <w:rPr>
          <w:rFonts w:hint="eastAsia"/>
          <w:sz w:val="24"/>
          <w:szCs w:val="24"/>
        </w:rPr>
        <w:t>頁</w:t>
      </w:r>
      <w:r w:rsidR="00154890">
        <w:rPr>
          <w:rFonts w:hint="eastAsia"/>
          <w:sz w:val="24"/>
          <w:szCs w:val="24"/>
        </w:rPr>
        <w:t>。</w:t>
      </w:r>
    </w:p>
  </w:footnote>
  <w:footnote w:id="15">
    <w:p w:rsidR="00193E2F" w:rsidRPr="000B7DC3" w:rsidRDefault="00193E2F" w:rsidP="00933013">
      <w:pPr>
        <w:pStyle w:val="af6"/>
        <w:ind w:left="264" w:hangingChars="120" w:hanging="264"/>
        <w:jc w:val="both"/>
      </w:pPr>
      <w:r>
        <w:rPr>
          <w:rStyle w:val="af8"/>
        </w:rPr>
        <w:footnoteRef/>
      </w:r>
      <w:r>
        <w:rPr>
          <w:rFonts w:hint="eastAsia"/>
        </w:rPr>
        <w:t xml:space="preserve"> </w:t>
      </w:r>
      <w:r w:rsidRPr="006C469E">
        <w:rPr>
          <w:rFonts w:hint="eastAsia"/>
          <w:sz w:val="24"/>
          <w:szCs w:val="24"/>
        </w:rPr>
        <w:t>縱為營造物利用規則，亦應有法律保留原則之適用，法制上如欲對相關人員為身體或攜帶之物品以檢查，似應比照「監獄行刑法」第</w:t>
      </w:r>
      <w:r w:rsidRPr="006C469E">
        <w:rPr>
          <w:rFonts w:hint="eastAsia"/>
          <w:sz w:val="24"/>
          <w:szCs w:val="24"/>
        </w:rPr>
        <w:t xml:space="preserve">12 </w:t>
      </w:r>
      <w:r w:rsidRPr="006C469E">
        <w:rPr>
          <w:rFonts w:hint="eastAsia"/>
          <w:sz w:val="24"/>
          <w:szCs w:val="24"/>
        </w:rPr>
        <w:t>條：「受刑人入監時，應檢查其身體、衣類及攜帶物品，並捺印指紋或照相；在執行中認為有必要時亦同。受刑人為婦女者，前項檢查由女管理員為之。」</w:t>
      </w:r>
    </w:p>
  </w:footnote>
  <w:footnote w:id="16">
    <w:p w:rsidR="00193E2F" w:rsidRPr="000B7DC3" w:rsidRDefault="00193E2F" w:rsidP="00933013">
      <w:pPr>
        <w:pStyle w:val="af6"/>
        <w:ind w:left="264" w:hangingChars="120" w:hanging="264"/>
        <w:jc w:val="both"/>
      </w:pPr>
      <w:r>
        <w:rPr>
          <w:rStyle w:val="af8"/>
        </w:rPr>
        <w:footnoteRef/>
      </w:r>
      <w:r>
        <w:rPr>
          <w:rFonts w:hint="eastAsia"/>
        </w:rPr>
        <w:t xml:space="preserve"> </w:t>
      </w:r>
      <w:r w:rsidRPr="006C469E">
        <w:rPr>
          <w:rFonts w:hint="eastAsia"/>
          <w:sz w:val="24"/>
          <w:szCs w:val="24"/>
        </w:rPr>
        <w:t>無論公法上家（宅）權或營造物警察權，如涉及人民權益之干預，均需有法律授權之依據。</w:t>
      </w:r>
    </w:p>
  </w:footnote>
  <w:footnote w:id="17">
    <w:p w:rsidR="00193E2F" w:rsidRPr="00193E2F" w:rsidRDefault="00193E2F">
      <w:pPr>
        <w:pStyle w:val="af6"/>
      </w:pPr>
      <w:r>
        <w:rPr>
          <w:rStyle w:val="af8"/>
        </w:rPr>
        <w:footnoteRef/>
      </w:r>
      <w:r>
        <w:t xml:space="preserve"> </w:t>
      </w:r>
      <w:r w:rsidRPr="006C469E">
        <w:rPr>
          <w:rFonts w:hint="eastAsia"/>
          <w:sz w:val="24"/>
          <w:szCs w:val="24"/>
        </w:rPr>
        <w:t>如註</w:t>
      </w:r>
      <w:r w:rsidRPr="006C469E">
        <w:rPr>
          <w:rFonts w:hint="eastAsia"/>
          <w:sz w:val="24"/>
          <w:szCs w:val="24"/>
        </w:rPr>
        <w:t>22</w:t>
      </w:r>
      <w:r w:rsidRPr="006C469E">
        <w:rPr>
          <w:rFonts w:hint="eastAsia"/>
          <w:sz w:val="24"/>
          <w:szCs w:val="24"/>
        </w:rPr>
        <w:t>所引監獄行刑法第</w:t>
      </w:r>
      <w:r w:rsidRPr="006C469E">
        <w:rPr>
          <w:rFonts w:hint="eastAsia"/>
          <w:sz w:val="24"/>
          <w:szCs w:val="24"/>
        </w:rPr>
        <w:t>12</w:t>
      </w:r>
      <w:r w:rsidRPr="006C469E">
        <w:rPr>
          <w:rFonts w:hint="eastAsia"/>
          <w:sz w:val="24"/>
          <w:szCs w:val="24"/>
        </w:rPr>
        <w:t>條規定。</w:t>
      </w:r>
    </w:p>
  </w:footnote>
  <w:footnote w:id="18">
    <w:p w:rsidR="00193E2F" w:rsidRDefault="00193E2F" w:rsidP="008F4AA2">
      <w:pPr>
        <w:pStyle w:val="af6"/>
        <w:ind w:left="264" w:hangingChars="120" w:hanging="264"/>
        <w:jc w:val="both"/>
      </w:pPr>
      <w:r>
        <w:rPr>
          <w:rStyle w:val="af8"/>
        </w:rPr>
        <w:footnoteRef/>
      </w:r>
      <w:r>
        <w:rPr>
          <w:rFonts w:hint="eastAsia"/>
        </w:rPr>
        <w:t xml:space="preserve"> </w:t>
      </w:r>
      <w:r w:rsidRPr="006C469E">
        <w:rPr>
          <w:rFonts w:hint="eastAsia"/>
          <w:sz w:val="24"/>
          <w:szCs w:val="24"/>
        </w:rPr>
        <w:t>李震山，參見氏著《行政法導論》，</w:t>
      </w:r>
      <w:r w:rsidRPr="006C469E">
        <w:rPr>
          <w:rFonts w:hint="eastAsia"/>
          <w:sz w:val="24"/>
          <w:szCs w:val="24"/>
        </w:rPr>
        <w:t>2015</w:t>
      </w:r>
      <w:r w:rsidRPr="006C469E">
        <w:rPr>
          <w:rFonts w:hint="eastAsia"/>
          <w:sz w:val="24"/>
          <w:szCs w:val="24"/>
        </w:rPr>
        <w:t>年</w:t>
      </w:r>
      <w:r w:rsidRPr="006C469E">
        <w:rPr>
          <w:rFonts w:hint="eastAsia"/>
          <w:sz w:val="24"/>
          <w:szCs w:val="24"/>
        </w:rPr>
        <w:t>8</w:t>
      </w:r>
      <w:r w:rsidRPr="006C469E">
        <w:rPr>
          <w:rFonts w:hint="eastAsia"/>
          <w:sz w:val="24"/>
          <w:szCs w:val="24"/>
        </w:rPr>
        <w:t>月</w:t>
      </w:r>
      <w:r w:rsidR="0029596A">
        <w:rPr>
          <w:rFonts w:hint="eastAsia"/>
          <w:sz w:val="24"/>
          <w:szCs w:val="24"/>
        </w:rPr>
        <w:t>10</w:t>
      </w:r>
      <w:r w:rsidRPr="006C469E">
        <w:rPr>
          <w:rFonts w:hint="eastAsia"/>
          <w:sz w:val="24"/>
          <w:szCs w:val="24"/>
        </w:rPr>
        <w:t>版，第</w:t>
      </w:r>
      <w:r w:rsidRPr="006C469E">
        <w:rPr>
          <w:rFonts w:hint="eastAsia"/>
          <w:sz w:val="24"/>
          <w:szCs w:val="24"/>
        </w:rPr>
        <w:t>94-95</w:t>
      </w:r>
      <w:r w:rsidRPr="006C469E">
        <w:rPr>
          <w:rFonts w:hint="eastAsia"/>
          <w:sz w:val="24"/>
          <w:szCs w:val="24"/>
        </w:rPr>
        <w:t>頁、〈行政組織法與行政作業法之區別及實益〉，《月旦法學》第</w:t>
      </w:r>
      <w:r w:rsidRPr="006C469E">
        <w:rPr>
          <w:rFonts w:hint="eastAsia"/>
          <w:sz w:val="24"/>
          <w:szCs w:val="24"/>
        </w:rPr>
        <w:t>85</w:t>
      </w:r>
      <w:r w:rsidRPr="006C469E">
        <w:rPr>
          <w:rFonts w:hint="eastAsia"/>
          <w:sz w:val="24"/>
          <w:szCs w:val="24"/>
        </w:rPr>
        <w:t>期，</w:t>
      </w:r>
      <w:r w:rsidRPr="006C469E">
        <w:rPr>
          <w:rFonts w:hint="eastAsia"/>
          <w:sz w:val="24"/>
          <w:szCs w:val="24"/>
        </w:rPr>
        <w:t>2002</w:t>
      </w:r>
      <w:r w:rsidRPr="006C469E">
        <w:rPr>
          <w:rFonts w:hint="eastAsia"/>
          <w:sz w:val="24"/>
          <w:szCs w:val="24"/>
        </w:rPr>
        <w:t>年</w:t>
      </w:r>
      <w:r w:rsidRPr="006C469E">
        <w:rPr>
          <w:rFonts w:hint="eastAsia"/>
          <w:sz w:val="24"/>
          <w:szCs w:val="24"/>
        </w:rPr>
        <w:t>6</w:t>
      </w:r>
      <w:r w:rsidRPr="006C469E">
        <w:rPr>
          <w:rFonts w:hint="eastAsia"/>
          <w:sz w:val="24"/>
          <w:szCs w:val="24"/>
        </w:rPr>
        <w:t>月，第</w:t>
      </w:r>
      <w:r w:rsidRPr="006C469E">
        <w:rPr>
          <w:rFonts w:hint="eastAsia"/>
          <w:sz w:val="24"/>
          <w:szCs w:val="24"/>
        </w:rPr>
        <w:t>17</w:t>
      </w:r>
      <w:r w:rsidRPr="006C469E">
        <w:rPr>
          <w:rFonts w:hint="eastAsia"/>
          <w:sz w:val="24"/>
          <w:szCs w:val="24"/>
        </w:rPr>
        <w:t>頁參照。文中指出：「德國多數邦，除有警察組織法外，另有『警察任務與職權法』，後者之任務法在性質上，屬組織上權限，而非作用上之權能。此種合併，僅將具組織法性質之任務（如我國警察法第二條規定：「警察任務為依法維持公共秩序，保護社會安全，防止一切危害，促進人民福利」）與職權法合而為一，與組織法作用法分立精神尚無違背。……德國聯邦國境保護法將組織、任務、職權併規定於一法中，其並非以作用法作為組織法之法源，只是在立法技術上，將組織法與作用法合併行規定」。</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FD0D7F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3"/>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27">
    <w:abstractNumId w:val="1"/>
  </w:num>
  <w:num w:numId="28">
    <w:abstractNumId w:val="1"/>
  </w:num>
  <w:num w:numId="29">
    <w:abstractNumId w:val="1"/>
  </w:num>
  <w:num w:numId="30">
    <w:abstractNumId w:val="1"/>
  </w:num>
  <w:num w:numId="31">
    <w:abstractNumId w:val="1"/>
  </w:num>
  <w:num w:numId="3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8A"/>
    <w:rsid w:val="00005C62"/>
    <w:rsid w:val="0002343C"/>
    <w:rsid w:val="00036C57"/>
    <w:rsid w:val="0004706C"/>
    <w:rsid w:val="00052B64"/>
    <w:rsid w:val="000765DC"/>
    <w:rsid w:val="00082F1C"/>
    <w:rsid w:val="0008380E"/>
    <w:rsid w:val="0009355A"/>
    <w:rsid w:val="00097B21"/>
    <w:rsid w:val="000A2851"/>
    <w:rsid w:val="000A47E2"/>
    <w:rsid w:val="000A59D4"/>
    <w:rsid w:val="000B73E5"/>
    <w:rsid w:val="000B7DC3"/>
    <w:rsid w:val="000C5D90"/>
    <w:rsid w:val="000D3CF1"/>
    <w:rsid w:val="000D5622"/>
    <w:rsid w:val="000E0385"/>
    <w:rsid w:val="000F3968"/>
    <w:rsid w:val="000F7A23"/>
    <w:rsid w:val="00104D18"/>
    <w:rsid w:val="001136B0"/>
    <w:rsid w:val="001159B2"/>
    <w:rsid w:val="001266D2"/>
    <w:rsid w:val="00127237"/>
    <w:rsid w:val="001275FD"/>
    <w:rsid w:val="001325D8"/>
    <w:rsid w:val="00140221"/>
    <w:rsid w:val="00154890"/>
    <w:rsid w:val="00170ABF"/>
    <w:rsid w:val="001731BF"/>
    <w:rsid w:val="00181F35"/>
    <w:rsid w:val="00193E2F"/>
    <w:rsid w:val="0019576C"/>
    <w:rsid w:val="001A2370"/>
    <w:rsid w:val="001A263F"/>
    <w:rsid w:val="001A272A"/>
    <w:rsid w:val="001B1F71"/>
    <w:rsid w:val="001B2AE0"/>
    <w:rsid w:val="001B652A"/>
    <w:rsid w:val="001C63A6"/>
    <w:rsid w:val="001C78CD"/>
    <w:rsid w:val="001D5664"/>
    <w:rsid w:val="001E2756"/>
    <w:rsid w:val="001E3926"/>
    <w:rsid w:val="001E5EB2"/>
    <w:rsid w:val="001F61F8"/>
    <w:rsid w:val="001F6CAE"/>
    <w:rsid w:val="00203419"/>
    <w:rsid w:val="0020610B"/>
    <w:rsid w:val="00207DD0"/>
    <w:rsid w:val="002135F6"/>
    <w:rsid w:val="00216131"/>
    <w:rsid w:val="00222B98"/>
    <w:rsid w:val="00223F68"/>
    <w:rsid w:val="00225A21"/>
    <w:rsid w:val="0022612E"/>
    <w:rsid w:val="002471F1"/>
    <w:rsid w:val="002535B3"/>
    <w:rsid w:val="002537AD"/>
    <w:rsid w:val="00254A8D"/>
    <w:rsid w:val="00255CDE"/>
    <w:rsid w:val="002652BA"/>
    <w:rsid w:val="002665AC"/>
    <w:rsid w:val="0027298A"/>
    <w:rsid w:val="00290A8F"/>
    <w:rsid w:val="0029250C"/>
    <w:rsid w:val="0029596A"/>
    <w:rsid w:val="002976B5"/>
    <w:rsid w:val="00297C32"/>
    <w:rsid w:val="002A5FC9"/>
    <w:rsid w:val="002A788E"/>
    <w:rsid w:val="002B5E2B"/>
    <w:rsid w:val="002B623E"/>
    <w:rsid w:val="002B75A8"/>
    <w:rsid w:val="002B7A00"/>
    <w:rsid w:val="002C64B4"/>
    <w:rsid w:val="002D39C3"/>
    <w:rsid w:val="002D7CC8"/>
    <w:rsid w:val="002E1A9B"/>
    <w:rsid w:val="002E4200"/>
    <w:rsid w:val="002F024F"/>
    <w:rsid w:val="002F0A58"/>
    <w:rsid w:val="002F4598"/>
    <w:rsid w:val="002F540F"/>
    <w:rsid w:val="00302D13"/>
    <w:rsid w:val="0030442F"/>
    <w:rsid w:val="00307CD5"/>
    <w:rsid w:val="00310512"/>
    <w:rsid w:val="00314DAD"/>
    <w:rsid w:val="00321859"/>
    <w:rsid w:val="00327809"/>
    <w:rsid w:val="003340BA"/>
    <w:rsid w:val="003421A2"/>
    <w:rsid w:val="003436BB"/>
    <w:rsid w:val="003513A0"/>
    <w:rsid w:val="0035623C"/>
    <w:rsid w:val="00363256"/>
    <w:rsid w:val="00365010"/>
    <w:rsid w:val="0038119A"/>
    <w:rsid w:val="00381940"/>
    <w:rsid w:val="003824D7"/>
    <w:rsid w:val="00385F58"/>
    <w:rsid w:val="00395641"/>
    <w:rsid w:val="003A5837"/>
    <w:rsid w:val="003B2266"/>
    <w:rsid w:val="003B3E81"/>
    <w:rsid w:val="003B4237"/>
    <w:rsid w:val="003C03E6"/>
    <w:rsid w:val="003C1658"/>
    <w:rsid w:val="003C5563"/>
    <w:rsid w:val="003D25CA"/>
    <w:rsid w:val="003D716F"/>
    <w:rsid w:val="003E09B3"/>
    <w:rsid w:val="003E30A4"/>
    <w:rsid w:val="003E74A8"/>
    <w:rsid w:val="004028DA"/>
    <w:rsid w:val="0040374F"/>
    <w:rsid w:val="00413C16"/>
    <w:rsid w:val="00417B43"/>
    <w:rsid w:val="00421B6B"/>
    <w:rsid w:val="00422A78"/>
    <w:rsid w:val="00427980"/>
    <w:rsid w:val="00435414"/>
    <w:rsid w:val="0043737C"/>
    <w:rsid w:val="004418A1"/>
    <w:rsid w:val="004508C0"/>
    <w:rsid w:val="0045213C"/>
    <w:rsid w:val="004579A2"/>
    <w:rsid w:val="00460405"/>
    <w:rsid w:val="00461C6E"/>
    <w:rsid w:val="004642F1"/>
    <w:rsid w:val="00472BDE"/>
    <w:rsid w:val="00487204"/>
    <w:rsid w:val="00492328"/>
    <w:rsid w:val="004A1B56"/>
    <w:rsid w:val="004A3442"/>
    <w:rsid w:val="004A6DC6"/>
    <w:rsid w:val="004B340E"/>
    <w:rsid w:val="004B5F0D"/>
    <w:rsid w:val="004C3AF0"/>
    <w:rsid w:val="004E2221"/>
    <w:rsid w:val="004E5F5E"/>
    <w:rsid w:val="004E7B40"/>
    <w:rsid w:val="004F17B0"/>
    <w:rsid w:val="004F3935"/>
    <w:rsid w:val="00502E2F"/>
    <w:rsid w:val="00504140"/>
    <w:rsid w:val="00511AFB"/>
    <w:rsid w:val="005158DB"/>
    <w:rsid w:val="00530F99"/>
    <w:rsid w:val="005466AD"/>
    <w:rsid w:val="005545D3"/>
    <w:rsid w:val="005550E8"/>
    <w:rsid w:val="00563E52"/>
    <w:rsid w:val="00566DF2"/>
    <w:rsid w:val="0057729F"/>
    <w:rsid w:val="0058625C"/>
    <w:rsid w:val="00590C3E"/>
    <w:rsid w:val="0059680F"/>
    <w:rsid w:val="005A0D12"/>
    <w:rsid w:val="005A73CD"/>
    <w:rsid w:val="005B1C83"/>
    <w:rsid w:val="005C3508"/>
    <w:rsid w:val="005D5488"/>
    <w:rsid w:val="005E15E2"/>
    <w:rsid w:val="005F00F2"/>
    <w:rsid w:val="005F13DE"/>
    <w:rsid w:val="00611ECE"/>
    <w:rsid w:val="00612669"/>
    <w:rsid w:val="00614A6F"/>
    <w:rsid w:val="00615840"/>
    <w:rsid w:val="006207F5"/>
    <w:rsid w:val="00627FF8"/>
    <w:rsid w:val="00630126"/>
    <w:rsid w:val="00636910"/>
    <w:rsid w:val="006446EC"/>
    <w:rsid w:val="006534DE"/>
    <w:rsid w:val="0065397B"/>
    <w:rsid w:val="00661885"/>
    <w:rsid w:val="00662140"/>
    <w:rsid w:val="00662964"/>
    <w:rsid w:val="0066528C"/>
    <w:rsid w:val="00666C80"/>
    <w:rsid w:val="00691EBB"/>
    <w:rsid w:val="006A1882"/>
    <w:rsid w:val="006A361C"/>
    <w:rsid w:val="006B7580"/>
    <w:rsid w:val="006C469E"/>
    <w:rsid w:val="006D12A4"/>
    <w:rsid w:val="006D2219"/>
    <w:rsid w:val="006D60B1"/>
    <w:rsid w:val="006E352D"/>
    <w:rsid w:val="006F3A8C"/>
    <w:rsid w:val="006F7DF3"/>
    <w:rsid w:val="00712A80"/>
    <w:rsid w:val="007215EC"/>
    <w:rsid w:val="00721B25"/>
    <w:rsid w:val="0073247B"/>
    <w:rsid w:val="007351F5"/>
    <w:rsid w:val="00737346"/>
    <w:rsid w:val="007407CB"/>
    <w:rsid w:val="0074528F"/>
    <w:rsid w:val="00745D46"/>
    <w:rsid w:val="007468D0"/>
    <w:rsid w:val="00751ACC"/>
    <w:rsid w:val="00751CBC"/>
    <w:rsid w:val="00752404"/>
    <w:rsid w:val="00754C44"/>
    <w:rsid w:val="007604BC"/>
    <w:rsid w:val="00773E9B"/>
    <w:rsid w:val="0079001A"/>
    <w:rsid w:val="00792BA7"/>
    <w:rsid w:val="007963A8"/>
    <w:rsid w:val="007A3E15"/>
    <w:rsid w:val="007B46B7"/>
    <w:rsid w:val="007C4D83"/>
    <w:rsid w:val="007C678A"/>
    <w:rsid w:val="007D7041"/>
    <w:rsid w:val="007E3FFC"/>
    <w:rsid w:val="007E77E6"/>
    <w:rsid w:val="007F58E1"/>
    <w:rsid w:val="007F5F92"/>
    <w:rsid w:val="007F67CC"/>
    <w:rsid w:val="00800A84"/>
    <w:rsid w:val="00804677"/>
    <w:rsid w:val="00811B5F"/>
    <w:rsid w:val="008168B2"/>
    <w:rsid w:val="00822EC6"/>
    <w:rsid w:val="00823064"/>
    <w:rsid w:val="00825E8D"/>
    <w:rsid w:val="0083118E"/>
    <w:rsid w:val="00841D15"/>
    <w:rsid w:val="00846122"/>
    <w:rsid w:val="00857FD1"/>
    <w:rsid w:val="00863865"/>
    <w:rsid w:val="0086733C"/>
    <w:rsid w:val="008766C1"/>
    <w:rsid w:val="00877925"/>
    <w:rsid w:val="00883C4C"/>
    <w:rsid w:val="00895025"/>
    <w:rsid w:val="00897385"/>
    <w:rsid w:val="008A105E"/>
    <w:rsid w:val="008A3D53"/>
    <w:rsid w:val="008A566E"/>
    <w:rsid w:val="008A7B15"/>
    <w:rsid w:val="008B007E"/>
    <w:rsid w:val="008B6B6D"/>
    <w:rsid w:val="008D0C0F"/>
    <w:rsid w:val="008D30DF"/>
    <w:rsid w:val="008D3A0E"/>
    <w:rsid w:val="008E2A0B"/>
    <w:rsid w:val="008E30B5"/>
    <w:rsid w:val="008E35DC"/>
    <w:rsid w:val="008E4068"/>
    <w:rsid w:val="008E40F9"/>
    <w:rsid w:val="008E513C"/>
    <w:rsid w:val="008E5EE0"/>
    <w:rsid w:val="008E7746"/>
    <w:rsid w:val="008F4AA2"/>
    <w:rsid w:val="008F69F0"/>
    <w:rsid w:val="008F6D01"/>
    <w:rsid w:val="00902DD4"/>
    <w:rsid w:val="00903772"/>
    <w:rsid w:val="00903AE7"/>
    <w:rsid w:val="0091408B"/>
    <w:rsid w:val="0091515F"/>
    <w:rsid w:val="0092051B"/>
    <w:rsid w:val="00920CC1"/>
    <w:rsid w:val="00926F54"/>
    <w:rsid w:val="00933013"/>
    <w:rsid w:val="00936686"/>
    <w:rsid w:val="00937BEF"/>
    <w:rsid w:val="009443A1"/>
    <w:rsid w:val="009540CC"/>
    <w:rsid w:val="00960B5F"/>
    <w:rsid w:val="00961433"/>
    <w:rsid w:val="00965222"/>
    <w:rsid w:val="00972C74"/>
    <w:rsid w:val="00984EB9"/>
    <w:rsid w:val="00993937"/>
    <w:rsid w:val="009976B3"/>
    <w:rsid w:val="00997C4E"/>
    <w:rsid w:val="00997DE5"/>
    <w:rsid w:val="009A0C27"/>
    <w:rsid w:val="009A4BEF"/>
    <w:rsid w:val="009B7CE4"/>
    <w:rsid w:val="009C265C"/>
    <w:rsid w:val="009D1A96"/>
    <w:rsid w:val="009E1A49"/>
    <w:rsid w:val="00A00DE6"/>
    <w:rsid w:val="00A02AF0"/>
    <w:rsid w:val="00A0462F"/>
    <w:rsid w:val="00A06EC1"/>
    <w:rsid w:val="00A07659"/>
    <w:rsid w:val="00A17DD1"/>
    <w:rsid w:val="00A227DB"/>
    <w:rsid w:val="00A26474"/>
    <w:rsid w:val="00A31E25"/>
    <w:rsid w:val="00A47952"/>
    <w:rsid w:val="00A5387A"/>
    <w:rsid w:val="00A57C89"/>
    <w:rsid w:val="00A6007B"/>
    <w:rsid w:val="00A626FB"/>
    <w:rsid w:val="00A640C3"/>
    <w:rsid w:val="00A64E19"/>
    <w:rsid w:val="00A77C1F"/>
    <w:rsid w:val="00A9475F"/>
    <w:rsid w:val="00A958C6"/>
    <w:rsid w:val="00AA0C7E"/>
    <w:rsid w:val="00AB263A"/>
    <w:rsid w:val="00AB4AE7"/>
    <w:rsid w:val="00AB5099"/>
    <w:rsid w:val="00AB686F"/>
    <w:rsid w:val="00AB6905"/>
    <w:rsid w:val="00AB7B85"/>
    <w:rsid w:val="00AC4995"/>
    <w:rsid w:val="00AD3878"/>
    <w:rsid w:val="00AD6D2D"/>
    <w:rsid w:val="00AF02F0"/>
    <w:rsid w:val="00AF0EDD"/>
    <w:rsid w:val="00B02959"/>
    <w:rsid w:val="00B05290"/>
    <w:rsid w:val="00B11201"/>
    <w:rsid w:val="00B1666C"/>
    <w:rsid w:val="00B17D91"/>
    <w:rsid w:val="00B47C38"/>
    <w:rsid w:val="00B52088"/>
    <w:rsid w:val="00B52309"/>
    <w:rsid w:val="00B570D6"/>
    <w:rsid w:val="00B57C27"/>
    <w:rsid w:val="00B61C07"/>
    <w:rsid w:val="00B81D3D"/>
    <w:rsid w:val="00B874FD"/>
    <w:rsid w:val="00B90FF6"/>
    <w:rsid w:val="00BA3043"/>
    <w:rsid w:val="00BB0278"/>
    <w:rsid w:val="00BB0A71"/>
    <w:rsid w:val="00BB4CBC"/>
    <w:rsid w:val="00BC2A30"/>
    <w:rsid w:val="00BC5443"/>
    <w:rsid w:val="00BD0861"/>
    <w:rsid w:val="00BD472C"/>
    <w:rsid w:val="00BE1E31"/>
    <w:rsid w:val="00BE3251"/>
    <w:rsid w:val="00BF1794"/>
    <w:rsid w:val="00BF41D1"/>
    <w:rsid w:val="00C0566A"/>
    <w:rsid w:val="00C06776"/>
    <w:rsid w:val="00C0748A"/>
    <w:rsid w:val="00C1065F"/>
    <w:rsid w:val="00C16BF3"/>
    <w:rsid w:val="00C23B55"/>
    <w:rsid w:val="00C30B8E"/>
    <w:rsid w:val="00C3380B"/>
    <w:rsid w:val="00C6107A"/>
    <w:rsid w:val="00C722AC"/>
    <w:rsid w:val="00C72D8A"/>
    <w:rsid w:val="00C8226B"/>
    <w:rsid w:val="00C85E5B"/>
    <w:rsid w:val="00C94579"/>
    <w:rsid w:val="00CA6B61"/>
    <w:rsid w:val="00CB407C"/>
    <w:rsid w:val="00CC4395"/>
    <w:rsid w:val="00CD7105"/>
    <w:rsid w:val="00CD7894"/>
    <w:rsid w:val="00CE179C"/>
    <w:rsid w:val="00CE5D3F"/>
    <w:rsid w:val="00CE7074"/>
    <w:rsid w:val="00CF0488"/>
    <w:rsid w:val="00CF2A0D"/>
    <w:rsid w:val="00D07ADF"/>
    <w:rsid w:val="00D10C0B"/>
    <w:rsid w:val="00D11AE1"/>
    <w:rsid w:val="00D14C1A"/>
    <w:rsid w:val="00D222C7"/>
    <w:rsid w:val="00D27354"/>
    <w:rsid w:val="00D337A5"/>
    <w:rsid w:val="00D35974"/>
    <w:rsid w:val="00D46C6A"/>
    <w:rsid w:val="00D51580"/>
    <w:rsid w:val="00D52C0A"/>
    <w:rsid w:val="00D53730"/>
    <w:rsid w:val="00D6730A"/>
    <w:rsid w:val="00D74FDD"/>
    <w:rsid w:val="00D75A2C"/>
    <w:rsid w:val="00D810B1"/>
    <w:rsid w:val="00D83920"/>
    <w:rsid w:val="00D85051"/>
    <w:rsid w:val="00D9117A"/>
    <w:rsid w:val="00D9241D"/>
    <w:rsid w:val="00D93FC7"/>
    <w:rsid w:val="00DA1F01"/>
    <w:rsid w:val="00DA3137"/>
    <w:rsid w:val="00DA360B"/>
    <w:rsid w:val="00DA46CF"/>
    <w:rsid w:val="00DA4A08"/>
    <w:rsid w:val="00DA57ED"/>
    <w:rsid w:val="00DA76DD"/>
    <w:rsid w:val="00DB7F2C"/>
    <w:rsid w:val="00DC0785"/>
    <w:rsid w:val="00DC225A"/>
    <w:rsid w:val="00DC5FC1"/>
    <w:rsid w:val="00DE36BD"/>
    <w:rsid w:val="00DE5D1A"/>
    <w:rsid w:val="00DE6DD6"/>
    <w:rsid w:val="00DF2EF7"/>
    <w:rsid w:val="00DF54D8"/>
    <w:rsid w:val="00DF67A3"/>
    <w:rsid w:val="00E00B37"/>
    <w:rsid w:val="00E155C1"/>
    <w:rsid w:val="00E177E2"/>
    <w:rsid w:val="00E216EA"/>
    <w:rsid w:val="00E219CB"/>
    <w:rsid w:val="00E300A5"/>
    <w:rsid w:val="00E30441"/>
    <w:rsid w:val="00E334D4"/>
    <w:rsid w:val="00E37A92"/>
    <w:rsid w:val="00E5028E"/>
    <w:rsid w:val="00E628E4"/>
    <w:rsid w:val="00E6560C"/>
    <w:rsid w:val="00E76BE2"/>
    <w:rsid w:val="00E80012"/>
    <w:rsid w:val="00E915DE"/>
    <w:rsid w:val="00E91FBD"/>
    <w:rsid w:val="00E92314"/>
    <w:rsid w:val="00EA226A"/>
    <w:rsid w:val="00EA6ACC"/>
    <w:rsid w:val="00EB22B4"/>
    <w:rsid w:val="00EB7544"/>
    <w:rsid w:val="00EC0C41"/>
    <w:rsid w:val="00EC5812"/>
    <w:rsid w:val="00ED1B94"/>
    <w:rsid w:val="00ED7930"/>
    <w:rsid w:val="00EF742F"/>
    <w:rsid w:val="00EF7B42"/>
    <w:rsid w:val="00F03617"/>
    <w:rsid w:val="00F0613D"/>
    <w:rsid w:val="00F07029"/>
    <w:rsid w:val="00F07472"/>
    <w:rsid w:val="00F10F92"/>
    <w:rsid w:val="00F42D08"/>
    <w:rsid w:val="00F47E36"/>
    <w:rsid w:val="00F52496"/>
    <w:rsid w:val="00F56970"/>
    <w:rsid w:val="00F60E51"/>
    <w:rsid w:val="00F63989"/>
    <w:rsid w:val="00F76E94"/>
    <w:rsid w:val="00F77B62"/>
    <w:rsid w:val="00F806B2"/>
    <w:rsid w:val="00F82BC0"/>
    <w:rsid w:val="00F847B6"/>
    <w:rsid w:val="00FA247D"/>
    <w:rsid w:val="00FA774A"/>
    <w:rsid w:val="00FB0FE8"/>
    <w:rsid w:val="00FB5442"/>
    <w:rsid w:val="00FD2955"/>
    <w:rsid w:val="00FD6F8C"/>
    <w:rsid w:val="00FE50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F05C1B7-E8BC-4B3F-AC41-95DF3879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61433"/>
    <w:pPr>
      <w:widowControl w:val="0"/>
    </w:pPr>
    <w:rPr>
      <w:rFonts w:eastAsia="標楷體"/>
      <w:kern w:val="2"/>
      <w:sz w:val="32"/>
    </w:rPr>
  </w:style>
  <w:style w:type="paragraph" w:styleId="1">
    <w:name w:val="heading 1"/>
    <w:basedOn w:val="a2"/>
    <w:link w:val="10"/>
    <w:qFormat/>
    <w:rsid w:val="00961433"/>
    <w:pPr>
      <w:numPr>
        <w:numId w:val="1"/>
      </w:numPr>
      <w:kinsoku w:val="0"/>
      <w:jc w:val="both"/>
      <w:outlineLvl w:val="0"/>
    </w:pPr>
    <w:rPr>
      <w:rFonts w:ascii="標楷體" w:hAnsi="Arial"/>
      <w:bCs/>
      <w:kern w:val="0"/>
      <w:szCs w:val="52"/>
    </w:rPr>
  </w:style>
  <w:style w:type="paragraph" w:styleId="2">
    <w:name w:val="heading 2"/>
    <w:basedOn w:val="a2"/>
    <w:link w:val="20"/>
    <w:qFormat/>
    <w:rsid w:val="00961433"/>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961433"/>
    <w:pPr>
      <w:numPr>
        <w:ilvl w:val="2"/>
        <w:numId w:val="1"/>
      </w:numPr>
      <w:kinsoku w:val="0"/>
      <w:jc w:val="both"/>
      <w:outlineLvl w:val="2"/>
    </w:pPr>
    <w:rPr>
      <w:rFonts w:ascii="標楷體" w:hAnsi="Arial"/>
      <w:bCs/>
      <w:kern w:val="0"/>
      <w:szCs w:val="36"/>
    </w:rPr>
  </w:style>
  <w:style w:type="paragraph" w:styleId="4">
    <w:name w:val="heading 4"/>
    <w:basedOn w:val="a2"/>
    <w:link w:val="40"/>
    <w:qFormat/>
    <w:rsid w:val="00961433"/>
    <w:pPr>
      <w:numPr>
        <w:ilvl w:val="3"/>
        <w:numId w:val="1"/>
      </w:numPr>
      <w:jc w:val="both"/>
      <w:outlineLvl w:val="3"/>
    </w:pPr>
    <w:rPr>
      <w:rFonts w:ascii="標楷體" w:hAnsi="Arial"/>
      <w:szCs w:val="36"/>
    </w:rPr>
  </w:style>
  <w:style w:type="paragraph" w:styleId="5">
    <w:name w:val="heading 5"/>
    <w:basedOn w:val="a2"/>
    <w:qFormat/>
    <w:rsid w:val="00961433"/>
    <w:pPr>
      <w:numPr>
        <w:ilvl w:val="4"/>
        <w:numId w:val="1"/>
      </w:numPr>
      <w:kinsoku w:val="0"/>
      <w:jc w:val="both"/>
      <w:outlineLvl w:val="4"/>
    </w:pPr>
    <w:rPr>
      <w:rFonts w:ascii="標楷體" w:hAnsi="Arial"/>
      <w:bCs/>
      <w:szCs w:val="36"/>
    </w:rPr>
  </w:style>
  <w:style w:type="paragraph" w:styleId="6">
    <w:name w:val="heading 6"/>
    <w:basedOn w:val="a2"/>
    <w:qFormat/>
    <w:rsid w:val="00961433"/>
    <w:pPr>
      <w:numPr>
        <w:ilvl w:val="5"/>
        <w:numId w:val="1"/>
      </w:numPr>
      <w:tabs>
        <w:tab w:val="left" w:pos="2094"/>
      </w:tabs>
      <w:kinsoku w:val="0"/>
      <w:jc w:val="both"/>
      <w:outlineLvl w:val="5"/>
    </w:pPr>
    <w:rPr>
      <w:rFonts w:ascii="標楷體" w:hAnsi="Arial"/>
      <w:szCs w:val="36"/>
    </w:rPr>
  </w:style>
  <w:style w:type="paragraph" w:styleId="7">
    <w:name w:val="heading 7"/>
    <w:basedOn w:val="a2"/>
    <w:qFormat/>
    <w:rsid w:val="00961433"/>
    <w:pPr>
      <w:numPr>
        <w:ilvl w:val="6"/>
        <w:numId w:val="1"/>
      </w:numPr>
      <w:kinsoku w:val="0"/>
      <w:jc w:val="both"/>
      <w:outlineLvl w:val="6"/>
    </w:pPr>
    <w:rPr>
      <w:rFonts w:ascii="標楷體" w:hAnsi="Arial"/>
      <w:bCs/>
      <w:szCs w:val="36"/>
    </w:rPr>
  </w:style>
  <w:style w:type="paragraph" w:styleId="8">
    <w:name w:val="heading 8"/>
    <w:basedOn w:val="a2"/>
    <w:qFormat/>
    <w:rsid w:val="00961433"/>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link w:val="a7"/>
    <w:semiHidden/>
    <w:rsid w:val="00961433"/>
    <w:pPr>
      <w:spacing w:before="720" w:after="720"/>
      <w:ind w:left="7371"/>
    </w:pPr>
    <w:rPr>
      <w:rFonts w:ascii="標楷體"/>
      <w:b/>
      <w:snapToGrid w:val="0"/>
      <w:spacing w:val="10"/>
      <w:sz w:val="36"/>
    </w:rPr>
  </w:style>
  <w:style w:type="paragraph" w:styleId="a8">
    <w:name w:val="endnote text"/>
    <w:basedOn w:val="a2"/>
    <w:semiHidden/>
    <w:rsid w:val="00961433"/>
    <w:pPr>
      <w:spacing w:before="240"/>
      <w:ind w:left="1021" w:hanging="1021"/>
      <w:jc w:val="both"/>
    </w:pPr>
    <w:rPr>
      <w:rFonts w:ascii="標楷體"/>
      <w:snapToGrid w:val="0"/>
      <w:spacing w:val="10"/>
    </w:rPr>
  </w:style>
  <w:style w:type="paragraph" w:styleId="50">
    <w:name w:val="toc 5"/>
    <w:basedOn w:val="a2"/>
    <w:next w:val="a2"/>
    <w:autoRedefine/>
    <w:semiHidden/>
    <w:rsid w:val="00961433"/>
    <w:pPr>
      <w:ind w:leftChars="400" w:left="600" w:rightChars="200" w:right="200" w:hangingChars="200" w:hanging="200"/>
    </w:pPr>
    <w:rPr>
      <w:rFonts w:ascii="標楷體"/>
    </w:rPr>
  </w:style>
  <w:style w:type="character" w:styleId="a9">
    <w:name w:val="page number"/>
    <w:semiHidden/>
    <w:rsid w:val="00961433"/>
    <w:rPr>
      <w:rFonts w:ascii="標楷體" w:eastAsia="標楷體"/>
      <w:sz w:val="20"/>
    </w:rPr>
  </w:style>
  <w:style w:type="paragraph" w:styleId="60">
    <w:name w:val="toc 6"/>
    <w:basedOn w:val="a2"/>
    <w:next w:val="a2"/>
    <w:autoRedefine/>
    <w:semiHidden/>
    <w:rsid w:val="00961433"/>
    <w:pPr>
      <w:ind w:leftChars="500" w:left="500"/>
    </w:pPr>
    <w:rPr>
      <w:rFonts w:ascii="標楷體"/>
    </w:rPr>
  </w:style>
  <w:style w:type="paragraph" w:customStyle="1" w:styleId="11">
    <w:name w:val="段落樣式1"/>
    <w:basedOn w:val="a2"/>
    <w:rsid w:val="00961433"/>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961433"/>
    <w:pPr>
      <w:tabs>
        <w:tab w:val="left" w:pos="567"/>
      </w:tabs>
      <w:ind w:leftChars="300" w:left="300" w:firstLineChars="200" w:firstLine="200"/>
      <w:jc w:val="both"/>
    </w:pPr>
    <w:rPr>
      <w:rFonts w:ascii="標楷體"/>
      <w:kern w:val="0"/>
    </w:rPr>
  </w:style>
  <w:style w:type="paragraph" w:styleId="12">
    <w:name w:val="toc 1"/>
    <w:basedOn w:val="a2"/>
    <w:next w:val="a2"/>
    <w:autoRedefine/>
    <w:semiHidden/>
    <w:rsid w:val="00961433"/>
    <w:pPr>
      <w:kinsoku w:val="0"/>
      <w:ind w:left="2443" w:rightChars="200" w:right="698" w:hangingChars="700" w:hanging="2443"/>
      <w:jc w:val="both"/>
    </w:pPr>
    <w:rPr>
      <w:rFonts w:ascii="標楷體"/>
      <w:noProof/>
      <w:szCs w:val="32"/>
    </w:rPr>
  </w:style>
  <w:style w:type="paragraph" w:styleId="22">
    <w:name w:val="toc 2"/>
    <w:basedOn w:val="a2"/>
    <w:next w:val="a2"/>
    <w:autoRedefine/>
    <w:semiHidden/>
    <w:rsid w:val="00961433"/>
    <w:pPr>
      <w:kinsoku w:val="0"/>
      <w:ind w:leftChars="100" w:left="300" w:rightChars="200" w:right="200" w:hangingChars="200" w:hanging="200"/>
    </w:pPr>
    <w:rPr>
      <w:rFonts w:ascii="標楷體"/>
      <w:noProof/>
    </w:rPr>
  </w:style>
  <w:style w:type="paragraph" w:styleId="31">
    <w:name w:val="toc 3"/>
    <w:basedOn w:val="a2"/>
    <w:next w:val="a2"/>
    <w:autoRedefine/>
    <w:semiHidden/>
    <w:rsid w:val="00961433"/>
    <w:pPr>
      <w:kinsoku w:val="0"/>
      <w:ind w:leftChars="200" w:left="400" w:rightChars="200" w:right="200" w:hangingChars="200" w:hanging="200"/>
      <w:jc w:val="both"/>
    </w:pPr>
    <w:rPr>
      <w:rFonts w:ascii="標楷體"/>
      <w:noProof/>
    </w:rPr>
  </w:style>
  <w:style w:type="paragraph" w:styleId="41">
    <w:name w:val="toc 4"/>
    <w:basedOn w:val="a2"/>
    <w:next w:val="a2"/>
    <w:autoRedefine/>
    <w:semiHidden/>
    <w:rsid w:val="00961433"/>
    <w:pPr>
      <w:kinsoku w:val="0"/>
      <w:ind w:leftChars="300" w:left="500" w:rightChars="200" w:right="200" w:hangingChars="200" w:hanging="200"/>
      <w:jc w:val="both"/>
    </w:pPr>
    <w:rPr>
      <w:rFonts w:ascii="標楷體"/>
    </w:rPr>
  </w:style>
  <w:style w:type="paragraph" w:styleId="70">
    <w:name w:val="toc 7"/>
    <w:basedOn w:val="a2"/>
    <w:next w:val="a2"/>
    <w:autoRedefine/>
    <w:semiHidden/>
    <w:rsid w:val="00961433"/>
    <w:pPr>
      <w:ind w:leftChars="600" w:left="800" w:hangingChars="200" w:hanging="200"/>
    </w:pPr>
    <w:rPr>
      <w:rFonts w:ascii="標楷體"/>
    </w:rPr>
  </w:style>
  <w:style w:type="paragraph" w:styleId="80">
    <w:name w:val="toc 8"/>
    <w:basedOn w:val="a2"/>
    <w:next w:val="a2"/>
    <w:autoRedefine/>
    <w:semiHidden/>
    <w:rsid w:val="00961433"/>
    <w:pPr>
      <w:ind w:leftChars="700" w:left="900" w:hangingChars="200" w:hanging="200"/>
    </w:pPr>
    <w:rPr>
      <w:rFonts w:ascii="標楷體"/>
    </w:rPr>
  </w:style>
  <w:style w:type="paragraph" w:styleId="9">
    <w:name w:val="toc 9"/>
    <w:basedOn w:val="a2"/>
    <w:next w:val="a2"/>
    <w:autoRedefine/>
    <w:semiHidden/>
    <w:rsid w:val="00961433"/>
    <w:pPr>
      <w:ind w:leftChars="1600" w:left="3840"/>
    </w:pPr>
  </w:style>
  <w:style w:type="paragraph" w:styleId="aa">
    <w:name w:val="header"/>
    <w:basedOn w:val="a2"/>
    <w:semiHidden/>
    <w:rsid w:val="00961433"/>
    <w:pPr>
      <w:tabs>
        <w:tab w:val="center" w:pos="4153"/>
        <w:tab w:val="right" w:pos="8306"/>
      </w:tabs>
      <w:snapToGrid w:val="0"/>
    </w:pPr>
    <w:rPr>
      <w:sz w:val="20"/>
    </w:rPr>
  </w:style>
  <w:style w:type="paragraph" w:customStyle="1" w:styleId="32">
    <w:name w:val="段落樣式3"/>
    <w:basedOn w:val="21"/>
    <w:rsid w:val="00961433"/>
    <w:pPr>
      <w:ind w:leftChars="400" w:left="400"/>
    </w:pPr>
  </w:style>
  <w:style w:type="character" w:styleId="ab">
    <w:name w:val="Hyperlink"/>
    <w:semiHidden/>
    <w:rsid w:val="00961433"/>
    <w:rPr>
      <w:color w:val="0000FF"/>
      <w:u w:val="single"/>
    </w:rPr>
  </w:style>
  <w:style w:type="paragraph" w:customStyle="1" w:styleId="ac">
    <w:name w:val="簽名日期"/>
    <w:basedOn w:val="a2"/>
    <w:rsid w:val="00961433"/>
    <w:pPr>
      <w:kinsoku w:val="0"/>
      <w:jc w:val="distribute"/>
    </w:pPr>
    <w:rPr>
      <w:kern w:val="0"/>
    </w:rPr>
  </w:style>
  <w:style w:type="paragraph" w:customStyle="1" w:styleId="0">
    <w:name w:val="段落樣式0"/>
    <w:basedOn w:val="21"/>
    <w:rsid w:val="00961433"/>
    <w:pPr>
      <w:ind w:leftChars="200" w:left="200" w:firstLineChars="0" w:firstLine="0"/>
    </w:pPr>
  </w:style>
  <w:style w:type="paragraph" w:customStyle="1" w:styleId="ad">
    <w:name w:val="附件"/>
    <w:basedOn w:val="a8"/>
    <w:rsid w:val="00961433"/>
    <w:pPr>
      <w:kinsoku w:val="0"/>
      <w:spacing w:before="0"/>
      <w:ind w:left="1047" w:hangingChars="300" w:hanging="1047"/>
    </w:pPr>
    <w:rPr>
      <w:snapToGrid/>
      <w:spacing w:val="0"/>
      <w:kern w:val="0"/>
    </w:rPr>
  </w:style>
  <w:style w:type="paragraph" w:customStyle="1" w:styleId="42">
    <w:name w:val="段落樣式4"/>
    <w:basedOn w:val="32"/>
    <w:rsid w:val="00961433"/>
    <w:pPr>
      <w:ind w:leftChars="500" w:left="500"/>
    </w:pPr>
  </w:style>
  <w:style w:type="paragraph" w:customStyle="1" w:styleId="51">
    <w:name w:val="段落樣式5"/>
    <w:basedOn w:val="42"/>
    <w:rsid w:val="00961433"/>
    <w:pPr>
      <w:ind w:leftChars="600" w:left="600"/>
    </w:pPr>
  </w:style>
  <w:style w:type="paragraph" w:customStyle="1" w:styleId="61">
    <w:name w:val="段落樣式6"/>
    <w:basedOn w:val="51"/>
    <w:rsid w:val="00961433"/>
    <w:pPr>
      <w:ind w:leftChars="700" w:left="700"/>
    </w:pPr>
  </w:style>
  <w:style w:type="paragraph" w:customStyle="1" w:styleId="71">
    <w:name w:val="段落樣式7"/>
    <w:basedOn w:val="61"/>
    <w:rsid w:val="00961433"/>
  </w:style>
  <w:style w:type="paragraph" w:customStyle="1" w:styleId="81">
    <w:name w:val="段落樣式8"/>
    <w:basedOn w:val="71"/>
    <w:rsid w:val="00961433"/>
    <w:pPr>
      <w:ind w:leftChars="800" w:left="800"/>
    </w:pPr>
  </w:style>
  <w:style w:type="paragraph" w:customStyle="1" w:styleId="a0">
    <w:name w:val="表樣式"/>
    <w:basedOn w:val="a2"/>
    <w:next w:val="a2"/>
    <w:rsid w:val="00961433"/>
    <w:pPr>
      <w:numPr>
        <w:numId w:val="2"/>
      </w:numPr>
      <w:jc w:val="both"/>
    </w:pPr>
    <w:rPr>
      <w:rFonts w:ascii="標楷體"/>
      <w:kern w:val="0"/>
    </w:rPr>
  </w:style>
  <w:style w:type="paragraph" w:styleId="ae">
    <w:name w:val="Body Text Indent"/>
    <w:basedOn w:val="a2"/>
    <w:semiHidden/>
    <w:rsid w:val="00961433"/>
    <w:pPr>
      <w:ind w:left="698" w:hangingChars="200" w:hanging="698"/>
    </w:pPr>
  </w:style>
  <w:style w:type="paragraph" w:customStyle="1" w:styleId="af">
    <w:name w:val="調查報告"/>
    <w:basedOn w:val="a8"/>
    <w:rsid w:val="00961433"/>
    <w:pPr>
      <w:kinsoku w:val="0"/>
      <w:spacing w:before="0"/>
      <w:ind w:left="1701" w:firstLine="0"/>
    </w:pPr>
    <w:rPr>
      <w:b/>
      <w:snapToGrid/>
      <w:spacing w:val="200"/>
      <w:kern w:val="0"/>
      <w:sz w:val="36"/>
    </w:rPr>
  </w:style>
  <w:style w:type="paragraph" w:styleId="af0">
    <w:name w:val="Balloon Text"/>
    <w:basedOn w:val="a2"/>
    <w:link w:val="af1"/>
    <w:uiPriority w:val="99"/>
    <w:semiHidden/>
    <w:unhideWhenUsed/>
    <w:rsid w:val="008168B2"/>
    <w:rPr>
      <w:rFonts w:ascii="Cambria" w:eastAsia="新細明體" w:hAnsi="Cambria"/>
      <w:sz w:val="18"/>
      <w:szCs w:val="18"/>
    </w:rPr>
  </w:style>
  <w:style w:type="paragraph" w:customStyle="1" w:styleId="a">
    <w:name w:val="圖樣式"/>
    <w:basedOn w:val="a2"/>
    <w:next w:val="a2"/>
    <w:rsid w:val="00961433"/>
    <w:pPr>
      <w:numPr>
        <w:numId w:val="3"/>
      </w:numPr>
      <w:tabs>
        <w:tab w:val="clear" w:pos="1440"/>
      </w:tabs>
      <w:ind w:left="400" w:hangingChars="400" w:hanging="400"/>
      <w:jc w:val="both"/>
    </w:pPr>
    <w:rPr>
      <w:rFonts w:ascii="標楷體"/>
    </w:rPr>
  </w:style>
  <w:style w:type="paragraph" w:styleId="af2">
    <w:name w:val="footer"/>
    <w:basedOn w:val="a2"/>
    <w:semiHidden/>
    <w:rsid w:val="00961433"/>
    <w:pPr>
      <w:tabs>
        <w:tab w:val="center" w:pos="4153"/>
        <w:tab w:val="right" w:pos="8306"/>
      </w:tabs>
      <w:snapToGrid w:val="0"/>
    </w:pPr>
    <w:rPr>
      <w:sz w:val="20"/>
    </w:rPr>
  </w:style>
  <w:style w:type="paragraph" w:styleId="af3">
    <w:name w:val="table of figures"/>
    <w:basedOn w:val="a2"/>
    <w:next w:val="a2"/>
    <w:semiHidden/>
    <w:rsid w:val="00961433"/>
    <w:pPr>
      <w:ind w:left="400" w:hangingChars="400" w:hanging="400"/>
    </w:pPr>
  </w:style>
  <w:style w:type="character" w:customStyle="1" w:styleId="af1">
    <w:name w:val="註解方塊文字 字元"/>
    <w:link w:val="af0"/>
    <w:uiPriority w:val="99"/>
    <w:semiHidden/>
    <w:rsid w:val="008168B2"/>
    <w:rPr>
      <w:rFonts w:ascii="Cambria" w:eastAsia="新細明體" w:hAnsi="Cambria" w:cs="Times New Roman"/>
      <w:kern w:val="2"/>
      <w:sz w:val="18"/>
      <w:szCs w:val="18"/>
    </w:rPr>
  </w:style>
  <w:style w:type="character" w:customStyle="1" w:styleId="20">
    <w:name w:val="標題 2 字元"/>
    <w:link w:val="2"/>
    <w:rsid w:val="00BC5443"/>
    <w:rPr>
      <w:rFonts w:ascii="標楷體" w:eastAsia="標楷體" w:hAnsi="Arial"/>
      <w:bCs/>
      <w:sz w:val="32"/>
      <w:szCs w:val="48"/>
    </w:rPr>
  </w:style>
  <w:style w:type="character" w:customStyle="1" w:styleId="30">
    <w:name w:val="標題 3 字元"/>
    <w:link w:val="3"/>
    <w:rsid w:val="00BC5443"/>
    <w:rPr>
      <w:rFonts w:ascii="標楷體" w:eastAsia="標楷體" w:hAnsi="Arial"/>
      <w:bCs/>
      <w:sz w:val="32"/>
      <w:szCs w:val="36"/>
    </w:rPr>
  </w:style>
  <w:style w:type="character" w:customStyle="1" w:styleId="40">
    <w:name w:val="標題 4 字元"/>
    <w:link w:val="4"/>
    <w:rsid w:val="00BC5443"/>
    <w:rPr>
      <w:rFonts w:ascii="標楷體" w:eastAsia="標楷體" w:hAnsi="Arial"/>
      <w:kern w:val="2"/>
      <w:sz w:val="32"/>
      <w:szCs w:val="36"/>
    </w:rPr>
  </w:style>
  <w:style w:type="paragraph" w:styleId="af4">
    <w:name w:val="Body Text"/>
    <w:basedOn w:val="a2"/>
    <w:link w:val="af5"/>
    <w:semiHidden/>
    <w:rsid w:val="00B47C38"/>
    <w:pPr>
      <w:jc w:val="both"/>
    </w:pPr>
  </w:style>
  <w:style w:type="character" w:customStyle="1" w:styleId="af5">
    <w:name w:val="本文 字元"/>
    <w:link w:val="af4"/>
    <w:semiHidden/>
    <w:rsid w:val="00B47C38"/>
    <w:rPr>
      <w:rFonts w:eastAsia="標楷體"/>
      <w:kern w:val="2"/>
      <w:sz w:val="32"/>
    </w:rPr>
  </w:style>
  <w:style w:type="paragraph" w:styleId="af6">
    <w:name w:val="footnote text"/>
    <w:basedOn w:val="a2"/>
    <w:link w:val="af7"/>
    <w:uiPriority w:val="99"/>
    <w:unhideWhenUsed/>
    <w:rsid w:val="00F47E36"/>
    <w:pPr>
      <w:snapToGrid w:val="0"/>
    </w:pPr>
    <w:rPr>
      <w:sz w:val="20"/>
    </w:rPr>
  </w:style>
  <w:style w:type="character" w:customStyle="1" w:styleId="af7">
    <w:name w:val="註腳文字 字元"/>
    <w:link w:val="af6"/>
    <w:uiPriority w:val="99"/>
    <w:rsid w:val="00F47E36"/>
    <w:rPr>
      <w:rFonts w:eastAsia="標楷體"/>
      <w:kern w:val="2"/>
    </w:rPr>
  </w:style>
  <w:style w:type="character" w:styleId="af8">
    <w:name w:val="footnote reference"/>
    <w:uiPriority w:val="99"/>
    <w:semiHidden/>
    <w:unhideWhenUsed/>
    <w:rsid w:val="00F47E36"/>
    <w:rPr>
      <w:vertAlign w:val="superscript"/>
    </w:rPr>
  </w:style>
  <w:style w:type="paragraph" w:customStyle="1" w:styleId="af9">
    <w:name w:val="資料來源"/>
    <w:basedOn w:val="a2"/>
    <w:rsid w:val="009C265C"/>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a1">
    <w:name w:val="圖標題"/>
    <w:basedOn w:val="a2"/>
    <w:qFormat/>
    <w:rsid w:val="009C265C"/>
    <w:pPr>
      <w:numPr>
        <w:numId w:val="24"/>
      </w:numPr>
      <w:overflowPunct w:val="0"/>
      <w:autoSpaceDE w:val="0"/>
      <w:autoSpaceDN w:val="0"/>
      <w:adjustRightInd w:val="0"/>
      <w:snapToGrid w:val="0"/>
      <w:spacing w:before="40" w:after="240" w:line="360" w:lineRule="exact"/>
      <w:ind w:left="697" w:hanging="697"/>
      <w:jc w:val="center"/>
      <w:textAlignment w:val="baseline"/>
    </w:pPr>
    <w:rPr>
      <w:rFonts w:ascii="標楷體" w:hAnsi="華康楷書體W5(P)"/>
      <w:bCs/>
      <w:spacing w:val="-10"/>
      <w:kern w:val="28"/>
      <w:sz w:val="28"/>
      <w:szCs w:val="28"/>
    </w:rPr>
  </w:style>
  <w:style w:type="paragraph" w:styleId="afa">
    <w:name w:val="caption"/>
    <w:basedOn w:val="a2"/>
    <w:next w:val="a2"/>
    <w:uiPriority w:val="35"/>
    <w:semiHidden/>
    <w:unhideWhenUsed/>
    <w:qFormat/>
    <w:rsid w:val="00E37A92"/>
    <w:rPr>
      <w:sz w:val="20"/>
    </w:rPr>
  </w:style>
  <w:style w:type="paragraph" w:customStyle="1" w:styleId="90">
    <w:name w:val="標題9"/>
    <w:basedOn w:val="a2"/>
    <w:rsid w:val="00825E8D"/>
    <w:pPr>
      <w:tabs>
        <w:tab w:val="num" w:pos="6198"/>
      </w:tabs>
      <w:ind w:left="5018" w:hanging="1700"/>
    </w:pPr>
    <w:rPr>
      <w:rFonts w:ascii="標楷體" w:hAnsi="標楷體"/>
    </w:rPr>
  </w:style>
  <w:style w:type="character" w:customStyle="1" w:styleId="a7">
    <w:name w:val="簽名 字元"/>
    <w:link w:val="a6"/>
    <w:semiHidden/>
    <w:rsid w:val="00825E8D"/>
    <w:rPr>
      <w:rFonts w:ascii="標楷體" w:eastAsia="標楷體"/>
      <w:b/>
      <w:snapToGrid w:val="0"/>
      <w:spacing w:val="10"/>
      <w:kern w:val="2"/>
      <w:sz w:val="36"/>
    </w:rPr>
  </w:style>
  <w:style w:type="character" w:customStyle="1" w:styleId="10">
    <w:name w:val="標題 1 字元"/>
    <w:link w:val="1"/>
    <w:rsid w:val="00C16BF3"/>
    <w:rPr>
      <w:rFonts w:ascii="標楷體" w:eastAsia="標楷體" w:hAnsi="Arial"/>
      <w:bCs/>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84346">
      <w:bodyDiv w:val="1"/>
      <w:marLeft w:val="0"/>
      <w:marRight w:val="0"/>
      <w:marTop w:val="0"/>
      <w:marBottom w:val="0"/>
      <w:divBdr>
        <w:top w:val="none" w:sz="0" w:space="0" w:color="auto"/>
        <w:left w:val="none" w:sz="0" w:space="0" w:color="auto"/>
        <w:bottom w:val="none" w:sz="0" w:space="0" w:color="auto"/>
        <w:right w:val="none" w:sz="0" w:space="0" w:color="auto"/>
      </w:divBdr>
    </w:div>
    <w:div w:id="1391883953">
      <w:bodyDiv w:val="1"/>
      <w:marLeft w:val="0"/>
      <w:marRight w:val="0"/>
      <w:marTop w:val="0"/>
      <w:marBottom w:val="0"/>
      <w:divBdr>
        <w:top w:val="none" w:sz="0" w:space="0" w:color="auto"/>
        <w:left w:val="none" w:sz="0" w:space="0" w:color="auto"/>
        <w:bottom w:val="none" w:sz="0" w:space="0" w:color="auto"/>
        <w:right w:val="none" w:sz="0" w:space="0" w:color="auto"/>
      </w:divBdr>
    </w:div>
    <w:div w:id="1561941482">
      <w:bodyDiv w:val="1"/>
      <w:marLeft w:val="0"/>
      <w:marRight w:val="0"/>
      <w:marTop w:val="0"/>
      <w:marBottom w:val="0"/>
      <w:divBdr>
        <w:top w:val="none" w:sz="0" w:space="0" w:color="auto"/>
        <w:left w:val="none" w:sz="0" w:space="0" w:color="auto"/>
        <w:bottom w:val="none" w:sz="0" w:space="0" w:color="auto"/>
        <w:right w:val="none" w:sz="0" w:space="0" w:color="auto"/>
      </w:divBdr>
    </w:div>
    <w:div w:id="1956673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yem\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7543F-AB4E-4CFA-BFB7-2260586F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1695</Words>
  <Characters>9664</Characters>
  <Application>Microsoft Office Word</Application>
  <DocSecurity>0</DocSecurity>
  <Lines>80</Lines>
  <Paragraphs>22</Paragraphs>
  <ScaleCrop>false</ScaleCrop>
  <Company>cy</Company>
  <LinksUpToDate>false</LinksUpToDate>
  <CharactersWithSpaces>11337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鄭裕發</cp:lastModifiedBy>
  <cp:revision>2</cp:revision>
  <cp:lastPrinted>2017-03-15T05:34:00Z</cp:lastPrinted>
  <dcterms:created xsi:type="dcterms:W3CDTF">2017-03-16T01:33:00Z</dcterms:created>
  <dcterms:modified xsi:type="dcterms:W3CDTF">2017-03-16T01:33:00Z</dcterms:modified>
</cp:coreProperties>
</file>