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703F4E" w:rsidRDefault="00D75644" w:rsidP="00F37D7B">
      <w:pPr>
        <w:pStyle w:val="af6"/>
      </w:pPr>
      <w:r w:rsidRPr="00703F4E">
        <w:rPr>
          <w:rFonts w:hint="eastAsia"/>
        </w:rPr>
        <w:t>調查</w:t>
      </w:r>
      <w:r w:rsidR="00F3063E" w:rsidRPr="00703F4E">
        <w:rPr>
          <w:rFonts w:hint="eastAsia"/>
        </w:rPr>
        <w:t>報告</w:t>
      </w:r>
    </w:p>
    <w:p w:rsidR="00E25849" w:rsidRPr="00844E73" w:rsidRDefault="00E25849" w:rsidP="004E05A1">
      <w:pPr>
        <w:pStyle w:val="10"/>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844E73">
        <w:rPr>
          <w:rFonts w:hint="eastAsia"/>
        </w:rPr>
        <w:t>案　　由：</w:t>
      </w:r>
      <w:bookmarkEnd w:id="0"/>
      <w:bookmarkEnd w:id="1"/>
      <w:bookmarkEnd w:id="2"/>
      <w:bookmarkEnd w:id="3"/>
      <w:bookmarkEnd w:id="4"/>
      <w:bookmarkEnd w:id="5"/>
      <w:bookmarkEnd w:id="6"/>
      <w:bookmarkEnd w:id="7"/>
      <w:bookmarkEnd w:id="8"/>
      <w:bookmarkEnd w:id="9"/>
      <w:r w:rsidR="001C0DA8" w:rsidRPr="00844E73">
        <w:fldChar w:fldCharType="begin"/>
      </w:r>
      <w:r w:rsidRPr="00844E73">
        <w:instrText xml:space="preserve"> MERGEFIELD </w:instrText>
      </w:r>
      <w:r w:rsidRPr="00844E73">
        <w:rPr>
          <w:rFonts w:hint="eastAsia"/>
        </w:rPr>
        <w:instrText>案由</w:instrText>
      </w:r>
      <w:r w:rsidRPr="00844E73">
        <w:instrText xml:space="preserve"> </w:instrText>
      </w:r>
      <w:r w:rsidR="001C0DA8" w:rsidRPr="00844E73">
        <w:fldChar w:fldCharType="separate"/>
      </w:r>
      <w:bookmarkEnd w:id="11"/>
      <w:r w:rsidR="00257545" w:rsidRPr="00DD7506">
        <w:rPr>
          <w:noProof/>
        </w:rPr>
        <w:t>金融監督管理委員會於處理投信結構債事件所提之三大原則，前經本院調查認其程序有欠妥當，並要求該會改善在案。然該三大原則之提出行為與發行新基金或變更基金規模之准駁相結合後，似已產生事實上拘束力，即不得拒絕承擔結構債投資人之損失，從而成為一限制人民權利之行政行為，究該會有無違反行政法及其他有關法令，認有調查之必要</w:t>
      </w:r>
      <w:bookmarkEnd w:id="10"/>
      <w:r w:rsidR="001C0DA8" w:rsidRPr="00844E73">
        <w:fldChar w:fldCharType="end"/>
      </w:r>
      <w:bookmarkEnd w:id="12"/>
      <w:bookmarkEnd w:id="13"/>
      <w:bookmarkEnd w:id="14"/>
      <w:bookmarkEnd w:id="15"/>
      <w:bookmarkEnd w:id="16"/>
      <w:bookmarkEnd w:id="17"/>
      <w:bookmarkEnd w:id="18"/>
      <w:bookmarkEnd w:id="19"/>
      <w:bookmarkEnd w:id="20"/>
      <w:bookmarkEnd w:id="21"/>
      <w:bookmarkEnd w:id="22"/>
      <w:bookmarkEnd w:id="23"/>
      <w:bookmarkEnd w:id="24"/>
      <w:r w:rsidR="0031293B" w:rsidRPr="00844E73">
        <w:rPr>
          <w:rFonts w:hint="eastAsia"/>
        </w:rPr>
        <w:t>。</w:t>
      </w:r>
    </w:p>
    <w:p w:rsidR="00E25849" w:rsidRPr="00844E73" w:rsidRDefault="00E25849" w:rsidP="004E05A1">
      <w:pPr>
        <w:pStyle w:val="10"/>
        <w:ind w:left="2380" w:hanging="2380"/>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4895646"/>
      <w:bookmarkStart w:id="36" w:name="_Toc524896192"/>
      <w:bookmarkStart w:id="37" w:name="_Toc524896222"/>
      <w:bookmarkStart w:id="38" w:name="_Toc524902729"/>
      <w:bookmarkStart w:id="39" w:name="_Toc525066145"/>
      <w:bookmarkStart w:id="40" w:name="_Toc525070836"/>
      <w:bookmarkStart w:id="41" w:name="_Toc525938376"/>
      <w:bookmarkStart w:id="42" w:name="_Toc525939224"/>
      <w:bookmarkStart w:id="43" w:name="_Toc525939729"/>
      <w:bookmarkStart w:id="44" w:name="_Toc529218269"/>
      <w:bookmarkStart w:id="45" w:name="_Toc529222686"/>
      <w:bookmarkStart w:id="46" w:name="_Toc529223108"/>
      <w:bookmarkStart w:id="47" w:name="_Toc529223859"/>
      <w:bookmarkStart w:id="48" w:name="_Toc529228262"/>
      <w:bookmarkStart w:id="49" w:name="_Toc2400392"/>
      <w:bookmarkStart w:id="50" w:name="_Toc4316186"/>
      <w:bookmarkStart w:id="51" w:name="_Toc4473327"/>
      <w:bookmarkStart w:id="52" w:name="_Toc69556894"/>
      <w:bookmarkStart w:id="53" w:name="_Toc69556943"/>
      <w:bookmarkStart w:id="54" w:name="_Toc69609817"/>
      <w:bookmarkStart w:id="55" w:name="_Toc70241813"/>
      <w:bookmarkStart w:id="56" w:name="_Toc70242202"/>
      <w:bookmarkStart w:id="57" w:name="_Toc421794872"/>
      <w:bookmarkStart w:id="58" w:name="_Toc422834157"/>
      <w:bookmarkStart w:id="59" w:name="_GoBack"/>
      <w:bookmarkEnd w:id="25"/>
      <w:bookmarkEnd w:id="26"/>
      <w:bookmarkEnd w:id="27"/>
      <w:bookmarkEnd w:id="28"/>
      <w:bookmarkEnd w:id="29"/>
      <w:bookmarkEnd w:id="30"/>
      <w:bookmarkEnd w:id="31"/>
      <w:bookmarkEnd w:id="32"/>
      <w:bookmarkEnd w:id="33"/>
      <w:bookmarkEnd w:id="34"/>
      <w:bookmarkEnd w:id="59"/>
      <w:r w:rsidRPr="00844E73">
        <w:rPr>
          <w:rFonts w:hint="eastAsia"/>
        </w:rPr>
        <w:t>調查意見：</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F3063E" w:rsidRPr="00844E73" w:rsidRDefault="007F09B7" w:rsidP="00D02C48">
      <w:pPr>
        <w:pStyle w:val="11"/>
        <w:ind w:left="680" w:firstLine="680"/>
        <w:rPr>
          <w:rFonts w:ascii="Times New Roman"/>
          <w:szCs w:val="32"/>
        </w:rPr>
      </w:pPr>
      <w:bookmarkStart w:id="60" w:name="_Toc524902730"/>
      <w:r w:rsidRPr="00844E73">
        <w:rPr>
          <w:rFonts w:hint="eastAsia"/>
        </w:rPr>
        <w:t>緣</w:t>
      </w:r>
      <w:r w:rsidR="00F3063E" w:rsidRPr="00844E73">
        <w:rPr>
          <w:rFonts w:hint="eastAsia"/>
        </w:rPr>
        <w:t>民國(下同)</w:t>
      </w:r>
      <w:r w:rsidR="00F3063E" w:rsidRPr="00844E73">
        <w:rPr>
          <w:rFonts w:ascii="Times New Roman" w:hint="eastAsia"/>
          <w:szCs w:val="32"/>
        </w:rPr>
        <w:t>89</w:t>
      </w:r>
      <w:r w:rsidR="00F3063E" w:rsidRPr="00844E73">
        <w:rPr>
          <w:rFonts w:ascii="Times New Roman" w:hint="eastAsia"/>
          <w:szCs w:val="32"/>
        </w:rPr>
        <w:t>年底至</w:t>
      </w:r>
      <w:r w:rsidR="00F3063E" w:rsidRPr="00844E73">
        <w:rPr>
          <w:rFonts w:ascii="Times New Roman" w:hint="eastAsia"/>
          <w:szCs w:val="32"/>
        </w:rPr>
        <w:t>93</w:t>
      </w:r>
      <w:r w:rsidR="00F3063E" w:rsidRPr="00844E73">
        <w:rPr>
          <w:rFonts w:ascii="Times New Roman" w:hint="eastAsia"/>
          <w:szCs w:val="32"/>
        </w:rPr>
        <w:t>年之期間，美國聯邦準備體系（</w:t>
      </w:r>
      <w:r w:rsidR="00F3063E" w:rsidRPr="00844E73">
        <w:rPr>
          <w:rFonts w:ascii="Times New Roman" w:hint="eastAsia"/>
          <w:szCs w:val="32"/>
        </w:rPr>
        <w:t>Federal Reserve System</w:t>
      </w:r>
      <w:r w:rsidR="00F3063E" w:rsidRPr="00844E73">
        <w:rPr>
          <w:rFonts w:ascii="Times New Roman" w:hint="eastAsia"/>
          <w:szCs w:val="32"/>
        </w:rPr>
        <w:t>）自</w:t>
      </w:r>
      <w:r w:rsidR="00F3063E" w:rsidRPr="00844E73">
        <w:rPr>
          <w:rFonts w:hAnsi="標楷體" w:hint="eastAsia"/>
          <w:szCs w:val="32"/>
        </w:rPr>
        <w:t>90年1月起連續13次降息</w:t>
      </w:r>
      <w:r w:rsidR="00F3063E" w:rsidRPr="00844E73">
        <w:rPr>
          <w:rStyle w:val="aff1"/>
          <w:rFonts w:hAnsi="標楷體"/>
          <w:szCs w:val="32"/>
        </w:rPr>
        <w:footnoteReference w:id="1"/>
      </w:r>
      <w:r w:rsidR="00F3063E" w:rsidRPr="00844E73">
        <w:rPr>
          <w:rFonts w:hAnsi="標楷體" w:hint="eastAsia"/>
          <w:szCs w:val="32"/>
        </w:rPr>
        <w:t>，我國中央銀行亦自89年12月起，連續15次降息</w:t>
      </w:r>
      <w:r w:rsidR="00F3063E" w:rsidRPr="00844E73">
        <w:rPr>
          <w:rStyle w:val="aff1"/>
          <w:rFonts w:hAnsi="標楷體"/>
          <w:szCs w:val="32"/>
        </w:rPr>
        <w:footnoteReference w:id="2"/>
      </w:r>
      <w:r w:rsidR="00F3063E" w:rsidRPr="00844E73">
        <w:rPr>
          <w:rFonts w:hAnsi="標楷體" w:hint="eastAsia"/>
          <w:szCs w:val="32"/>
        </w:rPr>
        <w:t>，形成低</w:t>
      </w:r>
      <w:r w:rsidR="00F3063E" w:rsidRPr="00844E73">
        <w:rPr>
          <w:rFonts w:ascii="Times New Roman" w:hint="eastAsia"/>
          <w:szCs w:val="32"/>
        </w:rPr>
        <w:t>利率之市場環境，</w:t>
      </w:r>
      <w:r w:rsidR="007C21F5" w:rsidRPr="00844E73">
        <w:rPr>
          <w:rFonts w:hint="eastAsia"/>
        </w:rPr>
        <w:t>證券投資信託公司</w:t>
      </w:r>
      <w:r w:rsidR="007C21F5" w:rsidRPr="00844E73">
        <w:rPr>
          <w:rFonts w:hAnsi="標楷體" w:hint="eastAsia"/>
        </w:rPr>
        <w:t>（下稱投信公司或</w:t>
      </w:r>
      <w:r w:rsidR="007C21F5" w:rsidRPr="00844E73">
        <w:rPr>
          <w:rFonts w:hint="eastAsia"/>
        </w:rPr>
        <w:t>投信業者</w:t>
      </w:r>
      <w:r w:rsidR="007C21F5" w:rsidRPr="00844E73">
        <w:rPr>
          <w:rFonts w:hAnsi="標楷體" w:hint="eastAsia"/>
        </w:rPr>
        <w:t>）</w:t>
      </w:r>
      <w:r w:rsidR="00F3063E" w:rsidRPr="00844E73">
        <w:rPr>
          <w:rFonts w:ascii="Times New Roman" w:hint="eastAsia"/>
          <w:szCs w:val="32"/>
        </w:rPr>
        <w:t>乃以債券型基金收益穩定、變現性高、報酬率高於</w:t>
      </w:r>
      <w:r w:rsidR="00F3063E" w:rsidRPr="00844E73">
        <w:rPr>
          <w:rFonts w:ascii="Times New Roman"/>
          <w:szCs w:val="32"/>
        </w:rPr>
        <w:t>1</w:t>
      </w:r>
      <w:r w:rsidR="00F3063E" w:rsidRPr="00844E73">
        <w:rPr>
          <w:rFonts w:ascii="Times New Roman" w:hint="eastAsia"/>
          <w:szCs w:val="32"/>
        </w:rPr>
        <w:t>年期定存等特色為號召，促成</w:t>
      </w:r>
      <w:r w:rsidRPr="00844E73">
        <w:rPr>
          <w:rFonts w:ascii="Times New Roman" w:hint="eastAsia"/>
          <w:szCs w:val="32"/>
        </w:rPr>
        <w:t>債券型基金規模迅速成長，從</w:t>
      </w:r>
      <w:r w:rsidR="00F3063E" w:rsidRPr="00844E73">
        <w:rPr>
          <w:rFonts w:ascii="Times New Roman"/>
          <w:szCs w:val="32"/>
        </w:rPr>
        <w:t>89</w:t>
      </w:r>
      <w:r w:rsidR="00F3063E" w:rsidRPr="00844E73">
        <w:rPr>
          <w:rFonts w:ascii="Times New Roman" w:hint="eastAsia"/>
          <w:szCs w:val="32"/>
        </w:rPr>
        <w:t>年</w:t>
      </w:r>
      <w:r w:rsidR="00F3063E" w:rsidRPr="00844E73">
        <w:rPr>
          <w:rFonts w:ascii="Times New Roman"/>
          <w:szCs w:val="32"/>
        </w:rPr>
        <w:t>12</w:t>
      </w:r>
      <w:r w:rsidRPr="00844E73">
        <w:rPr>
          <w:rFonts w:ascii="Times New Roman" w:hint="eastAsia"/>
          <w:szCs w:val="32"/>
        </w:rPr>
        <w:t>月底的</w:t>
      </w:r>
      <w:r w:rsidR="00F3063E" w:rsidRPr="00844E73">
        <w:rPr>
          <w:rFonts w:ascii="Times New Roman" w:hint="eastAsia"/>
          <w:szCs w:val="32"/>
        </w:rPr>
        <w:t>新臺幣</w:t>
      </w:r>
      <w:r w:rsidR="00F3063E" w:rsidRPr="00844E73">
        <w:rPr>
          <w:rFonts w:hAnsi="標楷體" w:hint="eastAsia"/>
          <w:szCs w:val="32"/>
        </w:rPr>
        <w:t>（下同）</w:t>
      </w:r>
      <w:r w:rsidR="00F3063E" w:rsidRPr="00844E73">
        <w:rPr>
          <w:rFonts w:ascii="Times New Roman"/>
          <w:szCs w:val="32"/>
        </w:rPr>
        <w:t>7</w:t>
      </w:r>
      <w:r w:rsidR="00F3063E" w:rsidRPr="00844E73">
        <w:rPr>
          <w:rFonts w:ascii="Times New Roman" w:hint="eastAsia"/>
          <w:szCs w:val="32"/>
        </w:rPr>
        <w:t>,</w:t>
      </w:r>
      <w:r w:rsidR="00F3063E" w:rsidRPr="00844E73">
        <w:rPr>
          <w:rFonts w:ascii="Times New Roman"/>
          <w:szCs w:val="32"/>
        </w:rPr>
        <w:t>774</w:t>
      </w:r>
      <w:r w:rsidR="00F3063E" w:rsidRPr="00844E73">
        <w:rPr>
          <w:rFonts w:ascii="Times New Roman" w:hint="eastAsia"/>
          <w:szCs w:val="32"/>
        </w:rPr>
        <w:t>億元，躍升至</w:t>
      </w:r>
      <w:r w:rsidR="00F3063E" w:rsidRPr="00844E73">
        <w:rPr>
          <w:rFonts w:ascii="Times New Roman"/>
          <w:szCs w:val="32"/>
        </w:rPr>
        <w:t>93</w:t>
      </w:r>
      <w:r w:rsidR="00F3063E" w:rsidRPr="00844E73">
        <w:rPr>
          <w:rFonts w:ascii="Times New Roman" w:hint="eastAsia"/>
          <w:szCs w:val="32"/>
        </w:rPr>
        <w:t>年</w:t>
      </w:r>
      <w:r w:rsidR="00F3063E" w:rsidRPr="00844E73">
        <w:rPr>
          <w:rFonts w:ascii="Times New Roman"/>
          <w:szCs w:val="32"/>
        </w:rPr>
        <w:t>5</w:t>
      </w:r>
      <w:r w:rsidRPr="00844E73">
        <w:rPr>
          <w:rFonts w:ascii="Times New Roman" w:hint="eastAsia"/>
          <w:szCs w:val="32"/>
        </w:rPr>
        <w:t>月底的</w:t>
      </w:r>
      <w:r w:rsidR="00F3063E" w:rsidRPr="00844E73">
        <w:rPr>
          <w:rFonts w:ascii="Times New Roman"/>
          <w:szCs w:val="32"/>
        </w:rPr>
        <w:t>2</w:t>
      </w:r>
      <w:r w:rsidR="00F3063E" w:rsidRPr="00844E73">
        <w:rPr>
          <w:rFonts w:ascii="Times New Roman" w:hint="eastAsia"/>
          <w:szCs w:val="32"/>
        </w:rPr>
        <w:t>兆</w:t>
      </w:r>
      <w:r w:rsidR="00F3063E" w:rsidRPr="00844E73">
        <w:rPr>
          <w:rFonts w:ascii="Times New Roman"/>
          <w:szCs w:val="32"/>
        </w:rPr>
        <w:t>4</w:t>
      </w:r>
      <w:r w:rsidR="00F3063E" w:rsidRPr="00844E73">
        <w:rPr>
          <w:rFonts w:ascii="Times New Roman" w:hint="eastAsia"/>
          <w:szCs w:val="32"/>
        </w:rPr>
        <w:t>,</w:t>
      </w:r>
      <w:r w:rsidR="00F3063E" w:rsidRPr="00844E73">
        <w:rPr>
          <w:rFonts w:ascii="Times New Roman"/>
          <w:szCs w:val="32"/>
        </w:rPr>
        <w:t>097</w:t>
      </w:r>
      <w:r w:rsidR="00F3063E" w:rsidRPr="00844E73">
        <w:rPr>
          <w:rFonts w:ascii="Times New Roman" w:hint="eastAsia"/>
          <w:szCs w:val="32"/>
        </w:rPr>
        <w:t>億元達到最高峰。另由於期間之市場殖利率長短期利差大，利於財務工程運用，</w:t>
      </w:r>
      <w:r w:rsidR="00F3063E" w:rsidRPr="00844E73">
        <w:rPr>
          <w:rFonts w:ascii="Times New Roman" w:hint="eastAsia"/>
          <w:szCs w:val="32"/>
        </w:rPr>
        <w:t>91</w:t>
      </w:r>
      <w:r w:rsidR="00F3063E" w:rsidRPr="00844E73">
        <w:rPr>
          <w:rFonts w:ascii="Times New Roman" w:hint="eastAsia"/>
          <w:szCs w:val="32"/>
        </w:rPr>
        <w:t>年</w:t>
      </w:r>
      <w:r w:rsidR="00F3063E" w:rsidRPr="00844E73">
        <w:rPr>
          <w:rFonts w:ascii="Times New Roman" w:hint="eastAsia"/>
          <w:szCs w:val="32"/>
        </w:rPr>
        <w:t>6</w:t>
      </w:r>
      <w:r w:rsidR="00F3063E" w:rsidRPr="00844E73">
        <w:rPr>
          <w:rFonts w:ascii="Times New Roman" w:hint="eastAsia"/>
          <w:szCs w:val="32"/>
        </w:rPr>
        <w:t>月起，國內債券市場開始出現票面利率為結構式的金融債券或公司債</w:t>
      </w:r>
      <w:r w:rsidR="00F3063E" w:rsidRPr="00844E73">
        <w:rPr>
          <w:rStyle w:val="aff1"/>
          <w:rFonts w:ascii="Times New Roman"/>
          <w:szCs w:val="32"/>
        </w:rPr>
        <w:footnoteReference w:id="3"/>
      </w:r>
      <w:r w:rsidRPr="00844E73">
        <w:rPr>
          <w:rFonts w:ascii="Times New Roman" w:hint="eastAsia"/>
          <w:szCs w:val="32"/>
        </w:rPr>
        <w:t>(</w:t>
      </w:r>
      <w:r w:rsidRPr="00844E73">
        <w:rPr>
          <w:rFonts w:ascii="Times New Roman" w:hint="eastAsia"/>
          <w:szCs w:val="32"/>
        </w:rPr>
        <w:t>下稱結構債</w:t>
      </w:r>
      <w:r w:rsidRPr="00844E73">
        <w:rPr>
          <w:rFonts w:ascii="Times New Roman" w:hint="eastAsia"/>
          <w:szCs w:val="32"/>
        </w:rPr>
        <w:t>)</w:t>
      </w:r>
      <w:r w:rsidR="00F3063E" w:rsidRPr="00844E73">
        <w:rPr>
          <w:rFonts w:ascii="Times New Roman" w:hint="eastAsia"/>
          <w:szCs w:val="32"/>
        </w:rPr>
        <w:t>。因能</w:t>
      </w:r>
      <w:r w:rsidRPr="00844E73">
        <w:rPr>
          <w:rFonts w:ascii="Times New Roman" w:hint="eastAsia"/>
          <w:szCs w:val="32"/>
        </w:rPr>
        <w:t>提供較</w:t>
      </w:r>
      <w:r w:rsidR="00F3063E" w:rsidRPr="00844E73">
        <w:rPr>
          <w:rFonts w:ascii="Times New Roman" w:hint="eastAsia"/>
          <w:szCs w:val="32"/>
        </w:rPr>
        <w:t>同年期、同信評之傳統債券更高的初始票面利率，各債券型基金經理人一方面為了去化不斷流入的投資人資金，另方面也為追求</w:t>
      </w:r>
      <w:r w:rsidRPr="00844E73">
        <w:rPr>
          <w:rFonts w:ascii="Times New Roman" w:hint="eastAsia"/>
          <w:szCs w:val="32"/>
        </w:rPr>
        <w:t>更佳的</w:t>
      </w:r>
      <w:r w:rsidR="00F3063E" w:rsidRPr="00844E73">
        <w:rPr>
          <w:rFonts w:ascii="Times New Roman" w:hint="eastAsia"/>
          <w:szCs w:val="32"/>
        </w:rPr>
        <w:t>基金</w:t>
      </w:r>
      <w:r w:rsidRPr="00844E73">
        <w:rPr>
          <w:rFonts w:ascii="Times New Roman" w:hint="eastAsia"/>
          <w:szCs w:val="32"/>
        </w:rPr>
        <w:t>績效表現，乃爭相</w:t>
      </w:r>
      <w:r w:rsidR="00F3063E" w:rsidRPr="00844E73">
        <w:rPr>
          <w:rFonts w:ascii="Times New Roman" w:hint="eastAsia"/>
          <w:szCs w:val="32"/>
        </w:rPr>
        <w:t>將</w:t>
      </w:r>
      <w:r w:rsidR="004B5391" w:rsidRPr="00844E73">
        <w:rPr>
          <w:rFonts w:ascii="Times New Roman" w:hint="eastAsia"/>
          <w:szCs w:val="32"/>
        </w:rPr>
        <w:t>結構債</w:t>
      </w:r>
      <w:r w:rsidR="00F3063E" w:rsidRPr="00844E73">
        <w:rPr>
          <w:rFonts w:ascii="Times New Roman" w:hint="eastAsia"/>
          <w:szCs w:val="32"/>
        </w:rPr>
        <w:t>納入</w:t>
      </w:r>
      <w:r w:rsidRPr="00844E73">
        <w:rPr>
          <w:rFonts w:ascii="Times New Roman" w:hint="eastAsia"/>
          <w:szCs w:val="32"/>
        </w:rPr>
        <w:t>基金</w:t>
      </w:r>
      <w:r w:rsidRPr="00844E73">
        <w:rPr>
          <w:rFonts w:ascii="Times New Roman" w:hint="eastAsia"/>
          <w:szCs w:val="32"/>
        </w:rPr>
        <w:lastRenderedPageBreak/>
        <w:t>投資組合。以</w:t>
      </w:r>
      <w:r w:rsidR="00F3063E" w:rsidRPr="00844E73">
        <w:rPr>
          <w:rFonts w:ascii="Times New Roman" w:hint="eastAsia"/>
          <w:szCs w:val="32"/>
        </w:rPr>
        <w:t>93</w:t>
      </w:r>
      <w:r w:rsidR="00F3063E" w:rsidRPr="00844E73">
        <w:rPr>
          <w:rFonts w:ascii="Times New Roman" w:hint="eastAsia"/>
          <w:szCs w:val="32"/>
        </w:rPr>
        <w:t>年</w:t>
      </w:r>
      <w:r w:rsidR="00F3063E" w:rsidRPr="00844E73">
        <w:rPr>
          <w:rFonts w:ascii="Times New Roman" w:hint="eastAsia"/>
          <w:szCs w:val="32"/>
        </w:rPr>
        <w:t>10</w:t>
      </w:r>
      <w:r w:rsidR="00F3063E" w:rsidRPr="00844E73">
        <w:rPr>
          <w:rFonts w:ascii="Times New Roman" w:hint="eastAsia"/>
          <w:szCs w:val="32"/>
        </w:rPr>
        <w:t>月</w:t>
      </w:r>
      <w:r w:rsidRPr="00844E73">
        <w:rPr>
          <w:rFonts w:ascii="Times New Roman" w:hint="eastAsia"/>
          <w:szCs w:val="32"/>
        </w:rPr>
        <w:t>為例</w:t>
      </w:r>
      <w:r w:rsidR="00F3063E" w:rsidRPr="00844E73">
        <w:rPr>
          <w:rFonts w:ascii="Times New Roman" w:hint="eastAsia"/>
          <w:szCs w:val="32"/>
        </w:rPr>
        <w:t>，整體結構性債券發行總額約</w:t>
      </w:r>
      <w:r w:rsidR="00F3063E" w:rsidRPr="00844E73">
        <w:rPr>
          <w:rFonts w:ascii="Times New Roman" w:hint="eastAsia"/>
          <w:szCs w:val="32"/>
        </w:rPr>
        <w:t>6,000</w:t>
      </w:r>
      <w:r w:rsidR="00F3063E" w:rsidRPr="00844E73">
        <w:rPr>
          <w:rFonts w:ascii="Times New Roman" w:hint="eastAsia"/>
          <w:szCs w:val="32"/>
        </w:rPr>
        <w:t>億元，由債券型基金所購入持有者即達</w:t>
      </w:r>
      <w:r w:rsidR="00F3063E" w:rsidRPr="00844E73">
        <w:rPr>
          <w:rFonts w:ascii="Times New Roman" w:hint="eastAsia"/>
          <w:szCs w:val="32"/>
        </w:rPr>
        <w:t>4,400</w:t>
      </w:r>
      <w:r w:rsidR="00F3063E" w:rsidRPr="00844E73">
        <w:rPr>
          <w:rFonts w:ascii="Times New Roman" w:hint="eastAsia"/>
          <w:szCs w:val="32"/>
        </w:rPr>
        <w:t>億元</w:t>
      </w:r>
      <w:r w:rsidR="00F3063E" w:rsidRPr="00844E73">
        <w:rPr>
          <w:rFonts w:hAnsi="標楷體" w:hint="eastAsia"/>
          <w:szCs w:val="32"/>
        </w:rPr>
        <w:t>（</w:t>
      </w:r>
      <w:r w:rsidR="00C17184">
        <w:rPr>
          <w:rFonts w:hAnsi="標楷體" w:hint="eastAsia"/>
          <w:szCs w:val="32"/>
        </w:rPr>
        <w:t>占</w:t>
      </w:r>
      <w:r w:rsidR="00F3063E" w:rsidRPr="00844E73">
        <w:rPr>
          <w:rFonts w:hAnsi="標楷體" w:hint="eastAsia"/>
          <w:szCs w:val="32"/>
        </w:rPr>
        <w:t>全市場的73%）</w:t>
      </w:r>
      <w:r w:rsidR="00F3063E" w:rsidRPr="00844E73">
        <w:rPr>
          <w:rFonts w:ascii="Times New Roman" w:hint="eastAsia"/>
          <w:szCs w:val="32"/>
        </w:rPr>
        <w:t>；且其中屬反浮動利率之結構債券約為</w:t>
      </w:r>
      <w:r w:rsidR="00F3063E" w:rsidRPr="00844E73">
        <w:rPr>
          <w:rFonts w:ascii="Times New Roman" w:hint="eastAsia"/>
          <w:szCs w:val="32"/>
        </w:rPr>
        <w:t>3,800</w:t>
      </w:r>
      <w:r w:rsidR="00141335">
        <w:rPr>
          <w:rFonts w:ascii="Times New Roman" w:hint="eastAsia"/>
          <w:szCs w:val="32"/>
        </w:rPr>
        <w:t>億元，約占</w:t>
      </w:r>
      <w:r w:rsidR="00F3063E" w:rsidRPr="00844E73">
        <w:rPr>
          <w:rFonts w:ascii="Times New Roman" w:hint="eastAsia"/>
          <w:szCs w:val="32"/>
        </w:rPr>
        <w:t>其所持有之結構債金額的</w:t>
      </w:r>
      <w:r w:rsidR="00F3063E" w:rsidRPr="00844E73">
        <w:rPr>
          <w:rFonts w:ascii="Times New Roman" w:hint="eastAsia"/>
          <w:szCs w:val="32"/>
        </w:rPr>
        <w:t>86%</w:t>
      </w:r>
      <w:r w:rsidR="00F3063E" w:rsidRPr="00844E73">
        <w:rPr>
          <w:rFonts w:ascii="Times New Roman" w:hint="eastAsia"/>
          <w:szCs w:val="32"/>
        </w:rPr>
        <w:t>。</w:t>
      </w:r>
    </w:p>
    <w:p w:rsidR="006D1D6D" w:rsidRPr="00844E73" w:rsidRDefault="007F09B7" w:rsidP="00D02C48">
      <w:pPr>
        <w:pStyle w:val="11"/>
        <w:ind w:left="680" w:firstLine="680"/>
      </w:pPr>
      <w:r w:rsidRPr="00844E73">
        <w:rPr>
          <w:rFonts w:hint="eastAsia"/>
        </w:rPr>
        <w:t>惟於</w:t>
      </w:r>
      <w:r w:rsidR="00F3063E" w:rsidRPr="00844E73">
        <w:t>93</w:t>
      </w:r>
      <w:r w:rsidR="00F3063E" w:rsidRPr="00844E73">
        <w:rPr>
          <w:rFonts w:hint="eastAsia"/>
        </w:rPr>
        <w:t>年</w:t>
      </w:r>
      <w:r w:rsidR="00F3063E" w:rsidRPr="00844E73">
        <w:t>6</w:t>
      </w:r>
      <w:r w:rsidR="00F3063E" w:rsidRPr="00844E73">
        <w:rPr>
          <w:rFonts w:hint="eastAsia"/>
        </w:rPr>
        <w:t>月</w:t>
      </w:r>
      <w:r w:rsidRPr="00844E73">
        <w:rPr>
          <w:rFonts w:hint="eastAsia"/>
        </w:rPr>
        <w:t>間</w:t>
      </w:r>
      <w:r w:rsidR="00F3063E" w:rsidRPr="00844E73">
        <w:rPr>
          <w:rFonts w:hint="eastAsia"/>
        </w:rPr>
        <w:t>，</w:t>
      </w:r>
      <w:r w:rsidR="00F3063E" w:rsidRPr="00844E73">
        <w:t>上市公司博達科技</w:t>
      </w:r>
      <w:r w:rsidR="00F3063E" w:rsidRPr="00844E73">
        <w:rPr>
          <w:rFonts w:hint="eastAsia"/>
        </w:rPr>
        <w:t>股份有限公司</w:t>
      </w:r>
      <w:r w:rsidR="00390B1F" w:rsidRPr="00844E73">
        <w:t>因無法清償</w:t>
      </w:r>
      <w:r w:rsidR="00390B1F" w:rsidRPr="00844E73">
        <w:rPr>
          <w:rFonts w:hint="eastAsia"/>
        </w:rPr>
        <w:t>1</w:t>
      </w:r>
      <w:r w:rsidR="00F3063E" w:rsidRPr="00844E73">
        <w:t>億美元之海外可轉換公司債，向</w:t>
      </w:r>
      <w:r w:rsidR="00CC49A2">
        <w:rPr>
          <w:rFonts w:hint="eastAsia"/>
        </w:rPr>
        <w:t>臺灣</w:t>
      </w:r>
      <w:r w:rsidR="00F3063E" w:rsidRPr="00844E73">
        <w:t>士林地</w:t>
      </w:r>
      <w:r w:rsidR="00CC49A2">
        <w:rPr>
          <w:rFonts w:hint="eastAsia"/>
        </w:rPr>
        <w:t>方法</w:t>
      </w:r>
      <w:r w:rsidR="00F3063E" w:rsidRPr="00844E73">
        <w:t>院聲請重整</w:t>
      </w:r>
      <w:r w:rsidR="001D445F" w:rsidRPr="00844E73">
        <w:rPr>
          <w:rFonts w:hint="eastAsia"/>
        </w:rPr>
        <w:t>，引發市場紛紛拋出其他數家償還能力有疑慮之公司債。同年</w:t>
      </w:r>
      <w:r w:rsidR="006D1D6D" w:rsidRPr="00844E73">
        <w:rPr>
          <w:rFonts w:hint="eastAsia"/>
        </w:rPr>
        <w:t>7月</w:t>
      </w:r>
      <w:r w:rsidR="001D445F" w:rsidRPr="00844E73">
        <w:rPr>
          <w:rFonts w:hint="eastAsia"/>
        </w:rPr>
        <w:t>12日</w:t>
      </w:r>
      <w:r w:rsidR="006D1D6D" w:rsidRPr="00844E73">
        <w:rPr>
          <w:rFonts w:hint="eastAsia"/>
        </w:rPr>
        <w:t>，聯合投信證券投資信託股份有限公司（下稱聯合投信）經理之</w:t>
      </w:r>
      <w:r w:rsidR="006D1D6D" w:rsidRPr="00844E73">
        <w:rPr>
          <w:rFonts w:hAnsi="標楷體" w:hint="eastAsia"/>
        </w:rPr>
        <w:t>「</w:t>
      </w:r>
      <w:r w:rsidR="006D1D6D" w:rsidRPr="00844E73">
        <w:rPr>
          <w:rFonts w:hint="eastAsia"/>
        </w:rPr>
        <w:t>聯合雙盈債券基金</w:t>
      </w:r>
      <w:r w:rsidR="006D1D6D" w:rsidRPr="00844E73">
        <w:rPr>
          <w:rFonts w:hAnsi="標楷體" w:hint="eastAsia"/>
        </w:rPr>
        <w:t>」</w:t>
      </w:r>
      <w:r w:rsidR="001D445F" w:rsidRPr="00844E73">
        <w:rPr>
          <w:rFonts w:hint="eastAsia"/>
        </w:rPr>
        <w:t>因</w:t>
      </w:r>
      <w:r w:rsidR="006D1D6D" w:rsidRPr="00844E73">
        <w:rPr>
          <w:rFonts w:hint="eastAsia"/>
        </w:rPr>
        <w:t>處分</w:t>
      </w:r>
      <w:r w:rsidR="006D1D6D" w:rsidRPr="00844E73">
        <w:t>衛道科技股份有限公司</w:t>
      </w:r>
      <w:r w:rsidR="001D445F" w:rsidRPr="00844E73">
        <w:rPr>
          <w:rFonts w:hint="eastAsia"/>
        </w:rPr>
        <w:t>可轉換公司債產生虧損</w:t>
      </w:r>
      <w:r w:rsidR="006D1D6D" w:rsidRPr="00844E73">
        <w:rPr>
          <w:rFonts w:hint="eastAsia"/>
        </w:rPr>
        <w:t>，聯合投信</w:t>
      </w:r>
      <w:r w:rsidR="001D445F" w:rsidRPr="00844E73">
        <w:rPr>
          <w:rFonts w:hint="eastAsia"/>
        </w:rPr>
        <w:t>應外資股東要求，將</w:t>
      </w:r>
      <w:r w:rsidR="00B635C0" w:rsidRPr="00844E73">
        <w:rPr>
          <w:rFonts w:hint="eastAsia"/>
        </w:rPr>
        <w:t>該</w:t>
      </w:r>
      <w:r w:rsidR="001D445F" w:rsidRPr="00844E73">
        <w:rPr>
          <w:rFonts w:hint="eastAsia"/>
        </w:rPr>
        <w:t>虧損</w:t>
      </w:r>
      <w:r w:rsidR="00B635C0" w:rsidRPr="00844E73">
        <w:rPr>
          <w:rFonts w:hint="eastAsia"/>
        </w:rPr>
        <w:t>立即</w:t>
      </w:r>
      <w:r w:rsidR="001D445F" w:rsidRPr="00844E73">
        <w:rPr>
          <w:rFonts w:hint="eastAsia"/>
        </w:rPr>
        <w:t>反映於基金淨值上</w:t>
      </w:r>
      <w:r w:rsidR="006D1D6D" w:rsidRPr="00844E73">
        <w:rPr>
          <w:rFonts w:hint="eastAsia"/>
        </w:rPr>
        <w:t>，導致基金淨值大幅下</w:t>
      </w:r>
      <w:r w:rsidR="006D1D6D" w:rsidRPr="00844E73">
        <w:t>降3.46</w:t>
      </w:r>
      <w:r w:rsidR="001D445F" w:rsidRPr="00844E73">
        <w:t>％</w:t>
      </w:r>
      <w:r w:rsidR="006D1D6D" w:rsidRPr="00844E73">
        <w:rPr>
          <w:rFonts w:hint="eastAsia"/>
        </w:rPr>
        <w:t>，</w:t>
      </w:r>
      <w:r w:rsidR="00F9456D" w:rsidRPr="00844E73">
        <w:rPr>
          <w:rFonts w:hint="eastAsia"/>
        </w:rPr>
        <w:t>引爆</w:t>
      </w:r>
      <w:r w:rsidR="006D1D6D" w:rsidRPr="00844E73">
        <w:rPr>
          <w:rFonts w:hint="eastAsia"/>
        </w:rPr>
        <w:t>投資人大舉贖回</w:t>
      </w:r>
      <w:r w:rsidR="001D445F" w:rsidRPr="00844E73">
        <w:rPr>
          <w:rFonts w:hint="eastAsia"/>
        </w:rPr>
        <w:t>該基金</w:t>
      </w:r>
      <w:r w:rsidR="006D1D6D" w:rsidRPr="00844E73">
        <w:rPr>
          <w:rFonts w:hint="eastAsia"/>
        </w:rPr>
        <w:t>之類似銀行擠兌</w:t>
      </w:r>
      <w:r w:rsidR="00B635C0" w:rsidRPr="00844E73">
        <w:rPr>
          <w:rFonts w:hint="eastAsia"/>
        </w:rPr>
        <w:t>狀</w:t>
      </w:r>
      <w:r w:rsidR="006D1D6D" w:rsidRPr="00844E73">
        <w:rPr>
          <w:rFonts w:hint="eastAsia"/>
        </w:rPr>
        <w:t>況。聯合投信為因應上開贖回，乃大量出售基金資產，</w:t>
      </w:r>
      <w:r w:rsidR="00B635C0" w:rsidRPr="00844E73">
        <w:rPr>
          <w:rFonts w:hint="eastAsia"/>
        </w:rPr>
        <w:t>造成市場因突然供給過多而</w:t>
      </w:r>
      <w:r w:rsidR="006D1D6D" w:rsidRPr="00844E73">
        <w:rPr>
          <w:rFonts w:hint="eastAsia"/>
        </w:rPr>
        <w:t>價格下跌，進而導致基金淨值繼續下跌；而在流動準備不足</w:t>
      </w:r>
      <w:r w:rsidR="00B635C0" w:rsidRPr="00844E73">
        <w:rPr>
          <w:rFonts w:hint="eastAsia"/>
        </w:rPr>
        <w:t>情</w:t>
      </w:r>
      <w:r w:rsidR="006D1D6D" w:rsidRPr="00844E73">
        <w:rPr>
          <w:rFonts w:hint="eastAsia"/>
        </w:rPr>
        <w:t>況下，聯合投信經報請主管機關</w:t>
      </w:r>
      <w:r w:rsidR="00EF5177" w:rsidRPr="00844E73">
        <w:t>金融監督管理委員會</w:t>
      </w:r>
      <w:r w:rsidR="00EF5177" w:rsidRPr="00844E73">
        <w:rPr>
          <w:rFonts w:hint="eastAsia"/>
        </w:rPr>
        <w:t>（下稱金管會）證券期貨局（下稱證期局）</w:t>
      </w:r>
      <w:r w:rsidR="006D1D6D" w:rsidRPr="00844E73">
        <w:rPr>
          <w:rFonts w:hint="eastAsia"/>
        </w:rPr>
        <w:t>暫停基金贖回獲准，但其結果反使所有基金持有人對市場上之債券型基金產生高度疑慮而引發大舉回贖，一時間投資人爭相贖回國內其他各投信公司債券型基金，整體債券型基金2週內被贖回3,230億元</w:t>
      </w:r>
      <w:r w:rsidR="00363D88" w:rsidRPr="00844E73">
        <w:rPr>
          <w:rFonts w:hint="eastAsia"/>
        </w:rPr>
        <w:t>，公司規模較小者，尤受衝擊</w:t>
      </w:r>
      <w:r w:rsidR="00B635C0" w:rsidRPr="00844E73">
        <w:rPr>
          <w:rFonts w:hint="eastAsia"/>
        </w:rPr>
        <w:t>(</w:t>
      </w:r>
      <w:r w:rsidR="00363D88" w:rsidRPr="00844E73">
        <w:rPr>
          <w:rFonts w:hint="eastAsia"/>
        </w:rPr>
        <w:t>如台育投信</w:t>
      </w:r>
      <w:r w:rsidR="006D1D6D" w:rsidRPr="00844E73">
        <w:rPr>
          <w:rFonts w:hint="eastAsia"/>
        </w:rPr>
        <w:t>所經理之</w:t>
      </w:r>
      <w:r w:rsidR="006D1D6D" w:rsidRPr="00844E73">
        <w:rPr>
          <w:rFonts w:hAnsi="標楷體" w:hint="eastAsia"/>
        </w:rPr>
        <w:t>「台育遠流債券基金」即由93年7月的180億元基金規模，劇減至93年9月7日</w:t>
      </w:r>
      <w:r w:rsidR="00B635C0" w:rsidRPr="00844E73">
        <w:rPr>
          <w:rFonts w:hAnsi="標楷體" w:hint="eastAsia"/>
        </w:rPr>
        <w:t>僅餘</w:t>
      </w:r>
      <w:r w:rsidR="006D1D6D" w:rsidRPr="00844E73">
        <w:rPr>
          <w:rFonts w:hAnsi="標楷體" w:hint="eastAsia"/>
        </w:rPr>
        <w:t>約31億元，並因流動性不足暫停計價</w:t>
      </w:r>
      <w:r w:rsidR="00B635C0" w:rsidRPr="00844E73">
        <w:rPr>
          <w:rFonts w:hAnsi="標楷體" w:hint="eastAsia"/>
        </w:rPr>
        <w:t>)；</w:t>
      </w:r>
      <w:r w:rsidR="006D1D6D" w:rsidRPr="00844E73">
        <w:rPr>
          <w:rFonts w:hAnsi="標楷體" w:hint="eastAsia"/>
        </w:rPr>
        <w:t>市場上稱之為「聯合投信事件」</w:t>
      </w:r>
      <w:r w:rsidR="006D1D6D" w:rsidRPr="00844E73">
        <w:rPr>
          <w:rFonts w:hint="eastAsia"/>
        </w:rPr>
        <w:t>。</w:t>
      </w:r>
    </w:p>
    <w:p w:rsidR="006D1D6D" w:rsidRPr="00844E73" w:rsidRDefault="00C063E2" w:rsidP="00D02C48">
      <w:pPr>
        <w:pStyle w:val="11"/>
        <w:ind w:left="680" w:firstLine="680"/>
      </w:pPr>
      <w:r w:rsidRPr="007D03ED">
        <w:rPr>
          <w:rFonts w:hint="eastAsia"/>
        </w:rPr>
        <w:t>金管會為因應上開金融事件，</w:t>
      </w:r>
      <w:r>
        <w:rPr>
          <w:rFonts w:hint="eastAsia"/>
        </w:rPr>
        <w:t>旋</w:t>
      </w:r>
      <w:r w:rsidRPr="007D03ED">
        <w:rPr>
          <w:rFonts w:hint="eastAsia"/>
        </w:rPr>
        <w:t>緊急採取相關處置(詳後述)，</w:t>
      </w:r>
      <w:r>
        <w:rPr>
          <w:rFonts w:hint="eastAsia"/>
        </w:rPr>
        <w:t>並於93年9月20日協調完成</w:t>
      </w:r>
      <w:r>
        <w:rPr>
          <w:rFonts w:hAnsi="標楷體" w:hint="eastAsia"/>
        </w:rPr>
        <w:t>「</w:t>
      </w:r>
      <w:r>
        <w:rPr>
          <w:rFonts w:hint="eastAsia"/>
        </w:rPr>
        <w:t>7道防線</w:t>
      </w:r>
      <w:r>
        <w:rPr>
          <w:rStyle w:val="aff1"/>
        </w:rPr>
        <w:footnoteReference w:id="4"/>
      </w:r>
      <w:r>
        <w:rPr>
          <w:rFonts w:hAnsi="標楷體" w:hint="eastAsia"/>
        </w:rPr>
        <w:t>」，</w:t>
      </w:r>
      <w:r>
        <w:rPr>
          <w:rFonts w:hint="eastAsia"/>
        </w:rPr>
        <w:t>以</w:t>
      </w:r>
      <w:r>
        <w:rPr>
          <w:rFonts w:hint="eastAsia"/>
        </w:rPr>
        <w:lastRenderedPageBreak/>
        <w:t>紓解贖回潮及協助各投信公司取得流動性。</w:t>
      </w:r>
      <w:r w:rsidRPr="007D03ED">
        <w:rPr>
          <w:rFonts w:hint="eastAsia"/>
        </w:rPr>
        <w:t>93年11月3日</w:t>
      </w:r>
      <w:r>
        <w:rPr>
          <w:rFonts w:hint="eastAsia"/>
        </w:rPr>
        <w:t>，該會鑑於年關將至，為免年底之市場資金需求所造成之基金贖回潮再度對</w:t>
      </w:r>
      <w:r w:rsidRPr="007D03ED">
        <w:rPr>
          <w:rFonts w:hint="eastAsia"/>
        </w:rPr>
        <w:t>債券型基金流動性</w:t>
      </w:r>
      <w:r>
        <w:rPr>
          <w:rFonts w:hint="eastAsia"/>
        </w:rPr>
        <w:t>產生衝擊，乃另</w:t>
      </w:r>
      <w:r w:rsidRPr="007D03ED">
        <w:rPr>
          <w:rFonts w:hint="eastAsia"/>
        </w:rPr>
        <w:t>成立「改善債券型基金流動性專案小組</w:t>
      </w:r>
      <w:r w:rsidRPr="007D03ED">
        <w:rPr>
          <w:rStyle w:val="aff1"/>
        </w:rPr>
        <w:footnoteReference w:id="5"/>
      </w:r>
      <w:r w:rsidRPr="007D03ED">
        <w:rPr>
          <w:rFonts w:hint="eastAsia"/>
        </w:rPr>
        <w:t>」，由</w:t>
      </w:r>
      <w:r w:rsidRPr="007D03ED">
        <w:rPr>
          <w:rFonts w:ascii="Times New Roman" w:hAnsi="標楷體"/>
          <w:color w:val="000000"/>
          <w:szCs w:val="32"/>
        </w:rPr>
        <w:t>當時之李賢源委員督同證期局等相關單位，</w:t>
      </w:r>
      <w:r w:rsidRPr="007D03ED">
        <w:rPr>
          <w:rFonts w:ascii="Times New Roman" w:hAnsi="標楷體" w:hint="eastAsia"/>
          <w:color w:val="000000"/>
          <w:szCs w:val="32"/>
        </w:rPr>
        <w:t>每週</w:t>
      </w:r>
      <w:r w:rsidRPr="007D03ED">
        <w:rPr>
          <w:rFonts w:ascii="Times New Roman" w:hAnsi="標楷體"/>
          <w:color w:val="000000"/>
          <w:szCs w:val="32"/>
        </w:rPr>
        <w:t>定期檢討追蹤</w:t>
      </w:r>
      <w:r w:rsidRPr="007D03ED">
        <w:rPr>
          <w:rFonts w:ascii="Times New Roman" w:hAnsi="標楷體" w:hint="eastAsia"/>
          <w:color w:val="000000"/>
          <w:szCs w:val="32"/>
        </w:rPr>
        <w:t>債</w:t>
      </w:r>
      <w:r w:rsidRPr="007D03ED">
        <w:rPr>
          <w:rFonts w:ascii="Times New Roman" w:hAnsi="標楷體"/>
          <w:color w:val="000000"/>
          <w:szCs w:val="32"/>
        </w:rPr>
        <w:t>券型基金流動性變化與申購、贖回狀況。</w:t>
      </w:r>
      <w:r w:rsidRPr="007D03ED">
        <w:rPr>
          <w:rFonts w:ascii="Times New Roman" w:hint="eastAsia"/>
          <w:szCs w:val="32"/>
        </w:rPr>
        <w:t>94</w:t>
      </w:r>
      <w:r w:rsidRPr="007D03ED">
        <w:rPr>
          <w:rFonts w:ascii="Times New Roman" w:hint="eastAsia"/>
          <w:szCs w:val="32"/>
        </w:rPr>
        <w:t>年</w:t>
      </w:r>
      <w:r w:rsidRPr="007D03ED">
        <w:rPr>
          <w:rFonts w:ascii="Times New Roman" w:hint="eastAsia"/>
          <w:szCs w:val="32"/>
        </w:rPr>
        <w:t>2</w:t>
      </w:r>
      <w:r w:rsidRPr="007D03ED">
        <w:rPr>
          <w:rFonts w:ascii="Times New Roman" w:hint="eastAsia"/>
          <w:szCs w:val="32"/>
        </w:rPr>
        <w:t>月</w:t>
      </w:r>
      <w:r>
        <w:rPr>
          <w:rFonts w:ascii="Times New Roman" w:hint="eastAsia"/>
          <w:szCs w:val="32"/>
        </w:rPr>
        <w:t>間</w:t>
      </w:r>
      <w:r w:rsidR="00F7409B" w:rsidRPr="00612F57">
        <w:rPr>
          <w:rStyle w:val="aff1"/>
        </w:rPr>
        <w:footnoteReference w:id="6"/>
      </w:r>
      <w:r>
        <w:rPr>
          <w:rFonts w:ascii="Times New Roman" w:hint="eastAsia"/>
          <w:szCs w:val="32"/>
        </w:rPr>
        <w:t>，</w:t>
      </w:r>
      <w:r w:rsidRPr="007D03ED">
        <w:rPr>
          <w:rFonts w:ascii="Times New Roman" w:hAnsi="標楷體"/>
          <w:color w:val="000000"/>
          <w:szCs w:val="32"/>
        </w:rPr>
        <w:t>李賢源委員</w:t>
      </w:r>
      <w:r>
        <w:rPr>
          <w:rFonts w:ascii="Times New Roman" w:hAnsi="標楷體" w:hint="eastAsia"/>
          <w:szCs w:val="32"/>
        </w:rPr>
        <w:t>以</w:t>
      </w:r>
      <w:r w:rsidRPr="007D03ED">
        <w:rPr>
          <w:rFonts w:ascii="Times New Roman" w:hAnsi="標楷體"/>
          <w:szCs w:val="32"/>
        </w:rPr>
        <w:t>當時債券型基金投資決策錯誤</w:t>
      </w:r>
      <w:r w:rsidRPr="007D03ED">
        <w:rPr>
          <w:rFonts w:hAnsi="標楷體" w:hint="eastAsia"/>
          <w:szCs w:val="32"/>
        </w:rPr>
        <w:t>（</w:t>
      </w:r>
      <w:r w:rsidRPr="007D03ED">
        <w:rPr>
          <w:rFonts w:ascii="Times New Roman" w:hAnsi="標楷體"/>
          <w:szCs w:val="32"/>
        </w:rPr>
        <w:t>購買過多流動性低之結構債</w:t>
      </w:r>
      <w:r w:rsidRPr="007D03ED">
        <w:rPr>
          <w:rFonts w:hAnsi="標楷體" w:hint="eastAsia"/>
          <w:szCs w:val="32"/>
        </w:rPr>
        <w:t>），</w:t>
      </w:r>
      <w:r w:rsidRPr="007D03ED">
        <w:rPr>
          <w:rFonts w:ascii="Times New Roman" w:hAnsi="標楷體"/>
          <w:szCs w:val="32"/>
        </w:rPr>
        <w:t>及</w:t>
      </w:r>
      <w:r w:rsidRPr="007D03ED">
        <w:rPr>
          <w:rFonts w:ascii="Times New Roman" w:hAnsi="標楷體" w:hint="eastAsia"/>
          <w:szCs w:val="32"/>
        </w:rPr>
        <w:t>分券作價交易方式</w:t>
      </w:r>
      <w:r w:rsidRPr="007D03ED">
        <w:rPr>
          <w:rFonts w:ascii="Times New Roman" w:hAnsi="標楷體"/>
          <w:szCs w:val="32"/>
        </w:rPr>
        <w:t>使投資人誤認債券型基金具保本性質等</w:t>
      </w:r>
      <w:r>
        <w:rPr>
          <w:rFonts w:ascii="Times New Roman" w:hAnsi="標楷體" w:hint="eastAsia"/>
          <w:szCs w:val="32"/>
        </w:rPr>
        <w:t>事由</w:t>
      </w:r>
      <w:r>
        <w:rPr>
          <w:rFonts w:hint="eastAsia"/>
        </w:rPr>
        <w:t>，</w:t>
      </w:r>
      <w:r w:rsidRPr="007D03ED">
        <w:rPr>
          <w:rFonts w:ascii="Times New Roman" w:hint="eastAsia"/>
          <w:szCs w:val="32"/>
        </w:rPr>
        <w:t>透過</w:t>
      </w:r>
      <w:r w:rsidRPr="007D03ED">
        <w:rPr>
          <w:rFonts w:hint="eastAsia"/>
        </w:rPr>
        <w:t>中華民國證券投資信託暨顧問商業同業公會(下稱</w:t>
      </w:r>
      <w:r w:rsidRPr="007D03ED">
        <w:rPr>
          <w:rFonts w:ascii="Times New Roman" w:hint="eastAsia"/>
          <w:szCs w:val="32"/>
        </w:rPr>
        <w:t>投信投顧公會</w:t>
      </w:r>
      <w:r w:rsidRPr="007D03ED">
        <w:rPr>
          <w:rFonts w:ascii="Times New Roman" w:hint="eastAsia"/>
          <w:szCs w:val="32"/>
        </w:rPr>
        <w:t>)</w:t>
      </w:r>
      <w:r w:rsidRPr="007D03ED">
        <w:rPr>
          <w:rFonts w:ascii="Times New Roman" w:hint="eastAsia"/>
          <w:szCs w:val="32"/>
        </w:rPr>
        <w:t>之管道，要求各投信公司於出清處理結構債時，須遵循</w:t>
      </w:r>
      <w:r w:rsidR="006D1D6D" w:rsidRPr="00844E73">
        <w:rPr>
          <w:rFonts w:ascii="Times New Roman" w:hAnsi="標楷體"/>
          <w:szCs w:val="32"/>
        </w:rPr>
        <w:t>「符合現行法令規定」、「不可讓基金受益人受損」、「若有損失由投信股東自行吸收」等三大原則（</w:t>
      </w:r>
      <w:r w:rsidR="006D1D6D" w:rsidRPr="00844E73">
        <w:rPr>
          <w:rFonts w:ascii="Times New Roman" w:hAnsi="標楷體" w:hint="eastAsia"/>
          <w:szCs w:val="32"/>
        </w:rPr>
        <w:t>即市場通</w:t>
      </w:r>
      <w:r w:rsidR="006D1D6D" w:rsidRPr="00844E73">
        <w:rPr>
          <w:rFonts w:ascii="Times New Roman" w:hAnsi="標楷體"/>
          <w:szCs w:val="32"/>
        </w:rPr>
        <w:t>稱</w:t>
      </w:r>
      <w:r w:rsidR="00A45C9A" w:rsidRPr="00844E73">
        <w:rPr>
          <w:rFonts w:ascii="Times New Roman" w:hAnsi="標楷體" w:hint="eastAsia"/>
          <w:szCs w:val="32"/>
        </w:rPr>
        <w:t>之</w:t>
      </w:r>
      <w:r w:rsidR="00A45C9A" w:rsidRPr="00844E73">
        <w:rPr>
          <w:rFonts w:hAnsi="標楷體" w:hint="eastAsia"/>
          <w:szCs w:val="32"/>
        </w:rPr>
        <w:t>「</w:t>
      </w:r>
      <w:r w:rsidR="006D1D6D" w:rsidRPr="00844E73">
        <w:rPr>
          <w:rFonts w:ascii="Times New Roman" w:hAnsi="標楷體"/>
          <w:szCs w:val="32"/>
        </w:rPr>
        <w:t>三大鐵律</w:t>
      </w:r>
      <w:r w:rsidR="00A45C9A" w:rsidRPr="00844E73">
        <w:rPr>
          <w:rFonts w:hAnsi="標楷體" w:hint="eastAsia"/>
          <w:szCs w:val="32"/>
        </w:rPr>
        <w:t>」</w:t>
      </w:r>
      <w:r w:rsidR="006D1D6D" w:rsidRPr="00844E73">
        <w:rPr>
          <w:rFonts w:ascii="Times New Roman" w:hAnsi="標楷體"/>
          <w:szCs w:val="32"/>
        </w:rPr>
        <w:t>）</w:t>
      </w:r>
      <w:r w:rsidR="006D1D6D" w:rsidRPr="00844E73">
        <w:rPr>
          <w:rFonts w:ascii="Times New Roman" w:hAnsi="標楷體" w:hint="eastAsia"/>
          <w:szCs w:val="32"/>
        </w:rPr>
        <w:t>；後更鑑於國際利率反轉走升，乃</w:t>
      </w:r>
      <w:r w:rsidR="00271BA3" w:rsidRPr="00844E73">
        <w:rPr>
          <w:rFonts w:ascii="Times New Roman" w:hAnsi="標楷體" w:hint="eastAsia"/>
          <w:szCs w:val="32"/>
        </w:rPr>
        <w:t>於</w:t>
      </w:r>
      <w:r w:rsidR="00271BA3" w:rsidRPr="00844E73">
        <w:rPr>
          <w:rFonts w:ascii="Times New Roman" w:hAnsi="標楷體" w:hint="eastAsia"/>
          <w:szCs w:val="32"/>
        </w:rPr>
        <w:t>94</w:t>
      </w:r>
      <w:r w:rsidR="00271BA3" w:rsidRPr="00844E73">
        <w:rPr>
          <w:rFonts w:ascii="Times New Roman" w:hAnsi="標楷體" w:hint="eastAsia"/>
          <w:szCs w:val="32"/>
        </w:rPr>
        <w:t>年</w:t>
      </w:r>
      <w:r w:rsidR="00271BA3" w:rsidRPr="00844E73">
        <w:rPr>
          <w:rFonts w:ascii="Times New Roman" w:hAnsi="標楷體" w:hint="eastAsia"/>
          <w:szCs w:val="32"/>
        </w:rPr>
        <w:t>8</w:t>
      </w:r>
      <w:r w:rsidR="00271BA3" w:rsidRPr="00844E73">
        <w:rPr>
          <w:rFonts w:ascii="Times New Roman" w:hAnsi="標楷體" w:hint="eastAsia"/>
          <w:szCs w:val="32"/>
        </w:rPr>
        <w:t>月</w:t>
      </w:r>
      <w:r w:rsidR="00F7409B">
        <w:rPr>
          <w:rFonts w:ascii="Times New Roman" w:hAnsi="標楷體" w:hint="eastAsia"/>
          <w:szCs w:val="32"/>
        </w:rPr>
        <w:t>間</w:t>
      </w:r>
      <w:r w:rsidR="006D1D6D" w:rsidRPr="00844E73">
        <w:rPr>
          <w:rFonts w:ascii="Times New Roman" w:hAnsi="標楷體" w:hint="eastAsia"/>
          <w:szCs w:val="32"/>
        </w:rPr>
        <w:t>進一步要求投信業者須</w:t>
      </w:r>
      <w:r w:rsidR="006D1D6D" w:rsidRPr="00844E73">
        <w:rPr>
          <w:rFonts w:ascii="Times New Roman" w:hAnsi="標楷體"/>
          <w:szCs w:val="32"/>
        </w:rPr>
        <w:t>於</w:t>
      </w:r>
      <w:r w:rsidR="006D1D6D" w:rsidRPr="00844E73">
        <w:rPr>
          <w:rFonts w:ascii="Times New Roman" w:hAnsi="標楷體" w:hint="eastAsia"/>
          <w:szCs w:val="32"/>
        </w:rPr>
        <w:t>94</w:t>
      </w:r>
      <w:r w:rsidR="006D1D6D" w:rsidRPr="00844E73">
        <w:rPr>
          <w:rFonts w:ascii="Times New Roman" w:hAnsi="標楷體"/>
          <w:szCs w:val="32"/>
        </w:rPr>
        <w:t>年</w:t>
      </w:r>
      <w:r w:rsidR="006D1D6D" w:rsidRPr="00844E73">
        <w:rPr>
          <w:rFonts w:ascii="Times New Roman" w:hAnsi="標楷體" w:hint="eastAsia"/>
          <w:szCs w:val="32"/>
        </w:rPr>
        <w:t>12</w:t>
      </w:r>
      <w:r w:rsidR="006D1D6D" w:rsidRPr="00844E73">
        <w:rPr>
          <w:rFonts w:ascii="Times New Roman" w:hAnsi="標楷體"/>
          <w:szCs w:val="32"/>
        </w:rPr>
        <w:t>月底前將持有之結構債</w:t>
      </w:r>
      <w:r w:rsidR="006D1D6D" w:rsidRPr="00844E73">
        <w:rPr>
          <w:rFonts w:ascii="Times New Roman" w:hAnsi="標楷體" w:hint="eastAsia"/>
          <w:szCs w:val="32"/>
        </w:rPr>
        <w:t>部位</w:t>
      </w:r>
      <w:r w:rsidR="006D1D6D" w:rsidRPr="00844E73">
        <w:rPr>
          <w:rFonts w:ascii="Times New Roman" w:hAnsi="標楷體"/>
          <w:szCs w:val="32"/>
        </w:rPr>
        <w:t>全數出清</w:t>
      </w:r>
      <w:r w:rsidR="006D1D6D" w:rsidRPr="00844E73">
        <w:rPr>
          <w:rFonts w:ascii="Times New Roman" w:hAnsi="標楷體" w:hint="eastAsia"/>
          <w:szCs w:val="32"/>
        </w:rPr>
        <w:t>。</w:t>
      </w:r>
      <w:r w:rsidR="006D1D6D" w:rsidRPr="00844E73">
        <w:rPr>
          <w:rFonts w:ascii="Times New Roman" w:hAnsi="標楷體"/>
          <w:szCs w:val="32"/>
        </w:rPr>
        <w:t>金管會並以業者是否遵從上開行政指導，作為核准募集或追加募集基金之條件。</w:t>
      </w:r>
    </w:p>
    <w:p w:rsidR="004F6710" w:rsidRPr="00844E73" w:rsidRDefault="00E95026" w:rsidP="00D02C48">
      <w:pPr>
        <w:pStyle w:val="11"/>
        <w:ind w:left="680" w:firstLine="680"/>
      </w:pPr>
      <w:r w:rsidRPr="00844E73">
        <w:rPr>
          <w:rFonts w:hint="eastAsia"/>
        </w:rPr>
        <w:lastRenderedPageBreak/>
        <w:t>有關</w:t>
      </w:r>
      <w:r w:rsidR="00D31D33" w:rsidRPr="00844E73">
        <w:rPr>
          <w:rFonts w:hint="eastAsia"/>
        </w:rPr>
        <w:t>上開</w:t>
      </w:r>
      <w:r w:rsidR="006D1D6D" w:rsidRPr="00844E73">
        <w:rPr>
          <w:rFonts w:hint="eastAsia"/>
        </w:rPr>
        <w:t>金管會</w:t>
      </w:r>
      <w:r w:rsidR="007D4157" w:rsidRPr="00844E73">
        <w:t>於處理</w:t>
      </w:r>
      <w:r w:rsidR="003A2C96" w:rsidRPr="00844E73">
        <w:rPr>
          <w:rFonts w:hint="eastAsia"/>
        </w:rPr>
        <w:t>投信</w:t>
      </w:r>
      <w:r w:rsidR="007D4157" w:rsidRPr="00844E73">
        <w:t>結構債事件所提之三大原則，前經本院調</w:t>
      </w:r>
      <w:r w:rsidR="004D18CB" w:rsidRPr="007D03ED">
        <w:t>查</w:t>
      </w:r>
      <w:r w:rsidR="004D18CB">
        <w:rPr>
          <w:rStyle w:val="aff1"/>
        </w:rPr>
        <w:footnoteReference w:id="7"/>
      </w:r>
      <w:r w:rsidR="007D4157" w:rsidRPr="00844E73">
        <w:t>認其程序有欠妥當，並要求該會改善在案。然該三大原則之提出行為與發行新基金或變更基金規模之准駁相結合後，似已產生事實上拘束力，即不得拒絕承擔結構債投資人之損失，從而成為一限制人民權利之行政行為，究該會有無違反行政法及其他有關法令，認有調查之必要</w:t>
      </w:r>
      <w:r w:rsidR="00D31D33" w:rsidRPr="00844E73">
        <w:rPr>
          <w:rFonts w:hint="eastAsia"/>
        </w:rPr>
        <w:t>。</w:t>
      </w:r>
      <w:r w:rsidR="00AA0130" w:rsidRPr="00844E73">
        <w:rPr>
          <w:rFonts w:hint="eastAsia"/>
        </w:rPr>
        <w:t>案經</w:t>
      </w:r>
      <w:r w:rsidR="00D31D33" w:rsidRPr="00844E73">
        <w:rPr>
          <w:rFonts w:hint="eastAsia"/>
        </w:rPr>
        <w:t>本院</w:t>
      </w:r>
      <w:r w:rsidR="00AA0130" w:rsidRPr="00844E73">
        <w:rPr>
          <w:rFonts w:hint="eastAsia"/>
        </w:rPr>
        <w:t>調取</w:t>
      </w:r>
      <w:r w:rsidR="00D31D33" w:rsidRPr="00844E73">
        <w:rPr>
          <w:rFonts w:hint="eastAsia"/>
        </w:rPr>
        <w:t>前案卷證</w:t>
      </w:r>
      <w:r w:rsidR="002734C8" w:rsidRPr="00844E73">
        <w:rPr>
          <w:rFonts w:hint="eastAsia"/>
        </w:rPr>
        <w:t>，</w:t>
      </w:r>
      <w:r w:rsidR="00D31D33" w:rsidRPr="00844E73">
        <w:rPr>
          <w:rFonts w:hint="eastAsia"/>
        </w:rPr>
        <w:t>及</w:t>
      </w:r>
      <w:r w:rsidR="002734C8" w:rsidRPr="00844E73">
        <w:rPr>
          <w:rFonts w:hint="eastAsia"/>
        </w:rPr>
        <w:t>相關刑事</w:t>
      </w:r>
      <w:r w:rsidR="00D31D33" w:rsidRPr="00844E73">
        <w:rPr>
          <w:rFonts w:hint="eastAsia"/>
        </w:rPr>
        <w:t>司法</w:t>
      </w:r>
      <w:r w:rsidR="002734C8" w:rsidRPr="00844E73">
        <w:rPr>
          <w:rFonts w:hint="eastAsia"/>
        </w:rPr>
        <w:t>判決</w:t>
      </w:r>
      <w:r w:rsidR="00AA0130" w:rsidRPr="00844E73">
        <w:rPr>
          <w:rFonts w:hint="eastAsia"/>
        </w:rPr>
        <w:t>詳予審閱，並邀集專家學</w:t>
      </w:r>
      <w:r w:rsidR="00AA0130" w:rsidRPr="00844E73">
        <w:rPr>
          <w:rFonts w:hAnsi="標楷體" w:hint="eastAsia"/>
        </w:rPr>
        <w:t>者到院諮詢，</w:t>
      </w:r>
      <w:r w:rsidR="003068FB" w:rsidRPr="00844E73">
        <w:rPr>
          <w:rFonts w:hAnsi="標楷體" w:hint="eastAsia"/>
        </w:rPr>
        <w:t>嗣於</w:t>
      </w:r>
      <w:r w:rsidR="003068FB" w:rsidRPr="00844E73">
        <w:rPr>
          <w:rFonts w:hint="eastAsia"/>
        </w:rPr>
        <w:t>106年2月22日詢問</w:t>
      </w:r>
      <w:r w:rsidR="00EF5177" w:rsidRPr="00844E73">
        <w:rPr>
          <w:rFonts w:hint="eastAsia"/>
        </w:rPr>
        <w:t>金管會黃副主任委員天牧、證期局</w:t>
      </w:r>
      <w:r w:rsidR="003068FB" w:rsidRPr="00844E73">
        <w:rPr>
          <w:rFonts w:hint="eastAsia"/>
        </w:rPr>
        <w:t>王局長詠心，暨相關業務主管人員，</w:t>
      </w:r>
      <w:r w:rsidR="00D31D33" w:rsidRPr="00844E73">
        <w:rPr>
          <w:rFonts w:hAnsi="標楷體" w:hint="eastAsia"/>
        </w:rPr>
        <w:t>全案</w:t>
      </w:r>
      <w:r w:rsidR="00AA0130" w:rsidRPr="00844E73">
        <w:rPr>
          <w:rFonts w:hAnsi="標楷體" w:hint="eastAsia"/>
        </w:rPr>
        <w:t>業</w:t>
      </w:r>
      <w:r w:rsidR="00FB501B" w:rsidRPr="00844E73">
        <w:rPr>
          <w:rFonts w:hint="eastAsia"/>
        </w:rPr>
        <w:t>調查竣</w:t>
      </w:r>
      <w:r w:rsidR="00AA0130" w:rsidRPr="00844E73">
        <w:rPr>
          <w:rFonts w:hint="eastAsia"/>
        </w:rPr>
        <w:t>事</w:t>
      </w:r>
      <w:r w:rsidR="00FB501B" w:rsidRPr="00844E73">
        <w:rPr>
          <w:rFonts w:hint="eastAsia"/>
        </w:rPr>
        <w:t>，調查意見</w:t>
      </w:r>
      <w:r w:rsidR="00AA0130" w:rsidRPr="00844E73">
        <w:rPr>
          <w:rFonts w:hint="eastAsia"/>
        </w:rPr>
        <w:t>臚陳</w:t>
      </w:r>
      <w:r w:rsidR="00FB501B" w:rsidRPr="00844E73">
        <w:rPr>
          <w:rFonts w:hint="eastAsia"/>
        </w:rPr>
        <w:t>如下：</w:t>
      </w:r>
    </w:p>
    <w:p w:rsidR="00073CB5" w:rsidRPr="009A3088" w:rsidRDefault="001D4A77" w:rsidP="00DE4238">
      <w:pPr>
        <w:pStyle w:val="2"/>
        <w:rPr>
          <w:b/>
        </w:rPr>
      </w:pPr>
      <w:bookmarkStart w:id="61" w:name="_Toc421794873"/>
      <w:bookmarkStart w:id="62" w:name="_Toc422834158"/>
      <w:r w:rsidRPr="009A3088">
        <w:rPr>
          <w:rFonts w:hAnsi="標楷體" w:hint="eastAsia"/>
          <w:b/>
        </w:rPr>
        <w:t>「</w:t>
      </w:r>
      <w:r w:rsidRPr="009A3088">
        <w:rPr>
          <w:rFonts w:hint="eastAsia"/>
          <w:b/>
        </w:rPr>
        <w:t>三大</w:t>
      </w:r>
      <w:r w:rsidR="00197089" w:rsidRPr="009A3088">
        <w:rPr>
          <w:rFonts w:hint="eastAsia"/>
          <w:b/>
        </w:rPr>
        <w:t>原則</w:t>
      </w:r>
      <w:r w:rsidRPr="009A3088">
        <w:rPr>
          <w:rFonts w:hint="eastAsia"/>
          <w:b/>
        </w:rPr>
        <w:t>」</w:t>
      </w:r>
      <w:r w:rsidR="00D80D22" w:rsidRPr="009A3088">
        <w:rPr>
          <w:rFonts w:hint="eastAsia"/>
          <w:b/>
        </w:rPr>
        <w:t>所涉事項</w:t>
      </w:r>
      <w:r w:rsidR="00652329" w:rsidRPr="009A3088">
        <w:rPr>
          <w:rFonts w:hint="eastAsia"/>
          <w:b/>
        </w:rPr>
        <w:t>，</w:t>
      </w:r>
      <w:r w:rsidR="004B66A0" w:rsidRPr="009A3088">
        <w:rPr>
          <w:rFonts w:hint="eastAsia"/>
          <w:b/>
        </w:rPr>
        <w:t>核屬金融</w:t>
      </w:r>
      <w:r w:rsidR="00D80D22" w:rsidRPr="009A3088">
        <w:rPr>
          <w:rFonts w:hint="eastAsia"/>
          <w:b/>
        </w:rPr>
        <w:t>監理之重大措施，卻未依當時</w:t>
      </w:r>
      <w:r w:rsidR="004B66A0" w:rsidRPr="009A3088">
        <w:rPr>
          <w:rFonts w:hint="eastAsia"/>
          <w:b/>
        </w:rPr>
        <w:t>金管會組織法第10條第1項規定，提送該會委員會議審議；縱使其有解決結構債危機之公益目的，行政程序上仍屬不法</w:t>
      </w:r>
      <w:bookmarkEnd w:id="61"/>
      <w:bookmarkEnd w:id="62"/>
      <w:r w:rsidRPr="009A3088">
        <w:rPr>
          <w:rFonts w:hint="eastAsia"/>
          <w:b/>
        </w:rPr>
        <w:t>：</w:t>
      </w:r>
    </w:p>
    <w:p w:rsidR="00C45539" w:rsidRPr="00844E73" w:rsidRDefault="0010171E" w:rsidP="00690401">
      <w:pPr>
        <w:pStyle w:val="3"/>
      </w:pPr>
      <w:r w:rsidRPr="00844E73">
        <w:rPr>
          <w:rFonts w:hint="eastAsia"/>
        </w:rPr>
        <w:t>按</w:t>
      </w:r>
      <w:r w:rsidR="009F7960" w:rsidRPr="00844E73">
        <w:rPr>
          <w:rFonts w:hint="eastAsia"/>
        </w:rPr>
        <w:t>「下列有關金融市場及金融服務業之事項，應經本會委員會議決議：一、金融制度及監理政策之擬訂及審議。二、金融法規制定、修正及廢止之擬議。三、金融機構之設立、撤銷、廢止、變更、合併、停業及解散之審核。四、違反金融相關法令重大處分及處理之審核。五、委員提案之審議。六、其他金融重要措施之審議。七、其他依法應由委員會議決議事項。」</w:t>
      </w:r>
      <w:r w:rsidRPr="00844E73">
        <w:rPr>
          <w:rFonts w:hint="eastAsia"/>
        </w:rPr>
        <w:t>101年7月1日修正施行前之</w:t>
      </w:r>
      <w:r w:rsidR="00271BA3" w:rsidRPr="00844E73">
        <w:rPr>
          <w:rFonts w:hAnsi="標楷體" w:hint="eastAsia"/>
        </w:rPr>
        <w:t>（舊）</w:t>
      </w:r>
      <w:r w:rsidRPr="00844E73">
        <w:rPr>
          <w:rFonts w:hint="eastAsia"/>
        </w:rPr>
        <w:t>行政院金管會組織法第10條第1項定有明文。</w:t>
      </w:r>
    </w:p>
    <w:p w:rsidR="00690401" w:rsidRPr="00844E73" w:rsidRDefault="00C45539" w:rsidP="00690401">
      <w:pPr>
        <w:pStyle w:val="3"/>
      </w:pPr>
      <w:r w:rsidRPr="00844E73">
        <w:rPr>
          <w:rFonts w:hint="eastAsia"/>
        </w:rPr>
        <w:t>查</w:t>
      </w:r>
      <w:r w:rsidR="00D0447F" w:rsidRPr="00844E73">
        <w:rPr>
          <w:rFonts w:hint="eastAsia"/>
        </w:rPr>
        <w:t>本案聯合投信事件發生於93年7月間，</w:t>
      </w:r>
      <w:r w:rsidRPr="00844E73">
        <w:rPr>
          <w:rFonts w:hint="eastAsia"/>
        </w:rPr>
        <w:t>嗣</w:t>
      </w:r>
      <w:r w:rsidR="00D0447F" w:rsidRPr="00844E73">
        <w:rPr>
          <w:rFonts w:hint="eastAsia"/>
        </w:rPr>
        <w:t>金管會「改善債券型基金流動性專案小組」於94年</w:t>
      </w:r>
      <w:r w:rsidR="00652329" w:rsidRPr="00844E73">
        <w:rPr>
          <w:rFonts w:hint="eastAsia"/>
        </w:rPr>
        <w:t>2月</w:t>
      </w:r>
      <w:r w:rsidR="00D0447F" w:rsidRPr="00844E73">
        <w:rPr>
          <w:rFonts w:hint="eastAsia"/>
        </w:rPr>
        <w:t>間透過</w:t>
      </w:r>
      <w:r w:rsidR="00D0447F" w:rsidRPr="00844E73">
        <w:rPr>
          <w:rFonts w:ascii="Times New Roman" w:hint="eastAsia"/>
          <w:szCs w:val="32"/>
        </w:rPr>
        <w:t>投信投顧公會</w:t>
      </w:r>
      <w:r w:rsidR="00197089" w:rsidRPr="00844E73">
        <w:rPr>
          <w:rFonts w:hint="eastAsia"/>
        </w:rPr>
        <w:t>揭示</w:t>
      </w:r>
      <w:r w:rsidR="00D0447F" w:rsidRPr="00844E73">
        <w:rPr>
          <w:rFonts w:hAnsi="標楷體" w:hint="eastAsia"/>
        </w:rPr>
        <w:t>「</w:t>
      </w:r>
      <w:r w:rsidR="00197089" w:rsidRPr="00844E73">
        <w:rPr>
          <w:rFonts w:hint="eastAsia"/>
        </w:rPr>
        <w:t>三大原則</w:t>
      </w:r>
      <w:r w:rsidR="00D0447F" w:rsidRPr="00844E73">
        <w:rPr>
          <w:rFonts w:hAnsi="標楷體" w:hint="eastAsia"/>
        </w:rPr>
        <w:t>」</w:t>
      </w:r>
      <w:r w:rsidR="00D0447F" w:rsidRPr="00844E73">
        <w:rPr>
          <w:rFonts w:hint="eastAsia"/>
        </w:rPr>
        <w:t>及</w:t>
      </w:r>
      <w:r w:rsidR="00271BA3" w:rsidRPr="00844E73">
        <w:rPr>
          <w:rFonts w:hint="eastAsia"/>
        </w:rPr>
        <w:t>於94年8月前後進一步提出之</w:t>
      </w:r>
      <w:r w:rsidR="00D0447F" w:rsidRPr="00844E73">
        <w:rPr>
          <w:rFonts w:hAnsi="標楷體" w:hint="eastAsia"/>
        </w:rPr>
        <w:t>「</w:t>
      </w:r>
      <w:r w:rsidR="00D0447F" w:rsidRPr="00844E73">
        <w:rPr>
          <w:rFonts w:hint="eastAsia"/>
        </w:rPr>
        <w:t>限期處分結構債</w:t>
      </w:r>
      <w:r w:rsidR="00D0447F" w:rsidRPr="00844E73">
        <w:rPr>
          <w:rFonts w:hAnsi="標楷體" w:hint="eastAsia"/>
        </w:rPr>
        <w:t>」</w:t>
      </w:r>
      <w:r w:rsidR="00D0447F" w:rsidRPr="00844E73">
        <w:rPr>
          <w:rFonts w:hint="eastAsia"/>
        </w:rPr>
        <w:t>等政策</w:t>
      </w:r>
      <w:r w:rsidR="00271BA3" w:rsidRPr="00844E73">
        <w:rPr>
          <w:rFonts w:hint="eastAsia"/>
        </w:rPr>
        <w:t>。</w:t>
      </w:r>
      <w:r w:rsidR="007B47FD" w:rsidRPr="00844E73">
        <w:rPr>
          <w:rFonts w:hint="eastAsia"/>
        </w:rPr>
        <w:t>依</w:t>
      </w:r>
      <w:r w:rsidR="00B51D8E" w:rsidRPr="00844E73">
        <w:rPr>
          <w:rFonts w:hint="eastAsia"/>
        </w:rPr>
        <w:lastRenderedPageBreak/>
        <w:t>金管會函復</w:t>
      </w:r>
      <w:r w:rsidR="00B06B7D" w:rsidRPr="00844E73">
        <w:rPr>
          <w:rFonts w:hint="eastAsia"/>
        </w:rPr>
        <w:t>資料</w:t>
      </w:r>
      <w:r w:rsidR="00B51D8E" w:rsidRPr="00844E73">
        <w:rPr>
          <w:rStyle w:val="aff1"/>
        </w:rPr>
        <w:footnoteReference w:id="8"/>
      </w:r>
      <w:r w:rsidR="00B51D8E" w:rsidRPr="00844E73">
        <w:rPr>
          <w:rFonts w:hint="eastAsia"/>
        </w:rPr>
        <w:t>，</w:t>
      </w:r>
      <w:r w:rsidR="0010171E" w:rsidRPr="00844E73">
        <w:rPr>
          <w:rFonts w:hint="eastAsia"/>
        </w:rPr>
        <w:t>各債券型基</w:t>
      </w:r>
      <w:r w:rsidR="00FB1B5E" w:rsidRPr="00844E73">
        <w:rPr>
          <w:rFonts w:hint="eastAsia"/>
        </w:rPr>
        <w:t>金</w:t>
      </w:r>
      <w:r w:rsidR="0010171E" w:rsidRPr="00844E73">
        <w:rPr>
          <w:rFonts w:hint="eastAsia"/>
        </w:rPr>
        <w:t>因</w:t>
      </w:r>
      <w:r w:rsidR="00FB1B5E" w:rsidRPr="00844E73">
        <w:rPr>
          <w:rFonts w:hint="eastAsia"/>
        </w:rPr>
        <w:t>配合上開政策，</w:t>
      </w:r>
      <w:r w:rsidR="00B51D8E" w:rsidRPr="00844E73">
        <w:rPr>
          <w:rFonts w:ascii="Times New Roman" w:hAnsi="標楷體" w:hint="eastAsia"/>
          <w:szCs w:val="32"/>
        </w:rPr>
        <w:t>投信</w:t>
      </w:r>
      <w:r w:rsidR="00833D8D" w:rsidRPr="00844E73">
        <w:rPr>
          <w:rFonts w:hint="eastAsia"/>
        </w:rPr>
        <w:t>業者</w:t>
      </w:r>
      <w:r w:rsidR="00B51D8E" w:rsidRPr="00844E73">
        <w:rPr>
          <w:rFonts w:hint="eastAsia"/>
        </w:rPr>
        <w:t>以自有資金承擔處理結構債之損失總計約</w:t>
      </w:r>
      <w:r w:rsidR="00271BA3" w:rsidRPr="00844E73">
        <w:rPr>
          <w:rFonts w:hint="eastAsia"/>
        </w:rPr>
        <w:t>達</w:t>
      </w:r>
      <w:r w:rsidR="00B51D8E" w:rsidRPr="00844E73">
        <w:rPr>
          <w:rFonts w:hint="eastAsia"/>
        </w:rPr>
        <w:t>112</w:t>
      </w:r>
      <w:r w:rsidR="00833D8D" w:rsidRPr="00844E73">
        <w:rPr>
          <w:rFonts w:hint="eastAsia"/>
        </w:rPr>
        <w:t>億元</w:t>
      </w:r>
      <w:r w:rsidR="00271BA3" w:rsidRPr="00844E73">
        <w:rPr>
          <w:rFonts w:hint="eastAsia"/>
        </w:rPr>
        <w:t>，顯</w:t>
      </w:r>
      <w:r w:rsidR="009F0A85" w:rsidRPr="00844E73">
        <w:rPr>
          <w:rFonts w:hint="eastAsia"/>
        </w:rPr>
        <w:t>見</w:t>
      </w:r>
      <w:r w:rsidR="00F40845" w:rsidRPr="00844E73">
        <w:rPr>
          <w:rFonts w:hint="eastAsia"/>
        </w:rPr>
        <w:t>上開政策</w:t>
      </w:r>
      <w:r w:rsidR="009F0A85" w:rsidRPr="00844E73">
        <w:rPr>
          <w:rFonts w:hint="eastAsia"/>
        </w:rPr>
        <w:t>影響層面之深遠</w:t>
      </w:r>
      <w:r w:rsidR="00F40845" w:rsidRPr="00844E73">
        <w:rPr>
          <w:rFonts w:hint="eastAsia"/>
        </w:rPr>
        <w:t>，</w:t>
      </w:r>
      <w:r w:rsidR="00345FC2" w:rsidRPr="00844E73">
        <w:rPr>
          <w:rFonts w:hint="eastAsia"/>
        </w:rPr>
        <w:t>核</w:t>
      </w:r>
      <w:r w:rsidR="00271BA3" w:rsidRPr="00844E73">
        <w:rPr>
          <w:rFonts w:hint="eastAsia"/>
        </w:rPr>
        <w:t>已</w:t>
      </w:r>
      <w:r w:rsidR="00F40845" w:rsidRPr="00844E73">
        <w:rPr>
          <w:rFonts w:hint="eastAsia"/>
        </w:rPr>
        <w:t>該當</w:t>
      </w:r>
      <w:r w:rsidR="00271BA3" w:rsidRPr="00844E73">
        <w:rPr>
          <w:rFonts w:hint="eastAsia"/>
        </w:rPr>
        <w:t>上開組織法第10條第1項第4款</w:t>
      </w:r>
      <w:r w:rsidR="00F40845" w:rsidRPr="00844E73">
        <w:rPr>
          <w:rFonts w:hint="eastAsia"/>
        </w:rPr>
        <w:t>「</w:t>
      </w:r>
      <w:r w:rsidR="009F0A85" w:rsidRPr="00844E73">
        <w:rPr>
          <w:rFonts w:hint="eastAsia"/>
        </w:rPr>
        <w:t>違反金融相關法令</w:t>
      </w:r>
      <w:r w:rsidR="00F40845" w:rsidRPr="00844E73">
        <w:rPr>
          <w:rFonts w:hint="eastAsia"/>
        </w:rPr>
        <w:t>之</w:t>
      </w:r>
      <w:r w:rsidR="009F0A85" w:rsidRPr="00844E73">
        <w:rPr>
          <w:rFonts w:hint="eastAsia"/>
        </w:rPr>
        <w:t>重大處理</w:t>
      </w:r>
      <w:r w:rsidR="00F40845" w:rsidRPr="00844E73">
        <w:rPr>
          <w:rFonts w:hint="eastAsia"/>
        </w:rPr>
        <w:t>」或</w:t>
      </w:r>
      <w:r w:rsidR="00271BA3" w:rsidRPr="00844E73">
        <w:rPr>
          <w:rFonts w:hint="eastAsia"/>
        </w:rPr>
        <w:t>第6款</w:t>
      </w:r>
      <w:r w:rsidR="00F40845" w:rsidRPr="00844E73">
        <w:rPr>
          <w:rFonts w:hint="eastAsia"/>
        </w:rPr>
        <w:t>「其他金融重要措施」</w:t>
      </w:r>
      <w:r w:rsidR="00345FC2" w:rsidRPr="00844E73">
        <w:rPr>
          <w:rFonts w:hint="eastAsia"/>
        </w:rPr>
        <w:t>之事項</w:t>
      </w:r>
      <w:r w:rsidR="00B06B7D" w:rsidRPr="00844E73">
        <w:rPr>
          <w:rFonts w:hint="eastAsia"/>
        </w:rPr>
        <w:t>；</w:t>
      </w:r>
      <w:r w:rsidR="00833D8D" w:rsidRPr="00844E73">
        <w:rPr>
          <w:rFonts w:hint="eastAsia"/>
        </w:rPr>
        <w:t>依</w:t>
      </w:r>
      <w:r w:rsidR="00271BA3" w:rsidRPr="00844E73">
        <w:rPr>
          <w:rFonts w:hint="eastAsia"/>
        </w:rPr>
        <w:t>該法</w:t>
      </w:r>
      <w:r w:rsidR="00F40845" w:rsidRPr="00844E73">
        <w:rPr>
          <w:rFonts w:hint="eastAsia"/>
        </w:rPr>
        <w:t>規定，</w:t>
      </w:r>
      <w:r w:rsidR="00271BA3" w:rsidRPr="00844E73">
        <w:rPr>
          <w:rFonts w:hint="eastAsia"/>
        </w:rPr>
        <w:t>自</w:t>
      </w:r>
      <w:r w:rsidR="00271BA3" w:rsidRPr="00844E73">
        <w:rPr>
          <w:rFonts w:hAnsi="標楷體" w:hint="eastAsia"/>
        </w:rPr>
        <w:t>「</w:t>
      </w:r>
      <w:r w:rsidR="00833D8D" w:rsidRPr="00844E73">
        <w:rPr>
          <w:rFonts w:hint="eastAsia"/>
        </w:rPr>
        <w:t>應</w:t>
      </w:r>
      <w:r w:rsidR="00271BA3" w:rsidRPr="00844E73">
        <w:rPr>
          <w:rFonts w:hAnsi="標楷體" w:hint="eastAsia"/>
        </w:rPr>
        <w:t>」</w:t>
      </w:r>
      <w:r w:rsidR="00833D8D" w:rsidRPr="00844E73">
        <w:rPr>
          <w:rFonts w:hint="eastAsia"/>
        </w:rPr>
        <w:t>提送金管會委員會議決議</w:t>
      </w:r>
      <w:r w:rsidR="00F40845" w:rsidRPr="00844E73">
        <w:rPr>
          <w:rFonts w:hint="eastAsia"/>
        </w:rPr>
        <w:t>。</w:t>
      </w:r>
    </w:p>
    <w:p w:rsidR="00447D06" w:rsidRPr="00844E73" w:rsidRDefault="00345FC2" w:rsidP="00BC6EC1">
      <w:pPr>
        <w:pStyle w:val="3"/>
      </w:pPr>
      <w:r w:rsidRPr="00844E73">
        <w:rPr>
          <w:rFonts w:hint="eastAsia"/>
        </w:rPr>
        <w:t>惟查</w:t>
      </w:r>
      <w:r w:rsidR="00271BA3" w:rsidRPr="00844E73">
        <w:rPr>
          <w:rFonts w:hint="eastAsia"/>
        </w:rPr>
        <w:t>，</w:t>
      </w:r>
      <w:r w:rsidRPr="00844E73">
        <w:rPr>
          <w:rFonts w:hint="eastAsia"/>
        </w:rPr>
        <w:t>「改善債券型基金流動性專案小組」</w:t>
      </w:r>
      <w:r w:rsidR="00911E0C" w:rsidRPr="00844E73">
        <w:rPr>
          <w:rFonts w:hint="eastAsia"/>
        </w:rPr>
        <w:t>於推行上開</w:t>
      </w:r>
      <w:r w:rsidRPr="00844E73">
        <w:rPr>
          <w:rFonts w:hAnsi="標楷體" w:hint="eastAsia"/>
        </w:rPr>
        <w:t>「</w:t>
      </w:r>
      <w:r w:rsidRPr="00844E73">
        <w:rPr>
          <w:rFonts w:hint="eastAsia"/>
        </w:rPr>
        <w:t>三大</w:t>
      </w:r>
      <w:r w:rsidR="00197089" w:rsidRPr="00844E73">
        <w:rPr>
          <w:rFonts w:hint="eastAsia"/>
        </w:rPr>
        <w:t>原則</w:t>
      </w:r>
      <w:r w:rsidRPr="00844E73">
        <w:rPr>
          <w:rFonts w:hAnsi="標楷體" w:hint="eastAsia"/>
        </w:rPr>
        <w:t>」</w:t>
      </w:r>
      <w:r w:rsidR="00911E0C" w:rsidRPr="00844E73">
        <w:rPr>
          <w:rFonts w:hint="eastAsia"/>
        </w:rPr>
        <w:t>政策前</w:t>
      </w:r>
      <w:r w:rsidRPr="00844E73">
        <w:rPr>
          <w:rFonts w:hint="eastAsia"/>
        </w:rPr>
        <w:t>，</w:t>
      </w:r>
      <w:r w:rsidR="00911E0C" w:rsidRPr="00844E73">
        <w:rPr>
          <w:rFonts w:hint="eastAsia"/>
        </w:rPr>
        <w:t>不但</w:t>
      </w:r>
      <w:r w:rsidRPr="00844E73">
        <w:rPr>
          <w:rFonts w:hint="eastAsia"/>
        </w:rPr>
        <w:t>未</w:t>
      </w:r>
      <w:r w:rsidR="008C4EC0" w:rsidRPr="00844E73">
        <w:rPr>
          <w:rFonts w:hint="eastAsia"/>
        </w:rPr>
        <w:t>經</w:t>
      </w:r>
      <w:r w:rsidR="00911E0C" w:rsidRPr="00844E73">
        <w:rPr>
          <w:rFonts w:hAnsi="標楷體" w:hint="eastAsia"/>
        </w:rPr>
        <w:t>提送該會委員會決議，</w:t>
      </w:r>
      <w:r w:rsidR="008C4EC0" w:rsidRPr="00844E73">
        <w:rPr>
          <w:rFonts w:hAnsi="標楷體" w:hint="eastAsia"/>
        </w:rPr>
        <w:t>即逕透過</w:t>
      </w:r>
      <w:r w:rsidR="008C4EC0" w:rsidRPr="00844E73">
        <w:rPr>
          <w:rFonts w:ascii="Times New Roman" w:hint="eastAsia"/>
          <w:szCs w:val="32"/>
        </w:rPr>
        <w:t>投信投顧公會</w:t>
      </w:r>
      <w:r w:rsidR="00271BA3" w:rsidRPr="00844E73">
        <w:rPr>
          <w:rFonts w:ascii="Times New Roman" w:hint="eastAsia"/>
          <w:szCs w:val="32"/>
        </w:rPr>
        <w:t>要求</w:t>
      </w:r>
      <w:r w:rsidR="008C4EC0" w:rsidRPr="00844E73">
        <w:rPr>
          <w:rFonts w:ascii="Times New Roman" w:hint="eastAsia"/>
          <w:szCs w:val="32"/>
        </w:rPr>
        <w:t>業者</w:t>
      </w:r>
      <w:r w:rsidR="00911E0C" w:rsidRPr="00844E73">
        <w:rPr>
          <w:rFonts w:ascii="Times New Roman" w:hint="eastAsia"/>
          <w:szCs w:val="32"/>
        </w:rPr>
        <w:t>配合</w:t>
      </w:r>
      <w:r w:rsidR="00712C5C" w:rsidRPr="00844E73">
        <w:rPr>
          <w:rFonts w:ascii="Times New Roman" w:hint="eastAsia"/>
          <w:szCs w:val="32"/>
        </w:rPr>
        <w:t>辦理</w:t>
      </w:r>
      <w:r w:rsidR="00911E0C" w:rsidRPr="00844E73">
        <w:rPr>
          <w:rFonts w:ascii="Times New Roman" w:hint="eastAsia"/>
          <w:szCs w:val="32"/>
        </w:rPr>
        <w:t>；</w:t>
      </w:r>
      <w:r w:rsidR="0081047D" w:rsidRPr="00844E73">
        <w:rPr>
          <w:rFonts w:ascii="Times New Roman" w:hint="eastAsia"/>
          <w:szCs w:val="32"/>
        </w:rPr>
        <w:t>甚至</w:t>
      </w:r>
      <w:r w:rsidR="00712C5C" w:rsidRPr="00844E73">
        <w:rPr>
          <w:rFonts w:ascii="Times New Roman" w:hint="eastAsia"/>
          <w:szCs w:val="32"/>
        </w:rPr>
        <w:t>遍查</w:t>
      </w:r>
      <w:r w:rsidR="00BF0D67" w:rsidRPr="00844E73">
        <w:rPr>
          <w:rFonts w:ascii="Times New Roman" w:hint="eastAsia"/>
          <w:szCs w:val="32"/>
        </w:rPr>
        <w:t>該專案小組自</w:t>
      </w:r>
      <w:r w:rsidR="00BF0D67" w:rsidRPr="00844E73">
        <w:rPr>
          <w:rFonts w:ascii="Times New Roman" w:hint="eastAsia"/>
          <w:szCs w:val="32"/>
        </w:rPr>
        <w:t>93</w:t>
      </w:r>
      <w:r w:rsidR="00BF0D67" w:rsidRPr="00844E73">
        <w:rPr>
          <w:rFonts w:ascii="Times New Roman" w:hint="eastAsia"/>
          <w:szCs w:val="32"/>
        </w:rPr>
        <w:t>年</w:t>
      </w:r>
      <w:r w:rsidR="00BF0D67" w:rsidRPr="00844E73">
        <w:rPr>
          <w:rFonts w:ascii="Times New Roman" w:hint="eastAsia"/>
          <w:szCs w:val="32"/>
        </w:rPr>
        <w:t>11</w:t>
      </w:r>
      <w:r w:rsidR="00BF0D67" w:rsidRPr="00844E73">
        <w:rPr>
          <w:rFonts w:ascii="Times New Roman" w:hint="eastAsia"/>
          <w:szCs w:val="32"/>
        </w:rPr>
        <w:t>月成立時起至</w:t>
      </w:r>
      <w:r w:rsidR="00BF0D67" w:rsidRPr="00844E73">
        <w:rPr>
          <w:rFonts w:ascii="Times New Roman" w:hint="eastAsia"/>
          <w:szCs w:val="32"/>
        </w:rPr>
        <w:t>94</w:t>
      </w:r>
      <w:r w:rsidR="00712C5C" w:rsidRPr="00844E73">
        <w:rPr>
          <w:rFonts w:ascii="Times New Roman" w:hint="eastAsia"/>
          <w:szCs w:val="32"/>
        </w:rPr>
        <w:t>年底之期間</w:t>
      </w:r>
      <w:r w:rsidR="0081047D" w:rsidRPr="00844E73">
        <w:rPr>
          <w:rFonts w:ascii="Times New Roman" w:hint="eastAsia"/>
          <w:szCs w:val="32"/>
        </w:rPr>
        <w:t>所</w:t>
      </w:r>
      <w:r w:rsidR="00BF0D67" w:rsidRPr="00844E73">
        <w:rPr>
          <w:rFonts w:ascii="Times New Roman" w:hint="eastAsia"/>
          <w:szCs w:val="32"/>
        </w:rPr>
        <w:t>召開</w:t>
      </w:r>
      <w:r w:rsidR="0081047D" w:rsidRPr="00844E73">
        <w:rPr>
          <w:rFonts w:ascii="Times New Roman" w:hint="eastAsia"/>
          <w:szCs w:val="32"/>
        </w:rPr>
        <w:t>之</w:t>
      </w:r>
      <w:r w:rsidR="0081047D" w:rsidRPr="00844E73">
        <w:rPr>
          <w:rFonts w:ascii="Times New Roman" w:hint="eastAsia"/>
          <w:szCs w:val="32"/>
        </w:rPr>
        <w:t>51</w:t>
      </w:r>
      <w:r w:rsidR="0081047D" w:rsidRPr="00844E73">
        <w:rPr>
          <w:rFonts w:ascii="Times New Roman" w:hint="eastAsia"/>
          <w:szCs w:val="32"/>
        </w:rPr>
        <w:t>次</w:t>
      </w:r>
      <w:r w:rsidR="00BF0D67" w:rsidRPr="00844E73">
        <w:rPr>
          <w:rFonts w:ascii="Times New Roman" w:hint="eastAsia"/>
          <w:szCs w:val="32"/>
        </w:rPr>
        <w:t>會議</w:t>
      </w:r>
      <w:r w:rsidR="00712C5C" w:rsidRPr="00844E73">
        <w:rPr>
          <w:rFonts w:ascii="Times New Roman" w:hint="eastAsia"/>
          <w:szCs w:val="32"/>
        </w:rPr>
        <w:t>，亦均</w:t>
      </w:r>
      <w:r w:rsidR="0081047D" w:rsidRPr="00844E73">
        <w:rPr>
          <w:rFonts w:ascii="Times New Roman" w:hint="eastAsia"/>
          <w:szCs w:val="32"/>
        </w:rPr>
        <w:t>無相關事項之記載</w:t>
      </w:r>
      <w:r w:rsidR="00F63A05" w:rsidRPr="00844E73">
        <w:rPr>
          <w:rStyle w:val="aff1"/>
          <w:rFonts w:ascii="Times New Roman"/>
          <w:szCs w:val="32"/>
        </w:rPr>
        <w:footnoteReference w:id="9"/>
      </w:r>
      <w:r w:rsidR="0081047D" w:rsidRPr="00844E73">
        <w:rPr>
          <w:rFonts w:ascii="Times New Roman" w:hint="eastAsia"/>
          <w:szCs w:val="32"/>
        </w:rPr>
        <w:t>；過程中金管會及投信投顧公會更</w:t>
      </w:r>
      <w:r w:rsidR="00447D06" w:rsidRPr="00844E73">
        <w:rPr>
          <w:rFonts w:ascii="Times New Roman" w:hint="eastAsia"/>
          <w:szCs w:val="32"/>
        </w:rPr>
        <w:t>不曾出過一紙公文或留下書面紀錄可</w:t>
      </w:r>
      <w:r w:rsidR="008D6E1F" w:rsidRPr="00844E73">
        <w:rPr>
          <w:rFonts w:ascii="Times New Roman" w:hint="eastAsia"/>
          <w:szCs w:val="32"/>
        </w:rPr>
        <w:t>資查考。</w:t>
      </w:r>
      <w:r w:rsidR="006722F0" w:rsidRPr="00844E73">
        <w:rPr>
          <w:rFonts w:ascii="Times New Roman" w:hint="eastAsia"/>
          <w:szCs w:val="32"/>
        </w:rPr>
        <w:t>系爭三大</w:t>
      </w:r>
      <w:r w:rsidR="00197089" w:rsidRPr="00844E73">
        <w:rPr>
          <w:rFonts w:ascii="Times New Roman" w:hint="eastAsia"/>
          <w:szCs w:val="32"/>
        </w:rPr>
        <w:t>原則</w:t>
      </w:r>
      <w:r w:rsidR="006722F0" w:rsidRPr="00844E73">
        <w:rPr>
          <w:rFonts w:ascii="Times New Roman" w:hint="eastAsia"/>
          <w:szCs w:val="32"/>
        </w:rPr>
        <w:t>之決策程序</w:t>
      </w:r>
      <w:r w:rsidR="008D6E1F" w:rsidRPr="00844E73">
        <w:rPr>
          <w:rFonts w:ascii="Times New Roman" w:hint="eastAsia"/>
          <w:szCs w:val="32"/>
        </w:rPr>
        <w:t>核有明顯重大瑕疵，</w:t>
      </w:r>
      <w:r w:rsidR="00712C5C" w:rsidRPr="00844E73">
        <w:rPr>
          <w:rFonts w:ascii="Times New Roman" w:hint="eastAsia"/>
          <w:szCs w:val="32"/>
        </w:rPr>
        <w:t>違反</w:t>
      </w:r>
      <w:r w:rsidR="008D6E1F" w:rsidRPr="00844E73">
        <w:rPr>
          <w:rFonts w:hint="eastAsia"/>
        </w:rPr>
        <w:t>前揭組織法第10條第1項第4款或第6</w:t>
      </w:r>
      <w:r w:rsidR="00712C5C" w:rsidRPr="00844E73">
        <w:rPr>
          <w:rFonts w:hint="eastAsia"/>
        </w:rPr>
        <w:t>款</w:t>
      </w:r>
      <w:r w:rsidR="008D6E1F" w:rsidRPr="00844E73">
        <w:rPr>
          <w:rFonts w:hint="eastAsia"/>
        </w:rPr>
        <w:t>規定，</w:t>
      </w:r>
      <w:r w:rsidR="00D50FA7" w:rsidRPr="00844E73">
        <w:rPr>
          <w:rFonts w:hint="eastAsia"/>
        </w:rPr>
        <w:t>情節明確</w:t>
      </w:r>
      <w:r w:rsidR="008D6E1F" w:rsidRPr="00844E73">
        <w:rPr>
          <w:rFonts w:ascii="Times New Roman" w:hint="eastAsia"/>
          <w:szCs w:val="32"/>
        </w:rPr>
        <w:t>；</w:t>
      </w:r>
      <w:r w:rsidR="00447D06" w:rsidRPr="00844E73">
        <w:rPr>
          <w:rFonts w:ascii="Times New Roman" w:hint="eastAsia"/>
          <w:szCs w:val="32"/>
        </w:rPr>
        <w:t>前並經本院院</w:t>
      </w:r>
      <w:r w:rsidR="00447D06" w:rsidRPr="00844E73">
        <w:rPr>
          <w:rFonts w:hint="eastAsia"/>
        </w:rPr>
        <w:t>台調壹字第1020800108號</w:t>
      </w:r>
      <w:r w:rsidR="008D6E1F" w:rsidRPr="00844E73">
        <w:rPr>
          <w:rFonts w:hint="eastAsia"/>
        </w:rPr>
        <w:t>案</w:t>
      </w:r>
      <w:r w:rsidR="0061085E">
        <w:rPr>
          <w:rStyle w:val="aff1"/>
        </w:rPr>
        <w:footnoteReference w:id="10"/>
      </w:r>
      <w:r w:rsidR="008D6E1F" w:rsidRPr="00844E73">
        <w:rPr>
          <w:rFonts w:hint="eastAsia"/>
        </w:rPr>
        <w:t>查明，函請該會檢討。嗣</w:t>
      </w:r>
      <w:r w:rsidR="006722F0" w:rsidRPr="00844E73">
        <w:rPr>
          <w:rFonts w:hint="eastAsia"/>
        </w:rPr>
        <w:t>該會函復</w:t>
      </w:r>
      <w:r w:rsidR="006722F0" w:rsidRPr="00844E73">
        <w:t>未來在處理重大緊急事件時，將更為審慎注意相關行政程序</w:t>
      </w:r>
      <w:r w:rsidR="008D6E1F" w:rsidRPr="00844E73">
        <w:rPr>
          <w:rFonts w:hint="eastAsia"/>
        </w:rPr>
        <w:t>等語；</w:t>
      </w:r>
      <w:r w:rsidR="006722F0" w:rsidRPr="00844E73">
        <w:rPr>
          <w:rFonts w:hint="eastAsia"/>
        </w:rPr>
        <w:t>本院爰予同意結案</w:t>
      </w:r>
      <w:r w:rsidR="006722F0" w:rsidRPr="00844E73">
        <w:t>。</w:t>
      </w:r>
    </w:p>
    <w:p w:rsidR="00BC6EC1" w:rsidRPr="00844E73" w:rsidRDefault="006722F0" w:rsidP="00BC6EC1">
      <w:pPr>
        <w:pStyle w:val="3"/>
      </w:pPr>
      <w:r w:rsidRPr="00844E73">
        <w:rPr>
          <w:rFonts w:ascii="Times New Roman" w:hint="eastAsia"/>
          <w:szCs w:val="32"/>
        </w:rPr>
        <w:t>然嗣金管會於本院</w:t>
      </w:r>
      <w:r w:rsidRPr="00844E73">
        <w:rPr>
          <w:rFonts w:hint="eastAsia"/>
        </w:rPr>
        <w:t>院台調壹字第1040800080號案</w:t>
      </w:r>
      <w:r w:rsidR="00AF6785">
        <w:rPr>
          <w:rStyle w:val="aff1"/>
        </w:rPr>
        <w:footnoteReference w:id="11"/>
      </w:r>
      <w:r w:rsidRPr="00844E73">
        <w:rPr>
          <w:rFonts w:hint="eastAsia"/>
        </w:rPr>
        <w:t>調查期間，</w:t>
      </w:r>
      <w:r w:rsidRPr="00844E73">
        <w:rPr>
          <w:rFonts w:ascii="Times New Roman" w:hint="eastAsia"/>
          <w:szCs w:val="32"/>
        </w:rPr>
        <w:t>竟復爭執該會</w:t>
      </w:r>
      <w:r w:rsidR="00592F90" w:rsidRPr="00844E73">
        <w:rPr>
          <w:rFonts w:hint="eastAsia"/>
        </w:rPr>
        <w:t>「改善債券型基金流動性專案小組」於本案處理期間，重大事件或須配合發布相關函令者，均有專案向金管會報告、簽報金管會或提報金管會委員會會議，如：</w:t>
      </w:r>
    </w:p>
    <w:p w:rsidR="00592F90" w:rsidRPr="00844E73" w:rsidRDefault="00592F90" w:rsidP="00592F90">
      <w:pPr>
        <w:pStyle w:val="5"/>
      </w:pPr>
      <w:r w:rsidRPr="00844E73">
        <w:rPr>
          <w:rFonts w:hint="eastAsia"/>
        </w:rPr>
        <w:lastRenderedPageBreak/>
        <w:t>93年11月8日召開之第一次「</w:t>
      </w:r>
      <w:r w:rsidRPr="00844E73">
        <w:rPr>
          <w:rFonts w:ascii="Times New Roman" w:hAnsi="Times New Roman" w:hint="eastAsia"/>
          <w:szCs w:val="32"/>
        </w:rPr>
        <w:t>改善債券型基金流動性專案小組會議</w:t>
      </w:r>
      <w:r w:rsidRPr="00844E73">
        <w:rPr>
          <w:rFonts w:hint="eastAsia"/>
        </w:rPr>
        <w:t>」決議即簽報</w:t>
      </w:r>
      <w:r w:rsidR="003402B9" w:rsidRPr="00844E73">
        <w:rPr>
          <w:rFonts w:hint="eastAsia"/>
        </w:rPr>
        <w:t>該</w:t>
      </w:r>
      <w:r w:rsidRPr="00844E73">
        <w:rPr>
          <w:rFonts w:hint="eastAsia"/>
        </w:rPr>
        <w:t>會，並由呂前副主委東英代行。</w:t>
      </w:r>
    </w:p>
    <w:p w:rsidR="00592F90" w:rsidRPr="00844E73" w:rsidRDefault="003402B9" w:rsidP="00592F90">
      <w:pPr>
        <w:pStyle w:val="5"/>
        <w:rPr>
          <w:rFonts w:ascii="Times New Roman" w:hAnsi="Times New Roman"/>
          <w:szCs w:val="32"/>
        </w:rPr>
      </w:pPr>
      <w:r w:rsidRPr="00844E73">
        <w:rPr>
          <w:rFonts w:ascii="Times New Roman" w:hAnsi="Times New Roman" w:hint="eastAsia"/>
          <w:szCs w:val="32"/>
        </w:rPr>
        <w:t>為避免債券型基金流動性不足，爰簽報該</w:t>
      </w:r>
      <w:r w:rsidR="00592F90" w:rsidRPr="00844E73">
        <w:rPr>
          <w:rFonts w:ascii="Times New Roman" w:hAnsi="Times New Roman" w:hint="eastAsia"/>
          <w:szCs w:val="32"/>
        </w:rPr>
        <w:t>會於</w:t>
      </w:r>
      <w:r w:rsidR="00592F90" w:rsidRPr="00844E73">
        <w:rPr>
          <w:rFonts w:ascii="Times New Roman" w:hAnsi="Times New Roman" w:hint="eastAsia"/>
          <w:szCs w:val="32"/>
        </w:rPr>
        <w:t>93</w:t>
      </w:r>
      <w:r w:rsidR="00592F90" w:rsidRPr="00844E73">
        <w:rPr>
          <w:rFonts w:ascii="Times New Roman" w:hAnsi="Times New Roman" w:hint="eastAsia"/>
          <w:szCs w:val="32"/>
        </w:rPr>
        <w:t>年</w:t>
      </w:r>
      <w:r w:rsidR="00592F90" w:rsidRPr="00844E73">
        <w:rPr>
          <w:rFonts w:ascii="Times New Roman" w:hAnsi="Times New Roman" w:hint="eastAsia"/>
          <w:szCs w:val="32"/>
        </w:rPr>
        <w:t>11</w:t>
      </w:r>
      <w:r w:rsidR="00592F90" w:rsidRPr="00844E73">
        <w:rPr>
          <w:rFonts w:ascii="Times New Roman" w:hAnsi="Times New Roman" w:hint="eastAsia"/>
          <w:szCs w:val="32"/>
        </w:rPr>
        <w:t>月</w:t>
      </w:r>
      <w:r w:rsidR="00592F90" w:rsidRPr="00844E73">
        <w:rPr>
          <w:rFonts w:ascii="Times New Roman" w:hAnsi="Times New Roman" w:hint="eastAsia"/>
          <w:szCs w:val="32"/>
        </w:rPr>
        <w:t>24</w:t>
      </w:r>
      <w:r w:rsidR="00592F90" w:rsidRPr="00844E73">
        <w:rPr>
          <w:rFonts w:ascii="Times New Roman" w:hAnsi="Times New Roman" w:hint="eastAsia"/>
          <w:szCs w:val="32"/>
        </w:rPr>
        <w:t>日發布金管證四字第</w:t>
      </w:r>
      <w:r w:rsidR="00592F90" w:rsidRPr="00844E73">
        <w:rPr>
          <w:rFonts w:ascii="Times New Roman" w:hAnsi="Times New Roman" w:hint="eastAsia"/>
          <w:szCs w:val="32"/>
        </w:rPr>
        <w:t>0930005684</w:t>
      </w:r>
      <w:r w:rsidR="00592F90" w:rsidRPr="00844E73">
        <w:rPr>
          <w:rFonts w:ascii="Times New Roman" w:hAnsi="Times New Roman" w:hint="eastAsia"/>
          <w:szCs w:val="32"/>
        </w:rPr>
        <w:t>號令，規定</w:t>
      </w:r>
      <w:r w:rsidRPr="00844E73">
        <w:rPr>
          <w:rFonts w:ascii="Times New Roman" w:hAnsi="Times New Roman" w:hint="eastAsia"/>
          <w:szCs w:val="32"/>
        </w:rPr>
        <w:t>投信</w:t>
      </w:r>
      <w:r w:rsidR="00592F90" w:rsidRPr="00844E73">
        <w:rPr>
          <w:rFonts w:ascii="Times New Roman" w:hAnsi="Times New Roman" w:hint="eastAsia"/>
          <w:szCs w:val="32"/>
        </w:rPr>
        <w:t>在</w:t>
      </w:r>
      <w:r w:rsidR="004B5391" w:rsidRPr="00844E73">
        <w:rPr>
          <w:rFonts w:ascii="Times New Roman" w:hAnsi="Times New Roman" w:hint="eastAsia"/>
          <w:szCs w:val="32"/>
        </w:rPr>
        <w:t>結構債</w:t>
      </w:r>
      <w:r w:rsidRPr="00844E73">
        <w:rPr>
          <w:rFonts w:ascii="Times New Roman" w:hAnsi="Times New Roman" w:hint="eastAsia"/>
          <w:szCs w:val="32"/>
        </w:rPr>
        <w:t>未處理完成</w:t>
      </w:r>
      <w:r w:rsidR="00592F90" w:rsidRPr="00844E73">
        <w:rPr>
          <w:rFonts w:ascii="Times New Roman" w:hAnsi="Times New Roman" w:hint="eastAsia"/>
          <w:szCs w:val="32"/>
        </w:rPr>
        <w:t>前應提列特別盈餘公積之相關規範，並由呂前副主委東英代行。</w:t>
      </w:r>
    </w:p>
    <w:p w:rsidR="00592F90" w:rsidRPr="00844E73" w:rsidRDefault="00592F90" w:rsidP="00592F90">
      <w:pPr>
        <w:pStyle w:val="5"/>
        <w:rPr>
          <w:rFonts w:ascii="Times New Roman" w:hAnsi="Times New Roman"/>
          <w:szCs w:val="32"/>
        </w:rPr>
      </w:pPr>
      <w:r w:rsidRPr="00844E73">
        <w:rPr>
          <w:rFonts w:ascii="Times New Roman" w:hAnsi="Times New Roman" w:hint="eastAsia"/>
          <w:szCs w:val="32"/>
        </w:rPr>
        <w:t>94</w:t>
      </w:r>
      <w:r w:rsidRPr="00844E73">
        <w:rPr>
          <w:rFonts w:ascii="Times New Roman" w:hAnsi="Times New Roman" w:hint="eastAsia"/>
          <w:szCs w:val="32"/>
        </w:rPr>
        <w:t>年</w:t>
      </w:r>
      <w:r w:rsidRPr="00844E73">
        <w:rPr>
          <w:rFonts w:ascii="Times New Roman" w:hAnsi="Times New Roman" w:hint="eastAsia"/>
          <w:szCs w:val="32"/>
        </w:rPr>
        <w:t>12</w:t>
      </w:r>
      <w:r w:rsidRPr="00844E73">
        <w:rPr>
          <w:rFonts w:ascii="Times New Roman" w:hAnsi="Times New Roman" w:hint="eastAsia"/>
          <w:szCs w:val="32"/>
        </w:rPr>
        <w:t>月</w:t>
      </w:r>
      <w:r w:rsidRPr="00844E73">
        <w:rPr>
          <w:rFonts w:ascii="Times New Roman" w:hAnsi="Times New Roman" w:hint="eastAsia"/>
          <w:szCs w:val="32"/>
        </w:rPr>
        <w:t>1</w:t>
      </w:r>
      <w:r w:rsidRPr="00844E73">
        <w:rPr>
          <w:rFonts w:ascii="Times New Roman" w:hAnsi="Times New Roman" w:hint="eastAsia"/>
          <w:szCs w:val="32"/>
        </w:rPr>
        <w:t>日為協助各投信公司儘速處理所經理國內債券型基金持有之結構債，以因應年底之贖回潮，由龔前主任委員照勝召集張前副主委秀蓮、呂前副主委東英</w:t>
      </w:r>
      <w:r w:rsidRPr="00844E73">
        <w:rPr>
          <w:rFonts w:ascii="Times New Roman" w:hAnsi="Times New Roman" w:hint="eastAsia"/>
          <w:szCs w:val="32"/>
        </w:rPr>
        <w:t>(</w:t>
      </w:r>
      <w:r w:rsidRPr="00844E73">
        <w:rPr>
          <w:rFonts w:ascii="Times New Roman" w:hAnsi="Times New Roman" w:hint="eastAsia"/>
          <w:szCs w:val="32"/>
        </w:rPr>
        <w:t>嗣因公出未出席</w:t>
      </w:r>
      <w:r w:rsidRPr="00844E73">
        <w:rPr>
          <w:rFonts w:ascii="Times New Roman" w:hAnsi="Times New Roman" w:hint="eastAsia"/>
          <w:szCs w:val="32"/>
        </w:rPr>
        <w:t>)</w:t>
      </w:r>
      <w:r w:rsidRPr="00844E73">
        <w:rPr>
          <w:rFonts w:ascii="Times New Roman" w:hAnsi="Times New Roman" w:hint="eastAsia"/>
          <w:szCs w:val="32"/>
        </w:rPr>
        <w:t>、李前委員賢源、林前委員忠正、黃前委員顯華、金管會曾前主任秘書銘宗、銀行局曾前局長國烈、檢查局張前副局長明道及證期局吳前局長當傑等相關人員，召開「債券型基金處理</w:t>
      </w:r>
      <w:r w:rsidR="004B5391" w:rsidRPr="00844E73">
        <w:rPr>
          <w:rFonts w:ascii="Times New Roman" w:hAnsi="Times New Roman" w:hint="eastAsia"/>
          <w:szCs w:val="32"/>
        </w:rPr>
        <w:t>結構債</w:t>
      </w:r>
      <w:r w:rsidRPr="00844E73">
        <w:rPr>
          <w:rFonts w:ascii="Times New Roman" w:hAnsi="Times New Roman" w:hint="eastAsia"/>
          <w:szCs w:val="32"/>
        </w:rPr>
        <w:t>及基金流動性會議」，由證期局進行專案報告，該會議之參與開會成員包括全體委員及業務局代表，已相當於委員會之性質。</w:t>
      </w:r>
    </w:p>
    <w:p w:rsidR="00592F90" w:rsidRPr="00844E73" w:rsidRDefault="00592F90" w:rsidP="00592F90">
      <w:pPr>
        <w:pStyle w:val="5"/>
        <w:rPr>
          <w:rFonts w:ascii="Times New Roman" w:hAnsi="Times New Roman"/>
          <w:szCs w:val="32"/>
        </w:rPr>
      </w:pPr>
      <w:r w:rsidRPr="00844E73">
        <w:rPr>
          <w:rFonts w:ascii="Times New Roman" w:hAnsi="Times New Roman" w:hint="eastAsia"/>
          <w:szCs w:val="32"/>
        </w:rPr>
        <w:t>95</w:t>
      </w:r>
      <w:r w:rsidRPr="00844E73">
        <w:rPr>
          <w:rFonts w:ascii="Times New Roman" w:hAnsi="Times New Roman" w:hint="eastAsia"/>
          <w:szCs w:val="32"/>
        </w:rPr>
        <w:t>年</w:t>
      </w:r>
      <w:r w:rsidRPr="00844E73">
        <w:rPr>
          <w:rFonts w:ascii="Times New Roman" w:hAnsi="Times New Roman" w:hint="eastAsia"/>
          <w:szCs w:val="32"/>
        </w:rPr>
        <w:t>3</w:t>
      </w:r>
      <w:r w:rsidRPr="00844E73">
        <w:rPr>
          <w:rFonts w:ascii="Times New Roman" w:hAnsi="Times New Roman" w:hint="eastAsia"/>
          <w:szCs w:val="32"/>
        </w:rPr>
        <w:t>月間為與財政部賦稅署協調投信處理結構債虧損認列問題</w:t>
      </w:r>
      <w:r w:rsidR="003402B9" w:rsidRPr="00844E73">
        <w:rPr>
          <w:rFonts w:ascii="Times New Roman" w:hAnsi="Times New Roman" w:hint="eastAsia"/>
          <w:szCs w:val="32"/>
        </w:rPr>
        <w:t>簽報該</w:t>
      </w:r>
      <w:r w:rsidRPr="00844E73">
        <w:rPr>
          <w:rFonts w:ascii="Times New Roman" w:hAnsi="Times New Roman" w:hint="eastAsia"/>
          <w:szCs w:val="32"/>
        </w:rPr>
        <w:t>會，並由呂前副主委東英代行。</w:t>
      </w:r>
    </w:p>
    <w:p w:rsidR="00592F90" w:rsidRPr="00844E73" w:rsidRDefault="00592F90" w:rsidP="00592F90">
      <w:pPr>
        <w:pStyle w:val="5"/>
        <w:rPr>
          <w:rFonts w:ascii="Times New Roman" w:hAnsi="Times New Roman"/>
          <w:szCs w:val="32"/>
        </w:rPr>
      </w:pPr>
      <w:r w:rsidRPr="00844E73">
        <w:rPr>
          <w:rFonts w:ascii="Times New Roman" w:hAnsi="Times New Roman" w:hint="eastAsia"/>
          <w:szCs w:val="32"/>
        </w:rPr>
        <w:t>94</w:t>
      </w:r>
      <w:r w:rsidRPr="00844E73">
        <w:rPr>
          <w:rFonts w:ascii="Times New Roman" w:hAnsi="Times New Roman" w:hint="eastAsia"/>
          <w:szCs w:val="32"/>
        </w:rPr>
        <w:t>年</w:t>
      </w:r>
      <w:r w:rsidRPr="00844E73">
        <w:rPr>
          <w:rFonts w:ascii="Times New Roman" w:hAnsi="Times New Roman" w:hint="eastAsia"/>
          <w:szCs w:val="32"/>
        </w:rPr>
        <w:t>8</w:t>
      </w:r>
      <w:r w:rsidRPr="00844E73">
        <w:rPr>
          <w:rFonts w:ascii="Times New Roman" w:hAnsi="Times New Roman" w:hint="eastAsia"/>
          <w:szCs w:val="32"/>
        </w:rPr>
        <w:t>月</w:t>
      </w:r>
      <w:r w:rsidRPr="00844E73">
        <w:rPr>
          <w:rFonts w:ascii="Times New Roman" w:hAnsi="Times New Roman" w:hint="eastAsia"/>
          <w:szCs w:val="32"/>
        </w:rPr>
        <w:t>15</w:t>
      </w:r>
      <w:r w:rsidRPr="00844E73">
        <w:rPr>
          <w:rFonts w:ascii="Times New Roman" w:hAnsi="Times New Roman" w:hint="eastAsia"/>
          <w:szCs w:val="32"/>
        </w:rPr>
        <w:t>日、</w:t>
      </w:r>
      <w:r w:rsidRPr="00844E73">
        <w:rPr>
          <w:rFonts w:ascii="Times New Roman" w:hAnsi="Times New Roman" w:hint="eastAsia"/>
          <w:szCs w:val="32"/>
        </w:rPr>
        <w:t>94</w:t>
      </w:r>
      <w:r w:rsidRPr="00844E73">
        <w:rPr>
          <w:rFonts w:ascii="Times New Roman" w:hAnsi="Times New Roman" w:hint="eastAsia"/>
          <w:szCs w:val="32"/>
        </w:rPr>
        <w:t>年</w:t>
      </w:r>
      <w:r w:rsidRPr="00844E73">
        <w:rPr>
          <w:rFonts w:ascii="Times New Roman" w:hAnsi="Times New Roman" w:hint="eastAsia"/>
          <w:szCs w:val="32"/>
        </w:rPr>
        <w:t>10</w:t>
      </w:r>
      <w:r w:rsidRPr="00844E73">
        <w:rPr>
          <w:rFonts w:ascii="Times New Roman" w:hAnsi="Times New Roman" w:hint="eastAsia"/>
          <w:szCs w:val="32"/>
        </w:rPr>
        <w:t>月</w:t>
      </w:r>
      <w:r w:rsidRPr="00844E73">
        <w:rPr>
          <w:rFonts w:ascii="Times New Roman" w:hAnsi="Times New Roman" w:hint="eastAsia"/>
          <w:szCs w:val="32"/>
        </w:rPr>
        <w:t>3</w:t>
      </w:r>
      <w:r w:rsidRPr="00844E73">
        <w:rPr>
          <w:rFonts w:ascii="Times New Roman" w:hAnsi="Times New Roman" w:hint="eastAsia"/>
          <w:szCs w:val="32"/>
        </w:rPr>
        <w:t>日及</w:t>
      </w:r>
      <w:r w:rsidRPr="00844E73">
        <w:rPr>
          <w:rFonts w:ascii="Times New Roman" w:hAnsi="Times New Roman" w:hint="eastAsia"/>
          <w:szCs w:val="32"/>
        </w:rPr>
        <w:t>96</w:t>
      </w:r>
      <w:r w:rsidRPr="00844E73">
        <w:rPr>
          <w:rFonts w:ascii="Times New Roman" w:hAnsi="Times New Roman" w:hint="eastAsia"/>
          <w:szCs w:val="32"/>
        </w:rPr>
        <w:t>年</w:t>
      </w:r>
      <w:r w:rsidRPr="00844E73">
        <w:rPr>
          <w:rFonts w:ascii="Times New Roman" w:hAnsi="Times New Roman" w:hint="eastAsia"/>
          <w:szCs w:val="32"/>
        </w:rPr>
        <w:t>1</w:t>
      </w:r>
      <w:r w:rsidRPr="00844E73">
        <w:rPr>
          <w:rFonts w:ascii="Times New Roman" w:hAnsi="Times New Roman" w:hint="eastAsia"/>
          <w:szCs w:val="32"/>
        </w:rPr>
        <w:t>月</w:t>
      </w:r>
      <w:r w:rsidRPr="00844E73">
        <w:rPr>
          <w:rFonts w:ascii="Times New Roman" w:hAnsi="Times New Roman" w:hint="eastAsia"/>
          <w:szCs w:val="32"/>
        </w:rPr>
        <w:t>2</w:t>
      </w:r>
      <w:r w:rsidRPr="00844E73">
        <w:rPr>
          <w:rFonts w:ascii="Times New Roman" w:hAnsi="Times New Roman" w:hint="eastAsia"/>
          <w:szCs w:val="32"/>
        </w:rPr>
        <w:t>日分別就有關投信處理債券型基金持有</w:t>
      </w:r>
      <w:r w:rsidR="004B5391" w:rsidRPr="00844E73">
        <w:rPr>
          <w:rFonts w:ascii="Times New Roman" w:hAnsi="Times New Roman" w:hint="eastAsia"/>
          <w:szCs w:val="32"/>
        </w:rPr>
        <w:t>結構債</w:t>
      </w:r>
      <w:r w:rsidRPr="00844E73">
        <w:rPr>
          <w:rFonts w:ascii="Times New Roman" w:hAnsi="Times New Roman" w:hint="eastAsia"/>
          <w:szCs w:val="32"/>
        </w:rPr>
        <w:t>之損失稅賦問題與財政部賦稅署協商結果、國內債券型基金分流方案及國內債券型基金分流轉型成果報告</w:t>
      </w:r>
      <w:r w:rsidR="003402B9" w:rsidRPr="00844E73">
        <w:rPr>
          <w:rFonts w:ascii="Times New Roman" w:hAnsi="Times New Roman" w:hint="eastAsia"/>
          <w:szCs w:val="32"/>
        </w:rPr>
        <w:t>提報該</w:t>
      </w:r>
      <w:r w:rsidRPr="00844E73">
        <w:rPr>
          <w:rFonts w:ascii="Times New Roman" w:hAnsi="Times New Roman" w:hint="eastAsia"/>
          <w:szCs w:val="32"/>
        </w:rPr>
        <w:t>會第</w:t>
      </w:r>
      <w:r w:rsidRPr="00844E73">
        <w:rPr>
          <w:rFonts w:ascii="Times New Roman" w:hAnsi="Times New Roman" w:hint="eastAsia"/>
          <w:szCs w:val="32"/>
        </w:rPr>
        <w:t>26</w:t>
      </w:r>
      <w:r w:rsidRPr="00844E73">
        <w:rPr>
          <w:rFonts w:ascii="Times New Roman" w:hAnsi="Times New Roman" w:hint="eastAsia"/>
          <w:szCs w:val="32"/>
        </w:rPr>
        <w:t>、</w:t>
      </w:r>
      <w:r w:rsidRPr="00844E73">
        <w:rPr>
          <w:rFonts w:ascii="Times New Roman" w:hAnsi="Times New Roman" w:hint="eastAsia"/>
          <w:szCs w:val="32"/>
        </w:rPr>
        <w:t>32</w:t>
      </w:r>
      <w:r w:rsidRPr="00844E73">
        <w:rPr>
          <w:rFonts w:ascii="Times New Roman" w:hAnsi="Times New Roman" w:hint="eastAsia"/>
          <w:szCs w:val="32"/>
        </w:rPr>
        <w:t>及</w:t>
      </w:r>
      <w:r w:rsidRPr="00844E73">
        <w:rPr>
          <w:rFonts w:ascii="Times New Roman" w:hAnsi="Times New Roman" w:hint="eastAsia"/>
          <w:szCs w:val="32"/>
        </w:rPr>
        <w:t>92</w:t>
      </w:r>
      <w:r w:rsidRPr="00844E73">
        <w:rPr>
          <w:rFonts w:ascii="Times New Roman" w:hAnsi="Times New Roman" w:hint="eastAsia"/>
          <w:szCs w:val="32"/>
        </w:rPr>
        <w:t>次業務會報報告，金管會業務會報之主席為主委，參與開會成員包括全體委員及業務局代表，亦已相當於委員會之性質。</w:t>
      </w:r>
    </w:p>
    <w:p w:rsidR="00592F90" w:rsidRPr="00844E73" w:rsidRDefault="00592F90" w:rsidP="00E60C66">
      <w:pPr>
        <w:pStyle w:val="5"/>
        <w:rPr>
          <w:rFonts w:ascii="Times New Roman" w:hAnsi="Times New Roman"/>
          <w:szCs w:val="32"/>
        </w:rPr>
      </w:pPr>
      <w:r w:rsidRPr="00844E73">
        <w:rPr>
          <w:rFonts w:ascii="Times New Roman" w:hAnsi="Times New Roman" w:hint="eastAsia"/>
          <w:szCs w:val="32"/>
        </w:rPr>
        <w:lastRenderedPageBreak/>
        <w:t>95</w:t>
      </w:r>
      <w:r w:rsidRPr="00844E73">
        <w:rPr>
          <w:rFonts w:ascii="Times New Roman" w:hAnsi="Times New Roman" w:hint="eastAsia"/>
          <w:szCs w:val="32"/>
        </w:rPr>
        <w:t>年</w:t>
      </w:r>
      <w:r w:rsidRPr="00844E73">
        <w:rPr>
          <w:rFonts w:ascii="Times New Roman" w:hAnsi="Times New Roman" w:hint="eastAsia"/>
          <w:szCs w:val="32"/>
        </w:rPr>
        <w:t>6</w:t>
      </w:r>
      <w:r w:rsidRPr="00844E73">
        <w:rPr>
          <w:rFonts w:ascii="Times New Roman" w:hAnsi="Times New Roman" w:hint="eastAsia"/>
          <w:szCs w:val="32"/>
        </w:rPr>
        <w:t>月</w:t>
      </w:r>
      <w:r w:rsidRPr="00844E73">
        <w:rPr>
          <w:rFonts w:ascii="Times New Roman" w:hAnsi="Times New Roman" w:hint="eastAsia"/>
          <w:szCs w:val="32"/>
        </w:rPr>
        <w:t>27</w:t>
      </w:r>
      <w:r w:rsidRPr="00844E73">
        <w:rPr>
          <w:rFonts w:ascii="Times New Roman" w:hAnsi="Times New Roman" w:hint="eastAsia"/>
          <w:szCs w:val="32"/>
        </w:rPr>
        <w:t>日就有關</w:t>
      </w:r>
      <w:r w:rsidR="003402B9" w:rsidRPr="00844E73">
        <w:rPr>
          <w:rFonts w:hAnsi="標楷體" w:hint="eastAsia"/>
          <w:szCs w:val="32"/>
        </w:rPr>
        <w:t>「</w:t>
      </w:r>
      <w:r w:rsidRPr="00844E73">
        <w:rPr>
          <w:rFonts w:ascii="Times New Roman" w:hAnsi="Times New Roman" w:hint="eastAsia"/>
          <w:szCs w:val="32"/>
        </w:rPr>
        <w:t>金管會處理國內債券型基金持有結構債問題之研析</w:t>
      </w:r>
      <w:r w:rsidR="003402B9" w:rsidRPr="00844E73">
        <w:rPr>
          <w:rFonts w:hAnsi="標楷體" w:hint="eastAsia"/>
          <w:szCs w:val="32"/>
        </w:rPr>
        <w:t>」</w:t>
      </w:r>
      <w:r w:rsidRPr="00844E73">
        <w:rPr>
          <w:rFonts w:ascii="Times New Roman" w:hAnsi="Times New Roman" w:hint="eastAsia"/>
          <w:szCs w:val="32"/>
        </w:rPr>
        <w:t>，提報</w:t>
      </w:r>
      <w:r w:rsidR="003402B9" w:rsidRPr="00844E73">
        <w:rPr>
          <w:rFonts w:ascii="Times New Roman" w:hAnsi="Times New Roman" w:hint="eastAsia"/>
          <w:szCs w:val="32"/>
        </w:rPr>
        <w:t>該</w:t>
      </w:r>
      <w:r w:rsidRPr="00844E73">
        <w:rPr>
          <w:rFonts w:ascii="Times New Roman" w:hAnsi="Times New Roman" w:hint="eastAsia"/>
          <w:szCs w:val="32"/>
        </w:rPr>
        <w:t>會第</w:t>
      </w:r>
      <w:r w:rsidRPr="00844E73">
        <w:rPr>
          <w:rFonts w:ascii="Times New Roman" w:hAnsi="Times New Roman" w:hint="eastAsia"/>
          <w:szCs w:val="32"/>
        </w:rPr>
        <w:t>104</w:t>
      </w:r>
      <w:r w:rsidRPr="00844E73">
        <w:rPr>
          <w:rFonts w:ascii="Times New Roman" w:hAnsi="Times New Roman" w:hint="eastAsia"/>
          <w:szCs w:val="32"/>
        </w:rPr>
        <w:t>次委員會議。</w:t>
      </w:r>
    </w:p>
    <w:p w:rsidR="00106C5E" w:rsidRPr="00844E73" w:rsidRDefault="003402B9" w:rsidP="009F7E2D">
      <w:pPr>
        <w:pStyle w:val="3"/>
      </w:pPr>
      <w:r w:rsidRPr="00844E73">
        <w:rPr>
          <w:rFonts w:hint="eastAsia"/>
        </w:rPr>
        <w:t>惟</w:t>
      </w:r>
      <w:r w:rsidR="00B469A2" w:rsidRPr="00844E73">
        <w:rPr>
          <w:rFonts w:hint="eastAsia"/>
        </w:rPr>
        <w:t>核</w:t>
      </w:r>
      <w:r w:rsidR="007F675D" w:rsidRPr="00844E73">
        <w:rPr>
          <w:rFonts w:hint="eastAsia"/>
        </w:rPr>
        <w:t>，</w:t>
      </w:r>
      <w:r w:rsidR="009F7E2D" w:rsidRPr="00844E73">
        <w:rPr>
          <w:rFonts w:hint="eastAsia"/>
        </w:rPr>
        <w:t>金管會</w:t>
      </w:r>
      <w:r w:rsidR="007C19DC" w:rsidRPr="00844E73">
        <w:rPr>
          <w:rFonts w:hint="eastAsia"/>
        </w:rPr>
        <w:t>所列之</w:t>
      </w:r>
      <w:r w:rsidR="00D50FA7" w:rsidRPr="00844E73">
        <w:rPr>
          <w:rFonts w:hint="eastAsia"/>
        </w:rPr>
        <w:t>上開</w:t>
      </w:r>
      <w:r w:rsidR="007F675D" w:rsidRPr="00844E73">
        <w:rPr>
          <w:rFonts w:hint="eastAsia"/>
        </w:rPr>
        <w:t>會議或公文簽報程序，</w:t>
      </w:r>
      <w:r w:rsidR="004C5A5D" w:rsidRPr="00844E73">
        <w:rPr>
          <w:rFonts w:hint="eastAsia"/>
        </w:rPr>
        <w:t>雖均</w:t>
      </w:r>
      <w:r w:rsidR="007C19DC" w:rsidRPr="00844E73">
        <w:rPr>
          <w:rFonts w:hint="eastAsia"/>
        </w:rPr>
        <w:t>屬</w:t>
      </w:r>
      <w:r w:rsidR="007F675D" w:rsidRPr="00844E73">
        <w:rPr>
          <w:rFonts w:hint="eastAsia"/>
        </w:rPr>
        <w:t>該會處理結構債</w:t>
      </w:r>
      <w:r w:rsidR="004C5A5D" w:rsidRPr="00844E73">
        <w:rPr>
          <w:rFonts w:hint="eastAsia"/>
        </w:rPr>
        <w:t>問題</w:t>
      </w:r>
      <w:r w:rsidR="007F675D" w:rsidRPr="00844E73">
        <w:rPr>
          <w:rFonts w:hint="eastAsia"/>
        </w:rPr>
        <w:t>之</w:t>
      </w:r>
      <w:r w:rsidR="004C5A5D" w:rsidRPr="00844E73">
        <w:rPr>
          <w:rFonts w:hint="eastAsia"/>
        </w:rPr>
        <w:t>相關行政措施</w:t>
      </w:r>
      <w:r w:rsidR="004706AA" w:rsidRPr="00844E73">
        <w:rPr>
          <w:rFonts w:hint="eastAsia"/>
        </w:rPr>
        <w:t>，然</w:t>
      </w:r>
      <w:r w:rsidR="003D52F6" w:rsidRPr="00844E73">
        <w:rPr>
          <w:rFonts w:hint="eastAsia"/>
        </w:rPr>
        <w:t>內容並無</w:t>
      </w:r>
      <w:r w:rsidR="007C19DC" w:rsidRPr="00844E73">
        <w:rPr>
          <w:rFonts w:hint="eastAsia"/>
        </w:rPr>
        <w:t>涉及</w:t>
      </w:r>
      <w:r w:rsidR="007C19DC" w:rsidRPr="00844E73">
        <w:rPr>
          <w:rFonts w:hAnsi="標楷體" w:hint="eastAsia"/>
        </w:rPr>
        <w:t>「</w:t>
      </w:r>
      <w:r w:rsidR="007C19DC" w:rsidRPr="00844E73">
        <w:rPr>
          <w:rFonts w:hint="eastAsia"/>
        </w:rPr>
        <w:t>三大</w:t>
      </w:r>
      <w:r w:rsidR="00197089" w:rsidRPr="00844E73">
        <w:rPr>
          <w:rFonts w:hint="eastAsia"/>
        </w:rPr>
        <w:t>原則</w:t>
      </w:r>
      <w:r w:rsidR="007C19DC" w:rsidRPr="00844E73">
        <w:rPr>
          <w:rFonts w:hAnsi="標楷體" w:hint="eastAsia"/>
        </w:rPr>
        <w:t>」</w:t>
      </w:r>
      <w:r w:rsidR="003D52F6" w:rsidRPr="00844E73">
        <w:rPr>
          <w:rFonts w:hAnsi="標楷體" w:hint="eastAsia"/>
        </w:rPr>
        <w:t>之</w:t>
      </w:r>
      <w:r w:rsidR="003D52F6" w:rsidRPr="00844E73">
        <w:rPr>
          <w:rFonts w:hint="eastAsia"/>
        </w:rPr>
        <w:t>事項</w:t>
      </w:r>
      <w:r w:rsidR="004706AA" w:rsidRPr="00844E73">
        <w:rPr>
          <w:rFonts w:hint="eastAsia"/>
        </w:rPr>
        <w:t>者</w:t>
      </w:r>
      <w:r w:rsidR="007165FC" w:rsidRPr="00844E73">
        <w:rPr>
          <w:rFonts w:hint="eastAsia"/>
        </w:rPr>
        <w:t>；</w:t>
      </w:r>
      <w:r w:rsidR="007C19DC" w:rsidRPr="00844E73">
        <w:rPr>
          <w:rFonts w:hint="eastAsia"/>
        </w:rPr>
        <w:t>金管會以</w:t>
      </w:r>
      <w:r w:rsidR="009F7E2D" w:rsidRPr="00844E73">
        <w:rPr>
          <w:rFonts w:hint="eastAsia"/>
        </w:rPr>
        <w:t>上開說明</w:t>
      </w:r>
      <w:r w:rsidR="007C19DC" w:rsidRPr="00844E73">
        <w:rPr>
          <w:rFonts w:hint="eastAsia"/>
        </w:rPr>
        <w:t>置辯</w:t>
      </w:r>
      <w:r w:rsidR="009F7E2D" w:rsidRPr="00844E73">
        <w:rPr>
          <w:rFonts w:hint="eastAsia"/>
        </w:rPr>
        <w:t>，</w:t>
      </w:r>
      <w:r w:rsidR="007C19DC" w:rsidRPr="00844E73">
        <w:rPr>
          <w:rFonts w:hint="eastAsia"/>
        </w:rPr>
        <w:t>容有魚目混珠之嫌</w:t>
      </w:r>
      <w:r w:rsidR="004706AA" w:rsidRPr="00844E73">
        <w:rPr>
          <w:rFonts w:hint="eastAsia"/>
        </w:rPr>
        <w:t>，且反映其未能確實虛心檢討之心態，實不可</w:t>
      </w:r>
      <w:r w:rsidR="00F36AEE" w:rsidRPr="00844E73">
        <w:rPr>
          <w:rFonts w:hint="eastAsia"/>
        </w:rPr>
        <w:t>取</w:t>
      </w:r>
      <w:r w:rsidR="007C19DC" w:rsidRPr="00844E73">
        <w:rPr>
          <w:rFonts w:hint="eastAsia"/>
        </w:rPr>
        <w:t>。再者，</w:t>
      </w:r>
      <w:r w:rsidR="007165FC" w:rsidRPr="00844E73">
        <w:rPr>
          <w:rFonts w:hAnsi="標楷體" w:hint="eastAsia"/>
        </w:rPr>
        <w:t>「</w:t>
      </w:r>
      <w:r w:rsidR="007C19DC" w:rsidRPr="00844E73">
        <w:rPr>
          <w:rFonts w:hint="eastAsia"/>
        </w:rPr>
        <w:t>三大</w:t>
      </w:r>
      <w:r w:rsidR="00197089" w:rsidRPr="00844E73">
        <w:rPr>
          <w:rFonts w:hint="eastAsia"/>
        </w:rPr>
        <w:t>原則</w:t>
      </w:r>
      <w:r w:rsidR="007165FC" w:rsidRPr="00844E73">
        <w:rPr>
          <w:rFonts w:hAnsi="標楷體" w:hint="eastAsia"/>
        </w:rPr>
        <w:t>」</w:t>
      </w:r>
      <w:r w:rsidR="00D11825" w:rsidRPr="00844E73">
        <w:rPr>
          <w:rFonts w:hint="eastAsia"/>
        </w:rPr>
        <w:t>對</w:t>
      </w:r>
      <w:r w:rsidR="007C19DC" w:rsidRPr="00844E73">
        <w:rPr>
          <w:rFonts w:hint="eastAsia"/>
        </w:rPr>
        <w:t>業者</w:t>
      </w:r>
      <w:r w:rsidR="00901185" w:rsidRPr="00844E73">
        <w:rPr>
          <w:rFonts w:hint="eastAsia"/>
        </w:rPr>
        <w:t>權益</w:t>
      </w:r>
      <w:r w:rsidR="004706AA" w:rsidRPr="00844E73">
        <w:rPr>
          <w:rFonts w:hint="eastAsia"/>
        </w:rPr>
        <w:t>及債券型基金整體發展</w:t>
      </w:r>
      <w:r w:rsidR="00D11825" w:rsidRPr="00844E73">
        <w:rPr>
          <w:rFonts w:hint="eastAsia"/>
        </w:rPr>
        <w:t>之</w:t>
      </w:r>
      <w:r w:rsidR="007C19DC" w:rsidRPr="00844E73">
        <w:rPr>
          <w:rFonts w:hint="eastAsia"/>
        </w:rPr>
        <w:t>影響程度</w:t>
      </w:r>
      <w:r w:rsidR="00AC1F81" w:rsidRPr="00844E73">
        <w:rPr>
          <w:rFonts w:hint="eastAsia"/>
        </w:rPr>
        <w:t>，</w:t>
      </w:r>
      <w:r w:rsidR="007C19DC" w:rsidRPr="00844E73">
        <w:rPr>
          <w:rFonts w:hint="eastAsia"/>
        </w:rPr>
        <w:t>較</w:t>
      </w:r>
      <w:r w:rsidR="00AC1F81" w:rsidRPr="00844E73">
        <w:rPr>
          <w:rFonts w:hint="eastAsia"/>
        </w:rPr>
        <w:t>金管會</w:t>
      </w:r>
      <w:r w:rsidR="00777AC3" w:rsidRPr="00844E73">
        <w:rPr>
          <w:rFonts w:hint="eastAsia"/>
        </w:rPr>
        <w:t>上開</w:t>
      </w:r>
      <w:r w:rsidR="008C4047" w:rsidRPr="00844E73">
        <w:rPr>
          <w:rFonts w:hint="eastAsia"/>
        </w:rPr>
        <w:t>所列</w:t>
      </w:r>
      <w:r w:rsidR="007C19DC" w:rsidRPr="00844E73">
        <w:rPr>
          <w:rFonts w:hint="eastAsia"/>
        </w:rPr>
        <w:t>各事項</w:t>
      </w:r>
      <w:r w:rsidR="00AC1F81" w:rsidRPr="00844E73">
        <w:rPr>
          <w:rFonts w:hint="eastAsia"/>
        </w:rPr>
        <w:t>顯</w:t>
      </w:r>
      <w:r w:rsidR="007C19DC" w:rsidRPr="00844E73">
        <w:rPr>
          <w:rFonts w:hint="eastAsia"/>
        </w:rPr>
        <w:t>更為</w:t>
      </w:r>
      <w:r w:rsidR="003A0246" w:rsidRPr="00844E73">
        <w:rPr>
          <w:rFonts w:hint="eastAsia"/>
        </w:rPr>
        <w:t>重大</w:t>
      </w:r>
      <w:r w:rsidR="007C19DC" w:rsidRPr="00844E73">
        <w:rPr>
          <w:rFonts w:hint="eastAsia"/>
        </w:rPr>
        <w:t>而深遠，卻反</w:t>
      </w:r>
      <w:r w:rsidR="007165FC" w:rsidRPr="00844E73">
        <w:rPr>
          <w:rFonts w:hint="eastAsia"/>
        </w:rPr>
        <w:t>而</w:t>
      </w:r>
      <w:r w:rsidR="007C19DC" w:rsidRPr="00844E73">
        <w:rPr>
          <w:rFonts w:hint="eastAsia"/>
        </w:rPr>
        <w:t>未提送該會委員會</w:t>
      </w:r>
      <w:r w:rsidR="001D4A77" w:rsidRPr="00844E73">
        <w:rPr>
          <w:rFonts w:hint="eastAsia"/>
        </w:rPr>
        <w:t>議審議，</w:t>
      </w:r>
      <w:r w:rsidR="00AC1F81" w:rsidRPr="00844E73">
        <w:rPr>
          <w:rFonts w:hint="eastAsia"/>
        </w:rPr>
        <w:t>益</w:t>
      </w:r>
      <w:r w:rsidR="003A0246" w:rsidRPr="00844E73">
        <w:rPr>
          <w:rFonts w:hint="eastAsia"/>
        </w:rPr>
        <w:t>凸顯當時處理</w:t>
      </w:r>
      <w:r w:rsidR="00D11825" w:rsidRPr="00844E73">
        <w:rPr>
          <w:rFonts w:hint="eastAsia"/>
        </w:rPr>
        <w:t>程序</w:t>
      </w:r>
      <w:r w:rsidR="003A0246" w:rsidRPr="00844E73">
        <w:rPr>
          <w:rFonts w:hint="eastAsia"/>
        </w:rPr>
        <w:t>之</w:t>
      </w:r>
      <w:r w:rsidR="00901185" w:rsidRPr="00844E73">
        <w:rPr>
          <w:rFonts w:hint="eastAsia"/>
        </w:rPr>
        <w:t>疏謬</w:t>
      </w:r>
      <w:r w:rsidR="003A0246" w:rsidRPr="00844E73">
        <w:rPr>
          <w:rFonts w:hint="eastAsia"/>
        </w:rPr>
        <w:t>；</w:t>
      </w:r>
      <w:r w:rsidR="001D4A77" w:rsidRPr="00844E73">
        <w:rPr>
          <w:rFonts w:hint="eastAsia"/>
        </w:rPr>
        <w:t>縱使其有解決結構債危機之公益目的，行政程序上仍屬不法</w:t>
      </w:r>
      <w:r w:rsidR="00106C5E" w:rsidRPr="00844E73">
        <w:rPr>
          <w:rFonts w:hint="eastAsia"/>
        </w:rPr>
        <w:t>。</w:t>
      </w:r>
    </w:p>
    <w:p w:rsidR="00592F90" w:rsidRPr="00844E73" w:rsidRDefault="00197089" w:rsidP="009F7E2D">
      <w:pPr>
        <w:pStyle w:val="3"/>
      </w:pPr>
      <w:r w:rsidRPr="00844E73">
        <w:rPr>
          <w:rFonts w:hint="eastAsia"/>
        </w:rPr>
        <w:t>綜上所述，金管會為處理投信結構債</w:t>
      </w:r>
      <w:r w:rsidR="004706AA" w:rsidRPr="00844E73">
        <w:rPr>
          <w:rFonts w:hint="eastAsia"/>
        </w:rPr>
        <w:t>問題</w:t>
      </w:r>
      <w:r w:rsidRPr="00844E73">
        <w:rPr>
          <w:rFonts w:hint="eastAsia"/>
        </w:rPr>
        <w:t>所揭示之</w:t>
      </w:r>
      <w:r w:rsidR="00106C5E" w:rsidRPr="00844E73">
        <w:rPr>
          <w:rFonts w:hint="eastAsia"/>
        </w:rPr>
        <w:t>「</w:t>
      </w:r>
      <w:r w:rsidRPr="00844E73">
        <w:rPr>
          <w:rFonts w:hint="eastAsia"/>
        </w:rPr>
        <w:t>三大原則</w:t>
      </w:r>
      <w:r w:rsidR="00106C5E" w:rsidRPr="00844E73">
        <w:rPr>
          <w:rFonts w:hint="eastAsia"/>
        </w:rPr>
        <w:t>」</w:t>
      </w:r>
      <w:r w:rsidRPr="00844E73">
        <w:rPr>
          <w:rFonts w:hint="eastAsia"/>
        </w:rPr>
        <w:t>，</w:t>
      </w:r>
      <w:r w:rsidR="00106C5E" w:rsidRPr="00844E73">
        <w:rPr>
          <w:rFonts w:hint="eastAsia"/>
        </w:rPr>
        <w:t>核屬金融</w:t>
      </w:r>
      <w:r w:rsidRPr="00844E73">
        <w:rPr>
          <w:rFonts w:hint="eastAsia"/>
        </w:rPr>
        <w:t>監理之</w:t>
      </w:r>
      <w:r w:rsidR="00106C5E" w:rsidRPr="00844E73">
        <w:rPr>
          <w:rFonts w:hint="eastAsia"/>
        </w:rPr>
        <w:t>重大措施，卻未依當時之金管會組織法第10條第1項</w:t>
      </w:r>
      <w:r w:rsidR="004706AA" w:rsidRPr="00844E73">
        <w:rPr>
          <w:rFonts w:hint="eastAsia"/>
        </w:rPr>
        <w:t>第4款或第6款</w:t>
      </w:r>
      <w:r w:rsidR="00106C5E" w:rsidRPr="00844E73">
        <w:rPr>
          <w:rFonts w:hint="eastAsia"/>
        </w:rPr>
        <w:t>規定，提送該會委員會議審議；縱使其有解決結構債危機之公益目的，行政程序上仍屬不法</w:t>
      </w:r>
      <w:r w:rsidR="000F7DD5" w:rsidRPr="00844E73">
        <w:rPr>
          <w:rFonts w:hint="eastAsia"/>
        </w:rPr>
        <w:t>。詎</w:t>
      </w:r>
      <w:r w:rsidR="001D4A77" w:rsidRPr="00844E73">
        <w:rPr>
          <w:rFonts w:hint="eastAsia"/>
        </w:rPr>
        <w:t>金管會</w:t>
      </w:r>
      <w:r w:rsidR="000F7DD5" w:rsidRPr="00844E73">
        <w:rPr>
          <w:rFonts w:hint="eastAsia"/>
        </w:rPr>
        <w:t>迄仍未就此節虛心檢討，</w:t>
      </w:r>
      <w:r w:rsidR="00F3477A" w:rsidRPr="00844E73">
        <w:rPr>
          <w:rFonts w:hint="eastAsia"/>
        </w:rPr>
        <w:t>竟持續</w:t>
      </w:r>
      <w:r w:rsidR="00D11825" w:rsidRPr="00844E73">
        <w:rPr>
          <w:rFonts w:hint="eastAsia"/>
        </w:rPr>
        <w:t>以不相關之</w:t>
      </w:r>
      <w:r w:rsidR="006B7535" w:rsidRPr="00844E73">
        <w:rPr>
          <w:rFonts w:hint="eastAsia"/>
        </w:rPr>
        <w:t>會議或公文簽報程序</w:t>
      </w:r>
      <w:r w:rsidR="000F7DD5" w:rsidRPr="00844E73">
        <w:rPr>
          <w:rFonts w:hint="eastAsia"/>
        </w:rPr>
        <w:t xml:space="preserve"> </w:t>
      </w:r>
      <w:r w:rsidR="006B7535" w:rsidRPr="00844E73">
        <w:rPr>
          <w:rFonts w:hint="eastAsia"/>
        </w:rPr>
        <w:t>搪塞，意圖魚目混珠，</w:t>
      </w:r>
      <w:r w:rsidR="004706AA" w:rsidRPr="00844E73">
        <w:rPr>
          <w:rFonts w:hint="eastAsia"/>
        </w:rPr>
        <w:t>其行殊不可取</w:t>
      </w:r>
      <w:r w:rsidR="00F36AEE" w:rsidRPr="00844E73">
        <w:rPr>
          <w:rFonts w:hint="eastAsia"/>
        </w:rPr>
        <w:t>，</w:t>
      </w:r>
      <w:r w:rsidR="001D4A77" w:rsidRPr="00844E73">
        <w:rPr>
          <w:rFonts w:hint="eastAsia"/>
        </w:rPr>
        <w:t>應就此確實檢討。</w:t>
      </w:r>
    </w:p>
    <w:p w:rsidR="00161B03" w:rsidRPr="009A3088" w:rsidRDefault="001D4A77" w:rsidP="001D4A77">
      <w:pPr>
        <w:pStyle w:val="2"/>
        <w:rPr>
          <w:b/>
        </w:rPr>
      </w:pPr>
      <w:r w:rsidRPr="009A3088">
        <w:rPr>
          <w:rFonts w:hAnsi="標楷體" w:hint="eastAsia"/>
          <w:b/>
        </w:rPr>
        <w:t>「</w:t>
      </w:r>
      <w:r w:rsidR="00D1468D" w:rsidRPr="009A3088">
        <w:rPr>
          <w:rFonts w:hint="eastAsia"/>
          <w:b/>
        </w:rPr>
        <w:t>三大</w:t>
      </w:r>
      <w:r w:rsidR="00F3477A" w:rsidRPr="009A3088">
        <w:rPr>
          <w:rFonts w:hint="eastAsia"/>
          <w:b/>
        </w:rPr>
        <w:t>原則</w:t>
      </w:r>
      <w:r w:rsidRPr="009A3088">
        <w:rPr>
          <w:rFonts w:hAnsi="標楷體" w:hint="eastAsia"/>
          <w:b/>
        </w:rPr>
        <w:t>」</w:t>
      </w:r>
      <w:r w:rsidR="00D1468D" w:rsidRPr="009A3088">
        <w:rPr>
          <w:rFonts w:hint="eastAsia"/>
          <w:b/>
        </w:rPr>
        <w:t>內容，</w:t>
      </w:r>
      <w:r w:rsidR="00F70417" w:rsidRPr="009A3088">
        <w:rPr>
          <w:rFonts w:hint="eastAsia"/>
          <w:b/>
        </w:rPr>
        <w:t>悖於投資常規及法令</w:t>
      </w:r>
      <w:r w:rsidR="00D1468D" w:rsidRPr="009A3088">
        <w:rPr>
          <w:rFonts w:hint="eastAsia"/>
          <w:b/>
        </w:rPr>
        <w:t>規定</w:t>
      </w:r>
      <w:r w:rsidR="00FE7A49" w:rsidRPr="009A3088">
        <w:rPr>
          <w:rFonts w:hint="eastAsia"/>
          <w:b/>
        </w:rPr>
        <w:t>，至多僅能以</w:t>
      </w:r>
      <w:r w:rsidR="00FE7A49" w:rsidRPr="009A3088">
        <w:rPr>
          <w:rFonts w:hAnsi="標楷體" w:hint="eastAsia"/>
          <w:b/>
        </w:rPr>
        <w:t>行政指導</w:t>
      </w:r>
      <w:r w:rsidR="00FE7A49" w:rsidRPr="009A3088">
        <w:rPr>
          <w:rFonts w:hint="eastAsia"/>
          <w:b/>
        </w:rPr>
        <w:t>方式，道德勸說投信業者配合辦理；惟</w:t>
      </w:r>
      <w:r w:rsidR="00BD20A2" w:rsidRPr="009A3088">
        <w:rPr>
          <w:rFonts w:hint="eastAsia"/>
          <w:b/>
        </w:rPr>
        <w:t>金管會卻</w:t>
      </w:r>
      <w:r w:rsidR="00FE7A49" w:rsidRPr="009A3088">
        <w:rPr>
          <w:rFonts w:hint="eastAsia"/>
          <w:b/>
        </w:rPr>
        <w:t>將之</w:t>
      </w:r>
      <w:r w:rsidR="00BD20A2" w:rsidRPr="009A3088">
        <w:rPr>
          <w:b/>
        </w:rPr>
        <w:t>與發行新基金或變更基金規模之准駁相結合，</w:t>
      </w:r>
      <w:r w:rsidR="00BD20A2" w:rsidRPr="009A3088">
        <w:rPr>
          <w:rFonts w:hint="eastAsia"/>
          <w:b/>
        </w:rPr>
        <w:t>致業者不得不</w:t>
      </w:r>
      <w:r w:rsidR="00362470" w:rsidRPr="009A3088">
        <w:rPr>
          <w:rFonts w:hint="eastAsia"/>
          <w:b/>
        </w:rPr>
        <w:t>遵照</w:t>
      </w:r>
      <w:r w:rsidR="00BD20A2" w:rsidRPr="009A3088">
        <w:rPr>
          <w:rFonts w:hint="eastAsia"/>
          <w:b/>
        </w:rPr>
        <w:t>辦理</w:t>
      </w:r>
      <w:r w:rsidR="006841C9" w:rsidRPr="009A3088">
        <w:rPr>
          <w:rFonts w:hint="eastAsia"/>
          <w:b/>
        </w:rPr>
        <w:t>，核</w:t>
      </w:r>
      <w:r w:rsidR="00CF75B2" w:rsidRPr="009A3088">
        <w:rPr>
          <w:rFonts w:hint="eastAsia"/>
          <w:b/>
        </w:rPr>
        <w:t>已違反</w:t>
      </w:r>
      <w:r w:rsidR="006841C9" w:rsidRPr="009A3088">
        <w:rPr>
          <w:rFonts w:hint="eastAsia"/>
          <w:b/>
        </w:rPr>
        <w:t>行政程序法第4條及第165</w:t>
      </w:r>
      <w:r w:rsidR="0069666E" w:rsidRPr="009A3088">
        <w:rPr>
          <w:rFonts w:hint="eastAsia"/>
          <w:b/>
        </w:rPr>
        <w:t>、166</w:t>
      </w:r>
      <w:r w:rsidR="006841C9" w:rsidRPr="009A3088">
        <w:rPr>
          <w:rFonts w:hint="eastAsia"/>
          <w:b/>
        </w:rPr>
        <w:t>條等規定</w:t>
      </w:r>
      <w:r w:rsidRPr="009A3088">
        <w:rPr>
          <w:rFonts w:hint="eastAsia"/>
          <w:b/>
        </w:rPr>
        <w:t>：</w:t>
      </w:r>
    </w:p>
    <w:p w:rsidR="009176D8" w:rsidRPr="00844E73" w:rsidRDefault="00F54C03" w:rsidP="00BF7BEB">
      <w:pPr>
        <w:pStyle w:val="3"/>
      </w:pPr>
      <w:r w:rsidRPr="00844E73">
        <w:rPr>
          <w:rFonts w:hint="eastAsia"/>
        </w:rPr>
        <w:t>按</w:t>
      </w:r>
      <w:r w:rsidR="009C6F37" w:rsidRPr="00844E73">
        <w:rPr>
          <w:rFonts w:hint="eastAsia"/>
        </w:rPr>
        <w:t>所謂行政指導，依行政程序法第165條規定，係指</w:t>
      </w:r>
      <w:r w:rsidR="009C6F37" w:rsidRPr="00844E73">
        <w:rPr>
          <w:rFonts w:hAnsi="標楷體" w:hint="eastAsia"/>
        </w:rPr>
        <w:t>「……</w:t>
      </w:r>
      <w:r w:rsidR="009C6F37" w:rsidRPr="00844E73">
        <w:rPr>
          <w:rFonts w:hint="eastAsia"/>
        </w:rPr>
        <w:t>行政機關在其職權或所掌事務範圍內，為實現一定之行政目的，以輔導、協助、勸告、建議或其他不具法律上強制力之方法，促請特定人為一定</w:t>
      </w:r>
      <w:r w:rsidR="009C6F37" w:rsidRPr="00844E73">
        <w:rPr>
          <w:rFonts w:hint="eastAsia"/>
        </w:rPr>
        <w:lastRenderedPageBreak/>
        <w:t>作為或不作為之行為。」</w:t>
      </w:r>
      <w:r w:rsidR="006553EE" w:rsidRPr="00844E73">
        <w:rPr>
          <w:rFonts w:hint="eastAsia"/>
        </w:rPr>
        <w:t>又</w:t>
      </w:r>
      <w:r w:rsidR="009C6F37" w:rsidRPr="00844E73">
        <w:rPr>
          <w:rFonts w:hint="eastAsia"/>
        </w:rPr>
        <w:t>「</w:t>
      </w:r>
      <w:r w:rsidR="006553EE" w:rsidRPr="00844E73">
        <w:rPr>
          <w:rFonts w:hint="eastAsia"/>
        </w:rPr>
        <w:t>行政機關為行政指導時</w:t>
      </w:r>
      <w:r w:rsidR="006553EE" w:rsidRPr="00844E73">
        <w:rPr>
          <w:rFonts w:hAnsi="標楷體" w:hint="eastAsia"/>
        </w:rPr>
        <w:t>，</w:t>
      </w:r>
      <w:r w:rsidR="009C6F37" w:rsidRPr="00844E73">
        <w:rPr>
          <w:rFonts w:hint="eastAsia"/>
        </w:rPr>
        <w:t>應注意有關法規規定之目的，不得濫用。</w:t>
      </w:r>
      <w:r w:rsidR="00C542F6" w:rsidRPr="00844E73">
        <w:rPr>
          <w:rFonts w:hint="eastAsia"/>
        </w:rPr>
        <w:t xml:space="preserve"> </w:t>
      </w:r>
      <w:r w:rsidR="009C6F37" w:rsidRPr="00844E73">
        <w:rPr>
          <w:rFonts w:hint="eastAsia"/>
        </w:rPr>
        <w:t>相對人明確拒絕指導時，行政機關應即停止，並不得據此對相對人為不利之處置。」</w:t>
      </w:r>
      <w:r w:rsidR="006553EE" w:rsidRPr="00844E73">
        <w:rPr>
          <w:rFonts w:hint="eastAsia"/>
        </w:rPr>
        <w:t>同法第166條定有明文</w:t>
      </w:r>
      <w:r w:rsidR="00C542F6" w:rsidRPr="00844E73">
        <w:rPr>
          <w:rFonts w:hint="eastAsia"/>
        </w:rPr>
        <w:t>。</w:t>
      </w:r>
      <w:r w:rsidR="00745230" w:rsidRPr="00844E73">
        <w:rPr>
          <w:rFonts w:hint="eastAsia"/>
        </w:rPr>
        <w:t>至於行政指導所得</w:t>
      </w:r>
      <w:r w:rsidR="006553EE" w:rsidRPr="00844E73">
        <w:rPr>
          <w:rFonts w:hint="eastAsia"/>
        </w:rPr>
        <w:t>為</w:t>
      </w:r>
      <w:r w:rsidR="00745230" w:rsidRPr="00844E73">
        <w:rPr>
          <w:rFonts w:hint="eastAsia"/>
        </w:rPr>
        <w:t>之事項，依</w:t>
      </w:r>
      <w:r w:rsidR="00A854CF" w:rsidRPr="00844E73">
        <w:rPr>
          <w:rFonts w:hint="eastAsia"/>
        </w:rPr>
        <w:t>同法第4</w:t>
      </w:r>
      <w:r w:rsidR="0069666E" w:rsidRPr="00844E73">
        <w:rPr>
          <w:rFonts w:hint="eastAsia"/>
        </w:rPr>
        <w:t>條規定</w:t>
      </w:r>
      <w:r w:rsidRPr="00844E73">
        <w:rPr>
          <w:rFonts w:hint="eastAsia"/>
        </w:rPr>
        <w:t>：</w:t>
      </w:r>
      <w:r w:rsidR="00C46342" w:rsidRPr="00844E73">
        <w:rPr>
          <w:rFonts w:hint="eastAsia"/>
        </w:rPr>
        <w:t>「行政行為應受法律及一般法律原則之拘束。」</w:t>
      </w:r>
      <w:r w:rsidR="00A854CF" w:rsidRPr="00844E73">
        <w:rPr>
          <w:rFonts w:hint="eastAsia"/>
        </w:rPr>
        <w:t>行政指導</w:t>
      </w:r>
      <w:r w:rsidR="00745230" w:rsidRPr="00844E73">
        <w:rPr>
          <w:rFonts w:hint="eastAsia"/>
        </w:rPr>
        <w:t>既</w:t>
      </w:r>
      <w:r w:rsidR="0069666E" w:rsidRPr="00844E73">
        <w:rPr>
          <w:rFonts w:hint="eastAsia"/>
        </w:rPr>
        <w:t>屬</w:t>
      </w:r>
      <w:r w:rsidR="006553EE" w:rsidRPr="00844E73">
        <w:rPr>
          <w:rFonts w:hint="eastAsia"/>
        </w:rPr>
        <w:t>行政程序法第2條所列明</w:t>
      </w:r>
      <w:r w:rsidR="00E01D8B" w:rsidRPr="00844E73">
        <w:rPr>
          <w:rFonts w:hint="eastAsia"/>
        </w:rPr>
        <w:t>之</w:t>
      </w:r>
      <w:r w:rsidR="0069666E" w:rsidRPr="00844E73">
        <w:rPr>
          <w:rFonts w:hint="eastAsia"/>
        </w:rPr>
        <w:t>行政</w:t>
      </w:r>
      <w:r w:rsidR="00745230" w:rsidRPr="00844E73">
        <w:rPr>
          <w:rFonts w:hint="eastAsia"/>
        </w:rPr>
        <w:t>行為，自</w:t>
      </w:r>
      <w:r w:rsidR="00A854CF" w:rsidRPr="00844E73">
        <w:rPr>
          <w:rFonts w:hint="eastAsia"/>
        </w:rPr>
        <w:t>應同受</w:t>
      </w:r>
      <w:r w:rsidR="00E01D8B" w:rsidRPr="00844E73">
        <w:rPr>
          <w:rFonts w:hint="eastAsia"/>
        </w:rPr>
        <w:t>該條規範，</w:t>
      </w:r>
      <w:r w:rsidR="00745230" w:rsidRPr="00844E73">
        <w:rPr>
          <w:rFonts w:hint="eastAsia"/>
        </w:rPr>
        <w:t>相關作為不得有逾越法律及一般法律之情事，合先敘明</w:t>
      </w:r>
      <w:r w:rsidR="00A854CF" w:rsidRPr="00844E73">
        <w:rPr>
          <w:rFonts w:hint="eastAsia"/>
        </w:rPr>
        <w:t>。</w:t>
      </w:r>
    </w:p>
    <w:p w:rsidR="007D75CB" w:rsidRPr="00844E73" w:rsidRDefault="00382358" w:rsidP="00C542F6">
      <w:pPr>
        <w:pStyle w:val="3"/>
        <w:rPr>
          <w:rFonts w:hAnsi="標楷體"/>
          <w:szCs w:val="32"/>
        </w:rPr>
      </w:pPr>
      <w:r w:rsidRPr="00844E73">
        <w:rPr>
          <w:rFonts w:ascii="Times New Roman" w:hAnsi="標楷體" w:hint="eastAsia"/>
          <w:szCs w:val="32"/>
        </w:rPr>
        <w:t>查本案金管會透過投信投顧公會揭示之處理結構</w:t>
      </w:r>
      <w:r w:rsidR="008F2AE2" w:rsidRPr="00844E73">
        <w:rPr>
          <w:rFonts w:ascii="Times New Roman" w:hAnsi="標楷體" w:hint="eastAsia"/>
          <w:szCs w:val="32"/>
        </w:rPr>
        <w:t>債</w:t>
      </w:r>
      <w:r w:rsidRPr="00844E73">
        <w:rPr>
          <w:rFonts w:hAnsi="標楷體" w:hint="eastAsia"/>
          <w:szCs w:val="32"/>
        </w:rPr>
        <w:t>「三大原則」，內容包括：</w:t>
      </w:r>
      <w:r w:rsidRPr="00844E73">
        <w:rPr>
          <w:rFonts w:ascii="Times New Roman" w:hAnsi="標楷體"/>
          <w:szCs w:val="32"/>
        </w:rPr>
        <w:t>「符合現行法令規定」、「不可讓基金受益人受損」、「若有損失由投信股東自行吸收」</w:t>
      </w:r>
      <w:r w:rsidRPr="00844E73">
        <w:rPr>
          <w:rFonts w:ascii="Times New Roman" w:hAnsi="標楷體" w:hint="eastAsia"/>
          <w:szCs w:val="32"/>
        </w:rPr>
        <w:t>。其中原則二</w:t>
      </w:r>
      <w:r w:rsidRPr="00844E73">
        <w:rPr>
          <w:rFonts w:ascii="Times New Roman" w:hAnsi="標楷體"/>
          <w:szCs w:val="32"/>
        </w:rPr>
        <w:t>「不可讓基金受益人受損」</w:t>
      </w:r>
      <w:r w:rsidRPr="00844E73">
        <w:rPr>
          <w:rFonts w:ascii="Times New Roman" w:hAnsi="標楷體" w:hint="eastAsia"/>
          <w:szCs w:val="32"/>
        </w:rPr>
        <w:t>，</w:t>
      </w:r>
      <w:r w:rsidR="00FB5A40" w:rsidRPr="00844E73">
        <w:rPr>
          <w:rFonts w:ascii="Times New Roman" w:hAnsi="標楷體" w:hint="eastAsia"/>
          <w:szCs w:val="32"/>
        </w:rPr>
        <w:t>核</w:t>
      </w:r>
      <w:r w:rsidRPr="00844E73">
        <w:rPr>
          <w:rFonts w:ascii="Times New Roman" w:hAnsi="標楷體" w:hint="eastAsia"/>
          <w:szCs w:val="32"/>
        </w:rPr>
        <w:t>與</w:t>
      </w:r>
      <w:r w:rsidR="004A7AEA" w:rsidRPr="00844E73">
        <w:rPr>
          <w:rFonts w:ascii="Times New Roman" w:hAnsi="標楷體" w:hint="eastAsia"/>
          <w:szCs w:val="32"/>
        </w:rPr>
        <w:t>投資人應自行承擔投資風險之常理相違。而</w:t>
      </w:r>
      <w:r w:rsidR="00FB5A40" w:rsidRPr="00844E73">
        <w:rPr>
          <w:rFonts w:ascii="Times New Roman" w:hAnsi="標楷體" w:hint="eastAsia"/>
          <w:szCs w:val="32"/>
        </w:rPr>
        <w:t>原則三</w:t>
      </w:r>
      <w:r w:rsidR="00FB5A40" w:rsidRPr="00844E73">
        <w:rPr>
          <w:rFonts w:ascii="Times New Roman" w:hAnsi="標楷體"/>
          <w:szCs w:val="32"/>
        </w:rPr>
        <w:t>「若有損失由投信股東自行吸收」</w:t>
      </w:r>
      <w:r w:rsidR="00FB5A40" w:rsidRPr="00844E73">
        <w:rPr>
          <w:rFonts w:ascii="Times New Roman" w:hAnsi="標楷體" w:hint="eastAsia"/>
          <w:szCs w:val="32"/>
        </w:rPr>
        <w:t>，亦與</w:t>
      </w:r>
      <w:r w:rsidR="00CA62C3" w:rsidRPr="00844E73">
        <w:rPr>
          <w:rFonts w:ascii="Times New Roman" w:hAnsi="標楷體" w:hint="eastAsia"/>
          <w:szCs w:val="32"/>
        </w:rPr>
        <w:t>當時</w:t>
      </w:r>
      <w:r w:rsidR="00FB5A40" w:rsidRPr="00844E73">
        <w:rPr>
          <w:rFonts w:ascii="Times New Roman" w:hAnsi="標楷體" w:hint="eastAsia"/>
          <w:szCs w:val="32"/>
        </w:rPr>
        <w:t>適用之公司法第</w:t>
      </w:r>
      <w:r w:rsidR="00FB5A40" w:rsidRPr="00844E73">
        <w:rPr>
          <w:rFonts w:ascii="Times New Roman" w:hAnsi="標楷體" w:hint="eastAsia"/>
          <w:szCs w:val="32"/>
        </w:rPr>
        <w:t>154</w:t>
      </w:r>
      <w:r w:rsidR="00FB5A40" w:rsidRPr="00844E73">
        <w:rPr>
          <w:rFonts w:ascii="Times New Roman" w:hAnsi="標楷體" w:hint="eastAsia"/>
          <w:szCs w:val="32"/>
        </w:rPr>
        <w:t>條</w:t>
      </w:r>
      <w:r w:rsidR="00B05DB0" w:rsidRPr="00CC49A2">
        <w:rPr>
          <w:rStyle w:val="aff1"/>
          <w:rFonts w:hAnsi="標楷體"/>
          <w:szCs w:val="32"/>
        </w:rPr>
        <w:footnoteReference w:id="12"/>
      </w:r>
      <w:r w:rsidR="00FB5A40" w:rsidRPr="00844E73">
        <w:rPr>
          <w:rFonts w:hAnsi="標楷體" w:hint="eastAsia"/>
          <w:szCs w:val="32"/>
        </w:rPr>
        <w:t>「</w:t>
      </w:r>
      <w:r w:rsidR="00FB5A40" w:rsidRPr="00844E73">
        <w:t>股東對於公司之責任，以繳清其股份之金額為限。</w:t>
      </w:r>
      <w:r w:rsidR="00FB5A40" w:rsidRPr="00844E73">
        <w:rPr>
          <w:rFonts w:hAnsi="標楷體" w:hint="eastAsia"/>
          <w:szCs w:val="32"/>
        </w:rPr>
        <w:t>」</w:t>
      </w:r>
      <w:r w:rsidR="00A0603F" w:rsidRPr="00844E73">
        <w:rPr>
          <w:rFonts w:hAnsi="標楷體" w:hint="eastAsia"/>
          <w:szCs w:val="32"/>
        </w:rPr>
        <w:t>之</w:t>
      </w:r>
      <w:r w:rsidR="005D38DE" w:rsidRPr="00844E73">
        <w:rPr>
          <w:rFonts w:hAnsi="標楷體" w:hint="eastAsia"/>
          <w:szCs w:val="32"/>
        </w:rPr>
        <w:t>規定</w:t>
      </w:r>
      <w:r w:rsidR="008B58BD" w:rsidRPr="00844E73">
        <w:rPr>
          <w:rFonts w:hAnsi="標楷體" w:hint="eastAsia"/>
          <w:szCs w:val="32"/>
        </w:rPr>
        <w:t>相悖離</w:t>
      </w:r>
      <w:r w:rsidR="00A0603F" w:rsidRPr="00844E73">
        <w:rPr>
          <w:rFonts w:hAnsi="標楷體" w:hint="eastAsia"/>
          <w:szCs w:val="32"/>
        </w:rPr>
        <w:t>；</w:t>
      </w:r>
      <w:r w:rsidR="008B58BD" w:rsidRPr="00844E73">
        <w:rPr>
          <w:rFonts w:hAnsi="標楷體" w:hint="eastAsia"/>
          <w:szCs w:val="32"/>
        </w:rPr>
        <w:t>若</w:t>
      </w:r>
      <w:r w:rsidR="00CA62C3" w:rsidRPr="00844E73">
        <w:rPr>
          <w:rFonts w:hAnsi="標楷體" w:hint="eastAsia"/>
          <w:szCs w:val="32"/>
        </w:rPr>
        <w:t>驟然為</w:t>
      </w:r>
      <w:r w:rsidR="005D38DE" w:rsidRPr="00844E73">
        <w:rPr>
          <w:rFonts w:hAnsi="標楷體" w:hint="eastAsia"/>
          <w:szCs w:val="32"/>
        </w:rPr>
        <w:t>之</w:t>
      </w:r>
      <w:r w:rsidR="008B58BD" w:rsidRPr="00844E73">
        <w:rPr>
          <w:rFonts w:hAnsi="標楷體" w:hint="eastAsia"/>
          <w:szCs w:val="32"/>
        </w:rPr>
        <w:t>，必然不「符合現行法令規定」</w:t>
      </w:r>
      <w:r w:rsidR="00FF291F" w:rsidRPr="00844E73">
        <w:rPr>
          <w:rFonts w:hAnsi="標楷體" w:hint="eastAsia"/>
          <w:szCs w:val="32"/>
        </w:rPr>
        <w:t>，而牴觸原則一，且</w:t>
      </w:r>
      <w:r w:rsidR="00FB078E" w:rsidRPr="00844E73">
        <w:rPr>
          <w:rFonts w:hAnsi="標楷體" w:hint="eastAsia"/>
          <w:szCs w:val="32"/>
        </w:rPr>
        <w:t>對公司小股東而言，亦不無背信之疑慮。</w:t>
      </w:r>
      <w:r w:rsidR="004A7AEA" w:rsidRPr="00844E73">
        <w:rPr>
          <w:rFonts w:hAnsi="標楷體" w:hint="eastAsia"/>
          <w:szCs w:val="32"/>
        </w:rPr>
        <w:t>可知系爭「三大原則」</w:t>
      </w:r>
      <w:r w:rsidR="00A0603F" w:rsidRPr="00844E73">
        <w:rPr>
          <w:rFonts w:hAnsi="標楷體" w:hint="eastAsia"/>
          <w:szCs w:val="32"/>
        </w:rPr>
        <w:t>之</w:t>
      </w:r>
      <w:r w:rsidR="0002246C" w:rsidRPr="00844E73">
        <w:rPr>
          <w:rFonts w:hAnsi="標楷體" w:hint="eastAsia"/>
          <w:szCs w:val="32"/>
        </w:rPr>
        <w:t>內容</w:t>
      </w:r>
      <w:r w:rsidR="004A7AEA" w:rsidRPr="00844E73">
        <w:rPr>
          <w:rFonts w:hAnsi="標楷體" w:hint="eastAsia"/>
          <w:szCs w:val="32"/>
        </w:rPr>
        <w:t>，</w:t>
      </w:r>
      <w:r w:rsidR="0002246C" w:rsidRPr="00844E73">
        <w:rPr>
          <w:rFonts w:hAnsi="標楷體" w:hint="eastAsia"/>
          <w:szCs w:val="32"/>
        </w:rPr>
        <w:t>實係</w:t>
      </w:r>
      <w:r w:rsidR="00643984" w:rsidRPr="00844E73">
        <w:rPr>
          <w:rFonts w:hAnsi="標楷體" w:hint="eastAsia"/>
          <w:szCs w:val="32"/>
        </w:rPr>
        <w:t>使</w:t>
      </w:r>
      <w:r w:rsidR="0002246C" w:rsidRPr="00844E73">
        <w:rPr>
          <w:rFonts w:hAnsi="標楷體" w:hint="eastAsia"/>
          <w:szCs w:val="32"/>
        </w:rPr>
        <w:t>投信股東承擔法</w:t>
      </w:r>
      <w:r w:rsidR="00916B28" w:rsidRPr="00844E73">
        <w:rPr>
          <w:rFonts w:hAnsi="標楷體" w:hint="eastAsia"/>
          <w:szCs w:val="32"/>
        </w:rPr>
        <w:t>規上</w:t>
      </w:r>
      <w:r w:rsidR="0002246C" w:rsidRPr="00844E73">
        <w:rPr>
          <w:rFonts w:hAnsi="標楷體" w:hint="eastAsia"/>
          <w:szCs w:val="32"/>
        </w:rPr>
        <w:t>所無</w:t>
      </w:r>
      <w:r w:rsidR="00916B28" w:rsidRPr="00844E73">
        <w:rPr>
          <w:rFonts w:hAnsi="標楷體" w:hint="eastAsia"/>
          <w:szCs w:val="32"/>
        </w:rPr>
        <w:t>之</w:t>
      </w:r>
      <w:r w:rsidR="0002246C" w:rsidRPr="00844E73">
        <w:rPr>
          <w:rFonts w:hAnsi="標楷體" w:hint="eastAsia"/>
          <w:szCs w:val="32"/>
        </w:rPr>
        <w:t>義務</w:t>
      </w:r>
      <w:r w:rsidR="00584F9C" w:rsidRPr="00844E73">
        <w:rPr>
          <w:rFonts w:hAnsi="標楷體" w:hint="eastAsia"/>
          <w:szCs w:val="32"/>
        </w:rPr>
        <w:t>，</w:t>
      </w:r>
      <w:r w:rsidR="002118D3" w:rsidRPr="00844E73">
        <w:rPr>
          <w:rFonts w:hAnsi="標楷體" w:hint="eastAsia"/>
          <w:szCs w:val="32"/>
        </w:rPr>
        <w:t>主管機關</w:t>
      </w:r>
      <w:r w:rsidR="000359BF" w:rsidRPr="00844E73">
        <w:rPr>
          <w:rFonts w:hAnsi="標楷體" w:hint="eastAsia"/>
          <w:szCs w:val="32"/>
        </w:rPr>
        <w:t>至多僅能以行政指導方式，道德勸說投信業者配合辦理；如貿然</w:t>
      </w:r>
      <w:r w:rsidR="00584F9C" w:rsidRPr="00844E73">
        <w:rPr>
          <w:rFonts w:hAnsi="標楷體" w:hint="eastAsia"/>
          <w:szCs w:val="32"/>
        </w:rPr>
        <w:t>以強制方式</w:t>
      </w:r>
      <w:r w:rsidR="000359BF" w:rsidRPr="00844E73">
        <w:rPr>
          <w:rFonts w:ascii="Times New Roman" w:hAnsi="標楷體" w:hint="eastAsia"/>
          <w:szCs w:val="32"/>
        </w:rPr>
        <w:t>為之</w:t>
      </w:r>
      <w:r w:rsidR="00DB1C05" w:rsidRPr="00844E73">
        <w:rPr>
          <w:rFonts w:hAnsi="標楷體" w:hint="eastAsia"/>
          <w:szCs w:val="32"/>
        </w:rPr>
        <w:t>，</w:t>
      </w:r>
      <w:r w:rsidR="002A6442" w:rsidRPr="00844E73">
        <w:rPr>
          <w:rFonts w:hAnsi="標楷體" w:hint="eastAsia"/>
          <w:szCs w:val="32"/>
        </w:rPr>
        <w:t>即屬無視前揭</w:t>
      </w:r>
      <w:r w:rsidR="002A6442" w:rsidRPr="00844E73">
        <w:rPr>
          <w:rFonts w:ascii="Times New Roman" w:hAnsi="標楷體" w:hint="eastAsia"/>
          <w:szCs w:val="32"/>
        </w:rPr>
        <w:t>公司法第</w:t>
      </w:r>
      <w:r w:rsidR="002A6442" w:rsidRPr="00844E73">
        <w:rPr>
          <w:rFonts w:ascii="Times New Roman" w:hAnsi="標楷體" w:hint="eastAsia"/>
          <w:szCs w:val="32"/>
        </w:rPr>
        <w:t>154</w:t>
      </w:r>
      <w:r w:rsidR="002A6442" w:rsidRPr="00844E73">
        <w:rPr>
          <w:rFonts w:ascii="Times New Roman" w:hAnsi="標楷體" w:hint="eastAsia"/>
          <w:szCs w:val="32"/>
        </w:rPr>
        <w:t>條規定，以公權力</w:t>
      </w:r>
      <w:r w:rsidR="00584F9C" w:rsidRPr="00844E73">
        <w:rPr>
          <w:rFonts w:ascii="Times New Roman" w:hAnsi="標楷體" w:hint="eastAsia"/>
          <w:szCs w:val="32"/>
        </w:rPr>
        <w:t>強使</w:t>
      </w:r>
      <w:r w:rsidR="002A6442" w:rsidRPr="00844E73">
        <w:rPr>
          <w:rFonts w:ascii="Times New Roman" w:hAnsi="標楷體" w:hint="eastAsia"/>
          <w:szCs w:val="32"/>
        </w:rPr>
        <w:t>民眾行</w:t>
      </w:r>
      <w:r w:rsidR="00A1089D" w:rsidRPr="00844E73">
        <w:rPr>
          <w:rFonts w:ascii="Times New Roman" w:hAnsi="標楷體" w:hint="eastAsia"/>
          <w:szCs w:val="32"/>
        </w:rPr>
        <w:t>法律上</w:t>
      </w:r>
      <w:r w:rsidR="002A6442" w:rsidRPr="00844E73">
        <w:rPr>
          <w:rFonts w:ascii="Times New Roman" w:hAnsi="標楷體" w:hint="eastAsia"/>
          <w:szCs w:val="32"/>
        </w:rPr>
        <w:t>無義</w:t>
      </w:r>
      <w:r w:rsidR="000359BF" w:rsidRPr="00844E73">
        <w:rPr>
          <w:rFonts w:ascii="Times New Roman" w:hAnsi="標楷體" w:hint="eastAsia"/>
          <w:szCs w:val="32"/>
        </w:rPr>
        <w:t>務之事，</w:t>
      </w:r>
      <w:r w:rsidR="00584F9C" w:rsidRPr="00844E73">
        <w:rPr>
          <w:rFonts w:ascii="Times New Roman" w:hAnsi="標楷體" w:hint="eastAsia"/>
          <w:szCs w:val="32"/>
        </w:rPr>
        <w:t>而</w:t>
      </w:r>
      <w:r w:rsidR="00584F9C" w:rsidRPr="00844E73">
        <w:rPr>
          <w:rFonts w:hAnsi="標楷體" w:hint="eastAsia"/>
          <w:szCs w:val="32"/>
        </w:rPr>
        <w:t>與上開</w:t>
      </w:r>
      <w:r w:rsidR="002118D3" w:rsidRPr="00844E73">
        <w:rPr>
          <w:rFonts w:hAnsi="標楷體" w:hint="eastAsia"/>
          <w:szCs w:val="32"/>
        </w:rPr>
        <w:t>行政程序法第4條</w:t>
      </w:r>
      <w:r w:rsidR="002A6442" w:rsidRPr="00844E73">
        <w:rPr>
          <w:rFonts w:hAnsi="標楷體" w:hint="eastAsia"/>
          <w:szCs w:val="32"/>
        </w:rPr>
        <w:t>規定難謂相合</w:t>
      </w:r>
      <w:r w:rsidR="00643984" w:rsidRPr="00844E73">
        <w:rPr>
          <w:rFonts w:hAnsi="標楷體" w:hint="eastAsia"/>
          <w:szCs w:val="32"/>
        </w:rPr>
        <w:t>。</w:t>
      </w:r>
    </w:p>
    <w:p w:rsidR="002118D3" w:rsidRPr="00844E73" w:rsidRDefault="007D75CB" w:rsidP="00C542F6">
      <w:pPr>
        <w:pStyle w:val="3"/>
        <w:rPr>
          <w:rFonts w:hAnsi="標楷體"/>
          <w:szCs w:val="32"/>
        </w:rPr>
      </w:pPr>
      <w:r w:rsidRPr="00844E73">
        <w:rPr>
          <w:rFonts w:hAnsi="標楷體" w:hint="eastAsia"/>
          <w:szCs w:val="32"/>
        </w:rPr>
        <w:lastRenderedPageBreak/>
        <w:t>惟查</w:t>
      </w:r>
      <w:r w:rsidR="00584F9C" w:rsidRPr="00844E73">
        <w:rPr>
          <w:rFonts w:hAnsi="標楷體" w:hint="eastAsia"/>
          <w:szCs w:val="32"/>
        </w:rPr>
        <w:t>本案</w:t>
      </w:r>
      <w:r w:rsidRPr="00844E73">
        <w:rPr>
          <w:rFonts w:hAnsi="標楷體" w:hint="eastAsia"/>
          <w:szCs w:val="32"/>
        </w:rPr>
        <w:t>金管會一方面透過投信投顧公會發布三大原則，</w:t>
      </w:r>
      <w:r w:rsidR="007603DF" w:rsidRPr="00844E73">
        <w:rPr>
          <w:rFonts w:hAnsi="標楷體" w:hint="eastAsia"/>
          <w:szCs w:val="32"/>
        </w:rPr>
        <w:t>並美其名為「業者自律」，另方面</w:t>
      </w:r>
      <w:r w:rsidR="002118D3" w:rsidRPr="00844E73">
        <w:rPr>
          <w:rFonts w:hAnsi="標楷體" w:hint="eastAsia"/>
          <w:szCs w:val="32"/>
        </w:rPr>
        <w:t>卻</w:t>
      </w:r>
      <w:r w:rsidR="007603DF" w:rsidRPr="00844E73">
        <w:rPr>
          <w:rFonts w:hAnsi="標楷體" w:hint="eastAsia"/>
          <w:szCs w:val="32"/>
        </w:rPr>
        <w:t>又</w:t>
      </w:r>
      <w:r w:rsidR="002118D3" w:rsidRPr="00844E73">
        <w:rPr>
          <w:rFonts w:hAnsi="標楷體" w:hint="eastAsia"/>
          <w:szCs w:val="32"/>
        </w:rPr>
        <w:t>將之</w:t>
      </w:r>
      <w:r w:rsidR="002118D3" w:rsidRPr="00844E73">
        <w:rPr>
          <w:rFonts w:hAnsi="標楷體"/>
          <w:szCs w:val="32"/>
        </w:rPr>
        <w:t>與發行新基金或變更基金規模之准駁相結合，</w:t>
      </w:r>
      <w:r w:rsidR="0036702F" w:rsidRPr="00844E73">
        <w:rPr>
          <w:rFonts w:hAnsi="標楷體" w:hint="eastAsia"/>
          <w:szCs w:val="32"/>
        </w:rPr>
        <w:t>致</w:t>
      </w:r>
      <w:r w:rsidR="002118D3" w:rsidRPr="00844E73">
        <w:rPr>
          <w:rFonts w:hAnsi="標楷體" w:hint="eastAsia"/>
          <w:szCs w:val="32"/>
        </w:rPr>
        <w:t>業者不得不</w:t>
      </w:r>
      <w:r w:rsidR="00A1089D" w:rsidRPr="00844E73">
        <w:rPr>
          <w:rFonts w:hAnsi="標楷體" w:hint="eastAsia"/>
          <w:szCs w:val="32"/>
        </w:rPr>
        <w:t>遵照</w:t>
      </w:r>
      <w:r w:rsidR="002118D3" w:rsidRPr="00844E73">
        <w:rPr>
          <w:rFonts w:hAnsi="標楷體" w:hint="eastAsia"/>
          <w:szCs w:val="32"/>
        </w:rPr>
        <w:t>辦理</w:t>
      </w:r>
      <w:r w:rsidR="0036702F" w:rsidRPr="00844E73">
        <w:rPr>
          <w:rFonts w:hAnsi="標楷體" w:hint="eastAsia"/>
          <w:szCs w:val="32"/>
        </w:rPr>
        <w:t>，</w:t>
      </w:r>
      <w:r w:rsidR="0067637F" w:rsidRPr="00844E73">
        <w:rPr>
          <w:rFonts w:hAnsi="標楷體" w:hint="eastAsia"/>
          <w:szCs w:val="32"/>
        </w:rPr>
        <w:t>其之</w:t>
      </w:r>
      <w:r w:rsidR="00584F9C" w:rsidRPr="00844E73">
        <w:rPr>
          <w:rFonts w:hAnsi="標楷體" w:hint="eastAsia"/>
          <w:szCs w:val="32"/>
        </w:rPr>
        <w:t>作為，顯已牴觸</w:t>
      </w:r>
      <w:r w:rsidR="0036702F" w:rsidRPr="00844E73">
        <w:rPr>
          <w:rFonts w:hAnsi="標楷體" w:hint="eastAsia"/>
          <w:szCs w:val="32"/>
        </w:rPr>
        <w:t>前揭行政程序法第165條</w:t>
      </w:r>
      <w:r w:rsidR="0067637F" w:rsidRPr="00844E73">
        <w:rPr>
          <w:rFonts w:hAnsi="標楷體" w:hint="eastAsia"/>
          <w:szCs w:val="32"/>
        </w:rPr>
        <w:t>行政指導「不具法律上強制力」</w:t>
      </w:r>
      <w:r w:rsidR="0036702F" w:rsidRPr="00844E73">
        <w:rPr>
          <w:rFonts w:hAnsi="標楷體" w:hint="eastAsia"/>
          <w:szCs w:val="32"/>
        </w:rPr>
        <w:t>，及</w:t>
      </w:r>
      <w:r w:rsidR="0067637F" w:rsidRPr="00844E73">
        <w:rPr>
          <w:rFonts w:hAnsi="標楷體" w:hint="eastAsia"/>
          <w:szCs w:val="32"/>
        </w:rPr>
        <w:t>第166條</w:t>
      </w:r>
      <w:r w:rsidR="0036702F" w:rsidRPr="00844E73">
        <w:rPr>
          <w:rFonts w:hAnsi="標楷體" w:hint="eastAsia"/>
          <w:szCs w:val="32"/>
        </w:rPr>
        <w:t>「相對人明確拒絕</w:t>
      </w:r>
      <w:r w:rsidR="00584F9C" w:rsidRPr="00844E73">
        <w:rPr>
          <w:rFonts w:hAnsi="標楷體" w:hint="eastAsia"/>
          <w:szCs w:val="32"/>
        </w:rPr>
        <w:t>指導時，行政機關應即停止，並不得據此對相對人為不利之處置」等規範</w:t>
      </w:r>
      <w:r w:rsidR="0067637F" w:rsidRPr="00844E73">
        <w:rPr>
          <w:rFonts w:hAnsi="標楷體" w:hint="eastAsia"/>
          <w:szCs w:val="32"/>
        </w:rPr>
        <w:t>意</w:t>
      </w:r>
      <w:r w:rsidR="00584F9C" w:rsidRPr="00844E73">
        <w:rPr>
          <w:rFonts w:hAnsi="標楷體" w:hint="eastAsia"/>
          <w:szCs w:val="32"/>
        </w:rPr>
        <w:t>旨</w:t>
      </w:r>
      <w:r w:rsidR="002A6442" w:rsidRPr="00844E73">
        <w:rPr>
          <w:rFonts w:hAnsi="標楷體" w:hint="eastAsia"/>
          <w:szCs w:val="32"/>
        </w:rPr>
        <w:t>，</w:t>
      </w:r>
      <w:r w:rsidR="00A1089D" w:rsidRPr="00844E73">
        <w:rPr>
          <w:rFonts w:hAnsi="標楷體" w:hint="eastAsia"/>
          <w:szCs w:val="32"/>
        </w:rPr>
        <w:t>且因係強使</w:t>
      </w:r>
      <w:r w:rsidR="00C3755E" w:rsidRPr="00844E73">
        <w:rPr>
          <w:rFonts w:ascii="Times New Roman" w:hAnsi="標楷體" w:hint="eastAsia"/>
          <w:szCs w:val="32"/>
        </w:rPr>
        <w:t>民眾為牴觸</w:t>
      </w:r>
      <w:r w:rsidR="00A1089D" w:rsidRPr="00844E73">
        <w:rPr>
          <w:rFonts w:ascii="Times New Roman" w:hAnsi="標楷體" w:hint="eastAsia"/>
          <w:szCs w:val="32"/>
        </w:rPr>
        <w:t>公司法第</w:t>
      </w:r>
      <w:r w:rsidR="00A1089D" w:rsidRPr="00844E73">
        <w:rPr>
          <w:rFonts w:ascii="Times New Roman" w:hAnsi="標楷體" w:hint="eastAsia"/>
          <w:szCs w:val="32"/>
        </w:rPr>
        <w:t>154</w:t>
      </w:r>
      <w:r w:rsidR="00A1089D" w:rsidRPr="00844E73">
        <w:rPr>
          <w:rFonts w:ascii="Times New Roman" w:hAnsi="標楷體" w:hint="eastAsia"/>
          <w:szCs w:val="32"/>
        </w:rPr>
        <w:t>條</w:t>
      </w:r>
      <w:r w:rsidR="00C3755E" w:rsidRPr="00844E73">
        <w:rPr>
          <w:rFonts w:ascii="Times New Roman" w:hAnsi="標楷體" w:hint="eastAsia"/>
          <w:szCs w:val="32"/>
        </w:rPr>
        <w:t>規定之事，</w:t>
      </w:r>
      <w:r w:rsidR="0067637F" w:rsidRPr="00844E73">
        <w:rPr>
          <w:rFonts w:ascii="Times New Roman" w:hAnsi="標楷體" w:hint="eastAsia"/>
          <w:szCs w:val="32"/>
        </w:rPr>
        <w:t>核</w:t>
      </w:r>
      <w:r w:rsidR="00C3755E" w:rsidRPr="00844E73">
        <w:rPr>
          <w:rFonts w:ascii="Times New Roman" w:hAnsi="標楷體" w:hint="eastAsia"/>
          <w:szCs w:val="32"/>
        </w:rPr>
        <w:t>亦違反行政程序法第</w:t>
      </w:r>
      <w:r w:rsidR="00C3755E" w:rsidRPr="00844E73">
        <w:rPr>
          <w:rFonts w:ascii="Times New Roman" w:hAnsi="標楷體" w:hint="eastAsia"/>
          <w:szCs w:val="32"/>
        </w:rPr>
        <w:t>4</w:t>
      </w:r>
      <w:r w:rsidR="00C3755E" w:rsidRPr="00844E73">
        <w:rPr>
          <w:rFonts w:ascii="Times New Roman" w:hAnsi="標楷體" w:hint="eastAsia"/>
          <w:szCs w:val="32"/>
        </w:rPr>
        <w:t>條規定</w:t>
      </w:r>
      <w:r w:rsidR="002118D3" w:rsidRPr="00844E73">
        <w:rPr>
          <w:rFonts w:hAnsi="標楷體" w:hint="eastAsia"/>
          <w:szCs w:val="32"/>
        </w:rPr>
        <w:t>。</w:t>
      </w:r>
    </w:p>
    <w:p w:rsidR="00BF7BEB" w:rsidRPr="00844E73" w:rsidRDefault="00EC40EC" w:rsidP="00584F9C">
      <w:pPr>
        <w:pStyle w:val="3"/>
        <w:rPr>
          <w:rFonts w:ascii="Times New Roman" w:hAnsi="標楷體"/>
        </w:rPr>
      </w:pPr>
      <w:r w:rsidRPr="00844E73">
        <w:rPr>
          <w:rFonts w:hAnsi="標楷體" w:hint="eastAsia"/>
          <w:szCs w:val="32"/>
        </w:rPr>
        <w:t>就此，金管會</w:t>
      </w:r>
      <w:r w:rsidR="002501A7" w:rsidRPr="00844E73">
        <w:rPr>
          <w:rFonts w:hAnsi="標楷體" w:hint="eastAsia"/>
          <w:szCs w:val="32"/>
        </w:rPr>
        <w:t>函復</w:t>
      </w:r>
      <w:r w:rsidR="002501A7" w:rsidRPr="00844E73">
        <w:rPr>
          <w:rStyle w:val="aff1"/>
          <w:rFonts w:hAnsi="標楷體"/>
          <w:szCs w:val="32"/>
        </w:rPr>
        <w:footnoteReference w:id="13"/>
      </w:r>
      <w:r w:rsidR="002501A7" w:rsidRPr="00844E73">
        <w:rPr>
          <w:rFonts w:hAnsi="標楷體" w:hint="eastAsia"/>
          <w:szCs w:val="32"/>
        </w:rPr>
        <w:t>說明略以：該會</w:t>
      </w:r>
      <w:r w:rsidR="006A5EF7" w:rsidRPr="00844E73">
        <w:rPr>
          <w:rFonts w:hAnsi="標楷體" w:hint="eastAsia"/>
          <w:szCs w:val="32"/>
        </w:rPr>
        <w:t>係基於投信業者：1.對於債券型基金投資決策錯誤，購買過多低流動性之</w:t>
      </w:r>
      <w:r w:rsidR="004B5391" w:rsidRPr="00844E73">
        <w:rPr>
          <w:rFonts w:hAnsi="標楷體" w:hint="eastAsia"/>
          <w:szCs w:val="32"/>
        </w:rPr>
        <w:t>結構債</w:t>
      </w:r>
      <w:r w:rsidR="006A5EF7" w:rsidRPr="00844E73">
        <w:rPr>
          <w:rFonts w:hAnsi="標楷體" w:hint="eastAsia"/>
          <w:szCs w:val="32"/>
        </w:rPr>
        <w:t>，卻又允許投資人可於申請贖回之隔天取回價款，形成資產流動性低又給客戶流動性高之方便；2.債券型基金進行分券作價操作模式，操縱基金淨值「只漲不跌」，使投資人誤認債券型基金具保本性質；3.投信公司經理之債券型基金為追求短期績效及規模成長，亦不斷將資金投入</w:t>
      </w:r>
      <w:r w:rsidR="004B5391" w:rsidRPr="00844E73">
        <w:rPr>
          <w:rFonts w:hAnsi="標楷體" w:hint="eastAsia"/>
          <w:szCs w:val="32"/>
        </w:rPr>
        <w:t>結構債</w:t>
      </w:r>
      <w:r w:rsidR="0067637F" w:rsidRPr="00844E73">
        <w:rPr>
          <w:rFonts w:hAnsi="標楷體" w:hint="eastAsia"/>
          <w:szCs w:val="32"/>
        </w:rPr>
        <w:t>，淪入重視短期報酬、漠視風險之惡性循環等節，因而認定</w:t>
      </w:r>
      <w:r w:rsidR="006A5EF7" w:rsidRPr="00844E73">
        <w:rPr>
          <w:rFonts w:hAnsi="標楷體" w:hint="eastAsia"/>
          <w:szCs w:val="32"/>
        </w:rPr>
        <w:t>基金經理人違背其專業、投信公司缺乏市場價格風險及</w:t>
      </w:r>
      <w:r w:rsidR="006A5EF7" w:rsidRPr="00844E73">
        <w:rPr>
          <w:rFonts w:hint="eastAsia"/>
        </w:rPr>
        <w:t>流</w:t>
      </w:r>
      <w:r w:rsidR="00DC5528" w:rsidRPr="00844E73">
        <w:rPr>
          <w:rFonts w:hint="eastAsia"/>
        </w:rPr>
        <w:t>動性風險之危機管理意識，核有違善良管理人之義務，影響受益人權益，</w:t>
      </w:r>
      <w:r w:rsidR="00920216" w:rsidRPr="00844E73">
        <w:rPr>
          <w:rFonts w:hint="eastAsia"/>
        </w:rPr>
        <w:t>故依證券投資顧問法第7條</w:t>
      </w:r>
      <w:r w:rsidR="00DC5528" w:rsidRPr="00844E73">
        <w:rPr>
          <w:rStyle w:val="aff1"/>
        </w:rPr>
        <w:footnoteReference w:id="14"/>
      </w:r>
      <w:r w:rsidR="00920216" w:rsidRPr="00844E73">
        <w:rPr>
          <w:rFonts w:hint="eastAsia"/>
        </w:rPr>
        <w:t>規定，</w:t>
      </w:r>
      <w:r w:rsidR="006A5EF7" w:rsidRPr="00844E73">
        <w:rPr>
          <w:rFonts w:hint="eastAsia"/>
        </w:rPr>
        <w:t>由投信公司及其股東負擔基金受益人因而所受之損害，經核於法有據</w:t>
      </w:r>
      <w:r w:rsidR="00920216" w:rsidRPr="00844E73">
        <w:rPr>
          <w:rFonts w:hAnsi="標楷體" w:hint="eastAsia"/>
        </w:rPr>
        <w:t>等語</w:t>
      </w:r>
      <w:r w:rsidR="006A5EF7" w:rsidRPr="00844E73">
        <w:rPr>
          <w:rFonts w:hint="eastAsia"/>
        </w:rPr>
        <w:t>。</w:t>
      </w:r>
      <w:r w:rsidR="00920216" w:rsidRPr="00844E73">
        <w:rPr>
          <w:rFonts w:hint="eastAsia"/>
        </w:rPr>
        <w:t>惟查</w:t>
      </w:r>
      <w:r w:rsidR="00DB5145" w:rsidRPr="00844E73">
        <w:rPr>
          <w:rFonts w:hint="eastAsia"/>
        </w:rPr>
        <w:t>基金受益人之投資</w:t>
      </w:r>
      <w:r w:rsidR="00DB5145" w:rsidRPr="00844E73">
        <w:rPr>
          <w:rFonts w:hAnsi="標楷體" w:hint="eastAsia"/>
        </w:rPr>
        <w:t>「</w:t>
      </w:r>
      <w:r w:rsidR="00DB5145" w:rsidRPr="00844E73">
        <w:rPr>
          <w:rFonts w:hint="eastAsia"/>
        </w:rPr>
        <w:t>損失</w:t>
      </w:r>
      <w:r w:rsidR="00DB5145" w:rsidRPr="00844E73">
        <w:rPr>
          <w:rFonts w:hAnsi="標楷體" w:hint="eastAsia"/>
        </w:rPr>
        <w:t>」</w:t>
      </w:r>
      <w:r w:rsidR="00DB5145" w:rsidRPr="00844E73">
        <w:rPr>
          <w:rFonts w:hint="eastAsia"/>
        </w:rPr>
        <w:t>，與證券投資</w:t>
      </w:r>
      <w:r w:rsidR="00DB5145" w:rsidRPr="00844E73">
        <w:rPr>
          <w:rFonts w:hint="eastAsia"/>
        </w:rPr>
        <w:lastRenderedPageBreak/>
        <w:t>顧問法第7條所定之</w:t>
      </w:r>
      <w:r w:rsidR="00DB5145" w:rsidRPr="00844E73">
        <w:rPr>
          <w:rFonts w:hAnsi="標楷體" w:hint="eastAsia"/>
        </w:rPr>
        <w:t>「損害」</w:t>
      </w:r>
      <w:r w:rsidR="00DB5145" w:rsidRPr="00844E73">
        <w:rPr>
          <w:rFonts w:hint="eastAsia"/>
        </w:rPr>
        <w:t>賠償責任，二者分屬不同概念。</w:t>
      </w:r>
      <w:r w:rsidR="00920216" w:rsidRPr="00844E73">
        <w:rPr>
          <w:rFonts w:ascii="Times New Roman" w:hAnsi="標楷體"/>
        </w:rPr>
        <w:t>投信</w:t>
      </w:r>
      <w:r w:rsidR="00B16599" w:rsidRPr="00844E73">
        <w:rPr>
          <w:rFonts w:ascii="Times New Roman" w:hAnsi="標楷體"/>
        </w:rPr>
        <w:t>是否善盡專業經營管理責任，及應否由投信股東承受投資人之損失</w:t>
      </w:r>
      <w:r w:rsidR="0067637F" w:rsidRPr="00844E73">
        <w:rPr>
          <w:rFonts w:ascii="Times New Roman" w:hAnsi="標楷體" w:hint="eastAsia"/>
        </w:rPr>
        <w:t>、暨其過失程度及應承擔比例如何</w:t>
      </w:r>
      <w:r w:rsidR="00B16599" w:rsidRPr="00844E73">
        <w:rPr>
          <w:rFonts w:ascii="Times New Roman" w:hAnsi="標楷體"/>
        </w:rPr>
        <w:t>，</w:t>
      </w:r>
      <w:r w:rsidR="00A76439" w:rsidRPr="00844E73">
        <w:rPr>
          <w:rFonts w:ascii="Times New Roman" w:hAnsi="標楷體" w:hint="eastAsia"/>
        </w:rPr>
        <w:t>此乃</w:t>
      </w:r>
      <w:r w:rsidR="00920216" w:rsidRPr="00844E73">
        <w:rPr>
          <w:rFonts w:ascii="Times New Roman" w:hAnsi="標楷體"/>
        </w:rPr>
        <w:t>基金投資人與投信股東間之民事關係，</w:t>
      </w:r>
      <w:r w:rsidR="0067637F" w:rsidRPr="00844E73">
        <w:rPr>
          <w:rFonts w:ascii="Times New Roman" w:hAnsi="標楷體" w:hint="eastAsia"/>
        </w:rPr>
        <w:t>其間如有爭執，當由雙方</w:t>
      </w:r>
      <w:r w:rsidR="002F35DE" w:rsidRPr="00844E73">
        <w:rPr>
          <w:rFonts w:ascii="Times New Roman" w:hAnsi="標楷體"/>
        </w:rPr>
        <w:t>循民事法律途徑</w:t>
      </w:r>
      <w:r w:rsidR="008154FC" w:rsidRPr="00844E73">
        <w:rPr>
          <w:rFonts w:ascii="Times New Roman" w:hAnsi="標楷體"/>
        </w:rPr>
        <w:t>解決</w:t>
      </w:r>
      <w:r w:rsidR="008154FC" w:rsidRPr="00844E73">
        <w:rPr>
          <w:rFonts w:ascii="Times New Roman" w:hAnsi="標楷體" w:hint="eastAsia"/>
        </w:rPr>
        <w:t>，如：</w:t>
      </w:r>
      <w:r w:rsidR="0067637F" w:rsidRPr="00844E73">
        <w:rPr>
          <w:rFonts w:ascii="Times New Roman" w:hAnsi="標楷體" w:hint="eastAsia"/>
        </w:rPr>
        <w:t>訴訟、和解、</w:t>
      </w:r>
      <w:r w:rsidR="00DF46A1" w:rsidRPr="00844E73">
        <w:rPr>
          <w:rFonts w:ascii="Times New Roman" w:hAnsi="標楷體" w:hint="eastAsia"/>
        </w:rPr>
        <w:t>調解</w:t>
      </w:r>
      <w:r w:rsidR="0067637F" w:rsidRPr="00844E73">
        <w:rPr>
          <w:rFonts w:hAnsi="標楷體" w:hint="eastAsia"/>
        </w:rPr>
        <w:t>……</w:t>
      </w:r>
      <w:r w:rsidR="0067637F" w:rsidRPr="00844E73">
        <w:rPr>
          <w:rFonts w:ascii="Times New Roman" w:hAnsi="標楷體" w:hint="eastAsia"/>
        </w:rPr>
        <w:t>等</w:t>
      </w:r>
      <w:r w:rsidR="00DB5145" w:rsidRPr="00844E73">
        <w:rPr>
          <w:rFonts w:ascii="Times New Roman" w:hAnsi="標楷體" w:hint="eastAsia"/>
        </w:rPr>
        <w:t>；</w:t>
      </w:r>
      <w:r w:rsidR="002F35DE" w:rsidRPr="00844E73">
        <w:rPr>
          <w:rFonts w:ascii="Times New Roman" w:hAnsi="標楷體" w:hint="eastAsia"/>
        </w:rPr>
        <w:t>上開</w:t>
      </w:r>
      <w:r w:rsidR="002F35DE" w:rsidRPr="00844E73">
        <w:rPr>
          <w:rFonts w:hint="eastAsia"/>
        </w:rPr>
        <w:t>證券投資顧問法第7條並未授予主管機關逕予認定之權限。詎</w:t>
      </w:r>
      <w:r w:rsidR="00920216" w:rsidRPr="00844E73">
        <w:rPr>
          <w:rFonts w:ascii="Times New Roman" w:hAnsi="標楷體"/>
        </w:rPr>
        <w:t>金管會</w:t>
      </w:r>
      <w:r w:rsidR="002F35DE" w:rsidRPr="00844E73">
        <w:rPr>
          <w:rFonts w:ascii="Times New Roman" w:hAnsi="標楷體" w:hint="eastAsia"/>
        </w:rPr>
        <w:t>不但</w:t>
      </w:r>
      <w:r w:rsidR="00523B7B" w:rsidRPr="00844E73">
        <w:rPr>
          <w:rFonts w:ascii="Times New Roman" w:hAnsi="標楷體"/>
        </w:rPr>
        <w:t>以主管機關</w:t>
      </w:r>
      <w:r w:rsidR="00920216" w:rsidRPr="00844E73">
        <w:rPr>
          <w:rFonts w:ascii="Times New Roman" w:hAnsi="標楷體"/>
        </w:rPr>
        <w:t>角色強</w:t>
      </w:r>
      <w:r w:rsidR="00920216" w:rsidRPr="00844E73">
        <w:rPr>
          <w:rFonts w:ascii="Times New Roman" w:hAnsi="標楷體" w:hint="eastAsia"/>
        </w:rPr>
        <w:t>勢</w:t>
      </w:r>
      <w:r w:rsidR="00920216" w:rsidRPr="00844E73">
        <w:rPr>
          <w:rFonts w:ascii="Times New Roman" w:hAnsi="標楷體"/>
        </w:rPr>
        <w:t>介入</w:t>
      </w:r>
      <w:r w:rsidR="00920216" w:rsidRPr="00844E73">
        <w:rPr>
          <w:rFonts w:ascii="Times New Roman" w:hAnsi="標楷體" w:hint="eastAsia"/>
        </w:rPr>
        <w:t>，</w:t>
      </w:r>
      <w:r w:rsidR="00CF75B2" w:rsidRPr="00844E73">
        <w:rPr>
          <w:rFonts w:ascii="Times New Roman" w:hAnsi="標楷體" w:hint="eastAsia"/>
        </w:rPr>
        <w:t>更</w:t>
      </w:r>
      <w:r w:rsidR="00920216" w:rsidRPr="00844E73">
        <w:rPr>
          <w:rFonts w:ascii="Times New Roman" w:hAnsi="標楷體" w:hint="eastAsia"/>
        </w:rPr>
        <w:t>以</w:t>
      </w:r>
      <w:r w:rsidR="00DC5528" w:rsidRPr="00844E73">
        <w:rPr>
          <w:rFonts w:ascii="Times New Roman" w:hAnsi="標楷體" w:hint="eastAsia"/>
        </w:rPr>
        <w:t>後續</w:t>
      </w:r>
      <w:r w:rsidR="00920216" w:rsidRPr="00844E73">
        <w:rPr>
          <w:rFonts w:hAnsi="標楷體"/>
          <w:szCs w:val="32"/>
        </w:rPr>
        <w:t>發行新基金或變更基金規模之准駁</w:t>
      </w:r>
      <w:r w:rsidR="00523B7B" w:rsidRPr="00844E73">
        <w:rPr>
          <w:rFonts w:hAnsi="標楷體" w:hint="eastAsia"/>
          <w:szCs w:val="32"/>
        </w:rPr>
        <w:t>權，強使業者接受該會逕認</w:t>
      </w:r>
      <w:r w:rsidR="00CF75B2" w:rsidRPr="00844E73">
        <w:rPr>
          <w:rFonts w:hAnsi="標楷體" w:hint="eastAsia"/>
          <w:szCs w:val="32"/>
        </w:rPr>
        <w:t>之風險分配</w:t>
      </w:r>
      <w:r w:rsidR="00DC5528" w:rsidRPr="00844E73">
        <w:rPr>
          <w:rFonts w:hAnsi="標楷體" w:hint="eastAsia"/>
          <w:szCs w:val="32"/>
        </w:rPr>
        <w:t>，</w:t>
      </w:r>
      <w:r w:rsidR="00BD7468" w:rsidRPr="00844E73">
        <w:rPr>
          <w:rFonts w:hAnsi="標楷體" w:hint="eastAsia"/>
          <w:szCs w:val="32"/>
        </w:rPr>
        <w:t>即</w:t>
      </w:r>
      <w:r w:rsidR="00CF75B2" w:rsidRPr="00844E73">
        <w:rPr>
          <w:rFonts w:hAnsi="標楷體" w:hint="eastAsia"/>
          <w:szCs w:val="32"/>
        </w:rPr>
        <w:t>由</w:t>
      </w:r>
      <w:r w:rsidR="00CF75B2" w:rsidRPr="00844E73">
        <w:rPr>
          <w:rFonts w:ascii="Times New Roman" w:hAnsi="標楷體"/>
          <w:szCs w:val="32"/>
        </w:rPr>
        <w:t>投信股東</w:t>
      </w:r>
      <w:r w:rsidR="00CF75B2" w:rsidRPr="00844E73">
        <w:rPr>
          <w:rFonts w:ascii="Times New Roman" w:hAnsi="標楷體" w:hint="eastAsia"/>
          <w:szCs w:val="32"/>
        </w:rPr>
        <w:t>承受基金投資人之</w:t>
      </w:r>
      <w:r w:rsidR="008154FC" w:rsidRPr="00844E73">
        <w:rPr>
          <w:rFonts w:hAnsi="標楷體" w:hint="eastAsia"/>
          <w:szCs w:val="32"/>
        </w:rPr>
        <w:t>「</w:t>
      </w:r>
      <w:r w:rsidR="00CF75B2" w:rsidRPr="00844E73">
        <w:rPr>
          <w:rFonts w:ascii="Times New Roman" w:hAnsi="標楷體" w:hint="eastAsia"/>
          <w:szCs w:val="32"/>
        </w:rPr>
        <w:t>全部</w:t>
      </w:r>
      <w:r w:rsidR="008154FC" w:rsidRPr="00844E73">
        <w:rPr>
          <w:rFonts w:hAnsi="標楷體" w:hint="eastAsia"/>
          <w:szCs w:val="32"/>
        </w:rPr>
        <w:t>」</w:t>
      </w:r>
      <w:r w:rsidR="00CF75B2" w:rsidRPr="00844E73">
        <w:rPr>
          <w:rFonts w:ascii="Times New Roman" w:hAnsi="標楷體" w:hint="eastAsia"/>
          <w:szCs w:val="32"/>
        </w:rPr>
        <w:t>損失</w:t>
      </w:r>
      <w:r w:rsidR="00C738A0" w:rsidRPr="00844E73">
        <w:rPr>
          <w:rFonts w:ascii="Times New Roman" w:hAnsi="標楷體" w:hint="eastAsia"/>
          <w:szCs w:val="32"/>
        </w:rPr>
        <w:t>，</w:t>
      </w:r>
      <w:r w:rsidR="00BD7468" w:rsidRPr="00844E73">
        <w:rPr>
          <w:rFonts w:ascii="Times New Roman" w:hAnsi="標楷體" w:hint="eastAsia"/>
          <w:szCs w:val="32"/>
        </w:rPr>
        <w:t>其結果</w:t>
      </w:r>
      <w:r w:rsidR="00796F53" w:rsidRPr="00844E73">
        <w:rPr>
          <w:rFonts w:ascii="Times New Roman" w:hAnsi="標楷體" w:hint="eastAsia"/>
          <w:szCs w:val="32"/>
        </w:rPr>
        <w:t>無異由行政僭行司法職權，</w:t>
      </w:r>
      <w:r w:rsidR="00BD7468" w:rsidRPr="00844E73">
        <w:rPr>
          <w:rFonts w:ascii="Times New Roman" w:hAnsi="標楷體" w:hint="eastAsia"/>
          <w:szCs w:val="32"/>
        </w:rPr>
        <w:t>而</w:t>
      </w:r>
      <w:r w:rsidR="00796F53" w:rsidRPr="00844E73">
        <w:rPr>
          <w:rFonts w:ascii="Times New Roman" w:hAnsi="標楷體" w:hint="eastAsia"/>
          <w:szCs w:val="32"/>
        </w:rPr>
        <w:t>與權</w:t>
      </w:r>
      <w:r w:rsidR="00BD7468" w:rsidRPr="00844E73">
        <w:rPr>
          <w:rFonts w:ascii="Times New Roman" w:hAnsi="標楷體" w:hint="eastAsia"/>
          <w:szCs w:val="32"/>
        </w:rPr>
        <w:t>力</w:t>
      </w:r>
      <w:r w:rsidR="00523B7B" w:rsidRPr="00844E73">
        <w:rPr>
          <w:rFonts w:ascii="Times New Roman" w:hAnsi="標楷體" w:hint="eastAsia"/>
          <w:szCs w:val="32"/>
        </w:rPr>
        <w:t>分立機制相</w:t>
      </w:r>
      <w:r w:rsidR="00796F53" w:rsidRPr="00844E73">
        <w:rPr>
          <w:rFonts w:ascii="Times New Roman" w:hAnsi="標楷體" w:hint="eastAsia"/>
          <w:szCs w:val="32"/>
        </w:rPr>
        <w:t>違</w:t>
      </w:r>
      <w:r w:rsidR="008154FC" w:rsidRPr="00844E73">
        <w:rPr>
          <w:rFonts w:ascii="Times New Roman" w:hAnsi="標楷體" w:hint="eastAsia"/>
          <w:szCs w:val="32"/>
        </w:rPr>
        <w:t>，且其處理方式亦不符民事實務上依雙方過失比例定其責分分</w:t>
      </w:r>
      <w:r w:rsidR="008D6A81" w:rsidRPr="00844E73">
        <w:rPr>
          <w:rFonts w:ascii="Times New Roman" w:hAnsi="標楷體" w:hint="eastAsia"/>
          <w:szCs w:val="32"/>
        </w:rPr>
        <w:t>配</w:t>
      </w:r>
      <w:r w:rsidR="008154FC" w:rsidRPr="00844E73">
        <w:rPr>
          <w:rFonts w:ascii="Times New Roman" w:hAnsi="標楷體" w:hint="eastAsia"/>
          <w:szCs w:val="32"/>
        </w:rPr>
        <w:t>之機制</w:t>
      </w:r>
      <w:r w:rsidR="00523B7B" w:rsidRPr="00844E73">
        <w:rPr>
          <w:rFonts w:ascii="Times New Roman" w:hAnsi="標楷體" w:hint="eastAsia"/>
          <w:szCs w:val="32"/>
        </w:rPr>
        <w:t>。再者，設</w:t>
      </w:r>
      <w:r w:rsidR="00BD7468" w:rsidRPr="00844E73">
        <w:rPr>
          <w:rFonts w:ascii="Times New Roman" w:hAnsi="標楷體" w:hint="eastAsia"/>
          <w:szCs w:val="32"/>
        </w:rPr>
        <w:t>若</w:t>
      </w:r>
      <w:r w:rsidR="00523B7B" w:rsidRPr="00844E73">
        <w:rPr>
          <w:rFonts w:hAnsi="標楷體" w:hint="eastAsia"/>
          <w:szCs w:val="32"/>
        </w:rPr>
        <w:t>「</w:t>
      </w:r>
      <w:r w:rsidR="00523B7B" w:rsidRPr="00844E73">
        <w:rPr>
          <w:rFonts w:ascii="Times New Roman" w:hAnsi="標楷體" w:hint="eastAsia"/>
          <w:szCs w:val="32"/>
        </w:rPr>
        <w:t>三大原則</w:t>
      </w:r>
      <w:r w:rsidR="00523B7B" w:rsidRPr="00844E73">
        <w:rPr>
          <w:rFonts w:hAnsi="標楷體" w:hint="eastAsia"/>
          <w:szCs w:val="32"/>
        </w:rPr>
        <w:t>」</w:t>
      </w:r>
      <w:r w:rsidR="00523B7B" w:rsidRPr="00844E73">
        <w:rPr>
          <w:rFonts w:ascii="Times New Roman" w:hAnsi="標楷體" w:hint="eastAsia"/>
          <w:szCs w:val="32"/>
        </w:rPr>
        <w:t>之</w:t>
      </w:r>
      <w:r w:rsidR="00BD7468" w:rsidRPr="00844E73">
        <w:rPr>
          <w:rFonts w:ascii="Times New Roman" w:hAnsi="標楷體" w:hint="eastAsia"/>
          <w:szCs w:val="32"/>
        </w:rPr>
        <w:t>風險分配方式為當，何以嗣</w:t>
      </w:r>
      <w:r w:rsidR="00BD7468" w:rsidRPr="00844E73">
        <w:t>97年9月</w:t>
      </w:r>
      <w:r w:rsidR="00BD7468" w:rsidRPr="00844E73">
        <w:rPr>
          <w:rFonts w:hint="eastAsia"/>
        </w:rPr>
        <w:t>間因美國</w:t>
      </w:r>
      <w:r w:rsidR="00BD7468" w:rsidRPr="00844E73">
        <w:t>雷曼兄弟控股公司</w:t>
      </w:r>
      <w:r w:rsidR="00523B7B" w:rsidRPr="00844E73">
        <w:rPr>
          <w:rFonts w:ascii="Times New Roman" w:hAnsi="標楷體" w:hint="eastAsia"/>
        </w:rPr>
        <w:t>破產事件所引爆</w:t>
      </w:r>
      <w:r w:rsidR="00BD7468" w:rsidRPr="00844E73">
        <w:rPr>
          <w:rFonts w:ascii="Times New Roman" w:hAnsi="標楷體" w:hint="eastAsia"/>
        </w:rPr>
        <w:t>之連動債</w:t>
      </w:r>
      <w:r w:rsidR="000A1E53" w:rsidRPr="00844E73">
        <w:rPr>
          <w:rFonts w:ascii="Times New Roman" w:hAnsi="標楷體" w:hint="eastAsia"/>
        </w:rPr>
        <w:t>事件，該會未再</w:t>
      </w:r>
      <w:r w:rsidR="00523B7B" w:rsidRPr="00844E73">
        <w:rPr>
          <w:rFonts w:ascii="Times New Roman" w:hAnsi="標楷體" w:hint="eastAsia"/>
        </w:rPr>
        <w:t>循此</w:t>
      </w:r>
      <w:r w:rsidR="00BD7468" w:rsidRPr="00844E73">
        <w:rPr>
          <w:rFonts w:ascii="Times New Roman" w:hAnsi="標楷體" w:hint="eastAsia"/>
        </w:rPr>
        <w:t>模式辦理，</w:t>
      </w:r>
      <w:r w:rsidR="00523B7B" w:rsidRPr="00844E73">
        <w:rPr>
          <w:rFonts w:ascii="Times New Roman" w:hAnsi="標楷體" w:hint="eastAsia"/>
        </w:rPr>
        <w:t>且連動債相關司法判決</w:t>
      </w:r>
      <w:r w:rsidR="00856C19" w:rsidRPr="00844E73">
        <w:rPr>
          <w:rFonts w:ascii="Times New Roman" w:hAnsi="標楷體" w:hint="eastAsia"/>
        </w:rPr>
        <w:t>，亦不</w:t>
      </w:r>
      <w:r w:rsidR="00523B7B" w:rsidRPr="00844E73">
        <w:rPr>
          <w:rFonts w:ascii="Times New Roman" w:hAnsi="標楷體" w:hint="eastAsia"/>
        </w:rPr>
        <w:t>見</w:t>
      </w:r>
      <w:r w:rsidR="00856C19" w:rsidRPr="00844E73">
        <w:rPr>
          <w:rFonts w:ascii="Times New Roman" w:hAnsi="標楷體" w:hint="eastAsia"/>
        </w:rPr>
        <w:t>採</w:t>
      </w:r>
      <w:r w:rsidR="00523B7B" w:rsidRPr="00844E73">
        <w:rPr>
          <w:rFonts w:ascii="Times New Roman" w:hAnsi="標楷體" w:hint="eastAsia"/>
        </w:rPr>
        <w:t>取類如金管會本案處理方式之</w:t>
      </w:r>
      <w:r w:rsidR="00856C19" w:rsidRPr="00844E73">
        <w:rPr>
          <w:rFonts w:ascii="Times New Roman" w:hAnsi="標楷體" w:hint="eastAsia"/>
        </w:rPr>
        <w:t>法律見解</w:t>
      </w:r>
      <w:r w:rsidR="00523B7B" w:rsidRPr="00844E73">
        <w:rPr>
          <w:rFonts w:ascii="Times New Roman" w:hAnsi="標楷體" w:hint="eastAsia"/>
        </w:rPr>
        <w:t>。凡此均足證</w:t>
      </w:r>
      <w:r w:rsidR="000A1E53" w:rsidRPr="00844E73">
        <w:rPr>
          <w:rFonts w:ascii="Times New Roman" w:hAnsi="標楷體" w:hint="eastAsia"/>
        </w:rPr>
        <w:t>本案</w:t>
      </w:r>
      <w:r w:rsidR="000A1E53" w:rsidRPr="00844E73">
        <w:rPr>
          <w:rFonts w:hAnsi="標楷體" w:hint="eastAsia"/>
        </w:rPr>
        <w:t>「三大原則」</w:t>
      </w:r>
      <w:r w:rsidR="000A1E53" w:rsidRPr="00844E73">
        <w:rPr>
          <w:rFonts w:ascii="Times New Roman" w:hAnsi="標楷體" w:hint="eastAsia"/>
        </w:rPr>
        <w:t>之處理方式</w:t>
      </w:r>
      <w:r w:rsidR="000A1E53" w:rsidRPr="00844E73">
        <w:rPr>
          <w:rFonts w:ascii="Times New Roman" w:hAnsi="標楷體"/>
        </w:rPr>
        <w:t>，</w:t>
      </w:r>
      <w:r w:rsidR="000A1E53" w:rsidRPr="00844E73">
        <w:rPr>
          <w:rFonts w:ascii="Times New Roman" w:hAnsi="標楷體" w:hint="eastAsia"/>
        </w:rPr>
        <w:t>確有</w:t>
      </w:r>
      <w:r w:rsidR="00856C19" w:rsidRPr="00844E73">
        <w:rPr>
          <w:rFonts w:ascii="Times New Roman" w:hAnsi="標楷體" w:hint="eastAsia"/>
        </w:rPr>
        <w:t>待商榷</w:t>
      </w:r>
      <w:r w:rsidR="000A1E53" w:rsidRPr="00844E73">
        <w:rPr>
          <w:rFonts w:ascii="Times New Roman" w:hAnsi="標楷體" w:hint="eastAsia"/>
        </w:rPr>
        <w:t>之處</w:t>
      </w:r>
      <w:r w:rsidR="00856C19" w:rsidRPr="00844E73">
        <w:rPr>
          <w:rFonts w:ascii="Times New Roman" w:hAnsi="標楷體" w:hint="eastAsia"/>
        </w:rPr>
        <w:t>；</w:t>
      </w:r>
      <w:r w:rsidR="00C738A0" w:rsidRPr="00844E73">
        <w:rPr>
          <w:rFonts w:ascii="Times New Roman" w:hAnsi="標楷體" w:hint="eastAsia"/>
        </w:rPr>
        <w:t>金管會</w:t>
      </w:r>
      <w:r w:rsidR="00D80D22" w:rsidRPr="00844E73">
        <w:rPr>
          <w:rFonts w:ascii="Times New Roman" w:hAnsi="標楷體" w:hint="eastAsia"/>
        </w:rPr>
        <w:t>上開</w:t>
      </w:r>
      <w:r w:rsidR="00856C19" w:rsidRPr="00844E73">
        <w:rPr>
          <w:rFonts w:ascii="Times New Roman" w:hAnsi="標楷體" w:hint="eastAsia"/>
        </w:rPr>
        <w:t>所辯</w:t>
      </w:r>
      <w:r w:rsidR="00C738A0" w:rsidRPr="00844E73">
        <w:rPr>
          <w:rFonts w:hAnsi="標楷體" w:hint="eastAsia"/>
        </w:rPr>
        <w:t>，</w:t>
      </w:r>
      <w:r w:rsidR="00C738A0" w:rsidRPr="00844E73">
        <w:rPr>
          <w:rFonts w:ascii="Times New Roman" w:hAnsi="標楷體" w:hint="eastAsia"/>
        </w:rPr>
        <w:t>並不足採。</w:t>
      </w:r>
    </w:p>
    <w:p w:rsidR="00584F9C" w:rsidRPr="00844E73" w:rsidRDefault="00D80D22" w:rsidP="00856C19">
      <w:pPr>
        <w:pStyle w:val="3"/>
        <w:rPr>
          <w:rFonts w:hAnsi="標楷體"/>
          <w:szCs w:val="32"/>
        </w:rPr>
      </w:pPr>
      <w:r w:rsidRPr="00844E73">
        <w:rPr>
          <w:rFonts w:hAnsi="標楷體" w:hint="eastAsia"/>
          <w:szCs w:val="32"/>
        </w:rPr>
        <w:t>綜上所述，「三大原則」之內容，悖於投資常規及法令規定，至多僅能以行政指導方式，道德勸說投信業者配合辦理；若以強制方式為之，即屬非法。惟金管會卻將之</w:t>
      </w:r>
      <w:r w:rsidRPr="00844E73">
        <w:rPr>
          <w:rFonts w:hAnsi="標楷體"/>
          <w:szCs w:val="32"/>
        </w:rPr>
        <w:t>與發行新基金或變更基金規模之准駁相結合，</w:t>
      </w:r>
      <w:r w:rsidR="008D6A81" w:rsidRPr="00844E73">
        <w:rPr>
          <w:rFonts w:hAnsi="標楷體" w:hint="eastAsia"/>
          <w:szCs w:val="32"/>
        </w:rPr>
        <w:t>致業者不得不遵照</w:t>
      </w:r>
      <w:r w:rsidRPr="00844E73">
        <w:rPr>
          <w:rFonts w:hAnsi="標楷體" w:hint="eastAsia"/>
          <w:szCs w:val="32"/>
        </w:rPr>
        <w:t>辦理，核已違反行政程序法第4條及第165、166條等規定。</w:t>
      </w:r>
    </w:p>
    <w:p w:rsidR="00584F9C" w:rsidRPr="009A3088" w:rsidRDefault="00AD2292" w:rsidP="00BC27D2">
      <w:pPr>
        <w:pStyle w:val="2"/>
        <w:rPr>
          <w:b/>
        </w:rPr>
      </w:pPr>
      <w:r w:rsidRPr="009A3088">
        <w:rPr>
          <w:rFonts w:hAnsi="標楷體" w:hint="eastAsia"/>
          <w:b/>
        </w:rPr>
        <w:t>「三大原則」雖係緣起於聯合投信事件後之債券型基金相關改革措施，然已非處理系爭事件「本身」之緊急因應方案，難謂仍具相當急迫性。嗣該會基於對國際利率走勢之判斷，加碼提出「限時移出」政策，亦</w:t>
      </w:r>
      <w:r w:rsidRPr="009A3088">
        <w:rPr>
          <w:rFonts w:hAnsi="標楷體" w:hint="eastAsia"/>
          <w:b/>
        </w:rPr>
        <w:lastRenderedPageBreak/>
        <w:t>因未區分投信公司體質、規模、流動性情形，及所持有之結構債中，有無具保本性質者等不同態樣，而異其處理作法，顯然並非侵害最小手段，而有違比例原則之「必要性」。復以事後利率未如該會預期走升，且相關「金融資產證券化」配套機制反引發後續之金融事件等，更凸顯該會當時</w:t>
      </w:r>
      <w:r w:rsidR="00DD4477">
        <w:rPr>
          <w:rFonts w:hAnsi="標楷體" w:hint="eastAsia"/>
          <w:b/>
        </w:rPr>
        <w:t>越俎代庖</w:t>
      </w:r>
      <w:r w:rsidRPr="009A3088">
        <w:rPr>
          <w:rFonts w:hAnsi="標楷體" w:hint="eastAsia"/>
          <w:b/>
        </w:rPr>
        <w:t>，且</w:t>
      </w:r>
      <w:r w:rsidRPr="009A3088">
        <w:rPr>
          <w:rFonts w:hAnsi="標楷體" w:hint="eastAsia"/>
          <w:b/>
          <w:szCs w:val="36"/>
        </w:rPr>
        <w:t>專斷、不予業者適度</w:t>
      </w:r>
      <w:r w:rsidRPr="009A3088">
        <w:rPr>
          <w:rFonts w:ascii="Times New Roman" w:hAnsi="標楷體" w:hint="eastAsia"/>
          <w:b/>
          <w:szCs w:val="32"/>
        </w:rPr>
        <w:t>彈性做法之不當</w:t>
      </w:r>
      <w:r w:rsidRPr="009A3088">
        <w:rPr>
          <w:rFonts w:hAnsi="標楷體" w:hint="eastAsia"/>
          <w:b/>
        </w:rPr>
        <w:t>，核有違失：</w:t>
      </w:r>
    </w:p>
    <w:p w:rsidR="00B356A1" w:rsidRPr="00844E73" w:rsidRDefault="00B356A1" w:rsidP="00C61307">
      <w:pPr>
        <w:pStyle w:val="3"/>
      </w:pPr>
      <w:r w:rsidRPr="00844E73">
        <w:rPr>
          <w:rFonts w:hint="eastAsia"/>
        </w:rPr>
        <w:t>金管會「改善債券型基金流動性專案小組」執行之</w:t>
      </w:r>
      <w:r w:rsidRPr="00844E73">
        <w:rPr>
          <w:rFonts w:hAnsi="標楷體" w:hint="eastAsia"/>
        </w:rPr>
        <w:t>「</w:t>
      </w:r>
      <w:r w:rsidRPr="00844E73">
        <w:rPr>
          <w:rFonts w:hint="eastAsia"/>
        </w:rPr>
        <w:t>三大原則</w:t>
      </w:r>
      <w:r w:rsidRPr="00844E73">
        <w:rPr>
          <w:rFonts w:hAnsi="標楷體" w:hint="eastAsia"/>
        </w:rPr>
        <w:t>」</w:t>
      </w:r>
      <w:r w:rsidRPr="00844E73">
        <w:rPr>
          <w:rFonts w:hint="eastAsia"/>
        </w:rPr>
        <w:t>及</w:t>
      </w:r>
      <w:r w:rsidRPr="00844E73">
        <w:rPr>
          <w:rFonts w:hAnsi="標楷體" w:hint="eastAsia"/>
        </w:rPr>
        <w:t>「</w:t>
      </w:r>
      <w:r w:rsidRPr="00844E73">
        <w:rPr>
          <w:rFonts w:hint="eastAsia"/>
        </w:rPr>
        <w:t>限期處分結構債</w:t>
      </w:r>
      <w:r w:rsidRPr="00844E73">
        <w:rPr>
          <w:rFonts w:hAnsi="標楷體" w:hint="eastAsia"/>
        </w:rPr>
        <w:t>」</w:t>
      </w:r>
      <w:r w:rsidRPr="00844E73">
        <w:rPr>
          <w:rFonts w:hint="eastAsia"/>
        </w:rPr>
        <w:t>等政策，致</w:t>
      </w:r>
      <w:r w:rsidRPr="00844E73">
        <w:rPr>
          <w:rFonts w:ascii="Times New Roman" w:hAnsi="標楷體" w:hint="eastAsia"/>
          <w:szCs w:val="32"/>
        </w:rPr>
        <w:t>投信</w:t>
      </w:r>
      <w:r w:rsidRPr="00844E73">
        <w:rPr>
          <w:rFonts w:hint="eastAsia"/>
        </w:rPr>
        <w:t>業者以自有資金承擔處理結構債之損失總計約</w:t>
      </w:r>
      <w:r w:rsidR="008D6A81" w:rsidRPr="00844E73">
        <w:rPr>
          <w:rFonts w:hint="eastAsia"/>
        </w:rPr>
        <w:t>達</w:t>
      </w:r>
      <w:r w:rsidRPr="00844E73">
        <w:rPr>
          <w:rFonts w:hint="eastAsia"/>
        </w:rPr>
        <w:t>112億元，已如前述</w:t>
      </w:r>
      <w:r w:rsidR="00CE7DB6" w:rsidRPr="00844E73">
        <w:rPr>
          <w:rFonts w:hint="eastAsia"/>
        </w:rPr>
        <w:t>；</w:t>
      </w:r>
      <w:r w:rsidR="00DE6E07" w:rsidRPr="00844E73">
        <w:rPr>
          <w:rFonts w:hint="eastAsia"/>
        </w:rPr>
        <w:t>另</w:t>
      </w:r>
      <w:r w:rsidR="008D6A81" w:rsidRPr="00844E73">
        <w:rPr>
          <w:rFonts w:hint="eastAsia"/>
        </w:rPr>
        <w:t>並間接引發</w:t>
      </w:r>
      <w:r w:rsidR="00CE7DB6" w:rsidRPr="00844E73">
        <w:rPr>
          <w:rFonts w:hint="eastAsia"/>
        </w:rPr>
        <w:t>包括元大京華證券、寶來證券、金鼎證券等公司負責人受刑事訴追等案件，</w:t>
      </w:r>
      <w:r w:rsidRPr="00844E73">
        <w:rPr>
          <w:rFonts w:hint="eastAsia"/>
        </w:rPr>
        <w:t>影響層面</w:t>
      </w:r>
      <w:r w:rsidR="008D6A81" w:rsidRPr="00844E73">
        <w:rPr>
          <w:rFonts w:hint="eastAsia"/>
        </w:rPr>
        <w:t>實</w:t>
      </w:r>
      <w:r w:rsidR="001670F3" w:rsidRPr="00844E73">
        <w:rPr>
          <w:rFonts w:hint="eastAsia"/>
        </w:rPr>
        <w:t>甚</w:t>
      </w:r>
      <w:r w:rsidR="00CE7DB6" w:rsidRPr="00844E73">
        <w:rPr>
          <w:rFonts w:hint="eastAsia"/>
        </w:rPr>
        <w:t>鉅大。</w:t>
      </w:r>
      <w:r w:rsidR="00801A09" w:rsidRPr="00844E73">
        <w:rPr>
          <w:rFonts w:hint="eastAsia"/>
        </w:rPr>
        <w:t>金管會面對外界就上開措施有違法及違反投資常規等情之指摘，向以其係</w:t>
      </w:r>
      <w:r w:rsidR="00487A0B" w:rsidRPr="00844E73">
        <w:rPr>
          <w:rFonts w:hint="eastAsia"/>
        </w:rPr>
        <w:t>為</w:t>
      </w:r>
      <w:r w:rsidR="00156E47" w:rsidRPr="00844E73">
        <w:rPr>
          <w:rFonts w:hint="eastAsia"/>
        </w:rPr>
        <w:t>保障廣大投資人權益，及</w:t>
      </w:r>
      <w:r w:rsidR="00801A09" w:rsidRPr="00844E73">
        <w:rPr>
          <w:rFonts w:hint="eastAsia"/>
        </w:rPr>
        <w:t>處理緊急金融危機</w:t>
      </w:r>
      <w:r w:rsidR="001670F3" w:rsidRPr="00844E73">
        <w:rPr>
          <w:rFonts w:hint="eastAsia"/>
        </w:rPr>
        <w:t>，並強調當時市場利率</w:t>
      </w:r>
      <w:r w:rsidR="00156E47" w:rsidRPr="00844E73">
        <w:rPr>
          <w:rFonts w:hint="eastAsia"/>
        </w:rPr>
        <w:t>已</w:t>
      </w:r>
      <w:r w:rsidR="001670F3" w:rsidRPr="00844E73">
        <w:rPr>
          <w:rFonts w:hint="eastAsia"/>
        </w:rPr>
        <w:t>反轉，若不迅速處分將產生</w:t>
      </w:r>
      <w:r w:rsidR="00540281" w:rsidRPr="00844E73">
        <w:rPr>
          <w:rFonts w:hint="eastAsia"/>
        </w:rPr>
        <w:t>系統化危險</w:t>
      </w:r>
      <w:r w:rsidR="00156E47" w:rsidRPr="00844E73">
        <w:rPr>
          <w:rFonts w:hint="eastAsia"/>
        </w:rPr>
        <w:t>等語</w:t>
      </w:r>
      <w:r w:rsidR="00540281" w:rsidRPr="00844E73">
        <w:rPr>
          <w:rFonts w:hint="eastAsia"/>
        </w:rPr>
        <w:t>置辯</w:t>
      </w:r>
      <w:r w:rsidR="00487A0B" w:rsidRPr="00844E73">
        <w:rPr>
          <w:rFonts w:hint="eastAsia"/>
        </w:rPr>
        <w:t>，力主相關作為確有其必要性；相關說法是否可採，允應併為檢討。</w:t>
      </w:r>
    </w:p>
    <w:p w:rsidR="0061085E" w:rsidRPr="00E45937" w:rsidRDefault="00C61307" w:rsidP="0061085E">
      <w:pPr>
        <w:pStyle w:val="3"/>
      </w:pPr>
      <w:r w:rsidRPr="00844E73">
        <w:rPr>
          <w:rFonts w:hint="eastAsia"/>
        </w:rPr>
        <w:t>查93年7月間聯合投信事件發生後，金管會</w:t>
      </w:r>
      <w:r w:rsidR="0024534F" w:rsidRPr="00844E73">
        <w:rPr>
          <w:rFonts w:hint="eastAsia"/>
        </w:rPr>
        <w:t>先後</w:t>
      </w:r>
      <w:r w:rsidR="00BC27D2" w:rsidRPr="00844E73">
        <w:rPr>
          <w:rFonts w:hint="eastAsia"/>
        </w:rPr>
        <w:t>採取包括：</w:t>
      </w:r>
      <w:r w:rsidR="00D24FCC" w:rsidRPr="00844E73">
        <w:rPr>
          <w:rFonts w:hint="eastAsia"/>
        </w:rPr>
        <w:t>1.</w:t>
      </w:r>
      <w:r w:rsidR="00BC27D2" w:rsidRPr="00844E73">
        <w:rPr>
          <w:rFonts w:hint="eastAsia"/>
        </w:rPr>
        <w:t>由主任委員室逐一致電勸告大型</w:t>
      </w:r>
      <w:r w:rsidR="00D24FCC" w:rsidRPr="00844E73">
        <w:rPr>
          <w:rFonts w:hint="eastAsia"/>
        </w:rPr>
        <w:t>法人機構勿參加贖回；2.協調聯合投信</w:t>
      </w:r>
      <w:r w:rsidR="00BC27D2" w:rsidRPr="00844E73">
        <w:rPr>
          <w:rFonts w:hint="eastAsia"/>
        </w:rPr>
        <w:t>及台育</w:t>
      </w:r>
      <w:r w:rsidR="00D24FCC" w:rsidRPr="00844E73">
        <w:rPr>
          <w:rFonts w:hint="eastAsia"/>
        </w:rPr>
        <w:t>投信移轉旗下各檔基金經理業務</w:t>
      </w:r>
      <w:r w:rsidR="00F84ACE" w:rsidRPr="00844E73">
        <w:rPr>
          <w:rStyle w:val="aff1"/>
        </w:rPr>
        <w:footnoteReference w:id="15"/>
      </w:r>
      <w:r w:rsidR="00D24FCC" w:rsidRPr="00844E73">
        <w:rPr>
          <w:rFonts w:hint="eastAsia"/>
        </w:rPr>
        <w:t>；3.</w:t>
      </w:r>
      <w:r w:rsidR="00BC27D2" w:rsidRPr="00844E73">
        <w:rPr>
          <w:rFonts w:hint="eastAsia"/>
        </w:rPr>
        <w:t>開放基</w:t>
      </w:r>
      <w:r w:rsidR="00D24FCC" w:rsidRPr="00844E73">
        <w:rPr>
          <w:rFonts w:hint="eastAsia"/>
        </w:rPr>
        <w:t>金因有鉅額買回之事由，得以該基金之資產為擔保向金融機構辦理借款；4.</w:t>
      </w:r>
      <w:r w:rsidR="00BC27D2" w:rsidRPr="00844E73">
        <w:rPr>
          <w:rFonts w:hint="eastAsia"/>
        </w:rPr>
        <w:t>於前開借款期間，基金受益人申請買回應支付2%之買回費用予基金</w:t>
      </w:r>
      <w:r w:rsidR="00D24FCC" w:rsidRPr="00844E73">
        <w:rPr>
          <w:rFonts w:hAnsi="標楷體" w:hint="eastAsia"/>
        </w:rPr>
        <w:t>……</w:t>
      </w:r>
      <w:r w:rsidR="00BC27D2" w:rsidRPr="00844E73">
        <w:rPr>
          <w:rFonts w:hint="eastAsia"/>
        </w:rPr>
        <w:t>等</w:t>
      </w:r>
      <w:r w:rsidR="0024534F" w:rsidRPr="00844E73">
        <w:rPr>
          <w:rFonts w:hint="eastAsia"/>
        </w:rPr>
        <w:t>緊急</w:t>
      </w:r>
      <w:r w:rsidRPr="00844E73">
        <w:rPr>
          <w:rFonts w:hint="eastAsia"/>
        </w:rPr>
        <w:t>因應措施</w:t>
      </w:r>
      <w:r w:rsidR="0024534F" w:rsidRPr="00844E73">
        <w:rPr>
          <w:rFonts w:hint="eastAsia"/>
        </w:rPr>
        <w:t>，以紓解基金贖回潮，及協助債券型基金緊急取得相應之流動性，</w:t>
      </w:r>
      <w:r w:rsidR="00BC27D2" w:rsidRPr="00844E73">
        <w:rPr>
          <w:rFonts w:hint="eastAsia"/>
        </w:rPr>
        <w:t>故</w:t>
      </w:r>
      <w:r w:rsidR="008F465A" w:rsidRPr="00844E73">
        <w:rPr>
          <w:rFonts w:hint="eastAsia"/>
        </w:rPr>
        <w:t>截</w:t>
      </w:r>
      <w:r w:rsidR="00BC27D2" w:rsidRPr="00844E73">
        <w:rPr>
          <w:rFonts w:hint="eastAsia"/>
        </w:rPr>
        <w:t>至93年10月</w:t>
      </w:r>
      <w:r w:rsidR="000E42A7" w:rsidRPr="00844E73">
        <w:rPr>
          <w:rFonts w:hint="eastAsia"/>
        </w:rPr>
        <w:t>間</w:t>
      </w:r>
      <w:r w:rsidR="00BC27D2" w:rsidRPr="00844E73">
        <w:rPr>
          <w:rFonts w:hint="eastAsia"/>
        </w:rPr>
        <w:t>，國內債券型基金持有</w:t>
      </w:r>
      <w:r w:rsidR="00BC27D2" w:rsidRPr="00844E73">
        <w:rPr>
          <w:rFonts w:hint="eastAsia"/>
        </w:rPr>
        <w:lastRenderedPageBreak/>
        <w:t>流動性資產比率已回升至40.97%</w:t>
      </w:r>
      <w:r w:rsidR="000E42A7" w:rsidRPr="00844E73">
        <w:rPr>
          <w:rFonts w:hint="eastAsia"/>
        </w:rPr>
        <w:t>；</w:t>
      </w:r>
      <w:r w:rsidR="00487A0B" w:rsidRPr="00844E73">
        <w:rPr>
          <w:rFonts w:hint="eastAsia"/>
        </w:rPr>
        <w:t>另</w:t>
      </w:r>
      <w:r w:rsidR="00BC27D2" w:rsidRPr="00844E73">
        <w:rPr>
          <w:rFonts w:hint="eastAsia"/>
        </w:rPr>
        <w:t>債券型基金規模從91年7月9日大幅下降以來</w:t>
      </w:r>
      <w:r w:rsidR="000E42A7" w:rsidRPr="00844E73">
        <w:rPr>
          <w:rFonts w:hint="eastAsia"/>
        </w:rPr>
        <w:t>，</w:t>
      </w:r>
      <w:r w:rsidR="00BC27D2" w:rsidRPr="00844E73">
        <w:rPr>
          <w:rFonts w:hint="eastAsia"/>
        </w:rPr>
        <w:t>至93年10</w:t>
      </w:r>
      <w:r w:rsidR="00720ECD" w:rsidRPr="00844E73">
        <w:rPr>
          <w:rFonts w:hint="eastAsia"/>
        </w:rPr>
        <w:t>月時亦已回復穩定，</w:t>
      </w:r>
      <w:r w:rsidR="00BC27D2" w:rsidRPr="00844E73">
        <w:rPr>
          <w:rFonts w:hint="eastAsia"/>
        </w:rPr>
        <w:t>甚至在94年</w:t>
      </w:r>
      <w:r w:rsidR="008F465A" w:rsidRPr="00844E73">
        <w:rPr>
          <w:rFonts w:hint="eastAsia"/>
        </w:rPr>
        <w:t>初</w:t>
      </w:r>
      <w:r w:rsidR="00B912ED" w:rsidRPr="00844E73">
        <w:rPr>
          <w:rFonts w:hint="eastAsia"/>
        </w:rPr>
        <w:t>之</w:t>
      </w:r>
      <w:r w:rsidR="008F465A" w:rsidRPr="00844E73">
        <w:rPr>
          <w:rFonts w:hint="eastAsia"/>
        </w:rPr>
        <w:t>年底</w:t>
      </w:r>
      <w:r w:rsidR="00BC27D2" w:rsidRPr="00844E73">
        <w:rPr>
          <w:rFonts w:hint="eastAsia"/>
        </w:rPr>
        <w:t>資金需求過後，</w:t>
      </w:r>
      <w:r w:rsidR="008F465A" w:rsidRPr="00844E73">
        <w:rPr>
          <w:rFonts w:hint="eastAsia"/>
        </w:rPr>
        <w:t>規模還一度回升</w:t>
      </w:r>
      <w:r w:rsidR="0061085E">
        <w:rPr>
          <w:rFonts w:hint="eastAsia"/>
        </w:rPr>
        <w:t>，</w:t>
      </w:r>
      <w:r w:rsidR="0061085E" w:rsidRPr="007D03ED">
        <w:rPr>
          <w:rFonts w:hint="eastAsia"/>
        </w:rPr>
        <w:t>相關趨勢變化請見下圖</w:t>
      </w:r>
      <w:r w:rsidR="0061085E">
        <w:rPr>
          <w:rFonts w:hAnsi="標楷體" w:hint="eastAsia"/>
        </w:rPr>
        <w:t>：</w:t>
      </w:r>
    </w:p>
    <w:p w:rsidR="0061085E" w:rsidRDefault="0061085E" w:rsidP="0061085E">
      <w:pPr>
        <w:pStyle w:val="3"/>
        <w:numPr>
          <w:ilvl w:val="0"/>
          <w:numId w:val="0"/>
        </w:numPr>
        <w:spacing w:line="160" w:lineRule="exact"/>
        <w:ind w:left="1361" w:firstLineChars="302" w:firstLine="906"/>
        <w:rPr>
          <w:sz w:val="28"/>
          <w:szCs w:val="28"/>
        </w:rPr>
      </w:pPr>
    </w:p>
    <w:p w:rsidR="0061085E" w:rsidRDefault="0061085E" w:rsidP="0061085E">
      <w:pPr>
        <w:pStyle w:val="3"/>
        <w:numPr>
          <w:ilvl w:val="0"/>
          <w:numId w:val="0"/>
        </w:numPr>
        <w:spacing w:line="360" w:lineRule="exact"/>
        <w:ind w:left="1361" w:firstLineChars="302" w:firstLine="906"/>
        <w:rPr>
          <w:sz w:val="28"/>
          <w:szCs w:val="28"/>
        </w:rPr>
      </w:pPr>
    </w:p>
    <w:p w:rsidR="0061085E" w:rsidRDefault="0061085E" w:rsidP="0061085E">
      <w:pPr>
        <w:pStyle w:val="3"/>
        <w:numPr>
          <w:ilvl w:val="0"/>
          <w:numId w:val="0"/>
        </w:numPr>
        <w:spacing w:line="360" w:lineRule="exact"/>
        <w:ind w:left="1361" w:firstLineChars="302" w:firstLine="906"/>
        <w:rPr>
          <w:sz w:val="28"/>
          <w:szCs w:val="28"/>
        </w:rPr>
      </w:pPr>
    </w:p>
    <w:p w:rsidR="0061085E" w:rsidRDefault="0061085E" w:rsidP="0061085E">
      <w:pPr>
        <w:pStyle w:val="3"/>
        <w:numPr>
          <w:ilvl w:val="0"/>
          <w:numId w:val="0"/>
        </w:numPr>
        <w:spacing w:line="360" w:lineRule="exact"/>
        <w:ind w:left="1361" w:firstLineChars="302" w:firstLine="906"/>
        <w:rPr>
          <w:sz w:val="28"/>
          <w:szCs w:val="28"/>
        </w:rPr>
      </w:pPr>
    </w:p>
    <w:p w:rsidR="0061085E" w:rsidRDefault="0061085E" w:rsidP="0061085E">
      <w:pPr>
        <w:pStyle w:val="3"/>
        <w:numPr>
          <w:ilvl w:val="0"/>
          <w:numId w:val="0"/>
        </w:numPr>
        <w:spacing w:line="360" w:lineRule="exact"/>
        <w:ind w:left="1361" w:firstLineChars="302" w:firstLine="906"/>
        <w:rPr>
          <w:sz w:val="28"/>
          <w:szCs w:val="28"/>
        </w:rPr>
      </w:pPr>
    </w:p>
    <w:p w:rsidR="0061085E" w:rsidRDefault="0061085E" w:rsidP="0061085E">
      <w:pPr>
        <w:pStyle w:val="3"/>
        <w:numPr>
          <w:ilvl w:val="0"/>
          <w:numId w:val="0"/>
        </w:numPr>
        <w:spacing w:line="360" w:lineRule="exact"/>
        <w:ind w:left="1361" w:firstLineChars="302" w:firstLine="906"/>
        <w:rPr>
          <w:sz w:val="28"/>
          <w:szCs w:val="28"/>
        </w:rPr>
      </w:pPr>
    </w:p>
    <w:p w:rsidR="0061085E" w:rsidRDefault="0061085E" w:rsidP="0061085E">
      <w:pPr>
        <w:pStyle w:val="3"/>
        <w:numPr>
          <w:ilvl w:val="0"/>
          <w:numId w:val="0"/>
        </w:numPr>
        <w:spacing w:line="360" w:lineRule="exact"/>
        <w:ind w:left="1361" w:firstLineChars="302" w:firstLine="906"/>
        <w:rPr>
          <w:sz w:val="28"/>
          <w:szCs w:val="28"/>
        </w:rPr>
      </w:pPr>
    </w:p>
    <w:p w:rsidR="0061085E" w:rsidRDefault="0061085E" w:rsidP="0061085E">
      <w:pPr>
        <w:pStyle w:val="3"/>
        <w:numPr>
          <w:ilvl w:val="0"/>
          <w:numId w:val="0"/>
        </w:numPr>
        <w:spacing w:line="360" w:lineRule="exact"/>
        <w:ind w:left="1361" w:firstLineChars="302" w:firstLine="906"/>
        <w:rPr>
          <w:sz w:val="28"/>
          <w:szCs w:val="28"/>
        </w:rPr>
      </w:pPr>
    </w:p>
    <w:p w:rsidR="0061085E" w:rsidRDefault="0061085E" w:rsidP="0061085E">
      <w:pPr>
        <w:pStyle w:val="3"/>
        <w:numPr>
          <w:ilvl w:val="0"/>
          <w:numId w:val="0"/>
        </w:numPr>
        <w:spacing w:line="360" w:lineRule="exact"/>
        <w:ind w:left="1361" w:firstLineChars="302" w:firstLine="906"/>
        <w:rPr>
          <w:sz w:val="28"/>
          <w:szCs w:val="28"/>
        </w:rPr>
      </w:pPr>
    </w:p>
    <w:p w:rsidR="0061085E" w:rsidRPr="007D03ED" w:rsidRDefault="0061085E" w:rsidP="0061085E">
      <w:pPr>
        <w:pStyle w:val="3"/>
        <w:numPr>
          <w:ilvl w:val="0"/>
          <w:numId w:val="0"/>
        </w:numPr>
        <w:spacing w:line="360" w:lineRule="exact"/>
        <w:ind w:left="1361" w:firstLineChars="302" w:firstLine="906"/>
        <w:rPr>
          <w:sz w:val="28"/>
          <w:szCs w:val="28"/>
        </w:rPr>
      </w:pPr>
      <w:r w:rsidRPr="007D03ED">
        <w:rPr>
          <w:rFonts w:hint="eastAsia"/>
          <w:sz w:val="28"/>
          <w:szCs w:val="28"/>
        </w:rPr>
        <w:t>93年7月~94年11月 國內債券型基金規模變化</w:t>
      </w:r>
    </w:p>
    <w:p w:rsidR="0061085E" w:rsidRPr="007D03ED" w:rsidRDefault="0061085E" w:rsidP="0061085E">
      <w:pPr>
        <w:pStyle w:val="3"/>
        <w:numPr>
          <w:ilvl w:val="0"/>
          <w:numId w:val="0"/>
        </w:numPr>
        <w:ind w:leftChars="-2" w:left="-7" w:firstLineChars="210" w:firstLine="714"/>
        <w:jc w:val="left"/>
      </w:pPr>
      <w:r w:rsidRPr="007D03ED">
        <w:rPr>
          <w:noProof/>
        </w:rPr>
        <w:drawing>
          <wp:inline distT="0" distB="0" distL="0" distR="0" wp14:anchorId="6EFE193E" wp14:editId="251B522A">
            <wp:extent cx="5486400" cy="236220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486400" cy="2362200"/>
                    </a:xfrm>
                    <a:prstGeom prst="rect">
                      <a:avLst/>
                    </a:prstGeom>
                  </pic:spPr>
                </pic:pic>
              </a:graphicData>
            </a:graphic>
          </wp:inline>
        </w:drawing>
      </w:r>
    </w:p>
    <w:p w:rsidR="0061085E" w:rsidRPr="007D03ED" w:rsidRDefault="0061085E" w:rsidP="0061085E">
      <w:pPr>
        <w:pStyle w:val="3"/>
        <w:numPr>
          <w:ilvl w:val="0"/>
          <w:numId w:val="0"/>
        </w:numPr>
        <w:spacing w:line="300" w:lineRule="exact"/>
        <w:ind w:left="1361"/>
        <w:rPr>
          <w:sz w:val="24"/>
          <w:szCs w:val="24"/>
        </w:rPr>
      </w:pPr>
      <w:r w:rsidRPr="007D03ED">
        <w:rPr>
          <w:rFonts w:hint="eastAsia"/>
          <w:sz w:val="24"/>
          <w:szCs w:val="24"/>
        </w:rPr>
        <w:t>資料來源：金管會</w:t>
      </w:r>
    </w:p>
    <w:p w:rsidR="0061085E" w:rsidRPr="007D03ED" w:rsidRDefault="0061085E" w:rsidP="0061085E">
      <w:pPr>
        <w:pStyle w:val="3"/>
        <w:numPr>
          <w:ilvl w:val="0"/>
          <w:numId w:val="0"/>
        </w:numPr>
        <w:spacing w:line="240" w:lineRule="exact"/>
        <w:ind w:left="1361" w:firstLineChars="302" w:firstLine="1027"/>
      </w:pPr>
    </w:p>
    <w:p w:rsidR="00647CEC" w:rsidRPr="00844E73" w:rsidRDefault="0061085E" w:rsidP="0061085E">
      <w:pPr>
        <w:pStyle w:val="3"/>
      </w:pPr>
      <w:r>
        <w:rPr>
          <w:rFonts w:hint="eastAsia"/>
        </w:rPr>
        <w:t>由上圖可知，</w:t>
      </w:r>
      <w:r w:rsidR="00863E7B" w:rsidRPr="00844E73">
        <w:rPr>
          <w:rFonts w:hint="eastAsia"/>
        </w:rPr>
        <w:t>至遲於93年10</w:t>
      </w:r>
      <w:r w:rsidR="009834D2" w:rsidRPr="00844E73">
        <w:rPr>
          <w:rFonts w:hint="eastAsia"/>
        </w:rPr>
        <w:t>月間，聯合投信事件對金融市場之衝擊已</w:t>
      </w:r>
      <w:r w:rsidR="00863E7B" w:rsidRPr="00844E73">
        <w:rPr>
          <w:rFonts w:hint="eastAsia"/>
        </w:rPr>
        <w:t>獲</w:t>
      </w:r>
      <w:r w:rsidR="009834D2" w:rsidRPr="00844E73">
        <w:rPr>
          <w:rFonts w:hint="eastAsia"/>
        </w:rPr>
        <w:t>相當</w:t>
      </w:r>
      <w:r w:rsidR="006935CE" w:rsidRPr="00844E73">
        <w:rPr>
          <w:rFonts w:hint="eastAsia"/>
        </w:rPr>
        <w:t>控制。</w:t>
      </w:r>
      <w:r w:rsidR="00647CEC" w:rsidRPr="00844E73">
        <w:rPr>
          <w:rFonts w:hint="eastAsia"/>
        </w:rPr>
        <w:t>是</w:t>
      </w:r>
      <w:r w:rsidR="00863E7B" w:rsidRPr="00844E73">
        <w:rPr>
          <w:rFonts w:hint="eastAsia"/>
        </w:rPr>
        <w:t>後續金管會</w:t>
      </w:r>
      <w:r w:rsidR="00DC389D" w:rsidRPr="00844E73">
        <w:rPr>
          <w:rFonts w:hint="eastAsia"/>
        </w:rPr>
        <w:t>「改善債券型基金流動性專案小組」</w:t>
      </w:r>
      <w:r w:rsidR="00863E7B" w:rsidRPr="00844E73">
        <w:rPr>
          <w:rFonts w:hint="eastAsia"/>
        </w:rPr>
        <w:t>於94年2月間推出</w:t>
      </w:r>
      <w:r w:rsidR="006935CE" w:rsidRPr="00844E73">
        <w:rPr>
          <w:rFonts w:hAnsi="標楷體" w:hint="eastAsia"/>
        </w:rPr>
        <w:t>債券型基金</w:t>
      </w:r>
      <w:r w:rsidR="006935CE" w:rsidRPr="00844E73">
        <w:rPr>
          <w:rFonts w:ascii="Times New Roman" w:hAnsi="標楷體" w:hint="eastAsia"/>
          <w:szCs w:val="32"/>
        </w:rPr>
        <w:t>處理結構債</w:t>
      </w:r>
      <w:r w:rsidR="00863E7B" w:rsidRPr="00844E73">
        <w:rPr>
          <w:rFonts w:hAnsi="標楷體" w:hint="eastAsia"/>
        </w:rPr>
        <w:t>「三大原則」，及</w:t>
      </w:r>
      <w:r w:rsidR="009834D2" w:rsidRPr="00844E73">
        <w:rPr>
          <w:rFonts w:hAnsi="標楷體" w:hint="eastAsia"/>
        </w:rPr>
        <w:t>於94年8月加碼要求須於94年12月底前</w:t>
      </w:r>
      <w:r w:rsidR="006935CE" w:rsidRPr="00844E73">
        <w:rPr>
          <w:rFonts w:hAnsi="標楷體" w:hint="eastAsia"/>
        </w:rPr>
        <w:t>「</w:t>
      </w:r>
      <w:r w:rsidR="009834D2" w:rsidRPr="00844E73">
        <w:rPr>
          <w:rFonts w:hAnsi="標楷體" w:hint="eastAsia"/>
        </w:rPr>
        <w:t>限期</w:t>
      </w:r>
      <w:r w:rsidR="006935CE" w:rsidRPr="00844E73">
        <w:rPr>
          <w:rFonts w:hAnsi="標楷體" w:hint="eastAsia"/>
        </w:rPr>
        <w:t>出清」所持有之結構債部位</w:t>
      </w:r>
      <w:r w:rsidR="009834D2" w:rsidRPr="00844E73">
        <w:rPr>
          <w:rFonts w:hAnsi="標楷體" w:hint="eastAsia"/>
        </w:rPr>
        <w:t>等政策，</w:t>
      </w:r>
      <w:r w:rsidR="008756AF" w:rsidRPr="00844E73">
        <w:rPr>
          <w:rFonts w:hAnsi="標楷體" w:hint="eastAsia"/>
        </w:rPr>
        <w:t>雖係緣起於聯合投信事件後</w:t>
      </w:r>
      <w:r w:rsidR="00647CEC" w:rsidRPr="00844E73">
        <w:rPr>
          <w:rFonts w:hAnsi="標楷體" w:hint="eastAsia"/>
        </w:rPr>
        <w:t>之</w:t>
      </w:r>
      <w:r w:rsidR="008756AF" w:rsidRPr="00844E73">
        <w:rPr>
          <w:rFonts w:hAnsi="標楷體" w:hint="eastAsia"/>
        </w:rPr>
        <w:t>債券型基金相關改革</w:t>
      </w:r>
      <w:r w:rsidR="00B912ED" w:rsidRPr="00844E73">
        <w:rPr>
          <w:rFonts w:hAnsi="標楷體" w:hint="eastAsia"/>
        </w:rPr>
        <w:t>措施</w:t>
      </w:r>
      <w:r w:rsidR="008D6A81" w:rsidRPr="00844E73">
        <w:rPr>
          <w:rFonts w:hAnsi="標楷體" w:hint="eastAsia"/>
        </w:rPr>
        <w:t>，然已非</w:t>
      </w:r>
      <w:r w:rsidR="008756AF" w:rsidRPr="00844E73">
        <w:rPr>
          <w:rFonts w:hAnsi="標楷體" w:hint="eastAsia"/>
        </w:rPr>
        <w:t>處理系爭事件</w:t>
      </w:r>
      <w:r w:rsidR="002E55C7" w:rsidRPr="00844E73">
        <w:rPr>
          <w:rFonts w:hAnsi="標楷體" w:hint="eastAsia"/>
        </w:rPr>
        <w:t>「本身」</w:t>
      </w:r>
      <w:r w:rsidR="008756AF" w:rsidRPr="00844E73">
        <w:rPr>
          <w:rFonts w:hAnsi="標楷體" w:hint="eastAsia"/>
        </w:rPr>
        <w:t>之緊急因應</w:t>
      </w:r>
      <w:r w:rsidR="00B912ED" w:rsidRPr="00844E73">
        <w:rPr>
          <w:rFonts w:hAnsi="標楷體" w:hint="eastAsia"/>
        </w:rPr>
        <w:t>方案</w:t>
      </w:r>
      <w:r w:rsidR="00985289" w:rsidRPr="00844E73">
        <w:rPr>
          <w:rFonts w:hAnsi="標楷體" w:hint="eastAsia"/>
        </w:rPr>
        <w:t>；由前揭統計數據觀之，</w:t>
      </w:r>
      <w:r w:rsidR="00985289" w:rsidRPr="00844E73">
        <w:rPr>
          <w:rFonts w:hAnsi="標楷體" w:hint="eastAsia"/>
        </w:rPr>
        <w:lastRenderedPageBreak/>
        <w:t>實難謂</w:t>
      </w:r>
      <w:r w:rsidR="004D4A47" w:rsidRPr="00844E73">
        <w:rPr>
          <w:rFonts w:hAnsi="標楷體" w:hint="eastAsia"/>
        </w:rPr>
        <w:t>仍</w:t>
      </w:r>
      <w:r w:rsidR="008D6A81" w:rsidRPr="00844E73">
        <w:rPr>
          <w:rFonts w:hAnsi="標楷體" w:hint="eastAsia"/>
        </w:rPr>
        <w:t>具相當</w:t>
      </w:r>
      <w:r w:rsidR="0053148C" w:rsidRPr="00844E73">
        <w:rPr>
          <w:rFonts w:hAnsi="標楷體" w:hint="eastAsia"/>
        </w:rPr>
        <w:t>急迫性</w:t>
      </w:r>
      <w:r w:rsidR="002E55C7" w:rsidRPr="00844E73">
        <w:rPr>
          <w:rFonts w:hAnsi="標楷體" w:hint="eastAsia"/>
        </w:rPr>
        <w:t>。</w:t>
      </w:r>
      <w:r w:rsidR="00F11ACC" w:rsidRPr="00844E73">
        <w:rPr>
          <w:rFonts w:hAnsi="標楷體" w:hint="eastAsia"/>
        </w:rPr>
        <w:t>再者，</w:t>
      </w:r>
      <w:r w:rsidR="007B4FDF" w:rsidRPr="00844E73">
        <w:rPr>
          <w:rFonts w:hAnsi="標楷體" w:hint="eastAsia"/>
        </w:rPr>
        <w:t>系爭政策</w:t>
      </w:r>
      <w:r w:rsidR="00F11ACC" w:rsidRPr="00844E73">
        <w:rPr>
          <w:rFonts w:hAnsi="標楷體" w:hint="eastAsia"/>
        </w:rPr>
        <w:t>不區分投信公司體質、規模及流動性情形</w:t>
      </w:r>
      <w:r w:rsidR="00054B1B" w:rsidRPr="00844E73">
        <w:rPr>
          <w:rFonts w:hAnsi="標楷體" w:hint="eastAsia"/>
        </w:rPr>
        <w:t>，亦不問所持有之結構債中，有無具保本</w:t>
      </w:r>
      <w:r w:rsidR="008D6A81" w:rsidRPr="00844E73">
        <w:rPr>
          <w:rFonts w:hAnsi="標楷體" w:hint="eastAsia"/>
        </w:rPr>
        <w:t>性質者</w:t>
      </w:r>
      <w:r w:rsidR="00F11ACC" w:rsidRPr="00844E73">
        <w:rPr>
          <w:rFonts w:hAnsi="標楷體" w:hint="eastAsia"/>
        </w:rPr>
        <w:t>，</w:t>
      </w:r>
      <w:r w:rsidR="008D6A81" w:rsidRPr="00844E73">
        <w:rPr>
          <w:rFonts w:hAnsi="標楷體" w:hint="eastAsia"/>
        </w:rPr>
        <w:t>均</w:t>
      </w:r>
      <w:r w:rsidR="00F11ACC" w:rsidRPr="00844E73">
        <w:rPr>
          <w:rFonts w:hAnsi="標楷體" w:hint="eastAsia"/>
        </w:rPr>
        <w:t>一律要求「所有」業者將</w:t>
      </w:r>
      <w:r w:rsidR="00054B1B" w:rsidRPr="00844E73">
        <w:rPr>
          <w:rFonts w:hAnsi="標楷體" w:hint="eastAsia"/>
        </w:rPr>
        <w:t>「全部」部位</w:t>
      </w:r>
      <w:r w:rsidR="00F11ACC" w:rsidRPr="00844E73">
        <w:rPr>
          <w:rFonts w:hAnsi="標楷體" w:hint="eastAsia"/>
        </w:rPr>
        <w:t>「限期」移出，</w:t>
      </w:r>
      <w:r w:rsidR="008D6A81" w:rsidRPr="00844E73">
        <w:rPr>
          <w:rFonts w:hAnsi="標楷體" w:hint="eastAsia"/>
        </w:rPr>
        <w:t>此</w:t>
      </w:r>
      <w:r w:rsidR="006F12EC" w:rsidRPr="00844E73">
        <w:rPr>
          <w:rFonts w:hAnsi="標楷體" w:hint="eastAsia"/>
        </w:rPr>
        <w:t>雖係基於該會對未來國際利率走勢所為之</w:t>
      </w:r>
      <w:r w:rsidR="00F11ACC" w:rsidRPr="00844E73">
        <w:rPr>
          <w:rFonts w:hAnsi="標楷體" w:hint="eastAsia"/>
        </w:rPr>
        <w:t>判斷，惟就體質相對穩健之業者</w:t>
      </w:r>
      <w:r w:rsidR="008D6A81" w:rsidRPr="00844E73">
        <w:rPr>
          <w:rFonts w:hAnsi="標楷體" w:hint="eastAsia"/>
        </w:rPr>
        <w:t>及具保本條款</w:t>
      </w:r>
      <w:r w:rsidR="00054B1B" w:rsidRPr="00844E73">
        <w:rPr>
          <w:rFonts w:hAnsi="標楷體" w:hint="eastAsia"/>
        </w:rPr>
        <w:t>約定</w:t>
      </w:r>
      <w:r w:rsidR="008D6A81" w:rsidRPr="00844E73">
        <w:rPr>
          <w:rFonts w:hAnsi="標楷體" w:hint="eastAsia"/>
        </w:rPr>
        <w:t>之</w:t>
      </w:r>
      <w:r w:rsidR="00054B1B" w:rsidRPr="00844E73">
        <w:rPr>
          <w:rFonts w:hAnsi="標楷體" w:hint="eastAsia"/>
        </w:rPr>
        <w:t>結構債</w:t>
      </w:r>
      <w:r w:rsidR="00F11ACC" w:rsidRPr="00844E73">
        <w:rPr>
          <w:rFonts w:hAnsi="標楷體" w:hint="eastAsia"/>
        </w:rPr>
        <w:t>而言，顯然並非侵害最小手段，而有違</w:t>
      </w:r>
      <w:r w:rsidR="00054B1B" w:rsidRPr="00844E73">
        <w:rPr>
          <w:rFonts w:hAnsi="標楷體" w:hint="eastAsia"/>
        </w:rPr>
        <w:t>比例原則之</w:t>
      </w:r>
      <w:r w:rsidR="00F11ACC" w:rsidRPr="00844E73">
        <w:rPr>
          <w:rFonts w:hAnsi="標楷體" w:hint="eastAsia"/>
        </w:rPr>
        <w:t>「必要性」</w:t>
      </w:r>
      <w:r w:rsidR="00365DA4" w:rsidRPr="00844E73">
        <w:rPr>
          <w:rFonts w:hAnsi="標楷體" w:hint="eastAsia"/>
        </w:rPr>
        <w:t>；</w:t>
      </w:r>
      <w:r w:rsidR="00F11ACC" w:rsidRPr="00844E73">
        <w:rPr>
          <w:rFonts w:hAnsi="標楷體" w:hint="eastAsia"/>
        </w:rPr>
        <w:t>且形同由主管機關</w:t>
      </w:r>
      <w:r w:rsidR="00DD4477">
        <w:rPr>
          <w:rFonts w:hAnsi="標楷體" w:hint="eastAsia"/>
        </w:rPr>
        <w:t>越俎代庖</w:t>
      </w:r>
      <w:r w:rsidR="00F11ACC" w:rsidRPr="00844E73">
        <w:rPr>
          <w:rFonts w:hAnsi="標楷體" w:hint="eastAsia"/>
        </w:rPr>
        <w:t>代替專業基金經理人做出限時</w:t>
      </w:r>
      <w:r w:rsidR="00E500FF" w:rsidRPr="00844E73">
        <w:rPr>
          <w:rFonts w:hAnsi="標楷體" w:hint="eastAsia"/>
        </w:rPr>
        <w:t>且</w:t>
      </w:r>
      <w:r w:rsidR="00F11ACC" w:rsidRPr="00844E73">
        <w:rPr>
          <w:rFonts w:hAnsi="標楷體" w:hint="eastAsia"/>
        </w:rPr>
        <w:t>全額出清之交易決斷</w:t>
      </w:r>
      <w:r w:rsidR="00E500FF" w:rsidRPr="00844E73">
        <w:rPr>
          <w:rFonts w:hAnsi="標楷體" w:hint="eastAsia"/>
        </w:rPr>
        <w:t>，</w:t>
      </w:r>
      <w:r w:rsidR="00054B1B" w:rsidRPr="00844E73">
        <w:rPr>
          <w:rFonts w:hAnsi="標楷體" w:hint="eastAsia"/>
        </w:rPr>
        <w:t>逾越</w:t>
      </w:r>
      <w:r w:rsidR="00185695" w:rsidRPr="00844E73">
        <w:rPr>
          <w:rFonts w:hAnsi="標楷體" w:hint="eastAsia"/>
        </w:rPr>
        <w:t>職權分際</w:t>
      </w:r>
      <w:r w:rsidR="00FC0F4A" w:rsidRPr="00844E73">
        <w:rPr>
          <w:rFonts w:hAnsi="標楷體" w:hint="eastAsia"/>
        </w:rPr>
        <w:t>；</w:t>
      </w:r>
      <w:r w:rsidR="00E500FF" w:rsidRPr="00844E73">
        <w:rPr>
          <w:rFonts w:hAnsi="標楷體" w:hint="eastAsia"/>
        </w:rPr>
        <w:t>復以</w:t>
      </w:r>
      <w:r w:rsidR="00F11ACC" w:rsidRPr="00844E73">
        <w:rPr>
          <w:rFonts w:hAnsi="標楷體" w:hint="eastAsia"/>
        </w:rPr>
        <w:t>事後利率</w:t>
      </w:r>
      <w:r w:rsidR="00E500FF" w:rsidRPr="00844E73">
        <w:rPr>
          <w:rFonts w:hAnsi="標楷體" w:hint="eastAsia"/>
        </w:rPr>
        <w:t>並</w:t>
      </w:r>
      <w:r w:rsidR="00F11ACC" w:rsidRPr="00844E73">
        <w:rPr>
          <w:rFonts w:hAnsi="標楷體" w:hint="eastAsia"/>
        </w:rPr>
        <w:t>未如主管機關預期之走勢續揚</w:t>
      </w:r>
      <w:r w:rsidR="00F11ACC" w:rsidRPr="00844E73">
        <w:rPr>
          <w:rFonts w:ascii="Times New Roman" w:hAnsi="標楷體"/>
          <w:szCs w:val="32"/>
        </w:rPr>
        <w:t>，</w:t>
      </w:r>
      <w:r w:rsidR="00F11ACC" w:rsidRPr="00844E73">
        <w:rPr>
          <w:rFonts w:ascii="Times New Roman" w:hAnsi="標楷體" w:hint="eastAsia"/>
          <w:szCs w:val="32"/>
        </w:rPr>
        <w:t>投信原所持有之結構債卻早已</w:t>
      </w:r>
      <w:r w:rsidR="00E500FF" w:rsidRPr="00844E73">
        <w:rPr>
          <w:rFonts w:ascii="Times New Roman" w:hAnsi="標楷體" w:hint="eastAsia"/>
          <w:szCs w:val="32"/>
        </w:rPr>
        <w:t>因</w:t>
      </w:r>
      <w:r w:rsidR="00F11ACC" w:rsidRPr="00844E73">
        <w:rPr>
          <w:rFonts w:ascii="Times New Roman" w:hAnsi="標楷體" w:hint="eastAsia"/>
          <w:szCs w:val="32"/>
        </w:rPr>
        <w:t>配合主管機關</w:t>
      </w:r>
      <w:r w:rsidR="00A27D71" w:rsidRPr="00844E73">
        <w:rPr>
          <w:rFonts w:ascii="Times New Roman" w:hAnsi="標楷體" w:hint="eastAsia"/>
          <w:szCs w:val="32"/>
        </w:rPr>
        <w:t>之</w:t>
      </w:r>
      <w:r w:rsidR="00E500FF" w:rsidRPr="00844E73">
        <w:rPr>
          <w:rFonts w:ascii="Times New Roman" w:hAnsi="標楷體" w:hint="eastAsia"/>
          <w:szCs w:val="32"/>
        </w:rPr>
        <w:t>急售</w:t>
      </w:r>
      <w:r w:rsidR="00F11ACC" w:rsidRPr="00844E73">
        <w:rPr>
          <w:rFonts w:ascii="Times New Roman" w:hAnsi="標楷體" w:hint="eastAsia"/>
          <w:szCs w:val="32"/>
        </w:rPr>
        <w:t>決斷</w:t>
      </w:r>
      <w:r w:rsidR="00E500FF" w:rsidRPr="00844E73">
        <w:rPr>
          <w:rFonts w:ascii="Times New Roman" w:hAnsi="標楷體" w:hint="eastAsia"/>
          <w:szCs w:val="32"/>
        </w:rPr>
        <w:t>而</w:t>
      </w:r>
      <w:r w:rsidR="00F11ACC" w:rsidRPr="00844E73">
        <w:rPr>
          <w:rFonts w:ascii="Times New Roman" w:hAnsi="標楷體" w:hint="eastAsia"/>
          <w:szCs w:val="32"/>
        </w:rPr>
        <w:t>蒙受</w:t>
      </w:r>
      <w:r w:rsidR="00F11ACC" w:rsidRPr="00844E73">
        <w:rPr>
          <w:rFonts w:ascii="Times New Roman" w:hAnsi="標楷體" w:hint="eastAsia"/>
          <w:szCs w:val="32"/>
        </w:rPr>
        <w:t>112</w:t>
      </w:r>
      <w:r w:rsidR="00A27D71" w:rsidRPr="00844E73">
        <w:rPr>
          <w:rFonts w:ascii="Times New Roman" w:hAnsi="標楷體" w:hint="eastAsia"/>
          <w:szCs w:val="32"/>
        </w:rPr>
        <w:t>億元之損失，</w:t>
      </w:r>
      <w:r w:rsidR="00054B1B" w:rsidRPr="00844E73">
        <w:rPr>
          <w:rFonts w:ascii="Times New Roman" w:hAnsi="標楷體" w:hint="eastAsia"/>
          <w:szCs w:val="32"/>
        </w:rPr>
        <w:t>更</w:t>
      </w:r>
      <w:r w:rsidR="00185695" w:rsidRPr="00844E73">
        <w:rPr>
          <w:rFonts w:ascii="Times New Roman" w:hAnsi="標楷體" w:hint="eastAsia"/>
          <w:szCs w:val="32"/>
        </w:rPr>
        <w:t>加驗證主管機關當時專斷、不予業者適度彈性做法之不當。</w:t>
      </w:r>
    </w:p>
    <w:p w:rsidR="00570560" w:rsidRPr="00844E73" w:rsidRDefault="00054B1B" w:rsidP="00985289">
      <w:pPr>
        <w:pStyle w:val="3"/>
        <w:rPr>
          <w:rFonts w:hAnsi="標楷體"/>
        </w:rPr>
      </w:pPr>
      <w:r w:rsidRPr="00844E73">
        <w:rPr>
          <w:rFonts w:hAnsi="標楷體" w:hint="eastAsia"/>
        </w:rPr>
        <w:t>次</w:t>
      </w:r>
      <w:r w:rsidR="00E52C0E" w:rsidRPr="00844E73">
        <w:rPr>
          <w:rFonts w:hAnsi="標楷體" w:hint="eastAsia"/>
        </w:rPr>
        <w:t>查，</w:t>
      </w:r>
      <w:r w:rsidR="00570560" w:rsidRPr="00844E73">
        <w:rPr>
          <w:rFonts w:hAnsi="標楷體" w:hint="eastAsia"/>
        </w:rPr>
        <w:t>投信</w:t>
      </w:r>
      <w:r w:rsidR="000366C6" w:rsidRPr="00844E73">
        <w:rPr>
          <w:rFonts w:hAnsi="標楷體" w:hint="eastAsia"/>
        </w:rPr>
        <w:t>因前揭金管</w:t>
      </w:r>
      <w:r w:rsidR="00715687" w:rsidRPr="00844E73">
        <w:rPr>
          <w:rFonts w:hAnsi="標楷體" w:hint="eastAsia"/>
        </w:rPr>
        <w:t>會「三大原則」及「限時出清」等政策，須配合吸收結構債之交易損失；其</w:t>
      </w:r>
      <w:r w:rsidR="000366C6" w:rsidRPr="00844E73">
        <w:rPr>
          <w:rFonts w:hAnsi="標楷體" w:hint="eastAsia"/>
        </w:rPr>
        <w:t>資金來源除由投信融資買入、洽其他金融機構協助提供流動性，或由投信股東增資</w:t>
      </w:r>
      <w:r w:rsidR="00715687" w:rsidRPr="00844E73">
        <w:rPr>
          <w:rFonts w:hAnsi="標楷體" w:hint="eastAsia"/>
        </w:rPr>
        <w:t>等管道</w:t>
      </w:r>
      <w:r w:rsidR="000366C6" w:rsidRPr="00844E73">
        <w:rPr>
          <w:rFonts w:hAnsi="標楷體" w:hint="eastAsia"/>
        </w:rPr>
        <w:t>外，</w:t>
      </w:r>
      <w:r w:rsidR="00715687" w:rsidRPr="00844E73">
        <w:rPr>
          <w:rFonts w:hAnsi="標楷體" w:hint="eastAsia"/>
        </w:rPr>
        <w:t>金管會另並</w:t>
      </w:r>
      <w:r w:rsidRPr="00844E73">
        <w:rPr>
          <w:rFonts w:hAnsi="標楷體" w:hint="eastAsia"/>
        </w:rPr>
        <w:t>推動</w:t>
      </w:r>
      <w:r w:rsidR="00715687" w:rsidRPr="00844E73">
        <w:rPr>
          <w:rFonts w:hAnsi="標楷體" w:hint="eastAsia"/>
        </w:rPr>
        <w:t>「金融資產證券化」方案，</w:t>
      </w:r>
      <w:r w:rsidR="000525AC" w:rsidRPr="00844E73">
        <w:rPr>
          <w:rFonts w:hAnsi="標楷體" w:hint="eastAsia"/>
        </w:rPr>
        <w:t>期透過將結構債轉包裝成</w:t>
      </w:r>
      <w:r w:rsidR="00715687" w:rsidRPr="00844E73">
        <w:rPr>
          <w:rFonts w:hAnsi="標楷體" w:hint="eastAsia"/>
        </w:rPr>
        <w:t>CBO</w:t>
      </w:r>
      <w:r w:rsidR="00715687" w:rsidRPr="00844E73">
        <w:rPr>
          <w:rStyle w:val="aff1"/>
          <w:rFonts w:hAnsi="標楷體"/>
        </w:rPr>
        <w:footnoteReference w:id="16"/>
      </w:r>
      <w:r w:rsidR="00715687" w:rsidRPr="00844E73">
        <w:rPr>
          <w:rFonts w:hAnsi="標楷體" w:hint="eastAsia"/>
        </w:rPr>
        <w:t>或ABCP</w:t>
      </w:r>
      <w:r w:rsidR="009E1254" w:rsidRPr="00844E73">
        <w:rPr>
          <w:rStyle w:val="aff1"/>
          <w:rFonts w:hAnsi="標楷體"/>
        </w:rPr>
        <w:footnoteReference w:id="17"/>
      </w:r>
      <w:r w:rsidR="000525AC" w:rsidRPr="00844E73">
        <w:rPr>
          <w:rFonts w:hAnsi="標楷體" w:hint="eastAsia"/>
        </w:rPr>
        <w:t>商品，</w:t>
      </w:r>
      <w:r w:rsidR="00715687" w:rsidRPr="00844E73">
        <w:rPr>
          <w:rFonts w:hAnsi="標楷體" w:hint="eastAsia"/>
        </w:rPr>
        <w:t>提升收益率，</w:t>
      </w:r>
      <w:r w:rsidR="000525AC" w:rsidRPr="00844E73">
        <w:rPr>
          <w:rFonts w:hAnsi="標楷體" w:hint="eastAsia"/>
        </w:rPr>
        <w:t>以</w:t>
      </w:r>
      <w:r w:rsidR="00715687" w:rsidRPr="00844E73">
        <w:rPr>
          <w:rFonts w:hAnsi="標楷體" w:hint="eastAsia"/>
        </w:rPr>
        <w:t>增加順利出清機會。</w:t>
      </w:r>
      <w:r w:rsidR="009E1254" w:rsidRPr="00844E73">
        <w:rPr>
          <w:rFonts w:hAnsi="標楷體" w:hint="eastAsia"/>
        </w:rPr>
        <w:t>然而</w:t>
      </w:r>
      <w:r w:rsidR="00900AFF" w:rsidRPr="00844E73">
        <w:rPr>
          <w:rFonts w:hAnsi="標楷體" w:hint="eastAsia"/>
        </w:rPr>
        <w:t>，</w:t>
      </w:r>
      <w:r w:rsidR="00900AFF" w:rsidRPr="00844E73">
        <w:rPr>
          <w:rFonts w:hAnsi="標楷體"/>
        </w:rPr>
        <w:t>一方面</w:t>
      </w:r>
      <w:r w:rsidR="000525AC" w:rsidRPr="00844E73">
        <w:rPr>
          <w:rFonts w:hAnsi="標楷體" w:hint="eastAsia"/>
        </w:rPr>
        <w:t>CBO</w:t>
      </w:r>
      <w:r w:rsidRPr="00844E73">
        <w:rPr>
          <w:rFonts w:hAnsi="標楷體" w:hint="eastAsia"/>
        </w:rPr>
        <w:t>之</w:t>
      </w:r>
      <w:r w:rsidR="00900AFF" w:rsidRPr="00844E73">
        <w:rPr>
          <w:rFonts w:hAnsi="標楷體"/>
        </w:rPr>
        <w:t>收益率</w:t>
      </w:r>
      <w:r w:rsidR="00900AFF" w:rsidRPr="00844E73">
        <w:rPr>
          <w:rFonts w:hAnsi="標楷體" w:hint="eastAsia"/>
        </w:rPr>
        <w:t>未必</w:t>
      </w:r>
      <w:r w:rsidRPr="00844E73">
        <w:rPr>
          <w:rFonts w:hAnsi="標楷體" w:hint="eastAsia"/>
        </w:rPr>
        <w:t>確</w:t>
      </w:r>
      <w:r w:rsidR="00900AFF" w:rsidRPr="00844E73">
        <w:rPr>
          <w:rFonts w:hAnsi="標楷體"/>
        </w:rPr>
        <w:t>有足夠吸引力</w:t>
      </w:r>
      <w:r w:rsidR="00082FB6" w:rsidRPr="00844E73">
        <w:rPr>
          <w:rFonts w:hAnsi="標楷體" w:hint="eastAsia"/>
        </w:rPr>
        <w:t>，如台</w:t>
      </w:r>
      <w:r w:rsidR="000525AC" w:rsidRPr="00844E73">
        <w:rPr>
          <w:rFonts w:hAnsi="標楷體" w:hint="eastAsia"/>
        </w:rPr>
        <w:t>灣工銀證券股份有限公司</w:t>
      </w:r>
      <w:r w:rsidR="00082FB6" w:rsidRPr="00844E73">
        <w:rPr>
          <w:rFonts w:hAnsi="標楷體" w:hint="eastAsia"/>
        </w:rPr>
        <w:t>（下稱台</w:t>
      </w:r>
      <w:r w:rsidR="001634D5" w:rsidRPr="00844E73">
        <w:rPr>
          <w:rFonts w:hAnsi="標楷體" w:hint="eastAsia"/>
        </w:rPr>
        <w:t>灣工銀證券）</w:t>
      </w:r>
      <w:r w:rsidR="000525AC" w:rsidRPr="00844E73">
        <w:rPr>
          <w:rFonts w:hAnsi="標楷體" w:hint="eastAsia"/>
        </w:rPr>
        <w:t>為協助大眾投信及金鼎投信處理結構債</w:t>
      </w:r>
      <w:r w:rsidR="001634D5" w:rsidRPr="00844E73">
        <w:rPr>
          <w:rFonts w:hAnsi="標楷體" w:hint="eastAsia"/>
        </w:rPr>
        <w:t>所</w:t>
      </w:r>
      <w:r w:rsidR="000525AC" w:rsidRPr="00844E73">
        <w:rPr>
          <w:rFonts w:hAnsi="標楷體" w:hint="eastAsia"/>
        </w:rPr>
        <w:t>發行之CBO(94工銀債)</w:t>
      </w:r>
      <w:r w:rsidR="001634D5" w:rsidRPr="00844E73">
        <w:rPr>
          <w:rFonts w:hAnsi="標楷體" w:hint="eastAsia"/>
        </w:rPr>
        <w:t>，即發生求售無門現象；</w:t>
      </w:r>
      <w:r w:rsidR="00900AFF" w:rsidRPr="00844E73">
        <w:rPr>
          <w:rFonts w:hAnsi="標楷體"/>
        </w:rPr>
        <w:t>另方面，</w:t>
      </w:r>
      <w:r w:rsidR="00900AFF" w:rsidRPr="00844E73">
        <w:rPr>
          <w:rFonts w:hAnsi="標楷體" w:hint="eastAsia"/>
        </w:rPr>
        <w:t>要</w:t>
      </w:r>
      <w:r w:rsidR="000525AC" w:rsidRPr="00844E73">
        <w:rPr>
          <w:rFonts w:hAnsi="標楷體"/>
        </w:rPr>
        <w:t>讓債券提高收益率，</w:t>
      </w:r>
      <w:r w:rsidR="000525AC" w:rsidRPr="00844E73">
        <w:rPr>
          <w:rFonts w:hAnsi="標楷體" w:hint="eastAsia"/>
        </w:rPr>
        <w:t>必須</w:t>
      </w:r>
      <w:r w:rsidR="001634D5" w:rsidRPr="00844E73">
        <w:rPr>
          <w:rFonts w:hAnsi="標楷體"/>
        </w:rPr>
        <w:t>引進國外證券</w:t>
      </w:r>
      <w:r w:rsidR="001634D5" w:rsidRPr="00844E73">
        <w:rPr>
          <w:rFonts w:hAnsi="標楷體" w:hint="eastAsia"/>
        </w:rPr>
        <w:t>，並承擔較高之</w:t>
      </w:r>
      <w:r w:rsidR="001634D5" w:rsidRPr="00844E73">
        <w:rPr>
          <w:rFonts w:hAnsi="標楷體"/>
        </w:rPr>
        <w:t>信用風險</w:t>
      </w:r>
      <w:r w:rsidR="00082FB6" w:rsidRPr="00844E73">
        <w:rPr>
          <w:rFonts w:hAnsi="標楷體" w:hint="eastAsia"/>
        </w:rPr>
        <w:t>。就前者而言，台灣工銀證券即</w:t>
      </w:r>
      <w:r w:rsidR="001634D5" w:rsidRPr="00844E73">
        <w:rPr>
          <w:rFonts w:hAnsi="標楷體" w:hint="eastAsia"/>
        </w:rPr>
        <w:t>因</w:t>
      </w:r>
      <w:r w:rsidR="00082FB6" w:rsidRPr="00844E73">
        <w:rPr>
          <w:rFonts w:hAnsi="標楷體" w:hint="eastAsia"/>
        </w:rPr>
        <w:t>該</w:t>
      </w:r>
      <w:r w:rsidR="001634D5" w:rsidRPr="00844E73">
        <w:rPr>
          <w:rFonts w:hAnsi="標楷體" w:hint="eastAsia"/>
        </w:rPr>
        <w:t>CBO</w:t>
      </w:r>
      <w:r w:rsidR="00082FB6" w:rsidRPr="00844E73">
        <w:rPr>
          <w:rFonts w:hAnsi="標楷體" w:hint="eastAsia"/>
        </w:rPr>
        <w:t>(94工銀債)</w:t>
      </w:r>
      <w:r w:rsidR="001634D5" w:rsidRPr="00844E73">
        <w:rPr>
          <w:rFonts w:hAnsi="標楷體" w:hint="eastAsia"/>
        </w:rPr>
        <w:t>無法順利銷售</w:t>
      </w:r>
      <w:r w:rsidR="00082FB6" w:rsidRPr="00844E73">
        <w:rPr>
          <w:rFonts w:hAnsi="標楷體" w:hint="eastAsia"/>
        </w:rPr>
        <w:t>，將導致違反證券商管理規則第19條規定</w:t>
      </w:r>
      <w:r w:rsidR="009A2433" w:rsidRPr="00844E73">
        <w:rPr>
          <w:rFonts w:hAnsi="標楷體" w:hint="eastAsia"/>
        </w:rPr>
        <w:t>(即證券商因承銷取得有價證券與自行買賣部分併計之成本</w:t>
      </w:r>
      <w:r w:rsidR="009A2433" w:rsidRPr="00844E73">
        <w:rPr>
          <w:rFonts w:hAnsi="標楷體" w:hint="eastAsia"/>
        </w:rPr>
        <w:lastRenderedPageBreak/>
        <w:t>總額，不得</w:t>
      </w:r>
      <w:r w:rsidRPr="00844E73">
        <w:rPr>
          <w:rFonts w:hAnsi="標楷體" w:hint="eastAsia"/>
        </w:rPr>
        <w:t>逾</w:t>
      </w:r>
      <w:r w:rsidR="009A2433" w:rsidRPr="00844E73">
        <w:rPr>
          <w:rFonts w:hAnsi="標楷體" w:hint="eastAsia"/>
        </w:rPr>
        <w:t>其資本淨額的</w:t>
      </w:r>
      <w:r w:rsidRPr="00844E73">
        <w:rPr>
          <w:rFonts w:hAnsi="標楷體" w:hint="eastAsia"/>
        </w:rPr>
        <w:t>百分之20</w:t>
      </w:r>
      <w:r w:rsidR="009A2433" w:rsidRPr="00844E73">
        <w:rPr>
          <w:rFonts w:hAnsi="標楷體" w:hint="eastAsia"/>
        </w:rPr>
        <w:t>)</w:t>
      </w:r>
      <w:r w:rsidR="00082FB6" w:rsidRPr="00844E73">
        <w:rPr>
          <w:rFonts w:hAnsi="標楷體" w:hint="eastAsia"/>
        </w:rPr>
        <w:t>，故將該CBO售予</w:t>
      </w:r>
      <w:r w:rsidRPr="00844E73">
        <w:rPr>
          <w:rFonts w:hAnsi="標楷體" w:hint="eastAsia"/>
        </w:rPr>
        <w:t>「</w:t>
      </w:r>
      <w:r w:rsidR="00082FB6" w:rsidRPr="00844E73">
        <w:rPr>
          <w:rFonts w:hAnsi="標楷體" w:hint="eastAsia"/>
        </w:rPr>
        <w:t>見一投資公司</w:t>
      </w:r>
      <w:r w:rsidRPr="00844E73">
        <w:rPr>
          <w:rFonts w:hAnsi="標楷體" w:hint="eastAsia"/>
        </w:rPr>
        <w:t>」</w:t>
      </w:r>
      <w:r w:rsidR="00082FB6" w:rsidRPr="00844E73">
        <w:rPr>
          <w:rFonts w:hAnsi="標楷體" w:hint="eastAsia"/>
        </w:rPr>
        <w:t>及</w:t>
      </w:r>
      <w:r w:rsidRPr="00844E73">
        <w:rPr>
          <w:rFonts w:hAnsi="標楷體" w:hint="eastAsia"/>
        </w:rPr>
        <w:t>「</w:t>
      </w:r>
      <w:r w:rsidR="00082FB6" w:rsidRPr="00844E73">
        <w:rPr>
          <w:rFonts w:hAnsi="標楷體" w:hint="eastAsia"/>
        </w:rPr>
        <w:t>世宇投資公司</w:t>
      </w:r>
      <w:r w:rsidRPr="00844E73">
        <w:rPr>
          <w:rFonts w:hAnsi="標楷體" w:hint="eastAsia"/>
        </w:rPr>
        <w:t>」，台灣工銀證券再</w:t>
      </w:r>
      <w:r w:rsidR="00082FB6" w:rsidRPr="00844E73">
        <w:rPr>
          <w:rFonts w:hAnsi="標楷體" w:hint="eastAsia"/>
        </w:rPr>
        <w:t>迅即與該</w:t>
      </w:r>
      <w:r w:rsidR="009A2433" w:rsidRPr="00844E73">
        <w:rPr>
          <w:rFonts w:hAnsi="標楷體" w:hint="eastAsia"/>
        </w:rPr>
        <w:t>2</w:t>
      </w:r>
      <w:r w:rsidR="00082FB6" w:rsidRPr="00844E73">
        <w:rPr>
          <w:rFonts w:hAnsi="標楷體" w:hint="eastAsia"/>
        </w:rPr>
        <w:t>客戶</w:t>
      </w:r>
      <w:r w:rsidR="009A2433" w:rsidRPr="00844E73">
        <w:rPr>
          <w:rFonts w:hAnsi="標楷體" w:hint="eastAsia"/>
        </w:rPr>
        <w:t>承作此CBO之附賣回(RS)</w:t>
      </w:r>
      <w:r w:rsidR="00CD01D1" w:rsidRPr="00844E73">
        <w:rPr>
          <w:rFonts w:hAnsi="標楷體" w:hint="eastAsia"/>
        </w:rPr>
        <w:t>交易；</w:t>
      </w:r>
      <w:r w:rsidR="009A2433" w:rsidRPr="00844E73">
        <w:rPr>
          <w:rFonts w:hAnsi="標楷體" w:hint="eastAsia"/>
        </w:rPr>
        <w:t>惟97年12月19日附賣回交易到期，該2客戶均無法履行交割義務，因而爆發28億元之違約交割事件。</w:t>
      </w:r>
      <w:r w:rsidR="00CD01D1" w:rsidRPr="00844E73">
        <w:rPr>
          <w:rFonts w:hAnsi="標楷體" w:hint="eastAsia"/>
        </w:rPr>
        <w:t>就後者而言</w:t>
      </w:r>
      <w:r w:rsidRPr="00844E73">
        <w:rPr>
          <w:rFonts w:hAnsi="標楷體" w:hint="eastAsia"/>
        </w:rPr>
        <w:t>，則</w:t>
      </w:r>
      <w:r w:rsidR="00CD01D1" w:rsidRPr="00844E73">
        <w:rPr>
          <w:rFonts w:hAnsi="標楷體" w:hint="eastAsia"/>
        </w:rPr>
        <w:t>因</w:t>
      </w:r>
      <w:r w:rsidRPr="00844E73">
        <w:rPr>
          <w:rFonts w:hAnsi="標楷體" w:hint="eastAsia"/>
        </w:rPr>
        <w:t>美國雷曼兄弟公司資產擔保之國外債券被納進了</w:t>
      </w:r>
      <w:r w:rsidR="00CD01D1" w:rsidRPr="00844E73">
        <w:rPr>
          <w:rFonts w:hAnsi="標楷體" w:hint="eastAsia"/>
        </w:rPr>
        <w:t>相關ABCP</w:t>
      </w:r>
      <w:r w:rsidRPr="00844E73">
        <w:rPr>
          <w:rFonts w:hAnsi="標楷體" w:hint="eastAsia"/>
        </w:rPr>
        <w:t>商品</w:t>
      </w:r>
      <w:r w:rsidR="00CD01D1" w:rsidRPr="00844E73">
        <w:rPr>
          <w:rFonts w:hAnsi="標楷體" w:hint="eastAsia"/>
        </w:rPr>
        <w:t>，96年6</w:t>
      </w:r>
      <w:r w:rsidR="00112F11" w:rsidRPr="00844E73">
        <w:rPr>
          <w:rFonts w:hAnsi="標楷體" w:hint="eastAsia"/>
        </w:rPr>
        <w:t>月</w:t>
      </w:r>
      <w:r w:rsidR="00CD01D1" w:rsidRPr="00844E73">
        <w:rPr>
          <w:rFonts w:hint="eastAsia"/>
        </w:rPr>
        <w:t>美國次級</w:t>
      </w:r>
      <w:r w:rsidR="00112F11" w:rsidRPr="00844E73">
        <w:t>房貸</w:t>
      </w:r>
      <w:r w:rsidR="00112F11" w:rsidRPr="00844E73">
        <w:rPr>
          <w:rFonts w:hint="eastAsia"/>
        </w:rPr>
        <w:t>風暴爆發，該公司於同年9</w:t>
      </w:r>
      <w:r w:rsidRPr="00844E73">
        <w:rPr>
          <w:rFonts w:hint="eastAsia"/>
        </w:rPr>
        <w:t>月</w:t>
      </w:r>
      <w:r w:rsidR="00112F11" w:rsidRPr="00844E73">
        <w:rPr>
          <w:rFonts w:hint="eastAsia"/>
        </w:rPr>
        <w:t>宣告破產，兆豐商業銀行股份有限公司即因接手兆豐國際投信旗下基金持有之雷曼兄弟公司擔保之ABCP產品，</w:t>
      </w:r>
      <w:r w:rsidRPr="00844E73">
        <w:rPr>
          <w:rFonts w:hint="eastAsia"/>
        </w:rPr>
        <w:t>因</w:t>
      </w:r>
      <w:r w:rsidR="00112F11" w:rsidRPr="00844E73">
        <w:rPr>
          <w:rFonts w:hint="eastAsia"/>
        </w:rPr>
        <w:t>而承受10</w:t>
      </w:r>
      <w:r w:rsidRPr="00844E73">
        <w:rPr>
          <w:rFonts w:hint="eastAsia"/>
        </w:rPr>
        <w:t>億元損失</w:t>
      </w:r>
      <w:r w:rsidR="00112F11" w:rsidRPr="00844E73">
        <w:rPr>
          <w:rFonts w:hint="eastAsia"/>
        </w:rPr>
        <w:t>。凡此，均在在印證當初</w:t>
      </w:r>
      <w:r w:rsidR="00551583" w:rsidRPr="00844E73">
        <w:rPr>
          <w:rFonts w:hint="eastAsia"/>
        </w:rPr>
        <w:t>處理結構債問題之時程與方式過於操切與</w:t>
      </w:r>
      <w:r w:rsidRPr="00844E73">
        <w:rPr>
          <w:rFonts w:hint="eastAsia"/>
        </w:rPr>
        <w:t>缺乏彈性，以致埋下</w:t>
      </w:r>
      <w:r w:rsidR="00551583" w:rsidRPr="00844E73">
        <w:rPr>
          <w:rFonts w:hint="eastAsia"/>
        </w:rPr>
        <w:t>後續相關金融事件之遠因。</w:t>
      </w:r>
    </w:p>
    <w:p w:rsidR="006F12EC" w:rsidRPr="00844E73" w:rsidRDefault="001724C6" w:rsidP="006F12EC">
      <w:pPr>
        <w:pStyle w:val="3"/>
      </w:pPr>
      <w:r w:rsidRPr="00844E73">
        <w:rPr>
          <w:rFonts w:hAnsi="標楷體" w:hint="eastAsia"/>
        </w:rPr>
        <w:t>綜上所述，</w:t>
      </w:r>
      <w:r w:rsidR="006F12EC" w:rsidRPr="00844E73">
        <w:rPr>
          <w:rFonts w:hAnsi="標楷體" w:hint="eastAsia"/>
        </w:rPr>
        <w:t>「三大原則」雖係緣起於聯合投信事件後之債券型基金相關改革措施，然已非處理系爭事件「本身」之緊急因應方案，難謂仍具相當急迫性。</w:t>
      </w:r>
      <w:r w:rsidR="00365DA4" w:rsidRPr="00844E73">
        <w:rPr>
          <w:rFonts w:hAnsi="標楷體" w:hint="eastAsia"/>
        </w:rPr>
        <w:t>嗣</w:t>
      </w:r>
      <w:r w:rsidR="006F12EC" w:rsidRPr="00844E73">
        <w:rPr>
          <w:rFonts w:hAnsi="標楷體" w:hint="eastAsia"/>
        </w:rPr>
        <w:t>該會基於對國際利率走勢之</w:t>
      </w:r>
      <w:r w:rsidR="00365DA4" w:rsidRPr="00844E73">
        <w:rPr>
          <w:rFonts w:hAnsi="標楷體" w:hint="eastAsia"/>
        </w:rPr>
        <w:t>判斷</w:t>
      </w:r>
      <w:r w:rsidR="006F12EC" w:rsidRPr="00844E73">
        <w:rPr>
          <w:rFonts w:hAnsi="標楷體" w:hint="eastAsia"/>
        </w:rPr>
        <w:t>，</w:t>
      </w:r>
      <w:r w:rsidR="005A171B" w:rsidRPr="00844E73">
        <w:rPr>
          <w:rFonts w:hAnsi="標楷體" w:hint="eastAsia"/>
        </w:rPr>
        <w:t>加碼提出「限時移出」政策，亦</w:t>
      </w:r>
      <w:r w:rsidR="00365DA4" w:rsidRPr="00844E73">
        <w:rPr>
          <w:rFonts w:hAnsi="標楷體" w:hint="eastAsia"/>
        </w:rPr>
        <w:t>因未</w:t>
      </w:r>
      <w:r w:rsidR="006F12EC" w:rsidRPr="00844E73">
        <w:rPr>
          <w:rFonts w:hAnsi="標楷體" w:hint="eastAsia"/>
        </w:rPr>
        <w:t>區分投信公司體質、規模</w:t>
      </w:r>
      <w:r w:rsidR="00414E33" w:rsidRPr="00844E73">
        <w:rPr>
          <w:rFonts w:hAnsi="標楷體" w:hint="eastAsia"/>
        </w:rPr>
        <w:t>、</w:t>
      </w:r>
      <w:r w:rsidR="006F12EC" w:rsidRPr="00844E73">
        <w:rPr>
          <w:rFonts w:hAnsi="標楷體" w:hint="eastAsia"/>
        </w:rPr>
        <w:t>流</w:t>
      </w:r>
      <w:r w:rsidR="00AD2292" w:rsidRPr="00844E73">
        <w:rPr>
          <w:rFonts w:hAnsi="標楷體" w:hint="eastAsia"/>
        </w:rPr>
        <w:t>動性情形</w:t>
      </w:r>
      <w:r w:rsidR="006F12EC" w:rsidRPr="00844E73">
        <w:rPr>
          <w:rFonts w:hAnsi="標楷體" w:hint="eastAsia"/>
        </w:rPr>
        <w:t>，</w:t>
      </w:r>
      <w:r w:rsidR="00414E33" w:rsidRPr="00844E73">
        <w:rPr>
          <w:rFonts w:hAnsi="標楷體" w:hint="eastAsia"/>
        </w:rPr>
        <w:t>及</w:t>
      </w:r>
      <w:r w:rsidR="00365DA4" w:rsidRPr="00844E73">
        <w:rPr>
          <w:rFonts w:hAnsi="標楷體" w:hint="eastAsia"/>
        </w:rPr>
        <w:t>所持有之結構債中</w:t>
      </w:r>
      <w:r w:rsidR="00AE7760" w:rsidRPr="00844E73">
        <w:rPr>
          <w:rFonts w:hAnsi="標楷體" w:hint="eastAsia"/>
        </w:rPr>
        <w:t>，</w:t>
      </w:r>
      <w:r w:rsidR="00414E33" w:rsidRPr="00844E73">
        <w:rPr>
          <w:rFonts w:hAnsi="標楷體" w:hint="eastAsia"/>
        </w:rPr>
        <w:t>有無具保本性質</w:t>
      </w:r>
      <w:r w:rsidR="00AD2292" w:rsidRPr="00844E73">
        <w:rPr>
          <w:rFonts w:hAnsi="標楷體" w:hint="eastAsia"/>
        </w:rPr>
        <w:t>者等不同態樣</w:t>
      </w:r>
      <w:r w:rsidR="00365DA4" w:rsidRPr="00844E73">
        <w:rPr>
          <w:rFonts w:hAnsi="標楷體" w:hint="eastAsia"/>
        </w:rPr>
        <w:t>，</w:t>
      </w:r>
      <w:r w:rsidR="007C4852" w:rsidRPr="00844E73">
        <w:rPr>
          <w:rFonts w:hAnsi="標楷體" w:hint="eastAsia"/>
        </w:rPr>
        <w:t>而異其</w:t>
      </w:r>
      <w:r w:rsidR="00AD2292" w:rsidRPr="00844E73">
        <w:rPr>
          <w:rFonts w:hAnsi="標楷體" w:hint="eastAsia"/>
        </w:rPr>
        <w:t>處理</w:t>
      </w:r>
      <w:r w:rsidR="007C4852" w:rsidRPr="00844E73">
        <w:rPr>
          <w:rFonts w:hAnsi="標楷體" w:hint="eastAsia"/>
        </w:rPr>
        <w:t>作法</w:t>
      </w:r>
      <w:r w:rsidR="00414E33" w:rsidRPr="00844E73">
        <w:rPr>
          <w:rFonts w:hAnsi="標楷體" w:hint="eastAsia"/>
        </w:rPr>
        <w:t>，</w:t>
      </w:r>
      <w:r w:rsidR="007C4852" w:rsidRPr="00844E73">
        <w:rPr>
          <w:rFonts w:hAnsi="標楷體" w:hint="eastAsia"/>
        </w:rPr>
        <w:t>顯然並非侵害最小手段，而有違比例原則之「必要性」</w:t>
      </w:r>
      <w:r w:rsidR="00AD2292" w:rsidRPr="00844E73">
        <w:rPr>
          <w:rFonts w:hAnsi="標楷體" w:hint="eastAsia"/>
        </w:rPr>
        <w:t>。</w:t>
      </w:r>
      <w:r w:rsidR="00414E33" w:rsidRPr="00844E73">
        <w:rPr>
          <w:rFonts w:hAnsi="標楷體" w:hint="eastAsia"/>
        </w:rPr>
        <w:t>復以事後利率未如該會預期走升</w:t>
      </w:r>
      <w:r w:rsidR="005A171B" w:rsidRPr="00844E73">
        <w:rPr>
          <w:rFonts w:hAnsi="標楷體" w:hint="eastAsia"/>
        </w:rPr>
        <w:t>，且</w:t>
      </w:r>
      <w:r w:rsidR="00414E33" w:rsidRPr="00844E73">
        <w:rPr>
          <w:rFonts w:hAnsi="標楷體" w:hint="eastAsia"/>
        </w:rPr>
        <w:t>相關「金融資產證券化」配套機制反引發後續</w:t>
      </w:r>
      <w:r w:rsidR="00AD2292" w:rsidRPr="00844E73">
        <w:rPr>
          <w:rFonts w:hAnsi="標楷體" w:hint="eastAsia"/>
        </w:rPr>
        <w:t>之金融事件等，更</w:t>
      </w:r>
      <w:r w:rsidR="005A171B" w:rsidRPr="00844E73">
        <w:rPr>
          <w:rFonts w:hAnsi="標楷體" w:hint="eastAsia"/>
        </w:rPr>
        <w:t>凸顯該會</w:t>
      </w:r>
      <w:r w:rsidR="00AD2292" w:rsidRPr="00844E73">
        <w:rPr>
          <w:rFonts w:hAnsi="標楷體" w:hint="eastAsia"/>
        </w:rPr>
        <w:t>當時</w:t>
      </w:r>
      <w:r w:rsidR="00DD4477">
        <w:rPr>
          <w:rFonts w:hAnsi="標楷體" w:hint="eastAsia"/>
        </w:rPr>
        <w:t>越俎代庖</w:t>
      </w:r>
      <w:r w:rsidR="007C4852" w:rsidRPr="00844E73">
        <w:rPr>
          <w:rFonts w:hAnsi="標楷體" w:hint="eastAsia"/>
        </w:rPr>
        <w:t>，且專斷</w:t>
      </w:r>
      <w:r w:rsidR="00AD2292" w:rsidRPr="00844E73">
        <w:rPr>
          <w:rFonts w:hAnsi="標楷體" w:hint="eastAsia"/>
        </w:rPr>
        <w:t>、不予業者適度</w:t>
      </w:r>
      <w:r w:rsidR="00AD2292" w:rsidRPr="00844E73">
        <w:rPr>
          <w:rFonts w:ascii="Times New Roman" w:hAnsi="標楷體" w:hint="eastAsia"/>
          <w:szCs w:val="32"/>
        </w:rPr>
        <w:t>彈性做法之不當</w:t>
      </w:r>
      <w:r w:rsidR="005A171B" w:rsidRPr="00844E73">
        <w:rPr>
          <w:rFonts w:hAnsi="標楷體" w:hint="eastAsia"/>
        </w:rPr>
        <w:t>，核有</w:t>
      </w:r>
      <w:r w:rsidR="00AD2292" w:rsidRPr="00844E73">
        <w:rPr>
          <w:rFonts w:hAnsi="標楷體" w:hint="eastAsia"/>
        </w:rPr>
        <w:t>違失</w:t>
      </w:r>
      <w:r w:rsidR="007C4852" w:rsidRPr="00844E73">
        <w:rPr>
          <w:rFonts w:ascii="Times New Roman" w:hAnsi="標楷體" w:hint="eastAsia"/>
          <w:szCs w:val="32"/>
        </w:rPr>
        <w:t>。</w:t>
      </w:r>
    </w:p>
    <w:p w:rsidR="00E15576" w:rsidRPr="009A3088" w:rsidRDefault="00CB0275" w:rsidP="00E15576">
      <w:pPr>
        <w:pStyle w:val="2"/>
        <w:rPr>
          <w:rFonts w:hAnsi="標楷體"/>
          <w:b/>
        </w:rPr>
      </w:pPr>
      <w:r w:rsidRPr="009A3088">
        <w:rPr>
          <w:rFonts w:hAnsi="標楷體" w:hint="eastAsia"/>
          <w:b/>
        </w:rPr>
        <w:t>金管會</w:t>
      </w:r>
      <w:r w:rsidR="00027E5F" w:rsidRPr="009A3088">
        <w:rPr>
          <w:rFonts w:hAnsi="標楷體" w:hint="eastAsia"/>
          <w:b/>
        </w:rPr>
        <w:t>以</w:t>
      </w:r>
      <w:r w:rsidRPr="009A3088">
        <w:rPr>
          <w:rFonts w:hAnsi="標楷體" w:hint="eastAsia"/>
          <w:b/>
        </w:rPr>
        <w:t>「三大原則」</w:t>
      </w:r>
      <w:r w:rsidR="00027E5F" w:rsidRPr="009A3088">
        <w:rPr>
          <w:rFonts w:hAnsi="標楷體" w:hint="eastAsia"/>
          <w:b/>
        </w:rPr>
        <w:t>及「限時出清」等政策，強使</w:t>
      </w:r>
      <w:r w:rsidR="00A337E7" w:rsidRPr="009A3088">
        <w:rPr>
          <w:rFonts w:hAnsi="標楷體" w:hint="eastAsia"/>
          <w:b/>
        </w:rPr>
        <w:t>業者配合</w:t>
      </w:r>
      <w:r w:rsidR="006D7D57" w:rsidRPr="009A3088">
        <w:rPr>
          <w:rFonts w:hAnsi="標楷體" w:hint="eastAsia"/>
          <w:b/>
        </w:rPr>
        <w:t>出清所持有之結構債及</w:t>
      </w:r>
      <w:r w:rsidR="00F971BC" w:rsidRPr="009A3088">
        <w:rPr>
          <w:rFonts w:hAnsi="標楷體" w:hint="eastAsia"/>
          <w:b/>
        </w:rPr>
        <w:t>吸收所</w:t>
      </w:r>
      <w:r w:rsidR="00E77BF2" w:rsidRPr="009A3088">
        <w:rPr>
          <w:rFonts w:hAnsi="標楷體" w:hint="eastAsia"/>
          <w:b/>
        </w:rPr>
        <w:t>產生之虧損，</w:t>
      </w:r>
      <w:r w:rsidR="00A337E7" w:rsidRPr="009A3088">
        <w:rPr>
          <w:rFonts w:hAnsi="標楷體" w:hint="eastAsia"/>
          <w:b/>
        </w:rPr>
        <w:t>事後</w:t>
      </w:r>
      <w:r w:rsidR="00E4370A" w:rsidRPr="009A3088">
        <w:rPr>
          <w:rFonts w:hAnsi="標楷體" w:hint="eastAsia"/>
          <w:b/>
        </w:rPr>
        <w:t>該會檢查局</w:t>
      </w:r>
      <w:r w:rsidR="00027E5F" w:rsidRPr="009A3088">
        <w:rPr>
          <w:rFonts w:hAnsi="標楷體" w:hint="eastAsia"/>
          <w:b/>
        </w:rPr>
        <w:t>卻將部分業者以</w:t>
      </w:r>
      <w:r w:rsidR="00E4370A" w:rsidRPr="009A3088">
        <w:rPr>
          <w:rFonts w:hAnsi="標楷體" w:hint="eastAsia"/>
          <w:b/>
        </w:rPr>
        <w:t>相關操作</w:t>
      </w:r>
      <w:r w:rsidR="006D7D57" w:rsidRPr="009A3088">
        <w:rPr>
          <w:rFonts w:hAnsi="標楷體" w:hint="eastAsia"/>
          <w:b/>
        </w:rPr>
        <w:t>涉及刑事不法</w:t>
      </w:r>
      <w:r w:rsidR="00027E5F" w:rsidRPr="009A3088">
        <w:rPr>
          <w:rFonts w:hAnsi="標楷體" w:hint="eastAsia"/>
          <w:b/>
        </w:rPr>
        <w:t>，移送檢調偵辦</w:t>
      </w:r>
      <w:r w:rsidR="006D7D57" w:rsidRPr="009A3088">
        <w:rPr>
          <w:rFonts w:hAnsi="標楷體" w:hint="eastAsia"/>
          <w:b/>
        </w:rPr>
        <w:t>，</w:t>
      </w:r>
      <w:r w:rsidR="00F971BC" w:rsidRPr="009A3088">
        <w:rPr>
          <w:rFonts w:hAnsi="標楷體" w:hint="eastAsia"/>
          <w:b/>
        </w:rPr>
        <w:t>其間除凸顯主管機關橫向聯繫不足外，相關作為更難認與</w:t>
      </w:r>
      <w:r w:rsidR="00E4370A" w:rsidRPr="009A3088">
        <w:rPr>
          <w:rFonts w:hAnsi="標楷體" w:hint="eastAsia"/>
          <w:b/>
        </w:rPr>
        <w:t>行政程序法第8條所揭</w:t>
      </w:r>
      <w:r w:rsidR="00E4370A" w:rsidRPr="009A3088">
        <w:rPr>
          <w:rFonts w:hAnsi="標楷體" w:hint="eastAsia"/>
          <w:b/>
        </w:rPr>
        <w:lastRenderedPageBreak/>
        <w:t>示之</w:t>
      </w:r>
      <w:r w:rsidR="00F971BC" w:rsidRPr="009A3088">
        <w:rPr>
          <w:rFonts w:hAnsi="標楷體" w:hint="eastAsia"/>
          <w:b/>
        </w:rPr>
        <w:t>「誠實信用原則」</w:t>
      </w:r>
      <w:r w:rsidR="00E4370A" w:rsidRPr="009A3088">
        <w:rPr>
          <w:rFonts w:hAnsi="標楷體" w:hint="eastAsia"/>
          <w:b/>
        </w:rPr>
        <w:t>相合，嚴重傷</w:t>
      </w:r>
      <w:r w:rsidR="006D7D57" w:rsidRPr="009A3088">
        <w:rPr>
          <w:rFonts w:hAnsi="標楷體" w:hint="eastAsia"/>
          <w:b/>
        </w:rPr>
        <w:t>害</w:t>
      </w:r>
      <w:r w:rsidR="00F971BC" w:rsidRPr="009A3088">
        <w:rPr>
          <w:rFonts w:hAnsi="標楷體" w:hint="eastAsia"/>
          <w:b/>
        </w:rPr>
        <w:t>政府機關形象與公信</w:t>
      </w:r>
      <w:r w:rsidR="00E4370A" w:rsidRPr="009A3088">
        <w:rPr>
          <w:rFonts w:hAnsi="標楷體" w:hint="eastAsia"/>
          <w:b/>
        </w:rPr>
        <w:t>：</w:t>
      </w:r>
    </w:p>
    <w:p w:rsidR="00772449" w:rsidRPr="00844E73" w:rsidRDefault="00772449" w:rsidP="001C5A94">
      <w:pPr>
        <w:pStyle w:val="3"/>
      </w:pPr>
      <w:r w:rsidRPr="00844E73">
        <w:rPr>
          <w:rFonts w:hint="eastAsia"/>
        </w:rPr>
        <w:t>查本案投信業者為配合金管會「三大原則」及「限時出清」等政策，</w:t>
      </w:r>
      <w:r w:rsidRPr="00844E73">
        <w:rPr>
          <w:rFonts w:hAnsi="標楷體" w:hint="eastAsia"/>
        </w:rPr>
        <w:t>除了直接於</w:t>
      </w:r>
      <w:r w:rsidRPr="00844E73">
        <w:rPr>
          <w:rFonts w:hint="eastAsia"/>
        </w:rPr>
        <w:t>市場認賠殺出，或採取前揭金管會建議的「金融資產證券化」等機制處理外，部分較具規模之業者，亦有透過集團內關係企業之財務操作，處理結構債限時出清之損益分配或資金調度。惟嗣金管會檢查局實行金融檢查時，認相關操作涉及刑事不法，爰於96年間，將當時元大京華證券、寶來證券、金鼎證券等公</w:t>
      </w:r>
      <w:r w:rsidRPr="00844E73">
        <w:rPr>
          <w:rFonts w:hAnsi="標楷體" w:hint="eastAsia"/>
        </w:rPr>
        <w:t>司之相關負責人員移送司法偵審，引發各界矚目。</w:t>
      </w:r>
    </w:p>
    <w:p w:rsidR="00772449" w:rsidRPr="00844E73" w:rsidRDefault="00C9110F" w:rsidP="001C5A94">
      <w:pPr>
        <w:pStyle w:val="3"/>
      </w:pPr>
      <w:r w:rsidRPr="00844E73">
        <w:rPr>
          <w:rFonts w:hAnsi="標楷體" w:hint="eastAsia"/>
        </w:rPr>
        <w:t>惟查，</w:t>
      </w:r>
      <w:r w:rsidR="00772449" w:rsidRPr="00844E73">
        <w:rPr>
          <w:rFonts w:hAnsi="標楷體" w:hint="eastAsia"/>
        </w:rPr>
        <w:t>「</w:t>
      </w:r>
      <w:r w:rsidR="00772449" w:rsidRPr="00844E73">
        <w:rPr>
          <w:rFonts w:hint="eastAsia"/>
        </w:rPr>
        <w:t>行政行為，應以誠實信用之方法為之</w:t>
      </w:r>
      <w:r w:rsidR="00772449" w:rsidRPr="00844E73">
        <w:rPr>
          <w:rFonts w:hAnsi="標楷體" w:hint="eastAsia"/>
        </w:rPr>
        <w:t>」，行政程序法第8條定有明文，本案前揭遭移送之投信業者所為之相關財務操作，其原因無非係配合</w:t>
      </w:r>
      <w:r w:rsidR="00540D42" w:rsidRPr="00844E73">
        <w:rPr>
          <w:rFonts w:hAnsi="標楷體" w:hint="eastAsia"/>
        </w:rPr>
        <w:t>主管機關</w:t>
      </w:r>
      <w:r w:rsidR="00540D42" w:rsidRPr="00844E73">
        <w:rPr>
          <w:rFonts w:hint="eastAsia"/>
        </w:rPr>
        <w:t>「三大原則」及「限時出清」等政策，則金管會提出不合投資常規之監理政策於先，以基金准駁權強使業者遵照辦理後</w:t>
      </w:r>
      <w:r w:rsidRPr="00844E73">
        <w:rPr>
          <w:rFonts w:hint="eastAsia"/>
        </w:rPr>
        <w:t>，該會檢查局嗣再以其等財務操作疑涉不法移送檢調偵辦。</w:t>
      </w:r>
      <w:r w:rsidR="00540D42" w:rsidRPr="00844E73">
        <w:rPr>
          <w:rFonts w:hint="eastAsia"/>
        </w:rPr>
        <w:t>其間除凸顯主管機關橫向聯繫不足外，相關作為更難認與</w:t>
      </w:r>
      <w:r w:rsidR="00540D42" w:rsidRPr="00844E73">
        <w:rPr>
          <w:rFonts w:hAnsi="標楷體" w:hint="eastAsia"/>
        </w:rPr>
        <w:t>「</w:t>
      </w:r>
      <w:r w:rsidR="00540D42" w:rsidRPr="00844E73">
        <w:rPr>
          <w:rFonts w:hint="eastAsia"/>
        </w:rPr>
        <w:t>誠實信用原則</w:t>
      </w:r>
      <w:r w:rsidR="00540D42" w:rsidRPr="00844E73">
        <w:rPr>
          <w:rFonts w:hAnsi="標楷體" w:hint="eastAsia"/>
        </w:rPr>
        <w:t>」</w:t>
      </w:r>
      <w:r w:rsidR="00BF70E5" w:rsidRPr="00844E73">
        <w:rPr>
          <w:rFonts w:hint="eastAsia"/>
        </w:rPr>
        <w:t>相合，嚴重破壞</w:t>
      </w:r>
      <w:r w:rsidR="00540D42" w:rsidRPr="00844E73">
        <w:rPr>
          <w:rFonts w:hint="eastAsia"/>
        </w:rPr>
        <w:t>政府機關形象與公信</w:t>
      </w:r>
      <w:r w:rsidR="00BF70E5" w:rsidRPr="00844E73">
        <w:rPr>
          <w:rFonts w:hint="eastAsia"/>
        </w:rPr>
        <w:t>。</w:t>
      </w:r>
    </w:p>
    <w:p w:rsidR="00C9110F" w:rsidRPr="00844E73" w:rsidRDefault="00C9110F" w:rsidP="001C5A94">
      <w:pPr>
        <w:pStyle w:val="3"/>
      </w:pPr>
      <w:r w:rsidRPr="00844E73">
        <w:rPr>
          <w:rFonts w:hint="eastAsia"/>
        </w:rPr>
        <w:t>就此</w:t>
      </w:r>
      <w:r w:rsidR="008A3F03" w:rsidRPr="00844E73">
        <w:rPr>
          <w:rFonts w:hAnsi="標楷體" w:hint="eastAsia"/>
        </w:rPr>
        <w:t>，</w:t>
      </w:r>
      <w:r w:rsidRPr="00844E73">
        <w:rPr>
          <w:rFonts w:hAnsi="標楷體" w:hint="eastAsia"/>
        </w:rPr>
        <w:t>社團法人台灣競爭力論壇學會（下稱台灣競爭力論壇）</w:t>
      </w:r>
      <w:r w:rsidR="00A2699C" w:rsidRPr="00844E73">
        <w:rPr>
          <w:rFonts w:hAnsi="標楷體" w:hint="eastAsia"/>
        </w:rPr>
        <w:t>104年4月24日</w:t>
      </w:r>
      <w:r w:rsidRPr="00844E73">
        <w:rPr>
          <w:rFonts w:hAnsi="標楷體" w:hint="eastAsia"/>
        </w:rPr>
        <w:t>於台灣金融研訓院召開</w:t>
      </w:r>
      <w:r w:rsidR="00A2699C" w:rsidRPr="00844E73">
        <w:rPr>
          <w:rFonts w:hAnsi="標楷體" w:hint="eastAsia"/>
        </w:rPr>
        <w:t>之</w:t>
      </w:r>
      <w:r w:rsidRPr="00844E73">
        <w:rPr>
          <w:rFonts w:hAnsi="標楷體"/>
        </w:rPr>
        <w:t>「債券型金融商品監理之回顧檢討與新思維」研討會，</w:t>
      </w:r>
      <w:r w:rsidR="00A2699C" w:rsidRPr="00844E73">
        <w:rPr>
          <w:rFonts w:hAnsi="標楷體" w:hint="eastAsia"/>
        </w:rPr>
        <w:t>與會之學者專家對此節亦多有論述</w:t>
      </w:r>
      <w:r w:rsidRPr="00844E73">
        <w:rPr>
          <w:rFonts w:hAnsi="標楷體" w:hint="eastAsia"/>
        </w:rPr>
        <w:t>，相關內容摘要如下</w:t>
      </w:r>
      <w:r w:rsidRPr="00844E73">
        <w:rPr>
          <w:rStyle w:val="aff1"/>
          <w:rFonts w:hAnsi="標楷體"/>
        </w:rPr>
        <w:footnoteReference w:id="18"/>
      </w:r>
      <w:r w:rsidRPr="00844E73">
        <w:rPr>
          <w:rFonts w:hAnsi="標楷體" w:hint="eastAsia"/>
        </w:rPr>
        <w:t>：</w:t>
      </w:r>
    </w:p>
    <w:p w:rsidR="00900AFF" w:rsidRPr="00844E73" w:rsidRDefault="00256BC1" w:rsidP="00256BC1">
      <w:pPr>
        <w:pStyle w:val="4"/>
      </w:pPr>
      <w:r w:rsidRPr="00844E73">
        <w:t>林建甫（</w:t>
      </w:r>
      <w:r w:rsidR="00141335">
        <w:rPr>
          <w:rFonts w:hint="eastAsia"/>
        </w:rPr>
        <w:t>國立臺</w:t>
      </w:r>
      <w:r w:rsidRPr="00844E73">
        <w:t>灣大學經濟系教授、台灣競爭力論壇總召集人）：</w:t>
      </w:r>
    </w:p>
    <w:p w:rsidR="00F60C81" w:rsidRPr="00844E73" w:rsidRDefault="00F60C81" w:rsidP="00F60C81">
      <w:pPr>
        <w:pStyle w:val="5"/>
      </w:pPr>
      <w:r w:rsidRPr="00844E73">
        <w:t>急促而不周延的「限時、限量、限對象」作法</w:t>
      </w:r>
      <w:r w:rsidRPr="00844E73">
        <w:lastRenderedPageBreak/>
        <w:t>是政府處理金融事件的最大問題所在，93年二次金改違背市場機制，失敗收場；94年處理結構債事件，主管委員個人要求投資人不能有任何損失，若有損失，由投信股東自行吸收，但未有正式發文或留下紀錄。但事後證明投資人若持有結構債到期，反可獲利。當時有金控保護傘的投信公司，沒被移送法辦。資本額小的投信「配合政策」將結構債轉向證券公司融資，法院卻認為其背信犯罪，主管機關事後卻將責任推得一乾二淨。</w:t>
      </w:r>
    </w:p>
    <w:p w:rsidR="00F60C81" w:rsidRPr="00844E73" w:rsidRDefault="00F60C81" w:rsidP="00F60C81">
      <w:pPr>
        <w:pStyle w:val="5"/>
      </w:pPr>
      <w:r w:rsidRPr="00844E73">
        <w:t>金融監理政策應公開合法，採科學方式管理，不該流於私下調節，並應著重於銷售流程與對象的自律與商品控管，回歸投資風險自負的市場機制，不應將風險轉嫁給投信公司股東。</w:t>
      </w:r>
    </w:p>
    <w:p w:rsidR="001B00D1" w:rsidRPr="00844E73" w:rsidRDefault="00F60C81" w:rsidP="00F60C81">
      <w:pPr>
        <w:pStyle w:val="4"/>
      </w:pPr>
      <w:r w:rsidRPr="00844E73">
        <w:t>鄭貞茂（台灣金融研訓院院長）：</w:t>
      </w:r>
    </w:p>
    <w:p w:rsidR="00143D98" w:rsidRPr="00844E73" w:rsidRDefault="00F60C81" w:rsidP="00F60C81">
      <w:pPr>
        <w:pStyle w:val="4"/>
        <w:numPr>
          <w:ilvl w:val="0"/>
          <w:numId w:val="0"/>
        </w:numPr>
        <w:ind w:left="1701" w:firstLineChars="208" w:firstLine="708"/>
      </w:pPr>
      <w:r w:rsidRPr="00844E73">
        <w:t>93年結構債風波背景是因利率在低檔時，投資人大量投資反浮動利率債券獲利。但當利率反轉，投資人卻心生不甘，不願自擔損失，主管機關未導正此觀念，也要求投信應該承擔，顯示關於金融商品投資風險自負的教育，必須長期推動。</w:t>
      </w:r>
    </w:p>
    <w:p w:rsidR="00F60C81" w:rsidRPr="00844E73" w:rsidRDefault="00386EDD" w:rsidP="00386EDD">
      <w:pPr>
        <w:pStyle w:val="4"/>
      </w:pPr>
      <w:r w:rsidRPr="00844E73">
        <w:t>林國彬（</w:t>
      </w:r>
      <w:r w:rsidR="00141335">
        <w:rPr>
          <w:rFonts w:hint="eastAsia"/>
        </w:rPr>
        <w:t>國立臺</w:t>
      </w:r>
      <w:r w:rsidRPr="00844E73">
        <w:t>北大學法律系教授）：</w:t>
      </w:r>
    </w:p>
    <w:p w:rsidR="00F60C81" w:rsidRPr="00844E73" w:rsidRDefault="00386EDD" w:rsidP="00386EDD">
      <w:pPr>
        <w:pStyle w:val="5"/>
      </w:pPr>
      <w:r w:rsidRPr="00844E73">
        <w:t>近來新修訂「金融五法」兼顧放寬管制及保護投資人。但回顧結構債事件，當時所謂三大鐵律無論於形式或實質均欠缺法律基礎，除與公司法學理相違背外，更彼此互相衝突。以金鼎案為例，其實金鼎證券最終獲利</w:t>
      </w:r>
      <w:r w:rsidRPr="00844E73">
        <w:rPr>
          <w:rFonts w:hint="eastAsia"/>
        </w:rPr>
        <w:t>1</w:t>
      </w:r>
      <w:r w:rsidRPr="00844E73">
        <w:t>億多元，但因金管會委員個人的決策，反而使投資人喪失獲利機會。</w:t>
      </w:r>
    </w:p>
    <w:p w:rsidR="00F60C81" w:rsidRPr="00844E73" w:rsidRDefault="00386EDD" w:rsidP="00386EDD">
      <w:pPr>
        <w:pStyle w:val="5"/>
      </w:pPr>
      <w:r w:rsidRPr="00844E73">
        <w:t>金融業受高度監理，各項交易有法令嚴密規</w:t>
      </w:r>
      <w:r w:rsidRPr="00844E73">
        <w:lastRenderedPageBreak/>
        <w:t>範，主管機關應以明確態度將市場規則說明清楚，不能平日不說話，突然間就指業者為違法。</w:t>
      </w:r>
    </w:p>
    <w:p w:rsidR="00F60C81" w:rsidRPr="00844E73" w:rsidRDefault="00386EDD" w:rsidP="00386EDD">
      <w:pPr>
        <w:pStyle w:val="4"/>
      </w:pPr>
      <w:r w:rsidRPr="00844E73">
        <w:t>余振華（警察大學法律學系教授兼主任及所長）：</w:t>
      </w:r>
    </w:p>
    <w:p w:rsidR="00386EDD" w:rsidRPr="00844E73" w:rsidRDefault="00594939" w:rsidP="00594939">
      <w:pPr>
        <w:pStyle w:val="5"/>
      </w:pPr>
      <w:r w:rsidRPr="00844E73">
        <w:t>以故意犯與目的犯而言，必須行為人有犯罪故意及不法意圖，才能成立犯罪。金融業為特許行業，金管會對業者有實際影響能力。業者配合主管機關要求想辦法處理結構債，則業者是否有犯罪故意與不法意圖，值得商榷。</w:t>
      </w:r>
    </w:p>
    <w:p w:rsidR="00594939" w:rsidRPr="00844E73" w:rsidRDefault="00594939" w:rsidP="00594939">
      <w:pPr>
        <w:pStyle w:val="5"/>
      </w:pPr>
      <w:r w:rsidRPr="00844E73">
        <w:t>刑法制裁為保護生活法益的「最後手段」，應謹守「謙抑原則」。債券交易具有專業性，又需考量市場瞬息萬變，故應尊重商業判斷，此可該當於刑法第22條業務上正當行為之阻卻違法事由，或認為行為人無不法損害意圖而不具構成要件之該當性。</w:t>
      </w:r>
    </w:p>
    <w:p w:rsidR="00386EDD" w:rsidRPr="00844E73" w:rsidRDefault="00594939" w:rsidP="00594939">
      <w:pPr>
        <w:pStyle w:val="4"/>
      </w:pPr>
      <w:r w:rsidRPr="00844E73">
        <w:t>林定芃（卓越雜誌發行人）：</w:t>
      </w:r>
    </w:p>
    <w:p w:rsidR="00386EDD" w:rsidRPr="00844E73" w:rsidRDefault="00594939" w:rsidP="00594939">
      <w:pPr>
        <w:pStyle w:val="5"/>
      </w:pPr>
      <w:r w:rsidRPr="00844E73">
        <w:t>業者銷售債券型金融商品須向投資人明確揭露投資風險及權益，而業者銷售任何金融商品均須經主管機關核准，對於監理政策，縱使錯誤，礙於現實，只能依順，不敢提起行政救濟。</w:t>
      </w:r>
    </w:p>
    <w:p w:rsidR="00594939" w:rsidRPr="00844E73" w:rsidRDefault="00594939" w:rsidP="00594939">
      <w:pPr>
        <w:pStyle w:val="5"/>
      </w:pPr>
      <w:r w:rsidRPr="00844E73">
        <w:t>金管會所謂三大鐵律：1.符合現行法令；2.不可讓基金受益人受損；3.若有損失，由投信股東自行吸收，後兩點不符合投資風險自負原則，且違背交易慣例，反造成投資人誤解投資債券型商品「只賺不賠」。而金融機構對於違法不當政策要求，其實沒有拒絕餘地，對於已循政府指示、盡善良管理人注意義務之基金經理人與負責人，不應再被究責或承擔投資人的投資損失。</w:t>
      </w:r>
    </w:p>
    <w:p w:rsidR="00386EDD" w:rsidRPr="00844E73" w:rsidRDefault="00944559" w:rsidP="00944559">
      <w:pPr>
        <w:pStyle w:val="5"/>
      </w:pPr>
      <w:r w:rsidRPr="00844E73">
        <w:t>金管法令無明文規範債券RS交易融資比，而是由公會訂定自律規範。證券公會認為融資成數</w:t>
      </w:r>
      <w:r w:rsidRPr="00844E73">
        <w:lastRenderedPageBreak/>
        <w:t>可達債券面額的117至125％。業者依自律規範進行債券融資交易，未違反常規。而融資可將利息滾入本金，在公會相關函釋中，亦屬正常交易，換言之，將融資利息計入本金，並不是溢付。</w:t>
      </w:r>
    </w:p>
    <w:p w:rsidR="00386EDD" w:rsidRPr="00844E73" w:rsidRDefault="00944559" w:rsidP="00944559">
      <w:pPr>
        <w:pStyle w:val="4"/>
      </w:pPr>
      <w:r w:rsidRPr="00844E73">
        <w:t>聶建中（淡江大學財務金融學系教授）：</w:t>
      </w:r>
    </w:p>
    <w:p w:rsidR="00386EDD" w:rsidRPr="00844E73" w:rsidRDefault="00944559" w:rsidP="00944559">
      <w:pPr>
        <w:pStyle w:val="5"/>
      </w:pPr>
      <w:r w:rsidRPr="00844E73">
        <w:t>94年間，金管會委員未經委員會決議，自己預測國際利</w:t>
      </w:r>
      <w:r w:rsidR="00541A38">
        <w:t>率走升，將發生結構債大量贖回的系統性風險，違反法定程序，個人發</w:t>
      </w:r>
      <w:r w:rsidR="00541A38">
        <w:rPr>
          <w:rFonts w:hint="eastAsia"/>
        </w:rPr>
        <w:t>布</w:t>
      </w:r>
      <w:r w:rsidRPr="00844E73">
        <w:t>三大鐵律。業者受迫於壓力，不敢提起行政救濟。但投資收益風險不該歸責於投信業者，且之後國際利率反轉走低，金管會委員的判斷顯然錯誤。</w:t>
      </w:r>
    </w:p>
    <w:p w:rsidR="00386EDD" w:rsidRPr="00844E73" w:rsidRDefault="00944559" w:rsidP="00944559">
      <w:pPr>
        <w:pStyle w:val="5"/>
      </w:pPr>
      <w:r w:rsidRPr="00844E73">
        <w:t>元大案，業者將股權移轉分攤損失。在金鼎案中，其處理結構債方案經金管會核准，並未利用股權移轉分攤損失，也無任何私人從中獲利。投信已向證券公司承諾若有損失，將由投信承擔，最終也依約清償本息。在元大案中，法院對於進行結構債附賣回（RS）條件交易之融資行為，認定並無不法，但在金鼎案中，反而認定業者犯罪</w:t>
      </w:r>
      <w:r w:rsidR="002D5F93" w:rsidRPr="00844E73">
        <w:rPr>
          <w:rStyle w:val="aff1"/>
        </w:rPr>
        <w:footnoteReference w:id="19"/>
      </w:r>
      <w:r w:rsidRPr="00844E73">
        <w:t>，顯失公平。</w:t>
      </w:r>
    </w:p>
    <w:p w:rsidR="00386EDD" w:rsidRPr="00844E73" w:rsidRDefault="00944559" w:rsidP="00944559">
      <w:pPr>
        <w:pStyle w:val="5"/>
      </w:pPr>
      <w:r w:rsidRPr="00844E73">
        <w:t>標普（S＆P）、穆迪（Moody's）、惠譽（Fitch）、中華信評等機構評定為A級（含）以上的債券，發生違約機率極低，實與公債相當，不致發生信用風險。若融資總額未逾公會自律規範所定最高成數，當符合交易常規，至於將利息滾入本金，亦屬債券交易經理人的商業判斷，同為公會所認可。而以債券型金融商品交易的高度專業，金融機構負責人基於分層治理原則，均</w:t>
      </w:r>
      <w:r w:rsidRPr="00844E73">
        <w:lastRenderedPageBreak/>
        <w:t>需授權仰賴經理人的商業判斷。但在金鼎案中，很遺憾法院對前述債券交易實務都沒有正確認知。</w:t>
      </w:r>
    </w:p>
    <w:p w:rsidR="00386EDD" w:rsidRPr="00844E73" w:rsidRDefault="00DD7EA1" w:rsidP="00944559">
      <w:pPr>
        <w:pStyle w:val="4"/>
      </w:pPr>
      <w:r w:rsidRPr="00844E73">
        <w:t>謝明輝（台灣競爭力論壇</w:t>
      </w:r>
      <w:r w:rsidR="00944559" w:rsidRPr="00844E73">
        <w:t>執行長）：</w:t>
      </w:r>
    </w:p>
    <w:p w:rsidR="00386EDD" w:rsidRPr="00844E73" w:rsidRDefault="00944559" w:rsidP="00944559">
      <w:pPr>
        <w:pStyle w:val="5"/>
      </w:pPr>
      <w:r w:rsidRPr="00844E73">
        <w:t>「罪疑唯無」是刑事訴訟的基本原則，業者配合監理政策處理結構債，卻反被認定犯罪，不僅對當事人不公，對國家金融發展更是戕害。</w:t>
      </w:r>
    </w:p>
    <w:p w:rsidR="00386EDD" w:rsidRPr="00844E73" w:rsidRDefault="00944559" w:rsidP="00944559">
      <w:pPr>
        <w:pStyle w:val="5"/>
      </w:pPr>
      <w:r w:rsidRPr="00844E73">
        <w:t>主管機關未向外界說明金鼎與元大案之不同，尤其法院在元大案已認定不違法的債券附賣回條件交易，在金鼎案中，卻遭判決有罪</w:t>
      </w:r>
      <w:r w:rsidR="002D5F93" w:rsidRPr="00844E73">
        <w:rPr>
          <w:rStyle w:val="aff1"/>
        </w:rPr>
        <w:footnoteReference w:id="20"/>
      </w:r>
      <w:r w:rsidRPr="00844E73">
        <w:t>，顯失公允。</w:t>
      </w:r>
    </w:p>
    <w:p w:rsidR="00386EDD" w:rsidRPr="00844E73" w:rsidRDefault="00DD7EA1" w:rsidP="00944559">
      <w:pPr>
        <w:pStyle w:val="4"/>
      </w:pPr>
      <w:r w:rsidRPr="00844E73">
        <w:t>彭錦鵬（</w:t>
      </w:r>
      <w:r w:rsidR="00141335">
        <w:rPr>
          <w:rFonts w:hint="eastAsia"/>
        </w:rPr>
        <w:t>國立臺</w:t>
      </w:r>
      <w:r w:rsidRPr="00844E73">
        <w:t>灣大學政治系副教授、台灣競爭力論壇</w:t>
      </w:r>
      <w:r w:rsidR="00944559" w:rsidRPr="00844E73">
        <w:t>理事長）：</w:t>
      </w:r>
    </w:p>
    <w:p w:rsidR="00386EDD" w:rsidRPr="00844E73" w:rsidRDefault="00944559" w:rsidP="00944559">
      <w:pPr>
        <w:pStyle w:val="5"/>
      </w:pPr>
      <w:r w:rsidRPr="00844E73">
        <w:t>金融監理制度應合於法理情，並尊重業界交易慣例。前述債券型商品融資比、利息滾入本金等，既經同業公會認定為常態，主管部門及司法機關均應尊重，否則業者進行常規交易，仍被移送法辦，將嚴重破壞金融監理之公信力。</w:t>
      </w:r>
    </w:p>
    <w:p w:rsidR="00386EDD" w:rsidRPr="00844E73" w:rsidRDefault="00944559" w:rsidP="00944559">
      <w:pPr>
        <w:pStyle w:val="5"/>
      </w:pPr>
      <w:r w:rsidRPr="00844E73">
        <w:t>司法機關未真正了解債券型商品交易理論與實務，尤其就財務、會計等專業原則多有誤解。司法院應建立金融商業法庭，與法務部共同強化司法人員財金專業知識，嚴選適任法官，在審理過程中，涉及財務金融與會計及財經法律專業事項，應透過鑑定或專家證人詰問程序釐清事實與法律爭點，讓審判真正專業化。</w:t>
      </w:r>
    </w:p>
    <w:p w:rsidR="00386EDD" w:rsidRPr="00844E73" w:rsidRDefault="00216942" w:rsidP="00465691">
      <w:pPr>
        <w:pStyle w:val="3"/>
        <w:ind w:leftChars="200"/>
      </w:pPr>
      <w:r w:rsidRPr="00844E73">
        <w:rPr>
          <w:rFonts w:hint="eastAsia"/>
        </w:rPr>
        <w:t>綜上</w:t>
      </w:r>
      <w:r w:rsidR="006D7D57" w:rsidRPr="00844E73">
        <w:rPr>
          <w:rFonts w:hint="eastAsia"/>
        </w:rPr>
        <w:t>所述，本案金管會以「三大原則」及「限時出清」等政策，強使業者配合出清所持有之結構債及</w:t>
      </w:r>
      <w:r w:rsidR="00E77BF2" w:rsidRPr="00844E73">
        <w:rPr>
          <w:rFonts w:hint="eastAsia"/>
        </w:rPr>
        <w:t>吸收所產生之虧損，</w:t>
      </w:r>
      <w:r w:rsidR="006D7D57" w:rsidRPr="00844E73">
        <w:rPr>
          <w:rFonts w:hint="eastAsia"/>
        </w:rPr>
        <w:t>事後該會檢查局卻將部分業者</w:t>
      </w:r>
      <w:r w:rsidR="006D7D57" w:rsidRPr="00844E73">
        <w:rPr>
          <w:rFonts w:hint="eastAsia"/>
        </w:rPr>
        <w:lastRenderedPageBreak/>
        <w:t>以相關操作涉及刑事不法，移送檢調偵辦，其間除凸顯主管機關橫向聯繫不足外，相關作為更難認與行政程序法第8條所揭示之「誠實信用原</w:t>
      </w:r>
      <w:r w:rsidR="0093482C" w:rsidRPr="00844E73">
        <w:rPr>
          <w:rFonts w:hint="eastAsia"/>
        </w:rPr>
        <w:t>則」相合，</w:t>
      </w:r>
      <w:r w:rsidR="00747231" w:rsidRPr="00844E73">
        <w:rPr>
          <w:rFonts w:hint="eastAsia"/>
        </w:rPr>
        <w:t>並為</w:t>
      </w:r>
      <w:r w:rsidR="00465691" w:rsidRPr="00844E73">
        <w:rPr>
          <w:rFonts w:hint="eastAsia"/>
        </w:rPr>
        <w:t>學者</w:t>
      </w:r>
      <w:r w:rsidR="00747231" w:rsidRPr="00844E73">
        <w:rPr>
          <w:rFonts w:hint="eastAsia"/>
        </w:rPr>
        <w:t>、</w:t>
      </w:r>
      <w:r w:rsidR="00465691" w:rsidRPr="00844E73">
        <w:rPr>
          <w:rFonts w:hint="eastAsia"/>
        </w:rPr>
        <w:t>專家</w:t>
      </w:r>
      <w:r w:rsidR="00747231" w:rsidRPr="00844E73">
        <w:rPr>
          <w:rFonts w:hint="eastAsia"/>
        </w:rPr>
        <w:t>多</w:t>
      </w:r>
      <w:r w:rsidR="00465691" w:rsidRPr="00844E73">
        <w:rPr>
          <w:rFonts w:hint="eastAsia"/>
        </w:rPr>
        <w:t>所詬病</w:t>
      </w:r>
      <w:r w:rsidR="00747231" w:rsidRPr="00844E73">
        <w:rPr>
          <w:rFonts w:hint="eastAsia"/>
        </w:rPr>
        <w:t>，嚴重傷害政府機關形象與公信</w:t>
      </w:r>
      <w:r w:rsidR="00CE4891" w:rsidRPr="00844E73">
        <w:rPr>
          <w:rFonts w:hint="eastAsia"/>
        </w:rPr>
        <w:t>。</w:t>
      </w:r>
      <w:r w:rsidR="00747231" w:rsidRPr="00844E73">
        <w:rPr>
          <w:rFonts w:hint="eastAsia"/>
        </w:rPr>
        <w:t>為避免類案發生，金管會允應迅就如何強化所屬業務與檢查機關間之協調與交流，研提檢討改善方案。</w:t>
      </w:r>
    </w:p>
    <w:p w:rsidR="003A5927" w:rsidRPr="00844E73" w:rsidRDefault="003A5927" w:rsidP="00D02C48">
      <w:pPr>
        <w:pStyle w:val="31"/>
        <w:ind w:left="1361" w:firstLine="680"/>
      </w:pPr>
    </w:p>
    <w:bookmarkEnd w:id="60"/>
    <w:p w:rsidR="00E25849" w:rsidRPr="00844E73" w:rsidRDefault="00966A10" w:rsidP="00966A10">
      <w:pPr>
        <w:pStyle w:val="10"/>
        <w:numPr>
          <w:ilvl w:val="0"/>
          <w:numId w:val="0"/>
        </w:numPr>
        <w:ind w:left="2381" w:hanging="2381"/>
        <w:rPr>
          <w:rFonts w:ascii="Times New Roman"/>
          <w:b/>
          <w:bCs w:val="0"/>
          <w:kern w:val="0"/>
          <w:sz w:val="40"/>
        </w:rPr>
      </w:pPr>
      <w:r>
        <w:rPr>
          <w:rFonts w:hint="eastAsia"/>
          <w:spacing w:val="12"/>
          <w:kern w:val="0"/>
          <w:sz w:val="40"/>
        </w:rPr>
        <w:t xml:space="preserve">                      </w:t>
      </w:r>
      <w:r w:rsidR="00E25849" w:rsidRPr="00844E73">
        <w:rPr>
          <w:rFonts w:hint="eastAsia"/>
          <w:spacing w:val="12"/>
          <w:kern w:val="0"/>
          <w:sz w:val="40"/>
        </w:rPr>
        <w:t>調查委員：</w:t>
      </w:r>
      <w:r w:rsidR="00674F1F">
        <w:rPr>
          <w:rFonts w:hint="eastAsia"/>
          <w:b/>
          <w:bCs w:val="0"/>
          <w:spacing w:val="12"/>
          <w:kern w:val="0"/>
          <w:sz w:val="40"/>
        </w:rPr>
        <w:t>劉德勳</w:t>
      </w:r>
    </w:p>
    <w:p w:rsidR="00E25849" w:rsidRPr="00844E73" w:rsidRDefault="00E25849" w:rsidP="00D02C48">
      <w:pPr>
        <w:pStyle w:val="ae"/>
        <w:spacing w:before="0" w:after="0"/>
        <w:ind w:leftChars="1100" w:left="3742" w:firstLineChars="500" w:firstLine="2021"/>
        <w:rPr>
          <w:b w:val="0"/>
          <w:bCs/>
          <w:snapToGrid/>
          <w:spacing w:val="12"/>
          <w:kern w:val="0"/>
        </w:rPr>
      </w:pPr>
    </w:p>
    <w:p w:rsidR="00E25849" w:rsidRPr="00844E73" w:rsidRDefault="00E25849" w:rsidP="00D02C48">
      <w:pPr>
        <w:pStyle w:val="ae"/>
        <w:spacing w:before="0" w:after="0"/>
        <w:ind w:leftChars="1100" w:left="3742" w:firstLineChars="500" w:firstLine="2021"/>
        <w:rPr>
          <w:b w:val="0"/>
          <w:bCs/>
          <w:snapToGrid/>
          <w:spacing w:val="12"/>
          <w:kern w:val="0"/>
        </w:rPr>
      </w:pPr>
    </w:p>
    <w:p w:rsidR="00E25849" w:rsidRPr="00844E73" w:rsidRDefault="00E25849" w:rsidP="00D02C48">
      <w:pPr>
        <w:pStyle w:val="ae"/>
        <w:spacing w:before="0" w:after="0"/>
        <w:ind w:leftChars="1100" w:left="3742" w:firstLineChars="500" w:firstLine="2021"/>
        <w:rPr>
          <w:b w:val="0"/>
          <w:bCs/>
          <w:snapToGrid/>
          <w:spacing w:val="12"/>
          <w:kern w:val="0"/>
        </w:rPr>
      </w:pPr>
    </w:p>
    <w:p w:rsidR="00B77D18" w:rsidRPr="00844E73" w:rsidRDefault="00B77D18" w:rsidP="00DA2AD5">
      <w:pPr>
        <w:widowControl/>
        <w:overflowPunct/>
        <w:autoSpaceDE/>
        <w:autoSpaceDN/>
        <w:jc w:val="left"/>
        <w:rPr>
          <w:bCs/>
          <w:kern w:val="0"/>
        </w:rPr>
      </w:pPr>
    </w:p>
    <w:sectPr w:rsidR="00B77D18" w:rsidRPr="00844E73"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819" w:rsidRDefault="00613819">
      <w:r>
        <w:separator/>
      </w:r>
    </w:p>
  </w:endnote>
  <w:endnote w:type="continuationSeparator" w:id="0">
    <w:p w:rsidR="00613819" w:rsidRDefault="006138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819" w:rsidRDefault="00613819">
    <w:pPr>
      <w:pStyle w:val="af7"/>
      <w:framePr w:wrap="around" w:vAnchor="text" w:hAnchor="margin" w:xAlign="center" w:y="1"/>
      <w:rPr>
        <w:rStyle w:val="af0"/>
        <w:sz w:val="24"/>
      </w:rPr>
    </w:pPr>
    <w:r>
      <w:rPr>
        <w:rStyle w:val="af0"/>
        <w:sz w:val="24"/>
      </w:rPr>
      <w:fldChar w:fldCharType="begin"/>
    </w:r>
    <w:r>
      <w:rPr>
        <w:rStyle w:val="af0"/>
        <w:sz w:val="24"/>
      </w:rPr>
      <w:instrText xml:space="preserve">PAGE  </w:instrText>
    </w:r>
    <w:r>
      <w:rPr>
        <w:rStyle w:val="af0"/>
        <w:sz w:val="24"/>
      </w:rPr>
      <w:fldChar w:fldCharType="separate"/>
    </w:r>
    <w:r w:rsidR="00966A10">
      <w:rPr>
        <w:rStyle w:val="af0"/>
        <w:noProof/>
        <w:sz w:val="24"/>
      </w:rPr>
      <w:t>6</w:t>
    </w:r>
    <w:r>
      <w:rPr>
        <w:rStyle w:val="af0"/>
        <w:sz w:val="24"/>
      </w:rPr>
      <w:fldChar w:fldCharType="end"/>
    </w:r>
  </w:p>
  <w:p w:rsidR="00613819" w:rsidRDefault="00613819">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819" w:rsidRDefault="00613819">
      <w:r>
        <w:separator/>
      </w:r>
    </w:p>
  </w:footnote>
  <w:footnote w:type="continuationSeparator" w:id="0">
    <w:p w:rsidR="00613819" w:rsidRDefault="00613819">
      <w:r>
        <w:continuationSeparator/>
      </w:r>
    </w:p>
  </w:footnote>
  <w:footnote w:id="1">
    <w:p w:rsidR="00613819" w:rsidRPr="00D02C48" w:rsidRDefault="00613819" w:rsidP="00257545">
      <w:pPr>
        <w:pStyle w:val="aff"/>
        <w:ind w:left="222" w:hangingChars="101" w:hanging="222"/>
      </w:pPr>
      <w:r>
        <w:rPr>
          <w:rStyle w:val="aff1"/>
        </w:rPr>
        <w:footnoteRef/>
      </w:r>
      <w:r>
        <w:rPr>
          <w:rFonts w:hAnsi="標楷體" w:hint="eastAsia"/>
          <w:szCs w:val="32"/>
        </w:rPr>
        <w:t xml:space="preserve"> 美國聯邦基金利率(</w:t>
      </w:r>
      <w:r w:rsidRPr="00D02C48">
        <w:rPr>
          <w:rFonts w:hAnsi="標楷體" w:hint="eastAsia"/>
          <w:szCs w:val="32"/>
        </w:rPr>
        <w:t>Fed Fund Rate)從6.5%降至1.0%；至2004年6月始結束自2001年初以來所採行的寬鬆貨幣政策，首度升息。</w:t>
      </w:r>
    </w:p>
  </w:footnote>
  <w:footnote w:id="2">
    <w:p w:rsidR="00613819" w:rsidRPr="00D02C48" w:rsidRDefault="00613819" w:rsidP="00D02C48">
      <w:pPr>
        <w:pStyle w:val="aff"/>
        <w:ind w:left="222" w:hangingChars="101" w:hanging="222"/>
      </w:pPr>
      <w:r w:rsidRPr="00D02C48">
        <w:rPr>
          <w:rStyle w:val="aff1"/>
        </w:rPr>
        <w:footnoteRef/>
      </w:r>
      <w:r w:rsidRPr="00D02C48">
        <w:rPr>
          <w:rFonts w:hAnsi="標楷體" w:hint="eastAsia"/>
          <w:szCs w:val="32"/>
        </w:rPr>
        <w:t xml:space="preserve"> 重貼現率從4.75%降至1.375%；至93年10月始轉為調升0.25%，而為1.625%。</w:t>
      </w:r>
    </w:p>
  </w:footnote>
  <w:footnote w:id="3">
    <w:p w:rsidR="00613819" w:rsidRDefault="00613819" w:rsidP="00D02C48">
      <w:pPr>
        <w:pStyle w:val="aff"/>
        <w:ind w:left="222" w:hangingChars="101" w:hanging="222"/>
      </w:pPr>
      <w:r w:rsidRPr="00D02C48">
        <w:rPr>
          <w:rStyle w:val="aff1"/>
        </w:rPr>
        <w:footnoteRef/>
      </w:r>
      <w:r w:rsidRPr="00D02C48">
        <w:rPr>
          <w:rFonts w:ascii="Times New Roman" w:hint="eastAsia"/>
          <w:szCs w:val="32"/>
        </w:rPr>
        <w:t xml:space="preserve"> </w:t>
      </w:r>
      <w:r w:rsidRPr="00D02C48">
        <w:rPr>
          <w:rFonts w:ascii="Times New Roman" w:hint="eastAsia"/>
          <w:szCs w:val="32"/>
        </w:rPr>
        <w:t>如：</w:t>
      </w:r>
      <w:r w:rsidRPr="00D02C48">
        <w:rPr>
          <w:rFonts w:ascii="Times New Roman"/>
          <w:szCs w:val="32"/>
        </w:rPr>
        <w:t>91</w:t>
      </w:r>
      <w:r w:rsidRPr="00D02C48">
        <w:rPr>
          <w:rFonts w:ascii="Times New Roman" w:hint="eastAsia"/>
          <w:szCs w:val="32"/>
        </w:rPr>
        <w:t>年</w:t>
      </w:r>
      <w:r w:rsidRPr="00D02C48">
        <w:rPr>
          <w:rFonts w:ascii="Times New Roman"/>
          <w:szCs w:val="32"/>
        </w:rPr>
        <w:t>6</w:t>
      </w:r>
      <w:r w:rsidRPr="00D02C48">
        <w:rPr>
          <w:rFonts w:ascii="Times New Roman" w:hint="eastAsia"/>
          <w:szCs w:val="32"/>
        </w:rPr>
        <w:t>月</w:t>
      </w:r>
      <w:r w:rsidRPr="00D02C48">
        <w:rPr>
          <w:rFonts w:ascii="Times New Roman"/>
          <w:szCs w:val="32"/>
        </w:rPr>
        <w:t>10</w:t>
      </w:r>
      <w:r w:rsidRPr="00D02C48">
        <w:rPr>
          <w:rFonts w:ascii="Times New Roman" w:hint="eastAsia"/>
          <w:szCs w:val="32"/>
        </w:rPr>
        <w:t>日台北銀行發行第</w:t>
      </w:r>
      <w:r w:rsidRPr="00D02C48">
        <w:rPr>
          <w:rFonts w:ascii="Times New Roman" w:hint="eastAsia"/>
          <w:szCs w:val="32"/>
        </w:rPr>
        <w:t>1</w:t>
      </w:r>
      <w:r w:rsidRPr="00D02C48">
        <w:rPr>
          <w:rFonts w:ascii="Times New Roman" w:hint="eastAsia"/>
          <w:szCs w:val="32"/>
        </w:rPr>
        <w:t>檔連結</w:t>
      </w:r>
      <w:r w:rsidRPr="00D02C48">
        <w:rPr>
          <w:rFonts w:ascii="Times New Roman" w:hint="eastAsia"/>
          <w:szCs w:val="32"/>
        </w:rPr>
        <w:t>90</w:t>
      </w:r>
      <w:r w:rsidRPr="00D02C48">
        <w:rPr>
          <w:rFonts w:ascii="Times New Roman" w:hint="eastAsia"/>
          <w:szCs w:val="32"/>
        </w:rPr>
        <w:t>天商業本票之反浮動債券、</w:t>
      </w:r>
      <w:r w:rsidRPr="00D02C48">
        <w:rPr>
          <w:rFonts w:ascii="Times New Roman"/>
          <w:szCs w:val="32"/>
        </w:rPr>
        <w:t>91</w:t>
      </w:r>
      <w:r w:rsidRPr="00D02C48">
        <w:rPr>
          <w:rFonts w:ascii="Times New Roman" w:hint="eastAsia"/>
          <w:szCs w:val="32"/>
        </w:rPr>
        <w:t>年</w:t>
      </w:r>
      <w:r w:rsidRPr="00D02C48">
        <w:rPr>
          <w:rFonts w:ascii="Times New Roman"/>
          <w:szCs w:val="32"/>
        </w:rPr>
        <w:t>7</w:t>
      </w:r>
      <w:r w:rsidRPr="00D02C48">
        <w:rPr>
          <w:rFonts w:ascii="Times New Roman" w:hint="eastAsia"/>
          <w:szCs w:val="32"/>
        </w:rPr>
        <w:t>月</w:t>
      </w:r>
      <w:r w:rsidRPr="00D02C48">
        <w:rPr>
          <w:rFonts w:ascii="Times New Roman"/>
          <w:szCs w:val="32"/>
        </w:rPr>
        <w:t>31</w:t>
      </w:r>
      <w:r w:rsidRPr="00D02C48">
        <w:rPr>
          <w:rFonts w:ascii="Times New Roman" w:hint="eastAsia"/>
          <w:szCs w:val="32"/>
        </w:rPr>
        <w:t>日遠東商銀發行第</w:t>
      </w:r>
      <w:r w:rsidRPr="00D02C48">
        <w:rPr>
          <w:rFonts w:ascii="Times New Roman"/>
          <w:szCs w:val="32"/>
        </w:rPr>
        <w:t>l</w:t>
      </w:r>
      <w:r w:rsidRPr="00D02C48">
        <w:rPr>
          <w:rFonts w:ascii="Times New Roman" w:hint="eastAsia"/>
          <w:szCs w:val="32"/>
        </w:rPr>
        <w:t>檔連結</w:t>
      </w:r>
      <w:r w:rsidRPr="00D02C48">
        <w:rPr>
          <w:rFonts w:ascii="Times New Roman" w:hint="eastAsia"/>
          <w:szCs w:val="32"/>
        </w:rPr>
        <w:t>6</w:t>
      </w:r>
      <w:r w:rsidRPr="00D02C48">
        <w:rPr>
          <w:rFonts w:ascii="Times New Roman" w:hint="eastAsia"/>
          <w:szCs w:val="32"/>
        </w:rPr>
        <w:t>個月倫敦銀行間拆放款美元利率</w:t>
      </w:r>
      <w:r w:rsidRPr="00D02C48">
        <w:rPr>
          <w:rFonts w:hAnsi="標楷體" w:hint="eastAsia"/>
          <w:szCs w:val="32"/>
        </w:rPr>
        <w:t>（LI</w:t>
      </w:r>
      <w:r>
        <w:rPr>
          <w:rFonts w:hAnsi="標楷體" w:hint="eastAsia"/>
          <w:szCs w:val="32"/>
        </w:rPr>
        <w:t>BOR）</w:t>
      </w:r>
      <w:r>
        <w:rPr>
          <w:rFonts w:ascii="Times New Roman" w:hint="eastAsia"/>
          <w:szCs w:val="32"/>
        </w:rPr>
        <w:t>之反浮動債券。</w:t>
      </w:r>
    </w:p>
  </w:footnote>
  <w:footnote w:id="4">
    <w:p w:rsidR="00613819" w:rsidRDefault="00613819" w:rsidP="00C063E2">
      <w:pPr>
        <w:pStyle w:val="aff"/>
      </w:pPr>
      <w:r>
        <w:rPr>
          <w:rStyle w:val="aff1"/>
        </w:rPr>
        <w:footnoteRef/>
      </w:r>
      <w:r>
        <w:rPr>
          <w:rFonts w:hint="eastAsia"/>
        </w:rPr>
        <w:t xml:space="preserve"> 資料來源：93年9月21日經濟日報A1版。</w:t>
      </w:r>
    </w:p>
    <w:p w:rsidR="00613819" w:rsidRPr="009F30D6" w:rsidRDefault="00613819" w:rsidP="00C063E2">
      <w:pPr>
        <w:pStyle w:val="aff"/>
        <w:ind w:leftChars="49" w:left="167" w:firstLineChars="185" w:firstLine="407"/>
      </w:pPr>
      <w:r>
        <w:rPr>
          <w:rFonts w:hint="eastAsia"/>
        </w:rPr>
        <w:t xml:space="preserve"> 依該報導，所謂</w:t>
      </w:r>
      <w:r w:rsidRPr="00824FC4">
        <w:rPr>
          <w:rFonts w:hint="eastAsia"/>
        </w:rPr>
        <w:t>「</w:t>
      </w:r>
      <w:r>
        <w:rPr>
          <w:rFonts w:hint="eastAsia"/>
        </w:rPr>
        <w:t>7道防線</w:t>
      </w:r>
      <w:r w:rsidRPr="00824FC4">
        <w:rPr>
          <w:rFonts w:hint="eastAsia"/>
        </w:rPr>
        <w:t>」</w:t>
      </w:r>
      <w:r>
        <w:rPr>
          <w:rFonts w:hint="eastAsia"/>
        </w:rPr>
        <w:t>，</w:t>
      </w:r>
      <w:r w:rsidRPr="00824FC4">
        <w:t>第一是先由投信自行解決流動性與信用問題，取得專業股東支持，降低債券型基金持債比率；第二由投信自行尋求債券型基金買主</w:t>
      </w:r>
      <w:r w:rsidRPr="00824FC4">
        <w:rPr>
          <w:rFonts w:hint="eastAsia"/>
        </w:rPr>
        <w:t>；</w:t>
      </w:r>
      <w:r w:rsidRPr="00824FC4">
        <w:t>第三</w:t>
      </w:r>
      <w:r>
        <w:rPr>
          <w:rFonts w:hint="eastAsia"/>
        </w:rPr>
        <w:t>則</w:t>
      </w:r>
      <w:r>
        <w:t>是</w:t>
      </w:r>
      <w:r w:rsidRPr="00824FC4">
        <w:t>凍結債券型基金額度，讓債券型基金更有價值，尤其一些投資組合不是真正債券型基金的，將不會核准。第四是打算徵求公會及投信業者同意後，規定投信股東不要將債券型基金收益當作盈餘分配掉，先把這筆錢留下來，萬一有流動性問題時，可以因應</w:t>
      </w:r>
      <w:r>
        <w:rPr>
          <w:rFonts w:hint="eastAsia"/>
        </w:rPr>
        <w:t>；但</w:t>
      </w:r>
      <w:r w:rsidRPr="00824FC4">
        <w:t>若債券型基金已有</w:t>
      </w:r>
      <w:r>
        <w:rPr>
          <w:rFonts w:hint="eastAsia"/>
        </w:rPr>
        <w:t>7</w:t>
      </w:r>
      <w:r w:rsidRPr="00824FC4">
        <w:t>成以上流動性資產就不受限。第五是金管會在8月9日已開放投信得以基金資產為擔保辦理借款，未來各投信公司也可先與金融機構、保險公司及郵政公司（簡易人壽有1,000億元放款額度）洽辦借款額度，因應投資人大量買回時所需。第六則是各投信可洽郵政公司與保險公司，在相關法令規定範圍內，購買債券型基金持有的結構式利率公司債或金融債券等非流動性資產。第七則是暫停申請贖回。</w:t>
      </w:r>
    </w:p>
  </w:footnote>
  <w:footnote w:id="5">
    <w:p w:rsidR="00613819" w:rsidRPr="007D03ED" w:rsidRDefault="00613819" w:rsidP="00C063E2">
      <w:pPr>
        <w:pStyle w:val="aff"/>
        <w:ind w:left="167" w:hangingChars="76" w:hanging="167"/>
      </w:pPr>
      <w:r>
        <w:rPr>
          <w:rStyle w:val="aff1"/>
        </w:rPr>
        <w:footnoteRef/>
      </w:r>
      <w:r>
        <w:t xml:space="preserve"> </w:t>
      </w:r>
      <w:r>
        <w:rPr>
          <w:rFonts w:hint="eastAsia"/>
        </w:rPr>
        <w:t>組成人員包括：召集人李委員賢源、</w:t>
      </w:r>
      <w:r w:rsidRPr="007D03ED">
        <w:rPr>
          <w:rFonts w:hint="eastAsia"/>
        </w:rPr>
        <w:t>證期局局長、副局長、第4組(現為投信投顧組)同仁、投信</w:t>
      </w:r>
      <w:r w:rsidRPr="007D03ED">
        <w:rPr>
          <w:rFonts w:ascii="Times New Roman" w:hint="eastAsia"/>
          <w:szCs w:val="32"/>
        </w:rPr>
        <w:t>投顧公會理事長、秘書長；另自</w:t>
      </w:r>
      <w:r w:rsidRPr="007D03ED">
        <w:rPr>
          <w:rFonts w:ascii="Times New Roman" w:hint="eastAsia"/>
          <w:szCs w:val="32"/>
        </w:rPr>
        <w:t>94</w:t>
      </w:r>
      <w:r w:rsidRPr="007D03ED">
        <w:rPr>
          <w:rFonts w:ascii="Times New Roman" w:hint="eastAsia"/>
          <w:szCs w:val="32"/>
        </w:rPr>
        <w:t>年</w:t>
      </w:r>
      <w:r w:rsidRPr="007D03ED">
        <w:rPr>
          <w:rFonts w:ascii="Times New Roman" w:hint="eastAsia"/>
          <w:szCs w:val="32"/>
        </w:rPr>
        <w:t>5</w:t>
      </w:r>
      <w:r w:rsidRPr="007D03ED">
        <w:rPr>
          <w:rFonts w:ascii="Times New Roman" w:hint="eastAsia"/>
          <w:szCs w:val="32"/>
        </w:rPr>
        <w:t>月</w:t>
      </w:r>
      <w:r w:rsidRPr="007D03ED">
        <w:rPr>
          <w:rFonts w:ascii="Times New Roman" w:hint="eastAsia"/>
          <w:szCs w:val="32"/>
        </w:rPr>
        <w:t>8</w:t>
      </w:r>
      <w:r w:rsidRPr="007D03ED">
        <w:rPr>
          <w:rFonts w:ascii="Times New Roman" w:hint="eastAsia"/>
          <w:szCs w:val="32"/>
        </w:rPr>
        <w:t>日起加入林委員忠正至</w:t>
      </w:r>
      <w:r w:rsidRPr="007D03ED">
        <w:rPr>
          <w:rFonts w:ascii="Times New Roman" w:hint="eastAsia"/>
          <w:szCs w:val="32"/>
        </w:rPr>
        <w:t>95</w:t>
      </w:r>
      <w:r w:rsidRPr="007D03ED">
        <w:rPr>
          <w:rFonts w:ascii="Times New Roman" w:hint="eastAsia"/>
          <w:szCs w:val="32"/>
        </w:rPr>
        <w:t>年</w:t>
      </w:r>
      <w:r w:rsidRPr="007D03ED">
        <w:rPr>
          <w:rFonts w:ascii="Times New Roman" w:hint="eastAsia"/>
          <w:szCs w:val="32"/>
        </w:rPr>
        <w:t>10</w:t>
      </w:r>
      <w:r w:rsidRPr="007D03ED">
        <w:rPr>
          <w:rFonts w:ascii="Times New Roman" w:hint="eastAsia"/>
          <w:szCs w:val="32"/>
        </w:rPr>
        <w:t>月</w:t>
      </w:r>
      <w:r w:rsidRPr="007D03ED">
        <w:rPr>
          <w:rFonts w:ascii="Times New Roman" w:hint="eastAsia"/>
          <w:szCs w:val="32"/>
        </w:rPr>
        <w:t>25</w:t>
      </w:r>
      <w:r w:rsidRPr="007D03ED">
        <w:rPr>
          <w:rFonts w:ascii="Times New Roman" w:hint="eastAsia"/>
          <w:szCs w:val="32"/>
        </w:rPr>
        <w:t>日止。</w:t>
      </w:r>
    </w:p>
  </w:footnote>
  <w:footnote w:id="6">
    <w:p w:rsidR="00613819" w:rsidRPr="007D03ED" w:rsidRDefault="00613819" w:rsidP="0061085E">
      <w:pPr>
        <w:pStyle w:val="aff"/>
        <w:ind w:left="209" w:hangingChars="95" w:hanging="209"/>
        <w:rPr>
          <w:rFonts w:hAnsi="標楷體"/>
        </w:rPr>
      </w:pPr>
      <w:r w:rsidRPr="007D03ED">
        <w:rPr>
          <w:rStyle w:val="aff1"/>
        </w:rPr>
        <w:footnoteRef/>
      </w:r>
      <w:r w:rsidRPr="007D03ED">
        <w:rPr>
          <w:rFonts w:hint="eastAsia"/>
        </w:rPr>
        <w:t xml:space="preserve"> 因系爭</w:t>
      </w:r>
      <w:r w:rsidRPr="007D03ED">
        <w:rPr>
          <w:rFonts w:hAnsi="標楷體" w:hint="eastAsia"/>
        </w:rPr>
        <w:t>「</w:t>
      </w:r>
      <w:r w:rsidRPr="007D03ED">
        <w:rPr>
          <w:rFonts w:ascii="Times New Roman" w:hAnsi="標楷體"/>
          <w:szCs w:val="32"/>
        </w:rPr>
        <w:t>三大原則</w:t>
      </w:r>
      <w:r w:rsidRPr="007D03ED">
        <w:rPr>
          <w:rFonts w:hAnsi="標楷體" w:hint="eastAsia"/>
        </w:rPr>
        <w:t>」之決策及發布過程，均未留下正式書面紀錄，故</w:t>
      </w:r>
      <w:r w:rsidRPr="007D03ED">
        <w:rPr>
          <w:rFonts w:hint="eastAsia"/>
        </w:rPr>
        <w:t>確切之日期已難查證。查依金管會102年4月22日金管證投字第1020014091號函復之說明，略以：</w:t>
      </w:r>
      <w:r w:rsidRPr="007D03ED">
        <w:rPr>
          <w:rFonts w:hAnsi="標楷體" w:hint="eastAsia"/>
        </w:rPr>
        <w:t>「經查改善債券型基金流動性專案小組會議並無做成三大原則之決議紀錄；所謂『三大鐵律』應係第一次出現於94年2月21日經濟日報『反浮動債券鐵律 嚇跑外資投信』報導……」；金管會上開說法經查業為相關司法判決所採認，如</w:t>
      </w:r>
      <w:r w:rsidRPr="007D03ED">
        <w:rPr>
          <w:rFonts w:hAnsi="標楷體"/>
        </w:rPr>
        <w:t>臺灣臺北地方法院</w:t>
      </w:r>
      <w:r w:rsidRPr="007D03ED">
        <w:rPr>
          <w:rFonts w:hAnsi="標楷體" w:hint="eastAsia"/>
        </w:rPr>
        <w:t>98年度金重</w:t>
      </w:r>
      <w:r w:rsidRPr="007D03ED">
        <w:rPr>
          <w:rFonts w:hint="eastAsia"/>
        </w:rPr>
        <w:t>訴字第28號</w:t>
      </w:r>
      <w:r w:rsidRPr="007D03ED">
        <w:rPr>
          <w:rFonts w:hAnsi="標楷體" w:hint="eastAsia"/>
        </w:rPr>
        <w:t>（</w:t>
      </w:r>
      <w:r w:rsidRPr="007D03ED">
        <w:rPr>
          <w:rFonts w:hint="eastAsia"/>
        </w:rPr>
        <w:t>本案第一審判決；判決日期</w:t>
      </w:r>
      <w:r w:rsidRPr="007D03ED">
        <w:rPr>
          <w:rFonts w:ascii="Times New Roman" w:hint="eastAsia"/>
          <w:szCs w:val="32"/>
        </w:rPr>
        <w:t>99</w:t>
      </w:r>
      <w:r w:rsidRPr="007D03ED">
        <w:rPr>
          <w:rFonts w:ascii="Times New Roman" w:hint="eastAsia"/>
          <w:szCs w:val="32"/>
        </w:rPr>
        <w:t>年</w:t>
      </w:r>
      <w:r w:rsidRPr="007D03ED">
        <w:rPr>
          <w:rFonts w:ascii="Times New Roman" w:hint="eastAsia"/>
          <w:szCs w:val="32"/>
        </w:rPr>
        <w:t>5</w:t>
      </w:r>
      <w:r w:rsidRPr="007D03ED">
        <w:rPr>
          <w:rFonts w:ascii="Times New Roman" w:hint="eastAsia"/>
          <w:szCs w:val="32"/>
        </w:rPr>
        <w:t>月</w:t>
      </w:r>
      <w:r w:rsidRPr="007D03ED">
        <w:rPr>
          <w:rFonts w:ascii="Times New Roman" w:hint="eastAsia"/>
          <w:szCs w:val="32"/>
        </w:rPr>
        <w:t>28</w:t>
      </w:r>
      <w:r w:rsidRPr="007D03ED">
        <w:rPr>
          <w:rFonts w:ascii="Times New Roman" w:hint="eastAsia"/>
          <w:szCs w:val="32"/>
        </w:rPr>
        <w:t>日</w:t>
      </w:r>
      <w:r w:rsidRPr="007D03ED">
        <w:rPr>
          <w:rFonts w:hAnsi="標楷體" w:hint="eastAsia"/>
        </w:rPr>
        <w:t>）</w:t>
      </w:r>
      <w:r w:rsidRPr="007D03ED">
        <w:rPr>
          <w:rFonts w:hint="eastAsia"/>
        </w:rPr>
        <w:t>、臺灣高等法院99年度金上重訴字第38號</w:t>
      </w:r>
      <w:r w:rsidRPr="007D03ED">
        <w:rPr>
          <w:rFonts w:hAnsi="標楷體" w:hint="eastAsia"/>
        </w:rPr>
        <w:t>（</w:t>
      </w:r>
      <w:r w:rsidRPr="007D03ED">
        <w:rPr>
          <w:rFonts w:hint="eastAsia"/>
        </w:rPr>
        <w:t>本案第二審判決；判決日期</w:t>
      </w:r>
      <w:r w:rsidRPr="007D03ED">
        <w:rPr>
          <w:rFonts w:ascii="Times New Roman" w:hint="eastAsia"/>
          <w:szCs w:val="32"/>
        </w:rPr>
        <w:t>103</w:t>
      </w:r>
      <w:r w:rsidRPr="007D03ED">
        <w:rPr>
          <w:rFonts w:ascii="Times New Roman" w:hint="eastAsia"/>
          <w:szCs w:val="32"/>
        </w:rPr>
        <w:t>年</w:t>
      </w:r>
      <w:r w:rsidRPr="007D03ED">
        <w:rPr>
          <w:rFonts w:ascii="Times New Roman" w:hint="eastAsia"/>
          <w:szCs w:val="32"/>
        </w:rPr>
        <w:t>7</w:t>
      </w:r>
      <w:r w:rsidRPr="007D03ED">
        <w:rPr>
          <w:rFonts w:ascii="Times New Roman" w:hint="eastAsia"/>
          <w:szCs w:val="32"/>
        </w:rPr>
        <w:t>月</w:t>
      </w:r>
      <w:r w:rsidRPr="007D03ED">
        <w:rPr>
          <w:rFonts w:ascii="Times New Roman" w:hint="eastAsia"/>
          <w:szCs w:val="32"/>
        </w:rPr>
        <w:t>17</w:t>
      </w:r>
      <w:r w:rsidRPr="007D03ED">
        <w:rPr>
          <w:rFonts w:ascii="Times New Roman" w:hint="eastAsia"/>
          <w:szCs w:val="32"/>
        </w:rPr>
        <w:t>日</w:t>
      </w:r>
      <w:r w:rsidRPr="007D03ED">
        <w:rPr>
          <w:rFonts w:hAnsi="標楷體" w:hint="eastAsia"/>
        </w:rPr>
        <w:t>）</w:t>
      </w:r>
      <w:r w:rsidRPr="007D03ED">
        <w:rPr>
          <w:rFonts w:hint="eastAsia"/>
        </w:rPr>
        <w:t>等判決，均載明金管會係於</w:t>
      </w:r>
      <w:r w:rsidRPr="007D03ED">
        <w:rPr>
          <w:rFonts w:hAnsi="標楷體" w:hint="eastAsia"/>
        </w:rPr>
        <w:t>94年2月20日</w:t>
      </w:r>
      <w:r w:rsidRPr="007D03ED">
        <w:rPr>
          <w:rFonts w:ascii="Times New Roman" w:hint="eastAsia"/>
          <w:szCs w:val="32"/>
        </w:rPr>
        <w:t>透過投信投顧公</w:t>
      </w:r>
      <w:r w:rsidRPr="007D03ED">
        <w:rPr>
          <w:rFonts w:ascii="Times New Roman" w:hint="eastAsia"/>
          <w:szCs w:val="32"/>
        </w:rPr>
        <w:t>)</w:t>
      </w:r>
      <w:r w:rsidRPr="007D03ED">
        <w:rPr>
          <w:rFonts w:ascii="Times New Roman" w:hint="eastAsia"/>
          <w:szCs w:val="32"/>
        </w:rPr>
        <w:t>之管道，要求各投信公司配合辦理處分結構債之</w:t>
      </w:r>
      <w:r w:rsidRPr="007D03ED">
        <w:rPr>
          <w:rFonts w:hAnsi="標楷體" w:hint="eastAsia"/>
          <w:szCs w:val="32"/>
        </w:rPr>
        <w:t>「三大原則</w:t>
      </w:r>
      <w:r w:rsidRPr="007D03ED">
        <w:rPr>
          <w:rFonts w:hint="eastAsia"/>
        </w:rPr>
        <w:t>」</w:t>
      </w:r>
      <w:r w:rsidRPr="007D03ED">
        <w:rPr>
          <w:rFonts w:hAnsi="標楷體" w:hint="eastAsia"/>
          <w:szCs w:val="32"/>
        </w:rPr>
        <w:t>。惟查，94年2月3日經濟日報A4版「李賢源：分割債有牛肉 才有人搶」之專訪報導，內容早有「三大鐵律」之相關詢答，可知至遲於94年2月3日，即已開始推行系爭「三大原則」之政策。</w:t>
      </w:r>
    </w:p>
  </w:footnote>
  <w:footnote w:id="7">
    <w:p w:rsidR="00613819" w:rsidRPr="003A1863" w:rsidRDefault="00613819" w:rsidP="0061085E">
      <w:pPr>
        <w:pStyle w:val="aff"/>
        <w:ind w:left="209" w:hangingChars="95" w:hanging="209"/>
      </w:pPr>
      <w:r>
        <w:rPr>
          <w:rStyle w:val="aff1"/>
        </w:rPr>
        <w:footnoteRef/>
      </w:r>
      <w:r>
        <w:t xml:space="preserve"> </w:t>
      </w:r>
      <w:r w:rsidRPr="007D03ED">
        <w:rPr>
          <w:rFonts w:ascii="Times New Roman" w:hint="eastAsia"/>
          <w:szCs w:val="32"/>
        </w:rPr>
        <w:t>本院院</w:t>
      </w:r>
      <w:r w:rsidRPr="007D03ED">
        <w:rPr>
          <w:rFonts w:hint="eastAsia"/>
        </w:rPr>
        <w:t>台調壹字第1020800108號案</w:t>
      </w:r>
      <w:r>
        <w:rPr>
          <w:rFonts w:hint="eastAsia"/>
        </w:rPr>
        <w:t>。102年3月18日派查；103年1月8日本院財政及經濟委員會第4屆第119次會議審查通過。</w:t>
      </w:r>
    </w:p>
  </w:footnote>
  <w:footnote w:id="8">
    <w:p w:rsidR="00613819" w:rsidRPr="00B51D8E" w:rsidRDefault="00613819">
      <w:pPr>
        <w:pStyle w:val="aff"/>
      </w:pPr>
      <w:r w:rsidRPr="00D02C48">
        <w:rPr>
          <w:rStyle w:val="aff1"/>
        </w:rPr>
        <w:footnoteRef/>
      </w:r>
      <w:r w:rsidRPr="00D02C48">
        <w:t xml:space="preserve"> </w:t>
      </w:r>
      <w:r w:rsidRPr="00D02C48">
        <w:rPr>
          <w:rFonts w:hint="eastAsia"/>
        </w:rPr>
        <w:t>金管會102年4月22日金管證投字</w:t>
      </w:r>
      <w:r>
        <w:rPr>
          <w:rFonts w:hint="eastAsia"/>
        </w:rPr>
        <w:t>第1020014091號函。</w:t>
      </w:r>
    </w:p>
  </w:footnote>
  <w:footnote w:id="9">
    <w:p w:rsidR="00613819" w:rsidRPr="00F63A05" w:rsidRDefault="00613819" w:rsidP="00CE4891">
      <w:pPr>
        <w:pStyle w:val="aff"/>
        <w:ind w:left="222" w:hangingChars="101" w:hanging="222"/>
      </w:pPr>
      <w:r>
        <w:rPr>
          <w:rStyle w:val="aff1"/>
        </w:rPr>
        <w:footnoteRef/>
      </w:r>
      <w:r>
        <w:t xml:space="preserve"> </w:t>
      </w:r>
      <w:r>
        <w:rPr>
          <w:rFonts w:hint="eastAsia"/>
        </w:rPr>
        <w:t>另依金管會102年4月22日金</w:t>
      </w:r>
      <w:r w:rsidRPr="00D02C48">
        <w:rPr>
          <w:rFonts w:hint="eastAsia"/>
        </w:rPr>
        <w:t>管證投字第1020014091號函復之說明，略以：</w:t>
      </w:r>
      <w:r w:rsidRPr="00D02C48">
        <w:rPr>
          <w:rFonts w:hAnsi="標楷體" w:hint="eastAsia"/>
        </w:rPr>
        <w:t>「經查改善債券型基金流動性專案小組會議並無做成三大原則之決議紀錄；所謂『三大鐵律』應係第一次出現於94年2月21日經濟日報『反浮動債券鐵律 嚇跑外資投信』報導</w:t>
      </w:r>
      <w:r>
        <w:rPr>
          <w:rFonts w:hAnsi="標楷體" w:hint="eastAsia"/>
        </w:rPr>
        <w:t>……」，亦堪為證</w:t>
      </w:r>
      <w:r>
        <w:rPr>
          <w:rFonts w:hint="eastAsia"/>
        </w:rPr>
        <w:t>。</w:t>
      </w:r>
    </w:p>
  </w:footnote>
  <w:footnote w:id="10">
    <w:p w:rsidR="00613819" w:rsidRPr="0061085E" w:rsidRDefault="00613819">
      <w:pPr>
        <w:pStyle w:val="aff"/>
      </w:pPr>
      <w:r>
        <w:rPr>
          <w:rStyle w:val="aff1"/>
        </w:rPr>
        <w:footnoteRef/>
      </w:r>
      <w:r>
        <w:t xml:space="preserve"> </w:t>
      </w:r>
      <w:r>
        <w:rPr>
          <w:rFonts w:hint="eastAsia"/>
        </w:rPr>
        <w:t>102年3月18日派查；103年1月8日本院財政及經濟委員會第4屆第119次會議審查通過。</w:t>
      </w:r>
    </w:p>
  </w:footnote>
  <w:footnote w:id="11">
    <w:p w:rsidR="00613819" w:rsidRPr="00AF6785" w:rsidRDefault="00613819">
      <w:pPr>
        <w:pStyle w:val="aff"/>
      </w:pPr>
      <w:r>
        <w:rPr>
          <w:rStyle w:val="aff1"/>
        </w:rPr>
        <w:footnoteRef/>
      </w:r>
      <w:r>
        <w:t xml:space="preserve"> </w:t>
      </w:r>
      <w:r>
        <w:rPr>
          <w:rFonts w:hint="eastAsia"/>
        </w:rPr>
        <w:t>104年4月28日派查；104年9月8日本院財政及經濟委員會第5屆第18次會議審查通過。</w:t>
      </w:r>
    </w:p>
  </w:footnote>
  <w:footnote w:id="12">
    <w:p w:rsidR="00613819" w:rsidRDefault="00613819" w:rsidP="00747231">
      <w:pPr>
        <w:pStyle w:val="aff"/>
        <w:ind w:left="222" w:hangingChars="101" w:hanging="222"/>
      </w:pPr>
      <w:r>
        <w:rPr>
          <w:rStyle w:val="aff1"/>
        </w:rPr>
        <w:footnoteRef/>
      </w:r>
      <w:r>
        <w:t xml:space="preserve"> </w:t>
      </w:r>
      <w:r w:rsidRPr="00B05DB0">
        <w:t>59年9月4日修正</w:t>
      </w:r>
      <w:r w:rsidRPr="00B05DB0">
        <w:rPr>
          <w:rFonts w:hint="eastAsia"/>
        </w:rPr>
        <w:t>適用之公司法第154條</w:t>
      </w:r>
      <w:r>
        <w:rPr>
          <w:rFonts w:hint="eastAsia"/>
        </w:rPr>
        <w:t>原規定</w:t>
      </w:r>
      <w:r w:rsidRPr="00B05DB0">
        <w:rPr>
          <w:rFonts w:hint="eastAsia"/>
        </w:rPr>
        <w:t>：</w:t>
      </w:r>
    </w:p>
    <w:p w:rsidR="00613819" w:rsidRDefault="00613819" w:rsidP="00747231">
      <w:pPr>
        <w:pStyle w:val="aff"/>
        <w:ind w:leftChars="65" w:left="221" w:firstLineChars="28" w:firstLine="62"/>
      </w:pPr>
      <w:r w:rsidRPr="00B05DB0">
        <w:rPr>
          <w:rFonts w:hint="eastAsia"/>
        </w:rPr>
        <w:t>「</w:t>
      </w:r>
      <w:r>
        <w:t>股東對於公司之責任，以繳清其股份之金額為限。</w:t>
      </w:r>
      <w:r w:rsidRPr="00E018E7">
        <w:rPr>
          <w:rFonts w:hint="eastAsia"/>
        </w:rPr>
        <w:t>」</w:t>
      </w:r>
    </w:p>
    <w:p w:rsidR="00613819" w:rsidRDefault="00613819" w:rsidP="00747231">
      <w:pPr>
        <w:pStyle w:val="aff"/>
        <w:ind w:leftChars="60" w:left="215" w:hangingChars="5" w:hanging="11"/>
      </w:pPr>
      <w:r w:rsidRPr="00E018E7">
        <w:rPr>
          <w:rFonts w:hint="eastAsia"/>
        </w:rPr>
        <w:t>嗣</w:t>
      </w:r>
      <w:r w:rsidRPr="00E018E7">
        <w:t>102年1月30日修正</w:t>
      </w:r>
      <w:r>
        <w:rPr>
          <w:rFonts w:hint="eastAsia"/>
        </w:rPr>
        <w:t>之現行公司</w:t>
      </w:r>
      <w:r w:rsidRPr="00B05DB0">
        <w:rPr>
          <w:rFonts w:hint="eastAsia"/>
        </w:rPr>
        <w:t>法第154條</w:t>
      </w:r>
      <w:r>
        <w:rPr>
          <w:rFonts w:hint="eastAsia"/>
        </w:rPr>
        <w:t>規定：</w:t>
      </w:r>
    </w:p>
    <w:p w:rsidR="00613819" w:rsidRDefault="00613819" w:rsidP="00747231">
      <w:pPr>
        <w:pStyle w:val="aff"/>
        <w:ind w:leftChars="65" w:left="221" w:firstLineChars="28" w:firstLine="62"/>
      </w:pPr>
      <w:r w:rsidRPr="00E018E7">
        <w:rPr>
          <w:rFonts w:hint="eastAsia"/>
        </w:rPr>
        <w:t>「</w:t>
      </w:r>
      <w:r>
        <w:rPr>
          <w:rFonts w:hAnsi="標楷體" w:hint="eastAsia"/>
        </w:rPr>
        <w:t>Ⅰ</w:t>
      </w:r>
      <w:r>
        <w:rPr>
          <w:rFonts w:hint="eastAsia"/>
        </w:rPr>
        <w:t>.</w:t>
      </w:r>
      <w:r>
        <w:t>股東對於公司之責任，除第</w:t>
      </w:r>
      <w:r>
        <w:rPr>
          <w:rFonts w:hint="eastAsia"/>
        </w:rPr>
        <w:t>2</w:t>
      </w:r>
      <w:r w:rsidRPr="00E018E7">
        <w:t>項規定外，以繳清其股份之金額為限</w:t>
      </w:r>
      <w:r w:rsidRPr="00E018E7">
        <w:rPr>
          <w:rFonts w:hint="eastAsia"/>
        </w:rPr>
        <w:t>。</w:t>
      </w:r>
    </w:p>
    <w:p w:rsidR="00613819" w:rsidRPr="00E018E7" w:rsidRDefault="00613819" w:rsidP="00747231">
      <w:pPr>
        <w:pStyle w:val="aff"/>
        <w:ind w:leftChars="144" w:left="851" w:hangingChars="164" w:hanging="361"/>
      </w:pPr>
      <w:r>
        <w:rPr>
          <w:rFonts w:hAnsi="標楷體" w:hint="eastAsia"/>
        </w:rPr>
        <w:t>Ⅱ</w:t>
      </w:r>
      <w:r>
        <w:rPr>
          <w:rFonts w:hint="eastAsia"/>
        </w:rPr>
        <w:t>.</w:t>
      </w:r>
      <w:r w:rsidRPr="00E018E7">
        <w:t>股東濫用公司之法人地位，致公司負擔特定債務且清償顯有困難，其情節重大而有必要者，該股東應負清償之責</w:t>
      </w:r>
      <w:r>
        <w:rPr>
          <w:rFonts w:hint="eastAsia"/>
        </w:rPr>
        <w:t>。</w:t>
      </w:r>
      <w:r w:rsidRPr="00E018E7">
        <w:rPr>
          <w:rFonts w:hint="eastAsia"/>
        </w:rPr>
        <w:t>」</w:t>
      </w:r>
    </w:p>
  </w:footnote>
  <w:footnote w:id="13">
    <w:p w:rsidR="00613819" w:rsidRPr="002501A7" w:rsidRDefault="00613819">
      <w:pPr>
        <w:pStyle w:val="aff"/>
      </w:pPr>
      <w:r>
        <w:rPr>
          <w:rStyle w:val="aff1"/>
        </w:rPr>
        <w:footnoteRef/>
      </w:r>
      <w:r>
        <w:t xml:space="preserve"> </w:t>
      </w:r>
      <w:r>
        <w:rPr>
          <w:rFonts w:hint="eastAsia"/>
        </w:rPr>
        <w:t>金管會104年7月30日金管證投字第1040029829號函復本院之說明。</w:t>
      </w:r>
    </w:p>
  </w:footnote>
  <w:footnote w:id="14">
    <w:p w:rsidR="00613819" w:rsidRDefault="00613819">
      <w:pPr>
        <w:pStyle w:val="aff"/>
      </w:pPr>
      <w:r>
        <w:rPr>
          <w:rStyle w:val="aff1"/>
        </w:rPr>
        <w:footnoteRef/>
      </w:r>
      <w:r>
        <w:t xml:space="preserve"> </w:t>
      </w:r>
      <w:r>
        <w:rPr>
          <w:rFonts w:hint="eastAsia"/>
        </w:rPr>
        <w:t>證券投資顧問法</w:t>
      </w:r>
      <w:r>
        <w:rPr>
          <w:rFonts w:hAnsi="標楷體" w:hint="eastAsia"/>
        </w:rPr>
        <w:t>§</w:t>
      </w:r>
      <w:r>
        <w:rPr>
          <w:rFonts w:hint="eastAsia"/>
        </w:rPr>
        <w:t>7：</w:t>
      </w:r>
    </w:p>
    <w:p w:rsidR="00613819" w:rsidRPr="00D02C48" w:rsidRDefault="00613819" w:rsidP="00747231">
      <w:pPr>
        <w:pStyle w:val="aff"/>
        <w:ind w:left="517" w:hangingChars="235" w:hanging="517"/>
      </w:pPr>
      <w:r w:rsidRPr="00DC5528">
        <w:rPr>
          <w:rFonts w:hint="eastAsia"/>
        </w:rPr>
        <w:t>「Ⅰ</w:t>
      </w:r>
      <w:r>
        <w:rPr>
          <w:rFonts w:hint="eastAsia"/>
        </w:rPr>
        <w:t>.</w:t>
      </w:r>
      <w:r w:rsidRPr="00DC5528">
        <w:rPr>
          <w:rFonts w:hint="eastAsia"/>
        </w:rPr>
        <w:t>證券投資</w:t>
      </w:r>
      <w:r w:rsidRPr="00D02C48">
        <w:rPr>
          <w:rFonts w:hint="eastAsia"/>
        </w:rPr>
        <w:t>信託事業、證券投資顧問事業、基金保管機構、全權委託保管機構及其董事、監察人、經理人或受僱人，應依本法、本法授權訂定之命令及契約之規定，以善良管理人之注意義務及忠實義務，本誠實信用原則執行業務。</w:t>
      </w:r>
    </w:p>
    <w:p w:rsidR="00613819" w:rsidRPr="00D02C48" w:rsidRDefault="00613819" w:rsidP="00D02C48">
      <w:pPr>
        <w:pStyle w:val="aff"/>
        <w:ind w:leftChars="56" w:left="509" w:hangingChars="145" w:hanging="319"/>
      </w:pPr>
      <w:r w:rsidRPr="00D02C48">
        <w:rPr>
          <w:rFonts w:hint="eastAsia"/>
        </w:rPr>
        <w:t>Ⅱ.前項事業、機構或人員對於受益人或客戶個人資料、往來交易資料及其他相關資料，除其他法律或主管機關另有規定外，應保守秘密。</w:t>
      </w:r>
    </w:p>
    <w:p w:rsidR="00613819" w:rsidRPr="00D02C48" w:rsidRDefault="00613819" w:rsidP="00D02C48">
      <w:pPr>
        <w:pStyle w:val="aff"/>
        <w:ind w:leftChars="56" w:left="509" w:hangingChars="145" w:hanging="319"/>
      </w:pPr>
      <w:r w:rsidRPr="00D02C48">
        <w:rPr>
          <w:rFonts w:hint="eastAsia"/>
        </w:rPr>
        <w:t>Ⅲ.違反前2項規定者，就證券投資信託基金受益人或契約之相對人因而所受之損害，應負賠償之責。」</w:t>
      </w:r>
    </w:p>
  </w:footnote>
  <w:footnote w:id="15">
    <w:p w:rsidR="00613819" w:rsidRDefault="00613819" w:rsidP="00747231">
      <w:pPr>
        <w:pStyle w:val="aff"/>
        <w:ind w:left="222" w:hangingChars="101" w:hanging="222"/>
      </w:pPr>
      <w:r>
        <w:rPr>
          <w:rStyle w:val="aff1"/>
        </w:rPr>
        <w:footnoteRef/>
      </w:r>
      <w:r>
        <w:t xml:space="preserve"> </w:t>
      </w:r>
      <w:r>
        <w:rPr>
          <w:rFonts w:hint="eastAsia"/>
        </w:rPr>
        <w:t>聯合投信於93年7月16日及20日召開受益人大會，決議將旗下3檔債券型基金之經理公司變更為富邦投信，2檔平衡型基金之經理公司變更為日盛投信。</w:t>
      </w:r>
    </w:p>
    <w:p w:rsidR="00613819" w:rsidRPr="00F84ACE" w:rsidRDefault="00613819" w:rsidP="00747231">
      <w:pPr>
        <w:pStyle w:val="aff"/>
        <w:ind w:leftChars="65" w:left="221" w:firstLine="2"/>
      </w:pPr>
      <w:r>
        <w:rPr>
          <w:rFonts w:hint="eastAsia"/>
        </w:rPr>
        <w:t>另台育投信則於93年9月8日將</w:t>
      </w:r>
      <w:r>
        <w:rPr>
          <w:rFonts w:hAnsi="標楷體" w:hint="eastAsia"/>
        </w:rPr>
        <w:t>台育遠流債券基金移轉由金復華投信公司經理。</w:t>
      </w:r>
    </w:p>
  </w:footnote>
  <w:footnote w:id="16">
    <w:p w:rsidR="00613819" w:rsidRDefault="00613819">
      <w:pPr>
        <w:pStyle w:val="aff"/>
      </w:pPr>
      <w:r>
        <w:rPr>
          <w:rStyle w:val="aff1"/>
        </w:rPr>
        <w:footnoteRef/>
      </w:r>
      <w:r>
        <w:t xml:space="preserve"> </w:t>
      </w:r>
      <w:r>
        <w:rPr>
          <w:rFonts w:hint="eastAsia"/>
        </w:rPr>
        <w:t>CBO (Collateralized Bond Obligation；債券擔保受益憑證)</w:t>
      </w:r>
    </w:p>
  </w:footnote>
  <w:footnote w:id="17">
    <w:p w:rsidR="00613819" w:rsidRDefault="00613819">
      <w:pPr>
        <w:pStyle w:val="aff"/>
      </w:pPr>
      <w:r>
        <w:rPr>
          <w:rStyle w:val="aff1"/>
        </w:rPr>
        <w:footnoteRef/>
      </w:r>
      <w:r>
        <w:t xml:space="preserve"> </w:t>
      </w:r>
      <w:r>
        <w:rPr>
          <w:rFonts w:hint="eastAsia"/>
        </w:rPr>
        <w:t>ABCP (Asset-Backed Commercial Paper；資產基礎商業本票)</w:t>
      </w:r>
    </w:p>
  </w:footnote>
  <w:footnote w:id="18">
    <w:p w:rsidR="00613819" w:rsidRDefault="00613819" w:rsidP="00C9110F">
      <w:pPr>
        <w:pStyle w:val="aff"/>
      </w:pPr>
      <w:r>
        <w:rPr>
          <w:rStyle w:val="aff1"/>
        </w:rPr>
        <w:footnoteRef/>
      </w:r>
      <w:r>
        <w:t xml:space="preserve"> </w:t>
      </w:r>
      <w:r>
        <w:rPr>
          <w:rFonts w:hint="eastAsia"/>
        </w:rPr>
        <w:t>資料來源：104年4月29日經濟日報A9版，蔡穎青撰稿。</w:t>
      </w:r>
    </w:p>
  </w:footnote>
  <w:footnote w:id="19">
    <w:p w:rsidR="00613819" w:rsidRDefault="00613819" w:rsidP="00747231">
      <w:pPr>
        <w:pStyle w:val="aff"/>
        <w:ind w:left="209" w:hangingChars="95" w:hanging="209"/>
      </w:pPr>
      <w:r>
        <w:rPr>
          <w:rStyle w:val="aff1"/>
        </w:rPr>
        <w:footnoteRef/>
      </w:r>
      <w:r>
        <w:t xml:space="preserve"> </w:t>
      </w:r>
      <w:r>
        <w:rPr>
          <w:rFonts w:hint="eastAsia"/>
        </w:rPr>
        <w:t>此應指</w:t>
      </w:r>
      <w:r w:rsidRPr="002D5F93">
        <w:rPr>
          <w:rFonts w:hint="eastAsia"/>
        </w:rPr>
        <w:t>臺灣高等法院99年度金上重訴字第38號判決(</w:t>
      </w:r>
      <w:r>
        <w:rPr>
          <w:rFonts w:hint="eastAsia"/>
        </w:rPr>
        <w:t>判決日期：</w:t>
      </w:r>
      <w:r w:rsidRPr="002D5F93">
        <w:rPr>
          <w:rFonts w:hint="eastAsia"/>
        </w:rPr>
        <w:t>103年7月17日)</w:t>
      </w:r>
      <w:r>
        <w:rPr>
          <w:rFonts w:hint="eastAsia"/>
        </w:rPr>
        <w:t>；惟該判決業於</w:t>
      </w:r>
      <w:r w:rsidRPr="002D5F93">
        <w:t>104</w:t>
      </w:r>
      <w:r w:rsidRPr="002D5F93">
        <w:rPr>
          <w:rFonts w:hint="eastAsia"/>
        </w:rPr>
        <w:t>年</w:t>
      </w:r>
      <w:r w:rsidRPr="002D5F93">
        <w:t>11</w:t>
      </w:r>
      <w:r w:rsidRPr="002D5F93">
        <w:rPr>
          <w:rFonts w:hint="eastAsia"/>
        </w:rPr>
        <w:t>月</w:t>
      </w:r>
      <w:r w:rsidRPr="002D5F93">
        <w:t>5</w:t>
      </w:r>
      <w:r w:rsidRPr="002D5F93">
        <w:rPr>
          <w:rFonts w:hint="eastAsia"/>
        </w:rPr>
        <w:t>日為最高法院104年度台上字第3331號判決</w:t>
      </w:r>
      <w:r>
        <w:rPr>
          <w:rFonts w:hint="eastAsia"/>
        </w:rPr>
        <w:t>撤銷，</w:t>
      </w:r>
      <w:r w:rsidRPr="002D5F93">
        <w:rPr>
          <w:rFonts w:hint="eastAsia"/>
        </w:rPr>
        <w:t>發回更審</w:t>
      </w:r>
      <w:r>
        <w:rPr>
          <w:rFonts w:hint="eastAsia"/>
        </w:rPr>
        <w:t>。</w:t>
      </w:r>
    </w:p>
  </w:footnote>
  <w:footnote w:id="20">
    <w:p w:rsidR="00613819" w:rsidRDefault="00613819">
      <w:pPr>
        <w:pStyle w:val="aff"/>
      </w:pPr>
      <w:r>
        <w:rPr>
          <w:rStyle w:val="aff1"/>
        </w:rPr>
        <w:footnoteRef/>
      </w:r>
      <w:r>
        <w:t xml:space="preserve"> </w:t>
      </w:r>
      <w:r>
        <w:rPr>
          <w:rFonts w:hint="eastAsia"/>
        </w:rPr>
        <w:t>同前註。</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39B5C52"/>
    <w:multiLevelType w:val="multilevel"/>
    <w:tmpl w:val="9A0E7DB6"/>
    <w:lvl w:ilvl="0">
      <w:start w:val="1"/>
      <w:numFmt w:val="ideographTraditional"/>
      <w:pStyle w:val="a0"/>
      <w:suff w:val="nothing"/>
      <w:lvlText w:val="%1、"/>
      <w:lvlJc w:val="left"/>
      <w:pPr>
        <w:ind w:left="425" w:hanging="425"/>
      </w:pPr>
      <w:rPr>
        <w:rFonts w:hint="eastAsia"/>
      </w:rPr>
    </w:lvl>
    <w:lvl w:ilvl="1">
      <w:start w:val="1"/>
      <w:numFmt w:val="ideographLegalTraditional"/>
      <w:pStyle w:val="a1"/>
      <w:suff w:val="nothing"/>
      <w:lvlText w:val="%2、"/>
      <w:lvlJc w:val="left"/>
      <w:pPr>
        <w:ind w:left="454" w:hanging="454"/>
      </w:pPr>
      <w:rPr>
        <w:rFonts w:hint="eastAsia"/>
        <w:color w:val="auto"/>
      </w:rPr>
    </w:lvl>
    <w:lvl w:ilvl="2">
      <w:start w:val="1"/>
      <w:numFmt w:val="taiwaneseCountingThousand"/>
      <w:pStyle w:val="a2"/>
      <w:suff w:val="nothing"/>
      <w:lvlText w:val="%3、"/>
      <w:lvlJc w:val="left"/>
      <w:pPr>
        <w:ind w:left="1658" w:hanging="1418"/>
      </w:pPr>
      <w:rPr>
        <w:rFonts w:hint="eastAsia"/>
        <w:lang w:val="en-US"/>
      </w:rPr>
    </w:lvl>
    <w:lvl w:ilvl="3">
      <w:start w:val="1"/>
      <w:numFmt w:val="taiwaneseCountingThousand"/>
      <w:pStyle w:val="a3"/>
      <w:suff w:val="nothing"/>
      <w:lvlText w:val="(%4)"/>
      <w:lvlJc w:val="left"/>
      <w:pPr>
        <w:ind w:left="1985" w:hanging="1985"/>
      </w:pPr>
      <w:rPr>
        <w:rFonts w:hint="eastAsia"/>
      </w:rPr>
    </w:lvl>
    <w:lvl w:ilvl="4">
      <w:start w:val="1"/>
      <w:numFmt w:val="decimal"/>
      <w:pStyle w:val="1"/>
      <w:lvlText w:val="%5."/>
      <w:lvlJc w:val="left"/>
      <w:pPr>
        <w:tabs>
          <w:tab w:val="num" w:pos="426"/>
        </w:tabs>
        <w:ind w:left="2411" w:hanging="851"/>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2" w15:restartNumberingAfterBreak="0">
    <w:nsid w:val="140E010C"/>
    <w:multiLevelType w:val="multilevel"/>
    <w:tmpl w:val="01D0DB0C"/>
    <w:lvl w:ilvl="0">
      <w:start w:val="1"/>
      <w:numFmt w:val="ideographLegalTraditional"/>
      <w:pStyle w:val="10"/>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19532EFC"/>
    <w:multiLevelType w:val="hybridMultilevel"/>
    <w:tmpl w:val="7CBA69F8"/>
    <w:lvl w:ilvl="0" w:tplc="178A5CEA">
      <w:start w:val="1"/>
      <w:numFmt w:val="taiwaneseCountingThousand"/>
      <w:pStyle w:val="a4"/>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59847926"/>
    <w:lvl w:ilvl="0" w:tplc="A1A269AC">
      <w:start w:val="1"/>
      <w:numFmt w:val="decimal"/>
      <w:pStyle w:val="a5"/>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6"/>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7"/>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8"/>
      <w:lvlText w:val="附錄%1、"/>
      <w:lvlJc w:val="left"/>
      <w:pPr>
        <w:ind w:left="480" w:hanging="480"/>
      </w:pPr>
      <w:rPr>
        <w:rFonts w:ascii="標楷體" w:eastAsia="標楷體" w:hint="eastAsia"/>
        <w:b w:val="0"/>
        <w:i w:val="0"/>
        <w:caps w:val="0"/>
        <w:strike w:val="0"/>
        <w:dstrike w:val="0"/>
        <w:snapToGrid/>
        <w:vanish w:val="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9"/>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6"/>
  </w:num>
  <w:num w:numId="4">
    <w:abstractNumId w:val="4"/>
  </w:num>
  <w:num w:numId="5">
    <w:abstractNumId w:val="7"/>
  </w:num>
  <w:num w:numId="6">
    <w:abstractNumId w:val="2"/>
  </w:num>
  <w:num w:numId="7">
    <w:abstractNumId w:val="8"/>
  </w:num>
  <w:num w:numId="8">
    <w:abstractNumId w:val="5"/>
  </w:num>
  <w:num w:numId="9">
    <w:abstractNumId w:val="1"/>
  </w:num>
  <w:num w:numId="10">
    <w:abstractNumId w:val="2"/>
  </w:num>
  <w:num w:numId="11">
    <w:abstractNumId w:val="2"/>
  </w:num>
  <w:num w:numId="1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164865"/>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112BF"/>
    <w:rsid w:val="00012233"/>
    <w:rsid w:val="00013ACD"/>
    <w:rsid w:val="00017318"/>
    <w:rsid w:val="0002246C"/>
    <w:rsid w:val="00024054"/>
    <w:rsid w:val="000246F7"/>
    <w:rsid w:val="00026DA0"/>
    <w:rsid w:val="00027E5F"/>
    <w:rsid w:val="00030A32"/>
    <w:rsid w:val="0003114D"/>
    <w:rsid w:val="000359BF"/>
    <w:rsid w:val="000366C6"/>
    <w:rsid w:val="00036D76"/>
    <w:rsid w:val="00040555"/>
    <w:rsid w:val="00045991"/>
    <w:rsid w:val="000516D4"/>
    <w:rsid w:val="000525AC"/>
    <w:rsid w:val="00054B1B"/>
    <w:rsid w:val="00057F32"/>
    <w:rsid w:val="0006186E"/>
    <w:rsid w:val="00062A25"/>
    <w:rsid w:val="000649D8"/>
    <w:rsid w:val="00072F59"/>
    <w:rsid w:val="00073054"/>
    <w:rsid w:val="00073CB5"/>
    <w:rsid w:val="0007425C"/>
    <w:rsid w:val="00077553"/>
    <w:rsid w:val="00082FB6"/>
    <w:rsid w:val="000851A2"/>
    <w:rsid w:val="000853D1"/>
    <w:rsid w:val="0009352E"/>
    <w:rsid w:val="000937FC"/>
    <w:rsid w:val="00096770"/>
    <w:rsid w:val="00096B96"/>
    <w:rsid w:val="000A0161"/>
    <w:rsid w:val="000A1E53"/>
    <w:rsid w:val="000A2F3F"/>
    <w:rsid w:val="000B0B4A"/>
    <w:rsid w:val="000B1079"/>
    <w:rsid w:val="000B18BE"/>
    <w:rsid w:val="000B279A"/>
    <w:rsid w:val="000B4E37"/>
    <w:rsid w:val="000B607E"/>
    <w:rsid w:val="000B61D2"/>
    <w:rsid w:val="000B70A7"/>
    <w:rsid w:val="000B73DD"/>
    <w:rsid w:val="000B7AA5"/>
    <w:rsid w:val="000C142C"/>
    <w:rsid w:val="000C14D9"/>
    <w:rsid w:val="000C495F"/>
    <w:rsid w:val="000D271A"/>
    <w:rsid w:val="000E256D"/>
    <w:rsid w:val="000E42A7"/>
    <w:rsid w:val="000E6431"/>
    <w:rsid w:val="000E66D8"/>
    <w:rsid w:val="000F02FC"/>
    <w:rsid w:val="000F21A5"/>
    <w:rsid w:val="000F2A84"/>
    <w:rsid w:val="000F7DD5"/>
    <w:rsid w:val="00101434"/>
    <w:rsid w:val="0010171E"/>
    <w:rsid w:val="00101B73"/>
    <w:rsid w:val="00102B9F"/>
    <w:rsid w:val="0010337C"/>
    <w:rsid w:val="00106C5E"/>
    <w:rsid w:val="001078EA"/>
    <w:rsid w:val="00111CDE"/>
    <w:rsid w:val="00112637"/>
    <w:rsid w:val="00112ABC"/>
    <w:rsid w:val="00112F11"/>
    <w:rsid w:val="001174FC"/>
    <w:rsid w:val="00117D30"/>
    <w:rsid w:val="0012001E"/>
    <w:rsid w:val="00126A55"/>
    <w:rsid w:val="00133F08"/>
    <w:rsid w:val="001345E6"/>
    <w:rsid w:val="001378B0"/>
    <w:rsid w:val="00141335"/>
    <w:rsid w:val="00142E00"/>
    <w:rsid w:val="00143D98"/>
    <w:rsid w:val="001454A1"/>
    <w:rsid w:val="00152793"/>
    <w:rsid w:val="00153B7E"/>
    <w:rsid w:val="001545A9"/>
    <w:rsid w:val="00155969"/>
    <w:rsid w:val="00156E47"/>
    <w:rsid w:val="00161B03"/>
    <w:rsid w:val="00162D94"/>
    <w:rsid w:val="001634D5"/>
    <w:rsid w:val="001637C7"/>
    <w:rsid w:val="00163CDE"/>
    <w:rsid w:val="0016480E"/>
    <w:rsid w:val="001670F3"/>
    <w:rsid w:val="0017078C"/>
    <w:rsid w:val="001724C6"/>
    <w:rsid w:val="001734F9"/>
    <w:rsid w:val="00173AFC"/>
    <w:rsid w:val="00174297"/>
    <w:rsid w:val="00180E06"/>
    <w:rsid w:val="001817B3"/>
    <w:rsid w:val="00183014"/>
    <w:rsid w:val="00185695"/>
    <w:rsid w:val="00186975"/>
    <w:rsid w:val="001959C2"/>
    <w:rsid w:val="00197089"/>
    <w:rsid w:val="00197BFF"/>
    <w:rsid w:val="001A51E3"/>
    <w:rsid w:val="001A7968"/>
    <w:rsid w:val="001B00D1"/>
    <w:rsid w:val="001B2747"/>
    <w:rsid w:val="001B2E98"/>
    <w:rsid w:val="001B3483"/>
    <w:rsid w:val="001B3C1E"/>
    <w:rsid w:val="001B3DB0"/>
    <w:rsid w:val="001B4494"/>
    <w:rsid w:val="001B7D99"/>
    <w:rsid w:val="001C0D8B"/>
    <w:rsid w:val="001C0DA8"/>
    <w:rsid w:val="001C5A94"/>
    <w:rsid w:val="001D445F"/>
    <w:rsid w:val="001D4A77"/>
    <w:rsid w:val="001D4AD7"/>
    <w:rsid w:val="001E0D8A"/>
    <w:rsid w:val="001E16F8"/>
    <w:rsid w:val="001E67BA"/>
    <w:rsid w:val="001E74C2"/>
    <w:rsid w:val="001F5A48"/>
    <w:rsid w:val="001F6260"/>
    <w:rsid w:val="00200007"/>
    <w:rsid w:val="00200E4D"/>
    <w:rsid w:val="002030A5"/>
    <w:rsid w:val="00203131"/>
    <w:rsid w:val="002118D3"/>
    <w:rsid w:val="002125CF"/>
    <w:rsid w:val="00212E88"/>
    <w:rsid w:val="00213962"/>
    <w:rsid w:val="00213C9C"/>
    <w:rsid w:val="00216942"/>
    <w:rsid w:val="00216CF9"/>
    <w:rsid w:val="0022009E"/>
    <w:rsid w:val="00223241"/>
    <w:rsid w:val="00223F83"/>
    <w:rsid w:val="0022425C"/>
    <w:rsid w:val="002246DE"/>
    <w:rsid w:val="00231EB3"/>
    <w:rsid w:val="00232CEA"/>
    <w:rsid w:val="0024534F"/>
    <w:rsid w:val="002501A7"/>
    <w:rsid w:val="00252BC4"/>
    <w:rsid w:val="00252E78"/>
    <w:rsid w:val="00254014"/>
    <w:rsid w:val="00256BC1"/>
    <w:rsid w:val="00257545"/>
    <w:rsid w:val="00262607"/>
    <w:rsid w:val="0026504D"/>
    <w:rsid w:val="00270E73"/>
    <w:rsid w:val="00271BA3"/>
    <w:rsid w:val="00272CB9"/>
    <w:rsid w:val="002734C8"/>
    <w:rsid w:val="00273A2F"/>
    <w:rsid w:val="00274153"/>
    <w:rsid w:val="00274CF8"/>
    <w:rsid w:val="00280986"/>
    <w:rsid w:val="00281ECE"/>
    <w:rsid w:val="002831C7"/>
    <w:rsid w:val="002840C6"/>
    <w:rsid w:val="00295174"/>
    <w:rsid w:val="00296172"/>
    <w:rsid w:val="00296B92"/>
    <w:rsid w:val="00296CD8"/>
    <w:rsid w:val="002A050E"/>
    <w:rsid w:val="002A2C22"/>
    <w:rsid w:val="002A3A5A"/>
    <w:rsid w:val="002A552C"/>
    <w:rsid w:val="002A6442"/>
    <w:rsid w:val="002B02EB"/>
    <w:rsid w:val="002B1292"/>
    <w:rsid w:val="002B27FC"/>
    <w:rsid w:val="002B5A84"/>
    <w:rsid w:val="002C0602"/>
    <w:rsid w:val="002C4205"/>
    <w:rsid w:val="002D0C36"/>
    <w:rsid w:val="002D5C16"/>
    <w:rsid w:val="002D5F93"/>
    <w:rsid w:val="002D774E"/>
    <w:rsid w:val="002E015E"/>
    <w:rsid w:val="002E55C7"/>
    <w:rsid w:val="002F35DE"/>
    <w:rsid w:val="002F3DFF"/>
    <w:rsid w:val="002F5E05"/>
    <w:rsid w:val="00301108"/>
    <w:rsid w:val="003038E2"/>
    <w:rsid w:val="00303E3B"/>
    <w:rsid w:val="003053E8"/>
    <w:rsid w:val="003068FB"/>
    <w:rsid w:val="0031293B"/>
    <w:rsid w:val="00315A16"/>
    <w:rsid w:val="00317053"/>
    <w:rsid w:val="0032109C"/>
    <w:rsid w:val="00322B45"/>
    <w:rsid w:val="00323809"/>
    <w:rsid w:val="00323D41"/>
    <w:rsid w:val="00325414"/>
    <w:rsid w:val="003302F1"/>
    <w:rsid w:val="00333F2A"/>
    <w:rsid w:val="003402B9"/>
    <w:rsid w:val="0034470E"/>
    <w:rsid w:val="00345FC2"/>
    <w:rsid w:val="003501B4"/>
    <w:rsid w:val="00352DB0"/>
    <w:rsid w:val="00354E29"/>
    <w:rsid w:val="00354ED8"/>
    <w:rsid w:val="00361063"/>
    <w:rsid w:val="00362468"/>
    <w:rsid w:val="00362470"/>
    <w:rsid w:val="00363D88"/>
    <w:rsid w:val="003648E8"/>
    <w:rsid w:val="00365DA4"/>
    <w:rsid w:val="0036702F"/>
    <w:rsid w:val="0037094A"/>
    <w:rsid w:val="003712AF"/>
    <w:rsid w:val="00371ED3"/>
    <w:rsid w:val="00372FFC"/>
    <w:rsid w:val="00376AEE"/>
    <w:rsid w:val="0037728A"/>
    <w:rsid w:val="00380B7D"/>
    <w:rsid w:val="00381438"/>
    <w:rsid w:val="00381A99"/>
    <w:rsid w:val="00382358"/>
    <w:rsid w:val="003829C2"/>
    <w:rsid w:val="003830B2"/>
    <w:rsid w:val="00383D91"/>
    <w:rsid w:val="00384724"/>
    <w:rsid w:val="00386EA4"/>
    <w:rsid w:val="00386EDD"/>
    <w:rsid w:val="00390B1F"/>
    <w:rsid w:val="00390B44"/>
    <w:rsid w:val="003919B7"/>
    <w:rsid w:val="00391D57"/>
    <w:rsid w:val="00392292"/>
    <w:rsid w:val="003A0246"/>
    <w:rsid w:val="003A2C96"/>
    <w:rsid w:val="003A5927"/>
    <w:rsid w:val="003B1017"/>
    <w:rsid w:val="003B3C07"/>
    <w:rsid w:val="003B650F"/>
    <w:rsid w:val="003B6775"/>
    <w:rsid w:val="003B7DFF"/>
    <w:rsid w:val="003C1801"/>
    <w:rsid w:val="003C5FE2"/>
    <w:rsid w:val="003D05FB"/>
    <w:rsid w:val="003D1B16"/>
    <w:rsid w:val="003D45BF"/>
    <w:rsid w:val="003D508A"/>
    <w:rsid w:val="003D52F6"/>
    <w:rsid w:val="003D537F"/>
    <w:rsid w:val="003D7B75"/>
    <w:rsid w:val="003E0208"/>
    <w:rsid w:val="003E4B57"/>
    <w:rsid w:val="003E4FAD"/>
    <w:rsid w:val="003E7D09"/>
    <w:rsid w:val="003F27E1"/>
    <w:rsid w:val="003F437A"/>
    <w:rsid w:val="003F4B01"/>
    <w:rsid w:val="003F5C2B"/>
    <w:rsid w:val="004023E9"/>
    <w:rsid w:val="0040454A"/>
    <w:rsid w:val="0041308F"/>
    <w:rsid w:val="00413F83"/>
    <w:rsid w:val="0041490C"/>
    <w:rsid w:val="00414E33"/>
    <w:rsid w:val="00416191"/>
    <w:rsid w:val="00416721"/>
    <w:rsid w:val="00421EF0"/>
    <w:rsid w:val="004220D3"/>
    <w:rsid w:val="004224FA"/>
    <w:rsid w:val="00423D07"/>
    <w:rsid w:val="00432A4F"/>
    <w:rsid w:val="004412A5"/>
    <w:rsid w:val="0044346F"/>
    <w:rsid w:val="00447D06"/>
    <w:rsid w:val="00456192"/>
    <w:rsid w:val="0046520A"/>
    <w:rsid w:val="00465691"/>
    <w:rsid w:val="004672AB"/>
    <w:rsid w:val="004706AA"/>
    <w:rsid w:val="004714FE"/>
    <w:rsid w:val="00477BAA"/>
    <w:rsid w:val="00485EC3"/>
    <w:rsid w:val="00487A0B"/>
    <w:rsid w:val="0049095B"/>
    <w:rsid w:val="0049346A"/>
    <w:rsid w:val="004935DF"/>
    <w:rsid w:val="00495053"/>
    <w:rsid w:val="00495378"/>
    <w:rsid w:val="004A1F59"/>
    <w:rsid w:val="004A29BE"/>
    <w:rsid w:val="004A3225"/>
    <w:rsid w:val="004A33EE"/>
    <w:rsid w:val="004A3AA8"/>
    <w:rsid w:val="004A4637"/>
    <w:rsid w:val="004A625E"/>
    <w:rsid w:val="004A7AEA"/>
    <w:rsid w:val="004B12D3"/>
    <w:rsid w:val="004B13C7"/>
    <w:rsid w:val="004B3C40"/>
    <w:rsid w:val="004B4581"/>
    <w:rsid w:val="004B5391"/>
    <w:rsid w:val="004B66A0"/>
    <w:rsid w:val="004B778F"/>
    <w:rsid w:val="004C28D1"/>
    <w:rsid w:val="004C5A5D"/>
    <w:rsid w:val="004C7B00"/>
    <w:rsid w:val="004D141F"/>
    <w:rsid w:val="004D18CB"/>
    <w:rsid w:val="004D2742"/>
    <w:rsid w:val="004D4A47"/>
    <w:rsid w:val="004D6310"/>
    <w:rsid w:val="004E0062"/>
    <w:rsid w:val="004E05A1"/>
    <w:rsid w:val="004E21B7"/>
    <w:rsid w:val="004E54C7"/>
    <w:rsid w:val="004F5E57"/>
    <w:rsid w:val="004F6710"/>
    <w:rsid w:val="00500C3E"/>
    <w:rsid w:val="00502849"/>
    <w:rsid w:val="0050396C"/>
    <w:rsid w:val="00504334"/>
    <w:rsid w:val="0050498D"/>
    <w:rsid w:val="005104D7"/>
    <w:rsid w:val="00510B9E"/>
    <w:rsid w:val="00512C0C"/>
    <w:rsid w:val="00514EBE"/>
    <w:rsid w:val="00523B7B"/>
    <w:rsid w:val="0052517B"/>
    <w:rsid w:val="0053148C"/>
    <w:rsid w:val="00536BC2"/>
    <w:rsid w:val="00540281"/>
    <w:rsid w:val="00540D42"/>
    <w:rsid w:val="00541A38"/>
    <w:rsid w:val="00541D7F"/>
    <w:rsid w:val="005425E1"/>
    <w:rsid w:val="005427C5"/>
    <w:rsid w:val="00542CF6"/>
    <w:rsid w:val="005472FB"/>
    <w:rsid w:val="00547969"/>
    <w:rsid w:val="00547F04"/>
    <w:rsid w:val="00551583"/>
    <w:rsid w:val="00552223"/>
    <w:rsid w:val="00553C03"/>
    <w:rsid w:val="00553EBC"/>
    <w:rsid w:val="00560730"/>
    <w:rsid w:val="005617F2"/>
    <w:rsid w:val="00563692"/>
    <w:rsid w:val="005666DF"/>
    <w:rsid w:val="00567446"/>
    <w:rsid w:val="00570560"/>
    <w:rsid w:val="00571679"/>
    <w:rsid w:val="00571CD7"/>
    <w:rsid w:val="00582809"/>
    <w:rsid w:val="005844E7"/>
    <w:rsid w:val="00584F9C"/>
    <w:rsid w:val="005908B8"/>
    <w:rsid w:val="00592F90"/>
    <w:rsid w:val="00594939"/>
    <w:rsid w:val="0059512E"/>
    <w:rsid w:val="005A171B"/>
    <w:rsid w:val="005A6DD2"/>
    <w:rsid w:val="005A75F2"/>
    <w:rsid w:val="005C0212"/>
    <w:rsid w:val="005C385D"/>
    <w:rsid w:val="005C7B0E"/>
    <w:rsid w:val="005D20BF"/>
    <w:rsid w:val="005D35A9"/>
    <w:rsid w:val="005D38DE"/>
    <w:rsid w:val="005D3A95"/>
    <w:rsid w:val="005D3B20"/>
    <w:rsid w:val="005D492E"/>
    <w:rsid w:val="005E4759"/>
    <w:rsid w:val="005E5C68"/>
    <w:rsid w:val="005E65C0"/>
    <w:rsid w:val="005E73E3"/>
    <w:rsid w:val="005F0390"/>
    <w:rsid w:val="005F4172"/>
    <w:rsid w:val="00603F04"/>
    <w:rsid w:val="006072CD"/>
    <w:rsid w:val="0061085E"/>
    <w:rsid w:val="00612023"/>
    <w:rsid w:val="00612F57"/>
    <w:rsid w:val="00613065"/>
    <w:rsid w:val="00613819"/>
    <w:rsid w:val="00614190"/>
    <w:rsid w:val="00615F9C"/>
    <w:rsid w:val="00617996"/>
    <w:rsid w:val="00617A56"/>
    <w:rsid w:val="006212B1"/>
    <w:rsid w:val="00622A99"/>
    <w:rsid w:val="00622E67"/>
    <w:rsid w:val="006263BB"/>
    <w:rsid w:val="00626EDC"/>
    <w:rsid w:val="00631EA4"/>
    <w:rsid w:val="00632904"/>
    <w:rsid w:val="00643984"/>
    <w:rsid w:val="00643C6F"/>
    <w:rsid w:val="006470EC"/>
    <w:rsid w:val="00647CEC"/>
    <w:rsid w:val="00652329"/>
    <w:rsid w:val="00652559"/>
    <w:rsid w:val="00653034"/>
    <w:rsid w:val="006542D6"/>
    <w:rsid w:val="006553EE"/>
    <w:rsid w:val="0065598E"/>
    <w:rsid w:val="00655AF2"/>
    <w:rsid w:val="00655BC5"/>
    <w:rsid w:val="00656125"/>
    <w:rsid w:val="006568BE"/>
    <w:rsid w:val="00656AE6"/>
    <w:rsid w:val="0066025D"/>
    <w:rsid w:val="0066091A"/>
    <w:rsid w:val="006670A4"/>
    <w:rsid w:val="006722F0"/>
    <w:rsid w:val="00674F1F"/>
    <w:rsid w:val="0067637F"/>
    <w:rsid w:val="006773EC"/>
    <w:rsid w:val="00680504"/>
    <w:rsid w:val="00681CD9"/>
    <w:rsid w:val="00683E30"/>
    <w:rsid w:val="006841C9"/>
    <w:rsid w:val="00686E2E"/>
    <w:rsid w:val="00687024"/>
    <w:rsid w:val="00690401"/>
    <w:rsid w:val="006935CE"/>
    <w:rsid w:val="00693E0B"/>
    <w:rsid w:val="00694EDB"/>
    <w:rsid w:val="00695244"/>
    <w:rsid w:val="00695E22"/>
    <w:rsid w:val="0069666E"/>
    <w:rsid w:val="006A58EB"/>
    <w:rsid w:val="006A5EF7"/>
    <w:rsid w:val="006B3ADC"/>
    <w:rsid w:val="006B53C7"/>
    <w:rsid w:val="006B6D81"/>
    <w:rsid w:val="006B7093"/>
    <w:rsid w:val="006B7417"/>
    <w:rsid w:val="006B7535"/>
    <w:rsid w:val="006D1D6D"/>
    <w:rsid w:val="006D3608"/>
    <w:rsid w:val="006D3691"/>
    <w:rsid w:val="006D620A"/>
    <w:rsid w:val="006D7D57"/>
    <w:rsid w:val="006E0588"/>
    <w:rsid w:val="006E5EF0"/>
    <w:rsid w:val="006F0250"/>
    <w:rsid w:val="006F12EC"/>
    <w:rsid w:val="006F269B"/>
    <w:rsid w:val="006F3563"/>
    <w:rsid w:val="006F42B9"/>
    <w:rsid w:val="006F6103"/>
    <w:rsid w:val="006F6CD1"/>
    <w:rsid w:val="00703F4E"/>
    <w:rsid w:val="00704E00"/>
    <w:rsid w:val="00712C5C"/>
    <w:rsid w:val="00715687"/>
    <w:rsid w:val="007165FC"/>
    <w:rsid w:val="007209E7"/>
    <w:rsid w:val="00720ECD"/>
    <w:rsid w:val="0072230E"/>
    <w:rsid w:val="007254DA"/>
    <w:rsid w:val="00725BA3"/>
    <w:rsid w:val="00726182"/>
    <w:rsid w:val="00727635"/>
    <w:rsid w:val="00732329"/>
    <w:rsid w:val="007335B6"/>
    <w:rsid w:val="007337CA"/>
    <w:rsid w:val="00733987"/>
    <w:rsid w:val="00734CE4"/>
    <w:rsid w:val="00735123"/>
    <w:rsid w:val="00741318"/>
    <w:rsid w:val="00741837"/>
    <w:rsid w:val="00743B69"/>
    <w:rsid w:val="00745230"/>
    <w:rsid w:val="007453E6"/>
    <w:rsid w:val="00747231"/>
    <w:rsid w:val="00747ACE"/>
    <w:rsid w:val="00752325"/>
    <w:rsid w:val="007603DF"/>
    <w:rsid w:val="0076445C"/>
    <w:rsid w:val="00772449"/>
    <w:rsid w:val="0077309D"/>
    <w:rsid w:val="007774EE"/>
    <w:rsid w:val="00777AC3"/>
    <w:rsid w:val="00781822"/>
    <w:rsid w:val="00783F21"/>
    <w:rsid w:val="00785254"/>
    <w:rsid w:val="0078687B"/>
    <w:rsid w:val="00787159"/>
    <w:rsid w:val="00787B09"/>
    <w:rsid w:val="0079043A"/>
    <w:rsid w:val="00791019"/>
    <w:rsid w:val="00791668"/>
    <w:rsid w:val="00791AA1"/>
    <w:rsid w:val="007967F7"/>
    <w:rsid w:val="00796F53"/>
    <w:rsid w:val="007A3793"/>
    <w:rsid w:val="007B33EC"/>
    <w:rsid w:val="007B47FD"/>
    <w:rsid w:val="007B4FDF"/>
    <w:rsid w:val="007C0860"/>
    <w:rsid w:val="007C19DC"/>
    <w:rsid w:val="007C1BA2"/>
    <w:rsid w:val="007C21F5"/>
    <w:rsid w:val="007C2B48"/>
    <w:rsid w:val="007C4852"/>
    <w:rsid w:val="007D20E9"/>
    <w:rsid w:val="007D4157"/>
    <w:rsid w:val="007D75CB"/>
    <w:rsid w:val="007D7881"/>
    <w:rsid w:val="007D7E3A"/>
    <w:rsid w:val="007E0E10"/>
    <w:rsid w:val="007E3C1C"/>
    <w:rsid w:val="007E4768"/>
    <w:rsid w:val="007E777B"/>
    <w:rsid w:val="007E7DAA"/>
    <w:rsid w:val="007F09B7"/>
    <w:rsid w:val="007F2070"/>
    <w:rsid w:val="007F675D"/>
    <w:rsid w:val="00801A09"/>
    <w:rsid w:val="008053F5"/>
    <w:rsid w:val="00807AF7"/>
    <w:rsid w:val="00810198"/>
    <w:rsid w:val="0081047D"/>
    <w:rsid w:val="008154FC"/>
    <w:rsid w:val="00815DA8"/>
    <w:rsid w:val="008217B0"/>
    <w:rsid w:val="0082194D"/>
    <w:rsid w:val="008221F9"/>
    <w:rsid w:val="008233E9"/>
    <w:rsid w:val="00824D34"/>
    <w:rsid w:val="00826EF5"/>
    <w:rsid w:val="00831693"/>
    <w:rsid w:val="00831D5C"/>
    <w:rsid w:val="00833D8D"/>
    <w:rsid w:val="00840104"/>
    <w:rsid w:val="00840C1F"/>
    <w:rsid w:val="00841FC5"/>
    <w:rsid w:val="00844E73"/>
    <w:rsid w:val="00845709"/>
    <w:rsid w:val="00850D1E"/>
    <w:rsid w:val="00856C19"/>
    <w:rsid w:val="008576BD"/>
    <w:rsid w:val="00860463"/>
    <w:rsid w:val="008621EA"/>
    <w:rsid w:val="00863E7B"/>
    <w:rsid w:val="008704F2"/>
    <w:rsid w:val="008733DA"/>
    <w:rsid w:val="00874CAC"/>
    <w:rsid w:val="008750BA"/>
    <w:rsid w:val="008756AF"/>
    <w:rsid w:val="00884742"/>
    <w:rsid w:val="008850E4"/>
    <w:rsid w:val="008939AB"/>
    <w:rsid w:val="008A12F5"/>
    <w:rsid w:val="008A2994"/>
    <w:rsid w:val="008A3F03"/>
    <w:rsid w:val="008B0178"/>
    <w:rsid w:val="008B1587"/>
    <w:rsid w:val="008B1B01"/>
    <w:rsid w:val="008B3BCD"/>
    <w:rsid w:val="008B58BD"/>
    <w:rsid w:val="008B6DF8"/>
    <w:rsid w:val="008C106C"/>
    <w:rsid w:val="008C10F1"/>
    <w:rsid w:val="008C1926"/>
    <w:rsid w:val="008C1E99"/>
    <w:rsid w:val="008C4047"/>
    <w:rsid w:val="008C4EC0"/>
    <w:rsid w:val="008C67E9"/>
    <w:rsid w:val="008C6CA2"/>
    <w:rsid w:val="008D377C"/>
    <w:rsid w:val="008D54E4"/>
    <w:rsid w:val="008D6A81"/>
    <w:rsid w:val="008D6E1F"/>
    <w:rsid w:val="008E0085"/>
    <w:rsid w:val="008E2AA6"/>
    <w:rsid w:val="008E311B"/>
    <w:rsid w:val="008E742E"/>
    <w:rsid w:val="008F1094"/>
    <w:rsid w:val="008F2AE2"/>
    <w:rsid w:val="008F465A"/>
    <w:rsid w:val="008F46E7"/>
    <w:rsid w:val="008F6F0B"/>
    <w:rsid w:val="00900AFF"/>
    <w:rsid w:val="00901185"/>
    <w:rsid w:val="009050B4"/>
    <w:rsid w:val="00907BA7"/>
    <w:rsid w:val="0091064E"/>
    <w:rsid w:val="00911E0C"/>
    <w:rsid w:val="00911FC5"/>
    <w:rsid w:val="00916B28"/>
    <w:rsid w:val="009176D8"/>
    <w:rsid w:val="00920216"/>
    <w:rsid w:val="00926ABE"/>
    <w:rsid w:val="00931A10"/>
    <w:rsid w:val="0093482C"/>
    <w:rsid w:val="00941391"/>
    <w:rsid w:val="00942AD8"/>
    <w:rsid w:val="00944559"/>
    <w:rsid w:val="00947967"/>
    <w:rsid w:val="00955201"/>
    <w:rsid w:val="009576BB"/>
    <w:rsid w:val="00965200"/>
    <w:rsid w:val="009668B3"/>
    <w:rsid w:val="00966A10"/>
    <w:rsid w:val="0096722E"/>
    <w:rsid w:val="00971471"/>
    <w:rsid w:val="009800DA"/>
    <w:rsid w:val="009834D2"/>
    <w:rsid w:val="009849C2"/>
    <w:rsid w:val="00984D24"/>
    <w:rsid w:val="00985289"/>
    <w:rsid w:val="009858EB"/>
    <w:rsid w:val="009A2433"/>
    <w:rsid w:val="009A3088"/>
    <w:rsid w:val="009A3F47"/>
    <w:rsid w:val="009B0046"/>
    <w:rsid w:val="009B4A0B"/>
    <w:rsid w:val="009B6F3A"/>
    <w:rsid w:val="009C04A0"/>
    <w:rsid w:val="009C1440"/>
    <w:rsid w:val="009C2107"/>
    <w:rsid w:val="009C5D9E"/>
    <w:rsid w:val="009C6F37"/>
    <w:rsid w:val="009D15F6"/>
    <w:rsid w:val="009D1A1D"/>
    <w:rsid w:val="009D2C3E"/>
    <w:rsid w:val="009E0625"/>
    <w:rsid w:val="009E1254"/>
    <w:rsid w:val="009E1FE1"/>
    <w:rsid w:val="009E3034"/>
    <w:rsid w:val="009E4176"/>
    <w:rsid w:val="009E549F"/>
    <w:rsid w:val="009F0A85"/>
    <w:rsid w:val="009F28A8"/>
    <w:rsid w:val="009F473E"/>
    <w:rsid w:val="009F682A"/>
    <w:rsid w:val="009F7960"/>
    <w:rsid w:val="009F7E2D"/>
    <w:rsid w:val="00A022BE"/>
    <w:rsid w:val="00A02DB9"/>
    <w:rsid w:val="00A0603F"/>
    <w:rsid w:val="00A078F6"/>
    <w:rsid w:val="00A1089D"/>
    <w:rsid w:val="00A20199"/>
    <w:rsid w:val="00A220AD"/>
    <w:rsid w:val="00A24C95"/>
    <w:rsid w:val="00A2599A"/>
    <w:rsid w:val="00A26094"/>
    <w:rsid w:val="00A2699C"/>
    <w:rsid w:val="00A27836"/>
    <w:rsid w:val="00A27D71"/>
    <w:rsid w:val="00A301BF"/>
    <w:rsid w:val="00A302B2"/>
    <w:rsid w:val="00A331B4"/>
    <w:rsid w:val="00A337E7"/>
    <w:rsid w:val="00A3484E"/>
    <w:rsid w:val="00A356D3"/>
    <w:rsid w:val="00A36ADA"/>
    <w:rsid w:val="00A41874"/>
    <w:rsid w:val="00A4228D"/>
    <w:rsid w:val="00A438D8"/>
    <w:rsid w:val="00A45C9A"/>
    <w:rsid w:val="00A469DB"/>
    <w:rsid w:val="00A473F5"/>
    <w:rsid w:val="00A518BE"/>
    <w:rsid w:val="00A51F9D"/>
    <w:rsid w:val="00A5416A"/>
    <w:rsid w:val="00A610A4"/>
    <w:rsid w:val="00A639F4"/>
    <w:rsid w:val="00A65D19"/>
    <w:rsid w:val="00A66DED"/>
    <w:rsid w:val="00A75B09"/>
    <w:rsid w:val="00A76439"/>
    <w:rsid w:val="00A81A32"/>
    <w:rsid w:val="00A835BD"/>
    <w:rsid w:val="00A854CF"/>
    <w:rsid w:val="00A86E9E"/>
    <w:rsid w:val="00A97B15"/>
    <w:rsid w:val="00AA0130"/>
    <w:rsid w:val="00AA42D5"/>
    <w:rsid w:val="00AB2FAB"/>
    <w:rsid w:val="00AB5C14"/>
    <w:rsid w:val="00AC0A53"/>
    <w:rsid w:val="00AC0D07"/>
    <w:rsid w:val="00AC1EE7"/>
    <w:rsid w:val="00AC1F81"/>
    <w:rsid w:val="00AC333F"/>
    <w:rsid w:val="00AC585C"/>
    <w:rsid w:val="00AC7A1C"/>
    <w:rsid w:val="00AD0BDB"/>
    <w:rsid w:val="00AD1925"/>
    <w:rsid w:val="00AD2292"/>
    <w:rsid w:val="00AE067D"/>
    <w:rsid w:val="00AE5B15"/>
    <w:rsid w:val="00AE7760"/>
    <w:rsid w:val="00AF1181"/>
    <w:rsid w:val="00AF12BB"/>
    <w:rsid w:val="00AF18ED"/>
    <w:rsid w:val="00AF2F79"/>
    <w:rsid w:val="00AF3433"/>
    <w:rsid w:val="00AF4653"/>
    <w:rsid w:val="00AF6785"/>
    <w:rsid w:val="00AF7DB7"/>
    <w:rsid w:val="00B034DC"/>
    <w:rsid w:val="00B05DB0"/>
    <w:rsid w:val="00B06B7D"/>
    <w:rsid w:val="00B135AF"/>
    <w:rsid w:val="00B16599"/>
    <w:rsid w:val="00B201E2"/>
    <w:rsid w:val="00B267EF"/>
    <w:rsid w:val="00B32361"/>
    <w:rsid w:val="00B33CDE"/>
    <w:rsid w:val="00B34A07"/>
    <w:rsid w:val="00B356A1"/>
    <w:rsid w:val="00B443E4"/>
    <w:rsid w:val="00B45A4C"/>
    <w:rsid w:val="00B469A2"/>
    <w:rsid w:val="00B51D8E"/>
    <w:rsid w:val="00B532F3"/>
    <w:rsid w:val="00B5484D"/>
    <w:rsid w:val="00B563EA"/>
    <w:rsid w:val="00B568DE"/>
    <w:rsid w:val="00B56CDF"/>
    <w:rsid w:val="00B60E51"/>
    <w:rsid w:val="00B635C0"/>
    <w:rsid w:val="00B63A54"/>
    <w:rsid w:val="00B65782"/>
    <w:rsid w:val="00B71C8D"/>
    <w:rsid w:val="00B73890"/>
    <w:rsid w:val="00B73AD8"/>
    <w:rsid w:val="00B76E89"/>
    <w:rsid w:val="00B77502"/>
    <w:rsid w:val="00B77D18"/>
    <w:rsid w:val="00B8313A"/>
    <w:rsid w:val="00B84E69"/>
    <w:rsid w:val="00B90B0C"/>
    <w:rsid w:val="00B912ED"/>
    <w:rsid w:val="00B93503"/>
    <w:rsid w:val="00BA068F"/>
    <w:rsid w:val="00BA31E8"/>
    <w:rsid w:val="00BA44AB"/>
    <w:rsid w:val="00BA55E0"/>
    <w:rsid w:val="00BA6BD4"/>
    <w:rsid w:val="00BA6C7A"/>
    <w:rsid w:val="00BB17D1"/>
    <w:rsid w:val="00BB3752"/>
    <w:rsid w:val="00BB3FDF"/>
    <w:rsid w:val="00BB6688"/>
    <w:rsid w:val="00BC0F7F"/>
    <w:rsid w:val="00BC26D4"/>
    <w:rsid w:val="00BC27D2"/>
    <w:rsid w:val="00BC6EC1"/>
    <w:rsid w:val="00BC736D"/>
    <w:rsid w:val="00BD20A2"/>
    <w:rsid w:val="00BD2791"/>
    <w:rsid w:val="00BD7468"/>
    <w:rsid w:val="00BE0C80"/>
    <w:rsid w:val="00BE5616"/>
    <w:rsid w:val="00BF0D67"/>
    <w:rsid w:val="00BF1FA9"/>
    <w:rsid w:val="00BF2A42"/>
    <w:rsid w:val="00BF3F0C"/>
    <w:rsid w:val="00BF70E5"/>
    <w:rsid w:val="00BF7BEB"/>
    <w:rsid w:val="00C01AEF"/>
    <w:rsid w:val="00C03D8C"/>
    <w:rsid w:val="00C055EC"/>
    <w:rsid w:val="00C05D88"/>
    <w:rsid w:val="00C063E2"/>
    <w:rsid w:val="00C10DC9"/>
    <w:rsid w:val="00C12FB3"/>
    <w:rsid w:val="00C17184"/>
    <w:rsid w:val="00C17341"/>
    <w:rsid w:val="00C24EEF"/>
    <w:rsid w:val="00C25CF6"/>
    <w:rsid w:val="00C26C36"/>
    <w:rsid w:val="00C32768"/>
    <w:rsid w:val="00C34145"/>
    <w:rsid w:val="00C3755E"/>
    <w:rsid w:val="00C431DF"/>
    <w:rsid w:val="00C45539"/>
    <w:rsid w:val="00C456BD"/>
    <w:rsid w:val="00C46342"/>
    <w:rsid w:val="00C46A0C"/>
    <w:rsid w:val="00C47D6D"/>
    <w:rsid w:val="00C530DC"/>
    <w:rsid w:val="00C5350D"/>
    <w:rsid w:val="00C542F6"/>
    <w:rsid w:val="00C5593C"/>
    <w:rsid w:val="00C55D56"/>
    <w:rsid w:val="00C6123C"/>
    <w:rsid w:val="00C61307"/>
    <w:rsid w:val="00C630C4"/>
    <w:rsid w:val="00C6311A"/>
    <w:rsid w:val="00C7084D"/>
    <w:rsid w:val="00C71DDC"/>
    <w:rsid w:val="00C7315E"/>
    <w:rsid w:val="00C738A0"/>
    <w:rsid w:val="00C75895"/>
    <w:rsid w:val="00C75E84"/>
    <w:rsid w:val="00C82D2C"/>
    <w:rsid w:val="00C83762"/>
    <w:rsid w:val="00C83C9F"/>
    <w:rsid w:val="00C9110F"/>
    <w:rsid w:val="00C923D8"/>
    <w:rsid w:val="00C94840"/>
    <w:rsid w:val="00C955FA"/>
    <w:rsid w:val="00CA4EE3"/>
    <w:rsid w:val="00CA5115"/>
    <w:rsid w:val="00CA62C3"/>
    <w:rsid w:val="00CB0275"/>
    <w:rsid w:val="00CB027F"/>
    <w:rsid w:val="00CB103D"/>
    <w:rsid w:val="00CB4B6B"/>
    <w:rsid w:val="00CC0EBB"/>
    <w:rsid w:val="00CC49A2"/>
    <w:rsid w:val="00CC6297"/>
    <w:rsid w:val="00CC7690"/>
    <w:rsid w:val="00CD01D1"/>
    <w:rsid w:val="00CD07AB"/>
    <w:rsid w:val="00CD1986"/>
    <w:rsid w:val="00CD3D50"/>
    <w:rsid w:val="00CD54BF"/>
    <w:rsid w:val="00CD732F"/>
    <w:rsid w:val="00CE4891"/>
    <w:rsid w:val="00CE4D5C"/>
    <w:rsid w:val="00CE7DB6"/>
    <w:rsid w:val="00CF05DA"/>
    <w:rsid w:val="00CF44F8"/>
    <w:rsid w:val="00CF58EB"/>
    <w:rsid w:val="00CF59F4"/>
    <w:rsid w:val="00CF6FEC"/>
    <w:rsid w:val="00CF75B2"/>
    <w:rsid w:val="00D0106E"/>
    <w:rsid w:val="00D02C48"/>
    <w:rsid w:val="00D0447F"/>
    <w:rsid w:val="00D06383"/>
    <w:rsid w:val="00D11825"/>
    <w:rsid w:val="00D1468D"/>
    <w:rsid w:val="00D2097E"/>
    <w:rsid w:val="00D20E85"/>
    <w:rsid w:val="00D2448F"/>
    <w:rsid w:val="00D24615"/>
    <w:rsid w:val="00D24824"/>
    <w:rsid w:val="00D24FCC"/>
    <w:rsid w:val="00D31D33"/>
    <w:rsid w:val="00D34E58"/>
    <w:rsid w:val="00D37842"/>
    <w:rsid w:val="00D42DC2"/>
    <w:rsid w:val="00D50FA7"/>
    <w:rsid w:val="00D537E1"/>
    <w:rsid w:val="00D55BB2"/>
    <w:rsid w:val="00D579CB"/>
    <w:rsid w:val="00D6091A"/>
    <w:rsid w:val="00D6605A"/>
    <w:rsid w:val="00D6695F"/>
    <w:rsid w:val="00D75644"/>
    <w:rsid w:val="00D80D22"/>
    <w:rsid w:val="00D81656"/>
    <w:rsid w:val="00D81C01"/>
    <w:rsid w:val="00D83D87"/>
    <w:rsid w:val="00D84A6D"/>
    <w:rsid w:val="00D86A30"/>
    <w:rsid w:val="00D905A1"/>
    <w:rsid w:val="00D97CB4"/>
    <w:rsid w:val="00D97DD4"/>
    <w:rsid w:val="00D97FD5"/>
    <w:rsid w:val="00DA2756"/>
    <w:rsid w:val="00DA2AD5"/>
    <w:rsid w:val="00DA5A8A"/>
    <w:rsid w:val="00DB1C05"/>
    <w:rsid w:val="00DB1F93"/>
    <w:rsid w:val="00DB26CD"/>
    <w:rsid w:val="00DB35E5"/>
    <w:rsid w:val="00DB441C"/>
    <w:rsid w:val="00DB44AF"/>
    <w:rsid w:val="00DB5145"/>
    <w:rsid w:val="00DC1F58"/>
    <w:rsid w:val="00DC3393"/>
    <w:rsid w:val="00DC339B"/>
    <w:rsid w:val="00DC389D"/>
    <w:rsid w:val="00DC5528"/>
    <w:rsid w:val="00DC5D40"/>
    <w:rsid w:val="00DC69A7"/>
    <w:rsid w:val="00DD30E9"/>
    <w:rsid w:val="00DD4477"/>
    <w:rsid w:val="00DD4F47"/>
    <w:rsid w:val="00DD7EA1"/>
    <w:rsid w:val="00DD7FBB"/>
    <w:rsid w:val="00DE0B9F"/>
    <w:rsid w:val="00DE2A9E"/>
    <w:rsid w:val="00DE4238"/>
    <w:rsid w:val="00DE657F"/>
    <w:rsid w:val="00DE6758"/>
    <w:rsid w:val="00DE6E07"/>
    <w:rsid w:val="00DF008B"/>
    <w:rsid w:val="00DF1218"/>
    <w:rsid w:val="00DF3309"/>
    <w:rsid w:val="00DF46A1"/>
    <w:rsid w:val="00DF6462"/>
    <w:rsid w:val="00E018E7"/>
    <w:rsid w:val="00E01D8B"/>
    <w:rsid w:val="00E02FA0"/>
    <w:rsid w:val="00E036DC"/>
    <w:rsid w:val="00E048E0"/>
    <w:rsid w:val="00E10454"/>
    <w:rsid w:val="00E112E5"/>
    <w:rsid w:val="00E1222F"/>
    <w:rsid w:val="00E12CC8"/>
    <w:rsid w:val="00E15352"/>
    <w:rsid w:val="00E15576"/>
    <w:rsid w:val="00E16C52"/>
    <w:rsid w:val="00E21CC7"/>
    <w:rsid w:val="00E248B3"/>
    <w:rsid w:val="00E24D9E"/>
    <w:rsid w:val="00E25849"/>
    <w:rsid w:val="00E271EF"/>
    <w:rsid w:val="00E2722A"/>
    <w:rsid w:val="00E3197E"/>
    <w:rsid w:val="00E33A6E"/>
    <w:rsid w:val="00E342F8"/>
    <w:rsid w:val="00E351D1"/>
    <w:rsid w:val="00E351ED"/>
    <w:rsid w:val="00E378DB"/>
    <w:rsid w:val="00E42F4A"/>
    <w:rsid w:val="00E4370A"/>
    <w:rsid w:val="00E500FF"/>
    <w:rsid w:val="00E51D6B"/>
    <w:rsid w:val="00E52C0E"/>
    <w:rsid w:val="00E52E88"/>
    <w:rsid w:val="00E56EED"/>
    <w:rsid w:val="00E6034B"/>
    <w:rsid w:val="00E6040E"/>
    <w:rsid w:val="00E60C66"/>
    <w:rsid w:val="00E6549E"/>
    <w:rsid w:val="00E65EDE"/>
    <w:rsid w:val="00E70F81"/>
    <w:rsid w:val="00E760FA"/>
    <w:rsid w:val="00E77055"/>
    <w:rsid w:val="00E77460"/>
    <w:rsid w:val="00E77BF2"/>
    <w:rsid w:val="00E81397"/>
    <w:rsid w:val="00E820AD"/>
    <w:rsid w:val="00E83ABC"/>
    <w:rsid w:val="00E844F2"/>
    <w:rsid w:val="00E90AD0"/>
    <w:rsid w:val="00E9189E"/>
    <w:rsid w:val="00E92FCB"/>
    <w:rsid w:val="00E94EB9"/>
    <w:rsid w:val="00E95026"/>
    <w:rsid w:val="00E95574"/>
    <w:rsid w:val="00E9695C"/>
    <w:rsid w:val="00EA07DB"/>
    <w:rsid w:val="00EA147F"/>
    <w:rsid w:val="00EA412D"/>
    <w:rsid w:val="00EA4A27"/>
    <w:rsid w:val="00EA4FA6"/>
    <w:rsid w:val="00EB1A25"/>
    <w:rsid w:val="00EB65B8"/>
    <w:rsid w:val="00EB72C1"/>
    <w:rsid w:val="00EC0C65"/>
    <w:rsid w:val="00EC40EC"/>
    <w:rsid w:val="00EC7D63"/>
    <w:rsid w:val="00ED03AB"/>
    <w:rsid w:val="00ED1CD4"/>
    <w:rsid w:val="00ED1D2B"/>
    <w:rsid w:val="00ED64B5"/>
    <w:rsid w:val="00EE4199"/>
    <w:rsid w:val="00EE4829"/>
    <w:rsid w:val="00EE7CCA"/>
    <w:rsid w:val="00EF5177"/>
    <w:rsid w:val="00F0011D"/>
    <w:rsid w:val="00F01818"/>
    <w:rsid w:val="00F11ACC"/>
    <w:rsid w:val="00F16A14"/>
    <w:rsid w:val="00F16D83"/>
    <w:rsid w:val="00F24F07"/>
    <w:rsid w:val="00F3063E"/>
    <w:rsid w:val="00F30F24"/>
    <w:rsid w:val="00F3477A"/>
    <w:rsid w:val="00F362D7"/>
    <w:rsid w:val="00F36AEE"/>
    <w:rsid w:val="00F37D7B"/>
    <w:rsid w:val="00F40845"/>
    <w:rsid w:val="00F41614"/>
    <w:rsid w:val="00F5314C"/>
    <w:rsid w:val="00F54C03"/>
    <w:rsid w:val="00F55D24"/>
    <w:rsid w:val="00F5688C"/>
    <w:rsid w:val="00F60048"/>
    <w:rsid w:val="00F60C81"/>
    <w:rsid w:val="00F610F1"/>
    <w:rsid w:val="00F635DD"/>
    <w:rsid w:val="00F63A05"/>
    <w:rsid w:val="00F651BA"/>
    <w:rsid w:val="00F65299"/>
    <w:rsid w:val="00F6540C"/>
    <w:rsid w:val="00F6627B"/>
    <w:rsid w:val="00F70417"/>
    <w:rsid w:val="00F70629"/>
    <w:rsid w:val="00F70FA4"/>
    <w:rsid w:val="00F7336E"/>
    <w:rsid w:val="00F734F2"/>
    <w:rsid w:val="00F73751"/>
    <w:rsid w:val="00F7409B"/>
    <w:rsid w:val="00F75052"/>
    <w:rsid w:val="00F771A2"/>
    <w:rsid w:val="00F804D3"/>
    <w:rsid w:val="00F81CD2"/>
    <w:rsid w:val="00F82641"/>
    <w:rsid w:val="00F8340D"/>
    <w:rsid w:val="00F84673"/>
    <w:rsid w:val="00F84ACE"/>
    <w:rsid w:val="00F90F18"/>
    <w:rsid w:val="00F937E4"/>
    <w:rsid w:val="00F9456D"/>
    <w:rsid w:val="00F95EE7"/>
    <w:rsid w:val="00F971BC"/>
    <w:rsid w:val="00FA01CC"/>
    <w:rsid w:val="00FA39E6"/>
    <w:rsid w:val="00FA68EE"/>
    <w:rsid w:val="00FA7BC9"/>
    <w:rsid w:val="00FB078E"/>
    <w:rsid w:val="00FB0B06"/>
    <w:rsid w:val="00FB1B5E"/>
    <w:rsid w:val="00FB378E"/>
    <w:rsid w:val="00FB37F1"/>
    <w:rsid w:val="00FB47C0"/>
    <w:rsid w:val="00FB501B"/>
    <w:rsid w:val="00FB5A40"/>
    <w:rsid w:val="00FB70DA"/>
    <w:rsid w:val="00FB7770"/>
    <w:rsid w:val="00FC0F4A"/>
    <w:rsid w:val="00FC34BB"/>
    <w:rsid w:val="00FC78B5"/>
    <w:rsid w:val="00FD3B91"/>
    <w:rsid w:val="00FD4382"/>
    <w:rsid w:val="00FD46B8"/>
    <w:rsid w:val="00FD576B"/>
    <w:rsid w:val="00FD579E"/>
    <w:rsid w:val="00FD5EF2"/>
    <w:rsid w:val="00FD6845"/>
    <w:rsid w:val="00FE161D"/>
    <w:rsid w:val="00FE30BE"/>
    <w:rsid w:val="00FE4516"/>
    <w:rsid w:val="00FE64C8"/>
    <w:rsid w:val="00FE6AFE"/>
    <w:rsid w:val="00FE7A49"/>
    <w:rsid w:val="00FE7DDC"/>
    <w:rsid w:val="00FF291F"/>
    <w:rsid w:val="00FF4CE6"/>
    <w:rsid w:val="00FF6F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4865"/>
    <o:shapelayout v:ext="edit">
      <o:idmap v:ext="edit" data="1"/>
    </o:shapelayout>
  </w:shapeDefaults>
  <w:decimalSymbol w:val="."/>
  <w:listSeparator w:val=","/>
  <w15:docId w15:val="{A17572C4-3B9F-41A2-88DA-52754F151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5E65C0"/>
    <w:pPr>
      <w:widowControl w:val="0"/>
      <w:overflowPunct w:val="0"/>
      <w:autoSpaceDE w:val="0"/>
      <w:autoSpaceDN w:val="0"/>
      <w:jc w:val="both"/>
    </w:pPr>
    <w:rPr>
      <w:rFonts w:ascii="標楷體" w:eastAsia="標楷體"/>
      <w:kern w:val="2"/>
      <w:sz w:val="32"/>
    </w:rPr>
  </w:style>
  <w:style w:type="paragraph" w:styleId="10">
    <w:name w:val="heading 1"/>
    <w:aliases w:val="題號1"/>
    <w:basedOn w:val="aa"/>
    <w:qFormat/>
    <w:rsid w:val="004F5E57"/>
    <w:pPr>
      <w:numPr>
        <w:numId w:val="6"/>
      </w:numPr>
      <w:outlineLvl w:val="0"/>
    </w:pPr>
    <w:rPr>
      <w:rFonts w:hAnsi="Arial"/>
      <w:bCs/>
      <w:kern w:val="32"/>
      <w:szCs w:val="52"/>
    </w:rPr>
  </w:style>
  <w:style w:type="paragraph" w:styleId="2">
    <w:name w:val="heading 2"/>
    <w:aliases w:val="標題110/111,節,節1"/>
    <w:basedOn w:val="aa"/>
    <w:qFormat/>
    <w:rsid w:val="004F5E57"/>
    <w:pPr>
      <w:numPr>
        <w:ilvl w:val="1"/>
        <w:numId w:val="6"/>
      </w:numPr>
      <w:outlineLvl w:val="1"/>
    </w:pPr>
    <w:rPr>
      <w:rFonts w:hAnsi="Arial"/>
      <w:bCs/>
      <w:kern w:val="32"/>
      <w:szCs w:val="48"/>
    </w:rPr>
  </w:style>
  <w:style w:type="paragraph" w:styleId="3">
    <w:name w:val="heading 3"/>
    <w:basedOn w:val="aa"/>
    <w:qFormat/>
    <w:rsid w:val="004F5E57"/>
    <w:pPr>
      <w:numPr>
        <w:ilvl w:val="2"/>
        <w:numId w:val="6"/>
      </w:numPr>
      <w:outlineLvl w:val="2"/>
    </w:pPr>
    <w:rPr>
      <w:rFonts w:hAnsi="Arial"/>
      <w:bCs/>
      <w:kern w:val="32"/>
      <w:szCs w:val="36"/>
    </w:rPr>
  </w:style>
  <w:style w:type="paragraph" w:styleId="4">
    <w:name w:val="heading 4"/>
    <w:aliases w:val="表格,一"/>
    <w:basedOn w:val="aa"/>
    <w:qFormat/>
    <w:rsid w:val="004F5E57"/>
    <w:pPr>
      <w:numPr>
        <w:ilvl w:val="3"/>
        <w:numId w:val="6"/>
      </w:numPr>
      <w:outlineLvl w:val="3"/>
    </w:pPr>
    <w:rPr>
      <w:rFonts w:hAnsi="Arial"/>
      <w:kern w:val="32"/>
      <w:szCs w:val="36"/>
    </w:rPr>
  </w:style>
  <w:style w:type="paragraph" w:styleId="5">
    <w:name w:val="heading 5"/>
    <w:basedOn w:val="aa"/>
    <w:qFormat/>
    <w:rsid w:val="004F5E57"/>
    <w:pPr>
      <w:numPr>
        <w:ilvl w:val="4"/>
        <w:numId w:val="6"/>
      </w:numPr>
      <w:outlineLvl w:val="4"/>
    </w:pPr>
    <w:rPr>
      <w:rFonts w:hAnsi="Arial"/>
      <w:bCs/>
      <w:kern w:val="32"/>
      <w:szCs w:val="36"/>
    </w:rPr>
  </w:style>
  <w:style w:type="paragraph" w:styleId="6">
    <w:name w:val="heading 6"/>
    <w:basedOn w:val="aa"/>
    <w:qFormat/>
    <w:rsid w:val="004F5E57"/>
    <w:pPr>
      <w:numPr>
        <w:ilvl w:val="5"/>
        <w:numId w:val="6"/>
      </w:numPr>
      <w:tabs>
        <w:tab w:val="left" w:pos="2094"/>
      </w:tabs>
      <w:outlineLvl w:val="5"/>
    </w:pPr>
    <w:rPr>
      <w:rFonts w:hAnsi="Arial"/>
      <w:kern w:val="32"/>
      <w:szCs w:val="36"/>
    </w:rPr>
  </w:style>
  <w:style w:type="paragraph" w:styleId="7">
    <w:name w:val="heading 7"/>
    <w:aliases w:val="(1)"/>
    <w:basedOn w:val="aa"/>
    <w:qFormat/>
    <w:rsid w:val="004F5E57"/>
    <w:pPr>
      <w:numPr>
        <w:ilvl w:val="6"/>
        <w:numId w:val="6"/>
      </w:numPr>
      <w:outlineLvl w:val="6"/>
    </w:pPr>
    <w:rPr>
      <w:rFonts w:hAnsi="Arial"/>
      <w:bCs/>
      <w:kern w:val="32"/>
      <w:szCs w:val="36"/>
    </w:rPr>
  </w:style>
  <w:style w:type="paragraph" w:styleId="8">
    <w:name w:val="heading 8"/>
    <w:basedOn w:val="aa"/>
    <w:qFormat/>
    <w:rsid w:val="004F5E57"/>
    <w:pPr>
      <w:numPr>
        <w:ilvl w:val="7"/>
        <w:numId w:val="6"/>
      </w:numPr>
      <w:outlineLvl w:val="7"/>
    </w:pPr>
    <w:rPr>
      <w:rFonts w:hAnsi="Arial"/>
      <w:kern w:val="32"/>
      <w:szCs w:val="36"/>
    </w:rPr>
  </w:style>
  <w:style w:type="paragraph" w:styleId="9">
    <w:name w:val="heading 9"/>
    <w:basedOn w:val="aa"/>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Signature"/>
    <w:basedOn w:val="aa"/>
    <w:semiHidden/>
    <w:rsid w:val="004E0062"/>
    <w:pPr>
      <w:spacing w:before="720" w:after="720"/>
      <w:ind w:left="7371"/>
    </w:pPr>
    <w:rPr>
      <w:b/>
      <w:snapToGrid w:val="0"/>
      <w:spacing w:val="10"/>
      <w:sz w:val="36"/>
    </w:rPr>
  </w:style>
  <w:style w:type="paragraph" w:styleId="af">
    <w:name w:val="endnote text"/>
    <w:basedOn w:val="aa"/>
    <w:semiHidden/>
    <w:rsid w:val="004E0062"/>
    <w:pPr>
      <w:kinsoku w:val="0"/>
      <w:autoSpaceDE/>
      <w:spacing w:before="240"/>
      <w:ind w:left="1021" w:hanging="1021"/>
    </w:pPr>
    <w:rPr>
      <w:snapToGrid w:val="0"/>
      <w:spacing w:val="10"/>
    </w:rPr>
  </w:style>
  <w:style w:type="paragraph" w:styleId="50">
    <w:name w:val="toc 5"/>
    <w:basedOn w:val="aa"/>
    <w:next w:val="aa"/>
    <w:autoRedefine/>
    <w:semiHidden/>
    <w:rsid w:val="004E0062"/>
    <w:pPr>
      <w:ind w:leftChars="400" w:left="600" w:rightChars="200" w:right="200" w:hangingChars="200" w:hanging="200"/>
    </w:pPr>
  </w:style>
  <w:style w:type="character" w:styleId="af0">
    <w:name w:val="page number"/>
    <w:basedOn w:val="ab"/>
    <w:semiHidden/>
    <w:rsid w:val="004E0062"/>
    <w:rPr>
      <w:rFonts w:ascii="標楷體" w:eastAsia="標楷體"/>
      <w:sz w:val="20"/>
    </w:rPr>
  </w:style>
  <w:style w:type="paragraph" w:styleId="60">
    <w:name w:val="toc 6"/>
    <w:basedOn w:val="aa"/>
    <w:next w:val="aa"/>
    <w:autoRedefine/>
    <w:semiHidden/>
    <w:rsid w:val="004E0062"/>
    <w:pPr>
      <w:ind w:leftChars="500" w:left="500"/>
    </w:pPr>
  </w:style>
  <w:style w:type="paragraph" w:customStyle="1" w:styleId="11">
    <w:name w:val="段落樣式1"/>
    <w:basedOn w:val="aa"/>
    <w:qFormat/>
    <w:rsid w:val="004F5E57"/>
    <w:pPr>
      <w:tabs>
        <w:tab w:val="left" w:pos="567"/>
      </w:tabs>
      <w:ind w:leftChars="200" w:left="200" w:firstLineChars="200" w:firstLine="200"/>
    </w:pPr>
    <w:rPr>
      <w:kern w:val="32"/>
    </w:rPr>
  </w:style>
  <w:style w:type="paragraph" w:customStyle="1" w:styleId="20">
    <w:name w:val="段落樣式2"/>
    <w:basedOn w:val="aa"/>
    <w:qFormat/>
    <w:rsid w:val="004F5E57"/>
    <w:pPr>
      <w:tabs>
        <w:tab w:val="left" w:pos="567"/>
      </w:tabs>
      <w:ind w:leftChars="300" w:left="300" w:firstLineChars="200" w:firstLine="200"/>
    </w:pPr>
    <w:rPr>
      <w:kern w:val="32"/>
    </w:rPr>
  </w:style>
  <w:style w:type="paragraph" w:styleId="12">
    <w:name w:val="toc 1"/>
    <w:basedOn w:val="aa"/>
    <w:next w:val="aa"/>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a"/>
    <w:next w:val="aa"/>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a"/>
    <w:next w:val="aa"/>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a"/>
    <w:next w:val="aa"/>
    <w:autoRedefine/>
    <w:semiHidden/>
    <w:rsid w:val="004E0062"/>
    <w:pPr>
      <w:kinsoku w:val="0"/>
      <w:ind w:leftChars="300" w:left="500" w:rightChars="200" w:right="200" w:hangingChars="200" w:hanging="200"/>
    </w:pPr>
  </w:style>
  <w:style w:type="paragraph" w:styleId="70">
    <w:name w:val="toc 7"/>
    <w:basedOn w:val="aa"/>
    <w:next w:val="aa"/>
    <w:autoRedefine/>
    <w:semiHidden/>
    <w:rsid w:val="004E0062"/>
    <w:pPr>
      <w:ind w:leftChars="600" w:left="800" w:hangingChars="200" w:hanging="200"/>
    </w:pPr>
  </w:style>
  <w:style w:type="paragraph" w:styleId="80">
    <w:name w:val="toc 8"/>
    <w:basedOn w:val="aa"/>
    <w:next w:val="aa"/>
    <w:autoRedefine/>
    <w:semiHidden/>
    <w:rsid w:val="004E0062"/>
    <w:pPr>
      <w:ind w:leftChars="700" w:left="900" w:hangingChars="200" w:hanging="200"/>
    </w:pPr>
  </w:style>
  <w:style w:type="paragraph" w:styleId="91">
    <w:name w:val="toc 9"/>
    <w:basedOn w:val="aa"/>
    <w:next w:val="aa"/>
    <w:autoRedefine/>
    <w:semiHidden/>
    <w:rsid w:val="004E0062"/>
    <w:pPr>
      <w:ind w:leftChars="1600" w:left="3840"/>
    </w:pPr>
  </w:style>
  <w:style w:type="paragraph" w:styleId="af1">
    <w:name w:val="header"/>
    <w:basedOn w:val="aa"/>
    <w:semiHidden/>
    <w:rsid w:val="004E0062"/>
    <w:pPr>
      <w:tabs>
        <w:tab w:val="center" w:pos="4153"/>
        <w:tab w:val="right" w:pos="8306"/>
      </w:tabs>
      <w:snapToGrid w:val="0"/>
    </w:pPr>
    <w:rPr>
      <w:sz w:val="20"/>
    </w:rPr>
  </w:style>
  <w:style w:type="paragraph" w:customStyle="1" w:styleId="31">
    <w:name w:val="段落樣式3"/>
    <w:basedOn w:val="20"/>
    <w:qFormat/>
    <w:rsid w:val="004F5E57"/>
    <w:pPr>
      <w:ind w:leftChars="400" w:left="400"/>
    </w:pPr>
  </w:style>
  <w:style w:type="character" w:styleId="af2">
    <w:name w:val="Hyperlink"/>
    <w:basedOn w:val="ab"/>
    <w:uiPriority w:val="99"/>
    <w:rsid w:val="004E0062"/>
    <w:rPr>
      <w:color w:val="0000FF"/>
      <w:u w:val="single"/>
    </w:rPr>
  </w:style>
  <w:style w:type="paragraph" w:customStyle="1" w:styleId="af3">
    <w:name w:val="簽名日期"/>
    <w:basedOn w:val="aa"/>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4">
    <w:name w:val="附件"/>
    <w:basedOn w:val="af"/>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4">
    <w:name w:val="附表樣式"/>
    <w:basedOn w:val="aa"/>
    <w:qFormat/>
    <w:rsid w:val="00B77D18"/>
    <w:pPr>
      <w:keepNext/>
      <w:numPr>
        <w:numId w:val="1"/>
      </w:numPr>
      <w:tabs>
        <w:tab w:val="clear" w:pos="1440"/>
      </w:tabs>
      <w:ind w:left="400" w:hangingChars="400" w:hanging="400"/>
      <w:outlineLvl w:val="0"/>
    </w:pPr>
    <w:rPr>
      <w:kern w:val="32"/>
    </w:rPr>
  </w:style>
  <w:style w:type="paragraph" w:styleId="af5">
    <w:name w:val="Body Text Indent"/>
    <w:basedOn w:val="aa"/>
    <w:semiHidden/>
    <w:rsid w:val="004E0062"/>
    <w:pPr>
      <w:ind w:left="698" w:hangingChars="200" w:hanging="698"/>
    </w:pPr>
  </w:style>
  <w:style w:type="paragraph" w:customStyle="1" w:styleId="af6">
    <w:name w:val="調查報告"/>
    <w:basedOn w:val="af"/>
    <w:rsid w:val="00D75644"/>
    <w:pPr>
      <w:adjustRightInd w:val="0"/>
      <w:spacing w:before="0"/>
      <w:ind w:left="0" w:firstLine="0"/>
      <w:jc w:val="center"/>
    </w:pPr>
    <w:rPr>
      <w:b/>
      <w:snapToGrid/>
      <w:spacing w:val="200"/>
      <w:kern w:val="0"/>
      <w:sz w:val="40"/>
    </w:rPr>
  </w:style>
  <w:style w:type="paragraph" w:customStyle="1" w:styleId="14">
    <w:name w:val="表格14"/>
    <w:basedOn w:val="aa"/>
    <w:rsid w:val="006072CD"/>
    <w:pPr>
      <w:adjustRightInd w:val="0"/>
      <w:snapToGrid w:val="0"/>
      <w:spacing w:line="360" w:lineRule="exact"/>
    </w:pPr>
    <w:rPr>
      <w:snapToGrid w:val="0"/>
      <w:spacing w:val="-14"/>
      <w:kern w:val="0"/>
      <w:sz w:val="28"/>
    </w:rPr>
  </w:style>
  <w:style w:type="paragraph" w:customStyle="1" w:styleId="a">
    <w:name w:val="附圖樣式"/>
    <w:basedOn w:val="aa"/>
    <w:qFormat/>
    <w:rsid w:val="00B77D18"/>
    <w:pPr>
      <w:keepNext/>
      <w:numPr>
        <w:numId w:val="2"/>
      </w:numPr>
      <w:tabs>
        <w:tab w:val="clear" w:pos="1440"/>
      </w:tabs>
      <w:ind w:left="400" w:hangingChars="400" w:hanging="400"/>
      <w:outlineLvl w:val="0"/>
    </w:pPr>
    <w:rPr>
      <w:kern w:val="32"/>
    </w:rPr>
  </w:style>
  <w:style w:type="paragraph" w:styleId="af7">
    <w:name w:val="footer"/>
    <w:basedOn w:val="aa"/>
    <w:link w:val="af8"/>
    <w:uiPriority w:val="99"/>
    <w:rsid w:val="004E0062"/>
    <w:pPr>
      <w:tabs>
        <w:tab w:val="center" w:pos="4153"/>
        <w:tab w:val="right" w:pos="8306"/>
      </w:tabs>
      <w:snapToGrid w:val="0"/>
    </w:pPr>
    <w:rPr>
      <w:sz w:val="20"/>
    </w:rPr>
  </w:style>
  <w:style w:type="paragraph" w:styleId="af9">
    <w:name w:val="table of figures"/>
    <w:basedOn w:val="aa"/>
    <w:next w:val="aa"/>
    <w:semiHidden/>
    <w:rsid w:val="004E0062"/>
    <w:pPr>
      <w:ind w:left="400" w:hangingChars="400" w:hanging="400"/>
    </w:pPr>
  </w:style>
  <w:style w:type="paragraph" w:customStyle="1" w:styleId="140">
    <w:name w:val="表格標題14"/>
    <w:basedOn w:val="aa"/>
    <w:rsid w:val="00E15352"/>
    <w:pPr>
      <w:keepNext/>
      <w:adjustRightInd w:val="0"/>
      <w:snapToGrid w:val="0"/>
      <w:spacing w:before="40" w:after="40" w:line="320" w:lineRule="exact"/>
      <w:jc w:val="center"/>
    </w:pPr>
    <w:rPr>
      <w:snapToGrid w:val="0"/>
      <w:spacing w:val="-10"/>
      <w:kern w:val="0"/>
      <w:sz w:val="28"/>
    </w:rPr>
  </w:style>
  <w:style w:type="paragraph" w:customStyle="1" w:styleId="a7">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a"/>
    <w:rsid w:val="00F16A14"/>
    <w:pPr>
      <w:kinsoku w:val="0"/>
      <w:adjustRightInd w:val="0"/>
      <w:snapToGrid w:val="0"/>
      <w:spacing w:before="40" w:after="240" w:line="360" w:lineRule="exact"/>
    </w:pPr>
    <w:rPr>
      <w:spacing w:val="-10"/>
      <w:kern w:val="0"/>
      <w:sz w:val="28"/>
      <w:szCs w:val="22"/>
    </w:rPr>
  </w:style>
  <w:style w:type="paragraph" w:customStyle="1" w:styleId="a5">
    <w:name w:val="圖標題"/>
    <w:basedOn w:val="aa"/>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c"/>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8">
    <w:name w:val="附錄"/>
    <w:basedOn w:val="aa"/>
    <w:qFormat/>
    <w:rsid w:val="00B77D18"/>
    <w:pPr>
      <w:keepNext/>
      <w:numPr>
        <w:numId w:val="5"/>
      </w:numPr>
      <w:ind w:left="350" w:hangingChars="350" w:hanging="350"/>
      <w:outlineLvl w:val="0"/>
    </w:pPr>
    <w:rPr>
      <w:kern w:val="32"/>
    </w:rPr>
  </w:style>
  <w:style w:type="paragraph" w:styleId="afc">
    <w:name w:val="List Paragraph"/>
    <w:basedOn w:val="aa"/>
    <w:uiPriority w:val="34"/>
    <w:qFormat/>
    <w:rsid w:val="00687024"/>
    <w:pPr>
      <w:ind w:leftChars="200" w:left="480"/>
    </w:pPr>
  </w:style>
  <w:style w:type="paragraph" w:styleId="afd">
    <w:name w:val="Balloon Text"/>
    <w:basedOn w:val="aa"/>
    <w:link w:val="afe"/>
    <w:uiPriority w:val="99"/>
    <w:semiHidden/>
    <w:unhideWhenUsed/>
    <w:rsid w:val="00C530DC"/>
    <w:rPr>
      <w:rFonts w:asciiTheme="majorHAnsi" w:eastAsiaTheme="majorEastAsia" w:hAnsiTheme="majorHAnsi" w:cstheme="majorBidi"/>
      <w:sz w:val="18"/>
      <w:szCs w:val="18"/>
    </w:rPr>
  </w:style>
  <w:style w:type="character" w:customStyle="1" w:styleId="afe">
    <w:name w:val="註解方塊文字 字元"/>
    <w:basedOn w:val="ab"/>
    <w:link w:val="afd"/>
    <w:uiPriority w:val="99"/>
    <w:semiHidden/>
    <w:rsid w:val="00C530DC"/>
    <w:rPr>
      <w:rFonts w:asciiTheme="majorHAnsi" w:eastAsiaTheme="majorEastAsia" w:hAnsiTheme="majorHAnsi" w:cstheme="majorBidi"/>
      <w:kern w:val="2"/>
      <w:sz w:val="18"/>
      <w:szCs w:val="18"/>
    </w:rPr>
  </w:style>
  <w:style w:type="paragraph" w:customStyle="1" w:styleId="a9">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6">
    <w:name w:val="附件樣式"/>
    <w:basedOn w:val="aa"/>
    <w:qFormat/>
    <w:rsid w:val="00B77D18"/>
    <w:pPr>
      <w:keepNext/>
      <w:numPr>
        <w:numId w:val="8"/>
      </w:numPr>
      <w:ind w:left="400" w:hangingChars="400" w:hanging="400"/>
      <w:outlineLvl w:val="0"/>
    </w:pPr>
    <w:rPr>
      <w:kern w:val="32"/>
    </w:rPr>
  </w:style>
  <w:style w:type="character" w:customStyle="1" w:styleId="90">
    <w:name w:val="標題 9 字元"/>
    <w:basedOn w:val="ab"/>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f">
    <w:name w:val="footnote text"/>
    <w:basedOn w:val="aa"/>
    <w:link w:val="aff0"/>
    <w:uiPriority w:val="99"/>
    <w:semiHidden/>
    <w:unhideWhenUsed/>
    <w:rsid w:val="00096770"/>
    <w:pPr>
      <w:snapToGrid w:val="0"/>
      <w:jc w:val="left"/>
    </w:pPr>
    <w:rPr>
      <w:sz w:val="20"/>
    </w:rPr>
  </w:style>
  <w:style w:type="character" w:customStyle="1" w:styleId="aff0">
    <w:name w:val="註腳文字 字元"/>
    <w:basedOn w:val="ab"/>
    <w:link w:val="aff"/>
    <w:uiPriority w:val="99"/>
    <w:semiHidden/>
    <w:rsid w:val="00096770"/>
    <w:rPr>
      <w:rFonts w:ascii="標楷體" w:eastAsia="標楷體"/>
      <w:kern w:val="2"/>
    </w:rPr>
  </w:style>
  <w:style w:type="character" w:styleId="aff1">
    <w:name w:val="footnote reference"/>
    <w:basedOn w:val="ab"/>
    <w:uiPriority w:val="99"/>
    <w:semiHidden/>
    <w:unhideWhenUsed/>
    <w:rsid w:val="00096770"/>
    <w:rPr>
      <w:vertAlign w:val="superscript"/>
    </w:rPr>
  </w:style>
  <w:style w:type="paragraph" w:customStyle="1" w:styleId="a0">
    <w:name w:val="審核通知甲層"/>
    <w:basedOn w:val="10"/>
    <w:rsid w:val="00F01818"/>
    <w:pPr>
      <w:keepNext/>
      <w:numPr>
        <w:numId w:val="9"/>
      </w:numPr>
      <w:overflowPunct/>
      <w:autoSpaceDE/>
      <w:autoSpaceDN/>
      <w:snapToGrid w:val="0"/>
      <w:spacing w:beforeLines="50" w:before="180"/>
      <w:jc w:val="center"/>
    </w:pPr>
    <w:rPr>
      <w:rFonts w:hAnsi="標楷體"/>
      <w:b/>
      <w:kern w:val="52"/>
      <w:sz w:val="36"/>
    </w:rPr>
  </w:style>
  <w:style w:type="paragraph" w:customStyle="1" w:styleId="a1">
    <w:name w:val="審核通知壹層"/>
    <w:basedOn w:val="2"/>
    <w:next w:val="aa"/>
    <w:rsid w:val="00F01818"/>
    <w:pPr>
      <w:keepNext/>
      <w:numPr>
        <w:numId w:val="9"/>
      </w:numPr>
      <w:overflowPunct/>
      <w:autoSpaceDE/>
      <w:autoSpaceDN/>
      <w:snapToGrid w:val="0"/>
      <w:spacing w:line="560" w:lineRule="atLeast"/>
    </w:pPr>
    <w:rPr>
      <w:rFonts w:ascii="Arial"/>
      <w:b/>
      <w:kern w:val="2"/>
      <w:szCs w:val="32"/>
      <w:lang w:val="x-none" w:eastAsia="x-none"/>
    </w:rPr>
  </w:style>
  <w:style w:type="paragraph" w:customStyle="1" w:styleId="a2">
    <w:name w:val="審核通知一層"/>
    <w:basedOn w:val="aa"/>
    <w:next w:val="aa"/>
    <w:rsid w:val="00F01818"/>
    <w:pPr>
      <w:numPr>
        <w:ilvl w:val="2"/>
        <w:numId w:val="9"/>
      </w:numPr>
      <w:overflowPunct/>
      <w:autoSpaceDE/>
      <w:autoSpaceDN/>
      <w:snapToGrid w:val="0"/>
      <w:spacing w:line="560" w:lineRule="atLeast"/>
    </w:pPr>
    <w:rPr>
      <w:rFonts w:ascii="Times New Roman"/>
      <w:lang w:val="x-none" w:eastAsia="x-none"/>
    </w:rPr>
  </w:style>
  <w:style w:type="paragraph" w:customStyle="1" w:styleId="1">
    <w:name w:val="審核通知1層"/>
    <w:basedOn w:val="aa"/>
    <w:next w:val="aa"/>
    <w:rsid w:val="00F01818"/>
    <w:pPr>
      <w:numPr>
        <w:ilvl w:val="4"/>
        <w:numId w:val="9"/>
      </w:numPr>
      <w:overflowPunct/>
      <w:autoSpaceDE/>
      <w:autoSpaceDN/>
      <w:snapToGrid w:val="0"/>
      <w:spacing w:line="560" w:lineRule="atLeast"/>
    </w:pPr>
    <w:rPr>
      <w:rFonts w:ascii="Times New Roman"/>
    </w:rPr>
  </w:style>
  <w:style w:type="paragraph" w:customStyle="1" w:styleId="a3">
    <w:name w:val="樣式 樣式 審核通知(一)層 + 粗體 + 標楷體"/>
    <w:basedOn w:val="aa"/>
    <w:rsid w:val="00F01818"/>
    <w:pPr>
      <w:numPr>
        <w:ilvl w:val="3"/>
        <w:numId w:val="9"/>
      </w:numPr>
      <w:overflowPunct/>
      <w:autoSpaceDE/>
      <w:autoSpaceDN/>
      <w:snapToGrid w:val="0"/>
      <w:spacing w:line="560" w:lineRule="atLeast"/>
    </w:pPr>
    <w:rPr>
      <w:rFonts w:hAnsi="標楷體"/>
      <w:bCs/>
    </w:rPr>
  </w:style>
  <w:style w:type="character" w:customStyle="1" w:styleId="langwithname">
    <w:name w:val="langwithname"/>
    <w:basedOn w:val="ab"/>
    <w:rsid w:val="00FB0B06"/>
  </w:style>
  <w:style w:type="character" w:customStyle="1" w:styleId="HTML">
    <w:name w:val="HTML 預設格式 字元"/>
    <w:link w:val="HTML0"/>
    <w:uiPriority w:val="99"/>
    <w:rsid w:val="00CD07AB"/>
    <w:rPr>
      <w:rFonts w:ascii="細明體" w:eastAsia="細明體" w:hAnsi="細明體" w:cs="細明體"/>
      <w:szCs w:val="24"/>
    </w:rPr>
  </w:style>
  <w:style w:type="paragraph" w:styleId="HTML0">
    <w:name w:val="HTML Preformatted"/>
    <w:basedOn w:val="aa"/>
    <w:link w:val="HTML"/>
    <w:uiPriority w:val="99"/>
    <w:unhideWhenUsed/>
    <w:rsid w:val="00CD07A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spacing w:line="360" w:lineRule="auto"/>
      <w:jc w:val="left"/>
    </w:pPr>
    <w:rPr>
      <w:rFonts w:ascii="細明體" w:eastAsia="細明體" w:hAnsi="細明體" w:cs="細明體"/>
      <w:kern w:val="0"/>
      <w:sz w:val="20"/>
      <w:szCs w:val="24"/>
    </w:rPr>
  </w:style>
  <w:style w:type="character" w:customStyle="1" w:styleId="HTML1">
    <w:name w:val="HTML 預設格式 字元1"/>
    <w:basedOn w:val="ab"/>
    <w:uiPriority w:val="99"/>
    <w:semiHidden/>
    <w:rsid w:val="00CD07AB"/>
    <w:rPr>
      <w:rFonts w:ascii="Courier New" w:eastAsia="標楷體" w:hAnsi="Courier New" w:cs="Courier New"/>
      <w:kern w:val="2"/>
    </w:rPr>
  </w:style>
  <w:style w:type="character" w:customStyle="1" w:styleId="af8">
    <w:name w:val="頁尾 字元"/>
    <w:link w:val="af7"/>
    <w:uiPriority w:val="99"/>
    <w:rsid w:val="00CD07AB"/>
    <w:rPr>
      <w:rFonts w:ascii="標楷體" w:eastAsia="標楷體"/>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750055">
      <w:bodyDiv w:val="1"/>
      <w:marLeft w:val="0"/>
      <w:marRight w:val="0"/>
      <w:marTop w:val="0"/>
      <w:marBottom w:val="0"/>
      <w:divBdr>
        <w:top w:val="none" w:sz="0" w:space="0" w:color="auto"/>
        <w:left w:val="none" w:sz="0" w:space="0" w:color="auto"/>
        <w:bottom w:val="none" w:sz="0" w:space="0" w:color="auto"/>
        <w:right w:val="none" w:sz="0" w:space="0" w:color="auto"/>
      </w:divBdr>
      <w:divsChild>
        <w:div w:id="1420757760">
          <w:marLeft w:val="0"/>
          <w:marRight w:val="0"/>
          <w:marTop w:val="0"/>
          <w:marBottom w:val="0"/>
          <w:divBdr>
            <w:top w:val="none" w:sz="0" w:space="0" w:color="auto"/>
            <w:left w:val="none" w:sz="0" w:space="0" w:color="auto"/>
            <w:bottom w:val="none" w:sz="0" w:space="0" w:color="auto"/>
            <w:right w:val="none" w:sz="0" w:space="0" w:color="auto"/>
          </w:divBdr>
          <w:divsChild>
            <w:div w:id="152956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328096">
      <w:bodyDiv w:val="1"/>
      <w:marLeft w:val="0"/>
      <w:marRight w:val="0"/>
      <w:marTop w:val="0"/>
      <w:marBottom w:val="0"/>
      <w:divBdr>
        <w:top w:val="none" w:sz="0" w:space="0" w:color="auto"/>
        <w:left w:val="none" w:sz="0" w:space="0" w:color="auto"/>
        <w:bottom w:val="none" w:sz="0" w:space="0" w:color="auto"/>
        <w:right w:val="none" w:sz="0" w:space="0" w:color="auto"/>
      </w:divBdr>
      <w:divsChild>
        <w:div w:id="1230070031">
          <w:marLeft w:val="0"/>
          <w:marRight w:val="0"/>
          <w:marTop w:val="0"/>
          <w:marBottom w:val="0"/>
          <w:divBdr>
            <w:top w:val="none" w:sz="0" w:space="0" w:color="auto"/>
            <w:left w:val="none" w:sz="0" w:space="0" w:color="auto"/>
            <w:bottom w:val="none" w:sz="0" w:space="0" w:color="auto"/>
            <w:right w:val="none" w:sz="0" w:space="0" w:color="auto"/>
          </w:divBdr>
          <w:divsChild>
            <w:div w:id="224530238">
              <w:marLeft w:val="0"/>
              <w:marRight w:val="0"/>
              <w:marTop w:val="100"/>
              <w:marBottom w:val="100"/>
              <w:divBdr>
                <w:top w:val="none" w:sz="0" w:space="0" w:color="auto"/>
                <w:left w:val="none" w:sz="0" w:space="0" w:color="auto"/>
                <w:bottom w:val="none" w:sz="0" w:space="0" w:color="auto"/>
                <w:right w:val="none" w:sz="0" w:space="0" w:color="auto"/>
              </w:divBdr>
              <w:divsChild>
                <w:div w:id="1480489392">
                  <w:marLeft w:val="0"/>
                  <w:marRight w:val="0"/>
                  <w:marTop w:val="45"/>
                  <w:marBottom w:val="120"/>
                  <w:divBdr>
                    <w:top w:val="none" w:sz="0" w:space="0" w:color="auto"/>
                    <w:left w:val="none" w:sz="0" w:space="0" w:color="auto"/>
                    <w:bottom w:val="none" w:sz="0" w:space="0" w:color="auto"/>
                    <w:right w:val="none" w:sz="0" w:space="0" w:color="auto"/>
                  </w:divBdr>
                  <w:divsChild>
                    <w:div w:id="1363634379">
                      <w:marLeft w:val="0"/>
                      <w:marRight w:val="0"/>
                      <w:marTop w:val="0"/>
                      <w:marBottom w:val="0"/>
                      <w:divBdr>
                        <w:top w:val="none" w:sz="0" w:space="0" w:color="auto"/>
                        <w:left w:val="none" w:sz="0" w:space="0" w:color="auto"/>
                        <w:bottom w:val="none" w:sz="0" w:space="0" w:color="auto"/>
                        <w:right w:val="none" w:sz="0" w:space="0" w:color="auto"/>
                      </w:divBdr>
                      <w:divsChild>
                        <w:div w:id="748580390">
                          <w:marLeft w:val="0"/>
                          <w:marRight w:val="0"/>
                          <w:marTop w:val="180"/>
                          <w:marBottom w:val="180"/>
                          <w:divBdr>
                            <w:top w:val="single" w:sz="6" w:space="0" w:color="4EA3E9"/>
                            <w:left w:val="single" w:sz="6" w:space="0" w:color="4EA3E9"/>
                            <w:bottom w:val="single" w:sz="6" w:space="12" w:color="4EA3E9"/>
                            <w:right w:val="single" w:sz="6" w:space="0" w:color="4EA3E9"/>
                          </w:divBdr>
                        </w:div>
                      </w:divsChild>
                    </w:div>
                  </w:divsChild>
                </w:div>
              </w:divsChild>
            </w:div>
          </w:divsChild>
        </w:div>
      </w:divsChild>
    </w:div>
    <w:div w:id="2112776988">
      <w:bodyDiv w:val="1"/>
      <w:marLeft w:val="0"/>
      <w:marRight w:val="0"/>
      <w:marTop w:val="0"/>
      <w:marBottom w:val="0"/>
      <w:divBdr>
        <w:top w:val="none" w:sz="0" w:space="0" w:color="auto"/>
        <w:left w:val="none" w:sz="0" w:space="0" w:color="auto"/>
        <w:bottom w:val="none" w:sz="0" w:space="0" w:color="auto"/>
        <w:right w:val="none" w:sz="0" w:space="0" w:color="auto"/>
      </w:divBdr>
      <w:divsChild>
        <w:div w:id="219174885">
          <w:marLeft w:val="0"/>
          <w:marRight w:val="0"/>
          <w:marTop w:val="0"/>
          <w:marBottom w:val="0"/>
          <w:divBdr>
            <w:top w:val="none" w:sz="0" w:space="0" w:color="auto"/>
            <w:left w:val="none" w:sz="0" w:space="0" w:color="auto"/>
            <w:bottom w:val="none" w:sz="0" w:space="0" w:color="auto"/>
            <w:right w:val="none" w:sz="0" w:space="0" w:color="auto"/>
          </w:divBdr>
          <w:divsChild>
            <w:div w:id="76434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0DD347-8720-4421-A826-97B1CFB9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0</TotalTime>
  <Pages>20</Pages>
  <Words>1625</Words>
  <Characters>9268</Characters>
  <Application>Microsoft Office Word</Application>
  <DocSecurity>0</DocSecurity>
  <Lines>77</Lines>
  <Paragraphs>21</Paragraphs>
  <ScaleCrop>false</ScaleCrop>
  <Company>cy</Company>
  <LinksUpToDate>false</LinksUpToDate>
  <CharactersWithSpaces>10872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廖春媛</dc:creator>
  <cp:lastModifiedBy>廖春媛</cp:lastModifiedBy>
  <cp:revision>2</cp:revision>
  <cp:lastPrinted>2017-03-06T02:04:00Z</cp:lastPrinted>
  <dcterms:created xsi:type="dcterms:W3CDTF">2017-03-09T01:13:00Z</dcterms:created>
  <dcterms:modified xsi:type="dcterms:W3CDTF">2017-03-09T01:13:00Z</dcterms:modified>
</cp:coreProperties>
</file>