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CA7" w:rsidRPr="00F51C69" w:rsidRDefault="00372CA7" w:rsidP="00F51C69">
      <w:pPr>
        <w:pStyle w:val="ae"/>
        <w:topLinePunct/>
        <w:spacing w:before="0"/>
        <w:ind w:leftChars="-40" w:left="-140" w:firstLine="0"/>
        <w:contextualSpacing/>
        <w:jc w:val="center"/>
        <w:rPr>
          <w:rFonts w:hAnsi="標楷體"/>
          <w:b/>
          <w:snapToGrid/>
          <w:spacing w:val="0"/>
          <w:kern w:val="0"/>
          <w:sz w:val="40"/>
          <w:szCs w:val="40"/>
        </w:rPr>
      </w:pPr>
      <w:r w:rsidRPr="00F51C69">
        <w:rPr>
          <w:rFonts w:hAnsi="標楷體" w:hint="eastAsia"/>
          <w:b/>
          <w:snapToGrid/>
          <w:spacing w:val="0"/>
          <w:kern w:val="0"/>
          <w:sz w:val="40"/>
          <w:szCs w:val="40"/>
        </w:rPr>
        <w:t>監察院10</w:t>
      </w:r>
      <w:r w:rsidR="00904CFB" w:rsidRPr="00F51C69">
        <w:rPr>
          <w:rFonts w:hAnsi="標楷體" w:hint="eastAsia"/>
          <w:b/>
          <w:snapToGrid/>
          <w:spacing w:val="0"/>
          <w:kern w:val="0"/>
          <w:sz w:val="40"/>
          <w:szCs w:val="40"/>
        </w:rPr>
        <w:t>5</w:t>
      </w:r>
      <w:r w:rsidRPr="00F51C69">
        <w:rPr>
          <w:rFonts w:hAnsi="標楷體" w:hint="eastAsia"/>
          <w:b/>
          <w:snapToGrid/>
          <w:spacing w:val="0"/>
          <w:kern w:val="0"/>
          <w:sz w:val="40"/>
          <w:szCs w:val="40"/>
        </w:rPr>
        <w:t>年度專案調查研究報告</w:t>
      </w:r>
      <w:r w:rsidR="00F51C69" w:rsidRPr="00F51C69">
        <w:rPr>
          <w:rFonts w:hAnsi="標楷體" w:hint="eastAsia"/>
          <w:b/>
          <w:snapToGrid/>
          <w:spacing w:val="0"/>
          <w:kern w:val="0"/>
          <w:sz w:val="40"/>
          <w:szCs w:val="40"/>
        </w:rPr>
        <w:t>(</w:t>
      </w:r>
      <w:r w:rsidR="00F51C69" w:rsidRPr="00F51C69">
        <w:rPr>
          <w:rFonts w:hint="eastAsia"/>
          <w:b/>
          <w:spacing w:val="0"/>
        </w:rPr>
        <w:t>結論與建議部分</w:t>
      </w:r>
      <w:r w:rsidR="00F51C69" w:rsidRPr="00F51C69">
        <w:rPr>
          <w:rFonts w:hAnsi="標楷體" w:hint="eastAsia"/>
          <w:b/>
          <w:snapToGrid/>
          <w:spacing w:val="0"/>
          <w:kern w:val="0"/>
          <w:sz w:val="40"/>
          <w:szCs w:val="40"/>
        </w:rPr>
        <w:t>)</w:t>
      </w:r>
    </w:p>
    <w:p w:rsidR="00372CA7" w:rsidRPr="00713D42" w:rsidRDefault="00372CA7" w:rsidP="00F6299D">
      <w:pPr>
        <w:pStyle w:val="1"/>
        <w:numPr>
          <w:ilvl w:val="0"/>
          <w:numId w:val="20"/>
        </w:numPr>
        <w:kinsoku w:val="0"/>
        <w:overflowPunct/>
        <w:topLinePunct/>
        <w:autoSpaceDE/>
        <w:autoSpaceDN/>
        <w:ind w:left="709" w:hanging="709"/>
        <w:contextualSpacing/>
      </w:pPr>
      <w:bookmarkStart w:id="0" w:name="_Toc469271614"/>
      <w:bookmarkStart w:id="1" w:name="_Toc470099516"/>
      <w:r w:rsidRPr="00713D42">
        <w:rPr>
          <w:rFonts w:hAnsi="標楷體" w:hint="eastAsia"/>
          <w:b/>
        </w:rPr>
        <w:t>專案調查研究題目</w:t>
      </w:r>
      <w:r w:rsidRPr="00713D42">
        <w:rPr>
          <w:rFonts w:hint="eastAsia"/>
          <w:b/>
        </w:rPr>
        <w:t>：「政府改善投資環境吸引外國投資之施政措施及績效」專案調查研究。</w:t>
      </w:r>
      <w:bookmarkEnd w:id="0"/>
      <w:bookmarkEnd w:id="1"/>
    </w:p>
    <w:p w:rsidR="00372CA7" w:rsidRPr="00713D42" w:rsidRDefault="00372CA7" w:rsidP="00F6299D">
      <w:pPr>
        <w:pStyle w:val="1"/>
        <w:numPr>
          <w:ilvl w:val="0"/>
          <w:numId w:val="20"/>
        </w:numPr>
        <w:kinsoku w:val="0"/>
        <w:overflowPunct/>
        <w:autoSpaceDE/>
        <w:autoSpaceDN/>
        <w:ind w:left="2445" w:hangingChars="700" w:hanging="2445"/>
        <w:rPr>
          <w:b/>
        </w:rPr>
      </w:pPr>
      <w:bookmarkStart w:id="2" w:name="_Toc437508387"/>
      <w:bookmarkStart w:id="3" w:name="_Toc437521387"/>
      <w:bookmarkStart w:id="4" w:name="_Toc469271721"/>
      <w:bookmarkStart w:id="5" w:name="_Toc470099625"/>
      <w:r w:rsidRPr="00713D42">
        <w:rPr>
          <w:rFonts w:hint="eastAsia"/>
          <w:b/>
        </w:rPr>
        <w:t>結論與建議</w:t>
      </w:r>
      <w:bookmarkEnd w:id="2"/>
      <w:bookmarkEnd w:id="3"/>
      <w:bookmarkEnd w:id="4"/>
      <w:bookmarkEnd w:id="5"/>
      <w:r w:rsidR="00D129E2">
        <w:rPr>
          <w:rFonts w:hint="eastAsia"/>
          <w:b/>
        </w:rPr>
        <w:t>：</w:t>
      </w:r>
    </w:p>
    <w:p w:rsidR="00372CA7" w:rsidRPr="00713D42" w:rsidRDefault="00372CA7" w:rsidP="00372CA7">
      <w:pPr>
        <w:pStyle w:val="1"/>
        <w:numPr>
          <w:ilvl w:val="0"/>
          <w:numId w:val="0"/>
        </w:numPr>
        <w:ind w:leftChars="203" w:left="708" w:firstLineChars="203" w:firstLine="708"/>
      </w:pPr>
      <w:bookmarkStart w:id="6" w:name="_Toc470099626"/>
      <w:bookmarkStart w:id="7" w:name="_Toc437521388"/>
      <w:bookmarkStart w:id="8" w:name="_Toc469271722"/>
      <w:r w:rsidRPr="00713D42">
        <w:rPr>
          <w:rFonts w:hint="eastAsia"/>
        </w:rPr>
        <w:t>一國經濟之成長</w:t>
      </w:r>
      <w:r w:rsidRPr="00713D42">
        <w:rPr>
          <w:rStyle w:val="aff8"/>
        </w:rPr>
        <w:footnoteReference w:id="1"/>
      </w:r>
      <w:r w:rsidRPr="00713D42">
        <w:rPr>
          <w:rFonts w:hint="eastAsia"/>
        </w:rPr>
        <w:t>包含政府支出、消費、投資、淨出口等面向，我國因為財政赤字及舉債空間已近上限等因素，提高政府支出能力有限，民間消費除受景氣循環、失業等因素影響外，亦因我國經常性平均薪資成長率低於物價成長率，使得民眾因可支配所得減少而降低消費能力，消費提升能力有限，因此投資與淨出口成為提升我國經濟成長之主要引擎，其中我國吸引外國人直接投資(Foreign Direct Investment；下稱FDI)已超過半個世紀，外資對臺灣投資、出口、就業及技術升級的貢獻有目共睹，也扮演帶動我國經濟成長及產業升級的關鍵角色，因此，吸引外人投資一直是我國經濟發展的重要政策之一。</w:t>
      </w:r>
      <w:bookmarkEnd w:id="6"/>
    </w:p>
    <w:p w:rsidR="00372CA7" w:rsidRPr="00713D42" w:rsidRDefault="00372CA7" w:rsidP="00372CA7">
      <w:pPr>
        <w:pStyle w:val="1"/>
        <w:numPr>
          <w:ilvl w:val="0"/>
          <w:numId w:val="0"/>
        </w:numPr>
        <w:ind w:leftChars="203" w:left="708" w:firstLineChars="203" w:firstLine="708"/>
      </w:pPr>
      <w:bookmarkStart w:id="9" w:name="_Toc470099627"/>
      <w:r w:rsidRPr="00713D42">
        <w:rPr>
          <w:rFonts w:hint="eastAsia"/>
        </w:rPr>
        <w:t>本案經一整年調查研究，歷經向經濟部、國家發展委員會(下稱國發會)、內政部、勞動部、行政院環境保護署(下稱環保署)、中央銀行、金融監督管理委員會(下稱金管會)、財政部等機關調閱相關資料、辦理2場次諮詢、國外考察及各機關座談會等，復研閱各機關歷次函復及蒐集研析相關文獻，業已調查研究竣事。茲將結論與建議分述如后：</w:t>
      </w:r>
      <w:bookmarkEnd w:id="7"/>
      <w:bookmarkEnd w:id="8"/>
      <w:bookmarkEnd w:id="9"/>
    </w:p>
    <w:p w:rsidR="00372CA7" w:rsidRPr="00713D42" w:rsidRDefault="00372CA7" w:rsidP="00F6299D">
      <w:pPr>
        <w:pStyle w:val="2"/>
        <w:numPr>
          <w:ilvl w:val="1"/>
          <w:numId w:val="20"/>
        </w:numPr>
        <w:overflowPunct/>
        <w:autoSpaceDE/>
        <w:autoSpaceDN/>
        <w:rPr>
          <w:b/>
        </w:rPr>
      </w:pPr>
      <w:bookmarkStart w:id="10" w:name="_Toc469271723"/>
      <w:bookmarkStart w:id="11" w:name="_Toc470099628"/>
      <w:r w:rsidRPr="00713D42">
        <w:rPr>
          <w:rFonts w:hint="eastAsia"/>
          <w:b/>
        </w:rPr>
        <w:t>我國吸引FDI之能力，除遠落後於香港、中國大陸、新加坡外，亦落後印度、越南、馬來西亞、泰國、菲律賓、韓國、緬甸等亞洲國家，僅為菲律賓、韓國之1/2，馬來西亞、泰國之1/4，吸引FDI成效不彰</w:t>
      </w:r>
      <w:r w:rsidR="00FB2B10">
        <w:rPr>
          <w:rFonts w:hint="eastAsia"/>
          <w:b/>
        </w:rPr>
        <w:t>，</w:t>
      </w:r>
      <w:r w:rsidR="007C2944">
        <w:rPr>
          <w:rFonts w:hint="eastAsia"/>
          <w:b/>
        </w:rPr>
        <w:t>然</w:t>
      </w:r>
      <w:r w:rsidRPr="00713D42">
        <w:rPr>
          <w:rFonts w:hint="eastAsia"/>
          <w:b/>
        </w:rPr>
        <w:t>經濟部稱我國FDI並無下滑傾向，惟近3年我國FDI由35.98億美元下滑至24.13億美元，下滑趨勢</w:t>
      </w:r>
      <w:r w:rsidRPr="00713D42">
        <w:rPr>
          <w:rFonts w:hint="eastAsia"/>
          <w:b/>
        </w:rPr>
        <w:lastRenderedPageBreak/>
        <w:t>明顯，行政院允應正視我國吸引FDI成效不彰及下滑之現狀，積極籌謀強化吸引FDI之能力。</w:t>
      </w:r>
      <w:bookmarkEnd w:id="10"/>
      <w:bookmarkEnd w:id="11"/>
    </w:p>
    <w:p w:rsidR="00372CA7" w:rsidRPr="00713D42" w:rsidRDefault="00372CA7" w:rsidP="00F6299D">
      <w:pPr>
        <w:pStyle w:val="3"/>
        <w:numPr>
          <w:ilvl w:val="2"/>
          <w:numId w:val="20"/>
        </w:numPr>
        <w:overflowPunct/>
        <w:autoSpaceDE/>
        <w:autoSpaceDN/>
      </w:pPr>
      <w:bookmarkStart w:id="12" w:name="_Toc470099629"/>
      <w:r w:rsidRPr="00713D42">
        <w:rPr>
          <w:rFonts w:hint="eastAsia"/>
        </w:rPr>
        <w:t>查經濟部投資業務處(下稱投資處)稱依其統計資料顯示，我國吸引FDI並無下滑傾向:</w:t>
      </w:r>
      <w:bookmarkEnd w:id="12"/>
    </w:p>
    <w:p w:rsidR="00372CA7" w:rsidRPr="00713D42" w:rsidRDefault="00372CA7" w:rsidP="00F6299D">
      <w:pPr>
        <w:pStyle w:val="4"/>
        <w:numPr>
          <w:ilvl w:val="3"/>
          <w:numId w:val="20"/>
        </w:numPr>
        <w:overflowPunct/>
        <w:autoSpaceDE/>
        <w:autoSpaceDN/>
      </w:pPr>
      <w:r w:rsidRPr="00713D42">
        <w:rPr>
          <w:rFonts w:hint="eastAsia"/>
        </w:rPr>
        <w:t>政府為考核我國吸引FDI成效，每年均訂有對外招商目標值，該目標從</w:t>
      </w:r>
      <w:r w:rsidRPr="00713D42">
        <w:rPr>
          <w:rFonts w:hint="eastAsia"/>
          <w:bCs/>
        </w:rPr>
        <w:t>民國(下同)</w:t>
      </w:r>
      <w:r w:rsidRPr="00713D42">
        <w:rPr>
          <w:rFonts w:hint="eastAsia"/>
        </w:rPr>
        <w:t>95年之53.86億美元逐年成長至104年之110億美元(99年除外)</w:t>
      </w:r>
      <w:r w:rsidRPr="00713D42">
        <w:rPr>
          <w:rStyle w:val="aff8"/>
          <w:bCs/>
        </w:rPr>
        <w:footnoteReference w:id="2"/>
      </w:r>
      <w:r w:rsidRPr="00713D42">
        <w:rPr>
          <w:rFonts w:hint="eastAsia"/>
        </w:rPr>
        <w:t>。</w:t>
      </w:r>
    </w:p>
    <w:p w:rsidR="00372CA7" w:rsidRPr="00713D42" w:rsidRDefault="00372CA7" w:rsidP="00F6299D">
      <w:pPr>
        <w:pStyle w:val="4"/>
        <w:numPr>
          <w:ilvl w:val="3"/>
          <w:numId w:val="20"/>
        </w:numPr>
        <w:overflowPunct/>
        <w:autoSpaceDE/>
        <w:autoSpaceDN/>
      </w:pPr>
      <w:r w:rsidRPr="00713D42">
        <w:rPr>
          <w:rFonts w:hint="eastAsia"/>
          <w:bCs/>
        </w:rPr>
        <w:t>投資處依據</w:t>
      </w:r>
      <w:r w:rsidRPr="00713D42">
        <w:rPr>
          <w:rFonts w:hAnsi="標楷體"/>
          <w:szCs w:val="32"/>
        </w:rPr>
        <w:t>經濟部各招商單位</w:t>
      </w:r>
      <w:r w:rsidRPr="00713D42">
        <w:rPr>
          <w:rFonts w:hAnsi="標楷體" w:hint="eastAsia"/>
          <w:szCs w:val="32"/>
        </w:rPr>
        <w:t>，統計各年度到位之實際投資金額，由95年之61.1億美元逐年成長至104年110.8億美元(97、98年度除外)</w:t>
      </w:r>
      <w:r w:rsidRPr="00713D42">
        <w:rPr>
          <w:rStyle w:val="aff8"/>
          <w:rFonts w:hAnsi="標楷體"/>
          <w:szCs w:val="32"/>
        </w:rPr>
        <w:footnoteReference w:id="3"/>
      </w:r>
      <w:r w:rsidRPr="00713D42">
        <w:rPr>
          <w:rFonts w:hAnsi="標楷體" w:hint="eastAsia"/>
          <w:szCs w:val="32"/>
        </w:rPr>
        <w:t>。</w:t>
      </w:r>
    </w:p>
    <w:p w:rsidR="00372CA7" w:rsidRPr="00713D42" w:rsidRDefault="00372CA7" w:rsidP="00F6299D">
      <w:pPr>
        <w:pStyle w:val="4"/>
        <w:numPr>
          <w:ilvl w:val="3"/>
          <w:numId w:val="20"/>
        </w:numPr>
        <w:overflowPunct/>
        <w:autoSpaceDE/>
        <w:autoSpaceDN/>
      </w:pPr>
      <w:r w:rsidRPr="00713D42">
        <w:rPr>
          <w:rFonts w:hint="eastAsia"/>
        </w:rPr>
        <w:t>依據目標值及實際投資數，除97、98年未達目標外，其餘年度均達所訂目標。</w:t>
      </w:r>
    </w:p>
    <w:p w:rsidR="00372CA7" w:rsidRPr="00713D42" w:rsidRDefault="00372CA7" w:rsidP="00372CA7">
      <w:pPr>
        <w:pStyle w:val="6"/>
        <w:numPr>
          <w:ilvl w:val="0"/>
          <w:numId w:val="0"/>
        </w:numPr>
        <w:ind w:firstLineChars="243" w:firstLine="848"/>
      </w:pPr>
      <w:r w:rsidRPr="00713D42">
        <w:rPr>
          <w:noProof/>
        </w:rPr>
        <w:drawing>
          <wp:inline distT="0" distB="0" distL="0" distR="0" wp14:anchorId="01AC1792" wp14:editId="4210F0E7">
            <wp:extent cx="5064741" cy="2436126"/>
            <wp:effectExtent l="19050" t="0" r="21609" b="2274"/>
            <wp:docPr id="12" name="圖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2CA7" w:rsidRPr="00713D42" w:rsidRDefault="00372CA7" w:rsidP="00372CA7">
      <w:pPr>
        <w:pStyle w:val="25"/>
        <w:spacing w:before="0" w:line="240" w:lineRule="auto"/>
        <w:ind w:leftChars="-365" w:left="1" w:rightChars="97" w:right="339" w:hangingChars="610" w:hanging="1275"/>
        <w:rPr>
          <w:b w:val="0"/>
          <w:sz w:val="20"/>
          <w:szCs w:val="20"/>
        </w:rPr>
      </w:pPr>
      <w:r w:rsidRPr="00713D42">
        <w:rPr>
          <w:rFonts w:hint="eastAsia"/>
          <w:b w:val="0"/>
          <w:sz w:val="20"/>
          <w:szCs w:val="20"/>
        </w:rPr>
        <w:t>資料來源:經濟部統計，經本專案調查研究整理繪製。</w:t>
      </w:r>
    </w:p>
    <w:p w:rsidR="00372CA7" w:rsidRPr="00B91A92" w:rsidRDefault="00372CA7" w:rsidP="00B91A92">
      <w:pPr>
        <w:pStyle w:val="a3"/>
        <w:numPr>
          <w:ilvl w:val="0"/>
          <w:numId w:val="35"/>
        </w:numPr>
        <w:rPr>
          <w:b/>
        </w:rPr>
      </w:pPr>
      <w:r w:rsidRPr="00B91A92">
        <w:rPr>
          <w:rFonts w:hint="eastAsia"/>
          <w:b/>
        </w:rPr>
        <w:t>投資處統計外人來臺投資目標及實際投資情形表</w:t>
      </w:r>
    </w:p>
    <w:p w:rsidR="00372CA7" w:rsidRPr="00713D42" w:rsidRDefault="00372CA7" w:rsidP="00F6299D">
      <w:pPr>
        <w:pStyle w:val="3"/>
        <w:numPr>
          <w:ilvl w:val="2"/>
          <w:numId w:val="20"/>
        </w:numPr>
        <w:overflowPunct/>
        <w:autoSpaceDE/>
        <w:autoSpaceDN/>
      </w:pPr>
      <w:bookmarkStart w:id="13" w:name="_Toc470099630"/>
      <w:r w:rsidRPr="00713D42">
        <w:rPr>
          <w:rFonts w:hint="eastAsia"/>
        </w:rPr>
        <w:t>然依中央銀行及經濟部投資審議委員會（下稱投審會）統計我國吸引FDI流入情形，並無投資處所稱無下滑情形:</w:t>
      </w:r>
      <w:bookmarkEnd w:id="13"/>
    </w:p>
    <w:p w:rsidR="00372CA7" w:rsidRPr="00713D42" w:rsidRDefault="00372CA7" w:rsidP="00F6299D">
      <w:pPr>
        <w:pStyle w:val="4"/>
        <w:numPr>
          <w:ilvl w:val="3"/>
          <w:numId w:val="20"/>
        </w:numPr>
        <w:overflowPunct/>
        <w:autoSpaceDE/>
        <w:autoSpaceDN/>
      </w:pPr>
      <w:r w:rsidRPr="00713D42">
        <w:rPr>
          <w:rFonts w:hint="eastAsia"/>
        </w:rPr>
        <w:t>中央銀行統計情形:</w:t>
      </w:r>
    </w:p>
    <w:p w:rsidR="00372CA7" w:rsidRPr="00713D42" w:rsidRDefault="00372CA7" w:rsidP="00372CA7">
      <w:pPr>
        <w:pStyle w:val="5"/>
        <w:numPr>
          <w:ilvl w:val="0"/>
          <w:numId w:val="0"/>
        </w:numPr>
        <w:ind w:left="1701" w:firstLineChars="203" w:firstLine="708"/>
      </w:pPr>
      <w:r w:rsidRPr="00713D42">
        <w:rPr>
          <w:rFonts w:hint="eastAsia"/>
        </w:rPr>
        <w:lastRenderedPageBreak/>
        <w:t>95年起我國FDI呈下滑趨勢，近3年由36.85億美元下滑至24.78億美元，下滑趨勢明顯</w:t>
      </w:r>
      <w:r w:rsidRPr="00713D42">
        <w:rPr>
          <w:rStyle w:val="aff8"/>
        </w:rPr>
        <w:footnoteReference w:id="4"/>
      </w:r>
      <w:r w:rsidRPr="00713D42">
        <w:rPr>
          <w:rFonts w:hint="eastAsia"/>
        </w:rPr>
        <w:t>。</w:t>
      </w:r>
    </w:p>
    <w:p w:rsidR="00372CA7" w:rsidRPr="00713D42" w:rsidRDefault="00372CA7" w:rsidP="00372CA7">
      <w:pPr>
        <w:pStyle w:val="6"/>
        <w:numPr>
          <w:ilvl w:val="0"/>
          <w:numId w:val="0"/>
        </w:numPr>
        <w:ind w:leftChars="-1" w:left="-3" w:firstLineChars="204" w:firstLine="712"/>
      </w:pPr>
      <w:r w:rsidRPr="00713D42">
        <w:rPr>
          <w:noProof/>
        </w:rPr>
        <w:drawing>
          <wp:inline distT="0" distB="0" distL="0" distR="0" wp14:anchorId="1EF69A3D" wp14:editId="7587CD74">
            <wp:extent cx="5280243" cy="2449773"/>
            <wp:effectExtent l="19050" t="0" r="15657" b="7677"/>
            <wp:docPr id="15" name="圖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72CA7" w:rsidRPr="00713D42" w:rsidRDefault="00372CA7" w:rsidP="00372CA7">
      <w:pPr>
        <w:pStyle w:val="a5"/>
        <w:numPr>
          <w:ilvl w:val="0"/>
          <w:numId w:val="0"/>
        </w:numPr>
        <w:spacing w:before="0" w:after="0" w:line="240" w:lineRule="auto"/>
        <w:ind w:left="1049" w:rightChars="-227" w:right="-792" w:hanging="340"/>
        <w:jc w:val="center"/>
        <w:rPr>
          <w:b/>
        </w:rPr>
      </w:pPr>
      <w:r w:rsidRPr="00713D42">
        <w:rPr>
          <w:rFonts w:hint="eastAsia"/>
          <w:sz w:val="20"/>
          <w:szCs w:val="20"/>
        </w:rPr>
        <w:t>資料來源:中央銀行國際收支與國際投資部位統計之國際收支簡表，本專案調查研究整理繪製。</w:t>
      </w:r>
    </w:p>
    <w:p w:rsidR="00372CA7" w:rsidRPr="00713D42" w:rsidRDefault="00372CA7" w:rsidP="00F6299D">
      <w:pPr>
        <w:pStyle w:val="25"/>
        <w:numPr>
          <w:ilvl w:val="0"/>
          <w:numId w:val="4"/>
        </w:numPr>
        <w:spacing w:before="0" w:afterLines="25" w:after="110" w:line="240" w:lineRule="auto"/>
        <w:ind w:left="1559" w:rightChars="-65" w:right="-227" w:hanging="992"/>
      </w:pPr>
      <w:r w:rsidRPr="00713D42">
        <w:rPr>
          <w:rFonts w:hint="eastAsia"/>
        </w:rPr>
        <w:t>中央銀行統計外國人來臺投資情形表</w:t>
      </w:r>
    </w:p>
    <w:p w:rsidR="00372CA7" w:rsidRPr="00713D42" w:rsidRDefault="00372CA7" w:rsidP="00F6299D">
      <w:pPr>
        <w:pStyle w:val="4"/>
        <w:numPr>
          <w:ilvl w:val="3"/>
          <w:numId w:val="20"/>
        </w:numPr>
        <w:overflowPunct/>
        <w:autoSpaceDE/>
        <w:autoSpaceDN/>
      </w:pPr>
      <w:r w:rsidRPr="00713D42">
        <w:rPr>
          <w:rFonts w:hAnsi="標楷體" w:hint="eastAsia"/>
          <w:szCs w:val="32"/>
        </w:rPr>
        <w:t>投審會統計情形:</w:t>
      </w:r>
    </w:p>
    <w:p w:rsidR="00372CA7" w:rsidRPr="00713D42" w:rsidRDefault="00372CA7" w:rsidP="00F6299D">
      <w:pPr>
        <w:pStyle w:val="5"/>
        <w:numPr>
          <w:ilvl w:val="4"/>
          <w:numId w:val="20"/>
        </w:numPr>
        <w:overflowPunct/>
        <w:autoSpaceDE/>
        <w:autoSpaceDN/>
        <w:rPr>
          <w:sz w:val="20"/>
          <w:szCs w:val="20"/>
        </w:rPr>
      </w:pPr>
      <w:r w:rsidRPr="00713D42">
        <w:rPr>
          <w:rFonts w:hint="eastAsia"/>
        </w:rPr>
        <w:t>95至104年投審會核准僑外及陸資之投資:</w:t>
      </w:r>
    </w:p>
    <w:p w:rsidR="00372CA7" w:rsidRPr="00713D42" w:rsidRDefault="00372CA7" w:rsidP="00F6299D">
      <w:pPr>
        <w:pStyle w:val="6"/>
        <w:numPr>
          <w:ilvl w:val="5"/>
          <w:numId w:val="20"/>
        </w:numPr>
        <w:overflowPunct/>
        <w:autoSpaceDE/>
        <w:autoSpaceDN/>
      </w:pPr>
      <w:r w:rsidRPr="00713D42">
        <w:rPr>
          <w:rFonts w:hint="eastAsia"/>
        </w:rPr>
        <w:t>投審會核准外人投資金額由95年139.69億美元降至104年之47.97億美元。</w:t>
      </w:r>
    </w:p>
    <w:p w:rsidR="00372CA7" w:rsidRPr="00713D42" w:rsidRDefault="00372CA7" w:rsidP="00F6299D">
      <w:pPr>
        <w:pStyle w:val="6"/>
        <w:numPr>
          <w:ilvl w:val="5"/>
          <w:numId w:val="20"/>
        </w:numPr>
        <w:overflowPunct/>
        <w:autoSpaceDE/>
        <w:autoSpaceDN/>
      </w:pPr>
      <w:r w:rsidRPr="00713D42">
        <w:rPr>
          <w:rFonts w:hint="eastAsia"/>
        </w:rPr>
        <w:t>投審會核准後實際投資金額由95年之115.76億美元，下滑至104年之34.27億美元，除95至97年外，實際投資金額約介於20至40億美元間。</w:t>
      </w:r>
    </w:p>
    <w:p w:rsidR="00372CA7" w:rsidRPr="00713D42" w:rsidRDefault="00372CA7" w:rsidP="00372CA7">
      <w:pPr>
        <w:pStyle w:val="6"/>
        <w:numPr>
          <w:ilvl w:val="0"/>
          <w:numId w:val="0"/>
        </w:numPr>
        <w:ind w:leftChars="-1" w:left="-3" w:firstLineChars="81" w:firstLine="283"/>
      </w:pPr>
      <w:r w:rsidRPr="00713D42">
        <w:rPr>
          <w:noProof/>
        </w:rPr>
        <w:lastRenderedPageBreak/>
        <w:drawing>
          <wp:inline distT="0" distB="0" distL="0" distR="0" wp14:anchorId="75E1DD4A" wp14:editId="74F34D5A">
            <wp:extent cx="5552724" cy="2258705"/>
            <wp:effectExtent l="19050" t="0" r="9876" b="8245"/>
            <wp:docPr id="16" name="圖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72CA7" w:rsidRPr="00713D42" w:rsidRDefault="00372CA7" w:rsidP="00372CA7">
      <w:pPr>
        <w:pStyle w:val="25"/>
        <w:spacing w:before="0" w:line="240" w:lineRule="auto"/>
        <w:ind w:left="2" w:firstLineChars="134" w:firstLine="280"/>
        <w:jc w:val="left"/>
        <w:rPr>
          <w:b w:val="0"/>
        </w:rPr>
      </w:pPr>
      <w:r w:rsidRPr="00713D42">
        <w:rPr>
          <w:rFonts w:hint="eastAsia"/>
          <w:b w:val="0"/>
          <w:sz w:val="20"/>
          <w:szCs w:val="20"/>
        </w:rPr>
        <w:t>資料來源:經濟部提供，本專案調查研究整理繪製。</w:t>
      </w:r>
    </w:p>
    <w:p w:rsidR="00372CA7" w:rsidRPr="00713D42" w:rsidRDefault="00372CA7" w:rsidP="00F6299D">
      <w:pPr>
        <w:pStyle w:val="25"/>
        <w:numPr>
          <w:ilvl w:val="0"/>
          <w:numId w:val="4"/>
        </w:numPr>
        <w:spacing w:before="0" w:afterLines="50" w:after="220"/>
        <w:ind w:left="1843" w:hanging="425"/>
      </w:pPr>
      <w:r w:rsidRPr="00713D42">
        <w:rPr>
          <w:rFonts w:hint="eastAsia"/>
        </w:rPr>
        <w:t>投審會核准外人來臺投資及實際投資情形表</w:t>
      </w:r>
    </w:p>
    <w:p w:rsidR="00372CA7" w:rsidRPr="00713D42" w:rsidRDefault="00372CA7" w:rsidP="00F6299D">
      <w:pPr>
        <w:pStyle w:val="3"/>
        <w:numPr>
          <w:ilvl w:val="2"/>
          <w:numId w:val="20"/>
        </w:numPr>
        <w:overflowPunct/>
        <w:autoSpaceDE/>
        <w:autoSpaceDN/>
      </w:pPr>
      <w:bookmarkStart w:id="14" w:name="_Toc470099631"/>
      <w:bookmarkStart w:id="15" w:name="_Toc469271728"/>
      <w:r w:rsidRPr="00713D42">
        <w:rPr>
          <w:rFonts w:hint="eastAsia"/>
        </w:rPr>
        <w:t>再查中央銀行FDI之統計基礎不同於投審會、投資處之統計，中央銀行係採投資淨額概念(即投資扣除撤資)，投審會、投資處則採取投資毛額概念(即投資未扣除撤資)。然吸引外人投資，除吸引新增外人投資外，亦應包含</w:t>
      </w:r>
      <w:r w:rsidRPr="00713D42">
        <w:rPr>
          <w:rFonts w:hAnsi="標楷體" w:hint="eastAsia"/>
        </w:rPr>
        <w:t>「</w:t>
      </w:r>
      <w:r w:rsidRPr="00713D42">
        <w:rPr>
          <w:rFonts w:hint="eastAsia"/>
        </w:rPr>
        <w:t>安商</w:t>
      </w:r>
      <w:r w:rsidRPr="00713D42">
        <w:rPr>
          <w:rFonts w:hAnsi="標楷體" w:hint="eastAsia"/>
        </w:rPr>
        <w:t>」(</w:t>
      </w:r>
      <w:r w:rsidRPr="00713D42">
        <w:rPr>
          <w:rFonts w:hint="eastAsia"/>
        </w:rPr>
        <w:t>即使已經投資之外商繼續留在國內投資)，因投審會及投資處因未扣除撤資，致對外人投資統計較為寬鬆，且部分案例，如:</w:t>
      </w:r>
      <w:r w:rsidRPr="00713D42">
        <w:t>日本日產汽車投資新成立的裕隆日產公司3.13億美元</w:t>
      </w:r>
      <w:r w:rsidRPr="00713D42">
        <w:rPr>
          <w:rStyle w:val="aff8"/>
        </w:rPr>
        <w:footnoteReference w:id="5"/>
      </w:r>
      <w:r w:rsidRPr="00713D42">
        <w:t>，但這筆投資日產是以原持有裕隆汽車25％的股權，以換股形式投資裕隆日產，日產實際上未匯入</w:t>
      </w:r>
      <w:r w:rsidRPr="00713D42">
        <w:rPr>
          <w:rFonts w:hint="eastAsia"/>
        </w:rPr>
        <w:t>資金</w:t>
      </w:r>
      <w:r w:rsidRPr="00713D42">
        <w:t>來</w:t>
      </w:r>
      <w:r w:rsidRPr="00713D42">
        <w:rPr>
          <w:rFonts w:hint="eastAsia"/>
        </w:rPr>
        <w:t>我國</w:t>
      </w:r>
      <w:r w:rsidRPr="00713D42">
        <w:t>，</w:t>
      </w:r>
      <w:r w:rsidRPr="00713D42">
        <w:rPr>
          <w:rFonts w:hint="eastAsia"/>
        </w:rPr>
        <w:t>該部統計資料</w:t>
      </w:r>
      <w:r w:rsidRPr="00713D42">
        <w:t>卻記在FDI上。</w:t>
      </w:r>
      <w:r w:rsidRPr="00713D42">
        <w:rPr>
          <w:rFonts w:hint="eastAsia"/>
        </w:rPr>
        <w:t>另</w:t>
      </w:r>
      <w:r w:rsidRPr="00713D42">
        <w:t>日商DCM投資</w:t>
      </w:r>
      <w:r w:rsidRPr="00713D42">
        <w:rPr>
          <w:rFonts w:hint="eastAsia"/>
        </w:rPr>
        <w:t>遠傳</w:t>
      </w:r>
      <w:r w:rsidRPr="00713D42">
        <w:t>電信1.5億美元案，因為DCM原本已投資和信電信，和信</w:t>
      </w:r>
      <w:r w:rsidRPr="00713D42">
        <w:rPr>
          <w:rFonts w:hint="eastAsia"/>
        </w:rPr>
        <w:t>電信</w:t>
      </w:r>
      <w:r w:rsidRPr="00713D42">
        <w:t>和遠傳電信合併成遠和後，DCM持有的和信股權理所當然轉至遠和，</w:t>
      </w:r>
      <w:r w:rsidRPr="00713D42">
        <w:rPr>
          <w:rFonts w:hint="eastAsia"/>
        </w:rPr>
        <w:t>造成此類無外人實際投資，僅股權移轉之案件視為新投資案，似有虛增FDI投資數之情形，是以，經濟部以投資處所統計之FDI投資數，未能參考中央銀行所統計近3年FDI之數據</w:t>
      </w:r>
      <w:r w:rsidRPr="00713D42">
        <w:rPr>
          <w:rFonts w:hint="eastAsia"/>
        </w:rPr>
        <w:lastRenderedPageBreak/>
        <w:t>明顯下滑之情事，認我國FDI並無下滑情事，顯有未妥。</w:t>
      </w:r>
      <w:bookmarkEnd w:id="14"/>
    </w:p>
    <w:p w:rsidR="00372CA7" w:rsidRPr="00713D42" w:rsidRDefault="00372CA7" w:rsidP="00F6299D">
      <w:pPr>
        <w:pStyle w:val="3"/>
        <w:numPr>
          <w:ilvl w:val="2"/>
          <w:numId w:val="20"/>
        </w:numPr>
        <w:overflowPunct/>
        <w:autoSpaceDE/>
        <w:autoSpaceDN/>
      </w:pPr>
      <w:bookmarkStart w:id="16" w:name="_Toc470099632"/>
      <w:bookmarkEnd w:id="15"/>
      <w:r w:rsidRPr="00713D42">
        <w:rPr>
          <w:rFonts w:hint="eastAsia"/>
        </w:rPr>
        <w:t>另依據聯合國貿易暨發展會議(United Nations Conference on Trade and Development；下稱UNCTAD)世界投資報告(World Investment Report)資料分析:</w:t>
      </w:r>
      <w:bookmarkEnd w:id="16"/>
    </w:p>
    <w:p w:rsidR="00372CA7" w:rsidRPr="00713D42" w:rsidRDefault="00372CA7" w:rsidP="00F6299D">
      <w:pPr>
        <w:pStyle w:val="4"/>
        <w:numPr>
          <w:ilvl w:val="3"/>
          <w:numId w:val="20"/>
        </w:numPr>
        <w:overflowPunct/>
        <w:autoSpaceDE/>
        <w:autoSpaceDN/>
      </w:pPr>
      <w:r w:rsidRPr="00713D42">
        <w:rPr>
          <w:rFonts w:hint="eastAsia"/>
        </w:rPr>
        <w:t>依據FDI流入金額前10及主要亞洲國家比較(詳表1)發現:</w:t>
      </w:r>
    </w:p>
    <w:p w:rsidR="00372CA7" w:rsidRPr="00713D42" w:rsidRDefault="00372CA7" w:rsidP="00F6299D">
      <w:pPr>
        <w:pStyle w:val="5"/>
        <w:numPr>
          <w:ilvl w:val="4"/>
          <w:numId w:val="20"/>
        </w:numPr>
        <w:overflowPunct/>
        <w:autoSpaceDE/>
        <w:autoSpaceDN/>
      </w:pPr>
      <w:r w:rsidRPr="00713D42">
        <w:rPr>
          <w:rFonts w:hint="eastAsia"/>
        </w:rPr>
        <w:t>近3年我國FDI由102年之35.98億美元逐年下滑至104年之24.15億美元。</w:t>
      </w:r>
    </w:p>
    <w:p w:rsidR="00372CA7" w:rsidRPr="00713D42" w:rsidRDefault="00372CA7" w:rsidP="00F6299D">
      <w:pPr>
        <w:pStyle w:val="5"/>
        <w:numPr>
          <w:ilvl w:val="4"/>
          <w:numId w:val="20"/>
        </w:numPr>
        <w:overflowPunct/>
        <w:autoSpaceDE/>
        <w:autoSpaceDN/>
      </w:pPr>
      <w:r w:rsidRPr="00713D42">
        <w:rPr>
          <w:rFonts w:hint="eastAsia"/>
        </w:rPr>
        <w:t>我國吸引FDI除遠落後香港、中國大陸逾千億美元、新加坡之650億美元外，亦落後其他亞洲國家，如:印度、越南、馬來西亞、泰國、菲律賓、韓國、緬甸等國，104年FDI流入僅為菲律賓、韓國1/2，馬來西亞、泰國之1/4。</w:t>
      </w:r>
    </w:p>
    <w:p w:rsidR="00372CA7" w:rsidRPr="00713D42" w:rsidRDefault="00372CA7" w:rsidP="00F6299D">
      <w:pPr>
        <w:pStyle w:val="a5"/>
        <w:numPr>
          <w:ilvl w:val="0"/>
          <w:numId w:val="22"/>
        </w:numPr>
        <w:spacing w:beforeLines="25" w:before="110" w:after="0"/>
        <w:ind w:left="1048"/>
        <w:jc w:val="center"/>
        <w:rPr>
          <w:b/>
        </w:rPr>
      </w:pPr>
      <w:r w:rsidRPr="00713D42">
        <w:rPr>
          <w:rFonts w:hint="eastAsia"/>
          <w:b/>
        </w:rPr>
        <w:t>FDI流入金額前10及主要亞洲國家比較表</w:t>
      </w:r>
    </w:p>
    <w:p w:rsidR="00372CA7" w:rsidRPr="00713D42" w:rsidRDefault="00372CA7" w:rsidP="009D24AD">
      <w:pPr>
        <w:pStyle w:val="10"/>
        <w:numPr>
          <w:ilvl w:val="0"/>
          <w:numId w:val="0"/>
        </w:numPr>
        <w:spacing w:before="0" w:after="0" w:line="240" w:lineRule="exact"/>
        <w:ind w:left="992" w:rightChars="-106" w:right="-370"/>
        <w:jc w:val="right"/>
        <w:rPr>
          <w:b w:val="0"/>
          <w:sz w:val="20"/>
          <w:szCs w:val="20"/>
        </w:rPr>
      </w:pPr>
      <w:r w:rsidRPr="00713D42">
        <w:rPr>
          <w:rFonts w:hint="eastAsia"/>
          <w:b w:val="0"/>
          <w:sz w:val="20"/>
          <w:szCs w:val="20"/>
        </w:rPr>
        <w:t>單位:百萬美元</w:t>
      </w:r>
    </w:p>
    <w:tbl>
      <w:tblPr>
        <w:tblW w:w="9573" w:type="dxa"/>
        <w:tblLayout w:type="fixed"/>
        <w:tblCellMar>
          <w:left w:w="28" w:type="dxa"/>
          <w:right w:w="28" w:type="dxa"/>
        </w:tblCellMar>
        <w:tblLook w:val="04A0" w:firstRow="1" w:lastRow="0" w:firstColumn="1" w:lastColumn="0" w:noHBand="0" w:noVBand="1"/>
      </w:tblPr>
      <w:tblGrid>
        <w:gridCol w:w="836"/>
        <w:gridCol w:w="802"/>
        <w:gridCol w:w="833"/>
        <w:gridCol w:w="904"/>
        <w:gridCol w:w="905"/>
        <w:gridCol w:w="904"/>
        <w:gridCol w:w="905"/>
        <w:gridCol w:w="904"/>
        <w:gridCol w:w="905"/>
        <w:gridCol w:w="846"/>
        <w:gridCol w:w="829"/>
      </w:tblGrid>
      <w:tr w:rsidR="00713D42" w:rsidRPr="00713D42" w:rsidTr="009D24AD">
        <w:trPr>
          <w:trHeight w:val="130"/>
          <w:tblHeader/>
        </w:trPr>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2E745E">
            <w:pPr>
              <w:widowControl/>
              <w:spacing w:line="300" w:lineRule="exact"/>
              <w:jc w:val="center"/>
              <w:rPr>
                <w:rFonts w:hAnsi="標楷體" w:cs="Arial"/>
                <w:b/>
                <w:bCs/>
                <w:spacing w:val="-20"/>
                <w:kern w:val="0"/>
                <w:sz w:val="18"/>
                <w:szCs w:val="18"/>
              </w:rPr>
            </w:pPr>
            <w:r w:rsidRPr="002E745E">
              <w:rPr>
                <w:rFonts w:hAnsi="標楷體" w:cs="Arial" w:hint="eastAsia"/>
                <w:b/>
                <w:spacing w:val="-20"/>
                <w:kern w:val="0"/>
                <w:sz w:val="18"/>
                <w:szCs w:val="18"/>
              </w:rPr>
              <w:t>年度</w:t>
            </w:r>
          </w:p>
        </w:tc>
        <w:tc>
          <w:tcPr>
            <w:tcW w:w="802"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95</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96</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97</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98</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99</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100</w:t>
            </w:r>
          </w:p>
        </w:tc>
        <w:tc>
          <w:tcPr>
            <w:tcW w:w="904"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101</w:t>
            </w:r>
          </w:p>
        </w:tc>
        <w:tc>
          <w:tcPr>
            <w:tcW w:w="905"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102</w:t>
            </w:r>
          </w:p>
        </w:tc>
        <w:tc>
          <w:tcPr>
            <w:tcW w:w="846"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103</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104</w:t>
            </w:r>
          </w:p>
        </w:tc>
      </w:tr>
      <w:tr w:rsidR="00713D42" w:rsidRPr="00713D42" w:rsidTr="009D24AD">
        <w:trPr>
          <w:trHeight w:val="237"/>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美國</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237</w:t>
            </w:r>
            <w:r w:rsidRPr="00713D42">
              <w:rPr>
                <w:rFonts w:hAnsi="標楷體" w:cs="Arial" w:hint="eastAsia"/>
                <w:spacing w:val="-20"/>
                <w:kern w:val="0"/>
                <w:sz w:val="18"/>
                <w:szCs w:val="18"/>
              </w:rPr>
              <w:t>,</w:t>
            </w:r>
            <w:r w:rsidRPr="00713D42">
              <w:rPr>
                <w:rFonts w:hAnsi="標楷體" w:cs="Arial"/>
                <w:spacing w:val="-20"/>
                <w:kern w:val="0"/>
                <w:sz w:val="18"/>
                <w:szCs w:val="18"/>
              </w:rPr>
              <w:t>136.0</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215</w:t>
            </w:r>
            <w:r w:rsidRPr="00713D42">
              <w:rPr>
                <w:rFonts w:hAnsi="標楷體" w:cs="Arial" w:hint="eastAsia"/>
                <w:spacing w:val="-20"/>
                <w:kern w:val="0"/>
                <w:sz w:val="18"/>
                <w:szCs w:val="18"/>
              </w:rPr>
              <w:t>,</w:t>
            </w:r>
            <w:r w:rsidRPr="00713D42">
              <w:rPr>
                <w:rFonts w:hAnsi="標楷體" w:cs="Arial"/>
                <w:spacing w:val="-20"/>
                <w:kern w:val="0"/>
                <w:sz w:val="18"/>
                <w:szCs w:val="18"/>
              </w:rPr>
              <w:t>952.0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306</w:t>
            </w:r>
            <w:r w:rsidRPr="00713D42">
              <w:rPr>
                <w:rFonts w:hAnsi="標楷體" w:cs="Arial" w:hint="eastAsia"/>
                <w:spacing w:val="-20"/>
                <w:kern w:val="0"/>
                <w:sz w:val="18"/>
                <w:szCs w:val="18"/>
              </w:rPr>
              <w:t>,</w:t>
            </w:r>
            <w:r w:rsidRPr="00713D42">
              <w:rPr>
                <w:rFonts w:hAnsi="標楷體" w:cs="Arial"/>
                <w:spacing w:val="-20"/>
                <w:kern w:val="0"/>
                <w:sz w:val="18"/>
                <w:szCs w:val="18"/>
              </w:rPr>
              <w:t>366.0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143</w:t>
            </w:r>
            <w:r w:rsidRPr="00713D42">
              <w:rPr>
                <w:rFonts w:hAnsi="標楷體" w:cs="Arial" w:hint="eastAsia"/>
                <w:spacing w:val="-20"/>
                <w:kern w:val="0"/>
                <w:sz w:val="18"/>
                <w:szCs w:val="18"/>
              </w:rPr>
              <w:t>,</w:t>
            </w:r>
            <w:r w:rsidRPr="00713D42">
              <w:rPr>
                <w:rFonts w:hAnsi="標楷體" w:cs="Arial"/>
                <w:spacing w:val="-20"/>
                <w:kern w:val="0"/>
                <w:sz w:val="18"/>
                <w:szCs w:val="18"/>
              </w:rPr>
              <w:t>604.0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198</w:t>
            </w:r>
            <w:r w:rsidRPr="00713D42">
              <w:rPr>
                <w:rFonts w:hAnsi="標楷體" w:cs="Arial" w:hint="eastAsia"/>
                <w:spacing w:val="-20"/>
                <w:kern w:val="0"/>
                <w:sz w:val="18"/>
                <w:szCs w:val="18"/>
              </w:rPr>
              <w:t>,</w:t>
            </w:r>
            <w:r w:rsidRPr="00713D42">
              <w:rPr>
                <w:rFonts w:hAnsi="標楷體" w:cs="Arial"/>
                <w:spacing w:val="-20"/>
                <w:kern w:val="0"/>
                <w:sz w:val="18"/>
                <w:szCs w:val="18"/>
              </w:rPr>
              <w:t>049.0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229</w:t>
            </w:r>
            <w:r w:rsidRPr="00713D42">
              <w:rPr>
                <w:rFonts w:hAnsi="標楷體" w:cs="Arial" w:hint="eastAsia"/>
                <w:spacing w:val="-20"/>
                <w:kern w:val="0"/>
                <w:sz w:val="18"/>
                <w:szCs w:val="18"/>
              </w:rPr>
              <w:t>,</w:t>
            </w:r>
            <w:r w:rsidRPr="00713D42">
              <w:rPr>
                <w:rFonts w:hAnsi="標楷體" w:cs="Arial"/>
                <w:spacing w:val="-20"/>
                <w:kern w:val="0"/>
                <w:sz w:val="18"/>
                <w:szCs w:val="18"/>
              </w:rPr>
              <w:t>862.0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188</w:t>
            </w:r>
            <w:r w:rsidRPr="00713D42">
              <w:rPr>
                <w:rFonts w:hAnsi="標楷體" w:cs="Arial" w:hint="eastAsia"/>
                <w:spacing w:val="-20"/>
                <w:kern w:val="0"/>
                <w:sz w:val="18"/>
                <w:szCs w:val="18"/>
              </w:rPr>
              <w:t>,</w:t>
            </w:r>
            <w:r w:rsidRPr="00713D42">
              <w:rPr>
                <w:rFonts w:hAnsi="標楷體" w:cs="Arial"/>
                <w:spacing w:val="-20"/>
                <w:kern w:val="0"/>
                <w:sz w:val="18"/>
                <w:szCs w:val="18"/>
              </w:rPr>
              <w:t>427.0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39" w:left="-24" w:hangingChars="66" w:hanging="112"/>
              <w:jc w:val="right"/>
              <w:rPr>
                <w:rFonts w:hAnsi="標楷體" w:cs="Arial"/>
                <w:spacing w:val="-20"/>
                <w:kern w:val="0"/>
                <w:sz w:val="18"/>
                <w:szCs w:val="18"/>
              </w:rPr>
            </w:pPr>
            <w:r w:rsidRPr="00713D42">
              <w:rPr>
                <w:rFonts w:hAnsi="標楷體" w:cs="Arial"/>
                <w:spacing w:val="-20"/>
                <w:kern w:val="0"/>
                <w:sz w:val="18"/>
                <w:szCs w:val="18"/>
              </w:rPr>
              <w:t>211</w:t>
            </w:r>
            <w:r w:rsidRPr="00713D42">
              <w:rPr>
                <w:rFonts w:hAnsi="標楷體" w:cs="Arial" w:hint="eastAsia"/>
                <w:spacing w:val="-20"/>
                <w:kern w:val="0"/>
                <w:sz w:val="18"/>
                <w:szCs w:val="18"/>
              </w:rPr>
              <w:t>,</w:t>
            </w:r>
            <w:r w:rsidRPr="00713D42">
              <w:rPr>
                <w:rFonts w:hAnsi="標楷體" w:cs="Arial"/>
                <w:spacing w:val="-20"/>
                <w:kern w:val="0"/>
                <w:sz w:val="18"/>
                <w:szCs w:val="18"/>
              </w:rPr>
              <w:t>501.0</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106</w:t>
            </w:r>
            <w:r w:rsidRPr="00713D42">
              <w:rPr>
                <w:rFonts w:hAnsi="標楷體" w:cs="Arial" w:hint="eastAsia"/>
                <w:spacing w:val="-20"/>
                <w:kern w:val="0"/>
                <w:sz w:val="18"/>
                <w:szCs w:val="18"/>
              </w:rPr>
              <w:t>,</w:t>
            </w:r>
            <w:r w:rsidRPr="00713D42">
              <w:rPr>
                <w:rFonts w:hAnsi="標楷體" w:cs="Arial"/>
                <w:spacing w:val="-20"/>
                <w:kern w:val="0"/>
                <w:sz w:val="18"/>
                <w:szCs w:val="18"/>
              </w:rPr>
              <w:t>614.0</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379</w:t>
            </w:r>
            <w:r w:rsidRPr="00713D42">
              <w:rPr>
                <w:rFonts w:hAnsi="標楷體" w:cs="Arial" w:hint="eastAsia"/>
                <w:spacing w:val="-20"/>
                <w:kern w:val="0"/>
                <w:sz w:val="18"/>
                <w:szCs w:val="18"/>
              </w:rPr>
              <w:t>,</w:t>
            </w:r>
            <w:r w:rsidRPr="00713D42">
              <w:rPr>
                <w:rFonts w:hAnsi="標楷體" w:cs="Arial"/>
                <w:spacing w:val="-20"/>
                <w:kern w:val="0"/>
                <w:sz w:val="18"/>
                <w:szCs w:val="18"/>
              </w:rPr>
              <w:t>894.0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香港</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41</w:t>
            </w:r>
            <w:r w:rsidRPr="00713D42">
              <w:rPr>
                <w:rFonts w:hAnsi="標楷體" w:cs="Arial" w:hint="eastAsia"/>
                <w:spacing w:val="-20"/>
                <w:kern w:val="0"/>
                <w:sz w:val="18"/>
                <w:szCs w:val="18"/>
              </w:rPr>
              <w:t>,</w:t>
            </w:r>
            <w:r w:rsidRPr="00713D42">
              <w:rPr>
                <w:rFonts w:hAnsi="標楷體" w:cs="Arial"/>
                <w:spacing w:val="-20"/>
                <w:kern w:val="0"/>
                <w:sz w:val="18"/>
                <w:szCs w:val="18"/>
              </w:rPr>
              <w:t>810.8</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58</w:t>
            </w:r>
            <w:r w:rsidRPr="00713D42">
              <w:rPr>
                <w:rFonts w:hAnsi="標楷體" w:cs="Arial" w:hint="eastAsia"/>
                <w:spacing w:val="-20"/>
                <w:kern w:val="0"/>
                <w:sz w:val="18"/>
                <w:szCs w:val="18"/>
              </w:rPr>
              <w:t>,</w:t>
            </w:r>
            <w:r w:rsidRPr="00713D42">
              <w:rPr>
                <w:rFonts w:hAnsi="標楷體" w:cs="Arial"/>
                <w:spacing w:val="-20"/>
                <w:kern w:val="0"/>
                <w:sz w:val="18"/>
                <w:szCs w:val="18"/>
              </w:rPr>
              <w:t>403.6</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58</w:t>
            </w:r>
            <w:r w:rsidRPr="00713D42">
              <w:rPr>
                <w:rFonts w:hAnsi="標楷體" w:cs="Arial" w:hint="eastAsia"/>
                <w:spacing w:val="-20"/>
                <w:kern w:val="0"/>
                <w:sz w:val="18"/>
                <w:szCs w:val="18"/>
              </w:rPr>
              <w:t>,</w:t>
            </w:r>
            <w:r w:rsidRPr="00713D42">
              <w:rPr>
                <w:rFonts w:hAnsi="標楷體" w:cs="Arial"/>
                <w:spacing w:val="-20"/>
                <w:kern w:val="0"/>
                <w:sz w:val="18"/>
                <w:szCs w:val="18"/>
              </w:rPr>
              <w:t>315.4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56</w:t>
            </w:r>
            <w:r w:rsidRPr="00713D42">
              <w:rPr>
                <w:rFonts w:hAnsi="標楷體" w:cs="Arial" w:hint="eastAsia"/>
                <w:spacing w:val="-20"/>
                <w:kern w:val="0"/>
                <w:sz w:val="18"/>
                <w:szCs w:val="18"/>
              </w:rPr>
              <w:t>,</w:t>
            </w:r>
            <w:r w:rsidRPr="00713D42">
              <w:rPr>
                <w:rFonts w:hAnsi="標楷體" w:cs="Arial"/>
                <w:spacing w:val="-20"/>
                <w:kern w:val="0"/>
                <w:sz w:val="18"/>
                <w:szCs w:val="18"/>
              </w:rPr>
              <w:t>061.3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72</w:t>
            </w:r>
            <w:r w:rsidRPr="00713D42">
              <w:rPr>
                <w:rFonts w:hAnsi="標楷體" w:cs="Arial" w:hint="eastAsia"/>
                <w:spacing w:val="-20"/>
                <w:kern w:val="0"/>
                <w:sz w:val="18"/>
                <w:szCs w:val="18"/>
              </w:rPr>
              <w:t>,</w:t>
            </w:r>
            <w:r w:rsidRPr="00713D42">
              <w:rPr>
                <w:rFonts w:hAnsi="標楷體" w:cs="Arial"/>
                <w:spacing w:val="-20"/>
                <w:kern w:val="0"/>
                <w:sz w:val="18"/>
                <w:szCs w:val="18"/>
              </w:rPr>
              <w:t>319.1</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96</w:t>
            </w:r>
            <w:r w:rsidRPr="00713D42">
              <w:rPr>
                <w:rFonts w:hAnsi="標楷體" w:cs="Arial" w:hint="eastAsia"/>
                <w:spacing w:val="-20"/>
                <w:kern w:val="0"/>
                <w:sz w:val="18"/>
                <w:szCs w:val="18"/>
              </w:rPr>
              <w:t>,</w:t>
            </w:r>
            <w:r w:rsidRPr="00713D42">
              <w:rPr>
                <w:rFonts w:hAnsi="標楷體" w:cs="Arial"/>
                <w:spacing w:val="-20"/>
                <w:kern w:val="0"/>
                <w:sz w:val="18"/>
                <w:szCs w:val="18"/>
              </w:rPr>
              <w:t>212.0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70</w:t>
            </w:r>
            <w:r w:rsidRPr="00713D42">
              <w:rPr>
                <w:rFonts w:hAnsi="標楷體" w:cs="Arial" w:hint="eastAsia"/>
                <w:spacing w:val="-20"/>
                <w:kern w:val="0"/>
                <w:sz w:val="18"/>
                <w:szCs w:val="18"/>
              </w:rPr>
              <w:t>,</w:t>
            </w:r>
            <w:r w:rsidRPr="00713D42">
              <w:rPr>
                <w:rFonts w:hAnsi="標楷體" w:cs="Arial"/>
                <w:spacing w:val="-20"/>
                <w:kern w:val="0"/>
                <w:sz w:val="18"/>
                <w:szCs w:val="18"/>
              </w:rPr>
              <w:t>841.3</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74</w:t>
            </w:r>
            <w:r w:rsidRPr="00713D42">
              <w:rPr>
                <w:rFonts w:hAnsi="標楷體" w:cs="Arial" w:hint="eastAsia"/>
                <w:spacing w:val="-20"/>
                <w:kern w:val="0"/>
                <w:sz w:val="18"/>
                <w:szCs w:val="18"/>
              </w:rPr>
              <w:t>,</w:t>
            </w:r>
            <w:r w:rsidRPr="00713D42">
              <w:rPr>
                <w:rFonts w:hAnsi="標楷體" w:cs="Arial"/>
                <w:spacing w:val="-20"/>
                <w:kern w:val="0"/>
                <w:sz w:val="18"/>
                <w:szCs w:val="18"/>
              </w:rPr>
              <w:t>546.3</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114</w:t>
            </w:r>
            <w:r w:rsidRPr="00713D42">
              <w:rPr>
                <w:rFonts w:hAnsi="標楷體" w:cs="Arial" w:hint="eastAsia"/>
                <w:spacing w:val="-20"/>
                <w:kern w:val="0"/>
                <w:sz w:val="18"/>
                <w:szCs w:val="18"/>
              </w:rPr>
              <w:t>,</w:t>
            </w:r>
            <w:r w:rsidRPr="00713D42">
              <w:rPr>
                <w:rFonts w:hAnsi="標楷體" w:cs="Arial"/>
                <w:spacing w:val="-20"/>
                <w:kern w:val="0"/>
                <w:sz w:val="18"/>
                <w:szCs w:val="18"/>
              </w:rPr>
              <w:t>054.7</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174</w:t>
            </w:r>
            <w:r w:rsidRPr="00713D42">
              <w:rPr>
                <w:rFonts w:hAnsi="標楷體" w:cs="Arial" w:hint="eastAsia"/>
                <w:spacing w:val="-20"/>
                <w:kern w:val="0"/>
                <w:sz w:val="18"/>
                <w:szCs w:val="18"/>
              </w:rPr>
              <w:t>,</w:t>
            </w:r>
            <w:r w:rsidRPr="00713D42">
              <w:rPr>
                <w:rFonts w:hAnsi="標楷體" w:cs="Arial"/>
                <w:spacing w:val="-20"/>
                <w:kern w:val="0"/>
                <w:sz w:val="18"/>
                <w:szCs w:val="18"/>
              </w:rPr>
              <w:t>892.1</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中國大陸</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72</w:t>
            </w:r>
            <w:r w:rsidRPr="00713D42">
              <w:rPr>
                <w:rFonts w:hAnsi="標楷體" w:cs="Arial" w:hint="eastAsia"/>
                <w:spacing w:val="-20"/>
                <w:kern w:val="0"/>
                <w:sz w:val="18"/>
                <w:szCs w:val="18"/>
              </w:rPr>
              <w:t>,</w:t>
            </w:r>
            <w:r w:rsidRPr="00713D42">
              <w:rPr>
                <w:rFonts w:hAnsi="標楷體" w:cs="Arial"/>
                <w:spacing w:val="-20"/>
                <w:kern w:val="0"/>
                <w:sz w:val="18"/>
                <w:szCs w:val="18"/>
              </w:rPr>
              <w:t>715.0</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83</w:t>
            </w:r>
            <w:r w:rsidRPr="00713D42">
              <w:rPr>
                <w:rFonts w:hAnsi="標楷體" w:cs="Arial" w:hint="eastAsia"/>
                <w:spacing w:val="-20"/>
                <w:kern w:val="0"/>
                <w:sz w:val="18"/>
                <w:szCs w:val="18"/>
              </w:rPr>
              <w:t>,</w:t>
            </w:r>
            <w:r w:rsidRPr="00713D42">
              <w:rPr>
                <w:rFonts w:hAnsi="標楷體" w:cs="Arial"/>
                <w:spacing w:val="-20"/>
                <w:kern w:val="0"/>
                <w:sz w:val="18"/>
                <w:szCs w:val="18"/>
              </w:rPr>
              <w:t>521.0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108</w:t>
            </w:r>
            <w:r w:rsidRPr="00713D42">
              <w:rPr>
                <w:rFonts w:hAnsi="標楷體" w:cs="Arial" w:hint="eastAsia"/>
                <w:spacing w:val="-20"/>
                <w:kern w:val="0"/>
                <w:sz w:val="18"/>
                <w:szCs w:val="18"/>
              </w:rPr>
              <w:t>,</w:t>
            </w:r>
            <w:r w:rsidRPr="00713D42">
              <w:rPr>
                <w:rFonts w:hAnsi="標楷體" w:cs="Arial"/>
                <w:spacing w:val="-20"/>
                <w:kern w:val="0"/>
                <w:sz w:val="18"/>
                <w:szCs w:val="18"/>
              </w:rPr>
              <w:t>312.0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95</w:t>
            </w:r>
            <w:r w:rsidRPr="00713D42">
              <w:rPr>
                <w:rFonts w:hAnsi="標楷體" w:cs="Arial" w:hint="eastAsia"/>
                <w:spacing w:val="-20"/>
                <w:kern w:val="0"/>
                <w:sz w:val="18"/>
                <w:szCs w:val="18"/>
              </w:rPr>
              <w:t>,</w:t>
            </w:r>
            <w:r w:rsidRPr="00713D42">
              <w:rPr>
                <w:rFonts w:hAnsi="標楷體" w:cs="Arial"/>
                <w:spacing w:val="-20"/>
                <w:kern w:val="0"/>
                <w:sz w:val="18"/>
                <w:szCs w:val="18"/>
              </w:rPr>
              <w:t>000.0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114</w:t>
            </w:r>
            <w:r w:rsidRPr="00713D42">
              <w:rPr>
                <w:rFonts w:hAnsi="標楷體" w:cs="Arial" w:hint="eastAsia"/>
                <w:spacing w:val="-20"/>
                <w:kern w:val="0"/>
                <w:sz w:val="18"/>
                <w:szCs w:val="18"/>
              </w:rPr>
              <w:t>,</w:t>
            </w:r>
            <w:r w:rsidRPr="00713D42">
              <w:rPr>
                <w:rFonts w:hAnsi="標楷體" w:cs="Arial"/>
                <w:spacing w:val="-20"/>
                <w:kern w:val="0"/>
                <w:sz w:val="18"/>
                <w:szCs w:val="18"/>
              </w:rPr>
              <w:t>734.0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123</w:t>
            </w:r>
            <w:r w:rsidRPr="00713D42">
              <w:rPr>
                <w:rFonts w:hAnsi="標楷體" w:cs="Arial" w:hint="eastAsia"/>
                <w:spacing w:val="-20"/>
                <w:kern w:val="0"/>
                <w:sz w:val="18"/>
                <w:szCs w:val="18"/>
              </w:rPr>
              <w:t>,</w:t>
            </w:r>
            <w:r w:rsidRPr="00713D42">
              <w:rPr>
                <w:rFonts w:hAnsi="標楷體" w:cs="Arial"/>
                <w:spacing w:val="-20"/>
                <w:kern w:val="0"/>
                <w:sz w:val="18"/>
                <w:szCs w:val="18"/>
              </w:rPr>
              <w:t>985.0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121</w:t>
            </w:r>
            <w:r w:rsidRPr="00713D42">
              <w:rPr>
                <w:rFonts w:hAnsi="標楷體" w:cs="Arial" w:hint="eastAsia"/>
                <w:spacing w:val="-20"/>
                <w:kern w:val="0"/>
                <w:sz w:val="18"/>
                <w:szCs w:val="18"/>
              </w:rPr>
              <w:t>,</w:t>
            </w:r>
            <w:r w:rsidRPr="00713D42">
              <w:rPr>
                <w:rFonts w:hAnsi="標楷體" w:cs="Arial"/>
                <w:spacing w:val="-20"/>
                <w:kern w:val="0"/>
                <w:sz w:val="18"/>
                <w:szCs w:val="18"/>
              </w:rPr>
              <w:t>080.0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123</w:t>
            </w:r>
            <w:r w:rsidRPr="00713D42">
              <w:rPr>
                <w:rFonts w:hAnsi="標楷體" w:cs="Arial" w:hint="eastAsia"/>
                <w:spacing w:val="-20"/>
                <w:kern w:val="0"/>
                <w:sz w:val="18"/>
                <w:szCs w:val="18"/>
              </w:rPr>
              <w:t>,</w:t>
            </w:r>
            <w:r w:rsidRPr="00713D42">
              <w:rPr>
                <w:rFonts w:hAnsi="標楷體" w:cs="Arial"/>
                <w:spacing w:val="-20"/>
                <w:kern w:val="0"/>
                <w:sz w:val="18"/>
                <w:szCs w:val="18"/>
              </w:rPr>
              <w:t>911.0</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128</w:t>
            </w:r>
            <w:r w:rsidRPr="00713D42">
              <w:rPr>
                <w:rFonts w:hAnsi="標楷體" w:cs="Arial" w:hint="eastAsia"/>
                <w:spacing w:val="-20"/>
                <w:kern w:val="0"/>
                <w:sz w:val="18"/>
                <w:szCs w:val="18"/>
              </w:rPr>
              <w:t>,</w:t>
            </w:r>
            <w:r w:rsidRPr="00713D42">
              <w:rPr>
                <w:rFonts w:hAnsi="標楷體" w:cs="Arial"/>
                <w:spacing w:val="-20"/>
                <w:kern w:val="0"/>
                <w:sz w:val="18"/>
                <w:szCs w:val="18"/>
              </w:rPr>
              <w:t>500.0</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135</w:t>
            </w:r>
            <w:r w:rsidRPr="00713D42">
              <w:rPr>
                <w:rFonts w:hAnsi="標楷體" w:cs="Arial" w:hint="eastAsia"/>
                <w:spacing w:val="-20"/>
                <w:kern w:val="0"/>
                <w:sz w:val="18"/>
                <w:szCs w:val="18"/>
              </w:rPr>
              <w:t>,</w:t>
            </w:r>
            <w:r w:rsidRPr="00713D42">
              <w:rPr>
                <w:rFonts w:hAnsi="標楷體" w:cs="Arial"/>
                <w:spacing w:val="-20"/>
                <w:kern w:val="0"/>
                <w:sz w:val="18"/>
                <w:szCs w:val="18"/>
              </w:rPr>
              <w:t>610.0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愛爾蘭</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9F4774" w:rsidP="00713D42">
            <w:pPr>
              <w:widowControl/>
              <w:spacing w:line="300" w:lineRule="exact"/>
              <w:ind w:leftChars="-11" w:left="-13" w:hangingChars="15" w:hanging="25"/>
              <w:jc w:val="right"/>
              <w:rPr>
                <w:rFonts w:hAnsi="標楷體" w:cs="Arial"/>
                <w:spacing w:val="-20"/>
                <w:kern w:val="0"/>
                <w:sz w:val="18"/>
                <w:szCs w:val="18"/>
              </w:rPr>
            </w:pPr>
            <w:r>
              <w:rPr>
                <w:rFonts w:hAnsi="標楷體" w:cs="Arial"/>
                <w:spacing w:val="-20"/>
                <w:kern w:val="0"/>
                <w:sz w:val="18"/>
                <w:szCs w:val="18"/>
              </w:rPr>
              <w:t>-</w:t>
            </w:r>
            <w:r w:rsidR="00372CA7" w:rsidRPr="00713D42">
              <w:rPr>
                <w:rFonts w:hAnsi="標楷體" w:cs="Arial"/>
                <w:spacing w:val="-20"/>
                <w:kern w:val="0"/>
                <w:sz w:val="18"/>
                <w:szCs w:val="18"/>
              </w:rPr>
              <w:t>5</w:t>
            </w:r>
            <w:r w:rsidR="00372CA7" w:rsidRPr="00713D42">
              <w:rPr>
                <w:rFonts w:hAnsi="標楷體" w:cs="Arial" w:hint="eastAsia"/>
                <w:spacing w:val="-20"/>
                <w:kern w:val="0"/>
                <w:sz w:val="18"/>
                <w:szCs w:val="18"/>
              </w:rPr>
              <w:t>,</w:t>
            </w:r>
            <w:r w:rsidR="00372CA7" w:rsidRPr="00713D42">
              <w:rPr>
                <w:rFonts w:hAnsi="標楷體" w:cs="Arial"/>
                <w:spacing w:val="-20"/>
                <w:kern w:val="0"/>
                <w:sz w:val="18"/>
                <w:szCs w:val="18"/>
              </w:rPr>
              <w:t>542.3</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24</w:t>
            </w:r>
            <w:r w:rsidRPr="00713D42">
              <w:rPr>
                <w:rFonts w:hAnsi="標楷體" w:cs="Arial" w:hint="eastAsia"/>
                <w:spacing w:val="-20"/>
                <w:kern w:val="0"/>
                <w:sz w:val="18"/>
                <w:szCs w:val="18"/>
              </w:rPr>
              <w:t>,</w:t>
            </w:r>
            <w:r w:rsidRPr="00713D42">
              <w:rPr>
                <w:rFonts w:hAnsi="標楷體" w:cs="Arial"/>
                <w:spacing w:val="-20"/>
                <w:kern w:val="0"/>
                <w:sz w:val="18"/>
                <w:szCs w:val="18"/>
              </w:rPr>
              <w:t>707.2</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hint="eastAsia"/>
                <w:spacing w:val="-20"/>
                <w:kern w:val="0"/>
                <w:sz w:val="18"/>
                <w:szCs w:val="18"/>
              </w:rPr>
              <w:t>-</w:t>
            </w:r>
            <w:r w:rsidRPr="00713D42">
              <w:rPr>
                <w:rFonts w:hAnsi="標楷體" w:cs="Arial"/>
                <w:spacing w:val="-20"/>
                <w:kern w:val="0"/>
                <w:sz w:val="18"/>
                <w:szCs w:val="18"/>
              </w:rPr>
              <w:t>16</w:t>
            </w:r>
            <w:r w:rsidRPr="00713D42">
              <w:rPr>
                <w:rFonts w:hAnsi="標楷體" w:cs="Arial" w:hint="eastAsia"/>
                <w:spacing w:val="-20"/>
                <w:kern w:val="0"/>
                <w:sz w:val="18"/>
                <w:szCs w:val="18"/>
              </w:rPr>
              <w:t>,</w:t>
            </w:r>
            <w:r w:rsidRPr="00713D42">
              <w:rPr>
                <w:rFonts w:hAnsi="標楷體" w:cs="Arial"/>
                <w:spacing w:val="-20"/>
                <w:kern w:val="0"/>
                <w:sz w:val="18"/>
                <w:szCs w:val="18"/>
              </w:rPr>
              <w:t>452.9</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25</w:t>
            </w:r>
            <w:r w:rsidRPr="00713D42">
              <w:rPr>
                <w:rFonts w:hAnsi="標楷體" w:cs="Arial" w:hint="eastAsia"/>
                <w:spacing w:val="-20"/>
                <w:kern w:val="0"/>
                <w:sz w:val="18"/>
                <w:szCs w:val="18"/>
              </w:rPr>
              <w:t>,</w:t>
            </w:r>
            <w:r w:rsidRPr="00713D42">
              <w:rPr>
                <w:rFonts w:hAnsi="標楷體" w:cs="Arial"/>
                <w:spacing w:val="-20"/>
                <w:kern w:val="0"/>
                <w:sz w:val="18"/>
                <w:szCs w:val="18"/>
              </w:rPr>
              <w:t>715.3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42</w:t>
            </w:r>
            <w:r w:rsidRPr="00713D42">
              <w:rPr>
                <w:rFonts w:hAnsi="標楷體" w:cs="Arial" w:hint="eastAsia"/>
                <w:spacing w:val="-20"/>
                <w:kern w:val="0"/>
                <w:sz w:val="18"/>
                <w:szCs w:val="18"/>
              </w:rPr>
              <w:t>,</w:t>
            </w:r>
            <w:r w:rsidRPr="00713D42">
              <w:rPr>
                <w:rFonts w:hAnsi="標楷體" w:cs="Arial"/>
                <w:spacing w:val="-20"/>
                <w:kern w:val="0"/>
                <w:sz w:val="18"/>
                <w:szCs w:val="18"/>
              </w:rPr>
              <w:t>804.1</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23</w:t>
            </w:r>
            <w:r w:rsidRPr="00713D42">
              <w:rPr>
                <w:rFonts w:hAnsi="標楷體" w:cs="Arial" w:hint="eastAsia"/>
                <w:spacing w:val="-20"/>
                <w:kern w:val="0"/>
                <w:sz w:val="18"/>
                <w:szCs w:val="18"/>
              </w:rPr>
              <w:t>,</w:t>
            </w:r>
            <w:r w:rsidRPr="00713D42">
              <w:rPr>
                <w:rFonts w:hAnsi="標楷體" w:cs="Arial"/>
                <w:spacing w:val="-20"/>
                <w:kern w:val="0"/>
                <w:sz w:val="18"/>
                <w:szCs w:val="18"/>
              </w:rPr>
              <w:t>544.7</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45</w:t>
            </w:r>
            <w:r w:rsidRPr="00713D42">
              <w:rPr>
                <w:rFonts w:hAnsi="標楷體" w:cs="Arial" w:hint="eastAsia"/>
                <w:spacing w:val="-20"/>
                <w:kern w:val="0"/>
                <w:sz w:val="18"/>
                <w:szCs w:val="18"/>
              </w:rPr>
              <w:t>,</w:t>
            </w:r>
            <w:r w:rsidRPr="00713D42">
              <w:rPr>
                <w:rFonts w:hAnsi="標楷體" w:cs="Arial"/>
                <w:spacing w:val="-20"/>
                <w:kern w:val="0"/>
                <w:sz w:val="18"/>
                <w:szCs w:val="18"/>
              </w:rPr>
              <w:t>259.2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44</w:t>
            </w:r>
            <w:r w:rsidRPr="00713D42">
              <w:rPr>
                <w:rFonts w:hAnsi="標楷體" w:cs="Arial" w:hint="eastAsia"/>
                <w:spacing w:val="-20"/>
                <w:kern w:val="0"/>
                <w:sz w:val="18"/>
                <w:szCs w:val="18"/>
              </w:rPr>
              <w:t>,</w:t>
            </w:r>
            <w:r w:rsidRPr="00713D42">
              <w:rPr>
                <w:rFonts w:hAnsi="標楷體" w:cs="Arial"/>
                <w:spacing w:val="-20"/>
                <w:kern w:val="0"/>
                <w:sz w:val="18"/>
                <w:szCs w:val="18"/>
              </w:rPr>
              <w:t>898.9</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31</w:t>
            </w:r>
            <w:r w:rsidRPr="00713D42">
              <w:rPr>
                <w:rFonts w:hAnsi="標楷體" w:cs="Arial" w:hint="eastAsia"/>
                <w:spacing w:val="-20"/>
                <w:kern w:val="0"/>
                <w:sz w:val="18"/>
                <w:szCs w:val="18"/>
              </w:rPr>
              <w:t>,</w:t>
            </w:r>
            <w:r w:rsidRPr="00713D42">
              <w:rPr>
                <w:rFonts w:hAnsi="標楷體" w:cs="Arial"/>
                <w:spacing w:val="-20"/>
                <w:kern w:val="0"/>
                <w:sz w:val="18"/>
                <w:szCs w:val="18"/>
              </w:rPr>
              <w:t>134.4</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100</w:t>
            </w:r>
            <w:r w:rsidRPr="00713D42">
              <w:rPr>
                <w:rFonts w:hAnsi="標楷體" w:cs="Arial" w:hint="eastAsia"/>
                <w:spacing w:val="-20"/>
                <w:kern w:val="0"/>
                <w:sz w:val="18"/>
                <w:szCs w:val="18"/>
              </w:rPr>
              <w:t>,</w:t>
            </w:r>
            <w:r w:rsidRPr="00713D42">
              <w:rPr>
                <w:rFonts w:hAnsi="標楷體" w:cs="Arial"/>
                <w:spacing w:val="-20"/>
                <w:kern w:val="0"/>
                <w:sz w:val="18"/>
                <w:szCs w:val="18"/>
              </w:rPr>
              <w:t>542.4</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荷蘭</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13</w:t>
            </w:r>
            <w:r w:rsidRPr="00713D42">
              <w:rPr>
                <w:rFonts w:hAnsi="標楷體" w:cs="Arial" w:hint="eastAsia"/>
                <w:spacing w:val="-20"/>
                <w:kern w:val="0"/>
                <w:sz w:val="18"/>
                <w:szCs w:val="18"/>
              </w:rPr>
              <w:t>,</w:t>
            </w:r>
            <w:r w:rsidRPr="00713D42">
              <w:rPr>
                <w:rFonts w:hAnsi="標楷體" w:cs="Arial"/>
                <w:spacing w:val="-20"/>
                <w:kern w:val="0"/>
                <w:sz w:val="18"/>
                <w:szCs w:val="18"/>
              </w:rPr>
              <w:t>977.7</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119</w:t>
            </w:r>
            <w:r w:rsidRPr="00713D42">
              <w:rPr>
                <w:rFonts w:hAnsi="標楷體" w:cs="Arial" w:hint="eastAsia"/>
                <w:spacing w:val="-20"/>
                <w:kern w:val="0"/>
                <w:sz w:val="18"/>
                <w:szCs w:val="18"/>
              </w:rPr>
              <w:t>,</w:t>
            </w:r>
            <w:r w:rsidRPr="00713D42">
              <w:rPr>
                <w:rFonts w:hAnsi="標楷體" w:cs="Arial"/>
                <w:spacing w:val="-20"/>
                <w:kern w:val="0"/>
                <w:sz w:val="18"/>
                <w:szCs w:val="18"/>
              </w:rPr>
              <w:t>635.9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w:t>
            </w:r>
            <w:r w:rsidRPr="00713D42">
              <w:rPr>
                <w:rFonts w:hAnsi="標楷體" w:cs="Arial" w:hint="eastAsia"/>
                <w:spacing w:val="-20"/>
                <w:kern w:val="0"/>
                <w:sz w:val="18"/>
                <w:szCs w:val="18"/>
              </w:rPr>
              <w:t>,</w:t>
            </w:r>
            <w:r w:rsidRPr="00713D42">
              <w:rPr>
                <w:rFonts w:hAnsi="標楷體" w:cs="Arial"/>
                <w:spacing w:val="-20"/>
                <w:kern w:val="0"/>
                <w:sz w:val="18"/>
                <w:szCs w:val="18"/>
              </w:rPr>
              <w:t>776.5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38</w:t>
            </w:r>
            <w:r w:rsidRPr="00713D42">
              <w:rPr>
                <w:rFonts w:hAnsi="標楷體" w:cs="Arial" w:hint="eastAsia"/>
                <w:spacing w:val="-20"/>
                <w:kern w:val="0"/>
                <w:sz w:val="18"/>
                <w:szCs w:val="18"/>
              </w:rPr>
              <w:t>,</w:t>
            </w:r>
            <w:r w:rsidRPr="00713D42">
              <w:rPr>
                <w:rFonts w:hAnsi="標楷體" w:cs="Arial"/>
                <w:spacing w:val="-20"/>
                <w:kern w:val="0"/>
                <w:sz w:val="18"/>
                <w:szCs w:val="18"/>
              </w:rPr>
              <w:t>752.1</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9F4774" w:rsidP="00B10A4D">
            <w:pPr>
              <w:widowControl/>
              <w:spacing w:line="300" w:lineRule="exact"/>
              <w:jc w:val="right"/>
              <w:rPr>
                <w:rFonts w:hAnsi="標楷體" w:cs="Arial"/>
                <w:spacing w:val="-20"/>
                <w:kern w:val="0"/>
                <w:sz w:val="18"/>
                <w:szCs w:val="18"/>
              </w:rPr>
            </w:pPr>
            <w:r>
              <w:rPr>
                <w:rFonts w:hAnsi="標楷體" w:cs="Arial"/>
                <w:spacing w:val="-20"/>
                <w:kern w:val="0"/>
                <w:sz w:val="18"/>
                <w:szCs w:val="18"/>
              </w:rPr>
              <w:t>-</w:t>
            </w:r>
            <w:r w:rsidR="00372CA7" w:rsidRPr="00713D42">
              <w:rPr>
                <w:rFonts w:hAnsi="標楷體" w:cs="Arial"/>
                <w:spacing w:val="-20"/>
                <w:kern w:val="0"/>
                <w:sz w:val="18"/>
                <w:szCs w:val="18"/>
              </w:rPr>
              <w:t>7</w:t>
            </w:r>
            <w:r w:rsidR="00372CA7" w:rsidRPr="00713D42">
              <w:rPr>
                <w:rFonts w:hAnsi="標楷體" w:cs="Arial" w:hint="eastAsia"/>
                <w:spacing w:val="-20"/>
                <w:kern w:val="0"/>
                <w:sz w:val="18"/>
                <w:szCs w:val="18"/>
              </w:rPr>
              <w:t>,</w:t>
            </w:r>
            <w:r w:rsidR="00372CA7" w:rsidRPr="00713D42">
              <w:rPr>
                <w:rFonts w:hAnsi="標楷體" w:cs="Arial"/>
                <w:spacing w:val="-20"/>
                <w:kern w:val="0"/>
                <w:sz w:val="18"/>
                <w:szCs w:val="18"/>
              </w:rPr>
              <w:t>184.5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24</w:t>
            </w:r>
            <w:r w:rsidRPr="00713D42">
              <w:rPr>
                <w:rFonts w:hAnsi="標楷體" w:cs="Arial" w:hint="eastAsia"/>
                <w:spacing w:val="-20"/>
                <w:kern w:val="0"/>
                <w:sz w:val="18"/>
                <w:szCs w:val="18"/>
              </w:rPr>
              <w:t>,</w:t>
            </w:r>
            <w:r w:rsidRPr="00713D42">
              <w:rPr>
                <w:rFonts w:hAnsi="標楷體" w:cs="Arial"/>
                <w:spacing w:val="-20"/>
                <w:kern w:val="0"/>
                <w:sz w:val="18"/>
                <w:szCs w:val="18"/>
              </w:rPr>
              <w:t>368.5</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20</w:t>
            </w:r>
            <w:r w:rsidRPr="00713D42">
              <w:rPr>
                <w:rFonts w:hAnsi="標楷體" w:cs="Arial" w:hint="eastAsia"/>
                <w:spacing w:val="-20"/>
                <w:kern w:val="0"/>
                <w:sz w:val="18"/>
                <w:szCs w:val="18"/>
              </w:rPr>
              <w:t>,</w:t>
            </w:r>
            <w:r w:rsidRPr="00713D42">
              <w:rPr>
                <w:rFonts w:hAnsi="標楷體" w:cs="Arial"/>
                <w:spacing w:val="-20"/>
                <w:kern w:val="0"/>
                <w:sz w:val="18"/>
                <w:szCs w:val="18"/>
              </w:rPr>
              <w:t>114.2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51</w:t>
            </w:r>
            <w:r w:rsidRPr="00713D42">
              <w:rPr>
                <w:rFonts w:hAnsi="標楷體" w:cs="Arial" w:hint="eastAsia"/>
                <w:spacing w:val="-20"/>
                <w:kern w:val="0"/>
                <w:sz w:val="18"/>
                <w:szCs w:val="18"/>
              </w:rPr>
              <w:t>,</w:t>
            </w:r>
            <w:r w:rsidRPr="00713D42">
              <w:rPr>
                <w:rFonts w:hAnsi="標楷體" w:cs="Arial"/>
                <w:spacing w:val="-20"/>
                <w:kern w:val="0"/>
                <w:sz w:val="18"/>
                <w:szCs w:val="18"/>
              </w:rPr>
              <w:t>374.5</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52</w:t>
            </w:r>
            <w:r w:rsidRPr="00713D42">
              <w:rPr>
                <w:rFonts w:hAnsi="標楷體" w:cs="Arial" w:hint="eastAsia"/>
                <w:spacing w:val="-20"/>
                <w:kern w:val="0"/>
                <w:sz w:val="18"/>
                <w:szCs w:val="18"/>
              </w:rPr>
              <w:t>,</w:t>
            </w:r>
            <w:r w:rsidRPr="00713D42">
              <w:rPr>
                <w:rFonts w:hAnsi="標楷體" w:cs="Arial"/>
                <w:spacing w:val="-20"/>
                <w:kern w:val="0"/>
                <w:sz w:val="18"/>
                <w:szCs w:val="18"/>
              </w:rPr>
              <w:t>198.3</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72</w:t>
            </w:r>
            <w:r w:rsidRPr="00713D42">
              <w:rPr>
                <w:rFonts w:hAnsi="標楷體" w:cs="Arial" w:hint="eastAsia"/>
                <w:spacing w:val="-20"/>
                <w:kern w:val="0"/>
                <w:sz w:val="18"/>
                <w:szCs w:val="18"/>
              </w:rPr>
              <w:t>,</w:t>
            </w:r>
            <w:r w:rsidRPr="00713D42">
              <w:rPr>
                <w:rFonts w:hAnsi="標楷體" w:cs="Arial"/>
                <w:spacing w:val="-20"/>
                <w:kern w:val="0"/>
                <w:sz w:val="18"/>
                <w:szCs w:val="18"/>
              </w:rPr>
              <w:t>648.8</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瑞士</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43</w:t>
            </w:r>
            <w:r w:rsidRPr="00713D42">
              <w:rPr>
                <w:rFonts w:hAnsi="標楷體" w:cs="Arial" w:hint="eastAsia"/>
                <w:spacing w:val="-20"/>
                <w:kern w:val="0"/>
                <w:sz w:val="18"/>
                <w:szCs w:val="18"/>
              </w:rPr>
              <w:t>,</w:t>
            </w:r>
            <w:r w:rsidRPr="00713D42">
              <w:rPr>
                <w:rFonts w:hAnsi="標楷體" w:cs="Arial"/>
                <w:spacing w:val="-20"/>
                <w:kern w:val="0"/>
                <w:sz w:val="18"/>
                <w:szCs w:val="18"/>
              </w:rPr>
              <w:t>717.9</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32</w:t>
            </w:r>
            <w:r w:rsidRPr="00713D42">
              <w:rPr>
                <w:rFonts w:hAnsi="標楷體" w:cs="Arial" w:hint="eastAsia"/>
                <w:spacing w:val="-20"/>
                <w:kern w:val="0"/>
                <w:sz w:val="18"/>
                <w:szCs w:val="18"/>
              </w:rPr>
              <w:t>,</w:t>
            </w:r>
            <w:r w:rsidRPr="00713D42">
              <w:rPr>
                <w:rFonts w:hAnsi="標楷體" w:cs="Arial"/>
                <w:spacing w:val="-20"/>
                <w:kern w:val="0"/>
                <w:sz w:val="18"/>
                <w:szCs w:val="18"/>
              </w:rPr>
              <w:t>435.2</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15</w:t>
            </w:r>
            <w:r w:rsidRPr="00713D42">
              <w:rPr>
                <w:rFonts w:hAnsi="標楷體" w:cs="Arial" w:hint="eastAsia"/>
                <w:spacing w:val="-20"/>
                <w:kern w:val="0"/>
                <w:sz w:val="18"/>
                <w:szCs w:val="18"/>
              </w:rPr>
              <w:t>,</w:t>
            </w:r>
            <w:r w:rsidRPr="00713D42">
              <w:rPr>
                <w:rFonts w:hAnsi="標楷體" w:cs="Arial"/>
                <w:spacing w:val="-20"/>
                <w:kern w:val="0"/>
                <w:sz w:val="18"/>
                <w:szCs w:val="18"/>
              </w:rPr>
              <w:t>212.2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28</w:t>
            </w:r>
            <w:r w:rsidRPr="00713D42">
              <w:rPr>
                <w:rFonts w:hAnsi="標楷體" w:cs="Arial" w:hint="eastAsia"/>
                <w:spacing w:val="-20"/>
                <w:kern w:val="0"/>
                <w:sz w:val="18"/>
                <w:szCs w:val="18"/>
              </w:rPr>
              <w:t>,</w:t>
            </w:r>
            <w:r w:rsidRPr="00713D42">
              <w:rPr>
                <w:rFonts w:hAnsi="標楷體" w:cs="Arial"/>
                <w:spacing w:val="-20"/>
                <w:kern w:val="0"/>
                <w:sz w:val="18"/>
                <w:szCs w:val="18"/>
              </w:rPr>
              <w:t>891.0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28</w:t>
            </w:r>
            <w:r w:rsidRPr="00713D42">
              <w:rPr>
                <w:rFonts w:hAnsi="標楷體" w:cs="Arial" w:hint="eastAsia"/>
                <w:spacing w:val="-20"/>
                <w:kern w:val="0"/>
                <w:sz w:val="18"/>
                <w:szCs w:val="18"/>
              </w:rPr>
              <w:t>,</w:t>
            </w:r>
            <w:r w:rsidRPr="00713D42">
              <w:rPr>
                <w:rFonts w:hAnsi="標楷體" w:cs="Arial"/>
                <w:spacing w:val="-20"/>
                <w:kern w:val="0"/>
                <w:sz w:val="18"/>
                <w:szCs w:val="18"/>
              </w:rPr>
              <w:t>744.2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28</w:t>
            </w:r>
            <w:r w:rsidRPr="00713D42">
              <w:rPr>
                <w:rFonts w:hAnsi="標楷體" w:cs="Arial" w:hint="eastAsia"/>
                <w:spacing w:val="-20"/>
                <w:kern w:val="0"/>
                <w:sz w:val="18"/>
                <w:szCs w:val="18"/>
              </w:rPr>
              <w:t>,</w:t>
            </w:r>
            <w:r w:rsidRPr="00713D42">
              <w:rPr>
                <w:rFonts w:hAnsi="標楷體" w:cs="Arial"/>
                <w:spacing w:val="-20"/>
                <w:kern w:val="0"/>
                <w:sz w:val="18"/>
                <w:szCs w:val="18"/>
              </w:rPr>
              <w:t>309.1</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15</w:t>
            </w:r>
            <w:r w:rsidRPr="00713D42">
              <w:rPr>
                <w:rFonts w:hAnsi="標楷體" w:cs="Arial" w:hint="eastAsia"/>
                <w:spacing w:val="-20"/>
                <w:kern w:val="0"/>
                <w:sz w:val="18"/>
                <w:szCs w:val="18"/>
              </w:rPr>
              <w:t>,</w:t>
            </w:r>
            <w:r w:rsidRPr="00713D42">
              <w:rPr>
                <w:rFonts w:hAnsi="標楷體" w:cs="Arial"/>
                <w:spacing w:val="-20"/>
                <w:kern w:val="0"/>
                <w:sz w:val="18"/>
                <w:szCs w:val="18"/>
              </w:rPr>
              <w:t>988.9</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646.2</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w:t>
            </w:r>
            <w:r w:rsidRPr="00713D42">
              <w:rPr>
                <w:rFonts w:hAnsi="標楷體" w:cs="Arial" w:hint="eastAsia"/>
                <w:spacing w:val="-20"/>
                <w:kern w:val="0"/>
                <w:sz w:val="18"/>
                <w:szCs w:val="18"/>
              </w:rPr>
              <w:t>,</w:t>
            </w:r>
            <w:r w:rsidRPr="00713D42">
              <w:rPr>
                <w:rFonts w:hAnsi="標楷體" w:cs="Arial"/>
                <w:spacing w:val="-20"/>
                <w:kern w:val="0"/>
                <w:sz w:val="18"/>
                <w:szCs w:val="18"/>
              </w:rPr>
              <w:t>635.2</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68</w:t>
            </w:r>
            <w:r w:rsidRPr="00713D42">
              <w:rPr>
                <w:rFonts w:hAnsi="標楷體" w:cs="Arial" w:hint="eastAsia"/>
                <w:spacing w:val="-20"/>
                <w:kern w:val="0"/>
                <w:sz w:val="18"/>
                <w:szCs w:val="18"/>
              </w:rPr>
              <w:t>,</w:t>
            </w:r>
            <w:r w:rsidRPr="00713D42">
              <w:rPr>
                <w:rFonts w:hAnsi="標楷體" w:cs="Arial"/>
                <w:spacing w:val="-20"/>
                <w:kern w:val="0"/>
                <w:sz w:val="18"/>
                <w:szCs w:val="18"/>
              </w:rPr>
              <w:t>838.0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新加坡</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36</w:t>
            </w:r>
            <w:r w:rsidRPr="00713D42">
              <w:rPr>
                <w:rFonts w:hAnsi="標楷體" w:cs="Arial" w:hint="eastAsia"/>
                <w:spacing w:val="-20"/>
                <w:kern w:val="0"/>
                <w:sz w:val="18"/>
                <w:szCs w:val="18"/>
              </w:rPr>
              <w:t>,</w:t>
            </w:r>
            <w:r w:rsidRPr="00713D42">
              <w:rPr>
                <w:rFonts w:hAnsi="標楷體" w:cs="Arial"/>
                <w:spacing w:val="-20"/>
                <w:kern w:val="0"/>
                <w:sz w:val="18"/>
                <w:szCs w:val="18"/>
              </w:rPr>
              <w:t>924.0</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47</w:t>
            </w:r>
            <w:r w:rsidRPr="00713D42">
              <w:rPr>
                <w:rFonts w:hAnsi="標楷體" w:cs="Arial" w:hint="eastAsia"/>
                <w:spacing w:val="-20"/>
                <w:kern w:val="0"/>
                <w:sz w:val="18"/>
                <w:szCs w:val="18"/>
              </w:rPr>
              <w:t>,</w:t>
            </w:r>
            <w:r w:rsidRPr="00713D42">
              <w:rPr>
                <w:rFonts w:hAnsi="標楷體" w:cs="Arial"/>
                <w:spacing w:val="-20"/>
                <w:kern w:val="0"/>
                <w:sz w:val="18"/>
                <w:szCs w:val="18"/>
              </w:rPr>
              <w:t>733.3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w:t>
            </w:r>
            <w:r w:rsidRPr="00713D42">
              <w:rPr>
                <w:rFonts w:hAnsi="標楷體" w:cs="Arial" w:hint="eastAsia"/>
                <w:spacing w:val="-20"/>
                <w:kern w:val="0"/>
                <w:sz w:val="18"/>
                <w:szCs w:val="18"/>
              </w:rPr>
              <w:t>,</w:t>
            </w:r>
            <w:r w:rsidRPr="00713D42">
              <w:rPr>
                <w:rFonts w:hAnsi="標楷體" w:cs="Arial"/>
                <w:spacing w:val="-20"/>
                <w:kern w:val="0"/>
                <w:sz w:val="18"/>
                <w:szCs w:val="18"/>
              </w:rPr>
              <w:t>200.7</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23</w:t>
            </w:r>
            <w:r w:rsidRPr="00713D42">
              <w:rPr>
                <w:rFonts w:hAnsi="標楷體" w:cs="Arial" w:hint="eastAsia"/>
                <w:spacing w:val="-20"/>
                <w:kern w:val="0"/>
                <w:sz w:val="18"/>
                <w:szCs w:val="18"/>
              </w:rPr>
              <w:t>,</w:t>
            </w:r>
            <w:r w:rsidRPr="00713D42">
              <w:rPr>
                <w:rFonts w:hAnsi="標楷體" w:cs="Arial"/>
                <w:spacing w:val="-20"/>
                <w:kern w:val="0"/>
                <w:sz w:val="18"/>
                <w:szCs w:val="18"/>
              </w:rPr>
              <w:t>821.3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55</w:t>
            </w:r>
            <w:r w:rsidRPr="00713D42">
              <w:rPr>
                <w:rFonts w:hAnsi="標楷體" w:cs="Arial" w:hint="eastAsia"/>
                <w:spacing w:val="-20"/>
                <w:kern w:val="0"/>
                <w:sz w:val="18"/>
                <w:szCs w:val="18"/>
              </w:rPr>
              <w:t>,</w:t>
            </w:r>
            <w:r w:rsidRPr="00713D42">
              <w:rPr>
                <w:rFonts w:hAnsi="標楷體" w:cs="Arial"/>
                <w:spacing w:val="-20"/>
                <w:kern w:val="0"/>
                <w:sz w:val="18"/>
                <w:szCs w:val="18"/>
              </w:rPr>
              <w:t>075.8</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48</w:t>
            </w:r>
            <w:r w:rsidRPr="00713D42">
              <w:rPr>
                <w:rFonts w:hAnsi="標楷體" w:cs="Arial" w:hint="eastAsia"/>
                <w:spacing w:val="-20"/>
                <w:kern w:val="0"/>
                <w:sz w:val="18"/>
                <w:szCs w:val="18"/>
              </w:rPr>
              <w:t>,</w:t>
            </w:r>
            <w:r w:rsidRPr="00713D42">
              <w:rPr>
                <w:rFonts w:hAnsi="標楷體" w:cs="Arial"/>
                <w:spacing w:val="-20"/>
                <w:kern w:val="0"/>
                <w:sz w:val="18"/>
                <w:szCs w:val="18"/>
              </w:rPr>
              <w:t>329.0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57</w:t>
            </w:r>
            <w:r w:rsidRPr="00713D42">
              <w:rPr>
                <w:rFonts w:hAnsi="標楷體" w:cs="Arial" w:hint="eastAsia"/>
                <w:spacing w:val="-20"/>
                <w:kern w:val="0"/>
                <w:sz w:val="18"/>
                <w:szCs w:val="18"/>
              </w:rPr>
              <w:t>,</w:t>
            </w:r>
            <w:r w:rsidRPr="00713D42">
              <w:rPr>
                <w:rFonts w:hAnsi="標楷體" w:cs="Arial"/>
                <w:spacing w:val="-20"/>
                <w:kern w:val="0"/>
                <w:sz w:val="18"/>
                <w:szCs w:val="18"/>
              </w:rPr>
              <w:t>149.8</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66</w:t>
            </w:r>
            <w:r w:rsidRPr="00713D42">
              <w:rPr>
                <w:rFonts w:hAnsi="標楷體" w:cs="Arial" w:hint="eastAsia"/>
                <w:spacing w:val="-20"/>
                <w:kern w:val="0"/>
                <w:sz w:val="18"/>
                <w:szCs w:val="18"/>
              </w:rPr>
              <w:t>,</w:t>
            </w:r>
            <w:r w:rsidRPr="00713D42">
              <w:rPr>
                <w:rFonts w:hAnsi="標楷體" w:cs="Arial"/>
                <w:spacing w:val="-20"/>
                <w:kern w:val="0"/>
                <w:sz w:val="18"/>
                <w:szCs w:val="18"/>
              </w:rPr>
              <w:t>066.9</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68</w:t>
            </w:r>
            <w:r w:rsidRPr="00713D42">
              <w:rPr>
                <w:rFonts w:hAnsi="標楷體" w:cs="Arial" w:hint="eastAsia"/>
                <w:spacing w:val="-20"/>
                <w:kern w:val="0"/>
                <w:sz w:val="18"/>
                <w:szCs w:val="18"/>
              </w:rPr>
              <w:t>,</w:t>
            </w:r>
            <w:r w:rsidRPr="00713D42">
              <w:rPr>
                <w:rFonts w:hAnsi="標楷體" w:cs="Arial"/>
                <w:spacing w:val="-20"/>
                <w:kern w:val="0"/>
                <w:sz w:val="18"/>
                <w:szCs w:val="18"/>
              </w:rPr>
              <w:t>495.6</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65</w:t>
            </w:r>
            <w:r w:rsidRPr="00713D42">
              <w:rPr>
                <w:rFonts w:hAnsi="標楷體" w:cs="Arial" w:hint="eastAsia"/>
                <w:spacing w:val="-20"/>
                <w:kern w:val="0"/>
                <w:sz w:val="18"/>
                <w:szCs w:val="18"/>
              </w:rPr>
              <w:t>,</w:t>
            </w:r>
            <w:r w:rsidRPr="00713D42">
              <w:rPr>
                <w:rFonts w:hAnsi="標楷體" w:cs="Arial"/>
                <w:spacing w:val="-20"/>
                <w:kern w:val="0"/>
                <w:sz w:val="18"/>
                <w:szCs w:val="18"/>
              </w:rPr>
              <w:t>262.4</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巴西</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18</w:t>
            </w:r>
            <w:r w:rsidRPr="00713D42">
              <w:rPr>
                <w:rFonts w:hAnsi="標楷體" w:cs="Arial" w:hint="eastAsia"/>
                <w:spacing w:val="-20"/>
                <w:kern w:val="0"/>
                <w:sz w:val="18"/>
                <w:szCs w:val="18"/>
              </w:rPr>
              <w:t>,</w:t>
            </w:r>
            <w:r w:rsidRPr="00713D42">
              <w:rPr>
                <w:rFonts w:hAnsi="標楷體" w:cs="Arial"/>
                <w:spacing w:val="-20"/>
                <w:kern w:val="0"/>
                <w:sz w:val="18"/>
                <w:szCs w:val="18"/>
              </w:rPr>
              <w:t>822.2</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34</w:t>
            </w:r>
            <w:r w:rsidRPr="00713D42">
              <w:rPr>
                <w:rFonts w:hAnsi="標楷體" w:cs="Arial" w:hint="eastAsia"/>
                <w:spacing w:val="-20"/>
                <w:kern w:val="0"/>
                <w:sz w:val="18"/>
                <w:szCs w:val="18"/>
              </w:rPr>
              <w:t>,</w:t>
            </w:r>
            <w:r w:rsidRPr="00713D42">
              <w:rPr>
                <w:rFonts w:hAnsi="標楷體" w:cs="Arial"/>
                <w:spacing w:val="-20"/>
                <w:kern w:val="0"/>
                <w:sz w:val="18"/>
                <w:szCs w:val="18"/>
              </w:rPr>
              <w:t>584.9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45</w:t>
            </w:r>
            <w:r w:rsidRPr="00713D42">
              <w:rPr>
                <w:rFonts w:hAnsi="標楷體" w:cs="Arial" w:hint="eastAsia"/>
                <w:spacing w:val="-20"/>
                <w:kern w:val="0"/>
                <w:sz w:val="18"/>
                <w:szCs w:val="18"/>
              </w:rPr>
              <w:t>,</w:t>
            </w:r>
            <w:r w:rsidRPr="00713D42">
              <w:rPr>
                <w:rFonts w:hAnsi="標楷體" w:cs="Arial"/>
                <w:spacing w:val="-20"/>
                <w:kern w:val="0"/>
                <w:sz w:val="18"/>
                <w:szCs w:val="18"/>
              </w:rPr>
              <w:t>058.2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25</w:t>
            </w:r>
            <w:r w:rsidRPr="00713D42">
              <w:rPr>
                <w:rFonts w:hAnsi="標楷體" w:cs="Arial" w:hint="eastAsia"/>
                <w:spacing w:val="-20"/>
                <w:kern w:val="0"/>
                <w:sz w:val="18"/>
                <w:szCs w:val="18"/>
              </w:rPr>
              <w:t>,</w:t>
            </w:r>
            <w:r w:rsidRPr="00713D42">
              <w:rPr>
                <w:rFonts w:hAnsi="標楷體" w:cs="Arial"/>
                <w:spacing w:val="-20"/>
                <w:kern w:val="0"/>
                <w:sz w:val="18"/>
                <w:szCs w:val="18"/>
              </w:rPr>
              <w:t>948.6</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83</w:t>
            </w:r>
            <w:r w:rsidRPr="00713D42">
              <w:rPr>
                <w:rFonts w:hAnsi="標楷體" w:cs="Arial" w:hint="eastAsia"/>
                <w:spacing w:val="-20"/>
                <w:kern w:val="0"/>
                <w:sz w:val="18"/>
                <w:szCs w:val="18"/>
              </w:rPr>
              <w:t>,</w:t>
            </w:r>
            <w:r w:rsidRPr="00713D42">
              <w:rPr>
                <w:rFonts w:hAnsi="標楷體" w:cs="Arial"/>
                <w:spacing w:val="-20"/>
                <w:kern w:val="0"/>
                <w:sz w:val="18"/>
                <w:szCs w:val="18"/>
              </w:rPr>
              <w:t>749.0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96</w:t>
            </w:r>
            <w:r w:rsidRPr="00713D42">
              <w:rPr>
                <w:rFonts w:hAnsi="標楷體" w:cs="Arial" w:hint="eastAsia"/>
                <w:spacing w:val="-20"/>
                <w:kern w:val="0"/>
                <w:sz w:val="18"/>
                <w:szCs w:val="18"/>
              </w:rPr>
              <w:t>,</w:t>
            </w:r>
            <w:r w:rsidRPr="00713D42">
              <w:rPr>
                <w:rFonts w:hAnsi="標楷體" w:cs="Arial"/>
                <w:spacing w:val="-20"/>
                <w:kern w:val="0"/>
                <w:sz w:val="18"/>
                <w:szCs w:val="18"/>
              </w:rPr>
              <w:t>152.4</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76</w:t>
            </w:r>
            <w:r w:rsidRPr="00713D42">
              <w:rPr>
                <w:rFonts w:hAnsi="標楷體" w:cs="Arial" w:hint="eastAsia"/>
                <w:spacing w:val="-20"/>
                <w:kern w:val="0"/>
                <w:sz w:val="18"/>
                <w:szCs w:val="18"/>
              </w:rPr>
              <w:t>,</w:t>
            </w:r>
            <w:r w:rsidRPr="00713D42">
              <w:rPr>
                <w:rFonts w:hAnsi="標楷體" w:cs="Arial"/>
                <w:spacing w:val="-20"/>
                <w:kern w:val="0"/>
                <w:sz w:val="18"/>
                <w:szCs w:val="18"/>
              </w:rPr>
              <w:t>098.0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53</w:t>
            </w:r>
            <w:r w:rsidRPr="00713D42">
              <w:rPr>
                <w:rFonts w:hAnsi="標楷體" w:cs="Arial" w:hint="eastAsia"/>
                <w:spacing w:val="-20"/>
                <w:kern w:val="0"/>
                <w:sz w:val="18"/>
                <w:szCs w:val="18"/>
              </w:rPr>
              <w:t>,</w:t>
            </w:r>
            <w:r w:rsidRPr="00713D42">
              <w:rPr>
                <w:rFonts w:hAnsi="標楷體" w:cs="Arial"/>
                <w:spacing w:val="-20"/>
                <w:kern w:val="0"/>
                <w:sz w:val="18"/>
                <w:szCs w:val="18"/>
              </w:rPr>
              <w:t>059.7</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73</w:t>
            </w:r>
            <w:r w:rsidRPr="00713D42">
              <w:rPr>
                <w:rFonts w:hAnsi="標楷體" w:cs="Arial" w:hint="eastAsia"/>
                <w:spacing w:val="-20"/>
                <w:kern w:val="0"/>
                <w:sz w:val="18"/>
                <w:szCs w:val="18"/>
              </w:rPr>
              <w:t>,</w:t>
            </w:r>
            <w:r w:rsidRPr="00713D42">
              <w:rPr>
                <w:rFonts w:hAnsi="標楷體" w:cs="Arial"/>
                <w:spacing w:val="-20"/>
                <w:kern w:val="0"/>
                <w:sz w:val="18"/>
                <w:szCs w:val="18"/>
              </w:rPr>
              <w:t>085.5</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64</w:t>
            </w:r>
            <w:r w:rsidRPr="00713D42">
              <w:rPr>
                <w:rFonts w:hAnsi="標楷體" w:cs="Arial" w:hint="eastAsia"/>
                <w:spacing w:val="-20"/>
                <w:kern w:val="0"/>
                <w:sz w:val="18"/>
                <w:szCs w:val="18"/>
              </w:rPr>
              <w:t>,</w:t>
            </w:r>
            <w:r w:rsidRPr="00713D42">
              <w:rPr>
                <w:rFonts w:hAnsi="標楷體" w:cs="Arial"/>
                <w:spacing w:val="-20"/>
                <w:kern w:val="0"/>
                <w:sz w:val="18"/>
                <w:szCs w:val="18"/>
              </w:rPr>
              <w:t>647.9</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維京群島</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12</w:t>
            </w:r>
            <w:r w:rsidRPr="00713D42">
              <w:rPr>
                <w:rFonts w:hAnsi="標楷體" w:cs="Arial" w:hint="eastAsia"/>
                <w:spacing w:val="-20"/>
                <w:kern w:val="0"/>
                <w:sz w:val="18"/>
                <w:szCs w:val="18"/>
              </w:rPr>
              <w:t>,</w:t>
            </w:r>
            <w:r w:rsidRPr="00713D42">
              <w:rPr>
                <w:rFonts w:hAnsi="標楷體" w:cs="Arial"/>
                <w:spacing w:val="-20"/>
                <w:kern w:val="0"/>
                <w:sz w:val="18"/>
                <w:szCs w:val="18"/>
              </w:rPr>
              <w:t>014.7</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37</w:t>
            </w:r>
            <w:r w:rsidRPr="00713D42">
              <w:rPr>
                <w:rFonts w:hAnsi="標楷體" w:cs="Arial" w:hint="eastAsia"/>
                <w:spacing w:val="-20"/>
                <w:kern w:val="0"/>
                <w:sz w:val="18"/>
                <w:szCs w:val="18"/>
              </w:rPr>
              <w:t>,</w:t>
            </w:r>
            <w:r w:rsidRPr="00713D42">
              <w:rPr>
                <w:rFonts w:hAnsi="標楷體" w:cs="Arial"/>
                <w:spacing w:val="-20"/>
                <w:kern w:val="0"/>
                <w:sz w:val="18"/>
                <w:szCs w:val="18"/>
              </w:rPr>
              <w:t>139.5</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52</w:t>
            </w:r>
            <w:r w:rsidRPr="00713D42">
              <w:rPr>
                <w:rFonts w:hAnsi="標楷體" w:cs="Arial" w:hint="eastAsia"/>
                <w:spacing w:val="-20"/>
                <w:kern w:val="0"/>
                <w:sz w:val="18"/>
                <w:szCs w:val="18"/>
              </w:rPr>
              <w:t>,</w:t>
            </w:r>
            <w:r w:rsidRPr="00713D42">
              <w:rPr>
                <w:rFonts w:hAnsi="標楷體" w:cs="Arial"/>
                <w:spacing w:val="-20"/>
                <w:kern w:val="0"/>
                <w:sz w:val="18"/>
                <w:szCs w:val="18"/>
              </w:rPr>
              <w:t>582.7</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41</w:t>
            </w:r>
            <w:r w:rsidRPr="00713D42">
              <w:rPr>
                <w:rFonts w:hAnsi="標楷體" w:cs="Arial" w:hint="eastAsia"/>
                <w:spacing w:val="-20"/>
                <w:kern w:val="0"/>
                <w:sz w:val="18"/>
                <w:szCs w:val="18"/>
              </w:rPr>
              <w:t>,</w:t>
            </w:r>
            <w:r w:rsidRPr="00713D42">
              <w:rPr>
                <w:rFonts w:hAnsi="標楷體" w:cs="Arial"/>
                <w:spacing w:val="-20"/>
                <w:kern w:val="0"/>
                <w:sz w:val="18"/>
                <w:szCs w:val="18"/>
              </w:rPr>
              <w:t>590.1</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51</w:t>
            </w:r>
            <w:r w:rsidRPr="00713D42">
              <w:rPr>
                <w:rFonts w:hAnsi="標楷體" w:cs="Arial" w:hint="eastAsia"/>
                <w:spacing w:val="-20"/>
                <w:kern w:val="0"/>
                <w:sz w:val="18"/>
                <w:szCs w:val="18"/>
              </w:rPr>
              <w:t>,</w:t>
            </w:r>
            <w:r w:rsidRPr="00713D42">
              <w:rPr>
                <w:rFonts w:hAnsi="標楷體" w:cs="Arial"/>
                <w:spacing w:val="-20"/>
                <w:kern w:val="0"/>
                <w:sz w:val="18"/>
                <w:szCs w:val="18"/>
              </w:rPr>
              <w:t>225.9</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57</w:t>
            </w:r>
            <w:r w:rsidRPr="00713D42">
              <w:rPr>
                <w:rFonts w:hAnsi="標楷體" w:cs="Arial" w:hint="eastAsia"/>
                <w:spacing w:val="-20"/>
                <w:kern w:val="0"/>
                <w:sz w:val="18"/>
                <w:szCs w:val="18"/>
              </w:rPr>
              <w:t>,</w:t>
            </w:r>
            <w:r w:rsidRPr="00713D42">
              <w:rPr>
                <w:rFonts w:hAnsi="標楷體" w:cs="Arial"/>
                <w:spacing w:val="-20"/>
                <w:kern w:val="0"/>
                <w:sz w:val="18"/>
                <w:szCs w:val="18"/>
              </w:rPr>
              <w:t>575.8</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74</w:t>
            </w:r>
            <w:r w:rsidRPr="00713D42">
              <w:rPr>
                <w:rFonts w:hAnsi="標楷體" w:cs="Arial" w:hint="eastAsia"/>
                <w:spacing w:val="-20"/>
                <w:kern w:val="0"/>
                <w:sz w:val="18"/>
                <w:szCs w:val="18"/>
              </w:rPr>
              <w:t>,</w:t>
            </w:r>
            <w:r w:rsidRPr="00713D42">
              <w:rPr>
                <w:rFonts w:hAnsi="標楷體" w:cs="Arial"/>
                <w:spacing w:val="-20"/>
                <w:kern w:val="0"/>
                <w:sz w:val="18"/>
                <w:szCs w:val="18"/>
              </w:rPr>
              <w:t>501.7</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112</w:t>
            </w:r>
            <w:r w:rsidRPr="00713D42">
              <w:rPr>
                <w:rFonts w:hAnsi="標楷體" w:cs="Arial" w:hint="eastAsia"/>
                <w:spacing w:val="-20"/>
                <w:kern w:val="0"/>
                <w:sz w:val="18"/>
                <w:szCs w:val="18"/>
              </w:rPr>
              <w:t>,</w:t>
            </w:r>
            <w:r w:rsidRPr="00713D42">
              <w:rPr>
                <w:rFonts w:hAnsi="標楷體" w:cs="Arial"/>
                <w:spacing w:val="-20"/>
                <w:kern w:val="0"/>
                <w:sz w:val="18"/>
                <w:szCs w:val="18"/>
              </w:rPr>
              <w:t>127.9</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49</w:t>
            </w:r>
            <w:r w:rsidRPr="00713D42">
              <w:rPr>
                <w:rFonts w:hAnsi="標楷體" w:cs="Arial" w:hint="eastAsia"/>
                <w:spacing w:val="-20"/>
                <w:kern w:val="0"/>
                <w:sz w:val="18"/>
                <w:szCs w:val="18"/>
              </w:rPr>
              <w:t>,</w:t>
            </w:r>
            <w:r w:rsidRPr="00713D42">
              <w:rPr>
                <w:rFonts w:hAnsi="標楷體" w:cs="Arial"/>
                <w:spacing w:val="-20"/>
                <w:kern w:val="0"/>
                <w:sz w:val="18"/>
                <w:szCs w:val="18"/>
              </w:rPr>
              <w:t>985.7</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51</w:t>
            </w:r>
            <w:r w:rsidRPr="00713D42">
              <w:rPr>
                <w:rFonts w:hAnsi="標楷體" w:cs="Arial" w:hint="eastAsia"/>
                <w:spacing w:val="-20"/>
                <w:kern w:val="0"/>
                <w:sz w:val="18"/>
                <w:szCs w:val="18"/>
              </w:rPr>
              <w:t>,</w:t>
            </w:r>
            <w:r w:rsidRPr="00713D42">
              <w:rPr>
                <w:rFonts w:hAnsi="標楷體" w:cs="Arial"/>
                <w:spacing w:val="-20"/>
                <w:kern w:val="0"/>
                <w:sz w:val="18"/>
                <w:szCs w:val="18"/>
              </w:rPr>
              <w:t>605.7</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加拿大</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60</w:t>
            </w:r>
            <w:r w:rsidRPr="00713D42">
              <w:rPr>
                <w:rFonts w:hAnsi="標楷體" w:cs="Arial" w:hint="eastAsia"/>
                <w:spacing w:val="-20"/>
                <w:kern w:val="0"/>
                <w:sz w:val="18"/>
                <w:szCs w:val="18"/>
              </w:rPr>
              <w:t>,</w:t>
            </w:r>
            <w:r w:rsidRPr="00713D42">
              <w:rPr>
                <w:rFonts w:hAnsi="標楷體" w:cs="Arial"/>
                <w:spacing w:val="-20"/>
                <w:kern w:val="0"/>
                <w:sz w:val="18"/>
                <w:szCs w:val="18"/>
              </w:rPr>
              <w:t>293.9</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116</w:t>
            </w:r>
            <w:r w:rsidRPr="00713D42">
              <w:rPr>
                <w:rFonts w:hAnsi="標楷體" w:cs="Arial" w:hint="eastAsia"/>
                <w:spacing w:val="-20"/>
                <w:kern w:val="0"/>
                <w:sz w:val="18"/>
                <w:szCs w:val="18"/>
              </w:rPr>
              <w:t>,</w:t>
            </w:r>
            <w:r w:rsidRPr="00713D42">
              <w:rPr>
                <w:rFonts w:hAnsi="標楷體" w:cs="Arial"/>
                <w:spacing w:val="-20"/>
                <w:kern w:val="0"/>
                <w:sz w:val="18"/>
                <w:szCs w:val="18"/>
              </w:rPr>
              <w:t>820.6</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61</w:t>
            </w:r>
            <w:r w:rsidRPr="00713D42">
              <w:rPr>
                <w:rFonts w:hAnsi="標楷體" w:cs="Arial" w:hint="eastAsia"/>
                <w:spacing w:val="-20"/>
                <w:kern w:val="0"/>
                <w:sz w:val="18"/>
                <w:szCs w:val="18"/>
              </w:rPr>
              <w:t>,</w:t>
            </w:r>
            <w:r w:rsidRPr="00713D42">
              <w:rPr>
                <w:rFonts w:hAnsi="標楷體" w:cs="Arial"/>
                <w:spacing w:val="-20"/>
                <w:kern w:val="0"/>
                <w:sz w:val="18"/>
                <w:szCs w:val="18"/>
              </w:rPr>
              <w:t>552.5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22</w:t>
            </w:r>
            <w:r w:rsidRPr="00713D42">
              <w:rPr>
                <w:rFonts w:hAnsi="標楷體" w:cs="Arial" w:hint="eastAsia"/>
                <w:spacing w:val="-20"/>
                <w:kern w:val="0"/>
                <w:sz w:val="18"/>
                <w:szCs w:val="18"/>
              </w:rPr>
              <w:t>,</w:t>
            </w:r>
            <w:r w:rsidRPr="00713D42">
              <w:rPr>
                <w:rFonts w:hAnsi="標楷體" w:cs="Arial"/>
                <w:spacing w:val="-20"/>
                <w:kern w:val="0"/>
                <w:sz w:val="18"/>
                <w:szCs w:val="18"/>
              </w:rPr>
              <w:t>699.7</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28</w:t>
            </w:r>
            <w:r w:rsidRPr="00713D42">
              <w:rPr>
                <w:rFonts w:hAnsi="標楷體" w:cs="Arial" w:hint="eastAsia"/>
                <w:spacing w:val="-20"/>
                <w:kern w:val="0"/>
                <w:sz w:val="18"/>
                <w:szCs w:val="18"/>
              </w:rPr>
              <w:t>,</w:t>
            </w:r>
            <w:r w:rsidRPr="00713D42">
              <w:rPr>
                <w:rFonts w:hAnsi="標楷體" w:cs="Arial"/>
                <w:spacing w:val="-20"/>
                <w:kern w:val="0"/>
                <w:sz w:val="18"/>
                <w:szCs w:val="18"/>
              </w:rPr>
              <w:t>400.4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39</w:t>
            </w:r>
            <w:r w:rsidRPr="00713D42">
              <w:rPr>
                <w:rFonts w:hAnsi="標楷體" w:cs="Arial" w:hint="eastAsia"/>
                <w:spacing w:val="-20"/>
                <w:kern w:val="0"/>
                <w:sz w:val="18"/>
                <w:szCs w:val="18"/>
              </w:rPr>
              <w:t>,</w:t>
            </w:r>
            <w:r w:rsidRPr="00713D42">
              <w:rPr>
                <w:rFonts w:hAnsi="標楷體" w:cs="Arial"/>
                <w:spacing w:val="-20"/>
                <w:kern w:val="0"/>
                <w:sz w:val="18"/>
                <w:szCs w:val="18"/>
              </w:rPr>
              <w:t>669.3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43</w:t>
            </w:r>
            <w:r w:rsidRPr="00713D42">
              <w:rPr>
                <w:rFonts w:hAnsi="標楷體" w:cs="Arial" w:hint="eastAsia"/>
                <w:spacing w:val="-20"/>
                <w:kern w:val="0"/>
                <w:sz w:val="18"/>
                <w:szCs w:val="18"/>
              </w:rPr>
              <w:t>,</w:t>
            </w:r>
            <w:r w:rsidRPr="00713D42">
              <w:rPr>
                <w:rFonts w:hAnsi="標楷體" w:cs="Arial"/>
                <w:spacing w:val="-20"/>
                <w:kern w:val="0"/>
                <w:sz w:val="18"/>
                <w:szCs w:val="18"/>
              </w:rPr>
              <w:t>111.0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71</w:t>
            </w:r>
            <w:r w:rsidRPr="00713D42">
              <w:rPr>
                <w:rFonts w:hAnsi="標楷體" w:cs="Arial" w:hint="eastAsia"/>
                <w:spacing w:val="-20"/>
                <w:kern w:val="0"/>
                <w:sz w:val="18"/>
                <w:szCs w:val="18"/>
              </w:rPr>
              <w:t>,</w:t>
            </w:r>
            <w:r w:rsidRPr="00713D42">
              <w:rPr>
                <w:rFonts w:hAnsi="標楷體" w:cs="Arial"/>
                <w:spacing w:val="-20"/>
                <w:kern w:val="0"/>
                <w:sz w:val="18"/>
                <w:szCs w:val="18"/>
              </w:rPr>
              <w:t>752.8</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58</w:t>
            </w:r>
            <w:r w:rsidRPr="00713D42">
              <w:rPr>
                <w:rFonts w:hAnsi="標楷體" w:cs="Arial" w:hint="eastAsia"/>
                <w:spacing w:val="-20"/>
                <w:kern w:val="0"/>
                <w:sz w:val="18"/>
                <w:szCs w:val="18"/>
              </w:rPr>
              <w:t>,</w:t>
            </w:r>
            <w:r w:rsidRPr="00713D42">
              <w:rPr>
                <w:rFonts w:hAnsi="標楷體" w:cs="Arial"/>
                <w:spacing w:val="-20"/>
                <w:kern w:val="0"/>
                <w:sz w:val="18"/>
                <w:szCs w:val="18"/>
              </w:rPr>
              <w:t>506.5</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48</w:t>
            </w:r>
            <w:r w:rsidRPr="00713D42">
              <w:rPr>
                <w:rFonts w:hAnsi="標楷體" w:cs="Arial" w:hint="eastAsia"/>
                <w:spacing w:val="-20"/>
                <w:kern w:val="0"/>
                <w:sz w:val="18"/>
                <w:szCs w:val="18"/>
              </w:rPr>
              <w:t>,</w:t>
            </w:r>
            <w:r w:rsidRPr="00713D42">
              <w:rPr>
                <w:rFonts w:hAnsi="標楷體" w:cs="Arial"/>
                <w:spacing w:val="-20"/>
                <w:kern w:val="0"/>
                <w:sz w:val="18"/>
                <w:szCs w:val="18"/>
              </w:rPr>
              <w:t>642.8</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印度</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20</w:t>
            </w:r>
            <w:r w:rsidRPr="00713D42">
              <w:rPr>
                <w:rFonts w:hAnsi="標楷體" w:cs="Arial" w:hint="eastAsia"/>
                <w:spacing w:val="-20"/>
                <w:kern w:val="0"/>
                <w:sz w:val="18"/>
                <w:szCs w:val="18"/>
              </w:rPr>
              <w:t>,</w:t>
            </w:r>
            <w:r w:rsidRPr="00713D42">
              <w:rPr>
                <w:rFonts w:hAnsi="標楷體" w:cs="Arial"/>
                <w:spacing w:val="-20"/>
                <w:kern w:val="0"/>
                <w:sz w:val="18"/>
                <w:szCs w:val="18"/>
              </w:rPr>
              <w:t>327.8</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25</w:t>
            </w:r>
            <w:r w:rsidRPr="00713D42">
              <w:rPr>
                <w:rFonts w:hAnsi="標楷體" w:cs="Arial" w:hint="eastAsia"/>
                <w:spacing w:val="-20"/>
                <w:kern w:val="0"/>
                <w:sz w:val="18"/>
                <w:szCs w:val="18"/>
              </w:rPr>
              <w:t>,</w:t>
            </w:r>
            <w:r w:rsidRPr="00713D42">
              <w:rPr>
                <w:rFonts w:hAnsi="標楷體" w:cs="Arial"/>
                <w:spacing w:val="-20"/>
                <w:kern w:val="0"/>
                <w:sz w:val="18"/>
                <w:szCs w:val="18"/>
              </w:rPr>
              <w:t>349.9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47</w:t>
            </w:r>
            <w:r w:rsidRPr="00713D42">
              <w:rPr>
                <w:rFonts w:hAnsi="標楷體" w:cs="Arial" w:hint="eastAsia"/>
                <w:spacing w:val="-20"/>
                <w:kern w:val="0"/>
                <w:sz w:val="18"/>
                <w:szCs w:val="18"/>
              </w:rPr>
              <w:t>,</w:t>
            </w:r>
            <w:r w:rsidRPr="00713D42">
              <w:rPr>
                <w:rFonts w:hAnsi="標楷體" w:cs="Arial"/>
                <w:spacing w:val="-20"/>
                <w:kern w:val="0"/>
                <w:sz w:val="18"/>
                <w:szCs w:val="18"/>
              </w:rPr>
              <w:t>102.4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35</w:t>
            </w:r>
            <w:r w:rsidRPr="00713D42">
              <w:rPr>
                <w:rFonts w:hAnsi="標楷體" w:cs="Arial" w:hint="eastAsia"/>
                <w:spacing w:val="-20"/>
                <w:kern w:val="0"/>
                <w:sz w:val="18"/>
                <w:szCs w:val="18"/>
              </w:rPr>
              <w:t>,</w:t>
            </w:r>
            <w:r w:rsidRPr="00713D42">
              <w:rPr>
                <w:rFonts w:hAnsi="標楷體" w:cs="Arial"/>
                <w:spacing w:val="-20"/>
                <w:kern w:val="0"/>
                <w:sz w:val="18"/>
                <w:szCs w:val="18"/>
              </w:rPr>
              <w:t>633.9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27</w:t>
            </w:r>
            <w:r w:rsidRPr="00713D42">
              <w:rPr>
                <w:rFonts w:hAnsi="標楷體" w:cs="Arial" w:hint="eastAsia"/>
                <w:spacing w:val="-20"/>
                <w:kern w:val="0"/>
                <w:sz w:val="18"/>
                <w:szCs w:val="18"/>
              </w:rPr>
              <w:t>,</w:t>
            </w:r>
            <w:r w:rsidRPr="00713D42">
              <w:rPr>
                <w:rFonts w:hAnsi="標楷體" w:cs="Arial"/>
                <w:spacing w:val="-20"/>
                <w:kern w:val="0"/>
                <w:sz w:val="18"/>
                <w:szCs w:val="18"/>
              </w:rPr>
              <w:t>417.1</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36</w:t>
            </w:r>
            <w:r w:rsidRPr="00713D42">
              <w:rPr>
                <w:rFonts w:hAnsi="標楷體" w:cs="Arial" w:hint="eastAsia"/>
                <w:spacing w:val="-20"/>
                <w:kern w:val="0"/>
                <w:sz w:val="18"/>
                <w:szCs w:val="18"/>
              </w:rPr>
              <w:t>,</w:t>
            </w:r>
            <w:r w:rsidRPr="00713D42">
              <w:rPr>
                <w:rFonts w:hAnsi="標楷體" w:cs="Arial"/>
                <w:spacing w:val="-20"/>
                <w:kern w:val="0"/>
                <w:sz w:val="18"/>
                <w:szCs w:val="18"/>
              </w:rPr>
              <w:t>190.5</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24</w:t>
            </w:r>
            <w:r w:rsidRPr="00713D42">
              <w:rPr>
                <w:rFonts w:hAnsi="標楷體" w:cs="Arial" w:hint="eastAsia"/>
                <w:spacing w:val="-20"/>
                <w:kern w:val="0"/>
                <w:sz w:val="18"/>
                <w:szCs w:val="18"/>
              </w:rPr>
              <w:t>,</w:t>
            </w:r>
            <w:r w:rsidRPr="00713D42">
              <w:rPr>
                <w:rFonts w:hAnsi="標楷體" w:cs="Arial"/>
                <w:spacing w:val="-20"/>
                <w:kern w:val="0"/>
                <w:sz w:val="18"/>
                <w:szCs w:val="18"/>
              </w:rPr>
              <w:t>195.8</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28</w:t>
            </w:r>
            <w:r w:rsidRPr="00713D42">
              <w:rPr>
                <w:rFonts w:hAnsi="標楷體" w:cs="Arial" w:hint="eastAsia"/>
                <w:spacing w:val="-20"/>
                <w:kern w:val="0"/>
                <w:sz w:val="18"/>
                <w:szCs w:val="18"/>
              </w:rPr>
              <w:t>,</w:t>
            </w:r>
            <w:r w:rsidRPr="00713D42">
              <w:rPr>
                <w:rFonts w:hAnsi="標楷體" w:cs="Arial"/>
                <w:spacing w:val="-20"/>
                <w:kern w:val="0"/>
                <w:sz w:val="18"/>
                <w:szCs w:val="18"/>
              </w:rPr>
              <w:t>199.4</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34</w:t>
            </w:r>
            <w:r w:rsidRPr="00713D42">
              <w:rPr>
                <w:rFonts w:hAnsi="標楷體" w:cs="Arial" w:hint="eastAsia"/>
                <w:spacing w:val="-20"/>
                <w:kern w:val="0"/>
                <w:sz w:val="18"/>
                <w:szCs w:val="18"/>
              </w:rPr>
              <w:t>,</w:t>
            </w:r>
            <w:r w:rsidRPr="00713D42">
              <w:rPr>
                <w:rFonts w:hAnsi="標楷體" w:cs="Arial"/>
                <w:spacing w:val="-20"/>
                <w:kern w:val="0"/>
                <w:sz w:val="18"/>
                <w:szCs w:val="18"/>
              </w:rPr>
              <w:t>582.1</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44</w:t>
            </w:r>
            <w:r w:rsidRPr="00713D42">
              <w:rPr>
                <w:rFonts w:hAnsi="標楷體" w:cs="Arial" w:hint="eastAsia"/>
                <w:spacing w:val="-20"/>
                <w:kern w:val="0"/>
                <w:sz w:val="18"/>
                <w:szCs w:val="18"/>
              </w:rPr>
              <w:t>,</w:t>
            </w:r>
            <w:r w:rsidRPr="00713D42">
              <w:rPr>
                <w:rFonts w:hAnsi="標楷體" w:cs="Arial"/>
                <w:spacing w:val="-20"/>
                <w:kern w:val="0"/>
                <w:sz w:val="18"/>
                <w:szCs w:val="18"/>
              </w:rPr>
              <w:t>208.0</w:t>
            </w:r>
          </w:p>
        </w:tc>
      </w:tr>
      <w:tr w:rsidR="00713D42" w:rsidRPr="00713D42" w:rsidTr="009D24AD">
        <w:trPr>
          <w:trHeight w:val="98"/>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越南</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400.0</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6</w:t>
            </w:r>
            <w:r w:rsidRPr="00713D42">
              <w:rPr>
                <w:rFonts w:hAnsi="標楷體" w:cs="Arial" w:hint="eastAsia"/>
                <w:spacing w:val="-20"/>
                <w:kern w:val="0"/>
                <w:sz w:val="18"/>
                <w:szCs w:val="18"/>
              </w:rPr>
              <w:t>,</w:t>
            </w:r>
            <w:r w:rsidRPr="00713D42">
              <w:rPr>
                <w:rFonts w:hAnsi="標楷體" w:cs="Arial"/>
                <w:spacing w:val="-20"/>
                <w:kern w:val="0"/>
                <w:sz w:val="18"/>
                <w:szCs w:val="18"/>
              </w:rPr>
              <w:t>981.0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579.0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7</w:t>
            </w:r>
            <w:r w:rsidRPr="00713D42">
              <w:rPr>
                <w:rFonts w:hAnsi="標楷體" w:cs="Arial" w:hint="eastAsia"/>
                <w:spacing w:val="-20"/>
                <w:kern w:val="0"/>
                <w:sz w:val="18"/>
                <w:szCs w:val="18"/>
              </w:rPr>
              <w:t>,</w:t>
            </w:r>
            <w:r w:rsidRPr="00713D42">
              <w:rPr>
                <w:rFonts w:hAnsi="標楷體" w:cs="Arial"/>
                <w:spacing w:val="-20"/>
                <w:kern w:val="0"/>
                <w:sz w:val="18"/>
                <w:szCs w:val="18"/>
              </w:rPr>
              <w:t>600.0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8</w:t>
            </w:r>
            <w:r w:rsidRPr="00713D42">
              <w:rPr>
                <w:rFonts w:hAnsi="標楷體" w:cs="Arial" w:hint="eastAsia"/>
                <w:spacing w:val="-20"/>
                <w:kern w:val="0"/>
                <w:sz w:val="18"/>
                <w:szCs w:val="18"/>
              </w:rPr>
              <w:t>,</w:t>
            </w:r>
            <w:r w:rsidRPr="00713D42">
              <w:rPr>
                <w:rFonts w:hAnsi="標楷體" w:cs="Arial"/>
                <w:spacing w:val="-20"/>
                <w:kern w:val="0"/>
                <w:sz w:val="18"/>
                <w:szCs w:val="18"/>
              </w:rPr>
              <w:t>000.0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7</w:t>
            </w:r>
            <w:r w:rsidRPr="00713D42">
              <w:rPr>
                <w:rFonts w:hAnsi="標楷體" w:cs="Arial" w:hint="eastAsia"/>
                <w:spacing w:val="-20"/>
                <w:kern w:val="0"/>
                <w:sz w:val="18"/>
                <w:szCs w:val="18"/>
              </w:rPr>
              <w:t>,</w:t>
            </w:r>
            <w:r w:rsidRPr="00713D42">
              <w:rPr>
                <w:rFonts w:hAnsi="標楷體" w:cs="Arial"/>
                <w:spacing w:val="-20"/>
                <w:kern w:val="0"/>
                <w:sz w:val="18"/>
                <w:szCs w:val="18"/>
              </w:rPr>
              <w:t>519.0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8</w:t>
            </w:r>
            <w:r w:rsidRPr="00713D42">
              <w:rPr>
                <w:rFonts w:hAnsi="標楷體" w:cs="Arial" w:hint="eastAsia"/>
                <w:spacing w:val="-20"/>
                <w:kern w:val="0"/>
                <w:sz w:val="18"/>
                <w:szCs w:val="18"/>
              </w:rPr>
              <w:t>,</w:t>
            </w:r>
            <w:r w:rsidRPr="00713D42">
              <w:rPr>
                <w:rFonts w:hAnsi="標楷體" w:cs="Arial"/>
                <w:spacing w:val="-20"/>
                <w:kern w:val="0"/>
                <w:sz w:val="18"/>
                <w:szCs w:val="18"/>
              </w:rPr>
              <w:t>368.0</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8</w:t>
            </w:r>
            <w:r w:rsidRPr="00713D42">
              <w:rPr>
                <w:rFonts w:hAnsi="標楷體" w:cs="Arial" w:hint="eastAsia"/>
                <w:spacing w:val="-20"/>
                <w:kern w:val="0"/>
                <w:sz w:val="18"/>
                <w:szCs w:val="18"/>
              </w:rPr>
              <w:t>,</w:t>
            </w:r>
            <w:r w:rsidRPr="00713D42">
              <w:rPr>
                <w:rFonts w:hAnsi="標楷體" w:cs="Arial"/>
                <w:spacing w:val="-20"/>
                <w:kern w:val="0"/>
                <w:sz w:val="18"/>
                <w:szCs w:val="18"/>
              </w:rPr>
              <w:t>900.0</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200.0</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11</w:t>
            </w:r>
            <w:r w:rsidRPr="00713D42">
              <w:rPr>
                <w:rFonts w:hAnsi="標楷體" w:cs="Arial" w:hint="eastAsia"/>
                <w:spacing w:val="-20"/>
                <w:kern w:val="0"/>
                <w:sz w:val="18"/>
                <w:szCs w:val="18"/>
              </w:rPr>
              <w:t>,</w:t>
            </w:r>
            <w:r w:rsidRPr="00713D42">
              <w:rPr>
                <w:rFonts w:hAnsi="標楷體" w:cs="Arial"/>
                <w:spacing w:val="-20"/>
                <w:kern w:val="0"/>
                <w:sz w:val="18"/>
                <w:szCs w:val="18"/>
              </w:rPr>
              <w:t>800.0</w:t>
            </w:r>
          </w:p>
        </w:tc>
      </w:tr>
      <w:tr w:rsidR="00713D42" w:rsidRPr="00713D42" w:rsidTr="009D24AD">
        <w:trPr>
          <w:trHeight w:val="53"/>
        </w:trPr>
        <w:tc>
          <w:tcPr>
            <w:tcW w:w="836" w:type="dxa"/>
            <w:tcBorders>
              <w:top w:val="single" w:sz="4" w:space="0" w:color="auto"/>
              <w:left w:val="single" w:sz="8" w:space="0" w:color="auto"/>
              <w:bottom w:val="single" w:sz="4" w:space="0" w:color="auto"/>
              <w:right w:val="single" w:sz="4" w:space="0" w:color="auto"/>
            </w:tcBorders>
            <w:shd w:val="clear" w:color="auto" w:fill="auto"/>
            <w:noWrap/>
            <w:vAlign w:val="center"/>
          </w:tcPr>
          <w:p w:rsidR="00372CA7" w:rsidRPr="00713D42" w:rsidRDefault="00372CA7" w:rsidP="00B10A4D">
            <w:pPr>
              <w:jc w:val="center"/>
              <w:rPr>
                <w:rFonts w:hAnsi="標楷體" w:cs="Arial"/>
                <w:spacing w:val="-20"/>
                <w:kern w:val="0"/>
                <w:sz w:val="18"/>
                <w:szCs w:val="18"/>
              </w:rPr>
            </w:pPr>
            <w:r w:rsidRPr="00713D42">
              <w:rPr>
                <w:rFonts w:hAnsi="標楷體" w:cs="Arial" w:hint="eastAsia"/>
                <w:spacing w:val="-20"/>
                <w:kern w:val="0"/>
                <w:sz w:val="18"/>
                <w:szCs w:val="18"/>
              </w:rPr>
              <w:t>馬來西亞</w:t>
            </w:r>
          </w:p>
        </w:tc>
        <w:tc>
          <w:tcPr>
            <w:tcW w:w="802"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hint="eastAsia"/>
                <w:spacing w:val="-20"/>
                <w:kern w:val="0"/>
                <w:sz w:val="18"/>
                <w:szCs w:val="18"/>
              </w:rPr>
              <w:t>6,060.3</w:t>
            </w:r>
          </w:p>
        </w:tc>
        <w:tc>
          <w:tcPr>
            <w:tcW w:w="833"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8,594.7</w:t>
            </w:r>
          </w:p>
        </w:tc>
        <w:tc>
          <w:tcPr>
            <w:tcW w:w="904"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7,171.8</w:t>
            </w:r>
          </w:p>
        </w:tc>
        <w:tc>
          <w:tcPr>
            <w:tcW w:w="905"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1,453.0</w:t>
            </w:r>
          </w:p>
        </w:tc>
        <w:tc>
          <w:tcPr>
            <w:tcW w:w="904"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9,060.0</w:t>
            </w:r>
          </w:p>
        </w:tc>
        <w:tc>
          <w:tcPr>
            <w:tcW w:w="905"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12,197.6</w:t>
            </w:r>
          </w:p>
        </w:tc>
        <w:tc>
          <w:tcPr>
            <w:tcW w:w="904"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9,238.8</w:t>
            </w:r>
          </w:p>
        </w:tc>
        <w:tc>
          <w:tcPr>
            <w:tcW w:w="905"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12,115.5</w:t>
            </w:r>
          </w:p>
        </w:tc>
        <w:tc>
          <w:tcPr>
            <w:tcW w:w="84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10,877.3</w:t>
            </w:r>
          </w:p>
        </w:tc>
        <w:tc>
          <w:tcPr>
            <w:tcW w:w="829"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jc w:val="right"/>
              <w:rPr>
                <w:rFonts w:hAnsi="標楷體" w:cs="Arial"/>
                <w:spacing w:val="-20"/>
                <w:kern w:val="0"/>
                <w:sz w:val="18"/>
                <w:szCs w:val="18"/>
              </w:rPr>
            </w:pPr>
            <w:r w:rsidRPr="00713D42">
              <w:rPr>
                <w:rFonts w:hAnsi="標楷體" w:cs="Arial" w:hint="eastAsia"/>
                <w:spacing w:val="-20"/>
                <w:kern w:val="0"/>
                <w:sz w:val="18"/>
                <w:szCs w:val="18"/>
              </w:rPr>
              <w:t>11,121.5</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泰國</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8</w:t>
            </w:r>
            <w:r w:rsidRPr="00713D42">
              <w:rPr>
                <w:rFonts w:hAnsi="標楷體" w:cs="Arial" w:hint="eastAsia"/>
                <w:spacing w:val="-20"/>
                <w:kern w:val="0"/>
                <w:sz w:val="18"/>
                <w:szCs w:val="18"/>
              </w:rPr>
              <w:t>,</w:t>
            </w:r>
            <w:r w:rsidRPr="00713D42">
              <w:rPr>
                <w:rFonts w:hAnsi="標楷體" w:cs="Arial"/>
                <w:spacing w:val="-20"/>
                <w:kern w:val="0"/>
                <w:sz w:val="18"/>
                <w:szCs w:val="18"/>
              </w:rPr>
              <w:t>541.7</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7</w:t>
            </w:r>
            <w:r w:rsidRPr="00713D42">
              <w:rPr>
                <w:rFonts w:hAnsi="標楷體" w:cs="Arial" w:hint="eastAsia"/>
                <w:spacing w:val="-20"/>
                <w:kern w:val="0"/>
                <w:sz w:val="18"/>
                <w:szCs w:val="18"/>
              </w:rPr>
              <w:t>,</w:t>
            </w:r>
            <w:r w:rsidRPr="00713D42">
              <w:rPr>
                <w:rFonts w:hAnsi="標楷體" w:cs="Arial"/>
                <w:spacing w:val="-20"/>
                <w:kern w:val="0"/>
                <w:sz w:val="18"/>
                <w:szCs w:val="18"/>
              </w:rPr>
              <w:t>918.5</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052.5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7</w:t>
            </w:r>
            <w:r w:rsidRPr="00713D42">
              <w:rPr>
                <w:rFonts w:hAnsi="標楷體" w:cs="Arial" w:hint="eastAsia"/>
                <w:spacing w:val="-20"/>
                <w:kern w:val="0"/>
                <w:sz w:val="18"/>
                <w:szCs w:val="18"/>
              </w:rPr>
              <w:t>,</w:t>
            </w:r>
            <w:r w:rsidRPr="00713D42">
              <w:rPr>
                <w:rFonts w:hAnsi="標楷體" w:cs="Arial"/>
                <w:spacing w:val="-20"/>
                <w:kern w:val="0"/>
                <w:sz w:val="18"/>
                <w:szCs w:val="18"/>
              </w:rPr>
              <w:t>776.0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14</w:t>
            </w:r>
            <w:r w:rsidRPr="00713D42">
              <w:rPr>
                <w:rFonts w:hAnsi="標楷體" w:cs="Arial" w:hint="eastAsia"/>
                <w:spacing w:val="-20"/>
                <w:kern w:val="0"/>
                <w:sz w:val="18"/>
                <w:szCs w:val="18"/>
              </w:rPr>
              <w:t>,</w:t>
            </w:r>
            <w:r w:rsidRPr="00713D42">
              <w:rPr>
                <w:rFonts w:hAnsi="標楷體" w:cs="Arial"/>
                <w:spacing w:val="-20"/>
                <w:kern w:val="0"/>
                <w:sz w:val="18"/>
                <w:szCs w:val="18"/>
              </w:rPr>
              <w:t>568.3</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w:t>
            </w:r>
            <w:r w:rsidRPr="00713D42">
              <w:rPr>
                <w:rFonts w:hAnsi="標楷體" w:cs="Arial" w:hint="eastAsia"/>
                <w:spacing w:val="-20"/>
                <w:kern w:val="0"/>
                <w:sz w:val="18"/>
                <w:szCs w:val="18"/>
              </w:rPr>
              <w:t>,</w:t>
            </w:r>
            <w:r w:rsidRPr="00713D42">
              <w:rPr>
                <w:rFonts w:hAnsi="標楷體" w:cs="Arial"/>
                <w:spacing w:val="-20"/>
                <w:kern w:val="0"/>
                <w:sz w:val="18"/>
                <w:szCs w:val="18"/>
              </w:rPr>
              <w:t>271.0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16</w:t>
            </w:r>
            <w:r w:rsidRPr="00713D42">
              <w:rPr>
                <w:rFonts w:hAnsi="標楷體" w:cs="Arial" w:hint="eastAsia"/>
                <w:spacing w:val="-20"/>
                <w:kern w:val="0"/>
                <w:sz w:val="18"/>
                <w:szCs w:val="18"/>
              </w:rPr>
              <w:t>,</w:t>
            </w:r>
            <w:r w:rsidRPr="00713D42">
              <w:rPr>
                <w:rFonts w:hAnsi="標楷體" w:cs="Arial"/>
                <w:spacing w:val="-20"/>
                <w:kern w:val="0"/>
                <w:sz w:val="18"/>
                <w:szCs w:val="18"/>
              </w:rPr>
              <w:t>517.2</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16</w:t>
            </w:r>
            <w:r w:rsidRPr="00713D42">
              <w:rPr>
                <w:rFonts w:hAnsi="標楷體" w:cs="Arial" w:hint="eastAsia"/>
                <w:spacing w:val="-20"/>
                <w:kern w:val="0"/>
                <w:sz w:val="18"/>
                <w:szCs w:val="18"/>
              </w:rPr>
              <w:t>,</w:t>
            </w:r>
            <w:r w:rsidRPr="00713D42">
              <w:rPr>
                <w:rFonts w:hAnsi="標楷體" w:cs="Arial"/>
                <w:spacing w:val="-20"/>
                <w:kern w:val="0"/>
                <w:sz w:val="18"/>
                <w:szCs w:val="18"/>
              </w:rPr>
              <w:t>651.8</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3</w:t>
            </w:r>
            <w:r w:rsidRPr="00713D42">
              <w:rPr>
                <w:rFonts w:hAnsi="標楷體" w:cs="Arial" w:hint="eastAsia"/>
                <w:spacing w:val="-20"/>
                <w:kern w:val="0"/>
                <w:sz w:val="18"/>
                <w:szCs w:val="18"/>
              </w:rPr>
              <w:t>,</w:t>
            </w:r>
            <w:r w:rsidRPr="00713D42">
              <w:rPr>
                <w:rFonts w:hAnsi="標楷體" w:cs="Arial"/>
                <w:spacing w:val="-20"/>
                <w:kern w:val="0"/>
                <w:sz w:val="18"/>
                <w:szCs w:val="18"/>
              </w:rPr>
              <w:t>536.5</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10</w:t>
            </w:r>
            <w:r w:rsidRPr="00713D42">
              <w:rPr>
                <w:rFonts w:hAnsi="標楷體" w:cs="Arial" w:hint="eastAsia"/>
                <w:spacing w:val="-20"/>
                <w:kern w:val="0"/>
                <w:sz w:val="18"/>
                <w:szCs w:val="18"/>
              </w:rPr>
              <w:t>,</w:t>
            </w:r>
            <w:r w:rsidRPr="00713D42">
              <w:rPr>
                <w:rFonts w:hAnsi="標楷體" w:cs="Arial"/>
                <w:spacing w:val="-20"/>
                <w:kern w:val="0"/>
                <w:sz w:val="18"/>
                <w:szCs w:val="18"/>
              </w:rPr>
              <w:t>844.6</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菲律賓</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921.0</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916.0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543.7</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963.4</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298.1</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851.6</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449.3</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429.5</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w:t>
            </w:r>
            <w:r w:rsidRPr="00713D42">
              <w:rPr>
                <w:rFonts w:hAnsi="標楷體" w:cs="Arial" w:hint="eastAsia"/>
                <w:spacing w:val="-20"/>
                <w:kern w:val="0"/>
                <w:sz w:val="18"/>
                <w:szCs w:val="18"/>
              </w:rPr>
              <w:t>,</w:t>
            </w:r>
            <w:r w:rsidRPr="00713D42">
              <w:rPr>
                <w:rFonts w:hAnsi="標楷體" w:cs="Arial"/>
                <w:spacing w:val="-20"/>
                <w:kern w:val="0"/>
                <w:sz w:val="18"/>
                <w:szCs w:val="18"/>
              </w:rPr>
              <w:t>812.7</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w:t>
            </w:r>
            <w:r w:rsidRPr="00713D42">
              <w:rPr>
                <w:rFonts w:hAnsi="標楷體" w:cs="Arial" w:hint="eastAsia"/>
                <w:spacing w:val="-20"/>
                <w:kern w:val="0"/>
                <w:sz w:val="18"/>
                <w:szCs w:val="18"/>
              </w:rPr>
              <w:t>,</w:t>
            </w:r>
            <w:r w:rsidRPr="00713D42">
              <w:rPr>
                <w:rFonts w:hAnsi="標楷體" w:cs="Arial"/>
                <w:spacing w:val="-20"/>
                <w:kern w:val="0"/>
                <w:sz w:val="18"/>
                <w:szCs w:val="18"/>
              </w:rPr>
              <w:t>234.0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韓國</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161.9</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8</w:t>
            </w:r>
            <w:r w:rsidRPr="00713D42">
              <w:rPr>
                <w:rFonts w:hAnsi="標楷體" w:cs="Arial" w:hint="eastAsia"/>
                <w:spacing w:val="-20"/>
                <w:kern w:val="0"/>
                <w:sz w:val="18"/>
                <w:szCs w:val="18"/>
              </w:rPr>
              <w:t>,</w:t>
            </w:r>
            <w:r w:rsidRPr="00713D42">
              <w:rPr>
                <w:rFonts w:hAnsi="標楷體" w:cs="Arial"/>
                <w:spacing w:val="-20"/>
                <w:kern w:val="0"/>
                <w:sz w:val="18"/>
                <w:szCs w:val="18"/>
              </w:rPr>
              <w:t>826.9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11</w:t>
            </w:r>
            <w:r w:rsidRPr="00713D42">
              <w:rPr>
                <w:rFonts w:hAnsi="標楷體" w:cs="Arial" w:hint="eastAsia"/>
                <w:spacing w:val="-20"/>
                <w:kern w:val="0"/>
                <w:sz w:val="18"/>
                <w:szCs w:val="18"/>
              </w:rPr>
              <w:t>,</w:t>
            </w:r>
            <w:r w:rsidRPr="00713D42">
              <w:rPr>
                <w:rFonts w:hAnsi="標楷體" w:cs="Arial"/>
                <w:spacing w:val="-20"/>
                <w:kern w:val="0"/>
                <w:sz w:val="18"/>
                <w:szCs w:val="18"/>
              </w:rPr>
              <w:t>187.5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021.9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497.4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773.0</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495.9</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12</w:t>
            </w:r>
            <w:r w:rsidRPr="00713D42">
              <w:rPr>
                <w:rFonts w:hAnsi="標楷體" w:cs="Arial" w:hint="eastAsia"/>
                <w:spacing w:val="-20"/>
                <w:kern w:val="0"/>
                <w:sz w:val="18"/>
                <w:szCs w:val="18"/>
              </w:rPr>
              <w:t>,</w:t>
            </w:r>
            <w:r w:rsidRPr="00713D42">
              <w:rPr>
                <w:rFonts w:hAnsi="標楷體" w:cs="Arial"/>
                <w:spacing w:val="-20"/>
                <w:kern w:val="0"/>
                <w:sz w:val="18"/>
                <w:szCs w:val="18"/>
              </w:rPr>
              <w:t>766.6</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w:t>
            </w:r>
            <w:r w:rsidRPr="00713D42">
              <w:rPr>
                <w:rFonts w:hAnsi="標楷體" w:cs="Arial" w:hint="eastAsia"/>
                <w:spacing w:val="-20"/>
                <w:kern w:val="0"/>
                <w:sz w:val="18"/>
                <w:szCs w:val="18"/>
              </w:rPr>
              <w:t>,</w:t>
            </w:r>
            <w:r w:rsidRPr="00713D42">
              <w:rPr>
                <w:rFonts w:hAnsi="標楷體" w:cs="Arial"/>
                <w:spacing w:val="-20"/>
                <w:kern w:val="0"/>
                <w:sz w:val="18"/>
                <w:szCs w:val="18"/>
              </w:rPr>
              <w:t>273.6</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w:t>
            </w:r>
            <w:r w:rsidRPr="00713D42">
              <w:rPr>
                <w:rFonts w:hAnsi="標楷體" w:cs="Arial" w:hint="eastAsia"/>
                <w:spacing w:val="-20"/>
                <w:kern w:val="0"/>
                <w:sz w:val="18"/>
                <w:szCs w:val="18"/>
              </w:rPr>
              <w:t>,</w:t>
            </w:r>
            <w:r w:rsidRPr="00713D42">
              <w:rPr>
                <w:rFonts w:hAnsi="標楷體" w:cs="Arial"/>
                <w:spacing w:val="-20"/>
                <w:kern w:val="0"/>
                <w:sz w:val="18"/>
                <w:szCs w:val="18"/>
              </w:rPr>
              <w:t>042.0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緬甸</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724.2</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2.2</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603.4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27.2</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6</w:t>
            </w:r>
            <w:r w:rsidRPr="00713D42">
              <w:rPr>
                <w:rFonts w:hAnsi="標楷體" w:cs="Arial" w:hint="eastAsia"/>
                <w:spacing w:val="-20"/>
                <w:kern w:val="0"/>
                <w:sz w:val="18"/>
                <w:szCs w:val="18"/>
              </w:rPr>
              <w:t>,</w:t>
            </w:r>
            <w:r w:rsidRPr="00713D42">
              <w:rPr>
                <w:rFonts w:hAnsi="標楷體" w:cs="Arial"/>
                <w:spacing w:val="-20"/>
                <w:kern w:val="0"/>
                <w:sz w:val="18"/>
                <w:szCs w:val="18"/>
              </w:rPr>
              <w:t>669.4</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117.7</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496.9</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584.3</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946.2</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824.0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center"/>
              <w:rPr>
                <w:rFonts w:hAnsi="標楷體" w:cs="Arial"/>
                <w:b/>
                <w:spacing w:val="-20"/>
                <w:kern w:val="0"/>
                <w:sz w:val="18"/>
                <w:szCs w:val="18"/>
              </w:rPr>
            </w:pPr>
            <w:r w:rsidRPr="00713D42">
              <w:rPr>
                <w:rFonts w:hAnsi="標楷體" w:cs="Arial" w:hint="eastAsia"/>
                <w:b/>
                <w:spacing w:val="-20"/>
                <w:kern w:val="0"/>
                <w:sz w:val="18"/>
                <w:szCs w:val="18"/>
              </w:rPr>
              <w:t>臺灣</w:t>
            </w:r>
          </w:p>
        </w:tc>
        <w:tc>
          <w:tcPr>
            <w:tcW w:w="802"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713D42">
            <w:pPr>
              <w:widowControl/>
              <w:spacing w:line="300" w:lineRule="exact"/>
              <w:ind w:leftChars="-11" w:left="-13" w:hangingChars="15" w:hanging="25"/>
              <w:jc w:val="right"/>
              <w:rPr>
                <w:rFonts w:hAnsi="標楷體" w:cs="Arial"/>
                <w:b/>
                <w:spacing w:val="-20"/>
                <w:kern w:val="0"/>
                <w:sz w:val="18"/>
                <w:szCs w:val="18"/>
              </w:rPr>
            </w:pPr>
            <w:r w:rsidRPr="00713D42">
              <w:rPr>
                <w:rFonts w:hAnsi="標楷體" w:cs="Arial"/>
                <w:b/>
                <w:spacing w:val="-20"/>
                <w:kern w:val="0"/>
                <w:sz w:val="18"/>
                <w:szCs w:val="18"/>
              </w:rPr>
              <w:t>7</w:t>
            </w:r>
            <w:r w:rsidRPr="00713D42">
              <w:rPr>
                <w:rFonts w:hAnsi="標楷體" w:cs="Arial" w:hint="eastAsia"/>
                <w:b/>
                <w:spacing w:val="-20"/>
                <w:kern w:val="0"/>
                <w:sz w:val="18"/>
                <w:szCs w:val="18"/>
              </w:rPr>
              <w:t>,</w:t>
            </w:r>
            <w:r w:rsidRPr="00713D42">
              <w:rPr>
                <w:rFonts w:hAnsi="標楷體" w:cs="Arial"/>
                <w:b/>
                <w:spacing w:val="-20"/>
                <w:kern w:val="0"/>
                <w:sz w:val="18"/>
                <w:szCs w:val="18"/>
              </w:rPr>
              <w:t>424.0</w:t>
            </w:r>
          </w:p>
        </w:tc>
        <w:tc>
          <w:tcPr>
            <w:tcW w:w="833"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713D42">
            <w:pPr>
              <w:widowControl/>
              <w:spacing w:line="300" w:lineRule="exact"/>
              <w:ind w:leftChars="-11" w:left="-13" w:hangingChars="15" w:hanging="25"/>
              <w:jc w:val="right"/>
              <w:rPr>
                <w:rFonts w:hAnsi="標楷體" w:cs="Arial"/>
                <w:b/>
                <w:spacing w:val="-20"/>
                <w:kern w:val="0"/>
                <w:sz w:val="18"/>
                <w:szCs w:val="18"/>
              </w:rPr>
            </w:pPr>
            <w:r w:rsidRPr="00713D42">
              <w:rPr>
                <w:rFonts w:hAnsi="標楷體" w:cs="Arial"/>
                <w:b/>
                <w:spacing w:val="-20"/>
                <w:kern w:val="0"/>
                <w:sz w:val="18"/>
                <w:szCs w:val="18"/>
              </w:rPr>
              <w:t>7</w:t>
            </w:r>
            <w:r w:rsidRPr="00713D42">
              <w:rPr>
                <w:rFonts w:hAnsi="標楷體" w:cs="Arial" w:hint="eastAsia"/>
                <w:b/>
                <w:spacing w:val="-20"/>
                <w:kern w:val="0"/>
                <w:sz w:val="18"/>
                <w:szCs w:val="18"/>
              </w:rPr>
              <w:t>,</w:t>
            </w:r>
            <w:r w:rsidRPr="00713D42">
              <w:rPr>
                <w:rFonts w:hAnsi="標楷體" w:cs="Arial"/>
                <w:b/>
                <w:spacing w:val="-20"/>
                <w:kern w:val="0"/>
                <w:sz w:val="18"/>
                <w:szCs w:val="18"/>
              </w:rPr>
              <w:t>769.0</w:t>
            </w:r>
          </w:p>
        </w:tc>
        <w:tc>
          <w:tcPr>
            <w:tcW w:w="904"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5</w:t>
            </w:r>
            <w:r w:rsidRPr="00713D42">
              <w:rPr>
                <w:rFonts w:hAnsi="標楷體" w:cs="Arial" w:hint="eastAsia"/>
                <w:b/>
                <w:spacing w:val="-20"/>
                <w:kern w:val="0"/>
                <w:sz w:val="18"/>
                <w:szCs w:val="18"/>
              </w:rPr>
              <w:t>,</w:t>
            </w:r>
            <w:r w:rsidRPr="00713D42">
              <w:rPr>
                <w:rFonts w:hAnsi="標楷體" w:cs="Arial"/>
                <w:b/>
                <w:spacing w:val="-20"/>
                <w:kern w:val="0"/>
                <w:sz w:val="18"/>
                <w:szCs w:val="18"/>
              </w:rPr>
              <w:t>432.0</w:t>
            </w:r>
          </w:p>
        </w:tc>
        <w:tc>
          <w:tcPr>
            <w:tcW w:w="905"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713D42">
            <w:pPr>
              <w:widowControl/>
              <w:spacing w:line="300" w:lineRule="exact"/>
              <w:ind w:leftChars="-11" w:left="-13" w:hangingChars="15" w:hanging="25"/>
              <w:jc w:val="right"/>
              <w:rPr>
                <w:rFonts w:hAnsi="標楷體" w:cs="Arial"/>
                <w:b/>
                <w:spacing w:val="-20"/>
                <w:kern w:val="0"/>
                <w:sz w:val="18"/>
                <w:szCs w:val="18"/>
              </w:rPr>
            </w:pPr>
            <w:r w:rsidRPr="00713D42">
              <w:rPr>
                <w:rFonts w:hAnsi="標楷體" w:cs="Arial"/>
                <w:b/>
                <w:spacing w:val="-20"/>
                <w:kern w:val="0"/>
                <w:sz w:val="18"/>
                <w:szCs w:val="18"/>
              </w:rPr>
              <w:t>2</w:t>
            </w:r>
            <w:r w:rsidRPr="00713D42">
              <w:rPr>
                <w:rFonts w:hAnsi="標楷體" w:cs="Arial" w:hint="eastAsia"/>
                <w:b/>
                <w:spacing w:val="-20"/>
                <w:kern w:val="0"/>
                <w:sz w:val="18"/>
                <w:szCs w:val="18"/>
              </w:rPr>
              <w:t>,</w:t>
            </w:r>
            <w:r w:rsidRPr="00713D42">
              <w:rPr>
                <w:rFonts w:hAnsi="標楷體" w:cs="Arial"/>
                <w:b/>
                <w:spacing w:val="-20"/>
                <w:kern w:val="0"/>
                <w:sz w:val="18"/>
                <w:szCs w:val="18"/>
              </w:rPr>
              <w:t>805.0</w:t>
            </w:r>
          </w:p>
        </w:tc>
        <w:tc>
          <w:tcPr>
            <w:tcW w:w="904"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2</w:t>
            </w:r>
            <w:r w:rsidRPr="00713D42">
              <w:rPr>
                <w:rFonts w:hAnsi="標楷體" w:cs="Arial" w:hint="eastAsia"/>
                <w:b/>
                <w:spacing w:val="-20"/>
                <w:kern w:val="0"/>
                <w:sz w:val="18"/>
                <w:szCs w:val="18"/>
              </w:rPr>
              <w:t>,</w:t>
            </w:r>
            <w:r w:rsidRPr="00713D42">
              <w:rPr>
                <w:rFonts w:hAnsi="標楷體" w:cs="Arial"/>
                <w:b/>
                <w:spacing w:val="-20"/>
                <w:kern w:val="0"/>
                <w:sz w:val="18"/>
                <w:szCs w:val="18"/>
              </w:rPr>
              <w:t>492.0</w:t>
            </w:r>
          </w:p>
        </w:tc>
        <w:tc>
          <w:tcPr>
            <w:tcW w:w="905"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- 1</w:t>
            </w:r>
            <w:r w:rsidRPr="00713D42">
              <w:rPr>
                <w:rFonts w:hAnsi="標楷體" w:cs="Arial" w:hint="eastAsia"/>
                <w:b/>
                <w:spacing w:val="-20"/>
                <w:kern w:val="0"/>
                <w:sz w:val="18"/>
                <w:szCs w:val="18"/>
              </w:rPr>
              <w:t>,</w:t>
            </w:r>
            <w:r w:rsidRPr="00713D42">
              <w:rPr>
                <w:rFonts w:hAnsi="標楷體" w:cs="Arial"/>
                <w:b/>
                <w:spacing w:val="-20"/>
                <w:kern w:val="0"/>
                <w:sz w:val="18"/>
                <w:szCs w:val="18"/>
              </w:rPr>
              <w:t>957.0</w:t>
            </w:r>
          </w:p>
        </w:tc>
        <w:tc>
          <w:tcPr>
            <w:tcW w:w="904"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3</w:t>
            </w:r>
            <w:r w:rsidRPr="00713D42">
              <w:rPr>
                <w:rFonts w:hAnsi="標楷體" w:cs="Arial" w:hint="eastAsia"/>
                <w:b/>
                <w:spacing w:val="-20"/>
                <w:kern w:val="0"/>
                <w:sz w:val="18"/>
                <w:szCs w:val="18"/>
              </w:rPr>
              <w:t>,</w:t>
            </w:r>
            <w:r w:rsidRPr="00713D42">
              <w:rPr>
                <w:rFonts w:hAnsi="標楷體" w:cs="Arial"/>
                <w:b/>
                <w:spacing w:val="-20"/>
                <w:kern w:val="0"/>
                <w:sz w:val="18"/>
                <w:szCs w:val="18"/>
              </w:rPr>
              <w:t>207.0</w:t>
            </w:r>
          </w:p>
        </w:tc>
        <w:tc>
          <w:tcPr>
            <w:tcW w:w="905"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3</w:t>
            </w:r>
            <w:r w:rsidRPr="00713D42">
              <w:rPr>
                <w:rFonts w:hAnsi="標楷體" w:cs="Arial" w:hint="eastAsia"/>
                <w:b/>
                <w:spacing w:val="-20"/>
                <w:kern w:val="0"/>
                <w:sz w:val="18"/>
                <w:szCs w:val="18"/>
              </w:rPr>
              <w:t>,</w:t>
            </w:r>
            <w:r w:rsidRPr="00713D42">
              <w:rPr>
                <w:rFonts w:hAnsi="標楷體" w:cs="Arial"/>
                <w:b/>
                <w:spacing w:val="-20"/>
                <w:kern w:val="0"/>
                <w:sz w:val="18"/>
                <w:szCs w:val="18"/>
              </w:rPr>
              <w:t>598.0</w:t>
            </w:r>
          </w:p>
        </w:tc>
        <w:tc>
          <w:tcPr>
            <w:tcW w:w="846"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2</w:t>
            </w:r>
            <w:r w:rsidRPr="00713D42">
              <w:rPr>
                <w:rFonts w:hAnsi="標楷體" w:cs="Arial" w:hint="eastAsia"/>
                <w:b/>
                <w:spacing w:val="-20"/>
                <w:kern w:val="0"/>
                <w:sz w:val="18"/>
                <w:szCs w:val="18"/>
              </w:rPr>
              <w:t>,</w:t>
            </w:r>
            <w:r w:rsidRPr="00713D42">
              <w:rPr>
                <w:rFonts w:hAnsi="標楷體" w:cs="Arial"/>
                <w:b/>
                <w:spacing w:val="-20"/>
                <w:kern w:val="0"/>
                <w:sz w:val="18"/>
                <w:szCs w:val="18"/>
              </w:rPr>
              <w:t>839.0</w:t>
            </w:r>
          </w:p>
        </w:tc>
        <w:tc>
          <w:tcPr>
            <w:tcW w:w="829" w:type="dxa"/>
            <w:tcBorders>
              <w:top w:val="nil"/>
              <w:left w:val="nil"/>
              <w:bottom w:val="single" w:sz="4" w:space="0" w:color="auto"/>
              <w:right w:val="single" w:sz="4" w:space="0" w:color="auto"/>
            </w:tcBorders>
            <w:shd w:val="clear" w:color="auto" w:fill="EEECE1" w:themeFill="background2"/>
            <w:noWrap/>
            <w:vAlign w:val="center"/>
            <w:hideMark/>
          </w:tcPr>
          <w:p w:rsidR="00372CA7" w:rsidRPr="00713D42" w:rsidRDefault="00372CA7" w:rsidP="00B10A4D">
            <w:pPr>
              <w:widowControl/>
              <w:spacing w:line="300" w:lineRule="exact"/>
              <w:jc w:val="right"/>
              <w:rPr>
                <w:rFonts w:hAnsi="標楷體" w:cs="Arial"/>
                <w:b/>
                <w:spacing w:val="-20"/>
                <w:kern w:val="0"/>
                <w:sz w:val="18"/>
                <w:szCs w:val="18"/>
              </w:rPr>
            </w:pPr>
            <w:r w:rsidRPr="00713D42">
              <w:rPr>
                <w:rFonts w:hAnsi="標楷體" w:cs="Arial"/>
                <w:b/>
                <w:spacing w:val="-20"/>
                <w:kern w:val="0"/>
                <w:sz w:val="18"/>
                <w:szCs w:val="18"/>
              </w:rPr>
              <w:t>2</w:t>
            </w:r>
            <w:r w:rsidRPr="00713D42">
              <w:rPr>
                <w:rFonts w:hAnsi="標楷體" w:cs="Arial" w:hint="eastAsia"/>
                <w:b/>
                <w:spacing w:val="-20"/>
                <w:kern w:val="0"/>
                <w:sz w:val="18"/>
                <w:szCs w:val="18"/>
              </w:rPr>
              <w:t>,</w:t>
            </w:r>
            <w:r w:rsidRPr="00713D42">
              <w:rPr>
                <w:rFonts w:hAnsi="標楷體" w:cs="Arial"/>
                <w:b/>
                <w:spacing w:val="-20"/>
                <w:kern w:val="0"/>
                <w:sz w:val="18"/>
                <w:szCs w:val="18"/>
              </w:rPr>
              <w:t>415.0</w:t>
            </w:r>
          </w:p>
        </w:tc>
      </w:tr>
      <w:tr w:rsidR="00713D42" w:rsidRPr="00713D42" w:rsidTr="009D24AD">
        <w:trPr>
          <w:trHeight w:val="241"/>
        </w:trPr>
        <w:tc>
          <w:tcPr>
            <w:tcW w:w="836" w:type="dxa"/>
            <w:tcBorders>
              <w:top w:val="nil"/>
              <w:left w:val="single" w:sz="8"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center"/>
              <w:rPr>
                <w:rFonts w:hAnsi="標楷體" w:cs="Arial"/>
                <w:spacing w:val="-20"/>
                <w:kern w:val="0"/>
                <w:sz w:val="18"/>
                <w:szCs w:val="18"/>
              </w:rPr>
            </w:pPr>
            <w:r w:rsidRPr="00713D42">
              <w:rPr>
                <w:rFonts w:hAnsi="標楷體" w:cs="Arial" w:hint="eastAsia"/>
                <w:spacing w:val="-20"/>
                <w:kern w:val="0"/>
                <w:sz w:val="18"/>
                <w:szCs w:val="18"/>
              </w:rPr>
              <w:t>日本</w:t>
            </w:r>
          </w:p>
        </w:tc>
        <w:tc>
          <w:tcPr>
            <w:tcW w:w="802"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- 6</w:t>
            </w:r>
            <w:r w:rsidRPr="00713D42">
              <w:rPr>
                <w:rFonts w:hAnsi="標楷體" w:cs="Arial" w:hint="eastAsia"/>
                <w:spacing w:val="-20"/>
                <w:kern w:val="0"/>
                <w:sz w:val="18"/>
                <w:szCs w:val="18"/>
              </w:rPr>
              <w:t>,</w:t>
            </w:r>
            <w:r w:rsidRPr="00713D42">
              <w:rPr>
                <w:rFonts w:hAnsi="標楷體" w:cs="Arial"/>
                <w:spacing w:val="-20"/>
                <w:kern w:val="0"/>
                <w:sz w:val="18"/>
                <w:szCs w:val="18"/>
              </w:rPr>
              <w:t>505.8</w:t>
            </w:r>
          </w:p>
        </w:tc>
        <w:tc>
          <w:tcPr>
            <w:tcW w:w="833"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22</w:t>
            </w:r>
            <w:r w:rsidRPr="00713D42">
              <w:rPr>
                <w:rFonts w:hAnsi="標楷體" w:cs="Arial" w:hint="eastAsia"/>
                <w:spacing w:val="-20"/>
                <w:kern w:val="0"/>
                <w:sz w:val="18"/>
                <w:szCs w:val="18"/>
              </w:rPr>
              <w:t>,</w:t>
            </w:r>
            <w:r w:rsidRPr="00713D42">
              <w:rPr>
                <w:rFonts w:hAnsi="標楷體" w:cs="Arial"/>
                <w:spacing w:val="-20"/>
                <w:kern w:val="0"/>
                <w:sz w:val="18"/>
                <w:szCs w:val="18"/>
              </w:rPr>
              <w:t>548.9</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24</w:t>
            </w:r>
            <w:r w:rsidRPr="00713D42">
              <w:rPr>
                <w:rFonts w:hAnsi="標楷體" w:cs="Arial" w:hint="eastAsia"/>
                <w:spacing w:val="-20"/>
                <w:kern w:val="0"/>
                <w:sz w:val="18"/>
                <w:szCs w:val="18"/>
              </w:rPr>
              <w:t>,</w:t>
            </w:r>
            <w:r w:rsidRPr="00713D42">
              <w:rPr>
                <w:rFonts w:hAnsi="標楷體" w:cs="Arial"/>
                <w:spacing w:val="-20"/>
                <w:kern w:val="0"/>
                <w:sz w:val="18"/>
                <w:szCs w:val="18"/>
              </w:rPr>
              <w:t>425.1</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713D42">
            <w:pPr>
              <w:widowControl/>
              <w:spacing w:line="300" w:lineRule="exact"/>
              <w:ind w:leftChars="-11" w:left="-13" w:hangingChars="15" w:hanging="25"/>
              <w:jc w:val="right"/>
              <w:rPr>
                <w:rFonts w:hAnsi="標楷體" w:cs="Arial"/>
                <w:spacing w:val="-20"/>
                <w:kern w:val="0"/>
                <w:sz w:val="18"/>
                <w:szCs w:val="18"/>
              </w:rPr>
            </w:pPr>
            <w:r w:rsidRPr="00713D42">
              <w:rPr>
                <w:rFonts w:hAnsi="標楷體" w:cs="Arial"/>
                <w:spacing w:val="-20"/>
                <w:kern w:val="0"/>
                <w:sz w:val="18"/>
                <w:szCs w:val="18"/>
              </w:rPr>
              <w:t>11</w:t>
            </w:r>
            <w:r w:rsidRPr="00713D42">
              <w:rPr>
                <w:rFonts w:hAnsi="標楷體" w:cs="Arial" w:hint="eastAsia"/>
                <w:spacing w:val="-20"/>
                <w:kern w:val="0"/>
                <w:sz w:val="18"/>
                <w:szCs w:val="18"/>
              </w:rPr>
              <w:t>,</w:t>
            </w:r>
            <w:r w:rsidRPr="00713D42">
              <w:rPr>
                <w:rFonts w:hAnsi="標楷體" w:cs="Arial"/>
                <w:spacing w:val="-20"/>
                <w:kern w:val="0"/>
                <w:sz w:val="18"/>
                <w:szCs w:val="18"/>
              </w:rPr>
              <w:t>938.3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- 1</w:t>
            </w:r>
            <w:r w:rsidRPr="00713D42">
              <w:rPr>
                <w:rFonts w:hAnsi="標楷體" w:cs="Arial" w:hint="eastAsia"/>
                <w:spacing w:val="-20"/>
                <w:kern w:val="0"/>
                <w:sz w:val="18"/>
                <w:szCs w:val="18"/>
              </w:rPr>
              <w:t>,</w:t>
            </w:r>
            <w:r w:rsidRPr="00713D42">
              <w:rPr>
                <w:rFonts w:hAnsi="標楷體" w:cs="Arial"/>
                <w:spacing w:val="-20"/>
                <w:kern w:val="0"/>
                <w:sz w:val="18"/>
                <w:szCs w:val="18"/>
              </w:rPr>
              <w:t>251.8</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- 1</w:t>
            </w:r>
            <w:r w:rsidRPr="00713D42">
              <w:rPr>
                <w:rFonts w:hAnsi="標楷體" w:cs="Arial" w:hint="eastAsia"/>
                <w:spacing w:val="-20"/>
                <w:kern w:val="0"/>
                <w:sz w:val="18"/>
                <w:szCs w:val="18"/>
              </w:rPr>
              <w:t>,</w:t>
            </w:r>
            <w:r w:rsidRPr="00713D42">
              <w:rPr>
                <w:rFonts w:hAnsi="標楷體" w:cs="Arial"/>
                <w:spacing w:val="-20"/>
                <w:kern w:val="0"/>
                <w:sz w:val="18"/>
                <w:szCs w:val="18"/>
              </w:rPr>
              <w:t>758.3</w:t>
            </w:r>
          </w:p>
        </w:tc>
        <w:tc>
          <w:tcPr>
            <w:tcW w:w="904"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1</w:t>
            </w:r>
            <w:r w:rsidRPr="00713D42">
              <w:rPr>
                <w:rFonts w:hAnsi="標楷體" w:cs="Arial" w:hint="eastAsia"/>
                <w:spacing w:val="-20"/>
                <w:kern w:val="0"/>
                <w:sz w:val="18"/>
                <w:szCs w:val="18"/>
              </w:rPr>
              <w:t>,</w:t>
            </w:r>
            <w:r w:rsidRPr="00713D42">
              <w:rPr>
                <w:rFonts w:hAnsi="標楷體" w:cs="Arial"/>
                <w:spacing w:val="-20"/>
                <w:kern w:val="0"/>
                <w:sz w:val="18"/>
                <w:szCs w:val="18"/>
              </w:rPr>
              <w:t>731.5</w:t>
            </w:r>
          </w:p>
        </w:tc>
        <w:tc>
          <w:tcPr>
            <w:tcW w:w="905"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303.7</w:t>
            </w:r>
          </w:p>
        </w:tc>
        <w:tc>
          <w:tcPr>
            <w:tcW w:w="84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2</w:t>
            </w:r>
            <w:r w:rsidRPr="00713D42">
              <w:rPr>
                <w:rFonts w:hAnsi="標楷體" w:cs="Arial" w:hint="eastAsia"/>
                <w:spacing w:val="-20"/>
                <w:kern w:val="0"/>
                <w:sz w:val="18"/>
                <w:szCs w:val="18"/>
              </w:rPr>
              <w:t>,</w:t>
            </w:r>
            <w:r w:rsidRPr="00713D42">
              <w:rPr>
                <w:rFonts w:hAnsi="標楷體" w:cs="Arial"/>
                <w:spacing w:val="-20"/>
                <w:kern w:val="0"/>
                <w:sz w:val="18"/>
                <w:szCs w:val="18"/>
              </w:rPr>
              <w:t>089.8</w:t>
            </w:r>
          </w:p>
        </w:tc>
        <w:tc>
          <w:tcPr>
            <w:tcW w:w="829"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spacing w:line="300" w:lineRule="exact"/>
              <w:jc w:val="right"/>
              <w:rPr>
                <w:rFonts w:hAnsi="標楷體" w:cs="Arial"/>
                <w:spacing w:val="-20"/>
                <w:kern w:val="0"/>
                <w:sz w:val="18"/>
                <w:szCs w:val="18"/>
              </w:rPr>
            </w:pPr>
            <w:r w:rsidRPr="00713D42">
              <w:rPr>
                <w:rFonts w:hAnsi="標楷體" w:cs="Arial"/>
                <w:spacing w:val="-20"/>
                <w:kern w:val="0"/>
                <w:sz w:val="18"/>
                <w:szCs w:val="18"/>
              </w:rPr>
              <w:t>- 2</w:t>
            </w:r>
            <w:r w:rsidRPr="00713D42">
              <w:rPr>
                <w:rFonts w:hAnsi="標楷體" w:cs="Arial" w:hint="eastAsia"/>
                <w:spacing w:val="-20"/>
                <w:kern w:val="0"/>
                <w:sz w:val="18"/>
                <w:szCs w:val="18"/>
              </w:rPr>
              <w:t>,</w:t>
            </w:r>
            <w:r w:rsidRPr="00713D42">
              <w:rPr>
                <w:rFonts w:hAnsi="標楷體" w:cs="Arial"/>
                <w:spacing w:val="-20"/>
                <w:kern w:val="0"/>
                <w:sz w:val="18"/>
                <w:szCs w:val="18"/>
              </w:rPr>
              <w:t>250.0</w:t>
            </w:r>
          </w:p>
        </w:tc>
      </w:tr>
    </w:tbl>
    <w:p w:rsidR="00372CA7" w:rsidRPr="00713D42" w:rsidRDefault="00372CA7" w:rsidP="009D24AD">
      <w:pPr>
        <w:pStyle w:val="6"/>
        <w:numPr>
          <w:ilvl w:val="0"/>
          <w:numId w:val="0"/>
        </w:numPr>
        <w:spacing w:afterLines="50" w:after="220" w:line="240" w:lineRule="exact"/>
        <w:ind w:leftChars="-3" w:left="-10" w:firstLineChars="3" w:firstLine="7"/>
        <w:rPr>
          <w:sz w:val="20"/>
          <w:szCs w:val="20"/>
        </w:rPr>
      </w:pPr>
      <w:r w:rsidRPr="00713D42">
        <w:rPr>
          <w:rFonts w:hint="eastAsia"/>
          <w:sz w:val="20"/>
          <w:szCs w:val="20"/>
        </w:rPr>
        <w:t>資料來源:105年世界投資報告。</w:t>
      </w:r>
    </w:p>
    <w:p w:rsidR="00372CA7" w:rsidRPr="00713D42" w:rsidRDefault="00372CA7" w:rsidP="00F6299D">
      <w:pPr>
        <w:pStyle w:val="4"/>
        <w:numPr>
          <w:ilvl w:val="3"/>
          <w:numId w:val="20"/>
        </w:numPr>
        <w:overflowPunct/>
        <w:autoSpaceDE/>
        <w:autoSpaceDN/>
      </w:pPr>
      <w:r w:rsidRPr="00713D42">
        <w:rPr>
          <w:rFonts w:hint="eastAsia"/>
        </w:rPr>
        <w:lastRenderedPageBreak/>
        <w:t>依據FDI流入排名前10及主要亞洲國家比較(詳表2)之分析:</w:t>
      </w:r>
    </w:p>
    <w:p w:rsidR="00372CA7" w:rsidRPr="00713D42" w:rsidRDefault="00372CA7" w:rsidP="00F6299D">
      <w:pPr>
        <w:pStyle w:val="5"/>
        <w:numPr>
          <w:ilvl w:val="4"/>
          <w:numId w:val="20"/>
        </w:numPr>
        <w:overflowPunct/>
        <w:autoSpaceDE/>
        <w:autoSpaceDN/>
      </w:pPr>
      <w:r w:rsidRPr="00713D42">
        <w:rPr>
          <w:rFonts w:hint="eastAsia"/>
        </w:rPr>
        <w:t>104年我國FDI流入金額於統計之全球217個國家中排名第61名，近3年之排名則由102年之53名下滑至104年之61名，</w:t>
      </w:r>
      <w:r w:rsidR="009D24AD">
        <w:rPr>
          <w:rFonts w:hint="eastAsia"/>
        </w:rPr>
        <w:t>雖</w:t>
      </w:r>
      <w:r w:rsidRPr="00713D42">
        <w:rPr>
          <w:rFonts w:hint="eastAsia"/>
        </w:rPr>
        <w:t>在所有統計國家中排名屬前1/3(除100年因國際私募股權基金等撤資排名215名外)，但較95、96年排名39、44已下滑許多。</w:t>
      </w:r>
    </w:p>
    <w:p w:rsidR="00372CA7" w:rsidRPr="00713D42" w:rsidRDefault="00372CA7" w:rsidP="00F6299D">
      <w:pPr>
        <w:pStyle w:val="5"/>
        <w:numPr>
          <w:ilvl w:val="4"/>
          <w:numId w:val="20"/>
        </w:numPr>
        <w:overflowPunct/>
        <w:autoSpaceDE/>
        <w:autoSpaceDN/>
      </w:pPr>
      <w:r w:rsidRPr="00713D42">
        <w:rPr>
          <w:rFonts w:hint="eastAsia"/>
        </w:rPr>
        <w:t>我國吸引FDI排名除遠落後香港、中國大陸之第2、3名及新加坡之第7名外，另亦長期落後其他亞洲國家，如:印度、越南、馬來西亞、泰國、菲律賓、韓國等國。</w:t>
      </w:r>
    </w:p>
    <w:p w:rsidR="00372CA7" w:rsidRPr="00713D42" w:rsidRDefault="00372CA7" w:rsidP="00372CA7">
      <w:pPr>
        <w:pStyle w:val="a5"/>
        <w:spacing w:beforeLines="50" w:before="220" w:after="0"/>
        <w:ind w:left="482" w:hanging="482"/>
        <w:jc w:val="center"/>
        <w:rPr>
          <w:b/>
        </w:rPr>
      </w:pPr>
      <w:r w:rsidRPr="00713D42">
        <w:rPr>
          <w:rFonts w:hint="eastAsia"/>
          <w:b/>
        </w:rPr>
        <w:t xml:space="preserve">FDI流入排名前10及主要亞洲國家比較表 </w:t>
      </w:r>
    </w:p>
    <w:p w:rsidR="00372CA7" w:rsidRPr="00713D42" w:rsidRDefault="00372CA7" w:rsidP="009D24AD">
      <w:pPr>
        <w:spacing w:line="300" w:lineRule="exact"/>
        <w:ind w:rightChars="-106" w:right="-370"/>
        <w:jc w:val="right"/>
      </w:pPr>
      <w:r w:rsidRPr="009F4774">
        <w:rPr>
          <w:rFonts w:hAnsi="標楷體" w:cs="Arial" w:hint="eastAsia"/>
          <w:bCs/>
          <w:sz w:val="22"/>
        </w:rPr>
        <w:t>單位:名次</w:t>
      </w:r>
    </w:p>
    <w:tbl>
      <w:tblPr>
        <w:tblW w:w="965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60"/>
        <w:gridCol w:w="709"/>
        <w:gridCol w:w="851"/>
        <w:gridCol w:w="686"/>
        <w:gridCol w:w="816"/>
        <w:gridCol w:w="815"/>
        <w:gridCol w:w="816"/>
        <w:gridCol w:w="815"/>
        <w:gridCol w:w="816"/>
        <w:gridCol w:w="906"/>
        <w:gridCol w:w="860"/>
      </w:tblGrid>
      <w:tr w:rsidR="00372CA7" w:rsidRPr="00713D42" w:rsidTr="009D24AD">
        <w:trPr>
          <w:trHeight w:val="226"/>
          <w:tblHeader/>
        </w:trPr>
        <w:tc>
          <w:tcPr>
            <w:tcW w:w="1560" w:type="dxa"/>
            <w:shd w:val="clear" w:color="auto" w:fill="auto"/>
            <w:noWrap/>
            <w:vAlign w:val="bottom"/>
            <w:hideMark/>
          </w:tcPr>
          <w:p w:rsidR="00372CA7" w:rsidRPr="00713D42" w:rsidRDefault="00372CA7" w:rsidP="00B10A4D">
            <w:pPr>
              <w:widowControl/>
              <w:spacing w:line="300" w:lineRule="exact"/>
              <w:ind w:firstLineChars="100" w:firstLine="249"/>
              <w:jc w:val="center"/>
              <w:rPr>
                <w:rFonts w:hAnsi="標楷體" w:cs="Arial"/>
                <w:b/>
                <w:bCs/>
                <w:kern w:val="0"/>
                <w:sz w:val="22"/>
              </w:rPr>
            </w:pPr>
            <w:r w:rsidRPr="00713D42">
              <w:rPr>
                <w:rFonts w:hAnsi="標楷體" w:cs="Arial" w:hint="eastAsia"/>
                <w:b/>
                <w:bCs/>
                <w:kern w:val="0"/>
                <w:sz w:val="22"/>
              </w:rPr>
              <w:t>年度</w:t>
            </w:r>
          </w:p>
        </w:tc>
        <w:tc>
          <w:tcPr>
            <w:tcW w:w="709"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95</w:t>
            </w:r>
          </w:p>
        </w:tc>
        <w:tc>
          <w:tcPr>
            <w:tcW w:w="851"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96</w:t>
            </w:r>
          </w:p>
        </w:tc>
        <w:tc>
          <w:tcPr>
            <w:tcW w:w="686"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97</w:t>
            </w:r>
          </w:p>
        </w:tc>
        <w:tc>
          <w:tcPr>
            <w:tcW w:w="816"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98</w:t>
            </w:r>
          </w:p>
        </w:tc>
        <w:tc>
          <w:tcPr>
            <w:tcW w:w="815"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99</w:t>
            </w:r>
          </w:p>
        </w:tc>
        <w:tc>
          <w:tcPr>
            <w:tcW w:w="816"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100</w:t>
            </w:r>
          </w:p>
        </w:tc>
        <w:tc>
          <w:tcPr>
            <w:tcW w:w="815"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101</w:t>
            </w:r>
          </w:p>
        </w:tc>
        <w:tc>
          <w:tcPr>
            <w:tcW w:w="816"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102</w:t>
            </w:r>
          </w:p>
        </w:tc>
        <w:tc>
          <w:tcPr>
            <w:tcW w:w="906"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103</w:t>
            </w:r>
          </w:p>
        </w:tc>
        <w:tc>
          <w:tcPr>
            <w:tcW w:w="860"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22"/>
              </w:rPr>
            </w:pPr>
            <w:r w:rsidRPr="00713D42">
              <w:rPr>
                <w:rFonts w:hAnsi="標楷體" w:cs="Arial" w:hint="eastAsia"/>
                <w:b/>
                <w:kern w:val="0"/>
                <w:sz w:val="22"/>
              </w:rPr>
              <w:t>104</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美國</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香港</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10</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中國大陸</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愛爾蘭</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216</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23</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16</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10</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20</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10</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13</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12</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荷蘭</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26</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18</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10</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瑞士</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18</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20</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12</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17</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110</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40</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新加坡</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12</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25</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17</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巴西</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20</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17</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15</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英屬維京群島</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28</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16</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加拿大</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19</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10</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印度</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18</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22</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19</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13</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16</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w:t>
            </w:r>
          </w:p>
        </w:tc>
      </w:tr>
      <w:tr w:rsidR="00372CA7" w:rsidRPr="00713D42" w:rsidTr="009D24AD">
        <w:trPr>
          <w:trHeight w:val="132"/>
        </w:trPr>
        <w:tc>
          <w:tcPr>
            <w:tcW w:w="1560" w:type="dxa"/>
            <w:shd w:val="clear" w:color="auto" w:fill="auto"/>
            <w:noWrap/>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越南</w:t>
            </w:r>
          </w:p>
        </w:tc>
        <w:tc>
          <w:tcPr>
            <w:tcW w:w="709"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66</w:t>
            </w:r>
          </w:p>
        </w:tc>
        <w:tc>
          <w:tcPr>
            <w:tcW w:w="851"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46</w:t>
            </w:r>
          </w:p>
        </w:tc>
        <w:tc>
          <w:tcPr>
            <w:tcW w:w="686"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33</w:t>
            </w:r>
          </w:p>
        </w:tc>
        <w:tc>
          <w:tcPr>
            <w:tcW w:w="816"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37</w:t>
            </w:r>
          </w:p>
        </w:tc>
        <w:tc>
          <w:tcPr>
            <w:tcW w:w="815"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36</w:t>
            </w:r>
          </w:p>
        </w:tc>
        <w:tc>
          <w:tcPr>
            <w:tcW w:w="816"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42</w:t>
            </w:r>
          </w:p>
        </w:tc>
        <w:tc>
          <w:tcPr>
            <w:tcW w:w="815"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40</w:t>
            </w:r>
          </w:p>
        </w:tc>
        <w:tc>
          <w:tcPr>
            <w:tcW w:w="816"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35</w:t>
            </w:r>
          </w:p>
        </w:tc>
        <w:tc>
          <w:tcPr>
            <w:tcW w:w="906"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31</w:t>
            </w:r>
          </w:p>
        </w:tc>
        <w:tc>
          <w:tcPr>
            <w:tcW w:w="860" w:type="dxa"/>
            <w:shd w:val="clear" w:color="auto" w:fill="auto"/>
            <w:noWrap/>
          </w:tcPr>
          <w:p w:rsidR="00372CA7" w:rsidRPr="00713D42" w:rsidRDefault="00372CA7" w:rsidP="00B10A4D">
            <w:pPr>
              <w:widowControl/>
              <w:spacing w:line="300" w:lineRule="exact"/>
              <w:jc w:val="center"/>
              <w:rPr>
                <w:rFonts w:hAnsi="標楷體" w:cs="Arial"/>
                <w:kern w:val="0"/>
                <w:sz w:val="22"/>
              </w:rPr>
            </w:pPr>
            <w:r w:rsidRPr="00713D42">
              <w:rPr>
                <w:rFonts w:hAnsi="標楷體" w:cs="Arial" w:hint="eastAsia"/>
                <w:kern w:val="0"/>
                <w:sz w:val="22"/>
              </w:rPr>
              <w:t>26</w:t>
            </w:r>
          </w:p>
        </w:tc>
      </w:tr>
      <w:tr w:rsidR="00372CA7" w:rsidRPr="00713D42" w:rsidTr="009D24AD">
        <w:trPr>
          <w:trHeight w:val="115"/>
        </w:trPr>
        <w:tc>
          <w:tcPr>
            <w:tcW w:w="1560" w:type="dxa"/>
            <w:shd w:val="clear" w:color="auto" w:fill="auto"/>
            <w:noWrap/>
          </w:tcPr>
          <w:p w:rsidR="00372CA7" w:rsidRPr="00713D42" w:rsidRDefault="00372CA7" w:rsidP="00B10A4D">
            <w:pPr>
              <w:spacing w:line="300" w:lineRule="exact"/>
              <w:rPr>
                <w:rFonts w:hAnsi="標楷體" w:cs="Arial"/>
                <w:kern w:val="0"/>
                <w:sz w:val="22"/>
              </w:rPr>
            </w:pPr>
            <w:r w:rsidRPr="00713D42">
              <w:rPr>
                <w:rFonts w:hAnsi="標楷體" w:cs="Arial" w:hint="eastAsia"/>
                <w:kern w:val="0"/>
                <w:sz w:val="22"/>
              </w:rPr>
              <w:t>馬來西亞</w:t>
            </w:r>
          </w:p>
        </w:tc>
        <w:tc>
          <w:tcPr>
            <w:tcW w:w="709"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43</w:t>
            </w:r>
          </w:p>
        </w:tc>
        <w:tc>
          <w:tcPr>
            <w:tcW w:w="851"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41</w:t>
            </w:r>
          </w:p>
        </w:tc>
        <w:tc>
          <w:tcPr>
            <w:tcW w:w="686"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41</w:t>
            </w:r>
          </w:p>
        </w:tc>
        <w:tc>
          <w:tcPr>
            <w:tcW w:w="816"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79</w:t>
            </w:r>
          </w:p>
        </w:tc>
        <w:tc>
          <w:tcPr>
            <w:tcW w:w="815"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33</w:t>
            </w:r>
          </w:p>
        </w:tc>
        <w:tc>
          <w:tcPr>
            <w:tcW w:w="816"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32</w:t>
            </w:r>
          </w:p>
        </w:tc>
        <w:tc>
          <w:tcPr>
            <w:tcW w:w="815"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35</w:t>
            </w:r>
          </w:p>
        </w:tc>
        <w:tc>
          <w:tcPr>
            <w:tcW w:w="816"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29</w:t>
            </w:r>
          </w:p>
        </w:tc>
        <w:tc>
          <w:tcPr>
            <w:tcW w:w="906"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27</w:t>
            </w:r>
          </w:p>
        </w:tc>
        <w:tc>
          <w:tcPr>
            <w:tcW w:w="860" w:type="dxa"/>
            <w:shd w:val="clear" w:color="auto" w:fill="auto"/>
            <w:noWrap/>
          </w:tcPr>
          <w:p w:rsidR="00372CA7" w:rsidRPr="00713D42" w:rsidRDefault="00372CA7" w:rsidP="00B10A4D">
            <w:pPr>
              <w:spacing w:line="300" w:lineRule="exact"/>
              <w:jc w:val="center"/>
              <w:rPr>
                <w:rFonts w:hAnsi="標楷體" w:cs="Arial"/>
                <w:kern w:val="0"/>
                <w:sz w:val="22"/>
              </w:rPr>
            </w:pPr>
            <w:r w:rsidRPr="00713D42">
              <w:rPr>
                <w:rFonts w:hAnsi="標楷體" w:cs="Arial" w:hint="eastAsia"/>
                <w:kern w:val="0"/>
                <w:sz w:val="22"/>
              </w:rPr>
              <w:t>29</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泰國</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35</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43</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36</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23</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57</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22</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55</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31</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菲律賓</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62</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64</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67</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85</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74</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71</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66</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38</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42</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韓國</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34</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39</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31</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30</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36</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25</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30</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43</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緬甸</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88</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196</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117</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179</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38</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95</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124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114</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98</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60</w:t>
            </w:r>
          </w:p>
        </w:tc>
      </w:tr>
      <w:tr w:rsidR="00372CA7" w:rsidRPr="00713D42" w:rsidTr="009D24AD">
        <w:trPr>
          <w:trHeight w:val="226"/>
        </w:trPr>
        <w:tc>
          <w:tcPr>
            <w:tcW w:w="1560" w:type="dxa"/>
            <w:shd w:val="clear" w:color="auto" w:fill="EEECE1" w:themeFill="background2"/>
            <w:noWrap/>
            <w:vAlign w:val="bottom"/>
            <w:hideMark/>
          </w:tcPr>
          <w:p w:rsidR="00372CA7" w:rsidRPr="00713D42" w:rsidRDefault="00372CA7" w:rsidP="00B10A4D">
            <w:pPr>
              <w:widowControl/>
              <w:spacing w:line="300" w:lineRule="exact"/>
              <w:rPr>
                <w:rFonts w:hAnsi="標楷體" w:cs="Arial"/>
                <w:b/>
                <w:kern w:val="0"/>
                <w:sz w:val="22"/>
              </w:rPr>
            </w:pPr>
            <w:r w:rsidRPr="00713D42">
              <w:rPr>
                <w:rFonts w:hAnsi="標楷體" w:cs="Arial" w:hint="eastAsia"/>
                <w:b/>
                <w:kern w:val="0"/>
                <w:sz w:val="22"/>
              </w:rPr>
              <w:t>臺灣</w:t>
            </w:r>
          </w:p>
        </w:tc>
        <w:tc>
          <w:tcPr>
            <w:tcW w:w="709"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39</w:t>
            </w:r>
          </w:p>
        </w:tc>
        <w:tc>
          <w:tcPr>
            <w:tcW w:w="851"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44</w:t>
            </w:r>
          </w:p>
        </w:tc>
        <w:tc>
          <w:tcPr>
            <w:tcW w:w="686"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48</w:t>
            </w:r>
          </w:p>
        </w:tc>
        <w:tc>
          <w:tcPr>
            <w:tcW w:w="816"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58</w:t>
            </w:r>
          </w:p>
        </w:tc>
        <w:tc>
          <w:tcPr>
            <w:tcW w:w="815"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58</w:t>
            </w:r>
          </w:p>
        </w:tc>
        <w:tc>
          <w:tcPr>
            <w:tcW w:w="816"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215</w:t>
            </w:r>
          </w:p>
        </w:tc>
        <w:tc>
          <w:tcPr>
            <w:tcW w:w="815"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60</w:t>
            </w:r>
          </w:p>
        </w:tc>
        <w:tc>
          <w:tcPr>
            <w:tcW w:w="816"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53</w:t>
            </w:r>
          </w:p>
        </w:tc>
        <w:tc>
          <w:tcPr>
            <w:tcW w:w="906"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62</w:t>
            </w:r>
          </w:p>
        </w:tc>
        <w:tc>
          <w:tcPr>
            <w:tcW w:w="860" w:type="dxa"/>
            <w:shd w:val="clear" w:color="auto" w:fill="EEECE1" w:themeFill="background2"/>
            <w:noWrap/>
            <w:vAlign w:val="bottom"/>
            <w:hideMark/>
          </w:tcPr>
          <w:p w:rsidR="00372CA7" w:rsidRPr="00713D42" w:rsidRDefault="00372CA7" w:rsidP="00B10A4D">
            <w:pPr>
              <w:spacing w:line="300" w:lineRule="exact"/>
              <w:jc w:val="center"/>
              <w:rPr>
                <w:rFonts w:hAnsi="標楷體" w:cs="Arial"/>
                <w:b/>
                <w:bCs/>
                <w:sz w:val="22"/>
              </w:rPr>
            </w:pPr>
            <w:r w:rsidRPr="00713D42">
              <w:rPr>
                <w:rFonts w:hAnsi="標楷體" w:cs="Arial"/>
                <w:b/>
                <w:bCs/>
                <w:sz w:val="22"/>
              </w:rPr>
              <w:t>61</w:t>
            </w:r>
          </w:p>
        </w:tc>
      </w:tr>
      <w:tr w:rsidR="00372CA7" w:rsidRPr="00713D42" w:rsidTr="009D24AD">
        <w:trPr>
          <w:trHeight w:val="226"/>
        </w:trPr>
        <w:tc>
          <w:tcPr>
            <w:tcW w:w="1560" w:type="dxa"/>
            <w:shd w:val="clear" w:color="auto" w:fill="auto"/>
            <w:noWrap/>
            <w:vAlign w:val="bottom"/>
            <w:hideMark/>
          </w:tcPr>
          <w:p w:rsidR="00372CA7" w:rsidRPr="00713D42" w:rsidRDefault="00372CA7" w:rsidP="00B10A4D">
            <w:pPr>
              <w:widowControl/>
              <w:spacing w:line="300" w:lineRule="exact"/>
              <w:rPr>
                <w:rFonts w:hAnsi="標楷體" w:cs="Arial"/>
                <w:kern w:val="0"/>
                <w:sz w:val="22"/>
              </w:rPr>
            </w:pPr>
            <w:r w:rsidRPr="00713D42">
              <w:rPr>
                <w:rFonts w:hAnsi="標楷體" w:cs="Arial" w:hint="eastAsia"/>
                <w:kern w:val="0"/>
                <w:sz w:val="22"/>
              </w:rPr>
              <w:t>日本</w:t>
            </w:r>
          </w:p>
        </w:tc>
        <w:tc>
          <w:tcPr>
            <w:tcW w:w="709"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217</w:t>
            </w:r>
          </w:p>
        </w:tc>
        <w:tc>
          <w:tcPr>
            <w:tcW w:w="851"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26</w:t>
            </w:r>
          </w:p>
        </w:tc>
        <w:tc>
          <w:tcPr>
            <w:tcW w:w="68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16</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26</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214</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214</w:t>
            </w:r>
          </w:p>
        </w:tc>
        <w:tc>
          <w:tcPr>
            <w:tcW w:w="815"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80</w:t>
            </w:r>
          </w:p>
        </w:tc>
        <w:tc>
          <w:tcPr>
            <w:tcW w:w="81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67</w:t>
            </w:r>
          </w:p>
        </w:tc>
        <w:tc>
          <w:tcPr>
            <w:tcW w:w="906"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70</w:t>
            </w:r>
          </w:p>
        </w:tc>
        <w:tc>
          <w:tcPr>
            <w:tcW w:w="860" w:type="dxa"/>
            <w:shd w:val="clear" w:color="auto" w:fill="auto"/>
            <w:noWrap/>
            <w:vAlign w:val="bottom"/>
            <w:hideMark/>
          </w:tcPr>
          <w:p w:rsidR="00372CA7" w:rsidRPr="00713D42" w:rsidRDefault="00372CA7" w:rsidP="00B10A4D">
            <w:pPr>
              <w:spacing w:line="300" w:lineRule="exact"/>
              <w:jc w:val="center"/>
              <w:rPr>
                <w:rFonts w:hAnsi="標楷體" w:cs="Arial"/>
                <w:bCs/>
                <w:sz w:val="22"/>
              </w:rPr>
            </w:pPr>
            <w:r w:rsidRPr="00713D42">
              <w:rPr>
                <w:rFonts w:hAnsi="標楷體" w:cs="Arial"/>
                <w:bCs/>
                <w:sz w:val="22"/>
              </w:rPr>
              <w:t>216</w:t>
            </w:r>
          </w:p>
        </w:tc>
      </w:tr>
    </w:tbl>
    <w:p w:rsidR="00372CA7" w:rsidRPr="00713D42" w:rsidRDefault="00372CA7" w:rsidP="00372CA7">
      <w:pPr>
        <w:pStyle w:val="5"/>
        <w:numPr>
          <w:ilvl w:val="0"/>
          <w:numId w:val="0"/>
        </w:numPr>
        <w:spacing w:afterLines="50" w:after="220" w:line="240" w:lineRule="exact"/>
        <w:ind w:leftChars="-123" w:left="-3" w:hangingChars="186" w:hanging="426"/>
      </w:pPr>
      <w:r w:rsidRPr="00713D42">
        <w:rPr>
          <w:rFonts w:hint="eastAsia"/>
          <w:sz w:val="20"/>
          <w:szCs w:val="20"/>
        </w:rPr>
        <w:t>資料來源:經濟部提供，經本院整理。</w:t>
      </w:r>
    </w:p>
    <w:p w:rsidR="00372CA7" w:rsidRPr="00713D42" w:rsidRDefault="00372CA7" w:rsidP="00F6299D">
      <w:pPr>
        <w:pStyle w:val="3"/>
        <w:numPr>
          <w:ilvl w:val="2"/>
          <w:numId w:val="20"/>
        </w:numPr>
        <w:overflowPunct/>
        <w:autoSpaceDE/>
        <w:autoSpaceDN/>
      </w:pPr>
      <w:bookmarkStart w:id="17" w:name="_Toc470099633"/>
      <w:r w:rsidRPr="00713D42">
        <w:rPr>
          <w:rFonts w:hint="eastAsia"/>
        </w:rPr>
        <w:t>再依「2016年IMD世界競爭力年報」（IMD World Competitiveness Yearbook）(詳表3)評比我國競</w:t>
      </w:r>
      <w:r w:rsidRPr="00713D42">
        <w:rPr>
          <w:rFonts w:hint="eastAsia"/>
        </w:rPr>
        <w:lastRenderedPageBreak/>
        <w:t>爭力為世界第14名，然與FDI有關之排名卻遠落後於我國競爭力之排名:</w:t>
      </w:r>
      <w:bookmarkEnd w:id="17"/>
    </w:p>
    <w:p w:rsidR="00372CA7" w:rsidRPr="00713D42" w:rsidRDefault="00372CA7" w:rsidP="00F6299D">
      <w:pPr>
        <w:pStyle w:val="4"/>
        <w:numPr>
          <w:ilvl w:val="3"/>
          <w:numId w:val="20"/>
        </w:numPr>
        <w:overflowPunct/>
        <w:autoSpaceDE/>
        <w:autoSpaceDN/>
      </w:pPr>
      <w:r w:rsidRPr="00713D42">
        <w:rPr>
          <w:rFonts w:hint="eastAsia"/>
        </w:rPr>
        <w:t>FDI流量排名:</w:t>
      </w:r>
    </w:p>
    <w:p w:rsidR="00372CA7" w:rsidRPr="00713D42" w:rsidRDefault="00372CA7" w:rsidP="00372CA7">
      <w:pPr>
        <w:pStyle w:val="5"/>
        <w:numPr>
          <w:ilvl w:val="0"/>
          <w:numId w:val="0"/>
        </w:numPr>
        <w:ind w:left="1701" w:firstLineChars="203" w:firstLine="708"/>
      </w:pPr>
      <w:r w:rsidRPr="00713D42">
        <w:rPr>
          <w:rFonts w:hint="eastAsia"/>
        </w:rPr>
        <w:t>105年我國「FDI流量」於61個評比國家中排名第38名，雖為95年以來次佳排名，較104年進步8名，然為61個國家中之中後段，且相較於我國競爭力排名世界第14名差異極大，係屬劣勢項目。</w:t>
      </w:r>
    </w:p>
    <w:p w:rsidR="00372CA7" w:rsidRPr="00713D42" w:rsidRDefault="00372CA7" w:rsidP="00F6299D">
      <w:pPr>
        <w:pStyle w:val="4"/>
        <w:numPr>
          <w:ilvl w:val="3"/>
          <w:numId w:val="20"/>
        </w:numPr>
        <w:overflowPunct/>
        <w:autoSpaceDE/>
        <w:autoSpaceDN/>
      </w:pPr>
      <w:r w:rsidRPr="00713D42">
        <w:rPr>
          <w:rFonts w:hint="eastAsia"/>
        </w:rPr>
        <w:t>FDI存量排名:</w:t>
      </w:r>
    </w:p>
    <w:p w:rsidR="00372CA7" w:rsidRDefault="00372CA7" w:rsidP="00372CA7">
      <w:pPr>
        <w:pStyle w:val="5"/>
        <w:numPr>
          <w:ilvl w:val="0"/>
          <w:numId w:val="0"/>
        </w:numPr>
        <w:ind w:leftChars="487" w:left="1700" w:firstLineChars="203" w:firstLine="708"/>
      </w:pPr>
      <w:r w:rsidRPr="00713D42">
        <w:rPr>
          <w:rFonts w:hint="eastAsia"/>
        </w:rPr>
        <w:t>我國於105年「FDI存量」排名46，雖較104年進步1名，然屬整體排名中後段，並遠較我國競爭力排名之14名差異極大，亦為我國劣勢項目。</w:t>
      </w:r>
    </w:p>
    <w:p w:rsidR="009F4774" w:rsidRPr="00713D42" w:rsidRDefault="009F4774" w:rsidP="00372CA7">
      <w:pPr>
        <w:pStyle w:val="5"/>
        <w:numPr>
          <w:ilvl w:val="0"/>
          <w:numId w:val="0"/>
        </w:numPr>
        <w:ind w:leftChars="487" w:left="1700" w:firstLineChars="203" w:firstLine="708"/>
      </w:pPr>
    </w:p>
    <w:p w:rsidR="00372CA7" w:rsidRPr="00713D42" w:rsidRDefault="00372CA7" w:rsidP="00372CA7">
      <w:pPr>
        <w:pStyle w:val="a5"/>
        <w:ind w:left="1048" w:hanging="480"/>
        <w:jc w:val="center"/>
        <w:rPr>
          <w:b/>
        </w:rPr>
      </w:pPr>
      <w:r w:rsidRPr="00713D42">
        <w:rPr>
          <w:rFonts w:hint="eastAsia"/>
          <w:b/>
        </w:rPr>
        <w:t>IMD與FDI相關指標之臺灣歷年排名</w:t>
      </w:r>
    </w:p>
    <w:p w:rsidR="00372CA7" w:rsidRPr="00713D42" w:rsidRDefault="00372CA7" w:rsidP="009F4774">
      <w:pPr>
        <w:spacing w:line="300" w:lineRule="exact"/>
        <w:ind w:rightChars="-146" w:right="-510"/>
        <w:jc w:val="right"/>
        <w:rPr>
          <w:sz w:val="20"/>
        </w:rPr>
      </w:pPr>
      <w:r w:rsidRPr="009F4774">
        <w:rPr>
          <w:rFonts w:hAnsi="標楷體" w:cs="Arial" w:hint="eastAsia"/>
          <w:bCs/>
          <w:sz w:val="22"/>
        </w:rPr>
        <w:t>單位:名次</w:t>
      </w:r>
    </w:p>
    <w:tbl>
      <w:tblPr>
        <w:tblW w:w="8805" w:type="dxa"/>
        <w:tblInd w:w="451" w:type="dxa"/>
        <w:tblCellMar>
          <w:left w:w="0" w:type="dxa"/>
          <w:right w:w="0" w:type="dxa"/>
        </w:tblCellMar>
        <w:tblLook w:val="0600" w:firstRow="0" w:lastRow="0" w:firstColumn="0" w:lastColumn="0" w:noHBand="1" w:noVBand="1"/>
      </w:tblPr>
      <w:tblGrid>
        <w:gridCol w:w="1883"/>
        <w:gridCol w:w="629"/>
        <w:gridCol w:w="629"/>
        <w:gridCol w:w="629"/>
        <w:gridCol w:w="630"/>
        <w:gridCol w:w="629"/>
        <w:gridCol w:w="629"/>
        <w:gridCol w:w="629"/>
        <w:gridCol w:w="630"/>
        <w:gridCol w:w="629"/>
        <w:gridCol w:w="629"/>
        <w:gridCol w:w="630"/>
      </w:tblGrid>
      <w:tr w:rsidR="00372CA7" w:rsidRPr="00713D42" w:rsidTr="00B10A4D">
        <w:trPr>
          <w:trHeight w:val="242"/>
          <w:tblHeader/>
        </w:trPr>
        <w:tc>
          <w:tcPr>
            <w:tcW w:w="1883"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b/>
                <w:bCs/>
                <w:sz w:val="24"/>
                <w:szCs w:val="24"/>
              </w:rPr>
              <w:t>指     標</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
                <w:bCs/>
                <w:sz w:val="24"/>
                <w:szCs w:val="24"/>
              </w:rPr>
            </w:pPr>
            <w:r w:rsidRPr="00713D42">
              <w:rPr>
                <w:rFonts w:hAnsi="標楷體" w:hint="eastAsia"/>
                <w:b/>
                <w:bCs/>
                <w:sz w:val="24"/>
                <w:szCs w:val="24"/>
              </w:rPr>
              <w:t>95</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
                <w:bCs/>
                <w:sz w:val="24"/>
                <w:szCs w:val="24"/>
              </w:rPr>
            </w:pPr>
            <w:r w:rsidRPr="00713D42">
              <w:rPr>
                <w:rFonts w:hAnsi="標楷體" w:hint="eastAsia"/>
                <w:b/>
                <w:bCs/>
                <w:sz w:val="24"/>
                <w:szCs w:val="24"/>
              </w:rPr>
              <w:t>96</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
                <w:bCs/>
                <w:sz w:val="24"/>
                <w:szCs w:val="24"/>
              </w:rPr>
            </w:pPr>
            <w:r w:rsidRPr="00713D42">
              <w:rPr>
                <w:rFonts w:hAnsi="標楷體" w:hint="eastAsia"/>
                <w:b/>
                <w:bCs/>
                <w:sz w:val="24"/>
                <w:szCs w:val="24"/>
              </w:rPr>
              <w:t>97</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98</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99</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100</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101</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102</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103</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jc w:val="center"/>
              <w:rPr>
                <w:rFonts w:hAnsi="標楷體"/>
                <w:b/>
                <w:sz w:val="24"/>
                <w:szCs w:val="24"/>
              </w:rPr>
            </w:pPr>
            <w:r w:rsidRPr="00713D42">
              <w:rPr>
                <w:rFonts w:hAnsi="標楷體" w:hint="eastAsia"/>
                <w:b/>
                <w:sz w:val="24"/>
                <w:szCs w:val="24"/>
              </w:rPr>
              <w:t>104</w:t>
            </w:r>
          </w:p>
        </w:tc>
        <w:tc>
          <w:tcPr>
            <w:tcW w:w="630"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
                <w:bCs/>
                <w:sz w:val="24"/>
                <w:szCs w:val="24"/>
              </w:rPr>
            </w:pPr>
            <w:r w:rsidRPr="00713D42">
              <w:rPr>
                <w:rFonts w:hAnsi="標楷體" w:hint="eastAsia"/>
                <w:b/>
                <w:bCs/>
                <w:sz w:val="24"/>
                <w:szCs w:val="24"/>
              </w:rPr>
              <w:t>105</w:t>
            </w:r>
          </w:p>
        </w:tc>
      </w:tr>
      <w:tr w:rsidR="00372CA7" w:rsidRPr="00713D42" w:rsidTr="00B10A4D">
        <w:trPr>
          <w:trHeight w:val="17"/>
        </w:trPr>
        <w:tc>
          <w:tcPr>
            <w:tcW w:w="1883"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hideMark/>
          </w:tcPr>
          <w:p w:rsidR="00372CA7" w:rsidRPr="00713D42" w:rsidRDefault="00372CA7" w:rsidP="00B10A4D">
            <w:pPr>
              <w:rPr>
                <w:rFonts w:hAnsi="標楷體"/>
                <w:sz w:val="24"/>
                <w:szCs w:val="24"/>
              </w:rPr>
            </w:pPr>
            <w:r w:rsidRPr="00713D42">
              <w:rPr>
                <w:rFonts w:hAnsi="標楷體" w:hint="eastAsia"/>
                <w:sz w:val="24"/>
                <w:szCs w:val="24"/>
              </w:rPr>
              <w:t>國際投資</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42</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42</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44</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50</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39</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31</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30</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31</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29</w:t>
            </w:r>
          </w:p>
        </w:tc>
        <w:tc>
          <w:tcPr>
            <w:tcW w:w="630"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33</w:t>
            </w:r>
          </w:p>
        </w:tc>
      </w:tr>
      <w:tr w:rsidR="00372CA7" w:rsidRPr="00713D42" w:rsidTr="00B10A4D">
        <w:trPr>
          <w:trHeight w:val="97"/>
        </w:trPr>
        <w:tc>
          <w:tcPr>
            <w:tcW w:w="1883"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rPr>
                <w:rFonts w:hAnsi="標楷體"/>
                <w:sz w:val="24"/>
                <w:szCs w:val="24"/>
              </w:rPr>
            </w:pPr>
            <w:r w:rsidRPr="00713D42">
              <w:rPr>
                <w:rFonts w:hAnsi="標楷體" w:hint="eastAsia"/>
                <w:sz w:val="24"/>
                <w:szCs w:val="24"/>
              </w:rPr>
              <w:t>－FDI流量</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53</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35</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45</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44</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60</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38</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c>
          <w:tcPr>
            <w:tcW w:w="630"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38</w:t>
            </w:r>
          </w:p>
        </w:tc>
      </w:tr>
      <w:tr w:rsidR="00372CA7" w:rsidRPr="00713D42" w:rsidTr="00B10A4D">
        <w:trPr>
          <w:trHeight w:val="17"/>
        </w:trPr>
        <w:tc>
          <w:tcPr>
            <w:tcW w:w="1883"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rPr>
                <w:rFonts w:hAnsi="標楷體"/>
                <w:sz w:val="24"/>
                <w:szCs w:val="24"/>
              </w:rPr>
            </w:pPr>
            <w:r w:rsidRPr="00713D42">
              <w:rPr>
                <w:rFonts w:hAnsi="標楷體" w:hint="eastAsia"/>
                <w:sz w:val="24"/>
                <w:szCs w:val="24"/>
              </w:rPr>
              <w:t>－FDI存量</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39</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40</w:t>
            </w:r>
          </w:p>
        </w:tc>
        <w:tc>
          <w:tcPr>
            <w:tcW w:w="629"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39</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45</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45</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43</w:t>
            </w:r>
          </w:p>
        </w:tc>
        <w:tc>
          <w:tcPr>
            <w:tcW w:w="630"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47</w:t>
            </w:r>
          </w:p>
        </w:tc>
        <w:tc>
          <w:tcPr>
            <w:tcW w:w="629" w:type="dxa"/>
            <w:tcBorders>
              <w:top w:val="single" w:sz="8" w:space="0" w:color="000000"/>
              <w:left w:val="single" w:sz="8" w:space="0" w:color="000000"/>
              <w:bottom w:val="single" w:sz="8" w:space="0" w:color="000000"/>
              <w:right w:val="single" w:sz="8" w:space="0" w:color="000000"/>
            </w:tcBorders>
            <w:shd w:val="clear" w:color="auto" w:fill="auto"/>
            <w:tcMar>
              <w:top w:w="15" w:type="dxa"/>
              <w:left w:w="25" w:type="dxa"/>
              <w:bottom w:w="0" w:type="dxa"/>
              <w:right w:w="25" w:type="dxa"/>
            </w:tcMar>
            <w:vAlign w:val="center"/>
          </w:tcPr>
          <w:p w:rsidR="00372CA7" w:rsidRPr="00713D42" w:rsidRDefault="00372CA7" w:rsidP="00B10A4D">
            <w:pPr>
              <w:jc w:val="center"/>
              <w:rPr>
                <w:rFonts w:hAnsi="標楷體"/>
                <w:bCs/>
                <w:sz w:val="24"/>
                <w:szCs w:val="24"/>
              </w:rPr>
            </w:pPr>
            <w:r w:rsidRPr="00713D42">
              <w:rPr>
                <w:rFonts w:hAnsi="標楷體"/>
                <w:bCs/>
                <w:sz w:val="24"/>
                <w:szCs w:val="24"/>
              </w:rPr>
              <w:t>47</w:t>
            </w:r>
          </w:p>
        </w:tc>
        <w:tc>
          <w:tcPr>
            <w:tcW w:w="630" w:type="dxa"/>
            <w:tcBorders>
              <w:top w:val="single" w:sz="8" w:space="0" w:color="000000"/>
              <w:left w:val="single" w:sz="8" w:space="0" w:color="000000"/>
              <w:bottom w:val="single" w:sz="8" w:space="0" w:color="000000"/>
              <w:right w:val="single" w:sz="8" w:space="0" w:color="000000"/>
            </w:tcBorders>
            <w:vAlign w:val="center"/>
          </w:tcPr>
          <w:p w:rsidR="00372CA7" w:rsidRPr="00713D42" w:rsidRDefault="00372CA7" w:rsidP="00B10A4D">
            <w:pPr>
              <w:jc w:val="center"/>
              <w:rPr>
                <w:rFonts w:hAnsi="標楷體"/>
                <w:bCs/>
                <w:sz w:val="24"/>
                <w:szCs w:val="24"/>
              </w:rPr>
            </w:pPr>
            <w:r w:rsidRPr="00713D42">
              <w:rPr>
                <w:rFonts w:hAnsi="標楷體"/>
                <w:bCs/>
                <w:sz w:val="24"/>
                <w:szCs w:val="24"/>
              </w:rPr>
              <w:t>46</w:t>
            </w:r>
          </w:p>
        </w:tc>
      </w:tr>
    </w:tbl>
    <w:p w:rsidR="00372CA7" w:rsidRPr="00713D42" w:rsidRDefault="00372CA7" w:rsidP="00372CA7">
      <w:pPr>
        <w:snapToGrid w:val="0"/>
        <w:spacing w:line="240" w:lineRule="exact"/>
        <w:ind w:leftChars="-86" w:left="-300" w:firstLineChars="291" w:firstLine="725"/>
      </w:pPr>
      <w:r w:rsidRPr="00713D42">
        <w:rPr>
          <w:rFonts w:hint="eastAsia"/>
          <w:sz w:val="22"/>
          <w:szCs w:val="22"/>
        </w:rPr>
        <w:t>註：</w:t>
      </w:r>
      <w:r w:rsidRPr="00713D42">
        <w:rPr>
          <w:sz w:val="22"/>
          <w:szCs w:val="22"/>
        </w:rPr>
        <w:t>受評國家數為</w:t>
      </w:r>
      <w:r w:rsidRPr="00713D42">
        <w:rPr>
          <w:rFonts w:hint="eastAsia"/>
          <w:sz w:val="22"/>
          <w:szCs w:val="22"/>
        </w:rPr>
        <w:t>61</w:t>
      </w:r>
      <w:r w:rsidRPr="00713D42">
        <w:rPr>
          <w:sz w:val="22"/>
          <w:szCs w:val="22"/>
        </w:rPr>
        <w:t>個</w:t>
      </w:r>
      <w:r w:rsidRPr="00713D42">
        <w:t>。</w:t>
      </w:r>
    </w:p>
    <w:p w:rsidR="00372CA7" w:rsidRPr="00713D42" w:rsidRDefault="00372CA7" w:rsidP="00372CA7">
      <w:pPr>
        <w:pStyle w:val="6"/>
        <w:numPr>
          <w:ilvl w:val="0"/>
          <w:numId w:val="0"/>
        </w:numPr>
        <w:spacing w:afterLines="50" w:after="220" w:line="240" w:lineRule="exact"/>
        <w:ind w:leftChars="-1" w:left="-3" w:firstLineChars="186" w:firstLine="426"/>
      </w:pPr>
      <w:r w:rsidRPr="00713D42">
        <w:rPr>
          <w:rFonts w:hint="eastAsia"/>
          <w:sz w:val="20"/>
          <w:szCs w:val="20"/>
        </w:rPr>
        <w:t>資料來源：</w:t>
      </w:r>
      <w:r w:rsidRPr="00713D42">
        <w:rPr>
          <w:sz w:val="20"/>
          <w:szCs w:val="20"/>
        </w:rPr>
        <w:t>IMD</w:t>
      </w:r>
      <w:r w:rsidRPr="00713D42">
        <w:rPr>
          <w:rFonts w:hint="eastAsia"/>
          <w:sz w:val="20"/>
          <w:szCs w:val="20"/>
        </w:rPr>
        <w:t>,</w:t>
      </w:r>
      <w:r w:rsidRPr="00713D42">
        <w:rPr>
          <w:sz w:val="20"/>
          <w:szCs w:val="20"/>
        </w:rPr>
        <w:t xml:space="preserve"> W</w:t>
      </w:r>
      <w:r w:rsidRPr="00713D42">
        <w:rPr>
          <w:rFonts w:hint="eastAsia"/>
          <w:sz w:val="20"/>
          <w:szCs w:val="20"/>
        </w:rPr>
        <w:t>orld</w:t>
      </w:r>
      <w:r w:rsidRPr="00713D42">
        <w:rPr>
          <w:sz w:val="20"/>
          <w:szCs w:val="20"/>
        </w:rPr>
        <w:t xml:space="preserve"> C</w:t>
      </w:r>
      <w:r w:rsidRPr="00713D42">
        <w:rPr>
          <w:rFonts w:hint="eastAsia"/>
          <w:sz w:val="20"/>
          <w:szCs w:val="20"/>
        </w:rPr>
        <w:t>ompetitiveness資料庫。</w:t>
      </w:r>
    </w:p>
    <w:p w:rsidR="00372CA7" w:rsidRPr="00713D42" w:rsidRDefault="00372CA7" w:rsidP="00F6299D">
      <w:pPr>
        <w:pStyle w:val="3"/>
        <w:numPr>
          <w:ilvl w:val="2"/>
          <w:numId w:val="20"/>
        </w:numPr>
        <w:overflowPunct/>
        <w:autoSpaceDE/>
        <w:autoSpaceDN/>
      </w:pPr>
      <w:bookmarkStart w:id="18" w:name="_Toc469271733"/>
      <w:bookmarkStart w:id="19" w:name="_Toc470099634"/>
      <w:r w:rsidRPr="00713D42">
        <w:rPr>
          <w:rFonts w:hint="eastAsia"/>
        </w:rPr>
        <w:t>綜上，</w:t>
      </w:r>
      <w:bookmarkEnd w:id="18"/>
      <w:r w:rsidRPr="00713D42">
        <w:rPr>
          <w:rFonts w:hint="eastAsia"/>
        </w:rPr>
        <w:t>我國吸引FDI之能力，除遠落後於香港、中國大陸、新加坡外，亦落後印度、越南、馬來西亞、泰國、菲律賓、韓國、緬甸等亞洲國家，僅為菲律賓、韓國之1/2，馬來西亞、泰國之1/4，吸引FDI成效不彰，</w:t>
      </w:r>
      <w:r w:rsidR="007C2944">
        <w:rPr>
          <w:rFonts w:hint="eastAsia"/>
        </w:rPr>
        <w:t>然</w:t>
      </w:r>
      <w:r w:rsidRPr="00713D42">
        <w:rPr>
          <w:rFonts w:hint="eastAsia"/>
        </w:rPr>
        <w:t>經濟部稱我國FDI並無下滑傾向，惟近3年我國FDI由35.98億美元下滑至24.13億美元，下滑趨勢明顯，行政院允應正視我國吸引FDI成效不彰及下滑之現狀，積極籌謀強化吸引FDI之能力。</w:t>
      </w:r>
      <w:bookmarkEnd w:id="19"/>
    </w:p>
    <w:p w:rsidR="00372CA7" w:rsidRPr="00713D42" w:rsidRDefault="00372CA7" w:rsidP="00F6299D">
      <w:pPr>
        <w:pStyle w:val="2"/>
        <w:numPr>
          <w:ilvl w:val="1"/>
          <w:numId w:val="20"/>
        </w:numPr>
        <w:overflowPunct/>
        <w:autoSpaceDE/>
        <w:autoSpaceDN/>
        <w:rPr>
          <w:b/>
        </w:rPr>
      </w:pPr>
      <w:bookmarkStart w:id="20" w:name="_Toc469271746"/>
      <w:bookmarkStart w:id="21" w:name="_Toc470099635"/>
      <w:r w:rsidRPr="00713D42">
        <w:rPr>
          <w:rFonts w:hint="eastAsia"/>
          <w:b/>
        </w:rPr>
        <w:t>依據104年投審會核准FDI</w:t>
      </w:r>
      <w:r w:rsidR="007C2944">
        <w:rPr>
          <w:rFonts w:hint="eastAsia"/>
          <w:b/>
        </w:rPr>
        <w:t>之</w:t>
      </w:r>
      <w:r w:rsidRPr="00713D42">
        <w:rPr>
          <w:rFonts w:hint="eastAsia"/>
          <w:b/>
        </w:rPr>
        <w:t>投資產業發現，與我</w:t>
      </w:r>
      <w:r w:rsidRPr="00713D42">
        <w:rPr>
          <w:rFonts w:hint="eastAsia"/>
          <w:b/>
        </w:rPr>
        <w:lastRenderedPageBreak/>
        <w:t>國目前發展之重點產業未相吻合，顯見我國政府對應吸引FDI投資哪些產業及需要哪些策略夥伴等仍缺乏明確主軸，</w:t>
      </w:r>
      <w:bookmarkEnd w:id="20"/>
      <w:r w:rsidRPr="00713D42">
        <w:rPr>
          <w:rFonts w:hint="eastAsia"/>
          <w:b/>
        </w:rPr>
        <w:t>行政院允應力求清晰瞭解自身產業發展之立基點，針對重點發</w:t>
      </w:r>
      <w:r w:rsidR="007C2944">
        <w:rPr>
          <w:rFonts w:hint="eastAsia"/>
          <w:b/>
        </w:rPr>
        <w:t>展</w:t>
      </w:r>
      <w:r w:rsidRPr="00713D42">
        <w:rPr>
          <w:rFonts w:hint="eastAsia"/>
          <w:b/>
        </w:rPr>
        <w:t>產業盤點商機與缺口，研議招商策略，</w:t>
      </w:r>
      <w:r w:rsidR="007C2944">
        <w:rPr>
          <w:rFonts w:hint="eastAsia"/>
          <w:b/>
        </w:rPr>
        <w:t>並提升</w:t>
      </w:r>
      <w:r w:rsidRPr="00713D42">
        <w:rPr>
          <w:rFonts w:hint="eastAsia"/>
          <w:b/>
        </w:rPr>
        <w:t>重點招商對象之招商成果。</w:t>
      </w:r>
      <w:bookmarkEnd w:id="21"/>
    </w:p>
    <w:p w:rsidR="00372CA7" w:rsidRDefault="00372CA7" w:rsidP="00F6299D">
      <w:pPr>
        <w:pStyle w:val="3"/>
        <w:numPr>
          <w:ilvl w:val="2"/>
          <w:numId w:val="20"/>
        </w:numPr>
        <w:overflowPunct/>
        <w:autoSpaceDE/>
        <w:autoSpaceDN/>
      </w:pPr>
      <w:bookmarkStart w:id="22" w:name="_Toc470099636"/>
      <w:bookmarkStart w:id="23" w:name="_Toc469271747"/>
      <w:r w:rsidRPr="00713D42">
        <w:rPr>
          <w:rFonts w:hint="eastAsia"/>
        </w:rPr>
        <w:t>查104年全球FDI流入各國之金額為1.7兆美元(詳表4)，我國流入金額為24.2億美元，僅占全球FDI流入各國金額之0.13%。</w:t>
      </w:r>
      <w:bookmarkEnd w:id="22"/>
    </w:p>
    <w:p w:rsidR="001155E6" w:rsidRDefault="001155E6" w:rsidP="001155E6">
      <w:pPr>
        <w:pStyle w:val="3"/>
        <w:numPr>
          <w:ilvl w:val="0"/>
          <w:numId w:val="0"/>
        </w:numPr>
        <w:overflowPunct/>
        <w:autoSpaceDE/>
        <w:autoSpaceDN/>
        <w:ind w:left="1361"/>
      </w:pPr>
    </w:p>
    <w:p w:rsidR="001155E6" w:rsidRDefault="001155E6" w:rsidP="001155E6">
      <w:pPr>
        <w:pStyle w:val="3"/>
        <w:numPr>
          <w:ilvl w:val="0"/>
          <w:numId w:val="0"/>
        </w:numPr>
        <w:overflowPunct/>
        <w:autoSpaceDE/>
        <w:autoSpaceDN/>
        <w:ind w:left="1361"/>
      </w:pPr>
    </w:p>
    <w:p w:rsidR="001155E6" w:rsidRDefault="001155E6" w:rsidP="001155E6">
      <w:pPr>
        <w:pStyle w:val="3"/>
        <w:numPr>
          <w:ilvl w:val="0"/>
          <w:numId w:val="0"/>
        </w:numPr>
        <w:overflowPunct/>
        <w:autoSpaceDE/>
        <w:autoSpaceDN/>
        <w:ind w:left="1361"/>
      </w:pPr>
    </w:p>
    <w:p w:rsidR="007C2944" w:rsidRPr="00713D42" w:rsidRDefault="007C2944" w:rsidP="001155E6">
      <w:pPr>
        <w:pStyle w:val="3"/>
        <w:numPr>
          <w:ilvl w:val="0"/>
          <w:numId w:val="0"/>
        </w:numPr>
        <w:overflowPunct/>
        <w:autoSpaceDE/>
        <w:autoSpaceDN/>
        <w:ind w:left="1361"/>
      </w:pPr>
    </w:p>
    <w:p w:rsidR="00372CA7" w:rsidRPr="00713D42" w:rsidRDefault="00372CA7" w:rsidP="00372CA7">
      <w:pPr>
        <w:pStyle w:val="a5"/>
        <w:ind w:left="1048" w:hanging="480"/>
        <w:jc w:val="center"/>
        <w:rPr>
          <w:b/>
        </w:rPr>
      </w:pPr>
      <w:r w:rsidRPr="00713D42">
        <w:rPr>
          <w:rFonts w:hint="eastAsia"/>
          <w:b/>
        </w:rPr>
        <w:t>全球、前10大、我國FDI流入情形表</w:t>
      </w:r>
    </w:p>
    <w:p w:rsidR="00372CA7" w:rsidRPr="00713D42" w:rsidRDefault="00372CA7" w:rsidP="009D24AD">
      <w:pPr>
        <w:pStyle w:val="3"/>
        <w:numPr>
          <w:ilvl w:val="0"/>
          <w:numId w:val="0"/>
        </w:numPr>
        <w:spacing w:line="240" w:lineRule="exact"/>
        <w:ind w:left="1361" w:rightChars="15" w:right="52"/>
        <w:jc w:val="right"/>
        <w:rPr>
          <w:sz w:val="20"/>
          <w:szCs w:val="20"/>
        </w:rPr>
      </w:pPr>
      <w:bookmarkStart w:id="24" w:name="_Toc469271748"/>
      <w:bookmarkStart w:id="25" w:name="_Toc470099637"/>
      <w:r w:rsidRPr="00713D42">
        <w:rPr>
          <w:rFonts w:hAnsi="標楷體" w:hint="eastAsia"/>
          <w:sz w:val="20"/>
          <w:szCs w:val="20"/>
        </w:rPr>
        <w:t>單位:百萬美元</w:t>
      </w:r>
      <w:bookmarkEnd w:id="24"/>
      <w:bookmarkEnd w:id="25"/>
    </w:p>
    <w:tbl>
      <w:tblPr>
        <w:tblW w:w="8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3"/>
        <w:gridCol w:w="1004"/>
        <w:gridCol w:w="1004"/>
        <w:gridCol w:w="1004"/>
        <w:gridCol w:w="1004"/>
        <w:gridCol w:w="1004"/>
        <w:gridCol w:w="1004"/>
        <w:gridCol w:w="1004"/>
        <w:gridCol w:w="1004"/>
      </w:tblGrid>
      <w:tr w:rsidR="00372CA7" w:rsidRPr="00713D42" w:rsidTr="009D24AD">
        <w:trPr>
          <w:trHeight w:val="227"/>
          <w:tblHeader/>
        </w:trPr>
        <w:tc>
          <w:tcPr>
            <w:tcW w:w="793" w:type="dxa"/>
            <w:shd w:val="clear" w:color="auto" w:fill="auto"/>
            <w:noWrap/>
            <w:vAlign w:val="bottom"/>
            <w:hideMark/>
          </w:tcPr>
          <w:p w:rsidR="00372CA7" w:rsidRPr="00713D42" w:rsidRDefault="00372CA7" w:rsidP="00B10A4D">
            <w:pPr>
              <w:widowControl/>
              <w:spacing w:line="300" w:lineRule="exact"/>
              <w:ind w:firstLineChars="100" w:firstLine="209"/>
              <w:rPr>
                <w:rFonts w:hAnsi="標楷體" w:cs="Arial"/>
                <w:b/>
                <w:bCs/>
                <w:kern w:val="0"/>
                <w:sz w:val="18"/>
                <w:szCs w:val="18"/>
              </w:rPr>
            </w:pPr>
            <w:r w:rsidRPr="00713D42">
              <w:rPr>
                <w:rFonts w:hAnsi="標楷體" w:cs="Arial" w:hint="eastAsia"/>
                <w:b/>
                <w:bCs/>
                <w:kern w:val="0"/>
                <w:sz w:val="18"/>
                <w:szCs w:val="18"/>
              </w:rPr>
              <w:t>年度</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97</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98</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99</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100</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101</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102</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103</w:t>
            </w:r>
          </w:p>
        </w:tc>
        <w:tc>
          <w:tcPr>
            <w:tcW w:w="1004" w:type="dxa"/>
            <w:shd w:val="clear" w:color="auto" w:fill="auto"/>
            <w:noWrap/>
            <w:vAlign w:val="bottom"/>
            <w:hideMark/>
          </w:tcPr>
          <w:p w:rsidR="00372CA7" w:rsidRPr="00713D42" w:rsidRDefault="00372CA7" w:rsidP="00B10A4D">
            <w:pPr>
              <w:widowControl/>
              <w:spacing w:line="300" w:lineRule="exact"/>
              <w:jc w:val="center"/>
              <w:rPr>
                <w:rFonts w:hAnsi="標楷體" w:cs="Arial"/>
                <w:b/>
                <w:kern w:val="0"/>
                <w:sz w:val="18"/>
                <w:szCs w:val="18"/>
              </w:rPr>
            </w:pPr>
            <w:r w:rsidRPr="00713D42">
              <w:rPr>
                <w:rFonts w:hAnsi="標楷體" w:cs="Arial" w:hint="eastAsia"/>
                <w:b/>
                <w:kern w:val="0"/>
                <w:sz w:val="18"/>
                <w:szCs w:val="18"/>
              </w:rPr>
              <w:t>104</w:t>
            </w:r>
          </w:p>
        </w:tc>
      </w:tr>
      <w:tr w:rsidR="00372CA7" w:rsidRPr="00713D42" w:rsidTr="009D24AD">
        <w:trPr>
          <w:trHeight w:val="66"/>
        </w:trPr>
        <w:tc>
          <w:tcPr>
            <w:tcW w:w="793" w:type="dxa"/>
            <w:shd w:val="clear" w:color="auto" w:fill="auto"/>
            <w:noWrap/>
            <w:vAlign w:val="bottom"/>
            <w:hideMark/>
          </w:tcPr>
          <w:p w:rsidR="00372CA7" w:rsidRPr="00326E14" w:rsidRDefault="00372CA7" w:rsidP="00B10A4D">
            <w:pPr>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全球</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497</w:t>
            </w:r>
            <w:r w:rsidRPr="00326E14">
              <w:rPr>
                <w:rFonts w:hAnsi="標楷體" w:cs="Arial" w:hint="eastAsia"/>
                <w:spacing w:val="-20"/>
                <w:kern w:val="0"/>
                <w:sz w:val="18"/>
                <w:szCs w:val="18"/>
              </w:rPr>
              <w:t>,</w:t>
            </w:r>
            <w:r w:rsidRPr="00326E14">
              <w:rPr>
                <w:rFonts w:hAnsi="標楷體" w:cs="Arial"/>
                <w:spacing w:val="-20"/>
                <w:kern w:val="0"/>
                <w:sz w:val="18"/>
                <w:szCs w:val="18"/>
              </w:rPr>
              <w:t>788.1</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181</w:t>
            </w:r>
            <w:r w:rsidRPr="00326E14">
              <w:rPr>
                <w:rFonts w:hAnsi="標楷體" w:cs="Arial" w:hint="eastAsia"/>
                <w:spacing w:val="-20"/>
                <w:kern w:val="0"/>
                <w:sz w:val="18"/>
                <w:szCs w:val="18"/>
              </w:rPr>
              <w:t>,</w:t>
            </w:r>
            <w:r w:rsidRPr="00326E14">
              <w:rPr>
                <w:rFonts w:hAnsi="標楷體" w:cs="Arial"/>
                <w:spacing w:val="-20"/>
                <w:kern w:val="0"/>
                <w:sz w:val="18"/>
                <w:szCs w:val="18"/>
              </w:rPr>
              <w:t>412.2</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388</w:t>
            </w:r>
            <w:r w:rsidRPr="00326E14">
              <w:rPr>
                <w:rFonts w:hAnsi="標楷體" w:cs="Arial" w:hint="eastAsia"/>
                <w:spacing w:val="-20"/>
                <w:kern w:val="0"/>
                <w:sz w:val="18"/>
                <w:szCs w:val="18"/>
              </w:rPr>
              <w:t>,</w:t>
            </w:r>
            <w:r w:rsidRPr="00326E14">
              <w:rPr>
                <w:rFonts w:hAnsi="標楷體" w:cs="Arial"/>
                <w:spacing w:val="-20"/>
                <w:kern w:val="0"/>
                <w:sz w:val="18"/>
                <w:szCs w:val="18"/>
              </w:rPr>
              <w:t>821.0</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566</w:t>
            </w:r>
            <w:r w:rsidRPr="00326E14">
              <w:rPr>
                <w:rFonts w:hAnsi="標楷體" w:cs="Arial" w:hint="eastAsia"/>
                <w:spacing w:val="-20"/>
                <w:kern w:val="0"/>
                <w:sz w:val="18"/>
                <w:szCs w:val="18"/>
              </w:rPr>
              <w:t>,</w:t>
            </w:r>
            <w:r w:rsidRPr="00326E14">
              <w:rPr>
                <w:rFonts w:hAnsi="標楷體" w:cs="Arial"/>
                <w:spacing w:val="-20"/>
                <w:kern w:val="0"/>
                <w:sz w:val="18"/>
                <w:szCs w:val="18"/>
              </w:rPr>
              <w:t>839.0</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510</w:t>
            </w:r>
            <w:r w:rsidRPr="00326E14">
              <w:rPr>
                <w:rFonts w:hAnsi="標楷體" w:cs="Arial" w:hint="eastAsia"/>
                <w:spacing w:val="-20"/>
                <w:kern w:val="0"/>
                <w:sz w:val="18"/>
                <w:szCs w:val="18"/>
              </w:rPr>
              <w:t>,</w:t>
            </w:r>
            <w:r w:rsidRPr="00326E14">
              <w:rPr>
                <w:rFonts w:hAnsi="標楷體" w:cs="Arial"/>
                <w:spacing w:val="-20"/>
                <w:kern w:val="0"/>
                <w:sz w:val="18"/>
                <w:szCs w:val="18"/>
              </w:rPr>
              <w:t>918.3</w:t>
            </w:r>
          </w:p>
        </w:tc>
        <w:tc>
          <w:tcPr>
            <w:tcW w:w="1004" w:type="dxa"/>
            <w:shd w:val="clear" w:color="auto" w:fill="auto"/>
            <w:noWrap/>
            <w:vAlign w:val="bottom"/>
            <w:hideMark/>
          </w:tcPr>
          <w:p w:rsidR="00372CA7" w:rsidRPr="00326E14" w:rsidRDefault="00372CA7" w:rsidP="00B10A4D">
            <w:pPr>
              <w:spacing w:line="300" w:lineRule="exact"/>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427</w:t>
            </w:r>
            <w:r w:rsidRPr="00326E14">
              <w:rPr>
                <w:rFonts w:hAnsi="標楷體" w:cs="Arial" w:hint="eastAsia"/>
                <w:spacing w:val="-20"/>
                <w:kern w:val="0"/>
                <w:sz w:val="18"/>
                <w:szCs w:val="18"/>
              </w:rPr>
              <w:t>,</w:t>
            </w:r>
            <w:r w:rsidRPr="00326E14">
              <w:rPr>
                <w:rFonts w:hAnsi="標楷體" w:cs="Arial"/>
                <w:spacing w:val="-20"/>
                <w:kern w:val="0"/>
                <w:sz w:val="18"/>
                <w:szCs w:val="18"/>
              </w:rPr>
              <w:t>180.9</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276</w:t>
            </w:r>
            <w:r w:rsidRPr="00326E14">
              <w:rPr>
                <w:rFonts w:hAnsi="標楷體" w:cs="Arial" w:hint="eastAsia"/>
                <w:spacing w:val="-20"/>
                <w:kern w:val="0"/>
                <w:sz w:val="18"/>
                <w:szCs w:val="18"/>
              </w:rPr>
              <w:t>,</w:t>
            </w:r>
            <w:r w:rsidRPr="00326E14">
              <w:rPr>
                <w:rFonts w:hAnsi="標楷體" w:cs="Arial"/>
                <w:spacing w:val="-20"/>
                <w:kern w:val="0"/>
                <w:sz w:val="18"/>
                <w:szCs w:val="18"/>
              </w:rPr>
              <w:t>999.3</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1</w:t>
            </w:r>
            <w:r w:rsidRPr="00326E14">
              <w:rPr>
                <w:rFonts w:hAnsi="標楷體" w:cs="Arial" w:hint="eastAsia"/>
                <w:spacing w:val="-20"/>
                <w:kern w:val="0"/>
                <w:sz w:val="18"/>
                <w:szCs w:val="18"/>
              </w:rPr>
              <w:t>,</w:t>
            </w:r>
            <w:r w:rsidRPr="00326E14">
              <w:rPr>
                <w:rFonts w:hAnsi="標楷體" w:cs="Arial"/>
                <w:spacing w:val="-20"/>
                <w:kern w:val="0"/>
                <w:sz w:val="18"/>
                <w:szCs w:val="18"/>
              </w:rPr>
              <w:t>762155.0</w:t>
            </w:r>
          </w:p>
        </w:tc>
      </w:tr>
      <w:tr w:rsidR="00372CA7" w:rsidRPr="00713D42" w:rsidTr="009D24AD">
        <w:trPr>
          <w:trHeight w:val="109"/>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美國</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306</w:t>
            </w:r>
            <w:r w:rsidRPr="00326E14">
              <w:rPr>
                <w:rFonts w:hAnsi="標楷體" w:cs="Arial" w:hint="eastAsia"/>
                <w:spacing w:val="-20"/>
                <w:kern w:val="0"/>
                <w:sz w:val="18"/>
                <w:szCs w:val="18"/>
              </w:rPr>
              <w:t>,</w:t>
            </w:r>
            <w:r w:rsidRPr="00326E14">
              <w:rPr>
                <w:rFonts w:hAnsi="標楷體" w:cs="Arial"/>
                <w:spacing w:val="-20"/>
                <w:kern w:val="0"/>
                <w:sz w:val="18"/>
                <w:szCs w:val="18"/>
              </w:rPr>
              <w:t>366.0</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143</w:t>
            </w:r>
            <w:r w:rsidRPr="00326E14">
              <w:rPr>
                <w:rFonts w:hAnsi="標楷體" w:cs="Arial" w:hint="eastAsia"/>
                <w:spacing w:val="-20"/>
                <w:kern w:val="0"/>
                <w:sz w:val="18"/>
                <w:szCs w:val="18"/>
              </w:rPr>
              <w:t>,</w:t>
            </w:r>
            <w:r w:rsidRPr="00326E14">
              <w:rPr>
                <w:rFonts w:hAnsi="標楷體" w:cs="Arial"/>
                <w:spacing w:val="-20"/>
                <w:kern w:val="0"/>
                <w:sz w:val="18"/>
                <w:szCs w:val="18"/>
              </w:rPr>
              <w:t>604.0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198</w:t>
            </w:r>
            <w:r w:rsidRPr="00326E14">
              <w:rPr>
                <w:rFonts w:hAnsi="標楷體" w:cs="Arial" w:hint="eastAsia"/>
                <w:spacing w:val="-20"/>
                <w:kern w:val="0"/>
                <w:sz w:val="18"/>
                <w:szCs w:val="18"/>
              </w:rPr>
              <w:t>,</w:t>
            </w:r>
            <w:r w:rsidRPr="00326E14">
              <w:rPr>
                <w:rFonts w:hAnsi="標楷體" w:cs="Arial"/>
                <w:spacing w:val="-20"/>
                <w:kern w:val="0"/>
                <w:sz w:val="18"/>
                <w:szCs w:val="18"/>
              </w:rPr>
              <w:t>049.0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229</w:t>
            </w:r>
            <w:r w:rsidRPr="00326E14">
              <w:rPr>
                <w:rFonts w:hAnsi="標楷體" w:cs="Arial" w:hint="eastAsia"/>
                <w:spacing w:val="-20"/>
                <w:kern w:val="0"/>
                <w:sz w:val="18"/>
                <w:szCs w:val="18"/>
              </w:rPr>
              <w:t>,</w:t>
            </w:r>
            <w:r w:rsidRPr="00326E14">
              <w:rPr>
                <w:rFonts w:hAnsi="標楷體" w:cs="Arial"/>
                <w:spacing w:val="-20"/>
                <w:kern w:val="0"/>
                <w:sz w:val="18"/>
                <w:szCs w:val="18"/>
              </w:rPr>
              <w:t>862.0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188</w:t>
            </w:r>
            <w:r w:rsidRPr="00326E14">
              <w:rPr>
                <w:rFonts w:hAnsi="標楷體" w:cs="Arial" w:hint="eastAsia"/>
                <w:spacing w:val="-20"/>
                <w:kern w:val="0"/>
                <w:sz w:val="18"/>
                <w:szCs w:val="18"/>
              </w:rPr>
              <w:t>,</w:t>
            </w:r>
            <w:r w:rsidRPr="00326E14">
              <w:rPr>
                <w:rFonts w:hAnsi="標楷體" w:cs="Arial"/>
                <w:spacing w:val="-20"/>
                <w:kern w:val="0"/>
                <w:sz w:val="18"/>
                <w:szCs w:val="18"/>
              </w:rPr>
              <w:t>427.0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211</w:t>
            </w:r>
            <w:r w:rsidRPr="00326E14">
              <w:rPr>
                <w:rFonts w:hAnsi="標楷體" w:cs="Arial" w:hint="eastAsia"/>
                <w:spacing w:val="-20"/>
                <w:kern w:val="0"/>
                <w:sz w:val="18"/>
                <w:szCs w:val="18"/>
              </w:rPr>
              <w:t>,</w:t>
            </w:r>
            <w:r w:rsidRPr="00326E14">
              <w:rPr>
                <w:rFonts w:hAnsi="標楷體" w:cs="Arial"/>
                <w:spacing w:val="-20"/>
                <w:kern w:val="0"/>
                <w:sz w:val="18"/>
                <w:szCs w:val="18"/>
              </w:rPr>
              <w:t>501.0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106</w:t>
            </w:r>
            <w:r w:rsidRPr="00326E14">
              <w:rPr>
                <w:rFonts w:hAnsi="標楷體" w:cs="Arial" w:hint="eastAsia"/>
                <w:spacing w:val="-20"/>
                <w:kern w:val="0"/>
                <w:sz w:val="18"/>
                <w:szCs w:val="18"/>
              </w:rPr>
              <w:t>,</w:t>
            </w:r>
            <w:r w:rsidRPr="00326E14">
              <w:rPr>
                <w:rFonts w:hAnsi="標楷體" w:cs="Arial"/>
                <w:spacing w:val="-20"/>
                <w:kern w:val="0"/>
                <w:sz w:val="18"/>
                <w:szCs w:val="18"/>
              </w:rPr>
              <w:t>614.0</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379</w:t>
            </w:r>
            <w:r w:rsidRPr="00326E14">
              <w:rPr>
                <w:rFonts w:hAnsi="標楷體" w:cs="Arial" w:hint="eastAsia"/>
                <w:spacing w:val="-20"/>
                <w:kern w:val="0"/>
                <w:sz w:val="18"/>
                <w:szCs w:val="18"/>
              </w:rPr>
              <w:t>,</w:t>
            </w:r>
            <w:r w:rsidRPr="00326E14">
              <w:rPr>
                <w:rFonts w:hAnsi="標楷體" w:cs="Arial"/>
                <w:spacing w:val="-20"/>
                <w:kern w:val="0"/>
                <w:sz w:val="18"/>
                <w:szCs w:val="18"/>
              </w:rPr>
              <w:t>894.0</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香港</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58</w:t>
            </w:r>
            <w:r w:rsidRPr="00326E14">
              <w:rPr>
                <w:rFonts w:hAnsi="標楷體" w:cs="Arial" w:hint="eastAsia"/>
                <w:spacing w:val="-20"/>
                <w:kern w:val="0"/>
                <w:sz w:val="18"/>
                <w:szCs w:val="18"/>
              </w:rPr>
              <w:t>,</w:t>
            </w:r>
            <w:r w:rsidRPr="00326E14">
              <w:rPr>
                <w:rFonts w:hAnsi="標楷體" w:cs="Arial"/>
                <w:spacing w:val="-20"/>
                <w:kern w:val="0"/>
                <w:sz w:val="18"/>
                <w:szCs w:val="18"/>
              </w:rPr>
              <w:t>315.4</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56</w:t>
            </w:r>
            <w:r w:rsidRPr="00326E14">
              <w:rPr>
                <w:rFonts w:hAnsi="標楷體" w:cs="Arial" w:hint="eastAsia"/>
                <w:spacing w:val="-20"/>
                <w:kern w:val="0"/>
                <w:sz w:val="18"/>
                <w:szCs w:val="18"/>
              </w:rPr>
              <w:t>,</w:t>
            </w:r>
            <w:r w:rsidRPr="00326E14">
              <w:rPr>
                <w:rFonts w:hAnsi="標楷體" w:cs="Arial"/>
                <w:spacing w:val="-20"/>
                <w:kern w:val="0"/>
                <w:sz w:val="18"/>
                <w:szCs w:val="18"/>
              </w:rPr>
              <w:t>061.3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72</w:t>
            </w:r>
            <w:r w:rsidRPr="00326E14">
              <w:rPr>
                <w:rFonts w:hAnsi="標楷體" w:cs="Arial" w:hint="eastAsia"/>
                <w:spacing w:val="-20"/>
                <w:kern w:val="0"/>
                <w:sz w:val="18"/>
                <w:szCs w:val="18"/>
              </w:rPr>
              <w:t>,</w:t>
            </w:r>
            <w:r w:rsidRPr="00326E14">
              <w:rPr>
                <w:rFonts w:hAnsi="標楷體" w:cs="Arial"/>
                <w:spacing w:val="-20"/>
                <w:kern w:val="0"/>
                <w:sz w:val="18"/>
                <w:szCs w:val="18"/>
              </w:rPr>
              <w:t>319.1</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96</w:t>
            </w:r>
            <w:r w:rsidRPr="00326E14">
              <w:rPr>
                <w:rFonts w:hAnsi="標楷體" w:cs="Arial" w:hint="eastAsia"/>
                <w:spacing w:val="-20"/>
                <w:kern w:val="0"/>
                <w:sz w:val="18"/>
                <w:szCs w:val="18"/>
              </w:rPr>
              <w:t>,</w:t>
            </w:r>
            <w:r w:rsidRPr="00326E14">
              <w:rPr>
                <w:rFonts w:hAnsi="標楷體" w:cs="Arial"/>
                <w:spacing w:val="-20"/>
                <w:kern w:val="0"/>
                <w:sz w:val="18"/>
                <w:szCs w:val="18"/>
              </w:rPr>
              <w:t>212.0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70</w:t>
            </w:r>
            <w:r w:rsidRPr="00326E14">
              <w:rPr>
                <w:rFonts w:hAnsi="標楷體" w:cs="Arial" w:hint="eastAsia"/>
                <w:spacing w:val="-20"/>
                <w:kern w:val="0"/>
                <w:sz w:val="18"/>
                <w:szCs w:val="18"/>
              </w:rPr>
              <w:t>,</w:t>
            </w:r>
            <w:r w:rsidRPr="00326E14">
              <w:rPr>
                <w:rFonts w:hAnsi="標楷體" w:cs="Arial"/>
                <w:spacing w:val="-20"/>
                <w:kern w:val="0"/>
                <w:sz w:val="18"/>
                <w:szCs w:val="18"/>
              </w:rPr>
              <w:t>841.3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74</w:t>
            </w:r>
            <w:r w:rsidRPr="00326E14">
              <w:rPr>
                <w:rFonts w:hAnsi="標楷體" w:cs="Arial" w:hint="eastAsia"/>
                <w:spacing w:val="-20"/>
                <w:kern w:val="0"/>
                <w:sz w:val="18"/>
                <w:szCs w:val="18"/>
              </w:rPr>
              <w:t>,</w:t>
            </w:r>
            <w:r w:rsidRPr="00326E14">
              <w:rPr>
                <w:rFonts w:hAnsi="標楷體" w:cs="Arial"/>
                <w:spacing w:val="-20"/>
                <w:kern w:val="0"/>
                <w:sz w:val="18"/>
                <w:szCs w:val="18"/>
              </w:rPr>
              <w:t>546.3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114</w:t>
            </w:r>
            <w:r w:rsidRPr="00326E14">
              <w:rPr>
                <w:rFonts w:hAnsi="標楷體" w:cs="Arial" w:hint="eastAsia"/>
                <w:spacing w:val="-20"/>
                <w:kern w:val="0"/>
                <w:sz w:val="18"/>
                <w:szCs w:val="18"/>
              </w:rPr>
              <w:t>,</w:t>
            </w:r>
            <w:r w:rsidRPr="00326E14">
              <w:rPr>
                <w:rFonts w:hAnsi="標楷體" w:cs="Arial"/>
                <w:spacing w:val="-20"/>
                <w:kern w:val="0"/>
                <w:sz w:val="18"/>
                <w:szCs w:val="18"/>
              </w:rPr>
              <w:t>054.7</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174</w:t>
            </w:r>
            <w:r w:rsidRPr="00326E14">
              <w:rPr>
                <w:rFonts w:hAnsi="標楷體" w:cs="Arial" w:hint="eastAsia"/>
                <w:spacing w:val="-20"/>
                <w:kern w:val="0"/>
                <w:sz w:val="18"/>
                <w:szCs w:val="18"/>
              </w:rPr>
              <w:t>,</w:t>
            </w:r>
            <w:r w:rsidRPr="00326E14">
              <w:rPr>
                <w:rFonts w:hAnsi="標楷體" w:cs="Arial"/>
                <w:spacing w:val="-20"/>
                <w:kern w:val="0"/>
                <w:sz w:val="18"/>
                <w:szCs w:val="18"/>
              </w:rPr>
              <w:t>892.1</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中國</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108</w:t>
            </w:r>
            <w:r w:rsidRPr="00326E14">
              <w:rPr>
                <w:rFonts w:hAnsi="標楷體" w:cs="Arial" w:hint="eastAsia"/>
                <w:spacing w:val="-20"/>
                <w:kern w:val="0"/>
                <w:sz w:val="18"/>
                <w:szCs w:val="18"/>
              </w:rPr>
              <w:t>,</w:t>
            </w:r>
            <w:r w:rsidRPr="00326E14">
              <w:rPr>
                <w:rFonts w:hAnsi="標楷體" w:cs="Arial"/>
                <w:spacing w:val="-20"/>
                <w:kern w:val="0"/>
                <w:sz w:val="18"/>
                <w:szCs w:val="18"/>
              </w:rPr>
              <w:t>312.0</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95</w:t>
            </w:r>
            <w:r w:rsidRPr="00326E14">
              <w:rPr>
                <w:rFonts w:hAnsi="標楷體" w:cs="Arial" w:hint="eastAsia"/>
                <w:spacing w:val="-20"/>
                <w:kern w:val="0"/>
                <w:sz w:val="18"/>
                <w:szCs w:val="18"/>
              </w:rPr>
              <w:t>,</w:t>
            </w:r>
            <w:r w:rsidRPr="00326E14">
              <w:rPr>
                <w:rFonts w:hAnsi="標楷體" w:cs="Arial"/>
                <w:spacing w:val="-20"/>
                <w:kern w:val="0"/>
                <w:sz w:val="18"/>
                <w:szCs w:val="18"/>
              </w:rPr>
              <w:t>000.0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114</w:t>
            </w:r>
            <w:r w:rsidRPr="00326E14">
              <w:rPr>
                <w:rFonts w:hAnsi="標楷體" w:cs="Arial" w:hint="eastAsia"/>
                <w:spacing w:val="-20"/>
                <w:kern w:val="0"/>
                <w:sz w:val="18"/>
                <w:szCs w:val="18"/>
              </w:rPr>
              <w:t>,</w:t>
            </w:r>
            <w:r w:rsidRPr="00326E14">
              <w:rPr>
                <w:rFonts w:hAnsi="標楷體" w:cs="Arial"/>
                <w:spacing w:val="-20"/>
                <w:kern w:val="0"/>
                <w:sz w:val="18"/>
                <w:szCs w:val="18"/>
              </w:rPr>
              <w:t>734.0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123</w:t>
            </w:r>
            <w:r w:rsidRPr="00326E14">
              <w:rPr>
                <w:rFonts w:hAnsi="標楷體" w:cs="Arial" w:hint="eastAsia"/>
                <w:spacing w:val="-20"/>
                <w:kern w:val="0"/>
                <w:sz w:val="18"/>
                <w:szCs w:val="18"/>
              </w:rPr>
              <w:t>,</w:t>
            </w:r>
            <w:r w:rsidRPr="00326E14">
              <w:rPr>
                <w:rFonts w:hAnsi="標楷體" w:cs="Arial"/>
                <w:spacing w:val="-20"/>
                <w:kern w:val="0"/>
                <w:sz w:val="18"/>
                <w:szCs w:val="18"/>
              </w:rPr>
              <w:t>985.0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121</w:t>
            </w:r>
            <w:r w:rsidRPr="00326E14">
              <w:rPr>
                <w:rFonts w:hAnsi="標楷體" w:cs="Arial" w:hint="eastAsia"/>
                <w:spacing w:val="-20"/>
                <w:kern w:val="0"/>
                <w:sz w:val="18"/>
                <w:szCs w:val="18"/>
              </w:rPr>
              <w:t>,</w:t>
            </w:r>
            <w:r w:rsidRPr="00326E14">
              <w:rPr>
                <w:rFonts w:hAnsi="標楷體" w:cs="Arial"/>
                <w:spacing w:val="-20"/>
                <w:kern w:val="0"/>
                <w:sz w:val="18"/>
                <w:szCs w:val="18"/>
              </w:rPr>
              <w:t>080.0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123</w:t>
            </w:r>
            <w:r w:rsidRPr="00326E14">
              <w:rPr>
                <w:rFonts w:hAnsi="標楷體" w:cs="Arial" w:hint="eastAsia"/>
                <w:spacing w:val="-20"/>
                <w:kern w:val="0"/>
                <w:sz w:val="18"/>
                <w:szCs w:val="18"/>
              </w:rPr>
              <w:t>,</w:t>
            </w:r>
            <w:r w:rsidRPr="00326E14">
              <w:rPr>
                <w:rFonts w:hAnsi="標楷體" w:cs="Arial"/>
                <w:spacing w:val="-20"/>
                <w:kern w:val="0"/>
                <w:sz w:val="18"/>
                <w:szCs w:val="18"/>
              </w:rPr>
              <w:t>911.0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128</w:t>
            </w:r>
            <w:r w:rsidRPr="00326E14">
              <w:rPr>
                <w:rFonts w:hAnsi="標楷體" w:cs="Arial" w:hint="eastAsia"/>
                <w:spacing w:val="-20"/>
                <w:kern w:val="0"/>
                <w:sz w:val="18"/>
                <w:szCs w:val="18"/>
              </w:rPr>
              <w:t>,</w:t>
            </w:r>
            <w:r w:rsidRPr="00326E14">
              <w:rPr>
                <w:rFonts w:hAnsi="標楷體" w:cs="Arial"/>
                <w:spacing w:val="-20"/>
                <w:kern w:val="0"/>
                <w:sz w:val="18"/>
                <w:szCs w:val="18"/>
              </w:rPr>
              <w:t>500.0</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135</w:t>
            </w:r>
            <w:r w:rsidRPr="00326E14">
              <w:rPr>
                <w:rFonts w:hAnsi="標楷體" w:cs="Arial" w:hint="eastAsia"/>
                <w:spacing w:val="-20"/>
                <w:kern w:val="0"/>
                <w:sz w:val="18"/>
                <w:szCs w:val="18"/>
              </w:rPr>
              <w:t>,</w:t>
            </w:r>
            <w:r w:rsidRPr="00326E14">
              <w:rPr>
                <w:rFonts w:hAnsi="標楷體" w:cs="Arial"/>
                <w:spacing w:val="-20"/>
                <w:kern w:val="0"/>
                <w:sz w:val="18"/>
                <w:szCs w:val="18"/>
              </w:rPr>
              <w:t>610.0</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愛爾蘭</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-16</w:t>
            </w:r>
            <w:r w:rsidRPr="00326E14">
              <w:rPr>
                <w:rFonts w:hAnsi="標楷體" w:cs="Arial" w:hint="eastAsia"/>
                <w:spacing w:val="-20"/>
                <w:kern w:val="0"/>
                <w:sz w:val="18"/>
                <w:szCs w:val="18"/>
              </w:rPr>
              <w:t>,</w:t>
            </w:r>
            <w:r w:rsidRPr="00326E14">
              <w:rPr>
                <w:rFonts w:hAnsi="標楷體" w:cs="Arial"/>
                <w:spacing w:val="-20"/>
                <w:kern w:val="0"/>
                <w:sz w:val="18"/>
                <w:szCs w:val="18"/>
              </w:rPr>
              <w:t>452.9</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25</w:t>
            </w:r>
            <w:r w:rsidRPr="00326E14">
              <w:rPr>
                <w:rFonts w:hAnsi="標楷體" w:cs="Arial" w:hint="eastAsia"/>
                <w:spacing w:val="-20"/>
                <w:kern w:val="0"/>
                <w:sz w:val="18"/>
                <w:szCs w:val="18"/>
              </w:rPr>
              <w:t>,</w:t>
            </w:r>
            <w:r w:rsidRPr="00326E14">
              <w:rPr>
                <w:rFonts w:hAnsi="標楷體" w:cs="Arial"/>
                <w:spacing w:val="-20"/>
                <w:kern w:val="0"/>
                <w:sz w:val="18"/>
                <w:szCs w:val="18"/>
              </w:rPr>
              <w:t>715.3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42</w:t>
            </w:r>
            <w:r w:rsidRPr="00326E14">
              <w:rPr>
                <w:rFonts w:hAnsi="標楷體" w:cs="Arial" w:hint="eastAsia"/>
                <w:spacing w:val="-20"/>
                <w:kern w:val="0"/>
                <w:sz w:val="18"/>
                <w:szCs w:val="18"/>
              </w:rPr>
              <w:t>,</w:t>
            </w:r>
            <w:r w:rsidRPr="00326E14">
              <w:rPr>
                <w:rFonts w:hAnsi="標楷體" w:cs="Arial"/>
                <w:spacing w:val="-20"/>
                <w:kern w:val="0"/>
                <w:sz w:val="18"/>
                <w:szCs w:val="18"/>
              </w:rPr>
              <w:t>804.1</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23</w:t>
            </w:r>
            <w:r w:rsidRPr="00326E14">
              <w:rPr>
                <w:rFonts w:hAnsi="標楷體" w:cs="Arial" w:hint="eastAsia"/>
                <w:spacing w:val="-20"/>
                <w:kern w:val="0"/>
                <w:sz w:val="18"/>
                <w:szCs w:val="18"/>
              </w:rPr>
              <w:t>,</w:t>
            </w:r>
            <w:r w:rsidRPr="00326E14">
              <w:rPr>
                <w:rFonts w:hAnsi="標楷體" w:cs="Arial"/>
                <w:spacing w:val="-20"/>
                <w:kern w:val="0"/>
                <w:sz w:val="18"/>
                <w:szCs w:val="18"/>
              </w:rPr>
              <w:t>544.7</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45</w:t>
            </w:r>
            <w:r w:rsidRPr="00326E14">
              <w:rPr>
                <w:rFonts w:hAnsi="標楷體" w:cs="Arial" w:hint="eastAsia"/>
                <w:spacing w:val="-20"/>
                <w:kern w:val="0"/>
                <w:sz w:val="18"/>
                <w:szCs w:val="18"/>
              </w:rPr>
              <w:t>,</w:t>
            </w:r>
            <w:r w:rsidRPr="00326E14">
              <w:rPr>
                <w:rFonts w:hAnsi="標楷體" w:cs="Arial"/>
                <w:spacing w:val="-20"/>
                <w:kern w:val="0"/>
                <w:sz w:val="18"/>
                <w:szCs w:val="18"/>
              </w:rPr>
              <w:t>259.2</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44</w:t>
            </w:r>
            <w:r w:rsidRPr="00326E14">
              <w:rPr>
                <w:rFonts w:hAnsi="標楷體" w:cs="Arial" w:hint="eastAsia"/>
                <w:spacing w:val="-20"/>
                <w:kern w:val="0"/>
                <w:sz w:val="18"/>
                <w:szCs w:val="18"/>
              </w:rPr>
              <w:t>,</w:t>
            </w:r>
            <w:r w:rsidRPr="00326E14">
              <w:rPr>
                <w:rFonts w:hAnsi="標楷體" w:cs="Arial"/>
                <w:spacing w:val="-20"/>
                <w:kern w:val="0"/>
                <w:sz w:val="18"/>
                <w:szCs w:val="18"/>
              </w:rPr>
              <w:t>898.9</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31</w:t>
            </w:r>
            <w:r w:rsidRPr="00326E14">
              <w:rPr>
                <w:rFonts w:hAnsi="標楷體" w:cs="Arial" w:hint="eastAsia"/>
                <w:spacing w:val="-20"/>
                <w:kern w:val="0"/>
                <w:sz w:val="18"/>
                <w:szCs w:val="18"/>
              </w:rPr>
              <w:t>,</w:t>
            </w:r>
            <w:r w:rsidRPr="00326E14">
              <w:rPr>
                <w:rFonts w:hAnsi="標楷體" w:cs="Arial"/>
                <w:spacing w:val="-20"/>
                <w:kern w:val="0"/>
                <w:sz w:val="18"/>
                <w:szCs w:val="18"/>
              </w:rPr>
              <w:t>134.4</w:t>
            </w:r>
          </w:p>
        </w:tc>
        <w:tc>
          <w:tcPr>
            <w:tcW w:w="1004" w:type="dxa"/>
            <w:shd w:val="clear" w:color="auto" w:fill="auto"/>
            <w:noWrap/>
            <w:vAlign w:val="bottom"/>
            <w:hideMark/>
          </w:tcPr>
          <w:p w:rsidR="00372CA7" w:rsidRPr="00326E14" w:rsidRDefault="00372CA7" w:rsidP="00326E14">
            <w:pPr>
              <w:spacing w:line="300" w:lineRule="exact"/>
              <w:ind w:leftChars="-8" w:left="-9" w:hangingChars="11" w:hanging="19"/>
              <w:jc w:val="right"/>
              <w:rPr>
                <w:rFonts w:hAnsi="標楷體" w:cs="Arial"/>
                <w:spacing w:val="-20"/>
                <w:kern w:val="0"/>
                <w:sz w:val="18"/>
                <w:szCs w:val="18"/>
              </w:rPr>
            </w:pPr>
            <w:r w:rsidRPr="00326E14">
              <w:rPr>
                <w:rFonts w:hAnsi="標楷體" w:cs="Arial"/>
                <w:spacing w:val="-20"/>
                <w:kern w:val="0"/>
                <w:sz w:val="18"/>
                <w:szCs w:val="18"/>
              </w:rPr>
              <w:t>100</w:t>
            </w:r>
            <w:r w:rsidRPr="00326E14">
              <w:rPr>
                <w:rFonts w:hAnsi="標楷體" w:cs="Arial" w:hint="eastAsia"/>
                <w:spacing w:val="-20"/>
                <w:kern w:val="0"/>
                <w:sz w:val="18"/>
                <w:szCs w:val="18"/>
              </w:rPr>
              <w:t>,</w:t>
            </w:r>
            <w:r w:rsidRPr="00326E14">
              <w:rPr>
                <w:rFonts w:hAnsi="標楷體" w:cs="Arial"/>
                <w:spacing w:val="-20"/>
                <w:kern w:val="0"/>
                <w:sz w:val="18"/>
                <w:szCs w:val="18"/>
              </w:rPr>
              <w:t>542.4</w:t>
            </w:r>
          </w:p>
        </w:tc>
      </w:tr>
      <w:tr w:rsidR="00372CA7" w:rsidRPr="00713D42" w:rsidTr="009D24AD">
        <w:trPr>
          <w:trHeight w:val="47"/>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荷蘭</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w:t>
            </w:r>
            <w:r w:rsidRPr="00326E14">
              <w:rPr>
                <w:rFonts w:hAnsi="標楷體" w:cs="Arial" w:hint="eastAsia"/>
                <w:spacing w:val="-20"/>
                <w:kern w:val="0"/>
                <w:sz w:val="18"/>
                <w:szCs w:val="18"/>
              </w:rPr>
              <w:t>,</w:t>
            </w:r>
            <w:r w:rsidRPr="00326E14">
              <w:rPr>
                <w:rFonts w:hAnsi="標楷體" w:cs="Arial"/>
                <w:spacing w:val="-20"/>
                <w:kern w:val="0"/>
                <w:sz w:val="18"/>
                <w:szCs w:val="18"/>
              </w:rPr>
              <w:t>776.5</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38</w:t>
            </w:r>
            <w:r w:rsidRPr="00326E14">
              <w:rPr>
                <w:rFonts w:hAnsi="標楷體" w:cs="Arial" w:hint="eastAsia"/>
                <w:spacing w:val="-20"/>
                <w:kern w:val="0"/>
                <w:sz w:val="18"/>
                <w:szCs w:val="18"/>
              </w:rPr>
              <w:t>,</w:t>
            </w:r>
            <w:r w:rsidRPr="00326E14">
              <w:rPr>
                <w:rFonts w:hAnsi="標楷體" w:cs="Arial"/>
                <w:spacing w:val="-20"/>
                <w:kern w:val="0"/>
                <w:sz w:val="18"/>
                <w:szCs w:val="18"/>
              </w:rPr>
              <w:t>752.1</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w:t>
            </w:r>
            <w:r w:rsidRPr="00326E14">
              <w:rPr>
                <w:rFonts w:hAnsi="標楷體" w:cs="Arial" w:hint="eastAsia"/>
                <w:spacing w:val="-20"/>
                <w:kern w:val="0"/>
                <w:sz w:val="18"/>
                <w:szCs w:val="18"/>
              </w:rPr>
              <w:t>,</w:t>
            </w:r>
            <w:r w:rsidRPr="00326E14">
              <w:rPr>
                <w:rFonts w:hAnsi="標楷體" w:cs="Arial"/>
                <w:spacing w:val="-20"/>
                <w:kern w:val="0"/>
                <w:sz w:val="18"/>
                <w:szCs w:val="18"/>
              </w:rPr>
              <w:t>184.5</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24</w:t>
            </w:r>
            <w:r w:rsidRPr="00326E14">
              <w:rPr>
                <w:rFonts w:hAnsi="標楷體" w:cs="Arial" w:hint="eastAsia"/>
                <w:spacing w:val="-20"/>
                <w:kern w:val="0"/>
                <w:sz w:val="18"/>
                <w:szCs w:val="18"/>
              </w:rPr>
              <w:t>,</w:t>
            </w:r>
            <w:r w:rsidRPr="00326E14">
              <w:rPr>
                <w:rFonts w:hAnsi="標楷體" w:cs="Arial"/>
                <w:spacing w:val="-20"/>
                <w:kern w:val="0"/>
                <w:sz w:val="18"/>
                <w:szCs w:val="18"/>
              </w:rPr>
              <w:t>368.5</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20</w:t>
            </w:r>
            <w:r w:rsidRPr="00326E14">
              <w:rPr>
                <w:rFonts w:hAnsi="標楷體" w:cs="Arial" w:hint="eastAsia"/>
                <w:spacing w:val="-20"/>
                <w:kern w:val="0"/>
                <w:sz w:val="18"/>
                <w:szCs w:val="18"/>
              </w:rPr>
              <w:t>,</w:t>
            </w:r>
            <w:r w:rsidRPr="00326E14">
              <w:rPr>
                <w:rFonts w:hAnsi="標楷體" w:cs="Arial"/>
                <w:spacing w:val="-20"/>
                <w:kern w:val="0"/>
                <w:sz w:val="18"/>
                <w:szCs w:val="18"/>
              </w:rPr>
              <w:t>114.2</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51</w:t>
            </w:r>
            <w:r w:rsidRPr="00326E14">
              <w:rPr>
                <w:rFonts w:hAnsi="標楷體" w:cs="Arial" w:hint="eastAsia"/>
                <w:spacing w:val="-20"/>
                <w:kern w:val="0"/>
                <w:sz w:val="18"/>
                <w:szCs w:val="18"/>
              </w:rPr>
              <w:t>,</w:t>
            </w:r>
            <w:r w:rsidRPr="00326E14">
              <w:rPr>
                <w:rFonts w:hAnsi="標楷體" w:cs="Arial"/>
                <w:spacing w:val="-20"/>
                <w:kern w:val="0"/>
                <w:sz w:val="18"/>
                <w:szCs w:val="18"/>
              </w:rPr>
              <w:t>374.5</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52</w:t>
            </w:r>
            <w:r w:rsidRPr="00326E14">
              <w:rPr>
                <w:rFonts w:hAnsi="標楷體" w:cs="Arial" w:hint="eastAsia"/>
                <w:spacing w:val="-20"/>
                <w:kern w:val="0"/>
                <w:sz w:val="18"/>
                <w:szCs w:val="18"/>
              </w:rPr>
              <w:t>,</w:t>
            </w:r>
            <w:r w:rsidRPr="00326E14">
              <w:rPr>
                <w:rFonts w:hAnsi="標楷體" w:cs="Arial"/>
                <w:spacing w:val="-20"/>
                <w:kern w:val="0"/>
                <w:sz w:val="18"/>
                <w:szCs w:val="18"/>
              </w:rPr>
              <w:t>198.3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72</w:t>
            </w:r>
            <w:r w:rsidRPr="00326E14">
              <w:rPr>
                <w:rFonts w:hAnsi="標楷體" w:cs="Arial" w:hint="eastAsia"/>
                <w:spacing w:val="-20"/>
                <w:kern w:val="0"/>
                <w:sz w:val="18"/>
                <w:szCs w:val="18"/>
              </w:rPr>
              <w:t>,</w:t>
            </w:r>
            <w:r w:rsidRPr="00326E14">
              <w:rPr>
                <w:rFonts w:hAnsi="標楷體" w:cs="Arial"/>
                <w:spacing w:val="-20"/>
                <w:kern w:val="0"/>
                <w:sz w:val="18"/>
                <w:szCs w:val="18"/>
              </w:rPr>
              <w:t>648.8</w:t>
            </w:r>
          </w:p>
        </w:tc>
      </w:tr>
      <w:tr w:rsidR="00372CA7" w:rsidRPr="00713D42" w:rsidTr="009D24AD">
        <w:trPr>
          <w:trHeight w:val="47"/>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瑞士</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15</w:t>
            </w:r>
            <w:r w:rsidRPr="00326E14">
              <w:rPr>
                <w:rFonts w:hAnsi="標楷體" w:cs="Arial" w:hint="eastAsia"/>
                <w:spacing w:val="-20"/>
                <w:kern w:val="0"/>
                <w:sz w:val="18"/>
                <w:szCs w:val="18"/>
              </w:rPr>
              <w:t>,</w:t>
            </w:r>
            <w:r w:rsidRPr="00326E14">
              <w:rPr>
                <w:rFonts w:hAnsi="標楷體" w:cs="Arial"/>
                <w:spacing w:val="-20"/>
                <w:kern w:val="0"/>
                <w:sz w:val="18"/>
                <w:szCs w:val="18"/>
              </w:rPr>
              <w:t>212.2</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28</w:t>
            </w:r>
            <w:r w:rsidRPr="00326E14">
              <w:rPr>
                <w:rFonts w:hAnsi="標楷體" w:cs="Arial" w:hint="eastAsia"/>
                <w:spacing w:val="-20"/>
                <w:kern w:val="0"/>
                <w:sz w:val="18"/>
                <w:szCs w:val="18"/>
              </w:rPr>
              <w:t>,</w:t>
            </w:r>
            <w:r w:rsidRPr="00326E14">
              <w:rPr>
                <w:rFonts w:hAnsi="標楷體" w:cs="Arial"/>
                <w:spacing w:val="-20"/>
                <w:kern w:val="0"/>
                <w:sz w:val="18"/>
                <w:szCs w:val="18"/>
              </w:rPr>
              <w:t>891.0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28</w:t>
            </w:r>
            <w:r w:rsidRPr="00326E14">
              <w:rPr>
                <w:rFonts w:hAnsi="標楷體" w:cs="Arial" w:hint="eastAsia"/>
                <w:spacing w:val="-20"/>
                <w:kern w:val="0"/>
                <w:sz w:val="18"/>
                <w:szCs w:val="18"/>
              </w:rPr>
              <w:t>,</w:t>
            </w:r>
            <w:r w:rsidRPr="00326E14">
              <w:rPr>
                <w:rFonts w:hAnsi="標楷體" w:cs="Arial"/>
                <w:spacing w:val="-20"/>
                <w:kern w:val="0"/>
                <w:sz w:val="18"/>
                <w:szCs w:val="18"/>
              </w:rPr>
              <w:t>744.2</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28</w:t>
            </w:r>
            <w:r w:rsidRPr="00326E14">
              <w:rPr>
                <w:rFonts w:hAnsi="標楷體" w:cs="Arial" w:hint="eastAsia"/>
                <w:spacing w:val="-20"/>
                <w:kern w:val="0"/>
                <w:sz w:val="18"/>
                <w:szCs w:val="18"/>
              </w:rPr>
              <w:t>,</w:t>
            </w:r>
            <w:r w:rsidRPr="00326E14">
              <w:rPr>
                <w:rFonts w:hAnsi="標楷體" w:cs="Arial"/>
                <w:spacing w:val="-20"/>
                <w:kern w:val="0"/>
                <w:sz w:val="18"/>
                <w:szCs w:val="18"/>
              </w:rPr>
              <w:t>309.1</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15</w:t>
            </w:r>
            <w:r w:rsidRPr="00326E14">
              <w:rPr>
                <w:rFonts w:hAnsi="標楷體" w:cs="Arial" w:hint="eastAsia"/>
                <w:spacing w:val="-20"/>
                <w:kern w:val="0"/>
                <w:sz w:val="18"/>
                <w:szCs w:val="18"/>
              </w:rPr>
              <w:t>,</w:t>
            </w:r>
            <w:r w:rsidRPr="00326E14">
              <w:rPr>
                <w:rFonts w:hAnsi="標楷體" w:cs="Arial"/>
                <w:spacing w:val="-20"/>
                <w:kern w:val="0"/>
                <w:sz w:val="18"/>
                <w:szCs w:val="18"/>
              </w:rPr>
              <w:t>988.9</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646.2</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w:t>
            </w:r>
            <w:r w:rsidRPr="00326E14">
              <w:rPr>
                <w:rFonts w:hAnsi="標楷體" w:cs="Arial" w:hint="eastAsia"/>
                <w:spacing w:val="-20"/>
                <w:kern w:val="0"/>
                <w:sz w:val="18"/>
                <w:szCs w:val="18"/>
              </w:rPr>
              <w:t>,</w:t>
            </w:r>
            <w:r w:rsidRPr="00326E14">
              <w:rPr>
                <w:rFonts w:hAnsi="標楷體" w:cs="Arial"/>
                <w:spacing w:val="-20"/>
                <w:kern w:val="0"/>
                <w:sz w:val="18"/>
                <w:szCs w:val="18"/>
              </w:rPr>
              <w:t>635.2</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68</w:t>
            </w:r>
            <w:r w:rsidRPr="00326E14">
              <w:rPr>
                <w:rFonts w:hAnsi="標楷體" w:cs="Arial" w:hint="eastAsia"/>
                <w:spacing w:val="-20"/>
                <w:kern w:val="0"/>
                <w:sz w:val="18"/>
                <w:szCs w:val="18"/>
              </w:rPr>
              <w:t>,</w:t>
            </w:r>
            <w:r w:rsidRPr="00326E14">
              <w:rPr>
                <w:rFonts w:hAnsi="標楷體" w:cs="Arial"/>
                <w:spacing w:val="-20"/>
                <w:kern w:val="0"/>
                <w:sz w:val="18"/>
                <w:szCs w:val="18"/>
              </w:rPr>
              <w:t>838.0</w:t>
            </w:r>
          </w:p>
        </w:tc>
      </w:tr>
      <w:tr w:rsidR="00372CA7" w:rsidRPr="00713D42" w:rsidTr="009D24AD">
        <w:trPr>
          <w:trHeight w:val="47"/>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新加坡</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12</w:t>
            </w:r>
            <w:r w:rsidRPr="00326E14">
              <w:rPr>
                <w:rFonts w:hAnsi="標楷體" w:cs="Arial" w:hint="eastAsia"/>
                <w:spacing w:val="-20"/>
                <w:kern w:val="0"/>
                <w:sz w:val="18"/>
                <w:szCs w:val="18"/>
              </w:rPr>
              <w:t>,</w:t>
            </w:r>
            <w:r w:rsidRPr="00326E14">
              <w:rPr>
                <w:rFonts w:hAnsi="標楷體" w:cs="Arial"/>
                <w:spacing w:val="-20"/>
                <w:kern w:val="0"/>
                <w:sz w:val="18"/>
                <w:szCs w:val="18"/>
              </w:rPr>
              <w:t>200.7</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23</w:t>
            </w:r>
            <w:r w:rsidRPr="00326E14">
              <w:rPr>
                <w:rFonts w:hAnsi="標楷體" w:cs="Arial" w:hint="eastAsia"/>
                <w:spacing w:val="-20"/>
                <w:kern w:val="0"/>
                <w:sz w:val="18"/>
                <w:szCs w:val="18"/>
              </w:rPr>
              <w:t>,</w:t>
            </w:r>
            <w:r w:rsidRPr="00326E14">
              <w:rPr>
                <w:rFonts w:hAnsi="標楷體" w:cs="Arial"/>
                <w:spacing w:val="-20"/>
                <w:kern w:val="0"/>
                <w:sz w:val="18"/>
                <w:szCs w:val="18"/>
              </w:rPr>
              <w:t>821.3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55</w:t>
            </w:r>
            <w:r w:rsidRPr="00326E14">
              <w:rPr>
                <w:rFonts w:hAnsi="標楷體" w:cs="Arial" w:hint="eastAsia"/>
                <w:spacing w:val="-20"/>
                <w:kern w:val="0"/>
                <w:sz w:val="18"/>
                <w:szCs w:val="18"/>
              </w:rPr>
              <w:t>,</w:t>
            </w:r>
            <w:r w:rsidRPr="00326E14">
              <w:rPr>
                <w:rFonts w:hAnsi="標楷體" w:cs="Arial"/>
                <w:spacing w:val="-20"/>
                <w:kern w:val="0"/>
                <w:sz w:val="18"/>
                <w:szCs w:val="18"/>
              </w:rPr>
              <w:t>075.8</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48</w:t>
            </w:r>
            <w:r w:rsidRPr="00326E14">
              <w:rPr>
                <w:rFonts w:hAnsi="標楷體" w:cs="Arial" w:hint="eastAsia"/>
                <w:spacing w:val="-20"/>
                <w:kern w:val="0"/>
                <w:sz w:val="18"/>
                <w:szCs w:val="18"/>
              </w:rPr>
              <w:t>,</w:t>
            </w:r>
            <w:r w:rsidRPr="00326E14">
              <w:rPr>
                <w:rFonts w:hAnsi="標楷體" w:cs="Arial"/>
                <w:spacing w:val="-20"/>
                <w:kern w:val="0"/>
                <w:sz w:val="18"/>
                <w:szCs w:val="18"/>
              </w:rPr>
              <w:t>329.0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57</w:t>
            </w:r>
            <w:r w:rsidRPr="00326E14">
              <w:rPr>
                <w:rFonts w:hAnsi="標楷體" w:cs="Arial" w:hint="eastAsia"/>
                <w:spacing w:val="-20"/>
                <w:kern w:val="0"/>
                <w:sz w:val="18"/>
                <w:szCs w:val="18"/>
              </w:rPr>
              <w:t>,</w:t>
            </w:r>
            <w:r w:rsidRPr="00326E14">
              <w:rPr>
                <w:rFonts w:hAnsi="標楷體" w:cs="Arial"/>
                <w:spacing w:val="-20"/>
                <w:kern w:val="0"/>
                <w:sz w:val="18"/>
                <w:szCs w:val="18"/>
              </w:rPr>
              <w:t>149.8</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66</w:t>
            </w:r>
            <w:r w:rsidRPr="00326E14">
              <w:rPr>
                <w:rFonts w:hAnsi="標楷體" w:cs="Arial" w:hint="eastAsia"/>
                <w:spacing w:val="-20"/>
                <w:kern w:val="0"/>
                <w:sz w:val="18"/>
                <w:szCs w:val="18"/>
              </w:rPr>
              <w:t>,</w:t>
            </w:r>
            <w:r w:rsidRPr="00326E14">
              <w:rPr>
                <w:rFonts w:hAnsi="標楷體" w:cs="Arial"/>
                <w:spacing w:val="-20"/>
                <w:kern w:val="0"/>
                <w:sz w:val="18"/>
                <w:szCs w:val="18"/>
              </w:rPr>
              <w:t>066.9</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68</w:t>
            </w:r>
            <w:r w:rsidRPr="00326E14">
              <w:rPr>
                <w:rFonts w:hAnsi="標楷體" w:cs="Arial" w:hint="eastAsia"/>
                <w:spacing w:val="-20"/>
                <w:kern w:val="0"/>
                <w:sz w:val="18"/>
                <w:szCs w:val="18"/>
              </w:rPr>
              <w:t>,</w:t>
            </w:r>
            <w:r w:rsidRPr="00326E14">
              <w:rPr>
                <w:rFonts w:hAnsi="標楷體" w:cs="Arial"/>
                <w:spacing w:val="-20"/>
                <w:kern w:val="0"/>
                <w:sz w:val="18"/>
                <w:szCs w:val="18"/>
              </w:rPr>
              <w:t>495.6</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65</w:t>
            </w:r>
            <w:r w:rsidRPr="00326E14">
              <w:rPr>
                <w:rFonts w:hAnsi="標楷體" w:cs="Arial" w:hint="eastAsia"/>
                <w:spacing w:val="-20"/>
                <w:kern w:val="0"/>
                <w:sz w:val="18"/>
                <w:szCs w:val="18"/>
              </w:rPr>
              <w:t>,</w:t>
            </w:r>
            <w:r w:rsidRPr="00326E14">
              <w:rPr>
                <w:rFonts w:hAnsi="標楷體" w:cs="Arial"/>
                <w:spacing w:val="-20"/>
                <w:kern w:val="0"/>
                <w:sz w:val="18"/>
                <w:szCs w:val="18"/>
              </w:rPr>
              <w:t>262.4</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巴西</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45</w:t>
            </w:r>
            <w:r w:rsidRPr="00326E14">
              <w:rPr>
                <w:rFonts w:hAnsi="標楷體" w:cs="Arial" w:hint="eastAsia"/>
                <w:spacing w:val="-20"/>
                <w:kern w:val="0"/>
                <w:sz w:val="18"/>
                <w:szCs w:val="18"/>
              </w:rPr>
              <w:t>,</w:t>
            </w:r>
            <w:r w:rsidRPr="00326E14">
              <w:rPr>
                <w:rFonts w:hAnsi="標楷體" w:cs="Arial"/>
                <w:spacing w:val="-20"/>
                <w:kern w:val="0"/>
                <w:sz w:val="18"/>
                <w:szCs w:val="18"/>
              </w:rPr>
              <w:t>058.2</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25</w:t>
            </w:r>
            <w:r w:rsidRPr="00326E14">
              <w:rPr>
                <w:rFonts w:hAnsi="標楷體" w:cs="Arial" w:hint="eastAsia"/>
                <w:spacing w:val="-20"/>
                <w:kern w:val="0"/>
                <w:sz w:val="18"/>
                <w:szCs w:val="18"/>
              </w:rPr>
              <w:t>,</w:t>
            </w:r>
            <w:r w:rsidRPr="00326E14">
              <w:rPr>
                <w:rFonts w:hAnsi="標楷體" w:cs="Arial"/>
                <w:spacing w:val="-20"/>
                <w:kern w:val="0"/>
                <w:sz w:val="18"/>
                <w:szCs w:val="18"/>
              </w:rPr>
              <w:t>948.6</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83</w:t>
            </w:r>
            <w:r w:rsidRPr="00326E14">
              <w:rPr>
                <w:rFonts w:hAnsi="標楷體" w:cs="Arial" w:hint="eastAsia"/>
                <w:spacing w:val="-20"/>
                <w:kern w:val="0"/>
                <w:sz w:val="18"/>
                <w:szCs w:val="18"/>
              </w:rPr>
              <w:t>,</w:t>
            </w:r>
            <w:r w:rsidRPr="00326E14">
              <w:rPr>
                <w:rFonts w:hAnsi="標楷體" w:cs="Arial"/>
                <w:spacing w:val="-20"/>
                <w:kern w:val="0"/>
                <w:sz w:val="18"/>
                <w:szCs w:val="18"/>
              </w:rPr>
              <w:t>749.0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96</w:t>
            </w:r>
            <w:r w:rsidRPr="00326E14">
              <w:rPr>
                <w:rFonts w:hAnsi="標楷體" w:cs="Arial" w:hint="eastAsia"/>
                <w:spacing w:val="-20"/>
                <w:kern w:val="0"/>
                <w:sz w:val="18"/>
                <w:szCs w:val="18"/>
              </w:rPr>
              <w:t>,</w:t>
            </w:r>
            <w:r w:rsidRPr="00326E14">
              <w:rPr>
                <w:rFonts w:hAnsi="標楷體" w:cs="Arial"/>
                <w:spacing w:val="-20"/>
                <w:kern w:val="0"/>
                <w:sz w:val="18"/>
                <w:szCs w:val="18"/>
              </w:rPr>
              <w:t>152.4</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76</w:t>
            </w:r>
            <w:r w:rsidRPr="00326E14">
              <w:rPr>
                <w:rFonts w:hAnsi="標楷體" w:cs="Arial" w:hint="eastAsia"/>
                <w:spacing w:val="-20"/>
                <w:kern w:val="0"/>
                <w:sz w:val="18"/>
                <w:szCs w:val="18"/>
              </w:rPr>
              <w:t>,</w:t>
            </w:r>
            <w:r w:rsidRPr="00326E14">
              <w:rPr>
                <w:rFonts w:hAnsi="標楷體" w:cs="Arial"/>
                <w:spacing w:val="-20"/>
                <w:kern w:val="0"/>
                <w:sz w:val="18"/>
                <w:szCs w:val="18"/>
              </w:rPr>
              <w:t>098.0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53</w:t>
            </w:r>
            <w:r w:rsidRPr="00326E14">
              <w:rPr>
                <w:rFonts w:hAnsi="標楷體" w:cs="Arial" w:hint="eastAsia"/>
                <w:spacing w:val="-20"/>
                <w:kern w:val="0"/>
                <w:sz w:val="18"/>
                <w:szCs w:val="18"/>
              </w:rPr>
              <w:t>,</w:t>
            </w:r>
            <w:r w:rsidRPr="00326E14">
              <w:rPr>
                <w:rFonts w:hAnsi="標楷體" w:cs="Arial"/>
                <w:spacing w:val="-20"/>
                <w:kern w:val="0"/>
                <w:sz w:val="18"/>
                <w:szCs w:val="18"/>
              </w:rPr>
              <w:t>059.7</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73</w:t>
            </w:r>
            <w:r w:rsidRPr="00326E14">
              <w:rPr>
                <w:rFonts w:hAnsi="標楷體" w:cs="Arial" w:hint="eastAsia"/>
                <w:spacing w:val="-20"/>
                <w:kern w:val="0"/>
                <w:sz w:val="18"/>
                <w:szCs w:val="18"/>
              </w:rPr>
              <w:t>,</w:t>
            </w:r>
            <w:r w:rsidRPr="00326E14">
              <w:rPr>
                <w:rFonts w:hAnsi="標楷體" w:cs="Arial"/>
                <w:spacing w:val="-20"/>
                <w:kern w:val="0"/>
                <w:sz w:val="18"/>
                <w:szCs w:val="18"/>
              </w:rPr>
              <w:t>085.5</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64</w:t>
            </w:r>
            <w:r w:rsidRPr="00326E14">
              <w:rPr>
                <w:rFonts w:hAnsi="標楷體" w:cs="Arial" w:hint="eastAsia"/>
                <w:spacing w:val="-20"/>
                <w:kern w:val="0"/>
                <w:sz w:val="18"/>
                <w:szCs w:val="18"/>
              </w:rPr>
              <w:t>,</w:t>
            </w:r>
            <w:r w:rsidRPr="00326E14">
              <w:rPr>
                <w:rFonts w:hAnsi="標楷體" w:cs="Arial"/>
                <w:spacing w:val="-20"/>
                <w:kern w:val="0"/>
                <w:sz w:val="18"/>
                <w:szCs w:val="18"/>
              </w:rPr>
              <w:t>647.9</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ind w:rightChars="-8" w:right="-28"/>
              <w:jc w:val="center"/>
              <w:rPr>
                <w:rFonts w:hAnsi="標楷體" w:cs="Arial"/>
                <w:spacing w:val="-20"/>
                <w:kern w:val="0"/>
                <w:sz w:val="18"/>
                <w:szCs w:val="18"/>
              </w:rPr>
            </w:pPr>
            <w:r w:rsidRPr="00326E14">
              <w:rPr>
                <w:rFonts w:hAnsi="標楷體" w:cs="Arial" w:hint="eastAsia"/>
                <w:spacing w:val="-20"/>
                <w:kern w:val="0"/>
                <w:sz w:val="18"/>
                <w:szCs w:val="18"/>
              </w:rPr>
              <w:t>維京群島</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52</w:t>
            </w:r>
            <w:r w:rsidRPr="00326E14">
              <w:rPr>
                <w:rFonts w:hAnsi="標楷體" w:cs="Arial" w:hint="eastAsia"/>
                <w:spacing w:val="-20"/>
                <w:kern w:val="0"/>
                <w:sz w:val="18"/>
                <w:szCs w:val="18"/>
              </w:rPr>
              <w:t>,</w:t>
            </w:r>
            <w:r w:rsidRPr="00326E14">
              <w:rPr>
                <w:rFonts w:hAnsi="標楷體" w:cs="Arial"/>
                <w:spacing w:val="-20"/>
                <w:kern w:val="0"/>
                <w:sz w:val="18"/>
                <w:szCs w:val="18"/>
              </w:rPr>
              <w:t>582.7</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41</w:t>
            </w:r>
            <w:r w:rsidRPr="00326E14">
              <w:rPr>
                <w:rFonts w:hAnsi="標楷體" w:cs="Arial" w:hint="eastAsia"/>
                <w:spacing w:val="-20"/>
                <w:kern w:val="0"/>
                <w:sz w:val="18"/>
                <w:szCs w:val="18"/>
              </w:rPr>
              <w:t>,</w:t>
            </w:r>
            <w:r w:rsidRPr="00326E14">
              <w:rPr>
                <w:rFonts w:hAnsi="標楷體" w:cs="Arial"/>
                <w:spacing w:val="-20"/>
                <w:kern w:val="0"/>
                <w:sz w:val="18"/>
                <w:szCs w:val="18"/>
              </w:rPr>
              <w:t>590.1</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51</w:t>
            </w:r>
            <w:r w:rsidRPr="00326E14">
              <w:rPr>
                <w:rFonts w:hAnsi="標楷體" w:cs="Arial" w:hint="eastAsia"/>
                <w:spacing w:val="-20"/>
                <w:kern w:val="0"/>
                <w:sz w:val="18"/>
                <w:szCs w:val="18"/>
              </w:rPr>
              <w:t>,</w:t>
            </w:r>
            <w:r w:rsidRPr="00326E14">
              <w:rPr>
                <w:rFonts w:hAnsi="標楷體" w:cs="Arial"/>
                <w:spacing w:val="-20"/>
                <w:kern w:val="0"/>
                <w:sz w:val="18"/>
                <w:szCs w:val="18"/>
              </w:rPr>
              <w:t>225.9</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57</w:t>
            </w:r>
            <w:r w:rsidRPr="00326E14">
              <w:rPr>
                <w:rFonts w:hAnsi="標楷體" w:cs="Arial" w:hint="eastAsia"/>
                <w:spacing w:val="-20"/>
                <w:kern w:val="0"/>
                <w:sz w:val="18"/>
                <w:szCs w:val="18"/>
              </w:rPr>
              <w:t>,</w:t>
            </w:r>
            <w:r w:rsidRPr="00326E14">
              <w:rPr>
                <w:rFonts w:hAnsi="標楷體" w:cs="Arial"/>
                <w:spacing w:val="-20"/>
                <w:kern w:val="0"/>
                <w:sz w:val="18"/>
                <w:szCs w:val="18"/>
              </w:rPr>
              <w:t>575.8</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74</w:t>
            </w:r>
            <w:r w:rsidRPr="00326E14">
              <w:rPr>
                <w:rFonts w:hAnsi="標楷體" w:cs="Arial" w:hint="eastAsia"/>
                <w:spacing w:val="-20"/>
                <w:kern w:val="0"/>
                <w:sz w:val="18"/>
                <w:szCs w:val="18"/>
              </w:rPr>
              <w:t>,</w:t>
            </w:r>
            <w:r w:rsidRPr="00326E14">
              <w:rPr>
                <w:rFonts w:hAnsi="標楷體" w:cs="Arial"/>
                <w:spacing w:val="-20"/>
                <w:kern w:val="0"/>
                <w:sz w:val="18"/>
                <w:szCs w:val="18"/>
              </w:rPr>
              <w:t>501.7</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112</w:t>
            </w:r>
            <w:r w:rsidRPr="00326E14">
              <w:rPr>
                <w:rFonts w:hAnsi="標楷體" w:cs="Arial" w:hint="eastAsia"/>
                <w:spacing w:val="-20"/>
                <w:kern w:val="0"/>
                <w:sz w:val="18"/>
                <w:szCs w:val="18"/>
              </w:rPr>
              <w:t>,</w:t>
            </w:r>
            <w:r w:rsidRPr="00326E14">
              <w:rPr>
                <w:rFonts w:hAnsi="標楷體" w:cs="Arial"/>
                <w:spacing w:val="-20"/>
                <w:kern w:val="0"/>
                <w:sz w:val="18"/>
                <w:szCs w:val="18"/>
              </w:rPr>
              <w:t>127.9</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49</w:t>
            </w:r>
            <w:r w:rsidRPr="00326E14">
              <w:rPr>
                <w:rFonts w:hAnsi="標楷體" w:cs="Arial" w:hint="eastAsia"/>
                <w:spacing w:val="-20"/>
                <w:kern w:val="0"/>
                <w:sz w:val="18"/>
                <w:szCs w:val="18"/>
              </w:rPr>
              <w:t>,</w:t>
            </w:r>
            <w:r w:rsidRPr="00326E14">
              <w:rPr>
                <w:rFonts w:hAnsi="標楷體" w:cs="Arial"/>
                <w:spacing w:val="-20"/>
                <w:kern w:val="0"/>
                <w:sz w:val="18"/>
                <w:szCs w:val="18"/>
              </w:rPr>
              <w:t>985.7</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51</w:t>
            </w:r>
            <w:r w:rsidRPr="00326E14">
              <w:rPr>
                <w:rFonts w:hAnsi="標楷體" w:cs="Arial" w:hint="eastAsia"/>
                <w:spacing w:val="-20"/>
                <w:kern w:val="0"/>
                <w:sz w:val="18"/>
                <w:szCs w:val="18"/>
              </w:rPr>
              <w:t>,</w:t>
            </w:r>
            <w:r w:rsidRPr="00326E14">
              <w:rPr>
                <w:rFonts w:hAnsi="標楷體" w:cs="Arial"/>
                <w:spacing w:val="-20"/>
                <w:kern w:val="0"/>
                <w:sz w:val="18"/>
                <w:szCs w:val="18"/>
              </w:rPr>
              <w:t>605.7</w:t>
            </w:r>
          </w:p>
        </w:tc>
      </w:tr>
      <w:tr w:rsidR="00372CA7" w:rsidRPr="00713D42" w:rsidTr="009D24AD">
        <w:trPr>
          <w:trHeight w:val="242"/>
        </w:trPr>
        <w:tc>
          <w:tcPr>
            <w:tcW w:w="793" w:type="dxa"/>
            <w:shd w:val="clear" w:color="auto" w:fill="auto"/>
            <w:noWrap/>
            <w:vAlign w:val="bottom"/>
            <w:hideMark/>
          </w:tcPr>
          <w:p w:rsidR="00372CA7" w:rsidRPr="00326E14" w:rsidRDefault="00372CA7" w:rsidP="00B10A4D">
            <w:pPr>
              <w:widowControl/>
              <w:spacing w:line="300" w:lineRule="exact"/>
              <w:jc w:val="center"/>
              <w:rPr>
                <w:rFonts w:hAnsi="標楷體" w:cs="Arial"/>
                <w:spacing w:val="-20"/>
                <w:kern w:val="0"/>
                <w:sz w:val="18"/>
                <w:szCs w:val="18"/>
              </w:rPr>
            </w:pPr>
            <w:r w:rsidRPr="00326E14">
              <w:rPr>
                <w:rFonts w:hAnsi="標楷體" w:cs="Arial" w:hint="eastAsia"/>
                <w:spacing w:val="-20"/>
                <w:kern w:val="0"/>
                <w:sz w:val="18"/>
                <w:szCs w:val="18"/>
              </w:rPr>
              <w:t>加拿大</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61</w:t>
            </w:r>
            <w:r w:rsidRPr="00326E14">
              <w:rPr>
                <w:rFonts w:hAnsi="標楷體" w:cs="Arial" w:hint="eastAsia"/>
                <w:spacing w:val="-20"/>
                <w:kern w:val="0"/>
                <w:sz w:val="18"/>
                <w:szCs w:val="18"/>
              </w:rPr>
              <w:t>,</w:t>
            </w:r>
            <w:r w:rsidRPr="00326E14">
              <w:rPr>
                <w:rFonts w:hAnsi="標楷體" w:cs="Arial"/>
                <w:spacing w:val="-20"/>
                <w:kern w:val="0"/>
                <w:sz w:val="18"/>
                <w:szCs w:val="18"/>
              </w:rPr>
              <w:t>552.5</w:t>
            </w:r>
          </w:p>
        </w:tc>
        <w:tc>
          <w:tcPr>
            <w:tcW w:w="1004" w:type="dxa"/>
            <w:shd w:val="clear" w:color="auto" w:fill="auto"/>
            <w:noWrap/>
            <w:vAlign w:val="bottom"/>
            <w:hideMark/>
          </w:tcPr>
          <w:p w:rsidR="00372CA7" w:rsidRPr="00326E14" w:rsidRDefault="00372CA7" w:rsidP="00326E14">
            <w:pPr>
              <w:widowControl/>
              <w:spacing w:line="300" w:lineRule="exact"/>
              <w:ind w:leftChars="-11" w:left="-13" w:hangingChars="15" w:hanging="25"/>
              <w:jc w:val="right"/>
              <w:rPr>
                <w:rFonts w:hAnsi="標楷體" w:cs="Arial"/>
                <w:spacing w:val="-20"/>
                <w:kern w:val="0"/>
                <w:sz w:val="18"/>
                <w:szCs w:val="18"/>
              </w:rPr>
            </w:pPr>
            <w:r w:rsidRPr="00326E14">
              <w:rPr>
                <w:rFonts w:hAnsi="標楷體" w:cs="Arial"/>
                <w:spacing w:val="-20"/>
                <w:kern w:val="0"/>
                <w:sz w:val="18"/>
                <w:szCs w:val="18"/>
              </w:rPr>
              <w:t>22</w:t>
            </w:r>
            <w:r w:rsidRPr="00326E14">
              <w:rPr>
                <w:rFonts w:hAnsi="標楷體" w:cs="Arial" w:hint="eastAsia"/>
                <w:spacing w:val="-20"/>
                <w:kern w:val="0"/>
                <w:sz w:val="18"/>
                <w:szCs w:val="18"/>
              </w:rPr>
              <w:t>,</w:t>
            </w:r>
            <w:r w:rsidRPr="00326E14">
              <w:rPr>
                <w:rFonts w:hAnsi="標楷體" w:cs="Arial"/>
                <w:spacing w:val="-20"/>
                <w:kern w:val="0"/>
                <w:sz w:val="18"/>
                <w:szCs w:val="18"/>
              </w:rPr>
              <w:t>699.7</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28</w:t>
            </w:r>
            <w:r w:rsidRPr="00326E14">
              <w:rPr>
                <w:rFonts w:hAnsi="標楷體" w:cs="Arial" w:hint="eastAsia"/>
                <w:spacing w:val="-20"/>
                <w:kern w:val="0"/>
                <w:sz w:val="18"/>
                <w:szCs w:val="18"/>
              </w:rPr>
              <w:t>,</w:t>
            </w:r>
            <w:r w:rsidRPr="00326E14">
              <w:rPr>
                <w:rFonts w:hAnsi="標楷體" w:cs="Arial"/>
                <w:spacing w:val="-20"/>
                <w:kern w:val="0"/>
                <w:sz w:val="18"/>
                <w:szCs w:val="18"/>
              </w:rPr>
              <w:t>400.4</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39</w:t>
            </w:r>
            <w:r w:rsidRPr="00326E14">
              <w:rPr>
                <w:rFonts w:hAnsi="標楷體" w:cs="Arial" w:hint="eastAsia"/>
                <w:spacing w:val="-20"/>
                <w:kern w:val="0"/>
                <w:sz w:val="18"/>
                <w:szCs w:val="18"/>
              </w:rPr>
              <w:t>,</w:t>
            </w:r>
            <w:r w:rsidRPr="00326E14">
              <w:rPr>
                <w:rFonts w:hAnsi="標楷體" w:cs="Arial"/>
                <w:spacing w:val="-20"/>
                <w:kern w:val="0"/>
                <w:sz w:val="18"/>
                <w:szCs w:val="18"/>
              </w:rPr>
              <w:t>669.3</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43</w:t>
            </w:r>
            <w:r w:rsidRPr="00326E14">
              <w:rPr>
                <w:rFonts w:hAnsi="標楷體" w:cs="Arial" w:hint="eastAsia"/>
                <w:spacing w:val="-20"/>
                <w:kern w:val="0"/>
                <w:sz w:val="18"/>
                <w:szCs w:val="18"/>
              </w:rPr>
              <w:t>,</w:t>
            </w:r>
            <w:r w:rsidRPr="00326E14">
              <w:rPr>
                <w:rFonts w:hAnsi="標楷體" w:cs="Arial"/>
                <w:spacing w:val="-20"/>
                <w:kern w:val="0"/>
                <w:sz w:val="18"/>
                <w:szCs w:val="18"/>
              </w:rPr>
              <w:t>111.0</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71</w:t>
            </w:r>
            <w:r w:rsidRPr="00326E14">
              <w:rPr>
                <w:rFonts w:hAnsi="標楷體" w:cs="Arial" w:hint="eastAsia"/>
                <w:spacing w:val="-20"/>
                <w:kern w:val="0"/>
                <w:sz w:val="18"/>
                <w:szCs w:val="18"/>
              </w:rPr>
              <w:t>,</w:t>
            </w:r>
            <w:r w:rsidRPr="00326E14">
              <w:rPr>
                <w:rFonts w:hAnsi="標楷體" w:cs="Arial"/>
                <w:spacing w:val="-20"/>
                <w:kern w:val="0"/>
                <w:sz w:val="18"/>
                <w:szCs w:val="18"/>
              </w:rPr>
              <w:t>752.8</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58</w:t>
            </w:r>
            <w:r w:rsidRPr="00326E14">
              <w:rPr>
                <w:rFonts w:hAnsi="標楷體" w:cs="Arial" w:hint="eastAsia"/>
                <w:spacing w:val="-20"/>
                <w:kern w:val="0"/>
                <w:sz w:val="18"/>
                <w:szCs w:val="18"/>
              </w:rPr>
              <w:t>,</w:t>
            </w:r>
            <w:r w:rsidRPr="00326E14">
              <w:rPr>
                <w:rFonts w:hAnsi="標楷體" w:cs="Arial"/>
                <w:spacing w:val="-20"/>
                <w:kern w:val="0"/>
                <w:sz w:val="18"/>
                <w:szCs w:val="18"/>
              </w:rPr>
              <w:t>506.5</w:t>
            </w:r>
          </w:p>
        </w:tc>
        <w:tc>
          <w:tcPr>
            <w:tcW w:w="1004" w:type="dxa"/>
            <w:shd w:val="clear" w:color="auto" w:fill="auto"/>
            <w:noWrap/>
            <w:vAlign w:val="bottom"/>
            <w:hideMark/>
          </w:tcPr>
          <w:p w:rsidR="00372CA7" w:rsidRPr="00326E14" w:rsidRDefault="00372CA7" w:rsidP="00B10A4D">
            <w:pPr>
              <w:widowControl/>
              <w:spacing w:line="300" w:lineRule="exact"/>
              <w:jc w:val="right"/>
              <w:rPr>
                <w:rFonts w:hAnsi="標楷體" w:cs="Arial"/>
                <w:spacing w:val="-20"/>
                <w:kern w:val="0"/>
                <w:sz w:val="18"/>
                <w:szCs w:val="18"/>
              </w:rPr>
            </w:pPr>
            <w:r w:rsidRPr="00326E14">
              <w:rPr>
                <w:rFonts w:hAnsi="標楷體" w:cs="Arial"/>
                <w:spacing w:val="-20"/>
                <w:kern w:val="0"/>
                <w:sz w:val="18"/>
                <w:szCs w:val="18"/>
              </w:rPr>
              <w:t>48</w:t>
            </w:r>
            <w:r w:rsidRPr="00326E14">
              <w:rPr>
                <w:rFonts w:hAnsi="標楷體" w:cs="Arial" w:hint="eastAsia"/>
                <w:spacing w:val="-20"/>
                <w:kern w:val="0"/>
                <w:sz w:val="18"/>
                <w:szCs w:val="18"/>
              </w:rPr>
              <w:t>,</w:t>
            </w:r>
            <w:r w:rsidRPr="00326E14">
              <w:rPr>
                <w:rFonts w:hAnsi="標楷體" w:cs="Arial"/>
                <w:spacing w:val="-20"/>
                <w:kern w:val="0"/>
                <w:sz w:val="18"/>
                <w:szCs w:val="18"/>
              </w:rPr>
              <w:t>642.8</w:t>
            </w:r>
          </w:p>
        </w:tc>
      </w:tr>
      <w:tr w:rsidR="00372CA7" w:rsidRPr="00713D42" w:rsidTr="009D24AD">
        <w:trPr>
          <w:trHeight w:val="242"/>
        </w:trPr>
        <w:tc>
          <w:tcPr>
            <w:tcW w:w="793" w:type="dxa"/>
            <w:shd w:val="clear" w:color="auto" w:fill="EEECE1" w:themeFill="background2"/>
            <w:noWrap/>
            <w:vAlign w:val="center"/>
            <w:hideMark/>
          </w:tcPr>
          <w:p w:rsidR="00372CA7" w:rsidRPr="00326E14" w:rsidRDefault="00372CA7" w:rsidP="00B10A4D">
            <w:pPr>
              <w:widowControl/>
              <w:spacing w:line="300" w:lineRule="exact"/>
              <w:jc w:val="center"/>
              <w:rPr>
                <w:rFonts w:hAnsi="標楷體" w:cs="Arial"/>
                <w:b/>
                <w:spacing w:val="-20"/>
                <w:kern w:val="0"/>
                <w:sz w:val="18"/>
                <w:szCs w:val="18"/>
              </w:rPr>
            </w:pPr>
            <w:r w:rsidRPr="00326E14">
              <w:rPr>
                <w:rFonts w:hAnsi="標楷體" w:cs="Arial" w:hint="eastAsia"/>
                <w:b/>
                <w:spacing w:val="-20"/>
                <w:kern w:val="0"/>
                <w:sz w:val="18"/>
                <w:szCs w:val="18"/>
              </w:rPr>
              <w:t>臺灣</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5</w:t>
            </w:r>
            <w:r w:rsidRPr="00326E14">
              <w:rPr>
                <w:rFonts w:hAnsi="標楷體" w:cs="Arial" w:hint="eastAsia"/>
                <w:b/>
                <w:spacing w:val="-20"/>
                <w:kern w:val="0"/>
                <w:sz w:val="18"/>
                <w:szCs w:val="18"/>
              </w:rPr>
              <w:t>,</w:t>
            </w:r>
            <w:r w:rsidRPr="00326E14">
              <w:rPr>
                <w:rFonts w:hAnsi="標楷體" w:cs="Arial"/>
                <w:b/>
                <w:spacing w:val="-20"/>
                <w:kern w:val="0"/>
                <w:sz w:val="18"/>
                <w:szCs w:val="18"/>
              </w:rPr>
              <w:t>432.0</w:t>
            </w:r>
          </w:p>
        </w:tc>
        <w:tc>
          <w:tcPr>
            <w:tcW w:w="1004" w:type="dxa"/>
            <w:shd w:val="clear" w:color="auto" w:fill="EEECE1" w:themeFill="background2"/>
            <w:noWrap/>
            <w:vAlign w:val="bottom"/>
            <w:hideMark/>
          </w:tcPr>
          <w:p w:rsidR="00372CA7" w:rsidRPr="00326E14" w:rsidRDefault="00372CA7" w:rsidP="00326E14">
            <w:pPr>
              <w:widowControl/>
              <w:spacing w:line="300" w:lineRule="exact"/>
              <w:ind w:leftChars="-11" w:left="-13" w:hangingChars="15" w:hanging="25"/>
              <w:jc w:val="right"/>
              <w:rPr>
                <w:rFonts w:hAnsi="標楷體" w:cs="Arial"/>
                <w:b/>
                <w:spacing w:val="-20"/>
                <w:kern w:val="0"/>
                <w:sz w:val="18"/>
                <w:szCs w:val="18"/>
              </w:rPr>
            </w:pPr>
            <w:r w:rsidRPr="00326E14">
              <w:rPr>
                <w:rFonts w:hAnsi="標楷體" w:cs="Arial"/>
                <w:b/>
                <w:spacing w:val="-20"/>
                <w:kern w:val="0"/>
                <w:sz w:val="18"/>
                <w:szCs w:val="18"/>
              </w:rPr>
              <w:t>2</w:t>
            </w:r>
            <w:r w:rsidRPr="00326E14">
              <w:rPr>
                <w:rFonts w:hAnsi="標楷體" w:cs="Arial" w:hint="eastAsia"/>
                <w:b/>
                <w:spacing w:val="-20"/>
                <w:kern w:val="0"/>
                <w:sz w:val="18"/>
                <w:szCs w:val="18"/>
              </w:rPr>
              <w:t>,</w:t>
            </w:r>
            <w:r w:rsidRPr="00326E14">
              <w:rPr>
                <w:rFonts w:hAnsi="標楷體" w:cs="Arial"/>
                <w:b/>
                <w:spacing w:val="-20"/>
                <w:kern w:val="0"/>
                <w:sz w:val="18"/>
                <w:szCs w:val="18"/>
              </w:rPr>
              <w:t>805.0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2</w:t>
            </w:r>
            <w:r w:rsidRPr="00326E14">
              <w:rPr>
                <w:rFonts w:hAnsi="標楷體" w:cs="Arial" w:hint="eastAsia"/>
                <w:b/>
                <w:spacing w:val="-20"/>
                <w:kern w:val="0"/>
                <w:sz w:val="18"/>
                <w:szCs w:val="18"/>
              </w:rPr>
              <w:t>,</w:t>
            </w:r>
            <w:r w:rsidRPr="00326E14">
              <w:rPr>
                <w:rFonts w:hAnsi="標楷體" w:cs="Arial"/>
                <w:b/>
                <w:spacing w:val="-20"/>
                <w:kern w:val="0"/>
                <w:sz w:val="18"/>
                <w:szCs w:val="18"/>
              </w:rPr>
              <w:t>492.0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-1</w:t>
            </w:r>
            <w:r w:rsidRPr="00326E14">
              <w:rPr>
                <w:rFonts w:hAnsi="標楷體" w:cs="Arial" w:hint="eastAsia"/>
                <w:b/>
                <w:spacing w:val="-20"/>
                <w:kern w:val="0"/>
                <w:sz w:val="18"/>
                <w:szCs w:val="18"/>
              </w:rPr>
              <w:t>,</w:t>
            </w:r>
            <w:r w:rsidRPr="00326E14">
              <w:rPr>
                <w:rFonts w:hAnsi="標楷體" w:cs="Arial"/>
                <w:b/>
                <w:spacing w:val="-20"/>
                <w:kern w:val="0"/>
                <w:sz w:val="18"/>
                <w:szCs w:val="18"/>
              </w:rPr>
              <w:t>957.0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3</w:t>
            </w:r>
            <w:r w:rsidRPr="00326E14">
              <w:rPr>
                <w:rFonts w:hAnsi="標楷體" w:cs="Arial" w:hint="eastAsia"/>
                <w:b/>
                <w:spacing w:val="-20"/>
                <w:kern w:val="0"/>
                <w:sz w:val="18"/>
                <w:szCs w:val="18"/>
              </w:rPr>
              <w:t>,</w:t>
            </w:r>
            <w:r w:rsidRPr="00326E14">
              <w:rPr>
                <w:rFonts w:hAnsi="標楷體" w:cs="Arial"/>
                <w:b/>
                <w:spacing w:val="-20"/>
                <w:kern w:val="0"/>
                <w:sz w:val="18"/>
                <w:szCs w:val="18"/>
              </w:rPr>
              <w:t>207.0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3</w:t>
            </w:r>
            <w:r w:rsidRPr="00326E14">
              <w:rPr>
                <w:rFonts w:hAnsi="標楷體" w:cs="Arial" w:hint="eastAsia"/>
                <w:b/>
                <w:spacing w:val="-20"/>
                <w:kern w:val="0"/>
                <w:sz w:val="18"/>
                <w:szCs w:val="18"/>
              </w:rPr>
              <w:t>,</w:t>
            </w:r>
            <w:r w:rsidRPr="00326E14">
              <w:rPr>
                <w:rFonts w:hAnsi="標楷體" w:cs="Arial"/>
                <w:b/>
                <w:spacing w:val="-20"/>
                <w:kern w:val="0"/>
                <w:sz w:val="18"/>
                <w:szCs w:val="18"/>
              </w:rPr>
              <w:t>598.0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2</w:t>
            </w:r>
            <w:r w:rsidRPr="00326E14">
              <w:rPr>
                <w:rFonts w:hAnsi="標楷體" w:cs="Arial" w:hint="eastAsia"/>
                <w:b/>
                <w:spacing w:val="-20"/>
                <w:kern w:val="0"/>
                <w:sz w:val="18"/>
                <w:szCs w:val="18"/>
              </w:rPr>
              <w:t>,</w:t>
            </w:r>
            <w:r w:rsidRPr="00326E14">
              <w:rPr>
                <w:rFonts w:hAnsi="標楷體" w:cs="Arial"/>
                <w:b/>
                <w:spacing w:val="-20"/>
                <w:kern w:val="0"/>
                <w:sz w:val="18"/>
                <w:szCs w:val="18"/>
              </w:rPr>
              <w:t>839.0</w:t>
            </w:r>
          </w:p>
        </w:tc>
        <w:tc>
          <w:tcPr>
            <w:tcW w:w="1004" w:type="dxa"/>
            <w:shd w:val="clear" w:color="auto" w:fill="EEECE1" w:themeFill="background2"/>
            <w:noWrap/>
            <w:vAlign w:val="bottom"/>
            <w:hideMark/>
          </w:tcPr>
          <w:p w:rsidR="00372CA7" w:rsidRPr="00326E14" w:rsidRDefault="00372CA7" w:rsidP="00B10A4D">
            <w:pPr>
              <w:widowControl/>
              <w:spacing w:line="300" w:lineRule="exact"/>
              <w:jc w:val="right"/>
              <w:rPr>
                <w:rFonts w:hAnsi="標楷體" w:cs="Arial"/>
                <w:b/>
                <w:spacing w:val="-20"/>
                <w:kern w:val="0"/>
                <w:sz w:val="18"/>
                <w:szCs w:val="18"/>
              </w:rPr>
            </w:pPr>
            <w:r w:rsidRPr="00326E14">
              <w:rPr>
                <w:rFonts w:hAnsi="標楷體" w:cs="Arial"/>
                <w:b/>
                <w:spacing w:val="-20"/>
                <w:kern w:val="0"/>
                <w:sz w:val="18"/>
                <w:szCs w:val="18"/>
              </w:rPr>
              <w:t>2</w:t>
            </w:r>
            <w:r w:rsidRPr="00326E14">
              <w:rPr>
                <w:rFonts w:hAnsi="標楷體" w:cs="Arial" w:hint="eastAsia"/>
                <w:b/>
                <w:spacing w:val="-20"/>
                <w:kern w:val="0"/>
                <w:sz w:val="18"/>
                <w:szCs w:val="18"/>
              </w:rPr>
              <w:t>,</w:t>
            </w:r>
            <w:r w:rsidRPr="00326E14">
              <w:rPr>
                <w:rFonts w:hAnsi="標楷體" w:cs="Arial"/>
                <w:b/>
                <w:spacing w:val="-20"/>
                <w:kern w:val="0"/>
                <w:sz w:val="18"/>
                <w:szCs w:val="18"/>
              </w:rPr>
              <w:t>415.0</w:t>
            </w:r>
          </w:p>
        </w:tc>
      </w:tr>
    </w:tbl>
    <w:p w:rsidR="00372CA7" w:rsidRPr="00713D42" w:rsidRDefault="00372CA7" w:rsidP="009D24AD">
      <w:pPr>
        <w:pStyle w:val="3"/>
        <w:numPr>
          <w:ilvl w:val="0"/>
          <w:numId w:val="0"/>
        </w:numPr>
        <w:spacing w:line="240" w:lineRule="exact"/>
        <w:ind w:leftChars="-3" w:left="-10" w:firstLineChars="3" w:firstLine="7"/>
        <w:jc w:val="left"/>
        <w:rPr>
          <w:sz w:val="20"/>
          <w:szCs w:val="20"/>
        </w:rPr>
      </w:pPr>
      <w:bookmarkStart w:id="26" w:name="_Toc469271749"/>
      <w:bookmarkStart w:id="27" w:name="_Toc470099638"/>
      <w:r w:rsidRPr="00713D42">
        <w:rPr>
          <w:rFonts w:hint="eastAsia"/>
          <w:sz w:val="20"/>
          <w:szCs w:val="20"/>
        </w:rPr>
        <w:t>註:以104年FDI流入量為排名基準。</w:t>
      </w:r>
      <w:bookmarkEnd w:id="26"/>
      <w:bookmarkEnd w:id="27"/>
    </w:p>
    <w:p w:rsidR="00372CA7" w:rsidRPr="00713D42" w:rsidRDefault="00372CA7" w:rsidP="009D24AD">
      <w:pPr>
        <w:pStyle w:val="3"/>
        <w:numPr>
          <w:ilvl w:val="0"/>
          <w:numId w:val="0"/>
        </w:numPr>
        <w:spacing w:afterLines="50" w:after="220" w:line="240" w:lineRule="exact"/>
        <w:ind w:leftChars="-3" w:left="-10" w:firstLineChars="3" w:firstLine="7"/>
      </w:pPr>
      <w:bookmarkStart w:id="28" w:name="_Toc469271750"/>
      <w:bookmarkStart w:id="29" w:name="_Toc470099639"/>
      <w:r w:rsidRPr="00713D42">
        <w:rPr>
          <w:rFonts w:hint="eastAsia"/>
          <w:sz w:val="20"/>
          <w:szCs w:val="20"/>
        </w:rPr>
        <w:t>資料來源:105年世界投資報告。</w:t>
      </w:r>
      <w:bookmarkEnd w:id="28"/>
      <w:bookmarkEnd w:id="29"/>
    </w:p>
    <w:p w:rsidR="00372CA7" w:rsidRPr="00713D42" w:rsidRDefault="00372CA7" w:rsidP="00372CA7">
      <w:pPr>
        <w:pStyle w:val="3"/>
        <w:numPr>
          <w:ilvl w:val="0"/>
          <w:numId w:val="0"/>
        </w:numPr>
        <w:ind w:left="1361" w:firstLineChars="178" w:firstLine="621"/>
      </w:pPr>
      <w:bookmarkStart w:id="30" w:name="_Toc470099640"/>
      <w:r w:rsidRPr="00713D42">
        <w:rPr>
          <w:rFonts w:hint="eastAsia"/>
        </w:rPr>
        <w:t>本院諮詢馬</w:t>
      </w:r>
      <w:r w:rsidR="007238E8">
        <w:rPr>
          <w:rFonts w:hint="eastAsia"/>
        </w:rPr>
        <w:t>○</w:t>
      </w:r>
      <w:r w:rsidRPr="00713D42">
        <w:rPr>
          <w:rFonts w:hint="eastAsia"/>
        </w:rPr>
        <w:t>教授時，即指出:</w:t>
      </w:r>
      <w:r w:rsidRPr="00713D42">
        <w:rPr>
          <w:rFonts w:hAnsi="標楷體" w:hint="eastAsia"/>
        </w:rPr>
        <w:t>「愛爾蘭在金融海嘯之後經濟突飛猛進，而其中最重要的力量就FDI快速增加，效果完全超出任何人，僅單一因素即能產生如此巨大的力量，若臺灣也能夠有同樣的力量進來的話，困境確可得到很大幫助，甚至能突破。」經本專案研究分析相關案例，發現明確產業政策，並提供友善之吸引FDI政策將可吸引大</w:t>
      </w:r>
      <w:r w:rsidRPr="00713D42">
        <w:rPr>
          <w:rFonts w:hAnsi="標楷體" w:hint="eastAsia"/>
        </w:rPr>
        <w:lastRenderedPageBreak/>
        <w:t>量FDI之流入:</w:t>
      </w:r>
      <w:bookmarkEnd w:id="30"/>
    </w:p>
    <w:p w:rsidR="00372CA7" w:rsidRPr="00713D42" w:rsidRDefault="00372CA7" w:rsidP="00F6299D">
      <w:pPr>
        <w:pStyle w:val="4"/>
        <w:numPr>
          <w:ilvl w:val="3"/>
          <w:numId w:val="20"/>
        </w:numPr>
        <w:overflowPunct/>
        <w:autoSpaceDE/>
        <w:autoSpaceDN/>
      </w:pPr>
      <w:r w:rsidRPr="00713D42">
        <w:t>愛爾蘭</w:t>
      </w:r>
      <w:r w:rsidR="00CA70A8">
        <w:rPr>
          <w:rStyle w:val="aff8"/>
        </w:rPr>
        <w:footnoteReference w:id="6"/>
      </w:r>
      <w:r w:rsidRPr="00713D42">
        <w:rPr>
          <w:rFonts w:hint="eastAsia"/>
        </w:rPr>
        <w:t>97</w:t>
      </w:r>
      <w:r w:rsidRPr="00713D42">
        <w:t>年</w:t>
      </w:r>
      <w:r w:rsidRPr="00713D42">
        <w:rPr>
          <w:rFonts w:hint="eastAsia"/>
        </w:rPr>
        <w:t>時</w:t>
      </w:r>
      <w:r w:rsidRPr="00713D42">
        <w:t>陷入經濟危機，</w:t>
      </w:r>
      <w:r w:rsidRPr="00713D42">
        <w:rPr>
          <w:rFonts w:hint="eastAsia"/>
        </w:rPr>
        <w:t>FDI流出164.52億美元，致</w:t>
      </w:r>
      <w:r w:rsidRPr="00713D42">
        <w:t>被迫接受歐盟紓困，</w:t>
      </w:r>
      <w:r w:rsidRPr="00713D42">
        <w:rPr>
          <w:rFonts w:hint="eastAsia"/>
        </w:rPr>
        <w:t>然近年該國鑒於世界未來產業向微電子通訊及生物科技趨移之趨勢，大力推動上述產業研究與發展，使該國成為全球最吸引資通訊ICT（Information and Communication Technology）公司設立據點地區之一，當地從事研發、行銷及生產的ICT公司約有220家。全球排名前10大的ICT企業中有5家在此地設立分公司，僱用員工約4萬人，包括IBM、Intel、HP、Google、Microsoft等公司等；另，生物科學、醫療器材及製藥亦為該國積極發展之重</w:t>
      </w:r>
      <w:r w:rsidR="007C2944">
        <w:rPr>
          <w:rFonts w:hint="eastAsia"/>
        </w:rPr>
        <w:t>點</w:t>
      </w:r>
      <w:r w:rsidRPr="00713D42">
        <w:rPr>
          <w:rFonts w:hint="eastAsia"/>
        </w:rPr>
        <w:t>產業，目前當地著名醫療用品公司包括Abbott, Becton Dickinson, Boston Scientific、Essilor、Johnson &amp; Johnson、Stryker及Tyco Healthcare等公司，不僅為愛爾蘭帶來高經濟效益，還提升當地醫療用品及製藥業生產的地位，104年出口藥品總額286億4,994萬歐元，比前一年成長39.85%。該國因產業政策明確，且研究與吸引外商投資雙行並進，</w:t>
      </w:r>
      <w:r w:rsidRPr="00713D42">
        <w:t>吸引</w:t>
      </w:r>
      <w:r w:rsidRPr="00713D42">
        <w:rPr>
          <w:rFonts w:hint="eastAsia"/>
        </w:rPr>
        <w:t>了</w:t>
      </w:r>
      <w:r w:rsidRPr="00713D42">
        <w:t>龐大FDI，</w:t>
      </w:r>
      <w:r w:rsidRPr="00713D42">
        <w:rPr>
          <w:rFonts w:hint="eastAsia"/>
        </w:rPr>
        <w:t>也造就該國成為醫藥產業之重要出口國，該國104年吸引了1,000億美元之FDI，致該國當</w:t>
      </w:r>
      <w:r w:rsidRPr="00713D42">
        <w:t>年經濟成長率高達7.8%，連續2年成為歐盟內部增長最快的經濟體，</w:t>
      </w:r>
      <w:r w:rsidRPr="00713D42">
        <w:rPr>
          <w:rFonts w:hint="eastAsia"/>
        </w:rPr>
        <w:t>已有</w:t>
      </w:r>
      <w:r w:rsidRPr="00713D42">
        <w:t>超過1</w:t>
      </w:r>
      <w:r w:rsidRPr="00713D42">
        <w:rPr>
          <w:rFonts w:hint="eastAsia"/>
        </w:rPr>
        <w:t>,</w:t>
      </w:r>
      <w:r w:rsidRPr="00713D42">
        <w:t>200家公司把歐洲總部設在愛爾蘭，</w:t>
      </w:r>
      <w:r w:rsidRPr="00713D42">
        <w:rPr>
          <w:rFonts w:hint="eastAsia"/>
        </w:rPr>
        <w:t>為該國</w:t>
      </w:r>
      <w:r w:rsidRPr="00713D42">
        <w:t>帶</w:t>
      </w:r>
      <w:r w:rsidRPr="00713D42">
        <w:rPr>
          <w:rFonts w:hint="eastAsia"/>
        </w:rPr>
        <w:t>來龐大的</w:t>
      </w:r>
      <w:r w:rsidRPr="00713D42">
        <w:t>就業機會。</w:t>
      </w:r>
      <w:bookmarkEnd w:id="23"/>
      <w:r w:rsidRPr="00713D42">
        <w:rPr>
          <w:rFonts w:hint="eastAsia"/>
        </w:rPr>
        <w:t>以愛爾蘭之經驗，可以瞭解，明確的產業政策，落實推動及執行，將提出可吸引FDI之政策，將有效吸引FDI。</w:t>
      </w:r>
    </w:p>
    <w:p w:rsidR="00372CA7" w:rsidRPr="00713D42" w:rsidRDefault="00372CA7" w:rsidP="00F6299D">
      <w:pPr>
        <w:pStyle w:val="4"/>
        <w:numPr>
          <w:ilvl w:val="3"/>
          <w:numId w:val="20"/>
        </w:numPr>
        <w:overflowPunct/>
        <w:autoSpaceDE/>
        <w:autoSpaceDN/>
      </w:pPr>
      <w:r w:rsidRPr="00713D42">
        <w:rPr>
          <w:rFonts w:hint="eastAsia"/>
        </w:rPr>
        <w:t>本專案於105年9月間考察新加坡，發現該國吸引外資策略係配合產業政策以吸引大量外資</w:t>
      </w:r>
      <w:r w:rsidRPr="00713D42">
        <w:rPr>
          <w:rFonts w:hint="eastAsia"/>
        </w:rPr>
        <w:lastRenderedPageBreak/>
        <w:t>在該國設立據點，定位清楚。以石化工業為例:</w:t>
      </w:r>
    </w:p>
    <w:p w:rsidR="00372CA7" w:rsidRPr="00713D42" w:rsidRDefault="00372CA7" w:rsidP="00F6299D">
      <w:pPr>
        <w:pStyle w:val="5"/>
        <w:numPr>
          <w:ilvl w:val="4"/>
          <w:numId w:val="20"/>
        </w:numPr>
        <w:overflowPunct/>
        <w:autoSpaceDE/>
        <w:autoSpaceDN/>
      </w:pPr>
      <w:r w:rsidRPr="00713D42">
        <w:rPr>
          <w:rFonts w:hint="eastAsia"/>
        </w:rPr>
        <w:t>新加坡80年代確定要成為世界級石化工業聚落，因此該國於84年起以填海方式連接該國西南海域7個小島，成為面積3,200公頃的裕廊島石化專區，</w:t>
      </w:r>
      <w:r w:rsidR="007C2944">
        <w:rPr>
          <w:rFonts w:hint="eastAsia"/>
        </w:rPr>
        <w:t>該國除於</w:t>
      </w:r>
      <w:r w:rsidR="000367C5">
        <w:rPr>
          <w:rFonts w:hint="eastAsia"/>
        </w:rPr>
        <w:t>該專區建立完整產業鏈外，並引進及建立相關外部產業鏈廠商，如:世界級碼頭公司、能源公司、廢棄物處理公司與氣體廠等，為該專區內之石化公司創造價值與效益，再輔以極佳之建廠申請流程，以及諸多優惠之招商措施，</w:t>
      </w:r>
      <w:r w:rsidRPr="00713D42">
        <w:rPr>
          <w:rFonts w:hint="eastAsia"/>
        </w:rPr>
        <w:t>目前</w:t>
      </w:r>
      <w:r w:rsidR="000367C5">
        <w:rPr>
          <w:rFonts w:hint="eastAsia"/>
        </w:rPr>
        <w:t>該專區已</w:t>
      </w:r>
      <w:r w:rsidRPr="00713D42">
        <w:rPr>
          <w:rFonts w:hint="eastAsia"/>
        </w:rPr>
        <w:t>有超過95家全球大型石油、石化和特種化工企業在該專區設廠，包括荷蘭皇家殼牌（Shell）、美國埃克森美孚（ExxonMobil）、美國雪佛龍（Chevron）、美國杜邦（DuPont）、德國巴斯夫（BASF）、日本住友化學（Sumitomo Chemicals）及日本三井化學（Mitsui Chemicals）等業內巨頭全球知名石化企業，103年該國石化工業製造產值為1,034.8億星元（816.7億美元）。</w:t>
      </w:r>
    </w:p>
    <w:p w:rsidR="00372CA7" w:rsidRPr="00713D42" w:rsidRDefault="00372CA7" w:rsidP="00F6299D">
      <w:pPr>
        <w:pStyle w:val="5"/>
        <w:numPr>
          <w:ilvl w:val="4"/>
          <w:numId w:val="20"/>
        </w:numPr>
        <w:overflowPunct/>
        <w:autoSpaceDE/>
        <w:autoSpaceDN/>
      </w:pPr>
      <w:r w:rsidRPr="00713D42">
        <w:rPr>
          <w:rFonts w:hint="eastAsia"/>
        </w:rPr>
        <w:t>我國長春集團亦赴該園區投資建廠，據本院參訪時該集團表示，主係基於取得上游充足原料供應之考量，該</w:t>
      </w:r>
      <w:r w:rsidR="005F2B07">
        <w:rPr>
          <w:rFonts w:hint="eastAsia"/>
        </w:rPr>
        <w:t>專</w:t>
      </w:r>
      <w:r w:rsidRPr="00713D42">
        <w:rPr>
          <w:rFonts w:hint="eastAsia"/>
        </w:rPr>
        <w:t>區基礎設施優良，新加坡政府</w:t>
      </w:r>
      <w:r w:rsidR="005F2B07">
        <w:rPr>
          <w:rFonts w:hint="eastAsia"/>
        </w:rPr>
        <w:t>除</w:t>
      </w:r>
      <w:r w:rsidRPr="00713D42">
        <w:rPr>
          <w:rFonts w:hint="eastAsia"/>
        </w:rPr>
        <w:t>建立完整石化產業鏈外，並引進產業周邊相關廠商，使該國的石化產業鏈更完整且附加價值更高。由於該園區產業鏈整合度高，成為一個很有競爭力的化工重地，至今已吸引了340億星元（283億3,000萬美元）以上的投資。</w:t>
      </w:r>
    </w:p>
    <w:p w:rsidR="00372CA7" w:rsidRPr="00713D42" w:rsidRDefault="00372CA7" w:rsidP="00372CA7">
      <w:pPr>
        <w:pStyle w:val="5"/>
        <w:numPr>
          <w:ilvl w:val="0"/>
          <w:numId w:val="0"/>
        </w:numPr>
        <w:ind w:left="1418" w:firstLineChars="203" w:firstLine="708"/>
      </w:pPr>
      <w:r w:rsidRPr="00713D42">
        <w:rPr>
          <w:rFonts w:hint="eastAsia"/>
        </w:rPr>
        <w:t>由上述案例可見，一個國家有未來願景及整體性產業政策，依此訂定中長期計畫，並落實執行，將可有效吸引FDI。</w:t>
      </w:r>
    </w:p>
    <w:p w:rsidR="00372CA7" w:rsidRPr="00713D42" w:rsidRDefault="00372CA7" w:rsidP="00F6299D">
      <w:pPr>
        <w:pStyle w:val="3"/>
        <w:numPr>
          <w:ilvl w:val="2"/>
          <w:numId w:val="20"/>
        </w:numPr>
        <w:overflowPunct/>
        <w:autoSpaceDE/>
        <w:autoSpaceDN/>
      </w:pPr>
      <w:bookmarkStart w:id="31" w:name="_Toc470099641"/>
      <w:bookmarkStart w:id="32" w:name="_Toc469271751"/>
      <w:r w:rsidRPr="00713D42">
        <w:rPr>
          <w:rFonts w:hint="eastAsia"/>
        </w:rPr>
        <w:lastRenderedPageBreak/>
        <w:t>再查我國政府所定政策與FDI之關聯性:</w:t>
      </w:r>
      <w:bookmarkEnd w:id="31"/>
    </w:p>
    <w:bookmarkEnd w:id="32"/>
    <w:p w:rsidR="00372CA7" w:rsidRPr="00713D42" w:rsidRDefault="00372CA7" w:rsidP="00F6299D">
      <w:pPr>
        <w:pStyle w:val="4"/>
        <w:numPr>
          <w:ilvl w:val="3"/>
          <w:numId w:val="20"/>
        </w:numPr>
        <w:overflowPunct/>
        <w:autoSpaceDE/>
        <w:autoSpaceDN/>
      </w:pPr>
      <w:r w:rsidRPr="00713D42">
        <w:rPr>
          <w:rFonts w:hint="eastAsia"/>
        </w:rPr>
        <w:t>85年起我國FDI經歷兩波高峰(詳圖</w:t>
      </w:r>
      <w:r w:rsidR="0091577E">
        <w:rPr>
          <w:rFonts w:hint="eastAsia"/>
        </w:rPr>
        <w:t>4</w:t>
      </w:r>
      <w:r w:rsidRPr="00713D42">
        <w:rPr>
          <w:rFonts w:hint="eastAsia"/>
        </w:rPr>
        <w:t>):</w:t>
      </w:r>
    </w:p>
    <w:p w:rsidR="00372CA7" w:rsidRPr="00713D42" w:rsidRDefault="00372CA7" w:rsidP="00372CA7">
      <w:pPr>
        <w:pStyle w:val="4"/>
        <w:numPr>
          <w:ilvl w:val="0"/>
          <w:numId w:val="0"/>
        </w:numPr>
        <w:ind w:leftChars="1" w:left="3116" w:hangingChars="892" w:hanging="3113"/>
      </w:pPr>
      <w:r w:rsidRPr="00713D42">
        <w:rPr>
          <w:noProof/>
        </w:rPr>
        <w:drawing>
          <wp:inline distT="0" distB="0" distL="0" distR="0" wp14:anchorId="34EB5E12" wp14:editId="4484B36D">
            <wp:extent cx="5695950" cy="2066925"/>
            <wp:effectExtent l="0" t="0" r="19050" b="9525"/>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72CA7" w:rsidRPr="00713D42" w:rsidRDefault="00372CA7" w:rsidP="00372CA7">
      <w:pPr>
        <w:pStyle w:val="10"/>
        <w:numPr>
          <w:ilvl w:val="0"/>
          <w:numId w:val="0"/>
        </w:numPr>
        <w:spacing w:before="0" w:after="0" w:line="240" w:lineRule="exact"/>
        <w:ind w:left="2" w:hangingChars="1" w:hanging="2"/>
        <w:rPr>
          <w:b w:val="0"/>
        </w:rPr>
      </w:pPr>
      <w:r w:rsidRPr="00713D42">
        <w:rPr>
          <w:rFonts w:hint="eastAsia"/>
          <w:b w:val="0"/>
          <w:sz w:val="20"/>
          <w:szCs w:val="20"/>
        </w:rPr>
        <w:t>資料來源:中央銀行國際收支與國際投資部位統計之國際收支簡表，經本院整理。</w:t>
      </w:r>
    </w:p>
    <w:p w:rsidR="00372CA7" w:rsidRPr="0091577E" w:rsidRDefault="00372CA7" w:rsidP="0091577E">
      <w:pPr>
        <w:pStyle w:val="a3"/>
        <w:rPr>
          <w:b/>
        </w:rPr>
      </w:pPr>
      <w:r w:rsidRPr="0091577E">
        <w:rPr>
          <w:rFonts w:hint="eastAsia"/>
          <w:b/>
        </w:rPr>
        <w:t>85年起外國人來臺投資金額變動情形</w:t>
      </w:r>
    </w:p>
    <w:p w:rsidR="00372CA7" w:rsidRPr="00713D42" w:rsidRDefault="00372CA7" w:rsidP="00F6299D">
      <w:pPr>
        <w:pStyle w:val="5"/>
        <w:numPr>
          <w:ilvl w:val="4"/>
          <w:numId w:val="20"/>
        </w:numPr>
        <w:overflowPunct/>
        <w:autoSpaceDE/>
        <w:autoSpaceDN/>
      </w:pPr>
      <w:r w:rsidRPr="00713D42">
        <w:rPr>
          <w:rFonts w:hint="eastAsia"/>
        </w:rPr>
        <w:t>第一波是89年開放固網通訊業務時，國內業者透過境外公司投資電信事業，致FDI流入我國金額明顯增加。</w:t>
      </w:r>
    </w:p>
    <w:p w:rsidR="00372CA7" w:rsidRPr="00713D42" w:rsidRDefault="00372CA7" w:rsidP="00F6299D">
      <w:pPr>
        <w:pStyle w:val="5"/>
        <w:numPr>
          <w:ilvl w:val="4"/>
          <w:numId w:val="20"/>
        </w:numPr>
        <w:overflowPunct/>
        <w:autoSpaceDE/>
        <w:autoSpaceDN/>
      </w:pPr>
      <w:r w:rsidRPr="00713D42">
        <w:rPr>
          <w:rFonts w:hint="eastAsia"/>
        </w:rPr>
        <w:t>第二波是95至97年，國際私募基金併購我國銀行及有線電視業等，該等年度因我國頒布企業併購法、金融改革開放等因素，國際私募股權基金來臺投資案件增加，如荷蘭商COOPERATIEVE VALIANT APO GLOBAL U.A.投資勇德國際股份有限公司，用以公開收購復盛股份有限公司、國際私募股權基金安博凱基金等透過馬來西亞商Evergreen Jade Sdn. Bhd.等增資安順開發股份有限公司，並多層次轉投資國內有線電視公司、英商STANDARD CHARTERED BANK增資新竹國際商業銀行股份有限公司、美商新橋資本公司(New Bridge Capital)投資入股臺新金控、美商卡萊爾集團收購東森媒體科技70%股權等大型併購案，致FDI流入我國金額由94年之14.93億美元快速增加至95、96年之74.24億、77.69億</w:t>
      </w:r>
      <w:r w:rsidRPr="00713D42">
        <w:rPr>
          <w:rFonts w:hint="eastAsia"/>
        </w:rPr>
        <w:lastRenderedPageBreak/>
        <w:t>美元。</w:t>
      </w:r>
    </w:p>
    <w:p w:rsidR="00372CA7" w:rsidRPr="00713D42" w:rsidRDefault="00372CA7" w:rsidP="00372CA7">
      <w:pPr>
        <w:pStyle w:val="5"/>
        <w:numPr>
          <w:ilvl w:val="0"/>
          <w:numId w:val="0"/>
        </w:numPr>
        <w:ind w:left="1701" w:firstLineChars="203" w:firstLine="708"/>
      </w:pPr>
      <w:r w:rsidRPr="00713D42">
        <w:rPr>
          <w:rFonts w:hint="eastAsia"/>
        </w:rPr>
        <w:t>顯見，我國FDI最高峰時期，與政府當時產業政策明確有極大之關聯性，89年時開放固網通訊業務，國內業者透過境外公司投資電信事業，故當時FDI增加迅速，另一次則是頒布企業併購法、金融改革開放，使大量FDI投入我國金融產業。</w:t>
      </w:r>
    </w:p>
    <w:p w:rsidR="00372CA7" w:rsidRPr="00713D42" w:rsidRDefault="00372CA7" w:rsidP="00F6299D">
      <w:pPr>
        <w:pStyle w:val="4"/>
        <w:numPr>
          <w:ilvl w:val="3"/>
          <w:numId w:val="20"/>
        </w:numPr>
        <w:overflowPunct/>
        <w:autoSpaceDE/>
        <w:autoSpaceDN/>
      </w:pPr>
      <w:r w:rsidRPr="00713D42">
        <w:rPr>
          <w:rFonts w:hint="eastAsia"/>
        </w:rPr>
        <w:t>政府推動產業發展計畫與FDI流入關聯性:</w:t>
      </w:r>
    </w:p>
    <w:p w:rsidR="00372CA7" w:rsidRPr="00713D42" w:rsidRDefault="00372CA7" w:rsidP="00F6299D">
      <w:pPr>
        <w:pStyle w:val="5"/>
        <w:numPr>
          <w:ilvl w:val="4"/>
          <w:numId w:val="20"/>
        </w:numPr>
        <w:overflowPunct/>
        <w:autoSpaceDE/>
        <w:autoSpaceDN/>
      </w:pPr>
      <w:r w:rsidRPr="00713D42">
        <w:rPr>
          <w:rFonts w:hint="eastAsia"/>
        </w:rPr>
        <w:t>我國於91年加入WTO，對於外國金融機構之市場進入、業務範圍及商業據點等方面，已採取國民待遇之標準，且陸續實施金融機構合併法及金融控股公司法，鼓勵金融機構整併，又因外國金融機構為開拓新市場獲取新商機、跟隨客戶全球化布局、區域規模經濟</w:t>
      </w:r>
      <w:r w:rsidRPr="00713D42">
        <w:t>等</w:t>
      </w:r>
      <w:r w:rsidRPr="00713D42">
        <w:rPr>
          <w:rFonts w:hint="eastAsia"/>
        </w:rPr>
        <w:t>因素，復因金融機構主管機關均有一定資本適足率之規定，故其歷年FDI投資於金融產業之金額均高於其他產業(詳表5)。</w:t>
      </w:r>
    </w:p>
    <w:p w:rsidR="00372CA7" w:rsidRPr="00713D42" w:rsidRDefault="00372CA7" w:rsidP="00F6299D">
      <w:pPr>
        <w:pStyle w:val="5"/>
        <w:numPr>
          <w:ilvl w:val="4"/>
          <w:numId w:val="20"/>
        </w:numPr>
        <w:overflowPunct/>
        <w:autoSpaceDE/>
        <w:autoSpaceDN/>
      </w:pPr>
      <w:r w:rsidRPr="00713D42">
        <w:rPr>
          <w:rFonts w:hint="eastAsia"/>
        </w:rPr>
        <w:t>89-96年間政府推動兩兆雙星產業發展計畫，並開放開放外商投資固網電信市場，及為建構我國成為亞太地區數位內容設計、開發與製作中樞，進而帶動周邊衍生性知識型產業發展於95年數位內容產業達到3,700億元發展目標。因政府當時推動之產業政策明確，因此電子零組件製造業、資訊及傳播通訊業於該等期間FDI流入量分居2、5名:</w:t>
      </w:r>
    </w:p>
    <w:p w:rsidR="00372CA7" w:rsidRPr="00713D42" w:rsidRDefault="00372CA7" w:rsidP="00F6299D">
      <w:pPr>
        <w:pStyle w:val="6"/>
        <w:numPr>
          <w:ilvl w:val="5"/>
          <w:numId w:val="20"/>
        </w:numPr>
        <w:overflowPunct/>
        <w:autoSpaceDE/>
        <w:autoSpaceDN/>
      </w:pPr>
      <w:r w:rsidRPr="00713D42">
        <w:rPr>
          <w:rFonts w:hint="eastAsia"/>
        </w:rPr>
        <w:t>兩兆雙星產業發展計畫：</w:t>
      </w:r>
    </w:p>
    <w:p w:rsidR="00372CA7" w:rsidRPr="00713D42" w:rsidRDefault="00372CA7" w:rsidP="00F6299D">
      <w:pPr>
        <w:pStyle w:val="7"/>
        <w:numPr>
          <w:ilvl w:val="6"/>
          <w:numId w:val="20"/>
        </w:numPr>
        <w:overflowPunct/>
        <w:autoSpaceDE/>
        <w:autoSpaceDN/>
      </w:pPr>
      <w:r w:rsidRPr="00713D42">
        <w:rPr>
          <w:rFonts w:hint="eastAsia"/>
        </w:rPr>
        <w:t>「兩兆雙星產業發展計畫」係指將半導體產值與彩色影像顯示器兩項產業的產值在95年時，各自突破1兆元；並且推動數位內容產業（包含軟體、電子遊戲、媒體、出版、音樂、動畫、網路服務等領域)</w:t>
      </w:r>
      <w:r w:rsidRPr="00713D42">
        <w:rPr>
          <w:rFonts w:hint="eastAsia"/>
        </w:rPr>
        <w:lastRenderedPageBreak/>
        <w:t>與生技產業成為具發展潛力的兩個明星產業。</w:t>
      </w:r>
    </w:p>
    <w:p w:rsidR="00372CA7" w:rsidRPr="00713D42" w:rsidRDefault="00372CA7" w:rsidP="00F6299D">
      <w:pPr>
        <w:pStyle w:val="7"/>
        <w:numPr>
          <w:ilvl w:val="6"/>
          <w:numId w:val="20"/>
        </w:numPr>
        <w:overflowPunct/>
        <w:autoSpaceDE/>
        <w:autoSpaceDN/>
      </w:pPr>
      <w:r w:rsidRPr="00713D42">
        <w:rPr>
          <w:rFonts w:hint="eastAsia"/>
        </w:rPr>
        <w:t>經濟部成立半導體產業推動辦公室，建構我國成為全球半導體重要IC設計、開發及製造中樞，進而掌握週邊系統規格發展，提升我國相關產業的附加價值；於93年我國半導體產業產值成為首先突破新臺幣兆元之產業，使臺灣成為全球十二吋晶圓廠密度最高、IC設計產業發展最為活絡的國家。</w:t>
      </w:r>
    </w:p>
    <w:p w:rsidR="00372CA7" w:rsidRPr="00713D42" w:rsidRDefault="00372CA7" w:rsidP="00F6299D">
      <w:pPr>
        <w:pStyle w:val="7"/>
        <w:numPr>
          <w:ilvl w:val="6"/>
          <w:numId w:val="20"/>
        </w:numPr>
        <w:overflowPunct/>
        <w:autoSpaceDE/>
        <w:autoSpaceDN/>
      </w:pPr>
      <w:r w:rsidRPr="00713D42">
        <w:rPr>
          <w:rFonts w:hint="eastAsia"/>
        </w:rPr>
        <w:t>由於影像顯示產業的第一階段以平面顯示產業為發展重點，經濟部成立影像顯示產業推動辦公室，推動上、中、下游產業合作；於95年我國影像顯示產業順利突破新臺幣兆元，使我國影像顯示產業在當時與韓國爭奪世界第一的競賽中，取得更為優勢之地位。</w:t>
      </w:r>
    </w:p>
    <w:p w:rsidR="00372CA7" w:rsidRPr="00713D42" w:rsidRDefault="00372CA7" w:rsidP="00F6299D">
      <w:pPr>
        <w:pStyle w:val="6"/>
        <w:numPr>
          <w:ilvl w:val="5"/>
          <w:numId w:val="20"/>
        </w:numPr>
        <w:overflowPunct/>
        <w:autoSpaceDE/>
        <w:autoSpaceDN/>
      </w:pPr>
      <w:r w:rsidRPr="00713D42">
        <w:rPr>
          <w:rFonts w:hint="eastAsia"/>
        </w:rPr>
        <w:t>經濟部數位內容產業推動辦公室積極建構我國成為亞太地區數位內容設計、開發與製作中樞，進而帶動周邊衍生性知識型產業發展；於95年數位內容產業達到3,700億元之發展目標。</w:t>
      </w:r>
    </w:p>
    <w:p w:rsidR="00372CA7" w:rsidRPr="00713D42" w:rsidRDefault="00372CA7" w:rsidP="00F6299D">
      <w:pPr>
        <w:pStyle w:val="6"/>
        <w:numPr>
          <w:ilvl w:val="5"/>
          <w:numId w:val="20"/>
        </w:numPr>
        <w:overflowPunct/>
        <w:autoSpaceDE/>
        <w:autoSpaceDN/>
      </w:pPr>
      <w:r w:rsidRPr="00713D42">
        <w:rPr>
          <w:rFonts w:hint="eastAsia"/>
        </w:rPr>
        <w:t>開放外商投資固網電信市場。</w:t>
      </w:r>
    </w:p>
    <w:p w:rsidR="00372CA7" w:rsidRPr="00713D42" w:rsidRDefault="00372CA7" w:rsidP="00F6299D">
      <w:pPr>
        <w:pStyle w:val="5"/>
        <w:numPr>
          <w:ilvl w:val="4"/>
          <w:numId w:val="20"/>
        </w:numPr>
        <w:overflowPunct/>
        <w:autoSpaceDE/>
        <w:autoSpaceDN/>
      </w:pPr>
      <w:r w:rsidRPr="00713D42">
        <w:rPr>
          <w:rFonts w:hint="eastAsia"/>
        </w:rPr>
        <w:t>另近年我國降低遺贈稅，且貨幣、財政均採取寬鬆政策，造成資金寬鬆、利率偏低，復因流入國內之外資，未能有較佳投資管道，致資金流入不動產業，致房價高漲，97-104年FDI資金流入不動產業資金額較前其增加近17億美元，為所有產業中增加金額最高之產業。</w:t>
      </w:r>
    </w:p>
    <w:p w:rsidR="00372CA7" w:rsidRDefault="00372CA7" w:rsidP="00372CA7">
      <w:pPr>
        <w:pStyle w:val="5"/>
        <w:numPr>
          <w:ilvl w:val="0"/>
          <w:numId w:val="0"/>
        </w:numPr>
        <w:ind w:left="1418" w:firstLineChars="203" w:firstLine="708"/>
      </w:pPr>
      <w:r w:rsidRPr="00713D42">
        <w:rPr>
          <w:rFonts w:hint="eastAsia"/>
        </w:rPr>
        <w:t>由上可知，我國FDI流入最佳年度，均係政府致力於強化某類型產業之競爭力、變革創新等政</w:t>
      </w:r>
      <w:r w:rsidRPr="00713D42">
        <w:rPr>
          <w:rFonts w:hint="eastAsia"/>
        </w:rPr>
        <w:lastRenderedPageBreak/>
        <w:t>策，致FDI流入激增，就如政府是否推動兩兆雙星計畫，FDI流入相關產業即有明顯增減。新加坡及愛爾蘭均有明確產業政策及定位清楚之FDI政策，故FDI流入金額龐大，104年為例我國FDI流入金額僅24.2億美元，尚未達愛爾蘭1,000億美元、新加坡652.6億美元之3%及5%，我國競爭力及經商環境評比均為世界前10餘名，競爭能力極佳，本具有高FDI流入潛力，政府如能構建完備的產業發展戰略，並強化吸引FDI能力，將對FDI流入有正向之影響力。</w:t>
      </w:r>
    </w:p>
    <w:p w:rsidR="001155E6" w:rsidRPr="00713D42" w:rsidRDefault="001155E6" w:rsidP="00372CA7">
      <w:pPr>
        <w:pStyle w:val="5"/>
        <w:numPr>
          <w:ilvl w:val="0"/>
          <w:numId w:val="0"/>
        </w:numPr>
        <w:ind w:left="1418" w:firstLineChars="203" w:firstLine="708"/>
      </w:pPr>
    </w:p>
    <w:p w:rsidR="00372CA7" w:rsidRPr="00713D42" w:rsidRDefault="00372CA7" w:rsidP="00372CA7">
      <w:pPr>
        <w:pStyle w:val="a5"/>
        <w:spacing w:beforeLines="25" w:before="110" w:after="0"/>
        <w:ind w:left="1049" w:hanging="482"/>
        <w:jc w:val="center"/>
        <w:rPr>
          <w:b/>
        </w:rPr>
      </w:pPr>
      <w:r w:rsidRPr="00713D42">
        <w:rPr>
          <w:rFonts w:hint="eastAsia"/>
          <w:b/>
        </w:rPr>
        <w:t>FDI投資產業狀況表</w:t>
      </w:r>
    </w:p>
    <w:p w:rsidR="00372CA7" w:rsidRPr="00713D42" w:rsidRDefault="00372CA7" w:rsidP="001155E6">
      <w:pPr>
        <w:pStyle w:val="3"/>
        <w:numPr>
          <w:ilvl w:val="0"/>
          <w:numId w:val="0"/>
        </w:numPr>
        <w:spacing w:line="240" w:lineRule="exact"/>
        <w:ind w:left="1361" w:rightChars="-146" w:right="-510"/>
        <w:jc w:val="right"/>
        <w:rPr>
          <w:b/>
        </w:rPr>
      </w:pPr>
      <w:r w:rsidRPr="001155E6">
        <w:rPr>
          <w:rFonts w:hAnsi="標楷體" w:hint="eastAsia"/>
          <w:sz w:val="20"/>
          <w:szCs w:val="20"/>
        </w:rPr>
        <w:t>單位:百萬美元；件</w:t>
      </w:r>
    </w:p>
    <w:tbl>
      <w:tblPr>
        <w:tblW w:w="964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45"/>
        <w:gridCol w:w="709"/>
        <w:gridCol w:w="867"/>
        <w:gridCol w:w="854"/>
        <w:gridCol w:w="688"/>
        <w:gridCol w:w="709"/>
        <w:gridCol w:w="851"/>
        <w:gridCol w:w="850"/>
        <w:gridCol w:w="567"/>
      </w:tblGrid>
      <w:tr w:rsidR="00372CA7" w:rsidRPr="00713D42" w:rsidTr="005F2B07">
        <w:trPr>
          <w:trHeight w:val="201"/>
          <w:tblHeader/>
        </w:trPr>
        <w:tc>
          <w:tcPr>
            <w:tcW w:w="3545" w:type="dxa"/>
          </w:tcPr>
          <w:p w:rsidR="00372CA7" w:rsidRPr="00713D42" w:rsidRDefault="00372CA7" w:rsidP="00B10A4D">
            <w:pPr>
              <w:pStyle w:val="4"/>
              <w:numPr>
                <w:ilvl w:val="0"/>
                <w:numId w:val="0"/>
              </w:numPr>
              <w:jc w:val="center"/>
              <w:rPr>
                <w:b/>
                <w:sz w:val="24"/>
                <w:szCs w:val="24"/>
              </w:rPr>
            </w:pPr>
            <w:r w:rsidRPr="00713D42">
              <w:rPr>
                <w:rFonts w:hint="eastAsia"/>
                <w:b/>
                <w:sz w:val="24"/>
                <w:szCs w:val="24"/>
              </w:rPr>
              <w:t>期間</w:t>
            </w:r>
          </w:p>
        </w:tc>
        <w:tc>
          <w:tcPr>
            <w:tcW w:w="3118" w:type="dxa"/>
            <w:gridSpan w:val="4"/>
          </w:tcPr>
          <w:p w:rsidR="00372CA7" w:rsidRPr="00713D42" w:rsidRDefault="00372CA7" w:rsidP="00B10A4D">
            <w:pPr>
              <w:jc w:val="center"/>
              <w:rPr>
                <w:rFonts w:hAnsi="標楷體"/>
                <w:b/>
                <w:sz w:val="24"/>
                <w:szCs w:val="24"/>
              </w:rPr>
            </w:pPr>
            <w:r w:rsidRPr="00713D42">
              <w:rPr>
                <w:rFonts w:hAnsi="標楷體" w:hint="eastAsia"/>
                <w:b/>
                <w:sz w:val="24"/>
                <w:szCs w:val="24"/>
              </w:rPr>
              <w:t>89-96年</w:t>
            </w:r>
          </w:p>
        </w:tc>
        <w:tc>
          <w:tcPr>
            <w:tcW w:w="2977" w:type="dxa"/>
            <w:gridSpan w:val="4"/>
          </w:tcPr>
          <w:p w:rsidR="00372CA7" w:rsidRPr="00713D42" w:rsidRDefault="00372CA7" w:rsidP="00B10A4D">
            <w:pPr>
              <w:jc w:val="center"/>
              <w:rPr>
                <w:rFonts w:hAnsi="標楷體"/>
                <w:b/>
                <w:sz w:val="24"/>
                <w:szCs w:val="24"/>
              </w:rPr>
            </w:pPr>
            <w:r w:rsidRPr="00713D42">
              <w:rPr>
                <w:rFonts w:hAnsi="標楷體" w:hint="eastAsia"/>
                <w:b/>
                <w:sz w:val="24"/>
                <w:szCs w:val="24"/>
              </w:rPr>
              <w:t>97-104年</w:t>
            </w:r>
          </w:p>
        </w:tc>
      </w:tr>
      <w:tr w:rsidR="00372CA7" w:rsidRPr="00713D42" w:rsidTr="005F2B07">
        <w:trPr>
          <w:trHeight w:val="281"/>
          <w:tblHeader/>
        </w:trPr>
        <w:tc>
          <w:tcPr>
            <w:tcW w:w="3545" w:type="dxa"/>
          </w:tcPr>
          <w:p w:rsidR="00372CA7" w:rsidRPr="00713D42" w:rsidRDefault="00372CA7" w:rsidP="00B10A4D">
            <w:pPr>
              <w:pStyle w:val="4"/>
              <w:numPr>
                <w:ilvl w:val="0"/>
                <w:numId w:val="0"/>
              </w:numPr>
              <w:rPr>
                <w:sz w:val="24"/>
                <w:szCs w:val="24"/>
              </w:rPr>
            </w:pPr>
            <w:r w:rsidRPr="00713D42">
              <w:rPr>
                <w:rFonts w:hint="eastAsia"/>
                <w:sz w:val="24"/>
                <w:szCs w:val="24"/>
              </w:rPr>
              <w:t>投資國家</w:t>
            </w:r>
          </w:p>
        </w:tc>
        <w:tc>
          <w:tcPr>
            <w:tcW w:w="709" w:type="dxa"/>
          </w:tcPr>
          <w:p w:rsidR="00372CA7" w:rsidRPr="00713D42" w:rsidRDefault="00372CA7" w:rsidP="00B10A4D">
            <w:pPr>
              <w:pStyle w:val="4"/>
              <w:numPr>
                <w:ilvl w:val="0"/>
                <w:numId w:val="0"/>
              </w:numPr>
              <w:jc w:val="center"/>
              <w:rPr>
                <w:sz w:val="24"/>
                <w:szCs w:val="24"/>
              </w:rPr>
            </w:pPr>
            <w:r w:rsidRPr="00713D42">
              <w:rPr>
                <w:rFonts w:hint="eastAsia"/>
                <w:sz w:val="24"/>
                <w:szCs w:val="24"/>
              </w:rPr>
              <w:t>件數</w:t>
            </w:r>
          </w:p>
        </w:tc>
        <w:tc>
          <w:tcPr>
            <w:tcW w:w="867" w:type="dxa"/>
          </w:tcPr>
          <w:p w:rsidR="00372CA7" w:rsidRPr="00713D42" w:rsidRDefault="00372CA7" w:rsidP="00B10A4D">
            <w:pPr>
              <w:pStyle w:val="4"/>
              <w:numPr>
                <w:ilvl w:val="0"/>
                <w:numId w:val="0"/>
              </w:numPr>
              <w:jc w:val="center"/>
              <w:rPr>
                <w:sz w:val="24"/>
                <w:szCs w:val="24"/>
              </w:rPr>
            </w:pPr>
            <w:r w:rsidRPr="00713D42">
              <w:rPr>
                <w:rFonts w:hint="eastAsia"/>
                <w:sz w:val="24"/>
                <w:szCs w:val="24"/>
              </w:rPr>
              <w:t>金額</w:t>
            </w:r>
          </w:p>
        </w:tc>
        <w:tc>
          <w:tcPr>
            <w:tcW w:w="854" w:type="dxa"/>
          </w:tcPr>
          <w:p w:rsidR="00372CA7" w:rsidRPr="00713D42" w:rsidRDefault="00372CA7" w:rsidP="00B10A4D">
            <w:pPr>
              <w:pStyle w:val="4"/>
              <w:numPr>
                <w:ilvl w:val="0"/>
                <w:numId w:val="0"/>
              </w:numPr>
              <w:jc w:val="center"/>
              <w:rPr>
                <w:sz w:val="24"/>
                <w:szCs w:val="24"/>
              </w:rPr>
            </w:pPr>
            <w:r w:rsidRPr="00713D42">
              <w:rPr>
                <w:rFonts w:hint="eastAsia"/>
                <w:sz w:val="24"/>
                <w:szCs w:val="24"/>
              </w:rPr>
              <w:t>比率</w:t>
            </w:r>
            <w:r w:rsidRPr="00713D42">
              <w:rPr>
                <w:rFonts w:hint="eastAsia"/>
                <w:sz w:val="24"/>
                <w:szCs w:val="24"/>
                <w:vertAlign w:val="superscript"/>
              </w:rPr>
              <w:t>註</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排名</w:t>
            </w:r>
          </w:p>
        </w:tc>
        <w:tc>
          <w:tcPr>
            <w:tcW w:w="709" w:type="dxa"/>
          </w:tcPr>
          <w:p w:rsidR="00372CA7" w:rsidRPr="00713D42" w:rsidRDefault="00372CA7" w:rsidP="00B10A4D">
            <w:pPr>
              <w:pStyle w:val="4"/>
              <w:numPr>
                <w:ilvl w:val="0"/>
                <w:numId w:val="0"/>
              </w:numPr>
              <w:ind w:rightChars="-8" w:right="-28"/>
              <w:jc w:val="center"/>
              <w:rPr>
                <w:sz w:val="24"/>
                <w:szCs w:val="24"/>
              </w:rPr>
            </w:pPr>
            <w:r w:rsidRPr="00713D42">
              <w:rPr>
                <w:rFonts w:hint="eastAsia"/>
                <w:sz w:val="24"/>
                <w:szCs w:val="24"/>
              </w:rPr>
              <w:t>件數</w:t>
            </w:r>
          </w:p>
        </w:tc>
        <w:tc>
          <w:tcPr>
            <w:tcW w:w="851" w:type="dxa"/>
          </w:tcPr>
          <w:p w:rsidR="00372CA7" w:rsidRPr="00713D42" w:rsidRDefault="00372CA7" w:rsidP="00B10A4D">
            <w:pPr>
              <w:pStyle w:val="4"/>
              <w:numPr>
                <w:ilvl w:val="0"/>
                <w:numId w:val="0"/>
              </w:numPr>
              <w:ind w:rightChars="-8" w:right="-28"/>
              <w:jc w:val="center"/>
              <w:rPr>
                <w:sz w:val="24"/>
                <w:szCs w:val="24"/>
              </w:rPr>
            </w:pPr>
            <w:r w:rsidRPr="00713D42">
              <w:rPr>
                <w:rFonts w:hint="eastAsia"/>
                <w:sz w:val="24"/>
                <w:szCs w:val="24"/>
              </w:rPr>
              <w:t>金額</w:t>
            </w:r>
          </w:p>
        </w:tc>
        <w:tc>
          <w:tcPr>
            <w:tcW w:w="850" w:type="dxa"/>
          </w:tcPr>
          <w:p w:rsidR="00372CA7" w:rsidRPr="00713D42" w:rsidRDefault="00372CA7" w:rsidP="00B10A4D">
            <w:pPr>
              <w:pStyle w:val="4"/>
              <w:numPr>
                <w:ilvl w:val="0"/>
                <w:numId w:val="0"/>
              </w:numPr>
              <w:ind w:rightChars="-8" w:right="-28"/>
              <w:jc w:val="center"/>
              <w:rPr>
                <w:sz w:val="24"/>
                <w:szCs w:val="24"/>
              </w:rPr>
            </w:pPr>
            <w:r w:rsidRPr="00713D42">
              <w:rPr>
                <w:rFonts w:hint="eastAsia"/>
                <w:sz w:val="24"/>
                <w:szCs w:val="24"/>
              </w:rPr>
              <w:t>比率</w:t>
            </w:r>
          </w:p>
        </w:tc>
        <w:tc>
          <w:tcPr>
            <w:tcW w:w="567" w:type="dxa"/>
          </w:tcPr>
          <w:p w:rsidR="00372CA7" w:rsidRPr="001155E6" w:rsidRDefault="00372CA7" w:rsidP="00B10A4D">
            <w:pPr>
              <w:pStyle w:val="4"/>
              <w:numPr>
                <w:ilvl w:val="0"/>
                <w:numId w:val="0"/>
              </w:numPr>
              <w:ind w:rightChars="-16" w:right="-56"/>
              <w:jc w:val="center"/>
              <w:rPr>
                <w:spacing w:val="-20"/>
                <w:sz w:val="24"/>
                <w:szCs w:val="24"/>
              </w:rPr>
            </w:pPr>
            <w:r w:rsidRPr="001155E6">
              <w:rPr>
                <w:rFonts w:hint="eastAsia"/>
                <w:spacing w:val="-20"/>
                <w:sz w:val="24"/>
                <w:szCs w:val="24"/>
              </w:rPr>
              <w:t>排名</w:t>
            </w:r>
          </w:p>
        </w:tc>
      </w:tr>
      <w:tr w:rsidR="00372CA7" w:rsidRPr="00713D42" w:rsidTr="005F2B07">
        <w:trPr>
          <w:trHeight w:val="216"/>
        </w:trPr>
        <w:tc>
          <w:tcPr>
            <w:tcW w:w="3545" w:type="dxa"/>
          </w:tcPr>
          <w:p w:rsidR="00372CA7" w:rsidRPr="00713D42" w:rsidRDefault="00372CA7" w:rsidP="00B10A4D">
            <w:pPr>
              <w:pStyle w:val="4"/>
              <w:numPr>
                <w:ilvl w:val="0"/>
                <w:numId w:val="0"/>
              </w:numPr>
              <w:rPr>
                <w:sz w:val="24"/>
                <w:szCs w:val="24"/>
              </w:rPr>
            </w:pPr>
            <w:r w:rsidRPr="00713D42">
              <w:rPr>
                <w:rFonts w:hint="eastAsia"/>
                <w:sz w:val="24"/>
                <w:szCs w:val="24"/>
              </w:rPr>
              <w:tab/>
            </w:r>
            <w:r w:rsidRPr="00713D42">
              <w:rPr>
                <w:rFonts w:hint="eastAsia"/>
                <w:sz w:val="24"/>
                <w:szCs w:val="24"/>
              </w:rPr>
              <w:tab/>
              <w:t>金融及保險業</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Ansi="標楷體" w:hint="eastAsia"/>
                <w:sz w:val="24"/>
                <w:szCs w:val="24"/>
              </w:rPr>
              <w:t>1,406</w:t>
            </w:r>
          </w:p>
        </w:tc>
        <w:tc>
          <w:tcPr>
            <w:tcW w:w="867" w:type="dxa"/>
          </w:tcPr>
          <w:p w:rsidR="00372CA7" w:rsidRPr="00713D42" w:rsidRDefault="00372CA7" w:rsidP="00B10A4D">
            <w:pPr>
              <w:pStyle w:val="4"/>
              <w:numPr>
                <w:ilvl w:val="0"/>
                <w:numId w:val="0"/>
              </w:numPr>
              <w:jc w:val="right"/>
              <w:rPr>
                <w:sz w:val="24"/>
                <w:szCs w:val="24"/>
              </w:rPr>
            </w:pPr>
            <w:r w:rsidRPr="00713D42">
              <w:rPr>
                <w:sz w:val="24"/>
                <w:szCs w:val="24"/>
              </w:rPr>
              <w:t>17,208</w:t>
            </w:r>
          </w:p>
        </w:tc>
        <w:tc>
          <w:tcPr>
            <w:tcW w:w="854" w:type="dxa"/>
          </w:tcPr>
          <w:p w:rsidR="00372CA7" w:rsidRPr="00713D42" w:rsidRDefault="00372CA7" w:rsidP="00B10A4D">
            <w:pPr>
              <w:pStyle w:val="4"/>
              <w:numPr>
                <w:ilvl w:val="0"/>
                <w:numId w:val="0"/>
              </w:numPr>
              <w:jc w:val="center"/>
              <w:rPr>
                <w:sz w:val="24"/>
                <w:szCs w:val="24"/>
              </w:rPr>
            </w:pPr>
            <w:r w:rsidRPr="00713D42">
              <w:rPr>
                <w:rFonts w:hAnsi="標楷體" w:hint="eastAsia"/>
                <w:sz w:val="24"/>
                <w:szCs w:val="24"/>
              </w:rPr>
              <w:t>30.14</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1</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1,936</w:t>
            </w:r>
          </w:p>
        </w:tc>
        <w:tc>
          <w:tcPr>
            <w:tcW w:w="851"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Ansi="標楷體" w:hint="eastAsia"/>
                <w:sz w:val="24"/>
                <w:szCs w:val="24"/>
              </w:rPr>
              <w:t>16,046</w:t>
            </w:r>
          </w:p>
        </w:tc>
        <w:tc>
          <w:tcPr>
            <w:tcW w:w="850" w:type="dxa"/>
          </w:tcPr>
          <w:p w:rsidR="00372CA7" w:rsidRPr="00713D42" w:rsidRDefault="00372CA7" w:rsidP="005F2B07">
            <w:pPr>
              <w:pStyle w:val="4"/>
              <w:numPr>
                <w:ilvl w:val="0"/>
                <w:numId w:val="0"/>
              </w:numPr>
              <w:jc w:val="right"/>
              <w:rPr>
                <w:sz w:val="24"/>
                <w:szCs w:val="24"/>
              </w:rPr>
            </w:pPr>
            <w:r w:rsidRPr="00713D42">
              <w:rPr>
                <w:rFonts w:hAnsi="標楷體" w:hint="eastAsia"/>
                <w:sz w:val="24"/>
                <w:szCs w:val="24"/>
              </w:rPr>
              <w:t>37.63</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1</w:t>
            </w:r>
          </w:p>
        </w:tc>
      </w:tr>
      <w:tr w:rsidR="00372CA7" w:rsidRPr="00713D42" w:rsidTr="005F2B07">
        <w:trPr>
          <w:trHeight w:val="271"/>
        </w:trPr>
        <w:tc>
          <w:tcPr>
            <w:tcW w:w="3545" w:type="dxa"/>
          </w:tcPr>
          <w:p w:rsidR="00372CA7" w:rsidRPr="00713D42" w:rsidRDefault="00372CA7" w:rsidP="00B10A4D">
            <w:pPr>
              <w:pStyle w:val="4"/>
              <w:numPr>
                <w:ilvl w:val="0"/>
                <w:numId w:val="0"/>
              </w:numPr>
              <w:rPr>
                <w:sz w:val="24"/>
                <w:szCs w:val="24"/>
              </w:rPr>
            </w:pPr>
            <w:r w:rsidRPr="00713D42">
              <w:rPr>
                <w:rFonts w:hint="eastAsia"/>
                <w:sz w:val="24"/>
                <w:szCs w:val="24"/>
              </w:rPr>
              <w:tab/>
            </w:r>
            <w:r w:rsidRPr="00713D42">
              <w:rPr>
                <w:rFonts w:hint="eastAsia"/>
                <w:sz w:val="24"/>
                <w:szCs w:val="24"/>
              </w:rPr>
              <w:tab/>
              <w:t>電子零組件製造業</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1,296</w:t>
            </w:r>
          </w:p>
        </w:tc>
        <w:tc>
          <w:tcPr>
            <w:tcW w:w="867" w:type="dxa"/>
          </w:tcPr>
          <w:p w:rsidR="00372CA7" w:rsidRPr="00713D42" w:rsidRDefault="00372CA7" w:rsidP="00B10A4D">
            <w:pPr>
              <w:pStyle w:val="4"/>
              <w:numPr>
                <w:ilvl w:val="0"/>
                <w:numId w:val="0"/>
              </w:numPr>
              <w:jc w:val="right"/>
              <w:rPr>
                <w:sz w:val="24"/>
                <w:szCs w:val="24"/>
              </w:rPr>
            </w:pPr>
            <w:r w:rsidRPr="00713D42">
              <w:rPr>
                <w:sz w:val="24"/>
                <w:szCs w:val="24"/>
              </w:rPr>
              <w:t>12,267</w:t>
            </w:r>
          </w:p>
        </w:tc>
        <w:tc>
          <w:tcPr>
            <w:tcW w:w="854" w:type="dxa"/>
          </w:tcPr>
          <w:p w:rsidR="00372CA7" w:rsidRPr="00713D42" w:rsidRDefault="00372CA7" w:rsidP="00B10A4D">
            <w:pPr>
              <w:pStyle w:val="4"/>
              <w:numPr>
                <w:ilvl w:val="0"/>
                <w:numId w:val="0"/>
              </w:numPr>
              <w:jc w:val="center"/>
              <w:rPr>
                <w:sz w:val="24"/>
                <w:szCs w:val="24"/>
              </w:rPr>
            </w:pPr>
            <w:r w:rsidRPr="00713D42">
              <w:rPr>
                <w:rFonts w:hint="eastAsia"/>
                <w:sz w:val="24"/>
                <w:szCs w:val="24"/>
              </w:rPr>
              <w:t>21.49</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2</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1,466</w:t>
            </w:r>
          </w:p>
        </w:tc>
        <w:tc>
          <w:tcPr>
            <w:tcW w:w="851"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Ansi="標楷體" w:hint="eastAsia"/>
                <w:sz w:val="24"/>
                <w:szCs w:val="24"/>
              </w:rPr>
              <w:t>4,350</w:t>
            </w:r>
          </w:p>
        </w:tc>
        <w:tc>
          <w:tcPr>
            <w:tcW w:w="850" w:type="dxa"/>
          </w:tcPr>
          <w:p w:rsidR="00372CA7" w:rsidRPr="00713D42" w:rsidRDefault="00372CA7" w:rsidP="005F2B07">
            <w:pPr>
              <w:pStyle w:val="4"/>
              <w:numPr>
                <w:ilvl w:val="0"/>
                <w:numId w:val="0"/>
              </w:numPr>
              <w:jc w:val="right"/>
              <w:rPr>
                <w:sz w:val="24"/>
                <w:szCs w:val="24"/>
              </w:rPr>
            </w:pPr>
            <w:r w:rsidRPr="00713D42">
              <w:rPr>
                <w:rFonts w:hAnsi="標楷體" w:hint="eastAsia"/>
                <w:sz w:val="24"/>
                <w:szCs w:val="24"/>
              </w:rPr>
              <w:t>10.20</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3</w:t>
            </w:r>
          </w:p>
        </w:tc>
      </w:tr>
      <w:tr w:rsidR="00372CA7" w:rsidRPr="00713D42" w:rsidTr="005F2B07">
        <w:trPr>
          <w:trHeight w:val="205"/>
        </w:trPr>
        <w:tc>
          <w:tcPr>
            <w:tcW w:w="3545" w:type="dxa"/>
          </w:tcPr>
          <w:p w:rsidR="00372CA7" w:rsidRPr="00713D42" w:rsidRDefault="00372CA7" w:rsidP="00B10A4D">
            <w:pPr>
              <w:pStyle w:val="4"/>
              <w:numPr>
                <w:ilvl w:val="0"/>
                <w:numId w:val="0"/>
              </w:numPr>
              <w:rPr>
                <w:sz w:val="24"/>
                <w:szCs w:val="24"/>
              </w:rPr>
            </w:pPr>
            <w:r w:rsidRPr="00713D42">
              <w:rPr>
                <w:rFonts w:hAnsi="標楷體" w:hint="eastAsia"/>
                <w:sz w:val="24"/>
                <w:szCs w:val="24"/>
              </w:rPr>
              <w:t>批發及零售業</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3,768</w:t>
            </w:r>
          </w:p>
        </w:tc>
        <w:tc>
          <w:tcPr>
            <w:tcW w:w="867" w:type="dxa"/>
          </w:tcPr>
          <w:p w:rsidR="00372CA7" w:rsidRPr="00713D42" w:rsidRDefault="00372CA7" w:rsidP="00B10A4D">
            <w:pPr>
              <w:pStyle w:val="4"/>
              <w:numPr>
                <w:ilvl w:val="0"/>
                <w:numId w:val="0"/>
              </w:numPr>
              <w:jc w:val="right"/>
              <w:rPr>
                <w:sz w:val="24"/>
                <w:szCs w:val="24"/>
              </w:rPr>
            </w:pPr>
            <w:r w:rsidRPr="00713D42">
              <w:rPr>
                <w:sz w:val="24"/>
                <w:szCs w:val="24"/>
              </w:rPr>
              <w:t>5,627</w:t>
            </w:r>
          </w:p>
        </w:tc>
        <w:tc>
          <w:tcPr>
            <w:tcW w:w="854" w:type="dxa"/>
          </w:tcPr>
          <w:p w:rsidR="00372CA7" w:rsidRPr="00713D42" w:rsidRDefault="00372CA7" w:rsidP="00B10A4D">
            <w:pPr>
              <w:pStyle w:val="4"/>
              <w:numPr>
                <w:ilvl w:val="0"/>
                <w:numId w:val="0"/>
              </w:numPr>
              <w:jc w:val="center"/>
              <w:rPr>
                <w:sz w:val="24"/>
                <w:szCs w:val="24"/>
              </w:rPr>
            </w:pPr>
            <w:r w:rsidRPr="00713D42">
              <w:rPr>
                <w:rFonts w:hAnsi="標楷體" w:hint="eastAsia"/>
                <w:sz w:val="24"/>
                <w:szCs w:val="24"/>
              </w:rPr>
              <w:t>9.86</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3</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7,123</w:t>
            </w:r>
          </w:p>
        </w:tc>
        <w:tc>
          <w:tcPr>
            <w:tcW w:w="851"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Ansi="標楷體" w:hint="eastAsia"/>
                <w:sz w:val="24"/>
                <w:szCs w:val="24"/>
              </w:rPr>
              <w:t>5,961</w:t>
            </w:r>
          </w:p>
        </w:tc>
        <w:tc>
          <w:tcPr>
            <w:tcW w:w="850" w:type="dxa"/>
          </w:tcPr>
          <w:p w:rsidR="00372CA7" w:rsidRPr="00713D42" w:rsidRDefault="00372CA7" w:rsidP="005F2B07">
            <w:pPr>
              <w:pStyle w:val="4"/>
              <w:numPr>
                <w:ilvl w:val="0"/>
                <w:numId w:val="0"/>
              </w:numPr>
              <w:jc w:val="right"/>
              <w:rPr>
                <w:sz w:val="24"/>
                <w:szCs w:val="24"/>
              </w:rPr>
            </w:pPr>
            <w:r w:rsidRPr="00713D42">
              <w:rPr>
                <w:rFonts w:hAnsi="標楷體" w:hint="eastAsia"/>
                <w:sz w:val="24"/>
                <w:szCs w:val="24"/>
              </w:rPr>
              <w:t>13.98</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2</w:t>
            </w:r>
          </w:p>
        </w:tc>
      </w:tr>
      <w:tr w:rsidR="00372CA7" w:rsidRPr="00713D42" w:rsidTr="005F2B07">
        <w:trPr>
          <w:trHeight w:val="236"/>
        </w:trPr>
        <w:tc>
          <w:tcPr>
            <w:tcW w:w="3545" w:type="dxa"/>
          </w:tcPr>
          <w:p w:rsidR="00372CA7" w:rsidRPr="00713D42" w:rsidRDefault="00372CA7" w:rsidP="00B10A4D">
            <w:pPr>
              <w:pStyle w:val="4"/>
              <w:numPr>
                <w:ilvl w:val="0"/>
                <w:numId w:val="0"/>
              </w:numPr>
              <w:rPr>
                <w:sz w:val="24"/>
                <w:szCs w:val="24"/>
              </w:rPr>
            </w:pPr>
            <w:r w:rsidRPr="00713D42">
              <w:rPr>
                <w:rFonts w:hint="eastAsia"/>
                <w:sz w:val="24"/>
                <w:szCs w:val="24"/>
              </w:rPr>
              <w:t>電腦、電子產品及光學製造業</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sz w:val="24"/>
                <w:szCs w:val="24"/>
              </w:rPr>
              <w:t>859</w:t>
            </w:r>
          </w:p>
        </w:tc>
        <w:tc>
          <w:tcPr>
            <w:tcW w:w="867" w:type="dxa"/>
          </w:tcPr>
          <w:p w:rsidR="00372CA7" w:rsidRPr="00713D42" w:rsidRDefault="00372CA7" w:rsidP="00B10A4D">
            <w:pPr>
              <w:pStyle w:val="4"/>
              <w:numPr>
                <w:ilvl w:val="0"/>
                <w:numId w:val="0"/>
              </w:numPr>
              <w:jc w:val="right"/>
              <w:rPr>
                <w:sz w:val="24"/>
                <w:szCs w:val="24"/>
              </w:rPr>
            </w:pPr>
            <w:r w:rsidRPr="00713D42">
              <w:rPr>
                <w:sz w:val="24"/>
                <w:szCs w:val="24"/>
              </w:rPr>
              <w:t>3,710</w:t>
            </w:r>
          </w:p>
        </w:tc>
        <w:tc>
          <w:tcPr>
            <w:tcW w:w="854" w:type="dxa"/>
          </w:tcPr>
          <w:p w:rsidR="00372CA7" w:rsidRPr="00713D42" w:rsidRDefault="00372CA7" w:rsidP="00B10A4D">
            <w:pPr>
              <w:pStyle w:val="4"/>
              <w:numPr>
                <w:ilvl w:val="0"/>
                <w:numId w:val="0"/>
              </w:numPr>
              <w:jc w:val="center"/>
              <w:rPr>
                <w:sz w:val="24"/>
                <w:szCs w:val="24"/>
              </w:rPr>
            </w:pPr>
            <w:r w:rsidRPr="00713D42">
              <w:rPr>
                <w:rFonts w:hint="eastAsia"/>
                <w:sz w:val="24"/>
                <w:szCs w:val="24"/>
              </w:rPr>
              <w:t>6.50</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4</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int="eastAsia"/>
                <w:sz w:val="24"/>
                <w:szCs w:val="24"/>
              </w:rPr>
              <w:t>-</w:t>
            </w:r>
          </w:p>
        </w:tc>
        <w:tc>
          <w:tcPr>
            <w:tcW w:w="851"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int="eastAsia"/>
                <w:sz w:val="24"/>
                <w:szCs w:val="24"/>
              </w:rPr>
              <w:t>-</w:t>
            </w:r>
          </w:p>
        </w:tc>
        <w:tc>
          <w:tcPr>
            <w:tcW w:w="850" w:type="dxa"/>
          </w:tcPr>
          <w:p w:rsidR="00372CA7" w:rsidRPr="00713D42" w:rsidRDefault="00372CA7" w:rsidP="005F2B07">
            <w:pPr>
              <w:pStyle w:val="4"/>
              <w:numPr>
                <w:ilvl w:val="0"/>
                <w:numId w:val="0"/>
              </w:numPr>
              <w:jc w:val="right"/>
              <w:rPr>
                <w:sz w:val="24"/>
                <w:szCs w:val="24"/>
              </w:rPr>
            </w:pPr>
            <w:r w:rsidRPr="00713D42">
              <w:rPr>
                <w:rFonts w:hint="eastAsia"/>
                <w:sz w:val="24"/>
                <w:szCs w:val="24"/>
              </w:rPr>
              <w:t>-</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w:t>
            </w:r>
          </w:p>
        </w:tc>
      </w:tr>
      <w:tr w:rsidR="00372CA7" w:rsidRPr="00713D42" w:rsidTr="005F2B07">
        <w:trPr>
          <w:trHeight w:val="151"/>
        </w:trPr>
        <w:tc>
          <w:tcPr>
            <w:tcW w:w="3545" w:type="dxa"/>
          </w:tcPr>
          <w:p w:rsidR="00372CA7" w:rsidRPr="00713D42" w:rsidRDefault="00372CA7" w:rsidP="00B10A4D">
            <w:pPr>
              <w:pStyle w:val="4"/>
              <w:numPr>
                <w:ilvl w:val="0"/>
                <w:numId w:val="0"/>
              </w:numPr>
              <w:rPr>
                <w:sz w:val="24"/>
                <w:szCs w:val="24"/>
              </w:rPr>
            </w:pPr>
            <w:r w:rsidRPr="00713D42">
              <w:rPr>
                <w:rFonts w:hint="eastAsia"/>
                <w:sz w:val="24"/>
                <w:szCs w:val="24"/>
              </w:rPr>
              <w:t>資訊及傳播通訊業</w:t>
            </w:r>
          </w:p>
        </w:tc>
        <w:tc>
          <w:tcPr>
            <w:tcW w:w="709" w:type="dxa"/>
          </w:tcPr>
          <w:p w:rsidR="00372CA7" w:rsidRPr="00713D42" w:rsidRDefault="00372CA7" w:rsidP="00B10A4D">
            <w:pPr>
              <w:pStyle w:val="4"/>
              <w:numPr>
                <w:ilvl w:val="0"/>
                <w:numId w:val="0"/>
              </w:numPr>
              <w:jc w:val="right"/>
              <w:rPr>
                <w:sz w:val="24"/>
                <w:szCs w:val="24"/>
              </w:rPr>
            </w:pPr>
            <w:r w:rsidRPr="00713D42">
              <w:rPr>
                <w:sz w:val="24"/>
                <w:szCs w:val="24"/>
              </w:rPr>
              <w:t>692</w:t>
            </w:r>
          </w:p>
        </w:tc>
        <w:tc>
          <w:tcPr>
            <w:tcW w:w="867" w:type="dxa"/>
          </w:tcPr>
          <w:p w:rsidR="00372CA7" w:rsidRPr="00713D42" w:rsidRDefault="00372CA7" w:rsidP="00B10A4D">
            <w:pPr>
              <w:pStyle w:val="4"/>
              <w:numPr>
                <w:ilvl w:val="0"/>
                <w:numId w:val="0"/>
              </w:numPr>
              <w:jc w:val="right"/>
              <w:rPr>
                <w:sz w:val="24"/>
                <w:szCs w:val="24"/>
              </w:rPr>
            </w:pPr>
            <w:r w:rsidRPr="00713D42">
              <w:rPr>
                <w:sz w:val="24"/>
                <w:szCs w:val="24"/>
              </w:rPr>
              <w:t>3,570</w:t>
            </w:r>
          </w:p>
        </w:tc>
        <w:tc>
          <w:tcPr>
            <w:tcW w:w="854" w:type="dxa"/>
          </w:tcPr>
          <w:p w:rsidR="00372CA7" w:rsidRPr="00713D42" w:rsidRDefault="00372CA7" w:rsidP="00B10A4D">
            <w:pPr>
              <w:pStyle w:val="4"/>
              <w:numPr>
                <w:ilvl w:val="0"/>
                <w:numId w:val="0"/>
              </w:numPr>
              <w:jc w:val="center"/>
              <w:rPr>
                <w:sz w:val="24"/>
                <w:szCs w:val="24"/>
              </w:rPr>
            </w:pPr>
            <w:r w:rsidRPr="00713D42">
              <w:rPr>
                <w:sz w:val="24"/>
                <w:szCs w:val="24"/>
              </w:rPr>
              <w:t>6.</w:t>
            </w:r>
            <w:r w:rsidRPr="00713D42">
              <w:rPr>
                <w:rFonts w:hint="eastAsia"/>
                <w:sz w:val="24"/>
                <w:szCs w:val="24"/>
              </w:rPr>
              <w:t>25</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5</w:t>
            </w:r>
          </w:p>
        </w:tc>
        <w:tc>
          <w:tcPr>
            <w:tcW w:w="709"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int="eastAsia"/>
                <w:sz w:val="24"/>
                <w:szCs w:val="24"/>
              </w:rPr>
              <w:t>-</w:t>
            </w:r>
          </w:p>
        </w:tc>
        <w:tc>
          <w:tcPr>
            <w:tcW w:w="851" w:type="dxa"/>
          </w:tcPr>
          <w:p w:rsidR="00372CA7" w:rsidRPr="00713D42" w:rsidRDefault="00372CA7" w:rsidP="005F2B07">
            <w:pPr>
              <w:pStyle w:val="4"/>
              <w:numPr>
                <w:ilvl w:val="0"/>
                <w:numId w:val="0"/>
              </w:numPr>
              <w:ind w:leftChars="-8" w:left="-1" w:hangingChars="10" w:hanging="27"/>
              <w:jc w:val="right"/>
              <w:rPr>
                <w:sz w:val="24"/>
                <w:szCs w:val="24"/>
              </w:rPr>
            </w:pPr>
            <w:r w:rsidRPr="00713D42">
              <w:rPr>
                <w:rFonts w:hint="eastAsia"/>
                <w:sz w:val="24"/>
                <w:szCs w:val="24"/>
              </w:rPr>
              <w:t>-</w:t>
            </w:r>
          </w:p>
        </w:tc>
        <w:tc>
          <w:tcPr>
            <w:tcW w:w="850" w:type="dxa"/>
          </w:tcPr>
          <w:p w:rsidR="00372CA7" w:rsidRPr="00713D42" w:rsidRDefault="00372CA7" w:rsidP="005F2B07">
            <w:pPr>
              <w:pStyle w:val="4"/>
              <w:numPr>
                <w:ilvl w:val="0"/>
                <w:numId w:val="0"/>
              </w:numPr>
              <w:jc w:val="right"/>
              <w:rPr>
                <w:sz w:val="24"/>
                <w:szCs w:val="24"/>
              </w:rPr>
            </w:pPr>
            <w:r w:rsidRPr="00713D42">
              <w:rPr>
                <w:rFonts w:hint="eastAsia"/>
                <w:sz w:val="24"/>
                <w:szCs w:val="24"/>
              </w:rPr>
              <w:t>-</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w:t>
            </w:r>
          </w:p>
        </w:tc>
      </w:tr>
      <w:tr w:rsidR="00372CA7" w:rsidRPr="00713D42" w:rsidTr="005F2B07">
        <w:trPr>
          <w:trHeight w:val="175"/>
        </w:trPr>
        <w:tc>
          <w:tcPr>
            <w:tcW w:w="3545" w:type="dxa"/>
          </w:tcPr>
          <w:p w:rsidR="00372CA7" w:rsidRPr="00713D42" w:rsidRDefault="00372CA7" w:rsidP="00B10A4D">
            <w:r w:rsidRPr="00713D42">
              <w:rPr>
                <w:rFonts w:hAnsi="標楷體" w:hint="eastAsia"/>
                <w:sz w:val="24"/>
                <w:szCs w:val="24"/>
              </w:rPr>
              <w:t>不動產業</w:t>
            </w:r>
          </w:p>
        </w:tc>
        <w:tc>
          <w:tcPr>
            <w:tcW w:w="709" w:type="dxa"/>
          </w:tcPr>
          <w:p w:rsidR="00372CA7" w:rsidRPr="00713D42" w:rsidRDefault="00372CA7" w:rsidP="00B10A4D">
            <w:pPr>
              <w:rPr>
                <w:rFonts w:hAnsi="Arial"/>
                <w:sz w:val="24"/>
                <w:szCs w:val="24"/>
              </w:rPr>
            </w:pPr>
            <w:r w:rsidRPr="00713D42">
              <w:rPr>
                <w:rFonts w:hAnsi="Arial" w:hint="eastAsia"/>
                <w:sz w:val="24"/>
                <w:szCs w:val="24"/>
              </w:rPr>
              <w:t>-</w:t>
            </w:r>
          </w:p>
        </w:tc>
        <w:tc>
          <w:tcPr>
            <w:tcW w:w="867" w:type="dxa"/>
          </w:tcPr>
          <w:p w:rsidR="00372CA7" w:rsidRPr="00713D42" w:rsidRDefault="00372CA7" w:rsidP="00B10A4D">
            <w:pPr>
              <w:rPr>
                <w:rFonts w:hAnsi="Arial"/>
                <w:sz w:val="24"/>
                <w:szCs w:val="24"/>
              </w:rPr>
            </w:pPr>
            <w:r w:rsidRPr="00713D42">
              <w:rPr>
                <w:rFonts w:hAnsi="Arial" w:hint="eastAsia"/>
                <w:sz w:val="24"/>
                <w:szCs w:val="24"/>
              </w:rPr>
              <w:t>-</w:t>
            </w:r>
          </w:p>
        </w:tc>
        <w:tc>
          <w:tcPr>
            <w:tcW w:w="854" w:type="dxa"/>
          </w:tcPr>
          <w:p w:rsidR="00372CA7" w:rsidRPr="00713D42" w:rsidRDefault="00372CA7" w:rsidP="00B10A4D">
            <w:pPr>
              <w:rPr>
                <w:rFonts w:hAnsi="Arial"/>
                <w:sz w:val="24"/>
                <w:szCs w:val="24"/>
              </w:rPr>
            </w:pPr>
            <w:r w:rsidRPr="00713D42">
              <w:rPr>
                <w:rFonts w:hAnsi="Arial" w:hint="eastAsia"/>
                <w:sz w:val="24"/>
                <w:szCs w:val="24"/>
              </w:rPr>
              <w:t>-</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w:t>
            </w:r>
          </w:p>
        </w:tc>
        <w:tc>
          <w:tcPr>
            <w:tcW w:w="709" w:type="dxa"/>
          </w:tcPr>
          <w:p w:rsidR="00372CA7" w:rsidRPr="00713D42" w:rsidRDefault="00372CA7" w:rsidP="005F2B07">
            <w:pPr>
              <w:ind w:leftChars="-8" w:left="-1" w:hangingChars="10" w:hanging="27"/>
              <w:jc w:val="right"/>
              <w:rPr>
                <w:rFonts w:hAnsi="Arial"/>
                <w:sz w:val="24"/>
                <w:szCs w:val="24"/>
              </w:rPr>
            </w:pPr>
            <w:r w:rsidRPr="00713D42">
              <w:rPr>
                <w:rFonts w:hAnsi="Arial" w:hint="eastAsia"/>
                <w:sz w:val="24"/>
                <w:szCs w:val="24"/>
              </w:rPr>
              <w:t>987</w:t>
            </w:r>
          </w:p>
        </w:tc>
        <w:tc>
          <w:tcPr>
            <w:tcW w:w="851" w:type="dxa"/>
          </w:tcPr>
          <w:p w:rsidR="00372CA7" w:rsidRPr="00713D42" w:rsidRDefault="00372CA7" w:rsidP="005F2B07">
            <w:pPr>
              <w:ind w:leftChars="-8" w:left="-1" w:hangingChars="10" w:hanging="27"/>
              <w:jc w:val="right"/>
              <w:rPr>
                <w:rFonts w:hAnsi="Arial"/>
                <w:sz w:val="24"/>
                <w:szCs w:val="24"/>
              </w:rPr>
            </w:pPr>
            <w:r w:rsidRPr="00713D42">
              <w:rPr>
                <w:rFonts w:hAnsi="Arial" w:hint="eastAsia"/>
                <w:sz w:val="24"/>
                <w:szCs w:val="24"/>
              </w:rPr>
              <w:t>2,363</w:t>
            </w:r>
          </w:p>
        </w:tc>
        <w:tc>
          <w:tcPr>
            <w:tcW w:w="850" w:type="dxa"/>
          </w:tcPr>
          <w:p w:rsidR="00372CA7" w:rsidRPr="00713D42" w:rsidRDefault="00372CA7" w:rsidP="005F2B07">
            <w:pPr>
              <w:jc w:val="right"/>
              <w:rPr>
                <w:rFonts w:hAnsi="Arial"/>
                <w:sz w:val="24"/>
                <w:szCs w:val="24"/>
              </w:rPr>
            </w:pPr>
            <w:r w:rsidRPr="00713D42">
              <w:rPr>
                <w:rFonts w:hAnsi="Arial" w:hint="eastAsia"/>
                <w:sz w:val="24"/>
                <w:szCs w:val="24"/>
              </w:rPr>
              <w:t>5.54</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4</w:t>
            </w:r>
          </w:p>
        </w:tc>
      </w:tr>
      <w:tr w:rsidR="00372CA7" w:rsidRPr="00713D42" w:rsidTr="005F2B07">
        <w:trPr>
          <w:trHeight w:val="175"/>
        </w:trPr>
        <w:tc>
          <w:tcPr>
            <w:tcW w:w="3545" w:type="dxa"/>
          </w:tcPr>
          <w:p w:rsidR="00372CA7" w:rsidRPr="00713D42" w:rsidRDefault="00372CA7" w:rsidP="00B10A4D">
            <w:r w:rsidRPr="00713D42">
              <w:rPr>
                <w:rFonts w:hAnsi="標楷體" w:hint="eastAsia"/>
                <w:sz w:val="24"/>
                <w:szCs w:val="24"/>
              </w:rPr>
              <w:t>專業、科學及技術服務業</w:t>
            </w:r>
          </w:p>
        </w:tc>
        <w:tc>
          <w:tcPr>
            <w:tcW w:w="709" w:type="dxa"/>
          </w:tcPr>
          <w:p w:rsidR="00372CA7" w:rsidRPr="00713D42" w:rsidRDefault="00372CA7" w:rsidP="00B10A4D">
            <w:pPr>
              <w:rPr>
                <w:rFonts w:hAnsi="Arial"/>
                <w:sz w:val="24"/>
                <w:szCs w:val="24"/>
              </w:rPr>
            </w:pPr>
            <w:r w:rsidRPr="00713D42">
              <w:rPr>
                <w:rFonts w:hAnsi="Arial" w:hint="eastAsia"/>
                <w:sz w:val="24"/>
                <w:szCs w:val="24"/>
              </w:rPr>
              <w:t>-</w:t>
            </w:r>
          </w:p>
        </w:tc>
        <w:tc>
          <w:tcPr>
            <w:tcW w:w="867" w:type="dxa"/>
          </w:tcPr>
          <w:p w:rsidR="00372CA7" w:rsidRPr="00713D42" w:rsidRDefault="00372CA7" w:rsidP="00B10A4D">
            <w:pPr>
              <w:rPr>
                <w:rFonts w:hAnsi="Arial"/>
                <w:sz w:val="24"/>
                <w:szCs w:val="24"/>
              </w:rPr>
            </w:pPr>
            <w:r w:rsidRPr="00713D42">
              <w:rPr>
                <w:rFonts w:hAnsi="Arial" w:hint="eastAsia"/>
                <w:sz w:val="24"/>
                <w:szCs w:val="24"/>
              </w:rPr>
              <w:t>-</w:t>
            </w:r>
          </w:p>
        </w:tc>
        <w:tc>
          <w:tcPr>
            <w:tcW w:w="854" w:type="dxa"/>
          </w:tcPr>
          <w:p w:rsidR="00372CA7" w:rsidRPr="00713D42" w:rsidRDefault="00372CA7" w:rsidP="00B10A4D">
            <w:pPr>
              <w:rPr>
                <w:rFonts w:hAnsi="Arial"/>
                <w:sz w:val="24"/>
                <w:szCs w:val="24"/>
              </w:rPr>
            </w:pPr>
            <w:r w:rsidRPr="00713D42">
              <w:rPr>
                <w:rFonts w:hAnsi="Arial" w:hint="eastAsia"/>
                <w:sz w:val="24"/>
                <w:szCs w:val="24"/>
              </w:rPr>
              <w:t>-</w:t>
            </w:r>
          </w:p>
        </w:tc>
        <w:tc>
          <w:tcPr>
            <w:tcW w:w="688" w:type="dxa"/>
          </w:tcPr>
          <w:p w:rsidR="00372CA7" w:rsidRPr="001155E6" w:rsidRDefault="00372CA7" w:rsidP="001155E6">
            <w:pPr>
              <w:pStyle w:val="4"/>
              <w:numPr>
                <w:ilvl w:val="0"/>
                <w:numId w:val="0"/>
              </w:numPr>
              <w:ind w:rightChars="-16" w:right="-56"/>
              <w:jc w:val="center"/>
              <w:rPr>
                <w:spacing w:val="-20"/>
                <w:sz w:val="24"/>
                <w:szCs w:val="24"/>
              </w:rPr>
            </w:pPr>
            <w:r w:rsidRPr="001155E6">
              <w:rPr>
                <w:rFonts w:hint="eastAsia"/>
                <w:spacing w:val="-20"/>
                <w:sz w:val="24"/>
                <w:szCs w:val="24"/>
              </w:rPr>
              <w:t>-</w:t>
            </w:r>
          </w:p>
        </w:tc>
        <w:tc>
          <w:tcPr>
            <w:tcW w:w="709" w:type="dxa"/>
          </w:tcPr>
          <w:p w:rsidR="00372CA7" w:rsidRPr="00713D42" w:rsidRDefault="00372CA7" w:rsidP="005F2B07">
            <w:pPr>
              <w:ind w:leftChars="-8" w:left="-1" w:hangingChars="10" w:hanging="27"/>
              <w:jc w:val="right"/>
              <w:rPr>
                <w:rFonts w:hAnsi="Arial"/>
                <w:sz w:val="24"/>
                <w:szCs w:val="24"/>
              </w:rPr>
            </w:pPr>
            <w:r w:rsidRPr="00713D42">
              <w:rPr>
                <w:rFonts w:hAnsi="Arial" w:hint="eastAsia"/>
                <w:sz w:val="24"/>
                <w:szCs w:val="24"/>
              </w:rPr>
              <w:t>1,782</w:t>
            </w:r>
          </w:p>
        </w:tc>
        <w:tc>
          <w:tcPr>
            <w:tcW w:w="851" w:type="dxa"/>
          </w:tcPr>
          <w:p w:rsidR="00372CA7" w:rsidRPr="00713D42" w:rsidRDefault="00372CA7" w:rsidP="005F2B07">
            <w:pPr>
              <w:ind w:leftChars="-8" w:left="-1" w:hangingChars="10" w:hanging="27"/>
              <w:jc w:val="right"/>
              <w:rPr>
                <w:rFonts w:hAnsi="Arial"/>
                <w:sz w:val="24"/>
                <w:szCs w:val="24"/>
              </w:rPr>
            </w:pPr>
            <w:r w:rsidRPr="00713D42">
              <w:rPr>
                <w:rFonts w:hAnsi="Arial" w:hint="eastAsia"/>
                <w:sz w:val="24"/>
                <w:szCs w:val="24"/>
              </w:rPr>
              <w:t>1,299</w:t>
            </w:r>
          </w:p>
        </w:tc>
        <w:tc>
          <w:tcPr>
            <w:tcW w:w="850" w:type="dxa"/>
          </w:tcPr>
          <w:p w:rsidR="00372CA7" w:rsidRPr="00713D42" w:rsidRDefault="00372CA7" w:rsidP="005F2B07">
            <w:pPr>
              <w:jc w:val="right"/>
              <w:rPr>
                <w:rFonts w:hAnsi="Arial"/>
                <w:sz w:val="24"/>
                <w:szCs w:val="24"/>
              </w:rPr>
            </w:pPr>
            <w:r w:rsidRPr="00713D42">
              <w:rPr>
                <w:rFonts w:hAnsi="Arial" w:hint="eastAsia"/>
                <w:sz w:val="24"/>
                <w:szCs w:val="24"/>
              </w:rPr>
              <w:t>3.05</w:t>
            </w:r>
          </w:p>
        </w:tc>
        <w:tc>
          <w:tcPr>
            <w:tcW w:w="567" w:type="dxa"/>
          </w:tcPr>
          <w:p w:rsidR="00372CA7" w:rsidRPr="00713D42" w:rsidRDefault="00372CA7" w:rsidP="001155E6">
            <w:pPr>
              <w:pStyle w:val="4"/>
              <w:numPr>
                <w:ilvl w:val="0"/>
                <w:numId w:val="0"/>
              </w:numPr>
              <w:ind w:rightChars="-8" w:right="-28"/>
              <w:jc w:val="center"/>
              <w:rPr>
                <w:sz w:val="24"/>
                <w:szCs w:val="24"/>
              </w:rPr>
            </w:pPr>
            <w:r w:rsidRPr="00713D42">
              <w:rPr>
                <w:rFonts w:hint="eastAsia"/>
                <w:sz w:val="24"/>
                <w:szCs w:val="24"/>
              </w:rPr>
              <w:t>5</w:t>
            </w:r>
          </w:p>
        </w:tc>
      </w:tr>
    </w:tbl>
    <w:p w:rsidR="00372CA7" w:rsidRPr="00713D42" w:rsidRDefault="00372CA7" w:rsidP="005F2B07">
      <w:pPr>
        <w:pStyle w:val="5"/>
        <w:numPr>
          <w:ilvl w:val="0"/>
          <w:numId w:val="0"/>
        </w:numPr>
        <w:spacing w:afterLines="50" w:after="220" w:line="240" w:lineRule="exact"/>
        <w:ind w:leftChars="-123" w:left="-5" w:hangingChars="185" w:hanging="424"/>
        <w:jc w:val="left"/>
      </w:pPr>
      <w:r w:rsidRPr="00713D42">
        <w:rPr>
          <w:rFonts w:hint="eastAsia"/>
          <w:sz w:val="20"/>
          <w:szCs w:val="20"/>
        </w:rPr>
        <w:t>資料來源:經濟部統計，經本院整理。</w:t>
      </w:r>
    </w:p>
    <w:p w:rsidR="00372CA7" w:rsidRPr="00713D42" w:rsidRDefault="00372CA7" w:rsidP="00F6299D">
      <w:pPr>
        <w:pStyle w:val="3"/>
        <w:numPr>
          <w:ilvl w:val="2"/>
          <w:numId w:val="20"/>
        </w:numPr>
        <w:overflowPunct/>
        <w:autoSpaceDE/>
        <w:autoSpaceDN/>
      </w:pPr>
      <w:bookmarkStart w:id="33" w:name="_Toc470099642"/>
      <w:bookmarkStart w:id="34" w:name="_Toc469271753"/>
      <w:r w:rsidRPr="00713D42">
        <w:rPr>
          <w:rFonts w:hint="eastAsia"/>
        </w:rPr>
        <w:t>政府推對產業政策與FDI之關聯性:</w:t>
      </w:r>
      <w:bookmarkEnd w:id="33"/>
    </w:p>
    <w:p w:rsidR="00372CA7" w:rsidRPr="00713D42" w:rsidRDefault="00372CA7" w:rsidP="00F6299D">
      <w:pPr>
        <w:pStyle w:val="4"/>
        <w:numPr>
          <w:ilvl w:val="3"/>
          <w:numId w:val="20"/>
        </w:numPr>
        <w:overflowPunct/>
        <w:autoSpaceDE/>
        <w:autoSpaceDN/>
      </w:pPr>
      <w:r w:rsidRPr="00713D42">
        <w:rPr>
          <w:rFonts w:hint="eastAsia"/>
        </w:rPr>
        <w:t>行政院於100年5月9日核定「產業發展綱領」，擬定「2020年產業發展策略」，重點發展項目:</w:t>
      </w:r>
      <w:bookmarkEnd w:id="34"/>
    </w:p>
    <w:p w:rsidR="00372CA7" w:rsidRPr="00713D42" w:rsidRDefault="00372CA7" w:rsidP="00F6299D">
      <w:pPr>
        <w:pStyle w:val="5"/>
        <w:numPr>
          <w:ilvl w:val="4"/>
          <w:numId w:val="20"/>
        </w:numPr>
        <w:overflowPunct/>
        <w:autoSpaceDE/>
        <w:autoSpaceDN/>
      </w:pPr>
      <w:r w:rsidRPr="00713D42">
        <w:rPr>
          <w:rFonts w:hint="eastAsia"/>
        </w:rPr>
        <w:t>金屬機械工業:車輛、機械設備、基本金屬工業。</w:t>
      </w:r>
    </w:p>
    <w:p w:rsidR="00372CA7" w:rsidRPr="00713D42" w:rsidRDefault="00372CA7" w:rsidP="00F6299D">
      <w:pPr>
        <w:pStyle w:val="5"/>
        <w:numPr>
          <w:ilvl w:val="4"/>
          <w:numId w:val="20"/>
        </w:numPr>
        <w:overflowPunct/>
        <w:autoSpaceDE/>
        <w:autoSpaceDN/>
      </w:pPr>
      <w:r w:rsidRPr="00713D42">
        <w:rPr>
          <w:rFonts w:hint="eastAsia"/>
        </w:rPr>
        <w:t>資訊電子工業:綠能光電、通訊設備、平面顯示裝置、半導體、智慧電子系統應用。</w:t>
      </w:r>
    </w:p>
    <w:p w:rsidR="00372CA7" w:rsidRPr="00713D42" w:rsidRDefault="00372CA7" w:rsidP="00F6299D">
      <w:pPr>
        <w:pStyle w:val="5"/>
        <w:numPr>
          <w:ilvl w:val="4"/>
          <w:numId w:val="20"/>
        </w:numPr>
        <w:overflowPunct/>
        <w:autoSpaceDE/>
        <w:autoSpaceDN/>
      </w:pPr>
      <w:r w:rsidRPr="00713D42">
        <w:rPr>
          <w:rFonts w:hint="eastAsia"/>
        </w:rPr>
        <w:t>化學工業:光電材料、生技產業、石化產業。</w:t>
      </w:r>
    </w:p>
    <w:p w:rsidR="00372CA7" w:rsidRPr="00713D42" w:rsidRDefault="00372CA7" w:rsidP="00F6299D">
      <w:pPr>
        <w:pStyle w:val="5"/>
        <w:numPr>
          <w:ilvl w:val="4"/>
          <w:numId w:val="20"/>
        </w:numPr>
        <w:overflowPunct/>
        <w:autoSpaceDE/>
        <w:autoSpaceDN/>
      </w:pPr>
      <w:r w:rsidRPr="00713D42">
        <w:rPr>
          <w:rFonts w:hint="eastAsia"/>
        </w:rPr>
        <w:t>民生工業:食品業、紡織業。</w:t>
      </w:r>
    </w:p>
    <w:p w:rsidR="00372CA7" w:rsidRPr="00713D42" w:rsidRDefault="00372CA7" w:rsidP="00F6299D">
      <w:pPr>
        <w:pStyle w:val="5"/>
        <w:numPr>
          <w:ilvl w:val="4"/>
          <w:numId w:val="20"/>
        </w:numPr>
        <w:overflowPunct/>
        <w:autoSpaceDE/>
        <w:autoSpaceDN/>
      </w:pPr>
      <w:r w:rsidRPr="00713D42">
        <w:rPr>
          <w:rFonts w:hint="eastAsia"/>
        </w:rPr>
        <w:t>服務業:批發零售、餐飲、物流、管理顧問、資訊服務、設計服務、廣告、會展。</w:t>
      </w:r>
    </w:p>
    <w:p w:rsidR="00372CA7" w:rsidRPr="00713D42" w:rsidRDefault="00372CA7" w:rsidP="00F6299D">
      <w:pPr>
        <w:pStyle w:val="4"/>
        <w:numPr>
          <w:ilvl w:val="3"/>
          <w:numId w:val="20"/>
        </w:numPr>
        <w:overflowPunct/>
        <w:autoSpaceDE/>
        <w:autoSpaceDN/>
      </w:pPr>
      <w:r w:rsidRPr="00713D42">
        <w:rPr>
          <w:rFonts w:hint="eastAsia"/>
        </w:rPr>
        <w:lastRenderedPageBreak/>
        <w:t>國發會及經濟部盤點國內重大經建及產業計畫衍生之投資商機及針對我國產業發展需要，已擇定離岸風力發電、電動車、行動寬頻服務(4G)、雲端、生技醫藥、半導體設備及電子材料等產業為重點招商產業。</w:t>
      </w:r>
    </w:p>
    <w:p w:rsidR="00372CA7" w:rsidRPr="00713D42" w:rsidRDefault="00372CA7" w:rsidP="00372CA7">
      <w:pPr>
        <w:pStyle w:val="4"/>
        <w:numPr>
          <w:ilvl w:val="0"/>
          <w:numId w:val="0"/>
        </w:numPr>
        <w:ind w:left="1418" w:firstLineChars="227" w:firstLine="792"/>
      </w:pPr>
      <w:r w:rsidRPr="00713D42">
        <w:rPr>
          <w:rFonts w:hint="eastAsia"/>
        </w:rPr>
        <w:t>惟以104年投審會核准華僑及外國人投資之分業統計情形(詳表6)，我國FDI核准投資產業最高之產業仍為金融及保險業，批發及零售業次之，不動產業逐年成長，</w:t>
      </w:r>
      <w:r w:rsidR="005F2B07">
        <w:rPr>
          <w:rFonts w:hint="eastAsia"/>
        </w:rPr>
        <w:t>已</w:t>
      </w:r>
      <w:r w:rsidRPr="00713D42">
        <w:rPr>
          <w:rFonts w:hint="eastAsia"/>
        </w:rPr>
        <w:t>列我國核准FDI之第3位，共計投資313筆，投資金額4.83億美元，電子零組件製造業排名第4，電腦、電子產品及光學製品製造業則排名第5，然以行政院於100年5月9日核定「產業發展綱領」，及國發會、經濟部盤點國內重大經建及產業計畫衍生之投資商機及針對我國產業發展需要投資產業觀之，離岸風電、綠能、基本金屬製造業、生技醫藥、光電材料、電子材料、餐飲業、紡織業，占總FDI投資比率之比重甚小，與上開重點招商產業之招商成果未能相互吻合。</w:t>
      </w:r>
    </w:p>
    <w:p w:rsidR="00372CA7" w:rsidRPr="00713D42" w:rsidRDefault="00372CA7" w:rsidP="00372CA7">
      <w:pPr>
        <w:pStyle w:val="a5"/>
        <w:spacing w:beforeLines="50" w:before="220" w:after="0"/>
        <w:ind w:left="1049" w:hanging="482"/>
        <w:jc w:val="center"/>
        <w:rPr>
          <w:b/>
        </w:rPr>
      </w:pPr>
      <w:r w:rsidRPr="00713D42">
        <w:rPr>
          <w:rFonts w:hint="eastAsia"/>
          <w:b/>
        </w:rPr>
        <w:t>FDI投入產業與我國產業政策關係表</w:t>
      </w:r>
    </w:p>
    <w:tbl>
      <w:tblPr>
        <w:tblW w:w="9539" w:type="dxa"/>
        <w:tblInd w:w="-114" w:type="dxa"/>
        <w:tblCellMar>
          <w:left w:w="28" w:type="dxa"/>
          <w:right w:w="28" w:type="dxa"/>
        </w:tblCellMar>
        <w:tblLook w:val="04A0" w:firstRow="1" w:lastRow="0" w:firstColumn="1" w:lastColumn="0" w:noHBand="0" w:noVBand="1"/>
      </w:tblPr>
      <w:tblGrid>
        <w:gridCol w:w="467"/>
        <w:gridCol w:w="2936"/>
        <w:gridCol w:w="6136"/>
      </w:tblGrid>
      <w:tr w:rsidR="00372CA7" w:rsidRPr="00713D42" w:rsidTr="00B10A4D">
        <w:trPr>
          <w:trHeight w:val="283"/>
        </w:trPr>
        <w:tc>
          <w:tcPr>
            <w:tcW w:w="340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jc w:val="center"/>
              <w:rPr>
                <w:rFonts w:hAnsi="標楷體" w:cs="新細明體"/>
                <w:b/>
                <w:kern w:val="0"/>
                <w:sz w:val="24"/>
                <w:szCs w:val="24"/>
              </w:rPr>
            </w:pPr>
            <w:r w:rsidRPr="00713D42">
              <w:rPr>
                <w:rFonts w:hAnsi="標楷體" w:cs="新細明體" w:hint="eastAsia"/>
                <w:b/>
                <w:kern w:val="0"/>
                <w:sz w:val="24"/>
                <w:szCs w:val="24"/>
              </w:rPr>
              <w:t>僑外投資產業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jc w:val="center"/>
              <w:rPr>
                <w:rFonts w:hAnsi="標楷體" w:cs="新細明體"/>
                <w:b/>
                <w:kern w:val="0"/>
                <w:sz w:val="24"/>
                <w:szCs w:val="24"/>
              </w:rPr>
            </w:pPr>
            <w:r w:rsidRPr="00713D42">
              <w:rPr>
                <w:rFonts w:hAnsi="標楷體" w:cs="新細明體" w:hint="eastAsia"/>
                <w:b/>
                <w:kern w:val="0"/>
                <w:sz w:val="24"/>
                <w:szCs w:val="24"/>
              </w:rPr>
              <w:t>我國產業政策</w:t>
            </w:r>
          </w:p>
        </w:tc>
      </w:tr>
      <w:tr w:rsidR="00372CA7" w:rsidRPr="00713D42" w:rsidTr="00B10A4D">
        <w:trPr>
          <w:trHeight w:val="225"/>
        </w:trPr>
        <w:tc>
          <w:tcPr>
            <w:tcW w:w="467" w:type="dxa"/>
            <w:tcBorders>
              <w:top w:val="nil"/>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jc w:val="center"/>
              <w:rPr>
                <w:rFonts w:hAnsi="標楷體" w:cs="新細明體"/>
                <w:kern w:val="0"/>
                <w:sz w:val="24"/>
                <w:szCs w:val="24"/>
              </w:rPr>
            </w:pPr>
            <w:r w:rsidRPr="00713D42">
              <w:rPr>
                <w:rFonts w:hAnsi="標楷體" w:cs="新細明體" w:hint="eastAsia"/>
                <w:kern w:val="0"/>
                <w:sz w:val="24"/>
                <w:szCs w:val="24"/>
              </w:rPr>
              <w:t>1</w:t>
            </w:r>
          </w:p>
        </w:tc>
        <w:tc>
          <w:tcPr>
            <w:tcW w:w="2936"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金融及保險業</w:t>
            </w:r>
          </w:p>
        </w:tc>
        <w:tc>
          <w:tcPr>
            <w:tcW w:w="6136" w:type="dxa"/>
            <w:tcBorders>
              <w:top w:val="nil"/>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金管會主推產業。</w:t>
            </w:r>
          </w:p>
        </w:tc>
      </w:tr>
      <w:tr w:rsidR="00372CA7" w:rsidRPr="00713D42" w:rsidTr="00B10A4D">
        <w:trPr>
          <w:trHeight w:val="193"/>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2</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批發及零售業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服務業</w:t>
            </w:r>
            <w:r w:rsidRPr="00713D42">
              <w:rPr>
                <w:rFonts w:hAnsi="標楷體"/>
                <w:sz w:val="24"/>
                <w:szCs w:val="24"/>
              </w:rPr>
              <w:t>(含批發零售、餐飲、物流)</w:t>
            </w:r>
            <w:r w:rsidRPr="00713D42">
              <w:rPr>
                <w:rFonts w:hAnsi="標楷體" w:hint="eastAsia"/>
                <w:sz w:val="24"/>
                <w:szCs w:val="24"/>
              </w:rPr>
              <w:t>。</w:t>
            </w:r>
          </w:p>
        </w:tc>
      </w:tr>
      <w:tr w:rsidR="00372CA7" w:rsidRPr="00713D42" w:rsidTr="00B10A4D">
        <w:trPr>
          <w:trHeight w:val="161"/>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3</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rPr>
                <w:rFonts w:hAnsi="標楷體" w:cs="新細明體"/>
                <w:kern w:val="0"/>
                <w:sz w:val="24"/>
                <w:szCs w:val="24"/>
              </w:rPr>
            </w:pPr>
            <w:r w:rsidRPr="00713D42">
              <w:rPr>
                <w:rFonts w:hAnsi="標楷體" w:cs="新細明體" w:hint="eastAsia"/>
                <w:kern w:val="0"/>
                <w:sz w:val="24"/>
                <w:szCs w:val="24"/>
              </w:rPr>
              <w:t>不動產業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adjustRightInd w:val="0"/>
              <w:snapToGrid w:val="0"/>
              <w:rPr>
                <w:rFonts w:hAnsi="標楷體" w:cs="新細明體"/>
                <w:kern w:val="0"/>
                <w:sz w:val="24"/>
                <w:szCs w:val="24"/>
              </w:rPr>
            </w:pPr>
            <w:r w:rsidRPr="00713D42">
              <w:rPr>
                <w:rFonts w:hAnsi="標楷體" w:cs="新細明體" w:hint="eastAsia"/>
                <w:kern w:val="0"/>
                <w:sz w:val="24"/>
                <w:szCs w:val="24"/>
              </w:rPr>
              <w:t>-</w:t>
            </w:r>
          </w:p>
        </w:tc>
      </w:tr>
      <w:tr w:rsidR="00372CA7" w:rsidRPr="00713D42" w:rsidTr="00B10A4D">
        <w:trPr>
          <w:trHeight w:val="462"/>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4</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專業、科學及技術服務業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服務業</w:t>
            </w:r>
            <w:r w:rsidRPr="00713D42">
              <w:rPr>
                <w:rFonts w:hAnsi="標楷體"/>
                <w:sz w:val="24"/>
                <w:szCs w:val="24"/>
              </w:rPr>
              <w:t>(含管理顧問、資訊服務、設計服務、廣告、會展)</w:t>
            </w:r>
            <w:r w:rsidRPr="00713D42">
              <w:rPr>
                <w:rFonts w:hAnsi="標楷體" w:hint="eastAsia"/>
                <w:sz w:val="24"/>
                <w:szCs w:val="24"/>
              </w:rPr>
              <w:t>。</w:t>
            </w:r>
          </w:p>
        </w:tc>
      </w:tr>
      <w:tr w:rsidR="00372CA7" w:rsidRPr="00713D42" w:rsidTr="00B10A4D">
        <w:trPr>
          <w:trHeight w:val="763"/>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5</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電子零組件製造業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半導體設備、資訊電子工業</w:t>
            </w:r>
            <w:r w:rsidRPr="00713D42">
              <w:rPr>
                <w:rFonts w:hAnsi="標楷體"/>
                <w:sz w:val="24"/>
                <w:szCs w:val="24"/>
              </w:rPr>
              <w:t>(含綠能光電、通訊設備、平面顯示裝置、半導體、智慧電子系統應用)</w:t>
            </w:r>
            <w:r w:rsidRPr="00713D42">
              <w:rPr>
                <w:rFonts w:hAnsi="標楷體" w:cs="新細明體" w:hint="eastAsia"/>
                <w:kern w:val="0"/>
                <w:sz w:val="24"/>
                <w:szCs w:val="24"/>
              </w:rPr>
              <w:t>、電子材料。</w:t>
            </w:r>
          </w:p>
        </w:tc>
      </w:tr>
      <w:tr w:rsidR="00372CA7" w:rsidRPr="00713D42" w:rsidTr="00B10A4D">
        <w:trPr>
          <w:trHeight w:val="494"/>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6</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電腦、電子產品及光學製品製造業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資訊電子工業</w:t>
            </w:r>
            <w:r w:rsidRPr="00713D42">
              <w:rPr>
                <w:rFonts w:hAnsi="標楷體"/>
                <w:sz w:val="24"/>
                <w:szCs w:val="24"/>
              </w:rPr>
              <w:t>(含綠能光電、通訊設備、平面顯示裝置、半導體、智慧電子系統應用)</w:t>
            </w:r>
            <w:r w:rsidRPr="00713D42">
              <w:rPr>
                <w:rFonts w:hAnsi="標楷體" w:hint="eastAsia"/>
                <w:sz w:val="24"/>
                <w:szCs w:val="24"/>
              </w:rPr>
              <w:t>。</w:t>
            </w:r>
          </w:p>
        </w:tc>
      </w:tr>
      <w:tr w:rsidR="00372CA7" w:rsidRPr="00713D42" w:rsidTr="00B10A4D">
        <w:trPr>
          <w:trHeight w:val="193"/>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7</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資訊及通訊傳播業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行動寬頻服務(4G)、雲端產業、服務業</w:t>
            </w:r>
            <w:r w:rsidRPr="00713D42">
              <w:rPr>
                <w:rFonts w:hAnsi="標楷體"/>
                <w:sz w:val="24"/>
                <w:szCs w:val="24"/>
              </w:rPr>
              <w:t>(資訊服務)</w:t>
            </w:r>
            <w:r w:rsidRPr="00713D42">
              <w:rPr>
                <w:rFonts w:hAnsi="標楷體" w:hint="eastAsia"/>
                <w:sz w:val="24"/>
                <w:szCs w:val="24"/>
              </w:rPr>
              <w:t>、物聯網。</w:t>
            </w:r>
          </w:p>
        </w:tc>
      </w:tr>
      <w:tr w:rsidR="00372CA7" w:rsidRPr="00713D42" w:rsidTr="00B10A4D">
        <w:trPr>
          <w:trHeight w:val="108"/>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8</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金屬製品製造業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金屬機械工業</w:t>
            </w:r>
            <w:r w:rsidRPr="00713D42">
              <w:rPr>
                <w:rFonts w:hAnsi="標楷體"/>
                <w:sz w:val="24"/>
                <w:szCs w:val="24"/>
              </w:rPr>
              <w:t>(含車輛、機械設備、基本金屬工業)</w:t>
            </w:r>
            <w:r w:rsidRPr="00713D42">
              <w:rPr>
                <w:rFonts w:hAnsi="標楷體" w:cs="新細明體" w:hint="eastAsia"/>
                <w:kern w:val="0"/>
                <w:sz w:val="24"/>
                <w:szCs w:val="24"/>
              </w:rPr>
              <w:t>。</w:t>
            </w:r>
          </w:p>
        </w:tc>
      </w:tr>
      <w:tr w:rsidR="00372CA7" w:rsidRPr="00713D42" w:rsidTr="00B10A4D">
        <w:trPr>
          <w:trHeight w:val="172"/>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9</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化學材料製造業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widowControl/>
              <w:adjustRightInd w:val="0"/>
              <w:snapToGrid w:val="0"/>
              <w:rPr>
                <w:rFonts w:hAnsi="標楷體" w:cs="新細明體"/>
                <w:kern w:val="0"/>
                <w:sz w:val="24"/>
                <w:szCs w:val="24"/>
              </w:rPr>
            </w:pPr>
            <w:r w:rsidRPr="00713D42">
              <w:rPr>
                <w:rFonts w:hAnsi="標楷體" w:cs="新細明體" w:hint="eastAsia"/>
                <w:kern w:val="0"/>
                <w:sz w:val="24"/>
                <w:szCs w:val="24"/>
              </w:rPr>
              <w:t>化學工業</w:t>
            </w:r>
            <w:r w:rsidRPr="00713D42">
              <w:rPr>
                <w:rFonts w:hAnsi="標楷體"/>
                <w:sz w:val="24"/>
                <w:szCs w:val="24"/>
              </w:rPr>
              <w:t>(含光電材料、生技產業、石化產業)</w:t>
            </w:r>
          </w:p>
        </w:tc>
      </w:tr>
      <w:tr w:rsidR="00372CA7" w:rsidRPr="00713D42" w:rsidTr="00B10A4D">
        <w:trPr>
          <w:trHeight w:val="161"/>
        </w:trPr>
        <w:tc>
          <w:tcPr>
            <w:tcW w:w="4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jc w:val="center"/>
              <w:rPr>
                <w:rFonts w:hAnsi="標楷體" w:cs="新細明體"/>
                <w:kern w:val="0"/>
                <w:sz w:val="24"/>
                <w:szCs w:val="24"/>
              </w:rPr>
            </w:pPr>
            <w:r w:rsidRPr="00713D42">
              <w:rPr>
                <w:rFonts w:hAnsi="標楷體" w:cs="新細明體" w:hint="eastAsia"/>
                <w:kern w:val="0"/>
                <w:sz w:val="24"/>
                <w:szCs w:val="24"/>
              </w:rPr>
              <w:t>10</w:t>
            </w:r>
          </w:p>
        </w:tc>
        <w:tc>
          <w:tcPr>
            <w:tcW w:w="2936" w:type="dxa"/>
            <w:tcBorders>
              <w:top w:val="single" w:sz="4" w:space="0" w:color="auto"/>
              <w:left w:val="nil"/>
              <w:bottom w:val="single" w:sz="4" w:space="0" w:color="auto"/>
              <w:right w:val="single" w:sz="4" w:space="0" w:color="auto"/>
            </w:tcBorders>
            <w:shd w:val="clear" w:color="auto" w:fill="auto"/>
            <w:noWrap/>
            <w:vAlign w:val="center"/>
          </w:tcPr>
          <w:p w:rsidR="00372CA7" w:rsidRPr="00713D42" w:rsidRDefault="00372CA7" w:rsidP="00B10A4D">
            <w:pPr>
              <w:adjustRightInd w:val="0"/>
              <w:snapToGrid w:val="0"/>
              <w:rPr>
                <w:rFonts w:hAnsi="標楷體" w:cs="新細明體"/>
                <w:kern w:val="0"/>
                <w:sz w:val="24"/>
                <w:szCs w:val="24"/>
              </w:rPr>
            </w:pPr>
            <w:r w:rsidRPr="00713D42">
              <w:rPr>
                <w:rFonts w:hAnsi="標楷體" w:cs="新細明體" w:hint="eastAsia"/>
                <w:kern w:val="0"/>
                <w:sz w:val="24"/>
                <w:szCs w:val="24"/>
              </w:rPr>
              <w:t>機械設備製造業</w:t>
            </w:r>
          </w:p>
        </w:tc>
        <w:tc>
          <w:tcPr>
            <w:tcW w:w="6136" w:type="dxa"/>
            <w:tcBorders>
              <w:top w:val="single" w:sz="4" w:space="0" w:color="auto"/>
              <w:left w:val="nil"/>
              <w:bottom w:val="single" w:sz="4" w:space="0" w:color="auto"/>
              <w:right w:val="single" w:sz="4" w:space="0" w:color="auto"/>
            </w:tcBorders>
            <w:shd w:val="clear" w:color="auto" w:fill="auto"/>
            <w:noWrap/>
            <w:vAlign w:val="bottom"/>
          </w:tcPr>
          <w:p w:rsidR="00372CA7" w:rsidRPr="00713D42" w:rsidRDefault="00372CA7" w:rsidP="00B10A4D">
            <w:pPr>
              <w:adjustRightInd w:val="0"/>
              <w:snapToGrid w:val="0"/>
              <w:rPr>
                <w:rFonts w:hAnsi="標楷體" w:cs="新細明體"/>
                <w:kern w:val="0"/>
                <w:sz w:val="24"/>
                <w:szCs w:val="24"/>
              </w:rPr>
            </w:pPr>
            <w:r w:rsidRPr="00713D42">
              <w:rPr>
                <w:rFonts w:hAnsi="標楷體" w:cs="新細明體" w:hint="eastAsia"/>
                <w:kern w:val="0"/>
                <w:sz w:val="24"/>
                <w:szCs w:val="24"/>
              </w:rPr>
              <w:t>-</w:t>
            </w:r>
          </w:p>
        </w:tc>
      </w:tr>
    </w:tbl>
    <w:p w:rsidR="00372CA7" w:rsidRPr="00713D42" w:rsidRDefault="00372CA7" w:rsidP="00372CA7">
      <w:pPr>
        <w:pStyle w:val="3"/>
        <w:numPr>
          <w:ilvl w:val="0"/>
          <w:numId w:val="0"/>
        </w:numPr>
        <w:spacing w:afterLines="50" w:after="220" w:line="240" w:lineRule="exact"/>
        <w:ind w:left="2" w:hanging="144"/>
        <w:jc w:val="left"/>
        <w:rPr>
          <w:sz w:val="20"/>
          <w:szCs w:val="20"/>
        </w:rPr>
      </w:pPr>
      <w:bookmarkStart w:id="35" w:name="_Toc469271754"/>
      <w:bookmarkStart w:id="36" w:name="_Toc470099643"/>
      <w:r w:rsidRPr="00713D42">
        <w:rPr>
          <w:rFonts w:hint="eastAsia"/>
          <w:sz w:val="20"/>
          <w:szCs w:val="20"/>
        </w:rPr>
        <w:t>資料來源:經濟部提供。</w:t>
      </w:r>
      <w:bookmarkEnd w:id="35"/>
      <w:bookmarkEnd w:id="36"/>
    </w:p>
    <w:p w:rsidR="00372CA7" w:rsidRPr="00713D42" w:rsidRDefault="00372CA7" w:rsidP="00F6299D">
      <w:pPr>
        <w:pStyle w:val="3"/>
        <w:numPr>
          <w:ilvl w:val="2"/>
          <w:numId w:val="20"/>
        </w:numPr>
        <w:overflowPunct/>
        <w:autoSpaceDE/>
        <w:autoSpaceDN/>
      </w:pPr>
      <w:bookmarkStart w:id="37" w:name="_Toc470099644"/>
      <w:r w:rsidRPr="00713D42">
        <w:rPr>
          <w:rFonts w:hint="eastAsia"/>
        </w:rPr>
        <w:lastRenderedPageBreak/>
        <w:t>據中經院吳</w:t>
      </w:r>
      <w:r w:rsidR="007238E8">
        <w:rPr>
          <w:rFonts w:hint="eastAsia"/>
        </w:rPr>
        <w:t>○○</w:t>
      </w:r>
      <w:r w:rsidRPr="00713D42">
        <w:rPr>
          <w:rFonts w:hint="eastAsia"/>
        </w:rPr>
        <w:t>院長接受本院諮詢時表示：「我國對於究竟有哪些產業需要哪些策略夥伴？哪些外資是臺灣意欲吸引的？目前仍對缺乏主軸，我國應清楚而有策略地去營造優先產業鏈之競爭優勢……我國宜先力求清晰瞭解自身產業發展之立基點、希望引進之策略產業，及此兩者間之關聯。當前政府資源非常有限，人力也非常欠缺，臺灣不再能散彈打鳥，若主軸不確定，各部會即無法有效執行」等語；再據藍濤公司黃齊元總裁接受本院諮詢時表示：「臺灣政府積極將產業政策明定，並向外資說明我國就該等產業之發展優勢為何」等語，然以不動產業為例，我國並未將不動產業列為我國重點發展產業，然吸引FDI投資於不動產業之資金卻逐年成長，顯見，目前我國招商成效與重點產業未能相吻合，我國欲吸引FDI投資哪些產業?需要哪些策略夥伴？哪些外資是臺灣意欲吸引的？目前仍缺乏主軸，投資哪類型產業仍缺乏主軸，且依所定之產業規劃方向，並未能同時規畫有效招商策略，致重點招商產業與來臺投資外資未能相互吻合。</w:t>
      </w:r>
      <w:bookmarkEnd w:id="37"/>
    </w:p>
    <w:p w:rsidR="00372CA7" w:rsidRPr="00713D42" w:rsidRDefault="00372CA7" w:rsidP="00F6299D">
      <w:pPr>
        <w:pStyle w:val="3"/>
        <w:numPr>
          <w:ilvl w:val="2"/>
          <w:numId w:val="20"/>
        </w:numPr>
        <w:overflowPunct/>
        <w:autoSpaceDE/>
        <w:autoSpaceDN/>
      </w:pPr>
      <w:bookmarkStart w:id="38" w:name="_Toc470099645"/>
      <w:r w:rsidRPr="00713D42">
        <w:rPr>
          <w:rFonts w:hint="eastAsia"/>
        </w:rPr>
        <w:t>本院於105年10月12日邀請相關主管機關舉行座談時，經濟部說明略以，該部自近2年來參考國外做法改變招商策略，目前每年均盤點重點產業之商機與缺口，與國內產業連結，著重國際掌握關鍵技術之外商，以鎖定關鍵之招商對象，邀請其來臺投資。且針對目前發展之5大創新產業，包括綠能、互聯網、智慧城市、生醫、國防與機密機械等，均有重點招商對象。</w:t>
      </w:r>
      <w:r w:rsidR="00B027F4" w:rsidRPr="00713D42">
        <w:rPr>
          <w:rFonts w:hint="eastAsia"/>
        </w:rPr>
        <w:t>且如新加坡計有數千家跨國企業與亞太區域總部，惟該國經濟發展局</w:t>
      </w:r>
      <w:r w:rsidRPr="00713D42">
        <w:rPr>
          <w:rFonts w:hint="eastAsia"/>
        </w:rPr>
        <w:t>仍針對產業鏈缺口、薄弱處或擬打造之新產業(如航空、航太技術)主動進行戰略性招商。</w:t>
      </w:r>
      <w:bookmarkEnd w:id="38"/>
    </w:p>
    <w:p w:rsidR="00372CA7" w:rsidRPr="00713D42" w:rsidRDefault="00372CA7" w:rsidP="007E0274">
      <w:pPr>
        <w:pStyle w:val="3"/>
        <w:numPr>
          <w:ilvl w:val="2"/>
          <w:numId w:val="20"/>
        </w:numPr>
        <w:overflowPunct/>
        <w:autoSpaceDE/>
        <w:autoSpaceDN/>
      </w:pPr>
      <w:bookmarkStart w:id="39" w:name="_Toc470099646"/>
      <w:r w:rsidRPr="00713D42">
        <w:rPr>
          <w:rFonts w:hint="eastAsia"/>
        </w:rPr>
        <w:lastRenderedPageBreak/>
        <w:t>綜上，每年流入各國之FDI金額合計已遠逾1兆美元，我國104年共吸引24億美元之FDI，在世界各國均極力爭取FDI之際，如何發揮我國應有之競爭力，使更多FDI資金流入我國，顯係政府努力之目標，然</w:t>
      </w:r>
      <w:bookmarkEnd w:id="39"/>
      <w:r w:rsidR="007E0274" w:rsidRPr="007E0274">
        <w:rPr>
          <w:rFonts w:hint="eastAsia"/>
        </w:rPr>
        <w:t>依據104年投審會核准FDI之投資產業發現，與我國目前發展之重點產業未相吻合，顯見我國政府對應吸引FDI投資哪些產業及需要哪些策略夥伴等仍缺乏明確主軸，行政院允應力求清晰瞭解自身產業發展之立基點，針對重點發展產業盤點商機與缺口，研議招商策略，並提升重點招商對象之招商成果。</w:t>
      </w:r>
    </w:p>
    <w:p w:rsidR="00372CA7" w:rsidRPr="00713D42" w:rsidRDefault="007E0274" w:rsidP="007E0274">
      <w:pPr>
        <w:pStyle w:val="2"/>
        <w:numPr>
          <w:ilvl w:val="1"/>
          <w:numId w:val="20"/>
        </w:numPr>
        <w:overflowPunct/>
        <w:autoSpaceDE/>
        <w:autoSpaceDN/>
        <w:rPr>
          <w:b/>
        </w:rPr>
      </w:pPr>
      <w:r w:rsidRPr="007E0274">
        <w:rPr>
          <w:rFonts w:hint="eastAsia"/>
          <w:b/>
        </w:rPr>
        <w:t>我國對外人來臺投資行業採負面表列方式列舉禁止及限制投資之行業，並採逐案審查之事前許可制，然FDI申請案件中，未核可之平均比率超過1成，且多數均非負面表列行業，致國外投資者對申請案件未具可預期性，且投資審查透明度不足，致投資者潛藏投資風險，因此行政院除應督促相關部會檢討現行投資審查機制外，並應就產業數位發展及企業雲端無國境之營運，其應有之審查機制問題，亦應督促相關主管機關審慎研議處理方式。</w:t>
      </w:r>
    </w:p>
    <w:p w:rsidR="00372CA7" w:rsidRPr="00713D42" w:rsidRDefault="00372CA7" w:rsidP="00F6299D">
      <w:pPr>
        <w:pStyle w:val="3"/>
        <w:numPr>
          <w:ilvl w:val="2"/>
          <w:numId w:val="20"/>
        </w:numPr>
        <w:overflowPunct/>
        <w:autoSpaceDE/>
        <w:autoSpaceDN/>
      </w:pPr>
      <w:bookmarkStart w:id="40" w:name="_Toc469271757"/>
      <w:bookmarkStart w:id="41" w:name="_Toc470099648"/>
      <w:r w:rsidRPr="00713D42">
        <w:rPr>
          <w:rFonts w:hint="eastAsia"/>
        </w:rPr>
        <w:t>我國FDI投資審查機制:</w:t>
      </w:r>
      <w:bookmarkEnd w:id="40"/>
      <w:bookmarkEnd w:id="41"/>
    </w:p>
    <w:p w:rsidR="00372CA7" w:rsidRPr="00713D42" w:rsidRDefault="00372CA7" w:rsidP="00F6299D">
      <w:pPr>
        <w:pStyle w:val="4"/>
        <w:numPr>
          <w:ilvl w:val="3"/>
          <w:numId w:val="20"/>
        </w:numPr>
        <w:overflowPunct/>
        <w:autoSpaceDE/>
        <w:autoSpaceDN/>
      </w:pPr>
      <w:r w:rsidRPr="00713D42">
        <w:rPr>
          <w:rFonts w:hint="eastAsia"/>
        </w:rPr>
        <w:t>法規依據:</w:t>
      </w:r>
    </w:p>
    <w:p w:rsidR="00372CA7" w:rsidRPr="00713D42" w:rsidRDefault="00372CA7" w:rsidP="00F6299D">
      <w:pPr>
        <w:pStyle w:val="5"/>
        <w:numPr>
          <w:ilvl w:val="4"/>
          <w:numId w:val="20"/>
        </w:numPr>
        <w:overflowPunct/>
        <w:autoSpaceDE/>
        <w:autoSpaceDN/>
      </w:pPr>
      <w:r w:rsidRPr="00713D42">
        <w:rPr>
          <w:rFonts w:hint="eastAsia"/>
        </w:rPr>
        <w:t>我國FDI投資政策主要訂定於「外國人投資條例」及「華僑回國投資條例」，早年係以正面列舉方式訂定僑外投資應符合之資格，並以製造業為主。70年代中期以後逐漸開放僑外投資服務業，並於79年起改採負面表列方式列舉禁止及限制投資之行業。</w:t>
      </w:r>
    </w:p>
    <w:p w:rsidR="00372CA7" w:rsidRPr="00713D42" w:rsidRDefault="00372CA7" w:rsidP="00F6299D">
      <w:pPr>
        <w:pStyle w:val="5"/>
        <w:numPr>
          <w:ilvl w:val="4"/>
          <w:numId w:val="20"/>
        </w:numPr>
        <w:overflowPunct/>
        <w:autoSpaceDE/>
        <w:autoSpaceDN/>
      </w:pPr>
      <w:r w:rsidRPr="00713D42">
        <w:rPr>
          <w:rFonts w:hint="eastAsia"/>
        </w:rPr>
        <w:t>「外國人投資條例」第1條規定：「外國人在中華民國境內之投資、保障、限制及處理，依本條例之規定」、第2條規定：「本條例所稱主</w:t>
      </w:r>
      <w:r w:rsidRPr="00713D42">
        <w:rPr>
          <w:rFonts w:hint="eastAsia"/>
        </w:rPr>
        <w:lastRenderedPageBreak/>
        <w:t>管機關為經濟部。主管機關得授權所屬機關或委託其他機關、機構處理本條例所定之投資」、第3條規定：「本條例所稱外國人包括外國法人……外國人依照本條例之規定，在中華民國境內投資者，稱投資人」、第4條規定：「本條例所稱投資如下：一、持有中華民國公司之股份或出資額……」、第7條第1項規定：「下列事業禁止投資人投資：一、對國家安全、公共秩序、善良風俗或國民健康有不利影響之事業。二、法律禁止投資之事業」、第8條第1項規定：「投資人依本條例投資者，應填具投資申請書，檢附投資計畫及有關證件，向主管機關申請核准。投資計畫變更時，亦同」、第10條第2項規定：「投資人轉讓其投資時，應由轉讓人及受讓人會同向主管機關申請核准」足見，外國人投資條例為規範外國人投資之主要法令依據，對外國人之投資申請，係採事前許可制。</w:t>
      </w:r>
    </w:p>
    <w:p w:rsidR="00372CA7" w:rsidRPr="00713D42" w:rsidRDefault="00372CA7" w:rsidP="00F6299D">
      <w:pPr>
        <w:pStyle w:val="4"/>
        <w:numPr>
          <w:ilvl w:val="3"/>
          <w:numId w:val="20"/>
        </w:numPr>
        <w:overflowPunct/>
        <w:autoSpaceDE/>
        <w:autoSpaceDN/>
      </w:pPr>
      <w:r w:rsidRPr="00713D42">
        <w:rPr>
          <w:rFonts w:hint="eastAsia"/>
        </w:rPr>
        <w:t>審查機關之職掌:</w:t>
      </w:r>
    </w:p>
    <w:p w:rsidR="00372CA7" w:rsidRPr="00713D42" w:rsidRDefault="00372CA7" w:rsidP="00372CA7">
      <w:pPr>
        <w:pStyle w:val="4"/>
        <w:numPr>
          <w:ilvl w:val="0"/>
          <w:numId w:val="0"/>
        </w:numPr>
        <w:ind w:left="1701" w:firstLineChars="203" w:firstLine="708"/>
      </w:pPr>
      <w:r w:rsidRPr="00713D42">
        <w:rPr>
          <w:rFonts w:hint="eastAsia"/>
        </w:rPr>
        <w:t>投審會職掌華僑及外國人投資申請、來臺技術合作申請之審核，大陸地區產業技術引進許可申請之審核，以及對外投資申請與對大陸地區投資申請、技術合作申請之審核等事項。</w:t>
      </w:r>
    </w:p>
    <w:p w:rsidR="00372CA7" w:rsidRPr="00713D42" w:rsidRDefault="00372CA7" w:rsidP="00F6299D">
      <w:pPr>
        <w:pStyle w:val="4"/>
        <w:numPr>
          <w:ilvl w:val="3"/>
          <w:numId w:val="20"/>
        </w:numPr>
        <w:overflowPunct/>
        <w:autoSpaceDE/>
        <w:autoSpaceDN/>
      </w:pPr>
      <w:r w:rsidRPr="00713D42">
        <w:rPr>
          <w:rFonts w:hint="eastAsia"/>
        </w:rPr>
        <w:t>投審會之組成:</w:t>
      </w:r>
    </w:p>
    <w:p w:rsidR="00372CA7" w:rsidRPr="00713D42" w:rsidRDefault="00372CA7" w:rsidP="00F6299D">
      <w:pPr>
        <w:pStyle w:val="5"/>
        <w:numPr>
          <w:ilvl w:val="4"/>
          <w:numId w:val="20"/>
        </w:numPr>
        <w:overflowPunct/>
        <w:autoSpaceDE/>
        <w:autoSpaceDN/>
      </w:pPr>
      <w:r w:rsidRPr="00713D42">
        <w:rPr>
          <w:rFonts w:hint="eastAsia"/>
        </w:rPr>
        <w:t>經濟部次長為主任委員。</w:t>
      </w:r>
    </w:p>
    <w:p w:rsidR="00372CA7" w:rsidRPr="00713D42" w:rsidRDefault="00372CA7" w:rsidP="00F6299D">
      <w:pPr>
        <w:pStyle w:val="5"/>
        <w:numPr>
          <w:ilvl w:val="4"/>
          <w:numId w:val="20"/>
        </w:numPr>
        <w:overflowPunct/>
        <w:autoSpaceDE/>
        <w:autoSpaceDN/>
      </w:pPr>
      <w:r w:rsidRPr="00713D42">
        <w:rPr>
          <w:rFonts w:hint="eastAsia"/>
        </w:rPr>
        <w:t>成員包括國安局、內政部、外交部、國防部、財政部、經濟部、行政院大陸委員會，以及國發會等機關。</w:t>
      </w:r>
    </w:p>
    <w:p w:rsidR="00372CA7" w:rsidRPr="00713D42" w:rsidRDefault="00372CA7" w:rsidP="00F6299D">
      <w:pPr>
        <w:pStyle w:val="4"/>
        <w:numPr>
          <w:ilvl w:val="3"/>
          <w:numId w:val="20"/>
        </w:numPr>
        <w:overflowPunct/>
        <w:autoSpaceDE/>
        <w:autoSpaceDN/>
      </w:pPr>
      <w:r w:rsidRPr="00713D42">
        <w:rPr>
          <w:rFonts w:hAnsi="標楷體" w:hint="eastAsia"/>
        </w:rPr>
        <w:t>投資案件審查程序:</w:t>
      </w:r>
    </w:p>
    <w:p w:rsidR="00372CA7" w:rsidRPr="00713D42" w:rsidRDefault="00372CA7" w:rsidP="00F6299D">
      <w:pPr>
        <w:pStyle w:val="5"/>
        <w:numPr>
          <w:ilvl w:val="4"/>
          <w:numId w:val="20"/>
        </w:numPr>
        <w:overflowPunct/>
        <w:autoSpaceDE/>
        <w:autoSpaceDN/>
      </w:pPr>
      <w:r w:rsidRPr="00713D42">
        <w:rPr>
          <w:rFonts w:hint="eastAsia"/>
        </w:rPr>
        <w:t>申請審查範圍:</w:t>
      </w:r>
    </w:p>
    <w:p w:rsidR="00372CA7" w:rsidRPr="00713D42" w:rsidRDefault="00372CA7" w:rsidP="00F6299D">
      <w:pPr>
        <w:pStyle w:val="6"/>
        <w:numPr>
          <w:ilvl w:val="5"/>
          <w:numId w:val="20"/>
        </w:numPr>
        <w:overflowPunct/>
        <w:autoSpaceDE/>
        <w:autoSpaceDN/>
      </w:pPr>
      <w:r w:rsidRPr="00713D42">
        <w:rPr>
          <w:rFonts w:hint="eastAsia"/>
        </w:rPr>
        <w:t>外國人擬申請投資國內事業，應事先填具</w:t>
      </w:r>
      <w:r w:rsidRPr="00713D42">
        <w:rPr>
          <w:rFonts w:hint="eastAsia"/>
        </w:rPr>
        <w:lastRenderedPageBreak/>
        <w:t>申請書及有關證件申請核准。</w:t>
      </w:r>
    </w:p>
    <w:p w:rsidR="00372CA7" w:rsidRPr="00713D42" w:rsidRDefault="00372CA7" w:rsidP="00F6299D">
      <w:pPr>
        <w:pStyle w:val="6"/>
        <w:numPr>
          <w:ilvl w:val="5"/>
          <w:numId w:val="20"/>
        </w:numPr>
        <w:overflowPunct/>
        <w:autoSpaceDE/>
        <w:autoSpaceDN/>
      </w:pPr>
      <w:r w:rsidRPr="00713D42">
        <w:rPr>
          <w:rFonts w:hint="eastAsia"/>
        </w:rPr>
        <w:t>國內事業所營業務不得涉及僑外投資負面表列-禁止及限制項目中之禁止類項目。</w:t>
      </w:r>
    </w:p>
    <w:p w:rsidR="00372CA7" w:rsidRPr="00713D42" w:rsidRDefault="00372CA7" w:rsidP="00F6299D">
      <w:pPr>
        <w:pStyle w:val="6"/>
        <w:numPr>
          <w:ilvl w:val="5"/>
          <w:numId w:val="20"/>
        </w:numPr>
        <w:overflowPunct/>
        <w:autoSpaceDE/>
        <w:autoSpaceDN/>
      </w:pPr>
      <w:r w:rsidRPr="00713D42">
        <w:rPr>
          <w:rFonts w:hint="eastAsia"/>
        </w:rPr>
        <w:t>限制僑外投資方面，包括僑外投資股權比例、股東及董事國籍限制等，其法規回歸到各目的事業主管機關。投審會於受理該類型案件時，送各目的事業主管機關審查，並取得各該目的事業主管機關之許可或同意後，始得核准外國投資人投資。</w:t>
      </w:r>
    </w:p>
    <w:p w:rsidR="00372CA7" w:rsidRPr="00713D42" w:rsidRDefault="00372CA7" w:rsidP="00F6299D">
      <w:pPr>
        <w:pStyle w:val="6"/>
        <w:numPr>
          <w:ilvl w:val="5"/>
          <w:numId w:val="20"/>
        </w:numPr>
        <w:overflowPunct/>
        <w:autoSpaceDE/>
        <w:autoSpaceDN/>
      </w:pPr>
      <w:r w:rsidRPr="00713D42">
        <w:rPr>
          <w:rFonts w:hint="eastAsia"/>
        </w:rPr>
        <w:t>跨國併購案件或異常案件原則須提委員會議審核。</w:t>
      </w:r>
    </w:p>
    <w:p w:rsidR="00372CA7" w:rsidRPr="00713D42" w:rsidRDefault="00372CA7" w:rsidP="00F6299D">
      <w:pPr>
        <w:pStyle w:val="6"/>
        <w:numPr>
          <w:ilvl w:val="5"/>
          <w:numId w:val="20"/>
        </w:numPr>
        <w:overflowPunct/>
        <w:autoSpaceDE/>
        <w:autoSpaceDN/>
      </w:pPr>
      <w:r w:rsidRPr="00713D42">
        <w:rPr>
          <w:rFonts w:hint="eastAsia"/>
        </w:rPr>
        <w:t>跨國併購案件涉及產業政策、賦稅影響之評估，須送請相關機關進行審查。另併購標的公司經營涉及限制外資經營之項目，如有線電視業，依外國人投資條例規定，須取得目的事業主管機關之同意。</w:t>
      </w:r>
    </w:p>
    <w:p w:rsidR="00372CA7" w:rsidRPr="00713D42" w:rsidRDefault="00372CA7" w:rsidP="00F6299D">
      <w:pPr>
        <w:pStyle w:val="5"/>
        <w:numPr>
          <w:ilvl w:val="4"/>
          <w:numId w:val="20"/>
        </w:numPr>
        <w:overflowPunct/>
        <w:autoSpaceDE/>
        <w:autoSpaceDN/>
      </w:pPr>
      <w:r w:rsidRPr="00713D42">
        <w:rPr>
          <w:rFonts w:hint="eastAsia"/>
        </w:rPr>
        <w:t>審查作業程序:</w:t>
      </w:r>
    </w:p>
    <w:p w:rsidR="00372CA7" w:rsidRPr="00713D42" w:rsidRDefault="00372CA7" w:rsidP="00F6299D">
      <w:pPr>
        <w:pStyle w:val="6"/>
        <w:numPr>
          <w:ilvl w:val="5"/>
          <w:numId w:val="20"/>
        </w:numPr>
        <w:overflowPunct/>
        <w:autoSpaceDE/>
        <w:autoSpaceDN/>
      </w:pPr>
      <w:r w:rsidRPr="00713D42">
        <w:rPr>
          <w:rFonts w:hint="eastAsia"/>
        </w:rPr>
        <w:t>投審會每月召開1次委員會議，必要時得加開委員會議。</w:t>
      </w:r>
    </w:p>
    <w:p w:rsidR="00372CA7" w:rsidRPr="00713D42" w:rsidRDefault="00372CA7" w:rsidP="00F6299D">
      <w:pPr>
        <w:pStyle w:val="6"/>
        <w:numPr>
          <w:ilvl w:val="5"/>
          <w:numId w:val="20"/>
        </w:numPr>
        <w:overflowPunct/>
        <w:autoSpaceDE/>
        <w:autoSpaceDN/>
        <w:ind w:left="2382" w:hanging="851"/>
      </w:pPr>
      <w:r w:rsidRPr="00713D42">
        <w:rPr>
          <w:rFonts w:hint="eastAsia"/>
        </w:rPr>
        <w:t>每案平均時程(詳圖</w:t>
      </w:r>
      <w:r w:rsidR="0091577E">
        <w:rPr>
          <w:rFonts w:hint="eastAsia"/>
        </w:rPr>
        <w:t>5</w:t>
      </w:r>
      <w:r w:rsidRPr="00713D42">
        <w:rPr>
          <w:rFonts w:hint="eastAsia"/>
        </w:rPr>
        <w:t>)：</w:t>
      </w:r>
    </w:p>
    <w:p w:rsidR="00372CA7" w:rsidRPr="00713D42" w:rsidRDefault="00372CA7" w:rsidP="00F6299D">
      <w:pPr>
        <w:pStyle w:val="7"/>
        <w:numPr>
          <w:ilvl w:val="6"/>
          <w:numId w:val="20"/>
        </w:numPr>
        <w:overflowPunct/>
        <w:autoSpaceDE/>
        <w:autoSpaceDN/>
      </w:pPr>
      <w:r w:rsidRPr="00713D42">
        <w:rPr>
          <w:rFonts w:hint="eastAsia"/>
        </w:rPr>
        <w:t>投審會審查時程受限相關機關回復時間及意見。</w:t>
      </w:r>
    </w:p>
    <w:p w:rsidR="00372CA7" w:rsidRPr="00713D42" w:rsidRDefault="00372CA7" w:rsidP="00F6299D">
      <w:pPr>
        <w:pStyle w:val="7"/>
        <w:numPr>
          <w:ilvl w:val="6"/>
          <w:numId w:val="20"/>
        </w:numPr>
        <w:overflowPunct/>
        <w:autoSpaceDE/>
        <w:autoSpaceDN/>
      </w:pPr>
      <w:r w:rsidRPr="00713D42">
        <w:t>非屬限制投資類，且投(增)資額未逾5 億元者（特定營業項目須送目的事業主管機關審查者，不在此限）：2</w:t>
      </w:r>
      <w:r w:rsidRPr="00713D42">
        <w:rPr>
          <w:rFonts w:hint="eastAsia"/>
        </w:rPr>
        <w:t>-</w:t>
      </w:r>
      <w:r w:rsidRPr="00713D42">
        <w:t>4 日</w:t>
      </w:r>
      <w:r w:rsidRPr="00713D42">
        <w:rPr>
          <w:rFonts w:hint="eastAsia"/>
        </w:rPr>
        <w:t>。</w:t>
      </w:r>
    </w:p>
    <w:p w:rsidR="00372CA7" w:rsidRPr="00713D42" w:rsidRDefault="00372CA7" w:rsidP="00F6299D">
      <w:pPr>
        <w:pStyle w:val="7"/>
        <w:numPr>
          <w:ilvl w:val="6"/>
          <w:numId w:val="20"/>
        </w:numPr>
        <w:overflowPunct/>
        <w:autoSpaceDE/>
        <w:autoSpaceDN/>
      </w:pPr>
      <w:r w:rsidRPr="00713D42">
        <w:t>非屬限制投資類，且投(增)資額未逾15 億元者：3~5 日</w:t>
      </w:r>
    </w:p>
    <w:p w:rsidR="00372CA7" w:rsidRPr="00713D42" w:rsidRDefault="00372CA7" w:rsidP="00F6299D">
      <w:pPr>
        <w:pStyle w:val="7"/>
        <w:numPr>
          <w:ilvl w:val="6"/>
          <w:numId w:val="20"/>
        </w:numPr>
        <w:overflowPunct/>
        <w:autoSpaceDE/>
        <w:autoSpaceDN/>
      </w:pPr>
      <w:r w:rsidRPr="00713D42">
        <w:t>屬限制投資類，或投(增)額逾15 億元以上，或併購案者：10~20 日</w:t>
      </w:r>
      <w:r w:rsidRPr="00713D42">
        <w:rPr>
          <w:rFonts w:hint="eastAsia"/>
        </w:rPr>
        <w:t>。</w:t>
      </w:r>
    </w:p>
    <w:p w:rsidR="00372CA7" w:rsidRPr="00713D42" w:rsidRDefault="00372CA7" w:rsidP="00F6299D">
      <w:pPr>
        <w:pStyle w:val="7"/>
        <w:numPr>
          <w:ilvl w:val="6"/>
          <w:numId w:val="20"/>
        </w:numPr>
        <w:overflowPunct/>
        <w:autoSpaceDE/>
        <w:autoSpaceDN/>
      </w:pPr>
      <w:r w:rsidRPr="00713D42">
        <w:t>跨國併購案，或異常案件者：20</w:t>
      </w:r>
      <w:r w:rsidRPr="00713D42">
        <w:rPr>
          <w:rFonts w:hint="eastAsia"/>
        </w:rPr>
        <w:t>-</w:t>
      </w:r>
      <w:r w:rsidRPr="00713D42">
        <w:t>30日</w:t>
      </w:r>
      <w:r w:rsidRPr="00713D42">
        <w:rPr>
          <w:rFonts w:hint="eastAsia"/>
        </w:rPr>
        <w:t>。</w:t>
      </w:r>
    </w:p>
    <w:p w:rsidR="00372CA7" w:rsidRPr="00713D42" w:rsidRDefault="00372CA7" w:rsidP="00372CA7">
      <w:pPr>
        <w:pStyle w:val="6"/>
        <w:numPr>
          <w:ilvl w:val="0"/>
          <w:numId w:val="0"/>
        </w:numPr>
        <w:tabs>
          <w:tab w:val="clear" w:pos="2094"/>
          <w:tab w:val="left" w:pos="1985"/>
        </w:tabs>
        <w:ind w:firstLineChars="81" w:firstLine="283"/>
      </w:pPr>
      <w:r w:rsidRPr="00713D42">
        <w:rPr>
          <w:rFonts w:hint="eastAsia"/>
          <w:noProof/>
        </w:rPr>
        <w:lastRenderedPageBreak/>
        <w:drawing>
          <wp:inline distT="0" distB="0" distL="0" distR="0" wp14:anchorId="31E4431A" wp14:editId="1CEF0281">
            <wp:extent cx="5540990" cy="2442949"/>
            <wp:effectExtent l="0" t="0" r="3175"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74032" cy="2457517"/>
                    </a:xfrm>
                    <a:prstGeom prst="rect">
                      <a:avLst/>
                    </a:prstGeom>
                    <a:noFill/>
                    <a:ln>
                      <a:noFill/>
                    </a:ln>
                  </pic:spPr>
                </pic:pic>
              </a:graphicData>
            </a:graphic>
          </wp:inline>
        </w:drawing>
      </w:r>
    </w:p>
    <w:p w:rsidR="00372CA7" w:rsidRPr="0091577E" w:rsidRDefault="00372CA7" w:rsidP="0091577E">
      <w:pPr>
        <w:pStyle w:val="a3"/>
        <w:rPr>
          <w:b/>
        </w:rPr>
      </w:pPr>
      <w:r w:rsidRPr="0091577E">
        <w:rPr>
          <w:rFonts w:hint="eastAsia"/>
          <w:b/>
        </w:rPr>
        <w:t>華僑及外國人投資申請案件審理作業流程</w:t>
      </w:r>
    </w:p>
    <w:p w:rsidR="00372CA7" w:rsidRPr="00713D42" w:rsidRDefault="00372CA7" w:rsidP="00F6299D">
      <w:pPr>
        <w:pStyle w:val="3"/>
        <w:numPr>
          <w:ilvl w:val="2"/>
          <w:numId w:val="20"/>
        </w:numPr>
        <w:overflowPunct/>
        <w:autoSpaceDE/>
        <w:autoSpaceDN/>
      </w:pPr>
      <w:bookmarkStart w:id="42" w:name="_Toc469271761"/>
      <w:bookmarkStart w:id="43" w:name="_Toc470099649"/>
      <w:bookmarkStart w:id="44" w:name="_Toc469271758"/>
      <w:r w:rsidRPr="00713D42">
        <w:rPr>
          <w:rFonts w:hint="eastAsia"/>
        </w:rPr>
        <w:t>新加坡有超過26,000家外國公司，其中許多係來自美、歐、日的跨國公司，在該國設立產銷據點或分支機構，以104年為例，該國共流入FDI達650億美元，居全球第7名，該國FDI審查程序</w:t>
      </w:r>
      <w:r w:rsidRPr="00713D42">
        <w:rPr>
          <w:rStyle w:val="aff8"/>
        </w:rPr>
        <w:footnoteReference w:id="7"/>
      </w:r>
      <w:r w:rsidRPr="00713D42">
        <w:rPr>
          <w:rFonts w:hint="eastAsia"/>
        </w:rPr>
        <w:t>:</w:t>
      </w:r>
      <w:bookmarkEnd w:id="42"/>
      <w:bookmarkEnd w:id="43"/>
    </w:p>
    <w:p w:rsidR="00372CA7" w:rsidRPr="00713D42" w:rsidRDefault="00372CA7" w:rsidP="00F6299D">
      <w:pPr>
        <w:pStyle w:val="4"/>
        <w:numPr>
          <w:ilvl w:val="3"/>
          <w:numId w:val="20"/>
        </w:numPr>
        <w:overflowPunct/>
        <w:autoSpaceDE/>
        <w:autoSpaceDN/>
      </w:pPr>
      <w:r w:rsidRPr="00713D42">
        <w:rPr>
          <w:rFonts w:hint="eastAsia"/>
        </w:rPr>
        <w:t>經濟發展局（Economic Development Board，下稱EDB）為新加坡外人投資主管機關，但該國與投資有關之相關法令卻分別由不同部會所管轄，詳細而明確。</w:t>
      </w:r>
    </w:p>
    <w:p w:rsidR="00372CA7" w:rsidRPr="00713D42" w:rsidRDefault="00372CA7" w:rsidP="00F6299D">
      <w:pPr>
        <w:pStyle w:val="5"/>
        <w:numPr>
          <w:ilvl w:val="4"/>
          <w:numId w:val="20"/>
        </w:numPr>
        <w:overflowPunct/>
        <w:autoSpaceDE/>
        <w:autoSpaceDN/>
      </w:pPr>
      <w:r w:rsidRPr="00713D42">
        <w:rPr>
          <w:rFonts w:hint="eastAsia"/>
        </w:rPr>
        <w:t>會計及公司管理局（下稱ACRA）主管公司設立登記。</w:t>
      </w:r>
    </w:p>
    <w:p w:rsidR="00372CA7" w:rsidRPr="00713D42" w:rsidRDefault="00372CA7" w:rsidP="00F6299D">
      <w:pPr>
        <w:pStyle w:val="6"/>
        <w:numPr>
          <w:ilvl w:val="5"/>
          <w:numId w:val="20"/>
        </w:numPr>
        <w:overflowPunct/>
        <w:autoSpaceDE/>
        <w:autoSpaceDN/>
      </w:pPr>
      <w:r w:rsidRPr="00713D42">
        <w:rPr>
          <w:rFonts w:hint="eastAsia"/>
        </w:rPr>
        <w:t>在新加坡投資經商，無論獨資經營的小商號或規模龐大的跨國公司，在開張營業之前，必須成立1家商行或公司，並在ACRA註冊登記。</w:t>
      </w:r>
    </w:p>
    <w:p w:rsidR="00372CA7" w:rsidRPr="00713D42" w:rsidRDefault="00372CA7" w:rsidP="00F6299D">
      <w:pPr>
        <w:pStyle w:val="6"/>
        <w:numPr>
          <w:ilvl w:val="5"/>
          <w:numId w:val="20"/>
        </w:numPr>
        <w:overflowPunct/>
        <w:autoSpaceDE/>
        <w:autoSpaceDN/>
      </w:pPr>
      <w:r w:rsidRPr="00713D42">
        <w:rPr>
          <w:rFonts w:hint="eastAsia"/>
        </w:rPr>
        <w:t>新加坡對各類型企業之設立，採取註冊登記主義，一般而言，約1至2週即可完成註冊登記之程序。</w:t>
      </w:r>
    </w:p>
    <w:p w:rsidR="00372CA7" w:rsidRPr="00713D42" w:rsidRDefault="00372CA7" w:rsidP="00F6299D">
      <w:pPr>
        <w:pStyle w:val="6"/>
        <w:numPr>
          <w:ilvl w:val="5"/>
          <w:numId w:val="20"/>
        </w:numPr>
        <w:overflowPunct/>
        <w:autoSpaceDE/>
        <w:autoSpaceDN/>
      </w:pPr>
      <w:r w:rsidRPr="00713D42">
        <w:rPr>
          <w:rFonts w:hint="eastAsia"/>
        </w:rPr>
        <w:t>大多數的營利事業只須取得ACRA所發給的註冊證書或成立證書就可開張營業。</w:t>
      </w:r>
    </w:p>
    <w:p w:rsidR="00372CA7" w:rsidRPr="00713D42" w:rsidRDefault="00372CA7" w:rsidP="00F6299D">
      <w:pPr>
        <w:pStyle w:val="5"/>
        <w:numPr>
          <w:ilvl w:val="4"/>
          <w:numId w:val="20"/>
        </w:numPr>
        <w:overflowPunct/>
        <w:autoSpaceDE/>
        <w:autoSpaceDN/>
      </w:pPr>
      <w:r w:rsidRPr="00713D42">
        <w:rPr>
          <w:rFonts w:hint="eastAsia"/>
        </w:rPr>
        <w:lastRenderedPageBreak/>
        <w:t>經濟發展局(下稱EDB)主管外來投資之行業是否為新加坡所歡迎或鼓勵。</w:t>
      </w:r>
    </w:p>
    <w:p w:rsidR="00372CA7" w:rsidRPr="00713D42" w:rsidRDefault="00372CA7" w:rsidP="00F6299D">
      <w:pPr>
        <w:pStyle w:val="6"/>
        <w:numPr>
          <w:ilvl w:val="5"/>
          <w:numId w:val="20"/>
        </w:numPr>
        <w:overflowPunct/>
        <w:autoSpaceDE/>
        <w:autoSpaceDN/>
      </w:pPr>
      <w:r w:rsidRPr="00713D42">
        <w:rPr>
          <w:rFonts w:hint="eastAsia"/>
        </w:rPr>
        <w:t>某些行業必須另外取得有關政府機關的批准與執照，才可開始營業。這些行業主要是涉及生產、保健、環保、治安或社會風俗與道德及為了保障社會大眾之利益，而進行必要之管制。</w:t>
      </w:r>
    </w:p>
    <w:p w:rsidR="00372CA7" w:rsidRPr="00713D42" w:rsidRDefault="00372CA7" w:rsidP="00F6299D">
      <w:pPr>
        <w:pStyle w:val="6"/>
        <w:numPr>
          <w:ilvl w:val="5"/>
          <w:numId w:val="20"/>
        </w:numPr>
        <w:overflowPunct/>
        <w:autoSpaceDE/>
        <w:autoSpaceDN/>
      </w:pPr>
      <w:r w:rsidRPr="00713D42">
        <w:rPr>
          <w:rFonts w:hint="eastAsia"/>
        </w:rPr>
        <w:t>須另外取得執照之主要行業：</w:t>
      </w:r>
    </w:p>
    <w:p w:rsidR="00372CA7" w:rsidRPr="00713D42" w:rsidRDefault="00372CA7" w:rsidP="00F6299D">
      <w:pPr>
        <w:pStyle w:val="7"/>
        <w:numPr>
          <w:ilvl w:val="6"/>
          <w:numId w:val="20"/>
        </w:numPr>
        <w:overflowPunct/>
        <w:autoSpaceDE/>
        <w:autoSpaceDN/>
      </w:pPr>
      <w:r w:rsidRPr="00713D42">
        <w:rPr>
          <w:rFonts w:hint="eastAsia"/>
        </w:rPr>
        <w:t>銀行與金融服務業。</w:t>
      </w:r>
    </w:p>
    <w:p w:rsidR="00372CA7" w:rsidRPr="00713D42" w:rsidRDefault="00372CA7" w:rsidP="00F6299D">
      <w:pPr>
        <w:pStyle w:val="7"/>
        <w:numPr>
          <w:ilvl w:val="6"/>
          <w:numId w:val="20"/>
        </w:numPr>
        <w:overflowPunct/>
        <w:autoSpaceDE/>
        <w:autoSpaceDN/>
      </w:pPr>
      <w:r w:rsidRPr="00713D42">
        <w:rPr>
          <w:rFonts w:hint="eastAsia"/>
        </w:rPr>
        <w:t>旅行社。</w:t>
      </w:r>
    </w:p>
    <w:p w:rsidR="00372CA7" w:rsidRPr="00713D42" w:rsidRDefault="00372CA7" w:rsidP="00F6299D">
      <w:pPr>
        <w:pStyle w:val="7"/>
        <w:numPr>
          <w:ilvl w:val="6"/>
          <w:numId w:val="20"/>
        </w:numPr>
        <w:overflowPunct/>
        <w:autoSpaceDE/>
        <w:autoSpaceDN/>
      </w:pPr>
      <w:r w:rsidRPr="00713D42">
        <w:rPr>
          <w:rFonts w:hint="eastAsia"/>
        </w:rPr>
        <w:t>錄影帶攝製與出租業。</w:t>
      </w:r>
    </w:p>
    <w:p w:rsidR="00372CA7" w:rsidRPr="00713D42" w:rsidRDefault="00372CA7" w:rsidP="00F6299D">
      <w:pPr>
        <w:pStyle w:val="7"/>
        <w:numPr>
          <w:ilvl w:val="6"/>
          <w:numId w:val="20"/>
        </w:numPr>
        <w:overflowPunct/>
        <w:autoSpaceDE/>
        <w:autoSpaceDN/>
      </w:pPr>
      <w:r w:rsidRPr="00713D42">
        <w:rPr>
          <w:rFonts w:hint="eastAsia"/>
        </w:rPr>
        <w:t>開設工廠須向人力部工業安全署申請工廠登記證。</w:t>
      </w:r>
    </w:p>
    <w:p w:rsidR="00372CA7" w:rsidRPr="00713D42" w:rsidRDefault="00372CA7" w:rsidP="00F6299D">
      <w:pPr>
        <w:pStyle w:val="7"/>
        <w:numPr>
          <w:ilvl w:val="6"/>
          <w:numId w:val="20"/>
        </w:numPr>
        <w:overflowPunct/>
        <w:autoSpaceDE/>
        <w:autoSpaceDN/>
      </w:pPr>
      <w:r w:rsidRPr="00713D42">
        <w:rPr>
          <w:rFonts w:hint="eastAsia"/>
        </w:rPr>
        <w:t>工廠之排水、排氣，或有毒廢棄物之處理方式與設備，須取得環境及水資源部之處理許可執照。</w:t>
      </w:r>
    </w:p>
    <w:p w:rsidR="00372CA7" w:rsidRPr="00713D42" w:rsidRDefault="00372CA7" w:rsidP="00F6299D">
      <w:pPr>
        <w:pStyle w:val="7"/>
        <w:numPr>
          <w:ilvl w:val="6"/>
          <w:numId w:val="20"/>
        </w:numPr>
        <w:overflowPunct/>
        <w:autoSpaceDE/>
        <w:autoSpaceDN/>
      </w:pPr>
      <w:r w:rsidRPr="00713D42">
        <w:rPr>
          <w:rFonts w:hint="eastAsia"/>
        </w:rPr>
        <w:t>食品工廠另須取得國家發展部農糧獸醫局之食品製造廠執照並符合進口管制規定。</w:t>
      </w:r>
    </w:p>
    <w:p w:rsidR="00372CA7" w:rsidRPr="00713D42" w:rsidRDefault="00372CA7" w:rsidP="00F6299D">
      <w:pPr>
        <w:pStyle w:val="6"/>
        <w:numPr>
          <w:ilvl w:val="5"/>
          <w:numId w:val="20"/>
        </w:numPr>
        <w:overflowPunct/>
        <w:autoSpaceDE/>
        <w:autoSpaceDN/>
      </w:pPr>
      <w:r w:rsidRPr="00713D42">
        <w:rPr>
          <w:rFonts w:hint="eastAsia"/>
        </w:rPr>
        <w:t>新加坡對於危害社會安全之行業則嚴加管制，如爆竹、國防工業等。</w:t>
      </w:r>
    </w:p>
    <w:p w:rsidR="00372CA7" w:rsidRPr="00713D42" w:rsidRDefault="00372CA7" w:rsidP="00F6299D">
      <w:pPr>
        <w:pStyle w:val="6"/>
        <w:numPr>
          <w:ilvl w:val="5"/>
          <w:numId w:val="20"/>
        </w:numPr>
        <w:overflowPunct/>
        <w:autoSpaceDE/>
        <w:autoSpaceDN/>
      </w:pPr>
      <w:r w:rsidRPr="00713D42">
        <w:rPr>
          <w:rFonts w:hint="eastAsia"/>
        </w:rPr>
        <w:t>製造業中屬勞力及土地密集，其中污染性高或附加價值低之行業（如合板業及成衣業）列為不受歡迎行業。</w:t>
      </w:r>
    </w:p>
    <w:p w:rsidR="00372CA7" w:rsidRPr="00713D42" w:rsidRDefault="00372CA7" w:rsidP="00F6299D">
      <w:pPr>
        <w:pStyle w:val="5"/>
        <w:numPr>
          <w:ilvl w:val="4"/>
          <w:numId w:val="20"/>
        </w:numPr>
        <w:overflowPunct/>
        <w:autoSpaceDE/>
        <w:autoSpaceDN/>
      </w:pPr>
      <w:r w:rsidRPr="00713D42">
        <w:rPr>
          <w:rFonts w:hint="eastAsia"/>
        </w:rPr>
        <w:t>一般外商到新加坡設立公司，大都委託當地律師或會計師申請設立登記。</w:t>
      </w:r>
    </w:p>
    <w:p w:rsidR="00372CA7" w:rsidRPr="00713D42" w:rsidRDefault="00372CA7" w:rsidP="00F6299D">
      <w:pPr>
        <w:pStyle w:val="4"/>
        <w:numPr>
          <w:ilvl w:val="3"/>
          <w:numId w:val="20"/>
        </w:numPr>
        <w:overflowPunct/>
        <w:autoSpaceDE/>
        <w:autoSpaceDN/>
      </w:pPr>
      <w:r w:rsidRPr="00713D42">
        <w:rPr>
          <w:rFonts w:hint="eastAsia"/>
        </w:rPr>
        <w:t>基本上新加坡投資政策為管進不管出。由於人員、資金、貨物之進出幾乎完全自由，故廠商自由前往任何國家投資，不必事先向政府報備或取得許可。</w:t>
      </w:r>
    </w:p>
    <w:p w:rsidR="00372CA7" w:rsidRPr="00713D42" w:rsidRDefault="00372CA7" w:rsidP="00F6299D">
      <w:pPr>
        <w:pStyle w:val="4"/>
        <w:numPr>
          <w:ilvl w:val="3"/>
          <w:numId w:val="20"/>
        </w:numPr>
        <w:overflowPunct/>
        <w:autoSpaceDE/>
        <w:autoSpaceDN/>
      </w:pPr>
      <w:r w:rsidRPr="00713D42">
        <w:rPr>
          <w:rFonts w:hint="eastAsia"/>
        </w:rPr>
        <w:t>另據本院赴新加坡參訪時長春集團指出，「該集</w:t>
      </w:r>
      <w:r w:rsidRPr="00713D42">
        <w:rPr>
          <w:rFonts w:hint="eastAsia"/>
        </w:rPr>
        <w:lastRenderedPageBreak/>
        <w:t>團赴新加坡投資時，因涉及土地之取得，故經濟發展局對其投資案，於競爭力、貢獻度、就業機會、建廠規劃等各方面，均經極縝密之『事前』評估，由廠商填具詳盡之分析表格文件，符合該國整體產業鏈布局及環境標準之優良投資案才會獲評估認可。一旦通過評估認可為優良投資案，後續建廠申請流程即快速審批，並跨單位橫向溝通協調以協助廠商解決問題。如此可避免因審查過程冗長，廠商已先投資資金、耗費時間與精力，最後投資案卻未能通過投資審查而血本無歸之情形；且審批有一定流程，需時多久，均具可預測性。」顯示該國投資審核程序佳，具透明度及可預期性。</w:t>
      </w:r>
    </w:p>
    <w:p w:rsidR="00372CA7" w:rsidRPr="00713D42" w:rsidRDefault="00372CA7" w:rsidP="00372CA7">
      <w:pPr>
        <w:pStyle w:val="4"/>
        <w:numPr>
          <w:ilvl w:val="0"/>
          <w:numId w:val="0"/>
        </w:numPr>
        <w:ind w:left="1418" w:firstLineChars="203" w:firstLine="708"/>
      </w:pPr>
      <w:r w:rsidRPr="00713D42">
        <w:rPr>
          <w:rFonts w:hint="eastAsia"/>
        </w:rPr>
        <w:t>由上可知，新加坡對吸引FDI投資，採開放政策，大多數的營利事業只須取得ACRA所發給的註冊證書或成立證書就可開張營業，對照我國現有FDI審查制度採逐案核准，該國審查制度實有值我國參考之優點。</w:t>
      </w:r>
    </w:p>
    <w:p w:rsidR="00372CA7" w:rsidRPr="00713D42" w:rsidRDefault="00372CA7" w:rsidP="00F6299D">
      <w:pPr>
        <w:pStyle w:val="3"/>
        <w:numPr>
          <w:ilvl w:val="2"/>
          <w:numId w:val="20"/>
        </w:numPr>
        <w:overflowPunct/>
        <w:autoSpaceDE/>
        <w:autoSpaceDN/>
      </w:pPr>
      <w:bookmarkStart w:id="45" w:name="_Toc470099650"/>
      <w:r w:rsidRPr="00713D42">
        <w:rPr>
          <w:rFonts w:hint="eastAsia"/>
        </w:rPr>
        <w:t>外人投資審核程序研擬修正歷程:</w:t>
      </w:r>
      <w:bookmarkEnd w:id="44"/>
      <w:bookmarkEnd w:id="45"/>
    </w:p>
    <w:p w:rsidR="00372CA7" w:rsidRPr="00713D42" w:rsidRDefault="00372CA7" w:rsidP="00F6299D">
      <w:pPr>
        <w:pStyle w:val="4"/>
        <w:numPr>
          <w:ilvl w:val="3"/>
          <w:numId w:val="20"/>
        </w:numPr>
        <w:overflowPunct/>
        <w:autoSpaceDE/>
        <w:autoSpaceDN/>
      </w:pPr>
      <w:r w:rsidRPr="00713D42">
        <w:rPr>
          <w:rFonts w:hint="eastAsia"/>
        </w:rPr>
        <w:t>世界各國歷經金融海嘯及國際景氣變動之影響後，並為因應全球化之趨勢及經濟發展之需要，均致力於簡化外人投資申辦程序，以吸引外人投資，然:</w:t>
      </w:r>
    </w:p>
    <w:p w:rsidR="00372CA7" w:rsidRPr="00713D42" w:rsidRDefault="00372CA7" w:rsidP="00F6299D">
      <w:pPr>
        <w:pStyle w:val="5"/>
        <w:numPr>
          <w:ilvl w:val="4"/>
          <w:numId w:val="20"/>
        </w:numPr>
        <w:overflowPunct/>
        <w:autoSpaceDE/>
        <w:autoSpaceDN/>
      </w:pPr>
      <w:r w:rsidRPr="00713D42">
        <w:rPr>
          <w:rFonts w:hint="eastAsia"/>
        </w:rPr>
        <w:t>我國自86年11月19日修正「外國人投資條例」、「華僑回國投資條例」後，已近20年未修正，然該條例規定我國對FDI不論金額大小均採行事前核准制。</w:t>
      </w:r>
    </w:p>
    <w:p w:rsidR="00372CA7" w:rsidRPr="00713D42" w:rsidRDefault="00372CA7" w:rsidP="00F6299D">
      <w:pPr>
        <w:pStyle w:val="5"/>
        <w:numPr>
          <w:ilvl w:val="4"/>
          <w:numId w:val="20"/>
        </w:numPr>
        <w:overflowPunct/>
        <w:autoSpaceDE/>
        <w:autoSpaceDN/>
      </w:pPr>
      <w:r w:rsidRPr="00713D42">
        <w:rPr>
          <w:rFonts w:hint="eastAsia"/>
        </w:rPr>
        <w:t>同期間，以先進國家立法例（如美國、日本）對於外人投資已甚少採取事前核准制。</w:t>
      </w:r>
    </w:p>
    <w:p w:rsidR="00372CA7" w:rsidRPr="00713D42" w:rsidRDefault="00372CA7" w:rsidP="00F6299D">
      <w:pPr>
        <w:pStyle w:val="4"/>
        <w:numPr>
          <w:ilvl w:val="3"/>
          <w:numId w:val="20"/>
        </w:numPr>
        <w:overflowPunct/>
        <w:autoSpaceDE/>
        <w:autoSpaceDN/>
      </w:pPr>
      <w:r w:rsidRPr="00713D42">
        <w:rPr>
          <w:rFonts w:hint="eastAsia"/>
        </w:rPr>
        <w:t>我國修正「外國人投資條例」、「華僑回國投資條例」之歷程:</w:t>
      </w:r>
    </w:p>
    <w:p w:rsidR="00372CA7" w:rsidRPr="00713D42" w:rsidRDefault="00372CA7" w:rsidP="00F6299D">
      <w:pPr>
        <w:pStyle w:val="5"/>
        <w:numPr>
          <w:ilvl w:val="4"/>
          <w:numId w:val="20"/>
        </w:numPr>
        <w:overflowPunct/>
        <w:autoSpaceDE/>
        <w:autoSpaceDN/>
      </w:pPr>
      <w:r w:rsidRPr="00713D42">
        <w:rPr>
          <w:rFonts w:hint="eastAsia"/>
        </w:rPr>
        <w:lastRenderedPageBreak/>
        <w:t>經濟部前為加強吸引外人投資，於101年間擬具「外國人投資條例」、「華僑回國投資條例」部分條文修正草案，主要內容:</w:t>
      </w:r>
    </w:p>
    <w:p w:rsidR="00372CA7" w:rsidRPr="00713D42" w:rsidRDefault="00372CA7" w:rsidP="00F6299D">
      <w:pPr>
        <w:pStyle w:val="6"/>
        <w:numPr>
          <w:ilvl w:val="5"/>
          <w:numId w:val="20"/>
        </w:numPr>
        <w:overflowPunct/>
        <w:autoSpaceDE/>
        <w:autoSpaceDN/>
      </w:pPr>
      <w:r w:rsidRPr="00713D42">
        <w:rPr>
          <w:rFonts w:hint="eastAsia"/>
        </w:rPr>
        <w:t>將僑外投資由「事前核准」改為「原則事後申報，例外事前核准」以簡化投資程序。</w:t>
      </w:r>
    </w:p>
    <w:p w:rsidR="00372CA7" w:rsidRPr="00713D42" w:rsidRDefault="00372CA7" w:rsidP="00F6299D">
      <w:pPr>
        <w:pStyle w:val="6"/>
        <w:numPr>
          <w:ilvl w:val="5"/>
          <w:numId w:val="20"/>
        </w:numPr>
        <w:overflowPunct/>
        <w:autoSpaceDE/>
        <w:autoSpaceDN/>
      </w:pPr>
      <w:r w:rsidRPr="00713D42">
        <w:rPr>
          <w:rFonts w:hint="eastAsia"/>
        </w:rPr>
        <w:t>依該修正案授權訂定辦法明定「主管機關對在申報或申請核准案件，徵詢目的事業主管機關或其他相關機關意見者，如未於文到之次日起1個月內回覆主管機關者，視為無意見」及重大投資案件之審查標準。經濟部投審會希望透過此一規定，俾以加速案件之審查時程及審查程序透明化。</w:t>
      </w:r>
    </w:p>
    <w:p w:rsidR="00372CA7" w:rsidRPr="00713D42" w:rsidRDefault="00372CA7" w:rsidP="00F6299D">
      <w:pPr>
        <w:pStyle w:val="5"/>
        <w:numPr>
          <w:ilvl w:val="4"/>
          <w:numId w:val="20"/>
        </w:numPr>
        <w:overflowPunct/>
        <w:autoSpaceDE/>
        <w:autoSpaceDN/>
      </w:pPr>
      <w:r w:rsidRPr="00713D42">
        <w:rPr>
          <w:rFonts w:hint="eastAsia"/>
        </w:rPr>
        <w:t>上開草案於101年12月20日行政院第3328次會議通過送請立法院審議。</w:t>
      </w:r>
    </w:p>
    <w:p w:rsidR="00372CA7" w:rsidRPr="00713D42" w:rsidRDefault="00372CA7" w:rsidP="00F6299D">
      <w:pPr>
        <w:pStyle w:val="5"/>
        <w:numPr>
          <w:ilvl w:val="4"/>
          <w:numId w:val="20"/>
        </w:numPr>
        <w:overflowPunct/>
        <w:autoSpaceDE/>
        <w:autoSpaceDN/>
      </w:pPr>
      <w:r w:rsidRPr="00713D42">
        <w:rPr>
          <w:rFonts w:hint="eastAsia"/>
        </w:rPr>
        <w:t>102年5月9日立法院第8屆第3會期經濟、外交及國防兩委員會第1次聯席會併案審查完竣，後因立法院屆期不續審規定，已退回該修正法案。</w:t>
      </w:r>
    </w:p>
    <w:p w:rsidR="00372CA7" w:rsidRPr="00713D42" w:rsidRDefault="00372CA7" w:rsidP="00F6299D">
      <w:pPr>
        <w:pStyle w:val="4"/>
        <w:numPr>
          <w:ilvl w:val="3"/>
          <w:numId w:val="20"/>
        </w:numPr>
        <w:overflowPunct/>
        <w:autoSpaceDE/>
        <w:autoSpaceDN/>
      </w:pPr>
      <w:r w:rsidRPr="00713D42">
        <w:rPr>
          <w:rFonts w:hint="eastAsia"/>
        </w:rPr>
        <w:t>經濟部雖已考量相關時空背景已有重大改變，為因應國際FDI型態及趨勢變化，已陸續召開產官學座談會蒐整修法意見，並參酌美國、加拿大及澳洲等國家外資審查機制，全面檢討相關規定，朝向相關審查程序法制化及與國際規範接軌方向努力，然世界各國均極力爭取FDI，以強化該國經濟建設能量，我國FDI採逐案事前核准制，有礙吸引FDI之投資，經濟部允應儘速研議符合國情之FDI申請規範。</w:t>
      </w:r>
    </w:p>
    <w:p w:rsidR="00372CA7" w:rsidRPr="00713D42" w:rsidRDefault="00372CA7" w:rsidP="00F6299D">
      <w:pPr>
        <w:pStyle w:val="3"/>
        <w:numPr>
          <w:ilvl w:val="2"/>
          <w:numId w:val="20"/>
        </w:numPr>
        <w:overflowPunct/>
        <w:autoSpaceDE/>
        <w:autoSpaceDN/>
      </w:pPr>
      <w:bookmarkStart w:id="46" w:name="_Toc469271759"/>
      <w:bookmarkStart w:id="47" w:name="_Toc470099651"/>
      <w:r w:rsidRPr="00713D42">
        <w:rPr>
          <w:rFonts w:hint="eastAsia"/>
        </w:rPr>
        <w:t>經濟部歷年核准外國人投資申請狀況:</w:t>
      </w:r>
      <w:bookmarkEnd w:id="46"/>
      <w:bookmarkEnd w:id="47"/>
    </w:p>
    <w:p w:rsidR="00372CA7" w:rsidRPr="00713D42" w:rsidRDefault="00372CA7" w:rsidP="00F6299D">
      <w:pPr>
        <w:pStyle w:val="4"/>
        <w:numPr>
          <w:ilvl w:val="3"/>
          <w:numId w:val="20"/>
        </w:numPr>
        <w:overflowPunct/>
        <w:autoSpaceDE/>
        <w:autoSpaceDN/>
      </w:pPr>
      <w:r w:rsidRPr="00713D42">
        <w:rPr>
          <w:rFonts w:hint="eastAsia"/>
        </w:rPr>
        <w:t>FDI投資申請未獲核准投資情形:</w:t>
      </w:r>
    </w:p>
    <w:p w:rsidR="00372CA7" w:rsidRPr="00713D42" w:rsidRDefault="00372CA7" w:rsidP="00F6299D">
      <w:pPr>
        <w:pStyle w:val="5"/>
        <w:numPr>
          <w:ilvl w:val="4"/>
          <w:numId w:val="20"/>
        </w:numPr>
        <w:overflowPunct/>
        <w:autoSpaceDE/>
        <w:autoSpaceDN/>
      </w:pPr>
      <w:r w:rsidRPr="00713D42">
        <w:rPr>
          <w:rFonts w:hint="eastAsia"/>
        </w:rPr>
        <w:t>自89年起，每年未獲核准投資案件數，最少為89年之162件，最多則為96年之591件，</w:t>
      </w:r>
      <w:r w:rsidRPr="00713D42">
        <w:rPr>
          <w:rFonts w:hint="eastAsia"/>
        </w:rPr>
        <w:lastRenderedPageBreak/>
        <w:t>平均未獲核准案件比率近18%，平均未獲核准投資件數則為360件(詳如表7)。</w:t>
      </w:r>
    </w:p>
    <w:p w:rsidR="00372CA7" w:rsidRPr="00713D42" w:rsidRDefault="00372CA7" w:rsidP="00372CA7">
      <w:pPr>
        <w:pStyle w:val="a5"/>
        <w:spacing w:beforeLines="50" w:before="220" w:after="0"/>
        <w:ind w:left="482" w:firstLine="369"/>
        <w:jc w:val="center"/>
        <w:rPr>
          <w:b/>
        </w:rPr>
      </w:pPr>
      <w:r w:rsidRPr="00713D42">
        <w:rPr>
          <w:rFonts w:hint="eastAsia"/>
          <w:b/>
        </w:rPr>
        <w:t>投審會核准外人來臺投資件數變動情形表</w:t>
      </w:r>
    </w:p>
    <w:p w:rsidR="00372CA7" w:rsidRPr="00713D42" w:rsidRDefault="00372CA7" w:rsidP="00372CA7">
      <w:pPr>
        <w:pStyle w:val="6"/>
        <w:numPr>
          <w:ilvl w:val="0"/>
          <w:numId w:val="0"/>
        </w:numPr>
        <w:spacing w:line="240" w:lineRule="exact"/>
        <w:ind w:left="2444"/>
        <w:jc w:val="right"/>
        <w:rPr>
          <w:sz w:val="20"/>
          <w:szCs w:val="20"/>
        </w:rPr>
      </w:pPr>
      <w:r w:rsidRPr="00713D42">
        <w:rPr>
          <w:rFonts w:hint="eastAsia"/>
          <w:sz w:val="20"/>
          <w:szCs w:val="20"/>
        </w:rPr>
        <w:t>單位:件</w:t>
      </w:r>
    </w:p>
    <w:tbl>
      <w:tblPr>
        <w:tblW w:w="8364"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3"/>
        <w:gridCol w:w="1275"/>
        <w:gridCol w:w="1985"/>
        <w:gridCol w:w="2126"/>
        <w:gridCol w:w="1985"/>
      </w:tblGrid>
      <w:tr w:rsidR="00372CA7" w:rsidRPr="00713D42" w:rsidTr="00B10A4D">
        <w:trPr>
          <w:trHeight w:val="235"/>
          <w:tblHeader/>
        </w:trPr>
        <w:tc>
          <w:tcPr>
            <w:tcW w:w="993" w:type="dxa"/>
            <w:vMerge w:val="restart"/>
            <w:shd w:val="clear" w:color="auto" w:fill="auto"/>
            <w:noWrap/>
            <w:vAlign w:val="center"/>
          </w:tcPr>
          <w:p w:rsidR="00372CA7" w:rsidRPr="00713D42" w:rsidRDefault="00372CA7" w:rsidP="00B10A4D">
            <w:pPr>
              <w:jc w:val="center"/>
              <w:rPr>
                <w:rFonts w:hAnsi="標楷體" w:cs="新細明體"/>
                <w:b/>
                <w:kern w:val="0"/>
                <w:sz w:val="24"/>
                <w:szCs w:val="24"/>
              </w:rPr>
            </w:pPr>
            <w:r w:rsidRPr="00713D42">
              <w:rPr>
                <w:rFonts w:hAnsi="標楷體" w:hint="eastAsia"/>
                <w:b/>
                <w:sz w:val="24"/>
                <w:szCs w:val="24"/>
              </w:rPr>
              <w:t>年度</w:t>
            </w:r>
          </w:p>
        </w:tc>
        <w:tc>
          <w:tcPr>
            <w:tcW w:w="5386" w:type="dxa"/>
            <w:gridSpan w:val="3"/>
            <w:shd w:val="clear" w:color="auto" w:fill="auto"/>
            <w:noWrap/>
            <w:vAlign w:val="center"/>
          </w:tcPr>
          <w:p w:rsidR="00372CA7" w:rsidRPr="00713D42" w:rsidRDefault="00372CA7" w:rsidP="00B10A4D">
            <w:pPr>
              <w:widowControl/>
              <w:jc w:val="center"/>
              <w:rPr>
                <w:rFonts w:hAnsi="標楷體" w:cs="新細明體"/>
                <w:b/>
                <w:kern w:val="0"/>
                <w:sz w:val="24"/>
                <w:szCs w:val="24"/>
              </w:rPr>
            </w:pPr>
            <w:r w:rsidRPr="00713D42">
              <w:rPr>
                <w:rFonts w:hAnsi="標楷體" w:cs="新細明體" w:hint="eastAsia"/>
                <w:b/>
                <w:kern w:val="0"/>
                <w:sz w:val="24"/>
                <w:szCs w:val="24"/>
              </w:rPr>
              <w:t>核准數件數</w:t>
            </w:r>
          </w:p>
        </w:tc>
        <w:tc>
          <w:tcPr>
            <w:tcW w:w="1985" w:type="dxa"/>
            <w:vMerge w:val="restart"/>
            <w:shd w:val="clear" w:color="auto" w:fill="auto"/>
            <w:vAlign w:val="center"/>
          </w:tcPr>
          <w:p w:rsidR="00372CA7" w:rsidRPr="00713D42" w:rsidRDefault="00372CA7" w:rsidP="00B10A4D">
            <w:pPr>
              <w:widowControl/>
              <w:jc w:val="center"/>
              <w:rPr>
                <w:rFonts w:hAnsi="標楷體" w:cs="新細明體"/>
                <w:b/>
                <w:kern w:val="0"/>
                <w:sz w:val="24"/>
                <w:szCs w:val="24"/>
              </w:rPr>
            </w:pPr>
            <w:r w:rsidRPr="00713D42">
              <w:rPr>
                <w:rFonts w:hAnsi="標楷體" w:cs="新細明體" w:hint="eastAsia"/>
                <w:b/>
                <w:kern w:val="0"/>
                <w:sz w:val="24"/>
                <w:szCs w:val="24"/>
              </w:rPr>
              <w:t>未核准投資件數</w:t>
            </w:r>
          </w:p>
        </w:tc>
      </w:tr>
      <w:tr w:rsidR="00372CA7" w:rsidRPr="00713D42" w:rsidTr="00B10A4D">
        <w:trPr>
          <w:trHeight w:val="363"/>
          <w:tblHeader/>
        </w:trPr>
        <w:tc>
          <w:tcPr>
            <w:tcW w:w="993" w:type="dxa"/>
            <w:vMerge/>
            <w:shd w:val="clear" w:color="auto" w:fill="auto"/>
            <w:noWrap/>
            <w:vAlign w:val="center"/>
          </w:tcPr>
          <w:p w:rsidR="00372CA7" w:rsidRPr="00713D42" w:rsidRDefault="00372CA7" w:rsidP="00B10A4D">
            <w:pPr>
              <w:jc w:val="center"/>
              <w:rPr>
                <w:rFonts w:hAnsi="標楷體"/>
                <w:sz w:val="24"/>
                <w:szCs w:val="24"/>
              </w:rPr>
            </w:pPr>
          </w:p>
        </w:tc>
        <w:tc>
          <w:tcPr>
            <w:tcW w:w="1275" w:type="dxa"/>
            <w:shd w:val="clear" w:color="auto" w:fill="auto"/>
            <w:noWrap/>
            <w:vAlign w:val="center"/>
          </w:tcPr>
          <w:p w:rsidR="00372CA7" w:rsidRPr="00713D42" w:rsidRDefault="00372CA7" w:rsidP="00B10A4D">
            <w:pPr>
              <w:jc w:val="center"/>
              <w:rPr>
                <w:rFonts w:hAnsi="標楷體" w:cs="新細明體"/>
                <w:b/>
                <w:kern w:val="0"/>
                <w:sz w:val="24"/>
                <w:szCs w:val="24"/>
              </w:rPr>
            </w:pPr>
            <w:r w:rsidRPr="00713D42">
              <w:rPr>
                <w:rFonts w:hAnsi="標楷體" w:cs="新細明體" w:hint="eastAsia"/>
                <w:b/>
                <w:kern w:val="0"/>
                <w:sz w:val="24"/>
                <w:szCs w:val="24"/>
              </w:rPr>
              <w:t>件數</w:t>
            </w:r>
          </w:p>
        </w:tc>
        <w:tc>
          <w:tcPr>
            <w:tcW w:w="1985" w:type="dxa"/>
            <w:shd w:val="clear" w:color="auto" w:fill="auto"/>
            <w:noWrap/>
            <w:vAlign w:val="center"/>
          </w:tcPr>
          <w:p w:rsidR="00372CA7" w:rsidRPr="00713D42" w:rsidRDefault="00372CA7" w:rsidP="00B10A4D">
            <w:pPr>
              <w:widowControl/>
              <w:jc w:val="center"/>
              <w:rPr>
                <w:rFonts w:hAnsi="標楷體" w:cs="新細明體"/>
                <w:b/>
                <w:kern w:val="0"/>
                <w:sz w:val="24"/>
                <w:szCs w:val="24"/>
              </w:rPr>
            </w:pPr>
            <w:r w:rsidRPr="00713D42">
              <w:rPr>
                <w:rFonts w:hAnsi="標楷體" w:cs="新細明體" w:hint="eastAsia"/>
                <w:b/>
                <w:kern w:val="0"/>
                <w:sz w:val="24"/>
                <w:szCs w:val="24"/>
              </w:rPr>
              <w:t>較前一年增減數</w:t>
            </w:r>
          </w:p>
        </w:tc>
        <w:tc>
          <w:tcPr>
            <w:tcW w:w="2126" w:type="dxa"/>
            <w:shd w:val="clear" w:color="auto" w:fill="auto"/>
            <w:vAlign w:val="center"/>
          </w:tcPr>
          <w:p w:rsidR="00372CA7" w:rsidRPr="00713D42" w:rsidRDefault="00372CA7" w:rsidP="00B10A4D">
            <w:pPr>
              <w:widowControl/>
              <w:jc w:val="center"/>
              <w:rPr>
                <w:rFonts w:hAnsi="標楷體" w:cs="新細明體"/>
                <w:b/>
                <w:kern w:val="0"/>
                <w:sz w:val="24"/>
                <w:szCs w:val="24"/>
              </w:rPr>
            </w:pPr>
            <w:r w:rsidRPr="00713D42">
              <w:rPr>
                <w:rFonts w:hAnsi="標楷體" w:cs="新細明體" w:hint="eastAsia"/>
                <w:b/>
                <w:kern w:val="0"/>
                <w:sz w:val="24"/>
                <w:szCs w:val="24"/>
              </w:rPr>
              <w:t>較前一年增減數</w:t>
            </w:r>
          </w:p>
        </w:tc>
        <w:tc>
          <w:tcPr>
            <w:tcW w:w="1985" w:type="dxa"/>
            <w:vMerge/>
            <w:shd w:val="clear" w:color="auto" w:fill="auto"/>
            <w:vAlign w:val="center"/>
          </w:tcPr>
          <w:p w:rsidR="00372CA7" w:rsidRPr="00713D42" w:rsidRDefault="00372CA7" w:rsidP="00B10A4D">
            <w:pPr>
              <w:widowControl/>
              <w:jc w:val="center"/>
              <w:rPr>
                <w:rFonts w:hAnsi="標楷體" w:cs="新細明體"/>
                <w:kern w:val="0"/>
                <w:sz w:val="24"/>
                <w:szCs w:val="24"/>
              </w:rPr>
            </w:pP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89</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1,410</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321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29.48</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162</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90</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1,178</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-232</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-16.45</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261</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91</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1,142</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-36</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-3.06</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375</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92</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1,078</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-64</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-5.6</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344</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93</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1,149</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71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6.59</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378</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94</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1,131</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-18</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-1.57</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521</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95</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1,846</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715</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63.22</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510</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96</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2,267</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421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22.81</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591</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97</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1,845</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-422</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-18.61</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392</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98</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1,711</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-134</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-7.26</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309</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99</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2,042</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331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19.35</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312</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100</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2,283</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241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11.8</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363</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101</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2,738</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455</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19.93</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348</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102</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3,206</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468</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17.09</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267</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103</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3,577</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371</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11.57</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302</w:t>
            </w:r>
          </w:p>
        </w:tc>
      </w:tr>
      <w:tr w:rsidR="00372CA7" w:rsidRPr="00713D42" w:rsidTr="00B10A4D">
        <w:trPr>
          <w:trHeight w:val="91"/>
        </w:trPr>
        <w:tc>
          <w:tcPr>
            <w:tcW w:w="993" w:type="dxa"/>
            <w:shd w:val="clear" w:color="auto" w:fill="auto"/>
            <w:noWrap/>
            <w:vAlign w:val="center"/>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104</w:t>
            </w:r>
          </w:p>
        </w:tc>
        <w:tc>
          <w:tcPr>
            <w:tcW w:w="1275" w:type="dxa"/>
            <w:shd w:val="clear" w:color="auto" w:fill="auto"/>
            <w:noWrap/>
            <w:vAlign w:val="center"/>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3,789</w:t>
            </w:r>
          </w:p>
        </w:tc>
        <w:tc>
          <w:tcPr>
            <w:tcW w:w="1985" w:type="dxa"/>
            <w:shd w:val="clear" w:color="auto" w:fill="auto"/>
            <w:noWrap/>
            <w:vAlign w:val="center"/>
            <w:hideMark/>
          </w:tcPr>
          <w:p w:rsidR="00372CA7" w:rsidRPr="00713D42" w:rsidRDefault="00372CA7" w:rsidP="00B10A4D">
            <w:pPr>
              <w:jc w:val="right"/>
              <w:rPr>
                <w:rFonts w:hAnsi="標楷體" w:cs="新細明體"/>
                <w:sz w:val="24"/>
                <w:szCs w:val="24"/>
              </w:rPr>
            </w:pPr>
            <w:r w:rsidRPr="00713D42">
              <w:rPr>
                <w:rFonts w:hAnsi="標楷體" w:hint="eastAsia"/>
                <w:sz w:val="24"/>
                <w:szCs w:val="24"/>
              </w:rPr>
              <w:t>212</w:t>
            </w:r>
          </w:p>
        </w:tc>
        <w:tc>
          <w:tcPr>
            <w:tcW w:w="2126" w:type="dxa"/>
            <w:shd w:val="clear" w:color="auto" w:fill="auto"/>
            <w:vAlign w:val="center"/>
          </w:tcPr>
          <w:p w:rsidR="00372CA7" w:rsidRPr="00713D42" w:rsidRDefault="00372CA7" w:rsidP="00B10A4D">
            <w:pPr>
              <w:jc w:val="right"/>
              <w:rPr>
                <w:rFonts w:hAnsi="標楷體" w:cs="新細明體"/>
                <w:sz w:val="24"/>
                <w:szCs w:val="24"/>
              </w:rPr>
            </w:pPr>
            <w:r w:rsidRPr="00713D42">
              <w:rPr>
                <w:rFonts w:hAnsi="標楷體" w:hint="eastAsia"/>
                <w:sz w:val="24"/>
                <w:szCs w:val="24"/>
              </w:rPr>
              <w:t>5.93</w:t>
            </w:r>
          </w:p>
        </w:tc>
        <w:tc>
          <w:tcPr>
            <w:tcW w:w="1985" w:type="dxa"/>
            <w:shd w:val="clear" w:color="auto" w:fill="auto"/>
            <w:vAlign w:val="center"/>
          </w:tcPr>
          <w:p w:rsidR="00372CA7" w:rsidRPr="00713D42" w:rsidRDefault="00372CA7" w:rsidP="00B10A4D">
            <w:pPr>
              <w:jc w:val="right"/>
              <w:rPr>
                <w:rFonts w:hAnsi="標楷體" w:cs="新細明體"/>
                <w:kern w:val="0"/>
                <w:sz w:val="24"/>
                <w:szCs w:val="24"/>
              </w:rPr>
            </w:pPr>
            <w:r w:rsidRPr="00713D42">
              <w:rPr>
                <w:rFonts w:hAnsi="標楷體" w:cs="新細明體" w:hint="eastAsia"/>
                <w:kern w:val="0"/>
                <w:sz w:val="24"/>
                <w:szCs w:val="24"/>
              </w:rPr>
              <w:t>312</w:t>
            </w:r>
          </w:p>
        </w:tc>
      </w:tr>
    </w:tbl>
    <w:p w:rsidR="00372CA7" w:rsidRPr="00713D42" w:rsidRDefault="00372CA7" w:rsidP="00372CA7">
      <w:pPr>
        <w:pStyle w:val="5"/>
        <w:numPr>
          <w:ilvl w:val="0"/>
          <w:numId w:val="0"/>
        </w:numPr>
        <w:spacing w:afterLines="50" w:after="220" w:line="240" w:lineRule="exact"/>
        <w:ind w:leftChars="-1" w:left="-3" w:firstLineChars="248" w:firstLine="568"/>
        <w:jc w:val="left"/>
      </w:pPr>
      <w:r w:rsidRPr="00713D42">
        <w:rPr>
          <w:rFonts w:hint="eastAsia"/>
          <w:sz w:val="20"/>
          <w:szCs w:val="20"/>
        </w:rPr>
        <w:t>資料來源:經濟部提供，並經本院整理。</w:t>
      </w:r>
    </w:p>
    <w:p w:rsidR="00372CA7" w:rsidRPr="00713D42" w:rsidRDefault="00372CA7" w:rsidP="00F6299D">
      <w:pPr>
        <w:pStyle w:val="5"/>
        <w:numPr>
          <w:ilvl w:val="4"/>
          <w:numId w:val="20"/>
        </w:numPr>
        <w:overflowPunct/>
        <w:autoSpaceDE/>
        <w:autoSpaceDN/>
        <w:ind w:left="2042" w:hanging="851"/>
      </w:pPr>
      <w:r w:rsidRPr="00713D42">
        <w:rPr>
          <w:rFonts w:hint="eastAsia"/>
        </w:rPr>
        <w:t>雖依經濟部分析未獲核准之理由為:</w:t>
      </w:r>
    </w:p>
    <w:p w:rsidR="00372CA7" w:rsidRPr="00713D42" w:rsidRDefault="00372CA7" w:rsidP="00F6299D">
      <w:pPr>
        <w:pStyle w:val="6"/>
        <w:numPr>
          <w:ilvl w:val="5"/>
          <w:numId w:val="20"/>
        </w:numPr>
        <w:overflowPunct/>
        <w:autoSpaceDE/>
        <w:autoSpaceDN/>
      </w:pPr>
      <w:r w:rsidRPr="00713D42">
        <w:rPr>
          <w:rFonts w:hint="eastAsia"/>
        </w:rPr>
        <w:t>主要係因案件資料不齊備，且未能於指定期限內補正資料而遭駁回或自行撤件，且該部函復本院時亦稱:「大部分為個人投資或投資金額較小的案件，並未委託專業的會計師或律師為其辦理相關申請業務，由於對相關法令不了解，以及未能完整檢附應備文件，致遭駁回。為改善前項情形，本部投審會除提供英文版本的法規、申請文件、範例及說明外，並有專人協助填寫相關申請文件」。</w:t>
      </w:r>
    </w:p>
    <w:p w:rsidR="00372CA7" w:rsidRPr="00713D42" w:rsidRDefault="00372CA7" w:rsidP="00F6299D">
      <w:pPr>
        <w:pStyle w:val="6"/>
        <w:numPr>
          <w:ilvl w:val="5"/>
          <w:numId w:val="20"/>
        </w:numPr>
        <w:overflowPunct/>
        <w:autoSpaceDE/>
        <w:autoSpaceDN/>
        <w:rPr>
          <w:sz w:val="20"/>
          <w:szCs w:val="20"/>
        </w:rPr>
      </w:pPr>
      <w:r w:rsidRPr="00713D42">
        <w:rPr>
          <w:rFonts w:hint="eastAsia"/>
        </w:rPr>
        <w:t>少部分因投資項目尚未開放或訂有限制條件遭駁回者。</w:t>
      </w:r>
    </w:p>
    <w:p w:rsidR="00372CA7" w:rsidRPr="00713D42" w:rsidRDefault="00372CA7" w:rsidP="00F6299D">
      <w:pPr>
        <w:pStyle w:val="4"/>
        <w:numPr>
          <w:ilvl w:val="3"/>
          <w:numId w:val="20"/>
        </w:numPr>
        <w:overflowPunct/>
        <w:autoSpaceDE/>
        <w:autoSpaceDN/>
      </w:pPr>
      <w:r w:rsidRPr="00713D42">
        <w:rPr>
          <w:rFonts w:hint="eastAsia"/>
        </w:rPr>
        <w:t>然經濟部自89年起每年未同意FDI投資件數約</w:t>
      </w:r>
      <w:r w:rsidRPr="00713D42">
        <w:rPr>
          <w:rFonts w:hint="eastAsia"/>
        </w:rPr>
        <w:lastRenderedPageBreak/>
        <w:t>介於300件，平均未核可比率超過1成，經濟部分析未同意之理由多係案件資料不齊備且未於期限內補正及自行撤件等屬投資人因素，惟外國投資者進行跨國性投資，多需作較完備且審慎之投資評估，該等投資者因資料不齊備或自行撤件等因素，未獲經濟部同意投資，顯係投資者未能掌握申請投資所需資料、程序等因素，致未獲同意，雖該部稱已於投審會網站建置「華僑、外國人及陸資投資專區」集中相關資料，包含外國人投資相關法規、新設公司流程圖、初次投資國內公司申請說明等資料，惟FDI申請每年未同意比例均高於1成，經濟部允應探究係FDI申請投資程序不便民、規範不清，亦或投資人利用投資之名義而為其他目的之行為等，致該部未能同意案件數高於1成，並就其原因修正或訂定相關規範，以改善外人投資未獲同意比率過高之情形。</w:t>
      </w:r>
    </w:p>
    <w:p w:rsidR="00372CA7" w:rsidRPr="00713D42" w:rsidRDefault="00372CA7" w:rsidP="00F6299D">
      <w:pPr>
        <w:pStyle w:val="3"/>
        <w:numPr>
          <w:ilvl w:val="2"/>
          <w:numId w:val="20"/>
        </w:numPr>
        <w:overflowPunct/>
        <w:autoSpaceDE/>
        <w:autoSpaceDN/>
      </w:pPr>
      <w:bookmarkStart w:id="48" w:name="_Toc469271760"/>
      <w:bookmarkStart w:id="49" w:name="_Toc470099652"/>
      <w:r w:rsidRPr="00713D42">
        <w:rPr>
          <w:rFonts w:hint="eastAsia"/>
        </w:rPr>
        <w:t>依「外國人投資條例」、「華僑回國投資條例」之規定，FDI可投資之行業，係採負面表列方式列舉禁止及限制投資之行業</w:t>
      </w:r>
      <w:r w:rsidRPr="00713D42">
        <w:rPr>
          <w:rStyle w:val="aff8"/>
        </w:rPr>
        <w:footnoteReference w:id="8"/>
      </w:r>
      <w:r w:rsidRPr="00713D42">
        <w:rPr>
          <w:rFonts w:hint="eastAsia"/>
        </w:rPr>
        <w:t>，是以，我國對FDI雖採取事先核准機制，除負面表列之禁止及限制投資行業及相關法律有明確規定事項外，非屬該等行業，本應使投資人於申請時具可預期性，然該等案件中，除少部分係屬負面表列行業未獲同意外，屬可投資範圍內之案件，仍有高達1成之比率未獲同意，顯見，投資人對申請案件無可預期性；另審查機制未明確規範應送目的事業主管機關審查案件性質，致部分非屬送審之投資個案，經濟部以其投資案件及產業差異等因素，送請各目的事業主管</w:t>
      </w:r>
      <w:r w:rsidRPr="00713D42">
        <w:rPr>
          <w:rFonts w:hint="eastAsia"/>
        </w:rPr>
        <w:lastRenderedPageBreak/>
        <w:t>機關依其法規審議，由此可知，我國僑外投資審查規範，透明度明顯不足。該部雖以個案及產業差異，尚難訂定准駁之量化標準，然該部既定有負面表列之行業，即依據應相關規範審議，非屬負面表列之案件，即應有明確規範，以使投資者有所遵循。本院諮詢學者專家時，即表示:</w:t>
      </w:r>
      <w:r w:rsidRPr="00713D42">
        <w:rPr>
          <w:rFonts w:hAnsi="標楷體" w:hint="eastAsia"/>
        </w:rPr>
        <w:t>「</w:t>
      </w:r>
      <w:r w:rsidRPr="00713D42">
        <w:t>103</w:t>
      </w:r>
      <w:r w:rsidRPr="00713D42">
        <w:rPr>
          <w:rFonts w:hint="eastAsia"/>
        </w:rPr>
        <w:t>年間馬來西亞</w:t>
      </w:r>
      <w:r w:rsidRPr="00713D42">
        <w:t>IOI</w:t>
      </w:r>
      <w:r w:rsidRPr="00713D42">
        <w:rPr>
          <w:rFonts w:hint="eastAsia"/>
        </w:rPr>
        <w:t>集團參與臺北金融大樓股份有限公司（即臺北</w:t>
      </w:r>
      <w:r w:rsidRPr="00713D42">
        <w:t>101</w:t>
      </w:r>
      <w:r w:rsidRPr="00713D42">
        <w:rPr>
          <w:rFonts w:hint="eastAsia"/>
        </w:rPr>
        <w:t>）之投資，是完全合法。</w:t>
      </w:r>
      <w:r w:rsidRPr="00713D42">
        <w:rPr>
          <w:rFonts w:hAnsi="標楷體" w:hint="eastAsia"/>
        </w:rPr>
        <w:t>」</w:t>
      </w:r>
      <w:r w:rsidRPr="00713D42">
        <w:rPr>
          <w:rFonts w:hint="eastAsia"/>
        </w:rPr>
        <w:t>投資人於</w:t>
      </w:r>
      <w:r w:rsidRPr="00713D42">
        <w:t>103</w:t>
      </w:r>
      <w:r w:rsidRPr="00713D42">
        <w:rPr>
          <w:rFonts w:hint="eastAsia"/>
        </w:rPr>
        <w:t>年底向投審會提出申請，於申請期間亦修正投資計畫，由原來申請滙入</w:t>
      </w:r>
      <w:r w:rsidRPr="00713D42">
        <w:t>7</w:t>
      </w:r>
      <w:r w:rsidRPr="00713D42">
        <w:rPr>
          <w:rFonts w:hint="eastAsia"/>
        </w:rPr>
        <w:t>億餘元修正為申請滙入</w:t>
      </w:r>
      <w:r w:rsidRPr="00713D42">
        <w:t>251</w:t>
      </w:r>
      <w:r w:rsidRPr="00713D42">
        <w:rPr>
          <w:rFonts w:hint="eastAsia"/>
        </w:rPr>
        <w:t>億餘元，然部分部會首長直接表示反對，經濟部亦稱「將依據外國人投資條例及僑外投資負面表列等相關規定，並以公共利益、社會觀感及民眾期待等因素為依歸，會同財政部、金管會及央行等相關單位依法審議、嚴格把關。」後本案投資人因股權買賣契約終止，撤回申請之投資，本案該部以公共利益、社會觀感及民眾期待等依歸審查外人來臺投資案，且事前相關部會首長直接表示反對，造成審查之不透明。產生如本院諮詢專家黃齊元總裁所稱:「『臺灣法規不明，經常改變』</w:t>
      </w:r>
      <w:r w:rsidRPr="00713D42">
        <w:rPr>
          <w:rFonts w:hAnsi="標楷體" w:hint="eastAsia"/>
        </w:rPr>
        <w:t>，除了法規之外，還有很多『行政裁量權』</w:t>
      </w:r>
      <w:r w:rsidRPr="00713D42">
        <w:rPr>
          <w:rFonts w:hint="eastAsia"/>
        </w:rPr>
        <w:t>，舉例來說，紫光投資矽品，封裝測試這個行業理論上是允許投資，但主管機關保留有『最終裁量權』，令很多外資不知道臺灣的法令規定到底是什麼，因為外資是rule-based，法令訂得鬆或嚴都沒問題，但不要表面上看起來鬆，實際上嚴格；不要表面上看起來已經守法符合規定，但實際上又被行政裁量以法令規定外因素不允許」、及美國商會所稱「投資審查程序冗長,且無明確或標準化的審查程序」之情事，經濟部允應會同相關部會參考上開及其類似未經核准之重大投資案件，研議明訂外資審查</w:t>
      </w:r>
      <w:r w:rsidRPr="00713D42">
        <w:rPr>
          <w:rFonts w:hint="eastAsia"/>
        </w:rPr>
        <w:lastRenderedPageBreak/>
        <w:t>之標準，並予以透明化，避免造成個別案件因外界觀感，影響投資之准駁，造成外國投資人之疑慮，降低投資我國之意願。</w:t>
      </w:r>
      <w:bookmarkEnd w:id="48"/>
      <w:bookmarkEnd w:id="49"/>
    </w:p>
    <w:p w:rsidR="00372CA7" w:rsidRPr="00713D42" w:rsidRDefault="007E0274" w:rsidP="007E0274">
      <w:pPr>
        <w:pStyle w:val="3"/>
        <w:numPr>
          <w:ilvl w:val="2"/>
          <w:numId w:val="20"/>
        </w:numPr>
        <w:overflowPunct/>
        <w:autoSpaceDE/>
        <w:autoSpaceDN/>
      </w:pPr>
      <w:r w:rsidRPr="007E0274">
        <w:rPr>
          <w:rFonts w:hint="eastAsia"/>
        </w:rPr>
        <w:t>另，在科技的不斷發展下，企業已利用數位之發展，產生新的經營模式，以OTT （over-the-top）服務為例，該等企業之營運方式，係透過網際網路以不落地或雲端方式，無國境地與消費者接觸，如:台灣網飛服務有限公司(Netflix)、大陸商北京愛奇藝科技有限公司等，該等企業若於我國經營事業，是否須向我國提出申請?如未申請投資是否造成該公司未能於我國經營?如我國政府未核准該等企業投資，對該等企業於我國營運影響等等，因新型態經營模式所產生之審查機制問題，實需相關主管機關確實審酌處理方式。</w:t>
      </w:r>
    </w:p>
    <w:p w:rsidR="00372CA7" w:rsidRPr="00713D42" w:rsidRDefault="00372CA7" w:rsidP="007E0274">
      <w:pPr>
        <w:pStyle w:val="3"/>
        <w:numPr>
          <w:ilvl w:val="2"/>
          <w:numId w:val="20"/>
        </w:numPr>
        <w:overflowPunct/>
        <w:autoSpaceDE/>
        <w:autoSpaceDN/>
      </w:pPr>
      <w:bookmarkStart w:id="50" w:name="_Toc469271762"/>
      <w:bookmarkStart w:id="51" w:name="_Toc470099654"/>
      <w:r w:rsidRPr="00713D42">
        <w:rPr>
          <w:rFonts w:hint="eastAsia"/>
        </w:rPr>
        <w:t>綜上，</w:t>
      </w:r>
      <w:bookmarkEnd w:id="50"/>
      <w:bookmarkEnd w:id="51"/>
      <w:r w:rsidR="007E0274" w:rsidRPr="007E0274">
        <w:rPr>
          <w:rFonts w:hint="eastAsia"/>
        </w:rPr>
        <w:t>我國對外人來臺投資行業採負面表列方式列舉禁止及限制投資之行業，並採逐案審查之事前許可制，然FDI申請案件中，未核可之平均比率超過1成，且多數均非負面表列行業，致國外投資者對申請案件未具可預期性，且投資審查透明度不足，致投資者潛藏投資風險，因此行政院除應督促相關部會檢討現行投資審查機制外，並應就產業數位發展及企業雲端無國境之營運，其應有之審查機制問題，亦應督促相關主管機關審慎研議處理方式。</w:t>
      </w:r>
    </w:p>
    <w:p w:rsidR="00372CA7" w:rsidRPr="00713D42" w:rsidRDefault="00372CA7" w:rsidP="00F6299D">
      <w:pPr>
        <w:pStyle w:val="2"/>
        <w:numPr>
          <w:ilvl w:val="1"/>
          <w:numId w:val="20"/>
        </w:numPr>
        <w:overflowPunct/>
        <w:autoSpaceDE/>
        <w:autoSpaceDN/>
        <w:rPr>
          <w:b/>
        </w:rPr>
      </w:pPr>
      <w:bookmarkStart w:id="52" w:name="_Toc469271763"/>
      <w:bookmarkStart w:id="53" w:name="_Toc470099655"/>
      <w:r w:rsidRPr="00713D42">
        <w:rPr>
          <w:rFonts w:hint="eastAsia"/>
          <w:b/>
        </w:rPr>
        <w:t>法令規章係企業經營</w:t>
      </w:r>
      <w:r w:rsidRPr="00713D42">
        <w:rPr>
          <w:rFonts w:hint="eastAsia"/>
          <w:b/>
          <w:szCs w:val="32"/>
        </w:rPr>
        <w:t>之規範，行政院於</w:t>
      </w:r>
      <w:r w:rsidRPr="00713D42">
        <w:rPr>
          <w:rFonts w:hAnsi="標楷體" w:hint="eastAsia"/>
          <w:b/>
          <w:szCs w:val="32"/>
          <w:shd w:val="clear" w:color="auto" w:fill="FFFFFF"/>
        </w:rPr>
        <w:t>97年起即全面推動法規鬆綁與調適工作，</w:t>
      </w:r>
      <w:r w:rsidRPr="00713D42">
        <w:rPr>
          <w:rFonts w:hAnsi="標楷體" w:cs="Arial" w:hint="eastAsia"/>
          <w:b/>
          <w:szCs w:val="32"/>
        </w:rPr>
        <w:t>檢視現行法規是否有不合時宜及窒礙難行之處，然</w:t>
      </w:r>
      <w:r w:rsidRPr="00713D42">
        <w:rPr>
          <w:rFonts w:hint="eastAsia"/>
          <w:b/>
        </w:rPr>
        <w:t>本院調查</w:t>
      </w:r>
      <w:r w:rsidR="00C91839">
        <w:rPr>
          <w:rFonts w:hint="eastAsia"/>
          <w:b/>
        </w:rPr>
        <w:t>研究</w:t>
      </w:r>
      <w:r w:rsidRPr="00713D42">
        <w:rPr>
          <w:rFonts w:hint="eastAsia"/>
          <w:b/>
        </w:rPr>
        <w:t>發現我國產業及招商等相關法規，仍有未能與國際接軌、未明確訂定標準、招商誘因不足等情事，部分事項甚至造成投資障礙，行政院允應持續參考國際法規標準及各界之建議，進行法規調適，以使企業經營時，有</w:t>
      </w:r>
      <w:r w:rsidRPr="00713D42">
        <w:rPr>
          <w:rFonts w:hint="eastAsia"/>
          <w:b/>
        </w:rPr>
        <w:lastRenderedPageBreak/>
        <w:t>所依循。</w:t>
      </w:r>
      <w:bookmarkEnd w:id="52"/>
      <w:bookmarkEnd w:id="53"/>
    </w:p>
    <w:p w:rsidR="00372CA7" w:rsidRPr="00713D42" w:rsidRDefault="00372CA7" w:rsidP="00F6299D">
      <w:pPr>
        <w:pStyle w:val="3"/>
        <w:numPr>
          <w:ilvl w:val="2"/>
          <w:numId w:val="20"/>
        </w:numPr>
        <w:overflowPunct/>
        <w:autoSpaceDE/>
        <w:autoSpaceDN/>
        <w:rPr>
          <w:szCs w:val="32"/>
        </w:rPr>
      </w:pPr>
      <w:bookmarkStart w:id="54" w:name="_Toc469271764"/>
      <w:bookmarkStart w:id="55" w:name="_Toc470099656"/>
      <w:r w:rsidRPr="00713D42">
        <w:rPr>
          <w:rFonts w:hint="eastAsia"/>
        </w:rPr>
        <w:t>法令係企業經營</w:t>
      </w:r>
      <w:r w:rsidRPr="00713D42">
        <w:rPr>
          <w:rFonts w:hint="eastAsia"/>
          <w:szCs w:val="32"/>
        </w:rPr>
        <w:t>之規範，不合時宜的法令規章，將阻礙外資來臺投資的意願，</w:t>
      </w:r>
      <w:r w:rsidRPr="00713D42">
        <w:rPr>
          <w:rFonts w:ascii="新細明體" w:hAnsi="新細明體" w:cs="Arial" w:hint="eastAsia"/>
          <w:szCs w:val="32"/>
        </w:rPr>
        <w:t>本院調查發現，部分法規未能與時俱進，及時修正，以使外商在臺經營事業有明確且妥適之依循，如</w:t>
      </w:r>
      <w:r w:rsidRPr="00713D42">
        <w:rPr>
          <w:rFonts w:ascii="新細明體" w:hAnsi="新細明體" w:cs="Arial" w:hint="eastAsia"/>
          <w:szCs w:val="32"/>
        </w:rPr>
        <w:t>:</w:t>
      </w:r>
      <w:bookmarkEnd w:id="54"/>
      <w:bookmarkEnd w:id="55"/>
    </w:p>
    <w:p w:rsidR="00372CA7" w:rsidRPr="00713D42" w:rsidRDefault="00372CA7" w:rsidP="00F6299D">
      <w:pPr>
        <w:pStyle w:val="4"/>
        <w:numPr>
          <w:ilvl w:val="3"/>
          <w:numId w:val="20"/>
        </w:numPr>
        <w:overflowPunct/>
        <w:autoSpaceDE/>
        <w:autoSpaceDN/>
      </w:pPr>
      <w:r w:rsidRPr="00713D42">
        <w:rPr>
          <w:rFonts w:hint="eastAsia"/>
        </w:rPr>
        <w:t>未能與國際接軌部分:</w:t>
      </w:r>
    </w:p>
    <w:p w:rsidR="00372CA7" w:rsidRPr="00713D42" w:rsidRDefault="00372CA7" w:rsidP="00F6299D">
      <w:pPr>
        <w:pStyle w:val="5"/>
        <w:numPr>
          <w:ilvl w:val="4"/>
          <w:numId w:val="20"/>
        </w:numPr>
        <w:overflowPunct/>
        <w:autoSpaceDE/>
        <w:autoSpaceDN/>
      </w:pPr>
      <w:r w:rsidRPr="00713D42">
        <w:t>能源局和環保署尚未共同整合提出一套車輛管理機制與法規，因而尚未能與歐盟規範同步</w:t>
      </w:r>
      <w:r w:rsidRPr="00713D42">
        <w:rPr>
          <w:rStyle w:val="aff8"/>
        </w:rPr>
        <w:footnoteReference w:id="9"/>
      </w:r>
      <w:r w:rsidRPr="00713D42">
        <w:t>。</w:t>
      </w:r>
    </w:p>
    <w:p w:rsidR="00372CA7" w:rsidRPr="00713D42" w:rsidRDefault="00372CA7" w:rsidP="00F6299D">
      <w:pPr>
        <w:pStyle w:val="5"/>
        <w:numPr>
          <w:ilvl w:val="4"/>
          <w:numId w:val="20"/>
        </w:numPr>
        <w:overflowPunct/>
        <w:autoSpaceDE/>
        <w:autoSpaceDN/>
      </w:pPr>
      <w:r w:rsidRPr="00713D42">
        <w:t>環保署應在目前環保標章政策上加速推動永續森林產品雙軌制，同時認可經國際森林管理委員會等國際負責任永續林木管理機制驗證的原生紙漿與再生紙漿製品</w:t>
      </w:r>
      <w:r w:rsidRPr="00713D42">
        <w:rPr>
          <w:rStyle w:val="aff8"/>
        </w:rPr>
        <w:footnoteReference w:id="10"/>
      </w:r>
      <w:r w:rsidRPr="00713D42">
        <w:rPr>
          <w:rFonts w:hint="eastAsia"/>
        </w:rPr>
        <w:t>。</w:t>
      </w:r>
    </w:p>
    <w:p w:rsidR="00372CA7" w:rsidRPr="00713D42" w:rsidRDefault="00372CA7" w:rsidP="00F6299D">
      <w:pPr>
        <w:pStyle w:val="4"/>
        <w:numPr>
          <w:ilvl w:val="3"/>
          <w:numId w:val="20"/>
        </w:numPr>
        <w:overflowPunct/>
        <w:autoSpaceDE/>
        <w:autoSpaceDN/>
      </w:pPr>
      <w:r w:rsidRPr="00713D42">
        <w:rPr>
          <w:rFonts w:hint="eastAsia"/>
        </w:rPr>
        <w:t>未訂定標準部分:</w:t>
      </w:r>
    </w:p>
    <w:p w:rsidR="00372CA7" w:rsidRPr="00713D42" w:rsidRDefault="00372CA7" w:rsidP="00F6299D">
      <w:pPr>
        <w:pStyle w:val="5"/>
        <w:numPr>
          <w:ilvl w:val="4"/>
          <w:numId w:val="20"/>
        </w:numPr>
        <w:overflowPunct/>
        <w:autoSpaceDE/>
        <w:autoSpaceDN/>
      </w:pPr>
      <w:r w:rsidRPr="00713D42">
        <w:t>臺灣沒有針對輪胎噪音、濕地抓地力，燃油效率和標籤給予適當的標準</w:t>
      </w:r>
      <w:r w:rsidRPr="00713D42">
        <w:rPr>
          <w:rStyle w:val="aff8"/>
        </w:rPr>
        <w:footnoteReference w:id="11"/>
      </w:r>
      <w:r w:rsidRPr="00713D42">
        <w:t>。</w:t>
      </w:r>
    </w:p>
    <w:p w:rsidR="00372CA7" w:rsidRPr="00713D42" w:rsidRDefault="00372CA7" w:rsidP="00F6299D">
      <w:pPr>
        <w:pStyle w:val="5"/>
        <w:numPr>
          <w:ilvl w:val="4"/>
          <w:numId w:val="20"/>
        </w:numPr>
        <w:overflowPunct/>
        <w:autoSpaceDE/>
        <w:autoSpaceDN/>
      </w:pPr>
      <w:r w:rsidRPr="00713D42">
        <w:t>建立簡易、明確、永續的專利連結施行細則，以避免食藥署面臨認定與審核之紛爭。並落實專利保護</w:t>
      </w:r>
      <w:r w:rsidRPr="00713D42">
        <w:rPr>
          <w:rStyle w:val="aff8"/>
        </w:rPr>
        <w:footnoteReference w:id="12"/>
      </w:r>
      <w:r w:rsidRPr="00713D42">
        <w:t>。</w:t>
      </w:r>
    </w:p>
    <w:p w:rsidR="00372CA7" w:rsidRPr="00713D42" w:rsidRDefault="00372CA7" w:rsidP="00F6299D">
      <w:pPr>
        <w:pStyle w:val="5"/>
        <w:numPr>
          <w:ilvl w:val="4"/>
          <w:numId w:val="20"/>
        </w:numPr>
        <w:overflowPunct/>
        <w:autoSpaceDE/>
        <w:autoSpaceDN/>
      </w:pPr>
      <w:r w:rsidRPr="00713D42">
        <w:rPr>
          <w:rFonts w:ascii="Times New Roman" w:hAnsi="Times New Roman"/>
        </w:rPr>
        <w:t>建議再次評估導入汽車促進換購補助金制度，針對汰舊（高齡車，</w:t>
      </w:r>
      <w:r w:rsidRPr="00713D42">
        <w:rPr>
          <w:rFonts w:ascii="Times New Roman" w:hAnsi="Times New Roman"/>
        </w:rPr>
        <w:t>2</w:t>
      </w:r>
      <w:r w:rsidRPr="00713D42">
        <w:rPr>
          <w:rFonts w:ascii="Times New Roman" w:hAnsi="Times New Roman"/>
        </w:rPr>
        <w:t>期排放標準以前的車輛）換新之車主，發放購車補助金。</w:t>
      </w:r>
    </w:p>
    <w:p w:rsidR="00372CA7" w:rsidRPr="00713D42" w:rsidRDefault="00372CA7" w:rsidP="00F6299D">
      <w:pPr>
        <w:pStyle w:val="5"/>
        <w:numPr>
          <w:ilvl w:val="4"/>
          <w:numId w:val="20"/>
        </w:numPr>
        <w:overflowPunct/>
        <w:autoSpaceDE/>
        <w:autoSpaceDN/>
      </w:pPr>
      <w:r w:rsidRPr="00713D42">
        <w:rPr>
          <w:rFonts w:ascii="Times New Roman" w:hAnsi="Times New Roman"/>
        </w:rPr>
        <w:t>關於在臺灣專利法中導入間接侵權制度</w:t>
      </w:r>
      <w:r w:rsidRPr="00713D42">
        <w:rPr>
          <w:rFonts w:ascii="Times New Roman" w:hAnsi="Times New Roman" w:hint="eastAsia"/>
        </w:rPr>
        <w:t>。</w:t>
      </w:r>
    </w:p>
    <w:p w:rsidR="00372CA7" w:rsidRPr="00713D42" w:rsidRDefault="00372CA7" w:rsidP="00F6299D">
      <w:pPr>
        <w:pStyle w:val="4"/>
        <w:numPr>
          <w:ilvl w:val="3"/>
          <w:numId w:val="20"/>
        </w:numPr>
        <w:overflowPunct/>
        <w:autoSpaceDE/>
        <w:autoSpaceDN/>
      </w:pPr>
      <w:r w:rsidRPr="00713D42">
        <w:rPr>
          <w:rFonts w:hint="eastAsia"/>
        </w:rPr>
        <w:t>投資誘因部分:</w:t>
      </w:r>
    </w:p>
    <w:p w:rsidR="00372CA7" w:rsidRPr="00713D42" w:rsidRDefault="00372CA7" w:rsidP="00F6299D">
      <w:pPr>
        <w:pStyle w:val="5"/>
        <w:numPr>
          <w:ilvl w:val="4"/>
          <w:numId w:val="20"/>
        </w:numPr>
        <w:overflowPunct/>
        <w:autoSpaceDE/>
        <w:autoSpaceDN/>
      </w:pPr>
      <w:r w:rsidRPr="00713D42">
        <w:t>在臺灣實施的綠色電價不夠透明，沒有提供足夠的激勵機制鼓勵使用綠色電力</w:t>
      </w:r>
      <w:r w:rsidRPr="00713D42">
        <w:rPr>
          <w:rStyle w:val="aff8"/>
        </w:rPr>
        <w:footnoteReference w:id="13"/>
      </w:r>
      <w:r w:rsidRPr="00713D42">
        <w:t>。</w:t>
      </w:r>
    </w:p>
    <w:p w:rsidR="00372CA7" w:rsidRPr="00713D42" w:rsidRDefault="00372CA7" w:rsidP="00F6299D">
      <w:pPr>
        <w:pStyle w:val="5"/>
        <w:numPr>
          <w:ilvl w:val="4"/>
          <w:numId w:val="20"/>
        </w:numPr>
        <w:overflowPunct/>
        <w:autoSpaceDE/>
        <w:autoSpaceDN/>
      </w:pPr>
      <w:r w:rsidRPr="00713D42">
        <w:t>放寬對於事業在臺灣登記型態的限制</w:t>
      </w:r>
      <w:r w:rsidRPr="00713D42">
        <w:rPr>
          <w:rFonts w:hint="eastAsia"/>
        </w:rPr>
        <w:t>。</w:t>
      </w:r>
    </w:p>
    <w:p w:rsidR="00372CA7" w:rsidRPr="00713D42" w:rsidRDefault="00372CA7" w:rsidP="00F6299D">
      <w:pPr>
        <w:pStyle w:val="5"/>
        <w:numPr>
          <w:ilvl w:val="4"/>
          <w:numId w:val="20"/>
        </w:numPr>
        <w:overflowPunct/>
        <w:autoSpaceDE/>
        <w:autoSpaceDN/>
      </w:pPr>
      <w:r w:rsidRPr="00713D42">
        <w:rPr>
          <w:rFonts w:ascii="Times New Roman" w:hAnsi="Times New Roman"/>
        </w:rPr>
        <w:lastRenderedPageBreak/>
        <w:t>自促進日商投資臺灣之觀點，希望臺日之間簽署租稅協定，使配予日本企業之股利等可適用低稅率</w:t>
      </w:r>
      <w:r w:rsidRPr="00713D42">
        <w:rPr>
          <w:rFonts w:ascii="Times New Roman" w:hAnsi="Times New Roman"/>
        </w:rPr>
        <w:t>(</w:t>
      </w:r>
      <w:r w:rsidRPr="00713D42">
        <w:rPr>
          <w:rFonts w:ascii="Times New Roman" w:hAnsi="Times New Roman"/>
        </w:rPr>
        <w:t>如</w:t>
      </w:r>
      <w:r w:rsidRPr="00713D42">
        <w:rPr>
          <w:rFonts w:ascii="Times New Roman" w:hAnsi="Times New Roman"/>
        </w:rPr>
        <w:t>10%)</w:t>
      </w:r>
      <w:r w:rsidRPr="00713D42">
        <w:rPr>
          <w:rStyle w:val="aff8"/>
          <w:rFonts w:ascii="Times New Roman" w:hAnsi="Times New Roman"/>
        </w:rPr>
        <w:footnoteReference w:id="14"/>
      </w:r>
      <w:r w:rsidRPr="00713D42">
        <w:rPr>
          <w:rFonts w:ascii="Times New Roman" w:hAnsi="Times New Roman"/>
        </w:rPr>
        <w:t>。</w:t>
      </w:r>
    </w:p>
    <w:p w:rsidR="00372CA7" w:rsidRPr="00713D42" w:rsidRDefault="00372CA7" w:rsidP="00F6299D">
      <w:pPr>
        <w:pStyle w:val="4"/>
        <w:numPr>
          <w:ilvl w:val="3"/>
          <w:numId w:val="20"/>
        </w:numPr>
        <w:overflowPunct/>
        <w:autoSpaceDE/>
        <w:autoSpaceDN/>
      </w:pPr>
      <w:r w:rsidRPr="00713D42">
        <w:rPr>
          <w:rFonts w:hint="eastAsia"/>
        </w:rPr>
        <w:t>不利外人居留事項:</w:t>
      </w:r>
    </w:p>
    <w:p w:rsidR="00372CA7" w:rsidRPr="00713D42" w:rsidRDefault="00372CA7" w:rsidP="00372CA7">
      <w:pPr>
        <w:pStyle w:val="5"/>
        <w:numPr>
          <w:ilvl w:val="0"/>
          <w:numId w:val="0"/>
        </w:numPr>
        <w:ind w:left="1701" w:firstLineChars="203" w:firstLine="708"/>
      </w:pPr>
      <w:r w:rsidRPr="00713D42">
        <w:t>臺灣現行身分證及外籍人士居留證的格式不一，因此許多網站或是商家不接受居留證格式，使得外籍人士無法使用許多服務</w:t>
      </w:r>
      <w:r w:rsidRPr="00713D42">
        <w:rPr>
          <w:rStyle w:val="aff8"/>
        </w:rPr>
        <w:footnoteReference w:id="15"/>
      </w:r>
      <w:r w:rsidRPr="00713D42">
        <w:t>。</w:t>
      </w:r>
    </w:p>
    <w:p w:rsidR="00372CA7" w:rsidRPr="00713D42" w:rsidRDefault="00372CA7" w:rsidP="00F6299D">
      <w:pPr>
        <w:pStyle w:val="4"/>
        <w:numPr>
          <w:ilvl w:val="3"/>
          <w:numId w:val="20"/>
        </w:numPr>
        <w:overflowPunct/>
        <w:autoSpaceDE/>
        <w:autoSpaceDN/>
      </w:pPr>
      <w:r w:rsidRPr="00713D42">
        <w:rPr>
          <w:rFonts w:hint="eastAsia"/>
        </w:rPr>
        <w:t>其他事項:</w:t>
      </w:r>
    </w:p>
    <w:p w:rsidR="00372CA7" w:rsidRPr="00713D42" w:rsidRDefault="00372CA7" w:rsidP="00372CA7">
      <w:pPr>
        <w:pStyle w:val="5"/>
        <w:numPr>
          <w:ilvl w:val="0"/>
          <w:numId w:val="0"/>
        </w:numPr>
        <w:ind w:left="1701" w:firstLineChars="203" w:firstLine="708"/>
      </w:pPr>
      <w:r w:rsidRPr="00713D42">
        <w:t>多數臺灣受託廠商與外國營利事業係非關係企業，然而財政部解釋函令將其視為外國營利事業之營業代理人，此係強加負擔於臺灣受託廠商。</w:t>
      </w:r>
    </w:p>
    <w:p w:rsidR="00372CA7" w:rsidRPr="00713D42" w:rsidRDefault="00372CA7" w:rsidP="00372CA7">
      <w:pPr>
        <w:pStyle w:val="4"/>
        <w:numPr>
          <w:ilvl w:val="0"/>
          <w:numId w:val="0"/>
        </w:numPr>
        <w:ind w:left="1418" w:firstLineChars="203" w:firstLine="708"/>
        <w:rPr>
          <w:kern w:val="0"/>
        </w:rPr>
      </w:pPr>
      <w:r w:rsidRPr="00713D42">
        <w:rPr>
          <w:rFonts w:hint="eastAsia"/>
          <w:kern w:val="0"/>
        </w:rPr>
        <w:t>由上可知，我國法規制度上，尚有部分未能與國際接軌、未定標準、未能提供投資誘因等，該等事項均有賴相關主管機關評估是否應進行法規調適，以避免產生投資障礙。</w:t>
      </w:r>
    </w:p>
    <w:p w:rsidR="00372CA7" w:rsidRPr="00713D42" w:rsidRDefault="00372CA7" w:rsidP="00F6299D">
      <w:pPr>
        <w:pStyle w:val="3"/>
        <w:numPr>
          <w:ilvl w:val="2"/>
          <w:numId w:val="20"/>
        </w:numPr>
        <w:overflowPunct/>
        <w:autoSpaceDE/>
        <w:autoSpaceDN/>
        <w:rPr>
          <w:bCs w:val="0"/>
        </w:rPr>
      </w:pPr>
      <w:bookmarkStart w:id="56" w:name="_Toc469271765"/>
      <w:bookmarkStart w:id="57" w:name="_Toc470099657"/>
      <w:r w:rsidRPr="00713D42">
        <w:rPr>
          <w:rFonts w:hint="eastAsia"/>
          <w:bCs w:val="0"/>
        </w:rPr>
        <w:t>查經濟部函覆本院資料表示:「</w:t>
      </w:r>
      <w:r w:rsidRPr="00713D42">
        <w:rPr>
          <w:rFonts w:hAnsi="標楷體" w:hint="eastAsia"/>
          <w:bCs w:val="0"/>
          <w:szCs w:val="32"/>
        </w:rPr>
        <w:t>我國法規制度對於跨國併購及機構型投資人吸引力不足，2003-2013年跨國併購占我FDI比例僅有14.5%（全球平均比例為35.3%），我國機構型投資人投資金額占外人直接投資比例僅有8.2%（全球平均比例約20%），均低於全球平均水準。</w:t>
      </w:r>
      <w:r w:rsidRPr="00713D42">
        <w:rPr>
          <w:rFonts w:hint="eastAsia"/>
          <w:bCs w:val="0"/>
        </w:rPr>
        <w:t>」；另依IMD世界競爭力年報我國105年「政府效能」大類中，「外國投資者自由取得國內公司控制權」細項指標排名第57名，世界倒數第5名，經濟部已稱我國法規對企業跨國併購及機構投資人吸引力不足，且外國企業亦不易取得國內企業控制權，顯見，我國相關法規制度對外國企業不夠友善</w:t>
      </w:r>
      <w:r w:rsidRPr="00713D42">
        <w:rPr>
          <w:rFonts w:hint="eastAsia"/>
          <w:bCs w:val="0"/>
          <w:szCs w:val="32"/>
        </w:rPr>
        <w:t>。</w:t>
      </w:r>
      <w:bookmarkEnd w:id="56"/>
      <w:bookmarkEnd w:id="57"/>
    </w:p>
    <w:p w:rsidR="00372CA7" w:rsidRPr="00713D42" w:rsidRDefault="00372CA7" w:rsidP="00F6299D">
      <w:pPr>
        <w:pStyle w:val="3"/>
        <w:numPr>
          <w:ilvl w:val="2"/>
          <w:numId w:val="20"/>
        </w:numPr>
        <w:overflowPunct/>
        <w:autoSpaceDE/>
        <w:autoSpaceDN/>
        <w:rPr>
          <w:bCs w:val="0"/>
        </w:rPr>
      </w:pPr>
      <w:bookmarkStart w:id="58" w:name="_Toc469271767"/>
      <w:bookmarkStart w:id="59" w:name="_Toc470099658"/>
      <w:r w:rsidRPr="00713D42">
        <w:rPr>
          <w:rFonts w:ascii="新細明體" w:hAnsi="新細明體" w:cs="Arial" w:hint="eastAsia"/>
          <w:szCs w:val="32"/>
        </w:rPr>
        <w:t>再查</w:t>
      </w:r>
      <w:r w:rsidRPr="00713D42">
        <w:rPr>
          <w:rFonts w:hint="eastAsia"/>
        </w:rPr>
        <w:t>國發會自89年起，均針對美、歐、日等三大</w:t>
      </w:r>
      <w:r w:rsidRPr="00713D42">
        <w:rPr>
          <w:rFonts w:hint="eastAsia"/>
        </w:rPr>
        <w:lastRenderedPageBreak/>
        <w:t>外國商會之年度建言進行檢視與回應，並針對零售、金融、稅務、</w:t>
      </w:r>
      <w:r w:rsidRPr="00713D42">
        <w:rPr>
          <w:rFonts w:hAnsi="標楷體" w:hint="eastAsia"/>
          <w:szCs w:val="32"/>
        </w:rPr>
        <w:t>電信、人力、醫療器材、製藥及化學物質等多項議題進行協調，並邀請相關部會召開協調會議；且該會亦就</w:t>
      </w:r>
      <w:r w:rsidRPr="00713D42">
        <w:rPr>
          <w:rFonts w:hAnsi="標楷體" w:hint="eastAsia"/>
          <w:szCs w:val="32"/>
          <w:shd w:val="clear" w:color="auto" w:fill="FFFFFF"/>
        </w:rPr>
        <w:t>國內工商團體所提建言，檢視相關法規之合宜性，以期建立優質良好的經商營運環境，另</w:t>
      </w:r>
      <w:r w:rsidRPr="00713D42">
        <w:rPr>
          <w:rFonts w:hAnsi="標楷體" w:hint="eastAsia"/>
          <w:szCs w:val="32"/>
        </w:rPr>
        <w:t>為</w:t>
      </w:r>
      <w:r w:rsidRPr="00713D42">
        <w:rPr>
          <w:rFonts w:hAnsi="標楷體" w:hint="eastAsia"/>
          <w:szCs w:val="32"/>
          <w:shd w:val="clear" w:color="auto" w:fill="FFFFFF"/>
        </w:rPr>
        <w:t>促進我國產業發展，使法規制度更加健全，以因應國際經貿情勢發展，行政院自97年起全面推動法規鬆綁與調適工作，</w:t>
      </w:r>
      <w:r w:rsidRPr="00713D42">
        <w:rPr>
          <w:rFonts w:hAnsi="標楷體" w:cs="Arial" w:hint="eastAsia"/>
          <w:szCs w:val="32"/>
        </w:rPr>
        <w:t>檢視現行法規是否有不合時宜及窒礙難行之處，更成立「法規鬆綁建言平臺」網站供社會大眾、國內外企業提出建言，</w:t>
      </w:r>
      <w:r w:rsidRPr="00713D42">
        <w:rPr>
          <w:rFonts w:hint="eastAsia"/>
          <w:szCs w:val="32"/>
        </w:rPr>
        <w:t>並於</w:t>
      </w:r>
      <w:r w:rsidRPr="00713D42">
        <w:rPr>
          <w:rFonts w:hAnsi="標楷體" w:hint="eastAsia"/>
          <w:szCs w:val="32"/>
        </w:rPr>
        <w:t>105年8月17日召開研商「財經法制改革議題」會議，</w:t>
      </w:r>
      <w:r w:rsidRPr="00713D42">
        <w:rPr>
          <w:rFonts w:ascii="新細明體" w:hAnsi="新細明體" w:cs="Arial" w:hint="eastAsia"/>
          <w:szCs w:val="32"/>
        </w:rPr>
        <w:t>然就如歐洲商會白皮書所言</w:t>
      </w:r>
      <w:r w:rsidRPr="00713D42">
        <w:rPr>
          <w:rFonts w:ascii="新細明體" w:hAnsi="新細明體" w:cs="Arial" w:hint="eastAsia"/>
          <w:szCs w:val="32"/>
        </w:rPr>
        <w:t>:</w:t>
      </w:r>
      <w:r w:rsidRPr="00713D42">
        <w:rPr>
          <w:rFonts w:hAnsi="標楷體" w:cs="Arial" w:hint="eastAsia"/>
          <w:szCs w:val="32"/>
        </w:rPr>
        <w:t>「</w:t>
      </w:r>
      <w:r w:rsidRPr="00713D42">
        <w:rPr>
          <w:rFonts w:hint="eastAsia"/>
          <w:szCs w:val="32"/>
        </w:rPr>
        <w:t>臺灣在邁向國際協調上已有長足進步；但在一些重要領域，臺灣的標準與慣例仍與已開發國家有所悖離。這些技術性的貿易障礙，對於在臺灣營運的本國及外籍企業皆屬有害。此外，政府變更法規時，在諮商、溝通與執行上仍有改進空間。再者，臺灣的法規體 制仍過度聚焦於</w:t>
      </w:r>
      <w:r w:rsidRPr="00713D42">
        <w:rPr>
          <w:rFonts w:hAnsi="標楷體" w:hint="eastAsia"/>
          <w:szCs w:val="32"/>
        </w:rPr>
        <w:t>『</w:t>
      </w:r>
      <w:r w:rsidRPr="00713D42">
        <w:rPr>
          <w:rFonts w:hint="eastAsia"/>
          <w:szCs w:val="32"/>
        </w:rPr>
        <w:t>市場前</w:t>
      </w:r>
      <w:r w:rsidRPr="00713D42">
        <w:rPr>
          <w:rFonts w:hAnsi="標楷體" w:hint="eastAsia"/>
          <w:szCs w:val="32"/>
        </w:rPr>
        <w:t>』</w:t>
      </w:r>
      <w:r w:rsidRPr="00713D42">
        <w:rPr>
          <w:rFonts w:hint="eastAsia"/>
          <w:szCs w:val="32"/>
        </w:rPr>
        <w:t>的控管，而歐洲的制度則更重視「市場後」監督及業界自我規範，兩者間顯然背道而馳」。而</w:t>
      </w:r>
      <w:r w:rsidRPr="00713D42">
        <w:rPr>
          <w:rFonts w:ascii="新細明體" w:hAnsi="新細明體" w:cs="Arial" w:hint="eastAsia"/>
          <w:szCs w:val="32"/>
        </w:rPr>
        <w:t>這些可能影響外商來臺投資意願的障礙實存在已久，但至今政府相關單位改善速度緩慢，就如美國商會已連續二年建議我國改善「</w:t>
      </w:r>
      <w:r w:rsidRPr="00713D42">
        <w:t>改善法規制訂程序</w:t>
      </w:r>
      <w:r w:rsidRPr="00713D42">
        <w:rPr>
          <w:rFonts w:hint="eastAsia"/>
        </w:rPr>
        <w:t>」，甚至其他商會也於105年白皮書提出類似建議，致</w:t>
      </w:r>
      <w:r w:rsidRPr="00713D42">
        <w:rPr>
          <w:rFonts w:ascii="新細明體" w:hAnsi="新細明體" w:cs="Arial" w:hint="eastAsia"/>
          <w:szCs w:val="32"/>
        </w:rPr>
        <w:t>美國商會</w:t>
      </w:r>
      <w:r w:rsidRPr="00713D42">
        <w:rPr>
          <w:rFonts w:hint="eastAsia"/>
        </w:rPr>
        <w:t>於本院諮詢時表示:</w:t>
      </w:r>
      <w:r w:rsidRPr="00713D42">
        <w:rPr>
          <w:rFonts w:ascii="新細明體" w:hAnsi="新細明體" w:cs="Arial" w:hint="eastAsia"/>
          <w:szCs w:val="32"/>
        </w:rPr>
        <w:t>「</w:t>
      </w:r>
      <w:r w:rsidRPr="00713D42">
        <w:rPr>
          <w:rFonts w:hint="eastAsia"/>
        </w:rPr>
        <w:t>我們深切認為臺灣競爭力應從制度面改革，大家都談制度鬆綁，我們認為應修行政程序法，目前行政程序法當中僅很小一部分規定，要推動執行一個政策時，如何與外界先做溝通；相對而言，美國行政程序法規定在政令還沒有執行之前，有一段溝通時間，預先把問題想清楚，能減少很多問題。這是我們104年研究的結果，到</w:t>
      </w:r>
      <w:r w:rsidRPr="00713D42">
        <w:rPr>
          <w:rFonts w:hint="eastAsia"/>
        </w:rPr>
        <w:lastRenderedPageBreak/>
        <w:t>105年繼續大聲疾呼地推動，我們希望臺灣政府能從行政體制之根本進行改正。比如：提出一個好的、完整的吸引外資的政策之後，由各部會配套來作，政府一體左手和右手一定要配合，國發會應發揮跨部會的角色，良好整合；再有單一窗口把將要推動的政策告訴大家，外界所有人都可以到單一窗口把自己的意見提供進去。只要能做到這點，就進步非常多。</w:t>
      </w:r>
      <w:r w:rsidRPr="00713D42">
        <w:rPr>
          <w:rFonts w:ascii="新細明體" w:hAnsi="新細明體" w:cs="Arial" w:hint="eastAsia"/>
          <w:szCs w:val="32"/>
        </w:rPr>
        <w:t>」之情事，因此，行政院不宜再以「臺灣具高度競爭力」而未能積極針對各項法規之問題點，擬定相關政策或法令之修正，以改善經商環境並促進外資來臺投資。</w:t>
      </w:r>
      <w:bookmarkEnd w:id="58"/>
      <w:bookmarkEnd w:id="59"/>
    </w:p>
    <w:p w:rsidR="00372CA7" w:rsidRPr="00713D42" w:rsidRDefault="00372CA7" w:rsidP="00F6299D">
      <w:pPr>
        <w:pStyle w:val="3"/>
        <w:numPr>
          <w:ilvl w:val="2"/>
          <w:numId w:val="20"/>
        </w:numPr>
        <w:overflowPunct/>
        <w:autoSpaceDE/>
        <w:autoSpaceDN/>
        <w:rPr>
          <w:b/>
        </w:rPr>
      </w:pPr>
      <w:bookmarkStart w:id="60" w:name="_Toc469271768"/>
      <w:bookmarkStart w:id="61" w:name="_Toc470099659"/>
      <w:r w:rsidRPr="00713D42">
        <w:rPr>
          <w:rFonts w:hint="eastAsia"/>
        </w:rPr>
        <w:t>綜上，</w:t>
      </w:r>
      <w:bookmarkEnd w:id="60"/>
      <w:r w:rsidRPr="00713D42">
        <w:rPr>
          <w:rFonts w:hint="eastAsia"/>
        </w:rPr>
        <w:t>法令規章係企業經營</w:t>
      </w:r>
      <w:r w:rsidRPr="00713D42">
        <w:rPr>
          <w:rFonts w:hint="eastAsia"/>
          <w:szCs w:val="32"/>
        </w:rPr>
        <w:t>之規範，行政院於</w:t>
      </w:r>
      <w:r w:rsidRPr="00713D42">
        <w:rPr>
          <w:rFonts w:hAnsi="標楷體" w:hint="eastAsia"/>
          <w:szCs w:val="32"/>
          <w:shd w:val="clear" w:color="auto" w:fill="FFFFFF"/>
        </w:rPr>
        <w:t>97年起即全面推動法規鬆綁與調適工作，</w:t>
      </w:r>
      <w:r w:rsidRPr="00713D42">
        <w:rPr>
          <w:rFonts w:hAnsi="標楷體" w:cs="Arial" w:hint="eastAsia"/>
          <w:szCs w:val="32"/>
        </w:rPr>
        <w:t>檢視現行法規是否有不合時宜及窒礙難行之處，然</w:t>
      </w:r>
      <w:r w:rsidRPr="00713D42">
        <w:rPr>
          <w:rFonts w:hint="eastAsia"/>
        </w:rPr>
        <w:t>本院調查</w:t>
      </w:r>
      <w:r w:rsidR="0053633B">
        <w:rPr>
          <w:rFonts w:hint="eastAsia"/>
        </w:rPr>
        <w:t>研究</w:t>
      </w:r>
      <w:r w:rsidRPr="00713D42">
        <w:rPr>
          <w:rFonts w:hint="eastAsia"/>
        </w:rPr>
        <w:t>發現我國產業及招商等相關法規，仍有未能與國際接軌、未明確訂定標準、招商誘因不足等情事，部分事項甚至造成投資障礙，行政院允應持續參考國際法規標準及各界之建議，進行法規調適，以使企業經營時，有所依循。</w:t>
      </w:r>
      <w:bookmarkEnd w:id="61"/>
    </w:p>
    <w:p w:rsidR="00372CA7" w:rsidRPr="00713D42" w:rsidRDefault="00372CA7" w:rsidP="00F6299D">
      <w:pPr>
        <w:pStyle w:val="2"/>
        <w:numPr>
          <w:ilvl w:val="1"/>
          <w:numId w:val="20"/>
        </w:numPr>
        <w:overflowPunct/>
        <w:autoSpaceDE/>
        <w:autoSpaceDN/>
        <w:rPr>
          <w:b/>
        </w:rPr>
      </w:pPr>
      <w:bookmarkStart w:id="62" w:name="_Toc469271769"/>
      <w:bookmarkStart w:id="63" w:name="_Toc470099660"/>
      <w:r w:rsidRPr="00713D42">
        <w:rPr>
          <w:rFonts w:hint="eastAsia"/>
          <w:b/>
        </w:rPr>
        <w:t>基礎建設係跨國投資者進行投資之重要考量因素，政府除應提供充足之水、電、人力、土地外，隨著科技之發展，數位環境已成為強化國家競爭力的要素之一，完整的數位基磐將有利建構我國創新經濟模式，並吸引FDI之投入。基此，行政院允應統合相關部會，建置完善之基礎設施，以利FDI之投資。</w:t>
      </w:r>
      <w:bookmarkEnd w:id="62"/>
      <w:bookmarkEnd w:id="63"/>
    </w:p>
    <w:p w:rsidR="00372CA7" w:rsidRPr="00713D42" w:rsidRDefault="00372CA7" w:rsidP="00F6299D">
      <w:pPr>
        <w:pStyle w:val="3"/>
        <w:numPr>
          <w:ilvl w:val="2"/>
          <w:numId w:val="20"/>
        </w:numPr>
        <w:overflowPunct/>
        <w:autoSpaceDE/>
        <w:autoSpaceDN/>
      </w:pPr>
      <w:bookmarkStart w:id="64" w:name="_Toc469271770"/>
      <w:bookmarkStart w:id="65" w:name="_Toc470099661"/>
      <w:r w:rsidRPr="00713D42">
        <w:rPr>
          <w:rFonts w:hint="eastAsia"/>
        </w:rPr>
        <w:t>查105年IMD世界競爭力年報，我國「基礎建設」排名第19，較</w:t>
      </w:r>
      <w:r w:rsidR="004A475B">
        <w:rPr>
          <w:rFonts w:hint="eastAsia"/>
        </w:rPr>
        <w:t>去</w:t>
      </w:r>
      <w:r w:rsidRPr="00713D42">
        <w:rPr>
          <w:rFonts w:hint="eastAsia"/>
        </w:rPr>
        <w:t>年滑落1名，其中該大類「基本建設」指標下滑3名，</w:t>
      </w:r>
      <w:r w:rsidRPr="00713D42">
        <w:rPr>
          <w:rFonts w:hAnsi="標楷體" w:hint="eastAsia"/>
        </w:rPr>
        <w:t>「</w:t>
      </w:r>
      <w:r w:rsidRPr="00713D42">
        <w:rPr>
          <w:rFonts w:hint="eastAsia"/>
        </w:rPr>
        <w:t>凸顯水資源管理待加強、企業憂心未來能源供給、企業運用再生能源待開發等因素</w:t>
      </w:r>
      <w:r w:rsidRPr="00713D42">
        <w:rPr>
          <w:rFonts w:hAnsi="標楷體" w:hint="eastAsia"/>
        </w:rPr>
        <w:t>」</w:t>
      </w:r>
      <w:r w:rsidRPr="00713D42">
        <w:rPr>
          <w:rStyle w:val="aff8"/>
        </w:rPr>
        <w:footnoteReference w:id="16"/>
      </w:r>
      <w:r w:rsidRPr="00713D42">
        <w:rPr>
          <w:rFonts w:hint="eastAsia"/>
        </w:rPr>
        <w:t>，因此完善之基礎建設係強化我國競</w:t>
      </w:r>
      <w:r w:rsidRPr="00713D42">
        <w:rPr>
          <w:rFonts w:hint="eastAsia"/>
        </w:rPr>
        <w:lastRenderedPageBreak/>
        <w:t>爭力關鍵之一:</w:t>
      </w:r>
      <w:bookmarkEnd w:id="64"/>
      <w:bookmarkEnd w:id="65"/>
    </w:p>
    <w:p w:rsidR="00372CA7" w:rsidRPr="00713D42" w:rsidRDefault="00372CA7" w:rsidP="00F6299D">
      <w:pPr>
        <w:pStyle w:val="4"/>
        <w:numPr>
          <w:ilvl w:val="3"/>
          <w:numId w:val="20"/>
        </w:numPr>
        <w:overflowPunct/>
        <w:autoSpaceDE/>
        <w:autoSpaceDN/>
      </w:pPr>
      <w:r w:rsidRPr="00713D42">
        <w:rPr>
          <w:rFonts w:hint="eastAsia"/>
        </w:rPr>
        <w:t>數位建設:隨著科技之發展，建置一個方便、快速、大量傳輸、保存資料之數位化環境已成為不可逆之趨勢，數位化已成為許多國家積極建置之基礎設施之一，該等設施將可連結後續發展之創新應用、數位政府，而成為數位國家，數位國家主要分為數位製造業和數位服務業，在製造業方面，是將過去側重資通訊硬體製造，轉型為軟硬整合，融入軟體及應用服務，未來物聯網與人工智慧發展將改變整個社會，若廠商只停留在製造工具機或是機器人會缺乏競爭力，而必須結合物聯網與大數據分析應用等，透過軟硬體結合來提升我國資訊國力。數位服務業則將可強化產業生態圈，串聯上中下游產業鏈成為產業生態圈。然</w:t>
      </w:r>
      <w:r w:rsidRPr="00713D42">
        <w:rPr>
          <w:rFonts w:hAnsi="標楷體" w:hint="eastAsia"/>
        </w:rPr>
        <w:t>我國數位化環境與其他國家相較，並未具有明顯競爭力，政府推動成效仍需強化。</w:t>
      </w:r>
    </w:p>
    <w:p w:rsidR="00372CA7" w:rsidRPr="00713D42" w:rsidRDefault="00372CA7" w:rsidP="00F6299D">
      <w:pPr>
        <w:pStyle w:val="4"/>
        <w:numPr>
          <w:ilvl w:val="3"/>
          <w:numId w:val="20"/>
        </w:numPr>
        <w:overflowPunct/>
        <w:autoSpaceDE/>
        <w:autoSpaceDN/>
      </w:pPr>
      <w:r w:rsidRPr="00713D42">
        <w:rPr>
          <w:rFonts w:hint="eastAsia"/>
        </w:rPr>
        <w:t>水源:我國雨水豐沛，但因地形因素，無法將水留下，又因環保等因素，無法新增水庫，且既有水庫又不斷淤積，致使水之供給無法大量增加，又因為我國水價相對便宜，節約用水成效不佳，水之需求亦未能有效減少，長期水資源供給無法增加，但雖著經濟發展用水將增加，因此長期將產生缺水之疑慮。</w:t>
      </w:r>
    </w:p>
    <w:p w:rsidR="00372CA7" w:rsidRPr="00713D42" w:rsidRDefault="00372CA7" w:rsidP="00F6299D">
      <w:pPr>
        <w:pStyle w:val="4"/>
        <w:numPr>
          <w:ilvl w:val="3"/>
          <w:numId w:val="20"/>
        </w:numPr>
        <w:overflowPunct/>
        <w:autoSpaceDE/>
        <w:autoSpaceDN/>
      </w:pPr>
      <w:r w:rsidRPr="00713D42">
        <w:rPr>
          <w:rFonts w:hint="eastAsia"/>
        </w:rPr>
        <w:t>電力:</w:t>
      </w:r>
    </w:p>
    <w:p w:rsidR="00372CA7" w:rsidRPr="00713D42" w:rsidRDefault="00372CA7" w:rsidP="00F6299D">
      <w:pPr>
        <w:pStyle w:val="5"/>
        <w:numPr>
          <w:ilvl w:val="4"/>
          <w:numId w:val="20"/>
        </w:numPr>
        <w:overflowPunct/>
        <w:autoSpaceDE/>
        <w:autoSpaceDN/>
      </w:pPr>
      <w:r w:rsidRPr="00713D42">
        <w:rPr>
          <w:rFonts w:hint="eastAsia"/>
        </w:rPr>
        <w:t>臺灣電力股份有限公司(下稱臺電公司)104年共計發電191億度</w:t>
      </w:r>
      <w:r w:rsidR="00FD4A0E">
        <w:rPr>
          <w:rFonts w:hint="eastAsia"/>
        </w:rPr>
        <w:t>(詳圖6)</w:t>
      </w:r>
      <w:r w:rsidRPr="00713D42">
        <w:rPr>
          <w:rFonts w:hint="eastAsia"/>
        </w:rPr>
        <w:t>，其中核一、核二及核三廠共3座核電廠共計發電351.43億度，占總發電度之比率為16.04%。</w:t>
      </w:r>
    </w:p>
    <w:p w:rsidR="00372CA7" w:rsidRPr="00713D42" w:rsidRDefault="00372CA7" w:rsidP="00F6299D">
      <w:pPr>
        <w:pStyle w:val="5"/>
        <w:numPr>
          <w:ilvl w:val="4"/>
          <w:numId w:val="20"/>
        </w:numPr>
        <w:overflowPunct/>
        <w:autoSpaceDE/>
        <w:autoSpaceDN/>
      </w:pPr>
      <w:r w:rsidRPr="00713D42">
        <w:rPr>
          <w:rFonts w:hint="eastAsia"/>
        </w:rPr>
        <w:lastRenderedPageBreak/>
        <w:t>103年4月28日行政院宣布封存核四廠，104年7月1日該廠進入封存。</w:t>
      </w:r>
    </w:p>
    <w:p w:rsidR="00372CA7" w:rsidRPr="00713D42" w:rsidRDefault="00372CA7" w:rsidP="00F6299D">
      <w:pPr>
        <w:pStyle w:val="5"/>
        <w:numPr>
          <w:ilvl w:val="4"/>
          <w:numId w:val="20"/>
        </w:numPr>
        <w:overflowPunct/>
        <w:autoSpaceDE/>
        <w:autoSpaceDN/>
      </w:pPr>
      <w:r w:rsidRPr="00713D42">
        <w:rPr>
          <w:rFonts w:hint="eastAsia"/>
        </w:rPr>
        <w:t>依據核電廠運轉執照到期顯示，107年12月至114年5月核一、核二、核三之6個機組將陸續除役，該等機組容量為514.4萬瓩，且於105年5月25日經濟部部長記者會所揭露施政主軸之一「永續的能源及與資源管理」中，提及「啟動能源轉型與電業改革」之方向：「民意非常清楚選擇了2025非核家園之目標，在這個明確的目標下，經濟部將全力以赴開發綠色新能源，使2025年再生能源發電量占總發電量達20％。」，因此依政府核電政策，目前三座運轉之核電廠運轉日期到期後將不會延役。</w:t>
      </w:r>
    </w:p>
    <w:p w:rsidR="00372CA7" w:rsidRPr="00713D42" w:rsidRDefault="00372CA7" w:rsidP="00372CA7">
      <w:pPr>
        <w:pStyle w:val="3"/>
        <w:numPr>
          <w:ilvl w:val="0"/>
          <w:numId w:val="0"/>
        </w:numPr>
        <w:ind w:leftChars="-1" w:left="-3" w:firstLineChars="366" w:firstLine="1277"/>
      </w:pPr>
      <w:bookmarkStart w:id="66" w:name="_Toc470099662"/>
      <w:r w:rsidRPr="00713D42">
        <w:rPr>
          <w:noProof/>
        </w:rPr>
        <w:drawing>
          <wp:inline distT="0" distB="0" distL="0" distR="0" wp14:anchorId="1CC1EF84" wp14:editId="570E5493">
            <wp:extent cx="4974057" cy="3029803"/>
            <wp:effectExtent l="0" t="0" r="0" b="0"/>
            <wp:docPr id="8" name="圖片 8" descr="104年發電量佔比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4年發電量佔比圖"/>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77189" cy="3031711"/>
                    </a:xfrm>
                    <a:prstGeom prst="rect">
                      <a:avLst/>
                    </a:prstGeom>
                    <a:noFill/>
                    <a:ln>
                      <a:noFill/>
                    </a:ln>
                  </pic:spPr>
                </pic:pic>
              </a:graphicData>
            </a:graphic>
          </wp:inline>
        </w:drawing>
      </w:r>
      <w:bookmarkEnd w:id="66"/>
    </w:p>
    <w:p w:rsidR="00372CA7" w:rsidRPr="00713D42" w:rsidRDefault="00372CA7" w:rsidP="00372CA7">
      <w:pPr>
        <w:pStyle w:val="10"/>
        <w:numPr>
          <w:ilvl w:val="0"/>
          <w:numId w:val="0"/>
        </w:numPr>
        <w:spacing w:before="0" w:after="0" w:line="240" w:lineRule="exact"/>
        <w:ind w:left="851" w:rightChars="-187" w:right="-653"/>
        <w:jc w:val="left"/>
        <w:rPr>
          <w:b w:val="0"/>
          <w:sz w:val="20"/>
          <w:szCs w:val="20"/>
        </w:rPr>
      </w:pPr>
      <w:r w:rsidRPr="00713D42">
        <w:rPr>
          <w:rFonts w:hint="eastAsia"/>
          <w:b w:val="0"/>
          <w:sz w:val="20"/>
          <w:szCs w:val="20"/>
        </w:rPr>
        <w:t>資料來源:</w:t>
      </w:r>
      <w:r w:rsidRPr="00713D42">
        <w:rPr>
          <w:b w:val="0"/>
          <w:sz w:val="20"/>
          <w:szCs w:val="20"/>
        </w:rPr>
        <w:t xml:space="preserve"> http://www.taipower.com.tw/content/new_info/new_info-b60.aspx?LinkID=7</w:t>
      </w:r>
    </w:p>
    <w:p w:rsidR="00372CA7" w:rsidRPr="00B91A92" w:rsidRDefault="00372CA7" w:rsidP="0084463B">
      <w:pPr>
        <w:pStyle w:val="a3"/>
        <w:rPr>
          <w:b/>
        </w:rPr>
      </w:pPr>
      <w:r w:rsidRPr="00B91A92">
        <w:rPr>
          <w:rFonts w:hint="eastAsia"/>
          <w:b/>
        </w:rPr>
        <w:t>104年發電量佔比圖</w:t>
      </w:r>
    </w:p>
    <w:p w:rsidR="00372CA7" w:rsidRPr="00713D42" w:rsidRDefault="00372CA7" w:rsidP="00F6299D">
      <w:pPr>
        <w:pStyle w:val="5"/>
        <w:numPr>
          <w:ilvl w:val="4"/>
          <w:numId w:val="20"/>
        </w:numPr>
        <w:overflowPunct/>
        <w:autoSpaceDE/>
        <w:autoSpaceDN/>
      </w:pPr>
      <w:r w:rsidRPr="00713D42">
        <w:rPr>
          <w:rFonts w:hint="eastAsia"/>
        </w:rPr>
        <w:t>火力電廠:通霄#1~#3於105年10月31日辦理除役拆除工作、大林#3～#5於107年3月除役，#3、#4於105年8月停機，#5需於105年12月起降載至38.6萬瓩運轉；興達電廠</w:t>
      </w:r>
      <w:r w:rsidRPr="00713D42">
        <w:rPr>
          <w:rFonts w:hint="eastAsia"/>
        </w:rPr>
        <w:lastRenderedPageBreak/>
        <w:t>燃氣複循環#1～#5規劃於113年10月除役；燃煤汽力#1～#4規劃於115年1月及116年1月除役，105~116年間預計退休之火力容量為956.5萬瓩。</w:t>
      </w:r>
    </w:p>
    <w:p w:rsidR="00372CA7" w:rsidRPr="00713D42" w:rsidRDefault="00372CA7" w:rsidP="00F6299D">
      <w:pPr>
        <w:pStyle w:val="5"/>
        <w:numPr>
          <w:ilvl w:val="4"/>
          <w:numId w:val="20"/>
        </w:numPr>
        <w:overflowPunct/>
        <w:autoSpaceDE/>
        <w:autoSpaceDN/>
        <w:ind w:hanging="907"/>
      </w:pPr>
      <w:r w:rsidRPr="00713D42">
        <w:rPr>
          <w:rFonts w:hint="eastAsia"/>
        </w:rPr>
        <w:t>再生能源:104年占總發電量比率為3.09%。依據104年第四次全國能源會議會議共識於104年5月上修我國再生能源發展目標，於119年總裝置容量達1,725萬瓩。臺電公司經評估本身技術及資金能力，預計至119年再生能源發展目標為350萬瓩(不含水力)，加計水力發電目標190萬瓩後，該公司再生能源預計達540萬瓩，換言之，政府再生能源目標的達成尚需仰賴民間大量投入</w:t>
      </w:r>
      <w:r w:rsidRPr="00713D42">
        <w:rPr>
          <w:rStyle w:val="aff8"/>
        </w:rPr>
        <w:footnoteReference w:id="17"/>
      </w:r>
      <w:r w:rsidRPr="00713D42">
        <w:rPr>
          <w:rFonts w:hint="eastAsia"/>
        </w:rPr>
        <w:t>。</w:t>
      </w:r>
    </w:p>
    <w:p w:rsidR="00372CA7" w:rsidRPr="00713D42" w:rsidRDefault="00372CA7" w:rsidP="00372CA7">
      <w:pPr>
        <w:pStyle w:val="5"/>
        <w:numPr>
          <w:ilvl w:val="0"/>
          <w:numId w:val="0"/>
        </w:numPr>
        <w:ind w:leftChars="487" w:left="1700" w:firstLineChars="203" w:firstLine="708"/>
      </w:pPr>
      <w:r w:rsidRPr="00713D42">
        <w:rPr>
          <w:rFonts w:hint="eastAsia"/>
        </w:rPr>
        <w:t>由上可知，長期我國將面臨核四廠之封存，核能一至三號廠及部分火力發電廠之除役，減少之電能，由新增火力電廠及再生能源等供應，然新設火力電廠面臨民眾抗爭，再生能源新增，供應是否充足及穩定亦有疑義，致我國長期尚有缺電之疑慮。</w:t>
      </w:r>
    </w:p>
    <w:p w:rsidR="00372CA7" w:rsidRPr="00713D42" w:rsidRDefault="00372CA7" w:rsidP="00F6299D">
      <w:pPr>
        <w:pStyle w:val="4"/>
        <w:numPr>
          <w:ilvl w:val="3"/>
          <w:numId w:val="20"/>
        </w:numPr>
        <w:overflowPunct/>
        <w:autoSpaceDE/>
        <w:autoSpaceDN/>
      </w:pPr>
      <w:r w:rsidRPr="00713D42">
        <w:rPr>
          <w:rFonts w:hint="eastAsia"/>
        </w:rPr>
        <w:t>缺工:</w:t>
      </w:r>
    </w:p>
    <w:p w:rsidR="00372CA7" w:rsidRPr="00713D42" w:rsidRDefault="00372CA7" w:rsidP="00372CA7">
      <w:pPr>
        <w:pStyle w:val="4"/>
        <w:numPr>
          <w:ilvl w:val="0"/>
          <w:numId w:val="0"/>
        </w:numPr>
        <w:ind w:left="1701" w:firstLineChars="203" w:firstLine="708"/>
      </w:pPr>
      <w:r w:rsidRPr="00713D42">
        <w:rPr>
          <w:rFonts w:hint="eastAsia"/>
        </w:rPr>
        <w:t>依據行政院主計總處</w:t>
      </w:r>
      <w:r w:rsidRPr="00713D42">
        <w:rPr>
          <w:rFonts w:hAnsi="標楷體" w:hint="eastAsia"/>
        </w:rPr>
        <w:t>「104年事業人力僱用狀況調查報告統計表」調查發現</w:t>
      </w:r>
      <w:r w:rsidRPr="00713D42">
        <w:rPr>
          <w:rFonts w:hint="eastAsia"/>
        </w:rPr>
        <w:t>104年8月底我國工業及服務業缺工人數高達199,182人</w:t>
      </w:r>
      <w:r w:rsidRPr="00713D42">
        <w:rPr>
          <w:rStyle w:val="aff8"/>
        </w:rPr>
        <w:footnoteReference w:id="18"/>
      </w:r>
      <w:r w:rsidRPr="00713D42">
        <w:rPr>
          <w:rFonts w:hint="eastAsia"/>
        </w:rPr>
        <w:t>，空缺率達2.61:</w:t>
      </w:r>
    </w:p>
    <w:p w:rsidR="00372CA7" w:rsidRPr="00713D42" w:rsidRDefault="00372CA7" w:rsidP="00F6299D">
      <w:pPr>
        <w:pStyle w:val="5"/>
        <w:numPr>
          <w:ilvl w:val="4"/>
          <w:numId w:val="20"/>
        </w:numPr>
        <w:overflowPunct/>
        <w:autoSpaceDE/>
        <w:autoSpaceDN/>
      </w:pPr>
      <w:r w:rsidRPr="00713D42">
        <w:rPr>
          <w:rFonts w:hint="eastAsia"/>
        </w:rPr>
        <w:t>工業廠商總缺工數為</w:t>
      </w:r>
      <w:r w:rsidRPr="00713D42">
        <w:t>85</w:t>
      </w:r>
      <w:r w:rsidRPr="00713D42">
        <w:rPr>
          <w:rFonts w:hint="eastAsia"/>
        </w:rPr>
        <w:t>,</w:t>
      </w:r>
      <w:r w:rsidRPr="00713D42">
        <w:t>523</w:t>
      </w:r>
      <w:r w:rsidRPr="00713D42">
        <w:rPr>
          <w:rFonts w:hint="eastAsia"/>
        </w:rPr>
        <w:t>人，其中職缺人數最高之職業類別為</w:t>
      </w:r>
      <w:r w:rsidRPr="00713D42">
        <w:rPr>
          <w:rFonts w:hAnsi="標楷體" w:hint="eastAsia"/>
        </w:rPr>
        <w:t>「</w:t>
      </w:r>
      <w:r w:rsidRPr="00713D42">
        <w:rPr>
          <w:rFonts w:hint="eastAsia"/>
        </w:rPr>
        <w:t>技藝有關工作人員、機械設備操作及組裝人員</w:t>
      </w:r>
      <w:r w:rsidRPr="00713D42">
        <w:rPr>
          <w:rFonts w:hAnsi="標楷體" w:hint="eastAsia"/>
        </w:rPr>
        <w:t>」，共</w:t>
      </w:r>
      <w:r w:rsidRPr="00713D42">
        <w:rPr>
          <w:rFonts w:hint="eastAsia"/>
        </w:rPr>
        <w:t>40,545人，</w:t>
      </w:r>
      <w:r w:rsidRPr="00713D42">
        <w:rPr>
          <w:rFonts w:hAnsi="標楷體" w:hint="eastAsia"/>
        </w:rPr>
        <w:t>「技術員及助理專業人員」缺工</w:t>
      </w:r>
      <w:r w:rsidRPr="00713D42">
        <w:rPr>
          <w:rFonts w:hAnsi="標楷體"/>
        </w:rPr>
        <w:t>21</w:t>
      </w:r>
      <w:r w:rsidRPr="00713D42">
        <w:rPr>
          <w:rFonts w:hAnsi="標楷體" w:hint="eastAsia"/>
        </w:rPr>
        <w:t>,</w:t>
      </w:r>
      <w:r w:rsidRPr="00713D42">
        <w:rPr>
          <w:rFonts w:hAnsi="標楷體"/>
        </w:rPr>
        <w:t>620</w:t>
      </w:r>
      <w:r w:rsidRPr="00713D42">
        <w:rPr>
          <w:rFonts w:hAnsi="標楷體" w:hint="eastAsia"/>
        </w:rPr>
        <w:t>人次之，</w:t>
      </w:r>
      <w:r w:rsidRPr="00713D42">
        <w:rPr>
          <w:rFonts w:hAnsi="標楷體" w:hint="eastAsia"/>
        </w:rPr>
        <w:lastRenderedPageBreak/>
        <w:t>「專業人員」缺工</w:t>
      </w:r>
      <w:r w:rsidRPr="00713D42">
        <w:rPr>
          <w:rFonts w:hAnsi="標楷體"/>
        </w:rPr>
        <w:t>14</w:t>
      </w:r>
      <w:r w:rsidRPr="00713D42">
        <w:rPr>
          <w:rFonts w:hAnsi="標楷體" w:hint="eastAsia"/>
        </w:rPr>
        <w:t>,</w:t>
      </w:r>
      <w:r w:rsidRPr="00713D42">
        <w:rPr>
          <w:rFonts w:hAnsi="標楷體"/>
        </w:rPr>
        <w:t>745</w:t>
      </w:r>
      <w:r w:rsidRPr="00713D42">
        <w:rPr>
          <w:rFonts w:hAnsi="標楷體" w:hint="eastAsia"/>
        </w:rPr>
        <w:t>人排第三。</w:t>
      </w:r>
    </w:p>
    <w:p w:rsidR="00372CA7" w:rsidRPr="00713D42" w:rsidRDefault="00372CA7" w:rsidP="00F6299D">
      <w:pPr>
        <w:pStyle w:val="5"/>
        <w:numPr>
          <w:ilvl w:val="4"/>
          <w:numId w:val="20"/>
        </w:numPr>
        <w:overflowPunct/>
        <w:autoSpaceDE/>
        <w:autoSpaceDN/>
      </w:pPr>
      <w:r w:rsidRPr="00713D42">
        <w:rPr>
          <w:rFonts w:hint="eastAsia"/>
        </w:rPr>
        <w:t>服務業廠商缺工人數為</w:t>
      </w:r>
      <w:r w:rsidRPr="00713D42">
        <w:t>113</w:t>
      </w:r>
      <w:r w:rsidRPr="00713D42">
        <w:rPr>
          <w:rFonts w:hint="eastAsia"/>
        </w:rPr>
        <w:t>,</w:t>
      </w:r>
      <w:r w:rsidRPr="00713D42">
        <w:t>659</w:t>
      </w:r>
      <w:r w:rsidRPr="00713D42">
        <w:rPr>
          <w:rFonts w:hint="eastAsia"/>
        </w:rPr>
        <w:t>人，其中</w:t>
      </w:r>
      <w:r w:rsidRPr="00713D42">
        <w:rPr>
          <w:rFonts w:hAnsi="標楷體" w:hint="eastAsia"/>
        </w:rPr>
        <w:t>「</w:t>
      </w:r>
      <w:r w:rsidRPr="00713D42">
        <w:rPr>
          <w:rFonts w:hint="eastAsia"/>
        </w:rPr>
        <w:t>服務及銷售工作人員</w:t>
      </w:r>
      <w:r w:rsidRPr="00713D42">
        <w:rPr>
          <w:rFonts w:hAnsi="標楷體" w:hint="eastAsia"/>
        </w:rPr>
        <w:t>」缺工</w:t>
      </w:r>
      <w:r w:rsidRPr="00713D42">
        <w:rPr>
          <w:rFonts w:hint="eastAsia"/>
        </w:rPr>
        <w:t>33,138人，缺工人數最高，</w:t>
      </w:r>
      <w:r w:rsidRPr="00713D42">
        <w:rPr>
          <w:rFonts w:hAnsi="標楷體" w:hint="eastAsia"/>
        </w:rPr>
        <w:t>「</w:t>
      </w:r>
      <w:r w:rsidRPr="00713D42">
        <w:rPr>
          <w:rFonts w:hint="eastAsia"/>
        </w:rPr>
        <w:t>技術員及助理專業人員</w:t>
      </w:r>
      <w:r w:rsidRPr="00713D42">
        <w:rPr>
          <w:rFonts w:hAnsi="標楷體" w:hint="eastAsia"/>
        </w:rPr>
        <w:t>」缺工</w:t>
      </w:r>
      <w:r w:rsidRPr="00713D42">
        <w:rPr>
          <w:rFonts w:hint="eastAsia"/>
        </w:rPr>
        <w:t>27,152人次之，</w:t>
      </w:r>
      <w:r w:rsidRPr="00713D42">
        <w:rPr>
          <w:rFonts w:hAnsi="標楷體" w:hint="eastAsia"/>
        </w:rPr>
        <w:t>「專業人員」缺工</w:t>
      </w:r>
      <w:r w:rsidRPr="00713D42">
        <w:t>16</w:t>
      </w:r>
      <w:r w:rsidRPr="00713D42">
        <w:rPr>
          <w:rFonts w:hint="eastAsia"/>
        </w:rPr>
        <w:t>,</w:t>
      </w:r>
      <w:r w:rsidRPr="00713D42">
        <w:t>814</w:t>
      </w:r>
      <w:r w:rsidRPr="00713D42">
        <w:rPr>
          <w:rFonts w:hint="eastAsia"/>
        </w:rPr>
        <w:t>人排名第三。</w:t>
      </w:r>
    </w:p>
    <w:p w:rsidR="00372CA7" w:rsidRPr="00713D42" w:rsidRDefault="00372CA7" w:rsidP="00F6299D">
      <w:pPr>
        <w:pStyle w:val="4"/>
        <w:numPr>
          <w:ilvl w:val="3"/>
          <w:numId w:val="20"/>
        </w:numPr>
        <w:overflowPunct/>
        <w:autoSpaceDE/>
        <w:autoSpaceDN/>
      </w:pPr>
      <w:r w:rsidRPr="00713D42">
        <w:rPr>
          <w:rFonts w:hint="eastAsia"/>
        </w:rPr>
        <w:t>缺地:</w:t>
      </w:r>
    </w:p>
    <w:p w:rsidR="00372CA7" w:rsidRPr="00713D42" w:rsidRDefault="00372CA7" w:rsidP="00372CA7">
      <w:pPr>
        <w:pStyle w:val="4"/>
        <w:numPr>
          <w:ilvl w:val="0"/>
          <w:numId w:val="0"/>
        </w:numPr>
        <w:ind w:left="1701" w:firstLineChars="203" w:firstLine="708"/>
      </w:pPr>
      <w:r w:rsidRPr="00713D42">
        <w:rPr>
          <w:rFonts w:hint="eastAsia"/>
        </w:rPr>
        <w:t>近年工業區土地逐年上漲，累計上漲高於住宅區、商業區(詳表8)，造成投資者成本逐年上漲，另因土地無法移動，產業用地供需區位失衡，中部以北工業區土地幾乎是一地難求。</w:t>
      </w:r>
    </w:p>
    <w:p w:rsidR="00372CA7" w:rsidRPr="00713D42" w:rsidRDefault="00372CA7" w:rsidP="00372CA7">
      <w:pPr>
        <w:pStyle w:val="a5"/>
        <w:ind w:left="1048" w:hanging="480"/>
        <w:jc w:val="center"/>
        <w:rPr>
          <w:b/>
        </w:rPr>
      </w:pPr>
      <w:r w:rsidRPr="00713D42">
        <w:rPr>
          <w:rFonts w:hint="eastAsia"/>
          <w:b/>
        </w:rPr>
        <w:t>都市地區地價指數</w:t>
      </w:r>
    </w:p>
    <w:p w:rsidR="00372CA7" w:rsidRPr="00713D42" w:rsidRDefault="00372CA7" w:rsidP="00372CA7">
      <w:pPr>
        <w:pStyle w:val="4"/>
        <w:numPr>
          <w:ilvl w:val="0"/>
          <w:numId w:val="0"/>
        </w:numPr>
        <w:spacing w:line="240" w:lineRule="exact"/>
        <w:ind w:left="1701"/>
        <w:jc w:val="right"/>
        <w:rPr>
          <w:sz w:val="20"/>
          <w:szCs w:val="20"/>
        </w:rPr>
      </w:pPr>
      <w:r w:rsidRPr="00713D42">
        <w:rPr>
          <w:rFonts w:hint="eastAsia"/>
          <w:sz w:val="20"/>
          <w:szCs w:val="20"/>
        </w:rPr>
        <w:t>單位:%</w:t>
      </w:r>
    </w:p>
    <w:tbl>
      <w:tblPr>
        <w:tblW w:w="836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678"/>
        <w:gridCol w:w="1276"/>
        <w:gridCol w:w="1276"/>
        <w:gridCol w:w="1134"/>
      </w:tblGrid>
      <w:tr w:rsidR="00372CA7" w:rsidRPr="00713D42" w:rsidTr="00B10A4D">
        <w:trPr>
          <w:trHeight w:val="205"/>
        </w:trPr>
        <w:tc>
          <w:tcPr>
            <w:tcW w:w="4678" w:type="dxa"/>
          </w:tcPr>
          <w:p w:rsidR="00372CA7" w:rsidRPr="00713D42" w:rsidRDefault="00372CA7" w:rsidP="00B10A4D">
            <w:pPr>
              <w:jc w:val="center"/>
              <w:rPr>
                <w:b/>
                <w:sz w:val="24"/>
                <w:szCs w:val="24"/>
              </w:rPr>
            </w:pPr>
            <w:r w:rsidRPr="00713D42">
              <w:rPr>
                <w:rFonts w:hint="eastAsia"/>
                <w:b/>
                <w:sz w:val="24"/>
                <w:szCs w:val="24"/>
              </w:rPr>
              <w:t>期間</w:t>
            </w:r>
          </w:p>
        </w:tc>
        <w:tc>
          <w:tcPr>
            <w:tcW w:w="1276" w:type="dxa"/>
          </w:tcPr>
          <w:p w:rsidR="00372CA7" w:rsidRPr="00713D42" w:rsidRDefault="00372CA7" w:rsidP="00B10A4D">
            <w:pPr>
              <w:jc w:val="center"/>
              <w:rPr>
                <w:b/>
                <w:sz w:val="24"/>
                <w:szCs w:val="24"/>
              </w:rPr>
            </w:pPr>
            <w:r w:rsidRPr="00713D42">
              <w:rPr>
                <w:rFonts w:hint="eastAsia"/>
                <w:b/>
                <w:sz w:val="24"/>
                <w:szCs w:val="24"/>
              </w:rPr>
              <w:t>住宅區</w:t>
            </w:r>
          </w:p>
        </w:tc>
        <w:tc>
          <w:tcPr>
            <w:tcW w:w="1276" w:type="dxa"/>
          </w:tcPr>
          <w:p w:rsidR="00372CA7" w:rsidRPr="00713D42" w:rsidRDefault="00372CA7" w:rsidP="00B10A4D">
            <w:pPr>
              <w:jc w:val="center"/>
              <w:rPr>
                <w:b/>
                <w:sz w:val="24"/>
                <w:szCs w:val="24"/>
              </w:rPr>
            </w:pPr>
            <w:r w:rsidRPr="00713D42">
              <w:rPr>
                <w:rFonts w:hint="eastAsia"/>
                <w:b/>
                <w:sz w:val="24"/>
                <w:szCs w:val="24"/>
              </w:rPr>
              <w:t>商業區</w:t>
            </w:r>
          </w:p>
        </w:tc>
        <w:tc>
          <w:tcPr>
            <w:tcW w:w="1134" w:type="dxa"/>
          </w:tcPr>
          <w:p w:rsidR="00372CA7" w:rsidRPr="00713D42" w:rsidRDefault="00372CA7" w:rsidP="00B10A4D">
            <w:pPr>
              <w:jc w:val="center"/>
              <w:rPr>
                <w:b/>
                <w:sz w:val="24"/>
                <w:szCs w:val="24"/>
              </w:rPr>
            </w:pPr>
            <w:r w:rsidRPr="00713D42">
              <w:rPr>
                <w:rFonts w:hint="eastAsia"/>
                <w:b/>
                <w:sz w:val="24"/>
                <w:szCs w:val="24"/>
              </w:rPr>
              <w:t>工業區</w:t>
            </w:r>
          </w:p>
        </w:tc>
      </w:tr>
      <w:tr w:rsidR="00372CA7" w:rsidRPr="00713D42" w:rsidTr="00B10A4D">
        <w:trPr>
          <w:trHeight w:val="288"/>
        </w:trPr>
        <w:tc>
          <w:tcPr>
            <w:tcW w:w="4678" w:type="dxa"/>
          </w:tcPr>
          <w:p w:rsidR="00372CA7" w:rsidRPr="00713D42" w:rsidRDefault="00372CA7" w:rsidP="00B10A4D">
            <w:pPr>
              <w:rPr>
                <w:sz w:val="24"/>
                <w:szCs w:val="24"/>
              </w:rPr>
            </w:pPr>
            <w:r w:rsidRPr="00713D42">
              <w:rPr>
                <w:rFonts w:hint="eastAsia"/>
                <w:sz w:val="24"/>
                <w:szCs w:val="24"/>
              </w:rPr>
              <w:t>101年10月1日至102年3月31日</w:t>
            </w:r>
          </w:p>
        </w:tc>
        <w:tc>
          <w:tcPr>
            <w:tcW w:w="1276" w:type="dxa"/>
          </w:tcPr>
          <w:p w:rsidR="00372CA7" w:rsidRPr="00713D42" w:rsidRDefault="00372CA7" w:rsidP="00B10A4D">
            <w:pPr>
              <w:jc w:val="center"/>
              <w:rPr>
                <w:sz w:val="24"/>
                <w:szCs w:val="24"/>
              </w:rPr>
            </w:pPr>
            <w:r w:rsidRPr="00713D42">
              <w:rPr>
                <w:rFonts w:hint="eastAsia"/>
                <w:sz w:val="24"/>
                <w:szCs w:val="24"/>
              </w:rPr>
              <w:t>3.87</w:t>
            </w:r>
          </w:p>
        </w:tc>
        <w:tc>
          <w:tcPr>
            <w:tcW w:w="1276" w:type="dxa"/>
          </w:tcPr>
          <w:p w:rsidR="00372CA7" w:rsidRPr="00713D42" w:rsidRDefault="00372CA7" w:rsidP="00B10A4D">
            <w:pPr>
              <w:jc w:val="center"/>
              <w:rPr>
                <w:sz w:val="24"/>
                <w:szCs w:val="24"/>
              </w:rPr>
            </w:pPr>
            <w:r w:rsidRPr="00713D42">
              <w:rPr>
                <w:rFonts w:hint="eastAsia"/>
                <w:sz w:val="24"/>
                <w:szCs w:val="24"/>
              </w:rPr>
              <w:t>3.53</w:t>
            </w:r>
          </w:p>
        </w:tc>
        <w:tc>
          <w:tcPr>
            <w:tcW w:w="1134" w:type="dxa"/>
          </w:tcPr>
          <w:p w:rsidR="00372CA7" w:rsidRPr="00713D42" w:rsidRDefault="00372CA7" w:rsidP="00B10A4D">
            <w:pPr>
              <w:jc w:val="center"/>
              <w:rPr>
                <w:sz w:val="24"/>
                <w:szCs w:val="24"/>
              </w:rPr>
            </w:pPr>
            <w:r w:rsidRPr="00713D42">
              <w:rPr>
                <w:rFonts w:hint="eastAsia"/>
                <w:sz w:val="24"/>
                <w:szCs w:val="24"/>
              </w:rPr>
              <w:t>4.17</w:t>
            </w:r>
          </w:p>
        </w:tc>
      </w:tr>
      <w:tr w:rsidR="00372CA7" w:rsidRPr="00713D42" w:rsidTr="00B10A4D">
        <w:trPr>
          <w:trHeight w:val="172"/>
        </w:trPr>
        <w:tc>
          <w:tcPr>
            <w:tcW w:w="4678" w:type="dxa"/>
          </w:tcPr>
          <w:p w:rsidR="00372CA7" w:rsidRPr="00713D42" w:rsidRDefault="00372CA7" w:rsidP="00B10A4D">
            <w:pPr>
              <w:rPr>
                <w:sz w:val="24"/>
                <w:szCs w:val="24"/>
              </w:rPr>
            </w:pPr>
            <w:r w:rsidRPr="00713D42">
              <w:rPr>
                <w:rFonts w:hint="eastAsia"/>
                <w:sz w:val="24"/>
                <w:szCs w:val="24"/>
              </w:rPr>
              <w:t>102年4月1日至102年9月30日</w:t>
            </w:r>
          </w:p>
        </w:tc>
        <w:tc>
          <w:tcPr>
            <w:tcW w:w="1276" w:type="dxa"/>
          </w:tcPr>
          <w:p w:rsidR="00372CA7" w:rsidRPr="00713D42" w:rsidRDefault="00372CA7" w:rsidP="00B10A4D">
            <w:pPr>
              <w:jc w:val="center"/>
              <w:rPr>
                <w:sz w:val="24"/>
                <w:szCs w:val="24"/>
              </w:rPr>
            </w:pPr>
            <w:r w:rsidRPr="00713D42">
              <w:rPr>
                <w:rFonts w:hint="eastAsia"/>
                <w:sz w:val="24"/>
                <w:szCs w:val="24"/>
              </w:rPr>
              <w:t>6.11</w:t>
            </w:r>
          </w:p>
        </w:tc>
        <w:tc>
          <w:tcPr>
            <w:tcW w:w="1276" w:type="dxa"/>
          </w:tcPr>
          <w:p w:rsidR="00372CA7" w:rsidRPr="00713D42" w:rsidRDefault="00372CA7" w:rsidP="00B10A4D">
            <w:pPr>
              <w:jc w:val="center"/>
              <w:rPr>
                <w:sz w:val="24"/>
                <w:szCs w:val="24"/>
              </w:rPr>
            </w:pPr>
            <w:r w:rsidRPr="00713D42">
              <w:rPr>
                <w:rFonts w:hint="eastAsia"/>
                <w:sz w:val="24"/>
                <w:szCs w:val="24"/>
              </w:rPr>
              <w:t>4.70</w:t>
            </w:r>
          </w:p>
        </w:tc>
        <w:tc>
          <w:tcPr>
            <w:tcW w:w="1134" w:type="dxa"/>
          </w:tcPr>
          <w:p w:rsidR="00372CA7" w:rsidRPr="00713D42" w:rsidRDefault="00372CA7" w:rsidP="00B10A4D">
            <w:pPr>
              <w:jc w:val="center"/>
              <w:rPr>
                <w:sz w:val="24"/>
                <w:szCs w:val="24"/>
              </w:rPr>
            </w:pPr>
            <w:r w:rsidRPr="00713D42">
              <w:rPr>
                <w:rFonts w:hint="eastAsia"/>
                <w:sz w:val="24"/>
                <w:szCs w:val="24"/>
              </w:rPr>
              <w:t>6.07</w:t>
            </w:r>
          </w:p>
        </w:tc>
      </w:tr>
      <w:tr w:rsidR="00372CA7" w:rsidRPr="00713D42" w:rsidTr="00B10A4D">
        <w:trPr>
          <w:trHeight w:val="175"/>
        </w:trPr>
        <w:tc>
          <w:tcPr>
            <w:tcW w:w="4678" w:type="dxa"/>
          </w:tcPr>
          <w:p w:rsidR="00372CA7" w:rsidRPr="00713D42" w:rsidRDefault="00372CA7" w:rsidP="00B10A4D">
            <w:pPr>
              <w:rPr>
                <w:sz w:val="24"/>
                <w:szCs w:val="24"/>
              </w:rPr>
            </w:pPr>
            <w:r w:rsidRPr="00713D42">
              <w:rPr>
                <w:rFonts w:hint="eastAsia"/>
                <w:sz w:val="24"/>
                <w:szCs w:val="24"/>
              </w:rPr>
              <w:t>102年10月1日至103年3月31日</w:t>
            </w:r>
          </w:p>
        </w:tc>
        <w:tc>
          <w:tcPr>
            <w:tcW w:w="1276" w:type="dxa"/>
          </w:tcPr>
          <w:p w:rsidR="00372CA7" w:rsidRPr="00713D42" w:rsidRDefault="00372CA7" w:rsidP="00B10A4D">
            <w:pPr>
              <w:jc w:val="center"/>
              <w:rPr>
                <w:sz w:val="24"/>
                <w:szCs w:val="24"/>
              </w:rPr>
            </w:pPr>
            <w:r w:rsidRPr="00713D42">
              <w:rPr>
                <w:rFonts w:hint="eastAsia"/>
                <w:sz w:val="24"/>
                <w:szCs w:val="24"/>
              </w:rPr>
              <w:t>4.35</w:t>
            </w:r>
          </w:p>
        </w:tc>
        <w:tc>
          <w:tcPr>
            <w:tcW w:w="1276" w:type="dxa"/>
          </w:tcPr>
          <w:p w:rsidR="00372CA7" w:rsidRPr="00713D42" w:rsidRDefault="00372CA7" w:rsidP="00B10A4D">
            <w:pPr>
              <w:jc w:val="center"/>
              <w:rPr>
                <w:sz w:val="24"/>
                <w:szCs w:val="24"/>
              </w:rPr>
            </w:pPr>
            <w:r w:rsidRPr="00713D42">
              <w:rPr>
                <w:rFonts w:hint="eastAsia"/>
                <w:sz w:val="24"/>
                <w:szCs w:val="24"/>
              </w:rPr>
              <w:t>4.32</w:t>
            </w:r>
          </w:p>
        </w:tc>
        <w:tc>
          <w:tcPr>
            <w:tcW w:w="1134" w:type="dxa"/>
          </w:tcPr>
          <w:p w:rsidR="00372CA7" w:rsidRPr="00713D42" w:rsidRDefault="00372CA7" w:rsidP="00B10A4D">
            <w:pPr>
              <w:jc w:val="center"/>
              <w:rPr>
                <w:sz w:val="24"/>
                <w:szCs w:val="24"/>
              </w:rPr>
            </w:pPr>
            <w:r w:rsidRPr="00713D42">
              <w:rPr>
                <w:rFonts w:hint="eastAsia"/>
                <w:sz w:val="24"/>
                <w:szCs w:val="24"/>
              </w:rPr>
              <w:t>4.35</w:t>
            </w:r>
          </w:p>
        </w:tc>
      </w:tr>
      <w:tr w:rsidR="00372CA7" w:rsidRPr="00713D42" w:rsidTr="00B10A4D">
        <w:trPr>
          <w:trHeight w:val="238"/>
        </w:trPr>
        <w:tc>
          <w:tcPr>
            <w:tcW w:w="4678" w:type="dxa"/>
          </w:tcPr>
          <w:p w:rsidR="00372CA7" w:rsidRPr="00713D42" w:rsidRDefault="00372CA7" w:rsidP="00B10A4D">
            <w:pPr>
              <w:rPr>
                <w:sz w:val="24"/>
                <w:szCs w:val="24"/>
              </w:rPr>
            </w:pPr>
            <w:r w:rsidRPr="00713D42">
              <w:rPr>
                <w:rFonts w:hint="eastAsia"/>
                <w:sz w:val="24"/>
                <w:szCs w:val="24"/>
              </w:rPr>
              <w:t>103年4月1日至103年9月30日</w:t>
            </w:r>
          </w:p>
        </w:tc>
        <w:tc>
          <w:tcPr>
            <w:tcW w:w="1276" w:type="dxa"/>
          </w:tcPr>
          <w:p w:rsidR="00372CA7" w:rsidRPr="00713D42" w:rsidRDefault="00372CA7" w:rsidP="00B10A4D">
            <w:pPr>
              <w:jc w:val="center"/>
              <w:rPr>
                <w:sz w:val="24"/>
                <w:szCs w:val="24"/>
              </w:rPr>
            </w:pPr>
            <w:r w:rsidRPr="00713D42">
              <w:rPr>
                <w:rFonts w:hint="eastAsia"/>
                <w:sz w:val="24"/>
                <w:szCs w:val="24"/>
              </w:rPr>
              <w:t>4.26</w:t>
            </w:r>
          </w:p>
        </w:tc>
        <w:tc>
          <w:tcPr>
            <w:tcW w:w="1276" w:type="dxa"/>
          </w:tcPr>
          <w:p w:rsidR="00372CA7" w:rsidRPr="00713D42" w:rsidRDefault="00372CA7" w:rsidP="00B10A4D">
            <w:pPr>
              <w:jc w:val="center"/>
              <w:rPr>
                <w:sz w:val="24"/>
                <w:szCs w:val="24"/>
              </w:rPr>
            </w:pPr>
            <w:r w:rsidRPr="00713D42">
              <w:rPr>
                <w:rFonts w:hint="eastAsia"/>
                <w:sz w:val="24"/>
                <w:szCs w:val="24"/>
              </w:rPr>
              <w:t>4.30</w:t>
            </w:r>
          </w:p>
        </w:tc>
        <w:tc>
          <w:tcPr>
            <w:tcW w:w="1134" w:type="dxa"/>
          </w:tcPr>
          <w:p w:rsidR="00372CA7" w:rsidRPr="00713D42" w:rsidRDefault="00372CA7" w:rsidP="00B10A4D">
            <w:pPr>
              <w:jc w:val="center"/>
              <w:rPr>
                <w:sz w:val="24"/>
                <w:szCs w:val="24"/>
              </w:rPr>
            </w:pPr>
            <w:r w:rsidRPr="00713D42">
              <w:rPr>
                <w:rFonts w:hint="eastAsia"/>
                <w:sz w:val="24"/>
                <w:szCs w:val="24"/>
              </w:rPr>
              <w:t>3.98</w:t>
            </w:r>
          </w:p>
        </w:tc>
      </w:tr>
      <w:tr w:rsidR="00372CA7" w:rsidRPr="00713D42" w:rsidTr="00B10A4D">
        <w:trPr>
          <w:trHeight w:val="172"/>
        </w:trPr>
        <w:tc>
          <w:tcPr>
            <w:tcW w:w="4678" w:type="dxa"/>
          </w:tcPr>
          <w:p w:rsidR="00372CA7" w:rsidRPr="00713D42" w:rsidRDefault="00372CA7" w:rsidP="00B10A4D">
            <w:pPr>
              <w:rPr>
                <w:sz w:val="24"/>
                <w:szCs w:val="24"/>
              </w:rPr>
            </w:pPr>
            <w:r w:rsidRPr="00713D42">
              <w:rPr>
                <w:rFonts w:hint="eastAsia"/>
                <w:sz w:val="24"/>
                <w:szCs w:val="24"/>
              </w:rPr>
              <w:t>103年10月1日至104年3月31日</w:t>
            </w:r>
          </w:p>
        </w:tc>
        <w:tc>
          <w:tcPr>
            <w:tcW w:w="1276" w:type="dxa"/>
          </w:tcPr>
          <w:p w:rsidR="00372CA7" w:rsidRPr="00713D42" w:rsidRDefault="00372CA7" w:rsidP="00B10A4D">
            <w:pPr>
              <w:jc w:val="center"/>
              <w:rPr>
                <w:sz w:val="24"/>
                <w:szCs w:val="24"/>
              </w:rPr>
            </w:pPr>
            <w:r w:rsidRPr="00713D42">
              <w:rPr>
                <w:rFonts w:hint="eastAsia"/>
                <w:sz w:val="24"/>
                <w:szCs w:val="24"/>
              </w:rPr>
              <w:t>2.19</w:t>
            </w:r>
          </w:p>
        </w:tc>
        <w:tc>
          <w:tcPr>
            <w:tcW w:w="1276" w:type="dxa"/>
          </w:tcPr>
          <w:p w:rsidR="00372CA7" w:rsidRPr="00713D42" w:rsidRDefault="00372CA7" w:rsidP="00B10A4D">
            <w:pPr>
              <w:jc w:val="center"/>
              <w:rPr>
                <w:sz w:val="24"/>
                <w:szCs w:val="24"/>
              </w:rPr>
            </w:pPr>
            <w:r w:rsidRPr="00713D42">
              <w:rPr>
                <w:rFonts w:hint="eastAsia"/>
                <w:sz w:val="24"/>
                <w:szCs w:val="24"/>
              </w:rPr>
              <w:t>1.98</w:t>
            </w:r>
          </w:p>
        </w:tc>
        <w:tc>
          <w:tcPr>
            <w:tcW w:w="1134" w:type="dxa"/>
          </w:tcPr>
          <w:p w:rsidR="00372CA7" w:rsidRPr="00713D42" w:rsidRDefault="00372CA7" w:rsidP="00B10A4D">
            <w:pPr>
              <w:jc w:val="center"/>
              <w:rPr>
                <w:sz w:val="24"/>
                <w:szCs w:val="24"/>
              </w:rPr>
            </w:pPr>
            <w:r w:rsidRPr="00713D42">
              <w:rPr>
                <w:rFonts w:hint="eastAsia"/>
                <w:sz w:val="24"/>
                <w:szCs w:val="24"/>
              </w:rPr>
              <w:t>2.15</w:t>
            </w:r>
          </w:p>
        </w:tc>
      </w:tr>
      <w:tr w:rsidR="00372CA7" w:rsidRPr="00713D42" w:rsidTr="00B10A4D">
        <w:trPr>
          <w:trHeight w:val="288"/>
        </w:trPr>
        <w:tc>
          <w:tcPr>
            <w:tcW w:w="4678" w:type="dxa"/>
          </w:tcPr>
          <w:p w:rsidR="00372CA7" w:rsidRPr="00713D42" w:rsidRDefault="00372CA7" w:rsidP="00B10A4D">
            <w:pPr>
              <w:rPr>
                <w:sz w:val="24"/>
                <w:szCs w:val="24"/>
              </w:rPr>
            </w:pPr>
            <w:r w:rsidRPr="00713D42">
              <w:rPr>
                <w:rFonts w:hint="eastAsia"/>
                <w:sz w:val="24"/>
                <w:szCs w:val="24"/>
              </w:rPr>
              <w:t>104年10月1日至105年3月31日</w:t>
            </w:r>
          </w:p>
        </w:tc>
        <w:tc>
          <w:tcPr>
            <w:tcW w:w="1276" w:type="dxa"/>
          </w:tcPr>
          <w:p w:rsidR="00372CA7" w:rsidRPr="00713D42" w:rsidRDefault="00372CA7" w:rsidP="00B10A4D">
            <w:pPr>
              <w:jc w:val="center"/>
              <w:rPr>
                <w:sz w:val="24"/>
                <w:szCs w:val="24"/>
              </w:rPr>
            </w:pPr>
            <w:r w:rsidRPr="00713D42">
              <w:rPr>
                <w:rFonts w:hint="eastAsia"/>
                <w:sz w:val="24"/>
                <w:szCs w:val="24"/>
              </w:rPr>
              <w:t>0.04</w:t>
            </w:r>
          </w:p>
        </w:tc>
        <w:tc>
          <w:tcPr>
            <w:tcW w:w="1276" w:type="dxa"/>
          </w:tcPr>
          <w:p w:rsidR="00372CA7" w:rsidRPr="00713D42" w:rsidRDefault="00372CA7" w:rsidP="00B10A4D">
            <w:pPr>
              <w:jc w:val="center"/>
              <w:rPr>
                <w:sz w:val="24"/>
                <w:szCs w:val="24"/>
              </w:rPr>
            </w:pPr>
            <w:r w:rsidRPr="00713D42">
              <w:rPr>
                <w:rFonts w:hint="eastAsia"/>
                <w:sz w:val="24"/>
                <w:szCs w:val="24"/>
              </w:rPr>
              <w:t>-0.16</w:t>
            </w:r>
          </w:p>
        </w:tc>
        <w:tc>
          <w:tcPr>
            <w:tcW w:w="1134" w:type="dxa"/>
          </w:tcPr>
          <w:p w:rsidR="00372CA7" w:rsidRPr="00713D42" w:rsidRDefault="00372CA7" w:rsidP="00B10A4D">
            <w:pPr>
              <w:jc w:val="center"/>
              <w:rPr>
                <w:sz w:val="24"/>
                <w:szCs w:val="24"/>
              </w:rPr>
            </w:pPr>
            <w:r w:rsidRPr="00713D42">
              <w:rPr>
                <w:rFonts w:hint="eastAsia"/>
                <w:sz w:val="24"/>
                <w:szCs w:val="24"/>
              </w:rPr>
              <w:t>0.50</w:t>
            </w:r>
          </w:p>
        </w:tc>
      </w:tr>
    </w:tbl>
    <w:p w:rsidR="00372CA7" w:rsidRPr="00713D42" w:rsidRDefault="00372CA7" w:rsidP="00372CA7">
      <w:pPr>
        <w:pStyle w:val="4"/>
        <w:numPr>
          <w:ilvl w:val="0"/>
          <w:numId w:val="0"/>
        </w:numPr>
        <w:spacing w:afterLines="50" w:after="220" w:line="240" w:lineRule="exact"/>
        <w:ind w:leftChars="-1" w:left="-3" w:firstLineChars="339" w:firstLine="709"/>
        <w:jc w:val="left"/>
        <w:rPr>
          <w:sz w:val="18"/>
          <w:szCs w:val="18"/>
        </w:rPr>
      </w:pPr>
      <w:r w:rsidRPr="00713D42">
        <w:rPr>
          <w:rFonts w:hint="eastAsia"/>
          <w:sz w:val="18"/>
          <w:szCs w:val="18"/>
        </w:rPr>
        <w:t>資料來源:內政部地政司都市地區地價指數，經本院整理。</w:t>
      </w:r>
    </w:p>
    <w:p w:rsidR="00372CA7" w:rsidRPr="00713D42" w:rsidRDefault="00372CA7" w:rsidP="00F6299D">
      <w:pPr>
        <w:pStyle w:val="3"/>
        <w:numPr>
          <w:ilvl w:val="2"/>
          <w:numId w:val="20"/>
        </w:numPr>
        <w:overflowPunct/>
        <w:autoSpaceDE/>
        <w:autoSpaceDN/>
      </w:pPr>
      <w:bookmarkStart w:id="67" w:name="_Toc469271771"/>
      <w:bookmarkStart w:id="68" w:name="_Toc470099663"/>
      <w:r w:rsidRPr="00713D42">
        <w:rPr>
          <w:rFonts w:hint="eastAsia"/>
        </w:rPr>
        <w:t>政府改善措施:</w:t>
      </w:r>
      <w:bookmarkEnd w:id="67"/>
      <w:bookmarkEnd w:id="68"/>
    </w:p>
    <w:p w:rsidR="00372CA7" w:rsidRPr="00713D42" w:rsidRDefault="00372CA7" w:rsidP="00F6299D">
      <w:pPr>
        <w:pStyle w:val="4"/>
        <w:numPr>
          <w:ilvl w:val="3"/>
          <w:numId w:val="20"/>
        </w:numPr>
        <w:overflowPunct/>
        <w:autoSpaceDE/>
        <w:autoSpaceDN/>
      </w:pPr>
      <w:r w:rsidRPr="00713D42">
        <w:rPr>
          <w:rFonts w:hint="eastAsia"/>
        </w:rPr>
        <w:t>政府已訂有</w:t>
      </w:r>
      <w:r w:rsidRPr="00713D42">
        <w:rPr>
          <w:rFonts w:hAnsi="標楷體" w:hint="eastAsia"/>
        </w:rPr>
        <w:t>「數位國家·創新經濟發展方案」推動我國數位環境之建設。</w:t>
      </w:r>
    </w:p>
    <w:p w:rsidR="00372CA7" w:rsidRPr="00713D42" w:rsidRDefault="00372CA7" w:rsidP="00F6299D">
      <w:pPr>
        <w:pStyle w:val="4"/>
        <w:numPr>
          <w:ilvl w:val="3"/>
          <w:numId w:val="20"/>
        </w:numPr>
        <w:overflowPunct/>
        <w:autoSpaceDE/>
        <w:autoSpaceDN/>
      </w:pPr>
      <w:r w:rsidRPr="00713D42">
        <w:rPr>
          <w:rFonts w:hint="eastAsia"/>
        </w:rPr>
        <w:t>缺水問題：「再生水資源發展條例」於104年12月30日業奉總統令發布施行，相關子法亦將陸續制定。未來再生水將成為我國新增產業用水重要水源，除可自行開發利用，亦可作為供水事業。</w:t>
      </w:r>
    </w:p>
    <w:p w:rsidR="00372CA7" w:rsidRPr="00713D42" w:rsidRDefault="00372CA7" w:rsidP="00F6299D">
      <w:pPr>
        <w:pStyle w:val="4"/>
        <w:numPr>
          <w:ilvl w:val="3"/>
          <w:numId w:val="20"/>
        </w:numPr>
        <w:overflowPunct/>
        <w:autoSpaceDE/>
        <w:autoSpaceDN/>
      </w:pPr>
      <w:r w:rsidRPr="00713D42">
        <w:rPr>
          <w:rFonts w:hint="eastAsia"/>
        </w:rPr>
        <w:t>缺電問題：</w:t>
      </w:r>
    </w:p>
    <w:p w:rsidR="00372CA7" w:rsidRPr="00713D42" w:rsidRDefault="00372CA7" w:rsidP="00F6299D">
      <w:pPr>
        <w:pStyle w:val="5"/>
        <w:numPr>
          <w:ilvl w:val="4"/>
          <w:numId w:val="20"/>
        </w:numPr>
        <w:overflowPunct/>
        <w:autoSpaceDE/>
        <w:autoSpaceDN/>
      </w:pPr>
      <w:r w:rsidRPr="00713D42">
        <w:rPr>
          <w:rFonts w:hint="eastAsia"/>
        </w:rPr>
        <w:t>供給面部分:臺電公司已持續強化既有機組運轉與維護，確保機組可用，並確保規劃及施工中之燃煤及燃氣電廠(如林口、通霄等電廠</w:t>
      </w:r>
      <w:r w:rsidRPr="00713D42">
        <w:rPr>
          <w:rFonts w:hint="eastAsia"/>
        </w:rPr>
        <w:lastRenderedPageBreak/>
        <w:t>更新計畫)都能如期完工商轉。另經濟部已完成修訂「汽電共生系統實施辦法」相關條文，建立緊急增購電力之機制，以善用汽電共生系統之供電潛力。並推動智慧節電計畫、擴大使用再生能源及加速第三座天然氣接收站興建。</w:t>
      </w:r>
    </w:p>
    <w:p w:rsidR="00372CA7" w:rsidRPr="00713D42" w:rsidRDefault="00372CA7" w:rsidP="00F6299D">
      <w:pPr>
        <w:pStyle w:val="5"/>
        <w:numPr>
          <w:ilvl w:val="4"/>
          <w:numId w:val="20"/>
        </w:numPr>
        <w:overflowPunct/>
        <w:autoSpaceDE/>
        <w:autoSpaceDN/>
      </w:pPr>
      <w:r w:rsidRPr="00713D42">
        <w:rPr>
          <w:rFonts w:hint="eastAsia"/>
        </w:rPr>
        <w:t>需求面部分:臺電公司已完成修訂需量競價措施，並透過建置需量競價用戶平臺、公開揭露競價相關訊息、提供用戶線上報價管道，便利用戶參與，另規劃新時間電價措施，以增加抑低尖峰之效果。</w:t>
      </w:r>
    </w:p>
    <w:p w:rsidR="00372CA7" w:rsidRPr="00713D42" w:rsidRDefault="00372CA7" w:rsidP="00F6299D">
      <w:pPr>
        <w:pStyle w:val="5"/>
        <w:numPr>
          <w:ilvl w:val="4"/>
          <w:numId w:val="20"/>
        </w:numPr>
        <w:overflowPunct/>
        <w:autoSpaceDE/>
        <w:autoSpaceDN/>
      </w:pPr>
      <w:r w:rsidRPr="00713D42">
        <w:rPr>
          <w:rFonts w:hint="eastAsia"/>
        </w:rPr>
        <w:t>在中長期策略方面，供給面將持續推動傳統火力電廠汰舊換新工作，引進高效率機組同時減少污染排放，並擴大再生能源開發及建置北部天然氣第三接收站，增加電力供應能力同時降低碳排放；而需求面管理部分，未來將透過擴大智慧電表(AMI)建置，推動更具效益之時間電價及節電措施，抑低用電需求。</w:t>
      </w:r>
    </w:p>
    <w:p w:rsidR="00372CA7" w:rsidRPr="00713D42" w:rsidRDefault="00372CA7" w:rsidP="00F6299D">
      <w:pPr>
        <w:pStyle w:val="4"/>
        <w:numPr>
          <w:ilvl w:val="3"/>
          <w:numId w:val="20"/>
        </w:numPr>
        <w:overflowPunct/>
        <w:autoSpaceDE/>
        <w:autoSpaceDN/>
      </w:pPr>
      <w:r w:rsidRPr="00713D42">
        <w:rPr>
          <w:rFonts w:hint="eastAsia"/>
        </w:rPr>
        <w:t>缺工問題：</w:t>
      </w:r>
    </w:p>
    <w:p w:rsidR="00372CA7" w:rsidRPr="00713D42" w:rsidRDefault="00372CA7" w:rsidP="00F6299D">
      <w:pPr>
        <w:pStyle w:val="5"/>
        <w:numPr>
          <w:ilvl w:val="4"/>
          <w:numId w:val="20"/>
        </w:numPr>
        <w:overflowPunct/>
        <w:autoSpaceDE/>
        <w:autoSpaceDN/>
      </w:pPr>
      <w:r w:rsidRPr="00713D42">
        <w:rPr>
          <w:rFonts w:hint="eastAsia"/>
        </w:rPr>
        <w:t>目前經濟部工業局正推動「生產力4.0」政策，進行智慧自動化生產，減少對勞工的依賴。</w:t>
      </w:r>
    </w:p>
    <w:p w:rsidR="00372CA7" w:rsidRPr="00713D42" w:rsidRDefault="00372CA7" w:rsidP="00F6299D">
      <w:pPr>
        <w:pStyle w:val="5"/>
        <w:numPr>
          <w:ilvl w:val="4"/>
          <w:numId w:val="20"/>
        </w:numPr>
        <w:overflowPunct/>
        <w:autoSpaceDE/>
        <w:autoSpaceDN/>
      </w:pPr>
      <w:r w:rsidRPr="00713D42">
        <w:rPr>
          <w:rFonts w:hint="eastAsia"/>
        </w:rPr>
        <w:t>加強推動臺商回臺投資方案:提高外勞核配比率、強化職業訓練能量、培育產業技師、培育創新國際化優質軟體人才等。</w:t>
      </w:r>
    </w:p>
    <w:p w:rsidR="00372CA7" w:rsidRPr="00713D42" w:rsidRDefault="00372CA7" w:rsidP="00F6299D">
      <w:pPr>
        <w:pStyle w:val="4"/>
        <w:numPr>
          <w:ilvl w:val="3"/>
          <w:numId w:val="20"/>
        </w:numPr>
        <w:overflowPunct/>
        <w:autoSpaceDE/>
        <w:autoSpaceDN/>
      </w:pPr>
      <w:r w:rsidRPr="00713D42">
        <w:rPr>
          <w:rFonts w:hint="eastAsia"/>
        </w:rPr>
        <w:t>缺地問題：</w:t>
      </w:r>
    </w:p>
    <w:p w:rsidR="00372CA7" w:rsidRPr="00713D42" w:rsidRDefault="00372CA7" w:rsidP="00F6299D">
      <w:pPr>
        <w:pStyle w:val="5"/>
        <w:numPr>
          <w:ilvl w:val="4"/>
          <w:numId w:val="20"/>
        </w:numPr>
        <w:overflowPunct/>
        <w:autoSpaceDE/>
        <w:autoSpaceDN/>
      </w:pPr>
      <w:r w:rsidRPr="00713D42">
        <w:rPr>
          <w:rFonts w:hint="eastAsia"/>
        </w:rPr>
        <w:t>經濟部工業局將持續推動產業用地活化，落實「產業用地政策革新方案」的活化閒置土地、增設適地性用地等兩大主軸。並在104年7月31日開始實施以合作開發方式活化公有或國營事業土地，提供產業園區新開發模式。</w:t>
      </w:r>
    </w:p>
    <w:p w:rsidR="00372CA7" w:rsidRPr="00713D42" w:rsidRDefault="00372CA7" w:rsidP="00F6299D">
      <w:pPr>
        <w:pStyle w:val="5"/>
        <w:numPr>
          <w:ilvl w:val="4"/>
          <w:numId w:val="20"/>
        </w:numPr>
        <w:overflowPunct/>
        <w:autoSpaceDE/>
        <w:autoSpaceDN/>
      </w:pPr>
      <w:r w:rsidRPr="00713D42">
        <w:rPr>
          <w:rFonts w:hint="eastAsia"/>
        </w:rPr>
        <w:t>加強推動臺商回臺投資方案:建置產業用土</w:t>
      </w:r>
      <w:r w:rsidRPr="00713D42">
        <w:rPr>
          <w:rFonts w:hint="eastAsia"/>
        </w:rPr>
        <w:lastRenderedPageBreak/>
        <w:t>地供需資訊整合平臺，提供企業與投資人可透過平臺查詢所有產業用地資訊，加速投資用地選擇進行。</w:t>
      </w:r>
    </w:p>
    <w:p w:rsidR="00372CA7" w:rsidRPr="00713D42" w:rsidRDefault="00372CA7" w:rsidP="00F6299D">
      <w:pPr>
        <w:pStyle w:val="3"/>
        <w:numPr>
          <w:ilvl w:val="2"/>
          <w:numId w:val="20"/>
        </w:numPr>
        <w:overflowPunct/>
        <w:autoSpaceDE/>
        <w:autoSpaceDN/>
      </w:pPr>
      <w:bookmarkStart w:id="69" w:name="_Toc469271772"/>
      <w:bookmarkStart w:id="70" w:name="_Toc470099664"/>
      <w:r w:rsidRPr="00713D42">
        <w:rPr>
          <w:rFonts w:hint="eastAsia"/>
        </w:rPr>
        <w:t>政府雖提出相關改善措施，惟:</w:t>
      </w:r>
      <w:bookmarkEnd w:id="69"/>
      <w:bookmarkEnd w:id="70"/>
    </w:p>
    <w:p w:rsidR="00372CA7" w:rsidRPr="00713D42" w:rsidRDefault="00372CA7" w:rsidP="00F6299D">
      <w:pPr>
        <w:pStyle w:val="4"/>
        <w:numPr>
          <w:ilvl w:val="3"/>
          <w:numId w:val="20"/>
        </w:numPr>
        <w:overflowPunct/>
        <w:autoSpaceDE/>
        <w:autoSpaceDN/>
      </w:pPr>
      <w:r w:rsidRPr="00713D42">
        <w:rPr>
          <w:rFonts w:hint="eastAsia"/>
        </w:rPr>
        <w:t>數位環境部分:政府雖已訂有「數位國家·創新經濟發展方案」推動我國數位環境建設，然相關部會之行動計畫及法規之調適仍在推動中，且我國數位化環境與其他國家相較，並未具有明顯競爭力，政府後續推動數位化之成效仍應持續強化。</w:t>
      </w:r>
    </w:p>
    <w:p w:rsidR="00372CA7" w:rsidRPr="00713D42" w:rsidRDefault="00372CA7" w:rsidP="00F6299D">
      <w:pPr>
        <w:pStyle w:val="4"/>
        <w:numPr>
          <w:ilvl w:val="3"/>
          <w:numId w:val="20"/>
        </w:numPr>
        <w:overflowPunct/>
        <w:autoSpaceDE/>
        <w:autoSpaceDN/>
      </w:pPr>
      <w:r w:rsidRPr="00713D42">
        <w:rPr>
          <w:rFonts w:hint="eastAsia"/>
        </w:rPr>
        <w:t>缺水問題：政府雖已訂定「再生水資源發展條例」，然其子法尚未訂定完成，且再生水資源應不足供給所需之水源，政府仍應研議相關措施，以避免未來發生缺水問題。</w:t>
      </w:r>
    </w:p>
    <w:p w:rsidR="00372CA7" w:rsidRPr="00713D42" w:rsidRDefault="00372CA7" w:rsidP="00F6299D">
      <w:pPr>
        <w:pStyle w:val="4"/>
        <w:numPr>
          <w:ilvl w:val="3"/>
          <w:numId w:val="20"/>
        </w:numPr>
        <w:overflowPunct/>
        <w:autoSpaceDE/>
        <w:autoSpaceDN/>
      </w:pPr>
      <w:r w:rsidRPr="00713D42">
        <w:rPr>
          <w:rFonts w:hint="eastAsia"/>
        </w:rPr>
        <w:t>缺電問題：</w:t>
      </w:r>
    </w:p>
    <w:p w:rsidR="00372CA7" w:rsidRPr="00713D42" w:rsidRDefault="00372CA7" w:rsidP="00F6299D">
      <w:pPr>
        <w:pStyle w:val="5"/>
        <w:numPr>
          <w:ilvl w:val="4"/>
          <w:numId w:val="20"/>
        </w:numPr>
        <w:overflowPunct/>
        <w:autoSpaceDE/>
        <w:autoSpaceDN/>
      </w:pPr>
      <w:r w:rsidRPr="00713D42">
        <w:rPr>
          <w:rFonts w:hint="eastAsia"/>
        </w:rPr>
        <w:t>非核家園是政府既定政策，然核電所產生之供應缺口，再生能源是否補足，且依臺電公司之分析，尚需仰賴民間大量投入，然民間投入情形，並無相關評估資料，政府仍應確實評估相關電力之供需，以避免未來產生缺電危機。</w:t>
      </w:r>
    </w:p>
    <w:p w:rsidR="00372CA7" w:rsidRPr="00713D42" w:rsidRDefault="00372CA7" w:rsidP="00F6299D">
      <w:pPr>
        <w:pStyle w:val="5"/>
        <w:numPr>
          <w:ilvl w:val="4"/>
          <w:numId w:val="20"/>
        </w:numPr>
        <w:overflowPunct/>
        <w:autoSpaceDE/>
        <w:autoSpaceDN/>
      </w:pPr>
      <w:r w:rsidRPr="00713D42">
        <w:rPr>
          <w:rFonts w:hint="eastAsia"/>
        </w:rPr>
        <w:t>另以離岸（海上）風力發電為例</w:t>
      </w:r>
      <w:r w:rsidRPr="00713D42">
        <w:rPr>
          <w:rStyle w:val="aff8"/>
        </w:rPr>
        <w:footnoteReference w:id="19"/>
      </w:r>
      <w:r w:rsidRPr="00713D42">
        <w:rPr>
          <w:rFonts w:hint="eastAsia"/>
        </w:rPr>
        <w:t>，離岸風力發電廠被賦予我國減碳與未來電力的重任務，經濟部於</w:t>
      </w:r>
      <w:r w:rsidRPr="00713D42">
        <w:t>101</w:t>
      </w:r>
      <w:r w:rsidRPr="00713D42">
        <w:rPr>
          <w:rFonts w:hint="eastAsia"/>
        </w:rPr>
        <w:t>年訂有風電離岸系統示範計劃，以經費補助方式，鼓勵業者設置離岸示範風場，已評選出三案，提供共</w:t>
      </w:r>
      <w:r w:rsidRPr="00713D42">
        <w:t>4</w:t>
      </w:r>
      <w:r w:rsidRPr="00713D42">
        <w:rPr>
          <w:rFonts w:hint="eastAsia"/>
        </w:rPr>
        <w:t>架示範離岸風力機組各</w:t>
      </w:r>
      <w:r w:rsidRPr="00713D42">
        <w:t>50%</w:t>
      </w:r>
      <w:r w:rsidRPr="00713D42">
        <w:rPr>
          <w:rFonts w:hint="eastAsia"/>
        </w:rPr>
        <w:t>之設置補助費用。其中進度最快之海洋風力發電股份有限公司於</w:t>
      </w:r>
      <w:r w:rsidRPr="00713D42">
        <w:t>103</w:t>
      </w:r>
      <w:r w:rsidRPr="00713D42">
        <w:rPr>
          <w:rFonts w:hint="eastAsia"/>
        </w:rPr>
        <w:t>年</w:t>
      </w:r>
      <w:r w:rsidRPr="00713D42">
        <w:t>12</w:t>
      </w:r>
      <w:r w:rsidRPr="00713D42">
        <w:rPr>
          <w:rFonts w:hint="eastAsia"/>
        </w:rPr>
        <w:t>月</w:t>
      </w:r>
      <w:r w:rsidRPr="00713D42">
        <w:t>30</w:t>
      </w:r>
      <w:r w:rsidRPr="00713D42">
        <w:rPr>
          <w:rFonts w:hint="eastAsia"/>
        </w:rPr>
        <w:t>日取得</w:t>
      </w:r>
      <w:r w:rsidRPr="00713D42">
        <w:t>2</w:t>
      </w:r>
      <w:r w:rsidRPr="00713D42">
        <w:rPr>
          <w:rFonts w:hint="eastAsia"/>
        </w:rPr>
        <w:t>架示範機組之電業籌設許可，並於</w:t>
      </w:r>
      <w:r w:rsidRPr="00713D42">
        <w:t>104</w:t>
      </w:r>
      <w:r w:rsidRPr="00713D42">
        <w:rPr>
          <w:rFonts w:hint="eastAsia"/>
        </w:rPr>
        <w:t>年</w:t>
      </w:r>
      <w:r w:rsidRPr="00713D42">
        <w:t>8</w:t>
      </w:r>
      <w:r w:rsidRPr="00713D42">
        <w:rPr>
          <w:rFonts w:hint="eastAsia"/>
        </w:rPr>
        <w:t>月完成海氣象觀測塔主體結構之建置。</w:t>
      </w:r>
      <w:r w:rsidRPr="00713D42">
        <w:t>105</w:t>
      </w:r>
      <w:r w:rsidRPr="00713D42">
        <w:rPr>
          <w:rFonts w:hint="eastAsia"/>
        </w:rPr>
        <w:t>年</w:t>
      </w:r>
      <w:r w:rsidRPr="00713D42">
        <w:t>3</w:t>
      </w:r>
      <w:r w:rsidRPr="00713D42">
        <w:rPr>
          <w:rFonts w:hint="eastAsia"/>
        </w:rPr>
        <w:t>月</w:t>
      </w:r>
      <w:r w:rsidRPr="00713D42">
        <w:t>31</w:t>
      </w:r>
      <w:r w:rsidRPr="00713D42">
        <w:rPr>
          <w:rFonts w:hint="eastAsia"/>
        </w:rPr>
        <w:t>日取得示範機組施工許可</w:t>
      </w:r>
      <w:r w:rsidRPr="00713D42">
        <w:rPr>
          <w:rFonts w:hint="eastAsia"/>
        </w:rPr>
        <w:lastRenderedPageBreak/>
        <w:t>證，預計於</w:t>
      </w:r>
      <w:r w:rsidRPr="00713D42">
        <w:t>105</w:t>
      </w:r>
      <w:r w:rsidRPr="00713D42">
        <w:rPr>
          <w:rFonts w:hint="eastAsia"/>
        </w:rPr>
        <w:t>底前完成</w:t>
      </w:r>
      <w:r w:rsidRPr="00713D42">
        <w:t>2</w:t>
      </w:r>
      <w:r w:rsidRPr="00713D42">
        <w:rPr>
          <w:rFonts w:hint="eastAsia"/>
        </w:rPr>
        <w:t>架示範機組之建置。然本案本應於</w:t>
      </w:r>
      <w:r w:rsidRPr="00713D42">
        <w:t>104</w:t>
      </w:r>
      <w:r w:rsidRPr="00713D42">
        <w:rPr>
          <w:rFonts w:hint="eastAsia"/>
        </w:rPr>
        <w:t>年</w:t>
      </w:r>
      <w:r w:rsidRPr="00713D42">
        <w:t>12</w:t>
      </w:r>
      <w:r w:rsidRPr="00713D42">
        <w:rPr>
          <w:rFonts w:hint="eastAsia"/>
        </w:rPr>
        <w:t>月</w:t>
      </w:r>
      <w:r w:rsidRPr="00713D42">
        <w:t>31</w:t>
      </w:r>
      <w:r w:rsidRPr="00713D42">
        <w:rPr>
          <w:rFonts w:hint="eastAsia"/>
        </w:rPr>
        <w:t>日以前完成示範機組之建置、測試與竣工，並取得電業執照開始商業運轉。該公司雖已取得當地漁民的支持，且進度為3家示範廠商之最，但依然延誤了，其主要原因除基礎設施卻嚴重不足，離岸風力發電機之基樁或葉片，目前沒有港口可以卸貨外，政治考量干擾專業亦為原因之一，因我國也缺乏吊裝設備與工作船，風力發電的基樁一個重700公噸、長超過50米的鋼板，要打到海床下43米，全世界這樣的工作船目前只有德國、中國，租歐洲的工作船，租1天都要600萬，而且從離港就開始算，同業使用中國工作船蓋海上氣象觀測塔，被政治人物抗議，從此禁用中國工作船，只能租用來自歐洲的工作船，另外就是融資問題，我國離岸風電目標是要4GW計算，預估投資金額達8千億，沒有融資，沒有一家企業能拿出這樣的資金，政府卻無法從旁協助解決。</w:t>
      </w:r>
    </w:p>
    <w:p w:rsidR="00372CA7" w:rsidRPr="00713D42" w:rsidRDefault="00372CA7" w:rsidP="00F6299D">
      <w:pPr>
        <w:pStyle w:val="4"/>
        <w:numPr>
          <w:ilvl w:val="3"/>
          <w:numId w:val="20"/>
        </w:numPr>
        <w:overflowPunct/>
        <w:autoSpaceDE/>
        <w:autoSpaceDN/>
      </w:pPr>
      <w:r w:rsidRPr="00713D42">
        <w:rPr>
          <w:rFonts w:hint="eastAsia"/>
        </w:rPr>
        <w:t>缺工問題：104年缺工人數尚近20萬人，政府雖已推動「生產力4.0」，然尚未產生成效，無法及時減少對勞工之依賴；另我國104年平均失業人數約44萬，政府允應強化該等人員供需之調適。</w:t>
      </w:r>
    </w:p>
    <w:p w:rsidR="00372CA7" w:rsidRPr="00713D42" w:rsidRDefault="00372CA7" w:rsidP="00F6299D">
      <w:pPr>
        <w:pStyle w:val="4"/>
        <w:numPr>
          <w:ilvl w:val="3"/>
          <w:numId w:val="20"/>
        </w:numPr>
        <w:overflowPunct/>
        <w:autoSpaceDE/>
        <w:autoSpaceDN/>
      </w:pPr>
      <w:r w:rsidRPr="00713D42">
        <w:rPr>
          <w:rFonts w:hint="eastAsia"/>
        </w:rPr>
        <w:t>缺地問題:依據內政部地政司都市地區地價指數顯示，工業區土地價格仍持續上漲中，且經濟部所提供本院資料中說明，行政院全球招商及攬才聯合服務中心所辦理45次跨單位共同解決廠商問題，其中土地及建物取得部分有8件，與土地法規有關之案件(如用地變更、毗連地取得等)9件、建照取得及建物法規2件，該等與土</w:t>
      </w:r>
      <w:r w:rsidRPr="00713D42">
        <w:rPr>
          <w:rFonts w:hint="eastAsia"/>
        </w:rPr>
        <w:lastRenderedPageBreak/>
        <w:t>地建物有關之案件約占總協助案件逾4成，顯見，土地建物問題仍是投資廠商所面臨之障礙，政府允應檢討相關土地政策所面臨問題，使需要者可以取得土地，並檢討工業土地價格是否已不合理上漲，致真正投資生產需要土地之廠商無法取得土地。</w:t>
      </w:r>
    </w:p>
    <w:p w:rsidR="00372CA7" w:rsidRPr="00713D42" w:rsidRDefault="00372CA7" w:rsidP="00F6299D">
      <w:pPr>
        <w:pStyle w:val="3"/>
        <w:numPr>
          <w:ilvl w:val="2"/>
          <w:numId w:val="20"/>
        </w:numPr>
        <w:overflowPunct/>
        <w:autoSpaceDE/>
        <w:autoSpaceDN/>
      </w:pPr>
      <w:bookmarkStart w:id="71" w:name="_Toc469271773"/>
      <w:bookmarkStart w:id="72" w:name="_Toc470099665"/>
      <w:r w:rsidRPr="00713D42">
        <w:rPr>
          <w:rFonts w:hint="eastAsia"/>
        </w:rPr>
        <w:t>綜上，</w:t>
      </w:r>
      <w:bookmarkEnd w:id="71"/>
      <w:r w:rsidRPr="00713D42">
        <w:rPr>
          <w:rFonts w:hint="eastAsia"/>
        </w:rPr>
        <w:t>基礎建設係跨國投資者進行投資之重要考量因素，然中經院吳</w:t>
      </w:r>
      <w:r w:rsidR="00CA10F7">
        <w:rPr>
          <w:rFonts w:hint="eastAsia"/>
        </w:rPr>
        <w:t>○○</w:t>
      </w:r>
      <w:r w:rsidRPr="00713D42">
        <w:rPr>
          <w:rFonts w:hint="eastAsia"/>
        </w:rPr>
        <w:t>院長接受本院諮詢時即表示：「我國缺水、缺電，且政策缺乏一致性，難以看到未來明確走向，外資投資評估需要能作較長遠規劃之政策能見度」。爰此，為吸引FDI之流入，政府除應提供充足之水、電、人力、土地等基礎設施外，且隨著科技之發展，數位環境已成為強化國家競爭力的要素之一，完整的數位基磐將有利建構我國創新經濟模式，並吸引FDI之投入。基此，行政院允應統合相關部會，建置完善之基礎設施，以利FDI之投資。</w:t>
      </w:r>
      <w:bookmarkEnd w:id="72"/>
    </w:p>
    <w:p w:rsidR="00372CA7" w:rsidRPr="00713D42" w:rsidRDefault="00372CA7" w:rsidP="005D2F37">
      <w:pPr>
        <w:pStyle w:val="2"/>
        <w:numPr>
          <w:ilvl w:val="1"/>
          <w:numId w:val="20"/>
        </w:numPr>
        <w:overflowPunct/>
        <w:autoSpaceDE/>
        <w:autoSpaceDN/>
        <w:rPr>
          <w:b/>
        </w:rPr>
      </w:pPr>
      <w:bookmarkStart w:id="73" w:name="_Toc469271774"/>
      <w:bookmarkStart w:id="74" w:name="_Toc470099666"/>
      <w:r w:rsidRPr="00713D42">
        <w:rPr>
          <w:rFonts w:hint="eastAsia"/>
          <w:b/>
        </w:rPr>
        <w:t>環境保護與經濟發展二者本應相輔相成，並行不悖，然因我國環評制度具有否決權，致使環評常成為開發案件爭議之關鍵</w:t>
      </w:r>
      <w:r w:rsidR="00C5615D">
        <w:rPr>
          <w:rFonts w:hint="eastAsia"/>
          <w:b/>
        </w:rPr>
        <w:t>，為</w:t>
      </w:r>
      <w:r w:rsidRPr="00713D42">
        <w:rPr>
          <w:rFonts w:hint="eastAsia"/>
          <w:b/>
        </w:rPr>
        <w:t>避免因經濟開發而恣意破壞環境，或以環境保護為名，阻擾經濟發展，產生中科二期、國光石化等環境保護與經濟發展衝突之情事，</w:t>
      </w:r>
      <w:r w:rsidR="005D2F37" w:rsidRPr="005D2F37">
        <w:rPr>
          <w:rFonts w:hint="eastAsia"/>
          <w:b/>
        </w:rPr>
        <w:t>行政院除應督促相關主管機關，於大型開發案件選址階段，詳細評估開發地點之妥適性，以利進入環評程序後，避免一再發生爭訟事件外</w:t>
      </w:r>
      <w:r w:rsidRPr="00713D42">
        <w:rPr>
          <w:rFonts w:hint="eastAsia"/>
          <w:b/>
        </w:rPr>
        <w:t>，並應明確界定環評之範圍，並依該等範圍確實評估影響環境之因子，非屬環境因素部分，回歸相關主管部門審理，以明權責。</w:t>
      </w:r>
      <w:bookmarkEnd w:id="73"/>
      <w:bookmarkEnd w:id="74"/>
    </w:p>
    <w:p w:rsidR="00372CA7" w:rsidRPr="00713D42" w:rsidRDefault="00372CA7" w:rsidP="00F6299D">
      <w:pPr>
        <w:pStyle w:val="3"/>
        <w:numPr>
          <w:ilvl w:val="2"/>
          <w:numId w:val="20"/>
        </w:numPr>
        <w:overflowPunct/>
        <w:autoSpaceDE/>
        <w:autoSpaceDN/>
      </w:pPr>
      <w:bookmarkStart w:id="75" w:name="_Toc469271775"/>
      <w:bookmarkStart w:id="76" w:name="_Toc470099667"/>
      <w:r w:rsidRPr="00713D42">
        <w:rPr>
          <w:rFonts w:hint="eastAsia"/>
        </w:rPr>
        <w:t>我國環評制度</w:t>
      </w:r>
      <w:r w:rsidRPr="00713D42">
        <w:rPr>
          <w:rStyle w:val="aff8"/>
        </w:rPr>
        <w:footnoteReference w:id="20"/>
      </w:r>
      <w:r w:rsidRPr="00713D42">
        <w:rPr>
          <w:rFonts w:hint="eastAsia"/>
        </w:rPr>
        <w:t>:</w:t>
      </w:r>
      <w:bookmarkEnd w:id="75"/>
      <w:bookmarkEnd w:id="76"/>
    </w:p>
    <w:p w:rsidR="00372CA7" w:rsidRPr="00713D42" w:rsidRDefault="00372CA7" w:rsidP="00F6299D">
      <w:pPr>
        <w:pStyle w:val="4"/>
        <w:numPr>
          <w:ilvl w:val="3"/>
          <w:numId w:val="20"/>
        </w:numPr>
        <w:overflowPunct/>
        <w:autoSpaceDE/>
        <w:autoSpaceDN/>
      </w:pPr>
      <w:r w:rsidRPr="00713D42">
        <w:rPr>
          <w:rFonts w:hint="eastAsia"/>
        </w:rPr>
        <w:lastRenderedPageBreak/>
        <w:t>我國憲法明訂環境保護與經濟發展應「兼籌並顧」，且環境基本法亦明定當前述二者產生衝突時，應以環境保護為優先之要求，確立我國應已具備環保立國之基礎。</w:t>
      </w:r>
    </w:p>
    <w:p w:rsidR="00372CA7" w:rsidRPr="00713D42" w:rsidRDefault="00372CA7" w:rsidP="00F6299D">
      <w:pPr>
        <w:pStyle w:val="4"/>
        <w:numPr>
          <w:ilvl w:val="3"/>
          <w:numId w:val="20"/>
        </w:numPr>
        <w:overflowPunct/>
        <w:autoSpaceDE/>
        <w:autoSpaceDN/>
      </w:pPr>
      <w:r w:rsidRPr="00713D42">
        <w:rPr>
          <w:rFonts w:hint="eastAsia"/>
        </w:rPr>
        <w:t>我國環境影響評估（以下簡稱環評）制度之原始設計，依據行政院79年送立法院審查草案，環境影響說明書之審查，由目的事業主管機關審查，係類似歐美國家作法，即由各目的事業主管機關受理開發申請案，自行評估如給予許可將會對環境造成如何之影響，以作為決策參考因素之一。但我國之環評法於當時經立法院委員會聯席審查及二讀程序朝野協商後，改由環評主管機關審查，並具有否決權，係歷經當時立法過程後所通過之版本，雖不同於他國由目的事業主管機關於核發許可階段，綜整考量經濟、環境、社會等各面向因素決定開發與否之設計，惟其係當時我國各界意見及目的事業主管機關對於環保意識成熟度之綜合結果。</w:t>
      </w:r>
    </w:p>
    <w:p w:rsidR="00372CA7" w:rsidRPr="00713D42" w:rsidRDefault="00372CA7" w:rsidP="00F6299D">
      <w:pPr>
        <w:pStyle w:val="4"/>
        <w:numPr>
          <w:ilvl w:val="3"/>
          <w:numId w:val="20"/>
        </w:numPr>
        <w:overflowPunct/>
        <w:autoSpaceDE/>
        <w:autoSpaceDN/>
      </w:pPr>
      <w:r w:rsidRPr="00713D42">
        <w:rPr>
          <w:rFonts w:hint="eastAsia"/>
        </w:rPr>
        <w:t>83年12月環境影響評估法公布實施，此一立法較德國法為早，該法建立我國特有之環境影響評估制度。惟，因近年來國人對環境保護之重視，相關環境爭議屢屢於環境影響評估程序中出現，許多投資開發案件於上開法理立基上，常常遭致環保團體以及法律學者之諸多批評，產生環境影響評估及審查之效率、公民參與之提升、及投資審查結論之安定性等等問題，造成環境保護與經濟發展之衝突。</w:t>
      </w:r>
    </w:p>
    <w:p w:rsidR="00372CA7" w:rsidRPr="00713D42" w:rsidRDefault="00372CA7" w:rsidP="00F6299D">
      <w:pPr>
        <w:pStyle w:val="4"/>
        <w:numPr>
          <w:ilvl w:val="3"/>
          <w:numId w:val="20"/>
        </w:numPr>
        <w:overflowPunct/>
        <w:autoSpaceDE/>
        <w:autoSpaceDN/>
      </w:pPr>
      <w:r w:rsidRPr="00713D42">
        <w:rPr>
          <w:rFonts w:hint="eastAsia"/>
        </w:rPr>
        <w:t>現行環評法所設計之環評審查程序，形式上，雖包裹於開發許可程序中，但實質上，與開發許可為二獨立之行政程序，並分別不同主管機關，且環評審查結論有其獨立可爭訟性，以及強於開</w:t>
      </w:r>
      <w:r w:rsidRPr="00713D42">
        <w:rPr>
          <w:rFonts w:hint="eastAsia"/>
        </w:rPr>
        <w:lastRenderedPageBreak/>
        <w:t>發許可之效力。如環評審查結論嗣後遭法院判決撤銷，自當影響已作成開發許可之適法性，判決效力所及之範圍，包括開發單位、目的事業主管機關、與開發單位關聯之業者，可能同受判決效力之拘束。</w:t>
      </w:r>
    </w:p>
    <w:p w:rsidR="00372CA7" w:rsidRPr="00713D42" w:rsidRDefault="00372CA7" w:rsidP="00F6299D">
      <w:pPr>
        <w:pStyle w:val="4"/>
        <w:numPr>
          <w:ilvl w:val="3"/>
          <w:numId w:val="20"/>
        </w:numPr>
        <w:overflowPunct/>
        <w:autoSpaceDE/>
        <w:autoSpaceDN/>
      </w:pPr>
      <w:r w:rsidRPr="00713D42">
        <w:rPr>
          <w:rFonts w:hint="eastAsia"/>
        </w:rPr>
        <w:t>目的事業主管機關於環評書未經完成審查或評估書未經認可前，所作成開發許可行為，依環評法第14 條第1 項規定，賦予「無效」之法律效果。</w:t>
      </w:r>
    </w:p>
    <w:p w:rsidR="00372CA7" w:rsidRPr="00713D42" w:rsidRDefault="00372CA7" w:rsidP="00F6299D">
      <w:pPr>
        <w:pStyle w:val="4"/>
        <w:numPr>
          <w:ilvl w:val="3"/>
          <w:numId w:val="20"/>
        </w:numPr>
        <w:overflowPunct/>
        <w:autoSpaceDE/>
        <w:autoSpaceDN/>
      </w:pPr>
      <w:r w:rsidRPr="00713D42">
        <w:rPr>
          <w:rFonts w:hint="eastAsia"/>
        </w:rPr>
        <w:t>依據「環境影響評估法」之規定，針對開發行為對環境有不良影響之虞者，應實施環境影響評估，環保署設置環境影響評估審查委員會，負責審理環境影響說明書並做成審查結論，該審查結論即成為開發行為准駁之決定。</w:t>
      </w:r>
    </w:p>
    <w:p w:rsidR="00372CA7" w:rsidRPr="00713D42" w:rsidRDefault="00372CA7" w:rsidP="00F6299D">
      <w:pPr>
        <w:pStyle w:val="4"/>
        <w:numPr>
          <w:ilvl w:val="3"/>
          <w:numId w:val="20"/>
        </w:numPr>
        <w:overflowPunct/>
        <w:autoSpaceDE/>
        <w:autoSpaceDN/>
      </w:pPr>
      <w:r w:rsidRPr="00713D42">
        <w:rPr>
          <w:rFonts w:hint="eastAsia"/>
        </w:rPr>
        <w:t>我國環評制度與其他國家之差異，詳表9:</w:t>
      </w:r>
    </w:p>
    <w:p w:rsidR="00372CA7" w:rsidRPr="00713D42" w:rsidRDefault="00372CA7" w:rsidP="00372CA7">
      <w:pPr>
        <w:pStyle w:val="a5"/>
        <w:ind w:left="1048" w:hanging="480"/>
        <w:jc w:val="center"/>
      </w:pPr>
      <w:r w:rsidRPr="00713D42">
        <w:rPr>
          <w:rFonts w:hint="eastAsia"/>
          <w:b/>
        </w:rPr>
        <w:t>我國與先進國家之環評差異性</w:t>
      </w:r>
    </w:p>
    <w:tbl>
      <w:tblPr>
        <w:tblW w:w="7960" w:type="dxa"/>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76"/>
        <w:gridCol w:w="4110"/>
        <w:gridCol w:w="2574"/>
      </w:tblGrid>
      <w:tr w:rsidR="00372CA7" w:rsidRPr="00713D42" w:rsidTr="00B10A4D">
        <w:trPr>
          <w:trHeight w:val="334"/>
        </w:trPr>
        <w:tc>
          <w:tcPr>
            <w:tcW w:w="1276" w:type="dxa"/>
          </w:tcPr>
          <w:p w:rsidR="00372CA7" w:rsidRPr="00713D42" w:rsidRDefault="00372CA7" w:rsidP="00B10A4D">
            <w:pPr>
              <w:pStyle w:val="4"/>
              <w:numPr>
                <w:ilvl w:val="0"/>
                <w:numId w:val="0"/>
              </w:numPr>
              <w:jc w:val="center"/>
              <w:rPr>
                <w:sz w:val="24"/>
                <w:szCs w:val="24"/>
              </w:rPr>
            </w:pPr>
            <w:r w:rsidRPr="00713D42">
              <w:rPr>
                <w:rFonts w:hint="eastAsia"/>
                <w:sz w:val="24"/>
                <w:szCs w:val="24"/>
              </w:rPr>
              <w:t>各國比較</w:t>
            </w:r>
          </w:p>
        </w:tc>
        <w:tc>
          <w:tcPr>
            <w:tcW w:w="4110" w:type="dxa"/>
          </w:tcPr>
          <w:p w:rsidR="00372CA7" w:rsidRPr="00713D42" w:rsidRDefault="00372CA7" w:rsidP="00B10A4D">
            <w:pPr>
              <w:pStyle w:val="4"/>
              <w:numPr>
                <w:ilvl w:val="0"/>
                <w:numId w:val="0"/>
              </w:numPr>
              <w:jc w:val="center"/>
              <w:rPr>
                <w:sz w:val="24"/>
                <w:szCs w:val="24"/>
              </w:rPr>
            </w:pPr>
            <w:r w:rsidRPr="00713D42">
              <w:rPr>
                <w:rFonts w:hint="eastAsia"/>
                <w:sz w:val="24"/>
                <w:szCs w:val="24"/>
              </w:rPr>
              <w:t>環評審查單位</w:t>
            </w:r>
          </w:p>
        </w:tc>
        <w:tc>
          <w:tcPr>
            <w:tcW w:w="2574" w:type="dxa"/>
          </w:tcPr>
          <w:p w:rsidR="00372CA7" w:rsidRPr="00713D42" w:rsidRDefault="00372CA7" w:rsidP="00B10A4D">
            <w:pPr>
              <w:pStyle w:val="4"/>
              <w:numPr>
                <w:ilvl w:val="0"/>
                <w:numId w:val="0"/>
              </w:numPr>
              <w:jc w:val="center"/>
              <w:rPr>
                <w:sz w:val="24"/>
                <w:szCs w:val="24"/>
              </w:rPr>
            </w:pPr>
            <w:r w:rsidRPr="00713D42">
              <w:rPr>
                <w:rFonts w:hint="eastAsia"/>
                <w:sz w:val="24"/>
                <w:szCs w:val="24"/>
              </w:rPr>
              <w:t>環評是否有否決權</w:t>
            </w:r>
          </w:p>
        </w:tc>
      </w:tr>
      <w:tr w:rsidR="00372CA7" w:rsidRPr="00713D42" w:rsidTr="00B10A4D">
        <w:trPr>
          <w:trHeight w:val="226"/>
        </w:trPr>
        <w:tc>
          <w:tcPr>
            <w:tcW w:w="1276" w:type="dxa"/>
          </w:tcPr>
          <w:p w:rsidR="00372CA7" w:rsidRPr="00713D42" w:rsidRDefault="00372CA7" w:rsidP="00B10A4D">
            <w:pPr>
              <w:pStyle w:val="4"/>
              <w:numPr>
                <w:ilvl w:val="0"/>
                <w:numId w:val="0"/>
              </w:numPr>
              <w:jc w:val="center"/>
              <w:rPr>
                <w:sz w:val="24"/>
                <w:szCs w:val="24"/>
              </w:rPr>
            </w:pPr>
            <w:r w:rsidRPr="00713D42">
              <w:rPr>
                <w:rFonts w:hint="eastAsia"/>
                <w:sz w:val="24"/>
                <w:szCs w:val="24"/>
              </w:rPr>
              <w:t>我國</w:t>
            </w:r>
          </w:p>
        </w:tc>
        <w:tc>
          <w:tcPr>
            <w:tcW w:w="4110" w:type="dxa"/>
          </w:tcPr>
          <w:p w:rsidR="00372CA7" w:rsidRPr="00713D42" w:rsidRDefault="00372CA7" w:rsidP="00B10A4D">
            <w:pPr>
              <w:pStyle w:val="4"/>
              <w:numPr>
                <w:ilvl w:val="0"/>
                <w:numId w:val="0"/>
              </w:numPr>
              <w:rPr>
                <w:sz w:val="24"/>
                <w:szCs w:val="24"/>
              </w:rPr>
            </w:pPr>
            <w:r w:rsidRPr="00713D42">
              <w:rPr>
                <w:rFonts w:hint="eastAsia"/>
                <w:sz w:val="24"/>
                <w:szCs w:val="24"/>
              </w:rPr>
              <w:t>環保機關</w:t>
            </w:r>
          </w:p>
        </w:tc>
        <w:tc>
          <w:tcPr>
            <w:tcW w:w="2574" w:type="dxa"/>
          </w:tcPr>
          <w:p w:rsidR="00372CA7" w:rsidRPr="00713D42" w:rsidRDefault="00372CA7" w:rsidP="00B10A4D">
            <w:pPr>
              <w:pStyle w:val="4"/>
              <w:numPr>
                <w:ilvl w:val="0"/>
                <w:numId w:val="0"/>
              </w:numPr>
              <w:rPr>
                <w:sz w:val="24"/>
                <w:szCs w:val="24"/>
              </w:rPr>
            </w:pPr>
            <w:r w:rsidRPr="00713D42">
              <w:rPr>
                <w:rFonts w:hint="eastAsia"/>
                <w:sz w:val="24"/>
                <w:szCs w:val="24"/>
              </w:rPr>
              <w:t>有否決權</w:t>
            </w:r>
          </w:p>
        </w:tc>
      </w:tr>
      <w:tr w:rsidR="00372CA7" w:rsidRPr="00713D42" w:rsidTr="00B10A4D">
        <w:trPr>
          <w:trHeight w:val="204"/>
        </w:trPr>
        <w:tc>
          <w:tcPr>
            <w:tcW w:w="1276" w:type="dxa"/>
          </w:tcPr>
          <w:p w:rsidR="00372CA7" w:rsidRPr="00713D42" w:rsidRDefault="00372CA7" w:rsidP="00B10A4D">
            <w:pPr>
              <w:pStyle w:val="4"/>
              <w:numPr>
                <w:ilvl w:val="0"/>
                <w:numId w:val="0"/>
              </w:numPr>
              <w:jc w:val="center"/>
              <w:rPr>
                <w:sz w:val="24"/>
                <w:szCs w:val="24"/>
              </w:rPr>
            </w:pPr>
            <w:r w:rsidRPr="00713D42">
              <w:rPr>
                <w:rFonts w:hint="eastAsia"/>
                <w:sz w:val="24"/>
                <w:szCs w:val="24"/>
              </w:rPr>
              <w:t>美國</w:t>
            </w:r>
          </w:p>
        </w:tc>
        <w:tc>
          <w:tcPr>
            <w:tcW w:w="4110" w:type="dxa"/>
          </w:tcPr>
          <w:p w:rsidR="00372CA7" w:rsidRPr="00713D42" w:rsidRDefault="00372CA7" w:rsidP="00B10A4D">
            <w:pPr>
              <w:pStyle w:val="4"/>
              <w:numPr>
                <w:ilvl w:val="0"/>
                <w:numId w:val="0"/>
              </w:numPr>
              <w:rPr>
                <w:sz w:val="24"/>
                <w:szCs w:val="24"/>
              </w:rPr>
            </w:pPr>
            <w:r w:rsidRPr="00713D42">
              <w:rPr>
                <w:rFonts w:hint="eastAsia"/>
                <w:sz w:val="24"/>
                <w:szCs w:val="24"/>
              </w:rPr>
              <w:t>核發開法許可之目的事業主管機關</w:t>
            </w:r>
          </w:p>
        </w:tc>
        <w:tc>
          <w:tcPr>
            <w:tcW w:w="2574" w:type="dxa"/>
          </w:tcPr>
          <w:p w:rsidR="00372CA7" w:rsidRPr="00713D42" w:rsidRDefault="00372CA7" w:rsidP="00B10A4D">
            <w:pPr>
              <w:pStyle w:val="4"/>
              <w:numPr>
                <w:ilvl w:val="0"/>
                <w:numId w:val="0"/>
              </w:numPr>
              <w:rPr>
                <w:sz w:val="24"/>
                <w:szCs w:val="24"/>
              </w:rPr>
            </w:pPr>
            <w:r w:rsidRPr="00713D42">
              <w:rPr>
                <w:rFonts w:hint="eastAsia"/>
                <w:sz w:val="24"/>
                <w:szCs w:val="24"/>
              </w:rPr>
              <w:t>無否決權</w:t>
            </w:r>
          </w:p>
        </w:tc>
      </w:tr>
      <w:tr w:rsidR="00372CA7" w:rsidRPr="00713D42" w:rsidTr="00B10A4D">
        <w:trPr>
          <w:trHeight w:val="178"/>
        </w:trPr>
        <w:tc>
          <w:tcPr>
            <w:tcW w:w="1276" w:type="dxa"/>
          </w:tcPr>
          <w:p w:rsidR="00372CA7" w:rsidRPr="00713D42" w:rsidRDefault="00372CA7" w:rsidP="00B10A4D">
            <w:pPr>
              <w:pStyle w:val="4"/>
              <w:numPr>
                <w:ilvl w:val="0"/>
                <w:numId w:val="0"/>
              </w:numPr>
              <w:jc w:val="center"/>
              <w:rPr>
                <w:sz w:val="24"/>
                <w:szCs w:val="24"/>
              </w:rPr>
            </w:pPr>
            <w:r w:rsidRPr="00713D42">
              <w:rPr>
                <w:rFonts w:hint="eastAsia"/>
                <w:sz w:val="24"/>
                <w:szCs w:val="24"/>
              </w:rPr>
              <w:t>德國</w:t>
            </w:r>
          </w:p>
        </w:tc>
        <w:tc>
          <w:tcPr>
            <w:tcW w:w="4110" w:type="dxa"/>
          </w:tcPr>
          <w:p w:rsidR="00372CA7" w:rsidRPr="00713D42" w:rsidRDefault="00372CA7" w:rsidP="00B10A4D">
            <w:pPr>
              <w:rPr>
                <w:sz w:val="24"/>
                <w:szCs w:val="24"/>
              </w:rPr>
            </w:pPr>
            <w:r w:rsidRPr="00713D42">
              <w:rPr>
                <w:rFonts w:hint="eastAsia"/>
                <w:sz w:val="24"/>
                <w:szCs w:val="24"/>
              </w:rPr>
              <w:t>核發開法許可之目的事業主管機關</w:t>
            </w:r>
          </w:p>
        </w:tc>
        <w:tc>
          <w:tcPr>
            <w:tcW w:w="2574" w:type="dxa"/>
          </w:tcPr>
          <w:p w:rsidR="00372CA7" w:rsidRPr="00713D42" w:rsidRDefault="00372CA7" w:rsidP="00B10A4D">
            <w:pPr>
              <w:pStyle w:val="4"/>
              <w:numPr>
                <w:ilvl w:val="0"/>
                <w:numId w:val="0"/>
              </w:numPr>
              <w:rPr>
                <w:sz w:val="24"/>
                <w:szCs w:val="24"/>
              </w:rPr>
            </w:pPr>
            <w:r w:rsidRPr="00713D42">
              <w:rPr>
                <w:rFonts w:hint="eastAsia"/>
                <w:sz w:val="24"/>
                <w:szCs w:val="24"/>
              </w:rPr>
              <w:t>無否決權</w:t>
            </w:r>
          </w:p>
        </w:tc>
      </w:tr>
      <w:tr w:rsidR="00372CA7" w:rsidRPr="00713D42" w:rsidTr="00B10A4D">
        <w:trPr>
          <w:trHeight w:val="241"/>
        </w:trPr>
        <w:tc>
          <w:tcPr>
            <w:tcW w:w="1276" w:type="dxa"/>
          </w:tcPr>
          <w:p w:rsidR="00372CA7" w:rsidRPr="00713D42" w:rsidRDefault="00372CA7" w:rsidP="00B10A4D">
            <w:pPr>
              <w:pStyle w:val="4"/>
              <w:numPr>
                <w:ilvl w:val="0"/>
                <w:numId w:val="0"/>
              </w:numPr>
              <w:jc w:val="center"/>
              <w:rPr>
                <w:sz w:val="24"/>
                <w:szCs w:val="24"/>
              </w:rPr>
            </w:pPr>
            <w:r w:rsidRPr="00713D42">
              <w:rPr>
                <w:rFonts w:hint="eastAsia"/>
                <w:sz w:val="24"/>
                <w:szCs w:val="24"/>
              </w:rPr>
              <w:t>日本</w:t>
            </w:r>
          </w:p>
        </w:tc>
        <w:tc>
          <w:tcPr>
            <w:tcW w:w="4110" w:type="dxa"/>
          </w:tcPr>
          <w:p w:rsidR="00372CA7" w:rsidRPr="00713D42" w:rsidRDefault="00372CA7" w:rsidP="00B10A4D">
            <w:pPr>
              <w:rPr>
                <w:sz w:val="24"/>
                <w:szCs w:val="24"/>
              </w:rPr>
            </w:pPr>
            <w:r w:rsidRPr="00713D42">
              <w:rPr>
                <w:rFonts w:hint="eastAsia"/>
                <w:sz w:val="24"/>
                <w:szCs w:val="24"/>
              </w:rPr>
              <w:t>核發開法許可之目的事業主管機關</w:t>
            </w:r>
          </w:p>
        </w:tc>
        <w:tc>
          <w:tcPr>
            <w:tcW w:w="2574" w:type="dxa"/>
          </w:tcPr>
          <w:p w:rsidR="00372CA7" w:rsidRPr="00713D42" w:rsidRDefault="00372CA7" w:rsidP="00B10A4D">
            <w:pPr>
              <w:pStyle w:val="4"/>
              <w:numPr>
                <w:ilvl w:val="0"/>
                <w:numId w:val="0"/>
              </w:numPr>
              <w:rPr>
                <w:sz w:val="24"/>
                <w:szCs w:val="24"/>
              </w:rPr>
            </w:pPr>
            <w:r w:rsidRPr="00713D42">
              <w:rPr>
                <w:rFonts w:hint="eastAsia"/>
                <w:sz w:val="24"/>
                <w:szCs w:val="24"/>
              </w:rPr>
              <w:t>無否決權</w:t>
            </w:r>
          </w:p>
        </w:tc>
      </w:tr>
    </w:tbl>
    <w:p w:rsidR="00372CA7" w:rsidRPr="00713D42" w:rsidRDefault="00372CA7" w:rsidP="00372CA7">
      <w:pPr>
        <w:pStyle w:val="4"/>
        <w:numPr>
          <w:ilvl w:val="0"/>
          <w:numId w:val="0"/>
        </w:numPr>
        <w:spacing w:afterLines="50" w:after="220" w:line="240" w:lineRule="exact"/>
        <w:ind w:leftChars="-1" w:left="-3" w:firstLineChars="619" w:firstLine="1418"/>
        <w:rPr>
          <w:sz w:val="20"/>
          <w:szCs w:val="20"/>
        </w:rPr>
      </w:pPr>
      <w:r w:rsidRPr="00713D42">
        <w:rPr>
          <w:rFonts w:hint="eastAsia"/>
          <w:sz w:val="20"/>
          <w:szCs w:val="20"/>
        </w:rPr>
        <w:t>資料來源:環保署</w:t>
      </w:r>
    </w:p>
    <w:p w:rsidR="00372CA7" w:rsidRPr="00713D42" w:rsidRDefault="00372CA7" w:rsidP="00F6299D">
      <w:pPr>
        <w:pStyle w:val="3"/>
        <w:numPr>
          <w:ilvl w:val="2"/>
          <w:numId w:val="20"/>
        </w:numPr>
        <w:overflowPunct/>
        <w:autoSpaceDE/>
        <w:autoSpaceDN/>
        <w:rPr>
          <w:shd w:val="pct15" w:color="auto" w:fill="FFFFFF"/>
        </w:rPr>
      </w:pPr>
      <w:bookmarkStart w:id="77" w:name="_Toc470099668"/>
      <w:bookmarkStart w:id="78" w:name="_Toc469271776"/>
      <w:r w:rsidRPr="00713D42">
        <w:rPr>
          <w:rFonts w:hint="eastAsia"/>
        </w:rPr>
        <w:t>查近年來陸續發生中科三期開發案、美麗灣開發案等多起因環評產生之爭訟事件，該等案件除有未依環評程序等辦理之情事外，亦因地點選擇及事前之溝通之妥適性，引發民眾之抗議，造成後續爭訟情事，致耗費許多時日及金錢，但仍無法進行開發，是以，大型開發案件辦理時，相關機關及業者除應依環評程序辦理外，並應嚴謹評估地點之妥適性，並確實瞭解當地民意，妥善溝通；如經環評許可且經目的主管機關同意後，政府相關機關亦應盡力協助，避免因民粹之抗議影響投資者進</w:t>
      </w:r>
      <w:r w:rsidRPr="00713D42">
        <w:rPr>
          <w:rFonts w:hint="eastAsia"/>
        </w:rPr>
        <w:lastRenderedPageBreak/>
        <w:t>行案件之開發。</w:t>
      </w:r>
      <w:bookmarkEnd w:id="77"/>
    </w:p>
    <w:p w:rsidR="00372CA7" w:rsidRPr="00713D42" w:rsidRDefault="00372CA7" w:rsidP="00F6299D">
      <w:pPr>
        <w:pStyle w:val="3"/>
        <w:numPr>
          <w:ilvl w:val="2"/>
          <w:numId w:val="20"/>
        </w:numPr>
        <w:overflowPunct/>
        <w:autoSpaceDE/>
        <w:autoSpaceDN/>
        <w:rPr>
          <w:shd w:val="pct15" w:color="auto" w:fill="FFFFFF"/>
        </w:rPr>
      </w:pPr>
      <w:bookmarkStart w:id="79" w:name="_Toc470099669"/>
      <w:r w:rsidRPr="00713D42">
        <w:rPr>
          <w:rFonts w:hint="eastAsia"/>
        </w:rPr>
        <w:t>另以國光石化為例，該案原為94年提出之大型石油化學工業投資開發案，預計在雲林縣離島工業區興建石化工業區預定投資9,336億元，後來修正為6,325億元，其目的之一是搬遷目前位於高雄市楠梓區的高雄煉油廠及其所屬之「第五輕油裂解廠」。95年政府，宣布啟動「大投資、大溫暖」計畫，並將國光石化開發案列為該計畫重大開發案之一，後因雲林離島工業區建廠之環評、購地等各方面的困難，國光石化董事會於97年6月24日決議將轉向彰化縣大城鄉，100年因環評問題，該公司雖已耗資數億元進行各項前置作業，但仍終止該案之投資。由上可知，除目的事業主管機關未能依據環評程序辦理，環評時間因各項補件等情形，亦造成時間之延宕外，該案辦理事前規劃時，亦未能有效評估分析開發地點，致開發廠址由雲林離島工業區轉向彰化縣大城鄉。行政院允應督促各主管機關，於重大開發案件辦理時，除應詳細評估開發地點之妥適性，確實遵循環評程序辦理外，並應確實檢討環評程序之合理性及時效性，並確實與民意溝通，避免發生爭議，產生中科三期、美麗灣、國光石化等案例，致投資者耗時、耗力之情事，甚至造成工總於本院諮詢時表示:「環保是更大的問題，……一個環評案，三年五載是正常的，國光石化不蓋之後，長春石化就去了新加坡，新加坡彈丸之地可以發展石化業，臺灣為什麼不能發展石化業？」之印象，影響投資人進行投資之意願。</w:t>
      </w:r>
      <w:bookmarkEnd w:id="78"/>
      <w:r w:rsidR="00E30310">
        <w:rPr>
          <w:rFonts w:hint="eastAsia"/>
        </w:rPr>
        <w:t>據</w:t>
      </w:r>
      <w:r w:rsidRPr="00713D42">
        <w:rPr>
          <w:rFonts w:hint="eastAsia"/>
        </w:rPr>
        <w:t>本院赴新加坡參訪時長春集團說明於新加坡裕廊工業園區投資情形，因該園區係石化專區，故無需經環評，惟裕廊工業園區管理局（JTC）要求進駐廠商之環保須符合嚴格標準，跨單位橫向溝通</w:t>
      </w:r>
      <w:r w:rsidRPr="00713D42">
        <w:rPr>
          <w:rFonts w:hint="eastAsia"/>
        </w:rPr>
        <w:lastRenderedPageBreak/>
        <w:t>協調以協助廠商解決問題；</w:t>
      </w:r>
      <w:r w:rsidRPr="00713D42">
        <w:rPr>
          <w:rFonts w:hAnsi="標楷體" w:cs="新細明體" w:hint="eastAsia"/>
          <w:szCs w:val="32"/>
        </w:rPr>
        <w:t>裕廊工業園區內之</w:t>
      </w:r>
      <w:r w:rsidRPr="00713D42">
        <w:rPr>
          <w:rFonts w:hint="eastAsia"/>
        </w:rPr>
        <w:t>公司毋需自設廢水處理廠，工廠產生之廢水僅須符合一定標準</w:t>
      </w:r>
      <w:r w:rsidRPr="00713D42">
        <w:rPr>
          <w:rStyle w:val="aff8"/>
        </w:rPr>
        <w:footnoteReference w:id="21"/>
      </w:r>
      <w:r w:rsidRPr="00713D42">
        <w:rPr>
          <w:rFonts w:hint="eastAsia"/>
        </w:rPr>
        <w:t>，即可排入園區管線，由新加坡公用事業局</w:t>
      </w:r>
      <w:r w:rsidRPr="00713D42">
        <w:rPr>
          <w:rStyle w:val="aff8"/>
        </w:rPr>
        <w:footnoteReference w:id="22"/>
      </w:r>
      <w:r w:rsidRPr="00713D42">
        <w:rPr>
          <w:rFonts w:hint="eastAsia"/>
        </w:rPr>
        <w:t>統一回收再利用。該園區內並引進有</w:t>
      </w:r>
      <w:r w:rsidRPr="00713D42">
        <w:rPr>
          <w:rFonts w:hAnsi="標楷體" w:cs="新細明體" w:hint="eastAsia"/>
          <w:szCs w:val="32"/>
        </w:rPr>
        <w:t>廢棄物處理公司。</w:t>
      </w:r>
      <w:bookmarkEnd w:id="79"/>
    </w:p>
    <w:p w:rsidR="00372CA7" w:rsidRPr="00713D42" w:rsidRDefault="00372CA7" w:rsidP="00F6299D">
      <w:pPr>
        <w:pStyle w:val="3"/>
        <w:numPr>
          <w:ilvl w:val="2"/>
          <w:numId w:val="20"/>
        </w:numPr>
        <w:overflowPunct/>
        <w:autoSpaceDE/>
        <w:autoSpaceDN/>
        <w:rPr>
          <w:rFonts w:hAnsi="標楷體"/>
          <w:szCs w:val="32"/>
        </w:rPr>
      </w:pPr>
      <w:bookmarkStart w:id="80" w:name="_Toc469271777"/>
      <w:bookmarkStart w:id="81" w:name="_Toc470099670"/>
      <w:r w:rsidRPr="00713D42">
        <w:rPr>
          <w:rFonts w:hint="eastAsia"/>
        </w:rPr>
        <w:t>另，本院於105年10月12日邀請相關主管機關舉行座談時，經濟部即表示「工業局與環保署目前有一平臺，關於非涉環保爭點相關事項進入環評前，可進行意見溝通與交流。本部協助投資案排除障礙的過程中，業者均極力希望提升制度透明度，如果環評部分一而再再而三有委員提出修正意見要求補充資料，環評程序會拖得很長，本部曾就環評案天數進行盤點評估，本部掌握之狀況是設廠與園區開發均各需要300多天，造成業者投資不確定性極高。其原因為何？經向環保署瞭解，部分案件確係存在環境面的問題，惟部分案子則是主管機關無法釐清權責與法令，造成來回公文往返，中央地方主管機關與業者均很困擾。故有此一平臺機制之建置，希望協助目的事業主管機關對於要進入環評的案子先針對委員提案係環境面或法制面予以釐清，環評歸環評，非環評部分也先釐清涉及之主管機關。」另環保署亦表示:「</w:t>
      </w:r>
      <w:r w:rsidRPr="00713D42">
        <w:rPr>
          <w:rFonts w:hAnsi="標楷體" w:hint="eastAsia"/>
        </w:rPr>
        <w:t>外界關切環評審查效率乙節，本署亦不斷進行檢討。本署於104年7月修正環評法施行細則及作業準則，針對開發單位、相關目的事業主管機關、民間團體對於環評作業認為有爭議的部分包含行政訴訟加以解決，將相關作業盡量簡化，又經濟部前述平臺機制，目前已實際運作，希望各目的事業主管機關預先釐清涉及之法規爭點，後續審查爭議問題減少，速</w:t>
      </w:r>
      <w:r w:rsidRPr="00713D42">
        <w:rPr>
          <w:rFonts w:hAnsi="標楷體" w:hint="eastAsia"/>
        </w:rPr>
        <w:lastRenderedPageBreak/>
        <w:t>度才能加快。</w:t>
      </w:r>
      <w:r w:rsidRPr="00713D42">
        <w:rPr>
          <w:rFonts w:hint="eastAsia"/>
        </w:rPr>
        <w:t>」顯見，環評審查範圍，亦為造成環評審查原因之一，是以，行政院亦應督促各機關，明確訂定環評審查之範圍，避免非屬環評審查之事項，成為環評審查之議題，延宕開發案件之進行，影響案件准駁。</w:t>
      </w:r>
      <w:bookmarkEnd w:id="80"/>
      <w:bookmarkEnd w:id="81"/>
    </w:p>
    <w:p w:rsidR="00372CA7" w:rsidRPr="00713D42" w:rsidRDefault="00372CA7" w:rsidP="005D2F37">
      <w:pPr>
        <w:pStyle w:val="3"/>
        <w:numPr>
          <w:ilvl w:val="2"/>
          <w:numId w:val="20"/>
        </w:numPr>
        <w:overflowPunct/>
        <w:autoSpaceDE/>
        <w:autoSpaceDN/>
        <w:rPr>
          <w:rFonts w:hAnsi="標楷體"/>
          <w:szCs w:val="32"/>
        </w:rPr>
      </w:pPr>
      <w:bookmarkStart w:id="82" w:name="_Toc469271778"/>
      <w:bookmarkStart w:id="83" w:name="_Toc470099671"/>
      <w:r w:rsidRPr="00713D42">
        <w:rPr>
          <w:rFonts w:hint="eastAsia"/>
        </w:rPr>
        <w:t>綜上，</w:t>
      </w:r>
      <w:bookmarkEnd w:id="82"/>
      <w:r w:rsidRPr="00713D42">
        <w:rPr>
          <w:rFonts w:hint="eastAsia"/>
        </w:rPr>
        <w:t>環境保護與經濟發展二者本應相輔相成，並行不悖，然因我國環評制度具有否決權，致使環評常成為開發案件爭議之關鍵，故二者衝突時有所聞，為避免因經濟開發而恣意破壞環境，或以環境保護為名，阻擾經濟發展，產生中科二期、國光石化等環境保護與經濟發展衝突之情事，</w:t>
      </w:r>
      <w:r w:rsidR="005D2F37" w:rsidRPr="005D2F37">
        <w:rPr>
          <w:rFonts w:hint="eastAsia"/>
        </w:rPr>
        <w:t>行政院除應督促相關主管機關，於大型開發案件選址階段，詳細評估開發地點之妥適性，以利進入環評程序後，避免一再發生爭訟事件外</w:t>
      </w:r>
      <w:r w:rsidRPr="00713D42">
        <w:rPr>
          <w:rFonts w:hint="eastAsia"/>
        </w:rPr>
        <w:t>，並應明確界定環評之範圍，並依該等範圍確實評估影響環境之因子，非屬環境因素部分，回歸相關主管部門審理，以明權責。</w:t>
      </w:r>
      <w:bookmarkEnd w:id="83"/>
    </w:p>
    <w:p w:rsidR="00372CA7" w:rsidRPr="00713D42" w:rsidRDefault="00407CD8" w:rsidP="00407CD8">
      <w:pPr>
        <w:pStyle w:val="2"/>
        <w:numPr>
          <w:ilvl w:val="1"/>
          <w:numId w:val="20"/>
        </w:numPr>
        <w:overflowPunct/>
        <w:autoSpaceDE/>
        <w:autoSpaceDN/>
        <w:rPr>
          <w:b/>
        </w:rPr>
      </w:pPr>
      <w:r w:rsidRPr="00407CD8">
        <w:rPr>
          <w:rFonts w:hint="eastAsia"/>
          <w:b/>
        </w:rPr>
        <w:t>優質人力結構可使人民、產業及國家擁有更強競爭力，因此政府除要盡力培養國人成為優質人才外，並應開放外國人才之流入，然我國吸引外國人才政策多訂有限制條款，以避免影響國人就業等情事，行政院允應研議檢討是否調整吸引外國人才之策略，改採取積極延攬與從寬認定之開放原則，以提升國家競爭力。</w:t>
      </w:r>
    </w:p>
    <w:p w:rsidR="00372CA7" w:rsidRPr="00713D42" w:rsidRDefault="00372CA7" w:rsidP="00F6299D">
      <w:pPr>
        <w:pStyle w:val="3"/>
        <w:numPr>
          <w:ilvl w:val="2"/>
          <w:numId w:val="20"/>
        </w:numPr>
        <w:overflowPunct/>
        <w:autoSpaceDE/>
        <w:autoSpaceDN/>
      </w:pPr>
      <w:bookmarkStart w:id="84" w:name="_Toc469271780"/>
      <w:bookmarkStart w:id="85" w:name="_Toc470099673"/>
      <w:r w:rsidRPr="00713D42">
        <w:rPr>
          <w:rFonts w:hint="eastAsia"/>
        </w:rPr>
        <w:t>FDI投資者進行投資時，除帶來資金外，亦多會引進技術，而技術之引進，多必須連帶引進外國人才，是以，我國人才居留制度將影響外國人才來臺意願:</w:t>
      </w:r>
      <w:bookmarkEnd w:id="84"/>
      <w:bookmarkEnd w:id="85"/>
    </w:p>
    <w:p w:rsidR="00372CA7" w:rsidRPr="00713D42" w:rsidRDefault="00372CA7" w:rsidP="00F6299D">
      <w:pPr>
        <w:pStyle w:val="4"/>
        <w:numPr>
          <w:ilvl w:val="3"/>
          <w:numId w:val="20"/>
        </w:numPr>
        <w:overflowPunct/>
        <w:autoSpaceDE/>
        <w:autoSpaceDN/>
      </w:pPr>
      <w:r w:rsidRPr="00713D42">
        <w:rPr>
          <w:rFonts w:hint="eastAsia"/>
        </w:rPr>
        <w:t>外國人欲以投資或應聘事由來臺，如取得投審會或勞動部核發之許可函，得以下列方式取得我國之居留權：</w:t>
      </w:r>
    </w:p>
    <w:p w:rsidR="00372CA7" w:rsidRPr="00713D42" w:rsidRDefault="00372CA7" w:rsidP="00F6299D">
      <w:pPr>
        <w:pStyle w:val="5"/>
        <w:numPr>
          <w:ilvl w:val="4"/>
          <w:numId w:val="20"/>
        </w:numPr>
        <w:overflowPunct/>
        <w:autoSpaceDE/>
        <w:autoSpaceDN/>
      </w:pPr>
      <w:r w:rsidRPr="00713D42">
        <w:rPr>
          <w:rFonts w:hint="eastAsia"/>
        </w:rPr>
        <w:lastRenderedPageBreak/>
        <w:t>經駐外館處核發居留簽證，即得經移民署查驗許可入國後，取得居留許可，並向移民署申請外僑居留證。</w:t>
      </w:r>
    </w:p>
    <w:p w:rsidR="00372CA7" w:rsidRPr="00713D42" w:rsidRDefault="00372CA7" w:rsidP="00F6299D">
      <w:pPr>
        <w:pStyle w:val="5"/>
        <w:numPr>
          <w:ilvl w:val="4"/>
          <w:numId w:val="20"/>
        </w:numPr>
        <w:overflowPunct/>
        <w:autoSpaceDE/>
        <w:autoSpaceDN/>
      </w:pPr>
      <w:r w:rsidRPr="00713D42">
        <w:rPr>
          <w:rFonts w:hint="eastAsia"/>
        </w:rPr>
        <w:t>外國人持停留期限在60日以上，且未經簽證核發機關加註限制不准延期或其他限制之有效簽證入國，符合入出國及移民法(以下簡稱移民法)第23條第1項第3款至第5款規定者，亦得向移民署申請居留，經許可者，發給外僑居留證。</w:t>
      </w:r>
    </w:p>
    <w:p w:rsidR="00372CA7" w:rsidRPr="00713D42" w:rsidRDefault="00372CA7" w:rsidP="00F6299D">
      <w:pPr>
        <w:pStyle w:val="4"/>
        <w:numPr>
          <w:ilvl w:val="3"/>
          <w:numId w:val="20"/>
        </w:numPr>
        <w:overflowPunct/>
        <w:autoSpaceDE/>
        <w:autoSpaceDN/>
      </w:pPr>
      <w:r w:rsidRPr="00713D42">
        <w:rPr>
          <w:rFonts w:hint="eastAsia"/>
        </w:rPr>
        <w:t>依據「外國投資人或外國法人投資人之代表人申辦居留簽證之作業規定」，外國投資人或外國法人投資人之代表人，因業務需要擬在我國作6個月以上之居留者，得依下列規定，向投審會申請核發投資證明，並向外交部及移民署分別申請居留簽證及外僑居留證：</w:t>
      </w:r>
    </w:p>
    <w:p w:rsidR="00372CA7" w:rsidRPr="00713D42" w:rsidRDefault="00372CA7" w:rsidP="00F6299D">
      <w:pPr>
        <w:pStyle w:val="5"/>
        <w:numPr>
          <w:ilvl w:val="4"/>
          <w:numId w:val="20"/>
        </w:numPr>
        <w:overflowPunct/>
        <w:autoSpaceDE/>
        <w:autoSpaceDN/>
      </w:pPr>
      <w:r w:rsidRPr="00713D42">
        <w:rPr>
          <w:rFonts w:hint="eastAsia"/>
        </w:rPr>
        <w:t>投資人為外國自然人：單一外國人投資達20萬美元始可申請核發投資證明，俾憑辦理居留簽證。</w:t>
      </w:r>
    </w:p>
    <w:p w:rsidR="00372CA7" w:rsidRPr="00713D42" w:rsidRDefault="00372CA7" w:rsidP="00F6299D">
      <w:pPr>
        <w:pStyle w:val="5"/>
        <w:numPr>
          <w:ilvl w:val="4"/>
          <w:numId w:val="20"/>
        </w:numPr>
        <w:overflowPunct/>
        <w:autoSpaceDE/>
        <w:autoSpaceDN/>
      </w:pPr>
      <w:r w:rsidRPr="00713D42">
        <w:rPr>
          <w:rFonts w:hint="eastAsia"/>
        </w:rPr>
        <w:t>投資人為外國法人：如其投資之國內事業已實行股本投資達20萬美元以上，得指派2位代表人經營管理該國內事業，且該代表人須擔任該國內事業之董監事職務；每增加50萬美元，得申請增發1人，但以增發7人為限。</w:t>
      </w:r>
    </w:p>
    <w:p w:rsidR="00372CA7" w:rsidRPr="00713D42" w:rsidRDefault="00372CA7" w:rsidP="00F6299D">
      <w:pPr>
        <w:pStyle w:val="5"/>
        <w:numPr>
          <w:ilvl w:val="4"/>
          <w:numId w:val="20"/>
        </w:numPr>
        <w:overflowPunct/>
        <w:autoSpaceDE/>
        <w:autoSpaceDN/>
      </w:pPr>
      <w:r w:rsidRPr="00713D42">
        <w:rPr>
          <w:rFonts w:hint="eastAsia"/>
        </w:rPr>
        <w:t>前開外國投資人之隨行配偶及未成年(未滿20歲)子女，如為外國人，可依「入出國及移民法」第23條申請外僑居留證；如為港澳居民，則依「香港澳門居民進入臺灣地區及居留定居許可辦法」第17條申請隨行來臺居留；如為大陸地區人民，則依「大陸地區人民進入臺灣地區許可辦法」第26條規定申請隨行團聚。</w:t>
      </w:r>
    </w:p>
    <w:p w:rsidR="00372CA7" w:rsidRPr="00713D42" w:rsidRDefault="00372CA7" w:rsidP="00F6299D">
      <w:pPr>
        <w:pStyle w:val="4"/>
        <w:numPr>
          <w:ilvl w:val="3"/>
          <w:numId w:val="20"/>
        </w:numPr>
        <w:overflowPunct/>
        <w:autoSpaceDE/>
        <w:autoSpaceDN/>
      </w:pPr>
      <w:r w:rsidRPr="00713D42">
        <w:rPr>
          <w:rFonts w:hint="eastAsia"/>
        </w:rPr>
        <w:lastRenderedPageBreak/>
        <w:t>華僑或外國人經政府核准投資或設立事業之主管工作:</w:t>
      </w:r>
    </w:p>
    <w:p w:rsidR="00372CA7" w:rsidRPr="00713D42" w:rsidRDefault="00372CA7" w:rsidP="00F6299D">
      <w:pPr>
        <w:pStyle w:val="5"/>
        <w:numPr>
          <w:ilvl w:val="4"/>
          <w:numId w:val="20"/>
        </w:numPr>
        <w:overflowPunct/>
        <w:autoSpaceDE/>
        <w:autoSpaceDN/>
      </w:pPr>
      <w:r w:rsidRPr="00713D42">
        <w:rPr>
          <w:rFonts w:hint="eastAsia"/>
        </w:rPr>
        <w:t>資格條件:</w:t>
      </w:r>
    </w:p>
    <w:p w:rsidR="00372CA7" w:rsidRPr="00713D42" w:rsidRDefault="00372CA7" w:rsidP="00F6299D">
      <w:pPr>
        <w:pStyle w:val="6"/>
        <w:numPr>
          <w:ilvl w:val="5"/>
          <w:numId w:val="20"/>
        </w:numPr>
        <w:overflowPunct/>
        <w:autoSpaceDE/>
        <w:autoSpaceDN/>
      </w:pPr>
      <w:r w:rsidRPr="00713D42">
        <w:rPr>
          <w:rFonts w:hint="eastAsia"/>
        </w:rPr>
        <w:t>依華僑回國投資條例或外國人投資條例核准投資之公司，其華僑或外國人持有所投資事業之股份或出資額，合計超過該事業之股份總數或資本總額1/3以上之公司經理人。</w:t>
      </w:r>
    </w:p>
    <w:p w:rsidR="00372CA7" w:rsidRPr="00713D42" w:rsidRDefault="00372CA7" w:rsidP="00F6299D">
      <w:pPr>
        <w:pStyle w:val="6"/>
        <w:numPr>
          <w:ilvl w:val="5"/>
          <w:numId w:val="20"/>
        </w:numPr>
        <w:overflowPunct/>
        <w:autoSpaceDE/>
        <w:autoSpaceDN/>
      </w:pPr>
      <w:r w:rsidRPr="00713D42">
        <w:rPr>
          <w:rFonts w:hint="eastAsia"/>
        </w:rPr>
        <w:tab/>
        <w:t>外國分公司經理人。</w:t>
      </w:r>
    </w:p>
    <w:p w:rsidR="00372CA7" w:rsidRPr="00713D42" w:rsidRDefault="00372CA7" w:rsidP="00F6299D">
      <w:pPr>
        <w:pStyle w:val="6"/>
        <w:numPr>
          <w:ilvl w:val="5"/>
          <w:numId w:val="20"/>
        </w:numPr>
        <w:overflowPunct/>
        <w:autoSpaceDE/>
        <w:autoSpaceDN/>
      </w:pPr>
      <w:r w:rsidRPr="00713D42">
        <w:rPr>
          <w:rFonts w:hint="eastAsia"/>
        </w:rPr>
        <w:tab/>
        <w:t>經中央目的事業主管機關許可設立代表人辦事處之代表人。</w:t>
      </w:r>
    </w:p>
    <w:p w:rsidR="00372CA7" w:rsidRPr="00713D42" w:rsidRDefault="00372CA7" w:rsidP="00F6299D">
      <w:pPr>
        <w:pStyle w:val="6"/>
        <w:numPr>
          <w:ilvl w:val="5"/>
          <w:numId w:val="20"/>
        </w:numPr>
        <w:overflowPunct/>
        <w:autoSpaceDE/>
        <w:autoSpaceDN/>
      </w:pPr>
      <w:r w:rsidRPr="00713D42">
        <w:rPr>
          <w:rFonts w:hint="eastAsia"/>
        </w:rPr>
        <w:tab/>
        <w:t>經中央主管機關會商中央目的事業主管機關專案同意之具創新能力之新創事業，其部門副主管以上或相當等級之人員。</w:t>
      </w:r>
    </w:p>
    <w:p w:rsidR="00372CA7" w:rsidRPr="00713D42" w:rsidRDefault="00372CA7" w:rsidP="00F6299D">
      <w:pPr>
        <w:pStyle w:val="5"/>
        <w:numPr>
          <w:ilvl w:val="4"/>
          <w:numId w:val="20"/>
        </w:numPr>
        <w:overflowPunct/>
        <w:autoSpaceDE/>
        <w:autoSpaceDN/>
      </w:pPr>
      <w:r w:rsidRPr="00713D42">
        <w:rPr>
          <w:rFonts w:hint="eastAsia"/>
        </w:rPr>
        <w:t>雇主所聘僱之第1人，其得不受「專門性或技術性工作」之相關學經歷(碩士以上學歷; 大學以上畢業及2年以上工作經驗)及受聘僱平均月薪資規範(除另有規定外，應達每月4萬7,971元整);超過1人以上者，其相關學經歷及受聘僱平均薪資規範，比照「專門性或技術性工作」辦理。</w:t>
      </w:r>
    </w:p>
    <w:p w:rsidR="00372CA7" w:rsidRPr="00713D42" w:rsidRDefault="00372CA7" w:rsidP="00F6299D">
      <w:pPr>
        <w:pStyle w:val="5"/>
        <w:numPr>
          <w:ilvl w:val="4"/>
          <w:numId w:val="20"/>
        </w:numPr>
        <w:overflowPunct/>
        <w:autoSpaceDE/>
        <w:autoSpaceDN/>
      </w:pPr>
      <w:r w:rsidRPr="00713D42">
        <w:rPr>
          <w:rFonts w:hint="eastAsia"/>
        </w:rPr>
        <w:t>雇主應具備下列條件之一：</w:t>
      </w:r>
    </w:p>
    <w:p w:rsidR="00372CA7" w:rsidRPr="00713D42" w:rsidRDefault="00372CA7" w:rsidP="00F6299D">
      <w:pPr>
        <w:pStyle w:val="6"/>
        <w:numPr>
          <w:ilvl w:val="5"/>
          <w:numId w:val="20"/>
        </w:numPr>
        <w:overflowPunct/>
        <w:autoSpaceDE/>
        <w:autoSpaceDN/>
      </w:pPr>
      <w:r w:rsidRPr="00713D42">
        <w:rPr>
          <w:rFonts w:hint="eastAsia"/>
        </w:rPr>
        <w:tab/>
        <w:t>設立未滿1年者:實收資本額或在臺營運資金達50萬元以上、營業額達300萬元以上、進出口實績總額達美金50萬元以上或代理佣金達美金20萬元以上。</w:t>
      </w:r>
    </w:p>
    <w:p w:rsidR="00372CA7" w:rsidRPr="00713D42" w:rsidRDefault="00372CA7" w:rsidP="00F6299D">
      <w:pPr>
        <w:pStyle w:val="6"/>
        <w:numPr>
          <w:ilvl w:val="5"/>
          <w:numId w:val="20"/>
        </w:numPr>
        <w:overflowPunct/>
        <w:autoSpaceDE/>
        <w:autoSpaceDN/>
      </w:pPr>
      <w:r w:rsidRPr="00713D42">
        <w:rPr>
          <w:rFonts w:hint="eastAsia"/>
        </w:rPr>
        <w:t>設立1年以上者:最近1年或前3年在臺平均營業額達300萬元以上、平均進出口實績總額達美金50萬元以上或平均代理佣金達美金20萬元以上。</w:t>
      </w:r>
    </w:p>
    <w:p w:rsidR="00372CA7" w:rsidRPr="00713D42" w:rsidRDefault="00372CA7" w:rsidP="00F6299D">
      <w:pPr>
        <w:pStyle w:val="6"/>
        <w:numPr>
          <w:ilvl w:val="5"/>
          <w:numId w:val="20"/>
        </w:numPr>
        <w:overflowPunct/>
        <w:autoSpaceDE/>
        <w:autoSpaceDN/>
      </w:pPr>
      <w:r w:rsidRPr="00713D42">
        <w:rPr>
          <w:rFonts w:hint="eastAsia"/>
        </w:rPr>
        <w:tab/>
        <w:t>經中央目的事業主管機關許可設立之外國公司代表人辦事處且有工作實績者。但設立</w:t>
      </w:r>
      <w:r w:rsidRPr="00713D42">
        <w:rPr>
          <w:rFonts w:hint="eastAsia"/>
        </w:rPr>
        <w:lastRenderedPageBreak/>
        <w:t>未滿1年者，免工作實績。</w:t>
      </w:r>
    </w:p>
    <w:p w:rsidR="00372CA7" w:rsidRPr="00713D42" w:rsidRDefault="00372CA7" w:rsidP="00F6299D">
      <w:pPr>
        <w:pStyle w:val="6"/>
        <w:numPr>
          <w:ilvl w:val="5"/>
          <w:numId w:val="20"/>
        </w:numPr>
        <w:overflowPunct/>
        <w:autoSpaceDE/>
        <w:autoSpaceDN/>
      </w:pPr>
      <w:r w:rsidRPr="00713D42">
        <w:rPr>
          <w:rFonts w:hint="eastAsia"/>
        </w:rPr>
        <w:t>對國內經濟發展有實質貢獻，或因情況特殊，經中央主管機關會商中央目的事業主管機關專案認定。</w:t>
      </w:r>
    </w:p>
    <w:p w:rsidR="00372CA7" w:rsidRPr="00713D42" w:rsidRDefault="00372CA7" w:rsidP="00F6299D">
      <w:pPr>
        <w:pStyle w:val="4"/>
        <w:numPr>
          <w:ilvl w:val="3"/>
          <w:numId w:val="20"/>
        </w:numPr>
        <w:overflowPunct/>
        <w:autoSpaceDE/>
        <w:autoSpaceDN/>
      </w:pPr>
      <w:r w:rsidRPr="00713D42">
        <w:rPr>
          <w:rFonts w:hint="eastAsia"/>
        </w:rPr>
        <w:t>畢業僑外生留臺工作制度:</w:t>
      </w:r>
    </w:p>
    <w:p w:rsidR="00372CA7" w:rsidRPr="00713D42" w:rsidRDefault="00372CA7" w:rsidP="00F6299D">
      <w:pPr>
        <w:pStyle w:val="5"/>
        <w:numPr>
          <w:ilvl w:val="4"/>
          <w:numId w:val="20"/>
        </w:numPr>
        <w:overflowPunct/>
        <w:autoSpaceDE/>
        <w:autoSpaceDN/>
      </w:pPr>
      <w:r w:rsidRPr="00713D42">
        <w:rPr>
          <w:rFonts w:hint="eastAsia"/>
        </w:rPr>
        <w:t>應符合受聘僱從事專門性或技術性工作下各工作類別之工作內容。</w:t>
      </w:r>
    </w:p>
    <w:p w:rsidR="00372CA7" w:rsidRPr="00713D42" w:rsidRDefault="00372CA7" w:rsidP="00F6299D">
      <w:pPr>
        <w:pStyle w:val="5"/>
        <w:numPr>
          <w:ilvl w:val="4"/>
          <w:numId w:val="20"/>
        </w:numPr>
        <w:overflowPunct/>
        <w:autoSpaceDE/>
        <w:autoSpaceDN/>
      </w:pPr>
      <w:r w:rsidRPr="00713D42">
        <w:rPr>
          <w:rFonts w:hint="eastAsia"/>
        </w:rPr>
        <w:t>外國人應為在臺取得大學學士(含)以上學歷之外國留學生、僑生與其他華裔學生，並經勞動部審核累計點數滿70點，即符合資格。</w:t>
      </w:r>
    </w:p>
    <w:p w:rsidR="00372CA7" w:rsidRPr="00713D42" w:rsidRDefault="00372CA7" w:rsidP="00F6299D">
      <w:pPr>
        <w:pStyle w:val="5"/>
        <w:numPr>
          <w:ilvl w:val="4"/>
          <w:numId w:val="20"/>
        </w:numPr>
        <w:overflowPunct/>
        <w:autoSpaceDE/>
        <w:autoSpaceDN/>
      </w:pPr>
      <w:r w:rsidRPr="00713D42">
        <w:rPr>
          <w:rFonts w:hint="eastAsia"/>
        </w:rPr>
        <w:t>評點表主要內容:</w:t>
      </w:r>
    </w:p>
    <w:p w:rsidR="00372CA7" w:rsidRPr="00713D42" w:rsidRDefault="00372CA7" w:rsidP="00F6299D">
      <w:pPr>
        <w:pStyle w:val="6"/>
        <w:numPr>
          <w:ilvl w:val="5"/>
          <w:numId w:val="20"/>
        </w:numPr>
        <w:overflowPunct/>
        <w:autoSpaceDE/>
        <w:autoSpaceDN/>
      </w:pPr>
      <w:r w:rsidRPr="00713D42">
        <w:rPr>
          <w:rFonts w:hint="eastAsia"/>
        </w:rPr>
        <w:t>每月平均薪資31,520以上，分為4級分別給予10-40點。</w:t>
      </w:r>
    </w:p>
    <w:p w:rsidR="00372CA7" w:rsidRPr="00713D42" w:rsidRDefault="00372CA7" w:rsidP="00F6299D">
      <w:pPr>
        <w:pStyle w:val="6"/>
        <w:numPr>
          <w:ilvl w:val="5"/>
          <w:numId w:val="20"/>
        </w:numPr>
        <w:overflowPunct/>
        <w:autoSpaceDE/>
        <w:autoSpaceDN/>
      </w:pPr>
      <w:r w:rsidRPr="00713D42">
        <w:rPr>
          <w:rFonts w:hint="eastAsia"/>
        </w:rPr>
        <w:t>工作經驗1年以上，分為2級分別給予10-20點。</w:t>
      </w:r>
    </w:p>
    <w:p w:rsidR="00372CA7" w:rsidRPr="00713D42" w:rsidRDefault="00372CA7" w:rsidP="00F6299D">
      <w:pPr>
        <w:pStyle w:val="6"/>
        <w:numPr>
          <w:ilvl w:val="5"/>
          <w:numId w:val="20"/>
        </w:numPr>
        <w:overflowPunct/>
        <w:autoSpaceDE/>
        <w:autoSpaceDN/>
      </w:pPr>
      <w:r w:rsidRPr="00713D42">
        <w:rPr>
          <w:rFonts w:hint="eastAsia"/>
        </w:rPr>
        <w:t>依學歷、語言、擔任職務、僱主配合政府政策等因素給予不同點數。</w:t>
      </w:r>
    </w:p>
    <w:p w:rsidR="00372CA7" w:rsidRPr="00713D42" w:rsidRDefault="00372CA7" w:rsidP="00F6299D">
      <w:pPr>
        <w:pStyle w:val="4"/>
        <w:numPr>
          <w:ilvl w:val="3"/>
          <w:numId w:val="20"/>
        </w:numPr>
        <w:overflowPunct/>
        <w:autoSpaceDE/>
        <w:autoSpaceDN/>
      </w:pPr>
      <w:r w:rsidRPr="00713D42">
        <w:rPr>
          <w:rFonts w:hint="eastAsia"/>
        </w:rPr>
        <w:t>為吸引國外優秀人才來臺居留，行政院於104年5月核定經濟部所「推動創業家簽證之規劃」方案，吸引外國及港澳創業家來臺創新創業。</w:t>
      </w:r>
    </w:p>
    <w:p w:rsidR="00372CA7" w:rsidRPr="00713D42" w:rsidRDefault="00372CA7" w:rsidP="00F6299D">
      <w:pPr>
        <w:pStyle w:val="4"/>
        <w:numPr>
          <w:ilvl w:val="3"/>
          <w:numId w:val="20"/>
        </w:numPr>
        <w:overflowPunct/>
        <w:autoSpaceDE/>
        <w:autoSpaceDN/>
      </w:pPr>
      <w:r w:rsidRPr="00713D42">
        <w:rPr>
          <w:rFonts w:hint="eastAsia"/>
        </w:rPr>
        <w:t>會商機制:</w:t>
      </w:r>
    </w:p>
    <w:p w:rsidR="00372CA7" w:rsidRPr="00713D42" w:rsidRDefault="00372CA7" w:rsidP="00F6299D">
      <w:pPr>
        <w:pStyle w:val="5"/>
        <w:numPr>
          <w:ilvl w:val="4"/>
          <w:numId w:val="20"/>
        </w:numPr>
        <w:overflowPunct/>
        <w:autoSpaceDE/>
        <w:autoSpaceDN/>
      </w:pPr>
      <w:r w:rsidRPr="00713D42">
        <w:rPr>
          <w:rFonts w:hint="eastAsia"/>
        </w:rPr>
        <w:t>外國人具學士學位，免除學士後2年相關工作經驗專案會商法規。</w:t>
      </w:r>
    </w:p>
    <w:p w:rsidR="00372CA7" w:rsidRPr="00713D42" w:rsidRDefault="00372CA7" w:rsidP="00F6299D">
      <w:pPr>
        <w:pStyle w:val="5"/>
        <w:numPr>
          <w:ilvl w:val="4"/>
          <w:numId w:val="20"/>
        </w:numPr>
        <w:overflowPunct/>
        <w:autoSpaceDE/>
        <w:autoSpaceDN/>
      </w:pPr>
      <w:r w:rsidRPr="00713D42">
        <w:rPr>
          <w:rFonts w:hint="eastAsia"/>
        </w:rPr>
        <w:t>申請專門性或技術性工作，雇主免除營業額、資本額或工作實績限制專案會商法規。</w:t>
      </w:r>
    </w:p>
    <w:p w:rsidR="00372CA7" w:rsidRPr="00713D42" w:rsidRDefault="00372CA7" w:rsidP="00F6299D">
      <w:pPr>
        <w:pStyle w:val="5"/>
        <w:numPr>
          <w:ilvl w:val="4"/>
          <w:numId w:val="20"/>
        </w:numPr>
        <w:overflowPunct/>
        <w:autoSpaceDE/>
        <w:autoSpaceDN/>
      </w:pPr>
      <w:r w:rsidRPr="00713D42">
        <w:rPr>
          <w:rFonts w:hint="eastAsia"/>
        </w:rPr>
        <w:t>申請華僑或外國人經政府核准投資或設立事業之主管工作，雇主免除營業額、資本額或工作實績限制專案會商法規。</w:t>
      </w:r>
    </w:p>
    <w:p w:rsidR="00372CA7" w:rsidRPr="00713D42" w:rsidRDefault="00372CA7" w:rsidP="00F6299D">
      <w:pPr>
        <w:pStyle w:val="3"/>
        <w:numPr>
          <w:ilvl w:val="2"/>
          <w:numId w:val="20"/>
        </w:numPr>
        <w:overflowPunct/>
        <w:autoSpaceDE/>
        <w:autoSpaceDN/>
      </w:pPr>
      <w:bookmarkStart w:id="86" w:name="_Toc470099674"/>
      <w:bookmarkStart w:id="87" w:name="_Toc469271781"/>
      <w:r w:rsidRPr="00713D42">
        <w:rPr>
          <w:rFonts w:hint="eastAsia"/>
        </w:rPr>
        <w:t>查政府為改善人才來臺問題，於就業服務法對白領外國專業人士在法令設計上已彈性鬆綁，例如白領外人來臺申請不像藍領須經國內經濟需求檢</w:t>
      </w:r>
      <w:r w:rsidRPr="00713D42">
        <w:rPr>
          <w:rFonts w:hint="eastAsia"/>
        </w:rPr>
        <w:lastRenderedPageBreak/>
        <w:t>測，白領來臺工作年限每3年即展期，然2年工作經驗及薪資門檻47,971元之限制仍在，且專技人員配偶隨同來臺部分亦有限制，反觀新加坡到處積極挖人才，提供獎學金，積極爭取人才畢業後將來就到新加坡就業，甚至規定外籍生畢業後須至少留新加坡工作一定年數，與我國要求在外僑留學後，如欲留在我國工作，採配額評點制方式評估有極大差異，由上可知，我國開放外國人來臺工作依工作性質及技能區分為外國專業人才及外籍勞工，並且以不得妨礙國人就業、勞動條件、經濟發展及社會安定等保護國人為原則，惟為因應經濟及社會發展需要，引進外國人從事專業工作，提升我國產業競爭力實有必要，然能否吸引外國優秀白領人才來臺工作及長駐，與國內薪資水準、子女教育、健康保險、居留條件、語言及其他友善生活環境等主、客觀因素息息相關，涉及層面甚廣，為改善我國人才缺乏之困境，行政院允應研議我國吸引外國人才是否應改採取積極延攬與從寬認定之開放原則，以協助企業引進優秀外國專業人才，提升產業及國家競爭力。</w:t>
      </w:r>
      <w:bookmarkEnd w:id="86"/>
    </w:p>
    <w:p w:rsidR="00372CA7" w:rsidRPr="00713D42" w:rsidRDefault="00372CA7" w:rsidP="00F6299D">
      <w:pPr>
        <w:pStyle w:val="3"/>
        <w:numPr>
          <w:ilvl w:val="2"/>
          <w:numId w:val="20"/>
        </w:numPr>
        <w:overflowPunct/>
        <w:autoSpaceDE/>
        <w:autoSpaceDN/>
      </w:pPr>
      <w:bookmarkStart w:id="88" w:name="_Toc470099675"/>
      <w:r w:rsidRPr="00713D42">
        <w:rPr>
          <w:rFonts w:hint="eastAsia"/>
        </w:rPr>
        <w:t>再查政府為落實產業發展與國人就業，並考量產業關聯及缺工情形訂定「外國人從事就業服務法第四十六條第一項第一款至第六款工作資格及審查標準」以審核外國人從事專門性或技術性之工作之資格，然政府又針對專門性或技術性工作、華僑或外國人經政府核准投資或設立事業之主管工作、畢業僑外生留臺工作等，因部分未符合工作資格，訂定會商機制。該等會商機制分為「通案會商」及「個案會商」2種，「通案會商」係符合所訂條件者即可不受原規定之資格條件限制，「個案會商」則係雇主內向勞動部主張啟動會商機制。由上可</w:t>
      </w:r>
      <w:r w:rsidRPr="00713D42">
        <w:rPr>
          <w:rFonts w:hint="eastAsia"/>
        </w:rPr>
        <w:lastRenderedPageBreak/>
        <w:t>知，政府制定較嚴格之資格及審查標準以審查外國來</w:t>
      </w:r>
      <w:r w:rsidR="00911F93">
        <w:rPr>
          <w:rFonts w:hint="eastAsia"/>
        </w:rPr>
        <w:t>臺</w:t>
      </w:r>
      <w:r w:rsidRPr="00713D42">
        <w:rPr>
          <w:rFonts w:hint="eastAsia"/>
        </w:rPr>
        <w:t>之專門性或技術性工作者等，然又為了部分事由，訂定例外之「通案會商」機制，復因個案情形，訂定「個案會商」機制，吸引國外優秀人才來臺，本為政府強化國家競爭力當為之事，然政府為保護國人就業等因素，訂定許多限制條款，惟又將該等條款以通案或個案方式解除限制，徒增行政成本，亦讓外人留下保守形象，行政院允應檢討我國吸引外國人才</w:t>
      </w:r>
      <w:r w:rsidR="00FB7F37">
        <w:rPr>
          <w:rFonts w:hint="eastAsia"/>
        </w:rPr>
        <w:t>之策略</w:t>
      </w:r>
      <w:r w:rsidRPr="00713D42">
        <w:rPr>
          <w:rFonts w:hint="eastAsia"/>
        </w:rPr>
        <w:t>，</w:t>
      </w:r>
      <w:r w:rsidR="00FB7F37">
        <w:rPr>
          <w:rFonts w:hint="eastAsia"/>
        </w:rPr>
        <w:t>避免</w:t>
      </w:r>
      <w:r w:rsidRPr="00713D42">
        <w:rPr>
          <w:rFonts w:hint="eastAsia"/>
        </w:rPr>
        <w:t>訂定過嚴之限制條件，又一再以專案方式核准，不利我國引進優秀人才。</w:t>
      </w:r>
      <w:bookmarkEnd w:id="88"/>
    </w:p>
    <w:p w:rsidR="00372CA7" w:rsidRPr="00713D42" w:rsidRDefault="00372CA7" w:rsidP="00F6299D">
      <w:pPr>
        <w:pStyle w:val="3"/>
        <w:numPr>
          <w:ilvl w:val="2"/>
          <w:numId w:val="20"/>
        </w:numPr>
        <w:overflowPunct/>
        <w:autoSpaceDE/>
        <w:autoSpaceDN/>
      </w:pPr>
      <w:bookmarkStart w:id="89" w:name="_Toc470099676"/>
      <w:r w:rsidRPr="00713D42">
        <w:rPr>
          <w:rFonts w:hint="eastAsia"/>
        </w:rPr>
        <w:t>本院諮詢學者專家時，有專家表示:「我特別想提人才的困境，人才外流嚴重，實際情況是獵人頭公司已經幾乎不到臺灣來找人才。要臺灣本地人才值得外商來獵，並不僅只是人才培訓的問題，而是要往前一步看問題，臺灣整體必須要有好的工業基礎、商業環境要好，外籍投資來了之後，造就好的環境，人才自然會浮現。看人才乾枯的問題時，背後是整體大環境，人才乾枯之後，如何讓人才能再湧動。但人才乾枯以後，導致外籍投資更不會來，因為沒有大環境的基本盤，此問題令我非常擔憂。」，且本院102年6月13日院臺調壹字第1020800216號調查意見亦表示:</w:t>
      </w:r>
      <w:r w:rsidRPr="00713D42">
        <w:rPr>
          <w:rFonts w:hAnsi="標楷體" w:hint="eastAsia"/>
        </w:rPr>
        <w:t>「我國勞動市場已存在人力供需失衡結構性現象</w:t>
      </w:r>
      <w:r w:rsidRPr="00713D42">
        <w:rPr>
          <w:rFonts w:hAnsi="標楷體"/>
        </w:rPr>
        <w:t>……</w:t>
      </w:r>
      <w:r w:rsidRPr="00713D42">
        <w:rPr>
          <w:rFonts w:hAnsi="標楷體" w:hint="eastAsia"/>
        </w:rPr>
        <w:t>致教育體系各系所人才培育無法與產業發展需求相對應，導致人才培育長期供需失衡及產學落差現象，允宜檢討改進。」；</w:t>
      </w:r>
      <w:r w:rsidRPr="00713D42">
        <w:rPr>
          <w:rFonts w:hint="eastAsia"/>
        </w:rPr>
        <w:t>另</w:t>
      </w:r>
      <w:r w:rsidRPr="00713D42">
        <w:rPr>
          <w:rFonts w:hAnsi="標楷體" w:hint="eastAsia"/>
        </w:rPr>
        <w:t>「根據牛津經濟研究院一份研究報告，2021年臺灣將成為全球人才最缺乏國家</w:t>
      </w:r>
      <w:r w:rsidRPr="00713D42">
        <w:rPr>
          <w:rFonts w:hAnsi="標楷體"/>
        </w:rPr>
        <w:t>……</w:t>
      </w:r>
      <w:r w:rsidRPr="00713D42">
        <w:rPr>
          <w:rFonts w:hAnsi="標楷體" w:hint="eastAsia"/>
        </w:rPr>
        <w:t>臺灣由於生育率低、人口老化、人才培育方向與職場需求出現嚴重落差，在46個國家中敬陪末座」</w:t>
      </w:r>
      <w:r w:rsidRPr="00713D42">
        <w:rPr>
          <w:rStyle w:val="aff8"/>
          <w:rFonts w:hAnsi="標楷體"/>
        </w:rPr>
        <w:lastRenderedPageBreak/>
        <w:footnoteReference w:id="23"/>
      </w:r>
      <w:r w:rsidRPr="00713D42">
        <w:rPr>
          <w:rFonts w:hAnsi="標楷體" w:hint="eastAsia"/>
        </w:rPr>
        <w:t>。故，從業界觀點及本院調查結果均顯示我國面臨人才不足情況，此等情況下，政府除應重新調整人才培育計畫外，吸引外國人才來臺，亦是補足人才缺口可行策略，且依據</w:t>
      </w:r>
      <w:r w:rsidRPr="00713D42">
        <w:rPr>
          <w:rFonts w:hint="eastAsia"/>
        </w:rPr>
        <w:t>IMD競爭力年報資料顯示國內企業環境吸引國外高階人才能力，於61個評比國中，倒數第10名(詳表10)，顯見我國留才及攬才之能力有待加強。</w:t>
      </w:r>
      <w:bookmarkEnd w:id="87"/>
      <w:bookmarkEnd w:id="89"/>
    </w:p>
    <w:p w:rsidR="00372CA7" w:rsidRPr="00713D42" w:rsidRDefault="00372CA7" w:rsidP="00372CA7">
      <w:pPr>
        <w:pStyle w:val="a5"/>
        <w:ind w:left="1048" w:hanging="480"/>
        <w:jc w:val="center"/>
        <w:rPr>
          <w:b/>
        </w:rPr>
      </w:pPr>
      <w:r w:rsidRPr="00713D42">
        <w:rPr>
          <w:rFonts w:hint="eastAsia"/>
          <w:b/>
        </w:rPr>
        <w:t>我國世界競爭力之劣勢項目</w:t>
      </w:r>
    </w:p>
    <w:tbl>
      <w:tblPr>
        <w:tblW w:w="54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8"/>
        <w:gridCol w:w="7625"/>
        <w:gridCol w:w="984"/>
        <w:gridCol w:w="647"/>
      </w:tblGrid>
      <w:tr w:rsidR="00372CA7" w:rsidRPr="00713D42" w:rsidTr="007E0274">
        <w:trPr>
          <w:trHeight w:val="56"/>
          <w:tblHeader/>
          <w:jc w:val="center"/>
        </w:trPr>
        <w:tc>
          <w:tcPr>
            <w:tcW w:w="211" w:type="pct"/>
          </w:tcPr>
          <w:p w:rsidR="00372CA7" w:rsidRPr="00713D42" w:rsidRDefault="00372CA7" w:rsidP="00B10A4D">
            <w:pPr>
              <w:snapToGrid w:val="0"/>
              <w:jc w:val="center"/>
              <w:rPr>
                <w:b/>
                <w:sz w:val="24"/>
                <w:szCs w:val="24"/>
              </w:rPr>
            </w:pPr>
          </w:p>
        </w:tc>
        <w:tc>
          <w:tcPr>
            <w:tcW w:w="3945" w:type="pct"/>
          </w:tcPr>
          <w:p w:rsidR="00372CA7" w:rsidRPr="00713D42" w:rsidRDefault="00372CA7" w:rsidP="00B10A4D">
            <w:pPr>
              <w:jc w:val="center"/>
              <w:rPr>
                <w:sz w:val="24"/>
                <w:szCs w:val="24"/>
              </w:rPr>
            </w:pPr>
            <w:r w:rsidRPr="00713D42">
              <w:rPr>
                <w:rFonts w:hint="eastAsia"/>
                <w:sz w:val="24"/>
                <w:szCs w:val="24"/>
              </w:rPr>
              <w:t>項目</w:t>
            </w:r>
          </w:p>
        </w:tc>
        <w:tc>
          <w:tcPr>
            <w:tcW w:w="509" w:type="pct"/>
          </w:tcPr>
          <w:p w:rsidR="00372CA7" w:rsidRPr="00713D42" w:rsidRDefault="00372CA7" w:rsidP="00B10A4D">
            <w:pPr>
              <w:jc w:val="center"/>
              <w:rPr>
                <w:sz w:val="24"/>
                <w:szCs w:val="24"/>
              </w:rPr>
            </w:pPr>
            <w:r w:rsidRPr="00713D42">
              <w:rPr>
                <w:rFonts w:hint="eastAsia"/>
                <w:sz w:val="24"/>
                <w:szCs w:val="24"/>
              </w:rPr>
              <w:t>數值</w:t>
            </w:r>
          </w:p>
        </w:tc>
        <w:tc>
          <w:tcPr>
            <w:tcW w:w="336" w:type="pct"/>
          </w:tcPr>
          <w:p w:rsidR="00372CA7" w:rsidRPr="00713D42" w:rsidRDefault="00372CA7" w:rsidP="00B10A4D">
            <w:pPr>
              <w:jc w:val="center"/>
              <w:rPr>
                <w:sz w:val="24"/>
                <w:szCs w:val="24"/>
              </w:rPr>
            </w:pPr>
            <w:r w:rsidRPr="00713D42">
              <w:rPr>
                <w:rFonts w:hint="eastAsia"/>
                <w:sz w:val="24"/>
                <w:szCs w:val="24"/>
              </w:rPr>
              <w:t>名次</w:t>
            </w:r>
          </w:p>
        </w:tc>
      </w:tr>
      <w:tr w:rsidR="00372CA7" w:rsidRPr="00713D42" w:rsidTr="007E0274">
        <w:trPr>
          <w:trHeight w:val="69"/>
          <w:jc w:val="center"/>
        </w:trPr>
        <w:tc>
          <w:tcPr>
            <w:tcW w:w="211" w:type="pct"/>
            <w:vMerge w:val="restart"/>
          </w:tcPr>
          <w:p w:rsidR="00372CA7" w:rsidRPr="00713D42" w:rsidRDefault="00372CA7" w:rsidP="00B10A4D">
            <w:pPr>
              <w:snapToGrid w:val="0"/>
              <w:rPr>
                <w:b/>
                <w:bCs/>
                <w:spacing w:val="-20"/>
                <w:sz w:val="24"/>
                <w:szCs w:val="24"/>
              </w:rPr>
            </w:pPr>
            <w:r w:rsidRPr="00713D42">
              <w:rPr>
                <w:rFonts w:hint="eastAsia"/>
                <w:b/>
                <w:bCs/>
                <w:spacing w:val="-20"/>
                <w:sz w:val="24"/>
                <w:szCs w:val="24"/>
              </w:rPr>
              <w:t>三</w:t>
            </w:r>
          </w:p>
          <w:p w:rsidR="00372CA7" w:rsidRPr="00713D42" w:rsidRDefault="00372CA7" w:rsidP="00B10A4D">
            <w:pPr>
              <w:snapToGrid w:val="0"/>
              <w:rPr>
                <w:b/>
                <w:bCs/>
                <w:spacing w:val="-20"/>
                <w:sz w:val="24"/>
                <w:szCs w:val="24"/>
              </w:rPr>
            </w:pPr>
            <w:r w:rsidRPr="00713D42">
              <w:rPr>
                <w:rFonts w:hint="eastAsia"/>
                <w:b/>
                <w:bCs/>
                <w:spacing w:val="-20"/>
                <w:sz w:val="24"/>
                <w:szCs w:val="24"/>
              </w:rPr>
              <w:t>企</w:t>
            </w:r>
          </w:p>
          <w:p w:rsidR="00372CA7" w:rsidRPr="00713D42" w:rsidRDefault="00372CA7" w:rsidP="00B10A4D">
            <w:pPr>
              <w:snapToGrid w:val="0"/>
              <w:rPr>
                <w:b/>
                <w:bCs/>
                <w:spacing w:val="-20"/>
                <w:sz w:val="24"/>
                <w:szCs w:val="24"/>
              </w:rPr>
            </w:pPr>
            <w:r w:rsidRPr="00713D42">
              <w:rPr>
                <w:rFonts w:hint="eastAsia"/>
                <w:b/>
                <w:bCs/>
                <w:spacing w:val="-20"/>
                <w:sz w:val="24"/>
                <w:szCs w:val="24"/>
              </w:rPr>
              <w:t>業</w:t>
            </w:r>
          </w:p>
          <w:p w:rsidR="00372CA7" w:rsidRPr="00713D42" w:rsidRDefault="00372CA7" w:rsidP="00B10A4D">
            <w:pPr>
              <w:snapToGrid w:val="0"/>
              <w:rPr>
                <w:b/>
                <w:bCs/>
                <w:spacing w:val="-20"/>
                <w:sz w:val="24"/>
                <w:szCs w:val="24"/>
              </w:rPr>
            </w:pPr>
            <w:r w:rsidRPr="00713D42">
              <w:rPr>
                <w:rFonts w:hint="eastAsia"/>
                <w:b/>
                <w:bCs/>
                <w:spacing w:val="-20"/>
                <w:sz w:val="24"/>
                <w:szCs w:val="24"/>
              </w:rPr>
              <w:t>效</w:t>
            </w:r>
          </w:p>
          <w:p w:rsidR="00372CA7" w:rsidRPr="00713D42" w:rsidRDefault="00372CA7" w:rsidP="00B10A4D">
            <w:pPr>
              <w:snapToGrid w:val="0"/>
              <w:rPr>
                <w:b/>
                <w:bCs/>
                <w:sz w:val="24"/>
                <w:szCs w:val="24"/>
              </w:rPr>
            </w:pPr>
            <w:r w:rsidRPr="00713D42">
              <w:rPr>
                <w:rFonts w:hint="eastAsia"/>
                <w:b/>
                <w:bCs/>
                <w:spacing w:val="-20"/>
                <w:sz w:val="24"/>
                <w:szCs w:val="24"/>
              </w:rPr>
              <w:t>能</w:t>
            </w:r>
          </w:p>
        </w:tc>
        <w:tc>
          <w:tcPr>
            <w:tcW w:w="3945" w:type="pct"/>
            <w:vAlign w:val="center"/>
          </w:tcPr>
          <w:p w:rsidR="00372CA7" w:rsidRPr="00713D42" w:rsidRDefault="00372CA7" w:rsidP="00B10A4D">
            <w:pPr>
              <w:snapToGrid w:val="0"/>
              <w:rPr>
                <w:sz w:val="24"/>
                <w:szCs w:val="24"/>
              </w:rPr>
            </w:pPr>
            <w:r w:rsidRPr="00713D42">
              <w:rPr>
                <w:rFonts w:hint="eastAsia"/>
                <w:sz w:val="24"/>
                <w:szCs w:val="24"/>
              </w:rPr>
              <w:t xml:space="preserve"> 3.3.19 企業併購 (2012，案數/公司)</w:t>
            </w:r>
          </w:p>
        </w:tc>
        <w:tc>
          <w:tcPr>
            <w:tcW w:w="509" w:type="pct"/>
          </w:tcPr>
          <w:p w:rsidR="00372CA7" w:rsidRPr="00713D42" w:rsidRDefault="00372CA7" w:rsidP="00B10A4D">
            <w:pPr>
              <w:snapToGrid w:val="0"/>
              <w:jc w:val="center"/>
              <w:rPr>
                <w:sz w:val="24"/>
                <w:szCs w:val="24"/>
              </w:rPr>
            </w:pPr>
            <w:r w:rsidRPr="00713D42">
              <w:rPr>
                <w:rFonts w:hint="eastAsia"/>
                <w:sz w:val="24"/>
                <w:szCs w:val="24"/>
              </w:rPr>
              <w:t>0.13</w:t>
            </w:r>
          </w:p>
        </w:tc>
        <w:tc>
          <w:tcPr>
            <w:tcW w:w="336" w:type="pct"/>
          </w:tcPr>
          <w:p w:rsidR="00372CA7" w:rsidRPr="00713D42" w:rsidRDefault="00372CA7" w:rsidP="00B10A4D">
            <w:pPr>
              <w:snapToGrid w:val="0"/>
              <w:jc w:val="center"/>
              <w:rPr>
                <w:sz w:val="24"/>
                <w:szCs w:val="24"/>
              </w:rPr>
            </w:pPr>
            <w:r w:rsidRPr="00713D42">
              <w:rPr>
                <w:rFonts w:hint="eastAsia"/>
                <w:sz w:val="24"/>
                <w:szCs w:val="24"/>
              </w:rPr>
              <w:t>54</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rPr>
                <w:sz w:val="24"/>
                <w:szCs w:val="24"/>
              </w:rPr>
            </w:pPr>
            <w:r w:rsidRPr="00713D42">
              <w:rPr>
                <w:rFonts w:hint="eastAsia"/>
                <w:sz w:val="24"/>
                <w:szCs w:val="24"/>
              </w:rPr>
              <w:t>S3.2.22 國內企業環境是否能吸引國外高階人才 (2016)</w:t>
            </w:r>
          </w:p>
        </w:tc>
        <w:tc>
          <w:tcPr>
            <w:tcW w:w="509" w:type="pct"/>
          </w:tcPr>
          <w:p w:rsidR="00372CA7" w:rsidRPr="00713D42" w:rsidRDefault="00372CA7" w:rsidP="00B10A4D">
            <w:pPr>
              <w:snapToGrid w:val="0"/>
              <w:jc w:val="center"/>
              <w:rPr>
                <w:sz w:val="24"/>
                <w:szCs w:val="24"/>
              </w:rPr>
            </w:pPr>
            <w:r w:rsidRPr="00713D42">
              <w:rPr>
                <w:rFonts w:hint="eastAsia"/>
                <w:sz w:val="24"/>
                <w:szCs w:val="24"/>
              </w:rPr>
              <w:t>3.62</w:t>
            </w:r>
          </w:p>
        </w:tc>
        <w:tc>
          <w:tcPr>
            <w:tcW w:w="336" w:type="pct"/>
          </w:tcPr>
          <w:p w:rsidR="00372CA7" w:rsidRPr="00713D42" w:rsidRDefault="00372CA7" w:rsidP="00B10A4D">
            <w:pPr>
              <w:snapToGrid w:val="0"/>
              <w:jc w:val="center"/>
              <w:rPr>
                <w:sz w:val="24"/>
                <w:szCs w:val="24"/>
              </w:rPr>
            </w:pPr>
            <w:r w:rsidRPr="00713D42">
              <w:rPr>
                <w:rFonts w:hint="eastAsia"/>
                <w:sz w:val="24"/>
                <w:szCs w:val="24"/>
              </w:rPr>
              <w:t>51</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rPr>
                <w:sz w:val="24"/>
                <w:szCs w:val="24"/>
              </w:rPr>
            </w:pPr>
            <w:r w:rsidRPr="00713D42">
              <w:rPr>
                <w:rFonts w:hint="eastAsia"/>
                <w:sz w:val="24"/>
                <w:szCs w:val="24"/>
              </w:rPr>
              <w:t>S3.2.21 人才外流是否弱化國內競爭力 (2016)</w:t>
            </w:r>
          </w:p>
        </w:tc>
        <w:tc>
          <w:tcPr>
            <w:tcW w:w="509" w:type="pct"/>
          </w:tcPr>
          <w:p w:rsidR="00372CA7" w:rsidRPr="00713D42" w:rsidRDefault="00372CA7" w:rsidP="00B10A4D">
            <w:pPr>
              <w:snapToGrid w:val="0"/>
              <w:jc w:val="center"/>
              <w:rPr>
                <w:sz w:val="24"/>
                <w:szCs w:val="24"/>
              </w:rPr>
            </w:pPr>
            <w:r w:rsidRPr="00713D42">
              <w:rPr>
                <w:rFonts w:hint="eastAsia"/>
                <w:sz w:val="24"/>
                <w:szCs w:val="24"/>
              </w:rPr>
              <w:t>3.69</w:t>
            </w:r>
          </w:p>
        </w:tc>
        <w:tc>
          <w:tcPr>
            <w:tcW w:w="336" w:type="pct"/>
          </w:tcPr>
          <w:p w:rsidR="00372CA7" w:rsidRPr="00713D42" w:rsidRDefault="00372CA7" w:rsidP="00B10A4D">
            <w:pPr>
              <w:snapToGrid w:val="0"/>
              <w:jc w:val="center"/>
              <w:rPr>
                <w:sz w:val="24"/>
                <w:szCs w:val="24"/>
              </w:rPr>
            </w:pPr>
            <w:r w:rsidRPr="00713D42">
              <w:rPr>
                <w:rFonts w:hint="eastAsia"/>
                <w:sz w:val="24"/>
                <w:szCs w:val="24"/>
              </w:rPr>
              <w:t>45</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rPr>
                <w:sz w:val="24"/>
                <w:szCs w:val="24"/>
              </w:rPr>
            </w:pPr>
            <w:r w:rsidRPr="00713D42">
              <w:rPr>
                <w:rFonts w:hint="eastAsia"/>
                <w:sz w:val="24"/>
                <w:szCs w:val="24"/>
              </w:rPr>
              <w:t>S3.2.23 資深企業經理人是否具有相當的國際商務經驗 (2016)</w:t>
            </w:r>
          </w:p>
        </w:tc>
        <w:tc>
          <w:tcPr>
            <w:tcW w:w="509" w:type="pct"/>
          </w:tcPr>
          <w:p w:rsidR="00372CA7" w:rsidRPr="00713D42" w:rsidRDefault="00372CA7" w:rsidP="00B10A4D">
            <w:pPr>
              <w:snapToGrid w:val="0"/>
              <w:jc w:val="center"/>
              <w:rPr>
                <w:sz w:val="24"/>
                <w:szCs w:val="24"/>
              </w:rPr>
            </w:pPr>
            <w:r w:rsidRPr="00713D42">
              <w:rPr>
                <w:rFonts w:hint="eastAsia"/>
                <w:sz w:val="24"/>
                <w:szCs w:val="24"/>
              </w:rPr>
              <w:t>4.83</w:t>
            </w:r>
          </w:p>
        </w:tc>
        <w:tc>
          <w:tcPr>
            <w:tcW w:w="336" w:type="pct"/>
          </w:tcPr>
          <w:p w:rsidR="00372CA7" w:rsidRPr="00713D42" w:rsidRDefault="00372CA7" w:rsidP="00B10A4D">
            <w:pPr>
              <w:snapToGrid w:val="0"/>
              <w:jc w:val="center"/>
              <w:rPr>
                <w:sz w:val="24"/>
                <w:szCs w:val="24"/>
              </w:rPr>
            </w:pPr>
            <w:r w:rsidRPr="00713D42">
              <w:rPr>
                <w:rFonts w:hint="eastAsia"/>
                <w:sz w:val="24"/>
                <w:szCs w:val="24"/>
              </w:rPr>
              <w:t>42</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rPr>
                <w:sz w:val="24"/>
                <w:szCs w:val="24"/>
              </w:rPr>
            </w:pPr>
            <w:r w:rsidRPr="00713D42">
              <w:rPr>
                <w:rFonts w:hint="eastAsia"/>
                <w:sz w:val="24"/>
                <w:szCs w:val="24"/>
              </w:rPr>
              <w:t>S3.2.18 技術勞工的供給是否充裕 (2016)</w:t>
            </w:r>
          </w:p>
        </w:tc>
        <w:tc>
          <w:tcPr>
            <w:tcW w:w="509" w:type="pct"/>
          </w:tcPr>
          <w:p w:rsidR="00372CA7" w:rsidRPr="00713D42" w:rsidRDefault="00372CA7" w:rsidP="00B10A4D">
            <w:pPr>
              <w:snapToGrid w:val="0"/>
              <w:jc w:val="center"/>
              <w:rPr>
                <w:sz w:val="24"/>
                <w:szCs w:val="24"/>
              </w:rPr>
            </w:pPr>
            <w:r w:rsidRPr="00713D42">
              <w:rPr>
                <w:rFonts w:hint="eastAsia"/>
                <w:sz w:val="24"/>
                <w:szCs w:val="24"/>
              </w:rPr>
              <w:t>5.54</w:t>
            </w:r>
          </w:p>
        </w:tc>
        <w:tc>
          <w:tcPr>
            <w:tcW w:w="336" w:type="pct"/>
          </w:tcPr>
          <w:p w:rsidR="00372CA7" w:rsidRPr="00713D42" w:rsidRDefault="00372CA7" w:rsidP="00B10A4D">
            <w:pPr>
              <w:snapToGrid w:val="0"/>
              <w:jc w:val="center"/>
              <w:rPr>
                <w:sz w:val="24"/>
                <w:szCs w:val="24"/>
              </w:rPr>
            </w:pPr>
            <w:r w:rsidRPr="00713D42">
              <w:rPr>
                <w:rFonts w:hint="eastAsia"/>
                <w:sz w:val="24"/>
                <w:szCs w:val="24"/>
              </w:rPr>
              <w:t>39</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rPr>
                <w:sz w:val="24"/>
                <w:szCs w:val="24"/>
              </w:rPr>
            </w:pPr>
            <w:r w:rsidRPr="00713D42">
              <w:rPr>
                <w:rFonts w:hint="eastAsia"/>
                <w:sz w:val="24"/>
                <w:szCs w:val="24"/>
              </w:rPr>
              <w:t>S3.2.20 企業是否重視吸引、留住人才 (2016)</w:t>
            </w:r>
          </w:p>
        </w:tc>
        <w:tc>
          <w:tcPr>
            <w:tcW w:w="509" w:type="pct"/>
          </w:tcPr>
          <w:p w:rsidR="00372CA7" w:rsidRPr="00713D42" w:rsidRDefault="00372CA7" w:rsidP="00B10A4D">
            <w:pPr>
              <w:snapToGrid w:val="0"/>
              <w:jc w:val="center"/>
              <w:rPr>
                <w:sz w:val="24"/>
                <w:szCs w:val="24"/>
              </w:rPr>
            </w:pPr>
            <w:r w:rsidRPr="00713D42">
              <w:rPr>
                <w:rFonts w:hint="eastAsia"/>
                <w:sz w:val="24"/>
                <w:szCs w:val="24"/>
              </w:rPr>
              <w:t>6.45</w:t>
            </w:r>
          </w:p>
        </w:tc>
        <w:tc>
          <w:tcPr>
            <w:tcW w:w="336" w:type="pct"/>
          </w:tcPr>
          <w:p w:rsidR="00372CA7" w:rsidRPr="00713D42" w:rsidRDefault="00372CA7" w:rsidP="00B10A4D">
            <w:pPr>
              <w:snapToGrid w:val="0"/>
              <w:jc w:val="center"/>
              <w:rPr>
                <w:sz w:val="24"/>
                <w:szCs w:val="24"/>
              </w:rPr>
            </w:pPr>
            <w:r w:rsidRPr="00713D42">
              <w:rPr>
                <w:rFonts w:hint="eastAsia"/>
                <w:sz w:val="24"/>
                <w:szCs w:val="24"/>
              </w:rPr>
              <w:t>36</w:t>
            </w:r>
          </w:p>
        </w:tc>
      </w:tr>
      <w:tr w:rsidR="00372CA7" w:rsidRPr="00713D42" w:rsidTr="007E0274">
        <w:trPr>
          <w:trHeight w:val="69"/>
          <w:jc w:val="center"/>
        </w:trPr>
        <w:tc>
          <w:tcPr>
            <w:tcW w:w="211" w:type="pct"/>
            <w:vMerge/>
          </w:tcPr>
          <w:p w:rsidR="00372CA7" w:rsidRPr="00713D42" w:rsidRDefault="00372CA7" w:rsidP="00B10A4D">
            <w:pPr>
              <w:snapToGrid w:val="0"/>
              <w:rPr>
                <w:b/>
                <w:bCs/>
                <w:spacing w:val="-20"/>
                <w:sz w:val="24"/>
                <w:szCs w:val="24"/>
              </w:rPr>
            </w:pPr>
          </w:p>
        </w:tc>
        <w:tc>
          <w:tcPr>
            <w:tcW w:w="3945" w:type="pct"/>
            <w:vAlign w:val="center"/>
          </w:tcPr>
          <w:p w:rsidR="00372CA7" w:rsidRPr="00713D42" w:rsidRDefault="00372CA7" w:rsidP="00B10A4D">
            <w:pPr>
              <w:snapToGrid w:val="0"/>
              <w:ind w:firstLineChars="50" w:firstLine="134"/>
              <w:rPr>
                <w:sz w:val="24"/>
                <w:szCs w:val="24"/>
              </w:rPr>
            </w:pPr>
            <w:r w:rsidRPr="00713D42">
              <w:rPr>
                <w:rFonts w:hint="eastAsia"/>
                <w:sz w:val="24"/>
                <w:szCs w:val="24"/>
              </w:rPr>
              <w:t>3.2.13 勞動力占總人口比率 (2015，%)</w:t>
            </w:r>
          </w:p>
        </w:tc>
        <w:tc>
          <w:tcPr>
            <w:tcW w:w="509" w:type="pct"/>
          </w:tcPr>
          <w:p w:rsidR="00372CA7" w:rsidRPr="00713D42" w:rsidRDefault="00372CA7" w:rsidP="00B10A4D">
            <w:pPr>
              <w:snapToGrid w:val="0"/>
              <w:jc w:val="center"/>
              <w:rPr>
                <w:sz w:val="24"/>
                <w:szCs w:val="24"/>
              </w:rPr>
            </w:pPr>
            <w:r w:rsidRPr="00713D42">
              <w:rPr>
                <w:rFonts w:hint="eastAsia"/>
                <w:sz w:val="24"/>
                <w:szCs w:val="24"/>
              </w:rPr>
              <w:t>49.54</w:t>
            </w:r>
          </w:p>
        </w:tc>
        <w:tc>
          <w:tcPr>
            <w:tcW w:w="336" w:type="pct"/>
          </w:tcPr>
          <w:p w:rsidR="00372CA7" w:rsidRPr="00713D42" w:rsidRDefault="00372CA7" w:rsidP="00B10A4D">
            <w:pPr>
              <w:snapToGrid w:val="0"/>
              <w:jc w:val="center"/>
              <w:rPr>
                <w:sz w:val="24"/>
                <w:szCs w:val="24"/>
              </w:rPr>
            </w:pPr>
            <w:r w:rsidRPr="00713D42">
              <w:rPr>
                <w:rFonts w:hint="eastAsia"/>
                <w:sz w:val="24"/>
                <w:szCs w:val="24"/>
              </w:rPr>
              <w:t>32</w:t>
            </w:r>
          </w:p>
        </w:tc>
      </w:tr>
    </w:tbl>
    <w:p w:rsidR="00372CA7" w:rsidRPr="00713D42" w:rsidRDefault="00372CA7" w:rsidP="00372CA7">
      <w:pPr>
        <w:pStyle w:val="3"/>
        <w:numPr>
          <w:ilvl w:val="0"/>
          <w:numId w:val="0"/>
        </w:numPr>
        <w:spacing w:afterLines="50" w:after="220" w:line="240" w:lineRule="exact"/>
        <w:ind w:leftChars="-123" w:left="-5" w:hangingChars="185" w:hanging="424"/>
        <w:rPr>
          <w:sz w:val="20"/>
          <w:szCs w:val="20"/>
        </w:rPr>
      </w:pPr>
      <w:bookmarkStart w:id="90" w:name="_Toc469271782"/>
      <w:bookmarkStart w:id="91" w:name="_Toc470099677"/>
      <w:r w:rsidRPr="00713D42">
        <w:rPr>
          <w:rFonts w:hint="eastAsia"/>
          <w:sz w:val="20"/>
          <w:szCs w:val="20"/>
        </w:rPr>
        <w:t>資料來源：http://www.imd.ch/wcy。引自國發會（民105）。</w:t>
      </w:r>
      <w:bookmarkEnd w:id="90"/>
      <w:bookmarkEnd w:id="91"/>
    </w:p>
    <w:p w:rsidR="00372CA7" w:rsidRPr="00713D42" w:rsidRDefault="00372CA7" w:rsidP="00F6299D">
      <w:pPr>
        <w:pStyle w:val="3"/>
        <w:numPr>
          <w:ilvl w:val="2"/>
          <w:numId w:val="20"/>
        </w:numPr>
        <w:overflowPunct/>
        <w:autoSpaceDE/>
        <w:autoSpaceDN/>
      </w:pPr>
      <w:bookmarkStart w:id="92" w:name="_Toc470099678"/>
      <w:bookmarkStart w:id="93" w:name="_Toc469271785"/>
      <w:r w:rsidRPr="00713D42">
        <w:rPr>
          <w:rFonts w:hint="eastAsia"/>
        </w:rPr>
        <w:t>末查財政部為配合財政健全方案短期稅制改革，自104年度起修正綜合所得稅稅率結構:</w:t>
      </w:r>
      <w:bookmarkEnd w:id="92"/>
    </w:p>
    <w:p w:rsidR="00372CA7" w:rsidRPr="00713D42" w:rsidRDefault="00372CA7" w:rsidP="00F6299D">
      <w:pPr>
        <w:pStyle w:val="4"/>
        <w:numPr>
          <w:ilvl w:val="3"/>
          <w:numId w:val="20"/>
        </w:numPr>
        <w:overflowPunct/>
        <w:autoSpaceDE/>
        <w:autoSpaceDN/>
      </w:pPr>
      <w:r w:rsidRPr="00713D42">
        <w:rPr>
          <w:rFonts w:hint="eastAsia"/>
        </w:rPr>
        <w:t>增加綜合所得淨額超過1,000萬元部分，適用45%稅率規定。又改革所增加之稅收，部分用以調高標準扣除額、薪資所得特別扣除額及身心障礙特別扣除額，適度減輕中低所得者、薪資所得者及身心障礙者租稅負擔，強化租稅移轉效果。</w:t>
      </w:r>
    </w:p>
    <w:p w:rsidR="00372CA7" w:rsidRPr="00713D42" w:rsidRDefault="00372CA7" w:rsidP="00F6299D">
      <w:pPr>
        <w:pStyle w:val="4"/>
        <w:numPr>
          <w:ilvl w:val="3"/>
          <w:numId w:val="20"/>
        </w:numPr>
        <w:overflowPunct/>
        <w:autoSpaceDE/>
        <w:autoSpaceDN/>
      </w:pPr>
      <w:r w:rsidRPr="00713D42">
        <w:rPr>
          <w:rFonts w:hint="eastAsia"/>
        </w:rPr>
        <w:t>現行我國個人綜合所得稅最高稅率45%，與鄰近國家(地區)相較，較新加坡(20%)、韓國(38%)、香港(17%)為高，與大陸(45%)及日本(45%)相當，與先進國家相較，現行德國、法國、英國等國家之個人所得稅最高稅率亦為45%。</w:t>
      </w:r>
    </w:p>
    <w:p w:rsidR="00372CA7" w:rsidRPr="00713D42" w:rsidRDefault="00372CA7" w:rsidP="00372CA7">
      <w:pPr>
        <w:pStyle w:val="3"/>
        <w:numPr>
          <w:ilvl w:val="0"/>
          <w:numId w:val="0"/>
        </w:numPr>
        <w:ind w:left="1418" w:firstLineChars="203" w:firstLine="708"/>
        <w:rPr>
          <w:b/>
        </w:rPr>
      </w:pPr>
      <w:bookmarkStart w:id="94" w:name="_Toc470099679"/>
      <w:r w:rsidRPr="00713D42">
        <w:rPr>
          <w:rFonts w:hint="eastAsia"/>
        </w:rPr>
        <w:t>由上可知，我國綜合所得稅最高稅率雖與日</w:t>
      </w:r>
      <w:r w:rsidRPr="00713D42">
        <w:rPr>
          <w:rFonts w:hint="eastAsia"/>
        </w:rPr>
        <w:lastRenderedPageBreak/>
        <w:t>本、法國、英國等國家相同，然遠高於新加坡、香港，亦高於韓國的最高稅率，新加坡、香港、韓國等國是與我國主要人才競爭國，我國個人綜合所得稅率最高稅率疑有過高情事，將使個人所得稅負擔過重，一方面影響雇主爭取跨國高階經理人來臺和降低白領外籍人士來臺工作意願，二方面甚至導致我國高階經理人向外尋求工作機會，美國商會、歐洲商會亦先後提出改善建議，行政院允應全面分析研議國內外個人稅制差異問題及所產生之影響，並研擬相關措施，以避免個人因稅率問題，發生人才流失之問題。</w:t>
      </w:r>
      <w:bookmarkEnd w:id="94"/>
    </w:p>
    <w:p w:rsidR="00372CA7" w:rsidRPr="00713D42" w:rsidRDefault="00372CA7" w:rsidP="00407CD8">
      <w:pPr>
        <w:pStyle w:val="3"/>
        <w:numPr>
          <w:ilvl w:val="2"/>
          <w:numId w:val="20"/>
        </w:numPr>
        <w:overflowPunct/>
        <w:autoSpaceDE/>
        <w:autoSpaceDN/>
        <w:rPr>
          <w:b/>
        </w:rPr>
      </w:pPr>
      <w:bookmarkStart w:id="95" w:name="_Toc470099680"/>
      <w:r w:rsidRPr="00713D42">
        <w:rPr>
          <w:rFonts w:hint="eastAsia"/>
        </w:rPr>
        <w:t>綜上，</w:t>
      </w:r>
      <w:bookmarkEnd w:id="93"/>
      <w:bookmarkEnd w:id="95"/>
      <w:r w:rsidR="00407CD8" w:rsidRPr="00407CD8">
        <w:rPr>
          <w:rFonts w:hint="eastAsia"/>
        </w:rPr>
        <w:t>優質人力結構可使人民、產業及國家擁有更強競爭力，因此政府除要盡力培養國人成為優質人才外，並應開放外國人才之流入，然我國吸引外國人才政策多訂有限制條款，以避免影響國人就業等情事，行政院允應研議檢討是否調整吸引外國人才之策略，改採取積極延攬與從寬認定之開放原則，以提升國家競爭力。</w:t>
      </w:r>
    </w:p>
    <w:p w:rsidR="00372CA7" w:rsidRPr="00713D42" w:rsidRDefault="00372CA7" w:rsidP="00F6299D">
      <w:pPr>
        <w:pStyle w:val="2"/>
        <w:numPr>
          <w:ilvl w:val="1"/>
          <w:numId w:val="20"/>
        </w:numPr>
        <w:overflowPunct/>
        <w:autoSpaceDE/>
        <w:autoSpaceDN/>
        <w:rPr>
          <w:b/>
        </w:rPr>
      </w:pPr>
      <w:bookmarkStart w:id="96" w:name="_Toc469271791"/>
      <w:bookmarkStart w:id="97" w:name="_Toc470099681"/>
      <w:r w:rsidRPr="00713D42">
        <w:rPr>
          <w:rFonts w:hint="eastAsia"/>
          <w:b/>
        </w:rPr>
        <w:t>明確的</w:t>
      </w:r>
      <w:r w:rsidRPr="00713D42">
        <w:rPr>
          <w:b/>
        </w:rPr>
        <w:t>招商策略是</w:t>
      </w:r>
      <w:r w:rsidRPr="00713D42">
        <w:rPr>
          <w:rFonts w:hint="eastAsia"/>
          <w:b/>
        </w:rPr>
        <w:t>FDI投資者</w:t>
      </w:r>
      <w:r w:rsidRPr="00713D42">
        <w:rPr>
          <w:b/>
        </w:rPr>
        <w:t>決定在臺投資的重要關鍵</w:t>
      </w:r>
      <w:r w:rsidRPr="00713D42">
        <w:rPr>
          <w:rFonts w:hint="eastAsia"/>
          <w:b/>
        </w:rPr>
        <w:t>之一</w:t>
      </w:r>
      <w:r w:rsidRPr="00713D42">
        <w:rPr>
          <w:b/>
        </w:rPr>
        <w:t>，</w:t>
      </w:r>
      <w:r w:rsidRPr="00713D42">
        <w:rPr>
          <w:rFonts w:hint="eastAsia"/>
          <w:b/>
        </w:rPr>
        <w:t>政府為吸引FDI來臺投資，除加強僑外商案源開發機制，定期籌組海外招商團至海外招商等</w:t>
      </w:r>
      <w:r w:rsidR="00FD4A0E">
        <w:rPr>
          <w:rFonts w:hint="eastAsia"/>
          <w:b/>
        </w:rPr>
        <w:t>以</w:t>
      </w:r>
      <w:r w:rsidRPr="00713D42">
        <w:rPr>
          <w:rFonts w:hint="eastAsia"/>
          <w:b/>
        </w:rPr>
        <w:t>外，亦成立「行政院全球招商及攬才聯合服務中心」提供全程客製化投資服務等招商措施，然近年來我國FDI仍呈下滑趨勢，對比新加坡、愛爾蘭等國家辦理招商之積極度，及我國發生高餐藍帶公司之案例，行政院允應檢討我國招商策略與定位，強化招商之能力。</w:t>
      </w:r>
      <w:bookmarkEnd w:id="96"/>
      <w:bookmarkEnd w:id="97"/>
    </w:p>
    <w:p w:rsidR="00372CA7" w:rsidRPr="00713D42" w:rsidRDefault="00372CA7" w:rsidP="00F6299D">
      <w:pPr>
        <w:pStyle w:val="3"/>
        <w:numPr>
          <w:ilvl w:val="2"/>
          <w:numId w:val="20"/>
        </w:numPr>
        <w:overflowPunct/>
        <w:autoSpaceDE/>
        <w:autoSpaceDN/>
        <w:rPr>
          <w:szCs w:val="32"/>
        </w:rPr>
      </w:pPr>
      <w:bookmarkStart w:id="98" w:name="_Toc469271792"/>
      <w:bookmarkStart w:id="99" w:name="_Toc470099682"/>
      <w:r w:rsidRPr="00713D42">
        <w:rPr>
          <w:rFonts w:hint="eastAsia"/>
          <w:szCs w:val="32"/>
        </w:rPr>
        <w:t>招商需針對每一投資個案做好事前規劃，外商於「投資前」、「投資中」及「投資後」各階段之服務需求有所不同，如何讓外商感覺「安心」可以在臺進行投資，為招商服務不可或缺之一環，政府依據</w:t>
      </w:r>
      <w:r w:rsidRPr="00713D42">
        <w:rPr>
          <w:rFonts w:hint="eastAsia"/>
          <w:szCs w:val="32"/>
        </w:rPr>
        <w:lastRenderedPageBreak/>
        <w:t>外商不同階段之需求，提供之服務:</w:t>
      </w:r>
      <w:bookmarkEnd w:id="98"/>
      <w:bookmarkEnd w:id="99"/>
    </w:p>
    <w:p w:rsidR="00372CA7" w:rsidRPr="00713D42" w:rsidRDefault="00372CA7" w:rsidP="00F6299D">
      <w:pPr>
        <w:pStyle w:val="4"/>
        <w:numPr>
          <w:ilvl w:val="3"/>
          <w:numId w:val="20"/>
        </w:numPr>
        <w:overflowPunct/>
        <w:autoSpaceDE/>
        <w:autoSpaceDN/>
        <w:rPr>
          <w:kern w:val="0"/>
        </w:rPr>
      </w:pPr>
      <w:r w:rsidRPr="00713D42">
        <w:rPr>
          <w:rFonts w:hint="eastAsia"/>
          <w:kern w:val="0"/>
        </w:rPr>
        <w:t>加強僑外商案源開發機制</w:t>
      </w:r>
    </w:p>
    <w:p w:rsidR="00372CA7" w:rsidRPr="00713D42" w:rsidRDefault="00372CA7" w:rsidP="00F6299D">
      <w:pPr>
        <w:pStyle w:val="5"/>
        <w:numPr>
          <w:ilvl w:val="4"/>
          <w:numId w:val="20"/>
        </w:numPr>
        <w:overflowPunct/>
        <w:autoSpaceDE/>
        <w:autoSpaceDN/>
      </w:pPr>
      <w:r w:rsidRPr="00713D42">
        <w:rPr>
          <w:rFonts w:hint="eastAsia"/>
        </w:rPr>
        <w:t>依產業鏈缺口吸引關鍵外商來臺投資，帶動國內廠商轉型升級：針對國內重要及具發展潛力產業，如半導體、離岸風機、資通訊產業等，研擬招商策略，吸引外商來臺投資或與國內廠商策略合作。國內業者提升技術能量及擁有實績後，即可成為國際大廠固定之合作夥伴，或自行系統整合輸出，搶攻全球市場。如推動半導體設備大廠美商科林研發來臺設立半導體設備整建業務，並培植國內相關設備一級供應商，開發關鍵模組，協助建立產業鏈，以應臺灣製造所需，亦可供應科林研發公司之全球供應鏈市場。</w:t>
      </w:r>
    </w:p>
    <w:p w:rsidR="00372CA7" w:rsidRPr="00713D42" w:rsidRDefault="00372CA7" w:rsidP="00F6299D">
      <w:pPr>
        <w:pStyle w:val="5"/>
        <w:numPr>
          <w:ilvl w:val="4"/>
          <w:numId w:val="20"/>
        </w:numPr>
        <w:overflowPunct/>
        <w:autoSpaceDE/>
        <w:autoSpaceDN/>
      </w:pPr>
      <w:r w:rsidRPr="00713D42">
        <w:rPr>
          <w:rFonts w:hint="eastAsia"/>
          <w:kern w:val="0"/>
        </w:rPr>
        <w:t>強化駐外單位案源提報機制：</w:t>
      </w:r>
      <w:r w:rsidRPr="00713D42">
        <w:rPr>
          <w:rFonts w:hint="eastAsia"/>
        </w:rPr>
        <w:t>針對特定國家、產業、廠商，由產業專家、招商成員及駐外單位共同赴外招商。</w:t>
      </w:r>
    </w:p>
    <w:p w:rsidR="00372CA7" w:rsidRPr="00713D42" w:rsidRDefault="00372CA7" w:rsidP="00F6299D">
      <w:pPr>
        <w:pStyle w:val="5"/>
        <w:numPr>
          <w:ilvl w:val="4"/>
          <w:numId w:val="20"/>
        </w:numPr>
        <w:overflowPunct/>
        <w:autoSpaceDE/>
        <w:autoSpaceDN/>
        <w:rPr>
          <w:kern w:val="0"/>
        </w:rPr>
      </w:pPr>
      <w:r w:rsidRPr="00713D42">
        <w:rPr>
          <w:rFonts w:hint="eastAsia"/>
          <w:kern w:val="0"/>
        </w:rPr>
        <w:t>洽訪重要在臺外商：篩選重要產業關鍵技術擁有者，或各國在臺重要外商進行洽訪。</w:t>
      </w:r>
    </w:p>
    <w:p w:rsidR="00372CA7" w:rsidRPr="00713D42" w:rsidRDefault="00372CA7" w:rsidP="00F6299D">
      <w:pPr>
        <w:pStyle w:val="5"/>
        <w:numPr>
          <w:ilvl w:val="4"/>
          <w:numId w:val="20"/>
        </w:numPr>
        <w:overflowPunct/>
        <w:autoSpaceDE/>
        <w:autoSpaceDN/>
        <w:rPr>
          <w:kern w:val="0"/>
        </w:rPr>
      </w:pPr>
      <w:r w:rsidRPr="00713D42">
        <w:rPr>
          <w:rFonts w:hint="eastAsia"/>
          <w:kern w:val="0"/>
        </w:rPr>
        <w:t>籌組海外招商團：針對經濟部重點招商產業，盤點國內技術缺口，篩選關鍵技術擁有者，赴日本、美洲及歐洲進行招商，並邀請各地方政府共同參與。</w:t>
      </w:r>
    </w:p>
    <w:p w:rsidR="00372CA7" w:rsidRPr="00713D42" w:rsidRDefault="00372CA7" w:rsidP="00F6299D">
      <w:pPr>
        <w:pStyle w:val="5"/>
        <w:numPr>
          <w:ilvl w:val="4"/>
          <w:numId w:val="20"/>
        </w:numPr>
        <w:overflowPunct/>
        <w:autoSpaceDE/>
        <w:autoSpaceDN/>
        <w:rPr>
          <w:kern w:val="0"/>
        </w:rPr>
      </w:pPr>
      <w:r w:rsidRPr="00713D42">
        <w:rPr>
          <w:rFonts w:hint="eastAsia"/>
          <w:kern w:val="0"/>
        </w:rPr>
        <w:t>建立中央與地方政府聯合招商機制：了解地方政府招商需求，協助推動地方政府區域及產業發展，另共同辦理招商活動、重大投資案件追蹤落實機制等合作方式，整合中央與地方招商資源，創造招商綜效。</w:t>
      </w:r>
    </w:p>
    <w:p w:rsidR="00372CA7" w:rsidRPr="00713D42" w:rsidRDefault="00372CA7" w:rsidP="00F6299D">
      <w:pPr>
        <w:pStyle w:val="5"/>
        <w:numPr>
          <w:ilvl w:val="4"/>
          <w:numId w:val="20"/>
        </w:numPr>
        <w:overflowPunct/>
        <w:autoSpaceDE/>
        <w:autoSpaceDN/>
        <w:rPr>
          <w:kern w:val="0"/>
        </w:rPr>
      </w:pPr>
      <w:r w:rsidRPr="00713D42">
        <w:rPr>
          <w:rFonts w:hint="eastAsia"/>
          <w:kern w:val="0"/>
        </w:rPr>
        <w:t>執行邀訪計畫：邀請有來臺投資計畫之指標性國際大廠CEO層級來臺投資考察，以深化渠等對臺灣投資環境之印象，吸引來臺新設</w:t>
      </w:r>
      <w:r w:rsidRPr="00713D42">
        <w:rPr>
          <w:rFonts w:hint="eastAsia"/>
          <w:kern w:val="0"/>
        </w:rPr>
        <w:lastRenderedPageBreak/>
        <w:t>事業、增資或擴大在臺營運規模，進而促成我國廠商與外商策略結盟夥伴關係，加強關鍵技術移轉，帶動臺灣產業參與國際大廠供應鏈體系。</w:t>
      </w:r>
    </w:p>
    <w:p w:rsidR="00372CA7" w:rsidRPr="00713D42" w:rsidRDefault="00372CA7" w:rsidP="00F6299D">
      <w:pPr>
        <w:pStyle w:val="4"/>
        <w:numPr>
          <w:ilvl w:val="3"/>
          <w:numId w:val="20"/>
        </w:numPr>
        <w:overflowPunct/>
        <w:autoSpaceDE/>
        <w:autoSpaceDN/>
        <w:rPr>
          <w:kern w:val="0"/>
        </w:rPr>
      </w:pPr>
      <w:r w:rsidRPr="00713D42">
        <w:rPr>
          <w:rFonts w:hint="eastAsia"/>
          <w:kern w:val="0"/>
        </w:rPr>
        <w:t>成立「行政院全球招商及攬才聯合服務中心」，提供專案、專人、專責之全程客製化投資服務。該中心已建立系統化服務架構，結合各產業推動辦公室、結盟六大專業團隊、建立三階段土地協尋制度，並成立工作小組平臺與各中央地方單位共同解決廠商土地水電/政策法規等課題。</w:t>
      </w:r>
    </w:p>
    <w:p w:rsidR="00372CA7" w:rsidRPr="00713D42" w:rsidRDefault="00372CA7" w:rsidP="00F6299D">
      <w:pPr>
        <w:pStyle w:val="4"/>
        <w:numPr>
          <w:ilvl w:val="3"/>
          <w:numId w:val="20"/>
        </w:numPr>
        <w:overflowPunct/>
        <w:autoSpaceDE/>
        <w:autoSpaceDN/>
        <w:rPr>
          <w:kern w:val="0"/>
        </w:rPr>
      </w:pPr>
      <w:r w:rsidRPr="00713D42">
        <w:rPr>
          <w:rFonts w:hint="eastAsia"/>
          <w:kern w:val="0"/>
        </w:rPr>
        <w:t>為協助業者排除投資障礙，縮短行政流程，加速民間投資，經濟部成立「協助民間投資案件排除投資障礙協調會議」，由部長召開跨部會會議，邀集相關部會及地方政府共同研議，逐案協處所遭遇問題。</w:t>
      </w:r>
    </w:p>
    <w:p w:rsidR="00372CA7" w:rsidRPr="00713D42" w:rsidRDefault="00372CA7" w:rsidP="00F6299D">
      <w:pPr>
        <w:pStyle w:val="4"/>
        <w:numPr>
          <w:ilvl w:val="3"/>
          <w:numId w:val="20"/>
        </w:numPr>
        <w:overflowPunct/>
        <w:autoSpaceDE/>
        <w:autoSpaceDN/>
      </w:pPr>
      <w:r w:rsidRPr="00713D42">
        <w:t>舉辦國際招商說明會：經濟部</w:t>
      </w:r>
      <w:r w:rsidRPr="00713D42">
        <w:rPr>
          <w:rFonts w:hint="eastAsia"/>
        </w:rPr>
        <w:t>訂於105</w:t>
      </w:r>
      <w:r w:rsidRPr="00713D42">
        <w:t>年10月4日舉辦全球招商論壇，</w:t>
      </w:r>
      <w:r w:rsidRPr="00713D42">
        <w:rPr>
          <w:rFonts w:hint="eastAsia"/>
        </w:rPr>
        <w:t>將以「攜手外商發展新興產業與營運模式」為主軸，預定邀請國內外業者代表400人以上與會。藉由聚焦投資商機，導引各國擁有關鍵技術的外商來臺考察投資環境及洽談合作事宜，強化及加速外商來臺投資力道。</w:t>
      </w:r>
    </w:p>
    <w:p w:rsidR="00372CA7" w:rsidRPr="00713D42" w:rsidRDefault="00372CA7" w:rsidP="00F6299D">
      <w:pPr>
        <w:pStyle w:val="4"/>
        <w:numPr>
          <w:ilvl w:val="3"/>
          <w:numId w:val="20"/>
        </w:numPr>
        <w:overflowPunct/>
        <w:autoSpaceDE/>
        <w:autoSpaceDN/>
      </w:pPr>
      <w:r w:rsidRPr="00713D42">
        <w:rPr>
          <w:rFonts w:hint="eastAsia"/>
        </w:rPr>
        <w:t>籌組海外招商團：考量各國優勢產業，經濟部105年已規劃籌組3團部次長海外招商團，將赴美洲、日本及歐洲進行招商，預計於6月至9月出團；藉由部次長親自率團赴海外拜會外商總部，促成外商來臺投資及技術引進。</w:t>
      </w:r>
    </w:p>
    <w:p w:rsidR="00372CA7" w:rsidRPr="00713D42" w:rsidRDefault="00372CA7" w:rsidP="00F6299D">
      <w:pPr>
        <w:pStyle w:val="4"/>
        <w:numPr>
          <w:ilvl w:val="3"/>
          <w:numId w:val="20"/>
        </w:numPr>
        <w:overflowPunct/>
        <w:autoSpaceDE/>
        <w:autoSpaceDN/>
      </w:pPr>
      <w:r w:rsidRPr="00713D42">
        <w:rPr>
          <w:rFonts w:hint="eastAsia"/>
        </w:rPr>
        <w:t>落實安商：專人跟催投資進展，追蹤資金到位情形，加快投資案之落實；定期拜訪重要在臺外商，瞭解在臺經營現況，並主動協調解決投資障礙。</w:t>
      </w:r>
    </w:p>
    <w:p w:rsidR="00372CA7" w:rsidRPr="00713D42" w:rsidRDefault="00372CA7" w:rsidP="00F6299D">
      <w:pPr>
        <w:pStyle w:val="3"/>
        <w:numPr>
          <w:ilvl w:val="2"/>
          <w:numId w:val="20"/>
        </w:numPr>
        <w:overflowPunct/>
        <w:autoSpaceDE/>
        <w:autoSpaceDN/>
      </w:pPr>
      <w:bookmarkStart w:id="100" w:name="_Toc469271793"/>
      <w:bookmarkStart w:id="101" w:name="_Toc470099683"/>
      <w:r w:rsidRPr="00713D42">
        <w:t>對外商來說，招商策略是決定其長期在臺投資的</w:t>
      </w:r>
      <w:r w:rsidRPr="00713D42">
        <w:lastRenderedPageBreak/>
        <w:t>重要關鍵，</w:t>
      </w:r>
      <w:r w:rsidRPr="00713D42">
        <w:rPr>
          <w:rFonts w:hint="eastAsia"/>
        </w:rPr>
        <w:t>政府已訂有上開招商策略，且部分策略已執行多年，然近年來我國FDI仍呈下滑趨勢，行政院允應</w:t>
      </w:r>
      <w:r w:rsidRPr="00713D42">
        <w:t>擬訂明確的招商策略與定位，</w:t>
      </w:r>
      <w:r w:rsidRPr="00713D42">
        <w:rPr>
          <w:rFonts w:hint="eastAsia"/>
        </w:rPr>
        <w:t>並</w:t>
      </w:r>
      <w:r w:rsidRPr="00713D42">
        <w:t>加強朝野溝通，取得共識，降低朝野對立的可能性，</w:t>
      </w:r>
      <w:r w:rsidRPr="00713D42">
        <w:rPr>
          <w:rFonts w:hint="eastAsia"/>
        </w:rPr>
        <w:t>且於</w:t>
      </w:r>
      <w:r w:rsidRPr="00713D42">
        <w:t>制定後確實按照政策核心目標邁進</w:t>
      </w:r>
      <w:r w:rsidRPr="00713D42">
        <w:rPr>
          <w:rFonts w:hint="eastAsia"/>
        </w:rPr>
        <w:t>，落實執行，加強宣傳。本院辦理專案研究時，即發現其他國家辦理招商之實際案例，如</w:t>
      </w:r>
      <w:r w:rsidRPr="00713D42">
        <w:rPr>
          <w:rStyle w:val="aff8"/>
        </w:rPr>
        <w:footnoteReference w:id="24"/>
      </w:r>
      <w:r w:rsidRPr="00713D42">
        <w:rPr>
          <w:rFonts w:hint="eastAsia"/>
        </w:rPr>
        <w:t>:</w:t>
      </w:r>
      <w:bookmarkEnd w:id="100"/>
      <w:bookmarkEnd w:id="101"/>
    </w:p>
    <w:p w:rsidR="00372CA7" w:rsidRPr="00713D42" w:rsidRDefault="00372CA7" w:rsidP="00F6299D">
      <w:pPr>
        <w:pStyle w:val="4"/>
        <w:numPr>
          <w:ilvl w:val="3"/>
          <w:numId w:val="20"/>
        </w:numPr>
        <w:overflowPunct/>
        <w:autoSpaceDE/>
        <w:autoSpaceDN/>
      </w:pPr>
      <w:r w:rsidRPr="00713D42">
        <w:rPr>
          <w:rFonts w:hAnsi="標楷體" w:hint="eastAsia"/>
          <w:szCs w:val="32"/>
        </w:rPr>
        <w:t>「印度有個100多人的團隊，到全世界科技上有著力點的公司拜會，每年不知道去矽谷多少次，我們在這方面也要看齊，有系統地、長期去做這樣的事。」</w:t>
      </w:r>
    </w:p>
    <w:p w:rsidR="00372CA7" w:rsidRPr="00713D42" w:rsidRDefault="00372CA7" w:rsidP="00F6299D">
      <w:pPr>
        <w:pStyle w:val="4"/>
        <w:numPr>
          <w:ilvl w:val="3"/>
          <w:numId w:val="20"/>
        </w:numPr>
        <w:overflowPunct/>
        <w:autoSpaceDE/>
        <w:autoSpaceDN/>
      </w:pPr>
      <w:r w:rsidRPr="00713D42">
        <w:rPr>
          <w:rFonts w:hAnsi="標楷體" w:hint="eastAsia"/>
          <w:szCs w:val="32"/>
        </w:rPr>
        <w:t>「一個生技董事長告訴我，他之所以選擇投資於新加坡，是因為他經過新加坡時，剛好新加坡政府知道他要到機場，找了所有跟投資有關的官員到機場，就在貴賓室跟他談，讓他覺得太好了，所有問題都可一次解決，立刻決定投資。」</w:t>
      </w:r>
    </w:p>
    <w:p w:rsidR="00372CA7" w:rsidRPr="00713D42" w:rsidRDefault="00372CA7" w:rsidP="00F6299D">
      <w:pPr>
        <w:pStyle w:val="4"/>
        <w:numPr>
          <w:ilvl w:val="3"/>
          <w:numId w:val="20"/>
        </w:numPr>
        <w:overflowPunct/>
        <w:autoSpaceDE/>
        <w:autoSpaceDN/>
      </w:pPr>
      <w:r w:rsidRPr="00713D42">
        <w:rPr>
          <w:rFonts w:hAnsi="標楷體" w:hint="eastAsia"/>
          <w:szCs w:val="32"/>
        </w:rPr>
        <w:t>「大陸招商也是很靈活的，只要你來，幫你蓋廠房、訓練員工，全程陪同，反觀我帶經濟部的人到大陸招商</w:t>
      </w:r>
      <w:r w:rsidRPr="00713D42">
        <w:rPr>
          <w:rFonts w:hAnsi="標楷體"/>
          <w:szCs w:val="32"/>
        </w:rPr>
        <w:t>……</w:t>
      </w:r>
      <w:r w:rsidRPr="00713D42">
        <w:rPr>
          <w:rFonts w:hAnsi="標楷體" w:hint="eastAsia"/>
          <w:szCs w:val="32"/>
        </w:rPr>
        <w:t>FDI第一名的愛爾蘭，心態就是說yes。臺灣政府官員缺乏招商的技巧和心態</w:t>
      </w:r>
      <w:r w:rsidRPr="00713D42">
        <w:rPr>
          <w:rFonts w:hAnsi="標楷體"/>
          <w:szCs w:val="32"/>
        </w:rPr>
        <w:t>……</w:t>
      </w:r>
      <w:r w:rsidRPr="00713D42">
        <w:rPr>
          <w:rFonts w:hAnsi="標楷體" w:hint="eastAsia"/>
          <w:szCs w:val="32"/>
        </w:rPr>
        <w:t>。」</w:t>
      </w:r>
    </w:p>
    <w:p w:rsidR="00372CA7" w:rsidRPr="00713D42" w:rsidRDefault="00372CA7" w:rsidP="00372CA7">
      <w:pPr>
        <w:pStyle w:val="4"/>
        <w:numPr>
          <w:ilvl w:val="0"/>
          <w:numId w:val="0"/>
        </w:numPr>
        <w:ind w:leftChars="406" w:left="1417" w:firstLineChars="203" w:firstLine="708"/>
      </w:pPr>
      <w:r w:rsidRPr="00713D42">
        <w:rPr>
          <w:rFonts w:hAnsi="標楷體" w:hint="eastAsia"/>
          <w:szCs w:val="32"/>
        </w:rPr>
        <w:t>上開案例，</w:t>
      </w:r>
      <w:r w:rsidRPr="00713D42">
        <w:rPr>
          <w:rFonts w:hint="eastAsia"/>
        </w:rPr>
        <w:t>可讓投資者明確知悉該國辦理招商之決心，加強投資者至該等國家投資之意願，以新加坡為例該國</w:t>
      </w:r>
      <w:r w:rsidRPr="00713D42">
        <w:rPr>
          <w:bCs/>
          <w:szCs w:val="32"/>
        </w:rPr>
        <w:t>透過分</w:t>
      </w:r>
      <w:r w:rsidRPr="00713D42">
        <w:rPr>
          <w:rFonts w:hint="eastAsia"/>
          <w:bCs/>
          <w:szCs w:val="32"/>
        </w:rPr>
        <w:t>布</w:t>
      </w:r>
      <w:r w:rsidRPr="00713D42">
        <w:rPr>
          <w:bCs/>
          <w:szCs w:val="32"/>
        </w:rPr>
        <w:t>世界各地的駐外辦事處，為海外投資者提供一</w:t>
      </w:r>
      <w:r w:rsidRPr="00713D42">
        <w:rPr>
          <w:rFonts w:hint="eastAsia"/>
          <w:bCs/>
          <w:szCs w:val="32"/>
        </w:rPr>
        <w:t>次購足的簡便程序</w:t>
      </w:r>
      <w:r w:rsidRPr="00713D42">
        <w:rPr>
          <w:bCs/>
          <w:szCs w:val="32"/>
        </w:rPr>
        <w:t>，</w:t>
      </w:r>
      <w:r w:rsidRPr="00713D42">
        <w:rPr>
          <w:rFonts w:hint="eastAsia"/>
          <w:bCs/>
          <w:szCs w:val="32"/>
        </w:rPr>
        <w:t>並彈性、靈活地依不同個案的需求給予量身訂作之服務，包括提供</w:t>
      </w:r>
      <w:r w:rsidRPr="00713D42">
        <w:rPr>
          <w:bCs/>
          <w:szCs w:val="32"/>
        </w:rPr>
        <w:t>投資資訊、協助投資者取得土地及所需的營業設施與服務</w:t>
      </w:r>
      <w:r w:rsidRPr="00713D42">
        <w:rPr>
          <w:rFonts w:hint="eastAsia"/>
          <w:bCs/>
          <w:szCs w:val="32"/>
        </w:rPr>
        <w:t>等</w:t>
      </w:r>
      <w:r w:rsidRPr="00713D42">
        <w:rPr>
          <w:bCs/>
          <w:szCs w:val="32"/>
        </w:rPr>
        <w:t>，使投資者能很快的在新加坡設立公司開始營業</w:t>
      </w:r>
      <w:r w:rsidRPr="00713D42">
        <w:rPr>
          <w:rFonts w:hint="eastAsia"/>
          <w:bCs/>
          <w:szCs w:val="32"/>
        </w:rPr>
        <w:t>，然</w:t>
      </w:r>
      <w:r w:rsidRPr="00713D42">
        <w:rPr>
          <w:rFonts w:hAnsi="標楷體" w:hint="eastAsia"/>
          <w:szCs w:val="32"/>
        </w:rPr>
        <w:t>經濟部稱:「新加坡之招商作法：在吸引FDI整體作為上，積極營造友善</w:t>
      </w:r>
      <w:r w:rsidRPr="00713D42">
        <w:rPr>
          <w:rFonts w:hAnsi="標楷體" w:hint="eastAsia"/>
          <w:szCs w:val="32"/>
        </w:rPr>
        <w:lastRenderedPageBreak/>
        <w:t>外人投資、國際化以及自由化的環境；在吸引外資上，新加坡法制係採英美法系，行政裁量權較大，故其經濟發展局可鎖定目標廠商，提供客製化、量身訂做的優惠及服務，係我國招商所遠不及者。」，</w:t>
      </w:r>
      <w:r w:rsidRPr="00713D42">
        <w:t>改變政府</w:t>
      </w:r>
      <w:r w:rsidRPr="00713D42">
        <w:rPr>
          <w:rFonts w:hint="eastAsia"/>
        </w:rPr>
        <w:t>保護</w:t>
      </w:r>
      <w:r w:rsidRPr="00713D42">
        <w:t>思維，以專業服務與高效率進行招商 我國目前招商工作主要</w:t>
      </w:r>
      <w:r w:rsidRPr="00713D42">
        <w:rPr>
          <w:rFonts w:hint="eastAsia"/>
        </w:rPr>
        <w:t>係經濟部</w:t>
      </w:r>
      <w:r w:rsidRPr="00713D42">
        <w:t>投資業務</w:t>
      </w:r>
      <w:r w:rsidRPr="00713D42">
        <w:rPr>
          <w:rFonts w:hint="eastAsia"/>
        </w:rPr>
        <w:t>處為主要</w:t>
      </w:r>
      <w:r w:rsidRPr="00713D42">
        <w:t>規畫及執行單位，</w:t>
      </w:r>
      <w:r w:rsidRPr="00713D42">
        <w:rPr>
          <w:rFonts w:hint="eastAsia"/>
        </w:rPr>
        <w:t>另有</w:t>
      </w:r>
      <w:r w:rsidRPr="00713D42">
        <w:t>駐外單位派駐人員兼</w:t>
      </w:r>
      <w:r w:rsidRPr="00713D42">
        <w:rPr>
          <w:rFonts w:hint="eastAsia"/>
        </w:rPr>
        <w:t>辦招商業務</w:t>
      </w:r>
      <w:r w:rsidRPr="00713D42">
        <w:t>，</w:t>
      </w:r>
      <w:r w:rsidRPr="00713D42">
        <w:rPr>
          <w:rFonts w:hint="eastAsia"/>
        </w:rPr>
        <w:t>另亦由</w:t>
      </w:r>
      <w:r w:rsidRPr="00713D42">
        <w:t>政府高層</w:t>
      </w:r>
      <w:r w:rsidRPr="00713D42">
        <w:rPr>
          <w:rFonts w:hint="eastAsia"/>
        </w:rPr>
        <w:t>不定期</w:t>
      </w:r>
      <w:r w:rsidRPr="00713D42">
        <w:t>帶隊赴海外進行招商。</w:t>
      </w:r>
      <w:r w:rsidRPr="00713D42">
        <w:rPr>
          <w:rFonts w:hAnsi="標楷體" w:hint="eastAsia"/>
          <w:szCs w:val="32"/>
        </w:rPr>
        <w:t>政府</w:t>
      </w:r>
      <w:r w:rsidRPr="00713D42">
        <w:rPr>
          <w:rFonts w:hint="eastAsia"/>
        </w:rPr>
        <w:t>每個官員都是代表我國，與任何人接觸時，都是讓國際投資人認識我的機會，因此政府應</w:t>
      </w:r>
      <w:r w:rsidRPr="00713D42">
        <w:t>擬訂明確的招商策略與定位，</w:t>
      </w:r>
      <w:r w:rsidRPr="00713D42">
        <w:rPr>
          <w:rFonts w:hint="eastAsia"/>
        </w:rPr>
        <w:t>以開放而非保護的態度，使招商人員有明確執行方向，並提供強力後援，並落實執行，始可提升我國之吸引力。</w:t>
      </w:r>
    </w:p>
    <w:p w:rsidR="00372CA7" w:rsidRPr="00713D42" w:rsidRDefault="00372CA7" w:rsidP="00F6299D">
      <w:pPr>
        <w:pStyle w:val="3"/>
        <w:numPr>
          <w:ilvl w:val="2"/>
          <w:numId w:val="20"/>
        </w:numPr>
        <w:overflowPunct/>
        <w:autoSpaceDE/>
        <w:autoSpaceDN/>
      </w:pPr>
      <w:bookmarkStart w:id="102" w:name="_Toc469271794"/>
      <w:bookmarkStart w:id="103" w:name="_Toc470099684"/>
      <w:r w:rsidRPr="00713D42">
        <w:rPr>
          <w:rFonts w:hint="eastAsia"/>
        </w:rPr>
        <w:t>本院諮詢專家時表示法國藍帶國際教育股份有限公司於102年3月28日向經濟部申請籌設高餐藍帶國際教育股份有限公司(下稱高餐藍帶公司)之案例:</w:t>
      </w:r>
      <w:bookmarkEnd w:id="102"/>
      <w:bookmarkEnd w:id="103"/>
    </w:p>
    <w:p w:rsidR="00372CA7" w:rsidRPr="00713D42" w:rsidRDefault="00372CA7" w:rsidP="00F6299D">
      <w:pPr>
        <w:pStyle w:val="4"/>
        <w:numPr>
          <w:ilvl w:val="3"/>
          <w:numId w:val="20"/>
        </w:numPr>
        <w:overflowPunct/>
        <w:autoSpaceDE/>
        <w:autoSpaceDN/>
        <w:rPr>
          <w:rFonts w:hAnsi="標楷體"/>
          <w:szCs w:val="32"/>
        </w:rPr>
      </w:pPr>
      <w:r w:rsidRPr="00713D42">
        <w:rPr>
          <w:rFonts w:hint="eastAsia"/>
        </w:rPr>
        <w:t>本院函詢經濟部本案情形，該部回復:</w:t>
      </w:r>
    </w:p>
    <w:p w:rsidR="00372CA7" w:rsidRPr="00713D42" w:rsidRDefault="00372CA7" w:rsidP="00F6299D">
      <w:pPr>
        <w:pStyle w:val="5"/>
        <w:numPr>
          <w:ilvl w:val="4"/>
          <w:numId w:val="20"/>
        </w:numPr>
        <w:overflowPunct/>
        <w:autoSpaceDE/>
        <w:autoSpaceDN/>
      </w:pPr>
      <w:r w:rsidRPr="00713D42">
        <w:rPr>
          <w:rFonts w:hint="eastAsia"/>
        </w:rPr>
        <w:t>本案經查LE CORDON INTERNATIONAL B.V.等曾於102年3月28日向經濟部申請投資高餐藍帶公司，並於102年4月3日經核准投資額在案，並無遭遇限制或困難。</w:t>
      </w:r>
    </w:p>
    <w:p w:rsidR="00372CA7" w:rsidRPr="00713D42" w:rsidRDefault="00372CA7" w:rsidP="00F6299D">
      <w:pPr>
        <w:pStyle w:val="5"/>
        <w:numPr>
          <w:ilvl w:val="4"/>
          <w:numId w:val="20"/>
        </w:numPr>
        <w:overflowPunct/>
        <w:autoSpaceDE/>
        <w:autoSpaceDN/>
      </w:pPr>
      <w:r w:rsidRPr="00713D42">
        <w:rPr>
          <w:rFonts w:hint="eastAsia"/>
        </w:rPr>
        <w:t>據了解本案高餐藍帶公司以成立補習班方式招生，惟因勞動部相關法規規定，補習班可聘外籍老師，只能教授語文，本案建議逕洽相關主管機關。</w:t>
      </w:r>
    </w:p>
    <w:p w:rsidR="00372CA7" w:rsidRPr="00713D42" w:rsidRDefault="00372CA7" w:rsidP="00F6299D">
      <w:pPr>
        <w:pStyle w:val="5"/>
        <w:numPr>
          <w:ilvl w:val="4"/>
          <w:numId w:val="20"/>
        </w:numPr>
        <w:overflowPunct/>
        <w:autoSpaceDE/>
        <w:autoSpaceDN/>
      </w:pPr>
      <w:r w:rsidRPr="00713D42">
        <w:rPr>
          <w:rFonts w:hint="eastAsia"/>
        </w:rPr>
        <w:t>該公司並未向招商中心請求投資服務，故招商中心並未直接提供該公司專案服務。</w:t>
      </w:r>
    </w:p>
    <w:p w:rsidR="00372CA7" w:rsidRPr="00713D42" w:rsidRDefault="00372CA7" w:rsidP="00F6299D">
      <w:pPr>
        <w:pStyle w:val="5"/>
        <w:numPr>
          <w:ilvl w:val="4"/>
          <w:numId w:val="20"/>
        </w:numPr>
        <w:overflowPunct/>
        <w:autoSpaceDE/>
        <w:autoSpaceDN/>
      </w:pPr>
      <w:r w:rsidRPr="00713D42">
        <w:rPr>
          <w:rFonts w:hint="eastAsia"/>
          <w:kern w:val="0"/>
        </w:rPr>
        <w:t>105年2月17日法國藍帶廚藝學校因法令限制，只允許法國籍名廚教法語，不能教廚藝，而造成新聞負面報導。</w:t>
      </w:r>
    </w:p>
    <w:p w:rsidR="00372CA7" w:rsidRPr="00713D42" w:rsidRDefault="00372CA7" w:rsidP="00F6299D">
      <w:pPr>
        <w:pStyle w:val="4"/>
        <w:numPr>
          <w:ilvl w:val="3"/>
          <w:numId w:val="20"/>
        </w:numPr>
        <w:overflowPunct/>
        <w:autoSpaceDE/>
        <w:autoSpaceDN/>
      </w:pPr>
      <w:r w:rsidRPr="00713D42">
        <w:rPr>
          <w:rFonts w:hint="eastAsia"/>
        </w:rPr>
        <w:lastRenderedPageBreak/>
        <w:t>高餐藍帶公司受限於</w:t>
      </w:r>
      <w:r w:rsidRPr="00713D42">
        <w:rPr>
          <w:rFonts w:hint="eastAsia"/>
          <w:bCs/>
        </w:rPr>
        <w:t>就業服務法</w:t>
      </w:r>
      <w:r w:rsidRPr="00713D42">
        <w:rPr>
          <w:rFonts w:hint="eastAsia"/>
        </w:rPr>
        <w:t>相關規定，無法以高餐藍帶公司所設立之短期補習班聘僱法籍藍帶廚師</w:t>
      </w:r>
      <w:r w:rsidRPr="00713D42">
        <w:rPr>
          <w:rFonts w:hint="eastAsia"/>
          <w:bCs/>
        </w:rPr>
        <w:t>教授廚藝課程</w:t>
      </w:r>
      <w:r w:rsidRPr="00713D42">
        <w:rPr>
          <w:rFonts w:hint="eastAsia"/>
        </w:rPr>
        <w:t>，為協助延攬國際知名專業廚藝授課師資，培育我國廚藝人才，行政院於</w:t>
      </w:r>
      <w:r w:rsidRPr="00713D42">
        <w:t>105</w:t>
      </w:r>
      <w:r w:rsidRPr="00713D42">
        <w:rPr>
          <w:rFonts w:hint="eastAsia"/>
        </w:rPr>
        <w:t>年</w:t>
      </w:r>
      <w:r w:rsidRPr="00713D42">
        <w:t>1</w:t>
      </w:r>
      <w:r w:rsidRPr="00713D42">
        <w:rPr>
          <w:rFonts w:hint="eastAsia"/>
        </w:rPr>
        <w:t>月</w:t>
      </w:r>
      <w:r w:rsidRPr="00713D42">
        <w:t>11</w:t>
      </w:r>
      <w:r w:rsidRPr="00713D42">
        <w:rPr>
          <w:rFonts w:hint="eastAsia"/>
        </w:rPr>
        <w:t>日邀集教育部等相關部會研商，決議由教育部就增列廚藝教授課程之必要性及相關影響評估送勞動部後，由該部邀集教育部等相關部會會商</w:t>
      </w:r>
      <w:r w:rsidRPr="00713D42">
        <w:rPr>
          <w:rFonts w:ascii="Times New Roman" w:hAnsi="Times New Roman" w:hint="eastAsia"/>
        </w:rPr>
        <w:t>。</w:t>
      </w:r>
    </w:p>
    <w:p w:rsidR="00372CA7" w:rsidRPr="00713D42" w:rsidRDefault="00372CA7" w:rsidP="00F6299D">
      <w:pPr>
        <w:pStyle w:val="4"/>
        <w:numPr>
          <w:ilvl w:val="3"/>
          <w:numId w:val="20"/>
        </w:numPr>
        <w:overflowPunct/>
        <w:autoSpaceDE/>
        <w:autoSpaceDN/>
      </w:pPr>
      <w:r w:rsidRPr="00713D42">
        <w:rPr>
          <w:rFonts w:hint="eastAsia"/>
        </w:rPr>
        <w:t>教育部於</w:t>
      </w:r>
      <w:r w:rsidRPr="00713D42">
        <w:t>105</w:t>
      </w:r>
      <w:r w:rsidRPr="00713D42">
        <w:rPr>
          <w:rFonts w:hint="eastAsia"/>
        </w:rPr>
        <w:t>年</w:t>
      </w:r>
      <w:r w:rsidRPr="00713D42">
        <w:t>2</w:t>
      </w:r>
      <w:r w:rsidRPr="00713D42">
        <w:rPr>
          <w:rFonts w:hint="eastAsia"/>
        </w:rPr>
        <w:t>月</w:t>
      </w:r>
      <w:r w:rsidRPr="00713D42">
        <w:t>15</w:t>
      </w:r>
      <w:r w:rsidRPr="00713D42">
        <w:rPr>
          <w:rFonts w:hint="eastAsia"/>
        </w:rPr>
        <w:t>日完成政策評估，認為:</w:t>
      </w:r>
    </w:p>
    <w:p w:rsidR="00372CA7" w:rsidRPr="00713D42" w:rsidRDefault="00372CA7" w:rsidP="00F6299D">
      <w:pPr>
        <w:pStyle w:val="5"/>
        <w:numPr>
          <w:ilvl w:val="4"/>
          <w:numId w:val="20"/>
        </w:numPr>
        <w:overflowPunct/>
        <w:autoSpaceDE/>
        <w:autoSpaceDN/>
      </w:pPr>
      <w:r w:rsidRPr="00713D42">
        <w:rPr>
          <w:rFonts w:hint="eastAsia"/>
        </w:rPr>
        <w:t>我國學生於</w:t>
      </w:r>
      <w:r w:rsidRPr="00713D42">
        <w:t>104</w:t>
      </w:r>
      <w:r w:rsidRPr="00713D42">
        <w:rPr>
          <w:rFonts w:hint="eastAsia"/>
        </w:rPr>
        <w:t>年赴海外就讀藍帶廚藝學院</w:t>
      </w:r>
      <w:r w:rsidRPr="00713D42">
        <w:t>(</w:t>
      </w:r>
      <w:r w:rsidRPr="00713D42">
        <w:rPr>
          <w:rFonts w:hint="eastAsia"/>
        </w:rPr>
        <w:t>含各國分校</w:t>
      </w:r>
      <w:r w:rsidRPr="00713D42">
        <w:t>)</w:t>
      </w:r>
      <w:r w:rsidRPr="00713D42">
        <w:rPr>
          <w:rFonts w:hint="eastAsia"/>
        </w:rPr>
        <w:t>者多達</w:t>
      </w:r>
      <w:r w:rsidRPr="00713D42">
        <w:t>200</w:t>
      </w:r>
      <w:r w:rsidRPr="00713D42">
        <w:rPr>
          <w:rFonts w:hint="eastAsia"/>
        </w:rPr>
        <w:t>人，顯見其市場需求，若引進藍帶廚藝學院專業廚藝師資及教學課程，並提供完善兼具紮實之訓練，將有助於培育國際級廚藝人才，促使臺灣產業教學升級。</w:t>
      </w:r>
    </w:p>
    <w:p w:rsidR="00372CA7" w:rsidRPr="00713D42" w:rsidRDefault="00372CA7" w:rsidP="00F6299D">
      <w:pPr>
        <w:pStyle w:val="5"/>
        <w:numPr>
          <w:ilvl w:val="4"/>
          <w:numId w:val="20"/>
        </w:numPr>
        <w:overflowPunct/>
        <w:autoSpaceDE/>
        <w:autoSpaceDN/>
      </w:pPr>
      <w:r w:rsidRPr="00713D42">
        <w:rPr>
          <w:rFonts w:hint="eastAsia"/>
        </w:rPr>
        <w:t>為確保所引進者為外國頂尖人才，避免浮濫，教育部建議針對雇主應具備條件及外籍專業廚藝教師資格嚴格限制，有關雇主條件建議明定須採公司組織型態經營，且須有國際合作對象。</w:t>
      </w:r>
    </w:p>
    <w:p w:rsidR="00372CA7" w:rsidRPr="00713D42" w:rsidRDefault="00372CA7" w:rsidP="00F6299D">
      <w:pPr>
        <w:pStyle w:val="5"/>
        <w:numPr>
          <w:ilvl w:val="4"/>
          <w:numId w:val="20"/>
        </w:numPr>
        <w:overflowPunct/>
        <w:autoSpaceDE/>
        <w:autoSpaceDN/>
      </w:pPr>
      <w:r w:rsidRPr="00713D42">
        <w:rPr>
          <w:rFonts w:hint="eastAsia"/>
        </w:rPr>
        <w:t>有關外籍專業廚藝教師資格建議須具備國外廚藝相關證照，且有國外餐飲業工作</w:t>
      </w:r>
      <w:r w:rsidRPr="00713D42">
        <w:t>5</w:t>
      </w:r>
      <w:r w:rsidRPr="00713D42">
        <w:rPr>
          <w:rFonts w:hint="eastAsia"/>
        </w:rPr>
        <w:t>年以上經驗及國際知名廚藝教學機構教學</w:t>
      </w:r>
      <w:r w:rsidRPr="00713D42">
        <w:t>2</w:t>
      </w:r>
      <w:r w:rsidRPr="00713D42">
        <w:rPr>
          <w:rFonts w:hint="eastAsia"/>
        </w:rPr>
        <w:t>年以上經驗，以避免對於國內補習教育業及本國教師之負面衝擊。</w:t>
      </w:r>
    </w:p>
    <w:p w:rsidR="00372CA7" w:rsidRPr="00713D42" w:rsidRDefault="00372CA7" w:rsidP="00F6299D">
      <w:pPr>
        <w:pStyle w:val="4"/>
        <w:numPr>
          <w:ilvl w:val="3"/>
          <w:numId w:val="20"/>
        </w:numPr>
        <w:overflowPunct/>
        <w:autoSpaceDE/>
        <w:autoSpaceDN/>
      </w:pPr>
      <w:r w:rsidRPr="00713D42">
        <w:rPr>
          <w:rFonts w:hint="eastAsia"/>
          <w:szCs w:val="32"/>
        </w:rPr>
        <w:t>本案經教育部於105年2月15日行文勞動部，請該部啟動會商機制</w:t>
      </w:r>
      <w:r w:rsidRPr="00713D42">
        <w:rPr>
          <w:rFonts w:ascii="新細明體" w:hAnsi="新細明體" w:hint="eastAsia"/>
          <w:szCs w:val="32"/>
        </w:rPr>
        <w:t>；</w:t>
      </w:r>
      <w:r w:rsidRPr="00713D42">
        <w:rPr>
          <w:rFonts w:hint="eastAsia"/>
        </w:rPr>
        <w:t>勞動部於</w:t>
      </w:r>
      <w:r w:rsidRPr="00713D42">
        <w:t>105</w:t>
      </w:r>
      <w:r w:rsidRPr="00713D42">
        <w:rPr>
          <w:rFonts w:hint="eastAsia"/>
        </w:rPr>
        <w:t>年</w:t>
      </w:r>
      <w:r w:rsidRPr="00713D42">
        <w:t>2</w:t>
      </w:r>
      <w:r w:rsidRPr="00713D42">
        <w:rPr>
          <w:rFonts w:hint="eastAsia"/>
        </w:rPr>
        <w:t>月</w:t>
      </w:r>
      <w:r w:rsidRPr="00713D42">
        <w:t>19</w:t>
      </w:r>
      <w:r w:rsidRPr="00713D42">
        <w:rPr>
          <w:rFonts w:hint="eastAsia"/>
        </w:rPr>
        <w:t>日召開「研商放寬依補習及進修教育法立案之短期補習班之專任教師得教授廚藝課程會議」，邀請專家學者、全國產職業總工會及中華民國全國工業總會等勞資團體、高雄餐旅大學及國</w:t>
      </w:r>
      <w:r w:rsidRPr="00713D42">
        <w:rPr>
          <w:rFonts w:hint="eastAsia"/>
        </w:rPr>
        <w:lastRenderedPageBreak/>
        <w:t>發會與教育部相關部會共同研商，結論同意依教育部建議列為本審查標準第</w:t>
      </w:r>
      <w:r w:rsidRPr="00713D42">
        <w:t>4</w:t>
      </w:r>
      <w:r w:rsidRPr="00713D42">
        <w:rPr>
          <w:rFonts w:hint="eastAsia"/>
        </w:rPr>
        <w:t>條第</w:t>
      </w:r>
      <w:r w:rsidRPr="00713D42">
        <w:t>15</w:t>
      </w:r>
      <w:r w:rsidRPr="00713D42">
        <w:rPr>
          <w:rFonts w:hint="eastAsia"/>
        </w:rPr>
        <w:t>款「會商指定之工作內容」，另請教育部再提供勞動部有關對於外國人及雇主資格之審查原則及規範，以利辦理審查作業。</w:t>
      </w:r>
    </w:p>
    <w:p w:rsidR="00372CA7" w:rsidRPr="00713D42" w:rsidRDefault="00372CA7" w:rsidP="00E70B9B">
      <w:pPr>
        <w:pStyle w:val="4"/>
        <w:numPr>
          <w:ilvl w:val="3"/>
          <w:numId w:val="20"/>
        </w:numPr>
        <w:overflowPunct/>
        <w:autoSpaceDE/>
        <w:autoSpaceDN/>
        <w:spacing w:line="400" w:lineRule="exact"/>
        <w:rPr>
          <w:rFonts w:hAnsi="標楷體"/>
          <w:szCs w:val="32"/>
        </w:rPr>
      </w:pPr>
      <w:r w:rsidRPr="00713D42">
        <w:rPr>
          <w:rFonts w:hAnsi="標楷體" w:hint="eastAsia"/>
          <w:szCs w:val="32"/>
        </w:rPr>
        <w:t>勞動部105年3月9日完成公告後，高餐藍帶公司所設立之短期補習班始得依上開規定向該部申請外國人工作許可後，從事廚藝教學工作。</w:t>
      </w:r>
    </w:p>
    <w:p w:rsidR="00372CA7" w:rsidRPr="00713D42" w:rsidRDefault="00372CA7" w:rsidP="00F6299D">
      <w:pPr>
        <w:pStyle w:val="3"/>
        <w:numPr>
          <w:ilvl w:val="2"/>
          <w:numId w:val="20"/>
        </w:numPr>
        <w:overflowPunct/>
        <w:autoSpaceDE/>
        <w:autoSpaceDN/>
      </w:pPr>
      <w:bookmarkStart w:id="104" w:name="_Toc469271795"/>
      <w:bookmarkStart w:id="105" w:name="_Toc470099685"/>
      <w:r w:rsidRPr="00713D42">
        <w:rPr>
          <w:rFonts w:hint="eastAsia"/>
        </w:rPr>
        <w:t>上開案例，高餐藍帶公司雖已辦理招生，但可顯示出我國吸引FDI所面臨部分情況:</w:t>
      </w:r>
      <w:bookmarkEnd w:id="104"/>
      <w:bookmarkEnd w:id="105"/>
    </w:p>
    <w:p w:rsidR="00372CA7" w:rsidRPr="00713D42" w:rsidRDefault="00372CA7" w:rsidP="00F6299D">
      <w:pPr>
        <w:pStyle w:val="4"/>
        <w:numPr>
          <w:ilvl w:val="3"/>
          <w:numId w:val="20"/>
        </w:numPr>
        <w:overflowPunct/>
        <w:autoSpaceDE/>
        <w:autoSpaceDN/>
      </w:pPr>
      <w:r w:rsidRPr="00713D42">
        <w:rPr>
          <w:rFonts w:hint="eastAsia"/>
          <w:kern w:val="0"/>
          <w:szCs w:val="32"/>
        </w:rPr>
        <w:t>本案高餐藍帶公司投資後，於</w:t>
      </w:r>
      <w:r w:rsidRPr="00713D42">
        <w:rPr>
          <w:rFonts w:hint="eastAsia"/>
          <w:bCs/>
        </w:rPr>
        <w:t>102年4月3日已核准設立，</w:t>
      </w:r>
      <w:r w:rsidRPr="00713D42">
        <w:rPr>
          <w:rFonts w:hint="eastAsia"/>
          <w:kern w:val="0"/>
          <w:szCs w:val="32"/>
        </w:rPr>
        <w:t>因法規因素，未能辦理招生，相關機制卻未能及時啟動，並進行通報，且</w:t>
      </w:r>
      <w:r w:rsidRPr="00713D42">
        <w:rPr>
          <w:rFonts w:hint="eastAsia"/>
          <w:bCs/>
        </w:rPr>
        <w:t>未能回報至</w:t>
      </w:r>
      <w:r w:rsidRPr="00713D42">
        <w:rPr>
          <w:rFonts w:hint="eastAsia"/>
        </w:rPr>
        <w:t>「行政院全球招商及攬才聯合服務中心」即時進行跨部會協商，</w:t>
      </w:r>
      <w:r w:rsidRPr="00713D42">
        <w:rPr>
          <w:rFonts w:hint="eastAsia"/>
          <w:kern w:val="0"/>
          <w:szCs w:val="32"/>
        </w:rPr>
        <w:t>以協助該等廠商解決投資所面臨之問題，致該公司</w:t>
      </w:r>
      <w:r w:rsidRPr="00713D42">
        <w:rPr>
          <w:rFonts w:hint="eastAsia"/>
          <w:bCs/>
        </w:rPr>
        <w:t>遲至105年3月始可辦理招生，政府橫向聯繫不足。</w:t>
      </w:r>
    </w:p>
    <w:p w:rsidR="00372CA7" w:rsidRPr="00713D42" w:rsidRDefault="00372CA7" w:rsidP="00F6299D">
      <w:pPr>
        <w:pStyle w:val="4"/>
        <w:numPr>
          <w:ilvl w:val="3"/>
          <w:numId w:val="20"/>
        </w:numPr>
        <w:overflowPunct/>
        <w:autoSpaceDE/>
        <w:autoSpaceDN/>
      </w:pPr>
      <w:r w:rsidRPr="00713D42">
        <w:rPr>
          <w:rFonts w:hAnsi="標楷體" w:hint="eastAsia"/>
          <w:szCs w:val="32"/>
        </w:rPr>
        <w:t>政府進行法規修訂，過於重視保護主義，常於法規修訂時，</w:t>
      </w:r>
      <w:r w:rsidRPr="00713D42">
        <w:rPr>
          <w:rFonts w:hint="eastAsia"/>
        </w:rPr>
        <w:t>以避免衝擊我國產業為由，訂定許多限制，造成過度保護產業之情形，降低該等產業之廠商面對國外廠商競爭之能力，有礙產業之發展。</w:t>
      </w:r>
    </w:p>
    <w:p w:rsidR="00372CA7" w:rsidRPr="00713D42" w:rsidRDefault="00372CA7" w:rsidP="00F6299D">
      <w:pPr>
        <w:pStyle w:val="4"/>
        <w:numPr>
          <w:ilvl w:val="3"/>
          <w:numId w:val="20"/>
        </w:numPr>
        <w:overflowPunct/>
        <w:autoSpaceDE/>
        <w:autoSpaceDN/>
      </w:pPr>
      <w:r w:rsidRPr="00713D42">
        <w:rPr>
          <w:rFonts w:hint="eastAsia"/>
        </w:rPr>
        <w:t>政府常訂定許多限制條件，該等條件常未能即時修正以因應外界環境之變化，故有需常以專案方式辦理核准，除造成效率之不彰外，亦影響產業之發展，本案</w:t>
      </w:r>
      <w:r w:rsidRPr="00713D42">
        <w:rPr>
          <w:rFonts w:hAnsi="標楷體" w:hint="eastAsia"/>
          <w:szCs w:val="32"/>
        </w:rPr>
        <w:t>諮詢學者專家亦指出:「高雄餐飲學院100年投資4億元，把法國藍帶找來，結果廚師不能當廚師，只能教法語，經過4年還無法招生，最後還只是特准，不得援例浮濫，這就是一種保護心態，其實這些廚師來是提升我們的服務水準，我們可以從中學習法國菜為何可以創造那麼高的價值。上海把藍帶搶到上海</w:t>
      </w:r>
      <w:r w:rsidRPr="00713D42">
        <w:rPr>
          <w:rFonts w:hAnsi="標楷體" w:hint="eastAsia"/>
          <w:szCs w:val="32"/>
        </w:rPr>
        <w:lastRenderedPageBreak/>
        <w:t>去，103年就招生500名，我們都還沒招生。業者跑得很前面，但政府在後面一直拉。」</w:t>
      </w:r>
    </w:p>
    <w:p w:rsidR="00372CA7" w:rsidRPr="00713D42" w:rsidRDefault="00372CA7" w:rsidP="00F6299D">
      <w:pPr>
        <w:pStyle w:val="4"/>
        <w:numPr>
          <w:ilvl w:val="3"/>
          <w:numId w:val="20"/>
        </w:numPr>
        <w:overflowPunct/>
        <w:autoSpaceDE/>
        <w:autoSpaceDN/>
        <w:rPr>
          <w:kern w:val="0"/>
          <w:szCs w:val="32"/>
        </w:rPr>
      </w:pPr>
      <w:r w:rsidRPr="00713D42">
        <w:rPr>
          <w:rFonts w:hint="eastAsia"/>
          <w:kern w:val="0"/>
          <w:szCs w:val="32"/>
        </w:rPr>
        <w:t>經濟部指出外商於「投資前」、「投資中」及「投資後」各階段之服務需求有所不同，如何讓外商感覺「安心」可以在臺進行投資，為招商服務不可或缺之一環，</w:t>
      </w:r>
      <w:r w:rsidRPr="00713D42">
        <w:rPr>
          <w:rFonts w:hint="eastAsia"/>
          <w:szCs w:val="32"/>
        </w:rPr>
        <w:t>政府依據外商不同階段之需求，提</w:t>
      </w:r>
      <w:r w:rsidRPr="00713D42">
        <w:rPr>
          <w:rFonts w:hint="eastAsia"/>
          <w:kern w:val="0"/>
          <w:szCs w:val="32"/>
        </w:rPr>
        <w:t>供</w:t>
      </w:r>
      <w:r w:rsidRPr="00713D42">
        <w:rPr>
          <w:rFonts w:hint="eastAsia"/>
          <w:szCs w:val="32"/>
        </w:rPr>
        <w:t>之</w:t>
      </w:r>
      <w:r w:rsidRPr="00713D42">
        <w:rPr>
          <w:rFonts w:hint="eastAsia"/>
          <w:kern w:val="0"/>
          <w:szCs w:val="32"/>
        </w:rPr>
        <w:t>服務。然本案經濟部核准後，該等公司投資後未能安心，顯見我國招商作業仍有待強化。</w:t>
      </w:r>
    </w:p>
    <w:p w:rsidR="00372CA7" w:rsidRPr="00713D42" w:rsidRDefault="00372CA7" w:rsidP="00F6299D">
      <w:pPr>
        <w:pStyle w:val="3"/>
        <w:numPr>
          <w:ilvl w:val="2"/>
          <w:numId w:val="20"/>
        </w:numPr>
        <w:overflowPunct/>
        <w:autoSpaceDE/>
        <w:autoSpaceDN/>
        <w:rPr>
          <w:rFonts w:hAnsi="標楷體"/>
          <w:szCs w:val="32"/>
          <w:shd w:val="pct15" w:color="auto" w:fill="FFFFFF"/>
        </w:rPr>
      </w:pPr>
      <w:bookmarkStart w:id="106" w:name="_Toc469271796"/>
      <w:bookmarkStart w:id="107" w:name="_Toc470099686"/>
      <w:r w:rsidRPr="00713D42">
        <w:rPr>
          <w:rFonts w:hAnsi="標楷體" w:hint="eastAsia"/>
          <w:szCs w:val="32"/>
        </w:rPr>
        <w:t>綜上，</w:t>
      </w:r>
      <w:bookmarkEnd w:id="106"/>
      <w:r w:rsidRPr="00713D42">
        <w:rPr>
          <w:rFonts w:hint="eastAsia"/>
        </w:rPr>
        <w:t>明確的</w:t>
      </w:r>
      <w:r w:rsidRPr="00713D42">
        <w:t>招商策略是</w:t>
      </w:r>
      <w:r w:rsidRPr="00713D42">
        <w:rPr>
          <w:rFonts w:hint="eastAsia"/>
        </w:rPr>
        <w:t>FDI投資者</w:t>
      </w:r>
      <w:r w:rsidRPr="00713D42">
        <w:t>決定在臺投資的重要關鍵</w:t>
      </w:r>
      <w:r w:rsidRPr="00713D42">
        <w:rPr>
          <w:rFonts w:hint="eastAsia"/>
        </w:rPr>
        <w:t>之一</w:t>
      </w:r>
      <w:r w:rsidRPr="00713D42">
        <w:t>，</w:t>
      </w:r>
      <w:r w:rsidRPr="00713D42">
        <w:rPr>
          <w:rFonts w:hint="eastAsia"/>
        </w:rPr>
        <w:t>政府為吸引FDI來臺投資，除加強僑外商案源開發機制，定期籌組海外招商團至海外招商等</w:t>
      </w:r>
      <w:r w:rsidR="008961FD">
        <w:rPr>
          <w:rFonts w:hint="eastAsia"/>
        </w:rPr>
        <w:t>以</w:t>
      </w:r>
      <w:r w:rsidRPr="00713D42">
        <w:rPr>
          <w:rFonts w:hint="eastAsia"/>
        </w:rPr>
        <w:t>外，亦成立「行政院全球招商及攬才聯合服務中心」提供全程客製化投資服務等招商措施，然近年來我國FDI仍呈下滑趨勢，對比新加坡、愛爾蘭等國家辦理招商之積極度，及我國發生高餐藍帶公司之案例，行政院允應檢討我國招商策略與定位，強化招商之能力。</w:t>
      </w:r>
      <w:bookmarkEnd w:id="107"/>
    </w:p>
    <w:p w:rsidR="00372CA7" w:rsidRPr="00713D42" w:rsidRDefault="00372CA7" w:rsidP="00F6299D">
      <w:pPr>
        <w:pStyle w:val="2"/>
        <w:numPr>
          <w:ilvl w:val="1"/>
          <w:numId w:val="20"/>
        </w:numPr>
        <w:overflowPunct/>
        <w:autoSpaceDE/>
        <w:autoSpaceDN/>
        <w:rPr>
          <w:b/>
        </w:rPr>
      </w:pPr>
      <w:bookmarkStart w:id="108" w:name="_Toc469271797"/>
      <w:bookmarkStart w:id="109" w:name="_Toc470099687"/>
      <w:r w:rsidRPr="00713D42">
        <w:rPr>
          <w:rFonts w:hint="eastAsia"/>
          <w:b/>
        </w:rPr>
        <w:t>近期雖保護主義盛行，然因我國內需市場不足，加入區域經濟整合已是不可逆之趨勢，且我國主要競爭對手國，多已積極參加區域經濟整合，簽訂自由貿易協定之進度亦領先我國，行政院除應就對外洽簽FTA、及加入TPP、R</w:t>
      </w:r>
      <w:r w:rsidR="00E30310" w:rsidRPr="00713D42">
        <w:rPr>
          <w:rFonts w:hint="eastAsia"/>
          <w:b/>
        </w:rPr>
        <w:t>C</w:t>
      </w:r>
      <w:r w:rsidRPr="00713D42">
        <w:rPr>
          <w:rFonts w:hint="eastAsia"/>
          <w:b/>
        </w:rPr>
        <w:t>EP、新南向政策等做滾動式檢討執行策略外，亦</w:t>
      </w:r>
      <w:r w:rsidR="0091577E">
        <w:rPr>
          <w:rFonts w:hint="eastAsia"/>
          <w:b/>
        </w:rPr>
        <w:t>應</w:t>
      </w:r>
      <w:r w:rsidRPr="00713D42">
        <w:rPr>
          <w:rFonts w:hint="eastAsia"/>
          <w:b/>
        </w:rPr>
        <w:t>就檢討已簽訂之自由貿易協定，評估其執行成效，作為簽訂其他協定之參考；另</w:t>
      </w:r>
      <w:r w:rsidRPr="00713D42">
        <w:rPr>
          <w:rFonts w:hAnsi="標楷體" w:hint="eastAsia"/>
          <w:b/>
          <w:szCs w:val="32"/>
        </w:rPr>
        <w:t>中國大陸已是我國無法忽視之經濟強權，陸資企業陸續在世界各國進行企業之購併，造成部分外資因遭陸資收購而</w:t>
      </w:r>
      <w:r w:rsidR="00C5615D">
        <w:rPr>
          <w:rFonts w:hAnsi="標楷體" w:hint="eastAsia"/>
          <w:b/>
          <w:szCs w:val="32"/>
        </w:rPr>
        <w:t>須</w:t>
      </w:r>
      <w:r w:rsidRPr="00713D42">
        <w:rPr>
          <w:rFonts w:hAnsi="標楷體" w:hint="eastAsia"/>
          <w:b/>
          <w:szCs w:val="32"/>
        </w:rPr>
        <w:t>退出我國市場，在全球化趨勢下，資金之移動速度及範圍已是無國界，行政院允應正視此狀況之演變，擬定最適策略。</w:t>
      </w:r>
      <w:bookmarkEnd w:id="108"/>
      <w:bookmarkEnd w:id="109"/>
    </w:p>
    <w:p w:rsidR="00372CA7" w:rsidRPr="00713D42" w:rsidRDefault="00372CA7" w:rsidP="00F6299D">
      <w:pPr>
        <w:pStyle w:val="3"/>
        <w:numPr>
          <w:ilvl w:val="2"/>
          <w:numId w:val="20"/>
        </w:numPr>
        <w:overflowPunct/>
        <w:autoSpaceDE/>
        <w:autoSpaceDN/>
      </w:pPr>
      <w:bookmarkStart w:id="110" w:name="_Toc470099688"/>
      <w:bookmarkStart w:id="111" w:name="_Toc469271798"/>
      <w:r w:rsidRPr="00713D42">
        <w:rPr>
          <w:rFonts w:hint="eastAsia"/>
        </w:rPr>
        <w:t>查近期陸續發生英國脫歐及川普當選美國總統，使保護主義盛行，區域經濟整合出現波瀾，然區域</w:t>
      </w:r>
      <w:r w:rsidRPr="00713D42">
        <w:rPr>
          <w:rFonts w:hint="eastAsia"/>
        </w:rPr>
        <w:lastRenderedPageBreak/>
        <w:t>經濟整合已成為國際趨勢，且區域內市場將持續擴大，尤其亞洲地區經濟整合速度不斷加快，若我國加入區域經濟整合的腳步不夠快，將影響企業投資我國之意願。且因我國內需市場有限，不論提高企業在臺投資比重，抑或吸引外商來臺投資，對外洽簽FTA以協助在臺投資廠商可以享有零關稅的出口環境甚為重要，且在臺各大外僑商會如美國商會、歐洲商會及日本工商會等，皆在其政策白皮書呼籲我政府，儘速融入區域經濟體系，加快與各國簽訂FTA。</w:t>
      </w:r>
      <w:bookmarkEnd w:id="110"/>
    </w:p>
    <w:p w:rsidR="00372CA7" w:rsidRPr="00713D42" w:rsidRDefault="00372CA7" w:rsidP="00F6299D">
      <w:pPr>
        <w:pStyle w:val="3"/>
        <w:numPr>
          <w:ilvl w:val="2"/>
          <w:numId w:val="20"/>
        </w:numPr>
        <w:overflowPunct/>
        <w:autoSpaceDE/>
        <w:autoSpaceDN/>
      </w:pPr>
      <w:bookmarkStart w:id="112" w:name="_Toc470099689"/>
      <w:bookmarkEnd w:id="111"/>
      <w:r w:rsidRPr="00713D42">
        <w:rPr>
          <w:rFonts w:hint="eastAsia"/>
          <w:shd w:val="clear" w:color="auto" w:fill="FFFFFF"/>
        </w:rPr>
        <w:t>我國簽署自由貿易協定及吸引FDI之成效:</w:t>
      </w:r>
      <w:bookmarkEnd w:id="112"/>
    </w:p>
    <w:p w:rsidR="00372CA7" w:rsidRPr="00713D42" w:rsidRDefault="00372CA7" w:rsidP="00F6299D">
      <w:pPr>
        <w:pStyle w:val="4"/>
        <w:numPr>
          <w:ilvl w:val="3"/>
          <w:numId w:val="20"/>
        </w:numPr>
        <w:overflowPunct/>
        <w:autoSpaceDE/>
        <w:autoSpaceDN/>
      </w:pPr>
      <w:r w:rsidRPr="00713D42">
        <w:rPr>
          <w:rFonts w:hint="eastAsia"/>
        </w:rPr>
        <w:t>中南美5國4協定</w:t>
      </w:r>
    </w:p>
    <w:p w:rsidR="00372CA7" w:rsidRPr="00713D42" w:rsidRDefault="00372CA7" w:rsidP="00F6299D">
      <w:pPr>
        <w:pStyle w:val="5"/>
        <w:numPr>
          <w:ilvl w:val="4"/>
          <w:numId w:val="20"/>
        </w:numPr>
        <w:overflowPunct/>
        <w:autoSpaceDE/>
        <w:autoSpaceDN/>
      </w:pPr>
      <w:r w:rsidRPr="00713D42">
        <w:rPr>
          <w:rFonts w:hint="eastAsia"/>
          <w:shd w:val="clear" w:color="auto" w:fill="FFFFFF"/>
        </w:rPr>
        <w:t>我國與巴拿馬自由貿易協定:92年8月21日簽訂，93年1月1日正式實施。</w:t>
      </w:r>
    </w:p>
    <w:p w:rsidR="00372CA7" w:rsidRPr="00713D42" w:rsidRDefault="00372CA7" w:rsidP="00F6299D">
      <w:pPr>
        <w:pStyle w:val="5"/>
        <w:numPr>
          <w:ilvl w:val="4"/>
          <w:numId w:val="20"/>
        </w:numPr>
        <w:overflowPunct/>
        <w:autoSpaceDE/>
        <w:autoSpaceDN/>
      </w:pPr>
      <w:r w:rsidRPr="00713D42">
        <w:rPr>
          <w:rFonts w:hint="eastAsia"/>
        </w:rPr>
        <w:t>我國與瓜地馬拉自由貿易協定:95年7月1日生效。</w:t>
      </w:r>
    </w:p>
    <w:p w:rsidR="00372CA7" w:rsidRPr="00713D42" w:rsidRDefault="00372CA7" w:rsidP="00F6299D">
      <w:pPr>
        <w:pStyle w:val="5"/>
        <w:numPr>
          <w:ilvl w:val="4"/>
          <w:numId w:val="20"/>
        </w:numPr>
        <w:overflowPunct/>
        <w:autoSpaceDE/>
        <w:autoSpaceDN/>
      </w:pPr>
      <w:r w:rsidRPr="00713D42">
        <w:rPr>
          <w:rFonts w:hint="eastAsia"/>
        </w:rPr>
        <w:t>我國與尼加拉瓜自由貿易協定: 95年6月16日簽訂，96年1月1日正式生效。</w:t>
      </w:r>
    </w:p>
    <w:p w:rsidR="00372CA7" w:rsidRPr="00713D42" w:rsidRDefault="00372CA7" w:rsidP="00F6299D">
      <w:pPr>
        <w:pStyle w:val="5"/>
        <w:numPr>
          <w:ilvl w:val="4"/>
          <w:numId w:val="20"/>
        </w:numPr>
        <w:overflowPunct/>
        <w:autoSpaceDE/>
        <w:autoSpaceDN/>
      </w:pPr>
      <w:r w:rsidRPr="00713D42">
        <w:rPr>
          <w:rFonts w:hint="eastAsia"/>
        </w:rPr>
        <w:t>我國與薩爾瓦多暨宏都拉斯自由貿易協定:96年5月7日簽署，</w:t>
      </w:r>
      <w:r w:rsidR="00911F93">
        <w:rPr>
          <w:rFonts w:hint="eastAsia"/>
        </w:rPr>
        <w:t>臺</w:t>
      </w:r>
      <w:r w:rsidRPr="00713D42">
        <w:rPr>
          <w:rFonts w:hint="eastAsia"/>
        </w:rPr>
        <w:t>薩協定於97年3月1日生效，</w:t>
      </w:r>
      <w:r w:rsidR="00911F93">
        <w:rPr>
          <w:rFonts w:hint="eastAsia"/>
        </w:rPr>
        <w:t>臺</w:t>
      </w:r>
      <w:r w:rsidRPr="00713D42">
        <w:rPr>
          <w:rFonts w:hint="eastAsia"/>
        </w:rPr>
        <w:t>宏協定於97年7月15日生效。</w:t>
      </w:r>
    </w:p>
    <w:p w:rsidR="00372CA7" w:rsidRPr="00713D42" w:rsidRDefault="00372CA7" w:rsidP="00F6299D">
      <w:pPr>
        <w:pStyle w:val="5"/>
        <w:numPr>
          <w:ilvl w:val="4"/>
          <w:numId w:val="20"/>
        </w:numPr>
        <w:overflowPunct/>
        <w:autoSpaceDE/>
        <w:autoSpaceDN/>
      </w:pPr>
      <w:r w:rsidRPr="00713D42">
        <w:rPr>
          <w:rFonts w:hint="eastAsia"/>
          <w:shd w:val="clear" w:color="auto" w:fill="FFFFFF"/>
        </w:rPr>
        <w:t>簽訂自由貿易協定對投資之影響:</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巴拿馬、薩爾瓦多、尼加拉瓜投資我國(詳圖</w:t>
      </w:r>
      <w:r w:rsidR="00FD4A0E">
        <w:rPr>
          <w:rFonts w:hint="eastAsia"/>
          <w:shd w:val="clear" w:color="auto" w:fill="FFFFFF"/>
        </w:rPr>
        <w:t>7</w:t>
      </w:r>
      <w:r w:rsidRPr="00713D42">
        <w:rPr>
          <w:rFonts w:hint="eastAsia"/>
          <w:shd w:val="clear" w:color="auto" w:fill="FFFFFF"/>
        </w:rPr>
        <w:t>)，並未因自由貿易協定簽定而增加投資金額。</w:t>
      </w:r>
    </w:p>
    <w:p w:rsidR="00372CA7" w:rsidRPr="00713D42" w:rsidRDefault="00372CA7" w:rsidP="00372CA7">
      <w:pPr>
        <w:pStyle w:val="6"/>
        <w:numPr>
          <w:ilvl w:val="0"/>
          <w:numId w:val="0"/>
        </w:numPr>
        <w:ind w:leftChars="-1" w:left="-3" w:firstLineChars="244" w:firstLine="852"/>
        <w:rPr>
          <w:shd w:val="clear" w:color="auto" w:fill="FFFFFF"/>
        </w:rPr>
      </w:pPr>
      <w:r w:rsidRPr="00713D42">
        <w:rPr>
          <w:noProof/>
        </w:rPr>
        <w:lastRenderedPageBreak/>
        <w:drawing>
          <wp:inline distT="0" distB="0" distL="0" distR="0" wp14:anchorId="13B9FD80" wp14:editId="613EC5E1">
            <wp:extent cx="5191125" cy="2590800"/>
            <wp:effectExtent l="0" t="0" r="0" b="0"/>
            <wp:docPr id="39" name="圖表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註:投審會並無瓜地馬拉及宏都拉斯投資資料，故未將該2國列入。</w:t>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72CA7" w:rsidP="0084463B">
      <w:pPr>
        <w:pStyle w:val="a3"/>
        <w:rPr>
          <w:b/>
          <w:shd w:val="clear" w:color="auto" w:fill="FFFFFF"/>
        </w:rPr>
      </w:pPr>
      <w:r w:rsidRPr="0084463B">
        <w:rPr>
          <w:rFonts w:hint="eastAsia"/>
          <w:b/>
          <w:shd w:val="clear" w:color="auto" w:fill="FFFFFF"/>
        </w:rPr>
        <w:t>巴拿馬、薩爾瓦多、尼加拉瓜</w:t>
      </w:r>
      <w:r w:rsidR="003B009C">
        <w:rPr>
          <w:rFonts w:hint="eastAsia"/>
          <w:b/>
          <w:shd w:val="clear" w:color="auto" w:fill="FFFFFF"/>
        </w:rPr>
        <w:t>FDI對</w:t>
      </w:r>
      <w:r w:rsidRPr="0084463B">
        <w:rPr>
          <w:rFonts w:hint="eastAsia"/>
          <w:b/>
          <w:shd w:val="clear" w:color="auto" w:fill="FFFFFF"/>
        </w:rPr>
        <w:t>我國</w:t>
      </w:r>
      <w:r w:rsidR="003B009C">
        <w:rPr>
          <w:rFonts w:hint="eastAsia"/>
          <w:b/>
          <w:shd w:val="clear" w:color="auto" w:fill="FFFFFF"/>
        </w:rPr>
        <w:t>投資</w:t>
      </w:r>
      <w:r w:rsidRPr="0084463B">
        <w:rPr>
          <w:rFonts w:hint="eastAsia"/>
          <w:b/>
          <w:shd w:val="clear" w:color="auto" w:fill="FFFFFF"/>
        </w:rPr>
        <w:t>情形</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我國對巴拿馬、薩爾瓦多、尼加拉瓜投資(詳圖</w:t>
      </w:r>
      <w:r w:rsidR="00FD4A0E">
        <w:rPr>
          <w:rFonts w:hint="eastAsia"/>
          <w:shd w:val="clear" w:color="auto" w:fill="FFFFFF"/>
        </w:rPr>
        <w:t>8</w:t>
      </w:r>
      <w:r w:rsidRPr="00713D42">
        <w:rPr>
          <w:rFonts w:hint="eastAsia"/>
          <w:shd w:val="clear" w:color="auto" w:fill="FFFFFF"/>
        </w:rPr>
        <w:t>)，並未因自由貿易協定簽定而增加投資金額。</w:t>
      </w:r>
    </w:p>
    <w:p w:rsidR="00372CA7" w:rsidRPr="00713D42" w:rsidRDefault="00372CA7" w:rsidP="00372CA7">
      <w:pPr>
        <w:pStyle w:val="5"/>
        <w:numPr>
          <w:ilvl w:val="0"/>
          <w:numId w:val="0"/>
        </w:numPr>
        <w:ind w:firstLineChars="243" w:firstLine="848"/>
        <w:rPr>
          <w:shd w:val="clear" w:color="auto" w:fill="FFFFFF"/>
        </w:rPr>
      </w:pPr>
      <w:r w:rsidRPr="00713D42">
        <w:rPr>
          <w:noProof/>
        </w:rPr>
        <w:drawing>
          <wp:inline distT="0" distB="0" distL="0" distR="0" wp14:anchorId="403A3349" wp14:editId="13CE5C9A">
            <wp:extent cx="4857750" cy="2400300"/>
            <wp:effectExtent l="0" t="0" r="0" b="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註:投審會並無瓜地馬拉及宏都拉斯投資資料，故未將該2國列入。</w:t>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84463B" w:rsidP="0084463B">
      <w:pPr>
        <w:pStyle w:val="a3"/>
        <w:rPr>
          <w:b/>
          <w:shd w:val="clear" w:color="auto" w:fill="FFFFFF"/>
        </w:rPr>
      </w:pPr>
      <w:r w:rsidRPr="0084463B">
        <w:rPr>
          <w:rFonts w:hint="eastAsia"/>
          <w:b/>
          <w:shd w:val="clear" w:color="auto" w:fill="FFFFFF"/>
        </w:rPr>
        <w:t>我國對巴拿馬、薩爾瓦多、尼加拉瓜</w:t>
      </w:r>
      <w:r w:rsidR="003B009C">
        <w:rPr>
          <w:rFonts w:hint="eastAsia"/>
          <w:b/>
          <w:shd w:val="clear" w:color="auto" w:fill="FFFFFF"/>
        </w:rPr>
        <w:t>FDI</w:t>
      </w:r>
      <w:r w:rsidRPr="0084463B">
        <w:rPr>
          <w:rFonts w:hint="eastAsia"/>
          <w:b/>
          <w:shd w:val="clear" w:color="auto" w:fill="FFFFFF"/>
        </w:rPr>
        <w:t>投資</w:t>
      </w:r>
      <w:r w:rsidR="00372CA7" w:rsidRPr="0084463B">
        <w:rPr>
          <w:rFonts w:hint="eastAsia"/>
          <w:b/>
          <w:shd w:val="clear" w:color="auto" w:fill="FFFFFF"/>
        </w:rPr>
        <w:t>情形</w:t>
      </w:r>
    </w:p>
    <w:p w:rsidR="00372CA7" w:rsidRPr="00713D42" w:rsidRDefault="00372CA7" w:rsidP="00F6299D">
      <w:pPr>
        <w:pStyle w:val="4"/>
        <w:numPr>
          <w:ilvl w:val="3"/>
          <w:numId w:val="20"/>
        </w:numPr>
        <w:overflowPunct/>
        <w:autoSpaceDE/>
        <w:autoSpaceDN/>
        <w:rPr>
          <w:shd w:val="clear" w:color="auto" w:fill="FFFFFF"/>
        </w:rPr>
      </w:pPr>
      <w:r w:rsidRPr="00713D42">
        <w:rPr>
          <w:rFonts w:hint="eastAsia"/>
          <w:shd w:val="clear" w:color="auto" w:fill="FFFFFF"/>
        </w:rPr>
        <w:t>臺紐經濟合作協定:</w:t>
      </w:r>
    </w:p>
    <w:p w:rsidR="00372CA7" w:rsidRPr="00713D42" w:rsidRDefault="00372CA7" w:rsidP="00F6299D">
      <w:pPr>
        <w:pStyle w:val="5"/>
        <w:numPr>
          <w:ilvl w:val="4"/>
          <w:numId w:val="20"/>
        </w:numPr>
        <w:overflowPunct/>
        <w:autoSpaceDE/>
        <w:autoSpaceDN/>
      </w:pPr>
      <w:r w:rsidRPr="00713D42">
        <w:rPr>
          <w:rFonts w:hint="eastAsia"/>
          <w:shd w:val="clear" w:color="auto" w:fill="FFFFFF"/>
        </w:rPr>
        <w:t>臺灣與紐西蘭在WTO架構下，以會員身分締約，</w:t>
      </w:r>
      <w:r w:rsidRPr="00713D42">
        <w:rPr>
          <w:rFonts w:hint="eastAsia"/>
        </w:rPr>
        <w:t>102年7月10日簽署臺紐經濟合作協議，</w:t>
      </w:r>
      <w:r w:rsidRPr="00713D42">
        <w:rPr>
          <w:rFonts w:hint="eastAsia"/>
        </w:rPr>
        <w:lastRenderedPageBreak/>
        <w:t>同年12月1日三讀通過正式生效。</w:t>
      </w:r>
    </w:p>
    <w:p w:rsidR="00372CA7" w:rsidRPr="00713D42" w:rsidRDefault="00372CA7" w:rsidP="00F6299D">
      <w:pPr>
        <w:pStyle w:val="5"/>
        <w:numPr>
          <w:ilvl w:val="4"/>
          <w:numId w:val="20"/>
        </w:numPr>
        <w:overflowPunct/>
        <w:autoSpaceDE/>
        <w:autoSpaceDN/>
        <w:rPr>
          <w:shd w:val="clear" w:color="auto" w:fill="FFFFFF"/>
        </w:rPr>
      </w:pPr>
      <w:r w:rsidRPr="00713D42">
        <w:rPr>
          <w:rFonts w:hint="eastAsia"/>
          <w:shd w:val="clear" w:color="auto" w:fill="FFFFFF"/>
        </w:rPr>
        <w:t>我對紐西蘭投資：自41至104年共計9件，663萬美元。</w:t>
      </w:r>
    </w:p>
    <w:p w:rsidR="00372CA7" w:rsidRPr="00713D42" w:rsidRDefault="00372CA7" w:rsidP="00F6299D">
      <w:pPr>
        <w:pStyle w:val="5"/>
        <w:numPr>
          <w:ilvl w:val="4"/>
          <w:numId w:val="20"/>
        </w:numPr>
        <w:overflowPunct/>
        <w:autoSpaceDE/>
        <w:autoSpaceDN/>
        <w:rPr>
          <w:shd w:val="clear" w:color="auto" w:fill="FFFFFF"/>
        </w:rPr>
      </w:pPr>
      <w:r w:rsidRPr="00713D42">
        <w:rPr>
          <w:rFonts w:hint="eastAsia"/>
          <w:shd w:val="clear" w:color="auto" w:fill="FFFFFF"/>
        </w:rPr>
        <w:t>紐西蘭對我投資：自41至104年共計89件，1億607萬美元。</w:t>
      </w:r>
    </w:p>
    <w:p w:rsidR="00372CA7" w:rsidRPr="00713D42" w:rsidRDefault="00372CA7" w:rsidP="00F6299D">
      <w:pPr>
        <w:pStyle w:val="5"/>
        <w:numPr>
          <w:ilvl w:val="4"/>
          <w:numId w:val="20"/>
        </w:numPr>
        <w:overflowPunct/>
        <w:autoSpaceDE/>
        <w:autoSpaceDN/>
      </w:pPr>
      <w:r w:rsidRPr="00713D42">
        <w:rPr>
          <w:rFonts w:hint="eastAsia"/>
          <w:shd w:val="clear" w:color="auto" w:fill="FFFFFF"/>
        </w:rPr>
        <w:t>簽訂自由貿易協定對投資之影響:</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紐西蘭投資我國(詳圖</w:t>
      </w:r>
      <w:r w:rsidR="00FD4A0E">
        <w:rPr>
          <w:rFonts w:hint="eastAsia"/>
          <w:shd w:val="clear" w:color="auto" w:fill="FFFFFF"/>
        </w:rPr>
        <w:t>9</w:t>
      </w:r>
      <w:r w:rsidRPr="00713D42">
        <w:rPr>
          <w:rFonts w:hint="eastAsia"/>
          <w:shd w:val="clear" w:color="auto" w:fill="FFFFFF"/>
        </w:rPr>
        <w:t>)，並未因自由貿易協定簽定而增加投資金額。</w:t>
      </w:r>
    </w:p>
    <w:p w:rsidR="00372CA7" w:rsidRPr="00713D42" w:rsidRDefault="00372CA7" w:rsidP="00372CA7">
      <w:pPr>
        <w:pStyle w:val="6"/>
        <w:numPr>
          <w:ilvl w:val="0"/>
          <w:numId w:val="0"/>
        </w:numPr>
        <w:ind w:leftChars="-1" w:left="-3" w:firstLineChars="244" w:firstLine="852"/>
        <w:rPr>
          <w:shd w:val="clear" w:color="auto" w:fill="FFFFFF"/>
        </w:rPr>
      </w:pPr>
      <w:r w:rsidRPr="00713D42">
        <w:rPr>
          <w:noProof/>
        </w:rPr>
        <w:drawing>
          <wp:inline distT="0" distB="0" distL="0" distR="0" wp14:anchorId="6EC334B1" wp14:editId="51C965B5">
            <wp:extent cx="5200650" cy="2667000"/>
            <wp:effectExtent l="0" t="0" r="0" b="0"/>
            <wp:docPr id="33" name="圖表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圖表 1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7612" cy="2670570"/>
                    </a:xfrm>
                    <a:prstGeom prst="rect">
                      <a:avLst/>
                    </a:prstGeom>
                    <a:noFill/>
                    <a:ln>
                      <a:noFill/>
                    </a:ln>
                    <a:extLst/>
                  </pic:spPr>
                </pic:pic>
              </a:graphicData>
            </a:graphic>
          </wp:inline>
        </w:drawing>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72CA7" w:rsidP="0084463B">
      <w:pPr>
        <w:pStyle w:val="a3"/>
        <w:rPr>
          <w:b/>
          <w:shd w:val="clear" w:color="auto" w:fill="FFFFFF"/>
        </w:rPr>
      </w:pPr>
      <w:r w:rsidRPr="0084463B">
        <w:rPr>
          <w:rFonts w:hint="eastAsia"/>
          <w:b/>
          <w:shd w:val="clear" w:color="auto" w:fill="FFFFFF"/>
        </w:rPr>
        <w:t>紐西蘭</w:t>
      </w:r>
      <w:r w:rsidR="003B009C">
        <w:rPr>
          <w:rFonts w:hint="eastAsia"/>
          <w:b/>
          <w:shd w:val="clear" w:color="auto" w:fill="FFFFFF"/>
        </w:rPr>
        <w:t>FDI對</w:t>
      </w:r>
      <w:r w:rsidRPr="0084463B">
        <w:rPr>
          <w:rFonts w:hint="eastAsia"/>
          <w:b/>
          <w:shd w:val="clear" w:color="auto" w:fill="FFFFFF"/>
        </w:rPr>
        <w:t>我國</w:t>
      </w:r>
      <w:r w:rsidR="003B009C">
        <w:rPr>
          <w:rFonts w:hint="eastAsia"/>
          <w:b/>
          <w:shd w:val="clear" w:color="auto" w:fill="FFFFFF"/>
        </w:rPr>
        <w:t>投資</w:t>
      </w:r>
      <w:r w:rsidRPr="0084463B">
        <w:rPr>
          <w:rFonts w:hint="eastAsia"/>
          <w:b/>
          <w:shd w:val="clear" w:color="auto" w:fill="FFFFFF"/>
        </w:rPr>
        <w:t>情形</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我國對紐西蘭FDI投資(詳圖10)，並未因自由貿易協定簽定而增加投資金額。</w:t>
      </w:r>
    </w:p>
    <w:p w:rsidR="00372CA7" w:rsidRPr="00713D42" w:rsidRDefault="00372CA7" w:rsidP="00372CA7">
      <w:pPr>
        <w:pStyle w:val="5"/>
        <w:numPr>
          <w:ilvl w:val="0"/>
          <w:numId w:val="0"/>
        </w:numPr>
        <w:ind w:firstLineChars="243" w:firstLine="848"/>
        <w:rPr>
          <w:shd w:val="clear" w:color="auto" w:fill="FFFFFF"/>
        </w:rPr>
      </w:pPr>
      <w:r w:rsidRPr="00713D42">
        <w:rPr>
          <w:noProof/>
        </w:rPr>
        <w:lastRenderedPageBreak/>
        <w:drawing>
          <wp:inline distT="0" distB="0" distL="0" distR="0" wp14:anchorId="364FB0E3" wp14:editId="2A41D007">
            <wp:extent cx="5181600" cy="2676525"/>
            <wp:effectExtent l="0" t="0" r="0" b="0"/>
            <wp:docPr id="32" name="圖表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圖表 18"/>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88226" cy="2679948"/>
                    </a:xfrm>
                    <a:prstGeom prst="rect">
                      <a:avLst/>
                    </a:prstGeom>
                    <a:noFill/>
                    <a:ln>
                      <a:noFill/>
                    </a:ln>
                    <a:extLst/>
                  </pic:spPr>
                </pic:pic>
              </a:graphicData>
            </a:graphic>
          </wp:inline>
        </w:drawing>
      </w:r>
    </w:p>
    <w:p w:rsidR="00372CA7" w:rsidRPr="00713D42" w:rsidRDefault="00372CA7" w:rsidP="00372CA7">
      <w:pPr>
        <w:pStyle w:val="5"/>
        <w:numPr>
          <w:ilvl w:val="0"/>
          <w:numId w:val="0"/>
        </w:numPr>
        <w:spacing w:line="240" w:lineRule="exact"/>
        <w:ind w:leftChars="244" w:left="1844" w:rightChars="-65" w:right="-227" w:hangingChars="433" w:hanging="992"/>
        <w:rPr>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84463B" w:rsidP="0084463B">
      <w:pPr>
        <w:pStyle w:val="a3"/>
        <w:rPr>
          <w:b/>
          <w:shd w:val="clear" w:color="auto" w:fill="FFFFFF"/>
        </w:rPr>
      </w:pPr>
      <w:r w:rsidRPr="0084463B">
        <w:rPr>
          <w:rFonts w:hint="eastAsia"/>
          <w:b/>
          <w:shd w:val="clear" w:color="auto" w:fill="FFFFFF"/>
        </w:rPr>
        <w:t>我國對紐西蘭FDI投資</w:t>
      </w:r>
      <w:r w:rsidR="00372CA7" w:rsidRPr="0084463B">
        <w:rPr>
          <w:rFonts w:hint="eastAsia"/>
          <w:b/>
          <w:shd w:val="clear" w:color="auto" w:fill="FFFFFF"/>
        </w:rPr>
        <w:t>情形</w:t>
      </w:r>
    </w:p>
    <w:p w:rsidR="00372CA7" w:rsidRPr="00713D42" w:rsidRDefault="00372CA7" w:rsidP="00F6299D">
      <w:pPr>
        <w:pStyle w:val="4"/>
        <w:numPr>
          <w:ilvl w:val="3"/>
          <w:numId w:val="20"/>
        </w:numPr>
        <w:overflowPunct/>
        <w:autoSpaceDE/>
        <w:autoSpaceDN/>
        <w:rPr>
          <w:shd w:val="clear" w:color="auto" w:fill="FFFFFF"/>
        </w:rPr>
      </w:pPr>
      <w:r w:rsidRPr="00713D42">
        <w:rPr>
          <w:rFonts w:hint="eastAsia"/>
          <w:shd w:val="clear" w:color="auto" w:fill="FFFFFF"/>
        </w:rPr>
        <w:t>臺星經濟夥伴協定:</w:t>
      </w:r>
    </w:p>
    <w:p w:rsidR="00372CA7" w:rsidRPr="00713D42" w:rsidRDefault="00372CA7" w:rsidP="00F6299D">
      <w:pPr>
        <w:pStyle w:val="5"/>
        <w:numPr>
          <w:ilvl w:val="4"/>
          <w:numId w:val="20"/>
        </w:numPr>
        <w:overflowPunct/>
        <w:autoSpaceDE/>
        <w:autoSpaceDN/>
        <w:rPr>
          <w:shd w:val="clear" w:color="auto" w:fill="FFFFFF"/>
        </w:rPr>
      </w:pPr>
      <w:r w:rsidRPr="00713D42">
        <w:rPr>
          <w:rFonts w:hint="eastAsia"/>
          <w:shd w:val="clear" w:color="auto" w:fill="FFFFFF"/>
        </w:rPr>
        <w:t>102年11月7日簽署，103年4月19日生效。</w:t>
      </w:r>
    </w:p>
    <w:p w:rsidR="00372CA7" w:rsidRPr="00713D42" w:rsidRDefault="00372CA7" w:rsidP="00F6299D">
      <w:pPr>
        <w:pStyle w:val="5"/>
        <w:numPr>
          <w:ilvl w:val="4"/>
          <w:numId w:val="20"/>
        </w:numPr>
        <w:overflowPunct/>
        <w:autoSpaceDE/>
        <w:autoSpaceDN/>
        <w:rPr>
          <w:shd w:val="clear" w:color="auto" w:fill="FFFFFF"/>
        </w:rPr>
      </w:pPr>
      <w:r w:rsidRPr="00713D42">
        <w:rPr>
          <w:rFonts w:hint="eastAsia"/>
          <w:shd w:val="clear" w:color="auto" w:fill="FFFFFF"/>
        </w:rPr>
        <w:t>實際投資狀況:</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我對新加坡投資：依投審會統計，101年計有19案、44.99億美元；102年計有10案、15.83億美元；累計自41年至103年8月計527案，106.78億美元；主要投資項目包含電子產品及電子零組件製造業、金融保險、運輸及批發零售業等。</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新加坡對我投資：依投審會統計，101年計有115案、1.52億美元；102年計有147案、2.65億美元；累計自41年至103年8月計1,913案，74.19億美元；主要投資項目包含金融保險、資通訊傳播、電子產品及其零組件製造業及批發零售業等。</w:t>
      </w:r>
    </w:p>
    <w:p w:rsidR="00372CA7" w:rsidRPr="00713D42" w:rsidRDefault="00372CA7" w:rsidP="00F6299D">
      <w:pPr>
        <w:pStyle w:val="6"/>
        <w:numPr>
          <w:ilvl w:val="5"/>
          <w:numId w:val="20"/>
        </w:numPr>
        <w:overflowPunct/>
        <w:autoSpaceDE/>
        <w:autoSpaceDN/>
      </w:pPr>
      <w:r w:rsidRPr="00713D42">
        <w:rPr>
          <w:rFonts w:hint="eastAsia"/>
          <w:shd w:val="clear" w:color="auto" w:fill="FFFFFF"/>
        </w:rPr>
        <w:t>簽訂自由貿易協定對投資之影響:</w:t>
      </w:r>
    </w:p>
    <w:p w:rsidR="00372CA7" w:rsidRPr="00713D42" w:rsidRDefault="00372CA7" w:rsidP="00F6299D">
      <w:pPr>
        <w:pStyle w:val="7"/>
        <w:numPr>
          <w:ilvl w:val="6"/>
          <w:numId w:val="20"/>
        </w:numPr>
        <w:overflowPunct/>
        <w:autoSpaceDE/>
        <w:autoSpaceDN/>
        <w:rPr>
          <w:shd w:val="clear" w:color="auto" w:fill="FFFFFF"/>
        </w:rPr>
      </w:pPr>
      <w:r w:rsidRPr="00713D42">
        <w:rPr>
          <w:rFonts w:hint="eastAsia"/>
          <w:shd w:val="clear" w:color="auto" w:fill="FFFFFF"/>
        </w:rPr>
        <w:t>新加坡投資我國(詳圖1</w:t>
      </w:r>
      <w:r w:rsidR="00FD4A0E">
        <w:rPr>
          <w:rFonts w:hint="eastAsia"/>
          <w:shd w:val="clear" w:color="auto" w:fill="FFFFFF"/>
        </w:rPr>
        <w:t>1</w:t>
      </w:r>
      <w:r w:rsidRPr="00713D42">
        <w:rPr>
          <w:rFonts w:hint="eastAsia"/>
          <w:shd w:val="clear" w:color="auto" w:fill="FFFFFF"/>
        </w:rPr>
        <w:t>)，並未因自由貿易協定簽定而增加投資金額。</w:t>
      </w:r>
    </w:p>
    <w:p w:rsidR="00372CA7" w:rsidRPr="00713D42" w:rsidRDefault="00372CA7" w:rsidP="00372CA7">
      <w:pPr>
        <w:pStyle w:val="7"/>
        <w:numPr>
          <w:ilvl w:val="0"/>
          <w:numId w:val="0"/>
        </w:numPr>
        <w:ind w:firstLineChars="243" w:firstLine="848"/>
        <w:rPr>
          <w:shd w:val="clear" w:color="auto" w:fill="FFFFFF"/>
        </w:rPr>
      </w:pPr>
      <w:r w:rsidRPr="00713D42">
        <w:rPr>
          <w:noProof/>
        </w:rPr>
        <w:lastRenderedPageBreak/>
        <w:drawing>
          <wp:inline distT="0" distB="0" distL="0" distR="0" wp14:anchorId="39D67509" wp14:editId="7354A199">
            <wp:extent cx="5143500" cy="2419350"/>
            <wp:effectExtent l="0" t="0" r="19050" b="19050"/>
            <wp:docPr id="27" name="圖表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72CA7" w:rsidP="0084463B">
      <w:pPr>
        <w:pStyle w:val="a3"/>
        <w:rPr>
          <w:b/>
        </w:rPr>
      </w:pPr>
      <w:r w:rsidRPr="0084463B">
        <w:rPr>
          <w:rFonts w:hint="eastAsia"/>
          <w:b/>
        </w:rPr>
        <w:t>新加坡</w:t>
      </w:r>
      <w:r w:rsidR="003B009C">
        <w:rPr>
          <w:rFonts w:hint="eastAsia"/>
          <w:b/>
        </w:rPr>
        <w:t>對我國</w:t>
      </w:r>
      <w:r w:rsidRPr="0084463B">
        <w:rPr>
          <w:rFonts w:hint="eastAsia"/>
          <w:b/>
        </w:rPr>
        <w:t>FDI</w:t>
      </w:r>
      <w:r w:rsidR="003B009C">
        <w:rPr>
          <w:rFonts w:hint="eastAsia"/>
          <w:b/>
        </w:rPr>
        <w:t>投資</w:t>
      </w:r>
      <w:r w:rsidRPr="0084463B">
        <w:rPr>
          <w:rFonts w:hint="eastAsia"/>
          <w:b/>
        </w:rPr>
        <w:t>情形</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我國對新加坡FDI投資(詳圖1</w:t>
      </w:r>
      <w:r w:rsidR="00FD4A0E">
        <w:rPr>
          <w:rFonts w:hint="eastAsia"/>
          <w:shd w:val="clear" w:color="auto" w:fill="FFFFFF"/>
        </w:rPr>
        <w:t>2</w:t>
      </w:r>
      <w:r w:rsidRPr="00713D42">
        <w:rPr>
          <w:rFonts w:hint="eastAsia"/>
          <w:shd w:val="clear" w:color="auto" w:fill="FFFFFF"/>
        </w:rPr>
        <w:t>)，除101年外，並未因自由貿易協定簽定而增加投資金額。</w:t>
      </w:r>
    </w:p>
    <w:p w:rsidR="00372CA7" w:rsidRPr="00713D42" w:rsidRDefault="00372CA7" w:rsidP="00372CA7">
      <w:pPr>
        <w:pStyle w:val="6"/>
        <w:numPr>
          <w:ilvl w:val="0"/>
          <w:numId w:val="0"/>
        </w:numPr>
        <w:ind w:firstLineChars="243" w:firstLine="848"/>
        <w:rPr>
          <w:shd w:val="clear" w:color="auto" w:fill="FFFFFF"/>
        </w:rPr>
      </w:pPr>
      <w:r w:rsidRPr="00713D42">
        <w:rPr>
          <w:noProof/>
        </w:rPr>
        <w:drawing>
          <wp:inline distT="0" distB="0" distL="0" distR="0" wp14:anchorId="0645C77B" wp14:editId="3E027A92">
            <wp:extent cx="5362575" cy="2638425"/>
            <wp:effectExtent l="0" t="0" r="9525" b="9525"/>
            <wp:docPr id="28" name="圖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72CA7" w:rsidRPr="00713D42" w:rsidRDefault="00372CA7" w:rsidP="00372CA7">
      <w:pPr>
        <w:pStyle w:val="5"/>
        <w:numPr>
          <w:ilvl w:val="0"/>
          <w:numId w:val="0"/>
        </w:numPr>
        <w:spacing w:line="240" w:lineRule="exact"/>
        <w:ind w:leftChars="244" w:left="1844" w:rightChars="-65" w:right="-227" w:hangingChars="433" w:hanging="992"/>
        <w:rPr>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B009C" w:rsidP="0084463B">
      <w:pPr>
        <w:pStyle w:val="a3"/>
        <w:rPr>
          <w:b/>
          <w:shd w:val="clear" w:color="auto" w:fill="FFFFFF"/>
        </w:rPr>
      </w:pPr>
      <w:r>
        <w:rPr>
          <w:rFonts w:hint="eastAsia"/>
          <w:b/>
          <w:shd w:val="clear" w:color="auto" w:fill="FFFFFF"/>
        </w:rPr>
        <w:t>我國對新加坡</w:t>
      </w:r>
      <w:r w:rsidR="00372CA7" w:rsidRPr="0084463B">
        <w:rPr>
          <w:rFonts w:hint="eastAsia"/>
          <w:b/>
          <w:shd w:val="clear" w:color="auto" w:fill="FFFFFF"/>
        </w:rPr>
        <w:t>FDI</w:t>
      </w:r>
      <w:r>
        <w:rPr>
          <w:rFonts w:hint="eastAsia"/>
          <w:b/>
          <w:shd w:val="clear" w:color="auto" w:fill="FFFFFF"/>
        </w:rPr>
        <w:t>投資</w:t>
      </w:r>
      <w:r w:rsidR="00372CA7" w:rsidRPr="0084463B">
        <w:rPr>
          <w:rFonts w:hint="eastAsia"/>
          <w:b/>
          <w:shd w:val="clear" w:color="auto" w:fill="FFFFFF"/>
        </w:rPr>
        <w:t>情形</w:t>
      </w:r>
    </w:p>
    <w:p w:rsidR="00372CA7" w:rsidRPr="00713D42" w:rsidRDefault="00372CA7" w:rsidP="00F6299D">
      <w:pPr>
        <w:pStyle w:val="4"/>
        <w:numPr>
          <w:ilvl w:val="3"/>
          <w:numId w:val="20"/>
        </w:numPr>
        <w:overflowPunct/>
        <w:autoSpaceDE/>
        <w:autoSpaceDN/>
        <w:rPr>
          <w:shd w:val="clear" w:color="auto" w:fill="FFFFFF"/>
        </w:rPr>
      </w:pPr>
      <w:r w:rsidRPr="00713D42">
        <w:rPr>
          <w:rFonts w:hint="eastAsia"/>
          <w:shd w:val="clear" w:color="auto" w:fill="FFFFFF"/>
        </w:rPr>
        <w:t>臺日投資協定:</w:t>
      </w:r>
    </w:p>
    <w:p w:rsidR="00372CA7" w:rsidRPr="00713D42" w:rsidRDefault="00372CA7" w:rsidP="00F6299D">
      <w:pPr>
        <w:pStyle w:val="5"/>
        <w:numPr>
          <w:ilvl w:val="4"/>
          <w:numId w:val="20"/>
        </w:numPr>
        <w:overflowPunct/>
        <w:autoSpaceDE/>
        <w:autoSpaceDN/>
        <w:rPr>
          <w:shd w:val="clear" w:color="auto" w:fill="FFFFFF"/>
        </w:rPr>
      </w:pPr>
      <w:r w:rsidRPr="00713D42">
        <w:rPr>
          <w:rFonts w:hint="eastAsia"/>
          <w:shd w:val="clear" w:color="auto" w:fill="FFFFFF"/>
        </w:rPr>
        <w:t>100年9月22日簽署</w:t>
      </w:r>
      <w:r w:rsidRPr="00713D42">
        <w:rPr>
          <w:rFonts w:ascii="新細明體" w:eastAsia="新細明體" w:hAnsi="新細明體" w:hint="eastAsia"/>
          <w:shd w:val="clear" w:color="auto" w:fill="FFFFFF"/>
        </w:rPr>
        <w:t>「</w:t>
      </w:r>
      <w:r w:rsidRPr="00713D42">
        <w:rPr>
          <w:rFonts w:hint="eastAsia"/>
          <w:shd w:val="clear" w:color="auto" w:fill="FFFFFF"/>
        </w:rPr>
        <w:t>臺日投資協議</w:t>
      </w:r>
      <w:r w:rsidRPr="00713D42">
        <w:rPr>
          <w:rFonts w:hAnsi="標楷體" w:hint="eastAsia"/>
          <w:shd w:val="clear" w:color="auto" w:fill="FFFFFF"/>
        </w:rPr>
        <w:t>」</w:t>
      </w:r>
      <w:r w:rsidRPr="00713D42">
        <w:rPr>
          <w:rFonts w:hint="eastAsia"/>
          <w:shd w:val="clear" w:color="auto" w:fill="FFFFFF"/>
        </w:rPr>
        <w:t>，於101年1月20日生效。</w:t>
      </w:r>
    </w:p>
    <w:p w:rsidR="00372CA7" w:rsidRPr="00713D42" w:rsidRDefault="00372CA7" w:rsidP="00F6299D">
      <w:pPr>
        <w:pStyle w:val="5"/>
        <w:numPr>
          <w:ilvl w:val="4"/>
          <w:numId w:val="20"/>
        </w:numPr>
        <w:overflowPunct/>
        <w:autoSpaceDE/>
        <w:autoSpaceDN/>
      </w:pPr>
      <w:r w:rsidRPr="00713D42">
        <w:rPr>
          <w:rFonts w:hint="eastAsia"/>
          <w:shd w:val="clear" w:color="auto" w:fill="FFFFFF"/>
        </w:rPr>
        <w:t>簽訂自由貿易協定對投資之影響:</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lastRenderedPageBreak/>
        <w:t>日本投資我國之FDI金額(詳圖1</w:t>
      </w:r>
      <w:r w:rsidR="00FD4A0E">
        <w:rPr>
          <w:rFonts w:hint="eastAsia"/>
          <w:shd w:val="clear" w:color="auto" w:fill="FFFFFF"/>
        </w:rPr>
        <w:t>3</w:t>
      </w:r>
      <w:r w:rsidRPr="00713D42">
        <w:rPr>
          <w:rFonts w:hint="eastAsia"/>
          <w:shd w:val="clear" w:color="auto" w:fill="FFFFFF"/>
        </w:rPr>
        <w:t>)，並未因自由貿易協定簽定而增加投資金額。</w:t>
      </w:r>
    </w:p>
    <w:p w:rsidR="00372CA7" w:rsidRPr="00713D42" w:rsidRDefault="00372CA7" w:rsidP="00372CA7">
      <w:pPr>
        <w:pStyle w:val="7"/>
        <w:numPr>
          <w:ilvl w:val="0"/>
          <w:numId w:val="0"/>
        </w:numPr>
        <w:ind w:firstLineChars="243" w:firstLine="848"/>
        <w:rPr>
          <w:shd w:val="clear" w:color="auto" w:fill="FFFFFF"/>
        </w:rPr>
      </w:pPr>
      <w:r w:rsidRPr="00713D42">
        <w:rPr>
          <w:noProof/>
        </w:rPr>
        <w:drawing>
          <wp:inline distT="0" distB="0" distL="0" distR="0" wp14:anchorId="58001DEF" wp14:editId="17893B75">
            <wp:extent cx="5105400" cy="2562225"/>
            <wp:effectExtent l="0" t="0" r="0" b="0"/>
            <wp:docPr id="38" name="圖表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72CA7" w:rsidRPr="00713D42" w:rsidRDefault="00372CA7" w:rsidP="00372CA7">
      <w:pPr>
        <w:pStyle w:val="6"/>
        <w:numPr>
          <w:ilvl w:val="0"/>
          <w:numId w:val="0"/>
        </w:numPr>
        <w:tabs>
          <w:tab w:val="clear" w:pos="2094"/>
          <w:tab w:val="left" w:pos="1843"/>
        </w:tabs>
        <w:spacing w:line="240" w:lineRule="exact"/>
        <w:ind w:leftChars="243" w:left="1837" w:rightChars="-65" w:right="-227" w:hangingChars="432" w:hanging="989"/>
        <w:rPr>
          <w:sz w:val="20"/>
          <w:szCs w:val="20"/>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B009C" w:rsidP="0084463B">
      <w:pPr>
        <w:pStyle w:val="a3"/>
        <w:rPr>
          <w:b/>
          <w:shd w:val="clear" w:color="auto" w:fill="FFFFFF"/>
        </w:rPr>
      </w:pPr>
      <w:r>
        <w:rPr>
          <w:rFonts w:hint="eastAsia"/>
          <w:b/>
          <w:shd w:val="clear" w:color="auto" w:fill="FFFFFF"/>
        </w:rPr>
        <w:t>日本對</w:t>
      </w:r>
      <w:r w:rsidR="00372CA7" w:rsidRPr="0084463B">
        <w:rPr>
          <w:rFonts w:hint="eastAsia"/>
          <w:b/>
          <w:shd w:val="clear" w:color="auto" w:fill="FFFFFF"/>
        </w:rPr>
        <w:t>我國FDI</w:t>
      </w:r>
      <w:r>
        <w:rPr>
          <w:rFonts w:hint="eastAsia"/>
          <w:b/>
          <w:shd w:val="clear" w:color="auto" w:fill="FFFFFF"/>
        </w:rPr>
        <w:t>投資</w:t>
      </w:r>
      <w:r w:rsidR="00372CA7" w:rsidRPr="0084463B">
        <w:rPr>
          <w:rFonts w:hint="eastAsia"/>
          <w:b/>
          <w:shd w:val="clear" w:color="auto" w:fill="FFFFFF"/>
        </w:rPr>
        <w:t>情形</w:t>
      </w:r>
    </w:p>
    <w:p w:rsidR="00372CA7" w:rsidRPr="00713D42" w:rsidRDefault="00372CA7" w:rsidP="00F6299D">
      <w:pPr>
        <w:pStyle w:val="6"/>
        <w:numPr>
          <w:ilvl w:val="5"/>
          <w:numId w:val="20"/>
        </w:numPr>
        <w:overflowPunct/>
        <w:autoSpaceDE/>
        <w:autoSpaceDN/>
        <w:rPr>
          <w:shd w:val="clear" w:color="auto" w:fill="FFFFFF"/>
        </w:rPr>
      </w:pPr>
      <w:r w:rsidRPr="00713D42">
        <w:rPr>
          <w:rFonts w:hint="eastAsia"/>
          <w:shd w:val="clear" w:color="auto" w:fill="FFFFFF"/>
        </w:rPr>
        <w:t>我國對日本FDI投資(詳圖1</w:t>
      </w:r>
      <w:r w:rsidR="00FD4A0E">
        <w:rPr>
          <w:rFonts w:hint="eastAsia"/>
          <w:shd w:val="clear" w:color="auto" w:fill="FFFFFF"/>
        </w:rPr>
        <w:t>4</w:t>
      </w:r>
      <w:r w:rsidRPr="00713D42">
        <w:rPr>
          <w:rFonts w:hint="eastAsia"/>
          <w:shd w:val="clear" w:color="auto" w:fill="FFFFFF"/>
        </w:rPr>
        <w:t>)金額，因101年正式生效，由圖16可知101、103年成較大幅度成長，效應如何，尚需觀察。</w:t>
      </w:r>
    </w:p>
    <w:p w:rsidR="00372CA7" w:rsidRPr="00713D42" w:rsidRDefault="00372CA7" w:rsidP="00372CA7">
      <w:pPr>
        <w:pStyle w:val="6"/>
        <w:numPr>
          <w:ilvl w:val="0"/>
          <w:numId w:val="0"/>
        </w:numPr>
        <w:ind w:firstLineChars="243" w:firstLine="848"/>
        <w:rPr>
          <w:shd w:val="clear" w:color="auto" w:fill="FFFFFF"/>
        </w:rPr>
      </w:pPr>
      <w:r w:rsidRPr="00713D42">
        <w:rPr>
          <w:noProof/>
        </w:rPr>
        <w:drawing>
          <wp:inline distT="0" distB="0" distL="0" distR="0" wp14:anchorId="06BAC4FC" wp14:editId="4623A3FB">
            <wp:extent cx="5105400" cy="2800350"/>
            <wp:effectExtent l="0" t="0" r="0" b="0"/>
            <wp:docPr id="36" name="圖表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72CA7" w:rsidRPr="00713D42" w:rsidRDefault="00372CA7" w:rsidP="00372CA7">
      <w:pPr>
        <w:pStyle w:val="5"/>
        <w:numPr>
          <w:ilvl w:val="0"/>
          <w:numId w:val="0"/>
        </w:numPr>
        <w:spacing w:line="240" w:lineRule="exact"/>
        <w:ind w:leftChars="244" w:left="1844" w:rightChars="-65" w:right="-227" w:hangingChars="433" w:hanging="992"/>
        <w:rPr>
          <w:shd w:val="clear" w:color="auto" w:fill="FFFFFF"/>
        </w:rPr>
      </w:pPr>
      <w:r w:rsidRPr="00713D42">
        <w:rPr>
          <w:rFonts w:hint="eastAsia"/>
          <w:sz w:val="20"/>
          <w:szCs w:val="20"/>
          <w:shd w:val="clear" w:color="auto" w:fill="FFFFFF"/>
        </w:rPr>
        <w:t>資料來源:投審會104年12月份核准僑外投資、陸資來臺投資、國外投資、對中國大陸投資統計月報，並經本院整理繪製。</w:t>
      </w:r>
    </w:p>
    <w:p w:rsidR="00372CA7" w:rsidRPr="0084463B" w:rsidRDefault="00372CA7" w:rsidP="0084463B">
      <w:pPr>
        <w:pStyle w:val="a3"/>
        <w:rPr>
          <w:b/>
          <w:shd w:val="clear" w:color="auto" w:fill="FFFFFF"/>
        </w:rPr>
      </w:pPr>
      <w:r w:rsidRPr="0084463B">
        <w:rPr>
          <w:rFonts w:hint="eastAsia"/>
          <w:b/>
          <w:shd w:val="clear" w:color="auto" w:fill="FFFFFF"/>
        </w:rPr>
        <w:t>我國</w:t>
      </w:r>
      <w:r w:rsidR="003B009C">
        <w:rPr>
          <w:rFonts w:hint="eastAsia"/>
          <w:b/>
          <w:shd w:val="clear" w:color="auto" w:fill="FFFFFF"/>
        </w:rPr>
        <w:t>對</w:t>
      </w:r>
      <w:r w:rsidRPr="0084463B">
        <w:rPr>
          <w:rFonts w:hint="eastAsia"/>
          <w:b/>
          <w:shd w:val="clear" w:color="auto" w:fill="FFFFFF"/>
        </w:rPr>
        <w:t>日本FDI</w:t>
      </w:r>
      <w:r w:rsidR="003B009C">
        <w:rPr>
          <w:rFonts w:hint="eastAsia"/>
          <w:b/>
          <w:shd w:val="clear" w:color="auto" w:fill="FFFFFF"/>
        </w:rPr>
        <w:t>投資</w:t>
      </w:r>
      <w:r w:rsidRPr="0084463B">
        <w:rPr>
          <w:rFonts w:hint="eastAsia"/>
          <w:b/>
          <w:shd w:val="clear" w:color="auto" w:fill="FFFFFF"/>
        </w:rPr>
        <w:t>情形</w:t>
      </w:r>
    </w:p>
    <w:p w:rsidR="00372CA7" w:rsidRPr="00713D42" w:rsidRDefault="00372CA7" w:rsidP="00F6299D">
      <w:pPr>
        <w:pStyle w:val="4"/>
        <w:numPr>
          <w:ilvl w:val="3"/>
          <w:numId w:val="20"/>
        </w:numPr>
        <w:overflowPunct/>
        <w:autoSpaceDE/>
        <w:autoSpaceDN/>
      </w:pPr>
      <w:r w:rsidRPr="00713D42">
        <w:lastRenderedPageBreak/>
        <w:t>「</w:t>
      </w:r>
      <w:r w:rsidR="007E0274">
        <w:rPr>
          <w:rFonts w:hint="eastAsia"/>
        </w:rPr>
        <w:t>海峽</w:t>
      </w:r>
      <w:r w:rsidRPr="00713D42">
        <w:t>兩岸經濟合作架構協議」</w:t>
      </w:r>
      <w:r w:rsidRPr="00713D42">
        <w:rPr>
          <w:rFonts w:hint="eastAsia"/>
          <w:shd w:val="clear" w:color="auto" w:fill="FFFFFF"/>
        </w:rPr>
        <w:t>(下稱</w:t>
      </w:r>
      <w:r w:rsidRPr="00713D42">
        <w:rPr>
          <w:shd w:val="clear" w:color="auto" w:fill="FFFFFF"/>
        </w:rPr>
        <w:t>ECFA</w:t>
      </w:r>
      <w:r w:rsidRPr="00713D42">
        <w:rPr>
          <w:rFonts w:hint="eastAsia"/>
          <w:shd w:val="clear" w:color="auto" w:fill="FFFFFF"/>
        </w:rPr>
        <w:t>)</w:t>
      </w:r>
    </w:p>
    <w:p w:rsidR="00372CA7" w:rsidRPr="00713D42" w:rsidRDefault="00372CA7" w:rsidP="00F6299D">
      <w:pPr>
        <w:pStyle w:val="5"/>
        <w:numPr>
          <w:ilvl w:val="4"/>
          <w:numId w:val="20"/>
        </w:numPr>
        <w:overflowPunct/>
        <w:autoSpaceDE/>
        <w:autoSpaceDN/>
        <w:rPr>
          <w:b/>
        </w:rPr>
      </w:pPr>
      <w:r w:rsidRPr="00713D42">
        <w:rPr>
          <w:rFonts w:hint="eastAsia"/>
          <w:shd w:val="clear" w:color="auto" w:fill="FFFFFF"/>
        </w:rPr>
        <w:t>99年9月12日</w:t>
      </w:r>
      <w:r w:rsidRPr="00713D42">
        <w:rPr>
          <w:shd w:val="clear" w:color="auto" w:fill="FFFFFF"/>
        </w:rPr>
        <w:t>ECFA</w:t>
      </w:r>
      <w:r w:rsidRPr="00713D42">
        <w:rPr>
          <w:rFonts w:ascii="Arial" w:cs="Arial"/>
        </w:rPr>
        <w:t>生效實施</w:t>
      </w:r>
      <w:r w:rsidRPr="00713D42">
        <w:rPr>
          <w:rFonts w:ascii="Arial" w:cs="Arial" w:hint="eastAsia"/>
        </w:rPr>
        <w:t>。</w:t>
      </w:r>
    </w:p>
    <w:p w:rsidR="00372CA7" w:rsidRPr="00713D42" w:rsidRDefault="00372CA7" w:rsidP="00F6299D">
      <w:pPr>
        <w:pStyle w:val="5"/>
        <w:numPr>
          <w:ilvl w:val="4"/>
          <w:numId w:val="20"/>
        </w:numPr>
        <w:overflowPunct/>
        <w:autoSpaceDE/>
        <w:autoSpaceDN/>
        <w:rPr>
          <w:b/>
        </w:rPr>
      </w:pPr>
      <w:r w:rsidRPr="00713D42">
        <w:rPr>
          <w:rFonts w:hint="eastAsia"/>
        </w:rPr>
        <w:t>依該協議，合作措施如下：</w:t>
      </w:r>
    </w:p>
    <w:p w:rsidR="00372CA7" w:rsidRPr="00713D42" w:rsidRDefault="00372CA7" w:rsidP="00F6299D">
      <w:pPr>
        <w:pStyle w:val="6"/>
        <w:numPr>
          <w:ilvl w:val="5"/>
          <w:numId w:val="20"/>
        </w:numPr>
        <w:overflowPunct/>
        <w:autoSpaceDE/>
        <w:autoSpaceDN/>
      </w:pPr>
      <w:r w:rsidRPr="00713D42">
        <w:rPr>
          <w:rFonts w:hint="eastAsia"/>
        </w:rPr>
        <w:t>有關貨品貿易部分，在</w:t>
      </w:r>
      <w:r w:rsidRPr="00713D42">
        <w:t>「貨品貿易早期收穫」基礎上，不遲於</w:t>
      </w:r>
      <w:r w:rsidRPr="00713D42">
        <w:rPr>
          <w:rFonts w:hint="eastAsia"/>
        </w:rPr>
        <w:t>該</w:t>
      </w:r>
      <w:r w:rsidRPr="00713D42">
        <w:t>協議生效後</w:t>
      </w:r>
      <w:r w:rsidRPr="00713D42">
        <w:rPr>
          <w:rFonts w:hint="eastAsia"/>
        </w:rPr>
        <w:t>6</w:t>
      </w:r>
      <w:r w:rsidRPr="00713D42">
        <w:t>個月內就貨品貿易協議展開磋商</w:t>
      </w:r>
      <w:r w:rsidRPr="00713D42">
        <w:rPr>
          <w:rFonts w:hint="eastAsia"/>
        </w:rPr>
        <w:t>。</w:t>
      </w:r>
    </w:p>
    <w:p w:rsidR="00372CA7" w:rsidRPr="00713D42" w:rsidRDefault="00372CA7" w:rsidP="00F6299D">
      <w:pPr>
        <w:pStyle w:val="6"/>
        <w:numPr>
          <w:ilvl w:val="5"/>
          <w:numId w:val="20"/>
        </w:numPr>
        <w:overflowPunct/>
        <w:autoSpaceDE/>
        <w:autoSpaceDN/>
      </w:pPr>
      <w:r w:rsidRPr="00713D42">
        <w:rPr>
          <w:rFonts w:hint="eastAsia"/>
        </w:rPr>
        <w:t>有關服務貿易部分，</w:t>
      </w:r>
      <w:r w:rsidRPr="00713D42">
        <w:t>在「服務貿易早期收穫」基礎上，不遲於</w:t>
      </w:r>
      <w:r w:rsidRPr="00713D42">
        <w:rPr>
          <w:rFonts w:hint="eastAsia"/>
        </w:rPr>
        <w:t>該</w:t>
      </w:r>
      <w:r w:rsidRPr="00713D42">
        <w:t>協議生效後</w:t>
      </w:r>
      <w:r w:rsidRPr="00713D42">
        <w:rPr>
          <w:rFonts w:hint="eastAsia"/>
        </w:rPr>
        <w:t>6</w:t>
      </w:r>
      <w:r w:rsidRPr="00713D42">
        <w:t>個月內就服務貿易協議展開磋商</w:t>
      </w:r>
      <w:r w:rsidRPr="00713D42">
        <w:rPr>
          <w:rFonts w:hint="eastAsia"/>
        </w:rPr>
        <w:t>。</w:t>
      </w:r>
    </w:p>
    <w:p w:rsidR="00372CA7" w:rsidRPr="00713D42" w:rsidRDefault="00372CA7" w:rsidP="00F6299D">
      <w:pPr>
        <w:pStyle w:val="6"/>
        <w:numPr>
          <w:ilvl w:val="5"/>
          <w:numId w:val="20"/>
        </w:numPr>
        <w:overflowPunct/>
        <w:autoSpaceDE/>
        <w:autoSpaceDN/>
      </w:pPr>
      <w:r w:rsidRPr="00713D42">
        <w:t>在</w:t>
      </w:r>
      <w:r w:rsidRPr="00713D42">
        <w:rPr>
          <w:rFonts w:hint="eastAsia"/>
        </w:rPr>
        <w:t>該</w:t>
      </w:r>
      <w:r w:rsidRPr="00713D42">
        <w:t>協議生效後</w:t>
      </w:r>
      <w:r w:rsidRPr="00713D42">
        <w:rPr>
          <w:rFonts w:hint="eastAsia"/>
        </w:rPr>
        <w:t>6</w:t>
      </w:r>
      <w:r w:rsidRPr="00713D42">
        <w:t>個月內</w:t>
      </w:r>
      <w:r w:rsidRPr="00713D42">
        <w:rPr>
          <w:rFonts w:hint="eastAsia"/>
        </w:rPr>
        <w:t>，針對該協議第5</w:t>
      </w:r>
      <w:r w:rsidRPr="00713D42">
        <w:t>條第</w:t>
      </w:r>
      <w:r w:rsidRPr="00713D42">
        <w:rPr>
          <w:rFonts w:hint="eastAsia"/>
        </w:rPr>
        <w:t>2</w:t>
      </w:r>
      <w:r w:rsidRPr="00713D42">
        <w:t>款</w:t>
      </w:r>
      <w:r w:rsidRPr="00713D42">
        <w:rPr>
          <w:rFonts w:hint="eastAsia"/>
        </w:rPr>
        <w:t>所述投資相關</w:t>
      </w:r>
      <w:r w:rsidRPr="00713D42">
        <w:t>事項展開磋商</w:t>
      </w:r>
      <w:r w:rsidRPr="00713D42">
        <w:rPr>
          <w:rFonts w:hint="eastAsia"/>
        </w:rPr>
        <w:t>。</w:t>
      </w:r>
    </w:p>
    <w:p w:rsidR="00372CA7" w:rsidRPr="00713D42" w:rsidRDefault="00372CA7" w:rsidP="00F6299D">
      <w:pPr>
        <w:pStyle w:val="5"/>
        <w:numPr>
          <w:ilvl w:val="4"/>
          <w:numId w:val="20"/>
        </w:numPr>
        <w:overflowPunct/>
        <w:autoSpaceDE/>
        <w:autoSpaceDN/>
      </w:pPr>
      <w:r w:rsidRPr="00713D42">
        <w:rPr>
          <w:rFonts w:hint="eastAsia"/>
        </w:rPr>
        <w:t>相關協議簽署情形</w:t>
      </w:r>
    </w:p>
    <w:p w:rsidR="00372CA7" w:rsidRPr="00713D42" w:rsidRDefault="00372CA7" w:rsidP="00F6299D">
      <w:pPr>
        <w:pStyle w:val="6"/>
        <w:numPr>
          <w:ilvl w:val="5"/>
          <w:numId w:val="20"/>
        </w:numPr>
        <w:overflowPunct/>
        <w:autoSpaceDE/>
        <w:autoSpaceDN/>
      </w:pPr>
      <w:r w:rsidRPr="00713D42">
        <w:t>「海峽兩岸投資保障和促進協議」於101年8月9日完成簽署，已於102年2月1日正式生效。</w:t>
      </w:r>
    </w:p>
    <w:p w:rsidR="00372CA7" w:rsidRPr="00713D42" w:rsidRDefault="00372CA7" w:rsidP="00F6299D">
      <w:pPr>
        <w:pStyle w:val="6"/>
        <w:numPr>
          <w:ilvl w:val="5"/>
          <w:numId w:val="20"/>
        </w:numPr>
        <w:overflowPunct/>
        <w:autoSpaceDE/>
        <w:autoSpaceDN/>
      </w:pPr>
      <w:r w:rsidRPr="00713D42">
        <w:rPr>
          <w:rFonts w:hint="eastAsia"/>
        </w:rPr>
        <w:t>102年6月21日</w:t>
      </w:r>
      <w:r w:rsidRPr="00713D42">
        <w:t>簽署「海峽兩岸服務貿易協議」</w:t>
      </w:r>
      <w:r w:rsidRPr="00713D42">
        <w:rPr>
          <w:rFonts w:hint="eastAsia"/>
        </w:rPr>
        <w:t>，然同年月25日經</w:t>
      </w:r>
      <w:r w:rsidRPr="00713D42">
        <w:t>立法院朝野黨團協商結論</w:t>
      </w:r>
      <w:r w:rsidRPr="00713D42">
        <w:rPr>
          <w:rFonts w:hint="eastAsia"/>
        </w:rPr>
        <w:t>，</w:t>
      </w:r>
      <w:r w:rsidRPr="00713D42">
        <w:t>非經立法院實質審查通過，不得啟動生效條款</w:t>
      </w:r>
      <w:r w:rsidRPr="00713D42">
        <w:rPr>
          <w:rFonts w:hint="eastAsia"/>
        </w:rPr>
        <w:t>。</w:t>
      </w:r>
    </w:p>
    <w:p w:rsidR="00372CA7" w:rsidRPr="00713D42" w:rsidRDefault="00372CA7" w:rsidP="00F6299D">
      <w:pPr>
        <w:pStyle w:val="4"/>
        <w:numPr>
          <w:ilvl w:val="3"/>
          <w:numId w:val="20"/>
        </w:numPr>
        <w:overflowPunct/>
        <w:autoSpaceDE/>
        <w:autoSpaceDN/>
      </w:pPr>
      <w:r w:rsidRPr="00713D42">
        <w:t>兩岸經濟合作架構協議(ECFA)執行情形</w:t>
      </w:r>
    </w:p>
    <w:p w:rsidR="00372CA7" w:rsidRPr="00713D42" w:rsidRDefault="00372CA7" w:rsidP="00F6299D">
      <w:pPr>
        <w:pStyle w:val="5"/>
        <w:numPr>
          <w:ilvl w:val="4"/>
          <w:numId w:val="20"/>
        </w:numPr>
        <w:overflowPunct/>
        <w:autoSpaceDE/>
        <w:autoSpaceDN/>
      </w:pPr>
      <w:r w:rsidRPr="00713D42">
        <w:t>ECFA早期收穫計畫</w:t>
      </w:r>
      <w:r w:rsidRPr="00713D42">
        <w:rPr>
          <w:rFonts w:hint="eastAsia"/>
        </w:rPr>
        <w:t>:</w:t>
      </w:r>
    </w:p>
    <w:p w:rsidR="00372CA7" w:rsidRPr="00713D42" w:rsidRDefault="00372CA7" w:rsidP="00372CA7">
      <w:pPr>
        <w:pStyle w:val="32"/>
        <w:ind w:leftChars="568" w:left="1982" w:firstLine="698"/>
      </w:pPr>
      <w:r w:rsidRPr="00713D42">
        <w:t>貨品貿易早期收穫計畫於100年1月1日起開始實施降稅，服務貿易早期收穫部門及開放措施亦同時全面實施，102年1月1日起早期收穫計畫全部產品降為零關稅。</w:t>
      </w:r>
    </w:p>
    <w:p w:rsidR="00372CA7" w:rsidRPr="00713D42" w:rsidRDefault="00372CA7" w:rsidP="00F6299D">
      <w:pPr>
        <w:pStyle w:val="5"/>
        <w:numPr>
          <w:ilvl w:val="4"/>
          <w:numId w:val="20"/>
        </w:numPr>
        <w:overflowPunct/>
        <w:autoSpaceDE/>
        <w:autoSpaceDN/>
      </w:pPr>
      <w:r w:rsidRPr="00713D42">
        <w:t>陸資來臺</w:t>
      </w:r>
      <w:r w:rsidRPr="00713D42">
        <w:rPr>
          <w:rFonts w:hint="eastAsia"/>
        </w:rPr>
        <w:t>部分:</w:t>
      </w:r>
    </w:p>
    <w:p w:rsidR="00372CA7" w:rsidRPr="00713D42" w:rsidRDefault="00372CA7" w:rsidP="00372CA7">
      <w:pPr>
        <w:pStyle w:val="42"/>
        <w:ind w:leftChars="568" w:left="1982" w:firstLine="698"/>
        <w:rPr>
          <w:shd w:val="clear" w:color="auto" w:fill="FFFFFF"/>
        </w:rPr>
      </w:pPr>
      <w:r w:rsidRPr="00713D42">
        <w:rPr>
          <w:shd w:val="clear" w:color="auto" w:fill="FFFFFF"/>
        </w:rPr>
        <w:t>ECFA服務業早期收穫計畫</w:t>
      </w:r>
      <w:r w:rsidRPr="00713D42">
        <w:rPr>
          <w:rFonts w:hint="eastAsia"/>
          <w:shd w:val="clear" w:color="auto" w:fill="FFFFFF"/>
        </w:rPr>
        <w:t>生效後，由圖1</w:t>
      </w:r>
      <w:r w:rsidR="00FD4A0E">
        <w:rPr>
          <w:rFonts w:hint="eastAsia"/>
          <w:shd w:val="clear" w:color="auto" w:fill="FFFFFF"/>
        </w:rPr>
        <w:t>5</w:t>
      </w:r>
      <w:r w:rsidRPr="00713D42">
        <w:rPr>
          <w:rFonts w:hint="eastAsia"/>
          <w:shd w:val="clear" w:color="auto" w:fill="FFFFFF"/>
        </w:rPr>
        <w:t>及</w:t>
      </w:r>
      <w:r w:rsidRPr="00713D42">
        <w:rPr>
          <w:rFonts w:hint="eastAsia"/>
        </w:rPr>
        <w:t>表11</w:t>
      </w:r>
      <w:r w:rsidRPr="00713D42">
        <w:rPr>
          <w:rFonts w:hint="eastAsia"/>
          <w:shd w:val="clear" w:color="auto" w:fill="FFFFFF"/>
        </w:rPr>
        <w:t>可發現，</w:t>
      </w:r>
      <w:r w:rsidRPr="00713D42">
        <w:t>陸資來臺</w:t>
      </w:r>
      <w:r w:rsidRPr="00713D42">
        <w:rPr>
          <w:rFonts w:hint="eastAsia"/>
        </w:rPr>
        <w:t>投資大幅提升。</w:t>
      </w:r>
    </w:p>
    <w:p w:rsidR="00372CA7" w:rsidRPr="00713D42" w:rsidRDefault="00372CA7" w:rsidP="00372CA7">
      <w:pPr>
        <w:pStyle w:val="42"/>
        <w:ind w:leftChars="285" w:left="1983" w:hangingChars="283" w:hanging="988"/>
        <w:rPr>
          <w:shd w:val="clear" w:color="auto" w:fill="FFFFFF"/>
        </w:rPr>
      </w:pPr>
      <w:r w:rsidRPr="00713D42">
        <w:rPr>
          <w:noProof/>
        </w:rPr>
        <w:lastRenderedPageBreak/>
        <w:drawing>
          <wp:inline distT="0" distB="0" distL="0" distR="0" wp14:anchorId="6056A302" wp14:editId="76B860DC">
            <wp:extent cx="5172075" cy="2705100"/>
            <wp:effectExtent l="0" t="0" r="0" b="0"/>
            <wp:docPr id="40" name="圖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72CA7" w:rsidRPr="00713D42" w:rsidRDefault="00372CA7" w:rsidP="00372CA7">
      <w:pPr>
        <w:pStyle w:val="5"/>
        <w:numPr>
          <w:ilvl w:val="0"/>
          <w:numId w:val="0"/>
        </w:numPr>
        <w:spacing w:line="240" w:lineRule="exact"/>
        <w:ind w:firstLineChars="432" w:firstLine="989"/>
        <w:rPr>
          <w:sz w:val="20"/>
          <w:szCs w:val="20"/>
        </w:rPr>
      </w:pPr>
      <w:r w:rsidRPr="00713D42">
        <w:rPr>
          <w:rFonts w:hAnsi="標楷體" w:cs="新細明體"/>
          <w:kern w:val="0"/>
          <w:sz w:val="20"/>
          <w:szCs w:val="20"/>
        </w:rPr>
        <w:t>資料來源：</w:t>
      </w:r>
      <w:r w:rsidRPr="00713D42">
        <w:rPr>
          <w:rFonts w:hAnsi="標楷體" w:cs="新細明體" w:hint="eastAsia"/>
          <w:kern w:val="0"/>
          <w:sz w:val="20"/>
          <w:szCs w:val="20"/>
        </w:rPr>
        <w:t>投審</w:t>
      </w:r>
      <w:r w:rsidRPr="00713D42">
        <w:rPr>
          <w:rFonts w:hAnsi="標楷體" w:cs="新細明體"/>
          <w:kern w:val="0"/>
          <w:sz w:val="20"/>
          <w:szCs w:val="20"/>
        </w:rPr>
        <w:t>會</w:t>
      </w:r>
      <w:r w:rsidRPr="00713D42">
        <w:rPr>
          <w:rFonts w:hAnsi="標楷體" w:cs="新細明體" w:hint="eastAsia"/>
          <w:kern w:val="0"/>
          <w:sz w:val="20"/>
          <w:szCs w:val="20"/>
        </w:rPr>
        <w:t>統計月報，經本院整理繪製。</w:t>
      </w:r>
    </w:p>
    <w:p w:rsidR="00372CA7" w:rsidRPr="0084463B" w:rsidRDefault="00372CA7" w:rsidP="0084463B">
      <w:pPr>
        <w:pStyle w:val="a3"/>
        <w:rPr>
          <w:b/>
          <w:w w:val="90"/>
          <w:shd w:val="clear" w:color="auto" w:fill="FFFFFF"/>
        </w:rPr>
      </w:pPr>
      <w:r w:rsidRPr="0084463B">
        <w:rPr>
          <w:rFonts w:hint="eastAsia"/>
          <w:b/>
          <w:w w:val="90"/>
          <w:shd w:val="clear" w:color="auto" w:fill="FFFFFF"/>
        </w:rPr>
        <w:t>陸資來臺</w:t>
      </w:r>
      <w:r w:rsidRPr="0084463B">
        <w:rPr>
          <w:b/>
          <w:w w:val="90"/>
          <w:shd w:val="clear" w:color="auto" w:fill="FFFFFF"/>
        </w:rPr>
        <w:t>投資情形</w:t>
      </w:r>
    </w:p>
    <w:p w:rsidR="00372CA7" w:rsidRPr="00713D42" w:rsidRDefault="00372CA7" w:rsidP="00372CA7">
      <w:pPr>
        <w:pStyle w:val="a5"/>
        <w:spacing w:before="0" w:after="0"/>
        <w:ind w:left="1049" w:firstLine="227"/>
        <w:jc w:val="center"/>
        <w:rPr>
          <w:b/>
        </w:rPr>
      </w:pPr>
      <w:r w:rsidRPr="00713D42">
        <w:rPr>
          <w:rFonts w:hint="eastAsia"/>
          <w:b/>
        </w:rPr>
        <w:t>歷年核准陸資來臺投資件數與金額</w:t>
      </w:r>
    </w:p>
    <w:p w:rsidR="00372CA7" w:rsidRPr="00713D42" w:rsidRDefault="00372CA7" w:rsidP="00372CA7">
      <w:pPr>
        <w:widowControl/>
        <w:spacing w:line="240" w:lineRule="exact"/>
        <w:ind w:right="-85"/>
        <w:jc w:val="right"/>
        <w:rPr>
          <w:sz w:val="20"/>
        </w:rPr>
      </w:pPr>
      <w:r w:rsidRPr="00713D42">
        <w:rPr>
          <w:rFonts w:hint="eastAsia"/>
          <w:sz w:val="20"/>
        </w:rPr>
        <w:t>單位：美金千元</w:t>
      </w:r>
    </w:p>
    <w:tbl>
      <w:tblPr>
        <w:tblW w:w="4108" w:type="pct"/>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4"/>
        <w:gridCol w:w="2566"/>
        <w:gridCol w:w="2568"/>
      </w:tblGrid>
      <w:tr w:rsidR="00372CA7" w:rsidRPr="00713D42" w:rsidTr="00B10A4D">
        <w:trPr>
          <w:trHeight w:val="300"/>
        </w:trPr>
        <w:tc>
          <w:tcPr>
            <w:tcW w:w="1463" w:type="pct"/>
            <w:shd w:val="clear" w:color="auto" w:fill="auto"/>
            <w:noWrap/>
            <w:vAlign w:val="bottom"/>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年度</w:t>
            </w:r>
          </w:p>
        </w:tc>
        <w:tc>
          <w:tcPr>
            <w:tcW w:w="1768" w:type="pct"/>
            <w:shd w:val="clear" w:color="auto" w:fill="auto"/>
            <w:noWrap/>
            <w:vAlign w:val="bottom"/>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件    數</w:t>
            </w:r>
          </w:p>
        </w:tc>
        <w:tc>
          <w:tcPr>
            <w:tcW w:w="1769" w:type="pct"/>
            <w:shd w:val="clear" w:color="auto" w:fill="auto"/>
            <w:noWrap/>
            <w:vAlign w:val="bottom"/>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金    額</w:t>
            </w:r>
          </w:p>
        </w:tc>
      </w:tr>
      <w:tr w:rsidR="00372CA7" w:rsidRPr="00713D42" w:rsidTr="00B10A4D">
        <w:trPr>
          <w:trHeight w:val="300"/>
        </w:trPr>
        <w:tc>
          <w:tcPr>
            <w:tcW w:w="1463" w:type="pct"/>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w:t>
            </w:r>
            <w:r w:rsidRPr="00713D42">
              <w:rPr>
                <w:rFonts w:hAnsi="標楷體" w:cs="Arial" w:hint="eastAsia"/>
                <w:kern w:val="0"/>
                <w:sz w:val="24"/>
                <w:szCs w:val="24"/>
              </w:rPr>
              <w:t>8</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23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37,486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99</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79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94,345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100</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105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51,625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101</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138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331,583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102</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138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349,479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103</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136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334,631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104</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170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244,067 </w:t>
            </w:r>
          </w:p>
        </w:tc>
      </w:tr>
      <w:tr w:rsidR="00372CA7" w:rsidRPr="00713D42" w:rsidTr="00B10A4D">
        <w:trPr>
          <w:trHeight w:val="300"/>
        </w:trPr>
        <w:tc>
          <w:tcPr>
            <w:tcW w:w="1463" w:type="pct"/>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w:t>
            </w:r>
            <w:r w:rsidRPr="00713D42">
              <w:rPr>
                <w:rFonts w:hAnsi="標楷體" w:cs="Arial" w:hint="eastAsia"/>
                <w:kern w:val="0"/>
                <w:sz w:val="24"/>
                <w:szCs w:val="24"/>
              </w:rPr>
              <w:t>8</w:t>
            </w:r>
            <w:r w:rsidRPr="00713D42">
              <w:rPr>
                <w:rFonts w:hAnsi="標楷體" w:cs="Arial"/>
                <w:kern w:val="0"/>
                <w:sz w:val="24"/>
                <w:szCs w:val="24"/>
              </w:rPr>
              <w:t>~</w:t>
            </w:r>
            <w:r w:rsidRPr="00713D42">
              <w:rPr>
                <w:rFonts w:hAnsi="標楷體" w:cs="Arial" w:hint="eastAsia"/>
                <w:kern w:val="0"/>
                <w:sz w:val="24"/>
                <w:szCs w:val="24"/>
              </w:rPr>
              <w:t>104</w:t>
            </w:r>
            <w:r w:rsidRPr="00713D42">
              <w:rPr>
                <w:rFonts w:hAnsi="標楷體" w:cs="Arial"/>
                <w:kern w:val="0"/>
                <w:sz w:val="24"/>
                <w:szCs w:val="24"/>
              </w:rPr>
              <w:t>.12</w:t>
            </w:r>
          </w:p>
        </w:tc>
        <w:tc>
          <w:tcPr>
            <w:tcW w:w="1768"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789 </w:t>
            </w:r>
          </w:p>
        </w:tc>
        <w:tc>
          <w:tcPr>
            <w:tcW w:w="1769" w:type="pct"/>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1,443,216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hint="eastAsia"/>
                <w:kern w:val="0"/>
                <w:sz w:val="24"/>
                <w:szCs w:val="24"/>
              </w:rPr>
              <w:t>105</w:t>
            </w:r>
            <w:r w:rsidRPr="00713D42">
              <w:rPr>
                <w:rFonts w:hAnsi="標楷體" w:cs="Arial"/>
                <w:kern w:val="0"/>
                <w:sz w:val="24"/>
                <w:szCs w:val="24"/>
              </w:rPr>
              <w:t xml:space="preserve"> 01-10</w:t>
            </w:r>
          </w:p>
        </w:tc>
        <w:tc>
          <w:tcPr>
            <w:tcW w:w="1768" w:type="pct"/>
            <w:shd w:val="clear" w:color="auto" w:fill="auto"/>
            <w:noWrap/>
            <w:vAlign w:val="center"/>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130 </w:t>
            </w:r>
          </w:p>
        </w:tc>
        <w:tc>
          <w:tcPr>
            <w:tcW w:w="1769" w:type="pct"/>
            <w:shd w:val="clear" w:color="auto" w:fill="auto"/>
            <w:noWrap/>
            <w:vAlign w:val="center"/>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215,998 </w:t>
            </w:r>
          </w:p>
        </w:tc>
      </w:tr>
      <w:tr w:rsidR="00372CA7" w:rsidRPr="00713D42" w:rsidTr="00B10A4D">
        <w:trPr>
          <w:trHeight w:val="300"/>
        </w:trPr>
        <w:tc>
          <w:tcPr>
            <w:tcW w:w="1463" w:type="pct"/>
            <w:shd w:val="clear" w:color="auto" w:fill="auto"/>
            <w:noWrap/>
            <w:vAlign w:val="center"/>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w:t>
            </w:r>
            <w:r w:rsidRPr="00713D42">
              <w:rPr>
                <w:rFonts w:hAnsi="標楷體" w:cs="Arial" w:hint="eastAsia"/>
                <w:kern w:val="0"/>
                <w:sz w:val="24"/>
                <w:szCs w:val="24"/>
              </w:rPr>
              <w:t>8</w:t>
            </w:r>
            <w:r w:rsidRPr="00713D42">
              <w:rPr>
                <w:rFonts w:hAnsi="標楷體" w:cs="Arial"/>
                <w:kern w:val="0"/>
                <w:sz w:val="24"/>
                <w:szCs w:val="24"/>
              </w:rPr>
              <w:t>~</w:t>
            </w:r>
            <w:r w:rsidRPr="00713D42">
              <w:rPr>
                <w:rFonts w:hAnsi="標楷體" w:cs="Arial" w:hint="eastAsia"/>
                <w:kern w:val="0"/>
                <w:sz w:val="24"/>
                <w:szCs w:val="24"/>
              </w:rPr>
              <w:t>105</w:t>
            </w:r>
            <w:r w:rsidRPr="00713D42">
              <w:rPr>
                <w:rFonts w:hAnsi="標楷體" w:cs="Arial"/>
                <w:kern w:val="0"/>
                <w:sz w:val="24"/>
                <w:szCs w:val="24"/>
              </w:rPr>
              <w:t>.1</w:t>
            </w:r>
            <w:r w:rsidRPr="00713D42">
              <w:rPr>
                <w:rFonts w:hAnsi="標楷體" w:cs="Arial" w:hint="eastAsia"/>
                <w:kern w:val="0"/>
                <w:sz w:val="24"/>
                <w:szCs w:val="24"/>
              </w:rPr>
              <w:t>0</w:t>
            </w:r>
          </w:p>
        </w:tc>
        <w:tc>
          <w:tcPr>
            <w:tcW w:w="1768" w:type="pct"/>
            <w:shd w:val="clear" w:color="auto" w:fill="auto"/>
            <w:noWrap/>
            <w:vAlign w:val="center"/>
          </w:tcPr>
          <w:p w:rsidR="00372CA7" w:rsidRPr="00713D42" w:rsidRDefault="00372CA7" w:rsidP="00B10A4D">
            <w:pPr>
              <w:widowControl/>
              <w:jc w:val="right"/>
              <w:rPr>
                <w:rFonts w:hAnsi="標楷體" w:cs="Arial"/>
                <w:kern w:val="0"/>
                <w:sz w:val="24"/>
                <w:szCs w:val="24"/>
              </w:rPr>
            </w:pPr>
            <w:r w:rsidRPr="00713D42">
              <w:rPr>
                <w:rFonts w:hAnsi="標楷體" w:cs="Arial" w:hint="eastAsia"/>
                <w:kern w:val="0"/>
                <w:sz w:val="24"/>
                <w:szCs w:val="24"/>
              </w:rPr>
              <w:t>919</w:t>
            </w:r>
          </w:p>
        </w:tc>
        <w:tc>
          <w:tcPr>
            <w:tcW w:w="1769" w:type="pct"/>
            <w:shd w:val="clear" w:color="auto" w:fill="auto"/>
            <w:noWrap/>
            <w:vAlign w:val="center"/>
          </w:tcPr>
          <w:p w:rsidR="00372CA7" w:rsidRPr="00713D42" w:rsidRDefault="00372CA7" w:rsidP="00B10A4D">
            <w:pPr>
              <w:widowControl/>
              <w:jc w:val="right"/>
              <w:rPr>
                <w:rFonts w:hAnsi="標楷體" w:cs="Arial"/>
                <w:kern w:val="0"/>
                <w:sz w:val="24"/>
                <w:szCs w:val="24"/>
              </w:rPr>
            </w:pPr>
            <w:r w:rsidRPr="00713D42">
              <w:rPr>
                <w:rFonts w:hAnsi="標楷體" w:cs="Arial" w:hint="eastAsia"/>
                <w:kern w:val="0"/>
                <w:sz w:val="24"/>
                <w:szCs w:val="24"/>
              </w:rPr>
              <w:t>1,659,204</w:t>
            </w:r>
          </w:p>
        </w:tc>
      </w:tr>
    </w:tbl>
    <w:p w:rsidR="00372CA7" w:rsidRPr="00713D42" w:rsidRDefault="00372CA7" w:rsidP="00372CA7">
      <w:pPr>
        <w:pStyle w:val="5"/>
        <w:numPr>
          <w:ilvl w:val="0"/>
          <w:numId w:val="0"/>
        </w:numPr>
        <w:spacing w:afterLines="50" w:after="220" w:line="240" w:lineRule="exact"/>
        <w:ind w:left="1191" w:firstLineChars="161" w:firstLine="369"/>
        <w:rPr>
          <w:sz w:val="20"/>
          <w:szCs w:val="20"/>
        </w:rPr>
      </w:pPr>
      <w:r w:rsidRPr="00713D42">
        <w:rPr>
          <w:rFonts w:hAnsi="標楷體" w:cs="新細明體"/>
          <w:kern w:val="0"/>
          <w:sz w:val="20"/>
          <w:szCs w:val="20"/>
        </w:rPr>
        <w:t>資料來源：</w:t>
      </w:r>
      <w:r w:rsidRPr="00713D42">
        <w:rPr>
          <w:rFonts w:hAnsi="標楷體" w:cs="新細明體" w:hint="eastAsia"/>
          <w:kern w:val="0"/>
          <w:sz w:val="20"/>
          <w:szCs w:val="20"/>
        </w:rPr>
        <w:t>投審會統計月報。</w:t>
      </w:r>
    </w:p>
    <w:p w:rsidR="00372CA7" w:rsidRPr="00713D42" w:rsidRDefault="00372CA7" w:rsidP="00F6299D">
      <w:pPr>
        <w:pStyle w:val="5"/>
        <w:numPr>
          <w:ilvl w:val="4"/>
          <w:numId w:val="20"/>
        </w:numPr>
        <w:overflowPunct/>
        <w:autoSpaceDE/>
        <w:autoSpaceDN/>
      </w:pPr>
      <w:r w:rsidRPr="00713D42">
        <w:t>我</w:t>
      </w:r>
      <w:r w:rsidRPr="00713D42">
        <w:rPr>
          <w:rFonts w:hint="eastAsia"/>
        </w:rPr>
        <w:t>國赴</w:t>
      </w:r>
      <w:r w:rsidRPr="00713D42">
        <w:t>中國大陸</w:t>
      </w:r>
      <w:r w:rsidRPr="00713D42">
        <w:rPr>
          <w:rFonts w:hint="eastAsia"/>
        </w:rPr>
        <w:t>投資部分:</w:t>
      </w:r>
    </w:p>
    <w:p w:rsidR="00372CA7" w:rsidRPr="00713D42" w:rsidRDefault="00372CA7" w:rsidP="00372CA7">
      <w:pPr>
        <w:pStyle w:val="42"/>
        <w:ind w:left="1745" w:firstLine="698"/>
        <w:rPr>
          <w:shd w:val="clear" w:color="auto" w:fill="FFFFFF"/>
        </w:rPr>
      </w:pPr>
      <w:r w:rsidRPr="00713D42">
        <w:rPr>
          <w:shd w:val="clear" w:color="auto" w:fill="FFFFFF"/>
        </w:rPr>
        <w:t>ECFA服務業早期收穫計畫</w:t>
      </w:r>
      <w:r w:rsidRPr="00713D42">
        <w:rPr>
          <w:rFonts w:hint="eastAsia"/>
          <w:shd w:val="clear" w:color="auto" w:fill="FFFFFF"/>
        </w:rPr>
        <w:t>後，</w:t>
      </w:r>
      <w:r w:rsidRPr="001F5E71">
        <w:rPr>
          <w:shd w:val="clear" w:color="auto" w:fill="FFFFFF"/>
        </w:rPr>
        <w:t>我方赴中國大陸投資</w:t>
      </w:r>
      <w:r w:rsidRPr="001F5E71">
        <w:rPr>
          <w:rFonts w:hint="eastAsia"/>
          <w:shd w:val="clear" w:color="auto" w:fill="FFFFFF"/>
        </w:rPr>
        <w:t>金額詳如表12及圖1</w:t>
      </w:r>
      <w:r w:rsidR="00FD4A0E">
        <w:rPr>
          <w:rFonts w:hint="eastAsia"/>
          <w:shd w:val="clear" w:color="auto" w:fill="FFFFFF"/>
        </w:rPr>
        <w:t>6</w:t>
      </w:r>
      <w:r w:rsidRPr="001F5E71">
        <w:rPr>
          <w:rFonts w:hint="eastAsia"/>
          <w:shd w:val="clear" w:color="auto" w:fill="FFFFFF"/>
        </w:rPr>
        <w:t>，</w:t>
      </w:r>
      <w:r w:rsidRPr="00713D42">
        <w:rPr>
          <w:rFonts w:ascii="Arial" w:hAnsi="Arial" w:cs="Arial" w:hint="eastAsia"/>
        </w:rPr>
        <w:t>金額呈上升趨勢。</w:t>
      </w:r>
    </w:p>
    <w:p w:rsidR="00372CA7" w:rsidRPr="00713D42" w:rsidRDefault="00372CA7" w:rsidP="00372CA7">
      <w:pPr>
        <w:widowControl/>
        <w:ind w:right="55"/>
        <w:jc w:val="right"/>
        <w:rPr>
          <w:rFonts w:hAnsi="標楷體" w:cs="新細明體"/>
          <w:kern w:val="0"/>
          <w:sz w:val="28"/>
          <w:szCs w:val="28"/>
        </w:rPr>
      </w:pPr>
      <w:r w:rsidRPr="00713D42">
        <w:rPr>
          <w:noProof/>
        </w:rPr>
        <w:lastRenderedPageBreak/>
        <w:drawing>
          <wp:inline distT="0" distB="0" distL="0" distR="0" wp14:anchorId="1A68CFA9" wp14:editId="41F34410">
            <wp:extent cx="5038725" cy="2714625"/>
            <wp:effectExtent l="0" t="0" r="0" b="0"/>
            <wp:docPr id="43" name="圖表 4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72CA7" w:rsidRPr="00713D42" w:rsidRDefault="00372CA7" w:rsidP="00372CA7">
      <w:pPr>
        <w:pStyle w:val="5"/>
        <w:numPr>
          <w:ilvl w:val="0"/>
          <w:numId w:val="0"/>
        </w:numPr>
        <w:spacing w:line="240" w:lineRule="exact"/>
        <w:ind w:firstLineChars="432" w:firstLine="989"/>
        <w:rPr>
          <w:sz w:val="20"/>
          <w:szCs w:val="20"/>
        </w:rPr>
      </w:pPr>
      <w:r w:rsidRPr="00713D42">
        <w:rPr>
          <w:rFonts w:hAnsi="標楷體" w:cs="新細明體"/>
          <w:kern w:val="0"/>
          <w:sz w:val="20"/>
          <w:szCs w:val="20"/>
        </w:rPr>
        <w:t>資料來源：</w:t>
      </w:r>
      <w:r w:rsidRPr="00713D42">
        <w:rPr>
          <w:rFonts w:hAnsi="標楷體" w:cs="新細明體" w:hint="eastAsia"/>
          <w:kern w:val="0"/>
          <w:sz w:val="20"/>
          <w:szCs w:val="20"/>
        </w:rPr>
        <w:t>投審會統計月報，經本院整理繪製。</w:t>
      </w:r>
    </w:p>
    <w:p w:rsidR="00372CA7" w:rsidRPr="0084463B" w:rsidRDefault="003B009C" w:rsidP="0084463B">
      <w:pPr>
        <w:pStyle w:val="a3"/>
        <w:rPr>
          <w:b/>
        </w:rPr>
      </w:pPr>
      <w:r>
        <w:rPr>
          <w:rFonts w:hint="eastAsia"/>
          <w:b/>
          <w:w w:val="90"/>
          <w:shd w:val="clear" w:color="auto" w:fill="FFFFFF"/>
        </w:rPr>
        <w:t>我國廠商赴中國大陸</w:t>
      </w:r>
      <w:r w:rsidR="00372CA7" w:rsidRPr="0084463B">
        <w:rPr>
          <w:b/>
          <w:w w:val="90"/>
          <w:shd w:val="clear" w:color="auto" w:fill="FFFFFF"/>
        </w:rPr>
        <w:t>投資情形</w:t>
      </w:r>
    </w:p>
    <w:p w:rsidR="00372CA7" w:rsidRPr="0091577E" w:rsidRDefault="00372CA7" w:rsidP="0091577E">
      <w:pPr>
        <w:pStyle w:val="a5"/>
        <w:ind w:firstLine="12"/>
        <w:jc w:val="center"/>
        <w:rPr>
          <w:b/>
        </w:rPr>
      </w:pPr>
      <w:r w:rsidRPr="0091577E">
        <w:rPr>
          <w:rFonts w:hint="eastAsia"/>
          <w:b/>
        </w:rPr>
        <w:t>歷年核准陸資來臺投資件數與金額</w:t>
      </w:r>
    </w:p>
    <w:p w:rsidR="00372CA7" w:rsidRPr="00713D42" w:rsidRDefault="00372CA7" w:rsidP="00372CA7">
      <w:pPr>
        <w:widowControl/>
        <w:spacing w:line="240" w:lineRule="exact"/>
        <w:ind w:right="57"/>
        <w:jc w:val="right"/>
        <w:rPr>
          <w:rFonts w:hAnsi="標楷體" w:cs="Arial"/>
          <w:kern w:val="0"/>
          <w:sz w:val="20"/>
        </w:rPr>
      </w:pPr>
      <w:r w:rsidRPr="00713D42">
        <w:rPr>
          <w:rFonts w:hAnsi="標楷體" w:cs="Arial" w:hint="eastAsia"/>
          <w:kern w:val="0"/>
          <w:sz w:val="20"/>
        </w:rPr>
        <w:t>單位：千美元；件</w:t>
      </w:r>
    </w:p>
    <w:tbl>
      <w:tblPr>
        <w:tblW w:w="6993" w:type="dxa"/>
        <w:tblInd w:w="1729" w:type="dxa"/>
        <w:tblCellMar>
          <w:left w:w="28" w:type="dxa"/>
          <w:right w:w="28" w:type="dxa"/>
        </w:tblCellMar>
        <w:tblLook w:val="04A0" w:firstRow="1" w:lastRow="0" w:firstColumn="1" w:lastColumn="0" w:noHBand="0" w:noVBand="1"/>
      </w:tblPr>
      <w:tblGrid>
        <w:gridCol w:w="1556"/>
        <w:gridCol w:w="2120"/>
        <w:gridCol w:w="3317"/>
      </w:tblGrid>
      <w:tr w:rsidR="00372CA7" w:rsidRPr="00713D42" w:rsidTr="007E0274">
        <w:trPr>
          <w:trHeight w:val="286"/>
          <w:tblHeader/>
        </w:trPr>
        <w:tc>
          <w:tcPr>
            <w:tcW w:w="15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2CA7" w:rsidRPr="007E0274" w:rsidRDefault="00372CA7" w:rsidP="00B10A4D">
            <w:pPr>
              <w:widowControl/>
              <w:jc w:val="center"/>
              <w:rPr>
                <w:rFonts w:hAnsi="標楷體" w:cs="新細明體"/>
                <w:b/>
                <w:kern w:val="0"/>
                <w:sz w:val="24"/>
                <w:szCs w:val="24"/>
              </w:rPr>
            </w:pPr>
            <w:r w:rsidRPr="007E0274">
              <w:rPr>
                <w:rFonts w:hAnsi="標楷體" w:cs="新細明體" w:hint="eastAsia"/>
                <w:b/>
                <w:kern w:val="0"/>
                <w:sz w:val="24"/>
                <w:szCs w:val="24"/>
              </w:rPr>
              <w:t>年度</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372CA7" w:rsidRPr="007E0274" w:rsidRDefault="00372CA7" w:rsidP="00B10A4D">
            <w:pPr>
              <w:widowControl/>
              <w:jc w:val="center"/>
              <w:rPr>
                <w:rFonts w:hAnsi="標楷體" w:cs="新細明體"/>
                <w:b/>
                <w:kern w:val="0"/>
                <w:sz w:val="24"/>
                <w:szCs w:val="24"/>
              </w:rPr>
            </w:pPr>
            <w:r w:rsidRPr="007E0274">
              <w:rPr>
                <w:rFonts w:hAnsi="標楷體" w:cs="新細明體" w:hint="eastAsia"/>
                <w:b/>
                <w:kern w:val="0"/>
                <w:sz w:val="24"/>
                <w:szCs w:val="24"/>
              </w:rPr>
              <w:t>件    數</w:t>
            </w:r>
          </w:p>
        </w:tc>
        <w:tc>
          <w:tcPr>
            <w:tcW w:w="3317" w:type="dxa"/>
            <w:tcBorders>
              <w:top w:val="single" w:sz="4" w:space="0" w:color="auto"/>
              <w:left w:val="nil"/>
              <w:bottom w:val="single" w:sz="4" w:space="0" w:color="auto"/>
              <w:right w:val="single" w:sz="4" w:space="0" w:color="auto"/>
            </w:tcBorders>
            <w:shd w:val="clear" w:color="auto" w:fill="auto"/>
            <w:noWrap/>
            <w:vAlign w:val="bottom"/>
            <w:hideMark/>
          </w:tcPr>
          <w:p w:rsidR="00372CA7" w:rsidRPr="007E0274" w:rsidRDefault="00372CA7" w:rsidP="00B10A4D">
            <w:pPr>
              <w:widowControl/>
              <w:jc w:val="center"/>
              <w:rPr>
                <w:rFonts w:hAnsi="標楷體" w:cs="新細明體"/>
                <w:b/>
                <w:kern w:val="0"/>
                <w:sz w:val="24"/>
                <w:szCs w:val="24"/>
              </w:rPr>
            </w:pPr>
            <w:r w:rsidRPr="007E0274">
              <w:rPr>
                <w:rFonts w:hAnsi="標楷體" w:cs="新細明體" w:hint="eastAsia"/>
                <w:b/>
                <w:kern w:val="0"/>
                <w:sz w:val="24"/>
                <w:szCs w:val="24"/>
              </w:rPr>
              <w:t>金    額</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89</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840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2,607,142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90</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1,186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2,784,147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91</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1,490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3,858,757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92</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1,837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4,594,985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93</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2,000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6,939,912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94</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1,287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6,002,029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95</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897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7,375,197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96</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779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9,676,420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97</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482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9,843,355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98</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249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6,058,497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99</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518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12,230,146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100</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575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13,100,871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101</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454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10,924,406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102</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440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8,684,904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103</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388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9,829,805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center"/>
            <w:hideMark/>
          </w:tcPr>
          <w:p w:rsidR="00372CA7" w:rsidRPr="00713D42" w:rsidRDefault="00372CA7" w:rsidP="00B10A4D">
            <w:pPr>
              <w:widowControl/>
              <w:jc w:val="center"/>
              <w:rPr>
                <w:rFonts w:hAnsi="標楷體" w:cs="Arial"/>
                <w:kern w:val="0"/>
                <w:sz w:val="24"/>
                <w:szCs w:val="24"/>
              </w:rPr>
            </w:pPr>
            <w:r w:rsidRPr="00713D42">
              <w:rPr>
                <w:rFonts w:hAnsi="標楷體" w:cs="Arial"/>
                <w:kern w:val="0"/>
                <w:sz w:val="24"/>
                <w:szCs w:val="24"/>
              </w:rPr>
              <w:t>104</w:t>
            </w:r>
          </w:p>
        </w:tc>
        <w:tc>
          <w:tcPr>
            <w:tcW w:w="2120"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321 </w:t>
            </w:r>
          </w:p>
        </w:tc>
        <w:tc>
          <w:tcPr>
            <w:tcW w:w="3317" w:type="dxa"/>
            <w:tcBorders>
              <w:top w:val="nil"/>
              <w:left w:val="nil"/>
              <w:bottom w:val="single" w:sz="4" w:space="0" w:color="auto"/>
              <w:right w:val="single" w:sz="4" w:space="0" w:color="auto"/>
            </w:tcBorders>
            <w:shd w:val="clear" w:color="auto" w:fill="auto"/>
            <w:noWrap/>
            <w:vAlign w:val="center"/>
            <w:hideMark/>
          </w:tcPr>
          <w:p w:rsidR="00372CA7" w:rsidRPr="00713D42" w:rsidRDefault="00372CA7" w:rsidP="00B10A4D">
            <w:pPr>
              <w:widowControl/>
              <w:jc w:val="right"/>
              <w:rPr>
                <w:rFonts w:hAnsi="標楷體" w:cs="Arial"/>
                <w:kern w:val="0"/>
                <w:sz w:val="24"/>
                <w:szCs w:val="24"/>
              </w:rPr>
            </w:pPr>
            <w:r w:rsidRPr="00713D42">
              <w:rPr>
                <w:rFonts w:hAnsi="標楷體" w:cs="Arial"/>
                <w:kern w:val="0"/>
                <w:sz w:val="24"/>
                <w:szCs w:val="24"/>
              </w:rPr>
              <w:t xml:space="preserve">10,398,224 </w:t>
            </w:r>
          </w:p>
        </w:tc>
      </w:tr>
      <w:tr w:rsidR="00372CA7" w:rsidRPr="00713D42" w:rsidTr="00B10A4D">
        <w:trPr>
          <w:trHeight w:val="286"/>
        </w:trPr>
        <w:tc>
          <w:tcPr>
            <w:tcW w:w="1556" w:type="dxa"/>
            <w:tcBorders>
              <w:top w:val="nil"/>
              <w:left w:val="single" w:sz="4" w:space="0" w:color="auto"/>
              <w:bottom w:val="single" w:sz="4" w:space="0" w:color="auto"/>
              <w:right w:val="single" w:sz="4" w:space="0" w:color="auto"/>
            </w:tcBorders>
            <w:shd w:val="clear" w:color="auto" w:fill="auto"/>
            <w:noWrap/>
            <w:vAlign w:val="bottom"/>
            <w:hideMark/>
          </w:tcPr>
          <w:p w:rsidR="00372CA7" w:rsidRPr="00713D42" w:rsidRDefault="00372CA7" w:rsidP="00B10A4D">
            <w:pPr>
              <w:widowControl/>
              <w:jc w:val="center"/>
              <w:rPr>
                <w:rFonts w:hAnsi="標楷體" w:cs="新細明體"/>
                <w:kern w:val="0"/>
                <w:sz w:val="24"/>
                <w:szCs w:val="24"/>
              </w:rPr>
            </w:pPr>
            <w:r w:rsidRPr="00713D42">
              <w:rPr>
                <w:rFonts w:hAnsi="標楷體" w:cs="新細明體" w:hint="eastAsia"/>
                <w:kern w:val="0"/>
                <w:sz w:val="24"/>
                <w:szCs w:val="24"/>
              </w:rPr>
              <w:t>合計</w:t>
            </w:r>
          </w:p>
        </w:tc>
        <w:tc>
          <w:tcPr>
            <w:tcW w:w="2120" w:type="dxa"/>
            <w:tcBorders>
              <w:top w:val="nil"/>
              <w:left w:val="nil"/>
              <w:bottom w:val="single" w:sz="4" w:space="0" w:color="auto"/>
              <w:right w:val="single" w:sz="4" w:space="0" w:color="auto"/>
            </w:tcBorders>
            <w:shd w:val="clear" w:color="auto" w:fill="auto"/>
            <w:noWrap/>
            <w:vAlign w:val="bottom"/>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 xml:space="preserve">13,743 </w:t>
            </w:r>
          </w:p>
        </w:tc>
        <w:tc>
          <w:tcPr>
            <w:tcW w:w="3317" w:type="dxa"/>
            <w:tcBorders>
              <w:top w:val="nil"/>
              <w:left w:val="nil"/>
              <w:bottom w:val="single" w:sz="4" w:space="0" w:color="auto"/>
              <w:right w:val="single" w:sz="4" w:space="0" w:color="auto"/>
            </w:tcBorders>
            <w:shd w:val="clear" w:color="auto" w:fill="auto"/>
            <w:noWrap/>
            <w:vAlign w:val="bottom"/>
            <w:hideMark/>
          </w:tcPr>
          <w:p w:rsidR="00372CA7" w:rsidRPr="00713D42" w:rsidRDefault="00372CA7" w:rsidP="00B10A4D">
            <w:pPr>
              <w:widowControl/>
              <w:jc w:val="right"/>
              <w:rPr>
                <w:rFonts w:hAnsi="標楷體" w:cs="新細明體"/>
                <w:kern w:val="0"/>
                <w:sz w:val="24"/>
                <w:szCs w:val="24"/>
              </w:rPr>
            </w:pPr>
            <w:r w:rsidRPr="00713D42">
              <w:rPr>
                <w:rFonts w:hAnsi="標楷體" w:cs="新細明體" w:hint="eastAsia"/>
                <w:kern w:val="0"/>
                <w:sz w:val="24"/>
                <w:szCs w:val="24"/>
              </w:rPr>
              <w:t xml:space="preserve">124,908,798 </w:t>
            </w:r>
          </w:p>
        </w:tc>
      </w:tr>
    </w:tbl>
    <w:p w:rsidR="00372CA7" w:rsidRPr="00713D42" w:rsidRDefault="00372CA7" w:rsidP="00372CA7">
      <w:pPr>
        <w:widowControl/>
        <w:spacing w:afterLines="50" w:after="220" w:line="240" w:lineRule="exact"/>
        <w:ind w:right="68" w:firstLineChars="742" w:firstLine="1699"/>
        <w:rPr>
          <w:sz w:val="20"/>
        </w:rPr>
      </w:pPr>
      <w:r w:rsidRPr="00713D42">
        <w:rPr>
          <w:rFonts w:hAnsi="標楷體" w:cs="新細明體"/>
          <w:kern w:val="0"/>
          <w:sz w:val="20"/>
        </w:rPr>
        <w:t>資料來源：</w:t>
      </w:r>
      <w:r w:rsidRPr="00713D42">
        <w:rPr>
          <w:rFonts w:hAnsi="標楷體" w:cs="新細明體" w:hint="eastAsia"/>
          <w:kern w:val="0"/>
          <w:sz w:val="20"/>
        </w:rPr>
        <w:t>投審會</w:t>
      </w:r>
    </w:p>
    <w:p w:rsidR="00372CA7" w:rsidRPr="00713D42" w:rsidRDefault="00372CA7" w:rsidP="00E70B9B">
      <w:pPr>
        <w:pStyle w:val="4"/>
        <w:numPr>
          <w:ilvl w:val="0"/>
          <w:numId w:val="0"/>
        </w:numPr>
        <w:spacing w:line="480" w:lineRule="exact"/>
        <w:ind w:left="1191" w:firstLineChars="227" w:firstLine="792"/>
        <w:rPr>
          <w:noProof/>
          <w:lang w:bidi="he-IL"/>
        </w:rPr>
      </w:pPr>
      <w:r w:rsidRPr="00713D42">
        <w:rPr>
          <w:rFonts w:hint="eastAsia"/>
          <w:noProof/>
          <w:lang w:bidi="he-IL"/>
        </w:rPr>
        <w:t>由上可知，我國與中國大陸簽定之ECFA及</w:t>
      </w:r>
      <w:r w:rsidRPr="00713D42">
        <w:t>ECFA早期收穫計畫</w:t>
      </w:r>
      <w:r w:rsidRPr="00713D42">
        <w:rPr>
          <w:rFonts w:hint="eastAsia"/>
        </w:rPr>
        <w:t>後，經投審會核准之金額有呈上升之趨勢</w:t>
      </w:r>
      <w:r w:rsidRPr="00713D42">
        <w:rPr>
          <w:rFonts w:hint="eastAsia"/>
          <w:noProof/>
          <w:lang w:bidi="he-IL"/>
        </w:rPr>
        <w:t>，然與其他國家簽定之自由貿易協定，該等協</w:t>
      </w:r>
      <w:r w:rsidRPr="00713D42">
        <w:rPr>
          <w:rFonts w:hint="eastAsia"/>
          <w:noProof/>
          <w:lang w:bidi="he-IL"/>
        </w:rPr>
        <w:lastRenderedPageBreak/>
        <w:t>議之簽定，並未使雙方投資增加，因協議之簽定，多需要長期之折衝協調，然並未對雙方投資產生正效益，是以，行政院允應檢討問題之所在相關協議之精神，</w:t>
      </w:r>
    </w:p>
    <w:p w:rsidR="00372CA7" w:rsidRPr="00713D42" w:rsidRDefault="00372CA7" w:rsidP="00E70B9B">
      <w:pPr>
        <w:pStyle w:val="3"/>
        <w:numPr>
          <w:ilvl w:val="2"/>
          <w:numId w:val="20"/>
        </w:numPr>
        <w:overflowPunct/>
        <w:autoSpaceDE/>
        <w:autoSpaceDN/>
        <w:spacing w:line="480" w:lineRule="exact"/>
        <w:rPr>
          <w:noProof/>
          <w:lang w:bidi="he-IL"/>
        </w:rPr>
      </w:pPr>
      <w:bookmarkStart w:id="113" w:name="_Toc470099690"/>
      <w:r w:rsidRPr="00713D42">
        <w:rPr>
          <w:rFonts w:hint="eastAsia"/>
          <w:noProof/>
          <w:lang w:bidi="he-IL"/>
        </w:rPr>
        <w:t>推動中之區域經濟整合:</w:t>
      </w:r>
      <w:bookmarkEnd w:id="113"/>
    </w:p>
    <w:p w:rsidR="00372CA7" w:rsidRPr="00713D42" w:rsidRDefault="00372CA7" w:rsidP="00E70B9B">
      <w:pPr>
        <w:pStyle w:val="4"/>
        <w:numPr>
          <w:ilvl w:val="3"/>
          <w:numId w:val="20"/>
        </w:numPr>
        <w:overflowPunct/>
        <w:autoSpaceDE/>
        <w:autoSpaceDN/>
        <w:spacing w:line="480" w:lineRule="exact"/>
        <w:rPr>
          <w:noProof/>
          <w:lang w:bidi="he-IL"/>
        </w:rPr>
      </w:pPr>
      <w:r w:rsidRPr="00713D42">
        <w:rPr>
          <w:rFonts w:hint="eastAsia"/>
        </w:rPr>
        <w:t>我國已將加入TPP、RCEP列為當前重大經貿政策，然自從川普當選美國總統後，是否繼續推動TPP已存在極大之不確定性，R</w:t>
      </w:r>
      <w:r w:rsidR="00E30310" w:rsidRPr="00713D42">
        <w:rPr>
          <w:rFonts w:hint="eastAsia"/>
        </w:rPr>
        <w:t>C</w:t>
      </w:r>
      <w:r w:rsidRPr="00713D42">
        <w:rPr>
          <w:rFonts w:hint="eastAsia"/>
        </w:rPr>
        <w:t>EP則是中國大陸主導，在目前兩岸緊張關係下，也將面臨極大不確定下，因此積極與重要經貿夥伴洽簽雙邊FTA係相對可行之路，但</w:t>
      </w:r>
      <w:r w:rsidRPr="00713D42">
        <w:t>在</w:t>
      </w:r>
      <w:r w:rsidRPr="00713D42">
        <w:rPr>
          <w:rFonts w:hint="eastAsia"/>
        </w:rPr>
        <w:t>國際政治現實下，</w:t>
      </w:r>
      <w:r w:rsidRPr="00713D42">
        <w:t>我國</w:t>
      </w:r>
      <w:r w:rsidRPr="00713D42">
        <w:rPr>
          <w:rFonts w:hint="eastAsia"/>
        </w:rPr>
        <w:t>參與區域經濟整合確實面臨顯著阻礙。政府近來基此，</w:t>
      </w:r>
      <w:r w:rsidRPr="00713D42">
        <w:t>透過</w:t>
      </w:r>
      <w:r w:rsidRPr="00713D42">
        <w:rPr>
          <w:rFonts w:hint="eastAsia"/>
        </w:rPr>
        <w:t>洽簽</w:t>
      </w:r>
      <w:r w:rsidRPr="00713D42">
        <w:t>投資</w:t>
      </w:r>
      <w:r w:rsidRPr="00713D42">
        <w:rPr>
          <w:rFonts w:hint="eastAsia"/>
        </w:rPr>
        <w:t>協定、租稅協定等功能別</w:t>
      </w:r>
      <w:r w:rsidRPr="00713D42">
        <w:t>協定，</w:t>
      </w:r>
      <w:r w:rsidRPr="00713D42">
        <w:rPr>
          <w:rFonts w:hint="eastAsia"/>
        </w:rPr>
        <w:t>以「堆積木」策略</w:t>
      </w:r>
      <w:r w:rsidRPr="00713D42">
        <w:t>，</w:t>
      </w:r>
      <w:r w:rsidRPr="00713D42">
        <w:rPr>
          <w:rFonts w:hint="eastAsia"/>
        </w:rPr>
        <w:t>亦將有利於創造我國吸引外人投資之經貿環境。有鑑於此，我國應加快建構我國參與區域整合的腳步，並搭配國內相關法規的鬆綁，吸引更多臺商回流或是吸引更多外商將臺灣做為拓展國際市場的試驗地，強化我國做為全球供應鏈的重要性。</w:t>
      </w:r>
    </w:p>
    <w:p w:rsidR="00372CA7" w:rsidRPr="00713D42" w:rsidRDefault="00372CA7" w:rsidP="00E70B9B">
      <w:pPr>
        <w:pStyle w:val="4"/>
        <w:numPr>
          <w:ilvl w:val="3"/>
          <w:numId w:val="20"/>
        </w:numPr>
        <w:overflowPunct/>
        <w:autoSpaceDE/>
        <w:autoSpaceDN/>
        <w:spacing w:line="480" w:lineRule="exact"/>
      </w:pPr>
      <w:bookmarkStart w:id="114" w:name="OLE_LINK16"/>
      <w:bookmarkStart w:id="115" w:name="OLE_LINK17"/>
      <w:r w:rsidRPr="00713D42">
        <w:rPr>
          <w:rFonts w:hint="eastAsia"/>
        </w:rPr>
        <w:t>推動南向政策:</w:t>
      </w:r>
    </w:p>
    <w:p w:rsidR="00372CA7" w:rsidRPr="00713D42" w:rsidRDefault="00372CA7" w:rsidP="00E70B9B">
      <w:pPr>
        <w:pStyle w:val="5"/>
        <w:numPr>
          <w:ilvl w:val="4"/>
          <w:numId w:val="20"/>
        </w:numPr>
        <w:overflowPunct/>
        <w:autoSpaceDE/>
        <w:autoSpaceDN/>
        <w:spacing w:line="480" w:lineRule="exact"/>
      </w:pPr>
      <w:r w:rsidRPr="00713D42">
        <w:rPr>
          <w:rFonts w:hint="eastAsia"/>
        </w:rPr>
        <w:t>行政院依據總統於105年8月16日召開之對外經貿戰略會談，通過之「新南向政策」政策綱領，於105年9月5日提出「新南向政策推動計畫」。</w:t>
      </w:r>
    </w:p>
    <w:p w:rsidR="00372CA7" w:rsidRPr="00713D42" w:rsidRDefault="00372CA7" w:rsidP="00E70B9B">
      <w:pPr>
        <w:pStyle w:val="5"/>
        <w:numPr>
          <w:ilvl w:val="4"/>
          <w:numId w:val="20"/>
        </w:numPr>
        <w:overflowPunct/>
        <w:autoSpaceDE/>
        <w:autoSpaceDN/>
        <w:spacing w:line="480" w:lineRule="exact"/>
      </w:pPr>
      <w:r w:rsidRPr="00713D42">
        <w:rPr>
          <w:rFonts w:hint="eastAsia"/>
        </w:rPr>
        <w:t>計畫推動係由行政院經貿談判辦公室負責政策協調及推動執行，工作主軸：</w:t>
      </w:r>
    </w:p>
    <w:p w:rsidR="00372CA7" w:rsidRPr="00713D42" w:rsidRDefault="00372CA7" w:rsidP="00E70B9B">
      <w:pPr>
        <w:pStyle w:val="6"/>
        <w:numPr>
          <w:ilvl w:val="5"/>
          <w:numId w:val="20"/>
        </w:numPr>
        <w:overflowPunct/>
        <w:autoSpaceDE/>
        <w:autoSpaceDN/>
        <w:spacing w:line="480" w:lineRule="exact"/>
      </w:pPr>
      <w:r w:rsidRPr="00713D42">
        <w:rPr>
          <w:rFonts w:hint="eastAsia"/>
        </w:rPr>
        <w:tab/>
        <w:t>經貿合作:</w:t>
      </w:r>
    </w:p>
    <w:p w:rsidR="00372CA7" w:rsidRPr="00713D42" w:rsidRDefault="00372CA7" w:rsidP="00E70B9B">
      <w:pPr>
        <w:pStyle w:val="7"/>
        <w:numPr>
          <w:ilvl w:val="6"/>
          <w:numId w:val="20"/>
        </w:numPr>
        <w:overflowPunct/>
        <w:autoSpaceDE/>
        <w:autoSpaceDN/>
        <w:spacing w:line="480" w:lineRule="exact"/>
      </w:pPr>
      <w:r w:rsidRPr="00713D42">
        <w:rPr>
          <w:rFonts w:hint="eastAsia"/>
        </w:rPr>
        <w:tab/>
        <w:t>產業價值鏈整合：針對當地產業能量與需求，強化具競爭優勢產業與各國供應鏈</w:t>
      </w:r>
      <w:r w:rsidRPr="00713D42">
        <w:rPr>
          <w:rFonts w:hint="eastAsia"/>
        </w:rPr>
        <w:lastRenderedPageBreak/>
        <w:t>之結合，如由五大創新產業切入，輔導電子收費-ETC、智慧醫療、智慧校園等物聯網系統輸出；成立臺灣窗口，連結在地資源，協助臺商在地群聚布局，成立新南向經貿拓展單一窗口，扮演「尋找、開創、整合、促成」雙邊貿易機會之平臺。</w:t>
      </w:r>
    </w:p>
    <w:p w:rsidR="00372CA7" w:rsidRPr="00713D42" w:rsidRDefault="00372CA7" w:rsidP="00E70B9B">
      <w:pPr>
        <w:pStyle w:val="7"/>
        <w:numPr>
          <w:ilvl w:val="6"/>
          <w:numId w:val="20"/>
        </w:numPr>
        <w:overflowPunct/>
        <w:autoSpaceDE/>
        <w:autoSpaceDN/>
        <w:spacing w:line="480" w:lineRule="exact"/>
      </w:pPr>
      <w:r w:rsidRPr="00713D42">
        <w:rPr>
          <w:rFonts w:hint="eastAsia"/>
        </w:rPr>
        <w:tab/>
        <w:t>內需市場連結：善用跨境電商搭配實體通路，拓銷優質平價消費商品，推動教育、健康、醫療、餐飲等新興服務產業輸出，並型塑臺灣產業品牌形象。</w:t>
      </w:r>
    </w:p>
    <w:p w:rsidR="00372CA7" w:rsidRPr="00713D42" w:rsidRDefault="00372CA7" w:rsidP="00E70B9B">
      <w:pPr>
        <w:pStyle w:val="7"/>
        <w:numPr>
          <w:ilvl w:val="6"/>
          <w:numId w:val="20"/>
        </w:numPr>
        <w:overflowPunct/>
        <w:autoSpaceDE/>
        <w:autoSpaceDN/>
        <w:spacing w:line="480" w:lineRule="exact"/>
      </w:pPr>
      <w:r w:rsidRPr="00713D42">
        <w:rPr>
          <w:rFonts w:hint="eastAsia"/>
        </w:rPr>
        <w:tab/>
        <w:t>基建工程合作：成立基礎建設及整廠輸出之海外輸出協作平臺，籌組電廠、石化、環保等基礎建設輸出旗艦團隊，尋求與第三國廠商策略聯盟。</w:t>
      </w:r>
    </w:p>
    <w:p w:rsidR="00372CA7" w:rsidRPr="00713D42" w:rsidRDefault="00372CA7" w:rsidP="00E70B9B">
      <w:pPr>
        <w:pStyle w:val="6"/>
        <w:numPr>
          <w:ilvl w:val="5"/>
          <w:numId w:val="20"/>
        </w:numPr>
        <w:overflowPunct/>
        <w:autoSpaceDE/>
        <w:autoSpaceDN/>
        <w:spacing w:line="480" w:lineRule="exact"/>
      </w:pPr>
      <w:r w:rsidRPr="00713D42">
        <w:rPr>
          <w:rFonts w:hint="eastAsia"/>
        </w:rPr>
        <w:tab/>
        <w:t>人才交流:</w:t>
      </w:r>
    </w:p>
    <w:p w:rsidR="00372CA7" w:rsidRPr="00713D42" w:rsidRDefault="00372CA7" w:rsidP="00E70B9B">
      <w:pPr>
        <w:pStyle w:val="7"/>
        <w:numPr>
          <w:ilvl w:val="6"/>
          <w:numId w:val="20"/>
        </w:numPr>
        <w:overflowPunct/>
        <w:autoSpaceDE/>
        <w:autoSpaceDN/>
        <w:spacing w:line="480" w:lineRule="exact"/>
      </w:pPr>
      <w:r w:rsidRPr="00713D42">
        <w:rPr>
          <w:rFonts w:hint="eastAsia"/>
        </w:rPr>
        <w:tab/>
        <w:t>教育深耕：擴編臺灣獎學金，吸引東協及南亞學生；配合國內產業需求，建立「產學合作專班」、「外國青年技術訓練班」，並提供學成後媒合就業；鼓勵大學校院赴海外開設分校或專班，或開辦先修銜接教育課程；推動國中小新住民語文教學，鼓勵大學校院強化東南亞語言及區域貿易人才培育。</w:t>
      </w:r>
    </w:p>
    <w:p w:rsidR="00372CA7" w:rsidRPr="00713D42" w:rsidRDefault="00372CA7" w:rsidP="00E70B9B">
      <w:pPr>
        <w:pStyle w:val="7"/>
        <w:numPr>
          <w:ilvl w:val="6"/>
          <w:numId w:val="20"/>
        </w:numPr>
        <w:overflowPunct/>
        <w:autoSpaceDE/>
        <w:autoSpaceDN/>
        <w:spacing w:line="480" w:lineRule="exact"/>
      </w:pPr>
      <w:r w:rsidRPr="00713D42">
        <w:rPr>
          <w:rFonts w:hint="eastAsia"/>
        </w:rPr>
        <w:tab/>
        <w:t>產業人力：針對來臺從事專門性或技術性工作的外籍移工，研議建立評點制度，符合條件者可延長居留年限，並鼓勵參與技職培訓與報考證照；強化雙向專業人力交流，確保赴外工作人員回臺社福保障之銜接，並簡化來臺申辦程序，強化人才供</w:t>
      </w:r>
      <w:r w:rsidRPr="00713D42">
        <w:rPr>
          <w:rFonts w:hint="eastAsia"/>
        </w:rPr>
        <w:lastRenderedPageBreak/>
        <w:t>需媒合，協助國內企業尋才。</w:t>
      </w:r>
    </w:p>
    <w:p w:rsidR="00372CA7" w:rsidRPr="00713D42" w:rsidRDefault="00372CA7" w:rsidP="00E70B9B">
      <w:pPr>
        <w:pStyle w:val="7"/>
        <w:numPr>
          <w:ilvl w:val="6"/>
          <w:numId w:val="20"/>
        </w:numPr>
        <w:overflowPunct/>
        <w:autoSpaceDE/>
        <w:autoSpaceDN/>
        <w:spacing w:line="480" w:lineRule="exact"/>
      </w:pPr>
      <w:r w:rsidRPr="00713D42">
        <w:rPr>
          <w:rFonts w:hint="eastAsia"/>
        </w:rPr>
        <w:tab/>
        <w:t>新住民力量發揮：協助第一代新住民利用其語言及文化之優勢，取得相關證照與就業（如母語教學、觀光等）；鼓勵大專院校開設南向專業科系或學程，給予具南向語言優勢的學生加分錄取機會，培育第二代新住民為南向種籽。</w:t>
      </w:r>
    </w:p>
    <w:p w:rsidR="00372CA7" w:rsidRPr="00713D42" w:rsidRDefault="00372CA7" w:rsidP="00E70B9B">
      <w:pPr>
        <w:pStyle w:val="6"/>
        <w:numPr>
          <w:ilvl w:val="5"/>
          <w:numId w:val="20"/>
        </w:numPr>
        <w:overflowPunct/>
        <w:autoSpaceDE/>
        <w:autoSpaceDN/>
        <w:spacing w:line="480" w:lineRule="exact"/>
      </w:pPr>
      <w:r w:rsidRPr="00713D42">
        <w:rPr>
          <w:rFonts w:hint="eastAsia"/>
        </w:rPr>
        <w:tab/>
        <w:t>資源共享:</w:t>
      </w:r>
    </w:p>
    <w:p w:rsidR="00372CA7" w:rsidRPr="00713D42" w:rsidRDefault="00372CA7" w:rsidP="00E70B9B">
      <w:pPr>
        <w:pStyle w:val="7"/>
        <w:numPr>
          <w:ilvl w:val="6"/>
          <w:numId w:val="20"/>
        </w:numPr>
        <w:overflowPunct/>
        <w:autoSpaceDE/>
        <w:autoSpaceDN/>
        <w:spacing w:line="480" w:lineRule="exact"/>
      </w:pPr>
      <w:r w:rsidRPr="00713D42">
        <w:rPr>
          <w:rFonts w:hint="eastAsia"/>
        </w:rPr>
        <w:tab/>
        <w:t>醫療：促進與東協、南亞及紐澳國家醫藥雙邊認證、新藥及醫材開發合作；協助東協及南亞國家培育醫療衛生人才。</w:t>
      </w:r>
    </w:p>
    <w:p w:rsidR="00372CA7" w:rsidRPr="00713D42" w:rsidRDefault="00372CA7" w:rsidP="00E70B9B">
      <w:pPr>
        <w:pStyle w:val="7"/>
        <w:numPr>
          <w:ilvl w:val="6"/>
          <w:numId w:val="20"/>
        </w:numPr>
        <w:overflowPunct/>
        <w:autoSpaceDE/>
        <w:autoSpaceDN/>
        <w:spacing w:line="480" w:lineRule="exact"/>
      </w:pPr>
      <w:r w:rsidRPr="00713D42">
        <w:rPr>
          <w:rFonts w:hint="eastAsia"/>
        </w:rPr>
        <w:tab/>
        <w:t>文化：藉由影視、廣播、線上遊戲，行銷臺灣文化品牌；鼓勵地方政府與東協、南亞及紐澳國家，進行城市交流與合作。</w:t>
      </w:r>
    </w:p>
    <w:p w:rsidR="00372CA7" w:rsidRPr="00713D42" w:rsidRDefault="00372CA7" w:rsidP="00E70B9B">
      <w:pPr>
        <w:pStyle w:val="7"/>
        <w:numPr>
          <w:ilvl w:val="6"/>
          <w:numId w:val="20"/>
        </w:numPr>
        <w:overflowPunct/>
        <w:autoSpaceDE/>
        <w:autoSpaceDN/>
        <w:spacing w:line="480" w:lineRule="exact"/>
      </w:pPr>
      <w:r w:rsidRPr="00713D42">
        <w:rPr>
          <w:rFonts w:hint="eastAsia"/>
        </w:rPr>
        <w:tab/>
        <w:t>觀光：放寬東協及南亞國家來臺觀光簽證；多元宣傳觀光，提高導遊質量，建立穆斯林旅遊之友善環境。</w:t>
      </w:r>
    </w:p>
    <w:p w:rsidR="00372CA7" w:rsidRPr="00713D42" w:rsidRDefault="00372CA7" w:rsidP="00E70B9B">
      <w:pPr>
        <w:pStyle w:val="7"/>
        <w:numPr>
          <w:ilvl w:val="6"/>
          <w:numId w:val="20"/>
        </w:numPr>
        <w:overflowPunct/>
        <w:autoSpaceDE/>
        <w:autoSpaceDN/>
        <w:spacing w:line="480" w:lineRule="exact"/>
      </w:pPr>
      <w:r w:rsidRPr="00713D42">
        <w:rPr>
          <w:rFonts w:hint="eastAsia"/>
        </w:rPr>
        <w:tab/>
        <w:t>科技：建置科技交流平臺，強化科學園區及法人跨國鏈結，推動智慧災防等技術交流。</w:t>
      </w:r>
    </w:p>
    <w:p w:rsidR="00372CA7" w:rsidRPr="00713D42" w:rsidRDefault="00372CA7" w:rsidP="00E70B9B">
      <w:pPr>
        <w:pStyle w:val="7"/>
        <w:numPr>
          <w:ilvl w:val="6"/>
          <w:numId w:val="20"/>
        </w:numPr>
        <w:overflowPunct/>
        <w:autoSpaceDE/>
        <w:autoSpaceDN/>
        <w:spacing w:line="480" w:lineRule="exact"/>
      </w:pPr>
      <w:r w:rsidRPr="00713D42">
        <w:rPr>
          <w:rFonts w:hint="eastAsia"/>
        </w:rPr>
        <w:tab/>
        <w:t>農業：成立「台灣國際農業開發(股)公司」，以國家品牌擴展海外市場；提供農技協助，推廣生物性資材及農機具，提升夥伴國經營能力。</w:t>
      </w:r>
    </w:p>
    <w:p w:rsidR="00372CA7" w:rsidRPr="00713D42" w:rsidRDefault="00372CA7" w:rsidP="00E70B9B">
      <w:pPr>
        <w:pStyle w:val="6"/>
        <w:numPr>
          <w:ilvl w:val="5"/>
          <w:numId w:val="20"/>
        </w:numPr>
        <w:overflowPunct/>
        <w:autoSpaceDE/>
        <w:autoSpaceDN/>
        <w:spacing w:line="480" w:lineRule="exact"/>
      </w:pPr>
      <w:r w:rsidRPr="00713D42">
        <w:rPr>
          <w:rFonts w:hint="eastAsia"/>
        </w:rPr>
        <w:tab/>
        <w:t>區域鏈結:</w:t>
      </w:r>
    </w:p>
    <w:p w:rsidR="00372CA7" w:rsidRPr="00713D42" w:rsidRDefault="00372CA7" w:rsidP="00E70B9B">
      <w:pPr>
        <w:pStyle w:val="7"/>
        <w:numPr>
          <w:ilvl w:val="6"/>
          <w:numId w:val="20"/>
        </w:numPr>
        <w:overflowPunct/>
        <w:autoSpaceDE/>
        <w:autoSpaceDN/>
        <w:spacing w:line="480" w:lineRule="exact"/>
      </w:pPr>
      <w:r w:rsidRPr="00713D42">
        <w:rPr>
          <w:rFonts w:hint="eastAsia"/>
        </w:rPr>
        <w:tab/>
        <w:t>區域整合：積極和東協主要貿易夥伴與印度洽簽ECA或個別經濟合作項目；更新及強化已簽訂的雙邊投資及租稅協定，並建立重大事件預警及應變機制，有效掌握</w:t>
      </w:r>
      <w:r w:rsidRPr="00713D42">
        <w:rPr>
          <w:rFonts w:hint="eastAsia"/>
        </w:rPr>
        <w:lastRenderedPageBreak/>
        <w:t>可能風險。</w:t>
      </w:r>
    </w:p>
    <w:p w:rsidR="00372CA7" w:rsidRPr="00713D42" w:rsidRDefault="00372CA7" w:rsidP="00E70B9B">
      <w:pPr>
        <w:pStyle w:val="7"/>
        <w:numPr>
          <w:ilvl w:val="6"/>
          <w:numId w:val="20"/>
        </w:numPr>
        <w:overflowPunct/>
        <w:autoSpaceDE/>
        <w:autoSpaceDN/>
        <w:spacing w:line="480" w:lineRule="exact"/>
      </w:pPr>
      <w:r w:rsidRPr="00713D42">
        <w:rPr>
          <w:rFonts w:hint="eastAsia"/>
        </w:rPr>
        <w:tab/>
        <w:t>協商對話：推動與東協、南亞及紐澳進行多層次、全方位的協定與對話，並於適當時機和對岸就相關議題及合作事項，展開對話及協商。</w:t>
      </w:r>
    </w:p>
    <w:p w:rsidR="00372CA7" w:rsidRPr="00713D42" w:rsidRDefault="00372CA7" w:rsidP="00E70B9B">
      <w:pPr>
        <w:pStyle w:val="7"/>
        <w:numPr>
          <w:ilvl w:val="6"/>
          <w:numId w:val="20"/>
        </w:numPr>
        <w:overflowPunct/>
        <w:autoSpaceDE/>
        <w:autoSpaceDN/>
        <w:spacing w:line="480" w:lineRule="exact"/>
      </w:pPr>
      <w:r w:rsidRPr="00713D42">
        <w:rPr>
          <w:rFonts w:hint="eastAsia"/>
        </w:rPr>
        <w:tab/>
        <w:t>策略聯盟：調整援外資源配置，完善援外推動機制，擴大業者參與當地國經建計畫；與第三國(如日本、新加坡)協力進軍東協、南亞及紐澳市場，並強化與民間企業及NGO團體合作。</w:t>
      </w:r>
    </w:p>
    <w:p w:rsidR="00372CA7" w:rsidRPr="00713D42" w:rsidRDefault="00372CA7" w:rsidP="00E70B9B">
      <w:pPr>
        <w:pStyle w:val="7"/>
        <w:numPr>
          <w:ilvl w:val="6"/>
          <w:numId w:val="20"/>
        </w:numPr>
        <w:overflowPunct/>
        <w:autoSpaceDE/>
        <w:autoSpaceDN/>
        <w:spacing w:line="480" w:lineRule="exact"/>
      </w:pPr>
      <w:r w:rsidRPr="00713D42">
        <w:rPr>
          <w:rFonts w:hint="eastAsia"/>
        </w:rPr>
        <w:t>僑民網絡：建立僑民資料庫與交流平臺(包括：留臺畢業生、當地臺商、僑民)；善用在地僑商及臺商經貿網絡，強化與臺灣企業的連結。</w:t>
      </w:r>
    </w:p>
    <w:bookmarkEnd w:id="114"/>
    <w:bookmarkEnd w:id="115"/>
    <w:p w:rsidR="00372CA7" w:rsidRPr="00713D42" w:rsidRDefault="00372CA7" w:rsidP="00E70B9B">
      <w:pPr>
        <w:pStyle w:val="4"/>
        <w:numPr>
          <w:ilvl w:val="0"/>
          <w:numId w:val="0"/>
        </w:numPr>
        <w:spacing w:line="480" w:lineRule="exact"/>
        <w:ind w:left="1418" w:firstLineChars="203" w:firstLine="708"/>
        <w:rPr>
          <w:rFonts w:hAnsi="標楷體"/>
          <w:bCs/>
          <w:kern w:val="0"/>
          <w:szCs w:val="32"/>
        </w:rPr>
      </w:pPr>
      <w:r w:rsidRPr="00713D42">
        <w:rPr>
          <w:rFonts w:hint="eastAsia"/>
        </w:rPr>
        <w:t>我國受限於中國大陸的國際打壓，加入區域經濟整合進展非常有限，新政府已籌畫新南向政策多時，亦已提出推動計畫，雖可預期官方管道拓展將遭遇壓力，然我國不可坐以待斃，行政院除應統合各部會加速推展外，亦應積極籌謀各種策略</w:t>
      </w:r>
      <w:r w:rsidRPr="00713D42">
        <w:rPr>
          <w:rFonts w:hAnsi="標楷體" w:hint="eastAsia"/>
        </w:rPr>
        <w:t>，並統合</w:t>
      </w:r>
      <w:r w:rsidRPr="00713D42">
        <w:rPr>
          <w:rFonts w:hint="eastAsia"/>
        </w:rPr>
        <w:t>各部會資源作較一致性之拓展，以使我國在各項區域經濟整合無法拓展之時，尚有其他策略可發揮</w:t>
      </w:r>
      <w:r w:rsidRPr="00713D42">
        <w:rPr>
          <w:rFonts w:hAnsi="標楷體" w:hint="eastAsia"/>
          <w:bCs/>
          <w:kern w:val="0"/>
          <w:szCs w:val="32"/>
        </w:rPr>
        <w:t>功能。</w:t>
      </w:r>
    </w:p>
    <w:p w:rsidR="00372CA7" w:rsidRPr="00713D42" w:rsidRDefault="00372CA7" w:rsidP="00E70B9B">
      <w:pPr>
        <w:pStyle w:val="3"/>
        <w:numPr>
          <w:ilvl w:val="2"/>
          <w:numId w:val="20"/>
        </w:numPr>
        <w:overflowPunct/>
        <w:autoSpaceDE/>
        <w:autoSpaceDN/>
        <w:spacing w:line="480" w:lineRule="exact"/>
        <w:rPr>
          <w:rFonts w:hAnsi="標楷體"/>
          <w:szCs w:val="32"/>
        </w:rPr>
      </w:pPr>
      <w:bookmarkStart w:id="116" w:name="_Toc469271800"/>
      <w:bookmarkStart w:id="117" w:name="_Toc470099691"/>
      <w:r w:rsidRPr="00713D42">
        <w:rPr>
          <w:rFonts w:hAnsi="標楷體" w:hint="eastAsia"/>
          <w:szCs w:val="32"/>
        </w:rPr>
        <w:t>再查，</w:t>
      </w:r>
      <w:r w:rsidRPr="00713D42">
        <w:rPr>
          <w:rFonts w:hAnsi="標楷體"/>
          <w:szCs w:val="32"/>
        </w:rPr>
        <w:t>近3年</w:t>
      </w:r>
      <w:r w:rsidRPr="00713D42">
        <w:rPr>
          <w:rFonts w:hAnsi="標楷體" w:hint="eastAsia"/>
          <w:szCs w:val="32"/>
        </w:rPr>
        <w:t>我國企業</w:t>
      </w:r>
      <w:r w:rsidRPr="00713D42">
        <w:rPr>
          <w:rFonts w:hAnsi="標楷體"/>
          <w:szCs w:val="32"/>
        </w:rPr>
        <w:t>對中國大陸投資則介於87至104億美元</w:t>
      </w:r>
      <w:r w:rsidRPr="00713D42">
        <w:rPr>
          <w:rFonts w:hAnsi="標楷體" w:hint="eastAsia"/>
          <w:szCs w:val="32"/>
        </w:rPr>
        <w:t>間</w:t>
      </w:r>
      <w:r w:rsidRPr="00713D42">
        <w:rPr>
          <w:rFonts w:hAnsi="標楷體"/>
          <w:szCs w:val="32"/>
        </w:rPr>
        <w:t>，且逐年成長，</w:t>
      </w:r>
      <w:r w:rsidRPr="00713D42">
        <w:rPr>
          <w:rFonts w:hAnsi="標楷體" w:hint="eastAsia"/>
          <w:szCs w:val="32"/>
        </w:rPr>
        <w:t>然</w:t>
      </w:r>
      <w:r w:rsidRPr="00713D42">
        <w:rPr>
          <w:rFonts w:hAnsi="標楷體"/>
          <w:szCs w:val="32"/>
        </w:rPr>
        <w:t>陸資來臺投資約介於2.4億至3.5億美元間，且呈逐年下降趨勢，</w:t>
      </w:r>
      <w:r w:rsidRPr="00713D42">
        <w:rPr>
          <w:rFonts w:hAnsi="標楷體" w:hint="eastAsia"/>
          <w:szCs w:val="32"/>
        </w:rPr>
        <w:t>顯示</w:t>
      </w:r>
      <w:r w:rsidRPr="00713D42">
        <w:rPr>
          <w:rFonts w:hAnsi="標楷體"/>
          <w:szCs w:val="32"/>
        </w:rPr>
        <w:t>兩</w:t>
      </w:r>
      <w:r w:rsidRPr="00713D42">
        <w:rPr>
          <w:rFonts w:hAnsi="標楷體" w:hint="eastAsia"/>
          <w:szCs w:val="32"/>
        </w:rPr>
        <w:t>岸</w:t>
      </w:r>
      <w:r w:rsidRPr="00713D42">
        <w:rPr>
          <w:rFonts w:hAnsi="標楷體"/>
          <w:szCs w:val="32"/>
        </w:rPr>
        <w:t>投資明顯不對等，</w:t>
      </w:r>
      <w:r w:rsidRPr="00713D42">
        <w:rPr>
          <w:rFonts w:hAnsi="標楷體" w:hint="eastAsia"/>
          <w:szCs w:val="32"/>
        </w:rPr>
        <w:t>其間之差異雖係因98年6月30日才開放陸資來臺投資，且我國對於陸資開放業別、審查過程、對我國產業影響及後續管理等方面皆抱持較為嚴謹、審慎態度。另陸資來臺</w:t>
      </w:r>
      <w:r w:rsidRPr="00713D42">
        <w:rPr>
          <w:rFonts w:hAnsi="標楷體" w:hint="eastAsia"/>
          <w:szCs w:val="32"/>
        </w:rPr>
        <w:lastRenderedPageBreak/>
        <w:t>須符合「大陸地區人民來臺投資許可辦法」及「大陸地區人民來臺投資業別項目」等規定，又陸資來臺投資業別項目係採「正面表列」方式分階段開放，故陸資來臺投資規模有限，陸資來臺投資集中於</w:t>
      </w:r>
      <w:r w:rsidRPr="00713D42">
        <w:rPr>
          <w:rFonts w:hAnsi="標楷體"/>
          <w:szCs w:val="32"/>
        </w:rPr>
        <w:t>服務業</w:t>
      </w:r>
      <w:r w:rsidRPr="00713D42">
        <w:rPr>
          <w:rFonts w:hAnsi="標楷體" w:hint="eastAsia"/>
          <w:szCs w:val="32"/>
        </w:rPr>
        <w:t>，</w:t>
      </w:r>
      <w:r w:rsidRPr="00713D42">
        <w:rPr>
          <w:rFonts w:hAnsi="標楷體"/>
          <w:szCs w:val="32"/>
        </w:rPr>
        <w:t>投資金額</w:t>
      </w:r>
      <w:r w:rsidRPr="00713D42">
        <w:rPr>
          <w:rFonts w:hAnsi="標楷體" w:hint="eastAsia"/>
          <w:szCs w:val="32"/>
        </w:rPr>
        <w:t>也相對</w:t>
      </w:r>
      <w:r w:rsidRPr="00713D42">
        <w:rPr>
          <w:rFonts w:hAnsi="標楷體"/>
          <w:szCs w:val="32"/>
        </w:rPr>
        <w:t>較低</w:t>
      </w:r>
      <w:r w:rsidRPr="00713D42">
        <w:rPr>
          <w:rFonts w:hAnsi="標楷體" w:hint="eastAsia"/>
          <w:szCs w:val="32"/>
        </w:rPr>
        <w:t>。然中國大陸已是世界經濟強權，</w:t>
      </w:r>
      <w:bookmarkEnd w:id="116"/>
      <w:r w:rsidRPr="00713D42">
        <w:rPr>
          <w:rFonts w:hAnsi="標楷體" w:hint="eastAsia"/>
          <w:szCs w:val="32"/>
        </w:rPr>
        <w:t>陸資成為</w:t>
      </w:r>
      <w:r w:rsidRPr="00713D42">
        <w:rPr>
          <w:rFonts w:hint="eastAsia"/>
        </w:rPr>
        <w:t>世界極為重要之併購者，德國機器人公司被中國公司買下來</w:t>
      </w:r>
      <w:r w:rsidRPr="00713D42">
        <w:rPr>
          <w:rStyle w:val="aff8"/>
        </w:rPr>
        <w:footnoteReference w:id="25"/>
      </w:r>
      <w:r w:rsidRPr="00713D42">
        <w:rPr>
          <w:rFonts w:hint="eastAsia"/>
        </w:rPr>
        <w:t>、德國LED設備公司艾斯壯被福建企業買下來，美國不讓陸資去併購，陸資就不斷去投資德國、以色列，這些公司一旦被陸資買下，部分非屬我可許可陸資可資之事業就必須撤資，如:IC設計公司豪景及法國里昂證券被陸資併購後，就必須撤資，以現在的趨勢，此種狀況應會持續下去，行政院允應正視此種狀況，儘速籌謀最適對策，以避免因中國大陸因素，過度影響經濟之發展。</w:t>
      </w:r>
      <w:bookmarkEnd w:id="117"/>
    </w:p>
    <w:p w:rsidR="00372CA7" w:rsidRPr="00713D42" w:rsidRDefault="00372CA7" w:rsidP="00E70B9B">
      <w:pPr>
        <w:pStyle w:val="3"/>
        <w:numPr>
          <w:ilvl w:val="2"/>
          <w:numId w:val="20"/>
        </w:numPr>
        <w:overflowPunct/>
        <w:autoSpaceDE/>
        <w:autoSpaceDN/>
        <w:spacing w:line="480" w:lineRule="exact"/>
      </w:pPr>
      <w:bookmarkStart w:id="118" w:name="_Toc469271801"/>
      <w:bookmarkStart w:id="119" w:name="_Toc470099692"/>
      <w:r w:rsidRPr="00713D42">
        <w:rPr>
          <w:rFonts w:hint="eastAsia"/>
        </w:rPr>
        <w:t>綜上，</w:t>
      </w:r>
      <w:bookmarkEnd w:id="118"/>
      <w:r w:rsidRPr="00713D42">
        <w:rPr>
          <w:rFonts w:hint="eastAsia"/>
        </w:rPr>
        <w:t>近期雖保護主義盛行，然因我國內需市場不足，加入區域經濟整合已是不可逆之趨勢，且我國主要競爭對手國，多已積極參加區域經濟整合，簽訂自由貿易協定之進度亦領先我國，行政院除應就對外洽簽FTA、及加入TPP、R</w:t>
      </w:r>
      <w:r w:rsidR="00E30310" w:rsidRPr="00713D42">
        <w:rPr>
          <w:rFonts w:hint="eastAsia"/>
        </w:rPr>
        <w:t>C</w:t>
      </w:r>
      <w:r w:rsidRPr="00713D42">
        <w:rPr>
          <w:rFonts w:hint="eastAsia"/>
        </w:rPr>
        <w:t>EP、新南向政策等做滾動式檢討執行策略外，亦</w:t>
      </w:r>
      <w:r w:rsidR="00FD4A0E">
        <w:rPr>
          <w:rFonts w:hint="eastAsia"/>
        </w:rPr>
        <w:t>應</w:t>
      </w:r>
      <w:r w:rsidRPr="00713D42">
        <w:rPr>
          <w:rFonts w:hint="eastAsia"/>
        </w:rPr>
        <w:t>就檢討已簽訂之自由貿易協定，評估其執行成效，作為簽訂其他協定之參考；另中國大陸已是我國無法忽視之經濟強權，陸資企業陸續在世界各國進行企業之購併，造成部分外資因遭陸資收購而</w:t>
      </w:r>
      <w:r w:rsidR="00C5615D">
        <w:rPr>
          <w:rFonts w:hint="eastAsia"/>
        </w:rPr>
        <w:t>須</w:t>
      </w:r>
      <w:r w:rsidRPr="00713D42">
        <w:rPr>
          <w:rFonts w:hint="eastAsia"/>
        </w:rPr>
        <w:t>退出我國市場，在全球化趨勢下，資金之移動速度及範圍已是無國界，行政院允應正視此狀況之演變，擬定最適</w:t>
      </w:r>
      <w:r w:rsidRPr="00713D42">
        <w:rPr>
          <w:rFonts w:hint="eastAsia"/>
        </w:rPr>
        <w:lastRenderedPageBreak/>
        <w:t>策略。</w:t>
      </w:r>
      <w:bookmarkEnd w:id="119"/>
    </w:p>
    <w:p w:rsidR="00B77D18" w:rsidRDefault="001F3DFD" w:rsidP="001F3DFD">
      <w:pPr>
        <w:pStyle w:val="1"/>
        <w:numPr>
          <w:ilvl w:val="0"/>
          <w:numId w:val="0"/>
        </w:numPr>
        <w:kinsoku w:val="0"/>
        <w:overflowPunct/>
        <w:autoSpaceDE/>
        <w:autoSpaceDN/>
        <w:rPr>
          <w:szCs w:val="32"/>
        </w:rPr>
      </w:pPr>
      <w:r w:rsidRPr="00713D42">
        <w:rPr>
          <w:szCs w:val="32"/>
        </w:rPr>
        <w:t xml:space="preserve"> </w:t>
      </w:r>
    </w:p>
    <w:p w:rsidR="00615604" w:rsidRDefault="00615604" w:rsidP="001F3DFD">
      <w:pPr>
        <w:pStyle w:val="1"/>
        <w:numPr>
          <w:ilvl w:val="0"/>
          <w:numId w:val="0"/>
        </w:numPr>
        <w:kinsoku w:val="0"/>
        <w:overflowPunct/>
        <w:autoSpaceDE/>
        <w:autoSpaceDN/>
        <w:rPr>
          <w:szCs w:val="32"/>
        </w:rPr>
      </w:pPr>
    </w:p>
    <w:p w:rsidR="00615604" w:rsidRDefault="00615604" w:rsidP="001F3DFD">
      <w:pPr>
        <w:pStyle w:val="1"/>
        <w:numPr>
          <w:ilvl w:val="0"/>
          <w:numId w:val="0"/>
        </w:numPr>
        <w:kinsoku w:val="0"/>
        <w:overflowPunct/>
        <w:autoSpaceDE/>
        <w:autoSpaceDN/>
        <w:rPr>
          <w:szCs w:val="32"/>
        </w:rPr>
      </w:pPr>
    </w:p>
    <w:p w:rsidR="00615604" w:rsidRPr="00615604" w:rsidRDefault="00615604" w:rsidP="00615604">
      <w:pPr>
        <w:pStyle w:val="1"/>
        <w:numPr>
          <w:ilvl w:val="0"/>
          <w:numId w:val="0"/>
        </w:numPr>
        <w:kinsoku w:val="0"/>
        <w:overflowPunct/>
        <w:autoSpaceDE/>
        <w:autoSpaceDN/>
        <w:jc w:val="center"/>
        <w:rPr>
          <w:b/>
          <w:sz w:val="36"/>
          <w:szCs w:val="36"/>
        </w:rPr>
      </w:pPr>
      <w:bookmarkStart w:id="120" w:name="_GoBack"/>
      <w:r w:rsidRPr="00615604">
        <w:rPr>
          <w:rFonts w:hint="eastAsia"/>
          <w:b/>
          <w:sz w:val="36"/>
          <w:szCs w:val="36"/>
        </w:rPr>
        <w:t>調查研究委員：</w:t>
      </w:r>
      <w:r w:rsidRPr="00615604">
        <w:rPr>
          <w:b/>
          <w:sz w:val="36"/>
          <w:szCs w:val="36"/>
        </w:rPr>
        <w:t>李月德、仉桂美、劉德勳</w:t>
      </w:r>
      <w:bookmarkEnd w:id="120"/>
    </w:p>
    <w:sectPr w:rsidR="00615604" w:rsidRPr="00615604" w:rsidSect="00B10A4D">
      <w:footerReference w:type="default" r:id="rId25"/>
      <w:pgSz w:w="11907" w:h="16840" w:code="9"/>
      <w:pgMar w:top="1418" w:right="1418" w:bottom="1418" w:left="1418" w:header="851" w:footer="851" w:gutter="227"/>
      <w:pgNumType w:start="1"/>
      <w:cols w:space="425"/>
      <w:docGrid w:type="linesAndChars" w:linePitch="440" w:charSpace="5939"/>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7E5" w:rsidRDefault="003C37E5">
      <w:r>
        <w:separator/>
      </w:r>
    </w:p>
  </w:endnote>
  <w:endnote w:type="continuationSeparator" w:id="0">
    <w:p w:rsidR="003C37E5" w:rsidRDefault="003C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文鼎粗魏碑">
    <w:altName w:val="細明體"/>
    <w:charset w:val="88"/>
    <w:family w:val="modern"/>
    <w:pitch w:val="fixed"/>
    <w:sig w:usb0="800002A3" w:usb1="38CF7C7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新細明體"/>
    <w:panose1 w:val="00000000000000000000"/>
    <w:charset w:val="88"/>
    <w:family w:val="modern"/>
    <w:notTrueType/>
    <w:pitch w:val="fixed"/>
    <w:sig w:usb0="00000001" w:usb1="08080000" w:usb2="00000010" w:usb3="00000000" w:csb0="00100000" w:csb1="00000000"/>
  </w:font>
  <w:font w:name="雅真中楷">
    <w:altName w:val="新細明體"/>
    <w:panose1 w:val="00000000000000000000"/>
    <w:charset w:val="88"/>
    <w:family w:val="modern"/>
    <w:notTrueType/>
    <w:pitch w:val="fixed"/>
    <w:sig w:usb0="00000001" w:usb1="08080000" w:usb2="00000010" w:usb3="00000000" w:csb0="00100000" w:csb1="00000000"/>
  </w:font>
  <w:font w:name="Mangal">
    <w:panose1 w:val="00000400000000000000"/>
    <w:charset w:val="01"/>
    <w:family w:val="roman"/>
    <w:notTrueType/>
    <w:pitch w:val="variable"/>
    <w:sig w:usb0="00002000" w:usb1="00000000" w:usb2="00000000" w:usb3="00000000" w:csb0="00000000" w:csb1="00000000"/>
  </w:font>
  <w:font w:name="華康細圓體">
    <w:altName w:val="Arial Unicode MS"/>
    <w:charset w:val="88"/>
    <w:family w:val="modern"/>
    <w:pitch w:val="fixed"/>
    <w:sig w:usb0="00000000" w:usb1="28091800" w:usb2="00000016"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63B" w:rsidRDefault="0084463B">
    <w:pPr>
      <w:pStyle w:val="af9"/>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615604">
      <w:rPr>
        <w:rStyle w:val="af0"/>
        <w:noProof/>
        <w:sz w:val="24"/>
      </w:rPr>
      <w:t>72</w:t>
    </w:r>
    <w:r>
      <w:rPr>
        <w:rStyle w:val="af0"/>
        <w:sz w:val="24"/>
      </w:rPr>
      <w:fldChar w:fldCharType="end"/>
    </w:r>
  </w:p>
  <w:p w:rsidR="0084463B" w:rsidRDefault="0084463B">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7E5" w:rsidRDefault="003C37E5">
      <w:r>
        <w:separator/>
      </w:r>
    </w:p>
  </w:footnote>
  <w:footnote w:type="continuationSeparator" w:id="0">
    <w:p w:rsidR="003C37E5" w:rsidRDefault="003C37E5">
      <w:r>
        <w:continuationSeparator/>
      </w:r>
    </w:p>
  </w:footnote>
  <w:footnote w:id="1">
    <w:p w:rsidR="0084463B" w:rsidRPr="00A27D1F" w:rsidRDefault="0084463B" w:rsidP="00372CA7">
      <w:pPr>
        <w:pStyle w:val="aff6"/>
      </w:pPr>
      <w:r>
        <w:rPr>
          <w:rStyle w:val="aff8"/>
        </w:rPr>
        <w:footnoteRef/>
      </w:r>
      <w:r w:rsidRPr="00A27D1F">
        <w:rPr>
          <w:rFonts w:hint="eastAsia"/>
        </w:rPr>
        <w:t>經濟成長率</w:t>
      </w:r>
      <w:r>
        <w:rPr>
          <w:rFonts w:hint="eastAsia"/>
        </w:rPr>
        <w:t>為</w:t>
      </w:r>
      <w:r w:rsidRPr="00A27D1F">
        <w:rPr>
          <w:rFonts w:hint="eastAsia"/>
        </w:rPr>
        <w:t>國內生產毛額</w:t>
      </w:r>
      <w:r w:rsidRPr="00A27D1F">
        <w:rPr>
          <w:rFonts w:hint="eastAsia"/>
        </w:rPr>
        <w:t>(</w:t>
      </w:r>
      <w:r w:rsidRPr="00A27D1F">
        <w:rPr>
          <w:rFonts w:hint="eastAsia"/>
        </w:rPr>
        <w:t>下稱</w:t>
      </w:r>
      <w:r w:rsidRPr="00A27D1F">
        <w:rPr>
          <w:rFonts w:hint="eastAsia"/>
        </w:rPr>
        <w:t>GDP)</w:t>
      </w:r>
      <w:r w:rsidRPr="00A27D1F">
        <w:rPr>
          <w:rFonts w:hint="eastAsia"/>
        </w:rPr>
        <w:t>年增率剔除價格變動因素</w:t>
      </w:r>
      <w:r>
        <w:rPr>
          <w:rFonts w:hint="eastAsia"/>
        </w:rPr>
        <w:t>。</w:t>
      </w:r>
    </w:p>
  </w:footnote>
  <w:footnote w:id="2">
    <w:p w:rsidR="0084463B" w:rsidRPr="00632CE0" w:rsidRDefault="0084463B" w:rsidP="00F61227">
      <w:pPr>
        <w:pStyle w:val="aff6"/>
        <w:ind w:rightChars="-309" w:right="-1078"/>
      </w:pPr>
      <w:r>
        <w:rPr>
          <w:rStyle w:val="aff8"/>
        </w:rPr>
        <w:footnoteRef/>
      </w:r>
      <w:r>
        <w:rPr>
          <w:rFonts w:hint="eastAsia"/>
        </w:rPr>
        <w:t>99</w:t>
      </w:r>
      <w:r>
        <w:rPr>
          <w:rFonts w:hint="eastAsia"/>
        </w:rPr>
        <w:t>年係因</w:t>
      </w:r>
      <w:r>
        <w:rPr>
          <w:rFonts w:hint="eastAsia"/>
        </w:rPr>
        <w:t>98</w:t>
      </w:r>
      <w:r>
        <w:rPr>
          <w:rFonts w:hint="eastAsia"/>
        </w:rPr>
        <w:t>年金融風暴致</w:t>
      </w:r>
      <w:r>
        <w:rPr>
          <w:rFonts w:hint="eastAsia"/>
        </w:rPr>
        <w:t>FDI</w:t>
      </w:r>
      <w:r>
        <w:rPr>
          <w:rFonts w:hint="eastAsia"/>
        </w:rPr>
        <w:t>投資數下滑</w:t>
      </w:r>
      <w:r>
        <w:rPr>
          <w:rFonts w:hint="eastAsia"/>
        </w:rPr>
        <w:t>15</w:t>
      </w:r>
      <w:r>
        <w:rPr>
          <w:rFonts w:hint="eastAsia"/>
        </w:rPr>
        <w:t>億美元，故目標值下降至</w:t>
      </w:r>
      <w:r>
        <w:rPr>
          <w:rFonts w:hint="eastAsia"/>
        </w:rPr>
        <w:t>61.16</w:t>
      </w:r>
      <w:r>
        <w:rPr>
          <w:rFonts w:hint="eastAsia"/>
        </w:rPr>
        <w:t>億美元。</w:t>
      </w:r>
    </w:p>
  </w:footnote>
  <w:footnote w:id="3">
    <w:p w:rsidR="0084463B" w:rsidRPr="00632CE0" w:rsidRDefault="0084463B" w:rsidP="00372CA7">
      <w:pPr>
        <w:pStyle w:val="aff6"/>
      </w:pPr>
      <w:r>
        <w:rPr>
          <w:rStyle w:val="aff8"/>
        </w:rPr>
        <w:footnoteRef/>
      </w:r>
      <w:r>
        <w:rPr>
          <w:rFonts w:hint="eastAsia"/>
        </w:rPr>
        <w:t>97</w:t>
      </w:r>
      <w:r>
        <w:rPr>
          <w:rFonts w:hint="eastAsia"/>
        </w:rPr>
        <w:t>年、</w:t>
      </w:r>
      <w:r>
        <w:rPr>
          <w:rFonts w:hint="eastAsia"/>
        </w:rPr>
        <w:t>98</w:t>
      </w:r>
      <w:r>
        <w:rPr>
          <w:rFonts w:hint="eastAsia"/>
        </w:rPr>
        <w:t>年發生金融風暴，故外人來臺投資數下滑。</w:t>
      </w:r>
    </w:p>
  </w:footnote>
  <w:footnote w:id="4">
    <w:p w:rsidR="0084463B" w:rsidRPr="00F615E2" w:rsidRDefault="0084463B" w:rsidP="00372CA7">
      <w:pPr>
        <w:pStyle w:val="aff6"/>
      </w:pPr>
      <w:r>
        <w:rPr>
          <w:rStyle w:val="aff8"/>
        </w:rPr>
        <w:footnoteRef/>
      </w:r>
      <w:r>
        <w:rPr>
          <w:rFonts w:hint="eastAsia"/>
        </w:rPr>
        <w:t>100</w:t>
      </w:r>
      <w:r>
        <w:rPr>
          <w:rFonts w:hint="eastAsia"/>
        </w:rPr>
        <w:t>年因</w:t>
      </w:r>
      <w:r w:rsidRPr="00740DED">
        <w:rPr>
          <w:rFonts w:hint="eastAsia"/>
        </w:rPr>
        <w:t>國際私募股權基金</w:t>
      </w:r>
      <w:r w:rsidRPr="004B1913">
        <w:rPr>
          <w:rFonts w:hint="eastAsia"/>
        </w:rPr>
        <w:t>凱雷集團轉讓大富媒體股份有限公司、美商</w:t>
      </w:r>
      <w:r w:rsidRPr="004B1913">
        <w:rPr>
          <w:rFonts w:hint="eastAsia"/>
        </w:rPr>
        <w:t>AIG</w:t>
      </w:r>
      <w:r w:rsidRPr="004B1913">
        <w:rPr>
          <w:rFonts w:hint="eastAsia"/>
        </w:rPr>
        <w:t>將南山人壽售予潤成公司、國泰集團將境外持有之佳誼實業轉讓萬寶開發股份有限公司、美商大都會公司轉讓中國信託金融控股股份有限公司等案件</w:t>
      </w:r>
      <w:r>
        <w:rPr>
          <w:rFonts w:hint="eastAsia"/>
        </w:rPr>
        <w:t>，匯出</w:t>
      </w:r>
      <w:r w:rsidRPr="00740DED">
        <w:rPr>
          <w:rFonts w:hint="eastAsia"/>
        </w:rPr>
        <w:t>新臺幣</w:t>
      </w:r>
      <w:r w:rsidRPr="00740DED">
        <w:rPr>
          <w:rFonts w:hint="eastAsia"/>
        </w:rPr>
        <w:t>1,630</w:t>
      </w:r>
      <w:r w:rsidRPr="00740DED">
        <w:rPr>
          <w:rFonts w:hint="eastAsia"/>
        </w:rPr>
        <w:t>億元</w:t>
      </w:r>
      <w:r w:rsidRPr="00740DED">
        <w:rPr>
          <w:rFonts w:hint="eastAsia"/>
        </w:rPr>
        <w:t>(</w:t>
      </w:r>
      <w:r w:rsidRPr="00740DED">
        <w:rPr>
          <w:rFonts w:hint="eastAsia"/>
        </w:rPr>
        <w:t>約</w:t>
      </w:r>
      <w:r w:rsidRPr="00740DED">
        <w:rPr>
          <w:rFonts w:hint="eastAsia"/>
        </w:rPr>
        <w:t>55</w:t>
      </w:r>
      <w:r w:rsidRPr="00740DED">
        <w:rPr>
          <w:rFonts w:hint="eastAsia"/>
        </w:rPr>
        <w:t>億美元</w:t>
      </w:r>
      <w:r w:rsidRPr="00740DED">
        <w:rPr>
          <w:rFonts w:hint="eastAsia"/>
        </w:rPr>
        <w:t>)</w:t>
      </w:r>
      <w:r>
        <w:rPr>
          <w:rFonts w:hint="eastAsia"/>
        </w:rPr>
        <w:t>，致當年</w:t>
      </w:r>
      <w:r>
        <w:rPr>
          <w:rFonts w:hint="eastAsia"/>
        </w:rPr>
        <w:t>FDI</w:t>
      </w:r>
      <w:r>
        <w:rPr>
          <w:rFonts w:hint="eastAsia"/>
        </w:rPr>
        <w:t>之淨額為</w:t>
      </w:r>
      <w:r>
        <w:rPr>
          <w:rFonts w:hint="eastAsia"/>
        </w:rPr>
        <w:t>-20.12</w:t>
      </w:r>
      <w:r>
        <w:rPr>
          <w:rFonts w:hint="eastAsia"/>
        </w:rPr>
        <w:t>億美元。</w:t>
      </w:r>
    </w:p>
  </w:footnote>
  <w:footnote w:id="5">
    <w:p w:rsidR="0084463B" w:rsidRDefault="0084463B" w:rsidP="00372CA7">
      <w:pPr>
        <w:pStyle w:val="aff6"/>
      </w:pPr>
      <w:r>
        <w:rPr>
          <w:rStyle w:val="aff8"/>
        </w:rPr>
        <w:footnoteRef/>
      </w:r>
      <w:r>
        <w:rPr>
          <w:rFonts w:hint="eastAsia"/>
        </w:rPr>
        <w:t>引自</w:t>
      </w:r>
      <w:r w:rsidRPr="007B546E">
        <w:rPr>
          <w:rFonts w:hint="eastAsia"/>
        </w:rPr>
        <w:t>經濟部國際貿易局</w:t>
      </w:r>
      <w:r w:rsidRPr="007B546E">
        <w:rPr>
          <w:rFonts w:hint="eastAsia"/>
        </w:rPr>
        <w:t>(</w:t>
      </w:r>
      <w:r w:rsidRPr="007B546E">
        <w:rPr>
          <w:rFonts w:hint="eastAsia"/>
        </w:rPr>
        <w:t>民</w:t>
      </w:r>
      <w:r w:rsidRPr="007B546E">
        <w:rPr>
          <w:rFonts w:hint="eastAsia"/>
        </w:rPr>
        <w:t>99)</w:t>
      </w:r>
      <w:r w:rsidRPr="007B546E">
        <w:rPr>
          <w:rFonts w:hint="eastAsia"/>
        </w:rPr>
        <w:t>我國外人直接投資占</w:t>
      </w:r>
      <w:r w:rsidRPr="007B546E">
        <w:rPr>
          <w:rFonts w:hint="eastAsia"/>
        </w:rPr>
        <w:t>GDP</w:t>
      </w:r>
      <w:r w:rsidRPr="007B546E">
        <w:rPr>
          <w:rFonts w:hint="eastAsia"/>
        </w:rPr>
        <w:t>比重偏低原因</w:t>
      </w:r>
      <w:r w:rsidRPr="007B546E">
        <w:rPr>
          <w:rFonts w:hint="eastAsia"/>
        </w:rPr>
        <w:t>-WTO</w:t>
      </w:r>
      <w:r w:rsidRPr="007B546E">
        <w:rPr>
          <w:rFonts w:hint="eastAsia"/>
        </w:rPr>
        <w:t>中心計畫諮詢服務報告。</w:t>
      </w:r>
    </w:p>
  </w:footnote>
  <w:footnote w:id="6">
    <w:p w:rsidR="00CA70A8" w:rsidRDefault="00CA70A8">
      <w:pPr>
        <w:pStyle w:val="aff6"/>
      </w:pPr>
      <w:r>
        <w:rPr>
          <w:rStyle w:val="aff8"/>
        </w:rPr>
        <w:footnoteRef/>
      </w:r>
      <w:r>
        <w:rPr>
          <w:rFonts w:hint="eastAsia"/>
        </w:rPr>
        <w:t>經濟部投資業務處</w:t>
      </w:r>
      <w:r>
        <w:rPr>
          <w:rFonts w:hint="eastAsia"/>
        </w:rPr>
        <w:t>(</w:t>
      </w:r>
      <w:r>
        <w:rPr>
          <w:rFonts w:hint="eastAsia"/>
        </w:rPr>
        <w:t>民</w:t>
      </w:r>
      <w:r>
        <w:rPr>
          <w:rFonts w:hint="eastAsia"/>
        </w:rPr>
        <w:t>105)</w:t>
      </w:r>
      <w:r>
        <w:rPr>
          <w:rFonts w:hint="eastAsia"/>
        </w:rPr>
        <w:t>；愛爾蘭投資環境簡介。</w:t>
      </w:r>
    </w:p>
  </w:footnote>
  <w:footnote w:id="7">
    <w:p w:rsidR="0084463B" w:rsidRPr="00B42F56" w:rsidRDefault="0084463B" w:rsidP="00372CA7">
      <w:pPr>
        <w:pStyle w:val="aff6"/>
      </w:pPr>
      <w:r>
        <w:rPr>
          <w:rStyle w:val="aff8"/>
        </w:rPr>
        <w:footnoteRef/>
      </w:r>
      <w:r>
        <w:t xml:space="preserve"> </w:t>
      </w:r>
      <w:r>
        <w:rPr>
          <w:rFonts w:hint="eastAsia"/>
        </w:rPr>
        <w:t>資料來源</w:t>
      </w:r>
      <w:r>
        <w:rPr>
          <w:rFonts w:hint="eastAsia"/>
        </w:rPr>
        <w:t>:</w:t>
      </w:r>
      <w:r w:rsidRPr="00B42F56">
        <w:t>http://twbusiness.nat.gov.tw/countryPage.do?id=6&amp;country=SG</w:t>
      </w:r>
    </w:p>
  </w:footnote>
  <w:footnote w:id="8">
    <w:p w:rsidR="0084463B" w:rsidRPr="006A4253" w:rsidRDefault="0084463B" w:rsidP="00372CA7">
      <w:pPr>
        <w:pStyle w:val="aff6"/>
      </w:pPr>
      <w:r>
        <w:rPr>
          <w:rStyle w:val="aff8"/>
        </w:rPr>
        <w:footnoteRef/>
      </w:r>
      <w:r w:rsidRPr="006A4253">
        <w:rPr>
          <w:rFonts w:hint="eastAsia"/>
        </w:rPr>
        <w:t>對國家安全、公共秩序、善良風俗或國民健康有不利影響之事業</w:t>
      </w:r>
      <w:r>
        <w:rPr>
          <w:rFonts w:hint="eastAsia"/>
        </w:rPr>
        <w:t>，</w:t>
      </w:r>
      <w:r w:rsidRPr="006A4253">
        <w:rPr>
          <w:rFonts w:hint="eastAsia"/>
        </w:rPr>
        <w:t>禁止投資人投資</w:t>
      </w:r>
      <w:r>
        <w:rPr>
          <w:rFonts w:hint="eastAsia"/>
        </w:rPr>
        <w:t>；</w:t>
      </w:r>
      <w:r w:rsidRPr="006A4253">
        <w:rPr>
          <w:rFonts w:hint="eastAsia"/>
        </w:rPr>
        <w:t>投資人申請投資於法律或基於法律授權訂定之命令而限制投資之事業，應取得目的事業主管機關之許可或同意。</w:t>
      </w:r>
    </w:p>
  </w:footnote>
  <w:footnote w:id="9">
    <w:p w:rsidR="0084463B" w:rsidRPr="009C461E" w:rsidRDefault="0084463B" w:rsidP="00372CA7">
      <w:pPr>
        <w:pStyle w:val="aff6"/>
      </w:pPr>
      <w:r>
        <w:rPr>
          <w:rStyle w:val="aff8"/>
        </w:rPr>
        <w:footnoteRef/>
      </w:r>
      <w:r>
        <w:rPr>
          <w:rFonts w:hint="eastAsia"/>
        </w:rPr>
        <w:t>歐洲商會白皮書建議事項。</w:t>
      </w:r>
    </w:p>
  </w:footnote>
  <w:footnote w:id="10">
    <w:p w:rsidR="0084463B" w:rsidRDefault="0084463B" w:rsidP="00372CA7">
      <w:pPr>
        <w:pStyle w:val="aff6"/>
      </w:pPr>
      <w:r>
        <w:rPr>
          <w:rStyle w:val="aff8"/>
        </w:rPr>
        <w:footnoteRef/>
      </w:r>
      <w:r>
        <w:rPr>
          <w:rFonts w:hint="eastAsia"/>
        </w:rPr>
        <w:t>美國商會白皮書建議事項。</w:t>
      </w:r>
    </w:p>
  </w:footnote>
  <w:footnote w:id="11">
    <w:p w:rsidR="0084463B" w:rsidRPr="009C461E" w:rsidRDefault="0084463B" w:rsidP="00372CA7">
      <w:pPr>
        <w:pStyle w:val="aff6"/>
      </w:pPr>
      <w:r>
        <w:rPr>
          <w:rStyle w:val="aff8"/>
        </w:rPr>
        <w:footnoteRef/>
      </w:r>
      <w:r>
        <w:rPr>
          <w:rFonts w:hint="eastAsia"/>
        </w:rPr>
        <w:t>同註</w:t>
      </w:r>
      <w:r>
        <w:rPr>
          <w:rFonts w:hint="eastAsia"/>
        </w:rPr>
        <w:t>75</w:t>
      </w:r>
      <w:r>
        <w:rPr>
          <w:rFonts w:hint="eastAsia"/>
        </w:rPr>
        <w:t>。</w:t>
      </w:r>
    </w:p>
  </w:footnote>
  <w:footnote w:id="12">
    <w:p w:rsidR="0084463B" w:rsidRPr="009A67C6" w:rsidRDefault="0084463B" w:rsidP="00372CA7">
      <w:pPr>
        <w:pStyle w:val="aff6"/>
      </w:pPr>
      <w:r>
        <w:rPr>
          <w:rStyle w:val="aff8"/>
        </w:rPr>
        <w:footnoteRef/>
      </w:r>
      <w:r>
        <w:rPr>
          <w:rFonts w:hint="eastAsia"/>
        </w:rPr>
        <w:t>同註</w:t>
      </w:r>
      <w:r>
        <w:rPr>
          <w:rFonts w:hint="eastAsia"/>
        </w:rPr>
        <w:t>76</w:t>
      </w:r>
      <w:r>
        <w:rPr>
          <w:rFonts w:hint="eastAsia"/>
        </w:rPr>
        <w:t>。</w:t>
      </w:r>
    </w:p>
  </w:footnote>
  <w:footnote w:id="13">
    <w:p w:rsidR="0084463B" w:rsidRPr="00510603" w:rsidRDefault="0084463B" w:rsidP="00372CA7">
      <w:pPr>
        <w:pStyle w:val="aff6"/>
      </w:pPr>
      <w:r>
        <w:rPr>
          <w:rStyle w:val="aff8"/>
        </w:rPr>
        <w:footnoteRef/>
      </w:r>
      <w:r>
        <w:rPr>
          <w:rFonts w:hint="eastAsia"/>
        </w:rPr>
        <w:t>同註</w:t>
      </w:r>
      <w:r>
        <w:rPr>
          <w:rFonts w:hint="eastAsia"/>
        </w:rPr>
        <w:t>75</w:t>
      </w:r>
      <w:r>
        <w:rPr>
          <w:rFonts w:hint="eastAsia"/>
        </w:rPr>
        <w:t>。</w:t>
      </w:r>
    </w:p>
  </w:footnote>
  <w:footnote w:id="14">
    <w:p w:rsidR="0084463B" w:rsidRPr="00510603" w:rsidRDefault="0084463B" w:rsidP="00372CA7">
      <w:pPr>
        <w:pStyle w:val="aff6"/>
      </w:pPr>
      <w:r>
        <w:rPr>
          <w:rStyle w:val="aff8"/>
        </w:rPr>
        <w:footnoteRef/>
      </w:r>
      <w:r>
        <w:rPr>
          <w:rFonts w:hint="eastAsia"/>
        </w:rPr>
        <w:t>日本工商會白皮書建議事項。</w:t>
      </w:r>
    </w:p>
  </w:footnote>
  <w:footnote w:id="15">
    <w:p w:rsidR="0084463B" w:rsidRDefault="0084463B" w:rsidP="00F61227">
      <w:pPr>
        <w:pStyle w:val="aff6"/>
        <w:ind w:rightChars="-146" w:right="-510"/>
      </w:pPr>
      <w:r>
        <w:rPr>
          <w:rStyle w:val="aff8"/>
        </w:rPr>
        <w:footnoteRef/>
      </w:r>
      <w:r>
        <w:rPr>
          <w:rFonts w:hint="eastAsia"/>
        </w:rPr>
        <w:t>歐洲商會封德育代表於</w:t>
      </w:r>
      <w:r w:rsidRPr="000322D7">
        <w:rPr>
          <w:rFonts w:hint="eastAsia"/>
        </w:rPr>
        <w:t>於</w:t>
      </w:r>
      <w:r w:rsidRPr="000322D7">
        <w:t>105</w:t>
      </w:r>
      <w:r w:rsidRPr="000322D7">
        <w:rPr>
          <w:rFonts w:hint="eastAsia"/>
        </w:rPr>
        <w:t>年</w:t>
      </w:r>
      <w:r w:rsidRPr="000322D7">
        <w:t>5</w:t>
      </w:r>
      <w:r w:rsidRPr="000322D7">
        <w:rPr>
          <w:rFonts w:hint="eastAsia"/>
        </w:rPr>
        <w:t>月</w:t>
      </w:r>
      <w:r w:rsidRPr="000322D7">
        <w:t>19</w:t>
      </w:r>
      <w:r w:rsidRPr="000322D7">
        <w:rPr>
          <w:rFonts w:hint="eastAsia"/>
        </w:rPr>
        <w:t>本院學者專家諮詢會議中提出我國目前之現象。</w:t>
      </w:r>
    </w:p>
  </w:footnote>
  <w:footnote w:id="16">
    <w:p w:rsidR="0084463B" w:rsidRPr="000A6FE3" w:rsidRDefault="0084463B" w:rsidP="00F61227">
      <w:pPr>
        <w:pStyle w:val="aff6"/>
        <w:ind w:rightChars="-227" w:right="-792"/>
      </w:pPr>
      <w:r>
        <w:rPr>
          <w:rStyle w:val="aff8"/>
        </w:rPr>
        <w:footnoteRef/>
      </w:r>
      <w:r>
        <w:t xml:space="preserve"> </w:t>
      </w:r>
      <w:r>
        <w:rPr>
          <w:rFonts w:hint="eastAsia"/>
        </w:rPr>
        <w:t>資料來源</w:t>
      </w:r>
      <w:r w:rsidRPr="00E6677B">
        <w:t>http://www.ndc.gov.tw/News_Content.aspx?n=114AAE178CD95D4C&amp;sms=DF717169EA26F1A3&amp;s=75D768E4F6D08827</w:t>
      </w:r>
    </w:p>
  </w:footnote>
  <w:footnote w:id="17">
    <w:p w:rsidR="0084463B" w:rsidRPr="009E0DF6" w:rsidRDefault="0084463B" w:rsidP="00372CA7">
      <w:pPr>
        <w:pStyle w:val="aff6"/>
      </w:pPr>
      <w:r>
        <w:rPr>
          <w:rStyle w:val="aff8"/>
        </w:rPr>
        <w:footnoteRef/>
      </w:r>
      <w:r>
        <w:t xml:space="preserve"> </w:t>
      </w:r>
      <w:r>
        <w:rPr>
          <w:rFonts w:hint="eastAsia"/>
        </w:rPr>
        <w:t>資料來源</w:t>
      </w:r>
      <w:r w:rsidRPr="009E0DF6">
        <w:t>http://www.taipower.com.tw/content/new_info/images/105%E5%B9%B4%E6%96%B9%E6%A1%88%E5%A0%B1%E5%91%8A.pdf</w:t>
      </w:r>
    </w:p>
  </w:footnote>
  <w:footnote w:id="18">
    <w:p w:rsidR="0084463B" w:rsidRPr="00022A86" w:rsidRDefault="0084463B" w:rsidP="00372CA7">
      <w:pPr>
        <w:pStyle w:val="aff6"/>
      </w:pPr>
      <w:r>
        <w:rPr>
          <w:rStyle w:val="aff8"/>
        </w:rPr>
        <w:footnoteRef/>
      </w:r>
      <w:r>
        <w:t xml:space="preserve"> </w:t>
      </w:r>
      <w:r>
        <w:rPr>
          <w:rFonts w:hint="eastAsia"/>
        </w:rPr>
        <w:t>資料來源</w:t>
      </w:r>
      <w:r>
        <w:rPr>
          <w:rFonts w:hint="eastAsia"/>
        </w:rPr>
        <w:t>:</w:t>
      </w:r>
      <w:r w:rsidRPr="00022A86">
        <w:t>http://www.dgbas.gov.tw/ct.asp?xItem=39025&amp;ctNode=4988&amp;mp=1</w:t>
      </w:r>
    </w:p>
  </w:footnote>
  <w:footnote w:id="19">
    <w:p w:rsidR="0084463B" w:rsidRPr="00535BA4" w:rsidRDefault="0084463B" w:rsidP="00372CA7">
      <w:pPr>
        <w:pStyle w:val="aff6"/>
      </w:pPr>
      <w:r>
        <w:rPr>
          <w:rStyle w:val="aff8"/>
        </w:rPr>
        <w:footnoteRef/>
      </w:r>
      <w:r w:rsidRPr="00535BA4">
        <w:rPr>
          <w:rFonts w:hint="eastAsia"/>
        </w:rPr>
        <w:t>呂國禎</w:t>
      </w:r>
      <w:r>
        <w:rPr>
          <w:rFonts w:hint="eastAsia"/>
        </w:rPr>
        <w:t>、</w:t>
      </w:r>
      <w:r w:rsidRPr="00535BA4">
        <w:rPr>
          <w:rFonts w:hint="eastAsia"/>
        </w:rPr>
        <w:t>劉光瑩</w:t>
      </w:r>
      <w:r>
        <w:rPr>
          <w:rFonts w:hint="eastAsia"/>
        </w:rPr>
        <w:t>(</w:t>
      </w:r>
      <w:r>
        <w:rPr>
          <w:rFonts w:hint="eastAsia"/>
        </w:rPr>
        <w:t>民</w:t>
      </w:r>
      <w:r>
        <w:rPr>
          <w:rFonts w:hint="eastAsia"/>
        </w:rPr>
        <w:t>104)</w:t>
      </w:r>
      <w:r>
        <w:rPr>
          <w:rFonts w:hint="eastAsia"/>
        </w:rPr>
        <w:t>，</w:t>
      </w:r>
      <w:r w:rsidRPr="00535BA4">
        <w:rPr>
          <w:rFonts w:hint="eastAsia"/>
        </w:rPr>
        <w:t>天下雜誌</w:t>
      </w:r>
      <w:r w:rsidRPr="00535BA4">
        <w:rPr>
          <w:rFonts w:hint="eastAsia"/>
        </w:rPr>
        <w:t>588</w:t>
      </w:r>
      <w:r w:rsidRPr="00535BA4">
        <w:rPr>
          <w:rFonts w:hint="eastAsia"/>
        </w:rPr>
        <w:t>期</w:t>
      </w:r>
      <w:r>
        <w:rPr>
          <w:rFonts w:hint="eastAsia"/>
        </w:rPr>
        <w:t>。</w:t>
      </w:r>
    </w:p>
  </w:footnote>
  <w:footnote w:id="20">
    <w:p w:rsidR="0084463B" w:rsidRDefault="0084463B" w:rsidP="00372CA7">
      <w:pPr>
        <w:pStyle w:val="aff6"/>
      </w:pPr>
      <w:r>
        <w:rPr>
          <w:rStyle w:val="aff8"/>
        </w:rPr>
        <w:footnoteRef/>
      </w:r>
      <w:r w:rsidRPr="0098281C">
        <w:rPr>
          <w:rFonts w:hint="eastAsia"/>
        </w:rPr>
        <w:t>環境影響評估法及施行細則修正建議及其可行性評估專案工作計畫</w:t>
      </w:r>
      <w:r>
        <w:rPr>
          <w:rFonts w:hint="eastAsia"/>
        </w:rPr>
        <w:t>P392-394</w:t>
      </w:r>
      <w:r>
        <w:rPr>
          <w:rFonts w:hint="eastAsia"/>
        </w:rPr>
        <w:t>；</w:t>
      </w:r>
      <w:r w:rsidRPr="0098281C">
        <w:rPr>
          <w:rFonts w:hint="eastAsia"/>
        </w:rPr>
        <w:t>計畫執行單位</w:t>
      </w:r>
      <w:r w:rsidRPr="0098281C">
        <w:rPr>
          <w:rFonts w:hint="eastAsia"/>
        </w:rPr>
        <w:t>:</w:t>
      </w:r>
      <w:r w:rsidRPr="0098281C">
        <w:rPr>
          <w:rFonts w:hint="eastAsia"/>
        </w:rPr>
        <w:t>社團法人</w:t>
      </w:r>
      <w:r>
        <w:rPr>
          <w:rFonts w:hint="eastAsia"/>
        </w:rPr>
        <w:t>臺</w:t>
      </w:r>
      <w:r w:rsidRPr="0098281C">
        <w:rPr>
          <w:rFonts w:hint="eastAsia"/>
        </w:rPr>
        <w:t>灣行政法學會</w:t>
      </w:r>
      <w:r>
        <w:rPr>
          <w:rFonts w:hint="eastAsia"/>
        </w:rPr>
        <w:t>。</w:t>
      </w:r>
    </w:p>
  </w:footnote>
  <w:footnote w:id="21">
    <w:p w:rsidR="0084463B" w:rsidRPr="0081550E" w:rsidRDefault="0084463B" w:rsidP="00372CA7">
      <w:pPr>
        <w:pStyle w:val="aff6"/>
      </w:pPr>
      <w:r>
        <w:rPr>
          <w:rStyle w:val="aff8"/>
        </w:rPr>
        <w:footnoteRef/>
      </w:r>
      <w:r>
        <w:rPr>
          <w:rFonts w:hint="eastAsia"/>
        </w:rPr>
        <w:t xml:space="preserve"> </w:t>
      </w:r>
      <w:r>
        <w:rPr>
          <w:rFonts w:hint="eastAsia"/>
        </w:rPr>
        <w:t>工廠產生之廢水僅須符合無管制性物質、化學需氧量</w:t>
      </w:r>
      <w:r>
        <w:rPr>
          <w:rFonts w:hint="eastAsia"/>
        </w:rPr>
        <w:t>600ppm</w:t>
      </w:r>
      <w:r>
        <w:rPr>
          <w:rFonts w:hint="eastAsia"/>
        </w:rPr>
        <w:t>以內，即可排入園區管線。</w:t>
      </w:r>
    </w:p>
  </w:footnote>
  <w:footnote w:id="22">
    <w:p w:rsidR="0084463B" w:rsidRPr="00E55C08" w:rsidRDefault="0084463B" w:rsidP="00372CA7">
      <w:pPr>
        <w:pStyle w:val="aff6"/>
      </w:pPr>
      <w:r>
        <w:rPr>
          <w:rStyle w:val="aff8"/>
        </w:rPr>
        <w:footnoteRef/>
      </w:r>
      <w:r>
        <w:t xml:space="preserve"> </w:t>
      </w:r>
      <w:r>
        <w:rPr>
          <w:rFonts w:hint="eastAsia"/>
        </w:rPr>
        <w:t>新加坡公用事業局</w:t>
      </w:r>
      <w:r>
        <w:rPr>
          <w:rFonts w:hint="eastAsia"/>
        </w:rPr>
        <w:t>Public Utility Board</w:t>
      </w:r>
      <w:r>
        <w:rPr>
          <w:rFonts w:hint="eastAsia"/>
        </w:rPr>
        <w:t>，簡稱</w:t>
      </w:r>
      <w:r>
        <w:rPr>
          <w:rFonts w:hint="eastAsia"/>
        </w:rPr>
        <w:t>PUB</w:t>
      </w:r>
      <w:r>
        <w:rPr>
          <w:rFonts w:hint="eastAsia"/>
        </w:rPr>
        <w:t>。</w:t>
      </w:r>
    </w:p>
  </w:footnote>
  <w:footnote w:id="23">
    <w:p w:rsidR="0084463B" w:rsidRPr="0081622D" w:rsidRDefault="0084463B" w:rsidP="00372CA7">
      <w:pPr>
        <w:pStyle w:val="aff6"/>
      </w:pPr>
      <w:r>
        <w:rPr>
          <w:rStyle w:val="aff8"/>
        </w:rPr>
        <w:footnoteRef/>
      </w:r>
      <w:r>
        <w:rPr>
          <w:rFonts w:hint="eastAsia"/>
        </w:rPr>
        <w:t>黃齊元</w:t>
      </w:r>
      <w:r>
        <w:rPr>
          <w:rFonts w:hint="eastAsia"/>
        </w:rPr>
        <w:t>:</w:t>
      </w:r>
      <w:r w:rsidRPr="0081622D">
        <w:rPr>
          <w:rFonts w:hint="eastAsia"/>
        </w:rPr>
        <w:t>八年後，</w:t>
      </w:r>
      <w:r>
        <w:rPr>
          <w:rFonts w:hint="eastAsia"/>
        </w:rPr>
        <w:t>臺</w:t>
      </w:r>
      <w:r w:rsidRPr="0081622D">
        <w:rPr>
          <w:rFonts w:hint="eastAsia"/>
        </w:rPr>
        <w:t>灣會成為全世界最沒人才的國家</w:t>
      </w:r>
      <w:r>
        <w:rPr>
          <w:rFonts w:hint="eastAsia"/>
        </w:rPr>
        <w:t>(</w:t>
      </w:r>
      <w:r>
        <w:rPr>
          <w:rFonts w:hint="eastAsia"/>
        </w:rPr>
        <w:t>民</w:t>
      </w:r>
      <w:r>
        <w:rPr>
          <w:rFonts w:hint="eastAsia"/>
        </w:rPr>
        <w:t>102)</w:t>
      </w:r>
      <w:r>
        <w:rPr>
          <w:rFonts w:hint="eastAsia"/>
        </w:rPr>
        <w:t>。</w:t>
      </w:r>
    </w:p>
  </w:footnote>
  <w:footnote w:id="24">
    <w:p w:rsidR="0084463B" w:rsidRPr="002A2D8D" w:rsidRDefault="0084463B" w:rsidP="00372CA7">
      <w:pPr>
        <w:pStyle w:val="aff6"/>
      </w:pPr>
      <w:r>
        <w:rPr>
          <w:rStyle w:val="aff8"/>
        </w:rPr>
        <w:footnoteRef/>
      </w:r>
      <w:r>
        <w:t xml:space="preserve"> </w:t>
      </w:r>
      <w:r>
        <w:rPr>
          <w:rFonts w:hint="eastAsia"/>
        </w:rPr>
        <w:t>本院諮詢學者專家，舉出之實際案例。</w:t>
      </w:r>
    </w:p>
  </w:footnote>
  <w:footnote w:id="25">
    <w:p w:rsidR="0084463B" w:rsidRDefault="0084463B" w:rsidP="00372CA7">
      <w:pPr>
        <w:pStyle w:val="aff6"/>
      </w:pPr>
      <w:r>
        <w:rPr>
          <w:rStyle w:val="aff8"/>
        </w:rPr>
        <w:footnoteRef/>
      </w:r>
      <w:r>
        <w:t xml:space="preserve"> </w:t>
      </w:r>
      <w:r>
        <w:rPr>
          <w:rFonts w:hint="eastAsia"/>
        </w:rPr>
        <w:t>藍濤公司黃齊元總裁於</w:t>
      </w:r>
      <w:r>
        <w:rPr>
          <w:rFonts w:hint="eastAsia"/>
        </w:rPr>
        <w:t>105</w:t>
      </w:r>
      <w:r>
        <w:rPr>
          <w:rFonts w:hint="eastAsia"/>
        </w:rPr>
        <w:t>年</w:t>
      </w:r>
      <w:r>
        <w:rPr>
          <w:rFonts w:hint="eastAsia"/>
        </w:rPr>
        <w:t>5</w:t>
      </w:r>
      <w:r>
        <w:rPr>
          <w:rFonts w:hint="eastAsia"/>
        </w:rPr>
        <w:t>月</w:t>
      </w:r>
      <w:r>
        <w:rPr>
          <w:rFonts w:hint="eastAsia"/>
        </w:rPr>
        <w:t>19</w:t>
      </w:r>
      <w:r>
        <w:rPr>
          <w:rFonts w:hint="eastAsia"/>
        </w:rPr>
        <w:t>日本院學者專家諮詢會議所提案例。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B5AAB0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433E47"/>
    <w:multiLevelType w:val="hybridMultilevel"/>
    <w:tmpl w:val="B844A79C"/>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4DC08DF"/>
    <w:multiLevelType w:val="hybridMultilevel"/>
    <w:tmpl w:val="14F07AF6"/>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AD70A6F"/>
    <w:multiLevelType w:val="hybridMultilevel"/>
    <w:tmpl w:val="B1B85B46"/>
    <w:lvl w:ilvl="0" w:tplc="C5FE231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137B0DC9"/>
    <w:multiLevelType w:val="multilevel"/>
    <w:tmpl w:val="78C23346"/>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lang w:val="en-US"/>
      </w:rPr>
    </w:lvl>
    <w:lvl w:ilvl="4">
      <w:start w:val="1"/>
      <w:numFmt w:val="decimal"/>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lang w:val="en-US"/>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6"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470418F"/>
    <w:multiLevelType w:val="hybridMultilevel"/>
    <w:tmpl w:val="288C0984"/>
    <w:lvl w:ilvl="0" w:tplc="724EB518">
      <w:start w:val="1"/>
      <w:numFmt w:val="taiwaneseCountingThousand"/>
      <w:pStyle w:val="a1"/>
      <w:lvlText w:val="附表%1、"/>
      <w:lvlJc w:val="left"/>
      <w:pPr>
        <w:tabs>
          <w:tab w:val="num" w:pos="1440"/>
        </w:tabs>
        <w:ind w:left="800" w:hanging="800"/>
      </w:pPr>
      <w:rPr>
        <w:rFonts w:ascii="標楷體" w:eastAsia="標楷體" w:hint="eastAsia"/>
        <w:b w:val="0"/>
        <w:i w:val="0"/>
        <w:sz w:val="28"/>
        <w:szCs w:val="28"/>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9532EFC"/>
    <w:multiLevelType w:val="hybridMultilevel"/>
    <w:tmpl w:val="7CBA69F8"/>
    <w:lvl w:ilvl="0" w:tplc="178A5CEA">
      <w:start w:val="1"/>
      <w:numFmt w:val="taiwaneseCountingThousand"/>
      <w:pStyle w:val="a2"/>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7C3CC0"/>
    <w:multiLevelType w:val="hybridMultilevel"/>
    <w:tmpl w:val="A51A7B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3967AD"/>
    <w:multiLevelType w:val="hybridMultilevel"/>
    <w:tmpl w:val="05FA87D8"/>
    <w:lvl w:ilvl="0" w:tplc="36EA0EF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CC50C4"/>
    <w:multiLevelType w:val="multilevel"/>
    <w:tmpl w:val="88B63BEA"/>
    <w:lvl w:ilvl="0">
      <w:start w:val="1"/>
      <w:numFmt w:val="ideographLegalTraditional"/>
      <w:suff w:val="nothing"/>
      <w:lvlText w:val="%1、"/>
      <w:lvlJc w:val="left"/>
      <w:pPr>
        <w:ind w:left="699" w:hanging="699"/>
      </w:pPr>
      <w:rPr>
        <w:rFonts w:ascii="標楷體" w:eastAsia="標楷體" w:hint="eastAsia"/>
        <w:b/>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265" w:hanging="697"/>
      </w:pPr>
      <w:rPr>
        <w:rFonts w:ascii="標楷體" w:eastAsia="標楷體" w:hint="eastAsia"/>
        <w:b w:val="0"/>
        <w:i w:val="0"/>
        <w:color w:val="00000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 w15:restartNumberingAfterBreak="0">
    <w:nsid w:val="292C4AB2"/>
    <w:multiLevelType w:val="hybridMultilevel"/>
    <w:tmpl w:val="BE2AF470"/>
    <w:lvl w:ilvl="0" w:tplc="499C41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9B05375"/>
    <w:multiLevelType w:val="hybridMultilevel"/>
    <w:tmpl w:val="D7847F32"/>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CFE143F"/>
    <w:multiLevelType w:val="hybridMultilevel"/>
    <w:tmpl w:val="AD9A9E26"/>
    <w:lvl w:ilvl="0" w:tplc="60C4AAA2">
      <w:start w:val="1"/>
      <w:numFmt w:val="decimal"/>
      <w:pStyle w:val="a3"/>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710021"/>
    <w:multiLevelType w:val="hybridMultilevel"/>
    <w:tmpl w:val="48FEB04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41523EB"/>
    <w:multiLevelType w:val="hybridMultilevel"/>
    <w:tmpl w:val="05AE3BB2"/>
    <w:lvl w:ilvl="0" w:tplc="6DE67236">
      <w:start w:val="1"/>
      <w:numFmt w:val="taiwaneseCountingThousand"/>
      <w:pStyle w:val="a4"/>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5F5684"/>
    <w:multiLevelType w:val="hybridMultilevel"/>
    <w:tmpl w:val="EDE86E88"/>
    <w:lvl w:ilvl="0" w:tplc="C4708E16">
      <w:start w:val="1"/>
      <w:numFmt w:val="decimal"/>
      <w:pStyle w:val="a5"/>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2BA770F"/>
    <w:multiLevelType w:val="hybridMultilevel"/>
    <w:tmpl w:val="F8F090FE"/>
    <w:lvl w:ilvl="0" w:tplc="E0A0E0C8">
      <w:start w:val="1"/>
      <w:numFmt w:val="upperLetter"/>
      <w:pStyle w:val="a6"/>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6E54857"/>
    <w:multiLevelType w:val="hybridMultilevel"/>
    <w:tmpl w:val="DD243272"/>
    <w:lvl w:ilvl="0" w:tplc="9D2669BE">
      <w:start w:val="1"/>
      <w:numFmt w:val="decimal"/>
      <w:pStyle w:val="a7"/>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20325A"/>
    <w:multiLevelType w:val="hybridMultilevel"/>
    <w:tmpl w:val="B1B85B46"/>
    <w:lvl w:ilvl="0" w:tplc="C5FE2318">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1" w15:restartNumberingAfterBreak="0">
    <w:nsid w:val="67F874A7"/>
    <w:multiLevelType w:val="multilevel"/>
    <w:tmpl w:val="84727042"/>
    <w:lvl w:ilvl="0">
      <w:start w:val="1"/>
      <w:numFmt w:val="decimal"/>
      <w:pStyle w:val="10"/>
      <w:lvlText w:val="圖%1　"/>
      <w:lvlJc w:val="left"/>
      <w:pPr>
        <w:ind w:left="3174" w:hanging="4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ideographTraditional"/>
      <w:lvlText w:val="%2、"/>
      <w:lvlJc w:val="left"/>
      <w:pPr>
        <w:ind w:left="1527" w:hanging="480"/>
      </w:pPr>
      <w:rPr>
        <w:rFonts w:hint="eastAsia"/>
      </w:rPr>
    </w:lvl>
    <w:lvl w:ilvl="2">
      <w:start w:val="1"/>
      <w:numFmt w:val="lowerRoman"/>
      <w:lvlText w:val="%3."/>
      <w:lvlJc w:val="right"/>
      <w:pPr>
        <w:ind w:left="2007" w:hanging="480"/>
      </w:pPr>
      <w:rPr>
        <w:rFonts w:hint="eastAsia"/>
      </w:rPr>
    </w:lvl>
    <w:lvl w:ilvl="3">
      <w:start w:val="1"/>
      <w:numFmt w:val="decimal"/>
      <w:lvlText w:val="%4."/>
      <w:lvlJc w:val="left"/>
      <w:pPr>
        <w:ind w:left="1047" w:hanging="480"/>
      </w:pPr>
      <w:rPr>
        <w:rFonts w:hint="eastAsia"/>
      </w:rPr>
    </w:lvl>
    <w:lvl w:ilvl="4">
      <w:start w:val="1"/>
      <w:numFmt w:val="decimal"/>
      <w:lvlText w:val="(%5)"/>
      <w:lvlJc w:val="left"/>
      <w:pPr>
        <w:ind w:left="3207" w:hanging="720"/>
      </w:pPr>
      <w:rPr>
        <w:rFonts w:hint="default"/>
      </w:rPr>
    </w:lvl>
    <w:lvl w:ilvl="5">
      <w:start w:val="1"/>
      <w:numFmt w:val="taiwaneseCountingThousand"/>
      <w:lvlText w:val="%6、"/>
      <w:lvlJc w:val="left"/>
      <w:pPr>
        <w:ind w:left="3687" w:hanging="720"/>
      </w:pPr>
      <w:rPr>
        <w:rFonts w:hint="default"/>
        <w:b/>
        <w:color w:val="000000"/>
        <w:sz w:val="30"/>
      </w:rPr>
    </w:lvl>
    <w:lvl w:ilvl="6">
      <w:start w:val="1"/>
      <w:numFmt w:val="taiwaneseCountingThousand"/>
      <w:lvlText w:val="（%7）"/>
      <w:lvlJc w:val="left"/>
      <w:pPr>
        <w:ind w:left="4527" w:hanging="1080"/>
      </w:pPr>
      <w:rPr>
        <w:rFonts w:hint="default"/>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22" w15:restartNumberingAfterBreak="0">
    <w:nsid w:val="6D913176"/>
    <w:multiLevelType w:val="hybridMultilevel"/>
    <w:tmpl w:val="8EC240A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73555939"/>
    <w:multiLevelType w:val="hybridMultilevel"/>
    <w:tmpl w:val="C9320904"/>
    <w:lvl w:ilvl="0" w:tplc="445E361C">
      <w:start w:val="1"/>
      <w:numFmt w:val="decimal"/>
      <w:lvlText w:val="%1."/>
      <w:lvlJc w:val="left"/>
      <w:pPr>
        <w:ind w:left="502" w:hanging="360"/>
      </w:pPr>
      <w:rPr>
        <w:rFonts w:hint="default"/>
        <w:sz w:val="28"/>
        <w:szCs w:val="28"/>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4" w15:restartNumberingAfterBreak="0">
    <w:nsid w:val="7634690F"/>
    <w:multiLevelType w:val="hybridMultilevel"/>
    <w:tmpl w:val="B1B85B46"/>
    <w:lvl w:ilvl="0" w:tplc="C5FE2318">
      <w:start w:val="1"/>
      <w:numFmt w:val="decimal"/>
      <w:lvlText w:val="%1."/>
      <w:lvlJc w:val="left"/>
      <w:pPr>
        <w:ind w:left="1551" w:hanging="360"/>
      </w:pPr>
      <w:rPr>
        <w:rFonts w:hint="default"/>
      </w:rPr>
    </w:lvl>
    <w:lvl w:ilvl="1" w:tplc="04090019">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num w:numId="1">
    <w:abstractNumId w:val="8"/>
  </w:num>
  <w:num w:numId="2">
    <w:abstractNumId w:val="3"/>
  </w:num>
  <w:num w:numId="3">
    <w:abstractNumId w:val="17"/>
  </w:num>
  <w:num w:numId="4">
    <w:abstractNumId w:val="14"/>
  </w:num>
  <w:num w:numId="5">
    <w:abstractNumId w:val="18"/>
  </w:num>
  <w:num w:numId="6">
    <w:abstractNumId w:val="6"/>
  </w:num>
  <w:num w:numId="7">
    <w:abstractNumId w:val="19"/>
  </w:num>
  <w:num w:numId="8">
    <w:abstractNumId w:val="16"/>
  </w:num>
  <w:num w:numId="9">
    <w:abstractNumId w:val="7"/>
  </w:num>
  <w:num w:numId="10">
    <w:abstractNumId w:val="2"/>
  </w:num>
  <w:num w:numId="11">
    <w:abstractNumId w:val="22"/>
  </w:num>
  <w:num w:numId="12">
    <w:abstractNumId w:val="15"/>
  </w:num>
  <w:num w:numId="13">
    <w:abstractNumId w:val="13"/>
  </w:num>
  <w:num w:numId="14">
    <w:abstractNumId w:val="1"/>
  </w:num>
  <w:num w:numId="15">
    <w:abstractNumId w:val="9"/>
  </w:num>
  <w:num w:numId="16">
    <w:abstractNumId w:val="12"/>
  </w:num>
  <w:num w:numId="17">
    <w:abstractNumId w:val="10"/>
  </w:num>
  <w:num w:numId="18">
    <w:abstractNumId w:val="11"/>
  </w:num>
  <w:num w:numId="19">
    <w:abstractNumId w:val="21"/>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20"/>
  </w:num>
  <w:num w:numId="24">
    <w:abstractNumId w:val="24"/>
  </w:num>
  <w:num w:numId="25">
    <w:abstractNumId w:val="4"/>
  </w:num>
  <w:num w:numId="26">
    <w:abstractNumId w:val="23"/>
  </w:num>
  <w:num w:numId="27">
    <w:abstractNumId w:val="0"/>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14"/>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316"/>
    <w:rsid w:val="000246F7"/>
    <w:rsid w:val="0003114D"/>
    <w:rsid w:val="00036589"/>
    <w:rsid w:val="000367C5"/>
    <w:rsid w:val="00036D76"/>
    <w:rsid w:val="000533F4"/>
    <w:rsid w:val="00057F32"/>
    <w:rsid w:val="00062A25"/>
    <w:rsid w:val="00073CB5"/>
    <w:rsid w:val="0007425C"/>
    <w:rsid w:val="00077553"/>
    <w:rsid w:val="000851A2"/>
    <w:rsid w:val="0009318D"/>
    <w:rsid w:val="0009352E"/>
    <w:rsid w:val="00096B96"/>
    <w:rsid w:val="000A2F3F"/>
    <w:rsid w:val="000A59F3"/>
    <w:rsid w:val="000B0B4A"/>
    <w:rsid w:val="000B279A"/>
    <w:rsid w:val="000B61D2"/>
    <w:rsid w:val="000B70A7"/>
    <w:rsid w:val="000B73DD"/>
    <w:rsid w:val="000C495F"/>
    <w:rsid w:val="000E6431"/>
    <w:rsid w:val="000F21A5"/>
    <w:rsid w:val="00102B9F"/>
    <w:rsid w:val="00112535"/>
    <w:rsid w:val="00112637"/>
    <w:rsid w:val="00112ABC"/>
    <w:rsid w:val="001155E6"/>
    <w:rsid w:val="0012001E"/>
    <w:rsid w:val="00126A55"/>
    <w:rsid w:val="00133F08"/>
    <w:rsid w:val="001345E6"/>
    <w:rsid w:val="001378B0"/>
    <w:rsid w:val="00142E00"/>
    <w:rsid w:val="00147E75"/>
    <w:rsid w:val="00152793"/>
    <w:rsid w:val="00153B7E"/>
    <w:rsid w:val="001545A9"/>
    <w:rsid w:val="001637C7"/>
    <w:rsid w:val="0016480E"/>
    <w:rsid w:val="00174297"/>
    <w:rsid w:val="00180E06"/>
    <w:rsid w:val="001817B3"/>
    <w:rsid w:val="00183014"/>
    <w:rsid w:val="001959C2"/>
    <w:rsid w:val="001A51E3"/>
    <w:rsid w:val="001A7853"/>
    <w:rsid w:val="001A7968"/>
    <w:rsid w:val="001B28AB"/>
    <w:rsid w:val="001B2E98"/>
    <w:rsid w:val="001B3483"/>
    <w:rsid w:val="001B3C1E"/>
    <w:rsid w:val="001B4494"/>
    <w:rsid w:val="001C0D8B"/>
    <w:rsid w:val="001C0DA8"/>
    <w:rsid w:val="001C1328"/>
    <w:rsid w:val="001D4AD7"/>
    <w:rsid w:val="001E0D8A"/>
    <w:rsid w:val="001E3295"/>
    <w:rsid w:val="001E67BA"/>
    <w:rsid w:val="001E74C2"/>
    <w:rsid w:val="001F22A8"/>
    <w:rsid w:val="001F3DFD"/>
    <w:rsid w:val="001F4F82"/>
    <w:rsid w:val="001F5A48"/>
    <w:rsid w:val="001F5E71"/>
    <w:rsid w:val="001F6260"/>
    <w:rsid w:val="00200007"/>
    <w:rsid w:val="002030A5"/>
    <w:rsid w:val="00203131"/>
    <w:rsid w:val="00212C38"/>
    <w:rsid w:val="00212E88"/>
    <w:rsid w:val="00213C9C"/>
    <w:rsid w:val="0022009E"/>
    <w:rsid w:val="00223241"/>
    <w:rsid w:val="0022425C"/>
    <w:rsid w:val="002246DE"/>
    <w:rsid w:val="00225E29"/>
    <w:rsid w:val="00233C6B"/>
    <w:rsid w:val="00252BC4"/>
    <w:rsid w:val="00254014"/>
    <w:rsid w:val="00254B39"/>
    <w:rsid w:val="0026256A"/>
    <w:rsid w:val="0026504D"/>
    <w:rsid w:val="00273A2F"/>
    <w:rsid w:val="00274112"/>
    <w:rsid w:val="00280986"/>
    <w:rsid w:val="00281ECE"/>
    <w:rsid w:val="002831C7"/>
    <w:rsid w:val="002840C6"/>
    <w:rsid w:val="00295174"/>
    <w:rsid w:val="00296172"/>
    <w:rsid w:val="00296B92"/>
    <w:rsid w:val="002A2C22"/>
    <w:rsid w:val="002B02EB"/>
    <w:rsid w:val="002C0602"/>
    <w:rsid w:val="002D5C16"/>
    <w:rsid w:val="002D6FA8"/>
    <w:rsid w:val="002E745E"/>
    <w:rsid w:val="002F2476"/>
    <w:rsid w:val="002F3DFF"/>
    <w:rsid w:val="002F5E05"/>
    <w:rsid w:val="002F75BC"/>
    <w:rsid w:val="00307A76"/>
    <w:rsid w:val="00315A16"/>
    <w:rsid w:val="00317053"/>
    <w:rsid w:val="0032109C"/>
    <w:rsid w:val="00322B45"/>
    <w:rsid w:val="00323809"/>
    <w:rsid w:val="00323D41"/>
    <w:rsid w:val="00325414"/>
    <w:rsid w:val="00326E14"/>
    <w:rsid w:val="003302F1"/>
    <w:rsid w:val="0034470E"/>
    <w:rsid w:val="00352DB0"/>
    <w:rsid w:val="0035625F"/>
    <w:rsid w:val="00361063"/>
    <w:rsid w:val="0037094A"/>
    <w:rsid w:val="00371ED3"/>
    <w:rsid w:val="00372CA7"/>
    <w:rsid w:val="00372FFC"/>
    <w:rsid w:val="0037728A"/>
    <w:rsid w:val="00380B7D"/>
    <w:rsid w:val="00381A99"/>
    <w:rsid w:val="003829C2"/>
    <w:rsid w:val="003830B2"/>
    <w:rsid w:val="00384724"/>
    <w:rsid w:val="00385A55"/>
    <w:rsid w:val="00391423"/>
    <w:rsid w:val="003919B7"/>
    <w:rsid w:val="00391D57"/>
    <w:rsid w:val="00392292"/>
    <w:rsid w:val="003A5927"/>
    <w:rsid w:val="003B009C"/>
    <w:rsid w:val="003B1017"/>
    <w:rsid w:val="003B3C07"/>
    <w:rsid w:val="003B6081"/>
    <w:rsid w:val="003B6775"/>
    <w:rsid w:val="003C37E5"/>
    <w:rsid w:val="003C5FE2"/>
    <w:rsid w:val="003D05FB"/>
    <w:rsid w:val="003D1B16"/>
    <w:rsid w:val="003D30CA"/>
    <w:rsid w:val="003D45BF"/>
    <w:rsid w:val="003D508A"/>
    <w:rsid w:val="003D537F"/>
    <w:rsid w:val="003D60EF"/>
    <w:rsid w:val="003D7B75"/>
    <w:rsid w:val="003E0208"/>
    <w:rsid w:val="003E4B57"/>
    <w:rsid w:val="003F27E1"/>
    <w:rsid w:val="003F2F73"/>
    <w:rsid w:val="003F437A"/>
    <w:rsid w:val="003F5C2B"/>
    <w:rsid w:val="00402240"/>
    <w:rsid w:val="004023E9"/>
    <w:rsid w:val="0040454A"/>
    <w:rsid w:val="00407CD8"/>
    <w:rsid w:val="00413F83"/>
    <w:rsid w:val="0041490C"/>
    <w:rsid w:val="00416191"/>
    <w:rsid w:val="00416721"/>
    <w:rsid w:val="00421EF0"/>
    <w:rsid w:val="004224FA"/>
    <w:rsid w:val="00423D07"/>
    <w:rsid w:val="00427936"/>
    <w:rsid w:val="0044346F"/>
    <w:rsid w:val="0046520A"/>
    <w:rsid w:val="004672AB"/>
    <w:rsid w:val="004714FE"/>
    <w:rsid w:val="00477BAA"/>
    <w:rsid w:val="00490080"/>
    <w:rsid w:val="00495053"/>
    <w:rsid w:val="004A0627"/>
    <w:rsid w:val="004A1F59"/>
    <w:rsid w:val="004A29BE"/>
    <w:rsid w:val="004A3225"/>
    <w:rsid w:val="004A33EE"/>
    <w:rsid w:val="004A3AA8"/>
    <w:rsid w:val="004A475B"/>
    <w:rsid w:val="004B13C7"/>
    <w:rsid w:val="004B778F"/>
    <w:rsid w:val="004C0609"/>
    <w:rsid w:val="004D141F"/>
    <w:rsid w:val="004D2742"/>
    <w:rsid w:val="004D6310"/>
    <w:rsid w:val="004D667C"/>
    <w:rsid w:val="004E0062"/>
    <w:rsid w:val="004E05A1"/>
    <w:rsid w:val="004F5E57"/>
    <w:rsid w:val="004F6710"/>
    <w:rsid w:val="00500C3E"/>
    <w:rsid w:val="00502849"/>
    <w:rsid w:val="00504334"/>
    <w:rsid w:val="0050498D"/>
    <w:rsid w:val="005104D7"/>
    <w:rsid w:val="00510B9E"/>
    <w:rsid w:val="0053633B"/>
    <w:rsid w:val="00536BC2"/>
    <w:rsid w:val="005425E1"/>
    <w:rsid w:val="005427C5"/>
    <w:rsid w:val="00542CF6"/>
    <w:rsid w:val="00553C03"/>
    <w:rsid w:val="00561BCF"/>
    <w:rsid w:val="00563692"/>
    <w:rsid w:val="00571679"/>
    <w:rsid w:val="005844E7"/>
    <w:rsid w:val="005908B8"/>
    <w:rsid w:val="0059512E"/>
    <w:rsid w:val="005A6DD2"/>
    <w:rsid w:val="005C385D"/>
    <w:rsid w:val="005D2F37"/>
    <w:rsid w:val="005D3B20"/>
    <w:rsid w:val="005E4759"/>
    <w:rsid w:val="005E5C68"/>
    <w:rsid w:val="005E65C0"/>
    <w:rsid w:val="005F0390"/>
    <w:rsid w:val="005F2B07"/>
    <w:rsid w:val="005F72E9"/>
    <w:rsid w:val="006072CD"/>
    <w:rsid w:val="00612023"/>
    <w:rsid w:val="00614190"/>
    <w:rsid w:val="00615604"/>
    <w:rsid w:val="00620A50"/>
    <w:rsid w:val="00622A99"/>
    <w:rsid w:val="00622E67"/>
    <w:rsid w:val="00626616"/>
    <w:rsid w:val="00626EDC"/>
    <w:rsid w:val="00637170"/>
    <w:rsid w:val="006470EC"/>
    <w:rsid w:val="006542D6"/>
    <w:rsid w:val="0065598E"/>
    <w:rsid w:val="00655AF2"/>
    <w:rsid w:val="00655BC5"/>
    <w:rsid w:val="006568BE"/>
    <w:rsid w:val="0066025D"/>
    <w:rsid w:val="0066091A"/>
    <w:rsid w:val="00675F50"/>
    <w:rsid w:val="006773EC"/>
    <w:rsid w:val="00680504"/>
    <w:rsid w:val="00681CD9"/>
    <w:rsid w:val="00683E30"/>
    <w:rsid w:val="00687024"/>
    <w:rsid w:val="00695E22"/>
    <w:rsid w:val="00697660"/>
    <w:rsid w:val="006B6C6A"/>
    <w:rsid w:val="006B7093"/>
    <w:rsid w:val="006B7417"/>
    <w:rsid w:val="006D3691"/>
    <w:rsid w:val="006E5EF0"/>
    <w:rsid w:val="006F2255"/>
    <w:rsid w:val="006F3563"/>
    <w:rsid w:val="006F42B9"/>
    <w:rsid w:val="006F6103"/>
    <w:rsid w:val="00704123"/>
    <w:rsid w:val="00704E00"/>
    <w:rsid w:val="00713D42"/>
    <w:rsid w:val="007209E7"/>
    <w:rsid w:val="007238E8"/>
    <w:rsid w:val="00726182"/>
    <w:rsid w:val="00727635"/>
    <w:rsid w:val="00732329"/>
    <w:rsid w:val="007337CA"/>
    <w:rsid w:val="00734CE4"/>
    <w:rsid w:val="00735123"/>
    <w:rsid w:val="00741837"/>
    <w:rsid w:val="007453E6"/>
    <w:rsid w:val="00745E28"/>
    <w:rsid w:val="0077309D"/>
    <w:rsid w:val="007774EE"/>
    <w:rsid w:val="00781822"/>
    <w:rsid w:val="00781C4A"/>
    <w:rsid w:val="00783F21"/>
    <w:rsid w:val="00787159"/>
    <w:rsid w:val="0079043A"/>
    <w:rsid w:val="00791668"/>
    <w:rsid w:val="00791AA1"/>
    <w:rsid w:val="007A3793"/>
    <w:rsid w:val="007C1BA2"/>
    <w:rsid w:val="007C2944"/>
    <w:rsid w:val="007C2B48"/>
    <w:rsid w:val="007D20E9"/>
    <w:rsid w:val="007D7881"/>
    <w:rsid w:val="007D7E3A"/>
    <w:rsid w:val="007E0274"/>
    <w:rsid w:val="007E0E10"/>
    <w:rsid w:val="007E4768"/>
    <w:rsid w:val="007E777B"/>
    <w:rsid w:val="007F2070"/>
    <w:rsid w:val="008053F5"/>
    <w:rsid w:val="00807AF7"/>
    <w:rsid w:val="00810198"/>
    <w:rsid w:val="00815DA8"/>
    <w:rsid w:val="0082194D"/>
    <w:rsid w:val="008221F9"/>
    <w:rsid w:val="00824C13"/>
    <w:rsid w:val="00826EF5"/>
    <w:rsid w:val="00831693"/>
    <w:rsid w:val="00834569"/>
    <w:rsid w:val="00837CBF"/>
    <w:rsid w:val="00840104"/>
    <w:rsid w:val="00840C1F"/>
    <w:rsid w:val="00841FC5"/>
    <w:rsid w:val="0084463B"/>
    <w:rsid w:val="00845709"/>
    <w:rsid w:val="008576BD"/>
    <w:rsid w:val="00860463"/>
    <w:rsid w:val="008733DA"/>
    <w:rsid w:val="008850E4"/>
    <w:rsid w:val="008939AB"/>
    <w:rsid w:val="008961FD"/>
    <w:rsid w:val="008A12F5"/>
    <w:rsid w:val="008A1AE5"/>
    <w:rsid w:val="008B1587"/>
    <w:rsid w:val="008B1B01"/>
    <w:rsid w:val="008B3A59"/>
    <w:rsid w:val="008B3BCD"/>
    <w:rsid w:val="008B6DF8"/>
    <w:rsid w:val="008C106C"/>
    <w:rsid w:val="008C10F1"/>
    <w:rsid w:val="008C1926"/>
    <w:rsid w:val="008C1E99"/>
    <w:rsid w:val="008D5305"/>
    <w:rsid w:val="008E0085"/>
    <w:rsid w:val="008E20FC"/>
    <w:rsid w:val="008E2AA6"/>
    <w:rsid w:val="008E311B"/>
    <w:rsid w:val="008E321C"/>
    <w:rsid w:val="008F46E7"/>
    <w:rsid w:val="008F6F0B"/>
    <w:rsid w:val="00904CFB"/>
    <w:rsid w:val="00907BA7"/>
    <w:rsid w:val="00907D2B"/>
    <w:rsid w:val="0091064E"/>
    <w:rsid w:val="00911F93"/>
    <w:rsid w:val="00911FC5"/>
    <w:rsid w:val="0091577E"/>
    <w:rsid w:val="009165D0"/>
    <w:rsid w:val="00931A10"/>
    <w:rsid w:val="00947967"/>
    <w:rsid w:val="00955201"/>
    <w:rsid w:val="00965200"/>
    <w:rsid w:val="009668B3"/>
    <w:rsid w:val="00971471"/>
    <w:rsid w:val="00984089"/>
    <w:rsid w:val="009849C2"/>
    <w:rsid w:val="00984D24"/>
    <w:rsid w:val="009858EB"/>
    <w:rsid w:val="009A29D4"/>
    <w:rsid w:val="009A3F47"/>
    <w:rsid w:val="009B0046"/>
    <w:rsid w:val="009C1440"/>
    <w:rsid w:val="009C2107"/>
    <w:rsid w:val="009C5D9E"/>
    <w:rsid w:val="009D24AD"/>
    <w:rsid w:val="009D2C3E"/>
    <w:rsid w:val="009E0625"/>
    <w:rsid w:val="009E3034"/>
    <w:rsid w:val="009E549F"/>
    <w:rsid w:val="009F28A8"/>
    <w:rsid w:val="009F473E"/>
    <w:rsid w:val="009F4774"/>
    <w:rsid w:val="009F682A"/>
    <w:rsid w:val="00A00AA2"/>
    <w:rsid w:val="00A022BE"/>
    <w:rsid w:val="00A07B4B"/>
    <w:rsid w:val="00A24C95"/>
    <w:rsid w:val="00A2599A"/>
    <w:rsid w:val="00A26094"/>
    <w:rsid w:val="00A301BF"/>
    <w:rsid w:val="00A302B2"/>
    <w:rsid w:val="00A331B4"/>
    <w:rsid w:val="00A3484E"/>
    <w:rsid w:val="00A356D3"/>
    <w:rsid w:val="00A36ADA"/>
    <w:rsid w:val="00A438D8"/>
    <w:rsid w:val="00A473F5"/>
    <w:rsid w:val="00A51F9D"/>
    <w:rsid w:val="00A5416A"/>
    <w:rsid w:val="00A639F4"/>
    <w:rsid w:val="00A7568D"/>
    <w:rsid w:val="00A81A32"/>
    <w:rsid w:val="00A835BD"/>
    <w:rsid w:val="00A97B15"/>
    <w:rsid w:val="00AA42D5"/>
    <w:rsid w:val="00AB2FAB"/>
    <w:rsid w:val="00AB510D"/>
    <w:rsid w:val="00AB5C14"/>
    <w:rsid w:val="00AC1EE7"/>
    <w:rsid w:val="00AC333F"/>
    <w:rsid w:val="00AC585C"/>
    <w:rsid w:val="00AD1925"/>
    <w:rsid w:val="00AE067D"/>
    <w:rsid w:val="00AF1181"/>
    <w:rsid w:val="00AF2F79"/>
    <w:rsid w:val="00AF4653"/>
    <w:rsid w:val="00AF7DB7"/>
    <w:rsid w:val="00B027F4"/>
    <w:rsid w:val="00B10A4D"/>
    <w:rsid w:val="00B10D02"/>
    <w:rsid w:val="00B16EF5"/>
    <w:rsid w:val="00B201E2"/>
    <w:rsid w:val="00B443E4"/>
    <w:rsid w:val="00B5484D"/>
    <w:rsid w:val="00B563EA"/>
    <w:rsid w:val="00B56CDF"/>
    <w:rsid w:val="00B60E51"/>
    <w:rsid w:val="00B63A54"/>
    <w:rsid w:val="00B67F0F"/>
    <w:rsid w:val="00B77D18"/>
    <w:rsid w:val="00B8313A"/>
    <w:rsid w:val="00B91A92"/>
    <w:rsid w:val="00B93503"/>
    <w:rsid w:val="00BA31E8"/>
    <w:rsid w:val="00BA55E0"/>
    <w:rsid w:val="00BA6BD4"/>
    <w:rsid w:val="00BA6C7A"/>
    <w:rsid w:val="00BB17D1"/>
    <w:rsid w:val="00BB18A5"/>
    <w:rsid w:val="00BB293B"/>
    <w:rsid w:val="00BB3752"/>
    <w:rsid w:val="00BB6688"/>
    <w:rsid w:val="00BC26D4"/>
    <w:rsid w:val="00BD1000"/>
    <w:rsid w:val="00BE0C80"/>
    <w:rsid w:val="00BE4853"/>
    <w:rsid w:val="00BF2A42"/>
    <w:rsid w:val="00BF6332"/>
    <w:rsid w:val="00C03D8C"/>
    <w:rsid w:val="00C055EC"/>
    <w:rsid w:val="00C10DC9"/>
    <w:rsid w:val="00C12FB3"/>
    <w:rsid w:val="00C17341"/>
    <w:rsid w:val="00C20267"/>
    <w:rsid w:val="00C24EEF"/>
    <w:rsid w:val="00C25CF6"/>
    <w:rsid w:val="00C26C36"/>
    <w:rsid w:val="00C3163B"/>
    <w:rsid w:val="00C32768"/>
    <w:rsid w:val="00C361F2"/>
    <w:rsid w:val="00C431DF"/>
    <w:rsid w:val="00C456BD"/>
    <w:rsid w:val="00C51FD4"/>
    <w:rsid w:val="00C530DC"/>
    <w:rsid w:val="00C5350D"/>
    <w:rsid w:val="00C5615D"/>
    <w:rsid w:val="00C6123C"/>
    <w:rsid w:val="00C6311A"/>
    <w:rsid w:val="00C7084D"/>
    <w:rsid w:val="00C7315E"/>
    <w:rsid w:val="00C75895"/>
    <w:rsid w:val="00C83C9F"/>
    <w:rsid w:val="00C91839"/>
    <w:rsid w:val="00C94840"/>
    <w:rsid w:val="00CA10F7"/>
    <w:rsid w:val="00CA4EE3"/>
    <w:rsid w:val="00CA70A8"/>
    <w:rsid w:val="00CB027F"/>
    <w:rsid w:val="00CC0EBB"/>
    <w:rsid w:val="00CC6297"/>
    <w:rsid w:val="00CC7690"/>
    <w:rsid w:val="00CD1986"/>
    <w:rsid w:val="00CD54BF"/>
    <w:rsid w:val="00CE4D5C"/>
    <w:rsid w:val="00CF05DA"/>
    <w:rsid w:val="00CF58EB"/>
    <w:rsid w:val="00CF6FEC"/>
    <w:rsid w:val="00CF7B1B"/>
    <w:rsid w:val="00D0106E"/>
    <w:rsid w:val="00D055B3"/>
    <w:rsid w:val="00D06383"/>
    <w:rsid w:val="00D129E2"/>
    <w:rsid w:val="00D14830"/>
    <w:rsid w:val="00D20E85"/>
    <w:rsid w:val="00D24615"/>
    <w:rsid w:val="00D37842"/>
    <w:rsid w:val="00D42DC2"/>
    <w:rsid w:val="00D537E1"/>
    <w:rsid w:val="00D55BB2"/>
    <w:rsid w:val="00D6091A"/>
    <w:rsid w:val="00D6605A"/>
    <w:rsid w:val="00D6695F"/>
    <w:rsid w:val="00D75644"/>
    <w:rsid w:val="00D75D13"/>
    <w:rsid w:val="00D81656"/>
    <w:rsid w:val="00D83D87"/>
    <w:rsid w:val="00D84A6D"/>
    <w:rsid w:val="00D86A30"/>
    <w:rsid w:val="00D97CB4"/>
    <w:rsid w:val="00D97DD4"/>
    <w:rsid w:val="00DA19F5"/>
    <w:rsid w:val="00DA5A8A"/>
    <w:rsid w:val="00DA7DD9"/>
    <w:rsid w:val="00DB1170"/>
    <w:rsid w:val="00DB26CD"/>
    <w:rsid w:val="00DB37DF"/>
    <w:rsid w:val="00DB441C"/>
    <w:rsid w:val="00DB44AF"/>
    <w:rsid w:val="00DC1F58"/>
    <w:rsid w:val="00DC339B"/>
    <w:rsid w:val="00DC5402"/>
    <w:rsid w:val="00DC5D40"/>
    <w:rsid w:val="00DC69A7"/>
    <w:rsid w:val="00DD224E"/>
    <w:rsid w:val="00DD266E"/>
    <w:rsid w:val="00DD30E9"/>
    <w:rsid w:val="00DD37DA"/>
    <w:rsid w:val="00DD4F47"/>
    <w:rsid w:val="00DD6EA2"/>
    <w:rsid w:val="00DD7FBB"/>
    <w:rsid w:val="00DE0B9F"/>
    <w:rsid w:val="00DE2A9E"/>
    <w:rsid w:val="00DE4238"/>
    <w:rsid w:val="00DE657F"/>
    <w:rsid w:val="00DF1218"/>
    <w:rsid w:val="00DF4593"/>
    <w:rsid w:val="00DF6462"/>
    <w:rsid w:val="00E02FA0"/>
    <w:rsid w:val="00E036DC"/>
    <w:rsid w:val="00E10454"/>
    <w:rsid w:val="00E10B93"/>
    <w:rsid w:val="00E112E5"/>
    <w:rsid w:val="00E122D8"/>
    <w:rsid w:val="00E12CC8"/>
    <w:rsid w:val="00E1407F"/>
    <w:rsid w:val="00E15352"/>
    <w:rsid w:val="00E21CC7"/>
    <w:rsid w:val="00E24D9E"/>
    <w:rsid w:val="00E25849"/>
    <w:rsid w:val="00E27DB4"/>
    <w:rsid w:val="00E30310"/>
    <w:rsid w:val="00E3197E"/>
    <w:rsid w:val="00E342F8"/>
    <w:rsid w:val="00E351ED"/>
    <w:rsid w:val="00E6034B"/>
    <w:rsid w:val="00E6549E"/>
    <w:rsid w:val="00E65EDE"/>
    <w:rsid w:val="00E70B9B"/>
    <w:rsid w:val="00E70F81"/>
    <w:rsid w:val="00E77055"/>
    <w:rsid w:val="00E77460"/>
    <w:rsid w:val="00E83ABC"/>
    <w:rsid w:val="00E844F2"/>
    <w:rsid w:val="00E870C6"/>
    <w:rsid w:val="00E90AD0"/>
    <w:rsid w:val="00E92FCB"/>
    <w:rsid w:val="00EA147F"/>
    <w:rsid w:val="00EA4A27"/>
    <w:rsid w:val="00EA4FA6"/>
    <w:rsid w:val="00EB1A25"/>
    <w:rsid w:val="00EC7363"/>
    <w:rsid w:val="00ED03AB"/>
    <w:rsid w:val="00ED1963"/>
    <w:rsid w:val="00ED1CD4"/>
    <w:rsid w:val="00ED1D2B"/>
    <w:rsid w:val="00ED64B5"/>
    <w:rsid w:val="00EE2F38"/>
    <w:rsid w:val="00EE7CCA"/>
    <w:rsid w:val="00F16A14"/>
    <w:rsid w:val="00F16E96"/>
    <w:rsid w:val="00F255E2"/>
    <w:rsid w:val="00F31F7E"/>
    <w:rsid w:val="00F362D7"/>
    <w:rsid w:val="00F37D7B"/>
    <w:rsid w:val="00F51C69"/>
    <w:rsid w:val="00F5314C"/>
    <w:rsid w:val="00F5688C"/>
    <w:rsid w:val="00F60048"/>
    <w:rsid w:val="00F61227"/>
    <w:rsid w:val="00F6299D"/>
    <w:rsid w:val="00F635DD"/>
    <w:rsid w:val="00F6627B"/>
    <w:rsid w:val="00F7336E"/>
    <w:rsid w:val="00F734F2"/>
    <w:rsid w:val="00F75052"/>
    <w:rsid w:val="00F804D3"/>
    <w:rsid w:val="00F816CB"/>
    <w:rsid w:val="00F81CD2"/>
    <w:rsid w:val="00F82641"/>
    <w:rsid w:val="00F8451A"/>
    <w:rsid w:val="00F90F18"/>
    <w:rsid w:val="00F937E4"/>
    <w:rsid w:val="00F95EE7"/>
    <w:rsid w:val="00FA39E6"/>
    <w:rsid w:val="00FA7BC9"/>
    <w:rsid w:val="00FB2B10"/>
    <w:rsid w:val="00FB378E"/>
    <w:rsid w:val="00FB37F1"/>
    <w:rsid w:val="00FB47C0"/>
    <w:rsid w:val="00FB501B"/>
    <w:rsid w:val="00FB5233"/>
    <w:rsid w:val="00FB7770"/>
    <w:rsid w:val="00FB7F37"/>
    <w:rsid w:val="00FD3B91"/>
    <w:rsid w:val="00FD4A0E"/>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5DBD29-5A7A-4C3E-BD10-894987713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8"/>
    <w:link w:val="11"/>
    <w:qFormat/>
    <w:rsid w:val="004F5E57"/>
    <w:pPr>
      <w:numPr>
        <w:numId w:val="6"/>
      </w:numPr>
      <w:outlineLvl w:val="0"/>
    </w:pPr>
    <w:rPr>
      <w:rFonts w:hAnsi="Arial"/>
      <w:bCs/>
      <w:kern w:val="32"/>
      <w:szCs w:val="52"/>
    </w:rPr>
  </w:style>
  <w:style w:type="paragraph" w:styleId="2">
    <w:name w:val="heading 2"/>
    <w:aliases w:val="標題110/111,節,節1"/>
    <w:basedOn w:val="a8"/>
    <w:link w:val="20"/>
    <w:qFormat/>
    <w:rsid w:val="004F5E57"/>
    <w:pPr>
      <w:numPr>
        <w:ilvl w:val="1"/>
        <w:numId w:val="6"/>
      </w:numPr>
      <w:outlineLvl w:val="1"/>
    </w:pPr>
    <w:rPr>
      <w:rFonts w:hAnsi="Arial"/>
      <w:bCs/>
      <w:kern w:val="32"/>
      <w:szCs w:val="48"/>
    </w:rPr>
  </w:style>
  <w:style w:type="paragraph" w:styleId="3">
    <w:name w:val="heading 3"/>
    <w:aliases w:val="(一)"/>
    <w:basedOn w:val="a8"/>
    <w:link w:val="30"/>
    <w:qFormat/>
    <w:rsid w:val="004F5E57"/>
    <w:pPr>
      <w:numPr>
        <w:ilvl w:val="2"/>
        <w:numId w:val="6"/>
      </w:numPr>
      <w:outlineLvl w:val="2"/>
    </w:pPr>
    <w:rPr>
      <w:rFonts w:hAnsi="Arial"/>
      <w:bCs/>
      <w:kern w:val="32"/>
      <w:szCs w:val="36"/>
    </w:rPr>
  </w:style>
  <w:style w:type="paragraph" w:styleId="4">
    <w:name w:val="heading 4"/>
    <w:aliases w:val="一"/>
    <w:basedOn w:val="a8"/>
    <w:link w:val="40"/>
    <w:qFormat/>
    <w:rsid w:val="004F5E57"/>
    <w:pPr>
      <w:numPr>
        <w:ilvl w:val="3"/>
        <w:numId w:val="6"/>
      </w:numPr>
      <w:outlineLvl w:val="3"/>
    </w:pPr>
    <w:rPr>
      <w:rFonts w:hAnsi="Arial"/>
      <w:kern w:val="32"/>
      <w:szCs w:val="36"/>
    </w:rPr>
  </w:style>
  <w:style w:type="paragraph" w:styleId="5">
    <w:name w:val="heading 5"/>
    <w:basedOn w:val="a8"/>
    <w:link w:val="50"/>
    <w:qFormat/>
    <w:rsid w:val="004F5E57"/>
    <w:pPr>
      <w:numPr>
        <w:ilvl w:val="4"/>
        <w:numId w:val="6"/>
      </w:numPr>
      <w:outlineLvl w:val="4"/>
    </w:pPr>
    <w:rPr>
      <w:rFonts w:hAnsi="Arial"/>
      <w:bCs/>
      <w:kern w:val="32"/>
      <w:szCs w:val="36"/>
    </w:rPr>
  </w:style>
  <w:style w:type="paragraph" w:styleId="6">
    <w:name w:val="heading 6"/>
    <w:basedOn w:val="a8"/>
    <w:link w:val="60"/>
    <w:qFormat/>
    <w:rsid w:val="004F5E57"/>
    <w:pPr>
      <w:numPr>
        <w:ilvl w:val="5"/>
        <w:numId w:val="6"/>
      </w:numPr>
      <w:tabs>
        <w:tab w:val="left" w:pos="2094"/>
      </w:tabs>
      <w:outlineLvl w:val="5"/>
    </w:pPr>
    <w:rPr>
      <w:rFonts w:hAnsi="Arial"/>
      <w:kern w:val="32"/>
      <w:szCs w:val="36"/>
    </w:rPr>
  </w:style>
  <w:style w:type="paragraph" w:styleId="7">
    <w:name w:val="heading 7"/>
    <w:basedOn w:val="a8"/>
    <w:link w:val="70"/>
    <w:qFormat/>
    <w:rsid w:val="004F5E57"/>
    <w:pPr>
      <w:numPr>
        <w:ilvl w:val="6"/>
        <w:numId w:val="6"/>
      </w:numPr>
      <w:outlineLvl w:val="6"/>
    </w:pPr>
    <w:rPr>
      <w:rFonts w:hAnsi="Arial"/>
      <w:bCs/>
      <w:kern w:val="32"/>
      <w:szCs w:val="36"/>
    </w:rPr>
  </w:style>
  <w:style w:type="paragraph" w:styleId="8">
    <w:name w:val="heading 8"/>
    <w:basedOn w:val="a8"/>
    <w:link w:val="80"/>
    <w:qFormat/>
    <w:rsid w:val="004F5E57"/>
    <w:pPr>
      <w:numPr>
        <w:ilvl w:val="7"/>
        <w:numId w:val="6"/>
      </w:numPr>
      <w:outlineLvl w:val="7"/>
    </w:pPr>
    <w:rPr>
      <w:rFonts w:hAnsi="Arial"/>
      <w:kern w:val="32"/>
      <w:szCs w:val="36"/>
    </w:rPr>
  </w:style>
  <w:style w:type="paragraph" w:styleId="9">
    <w:name w:val="heading 9"/>
    <w:basedOn w:val="a8"/>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Signature"/>
    <w:basedOn w:val="a8"/>
    <w:link w:val="ad"/>
    <w:semiHidden/>
    <w:rsid w:val="004E0062"/>
    <w:pPr>
      <w:spacing w:before="720" w:after="720"/>
      <w:ind w:left="7371"/>
    </w:pPr>
    <w:rPr>
      <w:b/>
      <w:snapToGrid w:val="0"/>
      <w:spacing w:val="10"/>
      <w:sz w:val="36"/>
    </w:rPr>
  </w:style>
  <w:style w:type="paragraph" w:styleId="ae">
    <w:name w:val="endnote text"/>
    <w:basedOn w:val="a8"/>
    <w:link w:val="af"/>
    <w:uiPriority w:val="99"/>
    <w:semiHidden/>
    <w:rsid w:val="004E0062"/>
    <w:pPr>
      <w:kinsoku w:val="0"/>
      <w:autoSpaceDE/>
      <w:spacing w:before="240"/>
      <w:ind w:left="1021" w:hanging="1021"/>
    </w:pPr>
    <w:rPr>
      <w:snapToGrid w:val="0"/>
      <w:spacing w:val="10"/>
    </w:rPr>
  </w:style>
  <w:style w:type="paragraph" w:styleId="51">
    <w:name w:val="toc 5"/>
    <w:basedOn w:val="a8"/>
    <w:next w:val="a8"/>
    <w:autoRedefine/>
    <w:uiPriority w:val="39"/>
    <w:rsid w:val="004E0062"/>
    <w:pPr>
      <w:ind w:leftChars="400" w:left="600" w:rightChars="200" w:right="200" w:hangingChars="200" w:hanging="200"/>
    </w:pPr>
  </w:style>
  <w:style w:type="character" w:styleId="af0">
    <w:name w:val="page number"/>
    <w:basedOn w:val="a9"/>
    <w:rsid w:val="004E0062"/>
    <w:rPr>
      <w:rFonts w:ascii="標楷體" w:eastAsia="標楷體"/>
      <w:sz w:val="20"/>
    </w:rPr>
  </w:style>
  <w:style w:type="paragraph" w:styleId="61">
    <w:name w:val="toc 6"/>
    <w:basedOn w:val="a8"/>
    <w:next w:val="a8"/>
    <w:autoRedefine/>
    <w:uiPriority w:val="39"/>
    <w:rsid w:val="004E0062"/>
    <w:pPr>
      <w:ind w:leftChars="500" w:left="500"/>
    </w:pPr>
  </w:style>
  <w:style w:type="paragraph" w:customStyle="1" w:styleId="12">
    <w:name w:val="段落樣式1"/>
    <w:basedOn w:val="a8"/>
    <w:qFormat/>
    <w:rsid w:val="004F5E57"/>
    <w:pPr>
      <w:tabs>
        <w:tab w:val="left" w:pos="567"/>
      </w:tabs>
      <w:ind w:leftChars="200" w:left="200" w:firstLineChars="200" w:firstLine="200"/>
    </w:pPr>
    <w:rPr>
      <w:kern w:val="32"/>
    </w:rPr>
  </w:style>
  <w:style w:type="paragraph" w:customStyle="1" w:styleId="21">
    <w:name w:val="段落樣式2"/>
    <w:basedOn w:val="a8"/>
    <w:qFormat/>
    <w:rsid w:val="004F5E57"/>
    <w:pPr>
      <w:tabs>
        <w:tab w:val="left" w:pos="567"/>
      </w:tabs>
      <w:ind w:leftChars="300" w:left="300" w:firstLineChars="200" w:firstLine="200"/>
    </w:pPr>
    <w:rPr>
      <w:kern w:val="32"/>
    </w:rPr>
  </w:style>
  <w:style w:type="paragraph" w:styleId="13">
    <w:name w:val="toc 1"/>
    <w:basedOn w:val="a8"/>
    <w:next w:val="a8"/>
    <w:autoRedefine/>
    <w:uiPriority w:val="39"/>
    <w:qFormat/>
    <w:rsid w:val="00CC7690"/>
    <w:pPr>
      <w:tabs>
        <w:tab w:val="right" w:leader="hyphen" w:pos="8834"/>
      </w:tabs>
      <w:kinsoku w:val="0"/>
      <w:ind w:left="400" w:rightChars="100" w:right="100" w:hangingChars="400" w:hanging="400"/>
    </w:pPr>
    <w:rPr>
      <w:noProof/>
      <w:szCs w:val="32"/>
    </w:rPr>
  </w:style>
  <w:style w:type="paragraph" w:styleId="22">
    <w:name w:val="toc 2"/>
    <w:basedOn w:val="a8"/>
    <w:next w:val="a8"/>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8"/>
    <w:next w:val="a8"/>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8"/>
    <w:next w:val="a8"/>
    <w:autoRedefine/>
    <w:uiPriority w:val="39"/>
    <w:rsid w:val="004E0062"/>
    <w:pPr>
      <w:kinsoku w:val="0"/>
      <w:ind w:leftChars="300" w:left="500" w:rightChars="200" w:right="200" w:hangingChars="200" w:hanging="200"/>
    </w:pPr>
  </w:style>
  <w:style w:type="paragraph" w:styleId="71">
    <w:name w:val="toc 7"/>
    <w:basedOn w:val="a8"/>
    <w:next w:val="a8"/>
    <w:autoRedefine/>
    <w:uiPriority w:val="39"/>
    <w:rsid w:val="004E0062"/>
    <w:pPr>
      <w:ind w:leftChars="600" w:left="800" w:hangingChars="200" w:hanging="200"/>
    </w:pPr>
  </w:style>
  <w:style w:type="paragraph" w:styleId="81">
    <w:name w:val="toc 8"/>
    <w:basedOn w:val="a8"/>
    <w:next w:val="a8"/>
    <w:autoRedefine/>
    <w:uiPriority w:val="39"/>
    <w:rsid w:val="004E0062"/>
    <w:pPr>
      <w:ind w:leftChars="700" w:left="900" w:hangingChars="200" w:hanging="200"/>
    </w:pPr>
  </w:style>
  <w:style w:type="paragraph" w:styleId="91">
    <w:name w:val="toc 9"/>
    <w:basedOn w:val="a8"/>
    <w:next w:val="a8"/>
    <w:autoRedefine/>
    <w:uiPriority w:val="39"/>
    <w:rsid w:val="004E0062"/>
    <w:pPr>
      <w:ind w:leftChars="1600" w:left="3840"/>
    </w:pPr>
  </w:style>
  <w:style w:type="paragraph" w:styleId="af1">
    <w:name w:val="header"/>
    <w:basedOn w:val="a8"/>
    <w:link w:val="af2"/>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3">
    <w:name w:val="Hyperlink"/>
    <w:basedOn w:val="a9"/>
    <w:uiPriority w:val="99"/>
    <w:rsid w:val="004E0062"/>
    <w:rPr>
      <w:color w:val="0000FF"/>
      <w:u w:val="single"/>
    </w:rPr>
  </w:style>
  <w:style w:type="paragraph" w:customStyle="1" w:styleId="af4">
    <w:name w:val="簽名日期"/>
    <w:basedOn w:val="a8"/>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5">
    <w:name w:val="附件"/>
    <w:basedOn w:val="ae"/>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2">
    <w:name w:val="附表樣式"/>
    <w:basedOn w:val="a8"/>
    <w:qFormat/>
    <w:rsid w:val="00B77D18"/>
    <w:pPr>
      <w:keepNext/>
      <w:numPr>
        <w:numId w:val="1"/>
      </w:numPr>
      <w:tabs>
        <w:tab w:val="clear" w:pos="1440"/>
      </w:tabs>
      <w:ind w:left="400" w:hangingChars="400" w:hanging="400"/>
      <w:outlineLvl w:val="0"/>
    </w:pPr>
    <w:rPr>
      <w:kern w:val="32"/>
    </w:rPr>
  </w:style>
  <w:style w:type="paragraph" w:styleId="af6">
    <w:name w:val="Body Text Indent"/>
    <w:basedOn w:val="a8"/>
    <w:link w:val="af7"/>
    <w:uiPriority w:val="99"/>
    <w:rsid w:val="004E0062"/>
    <w:pPr>
      <w:ind w:left="698" w:hangingChars="200" w:hanging="698"/>
    </w:pPr>
  </w:style>
  <w:style w:type="paragraph" w:customStyle="1" w:styleId="af8">
    <w:name w:val="調查報告"/>
    <w:basedOn w:val="ae"/>
    <w:rsid w:val="00D75644"/>
    <w:pPr>
      <w:adjustRightInd w:val="0"/>
      <w:spacing w:before="0"/>
      <w:ind w:left="0" w:firstLine="0"/>
      <w:jc w:val="center"/>
    </w:pPr>
    <w:rPr>
      <w:b/>
      <w:snapToGrid/>
      <w:spacing w:val="200"/>
      <w:kern w:val="0"/>
      <w:sz w:val="40"/>
    </w:rPr>
  </w:style>
  <w:style w:type="paragraph" w:customStyle="1" w:styleId="14">
    <w:name w:val="表格14"/>
    <w:basedOn w:val="a8"/>
    <w:rsid w:val="006072CD"/>
    <w:pPr>
      <w:adjustRightInd w:val="0"/>
      <w:snapToGrid w:val="0"/>
      <w:spacing w:line="360" w:lineRule="exact"/>
    </w:pPr>
    <w:rPr>
      <w:snapToGrid w:val="0"/>
      <w:spacing w:val="-14"/>
      <w:kern w:val="0"/>
      <w:sz w:val="28"/>
    </w:rPr>
  </w:style>
  <w:style w:type="paragraph" w:customStyle="1" w:styleId="a0">
    <w:name w:val="附圖樣式"/>
    <w:basedOn w:val="a8"/>
    <w:qFormat/>
    <w:rsid w:val="00B77D18"/>
    <w:pPr>
      <w:keepNext/>
      <w:numPr>
        <w:numId w:val="2"/>
      </w:numPr>
      <w:tabs>
        <w:tab w:val="clear" w:pos="1440"/>
      </w:tabs>
      <w:ind w:left="400" w:hangingChars="400" w:hanging="400"/>
      <w:outlineLvl w:val="0"/>
    </w:pPr>
    <w:rPr>
      <w:kern w:val="32"/>
    </w:rPr>
  </w:style>
  <w:style w:type="paragraph" w:styleId="af9">
    <w:name w:val="footer"/>
    <w:basedOn w:val="a8"/>
    <w:link w:val="afa"/>
    <w:rsid w:val="004E0062"/>
    <w:pPr>
      <w:tabs>
        <w:tab w:val="center" w:pos="4153"/>
        <w:tab w:val="right" w:pos="8306"/>
      </w:tabs>
      <w:snapToGrid w:val="0"/>
    </w:pPr>
    <w:rPr>
      <w:sz w:val="20"/>
    </w:rPr>
  </w:style>
  <w:style w:type="paragraph" w:styleId="afb">
    <w:name w:val="table of figures"/>
    <w:basedOn w:val="a8"/>
    <w:next w:val="a8"/>
    <w:semiHidden/>
    <w:rsid w:val="004E0062"/>
    <w:pPr>
      <w:ind w:left="400" w:hangingChars="400" w:hanging="400"/>
    </w:pPr>
  </w:style>
  <w:style w:type="paragraph" w:customStyle="1" w:styleId="140">
    <w:name w:val="表格標題14"/>
    <w:basedOn w:val="a8"/>
    <w:rsid w:val="00E15352"/>
    <w:pPr>
      <w:keepNext/>
      <w:adjustRightInd w:val="0"/>
      <w:snapToGrid w:val="0"/>
      <w:spacing w:before="40" w:after="40" w:line="320" w:lineRule="exact"/>
      <w:jc w:val="center"/>
    </w:pPr>
    <w:rPr>
      <w:snapToGrid w:val="0"/>
      <w:spacing w:val="-10"/>
      <w:kern w:val="0"/>
      <w:sz w:val="28"/>
    </w:rPr>
  </w:style>
  <w:style w:type="paragraph" w:customStyle="1" w:styleId="a5">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c">
    <w:name w:val="資料來源"/>
    <w:basedOn w:val="a8"/>
    <w:rsid w:val="00F16A14"/>
    <w:pPr>
      <w:kinsoku w:val="0"/>
      <w:adjustRightInd w:val="0"/>
      <w:snapToGrid w:val="0"/>
      <w:spacing w:before="40" w:after="240" w:line="360" w:lineRule="exact"/>
    </w:pPr>
    <w:rPr>
      <w:spacing w:val="-10"/>
      <w:kern w:val="0"/>
      <w:sz w:val="28"/>
      <w:szCs w:val="22"/>
    </w:rPr>
  </w:style>
  <w:style w:type="paragraph" w:customStyle="1" w:styleId="a3">
    <w:name w:val="圖標題"/>
    <w:basedOn w:val="a8"/>
    <w:link w:val="afd"/>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e">
    <w:name w:val="Table Grid"/>
    <w:basedOn w:val="aa"/>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6">
    <w:name w:val="附錄"/>
    <w:basedOn w:val="a8"/>
    <w:qFormat/>
    <w:rsid w:val="00B77D18"/>
    <w:pPr>
      <w:keepNext/>
      <w:numPr>
        <w:numId w:val="5"/>
      </w:numPr>
      <w:ind w:left="350" w:hangingChars="350" w:hanging="350"/>
      <w:outlineLvl w:val="0"/>
    </w:pPr>
    <w:rPr>
      <w:kern w:val="32"/>
    </w:rPr>
  </w:style>
  <w:style w:type="paragraph" w:styleId="aff">
    <w:name w:val="List Paragraph"/>
    <w:basedOn w:val="a8"/>
    <w:link w:val="aff0"/>
    <w:uiPriority w:val="34"/>
    <w:qFormat/>
    <w:rsid w:val="00687024"/>
    <w:pPr>
      <w:ind w:leftChars="200" w:left="480"/>
    </w:pPr>
  </w:style>
  <w:style w:type="paragraph" w:styleId="aff1">
    <w:name w:val="Balloon Text"/>
    <w:basedOn w:val="a8"/>
    <w:link w:val="aff2"/>
    <w:uiPriority w:val="99"/>
    <w:semiHidden/>
    <w:unhideWhenUsed/>
    <w:rsid w:val="00C530DC"/>
    <w:rPr>
      <w:rFonts w:asciiTheme="majorHAnsi" w:eastAsiaTheme="majorEastAsia" w:hAnsiTheme="majorHAnsi" w:cstheme="majorBidi"/>
      <w:sz w:val="18"/>
      <w:szCs w:val="18"/>
    </w:rPr>
  </w:style>
  <w:style w:type="character" w:customStyle="1" w:styleId="aff2">
    <w:name w:val="註解方塊文字 字元"/>
    <w:basedOn w:val="a9"/>
    <w:link w:val="aff1"/>
    <w:uiPriority w:val="99"/>
    <w:semiHidden/>
    <w:rsid w:val="00C530DC"/>
    <w:rPr>
      <w:rFonts w:asciiTheme="majorHAnsi" w:eastAsiaTheme="majorEastAsia" w:hAnsiTheme="majorHAnsi" w:cstheme="majorBidi"/>
      <w:kern w:val="2"/>
      <w:sz w:val="18"/>
      <w:szCs w:val="18"/>
    </w:rPr>
  </w:style>
  <w:style w:type="paragraph" w:customStyle="1" w:styleId="a7">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4">
    <w:name w:val="附件樣式"/>
    <w:basedOn w:val="a8"/>
    <w:qFormat/>
    <w:rsid w:val="00B77D18"/>
    <w:pPr>
      <w:keepNext/>
      <w:numPr>
        <w:numId w:val="8"/>
      </w:numPr>
      <w:ind w:left="400" w:hangingChars="400" w:hanging="400"/>
      <w:outlineLvl w:val="0"/>
    </w:pPr>
    <w:rPr>
      <w:kern w:val="32"/>
    </w:rPr>
  </w:style>
  <w:style w:type="character" w:customStyle="1" w:styleId="90">
    <w:name w:val="標題 9 字元"/>
    <w:basedOn w:val="a9"/>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1">
    <w:name w:val="標題 1 字元"/>
    <w:aliases w:val="題號1 字元"/>
    <w:basedOn w:val="a9"/>
    <w:link w:val="1"/>
    <w:rsid w:val="00372CA7"/>
    <w:rPr>
      <w:rFonts w:ascii="標楷體" w:eastAsia="標楷體" w:hAnsi="Arial"/>
      <w:bCs/>
      <w:kern w:val="32"/>
      <w:sz w:val="32"/>
      <w:szCs w:val="52"/>
    </w:rPr>
  </w:style>
  <w:style w:type="character" w:customStyle="1" w:styleId="20">
    <w:name w:val="標題 2 字元"/>
    <w:aliases w:val="標題110/111 字元,節 字元,節1 字元"/>
    <w:basedOn w:val="a9"/>
    <w:link w:val="2"/>
    <w:rsid w:val="00372CA7"/>
    <w:rPr>
      <w:rFonts w:ascii="標楷體" w:eastAsia="標楷體" w:hAnsi="Arial"/>
      <w:bCs/>
      <w:kern w:val="32"/>
      <w:sz w:val="32"/>
      <w:szCs w:val="48"/>
    </w:rPr>
  </w:style>
  <w:style w:type="character" w:customStyle="1" w:styleId="30">
    <w:name w:val="標題 3 字元"/>
    <w:aliases w:val="(一) 字元"/>
    <w:basedOn w:val="a9"/>
    <w:link w:val="3"/>
    <w:rsid w:val="00372CA7"/>
    <w:rPr>
      <w:rFonts w:ascii="標楷體" w:eastAsia="標楷體" w:hAnsi="Arial"/>
      <w:bCs/>
      <w:kern w:val="32"/>
      <w:sz w:val="32"/>
      <w:szCs w:val="36"/>
    </w:rPr>
  </w:style>
  <w:style w:type="character" w:customStyle="1" w:styleId="40">
    <w:name w:val="標題 4 字元"/>
    <w:aliases w:val="一 字元"/>
    <w:basedOn w:val="a9"/>
    <w:link w:val="4"/>
    <w:rsid w:val="00372CA7"/>
    <w:rPr>
      <w:rFonts w:ascii="標楷體" w:eastAsia="標楷體" w:hAnsi="Arial"/>
      <w:kern w:val="32"/>
      <w:sz w:val="32"/>
      <w:szCs w:val="36"/>
    </w:rPr>
  </w:style>
  <w:style w:type="character" w:customStyle="1" w:styleId="50">
    <w:name w:val="標題 5 字元"/>
    <w:basedOn w:val="a9"/>
    <w:link w:val="5"/>
    <w:rsid w:val="00372CA7"/>
    <w:rPr>
      <w:rFonts w:ascii="標楷體" w:eastAsia="標楷體" w:hAnsi="Arial"/>
      <w:bCs/>
      <w:kern w:val="32"/>
      <w:sz w:val="32"/>
      <w:szCs w:val="36"/>
    </w:rPr>
  </w:style>
  <w:style w:type="character" w:customStyle="1" w:styleId="60">
    <w:name w:val="標題 6 字元"/>
    <w:basedOn w:val="a9"/>
    <w:link w:val="6"/>
    <w:rsid w:val="00372CA7"/>
    <w:rPr>
      <w:rFonts w:ascii="標楷體" w:eastAsia="標楷體" w:hAnsi="Arial"/>
      <w:kern w:val="32"/>
      <w:sz w:val="32"/>
      <w:szCs w:val="36"/>
    </w:rPr>
  </w:style>
  <w:style w:type="character" w:customStyle="1" w:styleId="70">
    <w:name w:val="標題 7 字元"/>
    <w:basedOn w:val="a9"/>
    <w:link w:val="7"/>
    <w:rsid w:val="00372CA7"/>
    <w:rPr>
      <w:rFonts w:ascii="標楷體" w:eastAsia="標楷體" w:hAnsi="Arial"/>
      <w:bCs/>
      <w:kern w:val="32"/>
      <w:sz w:val="32"/>
      <w:szCs w:val="36"/>
    </w:rPr>
  </w:style>
  <w:style w:type="character" w:customStyle="1" w:styleId="80">
    <w:name w:val="標題 8 字元"/>
    <w:basedOn w:val="a9"/>
    <w:link w:val="8"/>
    <w:rsid w:val="00372CA7"/>
    <w:rPr>
      <w:rFonts w:ascii="標楷體" w:eastAsia="標楷體" w:hAnsi="Arial"/>
      <w:kern w:val="32"/>
      <w:sz w:val="32"/>
      <w:szCs w:val="36"/>
    </w:rPr>
  </w:style>
  <w:style w:type="character" w:customStyle="1" w:styleId="ad">
    <w:name w:val="簽名 字元"/>
    <w:basedOn w:val="a9"/>
    <w:link w:val="ac"/>
    <w:semiHidden/>
    <w:rsid w:val="00372CA7"/>
    <w:rPr>
      <w:rFonts w:ascii="標楷體" w:eastAsia="標楷體"/>
      <w:b/>
      <w:snapToGrid w:val="0"/>
      <w:spacing w:val="10"/>
      <w:kern w:val="2"/>
      <w:sz w:val="36"/>
    </w:rPr>
  </w:style>
  <w:style w:type="character" w:customStyle="1" w:styleId="af">
    <w:name w:val="章節附註文字 字元"/>
    <w:basedOn w:val="a9"/>
    <w:link w:val="ae"/>
    <w:uiPriority w:val="99"/>
    <w:semiHidden/>
    <w:rsid w:val="00372CA7"/>
    <w:rPr>
      <w:rFonts w:ascii="標楷體" w:eastAsia="標楷體"/>
      <w:snapToGrid w:val="0"/>
      <w:spacing w:val="10"/>
      <w:kern w:val="2"/>
      <w:sz w:val="32"/>
    </w:rPr>
  </w:style>
  <w:style w:type="character" w:customStyle="1" w:styleId="af2">
    <w:name w:val="頁首 字元"/>
    <w:basedOn w:val="a9"/>
    <w:link w:val="af1"/>
    <w:uiPriority w:val="99"/>
    <w:rsid w:val="00372CA7"/>
    <w:rPr>
      <w:rFonts w:ascii="標楷體" w:eastAsia="標楷體"/>
      <w:kern w:val="2"/>
    </w:rPr>
  </w:style>
  <w:style w:type="paragraph" w:customStyle="1" w:styleId="a1">
    <w:name w:val="表樣式"/>
    <w:basedOn w:val="a8"/>
    <w:next w:val="a8"/>
    <w:rsid w:val="00372CA7"/>
    <w:pPr>
      <w:numPr>
        <w:numId w:val="9"/>
      </w:numPr>
      <w:tabs>
        <w:tab w:val="clear" w:pos="1440"/>
        <w:tab w:val="left" w:pos="1396"/>
      </w:tabs>
      <w:kinsoku w:val="0"/>
      <w:overflowPunct/>
      <w:autoSpaceDE/>
      <w:autoSpaceDN/>
      <w:ind w:left="400" w:hangingChars="400" w:hanging="400"/>
    </w:pPr>
    <w:rPr>
      <w:kern w:val="0"/>
    </w:rPr>
  </w:style>
  <w:style w:type="character" w:customStyle="1" w:styleId="af7">
    <w:name w:val="本文縮排 字元"/>
    <w:basedOn w:val="a9"/>
    <w:link w:val="af6"/>
    <w:uiPriority w:val="99"/>
    <w:rsid w:val="00372CA7"/>
    <w:rPr>
      <w:rFonts w:ascii="標楷體" w:eastAsia="標楷體"/>
      <w:kern w:val="2"/>
      <w:sz w:val="32"/>
    </w:rPr>
  </w:style>
  <w:style w:type="paragraph" w:customStyle="1" w:styleId="aff3">
    <w:name w:val="圖樣式"/>
    <w:basedOn w:val="a8"/>
    <w:next w:val="a8"/>
    <w:rsid w:val="00372CA7"/>
    <w:pPr>
      <w:overflowPunct/>
      <w:autoSpaceDE/>
      <w:autoSpaceDN/>
      <w:ind w:left="400" w:hangingChars="400" w:hanging="400"/>
    </w:pPr>
  </w:style>
  <w:style w:type="character" w:customStyle="1" w:styleId="afa">
    <w:name w:val="頁尾 字元"/>
    <w:basedOn w:val="a9"/>
    <w:link w:val="af9"/>
    <w:rsid w:val="00372CA7"/>
    <w:rPr>
      <w:rFonts w:ascii="標楷體" w:eastAsia="標楷體"/>
      <w:kern w:val="2"/>
    </w:rPr>
  </w:style>
  <w:style w:type="paragraph" w:customStyle="1" w:styleId="aff4">
    <w:name w:val="分項段落"/>
    <w:basedOn w:val="a8"/>
    <w:rsid w:val="00372CA7"/>
    <w:pPr>
      <w:overflowPunct/>
      <w:autoSpaceDE/>
      <w:autoSpaceDN/>
      <w:jc w:val="left"/>
    </w:pPr>
    <w:rPr>
      <w:rFonts w:ascii="Times New Roman" w:eastAsia="新細明體"/>
      <w:sz w:val="24"/>
      <w:szCs w:val="24"/>
    </w:rPr>
  </w:style>
  <w:style w:type="paragraph" w:styleId="Web">
    <w:name w:val="Normal (Web)"/>
    <w:basedOn w:val="a8"/>
    <w:uiPriority w:val="99"/>
    <w:unhideWhenUsed/>
    <w:rsid w:val="00372CA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5">
    <w:name w:val="TOC Heading"/>
    <w:basedOn w:val="1"/>
    <w:next w:val="a8"/>
    <w:uiPriority w:val="39"/>
    <w:semiHidden/>
    <w:unhideWhenUsed/>
    <w:qFormat/>
    <w:rsid w:val="00372CA7"/>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93">
    <w:name w:val="標題9"/>
    <w:basedOn w:val="a8"/>
    <w:rsid w:val="00372CA7"/>
    <w:pPr>
      <w:tabs>
        <w:tab w:val="num" w:pos="6195"/>
      </w:tabs>
      <w:overflowPunct/>
      <w:autoSpaceDE/>
      <w:autoSpaceDN/>
      <w:ind w:left="5015" w:hanging="1700"/>
      <w:jc w:val="left"/>
    </w:pPr>
    <w:rPr>
      <w:rFonts w:ascii="Times New Roman"/>
    </w:rPr>
  </w:style>
  <w:style w:type="character" w:customStyle="1" w:styleId="aff0">
    <w:name w:val="清單段落 字元"/>
    <w:link w:val="aff"/>
    <w:uiPriority w:val="34"/>
    <w:rsid w:val="00372CA7"/>
    <w:rPr>
      <w:rFonts w:ascii="標楷體" w:eastAsia="標楷體"/>
      <w:kern w:val="2"/>
      <w:sz w:val="32"/>
    </w:rPr>
  </w:style>
  <w:style w:type="paragraph" w:styleId="aff6">
    <w:name w:val="footnote text"/>
    <w:basedOn w:val="a8"/>
    <w:link w:val="aff7"/>
    <w:uiPriority w:val="99"/>
    <w:unhideWhenUsed/>
    <w:rsid w:val="00372CA7"/>
    <w:pPr>
      <w:overflowPunct/>
      <w:autoSpaceDE/>
      <w:autoSpaceDN/>
      <w:snapToGrid w:val="0"/>
      <w:jc w:val="left"/>
    </w:pPr>
    <w:rPr>
      <w:rFonts w:ascii="Times New Roman" w:eastAsia="新細明體"/>
      <w:sz w:val="20"/>
    </w:rPr>
  </w:style>
  <w:style w:type="character" w:customStyle="1" w:styleId="aff7">
    <w:name w:val="註腳文字 字元"/>
    <w:basedOn w:val="a9"/>
    <w:link w:val="aff6"/>
    <w:uiPriority w:val="99"/>
    <w:rsid w:val="00372CA7"/>
    <w:rPr>
      <w:kern w:val="2"/>
    </w:rPr>
  </w:style>
  <w:style w:type="character" w:styleId="aff8">
    <w:name w:val="footnote reference"/>
    <w:aliases w:val="註腳內容,Ref,de nota al pie,FR,Error-Fußnotenzeichen5,Error-Fußnotenzeichen6,Error-Fußnotenzeichen3,Error-Fusnotßnotenzeichen5,Error-Fußnotenzeic,Appel note de bas de p"/>
    <w:uiPriority w:val="99"/>
    <w:unhideWhenUsed/>
    <w:rsid w:val="00372CA7"/>
    <w:rPr>
      <w:vertAlign w:val="superscript"/>
    </w:rPr>
  </w:style>
  <w:style w:type="paragraph" w:customStyle="1" w:styleId="15">
    <w:name w:val="字元 字元 字元 字元 字元1 字元"/>
    <w:basedOn w:val="a8"/>
    <w:rsid w:val="00372CA7"/>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aff9">
    <w:name w:val="首行縮排"/>
    <w:basedOn w:val="a8"/>
    <w:autoRedefine/>
    <w:rsid w:val="00372CA7"/>
    <w:pPr>
      <w:overflowPunct/>
      <w:autoSpaceDE/>
      <w:autoSpaceDN/>
      <w:spacing w:line="400" w:lineRule="exact"/>
      <w:ind w:leftChars="225" w:left="540" w:firstLineChars="25" w:firstLine="60"/>
      <w:jc w:val="left"/>
    </w:pPr>
    <w:rPr>
      <w:rFonts w:hAnsi="標楷體" w:cs="Arial"/>
      <w:color w:val="000000"/>
      <w:kern w:val="0"/>
      <w:sz w:val="24"/>
      <w:szCs w:val="24"/>
    </w:rPr>
  </w:style>
  <w:style w:type="paragraph" w:styleId="affa">
    <w:name w:val="No Spacing"/>
    <w:link w:val="affb"/>
    <w:uiPriority w:val="1"/>
    <w:qFormat/>
    <w:rsid w:val="00372CA7"/>
    <w:pPr>
      <w:widowControl w:val="0"/>
    </w:pPr>
    <w:rPr>
      <w:kern w:val="2"/>
      <w:sz w:val="24"/>
      <w:szCs w:val="24"/>
    </w:rPr>
  </w:style>
  <w:style w:type="character" w:customStyle="1" w:styleId="CharAttribute1">
    <w:name w:val="CharAttribute1"/>
    <w:rsid w:val="00372CA7"/>
    <w:rPr>
      <w:rFonts w:ascii="Times New Roman" w:eastAsia="標楷體"/>
      <w:sz w:val="36"/>
    </w:rPr>
  </w:style>
  <w:style w:type="paragraph" w:styleId="affc">
    <w:name w:val="Body Text"/>
    <w:basedOn w:val="a8"/>
    <w:link w:val="affd"/>
    <w:uiPriority w:val="99"/>
    <w:unhideWhenUsed/>
    <w:rsid w:val="00372CA7"/>
    <w:pPr>
      <w:overflowPunct/>
      <w:autoSpaceDE/>
      <w:autoSpaceDN/>
      <w:spacing w:after="120"/>
      <w:jc w:val="left"/>
    </w:pPr>
    <w:rPr>
      <w:rFonts w:ascii="Times New Roman"/>
    </w:rPr>
  </w:style>
  <w:style w:type="character" w:customStyle="1" w:styleId="affd">
    <w:name w:val="本文 字元"/>
    <w:basedOn w:val="a9"/>
    <w:link w:val="affc"/>
    <w:uiPriority w:val="99"/>
    <w:rsid w:val="00372CA7"/>
    <w:rPr>
      <w:rFonts w:eastAsia="標楷體"/>
      <w:kern w:val="2"/>
      <w:sz w:val="32"/>
    </w:rPr>
  </w:style>
  <w:style w:type="paragraph" w:customStyle="1" w:styleId="53">
    <w:name w:val="字元 字元5"/>
    <w:basedOn w:val="a8"/>
    <w:semiHidden/>
    <w:rsid w:val="00372CA7"/>
    <w:pPr>
      <w:widowControl/>
      <w:overflowPunct/>
      <w:autoSpaceDE/>
      <w:autoSpaceDN/>
      <w:spacing w:after="160" w:line="240" w:lineRule="exact"/>
      <w:jc w:val="left"/>
    </w:pPr>
    <w:rPr>
      <w:rFonts w:ascii="Tahoma" w:eastAsia="新細明體" w:hAnsi="Tahoma"/>
      <w:kern w:val="0"/>
      <w:sz w:val="20"/>
      <w:lang w:eastAsia="en-US"/>
    </w:rPr>
  </w:style>
  <w:style w:type="character" w:styleId="affe">
    <w:name w:val="Emphasis"/>
    <w:qFormat/>
    <w:rsid w:val="00372CA7"/>
    <w:rPr>
      <w:b w:val="0"/>
      <w:bCs w:val="0"/>
      <w:i w:val="0"/>
      <w:iCs w:val="0"/>
      <w:color w:val="DD4B39"/>
    </w:rPr>
  </w:style>
  <w:style w:type="character" w:customStyle="1" w:styleId="st1">
    <w:name w:val="st1"/>
    <w:basedOn w:val="a9"/>
    <w:rsid w:val="00372CA7"/>
  </w:style>
  <w:style w:type="table" w:customStyle="1" w:styleId="23">
    <w:name w:val="表格格線2"/>
    <w:basedOn w:val="aa"/>
    <w:next w:val="afe"/>
    <w:uiPriority w:val="39"/>
    <w:rsid w:val="00372CA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2CA7"/>
    <w:pPr>
      <w:widowControl w:val="0"/>
      <w:autoSpaceDE w:val="0"/>
      <w:autoSpaceDN w:val="0"/>
      <w:adjustRightInd w:val="0"/>
    </w:pPr>
    <w:rPr>
      <w:rFonts w:ascii="標楷體" w:eastAsia="標楷體" w:cs="標楷體"/>
      <w:color w:val="000000"/>
      <w:sz w:val="24"/>
      <w:szCs w:val="24"/>
    </w:rPr>
  </w:style>
  <w:style w:type="paragraph" w:customStyle="1" w:styleId="510">
    <w:name w:val="字元 字元51"/>
    <w:basedOn w:val="a8"/>
    <w:semiHidden/>
    <w:rsid w:val="00372CA7"/>
    <w:pPr>
      <w:widowControl/>
      <w:overflowPunct/>
      <w:autoSpaceDE/>
      <w:autoSpaceDN/>
      <w:spacing w:after="160" w:line="240" w:lineRule="exact"/>
      <w:jc w:val="left"/>
    </w:pPr>
    <w:rPr>
      <w:rFonts w:ascii="Tahoma" w:eastAsia="新細明體" w:hAnsi="Tahoma"/>
      <w:kern w:val="0"/>
      <w:sz w:val="20"/>
      <w:lang w:eastAsia="en-US"/>
    </w:rPr>
  </w:style>
  <w:style w:type="character" w:customStyle="1" w:styleId="afd">
    <w:name w:val="圖標題 字元"/>
    <w:basedOn w:val="a9"/>
    <w:link w:val="a3"/>
    <w:rsid w:val="00372CA7"/>
    <w:rPr>
      <w:rFonts w:ascii="標楷體" w:eastAsia="標楷體" w:hAnsi="華康楷書體W5(P)"/>
      <w:bCs/>
      <w:spacing w:val="-10"/>
      <w:kern w:val="28"/>
      <w:sz w:val="28"/>
      <w:szCs w:val="28"/>
    </w:rPr>
  </w:style>
  <w:style w:type="paragraph" w:customStyle="1" w:styleId="-">
    <w:name w:val="圖表-標題"/>
    <w:basedOn w:val="a8"/>
    <w:autoRedefine/>
    <w:rsid w:val="00372CA7"/>
    <w:pPr>
      <w:keepNext/>
      <w:keepLines/>
      <w:overflowPunct/>
      <w:autoSpaceDE/>
      <w:autoSpaceDN/>
      <w:adjustRightInd w:val="0"/>
      <w:snapToGrid w:val="0"/>
      <w:spacing w:before="240" w:after="240" w:line="240" w:lineRule="atLeast"/>
      <w:jc w:val="center"/>
      <w:outlineLvl w:val="5"/>
    </w:pPr>
    <w:rPr>
      <w:rFonts w:ascii="Times New Roman"/>
      <w:b/>
      <w:kern w:val="0"/>
      <w:sz w:val="28"/>
      <w:szCs w:val="28"/>
    </w:rPr>
  </w:style>
  <w:style w:type="paragraph" w:customStyle="1" w:styleId="--">
    <w:name w:val="表--標題"/>
    <w:basedOn w:val="a8"/>
    <w:autoRedefine/>
    <w:rsid w:val="00372CA7"/>
    <w:pPr>
      <w:keepNext/>
      <w:keepLines/>
      <w:overflowPunct/>
      <w:autoSpaceDE/>
      <w:autoSpaceDN/>
      <w:adjustRightInd w:val="0"/>
      <w:snapToGrid w:val="0"/>
      <w:spacing w:before="240" w:after="240" w:line="240" w:lineRule="atLeast"/>
      <w:jc w:val="center"/>
      <w:outlineLvl w:val="5"/>
    </w:pPr>
    <w:rPr>
      <w:rFonts w:ascii="Times New Roman"/>
      <w:b/>
      <w:kern w:val="0"/>
      <w:sz w:val="28"/>
      <w:szCs w:val="28"/>
    </w:rPr>
  </w:style>
  <w:style w:type="paragraph" w:customStyle="1" w:styleId="afff">
    <w:name w:val="一標題"/>
    <w:basedOn w:val="a8"/>
    <w:rsid w:val="00372CA7"/>
    <w:pPr>
      <w:keepNext/>
      <w:keepLines/>
      <w:overflowPunct/>
      <w:autoSpaceDE/>
      <w:autoSpaceDN/>
      <w:adjustRightInd w:val="0"/>
      <w:snapToGrid w:val="0"/>
      <w:spacing w:beforeLines="50" w:afterLines="100"/>
      <w:ind w:left="720" w:hangingChars="200" w:hanging="720"/>
      <w:outlineLvl w:val="2"/>
    </w:pPr>
    <w:rPr>
      <w:rFonts w:ascii="Times New Roman" w:eastAsia="文鼎粗魏碑"/>
      <w:kern w:val="0"/>
      <w:sz w:val="36"/>
      <w:szCs w:val="36"/>
    </w:rPr>
  </w:style>
  <w:style w:type="paragraph" w:customStyle="1" w:styleId="10cm2822">
    <w:name w:val="樣式 目錄 1 + 左:  0 cm 凸出:  2.82 字元2"/>
    <w:basedOn w:val="13"/>
    <w:autoRedefine/>
    <w:rsid w:val="00372CA7"/>
    <w:pPr>
      <w:tabs>
        <w:tab w:val="clear" w:pos="8834"/>
        <w:tab w:val="left" w:pos="720"/>
        <w:tab w:val="right" w:leader="dot" w:pos="8494"/>
      </w:tabs>
      <w:kinsoku/>
      <w:overflowPunct/>
      <w:autoSpaceDE/>
      <w:autoSpaceDN/>
      <w:spacing w:before="120" w:after="120"/>
      <w:ind w:left="790" w:rightChars="0" w:right="0" w:hangingChars="282" w:hanging="790"/>
      <w:jc w:val="left"/>
    </w:pPr>
    <w:rPr>
      <w:rFonts w:ascii="Times New Roman"/>
      <w:b/>
      <w:bCs/>
      <w:caps/>
      <w:noProof w:val="0"/>
      <w:spacing w:val="10"/>
      <w:sz w:val="28"/>
      <w:szCs w:val="20"/>
    </w:rPr>
  </w:style>
  <w:style w:type="character" w:customStyle="1" w:styleId="--0">
    <w:name w:val="標題--新聞"/>
    <w:rsid w:val="00372CA7"/>
    <w:rPr>
      <w:color w:val="FF0000"/>
      <w:sz w:val="20"/>
      <w:szCs w:val="20"/>
    </w:rPr>
  </w:style>
  <w:style w:type="paragraph" w:customStyle="1" w:styleId="news--">
    <w:name w:val="news--標題"/>
    <w:basedOn w:val="a8"/>
    <w:autoRedefine/>
    <w:rsid w:val="00372CA7"/>
    <w:pPr>
      <w:widowControl/>
      <w:overflowPunct/>
      <w:autoSpaceDE/>
      <w:autoSpaceDN/>
      <w:jc w:val="left"/>
    </w:pPr>
    <w:rPr>
      <w:rFonts w:ascii="Times New Roman" w:eastAsia="新細明體"/>
      <w:color w:val="FF0000"/>
      <w:sz w:val="24"/>
      <w:szCs w:val="24"/>
    </w:rPr>
  </w:style>
  <w:style w:type="paragraph" w:customStyle="1" w:styleId="afff0">
    <w:name w:val="新聞日期"/>
    <w:basedOn w:val="a8"/>
    <w:autoRedefine/>
    <w:rsid w:val="00372CA7"/>
    <w:pPr>
      <w:widowControl/>
      <w:overflowPunct/>
      <w:autoSpaceDE/>
      <w:autoSpaceDN/>
      <w:jc w:val="left"/>
    </w:pPr>
    <w:rPr>
      <w:rFonts w:ascii="Times New Roman" w:eastAsia="新細明體"/>
      <w:sz w:val="20"/>
      <w:szCs w:val="24"/>
    </w:rPr>
  </w:style>
  <w:style w:type="paragraph" w:customStyle="1" w:styleId="afff1">
    <w:name w:val="表格文字"/>
    <w:basedOn w:val="a8"/>
    <w:rsid w:val="00372CA7"/>
    <w:pPr>
      <w:tabs>
        <w:tab w:val="left" w:pos="483"/>
        <w:tab w:val="left" w:pos="1701"/>
        <w:tab w:val="left" w:pos="3402"/>
      </w:tabs>
      <w:overflowPunct/>
      <w:autoSpaceDE/>
      <w:autoSpaceDN/>
      <w:adjustRightInd w:val="0"/>
      <w:snapToGrid w:val="0"/>
      <w:spacing w:before="40" w:line="400" w:lineRule="atLeast"/>
      <w:textAlignment w:val="baseline"/>
    </w:pPr>
    <w:rPr>
      <w:rFonts w:ascii="Times New Roman" w:eastAsia="細明體"/>
      <w:iCs/>
      <w:kern w:val="0"/>
      <w:sz w:val="20"/>
    </w:rPr>
  </w:style>
  <w:style w:type="paragraph" w:customStyle="1" w:styleId="00">
    <w:name w:val="表格文字0"/>
    <w:basedOn w:val="afff1"/>
    <w:rsid w:val="00372CA7"/>
    <w:pPr>
      <w:spacing w:before="0" w:line="300" w:lineRule="exact"/>
    </w:pPr>
    <w:rPr>
      <w:rFonts w:ascii="標楷體" w:eastAsia="標楷體" w:hAnsi="標楷體"/>
      <w:sz w:val="24"/>
      <w:szCs w:val="24"/>
    </w:rPr>
  </w:style>
  <w:style w:type="paragraph" w:customStyle="1" w:styleId="01">
    <w:name w:val="表格註0"/>
    <w:basedOn w:val="a8"/>
    <w:link w:val="010"/>
    <w:rsid w:val="00372CA7"/>
    <w:pPr>
      <w:tabs>
        <w:tab w:val="left" w:pos="483"/>
        <w:tab w:val="left" w:pos="1701"/>
        <w:tab w:val="left" w:pos="3402"/>
      </w:tabs>
      <w:overflowPunct/>
      <w:adjustRightInd w:val="0"/>
      <w:snapToGrid w:val="0"/>
      <w:spacing w:before="40" w:after="160" w:line="240" w:lineRule="atLeast"/>
      <w:jc w:val="left"/>
      <w:textAlignment w:val="baseline"/>
    </w:pPr>
    <w:rPr>
      <w:rFonts w:hAnsi="標楷體"/>
      <w:iCs/>
      <w:sz w:val="21"/>
      <w:szCs w:val="21"/>
    </w:rPr>
  </w:style>
  <w:style w:type="character" w:customStyle="1" w:styleId="010">
    <w:name w:val="表格註0 字元1"/>
    <w:link w:val="01"/>
    <w:rsid w:val="00372CA7"/>
    <w:rPr>
      <w:rFonts w:ascii="標楷體" w:eastAsia="標楷體" w:hAnsi="標楷體"/>
      <w:iCs/>
      <w:kern w:val="2"/>
      <w:sz w:val="21"/>
      <w:szCs w:val="21"/>
    </w:rPr>
  </w:style>
  <w:style w:type="paragraph" w:customStyle="1" w:styleId="02">
    <w:name w:val="圖表標0"/>
    <w:basedOn w:val="a8"/>
    <w:link w:val="03"/>
    <w:autoRedefine/>
    <w:rsid w:val="00372CA7"/>
    <w:pPr>
      <w:tabs>
        <w:tab w:val="right" w:leader="dot" w:pos="8880"/>
      </w:tabs>
      <w:overflowPunct/>
      <w:autoSpaceDE/>
      <w:autoSpaceDN/>
      <w:adjustRightInd w:val="0"/>
      <w:snapToGrid w:val="0"/>
      <w:spacing w:beforeLines="25" w:line="240" w:lineRule="atLeast"/>
      <w:jc w:val="center"/>
    </w:pPr>
    <w:rPr>
      <w:rFonts w:ascii="Times New Roman"/>
      <w:kern w:val="0"/>
      <w:sz w:val="28"/>
      <w:szCs w:val="28"/>
    </w:rPr>
  </w:style>
  <w:style w:type="character" w:customStyle="1" w:styleId="03">
    <w:name w:val="圖表標0 字元"/>
    <w:link w:val="02"/>
    <w:rsid w:val="00372CA7"/>
    <w:rPr>
      <w:rFonts w:eastAsia="標楷體"/>
      <w:sz w:val="28"/>
      <w:szCs w:val="28"/>
    </w:rPr>
  </w:style>
  <w:style w:type="paragraph" w:customStyle="1" w:styleId="04">
    <w:name w:val="兩岸內文0 字元"/>
    <w:basedOn w:val="a8"/>
    <w:link w:val="05"/>
    <w:rsid w:val="00372CA7"/>
    <w:pPr>
      <w:tabs>
        <w:tab w:val="left" w:pos="483"/>
        <w:tab w:val="left" w:pos="1701"/>
        <w:tab w:val="left" w:pos="3402"/>
        <w:tab w:val="right" w:leader="dot" w:pos="8880"/>
      </w:tabs>
      <w:overflowPunct/>
      <w:autoSpaceDE/>
      <w:autoSpaceDN/>
      <w:adjustRightInd w:val="0"/>
      <w:snapToGrid w:val="0"/>
      <w:spacing w:line="360" w:lineRule="auto"/>
      <w:ind w:firstLineChars="210" w:firstLine="504"/>
      <w:textAlignment w:val="baseline"/>
    </w:pPr>
    <w:rPr>
      <w:rFonts w:ascii="Times New Roman"/>
      <w:kern w:val="0"/>
      <w:sz w:val="24"/>
    </w:rPr>
  </w:style>
  <w:style w:type="character" w:customStyle="1" w:styleId="05">
    <w:name w:val="兩岸內文0 字元 字元"/>
    <w:link w:val="04"/>
    <w:rsid w:val="00372CA7"/>
    <w:rPr>
      <w:rFonts w:eastAsia="標楷體"/>
      <w:sz w:val="24"/>
    </w:rPr>
  </w:style>
  <w:style w:type="character" w:customStyle="1" w:styleId="searchword1">
    <w:name w:val="searchword1"/>
    <w:rsid w:val="00372CA7"/>
    <w:rPr>
      <w:shd w:val="clear" w:color="auto" w:fill="FFFF66"/>
    </w:rPr>
  </w:style>
  <w:style w:type="paragraph" w:customStyle="1" w:styleId="maintxt">
    <w:name w:val="main_txt"/>
    <w:basedOn w:val="a8"/>
    <w:rsid w:val="00372CA7"/>
    <w:pPr>
      <w:widowControl/>
      <w:overflowPunct/>
      <w:autoSpaceDE/>
      <w:autoSpaceDN/>
      <w:spacing w:before="100" w:beforeAutospacing="1" w:after="100" w:afterAutospacing="1"/>
      <w:jc w:val="left"/>
    </w:pPr>
    <w:rPr>
      <w:rFonts w:ascii="新細明體" w:eastAsia="新細明體" w:hAnsi="新細明體" w:cs="新細明體"/>
      <w:kern w:val="0"/>
      <w:sz w:val="24"/>
      <w:szCs w:val="24"/>
      <w:lang w:bidi="hi-IN"/>
    </w:rPr>
  </w:style>
  <w:style w:type="paragraph" w:styleId="afff2">
    <w:name w:val="caption"/>
    <w:basedOn w:val="a8"/>
    <w:next w:val="a8"/>
    <w:qFormat/>
    <w:rsid w:val="00372CA7"/>
    <w:pPr>
      <w:overflowPunct/>
      <w:autoSpaceDE/>
      <w:autoSpaceDN/>
      <w:spacing w:before="120" w:after="120"/>
      <w:jc w:val="left"/>
    </w:pPr>
    <w:rPr>
      <w:rFonts w:ascii="Times New Roman"/>
      <w:sz w:val="28"/>
    </w:rPr>
  </w:style>
  <w:style w:type="paragraph" w:customStyle="1" w:styleId="-0">
    <w:name w:val="工業局-資料來源"/>
    <w:basedOn w:val="a8"/>
    <w:link w:val="-1"/>
    <w:rsid w:val="00372CA7"/>
    <w:pPr>
      <w:widowControl/>
      <w:tabs>
        <w:tab w:val="left" w:pos="3523"/>
        <w:tab w:val="left" w:pos="4903"/>
        <w:tab w:val="left" w:pos="6283"/>
      </w:tabs>
      <w:overflowPunct/>
      <w:autoSpaceDE/>
      <w:autoSpaceDN/>
      <w:snapToGrid w:val="0"/>
      <w:ind w:left="221" w:hangingChars="221" w:hanging="221"/>
      <w:jc w:val="left"/>
    </w:pPr>
    <w:rPr>
      <w:rFonts w:ascii="Times New Roman"/>
      <w:spacing w:val="6"/>
      <w:sz w:val="18"/>
      <w:szCs w:val="24"/>
    </w:rPr>
  </w:style>
  <w:style w:type="character" w:customStyle="1" w:styleId="-1">
    <w:name w:val="工業局-資料來源 字元"/>
    <w:link w:val="-0"/>
    <w:rsid w:val="00372CA7"/>
    <w:rPr>
      <w:rFonts w:eastAsia="標楷體"/>
      <w:spacing w:val="6"/>
      <w:kern w:val="2"/>
      <w:sz w:val="18"/>
      <w:szCs w:val="24"/>
    </w:rPr>
  </w:style>
  <w:style w:type="character" w:customStyle="1" w:styleId="-2">
    <w:name w:val="工業局-表格的標題 字元"/>
    <w:link w:val="-3"/>
    <w:locked/>
    <w:rsid w:val="00372CA7"/>
    <w:rPr>
      <w:rFonts w:eastAsia="標楷體"/>
      <w:b/>
      <w:bCs/>
      <w:sz w:val="28"/>
      <w:szCs w:val="24"/>
    </w:rPr>
  </w:style>
  <w:style w:type="paragraph" w:customStyle="1" w:styleId="-3">
    <w:name w:val="工業局-表格的標題"/>
    <w:basedOn w:val="a8"/>
    <w:link w:val="-2"/>
    <w:rsid w:val="00372CA7"/>
    <w:pPr>
      <w:overflowPunct/>
      <w:autoSpaceDE/>
      <w:autoSpaceDN/>
      <w:spacing w:beforeLines="50" w:after="120" w:line="560" w:lineRule="exact"/>
      <w:jc w:val="center"/>
    </w:pPr>
    <w:rPr>
      <w:rFonts w:ascii="Times New Roman"/>
      <w:b/>
      <w:bCs/>
      <w:kern w:val="0"/>
      <w:sz w:val="28"/>
      <w:szCs w:val="24"/>
    </w:rPr>
  </w:style>
  <w:style w:type="paragraph" w:customStyle="1" w:styleId="24">
    <w:name w:val="字元 字元 字元 字元 字元 字元 字元 字元2 字元 字元 字元 字元"/>
    <w:basedOn w:val="a8"/>
    <w:rsid w:val="00372CA7"/>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afff3">
    <w:name w:val="受文者"/>
    <w:basedOn w:val="a8"/>
    <w:rsid w:val="00372CA7"/>
    <w:pPr>
      <w:overflowPunct/>
      <w:autoSpaceDE/>
      <w:autoSpaceDN/>
      <w:jc w:val="left"/>
    </w:pPr>
    <w:rPr>
      <w:rFonts w:ascii="Times New Roman"/>
      <w:w w:val="90"/>
      <w:szCs w:val="28"/>
    </w:rPr>
  </w:style>
  <w:style w:type="paragraph" w:styleId="afff4">
    <w:name w:val="Plain Text"/>
    <w:basedOn w:val="a8"/>
    <w:link w:val="afff5"/>
    <w:uiPriority w:val="99"/>
    <w:unhideWhenUsed/>
    <w:rsid w:val="00372CA7"/>
    <w:pPr>
      <w:overflowPunct/>
      <w:autoSpaceDE/>
      <w:autoSpaceDN/>
      <w:jc w:val="left"/>
    </w:pPr>
    <w:rPr>
      <w:rFonts w:ascii="細明體" w:eastAsia="細明體" w:hAnsi="Courier New" w:cs="Courier New"/>
      <w:sz w:val="24"/>
      <w:szCs w:val="24"/>
    </w:rPr>
  </w:style>
  <w:style w:type="character" w:customStyle="1" w:styleId="afff5">
    <w:name w:val="純文字 字元"/>
    <w:basedOn w:val="a9"/>
    <w:link w:val="afff4"/>
    <w:uiPriority w:val="99"/>
    <w:rsid w:val="00372CA7"/>
    <w:rPr>
      <w:rFonts w:ascii="細明體" w:eastAsia="細明體" w:hAnsi="Courier New" w:cs="Courier New"/>
      <w:kern w:val="2"/>
      <w:sz w:val="24"/>
      <w:szCs w:val="24"/>
    </w:rPr>
  </w:style>
  <w:style w:type="paragraph" w:customStyle="1" w:styleId="afff6">
    <w:name w:val="公文(主旨)"/>
    <w:basedOn w:val="a8"/>
    <w:rsid w:val="00372CA7"/>
    <w:pPr>
      <w:kinsoku w:val="0"/>
      <w:overflowPunct/>
      <w:autoSpaceDE/>
      <w:autoSpaceDN/>
      <w:snapToGrid w:val="0"/>
      <w:spacing w:after="200" w:line="500" w:lineRule="exact"/>
      <w:ind w:left="958" w:hanging="958"/>
      <w:jc w:val="left"/>
    </w:pPr>
    <w:rPr>
      <w:rFonts w:hAnsi="標楷體"/>
      <w:szCs w:val="24"/>
    </w:rPr>
  </w:style>
  <w:style w:type="paragraph" w:customStyle="1" w:styleId="-4">
    <w:name w:val="貿易局-一、"/>
    <w:basedOn w:val="4"/>
    <w:link w:val="-5"/>
    <w:qFormat/>
    <w:rsid w:val="00372CA7"/>
    <w:pPr>
      <w:keepNext/>
      <w:numPr>
        <w:ilvl w:val="0"/>
        <w:numId w:val="0"/>
      </w:numPr>
      <w:overflowPunct/>
      <w:autoSpaceDE/>
      <w:autoSpaceDN/>
      <w:spacing w:beforeLines="50" w:afterLines="50" w:line="560" w:lineRule="exact"/>
      <w:jc w:val="left"/>
    </w:pPr>
    <w:rPr>
      <w:rFonts w:ascii="Times New Roman" w:hAnsi="Times New Roman"/>
      <w:b/>
      <w:kern w:val="2"/>
      <w:sz w:val="28"/>
      <w:szCs w:val="28"/>
    </w:rPr>
  </w:style>
  <w:style w:type="character" w:customStyle="1" w:styleId="-5">
    <w:name w:val="貿易局-一、 字元"/>
    <w:link w:val="-4"/>
    <w:rsid w:val="00372CA7"/>
    <w:rPr>
      <w:rFonts w:eastAsia="標楷體"/>
      <w:b/>
      <w:kern w:val="2"/>
      <w:sz w:val="28"/>
      <w:szCs w:val="28"/>
    </w:rPr>
  </w:style>
  <w:style w:type="paragraph" w:customStyle="1" w:styleId="-6">
    <w:name w:val="貿易局-內文"/>
    <w:basedOn w:val="a8"/>
    <w:link w:val="-7"/>
    <w:qFormat/>
    <w:rsid w:val="00372CA7"/>
    <w:pPr>
      <w:overflowPunct/>
      <w:autoSpaceDE/>
      <w:autoSpaceDN/>
      <w:spacing w:beforeLines="50" w:afterLines="50" w:line="560" w:lineRule="exact"/>
      <w:ind w:firstLineChars="200" w:firstLine="560"/>
    </w:pPr>
    <w:rPr>
      <w:rFonts w:ascii="Times New Roman"/>
      <w:sz w:val="28"/>
      <w:szCs w:val="28"/>
    </w:rPr>
  </w:style>
  <w:style w:type="character" w:customStyle="1" w:styleId="-7">
    <w:name w:val="貿易局-內文 字元"/>
    <w:link w:val="-6"/>
    <w:rsid w:val="00372CA7"/>
    <w:rPr>
      <w:rFonts w:eastAsia="標楷體"/>
      <w:kern w:val="2"/>
      <w:sz w:val="28"/>
      <w:szCs w:val="28"/>
    </w:rPr>
  </w:style>
  <w:style w:type="paragraph" w:customStyle="1" w:styleId="-8">
    <w:name w:val="貿易局-註腳"/>
    <w:basedOn w:val="aff6"/>
    <w:link w:val="-9"/>
    <w:qFormat/>
    <w:rsid w:val="00372CA7"/>
    <w:pPr>
      <w:ind w:left="168" w:hangingChars="84" w:hanging="168"/>
    </w:pPr>
    <w:rPr>
      <w:rFonts w:eastAsia="標楷體"/>
    </w:rPr>
  </w:style>
  <w:style w:type="character" w:customStyle="1" w:styleId="-9">
    <w:name w:val="貿易局-註腳 字元"/>
    <w:link w:val="-8"/>
    <w:rsid w:val="00372CA7"/>
    <w:rPr>
      <w:rFonts w:eastAsia="標楷體"/>
      <w:kern w:val="2"/>
    </w:rPr>
  </w:style>
  <w:style w:type="paragraph" w:customStyle="1" w:styleId="-a">
    <w:name w:val="貿易局-表單位"/>
    <w:basedOn w:val="a8"/>
    <w:link w:val="-b"/>
    <w:qFormat/>
    <w:rsid w:val="00372CA7"/>
    <w:pPr>
      <w:overflowPunct/>
      <w:autoSpaceDE/>
      <w:autoSpaceDN/>
      <w:snapToGrid w:val="0"/>
      <w:jc w:val="right"/>
    </w:pPr>
    <w:rPr>
      <w:rFonts w:ascii="Times New Roman"/>
      <w:sz w:val="20"/>
      <w:szCs w:val="24"/>
    </w:rPr>
  </w:style>
  <w:style w:type="character" w:customStyle="1" w:styleId="-b">
    <w:name w:val="貿易局-表單位 字元"/>
    <w:link w:val="-a"/>
    <w:rsid w:val="00372CA7"/>
    <w:rPr>
      <w:rFonts w:eastAsia="標楷體"/>
      <w:kern w:val="2"/>
      <w:szCs w:val="24"/>
    </w:rPr>
  </w:style>
  <w:style w:type="paragraph" w:customStyle="1" w:styleId="-c">
    <w:name w:val="貿易局-表標題"/>
    <w:basedOn w:val="a8"/>
    <w:link w:val="-d"/>
    <w:qFormat/>
    <w:rsid w:val="00372CA7"/>
    <w:pPr>
      <w:overflowPunct/>
      <w:autoSpaceDE/>
      <w:autoSpaceDN/>
      <w:spacing w:beforeLines="100" w:afterLines="30" w:line="560" w:lineRule="exact"/>
      <w:jc w:val="center"/>
    </w:pPr>
    <w:rPr>
      <w:rFonts w:ascii="Times New Roman"/>
      <w:b/>
      <w:sz w:val="28"/>
      <w:szCs w:val="28"/>
    </w:rPr>
  </w:style>
  <w:style w:type="character" w:customStyle="1" w:styleId="-d">
    <w:name w:val="貿易局-表標題 字元"/>
    <w:link w:val="-c"/>
    <w:rsid w:val="00372CA7"/>
    <w:rPr>
      <w:rFonts w:eastAsia="標楷體"/>
      <w:b/>
      <w:kern w:val="2"/>
      <w:sz w:val="28"/>
      <w:szCs w:val="28"/>
    </w:rPr>
  </w:style>
  <w:style w:type="paragraph" w:customStyle="1" w:styleId="-e">
    <w:name w:val="貿易局-註及資料來源"/>
    <w:basedOn w:val="a8"/>
    <w:link w:val="-f"/>
    <w:qFormat/>
    <w:rsid w:val="00372CA7"/>
    <w:pPr>
      <w:overflowPunct/>
      <w:autoSpaceDE/>
      <w:autoSpaceDN/>
      <w:adjustRightInd w:val="0"/>
      <w:snapToGrid w:val="0"/>
      <w:spacing w:beforeLines="10"/>
      <w:jc w:val="left"/>
    </w:pPr>
    <w:rPr>
      <w:rFonts w:ascii="Times New Roman"/>
      <w:sz w:val="18"/>
    </w:rPr>
  </w:style>
  <w:style w:type="character" w:customStyle="1" w:styleId="-f">
    <w:name w:val="貿易局-註及資料來源 字元"/>
    <w:link w:val="-e"/>
    <w:rsid w:val="00372CA7"/>
    <w:rPr>
      <w:rFonts w:eastAsia="標楷體"/>
      <w:kern w:val="2"/>
      <w:sz w:val="18"/>
    </w:rPr>
  </w:style>
  <w:style w:type="paragraph" w:customStyle="1" w:styleId="-f0">
    <w:name w:val="貿易局-(一)"/>
    <w:basedOn w:val="5"/>
    <w:link w:val="-f1"/>
    <w:qFormat/>
    <w:rsid w:val="00372CA7"/>
    <w:pPr>
      <w:keepNext/>
      <w:numPr>
        <w:ilvl w:val="0"/>
        <w:numId w:val="0"/>
      </w:numPr>
      <w:overflowPunct/>
      <w:autoSpaceDE/>
      <w:autoSpaceDN/>
      <w:spacing w:beforeLines="50" w:afterLines="50" w:line="560" w:lineRule="exact"/>
      <w:ind w:leftChars="59" w:left="630" w:hangingChars="174" w:hanging="488"/>
      <w:jc w:val="left"/>
    </w:pPr>
    <w:rPr>
      <w:rFonts w:ascii="Times New Roman" w:hAnsi="Times New Roman"/>
      <w:b/>
      <w:color w:val="000000"/>
      <w:kern w:val="2"/>
      <w:sz w:val="28"/>
      <w:szCs w:val="28"/>
    </w:rPr>
  </w:style>
  <w:style w:type="character" w:customStyle="1" w:styleId="-f1">
    <w:name w:val="貿易局-(一) 字元"/>
    <w:link w:val="-f0"/>
    <w:rsid w:val="00372CA7"/>
    <w:rPr>
      <w:rFonts w:eastAsia="標楷體"/>
      <w:b/>
      <w:bCs/>
      <w:color w:val="000000"/>
      <w:kern w:val="2"/>
      <w:sz w:val="28"/>
      <w:szCs w:val="28"/>
    </w:rPr>
  </w:style>
  <w:style w:type="paragraph" w:customStyle="1" w:styleId="-10">
    <w:name w:val="貿易局-1."/>
    <w:basedOn w:val="6"/>
    <w:link w:val="-11"/>
    <w:qFormat/>
    <w:rsid w:val="00372CA7"/>
    <w:pPr>
      <w:keepNext/>
      <w:numPr>
        <w:ilvl w:val="0"/>
        <w:numId w:val="0"/>
      </w:numPr>
      <w:tabs>
        <w:tab w:val="clear" w:pos="2094"/>
      </w:tabs>
      <w:overflowPunct/>
      <w:autoSpaceDE/>
      <w:autoSpaceDN/>
      <w:spacing w:beforeLines="50" w:afterLines="50" w:line="560" w:lineRule="exact"/>
      <w:ind w:leftChars="118" w:left="628" w:hangingChars="123" w:hanging="345"/>
      <w:jc w:val="left"/>
    </w:pPr>
    <w:rPr>
      <w:rFonts w:ascii="Times New Roman" w:hAnsi="Times New Roman"/>
      <w:b/>
      <w:kern w:val="2"/>
      <w:sz w:val="28"/>
      <w:szCs w:val="28"/>
    </w:rPr>
  </w:style>
  <w:style w:type="character" w:customStyle="1" w:styleId="-11">
    <w:name w:val="貿易局-1. 字元"/>
    <w:link w:val="-10"/>
    <w:rsid w:val="00372CA7"/>
    <w:rPr>
      <w:rFonts w:eastAsia="標楷體"/>
      <w:b/>
      <w:kern w:val="2"/>
      <w:sz w:val="28"/>
      <w:szCs w:val="28"/>
    </w:rPr>
  </w:style>
  <w:style w:type="paragraph" w:customStyle="1" w:styleId="-12">
    <w:name w:val="工業局-內文(1)"/>
    <w:basedOn w:val="a8"/>
    <w:link w:val="-13"/>
    <w:rsid w:val="00372CA7"/>
    <w:pPr>
      <w:overflowPunct/>
      <w:autoSpaceDE/>
      <w:autoSpaceDN/>
      <w:adjustRightInd w:val="0"/>
      <w:spacing w:beforeLines="50" w:afterLines="50" w:line="560" w:lineRule="exact"/>
      <w:ind w:leftChars="321" w:left="1243" w:hangingChars="123" w:hanging="344"/>
      <w:textAlignment w:val="baseline"/>
    </w:pPr>
    <w:rPr>
      <w:rFonts w:ascii="Times New Roman"/>
      <w:sz w:val="28"/>
      <w:szCs w:val="28"/>
    </w:rPr>
  </w:style>
  <w:style w:type="character" w:customStyle="1" w:styleId="-13">
    <w:name w:val="工業局-內文(1) 字元"/>
    <w:link w:val="-12"/>
    <w:rsid w:val="00372CA7"/>
    <w:rPr>
      <w:rFonts w:eastAsia="標楷體"/>
      <w:kern w:val="2"/>
      <w:sz w:val="28"/>
      <w:szCs w:val="28"/>
    </w:rPr>
  </w:style>
  <w:style w:type="character" w:styleId="afff7">
    <w:name w:val="Strong"/>
    <w:basedOn w:val="a9"/>
    <w:uiPriority w:val="22"/>
    <w:qFormat/>
    <w:rsid w:val="00372CA7"/>
    <w:rPr>
      <w:b/>
      <w:bCs/>
    </w:rPr>
  </w:style>
  <w:style w:type="paragraph" w:customStyle="1" w:styleId="10">
    <w:name w:val="樣式1"/>
    <w:basedOn w:val="a3"/>
    <w:link w:val="16"/>
    <w:qFormat/>
    <w:rsid w:val="00372CA7"/>
    <w:pPr>
      <w:numPr>
        <w:numId w:val="19"/>
      </w:numPr>
    </w:pPr>
    <w:rPr>
      <w:b/>
    </w:rPr>
  </w:style>
  <w:style w:type="character" w:customStyle="1" w:styleId="16">
    <w:name w:val="樣式1 字元"/>
    <w:basedOn w:val="afd"/>
    <w:link w:val="10"/>
    <w:rsid w:val="00372CA7"/>
    <w:rPr>
      <w:rFonts w:ascii="標楷體" w:eastAsia="標楷體" w:hAnsi="華康楷書體W5(P)"/>
      <w:b/>
      <w:bCs/>
      <w:spacing w:val="-10"/>
      <w:kern w:val="28"/>
      <w:sz w:val="28"/>
      <w:szCs w:val="28"/>
    </w:rPr>
  </w:style>
  <w:style w:type="paragraph" w:customStyle="1" w:styleId="25">
    <w:name w:val="樣式2"/>
    <w:basedOn w:val="a3"/>
    <w:link w:val="26"/>
    <w:qFormat/>
    <w:rsid w:val="00372CA7"/>
    <w:pPr>
      <w:numPr>
        <w:numId w:val="0"/>
      </w:numPr>
      <w:spacing w:after="0"/>
      <w:ind w:left="1843" w:rightChars="283" w:right="988" w:hanging="425"/>
    </w:pPr>
    <w:rPr>
      <w:b/>
    </w:rPr>
  </w:style>
  <w:style w:type="character" w:customStyle="1" w:styleId="26">
    <w:name w:val="樣式2 字元"/>
    <w:basedOn w:val="afd"/>
    <w:link w:val="25"/>
    <w:rsid w:val="00372CA7"/>
    <w:rPr>
      <w:rFonts w:ascii="標楷體" w:eastAsia="標楷體" w:hAnsi="華康楷書體W5(P)"/>
      <w:b/>
      <w:bCs/>
      <w:spacing w:val="-10"/>
      <w:kern w:val="28"/>
      <w:sz w:val="28"/>
      <w:szCs w:val="28"/>
    </w:rPr>
  </w:style>
  <w:style w:type="paragraph" w:styleId="27">
    <w:name w:val="Body Text Indent 2"/>
    <w:basedOn w:val="a8"/>
    <w:link w:val="28"/>
    <w:uiPriority w:val="99"/>
    <w:rsid w:val="00372CA7"/>
    <w:pPr>
      <w:overflowPunct/>
      <w:autoSpaceDE/>
      <w:autoSpaceDN/>
      <w:adjustRightInd w:val="0"/>
      <w:spacing w:after="120" w:line="480" w:lineRule="auto"/>
      <w:ind w:left="480"/>
      <w:jc w:val="left"/>
      <w:textAlignment w:val="baseline"/>
    </w:pPr>
    <w:rPr>
      <w:kern w:val="0"/>
      <w:sz w:val="80"/>
    </w:rPr>
  </w:style>
  <w:style w:type="character" w:customStyle="1" w:styleId="28">
    <w:name w:val="本文縮排 2 字元"/>
    <w:basedOn w:val="a9"/>
    <w:link w:val="27"/>
    <w:uiPriority w:val="99"/>
    <w:rsid w:val="00372CA7"/>
    <w:rPr>
      <w:rFonts w:ascii="標楷體" w:eastAsia="標楷體"/>
      <w:sz w:val="80"/>
    </w:rPr>
  </w:style>
  <w:style w:type="paragraph" w:customStyle="1" w:styleId="17">
    <w:name w:val="(1)"/>
    <w:basedOn w:val="a8"/>
    <w:uiPriority w:val="99"/>
    <w:rsid w:val="00372CA7"/>
    <w:pPr>
      <w:tabs>
        <w:tab w:val="left" w:pos="14400"/>
        <w:tab w:val="left" w:pos="14760"/>
        <w:tab w:val="left" w:pos="14850"/>
      </w:tabs>
      <w:overflowPunct/>
      <w:autoSpaceDE/>
      <w:autoSpaceDN/>
      <w:adjustRightInd w:val="0"/>
      <w:spacing w:before="120" w:after="120" w:line="288" w:lineRule="auto"/>
      <w:ind w:left="1531" w:right="476" w:hanging="340"/>
      <w:textAlignment w:val="baseline"/>
    </w:pPr>
    <w:rPr>
      <w:rFonts w:ascii="Times New Roman" w:eastAsia="華康中楷體"/>
      <w:kern w:val="0"/>
    </w:rPr>
  </w:style>
  <w:style w:type="paragraph" w:customStyle="1" w:styleId="18">
    <w:name w:val="1"/>
    <w:basedOn w:val="a8"/>
    <w:uiPriority w:val="99"/>
    <w:rsid w:val="00372CA7"/>
    <w:pPr>
      <w:tabs>
        <w:tab w:val="left" w:pos="14400"/>
        <w:tab w:val="left" w:pos="14760"/>
        <w:tab w:val="left" w:pos="14850"/>
      </w:tabs>
      <w:overflowPunct/>
      <w:autoSpaceDE/>
      <w:autoSpaceDN/>
      <w:adjustRightInd w:val="0"/>
      <w:spacing w:before="120" w:after="120" w:line="288" w:lineRule="auto"/>
      <w:ind w:left="1304" w:right="476" w:hanging="227"/>
      <w:textAlignment w:val="baseline"/>
    </w:pPr>
    <w:rPr>
      <w:rFonts w:ascii="Times New Roman" w:eastAsia="華康中楷體"/>
      <w:kern w:val="0"/>
    </w:rPr>
  </w:style>
  <w:style w:type="character" w:customStyle="1" w:styleId="font1">
    <w:name w:val="font1"/>
    <w:basedOn w:val="a9"/>
    <w:uiPriority w:val="99"/>
    <w:rsid w:val="00372CA7"/>
    <w:rPr>
      <w:rFonts w:cs="Times New Roman"/>
    </w:rPr>
  </w:style>
  <w:style w:type="character" w:customStyle="1" w:styleId="unnamed11">
    <w:name w:val="unnamed11"/>
    <w:uiPriority w:val="99"/>
    <w:rsid w:val="00372CA7"/>
    <w:rPr>
      <w:sz w:val="18"/>
    </w:rPr>
  </w:style>
  <w:style w:type="paragraph" w:styleId="afff8">
    <w:name w:val="Document Map"/>
    <w:basedOn w:val="a8"/>
    <w:link w:val="afff9"/>
    <w:uiPriority w:val="99"/>
    <w:semiHidden/>
    <w:rsid w:val="00372CA7"/>
    <w:pPr>
      <w:shd w:val="clear" w:color="auto" w:fill="000080"/>
      <w:overflowPunct/>
      <w:autoSpaceDE/>
      <w:autoSpaceDN/>
      <w:adjustRightInd w:val="0"/>
      <w:spacing w:line="360" w:lineRule="atLeast"/>
      <w:jc w:val="left"/>
      <w:textAlignment w:val="baseline"/>
    </w:pPr>
    <w:rPr>
      <w:rFonts w:ascii="Arial" w:eastAsia="新細明體" w:hAnsi="Arial"/>
      <w:kern w:val="0"/>
      <w:sz w:val="24"/>
    </w:rPr>
  </w:style>
  <w:style w:type="character" w:customStyle="1" w:styleId="afff9">
    <w:name w:val="文件引導模式 字元"/>
    <w:basedOn w:val="a9"/>
    <w:link w:val="afff8"/>
    <w:uiPriority w:val="99"/>
    <w:semiHidden/>
    <w:rsid w:val="00372CA7"/>
    <w:rPr>
      <w:rFonts w:ascii="Arial" w:hAnsi="Arial"/>
      <w:sz w:val="24"/>
      <w:shd w:val="clear" w:color="auto" w:fill="000080"/>
    </w:rPr>
  </w:style>
  <w:style w:type="paragraph" w:styleId="afffa">
    <w:name w:val="Block Text"/>
    <w:basedOn w:val="a8"/>
    <w:uiPriority w:val="99"/>
    <w:rsid w:val="00372CA7"/>
    <w:pPr>
      <w:overflowPunct/>
      <w:autoSpaceDE/>
      <w:autoSpaceDN/>
      <w:adjustRightInd w:val="0"/>
      <w:snapToGrid w:val="0"/>
      <w:spacing w:before="40" w:after="40" w:line="250" w:lineRule="auto"/>
      <w:ind w:left="720" w:right="-807" w:hanging="360"/>
      <w:textAlignment w:val="baseline"/>
    </w:pPr>
    <w:rPr>
      <w:kern w:val="0"/>
      <w:sz w:val="36"/>
    </w:rPr>
  </w:style>
  <w:style w:type="paragraph" w:customStyle="1" w:styleId="afffb">
    <w:name w:val="（一）"/>
    <w:basedOn w:val="a8"/>
    <w:uiPriority w:val="99"/>
    <w:rsid w:val="00372CA7"/>
    <w:pPr>
      <w:overflowPunct/>
      <w:autoSpaceDE/>
      <w:autoSpaceDN/>
      <w:adjustRightInd w:val="0"/>
      <w:spacing w:line="360" w:lineRule="atLeast"/>
      <w:textAlignment w:val="baseline"/>
    </w:pPr>
    <w:rPr>
      <w:rFonts w:ascii="雅真中楷" w:eastAsia="雅真中楷"/>
      <w:kern w:val="0"/>
      <w:sz w:val="36"/>
    </w:rPr>
  </w:style>
  <w:style w:type="paragraph" w:styleId="33">
    <w:name w:val="Body Text Indent 3"/>
    <w:basedOn w:val="a8"/>
    <w:link w:val="34"/>
    <w:uiPriority w:val="99"/>
    <w:rsid w:val="00372CA7"/>
    <w:pPr>
      <w:overflowPunct/>
      <w:autoSpaceDE/>
      <w:autoSpaceDN/>
      <w:adjustRightInd w:val="0"/>
      <w:spacing w:after="120" w:line="360" w:lineRule="atLeast"/>
      <w:ind w:leftChars="200" w:left="480"/>
      <w:jc w:val="left"/>
      <w:textAlignment w:val="baseline"/>
    </w:pPr>
    <w:rPr>
      <w:rFonts w:ascii="Times New Roman" w:eastAsia="新細明體"/>
      <w:kern w:val="0"/>
      <w:sz w:val="16"/>
      <w:szCs w:val="16"/>
    </w:rPr>
  </w:style>
  <w:style w:type="character" w:customStyle="1" w:styleId="34">
    <w:name w:val="本文縮排 3 字元"/>
    <w:basedOn w:val="a9"/>
    <w:link w:val="33"/>
    <w:uiPriority w:val="99"/>
    <w:rsid w:val="00372CA7"/>
    <w:rPr>
      <w:sz w:val="16"/>
      <w:szCs w:val="16"/>
    </w:rPr>
  </w:style>
  <w:style w:type="paragraph" w:styleId="afffc">
    <w:name w:val="Date"/>
    <w:basedOn w:val="a8"/>
    <w:next w:val="a8"/>
    <w:link w:val="afffd"/>
    <w:uiPriority w:val="99"/>
    <w:rsid w:val="00372CA7"/>
    <w:pPr>
      <w:overflowPunct/>
      <w:autoSpaceDE/>
      <w:autoSpaceDN/>
      <w:adjustRightInd w:val="0"/>
      <w:spacing w:line="360" w:lineRule="atLeast"/>
      <w:jc w:val="right"/>
      <w:textAlignment w:val="baseline"/>
    </w:pPr>
    <w:rPr>
      <w:rFonts w:ascii="Times New Roman" w:eastAsia="新細明體"/>
      <w:kern w:val="0"/>
      <w:sz w:val="24"/>
    </w:rPr>
  </w:style>
  <w:style w:type="character" w:customStyle="1" w:styleId="afffd">
    <w:name w:val="日期 字元"/>
    <w:basedOn w:val="a9"/>
    <w:link w:val="afffc"/>
    <w:uiPriority w:val="99"/>
    <w:rsid w:val="00372CA7"/>
    <w:rPr>
      <w:sz w:val="24"/>
    </w:rPr>
  </w:style>
  <w:style w:type="paragraph" w:styleId="afffe">
    <w:name w:val="annotation text"/>
    <w:basedOn w:val="a8"/>
    <w:link w:val="affff"/>
    <w:uiPriority w:val="99"/>
    <w:semiHidden/>
    <w:rsid w:val="00372CA7"/>
    <w:pPr>
      <w:overflowPunct/>
      <w:autoSpaceDE/>
      <w:autoSpaceDN/>
      <w:adjustRightInd w:val="0"/>
      <w:spacing w:line="360" w:lineRule="atLeast"/>
      <w:jc w:val="left"/>
      <w:textAlignment w:val="baseline"/>
    </w:pPr>
    <w:rPr>
      <w:rFonts w:ascii="Times New Roman" w:eastAsia="新細明體"/>
      <w:kern w:val="0"/>
      <w:sz w:val="24"/>
    </w:rPr>
  </w:style>
  <w:style w:type="character" w:customStyle="1" w:styleId="affff">
    <w:name w:val="註解文字 字元"/>
    <w:basedOn w:val="a9"/>
    <w:link w:val="afffe"/>
    <w:uiPriority w:val="99"/>
    <w:semiHidden/>
    <w:rsid w:val="00372CA7"/>
    <w:rPr>
      <w:sz w:val="24"/>
    </w:rPr>
  </w:style>
  <w:style w:type="paragraph" w:styleId="affff0">
    <w:name w:val="annotation subject"/>
    <w:basedOn w:val="afffe"/>
    <w:next w:val="afffe"/>
    <w:link w:val="affff1"/>
    <w:uiPriority w:val="99"/>
    <w:semiHidden/>
    <w:rsid w:val="00372CA7"/>
    <w:rPr>
      <w:b/>
      <w:bCs/>
    </w:rPr>
  </w:style>
  <w:style w:type="character" w:customStyle="1" w:styleId="affff1">
    <w:name w:val="註解主旨 字元"/>
    <w:basedOn w:val="affff"/>
    <w:link w:val="affff0"/>
    <w:uiPriority w:val="99"/>
    <w:semiHidden/>
    <w:rsid w:val="00372CA7"/>
    <w:rPr>
      <w:b/>
      <w:bCs/>
      <w:sz w:val="24"/>
    </w:rPr>
  </w:style>
  <w:style w:type="paragraph" w:customStyle="1" w:styleId="affff2">
    <w:name w:val="段文"/>
    <w:basedOn w:val="a8"/>
    <w:uiPriority w:val="99"/>
    <w:rsid w:val="00372CA7"/>
    <w:pPr>
      <w:kinsoku w:val="0"/>
      <w:autoSpaceDE/>
      <w:autoSpaceDN/>
      <w:adjustRightInd w:val="0"/>
      <w:spacing w:before="60" w:after="240" w:line="400" w:lineRule="atLeast"/>
      <w:ind w:left="567"/>
    </w:pPr>
    <w:rPr>
      <w:rFonts w:ascii="Times New Roman"/>
      <w:kern w:val="0"/>
      <w:sz w:val="28"/>
    </w:rPr>
  </w:style>
  <w:style w:type="paragraph" w:customStyle="1" w:styleId="affff3">
    <w:name w:val="字元 字元"/>
    <w:basedOn w:val="a8"/>
    <w:uiPriority w:val="99"/>
    <w:semiHidden/>
    <w:rsid w:val="00372CA7"/>
    <w:pPr>
      <w:widowControl/>
      <w:overflowPunct/>
      <w:autoSpaceDE/>
      <w:autoSpaceDN/>
      <w:spacing w:after="160" w:line="240" w:lineRule="exact"/>
      <w:jc w:val="left"/>
    </w:pPr>
    <w:rPr>
      <w:rFonts w:ascii="Verdana" w:eastAsia="新細明體" w:hAnsi="Verdana" w:cs="Mangal"/>
      <w:sz w:val="20"/>
      <w:szCs w:val="24"/>
      <w:lang w:eastAsia="en-US" w:bidi="hi-IN"/>
    </w:rPr>
  </w:style>
  <w:style w:type="paragraph" w:customStyle="1" w:styleId="affff4">
    <w:name w:val="內文(段落)"/>
    <w:basedOn w:val="a8"/>
    <w:uiPriority w:val="99"/>
    <w:rsid w:val="00372CA7"/>
    <w:pPr>
      <w:overflowPunct/>
      <w:autoSpaceDE/>
      <w:autoSpaceDN/>
      <w:spacing w:line="500" w:lineRule="exact"/>
      <w:jc w:val="left"/>
    </w:pPr>
    <w:rPr>
      <w:rFonts w:ascii="Times New Roman"/>
      <w:szCs w:val="24"/>
    </w:rPr>
  </w:style>
  <w:style w:type="paragraph" w:customStyle="1" w:styleId="19">
    <w:name w:val="字元 字元1 字元 字元 字元"/>
    <w:basedOn w:val="a8"/>
    <w:uiPriority w:val="99"/>
    <w:rsid w:val="00372CA7"/>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29">
    <w:name w:val="字元 字元2"/>
    <w:basedOn w:val="a8"/>
    <w:uiPriority w:val="99"/>
    <w:rsid w:val="00372CA7"/>
    <w:pPr>
      <w:widowControl/>
      <w:overflowPunct/>
      <w:autoSpaceDE/>
      <w:autoSpaceDN/>
      <w:spacing w:after="160" w:line="240" w:lineRule="exact"/>
      <w:jc w:val="left"/>
    </w:pPr>
    <w:rPr>
      <w:rFonts w:ascii="Verdana" w:eastAsia="新細明體" w:hAnsi="Verdana"/>
      <w:kern w:val="0"/>
      <w:sz w:val="20"/>
      <w:lang w:eastAsia="en-US"/>
    </w:rPr>
  </w:style>
  <w:style w:type="paragraph" w:customStyle="1" w:styleId="1a">
    <w:name w:val="字元 字元1"/>
    <w:basedOn w:val="a8"/>
    <w:uiPriority w:val="99"/>
    <w:rsid w:val="00372CA7"/>
    <w:pPr>
      <w:widowControl/>
      <w:overflowPunct/>
      <w:autoSpaceDE/>
      <w:autoSpaceDN/>
      <w:spacing w:after="160" w:line="240" w:lineRule="exact"/>
      <w:jc w:val="left"/>
    </w:pPr>
    <w:rPr>
      <w:rFonts w:ascii="Verdana" w:eastAsia="新細明體" w:hAnsi="Verdana"/>
      <w:kern w:val="0"/>
      <w:sz w:val="20"/>
      <w:lang w:eastAsia="en-US"/>
    </w:rPr>
  </w:style>
  <w:style w:type="character" w:styleId="affff5">
    <w:name w:val="Intense Emphasis"/>
    <w:basedOn w:val="a9"/>
    <w:uiPriority w:val="99"/>
    <w:qFormat/>
    <w:rsid w:val="00372CA7"/>
    <w:rPr>
      <w:rFonts w:cs="Times New Roman"/>
      <w:b/>
      <w:bCs/>
      <w:i/>
      <w:iCs/>
      <w:color w:val="4F81BD"/>
    </w:rPr>
  </w:style>
  <w:style w:type="paragraph" w:customStyle="1" w:styleId="420">
    <w:name w:val="樣式 （一）文 + 左:  4 字元 第一行:  2 字元"/>
    <w:basedOn w:val="a8"/>
    <w:rsid w:val="00372CA7"/>
    <w:pPr>
      <w:ind w:leftChars="400" w:left="400" w:firstLineChars="200" w:firstLine="200"/>
    </w:pPr>
    <w:rPr>
      <w:rFonts w:ascii="Times New Roman" w:eastAsia="華康細圓體" w:cs="新細明體"/>
      <w:sz w:val="24"/>
      <w:lang w:eastAsia="zh-CN"/>
    </w:rPr>
  </w:style>
  <w:style w:type="paragraph" w:styleId="a">
    <w:name w:val="List Bullet"/>
    <w:basedOn w:val="a8"/>
    <w:uiPriority w:val="99"/>
    <w:unhideWhenUsed/>
    <w:rsid w:val="00372CA7"/>
    <w:pPr>
      <w:numPr>
        <w:numId w:val="27"/>
      </w:numPr>
      <w:overflowPunct/>
      <w:autoSpaceDE/>
      <w:autoSpaceDN/>
      <w:contextualSpacing/>
      <w:jc w:val="left"/>
    </w:pPr>
    <w:rPr>
      <w:rFonts w:ascii="Times New Roman"/>
    </w:rPr>
  </w:style>
  <w:style w:type="character" w:customStyle="1" w:styleId="affb">
    <w:name w:val="無間距 字元"/>
    <w:basedOn w:val="a9"/>
    <w:link w:val="affa"/>
    <w:uiPriority w:val="1"/>
    <w:rsid w:val="00C3163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chart" Target="charts/chart6.xml"/><Relationship Id="rId20" Type="http://schemas.openxmlformats.org/officeDocument/2006/relationships/chart" Target="charts/chart8.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2.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1.xml"/><Relationship Id="rId10" Type="http://schemas.openxmlformats.org/officeDocument/2006/relationships/chart" Target="charts/chart2.xml"/><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image" Target="media/image2.jpeg"/><Relationship Id="rId22" Type="http://schemas.openxmlformats.org/officeDocument/2006/relationships/chart" Target="charts/chart10.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23560;&#26696;&#35519;&#26597;-&#25913;&#21892;&#25237;&#36039;&#29872;&#22659;\&#26680;&#20934;&#33775;&#20689;&#21450;&#22806;&#22283;&#20154;&#25237;&#36039;&#32113;&#35336;&#32317;&#34920;M-2016-10%20.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23560;&#26696;&#35519;&#26597;-&#25913;&#21892;&#25237;&#36039;&#29872;&#22659;\&#26680;&#20934;&#33775;&#20689;&#21450;&#22806;&#22283;&#20154;&#25237;&#36039;&#32113;&#35336;&#32317;&#34920;M-2016-10%20.xlsx" TargetMode="External"/></Relationships>
</file>

<file path=word/charts/_rels/chart12.xml.rels><?xml version="1.0" encoding="UTF-8" standalone="yes"?>
<Relationships xmlns="http://schemas.openxmlformats.org/package/2006/relationships"><Relationship Id="rId2" Type="http://schemas.openxmlformats.org/officeDocument/2006/relationships/oleObject" Target="file:///H:\&#23560;&#26696;&#35519;&#26597;-&#25913;&#21892;&#25237;&#36039;&#29872;&#22659;\&#26680;&#20934;&#33775;&#20689;&#21450;&#22806;&#22283;&#20154;&#25237;&#36039;&#32113;&#35336;&#32317;&#34920;M-2016-10%20.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27963;&#38913;&#31807;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23560;&#26696;&#35519;&#26597;-&#25913;&#21892;&#25237;&#36039;&#29872;&#22659;\&#26680;&#20934;&#33775;&#20689;&#21450;&#22806;&#22283;&#20154;&#25237;&#36039;&#32113;&#35336;&#32317;&#34920;M-2016-10%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23560;&#26696;&#35519;&#26597;-&#25913;&#21892;&#25237;&#36039;&#29872;&#22659;\&#26680;&#20934;&#33775;&#20689;&#21450;&#22806;&#22283;&#20154;&#25237;&#36039;&#32113;&#35336;&#32317;&#34920;M-2016-10%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wwang\Downloads\M-2015-12%20(7).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23560;&#26696;&#35519;&#26597;-&#25913;&#21892;&#25237;&#36039;&#29872;&#22659;\&#26680;&#20934;&#33775;&#20689;&#21450;&#22806;&#22283;&#20154;&#25237;&#36039;&#32113;&#35336;&#32317;&#34920;M-2016-10%20.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wwang\Downloads\M-2015-12%20(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工作表2!$B$1</c:f>
              <c:strCache>
                <c:ptCount val="1"/>
                <c:pt idx="0">
                  <c:v>外人投資目標數</c:v>
                </c:pt>
              </c:strCache>
            </c:strRef>
          </c:tx>
          <c:marker>
            <c:symbol val="none"/>
          </c:marker>
          <c:cat>
            <c:numRef>
              <c:f>工作表2!$A$2:$A$11</c:f>
              <c:numCache>
                <c:formatCode>General</c:formatCode>
                <c:ptCount val="10"/>
                <c:pt idx="0">
                  <c:v>95</c:v>
                </c:pt>
                <c:pt idx="1">
                  <c:v>96</c:v>
                </c:pt>
                <c:pt idx="2">
                  <c:v>97</c:v>
                </c:pt>
                <c:pt idx="3">
                  <c:v>98</c:v>
                </c:pt>
                <c:pt idx="4">
                  <c:v>99</c:v>
                </c:pt>
                <c:pt idx="5">
                  <c:v>100</c:v>
                </c:pt>
                <c:pt idx="6">
                  <c:v>101</c:v>
                </c:pt>
                <c:pt idx="7">
                  <c:v>102</c:v>
                </c:pt>
                <c:pt idx="8">
                  <c:v>103</c:v>
                </c:pt>
                <c:pt idx="9">
                  <c:v>104</c:v>
                </c:pt>
              </c:numCache>
            </c:numRef>
          </c:cat>
          <c:val>
            <c:numRef>
              <c:f>工作表2!$B$2:$B$11</c:f>
              <c:numCache>
                <c:formatCode>#,##0</c:formatCode>
                <c:ptCount val="10"/>
                <c:pt idx="0">
                  <c:v>5386</c:v>
                </c:pt>
                <c:pt idx="1">
                  <c:v>7600</c:v>
                </c:pt>
                <c:pt idx="2">
                  <c:v>8500</c:v>
                </c:pt>
                <c:pt idx="3">
                  <c:v>8500</c:v>
                </c:pt>
                <c:pt idx="4">
                  <c:v>6116</c:v>
                </c:pt>
                <c:pt idx="5">
                  <c:v>9000</c:v>
                </c:pt>
                <c:pt idx="6">
                  <c:v>10000</c:v>
                </c:pt>
                <c:pt idx="7">
                  <c:v>10500</c:v>
                </c:pt>
                <c:pt idx="8">
                  <c:v>10800</c:v>
                </c:pt>
                <c:pt idx="9">
                  <c:v>11000</c:v>
                </c:pt>
              </c:numCache>
            </c:numRef>
          </c:val>
          <c:smooth val="0"/>
        </c:ser>
        <c:ser>
          <c:idx val="1"/>
          <c:order val="1"/>
          <c:tx>
            <c:strRef>
              <c:f>工作表2!$C$1</c:f>
              <c:strCache>
                <c:ptCount val="1"/>
                <c:pt idx="0">
                  <c:v>外人實際投資數</c:v>
                </c:pt>
              </c:strCache>
            </c:strRef>
          </c:tx>
          <c:marker>
            <c:symbol val="none"/>
          </c:marker>
          <c:cat>
            <c:numRef>
              <c:f>工作表2!$A$2:$A$11</c:f>
              <c:numCache>
                <c:formatCode>General</c:formatCode>
                <c:ptCount val="10"/>
                <c:pt idx="0">
                  <c:v>95</c:v>
                </c:pt>
                <c:pt idx="1">
                  <c:v>96</c:v>
                </c:pt>
                <c:pt idx="2">
                  <c:v>97</c:v>
                </c:pt>
                <c:pt idx="3">
                  <c:v>98</c:v>
                </c:pt>
                <c:pt idx="4">
                  <c:v>99</c:v>
                </c:pt>
                <c:pt idx="5">
                  <c:v>100</c:v>
                </c:pt>
                <c:pt idx="6">
                  <c:v>101</c:v>
                </c:pt>
                <c:pt idx="7">
                  <c:v>102</c:v>
                </c:pt>
                <c:pt idx="8">
                  <c:v>103</c:v>
                </c:pt>
                <c:pt idx="9">
                  <c:v>104</c:v>
                </c:pt>
              </c:numCache>
            </c:numRef>
          </c:cat>
          <c:val>
            <c:numRef>
              <c:f>工作表2!$C$2:$C$11</c:f>
              <c:numCache>
                <c:formatCode>#,##0</c:formatCode>
                <c:ptCount val="10"/>
                <c:pt idx="0">
                  <c:v>6110</c:v>
                </c:pt>
                <c:pt idx="1">
                  <c:v>8821</c:v>
                </c:pt>
                <c:pt idx="2">
                  <c:v>7665</c:v>
                </c:pt>
                <c:pt idx="3">
                  <c:v>6120</c:v>
                </c:pt>
                <c:pt idx="4">
                  <c:v>7991</c:v>
                </c:pt>
                <c:pt idx="5">
                  <c:v>9532</c:v>
                </c:pt>
                <c:pt idx="6">
                  <c:v>10191</c:v>
                </c:pt>
                <c:pt idx="7">
                  <c:v>10511</c:v>
                </c:pt>
                <c:pt idx="8">
                  <c:v>10812</c:v>
                </c:pt>
                <c:pt idx="9">
                  <c:v>11077</c:v>
                </c:pt>
              </c:numCache>
            </c:numRef>
          </c:val>
          <c:smooth val="0"/>
        </c:ser>
        <c:dLbls>
          <c:showLegendKey val="0"/>
          <c:showVal val="0"/>
          <c:showCatName val="0"/>
          <c:showSerName val="0"/>
          <c:showPercent val="0"/>
          <c:showBubbleSize val="0"/>
        </c:dLbls>
        <c:smooth val="0"/>
        <c:axId val="106921328"/>
        <c:axId val="106917016"/>
      </c:lineChart>
      <c:catAx>
        <c:axId val="106921328"/>
        <c:scaling>
          <c:orientation val="minMax"/>
        </c:scaling>
        <c:delete val="0"/>
        <c:axPos val="b"/>
        <c:numFmt formatCode="General" sourceLinked="1"/>
        <c:majorTickMark val="out"/>
        <c:minorTickMark val="none"/>
        <c:tickLblPos val="nextTo"/>
        <c:crossAx val="106917016"/>
        <c:crosses val="autoZero"/>
        <c:auto val="1"/>
        <c:lblAlgn val="ctr"/>
        <c:lblOffset val="100"/>
        <c:noMultiLvlLbl val="0"/>
      </c:catAx>
      <c:valAx>
        <c:axId val="106917016"/>
        <c:scaling>
          <c:orientation val="minMax"/>
        </c:scaling>
        <c:delete val="0"/>
        <c:axPos val="l"/>
        <c:majorGridlines/>
        <c:numFmt formatCode="#,##0" sourceLinked="1"/>
        <c:majorTickMark val="out"/>
        <c:minorTickMark val="none"/>
        <c:tickLblPos val="nextTo"/>
        <c:crossAx val="106921328"/>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工作表2!$B$62</c:f>
              <c:strCache>
                <c:ptCount val="1"/>
                <c:pt idx="0">
                  <c:v>投資金額</c:v>
                </c:pt>
              </c:strCache>
            </c:strRef>
          </c:tx>
          <c:marker>
            <c:symbol val="none"/>
          </c:marker>
          <c:cat>
            <c:numRef>
              <c:f>工作表2!$A$63:$A$78</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工作表2!$B$63:$B$78</c:f>
              <c:numCache>
                <c:formatCode>#,##0_ </c:formatCode>
                <c:ptCount val="16"/>
                <c:pt idx="0">
                  <c:v>312222</c:v>
                </c:pt>
                <c:pt idx="1">
                  <c:v>169033</c:v>
                </c:pt>
                <c:pt idx="2">
                  <c:v>23554</c:v>
                </c:pt>
                <c:pt idx="3">
                  <c:v>100370</c:v>
                </c:pt>
                <c:pt idx="4">
                  <c:v>149330</c:v>
                </c:pt>
                <c:pt idx="5">
                  <c:v>42552</c:v>
                </c:pt>
                <c:pt idx="6">
                  <c:v>10926</c:v>
                </c:pt>
                <c:pt idx="7">
                  <c:v>18814.785599999999</c:v>
                </c:pt>
                <c:pt idx="8">
                  <c:v>52105.0746</c:v>
                </c:pt>
                <c:pt idx="9">
                  <c:v>102750.3737</c:v>
                </c:pt>
                <c:pt idx="10">
                  <c:v>40648.1973</c:v>
                </c:pt>
                <c:pt idx="11">
                  <c:v>252347.2015</c:v>
                </c:pt>
                <c:pt idx="12">
                  <c:v>1089348.7651</c:v>
                </c:pt>
                <c:pt idx="13">
                  <c:v>170499.3659</c:v>
                </c:pt>
                <c:pt idx="14">
                  <c:v>680019.96569999994</c:v>
                </c:pt>
                <c:pt idx="15">
                  <c:v>303794.7941</c:v>
                </c:pt>
              </c:numCache>
            </c:numRef>
          </c:val>
          <c:smooth val="0"/>
        </c:ser>
        <c:dLbls>
          <c:showLegendKey val="0"/>
          <c:showVal val="0"/>
          <c:showCatName val="0"/>
          <c:showSerName val="0"/>
          <c:showPercent val="0"/>
          <c:showBubbleSize val="0"/>
        </c:dLbls>
        <c:smooth val="0"/>
        <c:axId val="501007320"/>
        <c:axId val="501009672"/>
      </c:lineChart>
      <c:catAx>
        <c:axId val="501007320"/>
        <c:scaling>
          <c:orientation val="minMax"/>
        </c:scaling>
        <c:delete val="0"/>
        <c:axPos val="b"/>
        <c:numFmt formatCode="General" sourceLinked="1"/>
        <c:majorTickMark val="out"/>
        <c:minorTickMark val="none"/>
        <c:tickLblPos val="nextTo"/>
        <c:crossAx val="501009672"/>
        <c:crosses val="autoZero"/>
        <c:auto val="1"/>
        <c:lblAlgn val="ctr"/>
        <c:lblOffset val="100"/>
        <c:noMultiLvlLbl val="0"/>
      </c:catAx>
      <c:valAx>
        <c:axId val="501009672"/>
        <c:scaling>
          <c:orientation val="minMax"/>
        </c:scaling>
        <c:delete val="0"/>
        <c:axPos val="l"/>
        <c:majorGridlines/>
        <c:numFmt formatCode="#,##0_ " sourceLinked="1"/>
        <c:majorTickMark val="out"/>
        <c:minorTickMark val="none"/>
        <c:tickLblPos val="nextTo"/>
        <c:crossAx val="501007320"/>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'1B'!$C$7</c:f>
              <c:strCache>
                <c:ptCount val="1"/>
                <c:pt idx="0">
                  <c:v>金    額</c:v>
                </c:pt>
              </c:strCache>
            </c:strRef>
          </c:tx>
          <c:marker>
            <c:symbol val="none"/>
          </c:marker>
          <c:cat>
            <c:strRef>
              <c:f>'1B'!$A$8:$A$14</c:f>
              <c:strCache>
                <c:ptCount val="7"/>
                <c:pt idx="0">
                  <c:v>2009</c:v>
                </c:pt>
                <c:pt idx="1">
                  <c:v>2010</c:v>
                </c:pt>
                <c:pt idx="2">
                  <c:v>2011</c:v>
                </c:pt>
                <c:pt idx="3">
                  <c:v>2012</c:v>
                </c:pt>
                <c:pt idx="4">
                  <c:v>2013</c:v>
                </c:pt>
                <c:pt idx="5">
                  <c:v>2014</c:v>
                </c:pt>
                <c:pt idx="6">
                  <c:v>2015</c:v>
                </c:pt>
              </c:strCache>
            </c:strRef>
          </c:cat>
          <c:val>
            <c:numRef>
              <c:f>'1B'!$C$8:$C$14</c:f>
              <c:numCache>
                <c:formatCode>#,##0_ </c:formatCode>
                <c:ptCount val="7"/>
                <c:pt idx="0">
                  <c:v>37486</c:v>
                </c:pt>
                <c:pt idx="1">
                  <c:v>94345</c:v>
                </c:pt>
                <c:pt idx="2">
                  <c:v>51625</c:v>
                </c:pt>
                <c:pt idx="3">
                  <c:v>331583</c:v>
                </c:pt>
                <c:pt idx="4">
                  <c:v>349479</c:v>
                </c:pt>
                <c:pt idx="5">
                  <c:v>334631</c:v>
                </c:pt>
                <c:pt idx="6">
                  <c:v>244067</c:v>
                </c:pt>
              </c:numCache>
            </c:numRef>
          </c:val>
          <c:smooth val="0"/>
        </c:ser>
        <c:dLbls>
          <c:showLegendKey val="0"/>
          <c:showVal val="0"/>
          <c:showCatName val="0"/>
          <c:showSerName val="0"/>
          <c:showPercent val="0"/>
          <c:showBubbleSize val="0"/>
        </c:dLbls>
        <c:smooth val="0"/>
        <c:axId val="501008888"/>
        <c:axId val="501009280"/>
      </c:lineChart>
      <c:catAx>
        <c:axId val="501008888"/>
        <c:scaling>
          <c:orientation val="minMax"/>
        </c:scaling>
        <c:delete val="0"/>
        <c:axPos val="b"/>
        <c:numFmt formatCode="General" sourceLinked="0"/>
        <c:majorTickMark val="out"/>
        <c:minorTickMark val="none"/>
        <c:tickLblPos val="nextTo"/>
        <c:crossAx val="501009280"/>
        <c:crosses val="autoZero"/>
        <c:auto val="1"/>
        <c:lblAlgn val="ctr"/>
        <c:lblOffset val="100"/>
        <c:noMultiLvlLbl val="0"/>
      </c:catAx>
      <c:valAx>
        <c:axId val="501009280"/>
        <c:scaling>
          <c:orientation val="minMax"/>
        </c:scaling>
        <c:delete val="0"/>
        <c:axPos val="l"/>
        <c:majorGridlines/>
        <c:numFmt formatCode="#,##0_ " sourceLinked="1"/>
        <c:majorTickMark val="out"/>
        <c:minorTickMark val="none"/>
        <c:tickLblPos val="nextTo"/>
        <c:crossAx val="501008888"/>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工作表5!$O$11</c:f>
              <c:strCache>
                <c:ptCount val="1"/>
                <c:pt idx="0">
                  <c:v>金    額</c:v>
                </c:pt>
              </c:strCache>
            </c:strRef>
          </c:tx>
          <c:marker>
            <c:symbol val="none"/>
          </c:marker>
          <c:cat>
            <c:numRef>
              <c:f>工作表5!$N$12:$N$27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工作表5!$O$12:$O$27</c:f>
              <c:numCache>
                <c:formatCode>#,##0_ </c:formatCode>
                <c:ptCount val="16"/>
                <c:pt idx="0">
                  <c:v>2607142</c:v>
                </c:pt>
                <c:pt idx="1">
                  <c:v>2784147</c:v>
                </c:pt>
                <c:pt idx="2">
                  <c:v>3858757</c:v>
                </c:pt>
                <c:pt idx="3">
                  <c:v>4594985</c:v>
                </c:pt>
                <c:pt idx="4" formatCode="#,##0_);\(#,##0\)">
                  <c:v>6939912</c:v>
                </c:pt>
                <c:pt idx="5">
                  <c:v>6002029</c:v>
                </c:pt>
                <c:pt idx="6">
                  <c:v>7375197.4139999999</c:v>
                </c:pt>
                <c:pt idx="7">
                  <c:v>9676420.2920999993</c:v>
                </c:pt>
                <c:pt idx="8">
                  <c:v>9843355</c:v>
                </c:pt>
                <c:pt idx="9">
                  <c:v>6058497</c:v>
                </c:pt>
                <c:pt idx="10">
                  <c:v>12230146</c:v>
                </c:pt>
                <c:pt idx="11">
                  <c:v>13100871</c:v>
                </c:pt>
                <c:pt idx="12">
                  <c:v>10924406</c:v>
                </c:pt>
                <c:pt idx="13">
                  <c:v>8684904</c:v>
                </c:pt>
                <c:pt idx="14">
                  <c:v>9829805</c:v>
                </c:pt>
                <c:pt idx="15">
                  <c:v>10398224</c:v>
                </c:pt>
              </c:numCache>
            </c:numRef>
          </c:val>
          <c:smooth val="0"/>
        </c:ser>
        <c:dLbls>
          <c:showLegendKey val="0"/>
          <c:showVal val="0"/>
          <c:showCatName val="0"/>
          <c:showSerName val="0"/>
          <c:showPercent val="0"/>
          <c:showBubbleSize val="0"/>
        </c:dLbls>
        <c:smooth val="0"/>
        <c:axId val="501011240"/>
        <c:axId val="501010064"/>
      </c:lineChart>
      <c:catAx>
        <c:axId val="501011240"/>
        <c:scaling>
          <c:orientation val="minMax"/>
        </c:scaling>
        <c:delete val="0"/>
        <c:axPos val="b"/>
        <c:numFmt formatCode="General" sourceLinked="1"/>
        <c:majorTickMark val="out"/>
        <c:minorTickMark val="none"/>
        <c:tickLblPos val="nextTo"/>
        <c:crossAx val="501010064"/>
        <c:crosses val="autoZero"/>
        <c:auto val="1"/>
        <c:lblAlgn val="ctr"/>
        <c:lblOffset val="100"/>
        <c:noMultiLvlLbl val="0"/>
      </c:catAx>
      <c:valAx>
        <c:axId val="501010064"/>
        <c:scaling>
          <c:orientation val="minMax"/>
        </c:scaling>
        <c:delete val="0"/>
        <c:axPos val="l"/>
        <c:majorGridlines/>
        <c:numFmt formatCode="#,##0_ " sourceLinked="1"/>
        <c:majorTickMark val="out"/>
        <c:minorTickMark val="none"/>
        <c:tickLblPos val="nextTo"/>
        <c:crossAx val="5010112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工作表3!$D$1</c:f>
              <c:strCache>
                <c:ptCount val="1"/>
                <c:pt idx="0">
                  <c:v>來臺直接投資</c:v>
                </c:pt>
              </c:strCache>
            </c:strRef>
          </c:tx>
          <c:marker>
            <c:symbol val="none"/>
          </c:marker>
          <c:cat>
            <c:numRef>
              <c:f>工作表3!$A$2:$A$11</c:f>
              <c:numCache>
                <c:formatCode>General</c:formatCode>
                <c:ptCount val="10"/>
                <c:pt idx="0">
                  <c:v>95</c:v>
                </c:pt>
                <c:pt idx="1">
                  <c:v>96</c:v>
                </c:pt>
                <c:pt idx="2">
                  <c:v>97</c:v>
                </c:pt>
                <c:pt idx="3">
                  <c:v>98</c:v>
                </c:pt>
                <c:pt idx="4">
                  <c:v>99</c:v>
                </c:pt>
                <c:pt idx="5">
                  <c:v>100</c:v>
                </c:pt>
                <c:pt idx="6">
                  <c:v>101</c:v>
                </c:pt>
                <c:pt idx="7">
                  <c:v>102</c:v>
                </c:pt>
                <c:pt idx="8">
                  <c:v>103</c:v>
                </c:pt>
                <c:pt idx="9">
                  <c:v>104</c:v>
                </c:pt>
              </c:numCache>
            </c:numRef>
          </c:cat>
          <c:val>
            <c:numRef>
              <c:f>工作表3!$D$2:$D$11</c:f>
              <c:numCache>
                <c:formatCode>#,##0</c:formatCode>
                <c:ptCount val="10"/>
                <c:pt idx="0">
                  <c:v>7424</c:v>
                </c:pt>
                <c:pt idx="1">
                  <c:v>7769</c:v>
                </c:pt>
                <c:pt idx="2">
                  <c:v>5432</c:v>
                </c:pt>
                <c:pt idx="3">
                  <c:v>2805</c:v>
                </c:pt>
                <c:pt idx="4">
                  <c:v>2492</c:v>
                </c:pt>
                <c:pt idx="5">
                  <c:v>-1957</c:v>
                </c:pt>
                <c:pt idx="6">
                  <c:v>3207</c:v>
                </c:pt>
                <c:pt idx="7">
                  <c:v>3598</c:v>
                </c:pt>
                <c:pt idx="8">
                  <c:v>2839</c:v>
                </c:pt>
                <c:pt idx="9">
                  <c:v>2413</c:v>
                </c:pt>
              </c:numCache>
            </c:numRef>
          </c:val>
          <c:smooth val="0"/>
        </c:ser>
        <c:dLbls>
          <c:showLegendKey val="0"/>
          <c:showVal val="0"/>
          <c:showCatName val="0"/>
          <c:showSerName val="0"/>
          <c:showPercent val="0"/>
          <c:showBubbleSize val="0"/>
        </c:dLbls>
        <c:smooth val="0"/>
        <c:axId val="106915448"/>
        <c:axId val="106918976"/>
      </c:lineChart>
      <c:catAx>
        <c:axId val="106915448"/>
        <c:scaling>
          <c:orientation val="minMax"/>
        </c:scaling>
        <c:delete val="0"/>
        <c:axPos val="b"/>
        <c:numFmt formatCode="General" sourceLinked="1"/>
        <c:majorTickMark val="out"/>
        <c:minorTickMark val="none"/>
        <c:tickLblPos val="nextTo"/>
        <c:crossAx val="106918976"/>
        <c:crosses val="autoZero"/>
        <c:auto val="1"/>
        <c:lblAlgn val="ctr"/>
        <c:lblOffset val="100"/>
        <c:noMultiLvlLbl val="0"/>
      </c:catAx>
      <c:valAx>
        <c:axId val="106918976"/>
        <c:scaling>
          <c:orientation val="minMax"/>
        </c:scaling>
        <c:delete val="0"/>
        <c:axPos val="l"/>
        <c:majorGridlines/>
        <c:numFmt formatCode="#,##0" sourceLinked="1"/>
        <c:majorTickMark val="out"/>
        <c:minorTickMark val="none"/>
        <c:tickLblPos val="nextTo"/>
        <c:crossAx val="1069154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097422717993591"/>
          <c:y val="5.5396853896209818E-2"/>
          <c:w val="0.70954370772834352"/>
          <c:h val="0.81960604359317046"/>
        </c:manualLayout>
      </c:layout>
      <c:lineChart>
        <c:grouping val="standard"/>
        <c:varyColors val="0"/>
        <c:ser>
          <c:idx val="0"/>
          <c:order val="0"/>
          <c:tx>
            <c:strRef>
              <c:f>工作表1!$B$1</c:f>
              <c:strCache>
                <c:ptCount val="1"/>
                <c:pt idx="0">
                  <c:v>投審會核准數</c:v>
                </c:pt>
              </c:strCache>
            </c:strRef>
          </c:tx>
          <c:marker>
            <c:symbol val="none"/>
          </c:marker>
          <c:cat>
            <c:numRef>
              <c:f>工作表1!$A$2:$A$11</c:f>
              <c:numCache>
                <c:formatCode>General</c:formatCode>
                <c:ptCount val="10"/>
                <c:pt idx="0">
                  <c:v>95</c:v>
                </c:pt>
                <c:pt idx="1">
                  <c:v>96</c:v>
                </c:pt>
                <c:pt idx="2">
                  <c:v>97</c:v>
                </c:pt>
                <c:pt idx="3">
                  <c:v>98</c:v>
                </c:pt>
                <c:pt idx="4">
                  <c:v>99</c:v>
                </c:pt>
                <c:pt idx="5">
                  <c:v>100</c:v>
                </c:pt>
                <c:pt idx="6">
                  <c:v>101</c:v>
                </c:pt>
                <c:pt idx="7">
                  <c:v>102</c:v>
                </c:pt>
                <c:pt idx="8">
                  <c:v>103</c:v>
                </c:pt>
                <c:pt idx="9">
                  <c:v>104</c:v>
                </c:pt>
              </c:numCache>
            </c:numRef>
          </c:cat>
          <c:val>
            <c:numRef>
              <c:f>工作表1!$B$2:$B$11</c:f>
              <c:numCache>
                <c:formatCode>#,##0</c:formatCode>
                <c:ptCount val="10"/>
                <c:pt idx="0">
                  <c:v>13969</c:v>
                </c:pt>
                <c:pt idx="1">
                  <c:v>15361</c:v>
                </c:pt>
                <c:pt idx="2">
                  <c:v>8237</c:v>
                </c:pt>
                <c:pt idx="3">
                  <c:v>4798</c:v>
                </c:pt>
                <c:pt idx="4">
                  <c:v>3812</c:v>
                </c:pt>
                <c:pt idx="5">
                  <c:v>4955</c:v>
                </c:pt>
                <c:pt idx="6">
                  <c:v>5559</c:v>
                </c:pt>
                <c:pt idx="7">
                  <c:v>4933</c:v>
                </c:pt>
                <c:pt idx="8">
                  <c:v>5770</c:v>
                </c:pt>
                <c:pt idx="9">
                  <c:v>4797</c:v>
                </c:pt>
              </c:numCache>
            </c:numRef>
          </c:val>
          <c:smooth val="0"/>
        </c:ser>
        <c:ser>
          <c:idx val="1"/>
          <c:order val="1"/>
          <c:tx>
            <c:strRef>
              <c:f>工作表1!$C$1</c:f>
              <c:strCache>
                <c:ptCount val="1"/>
                <c:pt idx="0">
                  <c:v>實際投資數</c:v>
                </c:pt>
              </c:strCache>
            </c:strRef>
          </c:tx>
          <c:marker>
            <c:symbol val="none"/>
          </c:marker>
          <c:cat>
            <c:numRef>
              <c:f>工作表1!$A$2:$A$11</c:f>
              <c:numCache>
                <c:formatCode>General</c:formatCode>
                <c:ptCount val="10"/>
                <c:pt idx="0">
                  <c:v>95</c:v>
                </c:pt>
                <c:pt idx="1">
                  <c:v>96</c:v>
                </c:pt>
                <c:pt idx="2">
                  <c:v>97</c:v>
                </c:pt>
                <c:pt idx="3">
                  <c:v>98</c:v>
                </c:pt>
                <c:pt idx="4">
                  <c:v>99</c:v>
                </c:pt>
                <c:pt idx="5">
                  <c:v>100</c:v>
                </c:pt>
                <c:pt idx="6">
                  <c:v>101</c:v>
                </c:pt>
                <c:pt idx="7">
                  <c:v>102</c:v>
                </c:pt>
                <c:pt idx="8">
                  <c:v>103</c:v>
                </c:pt>
                <c:pt idx="9">
                  <c:v>104</c:v>
                </c:pt>
              </c:numCache>
            </c:numRef>
          </c:cat>
          <c:val>
            <c:numRef>
              <c:f>工作表1!$C$2:$C$11</c:f>
              <c:numCache>
                <c:formatCode>#,##0</c:formatCode>
                <c:ptCount val="10"/>
                <c:pt idx="0">
                  <c:v>11576</c:v>
                </c:pt>
                <c:pt idx="1">
                  <c:v>13602</c:v>
                </c:pt>
                <c:pt idx="2">
                  <c:v>6692</c:v>
                </c:pt>
                <c:pt idx="3">
                  <c:v>4527</c:v>
                </c:pt>
                <c:pt idx="4">
                  <c:v>3163</c:v>
                </c:pt>
                <c:pt idx="5">
                  <c:v>4362</c:v>
                </c:pt>
                <c:pt idx="6">
                  <c:v>4715</c:v>
                </c:pt>
                <c:pt idx="7">
                  <c:v>4482</c:v>
                </c:pt>
                <c:pt idx="8">
                  <c:v>5061</c:v>
                </c:pt>
                <c:pt idx="9">
                  <c:v>3427</c:v>
                </c:pt>
              </c:numCache>
            </c:numRef>
          </c:val>
          <c:smooth val="0"/>
        </c:ser>
        <c:dLbls>
          <c:showLegendKey val="0"/>
          <c:showVal val="0"/>
          <c:showCatName val="0"/>
          <c:showSerName val="0"/>
          <c:showPercent val="0"/>
          <c:showBubbleSize val="0"/>
        </c:dLbls>
        <c:smooth val="0"/>
        <c:axId val="106917408"/>
        <c:axId val="106919368"/>
      </c:lineChart>
      <c:catAx>
        <c:axId val="106917408"/>
        <c:scaling>
          <c:orientation val="minMax"/>
        </c:scaling>
        <c:delete val="0"/>
        <c:axPos val="b"/>
        <c:numFmt formatCode="General" sourceLinked="1"/>
        <c:majorTickMark val="out"/>
        <c:minorTickMark val="none"/>
        <c:tickLblPos val="nextTo"/>
        <c:crossAx val="106919368"/>
        <c:crosses val="autoZero"/>
        <c:auto val="1"/>
        <c:lblAlgn val="ctr"/>
        <c:lblOffset val="100"/>
        <c:noMultiLvlLbl val="0"/>
      </c:catAx>
      <c:valAx>
        <c:axId val="106919368"/>
        <c:scaling>
          <c:orientation val="minMax"/>
        </c:scaling>
        <c:delete val="0"/>
        <c:axPos val="l"/>
        <c:majorGridlines/>
        <c:numFmt formatCode="#,##0" sourceLinked="1"/>
        <c:majorTickMark val="out"/>
        <c:minorTickMark val="none"/>
        <c:tickLblPos val="nextTo"/>
        <c:crossAx val="106917408"/>
        <c:crosses val="autoZero"/>
        <c:crossBetween val="between"/>
      </c:valAx>
    </c:plotArea>
    <c:legend>
      <c:legendPos val="r"/>
      <c:layout>
        <c:manualLayout>
          <c:xMode val="edge"/>
          <c:yMode val="edge"/>
          <c:x val="0.78125836830597017"/>
          <c:y val="0.40977398413080102"/>
          <c:w val="0.21601987042403026"/>
          <c:h val="0.18045203173839894"/>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97422717993589"/>
          <c:y val="5.7238287730761422E-2"/>
          <c:w val="0.70621419990561618"/>
          <c:h val="0.88552342453847754"/>
        </c:manualLayout>
      </c:layout>
      <c:lineChart>
        <c:grouping val="stacked"/>
        <c:varyColors val="0"/>
        <c:ser>
          <c:idx val="0"/>
          <c:order val="0"/>
          <c:tx>
            <c:strRef>
              <c:f>工作表1!$B$1</c:f>
              <c:strCache>
                <c:ptCount val="1"/>
                <c:pt idx="0">
                  <c:v>來臺直接投資</c:v>
                </c:pt>
              </c:strCache>
            </c:strRef>
          </c:tx>
          <c:marker>
            <c:symbol val="none"/>
          </c:marker>
          <c:cat>
            <c:numRef>
              <c:f>工作表1!$A$2:$A$21</c:f>
              <c:numCache>
                <c:formatCode>General</c:formatCode>
                <c:ptCount val="20"/>
                <c:pt idx="0">
                  <c:v>85</c:v>
                </c:pt>
                <c:pt idx="1">
                  <c:v>86</c:v>
                </c:pt>
                <c:pt idx="2">
                  <c:v>87</c:v>
                </c:pt>
                <c:pt idx="3">
                  <c:v>88</c:v>
                </c:pt>
                <c:pt idx="4">
                  <c:v>89</c:v>
                </c:pt>
                <c:pt idx="5">
                  <c:v>90</c:v>
                </c:pt>
                <c:pt idx="6">
                  <c:v>91</c:v>
                </c:pt>
                <c:pt idx="7">
                  <c:v>92</c:v>
                </c:pt>
                <c:pt idx="8">
                  <c:v>93</c:v>
                </c:pt>
                <c:pt idx="9">
                  <c:v>94</c:v>
                </c:pt>
                <c:pt idx="10">
                  <c:v>95</c:v>
                </c:pt>
                <c:pt idx="11">
                  <c:v>96</c:v>
                </c:pt>
                <c:pt idx="12">
                  <c:v>97</c:v>
                </c:pt>
                <c:pt idx="13">
                  <c:v>98</c:v>
                </c:pt>
                <c:pt idx="14">
                  <c:v>99</c:v>
                </c:pt>
                <c:pt idx="15">
                  <c:v>100</c:v>
                </c:pt>
                <c:pt idx="16">
                  <c:v>101</c:v>
                </c:pt>
                <c:pt idx="17">
                  <c:v>102</c:v>
                </c:pt>
                <c:pt idx="18">
                  <c:v>103</c:v>
                </c:pt>
                <c:pt idx="19">
                  <c:v>104</c:v>
                </c:pt>
              </c:numCache>
            </c:numRef>
          </c:cat>
          <c:val>
            <c:numRef>
              <c:f>工作表1!$B$2:$B$21</c:f>
              <c:numCache>
                <c:formatCode>#,##0</c:formatCode>
                <c:ptCount val="20"/>
                <c:pt idx="0">
                  <c:v>1864</c:v>
                </c:pt>
                <c:pt idx="1">
                  <c:v>2248</c:v>
                </c:pt>
                <c:pt idx="2">
                  <c:v>222</c:v>
                </c:pt>
                <c:pt idx="3">
                  <c:v>2926</c:v>
                </c:pt>
                <c:pt idx="4">
                  <c:v>4928</c:v>
                </c:pt>
                <c:pt idx="5">
                  <c:v>4109</c:v>
                </c:pt>
                <c:pt idx="6">
                  <c:v>1445</c:v>
                </c:pt>
                <c:pt idx="7" formatCode="General">
                  <c:v>453</c:v>
                </c:pt>
                <c:pt idx="8">
                  <c:v>1898</c:v>
                </c:pt>
                <c:pt idx="9">
                  <c:v>1625</c:v>
                </c:pt>
                <c:pt idx="10">
                  <c:v>7424</c:v>
                </c:pt>
                <c:pt idx="11">
                  <c:v>7769</c:v>
                </c:pt>
                <c:pt idx="12">
                  <c:v>5432</c:v>
                </c:pt>
                <c:pt idx="13">
                  <c:v>2805</c:v>
                </c:pt>
                <c:pt idx="14">
                  <c:v>2492</c:v>
                </c:pt>
                <c:pt idx="15">
                  <c:v>-1957</c:v>
                </c:pt>
                <c:pt idx="16">
                  <c:v>3207</c:v>
                </c:pt>
                <c:pt idx="17">
                  <c:v>3598</c:v>
                </c:pt>
                <c:pt idx="18">
                  <c:v>2839</c:v>
                </c:pt>
                <c:pt idx="19">
                  <c:v>2413</c:v>
                </c:pt>
              </c:numCache>
            </c:numRef>
          </c:val>
          <c:smooth val="0"/>
        </c:ser>
        <c:dLbls>
          <c:showLegendKey val="0"/>
          <c:showVal val="0"/>
          <c:showCatName val="0"/>
          <c:showSerName val="0"/>
          <c:showPercent val="0"/>
          <c:showBubbleSize val="0"/>
        </c:dLbls>
        <c:smooth val="0"/>
        <c:axId val="106922112"/>
        <c:axId val="106917800"/>
      </c:lineChart>
      <c:catAx>
        <c:axId val="106922112"/>
        <c:scaling>
          <c:orientation val="minMax"/>
        </c:scaling>
        <c:delete val="0"/>
        <c:axPos val="b"/>
        <c:numFmt formatCode="General" sourceLinked="1"/>
        <c:majorTickMark val="out"/>
        <c:minorTickMark val="none"/>
        <c:tickLblPos val="nextTo"/>
        <c:crossAx val="106917800"/>
        <c:crosses val="autoZero"/>
        <c:auto val="1"/>
        <c:lblAlgn val="ctr"/>
        <c:lblOffset val="100"/>
        <c:noMultiLvlLbl val="0"/>
      </c:catAx>
      <c:valAx>
        <c:axId val="106917800"/>
        <c:scaling>
          <c:orientation val="minMax"/>
        </c:scaling>
        <c:delete val="0"/>
        <c:axPos val="l"/>
        <c:majorGridlines/>
        <c:numFmt formatCode="#,##0" sourceLinked="1"/>
        <c:majorTickMark val="out"/>
        <c:minorTickMark val="none"/>
        <c:tickLblPos val="nextTo"/>
        <c:crossAx val="106922112"/>
        <c:crosses val="autoZero"/>
        <c:crossBetween val="between"/>
      </c:valAx>
    </c:plotArea>
    <c:legend>
      <c:legendPos val="r"/>
      <c:layout>
        <c:manualLayout>
          <c:xMode val="edge"/>
          <c:yMode val="edge"/>
          <c:x val="0.79166666666666652"/>
          <c:y val="0.45847227859404205"/>
          <c:w val="0.20833333333333345"/>
          <c:h val="9.3225234338750865E-2"/>
        </c:manualLayout>
      </c:layout>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工作表4!$B$1</c:f>
              <c:strCache>
                <c:ptCount val="1"/>
                <c:pt idx="0">
                  <c:v>巴拿馬</c:v>
                </c:pt>
              </c:strCache>
            </c:strRef>
          </c:tx>
          <c:marker>
            <c:symbol val="none"/>
          </c:marker>
          <c:cat>
            <c:numRef>
              <c:f>工作表4!$A$2:$A$17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工作表4!$B$2:$B$17</c:f>
              <c:numCache>
                <c:formatCode>#,##0_ </c:formatCode>
                <c:ptCount val="16"/>
                <c:pt idx="0">
                  <c:v>10962.8706</c:v>
                </c:pt>
                <c:pt idx="1">
                  <c:v>3603.7435999999998</c:v>
                </c:pt>
                <c:pt idx="2">
                  <c:v>52285.556700000001</c:v>
                </c:pt>
                <c:pt idx="3">
                  <c:v>14900.631299999999</c:v>
                </c:pt>
                <c:pt idx="4">
                  <c:v>32849.272499999999</c:v>
                </c:pt>
                <c:pt idx="5">
                  <c:v>24650.522000000001</c:v>
                </c:pt>
                <c:pt idx="6">
                  <c:v>19540.9287</c:v>
                </c:pt>
                <c:pt idx="7">
                  <c:v>24050.5661</c:v>
                </c:pt>
                <c:pt idx="8">
                  <c:v>21505.1963</c:v>
                </c:pt>
                <c:pt idx="9">
                  <c:v>16158.1523</c:v>
                </c:pt>
                <c:pt idx="10">
                  <c:v>1423.7415000000001</c:v>
                </c:pt>
                <c:pt idx="11">
                  <c:v>29512.4087</c:v>
                </c:pt>
                <c:pt idx="12">
                  <c:v>8040.89</c:v>
                </c:pt>
                <c:pt idx="13">
                  <c:v>219.82210000000001</c:v>
                </c:pt>
                <c:pt idx="14">
                  <c:v>2377.1313</c:v>
                </c:pt>
                <c:pt idx="15">
                  <c:v>4683.3266999999996</c:v>
                </c:pt>
              </c:numCache>
            </c:numRef>
          </c:val>
          <c:smooth val="0"/>
        </c:ser>
        <c:ser>
          <c:idx val="1"/>
          <c:order val="1"/>
          <c:tx>
            <c:strRef>
              <c:f>工作表4!$C$1</c:f>
              <c:strCache>
                <c:ptCount val="1"/>
                <c:pt idx="0">
                  <c:v>薩爾瓦多</c:v>
                </c:pt>
              </c:strCache>
            </c:strRef>
          </c:tx>
          <c:marker>
            <c:symbol val="none"/>
          </c:marker>
          <c:cat>
            <c:numRef>
              <c:f>工作表4!$A$2:$A$17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工作表4!$C$2:$C$17</c:f>
              <c:numCache>
                <c:formatCode>#,##0_ </c:formatCode>
                <c:ptCount val="16"/>
                <c:pt idx="0">
                  <c:v>0</c:v>
                </c:pt>
                <c:pt idx="1">
                  <c:v>0</c:v>
                </c:pt>
                <c:pt idx="2">
                  <c:v>0</c:v>
                </c:pt>
                <c:pt idx="3">
                  <c:v>0</c:v>
                </c:pt>
                <c:pt idx="4">
                  <c:v>0</c:v>
                </c:pt>
                <c:pt idx="5">
                  <c:v>0</c:v>
                </c:pt>
                <c:pt idx="6">
                  <c:v>0</c:v>
                </c:pt>
                <c:pt idx="7">
                  <c:v>0</c:v>
                </c:pt>
                <c:pt idx="8">
                  <c:v>0</c:v>
                </c:pt>
                <c:pt idx="9">
                  <c:v>0</c:v>
                </c:pt>
                <c:pt idx="10">
                  <c:v>0</c:v>
                </c:pt>
                <c:pt idx="11">
                  <c:v>1.5205</c:v>
                </c:pt>
                <c:pt idx="12">
                  <c:v>0</c:v>
                </c:pt>
                <c:pt idx="13">
                  <c:v>15.204499999999999</c:v>
                </c:pt>
                <c:pt idx="14">
                  <c:v>0</c:v>
                </c:pt>
                <c:pt idx="15">
                  <c:v>0</c:v>
                </c:pt>
              </c:numCache>
            </c:numRef>
          </c:val>
          <c:smooth val="0"/>
        </c:ser>
        <c:ser>
          <c:idx val="2"/>
          <c:order val="2"/>
          <c:tx>
            <c:strRef>
              <c:f>工作表4!$D$1</c:f>
              <c:strCache>
                <c:ptCount val="1"/>
                <c:pt idx="0">
                  <c:v>尼加拉瓜</c:v>
                </c:pt>
              </c:strCache>
            </c:strRef>
          </c:tx>
          <c:marker>
            <c:symbol val="none"/>
          </c:marker>
          <c:cat>
            <c:numRef>
              <c:f>工作表4!$A$2:$A$17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工作表4!$D$2:$D$17</c:f>
              <c:numCache>
                <c:formatCode>#,##0_ </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mooth val="0"/>
        </c:ser>
        <c:dLbls>
          <c:showLegendKey val="0"/>
          <c:showVal val="0"/>
          <c:showCatName val="0"/>
          <c:showSerName val="0"/>
          <c:showPercent val="0"/>
          <c:showBubbleSize val="0"/>
        </c:dLbls>
        <c:smooth val="0"/>
        <c:axId val="364459168"/>
        <c:axId val="364461520"/>
      </c:lineChart>
      <c:catAx>
        <c:axId val="364459168"/>
        <c:scaling>
          <c:orientation val="minMax"/>
        </c:scaling>
        <c:delete val="0"/>
        <c:axPos val="b"/>
        <c:numFmt formatCode="General" sourceLinked="1"/>
        <c:majorTickMark val="out"/>
        <c:minorTickMark val="none"/>
        <c:tickLblPos val="nextTo"/>
        <c:crossAx val="364461520"/>
        <c:crosses val="autoZero"/>
        <c:auto val="1"/>
        <c:lblAlgn val="ctr"/>
        <c:lblOffset val="100"/>
        <c:noMultiLvlLbl val="0"/>
      </c:catAx>
      <c:valAx>
        <c:axId val="364461520"/>
        <c:scaling>
          <c:orientation val="minMax"/>
        </c:scaling>
        <c:delete val="0"/>
        <c:axPos val="l"/>
        <c:majorGridlines/>
        <c:numFmt formatCode="#,##0_ " sourceLinked="1"/>
        <c:majorTickMark val="out"/>
        <c:minorTickMark val="none"/>
        <c:tickLblPos val="nextTo"/>
        <c:crossAx val="36445916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工作表3!$B$1</c:f>
              <c:strCache>
                <c:ptCount val="1"/>
                <c:pt idx="0">
                  <c:v>巴拿馬</c:v>
                </c:pt>
              </c:strCache>
            </c:strRef>
          </c:tx>
          <c:marker>
            <c:symbol val="none"/>
          </c:marker>
          <c:cat>
            <c:numRef>
              <c:f>工作表3!$A$2:$A$17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工作表3!$B$2:$B$17</c:f>
              <c:numCache>
                <c:formatCode>#,##0_ </c:formatCode>
                <c:ptCount val="16"/>
                <c:pt idx="0">
                  <c:v>212103</c:v>
                </c:pt>
                <c:pt idx="1">
                  <c:v>5650</c:v>
                </c:pt>
                <c:pt idx="2">
                  <c:v>66682</c:v>
                </c:pt>
                <c:pt idx="3">
                  <c:v>169091</c:v>
                </c:pt>
                <c:pt idx="4">
                  <c:v>55566</c:v>
                </c:pt>
                <c:pt idx="5">
                  <c:v>0</c:v>
                </c:pt>
                <c:pt idx="6">
                  <c:v>8987</c:v>
                </c:pt>
                <c:pt idx="7">
                  <c:v>88600</c:v>
                </c:pt>
                <c:pt idx="8">
                  <c:v>888.05139999999994</c:v>
                </c:pt>
                <c:pt idx="9">
                  <c:v>2000</c:v>
                </c:pt>
                <c:pt idx="10">
                  <c:v>80157.719700000001</c:v>
                </c:pt>
                <c:pt idx="11">
                  <c:v>121811.0727</c:v>
                </c:pt>
                <c:pt idx="12">
                  <c:v>67885</c:v>
                </c:pt>
                <c:pt idx="13">
                  <c:v>83791.883000000002</c:v>
                </c:pt>
                <c:pt idx="14">
                  <c:v>0</c:v>
                </c:pt>
                <c:pt idx="15">
                  <c:v>78434.812699999995</c:v>
                </c:pt>
              </c:numCache>
            </c:numRef>
          </c:val>
          <c:smooth val="0"/>
        </c:ser>
        <c:ser>
          <c:idx val="1"/>
          <c:order val="1"/>
          <c:tx>
            <c:strRef>
              <c:f>工作表3!$C$1</c:f>
              <c:strCache>
                <c:ptCount val="1"/>
                <c:pt idx="0">
                  <c:v>薩爾瓦多</c:v>
                </c:pt>
              </c:strCache>
            </c:strRef>
          </c:tx>
          <c:marker>
            <c:symbol val="none"/>
          </c:marker>
          <c:cat>
            <c:numRef>
              <c:f>工作表3!$A$2:$A$17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工作表3!$C$2:$C$17</c:f>
              <c:numCache>
                <c:formatCode>#,##0_ </c:formatCode>
                <c:ptCount val="16"/>
                <c:pt idx="0">
                  <c:v>8273</c:v>
                </c:pt>
                <c:pt idx="1">
                  <c:v>2000</c:v>
                </c:pt>
                <c:pt idx="2">
                  <c:v>9842</c:v>
                </c:pt>
                <c:pt idx="3">
                  <c:v>3255</c:v>
                </c:pt>
                <c:pt idx="4">
                  <c:v>1879</c:v>
                </c:pt>
                <c:pt idx="5">
                  <c:v>952</c:v>
                </c:pt>
                <c:pt idx="6">
                  <c:v>500</c:v>
                </c:pt>
                <c:pt idx="7">
                  <c:v>286.34289999999999</c:v>
                </c:pt>
                <c:pt idx="8">
                  <c:v>0</c:v>
                </c:pt>
                <c:pt idx="9">
                  <c:v>0</c:v>
                </c:pt>
                <c:pt idx="10">
                  <c:v>0</c:v>
                </c:pt>
                <c:pt idx="11">
                  <c:v>1820.34</c:v>
                </c:pt>
                <c:pt idx="12">
                  <c:v>0</c:v>
                </c:pt>
                <c:pt idx="13">
                  <c:v>3900</c:v>
                </c:pt>
                <c:pt idx="14">
                  <c:v>0</c:v>
                </c:pt>
                <c:pt idx="15">
                  <c:v>0</c:v>
                </c:pt>
              </c:numCache>
            </c:numRef>
          </c:val>
          <c:smooth val="0"/>
        </c:ser>
        <c:ser>
          <c:idx val="2"/>
          <c:order val="2"/>
          <c:tx>
            <c:strRef>
              <c:f>工作表3!$D$1</c:f>
              <c:strCache>
                <c:ptCount val="1"/>
                <c:pt idx="0">
                  <c:v>尼加拉瓜</c:v>
                </c:pt>
              </c:strCache>
            </c:strRef>
          </c:tx>
          <c:marker>
            <c:symbol val="none"/>
          </c:marker>
          <c:cat>
            <c:numRef>
              <c:f>工作表3!$A$2:$A$17</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工作表3!$D$2:$D$17</c:f>
              <c:numCache>
                <c:formatCode>#,##0_ </c:formatCode>
                <c:ptCount val="16"/>
                <c:pt idx="0">
                  <c:v>22359</c:v>
                </c:pt>
                <c:pt idx="1">
                  <c:v>10489</c:v>
                </c:pt>
                <c:pt idx="2">
                  <c:v>7925</c:v>
                </c:pt>
                <c:pt idx="3">
                  <c:v>7180</c:v>
                </c:pt>
                <c:pt idx="4">
                  <c:v>800</c:v>
                </c:pt>
                <c:pt idx="5">
                  <c:v>1500</c:v>
                </c:pt>
                <c:pt idx="6">
                  <c:v>6116</c:v>
                </c:pt>
                <c:pt idx="7">
                  <c:v>156</c:v>
                </c:pt>
                <c:pt idx="8">
                  <c:v>800</c:v>
                </c:pt>
                <c:pt idx="9">
                  <c:v>2000</c:v>
                </c:pt>
                <c:pt idx="10">
                  <c:v>0</c:v>
                </c:pt>
                <c:pt idx="11">
                  <c:v>13000</c:v>
                </c:pt>
                <c:pt idx="12">
                  <c:v>200</c:v>
                </c:pt>
                <c:pt idx="13">
                  <c:v>0</c:v>
                </c:pt>
                <c:pt idx="14">
                  <c:v>0</c:v>
                </c:pt>
                <c:pt idx="15">
                  <c:v>0</c:v>
                </c:pt>
              </c:numCache>
            </c:numRef>
          </c:val>
          <c:smooth val="0"/>
        </c:ser>
        <c:dLbls>
          <c:showLegendKey val="0"/>
          <c:showVal val="0"/>
          <c:showCatName val="0"/>
          <c:showSerName val="0"/>
          <c:showPercent val="0"/>
          <c:showBubbleSize val="0"/>
        </c:dLbls>
        <c:smooth val="0"/>
        <c:axId val="364457208"/>
        <c:axId val="364460736"/>
      </c:lineChart>
      <c:catAx>
        <c:axId val="364457208"/>
        <c:scaling>
          <c:orientation val="minMax"/>
        </c:scaling>
        <c:delete val="0"/>
        <c:axPos val="b"/>
        <c:numFmt formatCode="General" sourceLinked="1"/>
        <c:majorTickMark val="out"/>
        <c:minorTickMark val="none"/>
        <c:tickLblPos val="nextTo"/>
        <c:crossAx val="364460736"/>
        <c:crosses val="autoZero"/>
        <c:auto val="1"/>
        <c:lblAlgn val="ctr"/>
        <c:lblOffset val="100"/>
        <c:noMultiLvlLbl val="0"/>
      </c:catAx>
      <c:valAx>
        <c:axId val="364460736"/>
        <c:scaling>
          <c:orientation val="minMax"/>
        </c:scaling>
        <c:delete val="0"/>
        <c:axPos val="l"/>
        <c:majorGridlines/>
        <c:numFmt formatCode="#,##0_ " sourceLinked="1"/>
        <c:majorTickMark val="out"/>
        <c:minorTickMark val="none"/>
        <c:tickLblPos val="nextTo"/>
        <c:crossAx val="364457208"/>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'[核准華僑及外國人投資統計總表M-2016-10 .xlsx]工作表1'!$B$10</c:f>
              <c:strCache>
                <c:ptCount val="1"/>
                <c:pt idx="0">
                  <c:v>投資金額</c:v>
                </c:pt>
              </c:strCache>
            </c:strRef>
          </c:tx>
          <c:marker>
            <c:symbol val="none"/>
          </c:marker>
          <c:cat>
            <c:numRef>
              <c:f>'[核准華僑及外國人投資統計總表M-2016-10 .xlsx]工作表1'!$A$11:$A$26</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'[核准華僑及外國人投資統計總表M-2016-10 .xlsx]工作表1'!$B$11:$B$26</c:f>
              <c:numCache>
                <c:formatCode>#,##0_ </c:formatCode>
                <c:ptCount val="16"/>
                <c:pt idx="0">
                  <c:v>1293529.6952</c:v>
                </c:pt>
                <c:pt idx="1">
                  <c:v>239189.913</c:v>
                </c:pt>
                <c:pt idx="2">
                  <c:v>211279.8143</c:v>
                </c:pt>
                <c:pt idx="3">
                  <c:v>121472.80590000001</c:v>
                </c:pt>
                <c:pt idx="4">
                  <c:v>204399.1648</c:v>
                </c:pt>
                <c:pt idx="5">
                  <c:v>146046.76310000001</c:v>
                </c:pt>
                <c:pt idx="6">
                  <c:v>951442.49010000005</c:v>
                </c:pt>
                <c:pt idx="7">
                  <c:v>172538.76430000001</c:v>
                </c:pt>
                <c:pt idx="8">
                  <c:v>272081.12239999999</c:v>
                </c:pt>
                <c:pt idx="9">
                  <c:v>66216.301000000007</c:v>
                </c:pt>
                <c:pt idx="10">
                  <c:v>123473.9405</c:v>
                </c:pt>
                <c:pt idx="11">
                  <c:v>830865.49609999999</c:v>
                </c:pt>
                <c:pt idx="12">
                  <c:v>151479.98420000001</c:v>
                </c:pt>
                <c:pt idx="13">
                  <c:v>206108.96059999999</c:v>
                </c:pt>
                <c:pt idx="14">
                  <c:v>458121.06109999999</c:v>
                </c:pt>
                <c:pt idx="15">
                  <c:v>168337.37220000001</c:v>
                </c:pt>
              </c:numCache>
            </c:numRef>
          </c:val>
          <c:smooth val="0"/>
        </c:ser>
        <c:dLbls>
          <c:showLegendKey val="0"/>
          <c:showVal val="0"/>
          <c:showCatName val="0"/>
          <c:showSerName val="0"/>
          <c:showPercent val="0"/>
          <c:showBubbleSize val="0"/>
        </c:dLbls>
        <c:smooth val="0"/>
        <c:axId val="364459952"/>
        <c:axId val="364461128"/>
      </c:lineChart>
      <c:catAx>
        <c:axId val="364459952"/>
        <c:scaling>
          <c:orientation val="minMax"/>
        </c:scaling>
        <c:delete val="0"/>
        <c:axPos val="b"/>
        <c:numFmt formatCode="General" sourceLinked="1"/>
        <c:majorTickMark val="out"/>
        <c:minorTickMark val="none"/>
        <c:tickLblPos val="nextTo"/>
        <c:crossAx val="364461128"/>
        <c:crosses val="autoZero"/>
        <c:auto val="1"/>
        <c:lblAlgn val="ctr"/>
        <c:lblOffset val="100"/>
        <c:noMultiLvlLbl val="0"/>
      </c:catAx>
      <c:valAx>
        <c:axId val="364461128"/>
        <c:scaling>
          <c:orientation val="minMax"/>
        </c:scaling>
        <c:delete val="0"/>
        <c:axPos val="l"/>
        <c:majorGridlines/>
        <c:numFmt formatCode="#,##0_ " sourceLinked="1"/>
        <c:majorTickMark val="out"/>
        <c:minorTickMark val="none"/>
        <c:tickLblPos val="nextTo"/>
        <c:crossAx val="36445995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工作表1!$B$43</c:f>
              <c:strCache>
                <c:ptCount val="1"/>
                <c:pt idx="0">
                  <c:v>投資金額</c:v>
                </c:pt>
              </c:strCache>
            </c:strRef>
          </c:tx>
          <c:marker>
            <c:symbol val="none"/>
          </c:marker>
          <c:cat>
            <c:numRef>
              <c:f>工作表1!$A$44:$A$59</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工作表1!$B$44:$B$59</c:f>
              <c:numCache>
                <c:formatCode>#,##0_ </c:formatCode>
                <c:ptCount val="16"/>
                <c:pt idx="0">
                  <c:v>219531</c:v>
                </c:pt>
                <c:pt idx="1">
                  <c:v>378300</c:v>
                </c:pt>
                <c:pt idx="2">
                  <c:v>25760</c:v>
                </c:pt>
                <c:pt idx="3">
                  <c:v>26403</c:v>
                </c:pt>
                <c:pt idx="4">
                  <c:v>822229</c:v>
                </c:pt>
                <c:pt idx="5">
                  <c:v>97701</c:v>
                </c:pt>
                <c:pt idx="6">
                  <c:v>806303</c:v>
                </c:pt>
                <c:pt idx="7">
                  <c:v>1194110.4612</c:v>
                </c:pt>
                <c:pt idx="8">
                  <c:v>697626.37470000004</c:v>
                </c:pt>
                <c:pt idx="9">
                  <c:v>36698.085800000001</c:v>
                </c:pt>
                <c:pt idx="10">
                  <c:v>32696.569299999999</c:v>
                </c:pt>
                <c:pt idx="11">
                  <c:v>448592.20409999997</c:v>
                </c:pt>
                <c:pt idx="12">
                  <c:v>4498662.4627</c:v>
                </c:pt>
                <c:pt idx="13">
                  <c:v>158291.15109999999</c:v>
                </c:pt>
                <c:pt idx="14">
                  <c:v>136771.21849999999</c:v>
                </c:pt>
                <c:pt idx="15">
                  <c:v>230034.4265</c:v>
                </c:pt>
              </c:numCache>
            </c:numRef>
          </c:val>
          <c:smooth val="0"/>
        </c:ser>
        <c:dLbls>
          <c:showLegendKey val="0"/>
          <c:showVal val="0"/>
          <c:showCatName val="0"/>
          <c:showSerName val="0"/>
          <c:showPercent val="0"/>
          <c:showBubbleSize val="0"/>
        </c:dLbls>
        <c:smooth val="0"/>
        <c:axId val="364463872"/>
        <c:axId val="364464656"/>
      </c:lineChart>
      <c:catAx>
        <c:axId val="364463872"/>
        <c:scaling>
          <c:orientation val="minMax"/>
        </c:scaling>
        <c:delete val="0"/>
        <c:axPos val="b"/>
        <c:numFmt formatCode="General" sourceLinked="1"/>
        <c:majorTickMark val="out"/>
        <c:minorTickMark val="none"/>
        <c:tickLblPos val="nextTo"/>
        <c:crossAx val="364464656"/>
        <c:crosses val="autoZero"/>
        <c:auto val="1"/>
        <c:lblAlgn val="ctr"/>
        <c:lblOffset val="100"/>
        <c:noMultiLvlLbl val="0"/>
      </c:catAx>
      <c:valAx>
        <c:axId val="364464656"/>
        <c:scaling>
          <c:orientation val="minMax"/>
        </c:scaling>
        <c:delete val="0"/>
        <c:axPos val="l"/>
        <c:majorGridlines/>
        <c:numFmt formatCode="#,##0_ " sourceLinked="1"/>
        <c:majorTickMark val="out"/>
        <c:minorTickMark val="none"/>
        <c:tickLblPos val="nextTo"/>
        <c:crossAx val="364463872"/>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'[M-2015-12 (7).xlsx]10'!$B$10</c:f>
              <c:strCache>
                <c:ptCount val="1"/>
                <c:pt idx="0">
                  <c:v>投資金額</c:v>
                </c:pt>
              </c:strCache>
            </c:strRef>
          </c:tx>
          <c:marker>
            <c:symbol val="none"/>
          </c:marker>
          <c:cat>
            <c:numRef>
              <c:f>'[M-2015-12 (7).xlsx]10'!$A$11:$A$26</c:f>
              <c:numCache>
                <c:formatCode>General</c:formatCode>
                <c:ptCount val="16"/>
                <c:pt idx="0">
                  <c:v>89</c:v>
                </c:pt>
                <c:pt idx="1">
                  <c:v>90</c:v>
                </c:pt>
                <c:pt idx="2">
                  <c:v>91</c:v>
                </c:pt>
                <c:pt idx="3">
                  <c:v>92</c:v>
                </c:pt>
                <c:pt idx="4">
                  <c:v>93</c:v>
                </c:pt>
                <c:pt idx="5">
                  <c:v>94</c:v>
                </c:pt>
                <c:pt idx="6">
                  <c:v>95</c:v>
                </c:pt>
                <c:pt idx="7">
                  <c:v>96</c:v>
                </c:pt>
                <c:pt idx="8">
                  <c:v>97</c:v>
                </c:pt>
                <c:pt idx="9">
                  <c:v>98</c:v>
                </c:pt>
                <c:pt idx="10">
                  <c:v>99</c:v>
                </c:pt>
                <c:pt idx="11">
                  <c:v>100</c:v>
                </c:pt>
                <c:pt idx="12">
                  <c:v>101</c:v>
                </c:pt>
                <c:pt idx="13">
                  <c:v>102</c:v>
                </c:pt>
                <c:pt idx="14">
                  <c:v>103</c:v>
                </c:pt>
                <c:pt idx="15">
                  <c:v>104</c:v>
                </c:pt>
              </c:numCache>
            </c:numRef>
          </c:cat>
          <c:val>
            <c:numRef>
              <c:f>'[M-2015-12 (7).xlsx]10'!$B$11:$B$26</c:f>
              <c:numCache>
                <c:formatCode>#,##0_ </c:formatCode>
                <c:ptCount val="16"/>
                <c:pt idx="0">
                  <c:v>730325.33059999999</c:v>
                </c:pt>
                <c:pt idx="1">
                  <c:v>684723.59010000003</c:v>
                </c:pt>
                <c:pt idx="2">
                  <c:v>608106.32380000001</c:v>
                </c:pt>
                <c:pt idx="3">
                  <c:v>725688.58849999995</c:v>
                </c:pt>
                <c:pt idx="4">
                  <c:v>826516.64489999996</c:v>
                </c:pt>
                <c:pt idx="5">
                  <c:v>723164.41240000003</c:v>
                </c:pt>
                <c:pt idx="6">
                  <c:v>1587874.4816000001</c:v>
                </c:pt>
                <c:pt idx="7">
                  <c:v>996553.49239999999</c:v>
                </c:pt>
                <c:pt idx="8">
                  <c:v>435805.57870000001</c:v>
                </c:pt>
                <c:pt idx="9">
                  <c:v>238961.31340000001</c:v>
                </c:pt>
                <c:pt idx="10">
                  <c:v>399984.33039999998</c:v>
                </c:pt>
                <c:pt idx="11">
                  <c:v>444703.2316</c:v>
                </c:pt>
                <c:pt idx="12">
                  <c:v>414264.68949999998</c:v>
                </c:pt>
                <c:pt idx="13">
                  <c:v>408532.9154</c:v>
                </c:pt>
                <c:pt idx="14">
                  <c:v>547306.89309999999</c:v>
                </c:pt>
                <c:pt idx="15">
                  <c:v>453161.40480000002</c:v>
                </c:pt>
              </c:numCache>
            </c:numRef>
          </c:val>
          <c:smooth val="0"/>
        </c:ser>
        <c:dLbls>
          <c:showLegendKey val="0"/>
          <c:showVal val="0"/>
          <c:showCatName val="0"/>
          <c:showSerName val="0"/>
          <c:showPercent val="0"/>
          <c:showBubbleSize val="0"/>
        </c:dLbls>
        <c:smooth val="0"/>
        <c:axId val="364457992"/>
        <c:axId val="364458384"/>
      </c:lineChart>
      <c:catAx>
        <c:axId val="364457992"/>
        <c:scaling>
          <c:orientation val="minMax"/>
        </c:scaling>
        <c:delete val="0"/>
        <c:axPos val="b"/>
        <c:numFmt formatCode="General" sourceLinked="1"/>
        <c:majorTickMark val="out"/>
        <c:minorTickMark val="none"/>
        <c:tickLblPos val="nextTo"/>
        <c:crossAx val="364458384"/>
        <c:crosses val="autoZero"/>
        <c:auto val="1"/>
        <c:lblAlgn val="ctr"/>
        <c:lblOffset val="100"/>
        <c:noMultiLvlLbl val="0"/>
      </c:catAx>
      <c:valAx>
        <c:axId val="364458384"/>
        <c:scaling>
          <c:orientation val="minMax"/>
        </c:scaling>
        <c:delete val="0"/>
        <c:axPos val="l"/>
        <c:majorGridlines/>
        <c:numFmt formatCode="#,##0_ " sourceLinked="1"/>
        <c:majorTickMark val="out"/>
        <c:minorTickMark val="none"/>
        <c:tickLblPos val="nextTo"/>
        <c:crossAx val="36445799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AC998-33F6-4915-8033-C8634A1BB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73</Pages>
  <Words>6386</Words>
  <Characters>36404</Characters>
  <Application>Microsoft Office Word</Application>
  <DocSecurity>0</DocSecurity>
  <Lines>303</Lines>
  <Paragraphs>85</Paragraphs>
  <ScaleCrop>false</ScaleCrop>
  <Company>cy</Company>
  <LinksUpToDate>false</LinksUpToDate>
  <CharactersWithSpaces>42705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「政府改善投資環境吸引外國投資之施政措施及績效」專案調查研究報告</dc:title>
  <dc:subject>財政及經濟委員會105年度專案調查研究</dc:subject>
  <dc:creator>游采熒</dc:creator>
  <cp:lastModifiedBy>林宗賓</cp:lastModifiedBy>
  <cp:revision>2</cp:revision>
  <cp:lastPrinted>2016-12-29T07:29:00Z</cp:lastPrinted>
  <dcterms:created xsi:type="dcterms:W3CDTF">2019-04-09T06:52:00Z</dcterms:created>
  <dcterms:modified xsi:type="dcterms:W3CDTF">2019-04-09T06:52:00Z</dcterms:modified>
</cp:coreProperties>
</file>