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13" w:rsidRDefault="00251F13" w:rsidP="00251F13">
      <w:pPr>
        <w:pStyle w:val="af3"/>
      </w:pPr>
      <w:r>
        <w:rPr>
          <w:rFonts w:hint="eastAsia"/>
        </w:rPr>
        <w:t>調查報告</w:t>
      </w:r>
    </w:p>
    <w:p w:rsidR="00251F13" w:rsidRDefault="00251F13" w:rsidP="00251F13">
      <w:pPr>
        <w:pStyle w:val="1"/>
        <w:numPr>
          <w:ilvl w:val="0"/>
          <w:numId w:val="1"/>
        </w:numPr>
      </w:pPr>
      <w:bookmarkStart w:id="0" w:name="_Toc465676832"/>
      <w:r>
        <w:rPr>
          <w:rFonts w:hint="eastAsia"/>
        </w:rPr>
        <w:t>案　　由：</w:t>
      </w:r>
      <w:proofErr w:type="gramStart"/>
      <w:r>
        <w:rPr>
          <w:rFonts w:hint="eastAsia"/>
        </w:rPr>
        <w:t>據訴</w:t>
      </w:r>
      <w:proofErr w:type="gramEnd"/>
      <w:r>
        <w:rPr>
          <w:rFonts w:hint="eastAsia"/>
        </w:rPr>
        <w:t>，江國慶案、蘇建和案、</w:t>
      </w:r>
      <w:proofErr w:type="gramStart"/>
      <w:r>
        <w:rPr>
          <w:rFonts w:hint="eastAsia"/>
        </w:rPr>
        <w:t>后</w:t>
      </w:r>
      <w:proofErr w:type="gramEnd"/>
      <w:r>
        <w:rPr>
          <w:rFonts w:hint="eastAsia"/>
        </w:rPr>
        <w:t>豐</w:t>
      </w:r>
      <w:proofErr w:type="gramStart"/>
      <w:r>
        <w:rPr>
          <w:rFonts w:hint="eastAsia"/>
        </w:rPr>
        <w:t>大橋墜橋案</w:t>
      </w:r>
      <w:proofErr w:type="gramEnd"/>
      <w:r>
        <w:rPr>
          <w:rFonts w:hint="eastAsia"/>
        </w:rPr>
        <w:t>及徐自強案等冤案，存有嚴重之科學</w:t>
      </w:r>
      <w:proofErr w:type="gramStart"/>
      <w:r>
        <w:rPr>
          <w:rFonts w:hint="eastAsia"/>
        </w:rPr>
        <w:t>鑑</w:t>
      </w:r>
      <w:proofErr w:type="gramEnd"/>
      <w:r>
        <w:rPr>
          <w:rFonts w:hint="eastAsia"/>
        </w:rPr>
        <w:t>識錯誤，應要求</w:t>
      </w:r>
      <w:proofErr w:type="gramStart"/>
      <w:r>
        <w:rPr>
          <w:rFonts w:hint="eastAsia"/>
        </w:rPr>
        <w:t>鑑</w:t>
      </w:r>
      <w:proofErr w:type="gramEnd"/>
      <w:r>
        <w:rPr>
          <w:rFonts w:hint="eastAsia"/>
        </w:rPr>
        <w:t>識機關檢討改善，並追究相關</w:t>
      </w:r>
      <w:proofErr w:type="gramStart"/>
      <w:r>
        <w:rPr>
          <w:rFonts w:hint="eastAsia"/>
        </w:rPr>
        <w:t>鑑</w:t>
      </w:r>
      <w:proofErr w:type="gramEnd"/>
      <w:r>
        <w:rPr>
          <w:rFonts w:hint="eastAsia"/>
        </w:rPr>
        <w:t>識人員之違失行為</w:t>
      </w:r>
      <w:proofErr w:type="gramStart"/>
      <w:r>
        <w:rPr>
          <w:rFonts w:hint="eastAsia"/>
        </w:rPr>
        <w:t>等情案</w:t>
      </w:r>
      <w:proofErr w:type="gramEnd"/>
      <w:r>
        <w:rPr>
          <w:rFonts w:hint="eastAsia"/>
        </w:rPr>
        <w:t>。</w:t>
      </w:r>
      <w:bookmarkEnd w:id="0"/>
      <w:r>
        <w:rPr>
          <w:rFonts w:hint="eastAsia"/>
        </w:rPr>
        <w:t xml:space="preserve"> </w:t>
      </w:r>
    </w:p>
    <w:p w:rsidR="00654816" w:rsidRPr="00251F13" w:rsidRDefault="00654816" w:rsidP="002F46B8">
      <w:pPr>
        <w:pStyle w:val="2"/>
        <w:widowControl/>
        <w:numPr>
          <w:ilvl w:val="0"/>
          <w:numId w:val="0"/>
        </w:numPr>
        <w:overflowPunct/>
        <w:autoSpaceDE/>
        <w:autoSpaceDN/>
        <w:ind w:left="1021"/>
        <w:jc w:val="left"/>
      </w:pPr>
    </w:p>
    <w:p w:rsidR="00CE314E" w:rsidRDefault="00CE314E" w:rsidP="00CD0D7A">
      <w:pPr>
        <w:pStyle w:val="1"/>
      </w:pPr>
      <w:bookmarkStart w:id="1" w:name="_Toc465676849"/>
      <w:r>
        <w:rPr>
          <w:rFonts w:hint="eastAsia"/>
        </w:rPr>
        <w:t>調查意見：</w:t>
      </w:r>
      <w:bookmarkEnd w:id="1"/>
    </w:p>
    <w:p w:rsidR="00B54082" w:rsidRPr="00A03335" w:rsidRDefault="00B54082" w:rsidP="00B54082">
      <w:pPr>
        <w:pStyle w:val="11"/>
        <w:ind w:left="680" w:firstLine="680"/>
        <w:rPr>
          <w:rFonts w:hAnsi="標楷體"/>
          <w:color w:val="000000"/>
          <w:kern w:val="2"/>
        </w:rPr>
      </w:pPr>
      <w:r w:rsidRPr="00A03335">
        <w:rPr>
          <w:rFonts w:hAnsi="標楷體" w:hint="eastAsia"/>
        </w:rPr>
        <w:t>按</w:t>
      </w:r>
      <w:r w:rsidRPr="00FC2280">
        <w:rPr>
          <w:rFonts w:hAnsi="標楷體" w:hint="eastAsia"/>
        </w:rPr>
        <w:t>蔡英文</w:t>
      </w:r>
      <w:r w:rsidRPr="00A03335">
        <w:rPr>
          <w:rFonts w:hAnsi="標楷體" w:hint="eastAsia"/>
        </w:rPr>
        <w:t>總統於就職演說中</w:t>
      </w:r>
      <w:r>
        <w:rPr>
          <w:rFonts w:hAnsi="標楷體" w:hint="eastAsia"/>
        </w:rPr>
        <w:t>指</w:t>
      </w:r>
      <w:r w:rsidRPr="00A03335">
        <w:rPr>
          <w:rFonts w:hAnsi="標楷體" w:hint="eastAsia"/>
        </w:rPr>
        <w:t>稱，我們的司法已失去人民的信任，必須透過人民實際的參與，讓社會力進來，一起推動司法改革。司法必須回應人民的需求，不再只是法律人的司法，而是全民的司法。司法改革也不只是司法人的家務事，而是全民參與的改革。</w:t>
      </w:r>
      <w:r w:rsidRPr="00A03335">
        <w:rPr>
          <w:rFonts w:hAnsi="標楷體" w:hint="eastAsia"/>
          <w:bCs/>
          <w:color w:val="000000"/>
          <w:kern w:val="2"/>
        </w:rPr>
        <w:t>監察院依據憲法第</w:t>
      </w:r>
      <w:r w:rsidRPr="00A03335">
        <w:rPr>
          <w:rFonts w:hAnsi="標楷體"/>
          <w:bCs/>
          <w:color w:val="000000"/>
          <w:kern w:val="2"/>
        </w:rPr>
        <w:t>90</w:t>
      </w:r>
      <w:r w:rsidRPr="00A03335">
        <w:rPr>
          <w:rFonts w:hAnsi="標楷體" w:hint="eastAsia"/>
          <w:bCs/>
          <w:color w:val="000000"/>
          <w:kern w:val="2"/>
        </w:rPr>
        <w:t>條、第</w:t>
      </w:r>
      <w:r w:rsidRPr="00A03335">
        <w:rPr>
          <w:rFonts w:hAnsi="標楷體"/>
          <w:bCs/>
          <w:color w:val="000000"/>
          <w:kern w:val="2"/>
        </w:rPr>
        <w:t>96</w:t>
      </w:r>
      <w:r w:rsidRPr="00A03335">
        <w:rPr>
          <w:rFonts w:hAnsi="標楷體" w:hint="eastAsia"/>
          <w:bCs/>
          <w:color w:val="000000"/>
          <w:kern w:val="2"/>
        </w:rPr>
        <w:t>條與第</w:t>
      </w:r>
      <w:r w:rsidRPr="00A03335">
        <w:rPr>
          <w:rFonts w:hAnsi="標楷體"/>
          <w:bCs/>
          <w:color w:val="000000"/>
          <w:kern w:val="2"/>
        </w:rPr>
        <w:t>97</w:t>
      </w:r>
      <w:r>
        <w:rPr>
          <w:rFonts w:hAnsi="標楷體" w:hint="eastAsia"/>
          <w:bCs/>
          <w:color w:val="000000"/>
          <w:kern w:val="2"/>
        </w:rPr>
        <w:t>條規定，</w:t>
      </w:r>
      <w:r w:rsidRPr="00A03335">
        <w:rPr>
          <w:rFonts w:hAnsi="標楷體" w:hint="eastAsia"/>
          <w:bCs/>
          <w:color w:val="000000"/>
          <w:kern w:val="2"/>
        </w:rPr>
        <w:t>為</w:t>
      </w:r>
      <w:r w:rsidRPr="00A03335">
        <w:rPr>
          <w:rFonts w:hAnsi="標楷體" w:hint="eastAsia"/>
          <w:color w:val="000000"/>
          <w:kern w:val="2"/>
        </w:rPr>
        <w:t>國家最高監察機關，對於各級政府之施政作為與舉措</w:t>
      </w:r>
      <w:r w:rsidRPr="00A03335">
        <w:rPr>
          <w:rFonts w:hAnsi="標楷體" w:hint="eastAsia"/>
          <w:color w:val="000000"/>
          <w:kern w:val="2"/>
          <w:lang w:val="x-none"/>
        </w:rPr>
        <w:t>，應</w:t>
      </w:r>
      <w:r w:rsidRPr="00A03335">
        <w:rPr>
          <w:rFonts w:hAnsi="標楷體" w:hint="eastAsia"/>
          <w:color w:val="000000"/>
          <w:kern w:val="2"/>
        </w:rPr>
        <w:t>注意其是否違法或失職，</w:t>
      </w:r>
      <w:r>
        <w:rPr>
          <w:rFonts w:hAnsi="標楷體" w:hint="eastAsia"/>
          <w:color w:val="000000"/>
          <w:kern w:val="2"/>
        </w:rPr>
        <w:t>其</w:t>
      </w:r>
      <w:r w:rsidRPr="00A03335">
        <w:rPr>
          <w:rFonts w:hAnsi="標楷體" w:hint="eastAsia"/>
          <w:color w:val="000000"/>
          <w:kern w:val="2"/>
        </w:rPr>
        <w:t>肩負有「</w:t>
      </w:r>
      <w:r w:rsidRPr="00A03335">
        <w:rPr>
          <w:rFonts w:hAnsi="標楷體"/>
          <w:color w:val="000000"/>
          <w:kern w:val="2"/>
        </w:rPr>
        <w:t>整飭官</w:t>
      </w:r>
      <w:proofErr w:type="gramStart"/>
      <w:r w:rsidRPr="00A03335">
        <w:rPr>
          <w:rFonts w:hAnsi="標楷體"/>
          <w:color w:val="000000"/>
          <w:kern w:val="2"/>
        </w:rPr>
        <w:t>箴</w:t>
      </w:r>
      <w:proofErr w:type="gramEnd"/>
      <w:r w:rsidRPr="00A03335">
        <w:rPr>
          <w:rFonts w:hAnsi="標楷體"/>
          <w:color w:val="000000"/>
          <w:kern w:val="2"/>
        </w:rPr>
        <w:t>、</w:t>
      </w:r>
      <w:r w:rsidRPr="00A03335">
        <w:rPr>
          <w:rFonts w:hAnsi="標楷體" w:hint="eastAsia"/>
          <w:color w:val="000000"/>
          <w:kern w:val="2"/>
        </w:rPr>
        <w:t>澄清吏治、保障</w:t>
      </w:r>
      <w:r w:rsidRPr="00A03335">
        <w:rPr>
          <w:rFonts w:hAnsi="標楷體"/>
          <w:color w:val="000000"/>
          <w:kern w:val="2"/>
        </w:rPr>
        <w:t>人權、紓解民怨</w:t>
      </w:r>
      <w:r w:rsidRPr="00A03335">
        <w:rPr>
          <w:rFonts w:hAnsi="標楷體" w:hint="eastAsia"/>
          <w:color w:val="000000"/>
          <w:kern w:val="2"/>
        </w:rPr>
        <w:t>」的四大使命，</w:t>
      </w:r>
      <w:r>
        <w:rPr>
          <w:rFonts w:hAnsi="標楷體" w:hint="eastAsia"/>
          <w:color w:val="000000"/>
          <w:kern w:val="2"/>
        </w:rPr>
        <w:t>而據</w:t>
      </w:r>
      <w:r w:rsidRPr="006C58F4">
        <w:rPr>
          <w:rFonts w:hAnsi="標楷體" w:hint="eastAsia"/>
          <w:bCs/>
          <w:color w:val="000000"/>
          <w:kern w:val="2"/>
        </w:rPr>
        <w:t>監察院</w:t>
      </w:r>
      <w:r>
        <w:rPr>
          <w:rFonts w:hAnsi="標楷體" w:hint="eastAsia"/>
          <w:bCs/>
          <w:color w:val="000000"/>
          <w:kern w:val="2"/>
        </w:rPr>
        <w:t>歷年</w:t>
      </w:r>
      <w:r w:rsidRPr="006C58F4">
        <w:rPr>
          <w:rFonts w:hAnsi="標楷體" w:hint="eastAsia"/>
          <w:bCs/>
          <w:color w:val="000000"/>
          <w:kern w:val="2"/>
        </w:rPr>
        <w:t>收受司法及</w:t>
      </w:r>
      <w:proofErr w:type="gramStart"/>
      <w:r w:rsidRPr="006C58F4">
        <w:rPr>
          <w:rFonts w:hAnsi="標楷體" w:hint="eastAsia"/>
          <w:bCs/>
          <w:color w:val="000000"/>
          <w:kern w:val="2"/>
        </w:rPr>
        <w:t>獄政類之</w:t>
      </w:r>
      <w:proofErr w:type="gramEnd"/>
      <w:r w:rsidRPr="006C58F4">
        <w:rPr>
          <w:rFonts w:hAnsi="標楷體" w:hint="eastAsia"/>
          <w:bCs/>
          <w:color w:val="000000"/>
          <w:kern w:val="2"/>
        </w:rPr>
        <w:t>人民書狀</w:t>
      </w:r>
      <w:r>
        <w:rPr>
          <w:rFonts w:hAnsi="標楷體" w:hint="eastAsia"/>
          <w:bCs/>
          <w:color w:val="000000"/>
          <w:kern w:val="2"/>
        </w:rPr>
        <w:t>統計</w:t>
      </w:r>
      <w:r>
        <w:rPr>
          <w:rFonts w:ascii="新細明體" w:eastAsia="新細明體" w:hAnsi="新細明體" w:hint="eastAsia"/>
          <w:bCs/>
          <w:color w:val="000000"/>
          <w:kern w:val="2"/>
        </w:rPr>
        <w:t>，</w:t>
      </w:r>
      <w:r>
        <w:rPr>
          <w:rFonts w:hAnsi="標楷體" w:hint="eastAsia"/>
          <w:bCs/>
          <w:color w:val="000000"/>
          <w:kern w:val="2"/>
        </w:rPr>
        <w:t>均逼近</w:t>
      </w:r>
      <w:r w:rsidRPr="006C58F4">
        <w:rPr>
          <w:rFonts w:hAnsi="標楷體" w:hint="eastAsia"/>
          <w:bCs/>
          <w:color w:val="000000"/>
          <w:kern w:val="2"/>
        </w:rPr>
        <w:t>總收件數</w:t>
      </w:r>
      <w:r>
        <w:rPr>
          <w:rFonts w:hAnsi="標楷體" w:hint="eastAsia"/>
          <w:bCs/>
          <w:color w:val="000000"/>
          <w:kern w:val="2"/>
        </w:rPr>
        <w:t>三分之一</w:t>
      </w:r>
      <w:r w:rsidRPr="006C58F4">
        <w:rPr>
          <w:rFonts w:hAnsi="標楷體" w:hint="eastAsia"/>
          <w:bCs/>
          <w:color w:val="000000"/>
          <w:kern w:val="2"/>
        </w:rPr>
        <w:t>，數量</w:t>
      </w:r>
      <w:r>
        <w:rPr>
          <w:rFonts w:hAnsi="標楷體" w:hint="eastAsia"/>
          <w:bCs/>
          <w:color w:val="000000"/>
          <w:kern w:val="2"/>
        </w:rPr>
        <w:t>一直</w:t>
      </w:r>
      <w:r w:rsidRPr="006C58F4">
        <w:rPr>
          <w:rFonts w:hAnsi="標楷體" w:hint="eastAsia"/>
          <w:bCs/>
          <w:color w:val="000000"/>
          <w:kern w:val="2"/>
        </w:rPr>
        <w:t>居高不下，</w:t>
      </w:r>
      <w:r>
        <w:rPr>
          <w:rFonts w:hAnsi="標楷體" w:hint="eastAsia"/>
          <w:bCs/>
          <w:color w:val="000000"/>
          <w:kern w:val="2"/>
        </w:rPr>
        <w:t>故監察院</w:t>
      </w:r>
      <w:r w:rsidRPr="00834439">
        <w:rPr>
          <w:rFonts w:hAnsi="標楷體" w:hint="eastAsia"/>
          <w:bCs/>
          <w:color w:val="000000"/>
          <w:kern w:val="2"/>
        </w:rPr>
        <w:t>向來</w:t>
      </w:r>
      <w:r w:rsidRPr="00A03335">
        <w:rPr>
          <w:rFonts w:hAnsi="標楷體" w:hint="eastAsia"/>
          <w:color w:val="000000"/>
          <w:kern w:val="2"/>
        </w:rPr>
        <w:t>對司法權監督</w:t>
      </w:r>
      <w:r>
        <w:rPr>
          <w:rFonts w:hAnsi="標楷體" w:hint="eastAsia"/>
          <w:color w:val="000000"/>
          <w:kern w:val="2"/>
        </w:rPr>
        <w:t>均列為</w:t>
      </w:r>
      <w:r w:rsidRPr="00A03335">
        <w:rPr>
          <w:rFonts w:hAnsi="標楷體" w:hint="eastAsia"/>
          <w:color w:val="000000"/>
          <w:kern w:val="2"/>
        </w:rPr>
        <w:t>重要工作</w:t>
      </w:r>
      <w:r>
        <w:rPr>
          <w:rFonts w:hAnsi="標楷體" w:hint="eastAsia"/>
          <w:color w:val="000000"/>
          <w:kern w:val="2"/>
        </w:rPr>
        <w:t>項目</w:t>
      </w:r>
      <w:r w:rsidRPr="00A03335">
        <w:rPr>
          <w:rFonts w:hAnsi="標楷體" w:hint="eastAsia"/>
          <w:color w:val="000000"/>
          <w:kern w:val="2"/>
        </w:rPr>
        <w:t>，</w:t>
      </w:r>
      <w:r w:rsidR="00820952">
        <w:rPr>
          <w:rFonts w:hAnsi="標楷體" w:hint="eastAsia"/>
          <w:color w:val="000000"/>
          <w:kern w:val="2"/>
        </w:rPr>
        <w:t>是則</w:t>
      </w:r>
      <w:r w:rsidR="00820952">
        <w:rPr>
          <w:rFonts w:ascii="新細明體" w:eastAsia="新細明體" w:hAnsi="新細明體" w:hint="eastAsia"/>
          <w:color w:val="000000"/>
          <w:kern w:val="2"/>
        </w:rPr>
        <w:t>，</w:t>
      </w:r>
      <w:r>
        <w:rPr>
          <w:rFonts w:hAnsi="標楷體" w:hint="eastAsia"/>
          <w:color w:val="000000"/>
          <w:kern w:val="2"/>
        </w:rPr>
        <w:t>基於</w:t>
      </w:r>
      <w:r w:rsidRPr="006C58F4">
        <w:rPr>
          <w:rFonts w:hAnsi="標楷體" w:hint="eastAsia"/>
          <w:color w:val="000000"/>
          <w:kern w:val="2"/>
        </w:rPr>
        <w:t>憲法所賦予</w:t>
      </w:r>
      <w:r>
        <w:rPr>
          <w:rFonts w:hAnsi="標楷體" w:hint="eastAsia"/>
          <w:color w:val="000000"/>
          <w:kern w:val="2"/>
        </w:rPr>
        <w:t>監察院作為</w:t>
      </w:r>
      <w:r w:rsidRPr="006C58F4">
        <w:rPr>
          <w:rFonts w:hAnsi="標楷體" w:hint="eastAsia"/>
          <w:color w:val="000000"/>
          <w:kern w:val="2"/>
        </w:rPr>
        <w:t>監督者（外部）之角色</w:t>
      </w:r>
      <w:r>
        <w:rPr>
          <w:rFonts w:ascii="新細明體" w:eastAsia="新細明體" w:hAnsi="新細明體" w:hint="eastAsia"/>
          <w:color w:val="000000"/>
          <w:kern w:val="2"/>
        </w:rPr>
        <w:t>，</w:t>
      </w:r>
      <w:r w:rsidRPr="00A03335">
        <w:rPr>
          <w:rFonts w:hAnsi="標楷體" w:hint="eastAsia"/>
          <w:color w:val="000000"/>
          <w:kern w:val="2"/>
        </w:rPr>
        <w:t>在司法改革</w:t>
      </w:r>
      <w:r>
        <w:rPr>
          <w:rFonts w:hAnsi="標楷體" w:hint="eastAsia"/>
          <w:color w:val="000000"/>
          <w:kern w:val="2"/>
        </w:rPr>
        <w:t>之歷程中</w:t>
      </w:r>
      <w:r w:rsidRPr="00A03335">
        <w:rPr>
          <w:rFonts w:hAnsi="標楷體" w:hint="eastAsia"/>
          <w:color w:val="000000"/>
          <w:kern w:val="2"/>
        </w:rPr>
        <w:t>，</w:t>
      </w:r>
      <w:r>
        <w:rPr>
          <w:rFonts w:hAnsi="標楷體" w:hint="eastAsia"/>
          <w:color w:val="000000"/>
          <w:kern w:val="2"/>
        </w:rPr>
        <w:t>尚</w:t>
      </w:r>
      <w:r w:rsidRPr="00A03335">
        <w:rPr>
          <w:rFonts w:hAnsi="標楷體" w:hint="eastAsia"/>
          <w:color w:val="000000"/>
          <w:kern w:val="2"/>
        </w:rPr>
        <w:t>不宜置身事外，</w:t>
      </w:r>
      <w:r>
        <w:rPr>
          <w:rFonts w:hAnsi="標楷體" w:hint="eastAsia"/>
          <w:color w:val="000000"/>
          <w:kern w:val="2"/>
        </w:rPr>
        <w:t>自應就其所發現之各項司法</w:t>
      </w:r>
      <w:proofErr w:type="gramStart"/>
      <w:r w:rsidRPr="00834439">
        <w:rPr>
          <w:rFonts w:hAnsi="標楷體" w:hint="eastAsia"/>
          <w:color w:val="000000"/>
          <w:kern w:val="2"/>
        </w:rPr>
        <w:t>窳漏</w:t>
      </w:r>
      <w:r>
        <w:rPr>
          <w:rFonts w:hAnsi="標楷體" w:hint="eastAsia"/>
          <w:color w:val="000000"/>
          <w:kern w:val="2"/>
        </w:rPr>
        <w:t>善</w:t>
      </w:r>
      <w:proofErr w:type="gramEnd"/>
      <w:r>
        <w:rPr>
          <w:rFonts w:hAnsi="標楷體" w:hint="eastAsia"/>
          <w:color w:val="000000"/>
          <w:kern w:val="2"/>
        </w:rPr>
        <w:t>盡言責</w:t>
      </w:r>
      <w:r>
        <w:rPr>
          <w:rFonts w:ascii="新細明體" w:eastAsia="新細明體" w:hAnsi="新細明體" w:hint="eastAsia"/>
          <w:color w:val="000000"/>
          <w:kern w:val="2"/>
        </w:rPr>
        <w:t>，</w:t>
      </w:r>
      <w:r w:rsidRPr="00A03335">
        <w:rPr>
          <w:rFonts w:hAnsi="標楷體" w:hint="eastAsia"/>
          <w:color w:val="000000"/>
          <w:kern w:val="2"/>
        </w:rPr>
        <w:t>盡力協助司法機關</w:t>
      </w:r>
      <w:r>
        <w:rPr>
          <w:rFonts w:hAnsi="標楷體" w:hint="eastAsia"/>
          <w:color w:val="000000"/>
          <w:kern w:val="2"/>
        </w:rPr>
        <w:t>建立一個尊重人性尊嚴</w:t>
      </w:r>
      <w:r>
        <w:rPr>
          <w:rFonts w:ascii="新細明體" w:eastAsia="新細明體" w:hAnsi="新細明體" w:hint="eastAsia"/>
          <w:color w:val="000000"/>
          <w:kern w:val="2"/>
        </w:rPr>
        <w:t>，</w:t>
      </w:r>
      <w:r>
        <w:rPr>
          <w:rFonts w:hAnsi="標楷體" w:hint="eastAsia"/>
          <w:color w:val="000000"/>
          <w:kern w:val="2"/>
        </w:rPr>
        <w:t>值得全民信賴的現代化司法制度</w:t>
      </w:r>
      <w:r w:rsidRPr="00A03335">
        <w:rPr>
          <w:rFonts w:hAnsi="標楷體" w:hint="eastAsia"/>
          <w:color w:val="000000"/>
          <w:kern w:val="2"/>
        </w:rPr>
        <w:t>。</w:t>
      </w:r>
    </w:p>
    <w:p w:rsidR="003D7C72" w:rsidRDefault="00B54082" w:rsidP="00B54082">
      <w:pPr>
        <w:pStyle w:val="11"/>
        <w:ind w:left="680" w:firstLine="680"/>
        <w:rPr>
          <w:rFonts w:hAnsi="標楷體"/>
        </w:rPr>
      </w:pPr>
      <w:r w:rsidRPr="00A03335">
        <w:rPr>
          <w:rFonts w:hAnsi="標楷體" w:hint="eastAsia"/>
        </w:rPr>
        <w:t>本</w:t>
      </w:r>
      <w:proofErr w:type="gramStart"/>
      <w:r w:rsidRPr="00A03335">
        <w:rPr>
          <w:rFonts w:hAnsi="標楷體" w:hint="eastAsia"/>
        </w:rPr>
        <w:t>案原據財團法人</w:t>
      </w:r>
      <w:proofErr w:type="gramEnd"/>
      <w:r w:rsidRPr="00A03335">
        <w:rPr>
          <w:rFonts w:hAnsi="標楷體" w:hint="eastAsia"/>
        </w:rPr>
        <w:t>民間司法改革基金會(下稱司改會)陳訴：「江國慶案、蘇建和案、</w:t>
      </w:r>
      <w:proofErr w:type="gramStart"/>
      <w:r w:rsidRPr="00A03335">
        <w:rPr>
          <w:rFonts w:hAnsi="標楷體" w:hint="eastAsia"/>
        </w:rPr>
        <w:t>后</w:t>
      </w:r>
      <w:proofErr w:type="gramEnd"/>
      <w:r w:rsidRPr="00A03335">
        <w:rPr>
          <w:rFonts w:hAnsi="標楷體" w:hint="eastAsia"/>
        </w:rPr>
        <w:t>豐</w:t>
      </w:r>
      <w:proofErr w:type="gramStart"/>
      <w:r w:rsidRPr="00A03335">
        <w:rPr>
          <w:rFonts w:hAnsi="標楷體" w:hint="eastAsia"/>
        </w:rPr>
        <w:t>大橋墜橋案</w:t>
      </w:r>
      <w:proofErr w:type="gramEnd"/>
      <w:r w:rsidRPr="00A03335">
        <w:rPr>
          <w:rFonts w:hAnsi="標楷體" w:hint="eastAsia"/>
        </w:rPr>
        <w:t>及徐自強案等冤案，存有嚴重之科學</w:t>
      </w:r>
      <w:proofErr w:type="gramStart"/>
      <w:r w:rsidRPr="00A03335">
        <w:rPr>
          <w:rFonts w:hAnsi="標楷體" w:hint="eastAsia"/>
        </w:rPr>
        <w:t>鑑</w:t>
      </w:r>
      <w:proofErr w:type="gramEnd"/>
      <w:r w:rsidRPr="00A03335">
        <w:rPr>
          <w:rFonts w:hAnsi="標楷體" w:hint="eastAsia"/>
        </w:rPr>
        <w:t>識錯誤，應要求</w:t>
      </w:r>
      <w:proofErr w:type="gramStart"/>
      <w:r w:rsidRPr="00A03335">
        <w:rPr>
          <w:rFonts w:hAnsi="標楷體" w:hint="eastAsia"/>
        </w:rPr>
        <w:t>鑑</w:t>
      </w:r>
      <w:proofErr w:type="gramEnd"/>
      <w:r w:rsidRPr="00A03335">
        <w:rPr>
          <w:rFonts w:hAnsi="標楷體" w:hint="eastAsia"/>
        </w:rPr>
        <w:t>識機關檢討改善，並追究相關</w:t>
      </w:r>
      <w:proofErr w:type="gramStart"/>
      <w:r w:rsidRPr="00A03335">
        <w:rPr>
          <w:rFonts w:hAnsi="標楷體" w:hint="eastAsia"/>
        </w:rPr>
        <w:t>鑑</w:t>
      </w:r>
      <w:proofErr w:type="gramEnd"/>
      <w:r w:rsidRPr="00A03335">
        <w:rPr>
          <w:rFonts w:hAnsi="標楷體" w:hint="eastAsia"/>
        </w:rPr>
        <w:t>識人員之違失行為等情」乙案，所涉有關科學鑑定之問題，</w:t>
      </w:r>
      <w:r w:rsidR="002A552D">
        <w:rPr>
          <w:rFonts w:hAnsi="標楷體" w:hint="eastAsia"/>
        </w:rPr>
        <w:t>民國</w:t>
      </w:r>
      <w:r w:rsidR="002A552D">
        <w:rPr>
          <w:rFonts w:ascii="新細明體" w:eastAsia="新細明體" w:hAnsi="新細明體" w:hint="eastAsia"/>
        </w:rPr>
        <w:t>（</w:t>
      </w:r>
      <w:r w:rsidR="002A552D">
        <w:rPr>
          <w:rFonts w:hAnsi="標楷體" w:hint="eastAsia"/>
        </w:rPr>
        <w:t>下同）</w:t>
      </w:r>
      <w:r w:rsidRPr="00A03335">
        <w:rPr>
          <w:rFonts w:hAnsi="標楷體" w:hint="eastAsia"/>
        </w:rPr>
        <w:t>88年全國司法改革會議雖曾有所討論，然其決議並未執行，致</w:t>
      </w:r>
      <w:r w:rsidRPr="00A03335">
        <w:rPr>
          <w:rFonts w:hAnsi="標楷體" w:hint="eastAsia"/>
        </w:rPr>
        <w:lastRenderedPageBreak/>
        <w:t>所衍生</w:t>
      </w:r>
      <w:r>
        <w:rPr>
          <w:rFonts w:hAnsi="標楷體" w:hint="eastAsia"/>
        </w:rPr>
        <w:t>之</w:t>
      </w:r>
      <w:r w:rsidRPr="00A03335">
        <w:rPr>
          <w:rFonts w:hAnsi="標楷體" w:hint="eastAsia"/>
        </w:rPr>
        <w:t>誤判問題並未實質獲得解決。</w:t>
      </w:r>
      <w:proofErr w:type="gramStart"/>
      <w:r w:rsidRPr="00A03335">
        <w:rPr>
          <w:rFonts w:hAnsi="標楷體" w:hint="eastAsia"/>
        </w:rPr>
        <w:t>從而，</w:t>
      </w:r>
      <w:proofErr w:type="gramEnd"/>
      <w:r w:rsidRPr="00A03335">
        <w:rPr>
          <w:rFonts w:hAnsi="標楷體" w:hint="eastAsia"/>
        </w:rPr>
        <w:t>蔡總統於競選政見中</w:t>
      </w:r>
      <w:r>
        <w:rPr>
          <w:rFonts w:hAnsi="標楷體" w:hint="eastAsia"/>
        </w:rPr>
        <w:t>亦</w:t>
      </w:r>
      <w:r w:rsidRPr="00A03335">
        <w:rPr>
          <w:rFonts w:hAnsi="標楷體" w:hint="eastAsia"/>
        </w:rPr>
        <w:t>指出，必須全面檢討違反刑事人權保障之現況，</w:t>
      </w:r>
      <w:proofErr w:type="gramStart"/>
      <w:r w:rsidRPr="00A03335">
        <w:rPr>
          <w:rFonts w:hAnsi="標楷體" w:hint="eastAsia"/>
        </w:rPr>
        <w:t>基於發見真實</w:t>
      </w:r>
      <w:proofErr w:type="gramEnd"/>
      <w:r w:rsidRPr="00A03335">
        <w:rPr>
          <w:rFonts w:hAnsi="標楷體" w:hint="eastAsia"/>
        </w:rPr>
        <w:t>原則，</w:t>
      </w:r>
      <w:r w:rsidRPr="00A03335">
        <w:rPr>
          <w:rFonts w:hAnsi="標楷體"/>
        </w:rPr>
        <w:t>充實檢、警、調之偵查器材及</w:t>
      </w:r>
      <w:proofErr w:type="gramStart"/>
      <w:r w:rsidRPr="00A03335">
        <w:rPr>
          <w:rFonts w:hAnsi="標楷體"/>
        </w:rPr>
        <w:t>鑑</w:t>
      </w:r>
      <w:proofErr w:type="gramEnd"/>
      <w:r w:rsidRPr="00A03335">
        <w:rPr>
          <w:rFonts w:hAnsi="標楷體"/>
        </w:rPr>
        <w:t>識設備，建立證據蒐集及</w:t>
      </w:r>
      <w:proofErr w:type="gramStart"/>
      <w:r w:rsidRPr="00A03335">
        <w:rPr>
          <w:rFonts w:hAnsi="標楷體"/>
        </w:rPr>
        <w:t>鑑</w:t>
      </w:r>
      <w:proofErr w:type="gramEnd"/>
      <w:r w:rsidRPr="00A03335">
        <w:rPr>
          <w:rFonts w:hAnsi="標楷體"/>
        </w:rPr>
        <w:t>識作業標準、</w:t>
      </w:r>
      <w:proofErr w:type="gramStart"/>
      <w:r w:rsidRPr="00A03335">
        <w:rPr>
          <w:rFonts w:hAnsi="標楷體"/>
        </w:rPr>
        <w:t>研</w:t>
      </w:r>
      <w:proofErr w:type="gramEnd"/>
      <w:r w:rsidRPr="00A03335">
        <w:rPr>
          <w:rFonts w:hAnsi="標楷體"/>
        </w:rPr>
        <w:t>議設立</w:t>
      </w:r>
      <w:proofErr w:type="gramStart"/>
      <w:r w:rsidRPr="00A03335">
        <w:rPr>
          <w:rFonts w:hAnsi="標楷體"/>
        </w:rPr>
        <w:t>鑑</w:t>
      </w:r>
      <w:proofErr w:type="gramEnd"/>
      <w:r w:rsidRPr="00A03335">
        <w:rPr>
          <w:rFonts w:hAnsi="標楷體"/>
        </w:rPr>
        <w:t>識科學之專責機構，提升科學辦案能力，藉以確保法庭科學之可靠及可信性</w:t>
      </w:r>
      <w:r w:rsidRPr="00A03335">
        <w:rPr>
          <w:rFonts w:hAnsi="標楷體" w:hint="eastAsia"/>
        </w:rPr>
        <w:t>等語</w:t>
      </w:r>
      <w:r w:rsidRPr="00A03335">
        <w:rPr>
          <w:rFonts w:hAnsi="標楷體"/>
        </w:rPr>
        <w:t>。</w:t>
      </w:r>
      <w:proofErr w:type="gramStart"/>
      <w:r w:rsidRPr="00A03335">
        <w:rPr>
          <w:rFonts w:hAnsi="標楷體" w:hint="eastAsia"/>
        </w:rPr>
        <w:t>鑑</w:t>
      </w:r>
      <w:proofErr w:type="gramEnd"/>
      <w:r w:rsidRPr="00A03335">
        <w:rPr>
          <w:rFonts w:hAnsi="標楷體" w:hint="eastAsia"/>
        </w:rPr>
        <w:t>此，本調查報告除</w:t>
      </w:r>
      <w:proofErr w:type="gramStart"/>
      <w:r w:rsidRPr="00A03335">
        <w:rPr>
          <w:rFonts w:hAnsi="標楷體" w:hint="eastAsia"/>
        </w:rPr>
        <w:t>凸</w:t>
      </w:r>
      <w:proofErr w:type="gramEnd"/>
      <w:r w:rsidRPr="00A03335">
        <w:rPr>
          <w:rFonts w:hAnsi="標楷體" w:hint="eastAsia"/>
        </w:rPr>
        <w:t>顯</w:t>
      </w:r>
      <w:r>
        <w:rPr>
          <w:rFonts w:hAnsi="標楷體" w:hint="eastAsia"/>
        </w:rPr>
        <w:t>部分</w:t>
      </w:r>
      <w:r w:rsidRPr="00A03335">
        <w:rPr>
          <w:rFonts w:hAnsi="標楷體" w:hint="eastAsia"/>
        </w:rPr>
        <w:t>司法個案有關</w:t>
      </w:r>
      <w:proofErr w:type="gramStart"/>
      <w:r w:rsidRPr="00A03335">
        <w:rPr>
          <w:rFonts w:hAnsi="標楷體" w:hint="eastAsia"/>
        </w:rPr>
        <w:t>鑑</w:t>
      </w:r>
      <w:proofErr w:type="gramEnd"/>
      <w:r w:rsidRPr="00A03335">
        <w:rPr>
          <w:rFonts w:hAnsi="標楷體" w:hint="eastAsia"/>
        </w:rPr>
        <w:t>識錯誤所致誤判問題外，並依據公民與政治權利國際公約第</w:t>
      </w:r>
      <w:r w:rsidRPr="00A03335">
        <w:rPr>
          <w:rFonts w:hAnsi="標楷體"/>
        </w:rPr>
        <w:t>14</w:t>
      </w:r>
      <w:r w:rsidRPr="00A03335">
        <w:rPr>
          <w:rFonts w:hAnsi="標楷體" w:hint="eastAsia"/>
        </w:rPr>
        <w:t>條所定公平法院原則，基於刑事訴訟目的，詳實</w:t>
      </w:r>
      <w:r>
        <w:rPr>
          <w:rFonts w:hAnsi="標楷體" w:hint="eastAsia"/>
        </w:rPr>
        <w:t>考察</w:t>
      </w:r>
      <w:r w:rsidRPr="00A03335">
        <w:rPr>
          <w:rFonts w:hAnsi="標楷體" w:hint="eastAsia"/>
        </w:rPr>
        <w:t>我國法治現狀及司法改革規劃，初步提出刑事事實認定鑑定證據</w:t>
      </w:r>
      <w:proofErr w:type="gramStart"/>
      <w:r w:rsidRPr="00A03335">
        <w:rPr>
          <w:rFonts w:hAnsi="標楷體" w:hint="eastAsia"/>
        </w:rPr>
        <w:t>適正化之</w:t>
      </w:r>
      <w:proofErr w:type="gramEnd"/>
      <w:r w:rsidRPr="00A03335">
        <w:rPr>
          <w:rFonts w:hAnsi="標楷體" w:hint="eastAsia"/>
        </w:rPr>
        <w:t>標準作業程序，藉以提升司法機關</w:t>
      </w:r>
      <w:proofErr w:type="gramStart"/>
      <w:r w:rsidRPr="00A03335">
        <w:rPr>
          <w:rFonts w:hAnsi="標楷體" w:hint="eastAsia"/>
        </w:rPr>
        <w:t>偵</w:t>
      </w:r>
      <w:proofErr w:type="gramEnd"/>
      <w:r w:rsidRPr="00A03335">
        <w:rPr>
          <w:rFonts w:hAnsi="標楷體" w:hint="eastAsia"/>
        </w:rPr>
        <w:t>審品質，</w:t>
      </w:r>
      <w:proofErr w:type="gramStart"/>
      <w:r w:rsidRPr="00A03335">
        <w:rPr>
          <w:rFonts w:hAnsi="標楷體" w:hint="eastAsia"/>
        </w:rPr>
        <w:t>祈</w:t>
      </w:r>
      <w:proofErr w:type="gramEnd"/>
      <w:r w:rsidRPr="00A03335">
        <w:rPr>
          <w:rFonts w:hAnsi="標楷體" w:hint="eastAsia"/>
        </w:rPr>
        <w:t>能保障訴訟基本權，回應人民期待。</w:t>
      </w:r>
    </w:p>
    <w:p w:rsidR="00D3461D" w:rsidRPr="00A03335" w:rsidRDefault="00D3461D" w:rsidP="00B54082">
      <w:pPr>
        <w:pStyle w:val="11"/>
        <w:ind w:left="680" w:firstLine="680"/>
        <w:rPr>
          <w:rFonts w:hAnsi="標楷體"/>
        </w:rPr>
      </w:pPr>
      <w:r w:rsidRPr="00A03335">
        <w:rPr>
          <w:rFonts w:hAnsi="標楷體" w:hint="eastAsia"/>
        </w:rPr>
        <w:t>又本案所涉</w:t>
      </w:r>
      <w:proofErr w:type="gramStart"/>
      <w:r w:rsidRPr="00A03335">
        <w:rPr>
          <w:rFonts w:hAnsi="標楷體" w:hint="eastAsia"/>
        </w:rPr>
        <w:t>后</w:t>
      </w:r>
      <w:proofErr w:type="gramEnd"/>
      <w:r w:rsidRPr="00A03335">
        <w:rPr>
          <w:rFonts w:hAnsi="標楷體" w:hint="eastAsia"/>
        </w:rPr>
        <w:t>豐</w:t>
      </w:r>
      <w:proofErr w:type="gramStart"/>
      <w:r w:rsidRPr="00A03335">
        <w:rPr>
          <w:rFonts w:hAnsi="標楷體" w:hint="eastAsia"/>
        </w:rPr>
        <w:t>大橋墜橋案</w:t>
      </w:r>
      <w:proofErr w:type="gramEnd"/>
      <w:r w:rsidRPr="00A03335">
        <w:rPr>
          <w:rFonts w:hAnsi="標楷體" w:hint="eastAsia"/>
        </w:rPr>
        <w:t>及徐自強案</w:t>
      </w:r>
      <w:r w:rsidRPr="00A03335">
        <w:rPr>
          <w:rStyle w:val="afe"/>
          <w:rFonts w:hAnsi="標楷體"/>
        </w:rPr>
        <w:footnoteReference w:id="1"/>
      </w:r>
      <w:r w:rsidRPr="00A03335">
        <w:rPr>
          <w:rFonts w:hAnsi="標楷體" w:hint="eastAsia"/>
        </w:rPr>
        <w:t>因於本院開始調查時均</w:t>
      </w:r>
      <w:proofErr w:type="gramStart"/>
      <w:r w:rsidR="00220620">
        <w:rPr>
          <w:rFonts w:hAnsi="標楷體" w:hint="eastAsia"/>
        </w:rPr>
        <w:t>繫</w:t>
      </w:r>
      <w:proofErr w:type="gramEnd"/>
      <w:r w:rsidR="00220620">
        <w:rPr>
          <w:rFonts w:hAnsi="標楷體" w:hint="eastAsia"/>
        </w:rPr>
        <w:t>屬於</w:t>
      </w:r>
      <w:r w:rsidRPr="00A03335">
        <w:rPr>
          <w:rFonts w:hAnsi="標楷體" w:hint="eastAsia"/>
        </w:rPr>
        <w:t>法院審理中，依據憲法第80</w:t>
      </w:r>
      <w:r w:rsidR="00220620">
        <w:rPr>
          <w:rFonts w:hAnsi="標楷體" w:hint="eastAsia"/>
        </w:rPr>
        <w:t>條規定，法官依據法律獨立審判，不受任何干涉；</w:t>
      </w:r>
      <w:r w:rsidRPr="00A03335">
        <w:rPr>
          <w:rFonts w:hAnsi="標楷體" w:hint="eastAsia"/>
        </w:rPr>
        <w:t>監察法施行細則第27條規定：「調查案件被調查人之同一行為在刑事偵查或審判中者，不停止調查。但其行政責任應以犯罪成立與否為斷而認為有必要者得停止調查。偵查或審判中案件承辦人員，與該承辦案件有關事項，在承辦</w:t>
      </w:r>
      <w:proofErr w:type="gramStart"/>
      <w:r w:rsidRPr="00A03335">
        <w:rPr>
          <w:rFonts w:hAnsi="標楷體" w:hint="eastAsia"/>
        </w:rPr>
        <w:t>期間，</w:t>
      </w:r>
      <w:proofErr w:type="gramEnd"/>
      <w:r w:rsidRPr="00A03335">
        <w:rPr>
          <w:rFonts w:hAnsi="標楷體" w:hint="eastAsia"/>
        </w:rPr>
        <w:t>應盡量避免實施調查。但如認為承辦人員有貪污瀆職或侵犯人權情節重大，需要即加調查者，仍得斟酌情形，實施調查。」本院基於尊重審判獨立原則，未便立即實施調查，宜</w:t>
      </w:r>
      <w:proofErr w:type="gramStart"/>
      <w:r w:rsidRPr="00A03335">
        <w:rPr>
          <w:rFonts w:hAnsi="標楷體" w:hint="eastAsia"/>
        </w:rPr>
        <w:t>俟</w:t>
      </w:r>
      <w:proofErr w:type="gramEnd"/>
      <w:r w:rsidRPr="00A03335">
        <w:rPr>
          <w:rFonts w:hAnsi="標楷體" w:hint="eastAsia"/>
        </w:rPr>
        <w:t>上開案件確定後，再行調卷審閱。故先就江國慶與蘇建和等確定案件，就科學</w:t>
      </w:r>
      <w:proofErr w:type="gramStart"/>
      <w:r w:rsidRPr="00A03335">
        <w:rPr>
          <w:rFonts w:hAnsi="標楷體" w:hint="eastAsia"/>
        </w:rPr>
        <w:t>鑑</w:t>
      </w:r>
      <w:proofErr w:type="gramEnd"/>
      <w:r w:rsidRPr="00A03335">
        <w:rPr>
          <w:rFonts w:hAnsi="標楷體" w:hint="eastAsia"/>
        </w:rPr>
        <w:t>識錯誤部分實施調查，並對於現行鑑定制度缺失，提出鑑定證據</w:t>
      </w:r>
      <w:proofErr w:type="gramStart"/>
      <w:r w:rsidRPr="00A03335">
        <w:rPr>
          <w:rFonts w:hAnsi="標楷體" w:hint="eastAsia"/>
        </w:rPr>
        <w:t>適正化</w:t>
      </w:r>
      <w:r w:rsidRPr="00A03335">
        <w:rPr>
          <w:rFonts w:hAnsi="標楷體" w:hint="eastAsia"/>
        </w:rPr>
        <w:lastRenderedPageBreak/>
        <w:t>標準</w:t>
      </w:r>
      <w:proofErr w:type="gramEnd"/>
      <w:r w:rsidRPr="00A03335">
        <w:rPr>
          <w:rFonts w:hAnsi="標楷體" w:hint="eastAsia"/>
        </w:rPr>
        <w:t>作業程序之參考意見，</w:t>
      </w:r>
      <w:proofErr w:type="gramStart"/>
      <w:r w:rsidRPr="00A03335">
        <w:rPr>
          <w:rFonts w:hAnsi="標楷體" w:hint="eastAsia"/>
        </w:rPr>
        <w:t>俾</w:t>
      </w:r>
      <w:proofErr w:type="gramEnd"/>
      <w:r w:rsidRPr="00A03335">
        <w:rPr>
          <w:rFonts w:hAnsi="標楷體" w:hint="eastAsia"/>
        </w:rPr>
        <w:t>提升</w:t>
      </w:r>
      <w:proofErr w:type="gramStart"/>
      <w:r w:rsidRPr="00A03335">
        <w:rPr>
          <w:rFonts w:hAnsi="標楷體" w:hint="eastAsia"/>
        </w:rPr>
        <w:t>偵</w:t>
      </w:r>
      <w:proofErr w:type="gramEnd"/>
      <w:r w:rsidRPr="00A03335">
        <w:rPr>
          <w:rFonts w:hAnsi="標楷體" w:hint="eastAsia"/>
        </w:rPr>
        <w:t>審品質；另有關</w:t>
      </w:r>
      <w:proofErr w:type="gramStart"/>
      <w:r w:rsidRPr="00A03335">
        <w:rPr>
          <w:rFonts w:hAnsi="標楷體" w:hint="eastAsia"/>
        </w:rPr>
        <w:t>后</w:t>
      </w:r>
      <w:proofErr w:type="gramEnd"/>
      <w:r w:rsidRPr="00A03335">
        <w:rPr>
          <w:rFonts w:hAnsi="標楷體" w:hint="eastAsia"/>
        </w:rPr>
        <w:t>豐</w:t>
      </w:r>
      <w:proofErr w:type="gramStart"/>
      <w:r w:rsidRPr="00A03335">
        <w:rPr>
          <w:rFonts w:hAnsi="標楷體" w:hint="eastAsia"/>
        </w:rPr>
        <w:t>大橋墜橋案</w:t>
      </w:r>
      <w:proofErr w:type="gramEnd"/>
      <w:r w:rsidRPr="00A03335">
        <w:rPr>
          <w:rFonts w:hAnsi="標楷體" w:hint="eastAsia"/>
        </w:rPr>
        <w:t>及徐自強案，</w:t>
      </w:r>
      <w:proofErr w:type="gramStart"/>
      <w:r w:rsidRPr="00A03335">
        <w:rPr>
          <w:rFonts w:hAnsi="標楷體" w:hint="eastAsia"/>
        </w:rPr>
        <w:t>俟</w:t>
      </w:r>
      <w:proofErr w:type="gramEnd"/>
      <w:r w:rsidRPr="00A03335">
        <w:rPr>
          <w:rFonts w:hAnsi="標楷體" w:hint="eastAsia"/>
        </w:rPr>
        <w:t>法院審理</w:t>
      </w:r>
      <w:proofErr w:type="gramStart"/>
      <w:r w:rsidRPr="00A03335">
        <w:rPr>
          <w:rFonts w:hAnsi="標楷體" w:hint="eastAsia"/>
        </w:rPr>
        <w:t>竣</w:t>
      </w:r>
      <w:proofErr w:type="gramEnd"/>
      <w:r w:rsidRPr="00A03335">
        <w:rPr>
          <w:rFonts w:hAnsi="標楷體" w:hint="eastAsia"/>
        </w:rPr>
        <w:t>事後，兩案合併再行提出分案調查報告，併入總案辦理。</w:t>
      </w:r>
    </w:p>
    <w:p w:rsidR="00CE314E" w:rsidRDefault="00D3461D" w:rsidP="00D3461D">
      <w:pPr>
        <w:pStyle w:val="11"/>
        <w:ind w:left="680" w:firstLine="680"/>
      </w:pPr>
      <w:r w:rsidRPr="00A03335">
        <w:rPr>
          <w:rFonts w:hAnsi="標楷體" w:hint="eastAsia"/>
        </w:rPr>
        <w:t>本案經本院向司法院、臺灣士林地方法院檢察署、國防部、法務部法醫研究所、法務部調查局、內政部警政署刑事警察局、勞動部勞動安全衛生研究所、中央警察大學</w:t>
      </w:r>
      <w:proofErr w:type="gramStart"/>
      <w:r w:rsidRPr="00A03335">
        <w:rPr>
          <w:rFonts w:hAnsi="標楷體" w:hint="eastAsia"/>
        </w:rPr>
        <w:t>鑑</w:t>
      </w:r>
      <w:proofErr w:type="gramEnd"/>
      <w:r w:rsidRPr="00A03335">
        <w:rPr>
          <w:rFonts w:hAnsi="標楷體" w:hint="eastAsia"/>
        </w:rPr>
        <w:t>識科學</w:t>
      </w:r>
      <w:proofErr w:type="gramStart"/>
      <w:r w:rsidRPr="00A03335">
        <w:rPr>
          <w:rFonts w:hAnsi="標楷體" w:hint="eastAsia"/>
        </w:rPr>
        <w:t>學</w:t>
      </w:r>
      <w:proofErr w:type="gramEnd"/>
      <w:r w:rsidRPr="00A03335">
        <w:rPr>
          <w:rFonts w:hAnsi="標楷體" w:hint="eastAsia"/>
        </w:rPr>
        <w:t>系、台灣法醫學會、社團法人臺灣</w:t>
      </w:r>
      <w:proofErr w:type="gramStart"/>
      <w:r w:rsidRPr="00A03335">
        <w:rPr>
          <w:rFonts w:hAnsi="標楷體" w:hint="eastAsia"/>
        </w:rPr>
        <w:t>鑑</w:t>
      </w:r>
      <w:proofErr w:type="gramEnd"/>
      <w:r w:rsidRPr="00A03335">
        <w:rPr>
          <w:rFonts w:hAnsi="標楷體" w:hint="eastAsia"/>
        </w:rPr>
        <w:t>識科學學會等機關單位調閱有關卷證資料</w:t>
      </w:r>
      <w:r w:rsidRPr="00A03335">
        <w:rPr>
          <w:rStyle w:val="afe"/>
          <w:rFonts w:hAnsi="標楷體"/>
        </w:rPr>
        <w:footnoteReference w:id="2"/>
      </w:r>
      <w:r w:rsidRPr="00A03335">
        <w:rPr>
          <w:rFonts w:hAnsi="標楷體" w:hint="eastAsia"/>
        </w:rPr>
        <w:t>，另於105年3月21日諮詢法務部法醫研究所潘至信、曾柏元法醫師、中央警察大學</w:t>
      </w:r>
      <w:proofErr w:type="gramStart"/>
      <w:r w:rsidRPr="00A03335">
        <w:rPr>
          <w:rFonts w:hAnsi="標楷體" w:hint="eastAsia"/>
        </w:rPr>
        <w:t>鑑</w:t>
      </w:r>
      <w:proofErr w:type="gramEnd"/>
      <w:r w:rsidRPr="00A03335">
        <w:rPr>
          <w:rFonts w:hAnsi="標楷體" w:hint="eastAsia"/>
        </w:rPr>
        <w:t>識科學</w:t>
      </w:r>
      <w:proofErr w:type="gramStart"/>
      <w:r w:rsidRPr="00A03335">
        <w:rPr>
          <w:rFonts w:hAnsi="標楷體" w:hint="eastAsia"/>
        </w:rPr>
        <w:t>學</w:t>
      </w:r>
      <w:proofErr w:type="gramEnd"/>
      <w:r w:rsidRPr="00A03335">
        <w:rPr>
          <w:rFonts w:hAnsi="標楷體" w:hint="eastAsia"/>
        </w:rPr>
        <w:t>系謝幸媚教授；同年6月6日諮詢馬偕醫院林媽利醫師、新北市政府警察局樹林分局黃女恩分局長、長庚大學生物醫學系周成功教授、陽明大學生命科學暨基因體科學研究所可文亞教授；同年6月20日諮詢</w:t>
      </w:r>
      <w:proofErr w:type="gramStart"/>
      <w:r w:rsidRPr="00A03335">
        <w:rPr>
          <w:rFonts w:hAnsi="標楷體" w:hint="eastAsia"/>
        </w:rPr>
        <w:t>世</w:t>
      </w:r>
      <w:proofErr w:type="gramEnd"/>
      <w:r w:rsidRPr="00A03335">
        <w:rPr>
          <w:rFonts w:hAnsi="標楷體" w:hint="eastAsia"/>
        </w:rPr>
        <w:t>新大學法律系陳祐治客座教授、最高法院檢察署林輝煌主任檢察官、政治大學法律系何賴傑教授、成功大學法律系陳運財教授、中央警察大學刑事警察學系林裕順教授、政治大學法律系楊雲驊教授等</w:t>
      </w:r>
      <w:r w:rsidR="00F15EE2" w:rsidRPr="00F15EE2">
        <w:rPr>
          <w:rFonts w:hint="eastAsia"/>
        </w:rPr>
        <w:t>，</w:t>
      </w:r>
      <w:r w:rsidR="00CE314E">
        <w:rPr>
          <w:rFonts w:hint="eastAsia"/>
        </w:rPr>
        <w:t>經詳閱相關事證，業</w:t>
      </w:r>
      <w:proofErr w:type="gramStart"/>
      <w:r w:rsidR="00CE314E">
        <w:rPr>
          <w:rFonts w:hint="eastAsia"/>
        </w:rPr>
        <w:t>調查竣事</w:t>
      </w:r>
      <w:proofErr w:type="gramEnd"/>
      <w:r w:rsidR="00CE314E">
        <w:rPr>
          <w:rFonts w:hint="eastAsia"/>
        </w:rPr>
        <w:t>，茲就意見</w:t>
      </w:r>
      <w:proofErr w:type="gramStart"/>
      <w:r w:rsidR="00CE314E">
        <w:rPr>
          <w:rFonts w:hint="eastAsia"/>
        </w:rPr>
        <w:t>臚列如</w:t>
      </w:r>
      <w:proofErr w:type="gramEnd"/>
      <w:r w:rsidR="00CE314E">
        <w:rPr>
          <w:rFonts w:hint="eastAsia"/>
        </w:rPr>
        <w:t>下：</w:t>
      </w:r>
    </w:p>
    <w:p w:rsidR="00CE314E" w:rsidRPr="00F77071" w:rsidRDefault="00CE314E" w:rsidP="00CD0D7A">
      <w:pPr>
        <w:pStyle w:val="2"/>
        <w:rPr>
          <w:b/>
        </w:rPr>
      </w:pPr>
      <w:bookmarkStart w:id="2" w:name="_Toc465676850"/>
      <w:r w:rsidRPr="00F77071">
        <w:rPr>
          <w:rFonts w:hint="eastAsia"/>
          <w:b/>
        </w:rPr>
        <w:t>國防部前軍法局國軍法醫中心</w:t>
      </w:r>
      <w:r w:rsidR="00540BED" w:rsidRPr="00F77071">
        <w:rPr>
          <w:b/>
        </w:rPr>
        <w:t>(85</w:t>
      </w:r>
      <w:r w:rsidR="00540BED" w:rsidRPr="00F77071">
        <w:rPr>
          <w:rFonts w:hint="eastAsia"/>
          <w:b/>
        </w:rPr>
        <w:t>)國軍醫</w:t>
      </w:r>
      <w:proofErr w:type="gramStart"/>
      <w:r w:rsidR="00540BED" w:rsidRPr="00F77071">
        <w:rPr>
          <w:rFonts w:hint="eastAsia"/>
          <w:b/>
        </w:rPr>
        <w:t>鑑</w:t>
      </w:r>
      <w:proofErr w:type="gramEnd"/>
      <w:r w:rsidR="00540BED" w:rsidRPr="00F77071">
        <w:rPr>
          <w:rFonts w:hint="eastAsia"/>
          <w:b/>
        </w:rPr>
        <w:t>字</w:t>
      </w:r>
      <w:r w:rsidR="00540BED" w:rsidRPr="00F77071">
        <w:rPr>
          <w:b/>
        </w:rPr>
        <w:t>85-04</w:t>
      </w:r>
      <w:r w:rsidR="00540BED" w:rsidRPr="00F77071">
        <w:rPr>
          <w:rFonts w:hint="eastAsia"/>
          <w:b/>
        </w:rPr>
        <w:t>號鑑定書與法務部調查局</w:t>
      </w:r>
      <w:r w:rsidR="00540BED" w:rsidRPr="00F77071">
        <w:rPr>
          <w:b/>
        </w:rPr>
        <w:t>85</w:t>
      </w:r>
      <w:r w:rsidR="00540BED" w:rsidRPr="00F77071">
        <w:rPr>
          <w:rFonts w:hint="eastAsia"/>
          <w:b/>
        </w:rPr>
        <w:t>年</w:t>
      </w:r>
      <w:r w:rsidR="00540BED" w:rsidRPr="00F77071">
        <w:rPr>
          <w:b/>
        </w:rPr>
        <w:t>10</w:t>
      </w:r>
      <w:r w:rsidR="00540BED" w:rsidRPr="00F77071">
        <w:rPr>
          <w:rFonts w:hint="eastAsia"/>
          <w:b/>
        </w:rPr>
        <w:t>月</w:t>
      </w:r>
      <w:r w:rsidR="00540BED" w:rsidRPr="00F77071">
        <w:rPr>
          <w:b/>
        </w:rPr>
        <w:t>7</w:t>
      </w:r>
      <w:r w:rsidR="00540BED" w:rsidRPr="00F77071">
        <w:rPr>
          <w:rFonts w:hint="eastAsia"/>
          <w:b/>
        </w:rPr>
        <w:t>日(</w:t>
      </w:r>
      <w:r w:rsidR="00540BED" w:rsidRPr="00F77071">
        <w:rPr>
          <w:b/>
        </w:rPr>
        <w:t>85</w:t>
      </w:r>
      <w:r w:rsidR="00540BED" w:rsidRPr="00F77071">
        <w:rPr>
          <w:rFonts w:hint="eastAsia"/>
          <w:b/>
        </w:rPr>
        <w:t xml:space="preserve">)陸(四) </w:t>
      </w:r>
      <w:r w:rsidRPr="00F77071">
        <w:rPr>
          <w:rFonts w:hint="eastAsia"/>
          <w:b/>
        </w:rPr>
        <w:t>85208534號檢驗通知書就DNA鑑定部分，其6個DNA型</w:t>
      </w:r>
      <w:r w:rsidRPr="00F77071">
        <w:rPr>
          <w:rFonts w:hint="eastAsia"/>
          <w:b/>
        </w:rPr>
        <w:lastRenderedPageBreak/>
        <w:t>別中之DQA1與GYPA出現非屬犯罪嫌疑人與受害人之第3人基因型，卻仍認定「包含江國慶『18-J』DNA之型別。」或「6項血型基因型比較分析並無矛盾。」部分，確有違失。</w:t>
      </w:r>
      <w:bookmarkEnd w:id="2"/>
    </w:p>
    <w:p w:rsidR="00CE314E" w:rsidRPr="00F77071" w:rsidRDefault="00CE314E" w:rsidP="00CD0D7A">
      <w:pPr>
        <w:pStyle w:val="3"/>
        <w:rPr>
          <w:b/>
        </w:rPr>
      </w:pPr>
      <w:r w:rsidRPr="00F77071">
        <w:rPr>
          <w:rFonts w:hint="eastAsia"/>
          <w:b/>
        </w:rPr>
        <w:t>司改會陳訴要旨：</w:t>
      </w:r>
    </w:p>
    <w:p w:rsidR="00CE314E" w:rsidRDefault="00CE314E" w:rsidP="00CD0D7A">
      <w:pPr>
        <w:pStyle w:val="32"/>
        <w:ind w:left="1361" w:firstLine="680"/>
      </w:pPr>
      <w:r>
        <w:rPr>
          <w:rFonts w:hint="eastAsia"/>
        </w:rPr>
        <w:t>司改會指稱</w:t>
      </w:r>
      <w:r w:rsidR="00CD0D7A">
        <w:rPr>
          <w:rFonts w:hint="eastAsia"/>
        </w:rPr>
        <w:t>略</w:t>
      </w:r>
      <w:proofErr w:type="gramStart"/>
      <w:r w:rsidR="00CD0D7A">
        <w:rPr>
          <w:rFonts w:hint="eastAsia"/>
        </w:rPr>
        <w:t>以</w:t>
      </w:r>
      <w:proofErr w:type="gramEnd"/>
      <w:r>
        <w:rPr>
          <w:rFonts w:hint="eastAsia"/>
        </w:rPr>
        <w:t>：「被陳訴人即方</w:t>
      </w:r>
      <w:proofErr w:type="gramStart"/>
      <w:r w:rsidR="00156B94">
        <w:rPr>
          <w:rFonts w:hAnsi="標楷體" w:hint="eastAsia"/>
          <w:b/>
        </w:rPr>
        <w:t>Ｏ</w:t>
      </w:r>
      <w:proofErr w:type="gramEnd"/>
      <w:r>
        <w:rPr>
          <w:rFonts w:hint="eastAsia"/>
        </w:rPr>
        <w:t>民、李</w:t>
      </w:r>
      <w:proofErr w:type="gramStart"/>
      <w:r w:rsidR="00156B94">
        <w:rPr>
          <w:rFonts w:hAnsi="標楷體" w:hint="eastAsia"/>
          <w:b/>
        </w:rPr>
        <w:t>Ｏ</w:t>
      </w:r>
      <w:proofErr w:type="gramEnd"/>
      <w:r>
        <w:rPr>
          <w:rFonts w:hint="eastAsia"/>
        </w:rPr>
        <w:t>華、蕭</w:t>
      </w:r>
      <w:proofErr w:type="gramStart"/>
      <w:r w:rsidR="00156B94">
        <w:rPr>
          <w:rFonts w:hAnsi="標楷體" w:hint="eastAsia"/>
          <w:b/>
        </w:rPr>
        <w:t>Ｏ</w:t>
      </w:r>
      <w:proofErr w:type="gramEnd"/>
      <w:r>
        <w:rPr>
          <w:rFonts w:hint="eastAsia"/>
        </w:rPr>
        <w:t>平3人代表</w:t>
      </w:r>
      <w:r w:rsidR="008B58C3">
        <w:rPr>
          <w:rFonts w:hint="eastAsia"/>
        </w:rPr>
        <w:t>國防部前軍法局國軍法醫中心</w:t>
      </w:r>
      <w:r>
        <w:rPr>
          <w:rFonts w:hint="eastAsia"/>
        </w:rPr>
        <w:t>所做成</w:t>
      </w:r>
      <w:r w:rsidR="00540BED">
        <w:rPr>
          <w:rFonts w:hint="eastAsia"/>
        </w:rPr>
        <w:t>(八五)國軍醫</w:t>
      </w:r>
      <w:proofErr w:type="gramStart"/>
      <w:r w:rsidR="00540BED">
        <w:rPr>
          <w:rFonts w:hint="eastAsia"/>
        </w:rPr>
        <w:t>鑑</w:t>
      </w:r>
      <w:proofErr w:type="gramEnd"/>
      <w:r w:rsidR="00540BED">
        <w:rPr>
          <w:rFonts w:hint="eastAsia"/>
        </w:rPr>
        <w:t>字</w:t>
      </w:r>
      <w:r w:rsidR="00540BED">
        <w:t>85-04</w:t>
      </w:r>
      <w:r w:rsidR="00540BED">
        <w:rPr>
          <w:rFonts w:hint="eastAsia"/>
        </w:rPr>
        <w:t>號鑑定書(</w:t>
      </w:r>
      <w:proofErr w:type="gramStart"/>
      <w:r w:rsidR="00540BED">
        <w:rPr>
          <w:rFonts w:hint="eastAsia"/>
        </w:rPr>
        <w:t>下稱系爭</w:t>
      </w:r>
      <w:proofErr w:type="gramEnd"/>
      <w:r w:rsidR="00540BED">
        <w:rPr>
          <w:rFonts w:hint="eastAsia"/>
        </w:rPr>
        <w:t>鑑定書)</w:t>
      </w:r>
      <w:r>
        <w:rPr>
          <w:rFonts w:hint="eastAsia"/>
        </w:rPr>
        <w:t>及系爭鑑定書所引</w:t>
      </w:r>
      <w:proofErr w:type="gramStart"/>
      <w:r>
        <w:rPr>
          <w:rFonts w:hint="eastAsia"/>
        </w:rPr>
        <w:t>據由蒲</w:t>
      </w:r>
      <w:r w:rsidR="00156B94">
        <w:rPr>
          <w:rFonts w:hAnsi="標楷體" w:hint="eastAsia"/>
          <w:b/>
        </w:rPr>
        <w:t>Ｏ</w:t>
      </w:r>
      <w:proofErr w:type="gramEnd"/>
      <w:r>
        <w:rPr>
          <w:rFonts w:hint="eastAsia"/>
        </w:rPr>
        <w:t>恩、趙</w:t>
      </w:r>
      <w:proofErr w:type="gramStart"/>
      <w:r w:rsidR="00156B94">
        <w:rPr>
          <w:rFonts w:hAnsi="標楷體" w:hint="eastAsia"/>
          <w:b/>
        </w:rPr>
        <w:t>Ｏ</w:t>
      </w:r>
      <w:proofErr w:type="gramEnd"/>
      <w:r>
        <w:rPr>
          <w:rFonts w:hint="eastAsia"/>
        </w:rPr>
        <w:t>相、耿</w:t>
      </w:r>
      <w:proofErr w:type="gramStart"/>
      <w:r w:rsidR="00156B94">
        <w:rPr>
          <w:rFonts w:hAnsi="標楷體" w:hint="eastAsia"/>
          <w:b/>
        </w:rPr>
        <w:t>Ｏ</w:t>
      </w:r>
      <w:proofErr w:type="gramEnd"/>
      <w:r>
        <w:rPr>
          <w:rFonts w:hint="eastAsia"/>
        </w:rPr>
        <w:t>才做成之法務部調查局85年10月7日</w:t>
      </w:r>
      <w:r w:rsidR="00540BED">
        <w:t>(85</w:t>
      </w:r>
      <w:r w:rsidR="00540BED">
        <w:rPr>
          <w:rFonts w:hint="eastAsia"/>
        </w:rPr>
        <w:t>)陸(四)</w:t>
      </w:r>
      <w:r w:rsidR="00540BED">
        <w:t>85208534</w:t>
      </w:r>
      <w:r w:rsidR="00540BED">
        <w:rPr>
          <w:rFonts w:hint="eastAsia"/>
        </w:rPr>
        <w:t>號檢驗通知書(</w:t>
      </w:r>
      <w:proofErr w:type="gramStart"/>
      <w:r w:rsidR="00540BED">
        <w:rPr>
          <w:rFonts w:hint="eastAsia"/>
        </w:rPr>
        <w:t>下稱系爭</w:t>
      </w:r>
      <w:proofErr w:type="gramEnd"/>
      <w:r w:rsidR="00540BED">
        <w:rPr>
          <w:rFonts w:hint="eastAsia"/>
        </w:rPr>
        <w:t>通知書)</w:t>
      </w:r>
      <w:r>
        <w:rPr>
          <w:rFonts w:hint="eastAsia"/>
        </w:rPr>
        <w:t>，據為誤判江國慶有罪，並判處死刑之重要證據。其理由係</w:t>
      </w:r>
      <w:proofErr w:type="gramStart"/>
      <w:r>
        <w:rPr>
          <w:rFonts w:hint="eastAsia"/>
        </w:rPr>
        <w:t>以</w:t>
      </w:r>
      <w:proofErr w:type="gramEnd"/>
      <w:r>
        <w:rPr>
          <w:rFonts w:hint="eastAsia"/>
        </w:rPr>
        <w:t>：1.DNA鑑定之部分</w:t>
      </w:r>
      <w:r w:rsidR="00540BED">
        <w:rPr>
          <w:rFonts w:hint="eastAsia"/>
        </w:rPr>
        <w:t>-</w:t>
      </w:r>
      <w:r>
        <w:rPr>
          <w:rFonts w:hint="eastAsia"/>
        </w:rPr>
        <w:t>調查局鑑定人蒲</w:t>
      </w:r>
      <w:proofErr w:type="gramStart"/>
      <w:r w:rsidR="00156B94">
        <w:rPr>
          <w:rFonts w:hAnsi="標楷體" w:hint="eastAsia"/>
          <w:b/>
        </w:rPr>
        <w:t>Ｏ</w:t>
      </w:r>
      <w:proofErr w:type="gramEnd"/>
      <w:r>
        <w:rPr>
          <w:rFonts w:hint="eastAsia"/>
        </w:rPr>
        <w:t>恩、趙</w:t>
      </w:r>
      <w:proofErr w:type="gramStart"/>
      <w:r w:rsidR="00156B94">
        <w:rPr>
          <w:rFonts w:hAnsi="標楷體" w:hint="eastAsia"/>
          <w:b/>
        </w:rPr>
        <w:t>Ｏ</w:t>
      </w:r>
      <w:proofErr w:type="gramEnd"/>
      <w:r>
        <w:rPr>
          <w:rFonts w:hint="eastAsia"/>
        </w:rPr>
        <w:t>相與耿</w:t>
      </w:r>
      <w:proofErr w:type="gramStart"/>
      <w:r w:rsidR="00156B94">
        <w:rPr>
          <w:rFonts w:hAnsi="標楷體" w:hint="eastAsia"/>
          <w:b/>
        </w:rPr>
        <w:t>Ｏ</w:t>
      </w:r>
      <w:proofErr w:type="gramEnd"/>
      <w:r>
        <w:rPr>
          <w:rFonts w:hint="eastAsia"/>
        </w:rPr>
        <w:t>才以驗血試劑檢驗精液，顯係以錯誤之鑑定方法進行鑑定。2.系爭檢驗通知書：『編號11-1證物，含有人類血液及精液，其血型為A型；編號11-1證物呈現之DNA混合型包含被害人DNA及涉嫌人『18-J』DNA之型別。』其僅就編號11-1證物所含DNA之判定，認含有2人</w:t>
      </w:r>
      <w:r w:rsidR="00540BED">
        <w:rPr>
          <w:rFonts w:hint="eastAsia"/>
        </w:rPr>
        <w:t>(即被害人與涉嫌人</w:t>
      </w:r>
      <w:r w:rsidR="002A552D">
        <w:rPr>
          <w:rFonts w:ascii="新細明體" w:eastAsia="新細明體" w:hAnsi="新細明體" w:hint="eastAsia"/>
        </w:rPr>
        <w:t>『</w:t>
      </w:r>
      <w:r w:rsidR="00540BED">
        <w:t>18-J</w:t>
      </w:r>
      <w:r w:rsidR="002A552D">
        <w:rPr>
          <w:rFonts w:ascii="新細明體" w:eastAsia="新細明體" w:hAnsi="新細明體" w:hint="eastAsia"/>
        </w:rPr>
        <w:t>』</w:t>
      </w:r>
      <w:r w:rsidR="00540BED">
        <w:rPr>
          <w:rFonts w:hint="eastAsia"/>
        </w:rPr>
        <w:t>)</w:t>
      </w:r>
      <w:r>
        <w:rPr>
          <w:rFonts w:hint="eastAsia"/>
        </w:rPr>
        <w:t>之DNA。方</w:t>
      </w:r>
      <w:proofErr w:type="gramStart"/>
      <w:r w:rsidR="00156B94">
        <w:rPr>
          <w:rFonts w:hAnsi="標楷體" w:hint="eastAsia"/>
          <w:b/>
        </w:rPr>
        <w:t>Ｏ</w:t>
      </w:r>
      <w:proofErr w:type="gramEnd"/>
      <w:r>
        <w:rPr>
          <w:rFonts w:hint="eastAsia"/>
        </w:rPr>
        <w:t>民、李</w:t>
      </w:r>
      <w:proofErr w:type="gramStart"/>
      <w:r w:rsidR="00156B94">
        <w:rPr>
          <w:rFonts w:hAnsi="標楷體" w:hint="eastAsia"/>
          <w:b/>
        </w:rPr>
        <w:t>Ｏ</w:t>
      </w:r>
      <w:proofErr w:type="gramEnd"/>
      <w:r>
        <w:rPr>
          <w:rFonts w:hint="eastAsia"/>
        </w:rPr>
        <w:t>華、蕭</w:t>
      </w:r>
      <w:proofErr w:type="gramStart"/>
      <w:r w:rsidR="00156B94">
        <w:rPr>
          <w:rFonts w:hAnsi="標楷體" w:hint="eastAsia"/>
          <w:b/>
        </w:rPr>
        <w:t>Ｏ</w:t>
      </w:r>
      <w:proofErr w:type="gramEnd"/>
      <w:r>
        <w:rPr>
          <w:rFonts w:hint="eastAsia"/>
        </w:rPr>
        <w:t>平等人</w:t>
      </w:r>
      <w:proofErr w:type="gramStart"/>
      <w:r>
        <w:rPr>
          <w:rFonts w:hint="eastAsia"/>
        </w:rPr>
        <w:t>引據系爭</w:t>
      </w:r>
      <w:proofErr w:type="gramEnd"/>
      <w:r>
        <w:rPr>
          <w:rFonts w:hint="eastAsia"/>
        </w:rPr>
        <w:t>通知書後，</w:t>
      </w:r>
      <w:proofErr w:type="gramStart"/>
      <w:r>
        <w:rPr>
          <w:rFonts w:hint="eastAsia"/>
        </w:rPr>
        <w:t>於系爭</w:t>
      </w:r>
      <w:proofErr w:type="gramEnd"/>
      <w:r>
        <w:rPr>
          <w:rFonts w:hint="eastAsia"/>
        </w:rPr>
        <w:t>鑑定書做成</w:t>
      </w:r>
      <w:r w:rsidR="002A552D">
        <w:rPr>
          <w:rFonts w:ascii="新細明體" w:eastAsia="新細明體" w:hAnsi="新細明體" w:hint="eastAsia"/>
        </w:rPr>
        <w:t>『</w:t>
      </w:r>
      <w:r>
        <w:rPr>
          <w:rFonts w:hint="eastAsia"/>
        </w:rPr>
        <w:t>涉嫌人『18-J』與檢送11-1證物中含有死者血液及嫌犯精液，經至少6</w:t>
      </w:r>
      <w:r w:rsidR="002A552D">
        <w:rPr>
          <w:rFonts w:hint="eastAsia"/>
        </w:rPr>
        <w:t>項血型基因型比較分析並無矛盾。</w:t>
      </w:r>
      <w:r w:rsidR="002A552D">
        <w:rPr>
          <w:rFonts w:ascii="新細明體" w:eastAsia="新細明體" w:hAnsi="新細明體" w:hint="eastAsia"/>
        </w:rPr>
        <w:t>』</w:t>
      </w:r>
      <w:r>
        <w:rPr>
          <w:rFonts w:hint="eastAsia"/>
        </w:rPr>
        <w:t>之研判結論，忽略鑑定結果係呈現</w:t>
      </w:r>
      <w:r w:rsidR="002A552D">
        <w:rPr>
          <w:rFonts w:hint="eastAsia"/>
        </w:rPr>
        <w:t>2</w:t>
      </w:r>
      <w:r>
        <w:rPr>
          <w:rFonts w:hint="eastAsia"/>
        </w:rPr>
        <w:t>人以上之混合型，而非單純</w:t>
      </w:r>
      <w:r w:rsidR="002A552D">
        <w:rPr>
          <w:rFonts w:hint="eastAsia"/>
        </w:rPr>
        <w:t>2</w:t>
      </w:r>
      <w:r>
        <w:rPr>
          <w:rFonts w:hint="eastAsia"/>
        </w:rPr>
        <w:t>人之混合型，且亦將6個基因中竟出現2個基因不相符之明顯差異，研判為同一，其研判之違失，顯而易見。3.系爭鑑定書就凶器之</w:t>
      </w:r>
      <w:proofErr w:type="gramStart"/>
      <w:r>
        <w:rPr>
          <w:rFonts w:hint="eastAsia"/>
        </w:rPr>
        <w:t>之</w:t>
      </w:r>
      <w:proofErr w:type="gramEnd"/>
      <w:r>
        <w:rPr>
          <w:rFonts w:hint="eastAsia"/>
        </w:rPr>
        <w:t>敘述係謂『死亡時其生前下體遭陽具或異物穿入而流血，死後並有刀刃</w:t>
      </w:r>
      <w:proofErr w:type="gramStart"/>
      <w:r>
        <w:rPr>
          <w:rFonts w:hint="eastAsia"/>
        </w:rPr>
        <w:t>狀鈍狀異物伸刺</w:t>
      </w:r>
      <w:proofErr w:type="gramEnd"/>
      <w:r>
        <w:rPr>
          <w:rFonts w:hint="eastAsia"/>
        </w:rPr>
        <w:t>入腹腔，造成腸道移位』，因此，</w:t>
      </w:r>
      <w:proofErr w:type="gramStart"/>
      <w:r>
        <w:rPr>
          <w:rFonts w:hint="eastAsia"/>
        </w:rPr>
        <w:t>似認凶器</w:t>
      </w:r>
      <w:proofErr w:type="gramEnd"/>
      <w:r>
        <w:rPr>
          <w:rFonts w:hint="eastAsia"/>
        </w:rPr>
        <w:t>係刀刃狀，然</w:t>
      </w:r>
      <w:proofErr w:type="gramStart"/>
      <w:r>
        <w:rPr>
          <w:rFonts w:hint="eastAsia"/>
        </w:rPr>
        <w:t>稽</w:t>
      </w:r>
      <w:proofErr w:type="gramEnd"/>
      <w:r>
        <w:rPr>
          <w:rFonts w:hint="eastAsia"/>
        </w:rPr>
        <w:t>之系爭鑑定書，卻未見有</w:t>
      </w:r>
      <w:r>
        <w:rPr>
          <w:rFonts w:hint="eastAsia"/>
        </w:rPr>
        <w:lastRenderedPageBreak/>
        <w:t>何關於刀傷或</w:t>
      </w:r>
      <w:r w:rsidR="002A552D">
        <w:rPr>
          <w:rFonts w:hint="eastAsia"/>
        </w:rPr>
        <w:t>刺傷之敘述，是系爭鑑定書所為刀刃狀之研判，究從何而來，顯非無疑</w:t>
      </w:r>
      <w:r>
        <w:rPr>
          <w:rFonts w:hint="eastAsia"/>
        </w:rPr>
        <w:t>」</w:t>
      </w:r>
      <w:r w:rsidR="00CD0D7A">
        <w:rPr>
          <w:rFonts w:hint="eastAsia"/>
        </w:rPr>
        <w:t>等語</w:t>
      </w:r>
      <w:r w:rsidR="00CD0D7A">
        <w:rPr>
          <w:rFonts w:ascii="新細明體" w:eastAsia="新細明體" w:hAnsi="新細明體" w:hint="eastAsia"/>
        </w:rPr>
        <w:t>。</w:t>
      </w:r>
    </w:p>
    <w:p w:rsidR="00CE314E" w:rsidRPr="00F77071" w:rsidRDefault="00CE314E" w:rsidP="00CD0D7A">
      <w:pPr>
        <w:pStyle w:val="3"/>
        <w:rPr>
          <w:b/>
        </w:rPr>
      </w:pPr>
      <w:r w:rsidRPr="00F77071">
        <w:rPr>
          <w:rFonts w:hint="eastAsia"/>
          <w:b/>
        </w:rPr>
        <w:t>江國慶案鑑定過程如下：</w:t>
      </w:r>
    </w:p>
    <w:p w:rsidR="00CE314E" w:rsidRDefault="00CE314E" w:rsidP="00CD0D7A">
      <w:pPr>
        <w:pStyle w:val="4"/>
      </w:pPr>
      <w:r>
        <w:rPr>
          <w:rFonts w:hint="eastAsia"/>
        </w:rPr>
        <w:t>85年調查局及刑事警察局</w:t>
      </w:r>
      <w:proofErr w:type="gramStart"/>
      <w:r>
        <w:rPr>
          <w:rFonts w:hint="eastAsia"/>
        </w:rPr>
        <w:t>鑑</w:t>
      </w:r>
      <w:proofErr w:type="gramEnd"/>
      <w:r>
        <w:rPr>
          <w:rFonts w:hint="eastAsia"/>
        </w:rPr>
        <w:t>驗情形</w:t>
      </w:r>
    </w:p>
    <w:p w:rsidR="00CE314E" w:rsidRDefault="00CE314E" w:rsidP="00CD0D7A">
      <w:pPr>
        <w:pStyle w:val="5"/>
      </w:pPr>
      <w:r>
        <w:rPr>
          <w:rFonts w:hint="eastAsia"/>
        </w:rPr>
        <w:tab/>
        <w:t>系爭編號11-1衛生紙存有被告</w:t>
      </w:r>
      <w:r w:rsidR="006D10D1">
        <w:rPr>
          <w:rFonts w:hint="eastAsia"/>
        </w:rPr>
        <w:t>江國慶</w:t>
      </w:r>
      <w:r>
        <w:rPr>
          <w:rFonts w:hint="eastAsia"/>
        </w:rPr>
        <w:t>DNA型別認定：</w:t>
      </w:r>
    </w:p>
    <w:p w:rsidR="00CE314E" w:rsidRDefault="00CE314E" w:rsidP="00CD0D7A">
      <w:pPr>
        <w:pStyle w:val="6"/>
      </w:pPr>
      <w:r>
        <w:rPr>
          <w:rFonts w:hint="eastAsia"/>
        </w:rPr>
        <w:tab/>
      </w:r>
      <w:r w:rsidR="008B58C3">
        <w:rPr>
          <w:rFonts w:hint="eastAsia"/>
        </w:rPr>
        <w:t>國防部前軍法局國軍法醫中心</w:t>
      </w:r>
      <w:r>
        <w:rPr>
          <w:rFonts w:hint="eastAsia"/>
        </w:rPr>
        <w:t>85年9月30日</w:t>
      </w:r>
      <w:r w:rsidR="00540BED">
        <w:t>(85</w:t>
      </w:r>
      <w:r w:rsidR="00540BED">
        <w:rPr>
          <w:rFonts w:hint="eastAsia"/>
        </w:rPr>
        <w:t>)國軍醫</w:t>
      </w:r>
      <w:proofErr w:type="gramStart"/>
      <w:r w:rsidR="00540BED">
        <w:rPr>
          <w:rFonts w:hint="eastAsia"/>
        </w:rPr>
        <w:t>鑑</w:t>
      </w:r>
      <w:proofErr w:type="gramEnd"/>
      <w:r w:rsidR="00540BED">
        <w:rPr>
          <w:rFonts w:hint="eastAsia"/>
        </w:rPr>
        <w:t>字八五-○四號鑑定書中,援引調查局</w:t>
      </w:r>
      <w:r w:rsidR="00540BED">
        <w:t>85</w:t>
      </w:r>
      <w:r w:rsidR="00540BED">
        <w:rPr>
          <w:rFonts w:hint="eastAsia"/>
        </w:rPr>
        <w:t>年</w:t>
      </w:r>
      <w:r w:rsidR="00540BED">
        <w:t>10</w:t>
      </w:r>
      <w:r w:rsidR="00540BED">
        <w:rPr>
          <w:rFonts w:hint="eastAsia"/>
        </w:rPr>
        <w:t>月</w:t>
      </w:r>
      <w:r w:rsidR="00540BED">
        <w:t>7</w:t>
      </w:r>
      <w:r w:rsidR="00540BED">
        <w:rPr>
          <w:rFonts w:hint="eastAsia"/>
        </w:rPr>
        <w:t>日(</w:t>
      </w:r>
      <w:r w:rsidR="00540BED">
        <w:t>85</w:t>
      </w:r>
      <w:r w:rsidR="00540BED">
        <w:rPr>
          <w:rFonts w:hint="eastAsia"/>
        </w:rPr>
        <w:t>)陸(四)</w:t>
      </w:r>
      <w:r>
        <w:rPr>
          <w:rFonts w:hint="eastAsia"/>
        </w:rPr>
        <w:t>85208534號檢驗通知書，該檢驗係</w:t>
      </w:r>
      <w:proofErr w:type="gramStart"/>
      <w:r>
        <w:rPr>
          <w:rFonts w:hint="eastAsia"/>
        </w:rPr>
        <w:t>採</w:t>
      </w:r>
      <w:proofErr w:type="gramEnd"/>
      <w:r>
        <w:rPr>
          <w:rFonts w:hint="eastAsia"/>
        </w:rPr>
        <w:t>「人類遺傳因子DNA HLA DQα檢查法」、「人類遺傳因子PM檢查法」，</w:t>
      </w:r>
      <w:proofErr w:type="gramStart"/>
      <w:r>
        <w:rPr>
          <w:rFonts w:hint="eastAsia"/>
        </w:rPr>
        <w:t>鑑</w:t>
      </w:r>
      <w:proofErr w:type="gramEnd"/>
      <w:r>
        <w:rPr>
          <w:rFonts w:hint="eastAsia"/>
        </w:rPr>
        <w:t>驗結果認</w:t>
      </w:r>
      <w:proofErr w:type="gramStart"/>
      <w:r>
        <w:rPr>
          <w:rFonts w:hint="eastAsia"/>
        </w:rPr>
        <w:t>鑑</w:t>
      </w:r>
      <w:proofErr w:type="gramEnd"/>
      <w:r>
        <w:rPr>
          <w:rFonts w:hint="eastAsia"/>
        </w:rPr>
        <w:t>驗結果：「編號11-1證物，含有人類血液及精液，其血型為A型；編號11-1證物呈現之DNA混合型包含被害人DNA及涉嫌人『18-J』DNA之型別」，並據以於該中心出具之鑑定書認定：三、法醫微證物及血清基因學檢查項目中，認定：「涉嫌人『18-J』與檢送11-1證物中含有死者血液及嫌犯精液，經至少6項血型基因型比較分析並無矛盾」</w:t>
      </w:r>
      <w:r w:rsidR="00540BED">
        <w:rPr>
          <w:rFonts w:hint="eastAsia"/>
        </w:rPr>
        <w:t>(原空軍作戰司令部勘驗卷第</w:t>
      </w:r>
      <w:r w:rsidR="00540BED">
        <w:t>23</w:t>
      </w:r>
      <w:r w:rsidR="00540BED">
        <w:rPr>
          <w:rFonts w:hint="eastAsia"/>
        </w:rPr>
        <w:t>至</w:t>
      </w:r>
      <w:r w:rsidR="00540BED">
        <w:t>24</w:t>
      </w:r>
      <w:r w:rsidR="00540BED">
        <w:rPr>
          <w:rFonts w:hint="eastAsia"/>
        </w:rPr>
        <w:t>頁)</w:t>
      </w:r>
    </w:p>
    <w:p w:rsidR="00CE314E" w:rsidRDefault="00CE314E" w:rsidP="00CD0D7A">
      <w:pPr>
        <w:pStyle w:val="6"/>
      </w:pPr>
      <w:r>
        <w:rPr>
          <w:rFonts w:hint="eastAsia"/>
        </w:rPr>
        <w:tab/>
        <w:t>刑事警察局85年9月20日刑</w:t>
      </w:r>
      <w:proofErr w:type="gramStart"/>
      <w:r>
        <w:rPr>
          <w:rFonts w:hint="eastAsia"/>
        </w:rPr>
        <w:t>醫</w:t>
      </w:r>
      <w:proofErr w:type="gramEnd"/>
      <w:r>
        <w:rPr>
          <w:rFonts w:hint="eastAsia"/>
        </w:rPr>
        <w:t>字第58531號、85年10月11日刑</w:t>
      </w:r>
      <w:proofErr w:type="gramStart"/>
      <w:r>
        <w:rPr>
          <w:rFonts w:hint="eastAsia"/>
        </w:rPr>
        <w:t>醫</w:t>
      </w:r>
      <w:proofErr w:type="gramEnd"/>
      <w:r>
        <w:rPr>
          <w:rFonts w:hint="eastAsia"/>
        </w:rPr>
        <w:t>字第64557號鑑定書依據「人類白血球抗原HLA</w:t>
      </w:r>
      <w:r w:rsidR="00540BED">
        <w:rPr>
          <w:rFonts w:hint="eastAsia"/>
        </w:rPr>
        <w:t>-</w:t>
      </w:r>
      <w:r>
        <w:rPr>
          <w:rFonts w:hint="eastAsia"/>
        </w:rPr>
        <w:t>DQα PCR鑑定盒」、「多基因型PM PCR鑑定盒」，認定：「不排除11-1衛生紙上</w:t>
      </w:r>
      <w:proofErr w:type="gramStart"/>
      <w:r>
        <w:rPr>
          <w:rFonts w:hint="eastAsia"/>
        </w:rPr>
        <w:t>可疑斑跡處混</w:t>
      </w:r>
      <w:proofErr w:type="gramEnd"/>
      <w:r>
        <w:rPr>
          <w:rFonts w:hint="eastAsia"/>
        </w:rPr>
        <w:t>有涉嫌人『18-J』DNA之可能」。</w:t>
      </w:r>
    </w:p>
    <w:p w:rsidR="009C2996" w:rsidRDefault="009C2996" w:rsidP="009C2996">
      <w:pPr>
        <w:ind w:leftChars="250" w:left="850" w:firstLineChars="400" w:firstLine="1041"/>
        <w:outlineLvl w:val="2"/>
        <w:rPr>
          <w:rFonts w:hAnsi="標楷體"/>
          <w:bCs/>
          <w:color w:val="000000"/>
          <w:kern w:val="0"/>
          <w:sz w:val="24"/>
          <w:szCs w:val="24"/>
        </w:rPr>
      </w:pPr>
      <w:r>
        <w:rPr>
          <w:rFonts w:hAnsi="標楷體" w:hint="eastAsia"/>
          <w:bCs/>
          <w:color w:val="000000"/>
          <w:kern w:val="0"/>
          <w:sz w:val="24"/>
          <w:szCs w:val="24"/>
        </w:rPr>
        <w:t>被害人血液、嫌犯血液及證物衛生紙之DNA鑑定</w:t>
      </w:r>
    </w:p>
    <w:tbl>
      <w:tblPr>
        <w:tblW w:w="8280" w:type="dxa"/>
        <w:tblInd w:w="80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419"/>
        <w:gridCol w:w="1135"/>
        <w:gridCol w:w="1191"/>
        <w:gridCol w:w="907"/>
        <w:gridCol w:w="907"/>
        <w:gridCol w:w="907"/>
        <w:gridCol w:w="907"/>
        <w:gridCol w:w="907"/>
      </w:tblGrid>
      <w:tr w:rsidR="009C2996" w:rsidTr="00CF2AFF">
        <w:tc>
          <w:tcPr>
            <w:tcW w:w="1417" w:type="dxa"/>
            <w:tcBorders>
              <w:top w:val="single" w:sz="12" w:space="0" w:color="auto"/>
              <w:left w:val="nil"/>
              <w:bottom w:val="single" w:sz="4" w:space="0" w:color="auto"/>
              <w:right w:val="nil"/>
            </w:tcBorders>
            <w:vAlign w:val="center"/>
          </w:tcPr>
          <w:p w:rsidR="009C2996" w:rsidRDefault="009C2996" w:rsidP="00CF2AFF">
            <w:pPr>
              <w:keepNext/>
              <w:kinsoku w:val="0"/>
              <w:spacing w:before="80" w:after="80" w:line="280" w:lineRule="exact"/>
              <w:jc w:val="center"/>
              <w:rPr>
                <w:rFonts w:hAnsi="標楷體"/>
                <w:snapToGrid w:val="0"/>
                <w:color w:val="000000"/>
                <w:spacing w:val="-14"/>
                <w:sz w:val="28"/>
              </w:rPr>
            </w:pPr>
          </w:p>
        </w:tc>
        <w:tc>
          <w:tcPr>
            <w:tcW w:w="1134"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鑑定單位</w:t>
            </w:r>
          </w:p>
        </w:tc>
        <w:tc>
          <w:tcPr>
            <w:tcW w:w="1191"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DQA1</w:t>
            </w:r>
          </w:p>
        </w:tc>
        <w:tc>
          <w:tcPr>
            <w:tcW w:w="907"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LDLR</w:t>
            </w:r>
          </w:p>
        </w:tc>
        <w:tc>
          <w:tcPr>
            <w:tcW w:w="907"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GYPA</w:t>
            </w:r>
          </w:p>
        </w:tc>
        <w:tc>
          <w:tcPr>
            <w:tcW w:w="907"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HBGG</w:t>
            </w:r>
          </w:p>
        </w:tc>
        <w:tc>
          <w:tcPr>
            <w:tcW w:w="907"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D7S8</w:t>
            </w:r>
          </w:p>
        </w:tc>
        <w:tc>
          <w:tcPr>
            <w:tcW w:w="907" w:type="dxa"/>
            <w:tcBorders>
              <w:top w:val="single" w:sz="12" w:space="0" w:color="auto"/>
              <w:left w:val="nil"/>
              <w:bottom w:val="single" w:sz="4" w:space="0" w:color="auto"/>
              <w:right w:val="nil"/>
            </w:tcBorders>
            <w:vAlign w:val="center"/>
            <w:hideMark/>
          </w:tcPr>
          <w:p w:rsidR="009C2996" w:rsidRDefault="009C2996" w:rsidP="00CF2AFF">
            <w:pPr>
              <w:keepNext/>
              <w:kinsoku w:val="0"/>
              <w:spacing w:before="80" w:after="80" w:line="280" w:lineRule="exact"/>
              <w:jc w:val="center"/>
              <w:rPr>
                <w:rFonts w:hAnsi="標楷體"/>
                <w:snapToGrid w:val="0"/>
                <w:color w:val="000000"/>
                <w:spacing w:val="-14"/>
                <w:sz w:val="28"/>
              </w:rPr>
            </w:pPr>
            <w:r>
              <w:rPr>
                <w:rFonts w:hAnsi="標楷體" w:hint="eastAsia"/>
                <w:snapToGrid w:val="0"/>
                <w:color w:val="000000"/>
                <w:spacing w:val="-14"/>
                <w:sz w:val="28"/>
              </w:rPr>
              <w:t>GC</w:t>
            </w:r>
          </w:p>
        </w:tc>
      </w:tr>
      <w:tr w:rsidR="009C2996" w:rsidTr="00CF2AFF">
        <w:tc>
          <w:tcPr>
            <w:tcW w:w="141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被害人</w:t>
            </w:r>
          </w:p>
        </w:tc>
        <w:tc>
          <w:tcPr>
            <w:tcW w:w="1134"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刑事</w:t>
            </w:r>
            <w:r>
              <w:rPr>
                <w:rFonts w:hAnsi="標楷體" w:hint="eastAsia"/>
                <w:snapToGrid w:val="0"/>
                <w:color w:val="000000"/>
                <w:spacing w:val="-14"/>
                <w:sz w:val="28"/>
                <w:vertAlign w:val="superscript"/>
              </w:rPr>
              <w:t>1</w:t>
            </w:r>
          </w:p>
        </w:tc>
        <w:tc>
          <w:tcPr>
            <w:tcW w:w="1191"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3，3</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r>
      <w:tr w:rsidR="009C2996" w:rsidTr="00CF2AFF">
        <w:tc>
          <w:tcPr>
            <w:tcW w:w="1417" w:type="dxa"/>
            <w:tcBorders>
              <w:top w:val="nil"/>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血液</w:t>
            </w:r>
          </w:p>
        </w:tc>
        <w:tc>
          <w:tcPr>
            <w:tcW w:w="1134"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調查</w:t>
            </w:r>
            <w:r>
              <w:rPr>
                <w:rFonts w:hAnsi="標楷體" w:hint="eastAsia"/>
                <w:snapToGrid w:val="0"/>
                <w:color w:val="000000"/>
                <w:spacing w:val="-14"/>
                <w:sz w:val="28"/>
                <w:vertAlign w:val="superscript"/>
              </w:rPr>
              <w:t>2</w:t>
            </w:r>
          </w:p>
        </w:tc>
        <w:tc>
          <w:tcPr>
            <w:tcW w:w="1191"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3，3</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r>
      <w:tr w:rsidR="009C2996" w:rsidTr="00CF2AFF">
        <w:tc>
          <w:tcPr>
            <w:tcW w:w="1417" w:type="dxa"/>
            <w:tcBorders>
              <w:top w:val="nil"/>
              <w:left w:val="nil"/>
              <w:bottom w:val="single" w:sz="4" w:space="0" w:color="auto"/>
              <w:right w:val="nil"/>
            </w:tcBorders>
            <w:vAlign w:val="center"/>
          </w:tcPr>
          <w:p w:rsidR="009C2996" w:rsidRDefault="009C2996" w:rsidP="00CF2AFF">
            <w:pPr>
              <w:kinsoku w:val="0"/>
              <w:spacing w:before="40" w:line="320" w:lineRule="exact"/>
              <w:ind w:left="57" w:right="57"/>
              <w:rPr>
                <w:rFonts w:hAnsi="標楷體"/>
                <w:snapToGrid w:val="0"/>
                <w:color w:val="000000"/>
                <w:spacing w:val="-14"/>
                <w:sz w:val="28"/>
              </w:rPr>
            </w:pPr>
          </w:p>
        </w:tc>
        <w:tc>
          <w:tcPr>
            <w:tcW w:w="1134"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法醫</w:t>
            </w:r>
            <w:r>
              <w:rPr>
                <w:rFonts w:hAnsi="標楷體" w:hint="eastAsia"/>
                <w:snapToGrid w:val="0"/>
                <w:color w:val="000000"/>
                <w:spacing w:val="-14"/>
                <w:sz w:val="28"/>
                <w:vertAlign w:val="superscript"/>
              </w:rPr>
              <w:t>3</w:t>
            </w:r>
          </w:p>
        </w:tc>
        <w:tc>
          <w:tcPr>
            <w:tcW w:w="1191"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3，3</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r>
      <w:tr w:rsidR="009C2996" w:rsidTr="00CF2AFF">
        <w:tc>
          <w:tcPr>
            <w:tcW w:w="141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證物11-1</w:t>
            </w:r>
          </w:p>
        </w:tc>
        <w:tc>
          <w:tcPr>
            <w:tcW w:w="1134"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刑事</w:t>
            </w:r>
            <w:r>
              <w:rPr>
                <w:rFonts w:hAnsi="標楷體" w:hint="eastAsia"/>
                <w:snapToGrid w:val="0"/>
                <w:color w:val="000000"/>
                <w:spacing w:val="-14"/>
                <w:sz w:val="28"/>
                <w:vertAlign w:val="superscript"/>
              </w:rPr>
              <w:t>l</w:t>
            </w:r>
          </w:p>
        </w:tc>
        <w:tc>
          <w:tcPr>
            <w:tcW w:w="1191"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3(弱)，4</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AC</w:t>
            </w:r>
          </w:p>
        </w:tc>
      </w:tr>
      <w:tr w:rsidR="009C2996" w:rsidTr="00CF2AFF">
        <w:tc>
          <w:tcPr>
            <w:tcW w:w="1417" w:type="dxa"/>
            <w:tcBorders>
              <w:top w:val="nil"/>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衛生紙</w:t>
            </w:r>
          </w:p>
        </w:tc>
        <w:tc>
          <w:tcPr>
            <w:tcW w:w="1134"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調查</w:t>
            </w:r>
            <w:r>
              <w:rPr>
                <w:rFonts w:hAnsi="標楷體" w:hint="eastAsia"/>
                <w:snapToGrid w:val="0"/>
                <w:color w:val="000000"/>
                <w:spacing w:val="-14"/>
                <w:sz w:val="28"/>
                <w:vertAlign w:val="superscript"/>
              </w:rPr>
              <w:t>2</w:t>
            </w:r>
          </w:p>
        </w:tc>
        <w:tc>
          <w:tcPr>
            <w:tcW w:w="1191"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1.1，3，4</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ABC</w:t>
            </w:r>
          </w:p>
        </w:tc>
      </w:tr>
      <w:tr w:rsidR="009C2996" w:rsidTr="00CF2AFF">
        <w:tc>
          <w:tcPr>
            <w:tcW w:w="1417" w:type="dxa"/>
            <w:tcBorders>
              <w:top w:val="nil"/>
              <w:left w:val="nil"/>
              <w:bottom w:val="single" w:sz="4" w:space="0" w:color="auto"/>
              <w:right w:val="nil"/>
            </w:tcBorders>
            <w:vAlign w:val="center"/>
          </w:tcPr>
          <w:p w:rsidR="009C2996" w:rsidRDefault="009C2996" w:rsidP="00CF2AFF">
            <w:pPr>
              <w:kinsoku w:val="0"/>
              <w:spacing w:before="40" w:line="320" w:lineRule="exact"/>
              <w:ind w:left="57" w:right="57"/>
              <w:rPr>
                <w:rFonts w:hAnsi="標楷體"/>
                <w:snapToGrid w:val="0"/>
                <w:color w:val="000000"/>
                <w:spacing w:val="-14"/>
                <w:sz w:val="28"/>
              </w:rPr>
            </w:pPr>
          </w:p>
        </w:tc>
        <w:tc>
          <w:tcPr>
            <w:tcW w:w="1134"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法醫</w:t>
            </w:r>
            <w:r>
              <w:rPr>
                <w:rFonts w:hAnsi="標楷體" w:hint="eastAsia"/>
                <w:snapToGrid w:val="0"/>
                <w:color w:val="000000"/>
                <w:spacing w:val="-14"/>
                <w:sz w:val="28"/>
                <w:vertAlign w:val="superscript"/>
              </w:rPr>
              <w:t>3</w:t>
            </w:r>
          </w:p>
        </w:tc>
        <w:tc>
          <w:tcPr>
            <w:tcW w:w="1191"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1.1，3，4</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single" w:sz="4"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ABC</w:t>
            </w:r>
          </w:p>
        </w:tc>
      </w:tr>
      <w:tr w:rsidR="009C2996" w:rsidTr="00CF2AFF">
        <w:tc>
          <w:tcPr>
            <w:tcW w:w="141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嫌犯18-J</w:t>
            </w:r>
          </w:p>
        </w:tc>
        <w:tc>
          <w:tcPr>
            <w:tcW w:w="1134"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刑事</w:t>
            </w:r>
            <w:r>
              <w:rPr>
                <w:rFonts w:hAnsi="標楷體" w:hint="eastAsia"/>
                <w:snapToGrid w:val="0"/>
                <w:color w:val="000000"/>
                <w:spacing w:val="-14"/>
                <w:sz w:val="28"/>
                <w:vertAlign w:val="superscript"/>
              </w:rPr>
              <w:t>l</w:t>
            </w:r>
          </w:p>
        </w:tc>
        <w:tc>
          <w:tcPr>
            <w:tcW w:w="1191"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4，4</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single" w:sz="4" w:space="0" w:color="auto"/>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AC</w:t>
            </w:r>
          </w:p>
        </w:tc>
      </w:tr>
      <w:tr w:rsidR="009C2996" w:rsidTr="00CF2AFF">
        <w:tc>
          <w:tcPr>
            <w:tcW w:w="1417" w:type="dxa"/>
            <w:tcBorders>
              <w:top w:val="nil"/>
              <w:left w:val="nil"/>
              <w:bottom w:val="nil"/>
              <w:right w:val="nil"/>
            </w:tcBorders>
            <w:vAlign w:val="center"/>
            <w:hideMark/>
          </w:tcPr>
          <w:p w:rsidR="009C2996" w:rsidRDefault="009C2996" w:rsidP="00CF2AFF">
            <w:pPr>
              <w:kinsoku w:val="0"/>
              <w:spacing w:before="40" w:line="320" w:lineRule="exact"/>
              <w:ind w:left="57" w:right="57"/>
              <w:rPr>
                <w:rFonts w:hAnsi="標楷體"/>
                <w:snapToGrid w:val="0"/>
                <w:color w:val="000000"/>
                <w:spacing w:val="-14"/>
                <w:sz w:val="28"/>
              </w:rPr>
            </w:pPr>
            <w:r>
              <w:rPr>
                <w:rFonts w:hAnsi="標楷體" w:hint="eastAsia"/>
                <w:snapToGrid w:val="0"/>
                <w:color w:val="000000"/>
                <w:spacing w:val="-14"/>
                <w:sz w:val="28"/>
              </w:rPr>
              <w:t>血液</w:t>
            </w:r>
          </w:p>
        </w:tc>
        <w:tc>
          <w:tcPr>
            <w:tcW w:w="1134"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調查</w:t>
            </w:r>
            <w:r>
              <w:rPr>
                <w:rFonts w:hAnsi="標楷體" w:hint="eastAsia"/>
                <w:snapToGrid w:val="0"/>
                <w:color w:val="000000"/>
                <w:spacing w:val="-14"/>
                <w:sz w:val="28"/>
                <w:vertAlign w:val="superscript"/>
              </w:rPr>
              <w:t>2</w:t>
            </w:r>
          </w:p>
        </w:tc>
        <w:tc>
          <w:tcPr>
            <w:tcW w:w="1191"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4，4</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nil"/>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AC</w:t>
            </w:r>
          </w:p>
        </w:tc>
      </w:tr>
      <w:tr w:rsidR="009C2996" w:rsidTr="00CF2AFF">
        <w:tc>
          <w:tcPr>
            <w:tcW w:w="1417" w:type="dxa"/>
            <w:tcBorders>
              <w:top w:val="nil"/>
              <w:left w:val="nil"/>
              <w:bottom w:val="single" w:sz="8" w:space="0" w:color="auto"/>
              <w:right w:val="nil"/>
            </w:tcBorders>
            <w:vAlign w:val="center"/>
          </w:tcPr>
          <w:p w:rsidR="009C2996" w:rsidRDefault="009C2996" w:rsidP="00CF2AFF">
            <w:pPr>
              <w:kinsoku w:val="0"/>
              <w:spacing w:before="40" w:line="320" w:lineRule="exact"/>
              <w:ind w:left="57" w:right="57"/>
              <w:rPr>
                <w:rFonts w:hAnsi="標楷體"/>
                <w:snapToGrid w:val="0"/>
                <w:color w:val="000000"/>
                <w:spacing w:val="-14"/>
                <w:sz w:val="28"/>
              </w:rPr>
            </w:pPr>
          </w:p>
        </w:tc>
        <w:tc>
          <w:tcPr>
            <w:tcW w:w="1134"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法醫</w:t>
            </w:r>
            <w:r>
              <w:rPr>
                <w:rFonts w:hAnsi="標楷體" w:hint="eastAsia"/>
                <w:snapToGrid w:val="0"/>
                <w:color w:val="000000"/>
                <w:spacing w:val="-14"/>
                <w:sz w:val="28"/>
                <w:vertAlign w:val="superscript"/>
              </w:rPr>
              <w:t>3</w:t>
            </w:r>
          </w:p>
        </w:tc>
        <w:tc>
          <w:tcPr>
            <w:tcW w:w="1191"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4，4</w:t>
            </w:r>
          </w:p>
        </w:tc>
        <w:tc>
          <w:tcPr>
            <w:tcW w:w="907"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BB</w:t>
            </w:r>
          </w:p>
        </w:tc>
        <w:tc>
          <w:tcPr>
            <w:tcW w:w="907"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AA</w:t>
            </w:r>
          </w:p>
        </w:tc>
        <w:tc>
          <w:tcPr>
            <w:tcW w:w="907"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AB</w:t>
            </w:r>
          </w:p>
        </w:tc>
        <w:tc>
          <w:tcPr>
            <w:tcW w:w="907" w:type="dxa"/>
            <w:tcBorders>
              <w:top w:val="nil"/>
              <w:left w:val="nil"/>
              <w:bottom w:val="single" w:sz="8" w:space="0" w:color="auto"/>
              <w:right w:val="nil"/>
            </w:tcBorders>
            <w:vAlign w:val="center"/>
            <w:hideMark/>
          </w:tcPr>
          <w:p w:rsidR="009C2996" w:rsidRDefault="009C2996" w:rsidP="00CF2AFF">
            <w:pPr>
              <w:kinsoku w:val="0"/>
              <w:spacing w:before="40" w:line="320" w:lineRule="exact"/>
              <w:ind w:left="57" w:right="57"/>
              <w:jc w:val="center"/>
              <w:rPr>
                <w:rFonts w:hAnsi="標楷體"/>
                <w:snapToGrid w:val="0"/>
                <w:color w:val="000000"/>
                <w:spacing w:val="-14"/>
                <w:sz w:val="28"/>
              </w:rPr>
            </w:pPr>
            <w:r>
              <w:rPr>
                <w:rFonts w:hAnsi="標楷體" w:hint="eastAsia"/>
                <w:snapToGrid w:val="0"/>
                <w:color w:val="000000"/>
                <w:spacing w:val="-14"/>
                <w:sz w:val="28"/>
              </w:rPr>
              <w:t>AC</w:t>
            </w:r>
          </w:p>
        </w:tc>
      </w:tr>
    </w:tbl>
    <w:p w:rsidR="009C2996" w:rsidRDefault="009C2996" w:rsidP="009C2996">
      <w:pPr>
        <w:kinsoku w:val="0"/>
        <w:spacing w:before="40" w:line="320" w:lineRule="exact"/>
        <w:ind w:left="57" w:right="57" w:firstLineChars="300" w:firstLine="696"/>
        <w:rPr>
          <w:rFonts w:hAnsi="標楷體"/>
          <w:snapToGrid w:val="0"/>
          <w:color w:val="000000"/>
          <w:spacing w:val="-14"/>
          <w:sz w:val="24"/>
          <w:szCs w:val="24"/>
        </w:rPr>
      </w:pPr>
      <w:proofErr w:type="gramStart"/>
      <w:r>
        <w:rPr>
          <w:rFonts w:hAnsi="標楷體" w:hint="eastAsia"/>
          <w:snapToGrid w:val="0"/>
          <w:color w:val="000000"/>
          <w:spacing w:val="-14"/>
          <w:sz w:val="24"/>
          <w:szCs w:val="24"/>
        </w:rPr>
        <w:t>註</w:t>
      </w:r>
      <w:proofErr w:type="gramEnd"/>
      <w:r>
        <w:rPr>
          <w:rFonts w:hAnsi="標楷體" w:hint="eastAsia"/>
          <w:snapToGrid w:val="0"/>
          <w:color w:val="000000"/>
          <w:spacing w:val="-14"/>
          <w:sz w:val="24"/>
          <w:szCs w:val="24"/>
        </w:rPr>
        <w:t>：</w:t>
      </w:r>
      <w:r>
        <w:rPr>
          <w:rFonts w:hAnsi="標楷體" w:hint="eastAsia"/>
          <w:snapToGrid w:val="0"/>
          <w:color w:val="000000"/>
          <w:spacing w:val="-14"/>
          <w:sz w:val="24"/>
          <w:szCs w:val="24"/>
          <w:vertAlign w:val="superscript"/>
        </w:rPr>
        <w:t>1</w:t>
      </w:r>
      <w:r>
        <w:rPr>
          <w:rFonts w:hAnsi="標楷體" w:hint="eastAsia"/>
          <w:snapToGrid w:val="0"/>
          <w:color w:val="000000"/>
          <w:spacing w:val="-14"/>
          <w:sz w:val="24"/>
          <w:szCs w:val="24"/>
        </w:rPr>
        <w:t>警政署刑事警察局，</w:t>
      </w:r>
      <w:r>
        <w:rPr>
          <w:rFonts w:hAnsi="標楷體" w:hint="eastAsia"/>
          <w:snapToGrid w:val="0"/>
          <w:color w:val="000000"/>
          <w:spacing w:val="-14"/>
          <w:sz w:val="24"/>
          <w:szCs w:val="24"/>
          <w:vertAlign w:val="superscript"/>
        </w:rPr>
        <w:t>2</w:t>
      </w:r>
      <w:r>
        <w:rPr>
          <w:rFonts w:hAnsi="標楷體" w:hint="eastAsia"/>
          <w:snapToGrid w:val="0"/>
          <w:color w:val="000000"/>
          <w:spacing w:val="-14"/>
          <w:sz w:val="24"/>
          <w:szCs w:val="24"/>
        </w:rPr>
        <w:t>法務部調查局，</w:t>
      </w:r>
      <w:r>
        <w:rPr>
          <w:rFonts w:hAnsi="標楷體" w:hint="eastAsia"/>
          <w:snapToGrid w:val="0"/>
          <w:color w:val="000000"/>
          <w:spacing w:val="-14"/>
          <w:sz w:val="24"/>
          <w:szCs w:val="24"/>
          <w:vertAlign w:val="superscript"/>
        </w:rPr>
        <w:t>3</w:t>
      </w:r>
      <w:r>
        <w:rPr>
          <w:rFonts w:hAnsi="標楷體" w:hint="eastAsia"/>
          <w:snapToGrid w:val="0"/>
          <w:color w:val="000000"/>
          <w:spacing w:val="-14"/>
          <w:sz w:val="24"/>
          <w:szCs w:val="24"/>
        </w:rPr>
        <w:t>國防部</w:t>
      </w:r>
      <w:r w:rsidR="008B58C3">
        <w:rPr>
          <w:rFonts w:hAnsi="標楷體" w:hint="eastAsia"/>
          <w:snapToGrid w:val="0"/>
          <w:color w:val="000000"/>
          <w:spacing w:val="-14"/>
          <w:sz w:val="24"/>
          <w:szCs w:val="24"/>
        </w:rPr>
        <w:t>前軍法局</w:t>
      </w:r>
      <w:r>
        <w:rPr>
          <w:rFonts w:hAnsi="標楷體" w:hint="eastAsia"/>
          <w:snapToGrid w:val="0"/>
          <w:color w:val="000000"/>
          <w:spacing w:val="-14"/>
          <w:sz w:val="24"/>
          <w:szCs w:val="24"/>
        </w:rPr>
        <w:t>國軍法醫中心。</w:t>
      </w:r>
    </w:p>
    <w:p w:rsidR="00CE314E" w:rsidRDefault="00CE314E" w:rsidP="009C2996">
      <w:pPr>
        <w:pStyle w:val="5"/>
        <w:spacing w:beforeLines="50" w:before="228"/>
        <w:ind w:left="2042" w:hanging="851"/>
      </w:pPr>
      <w:r>
        <w:rPr>
          <w:rFonts w:hint="eastAsia"/>
        </w:rPr>
        <w:tab/>
      </w:r>
      <w:proofErr w:type="gramStart"/>
      <w:r>
        <w:rPr>
          <w:rFonts w:hint="eastAsia"/>
        </w:rPr>
        <w:t>精斑檢查</w:t>
      </w:r>
      <w:proofErr w:type="gramEnd"/>
      <w:r>
        <w:rPr>
          <w:rFonts w:hint="eastAsia"/>
        </w:rPr>
        <w:t>部分</w:t>
      </w:r>
    </w:p>
    <w:p w:rsidR="00CE314E" w:rsidRDefault="00CE314E" w:rsidP="00CD0D7A">
      <w:pPr>
        <w:pStyle w:val="52"/>
        <w:ind w:left="2041" w:firstLine="680"/>
      </w:pPr>
      <w:r>
        <w:rPr>
          <w:rFonts w:hint="eastAsia"/>
        </w:rPr>
        <w:t>依85年調查局檢驗通知書所載，對於精液跡證檢驗係</w:t>
      </w:r>
      <w:proofErr w:type="gramStart"/>
      <w:r>
        <w:rPr>
          <w:rFonts w:hint="eastAsia"/>
        </w:rPr>
        <w:t>採</w:t>
      </w:r>
      <w:proofErr w:type="gramEnd"/>
      <w:r>
        <w:rPr>
          <w:rFonts w:hint="eastAsia"/>
        </w:rPr>
        <w:t>「SM試劑</w:t>
      </w:r>
      <w:proofErr w:type="gramStart"/>
      <w:r>
        <w:rPr>
          <w:rFonts w:hint="eastAsia"/>
        </w:rPr>
        <w:t>精斑檢查</w:t>
      </w:r>
      <w:proofErr w:type="gramEnd"/>
      <w:r>
        <w:rPr>
          <w:rFonts w:hint="eastAsia"/>
        </w:rPr>
        <w:t>法」、「</w:t>
      </w:r>
      <w:proofErr w:type="gramStart"/>
      <w:r>
        <w:rPr>
          <w:rFonts w:hint="eastAsia"/>
        </w:rPr>
        <w:t>抗人血紅素</w:t>
      </w:r>
      <w:proofErr w:type="gramEnd"/>
      <w:r>
        <w:rPr>
          <w:rFonts w:hint="eastAsia"/>
        </w:rPr>
        <w:t>血清免疫</w:t>
      </w:r>
      <w:proofErr w:type="gramStart"/>
      <w:r>
        <w:rPr>
          <w:rFonts w:hint="eastAsia"/>
        </w:rPr>
        <w:t>沉</w:t>
      </w:r>
      <w:proofErr w:type="gramEnd"/>
      <w:r>
        <w:rPr>
          <w:rFonts w:hint="eastAsia"/>
        </w:rPr>
        <w:t>降反應試驗法」與「</w:t>
      </w:r>
      <w:proofErr w:type="gramStart"/>
      <w:r>
        <w:rPr>
          <w:rFonts w:hint="eastAsia"/>
        </w:rPr>
        <w:t>抗人精液</w:t>
      </w:r>
      <w:proofErr w:type="gramEnd"/>
      <w:r>
        <w:rPr>
          <w:rFonts w:hint="eastAsia"/>
        </w:rPr>
        <w:t>免疫</w:t>
      </w:r>
      <w:proofErr w:type="gramStart"/>
      <w:r>
        <w:rPr>
          <w:rFonts w:hint="eastAsia"/>
        </w:rPr>
        <w:t>沉降環</w:t>
      </w:r>
      <w:proofErr w:type="gramEnd"/>
      <w:r>
        <w:rPr>
          <w:rFonts w:hint="eastAsia"/>
        </w:rPr>
        <w:t>反應法」等方法</w:t>
      </w:r>
      <w:r w:rsidR="00182068">
        <w:rPr>
          <w:rFonts w:hint="eastAsia"/>
        </w:rPr>
        <w:t>(</w:t>
      </w:r>
      <w:proofErr w:type="gramStart"/>
      <w:r w:rsidR="00182068">
        <w:rPr>
          <w:rFonts w:hint="eastAsia"/>
        </w:rPr>
        <w:t>原空作部</w:t>
      </w:r>
      <w:proofErr w:type="gramEnd"/>
      <w:r w:rsidR="00182068">
        <w:rPr>
          <w:rFonts w:hint="eastAsia"/>
        </w:rPr>
        <w:t>勘驗卷第</w:t>
      </w:r>
      <w:r w:rsidR="00182068">
        <w:t>27</w:t>
      </w:r>
      <w:r w:rsidR="00182068">
        <w:rPr>
          <w:rFonts w:hint="eastAsia"/>
        </w:rPr>
        <w:t>頁)</w:t>
      </w:r>
      <w:r>
        <w:rPr>
          <w:rFonts w:hint="eastAsia"/>
        </w:rPr>
        <w:t>認定：「2.編號11-1證物，含人類血跡及精液</w:t>
      </w:r>
      <w:r w:rsidR="00182068">
        <w:rPr>
          <w:rFonts w:hint="eastAsia"/>
        </w:rPr>
        <w:t>(</w:t>
      </w:r>
      <w:proofErr w:type="gramStart"/>
      <w:r w:rsidR="00182068">
        <w:rPr>
          <w:rFonts w:hint="eastAsia"/>
        </w:rPr>
        <w:t>下略</w:t>
      </w:r>
      <w:proofErr w:type="gramEnd"/>
      <w:r w:rsidR="00182068">
        <w:rPr>
          <w:rFonts w:hint="eastAsia"/>
        </w:rPr>
        <w:t>)</w:t>
      </w:r>
      <w:r>
        <w:rPr>
          <w:rFonts w:hint="eastAsia"/>
        </w:rPr>
        <w:t>」。另刑事警察局同時針對系爭編號11-1衛生紙未沾血之</w:t>
      </w:r>
      <w:proofErr w:type="gramStart"/>
      <w:r>
        <w:rPr>
          <w:rFonts w:hint="eastAsia"/>
        </w:rPr>
        <w:t>可疑斑跡處鑑</w:t>
      </w:r>
      <w:proofErr w:type="gramEnd"/>
      <w:r>
        <w:rPr>
          <w:rFonts w:hint="eastAsia"/>
        </w:rPr>
        <w:t>驗，經採用：「酸性磷酸酵素檢測法」檢驗，檢驗結果：「呈弱陽性反應，顯微鏡檢查未發現精子細胞」，亦有該局85年9月20日刑</w:t>
      </w:r>
      <w:proofErr w:type="gramStart"/>
      <w:r>
        <w:rPr>
          <w:rFonts w:hint="eastAsia"/>
        </w:rPr>
        <w:t>鑑</w:t>
      </w:r>
      <w:proofErr w:type="gramEnd"/>
      <w:r>
        <w:rPr>
          <w:rFonts w:hint="eastAsia"/>
        </w:rPr>
        <w:t>字第58531號</w:t>
      </w:r>
      <w:proofErr w:type="gramStart"/>
      <w:r>
        <w:rPr>
          <w:rFonts w:hint="eastAsia"/>
        </w:rPr>
        <w:t>鑑</w:t>
      </w:r>
      <w:proofErr w:type="gramEnd"/>
      <w:r>
        <w:rPr>
          <w:rFonts w:hint="eastAsia"/>
        </w:rPr>
        <w:t>驗書影本1紙</w:t>
      </w:r>
      <w:proofErr w:type="gramStart"/>
      <w:r>
        <w:rPr>
          <w:rFonts w:hint="eastAsia"/>
        </w:rPr>
        <w:t>附卷可參</w:t>
      </w:r>
      <w:proofErr w:type="gramEnd"/>
      <w:r w:rsidR="00182068">
        <w:rPr>
          <w:rFonts w:hint="eastAsia"/>
        </w:rPr>
        <w:t>(</w:t>
      </w:r>
      <w:proofErr w:type="gramStart"/>
      <w:r w:rsidR="00182068">
        <w:rPr>
          <w:rFonts w:hint="eastAsia"/>
        </w:rPr>
        <w:t>復詳見</w:t>
      </w:r>
      <w:proofErr w:type="gramEnd"/>
      <w:r w:rsidR="00182068">
        <w:rPr>
          <w:rFonts w:hint="eastAsia"/>
        </w:rPr>
        <w:t>再審裁定卷第</w:t>
      </w:r>
      <w:r w:rsidR="00182068">
        <w:t>1</w:t>
      </w:r>
      <w:r w:rsidR="00182068">
        <w:rPr>
          <w:rFonts w:hint="eastAsia"/>
        </w:rPr>
        <w:t>卷第</w:t>
      </w:r>
      <w:r w:rsidR="00182068">
        <w:t>125</w:t>
      </w:r>
      <w:r w:rsidR="00182068">
        <w:rPr>
          <w:rFonts w:hint="eastAsia"/>
        </w:rPr>
        <w:t>頁)</w:t>
      </w:r>
      <w:r w:rsidR="006D10D1">
        <w:rPr>
          <w:rFonts w:hint="eastAsia"/>
        </w:rPr>
        <w:t>。據此，</w:t>
      </w:r>
      <w:r>
        <w:rPr>
          <w:rFonts w:hint="eastAsia"/>
        </w:rPr>
        <w:t>上揭二鑑定機關</w:t>
      </w:r>
      <w:proofErr w:type="gramStart"/>
      <w:r>
        <w:rPr>
          <w:rFonts w:hint="eastAsia"/>
        </w:rPr>
        <w:t>對於系</w:t>
      </w:r>
      <w:proofErr w:type="gramEnd"/>
      <w:r>
        <w:rPr>
          <w:rFonts w:hint="eastAsia"/>
        </w:rPr>
        <w:t>爭編號11-1衛生紙是否存有被告之精液跡證乙節，兩機關</w:t>
      </w:r>
      <w:proofErr w:type="gramStart"/>
      <w:r>
        <w:rPr>
          <w:rFonts w:hint="eastAsia"/>
        </w:rPr>
        <w:t>分別就系爭</w:t>
      </w:r>
      <w:proofErr w:type="gramEnd"/>
      <w:r>
        <w:rPr>
          <w:rFonts w:hint="eastAsia"/>
        </w:rPr>
        <w:t>編號11-1衛生紙選取不同部分，經</w:t>
      </w:r>
      <w:proofErr w:type="gramStart"/>
      <w:r>
        <w:rPr>
          <w:rFonts w:hint="eastAsia"/>
        </w:rPr>
        <w:t>鑑</w:t>
      </w:r>
      <w:proofErr w:type="gramEnd"/>
      <w:r>
        <w:rPr>
          <w:rFonts w:hint="eastAsia"/>
        </w:rPr>
        <w:t>驗後分別認定「含有人類精液」及「呈弱陽性反應，顯微鏡檢查未發現精子細胞」，上開</w:t>
      </w:r>
      <w:proofErr w:type="gramStart"/>
      <w:r>
        <w:rPr>
          <w:rFonts w:hint="eastAsia"/>
        </w:rPr>
        <w:t>有關精斑鑑定</w:t>
      </w:r>
      <w:proofErr w:type="gramEnd"/>
      <w:r>
        <w:rPr>
          <w:rFonts w:hint="eastAsia"/>
        </w:rPr>
        <w:t>意見尚非一致。</w:t>
      </w:r>
    </w:p>
    <w:p w:rsidR="00CE314E" w:rsidRDefault="00CE314E" w:rsidP="00CD0D7A">
      <w:pPr>
        <w:pStyle w:val="4"/>
      </w:pPr>
      <w:r>
        <w:rPr>
          <w:rFonts w:hint="eastAsia"/>
        </w:rPr>
        <w:t>江國慶案100年重啟調查後之發見</w:t>
      </w:r>
    </w:p>
    <w:p w:rsidR="00CE314E" w:rsidRDefault="00CE314E" w:rsidP="00CD0D7A">
      <w:pPr>
        <w:pStyle w:val="5"/>
      </w:pPr>
      <w:r>
        <w:rPr>
          <w:rFonts w:hint="eastAsia"/>
        </w:rPr>
        <w:tab/>
        <w:t>系爭編號11-1衛生紙存有被告DNA型別相符</w:t>
      </w:r>
    </w:p>
    <w:p w:rsidR="00CE314E" w:rsidRDefault="00CE314E" w:rsidP="00CD0D7A">
      <w:pPr>
        <w:pStyle w:val="6"/>
      </w:pPr>
      <w:r>
        <w:rPr>
          <w:rFonts w:hint="eastAsia"/>
        </w:rPr>
        <w:tab/>
      </w:r>
      <w:proofErr w:type="gramStart"/>
      <w:r>
        <w:rPr>
          <w:rFonts w:hint="eastAsia"/>
        </w:rPr>
        <w:t>臺</w:t>
      </w:r>
      <w:proofErr w:type="gramEnd"/>
      <w:r>
        <w:rPr>
          <w:rFonts w:hint="eastAsia"/>
        </w:rPr>
        <w:t>北地檢署100年2月11日訊問證人李</w:t>
      </w:r>
      <w:proofErr w:type="gramStart"/>
      <w:r w:rsidR="00156B94">
        <w:rPr>
          <w:rFonts w:hAnsi="標楷體" w:hint="eastAsia"/>
          <w:b/>
        </w:rPr>
        <w:t>Ｏ</w:t>
      </w:r>
      <w:proofErr w:type="gramEnd"/>
      <w:r>
        <w:rPr>
          <w:rFonts w:hint="eastAsia"/>
        </w:rPr>
        <w:t>億</w:t>
      </w:r>
      <w:r w:rsidR="006D10D1" w:rsidRPr="006D10D1">
        <w:rPr>
          <w:rFonts w:hint="eastAsia"/>
        </w:rPr>
        <w:lastRenderedPageBreak/>
        <w:t>(即法務部法醫研究所所長)</w:t>
      </w:r>
      <w:r>
        <w:rPr>
          <w:rFonts w:hint="eastAsia"/>
        </w:rPr>
        <w:t>具結證稱：「臺灣地區人口中確有「1.1；4」之基因型別存在，且每4個3人組合之DNA中就會出現1組「1.1；3；4」之混合DNA型別，不足以表達特定人遺留之可能性，</w:t>
      </w:r>
      <w:proofErr w:type="gramStart"/>
      <w:r>
        <w:rPr>
          <w:rFonts w:hint="eastAsia"/>
        </w:rPr>
        <w:t>況</w:t>
      </w:r>
      <w:proofErr w:type="gramEnd"/>
      <w:r>
        <w:rPr>
          <w:rFonts w:hint="eastAsia"/>
        </w:rPr>
        <w:t>如有考慮混有第3人型別</w:t>
      </w:r>
      <w:proofErr w:type="gramStart"/>
      <w:r>
        <w:rPr>
          <w:rFonts w:hint="eastAsia"/>
        </w:rPr>
        <w:t>之</w:t>
      </w:r>
      <w:proofErr w:type="gramEnd"/>
      <w:r>
        <w:rPr>
          <w:rFonts w:hint="eastAsia"/>
        </w:rPr>
        <w:t>可能性，應在鑑定書之檢驗結果欄內載明可能混合之人數」等語</w:t>
      </w:r>
      <w:r w:rsidR="00C00F8E">
        <w:rPr>
          <w:rFonts w:hint="eastAsia"/>
        </w:rPr>
        <w:t>(</w:t>
      </w:r>
      <w:proofErr w:type="gramStart"/>
      <w:r w:rsidR="00C00F8E">
        <w:rPr>
          <w:rFonts w:hint="eastAsia"/>
        </w:rPr>
        <w:t>臺</w:t>
      </w:r>
      <w:proofErr w:type="gramEnd"/>
      <w:r w:rsidR="00C00F8E">
        <w:rPr>
          <w:rFonts w:hint="eastAsia"/>
        </w:rPr>
        <w:t>北地檢署</w:t>
      </w:r>
      <w:proofErr w:type="gramStart"/>
      <w:r w:rsidR="00C00F8E">
        <w:t>100</w:t>
      </w:r>
      <w:proofErr w:type="gramEnd"/>
      <w:r w:rsidR="00C00F8E">
        <w:rPr>
          <w:rFonts w:hint="eastAsia"/>
        </w:rPr>
        <w:t>年度</w:t>
      </w:r>
      <w:proofErr w:type="gramStart"/>
      <w:r w:rsidR="00C00F8E">
        <w:rPr>
          <w:rFonts w:hint="eastAsia"/>
        </w:rPr>
        <w:t>偵</w:t>
      </w:r>
      <w:proofErr w:type="gramEnd"/>
      <w:r w:rsidR="00C00F8E">
        <w:rPr>
          <w:rFonts w:hint="eastAsia"/>
        </w:rPr>
        <w:t>字第</w:t>
      </w:r>
      <w:r w:rsidR="00C00F8E">
        <w:t>3122</w:t>
      </w:r>
      <w:r w:rsidR="00C00F8E">
        <w:rPr>
          <w:rFonts w:hint="eastAsia"/>
        </w:rPr>
        <w:t>號偵查卷第</w:t>
      </w:r>
      <w:r w:rsidR="00C00F8E">
        <w:t>1</w:t>
      </w:r>
      <w:r w:rsidR="00C00F8E">
        <w:rPr>
          <w:rFonts w:hint="eastAsia"/>
        </w:rPr>
        <w:t>卷第</w:t>
      </w:r>
      <w:r w:rsidR="00C00F8E">
        <w:t>38</w:t>
      </w:r>
      <w:r w:rsidR="00C00F8E">
        <w:rPr>
          <w:rFonts w:hint="eastAsia"/>
        </w:rPr>
        <w:t>頁至第</w:t>
      </w:r>
      <w:r w:rsidR="00C00F8E">
        <w:t>44</w:t>
      </w:r>
      <w:r w:rsidR="00C00F8E">
        <w:rPr>
          <w:rFonts w:hint="eastAsia"/>
        </w:rPr>
        <w:t>頁)</w:t>
      </w:r>
    </w:p>
    <w:p w:rsidR="00CE314E" w:rsidRDefault="00CE314E" w:rsidP="006D10D1">
      <w:pPr>
        <w:pStyle w:val="6"/>
        <w:numPr>
          <w:ilvl w:val="0"/>
          <w:numId w:val="0"/>
        </w:numPr>
        <w:ind w:left="2381"/>
      </w:pPr>
      <w:r>
        <w:rPr>
          <w:rFonts w:hint="eastAsia"/>
        </w:rPr>
        <w:tab/>
        <w:t>法務部法醫研究所對於85年調查局</w:t>
      </w:r>
      <w:proofErr w:type="gramStart"/>
      <w:r>
        <w:rPr>
          <w:rFonts w:hint="eastAsia"/>
        </w:rPr>
        <w:t>鑑</w:t>
      </w:r>
      <w:proofErr w:type="gramEnd"/>
      <w:r>
        <w:rPr>
          <w:rFonts w:hint="eastAsia"/>
        </w:rPr>
        <w:t>驗經過，經</w:t>
      </w:r>
      <w:proofErr w:type="gramStart"/>
      <w:r>
        <w:rPr>
          <w:rFonts w:hint="eastAsia"/>
        </w:rPr>
        <w:t>鑑識後</w:t>
      </w:r>
      <w:proofErr w:type="gramEnd"/>
      <w:r>
        <w:rPr>
          <w:rFonts w:hint="eastAsia"/>
        </w:rPr>
        <w:t>說明略</w:t>
      </w:r>
      <w:proofErr w:type="gramStart"/>
      <w:r>
        <w:rPr>
          <w:rFonts w:hint="eastAsia"/>
        </w:rPr>
        <w:t>以</w:t>
      </w:r>
      <w:proofErr w:type="gramEnd"/>
      <w:r>
        <w:rPr>
          <w:rFonts w:hint="eastAsia"/>
        </w:rPr>
        <w:t>：「鑑定現場證物是否與涉嫌人之DNA型別相符，其鑑定結果必須是現場證物與涉嫌人所有鑑定基因之DNA型別完全相同，若有任何一個基因之DNA型別不同，則涉嫌人應予排除，</w:t>
      </w:r>
      <w:proofErr w:type="gramStart"/>
      <w:r>
        <w:rPr>
          <w:rFonts w:hint="eastAsia"/>
        </w:rPr>
        <w:t>此係單人</w:t>
      </w:r>
      <w:proofErr w:type="gramEnd"/>
      <w:r>
        <w:rPr>
          <w:rFonts w:hint="eastAsia"/>
        </w:rPr>
        <w:t>DNA型別比對之同一性原則。現場證物若為混合型，則多人DNA型別比對之同一性原則為混合人之所有DNA型別相加，應與證物上之DNA混合型別完全相同」、「在僅有2人DNA組成之混合型中，6個基因中即出現2個基因不相符，如此明顯之差異，該報告竟為錯誤之判斷；因此，該報告之結論不可靠」</w:t>
      </w:r>
      <w:r w:rsidR="00C00F8E">
        <w:rPr>
          <w:rFonts w:hint="eastAsia"/>
        </w:rPr>
        <w:t>(法務部法醫研究所</w:t>
      </w:r>
      <w:r w:rsidR="00C00F8E">
        <w:t>100</w:t>
      </w:r>
      <w:r w:rsidR="00C00F8E">
        <w:rPr>
          <w:rFonts w:hint="eastAsia"/>
        </w:rPr>
        <w:t>年</w:t>
      </w:r>
      <w:r w:rsidR="00C00F8E">
        <w:t>8</w:t>
      </w:r>
      <w:r w:rsidR="00C00F8E">
        <w:rPr>
          <w:rFonts w:hint="eastAsia"/>
        </w:rPr>
        <w:t>月</w:t>
      </w:r>
      <w:r w:rsidR="00C00F8E">
        <w:t>2</w:t>
      </w:r>
      <w:r w:rsidR="00C00F8E">
        <w:rPr>
          <w:rFonts w:hint="eastAsia"/>
        </w:rPr>
        <w:t>日法醫證字</w:t>
      </w:r>
      <w:proofErr w:type="gramStart"/>
      <w:r w:rsidR="00C00F8E">
        <w:rPr>
          <w:rFonts w:hint="eastAsia"/>
        </w:rPr>
        <w:t>第</w:t>
      </w:r>
      <w:r w:rsidR="00C00F8E">
        <w:t>1000004232</w:t>
      </w:r>
      <w:r w:rsidR="00C00F8E">
        <w:rPr>
          <w:rFonts w:hint="eastAsia"/>
        </w:rPr>
        <w:t>號函附釋疑</w:t>
      </w:r>
      <w:proofErr w:type="gramEnd"/>
      <w:r w:rsidR="00C00F8E">
        <w:rPr>
          <w:rFonts w:hint="eastAsia"/>
        </w:rPr>
        <w:t>意見</w:t>
      </w:r>
      <w:proofErr w:type="gramStart"/>
      <w:r w:rsidR="006D10D1">
        <w:t>—</w:t>
      </w:r>
      <w:proofErr w:type="gramEnd"/>
      <w:r w:rsidR="00C00F8E">
        <w:rPr>
          <w:rFonts w:hint="eastAsia"/>
        </w:rPr>
        <w:t>國防部北部地方軍事法院審理卷第</w:t>
      </w:r>
      <w:r w:rsidR="00C00F8E">
        <w:t>2</w:t>
      </w:r>
      <w:r w:rsidR="00C00F8E">
        <w:rPr>
          <w:rFonts w:hint="eastAsia"/>
        </w:rPr>
        <w:t>卷第</w:t>
      </w:r>
      <w:r w:rsidR="00C00F8E">
        <w:t>139</w:t>
      </w:r>
      <w:r w:rsidR="00C00F8E">
        <w:rPr>
          <w:rFonts w:hint="eastAsia"/>
        </w:rPr>
        <w:t>頁、</w:t>
      </w:r>
      <w:proofErr w:type="gramStart"/>
      <w:r w:rsidR="00C00F8E">
        <w:rPr>
          <w:rFonts w:hint="eastAsia"/>
        </w:rPr>
        <w:t>臺</w:t>
      </w:r>
      <w:proofErr w:type="gramEnd"/>
      <w:r w:rsidR="00C00F8E">
        <w:rPr>
          <w:rFonts w:hint="eastAsia"/>
        </w:rPr>
        <w:t>北地檢署偵辦許榮洲涉嫌殺人等案件證物</w:t>
      </w:r>
      <w:proofErr w:type="gramStart"/>
      <w:r w:rsidR="00C00F8E">
        <w:rPr>
          <w:rFonts w:hint="eastAsia"/>
        </w:rPr>
        <w:t>鑑</w:t>
      </w:r>
      <w:proofErr w:type="gramEnd"/>
      <w:r w:rsidR="00C00F8E">
        <w:rPr>
          <w:rFonts w:hint="eastAsia"/>
        </w:rPr>
        <w:t>驗報告第</w:t>
      </w:r>
      <w:r w:rsidR="00C00F8E">
        <w:t>12</w:t>
      </w:r>
      <w:r w:rsidR="00C00F8E">
        <w:rPr>
          <w:rFonts w:hint="eastAsia"/>
        </w:rPr>
        <w:t>頁)</w:t>
      </w:r>
      <w:r w:rsidR="002A552D">
        <w:rPr>
          <w:rFonts w:ascii="新細明體" w:eastAsia="新細明體" w:hAnsi="新細明體" w:hint="eastAsia"/>
        </w:rPr>
        <w:t>。</w:t>
      </w:r>
    </w:p>
    <w:p w:rsidR="00CE314E" w:rsidRDefault="00CE314E" w:rsidP="00CD0D7A">
      <w:pPr>
        <w:pStyle w:val="5"/>
      </w:pPr>
      <w:r>
        <w:rPr>
          <w:rFonts w:hint="eastAsia"/>
        </w:rPr>
        <w:tab/>
      </w:r>
      <w:proofErr w:type="gramStart"/>
      <w:r>
        <w:rPr>
          <w:rFonts w:hint="eastAsia"/>
        </w:rPr>
        <w:t>精斑檢查</w:t>
      </w:r>
      <w:proofErr w:type="gramEnd"/>
      <w:r>
        <w:rPr>
          <w:rFonts w:hint="eastAsia"/>
        </w:rPr>
        <w:t>部分</w:t>
      </w:r>
    </w:p>
    <w:p w:rsidR="00CE314E" w:rsidRDefault="00CE314E" w:rsidP="00CD0D7A">
      <w:pPr>
        <w:pStyle w:val="52"/>
        <w:ind w:left="2041" w:firstLine="680"/>
      </w:pPr>
      <w:r>
        <w:rPr>
          <w:rFonts w:hint="eastAsia"/>
        </w:rPr>
        <w:t>有關調查局85年之</w:t>
      </w:r>
      <w:proofErr w:type="gramStart"/>
      <w:r>
        <w:rPr>
          <w:rFonts w:hint="eastAsia"/>
        </w:rPr>
        <w:t>鑑</w:t>
      </w:r>
      <w:proofErr w:type="gramEnd"/>
      <w:r>
        <w:rPr>
          <w:rFonts w:hint="eastAsia"/>
        </w:rPr>
        <w:t>驗情形鑑定人</w:t>
      </w:r>
      <w:r w:rsidR="00C00F8E">
        <w:rPr>
          <w:rFonts w:hint="eastAsia"/>
        </w:rPr>
        <w:t>(即該局</w:t>
      </w:r>
      <w:proofErr w:type="gramStart"/>
      <w:r w:rsidR="00C00F8E">
        <w:rPr>
          <w:rFonts w:hint="eastAsia"/>
        </w:rPr>
        <w:t>鑑</w:t>
      </w:r>
      <w:proofErr w:type="gramEnd"/>
      <w:r w:rsidR="00C00F8E">
        <w:rPr>
          <w:rFonts w:hint="eastAsia"/>
        </w:rPr>
        <w:t>識科學處調查官耿</w:t>
      </w:r>
      <w:proofErr w:type="gramStart"/>
      <w:r w:rsidR="00156B94">
        <w:rPr>
          <w:rFonts w:hAnsi="標楷體" w:hint="eastAsia"/>
          <w:b/>
        </w:rPr>
        <w:t>Ｏ</w:t>
      </w:r>
      <w:proofErr w:type="gramEnd"/>
      <w:r w:rsidR="00C00F8E">
        <w:rPr>
          <w:rFonts w:hint="eastAsia"/>
        </w:rPr>
        <w:t>才、第四科科長趙</w:t>
      </w:r>
      <w:proofErr w:type="gramStart"/>
      <w:r w:rsidR="00156B94">
        <w:rPr>
          <w:rFonts w:hAnsi="標楷體" w:hint="eastAsia"/>
          <w:b/>
        </w:rPr>
        <w:t>Ｏ</w:t>
      </w:r>
      <w:proofErr w:type="gramEnd"/>
      <w:r w:rsidR="00C00F8E">
        <w:rPr>
          <w:rFonts w:hint="eastAsia"/>
        </w:rPr>
        <w:t>相)</w:t>
      </w:r>
      <w:r>
        <w:rPr>
          <w:rFonts w:hint="eastAsia"/>
        </w:rPr>
        <w:t>於本案再審後後100年3月3日至國防部北部地方軍事法院檢察署具結證稱，本</w:t>
      </w:r>
      <w:r w:rsidR="004D11DC">
        <w:rPr>
          <w:rFonts w:hint="eastAsia"/>
        </w:rPr>
        <w:t>件由原國防</w:t>
      </w:r>
      <w:r w:rsidR="004D11DC">
        <w:rPr>
          <w:rFonts w:hint="eastAsia"/>
        </w:rPr>
        <w:lastRenderedPageBreak/>
        <w:t>部軍法局委託</w:t>
      </w:r>
      <w:proofErr w:type="gramStart"/>
      <w:r w:rsidR="004D11DC">
        <w:rPr>
          <w:rFonts w:hint="eastAsia"/>
        </w:rPr>
        <w:t>鑑</w:t>
      </w:r>
      <w:proofErr w:type="gramEnd"/>
      <w:r w:rsidR="004D11DC">
        <w:rPr>
          <w:rFonts w:hint="eastAsia"/>
        </w:rPr>
        <w:t>驗，渠等均參與當時嫌犯精液部分之</w:t>
      </w:r>
      <w:proofErr w:type="gramStart"/>
      <w:r w:rsidR="004D11DC">
        <w:rPr>
          <w:rFonts w:hint="eastAsia"/>
        </w:rPr>
        <w:t>鑑</w:t>
      </w:r>
      <w:proofErr w:type="gramEnd"/>
      <w:r w:rsidR="004D11DC">
        <w:rPr>
          <w:rFonts w:hint="eastAsia"/>
        </w:rPr>
        <w:t>驗，那</w:t>
      </w:r>
      <w:r>
        <w:rPr>
          <w:rFonts w:hint="eastAsia"/>
        </w:rPr>
        <w:t>時係採取衛生紙中「含有血跡</w:t>
      </w:r>
      <w:proofErr w:type="gramStart"/>
      <w:r>
        <w:rPr>
          <w:rFonts w:hint="eastAsia"/>
        </w:rPr>
        <w:t>斑跡處</w:t>
      </w:r>
      <w:proofErr w:type="gramEnd"/>
      <w:r>
        <w:rPr>
          <w:rFonts w:hint="eastAsia"/>
        </w:rPr>
        <w:t>」來</w:t>
      </w:r>
      <w:proofErr w:type="gramStart"/>
      <w:r>
        <w:rPr>
          <w:rFonts w:hint="eastAsia"/>
        </w:rPr>
        <w:t>鑑</w:t>
      </w:r>
      <w:proofErr w:type="gramEnd"/>
      <w:r>
        <w:rPr>
          <w:rFonts w:hint="eastAsia"/>
        </w:rPr>
        <w:t>驗，而「SM試劑</w:t>
      </w:r>
      <w:proofErr w:type="gramStart"/>
      <w:r>
        <w:rPr>
          <w:rFonts w:hint="eastAsia"/>
        </w:rPr>
        <w:t>精斑檢查</w:t>
      </w:r>
      <w:proofErr w:type="gramEnd"/>
      <w:r>
        <w:rPr>
          <w:rFonts w:hint="eastAsia"/>
        </w:rPr>
        <w:t>法」是用來</w:t>
      </w:r>
      <w:proofErr w:type="gramStart"/>
      <w:r>
        <w:rPr>
          <w:rFonts w:hint="eastAsia"/>
        </w:rPr>
        <w:t>初篩精液斑跡</w:t>
      </w:r>
      <w:proofErr w:type="gramEnd"/>
      <w:r>
        <w:rPr>
          <w:rFonts w:hint="eastAsia"/>
        </w:rPr>
        <w:t>，「</w:t>
      </w:r>
      <w:proofErr w:type="gramStart"/>
      <w:r>
        <w:rPr>
          <w:rFonts w:hint="eastAsia"/>
        </w:rPr>
        <w:t>抗人血紅素</w:t>
      </w:r>
      <w:proofErr w:type="gramEnd"/>
      <w:r>
        <w:rPr>
          <w:rFonts w:hint="eastAsia"/>
        </w:rPr>
        <w:t>血清免疫</w:t>
      </w:r>
      <w:proofErr w:type="gramStart"/>
      <w:r>
        <w:rPr>
          <w:rFonts w:hint="eastAsia"/>
        </w:rPr>
        <w:t>沉</w:t>
      </w:r>
      <w:proofErr w:type="gramEnd"/>
      <w:r>
        <w:rPr>
          <w:rFonts w:hint="eastAsia"/>
        </w:rPr>
        <w:t>降反應試驗法」則是用來確認</w:t>
      </w:r>
      <w:proofErr w:type="gramStart"/>
      <w:r>
        <w:rPr>
          <w:rFonts w:hint="eastAsia"/>
        </w:rPr>
        <w:t>精液斑跡</w:t>
      </w:r>
      <w:proofErr w:type="gramEnd"/>
      <w:r>
        <w:rPr>
          <w:rFonts w:hint="eastAsia"/>
        </w:rPr>
        <w:t>，且因為衛生紙證物</w:t>
      </w:r>
      <w:proofErr w:type="gramStart"/>
      <w:r>
        <w:rPr>
          <w:rFonts w:hint="eastAsia"/>
        </w:rPr>
        <w:t>存在斑跡</w:t>
      </w:r>
      <w:proofErr w:type="gramEnd"/>
      <w:r>
        <w:rPr>
          <w:rFonts w:hint="eastAsia"/>
        </w:rPr>
        <w:t>的面積很少，當初如果再實施精蟲檢查，就沒有足夠跡證實施DNA鑑定，所以我們並沒有實施精蟲檢查</w:t>
      </w:r>
      <w:r w:rsidR="00C00F8E">
        <w:rPr>
          <w:rFonts w:hint="eastAsia"/>
        </w:rPr>
        <w:t>(北軍檢署</w:t>
      </w:r>
      <w:proofErr w:type="gramStart"/>
      <w:r w:rsidR="00C00F8E">
        <w:rPr>
          <w:rFonts w:hint="eastAsia"/>
        </w:rPr>
        <w:t>偵他卷</w:t>
      </w:r>
      <w:proofErr w:type="gramEnd"/>
      <w:r w:rsidR="00C00F8E">
        <w:rPr>
          <w:rFonts w:hint="eastAsia"/>
        </w:rPr>
        <w:t>第</w:t>
      </w:r>
      <w:r w:rsidR="00C00F8E">
        <w:t>2</w:t>
      </w:r>
      <w:r w:rsidR="00C00F8E">
        <w:rPr>
          <w:rFonts w:hint="eastAsia"/>
        </w:rPr>
        <w:t>卷第</w:t>
      </w:r>
      <w:r w:rsidR="00C00F8E">
        <w:t>6</w:t>
      </w:r>
      <w:r w:rsidR="00C00F8E">
        <w:rPr>
          <w:rFonts w:hint="eastAsia"/>
        </w:rPr>
        <w:t>頁至第</w:t>
      </w:r>
      <w:r w:rsidR="00C00F8E">
        <w:t>10</w:t>
      </w:r>
      <w:r w:rsidR="00C00F8E">
        <w:rPr>
          <w:rFonts w:hint="eastAsia"/>
        </w:rPr>
        <w:t>頁、第</w:t>
      </w:r>
      <w:r w:rsidR="00C00F8E">
        <w:t>68</w:t>
      </w:r>
      <w:r w:rsidR="00C00F8E">
        <w:rPr>
          <w:rFonts w:hint="eastAsia"/>
        </w:rPr>
        <w:t>頁至第</w:t>
      </w:r>
      <w:r w:rsidR="00C00F8E">
        <w:t>72</w:t>
      </w:r>
      <w:r w:rsidR="00C00F8E">
        <w:rPr>
          <w:rFonts w:hint="eastAsia"/>
        </w:rPr>
        <w:t>頁)</w:t>
      </w:r>
      <w:r>
        <w:rPr>
          <w:rFonts w:hint="eastAsia"/>
        </w:rPr>
        <w:t>；</w:t>
      </w:r>
      <w:proofErr w:type="gramStart"/>
      <w:r>
        <w:rPr>
          <w:rFonts w:hint="eastAsia"/>
        </w:rPr>
        <w:t>嗣臺</w:t>
      </w:r>
      <w:proofErr w:type="gramEnd"/>
      <w:r>
        <w:rPr>
          <w:rFonts w:hint="eastAsia"/>
        </w:rPr>
        <w:t>北地檢署再請法務部法醫研究所</w:t>
      </w:r>
      <w:proofErr w:type="gramStart"/>
      <w:r>
        <w:rPr>
          <w:rFonts w:hint="eastAsia"/>
        </w:rPr>
        <w:t>鑑</w:t>
      </w:r>
      <w:proofErr w:type="gramEnd"/>
      <w:r>
        <w:rPr>
          <w:rFonts w:hint="eastAsia"/>
        </w:rPr>
        <w:t>識</w:t>
      </w:r>
      <w:r w:rsidR="00C00F8E">
        <w:rPr>
          <w:rFonts w:hint="eastAsia"/>
        </w:rPr>
        <w:t>(審查)</w:t>
      </w:r>
      <w:r>
        <w:rPr>
          <w:rFonts w:hint="eastAsia"/>
        </w:rPr>
        <w:t>調查局</w:t>
      </w:r>
      <w:proofErr w:type="gramStart"/>
      <w:r>
        <w:rPr>
          <w:rFonts w:hint="eastAsia"/>
        </w:rPr>
        <w:t>鑑</w:t>
      </w:r>
      <w:proofErr w:type="gramEnd"/>
      <w:r>
        <w:rPr>
          <w:rFonts w:hint="eastAsia"/>
        </w:rPr>
        <w:t>驗經過，其結論略</w:t>
      </w:r>
      <w:proofErr w:type="gramStart"/>
      <w:r>
        <w:rPr>
          <w:rFonts w:hint="eastAsia"/>
        </w:rPr>
        <w:t>以</w:t>
      </w:r>
      <w:proofErr w:type="gramEnd"/>
      <w:r>
        <w:rPr>
          <w:rFonts w:hint="eastAsia"/>
        </w:rPr>
        <w:t>：「1</w:t>
      </w:r>
      <w:r w:rsidR="00C00F8E">
        <w:rPr>
          <w:rFonts w:hint="eastAsia"/>
        </w:rPr>
        <w:t>.</w:t>
      </w:r>
      <w:r>
        <w:rPr>
          <w:rFonts w:hint="eastAsia"/>
        </w:rPr>
        <w:t>SM試劑</w:t>
      </w:r>
      <w:proofErr w:type="gramStart"/>
      <w:r>
        <w:rPr>
          <w:rFonts w:hint="eastAsia"/>
        </w:rPr>
        <w:t>精斑檢查</w:t>
      </w:r>
      <w:proofErr w:type="gramEnd"/>
      <w:r>
        <w:rPr>
          <w:rFonts w:hint="eastAsia"/>
        </w:rPr>
        <w:t>法係檢驗精液中之酸性磷酸酵素</w:t>
      </w:r>
      <w:r w:rsidR="00C00F8E">
        <w:t>(ACP)</w:t>
      </w:r>
      <w:r>
        <w:rPr>
          <w:rFonts w:hint="eastAsia"/>
        </w:rPr>
        <w:t>。SM試劑</w:t>
      </w:r>
      <w:proofErr w:type="gramStart"/>
      <w:r>
        <w:rPr>
          <w:rFonts w:hint="eastAsia"/>
        </w:rPr>
        <w:t>精斑檢查法呈</w:t>
      </w:r>
      <w:proofErr w:type="gramEnd"/>
      <w:r>
        <w:rPr>
          <w:rFonts w:hint="eastAsia"/>
        </w:rPr>
        <w:t>陽性部分，此僅為</w:t>
      </w:r>
      <w:proofErr w:type="gramStart"/>
      <w:r>
        <w:rPr>
          <w:rFonts w:hint="eastAsia"/>
        </w:rPr>
        <w:t>初篩結果</w:t>
      </w:r>
      <w:proofErr w:type="gramEnd"/>
      <w:r>
        <w:rPr>
          <w:rFonts w:hint="eastAsia"/>
        </w:rPr>
        <w:t>無法確認是否含精液，又因檢體</w:t>
      </w:r>
      <w:proofErr w:type="gramStart"/>
      <w:r>
        <w:rPr>
          <w:rFonts w:hint="eastAsia"/>
        </w:rPr>
        <w:t>為血斑</w:t>
      </w:r>
      <w:proofErr w:type="gramEnd"/>
      <w:r>
        <w:rPr>
          <w:rFonts w:hint="eastAsia"/>
        </w:rPr>
        <w:t>，而每毫克血液中約含有5KA單位以下的酸性磷酸酵素活性，將引起交叉反應，因此檢驗血液與精液混合檢體時，需有陽性、陰性與血跡對照樣品同時進行反應，才能確認</w:t>
      </w:r>
      <w:proofErr w:type="gramStart"/>
      <w:r>
        <w:rPr>
          <w:rFonts w:hint="eastAsia"/>
        </w:rPr>
        <w:t>初篩結果</w:t>
      </w:r>
      <w:proofErr w:type="gramEnd"/>
      <w:r>
        <w:rPr>
          <w:rFonts w:hint="eastAsia"/>
        </w:rPr>
        <w:t>，本檢驗結果並無實驗紀錄可供查考，因此無法確認</w:t>
      </w:r>
      <w:proofErr w:type="gramStart"/>
      <w:r>
        <w:rPr>
          <w:rFonts w:hint="eastAsia"/>
        </w:rPr>
        <w:t>初篩結果</w:t>
      </w:r>
      <w:proofErr w:type="gramEnd"/>
      <w:r>
        <w:rPr>
          <w:rFonts w:hint="eastAsia"/>
        </w:rPr>
        <w:t>。2</w:t>
      </w:r>
      <w:r w:rsidR="00C00F8E">
        <w:rPr>
          <w:rFonts w:hint="eastAsia"/>
        </w:rPr>
        <w:t>.</w:t>
      </w:r>
      <w:proofErr w:type="gramStart"/>
      <w:r>
        <w:rPr>
          <w:rFonts w:hint="eastAsia"/>
        </w:rPr>
        <w:t>抗人精液</w:t>
      </w:r>
      <w:proofErr w:type="gramEnd"/>
      <w:r>
        <w:rPr>
          <w:rFonts w:hint="eastAsia"/>
        </w:rPr>
        <w:t>免疫</w:t>
      </w:r>
      <w:proofErr w:type="gramStart"/>
      <w:r>
        <w:rPr>
          <w:rFonts w:hint="eastAsia"/>
        </w:rPr>
        <w:t>沉降環反應法呈</w:t>
      </w:r>
      <w:proofErr w:type="gramEnd"/>
      <w:r>
        <w:rPr>
          <w:rFonts w:hint="eastAsia"/>
        </w:rPr>
        <w:t>陽性反應部分，此反應結果因：</w:t>
      </w:r>
      <w:r w:rsidR="00C00F8E">
        <w:t>(1)</w:t>
      </w:r>
      <w:r>
        <w:rPr>
          <w:rFonts w:hint="eastAsia"/>
        </w:rPr>
        <w:t>檢體</w:t>
      </w:r>
      <w:proofErr w:type="gramStart"/>
      <w:r>
        <w:rPr>
          <w:rFonts w:hint="eastAsia"/>
        </w:rPr>
        <w:t>為血斑</w:t>
      </w:r>
      <w:proofErr w:type="gramEnd"/>
      <w:r>
        <w:rPr>
          <w:rFonts w:hint="eastAsia"/>
        </w:rPr>
        <w:t>，此檢體檢驗時，亦應與陽性、陰性與血跡對照樣品同時進行反應，若為陽性，應照相存證以資證明，本檢驗結果並無實驗紀錄可供查考，因此無法判斷檢體中是否含有精液；</w:t>
      </w:r>
      <w:r w:rsidR="00C00F8E">
        <w:t>(2)</w:t>
      </w:r>
      <w:proofErr w:type="gramStart"/>
      <w:r>
        <w:rPr>
          <w:rFonts w:hint="eastAsia"/>
        </w:rPr>
        <w:t>抗人精液</w:t>
      </w:r>
      <w:proofErr w:type="gramEnd"/>
      <w:r>
        <w:rPr>
          <w:rFonts w:hint="eastAsia"/>
        </w:rPr>
        <w:t>免疫</w:t>
      </w:r>
      <w:proofErr w:type="gramStart"/>
      <w:r>
        <w:rPr>
          <w:rFonts w:hint="eastAsia"/>
        </w:rPr>
        <w:t>沉降法</w:t>
      </w:r>
      <w:proofErr w:type="gramEnd"/>
      <w:r>
        <w:rPr>
          <w:rFonts w:hint="eastAsia"/>
        </w:rPr>
        <w:t>的使用有其限制，應避免使用在含有血液的檢體，因依據Baxter</w:t>
      </w:r>
      <w:r w:rsidR="00C00F8E">
        <w:t>(1973)</w:t>
      </w:r>
      <w:r>
        <w:rPr>
          <w:rFonts w:hint="eastAsia"/>
        </w:rPr>
        <w:t>的研究報告指出，此類免疫法需要具備極高特異性的血清抗體才能獲得可靠的結果，尤其此類方法中多數血清具有抗A的活性，只要檢體中含有A型</w:t>
      </w:r>
      <w:r>
        <w:rPr>
          <w:rFonts w:hint="eastAsia"/>
        </w:rPr>
        <w:lastRenderedPageBreak/>
        <w:t>血液，則此免疫反應即使無精液亦將呈陽性反應【該報告結果欄敘述被害人血型為A型】；</w:t>
      </w:r>
      <w:r w:rsidR="00C00F8E">
        <w:t>(3)</w:t>
      </w:r>
      <w:proofErr w:type="gramStart"/>
      <w:r>
        <w:rPr>
          <w:rFonts w:hint="eastAsia"/>
        </w:rPr>
        <w:t>抗人精液</w:t>
      </w:r>
      <w:proofErr w:type="gramEnd"/>
      <w:r>
        <w:rPr>
          <w:rFonts w:hint="eastAsia"/>
        </w:rPr>
        <w:t>免疫</w:t>
      </w:r>
      <w:proofErr w:type="gramStart"/>
      <w:r>
        <w:rPr>
          <w:rFonts w:hint="eastAsia"/>
        </w:rPr>
        <w:t>沉降環</w:t>
      </w:r>
      <w:proofErr w:type="gramEnd"/>
      <w:r>
        <w:rPr>
          <w:rFonts w:hint="eastAsia"/>
        </w:rPr>
        <w:t>反應法因所使用的抗體特異性不高，目前未被採用為精液之確認檢驗方法。由上述3個理由顯示，此陽性反應結果不具有判斷檢體是否含有精液之價值」，並進而指出85年調查局</w:t>
      </w:r>
      <w:proofErr w:type="gramStart"/>
      <w:r>
        <w:rPr>
          <w:rFonts w:hint="eastAsia"/>
        </w:rPr>
        <w:t>鑑</w:t>
      </w:r>
      <w:proofErr w:type="gramEnd"/>
      <w:r>
        <w:rPr>
          <w:rFonts w:hint="eastAsia"/>
        </w:rPr>
        <w:t>驗報告</w:t>
      </w:r>
      <w:proofErr w:type="gramStart"/>
      <w:r>
        <w:rPr>
          <w:rFonts w:hint="eastAsia"/>
        </w:rPr>
        <w:t>剪取含血液斑跡</w:t>
      </w:r>
      <w:proofErr w:type="gramEnd"/>
      <w:r>
        <w:rPr>
          <w:rFonts w:hint="eastAsia"/>
        </w:rPr>
        <w:t>，雖使用SM試劑</w:t>
      </w:r>
      <w:proofErr w:type="gramStart"/>
      <w:r>
        <w:rPr>
          <w:rFonts w:hint="eastAsia"/>
        </w:rPr>
        <w:t>精斑檢查</w:t>
      </w:r>
      <w:proofErr w:type="gramEnd"/>
      <w:r>
        <w:rPr>
          <w:rFonts w:hint="eastAsia"/>
        </w:rPr>
        <w:t>法實施檢測，然該方法對</w:t>
      </w:r>
      <w:proofErr w:type="gramStart"/>
      <w:r>
        <w:rPr>
          <w:rFonts w:hint="eastAsia"/>
        </w:rPr>
        <w:t>血斑會</w:t>
      </w:r>
      <w:proofErr w:type="gramEnd"/>
      <w:r>
        <w:rPr>
          <w:rFonts w:hint="eastAsia"/>
        </w:rPr>
        <w:t>引起交叉反應，檢驗報告未顯示有進行品質管控；</w:t>
      </w:r>
      <w:proofErr w:type="gramStart"/>
      <w:r>
        <w:rPr>
          <w:rFonts w:hint="eastAsia"/>
        </w:rPr>
        <w:t>以抗人精液</w:t>
      </w:r>
      <w:proofErr w:type="gramEnd"/>
      <w:r>
        <w:rPr>
          <w:rFonts w:hint="eastAsia"/>
        </w:rPr>
        <w:t>免疫</w:t>
      </w:r>
      <w:proofErr w:type="gramStart"/>
      <w:r>
        <w:rPr>
          <w:rFonts w:hint="eastAsia"/>
        </w:rPr>
        <w:t>沉降環</w:t>
      </w:r>
      <w:proofErr w:type="gramEnd"/>
      <w:r>
        <w:rPr>
          <w:rFonts w:hint="eastAsia"/>
        </w:rPr>
        <w:t>反應試驗法進行精液確認試驗，然此法對A型血液有偽陽性反應，檢驗報告亦未顯示有進行品質管控，且亦未檢查精子細胞，故由檢驗內容無法判斷檢體含有精液」，此有法務部法醫研究所100年3月30日</w:t>
      </w:r>
      <w:proofErr w:type="gramStart"/>
      <w:r>
        <w:rPr>
          <w:rFonts w:hint="eastAsia"/>
        </w:rPr>
        <w:t>鑑</w:t>
      </w:r>
      <w:proofErr w:type="gramEnd"/>
      <w:r>
        <w:rPr>
          <w:rFonts w:hint="eastAsia"/>
        </w:rPr>
        <w:t>識報告影本及100年8月2日法醫證字</w:t>
      </w:r>
      <w:proofErr w:type="gramStart"/>
      <w:r>
        <w:rPr>
          <w:rFonts w:hint="eastAsia"/>
        </w:rPr>
        <w:t>第1000004232號函附釋疑</w:t>
      </w:r>
      <w:proofErr w:type="gramEnd"/>
      <w:r>
        <w:rPr>
          <w:rFonts w:hint="eastAsia"/>
        </w:rPr>
        <w:t>意見可</w:t>
      </w:r>
      <w:proofErr w:type="gramStart"/>
      <w:r>
        <w:rPr>
          <w:rFonts w:hint="eastAsia"/>
        </w:rPr>
        <w:t>稽</w:t>
      </w:r>
      <w:proofErr w:type="gramEnd"/>
      <w:r w:rsidR="00C00F8E">
        <w:rPr>
          <w:rFonts w:hint="eastAsia"/>
        </w:rPr>
        <w:t>(見</w:t>
      </w:r>
      <w:proofErr w:type="gramStart"/>
      <w:r w:rsidR="00C00F8E">
        <w:rPr>
          <w:rFonts w:hint="eastAsia"/>
        </w:rPr>
        <w:t>臺</w:t>
      </w:r>
      <w:proofErr w:type="gramEnd"/>
      <w:r w:rsidR="00C00F8E">
        <w:rPr>
          <w:rFonts w:hint="eastAsia"/>
        </w:rPr>
        <w:t>北地檢署偵辦許</w:t>
      </w:r>
      <w:proofErr w:type="gramStart"/>
      <w:r w:rsidR="00156B94">
        <w:rPr>
          <w:rFonts w:hAnsi="標楷體" w:hint="eastAsia"/>
          <w:b/>
        </w:rPr>
        <w:t>Ｏ</w:t>
      </w:r>
      <w:proofErr w:type="gramEnd"/>
      <w:r w:rsidR="00C00F8E">
        <w:rPr>
          <w:rFonts w:hint="eastAsia"/>
        </w:rPr>
        <w:t>洲涉嫌殺人等案件證物</w:t>
      </w:r>
      <w:proofErr w:type="gramStart"/>
      <w:r w:rsidR="00C00F8E">
        <w:rPr>
          <w:rFonts w:hint="eastAsia"/>
        </w:rPr>
        <w:t>鑑</w:t>
      </w:r>
      <w:proofErr w:type="gramEnd"/>
      <w:r w:rsidR="00C00F8E">
        <w:rPr>
          <w:rFonts w:hint="eastAsia"/>
        </w:rPr>
        <w:t>驗報告第</w:t>
      </w:r>
      <w:r w:rsidR="00C00F8E">
        <w:t>11</w:t>
      </w:r>
      <w:r w:rsidR="00C00F8E">
        <w:rPr>
          <w:rFonts w:hint="eastAsia"/>
        </w:rPr>
        <w:t>頁、審理卷第</w:t>
      </w:r>
      <w:r w:rsidR="00C00F8E">
        <w:t>2</w:t>
      </w:r>
      <w:r w:rsidR="00C00F8E">
        <w:rPr>
          <w:rFonts w:hint="eastAsia"/>
        </w:rPr>
        <w:t>卷第</w:t>
      </w:r>
      <w:r w:rsidR="00C00F8E">
        <w:t>139</w:t>
      </w:r>
      <w:r w:rsidR="00C00F8E">
        <w:rPr>
          <w:rFonts w:hint="eastAsia"/>
        </w:rPr>
        <w:t>頁)</w:t>
      </w:r>
      <w:r>
        <w:rPr>
          <w:rFonts w:hint="eastAsia"/>
        </w:rPr>
        <w:t>。</w:t>
      </w:r>
    </w:p>
    <w:p w:rsidR="00CE314E" w:rsidRPr="00F77071" w:rsidRDefault="00CE314E" w:rsidP="00CD0D7A">
      <w:pPr>
        <w:pStyle w:val="3"/>
        <w:rPr>
          <w:b/>
        </w:rPr>
      </w:pPr>
      <w:r w:rsidRPr="00F77071">
        <w:rPr>
          <w:rFonts w:hint="eastAsia"/>
          <w:b/>
        </w:rPr>
        <w:t>本院函</w:t>
      </w:r>
      <w:proofErr w:type="gramStart"/>
      <w:r w:rsidRPr="00F77071">
        <w:rPr>
          <w:rFonts w:hint="eastAsia"/>
          <w:b/>
        </w:rPr>
        <w:t>詢</w:t>
      </w:r>
      <w:proofErr w:type="gramEnd"/>
      <w:r w:rsidRPr="00F77071">
        <w:rPr>
          <w:rFonts w:hint="eastAsia"/>
          <w:b/>
        </w:rPr>
        <w:t>各機關團體意見</w:t>
      </w:r>
    </w:p>
    <w:p w:rsidR="00CE314E" w:rsidRDefault="00CE314E" w:rsidP="00CD0D7A">
      <w:pPr>
        <w:pStyle w:val="4"/>
      </w:pPr>
      <w:r>
        <w:rPr>
          <w:rFonts w:hint="eastAsia"/>
        </w:rPr>
        <w:t>系爭編號11-1衛生紙存有被告DNA型別認定</w:t>
      </w:r>
    </w:p>
    <w:p w:rsidR="00CE314E" w:rsidRDefault="00CE314E" w:rsidP="00CD0D7A">
      <w:pPr>
        <w:pStyle w:val="5"/>
      </w:pPr>
      <w:r>
        <w:rPr>
          <w:rFonts w:hint="eastAsia"/>
        </w:rPr>
        <w:tab/>
        <w:t>法務部法醫研究所</w:t>
      </w:r>
      <w:r w:rsidR="0086764E">
        <w:rPr>
          <w:rFonts w:hint="eastAsia"/>
        </w:rPr>
        <w:t>函復</w:t>
      </w:r>
      <w:r w:rsidR="00FC5123">
        <w:rPr>
          <w:rStyle w:val="afe"/>
        </w:rPr>
        <w:footnoteReference w:id="3"/>
      </w:r>
      <w:r w:rsidR="00C00F8E">
        <w:rPr>
          <w:rFonts w:hint="eastAsia"/>
        </w:rPr>
        <w:t>，</w:t>
      </w:r>
      <w:r>
        <w:rPr>
          <w:rFonts w:hint="eastAsia"/>
        </w:rPr>
        <w:t>略</w:t>
      </w:r>
      <w:proofErr w:type="gramStart"/>
      <w:r>
        <w:rPr>
          <w:rFonts w:hint="eastAsia"/>
        </w:rPr>
        <w:t>以</w:t>
      </w:r>
      <w:proofErr w:type="gramEnd"/>
      <w:r>
        <w:rPr>
          <w:rFonts w:hint="eastAsia"/>
        </w:rPr>
        <w:t>：</w:t>
      </w:r>
    </w:p>
    <w:p w:rsidR="00CE314E" w:rsidRDefault="00CE314E" w:rsidP="00CD0D7A">
      <w:pPr>
        <w:pStyle w:val="52"/>
        <w:ind w:left="2041" w:firstLine="680"/>
      </w:pPr>
      <w:r>
        <w:rPr>
          <w:rFonts w:hint="eastAsia"/>
        </w:rPr>
        <w:t>在刑事DNA鑑定系統中，所使用的鑑定基因位，原則上，1個人在某l基因位上僅會出現1個或2個對偶基因型，因此，若當事人對偶基因型未知，1個基因位(含)以上出現2個以上對偶基因型，則很可能為數人混合。若當事人對偶基因型已知，1個基因位(含)以上出現非當事人對偶基因型時，則很可能為數人混合。若2人混合</w:t>
      </w:r>
      <w:r>
        <w:rPr>
          <w:rFonts w:hint="eastAsia"/>
        </w:rPr>
        <w:lastRenderedPageBreak/>
        <w:t>檢體時，最多出現4個對偽基因型(4個型完全不相同)，最少出現1個</w:t>
      </w:r>
      <w:proofErr w:type="gramStart"/>
      <w:r>
        <w:rPr>
          <w:rFonts w:hint="eastAsia"/>
        </w:rPr>
        <w:t>偶</w:t>
      </w:r>
      <w:proofErr w:type="gramEnd"/>
      <w:r>
        <w:rPr>
          <w:rFonts w:hint="eastAsia"/>
        </w:rPr>
        <w:t>基因型(4個型完全相同)，也可能出現2個(4個中有兩兩相同)或3個(4個中有2個相同，其餘2個不同)對偶基因型。若2人混合檢體，6個基因中出現2個基因不相符之情形，則表示存在非當事人之DNA型別，很可能混合檢體中之DNA來自其他人。設若推定2人DNA組成之混合型中，6個基因中出現2個基因不相符之情形，不應研判「呈現之DNA混合型包含被害人DNA及涉嫌人DNA之型別」。</w:t>
      </w:r>
    </w:p>
    <w:p w:rsidR="00CE314E" w:rsidRDefault="00CE314E" w:rsidP="00CD0D7A">
      <w:pPr>
        <w:pStyle w:val="5"/>
      </w:pPr>
      <w:r>
        <w:rPr>
          <w:rFonts w:hint="eastAsia"/>
        </w:rPr>
        <w:tab/>
        <w:t>內政部警政署刑事警察局</w:t>
      </w:r>
      <w:r w:rsidR="0086764E">
        <w:rPr>
          <w:rFonts w:hint="eastAsia"/>
        </w:rPr>
        <w:t>函復</w:t>
      </w:r>
      <w:r w:rsidR="00C00F8E">
        <w:rPr>
          <w:rFonts w:hint="eastAsia"/>
        </w:rPr>
        <w:t>，</w:t>
      </w:r>
      <w:r>
        <w:rPr>
          <w:rFonts w:hint="eastAsia"/>
        </w:rPr>
        <w:t>略</w:t>
      </w:r>
      <w:proofErr w:type="gramStart"/>
      <w:r>
        <w:rPr>
          <w:rFonts w:hint="eastAsia"/>
        </w:rPr>
        <w:t>以</w:t>
      </w:r>
      <w:proofErr w:type="gramEnd"/>
      <w:r>
        <w:rPr>
          <w:rFonts w:hint="eastAsia"/>
        </w:rPr>
        <w:t>：</w:t>
      </w:r>
    </w:p>
    <w:p w:rsidR="00CE314E" w:rsidRDefault="00CE314E" w:rsidP="00CD0D7A">
      <w:pPr>
        <w:pStyle w:val="52"/>
        <w:ind w:left="2041" w:firstLine="680"/>
      </w:pPr>
      <w:r>
        <w:rPr>
          <w:rFonts w:hint="eastAsia"/>
        </w:rPr>
        <w:t>85年間對於DNA混合型別</w:t>
      </w:r>
      <w:proofErr w:type="gramStart"/>
      <w:r>
        <w:rPr>
          <w:rFonts w:hint="eastAsia"/>
        </w:rPr>
        <w:t>之</w:t>
      </w:r>
      <w:proofErr w:type="gramEnd"/>
      <w:r>
        <w:rPr>
          <w:rFonts w:hint="eastAsia"/>
        </w:rPr>
        <w:t>研判，各實驗室依其專業出具鑑定意見，並無共通之標準。</w:t>
      </w:r>
    </w:p>
    <w:p w:rsidR="00CE314E" w:rsidRDefault="00CE314E" w:rsidP="00CD0D7A">
      <w:pPr>
        <w:pStyle w:val="5"/>
      </w:pPr>
      <w:r>
        <w:rPr>
          <w:rFonts w:hint="eastAsia"/>
        </w:rPr>
        <w:tab/>
        <w:t>中央警察大學</w:t>
      </w:r>
      <w:r w:rsidR="0086764E">
        <w:rPr>
          <w:rFonts w:hint="eastAsia"/>
        </w:rPr>
        <w:t>函復</w:t>
      </w:r>
      <w:r w:rsidR="00FC5123">
        <w:rPr>
          <w:rStyle w:val="afe"/>
        </w:rPr>
        <w:footnoteReference w:id="4"/>
      </w:r>
      <w:r w:rsidR="00C00F8E">
        <w:rPr>
          <w:rFonts w:hint="eastAsia"/>
        </w:rPr>
        <w:t>，</w:t>
      </w:r>
      <w:r>
        <w:rPr>
          <w:rFonts w:hint="eastAsia"/>
        </w:rPr>
        <w:t>略</w:t>
      </w:r>
      <w:proofErr w:type="gramStart"/>
      <w:r>
        <w:rPr>
          <w:rFonts w:hint="eastAsia"/>
        </w:rPr>
        <w:t>以</w:t>
      </w:r>
      <w:proofErr w:type="gramEnd"/>
      <w:r>
        <w:rPr>
          <w:rFonts w:hint="eastAsia"/>
        </w:rPr>
        <w:t>：</w:t>
      </w:r>
    </w:p>
    <w:p w:rsidR="00CE314E" w:rsidRDefault="00CE314E" w:rsidP="00CD0D7A">
      <w:pPr>
        <w:pStyle w:val="42"/>
        <w:ind w:left="1701" w:firstLine="680"/>
      </w:pPr>
      <w:r>
        <w:rPr>
          <w:rFonts w:hint="eastAsia"/>
        </w:rPr>
        <w:t>HLA-DQα與PM型檢驗方法均應用於人類DNA型別的鑑定，HLA-DQα為單一基因標記，而PM乃po1ymarker之簡稱，包含LDLR</w:t>
      </w:r>
      <w:r w:rsidR="00C00F8E">
        <w:rPr>
          <w:rFonts w:hint="eastAsia"/>
        </w:rPr>
        <w:t>、</w:t>
      </w:r>
      <w:r>
        <w:rPr>
          <w:rFonts w:hint="eastAsia"/>
        </w:rPr>
        <w:t>GYPA</w:t>
      </w:r>
      <w:r w:rsidR="00C00F8E">
        <w:rPr>
          <w:rFonts w:hint="eastAsia"/>
        </w:rPr>
        <w:t>、</w:t>
      </w:r>
      <w:r>
        <w:rPr>
          <w:rFonts w:hint="eastAsia"/>
        </w:rPr>
        <w:t>HGBB</w:t>
      </w:r>
      <w:r w:rsidR="00C00F8E">
        <w:rPr>
          <w:rFonts w:hint="eastAsia"/>
        </w:rPr>
        <w:t>、</w:t>
      </w:r>
      <w:r>
        <w:rPr>
          <w:rFonts w:hint="eastAsia"/>
        </w:rPr>
        <w:t>D7S8及GC等</w:t>
      </w:r>
      <w:r w:rsidR="00C00F8E">
        <w:rPr>
          <w:rFonts w:hint="eastAsia"/>
        </w:rPr>
        <w:t>5</w:t>
      </w:r>
      <w:r>
        <w:rPr>
          <w:rFonts w:hint="eastAsia"/>
        </w:rPr>
        <w:t>個基因標記，兩種檢驗方法均屬於「反轉點墨雜交法(</w:t>
      </w:r>
      <w:r w:rsidR="00C00F8E">
        <w:rPr>
          <w:rFonts w:hint="eastAsia"/>
        </w:rPr>
        <w:t xml:space="preserve"> </w:t>
      </w:r>
      <w:r>
        <w:rPr>
          <w:rFonts w:hint="eastAsia"/>
        </w:rPr>
        <w:t>reverse dot b1ot hybridization)」，其檢驗結果之判讀，</w:t>
      </w:r>
      <w:proofErr w:type="gramStart"/>
      <w:r>
        <w:rPr>
          <w:rFonts w:hint="eastAsia"/>
        </w:rPr>
        <w:t>均與濾膜上</w:t>
      </w:r>
      <w:proofErr w:type="gramEnd"/>
      <w:r>
        <w:rPr>
          <w:rFonts w:hint="eastAsia"/>
        </w:rPr>
        <w:t>之contro1 dot的色度進行比較以研判對偶基因型別。理論上，1個基因位若被檢測出同時具有3個以上的對偶基因型，則該檢體即有可能為混合型。</w:t>
      </w:r>
    </w:p>
    <w:p w:rsidR="00CE314E" w:rsidRDefault="00CE314E" w:rsidP="00CD0D7A">
      <w:pPr>
        <w:pStyle w:val="5"/>
      </w:pPr>
      <w:r>
        <w:rPr>
          <w:rFonts w:hint="eastAsia"/>
        </w:rPr>
        <w:tab/>
      </w:r>
      <w:r w:rsidR="00B82F75">
        <w:rPr>
          <w:rFonts w:hint="eastAsia"/>
        </w:rPr>
        <w:t>台</w:t>
      </w:r>
      <w:r>
        <w:rPr>
          <w:rFonts w:hint="eastAsia"/>
        </w:rPr>
        <w:t>灣法醫學會</w:t>
      </w:r>
      <w:r w:rsidR="0086764E">
        <w:rPr>
          <w:rFonts w:hint="eastAsia"/>
        </w:rPr>
        <w:t>函復</w:t>
      </w:r>
      <w:r w:rsidR="00FC5123">
        <w:rPr>
          <w:rStyle w:val="afe"/>
        </w:rPr>
        <w:footnoteReference w:id="5"/>
      </w:r>
      <w:r w:rsidR="00C00F8E">
        <w:rPr>
          <w:rFonts w:hint="eastAsia"/>
        </w:rPr>
        <w:t>，</w:t>
      </w:r>
      <w:r>
        <w:rPr>
          <w:rFonts w:hint="eastAsia"/>
        </w:rPr>
        <w:t>略</w:t>
      </w:r>
      <w:proofErr w:type="gramStart"/>
      <w:r>
        <w:rPr>
          <w:rFonts w:hint="eastAsia"/>
        </w:rPr>
        <w:t>以</w:t>
      </w:r>
      <w:proofErr w:type="gramEnd"/>
      <w:r>
        <w:rPr>
          <w:rFonts w:hint="eastAsia"/>
        </w:rPr>
        <w:t>：</w:t>
      </w:r>
    </w:p>
    <w:p w:rsidR="00CE314E" w:rsidRDefault="00CE314E" w:rsidP="00CD0D7A">
      <w:pPr>
        <w:pStyle w:val="52"/>
        <w:ind w:left="2041" w:firstLine="680"/>
      </w:pPr>
      <w:r>
        <w:rPr>
          <w:rFonts w:hint="eastAsia"/>
        </w:rPr>
        <w:t>有關HLA-DQα與PM檢驗方式在人別鑑定之信度</w:t>
      </w:r>
      <w:proofErr w:type="gramStart"/>
      <w:r>
        <w:rPr>
          <w:rFonts w:hint="eastAsia"/>
        </w:rPr>
        <w:t>與效度</w:t>
      </w:r>
      <w:proofErr w:type="gramEnd"/>
      <w:r>
        <w:rPr>
          <w:rFonts w:hint="eastAsia"/>
        </w:rPr>
        <w:t>部分，依比對結果為相符或不相符</w:t>
      </w:r>
      <w:r>
        <w:rPr>
          <w:rFonts w:hint="eastAsia"/>
        </w:rPr>
        <w:lastRenderedPageBreak/>
        <w:t>而不同。若比對結果各基因型別均相符，則為不能排除，此時必須計算隨機相符機率(重複率)，即在該族群中有多少人具有相同的基因型別。若隨機相符機率越低，即在該族群中具有相同的基因型別的人數越少，則研判該DNA 來自系爭對象的可靠性越高。</w:t>
      </w:r>
      <w:proofErr w:type="gramStart"/>
      <w:r>
        <w:rPr>
          <w:rFonts w:hint="eastAsia"/>
        </w:rPr>
        <w:t>反之，</w:t>
      </w:r>
      <w:proofErr w:type="gramEnd"/>
      <w:r>
        <w:rPr>
          <w:rFonts w:hint="eastAsia"/>
        </w:rPr>
        <w:t>則可靠性越低。若比對不相符，則縱使僅有1個基因型別不相符，都具有絕對排除之效力及絕對之可靠性。以HLA-DQα與PM系統鑑定</w:t>
      </w:r>
      <w:r w:rsidR="00F333F2">
        <w:rPr>
          <w:rFonts w:hint="eastAsia"/>
        </w:rPr>
        <w:t>臺灣地區</w:t>
      </w:r>
      <w:r>
        <w:rPr>
          <w:rFonts w:hint="eastAsia"/>
        </w:rPr>
        <w:t>漢人6個基因之隨機相符機率為0.0067，即1萬人中有67人具有相同型別，1,000萬人中有67,000人具有相同型別。對染色體之基因而言，1人之DNA基因型由2個對偶基因型(allele)組成，若兩者同型，則檢驗時只觀察到</w:t>
      </w:r>
      <w:r w:rsidR="002A552D">
        <w:rPr>
          <w:rFonts w:hint="eastAsia"/>
        </w:rPr>
        <w:t>1</w:t>
      </w:r>
      <w:r>
        <w:rPr>
          <w:rFonts w:hint="eastAsia"/>
        </w:rPr>
        <w:t>個對偶基因型； 若兩者不同型，則可觀察到2個對偶基因型。若觀察到超過2個對偶基因型時，則有可能為2人或2人以上之混合型。若僅為2人混合之DNA，則最多為4個不同之對偶基因型，若為3人混合之DNA，則最多為6個不同之對偶基因型，依此類推。以85年DNA鑑定水平，設若推定2人DNA組成之混合型中，6個基因中出現2個基因不相符之情形，得否即稱：「呈現之DNA混合型包含被害人DNA及涉嫌人DNA之型別」?若可，此種統計之判定方法之理論為何?又進而認定「6項血型基因型比較分析並無矛盾」之結論，是否符合DNA 鑑定之容許誤差值，誤差多少?是否</w:t>
      </w:r>
      <w:proofErr w:type="gramStart"/>
      <w:r>
        <w:rPr>
          <w:rFonts w:hint="eastAsia"/>
        </w:rPr>
        <w:t>應先究明</w:t>
      </w:r>
      <w:proofErr w:type="gramEnd"/>
      <w:r>
        <w:rPr>
          <w:rFonts w:hint="eastAsia"/>
        </w:rPr>
        <w:t>基因型別組合為何有上開差異及基因鑑定結果在同一族群之重複率等因素，始得為如上判定?</w:t>
      </w:r>
      <w:proofErr w:type="gramStart"/>
      <w:r>
        <w:rPr>
          <w:rFonts w:hint="eastAsia"/>
        </w:rPr>
        <w:t>如否</w:t>
      </w:r>
      <w:proofErr w:type="gramEnd"/>
      <w:r>
        <w:rPr>
          <w:rFonts w:hint="eastAsia"/>
        </w:rPr>
        <w:t>，其DNA理論基礎為何?在同一性之人別鑑定中，無論是傳統血清學之血型鑑定或DNA型別</w:t>
      </w:r>
      <w:proofErr w:type="gramStart"/>
      <w:r>
        <w:rPr>
          <w:rFonts w:hint="eastAsia"/>
        </w:rPr>
        <w:t>之</w:t>
      </w:r>
      <w:proofErr w:type="gramEnd"/>
      <w:r>
        <w:rPr>
          <w:rFonts w:hint="eastAsia"/>
        </w:rPr>
        <w:t>基</w:t>
      </w:r>
      <w:r>
        <w:rPr>
          <w:rFonts w:hint="eastAsia"/>
        </w:rPr>
        <w:lastRenderedPageBreak/>
        <w:t>因鑑定，無論是</w:t>
      </w:r>
      <w:r w:rsidR="00BD3736">
        <w:rPr>
          <w:rFonts w:hint="eastAsia"/>
        </w:rPr>
        <w:t>西元</w:t>
      </w:r>
      <w:r>
        <w:rPr>
          <w:rFonts w:hint="eastAsia"/>
        </w:rPr>
        <w:t>1901年ABO血型問世後或85年或目前之</w:t>
      </w:r>
      <w:proofErr w:type="gramStart"/>
      <w:r>
        <w:rPr>
          <w:rFonts w:hint="eastAsia"/>
        </w:rPr>
        <w:t>標準均為混合</w:t>
      </w:r>
      <w:proofErr w:type="gramEnd"/>
      <w:r>
        <w:rPr>
          <w:rFonts w:hint="eastAsia"/>
        </w:rPr>
        <w:t>人之所有血型或DNA型別相加必須與混合型相符，若有1個基因不相符，則為不相符。設若推定2人DNA組成之混合型中，6個基因中出現2個基因不相符之情形，在被害人型別為已知下，即應排除混合型包含涉嫌人之DNA。</w:t>
      </w:r>
      <w:proofErr w:type="gramStart"/>
      <w:r>
        <w:rPr>
          <w:rFonts w:hint="eastAsia"/>
        </w:rPr>
        <w:t>反之，</w:t>
      </w:r>
      <w:proofErr w:type="gramEnd"/>
      <w:r>
        <w:rPr>
          <w:rFonts w:hint="eastAsia"/>
        </w:rPr>
        <w:t>若稱：「呈現之DNA混合型包含被害人DNA及涉嫌人DNA之型別」依此文義顯示，此DNA混合型僅包含被害人DNA及涉嫌人DNA兩人之型別，將此兩人之DNA型別相加後的型別與混合型相比，在6個基因中出現2個基因不相符之情形，即表示此為錯誤之判定。在6個基因中即出現2個基因不相符之情形，若進而認定「六項血型基因型比較分析並無矛盾」之結論，更是謬誤之研判。DNA鑑定研判之誤差問題，係在DNA型別完全相符之下，研判混合型包含嫌疑人之推論才有誤差問題可言。若在6個基因中即出現2個基因不相符之情形，此種不相符之判定縱使僅有1個基因不相符，都必須排除，沒有誤差問題。而人別鑑定時，只有在DNA型別比對完全相符下，才有重複率問題。亦即當研判DNA型別相符時，應提出相符之重複率，供法庭在判斷是否真為嫌疑人DNA之依據。因必須讓法庭知道此種相符是2,300萬人中只出現1人，或2,300萬人中所有人的型別都相同等等。另若與DNA 混合型不相符，即可直接排除，不須計算重複率。而若稱：「呈現之DNA混合型包含被害人DNA及涉嫌人DNA之型別」，則應提出相符之重複率。若做相符之研判結果卻未提出相符之重複率，又出現DNA混合型不相符，且未敘述DNA</w:t>
      </w:r>
      <w:r>
        <w:rPr>
          <w:rFonts w:hint="eastAsia"/>
        </w:rPr>
        <w:lastRenderedPageBreak/>
        <w:t>型別組合差異之原因，似不符合公正誠實之鑑定要求。</w:t>
      </w:r>
    </w:p>
    <w:p w:rsidR="00CE314E" w:rsidRPr="00377B49" w:rsidRDefault="00CE314E" w:rsidP="00CD0D7A">
      <w:pPr>
        <w:pStyle w:val="4"/>
        <w:rPr>
          <w:b/>
        </w:rPr>
      </w:pPr>
      <w:proofErr w:type="gramStart"/>
      <w:r w:rsidRPr="00377B49">
        <w:rPr>
          <w:rFonts w:hint="eastAsia"/>
          <w:b/>
        </w:rPr>
        <w:t>精斑檢查</w:t>
      </w:r>
      <w:proofErr w:type="gramEnd"/>
      <w:r w:rsidRPr="00377B49">
        <w:rPr>
          <w:rFonts w:hint="eastAsia"/>
          <w:b/>
        </w:rPr>
        <w:t>部分</w:t>
      </w:r>
    </w:p>
    <w:p w:rsidR="00CE314E" w:rsidRDefault="00CE314E" w:rsidP="00F016B5">
      <w:pPr>
        <w:pStyle w:val="5"/>
      </w:pPr>
      <w:r>
        <w:rPr>
          <w:rFonts w:hint="eastAsia"/>
        </w:rPr>
        <w:tab/>
        <w:t>法務部法醫研究所</w:t>
      </w:r>
      <w:r w:rsidR="00FC5123">
        <w:rPr>
          <w:rStyle w:val="afe"/>
        </w:rPr>
        <w:footnoteReference w:id="6"/>
      </w:r>
      <w:r w:rsidR="0086764E">
        <w:rPr>
          <w:rFonts w:hint="eastAsia"/>
        </w:rPr>
        <w:t>函復</w:t>
      </w:r>
      <w:r w:rsidR="00BD3736">
        <w:rPr>
          <w:rFonts w:hint="eastAsia"/>
        </w:rPr>
        <w:t>，</w:t>
      </w:r>
      <w:r>
        <w:rPr>
          <w:rFonts w:hint="eastAsia"/>
        </w:rPr>
        <w:t>略</w:t>
      </w:r>
      <w:proofErr w:type="gramStart"/>
      <w:r>
        <w:rPr>
          <w:rFonts w:hint="eastAsia"/>
        </w:rPr>
        <w:t>以</w:t>
      </w:r>
      <w:proofErr w:type="gramEnd"/>
      <w:r>
        <w:rPr>
          <w:rFonts w:hint="eastAsia"/>
        </w:rPr>
        <w:t>：</w:t>
      </w:r>
    </w:p>
    <w:p w:rsidR="00CE314E" w:rsidRDefault="00CE314E" w:rsidP="00F016B5">
      <w:pPr>
        <w:pStyle w:val="52"/>
        <w:ind w:left="2041" w:firstLine="680"/>
      </w:pPr>
      <w:r>
        <w:rPr>
          <w:rFonts w:hint="eastAsia"/>
        </w:rPr>
        <w:t>「酸性磷酸酵素檢測法」為精液斑初步檢測法，檢測原理為酸性磷酸酵素(ACP)水解磷酸</w:t>
      </w:r>
      <w:proofErr w:type="gramStart"/>
      <w:r>
        <w:rPr>
          <w:rFonts w:hint="eastAsia"/>
        </w:rPr>
        <w:t>脂受質</w:t>
      </w:r>
      <w:proofErr w:type="gramEnd"/>
      <w:r>
        <w:rPr>
          <w:rFonts w:hint="eastAsia"/>
        </w:rPr>
        <w:t>，其水解產物與試劑形成其有顏色的產物，以檢測酸性磷酸酵素，「SM試劑</w:t>
      </w:r>
      <w:proofErr w:type="gramStart"/>
      <w:r>
        <w:rPr>
          <w:rFonts w:hint="eastAsia"/>
        </w:rPr>
        <w:t>精斑檢查</w:t>
      </w:r>
      <w:proofErr w:type="gramEnd"/>
      <w:r>
        <w:rPr>
          <w:rFonts w:hint="eastAsia"/>
        </w:rPr>
        <w:t>法」為精液斑初步檢測法，其檢測原理與上述「酸性磷酸酵素檢測法」相似，「</w:t>
      </w:r>
      <w:proofErr w:type="gramStart"/>
      <w:r>
        <w:rPr>
          <w:rFonts w:hint="eastAsia"/>
        </w:rPr>
        <w:t>抗人血紅素</w:t>
      </w:r>
      <w:proofErr w:type="gramEnd"/>
      <w:r>
        <w:rPr>
          <w:rFonts w:hint="eastAsia"/>
        </w:rPr>
        <w:t>血清免疫</w:t>
      </w:r>
      <w:proofErr w:type="gramStart"/>
      <w:r>
        <w:rPr>
          <w:rFonts w:hint="eastAsia"/>
        </w:rPr>
        <w:t>沉</w:t>
      </w:r>
      <w:proofErr w:type="gramEnd"/>
      <w:r>
        <w:rPr>
          <w:rFonts w:hint="eastAsia"/>
        </w:rPr>
        <w:t>降反應試驗法」為人類血跡檢測法，檢測原理</w:t>
      </w:r>
      <w:proofErr w:type="gramStart"/>
      <w:r>
        <w:rPr>
          <w:rFonts w:hint="eastAsia"/>
        </w:rPr>
        <w:t>為抗人血紅素</w:t>
      </w:r>
      <w:proofErr w:type="gramEnd"/>
      <w:r>
        <w:rPr>
          <w:rFonts w:hint="eastAsia"/>
        </w:rPr>
        <w:t>血清(抗體)與人的血紅素(抗原)反應、會形成錯合物，以檢測人類血跡，法醫所係於87年7月成立，因此並無當時(85年)上述檢驗方式之信度</w:t>
      </w:r>
      <w:proofErr w:type="gramStart"/>
      <w:r>
        <w:rPr>
          <w:rFonts w:hint="eastAsia"/>
        </w:rPr>
        <w:t>與效度</w:t>
      </w:r>
      <w:proofErr w:type="gramEnd"/>
      <w:r>
        <w:rPr>
          <w:rFonts w:hint="eastAsia"/>
        </w:rPr>
        <w:t>評估資料，亦無檢驗方式之共通標準作業程序。</w:t>
      </w:r>
    </w:p>
    <w:p w:rsidR="00CE314E" w:rsidRDefault="00CE314E" w:rsidP="00F016B5">
      <w:pPr>
        <w:pStyle w:val="5"/>
      </w:pPr>
      <w:r>
        <w:rPr>
          <w:rFonts w:hint="eastAsia"/>
        </w:rPr>
        <w:tab/>
        <w:t>內政部警政署刑事警察局</w:t>
      </w:r>
      <w:r w:rsidR="00FC5123">
        <w:rPr>
          <w:rStyle w:val="afe"/>
        </w:rPr>
        <w:footnoteReference w:id="7"/>
      </w:r>
      <w:r w:rsidR="002A552D">
        <w:rPr>
          <w:rFonts w:hint="eastAsia"/>
        </w:rPr>
        <w:t>函復</w:t>
      </w:r>
      <w:r w:rsidR="00BD3736">
        <w:rPr>
          <w:rFonts w:hint="eastAsia"/>
        </w:rPr>
        <w:t>，</w:t>
      </w:r>
      <w:r>
        <w:rPr>
          <w:rFonts w:hint="eastAsia"/>
        </w:rPr>
        <w:t>略</w:t>
      </w:r>
      <w:proofErr w:type="gramStart"/>
      <w:r>
        <w:rPr>
          <w:rFonts w:hint="eastAsia"/>
        </w:rPr>
        <w:t>以</w:t>
      </w:r>
      <w:proofErr w:type="gramEnd"/>
      <w:r>
        <w:rPr>
          <w:rFonts w:hint="eastAsia"/>
        </w:rPr>
        <w:t>：</w:t>
      </w:r>
    </w:p>
    <w:p w:rsidR="00CE314E" w:rsidRDefault="00CE314E" w:rsidP="00491D5A">
      <w:pPr>
        <w:pStyle w:val="52"/>
        <w:ind w:left="2041" w:firstLine="680"/>
      </w:pPr>
      <w:r>
        <w:rPr>
          <w:rFonts w:hint="eastAsia"/>
        </w:rPr>
        <w:t>刑事局85年間使用酸性磷酸酵素法做為可疑精液斑之初步檢測及</w:t>
      </w:r>
      <w:proofErr w:type="gramStart"/>
      <w:r>
        <w:rPr>
          <w:rFonts w:hint="eastAsia"/>
        </w:rPr>
        <w:t>篩選斑跡之</w:t>
      </w:r>
      <w:proofErr w:type="gramEnd"/>
      <w:r>
        <w:rPr>
          <w:rFonts w:hint="eastAsia"/>
        </w:rPr>
        <w:t>方法，因酸性磷酸酵素為精液中含量極高之蛋白質，刑事鑑定實驗室常以檢測該酵素之活性用以篩檢</w:t>
      </w:r>
      <w:proofErr w:type="gramStart"/>
      <w:r>
        <w:rPr>
          <w:rFonts w:hint="eastAsia"/>
        </w:rPr>
        <w:t>精液斑跡可能</w:t>
      </w:r>
      <w:proofErr w:type="gramEnd"/>
      <w:r>
        <w:rPr>
          <w:rFonts w:hint="eastAsia"/>
        </w:rPr>
        <w:t>存在之處，惟該檢測法非精液斑之確認性試驗。除酸性磷酸酵素法外，85年對於精液類檢體，另使用顯微鏡檢測法做為精液檢測之確認性試驗，若檢體以顯微鏡檢測法發現含有精子細胞，則確認含有精液。本局未使用SM試劑</w:t>
      </w:r>
      <w:proofErr w:type="gramStart"/>
      <w:r>
        <w:rPr>
          <w:rFonts w:hint="eastAsia"/>
        </w:rPr>
        <w:t>精斑檢測</w:t>
      </w:r>
      <w:proofErr w:type="gramEnd"/>
      <w:r>
        <w:rPr>
          <w:rFonts w:hint="eastAsia"/>
        </w:rPr>
        <w:t>法</w:t>
      </w:r>
      <w:proofErr w:type="gramStart"/>
      <w:r>
        <w:rPr>
          <w:rFonts w:hint="eastAsia"/>
        </w:rPr>
        <w:t>及抗人血紅素</w:t>
      </w:r>
      <w:proofErr w:type="gramEnd"/>
      <w:r>
        <w:rPr>
          <w:rFonts w:hint="eastAsia"/>
        </w:rPr>
        <w:t>血清免疫</w:t>
      </w:r>
      <w:proofErr w:type="gramStart"/>
      <w:r>
        <w:rPr>
          <w:rFonts w:hint="eastAsia"/>
        </w:rPr>
        <w:t>沉</w:t>
      </w:r>
      <w:proofErr w:type="gramEnd"/>
      <w:r>
        <w:rPr>
          <w:rFonts w:hint="eastAsia"/>
        </w:rPr>
        <w:t>降</w:t>
      </w:r>
      <w:r>
        <w:rPr>
          <w:rFonts w:hint="eastAsia"/>
        </w:rPr>
        <w:lastRenderedPageBreak/>
        <w:t>反應試驗法進行精液檢測。目前國內各實驗室係自行引進國際相關鑑定方法，並無共通之標準作業程序。</w:t>
      </w:r>
    </w:p>
    <w:p w:rsidR="00CE314E" w:rsidRDefault="00CE314E" w:rsidP="00F016B5">
      <w:pPr>
        <w:pStyle w:val="5"/>
      </w:pPr>
      <w:r>
        <w:rPr>
          <w:rFonts w:hint="eastAsia"/>
        </w:rPr>
        <w:tab/>
        <w:t>中央警察大學</w:t>
      </w:r>
      <w:r w:rsidR="0086764E">
        <w:rPr>
          <w:rFonts w:hint="eastAsia"/>
        </w:rPr>
        <w:t>函復</w:t>
      </w:r>
      <w:r w:rsidR="00FC5123">
        <w:rPr>
          <w:rStyle w:val="afe"/>
        </w:rPr>
        <w:footnoteReference w:id="8"/>
      </w:r>
      <w:r w:rsidR="00BD3736">
        <w:rPr>
          <w:rFonts w:hint="eastAsia"/>
        </w:rPr>
        <w:t>，</w:t>
      </w:r>
      <w:r>
        <w:rPr>
          <w:rFonts w:hint="eastAsia"/>
        </w:rPr>
        <w:t>略</w:t>
      </w:r>
      <w:proofErr w:type="gramStart"/>
      <w:r>
        <w:rPr>
          <w:rFonts w:hint="eastAsia"/>
        </w:rPr>
        <w:t>以</w:t>
      </w:r>
      <w:proofErr w:type="gramEnd"/>
      <w:r>
        <w:rPr>
          <w:rFonts w:hint="eastAsia"/>
        </w:rPr>
        <w:t>：</w:t>
      </w:r>
    </w:p>
    <w:p w:rsidR="00CE314E" w:rsidRDefault="00CE314E" w:rsidP="00491D5A">
      <w:pPr>
        <w:pStyle w:val="52"/>
        <w:ind w:left="2041" w:firstLine="680"/>
      </w:pPr>
      <w:r>
        <w:rPr>
          <w:rFonts w:hint="eastAsia"/>
        </w:rPr>
        <w:t>「SM試劑</w:t>
      </w:r>
      <w:proofErr w:type="gramStart"/>
      <w:r>
        <w:rPr>
          <w:rFonts w:hint="eastAsia"/>
        </w:rPr>
        <w:t>精斑檢查</w:t>
      </w:r>
      <w:proofErr w:type="gramEnd"/>
      <w:r>
        <w:rPr>
          <w:rFonts w:hint="eastAsia"/>
        </w:rPr>
        <w:t>法」與「酸性磷酸酵素檢查法」兩種檢測法</w:t>
      </w:r>
      <w:proofErr w:type="gramStart"/>
      <w:r>
        <w:rPr>
          <w:rFonts w:hint="eastAsia"/>
        </w:rPr>
        <w:t>均為檢測待測物</w:t>
      </w:r>
      <w:proofErr w:type="gramEnd"/>
      <w:r>
        <w:rPr>
          <w:rFonts w:hint="eastAsia"/>
        </w:rPr>
        <w:t>中是否具有『酸性磷酸酵素』活性的方法，刑事實驗室經常以此方法進行檢體中是否含有精液之初步試驗研判，由於在其他物種的生物檢體或人類其他體液中也可能含有此酵素，故此方法無法確認檢體中含有精液。本校並未進行此方法之信度</w:t>
      </w:r>
      <w:proofErr w:type="gramStart"/>
      <w:r>
        <w:rPr>
          <w:rFonts w:hint="eastAsia"/>
        </w:rPr>
        <w:t>與效度</w:t>
      </w:r>
      <w:proofErr w:type="gramEnd"/>
      <w:r>
        <w:rPr>
          <w:rFonts w:hint="eastAsia"/>
        </w:rPr>
        <w:t>評估，「</w:t>
      </w:r>
      <w:proofErr w:type="gramStart"/>
      <w:r>
        <w:rPr>
          <w:rFonts w:hint="eastAsia"/>
        </w:rPr>
        <w:t>抗人血紅素</w:t>
      </w:r>
      <w:proofErr w:type="gramEnd"/>
      <w:r>
        <w:rPr>
          <w:rFonts w:hint="eastAsia"/>
        </w:rPr>
        <w:t>血清免疫</w:t>
      </w:r>
      <w:proofErr w:type="gramStart"/>
      <w:r>
        <w:rPr>
          <w:rFonts w:hint="eastAsia"/>
        </w:rPr>
        <w:t>沉</w:t>
      </w:r>
      <w:proofErr w:type="gramEnd"/>
      <w:r>
        <w:rPr>
          <w:rFonts w:hint="eastAsia"/>
        </w:rPr>
        <w:t>降反應試驗法」為一種免疫分析試驗，該方法可檢測檢體中是否含有人類血紅素，刑事實驗室可應用於確認檢體中含有人的血跡。本校並未進行此方法之信度</w:t>
      </w:r>
      <w:proofErr w:type="gramStart"/>
      <w:r>
        <w:rPr>
          <w:rFonts w:hint="eastAsia"/>
        </w:rPr>
        <w:t>與效度</w:t>
      </w:r>
      <w:proofErr w:type="gramEnd"/>
      <w:r>
        <w:rPr>
          <w:rFonts w:hint="eastAsia"/>
        </w:rPr>
        <w:t>評估，因此，無法得知其信度</w:t>
      </w:r>
      <w:proofErr w:type="gramStart"/>
      <w:r>
        <w:rPr>
          <w:rFonts w:hint="eastAsia"/>
        </w:rPr>
        <w:t>與效度</w:t>
      </w:r>
      <w:proofErr w:type="gramEnd"/>
      <w:r>
        <w:rPr>
          <w:rFonts w:hint="eastAsia"/>
        </w:rPr>
        <w:t>為何。</w:t>
      </w:r>
    </w:p>
    <w:p w:rsidR="00CE314E" w:rsidRDefault="00CE314E" w:rsidP="00491D5A">
      <w:pPr>
        <w:pStyle w:val="5"/>
      </w:pPr>
      <w:r>
        <w:rPr>
          <w:rFonts w:hint="eastAsia"/>
        </w:rPr>
        <w:tab/>
      </w:r>
      <w:r w:rsidR="006A086F">
        <w:rPr>
          <w:rFonts w:hint="eastAsia"/>
        </w:rPr>
        <w:t>台灣法醫學會</w:t>
      </w:r>
      <w:r w:rsidR="0086764E">
        <w:rPr>
          <w:rFonts w:hint="eastAsia"/>
        </w:rPr>
        <w:t>函復</w:t>
      </w:r>
      <w:r w:rsidR="00FC5123">
        <w:rPr>
          <w:rStyle w:val="afe"/>
        </w:rPr>
        <w:footnoteReference w:id="9"/>
      </w:r>
      <w:r w:rsidR="00BD3736">
        <w:rPr>
          <w:rFonts w:hint="eastAsia"/>
        </w:rPr>
        <w:t>，</w:t>
      </w:r>
      <w:r>
        <w:rPr>
          <w:rFonts w:hint="eastAsia"/>
        </w:rPr>
        <w:t>略</w:t>
      </w:r>
      <w:proofErr w:type="gramStart"/>
      <w:r>
        <w:rPr>
          <w:rFonts w:hint="eastAsia"/>
        </w:rPr>
        <w:t>以</w:t>
      </w:r>
      <w:proofErr w:type="gramEnd"/>
      <w:r>
        <w:rPr>
          <w:rFonts w:hint="eastAsia"/>
        </w:rPr>
        <w:t>：</w:t>
      </w:r>
    </w:p>
    <w:p w:rsidR="00CE314E" w:rsidRDefault="00CE314E" w:rsidP="00BD3736">
      <w:pPr>
        <w:pStyle w:val="52"/>
        <w:ind w:left="2041" w:firstLine="680"/>
      </w:pPr>
      <w:r>
        <w:t>SM</w:t>
      </w:r>
      <w:r>
        <w:rPr>
          <w:rFonts w:hint="eastAsia"/>
        </w:rPr>
        <w:t>試劑</w:t>
      </w:r>
      <w:proofErr w:type="gramStart"/>
      <w:r>
        <w:rPr>
          <w:rFonts w:hint="eastAsia"/>
        </w:rPr>
        <w:t>精斑檢查</w:t>
      </w:r>
      <w:proofErr w:type="gramEnd"/>
      <w:r>
        <w:rPr>
          <w:rFonts w:hint="eastAsia"/>
        </w:rPr>
        <w:t>法檢驗酸性磷酸酶</w:t>
      </w:r>
      <w:r>
        <w:t>(acid phosphatase)</w:t>
      </w:r>
      <w:r>
        <w:rPr>
          <w:rFonts w:hint="eastAsia"/>
        </w:rPr>
        <w:t>。</w:t>
      </w:r>
      <w:r w:rsidR="00BD3736">
        <w:rPr>
          <w:rFonts w:hint="eastAsia"/>
        </w:rPr>
        <w:t>西元</w:t>
      </w:r>
      <w:r>
        <w:t>1949</w:t>
      </w:r>
      <w:r>
        <w:rPr>
          <w:rFonts w:hint="eastAsia"/>
        </w:rPr>
        <w:t>年由</w:t>
      </w:r>
      <w:r>
        <w:t>Se1igman</w:t>
      </w:r>
      <w:r>
        <w:rPr>
          <w:rFonts w:hint="eastAsia"/>
        </w:rPr>
        <w:t>與</w:t>
      </w:r>
      <w:r>
        <w:t>Manheimer</w:t>
      </w:r>
      <w:r>
        <w:rPr>
          <w:rFonts w:hint="eastAsia"/>
        </w:rPr>
        <w:t>提出，利用</w:t>
      </w:r>
      <w:r>
        <w:t>naphthy1</w:t>
      </w:r>
      <w:r w:rsidR="00BD3736">
        <w:rPr>
          <w:rFonts w:hint="eastAsia"/>
        </w:rPr>
        <w:t xml:space="preserve"> </w:t>
      </w:r>
      <w:r>
        <w:t>phosphate</w:t>
      </w:r>
      <w:proofErr w:type="gramStart"/>
      <w:r>
        <w:rPr>
          <w:rFonts w:hint="eastAsia"/>
        </w:rPr>
        <w:t>為受質</w:t>
      </w:r>
      <w:proofErr w:type="gramEnd"/>
      <w:r>
        <w:rPr>
          <w:rFonts w:hint="eastAsia"/>
        </w:rPr>
        <w:t>，在酸性磷酸酶之催化反應下，快速釋出</w:t>
      </w:r>
      <w:r>
        <w:t>naphtho1</w:t>
      </w:r>
      <w:r>
        <w:rPr>
          <w:rFonts w:hint="eastAsia"/>
        </w:rPr>
        <w:t>，</w:t>
      </w:r>
      <w:r>
        <w:t>naphthol</w:t>
      </w:r>
      <w:r>
        <w:rPr>
          <w:rFonts w:hint="eastAsia"/>
        </w:rPr>
        <w:t>再與</w:t>
      </w:r>
      <w:r>
        <w:t>diazonium</w:t>
      </w:r>
      <w:r>
        <w:rPr>
          <w:rFonts w:hint="eastAsia"/>
        </w:rPr>
        <w:t>反應將產生不溶性之紫紅色沉澱物。由於精液中含有高濃度之酸性磷酸酶，因此，檢驗可疑斑痕中的酸性磷酸酶，可推測可疑斑痕是否含精液。然女性陰道分泌物、尿液、血清、血液、唾液、汗</w:t>
      </w:r>
      <w:r>
        <w:rPr>
          <w:rFonts w:hint="eastAsia"/>
        </w:rPr>
        <w:lastRenderedPageBreak/>
        <w:t>液、膿、鼻涕、胃液、糞便，及許多食物與果汁都含有微量之酸性磷酸酶，因此本法只能作為精液斑痕檢驗之初步篩檢用，不能確認精液斑跡。</w:t>
      </w:r>
      <w:proofErr w:type="gramStart"/>
      <w:r>
        <w:rPr>
          <w:rFonts w:hint="eastAsia"/>
        </w:rPr>
        <w:t>抗人血紅素</w:t>
      </w:r>
      <w:proofErr w:type="gramEnd"/>
      <w:r>
        <w:rPr>
          <w:rFonts w:hint="eastAsia"/>
        </w:rPr>
        <w:t>血清免疫</w:t>
      </w:r>
      <w:proofErr w:type="gramStart"/>
      <w:r>
        <w:rPr>
          <w:rFonts w:hint="eastAsia"/>
        </w:rPr>
        <w:t>沉</w:t>
      </w:r>
      <w:proofErr w:type="gramEnd"/>
      <w:r>
        <w:rPr>
          <w:rFonts w:hint="eastAsia"/>
        </w:rPr>
        <w:t>降反應試驗法係檢驗人類血紅素，</w:t>
      </w:r>
      <w:r w:rsidR="00430FE7">
        <w:rPr>
          <w:rFonts w:hint="eastAsia"/>
        </w:rPr>
        <w:t>西元</w:t>
      </w:r>
      <w:r>
        <w:rPr>
          <w:rFonts w:hint="eastAsia"/>
        </w:rPr>
        <w:t>1962年由Fiori與Marigo提出，以人類血紅素注射至動物體內，符其免疫反應形成抗體後，即可</w:t>
      </w:r>
      <w:proofErr w:type="gramStart"/>
      <w:r>
        <w:rPr>
          <w:rFonts w:hint="eastAsia"/>
        </w:rPr>
        <w:t>取得抗人血紅素</w:t>
      </w:r>
      <w:proofErr w:type="gramEnd"/>
      <w:r>
        <w:rPr>
          <w:rFonts w:hint="eastAsia"/>
        </w:rPr>
        <w:t>抗體，</w:t>
      </w:r>
      <w:proofErr w:type="gramStart"/>
      <w:r>
        <w:rPr>
          <w:rFonts w:hint="eastAsia"/>
        </w:rPr>
        <w:t>亦即抗人血紅素</w:t>
      </w:r>
      <w:proofErr w:type="gramEnd"/>
      <w:r>
        <w:rPr>
          <w:rFonts w:hint="eastAsia"/>
        </w:rPr>
        <w:t>血清。檢驗可疑斑痕是否為人血時，取可疑斑痕之萃取物(抗原)</w:t>
      </w:r>
      <w:proofErr w:type="gramStart"/>
      <w:r>
        <w:rPr>
          <w:rFonts w:hint="eastAsia"/>
        </w:rPr>
        <w:t>與抗人血紅素</w:t>
      </w:r>
      <w:proofErr w:type="gramEnd"/>
      <w:r>
        <w:rPr>
          <w:rFonts w:hint="eastAsia"/>
        </w:rPr>
        <w:t>血清(抗體)進行免疫反應，若萃取物含有人血，則反應將產生抗原與抗體結合之沉澱物，檢驗可疑斑痕是否含有人血，並非檢驗精液。85年間常用確認精液跡證檢驗之方法為顯微鏡檢查法，以此法檢驗精子細胞。</w:t>
      </w:r>
      <w:r w:rsidR="00430FE7">
        <w:rPr>
          <w:rFonts w:hint="eastAsia"/>
        </w:rPr>
        <w:t>西元</w:t>
      </w:r>
      <w:r>
        <w:rPr>
          <w:rFonts w:hint="eastAsia"/>
        </w:rPr>
        <w:t>1839年由Bayard提出，其後許多染色試劑陸續被開發出來。此法將可疑斑痕萃取物做成抹片，經染色程序將精子與女性陰道脫落之上皮細胞分別染上不同顏色，再以顯微鏡觀察判定。此法為確認精液最可靠之方法。目前政府並無</w:t>
      </w:r>
      <w:r w:rsidR="002A552D">
        <w:rPr>
          <w:rFonts w:hint="eastAsia"/>
        </w:rPr>
        <w:t>訂定</w:t>
      </w:r>
      <w:r>
        <w:rPr>
          <w:rFonts w:hint="eastAsia"/>
        </w:rPr>
        <w:t>共通之標準作業程序，但實驗室提供</w:t>
      </w:r>
      <w:proofErr w:type="gramStart"/>
      <w:r>
        <w:rPr>
          <w:rFonts w:hint="eastAsia"/>
        </w:rPr>
        <w:t>精斑檢查</w:t>
      </w:r>
      <w:proofErr w:type="gramEnd"/>
      <w:r>
        <w:rPr>
          <w:rFonts w:hint="eastAsia"/>
        </w:rPr>
        <w:t>項目必須自訂標準作業程序。</w:t>
      </w:r>
    </w:p>
    <w:p w:rsidR="00CE314E" w:rsidRPr="00377B49" w:rsidRDefault="00CE314E" w:rsidP="00491D5A">
      <w:pPr>
        <w:pStyle w:val="3"/>
        <w:rPr>
          <w:b/>
        </w:rPr>
      </w:pPr>
      <w:r w:rsidRPr="00377B49">
        <w:rPr>
          <w:rFonts w:hint="eastAsia"/>
          <w:b/>
        </w:rPr>
        <w:t>本院諮詢學者見解</w:t>
      </w:r>
    </w:p>
    <w:p w:rsidR="00CE314E" w:rsidRDefault="00CE314E" w:rsidP="00491D5A">
      <w:pPr>
        <w:pStyle w:val="4"/>
      </w:pPr>
      <w:r>
        <w:rPr>
          <w:rFonts w:hint="eastAsia"/>
        </w:rPr>
        <w:t>DNA型別</w:t>
      </w:r>
    </w:p>
    <w:p w:rsidR="00CE314E" w:rsidRDefault="00CE314E" w:rsidP="00491D5A">
      <w:pPr>
        <w:pStyle w:val="5"/>
      </w:pPr>
      <w:r>
        <w:rPr>
          <w:rFonts w:hint="eastAsia"/>
        </w:rPr>
        <w:tab/>
        <w:t>謝幸媚教授</w:t>
      </w:r>
      <w:r w:rsidR="00491D5A">
        <w:rPr>
          <w:rFonts w:ascii="新細明體" w:eastAsia="新細明體" w:hAnsi="新細明體" w:hint="eastAsia"/>
        </w:rPr>
        <w:t>：</w:t>
      </w:r>
    </w:p>
    <w:p w:rsidR="00CE314E" w:rsidRDefault="00CE314E" w:rsidP="00491D5A">
      <w:pPr>
        <w:pStyle w:val="52"/>
        <w:ind w:left="2041" w:firstLine="680"/>
      </w:pPr>
      <w:r>
        <w:rPr>
          <w:rFonts w:hint="eastAsia"/>
        </w:rPr>
        <w:t>HLA-DQα與PM的DNA型別檢驗方式，國外文獻針對混合型檢體在</w:t>
      </w:r>
      <w:proofErr w:type="gramStart"/>
      <w:r>
        <w:rPr>
          <w:rFonts w:hint="eastAsia"/>
        </w:rPr>
        <w:t>判讀上要</w:t>
      </w:r>
      <w:proofErr w:type="gramEnd"/>
      <w:r>
        <w:rPr>
          <w:rFonts w:hint="eastAsia"/>
        </w:rPr>
        <w:t>比較小心，受限於混合型檢體的混合比例，量少的在檢測結果中會有檢測不出的可能性。早期使用的這2個鑑定方法，都是需要鑑定人用眼力去觀察試劑</w:t>
      </w:r>
      <w:proofErr w:type="gramStart"/>
      <w:r>
        <w:rPr>
          <w:rFonts w:hint="eastAsia"/>
        </w:rPr>
        <w:t>有無呈色</w:t>
      </w:r>
      <w:proofErr w:type="gramEnd"/>
      <w:r>
        <w:rPr>
          <w:rFonts w:hint="eastAsia"/>
        </w:rPr>
        <w:t>來判讀結果，而目前的方法都是用機器</w:t>
      </w:r>
      <w:r>
        <w:rPr>
          <w:rFonts w:hint="eastAsia"/>
        </w:rPr>
        <w:lastRenderedPageBreak/>
        <w:t>配合電腦軟體來判讀結果。證物11-1調查局所驗出之型別出現之可能性，若是指單一個人的型可否出現</w:t>
      </w:r>
      <w:proofErr w:type="gramStart"/>
      <w:r>
        <w:rPr>
          <w:rFonts w:hint="eastAsia"/>
        </w:rPr>
        <w:t>上開型別</w:t>
      </w:r>
      <w:proofErr w:type="gramEnd"/>
      <w:r>
        <w:rPr>
          <w:rFonts w:hint="eastAsia"/>
        </w:rPr>
        <w:t>，理論上應該是不會，因為理論上在1個基因位1個人最多只可能有2個型別，除非染色體發生突變，才有可能個</w:t>
      </w:r>
      <w:r w:rsidR="004D11DC">
        <w:rPr>
          <w:rFonts w:hint="eastAsia"/>
        </w:rPr>
        <w:t>1</w:t>
      </w:r>
      <w:r>
        <w:rPr>
          <w:rFonts w:hint="eastAsia"/>
        </w:rPr>
        <w:t>基因位出現3個型別，而同時在這兩</w:t>
      </w:r>
      <w:proofErr w:type="gramStart"/>
      <w:r>
        <w:rPr>
          <w:rFonts w:hint="eastAsia"/>
        </w:rPr>
        <w:t>個</w:t>
      </w:r>
      <w:proofErr w:type="gramEnd"/>
      <w:r>
        <w:rPr>
          <w:rFonts w:hint="eastAsia"/>
        </w:rPr>
        <w:t>基因位都有突變是發生在單一個人的機率非常的低。刑事檢體DNA鑑定的結果，必須要配合其他偵查的結果一起研判。1個人同1個基因位最多就是2個型，每一個單獨的型叫做對偶基因型，同一</w:t>
      </w:r>
      <w:proofErr w:type="gramStart"/>
      <w:r>
        <w:rPr>
          <w:rFonts w:hint="eastAsia"/>
        </w:rPr>
        <w:t>個</w:t>
      </w:r>
      <w:proofErr w:type="gramEnd"/>
      <w:r>
        <w:rPr>
          <w:rFonts w:hint="eastAsia"/>
        </w:rPr>
        <w:t>基因位的兩個型組合起來就叫做基因型。如果以對偶基因型來看的話，嫌犯及被害人的對偶基因型都包含在證物的型裡面，但是以基因型來看的話，因證物檢查出來是混合型，有多種基因型組合的可能性，假設為2人DNA的混合，嫌犯應該被排除，如果為3人以上的DNA混合，嫌犯的檢體則有可能存在也有可能不存在證物11-1衛生紙上，則應為不能判定。</w:t>
      </w:r>
    </w:p>
    <w:p w:rsidR="00CE314E" w:rsidRDefault="00CE314E" w:rsidP="00491D5A">
      <w:pPr>
        <w:pStyle w:val="5"/>
      </w:pPr>
      <w:r>
        <w:rPr>
          <w:rFonts w:hint="eastAsia"/>
        </w:rPr>
        <w:t>林媽利醫師：</w:t>
      </w:r>
    </w:p>
    <w:p w:rsidR="00CE314E" w:rsidRDefault="00CE314E" w:rsidP="00491D5A">
      <w:pPr>
        <w:pStyle w:val="52"/>
        <w:ind w:left="2041" w:firstLine="680"/>
      </w:pPr>
      <w:r>
        <w:rPr>
          <w:rFonts w:hint="eastAsia"/>
        </w:rPr>
        <w:t>當時刑事警察局、調查局、</w:t>
      </w:r>
      <w:proofErr w:type="gramStart"/>
      <w:r>
        <w:rPr>
          <w:rFonts w:hint="eastAsia"/>
        </w:rPr>
        <w:t>國防部軍法醫中心就型別</w:t>
      </w:r>
      <w:proofErr w:type="gramEnd"/>
      <w:r>
        <w:rPr>
          <w:rFonts w:hint="eastAsia"/>
        </w:rPr>
        <w:t>表之實驗結果有出入，應該重新做，因為所有實驗都有一些疏忽，透過重新做找出原因。現在有無辦法重新做，涉及檢體的保管問題，應該要將檢體永久保留，在醫院檢驗如此，何況是刑事案件。事實上在85年時就是使用DQA1檢測方法，但是我發現其實在80年不久就已經有比較敏感的DNA檢測方法，所以我們醫院因為要作親子檢定就使用VNTR等其他檢驗方式，當時有不同機關檢驗結果不一樣時，應該就檢體重新檢測比較妥適。</w:t>
      </w:r>
      <w:proofErr w:type="gramStart"/>
      <w:r>
        <w:rPr>
          <w:rFonts w:hint="eastAsia"/>
        </w:rPr>
        <w:t>江案中調查局跟軍</w:t>
      </w:r>
      <w:r>
        <w:rPr>
          <w:rFonts w:hint="eastAsia"/>
        </w:rPr>
        <w:lastRenderedPageBreak/>
        <w:t>法醫</w:t>
      </w:r>
      <w:proofErr w:type="gramEnd"/>
      <w:r>
        <w:rPr>
          <w:rFonts w:hint="eastAsia"/>
        </w:rPr>
        <w:t>中心的檢體報告是一致，但跟刑事警察局不一樣，在法院判決時採用</w:t>
      </w:r>
      <w:proofErr w:type="gramStart"/>
      <w:r>
        <w:rPr>
          <w:rFonts w:hint="eastAsia"/>
        </w:rPr>
        <w:t>調查局跟軍法醫</w:t>
      </w:r>
      <w:proofErr w:type="gramEnd"/>
      <w:r>
        <w:rPr>
          <w:rFonts w:hint="eastAsia"/>
        </w:rPr>
        <w:t>中心的結論。我側面的瞭解，據說軍法醫中心是去沿用調查局的檢驗結果。但是刑事警察局跟調查局的檢測報告有3項不一致，有不一致就要重做檢討，法官採用調查局的結果，依據該報告內容來看，如果現場只有被害人和嫌犯的話，DQA1的結果有1.1，應該要排除江國慶的可能性，因為多出那個1.1數據。不過看該紀錄也無法確認加害人人數，如果人數超過3個人，就有可能來自第3人的檢體。如果現場是2個人的話，江國慶就會被排除，如果是3個人以上，江嫌無法排除其在現場的可能，但兇手也有可能是別人，不可能做排除，因為</w:t>
      </w:r>
      <w:proofErr w:type="gramStart"/>
      <w:r>
        <w:rPr>
          <w:rFonts w:hint="eastAsia"/>
        </w:rPr>
        <w:t>那個第3</w:t>
      </w:r>
      <w:proofErr w:type="gramEnd"/>
      <w:r>
        <w:rPr>
          <w:rFonts w:hint="eastAsia"/>
        </w:rPr>
        <w:t>人可是1.1還有4，因無法確定現場是多少人，也無排除江國慶的可能性。我去查過亞洲的基因型，在亞洲人口中有6.25%的頻率是這樣的基因型，我們不能單用資料就認定是江國慶。如我們血型一樣，我們抓到一個嫌犯是O型，不能抓到我是O型就說我是嫌犯，應該還要有別的證據，但是基因型相同的很多，不能因為江國慶符合該基因型，就認定他就是嫌犯。若請別的單位再做一次實驗，可能會有不同結果，我們在實驗室有碰到困難或錯誤時，都會將檢體送到國外去檢驗，是很平常的事情。因此，在做成檢體報告時，若能告知法官基因型在人口內有多少比例是相同的基因型，若這個基因型在這個人口是很多雷同的，應該在報告內敘明，讓法官在判斷前先行認知，會有判斷上的幫助。我們做實驗也會做錯，所以我們有</w:t>
      </w:r>
      <w:proofErr w:type="gramStart"/>
      <w:r>
        <w:rPr>
          <w:rFonts w:hint="eastAsia"/>
        </w:rPr>
        <w:t>標準或品管</w:t>
      </w:r>
      <w:proofErr w:type="gramEnd"/>
      <w:r>
        <w:rPr>
          <w:rFonts w:hint="eastAsia"/>
        </w:rPr>
        <w:t>，如果在做實</w:t>
      </w:r>
      <w:r>
        <w:rPr>
          <w:rFonts w:hint="eastAsia"/>
        </w:rPr>
        <w:lastRenderedPageBreak/>
        <w:t>驗時，通常會有一個標準基因型當樣本來比對實驗室檢體是否錯誤，或根本沒有做。</w:t>
      </w:r>
    </w:p>
    <w:p w:rsidR="00CE314E" w:rsidRDefault="00CE314E" w:rsidP="00491D5A">
      <w:pPr>
        <w:pStyle w:val="5"/>
      </w:pPr>
      <w:r>
        <w:rPr>
          <w:rFonts w:hint="eastAsia"/>
        </w:rPr>
        <w:t>黃女恩局長</w:t>
      </w:r>
    </w:p>
    <w:p w:rsidR="00CE314E" w:rsidRDefault="00CE314E" w:rsidP="00491D5A">
      <w:pPr>
        <w:pStyle w:val="52"/>
        <w:ind w:left="2041" w:firstLine="680"/>
      </w:pPr>
      <w:r>
        <w:rPr>
          <w:rFonts w:hint="eastAsia"/>
        </w:rPr>
        <w:t>刑事警察局</w:t>
      </w:r>
      <w:proofErr w:type="gramStart"/>
      <w:r>
        <w:rPr>
          <w:rFonts w:hint="eastAsia"/>
        </w:rPr>
        <w:t>鑑驗書</w:t>
      </w:r>
      <w:proofErr w:type="gramEnd"/>
      <w:r>
        <w:rPr>
          <w:rFonts w:hint="eastAsia"/>
        </w:rPr>
        <w:t>備註裡面，已經提供HLA-DQA1及PM型別在</w:t>
      </w:r>
      <w:r w:rsidR="00F333F2">
        <w:rPr>
          <w:rFonts w:hint="eastAsia"/>
        </w:rPr>
        <w:t>臺灣地區</w:t>
      </w:r>
      <w:r>
        <w:rPr>
          <w:rFonts w:hint="eastAsia"/>
        </w:rPr>
        <w:t>中國人口中分布</w:t>
      </w:r>
      <w:proofErr w:type="gramStart"/>
      <w:r>
        <w:rPr>
          <w:rFonts w:hint="eastAsia"/>
        </w:rPr>
        <w:t>機率表各乙</w:t>
      </w:r>
      <w:proofErr w:type="gramEnd"/>
      <w:r>
        <w:rPr>
          <w:rFonts w:hint="eastAsia"/>
        </w:rPr>
        <w:t>份，早期當時沒有去算，因當時的數量不足，所以當時未</w:t>
      </w:r>
      <w:r w:rsidR="00220620">
        <w:rPr>
          <w:rFonts w:hint="eastAsia"/>
        </w:rPr>
        <w:t>予</w:t>
      </w:r>
      <w:r>
        <w:rPr>
          <w:rFonts w:hint="eastAsia"/>
        </w:rPr>
        <w:t>提供。以目前STR</w:t>
      </w:r>
      <w:proofErr w:type="gramStart"/>
      <w:r>
        <w:rPr>
          <w:rFonts w:hint="eastAsia"/>
        </w:rPr>
        <w:t>鑑</w:t>
      </w:r>
      <w:proofErr w:type="gramEnd"/>
      <w:r>
        <w:rPr>
          <w:rFonts w:hint="eastAsia"/>
        </w:rPr>
        <w:t>識技術，已經可以做到10</w:t>
      </w:r>
      <w:r w:rsidRPr="004D11DC">
        <w:rPr>
          <w:rFonts w:hint="eastAsia"/>
          <w:vertAlign w:val="superscript"/>
        </w:rPr>
        <w:t>-19</w:t>
      </w:r>
      <w:r>
        <w:rPr>
          <w:rFonts w:hint="eastAsia"/>
        </w:rPr>
        <w:t>、10</w:t>
      </w:r>
      <w:r w:rsidRPr="004D11DC">
        <w:rPr>
          <w:rFonts w:hint="eastAsia"/>
          <w:vertAlign w:val="superscript"/>
        </w:rPr>
        <w:t>-22</w:t>
      </w:r>
      <w:r>
        <w:rPr>
          <w:rFonts w:hint="eastAsia"/>
        </w:rPr>
        <w:t>次方的誤差值，幾乎不可能出現相同，除非是同卵雙胞胎。以現在的</w:t>
      </w:r>
      <w:proofErr w:type="gramStart"/>
      <w:r>
        <w:rPr>
          <w:rFonts w:hint="eastAsia"/>
        </w:rPr>
        <w:t>鑑</w:t>
      </w:r>
      <w:proofErr w:type="gramEnd"/>
      <w:r>
        <w:rPr>
          <w:rFonts w:hint="eastAsia"/>
        </w:rPr>
        <w:t>識技術，提出</w:t>
      </w:r>
      <w:proofErr w:type="gramStart"/>
      <w:r>
        <w:rPr>
          <w:rFonts w:hint="eastAsia"/>
        </w:rPr>
        <w:t>鑑</w:t>
      </w:r>
      <w:proofErr w:type="gramEnd"/>
      <w:r>
        <w:rPr>
          <w:rFonts w:hint="eastAsia"/>
        </w:rPr>
        <w:t>識報告之說明比較明確，至少可以提供誤差比例。因為早期的概率還不夠，所以不敢提出給司法機關。我們選用的是</w:t>
      </w:r>
      <w:proofErr w:type="gramStart"/>
      <w:r>
        <w:rPr>
          <w:rFonts w:hint="eastAsia"/>
        </w:rPr>
        <w:t>鑑</w:t>
      </w:r>
      <w:proofErr w:type="gramEnd"/>
      <w:r>
        <w:rPr>
          <w:rFonts w:hint="eastAsia"/>
        </w:rPr>
        <w:t>識學會大概已經蒐集了3</w:t>
      </w:r>
      <w:proofErr w:type="gramStart"/>
      <w:r>
        <w:rPr>
          <w:rFonts w:hint="eastAsia"/>
        </w:rPr>
        <w:t>千多筆人的</w:t>
      </w:r>
      <w:proofErr w:type="gramEnd"/>
      <w:r>
        <w:rPr>
          <w:rFonts w:hint="eastAsia"/>
        </w:rPr>
        <w:t>樣本，臺灣有好多次族群融合，是否就具有代表性我也不知道，但即使在美國因為人口很多，也有非裔、拉丁美洲裔、西班牙裔的族群，但3個族群在統計時，都會提逐一統計之結果，統計結果大概會差到10</w:t>
      </w:r>
      <w:r w:rsidRPr="004D11DC">
        <w:rPr>
          <w:rFonts w:hint="eastAsia"/>
          <w:vertAlign w:val="superscript"/>
        </w:rPr>
        <w:t>-2</w:t>
      </w:r>
      <w:r>
        <w:rPr>
          <w:rFonts w:hint="eastAsia"/>
        </w:rPr>
        <w:t>，我們提給法院資料，一般在10</w:t>
      </w:r>
      <w:r w:rsidRPr="004D11DC">
        <w:rPr>
          <w:rFonts w:hint="eastAsia"/>
          <w:vertAlign w:val="superscript"/>
        </w:rPr>
        <w:t>-1</w:t>
      </w:r>
      <w:r>
        <w:rPr>
          <w:rFonts w:hint="eastAsia"/>
        </w:rPr>
        <w:t>的統計數據，譬如我提的數字是10</w:t>
      </w:r>
      <w:r w:rsidRPr="004D11DC">
        <w:rPr>
          <w:rFonts w:hint="eastAsia"/>
          <w:vertAlign w:val="superscript"/>
        </w:rPr>
        <w:t>-19</w:t>
      </w:r>
      <w:r w:rsidR="004D11DC">
        <w:rPr>
          <w:rFonts w:hint="eastAsia"/>
        </w:rPr>
        <w:t>，他可能介於</w:t>
      </w:r>
      <w:r>
        <w:rPr>
          <w:rFonts w:hint="eastAsia"/>
        </w:rPr>
        <w:t>-18跟-20次方之間。事實上不論是10</w:t>
      </w:r>
      <w:r w:rsidRPr="004D11DC">
        <w:rPr>
          <w:rFonts w:hint="eastAsia"/>
          <w:vertAlign w:val="superscript"/>
        </w:rPr>
        <w:t>-18</w:t>
      </w:r>
      <w:r>
        <w:rPr>
          <w:rFonts w:hint="eastAsia"/>
        </w:rPr>
        <w:t>或10</w:t>
      </w:r>
      <w:r w:rsidRPr="004D11DC">
        <w:rPr>
          <w:rFonts w:hint="eastAsia"/>
          <w:vertAlign w:val="superscript"/>
        </w:rPr>
        <w:t>-20</w:t>
      </w:r>
      <w:r>
        <w:rPr>
          <w:rFonts w:hint="eastAsia"/>
        </w:rPr>
        <w:t>，全世界的人口都遠低於這個數字，即使是族群不同，也不可能是相同基因型。</w:t>
      </w:r>
    </w:p>
    <w:p w:rsidR="00CE314E" w:rsidRDefault="00CE314E" w:rsidP="00491D5A">
      <w:pPr>
        <w:pStyle w:val="52"/>
        <w:ind w:left="2041" w:firstLine="680"/>
      </w:pPr>
      <w:r>
        <w:rPr>
          <w:rFonts w:hint="eastAsia"/>
        </w:rPr>
        <w:t>刑事警察局</w:t>
      </w:r>
      <w:proofErr w:type="gramStart"/>
      <w:r>
        <w:rPr>
          <w:rFonts w:hint="eastAsia"/>
        </w:rPr>
        <w:t>鑑驗書</w:t>
      </w:r>
      <w:proofErr w:type="gramEnd"/>
      <w:r>
        <w:rPr>
          <w:rFonts w:hint="eastAsia"/>
        </w:rPr>
        <w:t>，解釋上DQA1跟GC是2個不同的REACTION，在DQA1的時候，被害人還可以看得到，因為他每一個方法的敏感度不一樣，所以在DQA1我們說3</w:t>
      </w:r>
      <w:proofErr w:type="gramStart"/>
      <w:r>
        <w:rPr>
          <w:rFonts w:hint="eastAsia"/>
        </w:rPr>
        <w:t>是弱的</w:t>
      </w:r>
      <w:proofErr w:type="gramEnd"/>
      <w:r>
        <w:rPr>
          <w:rFonts w:hint="eastAsia"/>
        </w:rPr>
        <w:t>，4的話是跟嫌犯吻合，所以在可能的混合檢體裡面，可以說3是來自被害人的，先天上有可能是混合的檢體，那後面的5個MARKER部分，是跟18-J嫌犯是一致的，但是被害人在衛生紙的檢體不一致，是因</w:t>
      </w:r>
      <w:r>
        <w:rPr>
          <w:rFonts w:hint="eastAsia"/>
        </w:rPr>
        <w:lastRenderedPageBreak/>
        <w:t>為REACTION跟方法敏感度不同所致。事實上刑事</w:t>
      </w:r>
      <w:proofErr w:type="gramStart"/>
      <w:r>
        <w:rPr>
          <w:rFonts w:hint="eastAsia"/>
        </w:rPr>
        <w:t>鑑</w:t>
      </w:r>
      <w:proofErr w:type="gramEnd"/>
      <w:r>
        <w:rPr>
          <w:rFonts w:hint="eastAsia"/>
        </w:rPr>
        <w:t>識，從我身上</w:t>
      </w:r>
      <w:proofErr w:type="gramStart"/>
      <w:r>
        <w:rPr>
          <w:rFonts w:hint="eastAsia"/>
        </w:rPr>
        <w:t>採</w:t>
      </w:r>
      <w:proofErr w:type="gramEnd"/>
      <w:r>
        <w:rPr>
          <w:rFonts w:hint="eastAsia"/>
        </w:rPr>
        <w:t>之檢體，加害人的也在檢體上，例如被咬一口的唾液，一定包含被害人的DNA，其DNA的量多或少，有時候很難去界定他，太多會干擾，太少又不干擾，我們實務上會看主要的型別，假設是嫌犯的多，被害人的少，在</w:t>
      </w:r>
      <w:proofErr w:type="gramStart"/>
      <w:r>
        <w:rPr>
          <w:rFonts w:hint="eastAsia"/>
        </w:rPr>
        <w:t>鑑識上</w:t>
      </w:r>
      <w:proofErr w:type="gramEnd"/>
      <w:r>
        <w:rPr>
          <w:rFonts w:hint="eastAsia"/>
        </w:rPr>
        <w:t>就會跟嫌犯吻合，當然早期這樣</w:t>
      </w:r>
      <w:proofErr w:type="gramStart"/>
      <w:r>
        <w:rPr>
          <w:rFonts w:hint="eastAsia"/>
        </w:rPr>
        <w:t>鑑</w:t>
      </w:r>
      <w:proofErr w:type="gramEnd"/>
      <w:r>
        <w:rPr>
          <w:rFonts w:hint="eastAsia"/>
        </w:rPr>
        <w:t>識的MARKER數是少的，辨別度是比較低的，所以在科學上要判斷是18-J在機率上是還不夠的。只是在刑事</w:t>
      </w:r>
      <w:proofErr w:type="gramStart"/>
      <w:r>
        <w:rPr>
          <w:rFonts w:hint="eastAsia"/>
        </w:rPr>
        <w:t>鑑識上說這</w:t>
      </w:r>
      <w:proofErr w:type="gramEnd"/>
      <w:r>
        <w:rPr>
          <w:rFonts w:hint="eastAsia"/>
        </w:rPr>
        <w:t>不是吻合的，實務上我們是不會</w:t>
      </w:r>
      <w:proofErr w:type="gramStart"/>
      <w:r>
        <w:rPr>
          <w:rFonts w:hint="eastAsia"/>
        </w:rPr>
        <w:t>這樣說的</w:t>
      </w:r>
      <w:proofErr w:type="gramEnd"/>
      <w:r>
        <w:rPr>
          <w:rFonts w:hint="eastAsia"/>
        </w:rPr>
        <w:t>，因為被害人的量多或少，很難說一定會檢測出來，這是我們實務上經驗。以現在的技術來看，我們就會認為這樣的</w:t>
      </w:r>
      <w:proofErr w:type="gramStart"/>
      <w:r>
        <w:rPr>
          <w:rFonts w:hint="eastAsia"/>
        </w:rPr>
        <w:t>鑑</w:t>
      </w:r>
      <w:proofErr w:type="gramEnd"/>
      <w:r>
        <w:rPr>
          <w:rFonts w:hint="eastAsia"/>
        </w:rPr>
        <w:t>識結果不足以認定18-J是嫌犯。</w:t>
      </w:r>
    </w:p>
    <w:p w:rsidR="00CE314E" w:rsidRDefault="00CE314E" w:rsidP="00491D5A">
      <w:pPr>
        <w:pStyle w:val="3"/>
      </w:pPr>
      <w:r>
        <w:rPr>
          <w:rFonts w:hint="eastAsia"/>
        </w:rPr>
        <w:t>依據上開機關復函與學者意見可知，就江國慶案DNA鑑定部分，6個DNA型別中之DQA1與GYPA出現非屬犯罪嫌疑人與受害人之第3人基因型，</w:t>
      </w:r>
      <w:r w:rsidR="008B58C3">
        <w:rPr>
          <w:rFonts w:hint="eastAsia"/>
        </w:rPr>
        <w:t>國防部前軍法局國軍法醫中心</w:t>
      </w:r>
      <w:r>
        <w:rPr>
          <w:rFonts w:hint="eastAsia"/>
        </w:rPr>
        <w:t>所做成系爭鑑定書及法務部調查局系爭通知書卻稱「編號11-1證物，含有人類血液及精液，其血型為A型；編號11-1證物呈現之DNA混合型包含被害人DNA及涉嫌人『18-J』DNA之型別。」及「涉嫌人『18-J』與檢送11-1證物中含有死者血液及嫌犯精液，經至少6項血型基因型比較分析並無矛盾。」之研判結論</w:t>
      </w:r>
      <w:r w:rsidR="004A72A3">
        <w:rPr>
          <w:rFonts w:ascii="新細明體" w:eastAsia="新細明體" w:hAnsi="新細明體" w:hint="eastAsia"/>
        </w:rPr>
        <w:t>，</w:t>
      </w:r>
      <w:r w:rsidR="004A72A3">
        <w:rPr>
          <w:rFonts w:hint="eastAsia"/>
        </w:rPr>
        <w:t>一致認為</w:t>
      </w:r>
      <w:r>
        <w:rPr>
          <w:rFonts w:hint="eastAsia"/>
        </w:rPr>
        <w:t>有關混合型DNA</w:t>
      </w:r>
      <w:proofErr w:type="gramStart"/>
      <w:r w:rsidR="00F77071">
        <w:rPr>
          <w:rFonts w:hint="eastAsia"/>
        </w:rPr>
        <w:t>型別判讀</w:t>
      </w:r>
      <w:proofErr w:type="gramEnd"/>
      <w:r w:rsidR="00F77071">
        <w:rPr>
          <w:rFonts w:hint="eastAsia"/>
        </w:rPr>
        <w:t>認定含有嫌犯型別，其鑑定錯誤</w:t>
      </w:r>
      <w:r>
        <w:rPr>
          <w:rFonts w:hint="eastAsia"/>
        </w:rPr>
        <w:t>；至於法務部調查局與內政部警政署刑事警察局</w:t>
      </w:r>
      <w:proofErr w:type="gramStart"/>
      <w:r>
        <w:rPr>
          <w:rFonts w:hint="eastAsia"/>
        </w:rPr>
        <w:t>精斑檢查</w:t>
      </w:r>
      <w:proofErr w:type="gramEnd"/>
      <w:r>
        <w:rPr>
          <w:rFonts w:hint="eastAsia"/>
        </w:rPr>
        <w:t>不一致部分，除兩</w:t>
      </w:r>
      <w:proofErr w:type="gramStart"/>
      <w:r>
        <w:rPr>
          <w:rFonts w:hint="eastAsia"/>
        </w:rPr>
        <w:t>機關就系爭</w:t>
      </w:r>
      <w:proofErr w:type="gramEnd"/>
      <w:r>
        <w:rPr>
          <w:rFonts w:hint="eastAsia"/>
        </w:rPr>
        <w:t>編號11-1衛生紙所選取檢驗部分不同，或</w:t>
      </w:r>
      <w:r w:rsidR="00220620">
        <w:rPr>
          <w:rFonts w:hint="eastAsia"/>
        </w:rPr>
        <w:t>有</w:t>
      </w:r>
      <w:r w:rsidR="004A72A3">
        <w:rPr>
          <w:rFonts w:hint="eastAsia"/>
        </w:rPr>
        <w:t>可能不一致外，</w:t>
      </w:r>
      <w:r>
        <w:rPr>
          <w:rFonts w:hint="eastAsia"/>
        </w:rPr>
        <w:t>何種方法始為</w:t>
      </w:r>
      <w:proofErr w:type="gramStart"/>
      <w:r>
        <w:rPr>
          <w:rFonts w:hint="eastAsia"/>
        </w:rPr>
        <w:t>精斑檢查</w:t>
      </w:r>
      <w:proofErr w:type="gramEnd"/>
      <w:r>
        <w:rPr>
          <w:rFonts w:hint="eastAsia"/>
        </w:rPr>
        <w:t>之正確方法，因85年間檢驗方式於我國並無共通標準作業程序，雖</w:t>
      </w:r>
      <w:r w:rsidR="006A086F">
        <w:rPr>
          <w:rFonts w:hint="eastAsia"/>
        </w:rPr>
        <w:t>台灣法醫學會</w:t>
      </w:r>
      <w:r>
        <w:rPr>
          <w:rFonts w:hint="eastAsia"/>
        </w:rPr>
        <w:t>有提出不同</w:t>
      </w:r>
      <w:r>
        <w:rPr>
          <w:rFonts w:hint="eastAsia"/>
        </w:rPr>
        <w:lastRenderedPageBreak/>
        <w:t>意見，</w:t>
      </w:r>
      <w:proofErr w:type="gramStart"/>
      <w:r>
        <w:rPr>
          <w:rFonts w:hint="eastAsia"/>
        </w:rPr>
        <w:t>惟除考量</w:t>
      </w:r>
      <w:proofErr w:type="gramEnd"/>
      <w:r>
        <w:rPr>
          <w:rFonts w:hint="eastAsia"/>
        </w:rPr>
        <w:t>當時實驗室並無統一標準外，且專業</w:t>
      </w:r>
      <w:proofErr w:type="gramStart"/>
      <w:r>
        <w:rPr>
          <w:rFonts w:hint="eastAsia"/>
        </w:rPr>
        <w:t>同儕間尚無</w:t>
      </w:r>
      <w:proofErr w:type="gramEnd"/>
      <w:r>
        <w:rPr>
          <w:rFonts w:hint="eastAsia"/>
        </w:rPr>
        <w:t>一致之意見，對於當時未採用正確檢查方法以檢查扣案衛生紙部分，自不宜驟然認定確有違失。</w:t>
      </w:r>
    </w:p>
    <w:p w:rsidR="00CE314E" w:rsidRDefault="00CE314E" w:rsidP="00491D5A">
      <w:pPr>
        <w:pStyle w:val="3"/>
      </w:pPr>
      <w:r>
        <w:rPr>
          <w:rFonts w:hint="eastAsia"/>
        </w:rPr>
        <w:t>據</w:t>
      </w:r>
      <w:proofErr w:type="gramStart"/>
      <w:r>
        <w:rPr>
          <w:rFonts w:hint="eastAsia"/>
        </w:rPr>
        <w:t>上論結</w:t>
      </w:r>
      <w:proofErr w:type="gramEnd"/>
      <w:r>
        <w:rPr>
          <w:rFonts w:hint="eastAsia"/>
        </w:rPr>
        <w:t>，國防部前軍法局國軍法醫中心</w:t>
      </w:r>
      <w:r w:rsidR="00430FE7">
        <w:t>(85)</w:t>
      </w:r>
      <w:r>
        <w:rPr>
          <w:rFonts w:hint="eastAsia"/>
        </w:rPr>
        <w:t>國軍醫</w:t>
      </w:r>
      <w:proofErr w:type="gramStart"/>
      <w:r>
        <w:rPr>
          <w:rFonts w:hint="eastAsia"/>
        </w:rPr>
        <w:t>鑑</w:t>
      </w:r>
      <w:proofErr w:type="gramEnd"/>
      <w:r>
        <w:rPr>
          <w:rFonts w:hint="eastAsia"/>
        </w:rPr>
        <w:t>字85-04號鑑定書與法務部調查局85年10月7日</w:t>
      </w:r>
      <w:r w:rsidR="00430FE7">
        <w:t>(85</w:t>
      </w:r>
      <w:r w:rsidR="00430FE7">
        <w:rPr>
          <w:rFonts w:hint="eastAsia"/>
        </w:rPr>
        <w:t>)陸(四)</w:t>
      </w:r>
      <w:r>
        <w:rPr>
          <w:rFonts w:hint="eastAsia"/>
        </w:rPr>
        <w:t>85208534號檢驗通知書就DNA鑑定部分認定「包含江國慶『18-J』DNA之型別。」或「6項血型基因型比較分析並無矛盾。」部分，確有違失。</w:t>
      </w:r>
    </w:p>
    <w:p w:rsidR="00CE314E" w:rsidRPr="00377B49" w:rsidRDefault="00CE314E" w:rsidP="00491D5A">
      <w:pPr>
        <w:pStyle w:val="3"/>
        <w:rPr>
          <w:b/>
        </w:rPr>
      </w:pPr>
      <w:r w:rsidRPr="00377B49">
        <w:rPr>
          <w:rFonts w:hint="eastAsia"/>
          <w:b/>
        </w:rPr>
        <w:t>另</w:t>
      </w:r>
      <w:r w:rsidR="0062400C">
        <w:rPr>
          <w:rFonts w:hint="eastAsia"/>
          <w:b/>
        </w:rPr>
        <w:t>司改會陳訴</w:t>
      </w:r>
      <w:r w:rsidRPr="00377B49">
        <w:rPr>
          <w:rFonts w:hint="eastAsia"/>
          <w:b/>
        </w:rPr>
        <w:t>有關追究相關</w:t>
      </w:r>
      <w:proofErr w:type="gramStart"/>
      <w:r w:rsidRPr="00377B49">
        <w:rPr>
          <w:rFonts w:hint="eastAsia"/>
          <w:b/>
        </w:rPr>
        <w:t>鑑</w:t>
      </w:r>
      <w:proofErr w:type="gramEnd"/>
      <w:r w:rsidRPr="00377B49">
        <w:rPr>
          <w:rFonts w:hint="eastAsia"/>
          <w:b/>
        </w:rPr>
        <w:t>識人員之違失行為部分，因系爭鑑定意見於85年間做成，迄今已逾10</w:t>
      </w:r>
      <w:r w:rsidR="0062400C">
        <w:rPr>
          <w:rFonts w:hint="eastAsia"/>
          <w:b/>
        </w:rPr>
        <w:t>年，依104年5月20日修正公布前公務</w:t>
      </w:r>
      <w:r w:rsidRPr="00377B49">
        <w:rPr>
          <w:rFonts w:hint="eastAsia"/>
          <w:b/>
        </w:rPr>
        <w:t>員懲戒法第</w:t>
      </w:r>
      <w:r w:rsidR="0062400C">
        <w:rPr>
          <w:rFonts w:hint="eastAsia"/>
          <w:b/>
        </w:rPr>
        <w:t>25</w:t>
      </w:r>
      <w:r w:rsidRPr="00377B49">
        <w:rPr>
          <w:rFonts w:hint="eastAsia"/>
          <w:b/>
        </w:rPr>
        <w:t>條第3款規定，</w:t>
      </w:r>
      <w:r w:rsidR="0062400C">
        <w:rPr>
          <w:rFonts w:hint="eastAsia"/>
          <w:b/>
        </w:rPr>
        <w:t>懲戒案件</w:t>
      </w:r>
      <w:r w:rsidRPr="00377B49">
        <w:rPr>
          <w:rFonts w:hint="eastAsia"/>
          <w:b/>
        </w:rPr>
        <w:t>自違法失職行為終了之日起，至移送公務員懲戒委員會之日止，已逾</w:t>
      </w:r>
      <w:r w:rsidR="002A552D">
        <w:rPr>
          <w:rFonts w:hint="eastAsia"/>
          <w:b/>
        </w:rPr>
        <w:t>10</w:t>
      </w:r>
      <w:r w:rsidRPr="00377B49">
        <w:rPr>
          <w:rFonts w:hint="eastAsia"/>
          <w:b/>
        </w:rPr>
        <w:t>年者，應為免議之議決，</w:t>
      </w:r>
      <w:proofErr w:type="gramStart"/>
      <w:r w:rsidRPr="00377B49">
        <w:rPr>
          <w:rFonts w:hint="eastAsia"/>
          <w:b/>
        </w:rPr>
        <w:t>故</w:t>
      </w:r>
      <w:r w:rsidR="0062400C">
        <w:rPr>
          <w:rFonts w:hint="eastAsia"/>
          <w:b/>
        </w:rPr>
        <w:t>縱行使</w:t>
      </w:r>
      <w:proofErr w:type="gramEnd"/>
      <w:r w:rsidR="0062400C">
        <w:rPr>
          <w:rFonts w:hint="eastAsia"/>
          <w:b/>
        </w:rPr>
        <w:t>彈劾權亦無實效</w:t>
      </w:r>
      <w:r w:rsidRPr="00377B49">
        <w:rPr>
          <w:rFonts w:hint="eastAsia"/>
          <w:b/>
        </w:rPr>
        <w:t>。</w:t>
      </w:r>
      <w:r w:rsidR="0062400C">
        <w:rPr>
          <w:rFonts w:hint="eastAsia"/>
          <w:b/>
        </w:rPr>
        <w:t>此情</w:t>
      </w:r>
      <w:r w:rsidRPr="00377B49">
        <w:rPr>
          <w:rFonts w:hint="eastAsia"/>
          <w:b/>
        </w:rPr>
        <w:t>業經本院司法及獄政委員會104年2月11日第5屆第7次會議決議，函復陳訴人在案。</w:t>
      </w:r>
    </w:p>
    <w:p w:rsidR="00CE314E" w:rsidRPr="00377B49" w:rsidRDefault="00CE314E" w:rsidP="00491D5A">
      <w:pPr>
        <w:pStyle w:val="3"/>
        <w:rPr>
          <w:b/>
        </w:rPr>
      </w:pPr>
      <w:r w:rsidRPr="00377B49">
        <w:rPr>
          <w:rFonts w:hint="eastAsia"/>
          <w:b/>
        </w:rPr>
        <w:t>復有關刀刃形狀研判部分：</w:t>
      </w:r>
    </w:p>
    <w:p w:rsidR="00CE314E" w:rsidRDefault="00CE314E" w:rsidP="00491D5A">
      <w:pPr>
        <w:pStyle w:val="32"/>
        <w:ind w:left="1361" w:firstLine="680"/>
      </w:pPr>
      <w:r>
        <w:rPr>
          <w:rFonts w:hint="eastAsia"/>
        </w:rPr>
        <w:t>司改會指摘：「系爭鑑定書就凶器之</w:t>
      </w:r>
      <w:proofErr w:type="gramStart"/>
      <w:r>
        <w:rPr>
          <w:rFonts w:hint="eastAsia"/>
        </w:rPr>
        <w:t>之</w:t>
      </w:r>
      <w:proofErr w:type="gramEnd"/>
      <w:r>
        <w:rPr>
          <w:rFonts w:hint="eastAsia"/>
        </w:rPr>
        <w:t>敘述係謂『死亡時其生前下體遭陽具或異物穿入而流血，死後並有刀刃</w:t>
      </w:r>
      <w:proofErr w:type="gramStart"/>
      <w:r>
        <w:rPr>
          <w:rFonts w:hint="eastAsia"/>
        </w:rPr>
        <w:t>狀鈍狀異物伸刺</w:t>
      </w:r>
      <w:proofErr w:type="gramEnd"/>
      <w:r>
        <w:rPr>
          <w:rFonts w:hint="eastAsia"/>
        </w:rPr>
        <w:t>入腹腔，造成腸道移位』，因此，</w:t>
      </w:r>
      <w:proofErr w:type="gramStart"/>
      <w:r>
        <w:rPr>
          <w:rFonts w:hint="eastAsia"/>
        </w:rPr>
        <w:t>似認凶器</w:t>
      </w:r>
      <w:proofErr w:type="gramEnd"/>
      <w:r>
        <w:rPr>
          <w:rFonts w:hint="eastAsia"/>
        </w:rPr>
        <w:t>係刀刃狀，然</w:t>
      </w:r>
      <w:proofErr w:type="gramStart"/>
      <w:r>
        <w:rPr>
          <w:rFonts w:hint="eastAsia"/>
        </w:rPr>
        <w:t>稽</w:t>
      </w:r>
      <w:proofErr w:type="gramEnd"/>
      <w:r>
        <w:rPr>
          <w:rFonts w:hint="eastAsia"/>
        </w:rPr>
        <w:t>之系爭鑑定書，卻未見有何關於刀傷或刺傷之敘述，是系爭鑑定書所為刀刃狀之研判，究從何而來，顯非無疑。」</w:t>
      </w:r>
      <w:proofErr w:type="gramStart"/>
      <w:r>
        <w:rPr>
          <w:rFonts w:hint="eastAsia"/>
        </w:rPr>
        <w:t>查系爭</w:t>
      </w:r>
      <w:proofErr w:type="gramEnd"/>
      <w:r>
        <w:rPr>
          <w:rFonts w:hint="eastAsia"/>
        </w:rPr>
        <w:t>鑑定書所稱「肛門口與陰道內面相通，陰道裂口6</w:t>
      </w:r>
      <w:r w:rsidR="006E3877">
        <w:t>x</w:t>
      </w:r>
      <w:r>
        <w:rPr>
          <w:rFonts w:hint="eastAsia"/>
        </w:rPr>
        <w:t>5公分；腹部右側之</w:t>
      </w:r>
      <w:proofErr w:type="gramStart"/>
      <w:r>
        <w:rPr>
          <w:rFonts w:hint="eastAsia"/>
        </w:rPr>
        <w:t>昇</w:t>
      </w:r>
      <w:proofErr w:type="gramEnd"/>
      <w:r>
        <w:rPr>
          <w:rFonts w:hint="eastAsia"/>
        </w:rPr>
        <w:t>結腸距</w:t>
      </w:r>
      <w:proofErr w:type="gramStart"/>
      <w:r>
        <w:rPr>
          <w:rFonts w:hint="eastAsia"/>
        </w:rPr>
        <w:t>迴盲瓣3公分處撕斷裂</w:t>
      </w:r>
      <w:proofErr w:type="gramEnd"/>
      <w:r>
        <w:rPr>
          <w:rFonts w:hint="eastAsia"/>
        </w:rPr>
        <w:t>並向上移位25公分至橫結腸處，</w:t>
      </w:r>
      <w:proofErr w:type="gramStart"/>
      <w:r>
        <w:rPr>
          <w:rFonts w:hint="eastAsia"/>
        </w:rPr>
        <w:t>右側降</w:t>
      </w:r>
      <w:proofErr w:type="gramEnd"/>
      <w:r>
        <w:rPr>
          <w:rFonts w:hint="eastAsia"/>
        </w:rPr>
        <w:t>結腸與乙狀結腸距肛門口約7公分處撕裂傷，乙狀結腸</w:t>
      </w:r>
      <w:proofErr w:type="gramStart"/>
      <w:r>
        <w:rPr>
          <w:rFonts w:hint="eastAsia"/>
        </w:rPr>
        <w:t>呈斷續狀</w:t>
      </w:r>
      <w:proofErr w:type="gramEnd"/>
      <w:r>
        <w:rPr>
          <w:rFonts w:hint="eastAsia"/>
        </w:rPr>
        <w:t>之撕裂傷，左側之乙狀結腸及降結腸亦向上</w:t>
      </w:r>
      <w:r>
        <w:rPr>
          <w:rFonts w:hint="eastAsia"/>
        </w:rPr>
        <w:lastRenderedPageBreak/>
        <w:t>移位20公分至橫結腸及降結腸交接處」之傷害，是否</w:t>
      </w:r>
      <w:proofErr w:type="gramStart"/>
      <w:r>
        <w:rPr>
          <w:rFonts w:hint="eastAsia"/>
        </w:rPr>
        <w:t>可能為扣案</w:t>
      </w:r>
      <w:proofErr w:type="gramEnd"/>
      <w:r>
        <w:rPr>
          <w:rFonts w:hint="eastAsia"/>
        </w:rPr>
        <w:t>之兇刀</w:t>
      </w:r>
      <w:r w:rsidR="009E22F2">
        <w:t>(</w:t>
      </w:r>
      <w:r>
        <w:rPr>
          <w:rFonts w:hint="eastAsia"/>
        </w:rPr>
        <w:t>刀子長30公分，為單刃刀子，刀刃呈鋸齒狀，刀面長19.2公分，</w:t>
      </w:r>
      <w:proofErr w:type="gramStart"/>
      <w:r>
        <w:rPr>
          <w:rFonts w:hint="eastAsia"/>
        </w:rPr>
        <w:t>刀寬3公分</w:t>
      </w:r>
      <w:proofErr w:type="gramEnd"/>
      <w:r>
        <w:rPr>
          <w:rFonts w:hint="eastAsia"/>
        </w:rPr>
        <w:t>，</w:t>
      </w:r>
      <w:proofErr w:type="gramStart"/>
      <w:r>
        <w:rPr>
          <w:rFonts w:hint="eastAsia"/>
        </w:rPr>
        <w:t>刀厚0.3公分呈長</w:t>
      </w:r>
      <w:proofErr w:type="gramEnd"/>
      <w:r>
        <w:rPr>
          <w:rFonts w:hint="eastAsia"/>
        </w:rPr>
        <w:t>型並有</w:t>
      </w:r>
      <w:proofErr w:type="gramStart"/>
      <w:r>
        <w:rPr>
          <w:rFonts w:hint="eastAsia"/>
        </w:rPr>
        <w:t>瘦長之</w:t>
      </w:r>
      <w:proofErr w:type="gramEnd"/>
      <w:r>
        <w:rPr>
          <w:rFonts w:hint="eastAsia"/>
        </w:rPr>
        <w:t>刀柄長10.8公分</w:t>
      </w:r>
      <w:r w:rsidR="009E22F2">
        <w:t>)</w:t>
      </w:r>
      <w:r>
        <w:rPr>
          <w:rFonts w:hint="eastAsia"/>
        </w:rPr>
        <w:t>所造</w:t>
      </w:r>
      <w:r w:rsidR="002F17C1" w:rsidRPr="00156B94">
        <w:rPr>
          <w:rFonts w:hint="eastAsia"/>
          <w:color w:val="0D0D0D" w:themeColor="text1" w:themeTint="F2"/>
        </w:rPr>
        <w:t>成</w:t>
      </w:r>
      <w:r w:rsidR="002F17C1" w:rsidRPr="00156B94">
        <w:rPr>
          <w:rFonts w:ascii="新細明體" w:eastAsia="新細明體" w:hAnsi="新細明體" w:hint="eastAsia"/>
          <w:color w:val="0D0D0D" w:themeColor="text1" w:themeTint="F2"/>
        </w:rPr>
        <w:t>，</w:t>
      </w:r>
      <w:r>
        <w:rPr>
          <w:rFonts w:hint="eastAsia"/>
        </w:rPr>
        <w:t>空軍作戰司令部</w:t>
      </w:r>
      <w:proofErr w:type="gramStart"/>
      <w:r>
        <w:rPr>
          <w:rFonts w:hint="eastAsia"/>
        </w:rPr>
        <w:t>審判庭曾函</w:t>
      </w:r>
      <w:proofErr w:type="gramEnd"/>
      <w:r>
        <w:rPr>
          <w:rFonts w:hint="eastAsia"/>
        </w:rPr>
        <w:t>請</w:t>
      </w:r>
      <w:r w:rsidR="008B58C3">
        <w:rPr>
          <w:rFonts w:hint="eastAsia"/>
        </w:rPr>
        <w:t>國防部前軍法局國軍法醫中心</w:t>
      </w:r>
      <w:r>
        <w:rPr>
          <w:rFonts w:hint="eastAsia"/>
        </w:rPr>
        <w:t>說明，該中心回覆略</w:t>
      </w:r>
      <w:proofErr w:type="gramStart"/>
      <w:r>
        <w:rPr>
          <w:rFonts w:hint="eastAsia"/>
        </w:rPr>
        <w:t>以</w:t>
      </w:r>
      <w:proofErr w:type="gramEnd"/>
      <w:r>
        <w:rPr>
          <w:rFonts w:hint="eastAsia"/>
        </w:rPr>
        <w:t>：「由死者陰道裂口達6</w:t>
      </w:r>
      <w:r w:rsidR="006E3877">
        <w:t>x</w:t>
      </w:r>
      <w:r>
        <w:rPr>
          <w:rFonts w:hint="eastAsia"/>
        </w:rPr>
        <w:t>5公分，若兇嫌使用此刀子為</w:t>
      </w:r>
      <w:proofErr w:type="gramStart"/>
      <w:r>
        <w:rPr>
          <w:rFonts w:hint="eastAsia"/>
        </w:rPr>
        <w:t>兇</w:t>
      </w:r>
      <w:proofErr w:type="gramEnd"/>
      <w:r>
        <w:rPr>
          <w:rFonts w:hint="eastAsia"/>
        </w:rPr>
        <w:t>器，由陰道刺入腹部時，因把手</w:t>
      </w:r>
      <w:proofErr w:type="gramStart"/>
      <w:r>
        <w:rPr>
          <w:rFonts w:hint="eastAsia"/>
        </w:rPr>
        <w:t>瘦長狀</w:t>
      </w:r>
      <w:proofErr w:type="gramEnd"/>
      <w:r>
        <w:rPr>
          <w:rFonts w:hint="eastAsia"/>
        </w:rPr>
        <w:t>且達10.8公分，應可輕易握緊部分把手將刀刃及部分刀柄插入陰道及腹部深達25公分。由陰道裂口達6</w:t>
      </w:r>
      <w:r w:rsidR="006E3877">
        <w:t>x</w:t>
      </w:r>
      <w:r>
        <w:rPr>
          <w:rFonts w:hint="eastAsia"/>
        </w:rPr>
        <w:t>5公分，亦支持兇嫌將異物刺入陰道時，同時擴大了陰道外陰部裂口。認被害人下體所受之傷</w:t>
      </w:r>
      <w:proofErr w:type="gramStart"/>
      <w:r>
        <w:rPr>
          <w:rFonts w:hint="eastAsia"/>
        </w:rPr>
        <w:t>與所檢送</w:t>
      </w:r>
      <w:proofErr w:type="gramEnd"/>
      <w:r>
        <w:rPr>
          <w:rFonts w:hint="eastAsia"/>
        </w:rPr>
        <w:t>疑似兇刀其長達30公分之刀子，並無矛盾關係」，此有國防部軍法局85年11月18日</w:t>
      </w:r>
      <w:r w:rsidR="006E3877">
        <w:t>(85</w:t>
      </w:r>
      <w:r w:rsidR="006E3877">
        <w:rPr>
          <w:rFonts w:hint="eastAsia"/>
        </w:rPr>
        <w:t>)</w:t>
      </w:r>
      <w:proofErr w:type="gramStart"/>
      <w:r w:rsidR="006E3877">
        <w:rPr>
          <w:rFonts w:hint="eastAsia"/>
        </w:rPr>
        <w:t>謙查字</w:t>
      </w:r>
      <w:proofErr w:type="gramEnd"/>
      <w:r w:rsidR="006E3877">
        <w:rPr>
          <w:rFonts w:hint="eastAsia"/>
        </w:rPr>
        <w:t>第</w:t>
      </w:r>
      <w:r w:rsidR="006E3877">
        <w:t>11128</w:t>
      </w:r>
      <w:r w:rsidR="006E3877">
        <w:rPr>
          <w:rFonts w:hint="eastAsia"/>
        </w:rPr>
        <w:t>號簡便行文表檢附之國軍法醫中心鑑定意見</w:t>
      </w:r>
      <w:r w:rsidR="006E3877">
        <w:t>1</w:t>
      </w:r>
      <w:r w:rsidR="006E3877">
        <w:rPr>
          <w:rFonts w:hint="eastAsia"/>
        </w:rPr>
        <w:t>份(原空</w:t>
      </w:r>
      <w:r w:rsidR="0062400C">
        <w:rPr>
          <w:rFonts w:hint="eastAsia"/>
        </w:rPr>
        <w:t>軍</w:t>
      </w:r>
      <w:r w:rsidR="006E3877">
        <w:rPr>
          <w:rFonts w:hint="eastAsia"/>
        </w:rPr>
        <w:t>作</w:t>
      </w:r>
      <w:r w:rsidR="0062400C">
        <w:rPr>
          <w:rFonts w:hint="eastAsia"/>
        </w:rPr>
        <w:t>戰司令</w:t>
      </w:r>
      <w:r w:rsidR="006E3877">
        <w:rPr>
          <w:rFonts w:hint="eastAsia"/>
        </w:rPr>
        <w:t>部</w:t>
      </w:r>
      <w:r w:rsidR="006E3877">
        <w:t>85</w:t>
      </w:r>
      <w:r w:rsidR="006E3877">
        <w:rPr>
          <w:rFonts w:hint="eastAsia"/>
        </w:rPr>
        <w:t>年清字第</w:t>
      </w:r>
      <w:r w:rsidR="006E3877">
        <w:t>51</w:t>
      </w:r>
      <w:r w:rsidR="006E3877">
        <w:rPr>
          <w:rFonts w:hint="eastAsia"/>
        </w:rPr>
        <w:t>號審判卷第</w:t>
      </w:r>
      <w:r w:rsidR="006E3877">
        <w:t>100</w:t>
      </w:r>
      <w:r w:rsidR="006E3877">
        <w:rPr>
          <w:rFonts w:hint="eastAsia"/>
        </w:rPr>
        <w:t>頁)</w:t>
      </w:r>
      <w:r>
        <w:rPr>
          <w:rFonts w:hint="eastAsia"/>
        </w:rPr>
        <w:t>可查。鑑定人</w:t>
      </w:r>
      <w:r w:rsidR="006E3877">
        <w:rPr>
          <w:rFonts w:hint="eastAsia"/>
        </w:rPr>
        <w:t>(即時任三軍總醫院病理部主任兼國軍法醫中心鑑定</w:t>
      </w:r>
      <w:proofErr w:type="gramStart"/>
      <w:r w:rsidR="006E3877">
        <w:rPr>
          <w:rFonts w:hint="eastAsia"/>
        </w:rPr>
        <w:t>組</w:t>
      </w:r>
      <w:proofErr w:type="gramEnd"/>
      <w:r w:rsidR="006E3877">
        <w:rPr>
          <w:rFonts w:hint="eastAsia"/>
        </w:rPr>
        <w:t>組長)</w:t>
      </w:r>
      <w:r>
        <w:rPr>
          <w:rFonts w:hint="eastAsia"/>
        </w:rPr>
        <w:t>李</w:t>
      </w:r>
      <w:proofErr w:type="gramStart"/>
      <w:r w:rsidR="00156B94">
        <w:rPr>
          <w:rFonts w:hAnsi="標楷體" w:hint="eastAsia"/>
          <w:b/>
        </w:rPr>
        <w:t>Ｏ</w:t>
      </w:r>
      <w:proofErr w:type="gramEnd"/>
      <w:r>
        <w:rPr>
          <w:rFonts w:hint="eastAsia"/>
        </w:rPr>
        <w:t>華、該中心法醫李</w:t>
      </w:r>
      <w:proofErr w:type="gramStart"/>
      <w:r w:rsidR="00156B94">
        <w:rPr>
          <w:rFonts w:hAnsi="標楷體" w:hint="eastAsia"/>
          <w:b/>
        </w:rPr>
        <w:t>Ｏ</w:t>
      </w:r>
      <w:r>
        <w:rPr>
          <w:rFonts w:hint="eastAsia"/>
        </w:rPr>
        <w:t>鉅</w:t>
      </w:r>
      <w:proofErr w:type="gramEnd"/>
      <w:r>
        <w:rPr>
          <w:rFonts w:hint="eastAsia"/>
        </w:rPr>
        <w:t>其後於86年5月2日</w:t>
      </w:r>
      <w:proofErr w:type="gramStart"/>
      <w:r>
        <w:rPr>
          <w:rFonts w:hint="eastAsia"/>
        </w:rPr>
        <w:t>空作部</w:t>
      </w:r>
      <w:proofErr w:type="gramEnd"/>
      <w:r>
        <w:rPr>
          <w:rFonts w:hint="eastAsia"/>
        </w:rPr>
        <w:t>審理中到庭，李</w:t>
      </w:r>
      <w:proofErr w:type="gramStart"/>
      <w:r w:rsidR="00156B94">
        <w:rPr>
          <w:rFonts w:hAnsi="標楷體" w:hint="eastAsia"/>
          <w:b/>
        </w:rPr>
        <w:t>Ｏ</w:t>
      </w:r>
      <w:proofErr w:type="gramEnd"/>
      <w:r>
        <w:rPr>
          <w:rFonts w:hint="eastAsia"/>
        </w:rPr>
        <w:t>華證稱：解剖屍體時發現被害</w:t>
      </w:r>
      <w:proofErr w:type="gramStart"/>
      <w:r>
        <w:rPr>
          <w:rFonts w:hint="eastAsia"/>
        </w:rPr>
        <w:t>女童骨盆腔</w:t>
      </w:r>
      <w:proofErr w:type="gramEnd"/>
      <w:r>
        <w:rPr>
          <w:rFonts w:hint="eastAsia"/>
        </w:rPr>
        <w:t>之臟器已不能分辨</w:t>
      </w:r>
      <w:proofErr w:type="gramStart"/>
      <w:r>
        <w:rPr>
          <w:rFonts w:hint="eastAsia"/>
        </w:rPr>
        <w:t>清楚，</w:t>
      </w:r>
      <w:proofErr w:type="gramEnd"/>
      <w:r>
        <w:rPr>
          <w:rFonts w:hint="eastAsia"/>
        </w:rPr>
        <w:t>研判屍體是遭有鋸齒狀之異物重複插入導致之傷痕，所以鑑定意見認為扣案之刀子可以造成被害人之傷口，並無矛盾；李</w:t>
      </w:r>
      <w:proofErr w:type="gramStart"/>
      <w:r w:rsidR="00156B94">
        <w:rPr>
          <w:rFonts w:hAnsi="標楷體" w:hint="eastAsia"/>
          <w:b/>
        </w:rPr>
        <w:t>Ｏ</w:t>
      </w:r>
      <w:r>
        <w:rPr>
          <w:rFonts w:hint="eastAsia"/>
        </w:rPr>
        <w:t>鉅</w:t>
      </w:r>
      <w:proofErr w:type="gramEnd"/>
      <w:r>
        <w:rPr>
          <w:rFonts w:hint="eastAsia"/>
        </w:rPr>
        <w:t>則證稱：</w:t>
      </w:r>
      <w:proofErr w:type="gramStart"/>
      <w:r>
        <w:rPr>
          <w:rFonts w:hint="eastAsia"/>
        </w:rPr>
        <w:t>因骨盆腔內多軟組織</w:t>
      </w:r>
      <w:proofErr w:type="gramEnd"/>
      <w:r>
        <w:rPr>
          <w:rFonts w:hint="eastAsia"/>
        </w:rPr>
        <w:t>，據</w:t>
      </w:r>
      <w:proofErr w:type="gramStart"/>
      <w:r>
        <w:rPr>
          <w:rFonts w:hint="eastAsia"/>
        </w:rPr>
        <w:t>伊在場之</w:t>
      </w:r>
      <w:proofErr w:type="gramEnd"/>
      <w:r>
        <w:rPr>
          <w:rFonts w:hint="eastAsia"/>
        </w:rPr>
        <w:t>觀察及專業經驗判斷，研判被害女童下體，在多次被異物插入後，硬往上推擠，可造成很深之傷口</w:t>
      </w:r>
      <w:proofErr w:type="gramStart"/>
      <w:r>
        <w:rPr>
          <w:rFonts w:hint="eastAsia"/>
        </w:rPr>
        <w:t>及撕斷裂</w:t>
      </w:r>
      <w:proofErr w:type="gramEnd"/>
      <w:r>
        <w:rPr>
          <w:rFonts w:hint="eastAsia"/>
        </w:rPr>
        <w:t>傷，而非平整之切割傷等語，均具結在案</w:t>
      </w:r>
      <w:r w:rsidR="006E3877">
        <w:rPr>
          <w:rFonts w:hint="eastAsia"/>
        </w:rPr>
        <w:t>(原</w:t>
      </w:r>
      <w:r w:rsidR="0062400C">
        <w:rPr>
          <w:rFonts w:hint="eastAsia"/>
        </w:rPr>
        <w:t>空軍作戰司令部</w:t>
      </w:r>
      <w:r w:rsidR="006E3877">
        <w:t>86</w:t>
      </w:r>
      <w:r w:rsidR="006E3877">
        <w:rPr>
          <w:rFonts w:hint="eastAsia"/>
        </w:rPr>
        <w:t>年清字第</w:t>
      </w:r>
      <w:r w:rsidR="006E3877">
        <w:t>16</w:t>
      </w:r>
      <w:r w:rsidR="006E3877">
        <w:rPr>
          <w:rFonts w:hint="eastAsia"/>
        </w:rPr>
        <w:t>號審判卷第</w:t>
      </w:r>
      <w:r w:rsidR="006E3877">
        <w:t>29</w:t>
      </w:r>
      <w:r w:rsidR="006E3877">
        <w:rPr>
          <w:rFonts w:hint="eastAsia"/>
        </w:rPr>
        <w:t>頁背面至第</w:t>
      </w:r>
      <w:r w:rsidR="006E3877">
        <w:t>30</w:t>
      </w:r>
      <w:r w:rsidR="006E3877">
        <w:rPr>
          <w:rFonts w:hint="eastAsia"/>
        </w:rPr>
        <w:t>頁)</w:t>
      </w:r>
      <w:r>
        <w:rPr>
          <w:rFonts w:hint="eastAsia"/>
        </w:rPr>
        <w:t>。</w:t>
      </w:r>
      <w:proofErr w:type="gramStart"/>
      <w:r>
        <w:rPr>
          <w:rFonts w:hint="eastAsia"/>
        </w:rPr>
        <w:t>從而，</w:t>
      </w:r>
      <w:proofErr w:type="gramEnd"/>
      <w:r>
        <w:rPr>
          <w:rFonts w:hint="eastAsia"/>
        </w:rPr>
        <w:t>參諸</w:t>
      </w:r>
      <w:proofErr w:type="gramStart"/>
      <w:r>
        <w:rPr>
          <w:rFonts w:hint="eastAsia"/>
        </w:rPr>
        <w:t>前揭卷證</w:t>
      </w:r>
      <w:proofErr w:type="gramEnd"/>
      <w:r>
        <w:rPr>
          <w:rFonts w:hint="eastAsia"/>
        </w:rPr>
        <w:t>資料，該等鑑定人之意見對於該扣案「有鋸齒狀之刀刃」與國軍法醫中心</w:t>
      </w:r>
      <w:r w:rsidR="006E3877">
        <w:t>(85</w:t>
      </w:r>
      <w:r w:rsidR="006E3877">
        <w:rPr>
          <w:rFonts w:hint="eastAsia"/>
        </w:rPr>
        <w:t>)國軍醫</w:t>
      </w:r>
      <w:proofErr w:type="gramStart"/>
      <w:r w:rsidR="006E3877">
        <w:rPr>
          <w:rFonts w:hint="eastAsia"/>
        </w:rPr>
        <w:t>鑑</w:t>
      </w:r>
      <w:proofErr w:type="gramEnd"/>
      <w:r w:rsidR="006E3877">
        <w:rPr>
          <w:rFonts w:hint="eastAsia"/>
        </w:rPr>
        <w:t>字八五-○</w:t>
      </w:r>
      <w:r w:rsidR="006E3877">
        <w:rPr>
          <w:rFonts w:hint="eastAsia"/>
        </w:rPr>
        <w:lastRenderedPageBreak/>
        <w:t>四</w:t>
      </w:r>
      <w:r>
        <w:rPr>
          <w:rFonts w:hint="eastAsia"/>
        </w:rPr>
        <w:t>號鑑定書鑑定結果認：死者「死後並有刀刃</w:t>
      </w:r>
      <w:proofErr w:type="gramStart"/>
      <w:r>
        <w:rPr>
          <w:rFonts w:hint="eastAsia"/>
        </w:rPr>
        <w:t>狀鈍狀異物伸刺</w:t>
      </w:r>
      <w:proofErr w:type="gramEnd"/>
      <w:r>
        <w:rPr>
          <w:rFonts w:hint="eastAsia"/>
        </w:rPr>
        <w:t>入腹腔並造成腸道移位」</w:t>
      </w:r>
      <w:r w:rsidR="006E3877">
        <w:rPr>
          <w:rFonts w:hint="eastAsia"/>
        </w:rPr>
        <w:t>(</w:t>
      </w:r>
      <w:proofErr w:type="gramStart"/>
      <w:r w:rsidR="006E3877">
        <w:rPr>
          <w:rFonts w:hint="eastAsia"/>
        </w:rPr>
        <w:t>原空作部</w:t>
      </w:r>
      <w:proofErr w:type="gramEnd"/>
      <w:r w:rsidR="006E3877">
        <w:rPr>
          <w:rFonts w:hint="eastAsia"/>
        </w:rPr>
        <w:t>偵查卷第</w:t>
      </w:r>
      <w:r w:rsidR="006E3877">
        <w:t>125</w:t>
      </w:r>
      <w:r w:rsidR="006E3877">
        <w:rPr>
          <w:rFonts w:hint="eastAsia"/>
        </w:rPr>
        <w:t>頁)</w:t>
      </w:r>
      <w:r>
        <w:rPr>
          <w:rFonts w:hint="eastAsia"/>
        </w:rPr>
        <w:t>，所稱之「有刀刃狀『</w:t>
      </w:r>
      <w:proofErr w:type="gramStart"/>
      <w:r>
        <w:rPr>
          <w:rFonts w:hint="eastAsia"/>
        </w:rPr>
        <w:t>鈍狀</w:t>
      </w:r>
      <w:proofErr w:type="gramEnd"/>
      <w:r>
        <w:rPr>
          <w:rFonts w:hint="eastAsia"/>
        </w:rPr>
        <w:t>』異物」是否相符合乙情，雖未加以說明，惟對個案鑑定經過，未見平整切割傷之可能原因，及如何認定若該刀具以刀刃及部分刀柄進入被害女童下體，仍得造成腹部、陰部等受有前揭傷害等情，仍有所判斷，並未</w:t>
      </w:r>
      <w:proofErr w:type="gramStart"/>
      <w:r>
        <w:rPr>
          <w:rFonts w:hint="eastAsia"/>
        </w:rPr>
        <w:t>排除此刀為</w:t>
      </w:r>
      <w:proofErr w:type="gramEnd"/>
      <w:r>
        <w:rPr>
          <w:rFonts w:hint="eastAsia"/>
        </w:rPr>
        <w:t>犯罪</w:t>
      </w:r>
      <w:proofErr w:type="gramStart"/>
      <w:r>
        <w:rPr>
          <w:rFonts w:hint="eastAsia"/>
        </w:rPr>
        <w:t>兇</w:t>
      </w:r>
      <w:proofErr w:type="gramEnd"/>
      <w:r>
        <w:rPr>
          <w:rFonts w:hint="eastAsia"/>
        </w:rPr>
        <w:t>器之可能，江國慶原判決所</w:t>
      </w:r>
      <w:proofErr w:type="gramStart"/>
      <w:r>
        <w:rPr>
          <w:rFonts w:hint="eastAsia"/>
        </w:rPr>
        <w:t>採</w:t>
      </w:r>
      <w:proofErr w:type="gramEnd"/>
      <w:r>
        <w:rPr>
          <w:rFonts w:hint="eastAsia"/>
        </w:rPr>
        <w:t>並非全無所本。其後</w:t>
      </w:r>
      <w:proofErr w:type="gramStart"/>
      <w:r>
        <w:rPr>
          <w:rFonts w:hint="eastAsia"/>
        </w:rPr>
        <w:t>臺</w:t>
      </w:r>
      <w:proofErr w:type="gramEnd"/>
      <w:r>
        <w:rPr>
          <w:rFonts w:hint="eastAsia"/>
        </w:rPr>
        <w:t>北地檢署因偵辦許榮洲涉嫌殺人等案，再於100年2月17日將上開國軍法醫中心鑑定書、解剖錄影帶、照片、相關證人筆錄再送請國立臺灣大學醫學院法醫學研究所進行鑑定，鑑定意見略</w:t>
      </w:r>
      <w:proofErr w:type="gramStart"/>
      <w:r>
        <w:rPr>
          <w:rFonts w:hint="eastAsia"/>
        </w:rPr>
        <w:t>以</w:t>
      </w:r>
      <w:proofErr w:type="gramEnd"/>
      <w:r>
        <w:rPr>
          <w:rFonts w:hint="eastAsia"/>
        </w:rPr>
        <w:t>：由系爭鑑定書，陰道口有6</w:t>
      </w:r>
      <w:r w:rsidR="006E3877">
        <w:t>x</w:t>
      </w:r>
      <w:r>
        <w:rPr>
          <w:rFonts w:hint="eastAsia"/>
        </w:rPr>
        <w:t>5公分的裂口，處女膜已破裂，生殖中隔破裂且與肛門口相通，再配合錄影帶中的</w:t>
      </w:r>
      <w:proofErr w:type="gramStart"/>
      <w:r>
        <w:rPr>
          <w:rFonts w:hint="eastAsia"/>
        </w:rPr>
        <w:t>昇</w:t>
      </w:r>
      <w:proofErr w:type="gramEnd"/>
      <w:r>
        <w:rPr>
          <w:rFonts w:hint="eastAsia"/>
        </w:rPr>
        <w:t>結腸至橫結腸有穿孔和漿膜性出血等表現，其下體可能</w:t>
      </w:r>
      <w:proofErr w:type="gramStart"/>
      <w:r>
        <w:rPr>
          <w:rFonts w:hint="eastAsia"/>
        </w:rPr>
        <w:t>有鈍性物</w:t>
      </w:r>
      <w:proofErr w:type="gramEnd"/>
      <w:r w:rsidR="006E3877">
        <w:rPr>
          <w:rFonts w:hint="eastAsia"/>
        </w:rPr>
        <w:t>(或如鑑定報告所提:有刀刃狀</w:t>
      </w:r>
      <w:proofErr w:type="gramStart"/>
      <w:r w:rsidR="006E3877">
        <w:rPr>
          <w:rFonts w:hint="eastAsia"/>
        </w:rPr>
        <w:t>之鈍狀</w:t>
      </w:r>
      <w:proofErr w:type="gramEnd"/>
      <w:r w:rsidR="006E3877">
        <w:rPr>
          <w:rFonts w:hint="eastAsia"/>
        </w:rPr>
        <w:t>物)</w:t>
      </w:r>
      <w:r>
        <w:rPr>
          <w:rFonts w:hint="eastAsia"/>
        </w:rPr>
        <w:t>進入造成，至於有無男性生殖器的插入？無法確認，但其可能性也無法完全排除。…</w:t>
      </w:r>
      <w:proofErr w:type="gramStart"/>
      <w:r>
        <w:rPr>
          <w:rFonts w:hint="eastAsia"/>
        </w:rPr>
        <w:t>…</w:t>
      </w:r>
      <w:proofErr w:type="gramEnd"/>
      <w:r>
        <w:rPr>
          <w:rFonts w:hint="eastAsia"/>
        </w:rPr>
        <w:t>就案內資料判斷，本案中肛門口與陰道內面相通</w:t>
      </w:r>
      <w:proofErr w:type="gramStart"/>
      <w:r>
        <w:rPr>
          <w:rFonts w:hint="eastAsia"/>
        </w:rPr>
        <w:t>之傷較不</w:t>
      </w:r>
      <w:proofErr w:type="gramEnd"/>
      <w:r>
        <w:rPr>
          <w:rFonts w:hint="eastAsia"/>
        </w:rPr>
        <w:t>似以生殖器以外之異物插入所造成，但是否有生殖器的插入，尚難認定。…</w:t>
      </w:r>
      <w:proofErr w:type="gramStart"/>
      <w:r>
        <w:rPr>
          <w:rFonts w:hint="eastAsia"/>
        </w:rPr>
        <w:t>…</w:t>
      </w:r>
      <w:proofErr w:type="gramEnd"/>
      <w:r>
        <w:rPr>
          <w:rFonts w:hint="eastAsia"/>
        </w:rPr>
        <w:t>徒手插入陰道，難以造成如本案例所致</w:t>
      </w:r>
      <w:proofErr w:type="gramStart"/>
      <w:r>
        <w:rPr>
          <w:rFonts w:hint="eastAsia"/>
        </w:rPr>
        <w:t>柔軟腸</w:t>
      </w:r>
      <w:proofErr w:type="gramEnd"/>
      <w:r>
        <w:rPr>
          <w:rFonts w:hint="eastAsia"/>
        </w:rPr>
        <w:t>道破裂處3處形成糞便溢出於腹腔內之解剖所見。…</w:t>
      </w:r>
      <w:proofErr w:type="gramStart"/>
      <w:r>
        <w:rPr>
          <w:rFonts w:hint="eastAsia"/>
        </w:rPr>
        <w:t>…</w:t>
      </w:r>
      <w:proofErr w:type="gramEnd"/>
      <w:r>
        <w:rPr>
          <w:rFonts w:hint="eastAsia"/>
        </w:rPr>
        <w:t>本案解剖報告中並未詳細描述是否有割裂傷，無法確認是否有此</w:t>
      </w:r>
      <w:proofErr w:type="gramStart"/>
      <w:r>
        <w:rPr>
          <w:rFonts w:hint="eastAsia"/>
        </w:rPr>
        <w:t>刀刃狀長形</w:t>
      </w:r>
      <w:proofErr w:type="gramEnd"/>
      <w:r>
        <w:rPr>
          <w:rFonts w:hint="eastAsia"/>
        </w:rPr>
        <w:t>鋸齒狀異物之存在等情，此有國立臺灣大學醫學院100年3月25日鑑定</w:t>
      </w:r>
      <w:r w:rsidR="006E3877">
        <w:rPr>
          <w:rFonts w:hint="eastAsia"/>
        </w:rPr>
        <w:t>(諮詢)</w:t>
      </w:r>
      <w:r>
        <w:rPr>
          <w:rFonts w:hint="eastAsia"/>
        </w:rPr>
        <w:t>案件回覆書1份</w:t>
      </w:r>
      <w:proofErr w:type="gramStart"/>
      <w:r>
        <w:rPr>
          <w:rFonts w:hint="eastAsia"/>
        </w:rPr>
        <w:t>在卷可考</w:t>
      </w:r>
      <w:proofErr w:type="gramEnd"/>
      <w:r w:rsidR="006E3877">
        <w:rPr>
          <w:rFonts w:hint="eastAsia"/>
        </w:rPr>
        <w:t>(</w:t>
      </w:r>
      <w:proofErr w:type="gramStart"/>
      <w:r w:rsidR="006E3877">
        <w:rPr>
          <w:rFonts w:hint="eastAsia"/>
        </w:rPr>
        <w:t>臺</w:t>
      </w:r>
      <w:proofErr w:type="gramEnd"/>
      <w:r w:rsidR="006E3877">
        <w:rPr>
          <w:rFonts w:hint="eastAsia"/>
        </w:rPr>
        <w:t>北地檢署</w:t>
      </w:r>
      <w:proofErr w:type="gramStart"/>
      <w:r w:rsidR="006E3877">
        <w:t>100</w:t>
      </w:r>
      <w:proofErr w:type="gramEnd"/>
      <w:r w:rsidR="006E3877">
        <w:rPr>
          <w:rFonts w:hint="eastAsia"/>
        </w:rPr>
        <w:t>年度</w:t>
      </w:r>
      <w:proofErr w:type="gramStart"/>
      <w:r w:rsidR="006E3877">
        <w:rPr>
          <w:rFonts w:hint="eastAsia"/>
        </w:rPr>
        <w:t>偵</w:t>
      </w:r>
      <w:proofErr w:type="gramEnd"/>
      <w:r w:rsidR="006E3877">
        <w:rPr>
          <w:rFonts w:hint="eastAsia"/>
        </w:rPr>
        <w:t>字第</w:t>
      </w:r>
      <w:r w:rsidR="006E3877">
        <w:t>3122</w:t>
      </w:r>
      <w:r w:rsidR="006E3877">
        <w:rPr>
          <w:rFonts w:hint="eastAsia"/>
        </w:rPr>
        <w:t>號偵查卷第</w:t>
      </w:r>
      <w:r w:rsidR="006E3877">
        <w:t>4</w:t>
      </w:r>
      <w:r w:rsidR="006E3877">
        <w:rPr>
          <w:rFonts w:hint="eastAsia"/>
        </w:rPr>
        <w:t>卷第</w:t>
      </w:r>
      <w:r w:rsidR="006E3877">
        <w:t>3</w:t>
      </w:r>
      <w:r w:rsidR="006E3877">
        <w:rPr>
          <w:rFonts w:hint="eastAsia"/>
        </w:rPr>
        <w:t>頁至第</w:t>
      </w:r>
      <w:r w:rsidR="006E3877">
        <w:t>6</w:t>
      </w:r>
      <w:r w:rsidR="006E3877">
        <w:rPr>
          <w:rFonts w:hint="eastAsia"/>
        </w:rPr>
        <w:t>頁)</w:t>
      </w:r>
      <w:r w:rsidR="0062400C">
        <w:rPr>
          <w:rFonts w:hint="eastAsia"/>
        </w:rPr>
        <w:t>。</w:t>
      </w:r>
      <w:proofErr w:type="gramStart"/>
      <w:r w:rsidR="0062400C">
        <w:rPr>
          <w:rFonts w:hint="eastAsia"/>
        </w:rPr>
        <w:t>從而</w:t>
      </w:r>
      <w:r>
        <w:rPr>
          <w:rFonts w:hint="eastAsia"/>
        </w:rPr>
        <w:t>，</w:t>
      </w:r>
      <w:proofErr w:type="gramEnd"/>
      <w:r>
        <w:rPr>
          <w:rFonts w:hint="eastAsia"/>
        </w:rPr>
        <w:t>國軍法醫中心依據所觀察死者傷勢鑑定結果及該可疑兇刀之外觀研判，該死者傷勢可能係由該有鋸</w:t>
      </w:r>
      <w:r>
        <w:rPr>
          <w:rFonts w:hint="eastAsia"/>
        </w:rPr>
        <w:lastRenderedPageBreak/>
        <w:t>齒狀之</w:t>
      </w:r>
      <w:proofErr w:type="gramStart"/>
      <w:r>
        <w:rPr>
          <w:rFonts w:hint="eastAsia"/>
        </w:rPr>
        <w:t>兇</w:t>
      </w:r>
      <w:proofErr w:type="gramEnd"/>
      <w:r>
        <w:rPr>
          <w:rFonts w:hint="eastAsia"/>
        </w:rPr>
        <w:t>器</w:t>
      </w:r>
      <w:r w:rsidR="006E3877">
        <w:rPr>
          <w:rFonts w:hint="eastAsia"/>
        </w:rPr>
        <w:t>(刀刃及刀柄總長</w:t>
      </w:r>
      <w:r w:rsidR="006E3877">
        <w:t>30</w:t>
      </w:r>
      <w:r w:rsidR="006E3877">
        <w:rPr>
          <w:rFonts w:hint="eastAsia"/>
        </w:rPr>
        <w:t>公分)</w:t>
      </w:r>
      <w:r>
        <w:rPr>
          <w:rFonts w:hint="eastAsia"/>
        </w:rPr>
        <w:t>重複插入所造成；而國立臺灣大學醫學院法醫學研究所鑑定意見則稱，不排除死者下體可能如該中心鑑定書所提，有「刀刃狀</w:t>
      </w:r>
      <w:proofErr w:type="gramStart"/>
      <w:r>
        <w:rPr>
          <w:rFonts w:hint="eastAsia"/>
        </w:rPr>
        <w:t>之鈍狀</w:t>
      </w:r>
      <w:proofErr w:type="gramEnd"/>
      <w:r>
        <w:rPr>
          <w:rFonts w:hint="eastAsia"/>
        </w:rPr>
        <w:t>物」進入造成，惟對於是否有如扣案兇刀之「</w:t>
      </w:r>
      <w:proofErr w:type="gramStart"/>
      <w:r>
        <w:rPr>
          <w:rFonts w:hint="eastAsia"/>
        </w:rPr>
        <w:t>刀刃狀長形</w:t>
      </w:r>
      <w:proofErr w:type="gramEnd"/>
      <w:r>
        <w:rPr>
          <w:rFonts w:hint="eastAsia"/>
        </w:rPr>
        <w:t>鋸齒狀異物」之存在，仍認無法確認。故國軍法醫中心鑑定雖未詳細描述是否有割裂傷部分確實有所疏漏，然所為尚難認逾越法醫專業，其所為鑑定方式亦屬科學方法範疇，雖與國立臺灣大學醫學院法醫學研究所鑑定意見有所差異，但仍屬法醫經驗法則判斷範疇，自尚不</w:t>
      </w:r>
      <w:r w:rsidR="00B2587A">
        <w:rPr>
          <w:rFonts w:hint="eastAsia"/>
        </w:rPr>
        <w:t>能</w:t>
      </w:r>
      <w:r>
        <w:rPr>
          <w:rFonts w:hint="eastAsia"/>
        </w:rPr>
        <w:t>僅憑該差別，</w:t>
      </w:r>
      <w:proofErr w:type="gramStart"/>
      <w:r>
        <w:rPr>
          <w:rFonts w:hint="eastAsia"/>
        </w:rPr>
        <w:t>逕</w:t>
      </w:r>
      <w:proofErr w:type="gramEnd"/>
      <w:r>
        <w:rPr>
          <w:rFonts w:hint="eastAsia"/>
        </w:rPr>
        <w:t>認定該鑑定報告就此部分有鑑定違失。</w:t>
      </w:r>
    </w:p>
    <w:p w:rsidR="00CE314E" w:rsidRPr="00377B49" w:rsidRDefault="00CE314E" w:rsidP="00BD3D8E">
      <w:pPr>
        <w:pStyle w:val="2"/>
        <w:rPr>
          <w:b/>
        </w:rPr>
      </w:pPr>
      <w:bookmarkStart w:id="3" w:name="_Toc465676851"/>
      <w:r w:rsidRPr="00377B49">
        <w:rPr>
          <w:rFonts w:hint="eastAsia"/>
          <w:b/>
        </w:rPr>
        <w:t>法醫研究所</w:t>
      </w:r>
      <w:r w:rsidR="006E3877" w:rsidRPr="00377B49">
        <w:rPr>
          <w:b/>
        </w:rPr>
        <w:t>(90)</w:t>
      </w:r>
      <w:r w:rsidRPr="00377B49">
        <w:rPr>
          <w:rFonts w:hint="eastAsia"/>
          <w:b/>
        </w:rPr>
        <w:t>法醫所</w:t>
      </w:r>
      <w:proofErr w:type="gramStart"/>
      <w:r w:rsidRPr="00377B49">
        <w:rPr>
          <w:rFonts w:hint="eastAsia"/>
          <w:b/>
        </w:rPr>
        <w:t>醫鑑</w:t>
      </w:r>
      <w:proofErr w:type="gramEnd"/>
      <w:r w:rsidRPr="00377B49">
        <w:rPr>
          <w:rFonts w:hint="eastAsia"/>
          <w:b/>
        </w:rPr>
        <w:t>字第04800666號鑑定書所為刀痕鑑定</w:t>
      </w:r>
      <w:r w:rsidR="0035639E">
        <w:rPr>
          <w:rFonts w:hint="eastAsia"/>
          <w:b/>
        </w:rPr>
        <w:t>方法</w:t>
      </w:r>
      <w:r w:rsidR="0035639E">
        <w:rPr>
          <w:rFonts w:ascii="新細明體" w:eastAsia="新細明體" w:hAnsi="新細明體" w:hint="eastAsia"/>
          <w:b/>
        </w:rPr>
        <w:t>，</w:t>
      </w:r>
      <w:r w:rsidRPr="00377B49">
        <w:rPr>
          <w:rFonts w:hint="eastAsia"/>
          <w:b/>
        </w:rPr>
        <w:t>確與現今該項科學鑑定技術未盡相符，惟考量當時該項鑑定之實驗方式係該所因應法院調查證據之要求所開創之刀痕鑑定方法，為當時所能提供</w:t>
      </w:r>
      <w:proofErr w:type="gramStart"/>
      <w:r w:rsidRPr="00377B49">
        <w:rPr>
          <w:rFonts w:hint="eastAsia"/>
          <w:b/>
        </w:rPr>
        <w:t>最佳</w:t>
      </w:r>
      <w:r w:rsidR="004A6454">
        <w:rPr>
          <w:rFonts w:hint="eastAsia"/>
          <w:b/>
        </w:rPr>
        <w:t>之</w:t>
      </w:r>
      <w:proofErr w:type="gramEnd"/>
      <w:r w:rsidRPr="00377B49">
        <w:rPr>
          <w:rFonts w:hint="eastAsia"/>
          <w:b/>
        </w:rPr>
        <w:t>實驗方式，</w:t>
      </w:r>
      <w:proofErr w:type="gramStart"/>
      <w:r w:rsidRPr="00377B49">
        <w:rPr>
          <w:rFonts w:hint="eastAsia"/>
          <w:b/>
        </w:rPr>
        <w:t>縱該鑑定</w:t>
      </w:r>
      <w:proofErr w:type="gramEnd"/>
      <w:r w:rsidRPr="00377B49">
        <w:rPr>
          <w:rFonts w:hint="eastAsia"/>
          <w:b/>
        </w:rPr>
        <w:t>方法有違美國道伯法則，亦屬法院就該項鑑定意見有無證據能力之判斷權責與範疇，自難據以認定確有違失。</w:t>
      </w:r>
      <w:bookmarkEnd w:id="3"/>
    </w:p>
    <w:p w:rsidR="00CE314E" w:rsidRPr="00377B49" w:rsidRDefault="00CE314E" w:rsidP="00BD3D8E">
      <w:pPr>
        <w:pStyle w:val="3"/>
        <w:rPr>
          <w:b/>
        </w:rPr>
      </w:pPr>
      <w:r w:rsidRPr="00377B49">
        <w:rPr>
          <w:rFonts w:hint="eastAsia"/>
          <w:b/>
        </w:rPr>
        <w:t>司改會陳訴要點：</w:t>
      </w:r>
    </w:p>
    <w:p w:rsidR="00CE314E" w:rsidRDefault="00CE314E" w:rsidP="00BD3D8E">
      <w:pPr>
        <w:pStyle w:val="32"/>
        <w:ind w:left="1361" w:firstLine="680"/>
      </w:pPr>
      <w:r>
        <w:rPr>
          <w:rFonts w:hint="eastAsia"/>
        </w:rPr>
        <w:t>司改會陳訴：80年3月24日清晨被害人吳</w:t>
      </w:r>
      <w:proofErr w:type="gramStart"/>
      <w:r w:rsidR="00156B94">
        <w:rPr>
          <w:rFonts w:hAnsi="標楷體" w:hint="eastAsia"/>
          <w:b/>
        </w:rPr>
        <w:t>Ｏ</w:t>
      </w:r>
      <w:proofErr w:type="gramEnd"/>
      <w:r>
        <w:rPr>
          <w:rFonts w:hint="eastAsia"/>
        </w:rPr>
        <w:t>漢、葉</w:t>
      </w:r>
      <w:proofErr w:type="gramStart"/>
      <w:r w:rsidR="00156B94">
        <w:rPr>
          <w:rFonts w:hAnsi="標楷體" w:hint="eastAsia"/>
          <w:b/>
        </w:rPr>
        <w:t>Ｏ</w:t>
      </w:r>
      <w:proofErr w:type="gramEnd"/>
      <w:r>
        <w:rPr>
          <w:rFonts w:hint="eastAsia"/>
        </w:rPr>
        <w:t>蘭夫婦被發現陳屍在臥房中，共被砍殺79刀身亡。本案89年開始再審後，將全案移送法務部法醫研究所進行鑑定，囑託鑑定之爭點如下：</w:t>
      </w:r>
    </w:p>
    <w:p w:rsidR="00CE314E" w:rsidRDefault="00CE314E" w:rsidP="00BD3D8E">
      <w:pPr>
        <w:pStyle w:val="4"/>
      </w:pPr>
      <w:r>
        <w:rPr>
          <w:rFonts w:hint="eastAsia"/>
        </w:rPr>
        <w:t>女性死者是否曾遭換穿衣服，用以驗證自白是否真實：就此，法醫研究所分析照片女性死者衣服之血跡</w:t>
      </w:r>
      <w:proofErr w:type="gramStart"/>
      <w:r>
        <w:rPr>
          <w:rFonts w:hint="eastAsia"/>
        </w:rPr>
        <w:t>噴濺痕</w:t>
      </w:r>
      <w:proofErr w:type="gramEnd"/>
      <w:r>
        <w:rPr>
          <w:rFonts w:hint="eastAsia"/>
        </w:rPr>
        <w:t>，作出「推定女性被害人</w:t>
      </w:r>
      <w:proofErr w:type="gramStart"/>
      <w:r>
        <w:rPr>
          <w:rFonts w:hint="eastAsia"/>
        </w:rPr>
        <w:t>陳屍所穿著</w:t>
      </w:r>
      <w:proofErr w:type="gramEnd"/>
      <w:r>
        <w:rPr>
          <w:rFonts w:hint="eastAsia"/>
        </w:rPr>
        <w:t>衣服</w:t>
      </w:r>
      <w:r w:rsidR="006E3877">
        <w:t>(</w:t>
      </w:r>
      <w:r w:rsidR="006E3877">
        <w:rPr>
          <w:rFonts w:hint="eastAsia"/>
        </w:rPr>
        <w:t>上衣</w:t>
      </w:r>
      <w:r w:rsidR="006E3877">
        <w:t>)</w:t>
      </w:r>
      <w:r>
        <w:rPr>
          <w:rFonts w:hint="eastAsia"/>
        </w:rPr>
        <w:t>應為頭部遭</w:t>
      </w:r>
      <w:proofErr w:type="gramStart"/>
      <w:r>
        <w:rPr>
          <w:rFonts w:hint="eastAsia"/>
        </w:rPr>
        <w:t>兇</w:t>
      </w:r>
      <w:proofErr w:type="gramEnd"/>
      <w:r>
        <w:rPr>
          <w:rFonts w:hint="eastAsia"/>
        </w:rPr>
        <w:t>器砍殺時所穿，於死亡後未遭更換。」鑑定結論。</w:t>
      </w:r>
      <w:proofErr w:type="gramStart"/>
      <w:r>
        <w:rPr>
          <w:rFonts w:hint="eastAsia"/>
        </w:rPr>
        <w:t>是項爭點</w:t>
      </w:r>
      <w:proofErr w:type="gramEnd"/>
      <w:r>
        <w:rPr>
          <w:rFonts w:hint="eastAsia"/>
        </w:rPr>
        <w:t>，檢辯</w:t>
      </w:r>
      <w:proofErr w:type="gramStart"/>
      <w:r>
        <w:rPr>
          <w:rFonts w:hint="eastAsia"/>
        </w:rPr>
        <w:t>雙方均無爭執</w:t>
      </w:r>
      <w:proofErr w:type="gramEnd"/>
      <w:r>
        <w:rPr>
          <w:rFonts w:hint="eastAsia"/>
        </w:rPr>
        <w:t>，自白與真實不符，為有利被告之鑑</w:t>
      </w:r>
      <w:r>
        <w:rPr>
          <w:rFonts w:hint="eastAsia"/>
        </w:rPr>
        <w:lastRenderedPageBreak/>
        <w:t>定結論。</w:t>
      </w:r>
    </w:p>
    <w:p w:rsidR="00CE314E" w:rsidRDefault="00CE314E" w:rsidP="00BD3D8E">
      <w:pPr>
        <w:pStyle w:val="4"/>
      </w:pPr>
      <w:r>
        <w:rPr>
          <w:rFonts w:hint="eastAsia"/>
        </w:rPr>
        <w:t>兩位死者究竟為1人單獨行兇所殺害，抑或4人同時行兇：就此，法醫研究所作出「</w:t>
      </w:r>
      <w:proofErr w:type="gramStart"/>
      <w:r>
        <w:rPr>
          <w:rFonts w:hint="eastAsia"/>
        </w:rPr>
        <w:t>吳葉兩位</w:t>
      </w:r>
      <w:proofErr w:type="gramEnd"/>
      <w:r>
        <w:rPr>
          <w:rFonts w:hint="eastAsia"/>
        </w:rPr>
        <w:t>被害人屍體之傷勢，不可能僅由</w:t>
      </w:r>
      <w:proofErr w:type="gramStart"/>
      <w:r>
        <w:rPr>
          <w:rFonts w:hint="eastAsia"/>
        </w:rPr>
        <w:t>同一種刀器</w:t>
      </w:r>
      <w:proofErr w:type="gramEnd"/>
      <w:r>
        <w:rPr>
          <w:rFonts w:hint="eastAsia"/>
        </w:rPr>
        <w:t>造成，而係由不同的刀器造成。」</w:t>
      </w:r>
      <w:r w:rsidR="004A6454">
        <w:rPr>
          <w:rFonts w:hint="eastAsia"/>
        </w:rPr>
        <w:t>之結論</w:t>
      </w:r>
      <w:r w:rsidR="004A6454">
        <w:rPr>
          <w:rFonts w:ascii="新細明體" w:eastAsia="新細明體" w:hAnsi="新細明體" w:hint="eastAsia"/>
        </w:rPr>
        <w:t>。</w:t>
      </w:r>
    </w:p>
    <w:p w:rsidR="00CE314E" w:rsidRDefault="00CE314E" w:rsidP="00BD3D8E">
      <w:pPr>
        <w:pStyle w:val="4"/>
      </w:pPr>
      <w:r>
        <w:rPr>
          <w:rFonts w:hint="eastAsia"/>
        </w:rPr>
        <w:t>法務部法醫研究所就被害人吳</w:t>
      </w:r>
      <w:proofErr w:type="gramStart"/>
      <w:r w:rsidR="00156B94">
        <w:rPr>
          <w:rFonts w:hAnsi="標楷體" w:hint="eastAsia"/>
          <w:b/>
        </w:rPr>
        <w:t>Ｏ</w:t>
      </w:r>
      <w:proofErr w:type="gramEnd"/>
      <w:r>
        <w:rPr>
          <w:rFonts w:hint="eastAsia"/>
        </w:rPr>
        <w:t>漢、葉</w:t>
      </w:r>
      <w:proofErr w:type="gramStart"/>
      <w:r w:rsidR="00156B94">
        <w:rPr>
          <w:rFonts w:hAnsi="標楷體" w:hint="eastAsia"/>
          <w:b/>
        </w:rPr>
        <w:t>Ｏ</w:t>
      </w:r>
      <w:proofErr w:type="gramEnd"/>
      <w:r>
        <w:rPr>
          <w:rFonts w:hint="eastAsia"/>
        </w:rPr>
        <w:t>蘭骨骸刀痕經外型比對、高解析度超音波與電腦斷層影像觀察之刀刃角度特徵比對，</w:t>
      </w:r>
      <w:proofErr w:type="gramStart"/>
      <w:r>
        <w:rPr>
          <w:rFonts w:hint="eastAsia"/>
        </w:rPr>
        <w:t>鑑</w:t>
      </w:r>
      <w:proofErr w:type="gramEnd"/>
      <w:r>
        <w:rPr>
          <w:rFonts w:hint="eastAsia"/>
        </w:rPr>
        <w:t>驗結果支持至少有3種類別刀刃</w:t>
      </w:r>
      <w:proofErr w:type="gramStart"/>
      <w:r>
        <w:rPr>
          <w:rFonts w:hint="eastAsia"/>
        </w:rPr>
        <w:t>兇</w:t>
      </w:r>
      <w:proofErr w:type="gramEnd"/>
      <w:r>
        <w:rPr>
          <w:rFonts w:hint="eastAsia"/>
        </w:rPr>
        <w:t>器之鑑定結論。其爭執重點在法醫研究所使用之「骨骸刀痕角度鑑定方法」，是否符合科學原理部分，司改會指摘法醫研究所骨骸刀痕鑑定方法－角度比對法，僅取得兇刀與被害人遺骨，因未尋獲兇刀，無法進行骨骸刀痕紋路比對鑑定。鑑定人等針對本案，自創鑑定方法，量取被害人遺骨上之刀痕角度，推論刀痕角度約0度為水果刀類造成，刀痕角度約20度為菜刀類造成，刀痕角度約40度為開山刀類造成，得出被害者2人至少遭3種類別刀刃</w:t>
      </w:r>
      <w:proofErr w:type="gramStart"/>
      <w:r>
        <w:rPr>
          <w:rFonts w:hint="eastAsia"/>
        </w:rPr>
        <w:t>兇</w:t>
      </w:r>
      <w:proofErr w:type="gramEnd"/>
      <w:r>
        <w:rPr>
          <w:rFonts w:hint="eastAsia"/>
        </w:rPr>
        <w:t>器砍殺的鑑定結論，作出不實結論與</w:t>
      </w:r>
      <w:r w:rsidR="004F2950">
        <w:rPr>
          <w:rFonts w:hint="eastAsia"/>
        </w:rPr>
        <w:t>違反</w:t>
      </w:r>
      <w:r>
        <w:rPr>
          <w:rFonts w:hint="eastAsia"/>
        </w:rPr>
        <w:t>科學分類原理，套合被告自白情節，有違道伯法則。</w:t>
      </w:r>
    </w:p>
    <w:p w:rsidR="00CE314E" w:rsidRPr="00377B49" w:rsidRDefault="00CE314E" w:rsidP="00BD3D8E">
      <w:pPr>
        <w:pStyle w:val="3"/>
        <w:rPr>
          <w:b/>
        </w:rPr>
      </w:pPr>
      <w:r w:rsidRPr="00377B49">
        <w:rPr>
          <w:rFonts w:hint="eastAsia"/>
          <w:b/>
        </w:rPr>
        <w:t>蘇建和案鑑定過程</w:t>
      </w:r>
    </w:p>
    <w:p w:rsidR="00CE314E" w:rsidRDefault="00CE314E" w:rsidP="00BD3D8E">
      <w:pPr>
        <w:pStyle w:val="4"/>
      </w:pPr>
      <w:r>
        <w:rPr>
          <w:rFonts w:hint="eastAsia"/>
        </w:rPr>
        <w:t>按蘇建和案</w:t>
      </w:r>
      <w:r w:rsidR="00FC5123">
        <w:rPr>
          <w:rStyle w:val="afe"/>
        </w:rPr>
        <w:footnoteReference w:id="10"/>
      </w:r>
      <w:r>
        <w:rPr>
          <w:rFonts w:hint="eastAsia"/>
        </w:rPr>
        <w:t>主要爭點在於劉秉郎、莊林勳、蘇建</w:t>
      </w:r>
      <w:r>
        <w:rPr>
          <w:rFonts w:hint="eastAsia"/>
        </w:rPr>
        <w:lastRenderedPageBreak/>
        <w:t>和有無參與犯案，究係王文孝一人單獨犯案或數人犯案，因公訴事實認定主要以被告自白為主，故尚需其他證據加以補強。從而</w:t>
      </w:r>
      <w:r w:rsidR="004F2950">
        <w:rPr>
          <w:rFonts w:hint="eastAsia"/>
        </w:rPr>
        <w:t>臺灣高等法院</w:t>
      </w:r>
      <w:r>
        <w:rPr>
          <w:rFonts w:hint="eastAsia"/>
        </w:rPr>
        <w:t>再審審理</w:t>
      </w:r>
      <w:r w:rsidR="006E3877">
        <w:t>(</w:t>
      </w:r>
      <w:proofErr w:type="gramStart"/>
      <w:r w:rsidR="006E3877">
        <w:t>89</w:t>
      </w:r>
      <w:r w:rsidR="006E3877">
        <w:rPr>
          <w:rFonts w:hint="eastAsia"/>
        </w:rPr>
        <w:t>年</w:t>
      </w:r>
      <w:r w:rsidR="004A6454">
        <w:rPr>
          <w:rFonts w:hint="eastAsia"/>
        </w:rPr>
        <w:t>度</w:t>
      </w:r>
      <w:r w:rsidR="006E3877">
        <w:rPr>
          <w:rFonts w:hint="eastAsia"/>
        </w:rPr>
        <w:t>再字第</w:t>
      </w:r>
      <w:r w:rsidR="006E3877">
        <w:t>4</w:t>
      </w:r>
      <w:r w:rsidR="006E3877">
        <w:rPr>
          <w:rFonts w:hint="eastAsia"/>
        </w:rPr>
        <w:t>號</w:t>
      </w:r>
      <w:proofErr w:type="gramEnd"/>
      <w:r w:rsidR="006E3877">
        <w:rPr>
          <w:rFonts w:hint="eastAsia"/>
        </w:rPr>
        <w:t>)</w:t>
      </w:r>
      <w:r>
        <w:rPr>
          <w:rFonts w:hint="eastAsia"/>
        </w:rPr>
        <w:t>時囑託法醫研究所就被害人骨骸刀痕為鑑定，法醫研究所</w:t>
      </w:r>
      <w:r w:rsidR="006E3877">
        <w:t>(90)</w:t>
      </w:r>
      <w:r>
        <w:rPr>
          <w:rFonts w:hint="eastAsia"/>
        </w:rPr>
        <w:t>法醫所</w:t>
      </w:r>
      <w:proofErr w:type="gramStart"/>
      <w:r>
        <w:rPr>
          <w:rFonts w:hint="eastAsia"/>
        </w:rPr>
        <w:t>醫鑑</w:t>
      </w:r>
      <w:proofErr w:type="gramEnd"/>
      <w:r>
        <w:rPr>
          <w:rFonts w:hint="eastAsia"/>
        </w:rPr>
        <w:t>字第04800666鑑定書鑑定結果</w:t>
      </w:r>
      <w:proofErr w:type="gramStart"/>
      <w:r>
        <w:rPr>
          <w:rFonts w:hint="eastAsia"/>
        </w:rPr>
        <w:t>以</w:t>
      </w:r>
      <w:proofErr w:type="gramEnd"/>
      <w:r>
        <w:rPr>
          <w:rFonts w:hint="eastAsia"/>
        </w:rPr>
        <w:t>：「由吳</w:t>
      </w:r>
      <w:proofErr w:type="gramStart"/>
      <w:r w:rsidR="00156B94">
        <w:rPr>
          <w:rFonts w:hAnsi="標楷體" w:hint="eastAsia"/>
          <w:b/>
        </w:rPr>
        <w:t>Ｏ</w:t>
      </w:r>
      <w:proofErr w:type="gramEnd"/>
      <w:r>
        <w:rPr>
          <w:rFonts w:hint="eastAsia"/>
        </w:rPr>
        <w:t>漢及葉</w:t>
      </w:r>
      <w:proofErr w:type="gramStart"/>
      <w:r w:rsidR="00156B94">
        <w:rPr>
          <w:rFonts w:hAnsi="標楷體" w:hint="eastAsia"/>
          <w:b/>
        </w:rPr>
        <w:t>Ｏ</w:t>
      </w:r>
      <w:proofErr w:type="gramEnd"/>
      <w:r>
        <w:rPr>
          <w:rFonts w:hint="eastAsia"/>
        </w:rPr>
        <w:t>蘭骨骸中界定為可供</w:t>
      </w:r>
      <w:proofErr w:type="gramStart"/>
      <w:r>
        <w:rPr>
          <w:rFonts w:hint="eastAsia"/>
        </w:rPr>
        <w:t>鑑</w:t>
      </w:r>
      <w:proofErr w:type="gramEnd"/>
      <w:r>
        <w:rPr>
          <w:rFonts w:hint="eastAsia"/>
        </w:rPr>
        <w:t>驗骨骸刀痕，經高解析度超音波與電腦斷層影像</w:t>
      </w:r>
      <w:proofErr w:type="gramStart"/>
      <w:r>
        <w:rPr>
          <w:rFonts w:hint="eastAsia"/>
        </w:rPr>
        <w:t>鑑</w:t>
      </w:r>
      <w:proofErr w:type="gramEnd"/>
      <w:r>
        <w:rPr>
          <w:rFonts w:hint="eastAsia"/>
        </w:rPr>
        <w:t>驗所得之可辨識刀痕形狀，顯示兩位受害者顱骨多處刀痕截面角度不同，刀痕切削面平整顯示刀刃沒有變鈍的跡象，僅有此一小缺口。觀察受害者之顱骨刀傷，由角度或是刀痕底部的擠壓特徵來看，凶器為</w:t>
      </w:r>
      <w:proofErr w:type="gramStart"/>
      <w:r>
        <w:rPr>
          <w:rFonts w:hint="eastAsia"/>
        </w:rPr>
        <w:t>重型鈍</w:t>
      </w:r>
      <w:proofErr w:type="gramEnd"/>
      <w:r>
        <w:rPr>
          <w:rFonts w:hint="eastAsia"/>
        </w:rPr>
        <w:t>器，刀刃角度不同，且刀刃形式也不一樣，而上述兩類顱骨刀痕與葉盈蘭之肩胛骨刀痕特徵又不同，因此研判至少有3種類。」因而確認殺害吳某夫婦之</w:t>
      </w:r>
      <w:proofErr w:type="gramStart"/>
      <w:r>
        <w:rPr>
          <w:rFonts w:hint="eastAsia"/>
        </w:rPr>
        <w:t>兇</w:t>
      </w:r>
      <w:proofErr w:type="gramEnd"/>
      <w:r>
        <w:rPr>
          <w:rFonts w:hint="eastAsia"/>
        </w:rPr>
        <w:t>器至少有菜刀、水果刀、開山刀3種，且另推定行兇者為2人以上。</w:t>
      </w:r>
    </w:p>
    <w:p w:rsidR="00CE314E" w:rsidRDefault="00CE314E" w:rsidP="00BD3D8E">
      <w:pPr>
        <w:pStyle w:val="4"/>
      </w:pPr>
      <w:r>
        <w:rPr>
          <w:rFonts w:hint="eastAsia"/>
        </w:rPr>
        <w:t>其後臺灣高等法院再更二審</w:t>
      </w:r>
      <w:r w:rsidR="006E3877">
        <w:t>(</w:t>
      </w:r>
      <w:proofErr w:type="gramStart"/>
      <w:r w:rsidR="006E3877">
        <w:t>96</w:t>
      </w:r>
      <w:r w:rsidR="006E3877">
        <w:rPr>
          <w:rFonts w:hint="eastAsia"/>
        </w:rPr>
        <w:t>年</w:t>
      </w:r>
      <w:r w:rsidR="004A6454">
        <w:rPr>
          <w:rFonts w:hint="eastAsia"/>
        </w:rPr>
        <w:t>度</w:t>
      </w:r>
      <w:r w:rsidR="006E3877">
        <w:rPr>
          <w:rFonts w:hint="eastAsia"/>
        </w:rPr>
        <w:t>矚再更</w:t>
      </w:r>
      <w:proofErr w:type="gramEnd"/>
      <w:r w:rsidR="006E3877">
        <w:rPr>
          <w:rFonts w:hint="eastAsia"/>
        </w:rPr>
        <w:t>二字第</w:t>
      </w:r>
      <w:r w:rsidR="006E3877">
        <w:t>1</w:t>
      </w:r>
      <w:r w:rsidR="006E3877">
        <w:rPr>
          <w:rFonts w:hint="eastAsia"/>
        </w:rPr>
        <w:t>號)</w:t>
      </w:r>
      <w:r>
        <w:rPr>
          <w:rFonts w:hint="eastAsia"/>
        </w:rPr>
        <w:t>囑託李昌鈺博士</w:t>
      </w:r>
      <w:proofErr w:type="gramStart"/>
      <w:r>
        <w:t>97</w:t>
      </w:r>
      <w:r>
        <w:rPr>
          <w:rFonts w:hint="eastAsia"/>
        </w:rPr>
        <w:t>年</w:t>
      </w:r>
      <w:r>
        <w:t>6</w:t>
      </w:r>
      <w:r>
        <w:rPr>
          <w:rFonts w:hint="eastAsia"/>
        </w:rPr>
        <w:t>月</w:t>
      </w:r>
      <w:r>
        <w:t>20</w:t>
      </w:r>
      <w:r>
        <w:rPr>
          <w:rFonts w:hint="eastAsia"/>
        </w:rPr>
        <w:t>日赴本案</w:t>
      </w:r>
      <w:proofErr w:type="gramEnd"/>
      <w:r>
        <w:rPr>
          <w:rFonts w:hint="eastAsia"/>
        </w:rPr>
        <w:t>發生現場，藉由資料分析、現場還原、血跡分佈及重</w:t>
      </w:r>
      <w:r>
        <w:rPr>
          <w:rFonts w:hint="eastAsia"/>
        </w:rPr>
        <w:lastRenderedPageBreak/>
        <w:t>建程序，依科學方法進行犯罪現場重建，該鑑定結論略</w:t>
      </w:r>
      <w:proofErr w:type="gramStart"/>
      <w:r>
        <w:rPr>
          <w:rFonts w:hint="eastAsia"/>
        </w:rPr>
        <w:t>以</w:t>
      </w:r>
      <w:proofErr w:type="gramEnd"/>
      <w:r>
        <w:rPr>
          <w:rFonts w:hint="eastAsia"/>
        </w:rPr>
        <w:t>：</w:t>
      </w:r>
      <w:r>
        <w:t>1.</w:t>
      </w:r>
      <w:r>
        <w:rPr>
          <w:rFonts w:hint="eastAsia"/>
        </w:rPr>
        <w:t>現場人員在浴室內找到</w:t>
      </w:r>
      <w:r>
        <w:t>12</w:t>
      </w:r>
      <w:r>
        <w:rPr>
          <w:rFonts w:hint="eastAsia"/>
        </w:rPr>
        <w:t>根毛髮，這些毛髮全屬被害者或其家屬。現場並無任何毛髮、</w:t>
      </w:r>
      <w:proofErr w:type="gramStart"/>
      <w:r>
        <w:rPr>
          <w:rFonts w:hint="eastAsia"/>
        </w:rPr>
        <w:t>微物屬於</w:t>
      </w:r>
      <w:proofErr w:type="gramEnd"/>
      <w:r>
        <w:t>3</w:t>
      </w:r>
      <w:r>
        <w:rPr>
          <w:rFonts w:hint="eastAsia"/>
        </w:rPr>
        <w:t>嫌，也顯示其他</w:t>
      </w:r>
      <w:r>
        <w:t>3</w:t>
      </w:r>
      <w:r>
        <w:rPr>
          <w:rFonts w:hint="eastAsia"/>
        </w:rPr>
        <w:t>人不在犯罪現場。從現場實際情形、活動空間、傷口型態和位置、可能涉</w:t>
      </w:r>
      <w:proofErr w:type="gramStart"/>
      <w:r>
        <w:rPr>
          <w:rFonts w:hint="eastAsia"/>
        </w:rPr>
        <w:t>案刀棍和</w:t>
      </w:r>
      <w:proofErr w:type="gramEnd"/>
      <w:r>
        <w:rPr>
          <w:rFonts w:hint="eastAsia"/>
        </w:rPr>
        <w:t>血跡形態、涉案人手長、</w:t>
      </w:r>
      <w:proofErr w:type="gramStart"/>
      <w:r>
        <w:rPr>
          <w:rFonts w:hint="eastAsia"/>
        </w:rPr>
        <w:t>胸寬</w:t>
      </w:r>
      <w:proofErr w:type="gramEnd"/>
      <w:r>
        <w:rPr>
          <w:rFonts w:hint="eastAsia"/>
        </w:rPr>
        <w:t>、被害者傷口方向等資料推斷，本案現場犯案空間相當狹隘。現場雖可勉強擠進</w:t>
      </w:r>
      <w:r>
        <w:t>6</w:t>
      </w:r>
      <w:r>
        <w:rPr>
          <w:rFonts w:hint="eastAsia"/>
        </w:rPr>
        <w:t>人，但如</w:t>
      </w:r>
      <w:r>
        <w:t>4</w:t>
      </w:r>
      <w:r>
        <w:rPr>
          <w:rFonts w:hint="eastAsia"/>
        </w:rPr>
        <w:t>人同時揮舞刀棍砍殺，在犯案時間現場能見度</w:t>
      </w:r>
      <w:r w:rsidR="006E3877">
        <w:t>(</w:t>
      </w:r>
      <w:r w:rsidR="006E3877">
        <w:rPr>
          <w:rFonts w:hint="eastAsia"/>
        </w:rPr>
        <w:t>凌晨</w:t>
      </w:r>
      <w:r w:rsidR="006E3877">
        <w:t>4</w:t>
      </w:r>
      <w:r w:rsidR="006E3877">
        <w:rPr>
          <w:rFonts w:hint="eastAsia"/>
        </w:rPr>
        <w:t>時許)</w:t>
      </w:r>
      <w:r>
        <w:rPr>
          <w:rFonts w:hint="eastAsia"/>
        </w:rPr>
        <w:t>及刀長、</w:t>
      </w:r>
      <w:proofErr w:type="gramStart"/>
      <w:r>
        <w:rPr>
          <w:rFonts w:hint="eastAsia"/>
        </w:rPr>
        <w:t>臂長情形</w:t>
      </w:r>
      <w:proofErr w:type="gramEnd"/>
      <w:r>
        <w:rPr>
          <w:rFonts w:hint="eastAsia"/>
        </w:rPr>
        <w:t>，極不可能</w:t>
      </w:r>
      <w:r>
        <w:t>4</w:t>
      </w:r>
      <w:r>
        <w:rPr>
          <w:rFonts w:hint="eastAsia"/>
        </w:rPr>
        <w:t>人同時行兇</w:t>
      </w:r>
      <w:proofErr w:type="gramStart"/>
      <w:r>
        <w:rPr>
          <w:rFonts w:hint="eastAsia"/>
        </w:rPr>
        <w:t>刀棍齊下</w:t>
      </w:r>
      <w:proofErr w:type="gramEnd"/>
      <w:r>
        <w:rPr>
          <w:rFonts w:hint="eastAsia"/>
        </w:rPr>
        <w:t>砍殺</w:t>
      </w:r>
      <w:r>
        <w:t>2</w:t>
      </w:r>
      <w:r>
        <w:rPr>
          <w:rFonts w:hint="eastAsia"/>
        </w:rPr>
        <w:t>名被害人。</w:t>
      </w:r>
      <w:r>
        <w:t>2.</w:t>
      </w:r>
      <w:r>
        <w:rPr>
          <w:rFonts w:hint="eastAsia"/>
        </w:rPr>
        <w:t>依據血跡分佈情況、所發現之唯一指紋和血鞋印，及犯罪現場重建，本案極可能為王文孝</w:t>
      </w:r>
      <w:r>
        <w:t>1</w:t>
      </w:r>
      <w:r>
        <w:rPr>
          <w:rFonts w:hint="eastAsia"/>
        </w:rPr>
        <w:t>人所為。</w:t>
      </w:r>
    </w:p>
    <w:p w:rsidR="00CE314E" w:rsidRDefault="004A6454" w:rsidP="00BD3D8E">
      <w:pPr>
        <w:pStyle w:val="4"/>
      </w:pPr>
      <w:r>
        <w:rPr>
          <w:rFonts w:hint="eastAsia"/>
        </w:rPr>
        <w:t>綜上</w:t>
      </w:r>
      <w:r w:rsidR="00CE314E">
        <w:rPr>
          <w:rFonts w:hint="eastAsia"/>
        </w:rPr>
        <w:t>，上開兩鑑定意見南轅北轍，顯不相符。</w:t>
      </w:r>
    </w:p>
    <w:p w:rsidR="00CE314E" w:rsidRPr="00377B49" w:rsidRDefault="00CE314E" w:rsidP="00BD3D8E">
      <w:pPr>
        <w:pStyle w:val="3"/>
        <w:rPr>
          <w:b/>
        </w:rPr>
      </w:pPr>
      <w:r w:rsidRPr="00377B49">
        <w:rPr>
          <w:rFonts w:hint="eastAsia"/>
          <w:b/>
        </w:rPr>
        <w:t>機關團體看法</w:t>
      </w:r>
    </w:p>
    <w:p w:rsidR="00CE314E" w:rsidRDefault="00CE314E" w:rsidP="00BD3D8E">
      <w:pPr>
        <w:pStyle w:val="4"/>
      </w:pPr>
      <w:r>
        <w:rPr>
          <w:rFonts w:hint="eastAsia"/>
        </w:rPr>
        <w:t>法務部法醫研究所</w:t>
      </w:r>
      <w:r w:rsidR="0086764E">
        <w:rPr>
          <w:rFonts w:hint="eastAsia"/>
        </w:rPr>
        <w:t>函復</w:t>
      </w:r>
      <w:r>
        <w:rPr>
          <w:rFonts w:hint="eastAsia"/>
        </w:rPr>
        <w:t>略</w:t>
      </w:r>
      <w:proofErr w:type="gramStart"/>
      <w:r>
        <w:rPr>
          <w:rFonts w:hint="eastAsia"/>
        </w:rPr>
        <w:t>以</w:t>
      </w:r>
      <w:proofErr w:type="gramEnd"/>
      <w:r>
        <w:rPr>
          <w:rFonts w:hint="eastAsia"/>
        </w:rPr>
        <w:t>：</w:t>
      </w:r>
    </w:p>
    <w:p w:rsidR="00CE314E" w:rsidRDefault="00CE314E" w:rsidP="00BD3D8E">
      <w:pPr>
        <w:pStyle w:val="5"/>
      </w:pPr>
      <w:r>
        <w:rPr>
          <w:rFonts w:hint="eastAsia"/>
        </w:rPr>
        <w:tab/>
        <w:t>骨骸刀痕鑑定之目的係由骨骸上之銳器創傷型態回溯工具型態。骨骸刀痕鑑定之種類、沿革與原理</w:t>
      </w:r>
      <w:r w:rsidR="00B2587A">
        <w:rPr>
          <w:rFonts w:hint="eastAsia"/>
        </w:rPr>
        <w:t>，</w:t>
      </w:r>
      <w:r>
        <w:rPr>
          <w:rFonts w:hint="eastAsia"/>
        </w:rPr>
        <w:t>業經詳述如上</w:t>
      </w:r>
      <w:proofErr w:type="gramStart"/>
      <w:r>
        <w:rPr>
          <w:rFonts w:hint="eastAsia"/>
        </w:rPr>
        <w:t>揭</w:t>
      </w:r>
      <w:proofErr w:type="gramEnd"/>
      <w:r>
        <w:rPr>
          <w:rFonts w:hint="eastAsia"/>
        </w:rPr>
        <w:t>所示。由於兇刀與人體接觸後存留下重要之工具痕跡、以為</w:t>
      </w:r>
      <w:proofErr w:type="gramStart"/>
      <w:r>
        <w:rPr>
          <w:rFonts w:hint="eastAsia"/>
        </w:rPr>
        <w:t>鑑</w:t>
      </w:r>
      <w:proofErr w:type="gramEnd"/>
      <w:r>
        <w:rPr>
          <w:rFonts w:hint="eastAsia"/>
        </w:rPr>
        <w:t>識之基礎，是故骨骸刀痕鑑定是將工具痕跡</w:t>
      </w:r>
      <w:proofErr w:type="gramStart"/>
      <w:r>
        <w:rPr>
          <w:rFonts w:hint="eastAsia"/>
        </w:rPr>
        <w:t>鑑</w:t>
      </w:r>
      <w:proofErr w:type="gramEnd"/>
      <w:r>
        <w:rPr>
          <w:rFonts w:hint="eastAsia"/>
        </w:rPr>
        <w:t>識應用於生體組織之專業鑑定領域，結合法醫學、病理學、體質人類學</w:t>
      </w:r>
      <w:r w:rsidR="003E1464">
        <w:t>(</w:t>
      </w:r>
      <w:r w:rsidR="003E1464">
        <w:rPr>
          <w:rFonts w:hint="eastAsia"/>
        </w:rPr>
        <w:t>含考古人類學</w:t>
      </w:r>
      <w:r w:rsidR="003E1464">
        <w:t>)</w:t>
      </w:r>
      <w:r>
        <w:rPr>
          <w:rFonts w:hint="eastAsia"/>
        </w:rPr>
        <w:t>、生物動力學、物理學、材料力學等專業知識之研究範疇，故須以上相關背景或具有骨質損傷之豐富實務經驗的專業人士從事鑑定。鑑定者根據該所製作之「刑案生體工具痕跡之</w:t>
      </w:r>
      <w:proofErr w:type="gramStart"/>
      <w:r>
        <w:rPr>
          <w:rFonts w:hint="eastAsia"/>
        </w:rPr>
        <w:t>鑑</w:t>
      </w:r>
      <w:proofErr w:type="gramEnd"/>
      <w:r>
        <w:rPr>
          <w:rFonts w:hint="eastAsia"/>
        </w:rPr>
        <w:t>驗標準作業流程參考手冊」以骨質上遺留</w:t>
      </w:r>
      <w:proofErr w:type="gramStart"/>
      <w:r>
        <w:rPr>
          <w:rFonts w:hint="eastAsia"/>
        </w:rPr>
        <w:t>之刀紋紋路</w:t>
      </w:r>
      <w:proofErr w:type="gramEnd"/>
      <w:r>
        <w:rPr>
          <w:rFonts w:hint="eastAsia"/>
        </w:rPr>
        <w:t>或刀痕數量、位置、傷痕型態(含深度、寬度及角度等資訊)，將可疑兇刀與銳器傷特徵交叉此對，</w:t>
      </w:r>
      <w:r>
        <w:rPr>
          <w:rFonts w:hint="eastAsia"/>
        </w:rPr>
        <w:lastRenderedPageBreak/>
        <w:t>或以動物骨實驗模擬，回溯刀具型態。就於測量方法之信度，因刀痕比對之依據為刀刃與刀痕之角度，為經光學立體</w:t>
      </w:r>
      <w:proofErr w:type="gramStart"/>
      <w:r>
        <w:rPr>
          <w:rFonts w:hint="eastAsia"/>
        </w:rPr>
        <w:t>量測法量化</w:t>
      </w:r>
      <w:proofErr w:type="gramEnd"/>
      <w:r>
        <w:rPr>
          <w:rFonts w:hint="eastAsia"/>
        </w:rPr>
        <w:t>之結果，曾進行實驗以標準塊</w:t>
      </w:r>
      <w:proofErr w:type="gramStart"/>
      <w:r>
        <w:rPr>
          <w:rFonts w:hint="eastAsia"/>
        </w:rPr>
        <w:t>規</w:t>
      </w:r>
      <w:proofErr w:type="gramEnd"/>
      <w:r>
        <w:rPr>
          <w:rFonts w:hint="eastAsia"/>
        </w:rPr>
        <w:t>對3D光學立體顯微鏡進行量測校正，實驗顯示光學立體</w:t>
      </w:r>
      <w:proofErr w:type="gramStart"/>
      <w:r>
        <w:rPr>
          <w:rFonts w:hint="eastAsia"/>
        </w:rPr>
        <w:t>量測法之</w:t>
      </w:r>
      <w:proofErr w:type="gramEnd"/>
      <w:r>
        <w:rPr>
          <w:rFonts w:hint="eastAsia"/>
        </w:rPr>
        <w:t>再現性與</w:t>
      </w:r>
      <w:proofErr w:type="gramStart"/>
      <w:r>
        <w:rPr>
          <w:rFonts w:hint="eastAsia"/>
        </w:rPr>
        <w:t>精密度均佳</w:t>
      </w:r>
      <w:proofErr w:type="gramEnd"/>
      <w:r>
        <w:rPr>
          <w:rFonts w:hint="eastAsia"/>
        </w:rPr>
        <w:t>，可支持以此法量化角度之可信度，亦以標準作業流程參考手冊規範實驗程序，減低人員操作偏差而維持實驗操作信度。該所研究計畫考慮影響刀痕角度之變因，於實驗中設計並操作變因，以多種類刀器(含偏鋒、雙鋒、輕質與</w:t>
      </w:r>
      <w:proofErr w:type="gramStart"/>
      <w:r>
        <w:rPr>
          <w:rFonts w:hint="eastAsia"/>
        </w:rPr>
        <w:t>種質刀器</w:t>
      </w:r>
      <w:proofErr w:type="gramEnd"/>
      <w:r>
        <w:rPr>
          <w:rFonts w:hint="eastAsia"/>
        </w:rPr>
        <w:t>)試圖模擬不同刀刃角度、刀刃形狀與撞擊速度在控制的骨質種類</w:t>
      </w:r>
      <w:proofErr w:type="gramStart"/>
      <w:r>
        <w:rPr>
          <w:rFonts w:hint="eastAsia"/>
        </w:rPr>
        <w:t>與砍劈</w:t>
      </w:r>
      <w:proofErr w:type="gramEnd"/>
      <w:r>
        <w:rPr>
          <w:rFonts w:hint="eastAsia"/>
        </w:rPr>
        <w:t>方向製造刀痕，並測量計算骨質彈性係數，是為在多變因情形下設計、控制並操作變因以進行系統化之科學研究以</w:t>
      </w:r>
      <w:proofErr w:type="gramStart"/>
      <w:r>
        <w:rPr>
          <w:rFonts w:hint="eastAsia"/>
        </w:rPr>
        <w:t>維持效度</w:t>
      </w:r>
      <w:proofErr w:type="gramEnd"/>
      <w:r>
        <w:rPr>
          <w:rFonts w:hint="eastAsia"/>
        </w:rPr>
        <w:t>。鑑定方法之</w:t>
      </w:r>
      <w:proofErr w:type="gramStart"/>
      <w:r>
        <w:rPr>
          <w:rFonts w:hint="eastAsia"/>
        </w:rPr>
        <w:t>最終效度</w:t>
      </w:r>
      <w:proofErr w:type="gramEnd"/>
      <w:r>
        <w:rPr>
          <w:rFonts w:hint="eastAsia"/>
        </w:rPr>
        <w:t>仍須取決於個案之條件，故無法一概而論，惟在高樣本數情況下</w:t>
      </w:r>
      <w:r w:rsidR="004A6454">
        <w:rPr>
          <w:rFonts w:ascii="新細明體" w:eastAsia="新細明體" w:hAnsi="新細明體" w:hint="eastAsia"/>
        </w:rPr>
        <w:t>，</w:t>
      </w:r>
      <w:r>
        <w:rPr>
          <w:rFonts w:hint="eastAsia"/>
        </w:rPr>
        <w:t>可得較佳的信度</w:t>
      </w:r>
      <w:proofErr w:type="gramStart"/>
      <w:r>
        <w:rPr>
          <w:rFonts w:hint="eastAsia"/>
        </w:rPr>
        <w:t>與效度</w:t>
      </w:r>
      <w:proofErr w:type="gramEnd"/>
      <w:r>
        <w:rPr>
          <w:rFonts w:hint="eastAsia"/>
        </w:rPr>
        <w:t>。</w:t>
      </w:r>
    </w:p>
    <w:p w:rsidR="00CE314E" w:rsidRDefault="00CE314E" w:rsidP="00BD3D8E">
      <w:pPr>
        <w:pStyle w:val="5"/>
      </w:pPr>
      <w:r>
        <w:rPr>
          <w:rFonts w:hint="eastAsia"/>
        </w:rPr>
        <w:tab/>
        <w:t>根據「刑案生體工具痕跡之</w:t>
      </w:r>
      <w:proofErr w:type="gramStart"/>
      <w:r>
        <w:rPr>
          <w:rFonts w:hint="eastAsia"/>
        </w:rPr>
        <w:t>鑑</w:t>
      </w:r>
      <w:proofErr w:type="gramEnd"/>
      <w:r>
        <w:rPr>
          <w:rFonts w:hint="eastAsia"/>
        </w:rPr>
        <w:t>驗標準作業流程參考手冊」，在未能發現可疑行兇工具時，可先依循法醫人傷創傷鑑定原理檢視型態傷，</w:t>
      </w:r>
      <w:proofErr w:type="gramStart"/>
      <w:r>
        <w:rPr>
          <w:rFonts w:hint="eastAsia"/>
        </w:rPr>
        <w:t>含砍切創、刺割及拖尾痕等樣</w:t>
      </w:r>
      <w:proofErr w:type="gramEnd"/>
      <w:r>
        <w:rPr>
          <w:rFonts w:hint="eastAsia"/>
        </w:rPr>
        <w:t>態，以初步判別</w:t>
      </w:r>
      <w:proofErr w:type="gramStart"/>
      <w:r>
        <w:rPr>
          <w:rFonts w:hint="eastAsia"/>
        </w:rPr>
        <w:t>輕質刀器</w:t>
      </w:r>
      <w:proofErr w:type="gramEnd"/>
      <w:r>
        <w:rPr>
          <w:rFonts w:hint="eastAsia"/>
        </w:rPr>
        <w:t>與</w:t>
      </w:r>
      <w:proofErr w:type="gramStart"/>
      <w:r>
        <w:rPr>
          <w:rFonts w:hint="eastAsia"/>
        </w:rPr>
        <w:t>重質刀器</w:t>
      </w:r>
      <w:proofErr w:type="gramEnd"/>
      <w:r>
        <w:rPr>
          <w:rFonts w:hint="eastAsia"/>
        </w:rPr>
        <w:t>可能涉案程度。另運用多款同類刀器進行動物骨模擬實驗，試圖製造相同角度、深度、方向或斷面的刀痕，歸納或排除可能的凶刀，或推定最可能凶刀類別及特徵。輔以統計學方法(t-檢測方法等)檢定其刀痕角度及寬度之差異性，若檢定結果顯示具有統計學上之顯著差異性，則推定存在1種以上之涉案刀具之可能。因影響刀痕角度的因素相當多，此</w:t>
      </w:r>
      <w:r>
        <w:rPr>
          <w:rFonts w:hint="eastAsia"/>
        </w:rPr>
        <w:lastRenderedPageBreak/>
        <w:t>種回溯性</w:t>
      </w:r>
      <w:proofErr w:type="gramStart"/>
      <w:r>
        <w:rPr>
          <w:rFonts w:hint="eastAsia"/>
        </w:rPr>
        <w:t>之逆推方法</w:t>
      </w:r>
      <w:proofErr w:type="gramEnd"/>
      <w:r>
        <w:rPr>
          <w:rFonts w:hint="eastAsia"/>
        </w:rPr>
        <w:t>僅可</w:t>
      </w:r>
      <w:proofErr w:type="gramStart"/>
      <w:r>
        <w:rPr>
          <w:rFonts w:hint="eastAsia"/>
        </w:rPr>
        <w:t>達類化</w:t>
      </w:r>
      <w:proofErr w:type="gramEnd"/>
      <w:r>
        <w:rPr>
          <w:rFonts w:hint="eastAsia"/>
        </w:rPr>
        <w:t>效果，實驗之信度</w:t>
      </w:r>
      <w:proofErr w:type="gramStart"/>
      <w:r>
        <w:rPr>
          <w:rFonts w:hint="eastAsia"/>
        </w:rPr>
        <w:t>與效度</w:t>
      </w:r>
      <w:proofErr w:type="gramEnd"/>
      <w:r>
        <w:rPr>
          <w:rFonts w:hint="eastAsia"/>
        </w:rPr>
        <w:t>依據個案之有效樣本數量而相異，最終結果仍須依個案進行綜合研判。有關於</w:t>
      </w:r>
      <w:r w:rsidR="004F2950">
        <w:rPr>
          <w:rFonts w:hint="eastAsia"/>
        </w:rPr>
        <w:t>臺灣</w:t>
      </w:r>
      <w:r>
        <w:rPr>
          <w:rFonts w:hint="eastAsia"/>
        </w:rPr>
        <w:t>地區相關案件統計作業。曾於102年研究計畫蒐集並建立「銳器傷傷痕型態資料庫」，蒐集並記錄紀錄個案資料、刀器尺寸、銳器傷傷痕型態尺寸，試圖建立數據資料庫，惟在實務上臺灣地區銳器傷致死案件</w:t>
      </w:r>
      <w:r w:rsidR="004A6454">
        <w:rPr>
          <w:rFonts w:ascii="新細明體" w:eastAsia="新細明體" w:hAnsi="新細明體" w:hint="eastAsia"/>
        </w:rPr>
        <w:t>，</w:t>
      </w:r>
      <w:r>
        <w:rPr>
          <w:rFonts w:hint="eastAsia"/>
        </w:rPr>
        <w:t>逾半以小型水果刀之穿刺傷致死為主，致使數據累積足以供穿刺傷痕分析及</w:t>
      </w:r>
      <w:proofErr w:type="gramStart"/>
      <w:r>
        <w:rPr>
          <w:rFonts w:hint="eastAsia"/>
        </w:rPr>
        <w:t>拖尾痕</w:t>
      </w:r>
      <w:proofErr w:type="gramEnd"/>
      <w:r>
        <w:rPr>
          <w:rFonts w:hint="eastAsia"/>
        </w:rPr>
        <w:t>案件分析。砍切傷</w:t>
      </w:r>
      <w:proofErr w:type="gramStart"/>
      <w:r>
        <w:rPr>
          <w:rFonts w:hint="eastAsia"/>
        </w:rPr>
        <w:t>傷</w:t>
      </w:r>
      <w:proofErr w:type="gramEnd"/>
      <w:r>
        <w:rPr>
          <w:rFonts w:hint="eastAsia"/>
        </w:rPr>
        <w:t>及骨質之案件仍在少數而多見於重大社會案件，該所於102年研究計畫以個案報告方式蒐集骨質穿刺傷、</w:t>
      </w:r>
      <w:proofErr w:type="gramStart"/>
      <w:r>
        <w:rPr>
          <w:rFonts w:hint="eastAsia"/>
        </w:rPr>
        <w:t>鋸痕</w:t>
      </w:r>
      <w:proofErr w:type="gramEnd"/>
      <w:r>
        <w:rPr>
          <w:rFonts w:hint="eastAsia"/>
        </w:rPr>
        <w:t>、砍切傷，合計共分析近百處砍切刀痕，惟考量樣本僅來自少數個案，此累積數據宜用於初步統計分類，最終個案回溯仍應以模擬實驗為依據。</w:t>
      </w:r>
      <w:r w:rsidR="004128C4">
        <w:rPr>
          <w:rStyle w:val="afe"/>
        </w:rPr>
        <w:footnoteReference w:id="11"/>
      </w:r>
      <w:r>
        <w:rPr>
          <w:rFonts w:hint="eastAsia"/>
        </w:rPr>
        <w:t>刀痕角度之研究由我國首先在90年間以動物實驗建立基礎，在90至92年間由</w:t>
      </w:r>
      <w:r w:rsidR="003E1464">
        <w:rPr>
          <w:rFonts w:hint="eastAsia"/>
        </w:rPr>
        <w:t>8</w:t>
      </w:r>
      <w:r>
        <w:rPr>
          <w:rFonts w:hint="eastAsia"/>
        </w:rPr>
        <w:t>人專家鑑定小組共同執行或協助</w:t>
      </w:r>
      <w:proofErr w:type="gramStart"/>
      <w:r>
        <w:rPr>
          <w:rFonts w:hint="eastAsia"/>
        </w:rPr>
        <w:t>鑑</w:t>
      </w:r>
      <w:proofErr w:type="gramEnd"/>
      <w:r>
        <w:rPr>
          <w:rFonts w:hint="eastAsia"/>
        </w:rPr>
        <w:t>識。後經科技研究計畫補強，並發表學術論文，獲得國際學術間認同之領導地位，首創運用超音波掃描及光學立體顯微影像</w:t>
      </w:r>
      <w:proofErr w:type="gramStart"/>
      <w:r>
        <w:rPr>
          <w:rFonts w:hint="eastAsia"/>
        </w:rPr>
        <w:t>檢測技街</w:t>
      </w:r>
      <w:proofErr w:type="gramEnd"/>
      <w:r>
        <w:rPr>
          <w:rFonts w:hint="eastAsia"/>
        </w:rPr>
        <w:t>，研究產出在</w:t>
      </w:r>
      <w:r w:rsidR="003E1464">
        <w:rPr>
          <w:rFonts w:hint="eastAsia"/>
        </w:rPr>
        <w:t>西元</w:t>
      </w:r>
      <w:r>
        <w:rPr>
          <w:rFonts w:hint="eastAsia"/>
        </w:rPr>
        <w:t>2010年在第62屆「美國法醫刑事鑑定科學」年會上，獲得國際間刑事科學界之諸多肯定，甚至Ridolfi. Douglas A. Sherilf Alameda County Sherilf Crime Lab. CA94578 USA主動要求合作鑑識刀痕鑑定。另有一篇研究成果在</w:t>
      </w:r>
      <w:r w:rsidR="003E1464">
        <w:rPr>
          <w:rFonts w:hint="eastAsia"/>
        </w:rPr>
        <w:t>西元</w:t>
      </w:r>
      <w:r>
        <w:rPr>
          <w:rFonts w:hint="eastAsia"/>
        </w:rPr>
        <w:t>2011</w:t>
      </w:r>
      <w:proofErr w:type="gramStart"/>
      <w:r>
        <w:rPr>
          <w:rFonts w:hint="eastAsia"/>
        </w:rPr>
        <w:t>年時獲刊於</w:t>
      </w:r>
      <w:proofErr w:type="gramEnd"/>
      <w:r>
        <w:rPr>
          <w:rFonts w:hint="eastAsia"/>
        </w:rPr>
        <w:t>國外SCI期刊，足證骨骸鑑定方法業經專家同儕審查並為國際</w:t>
      </w:r>
      <w:proofErr w:type="gramStart"/>
      <w:r>
        <w:rPr>
          <w:rFonts w:hint="eastAsia"/>
        </w:rPr>
        <w:t>鑑</w:t>
      </w:r>
      <w:proofErr w:type="gramEnd"/>
      <w:r>
        <w:rPr>
          <w:rFonts w:hint="eastAsia"/>
        </w:rPr>
        <w:t>識科學</w:t>
      </w:r>
      <w:r>
        <w:rPr>
          <w:rFonts w:hint="eastAsia"/>
        </w:rPr>
        <w:lastRenderedPageBreak/>
        <w:t>期刊肯認。</w:t>
      </w:r>
    </w:p>
    <w:p w:rsidR="00CE314E" w:rsidRDefault="00CE314E" w:rsidP="00BD3D8E">
      <w:pPr>
        <w:pStyle w:val="5"/>
      </w:pPr>
      <w:r>
        <w:rPr>
          <w:rFonts w:hint="eastAsia"/>
        </w:rPr>
        <w:tab/>
        <w:t>在</w:t>
      </w:r>
      <w:proofErr w:type="gramStart"/>
      <w:r>
        <w:rPr>
          <w:rFonts w:hint="eastAsia"/>
        </w:rPr>
        <w:t>鑑</w:t>
      </w:r>
      <w:proofErr w:type="gramEnd"/>
      <w:r>
        <w:rPr>
          <w:rFonts w:hint="eastAsia"/>
        </w:rPr>
        <w:t>識領域中，工具痕跡</w:t>
      </w:r>
      <w:proofErr w:type="gramStart"/>
      <w:r>
        <w:rPr>
          <w:rFonts w:hint="eastAsia"/>
        </w:rPr>
        <w:t>鑑</w:t>
      </w:r>
      <w:proofErr w:type="gramEnd"/>
      <w:r>
        <w:rPr>
          <w:rFonts w:hint="eastAsia"/>
        </w:rPr>
        <w:t>識領域(如槍彈痕、足印)面對之共同難題為同一種工具無法造成全然相同的工具痕跡，刀痕亦然。影響刀痕特徵之因素包括刀械種類、尺寸、重量、形式特徵、受創骨質硬度(Bone Density)與彈性(Elasticity and Plasticity)、用刀情況、相互作用生物力學運動模式等。生體的骨骼屬彈性物質，彈性程度根據受力大小及作用模式而異，此一彈性特質使得同一把刀也可能造成不同大小的角度，故彈性</w:t>
      </w:r>
      <w:proofErr w:type="gramStart"/>
      <w:r>
        <w:rPr>
          <w:rFonts w:hint="eastAsia"/>
        </w:rPr>
        <w:t>性質為刀器</w:t>
      </w:r>
      <w:proofErr w:type="gramEnd"/>
      <w:r>
        <w:rPr>
          <w:rFonts w:hint="eastAsia"/>
        </w:rPr>
        <w:t>骨質痕跡：比對</w:t>
      </w:r>
      <w:proofErr w:type="gramStart"/>
      <w:r>
        <w:rPr>
          <w:rFonts w:hint="eastAsia"/>
        </w:rPr>
        <w:t>鑑</w:t>
      </w:r>
      <w:proofErr w:type="gramEnd"/>
      <w:r>
        <w:rPr>
          <w:rFonts w:hint="eastAsia"/>
        </w:rPr>
        <w:t>驗實務上之常見變因，亦無法單憑刀痕之寬度或</w:t>
      </w:r>
      <w:proofErr w:type="gramStart"/>
      <w:r>
        <w:rPr>
          <w:rFonts w:hint="eastAsia"/>
        </w:rPr>
        <w:t>深度逆推刀具</w:t>
      </w:r>
      <w:proofErr w:type="gramEnd"/>
      <w:r>
        <w:rPr>
          <w:rFonts w:hint="eastAsia"/>
        </w:rPr>
        <w:t>種類，因此刀痕鑑定主要憑據為量化之刀痕角度，另以</w:t>
      </w:r>
      <w:proofErr w:type="gramStart"/>
      <w:r>
        <w:rPr>
          <w:rFonts w:hint="eastAsia"/>
        </w:rPr>
        <w:t>擠壓痕</w:t>
      </w:r>
      <w:proofErr w:type="gramEnd"/>
      <w:r>
        <w:rPr>
          <w:rFonts w:hint="eastAsia"/>
        </w:rPr>
        <w:t>或骨質碎裂等</w:t>
      </w:r>
      <w:proofErr w:type="gramStart"/>
      <w:r>
        <w:rPr>
          <w:rFonts w:hint="eastAsia"/>
        </w:rPr>
        <w:t>型態傷為輔助</w:t>
      </w:r>
      <w:proofErr w:type="gramEnd"/>
      <w:r>
        <w:rPr>
          <w:rFonts w:hint="eastAsia"/>
        </w:rPr>
        <w:t>判斷。又因刀痕角度鑑定在測量後可利用統計學進行檢定，故</w:t>
      </w:r>
      <w:proofErr w:type="gramStart"/>
      <w:r>
        <w:rPr>
          <w:rFonts w:hint="eastAsia"/>
        </w:rPr>
        <w:t>在發見數</w:t>
      </w:r>
      <w:proofErr w:type="gramEnd"/>
      <w:r>
        <w:rPr>
          <w:rFonts w:hint="eastAsia"/>
        </w:rPr>
        <w:t>道不同角度之刀痕之個案，以統計檢定推斷涉案刀具數量之可信度</w:t>
      </w:r>
      <w:proofErr w:type="gramStart"/>
      <w:r>
        <w:rPr>
          <w:rFonts w:hint="eastAsia"/>
        </w:rPr>
        <w:t>及效度</w:t>
      </w:r>
      <w:proofErr w:type="gramEnd"/>
      <w:r>
        <w:rPr>
          <w:rFonts w:hint="eastAsia"/>
        </w:rPr>
        <w:t>隨有效樣本數增加而提高，其原理仍是來自實驗數據之累積以科學性等歸納演繹之結果。目前研究重點為取得各種骨質在</w:t>
      </w:r>
      <w:proofErr w:type="gramStart"/>
      <w:r>
        <w:rPr>
          <w:rFonts w:hint="eastAsia"/>
        </w:rPr>
        <w:t>不同砍劈條件</w:t>
      </w:r>
      <w:proofErr w:type="gramEnd"/>
      <w:r>
        <w:rPr>
          <w:rFonts w:hint="eastAsia"/>
        </w:rPr>
        <w:t>下呈現的骨質回彈係數以建立生物動力學模型，學術領域屬數據的累積與應用。</w:t>
      </w:r>
    </w:p>
    <w:p w:rsidR="00CE314E" w:rsidRDefault="00CE314E" w:rsidP="00BD3D8E">
      <w:pPr>
        <w:pStyle w:val="5"/>
      </w:pPr>
      <w:r>
        <w:rPr>
          <w:rFonts w:hint="eastAsia"/>
        </w:rPr>
        <w:tab/>
        <w:t>有關信度</w:t>
      </w:r>
      <w:proofErr w:type="gramStart"/>
      <w:r>
        <w:rPr>
          <w:rFonts w:hint="eastAsia"/>
        </w:rPr>
        <w:t>與效度</w:t>
      </w:r>
      <w:proofErr w:type="gramEnd"/>
      <w:r>
        <w:rPr>
          <w:rFonts w:hint="eastAsia"/>
        </w:rPr>
        <w:t>，鑑定人已依據實驗設計上分出測量之角度及各類刀器之差異性，依據刀器角度種類</w:t>
      </w:r>
      <w:proofErr w:type="gramStart"/>
      <w:r>
        <w:rPr>
          <w:rFonts w:hint="eastAsia"/>
        </w:rPr>
        <w:t>研判其刀型</w:t>
      </w:r>
      <w:proofErr w:type="gramEnd"/>
      <w:r>
        <w:rPr>
          <w:rFonts w:hint="eastAsia"/>
        </w:rPr>
        <w:t>種類</w:t>
      </w:r>
      <w:r w:rsidR="003E1464">
        <w:rPr>
          <w:rFonts w:hint="eastAsia"/>
        </w:rPr>
        <w:t>(如鑑定書)</w:t>
      </w:r>
      <w:r>
        <w:rPr>
          <w:rFonts w:hint="eastAsia"/>
        </w:rPr>
        <w:t>。21世紀現代文獻上亦明顯指出DNA等</w:t>
      </w:r>
      <w:proofErr w:type="gramStart"/>
      <w:r>
        <w:rPr>
          <w:rFonts w:hint="eastAsia"/>
        </w:rPr>
        <w:t>鑑</w:t>
      </w:r>
      <w:proofErr w:type="gramEnd"/>
      <w:r>
        <w:rPr>
          <w:rFonts w:hint="eastAsia"/>
        </w:rPr>
        <w:t>識與工具痕跡</w:t>
      </w:r>
      <w:proofErr w:type="gramStart"/>
      <w:r>
        <w:rPr>
          <w:rFonts w:hint="eastAsia"/>
        </w:rPr>
        <w:t>鑑</w:t>
      </w:r>
      <w:proofErr w:type="gramEnd"/>
      <w:r>
        <w:rPr>
          <w:rFonts w:hint="eastAsia"/>
        </w:rPr>
        <w:t>識之信度</w:t>
      </w:r>
      <w:proofErr w:type="gramStart"/>
      <w:r>
        <w:rPr>
          <w:rFonts w:hint="eastAsia"/>
        </w:rPr>
        <w:t>與效度</w:t>
      </w:r>
      <w:proofErr w:type="gramEnd"/>
      <w:r w:rsidR="003E1464">
        <w:rPr>
          <w:rFonts w:hint="eastAsia"/>
        </w:rPr>
        <w:t>(包含數據取得與比對結果)</w:t>
      </w:r>
      <w:r>
        <w:rPr>
          <w:rFonts w:hint="eastAsia"/>
        </w:rPr>
        <w:t>之認識上有極大差異，不可一概而論。</w:t>
      </w:r>
    </w:p>
    <w:p w:rsidR="00CE314E" w:rsidRDefault="00CE314E" w:rsidP="00BD3D8E">
      <w:pPr>
        <w:pStyle w:val="4"/>
      </w:pPr>
      <w:r>
        <w:rPr>
          <w:rFonts w:hint="eastAsia"/>
        </w:rPr>
        <w:lastRenderedPageBreak/>
        <w:t>台灣法醫學會</w:t>
      </w:r>
      <w:r w:rsidR="0086764E">
        <w:rPr>
          <w:rFonts w:hint="eastAsia"/>
        </w:rPr>
        <w:t>函復</w:t>
      </w:r>
      <w:r w:rsidR="004128C4">
        <w:rPr>
          <w:rStyle w:val="afe"/>
        </w:rPr>
        <w:footnoteReference w:id="12"/>
      </w:r>
      <w:r w:rsidR="003E1464">
        <w:rPr>
          <w:rFonts w:hint="eastAsia"/>
        </w:rPr>
        <w:t>，</w:t>
      </w:r>
      <w:r>
        <w:rPr>
          <w:rFonts w:hint="eastAsia"/>
        </w:rPr>
        <w:t>略</w:t>
      </w:r>
      <w:proofErr w:type="gramStart"/>
      <w:r>
        <w:rPr>
          <w:rFonts w:hint="eastAsia"/>
        </w:rPr>
        <w:t>以</w:t>
      </w:r>
      <w:proofErr w:type="gramEnd"/>
      <w:r>
        <w:rPr>
          <w:rFonts w:hint="eastAsia"/>
        </w:rPr>
        <w:t>：</w:t>
      </w:r>
    </w:p>
    <w:p w:rsidR="00CE314E" w:rsidRDefault="00CE314E" w:rsidP="00BD3D8E">
      <w:pPr>
        <w:pStyle w:val="5"/>
      </w:pPr>
      <w:r>
        <w:rPr>
          <w:rFonts w:hint="eastAsia"/>
        </w:rPr>
        <w:tab/>
        <w:t>按骨骸刀痕屬於工具痕跡，可分為刮痕與</w:t>
      </w:r>
      <w:proofErr w:type="gramStart"/>
      <w:r>
        <w:rPr>
          <w:rFonts w:hint="eastAsia"/>
        </w:rPr>
        <w:t>切痕兩種</w:t>
      </w:r>
      <w:proofErr w:type="gramEnd"/>
      <w:r>
        <w:rPr>
          <w:rFonts w:hint="eastAsia"/>
        </w:rPr>
        <w:t>。刮</w:t>
      </w:r>
      <w:proofErr w:type="gramStart"/>
      <w:r>
        <w:rPr>
          <w:rFonts w:hint="eastAsia"/>
        </w:rPr>
        <w:t>痕為刀器切砍</w:t>
      </w:r>
      <w:proofErr w:type="gramEnd"/>
      <w:r>
        <w:rPr>
          <w:rFonts w:hint="eastAsia"/>
        </w:rPr>
        <w:t>骨骸後</w:t>
      </w:r>
      <w:r w:rsidR="00E4377F">
        <w:rPr>
          <w:rFonts w:ascii="新細明體" w:eastAsia="新細明體" w:hAnsi="新細明體" w:hint="eastAsia"/>
        </w:rPr>
        <w:t>，</w:t>
      </w:r>
      <w:r>
        <w:rPr>
          <w:rFonts w:hint="eastAsia"/>
        </w:rPr>
        <w:t>在切口兩側切面刮擦遺留之連續紋線，可研判刀器來源。將證物痕跡與可疑</w:t>
      </w:r>
      <w:proofErr w:type="gramStart"/>
      <w:r>
        <w:rPr>
          <w:rFonts w:hint="eastAsia"/>
        </w:rPr>
        <w:t>刀器刮痕</w:t>
      </w:r>
      <w:proofErr w:type="gramEnd"/>
      <w:r>
        <w:rPr>
          <w:rFonts w:hint="eastAsia"/>
        </w:rPr>
        <w:t>兩者比較，可研判兩者是否由同一刀器切割所遺留。實驗室必須制定標準，例如規定至少要有連續幾條以上相符之紋線，做為判定是否相符之依據。骨骸刀痕鑑定必須由具有骨骸刀器痕跡鑑定與研究經驗之</w:t>
      </w:r>
      <w:proofErr w:type="gramStart"/>
      <w:r>
        <w:rPr>
          <w:rFonts w:hint="eastAsia"/>
        </w:rPr>
        <w:t>鑑</w:t>
      </w:r>
      <w:proofErr w:type="gramEnd"/>
      <w:r>
        <w:rPr>
          <w:rFonts w:hint="eastAsia"/>
        </w:rPr>
        <w:t>識人員擔任，並建立比對與判定標準，始能正確判定。我國目前並未建立標準作業程序；</w:t>
      </w:r>
      <w:proofErr w:type="gramStart"/>
      <w:r>
        <w:rPr>
          <w:rFonts w:hint="eastAsia"/>
        </w:rPr>
        <w:t>切痕為刀器切砍</w:t>
      </w:r>
      <w:proofErr w:type="gramEnd"/>
      <w:r>
        <w:rPr>
          <w:rFonts w:hint="eastAsia"/>
        </w:rPr>
        <w:t>骨骸後在骨骸遺留之切口</w:t>
      </w:r>
      <w:proofErr w:type="gramStart"/>
      <w:r>
        <w:rPr>
          <w:rFonts w:hint="eastAsia"/>
        </w:rPr>
        <w:t>凹</w:t>
      </w:r>
      <w:proofErr w:type="gramEnd"/>
      <w:r>
        <w:rPr>
          <w:rFonts w:hint="eastAsia"/>
        </w:rPr>
        <w:t>痕，在骨骸上之刀</w:t>
      </w:r>
      <w:proofErr w:type="gramStart"/>
      <w:r>
        <w:rPr>
          <w:rFonts w:hint="eastAsia"/>
        </w:rPr>
        <w:t>器切痕</w:t>
      </w:r>
      <w:proofErr w:type="gramEnd"/>
      <w:r>
        <w:rPr>
          <w:rFonts w:hint="eastAsia"/>
        </w:rPr>
        <w:t>，目前未見可做為研判刀器種類之文獻報告。而國際期刊僅有一篇有關骨骸刀</w:t>
      </w:r>
      <w:proofErr w:type="gramStart"/>
      <w:r>
        <w:rPr>
          <w:rFonts w:hint="eastAsia"/>
        </w:rPr>
        <w:t>器切痕</w:t>
      </w:r>
      <w:proofErr w:type="gramEnd"/>
      <w:r>
        <w:rPr>
          <w:rFonts w:hint="eastAsia"/>
        </w:rPr>
        <w:t>研判刀器種類之報告，但其研究結論提醒讀者： 「骨頭上的刀痕通常無法反映出刀刃的角度」顯示</w:t>
      </w:r>
      <w:proofErr w:type="gramStart"/>
      <w:r>
        <w:rPr>
          <w:rFonts w:hint="eastAsia"/>
        </w:rPr>
        <w:t>無法由刀器</w:t>
      </w:r>
      <w:proofErr w:type="gramEnd"/>
      <w:r>
        <w:rPr>
          <w:rFonts w:hint="eastAsia"/>
        </w:rPr>
        <w:t>印痕研判刀器種類。作者以兩種刀</w:t>
      </w:r>
      <w:proofErr w:type="gramStart"/>
      <w:r>
        <w:rPr>
          <w:rFonts w:hint="eastAsia"/>
        </w:rPr>
        <w:t>器切砍豬</w:t>
      </w:r>
      <w:proofErr w:type="gramEnd"/>
      <w:r>
        <w:rPr>
          <w:rFonts w:hint="eastAsia"/>
        </w:rPr>
        <w:t>骨之實驗，發表在Journal of Forensic Sciences期刊</w:t>
      </w:r>
      <w:r w:rsidR="003E1464">
        <w:rPr>
          <w:rFonts w:hint="eastAsia"/>
        </w:rPr>
        <w:t>，西元</w:t>
      </w:r>
      <w:r>
        <w:rPr>
          <w:rFonts w:hint="eastAsia"/>
        </w:rPr>
        <w:t>2011年第56卷第4期第967至971頁)，題目為：A Method for Studying Knife Tool Marks on Bone。結論第一句原文為：「A</w:t>
      </w:r>
      <w:r w:rsidRPr="002A552D">
        <w:rPr>
          <w:rFonts w:ascii="Times New Roman" w:hAnsi="Times New Roman"/>
        </w:rPr>
        <w:t>s 1iving bones have elasticity, knife tool marks on bones often fail to reflect the knife angle in an atte</w:t>
      </w:r>
      <w:r w:rsidR="002A552D" w:rsidRPr="002A552D">
        <w:rPr>
          <w:rFonts w:ascii="Times New Roman" w:hAnsi="Times New Roman"/>
        </w:rPr>
        <w:t>m</w:t>
      </w:r>
      <w:r w:rsidRPr="002A552D">
        <w:rPr>
          <w:rFonts w:ascii="Times New Roman" w:hAnsi="Times New Roman"/>
        </w:rPr>
        <w:t>pted practical interpretation</w:t>
      </w:r>
      <w:r>
        <w:rPr>
          <w:rFonts w:hint="eastAsia"/>
        </w:rPr>
        <w:t>」，中譯為：「由於活體骨頭具有彈性，因此在實際研判時，骨頭上的刀痕通常無法反映出刀刃的角度。」論文作者為法務部法醫研究所Kai-Ping Shaw(蕭開平)先</w:t>
      </w:r>
      <w:r>
        <w:rPr>
          <w:rFonts w:hint="eastAsia"/>
        </w:rPr>
        <w:lastRenderedPageBreak/>
        <w:t>生等7人。</w:t>
      </w:r>
    </w:p>
    <w:p w:rsidR="00CE314E" w:rsidRDefault="00CE314E" w:rsidP="00BD3D8E">
      <w:pPr>
        <w:pStyle w:val="5"/>
      </w:pPr>
      <w:r>
        <w:rPr>
          <w:rFonts w:hint="eastAsia"/>
        </w:rPr>
        <w:tab/>
        <w:t>依據上述蕭開平先生等</w:t>
      </w:r>
      <w:proofErr w:type="gramStart"/>
      <w:r>
        <w:rPr>
          <w:rFonts w:hint="eastAsia"/>
        </w:rPr>
        <w:t>所著</w:t>
      </w:r>
      <w:proofErr w:type="gramEnd"/>
      <w:r>
        <w:rPr>
          <w:rFonts w:hint="eastAsia"/>
        </w:rPr>
        <w:t>之研究結論顯示，骨骸刀痕鑑定無法推論行兇刀器之種類。</w:t>
      </w:r>
    </w:p>
    <w:p w:rsidR="00CE314E" w:rsidRDefault="00CE314E" w:rsidP="00BD3D8E">
      <w:pPr>
        <w:pStyle w:val="5"/>
      </w:pPr>
      <w:r>
        <w:rPr>
          <w:rFonts w:hint="eastAsia"/>
        </w:rPr>
        <w:tab/>
        <w:t>依據上述蕭開平先生等</w:t>
      </w:r>
      <w:proofErr w:type="gramStart"/>
      <w:r>
        <w:rPr>
          <w:rFonts w:hint="eastAsia"/>
        </w:rPr>
        <w:t>所著</w:t>
      </w:r>
      <w:proofErr w:type="gramEnd"/>
      <w:r>
        <w:rPr>
          <w:rFonts w:hint="eastAsia"/>
        </w:rPr>
        <w:t>文獻之表二顯示，相同刀器以不同力度在骨骸可產生不同的刀痕角度，而相近的刀痕角度可由不同刀器以不同力度產生。因此，骨骸刀痕鑑定無法推論行兇刀器之種類。</w:t>
      </w:r>
    </w:p>
    <w:p w:rsidR="00CE314E" w:rsidRPr="00377B49" w:rsidRDefault="00CE314E" w:rsidP="00BD3D8E">
      <w:pPr>
        <w:pStyle w:val="3"/>
        <w:rPr>
          <w:b/>
        </w:rPr>
      </w:pPr>
      <w:r w:rsidRPr="00377B49">
        <w:rPr>
          <w:rFonts w:hint="eastAsia"/>
          <w:b/>
        </w:rPr>
        <w:t>學者專家諮詢意見略</w:t>
      </w:r>
      <w:proofErr w:type="gramStart"/>
      <w:r w:rsidRPr="00377B49">
        <w:rPr>
          <w:rFonts w:hint="eastAsia"/>
          <w:b/>
        </w:rPr>
        <w:t>以</w:t>
      </w:r>
      <w:proofErr w:type="gramEnd"/>
      <w:r w:rsidRPr="00377B49">
        <w:rPr>
          <w:rFonts w:hint="eastAsia"/>
          <w:b/>
        </w:rPr>
        <w:t>：</w:t>
      </w:r>
    </w:p>
    <w:p w:rsidR="00CE314E" w:rsidRDefault="00CE314E" w:rsidP="00BD3D8E">
      <w:pPr>
        <w:pStyle w:val="4"/>
      </w:pPr>
      <w:r>
        <w:rPr>
          <w:rFonts w:hint="eastAsia"/>
        </w:rPr>
        <w:t>潘至信醫師：</w:t>
      </w:r>
    </w:p>
    <w:p w:rsidR="00CE314E" w:rsidRDefault="00CE314E" w:rsidP="00BD3D8E">
      <w:pPr>
        <w:pStyle w:val="5"/>
      </w:pPr>
      <w:r>
        <w:rPr>
          <w:rFonts w:hint="eastAsia"/>
        </w:rPr>
        <w:tab/>
        <w:t>法醫界分成兩個大領域，其中作「人體」的部分，如作法醫解剖</w:t>
      </w:r>
      <w:r w:rsidR="003E1464">
        <w:rPr>
          <w:rFonts w:hint="eastAsia"/>
        </w:rPr>
        <w:t>(法醫學)</w:t>
      </w:r>
      <w:r>
        <w:rPr>
          <w:rFonts w:hint="eastAsia"/>
        </w:rPr>
        <w:t>，是鑑定的一種。我們提出的「意見」(opinion)，例如診斷死者死因，我們給的是「診斷意見」(diagnosis opin</w:t>
      </w:r>
      <w:r w:rsidR="001611BC">
        <w:rPr>
          <w:rFonts w:hint="eastAsia"/>
        </w:rPr>
        <w:t>i</w:t>
      </w:r>
      <w:r>
        <w:rPr>
          <w:rFonts w:hint="eastAsia"/>
        </w:rPr>
        <w:t>on)，目前執行者都是醫師，加上足夠的法醫訓練，103年開始台灣法醫學解剖病理專科醫師（FP），目前已有證照制度，在美國法醫給鑑定結果只是意見（opin</w:t>
      </w:r>
      <w:r w:rsidR="001611BC">
        <w:rPr>
          <w:rFonts w:hint="eastAsia"/>
        </w:rPr>
        <w:t>i</w:t>
      </w:r>
      <w:r>
        <w:rPr>
          <w:rFonts w:hint="eastAsia"/>
        </w:rPr>
        <w:t>on），不是試驗，我們國內的法醫則有同儕比對，以提升信度，並跟國外專家的意見比較，以</w:t>
      </w:r>
      <w:proofErr w:type="gramStart"/>
      <w:r>
        <w:rPr>
          <w:rFonts w:hint="eastAsia"/>
        </w:rPr>
        <w:t>提升效度</w:t>
      </w:r>
      <w:proofErr w:type="gramEnd"/>
      <w:r>
        <w:rPr>
          <w:rFonts w:hint="eastAsia"/>
        </w:rPr>
        <w:t>。「人體」以外部分是法科學，主要是作測量或試驗，DNA鑑定就是法科學部分，我在美國留學的密西根州是警察系統在做。</w:t>
      </w:r>
    </w:p>
    <w:p w:rsidR="00CE314E" w:rsidRDefault="00CE314E" w:rsidP="00BD3D8E">
      <w:pPr>
        <w:pStyle w:val="5"/>
      </w:pPr>
      <w:r>
        <w:rPr>
          <w:rFonts w:hint="eastAsia"/>
        </w:rPr>
        <w:tab/>
        <w:t>蘇建和案檢體，蕭組長遇到的是骨骸，以當時科學界</w:t>
      </w:r>
      <w:proofErr w:type="gramStart"/>
      <w:r>
        <w:rPr>
          <w:rFonts w:hint="eastAsia"/>
        </w:rPr>
        <w:t>鑑</w:t>
      </w:r>
      <w:proofErr w:type="gramEnd"/>
      <w:r>
        <w:rPr>
          <w:rFonts w:hint="eastAsia"/>
        </w:rPr>
        <w:t>識方法，要去判斷刀痕型式跟刀械，應該是沒有任何科學方法。蕭組長發表的文獻也是先驅之文獻研究。任何科學都有侷限，不能以當今的科學</w:t>
      </w:r>
      <w:proofErr w:type="gramStart"/>
      <w:r>
        <w:rPr>
          <w:rFonts w:hint="eastAsia"/>
        </w:rPr>
        <w:t>鑑</w:t>
      </w:r>
      <w:proofErr w:type="gramEnd"/>
      <w:r>
        <w:rPr>
          <w:rFonts w:hint="eastAsia"/>
        </w:rPr>
        <w:t>識技術去批評當時鑑定方法的結果。蕭組長發表在期刊上，若研究方法有問題，期刊也不會願意發表。蕭組長是用儀器</w:t>
      </w:r>
      <w:r>
        <w:rPr>
          <w:rFonts w:hint="eastAsia"/>
        </w:rPr>
        <w:lastRenderedPageBreak/>
        <w:t>量角度，根據角度跟形狀去來研判行兇者使用之刀具為何。蕭組長當時受法庭委託作鑑定，他不得不要做這樣的鑑定報告，應該也是當時可以呈現出來最好的結果。</w:t>
      </w:r>
    </w:p>
    <w:p w:rsidR="00CE314E" w:rsidRDefault="00CE314E" w:rsidP="00BD3D8E">
      <w:pPr>
        <w:pStyle w:val="4"/>
      </w:pPr>
      <w:r>
        <w:rPr>
          <w:rFonts w:hint="eastAsia"/>
        </w:rPr>
        <w:t>曾柏元醫師：</w:t>
      </w:r>
    </w:p>
    <w:p w:rsidR="00CE314E" w:rsidRDefault="00CE314E" w:rsidP="00BD3D8E">
      <w:pPr>
        <w:pStyle w:val="42"/>
        <w:ind w:left="1701" w:firstLine="680"/>
      </w:pPr>
      <w:r>
        <w:rPr>
          <w:rFonts w:hint="eastAsia"/>
        </w:rPr>
        <w:t>刀痕鑑定比較偏向法科學部分，我們專業在於病理解剖與死因鑑定。刀痕鑑定規範是蕭開平醫師所創立。目前他殺案件都有要求解剖死者，早期案件可能規範不全，他殺案件並未一定要求解剖死者遺體，才會發生死者火化後，將死者骨頭拿出來看刀痕。蘇建和案件後，</w:t>
      </w:r>
      <w:r w:rsidR="003E1464">
        <w:rPr>
          <w:rFonts w:hint="eastAsia"/>
        </w:rPr>
        <w:t>西元</w:t>
      </w:r>
      <w:r>
        <w:rPr>
          <w:rFonts w:hint="eastAsia"/>
        </w:rPr>
        <w:t>2007、2010年因</w:t>
      </w:r>
      <w:r w:rsidR="003E1464">
        <w:rPr>
          <w:rFonts w:hint="eastAsia"/>
        </w:rPr>
        <w:t>臺</w:t>
      </w:r>
      <w:r>
        <w:rPr>
          <w:rFonts w:hint="eastAsia"/>
        </w:rPr>
        <w:t>大法醫研究所陸續都有來北醫研究所</w:t>
      </w:r>
      <w:proofErr w:type="gramStart"/>
      <w:r>
        <w:rPr>
          <w:rFonts w:hint="eastAsia"/>
        </w:rPr>
        <w:t>來作</w:t>
      </w:r>
      <w:proofErr w:type="gramEnd"/>
      <w:r>
        <w:rPr>
          <w:rFonts w:hint="eastAsia"/>
        </w:rPr>
        <w:t>刀痕研究，所以陸續有研究報告。另本案法醫師給的鑑定結論僅是意見，若不符合道伯法則，則當時法院應該捨棄該刀痕鑑定不用。</w:t>
      </w:r>
    </w:p>
    <w:p w:rsidR="00CE314E" w:rsidRPr="00377B49" w:rsidRDefault="00CE314E" w:rsidP="00CB29BE">
      <w:pPr>
        <w:pStyle w:val="3"/>
        <w:rPr>
          <w:b/>
        </w:rPr>
      </w:pPr>
      <w:r>
        <w:rPr>
          <w:rFonts w:hint="eastAsia"/>
        </w:rPr>
        <w:t>經查，刀痕鑑定係因蘇建和案當時公訴證據有所不足，90年</w:t>
      </w:r>
      <w:r w:rsidR="005F141E">
        <w:rPr>
          <w:rFonts w:hint="eastAsia"/>
        </w:rPr>
        <w:t>臺</w:t>
      </w:r>
      <w:r>
        <w:rPr>
          <w:rFonts w:hint="eastAsia"/>
        </w:rPr>
        <w:t>灣高等法院於審判期日調查證據函請法務部法醫研究所鑑定吳</w:t>
      </w:r>
      <w:proofErr w:type="gramStart"/>
      <w:r w:rsidR="00156B94">
        <w:rPr>
          <w:rFonts w:hAnsi="標楷體" w:hint="eastAsia"/>
          <w:b/>
        </w:rPr>
        <w:t>Ｏ</w:t>
      </w:r>
      <w:proofErr w:type="gramEnd"/>
      <w:r>
        <w:rPr>
          <w:rFonts w:hint="eastAsia"/>
        </w:rPr>
        <w:t>漢夫婦命案，有關被害者傷勢是否可回溯刀器種類等事項，因當時國內外並無相關研究報告可供為鑑定依據，該所組成「吳</w:t>
      </w:r>
      <w:proofErr w:type="gramStart"/>
      <w:r w:rsidR="00156B94">
        <w:rPr>
          <w:rFonts w:hAnsi="標楷體" w:hint="eastAsia"/>
          <w:b/>
        </w:rPr>
        <w:t>Ｏ</w:t>
      </w:r>
      <w:proofErr w:type="gramEnd"/>
      <w:r>
        <w:rPr>
          <w:rFonts w:hint="eastAsia"/>
        </w:rPr>
        <w:t>漢夫婦命案鑑定小組」小組成員包含方中民教授、蕭開平組長、饒宇東醫師、孫家棟醫師、陳明宏醫師、</w:t>
      </w:r>
      <w:r w:rsidR="005F141E">
        <w:rPr>
          <w:rFonts w:hint="eastAsia"/>
        </w:rPr>
        <w:t>臺</w:t>
      </w:r>
      <w:r>
        <w:rPr>
          <w:rFonts w:hint="eastAsia"/>
        </w:rPr>
        <w:t>北市立</w:t>
      </w:r>
      <w:proofErr w:type="gramStart"/>
      <w:r>
        <w:rPr>
          <w:rFonts w:hint="eastAsia"/>
        </w:rPr>
        <w:t>鑑</w:t>
      </w:r>
      <w:proofErr w:type="gramEnd"/>
      <w:r>
        <w:rPr>
          <w:rFonts w:hint="eastAsia"/>
        </w:rPr>
        <w:t>識中心謝松善主任、調查局四科蒲長恩科長及</w:t>
      </w:r>
      <w:r w:rsidR="005F141E">
        <w:rPr>
          <w:rFonts w:hint="eastAsia"/>
        </w:rPr>
        <w:t>臺</w:t>
      </w:r>
      <w:r>
        <w:rPr>
          <w:rFonts w:hint="eastAsia"/>
        </w:rPr>
        <w:t>灣大學應用力學研究所教授邵耀華等8人，於90至92年共召開13次專家諮詢會議，進行各項鑑定工作並完成鑑定報告，並對吳</w:t>
      </w:r>
      <w:proofErr w:type="gramStart"/>
      <w:r w:rsidR="00425F81">
        <w:rPr>
          <w:rFonts w:hAnsi="標楷體" w:hint="eastAsia"/>
          <w:b/>
        </w:rPr>
        <w:t>Ｏ</w:t>
      </w:r>
      <w:proofErr w:type="gramEnd"/>
      <w:r>
        <w:rPr>
          <w:rFonts w:hint="eastAsia"/>
        </w:rPr>
        <w:t>漢夫婦兩人</w:t>
      </w:r>
      <w:proofErr w:type="gramStart"/>
      <w:r>
        <w:rPr>
          <w:rFonts w:hint="eastAsia"/>
        </w:rPr>
        <w:t>骸骨</w:t>
      </w:r>
      <w:proofErr w:type="gramEnd"/>
      <w:r w:rsidR="002A552D">
        <w:rPr>
          <w:rFonts w:hint="eastAsia"/>
        </w:rPr>
        <w:t>藉由</w:t>
      </w:r>
      <w:r>
        <w:rPr>
          <w:rFonts w:hint="eastAsia"/>
        </w:rPr>
        <w:t>之超音波掃描輔以電腦斷層掃描技術，進行人體</w:t>
      </w:r>
      <w:proofErr w:type="gramStart"/>
      <w:r>
        <w:rPr>
          <w:rFonts w:hint="eastAsia"/>
        </w:rPr>
        <w:t>骸骨</w:t>
      </w:r>
      <w:proofErr w:type="gramEnd"/>
      <w:r>
        <w:rPr>
          <w:rFonts w:hint="eastAsia"/>
        </w:rPr>
        <w:t>之工具痕跡</w:t>
      </w:r>
      <w:proofErr w:type="gramStart"/>
      <w:r>
        <w:rPr>
          <w:rFonts w:hint="eastAsia"/>
        </w:rPr>
        <w:t>鑑</w:t>
      </w:r>
      <w:proofErr w:type="gramEnd"/>
      <w:r>
        <w:rPr>
          <w:rFonts w:hint="eastAsia"/>
        </w:rPr>
        <w:t>識工作。</w:t>
      </w:r>
      <w:r w:rsidRPr="00377B49">
        <w:rPr>
          <w:rFonts w:hint="eastAsia"/>
          <w:b/>
        </w:rPr>
        <w:t>故該鑑定意見所使用實驗方式確屬當時尚在發展之科學鑑定技術，且鑑定意見推論2位死者骨骸刀痕是遭水果刀</w:t>
      </w:r>
      <w:r w:rsidRPr="00377B49">
        <w:rPr>
          <w:rFonts w:hint="eastAsia"/>
          <w:b/>
        </w:rPr>
        <w:lastRenderedPageBreak/>
        <w:t>類、菜刀類、開山刀類3類刀器所砍殺，惟上開刀具並無一致的物理特徵，以之進行科學實驗，作成之推論，自難以重覆驗證</w:t>
      </w:r>
      <w:r w:rsidR="00844D3B">
        <w:rPr>
          <w:rFonts w:hAnsi="標楷體" w:hint="eastAsia"/>
          <w:b/>
        </w:rPr>
        <w:t>；</w:t>
      </w:r>
      <w:r w:rsidR="00E4377F">
        <w:rPr>
          <w:rFonts w:hint="eastAsia"/>
          <w:b/>
        </w:rPr>
        <w:t>且</w:t>
      </w:r>
      <w:r w:rsidRPr="00377B49">
        <w:rPr>
          <w:rFonts w:hint="eastAsia"/>
          <w:b/>
        </w:rPr>
        <w:t>與</w:t>
      </w:r>
      <w:proofErr w:type="gramStart"/>
      <w:r w:rsidRPr="00377B49">
        <w:rPr>
          <w:rFonts w:hint="eastAsia"/>
          <w:b/>
        </w:rPr>
        <w:t>鑑</w:t>
      </w:r>
      <w:proofErr w:type="gramEnd"/>
      <w:r w:rsidRPr="00377B49">
        <w:rPr>
          <w:rFonts w:hint="eastAsia"/>
          <w:b/>
        </w:rPr>
        <w:t>識科學以物理特徵為基礎將致</w:t>
      </w:r>
      <w:proofErr w:type="gramStart"/>
      <w:r w:rsidRPr="00377B49">
        <w:rPr>
          <w:rFonts w:hint="eastAsia"/>
          <w:b/>
        </w:rPr>
        <w:t>傷物分類為鈍</w:t>
      </w:r>
      <w:proofErr w:type="gramEnd"/>
      <w:r w:rsidRPr="00377B49">
        <w:rPr>
          <w:rFonts w:hint="eastAsia"/>
          <w:b/>
        </w:rPr>
        <w:t>器類、銳器類或鋸齒類之分類標準有間，</w:t>
      </w:r>
      <w:r w:rsidR="00E4377F">
        <w:rPr>
          <w:rFonts w:hint="eastAsia"/>
          <w:b/>
        </w:rPr>
        <w:t>其鑑定方式</w:t>
      </w:r>
      <w:r w:rsidRPr="00377B49">
        <w:rPr>
          <w:rFonts w:hint="eastAsia"/>
          <w:b/>
        </w:rPr>
        <w:t>似有疑義；</w:t>
      </w:r>
      <w:proofErr w:type="gramStart"/>
      <w:r w:rsidRPr="00377B49">
        <w:rPr>
          <w:rFonts w:hint="eastAsia"/>
          <w:b/>
        </w:rPr>
        <w:t>另僅以</w:t>
      </w:r>
      <w:proofErr w:type="gramEnd"/>
      <w:r w:rsidRPr="00377B49">
        <w:rPr>
          <w:rFonts w:hint="eastAsia"/>
          <w:b/>
        </w:rPr>
        <w:t>受害者</w:t>
      </w:r>
      <w:proofErr w:type="gramStart"/>
      <w:r w:rsidRPr="00377B49">
        <w:rPr>
          <w:rFonts w:hint="eastAsia"/>
          <w:b/>
        </w:rPr>
        <w:t>骨骸受刀痕跡</w:t>
      </w:r>
      <w:proofErr w:type="gramEnd"/>
      <w:r w:rsidRPr="00377B49">
        <w:rPr>
          <w:rFonts w:hint="eastAsia"/>
          <w:b/>
        </w:rPr>
        <w:t>使用刀器角度測量儀，刀器工具痕跡模擬平台，高解析度超音波檢測儀與數位式3D立體顯微鏡，逆推</w:t>
      </w:r>
      <w:proofErr w:type="gramStart"/>
      <w:r w:rsidRPr="00377B49">
        <w:rPr>
          <w:rFonts w:hint="eastAsia"/>
          <w:b/>
        </w:rPr>
        <w:t>兇</w:t>
      </w:r>
      <w:proofErr w:type="gramEnd"/>
      <w:r w:rsidRPr="00377B49">
        <w:rPr>
          <w:rFonts w:hint="eastAsia"/>
          <w:b/>
        </w:rPr>
        <w:t>器種類卻無考量各種作用力變化與3</w:t>
      </w:r>
      <w:r w:rsidR="00E4377F">
        <w:rPr>
          <w:rFonts w:hint="eastAsia"/>
          <w:b/>
        </w:rPr>
        <w:t>類刀器作用於骨骸角度變化，而</w:t>
      </w:r>
      <w:r w:rsidRPr="00377B49">
        <w:rPr>
          <w:rFonts w:hint="eastAsia"/>
          <w:b/>
        </w:rPr>
        <w:t>無</w:t>
      </w:r>
      <w:r w:rsidR="00E4377F">
        <w:rPr>
          <w:rFonts w:hint="eastAsia"/>
          <w:b/>
        </w:rPr>
        <w:t>臺灣地區相關案件刀痕角度統計學基礎資料，該鑑定意見之信度</w:t>
      </w:r>
      <w:proofErr w:type="gramStart"/>
      <w:r w:rsidR="00E4377F">
        <w:rPr>
          <w:rFonts w:hint="eastAsia"/>
          <w:b/>
        </w:rPr>
        <w:t>與效度</w:t>
      </w:r>
      <w:proofErr w:type="gramEnd"/>
      <w:r w:rsidR="00E4377F">
        <w:rPr>
          <w:rFonts w:hint="eastAsia"/>
          <w:b/>
        </w:rPr>
        <w:t>亦</w:t>
      </w:r>
      <w:r w:rsidRPr="00377B49">
        <w:rPr>
          <w:rFonts w:hint="eastAsia"/>
          <w:b/>
        </w:rPr>
        <w:t>非全無疑問，就此，該所亦自承「工具痕跡</w:t>
      </w:r>
      <w:proofErr w:type="gramStart"/>
      <w:r w:rsidRPr="00377B49">
        <w:rPr>
          <w:rFonts w:hint="eastAsia"/>
          <w:b/>
        </w:rPr>
        <w:t>鑑</w:t>
      </w:r>
      <w:proofErr w:type="gramEnd"/>
      <w:r w:rsidRPr="00377B49">
        <w:rPr>
          <w:rFonts w:hint="eastAsia"/>
          <w:b/>
        </w:rPr>
        <w:t>識領域(如槍彈痕、足印)面對之共同難題為同一種工具無法造成全然相同的工具痕跡，刀痕亦然。影響刀痕特徵之因素包括刀械種類、尺寸、重量、形式特徵、受創骨質硬度</w:t>
      </w:r>
      <w:r w:rsidR="005F141E" w:rsidRPr="00377B49">
        <w:rPr>
          <w:b/>
        </w:rPr>
        <w:t>(Bone Density)</w:t>
      </w:r>
      <w:r w:rsidRPr="00377B49">
        <w:rPr>
          <w:rFonts w:hint="eastAsia"/>
          <w:b/>
        </w:rPr>
        <w:t>與彈性</w:t>
      </w:r>
      <w:r w:rsidR="005F141E" w:rsidRPr="00377B49">
        <w:rPr>
          <w:b/>
        </w:rPr>
        <w:t>(Elasticity and Plasticity)</w:t>
      </w:r>
      <w:r w:rsidRPr="00377B49">
        <w:rPr>
          <w:rFonts w:hint="eastAsia"/>
          <w:b/>
        </w:rPr>
        <w:t>、用刀情況、相互作用生物力學運動模式等。生體的骨骼屬彈性物質，彈性程度根據受力大小及作用模式而異，此一彈性特質使得同一把刀也可能造成</w:t>
      </w:r>
      <w:r w:rsidR="00E4377F">
        <w:rPr>
          <w:rFonts w:hint="eastAsia"/>
          <w:b/>
        </w:rPr>
        <w:t>不同大小的角度，故彈性</w:t>
      </w:r>
      <w:proofErr w:type="gramStart"/>
      <w:r w:rsidR="00E4377F">
        <w:rPr>
          <w:rFonts w:hint="eastAsia"/>
          <w:b/>
        </w:rPr>
        <w:t>性質為刀器</w:t>
      </w:r>
      <w:proofErr w:type="gramEnd"/>
      <w:r w:rsidR="00E4377F">
        <w:rPr>
          <w:rFonts w:hint="eastAsia"/>
          <w:b/>
        </w:rPr>
        <w:t>骨質痕跡：比對</w:t>
      </w:r>
      <w:proofErr w:type="gramStart"/>
      <w:r w:rsidR="00E4377F">
        <w:rPr>
          <w:rFonts w:hint="eastAsia"/>
          <w:b/>
        </w:rPr>
        <w:t>鑑</w:t>
      </w:r>
      <w:proofErr w:type="gramEnd"/>
      <w:r w:rsidR="00E4377F">
        <w:rPr>
          <w:rFonts w:hint="eastAsia"/>
          <w:b/>
        </w:rPr>
        <w:t>驗</w:t>
      </w:r>
      <w:r w:rsidR="00E4377F" w:rsidRPr="00E4377F">
        <w:rPr>
          <w:rFonts w:hAnsi="標楷體" w:hint="eastAsia"/>
          <w:b/>
        </w:rPr>
        <w:t>（識）</w:t>
      </w:r>
      <w:r w:rsidRPr="00377B49">
        <w:rPr>
          <w:rFonts w:hint="eastAsia"/>
          <w:b/>
        </w:rPr>
        <w:t>實務上之常見變因，亦無法單憑刀痕之寬度或</w:t>
      </w:r>
      <w:proofErr w:type="gramStart"/>
      <w:r w:rsidRPr="00377B49">
        <w:rPr>
          <w:rFonts w:hint="eastAsia"/>
          <w:b/>
        </w:rPr>
        <w:t>深度逆推刀具</w:t>
      </w:r>
      <w:proofErr w:type="gramEnd"/>
      <w:r w:rsidRPr="00377B49">
        <w:rPr>
          <w:rFonts w:hint="eastAsia"/>
          <w:b/>
        </w:rPr>
        <w:t>種類，因此刀痕鑑定主要憑據為量化之刀痕角度，另以</w:t>
      </w:r>
      <w:proofErr w:type="gramStart"/>
      <w:r w:rsidRPr="00377B49">
        <w:rPr>
          <w:rFonts w:hint="eastAsia"/>
          <w:b/>
        </w:rPr>
        <w:t>擠壓痕</w:t>
      </w:r>
      <w:proofErr w:type="gramEnd"/>
      <w:r w:rsidRPr="00377B49">
        <w:rPr>
          <w:rFonts w:hint="eastAsia"/>
          <w:b/>
        </w:rPr>
        <w:t>或骨質碎裂等</w:t>
      </w:r>
      <w:proofErr w:type="gramStart"/>
      <w:r w:rsidRPr="00377B49">
        <w:rPr>
          <w:rFonts w:hint="eastAsia"/>
          <w:b/>
        </w:rPr>
        <w:t>型態傷為輔助</w:t>
      </w:r>
      <w:proofErr w:type="gramEnd"/>
      <w:r w:rsidRPr="00377B49">
        <w:rPr>
          <w:rFonts w:hint="eastAsia"/>
          <w:b/>
        </w:rPr>
        <w:t>判斷。」等語，惟以90年當時我國該項鑑定事項鑑定水平而言，以骨骸刀痕角度比對，亦屬法務部法醫研究所當時所能提供最佳實驗方式，自不能以現今鑑定水平，苛責當時鑑定方法，</w:t>
      </w:r>
      <w:proofErr w:type="gramStart"/>
      <w:r w:rsidRPr="00377B49">
        <w:rPr>
          <w:rFonts w:hint="eastAsia"/>
          <w:b/>
        </w:rPr>
        <w:t>縱該鑑定</w:t>
      </w:r>
      <w:proofErr w:type="gramEnd"/>
      <w:r w:rsidRPr="00377B49">
        <w:rPr>
          <w:rFonts w:hint="eastAsia"/>
          <w:b/>
        </w:rPr>
        <w:t>方法有違美國道伯法則，亦屬法院就該項鑑定意見有無證據能力之判斷權責與範疇，自難據以認定法務部法醫研究所當時所為鑑定有違注意義務。</w:t>
      </w:r>
    </w:p>
    <w:p w:rsidR="00CE314E" w:rsidRDefault="00CE314E" w:rsidP="00CB29BE">
      <w:pPr>
        <w:pStyle w:val="3"/>
      </w:pPr>
      <w:r>
        <w:rPr>
          <w:rFonts w:hint="eastAsia"/>
        </w:rPr>
        <w:lastRenderedPageBreak/>
        <w:t>綜上，法醫研究所</w:t>
      </w:r>
      <w:r w:rsidR="005F141E">
        <w:t>(90)</w:t>
      </w:r>
      <w:r>
        <w:rPr>
          <w:rFonts w:hint="eastAsia"/>
        </w:rPr>
        <w:t>法醫所</w:t>
      </w:r>
      <w:proofErr w:type="gramStart"/>
      <w:r>
        <w:rPr>
          <w:rFonts w:hint="eastAsia"/>
        </w:rPr>
        <w:t>醫鑑</w:t>
      </w:r>
      <w:proofErr w:type="gramEnd"/>
      <w:r>
        <w:rPr>
          <w:rFonts w:hint="eastAsia"/>
        </w:rPr>
        <w:t>字第04800666號鑑定書所為刀痕鑑定</w:t>
      </w:r>
      <w:r w:rsidR="00B2587A">
        <w:rPr>
          <w:rFonts w:hint="eastAsia"/>
        </w:rPr>
        <w:t>方式</w:t>
      </w:r>
      <w:r>
        <w:rPr>
          <w:rFonts w:hint="eastAsia"/>
        </w:rPr>
        <w:t>確與現今該項科學鑑定技術未盡相符，惟考量當時該項鑑定之實驗方式係該所因應法院調查證據之要求所開創之刀痕鑑定方法，為當時所能提供最佳實驗方式，</w:t>
      </w:r>
      <w:proofErr w:type="gramStart"/>
      <w:r>
        <w:rPr>
          <w:rFonts w:hint="eastAsia"/>
        </w:rPr>
        <w:t>縱該鑑定</w:t>
      </w:r>
      <w:proofErr w:type="gramEnd"/>
      <w:r>
        <w:rPr>
          <w:rFonts w:hint="eastAsia"/>
        </w:rPr>
        <w:t>方法有違美國道伯法則，亦屬法院就該項鑑定意見有無證據能力之判斷權責與範疇，自難據以認定確有違失。</w:t>
      </w:r>
    </w:p>
    <w:p w:rsidR="00CE314E" w:rsidRPr="00377B49" w:rsidRDefault="00CE314E" w:rsidP="009C4D7B">
      <w:pPr>
        <w:pStyle w:val="2"/>
        <w:rPr>
          <w:b/>
        </w:rPr>
      </w:pPr>
      <w:bookmarkStart w:id="4" w:name="_Toc465676852"/>
      <w:r w:rsidRPr="00377B49">
        <w:rPr>
          <w:rFonts w:hint="eastAsia"/>
          <w:b/>
        </w:rPr>
        <w:t>鑑定制度</w:t>
      </w:r>
      <w:proofErr w:type="gramStart"/>
      <w:r w:rsidRPr="00377B49">
        <w:rPr>
          <w:rFonts w:hint="eastAsia"/>
          <w:b/>
        </w:rPr>
        <w:t>適正化程序</w:t>
      </w:r>
      <w:proofErr w:type="gramEnd"/>
      <w:r w:rsidRPr="00377B49">
        <w:rPr>
          <w:rFonts w:hint="eastAsia"/>
          <w:b/>
        </w:rPr>
        <w:t>應遵循刑事訴訟目的，不論</w:t>
      </w:r>
      <w:proofErr w:type="gramStart"/>
      <w:r w:rsidRPr="00377B49">
        <w:rPr>
          <w:rFonts w:hint="eastAsia"/>
          <w:b/>
        </w:rPr>
        <w:t>採</w:t>
      </w:r>
      <w:proofErr w:type="gramEnd"/>
      <w:r w:rsidRPr="00377B49">
        <w:rPr>
          <w:rFonts w:hint="eastAsia"/>
          <w:b/>
        </w:rPr>
        <w:t>何種制度架構，</w:t>
      </w:r>
      <w:proofErr w:type="gramStart"/>
      <w:r w:rsidRPr="00377B49">
        <w:rPr>
          <w:rFonts w:hint="eastAsia"/>
          <w:b/>
        </w:rPr>
        <w:t>均應符合</w:t>
      </w:r>
      <w:proofErr w:type="gramEnd"/>
      <w:r w:rsidRPr="00377B49">
        <w:rPr>
          <w:rFonts w:hint="eastAsia"/>
          <w:b/>
        </w:rPr>
        <w:t>公平法院原則，基於我國現行制度係</w:t>
      </w:r>
      <w:proofErr w:type="gramStart"/>
      <w:r w:rsidRPr="00377B49">
        <w:rPr>
          <w:rFonts w:hint="eastAsia"/>
          <w:b/>
        </w:rPr>
        <w:t>採</w:t>
      </w:r>
      <w:proofErr w:type="gramEnd"/>
      <w:r w:rsidRPr="00377B49">
        <w:rPr>
          <w:rFonts w:hint="eastAsia"/>
          <w:b/>
        </w:rPr>
        <w:t>改良式當事人進行主義，鑑定證據自應給予被告對質詰問權以保障其訴訟基本權，惟考量我國法治現狀、鑑定人才之培育與素質及未來司法改革規劃，自應有例外情事。從司改會所陳江國慶案與蘇建和案之鑑定疑義，鑑定證據確於偵審過程</w:t>
      </w:r>
      <w:r w:rsidR="00252CE1">
        <w:rPr>
          <w:rFonts w:hint="eastAsia"/>
          <w:b/>
        </w:rPr>
        <w:t>中</w:t>
      </w:r>
      <w:r w:rsidRPr="00377B49">
        <w:rPr>
          <w:rFonts w:hint="eastAsia"/>
          <w:b/>
        </w:rPr>
        <w:t>無法受到切實檢視，司法人員亦較</w:t>
      </w:r>
      <w:proofErr w:type="gramStart"/>
      <w:r w:rsidRPr="00377B49">
        <w:rPr>
          <w:rFonts w:hint="eastAsia"/>
          <w:b/>
        </w:rPr>
        <w:t>欠缺判</w:t>
      </w:r>
      <w:proofErr w:type="gramEnd"/>
      <w:r w:rsidRPr="00377B49">
        <w:rPr>
          <w:rFonts w:hint="eastAsia"/>
          <w:b/>
        </w:rPr>
        <w:t>讀科學證據之能力，</w:t>
      </w:r>
      <w:r w:rsidR="00252CE1">
        <w:rPr>
          <w:rFonts w:hint="eastAsia"/>
          <w:b/>
        </w:rPr>
        <w:t>進而有能力</w:t>
      </w:r>
      <w:r w:rsidRPr="00377B49">
        <w:rPr>
          <w:rFonts w:hint="eastAsia"/>
          <w:b/>
        </w:rPr>
        <w:t>審視其有無疏漏。雖88年全國司</w:t>
      </w:r>
      <w:r w:rsidR="00252CE1">
        <w:rPr>
          <w:rFonts w:hint="eastAsia"/>
          <w:b/>
        </w:rPr>
        <w:t>法</w:t>
      </w:r>
      <w:r w:rsidRPr="00377B49">
        <w:rPr>
          <w:rFonts w:hint="eastAsia"/>
          <w:b/>
        </w:rPr>
        <w:t>改</w:t>
      </w:r>
      <w:r w:rsidR="00252CE1">
        <w:rPr>
          <w:rFonts w:hint="eastAsia"/>
          <w:b/>
        </w:rPr>
        <w:t>革</w:t>
      </w:r>
      <w:r w:rsidRPr="00377B49">
        <w:rPr>
          <w:rFonts w:hint="eastAsia"/>
          <w:b/>
        </w:rPr>
        <w:t>會議對鑑定證據有所討論</w:t>
      </w:r>
      <w:r w:rsidR="00897B5D" w:rsidRPr="00897B5D">
        <w:rPr>
          <w:rFonts w:hint="eastAsia"/>
          <w:b/>
        </w:rPr>
        <w:t>，</w:t>
      </w:r>
      <w:r w:rsidRPr="00377B49">
        <w:rPr>
          <w:rFonts w:hint="eastAsia"/>
          <w:b/>
        </w:rPr>
        <w:t>然其決議並未執行。</w:t>
      </w:r>
      <w:proofErr w:type="gramStart"/>
      <w:r w:rsidRPr="00377B49">
        <w:rPr>
          <w:rFonts w:hint="eastAsia"/>
          <w:b/>
        </w:rPr>
        <w:t>鑑</w:t>
      </w:r>
      <w:proofErr w:type="gramEnd"/>
      <w:r w:rsidRPr="00377B49">
        <w:rPr>
          <w:rFonts w:hint="eastAsia"/>
          <w:b/>
        </w:rPr>
        <w:t>此，本院參考各國法制</w:t>
      </w:r>
      <w:proofErr w:type="gramStart"/>
      <w:r w:rsidRPr="00377B49">
        <w:rPr>
          <w:rFonts w:hint="eastAsia"/>
          <w:b/>
        </w:rPr>
        <w:t>並綜整各</w:t>
      </w:r>
      <w:proofErr w:type="gramEnd"/>
      <w:r w:rsidRPr="00377B49">
        <w:rPr>
          <w:rFonts w:hint="eastAsia"/>
          <w:b/>
        </w:rPr>
        <w:t>機關團體與學者專家意見初步</w:t>
      </w:r>
      <w:proofErr w:type="gramStart"/>
      <w:r w:rsidRPr="00377B49">
        <w:rPr>
          <w:rFonts w:hint="eastAsia"/>
          <w:b/>
        </w:rPr>
        <w:t>研</w:t>
      </w:r>
      <w:proofErr w:type="gramEnd"/>
      <w:r w:rsidRPr="00377B49">
        <w:rPr>
          <w:rFonts w:hint="eastAsia"/>
          <w:b/>
        </w:rPr>
        <w:t>析，建議司法院與法務部基於公平法院原則與改良式當事人進行主義，</w:t>
      </w:r>
      <w:r w:rsidR="00980D96">
        <w:rPr>
          <w:rFonts w:hint="eastAsia"/>
          <w:b/>
        </w:rPr>
        <w:t>司法實務宜發展證據能力門檻；復偵查機關選任鑑定人或囑託機關鑑定，宜與法院選任或囑託者有所區別，以保障</w:t>
      </w:r>
      <w:r w:rsidR="00DD6E40" w:rsidRPr="00425F81">
        <w:rPr>
          <w:rFonts w:hint="eastAsia"/>
          <w:b/>
          <w:color w:val="262626" w:themeColor="text1" w:themeTint="D9"/>
        </w:rPr>
        <w:t>當事人</w:t>
      </w:r>
      <w:r w:rsidR="00980D96">
        <w:rPr>
          <w:rFonts w:hint="eastAsia"/>
          <w:b/>
        </w:rPr>
        <w:t>之對質詰問權；另宜參考美國專家證人制度優點，給予被告選任鑑定人之權利</w:t>
      </w:r>
      <w:r w:rsidRPr="00377B49">
        <w:rPr>
          <w:rFonts w:hint="eastAsia"/>
          <w:b/>
        </w:rPr>
        <w:t>，惟考量現行實務現狀，避免過度商業化與訴訟成本提高，造成訴訟</w:t>
      </w:r>
      <w:proofErr w:type="gramStart"/>
      <w:r w:rsidRPr="00377B49">
        <w:rPr>
          <w:rFonts w:hint="eastAsia"/>
          <w:b/>
        </w:rPr>
        <w:t>延滯或濫用</w:t>
      </w:r>
      <w:proofErr w:type="gramEnd"/>
      <w:r w:rsidRPr="00377B49">
        <w:rPr>
          <w:rFonts w:hint="eastAsia"/>
          <w:b/>
        </w:rPr>
        <w:t>制度致使法院</w:t>
      </w:r>
      <w:proofErr w:type="gramStart"/>
      <w:r w:rsidRPr="00377B49">
        <w:rPr>
          <w:rFonts w:hint="eastAsia"/>
          <w:b/>
        </w:rPr>
        <w:t>難以發見真實</w:t>
      </w:r>
      <w:proofErr w:type="gramEnd"/>
      <w:r w:rsidRPr="00377B49">
        <w:rPr>
          <w:rFonts w:hint="eastAsia"/>
          <w:b/>
        </w:rPr>
        <w:t>，應</w:t>
      </w:r>
      <w:r w:rsidR="00BE1F7E" w:rsidRPr="00425F81">
        <w:rPr>
          <w:rFonts w:hint="eastAsia"/>
          <w:b/>
          <w:color w:val="0D0D0D" w:themeColor="text1" w:themeTint="F2"/>
        </w:rPr>
        <w:t>增加</w:t>
      </w:r>
      <w:r w:rsidRPr="00425F81">
        <w:rPr>
          <w:rFonts w:hint="eastAsia"/>
          <w:b/>
          <w:color w:val="0D0D0D" w:themeColor="text1" w:themeTint="F2"/>
        </w:rPr>
        <w:t>適用於</w:t>
      </w:r>
      <w:r w:rsidRPr="00377B49">
        <w:rPr>
          <w:rFonts w:hint="eastAsia"/>
          <w:b/>
        </w:rPr>
        <w:t>當事人合意囑託而不受交互詰問之「中立性機關鑑定」，</w:t>
      </w:r>
      <w:proofErr w:type="gramStart"/>
      <w:r w:rsidRPr="00377B49">
        <w:rPr>
          <w:rFonts w:hint="eastAsia"/>
          <w:b/>
        </w:rPr>
        <w:t>俾</w:t>
      </w:r>
      <w:proofErr w:type="gramEnd"/>
      <w:r w:rsidRPr="00377B49">
        <w:rPr>
          <w:rFonts w:hint="eastAsia"/>
          <w:b/>
        </w:rPr>
        <w:t>保障當事人之程序利益與實體利益。</w:t>
      </w:r>
      <w:proofErr w:type="gramStart"/>
      <w:r w:rsidRPr="00377B49">
        <w:rPr>
          <w:rFonts w:hint="eastAsia"/>
          <w:b/>
        </w:rPr>
        <w:t>再者，</w:t>
      </w:r>
      <w:proofErr w:type="gramEnd"/>
      <w:r w:rsidRPr="00377B49">
        <w:rPr>
          <w:rFonts w:hint="eastAsia"/>
          <w:b/>
        </w:rPr>
        <w:t>鑑定制度應按科技發展現況，隨時充實鑑定項目分類，並得建立適正審查程</w:t>
      </w:r>
      <w:r w:rsidRPr="00377B49">
        <w:rPr>
          <w:rFonts w:hint="eastAsia"/>
          <w:b/>
        </w:rPr>
        <w:lastRenderedPageBreak/>
        <w:t>序，因應偵查與審判不同需求，建立層級化與多元化科學鑑定</w:t>
      </w:r>
      <w:r w:rsidR="00A33117" w:rsidRPr="00377B49">
        <w:rPr>
          <w:rFonts w:hint="eastAsia"/>
          <w:b/>
        </w:rPr>
        <w:t>(識)</w:t>
      </w:r>
      <w:r w:rsidRPr="00377B49">
        <w:rPr>
          <w:rFonts w:hint="eastAsia"/>
          <w:b/>
        </w:rPr>
        <w:t>系統，以提升</w:t>
      </w:r>
      <w:proofErr w:type="gramStart"/>
      <w:r w:rsidRPr="00377B49">
        <w:rPr>
          <w:rFonts w:hint="eastAsia"/>
          <w:b/>
        </w:rPr>
        <w:t>鑑</w:t>
      </w:r>
      <w:proofErr w:type="gramEnd"/>
      <w:r w:rsidRPr="00377B49">
        <w:rPr>
          <w:rFonts w:hint="eastAsia"/>
          <w:b/>
        </w:rPr>
        <w:t>識機關之公正性，並應透過鑑定機關參考名冊，適切協助法院妥善選任囑託鑑定機關或鑑定人；另因法官對刑事判決正確性負有全部責任，檢察官對於公訴事實亦負有全部舉證責任，故應強化其科學辦案能力之職能訓練，並建立迅速與妥適鑑定意見審查制度</w:t>
      </w:r>
      <w:r w:rsidR="00A33117" w:rsidRPr="00377B49">
        <w:rPr>
          <w:rFonts w:hint="eastAsia"/>
          <w:b/>
        </w:rPr>
        <w:t>(</w:t>
      </w:r>
      <w:proofErr w:type="gramStart"/>
      <w:r w:rsidR="00A33117" w:rsidRPr="00377B49">
        <w:rPr>
          <w:rFonts w:hint="eastAsia"/>
          <w:b/>
        </w:rPr>
        <w:t>複</w:t>
      </w:r>
      <w:proofErr w:type="gramEnd"/>
      <w:r w:rsidR="00A33117" w:rsidRPr="00377B49">
        <w:rPr>
          <w:rFonts w:hint="eastAsia"/>
          <w:b/>
        </w:rPr>
        <w:t>驗制度)</w:t>
      </w:r>
      <w:r w:rsidRPr="00377B49">
        <w:rPr>
          <w:rFonts w:hint="eastAsia"/>
          <w:b/>
        </w:rPr>
        <w:t>，以維公平法院原則。</w:t>
      </w:r>
      <w:bookmarkEnd w:id="4"/>
    </w:p>
    <w:p w:rsidR="00CE314E" w:rsidRPr="00377B49" w:rsidRDefault="00CE314E" w:rsidP="009C4D7B">
      <w:pPr>
        <w:pStyle w:val="3"/>
        <w:rPr>
          <w:b/>
        </w:rPr>
      </w:pPr>
      <w:r w:rsidRPr="00377B49">
        <w:rPr>
          <w:rFonts w:hint="eastAsia"/>
          <w:b/>
        </w:rPr>
        <w:t>鑑定制度</w:t>
      </w:r>
      <w:proofErr w:type="gramStart"/>
      <w:r w:rsidRPr="00377B49">
        <w:rPr>
          <w:rFonts w:hint="eastAsia"/>
          <w:b/>
        </w:rPr>
        <w:t>適正化程序</w:t>
      </w:r>
      <w:proofErr w:type="gramEnd"/>
      <w:r w:rsidRPr="00377B49">
        <w:rPr>
          <w:rFonts w:hint="eastAsia"/>
          <w:b/>
        </w:rPr>
        <w:t>必須依據刑事訴訟目的加以考量，不論採用當事人主義或職權主義</w:t>
      </w:r>
      <w:r w:rsidR="004C7B3E">
        <w:rPr>
          <w:rStyle w:val="afe"/>
          <w:b/>
        </w:rPr>
        <w:footnoteReference w:id="13"/>
      </w:r>
      <w:r w:rsidRPr="00377B49">
        <w:rPr>
          <w:rFonts w:hint="eastAsia"/>
          <w:b/>
        </w:rPr>
        <w:t>，</w:t>
      </w:r>
      <w:proofErr w:type="gramStart"/>
      <w:r w:rsidRPr="00377B49">
        <w:rPr>
          <w:rFonts w:hint="eastAsia"/>
          <w:b/>
        </w:rPr>
        <w:t>均應符合</w:t>
      </w:r>
      <w:proofErr w:type="gramEnd"/>
      <w:r w:rsidRPr="00377B49">
        <w:rPr>
          <w:rFonts w:hint="eastAsia"/>
          <w:b/>
        </w:rPr>
        <w:t>公平法院原則，我國目前採用改良式當事人進行主義，其制度設計應以當事人主義為主，職權主義為輔。</w:t>
      </w:r>
    </w:p>
    <w:p w:rsidR="00CE314E" w:rsidRDefault="00CE314E" w:rsidP="009C4D7B">
      <w:pPr>
        <w:pStyle w:val="4"/>
      </w:pPr>
      <w:r>
        <w:rPr>
          <w:rFonts w:hint="eastAsia"/>
        </w:rPr>
        <w:t>鑑定制度</w:t>
      </w:r>
      <w:proofErr w:type="gramStart"/>
      <w:r>
        <w:rPr>
          <w:rFonts w:hint="eastAsia"/>
        </w:rPr>
        <w:t>適正化程序</w:t>
      </w:r>
      <w:proofErr w:type="gramEnd"/>
      <w:r>
        <w:rPr>
          <w:rFonts w:hint="eastAsia"/>
        </w:rPr>
        <w:t>不論依據何種訴訟制度均不得背離公平法院原則，並應基於刑事訴訟目的，保障被告</w:t>
      </w:r>
      <w:r w:rsidR="00377B49">
        <w:rPr>
          <w:rFonts w:hint="eastAsia"/>
        </w:rPr>
        <w:t>程序利益與實體利益</w:t>
      </w:r>
      <w:r>
        <w:rPr>
          <w:rFonts w:hint="eastAsia"/>
        </w:rPr>
        <w:t>，</w:t>
      </w:r>
      <w:proofErr w:type="gramStart"/>
      <w:r>
        <w:rPr>
          <w:rFonts w:hint="eastAsia"/>
        </w:rPr>
        <w:t>踐行</w:t>
      </w:r>
      <w:proofErr w:type="gramEnd"/>
      <w:r>
        <w:rPr>
          <w:rFonts w:hint="eastAsia"/>
        </w:rPr>
        <w:t>公正程序請求權與適時審判請求權，以維護當事人訴訟基本權。</w:t>
      </w:r>
    </w:p>
    <w:p w:rsidR="00CE314E" w:rsidRDefault="00CE314E" w:rsidP="00FC74F7">
      <w:pPr>
        <w:pStyle w:val="42"/>
        <w:ind w:left="1701" w:firstLine="680"/>
      </w:pPr>
      <w:r>
        <w:rPr>
          <w:rFonts w:hint="eastAsia"/>
        </w:rPr>
        <w:t>按</w:t>
      </w:r>
      <w:r w:rsidR="00897B5D">
        <w:rPr>
          <w:rFonts w:hint="eastAsia"/>
        </w:rPr>
        <w:t>公民與政治權利國際公約</w:t>
      </w:r>
      <w:r>
        <w:rPr>
          <w:rFonts w:hint="eastAsia"/>
        </w:rPr>
        <w:t>第</w:t>
      </w:r>
      <w:r>
        <w:t>14</w:t>
      </w:r>
      <w:r>
        <w:rPr>
          <w:rFonts w:hint="eastAsia"/>
        </w:rPr>
        <w:t>條規定：「</w:t>
      </w:r>
      <w:r w:rsidR="00897B5D" w:rsidRPr="00897B5D">
        <w:rPr>
          <w:rFonts w:hint="eastAsia"/>
        </w:rPr>
        <w:t>人人在法院或法庭之前，悉屬平等。任何人受刑事控告或因其權利義務涉訟須予判定時，應有權受獨立無私之法定管轄法庭公正公開審問。</w:t>
      </w:r>
      <w:r w:rsidR="00A33117">
        <w:rPr>
          <w:rFonts w:hint="eastAsia"/>
        </w:rPr>
        <w:t>(中略)</w:t>
      </w:r>
      <w:r>
        <w:rPr>
          <w:rFonts w:hint="eastAsia"/>
        </w:rPr>
        <w:lastRenderedPageBreak/>
        <w:t>三、</w:t>
      </w:r>
      <w:r w:rsidR="00FC74F7" w:rsidRPr="00FC74F7">
        <w:rPr>
          <w:rFonts w:hint="eastAsia"/>
        </w:rPr>
        <w:t>審判被控</w:t>
      </w:r>
      <w:proofErr w:type="gramStart"/>
      <w:r w:rsidR="00FC74F7" w:rsidRPr="00FC74F7">
        <w:rPr>
          <w:rFonts w:hint="eastAsia"/>
        </w:rPr>
        <w:t>刑事罪</w:t>
      </w:r>
      <w:proofErr w:type="gramEnd"/>
      <w:r w:rsidR="00FC74F7" w:rsidRPr="00FC74F7">
        <w:rPr>
          <w:rFonts w:hint="eastAsia"/>
        </w:rPr>
        <w:t>時，被告一律有權平等享受下列最低限度之保障</w:t>
      </w:r>
      <w:r>
        <w:rPr>
          <w:rFonts w:hint="eastAsia"/>
        </w:rPr>
        <w:t>：</w:t>
      </w:r>
      <w:r w:rsidR="00A33117">
        <w:rPr>
          <w:rFonts w:hint="eastAsia"/>
        </w:rPr>
        <w:t>(中略)</w:t>
      </w:r>
      <w:r>
        <w:t>5.</w:t>
      </w:r>
      <w:r w:rsidR="00FC74F7" w:rsidRPr="00FC74F7">
        <w:rPr>
          <w:rFonts w:hint="eastAsia"/>
        </w:rPr>
        <w:t>得親自或間接詰問他造證人，並得聲請法院傳喚其證人在與他造證人同等條件下出庭作證</w:t>
      </w:r>
      <w:r w:rsidR="00A33117">
        <w:rPr>
          <w:rFonts w:hint="eastAsia"/>
        </w:rPr>
        <w:t>(</w:t>
      </w:r>
      <w:proofErr w:type="gramStart"/>
      <w:r w:rsidR="00A33117">
        <w:rPr>
          <w:rFonts w:hint="eastAsia"/>
        </w:rPr>
        <w:t>下略</w:t>
      </w:r>
      <w:proofErr w:type="gramEnd"/>
      <w:r w:rsidR="00A33117">
        <w:rPr>
          <w:rFonts w:hint="eastAsia"/>
        </w:rPr>
        <w:t>)</w:t>
      </w:r>
      <w:r w:rsidR="006011A9">
        <w:rPr>
          <w:rFonts w:ascii="新細明體" w:eastAsia="新細明體" w:hAnsi="新細明體" w:hint="eastAsia"/>
        </w:rPr>
        <w:t>。</w:t>
      </w:r>
      <w:r>
        <w:rPr>
          <w:rFonts w:hint="eastAsia"/>
        </w:rPr>
        <w:t>」</w:t>
      </w:r>
      <w:r w:rsidR="004128C4">
        <w:rPr>
          <w:rStyle w:val="afe"/>
        </w:rPr>
        <w:footnoteReference w:id="14"/>
      </w:r>
      <w:r>
        <w:rPr>
          <w:rFonts w:hint="eastAsia"/>
        </w:rPr>
        <w:t>憲法第</w:t>
      </w:r>
      <w:r>
        <w:t>7</w:t>
      </w:r>
      <w:r>
        <w:rPr>
          <w:rFonts w:hint="eastAsia"/>
        </w:rPr>
        <w:t>條規定：「中華民國人民，無分男女、宗教、種族、階級、黨派，在法律上一律平等。</w:t>
      </w:r>
      <w:r w:rsidR="00A33117">
        <w:rPr>
          <w:rFonts w:hint="eastAsia"/>
        </w:rPr>
        <w:t>」</w:t>
      </w:r>
      <w:proofErr w:type="gramStart"/>
      <w:r>
        <w:rPr>
          <w:rFonts w:hint="eastAsia"/>
        </w:rPr>
        <w:t>復按刑事</w:t>
      </w:r>
      <w:proofErr w:type="gramEnd"/>
      <w:r>
        <w:rPr>
          <w:rFonts w:hint="eastAsia"/>
        </w:rPr>
        <w:t>訴訟法第154條規定：「被告未經審判證明有罪確定前，推定其為無罪。犯罪事實應依證據認定之，無證據不得認定犯罪事實。」同法第155條規定：「證據之證明力，由法院本於確信自由判斷。但不得違背經驗法則及論理法則。無證據能力、未經合法調查之證據，不得作為判斷之依據。」按刑事訴訟係為對特定之被告、特定之犯罪事實，確定國家具體刑罰權之</w:t>
      </w:r>
      <w:proofErr w:type="gramStart"/>
      <w:r>
        <w:rPr>
          <w:rFonts w:hint="eastAsia"/>
        </w:rPr>
        <w:t>有無及其</w:t>
      </w:r>
      <w:proofErr w:type="gramEnd"/>
      <w:r>
        <w:rPr>
          <w:rFonts w:hint="eastAsia"/>
        </w:rPr>
        <w:t>範圍所進行之程序，故刑事訴訟法之目的</w:t>
      </w:r>
      <w:r w:rsidR="000435F9">
        <w:rPr>
          <w:rStyle w:val="afe"/>
        </w:rPr>
        <w:footnoteReference w:id="15"/>
      </w:r>
      <w:r>
        <w:rPr>
          <w:rFonts w:hint="eastAsia"/>
        </w:rPr>
        <w:t>，乃係於刑事事件中，基於維護公共福祉與保障基本人權，</w:t>
      </w:r>
      <w:proofErr w:type="gramStart"/>
      <w:r>
        <w:rPr>
          <w:rFonts w:hint="eastAsia"/>
        </w:rPr>
        <w:t>解明事實</w:t>
      </w:r>
      <w:proofErr w:type="gramEnd"/>
      <w:r>
        <w:rPr>
          <w:rFonts w:hint="eastAsia"/>
        </w:rPr>
        <w:t>之真相，適正適用刑事法令且正確而迅速之實現。亦即刑事程序乃以維護公共福祉與基本人</w:t>
      </w:r>
      <w:r>
        <w:rPr>
          <w:rFonts w:hint="eastAsia"/>
        </w:rPr>
        <w:lastRenderedPageBreak/>
        <w:t>權，</w:t>
      </w:r>
      <w:proofErr w:type="gramStart"/>
      <w:r>
        <w:rPr>
          <w:rFonts w:hint="eastAsia"/>
        </w:rPr>
        <w:t>解明事件</w:t>
      </w:r>
      <w:proofErr w:type="gramEnd"/>
      <w:r>
        <w:rPr>
          <w:rFonts w:hint="eastAsia"/>
        </w:rPr>
        <w:t>之真相，</w:t>
      </w:r>
      <w:proofErr w:type="gramStart"/>
      <w:r>
        <w:rPr>
          <w:rFonts w:hint="eastAsia"/>
        </w:rPr>
        <w:t>適正且迅速</w:t>
      </w:r>
      <w:proofErr w:type="gramEnd"/>
      <w:r>
        <w:rPr>
          <w:rFonts w:hint="eastAsia"/>
        </w:rPr>
        <w:t>實現刑罰權為目的</w:t>
      </w:r>
      <w:r w:rsidR="000435F9">
        <w:rPr>
          <w:rStyle w:val="afe"/>
        </w:rPr>
        <w:footnoteReference w:id="16"/>
      </w:r>
      <w:r w:rsidR="00FC74F7" w:rsidRPr="00FC74F7">
        <w:rPr>
          <w:rFonts w:hint="eastAsia"/>
        </w:rPr>
        <w:t>。</w:t>
      </w:r>
      <w:r>
        <w:rPr>
          <w:rFonts w:hint="eastAsia"/>
        </w:rPr>
        <w:t>是則，所謂公平法院原則，係基於憲法第7條平等權，承認被告具有程序主體權與檢察官於刑事訴訟程序享有同等地位，法院負</w:t>
      </w:r>
      <w:proofErr w:type="gramStart"/>
      <w:r>
        <w:rPr>
          <w:rFonts w:hint="eastAsia"/>
        </w:rPr>
        <w:t>有發見真實</w:t>
      </w:r>
      <w:proofErr w:type="gramEnd"/>
      <w:r>
        <w:rPr>
          <w:rFonts w:hint="eastAsia"/>
        </w:rPr>
        <w:t>與促進訴訟之義務，以平衡被告之</w:t>
      </w:r>
      <w:r w:rsidR="00377B49">
        <w:rPr>
          <w:rFonts w:hint="eastAsia"/>
        </w:rPr>
        <w:t>程序利益與實體利益</w:t>
      </w:r>
      <w:r>
        <w:rPr>
          <w:rFonts w:hint="eastAsia"/>
        </w:rPr>
        <w:t>，亦即現代司法</w:t>
      </w:r>
      <w:r w:rsidR="00AB5050">
        <w:rPr>
          <w:rFonts w:hint="eastAsia"/>
        </w:rPr>
        <w:t>制度之可貴，乃是基於嚴格證據主義，不容許國家不計代價、不問是非</w:t>
      </w:r>
      <w:proofErr w:type="gramStart"/>
      <w:r w:rsidR="00AB5050">
        <w:rPr>
          <w:rFonts w:hint="eastAsia"/>
        </w:rPr>
        <w:t>地</w:t>
      </w:r>
      <w:r>
        <w:rPr>
          <w:rFonts w:hint="eastAsia"/>
        </w:rPr>
        <w:t>發見真實</w:t>
      </w:r>
      <w:proofErr w:type="gramEnd"/>
      <w:r>
        <w:rPr>
          <w:rFonts w:hint="eastAsia"/>
        </w:rPr>
        <w:t>，縱被告具有高度犯罪嫌疑，若檢察官舉證無法使法院產生「無庸置疑之確信」，應給予被告無罪判決，故亦不容許法院</w:t>
      </w:r>
      <w:proofErr w:type="gramStart"/>
      <w:r>
        <w:rPr>
          <w:rFonts w:hint="eastAsia"/>
        </w:rPr>
        <w:t>為發見真實</w:t>
      </w:r>
      <w:proofErr w:type="gramEnd"/>
      <w:r>
        <w:rPr>
          <w:rFonts w:hint="eastAsia"/>
        </w:rPr>
        <w:t>，持續不斷發回更審，</w:t>
      </w:r>
      <w:proofErr w:type="gramStart"/>
      <w:r>
        <w:rPr>
          <w:rFonts w:hint="eastAsia"/>
        </w:rPr>
        <w:t>斲</w:t>
      </w:r>
      <w:proofErr w:type="gramEnd"/>
      <w:r>
        <w:rPr>
          <w:rFonts w:hint="eastAsia"/>
        </w:rPr>
        <w:t>傷被告程序利益。若司法機關違背上開憲法義務，被告自得主張公正程序</w:t>
      </w:r>
      <w:proofErr w:type="gramStart"/>
      <w:r>
        <w:rPr>
          <w:rFonts w:hint="eastAsia"/>
        </w:rPr>
        <w:t>踐行</w:t>
      </w:r>
      <w:proofErr w:type="gramEnd"/>
      <w:r>
        <w:rPr>
          <w:rFonts w:hint="eastAsia"/>
        </w:rPr>
        <w:t>請求權、適時審判請求權，</w:t>
      </w:r>
      <w:proofErr w:type="gramStart"/>
      <w:r>
        <w:rPr>
          <w:rFonts w:hint="eastAsia"/>
        </w:rPr>
        <w:t>俾</w:t>
      </w:r>
      <w:proofErr w:type="gramEnd"/>
      <w:r>
        <w:rPr>
          <w:rFonts w:hint="eastAsia"/>
        </w:rPr>
        <w:t>使人民於訴訟基本權受侵害時，有及時、充分回復並實現其權利之可能，始符正當法律程序原則</w:t>
      </w:r>
      <w:r w:rsidR="000435F9">
        <w:rPr>
          <w:rStyle w:val="afe"/>
        </w:rPr>
        <w:footnoteReference w:id="17"/>
      </w:r>
      <w:r>
        <w:rPr>
          <w:rFonts w:hint="eastAsia"/>
        </w:rPr>
        <w:t>。</w:t>
      </w:r>
    </w:p>
    <w:p w:rsidR="00CE314E" w:rsidRPr="009C47FD" w:rsidRDefault="00CE314E" w:rsidP="009C4D7B">
      <w:pPr>
        <w:pStyle w:val="4"/>
        <w:rPr>
          <w:b/>
        </w:rPr>
      </w:pPr>
      <w:r w:rsidRPr="009C47FD">
        <w:rPr>
          <w:rFonts w:hint="eastAsia"/>
          <w:b/>
        </w:rPr>
        <w:lastRenderedPageBreak/>
        <w:t>我國現行制度，司法院稱之為改良式當事人進行主義，係以當事人進行主義為原則，由檢察官負實質的舉證責任，為當事人</w:t>
      </w:r>
      <w:proofErr w:type="gramStart"/>
      <w:r w:rsidRPr="009C47FD">
        <w:rPr>
          <w:rFonts w:hint="eastAsia"/>
          <w:b/>
        </w:rPr>
        <w:t>一</w:t>
      </w:r>
      <w:proofErr w:type="gramEnd"/>
      <w:r w:rsidRPr="009C47FD">
        <w:rPr>
          <w:rFonts w:hint="eastAsia"/>
          <w:b/>
        </w:rPr>
        <w:t>造，例外於法院為維護社會公義及被告重大利益時，法院進行調查，</w:t>
      </w:r>
      <w:proofErr w:type="gramStart"/>
      <w:r w:rsidRPr="009C47FD">
        <w:rPr>
          <w:rFonts w:hint="eastAsia"/>
          <w:b/>
        </w:rPr>
        <w:t>以發見真實</w:t>
      </w:r>
      <w:proofErr w:type="gramEnd"/>
      <w:r w:rsidRPr="009C47FD">
        <w:rPr>
          <w:rFonts w:hint="eastAsia"/>
          <w:b/>
        </w:rPr>
        <w:t>。</w:t>
      </w:r>
    </w:p>
    <w:p w:rsidR="00CE314E" w:rsidRDefault="00CE314E" w:rsidP="008017CF">
      <w:pPr>
        <w:pStyle w:val="42"/>
        <w:ind w:left="1701" w:firstLine="680"/>
      </w:pPr>
      <w:r>
        <w:rPr>
          <w:rFonts w:hint="eastAsia"/>
        </w:rPr>
        <w:t>經查，司法</w:t>
      </w:r>
      <w:proofErr w:type="gramStart"/>
      <w:r>
        <w:rPr>
          <w:rFonts w:hint="eastAsia"/>
        </w:rPr>
        <w:t>院官網</w:t>
      </w:r>
      <w:proofErr w:type="gramEnd"/>
      <w:r>
        <w:rPr>
          <w:rFonts w:hint="eastAsia"/>
        </w:rPr>
        <w:t>就改良式當事人進行主義描繪為：「司法公正是人民對司法的基本要求，為了實現司法公正的目標，我們需要一個健全的訴訟制度。在91年2月8日修正公布前的我國舊刑事訴訟法是沿襲大陸法系的職權主義，法律雖然規定檢察官對被告犯罪事實，有舉證責任，但也同時要求法官應依職權調查證據，由於這樣的制度設計並不是很恰當，再加上檢察官人力調度的問題，實務操作的結果，常常出現檢察官沒有能夠切實地到法庭實行公訴，法官必須全程主導證據的調查，主動蒐集對被告不利的證據，民眾看到</w:t>
      </w:r>
      <w:r>
        <w:rPr>
          <w:rFonts w:hint="eastAsia"/>
        </w:rPr>
        <w:lastRenderedPageBreak/>
        <w:t>的是法官不斷地以對立的立場質問被告，調查對被告不利的事證，法官與檢察官的權責分際產生嚴重的混淆，審判的公正性也因此飽受人民的懷疑。司法院有鑑於此，根據88年全國司法改革會議的共識與結論，大力推動刑事訴訟改行『改良式當事人進行主義』。所謂『改良式當事人進行主義』，其重點在於貫徹無罪推定原則，檢察官應就被告犯罪事實，負實質的舉證責任，法庭的證據調查活動，是由當事人來主導，法院只在事實真相有待澄清，或者是為了維護公平正義以及被告重大利益時，才發動職權調查證據。『改良式當事人進行主義』除了可以</w:t>
      </w:r>
      <w:proofErr w:type="gramStart"/>
      <w:r>
        <w:rPr>
          <w:rFonts w:hint="eastAsia"/>
        </w:rPr>
        <w:t>釐</w:t>
      </w:r>
      <w:proofErr w:type="gramEnd"/>
      <w:r>
        <w:rPr>
          <w:rFonts w:hint="eastAsia"/>
        </w:rPr>
        <w:t>清法官與檢察官的權責分際、彰顯公平法院的理念外，更有助於『</w:t>
      </w:r>
      <w:proofErr w:type="gramStart"/>
      <w:r>
        <w:rPr>
          <w:rFonts w:hint="eastAsia"/>
        </w:rPr>
        <w:t>發見真實</w:t>
      </w:r>
      <w:proofErr w:type="gramEnd"/>
      <w:r>
        <w:rPr>
          <w:rFonts w:hint="eastAsia"/>
        </w:rPr>
        <w:t>』。因為按照檢察制度的分工，檢察官可以聯合偵查犯罪，有權力指揮調度檢察事務官、司法警察</w:t>
      </w:r>
      <w:r w:rsidR="00A33117">
        <w:rPr>
          <w:rFonts w:hint="eastAsia"/>
        </w:rPr>
        <w:t>(官)</w:t>
      </w:r>
      <w:r>
        <w:rPr>
          <w:rFonts w:hint="eastAsia"/>
        </w:rPr>
        <w:t>蒐集犯罪證據，所以檢察官應該最能夠掌握被告的犯罪事證，在制度設計上，自然應該讓檢察官負起實質的舉證責任。另外，被告是不是成立犯罪，關係到被告自己的生命、自由、財產及名譽，從何處蒐集有利的證據供法院調查，被告當然最為</w:t>
      </w:r>
      <w:proofErr w:type="gramStart"/>
      <w:r>
        <w:rPr>
          <w:rFonts w:hint="eastAsia"/>
        </w:rPr>
        <w:t>清楚，</w:t>
      </w:r>
      <w:proofErr w:type="gramEnd"/>
      <w:r>
        <w:rPr>
          <w:rFonts w:hint="eastAsia"/>
        </w:rPr>
        <w:t>也最為積極。所以作為法院裁判基礎的證據，自然是由當事人提出最為適當，只有在當事人的舉證沒有能夠讓法院形成心證，或者是為了維護社會公義及被告重大利益時，法院才需要介入調查，</w:t>
      </w:r>
      <w:proofErr w:type="gramStart"/>
      <w:r>
        <w:rPr>
          <w:rFonts w:hint="eastAsia"/>
        </w:rPr>
        <w:t>以發見真實</w:t>
      </w:r>
      <w:proofErr w:type="gramEnd"/>
      <w:r>
        <w:rPr>
          <w:rFonts w:hint="eastAsia"/>
        </w:rPr>
        <w:t>。而這樣的制度設計保留了職權主義的優點，與美國刑事審判使用陪審制或日本刑事訴訟法只規定『法院得依職權調查證據』的當事人進行主義有所差別，其出發點完全是考量我國的國情及歷史文化背景，符合我國憲法關於實質正當法律程序的要</w:t>
      </w:r>
      <w:r>
        <w:rPr>
          <w:rFonts w:hint="eastAsia"/>
        </w:rPr>
        <w:lastRenderedPageBreak/>
        <w:t>求，也因此我們稱它為『改良式當事人進行主義』。」等語。</w:t>
      </w:r>
    </w:p>
    <w:p w:rsidR="00CE314E" w:rsidRDefault="00CE314E" w:rsidP="008017CF">
      <w:pPr>
        <w:pStyle w:val="42"/>
        <w:ind w:left="1701" w:firstLine="680"/>
      </w:pPr>
      <w:proofErr w:type="gramStart"/>
      <w:r>
        <w:rPr>
          <w:rFonts w:hint="eastAsia"/>
        </w:rPr>
        <w:t>復按上</w:t>
      </w:r>
      <w:proofErr w:type="gramEnd"/>
      <w:r>
        <w:rPr>
          <w:rFonts w:hint="eastAsia"/>
        </w:rPr>
        <w:t>開改良式當事人進行主義，現行規定以1.刑事訴訟法第163條規定：「當事人、代理人、辯護人或輔佐人得聲請調查證據，並得於調查證據時，詢問證人、鑑定人或被告。審判長除認為有不當者外，不得禁止之。法院</w:t>
      </w:r>
      <w:proofErr w:type="gramStart"/>
      <w:r>
        <w:rPr>
          <w:rFonts w:hint="eastAsia"/>
        </w:rPr>
        <w:t>為發見真實</w:t>
      </w:r>
      <w:proofErr w:type="gramEnd"/>
      <w:r>
        <w:rPr>
          <w:rFonts w:hint="eastAsia"/>
        </w:rPr>
        <w:t>，得依職權調查證據。但於公平正義之維護或對被告之利益有重大關係事項，法院應依職權調查之。法院為前項調查證據前，應予當事人、代理人、辯護人或輔佐人陳述意見之機會。」</w:t>
      </w:r>
      <w:r w:rsidR="000435F9">
        <w:rPr>
          <w:rStyle w:val="afe"/>
        </w:rPr>
        <w:footnoteReference w:id="18"/>
      </w:r>
      <w:r>
        <w:rPr>
          <w:rFonts w:hint="eastAsia"/>
        </w:rPr>
        <w:t>；2.同法第161條第1項規定：「檢察官就被告犯罪事實，應負舉證責任，並指出證明之方法。」；3.同法第161條之1規定：「被告得就被訴事實指出有利之證明方法。」</w:t>
      </w:r>
      <w:r w:rsidR="000435F9">
        <w:rPr>
          <w:rStyle w:val="afe"/>
        </w:rPr>
        <w:footnoteReference w:id="19"/>
      </w:r>
      <w:r w:rsidR="006827A7">
        <w:rPr>
          <w:rFonts w:hint="eastAsia"/>
        </w:rPr>
        <w:t>等</w:t>
      </w:r>
      <w:r>
        <w:rPr>
          <w:rFonts w:hint="eastAsia"/>
        </w:rPr>
        <w:t>為主要架構，</w:t>
      </w:r>
      <w:r w:rsidR="006827A7">
        <w:rPr>
          <w:rFonts w:hint="eastAsia"/>
        </w:rPr>
        <w:t>依據上開規定</w:t>
      </w:r>
      <w:r w:rsidR="006827A7">
        <w:rPr>
          <w:rFonts w:ascii="新細明體" w:eastAsia="新細明體" w:hAnsi="新細明體" w:hint="eastAsia"/>
        </w:rPr>
        <w:t>，</w:t>
      </w:r>
      <w:r>
        <w:rPr>
          <w:rFonts w:hint="eastAsia"/>
        </w:rPr>
        <w:t>顯係由檢察官負實質的舉證責任，為當事人</w:t>
      </w:r>
      <w:proofErr w:type="gramStart"/>
      <w:r>
        <w:rPr>
          <w:rFonts w:hint="eastAsia"/>
        </w:rPr>
        <w:t>一</w:t>
      </w:r>
      <w:proofErr w:type="gramEnd"/>
      <w:r>
        <w:rPr>
          <w:rFonts w:hint="eastAsia"/>
        </w:rPr>
        <w:t>造，例外於法院基於維護社會公義及被告重大利益時，由法院進行調查，</w:t>
      </w:r>
      <w:proofErr w:type="gramStart"/>
      <w:r>
        <w:rPr>
          <w:rFonts w:hint="eastAsia"/>
        </w:rPr>
        <w:t>以發見真實</w:t>
      </w:r>
      <w:proofErr w:type="gramEnd"/>
      <w:r>
        <w:rPr>
          <w:rFonts w:hint="eastAsia"/>
        </w:rPr>
        <w:t>，故係以當事人主義為原則，職權主義為例外。</w:t>
      </w:r>
    </w:p>
    <w:p w:rsidR="00CE314E" w:rsidRPr="009C47FD" w:rsidRDefault="00CE314E" w:rsidP="008017CF">
      <w:pPr>
        <w:pStyle w:val="4"/>
        <w:rPr>
          <w:b/>
        </w:rPr>
      </w:pPr>
      <w:r w:rsidRPr="009C47FD">
        <w:rPr>
          <w:rFonts w:hint="eastAsia"/>
          <w:b/>
        </w:rPr>
        <w:t>基於</w:t>
      </w:r>
      <w:r w:rsidR="00897B5D" w:rsidRPr="009C47FD">
        <w:rPr>
          <w:rFonts w:hint="eastAsia"/>
          <w:b/>
        </w:rPr>
        <w:t>公民與政治權利國際公約</w:t>
      </w:r>
      <w:r w:rsidRPr="009C47FD">
        <w:rPr>
          <w:rFonts w:hint="eastAsia"/>
          <w:b/>
        </w:rPr>
        <w:t>第14條與司法院釋字第582號解釋，雖應給予被告對於證人</w:t>
      </w:r>
      <w:r w:rsidR="00F145A4" w:rsidRPr="009C47FD">
        <w:rPr>
          <w:rFonts w:hint="eastAsia"/>
          <w:b/>
        </w:rPr>
        <w:t>(供述</w:t>
      </w:r>
      <w:r w:rsidR="00F145A4" w:rsidRPr="009C47FD">
        <w:rPr>
          <w:rFonts w:hint="eastAsia"/>
          <w:b/>
        </w:rPr>
        <w:lastRenderedPageBreak/>
        <w:t>證據)</w:t>
      </w:r>
      <w:r w:rsidRPr="009C47FD">
        <w:rPr>
          <w:rFonts w:hint="eastAsia"/>
          <w:b/>
        </w:rPr>
        <w:t>有行使對質詰問權之機會，惟考量我國法治現狀、鑑定人才之培育與素質及未來司法改革規劃，是否得有例外情形，應值研究。</w:t>
      </w:r>
    </w:p>
    <w:p w:rsidR="00CE314E" w:rsidRDefault="00CE314E" w:rsidP="008017CF">
      <w:pPr>
        <w:pStyle w:val="42"/>
        <w:ind w:left="1701" w:firstLine="680"/>
      </w:pPr>
      <w:r>
        <w:rPr>
          <w:rFonts w:hint="eastAsia"/>
        </w:rPr>
        <w:t>按前揭</w:t>
      </w:r>
      <w:r w:rsidR="00897B5D">
        <w:rPr>
          <w:rFonts w:hint="eastAsia"/>
        </w:rPr>
        <w:t>公民與政治權利國際公約</w:t>
      </w:r>
      <w:r>
        <w:rPr>
          <w:rFonts w:hint="eastAsia"/>
        </w:rPr>
        <w:t>第14條第3項第5款揭</w:t>
      </w:r>
      <w:proofErr w:type="gramStart"/>
      <w:r>
        <w:rPr>
          <w:rFonts w:hint="eastAsia"/>
        </w:rPr>
        <w:t>櫫</w:t>
      </w:r>
      <w:proofErr w:type="gramEnd"/>
      <w:r>
        <w:rPr>
          <w:rFonts w:hint="eastAsia"/>
        </w:rPr>
        <w:t>保障對質詰問權為公平法院原則所定之最低標準；司法院釋字第582號解釋則認為，憲法第16條保障人民之訴訟權，就刑事被告而言，包含其在訴訟上應享有充分之防禦權。刑事被告詰問證人之權利，即屬該等權利之一，且屬憲法第8條第1項規定「非由法院依法定程序不得審問處罰」之正當法律程序所保障之權利。為確保被告對證人之詰問權，證人於審判中，應依法定程序，到場具結陳述，並接受被告之詰問，其陳述始得作為認定被告犯罪事實之判斷依據。</w:t>
      </w:r>
    </w:p>
    <w:p w:rsidR="00CE314E" w:rsidRDefault="00164928" w:rsidP="008017CF">
      <w:pPr>
        <w:pStyle w:val="42"/>
        <w:ind w:left="1701" w:firstLine="680"/>
      </w:pPr>
      <w:proofErr w:type="gramStart"/>
      <w:r>
        <w:rPr>
          <w:rFonts w:hint="eastAsia"/>
        </w:rPr>
        <w:t>上開陳義</w:t>
      </w:r>
      <w:proofErr w:type="gramEnd"/>
      <w:r>
        <w:rPr>
          <w:rFonts w:hint="eastAsia"/>
        </w:rPr>
        <w:t>，欲澈底</w:t>
      </w:r>
      <w:r w:rsidR="00CE314E">
        <w:rPr>
          <w:rFonts w:hint="eastAsia"/>
        </w:rPr>
        <w:t>落實，必須考量我國實務現況，諸如：1.78年解嚴以來，民主法治過渡時間過短。2.新法修正</w:t>
      </w:r>
      <w:r w:rsidR="00F145A4">
        <w:t>(92</w:t>
      </w:r>
      <w:r w:rsidR="00F145A4">
        <w:rPr>
          <w:rFonts w:hint="eastAsia"/>
        </w:rPr>
        <w:t>年)</w:t>
      </w:r>
      <w:r w:rsidR="00CE314E">
        <w:rPr>
          <w:rFonts w:hint="eastAsia"/>
        </w:rPr>
        <w:t>前我國實務向為職權主義運作，劇變為改良式當事人進行主義，應如何調適。3.我國不同於歐美日先進國家，是否有充足之鑑定人才提供刑事訴訟程序之需求，將面臨考驗。4.全面採用對質詰問是否會訴訟延滯造成程序上</w:t>
      </w:r>
      <w:proofErr w:type="gramStart"/>
      <w:r w:rsidR="00CE314E">
        <w:rPr>
          <w:rFonts w:hint="eastAsia"/>
        </w:rPr>
        <w:t>不</w:t>
      </w:r>
      <w:proofErr w:type="gramEnd"/>
      <w:r w:rsidR="00CE314E">
        <w:rPr>
          <w:rFonts w:hint="eastAsia"/>
        </w:rPr>
        <w:t>利益。5.對質詰問權之保障在鑑定證據上是否確</w:t>
      </w:r>
      <w:proofErr w:type="gramStart"/>
      <w:r w:rsidR="00CE314E">
        <w:rPr>
          <w:rFonts w:hint="eastAsia"/>
        </w:rPr>
        <w:t>能發見真實</w:t>
      </w:r>
      <w:proofErr w:type="gramEnd"/>
      <w:r w:rsidR="00CE314E">
        <w:rPr>
          <w:rFonts w:hint="eastAsia"/>
        </w:rPr>
        <w:t>，偽科學得否因對質詰問而揭穿，有無其他方式得以解決。</w:t>
      </w:r>
      <w:proofErr w:type="gramStart"/>
      <w:r w:rsidR="00CE314E">
        <w:rPr>
          <w:rFonts w:hint="eastAsia"/>
        </w:rPr>
        <w:t>鑑</w:t>
      </w:r>
      <w:proofErr w:type="gramEnd"/>
      <w:r w:rsidR="00CE314E">
        <w:rPr>
          <w:rFonts w:hint="eastAsia"/>
        </w:rPr>
        <w:t>此，有關鑑定證據是否有對質詰問權例外情形，應值深入研究。</w:t>
      </w:r>
    </w:p>
    <w:p w:rsidR="00CE314E" w:rsidRPr="00377B49" w:rsidRDefault="00CE314E" w:rsidP="008017CF">
      <w:pPr>
        <w:pStyle w:val="3"/>
        <w:rPr>
          <w:b/>
        </w:rPr>
      </w:pPr>
      <w:r w:rsidRPr="00377B49">
        <w:rPr>
          <w:rFonts w:hint="eastAsia"/>
          <w:b/>
        </w:rPr>
        <w:t>88年全國司改會議就科學鑑定議題雖有所討論並產生決議但並未實踐，其過程如下：</w:t>
      </w:r>
    </w:p>
    <w:p w:rsidR="00CE314E" w:rsidRDefault="00CE314E" w:rsidP="008017CF">
      <w:pPr>
        <w:pStyle w:val="4"/>
      </w:pPr>
      <w:r>
        <w:rPr>
          <w:rFonts w:hint="eastAsia"/>
        </w:rPr>
        <w:t>民間團體提案：提升檢、警、調之科學辦案能力，所提具體方案如下：</w:t>
      </w:r>
    </w:p>
    <w:p w:rsidR="00CE314E" w:rsidRDefault="00CE314E" w:rsidP="008017CF">
      <w:pPr>
        <w:pStyle w:val="5"/>
      </w:pPr>
      <w:r>
        <w:rPr>
          <w:rFonts w:hint="eastAsia"/>
        </w:rPr>
        <w:lastRenderedPageBreak/>
        <w:tab/>
      </w:r>
      <w:r w:rsidR="006827A7">
        <w:rPr>
          <w:rFonts w:hint="eastAsia"/>
        </w:rPr>
        <w:t>於行政院下設法醫中心，亦即現行法務部法醫研究所層級再提升</w:t>
      </w:r>
      <w:r>
        <w:rPr>
          <w:rFonts w:hint="eastAsia"/>
        </w:rPr>
        <w:t>至直屬行政院，以有效延攬法醫人才，強化法醫訓練，檢討法醫待遇並健全法醫工作環境。</w:t>
      </w:r>
    </w:p>
    <w:p w:rsidR="00CE314E" w:rsidRDefault="00CE314E" w:rsidP="008017CF">
      <w:pPr>
        <w:pStyle w:val="5"/>
      </w:pPr>
      <w:r>
        <w:rPr>
          <w:rFonts w:hint="eastAsia"/>
        </w:rPr>
        <w:tab/>
        <w:t>於行政院下設鑑識中心，工作人員可分為研究人員及技術人員兩類。研究人員之任用、待遇比照學術研究機構人員或大學教師，區分為研究員</w:t>
      </w:r>
      <w:r w:rsidR="00F145A4">
        <w:t>(</w:t>
      </w:r>
      <w:r w:rsidR="00F145A4">
        <w:rPr>
          <w:rFonts w:hint="eastAsia"/>
        </w:rPr>
        <w:t>教授級</w:t>
      </w:r>
      <w:r w:rsidR="00F145A4">
        <w:t>)</w:t>
      </w:r>
      <w:r w:rsidR="00F145A4">
        <w:rPr>
          <w:rFonts w:hint="eastAsia"/>
        </w:rPr>
        <w:t>、副研究員</w:t>
      </w:r>
      <w:r w:rsidR="00F145A4">
        <w:t>(</w:t>
      </w:r>
      <w:r w:rsidR="00F145A4">
        <w:rPr>
          <w:rFonts w:hint="eastAsia"/>
        </w:rPr>
        <w:t>副教授級</w:t>
      </w:r>
      <w:r w:rsidR="00F145A4">
        <w:t>)</w:t>
      </w:r>
      <w:r w:rsidR="00F145A4">
        <w:rPr>
          <w:rFonts w:hint="eastAsia"/>
        </w:rPr>
        <w:t>、助理研究員</w:t>
      </w:r>
      <w:r w:rsidR="00F145A4">
        <w:t>(</w:t>
      </w:r>
      <w:r w:rsidR="00F145A4">
        <w:rPr>
          <w:rFonts w:hint="eastAsia"/>
        </w:rPr>
        <w:t>助理教授級</w:t>
      </w:r>
      <w:r w:rsidR="00F145A4">
        <w:t>)</w:t>
      </w:r>
      <w:r w:rsidR="00F145A4">
        <w:rPr>
          <w:rFonts w:hint="eastAsia"/>
        </w:rPr>
        <w:t>、研究助理</w:t>
      </w:r>
      <w:r w:rsidR="00F145A4">
        <w:t>(</w:t>
      </w:r>
      <w:r w:rsidR="00F145A4">
        <w:rPr>
          <w:rFonts w:hint="eastAsia"/>
        </w:rPr>
        <w:t>講師級</w:t>
      </w:r>
      <w:r w:rsidR="00F145A4">
        <w:t>)</w:t>
      </w:r>
      <w:r>
        <w:rPr>
          <w:rFonts w:hint="eastAsia"/>
        </w:rPr>
        <w:t>，技術人員則應經過國家考試及格，依文官任用制度區分職等，另地方級</w:t>
      </w:r>
      <w:proofErr w:type="gramStart"/>
      <w:r>
        <w:rPr>
          <w:rFonts w:hint="eastAsia"/>
        </w:rPr>
        <w:t>鑑</w:t>
      </w:r>
      <w:proofErr w:type="gramEnd"/>
      <w:r>
        <w:rPr>
          <w:rFonts w:hint="eastAsia"/>
        </w:rPr>
        <w:t>識單位分設於各警察局，但應獨立於偵查單位之外，其待遇、升遷亦自成一系。</w:t>
      </w:r>
    </w:p>
    <w:p w:rsidR="00CE314E" w:rsidRDefault="00CE314E" w:rsidP="008017CF">
      <w:pPr>
        <w:pStyle w:val="5"/>
      </w:pPr>
      <w:r>
        <w:rPr>
          <w:rFonts w:hint="eastAsia"/>
        </w:rPr>
        <w:tab/>
        <w:t>定期舉辦檢、警、調人員科學辦案能力之在職訓練。</w:t>
      </w:r>
    </w:p>
    <w:p w:rsidR="00CE314E" w:rsidRDefault="00CE314E" w:rsidP="008017CF">
      <w:pPr>
        <w:pStyle w:val="5"/>
      </w:pPr>
      <w:r>
        <w:rPr>
          <w:rFonts w:hint="eastAsia"/>
        </w:rPr>
        <w:tab/>
        <w:t>充實科學辦案所必要之相關配備。</w:t>
      </w:r>
    </w:p>
    <w:p w:rsidR="00CE314E" w:rsidRDefault="00CE314E" w:rsidP="008017CF">
      <w:pPr>
        <w:pStyle w:val="4"/>
      </w:pPr>
      <w:r>
        <w:rPr>
          <w:rFonts w:hint="eastAsia"/>
        </w:rPr>
        <w:t>李震山教授提案</w:t>
      </w:r>
      <w:r w:rsidR="00BE463C">
        <w:rPr>
          <w:rFonts w:ascii="新細明體" w:eastAsia="新細明體" w:hAnsi="新細明體" w:hint="eastAsia"/>
        </w:rPr>
        <w:t>：</w:t>
      </w:r>
    </w:p>
    <w:p w:rsidR="00CE314E" w:rsidRDefault="00CE314E" w:rsidP="008017CF">
      <w:pPr>
        <w:pStyle w:val="42"/>
        <w:ind w:left="1701" w:firstLine="680"/>
      </w:pPr>
      <w:r>
        <w:rPr>
          <w:rFonts w:hint="eastAsia"/>
        </w:rPr>
        <w:tab/>
        <w:t>世界先進國家</w:t>
      </w:r>
      <w:r w:rsidR="00F145A4">
        <w:t>(</w:t>
      </w:r>
      <w:r w:rsidR="00F145A4">
        <w:rPr>
          <w:rFonts w:hint="eastAsia"/>
        </w:rPr>
        <w:t>例如:美國、德國、日本</w:t>
      </w:r>
      <w:r w:rsidR="00F145A4">
        <w:t>)</w:t>
      </w:r>
      <w:r>
        <w:rPr>
          <w:rFonts w:hint="eastAsia"/>
        </w:rPr>
        <w:t>皆於警察機關中設有</w:t>
      </w:r>
      <w:proofErr w:type="gramStart"/>
      <w:r>
        <w:rPr>
          <w:rFonts w:hint="eastAsia"/>
        </w:rPr>
        <w:t>鑑</w:t>
      </w:r>
      <w:proofErr w:type="gramEnd"/>
      <w:r>
        <w:rPr>
          <w:rFonts w:hint="eastAsia"/>
        </w:rPr>
        <w:t>識單位，且極重視刑事</w:t>
      </w:r>
      <w:proofErr w:type="gramStart"/>
      <w:r>
        <w:rPr>
          <w:rFonts w:hint="eastAsia"/>
        </w:rPr>
        <w:t>鑑</w:t>
      </w:r>
      <w:proofErr w:type="gramEnd"/>
      <w:r>
        <w:rPr>
          <w:rFonts w:hint="eastAsia"/>
        </w:rPr>
        <w:t>識之發展，刑事</w:t>
      </w:r>
      <w:proofErr w:type="gramStart"/>
      <w:r>
        <w:rPr>
          <w:rFonts w:hint="eastAsia"/>
        </w:rPr>
        <w:t>鑑</w:t>
      </w:r>
      <w:proofErr w:type="gramEnd"/>
      <w:r>
        <w:rPr>
          <w:rFonts w:hint="eastAsia"/>
        </w:rPr>
        <w:t>識人員職司刑案現場勘查</w:t>
      </w:r>
      <w:proofErr w:type="gramStart"/>
      <w:r>
        <w:rPr>
          <w:rFonts w:hint="eastAsia"/>
        </w:rPr>
        <w:t>及</w:t>
      </w:r>
      <w:r w:rsidR="00BE463C">
        <w:rPr>
          <w:rFonts w:hint="eastAsia"/>
        </w:rPr>
        <w:t>跡證鑑驗等</w:t>
      </w:r>
      <w:proofErr w:type="gramEnd"/>
      <w:r w:rsidR="00BE463C">
        <w:rPr>
          <w:rFonts w:hint="eastAsia"/>
        </w:rPr>
        <w:t>工作，對犯罪偵查及人權保障關係重大，惟</w:t>
      </w:r>
      <w:proofErr w:type="gramStart"/>
      <w:r w:rsidR="00BE463C">
        <w:rPr>
          <w:rFonts w:hint="eastAsia"/>
        </w:rPr>
        <w:t>鑑</w:t>
      </w:r>
      <w:proofErr w:type="gramEnd"/>
      <w:r w:rsidR="00BE463C">
        <w:rPr>
          <w:rFonts w:hint="eastAsia"/>
        </w:rPr>
        <w:t>識單位因組織</w:t>
      </w:r>
      <w:r>
        <w:rPr>
          <w:rFonts w:hint="eastAsia"/>
        </w:rPr>
        <w:t>層級低，</w:t>
      </w:r>
      <w:proofErr w:type="gramStart"/>
      <w:r>
        <w:rPr>
          <w:rFonts w:hint="eastAsia"/>
        </w:rPr>
        <w:t>鑑</w:t>
      </w:r>
      <w:proofErr w:type="gramEnd"/>
      <w:r>
        <w:rPr>
          <w:rFonts w:hint="eastAsia"/>
        </w:rPr>
        <w:t>識人員職等</w:t>
      </w:r>
      <w:proofErr w:type="gramStart"/>
      <w:r>
        <w:rPr>
          <w:rFonts w:hint="eastAsia"/>
        </w:rPr>
        <w:t>不</w:t>
      </w:r>
      <w:proofErr w:type="gramEnd"/>
      <w:r>
        <w:rPr>
          <w:rFonts w:hint="eastAsia"/>
        </w:rPr>
        <w:t>高等因素，</w:t>
      </w:r>
      <w:r w:rsidR="00994524">
        <w:rPr>
          <w:rFonts w:hint="eastAsia"/>
        </w:rPr>
        <w:t>致</w:t>
      </w:r>
      <w:r>
        <w:rPr>
          <w:rFonts w:hint="eastAsia"/>
        </w:rPr>
        <w:t>難以延攬及留任人才，例如：一般縣市警察局最高</w:t>
      </w:r>
      <w:proofErr w:type="gramStart"/>
      <w:r>
        <w:rPr>
          <w:rFonts w:hint="eastAsia"/>
        </w:rPr>
        <w:t>鑑識職</w:t>
      </w:r>
      <w:proofErr w:type="gramEnd"/>
      <w:r>
        <w:rPr>
          <w:rFonts w:hint="eastAsia"/>
        </w:rPr>
        <w:t>階，僅為警正三階次職序之</w:t>
      </w:r>
      <w:proofErr w:type="gramStart"/>
      <w:r>
        <w:rPr>
          <w:rFonts w:hint="eastAsia"/>
        </w:rPr>
        <w:t>鑑</w:t>
      </w:r>
      <w:proofErr w:type="gramEnd"/>
      <w:r>
        <w:rPr>
          <w:rFonts w:hint="eastAsia"/>
        </w:rPr>
        <w:t>識組長，如欲升職即須離開</w:t>
      </w:r>
      <w:proofErr w:type="gramStart"/>
      <w:r>
        <w:rPr>
          <w:rFonts w:hint="eastAsia"/>
        </w:rPr>
        <w:t>鑑</w:t>
      </w:r>
      <w:proofErr w:type="gramEnd"/>
      <w:r>
        <w:rPr>
          <w:rFonts w:hint="eastAsia"/>
        </w:rPr>
        <w:t>識單位，影響留任</w:t>
      </w:r>
      <w:proofErr w:type="gramStart"/>
      <w:r>
        <w:rPr>
          <w:rFonts w:hint="eastAsia"/>
        </w:rPr>
        <w:t>鑑</w:t>
      </w:r>
      <w:proofErr w:type="gramEnd"/>
      <w:r>
        <w:rPr>
          <w:rFonts w:hint="eastAsia"/>
        </w:rPr>
        <w:t>識單位意願。另因編制層級低，相對編制員額少，以目前警察機關</w:t>
      </w:r>
      <w:proofErr w:type="gramStart"/>
      <w:r>
        <w:rPr>
          <w:rFonts w:hint="eastAsia"/>
        </w:rPr>
        <w:t>鑑</w:t>
      </w:r>
      <w:proofErr w:type="gramEnd"/>
      <w:r>
        <w:rPr>
          <w:rFonts w:hint="eastAsia"/>
        </w:rPr>
        <w:t>識人員編制員額，大致為3或4人之數，於縣、市遼闊之轄區，以此微薄人力，對於刑案現場根本無法充分之</w:t>
      </w:r>
      <w:proofErr w:type="gramStart"/>
      <w:r>
        <w:rPr>
          <w:rFonts w:hint="eastAsia"/>
        </w:rPr>
        <w:t>蒐</w:t>
      </w:r>
      <w:proofErr w:type="gramEnd"/>
      <w:r>
        <w:rPr>
          <w:rFonts w:hint="eastAsia"/>
        </w:rPr>
        <w:t>證、</w:t>
      </w:r>
      <w:proofErr w:type="gramStart"/>
      <w:r>
        <w:rPr>
          <w:rFonts w:hint="eastAsia"/>
        </w:rPr>
        <w:t>鑑</w:t>
      </w:r>
      <w:proofErr w:type="gramEnd"/>
      <w:r>
        <w:rPr>
          <w:rFonts w:hint="eastAsia"/>
        </w:rPr>
        <w:t>識，影響刑案之偵破。犯罪跡證種類極廣，舉凡指紋、槍</w:t>
      </w:r>
      <w:r>
        <w:rPr>
          <w:rFonts w:hint="eastAsia"/>
        </w:rPr>
        <w:lastRenderedPageBreak/>
        <w:t>彈、玻璃、纖維、毛髮、聲音、影像、測</w:t>
      </w:r>
      <w:proofErr w:type="gramStart"/>
      <w:r>
        <w:rPr>
          <w:rFonts w:hint="eastAsia"/>
        </w:rPr>
        <w:t>謊等，均有</w:t>
      </w:r>
      <w:proofErr w:type="gramEnd"/>
      <w:r>
        <w:rPr>
          <w:rFonts w:hint="eastAsia"/>
        </w:rPr>
        <w:t>其專業領域，非尋求有興趣之人才經長期培養訓練人員，難以竟其功。</w:t>
      </w:r>
      <w:proofErr w:type="gramStart"/>
      <w:r>
        <w:rPr>
          <w:rFonts w:hint="eastAsia"/>
        </w:rPr>
        <w:t>惟</w:t>
      </w:r>
      <w:proofErr w:type="gramEnd"/>
      <w:r>
        <w:rPr>
          <w:rFonts w:hint="eastAsia"/>
        </w:rPr>
        <w:t>目前全國最高警察</w:t>
      </w:r>
      <w:proofErr w:type="gramStart"/>
      <w:r>
        <w:rPr>
          <w:rFonts w:hint="eastAsia"/>
        </w:rPr>
        <w:t>鑑</w:t>
      </w:r>
      <w:proofErr w:type="gramEnd"/>
      <w:r>
        <w:rPr>
          <w:rFonts w:hint="eastAsia"/>
        </w:rPr>
        <w:t>識單位之刑事警察局，尚對部分跡證</w:t>
      </w:r>
      <w:proofErr w:type="gramStart"/>
      <w:r>
        <w:rPr>
          <w:rFonts w:hint="eastAsia"/>
        </w:rPr>
        <w:t>鑑</w:t>
      </w:r>
      <w:proofErr w:type="gramEnd"/>
      <w:r>
        <w:rPr>
          <w:rFonts w:hint="eastAsia"/>
        </w:rPr>
        <w:t>識缺乏專門領域人才，例如：聲紋、影像</w:t>
      </w:r>
      <w:proofErr w:type="gramStart"/>
      <w:r>
        <w:rPr>
          <w:rFonts w:hint="eastAsia"/>
        </w:rPr>
        <w:t>鑑識等</w:t>
      </w:r>
      <w:proofErr w:type="gramEnd"/>
      <w:r>
        <w:rPr>
          <w:rFonts w:hint="eastAsia"/>
        </w:rPr>
        <w:t>，以致在某些刑案需該項物證</w:t>
      </w:r>
      <w:proofErr w:type="gramStart"/>
      <w:r>
        <w:rPr>
          <w:rFonts w:hint="eastAsia"/>
        </w:rPr>
        <w:t>鑑識時</w:t>
      </w:r>
      <w:proofErr w:type="gramEnd"/>
      <w:r>
        <w:rPr>
          <w:rFonts w:hint="eastAsia"/>
        </w:rPr>
        <w:t>，無法適時提供偵查上重大助益。</w:t>
      </w:r>
    </w:p>
    <w:p w:rsidR="00CE314E" w:rsidRDefault="00CE314E" w:rsidP="00F2687D">
      <w:pPr>
        <w:pStyle w:val="42"/>
        <w:ind w:left="1701" w:firstLine="680"/>
      </w:pPr>
      <w:r>
        <w:rPr>
          <w:rFonts w:hint="eastAsia"/>
        </w:rPr>
        <w:tab/>
        <w:t>目前</w:t>
      </w:r>
      <w:proofErr w:type="gramStart"/>
      <w:r>
        <w:rPr>
          <w:rFonts w:hint="eastAsia"/>
        </w:rPr>
        <w:t>鑑</w:t>
      </w:r>
      <w:proofErr w:type="gramEnd"/>
      <w:r>
        <w:rPr>
          <w:rFonts w:hint="eastAsia"/>
        </w:rPr>
        <w:t>識單位因組織編制階層太低，編制員額少，經費不足等因素，致未能充分發揮應有之功能，至少應先將刑事局</w:t>
      </w:r>
      <w:proofErr w:type="gramStart"/>
      <w:r>
        <w:rPr>
          <w:rFonts w:hint="eastAsia"/>
        </w:rPr>
        <w:t>鑑</w:t>
      </w:r>
      <w:proofErr w:type="gramEnd"/>
      <w:r>
        <w:rPr>
          <w:rFonts w:hint="eastAsia"/>
        </w:rPr>
        <w:t>識科提</w:t>
      </w:r>
      <w:r w:rsidR="006B0E41">
        <w:rPr>
          <w:rFonts w:hint="eastAsia"/>
        </w:rPr>
        <w:t>升</w:t>
      </w:r>
      <w:r>
        <w:rPr>
          <w:rFonts w:hint="eastAsia"/>
        </w:rPr>
        <w:t>為直隸在警政署，甚至在直屬內政部下之「科學</w:t>
      </w:r>
      <w:proofErr w:type="gramStart"/>
      <w:r>
        <w:rPr>
          <w:rFonts w:hint="eastAsia"/>
        </w:rPr>
        <w:t>鑑</w:t>
      </w:r>
      <w:proofErr w:type="gramEnd"/>
      <w:r>
        <w:rPr>
          <w:rFonts w:hint="eastAsia"/>
        </w:rPr>
        <w:t>識中心」，透過相關機制之設計，使之朝科學、專業、獨立方向發展，取得人民、法院、檢察機關之充分信賴。其作法是將目前刑事警察局</w:t>
      </w:r>
      <w:proofErr w:type="gramStart"/>
      <w:r>
        <w:rPr>
          <w:rFonts w:hint="eastAsia"/>
        </w:rPr>
        <w:t>鑑</w:t>
      </w:r>
      <w:proofErr w:type="gramEnd"/>
      <w:r>
        <w:rPr>
          <w:rFonts w:hint="eastAsia"/>
        </w:rPr>
        <w:t>識單位</w:t>
      </w:r>
      <w:r w:rsidR="00F145A4">
        <w:t>(</w:t>
      </w:r>
      <w:proofErr w:type="gramStart"/>
      <w:r w:rsidR="00F145A4">
        <w:rPr>
          <w:rFonts w:hint="eastAsia"/>
        </w:rPr>
        <w:t>鑑</w:t>
      </w:r>
      <w:proofErr w:type="gramEnd"/>
      <w:r w:rsidR="00F145A4">
        <w:rPr>
          <w:rFonts w:hint="eastAsia"/>
        </w:rPr>
        <w:t>識科、指紋室、法醫室</w:t>
      </w:r>
      <w:r w:rsidR="00F145A4">
        <w:t>)</w:t>
      </w:r>
      <w:r>
        <w:rPr>
          <w:rFonts w:hint="eastAsia"/>
        </w:rPr>
        <w:t>人員、業務移撥該中心，如此，</w:t>
      </w:r>
      <w:proofErr w:type="gramStart"/>
      <w:r>
        <w:rPr>
          <w:rFonts w:hint="eastAsia"/>
        </w:rPr>
        <w:t>鑑</w:t>
      </w:r>
      <w:proofErr w:type="gramEnd"/>
      <w:r>
        <w:rPr>
          <w:rFonts w:hint="eastAsia"/>
        </w:rPr>
        <w:t>識層級提升後，人員位階相對隨之提升，可延攬較優秀人才從事高科技</w:t>
      </w:r>
      <w:proofErr w:type="gramStart"/>
      <w:r>
        <w:rPr>
          <w:rFonts w:hint="eastAsia"/>
        </w:rPr>
        <w:t>鑑</w:t>
      </w:r>
      <w:proofErr w:type="gramEnd"/>
      <w:r>
        <w:rPr>
          <w:rFonts w:hint="eastAsia"/>
        </w:rPr>
        <w:t>識研究，結合</w:t>
      </w:r>
      <w:proofErr w:type="gramStart"/>
      <w:r>
        <w:rPr>
          <w:rFonts w:hint="eastAsia"/>
        </w:rPr>
        <w:t>鑑</w:t>
      </w:r>
      <w:proofErr w:type="gramEnd"/>
      <w:r>
        <w:rPr>
          <w:rFonts w:hint="eastAsia"/>
        </w:rPr>
        <w:t>識實務工作，並負責訓練全國</w:t>
      </w:r>
      <w:proofErr w:type="gramStart"/>
      <w:r>
        <w:rPr>
          <w:rFonts w:hint="eastAsia"/>
        </w:rPr>
        <w:t>鑑</w:t>
      </w:r>
      <w:proofErr w:type="gramEnd"/>
      <w:r>
        <w:rPr>
          <w:rFonts w:hint="eastAsia"/>
        </w:rPr>
        <w:t>識人員，必可提升我國整體刑事</w:t>
      </w:r>
      <w:proofErr w:type="gramStart"/>
      <w:r>
        <w:rPr>
          <w:rFonts w:hint="eastAsia"/>
        </w:rPr>
        <w:t>鑑</w:t>
      </w:r>
      <w:proofErr w:type="gramEnd"/>
      <w:r>
        <w:rPr>
          <w:rFonts w:hint="eastAsia"/>
        </w:rPr>
        <w:t>識水準。</w:t>
      </w:r>
      <w:proofErr w:type="gramStart"/>
      <w:r>
        <w:rPr>
          <w:rFonts w:hint="eastAsia"/>
        </w:rPr>
        <w:t>此外，</w:t>
      </w:r>
      <w:proofErr w:type="gramEnd"/>
      <w:r>
        <w:rPr>
          <w:rFonts w:hint="eastAsia"/>
        </w:rPr>
        <w:t>將市、縣</w:t>
      </w:r>
      <w:r w:rsidR="00F145A4">
        <w:t>(</w:t>
      </w:r>
      <w:r w:rsidR="00F145A4">
        <w:rPr>
          <w:rFonts w:hint="eastAsia"/>
        </w:rPr>
        <w:t>市</w:t>
      </w:r>
      <w:r w:rsidR="00F145A4">
        <w:t>)</w:t>
      </w:r>
      <w:r>
        <w:rPr>
          <w:rFonts w:hint="eastAsia"/>
        </w:rPr>
        <w:t>警察局刑警隊</w:t>
      </w:r>
      <w:proofErr w:type="gramStart"/>
      <w:r>
        <w:rPr>
          <w:rFonts w:hint="eastAsia"/>
        </w:rPr>
        <w:t>鑑</w:t>
      </w:r>
      <w:proofErr w:type="gramEnd"/>
      <w:r>
        <w:rPr>
          <w:rFonts w:hint="eastAsia"/>
        </w:rPr>
        <w:t>識組提升位階為</w:t>
      </w:r>
      <w:proofErr w:type="gramStart"/>
      <w:r>
        <w:rPr>
          <w:rFonts w:hint="eastAsia"/>
        </w:rPr>
        <w:t>鑑</w:t>
      </w:r>
      <w:proofErr w:type="gramEnd"/>
      <w:r>
        <w:rPr>
          <w:rFonts w:hint="eastAsia"/>
        </w:rPr>
        <w:t>識中心，為各該警察局內部一級單位與刑警隊同層級。如此，</w:t>
      </w:r>
      <w:proofErr w:type="gramStart"/>
      <w:r>
        <w:rPr>
          <w:rFonts w:hint="eastAsia"/>
        </w:rPr>
        <w:t>鑑</w:t>
      </w:r>
      <w:proofErr w:type="gramEnd"/>
      <w:r>
        <w:rPr>
          <w:rFonts w:hint="eastAsia"/>
        </w:rPr>
        <w:t>識人員職階相對提高，可長期留任有經驗之優秀人才。增充</w:t>
      </w:r>
      <w:proofErr w:type="gramStart"/>
      <w:r>
        <w:rPr>
          <w:rFonts w:hint="eastAsia"/>
        </w:rPr>
        <w:t>鑑</w:t>
      </w:r>
      <w:proofErr w:type="gramEnd"/>
      <w:r>
        <w:rPr>
          <w:rFonts w:hint="eastAsia"/>
        </w:rPr>
        <w:t>識中心基礎儀器設備成立小型研究室後，除可精進地方警察機關刑事</w:t>
      </w:r>
      <w:proofErr w:type="gramStart"/>
      <w:r>
        <w:rPr>
          <w:rFonts w:hint="eastAsia"/>
        </w:rPr>
        <w:t>鑑</w:t>
      </w:r>
      <w:proofErr w:type="gramEnd"/>
      <w:r>
        <w:rPr>
          <w:rFonts w:hint="eastAsia"/>
        </w:rPr>
        <w:t>識能力外，對於現行一些由中央鑑定之玩具槍、指紋初步比對、血液型</w:t>
      </w:r>
      <w:proofErr w:type="gramStart"/>
      <w:r>
        <w:rPr>
          <w:rFonts w:hint="eastAsia"/>
        </w:rPr>
        <w:t>鑑驗等</w:t>
      </w:r>
      <w:proofErr w:type="gramEnd"/>
      <w:r>
        <w:rPr>
          <w:rFonts w:hint="eastAsia"/>
        </w:rPr>
        <w:t>案件，將可由地方先行處理或</w:t>
      </w:r>
      <w:proofErr w:type="gramStart"/>
      <w:r>
        <w:rPr>
          <w:rFonts w:hint="eastAsia"/>
        </w:rPr>
        <w:t>鑑</w:t>
      </w:r>
      <w:proofErr w:type="gramEnd"/>
      <w:r>
        <w:rPr>
          <w:rFonts w:hint="eastAsia"/>
        </w:rPr>
        <w:t>驗，以減少中央</w:t>
      </w:r>
      <w:proofErr w:type="gramStart"/>
      <w:r>
        <w:rPr>
          <w:rFonts w:hint="eastAsia"/>
        </w:rPr>
        <w:t>鑑</w:t>
      </w:r>
      <w:proofErr w:type="gramEnd"/>
      <w:r>
        <w:rPr>
          <w:rFonts w:hint="eastAsia"/>
        </w:rPr>
        <w:t>識單位之負荷，使中央</w:t>
      </w:r>
      <w:proofErr w:type="gramStart"/>
      <w:r>
        <w:rPr>
          <w:rFonts w:hint="eastAsia"/>
        </w:rPr>
        <w:t>鑑</w:t>
      </w:r>
      <w:proofErr w:type="gramEnd"/>
      <w:r>
        <w:rPr>
          <w:rFonts w:hint="eastAsia"/>
        </w:rPr>
        <w:t>識單位專責於較高難度之</w:t>
      </w:r>
      <w:proofErr w:type="gramStart"/>
      <w:r>
        <w:rPr>
          <w:rFonts w:hint="eastAsia"/>
        </w:rPr>
        <w:t>鑑</w:t>
      </w:r>
      <w:proofErr w:type="gramEnd"/>
      <w:r>
        <w:rPr>
          <w:rFonts w:hint="eastAsia"/>
        </w:rPr>
        <w:t>識、</w:t>
      </w:r>
      <w:proofErr w:type="gramStart"/>
      <w:r>
        <w:rPr>
          <w:rFonts w:hint="eastAsia"/>
        </w:rPr>
        <w:t>複</w:t>
      </w:r>
      <w:proofErr w:type="gramEnd"/>
      <w:r>
        <w:rPr>
          <w:rFonts w:hint="eastAsia"/>
        </w:rPr>
        <w:t>驗及研發工作，以落實專業分工，有效提升整體</w:t>
      </w:r>
      <w:proofErr w:type="gramStart"/>
      <w:r>
        <w:rPr>
          <w:rFonts w:hint="eastAsia"/>
        </w:rPr>
        <w:t>鑑</w:t>
      </w:r>
      <w:proofErr w:type="gramEnd"/>
      <w:r>
        <w:rPr>
          <w:rFonts w:hint="eastAsia"/>
        </w:rPr>
        <w:t>識水準。再結合中央警察大學</w:t>
      </w:r>
      <w:proofErr w:type="gramStart"/>
      <w:r>
        <w:rPr>
          <w:rFonts w:hint="eastAsia"/>
        </w:rPr>
        <w:t>鑑識所</w:t>
      </w:r>
      <w:proofErr w:type="gramEnd"/>
      <w:r>
        <w:rPr>
          <w:rFonts w:hint="eastAsia"/>
        </w:rPr>
        <w:t>、法務部調查局、醫</w:t>
      </w:r>
      <w:r>
        <w:rPr>
          <w:rFonts w:hint="eastAsia"/>
        </w:rPr>
        <w:lastRenderedPageBreak/>
        <w:t>學院所、各大學涉及刑事</w:t>
      </w:r>
      <w:proofErr w:type="gramStart"/>
      <w:r>
        <w:rPr>
          <w:rFonts w:hint="eastAsia"/>
        </w:rPr>
        <w:t>鑑</w:t>
      </w:r>
      <w:proofErr w:type="gramEnd"/>
      <w:r>
        <w:rPr>
          <w:rFonts w:hint="eastAsia"/>
        </w:rPr>
        <w:t>識科學之相關院所之人才與設備，發揮關鍵性角色。</w:t>
      </w:r>
    </w:p>
    <w:p w:rsidR="00CE314E" w:rsidRDefault="00CE314E" w:rsidP="00F2687D">
      <w:pPr>
        <w:pStyle w:val="42"/>
        <w:ind w:left="1701" w:firstLine="680"/>
      </w:pPr>
      <w:r>
        <w:rPr>
          <w:rFonts w:hint="eastAsia"/>
        </w:rPr>
        <w:tab/>
        <w:t>此次全國司法改革會議相關提案，建議「於行政院下設鑑識中心，工作人員可分為研究人員及技術人員兩類。研究人員之任用、待遇比照學術研究機構人員或大學教師，區分為研究員</w:t>
      </w:r>
      <w:r w:rsidR="00F145A4">
        <w:t>(</w:t>
      </w:r>
      <w:r w:rsidR="00F145A4">
        <w:rPr>
          <w:rFonts w:hint="eastAsia"/>
        </w:rPr>
        <w:t>教授級</w:t>
      </w:r>
      <w:r w:rsidR="00F145A4">
        <w:t>)</w:t>
      </w:r>
      <w:r w:rsidR="00F145A4">
        <w:rPr>
          <w:rFonts w:hint="eastAsia"/>
        </w:rPr>
        <w:t>、副研究員</w:t>
      </w:r>
      <w:r w:rsidR="00F145A4">
        <w:t>(</w:t>
      </w:r>
      <w:r w:rsidR="00F145A4">
        <w:rPr>
          <w:rFonts w:hint="eastAsia"/>
        </w:rPr>
        <w:t>副教授級</w:t>
      </w:r>
      <w:r w:rsidR="00F145A4">
        <w:t>)</w:t>
      </w:r>
      <w:r w:rsidR="00F145A4">
        <w:rPr>
          <w:rFonts w:hint="eastAsia"/>
        </w:rPr>
        <w:t>、助理研究員</w:t>
      </w:r>
      <w:r w:rsidR="00F145A4">
        <w:t>(</w:t>
      </w:r>
      <w:r w:rsidR="00F145A4">
        <w:rPr>
          <w:rFonts w:hint="eastAsia"/>
        </w:rPr>
        <w:t>助理教授級</w:t>
      </w:r>
      <w:r w:rsidR="00F145A4">
        <w:t>)</w:t>
      </w:r>
      <w:r w:rsidR="00F145A4">
        <w:rPr>
          <w:rFonts w:hint="eastAsia"/>
        </w:rPr>
        <w:t>、研究助理</w:t>
      </w:r>
      <w:r w:rsidR="00F145A4">
        <w:t>(</w:t>
      </w:r>
      <w:r w:rsidR="00F145A4">
        <w:rPr>
          <w:rFonts w:hint="eastAsia"/>
        </w:rPr>
        <w:t>講師級</w:t>
      </w:r>
      <w:r w:rsidR="00F145A4">
        <w:t>)</w:t>
      </w:r>
      <w:r>
        <w:rPr>
          <w:rFonts w:hint="eastAsia"/>
        </w:rPr>
        <w:t>，技術人員則應經國家考試及格，依文官任用制度區分職等。另地方級</w:t>
      </w:r>
      <w:proofErr w:type="gramStart"/>
      <w:r>
        <w:rPr>
          <w:rFonts w:hint="eastAsia"/>
        </w:rPr>
        <w:t>鑑</w:t>
      </w:r>
      <w:proofErr w:type="gramEnd"/>
      <w:r>
        <w:rPr>
          <w:rFonts w:hint="eastAsia"/>
        </w:rPr>
        <w:t>識單位分設於各警察局，但應獨立於偵查</w:t>
      </w:r>
      <w:r w:rsidR="000662D7">
        <w:rPr>
          <w:rFonts w:hint="eastAsia"/>
        </w:rPr>
        <w:t>單位之外，其待遇、升遷亦自成一系。」</w:t>
      </w:r>
      <w:r>
        <w:rPr>
          <w:rFonts w:hint="eastAsia"/>
        </w:rPr>
        <w:t>若是如此，恐要作一番整合工作，</w:t>
      </w:r>
      <w:proofErr w:type="gramStart"/>
      <w:r>
        <w:rPr>
          <w:rFonts w:hint="eastAsia"/>
        </w:rPr>
        <w:t>並應區隔</w:t>
      </w:r>
      <w:proofErr w:type="gramEnd"/>
      <w:r>
        <w:rPr>
          <w:rFonts w:hint="eastAsia"/>
        </w:rPr>
        <w:t>警察之</w:t>
      </w:r>
      <w:proofErr w:type="gramStart"/>
      <w:r>
        <w:rPr>
          <w:rFonts w:hint="eastAsia"/>
        </w:rPr>
        <w:t>鑑</w:t>
      </w:r>
      <w:proofErr w:type="gramEnd"/>
      <w:r>
        <w:rPr>
          <w:rFonts w:hint="eastAsia"/>
        </w:rPr>
        <w:t>識與法院鑑定，此</w:t>
      </w:r>
      <w:proofErr w:type="gramStart"/>
      <w:r>
        <w:rPr>
          <w:rFonts w:hint="eastAsia"/>
        </w:rPr>
        <w:t>鑑</w:t>
      </w:r>
      <w:proofErr w:type="gramEnd"/>
      <w:r>
        <w:rPr>
          <w:rFonts w:hint="eastAsia"/>
        </w:rPr>
        <w:t>識中心若能專業、科學、獨立，又能配合治安機關、司法機關之實際需求，亦非不可</w:t>
      </w:r>
      <w:proofErr w:type="gramStart"/>
      <w:r>
        <w:rPr>
          <w:rFonts w:hint="eastAsia"/>
        </w:rPr>
        <w:t>採</w:t>
      </w:r>
      <w:proofErr w:type="gramEnd"/>
      <w:r>
        <w:rPr>
          <w:rFonts w:hint="eastAsia"/>
        </w:rPr>
        <w:t>。</w:t>
      </w:r>
    </w:p>
    <w:p w:rsidR="00CE314E" w:rsidRDefault="00CE314E" w:rsidP="00F2687D">
      <w:pPr>
        <w:pStyle w:val="4"/>
      </w:pPr>
      <w:r>
        <w:rPr>
          <w:rFonts w:hint="eastAsia"/>
        </w:rPr>
        <w:t>88年全國司改會議結論：</w:t>
      </w:r>
    </w:p>
    <w:p w:rsidR="00CE314E" w:rsidRDefault="00CE314E" w:rsidP="00F2687D">
      <w:pPr>
        <w:pStyle w:val="5"/>
      </w:pPr>
      <w:r>
        <w:rPr>
          <w:rFonts w:hint="eastAsia"/>
        </w:rPr>
        <w:tab/>
        <w:t>法醫研究所仍維持目前隸屬法務部之建制，惟應積極規劃與各大醫學院合作，加強培訓法醫人才。並繼續檢討法醫待遇，健全法醫工作環境，以有效延攬優秀人才，提升檢警單位科學辦案能力。</w:t>
      </w:r>
    </w:p>
    <w:p w:rsidR="00CE314E" w:rsidRDefault="00CE314E" w:rsidP="00F2687D">
      <w:pPr>
        <w:pStyle w:val="5"/>
      </w:pPr>
      <w:r>
        <w:rPr>
          <w:rFonts w:hint="eastAsia"/>
        </w:rPr>
        <w:tab/>
        <w:t>國家編列經費，補助成立財團法人</w:t>
      </w:r>
      <w:proofErr w:type="gramStart"/>
      <w:r>
        <w:rPr>
          <w:rFonts w:hint="eastAsia"/>
        </w:rPr>
        <w:t>鑑</w:t>
      </w:r>
      <w:proofErr w:type="gramEnd"/>
      <w:r>
        <w:rPr>
          <w:rFonts w:hint="eastAsia"/>
        </w:rPr>
        <w:t>識機構。</w:t>
      </w:r>
    </w:p>
    <w:p w:rsidR="00CE314E" w:rsidRDefault="00CE314E" w:rsidP="00F2687D">
      <w:pPr>
        <w:pStyle w:val="5"/>
      </w:pPr>
      <w:r>
        <w:rPr>
          <w:rFonts w:hint="eastAsia"/>
        </w:rPr>
        <w:tab/>
        <w:t>定期舉辦檢、警、調人員科學辦案能力之在職訓練。</w:t>
      </w:r>
    </w:p>
    <w:p w:rsidR="00CE314E" w:rsidRDefault="00CE314E" w:rsidP="00F2687D">
      <w:pPr>
        <w:pStyle w:val="5"/>
      </w:pPr>
      <w:r>
        <w:rPr>
          <w:rFonts w:hint="eastAsia"/>
        </w:rPr>
        <w:tab/>
        <w:t>充實科學辦案所必要之相關配備。</w:t>
      </w:r>
    </w:p>
    <w:p w:rsidR="00CE314E" w:rsidRPr="00377B49" w:rsidRDefault="00CE314E" w:rsidP="003802C8">
      <w:pPr>
        <w:pStyle w:val="3"/>
        <w:rPr>
          <w:b/>
        </w:rPr>
      </w:pPr>
      <w:r w:rsidRPr="00377B49">
        <w:rPr>
          <w:rFonts w:hint="eastAsia"/>
          <w:b/>
        </w:rPr>
        <w:t>江國慶案件與蘇建和案件鑑定爭議所呈現之問題點。</w:t>
      </w:r>
    </w:p>
    <w:p w:rsidR="00CE314E" w:rsidRDefault="00CE314E" w:rsidP="003802C8">
      <w:pPr>
        <w:pStyle w:val="4"/>
      </w:pPr>
      <w:r>
        <w:rPr>
          <w:rFonts w:hint="eastAsia"/>
        </w:rPr>
        <w:t>鑑定機關之意見若過於武斷，於偵審過程無法檢查所憑藉之科學原理與實驗方法是否正確。</w:t>
      </w:r>
    </w:p>
    <w:p w:rsidR="00CE314E" w:rsidRDefault="00CE314E" w:rsidP="003802C8">
      <w:pPr>
        <w:pStyle w:val="5"/>
      </w:pPr>
      <w:r>
        <w:rPr>
          <w:rFonts w:hint="eastAsia"/>
        </w:rPr>
        <w:tab/>
        <w:t>以江國慶案件而論，法務部調查局85年10月7</w:t>
      </w:r>
      <w:r>
        <w:rPr>
          <w:rFonts w:hint="eastAsia"/>
        </w:rPr>
        <w:lastRenderedPageBreak/>
        <w:t>日</w:t>
      </w:r>
      <w:r w:rsidR="00F145A4">
        <w:t>(85</w:t>
      </w:r>
      <w:r w:rsidR="00F145A4">
        <w:rPr>
          <w:rFonts w:hint="eastAsia"/>
        </w:rPr>
        <w:t>)陸(四)</w:t>
      </w:r>
      <w:r w:rsidR="00F145A4">
        <w:t>85208534</w:t>
      </w:r>
      <w:r w:rsidR="00F145A4">
        <w:rPr>
          <w:rFonts w:hint="eastAsia"/>
        </w:rPr>
        <w:t>號檢驗通知書(下稱:調查局系爭檢驗通知書)</w:t>
      </w:r>
      <w:r>
        <w:rPr>
          <w:rFonts w:hint="eastAsia"/>
        </w:rPr>
        <w:t>：「編號11-1證物，含有人類血液及精液，其血型為A型；編號11-1證物呈現之DNA混合型包含被害人DNA及涉嫌人『18-J』DNA</w:t>
      </w:r>
      <w:r w:rsidR="000662D7">
        <w:rPr>
          <w:rFonts w:hint="eastAsia"/>
        </w:rPr>
        <w:t>之型別。」</w:t>
      </w:r>
      <w:r>
        <w:rPr>
          <w:rFonts w:hint="eastAsia"/>
        </w:rPr>
        <w:t>方</w:t>
      </w:r>
      <w:proofErr w:type="gramStart"/>
      <w:r w:rsidR="00425F81">
        <w:rPr>
          <w:rFonts w:hAnsi="標楷體" w:hint="eastAsia"/>
          <w:b/>
        </w:rPr>
        <w:t>Ｏ</w:t>
      </w:r>
      <w:proofErr w:type="gramEnd"/>
      <w:r>
        <w:rPr>
          <w:rFonts w:hint="eastAsia"/>
        </w:rPr>
        <w:t>民、李</w:t>
      </w:r>
      <w:proofErr w:type="gramStart"/>
      <w:r w:rsidR="00425F81">
        <w:rPr>
          <w:rFonts w:hAnsi="標楷體" w:hint="eastAsia"/>
          <w:b/>
        </w:rPr>
        <w:t>Ｏ</w:t>
      </w:r>
      <w:proofErr w:type="gramEnd"/>
      <w:r>
        <w:rPr>
          <w:rFonts w:hint="eastAsia"/>
        </w:rPr>
        <w:t>華、蕭</w:t>
      </w:r>
      <w:proofErr w:type="gramStart"/>
      <w:r w:rsidR="00425F81">
        <w:rPr>
          <w:rFonts w:hAnsi="標楷體" w:hint="eastAsia"/>
          <w:b/>
        </w:rPr>
        <w:t>Ｏ</w:t>
      </w:r>
      <w:proofErr w:type="gramEnd"/>
      <w:r>
        <w:rPr>
          <w:rFonts w:hint="eastAsia"/>
        </w:rPr>
        <w:t>平等人</w:t>
      </w:r>
      <w:proofErr w:type="gramStart"/>
      <w:r>
        <w:rPr>
          <w:rFonts w:hint="eastAsia"/>
        </w:rPr>
        <w:t>引據系爭</w:t>
      </w:r>
      <w:proofErr w:type="gramEnd"/>
      <w:r>
        <w:rPr>
          <w:rFonts w:hint="eastAsia"/>
        </w:rPr>
        <w:t>通知書後，於</w:t>
      </w:r>
      <w:r w:rsidR="008B58C3">
        <w:rPr>
          <w:rFonts w:hint="eastAsia"/>
        </w:rPr>
        <w:t>國防部前軍法局國軍法醫中心</w:t>
      </w:r>
      <w:r>
        <w:rPr>
          <w:rFonts w:hint="eastAsia"/>
        </w:rPr>
        <w:t>85年9月30日</w:t>
      </w:r>
      <w:r w:rsidR="00F145A4">
        <w:t>(85</w:t>
      </w:r>
      <w:r w:rsidR="00F145A4">
        <w:rPr>
          <w:rFonts w:hint="eastAsia"/>
        </w:rPr>
        <w:t>)國軍醫</w:t>
      </w:r>
      <w:proofErr w:type="gramStart"/>
      <w:r w:rsidR="00F145A4">
        <w:rPr>
          <w:rFonts w:hint="eastAsia"/>
        </w:rPr>
        <w:t>鑑</w:t>
      </w:r>
      <w:proofErr w:type="gramEnd"/>
      <w:r w:rsidR="00F145A4">
        <w:rPr>
          <w:rFonts w:hint="eastAsia"/>
        </w:rPr>
        <w:t>字八五-○四號鑑定書(下稱國軍法醫中心系爭鑑定書</w:t>
      </w:r>
      <w:r w:rsidR="00F145A4">
        <w:t>)</w:t>
      </w:r>
      <w:r>
        <w:rPr>
          <w:rFonts w:hint="eastAsia"/>
        </w:rPr>
        <w:t>做成「涉嫌人『18-J』與檢送11-1證物中含有死者血液及嫌犯精液，經至少6項血型基因型比較分析並無矛盾。」之研判結論，上開鑑定意見就編號11-1證物所含DNA之判定，僅含有2人（即被害人與涉嫌人「18-J」）之DNA，違反鑑定方式必須符合測量方式之信度</w:t>
      </w:r>
      <w:proofErr w:type="gramStart"/>
      <w:r>
        <w:rPr>
          <w:rFonts w:hint="eastAsia"/>
        </w:rPr>
        <w:t>與效度</w:t>
      </w:r>
      <w:proofErr w:type="gramEnd"/>
      <w:r>
        <w:rPr>
          <w:rFonts w:hint="eastAsia"/>
        </w:rPr>
        <w:t>，且未</w:t>
      </w:r>
      <w:proofErr w:type="gramStart"/>
      <w:r>
        <w:rPr>
          <w:rFonts w:hint="eastAsia"/>
        </w:rPr>
        <w:t>就效度</w:t>
      </w:r>
      <w:proofErr w:type="gramEnd"/>
      <w:r>
        <w:rPr>
          <w:rFonts w:hint="eastAsia"/>
        </w:rPr>
        <w:t>差異提出說明，有所違誤。</w:t>
      </w:r>
    </w:p>
    <w:p w:rsidR="00CE314E" w:rsidRDefault="00CE314E" w:rsidP="003802C8">
      <w:pPr>
        <w:pStyle w:val="5"/>
      </w:pPr>
      <w:r>
        <w:rPr>
          <w:rFonts w:hint="eastAsia"/>
        </w:rPr>
        <w:tab/>
        <w:t>又如蘇建和案件所</w:t>
      </w:r>
      <w:proofErr w:type="gramStart"/>
      <w:r>
        <w:rPr>
          <w:rFonts w:hint="eastAsia"/>
        </w:rPr>
        <w:t>採</w:t>
      </w:r>
      <w:proofErr w:type="gramEnd"/>
      <w:r>
        <w:rPr>
          <w:rFonts w:hint="eastAsia"/>
        </w:rPr>
        <w:t>刀痕鑑定，就90年當時我國該項鑑定事項鑑定水平而言，以骨骸刀痕角度比對，為當時所能提供最佳實驗方式，故不得以現今鑑定水平，苛責當時鑑定方法。惟該鑑定意見所使用實驗方式確屬尚在發展之科學鑑定技術，並無法單憑刀痕之寬度或</w:t>
      </w:r>
      <w:proofErr w:type="gramStart"/>
      <w:r>
        <w:rPr>
          <w:rFonts w:hint="eastAsia"/>
        </w:rPr>
        <w:t>深度逆推刀具</w:t>
      </w:r>
      <w:proofErr w:type="gramEnd"/>
      <w:r>
        <w:rPr>
          <w:rFonts w:hint="eastAsia"/>
        </w:rPr>
        <w:t>種類，無從驗證而得到相同的結果，確有所疑問。</w:t>
      </w:r>
    </w:p>
    <w:p w:rsidR="00CE314E" w:rsidRDefault="00CE314E" w:rsidP="003802C8">
      <w:pPr>
        <w:pStyle w:val="5"/>
      </w:pPr>
      <w:r>
        <w:rPr>
          <w:rFonts w:hint="eastAsia"/>
        </w:rPr>
        <w:tab/>
      </w:r>
      <w:proofErr w:type="gramStart"/>
      <w:r>
        <w:rPr>
          <w:rFonts w:hint="eastAsia"/>
        </w:rPr>
        <w:t>然上開</w:t>
      </w:r>
      <w:proofErr w:type="gramEnd"/>
      <w:r>
        <w:rPr>
          <w:rFonts w:hint="eastAsia"/>
        </w:rPr>
        <w:t>鑑定證據，或有錯誤及過於武斷之情形，惟因上開鑑定並未於法院審理時獲得充分檢查，其所憑藉科學原理與實驗方式是否正確，自有影響被告防禦權之虞。</w:t>
      </w:r>
    </w:p>
    <w:p w:rsidR="00CE314E" w:rsidRDefault="00CE314E" w:rsidP="003802C8">
      <w:pPr>
        <w:pStyle w:val="4"/>
      </w:pPr>
      <w:r>
        <w:rPr>
          <w:rFonts w:hint="eastAsia"/>
        </w:rPr>
        <w:t>檢察官與法官對於科學鑑定</w:t>
      </w:r>
      <w:proofErr w:type="gramStart"/>
      <w:r>
        <w:rPr>
          <w:rFonts w:hint="eastAsia"/>
        </w:rPr>
        <w:t>欠缺判</w:t>
      </w:r>
      <w:proofErr w:type="gramEnd"/>
      <w:r>
        <w:rPr>
          <w:rFonts w:hint="eastAsia"/>
        </w:rPr>
        <w:t>讀能力。</w:t>
      </w:r>
    </w:p>
    <w:p w:rsidR="00CE314E" w:rsidRDefault="00CE314E" w:rsidP="003802C8">
      <w:pPr>
        <w:pStyle w:val="42"/>
        <w:ind w:left="1701" w:firstLine="680"/>
      </w:pPr>
      <w:r>
        <w:rPr>
          <w:rFonts w:hint="eastAsia"/>
        </w:rPr>
        <w:t>在</w:t>
      </w:r>
      <w:proofErr w:type="gramStart"/>
      <w:r>
        <w:rPr>
          <w:rFonts w:hint="eastAsia"/>
        </w:rPr>
        <w:t>江國慶案軍法官</w:t>
      </w:r>
      <w:proofErr w:type="gramEnd"/>
      <w:r>
        <w:rPr>
          <w:rFonts w:hint="eastAsia"/>
        </w:rPr>
        <w:t>對於DNA鑑定似無基礎判</w:t>
      </w:r>
      <w:r>
        <w:rPr>
          <w:rFonts w:hint="eastAsia"/>
        </w:rPr>
        <w:lastRenderedPageBreak/>
        <w:t>讀能力</w:t>
      </w:r>
      <w:r w:rsidR="000435F9">
        <w:rPr>
          <w:rStyle w:val="afe"/>
        </w:rPr>
        <w:footnoteReference w:id="20"/>
      </w:r>
      <w:r>
        <w:rPr>
          <w:rFonts w:hint="eastAsia"/>
        </w:rPr>
        <w:t>，僅對於鑑定意見「包含」、「並無矛盾」加以文字理解，實質上對於DNA鑑定原理並未全然瞭解；又在蘇建和案對於該鑑定之實驗方式背離應用力學之基本錯誤，司法官似</w:t>
      </w:r>
      <w:proofErr w:type="gramStart"/>
      <w:r>
        <w:rPr>
          <w:rFonts w:hint="eastAsia"/>
        </w:rPr>
        <w:t>未能發見亦有</w:t>
      </w:r>
      <w:proofErr w:type="gramEnd"/>
      <w:r>
        <w:rPr>
          <w:rFonts w:hint="eastAsia"/>
        </w:rPr>
        <w:t>相同問題。</w:t>
      </w:r>
    </w:p>
    <w:p w:rsidR="00CE314E" w:rsidRPr="00377B49" w:rsidRDefault="00CE314E" w:rsidP="003802C8">
      <w:pPr>
        <w:pStyle w:val="3"/>
        <w:rPr>
          <w:b/>
        </w:rPr>
      </w:pPr>
      <w:r w:rsidRPr="00377B49">
        <w:rPr>
          <w:rFonts w:hint="eastAsia"/>
          <w:b/>
        </w:rPr>
        <w:t>現行實務對鑑定意見適用傳聞法則之例外範圍極廣，導致大多數鑑定意見不受交互詰問，其法令適用情形如下</w:t>
      </w:r>
      <w:r w:rsidR="006F0092">
        <w:rPr>
          <w:rFonts w:ascii="新細明體" w:eastAsia="新細明體" w:hAnsi="新細明體" w:hint="eastAsia"/>
          <w:b/>
        </w:rPr>
        <w:t>：</w:t>
      </w:r>
    </w:p>
    <w:p w:rsidR="00CE314E" w:rsidRDefault="00CE314E" w:rsidP="003802C8">
      <w:pPr>
        <w:pStyle w:val="4"/>
      </w:pPr>
      <w:r>
        <w:rPr>
          <w:rFonts w:hint="eastAsia"/>
        </w:rPr>
        <w:t>檢察</w:t>
      </w:r>
      <w:r w:rsidR="000662D7">
        <w:rPr>
          <w:rFonts w:hint="eastAsia"/>
        </w:rPr>
        <w:t>機關辦理刑事訴訟案件應行注意事項</w:t>
      </w:r>
    </w:p>
    <w:p w:rsidR="00CE314E" w:rsidRDefault="00CE314E" w:rsidP="003802C8">
      <w:pPr>
        <w:pStyle w:val="5"/>
      </w:pPr>
      <w:r>
        <w:rPr>
          <w:rFonts w:hint="eastAsia"/>
        </w:rPr>
        <w:tab/>
        <w:t>第77點：受檢察官選任之鑑定人或囑託之鑑定機關、團體所為之書面鑑定報告，屬本法第159條所定傳聞之例外規定，具有證據能力。檢察官對於上開傳聞之例外情形，應予注意並適時主張之。</w:t>
      </w:r>
      <w:r w:rsidR="00F145A4">
        <w:rPr>
          <w:rFonts w:hint="eastAsia"/>
        </w:rPr>
        <w:t>(刑訴法</w:t>
      </w:r>
      <w:r w:rsidR="00F145A4">
        <w:t>159</w:t>
      </w:r>
      <w:r w:rsidR="00F145A4">
        <w:rPr>
          <w:rFonts w:hint="eastAsia"/>
        </w:rPr>
        <w:t>、</w:t>
      </w:r>
      <w:r w:rsidR="00F145A4">
        <w:t>198</w:t>
      </w:r>
      <w:r w:rsidR="00F145A4">
        <w:rPr>
          <w:rFonts w:hint="eastAsia"/>
        </w:rPr>
        <w:t>、</w:t>
      </w:r>
      <w:r w:rsidR="00F145A4">
        <w:t>206</w:t>
      </w:r>
      <w:r w:rsidR="00F145A4">
        <w:rPr>
          <w:rFonts w:hint="eastAsia"/>
        </w:rPr>
        <w:t>、</w:t>
      </w:r>
      <w:r w:rsidR="00F145A4">
        <w:t>208)</w:t>
      </w:r>
    </w:p>
    <w:p w:rsidR="00CE314E" w:rsidRDefault="00CE314E" w:rsidP="003802C8">
      <w:pPr>
        <w:pStyle w:val="5"/>
      </w:pPr>
      <w:r>
        <w:rPr>
          <w:rFonts w:hint="eastAsia"/>
        </w:rPr>
        <w:tab/>
        <w:t>第78點：檢察官行鑑定時，除以專家為鑑定人外，得囑託醫院、學校或其他相當之機關、團體為鑑定或審查他人之鑑定。鑑定之經過及結果，應以言詞或書面報告，其以書面為之者，於必要時得使其以言詞說明。鑑定人或受囑託之醫院、學校、機關、團體實施鑑定或審查之人，為言詞報告或說明時，有具結之義務。</w:t>
      </w:r>
      <w:r w:rsidR="00F145A4">
        <w:rPr>
          <w:rFonts w:hint="eastAsia"/>
        </w:rPr>
        <w:t>(刑訴法</w:t>
      </w:r>
      <w:r w:rsidR="00F145A4">
        <w:t>202</w:t>
      </w:r>
      <w:r w:rsidR="00F145A4">
        <w:rPr>
          <w:rFonts w:hint="eastAsia"/>
        </w:rPr>
        <w:t>、</w:t>
      </w:r>
      <w:r w:rsidR="00F145A4">
        <w:t>206</w:t>
      </w:r>
      <w:r w:rsidR="00F145A4">
        <w:rPr>
          <w:rFonts w:hint="eastAsia"/>
        </w:rPr>
        <w:t>、</w:t>
      </w:r>
      <w:r w:rsidR="00F145A4">
        <w:t>208)</w:t>
      </w:r>
    </w:p>
    <w:p w:rsidR="00CE314E" w:rsidRDefault="00CE314E" w:rsidP="003802C8">
      <w:pPr>
        <w:pStyle w:val="4"/>
      </w:pPr>
      <w:r>
        <w:rPr>
          <w:rFonts w:hint="eastAsia"/>
        </w:rPr>
        <w:t>法院辦理刑事訴訟案件應行注意事項</w:t>
      </w:r>
    </w:p>
    <w:p w:rsidR="00CE314E" w:rsidRDefault="00CE314E" w:rsidP="003802C8">
      <w:pPr>
        <w:pStyle w:val="5"/>
      </w:pPr>
      <w:r>
        <w:rPr>
          <w:rFonts w:hint="eastAsia"/>
        </w:rPr>
        <w:tab/>
        <w:t>第115點：受審判長、受命法官或檢察官選任之鑑定人所為之書面鑑定報告，屬傳聞證據排除之例外，具有證據能力。</w:t>
      </w:r>
      <w:r w:rsidR="00F145A4">
        <w:t>(</w:t>
      </w:r>
      <w:r w:rsidR="00F145A4">
        <w:rPr>
          <w:rFonts w:hint="eastAsia"/>
        </w:rPr>
        <w:t>刑訴法</w:t>
      </w:r>
      <w:r w:rsidR="00F145A4">
        <w:t>159</w:t>
      </w:r>
      <w:r w:rsidR="00F145A4">
        <w:rPr>
          <w:rFonts w:hint="eastAsia"/>
        </w:rPr>
        <w:t>、</w:t>
      </w:r>
      <w:r w:rsidR="00F145A4">
        <w:t>206)</w:t>
      </w:r>
    </w:p>
    <w:p w:rsidR="00CE314E" w:rsidRDefault="00CE314E" w:rsidP="003802C8">
      <w:pPr>
        <w:pStyle w:val="5"/>
      </w:pPr>
      <w:r>
        <w:rPr>
          <w:rFonts w:hint="eastAsia"/>
        </w:rPr>
        <w:tab/>
        <w:t>第126點：應行鑑定時，除以專家為鑑定人外，</w:t>
      </w:r>
      <w:r>
        <w:rPr>
          <w:rFonts w:hint="eastAsia"/>
        </w:rPr>
        <w:lastRenderedPageBreak/>
        <w:t>並得囑託國內、外醫院、學校或其他相當之機關、團體為鑑定或審查他人之鑑定，如須以言詞報告或說明時，得命實施鑑定或審查之人為之，其報告或說明時，有具結之義務，且當事人、代理人、</w:t>
      </w:r>
      <w:proofErr w:type="gramStart"/>
      <w:r>
        <w:rPr>
          <w:rFonts w:hint="eastAsia"/>
        </w:rPr>
        <w:t>辯護人均得詢問</w:t>
      </w:r>
      <w:proofErr w:type="gramEnd"/>
      <w:r>
        <w:rPr>
          <w:rFonts w:hint="eastAsia"/>
        </w:rPr>
        <w:t>或詰問之，輔佐人亦得詢問之。(刑訴法208)</w:t>
      </w:r>
    </w:p>
    <w:p w:rsidR="00CE314E" w:rsidRDefault="00CE314E" w:rsidP="003802C8">
      <w:pPr>
        <w:pStyle w:val="4"/>
      </w:pPr>
      <w:r>
        <w:rPr>
          <w:rFonts w:hint="eastAsia"/>
        </w:rPr>
        <w:tab/>
      </w:r>
      <w:r w:rsidR="006F0092">
        <w:rPr>
          <w:rFonts w:hint="eastAsia"/>
        </w:rPr>
        <w:t>綜上，我國現行鑑定實務，具有如下</w:t>
      </w:r>
      <w:r>
        <w:rPr>
          <w:rFonts w:hint="eastAsia"/>
        </w:rPr>
        <w:t>特色。</w:t>
      </w:r>
    </w:p>
    <w:p w:rsidR="00CE314E" w:rsidRDefault="00CE314E" w:rsidP="003802C8">
      <w:pPr>
        <w:pStyle w:val="5"/>
      </w:pPr>
      <w:r>
        <w:rPr>
          <w:rFonts w:hint="eastAsia"/>
        </w:rPr>
        <w:tab/>
        <w:t>現行制度主要區分對人之選任與對機關之囑託，法官與檢察官之職權大致相同。</w:t>
      </w:r>
    </w:p>
    <w:p w:rsidR="00CE314E" w:rsidRDefault="00CE314E" w:rsidP="003802C8">
      <w:pPr>
        <w:pStyle w:val="52"/>
        <w:ind w:left="2041" w:firstLine="680"/>
      </w:pPr>
      <w:r>
        <w:rPr>
          <w:rFonts w:hint="eastAsia"/>
        </w:rPr>
        <w:tab/>
        <w:t>按刑事訴訟法第198條選任鑑定人鑑定</w:t>
      </w:r>
      <w:r w:rsidR="008859FB">
        <w:rPr>
          <w:rStyle w:val="afe"/>
        </w:rPr>
        <w:footnoteReference w:id="21"/>
      </w:r>
      <w:r>
        <w:rPr>
          <w:rFonts w:hint="eastAsia"/>
        </w:rPr>
        <w:t>與第208條</w:t>
      </w:r>
      <w:r w:rsidR="008859FB">
        <w:rPr>
          <w:rStyle w:val="afe"/>
        </w:rPr>
        <w:footnoteReference w:id="22"/>
      </w:r>
      <w:r>
        <w:rPr>
          <w:rFonts w:hint="eastAsia"/>
        </w:rPr>
        <w:t>囑託機關鑑定，在後者情形，由法官或檢察官囑託機關所鑑定的報告書，內容即已符合法定程式要求，得不經被告反對詰問的檢驗，亦賦予該書面擁有證據能力，法官與檢察官職權大致相同。</w:t>
      </w:r>
    </w:p>
    <w:p w:rsidR="00CE314E" w:rsidRDefault="00CE314E" w:rsidP="003802C8">
      <w:pPr>
        <w:pStyle w:val="5"/>
      </w:pPr>
      <w:r>
        <w:rPr>
          <w:rFonts w:hint="eastAsia"/>
        </w:rPr>
        <w:tab/>
      </w:r>
      <w:r w:rsidR="007B6A16">
        <w:rPr>
          <w:rFonts w:hint="eastAsia"/>
        </w:rPr>
        <w:t>受檢察官選任鑑定人或所為之書面鑑定報告，屬刑事訴訟法</w:t>
      </w:r>
      <w:r>
        <w:rPr>
          <w:rFonts w:hint="eastAsia"/>
        </w:rPr>
        <w:t>第159條所定傳聞之例外規定。</w:t>
      </w:r>
    </w:p>
    <w:p w:rsidR="00CE314E" w:rsidRDefault="00CE314E" w:rsidP="003802C8">
      <w:pPr>
        <w:pStyle w:val="52"/>
        <w:ind w:left="2041" w:firstLine="680"/>
      </w:pPr>
      <w:r>
        <w:rPr>
          <w:rFonts w:hint="eastAsia"/>
        </w:rPr>
        <w:tab/>
        <w:t>按刑事訴訟法第159條之1第2項規定：「被告以外之人於偵查中向檢察官所為之陳述，</w:t>
      </w:r>
      <w:proofErr w:type="gramStart"/>
      <w:r>
        <w:rPr>
          <w:rFonts w:hint="eastAsia"/>
        </w:rPr>
        <w:t>除顯有</w:t>
      </w:r>
      <w:proofErr w:type="gramEnd"/>
      <w:r>
        <w:rPr>
          <w:rFonts w:hint="eastAsia"/>
        </w:rPr>
        <w:t>不可信之情況者外，得為證據。」故檢察官所為鑑定不論是鑑定證言或鑑定</w:t>
      </w:r>
      <w:proofErr w:type="gramStart"/>
      <w:r>
        <w:rPr>
          <w:rFonts w:hint="eastAsia"/>
        </w:rPr>
        <w:t>書面均為傳聞</w:t>
      </w:r>
      <w:proofErr w:type="gramEnd"/>
      <w:r>
        <w:rPr>
          <w:rFonts w:hint="eastAsia"/>
        </w:rPr>
        <w:t>法則例外，得不受交互詰問。</w:t>
      </w:r>
    </w:p>
    <w:p w:rsidR="00CE314E" w:rsidRPr="00377B49" w:rsidRDefault="00CE314E" w:rsidP="00971335">
      <w:pPr>
        <w:pStyle w:val="3"/>
        <w:rPr>
          <w:b/>
        </w:rPr>
      </w:pPr>
      <w:r w:rsidRPr="00377B49">
        <w:rPr>
          <w:rFonts w:hint="eastAsia"/>
          <w:b/>
        </w:rPr>
        <w:t>當事人主義與職權主義制度不同，規範設計縱有歧異之處，仍應從公平法院原則檢視現行鑑定制度之妥當性。</w:t>
      </w:r>
    </w:p>
    <w:p w:rsidR="00CE314E" w:rsidRPr="00377B49" w:rsidRDefault="00CE314E" w:rsidP="00971335">
      <w:pPr>
        <w:pStyle w:val="4"/>
        <w:rPr>
          <w:b/>
        </w:rPr>
      </w:pPr>
      <w:r w:rsidRPr="00377B49">
        <w:rPr>
          <w:rFonts w:hint="eastAsia"/>
          <w:b/>
        </w:rPr>
        <w:t>證據能力與證明力有無區分必要，需視刑事訴訟</w:t>
      </w:r>
      <w:r w:rsidRPr="00377B49">
        <w:rPr>
          <w:rFonts w:hint="eastAsia"/>
          <w:b/>
        </w:rPr>
        <w:lastRenderedPageBreak/>
        <w:t>制度採取何種訴訟結構而定，若於我國現階段確為司法院所稱之「改良式當事人進行主義」，實務上自應發展證據能力門檻，所考量證據能力要件應基於公平法院原則，就鑑定意見之科學性充分建構，以</w:t>
      </w:r>
      <w:proofErr w:type="gramStart"/>
      <w:r w:rsidRPr="00377B49">
        <w:rPr>
          <w:rFonts w:hint="eastAsia"/>
          <w:b/>
        </w:rPr>
        <w:t>符合發見真實</w:t>
      </w:r>
      <w:proofErr w:type="gramEnd"/>
      <w:r w:rsidRPr="00377B49">
        <w:rPr>
          <w:rFonts w:hint="eastAsia"/>
          <w:b/>
        </w:rPr>
        <w:t>之刑事訴訟目的。</w:t>
      </w:r>
    </w:p>
    <w:p w:rsidR="00CE314E" w:rsidRPr="00377B49" w:rsidRDefault="00CE314E" w:rsidP="00971335">
      <w:pPr>
        <w:pStyle w:val="5"/>
        <w:rPr>
          <w:b/>
        </w:rPr>
      </w:pPr>
      <w:r>
        <w:rPr>
          <w:rFonts w:hint="eastAsia"/>
        </w:rPr>
        <w:tab/>
      </w:r>
      <w:r w:rsidRPr="00377B49">
        <w:rPr>
          <w:rFonts w:hint="eastAsia"/>
          <w:b/>
        </w:rPr>
        <w:t>基於改良式當事人進行主義，實務上有發展鑑定證據之證據能力門檻之必要。</w:t>
      </w:r>
    </w:p>
    <w:p w:rsidR="00CE314E" w:rsidRDefault="00CE314E" w:rsidP="00971335">
      <w:pPr>
        <w:pStyle w:val="6"/>
      </w:pPr>
      <w:r>
        <w:rPr>
          <w:rFonts w:hint="eastAsia"/>
        </w:rPr>
        <w:tab/>
        <w:t>在職權主義下，得不區分證據能力與證明力。</w:t>
      </w:r>
    </w:p>
    <w:p w:rsidR="00CE314E" w:rsidRDefault="00CE314E" w:rsidP="00971335">
      <w:pPr>
        <w:pStyle w:val="62"/>
        <w:ind w:left="2381" w:firstLine="680"/>
      </w:pPr>
      <w:r>
        <w:rPr>
          <w:rFonts w:hint="eastAsia"/>
        </w:rPr>
        <w:t>在舊法職權主義</w:t>
      </w:r>
      <w:r w:rsidR="00150505">
        <w:rPr>
          <w:rFonts w:hint="eastAsia"/>
        </w:rPr>
        <w:t>(又稱審問式刑事訴訟模式(與對抗式訴訟模式相對))</w:t>
      </w:r>
      <w:r>
        <w:rPr>
          <w:rFonts w:hint="eastAsia"/>
        </w:rPr>
        <w:t>下，法院在訴訟程序中擁有主導權，程序的進行以及訴訟資料、證據的收集事項由法院擔當，法官並非全然中立第三者，我國實務早期認為「我國刑事訴訟法因</w:t>
      </w:r>
      <w:proofErr w:type="gramStart"/>
      <w:r>
        <w:rPr>
          <w:rFonts w:hint="eastAsia"/>
        </w:rPr>
        <w:t>採</w:t>
      </w:r>
      <w:proofErr w:type="gramEnd"/>
      <w:r>
        <w:rPr>
          <w:rFonts w:hint="eastAsia"/>
        </w:rPr>
        <w:t>職權主義，各對證據能力殊少限制，皆得</w:t>
      </w:r>
      <w:proofErr w:type="gramStart"/>
      <w:r>
        <w:rPr>
          <w:rFonts w:hint="eastAsia"/>
        </w:rPr>
        <w:t>採</w:t>
      </w:r>
      <w:proofErr w:type="gramEnd"/>
      <w:r>
        <w:rPr>
          <w:rFonts w:hint="eastAsia"/>
        </w:rPr>
        <w:t>為裁判之基礎」</w:t>
      </w:r>
      <w:r w:rsidR="00150505">
        <w:t>(72</w:t>
      </w:r>
      <w:r w:rsidR="00150505">
        <w:rPr>
          <w:rFonts w:hint="eastAsia"/>
        </w:rPr>
        <w:t>年台上</w:t>
      </w:r>
      <w:r w:rsidR="00150505">
        <w:t>1203</w:t>
      </w:r>
      <w:r w:rsidR="00150505">
        <w:rPr>
          <w:rFonts w:hint="eastAsia"/>
        </w:rPr>
        <w:t>號判例</w:t>
      </w:r>
      <w:r w:rsidR="009D55E6">
        <w:rPr>
          <w:rFonts w:ascii="新細明體" w:eastAsia="新細明體" w:hAnsi="新細明體" w:hint="eastAsia"/>
        </w:rPr>
        <w:t>，</w:t>
      </w:r>
      <w:r w:rsidR="00150505">
        <w:rPr>
          <w:rFonts w:hint="eastAsia"/>
        </w:rPr>
        <w:t>業不再援用)</w:t>
      </w:r>
      <w:r>
        <w:rPr>
          <w:rFonts w:hint="eastAsia"/>
        </w:rPr>
        <w:t>，故雖刑事訴訟法第155條第2項</w:t>
      </w:r>
      <w:r w:rsidR="00CE26AC">
        <w:rPr>
          <w:rFonts w:hint="eastAsia"/>
        </w:rPr>
        <w:t>規定：「無證據能力、未經合法調查之證據，不得作為判斷之依據。」</w:t>
      </w:r>
      <w:r>
        <w:rPr>
          <w:rFonts w:hint="eastAsia"/>
        </w:rPr>
        <w:t>第158條之3規定：「證人、</w:t>
      </w:r>
      <w:r w:rsidR="00CE26AC">
        <w:rPr>
          <w:rFonts w:hint="eastAsia"/>
        </w:rPr>
        <w:t>鑑定人依法應具結而未具結者，其證言或鑑定意見，不得作為證據。」</w:t>
      </w:r>
      <w:r>
        <w:rPr>
          <w:rFonts w:hint="eastAsia"/>
        </w:rPr>
        <w:t>然在我國鑑定</w:t>
      </w:r>
      <w:r w:rsidR="00150505">
        <w:rPr>
          <w:rFonts w:hint="eastAsia"/>
        </w:rPr>
        <w:t>(第三節</w:t>
      </w:r>
      <w:r w:rsidR="00150505">
        <w:t xml:space="preserve"> </w:t>
      </w:r>
      <w:r w:rsidR="00150505">
        <w:rPr>
          <w:rFonts w:hint="eastAsia"/>
        </w:rPr>
        <w:t>鑑定及通譯)</w:t>
      </w:r>
      <w:r>
        <w:rPr>
          <w:rFonts w:hint="eastAsia"/>
        </w:rPr>
        <w:t>新法僅增訂「留置」犯罪嫌疑人與「許可取樣」等規定，</w:t>
      </w:r>
      <w:proofErr w:type="gramStart"/>
      <w:r>
        <w:rPr>
          <w:rFonts w:hint="eastAsia"/>
        </w:rPr>
        <w:t>其餘均未修正</w:t>
      </w:r>
      <w:proofErr w:type="gramEnd"/>
      <w:r>
        <w:rPr>
          <w:rFonts w:hint="eastAsia"/>
        </w:rPr>
        <w:t>，鑑定乙節</w:t>
      </w:r>
      <w:proofErr w:type="gramStart"/>
      <w:r>
        <w:rPr>
          <w:rFonts w:hint="eastAsia"/>
        </w:rPr>
        <w:t>幾乎均全是</w:t>
      </w:r>
      <w:proofErr w:type="gramEnd"/>
      <w:r>
        <w:rPr>
          <w:rFonts w:hint="eastAsia"/>
        </w:rPr>
        <w:t>職權主義所遺留下產物</w:t>
      </w:r>
      <w:r w:rsidR="000352CC">
        <w:rPr>
          <w:rStyle w:val="afe"/>
        </w:rPr>
        <w:footnoteReference w:id="23"/>
      </w:r>
      <w:r>
        <w:rPr>
          <w:rFonts w:hint="eastAsia"/>
        </w:rPr>
        <w:t>，其鑑定意見之證據能力與證明力區分，自不具有相當必要性</w:t>
      </w:r>
      <w:r w:rsidR="000352CC">
        <w:rPr>
          <w:rStyle w:val="afe"/>
        </w:rPr>
        <w:lastRenderedPageBreak/>
        <w:footnoteReference w:id="24"/>
      </w:r>
      <w:r>
        <w:rPr>
          <w:rFonts w:hint="eastAsia"/>
        </w:rPr>
        <w:t>。</w:t>
      </w:r>
    </w:p>
    <w:p w:rsidR="00CE314E" w:rsidRDefault="00CE314E" w:rsidP="00971335">
      <w:pPr>
        <w:pStyle w:val="6"/>
      </w:pPr>
      <w:r>
        <w:rPr>
          <w:rFonts w:hint="eastAsia"/>
        </w:rPr>
        <w:tab/>
        <w:t>在當事人主義下，法官作為中立第三者不負責調查證據，檢察官對於被告犯罪事實必須盡實質舉證責任，其證據資料必先具有證據能力為前提，並</w:t>
      </w:r>
      <w:proofErr w:type="gramStart"/>
      <w:r>
        <w:rPr>
          <w:rFonts w:hint="eastAsia"/>
        </w:rPr>
        <w:t>踐行</w:t>
      </w:r>
      <w:proofErr w:type="gramEnd"/>
      <w:r>
        <w:rPr>
          <w:rFonts w:hint="eastAsia"/>
        </w:rPr>
        <w:t>合法調查程序，始得作為法院評價而為證據證明力之判斷。</w:t>
      </w:r>
    </w:p>
    <w:p w:rsidR="00CE314E" w:rsidRDefault="00CE314E" w:rsidP="00971335">
      <w:pPr>
        <w:pStyle w:val="62"/>
        <w:ind w:left="2381" w:firstLine="680"/>
      </w:pPr>
      <w:r>
        <w:rPr>
          <w:rFonts w:hint="eastAsia"/>
        </w:rPr>
        <w:t>當事人進行主義，屬彈劾制</w:t>
      </w:r>
      <w:r w:rsidR="00150505">
        <w:rPr>
          <w:rFonts w:hint="eastAsia"/>
        </w:rPr>
        <w:t>(控訴制)</w:t>
      </w:r>
      <w:r>
        <w:rPr>
          <w:rFonts w:hint="eastAsia"/>
        </w:rPr>
        <w:t>，法官不負調查證據之義務，而檢察官對於被告犯罪事實具有實質舉證責任</w:t>
      </w:r>
      <w:r w:rsidR="002D5638">
        <w:rPr>
          <w:rStyle w:val="afe"/>
        </w:rPr>
        <w:footnoteReference w:id="25"/>
      </w:r>
      <w:r>
        <w:rPr>
          <w:rFonts w:hint="eastAsia"/>
        </w:rPr>
        <w:t>，被告不負舉證責任，法官作為中立聽訟的第三者</w:t>
      </w:r>
      <w:r w:rsidR="002D5638">
        <w:rPr>
          <w:rStyle w:val="afe"/>
        </w:rPr>
        <w:footnoteReference w:id="26"/>
      </w:r>
      <w:r>
        <w:rPr>
          <w:rFonts w:hint="eastAsia"/>
        </w:rPr>
        <w:t>，對</w:t>
      </w:r>
      <w:r>
        <w:rPr>
          <w:rFonts w:hint="eastAsia"/>
        </w:rPr>
        <w:lastRenderedPageBreak/>
        <w:t>於檢察官所提證據，是否具有證據能力，基於「嚴格證明</w:t>
      </w:r>
      <w:r w:rsidR="00150505">
        <w:t>(Strengbeweis)</w:t>
      </w:r>
      <w:r>
        <w:rPr>
          <w:rFonts w:hint="eastAsia"/>
        </w:rPr>
        <w:t>」法則下，證據資料必先具有證據能力為前提，並</w:t>
      </w:r>
      <w:proofErr w:type="gramStart"/>
      <w:r>
        <w:rPr>
          <w:rFonts w:hint="eastAsia"/>
        </w:rPr>
        <w:t>踐行</w:t>
      </w:r>
      <w:proofErr w:type="gramEnd"/>
      <w:r>
        <w:rPr>
          <w:rFonts w:hint="eastAsia"/>
        </w:rPr>
        <w:t>合法調查程序，始得作為法院評價而為證據證明力之判斷。是證據能力及證據證明力，作為刑事證據法上之核心要項</w:t>
      </w:r>
      <w:r w:rsidR="002D5638">
        <w:rPr>
          <w:rStyle w:val="afe"/>
        </w:rPr>
        <w:footnoteReference w:id="27"/>
      </w:r>
      <w:r>
        <w:rPr>
          <w:rFonts w:hint="eastAsia"/>
        </w:rPr>
        <w:t>，始符合公平</w:t>
      </w:r>
      <w:r>
        <w:rPr>
          <w:rFonts w:hint="eastAsia"/>
        </w:rPr>
        <w:lastRenderedPageBreak/>
        <w:t>法院原則。</w:t>
      </w:r>
      <w:proofErr w:type="gramStart"/>
      <w:r>
        <w:rPr>
          <w:rFonts w:hint="eastAsia"/>
        </w:rPr>
        <w:t>準</w:t>
      </w:r>
      <w:proofErr w:type="gramEnd"/>
      <w:r>
        <w:rPr>
          <w:rFonts w:hint="eastAsia"/>
        </w:rPr>
        <w:t>此，鑑定證據之證據能力與證明力自有區分之必要。</w:t>
      </w:r>
    </w:p>
    <w:p w:rsidR="00CE314E" w:rsidRPr="00377B49" w:rsidRDefault="00CE314E" w:rsidP="00971335">
      <w:pPr>
        <w:pStyle w:val="5"/>
        <w:rPr>
          <w:b/>
        </w:rPr>
      </w:pPr>
      <w:r>
        <w:rPr>
          <w:rFonts w:hint="eastAsia"/>
        </w:rPr>
        <w:tab/>
      </w:r>
      <w:r w:rsidRPr="00377B49">
        <w:rPr>
          <w:rFonts w:hint="eastAsia"/>
          <w:b/>
        </w:rPr>
        <w:t>鑑定意見的證據能力門檻，除法律明文規定外，是否有其他特別證據能力要件，目前實務上並未統一，最高法院亦有主張特別證據能力要件者</w:t>
      </w:r>
      <w:proofErr w:type="gramStart"/>
      <w:r w:rsidRPr="00377B49">
        <w:rPr>
          <w:rFonts w:hint="eastAsia"/>
          <w:b/>
        </w:rPr>
        <w:t>採</w:t>
      </w:r>
      <w:proofErr w:type="gramEnd"/>
      <w:r w:rsidRPr="00377B49">
        <w:rPr>
          <w:rFonts w:hint="eastAsia"/>
          <w:b/>
        </w:rPr>
        <w:t>美國Frye案之普遍接受原則。</w:t>
      </w:r>
    </w:p>
    <w:p w:rsidR="00CE314E" w:rsidRDefault="00CE314E" w:rsidP="00971335">
      <w:pPr>
        <w:pStyle w:val="6"/>
      </w:pPr>
      <w:r>
        <w:rPr>
          <w:rFonts w:hint="eastAsia"/>
        </w:rPr>
        <w:tab/>
        <w:t>證據能力門檻，司法院與法務部分別在法院辦理刑事訴訟</w:t>
      </w:r>
      <w:r w:rsidR="00606F7E">
        <w:rPr>
          <w:rFonts w:hint="eastAsia"/>
        </w:rPr>
        <w:t>案件</w:t>
      </w:r>
      <w:r w:rsidR="000E46C2">
        <w:rPr>
          <w:rFonts w:hint="eastAsia"/>
        </w:rPr>
        <w:t>應行</w:t>
      </w:r>
      <w:r>
        <w:rPr>
          <w:rFonts w:hint="eastAsia"/>
        </w:rPr>
        <w:t>注意事項</w:t>
      </w:r>
      <w:r w:rsidR="002D5638">
        <w:rPr>
          <w:rStyle w:val="afe"/>
        </w:rPr>
        <w:footnoteReference w:id="28"/>
      </w:r>
      <w:r>
        <w:rPr>
          <w:rFonts w:hint="eastAsia"/>
        </w:rPr>
        <w:t>與檢察機關辦理刑事訴訟案件應行注意事項</w:t>
      </w:r>
      <w:r w:rsidR="002D5638">
        <w:rPr>
          <w:rStyle w:val="afe"/>
        </w:rPr>
        <w:footnoteReference w:id="29"/>
      </w:r>
      <w:r>
        <w:rPr>
          <w:rFonts w:hint="eastAsia"/>
        </w:rPr>
        <w:t>，就鑑定之證據方法，提出注意事項，但多以上開法律明文規定之提示為主，供法官與檢察官執行職務之用。</w:t>
      </w:r>
    </w:p>
    <w:p w:rsidR="00CE314E" w:rsidRDefault="00CE314E" w:rsidP="00971335">
      <w:pPr>
        <w:pStyle w:val="6"/>
      </w:pPr>
      <w:r>
        <w:rPr>
          <w:rFonts w:hint="eastAsia"/>
        </w:rPr>
        <w:lastRenderedPageBreak/>
        <w:tab/>
        <w:t>現行司法實務上有關鑑定意見是否需要特別證據能力要件，部分實務見解</w:t>
      </w:r>
      <w:r w:rsidR="002D5638">
        <w:rPr>
          <w:rStyle w:val="afe"/>
        </w:rPr>
        <w:footnoteReference w:id="30"/>
      </w:r>
      <w:r>
        <w:rPr>
          <w:rFonts w:hint="eastAsia"/>
        </w:rPr>
        <w:t>認為鑑定</w:t>
      </w:r>
      <w:r>
        <w:rPr>
          <w:rFonts w:hint="eastAsia"/>
        </w:rPr>
        <w:lastRenderedPageBreak/>
        <w:t>為科學證據，必須具有</w:t>
      </w:r>
      <w:r w:rsidR="00150505">
        <w:rPr>
          <w:rFonts w:hAnsi="標楷體" w:hint="eastAsia"/>
        </w:rPr>
        <w:t>：</w:t>
      </w:r>
      <w:r>
        <w:rPr>
          <w:rFonts w:hint="eastAsia"/>
        </w:rPr>
        <w:t>1.鑑定人要有特殊知識</w:t>
      </w:r>
      <w:r w:rsidR="00150505">
        <w:rPr>
          <w:rFonts w:hint="eastAsia"/>
        </w:rPr>
        <w:t>；</w:t>
      </w:r>
      <w:r>
        <w:rPr>
          <w:rFonts w:hint="eastAsia"/>
        </w:rPr>
        <w:t>2.鑑定方法要有學理依據</w:t>
      </w:r>
      <w:r w:rsidR="00150505">
        <w:rPr>
          <w:rFonts w:hint="eastAsia"/>
        </w:rPr>
        <w:t>；</w:t>
      </w:r>
      <w:r>
        <w:rPr>
          <w:rFonts w:hint="eastAsia"/>
        </w:rPr>
        <w:t>3.專業領域內之普遍接受性及可信賴性</w:t>
      </w:r>
      <w:r w:rsidR="00150505">
        <w:rPr>
          <w:rFonts w:hint="eastAsia"/>
        </w:rPr>
        <w:t>；</w:t>
      </w:r>
      <w:r>
        <w:rPr>
          <w:rFonts w:hint="eastAsia"/>
        </w:rPr>
        <w:t>4.鑑定方式得重複實施等，始取得證據能力，似乎亦有採用美國Frye</w:t>
      </w:r>
      <w:r w:rsidR="006A289A" w:rsidRPr="00270975">
        <w:rPr>
          <w:rFonts w:hAnsi="標楷體" w:hint="eastAsia"/>
        </w:rPr>
        <w:t>（佛萊）</w:t>
      </w:r>
      <w:r w:rsidRPr="00270975">
        <w:rPr>
          <w:rFonts w:hAnsi="標楷體" w:hint="eastAsia"/>
        </w:rPr>
        <w:t>案</w:t>
      </w:r>
      <w:r>
        <w:rPr>
          <w:rFonts w:hint="eastAsia"/>
        </w:rPr>
        <w:t>之普遍接受原則</w:t>
      </w:r>
      <w:r w:rsidR="00965FA2">
        <w:rPr>
          <w:rStyle w:val="afe"/>
        </w:rPr>
        <w:footnoteReference w:id="31"/>
      </w:r>
      <w:r>
        <w:rPr>
          <w:rFonts w:hint="eastAsia"/>
        </w:rPr>
        <w:t>。</w:t>
      </w:r>
    </w:p>
    <w:p w:rsidR="00CE314E" w:rsidRDefault="00CE314E" w:rsidP="00971335">
      <w:pPr>
        <w:pStyle w:val="6"/>
      </w:pPr>
      <w:r>
        <w:rPr>
          <w:rFonts w:hint="eastAsia"/>
        </w:rPr>
        <w:tab/>
        <w:t>本院諮詢學者對於鑑定意見之特別證據能力要件，有</w:t>
      </w:r>
      <w:proofErr w:type="gramStart"/>
      <w:r>
        <w:rPr>
          <w:rFonts w:hint="eastAsia"/>
        </w:rPr>
        <w:t>採</w:t>
      </w:r>
      <w:proofErr w:type="gramEnd"/>
      <w:r>
        <w:rPr>
          <w:rFonts w:hint="eastAsia"/>
        </w:rPr>
        <w:t>反對見解</w:t>
      </w:r>
      <w:r w:rsidR="00B37965">
        <w:rPr>
          <w:rStyle w:val="afe"/>
        </w:rPr>
        <w:footnoteReference w:id="32"/>
      </w:r>
      <w:r>
        <w:rPr>
          <w:rFonts w:hint="eastAsia"/>
        </w:rPr>
        <w:t>。贊同者有認為考量我國刑事</w:t>
      </w:r>
      <w:proofErr w:type="gramStart"/>
      <w:r>
        <w:rPr>
          <w:rFonts w:hint="eastAsia"/>
        </w:rPr>
        <w:t>鑑</w:t>
      </w:r>
      <w:proofErr w:type="gramEnd"/>
      <w:r>
        <w:rPr>
          <w:rFonts w:hint="eastAsia"/>
        </w:rPr>
        <w:t>識科學正在起步，便於當事人就科學原理或技術之可信性進行攻擊防禦採用</w:t>
      </w:r>
      <w:r>
        <w:rPr>
          <w:rFonts w:hint="eastAsia"/>
        </w:rPr>
        <w:lastRenderedPageBreak/>
        <w:t>道伯基準</w:t>
      </w:r>
      <w:r w:rsidR="0000361D">
        <w:rPr>
          <w:rStyle w:val="afe"/>
        </w:rPr>
        <w:footnoteReference w:id="33"/>
      </w:r>
      <w:r>
        <w:rPr>
          <w:rFonts w:hint="eastAsia"/>
        </w:rPr>
        <w:t>；亦有認為有關鑑定意見或報告之證據能力，在司法實務運作或</w:t>
      </w:r>
      <w:proofErr w:type="gramStart"/>
      <w:r>
        <w:rPr>
          <w:rFonts w:hint="eastAsia"/>
        </w:rPr>
        <w:t>修法精進</w:t>
      </w:r>
      <w:proofErr w:type="gramEnd"/>
      <w:r>
        <w:rPr>
          <w:rFonts w:hint="eastAsia"/>
        </w:rPr>
        <w:t>之道，可效法美國實務作法，亦即，除得以違反證據法則、Daubrert及Kumho等判例所揭示之法則，認定鑑定人之鑑定意見欠缺上開法則所要求的可信性為由，排除該鑑定意見之證據能力</w:t>
      </w:r>
      <w:r w:rsidR="0000361D">
        <w:rPr>
          <w:rStyle w:val="afe"/>
        </w:rPr>
        <w:footnoteReference w:id="34"/>
      </w:r>
      <w:r>
        <w:rPr>
          <w:rFonts w:hint="eastAsia"/>
        </w:rPr>
        <w:t>。</w:t>
      </w:r>
    </w:p>
    <w:p w:rsidR="00CE314E" w:rsidRPr="00377B49" w:rsidRDefault="00CE314E" w:rsidP="00971335">
      <w:pPr>
        <w:pStyle w:val="5"/>
        <w:rPr>
          <w:b/>
        </w:rPr>
      </w:pPr>
      <w:r>
        <w:rPr>
          <w:rFonts w:hint="eastAsia"/>
        </w:rPr>
        <w:tab/>
      </w:r>
      <w:r w:rsidRPr="00377B49">
        <w:rPr>
          <w:rFonts w:hint="eastAsia"/>
          <w:b/>
        </w:rPr>
        <w:t>本院初步研究認為基於改良式當事人進行主義，檢察官負有實質舉證責任，鑑定意見應符合證據能力方得為證據評價，該證據能力要件應基於公平法院原則考量鑑定意見具有科學性，以符合</w:t>
      </w:r>
      <w:proofErr w:type="gramStart"/>
      <w:r w:rsidRPr="00377B49">
        <w:rPr>
          <w:rFonts w:hint="eastAsia"/>
          <w:b/>
        </w:rPr>
        <w:t>前揭所述</w:t>
      </w:r>
      <w:proofErr w:type="gramEnd"/>
      <w:r w:rsidRPr="00377B49">
        <w:rPr>
          <w:rFonts w:hint="eastAsia"/>
          <w:b/>
        </w:rPr>
        <w:t>刑事訴訟目的。</w:t>
      </w:r>
    </w:p>
    <w:p w:rsidR="00CE314E" w:rsidRDefault="00CE314E" w:rsidP="004D1127">
      <w:pPr>
        <w:pStyle w:val="52"/>
        <w:ind w:left="2041" w:firstLine="680"/>
      </w:pPr>
      <w:r>
        <w:rPr>
          <w:rFonts w:hint="eastAsia"/>
        </w:rPr>
        <w:t>鑑定意見之證據能力要件，除需以司法院</w:t>
      </w:r>
      <w:r>
        <w:rPr>
          <w:rFonts w:hint="eastAsia"/>
        </w:rPr>
        <w:lastRenderedPageBreak/>
        <w:t>現今改良式當事人進行主義外，主要應考量鑑定作為證據方法的事物本質為何？與其他證據方法有何不同？又要件設計是否</w:t>
      </w:r>
      <w:proofErr w:type="gramStart"/>
      <w:r>
        <w:rPr>
          <w:rFonts w:hint="eastAsia"/>
        </w:rPr>
        <w:t>能發見真實</w:t>
      </w:r>
      <w:proofErr w:type="gramEnd"/>
      <w:r>
        <w:rPr>
          <w:rFonts w:hint="eastAsia"/>
        </w:rPr>
        <w:t>，並符合公平法院原則，說明如下：</w:t>
      </w:r>
    </w:p>
    <w:p w:rsidR="00CE314E" w:rsidRDefault="00CE314E" w:rsidP="004D1127">
      <w:pPr>
        <w:pStyle w:val="6"/>
      </w:pPr>
      <w:r>
        <w:rPr>
          <w:rFonts w:hint="eastAsia"/>
        </w:rPr>
        <w:tab/>
        <w:t>鑑定作為證據方法之事物本質為何？</w:t>
      </w:r>
    </w:p>
    <w:p w:rsidR="00CE314E" w:rsidRDefault="00CE314E" w:rsidP="004D1127">
      <w:pPr>
        <w:pStyle w:val="62"/>
        <w:ind w:left="2381" w:firstLine="680"/>
      </w:pPr>
      <w:r>
        <w:rPr>
          <w:rFonts w:hint="eastAsia"/>
        </w:rPr>
        <w:t>現行刑事鑑定之證據方法中，所為鑑定程序應符合科學方式，始認具有正當法律程序。</w:t>
      </w:r>
    </w:p>
    <w:p w:rsidR="00CE314E" w:rsidRDefault="00CE314E" w:rsidP="004D1127">
      <w:pPr>
        <w:pStyle w:val="7"/>
      </w:pPr>
      <w:r>
        <w:rPr>
          <w:rFonts w:hint="eastAsia"/>
        </w:rPr>
        <w:tab/>
        <w:t>司法院釋字第582號解釋理由書稱，在正當法律程序下之刑事審判，犯罪事實應依證據認定之，即</w:t>
      </w:r>
      <w:proofErr w:type="gramStart"/>
      <w:r>
        <w:rPr>
          <w:rFonts w:hint="eastAsia"/>
        </w:rPr>
        <w:t>採</w:t>
      </w:r>
      <w:proofErr w:type="gramEnd"/>
      <w:r>
        <w:rPr>
          <w:rFonts w:hint="eastAsia"/>
        </w:rPr>
        <w:t>證據裁判原則。證據裁判原則以嚴格證明法則為核心，亦即認定犯罪事實所憑之證據，須具證據能力，且經合法調查，否則不得作為判斷之依據。所謂證據能力，係指證據得提出於法庭調查，以供作認定犯罪事實之用，所應具備之資格；此項資格必須證據</w:t>
      </w:r>
      <w:proofErr w:type="gramStart"/>
      <w:r>
        <w:rPr>
          <w:rFonts w:hint="eastAsia"/>
        </w:rPr>
        <w:t>與待證事實</w:t>
      </w:r>
      <w:proofErr w:type="gramEnd"/>
      <w:r>
        <w:rPr>
          <w:rFonts w:hint="eastAsia"/>
        </w:rPr>
        <w:t>具有自然關聯性，符合法定程式，且未受法律之禁止或排除，始能具備。如證人須依法具結，其證言始具證據能力等語，所以自然關連性</w:t>
      </w:r>
      <w:r w:rsidR="00FA7665">
        <w:rPr>
          <w:rStyle w:val="afe"/>
        </w:rPr>
        <w:footnoteReference w:id="35"/>
      </w:r>
      <w:r>
        <w:rPr>
          <w:rFonts w:hint="eastAsia"/>
        </w:rPr>
        <w:t>，是鑑定意見證據能力之本質之</w:t>
      </w:r>
      <w:proofErr w:type="gramStart"/>
      <w:r>
        <w:rPr>
          <w:rFonts w:hint="eastAsia"/>
        </w:rPr>
        <w:t>一</w:t>
      </w:r>
      <w:proofErr w:type="gramEnd"/>
      <w:r>
        <w:rPr>
          <w:rFonts w:hint="eastAsia"/>
        </w:rPr>
        <w:t>。</w:t>
      </w:r>
    </w:p>
    <w:p w:rsidR="00CE314E" w:rsidRDefault="00CE314E" w:rsidP="004D1127">
      <w:pPr>
        <w:pStyle w:val="7"/>
      </w:pPr>
      <w:r>
        <w:rPr>
          <w:rFonts w:hint="eastAsia"/>
        </w:rPr>
        <w:tab/>
        <w:t>相較於自白、人證、文書、勘驗等4種證據方法而言，鑑定不同於上開4種證據方法之主觀性。鑑定本質上必須藉由客觀科學方法形成證據型態</w:t>
      </w:r>
      <w:r w:rsidR="006468C8">
        <w:rPr>
          <w:rStyle w:val="afe"/>
        </w:rPr>
        <w:footnoteReference w:id="36"/>
      </w:r>
      <w:r>
        <w:rPr>
          <w:rFonts w:hint="eastAsia"/>
        </w:rPr>
        <w:t>，</w:t>
      </w:r>
      <w:proofErr w:type="gramStart"/>
      <w:r>
        <w:rPr>
          <w:rFonts w:hint="eastAsia"/>
        </w:rPr>
        <w:t>始得稱該</w:t>
      </w:r>
      <w:proofErr w:type="gramEnd"/>
      <w:r>
        <w:rPr>
          <w:rFonts w:hint="eastAsia"/>
        </w:rPr>
        <w:t>鑑定證據</w:t>
      </w:r>
      <w:proofErr w:type="gramStart"/>
      <w:r>
        <w:rPr>
          <w:rFonts w:hint="eastAsia"/>
        </w:rPr>
        <w:lastRenderedPageBreak/>
        <w:t>與待證事實</w:t>
      </w:r>
      <w:proofErr w:type="gramEnd"/>
      <w:r>
        <w:rPr>
          <w:rFonts w:hint="eastAsia"/>
        </w:rPr>
        <w:t>具有自然關聯性，而所為之程序方能符合正當法律程序原則。</w:t>
      </w:r>
    </w:p>
    <w:p w:rsidR="00CE314E" w:rsidRDefault="00CE314E" w:rsidP="004D1127">
      <w:pPr>
        <w:pStyle w:val="72"/>
        <w:ind w:left="2721" w:firstLine="680"/>
      </w:pPr>
      <w:r>
        <w:rPr>
          <w:rFonts w:hint="eastAsia"/>
        </w:rPr>
        <w:t>鑑定因具有科學性必須符合科學必要條件</w:t>
      </w:r>
      <w:r w:rsidR="006468C8">
        <w:rPr>
          <w:rStyle w:val="afe"/>
        </w:rPr>
        <w:footnoteReference w:id="37"/>
      </w:r>
      <w:r>
        <w:rPr>
          <w:rFonts w:hint="eastAsia"/>
        </w:rPr>
        <w:t>。科學包含各種自然、社會等領域，必須透過</w:t>
      </w:r>
      <w:r w:rsidR="00150505">
        <w:rPr>
          <w:rFonts w:hAnsi="標楷體" w:hint="eastAsia"/>
        </w:rPr>
        <w:t>：</w:t>
      </w:r>
      <w:r>
        <w:rPr>
          <w:rFonts w:hint="eastAsia"/>
        </w:rPr>
        <w:t>1.觀察：對自然作理由充分的觀察或研究（包括思想實驗），通常指可通過必要的方法進行的，或能通過科學方法</w:t>
      </w:r>
      <w:r w:rsidR="00150505">
        <w:rPr>
          <w:rFonts w:hint="eastAsia"/>
        </w:rPr>
        <w:t>-</w:t>
      </w:r>
      <w:r>
        <w:rPr>
          <w:rFonts w:hint="eastAsia"/>
        </w:rPr>
        <w:t>一套用以評價經驗知識的程序而進行的；2.假設：通過歸納辯證的過程假定組織體系知識的系統性；3.檢證：驗證研究目標的信度</w:t>
      </w:r>
      <w:r w:rsidR="00150505">
        <w:t>(</w:t>
      </w:r>
      <w:r w:rsidR="00150505" w:rsidRPr="00270975">
        <w:rPr>
          <w:rFonts w:ascii="Times New Roman"/>
        </w:rPr>
        <w:t>Reliability</w:t>
      </w:r>
      <w:r w:rsidR="00150505">
        <w:rPr>
          <w:rFonts w:hint="eastAsia"/>
        </w:rPr>
        <w:t>)</w:t>
      </w:r>
      <w:proofErr w:type="gramStart"/>
      <w:r w:rsidR="00150505">
        <w:rPr>
          <w:rFonts w:hint="eastAsia"/>
        </w:rPr>
        <w:t>與效度</w:t>
      </w:r>
      <w:proofErr w:type="gramEnd"/>
      <w:r w:rsidR="00150505">
        <w:rPr>
          <w:rFonts w:hint="eastAsia"/>
        </w:rPr>
        <w:t>(</w:t>
      </w:r>
      <w:r w:rsidR="00150505" w:rsidRPr="00270975">
        <w:rPr>
          <w:rFonts w:ascii="Times New Roman"/>
        </w:rPr>
        <w:t>Validity</w:t>
      </w:r>
      <w:r w:rsidR="00150505">
        <w:t>)</w:t>
      </w:r>
      <w:r w:rsidR="006468C8">
        <w:rPr>
          <w:rStyle w:val="afe"/>
        </w:rPr>
        <w:footnoteReference w:id="38"/>
      </w:r>
      <w:r>
        <w:rPr>
          <w:rFonts w:hint="eastAsia"/>
        </w:rPr>
        <w:t>。而科學知識指覆蓋一般真理或普遍規律的運作的知識或知識體系，尤其指通過科學方法獲得或驗證過，科學知識必須依賴邏輯推理；而科學實驗是指在合理設定的條件下，驗證或質疑科學假說的活動，科學實驗是可以重複的，不同的實</w:t>
      </w:r>
      <w:r w:rsidR="0049224B">
        <w:rPr>
          <w:rFonts w:hint="eastAsia"/>
        </w:rPr>
        <w:t>驗者在前提一致，操作步驟一致的情況下，必須得到相同的結果。另</w:t>
      </w:r>
      <w:r>
        <w:rPr>
          <w:rFonts w:hint="eastAsia"/>
        </w:rPr>
        <w:t>所謂信度，所指的係測量方法的質量，即對同一現象進行重複觀察之後是否可以得到相同資料的一種反映，</w:t>
      </w:r>
      <w:proofErr w:type="gramStart"/>
      <w:r>
        <w:rPr>
          <w:rFonts w:hint="eastAsia"/>
        </w:rPr>
        <w:t>而效度是</w:t>
      </w:r>
      <w:proofErr w:type="gramEnd"/>
      <w:r>
        <w:rPr>
          <w:rFonts w:hint="eastAsia"/>
        </w:rPr>
        <w:t>指研究方法中關於測量方式能否如實反映所欲測量或衡量標的</w:t>
      </w:r>
      <w:proofErr w:type="gramStart"/>
      <w:r>
        <w:rPr>
          <w:rFonts w:hint="eastAsia"/>
        </w:rPr>
        <w:t>的</w:t>
      </w:r>
      <w:proofErr w:type="gramEnd"/>
      <w:r>
        <w:rPr>
          <w:rFonts w:hint="eastAsia"/>
        </w:rPr>
        <w:t>程度</w:t>
      </w:r>
      <w:r w:rsidR="006468C8">
        <w:rPr>
          <w:rStyle w:val="afe"/>
        </w:rPr>
        <w:footnoteReference w:id="39"/>
      </w:r>
      <w:r>
        <w:rPr>
          <w:rFonts w:hint="eastAsia"/>
        </w:rPr>
        <w:t>。</w:t>
      </w:r>
    </w:p>
    <w:p w:rsidR="00CE314E" w:rsidRDefault="00CE314E" w:rsidP="001205E8">
      <w:pPr>
        <w:pStyle w:val="6"/>
      </w:pPr>
      <w:r>
        <w:rPr>
          <w:rFonts w:hint="eastAsia"/>
        </w:rPr>
        <w:lastRenderedPageBreak/>
        <w:tab/>
        <w:t>初步</w:t>
      </w:r>
      <w:proofErr w:type="gramStart"/>
      <w:r>
        <w:rPr>
          <w:rFonts w:hint="eastAsia"/>
        </w:rPr>
        <w:t>研</w:t>
      </w:r>
      <w:proofErr w:type="gramEnd"/>
      <w:r>
        <w:rPr>
          <w:rFonts w:hint="eastAsia"/>
        </w:rPr>
        <w:t>析我國現行實務判斷鑑定意見證據能力，似可從下列基本原則開展。</w:t>
      </w:r>
    </w:p>
    <w:p w:rsidR="00CE314E" w:rsidRDefault="00CE314E" w:rsidP="00B16D02">
      <w:pPr>
        <w:pStyle w:val="62"/>
        <w:ind w:left="2381" w:firstLine="680"/>
      </w:pPr>
      <w:r>
        <w:rPr>
          <w:rFonts w:hint="eastAsia"/>
        </w:rPr>
        <w:t>按何種資料，可為嚴格的證明，稱此具有可為嚴格的證明資料之能力，為證據能力。證據能力，乃得利用為證據之一般形式的資格，並不許法院自由判斷；而證據之證明力則指其證據於證明某種事實上具有何種實質價值，許由裁判官在不違背經驗法則與論理法則下依其自由心證判斷之，兩者其性質固不相同，然證據有無為證明要證事實之價值，仍以其證據有無證據能力為前提，如其證據並無為證據之能力，仍不生證明力之問題，縱在職權主義之我國舊</w:t>
      </w:r>
      <w:proofErr w:type="gramStart"/>
      <w:r>
        <w:rPr>
          <w:rFonts w:hint="eastAsia"/>
        </w:rPr>
        <w:t>立法例得為</w:t>
      </w:r>
      <w:proofErr w:type="gramEnd"/>
      <w:r>
        <w:rPr>
          <w:rFonts w:hint="eastAsia"/>
        </w:rPr>
        <w:t>證據之資料仍非漫無限制。如違背</w:t>
      </w:r>
      <w:r w:rsidR="00B16D02">
        <w:rPr>
          <w:rFonts w:hAnsi="標楷體" w:hint="eastAsia"/>
        </w:rPr>
        <w:t>：</w:t>
      </w:r>
      <w:r>
        <w:rPr>
          <w:rFonts w:hint="eastAsia"/>
        </w:rPr>
        <w:t>1.直接審理主義</w:t>
      </w:r>
      <w:r w:rsidR="00B16D02">
        <w:rPr>
          <w:rFonts w:hint="eastAsia"/>
        </w:rPr>
        <w:t>；</w:t>
      </w:r>
      <w:r>
        <w:rPr>
          <w:rFonts w:hint="eastAsia"/>
        </w:rPr>
        <w:t>2.任意性法則</w:t>
      </w:r>
      <w:r w:rsidR="00B16D02">
        <w:rPr>
          <w:rFonts w:hint="eastAsia"/>
        </w:rPr>
        <w:t>；</w:t>
      </w:r>
      <w:r>
        <w:rPr>
          <w:rFonts w:hint="eastAsia"/>
        </w:rPr>
        <w:t>3.關連性法則</w:t>
      </w:r>
      <w:r w:rsidR="00B16D02">
        <w:rPr>
          <w:rFonts w:hint="eastAsia"/>
        </w:rPr>
        <w:t>；</w:t>
      </w:r>
      <w:r>
        <w:rPr>
          <w:rFonts w:hint="eastAsia"/>
        </w:rPr>
        <w:t>4.合法性原則</w:t>
      </w:r>
      <w:r w:rsidR="00B16D02">
        <w:rPr>
          <w:rFonts w:hint="eastAsia"/>
        </w:rPr>
        <w:t>；</w:t>
      </w:r>
      <w:r>
        <w:rPr>
          <w:rFonts w:hint="eastAsia"/>
        </w:rPr>
        <w:t>5.信用性原則</w:t>
      </w:r>
      <w:r w:rsidR="00B16D02">
        <w:rPr>
          <w:rFonts w:hint="eastAsia"/>
        </w:rPr>
        <w:t>；</w:t>
      </w:r>
      <w:r>
        <w:rPr>
          <w:rFonts w:hint="eastAsia"/>
        </w:rPr>
        <w:t>6.意見原則，</w:t>
      </w:r>
      <w:proofErr w:type="gramStart"/>
      <w:r>
        <w:rPr>
          <w:rFonts w:hint="eastAsia"/>
        </w:rPr>
        <w:t>均無證據</w:t>
      </w:r>
      <w:proofErr w:type="gramEnd"/>
      <w:r>
        <w:rPr>
          <w:rFonts w:hint="eastAsia"/>
        </w:rPr>
        <w:t>能力</w:t>
      </w:r>
      <w:r w:rsidR="006468C8">
        <w:rPr>
          <w:rStyle w:val="afe"/>
        </w:rPr>
        <w:footnoteReference w:id="40"/>
      </w:r>
      <w:r>
        <w:rPr>
          <w:rFonts w:hint="eastAsia"/>
        </w:rPr>
        <w:t>，不具證據能力之資料自不得判斷基礎，援引為審判之證據。</w:t>
      </w:r>
    </w:p>
    <w:p w:rsidR="00CE314E" w:rsidRDefault="00CE314E" w:rsidP="00B16D02">
      <w:pPr>
        <w:pStyle w:val="62"/>
        <w:ind w:left="2381" w:firstLine="680"/>
      </w:pPr>
      <w:r>
        <w:rPr>
          <w:rFonts w:hint="eastAsia"/>
        </w:rPr>
        <w:t>依據上開鑑定方法之事物本質，並綜合我國法律規定與實務見解，鑑定意見之證據能力審查要件可從下列各點研究：</w:t>
      </w:r>
    </w:p>
    <w:p w:rsidR="00CE314E" w:rsidRDefault="00CE314E" w:rsidP="001A237D">
      <w:pPr>
        <w:pStyle w:val="7"/>
      </w:pPr>
      <w:r>
        <w:rPr>
          <w:rFonts w:hint="eastAsia"/>
        </w:rPr>
        <w:tab/>
        <w:t>鑑定意見</w:t>
      </w:r>
      <w:proofErr w:type="gramStart"/>
      <w:r>
        <w:rPr>
          <w:rFonts w:hint="eastAsia"/>
        </w:rPr>
        <w:t>與待證事實</w:t>
      </w:r>
      <w:proofErr w:type="gramEnd"/>
      <w:r>
        <w:rPr>
          <w:rFonts w:hint="eastAsia"/>
        </w:rPr>
        <w:t>應具有自然關聯性</w:t>
      </w:r>
      <w:r w:rsidR="00B16D02">
        <w:rPr>
          <w:rFonts w:hint="eastAsia"/>
        </w:rPr>
        <w:t>(一般形式要件)</w:t>
      </w:r>
      <w:r w:rsidR="00C63E23">
        <w:rPr>
          <w:rFonts w:ascii="新細明體" w:eastAsia="新細明體" w:hAnsi="新細明體" w:hint="eastAsia"/>
        </w:rPr>
        <w:t>。</w:t>
      </w:r>
    </w:p>
    <w:p w:rsidR="00CE314E" w:rsidRDefault="00CE314E" w:rsidP="001A237D">
      <w:pPr>
        <w:pStyle w:val="7"/>
      </w:pPr>
      <w:r>
        <w:rPr>
          <w:rFonts w:hint="eastAsia"/>
        </w:rPr>
        <w:tab/>
        <w:t>鑑定人或鑑定機關必須具有鑑定事項之特別知識與經驗：鑑定人由審判長、受命法官或檢察官就下列之人選任一人或數人充之：</w:t>
      </w:r>
      <w:r w:rsidR="00F04D57">
        <w:rPr>
          <w:rFonts w:hint="eastAsia"/>
        </w:rPr>
        <w:t>1.</w:t>
      </w:r>
      <w:r>
        <w:rPr>
          <w:rFonts w:hint="eastAsia"/>
        </w:rPr>
        <w:t>就鑑定事項有特別知識經驗</w:t>
      </w:r>
      <w:r>
        <w:rPr>
          <w:rFonts w:hint="eastAsia"/>
        </w:rPr>
        <w:lastRenderedPageBreak/>
        <w:t>者。</w:t>
      </w:r>
      <w:r w:rsidR="00F04D57">
        <w:rPr>
          <w:rFonts w:hint="eastAsia"/>
        </w:rPr>
        <w:t>2.</w:t>
      </w:r>
      <w:r>
        <w:rPr>
          <w:rFonts w:hint="eastAsia"/>
        </w:rPr>
        <w:t>經政府機關委任有鑑定職務者。</w:t>
      </w:r>
      <w:r w:rsidR="00F04D57">
        <w:rPr>
          <w:rFonts w:hint="eastAsia"/>
        </w:rPr>
        <w:t>(刑訴法</w:t>
      </w:r>
      <w:r w:rsidR="00F04D57">
        <w:t>198)</w:t>
      </w:r>
      <w:r w:rsidR="00311BE3" w:rsidRPr="00311BE3">
        <w:rPr>
          <w:rFonts w:hAnsi="標楷體" w:hint="eastAsia"/>
        </w:rPr>
        <w:t>故鑑定人或鑑定機關就鑑定事項若不具有</w:t>
      </w:r>
      <w:r w:rsidRPr="00311BE3">
        <w:rPr>
          <w:rFonts w:hAnsi="標楷體" w:hint="eastAsia"/>
        </w:rPr>
        <w:t>特別知識或經驗者</w:t>
      </w:r>
      <w:r w:rsidR="00311BE3" w:rsidRPr="00311BE3">
        <w:rPr>
          <w:rFonts w:hAnsi="標楷體" w:hint="eastAsia"/>
        </w:rPr>
        <w:t>，自無</w:t>
      </w:r>
      <w:r w:rsidRPr="00311BE3">
        <w:rPr>
          <w:rFonts w:hAnsi="標楷體" w:hint="eastAsia"/>
        </w:rPr>
        <w:t>鑑定人之適格。</w:t>
      </w:r>
      <w:r>
        <w:rPr>
          <w:rFonts w:hint="eastAsia"/>
        </w:rPr>
        <w:t>例如法醫師法第11條規定，法醫師檢驗屍體後，應製作檢驗報告書；解剖屍體後，應製作解剖報告書；鑑定死因後，應製作鑑定報告書。同法第13條又規定執業項目與範圍，此自屬於法醫師之特別知識經驗，就超過此範圍之鑑定自無證據能力。</w:t>
      </w:r>
    </w:p>
    <w:p w:rsidR="00CE314E" w:rsidRDefault="00CE314E" w:rsidP="001A237D">
      <w:pPr>
        <w:pStyle w:val="7"/>
      </w:pPr>
      <w:r>
        <w:rPr>
          <w:rFonts w:hint="eastAsia"/>
        </w:rPr>
        <w:tab/>
        <w:t>鑑定人依法應具結而未具結者，其證言或鑑定意見，無證據能力</w:t>
      </w:r>
      <w:r w:rsidR="00F04D57">
        <w:rPr>
          <w:rFonts w:hint="eastAsia"/>
        </w:rPr>
        <w:t>(刑訴法</w:t>
      </w:r>
      <w:r w:rsidR="00F04D57">
        <w:t>158</w:t>
      </w:r>
      <w:r w:rsidR="00F04D57">
        <w:rPr>
          <w:rFonts w:hint="eastAsia"/>
        </w:rPr>
        <w:t>之</w:t>
      </w:r>
      <w:r w:rsidR="00F04D57">
        <w:t>3)</w:t>
      </w:r>
      <w:r>
        <w:rPr>
          <w:rFonts w:hint="eastAsia"/>
        </w:rPr>
        <w:t>；但受審判長、受命法官或檢察官選任之鑑定人所為之書面鑑定報告，屬傳聞證據排除之例外，無庸具結與為交互詰問而具有證據能力。</w:t>
      </w:r>
      <w:r w:rsidR="00F04D57">
        <w:rPr>
          <w:rFonts w:hint="eastAsia"/>
        </w:rPr>
        <w:t>(刑訴法</w:t>
      </w:r>
      <w:r w:rsidR="00F04D57">
        <w:t>159</w:t>
      </w:r>
      <w:r w:rsidR="00F04D57">
        <w:rPr>
          <w:rFonts w:hint="eastAsia"/>
        </w:rPr>
        <w:t>、</w:t>
      </w:r>
      <w:r w:rsidR="00F04D57">
        <w:t>198</w:t>
      </w:r>
      <w:r w:rsidR="00F04D57">
        <w:rPr>
          <w:rFonts w:hint="eastAsia"/>
        </w:rPr>
        <w:t>、</w:t>
      </w:r>
      <w:r w:rsidR="00F04D57">
        <w:t>206</w:t>
      </w:r>
      <w:r w:rsidR="00F04D57">
        <w:rPr>
          <w:rFonts w:hint="eastAsia"/>
        </w:rPr>
        <w:t>、</w:t>
      </w:r>
      <w:r w:rsidR="00F04D57">
        <w:t>208)</w:t>
      </w:r>
    </w:p>
    <w:p w:rsidR="00CE314E" w:rsidRDefault="00CE314E" w:rsidP="001A237D">
      <w:pPr>
        <w:pStyle w:val="7"/>
      </w:pPr>
      <w:r>
        <w:rPr>
          <w:rFonts w:hint="eastAsia"/>
        </w:rPr>
        <w:tab/>
        <w:t>鑑定經過及其結果，除將鑑定結果</w:t>
      </w:r>
      <w:r w:rsidR="0086764E">
        <w:rPr>
          <w:rFonts w:hint="eastAsia"/>
        </w:rPr>
        <w:t>函復</w:t>
      </w:r>
      <w:r>
        <w:rPr>
          <w:rFonts w:hint="eastAsia"/>
        </w:rPr>
        <w:t>，並應將鑑定經過一併載明於鑑定報告書中，若鑑定報告書僅簡略記載檢查結果而未載明檢查經過，既與法定記載要件不符，不具證據能力。</w:t>
      </w:r>
      <w:r w:rsidR="00F04D57">
        <w:rPr>
          <w:rFonts w:hint="eastAsia"/>
        </w:rPr>
        <w:t>(刑訴法</w:t>
      </w:r>
      <w:r w:rsidR="00F04D57">
        <w:t>206)</w:t>
      </w:r>
    </w:p>
    <w:p w:rsidR="00CE314E" w:rsidRDefault="00CE314E" w:rsidP="001A237D">
      <w:pPr>
        <w:pStyle w:val="7"/>
      </w:pPr>
      <w:r>
        <w:rPr>
          <w:rFonts w:hint="eastAsia"/>
        </w:rPr>
        <w:tab/>
        <w:t>鑑定意見證據能力必須具有科學之必要要件，或暫時可歸納如下審查要件</w:t>
      </w:r>
      <w:r w:rsidR="006468C8">
        <w:rPr>
          <w:rStyle w:val="afe"/>
        </w:rPr>
        <w:footnoteReference w:id="41"/>
      </w:r>
      <w:r w:rsidR="00311BE3">
        <w:rPr>
          <w:rFonts w:ascii="新細明體" w:eastAsia="新細明體" w:hAnsi="新細明體" w:hint="eastAsia"/>
        </w:rPr>
        <w:t>：</w:t>
      </w:r>
    </w:p>
    <w:p w:rsidR="00CE314E" w:rsidRDefault="00CE314E" w:rsidP="001A237D">
      <w:pPr>
        <w:pStyle w:val="8"/>
      </w:pPr>
      <w:r>
        <w:rPr>
          <w:rFonts w:hint="eastAsia"/>
        </w:rPr>
        <w:tab/>
        <w:t>鑑定方法所依據特別知識與經驗，必須是覆蓋一般真理或普遍規律的運作的知識或知識體系，並透過科學方法獲得或驗證。</w:t>
      </w:r>
    </w:p>
    <w:p w:rsidR="00CE314E" w:rsidRDefault="00CE314E" w:rsidP="001A237D">
      <w:pPr>
        <w:pStyle w:val="8"/>
      </w:pPr>
      <w:r>
        <w:rPr>
          <w:rFonts w:hint="eastAsia"/>
        </w:rPr>
        <w:tab/>
        <w:t>鑑定之方法必須得以驗證亦即不同鑑</w:t>
      </w:r>
      <w:r>
        <w:rPr>
          <w:rFonts w:hint="eastAsia"/>
        </w:rPr>
        <w:lastRenderedPageBreak/>
        <w:t>定人在前提一致，操作步驟一致的情況下，必須得到相同的結果。</w:t>
      </w:r>
    </w:p>
    <w:p w:rsidR="00CE314E" w:rsidRDefault="00CE314E" w:rsidP="001A237D">
      <w:pPr>
        <w:pStyle w:val="8"/>
      </w:pPr>
      <w:r>
        <w:rPr>
          <w:rFonts w:hint="eastAsia"/>
        </w:rPr>
        <w:tab/>
        <w:t>所得到結果必須</w:t>
      </w:r>
      <w:proofErr w:type="gramStart"/>
      <w:r>
        <w:rPr>
          <w:rFonts w:hint="eastAsia"/>
        </w:rPr>
        <w:t>與待證事實</w:t>
      </w:r>
      <w:proofErr w:type="gramEnd"/>
      <w:r>
        <w:rPr>
          <w:rFonts w:hint="eastAsia"/>
        </w:rPr>
        <w:t>關連性密切且可信，而該鑑定意見能</w:t>
      </w:r>
      <w:proofErr w:type="gramStart"/>
      <w:r>
        <w:rPr>
          <w:rFonts w:hint="eastAsia"/>
        </w:rPr>
        <w:t>符合待證事實</w:t>
      </w:r>
      <w:proofErr w:type="gramEnd"/>
      <w:r>
        <w:rPr>
          <w:rFonts w:hint="eastAsia"/>
        </w:rPr>
        <w:t>之程度</w:t>
      </w:r>
      <w:r w:rsidR="00BF3679">
        <w:t>(Validity)</w:t>
      </w:r>
      <w:r>
        <w:rPr>
          <w:rFonts w:hint="eastAsia"/>
        </w:rPr>
        <w:t>，鑑定者並應</w:t>
      </w:r>
      <w:proofErr w:type="gramStart"/>
      <w:r>
        <w:rPr>
          <w:rFonts w:hint="eastAsia"/>
        </w:rPr>
        <w:t>就效度</w:t>
      </w:r>
      <w:proofErr w:type="gramEnd"/>
      <w:r>
        <w:rPr>
          <w:rFonts w:hint="eastAsia"/>
        </w:rPr>
        <w:t>差異提出說明。</w:t>
      </w:r>
      <w:r w:rsidR="00BF3679">
        <w:t>(</w:t>
      </w:r>
      <w:r>
        <w:rPr>
          <w:rFonts w:hint="eastAsia"/>
        </w:rPr>
        <w:t>例如在血清實驗中主要可以分類出血型，就血型為何者而言，</w:t>
      </w:r>
      <w:r w:rsidR="00692F57">
        <w:rPr>
          <w:rFonts w:hint="eastAsia"/>
        </w:rPr>
        <w:t>其</w:t>
      </w:r>
      <w:r>
        <w:rPr>
          <w:rFonts w:hint="eastAsia"/>
        </w:rPr>
        <w:t>實驗可信度高，但是對於該血清是否為何人所有，無法特定，因差異極大所以對於法院就是否為犯罪嫌疑人並無幫助</w:t>
      </w:r>
      <w:r w:rsidR="00BF3679">
        <w:t>)</w:t>
      </w:r>
    </w:p>
    <w:p w:rsidR="00CE314E" w:rsidRPr="00377B49" w:rsidRDefault="00CE314E" w:rsidP="001A237D">
      <w:pPr>
        <w:pStyle w:val="4"/>
        <w:rPr>
          <w:b/>
        </w:rPr>
      </w:pPr>
      <w:r w:rsidRPr="00377B49">
        <w:rPr>
          <w:rFonts w:hint="eastAsia"/>
          <w:b/>
        </w:rPr>
        <w:t>是否引進專家證人之制度，在我國學說與實務上意見不一。本院初步研究認為重點不在於引進與否，而在改良式當事人進行主義下，偵查機關選任鑑定人或囑託機關鑑定，是否應與法院選任或囑託加以區別。基於公平法院至少應保障被告對於鑑定意見之對質詰問權，世界各國法制普遍認為至少需經法院訊問始得承認鑑定證據具有證據能力。</w:t>
      </w:r>
      <w:proofErr w:type="gramStart"/>
      <w:r w:rsidRPr="00377B49">
        <w:rPr>
          <w:rFonts w:hint="eastAsia"/>
          <w:b/>
        </w:rPr>
        <w:t>惟</w:t>
      </w:r>
      <w:proofErr w:type="gramEnd"/>
      <w:r w:rsidRPr="00377B49">
        <w:rPr>
          <w:rFonts w:hint="eastAsia"/>
          <w:b/>
        </w:rPr>
        <w:t>我國現行法律規範與實務，於偵查機關選任囑託鑑定人或鑑定機關構成傳聞法則例外，似有違反直接審理原則與傳聞法則，且因未賦予被告選任鑑定人之證據適格，與公平法院原則未盡相符，而有侵害被告訴訟基本權之虞。</w:t>
      </w:r>
    </w:p>
    <w:p w:rsidR="00CE314E" w:rsidRDefault="00CE314E" w:rsidP="001A237D">
      <w:pPr>
        <w:pStyle w:val="42"/>
        <w:ind w:left="1701" w:firstLine="680"/>
      </w:pPr>
      <w:r>
        <w:rPr>
          <w:rFonts w:hint="eastAsia"/>
        </w:rPr>
        <w:t>美國法將證人分為一般</w:t>
      </w:r>
      <w:r w:rsidR="00692F57">
        <w:rPr>
          <w:rFonts w:hint="eastAsia"/>
        </w:rPr>
        <w:t>證人</w:t>
      </w:r>
      <w:r>
        <w:rPr>
          <w:rFonts w:hint="eastAsia"/>
        </w:rPr>
        <w:t>與專家證人，係由當事人負擔舉證責任，我國承襲大陸法系之鑑定制度，鑑定人由檢察官或法院選任雖有所不同，但實質效力卻無差別。在92年9月1日我國刑事訴訟法修正公布後，改</w:t>
      </w:r>
      <w:proofErr w:type="gramStart"/>
      <w:r>
        <w:rPr>
          <w:rFonts w:hint="eastAsia"/>
        </w:rPr>
        <w:t>採</w:t>
      </w:r>
      <w:proofErr w:type="gramEnd"/>
      <w:r>
        <w:rPr>
          <w:rFonts w:hint="eastAsia"/>
        </w:rPr>
        <w:t>改良式當事人進行主義，並引用英美法之交互詰問制度，在我國目前司法實務或學說上，就專家證人與鑑定人有無區</w:t>
      </w:r>
      <w:r>
        <w:rPr>
          <w:rFonts w:hint="eastAsia"/>
        </w:rPr>
        <w:lastRenderedPageBreak/>
        <w:t>分必要？其本質是否相同，有無差異之處？制度應如何設計？是否應相互融合，或建立新的證據方法？其論述如下：</w:t>
      </w:r>
    </w:p>
    <w:p w:rsidR="00CE314E" w:rsidRPr="00377B49" w:rsidRDefault="00CE314E" w:rsidP="001A237D">
      <w:pPr>
        <w:pStyle w:val="5"/>
        <w:rPr>
          <w:b/>
        </w:rPr>
      </w:pPr>
      <w:r>
        <w:rPr>
          <w:rFonts w:hint="eastAsia"/>
        </w:rPr>
        <w:tab/>
      </w:r>
      <w:r w:rsidRPr="00377B49">
        <w:rPr>
          <w:rFonts w:hint="eastAsia"/>
          <w:b/>
        </w:rPr>
        <w:t>最高法院實務見解</w:t>
      </w:r>
      <w:r w:rsidR="00692F57">
        <w:rPr>
          <w:rFonts w:ascii="新細明體" w:eastAsia="新細明體" w:hAnsi="新細明體" w:hint="eastAsia"/>
          <w:b/>
        </w:rPr>
        <w:t>：</w:t>
      </w:r>
    </w:p>
    <w:p w:rsidR="00CE314E" w:rsidRDefault="00CE314E" w:rsidP="001A237D">
      <w:pPr>
        <w:pStyle w:val="6"/>
      </w:pPr>
      <w:r>
        <w:rPr>
          <w:rFonts w:hint="eastAsia"/>
        </w:rPr>
        <w:tab/>
        <w:t>我國司法實務上，雖有認定鑑定人與專家證人之本質相同之例，並引用</w:t>
      </w:r>
      <w:r w:rsidR="00692F57">
        <w:rPr>
          <w:rFonts w:ascii="新細明體" w:eastAsia="新細明體" w:hAnsi="新細明體" w:hint="eastAsia"/>
        </w:rPr>
        <w:t>「</w:t>
      </w:r>
      <w:r>
        <w:rPr>
          <w:rFonts w:hint="eastAsia"/>
        </w:rPr>
        <w:t>普遍接受原則</w:t>
      </w:r>
      <w:r w:rsidR="00692F57">
        <w:rPr>
          <w:rFonts w:ascii="新細明體" w:eastAsia="新細明體" w:hAnsi="新細明體" w:hint="eastAsia"/>
        </w:rPr>
        <w:t>」</w:t>
      </w:r>
      <w:r>
        <w:rPr>
          <w:rFonts w:hint="eastAsia"/>
        </w:rPr>
        <w:t>作為審查，如最高法院97年度台上字第5153號</w:t>
      </w:r>
      <w:r w:rsidR="00692F57">
        <w:rPr>
          <w:rFonts w:hint="eastAsia"/>
        </w:rPr>
        <w:t>刑事</w:t>
      </w:r>
      <w:r>
        <w:rPr>
          <w:rFonts w:hint="eastAsia"/>
        </w:rPr>
        <w:t>判決</w:t>
      </w:r>
      <w:r w:rsidR="00692F57">
        <w:rPr>
          <w:rFonts w:hint="eastAsia"/>
        </w:rPr>
        <w:t>意旨</w:t>
      </w:r>
      <w:r>
        <w:rPr>
          <w:rFonts w:hint="eastAsia"/>
        </w:rPr>
        <w:t>：「刑事訴訟法所規定之鑑定人與英美法之專家證人，本質上並無不同，</w:t>
      </w:r>
      <w:proofErr w:type="gramStart"/>
      <w:r>
        <w:rPr>
          <w:rFonts w:hint="eastAsia"/>
        </w:rPr>
        <w:t>係憑其</w:t>
      </w:r>
      <w:proofErr w:type="gramEnd"/>
      <w:r>
        <w:rPr>
          <w:rFonts w:hint="eastAsia"/>
        </w:rPr>
        <w:t>在某種專業領域上知識、技術、經驗、訓練或教育之專長，</w:t>
      </w:r>
      <w:proofErr w:type="gramStart"/>
      <w:r>
        <w:rPr>
          <w:rFonts w:hint="eastAsia"/>
        </w:rPr>
        <w:t>就待證事實</w:t>
      </w:r>
      <w:proofErr w:type="gramEnd"/>
      <w:r>
        <w:rPr>
          <w:rFonts w:hint="eastAsia"/>
        </w:rPr>
        <w:t>提供專業上意見，使有助於法院或檢察官對於事實之判斷。是證據本身與一般證人憑其個人</w:t>
      </w:r>
      <w:proofErr w:type="gramStart"/>
      <w:r>
        <w:rPr>
          <w:rFonts w:hint="eastAsia"/>
        </w:rPr>
        <w:t>對於待證事實</w:t>
      </w:r>
      <w:proofErr w:type="gramEnd"/>
      <w:r>
        <w:rPr>
          <w:rFonts w:hint="eastAsia"/>
        </w:rPr>
        <w:t>感官知覺經歷所為之陳述，截然不同。」</w:t>
      </w:r>
      <w:r w:rsidR="00692F57">
        <w:rPr>
          <w:rFonts w:hint="eastAsia"/>
        </w:rPr>
        <w:t>及</w:t>
      </w:r>
      <w:r>
        <w:rPr>
          <w:rFonts w:hint="eastAsia"/>
        </w:rPr>
        <w:t>「至於鑑定人對於專業領域上判斷之意見證據固非不得彈劾其憑信性，然此意見證據之形成，</w:t>
      </w:r>
      <w:proofErr w:type="gramStart"/>
      <w:r>
        <w:rPr>
          <w:rFonts w:hint="eastAsia"/>
        </w:rPr>
        <w:t>恆係基於</w:t>
      </w:r>
      <w:proofErr w:type="gramEnd"/>
      <w:r>
        <w:rPr>
          <w:rFonts w:hint="eastAsia"/>
        </w:rPr>
        <w:t>某種專業領域上之科學理論，經某種過程之試驗、操作或推論，是故，若非其所依據之基礎理論欠缺該專業領域上普遍接受性或其試驗、操作或推論過程有瑕疵，實不足以彈劾鑑定結果之憑信性。」</w:t>
      </w:r>
    </w:p>
    <w:p w:rsidR="00CE314E" w:rsidRDefault="00CE314E" w:rsidP="001A237D">
      <w:pPr>
        <w:pStyle w:val="6"/>
      </w:pPr>
      <w:r>
        <w:rPr>
          <w:rFonts w:hint="eastAsia"/>
        </w:rPr>
        <w:tab/>
        <w:t>然99年度台上字第4467號刑事判決意旨：「鑑定之證據方法乃藉助於專家在專業領域上之意見，裨益於法院對事實之認定，其性質固與英美法之專家證人相同。</w:t>
      </w:r>
      <w:proofErr w:type="gramStart"/>
      <w:r>
        <w:rPr>
          <w:rFonts w:hint="eastAsia"/>
        </w:rPr>
        <w:t>惟</w:t>
      </w:r>
      <w:proofErr w:type="gramEnd"/>
      <w:r>
        <w:rPr>
          <w:rFonts w:hint="eastAsia"/>
        </w:rPr>
        <w:t>刑事訴訟法關於鑑定制度仍保留原大陸法系體制，未</w:t>
      </w:r>
      <w:proofErr w:type="gramStart"/>
      <w:r>
        <w:rPr>
          <w:rFonts w:hint="eastAsia"/>
        </w:rPr>
        <w:t>採</w:t>
      </w:r>
      <w:proofErr w:type="gramEnd"/>
      <w:r>
        <w:rPr>
          <w:rFonts w:hint="eastAsia"/>
        </w:rPr>
        <w:t>絕對直接言詞審理主義，其第206條第1項係規定：『鑑定之經過及其結果，</w:t>
      </w:r>
      <w:proofErr w:type="gramStart"/>
      <w:r>
        <w:rPr>
          <w:rFonts w:hint="eastAsia"/>
        </w:rPr>
        <w:t>應命鑑定人</w:t>
      </w:r>
      <w:proofErr w:type="gramEnd"/>
      <w:r>
        <w:rPr>
          <w:rFonts w:hint="eastAsia"/>
        </w:rPr>
        <w:t>以言詞或書面報告。』換言之，如提出書面</w:t>
      </w:r>
      <w:r>
        <w:rPr>
          <w:rFonts w:hint="eastAsia"/>
        </w:rPr>
        <w:lastRenderedPageBreak/>
        <w:t>報告鑑定之經過及其結果，不能謂無證據能力。而同條第3項規定：『以書面報告者，於必要時得使其以言詞說明。』必也，於有必要時，</w:t>
      </w:r>
      <w:proofErr w:type="gramStart"/>
      <w:r>
        <w:rPr>
          <w:rFonts w:hint="eastAsia"/>
        </w:rPr>
        <w:t>法院始命其</w:t>
      </w:r>
      <w:proofErr w:type="gramEnd"/>
      <w:r>
        <w:rPr>
          <w:rFonts w:hint="eastAsia"/>
        </w:rPr>
        <w:t>到庭以言詞說明。原判決</w:t>
      </w:r>
      <w:proofErr w:type="gramStart"/>
      <w:r>
        <w:rPr>
          <w:rFonts w:hint="eastAsia"/>
        </w:rPr>
        <w:t>逕採</w:t>
      </w:r>
      <w:proofErr w:type="gramEnd"/>
      <w:r>
        <w:rPr>
          <w:rFonts w:hint="eastAsia"/>
        </w:rPr>
        <w:t>鑑定人之書面報告為判斷依據，於法並無違誤」，故雖稱鑑定人與專家證人制度本質並無不同，然而仍認二者之規定存有差異，尤其在是否要求鑑定人到庭接受詰問部分。甚且</w:t>
      </w:r>
      <w:proofErr w:type="gramStart"/>
      <w:r>
        <w:rPr>
          <w:rFonts w:hint="eastAsia"/>
        </w:rPr>
        <w:t>採</w:t>
      </w:r>
      <w:proofErr w:type="gramEnd"/>
      <w:r>
        <w:rPr>
          <w:rFonts w:hint="eastAsia"/>
        </w:rPr>
        <w:t>否定專家證人制度如最高法院98年度台上字第949號刑事判決意旨：「我國現行刑事訴訟法</w:t>
      </w:r>
      <w:proofErr w:type="gramStart"/>
      <w:r>
        <w:rPr>
          <w:rFonts w:hint="eastAsia"/>
        </w:rPr>
        <w:t>採</w:t>
      </w:r>
      <w:proofErr w:type="gramEnd"/>
      <w:r>
        <w:rPr>
          <w:rFonts w:hint="eastAsia"/>
        </w:rPr>
        <w:t>行之鑑定制度，與英美法之專家證人</w:t>
      </w:r>
      <w:r w:rsidR="00BF3679">
        <w:t>(expert witness)</w:t>
      </w:r>
      <w:proofErr w:type="gramStart"/>
      <w:r>
        <w:rPr>
          <w:rFonts w:hint="eastAsia"/>
        </w:rPr>
        <w:t>固同係</w:t>
      </w:r>
      <w:proofErr w:type="gramEnd"/>
      <w:r>
        <w:rPr>
          <w:rFonts w:hint="eastAsia"/>
        </w:rPr>
        <w:t>借重某專業領域上之意見，使有助於事實審判者</w:t>
      </w:r>
      <w:proofErr w:type="gramStart"/>
      <w:r>
        <w:rPr>
          <w:rFonts w:hint="eastAsia"/>
        </w:rPr>
        <w:t>就待證事實</w:t>
      </w:r>
      <w:proofErr w:type="gramEnd"/>
      <w:r>
        <w:rPr>
          <w:rFonts w:hint="eastAsia"/>
        </w:rPr>
        <w:t>作成判斷，然兩者訴訟體制不盡相同，證據能力有無之認定，尚有差異。英美法制之專家證人，由當事人舉證，專家證人必須到庭，且在庭陳述意見之前，首須通過法官為適格與否之審查，必通過適格審查，其專業意見之陳述始具證據能力。而我國現行刑事訴訟法第198條定有授權選任鑑定人之明文，</w:t>
      </w:r>
      <w:proofErr w:type="gramStart"/>
      <w:r>
        <w:rPr>
          <w:rFonts w:hint="eastAsia"/>
        </w:rPr>
        <w:t>凡由法官</w:t>
      </w:r>
      <w:proofErr w:type="gramEnd"/>
      <w:r>
        <w:rPr>
          <w:rFonts w:hint="eastAsia"/>
        </w:rPr>
        <w:t>或檢察官選任之鑑定人或鑑定機關，</w:t>
      </w:r>
      <w:proofErr w:type="gramStart"/>
      <w:r>
        <w:rPr>
          <w:rFonts w:hint="eastAsia"/>
        </w:rPr>
        <w:t>即適格</w:t>
      </w:r>
      <w:proofErr w:type="gramEnd"/>
      <w:r>
        <w:rPr>
          <w:rFonts w:hint="eastAsia"/>
        </w:rPr>
        <w:t>充當鑑定人，且第206條並容許鑑定人</w:t>
      </w:r>
      <w:r w:rsidR="00BF3679">
        <w:rPr>
          <w:rFonts w:hint="eastAsia"/>
        </w:rPr>
        <w:t>(機關)</w:t>
      </w:r>
      <w:r>
        <w:rPr>
          <w:rFonts w:hint="eastAsia"/>
        </w:rPr>
        <w:t>以書面報告鑑定經過及結果，僅於斟酌證據證明力之必要，</w:t>
      </w:r>
      <w:proofErr w:type="gramStart"/>
      <w:r>
        <w:rPr>
          <w:rFonts w:hint="eastAsia"/>
        </w:rPr>
        <w:t>始須到</w:t>
      </w:r>
      <w:proofErr w:type="gramEnd"/>
      <w:r>
        <w:rPr>
          <w:rFonts w:hint="eastAsia"/>
        </w:rPr>
        <w:t>庭說明，與專家證人法制，迥然不同，自不能因鑑定人未到庭陳述或鑑定機關未派人到庭陳述，或鑑定經過及結果以書面報告，</w:t>
      </w:r>
      <w:proofErr w:type="gramStart"/>
      <w:r>
        <w:rPr>
          <w:rFonts w:hint="eastAsia"/>
        </w:rPr>
        <w:t>即認屬</w:t>
      </w:r>
      <w:proofErr w:type="gramEnd"/>
      <w:r>
        <w:rPr>
          <w:rFonts w:hint="eastAsia"/>
        </w:rPr>
        <w:t>傳聞證據。」則根本上認為二者訴訟體制不同，同此尚有最高法院97年度台上字第4697號、97年度台上字第6755號、99年度台上字第</w:t>
      </w:r>
      <w:r>
        <w:rPr>
          <w:rFonts w:hint="eastAsia"/>
        </w:rPr>
        <w:lastRenderedPageBreak/>
        <w:t>4467號、</w:t>
      </w:r>
      <w:proofErr w:type="gramStart"/>
      <w:r>
        <w:rPr>
          <w:rFonts w:hint="eastAsia"/>
        </w:rPr>
        <w:t>102</w:t>
      </w:r>
      <w:proofErr w:type="gramEnd"/>
      <w:r>
        <w:rPr>
          <w:rFonts w:hint="eastAsia"/>
        </w:rPr>
        <w:t>年度台上字第5010號等刑事判決</w:t>
      </w:r>
      <w:r w:rsidR="004C678B">
        <w:rPr>
          <w:rStyle w:val="afe"/>
        </w:rPr>
        <w:footnoteReference w:id="42"/>
      </w:r>
      <w:r>
        <w:rPr>
          <w:rFonts w:hint="eastAsia"/>
        </w:rPr>
        <w:t>，</w:t>
      </w:r>
      <w:proofErr w:type="gramStart"/>
      <w:r>
        <w:rPr>
          <w:rFonts w:hint="eastAsia"/>
        </w:rPr>
        <w:t>故似以否定說占多數</w:t>
      </w:r>
      <w:proofErr w:type="gramEnd"/>
      <w:r>
        <w:rPr>
          <w:rFonts w:hint="eastAsia"/>
        </w:rPr>
        <w:t>。</w:t>
      </w:r>
    </w:p>
    <w:p w:rsidR="00CE314E" w:rsidRPr="00377B49" w:rsidRDefault="00CE314E" w:rsidP="001A237D">
      <w:pPr>
        <w:pStyle w:val="5"/>
        <w:rPr>
          <w:b/>
        </w:rPr>
      </w:pPr>
      <w:r>
        <w:rPr>
          <w:rFonts w:hint="eastAsia"/>
        </w:rPr>
        <w:tab/>
      </w:r>
      <w:r w:rsidRPr="00377B49">
        <w:rPr>
          <w:rFonts w:hint="eastAsia"/>
          <w:b/>
        </w:rPr>
        <w:t>諮詢學者專家之意見：</w:t>
      </w:r>
    </w:p>
    <w:p w:rsidR="00CE314E" w:rsidRDefault="00CE314E" w:rsidP="00953996">
      <w:pPr>
        <w:pStyle w:val="6"/>
      </w:pPr>
      <w:r>
        <w:rPr>
          <w:rFonts w:hint="eastAsia"/>
        </w:rPr>
        <w:tab/>
        <w:t>陳運財教授：</w:t>
      </w:r>
    </w:p>
    <w:p w:rsidR="00CE314E" w:rsidRDefault="00CE314E" w:rsidP="00953996">
      <w:pPr>
        <w:pStyle w:val="62"/>
        <w:ind w:left="2381" w:firstLine="680"/>
      </w:pPr>
      <w:r>
        <w:rPr>
          <w:rFonts w:hint="eastAsia"/>
        </w:rPr>
        <w:t>不論名稱上是維持使用鑑定人或改稱為專家證人，思考修法方向及具體改善措施時，不宜拘泥於鑑定人或專家證人的形式意義，而應從制度的內容本身，包括除了由法院職</w:t>
      </w:r>
      <w:r>
        <w:rPr>
          <w:rFonts w:hint="eastAsia"/>
        </w:rPr>
        <w:lastRenderedPageBreak/>
        <w:t>權選任外，是否賦予當事人</w:t>
      </w:r>
      <w:proofErr w:type="gramStart"/>
      <w:r>
        <w:rPr>
          <w:rFonts w:hint="eastAsia"/>
        </w:rPr>
        <w:t>有聲請權</w:t>
      </w:r>
      <w:proofErr w:type="gramEnd"/>
      <w:r>
        <w:rPr>
          <w:rFonts w:hint="eastAsia"/>
        </w:rPr>
        <w:t>？審判期日前，偵查機關、嫌疑人或被告能否自行委任專家實施鑑定？選任程序應如何設計，以及鑑定人或專家在審判外所製作之鑑定報告書的證據能力如何處理等？進行檢討，以確能改善我國實務的問題狀況，為首要考量。</w:t>
      </w:r>
    </w:p>
    <w:p w:rsidR="00CE314E" w:rsidRDefault="00CE314E" w:rsidP="00953996">
      <w:pPr>
        <w:pStyle w:val="62"/>
        <w:ind w:left="2381" w:firstLine="680"/>
      </w:pPr>
      <w:r>
        <w:rPr>
          <w:rFonts w:hint="eastAsia"/>
        </w:rPr>
        <w:t>偵查中除明文規定司法警察機關因調查犯罪之必要，得囑託具有學識經驗者實施鑑定外，亦應賦予嫌疑人或被告得委任專家實施鑑定，以為訴訟上防禦之準備，並有助於檢察官決定偵查終結處分之參考。案件如經起訴，被告於審判中得向法院聲請傳喚其所委任實施鑑定之人到庭陳述。另一方面，為公平保障被告接觸鑑定證據之權利，</w:t>
      </w:r>
      <w:proofErr w:type="gramStart"/>
      <w:r>
        <w:rPr>
          <w:rFonts w:hint="eastAsia"/>
        </w:rPr>
        <w:t>關於待證事實</w:t>
      </w:r>
      <w:proofErr w:type="gramEnd"/>
      <w:r>
        <w:rPr>
          <w:rFonts w:hint="eastAsia"/>
        </w:rPr>
        <w:t>有鑑定之必要，檢察官未選任專家實施鑑定、或認檢察官選任之專家有適格上之疑義、或關於鑑定之經過或結果有爭執者，無資力自行委任專家之被告，得於第一次審判期日前</w:t>
      </w:r>
      <w:r w:rsidR="00BF3679">
        <w:rPr>
          <w:rFonts w:hint="eastAsia"/>
        </w:rPr>
        <w:t>(含偵查中)</w:t>
      </w:r>
      <w:r>
        <w:rPr>
          <w:rFonts w:hint="eastAsia"/>
        </w:rPr>
        <w:t>，聲請法院選任鑑定人實施鑑定。同理，於審判中，當事人亦得自行委任專家實施鑑定。法院亦得依當事人之聲請或依職權選任鑑定人，法院依職權選任鑑定人時，應徵詢當事人之意見。</w:t>
      </w:r>
    </w:p>
    <w:p w:rsidR="00CE314E" w:rsidRDefault="00CE314E" w:rsidP="00953996">
      <w:pPr>
        <w:pStyle w:val="62"/>
        <w:ind w:left="2381" w:firstLine="680"/>
      </w:pPr>
      <w:r>
        <w:rPr>
          <w:rFonts w:hint="eastAsia"/>
        </w:rPr>
        <w:t>為解決偵查機關所屬</w:t>
      </w:r>
      <w:proofErr w:type="gramStart"/>
      <w:r>
        <w:rPr>
          <w:rFonts w:hint="eastAsia"/>
        </w:rPr>
        <w:t>鑑</w:t>
      </w:r>
      <w:proofErr w:type="gramEnd"/>
      <w:r>
        <w:rPr>
          <w:rFonts w:hint="eastAsia"/>
        </w:rPr>
        <w:t>識人員或被告自行委任實施鑑定之專家在法庭上身分定位的爭議，形式上有可考慮增訂條文規定，於審判中，當事人聲請或法院依職權傳喚上述人員</w:t>
      </w:r>
      <w:proofErr w:type="gramStart"/>
      <w:r>
        <w:rPr>
          <w:rFonts w:hint="eastAsia"/>
        </w:rPr>
        <w:t>到庭就其</w:t>
      </w:r>
      <w:proofErr w:type="gramEnd"/>
      <w:r>
        <w:rPr>
          <w:rFonts w:hint="eastAsia"/>
        </w:rPr>
        <w:t>特別知識經驗所為之判斷為調查時，依鑑定人之調查方式行之，以為根據。</w:t>
      </w:r>
    </w:p>
    <w:p w:rsidR="00CE314E" w:rsidRDefault="00CE314E" w:rsidP="00953996">
      <w:pPr>
        <w:pStyle w:val="6"/>
      </w:pPr>
      <w:r>
        <w:rPr>
          <w:rFonts w:hint="eastAsia"/>
        </w:rPr>
        <w:tab/>
        <w:t>林裕順教授</w:t>
      </w:r>
      <w:r w:rsidR="008170F3">
        <w:rPr>
          <w:rFonts w:ascii="新細明體" w:eastAsia="新細明體" w:hAnsi="新細明體" w:hint="eastAsia"/>
        </w:rPr>
        <w:t>：</w:t>
      </w:r>
    </w:p>
    <w:p w:rsidR="00CE314E" w:rsidRDefault="00CE314E" w:rsidP="00953996">
      <w:pPr>
        <w:pStyle w:val="62"/>
        <w:ind w:left="2381" w:firstLine="680"/>
      </w:pPr>
      <w:r>
        <w:rPr>
          <w:rFonts w:hint="eastAsia"/>
        </w:rPr>
        <w:lastRenderedPageBreak/>
        <w:t>英美法制之專家證人，由當事人舉證，專家證人必須到庭，且在庭陳述意見之前，首須通過法官為適格與否之審查，必通過適格審查，其專業意見之陳述始具證據能力。亦即，「專家證人」有別於我國「鑑定人」現制，主要在於「鑑定適格」、「鑑定內容」決定評價，原則上由「當事人」或「法官」主導而有所不同。蓋我國現行刑事訴訟法第198條規定有授權選任鑑定人之明文，</w:t>
      </w:r>
      <w:proofErr w:type="gramStart"/>
      <w:r>
        <w:rPr>
          <w:rFonts w:hint="eastAsia"/>
        </w:rPr>
        <w:t>凡由法官</w:t>
      </w:r>
      <w:proofErr w:type="gramEnd"/>
      <w:r>
        <w:rPr>
          <w:rFonts w:hint="eastAsia"/>
        </w:rPr>
        <w:t>或檢察官選任之鑑定人或鑑定機關，</w:t>
      </w:r>
      <w:proofErr w:type="gramStart"/>
      <w:r>
        <w:rPr>
          <w:rFonts w:hint="eastAsia"/>
        </w:rPr>
        <w:t>即適格</w:t>
      </w:r>
      <w:proofErr w:type="gramEnd"/>
      <w:r>
        <w:rPr>
          <w:rFonts w:hint="eastAsia"/>
        </w:rPr>
        <w:t>充當鑑定人，且第206條並容許鑑定人</w:t>
      </w:r>
      <w:r w:rsidR="00BF3679">
        <w:rPr>
          <w:rFonts w:hint="eastAsia"/>
        </w:rPr>
        <w:t>(機關)</w:t>
      </w:r>
      <w:r>
        <w:rPr>
          <w:rFonts w:hint="eastAsia"/>
        </w:rPr>
        <w:t>以書面報告鑑定經過及結果，僅於斟酌證據證明力之</w:t>
      </w:r>
      <w:proofErr w:type="gramStart"/>
      <w:r>
        <w:rPr>
          <w:rFonts w:hint="eastAsia"/>
        </w:rPr>
        <w:t>必要始須到</w:t>
      </w:r>
      <w:proofErr w:type="gramEnd"/>
      <w:r>
        <w:rPr>
          <w:rFonts w:hint="eastAsia"/>
        </w:rPr>
        <w:t>庭說明，似與專家證人法制或有不同。</w:t>
      </w:r>
    </w:p>
    <w:p w:rsidR="00CE314E" w:rsidRDefault="00CE314E" w:rsidP="00953996">
      <w:pPr>
        <w:pStyle w:val="62"/>
        <w:ind w:left="2381" w:firstLine="680"/>
      </w:pPr>
      <w:r>
        <w:rPr>
          <w:rFonts w:hint="eastAsia"/>
        </w:rPr>
        <w:t>我國刑事訴訟法修法變革，為貫徹無罪推定原則，要求檢察官應就被告犯罪事實，負實質的舉證責任</w:t>
      </w:r>
      <w:r w:rsidR="00BF3679">
        <w:rPr>
          <w:rFonts w:hint="eastAsia"/>
        </w:rPr>
        <w:t>(刑事訴訟法第</w:t>
      </w:r>
      <w:r w:rsidR="00BF3679">
        <w:t>161</w:t>
      </w:r>
      <w:r w:rsidR="00BF3679">
        <w:rPr>
          <w:rFonts w:hint="eastAsia"/>
        </w:rPr>
        <w:t>條)</w:t>
      </w:r>
      <w:r>
        <w:rPr>
          <w:rFonts w:hint="eastAsia"/>
        </w:rPr>
        <w:t>。同時，隨著當事人主義訴訟理念之</w:t>
      </w:r>
      <w:proofErr w:type="gramStart"/>
      <w:r>
        <w:rPr>
          <w:rFonts w:hint="eastAsia"/>
        </w:rPr>
        <w:t>採擇</w:t>
      </w:r>
      <w:proofErr w:type="gramEnd"/>
      <w:r>
        <w:rPr>
          <w:rFonts w:hint="eastAsia"/>
        </w:rPr>
        <w:t>，法院原則上不宜積極介入「追查」犯罪事實，僅能就檢察官訴狀所提犯罪事實，依據「證據裁判主義」</w:t>
      </w:r>
      <w:r w:rsidR="00BF3679">
        <w:rPr>
          <w:rFonts w:hint="eastAsia"/>
        </w:rPr>
        <w:t>(刑事訴訟法第</w:t>
      </w:r>
      <w:r w:rsidR="00BF3679">
        <w:t>154</w:t>
      </w:r>
      <w:r w:rsidR="00BF3679">
        <w:rPr>
          <w:rFonts w:hint="eastAsia"/>
        </w:rPr>
        <w:t>條第</w:t>
      </w:r>
      <w:r w:rsidR="00BF3679">
        <w:t>2</w:t>
      </w:r>
      <w:r w:rsidR="00BF3679">
        <w:rPr>
          <w:rFonts w:hint="eastAsia"/>
        </w:rPr>
        <w:t>項)</w:t>
      </w:r>
      <w:r>
        <w:rPr>
          <w:rFonts w:hint="eastAsia"/>
        </w:rPr>
        <w:t>於法庭就雙方當事人證據提出、攻防，確認判斷相關</w:t>
      </w:r>
      <w:proofErr w:type="gramStart"/>
      <w:r>
        <w:rPr>
          <w:rFonts w:hint="eastAsia"/>
        </w:rPr>
        <w:t>事實存否</w:t>
      </w:r>
      <w:proofErr w:type="gramEnd"/>
      <w:r>
        <w:rPr>
          <w:rFonts w:hint="eastAsia"/>
        </w:rPr>
        <w:t>。因此，我國落實</w:t>
      </w:r>
      <w:r w:rsidR="008170F3">
        <w:rPr>
          <w:rFonts w:hint="eastAsia"/>
        </w:rPr>
        <w:t>司法院</w:t>
      </w:r>
      <w:r>
        <w:rPr>
          <w:rFonts w:hint="eastAsia"/>
        </w:rPr>
        <w:t>釋字第582號解釋交互詰問制度運作，詰問對象應</w:t>
      </w:r>
      <w:proofErr w:type="gramStart"/>
      <w:r>
        <w:rPr>
          <w:rFonts w:hint="eastAsia"/>
        </w:rPr>
        <w:t>不</w:t>
      </w:r>
      <w:proofErr w:type="gramEnd"/>
      <w:r>
        <w:rPr>
          <w:rFonts w:hint="eastAsia"/>
        </w:rPr>
        <w:t>侷限供述「親身體驗」之一般證人，並應及於依據個人「學識經驗」提出說明之鑑定人 。我國現行鑑定人與專家證人之功能定位或可認為相互交錯、重疊。</w:t>
      </w:r>
    </w:p>
    <w:p w:rsidR="00CE314E" w:rsidRDefault="00CE314E" w:rsidP="003B2E03">
      <w:pPr>
        <w:pStyle w:val="6"/>
      </w:pPr>
      <w:r>
        <w:rPr>
          <w:rFonts w:hint="eastAsia"/>
        </w:rPr>
        <w:tab/>
        <w:t>何賴傑教授：</w:t>
      </w:r>
    </w:p>
    <w:p w:rsidR="00CE314E" w:rsidRDefault="00CE314E" w:rsidP="003B2E03">
      <w:pPr>
        <w:pStyle w:val="62"/>
        <w:ind w:left="2381" w:firstLine="680"/>
      </w:pPr>
      <w:r>
        <w:rPr>
          <w:rFonts w:hint="eastAsia"/>
        </w:rPr>
        <w:t>美國法制的專家證人制度，雖與德國法</w:t>
      </w:r>
      <w:r>
        <w:rPr>
          <w:rFonts w:hint="eastAsia"/>
        </w:rPr>
        <w:lastRenderedPageBreak/>
        <w:t>制的鑑定制度在操作上有所不同，但本質並無不同，皆是透過專家以專門知識經驗在法庭上</w:t>
      </w:r>
      <w:r w:rsidR="008170F3">
        <w:rPr>
          <w:rFonts w:hint="eastAsia"/>
        </w:rPr>
        <w:t>提供專業意見</w:t>
      </w:r>
      <w:r>
        <w:rPr>
          <w:rFonts w:hint="eastAsia"/>
        </w:rPr>
        <w:t>，以供法官或陪審員做為認定犯罪事實之依據。國內對於鑑定制度之疑義，多半出於鑑定人不欲出庭而以鑑定報告替代之證據調查程序爭議。由於我國刑事訴訟法第206條容許如此之證據調查程序，因而實務以如此簡便證據調查方式為之者，所在多有。</w:t>
      </w:r>
    </w:p>
    <w:p w:rsidR="00CE314E" w:rsidRDefault="00CE314E" w:rsidP="0084619D">
      <w:pPr>
        <w:pStyle w:val="6"/>
      </w:pPr>
      <w:r>
        <w:rPr>
          <w:rFonts w:hint="eastAsia"/>
        </w:rPr>
        <w:tab/>
        <w:t>楊雲驊教授：</w:t>
      </w:r>
    </w:p>
    <w:p w:rsidR="00CE314E" w:rsidRDefault="00CE314E" w:rsidP="0084619D">
      <w:pPr>
        <w:pStyle w:val="62"/>
        <w:ind w:left="2381" w:firstLine="680"/>
      </w:pPr>
      <w:r>
        <w:rPr>
          <w:rFonts w:hint="eastAsia"/>
        </w:rPr>
        <w:t>鑑定制度在歐陸法系向來都是由法官來選任，因鑑定基於司法中立性，不可能將鑑定任由當事人來選任。當事人會花錢請鑑定，一定會找對自己有利的，基本上違反司法客觀性與中立性，修法傳統上也不會修到這個地方。國內長久以來提倡專家證人制度，如果引進這套制度，司法就變成有錢人在玩的，司法會變成階級化、</w:t>
      </w:r>
      <w:proofErr w:type="gramStart"/>
      <w:r>
        <w:rPr>
          <w:rFonts w:hint="eastAsia"/>
        </w:rPr>
        <w:t>偏頗化</w:t>
      </w:r>
      <w:proofErr w:type="gramEnd"/>
      <w:r>
        <w:rPr>
          <w:rFonts w:hint="eastAsia"/>
        </w:rPr>
        <w:t>，剛才林教授講得很</w:t>
      </w:r>
      <w:proofErr w:type="gramStart"/>
      <w:r>
        <w:rPr>
          <w:rFonts w:hint="eastAsia"/>
        </w:rPr>
        <w:t>清楚，</w:t>
      </w:r>
      <w:proofErr w:type="gramEnd"/>
      <w:r>
        <w:rPr>
          <w:rFonts w:hint="eastAsia"/>
        </w:rPr>
        <w:t>美國早</w:t>
      </w:r>
      <w:proofErr w:type="gramStart"/>
      <w:r>
        <w:rPr>
          <w:rFonts w:hint="eastAsia"/>
        </w:rPr>
        <w:t>就說了專家</w:t>
      </w:r>
      <w:proofErr w:type="gramEnd"/>
      <w:r>
        <w:rPr>
          <w:rFonts w:hint="eastAsia"/>
        </w:rPr>
        <w:t>證人，你給它什麼曲子，他就給你什麼樣的音符，因此很多所謂的專家，當事人要求贏，找出來是偽科學、假科學，其重點是要騙過陪審團，看美國提出來的佛萊基準或道伯</w:t>
      </w:r>
      <w:proofErr w:type="gramStart"/>
      <w:r>
        <w:rPr>
          <w:rFonts w:hint="eastAsia"/>
        </w:rPr>
        <w:t>特</w:t>
      </w:r>
      <w:proofErr w:type="gramEnd"/>
      <w:r>
        <w:rPr>
          <w:rFonts w:hint="eastAsia"/>
        </w:rPr>
        <w:t>基準，在德國的眼中，是很可笑的，因為專家是當事人選來的，才要提出這個法則來篩選，德國法庭上的鑑定人是經由法官選任，在社會上有一定的水平、公平性，所以不太需要靠這些法則來檢驗，所以台灣是否適合改成專家證人，我非常存疑。</w:t>
      </w:r>
    </w:p>
    <w:p w:rsidR="00CE314E" w:rsidRPr="00377B49" w:rsidRDefault="00CE314E" w:rsidP="0084619D">
      <w:pPr>
        <w:pStyle w:val="5"/>
        <w:rPr>
          <w:b/>
        </w:rPr>
      </w:pPr>
      <w:r>
        <w:rPr>
          <w:rFonts w:hint="eastAsia"/>
        </w:rPr>
        <w:tab/>
      </w:r>
      <w:r w:rsidRPr="00377B49">
        <w:rPr>
          <w:rFonts w:hint="eastAsia"/>
          <w:b/>
        </w:rPr>
        <w:t>本院初步研究意見：</w:t>
      </w:r>
    </w:p>
    <w:p w:rsidR="00CE314E" w:rsidRPr="00377B49" w:rsidRDefault="00CE314E" w:rsidP="0084619D">
      <w:pPr>
        <w:pStyle w:val="6"/>
        <w:rPr>
          <w:b/>
        </w:rPr>
      </w:pPr>
      <w:r>
        <w:rPr>
          <w:rFonts w:hint="eastAsia"/>
        </w:rPr>
        <w:lastRenderedPageBreak/>
        <w:tab/>
      </w:r>
      <w:r w:rsidRPr="00377B49">
        <w:rPr>
          <w:rFonts w:hint="eastAsia"/>
          <w:b/>
        </w:rPr>
        <w:t>不論大陸法系鑑定人與英美法系的專家證 人，</w:t>
      </w:r>
      <w:proofErr w:type="gramStart"/>
      <w:r w:rsidRPr="00377B49">
        <w:rPr>
          <w:rFonts w:hint="eastAsia"/>
          <w:b/>
        </w:rPr>
        <w:t>本質上均為供</w:t>
      </w:r>
      <w:proofErr w:type="gramEnd"/>
      <w:r w:rsidRPr="00377B49">
        <w:rPr>
          <w:rFonts w:hint="eastAsia"/>
          <w:b/>
        </w:rPr>
        <w:t>述證據具有證人性質，基於公平法院應保障被告對質詰問權，此與採取職權主義及當事人主義無關。</w:t>
      </w:r>
    </w:p>
    <w:p w:rsidR="00CE314E" w:rsidRDefault="00066293" w:rsidP="0084619D">
      <w:pPr>
        <w:pStyle w:val="62"/>
        <w:ind w:left="2381" w:firstLine="680"/>
      </w:pPr>
      <w:r>
        <w:rPr>
          <w:rFonts w:hint="eastAsia"/>
        </w:rPr>
        <w:t>依據我國刑事訴訟法，凡規定得為證據</w:t>
      </w:r>
      <w:proofErr w:type="gramStart"/>
      <w:r>
        <w:rPr>
          <w:rFonts w:hint="eastAsia"/>
        </w:rPr>
        <w:t>者均需具有</w:t>
      </w:r>
      <w:proofErr w:type="gramEnd"/>
      <w:r w:rsidR="00CE314E">
        <w:rPr>
          <w:rFonts w:hint="eastAsia"/>
        </w:rPr>
        <w:t>證據能力，不得為證據者屬證據排除的問題。從證據可分為供述證據與非供述證據，供述證據包括被告之陳述與被告以外之人之陳述，</w:t>
      </w:r>
      <w:proofErr w:type="gramStart"/>
      <w:r w:rsidR="00CE314E">
        <w:rPr>
          <w:rFonts w:hint="eastAsia"/>
        </w:rPr>
        <w:t>兩者均須具有</w:t>
      </w:r>
      <w:proofErr w:type="gramEnd"/>
      <w:r w:rsidR="00CE314E">
        <w:rPr>
          <w:rFonts w:hint="eastAsia"/>
        </w:rPr>
        <w:t>任意性。被告陳述的任意性係依據自白法則判斷；被告以外之人陳述的任意性，除自白法則外，亦分別有傳聞法則、意見法則、具結法則的適用。</w:t>
      </w:r>
    </w:p>
    <w:p w:rsidR="00CE314E" w:rsidRDefault="00CE314E" w:rsidP="0084619D">
      <w:pPr>
        <w:pStyle w:val="62"/>
        <w:ind w:left="2381" w:firstLine="680"/>
      </w:pPr>
      <w:r>
        <w:rPr>
          <w:rFonts w:hint="eastAsia"/>
        </w:rPr>
        <w:t>復依據前揭司法院釋字第582號解釋認為對質詰問權為訴訟基本權並為正當法律程序所保障之權利，而</w:t>
      </w:r>
      <w:r w:rsidR="00897B5D">
        <w:rPr>
          <w:rFonts w:hint="eastAsia"/>
        </w:rPr>
        <w:t>公民與政治權利國際公約</w:t>
      </w:r>
      <w:r>
        <w:rPr>
          <w:rFonts w:hint="eastAsia"/>
        </w:rPr>
        <w:t>第14條公平法院原則所定最低標準</w:t>
      </w:r>
      <w:r w:rsidR="00BF3679">
        <w:rPr>
          <w:rFonts w:hint="eastAsia"/>
        </w:rPr>
        <w:t>(第</w:t>
      </w:r>
      <w:r w:rsidR="00BF3679">
        <w:t>3</w:t>
      </w:r>
      <w:r w:rsidR="00BF3679">
        <w:rPr>
          <w:rFonts w:hint="eastAsia"/>
        </w:rPr>
        <w:t>項第</w:t>
      </w:r>
      <w:r w:rsidR="00BF3679">
        <w:t>5</w:t>
      </w:r>
      <w:r w:rsidR="00BF3679">
        <w:rPr>
          <w:rFonts w:hint="eastAsia"/>
        </w:rPr>
        <w:t>款)</w:t>
      </w:r>
      <w:r w:rsidR="008170F3">
        <w:rPr>
          <w:rFonts w:hint="eastAsia"/>
        </w:rPr>
        <w:t>係為</w:t>
      </w:r>
      <w:r>
        <w:rPr>
          <w:rFonts w:hint="eastAsia"/>
        </w:rPr>
        <w:t>「保障被告訊問或業已訊問對他不利的證人，並</w:t>
      </w:r>
      <w:r w:rsidR="008170F3">
        <w:rPr>
          <w:rFonts w:hint="eastAsia"/>
        </w:rPr>
        <w:t>得</w:t>
      </w:r>
      <w:r>
        <w:rPr>
          <w:rFonts w:hint="eastAsia"/>
        </w:rPr>
        <w:t>使</w:t>
      </w:r>
      <w:r w:rsidR="008170F3">
        <w:rPr>
          <w:rFonts w:hint="eastAsia"/>
        </w:rPr>
        <w:t>其</w:t>
      </w:r>
      <w:r>
        <w:rPr>
          <w:rFonts w:hint="eastAsia"/>
        </w:rPr>
        <w:t>對他有利的證人</w:t>
      </w:r>
      <w:proofErr w:type="gramStart"/>
      <w:r w:rsidR="008170F3">
        <w:rPr>
          <w:rFonts w:hint="eastAsia"/>
        </w:rPr>
        <w:t>應</w:t>
      </w:r>
      <w:r>
        <w:rPr>
          <w:rFonts w:hint="eastAsia"/>
        </w:rPr>
        <w:t>與</w:t>
      </w:r>
      <w:r w:rsidR="008170F3">
        <w:rPr>
          <w:rFonts w:hint="eastAsia"/>
        </w:rPr>
        <w:t>如</w:t>
      </w:r>
      <w:r>
        <w:rPr>
          <w:rFonts w:hint="eastAsia"/>
        </w:rPr>
        <w:t>對</w:t>
      </w:r>
      <w:proofErr w:type="gramEnd"/>
      <w:r>
        <w:rPr>
          <w:rFonts w:hint="eastAsia"/>
        </w:rPr>
        <w:t>他不利的證人</w:t>
      </w:r>
      <w:r w:rsidR="008170F3">
        <w:rPr>
          <w:rFonts w:ascii="新細明體" w:eastAsia="新細明體" w:hAnsi="新細明體" w:hint="eastAsia"/>
        </w:rPr>
        <w:t>，</w:t>
      </w:r>
      <w:r w:rsidR="008170F3">
        <w:rPr>
          <w:rFonts w:hint="eastAsia"/>
        </w:rPr>
        <w:t>在</w:t>
      </w:r>
      <w:r>
        <w:rPr>
          <w:rFonts w:hint="eastAsia"/>
        </w:rPr>
        <w:t>相同的條件下</w:t>
      </w:r>
      <w:r w:rsidR="008170F3">
        <w:rPr>
          <w:rFonts w:hint="eastAsia"/>
        </w:rPr>
        <w:t>得以</w:t>
      </w:r>
      <w:r>
        <w:rPr>
          <w:rFonts w:hint="eastAsia"/>
        </w:rPr>
        <w:t>出庭和</w:t>
      </w:r>
      <w:r w:rsidR="008170F3">
        <w:rPr>
          <w:rFonts w:hint="eastAsia"/>
        </w:rPr>
        <w:t>接受法院</w:t>
      </w:r>
      <w:r>
        <w:rPr>
          <w:rFonts w:hint="eastAsia"/>
        </w:rPr>
        <w:t>訊問。」顯見，是否採用專家證人制度與當事人主義及職權主義無關。</w:t>
      </w:r>
    </w:p>
    <w:p w:rsidR="00CE314E" w:rsidRPr="00377B49" w:rsidRDefault="00CE314E" w:rsidP="0084619D">
      <w:pPr>
        <w:pStyle w:val="6"/>
        <w:rPr>
          <w:b/>
        </w:rPr>
      </w:pPr>
      <w:r>
        <w:rPr>
          <w:rFonts w:hint="eastAsia"/>
        </w:rPr>
        <w:tab/>
      </w:r>
      <w:r w:rsidRPr="00377B49">
        <w:rPr>
          <w:rFonts w:hint="eastAsia"/>
          <w:b/>
        </w:rPr>
        <w:t>美國法上之專家證人得為當事人選任或法官自行選任，並應經交互詰問；德國法基於職權主義應由法官選任鑑定人，例外檢察官雖可選任鑑定人但不得為宣誓訊問；在日本法改良式當事人進行主義下則檢察官得委任鑑定人，上開各國法制認為鑑定證據</w:t>
      </w:r>
      <w:proofErr w:type="gramStart"/>
      <w:r w:rsidRPr="00377B49">
        <w:rPr>
          <w:rFonts w:hint="eastAsia"/>
          <w:b/>
        </w:rPr>
        <w:t>至少均需經</w:t>
      </w:r>
      <w:proofErr w:type="gramEnd"/>
      <w:r w:rsidRPr="00377B49">
        <w:rPr>
          <w:rFonts w:hint="eastAsia"/>
          <w:b/>
        </w:rPr>
        <w:t>法院訊問始得承認具有證據能力。</w:t>
      </w:r>
    </w:p>
    <w:p w:rsidR="00CE314E" w:rsidRDefault="00CE314E" w:rsidP="0012377A">
      <w:pPr>
        <w:pStyle w:val="62"/>
        <w:ind w:leftChars="750" w:left="2551" w:firstLineChars="150" w:firstLine="510"/>
      </w:pPr>
      <w:r>
        <w:rPr>
          <w:rFonts w:hint="eastAsia"/>
        </w:rPr>
        <w:t>按美國聯邦證據法</w:t>
      </w:r>
      <w:r w:rsidR="0012377A">
        <w:rPr>
          <w:rFonts w:ascii="新細明體" w:eastAsia="新細明體" w:hAnsi="新細明體" w:hint="eastAsia"/>
        </w:rPr>
        <w:t>（</w:t>
      </w:r>
      <w:r w:rsidR="0012377A">
        <w:rPr>
          <w:rFonts w:hint="eastAsia"/>
        </w:rPr>
        <w:t xml:space="preserve">Federal Rules of </w:t>
      </w:r>
      <w:r w:rsidR="0012377A">
        <w:rPr>
          <w:rFonts w:hint="eastAsia"/>
        </w:rPr>
        <w:lastRenderedPageBreak/>
        <w:t>Evidence</w:t>
      </w:r>
      <w:r w:rsidR="0012377A">
        <w:rPr>
          <w:rFonts w:hAnsi="標楷體" w:hint="eastAsia"/>
        </w:rPr>
        <w:t>）</w:t>
      </w:r>
      <w:r>
        <w:rPr>
          <w:rFonts w:hint="eastAsia"/>
        </w:rPr>
        <w:t>第706條</w:t>
      </w:r>
      <w:r w:rsidR="00DF37AE">
        <w:rPr>
          <w:rStyle w:val="afe"/>
        </w:rPr>
        <w:footnoteReference w:id="43"/>
      </w:r>
      <w:r>
        <w:rPr>
          <w:rFonts w:hint="eastAsia"/>
        </w:rPr>
        <w:t>，有關專家證人之選任，法院得依職權或依當事人聲請，命當事人闡明不得選任專家證人之原因，及命當事人推出人選，法院得就當事人所共同同意之人選中去選任，亦或由法院選任專家證人。除專家證人同意作證外，法院不得選任之。雙方當事人均可傳喚該證人口頭詰問，包括傳喚該證人之當事人。</w:t>
      </w:r>
    </w:p>
    <w:p w:rsidR="00CE314E" w:rsidRDefault="00CE314E" w:rsidP="00A478C7">
      <w:pPr>
        <w:pStyle w:val="62"/>
        <w:ind w:left="2381" w:firstLine="680"/>
      </w:pPr>
      <w:r>
        <w:rPr>
          <w:rFonts w:hint="eastAsia"/>
        </w:rPr>
        <w:t>德國刑事訴訟程序的鑑定作為，規定在該國刑事訴訟法總則編。主要係規範法院之鑑定作為</w:t>
      </w:r>
      <w:r w:rsidR="00BF3679">
        <w:t>(</w:t>
      </w:r>
      <w:r w:rsidR="00BF3679">
        <w:rPr>
          <w:rFonts w:hint="eastAsia"/>
        </w:rPr>
        <w:t>自該法第</w:t>
      </w:r>
      <w:r w:rsidR="00BF3679">
        <w:t>72</w:t>
      </w:r>
      <w:r w:rsidR="00BF3679">
        <w:rPr>
          <w:rFonts w:hint="eastAsia"/>
        </w:rPr>
        <w:t>條至第</w:t>
      </w:r>
      <w:r w:rsidR="00BF3679">
        <w:t>93</w:t>
      </w:r>
      <w:r w:rsidR="00BF3679">
        <w:rPr>
          <w:rFonts w:hint="eastAsia"/>
        </w:rPr>
        <w:t>條</w:t>
      </w:r>
      <w:r w:rsidR="00BF3679">
        <w:t>)</w:t>
      </w:r>
      <w:r>
        <w:rPr>
          <w:rFonts w:hint="eastAsia"/>
        </w:rPr>
        <w:t>。至於偵查中鑑定作為，僅於德國刑事訴訟法第161條a第1項規定</w:t>
      </w:r>
      <w:r w:rsidR="00953B7E">
        <w:rPr>
          <w:rStyle w:val="afe"/>
        </w:rPr>
        <w:footnoteReference w:id="44"/>
      </w:r>
      <w:r>
        <w:rPr>
          <w:rFonts w:hint="eastAsia"/>
        </w:rPr>
        <w:t>：檢察官得傳喚鑑定人到場，且鑑定人應提出鑑定書，但不得為宣誓訊問，同法第73條、第74條</w:t>
      </w:r>
      <w:r w:rsidR="0012377A">
        <w:rPr>
          <w:rFonts w:hint="eastAsia"/>
        </w:rPr>
        <w:t>規定</w:t>
      </w:r>
      <w:r>
        <w:rPr>
          <w:rFonts w:hint="eastAsia"/>
        </w:rPr>
        <w:t>，在法院作證提供專家證言之鑑定人，檢察官及被告均可對其意見提出問題及質疑。換言之，檢察官所選任鑑定人仍須由法院訊問。</w:t>
      </w:r>
    </w:p>
    <w:p w:rsidR="00CE314E" w:rsidRDefault="00CE314E" w:rsidP="00A478C7">
      <w:pPr>
        <w:pStyle w:val="62"/>
        <w:ind w:left="2381" w:firstLine="680"/>
      </w:pPr>
      <w:r>
        <w:rPr>
          <w:rFonts w:hint="eastAsia"/>
        </w:rPr>
        <w:t>日本刑事訴訟法關於鑑定制度，則散見</w:t>
      </w:r>
      <w:r>
        <w:rPr>
          <w:rFonts w:hint="eastAsia"/>
        </w:rPr>
        <w:lastRenderedPageBreak/>
        <w:t>於該法</w:t>
      </w:r>
      <w:proofErr w:type="gramStart"/>
      <w:r>
        <w:rPr>
          <w:rFonts w:hint="eastAsia"/>
        </w:rPr>
        <w:t>各處，</w:t>
      </w:r>
      <w:proofErr w:type="gramEnd"/>
      <w:r>
        <w:rPr>
          <w:rFonts w:hint="eastAsia"/>
        </w:rPr>
        <w:t>其鑑定人雖屬人證之一種，惟鑑定人與證人仍有所區別。依據日本刑事訴訟法第223條第1項規定，偵查機關因偵查必要，得囑</w:t>
      </w:r>
      <w:r w:rsidR="0087441D">
        <w:rPr>
          <w:rFonts w:hint="eastAsia"/>
        </w:rPr>
        <w:t>託具有學識經驗者實施鑑定，受囑託人為鑑定受託人。偵查中實施鑑定</w:t>
      </w:r>
      <w:r>
        <w:rPr>
          <w:rFonts w:hint="eastAsia"/>
        </w:rPr>
        <w:t>無庸為宣誓；同法第165條、第166條規定，審判中法院得依當事人聲請或依職權命具有學識經驗之人實施鑑定，實施鑑定前應先經宣誓，除鑑定人到庭以言詞陳述並經詰問外，如鑑定人製作之鑑定書，因屬傳聞證據，原則上無證據能力</w:t>
      </w:r>
      <w:r w:rsidR="00953B7E">
        <w:rPr>
          <w:rStyle w:val="afe"/>
        </w:rPr>
        <w:footnoteReference w:id="45"/>
      </w:r>
      <w:r>
        <w:rPr>
          <w:rFonts w:hint="eastAsia"/>
        </w:rPr>
        <w:t>。</w:t>
      </w:r>
    </w:p>
    <w:p w:rsidR="00CE314E" w:rsidRPr="00377B49" w:rsidRDefault="00CE314E" w:rsidP="00A478C7">
      <w:pPr>
        <w:pStyle w:val="6"/>
        <w:rPr>
          <w:b/>
        </w:rPr>
      </w:pPr>
      <w:r>
        <w:rPr>
          <w:rFonts w:hint="eastAsia"/>
        </w:rPr>
        <w:tab/>
      </w:r>
      <w:r w:rsidRPr="00377B49">
        <w:rPr>
          <w:rFonts w:hint="eastAsia"/>
          <w:b/>
        </w:rPr>
        <w:t>我國現行法律規範與實務，偵查機關選任鑑定人構成傳聞法則例外，不受交互詰問，超越法官選任鑑定人後仍受交互詰問，似有違反直接審理原則與傳聞法則，背離公平法院原則之虞。</w:t>
      </w:r>
    </w:p>
    <w:p w:rsidR="00CE314E" w:rsidRDefault="00CE314E" w:rsidP="00A478C7">
      <w:pPr>
        <w:pStyle w:val="62"/>
        <w:ind w:left="2381" w:firstLine="680"/>
      </w:pPr>
      <w:r>
        <w:rPr>
          <w:rFonts w:hint="eastAsia"/>
        </w:rPr>
        <w:t>按刑事訴訟法第159條之1第2項規定：「被告以外之人於偵查中向檢察官所為之陳述，</w:t>
      </w:r>
      <w:proofErr w:type="gramStart"/>
      <w:r>
        <w:rPr>
          <w:rFonts w:hint="eastAsia"/>
        </w:rPr>
        <w:t>除顯有</w:t>
      </w:r>
      <w:proofErr w:type="gramEnd"/>
      <w:r>
        <w:rPr>
          <w:rFonts w:hint="eastAsia"/>
        </w:rPr>
        <w:t>不可信之情況者外，得為證據。」檢察官辦理刑事案件應行注意事項第77點</w:t>
      </w:r>
      <w:r w:rsidR="0041291C">
        <w:rPr>
          <w:rFonts w:hint="eastAsia"/>
        </w:rPr>
        <w:t>規定</w:t>
      </w:r>
      <w:r w:rsidR="0041291C">
        <w:rPr>
          <w:rFonts w:ascii="新細明體" w:eastAsia="新細明體" w:hAnsi="新細明體" w:hint="eastAsia"/>
        </w:rPr>
        <w:t>，</w:t>
      </w:r>
      <w:r>
        <w:rPr>
          <w:rFonts w:hint="eastAsia"/>
        </w:rPr>
        <w:t>受檢察官選任之鑑定人或囑託之鑑定機關、團體所為之書面鑑定報告，屬本法第159條所定傳聞之例外規定，具有證據能力。故我國現行法律規範與實務</w:t>
      </w:r>
      <w:r w:rsidR="0041291C">
        <w:rPr>
          <w:rFonts w:ascii="新細明體" w:eastAsia="新細明體" w:hAnsi="新細明體" w:hint="eastAsia"/>
        </w:rPr>
        <w:t>，</w:t>
      </w:r>
      <w:r>
        <w:rPr>
          <w:rFonts w:hint="eastAsia"/>
        </w:rPr>
        <w:t>於偵查機關選任鑑定人構成傳聞法則例外，不受交互詰問。</w:t>
      </w:r>
    </w:p>
    <w:p w:rsidR="00CE314E" w:rsidRDefault="00CE314E" w:rsidP="00A478C7">
      <w:pPr>
        <w:pStyle w:val="62"/>
        <w:ind w:left="2381" w:firstLine="680"/>
      </w:pPr>
      <w:r>
        <w:rPr>
          <w:rFonts w:hint="eastAsia"/>
        </w:rPr>
        <w:lastRenderedPageBreak/>
        <w:t>刑事訴訟法第3條規定：「</w:t>
      </w:r>
      <w:proofErr w:type="gramStart"/>
      <w:r>
        <w:rPr>
          <w:rFonts w:hint="eastAsia"/>
        </w:rPr>
        <w:t>本法稱當事人</w:t>
      </w:r>
      <w:proofErr w:type="gramEnd"/>
      <w:r>
        <w:rPr>
          <w:rFonts w:hint="eastAsia"/>
        </w:rPr>
        <w:t>者，謂檢察官、自訴人及被告。」同法第161條第1項規定：「檢察官就被告犯罪事實，應負</w:t>
      </w:r>
      <w:r w:rsidR="0041291C">
        <w:rPr>
          <w:rFonts w:hint="eastAsia"/>
        </w:rPr>
        <w:t>舉證責任，並指出證明之方法。」按檢察官選任鑑定人或囑託鑑定機關</w:t>
      </w:r>
      <w:r>
        <w:rPr>
          <w:rFonts w:hint="eastAsia"/>
        </w:rPr>
        <w:t>所得鑑定證據，作為證明被告犯罪事實，因檢察官在當事人主義之訴訟結構下本非全然公正第三人而係當事人，故其所提出鑑定證據</w:t>
      </w:r>
      <w:proofErr w:type="gramStart"/>
      <w:r w:rsidR="0041291C">
        <w:t>—</w:t>
      </w:r>
      <w:proofErr w:type="gramEnd"/>
      <w:r>
        <w:rPr>
          <w:rFonts w:hint="eastAsia"/>
        </w:rPr>
        <w:t>鑑定人或鑑定機關</w:t>
      </w:r>
      <w:r w:rsidR="0041291C">
        <w:rPr>
          <w:rFonts w:ascii="新細明體" w:eastAsia="新細明體" w:hAnsi="新細明體" w:hint="eastAsia"/>
        </w:rPr>
        <w:t>，</w:t>
      </w:r>
      <w:r w:rsidR="0041291C">
        <w:rPr>
          <w:rFonts w:hint="eastAsia"/>
        </w:rPr>
        <w:t>其</w:t>
      </w:r>
      <w:r>
        <w:rPr>
          <w:rFonts w:hint="eastAsia"/>
        </w:rPr>
        <w:t>本質上屬於敵意證人</w:t>
      </w:r>
      <w:r w:rsidR="00BF3679">
        <w:t>(hostile witness)</w:t>
      </w:r>
      <w:r w:rsidR="004D2915">
        <w:rPr>
          <w:rStyle w:val="afe"/>
        </w:rPr>
        <w:footnoteReference w:id="46"/>
      </w:r>
      <w:r>
        <w:rPr>
          <w:rFonts w:hint="eastAsia"/>
        </w:rPr>
        <w:t>，且係屬傳聞證據，未經被告同意直接採用偵查時證言或鑑定書面，違反形式公平性。</w:t>
      </w:r>
    </w:p>
    <w:p w:rsidR="00CE314E" w:rsidRDefault="00CE314E" w:rsidP="00A478C7">
      <w:pPr>
        <w:pStyle w:val="62"/>
        <w:ind w:left="2381" w:firstLine="680"/>
      </w:pPr>
      <w:r>
        <w:rPr>
          <w:rFonts w:hint="eastAsia"/>
        </w:rPr>
        <w:t>又按刑事訴訟法第198條規定，鑑定人由審判長選任一人或數人充之。其法院選任之鑑定人依據同法第197條規定，</w:t>
      </w:r>
      <w:proofErr w:type="gramStart"/>
      <w:r>
        <w:rPr>
          <w:rFonts w:hint="eastAsia"/>
        </w:rPr>
        <w:t>準</w:t>
      </w:r>
      <w:proofErr w:type="gramEnd"/>
      <w:r>
        <w:rPr>
          <w:rFonts w:hint="eastAsia"/>
        </w:rPr>
        <w:t>用關於人證之規定，應經交互詰問。法院本</w:t>
      </w:r>
      <w:r w:rsidR="00184D27">
        <w:rPr>
          <w:rFonts w:hint="eastAsia"/>
        </w:rPr>
        <w:t>於</w:t>
      </w:r>
      <w:r>
        <w:rPr>
          <w:rFonts w:hint="eastAsia"/>
        </w:rPr>
        <w:t>訴訟制度之要求，無論</w:t>
      </w:r>
      <w:proofErr w:type="gramStart"/>
      <w:r>
        <w:rPr>
          <w:rFonts w:hint="eastAsia"/>
        </w:rPr>
        <w:t>採</w:t>
      </w:r>
      <w:proofErr w:type="gramEnd"/>
      <w:r>
        <w:rPr>
          <w:rFonts w:hint="eastAsia"/>
        </w:rPr>
        <w:t>職權主義，抑</w:t>
      </w:r>
      <w:proofErr w:type="gramStart"/>
      <w:r>
        <w:rPr>
          <w:rFonts w:hint="eastAsia"/>
        </w:rPr>
        <w:t>採</w:t>
      </w:r>
      <w:proofErr w:type="gramEnd"/>
      <w:r>
        <w:rPr>
          <w:rFonts w:hint="eastAsia"/>
        </w:rPr>
        <w:t>當事人主義，</w:t>
      </w:r>
      <w:proofErr w:type="gramStart"/>
      <w:r>
        <w:rPr>
          <w:rFonts w:hint="eastAsia"/>
        </w:rPr>
        <w:t>均居於</w:t>
      </w:r>
      <w:proofErr w:type="gramEnd"/>
      <w:r>
        <w:rPr>
          <w:rFonts w:hint="eastAsia"/>
        </w:rPr>
        <w:t>公平第三人之立場，就當事人之攻擊、防禦，基於辯論而形成其心證，而為裁判。然檢察官基於當事人一</w:t>
      </w:r>
      <w:proofErr w:type="gramStart"/>
      <w:r>
        <w:rPr>
          <w:rFonts w:hint="eastAsia"/>
        </w:rPr>
        <w:t>造所提出</w:t>
      </w:r>
      <w:proofErr w:type="gramEnd"/>
      <w:r>
        <w:rPr>
          <w:rFonts w:hint="eastAsia"/>
        </w:rPr>
        <w:t>鑑定證據竟得以傳聞證據例外</w:t>
      </w:r>
      <w:r w:rsidR="0041291C">
        <w:rPr>
          <w:rFonts w:ascii="新細明體" w:eastAsia="新細明體" w:hAnsi="新細明體" w:hint="eastAsia"/>
        </w:rPr>
        <w:t>，</w:t>
      </w:r>
      <w:r>
        <w:rPr>
          <w:rFonts w:hint="eastAsia"/>
        </w:rPr>
        <w:t>免經交互詰問，自有違正當法律程序原則。</w:t>
      </w:r>
    </w:p>
    <w:p w:rsidR="00CE314E" w:rsidRDefault="00CE314E" w:rsidP="00A478C7">
      <w:pPr>
        <w:pStyle w:val="62"/>
        <w:ind w:left="2381" w:firstLine="680"/>
      </w:pPr>
      <w:proofErr w:type="gramStart"/>
      <w:r>
        <w:rPr>
          <w:rFonts w:hint="eastAsia"/>
        </w:rPr>
        <w:t>況</w:t>
      </w:r>
      <w:proofErr w:type="gramEnd"/>
      <w:r>
        <w:rPr>
          <w:rFonts w:hint="eastAsia"/>
        </w:rPr>
        <w:t>目前實務上偵查階段</w:t>
      </w:r>
      <w:r w:rsidR="0041291C">
        <w:rPr>
          <w:rFonts w:ascii="新細明體" w:eastAsia="新細明體" w:hAnsi="新細明體" w:hint="eastAsia"/>
        </w:rPr>
        <w:t>，</w:t>
      </w:r>
      <w:r>
        <w:rPr>
          <w:rFonts w:hint="eastAsia"/>
        </w:rPr>
        <w:t>檢察官選任或囑託之鑑定人或鑑定機關多為刑事警察局與法務部調查局，上開成員均具有司法警察身</w:t>
      </w:r>
      <w:r>
        <w:rPr>
          <w:rFonts w:hint="eastAsia"/>
        </w:rPr>
        <w:lastRenderedPageBreak/>
        <w:t>分，為偵查輔助機關</w:t>
      </w:r>
      <w:r w:rsidR="00C0484F">
        <w:rPr>
          <w:rStyle w:val="afe"/>
        </w:rPr>
        <w:footnoteReference w:id="47"/>
      </w:r>
      <w:r>
        <w:rPr>
          <w:rFonts w:hint="eastAsia"/>
        </w:rPr>
        <w:t>，難謂具有形式公正性，又加以偵查階段鑑定不受交互詰問，實難謂在現行制度下被告與檢察官</w:t>
      </w:r>
      <w:r w:rsidR="0041291C">
        <w:rPr>
          <w:rFonts w:hint="eastAsia"/>
        </w:rPr>
        <w:t>立於</w:t>
      </w:r>
      <w:r>
        <w:rPr>
          <w:rFonts w:hint="eastAsia"/>
        </w:rPr>
        <w:t>武器平等</w:t>
      </w:r>
      <w:r w:rsidR="0041291C">
        <w:rPr>
          <w:rFonts w:hint="eastAsia"/>
        </w:rPr>
        <w:t>地位</w:t>
      </w:r>
      <w:r>
        <w:rPr>
          <w:rFonts w:hint="eastAsia"/>
        </w:rPr>
        <w:t>，所進行程序該當公平法院原則。</w:t>
      </w:r>
    </w:p>
    <w:p w:rsidR="00CE314E" w:rsidRPr="00377B49" w:rsidRDefault="00CE314E" w:rsidP="00A478C7">
      <w:pPr>
        <w:pStyle w:val="6"/>
        <w:rPr>
          <w:b/>
        </w:rPr>
      </w:pPr>
      <w:r>
        <w:rPr>
          <w:rFonts w:hint="eastAsia"/>
        </w:rPr>
        <w:tab/>
      </w:r>
      <w:r w:rsidRPr="00377B49">
        <w:rPr>
          <w:rFonts w:hint="eastAsia"/>
          <w:b/>
        </w:rPr>
        <w:t>專家證人制度與現行制度最大差異在於是否准予被告委任鑑定人。我國現行制度未賦予被告選任鑑定人之證據適格，似有違武器平等原則，侵害被告訴訟基本權。</w:t>
      </w:r>
    </w:p>
    <w:p w:rsidR="00CE314E" w:rsidRPr="00775345" w:rsidRDefault="00CE314E" w:rsidP="00A478C7">
      <w:pPr>
        <w:pStyle w:val="62"/>
        <w:ind w:left="2381" w:firstLine="680"/>
        <w:rPr>
          <w:rFonts w:hAnsi="標楷體"/>
        </w:rPr>
      </w:pPr>
      <w:r>
        <w:rPr>
          <w:rFonts w:hint="eastAsia"/>
        </w:rPr>
        <w:t>按聯合國人權事務委員會第32號一般性意見39點</w:t>
      </w:r>
      <w:r w:rsidR="00C0484F">
        <w:rPr>
          <w:rStyle w:val="afe"/>
        </w:rPr>
        <w:footnoteReference w:id="48"/>
      </w:r>
      <w:r>
        <w:rPr>
          <w:rFonts w:hint="eastAsia"/>
        </w:rPr>
        <w:t>稱，第14條第3項第5款規定</w:t>
      </w:r>
      <w:r w:rsidR="00775345">
        <w:rPr>
          <w:rFonts w:hint="eastAsia"/>
        </w:rPr>
        <w:t>所稱</w:t>
      </w:r>
      <w:r>
        <w:rPr>
          <w:rFonts w:hint="eastAsia"/>
        </w:rPr>
        <w:t>，被告得親自或間接詰問他造證人，並得聲請法院傳喚其證人在與他造證人同等條件下出庭作證。這項規定的目的是保證被告有同樣的法律權力，</w:t>
      </w:r>
      <w:r w:rsidR="00775345">
        <w:rPr>
          <w:rFonts w:hint="eastAsia"/>
        </w:rPr>
        <w:t>可以</w:t>
      </w:r>
      <w:r>
        <w:rPr>
          <w:rFonts w:hint="eastAsia"/>
        </w:rPr>
        <w:t>促使證人出席以及詰</w:t>
      </w:r>
      <w:r w:rsidR="00775345">
        <w:rPr>
          <w:rFonts w:hint="eastAsia"/>
        </w:rPr>
        <w:t>問任何證人，如同</w:t>
      </w:r>
      <w:r>
        <w:rPr>
          <w:rFonts w:hint="eastAsia"/>
        </w:rPr>
        <w:t>檢察官</w:t>
      </w:r>
      <w:r w:rsidR="00775345">
        <w:rPr>
          <w:rFonts w:hint="eastAsia"/>
        </w:rPr>
        <w:t>所具有之</w:t>
      </w:r>
      <w:r>
        <w:rPr>
          <w:rFonts w:hint="eastAsia"/>
        </w:rPr>
        <w:t>權力</w:t>
      </w:r>
      <w:r w:rsidR="00775345">
        <w:rPr>
          <w:rFonts w:ascii="新細明體" w:eastAsia="新細明體" w:hAnsi="新細明體" w:hint="eastAsia"/>
        </w:rPr>
        <w:t>，</w:t>
      </w:r>
      <w:r w:rsidR="00775345" w:rsidRPr="00775345">
        <w:rPr>
          <w:rFonts w:hAnsi="標楷體" w:hint="eastAsia"/>
        </w:rPr>
        <w:t>基於權利平等原則，此一保障十分重要</w:t>
      </w:r>
      <w:r w:rsidRPr="00775345">
        <w:rPr>
          <w:rFonts w:hAnsi="標楷體" w:hint="eastAsia"/>
        </w:rPr>
        <w:t>。</w:t>
      </w:r>
    </w:p>
    <w:p w:rsidR="00CE314E" w:rsidRDefault="00CE314E" w:rsidP="00BF3679">
      <w:pPr>
        <w:pStyle w:val="62"/>
        <w:ind w:left="2381" w:firstLine="680"/>
      </w:pPr>
      <w:r>
        <w:rPr>
          <w:rFonts w:hint="eastAsia"/>
        </w:rPr>
        <w:t>在我國現行法律與制度下准許法官與檢察官選任鑑定人，雖按刑事訴訟法第161條之1、第163條，被告得請求調查證據，可推論要求法院就其所主張事項進行鑑定，但此請</w:t>
      </w:r>
      <w:r>
        <w:rPr>
          <w:rFonts w:hint="eastAsia"/>
        </w:rPr>
        <w:lastRenderedPageBreak/>
        <w:t>求之法律性質為何不明。</w:t>
      </w:r>
      <w:proofErr w:type="gramStart"/>
      <w:r>
        <w:rPr>
          <w:rFonts w:hint="eastAsia"/>
        </w:rPr>
        <w:t>惟司法院既稱</w:t>
      </w:r>
      <w:proofErr w:type="gramEnd"/>
      <w:r>
        <w:rPr>
          <w:rFonts w:hint="eastAsia"/>
        </w:rPr>
        <w:t>我國現行制度為改良式當事人進行主義</w:t>
      </w:r>
      <w:r w:rsidR="00775345">
        <w:rPr>
          <w:rFonts w:ascii="新細明體" w:eastAsia="新細明體" w:hAnsi="新細明體" w:hint="eastAsia"/>
        </w:rPr>
        <w:t>，</w:t>
      </w:r>
      <w:r>
        <w:rPr>
          <w:rFonts w:hint="eastAsia"/>
        </w:rPr>
        <w:t>亦即以當事人主義</w:t>
      </w:r>
      <w:r w:rsidR="00775345">
        <w:rPr>
          <w:rFonts w:hint="eastAsia"/>
        </w:rPr>
        <w:t>為主，職權主義為輔，自應建立被告有選任鑑定人</w:t>
      </w:r>
      <w:r>
        <w:rPr>
          <w:rFonts w:hint="eastAsia"/>
        </w:rPr>
        <w:t>權利之制度，</w:t>
      </w:r>
      <w:proofErr w:type="gramStart"/>
      <w:r>
        <w:rPr>
          <w:rFonts w:hint="eastAsia"/>
        </w:rPr>
        <w:t>況前揭所提</w:t>
      </w:r>
      <w:proofErr w:type="gramEnd"/>
      <w:r>
        <w:rPr>
          <w:rFonts w:hint="eastAsia"/>
        </w:rPr>
        <w:t>美國、德國與日本制度，</w:t>
      </w:r>
      <w:proofErr w:type="gramStart"/>
      <w:r>
        <w:rPr>
          <w:rFonts w:hint="eastAsia"/>
        </w:rPr>
        <w:t>均得准許</w:t>
      </w:r>
      <w:proofErr w:type="gramEnd"/>
      <w:r>
        <w:rPr>
          <w:rFonts w:hint="eastAsia"/>
        </w:rPr>
        <w:t>被告委任專家證人或選任鑑定人，此亦為</w:t>
      </w:r>
      <w:r w:rsidR="00775345">
        <w:rPr>
          <w:rFonts w:hint="eastAsia"/>
        </w:rPr>
        <w:t>上開</w:t>
      </w:r>
      <w:r>
        <w:rPr>
          <w:rFonts w:hint="eastAsia"/>
        </w:rPr>
        <w:t>聯合國人權委員會第32號一般性意見第39點所稱，保障被告聲請法院傳喚其證人在與他造證人同等條件下出庭作證，與檢察官具有同等權力。</w:t>
      </w:r>
      <w:proofErr w:type="gramStart"/>
      <w:r>
        <w:rPr>
          <w:rFonts w:hint="eastAsia"/>
        </w:rPr>
        <w:t>惟</w:t>
      </w:r>
      <w:proofErr w:type="gramEnd"/>
      <w:r>
        <w:rPr>
          <w:rFonts w:hint="eastAsia"/>
        </w:rPr>
        <w:t>同意被告具有選任鑑定人權利是否導致部分學者所稱：1.專家證人商業化嚴重；2.訴訟成本提高；3.訴訟延滯問題加劇等情形，亦應值深思，自應有適當調整方式方為妥適</w:t>
      </w:r>
      <w:r w:rsidR="00BF3679">
        <w:rPr>
          <w:rFonts w:hint="eastAsia"/>
        </w:rPr>
        <w:t>(詳如下列意見</w:t>
      </w:r>
      <w:r w:rsidR="00775345">
        <w:rPr>
          <w:rFonts w:hint="eastAsia"/>
        </w:rPr>
        <w:t>3</w:t>
      </w:r>
      <w:r w:rsidR="00BF3679">
        <w:rPr>
          <w:rFonts w:hint="eastAsia"/>
        </w:rPr>
        <w:t>)</w:t>
      </w:r>
      <w:r>
        <w:rPr>
          <w:rFonts w:hint="eastAsia"/>
        </w:rPr>
        <w:t>。</w:t>
      </w:r>
    </w:p>
    <w:p w:rsidR="00CE314E" w:rsidRDefault="00CE314E" w:rsidP="00BF3679">
      <w:pPr>
        <w:pStyle w:val="62"/>
        <w:ind w:left="2381" w:firstLine="680"/>
      </w:pPr>
      <w:r>
        <w:rPr>
          <w:rFonts w:hint="eastAsia"/>
        </w:rPr>
        <w:t>另制度設計上，未來若准許被告委任鑑定人，在美國制度得區分為</w:t>
      </w:r>
      <w:r w:rsidR="00BF3679">
        <w:rPr>
          <w:rFonts w:hAnsi="標楷體" w:hint="eastAsia"/>
        </w:rPr>
        <w:t>：</w:t>
      </w:r>
      <w:r>
        <w:rPr>
          <w:rFonts w:hint="eastAsia"/>
        </w:rPr>
        <w:t>1.當事人聲請經由法院准駁同意選任之專家證人</w:t>
      </w:r>
      <w:r w:rsidR="00C0484F">
        <w:rPr>
          <w:rStyle w:val="afe"/>
        </w:rPr>
        <w:footnoteReference w:id="49"/>
      </w:r>
      <w:r>
        <w:rPr>
          <w:rFonts w:hint="eastAsia"/>
        </w:rPr>
        <w:t>與2.當</w:t>
      </w:r>
      <w:r>
        <w:rPr>
          <w:rFonts w:hint="eastAsia"/>
        </w:rPr>
        <w:lastRenderedPageBreak/>
        <w:t>事人自行選任專家證人，前者涉及美國憲法增修條文第5條規定之刑事案件</w:t>
      </w:r>
      <w:r w:rsidR="00C0484F">
        <w:rPr>
          <w:rStyle w:val="afe"/>
        </w:rPr>
        <w:footnoteReference w:id="50"/>
      </w:r>
      <w:r>
        <w:rPr>
          <w:rFonts w:hint="eastAsia"/>
        </w:rPr>
        <w:t>，有權獲得法院許可之合理報酬，後者原則</w:t>
      </w:r>
      <w:proofErr w:type="gramStart"/>
      <w:r>
        <w:rPr>
          <w:rFonts w:hint="eastAsia"/>
        </w:rPr>
        <w:t>則</w:t>
      </w:r>
      <w:proofErr w:type="gramEnd"/>
      <w:r>
        <w:rPr>
          <w:rFonts w:hint="eastAsia"/>
        </w:rPr>
        <w:t>由被告自行支付報酬，法院不得禁止當事人自行選任專家。前者與德日制度類似，而與我國現行鑑定制度得以相互融合，似無過多爭議，惟引進後者制度</w:t>
      </w:r>
      <w:r w:rsidR="00BF3679">
        <w:t>(</w:t>
      </w:r>
      <w:r>
        <w:rPr>
          <w:rFonts w:hint="eastAsia"/>
        </w:rPr>
        <w:t>當事人自行選任專家，毋庸經法院同意准許之制度，報酬由被告全額自付</w:t>
      </w:r>
      <w:r w:rsidR="00BF3679">
        <w:t>)</w:t>
      </w:r>
      <w:r>
        <w:rPr>
          <w:rFonts w:hint="eastAsia"/>
        </w:rPr>
        <w:t>則應考量</w:t>
      </w:r>
      <w:r w:rsidR="00BF3679">
        <w:rPr>
          <w:rFonts w:hAnsi="標楷體" w:hint="eastAsia"/>
        </w:rPr>
        <w:t>：</w:t>
      </w:r>
      <w:r>
        <w:rPr>
          <w:rFonts w:hint="eastAsia"/>
        </w:rPr>
        <w:t>1.我國鑑定人素質與人數現狀是否能達成美國鑑定水平；2.我國現行證物保全與使用之相關制度，是否足以維護證物安全，而得以避免因被告自行選任鑑定人再行鑑定後，造成污染或滅失；3.是否會造成司法階級化與貴族化；4.是否因被告選任不適當鑑定人，誤導案情等情，自應</w:t>
      </w:r>
      <w:proofErr w:type="gramStart"/>
      <w:r>
        <w:rPr>
          <w:rFonts w:hint="eastAsia"/>
        </w:rPr>
        <w:t>俟</w:t>
      </w:r>
      <w:proofErr w:type="gramEnd"/>
      <w:r>
        <w:rPr>
          <w:rFonts w:hint="eastAsia"/>
        </w:rPr>
        <w:t>司法改革總體目標與相關配套措施確定後，並藉由適當</w:t>
      </w:r>
      <w:proofErr w:type="gramStart"/>
      <w:r>
        <w:rPr>
          <w:rFonts w:hint="eastAsia"/>
        </w:rPr>
        <w:t>院檢駐點</w:t>
      </w:r>
      <w:proofErr w:type="gramEnd"/>
      <w:r>
        <w:rPr>
          <w:rFonts w:hint="eastAsia"/>
        </w:rPr>
        <w:t>逐步實驗其可行性，並加以改進，尚非</w:t>
      </w:r>
      <w:proofErr w:type="gramStart"/>
      <w:r>
        <w:rPr>
          <w:rFonts w:hint="eastAsia"/>
        </w:rPr>
        <w:t>一蹴</w:t>
      </w:r>
      <w:proofErr w:type="gramEnd"/>
      <w:r>
        <w:rPr>
          <w:rFonts w:hint="eastAsia"/>
        </w:rPr>
        <w:t>可成。</w:t>
      </w:r>
    </w:p>
    <w:p w:rsidR="00CE314E" w:rsidRPr="00377B49" w:rsidRDefault="00CE314E" w:rsidP="00A478C7">
      <w:pPr>
        <w:pStyle w:val="4"/>
        <w:rPr>
          <w:b/>
        </w:rPr>
      </w:pPr>
      <w:r w:rsidRPr="00377B49">
        <w:rPr>
          <w:rFonts w:hint="eastAsia"/>
          <w:b/>
        </w:rPr>
        <w:t>基於考量我國現行實務狀況，避免被告選任鑑定人造成商業化與訴訟成本提高並產生訴訟延滯，得保留不受交互詰問之「中立性</w:t>
      </w:r>
      <w:r w:rsidR="001B4325">
        <w:rPr>
          <w:rFonts w:hint="eastAsia"/>
          <w:b/>
        </w:rPr>
        <w:t>機關鑑定」，以保障當事人之程序利益與實體利益。</w:t>
      </w:r>
      <w:proofErr w:type="gramStart"/>
      <w:r w:rsidR="001B4325">
        <w:rPr>
          <w:rFonts w:hint="eastAsia"/>
          <w:b/>
        </w:rPr>
        <w:t>惟</w:t>
      </w:r>
      <w:proofErr w:type="gramEnd"/>
      <w:r w:rsidR="001B4325">
        <w:rPr>
          <w:rFonts w:hint="eastAsia"/>
          <w:b/>
        </w:rPr>
        <w:t>作為聯合國</w:t>
      </w:r>
      <w:r w:rsidR="001B4325">
        <w:rPr>
          <w:rFonts w:hint="eastAsia"/>
          <w:b/>
        </w:rPr>
        <w:lastRenderedPageBreak/>
        <w:t>公民與</w:t>
      </w:r>
      <w:r w:rsidRPr="00377B49">
        <w:rPr>
          <w:rFonts w:hint="eastAsia"/>
          <w:b/>
        </w:rPr>
        <w:t>政治權利公約第14條第3項第5</w:t>
      </w:r>
      <w:r w:rsidR="001B4325">
        <w:rPr>
          <w:rFonts w:hint="eastAsia"/>
          <w:b/>
        </w:rPr>
        <w:t>款規定及</w:t>
      </w:r>
      <w:r w:rsidRPr="00377B49">
        <w:rPr>
          <w:rFonts w:hint="eastAsia"/>
          <w:b/>
        </w:rPr>
        <w:t>司法院釋字第582號保障對質詰問權之例外規定，宜限制僅適用於法官或被告與檢察官合意囑託，而排除偵查機關囑託，以保障被告訴訟基本權。</w:t>
      </w:r>
    </w:p>
    <w:p w:rsidR="00CE314E" w:rsidRDefault="00CE314E" w:rsidP="00A478C7">
      <w:pPr>
        <w:pStyle w:val="42"/>
        <w:ind w:left="1701" w:firstLine="680"/>
      </w:pPr>
      <w:r>
        <w:rPr>
          <w:rFonts w:hint="eastAsia"/>
        </w:rPr>
        <w:t>按刑事訴訟法第197條規定：「鑑定，除本節有特別規定外，</w:t>
      </w:r>
      <w:proofErr w:type="gramStart"/>
      <w:r>
        <w:rPr>
          <w:rFonts w:hint="eastAsia"/>
        </w:rPr>
        <w:t>準用前節關於</w:t>
      </w:r>
      <w:proofErr w:type="gramEnd"/>
      <w:r>
        <w:rPr>
          <w:rFonts w:hint="eastAsia"/>
        </w:rPr>
        <w:t>人證之規定。」同法第208條規定：「法院或檢察官得囑託醫院、學校或其他相當之機關、團體為鑑定，或審查他人之鑑定，並</w:t>
      </w:r>
      <w:proofErr w:type="gramStart"/>
      <w:r>
        <w:rPr>
          <w:rFonts w:hint="eastAsia"/>
        </w:rPr>
        <w:t>準</w:t>
      </w:r>
      <w:proofErr w:type="gramEnd"/>
      <w:r>
        <w:rPr>
          <w:rFonts w:hint="eastAsia"/>
        </w:rPr>
        <w:t>用第203條至第206條之1之規定；其須以言詞報告或說明時，得命實施鑑定或審查之人為之。第163條第1項、第166條至第167條之7、第202條之規</w:t>
      </w:r>
      <w:r w:rsidR="007D4FEB">
        <w:rPr>
          <w:rFonts w:hint="eastAsia"/>
        </w:rPr>
        <w:t>定，於前項由實施鑑定或審查之人為言詞報告或說明之情形</w:t>
      </w:r>
      <w:proofErr w:type="gramStart"/>
      <w:r w:rsidR="007D4FEB">
        <w:rPr>
          <w:rFonts w:hint="eastAsia"/>
        </w:rPr>
        <w:t>準</w:t>
      </w:r>
      <w:proofErr w:type="gramEnd"/>
      <w:r w:rsidR="007D4FEB">
        <w:rPr>
          <w:rFonts w:hint="eastAsia"/>
        </w:rPr>
        <w:t>用之。」</w:t>
      </w:r>
      <w:r>
        <w:rPr>
          <w:rFonts w:hint="eastAsia"/>
        </w:rPr>
        <w:t>依據上開條文規定，雖鑑定屬人證範疇，然現行條文設計機關鑑定毋庸經交互詰問，得直接以鑑定意見書</w:t>
      </w:r>
      <w:proofErr w:type="gramStart"/>
      <w:r>
        <w:rPr>
          <w:rFonts w:hint="eastAsia"/>
        </w:rPr>
        <w:t>作為待證事實</w:t>
      </w:r>
      <w:proofErr w:type="gramEnd"/>
      <w:r>
        <w:rPr>
          <w:rFonts w:hint="eastAsia"/>
        </w:rPr>
        <w:t>之結論，若遇有爭議性問題，再以書面「函</w:t>
      </w:r>
      <w:proofErr w:type="gramStart"/>
      <w:r>
        <w:rPr>
          <w:rFonts w:hint="eastAsia"/>
        </w:rPr>
        <w:t>詢</w:t>
      </w:r>
      <w:proofErr w:type="gramEnd"/>
      <w:r>
        <w:rPr>
          <w:rFonts w:hint="eastAsia"/>
        </w:rPr>
        <w:t>」方式，取代鑑定人之回答。</w:t>
      </w:r>
      <w:r w:rsidR="007D4FEB">
        <w:rPr>
          <w:rFonts w:hint="eastAsia"/>
        </w:rPr>
        <w:t>前揭</w:t>
      </w:r>
      <w:r>
        <w:rPr>
          <w:rFonts w:hint="eastAsia"/>
        </w:rPr>
        <w:t>規定與鑑定實務是否有架空傳聞法則之疑慮，或有無違反聯合國</w:t>
      </w:r>
      <w:r w:rsidR="007D4FEB">
        <w:rPr>
          <w:rFonts w:hint="eastAsia"/>
        </w:rPr>
        <w:t>公民與政治權利國際公約</w:t>
      </w:r>
      <w:r>
        <w:rPr>
          <w:rFonts w:hint="eastAsia"/>
        </w:rPr>
        <w:t>第14條第3項第5款規定，說明如下：</w:t>
      </w:r>
    </w:p>
    <w:p w:rsidR="00CE314E" w:rsidRPr="00377B49" w:rsidRDefault="00CE314E" w:rsidP="00A478C7">
      <w:pPr>
        <w:pStyle w:val="5"/>
        <w:rPr>
          <w:b/>
        </w:rPr>
      </w:pPr>
      <w:r>
        <w:rPr>
          <w:rFonts w:hint="eastAsia"/>
        </w:rPr>
        <w:tab/>
      </w:r>
      <w:r w:rsidRPr="00377B49">
        <w:rPr>
          <w:rFonts w:hint="eastAsia"/>
          <w:b/>
        </w:rPr>
        <w:t>本院諮詢學者看法</w:t>
      </w:r>
    </w:p>
    <w:p w:rsidR="00CE314E" w:rsidRDefault="00CE314E" w:rsidP="00A478C7">
      <w:pPr>
        <w:pStyle w:val="6"/>
      </w:pPr>
      <w:r>
        <w:rPr>
          <w:rFonts w:hint="eastAsia"/>
        </w:rPr>
        <w:tab/>
        <w:t>陳運財教授</w:t>
      </w:r>
    </w:p>
    <w:p w:rsidR="00CE314E" w:rsidRDefault="00CE314E" w:rsidP="00A478C7">
      <w:pPr>
        <w:pStyle w:val="62"/>
        <w:ind w:left="2381" w:firstLine="680"/>
      </w:pPr>
      <w:r>
        <w:rPr>
          <w:rFonts w:hint="eastAsia"/>
        </w:rPr>
        <w:t>刑訴法第208條所定之機關鑑定，應屬選任鑑定人為鑑定之補充規定。現行刑訴法第208條之機關鑑定，並不符合當事人進行之訴訟結構。且於刑事訴訟中，鑑定人之中立、公正性及誠實，至為關鍵，基本上不宜採取未經具結程序擔保之「機關鑑定」。改革刑事鑑定制度，應先從改進機關鑑定做起。</w:t>
      </w:r>
    </w:p>
    <w:p w:rsidR="00CE314E" w:rsidRDefault="00CE314E" w:rsidP="00AF7158">
      <w:pPr>
        <w:pStyle w:val="62"/>
        <w:ind w:left="2381" w:firstLine="680"/>
      </w:pPr>
      <w:r>
        <w:rPr>
          <w:rFonts w:hint="eastAsia"/>
        </w:rPr>
        <w:lastRenderedPageBreak/>
        <w:t>未修法之前，期待實務運作上，遇有鑑定人所為之鑑定經過或內容存有疑義，或二以上鑑定人之鑑定意見不一致或矛盾時，為作為輔助信用性判斷之參考，</w:t>
      </w:r>
      <w:proofErr w:type="gramStart"/>
      <w:r>
        <w:rPr>
          <w:rFonts w:hint="eastAsia"/>
        </w:rPr>
        <w:t>法院宜依第208條</w:t>
      </w:r>
      <w:proofErr w:type="gramEnd"/>
      <w:r>
        <w:rPr>
          <w:rFonts w:hint="eastAsia"/>
        </w:rPr>
        <w:t>之規定囑託相關之機關或團體提出審查意見。</w:t>
      </w:r>
    </w:p>
    <w:p w:rsidR="00CE314E" w:rsidRDefault="00CE314E" w:rsidP="00AF7158">
      <w:pPr>
        <w:pStyle w:val="62"/>
        <w:ind w:left="2381" w:firstLine="680"/>
      </w:pPr>
      <w:r>
        <w:rPr>
          <w:rFonts w:hint="eastAsia"/>
        </w:rPr>
        <w:t>另司法院曾</w:t>
      </w:r>
      <w:proofErr w:type="gramStart"/>
      <w:r>
        <w:rPr>
          <w:rFonts w:hint="eastAsia"/>
        </w:rPr>
        <w:t>研</w:t>
      </w:r>
      <w:proofErr w:type="gramEnd"/>
      <w:r>
        <w:rPr>
          <w:rFonts w:hint="eastAsia"/>
        </w:rPr>
        <w:t>議制定專家參審條例草案，設計由具有特別或專門知識經驗之人與職業法官合議審判特定案件，使具鑑定人資格之人本身又具審判權。</w:t>
      </w:r>
      <w:proofErr w:type="gramStart"/>
      <w:r>
        <w:rPr>
          <w:rFonts w:hint="eastAsia"/>
        </w:rPr>
        <w:t>吾見以為</w:t>
      </w:r>
      <w:proofErr w:type="gramEnd"/>
      <w:r>
        <w:rPr>
          <w:rFonts w:hint="eastAsia"/>
        </w:rPr>
        <w:t>，此種引進專家參與刑事審判的制度設計，不僅可能會造成專業的階級化、新司法官僚或專業壟斷的現象，本質上即違反專業知識仍應透過調查程序接受檢驗的法理，且</w:t>
      </w:r>
      <w:proofErr w:type="gramStart"/>
      <w:r>
        <w:rPr>
          <w:rFonts w:hint="eastAsia"/>
        </w:rPr>
        <w:t>對於系</w:t>
      </w:r>
      <w:proofErr w:type="gramEnd"/>
      <w:r>
        <w:rPr>
          <w:rFonts w:hint="eastAsia"/>
        </w:rPr>
        <w:t>爭之專業知識已抱持特定見解之專家如直接參與審判</w:t>
      </w:r>
      <w:r w:rsidR="00284FD2">
        <w:rPr>
          <w:rFonts w:hint="eastAsia"/>
        </w:rPr>
        <w:t>，亦與審判者應</w:t>
      </w:r>
      <w:proofErr w:type="gramStart"/>
      <w:r w:rsidR="00284FD2">
        <w:rPr>
          <w:rFonts w:hint="eastAsia"/>
        </w:rPr>
        <w:t>儘</w:t>
      </w:r>
      <w:proofErr w:type="gramEnd"/>
      <w:r w:rsidR="00284FD2">
        <w:rPr>
          <w:rFonts w:hint="eastAsia"/>
        </w:rPr>
        <w:t>可能維持空白心證之公平審判的精神有違，其結果不但</w:t>
      </w:r>
      <w:r>
        <w:rPr>
          <w:rFonts w:hint="eastAsia"/>
        </w:rPr>
        <w:t>有害於被告詰問權之保障，亦將造成與自由心證抑制機能的內在衝突，並不妥當。刑事審判果真要補充法官認定事實之相關專業的不足，真正要改革的是鑑定制度本身，而非捨本逐末的建立所謂的專家參審。</w:t>
      </w:r>
    </w:p>
    <w:p w:rsidR="00CE314E" w:rsidRDefault="00CE314E" w:rsidP="00AF7158">
      <w:pPr>
        <w:pStyle w:val="6"/>
      </w:pPr>
      <w:r>
        <w:rPr>
          <w:rFonts w:hint="eastAsia"/>
        </w:rPr>
        <w:tab/>
        <w:t>林裕順教授</w:t>
      </w:r>
    </w:p>
    <w:p w:rsidR="00CE314E" w:rsidRDefault="00CE314E" w:rsidP="00AF7158">
      <w:pPr>
        <w:pStyle w:val="62"/>
        <w:ind w:left="2381" w:firstLine="680"/>
      </w:pPr>
      <w:r>
        <w:rPr>
          <w:rFonts w:hint="eastAsia"/>
        </w:rPr>
        <w:t>日本鑑定模式</w:t>
      </w:r>
      <w:r w:rsidR="00284FD2">
        <w:rPr>
          <w:rFonts w:hint="eastAsia"/>
        </w:rPr>
        <w:t>分為</w:t>
      </w:r>
      <w:r>
        <w:rPr>
          <w:rFonts w:hint="eastAsia"/>
        </w:rPr>
        <w:t>：(A)法官依職權或當事人請求所為「選任鑑定」，(B)依檢察官等於偵查階段所為之「囑託鑑定」，以及(C)被告或辯護人自行請求民間機構、大學學術單位協助的「委任鑑定」。鑑定選任大致流程為(A)當事人參與下選擇適當鑑定人，(B)法院傳喚鑑定人到庭，(C)法院告知鑑定處分裁</w:t>
      </w:r>
      <w:r>
        <w:rPr>
          <w:rFonts w:hint="eastAsia"/>
        </w:rPr>
        <w:lastRenderedPageBreak/>
        <w:t>定，(D)要求鑑定人具結「公正誠實」，(E)交付鑑定標的，(F)「鑑定留置」等強制處分必要情形，核發鑑定許可書，(G)實際進行鑑定活動，(H)因應書面、口頭鑑定報告進行相關證據調查程序，(I)鑑定結果之評價，(J)若鑑定內容不充分得命「再鑑定」。</w:t>
      </w:r>
    </w:p>
    <w:p w:rsidR="00CE314E" w:rsidRDefault="00CE314E" w:rsidP="00AF7158">
      <w:pPr>
        <w:pStyle w:val="62"/>
        <w:ind w:left="2381" w:firstLine="680"/>
      </w:pPr>
      <w:r>
        <w:rPr>
          <w:rFonts w:hint="eastAsia"/>
        </w:rPr>
        <w:t>我國應廢除機關鑑定與概括選任鑑定</w:t>
      </w:r>
      <w:r w:rsidR="00C81729">
        <w:rPr>
          <w:rStyle w:val="afe"/>
        </w:rPr>
        <w:footnoteReference w:id="51"/>
      </w:r>
      <w:r>
        <w:rPr>
          <w:rFonts w:hint="eastAsia"/>
        </w:rPr>
        <w:t>：所謂「機關鑑定」並非直接選任具有學識經驗的「自然人」。</w:t>
      </w:r>
      <w:proofErr w:type="gramStart"/>
      <w:r>
        <w:rPr>
          <w:rFonts w:hint="eastAsia"/>
        </w:rPr>
        <w:t>惟</w:t>
      </w:r>
      <w:proofErr w:type="gramEnd"/>
      <w:r>
        <w:rPr>
          <w:rFonts w:hint="eastAsia"/>
        </w:rPr>
        <w:t>鑑定「機關」本身無法從事鑑定工作、繕寫鑑定書等，真正執行鑑定者為該機關內之自然人。日本戰後現行刑事訴訟法訂定過程，考量有關鑑定人鑑定適格、鑑定內容等之證據調查，仍須藉由「自然人」進行交互詰問程序，故廢除舊制「機關鑑定」之條文。在我國機關鑑定因違背中立性</w:t>
      </w:r>
      <w:r w:rsidR="00C81729">
        <w:rPr>
          <w:rStyle w:val="afe"/>
        </w:rPr>
        <w:footnoteReference w:id="52"/>
      </w:r>
      <w:r>
        <w:rPr>
          <w:rFonts w:hint="eastAsia"/>
        </w:rPr>
        <w:t>、鑑定倫理</w:t>
      </w:r>
      <w:r w:rsidR="00C81729">
        <w:rPr>
          <w:rStyle w:val="afe"/>
        </w:rPr>
        <w:footnoteReference w:id="53"/>
      </w:r>
      <w:r>
        <w:rPr>
          <w:rFonts w:hint="eastAsia"/>
        </w:rPr>
        <w:t>與未能呼應司法改革</w:t>
      </w:r>
      <w:r w:rsidR="00C81729">
        <w:rPr>
          <w:rStyle w:val="afe"/>
        </w:rPr>
        <w:footnoteReference w:id="54"/>
      </w:r>
      <w:r>
        <w:rPr>
          <w:rFonts w:hint="eastAsia"/>
        </w:rPr>
        <w:t>，故</w:t>
      </w:r>
      <w:r>
        <w:rPr>
          <w:rFonts w:hint="eastAsia"/>
        </w:rPr>
        <w:lastRenderedPageBreak/>
        <w:t>應廢除。</w:t>
      </w:r>
    </w:p>
    <w:p w:rsidR="00CE314E" w:rsidRDefault="00CE314E" w:rsidP="00786915">
      <w:pPr>
        <w:pStyle w:val="6"/>
      </w:pPr>
      <w:r>
        <w:rPr>
          <w:rFonts w:hint="eastAsia"/>
        </w:rPr>
        <w:tab/>
        <w:t>何賴傑教授</w:t>
      </w:r>
    </w:p>
    <w:p w:rsidR="00CE314E" w:rsidRDefault="00CE314E" w:rsidP="00786915">
      <w:pPr>
        <w:pStyle w:val="62"/>
        <w:ind w:left="2381" w:firstLine="680"/>
      </w:pPr>
      <w:r>
        <w:rPr>
          <w:rFonts w:hint="eastAsia"/>
        </w:rPr>
        <w:t>德國刑事訴訟法對於機關鑑定</w:t>
      </w:r>
      <w:proofErr w:type="gramStart"/>
      <w:r>
        <w:rPr>
          <w:rFonts w:hint="eastAsia"/>
        </w:rPr>
        <w:t>並無類如</w:t>
      </w:r>
      <w:proofErr w:type="gramEnd"/>
      <w:r>
        <w:rPr>
          <w:rFonts w:hint="eastAsia"/>
        </w:rPr>
        <w:t>我國之規定。德國刑事訴訟法第83條第3項規定，在比較重要的案件，得選任專業機關</w:t>
      </w:r>
      <w:r w:rsidR="00BF3679">
        <w:t>(Fachbehoerde)</w:t>
      </w:r>
      <w:r>
        <w:rPr>
          <w:rFonts w:hint="eastAsia"/>
        </w:rPr>
        <w:t>鑑定。原則上，法官應依該條第1項及第2項規定，</w:t>
      </w:r>
      <w:proofErr w:type="gramStart"/>
      <w:r>
        <w:rPr>
          <w:rFonts w:hint="eastAsia"/>
        </w:rPr>
        <w:t>命原鑑定人</w:t>
      </w:r>
      <w:proofErr w:type="gramEnd"/>
      <w:r>
        <w:rPr>
          <w:rFonts w:hint="eastAsia"/>
        </w:rPr>
        <w:t>或其他鑑定人重新鑑定。但如無法依此為之，則在比較重要的案件，得依第3項</w:t>
      </w:r>
      <w:r w:rsidR="00D858C2">
        <w:rPr>
          <w:rFonts w:hint="eastAsia"/>
        </w:rPr>
        <w:t>規定</w:t>
      </w:r>
      <w:r>
        <w:rPr>
          <w:rFonts w:hint="eastAsia"/>
        </w:rPr>
        <w:t>另尋專業機關，由該專業機關擔負鑑定責任，而非由該機關內部為實際鑑定之人擔負責任。亦即依本條規定，鑑定人多選任自然人，但選任自然人有困難時，得選任機關鑑定。</w:t>
      </w:r>
    </w:p>
    <w:p w:rsidR="00CE314E" w:rsidRDefault="00CE314E" w:rsidP="00786915">
      <w:pPr>
        <w:pStyle w:val="62"/>
        <w:ind w:left="2381" w:firstLine="680"/>
      </w:pPr>
      <w:r>
        <w:rPr>
          <w:rFonts w:hint="eastAsia"/>
        </w:rPr>
        <w:t>國內實務，鑑定人費用係由法院以定額方式支付，而法院所編之預算，無法充分掌握不確定的鑑定所需的費用，因而法院是否實施鑑定會受到預算限制，鑑定人也會因鑑定報酬不高而影響其鑑定意願。相對於此，德國刑事訴訟法有訴訟費用分擔之制度，且鑑定報酬也比</w:t>
      </w:r>
      <w:r w:rsidR="00BF3679">
        <w:rPr>
          <w:rFonts w:hint="eastAsia"/>
        </w:rPr>
        <w:t>臺</w:t>
      </w:r>
      <w:r>
        <w:rPr>
          <w:rFonts w:hint="eastAsia"/>
        </w:rPr>
        <w:t>灣較高</w:t>
      </w:r>
      <w:r w:rsidR="00BF3679">
        <w:t>(</w:t>
      </w:r>
      <w:r>
        <w:rPr>
          <w:rFonts w:hint="eastAsia"/>
        </w:rPr>
        <w:t>一般鑑定，依鑑定等級，每小時報酬從65歐元到100歐元，JVEG</w:t>
      </w:r>
      <w:r w:rsidR="00D858C2">
        <w:rPr>
          <w:rStyle w:val="afe"/>
        </w:rPr>
        <w:footnoteReference w:id="55"/>
      </w:r>
      <w:r>
        <w:rPr>
          <w:rFonts w:hint="eastAsia"/>
        </w:rPr>
        <w:t>第9條第1項</w:t>
      </w:r>
      <w:r w:rsidR="00BF3679">
        <w:t>)</w:t>
      </w:r>
      <w:r>
        <w:rPr>
          <w:rFonts w:hint="eastAsia"/>
        </w:rPr>
        <w:t>。</w:t>
      </w:r>
    </w:p>
    <w:p w:rsidR="00CE314E" w:rsidRDefault="00CE314E" w:rsidP="00786915">
      <w:pPr>
        <w:pStyle w:val="6"/>
      </w:pPr>
      <w:r>
        <w:rPr>
          <w:rFonts w:hint="eastAsia"/>
        </w:rPr>
        <w:tab/>
        <w:t>楊雲驊教授</w:t>
      </w:r>
      <w:r w:rsidR="00D858C2">
        <w:rPr>
          <w:rFonts w:ascii="新細明體" w:eastAsia="新細明體" w:hAnsi="新細明體" w:hint="eastAsia"/>
        </w:rPr>
        <w:t>：</w:t>
      </w:r>
    </w:p>
    <w:p w:rsidR="00CE314E" w:rsidRDefault="00CE314E" w:rsidP="00786915">
      <w:pPr>
        <w:pStyle w:val="62"/>
        <w:ind w:left="2381" w:firstLine="680"/>
      </w:pPr>
      <w:r>
        <w:rPr>
          <w:rFonts w:hint="eastAsia"/>
        </w:rPr>
        <w:lastRenderedPageBreak/>
        <w:t>刑事訴訟法鑑定章節是否不當？批評的是鑑定過度浮濫、鑑定人不到庭接受詰</w:t>
      </w:r>
      <w:r w:rsidR="00846AF1">
        <w:rPr>
          <w:rFonts w:hint="eastAsia"/>
        </w:rPr>
        <w:t>問，然刑事訴訟法從未規定以機關鑑定為主，或一律</w:t>
      </w:r>
      <w:proofErr w:type="gramStart"/>
      <w:r w:rsidR="00846AF1">
        <w:rPr>
          <w:rFonts w:hint="eastAsia"/>
        </w:rPr>
        <w:t>採</w:t>
      </w:r>
      <w:proofErr w:type="gramEnd"/>
      <w:r w:rsidR="00846AF1">
        <w:rPr>
          <w:rFonts w:hint="eastAsia"/>
        </w:rPr>
        <w:t>機關鑑定，亦未規定</w:t>
      </w:r>
      <w:r>
        <w:rPr>
          <w:rFonts w:hint="eastAsia"/>
        </w:rPr>
        <w:t>鑑定人不用到庭陳述或接受詰問。為何實務會造成這樣的狀況，這是實務的問題。法官為何喜歡機關鑑定，鑑定報告為何就用書面報告，鑑定人不用到庭，這是實務的問題，並不是法條規定如此，若不能對症下藥，</w:t>
      </w:r>
      <w:proofErr w:type="gramStart"/>
      <w:r>
        <w:rPr>
          <w:rFonts w:hint="eastAsia"/>
        </w:rPr>
        <w:t>是冤了法條</w:t>
      </w:r>
      <w:proofErr w:type="gramEnd"/>
      <w:r>
        <w:rPr>
          <w:rFonts w:hint="eastAsia"/>
        </w:rPr>
        <w:t>，其實大家心知</w:t>
      </w:r>
      <w:r w:rsidR="00D858C2">
        <w:rPr>
          <w:rFonts w:hint="eastAsia"/>
        </w:rPr>
        <w:t>肚明。我們的法條規定從國際觀點也是一般水準，反觀德國刑事訴訟法</w:t>
      </w:r>
      <w:r>
        <w:rPr>
          <w:rFonts w:hint="eastAsia"/>
        </w:rPr>
        <w:t>鑑定章規定的比我國還少，但都沒有遭到質疑，我認為是鑑定實務運作問題。</w:t>
      </w:r>
    </w:p>
    <w:p w:rsidR="00CE314E" w:rsidRDefault="00CE314E" w:rsidP="00786915">
      <w:pPr>
        <w:pStyle w:val="62"/>
        <w:ind w:left="2381" w:firstLine="680"/>
      </w:pPr>
      <w:r>
        <w:rPr>
          <w:rFonts w:hint="eastAsia"/>
        </w:rPr>
        <w:t>機關鑑定在德國法制，重要的案件才請機關鑑定，</w:t>
      </w:r>
      <w:proofErr w:type="gramStart"/>
      <w:r>
        <w:rPr>
          <w:rFonts w:hint="eastAsia"/>
        </w:rPr>
        <w:t>該國很注重</w:t>
      </w:r>
      <w:proofErr w:type="gramEnd"/>
      <w:r>
        <w:rPr>
          <w:rFonts w:hint="eastAsia"/>
        </w:rPr>
        <w:t>這個機關、實驗室或機構，反觀我國是反過來均委託機關鑑定。想想今天的個案，只要有幾位鑑定人來辦理鑑定就可以嗎？例如馬來西亞航空墜機意外，如果要找出事實原因，請問有一個鑑定人，對於飛機機械、飛安、爆炸、恐怖主義也懂，什麼都讓一個人才做，鑑定人作成鑑定報告也到法院，鑑定人也到庭陳述詰問，對其任何詰問都行嗎？答案當然不可能。記得5、6年前俄國政治異議者死在英國，死因檢驗其血液有高劑量輻射，為了這件事出動數10位專家，對為何生病、治療不成功、成分有</w:t>
      </w:r>
      <w:r w:rsidR="00C20DCE">
        <w:rPr>
          <w:rFonts w:hint="eastAsia"/>
        </w:rPr>
        <w:t>那些</w:t>
      </w:r>
      <w:r>
        <w:rPr>
          <w:rFonts w:hint="eastAsia"/>
        </w:rPr>
        <w:t>，到最後死因判斷，沒有一個單獨專家可以</w:t>
      </w:r>
      <w:proofErr w:type="gramStart"/>
      <w:r>
        <w:rPr>
          <w:rFonts w:hint="eastAsia"/>
        </w:rPr>
        <w:t>全攬，</w:t>
      </w:r>
      <w:proofErr w:type="gramEnd"/>
      <w:r>
        <w:rPr>
          <w:rFonts w:hint="eastAsia"/>
        </w:rPr>
        <w:t>機關鑑定在台灣</w:t>
      </w:r>
      <w:proofErr w:type="gramStart"/>
      <w:r>
        <w:rPr>
          <w:rFonts w:hint="eastAsia"/>
        </w:rPr>
        <w:t>被說成洪水猛獸</w:t>
      </w:r>
      <w:proofErr w:type="gramEnd"/>
      <w:r>
        <w:rPr>
          <w:rFonts w:hint="eastAsia"/>
        </w:rPr>
        <w:t>，一定要自然人鑑定，我不管</w:t>
      </w:r>
      <w:proofErr w:type="gramStart"/>
      <w:r>
        <w:rPr>
          <w:rFonts w:hint="eastAsia"/>
        </w:rPr>
        <w:t>說誰好誰壞</w:t>
      </w:r>
      <w:proofErr w:type="gramEnd"/>
      <w:r>
        <w:rPr>
          <w:rFonts w:hint="eastAsia"/>
        </w:rPr>
        <w:t>，應看案情而定，在歐陸跟台灣不敢完全</w:t>
      </w:r>
      <w:r>
        <w:rPr>
          <w:rFonts w:hint="eastAsia"/>
        </w:rPr>
        <w:lastRenderedPageBreak/>
        <w:t>廢除機關鑑定，依然有其原因存在，很多時候不是一個鑑定人可做得來的，很多時候是現行制度使然，並不是機關鑑定本身很糟糕。在德國就是一份鑑定報告，有其權威性，亦不可能因為機關鑑定就叫某一鑑定人報告，任何鑑定人只負責自己鑑定項目，最後的整合評鑑意見，不是由任何一人負責，這是專業使然。最後當然有人在法院想質疑鑑定意見，要提出其他專家意見也是可以的，亦不能要求所有參與機關鑑定之人到庭接受詰問。</w:t>
      </w:r>
    </w:p>
    <w:p w:rsidR="00CE314E" w:rsidRPr="00377B49" w:rsidRDefault="00CE314E" w:rsidP="00AA3F5F">
      <w:pPr>
        <w:pStyle w:val="5"/>
        <w:rPr>
          <w:b/>
        </w:rPr>
      </w:pPr>
      <w:r>
        <w:rPr>
          <w:rFonts w:hint="eastAsia"/>
        </w:rPr>
        <w:tab/>
      </w:r>
      <w:r w:rsidRPr="00377B49">
        <w:rPr>
          <w:rFonts w:hint="eastAsia"/>
          <w:b/>
        </w:rPr>
        <w:t>本院初步研究如下：</w:t>
      </w:r>
      <w:r w:rsidR="00697219" w:rsidRPr="00377B49">
        <w:rPr>
          <w:rFonts w:hint="eastAsia"/>
          <w:b/>
        </w:rPr>
        <w:t>(規劃詳見附件一)</w:t>
      </w:r>
    </w:p>
    <w:p w:rsidR="00CE314E" w:rsidRPr="00377B49" w:rsidRDefault="00CE314E" w:rsidP="00AA3F5F">
      <w:pPr>
        <w:pStyle w:val="6"/>
        <w:rPr>
          <w:b/>
        </w:rPr>
      </w:pPr>
      <w:r>
        <w:rPr>
          <w:rFonts w:hint="eastAsia"/>
        </w:rPr>
        <w:tab/>
      </w:r>
      <w:r w:rsidRPr="00377B49">
        <w:rPr>
          <w:rFonts w:hint="eastAsia"/>
          <w:b/>
        </w:rPr>
        <w:t>基於考量我國現行實務狀況，並避免被告選任鑑定人造成商業化與訴訟成本提高並產生訴訟延滯，得保留不受交互詰問之「中立性機關鑑定」，以達成刑事判決妥適正確、迅速、經濟及公平審理。</w:t>
      </w:r>
    </w:p>
    <w:p w:rsidR="00CE314E" w:rsidRDefault="00CE314E" w:rsidP="00AA3F5F">
      <w:pPr>
        <w:pStyle w:val="62"/>
        <w:ind w:left="2381" w:firstLine="680"/>
      </w:pPr>
      <w:r>
        <w:rPr>
          <w:rFonts w:hint="eastAsia"/>
        </w:rPr>
        <w:t>按學者評論專家證人在我國是否有進一步立法的必要性或可能性，間論及英美法系國家實施後面對之困境有三</w:t>
      </w:r>
      <w:r w:rsidR="00C00C96">
        <w:rPr>
          <w:rStyle w:val="afe"/>
        </w:rPr>
        <w:footnoteReference w:id="56"/>
      </w:r>
      <w:r w:rsidR="00697219">
        <w:rPr>
          <w:rFonts w:hAnsi="標楷體" w:hint="eastAsia"/>
        </w:rPr>
        <w:t>：</w:t>
      </w:r>
      <w:r>
        <w:rPr>
          <w:rFonts w:hint="eastAsia"/>
        </w:rPr>
        <w:t>1.專家證人商業化嚴重：在對抗這種訴訟模式中，由於專家證人由當事人在訴訟中自行聘請，當事人願意花更高的價錢聘請能夠做出對他們更有利證言的專家，導致專家應該客觀真實地陳述自己觀點所體現的中立性越發被削弱。2.訴訟成本提高：當事人為求勝訴，聘請一個甚至多個專家證人，造成訴訟成本持續攀</w:t>
      </w:r>
      <w:r>
        <w:rPr>
          <w:rFonts w:hint="eastAsia"/>
        </w:rPr>
        <w:lastRenderedPageBreak/>
        <w:t>升。同時，昂貴的證人費用導致當事人訴訟地位不平等，專家證人成為經濟地位相對低落者無法享受的奢侈品。3.訴訟延滯問題加劇：由於高額聘用的專家成為左右審判的關鍵，當事人必定都會請求法院允許對自己有利的專家證人，導致了交互詢問程序造成訴訟延滯。而我國鑑定制度除上列疑義外所面臨本土化的問題則為：1.司法院改革推動的金字塔型訴訟結構並未落實，一審法院審判人力嚴重不足，此時若貿然引進專家證人制度來嘗試彌補</w:t>
      </w:r>
      <w:r w:rsidR="00D858C2">
        <w:rPr>
          <w:rFonts w:ascii="新細明體" w:eastAsia="新細明體" w:hAnsi="新細明體" w:hint="eastAsia"/>
        </w:rPr>
        <w:t>，</w:t>
      </w:r>
      <w:r>
        <w:rPr>
          <w:rFonts w:hint="eastAsia"/>
        </w:rPr>
        <w:t>甚至取代現有鑑定制度，可能會在實際運作上產生更多的問題。2.在我國是否有足夠的學者專家能符合資格來擔任專家證人或鑑定人，其本身是否有意願離開本身專業領域的經營，參與訴訟程序，不無疑問；且客觀上的資格門檻若無嚴謹明確的配套，法官聽審時恐會受到專業不足的專家證人誤導，反而會本末倒置，加劇我國目前司法鑑定制度受人詬病的窘境。</w:t>
      </w:r>
    </w:p>
    <w:p w:rsidR="00CE314E" w:rsidRDefault="00CE314E" w:rsidP="00AA3F5F">
      <w:pPr>
        <w:pStyle w:val="62"/>
        <w:ind w:left="2381" w:firstLine="680"/>
      </w:pPr>
      <w:r>
        <w:rPr>
          <w:rFonts w:hint="eastAsia"/>
        </w:rPr>
        <w:t>基於上列問題考量，機關鑑定具有保障當事人程序上利益得以達成迅速而經濟的裁判功能，若能設立</w:t>
      </w:r>
      <w:r w:rsidR="00697219">
        <w:rPr>
          <w:rFonts w:hint="eastAsia"/>
        </w:rPr>
        <w:t>(計)具有中立性鑑定機關(具有形式中立與實質中立)</w:t>
      </w:r>
      <w:r>
        <w:rPr>
          <w:rFonts w:hint="eastAsia"/>
        </w:rPr>
        <w:t>於毋庸交互詰問制度下，亦</w:t>
      </w:r>
      <w:proofErr w:type="gramStart"/>
      <w:r>
        <w:rPr>
          <w:rFonts w:hint="eastAsia"/>
        </w:rPr>
        <w:t>得發見真實</w:t>
      </w:r>
      <w:proofErr w:type="gramEnd"/>
      <w:r>
        <w:rPr>
          <w:rFonts w:hint="eastAsia"/>
        </w:rPr>
        <w:t>，則可保留機關鑑定，當其制度設計若符合正當法律程序，亦難謂當然違背公平法院原則。</w:t>
      </w:r>
    </w:p>
    <w:p w:rsidR="00CE314E" w:rsidRPr="00377B49" w:rsidRDefault="00CE314E" w:rsidP="00AA3F5F">
      <w:pPr>
        <w:pStyle w:val="6"/>
        <w:rPr>
          <w:b/>
        </w:rPr>
      </w:pPr>
      <w:r>
        <w:rPr>
          <w:rFonts w:hint="eastAsia"/>
        </w:rPr>
        <w:tab/>
      </w:r>
      <w:r w:rsidRPr="00377B49">
        <w:rPr>
          <w:rFonts w:hint="eastAsia"/>
          <w:b/>
        </w:rPr>
        <w:t>中立性機關鑑定因得以不受「交互詰問」，本質上作為聯合國</w:t>
      </w:r>
      <w:r w:rsidR="007D4FEB">
        <w:rPr>
          <w:rFonts w:hint="eastAsia"/>
          <w:b/>
        </w:rPr>
        <w:t>公民與政治權利國際公約</w:t>
      </w:r>
      <w:r w:rsidRPr="00377B49">
        <w:rPr>
          <w:rFonts w:hint="eastAsia"/>
          <w:b/>
        </w:rPr>
        <w:t>第14條第3項第5</w:t>
      </w:r>
      <w:r w:rsidR="00D567A3">
        <w:rPr>
          <w:rFonts w:hint="eastAsia"/>
          <w:b/>
        </w:rPr>
        <w:t>款規定及</w:t>
      </w:r>
      <w:r w:rsidRPr="00377B49">
        <w:rPr>
          <w:rFonts w:hint="eastAsia"/>
          <w:b/>
        </w:rPr>
        <w:t>司法院釋字第582號保障對質詰問權之例外規定，若基於我國</w:t>
      </w:r>
      <w:r w:rsidRPr="00377B49">
        <w:rPr>
          <w:rFonts w:hint="eastAsia"/>
          <w:b/>
        </w:rPr>
        <w:lastRenderedPageBreak/>
        <w:t>實務運作上有存在必要，其適用範圍自應有所限制。</w:t>
      </w:r>
    </w:p>
    <w:p w:rsidR="00CE314E" w:rsidRDefault="00CE314E" w:rsidP="00AA3F5F">
      <w:pPr>
        <w:pStyle w:val="62"/>
        <w:ind w:left="2381" w:firstLine="680"/>
      </w:pPr>
      <w:r>
        <w:rPr>
          <w:rFonts w:hint="eastAsia"/>
        </w:rPr>
        <w:t>按刑事訴訟法第208</w:t>
      </w:r>
      <w:r w:rsidR="00D567A3">
        <w:rPr>
          <w:rFonts w:hint="eastAsia"/>
        </w:rPr>
        <w:t>條所定</w:t>
      </w:r>
      <w:r>
        <w:rPr>
          <w:rFonts w:hint="eastAsia"/>
        </w:rPr>
        <w:t>機關鑑定，與當事人進行主義之訴訟結構未盡相符。且於刑事訴訟中，鑑定人之中立、公正性及誠實，至為關鍵，我國所</w:t>
      </w:r>
      <w:proofErr w:type="gramStart"/>
      <w:r>
        <w:rPr>
          <w:rFonts w:hint="eastAsia"/>
        </w:rPr>
        <w:t>採</w:t>
      </w:r>
      <w:proofErr w:type="gramEnd"/>
      <w:r>
        <w:rPr>
          <w:rFonts w:hint="eastAsia"/>
        </w:rPr>
        <w:t>未經具結程序擔保及交互詰問之「機關鑑定」</w:t>
      </w:r>
      <w:r w:rsidR="00D567A3">
        <w:rPr>
          <w:rFonts w:ascii="新細明體" w:eastAsia="新細明體" w:hAnsi="新細明體" w:hint="eastAsia"/>
        </w:rPr>
        <w:t>，</w:t>
      </w:r>
      <w:r w:rsidR="00D567A3">
        <w:rPr>
          <w:rFonts w:hint="eastAsia"/>
        </w:rPr>
        <w:t>若</w:t>
      </w:r>
      <w:r>
        <w:rPr>
          <w:rFonts w:hint="eastAsia"/>
        </w:rPr>
        <w:t>構成聯合國</w:t>
      </w:r>
      <w:r w:rsidR="007D4FEB">
        <w:rPr>
          <w:rFonts w:hint="eastAsia"/>
        </w:rPr>
        <w:t>公民與政治權利國際公約</w:t>
      </w:r>
      <w:r>
        <w:rPr>
          <w:rFonts w:hint="eastAsia"/>
        </w:rPr>
        <w:t>第14條第3項第5款規定</w:t>
      </w:r>
      <w:r w:rsidR="00D567A3">
        <w:rPr>
          <w:rFonts w:hint="eastAsia"/>
        </w:rPr>
        <w:t>及</w:t>
      </w:r>
      <w:r>
        <w:rPr>
          <w:rFonts w:hint="eastAsia"/>
        </w:rPr>
        <w:t>司法院釋字第582號保障對質詰問權之例外規定，其適用範圍自應有所限制。</w:t>
      </w:r>
    </w:p>
    <w:p w:rsidR="00CE314E" w:rsidRDefault="00CE314E" w:rsidP="00AA3F5F">
      <w:pPr>
        <w:pStyle w:val="62"/>
        <w:ind w:left="2381" w:firstLine="680"/>
      </w:pPr>
      <w:r>
        <w:rPr>
          <w:rFonts w:hint="eastAsia"/>
        </w:rPr>
        <w:t>上開限制考量事項與限制範圍即在為平衡追求程序利益與實體利益，保障被告聽審請求權與程序主體權，以確定值得信賴之真實，該例外規範設計並不得侵害被告程序主體權，亦即對於被告產生突襲性裁判，其首要即為鑑定機關必須具有形式中立性。</w:t>
      </w:r>
    </w:p>
    <w:p w:rsidR="00CE314E" w:rsidRPr="00377B49" w:rsidRDefault="00CE314E" w:rsidP="00AA3F5F">
      <w:pPr>
        <w:pStyle w:val="6"/>
        <w:rPr>
          <w:b/>
        </w:rPr>
      </w:pPr>
      <w:r>
        <w:rPr>
          <w:rFonts w:hint="eastAsia"/>
        </w:rPr>
        <w:tab/>
      </w:r>
      <w:r w:rsidRPr="00377B49">
        <w:rPr>
          <w:rFonts w:hint="eastAsia"/>
          <w:b/>
        </w:rPr>
        <w:t>如在我國現行</w:t>
      </w:r>
      <w:proofErr w:type="gramStart"/>
      <w:r w:rsidRPr="00377B49">
        <w:rPr>
          <w:rFonts w:hint="eastAsia"/>
          <w:b/>
        </w:rPr>
        <w:t>偵</w:t>
      </w:r>
      <w:proofErr w:type="gramEnd"/>
      <w:r w:rsidRPr="00377B49">
        <w:rPr>
          <w:rFonts w:hint="eastAsia"/>
          <w:b/>
        </w:rPr>
        <w:t>審實務保留「不受交互詰問」機關鑑定，其適用範圍宜限制適用於法官或當事人合意囑託，應排除偵查機關所囑託之鑑定機關。</w:t>
      </w:r>
    </w:p>
    <w:p w:rsidR="00CE314E" w:rsidRDefault="00CE314E" w:rsidP="00AA3F5F">
      <w:pPr>
        <w:pStyle w:val="62"/>
        <w:ind w:left="2381" w:firstLine="680"/>
      </w:pPr>
      <w:r>
        <w:rPr>
          <w:rFonts w:hint="eastAsia"/>
        </w:rPr>
        <w:t>因保留</w:t>
      </w:r>
      <w:r w:rsidR="00D567A3">
        <w:rPr>
          <w:rFonts w:ascii="新細明體" w:eastAsia="新細明體" w:hAnsi="新細明體" w:hint="eastAsia"/>
        </w:rPr>
        <w:t>「</w:t>
      </w:r>
      <w:r>
        <w:rPr>
          <w:rFonts w:hint="eastAsia"/>
        </w:rPr>
        <w:t>不受交互詰問</w:t>
      </w:r>
      <w:r w:rsidR="00D567A3">
        <w:rPr>
          <w:rFonts w:ascii="新細明體" w:eastAsia="新細明體" w:hAnsi="新細明體" w:hint="eastAsia"/>
        </w:rPr>
        <w:t>」</w:t>
      </w:r>
      <w:r>
        <w:rPr>
          <w:rFonts w:hint="eastAsia"/>
        </w:rPr>
        <w:t>機關鑑定，仍須尊重當事人程序主體權，故除得由當事人於公判時合意囑託中立性機關外，機關選任基於中立性不得由檢察官為之，惟在</w:t>
      </w:r>
      <w:proofErr w:type="gramStart"/>
      <w:r>
        <w:rPr>
          <w:rFonts w:hint="eastAsia"/>
        </w:rPr>
        <w:t>公判庭亦得</w:t>
      </w:r>
      <w:proofErr w:type="gramEnd"/>
      <w:r>
        <w:rPr>
          <w:rFonts w:hint="eastAsia"/>
        </w:rPr>
        <w:t>考量由法官囑託；至於檢察官囑託機關鑑定，若未經法院審理，應視為傳聞證據。</w:t>
      </w:r>
    </w:p>
    <w:p w:rsidR="00CE314E" w:rsidRDefault="00CE314E" w:rsidP="00AA3F5F">
      <w:pPr>
        <w:pStyle w:val="62"/>
        <w:ind w:left="2381" w:firstLine="680"/>
      </w:pPr>
      <w:r>
        <w:rPr>
          <w:rFonts w:hint="eastAsia"/>
        </w:rPr>
        <w:t>目前我國實務上對於司法警察機關調查中之案件，因量大或有急迫情形，基於治安維持需要，檢察官針對案件認有鑑定之必要者，基於檢察一體原則，由該管檢察長對於</w:t>
      </w:r>
      <w:r>
        <w:rPr>
          <w:rFonts w:hint="eastAsia"/>
        </w:rPr>
        <w:lastRenderedPageBreak/>
        <w:t>轄區內之案件，以事前概括選任鑑定人或囑託鑑定機關</w:t>
      </w:r>
      <w:r w:rsidR="001D4925">
        <w:rPr>
          <w:rFonts w:hint="eastAsia"/>
        </w:rPr>
        <w:t>(團體)</w:t>
      </w:r>
      <w:r>
        <w:rPr>
          <w:rFonts w:hint="eastAsia"/>
        </w:rPr>
        <w:t>之方式，</w:t>
      </w:r>
      <w:proofErr w:type="gramStart"/>
      <w:r>
        <w:rPr>
          <w:rFonts w:hint="eastAsia"/>
        </w:rPr>
        <w:t>俾</w:t>
      </w:r>
      <w:proofErr w:type="gramEnd"/>
      <w:r>
        <w:rPr>
          <w:rFonts w:hint="eastAsia"/>
        </w:rPr>
        <w:t>便轄區內之司法警察</w:t>
      </w:r>
      <w:r w:rsidR="001D4925">
        <w:t>(</w:t>
      </w:r>
      <w:r w:rsidR="001D4925">
        <w:rPr>
          <w:rFonts w:hint="eastAsia"/>
        </w:rPr>
        <w:t>官</w:t>
      </w:r>
      <w:r w:rsidR="001D4925">
        <w:t>)</w:t>
      </w:r>
      <w:r>
        <w:rPr>
          <w:rFonts w:hint="eastAsia"/>
        </w:rPr>
        <w:t>對於調查中之此類案件，得即時送請事前已選任之鑑定人或囑託之鑑定機關</w:t>
      </w:r>
      <w:r w:rsidR="001D4925">
        <w:rPr>
          <w:rFonts w:hint="eastAsia"/>
        </w:rPr>
        <w:t>(團體)</w:t>
      </w:r>
      <w:r>
        <w:rPr>
          <w:rFonts w:hint="eastAsia"/>
        </w:rPr>
        <w:t>實施鑑定。在德國法准許警察機關於偵查中詢問鑑定人，日本法亦允許司法警察於犯罪偵查中有必要時，得為囑託鑑定。就我國而言，基於治安維持需要，上述檢察機關以事前概括選任鑑定人或囑託鑑定機關亦有其必要。惟上開各國規定，</w:t>
      </w:r>
      <w:proofErr w:type="gramStart"/>
      <w:r>
        <w:rPr>
          <w:rFonts w:hint="eastAsia"/>
        </w:rPr>
        <w:t>均仍需</w:t>
      </w:r>
      <w:proofErr w:type="gramEnd"/>
      <w:r>
        <w:rPr>
          <w:rFonts w:hint="eastAsia"/>
        </w:rPr>
        <w:t>經法院訊問，始得將其鑑定書面作為被告認定有罪之證據，以此觀之，我國現行實務並不符合武器平等原則，似對於被告防禦權考量未</w:t>
      </w:r>
      <w:proofErr w:type="gramStart"/>
      <w:r>
        <w:rPr>
          <w:rFonts w:hint="eastAsia"/>
        </w:rPr>
        <w:t>臻</w:t>
      </w:r>
      <w:proofErr w:type="gramEnd"/>
      <w:r>
        <w:rPr>
          <w:rFonts w:hint="eastAsia"/>
        </w:rPr>
        <w:t>周全，仍有</w:t>
      </w:r>
      <w:proofErr w:type="gramStart"/>
      <w:r>
        <w:rPr>
          <w:rFonts w:hint="eastAsia"/>
        </w:rPr>
        <w:t>研</w:t>
      </w:r>
      <w:proofErr w:type="gramEnd"/>
      <w:r>
        <w:rPr>
          <w:rFonts w:hint="eastAsia"/>
        </w:rPr>
        <w:t>議空間。</w:t>
      </w:r>
    </w:p>
    <w:p w:rsidR="00CE314E" w:rsidRPr="00377B49" w:rsidRDefault="00CE314E" w:rsidP="0081785D">
      <w:pPr>
        <w:pStyle w:val="4"/>
        <w:rPr>
          <w:b/>
        </w:rPr>
      </w:pPr>
      <w:r w:rsidRPr="00377B49">
        <w:rPr>
          <w:rFonts w:hint="eastAsia"/>
          <w:b/>
        </w:rPr>
        <w:t>鑑定制度應依科技發展現況，適時充實鑑定項目分類，並由透過鑑定機關參考名冊協助司法機關提升選任鑑定機關或鑑定人之妥當性，惟該參考名冊宜建立適正審查程序，如實施先行專業審查或實驗室認證、鑑定人員資格認證、常態性準確性考核之各項標準作業程序，以提升</w:t>
      </w:r>
      <w:proofErr w:type="gramStart"/>
      <w:r w:rsidRPr="00377B49">
        <w:rPr>
          <w:rFonts w:hint="eastAsia"/>
          <w:b/>
        </w:rPr>
        <w:t>鑑</w:t>
      </w:r>
      <w:proofErr w:type="gramEnd"/>
      <w:r w:rsidRPr="00377B49">
        <w:rPr>
          <w:rFonts w:hint="eastAsia"/>
          <w:b/>
        </w:rPr>
        <w:t>識機關之公正性做為保留具有職權主義特色之機關鑑定之基石，並因應偵查與審判不同需求，建立層級化與多元化科學鑑定</w:t>
      </w:r>
      <w:r w:rsidR="001D4925" w:rsidRPr="00377B49">
        <w:rPr>
          <w:rFonts w:hint="eastAsia"/>
          <w:b/>
        </w:rPr>
        <w:t>(識)</w:t>
      </w:r>
      <w:r w:rsidRPr="00377B49">
        <w:rPr>
          <w:rFonts w:hint="eastAsia"/>
          <w:b/>
        </w:rPr>
        <w:t>系統。</w:t>
      </w:r>
    </w:p>
    <w:p w:rsidR="00CE314E" w:rsidRPr="00377B49" w:rsidRDefault="00CE314E" w:rsidP="0081785D">
      <w:pPr>
        <w:pStyle w:val="5"/>
        <w:rPr>
          <w:b/>
        </w:rPr>
      </w:pPr>
      <w:r>
        <w:rPr>
          <w:rFonts w:hint="eastAsia"/>
        </w:rPr>
        <w:tab/>
      </w:r>
      <w:r w:rsidRPr="00377B49">
        <w:rPr>
          <w:rFonts w:hint="eastAsia"/>
          <w:b/>
        </w:rPr>
        <w:t>司法院目前提供法院鑑定機關參考名單之作法</w:t>
      </w:r>
    </w:p>
    <w:p w:rsidR="00CE314E" w:rsidRDefault="00CE314E" w:rsidP="0081785D">
      <w:pPr>
        <w:pStyle w:val="52"/>
        <w:ind w:left="2041" w:firstLine="680"/>
      </w:pPr>
      <w:r>
        <w:rPr>
          <w:rFonts w:hint="eastAsia"/>
        </w:rPr>
        <w:t>司法院訂定鑑定機關參考名冊，分類為一、</w:t>
      </w:r>
      <w:proofErr w:type="gramStart"/>
      <w:r>
        <w:rPr>
          <w:rFonts w:hint="eastAsia"/>
        </w:rPr>
        <w:t>醫</w:t>
      </w:r>
      <w:proofErr w:type="gramEnd"/>
      <w:r>
        <w:rPr>
          <w:rFonts w:hint="eastAsia"/>
        </w:rPr>
        <w:t>事鑑定。二、毒品、尿液。三、</w:t>
      </w:r>
      <w:proofErr w:type="gramStart"/>
      <w:r>
        <w:rPr>
          <w:rFonts w:hint="eastAsia"/>
        </w:rPr>
        <w:t>鑑</w:t>
      </w:r>
      <w:proofErr w:type="gramEnd"/>
      <w:r>
        <w:rPr>
          <w:rFonts w:hint="eastAsia"/>
        </w:rPr>
        <w:t>識。四、工程</w:t>
      </w:r>
      <w:r w:rsidR="00FD3EE9">
        <w:rPr>
          <w:rFonts w:ascii="新細明體" w:eastAsia="新細明體" w:hAnsi="新細明體" w:hint="eastAsia"/>
        </w:rPr>
        <w:t>。</w:t>
      </w:r>
      <w:r>
        <w:rPr>
          <w:rFonts w:hint="eastAsia"/>
        </w:rPr>
        <w:t>五、土地測量、</w:t>
      </w:r>
      <w:proofErr w:type="gramStart"/>
      <w:r>
        <w:rPr>
          <w:rFonts w:hint="eastAsia"/>
        </w:rPr>
        <w:t>鑑</w:t>
      </w:r>
      <w:proofErr w:type="gramEnd"/>
      <w:r>
        <w:rPr>
          <w:rFonts w:hint="eastAsia"/>
        </w:rPr>
        <w:t>界。六、</w:t>
      </w:r>
      <w:proofErr w:type="gramStart"/>
      <w:r>
        <w:rPr>
          <w:rFonts w:hint="eastAsia"/>
        </w:rPr>
        <w:t>鑑</w:t>
      </w:r>
      <w:proofErr w:type="gramEnd"/>
      <w:r>
        <w:rPr>
          <w:rFonts w:hint="eastAsia"/>
        </w:rPr>
        <w:t>價（含動產、不動產）。七、機械設備。八、交通事故。九、會計。十、槍砲、彈藥、刀械。十一、其</w:t>
      </w:r>
      <w:r>
        <w:rPr>
          <w:rFonts w:hint="eastAsia"/>
        </w:rPr>
        <w:lastRenderedPageBreak/>
        <w:t>他。並將上開機關區分為全國性鑑定機關與地方性鑑定機關。惟該名冊僅供法院審理個案時參考之用，各該機關團體是否具備鑑定所需之特別學識經驗，仍由各法院就具體個案之待鑑定事項予以審查判斷。故其係</w:t>
      </w:r>
      <w:proofErr w:type="gramStart"/>
      <w:r>
        <w:rPr>
          <w:rFonts w:hint="eastAsia"/>
        </w:rPr>
        <w:t>採多元分雜的</w:t>
      </w:r>
      <w:proofErr w:type="gramEnd"/>
      <w:r>
        <w:rPr>
          <w:rFonts w:hint="eastAsia"/>
        </w:rPr>
        <w:t>組織系統。</w:t>
      </w:r>
    </w:p>
    <w:p w:rsidR="00CE314E" w:rsidRDefault="00CE314E" w:rsidP="0081785D">
      <w:pPr>
        <w:pStyle w:val="5"/>
      </w:pPr>
      <w:r>
        <w:rPr>
          <w:rFonts w:hint="eastAsia"/>
        </w:rPr>
        <w:tab/>
        <w:t>諮詢學者看法</w:t>
      </w:r>
    </w:p>
    <w:p w:rsidR="00CE314E" w:rsidRDefault="00CE314E" w:rsidP="0081785D">
      <w:pPr>
        <w:pStyle w:val="6"/>
      </w:pPr>
      <w:r>
        <w:rPr>
          <w:rFonts w:hint="eastAsia"/>
        </w:rPr>
        <w:tab/>
        <w:t>陳運財教授</w:t>
      </w:r>
      <w:r w:rsidR="00AC43C7">
        <w:rPr>
          <w:rFonts w:ascii="新細明體" w:eastAsia="新細明體" w:hAnsi="新細明體" w:hint="eastAsia"/>
        </w:rPr>
        <w:t>：</w:t>
      </w:r>
    </w:p>
    <w:p w:rsidR="00CE314E" w:rsidRDefault="00CE314E" w:rsidP="0081785D">
      <w:pPr>
        <w:pStyle w:val="62"/>
        <w:ind w:left="2381" w:firstLine="680"/>
      </w:pPr>
      <w:r>
        <w:rPr>
          <w:rFonts w:hint="eastAsia"/>
        </w:rPr>
        <w:t>日本刑事</w:t>
      </w:r>
      <w:proofErr w:type="gramStart"/>
      <w:r>
        <w:rPr>
          <w:rFonts w:hint="eastAsia"/>
        </w:rPr>
        <w:t>鑑</w:t>
      </w:r>
      <w:proofErr w:type="gramEnd"/>
      <w:r>
        <w:rPr>
          <w:rFonts w:hint="eastAsia"/>
        </w:rPr>
        <w:t>識機構，目前並無政府所特設的獨立</w:t>
      </w:r>
      <w:proofErr w:type="gramStart"/>
      <w:r>
        <w:rPr>
          <w:rFonts w:hint="eastAsia"/>
        </w:rPr>
        <w:t>鑑</w:t>
      </w:r>
      <w:proofErr w:type="gramEnd"/>
      <w:r>
        <w:rPr>
          <w:rFonts w:hint="eastAsia"/>
        </w:rPr>
        <w:t>識機構。刑事程序中的鑑定分別囑託或選任警察機關內部的</w:t>
      </w:r>
      <w:proofErr w:type="gramStart"/>
      <w:r>
        <w:rPr>
          <w:rFonts w:hint="eastAsia"/>
        </w:rPr>
        <w:t>鑑</w:t>
      </w:r>
      <w:proofErr w:type="gramEnd"/>
      <w:r>
        <w:rPr>
          <w:rFonts w:hint="eastAsia"/>
        </w:rPr>
        <w:t>識單位</w:t>
      </w:r>
      <w:r w:rsidR="00607830">
        <w:rPr>
          <w:rFonts w:hint="eastAsia"/>
        </w:rPr>
        <w:t>(包含各都道府縣警察局所設之</w:t>
      </w:r>
      <w:r w:rsidR="009327E2" w:rsidRPr="009327E2">
        <w:rPr>
          <w:rFonts w:hint="eastAsia"/>
        </w:rPr>
        <w:t>科學搜查研究所</w:t>
      </w:r>
      <w:r w:rsidR="00607830">
        <w:rPr>
          <w:rFonts w:hint="eastAsia"/>
        </w:rPr>
        <w:t>或</w:t>
      </w:r>
      <w:proofErr w:type="gramStart"/>
      <w:r w:rsidR="00607830">
        <w:rPr>
          <w:rFonts w:hint="eastAsia"/>
        </w:rPr>
        <w:t>鑑識課</w:t>
      </w:r>
      <w:proofErr w:type="gramEnd"/>
      <w:r w:rsidR="00607830">
        <w:rPr>
          <w:rFonts w:hint="eastAsia"/>
        </w:rPr>
        <w:t>、警察廳(</w:t>
      </w:r>
      <w:r w:rsidR="009327E2">
        <w:rPr>
          <w:rFonts w:hint="eastAsia"/>
        </w:rPr>
        <w:t>相當於我國</w:t>
      </w:r>
      <w:r w:rsidR="00607830">
        <w:rPr>
          <w:rFonts w:hint="eastAsia"/>
        </w:rPr>
        <w:t>警政署)所設之</w:t>
      </w:r>
      <w:r w:rsidR="009327E2" w:rsidRPr="009327E2">
        <w:rPr>
          <w:rFonts w:hint="eastAsia"/>
          <w:bCs/>
        </w:rPr>
        <w:t>科學警察研究所</w:t>
      </w:r>
      <w:r w:rsidR="00607830">
        <w:rPr>
          <w:rFonts w:hint="eastAsia"/>
        </w:rPr>
        <w:t>)</w:t>
      </w:r>
      <w:r>
        <w:rPr>
          <w:rFonts w:hint="eastAsia"/>
        </w:rPr>
        <w:t>的技術人員、大學、醫院或研究機構等的專業人員作為鑑定人。其中，刑事審判實務使用之鑑定證據，絕大多數是出於偵查機關所囑託之鑑定。此種囑託鑑定，一般是由各都道府縣警察局</w:t>
      </w:r>
      <w:proofErr w:type="gramStart"/>
      <w:r>
        <w:rPr>
          <w:rFonts w:hint="eastAsia"/>
        </w:rPr>
        <w:t>鑑識課之鑑</w:t>
      </w:r>
      <w:proofErr w:type="gramEnd"/>
      <w:r>
        <w:rPr>
          <w:rFonts w:hint="eastAsia"/>
        </w:rPr>
        <w:t>識人員負責實施指紋及足跡等跡證的識別；各都道府縣警察局所設之科學偵查研究所的技術人員負責實施藥物、血跡、</w:t>
      </w:r>
      <w:proofErr w:type="gramStart"/>
      <w:r>
        <w:rPr>
          <w:rFonts w:hint="eastAsia"/>
        </w:rPr>
        <w:t>微物</w:t>
      </w:r>
      <w:proofErr w:type="gramEnd"/>
      <w:r>
        <w:rPr>
          <w:rFonts w:hint="eastAsia"/>
        </w:rPr>
        <w:t>、測謊及火災等事故原因的鑑定；警察廳所設之</w:t>
      </w:r>
      <w:r w:rsidR="009327E2" w:rsidRPr="009327E2">
        <w:rPr>
          <w:rFonts w:hint="eastAsia"/>
          <w:bCs/>
        </w:rPr>
        <w:t>科學警察研究所</w:t>
      </w:r>
      <w:r>
        <w:rPr>
          <w:rFonts w:hint="eastAsia"/>
        </w:rPr>
        <w:t>則擔任槍彈、偽造貨幣及其他需要特殊設備及技術之鑑定事項。對於上述由警察機關內部的</w:t>
      </w:r>
      <w:proofErr w:type="gramStart"/>
      <w:r>
        <w:rPr>
          <w:rFonts w:hint="eastAsia"/>
        </w:rPr>
        <w:t>鑑</w:t>
      </w:r>
      <w:proofErr w:type="gramEnd"/>
      <w:r>
        <w:rPr>
          <w:rFonts w:hint="eastAsia"/>
        </w:rPr>
        <w:t>識單位的技術人員實施鑑定的狀況，其鑑定的中立公正性，長期以來受到不少質疑，因此在日本主張建置獨立</w:t>
      </w:r>
      <w:proofErr w:type="gramStart"/>
      <w:r>
        <w:rPr>
          <w:rFonts w:hint="eastAsia"/>
        </w:rPr>
        <w:t>鑑</w:t>
      </w:r>
      <w:proofErr w:type="gramEnd"/>
      <w:r>
        <w:rPr>
          <w:rFonts w:hint="eastAsia"/>
        </w:rPr>
        <w:t>識機構的呼聲不斷。</w:t>
      </w:r>
      <w:proofErr w:type="gramStart"/>
      <w:r>
        <w:rPr>
          <w:rFonts w:hint="eastAsia"/>
        </w:rPr>
        <w:t>惟</w:t>
      </w:r>
      <w:proofErr w:type="gramEnd"/>
      <w:r>
        <w:rPr>
          <w:rFonts w:hint="eastAsia"/>
        </w:rPr>
        <w:t>截至目前</w:t>
      </w:r>
      <w:r w:rsidR="00392AE0">
        <w:rPr>
          <w:rFonts w:hint="eastAsia"/>
        </w:rPr>
        <w:t>為止</w:t>
      </w:r>
      <w:r>
        <w:rPr>
          <w:rFonts w:hint="eastAsia"/>
        </w:rPr>
        <w:t>，尚未實現。</w:t>
      </w:r>
    </w:p>
    <w:p w:rsidR="00CE314E" w:rsidRDefault="00CE314E" w:rsidP="0081785D">
      <w:pPr>
        <w:pStyle w:val="62"/>
        <w:ind w:left="2381" w:firstLine="680"/>
      </w:pPr>
      <w:r>
        <w:rPr>
          <w:rFonts w:hint="eastAsia"/>
        </w:rPr>
        <w:t>基於鑑定中立公正性之考量，建議：(1)</w:t>
      </w:r>
      <w:r>
        <w:rPr>
          <w:rFonts w:hint="eastAsia"/>
        </w:rPr>
        <w:lastRenderedPageBreak/>
        <w:t>整合現行法務部、調查局及內政部警政署等所屬</w:t>
      </w:r>
      <w:proofErr w:type="gramStart"/>
      <w:r>
        <w:rPr>
          <w:rFonts w:hint="eastAsia"/>
        </w:rPr>
        <w:t>鑑</w:t>
      </w:r>
      <w:proofErr w:type="gramEnd"/>
      <w:r>
        <w:rPr>
          <w:rFonts w:hint="eastAsia"/>
        </w:rPr>
        <w:t>識單位，就其人事組織、經費等獨立於偵查機關之外，成立獨立的專業</w:t>
      </w:r>
      <w:proofErr w:type="gramStart"/>
      <w:r>
        <w:rPr>
          <w:rFonts w:hint="eastAsia"/>
        </w:rPr>
        <w:t>鑑</w:t>
      </w:r>
      <w:proofErr w:type="gramEnd"/>
      <w:r>
        <w:rPr>
          <w:rFonts w:hint="eastAsia"/>
        </w:rPr>
        <w:t>識機構，負責複雜或其他需要特殊設備及技術之鑑定事項、以及爭議案件之</w:t>
      </w:r>
      <w:proofErr w:type="gramStart"/>
      <w:r>
        <w:rPr>
          <w:rFonts w:hint="eastAsia"/>
        </w:rPr>
        <w:t>複鑑</w:t>
      </w:r>
      <w:proofErr w:type="gramEnd"/>
      <w:r>
        <w:rPr>
          <w:rFonts w:hint="eastAsia"/>
        </w:rPr>
        <w:t>工作。(2)由於台灣幅員狹小且交通便捷，為整合有限資源及提升獨立性，建議目前各縣市刑警大隊所屬之</w:t>
      </w:r>
      <w:proofErr w:type="gramStart"/>
      <w:r>
        <w:rPr>
          <w:rFonts w:hint="eastAsia"/>
        </w:rPr>
        <w:t>鑑</w:t>
      </w:r>
      <w:proofErr w:type="gramEnd"/>
      <w:r>
        <w:rPr>
          <w:rFonts w:hint="eastAsia"/>
        </w:rPr>
        <w:t>識單位，應以幾個都會區為單位予以整合為區域型刑事</w:t>
      </w:r>
      <w:proofErr w:type="gramStart"/>
      <w:r>
        <w:rPr>
          <w:rFonts w:hint="eastAsia"/>
        </w:rPr>
        <w:t>鑑</w:t>
      </w:r>
      <w:proofErr w:type="gramEnd"/>
      <w:r>
        <w:rPr>
          <w:rFonts w:hint="eastAsia"/>
        </w:rPr>
        <w:t>識中心負責區域內之初</w:t>
      </w:r>
      <w:proofErr w:type="gramStart"/>
      <w:r>
        <w:rPr>
          <w:rFonts w:hint="eastAsia"/>
        </w:rPr>
        <w:t>鑑</w:t>
      </w:r>
      <w:proofErr w:type="gramEnd"/>
      <w:r>
        <w:rPr>
          <w:rFonts w:hint="eastAsia"/>
        </w:rPr>
        <w:t>工作。另一方面，政府應在政策上鼓勵私人設立營利或非營利之</w:t>
      </w:r>
      <w:proofErr w:type="gramStart"/>
      <w:r>
        <w:rPr>
          <w:rFonts w:hint="eastAsia"/>
        </w:rPr>
        <w:t>鑑</w:t>
      </w:r>
      <w:proofErr w:type="gramEnd"/>
      <w:r>
        <w:rPr>
          <w:rFonts w:hint="eastAsia"/>
        </w:rPr>
        <w:t>識實驗室，積極培育</w:t>
      </w:r>
      <w:proofErr w:type="gramStart"/>
      <w:r>
        <w:rPr>
          <w:rFonts w:hint="eastAsia"/>
        </w:rPr>
        <w:t>鑑</w:t>
      </w:r>
      <w:proofErr w:type="gramEnd"/>
      <w:r>
        <w:rPr>
          <w:rFonts w:hint="eastAsia"/>
        </w:rPr>
        <w:t>識專業人才，受司法單位委託鑑定。</w:t>
      </w:r>
    </w:p>
    <w:p w:rsidR="00CE314E" w:rsidRDefault="00CE314E" w:rsidP="0081785D">
      <w:pPr>
        <w:pStyle w:val="6"/>
      </w:pPr>
      <w:r>
        <w:rPr>
          <w:rFonts w:hint="eastAsia"/>
        </w:rPr>
        <w:tab/>
        <w:t>林裕順教授</w:t>
      </w:r>
      <w:r w:rsidR="00C20DCE">
        <w:rPr>
          <w:rFonts w:ascii="新細明體" w:eastAsia="新細明體" w:hAnsi="新細明體" w:hint="eastAsia"/>
        </w:rPr>
        <w:t>：</w:t>
      </w:r>
    </w:p>
    <w:p w:rsidR="00CE314E" w:rsidRDefault="00CE314E" w:rsidP="0081785D">
      <w:pPr>
        <w:pStyle w:val="62"/>
        <w:ind w:left="2381" w:firstLine="680"/>
      </w:pPr>
      <w:r>
        <w:rPr>
          <w:rFonts w:hint="eastAsia"/>
        </w:rPr>
        <w:t>對照日本刑事程序規範及其實務運作現制，該國因應犯罪追訴相關</w:t>
      </w:r>
      <w:proofErr w:type="gramStart"/>
      <w:r>
        <w:rPr>
          <w:rFonts w:hint="eastAsia"/>
        </w:rPr>
        <w:t>鑑</w:t>
      </w:r>
      <w:proofErr w:type="gramEnd"/>
      <w:r>
        <w:rPr>
          <w:rFonts w:hint="eastAsia"/>
        </w:rPr>
        <w:t>識技術運用，如槍彈鑑定、指紋鑑定、毒品鑑定等等，與我國類似集中於警察機關統一實施。惟</w:t>
      </w:r>
      <w:proofErr w:type="gramStart"/>
      <w:r>
        <w:rPr>
          <w:rFonts w:hint="eastAsia"/>
        </w:rPr>
        <w:t>鑑</w:t>
      </w:r>
      <w:proofErr w:type="gramEnd"/>
      <w:r>
        <w:rPr>
          <w:rFonts w:hint="eastAsia"/>
        </w:rPr>
        <w:t>識技術人員配置於警察機關之下，如中央政府機關警察廳</w:t>
      </w:r>
      <w:r w:rsidR="00607830">
        <w:rPr>
          <w:rFonts w:hint="eastAsia"/>
        </w:rPr>
        <w:t>(相當我國警政署)</w:t>
      </w:r>
      <w:r>
        <w:rPr>
          <w:rFonts w:hint="eastAsia"/>
        </w:rPr>
        <w:t>下之「科學警察研究所」，或地方政府機關都道府縣警察本部</w:t>
      </w:r>
      <w:r w:rsidR="00607830">
        <w:rPr>
          <w:rFonts w:hint="eastAsia"/>
        </w:rPr>
        <w:t>(相當我國縣市政府警察局)</w:t>
      </w:r>
      <w:r>
        <w:rPr>
          <w:rFonts w:hint="eastAsia"/>
        </w:rPr>
        <w:t>之「科學搜查研究所」。但前揭二單位內執行檢測</w:t>
      </w:r>
      <w:proofErr w:type="gramStart"/>
      <w:r>
        <w:rPr>
          <w:rFonts w:hint="eastAsia"/>
        </w:rPr>
        <w:t>鑑</w:t>
      </w:r>
      <w:proofErr w:type="gramEnd"/>
      <w:r>
        <w:rPr>
          <w:rFonts w:hint="eastAsia"/>
        </w:rPr>
        <w:t>驗之成員，並不具有警察官身分而屬於技術官僚，晉用取才方式也與警察任用有別。因此，相關</w:t>
      </w:r>
      <w:proofErr w:type="gramStart"/>
      <w:r>
        <w:rPr>
          <w:rFonts w:hint="eastAsia"/>
        </w:rPr>
        <w:t>鑑</w:t>
      </w:r>
      <w:proofErr w:type="gramEnd"/>
      <w:r>
        <w:rPr>
          <w:rFonts w:hint="eastAsia"/>
        </w:rPr>
        <w:t>識專業人員協助</w:t>
      </w:r>
      <w:proofErr w:type="gramStart"/>
      <w:r>
        <w:rPr>
          <w:rFonts w:hint="eastAsia"/>
        </w:rPr>
        <w:t>鑑</w:t>
      </w:r>
      <w:proofErr w:type="gramEnd"/>
      <w:r>
        <w:rPr>
          <w:rFonts w:hint="eastAsia"/>
        </w:rPr>
        <w:t>驗及檢測工作，並不擔任司法警察實施犯罪偵查，可避免身分定位、職權行使的矛盾、衝突。或者，為確保鑑定機關專業效能或中立公平，有謂應於司法機關中建制「</w:t>
      </w:r>
      <w:proofErr w:type="gramStart"/>
      <w:r>
        <w:rPr>
          <w:rFonts w:hint="eastAsia"/>
        </w:rPr>
        <w:t>鑑</w:t>
      </w:r>
      <w:proofErr w:type="gramEnd"/>
      <w:r>
        <w:rPr>
          <w:rFonts w:hint="eastAsia"/>
        </w:rPr>
        <w:t>識科學機構」，或者</w:t>
      </w:r>
      <w:r w:rsidR="00D512B9">
        <w:rPr>
          <w:rFonts w:hint="eastAsia"/>
        </w:rPr>
        <w:t>審、檢、警、辯</w:t>
      </w:r>
      <w:r>
        <w:rPr>
          <w:rFonts w:hint="eastAsia"/>
        </w:rPr>
        <w:t>共同參與建制共同之</w:t>
      </w:r>
      <w:proofErr w:type="gramStart"/>
      <w:r>
        <w:rPr>
          <w:rFonts w:hint="eastAsia"/>
        </w:rPr>
        <w:t>鑑</w:t>
      </w:r>
      <w:proofErr w:type="gramEnd"/>
      <w:r>
        <w:rPr>
          <w:rFonts w:hint="eastAsia"/>
        </w:rPr>
        <w:t>識單位。</w:t>
      </w:r>
    </w:p>
    <w:p w:rsidR="00CE314E" w:rsidRDefault="00CE314E" w:rsidP="0081785D">
      <w:pPr>
        <w:pStyle w:val="6"/>
      </w:pPr>
      <w:r>
        <w:rPr>
          <w:rFonts w:hint="eastAsia"/>
        </w:rPr>
        <w:lastRenderedPageBreak/>
        <w:tab/>
        <w:t>何賴傑教授</w:t>
      </w:r>
      <w:r w:rsidR="00AC43C7">
        <w:rPr>
          <w:rFonts w:ascii="新細明體" w:eastAsia="新細明體" w:hAnsi="新細明體" w:hint="eastAsia"/>
        </w:rPr>
        <w:t>：</w:t>
      </w:r>
    </w:p>
    <w:p w:rsidR="00CE314E" w:rsidRDefault="00CE314E" w:rsidP="0081785D">
      <w:pPr>
        <w:pStyle w:val="62"/>
        <w:ind w:left="2381" w:firstLine="680"/>
      </w:pPr>
      <w:r>
        <w:rPr>
          <w:rFonts w:hint="eastAsia"/>
        </w:rPr>
        <w:t>如何提升鑑定品質，也是司法必須面對的課題。由於科學領域之分化與發展，一日千里，各別領域有各自的指導規範及標準作業程式</w:t>
      </w:r>
      <w:r w:rsidR="00607830">
        <w:t>(Standard Operation Procedure</w:t>
      </w:r>
      <w:r w:rsidR="00C20DCE">
        <w:rPr>
          <w:rFonts w:ascii="新細明體" w:eastAsia="新細明體" w:hAnsi="新細明體" w:hint="eastAsia"/>
        </w:rPr>
        <w:t>，</w:t>
      </w:r>
      <w:r w:rsidR="00C20DCE">
        <w:rPr>
          <w:rFonts w:hint="eastAsia"/>
        </w:rPr>
        <w:t>SOP</w:t>
      </w:r>
      <w:r w:rsidR="00607830">
        <w:t>)</w:t>
      </w:r>
      <w:r>
        <w:rPr>
          <w:rFonts w:hint="eastAsia"/>
        </w:rPr>
        <w:t>。原則上，法院必須尊重這些科學規範，應該透過各自科學領域之專家提供專家參考名單，而由法院列冊，以供法庭及雙方當事人參考(德國法院亦係如此作法)。</w:t>
      </w:r>
    </w:p>
    <w:p w:rsidR="00CE314E" w:rsidRDefault="00CE314E" w:rsidP="0081785D">
      <w:pPr>
        <w:pStyle w:val="62"/>
        <w:ind w:left="2381" w:firstLine="680"/>
      </w:pPr>
      <w:r>
        <w:rPr>
          <w:rFonts w:hint="eastAsia"/>
        </w:rPr>
        <w:t>國家以經費建置刑事</w:t>
      </w:r>
      <w:proofErr w:type="gramStart"/>
      <w:r>
        <w:rPr>
          <w:rFonts w:hint="eastAsia"/>
        </w:rPr>
        <w:t>鑑</w:t>
      </w:r>
      <w:proofErr w:type="gramEnd"/>
      <w:r>
        <w:rPr>
          <w:rFonts w:hint="eastAsia"/>
        </w:rPr>
        <w:t>識中心，並委任其有鑑定職務，在諸多國家皆係如此。如考慮刑事警察機關為鑑定機關之中立公正性，應要求</w:t>
      </w:r>
      <w:proofErr w:type="gramStart"/>
      <w:r>
        <w:rPr>
          <w:rFonts w:hint="eastAsia"/>
        </w:rPr>
        <w:t>鑑</w:t>
      </w:r>
      <w:proofErr w:type="gramEnd"/>
      <w:r>
        <w:rPr>
          <w:rFonts w:hint="eastAsia"/>
        </w:rPr>
        <w:t>識人員到庭作證並具結，並對於</w:t>
      </w:r>
      <w:proofErr w:type="gramStart"/>
      <w:r>
        <w:rPr>
          <w:rFonts w:hint="eastAsia"/>
        </w:rPr>
        <w:t>鑑</w:t>
      </w:r>
      <w:proofErr w:type="gramEnd"/>
      <w:r>
        <w:rPr>
          <w:rFonts w:hint="eastAsia"/>
        </w:rPr>
        <w:t>識中心之</w:t>
      </w:r>
      <w:proofErr w:type="gramStart"/>
      <w:r>
        <w:rPr>
          <w:rFonts w:hint="eastAsia"/>
        </w:rPr>
        <w:t>鑑</w:t>
      </w:r>
      <w:proofErr w:type="gramEnd"/>
      <w:r>
        <w:rPr>
          <w:rFonts w:hint="eastAsia"/>
        </w:rPr>
        <w:t>識作業，建立一套公開透明的作業程序。</w:t>
      </w:r>
    </w:p>
    <w:p w:rsidR="00CE314E" w:rsidRDefault="00CE314E" w:rsidP="0081785D">
      <w:pPr>
        <w:pStyle w:val="6"/>
      </w:pPr>
      <w:r>
        <w:rPr>
          <w:rFonts w:hint="eastAsia"/>
        </w:rPr>
        <w:tab/>
        <w:t>林輝煌主任檢察官</w:t>
      </w:r>
      <w:r w:rsidR="00C20DCE">
        <w:rPr>
          <w:rFonts w:ascii="新細明體" w:eastAsia="新細明體" w:hAnsi="新細明體" w:hint="eastAsia"/>
        </w:rPr>
        <w:t>：</w:t>
      </w:r>
    </w:p>
    <w:p w:rsidR="00CE314E" w:rsidRDefault="00CE314E" w:rsidP="0081785D">
      <w:pPr>
        <w:pStyle w:val="62"/>
        <w:ind w:left="2381" w:firstLine="680"/>
      </w:pPr>
      <w:r>
        <w:rPr>
          <w:rFonts w:hint="eastAsia"/>
        </w:rPr>
        <w:t>現行</w:t>
      </w:r>
      <w:proofErr w:type="gramStart"/>
      <w:r>
        <w:rPr>
          <w:rFonts w:hint="eastAsia"/>
        </w:rPr>
        <w:t>鑑</w:t>
      </w:r>
      <w:proofErr w:type="gramEnd"/>
      <w:r>
        <w:rPr>
          <w:rFonts w:hint="eastAsia"/>
        </w:rPr>
        <w:t>識組織係</w:t>
      </w:r>
      <w:proofErr w:type="gramStart"/>
      <w:r>
        <w:rPr>
          <w:rFonts w:hint="eastAsia"/>
        </w:rPr>
        <w:t>採多元分雜的</w:t>
      </w:r>
      <w:proofErr w:type="gramEnd"/>
      <w:r>
        <w:rPr>
          <w:rFonts w:hint="eastAsia"/>
        </w:rPr>
        <w:t>組織隸屬：主要刑事</w:t>
      </w:r>
      <w:proofErr w:type="gramStart"/>
      <w:r>
        <w:rPr>
          <w:rFonts w:hint="eastAsia"/>
        </w:rPr>
        <w:t>鑑</w:t>
      </w:r>
      <w:proofErr w:type="gramEnd"/>
      <w:r>
        <w:rPr>
          <w:rFonts w:hint="eastAsia"/>
        </w:rPr>
        <w:t>識單位有法務部調查局、法醫研究所；內政部警政署刑事警察局鑑識中心、中央警察大學</w:t>
      </w:r>
      <w:proofErr w:type="gramStart"/>
      <w:r>
        <w:rPr>
          <w:rFonts w:hint="eastAsia"/>
        </w:rPr>
        <w:t>鑑</w:t>
      </w:r>
      <w:proofErr w:type="gramEnd"/>
      <w:r>
        <w:rPr>
          <w:rFonts w:hint="eastAsia"/>
        </w:rPr>
        <w:t>識科學</w:t>
      </w:r>
      <w:proofErr w:type="gramStart"/>
      <w:r>
        <w:rPr>
          <w:rFonts w:hint="eastAsia"/>
        </w:rPr>
        <w:t>學</w:t>
      </w:r>
      <w:proofErr w:type="gramEnd"/>
      <w:r>
        <w:rPr>
          <w:rFonts w:hint="eastAsia"/>
        </w:rPr>
        <w:t>系；國防部憲兵指揮部刑事鑑識中心、六都的刑事</w:t>
      </w:r>
      <w:proofErr w:type="gramStart"/>
      <w:r>
        <w:rPr>
          <w:rFonts w:hint="eastAsia"/>
        </w:rPr>
        <w:t>鑑</w:t>
      </w:r>
      <w:proofErr w:type="gramEnd"/>
      <w:r>
        <w:rPr>
          <w:rFonts w:hint="eastAsia"/>
        </w:rPr>
        <w:t>識中心，分隸各部。此外尚有其他公立(</w:t>
      </w:r>
      <w:proofErr w:type="gramStart"/>
      <w:r>
        <w:rPr>
          <w:rFonts w:hint="eastAsia"/>
        </w:rPr>
        <w:t>衛福部</w:t>
      </w:r>
      <w:proofErr w:type="gramEnd"/>
      <w:r>
        <w:rPr>
          <w:rFonts w:hint="eastAsia"/>
        </w:rPr>
        <w:t>食品藥物管理署、農委會、中央銀行、財政部關稅總局、經濟部標準檢驗局、國發會、勞動部、環保署環境檢驗所、交通部電信總局及民航局、榮民總醫院、高雄市凱旋醫院、各行車事故鑑定委員會、中油公司、中華郵政公司、台灣菸酒公司、工研院、中興工程顧問公司、草屯療養院)及私立鑑定機構(傑</w:t>
      </w:r>
      <w:proofErr w:type="gramStart"/>
      <w:r>
        <w:rPr>
          <w:rFonts w:hint="eastAsia"/>
        </w:rPr>
        <w:t>太</w:t>
      </w:r>
      <w:proofErr w:type="gramEnd"/>
      <w:r>
        <w:rPr>
          <w:rFonts w:hint="eastAsia"/>
        </w:rPr>
        <w:t>日</w:t>
      </w:r>
      <w:proofErr w:type="gramStart"/>
      <w:r>
        <w:rPr>
          <w:rFonts w:hint="eastAsia"/>
        </w:rPr>
        <w:t>菸</w:t>
      </w:r>
      <w:proofErr w:type="gramEnd"/>
      <w:r>
        <w:rPr>
          <w:rFonts w:hint="eastAsia"/>
        </w:rPr>
        <w:t>國際公司、元智大學、正修科技大學)，</w:t>
      </w:r>
      <w:r>
        <w:rPr>
          <w:rFonts w:hint="eastAsia"/>
        </w:rPr>
        <w:lastRenderedPageBreak/>
        <w:t>總計有29個單位，負責各個不同品項的</w:t>
      </w:r>
      <w:proofErr w:type="gramStart"/>
      <w:r>
        <w:rPr>
          <w:rFonts w:hint="eastAsia"/>
        </w:rPr>
        <w:t>鑑</w:t>
      </w:r>
      <w:proofErr w:type="gramEnd"/>
      <w:r>
        <w:rPr>
          <w:rFonts w:hint="eastAsia"/>
        </w:rPr>
        <w:t>識業務。</w:t>
      </w:r>
    </w:p>
    <w:p w:rsidR="00CE314E" w:rsidRDefault="00CE314E" w:rsidP="0081785D">
      <w:pPr>
        <w:pStyle w:val="62"/>
        <w:ind w:left="2381" w:firstLine="680"/>
      </w:pPr>
      <w:proofErr w:type="gramStart"/>
      <w:r>
        <w:rPr>
          <w:rFonts w:hint="eastAsia"/>
        </w:rPr>
        <w:t>當前應細究</w:t>
      </w:r>
      <w:proofErr w:type="gramEnd"/>
      <w:r>
        <w:rPr>
          <w:rFonts w:hint="eastAsia"/>
        </w:rPr>
        <w:t>多元組織現制有無重疊及整合之可能，目前</w:t>
      </w:r>
      <w:proofErr w:type="gramStart"/>
      <w:r>
        <w:rPr>
          <w:rFonts w:hint="eastAsia"/>
        </w:rPr>
        <w:t>鑑</w:t>
      </w:r>
      <w:proofErr w:type="gramEnd"/>
      <w:r>
        <w:rPr>
          <w:rFonts w:hint="eastAsia"/>
        </w:rPr>
        <w:t>識工作分隸紛亂，多頭馬車，無法整合相關資源，亦無法推動</w:t>
      </w:r>
      <w:proofErr w:type="gramStart"/>
      <w:r>
        <w:rPr>
          <w:rFonts w:hint="eastAsia"/>
        </w:rPr>
        <w:t>鑑</w:t>
      </w:r>
      <w:proofErr w:type="gramEnd"/>
      <w:r>
        <w:rPr>
          <w:rFonts w:hint="eastAsia"/>
        </w:rPr>
        <w:t>識人員認證制度，使各</w:t>
      </w:r>
      <w:proofErr w:type="gramStart"/>
      <w:r>
        <w:rPr>
          <w:rFonts w:hint="eastAsia"/>
        </w:rPr>
        <w:t>鑑</w:t>
      </w:r>
      <w:proofErr w:type="gramEnd"/>
      <w:r>
        <w:rPr>
          <w:rFonts w:hint="eastAsia"/>
        </w:rPr>
        <w:t>識實驗室符合國際</w:t>
      </w:r>
      <w:proofErr w:type="gramStart"/>
      <w:r>
        <w:rPr>
          <w:rFonts w:hint="eastAsia"/>
        </w:rPr>
        <w:t>鑑</w:t>
      </w:r>
      <w:proofErr w:type="gramEnd"/>
      <w:r>
        <w:rPr>
          <w:rFonts w:hint="eastAsia"/>
        </w:rPr>
        <w:t>識實驗室認證標準，公信力有待建立。</w:t>
      </w:r>
    </w:p>
    <w:p w:rsidR="00CE314E" w:rsidRDefault="00CE314E" w:rsidP="0081785D">
      <w:pPr>
        <w:pStyle w:val="62"/>
        <w:ind w:left="2381" w:firstLine="680"/>
      </w:pPr>
      <w:r>
        <w:rPr>
          <w:rFonts w:hint="eastAsia"/>
        </w:rPr>
        <w:t>科際整合的可能性與</w:t>
      </w:r>
      <w:proofErr w:type="gramStart"/>
      <w:r>
        <w:rPr>
          <w:rFonts w:hint="eastAsia"/>
        </w:rPr>
        <w:t>鑑</w:t>
      </w:r>
      <w:proofErr w:type="gramEnd"/>
      <w:r>
        <w:rPr>
          <w:rFonts w:hint="eastAsia"/>
        </w:rPr>
        <w:t>識權威性的界定，實為建置國家級</w:t>
      </w:r>
      <w:proofErr w:type="gramStart"/>
      <w:r>
        <w:rPr>
          <w:rFonts w:hint="eastAsia"/>
        </w:rPr>
        <w:t>鑑</w:t>
      </w:r>
      <w:proofErr w:type="gramEnd"/>
      <w:r>
        <w:rPr>
          <w:rFonts w:hint="eastAsia"/>
        </w:rPr>
        <w:t>識中心首要解決之問題。</w:t>
      </w:r>
    </w:p>
    <w:p w:rsidR="00CE314E" w:rsidRDefault="00CE314E" w:rsidP="002410E4">
      <w:pPr>
        <w:pStyle w:val="6"/>
      </w:pPr>
      <w:r>
        <w:rPr>
          <w:rFonts w:hint="eastAsia"/>
        </w:rPr>
        <w:tab/>
        <w:t>潘至信醫師：</w:t>
      </w:r>
    </w:p>
    <w:p w:rsidR="00CE314E" w:rsidRDefault="00CE314E" w:rsidP="002410E4">
      <w:pPr>
        <w:pStyle w:val="62"/>
        <w:ind w:left="2381" w:firstLine="680"/>
      </w:pPr>
      <w:r>
        <w:rPr>
          <w:rFonts w:hint="eastAsia"/>
        </w:rPr>
        <w:t>法醫界分成兩個大領域，作「人體」的部分，法醫解剖</w:t>
      </w:r>
      <w:r w:rsidR="00607830">
        <w:rPr>
          <w:rFonts w:hint="eastAsia"/>
        </w:rPr>
        <w:t>(法醫學)</w:t>
      </w:r>
      <w:r>
        <w:rPr>
          <w:rFonts w:hint="eastAsia"/>
        </w:rPr>
        <w:t>，是鑑定的一種，所提出為「意見」</w:t>
      </w:r>
      <w:r w:rsidR="00607830">
        <w:t>(opinion)</w:t>
      </w:r>
      <w:r>
        <w:rPr>
          <w:rFonts w:hint="eastAsia"/>
        </w:rPr>
        <w:t>，例如診斷死者死因，所給為「診斷意見」</w:t>
      </w:r>
      <w:r w:rsidR="00607830">
        <w:t>(diagnosis opinon)</w:t>
      </w:r>
      <w:r>
        <w:rPr>
          <w:rFonts w:hint="eastAsia"/>
        </w:rPr>
        <w:t>，目前執行者都是醫師，加上足夠的法醫訓練，103年開始台灣法醫學解剖病理專科醫師</w:t>
      </w:r>
      <w:r w:rsidR="00607830">
        <w:t>(FP)</w:t>
      </w:r>
      <w:r>
        <w:rPr>
          <w:rFonts w:hint="eastAsia"/>
        </w:rPr>
        <w:t>，目前已有證照制度，在美國法醫給鑑定結果只是意見</w:t>
      </w:r>
      <w:r w:rsidR="00607830">
        <w:t>(opinon)</w:t>
      </w:r>
      <w:r>
        <w:rPr>
          <w:rFonts w:hint="eastAsia"/>
        </w:rPr>
        <w:t>，不是試驗，我們國內的法醫則有同儕比對，以提升信度，並跟國外專家的意見比較，以</w:t>
      </w:r>
      <w:proofErr w:type="gramStart"/>
      <w:r>
        <w:rPr>
          <w:rFonts w:hint="eastAsia"/>
        </w:rPr>
        <w:t>提升效度</w:t>
      </w:r>
      <w:proofErr w:type="gramEnd"/>
      <w:r>
        <w:rPr>
          <w:rFonts w:hint="eastAsia"/>
        </w:rPr>
        <w:t>；「人體」以外部分是法科學，主要是作測量或試驗，DNA鑑定就是法科學部分，在美國我留學的密西根州是警察系統在做。</w:t>
      </w:r>
    </w:p>
    <w:p w:rsidR="00CE314E" w:rsidRDefault="00CE314E" w:rsidP="002410E4">
      <w:pPr>
        <w:pStyle w:val="62"/>
        <w:ind w:left="2381" w:firstLine="680"/>
      </w:pPr>
      <w:r>
        <w:rPr>
          <w:rFonts w:hint="eastAsia"/>
        </w:rPr>
        <w:t>目前台灣法醫學解剖病理專科醫師，係103年開始有</w:t>
      </w:r>
      <w:r w:rsidR="00FD3EE9">
        <w:rPr>
          <w:rFonts w:hint="eastAsia"/>
        </w:rPr>
        <w:t>訂定</w:t>
      </w:r>
      <w:r w:rsidR="007F072E">
        <w:rPr>
          <w:rFonts w:hint="eastAsia"/>
        </w:rPr>
        <w:t>病理專科</w:t>
      </w:r>
      <w:r>
        <w:rPr>
          <w:rFonts w:hint="eastAsia"/>
        </w:rPr>
        <w:t>醫師</w:t>
      </w:r>
      <w:proofErr w:type="gramStart"/>
      <w:r>
        <w:rPr>
          <w:rFonts w:hint="eastAsia"/>
        </w:rPr>
        <w:t>甄</w:t>
      </w:r>
      <w:proofErr w:type="gramEnd"/>
      <w:r>
        <w:rPr>
          <w:rFonts w:hint="eastAsia"/>
        </w:rPr>
        <w:t>審資格辦法，並給予合格者證書</w:t>
      </w:r>
      <w:r w:rsidR="00607830">
        <w:t>(FP)</w:t>
      </w:r>
      <w:r>
        <w:rPr>
          <w:rFonts w:hint="eastAsia"/>
        </w:rPr>
        <w:t>。美國在</w:t>
      </w:r>
      <w:r w:rsidR="00607830">
        <w:rPr>
          <w:rFonts w:hint="eastAsia"/>
        </w:rPr>
        <w:t>西元</w:t>
      </w:r>
      <w:r>
        <w:rPr>
          <w:rFonts w:hint="eastAsia"/>
        </w:rPr>
        <w:t>1959年就開始有法醫學解剖病理專科醫師證照制度，參與訓練者資格、合格訓練單位、執業經驗、訓練期程</w:t>
      </w:r>
      <w:proofErr w:type="gramStart"/>
      <w:r>
        <w:rPr>
          <w:rFonts w:hint="eastAsia"/>
        </w:rPr>
        <w:t>等均有明確</w:t>
      </w:r>
      <w:proofErr w:type="gramEnd"/>
      <w:r>
        <w:rPr>
          <w:rFonts w:hint="eastAsia"/>
        </w:rPr>
        <w:t>規範，新進醫師</w:t>
      </w:r>
      <w:r>
        <w:rPr>
          <w:rFonts w:hint="eastAsia"/>
        </w:rPr>
        <w:lastRenderedPageBreak/>
        <w:t>在訓練過程都要取得證照者的監督與指導學習，不過</w:t>
      </w:r>
      <w:r w:rsidR="00607830">
        <w:rPr>
          <w:rFonts w:hint="eastAsia"/>
        </w:rPr>
        <w:t>臺</w:t>
      </w:r>
      <w:r>
        <w:rPr>
          <w:rFonts w:hint="eastAsia"/>
        </w:rPr>
        <w:t>灣法醫訓練發展較慢，訓練制度尚未完善，訓練過程都需要合格FP從旁指導，目前可以訓練出病理專科醫師之機關，只有法醫研究所，因為所內每年有2,000個案例。</w:t>
      </w:r>
    </w:p>
    <w:p w:rsidR="00CE314E" w:rsidRDefault="00CE314E" w:rsidP="002410E4">
      <w:pPr>
        <w:pStyle w:val="6"/>
      </w:pPr>
      <w:r>
        <w:rPr>
          <w:rFonts w:hint="eastAsia"/>
        </w:rPr>
        <w:tab/>
        <w:t>曾柏元醫師：</w:t>
      </w:r>
    </w:p>
    <w:p w:rsidR="00CE314E" w:rsidRDefault="00CE314E" w:rsidP="002410E4">
      <w:pPr>
        <w:pStyle w:val="62"/>
        <w:ind w:left="2381" w:firstLine="680"/>
      </w:pPr>
      <w:r>
        <w:rPr>
          <w:rFonts w:hint="eastAsia"/>
        </w:rPr>
        <w:t>一般通過實驗室認證，對於實驗室人員和技術要求有遵循認證規範步驟及程序，符合才會給予實驗室認證。法醫研究所、調查局都已經在</w:t>
      </w:r>
      <w:r w:rsidR="00C20DCE">
        <w:rPr>
          <w:rFonts w:hint="eastAsia"/>
        </w:rPr>
        <w:t>92</w:t>
      </w:r>
      <w:r>
        <w:rPr>
          <w:rFonts w:hint="eastAsia"/>
        </w:rPr>
        <w:t>年以後通過實驗室認證。</w:t>
      </w:r>
    </w:p>
    <w:p w:rsidR="00CE314E" w:rsidRDefault="00CE314E" w:rsidP="002410E4">
      <w:pPr>
        <w:pStyle w:val="6"/>
      </w:pPr>
      <w:r>
        <w:rPr>
          <w:rFonts w:hint="eastAsia"/>
        </w:rPr>
        <w:tab/>
        <w:t>黃女恩分局長：</w:t>
      </w:r>
    </w:p>
    <w:p w:rsidR="00CE314E" w:rsidRDefault="00CE314E" w:rsidP="002410E4">
      <w:pPr>
        <w:pStyle w:val="62"/>
        <w:ind w:left="2381" w:firstLine="680"/>
      </w:pPr>
      <w:r>
        <w:rPr>
          <w:rFonts w:hint="eastAsia"/>
        </w:rPr>
        <w:t>日本目前有47</w:t>
      </w:r>
      <w:r w:rsidR="00C20DCE">
        <w:rPr>
          <w:rFonts w:hint="eastAsia"/>
        </w:rPr>
        <w:t>個</w:t>
      </w:r>
      <w:r>
        <w:rPr>
          <w:rFonts w:hint="eastAsia"/>
        </w:rPr>
        <w:t>刑事</w:t>
      </w:r>
      <w:proofErr w:type="gramStart"/>
      <w:r>
        <w:rPr>
          <w:rFonts w:hint="eastAsia"/>
        </w:rPr>
        <w:t>鑑</w:t>
      </w:r>
      <w:proofErr w:type="gramEnd"/>
      <w:r>
        <w:rPr>
          <w:rFonts w:hint="eastAsia"/>
        </w:rPr>
        <w:t>識機關，檢測方法是由中央機關統一試劑及技術標準來要求檢測人員做檢驗，任何一個實驗室都會按照該標準</w:t>
      </w:r>
      <w:proofErr w:type="gramStart"/>
      <w:r>
        <w:rPr>
          <w:rFonts w:hint="eastAsia"/>
        </w:rPr>
        <w:t>來作鑑</w:t>
      </w:r>
      <w:proofErr w:type="gramEnd"/>
      <w:r>
        <w:rPr>
          <w:rFonts w:hint="eastAsia"/>
        </w:rPr>
        <w:t>識。</w:t>
      </w:r>
      <w:r w:rsidR="00496E69">
        <w:rPr>
          <w:rFonts w:hint="eastAsia"/>
        </w:rPr>
        <w:t>臺</w:t>
      </w:r>
      <w:r>
        <w:rPr>
          <w:rFonts w:hint="eastAsia"/>
        </w:rPr>
        <w:t>灣做法是否妥適，事實上不同的實驗室有可能使用不同的試劑來做，事實上也會釋出不同的訊息。日本是訂一個標準單位，來要求任何一個實驗室按照標準，</w:t>
      </w:r>
      <w:r w:rsidR="00496E69">
        <w:rPr>
          <w:rFonts w:hint="eastAsia"/>
        </w:rPr>
        <w:t>臺</w:t>
      </w:r>
      <w:r>
        <w:rPr>
          <w:rFonts w:hint="eastAsia"/>
        </w:rPr>
        <w:t>灣目前實驗室都在走ISO，我在新北市政府</w:t>
      </w:r>
      <w:proofErr w:type="gramStart"/>
      <w:r>
        <w:rPr>
          <w:rFonts w:hint="eastAsia"/>
        </w:rPr>
        <w:t>鑑</w:t>
      </w:r>
      <w:proofErr w:type="gramEnd"/>
      <w:r>
        <w:rPr>
          <w:rFonts w:hint="eastAsia"/>
        </w:rPr>
        <w:t>識單位就已經通過ISO</w:t>
      </w:r>
      <w:r w:rsidR="00C20DCE">
        <w:rPr>
          <w:rFonts w:hint="eastAsia"/>
        </w:rPr>
        <w:t xml:space="preserve"> </w:t>
      </w:r>
      <w:r>
        <w:rPr>
          <w:rFonts w:hint="eastAsia"/>
        </w:rPr>
        <w:t>17025標準作業流程，我們實驗室的再現性跟準確性事實上都能獲得確保，事實上也跟實驗室的運作有關係，如果有一個更上位</w:t>
      </w:r>
      <w:proofErr w:type="gramStart"/>
      <w:r>
        <w:rPr>
          <w:rFonts w:hint="eastAsia"/>
        </w:rPr>
        <w:t>鑑</w:t>
      </w:r>
      <w:proofErr w:type="gramEnd"/>
      <w:r>
        <w:rPr>
          <w:rFonts w:hint="eastAsia"/>
        </w:rPr>
        <w:t>識單位來主導這個事情，我認為不適合只有該單位可以發展，目前中央機關可以訂定標準，但是不能限制技術之發展，就是要求實驗室都要按照這個標準來做，也可以效法ISO的標準，目前通過認證的實驗室，才是法院概括囑託鑑定的實驗室。我個人很贊成國家成立統一</w:t>
      </w:r>
      <w:proofErr w:type="gramStart"/>
      <w:r>
        <w:rPr>
          <w:rFonts w:hint="eastAsia"/>
        </w:rPr>
        <w:t>鑑</w:t>
      </w:r>
      <w:proofErr w:type="gramEnd"/>
      <w:r>
        <w:rPr>
          <w:rFonts w:hint="eastAsia"/>
        </w:rPr>
        <w:t>識機關，可以保持更客觀的立場，當然我也</w:t>
      </w:r>
      <w:r>
        <w:rPr>
          <w:rFonts w:hint="eastAsia"/>
        </w:rPr>
        <w:lastRenderedPageBreak/>
        <w:t>很同情其他單位，因為在封閉且BY ORDER的環境下，這種組織框架下，其處理相關</w:t>
      </w:r>
      <w:proofErr w:type="gramStart"/>
      <w:r>
        <w:rPr>
          <w:rFonts w:hint="eastAsia"/>
        </w:rPr>
        <w:t>鑑</w:t>
      </w:r>
      <w:proofErr w:type="gramEnd"/>
      <w:r>
        <w:rPr>
          <w:rFonts w:hint="eastAsia"/>
        </w:rPr>
        <w:t>識工作相對比較難以獨立。在警察機關，因為大家各有所長，比較尊重</w:t>
      </w:r>
      <w:proofErr w:type="gramStart"/>
      <w:r>
        <w:rPr>
          <w:rFonts w:hint="eastAsia"/>
        </w:rPr>
        <w:t>鑑</w:t>
      </w:r>
      <w:proofErr w:type="gramEnd"/>
      <w:r>
        <w:rPr>
          <w:rFonts w:hint="eastAsia"/>
        </w:rPr>
        <w:t>識專業，從我30年鑑識經驗，長官都很尊重</w:t>
      </w:r>
      <w:proofErr w:type="gramStart"/>
      <w:r>
        <w:rPr>
          <w:rFonts w:hint="eastAsia"/>
        </w:rPr>
        <w:t>鑑</w:t>
      </w:r>
      <w:proofErr w:type="gramEnd"/>
      <w:r>
        <w:rPr>
          <w:rFonts w:hint="eastAsia"/>
        </w:rPr>
        <w:t>識單位，從不干涉鑑定結果。只有重大刑事案件因司法機關開庭期限希望我們改變鑑定期程。</w:t>
      </w:r>
    </w:p>
    <w:p w:rsidR="00CE314E" w:rsidRDefault="00CE314E" w:rsidP="002410E4">
      <w:pPr>
        <w:pStyle w:val="6"/>
      </w:pPr>
      <w:r>
        <w:rPr>
          <w:rFonts w:hint="eastAsia"/>
        </w:rPr>
        <w:tab/>
        <w:t>周成功教授：</w:t>
      </w:r>
    </w:p>
    <w:p w:rsidR="00CE314E" w:rsidRDefault="00CE314E" w:rsidP="002410E4">
      <w:pPr>
        <w:pStyle w:val="62"/>
        <w:ind w:left="2381" w:firstLine="680"/>
      </w:pPr>
      <w:r>
        <w:rPr>
          <w:rFonts w:hint="eastAsia"/>
        </w:rPr>
        <w:t>國外臨床實驗室，其上層是政府機構，也許是學會，應該扮演更吃重的角色，譬如說你講的中華民國科學鑑識學會，除了ISO認證，能否執行一些計畫，能否定期的給樣本讓他們檢驗結果回來，看實驗室做的好還不好，在臨床檢驗上已經是非常普遍的，而且已經是到全世界送各國實驗室來檢測。國內的</w:t>
      </w:r>
      <w:proofErr w:type="gramStart"/>
      <w:r>
        <w:rPr>
          <w:rFonts w:hint="eastAsia"/>
        </w:rPr>
        <w:t>鑑</w:t>
      </w:r>
      <w:proofErr w:type="gramEnd"/>
      <w:r>
        <w:rPr>
          <w:rFonts w:hint="eastAsia"/>
        </w:rPr>
        <w:t>識學會有沒有這樣的機制？</w:t>
      </w:r>
    </w:p>
    <w:p w:rsidR="00CE314E" w:rsidRPr="00377B49" w:rsidRDefault="00CE314E" w:rsidP="00680E22">
      <w:pPr>
        <w:pStyle w:val="5"/>
        <w:rPr>
          <w:b/>
        </w:rPr>
      </w:pPr>
      <w:r>
        <w:rPr>
          <w:rFonts w:hint="eastAsia"/>
        </w:rPr>
        <w:tab/>
      </w:r>
      <w:r w:rsidRPr="00377B49">
        <w:rPr>
          <w:rFonts w:hint="eastAsia"/>
          <w:b/>
        </w:rPr>
        <w:t>本院初步研究意見：</w:t>
      </w:r>
      <w:r w:rsidR="00496E69" w:rsidRPr="00377B49">
        <w:rPr>
          <w:rFonts w:hint="eastAsia"/>
          <w:b/>
        </w:rPr>
        <w:t>(見附件二)</w:t>
      </w:r>
    </w:p>
    <w:p w:rsidR="00CE314E" w:rsidRPr="00377B49" w:rsidRDefault="00CE314E" w:rsidP="00680E22">
      <w:pPr>
        <w:pStyle w:val="6"/>
        <w:rPr>
          <w:b/>
        </w:rPr>
      </w:pPr>
      <w:r>
        <w:rPr>
          <w:rFonts w:hint="eastAsia"/>
        </w:rPr>
        <w:tab/>
      </w:r>
      <w:r w:rsidRPr="00377B49">
        <w:rPr>
          <w:rFonts w:hint="eastAsia"/>
          <w:b/>
        </w:rPr>
        <w:t>鑑定制度應依據科技發展現況，隨時充實鑑定項目分類。</w:t>
      </w:r>
    </w:p>
    <w:p w:rsidR="00CE314E" w:rsidRDefault="00CE314E" w:rsidP="00680E22">
      <w:pPr>
        <w:pStyle w:val="62"/>
        <w:ind w:left="2381" w:firstLine="680"/>
      </w:pPr>
      <w:r>
        <w:rPr>
          <w:rFonts w:hint="eastAsia"/>
        </w:rPr>
        <w:t>按</w:t>
      </w:r>
      <w:proofErr w:type="gramStart"/>
      <w:r>
        <w:rPr>
          <w:rFonts w:hint="eastAsia"/>
        </w:rPr>
        <w:t>鑑</w:t>
      </w:r>
      <w:proofErr w:type="gramEnd"/>
      <w:r>
        <w:rPr>
          <w:rFonts w:hint="eastAsia"/>
        </w:rPr>
        <w:t>識科學隨著科技發展出包括刑事牙醫學、刑事人類學、刑事工程學、藥毒物</w:t>
      </w:r>
      <w:proofErr w:type="gramStart"/>
      <w:r>
        <w:rPr>
          <w:rFonts w:hint="eastAsia"/>
        </w:rPr>
        <w:t>鑑</w:t>
      </w:r>
      <w:proofErr w:type="gramEnd"/>
      <w:r>
        <w:rPr>
          <w:rFonts w:hint="eastAsia"/>
        </w:rPr>
        <w:t>識、微物</w:t>
      </w:r>
      <w:proofErr w:type="gramStart"/>
      <w:r>
        <w:rPr>
          <w:rFonts w:hint="eastAsia"/>
        </w:rPr>
        <w:t>鑑</w:t>
      </w:r>
      <w:proofErr w:type="gramEnd"/>
      <w:r>
        <w:rPr>
          <w:rFonts w:hint="eastAsia"/>
        </w:rPr>
        <w:t>識、痕跡</w:t>
      </w:r>
      <w:proofErr w:type="gramStart"/>
      <w:r>
        <w:rPr>
          <w:rFonts w:hint="eastAsia"/>
        </w:rPr>
        <w:t>鑑</w:t>
      </w:r>
      <w:proofErr w:type="gramEnd"/>
      <w:r>
        <w:rPr>
          <w:rFonts w:hint="eastAsia"/>
        </w:rPr>
        <w:t>識、DNA</w:t>
      </w:r>
      <w:proofErr w:type="gramStart"/>
      <w:r>
        <w:rPr>
          <w:rFonts w:hint="eastAsia"/>
        </w:rPr>
        <w:t>鑑</w:t>
      </w:r>
      <w:proofErr w:type="gramEnd"/>
      <w:r>
        <w:rPr>
          <w:rFonts w:hint="eastAsia"/>
        </w:rPr>
        <w:t>識、刑事植物學、聲紋</w:t>
      </w:r>
      <w:proofErr w:type="gramStart"/>
      <w:r>
        <w:rPr>
          <w:rFonts w:hint="eastAsia"/>
        </w:rPr>
        <w:t>鑑</w:t>
      </w:r>
      <w:proofErr w:type="gramEnd"/>
      <w:r>
        <w:rPr>
          <w:rFonts w:hint="eastAsia"/>
        </w:rPr>
        <w:t>識與各種現場重建技術等。又刑事病理學亦延伸至刑事昆蟲學、刑事考古學與刑事護理學領域。另由於電腦與網路犯罪之偵查與</w:t>
      </w:r>
      <w:proofErr w:type="gramStart"/>
      <w:r>
        <w:rPr>
          <w:rFonts w:hint="eastAsia"/>
        </w:rPr>
        <w:t>鑑</w:t>
      </w:r>
      <w:proofErr w:type="gramEnd"/>
      <w:r>
        <w:rPr>
          <w:rFonts w:hint="eastAsia"/>
        </w:rPr>
        <w:t>識技術、影像分析技術等日新月異之發展，刑事心理學、刑事精神病學、犯罪</w:t>
      </w:r>
      <w:proofErr w:type="gramStart"/>
      <w:r>
        <w:rPr>
          <w:rFonts w:hint="eastAsia"/>
        </w:rPr>
        <w:t>剖繪、</w:t>
      </w:r>
      <w:proofErr w:type="gramEnd"/>
      <w:r>
        <w:rPr>
          <w:rFonts w:hint="eastAsia"/>
        </w:rPr>
        <w:t>犯罪手法及簽名特徵等應用於刑事案件之</w:t>
      </w:r>
      <w:proofErr w:type="gramStart"/>
      <w:r>
        <w:rPr>
          <w:rFonts w:hint="eastAsia"/>
        </w:rPr>
        <w:t>鑑</w:t>
      </w:r>
      <w:proofErr w:type="gramEnd"/>
      <w:r>
        <w:rPr>
          <w:rFonts w:hint="eastAsia"/>
        </w:rPr>
        <w:t>識作業。</w:t>
      </w:r>
    </w:p>
    <w:p w:rsidR="00CE314E" w:rsidRDefault="00CE314E" w:rsidP="00680E22">
      <w:pPr>
        <w:pStyle w:val="62"/>
        <w:ind w:left="2381" w:firstLine="680"/>
      </w:pPr>
      <w:r>
        <w:rPr>
          <w:rFonts w:hint="eastAsia"/>
        </w:rPr>
        <w:t>以現行司法系統所面對科技日新月異之</w:t>
      </w:r>
      <w:r>
        <w:rPr>
          <w:rFonts w:hint="eastAsia"/>
        </w:rPr>
        <w:lastRenderedPageBreak/>
        <w:t>情形，難用傳統法學加以解決，自應尋求各領域專家學者參與，始能隨時充實各鑑定項目分類，符合當前科技水平。</w:t>
      </w:r>
    </w:p>
    <w:p w:rsidR="00CE314E" w:rsidRPr="00377B49" w:rsidRDefault="00CE314E" w:rsidP="00680E22">
      <w:pPr>
        <w:pStyle w:val="6"/>
        <w:rPr>
          <w:b/>
        </w:rPr>
      </w:pPr>
      <w:r>
        <w:rPr>
          <w:rFonts w:hint="eastAsia"/>
        </w:rPr>
        <w:tab/>
      </w:r>
      <w:r w:rsidRPr="00377B49">
        <w:rPr>
          <w:rFonts w:hint="eastAsia"/>
          <w:b/>
        </w:rPr>
        <w:t>司法院得公布鑑定機關參考名冊協助司法機關選任囑託鑑定機關或鑑定人，惟該參考名冊之制定前，宜先行建立適正審查程序，如實施先行專業審查或實驗室認證、鑑定人員資格認證、常態性準確性考核之各項標準作業程序，以提升鑑定機關之公正性。</w:t>
      </w:r>
    </w:p>
    <w:p w:rsidR="00CE314E" w:rsidRDefault="00CE314E" w:rsidP="00680E22">
      <w:pPr>
        <w:pStyle w:val="62"/>
        <w:ind w:left="2381" w:firstLine="680"/>
      </w:pPr>
      <w:r>
        <w:rPr>
          <w:rFonts w:hint="eastAsia"/>
        </w:rPr>
        <w:t>按憲法第77條規定，司法院為國家最高司法機關，</w:t>
      </w:r>
      <w:r w:rsidR="00C20DCE">
        <w:rPr>
          <w:rFonts w:hint="eastAsia"/>
        </w:rPr>
        <w:t>司法院</w:t>
      </w:r>
      <w:r>
        <w:rPr>
          <w:rFonts w:hint="eastAsia"/>
        </w:rPr>
        <w:t>釋字第530號解釋，最高司法機關就審理事項並有發布規則之權；又基於保障人民有依法定程序提起訴訟，受充分而有效公平審判之權利，以維護人民之司法受益權，最高司法機關自有司法行政監督之權限。司法自主性與司法行政監督權之行使，</w:t>
      </w:r>
      <w:proofErr w:type="gramStart"/>
      <w:r>
        <w:rPr>
          <w:rFonts w:hint="eastAsia"/>
        </w:rPr>
        <w:t>均應以</w:t>
      </w:r>
      <w:proofErr w:type="gramEnd"/>
      <w:r>
        <w:rPr>
          <w:rFonts w:hint="eastAsia"/>
        </w:rPr>
        <w:t>維護審判獨立為目標，是以最高司法機關於達成上述司法行政監督之目的範圍內，雖得發布命令，但不得違反首揭審判獨立之原則。又司法行政機關為使人民之司法受益權獲得充分而有效之保障，對法官之職務於不違反審判獨立原則之範圍內，自得為必要之監督。法官於受理之案件，負有合法、公正、妥速、及時處理之義務。是則，司法機關為保障人民司法受益權，建立鑑定機關參考名冊，並未違反審判獨立原則。</w:t>
      </w:r>
    </w:p>
    <w:p w:rsidR="00CE314E" w:rsidRDefault="00CE314E" w:rsidP="00680E22">
      <w:pPr>
        <w:pStyle w:val="62"/>
        <w:ind w:left="2381" w:firstLine="680"/>
      </w:pPr>
      <w:r>
        <w:rPr>
          <w:rFonts w:hint="eastAsia"/>
        </w:rPr>
        <w:t>司法院現行公布鑑定機關參考名冊協助司法官選任囑託鑑定機關或鑑定人之方式，雖屬妥適，惟對於所提供參考名冊並無認證與審查標準，對於各該機關團體是否具備鑑</w:t>
      </w:r>
      <w:r>
        <w:rPr>
          <w:rFonts w:hint="eastAsia"/>
        </w:rPr>
        <w:lastRenderedPageBreak/>
        <w:t>定所需之特別學識經驗，亦未先予初步篩選，無助於協助各法院就具體個案之待鑑定事項予以審查判斷，似仍有研討空間。</w:t>
      </w:r>
    </w:p>
    <w:p w:rsidR="00CE314E" w:rsidRPr="00377B49" w:rsidRDefault="00CE314E" w:rsidP="00680E22">
      <w:pPr>
        <w:pStyle w:val="6"/>
        <w:rPr>
          <w:b/>
        </w:rPr>
      </w:pPr>
      <w:r>
        <w:rPr>
          <w:rFonts w:hint="eastAsia"/>
        </w:rPr>
        <w:tab/>
      </w:r>
      <w:r w:rsidRPr="00377B49">
        <w:rPr>
          <w:rFonts w:hint="eastAsia"/>
          <w:b/>
        </w:rPr>
        <w:t>為保留具有職權主義特色之機關鑑定，除應</w:t>
      </w:r>
      <w:proofErr w:type="gramStart"/>
      <w:r w:rsidRPr="00377B49">
        <w:rPr>
          <w:rFonts w:hint="eastAsia"/>
          <w:b/>
        </w:rPr>
        <w:t>採</w:t>
      </w:r>
      <w:proofErr w:type="gramEnd"/>
      <w:r w:rsidRPr="00377B49">
        <w:rPr>
          <w:rFonts w:hint="eastAsia"/>
          <w:b/>
        </w:rPr>
        <w:t>鑑定機關與警察</w:t>
      </w:r>
      <w:proofErr w:type="gramStart"/>
      <w:r w:rsidRPr="00377B49">
        <w:rPr>
          <w:rFonts w:hint="eastAsia"/>
          <w:b/>
        </w:rPr>
        <w:t>鑑</w:t>
      </w:r>
      <w:proofErr w:type="gramEnd"/>
      <w:r w:rsidRPr="00377B49">
        <w:rPr>
          <w:rFonts w:hint="eastAsia"/>
          <w:b/>
        </w:rPr>
        <w:t>識機關分流之雙軌制外，並應因應偵查與審判不同需求，建立層級化與多元化科學鑑定</w:t>
      </w:r>
      <w:r w:rsidR="00496E69" w:rsidRPr="00377B49">
        <w:rPr>
          <w:rFonts w:hint="eastAsia"/>
          <w:b/>
        </w:rPr>
        <w:t>(識)</w:t>
      </w:r>
      <w:r w:rsidRPr="00377B49">
        <w:rPr>
          <w:rFonts w:hint="eastAsia"/>
          <w:b/>
        </w:rPr>
        <w:t>系統。</w:t>
      </w:r>
    </w:p>
    <w:p w:rsidR="00CE314E" w:rsidRDefault="00CE314E" w:rsidP="00680E22">
      <w:pPr>
        <w:pStyle w:val="62"/>
        <w:ind w:left="2381" w:firstLine="680"/>
      </w:pPr>
      <w:r>
        <w:rPr>
          <w:rFonts w:hint="eastAsia"/>
        </w:rPr>
        <w:t>世界各國多與我國相同，於警察機關設有</w:t>
      </w:r>
      <w:proofErr w:type="gramStart"/>
      <w:r>
        <w:rPr>
          <w:rFonts w:hint="eastAsia"/>
        </w:rPr>
        <w:t>鑑</w:t>
      </w:r>
      <w:proofErr w:type="gramEnd"/>
      <w:r>
        <w:rPr>
          <w:rFonts w:hint="eastAsia"/>
        </w:rPr>
        <w:t>識單位，以利於犯罪偵查，故不應輕易將之裁撤，以保障警察機關維護治安與保全證據之能力；惟如前所述，為保留我國不受交互詰問機關鑑定制度，應設立中立性專屬司法院之國家級刑事鑑定機關，其人事組織、經費等獨立於偵查機關之外，負責複雜或其他需要特殊設備及技術之鑑定事項</w:t>
      </w:r>
      <w:r w:rsidR="00C20DCE">
        <w:rPr>
          <w:rFonts w:ascii="新細明體" w:eastAsia="新細明體" w:hAnsi="新細明體" w:hint="eastAsia"/>
        </w:rPr>
        <w:t>，</w:t>
      </w:r>
      <w:r>
        <w:rPr>
          <w:rFonts w:hint="eastAsia"/>
        </w:rPr>
        <w:t>以及爭議案件之</w:t>
      </w:r>
      <w:proofErr w:type="gramStart"/>
      <w:r>
        <w:rPr>
          <w:rFonts w:hint="eastAsia"/>
        </w:rPr>
        <w:t>複鑑</w:t>
      </w:r>
      <w:proofErr w:type="gramEnd"/>
      <w:r>
        <w:rPr>
          <w:rFonts w:hint="eastAsia"/>
        </w:rPr>
        <w:t>工作。又為考量政府預算與人力侷限，</w:t>
      </w:r>
      <w:proofErr w:type="gramStart"/>
      <w:r w:rsidR="00392AE0">
        <w:rPr>
          <w:rFonts w:hint="eastAsia"/>
        </w:rPr>
        <w:t>似</w:t>
      </w:r>
      <w:r>
        <w:rPr>
          <w:rFonts w:hint="eastAsia"/>
        </w:rPr>
        <w:t>得由</w:t>
      </w:r>
      <w:proofErr w:type="gramEnd"/>
      <w:r>
        <w:rPr>
          <w:rFonts w:hint="eastAsia"/>
        </w:rPr>
        <w:t>現行法務部法醫研究所</w:t>
      </w:r>
      <w:r w:rsidR="00680E22">
        <w:rPr>
          <w:rFonts w:hint="eastAsia"/>
        </w:rPr>
        <w:t>提升位階並加以</w:t>
      </w:r>
      <w:r>
        <w:rPr>
          <w:rFonts w:hint="eastAsia"/>
        </w:rPr>
        <w:t>改制，</w:t>
      </w:r>
      <w:r w:rsidR="00680E22">
        <w:rPr>
          <w:rFonts w:hint="eastAsia"/>
        </w:rPr>
        <w:t>以</w:t>
      </w:r>
      <w:r>
        <w:rPr>
          <w:rFonts w:hint="eastAsia"/>
        </w:rPr>
        <w:t>吸納各類鑑定人才。警察機關之</w:t>
      </w:r>
      <w:proofErr w:type="gramStart"/>
      <w:r>
        <w:rPr>
          <w:rFonts w:hint="eastAsia"/>
        </w:rPr>
        <w:t>鑑</w:t>
      </w:r>
      <w:proofErr w:type="gramEnd"/>
      <w:r>
        <w:rPr>
          <w:rFonts w:hint="eastAsia"/>
        </w:rPr>
        <w:t>識人員經相當歷練亦可延攬為該機關之鑑定人員，提高</w:t>
      </w:r>
      <w:proofErr w:type="gramStart"/>
      <w:r>
        <w:rPr>
          <w:rFonts w:hint="eastAsia"/>
        </w:rPr>
        <w:t>鑑</w:t>
      </w:r>
      <w:proofErr w:type="gramEnd"/>
      <w:r>
        <w:rPr>
          <w:rFonts w:hint="eastAsia"/>
        </w:rPr>
        <w:t>識人員職等與待遇，以促使鑑定人才之數量與素質之提升</w:t>
      </w:r>
      <w:r w:rsidR="00C00C96">
        <w:rPr>
          <w:rStyle w:val="afe"/>
        </w:rPr>
        <w:footnoteReference w:id="57"/>
      </w:r>
      <w:r>
        <w:rPr>
          <w:rFonts w:hint="eastAsia"/>
        </w:rPr>
        <w:t>。</w:t>
      </w:r>
    </w:p>
    <w:p w:rsidR="00CE314E" w:rsidRPr="00F960FD" w:rsidRDefault="00CE314E" w:rsidP="00680E22">
      <w:pPr>
        <w:pStyle w:val="62"/>
        <w:ind w:left="2381" w:firstLine="680"/>
        <w:rPr>
          <w:rFonts w:hAnsi="標楷體"/>
        </w:rPr>
      </w:pPr>
      <w:r w:rsidRPr="00F960FD">
        <w:rPr>
          <w:rFonts w:hAnsi="標楷體" w:hint="eastAsia"/>
        </w:rPr>
        <w:t>此外司法院得設立刑事鑑定標準程序審查委員會，延攬各領域學者專家，</w:t>
      </w:r>
      <w:r w:rsidR="00AC43C7" w:rsidRPr="00F960FD">
        <w:rPr>
          <w:rFonts w:hAnsi="標楷體" w:hint="eastAsia"/>
        </w:rPr>
        <w:t>除作為國家級中立鑑定機關之上位與監督機關外，並得</w:t>
      </w:r>
      <w:r w:rsidRPr="00F960FD">
        <w:rPr>
          <w:rFonts w:hAnsi="標楷體" w:hint="eastAsia"/>
        </w:rPr>
        <w:t>建立各項科學鑑定專業審查或實驗室認證</w:t>
      </w:r>
      <w:r w:rsidR="00AC43C7" w:rsidRPr="00F960FD">
        <w:rPr>
          <w:rFonts w:hAnsi="標楷體" w:hint="eastAsia"/>
        </w:rPr>
        <w:t>標準，</w:t>
      </w:r>
      <w:r w:rsidR="00F960FD" w:rsidRPr="00F960FD">
        <w:rPr>
          <w:rFonts w:hAnsi="標楷體" w:hint="eastAsia"/>
        </w:rPr>
        <w:t>對</w:t>
      </w:r>
      <w:r w:rsidR="00AC43C7" w:rsidRPr="00F960FD">
        <w:rPr>
          <w:rFonts w:hAnsi="標楷體" w:hint="eastAsia"/>
        </w:rPr>
        <w:t>各相關鑑定（識）機關（單位）與</w:t>
      </w:r>
      <w:r w:rsidRPr="00F960FD">
        <w:rPr>
          <w:rFonts w:hAnsi="標楷體" w:hint="eastAsia"/>
        </w:rPr>
        <w:t>鑑定人員</w:t>
      </w:r>
      <w:r w:rsidR="00AC43C7" w:rsidRPr="00F960FD">
        <w:rPr>
          <w:rFonts w:hAnsi="標楷體" w:hint="eastAsia"/>
        </w:rPr>
        <w:t>為</w:t>
      </w:r>
      <w:r w:rsidRPr="00F960FD">
        <w:rPr>
          <w:rFonts w:hAnsi="標楷體" w:hint="eastAsia"/>
        </w:rPr>
        <w:t>資格認證</w:t>
      </w:r>
      <w:r w:rsidR="00AC43C7" w:rsidRPr="00F960FD">
        <w:rPr>
          <w:rFonts w:hAnsi="標楷體" w:hint="eastAsia"/>
        </w:rPr>
        <w:t>，並做成</w:t>
      </w:r>
      <w:r w:rsidRPr="00F960FD">
        <w:rPr>
          <w:rFonts w:hAnsi="標楷體" w:hint="eastAsia"/>
        </w:rPr>
        <w:t>常態性準確性考核之各項標準作業程序與</w:t>
      </w:r>
      <w:r w:rsidR="00AC43C7" w:rsidRPr="00F960FD">
        <w:rPr>
          <w:rFonts w:hAnsi="標楷體" w:hint="eastAsia"/>
        </w:rPr>
        <w:t>提供法院適格之</w:t>
      </w:r>
      <w:r w:rsidRPr="00F960FD">
        <w:rPr>
          <w:rFonts w:hAnsi="標楷體" w:hint="eastAsia"/>
        </w:rPr>
        <w:lastRenderedPageBreak/>
        <w:t>鑑定機關</w:t>
      </w:r>
      <w:r w:rsidR="00496E69" w:rsidRPr="00F960FD">
        <w:rPr>
          <w:rFonts w:hAnsi="標楷體" w:hint="eastAsia"/>
        </w:rPr>
        <w:t>(人)</w:t>
      </w:r>
      <w:r w:rsidRPr="00F960FD">
        <w:rPr>
          <w:rFonts w:hAnsi="標楷體" w:hint="eastAsia"/>
        </w:rPr>
        <w:t>參考名冊及</w:t>
      </w:r>
      <w:r w:rsidR="00AC43C7" w:rsidRPr="00F960FD">
        <w:rPr>
          <w:rFonts w:hAnsi="標楷體" w:hint="eastAsia"/>
        </w:rPr>
        <w:t>規劃</w:t>
      </w:r>
      <w:r w:rsidRPr="00F960FD">
        <w:rPr>
          <w:rFonts w:hAnsi="標楷體" w:hint="eastAsia"/>
        </w:rPr>
        <w:t>司法官</w:t>
      </w:r>
      <w:r w:rsidR="00AC43C7" w:rsidRPr="00F960FD">
        <w:rPr>
          <w:rFonts w:hAnsi="標楷體" w:hint="eastAsia"/>
        </w:rPr>
        <w:t>科學鑑定之</w:t>
      </w:r>
      <w:r w:rsidRPr="00F960FD">
        <w:rPr>
          <w:rFonts w:hAnsi="標楷體" w:hint="eastAsia"/>
        </w:rPr>
        <w:t>教育訓練</w:t>
      </w:r>
      <w:r w:rsidR="00AC43C7" w:rsidRPr="00F960FD">
        <w:rPr>
          <w:rFonts w:hAnsi="標楷體" w:hint="eastAsia"/>
        </w:rPr>
        <w:t>，</w:t>
      </w:r>
      <w:proofErr w:type="gramStart"/>
      <w:r w:rsidR="00AC43C7" w:rsidRPr="00F960FD">
        <w:rPr>
          <w:rFonts w:hAnsi="標楷體" w:hint="eastAsia"/>
        </w:rPr>
        <w:t>並遇有</w:t>
      </w:r>
      <w:proofErr w:type="gramEnd"/>
      <w:r w:rsidR="00AC43C7" w:rsidRPr="00F960FD">
        <w:rPr>
          <w:rFonts w:hAnsi="標楷體" w:hint="eastAsia"/>
        </w:rPr>
        <w:t>開創性或特殊性之鑑定方式是否具有科學性時，</w:t>
      </w:r>
      <w:r w:rsidRPr="00F960FD">
        <w:rPr>
          <w:rFonts w:hAnsi="標楷體" w:hint="eastAsia"/>
        </w:rPr>
        <w:t>協助法官或檢察官就科學鑑定</w:t>
      </w:r>
      <w:r w:rsidR="00F960FD" w:rsidRPr="00F960FD">
        <w:rPr>
          <w:rFonts w:hAnsi="標楷體" w:hint="eastAsia"/>
        </w:rPr>
        <w:t>判讀</w:t>
      </w:r>
      <w:r w:rsidRPr="00F960FD">
        <w:rPr>
          <w:rFonts w:hAnsi="標楷體" w:hint="eastAsia"/>
        </w:rPr>
        <w:t>提出專業性意見</w:t>
      </w:r>
      <w:r w:rsidR="00AC43C7" w:rsidRPr="00F960FD">
        <w:rPr>
          <w:rFonts w:hAnsi="標楷體" w:hint="eastAsia"/>
        </w:rPr>
        <w:t>以供參考</w:t>
      </w:r>
      <w:r w:rsidRPr="00F960FD">
        <w:rPr>
          <w:rFonts w:hAnsi="標楷體" w:hint="eastAsia"/>
        </w:rPr>
        <w:t>，或亦可</w:t>
      </w:r>
      <w:r w:rsidR="007614D5" w:rsidRPr="00F960FD">
        <w:rPr>
          <w:rFonts w:hAnsi="標楷體" w:hint="eastAsia"/>
        </w:rPr>
        <w:t>參照</w:t>
      </w:r>
      <w:r w:rsidRPr="00F960FD">
        <w:rPr>
          <w:rFonts w:hAnsi="標楷體" w:hint="eastAsia"/>
        </w:rPr>
        <w:t>88年全國</w:t>
      </w:r>
      <w:r w:rsidR="007614D5" w:rsidRPr="00F960FD">
        <w:rPr>
          <w:rFonts w:hAnsi="標楷體" w:hint="eastAsia"/>
        </w:rPr>
        <w:t>司法改革</w:t>
      </w:r>
      <w:r w:rsidRPr="00F960FD">
        <w:rPr>
          <w:rFonts w:hAnsi="標楷體" w:hint="eastAsia"/>
        </w:rPr>
        <w:t>會議結論由國家編列經費，補助成立財團法人</w:t>
      </w:r>
      <w:proofErr w:type="gramStart"/>
      <w:r w:rsidRPr="00F960FD">
        <w:rPr>
          <w:rFonts w:hAnsi="標楷體" w:hint="eastAsia"/>
        </w:rPr>
        <w:t>鑑</w:t>
      </w:r>
      <w:proofErr w:type="gramEnd"/>
      <w:r w:rsidRPr="00F960FD">
        <w:rPr>
          <w:rFonts w:hAnsi="標楷體" w:hint="eastAsia"/>
        </w:rPr>
        <w:t>識機構或設立</w:t>
      </w:r>
      <w:proofErr w:type="gramStart"/>
      <w:r w:rsidRPr="00F960FD">
        <w:rPr>
          <w:rFonts w:hAnsi="標楷體" w:hint="eastAsia"/>
        </w:rPr>
        <w:t>鑑</w:t>
      </w:r>
      <w:proofErr w:type="gramEnd"/>
      <w:r w:rsidRPr="00F960FD">
        <w:rPr>
          <w:rFonts w:hAnsi="標楷體" w:hint="eastAsia"/>
        </w:rPr>
        <w:t>識科學委員會。</w:t>
      </w:r>
    </w:p>
    <w:p w:rsidR="00CE314E" w:rsidRDefault="00CE314E" w:rsidP="00680E22">
      <w:pPr>
        <w:pStyle w:val="62"/>
        <w:ind w:left="2381" w:firstLine="680"/>
      </w:pPr>
      <w:r>
        <w:rPr>
          <w:rFonts w:hint="eastAsia"/>
        </w:rPr>
        <w:t>另基於上開</w:t>
      </w:r>
      <w:r w:rsidR="00F960FD">
        <w:rPr>
          <w:rFonts w:hint="eastAsia"/>
        </w:rPr>
        <w:t>各</w:t>
      </w:r>
      <w:r>
        <w:rPr>
          <w:rFonts w:hint="eastAsia"/>
        </w:rPr>
        <w:t>組織之設立有利於各</w:t>
      </w:r>
      <w:proofErr w:type="gramStart"/>
      <w:r>
        <w:rPr>
          <w:rFonts w:hint="eastAsia"/>
        </w:rPr>
        <w:t>鑑</w:t>
      </w:r>
      <w:proofErr w:type="gramEnd"/>
      <w:r>
        <w:rPr>
          <w:rFonts w:hint="eastAsia"/>
        </w:rPr>
        <w:t>識機關與鑑定機關之多元發展與整合，此外亦</w:t>
      </w:r>
      <w:r w:rsidR="00F960FD">
        <w:rPr>
          <w:rFonts w:hint="eastAsia"/>
        </w:rPr>
        <w:t>可透過</w:t>
      </w:r>
      <w:r w:rsidR="00F960FD" w:rsidRPr="00F960FD">
        <w:rPr>
          <w:rFonts w:hint="eastAsia"/>
        </w:rPr>
        <w:t>刑事鑑定標準程序審查委員會</w:t>
      </w:r>
      <w:r>
        <w:rPr>
          <w:rFonts w:hint="eastAsia"/>
        </w:rPr>
        <w:t>隨時代發展規劃或增列新的鑑定</w:t>
      </w:r>
      <w:r w:rsidR="00F960FD">
        <w:rPr>
          <w:rFonts w:hint="eastAsia"/>
        </w:rPr>
        <w:t>項目與鑑定</w:t>
      </w:r>
      <w:r>
        <w:rPr>
          <w:rFonts w:hint="eastAsia"/>
        </w:rPr>
        <w:t>機關，</w:t>
      </w:r>
      <w:r w:rsidR="007614D5">
        <w:rPr>
          <w:rFonts w:hint="eastAsia"/>
        </w:rPr>
        <w:t>如此將</w:t>
      </w:r>
      <w:r>
        <w:rPr>
          <w:rFonts w:hint="eastAsia"/>
        </w:rPr>
        <w:t>有利</w:t>
      </w:r>
      <w:r w:rsidR="007614D5">
        <w:rPr>
          <w:rFonts w:hint="eastAsia"/>
        </w:rPr>
        <w:t>於</w:t>
      </w:r>
      <w:r>
        <w:rPr>
          <w:rFonts w:hint="eastAsia"/>
        </w:rPr>
        <w:t>科技</w:t>
      </w:r>
      <w:r w:rsidR="007614D5">
        <w:rPr>
          <w:rFonts w:hint="eastAsia"/>
        </w:rPr>
        <w:t>整合並促使國立研究機構大學各實驗室，逐步加入刑事鑑定行列，促進</w:t>
      </w:r>
      <w:r>
        <w:rPr>
          <w:rFonts w:hint="eastAsia"/>
        </w:rPr>
        <w:t>我國刑事鑑定整體水平提升。</w:t>
      </w:r>
    </w:p>
    <w:p w:rsidR="00CE314E" w:rsidRPr="00377B49" w:rsidRDefault="00CE314E" w:rsidP="00027F73">
      <w:pPr>
        <w:pStyle w:val="4"/>
        <w:rPr>
          <w:b/>
        </w:rPr>
      </w:pPr>
      <w:r w:rsidRPr="00377B49">
        <w:rPr>
          <w:rFonts w:hint="eastAsia"/>
          <w:b/>
        </w:rPr>
        <w:t>法官基於自由心證原則對於刑事判決正確性負有全部責任，檢察官對於公訴事實負有全部舉證責任，雖鑑定人或鑑定機關具有證人性質同時具有協助</w:t>
      </w:r>
      <w:proofErr w:type="gramStart"/>
      <w:r w:rsidRPr="00377B49">
        <w:rPr>
          <w:rFonts w:hint="eastAsia"/>
          <w:b/>
        </w:rPr>
        <w:t>司法官發見真實</w:t>
      </w:r>
      <w:proofErr w:type="gramEnd"/>
      <w:r w:rsidRPr="00377B49">
        <w:rPr>
          <w:rFonts w:hint="eastAsia"/>
          <w:b/>
        </w:rPr>
        <w:t>之義務，惟司法官不因之得以逸脫責任，故</w:t>
      </w:r>
      <w:proofErr w:type="gramStart"/>
      <w:r w:rsidRPr="00377B49">
        <w:rPr>
          <w:rFonts w:hint="eastAsia"/>
          <w:b/>
        </w:rPr>
        <w:t>強化發見正確</w:t>
      </w:r>
      <w:proofErr w:type="gramEnd"/>
      <w:r w:rsidRPr="00377B49">
        <w:rPr>
          <w:rFonts w:hint="eastAsia"/>
          <w:b/>
        </w:rPr>
        <w:t>事實之職業訓練，建立值得人民信賴的司法制度，為司法改革刻不容緩之事。又為保障被告之程序利益與實體利益，應建立迅速與妥適鑑定意見審查制度</w:t>
      </w:r>
      <w:r w:rsidR="00496E69" w:rsidRPr="00377B49">
        <w:rPr>
          <w:rFonts w:hint="eastAsia"/>
          <w:b/>
        </w:rPr>
        <w:t>(</w:t>
      </w:r>
      <w:proofErr w:type="gramStart"/>
      <w:r w:rsidR="00496E69" w:rsidRPr="00377B49">
        <w:rPr>
          <w:rFonts w:hint="eastAsia"/>
          <w:b/>
        </w:rPr>
        <w:t>複</w:t>
      </w:r>
      <w:proofErr w:type="gramEnd"/>
      <w:r w:rsidR="00496E69" w:rsidRPr="00377B49">
        <w:rPr>
          <w:rFonts w:hint="eastAsia"/>
          <w:b/>
        </w:rPr>
        <w:t>驗制度)</w:t>
      </w:r>
      <w:r w:rsidRPr="00377B49">
        <w:rPr>
          <w:rFonts w:hint="eastAsia"/>
          <w:b/>
        </w:rPr>
        <w:t>，並得簡化相關刑事訴訟程序，以維公平法院原則。</w:t>
      </w:r>
    </w:p>
    <w:p w:rsidR="00CE314E" w:rsidRDefault="00CE314E" w:rsidP="00027F73">
      <w:pPr>
        <w:pStyle w:val="42"/>
        <w:ind w:left="1701" w:firstLine="680"/>
      </w:pPr>
      <w:r>
        <w:rPr>
          <w:rFonts w:hint="eastAsia"/>
        </w:rPr>
        <w:t>有關司法人員專業訓練與鑑定意見審查制度，論述如下：</w:t>
      </w:r>
    </w:p>
    <w:p w:rsidR="00CE314E" w:rsidRPr="00377B49" w:rsidRDefault="00CE314E" w:rsidP="00027F73">
      <w:pPr>
        <w:pStyle w:val="5"/>
        <w:rPr>
          <w:b/>
        </w:rPr>
      </w:pPr>
      <w:r>
        <w:rPr>
          <w:rFonts w:hint="eastAsia"/>
        </w:rPr>
        <w:tab/>
      </w:r>
      <w:r w:rsidRPr="00377B49">
        <w:rPr>
          <w:rFonts w:hint="eastAsia"/>
          <w:b/>
        </w:rPr>
        <w:t>諮詢學者所提意見：</w:t>
      </w:r>
    </w:p>
    <w:p w:rsidR="00CE314E" w:rsidRDefault="00CE314E" w:rsidP="00027F73">
      <w:pPr>
        <w:pStyle w:val="6"/>
      </w:pPr>
      <w:r>
        <w:rPr>
          <w:rFonts w:hint="eastAsia"/>
        </w:rPr>
        <w:tab/>
        <w:t>陳運財教授</w:t>
      </w:r>
      <w:r w:rsidR="00C20DCE">
        <w:rPr>
          <w:rFonts w:ascii="新細明體" w:eastAsia="新細明體" w:hAnsi="新細明體" w:hint="eastAsia"/>
        </w:rPr>
        <w:t>：</w:t>
      </w:r>
    </w:p>
    <w:p w:rsidR="00CE314E" w:rsidRDefault="00CE314E" w:rsidP="00027F73">
      <w:pPr>
        <w:pStyle w:val="62"/>
        <w:ind w:left="2381" w:firstLine="680"/>
      </w:pPr>
      <w:r>
        <w:rPr>
          <w:rFonts w:hint="eastAsia"/>
        </w:rPr>
        <w:t>為使「繼續鑑定」、「另行鑑定」或「審查他人鑑定」具可行性，</w:t>
      </w:r>
      <w:proofErr w:type="gramStart"/>
      <w:r>
        <w:rPr>
          <w:rFonts w:hint="eastAsia"/>
        </w:rPr>
        <w:t>鑑</w:t>
      </w:r>
      <w:proofErr w:type="gramEnd"/>
      <w:r>
        <w:rPr>
          <w:rFonts w:hint="eastAsia"/>
        </w:rPr>
        <w:t>識人員應利用現</w:t>
      </w:r>
      <w:r>
        <w:rPr>
          <w:rFonts w:hint="eastAsia"/>
        </w:rPr>
        <w:lastRenderedPageBreak/>
        <w:t>有之技術及設備，</w:t>
      </w:r>
      <w:proofErr w:type="gramStart"/>
      <w:r>
        <w:rPr>
          <w:rFonts w:hint="eastAsia"/>
        </w:rPr>
        <w:t>儘</w:t>
      </w:r>
      <w:proofErr w:type="gramEnd"/>
      <w:r>
        <w:rPr>
          <w:rFonts w:hint="eastAsia"/>
        </w:rPr>
        <w:t>可能的妥善保存供鑑定使用之各項樣品或資料，以作為將來再鑑定及再審查之用。尤其是遇有</w:t>
      </w:r>
      <w:proofErr w:type="gramStart"/>
      <w:r>
        <w:rPr>
          <w:rFonts w:hint="eastAsia"/>
        </w:rPr>
        <w:t>微量跡</w:t>
      </w:r>
      <w:proofErr w:type="gramEnd"/>
      <w:r>
        <w:rPr>
          <w:rFonts w:hint="eastAsia"/>
        </w:rPr>
        <w:t>證時，更應注意到此點可供再鑑定之要件。若偵查或鑑定機關有妨礙再鑑定之故意、或有確保再鑑定之可能卻顯然欠缺積極考慮保存鑑定資料者，對於此種違法正當取證程序所得之證據，法院應否定其鑑定報告之證據能力。</w:t>
      </w:r>
    </w:p>
    <w:p w:rsidR="00CE314E" w:rsidRDefault="00CE314E" w:rsidP="00EB658C">
      <w:pPr>
        <w:pStyle w:val="6"/>
      </w:pPr>
      <w:r>
        <w:rPr>
          <w:rFonts w:hint="eastAsia"/>
        </w:rPr>
        <w:tab/>
        <w:t>何賴傑教授</w:t>
      </w:r>
      <w:r w:rsidR="00C20DCE">
        <w:rPr>
          <w:rFonts w:ascii="新細明體" w:eastAsia="新細明體" w:hAnsi="新細明體" w:hint="eastAsia"/>
        </w:rPr>
        <w:t>：</w:t>
      </w:r>
    </w:p>
    <w:p w:rsidR="00CE314E" w:rsidRDefault="00CE314E" w:rsidP="00EB658C">
      <w:pPr>
        <w:pStyle w:val="62"/>
        <w:ind w:left="2381" w:firstLine="680"/>
      </w:pPr>
      <w:proofErr w:type="gramStart"/>
      <w:r>
        <w:rPr>
          <w:rFonts w:hint="eastAsia"/>
        </w:rPr>
        <w:t>鑑</w:t>
      </w:r>
      <w:proofErr w:type="gramEnd"/>
      <w:r>
        <w:rPr>
          <w:rFonts w:hint="eastAsia"/>
        </w:rPr>
        <w:t>於科學領域日益複雜化與多樣化，司法人員絕對無法掌握如此複雜之科學知識。無論在任何國家，皆必須仰賴專家提供相關之科學知識，且只有透過專家才能對抗專家，我國不能以鑑定費用過少為由而減少鑑定人之選任。</w:t>
      </w:r>
    </w:p>
    <w:p w:rsidR="00CE314E" w:rsidRDefault="00CE314E" w:rsidP="00EB658C">
      <w:pPr>
        <w:pStyle w:val="62"/>
        <w:ind w:left="2381" w:firstLine="680"/>
      </w:pPr>
      <w:r>
        <w:rPr>
          <w:rFonts w:hint="eastAsia"/>
        </w:rPr>
        <w:t>法官所應具備之自由心證，才是司法機關應該且可以努力的目標，因而如何透過培育課程以加強法官之現代科學知識，才是根本之道。另外，及早結案之法官心態，亦可能造成法官</w:t>
      </w:r>
      <w:proofErr w:type="gramStart"/>
      <w:r>
        <w:rPr>
          <w:rFonts w:hint="eastAsia"/>
        </w:rPr>
        <w:t>不欲因鑑定</w:t>
      </w:r>
      <w:proofErr w:type="gramEnd"/>
      <w:r>
        <w:rPr>
          <w:rFonts w:hint="eastAsia"/>
        </w:rPr>
        <w:t>花費時間而造成案件無法及早結案之審判心態。</w:t>
      </w:r>
    </w:p>
    <w:p w:rsidR="00CE314E" w:rsidRDefault="00CE314E" w:rsidP="00EB658C">
      <w:pPr>
        <w:pStyle w:val="6"/>
      </w:pPr>
      <w:r>
        <w:rPr>
          <w:rFonts w:hint="eastAsia"/>
        </w:rPr>
        <w:tab/>
        <w:t>謝幸媚教授：</w:t>
      </w:r>
    </w:p>
    <w:p w:rsidR="00CE314E" w:rsidRDefault="00CE314E" w:rsidP="00EB658C">
      <w:pPr>
        <w:pStyle w:val="62"/>
        <w:ind w:left="2381" w:firstLine="680"/>
      </w:pPr>
      <w:r>
        <w:rPr>
          <w:rFonts w:hint="eastAsia"/>
        </w:rPr>
        <w:t>我個人從DNA鑑定觀點，認為本來就不能當作有罪判決的唯一依據，現在爭執的是</w:t>
      </w:r>
      <w:proofErr w:type="gramStart"/>
      <w:r>
        <w:rPr>
          <w:rFonts w:hint="eastAsia"/>
        </w:rPr>
        <w:t>斑跡是否</w:t>
      </w:r>
      <w:proofErr w:type="gramEnd"/>
      <w:r>
        <w:rPr>
          <w:rFonts w:hint="eastAsia"/>
        </w:rPr>
        <w:t>為江國慶的，這個DNA可能是江國慶的，從嚴謹的科學來看確定是江國慶的，但並沒有說服我們江國慶就是嫌犯，不論是20年前或當今，我都不會僅以鑑定結果認定江國慶是嫌犯。我個人認為本案的爭點應該不在於DNA鑑定報告的結果，而是犯罪現場的狀</w:t>
      </w:r>
      <w:r>
        <w:rPr>
          <w:rFonts w:hint="eastAsia"/>
        </w:rPr>
        <w:lastRenderedPageBreak/>
        <w:t>況，以及其他證據資料來綜合判斷。</w:t>
      </w:r>
    </w:p>
    <w:p w:rsidR="00CE314E" w:rsidRPr="00377B49" w:rsidRDefault="00CE314E" w:rsidP="00516E25">
      <w:pPr>
        <w:pStyle w:val="5"/>
        <w:rPr>
          <w:b/>
        </w:rPr>
      </w:pPr>
      <w:r>
        <w:rPr>
          <w:rFonts w:hint="eastAsia"/>
        </w:rPr>
        <w:tab/>
      </w:r>
      <w:r w:rsidRPr="00377B49">
        <w:rPr>
          <w:rFonts w:hint="eastAsia"/>
          <w:b/>
        </w:rPr>
        <w:t>本院初步研究之看法</w:t>
      </w:r>
    </w:p>
    <w:p w:rsidR="00CE314E" w:rsidRPr="00377B49" w:rsidRDefault="00CE314E" w:rsidP="00516E25">
      <w:pPr>
        <w:pStyle w:val="6"/>
        <w:rPr>
          <w:b/>
        </w:rPr>
      </w:pPr>
      <w:r>
        <w:rPr>
          <w:rFonts w:hint="eastAsia"/>
        </w:rPr>
        <w:tab/>
      </w:r>
      <w:r w:rsidRPr="00377B49">
        <w:rPr>
          <w:rFonts w:hint="eastAsia"/>
          <w:b/>
        </w:rPr>
        <w:t>法官基於自由心證原則對於刑事判決正確性負有全部責任，檢察官對於公訴事實負有全部舉證責任，雖鑑定人或鑑定機關具有證人性質亦同時有協助</w:t>
      </w:r>
      <w:proofErr w:type="gramStart"/>
      <w:r w:rsidRPr="00377B49">
        <w:rPr>
          <w:rFonts w:hint="eastAsia"/>
          <w:b/>
        </w:rPr>
        <w:t>司法官發見真實</w:t>
      </w:r>
      <w:proofErr w:type="gramEnd"/>
      <w:r w:rsidRPr="00377B49">
        <w:rPr>
          <w:rFonts w:hint="eastAsia"/>
          <w:b/>
        </w:rPr>
        <w:t>之義務，惟司法官不因之得</w:t>
      </w:r>
      <w:r w:rsidR="000D047C">
        <w:rPr>
          <w:rFonts w:hint="eastAsia"/>
          <w:b/>
        </w:rPr>
        <w:t>以</w:t>
      </w:r>
      <w:r w:rsidRPr="00377B49">
        <w:rPr>
          <w:rFonts w:hint="eastAsia"/>
          <w:b/>
        </w:rPr>
        <w:t>逸脫責任，</w:t>
      </w:r>
      <w:r w:rsidR="007A43A9">
        <w:rPr>
          <w:rFonts w:hint="eastAsia"/>
          <w:b/>
        </w:rPr>
        <w:t>然</w:t>
      </w:r>
      <w:r w:rsidRPr="00377B49">
        <w:rPr>
          <w:rFonts w:hint="eastAsia"/>
          <w:b/>
        </w:rPr>
        <w:t>現行司法體系之訓練，較偏重適用法律之訓練而對科學辦案能力提升較為欠缺，尚有精進空間。</w:t>
      </w:r>
    </w:p>
    <w:p w:rsidR="00CE314E" w:rsidRDefault="00CE314E" w:rsidP="00516E25">
      <w:pPr>
        <w:pStyle w:val="62"/>
        <w:ind w:left="2381" w:firstLine="680"/>
      </w:pPr>
      <w:r>
        <w:rPr>
          <w:rFonts w:hint="eastAsia"/>
        </w:rPr>
        <w:t>刑事訴訟法第155條第1項規定，證據之證明力，由法院本於確信自由判斷。但不得違背經驗法則及論理法則。同法第161條規定，要求檢察官應就被告犯罪事實，負實質的舉證責任。</w:t>
      </w:r>
    </w:p>
    <w:p w:rsidR="00CE314E" w:rsidRDefault="00CE314E" w:rsidP="00516E25">
      <w:pPr>
        <w:pStyle w:val="62"/>
        <w:ind w:left="2381" w:firstLine="680"/>
      </w:pPr>
      <w:r>
        <w:rPr>
          <w:rFonts w:hint="eastAsia"/>
        </w:rPr>
        <w:t>法官具有發現</w:t>
      </w:r>
      <w:r w:rsidR="007A43A9">
        <w:rPr>
          <w:rFonts w:hint="eastAsia"/>
        </w:rPr>
        <w:t>真實之義務，但是在我國對於如何找尋事實之實務訓練較為缺乏，甚至屬</w:t>
      </w:r>
      <w:r>
        <w:rPr>
          <w:rFonts w:hint="eastAsia"/>
        </w:rPr>
        <w:t>大陸法系</w:t>
      </w:r>
      <w:r w:rsidR="007A43A9">
        <w:rPr>
          <w:rFonts w:hint="eastAsia"/>
        </w:rPr>
        <w:t>之</w:t>
      </w:r>
      <w:r>
        <w:rPr>
          <w:rFonts w:hint="eastAsia"/>
        </w:rPr>
        <w:t>德國亦然，借用Thomas Darnst</w:t>
      </w:r>
      <w:r w:rsidRPr="00B046D9">
        <w:rPr>
          <w:rFonts w:hAnsi="標楷體" w:hint="eastAsia"/>
        </w:rPr>
        <w:t>ä</w:t>
      </w:r>
      <w:r>
        <w:rPr>
          <w:rFonts w:hint="eastAsia"/>
        </w:rPr>
        <w:t>dt</w:t>
      </w:r>
      <w:r w:rsidR="00C00C96">
        <w:rPr>
          <w:rStyle w:val="afe"/>
        </w:rPr>
        <w:footnoteReference w:id="58"/>
      </w:r>
      <w:r>
        <w:rPr>
          <w:rFonts w:hint="eastAsia"/>
        </w:rPr>
        <w:t>在法官的被害人</w:t>
      </w:r>
      <w:r w:rsidR="00B046D9">
        <w:rPr>
          <w:rFonts w:hint="eastAsia"/>
        </w:rPr>
        <w:t>-</w:t>
      </w:r>
      <w:r>
        <w:rPr>
          <w:rFonts w:hint="eastAsia"/>
        </w:rPr>
        <w:t>德國冤案事件</w:t>
      </w:r>
      <w:proofErr w:type="gramStart"/>
      <w:r>
        <w:rPr>
          <w:rFonts w:hint="eastAsia"/>
        </w:rPr>
        <w:t>簿乙書</w:t>
      </w:r>
      <w:proofErr w:type="gramEnd"/>
      <w:r>
        <w:rPr>
          <w:rFonts w:hint="eastAsia"/>
        </w:rPr>
        <w:t>描述與統計數據：「面對真相，司法有它的困難。一開始的困難在於，就這個</w:t>
      </w:r>
      <w:r w:rsidR="005F142F">
        <w:rPr>
          <w:rFonts w:hint="eastAsia"/>
        </w:rPr>
        <w:t>行業</w:t>
      </w:r>
      <w:r>
        <w:rPr>
          <w:rFonts w:hint="eastAsia"/>
        </w:rPr>
        <w:t>的服務模式來看，真相根本就不在其服務範圍之內。『Da mihi facta. Dado tibi ius』這句拉丁文直到今天仍舊標誌著法官的工作。『給我事實，我就告訴你正義是什麼。』法官的活動就是適用法律，法官們知道有</w:t>
      </w:r>
      <w:r w:rsidR="00C20DCE">
        <w:rPr>
          <w:rFonts w:hint="eastAsia"/>
        </w:rPr>
        <w:t>那</w:t>
      </w:r>
      <w:r w:rsidR="00C20DCE">
        <w:rPr>
          <w:rFonts w:hint="eastAsia"/>
        </w:rPr>
        <w:lastRenderedPageBreak/>
        <w:t>些</w:t>
      </w:r>
      <w:r>
        <w:rPr>
          <w:rFonts w:hint="eastAsia"/>
        </w:rPr>
        <w:t>法律可以用，要怎麼去理解。他們的公平正義即在於將法律平等且理性地適</w:t>
      </w:r>
      <w:r w:rsidR="005F142F">
        <w:rPr>
          <w:rFonts w:hint="eastAsia"/>
        </w:rPr>
        <w:t>用於所有案件，而事實則由別人來負責。但是刑事法官知道，其所屬行業</w:t>
      </w:r>
      <w:r>
        <w:rPr>
          <w:rFonts w:hint="eastAsia"/>
        </w:rPr>
        <w:t>的最高指導原則是建立在一個誤解之上。</w:t>
      </w:r>
      <w:proofErr w:type="gramStart"/>
      <w:r>
        <w:rPr>
          <w:rFonts w:hint="eastAsia"/>
        </w:rPr>
        <w:t>梅茵茲</w:t>
      </w:r>
      <w:proofErr w:type="gramEnd"/>
      <w:r>
        <w:rPr>
          <w:rFonts w:hint="eastAsia"/>
        </w:rPr>
        <w:t>大學傳播學學者曾在</w:t>
      </w:r>
      <w:r w:rsidR="00B51FF7">
        <w:rPr>
          <w:rFonts w:hint="eastAsia"/>
        </w:rPr>
        <w:t>西元</w:t>
      </w:r>
      <w:r>
        <w:rPr>
          <w:rFonts w:hint="eastAsia"/>
        </w:rPr>
        <w:t>2011年針對司法體系進行一項問卷調查，有五百位刑事法官被問道：『何者讓作成判決更加困難：法律規範的不確定性，或是事實情況的不確定性?』百分之八十五的刑事法官認為，其難題在於『事實情況的不確定性』，只有百分之二認為難題在於法律的適用。『您認為作成判決最困難的部分為何?』百分之六十三的法官回答：『犯罪過程/犯罪事實的認定』。呈現明顯對比的，是法官們對發現真實所展現的自信度。『您是否曾在宣示判決後，懷疑其正確性?』百分之七十六的法官選擇『很少』或『從不』懷疑。不會出錯是法官這個職業的自我圖像。而他們又怎麼能夠承認，每天在必須決定別人命運的同時，</w:t>
      </w:r>
      <w:proofErr w:type="gramStart"/>
      <w:r>
        <w:rPr>
          <w:rFonts w:hint="eastAsia"/>
        </w:rPr>
        <w:t>腳底下踩著</w:t>
      </w:r>
      <w:proofErr w:type="gramEnd"/>
      <w:r>
        <w:rPr>
          <w:rFonts w:hint="eastAsia"/>
        </w:rPr>
        <w:t>的是怎樣的</w:t>
      </w:r>
      <w:proofErr w:type="gramStart"/>
      <w:r>
        <w:rPr>
          <w:rFonts w:hint="eastAsia"/>
        </w:rPr>
        <w:t>一層薄冰</w:t>
      </w:r>
      <w:proofErr w:type="gramEnd"/>
      <w:r>
        <w:rPr>
          <w:rFonts w:hint="eastAsia"/>
        </w:rPr>
        <w:t>?給我事實，我就告訴你正義是什麼：司法的這個要求並沒有受話的對象。這裡究竟是誰被提出要求?我們已經看到，在整個司法機器之中，其實找不到法官可信賴的事實提供者，而他也根本可以不需要，因為刑事訴訟法的『</w:t>
      </w:r>
      <w:proofErr w:type="gramStart"/>
      <w:r>
        <w:rPr>
          <w:rFonts w:hint="eastAsia"/>
        </w:rPr>
        <w:t>糾問原則</w:t>
      </w:r>
      <w:proofErr w:type="gramEnd"/>
      <w:r>
        <w:rPr>
          <w:rFonts w:hint="eastAsia"/>
        </w:rPr>
        <w:t>』就是以他為對象。現在，這個</w:t>
      </w:r>
      <w:r w:rsidR="000F0918">
        <w:rPr>
          <w:rFonts w:hint="eastAsia"/>
        </w:rPr>
        <w:t>行業</w:t>
      </w:r>
      <w:r>
        <w:rPr>
          <w:rFonts w:hint="eastAsia"/>
        </w:rPr>
        <w:t>不費吹灰之力即可引用刑事訴訟法來替自己辯護。老舊的拉丁法</w:t>
      </w:r>
      <w:proofErr w:type="gramStart"/>
      <w:r>
        <w:rPr>
          <w:rFonts w:hint="eastAsia"/>
        </w:rPr>
        <w:t>諺</w:t>
      </w:r>
      <w:proofErr w:type="gramEnd"/>
      <w:r>
        <w:rPr>
          <w:rFonts w:hint="eastAsia"/>
        </w:rPr>
        <w:t>早就被拋到九霄雲外了，因為現代的刑事法官自己即負責尋找真相。不過這不太對。連法官自己都覺得：『犯罪過</w:t>
      </w:r>
      <w:r>
        <w:rPr>
          <w:rFonts w:hint="eastAsia"/>
        </w:rPr>
        <w:lastRenderedPageBreak/>
        <w:t>程/犯罪事實的認定』是最艱難的事情，那是因為在他們任職之前，從來沒有人告訴他們，在法官這個職業裡，最重要的究竟是什麼。跟我講事實，我就知道法律：每</w:t>
      </w:r>
      <w:proofErr w:type="gramStart"/>
      <w:r>
        <w:rPr>
          <w:rFonts w:hint="eastAsia"/>
        </w:rPr>
        <w:t>個</w:t>
      </w:r>
      <w:proofErr w:type="gramEnd"/>
      <w:r>
        <w:rPr>
          <w:rFonts w:hint="eastAsia"/>
        </w:rPr>
        <w:t>法官都是這麼學的。聯邦最高法院的艾舍巴哈法官說，司法體系裡的『核心缺失』，就是在發現事實『缺乏職業訓練』。在整個學習過程中，那些未來的法官幾乎都只學習如何解釋法律，法學教育僅止於研究法律，法律人傳統上不投入事實以及如何確定事實的研究。國家考試只測驗考生是否能掌握『混合的實質客觀理論』，以評價對不能未遂之幫助行為的中止。但是這位考生在讀書時卻不必花任何一天的時間去瞭解著手犯罪之人的心理</w:t>
      </w:r>
      <w:proofErr w:type="gramStart"/>
      <w:r>
        <w:rPr>
          <w:rFonts w:hint="eastAsia"/>
        </w:rPr>
        <w:t>—</w:t>
      </w:r>
      <w:proofErr w:type="gramEnd"/>
      <w:r>
        <w:rPr>
          <w:rFonts w:hint="eastAsia"/>
        </w:rPr>
        <w:t>即使必須瞭解，他們也缺乏勇氣。什麼樣的謀殺動機在法律上能夠被視為『低劣動機』，每一個司法研習生在檢察署都能夠倒背如流，但如果問他應如何判斷某個證據的證據價值，他會為之語塞。即使到了法院實習階段，司法研習生還是不會學到任何與發現真相有關的事物。通常他們會從訓練者那邊</w:t>
      </w:r>
      <w:proofErr w:type="gramStart"/>
      <w:r>
        <w:rPr>
          <w:rFonts w:hint="eastAsia"/>
        </w:rPr>
        <w:t>拿到卷證</w:t>
      </w:r>
      <w:proofErr w:type="gramEnd"/>
      <w:r>
        <w:rPr>
          <w:rFonts w:hint="eastAsia"/>
        </w:rPr>
        <w:t>資料，然後便必須對此從事法律判斷與表決。</w:t>
      </w:r>
      <w:proofErr w:type="gramStart"/>
      <w:r>
        <w:rPr>
          <w:rFonts w:hint="eastAsia"/>
        </w:rPr>
        <w:t>給我卷證</w:t>
      </w:r>
      <w:proofErr w:type="gramEnd"/>
      <w:r>
        <w:rPr>
          <w:rFonts w:hint="eastAsia"/>
        </w:rPr>
        <w:t>，我就跟你說法律。至於</w:t>
      </w:r>
      <w:proofErr w:type="gramStart"/>
      <w:r>
        <w:rPr>
          <w:rFonts w:hint="eastAsia"/>
        </w:rPr>
        <w:t>這疊卷</w:t>
      </w:r>
      <w:proofErr w:type="gramEnd"/>
      <w:r>
        <w:rPr>
          <w:rFonts w:hint="eastAsia"/>
        </w:rPr>
        <w:t>證是怎麼來的，是否可以信賴，不會有人過問。法官在發現真實時的唯一確信就是，他即使犯錯也不會怎麼樣的那份良好感覺。我們已經看到，法官是獨立的、終身職、近乎有刑事豁免權</w:t>
      </w:r>
      <w:r w:rsidR="00C20DCE">
        <w:rPr>
          <w:rFonts w:ascii="新細明體" w:eastAsia="新細明體" w:hAnsi="新細明體" w:hint="eastAsia"/>
        </w:rPr>
        <w:t>，</w:t>
      </w:r>
      <w:r>
        <w:rPr>
          <w:rFonts w:hint="eastAsia"/>
        </w:rPr>
        <w:t>而且法律審無法有效加以檢驗。當法官每天必須做些自己根本就做不到的事情</w:t>
      </w:r>
      <w:proofErr w:type="gramStart"/>
      <w:r w:rsidR="00491C6E">
        <w:t>—</w:t>
      </w:r>
      <w:proofErr w:type="gramEnd"/>
      <w:r>
        <w:rPr>
          <w:rFonts w:hint="eastAsia"/>
        </w:rPr>
        <w:t>發現真實，這些後盾勢必可以減輕他們的</w:t>
      </w:r>
      <w:r>
        <w:rPr>
          <w:rFonts w:hint="eastAsia"/>
        </w:rPr>
        <w:lastRenderedPageBreak/>
        <w:t>壓力。但也因為有了這些後盾，刑事法官們也就更大無畏地踏上令人心驚的探險之路。」</w:t>
      </w:r>
      <w:r w:rsidR="007F2039">
        <w:rPr>
          <w:rStyle w:val="afe"/>
        </w:rPr>
        <w:footnoteReference w:id="59"/>
      </w:r>
      <w:r>
        <w:rPr>
          <w:rFonts w:hint="eastAsia"/>
        </w:rPr>
        <w:t>上開德國情形在我國是否亦有類似狀況，值得深思。</w:t>
      </w:r>
    </w:p>
    <w:p w:rsidR="00CE314E" w:rsidRPr="00377B49" w:rsidRDefault="00CE314E" w:rsidP="00A33E05">
      <w:pPr>
        <w:pStyle w:val="6"/>
        <w:rPr>
          <w:b/>
        </w:rPr>
      </w:pPr>
      <w:r>
        <w:rPr>
          <w:rFonts w:hint="eastAsia"/>
        </w:rPr>
        <w:tab/>
      </w:r>
      <w:r w:rsidRPr="00377B49">
        <w:rPr>
          <w:rFonts w:hint="eastAsia"/>
          <w:b/>
        </w:rPr>
        <w:t>為開創值得人民信賴的司法制度，應保障被告之程序利益與實體利益，建立迅速與妥適鑑定意見審查制度</w:t>
      </w:r>
      <w:r w:rsidR="002059B9" w:rsidRPr="00377B49">
        <w:rPr>
          <w:rFonts w:hint="eastAsia"/>
          <w:b/>
        </w:rPr>
        <w:t>(</w:t>
      </w:r>
      <w:proofErr w:type="gramStart"/>
      <w:r w:rsidR="002059B9" w:rsidRPr="00377B49">
        <w:rPr>
          <w:rFonts w:hint="eastAsia"/>
          <w:b/>
        </w:rPr>
        <w:t>複</w:t>
      </w:r>
      <w:proofErr w:type="gramEnd"/>
      <w:r w:rsidR="002059B9" w:rsidRPr="00377B49">
        <w:rPr>
          <w:rFonts w:hint="eastAsia"/>
          <w:b/>
        </w:rPr>
        <w:t>驗制度)</w:t>
      </w:r>
      <w:r w:rsidRPr="00377B49">
        <w:rPr>
          <w:rFonts w:hint="eastAsia"/>
          <w:b/>
        </w:rPr>
        <w:t>，得交由法官或當事人合意選任由前揭司法院所提供中立性專屬刑事鑑定機關，排除交互詰問之適用，以達成刑事訴訟之目的。</w:t>
      </w:r>
    </w:p>
    <w:p w:rsidR="00CE314E" w:rsidRDefault="00CE314E" w:rsidP="00A33E05">
      <w:pPr>
        <w:pStyle w:val="62"/>
        <w:ind w:left="2381" w:firstLine="680"/>
      </w:pPr>
      <w:r>
        <w:rPr>
          <w:rFonts w:hint="eastAsia"/>
        </w:rPr>
        <w:t>鑑定人固可協助法院發現真實，惟於證據調查程序中，仍須合於嚴格證明法則之要求，鑑定結果有無證據能力，同樣應受法律的檢驗，</w:t>
      </w:r>
      <w:proofErr w:type="gramStart"/>
      <w:r>
        <w:rPr>
          <w:rFonts w:hint="eastAsia"/>
        </w:rPr>
        <w:t>為辯明鑑定</w:t>
      </w:r>
      <w:proofErr w:type="gramEnd"/>
      <w:r>
        <w:rPr>
          <w:rFonts w:hint="eastAsia"/>
        </w:rPr>
        <w:t>之過程、方法及結果的正確性，賦予當事人或辯護人詰問之機會，尤其對被告而言，反詰問鑑定人之機會乃憲法保障被告防禦權。</w:t>
      </w:r>
      <w:proofErr w:type="gramStart"/>
      <w:r>
        <w:rPr>
          <w:rFonts w:hint="eastAsia"/>
        </w:rPr>
        <w:t>然上開</w:t>
      </w:r>
      <w:proofErr w:type="gramEnd"/>
      <w:r>
        <w:rPr>
          <w:rFonts w:hint="eastAsia"/>
        </w:rPr>
        <w:t>交互詰問制度僅為保障被告訴訟防禦權，並不足以完全保障鑑定意見之科學性要件，在我國實務上應如何思考，值得研究。</w:t>
      </w:r>
    </w:p>
    <w:p w:rsidR="00CE314E" w:rsidRDefault="00CE314E" w:rsidP="00296E12">
      <w:pPr>
        <w:pStyle w:val="62"/>
        <w:ind w:left="2381" w:firstLine="680"/>
      </w:pPr>
      <w:r>
        <w:rPr>
          <w:rFonts w:hint="eastAsia"/>
        </w:rPr>
        <w:t>按一般學術期刊論文審查係</w:t>
      </w:r>
      <w:proofErr w:type="gramStart"/>
      <w:r>
        <w:rPr>
          <w:rFonts w:hint="eastAsia"/>
        </w:rPr>
        <w:t>採</w:t>
      </w:r>
      <w:proofErr w:type="gramEnd"/>
      <w:r>
        <w:rPr>
          <w:rFonts w:hint="eastAsia"/>
        </w:rPr>
        <w:t>同儕審查制度</w:t>
      </w:r>
      <w:r w:rsidR="00575ACF">
        <w:rPr>
          <w:rStyle w:val="afe"/>
        </w:rPr>
        <w:footnoteReference w:id="60"/>
      </w:r>
      <w:r>
        <w:rPr>
          <w:rFonts w:hint="eastAsia"/>
        </w:rPr>
        <w:t>，對於藥物實驗有或採取雙盲制度</w:t>
      </w:r>
      <w:r w:rsidR="00575ACF">
        <w:rPr>
          <w:rStyle w:val="afe"/>
        </w:rPr>
        <w:footnoteReference w:id="61"/>
      </w:r>
      <w:r>
        <w:rPr>
          <w:rFonts w:hint="eastAsia"/>
        </w:rPr>
        <w:t>，</w:t>
      </w:r>
      <w:r>
        <w:rPr>
          <w:rFonts w:hint="eastAsia"/>
        </w:rPr>
        <w:lastRenderedPageBreak/>
        <w:t>在我國現行刑事訴訟法第207條規定：「鑑定有不完備者，得命增加人數或命他人繼續或另行鑑定。」</w:t>
      </w:r>
    </w:p>
    <w:p w:rsidR="00CE314E" w:rsidRDefault="00CE314E" w:rsidP="00296E12">
      <w:pPr>
        <w:pStyle w:val="62"/>
        <w:ind w:left="2381" w:firstLine="680"/>
      </w:pPr>
      <w:r>
        <w:rPr>
          <w:rFonts w:hint="eastAsia"/>
        </w:rPr>
        <w:t>上開</w:t>
      </w:r>
      <w:proofErr w:type="gramStart"/>
      <w:r>
        <w:rPr>
          <w:rFonts w:hint="eastAsia"/>
        </w:rPr>
        <w:t>複</w:t>
      </w:r>
      <w:proofErr w:type="gramEnd"/>
      <w:r>
        <w:rPr>
          <w:rFonts w:hint="eastAsia"/>
        </w:rPr>
        <w:t>驗程序</w:t>
      </w:r>
      <w:r w:rsidR="00552F7D">
        <w:rPr>
          <w:rStyle w:val="afe"/>
        </w:rPr>
        <w:footnoteReference w:id="62"/>
      </w:r>
      <w:r>
        <w:rPr>
          <w:rFonts w:hint="eastAsia"/>
        </w:rPr>
        <w:t>得由法官選任或當事人合意選任前揭司法院所提供中立性專屬刑事鑑定機關進行，毋庸進行交互詰問，以節省法院與當事人之勞力、時間與費用，若有必要仍得由法官詢問，以符合直接審理原則。</w:t>
      </w:r>
    </w:p>
    <w:p w:rsidR="00BE1F7E" w:rsidRPr="00BE1F7E" w:rsidRDefault="00CE314E" w:rsidP="00BE1F7E">
      <w:pPr>
        <w:pStyle w:val="3"/>
      </w:pPr>
      <w:r>
        <w:rPr>
          <w:rFonts w:hint="eastAsia"/>
        </w:rPr>
        <w:t>據</w:t>
      </w:r>
      <w:proofErr w:type="gramStart"/>
      <w:r>
        <w:rPr>
          <w:rFonts w:hint="eastAsia"/>
        </w:rPr>
        <w:t>上論結</w:t>
      </w:r>
      <w:proofErr w:type="gramEnd"/>
      <w:r>
        <w:rPr>
          <w:rFonts w:hint="eastAsia"/>
        </w:rPr>
        <w:t>，</w:t>
      </w:r>
      <w:r w:rsidR="00BE1F7E" w:rsidRPr="00BE1F7E">
        <w:rPr>
          <w:rFonts w:hint="eastAsia"/>
        </w:rPr>
        <w:t>鑑定制度</w:t>
      </w:r>
      <w:proofErr w:type="gramStart"/>
      <w:r w:rsidR="00BE1F7E" w:rsidRPr="00BE1F7E">
        <w:rPr>
          <w:rFonts w:hint="eastAsia"/>
        </w:rPr>
        <w:t>適正化程序</w:t>
      </w:r>
      <w:proofErr w:type="gramEnd"/>
      <w:r w:rsidR="00BE1F7E" w:rsidRPr="00BE1F7E">
        <w:rPr>
          <w:rFonts w:hint="eastAsia"/>
        </w:rPr>
        <w:t>應遵循刑事訴訟目的，不論</w:t>
      </w:r>
      <w:proofErr w:type="gramStart"/>
      <w:r w:rsidR="00BE1F7E" w:rsidRPr="00BE1F7E">
        <w:rPr>
          <w:rFonts w:hint="eastAsia"/>
        </w:rPr>
        <w:t>採</w:t>
      </w:r>
      <w:proofErr w:type="gramEnd"/>
      <w:r w:rsidR="00BE1F7E" w:rsidRPr="00BE1F7E">
        <w:rPr>
          <w:rFonts w:hint="eastAsia"/>
        </w:rPr>
        <w:t>何種制度架構，</w:t>
      </w:r>
      <w:proofErr w:type="gramStart"/>
      <w:r w:rsidR="00BE1F7E" w:rsidRPr="00BE1F7E">
        <w:rPr>
          <w:rFonts w:hint="eastAsia"/>
        </w:rPr>
        <w:t>均應符合</w:t>
      </w:r>
      <w:proofErr w:type="gramEnd"/>
      <w:r w:rsidR="00BE1F7E" w:rsidRPr="00BE1F7E">
        <w:rPr>
          <w:rFonts w:hint="eastAsia"/>
        </w:rPr>
        <w:t>公平法院原則，基於我國現行制度係</w:t>
      </w:r>
      <w:proofErr w:type="gramStart"/>
      <w:r w:rsidR="00BE1F7E" w:rsidRPr="00BE1F7E">
        <w:rPr>
          <w:rFonts w:hint="eastAsia"/>
        </w:rPr>
        <w:t>採</w:t>
      </w:r>
      <w:proofErr w:type="gramEnd"/>
      <w:r w:rsidR="00BE1F7E" w:rsidRPr="00BE1F7E">
        <w:rPr>
          <w:rFonts w:hint="eastAsia"/>
        </w:rPr>
        <w:t>改良式當事人進行主義，鑑定證據自應給予被告對質詰問權以保障其訴訟基本權，惟考量我國法治現狀、鑑定人才之培育與素質及未來司法改革規劃，自應有例外情事。從司改會所陳江國慶案與蘇建和案之鑑定疑義，鑑定證據確於偵審過程中無法受到切實檢視，司法人員亦較</w:t>
      </w:r>
      <w:proofErr w:type="gramStart"/>
      <w:r w:rsidR="00BE1F7E" w:rsidRPr="00BE1F7E">
        <w:rPr>
          <w:rFonts w:hint="eastAsia"/>
        </w:rPr>
        <w:t>欠缺判</w:t>
      </w:r>
      <w:proofErr w:type="gramEnd"/>
      <w:r w:rsidR="00BE1F7E" w:rsidRPr="00BE1F7E">
        <w:rPr>
          <w:rFonts w:hint="eastAsia"/>
        </w:rPr>
        <w:t>讀科學證據之能力，進而有能力審視其有無疏漏。雖88年全國司法改革會議對鑑定證據有所討論，然其決議並未執行。</w:t>
      </w:r>
      <w:proofErr w:type="gramStart"/>
      <w:r w:rsidR="00BE1F7E" w:rsidRPr="00BE1F7E">
        <w:rPr>
          <w:rFonts w:hint="eastAsia"/>
        </w:rPr>
        <w:t>鑑</w:t>
      </w:r>
      <w:proofErr w:type="gramEnd"/>
      <w:r w:rsidR="00BE1F7E" w:rsidRPr="00BE1F7E">
        <w:rPr>
          <w:rFonts w:hint="eastAsia"/>
        </w:rPr>
        <w:t>此，本院參考各國法制</w:t>
      </w:r>
      <w:proofErr w:type="gramStart"/>
      <w:r w:rsidR="00BE1F7E" w:rsidRPr="00BE1F7E">
        <w:rPr>
          <w:rFonts w:hint="eastAsia"/>
        </w:rPr>
        <w:t>並綜整各</w:t>
      </w:r>
      <w:proofErr w:type="gramEnd"/>
      <w:r w:rsidR="00BE1F7E" w:rsidRPr="00BE1F7E">
        <w:rPr>
          <w:rFonts w:hint="eastAsia"/>
        </w:rPr>
        <w:t>機關團體與學者專家意見初步</w:t>
      </w:r>
      <w:proofErr w:type="gramStart"/>
      <w:r w:rsidR="00BE1F7E" w:rsidRPr="00BE1F7E">
        <w:rPr>
          <w:rFonts w:hint="eastAsia"/>
        </w:rPr>
        <w:t>研</w:t>
      </w:r>
      <w:proofErr w:type="gramEnd"/>
      <w:r w:rsidR="00BE1F7E" w:rsidRPr="00BE1F7E">
        <w:rPr>
          <w:rFonts w:hint="eastAsia"/>
        </w:rPr>
        <w:t>析，建議司法院與法務部基於公平法院原則與改良式當事人進行主義，司法實務宜發展證據能力門檻；復偵</w:t>
      </w:r>
      <w:r w:rsidR="00BE1F7E" w:rsidRPr="00BE1F7E">
        <w:rPr>
          <w:rFonts w:hint="eastAsia"/>
        </w:rPr>
        <w:lastRenderedPageBreak/>
        <w:t>查機關選任鑑定人或囑託機關鑑定，宜與法院選任或囑託者有所區別，以保障</w:t>
      </w:r>
      <w:r w:rsidR="00BE1F7E" w:rsidRPr="001611BC">
        <w:rPr>
          <w:rFonts w:hint="eastAsia"/>
          <w:color w:val="0D0D0D" w:themeColor="text1" w:themeTint="F2"/>
        </w:rPr>
        <w:t>當事人</w:t>
      </w:r>
      <w:r w:rsidR="00BE1F7E" w:rsidRPr="00BE1F7E">
        <w:rPr>
          <w:rFonts w:hint="eastAsia"/>
        </w:rPr>
        <w:t>之對質詰問權；另宜參考美國專家證人制度優點，給予被告選任鑑定人之權利，惟考量現行實務現狀，避免過度商業化與訴訟成本提高，造成訴訟</w:t>
      </w:r>
      <w:proofErr w:type="gramStart"/>
      <w:r w:rsidR="00BE1F7E" w:rsidRPr="00BE1F7E">
        <w:rPr>
          <w:rFonts w:hint="eastAsia"/>
        </w:rPr>
        <w:t>延滯或濫用</w:t>
      </w:r>
      <w:proofErr w:type="gramEnd"/>
      <w:r w:rsidR="00BE1F7E" w:rsidRPr="00BE1F7E">
        <w:rPr>
          <w:rFonts w:hint="eastAsia"/>
        </w:rPr>
        <w:t>制度致使法院</w:t>
      </w:r>
      <w:proofErr w:type="gramStart"/>
      <w:r w:rsidR="00BE1F7E" w:rsidRPr="00BE1F7E">
        <w:rPr>
          <w:rFonts w:hint="eastAsia"/>
        </w:rPr>
        <w:t>難以發見真實</w:t>
      </w:r>
      <w:proofErr w:type="gramEnd"/>
      <w:r w:rsidR="00BE1F7E" w:rsidRPr="00BE1F7E">
        <w:rPr>
          <w:rFonts w:hint="eastAsia"/>
        </w:rPr>
        <w:t>，應</w:t>
      </w:r>
      <w:r w:rsidR="00BE1F7E" w:rsidRPr="001611BC">
        <w:rPr>
          <w:rFonts w:hint="eastAsia"/>
          <w:color w:val="262626" w:themeColor="text1" w:themeTint="D9"/>
        </w:rPr>
        <w:t>增加適用於</w:t>
      </w:r>
      <w:r w:rsidR="00BE1F7E" w:rsidRPr="00BE1F7E">
        <w:rPr>
          <w:rFonts w:hint="eastAsia"/>
        </w:rPr>
        <w:t>當事人合意囑託而不受交互詰問之「中立性機關鑑定」，</w:t>
      </w:r>
      <w:proofErr w:type="gramStart"/>
      <w:r w:rsidR="00BE1F7E" w:rsidRPr="00BE1F7E">
        <w:rPr>
          <w:rFonts w:hint="eastAsia"/>
        </w:rPr>
        <w:t>俾</w:t>
      </w:r>
      <w:proofErr w:type="gramEnd"/>
      <w:r w:rsidR="00BE1F7E" w:rsidRPr="00BE1F7E">
        <w:rPr>
          <w:rFonts w:hint="eastAsia"/>
        </w:rPr>
        <w:t>保障當事人之程序利益與實體利益。</w:t>
      </w:r>
      <w:proofErr w:type="gramStart"/>
      <w:r w:rsidR="00BE1F7E" w:rsidRPr="00BE1F7E">
        <w:rPr>
          <w:rFonts w:hint="eastAsia"/>
        </w:rPr>
        <w:t>再者，</w:t>
      </w:r>
      <w:proofErr w:type="gramEnd"/>
      <w:r w:rsidR="00BE1F7E" w:rsidRPr="00BE1F7E">
        <w:rPr>
          <w:rFonts w:hint="eastAsia"/>
        </w:rPr>
        <w:t>鑑定制度應按科技發展現況，隨時充實鑑定項目分類，並得建立適正審查程序，因應偵查與審判不同需求，建立層級化與多元化科學鑑定(識)系統，以提升</w:t>
      </w:r>
      <w:proofErr w:type="gramStart"/>
      <w:r w:rsidR="00BE1F7E" w:rsidRPr="00BE1F7E">
        <w:rPr>
          <w:rFonts w:hint="eastAsia"/>
        </w:rPr>
        <w:t>鑑</w:t>
      </w:r>
      <w:proofErr w:type="gramEnd"/>
      <w:r w:rsidR="00BE1F7E" w:rsidRPr="00BE1F7E">
        <w:rPr>
          <w:rFonts w:hint="eastAsia"/>
        </w:rPr>
        <w:t>識機關之公正性，並應透過鑑定機關參考名冊，適切協助法院妥善選任囑託鑑定機關或鑑定人；另因法官對刑事判決正確性負有全部責任，檢察官對於公訴事實亦負有全部舉證責任，故應強化其科學辦案能力之職能訓練，並建立迅速與妥適鑑定意見審查制度(</w:t>
      </w:r>
      <w:proofErr w:type="gramStart"/>
      <w:r w:rsidR="00BE1F7E" w:rsidRPr="00BE1F7E">
        <w:rPr>
          <w:rFonts w:hint="eastAsia"/>
        </w:rPr>
        <w:t>複</w:t>
      </w:r>
      <w:proofErr w:type="gramEnd"/>
      <w:r w:rsidR="00BE1F7E" w:rsidRPr="00BE1F7E">
        <w:rPr>
          <w:rFonts w:hint="eastAsia"/>
        </w:rPr>
        <w:t>驗制度)，以維公平法院原則。</w:t>
      </w:r>
    </w:p>
    <w:p w:rsidR="00251F13" w:rsidRDefault="00251F13" w:rsidP="00251F13">
      <w:pPr>
        <w:pStyle w:val="1"/>
      </w:pPr>
      <w:bookmarkStart w:id="6" w:name="_Toc465676853"/>
      <w:r>
        <w:rPr>
          <w:rFonts w:hint="eastAsia"/>
        </w:rPr>
        <w:t>處理辦法：</w:t>
      </w:r>
      <w:bookmarkEnd w:id="6"/>
    </w:p>
    <w:p w:rsidR="00251F13" w:rsidRPr="00F701D7" w:rsidRDefault="00251F13" w:rsidP="00251F13">
      <w:pPr>
        <w:pStyle w:val="2"/>
      </w:pPr>
      <w:bookmarkStart w:id="7" w:name="_Toc465676854"/>
      <w:r w:rsidRPr="00F701D7">
        <w:rPr>
          <w:rFonts w:hint="eastAsia"/>
        </w:rPr>
        <w:t>調查意見（含附件）函復陳訴人。</w:t>
      </w:r>
      <w:bookmarkEnd w:id="7"/>
    </w:p>
    <w:p w:rsidR="00251F13" w:rsidRPr="00F701D7" w:rsidRDefault="00251F13" w:rsidP="00251F13">
      <w:pPr>
        <w:pStyle w:val="2"/>
      </w:pPr>
      <w:bookmarkStart w:id="8" w:name="_Toc465676855"/>
      <w:r w:rsidRPr="00F701D7">
        <w:rPr>
          <w:rFonts w:hint="eastAsia"/>
        </w:rPr>
        <w:t>調查意見（含附件）函請司法院及法務部</w:t>
      </w:r>
      <w:proofErr w:type="gramStart"/>
      <w:r w:rsidRPr="00F701D7">
        <w:rPr>
          <w:rFonts w:hint="eastAsia"/>
        </w:rPr>
        <w:t>參辦見復。</w:t>
      </w:r>
      <w:bookmarkEnd w:id="8"/>
      <w:proofErr w:type="gramEnd"/>
    </w:p>
    <w:p w:rsidR="00251F13" w:rsidRDefault="00251F13" w:rsidP="00251F13">
      <w:pPr>
        <w:pStyle w:val="2"/>
      </w:pPr>
      <w:bookmarkStart w:id="9" w:name="_Toc465676856"/>
      <w:r>
        <w:rPr>
          <w:rFonts w:hint="eastAsia"/>
        </w:rPr>
        <w:t>調查報告送本院人權保障委員會。</w:t>
      </w:r>
      <w:bookmarkEnd w:id="9"/>
    </w:p>
    <w:p w:rsidR="00251F13" w:rsidRDefault="00251F13" w:rsidP="00251F13">
      <w:pPr>
        <w:pStyle w:val="aa"/>
        <w:spacing w:beforeLines="50" w:before="228" w:after="0" w:line="420" w:lineRule="exact"/>
        <w:ind w:left="0"/>
        <w:rPr>
          <w:b w:val="0"/>
          <w:bCs/>
          <w:snapToGrid/>
          <w:spacing w:val="12"/>
          <w:kern w:val="0"/>
          <w:szCs w:val="36"/>
        </w:rPr>
      </w:pPr>
      <w:r>
        <w:rPr>
          <w:rFonts w:hint="eastAsia"/>
          <w:b w:val="0"/>
          <w:bCs/>
          <w:snapToGrid/>
          <w:spacing w:val="12"/>
          <w:kern w:val="0"/>
          <w:szCs w:val="36"/>
        </w:rPr>
        <w:t xml:space="preserve">　　　　　　　　　　</w:t>
      </w:r>
      <w:r w:rsidRPr="00251F13">
        <w:rPr>
          <w:rFonts w:hint="eastAsia"/>
          <w:b w:val="0"/>
          <w:bCs/>
          <w:snapToGrid/>
          <w:spacing w:val="12"/>
          <w:kern w:val="0"/>
          <w:szCs w:val="36"/>
        </w:rPr>
        <w:t>調查委員：</w:t>
      </w:r>
      <w:r>
        <w:rPr>
          <w:rFonts w:hint="eastAsia"/>
          <w:b w:val="0"/>
          <w:bCs/>
          <w:snapToGrid/>
          <w:spacing w:val="12"/>
          <w:kern w:val="0"/>
          <w:szCs w:val="36"/>
        </w:rPr>
        <w:t>林雅鋒</w:t>
      </w:r>
    </w:p>
    <w:p w:rsidR="00251F13" w:rsidRDefault="00251F13" w:rsidP="00251F13">
      <w:pPr>
        <w:pStyle w:val="aa"/>
        <w:spacing w:beforeLines="50" w:before="228" w:after="0" w:line="420" w:lineRule="exact"/>
        <w:ind w:leftChars="1100" w:left="3742"/>
        <w:rPr>
          <w:b w:val="0"/>
          <w:bCs/>
          <w:snapToGrid/>
          <w:spacing w:val="12"/>
          <w:kern w:val="0"/>
          <w:szCs w:val="36"/>
        </w:rPr>
      </w:pPr>
      <w:r>
        <w:rPr>
          <w:rFonts w:hint="eastAsia"/>
          <w:b w:val="0"/>
          <w:bCs/>
          <w:snapToGrid/>
          <w:spacing w:val="12"/>
          <w:kern w:val="0"/>
          <w:szCs w:val="36"/>
        </w:rPr>
        <w:t xml:space="preserve">         　方萬富</w:t>
      </w:r>
    </w:p>
    <w:p w:rsidR="00251F13" w:rsidRDefault="00251F13" w:rsidP="00251F13">
      <w:pPr>
        <w:pStyle w:val="aa"/>
        <w:spacing w:beforeLines="50" w:before="228" w:after="0" w:line="420" w:lineRule="exact"/>
        <w:ind w:leftChars="1100" w:left="3742"/>
        <w:rPr>
          <w:b w:val="0"/>
          <w:bCs/>
          <w:snapToGrid/>
          <w:spacing w:val="12"/>
          <w:kern w:val="0"/>
          <w:szCs w:val="36"/>
        </w:rPr>
      </w:pPr>
      <w:r>
        <w:rPr>
          <w:rFonts w:hint="eastAsia"/>
          <w:b w:val="0"/>
          <w:bCs/>
          <w:snapToGrid/>
          <w:spacing w:val="12"/>
          <w:kern w:val="0"/>
          <w:szCs w:val="36"/>
        </w:rPr>
        <w:t xml:space="preserve">         　江明蒼</w:t>
      </w:r>
    </w:p>
    <w:p w:rsidR="00251F13" w:rsidRPr="00251F13" w:rsidRDefault="00251F13" w:rsidP="00251F13">
      <w:pPr>
        <w:pStyle w:val="aa"/>
        <w:spacing w:beforeLines="50" w:before="228" w:after="0" w:line="420" w:lineRule="exact"/>
        <w:ind w:leftChars="1100" w:left="3742"/>
        <w:rPr>
          <w:rFonts w:ascii="Times New Roman"/>
          <w:b w:val="0"/>
          <w:bCs/>
          <w:snapToGrid/>
          <w:spacing w:val="0"/>
          <w:kern w:val="0"/>
          <w:szCs w:val="36"/>
        </w:rPr>
      </w:pPr>
      <w:r>
        <w:rPr>
          <w:rFonts w:hint="eastAsia"/>
          <w:b w:val="0"/>
          <w:bCs/>
          <w:snapToGrid/>
          <w:spacing w:val="12"/>
          <w:kern w:val="0"/>
          <w:szCs w:val="36"/>
        </w:rPr>
        <w:t xml:space="preserve">         　孫大川</w:t>
      </w:r>
    </w:p>
    <w:sectPr w:rsidR="00251F13" w:rsidRPr="00251F13" w:rsidSect="00251F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67" w:rsidRDefault="00350C67">
      <w:r>
        <w:separator/>
      </w:r>
    </w:p>
  </w:endnote>
  <w:endnote w:type="continuationSeparator" w:id="0">
    <w:p w:rsidR="00350C67" w:rsidRDefault="0035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67" w:rsidRDefault="00350C67">
      <w:r>
        <w:separator/>
      </w:r>
    </w:p>
  </w:footnote>
  <w:footnote w:type="continuationSeparator" w:id="0">
    <w:p w:rsidR="00350C67" w:rsidRDefault="00350C67">
      <w:r>
        <w:continuationSeparator/>
      </w:r>
    </w:p>
  </w:footnote>
  <w:footnote w:id="1">
    <w:p w:rsidR="00156B94" w:rsidRPr="0087441D" w:rsidRDefault="00156B94" w:rsidP="00B54082">
      <w:pPr>
        <w:pStyle w:val="afc"/>
        <w:ind w:left="165" w:hangingChars="75" w:hanging="165"/>
        <w:rPr>
          <w:rFonts w:hAnsi="標楷體"/>
        </w:rPr>
      </w:pPr>
      <w:r w:rsidRPr="0087441D">
        <w:rPr>
          <w:rStyle w:val="afe"/>
          <w:rFonts w:hAnsi="標楷體"/>
        </w:rPr>
        <w:footnoteRef/>
      </w:r>
      <w:r w:rsidRPr="0087441D">
        <w:rPr>
          <w:rFonts w:hAnsi="標楷體"/>
        </w:rPr>
        <w:t xml:space="preserve"> </w:t>
      </w:r>
      <w:r w:rsidRPr="0087441D">
        <w:rPr>
          <w:rFonts w:hAnsi="標楷體" w:hint="eastAsia"/>
          <w:bCs/>
        </w:rPr>
        <w:t>本案撤銷發回更審之程序如下：最高法院於94年5月26日以94年度</w:t>
      </w:r>
      <w:proofErr w:type="gramStart"/>
      <w:r w:rsidRPr="0087441D">
        <w:rPr>
          <w:rFonts w:hAnsi="標楷體" w:hint="eastAsia"/>
          <w:bCs/>
        </w:rPr>
        <w:t>臺</w:t>
      </w:r>
      <w:proofErr w:type="gramEnd"/>
      <w:r w:rsidRPr="0087441D">
        <w:rPr>
          <w:rFonts w:hAnsi="標楷體" w:hint="eastAsia"/>
          <w:bCs/>
        </w:rPr>
        <w:t>非字第124 號判決撤銷該院89年度</w:t>
      </w:r>
      <w:proofErr w:type="gramStart"/>
      <w:r w:rsidRPr="0087441D">
        <w:rPr>
          <w:rFonts w:hAnsi="標楷體" w:hint="eastAsia"/>
          <w:bCs/>
        </w:rPr>
        <w:t>臺</w:t>
      </w:r>
      <w:proofErr w:type="gramEnd"/>
      <w:r w:rsidRPr="0087441D">
        <w:rPr>
          <w:rFonts w:hAnsi="標楷體" w:hint="eastAsia"/>
          <w:bCs/>
        </w:rPr>
        <w:t>上字第2196號判決及</w:t>
      </w:r>
      <w:r w:rsidRPr="0087441D">
        <w:rPr>
          <w:rFonts w:hAnsi="標楷體" w:hint="eastAsia"/>
        </w:rPr>
        <w:t>臺灣高等法院</w:t>
      </w:r>
      <w:r w:rsidRPr="0087441D">
        <w:rPr>
          <w:rFonts w:hAnsi="標楷體" w:hint="eastAsia"/>
          <w:bCs/>
        </w:rPr>
        <w:t>88年度重上更(五)字第145 號判決關於徐自強部分，於94年6月2日發回由</w:t>
      </w:r>
      <w:r w:rsidRPr="0087441D">
        <w:rPr>
          <w:rFonts w:hAnsi="標楷體" w:hint="eastAsia"/>
        </w:rPr>
        <w:t>臺灣高等法院</w:t>
      </w:r>
      <w:r w:rsidRPr="0087441D">
        <w:rPr>
          <w:rFonts w:hAnsi="標楷體" w:hint="eastAsia"/>
          <w:bCs/>
        </w:rPr>
        <w:t>審理。</w:t>
      </w:r>
      <w:proofErr w:type="gramStart"/>
      <w:r w:rsidRPr="0087441D">
        <w:rPr>
          <w:rFonts w:hAnsi="標楷體" w:hint="eastAsia"/>
          <w:bCs/>
        </w:rPr>
        <w:t>嗣迭經</w:t>
      </w:r>
      <w:proofErr w:type="gramEnd"/>
      <w:r w:rsidRPr="0087441D">
        <w:rPr>
          <w:rFonts w:hAnsi="標楷體" w:hint="eastAsia"/>
        </w:rPr>
        <w:t>臺灣高等法院</w:t>
      </w:r>
      <w:r w:rsidRPr="0087441D">
        <w:rPr>
          <w:rFonts w:hAnsi="標楷體" w:hint="eastAsia"/>
          <w:bCs/>
        </w:rPr>
        <w:t>於98年12月8日以94年度重上更(六)字第90號、於100年11月25日以99年度</w:t>
      </w:r>
      <w:proofErr w:type="gramStart"/>
      <w:r w:rsidRPr="0087441D">
        <w:rPr>
          <w:rFonts w:hAnsi="標楷體" w:hint="eastAsia"/>
          <w:bCs/>
        </w:rPr>
        <w:t>上重更</w:t>
      </w:r>
      <w:proofErr w:type="gramEnd"/>
      <w:r w:rsidRPr="0087441D">
        <w:rPr>
          <w:rFonts w:hAnsi="標楷體" w:hint="eastAsia"/>
          <w:bCs/>
        </w:rPr>
        <w:t>(七)字第15號、於101年5月18日以</w:t>
      </w:r>
      <w:proofErr w:type="gramStart"/>
      <w:r w:rsidRPr="0087441D">
        <w:rPr>
          <w:rFonts w:hAnsi="標楷體" w:hint="eastAsia"/>
          <w:bCs/>
        </w:rPr>
        <w:t>101</w:t>
      </w:r>
      <w:proofErr w:type="gramEnd"/>
      <w:r w:rsidRPr="0087441D">
        <w:rPr>
          <w:rFonts w:hAnsi="標楷體" w:hint="eastAsia"/>
          <w:bCs/>
        </w:rPr>
        <w:t>年度</w:t>
      </w:r>
      <w:proofErr w:type="gramStart"/>
      <w:r w:rsidRPr="0087441D">
        <w:rPr>
          <w:rFonts w:hAnsi="標楷體" w:hint="eastAsia"/>
          <w:bCs/>
        </w:rPr>
        <w:t>上重更</w:t>
      </w:r>
      <w:proofErr w:type="gramEnd"/>
      <w:r w:rsidRPr="0087441D">
        <w:rPr>
          <w:rFonts w:hAnsi="標楷體" w:hint="eastAsia"/>
          <w:bCs/>
        </w:rPr>
        <w:t>(八)字第8號判決後，</w:t>
      </w:r>
      <w:proofErr w:type="gramStart"/>
      <w:r w:rsidRPr="0087441D">
        <w:rPr>
          <w:rFonts w:hAnsi="標楷體" w:hint="eastAsia"/>
          <w:bCs/>
        </w:rPr>
        <w:t>均經最高法院</w:t>
      </w:r>
      <w:proofErr w:type="gramEnd"/>
      <w:r w:rsidRPr="0087441D">
        <w:rPr>
          <w:rFonts w:hAnsi="標楷體" w:hint="eastAsia"/>
          <w:bCs/>
        </w:rPr>
        <w:t>撤銷發回</w:t>
      </w:r>
      <w:r w:rsidRPr="0087441D">
        <w:rPr>
          <w:rFonts w:hAnsi="標楷體" w:hint="eastAsia"/>
        </w:rPr>
        <w:t>臺灣高等法院</w:t>
      </w:r>
      <w:r w:rsidRPr="0087441D">
        <w:rPr>
          <w:rFonts w:hAnsi="標楷體" w:hint="eastAsia"/>
          <w:bCs/>
        </w:rPr>
        <w:t>更審，</w:t>
      </w:r>
      <w:r w:rsidRPr="0087441D">
        <w:rPr>
          <w:rFonts w:hAnsi="標楷體" w:hint="eastAsia"/>
        </w:rPr>
        <w:t>臺灣高等法院於104年9月1日以</w:t>
      </w:r>
      <w:proofErr w:type="gramStart"/>
      <w:r w:rsidRPr="0087441D">
        <w:rPr>
          <w:rFonts w:hAnsi="標楷體" w:hint="eastAsia"/>
        </w:rPr>
        <w:t>102</w:t>
      </w:r>
      <w:proofErr w:type="gramEnd"/>
      <w:r w:rsidRPr="0087441D">
        <w:rPr>
          <w:rFonts w:hAnsi="標楷體" w:hint="eastAsia"/>
        </w:rPr>
        <w:t>年度</w:t>
      </w:r>
      <w:proofErr w:type="gramStart"/>
      <w:r w:rsidRPr="0087441D">
        <w:rPr>
          <w:rFonts w:hAnsi="標楷體" w:hint="eastAsia"/>
        </w:rPr>
        <w:t>上重更</w:t>
      </w:r>
      <w:proofErr w:type="gramEnd"/>
      <w:r w:rsidRPr="0087441D">
        <w:rPr>
          <w:rFonts w:hAnsi="標楷體" w:hint="eastAsia"/>
        </w:rPr>
        <w:t>(九)字第5號判決被告徐自強無罪，最高法院105年10月13日以</w:t>
      </w:r>
      <w:proofErr w:type="gramStart"/>
      <w:r w:rsidRPr="0087441D">
        <w:rPr>
          <w:rFonts w:hAnsi="標楷體"/>
        </w:rPr>
        <w:t>105</w:t>
      </w:r>
      <w:proofErr w:type="gramEnd"/>
      <w:r w:rsidRPr="0087441D">
        <w:rPr>
          <w:rFonts w:hAnsi="標楷體" w:hint="eastAsia"/>
        </w:rPr>
        <w:t>年度台上字第</w:t>
      </w:r>
      <w:r w:rsidRPr="0087441D">
        <w:rPr>
          <w:rFonts w:hAnsi="標楷體"/>
        </w:rPr>
        <w:t>2617</w:t>
      </w:r>
      <w:r w:rsidRPr="0087441D">
        <w:rPr>
          <w:rFonts w:hAnsi="標楷體" w:hint="eastAsia"/>
        </w:rPr>
        <w:t>號刑事判決駁回檢察官上訴確定</w:t>
      </w:r>
      <w:r w:rsidRPr="0087441D">
        <w:rPr>
          <w:rFonts w:hAnsi="標楷體" w:hint="eastAsia"/>
          <w:bCs/>
        </w:rPr>
        <w:t>。</w:t>
      </w:r>
    </w:p>
  </w:footnote>
  <w:footnote w:id="2">
    <w:p w:rsidR="00156B94" w:rsidRPr="0087441D" w:rsidRDefault="00156B94" w:rsidP="005573BF">
      <w:pPr>
        <w:pStyle w:val="afc"/>
        <w:ind w:left="165" w:hangingChars="75" w:hanging="165"/>
        <w:rPr>
          <w:rFonts w:hAnsi="標楷體"/>
        </w:rPr>
      </w:pPr>
      <w:r w:rsidRPr="0087441D">
        <w:rPr>
          <w:rStyle w:val="afe"/>
          <w:rFonts w:hAnsi="標楷體"/>
        </w:rPr>
        <w:footnoteRef/>
      </w:r>
      <w:r w:rsidRPr="0087441D">
        <w:rPr>
          <w:rFonts w:hAnsi="標楷體"/>
        </w:rPr>
        <w:t xml:space="preserve"> </w:t>
      </w:r>
      <w:r w:rsidRPr="0087441D">
        <w:rPr>
          <w:rFonts w:hAnsi="標楷體" w:hint="eastAsia"/>
        </w:rPr>
        <w:t>臺灣士林地方法院檢察署104年11月19日士</w:t>
      </w:r>
      <w:proofErr w:type="gramStart"/>
      <w:r w:rsidRPr="0087441D">
        <w:rPr>
          <w:rFonts w:hAnsi="標楷體" w:hint="eastAsia"/>
        </w:rPr>
        <w:t>檢朝檔字</w:t>
      </w:r>
      <w:proofErr w:type="gramEnd"/>
      <w:r w:rsidRPr="0087441D">
        <w:rPr>
          <w:rFonts w:hAnsi="標楷體" w:hint="eastAsia"/>
        </w:rPr>
        <w:t>第37760號函、法務部法醫研究所104年11月25日法醫理字第10400219830號函、國防部105年1月8日國法</w:t>
      </w:r>
      <w:proofErr w:type="gramStart"/>
      <w:r w:rsidRPr="0087441D">
        <w:rPr>
          <w:rFonts w:hAnsi="標楷體" w:hint="eastAsia"/>
        </w:rPr>
        <w:t>法服字</w:t>
      </w:r>
      <w:proofErr w:type="gramEnd"/>
      <w:r w:rsidRPr="0087441D">
        <w:rPr>
          <w:rFonts w:hAnsi="標楷體" w:hint="eastAsia"/>
        </w:rPr>
        <w:t>第1050000092號函、法務部調查局105年2月3日</w:t>
      </w:r>
      <w:proofErr w:type="gramStart"/>
      <w:r w:rsidRPr="0087441D">
        <w:rPr>
          <w:rFonts w:hAnsi="標楷體" w:hint="eastAsia"/>
        </w:rPr>
        <w:t>調科肆字</w:t>
      </w:r>
      <w:proofErr w:type="gramEnd"/>
      <w:r w:rsidRPr="0087441D">
        <w:rPr>
          <w:rFonts w:hAnsi="標楷體" w:hint="eastAsia"/>
        </w:rPr>
        <w:t>第10500022940號函、內政部警政署刑事警察局105年2月17日</w:t>
      </w:r>
      <w:proofErr w:type="gramStart"/>
      <w:r w:rsidRPr="0087441D">
        <w:rPr>
          <w:rFonts w:hAnsi="標楷體" w:hint="eastAsia"/>
        </w:rPr>
        <w:t>刑</w:t>
      </w:r>
      <w:proofErr w:type="gramEnd"/>
      <w:r w:rsidRPr="0087441D">
        <w:rPr>
          <w:rFonts w:hAnsi="標楷體" w:hint="eastAsia"/>
        </w:rPr>
        <w:t>生字第1050008788號函、台灣法醫學會105年2月19日台法醫字第201602001號函、台灣法醫學會105年2月19日台法醫字第201602002號函、法務部法醫研究所105年2月22日法醫證字第10500201810號函、法務部法醫研究所105年2月26日法醫理字第10500201970號函、社團法人臺灣</w:t>
      </w:r>
      <w:proofErr w:type="gramStart"/>
      <w:r w:rsidRPr="0087441D">
        <w:rPr>
          <w:rFonts w:hAnsi="標楷體" w:hint="eastAsia"/>
        </w:rPr>
        <w:t>鑑</w:t>
      </w:r>
      <w:proofErr w:type="gramEnd"/>
      <w:r w:rsidRPr="0087441D">
        <w:rPr>
          <w:rFonts w:hAnsi="標楷體" w:hint="eastAsia"/>
        </w:rPr>
        <w:t>識科學學會105年2月26日</w:t>
      </w:r>
      <w:proofErr w:type="gramStart"/>
      <w:r w:rsidRPr="0087441D">
        <w:rPr>
          <w:rFonts w:hAnsi="標楷體" w:hint="eastAsia"/>
        </w:rPr>
        <w:t>鑑學字</w:t>
      </w:r>
      <w:proofErr w:type="gramEnd"/>
      <w:r w:rsidRPr="0087441D">
        <w:rPr>
          <w:rFonts w:hAnsi="標楷體" w:hint="eastAsia"/>
        </w:rPr>
        <w:t>第1050012號函、內政部警政署刑事警察局105年3月3日刑</w:t>
      </w:r>
      <w:proofErr w:type="gramStart"/>
      <w:r w:rsidRPr="0087441D">
        <w:rPr>
          <w:rFonts w:hAnsi="標楷體" w:hint="eastAsia"/>
        </w:rPr>
        <w:t>鑑</w:t>
      </w:r>
      <w:proofErr w:type="gramEnd"/>
      <w:r w:rsidRPr="0087441D">
        <w:rPr>
          <w:rFonts w:hAnsi="標楷體" w:hint="eastAsia"/>
        </w:rPr>
        <w:t>字第1050009134號函、中央警察大學105年3月14日校</w:t>
      </w:r>
      <w:proofErr w:type="gramStart"/>
      <w:r w:rsidRPr="0087441D">
        <w:rPr>
          <w:rFonts w:hAnsi="標楷體" w:hint="eastAsia"/>
        </w:rPr>
        <w:t>鑑科字</w:t>
      </w:r>
      <w:proofErr w:type="gramEnd"/>
      <w:r w:rsidRPr="0087441D">
        <w:rPr>
          <w:rFonts w:hAnsi="標楷體" w:hint="eastAsia"/>
        </w:rPr>
        <w:t>第1050002298號函、中央警察大學105年3月17日校</w:t>
      </w:r>
      <w:proofErr w:type="gramStart"/>
      <w:r w:rsidRPr="0087441D">
        <w:rPr>
          <w:rFonts w:hAnsi="標楷體" w:hint="eastAsia"/>
        </w:rPr>
        <w:t>鑑科字</w:t>
      </w:r>
      <w:proofErr w:type="gramEnd"/>
      <w:r w:rsidRPr="0087441D">
        <w:rPr>
          <w:rFonts w:hAnsi="標楷體" w:hint="eastAsia"/>
        </w:rPr>
        <w:t>第1050002484號函、法務部法醫研究所105年3月21日法醫秘字第10510000710號函、內政部警政署刑事警察局105年3月24日</w:t>
      </w:r>
      <w:proofErr w:type="gramStart"/>
      <w:r w:rsidRPr="0087441D">
        <w:rPr>
          <w:rFonts w:hAnsi="標楷體" w:hint="eastAsia"/>
        </w:rPr>
        <w:t>刑</w:t>
      </w:r>
      <w:proofErr w:type="gramEnd"/>
      <w:r w:rsidRPr="0087441D">
        <w:rPr>
          <w:rFonts w:hAnsi="標楷體" w:hint="eastAsia"/>
        </w:rPr>
        <w:t>生字第1050022315號函、法務部調查局105年3月28日</w:t>
      </w:r>
      <w:proofErr w:type="gramStart"/>
      <w:r w:rsidRPr="0087441D">
        <w:rPr>
          <w:rFonts w:hAnsi="標楷體" w:hint="eastAsia"/>
        </w:rPr>
        <w:t>調科肆字</w:t>
      </w:r>
      <w:proofErr w:type="gramEnd"/>
      <w:r w:rsidRPr="0087441D">
        <w:rPr>
          <w:rFonts w:hAnsi="標楷體" w:hint="eastAsia"/>
        </w:rPr>
        <w:t>第10500060920號、中央警察大學105年4月14日校</w:t>
      </w:r>
      <w:proofErr w:type="gramStart"/>
      <w:r w:rsidRPr="0087441D">
        <w:rPr>
          <w:rFonts w:hAnsi="標楷體" w:hint="eastAsia"/>
        </w:rPr>
        <w:t>鑑科字</w:t>
      </w:r>
      <w:proofErr w:type="gramEnd"/>
      <w:r w:rsidRPr="0087441D">
        <w:rPr>
          <w:rFonts w:hAnsi="標楷體" w:hint="eastAsia"/>
        </w:rPr>
        <w:t>第1050003360號函、法務部法醫研究所105年4月14日法醫秘字第10510001010號函。</w:t>
      </w:r>
    </w:p>
  </w:footnote>
  <w:footnote w:id="3">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法務部法醫研究所105年2月22日法醫證字第10500201810號函。</w:t>
      </w:r>
    </w:p>
  </w:footnote>
  <w:footnote w:id="4">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中央警察大學105年3月17日校</w:t>
      </w:r>
      <w:proofErr w:type="gramStart"/>
      <w:r w:rsidRPr="0087441D">
        <w:rPr>
          <w:rFonts w:hAnsi="標楷體" w:hint="eastAsia"/>
        </w:rPr>
        <w:t>鑑科字</w:t>
      </w:r>
      <w:proofErr w:type="gramEnd"/>
      <w:r w:rsidRPr="0087441D">
        <w:rPr>
          <w:rFonts w:hAnsi="標楷體" w:hint="eastAsia"/>
        </w:rPr>
        <w:t>第1050002484號函。</w:t>
      </w:r>
    </w:p>
  </w:footnote>
  <w:footnote w:id="5">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台灣法醫學會105年2月19日台法醫字第201602001號函。</w:t>
      </w:r>
    </w:p>
  </w:footnote>
  <w:footnote w:id="6">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法務部法醫研究所105年2月22日法醫證字第10500201810號函。</w:t>
      </w:r>
    </w:p>
  </w:footnote>
  <w:footnote w:id="7">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內政部警政署刑事警察局105年2月17日</w:t>
      </w:r>
      <w:proofErr w:type="gramStart"/>
      <w:r w:rsidRPr="0087441D">
        <w:rPr>
          <w:rFonts w:hAnsi="標楷體" w:hint="eastAsia"/>
        </w:rPr>
        <w:t>刑</w:t>
      </w:r>
      <w:proofErr w:type="gramEnd"/>
      <w:r w:rsidRPr="0087441D">
        <w:rPr>
          <w:rFonts w:hAnsi="標楷體" w:hint="eastAsia"/>
        </w:rPr>
        <w:t>生字第105008788號函。</w:t>
      </w:r>
    </w:p>
  </w:footnote>
  <w:footnote w:id="8">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中央警察大學105年3月17日校</w:t>
      </w:r>
      <w:proofErr w:type="gramStart"/>
      <w:r w:rsidRPr="0087441D">
        <w:rPr>
          <w:rFonts w:hAnsi="標楷體" w:hint="eastAsia"/>
        </w:rPr>
        <w:t>鑑科字</w:t>
      </w:r>
      <w:proofErr w:type="gramEnd"/>
      <w:r w:rsidRPr="0087441D">
        <w:rPr>
          <w:rFonts w:hAnsi="標楷體" w:hint="eastAsia"/>
        </w:rPr>
        <w:t>第1050002484號函。</w:t>
      </w:r>
    </w:p>
  </w:footnote>
  <w:footnote w:id="9">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台灣法醫學會105年2月19日台法醫字第201602001號函。</w:t>
      </w:r>
    </w:p>
  </w:footnote>
  <w:footnote w:id="10">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蘇建和案公訴意旨略</w:t>
      </w:r>
      <w:proofErr w:type="gramStart"/>
      <w:r w:rsidRPr="0087441D">
        <w:rPr>
          <w:rFonts w:hAnsi="標楷體" w:hint="eastAsia"/>
        </w:rPr>
        <w:t>以</w:t>
      </w:r>
      <w:proofErr w:type="gramEnd"/>
      <w:r w:rsidRPr="0087441D">
        <w:rPr>
          <w:rFonts w:hAnsi="標楷體" w:hint="eastAsia"/>
        </w:rPr>
        <w:t>：</w:t>
      </w:r>
      <w:r w:rsidRPr="0087441D">
        <w:rPr>
          <w:rFonts w:hAnsi="標楷體"/>
        </w:rPr>
        <w:t>被告劉秉郎、莊林勳、蘇建和(下稱被告等3人)與現役軍人王文孝、王文忠兄弟(以上二</w:t>
      </w:r>
      <w:proofErr w:type="gramStart"/>
      <w:r w:rsidRPr="0087441D">
        <w:rPr>
          <w:rFonts w:hAnsi="標楷體"/>
        </w:rPr>
        <w:t>人均經國防部</w:t>
      </w:r>
      <w:proofErr w:type="gramEnd"/>
      <w:r w:rsidRPr="0087441D">
        <w:rPr>
          <w:rFonts w:hAnsi="標楷體"/>
        </w:rPr>
        <w:t>判處罪刑確定，王文孝業已執行死刑完畢)經常聚集嫖賭玩樂，於</w:t>
      </w:r>
      <w:r w:rsidRPr="0087441D">
        <w:rPr>
          <w:rFonts w:hAnsi="標楷體" w:hint="eastAsia"/>
        </w:rPr>
        <w:t>80</w:t>
      </w:r>
      <w:r w:rsidRPr="0087441D">
        <w:rPr>
          <w:rFonts w:hAnsi="標楷體"/>
        </w:rPr>
        <w:t>年</w:t>
      </w:r>
      <w:r w:rsidRPr="0087441D">
        <w:rPr>
          <w:rFonts w:hAnsi="標楷體" w:hint="eastAsia"/>
        </w:rPr>
        <w:t>3</w:t>
      </w:r>
      <w:r w:rsidRPr="0087441D">
        <w:rPr>
          <w:rFonts w:hAnsi="標楷體"/>
        </w:rPr>
        <w:t>月</w:t>
      </w:r>
      <w:r w:rsidRPr="0087441D">
        <w:rPr>
          <w:rFonts w:hAnsi="標楷體" w:hint="eastAsia"/>
        </w:rPr>
        <w:t>23</w:t>
      </w:r>
      <w:r w:rsidRPr="0087441D">
        <w:rPr>
          <w:rFonts w:hAnsi="標楷體"/>
        </w:rPr>
        <w:t>日</w:t>
      </w:r>
      <w:r w:rsidRPr="0087441D">
        <w:rPr>
          <w:rFonts w:hAnsi="標楷體" w:hint="eastAsia"/>
        </w:rPr>
        <w:t>23</w:t>
      </w:r>
      <w:r w:rsidRPr="0087441D">
        <w:rPr>
          <w:rFonts w:hAnsi="標楷體"/>
        </w:rPr>
        <w:t>時許，五人同赴台北縣汐止鎮(現已改為新北市汐止區</w:t>
      </w:r>
      <w:r w:rsidRPr="0087441D">
        <w:rPr>
          <w:rFonts w:hAnsi="標楷體" w:hint="eastAsia"/>
        </w:rPr>
        <w:t>)某</w:t>
      </w:r>
      <w:r w:rsidRPr="0087441D">
        <w:rPr>
          <w:rFonts w:hAnsi="標楷體"/>
        </w:rPr>
        <w:t>路口狄斯耐遊樂場撞球玩樂，至</w:t>
      </w:r>
      <w:proofErr w:type="gramStart"/>
      <w:r w:rsidRPr="0087441D">
        <w:rPr>
          <w:rFonts w:hAnsi="標楷體"/>
        </w:rPr>
        <w:t>翌</w:t>
      </w:r>
      <w:proofErr w:type="gramEnd"/>
      <w:r w:rsidRPr="0087441D">
        <w:rPr>
          <w:rFonts w:hAnsi="標楷體"/>
        </w:rPr>
        <w:t>(</w:t>
      </w:r>
      <w:r w:rsidRPr="0087441D">
        <w:rPr>
          <w:rFonts w:hAnsi="標楷體" w:hint="eastAsia"/>
        </w:rPr>
        <w:t>24</w:t>
      </w:r>
      <w:r w:rsidRPr="0087441D">
        <w:rPr>
          <w:rFonts w:hAnsi="標楷體"/>
        </w:rPr>
        <w:t>)日凌晨</w:t>
      </w:r>
      <w:r w:rsidRPr="0087441D">
        <w:rPr>
          <w:rFonts w:hAnsi="標楷體" w:hint="eastAsia"/>
        </w:rPr>
        <w:t>3</w:t>
      </w:r>
      <w:r w:rsidRPr="0087441D">
        <w:rPr>
          <w:rFonts w:hAnsi="標楷體"/>
        </w:rPr>
        <w:t>時許，被告等</w:t>
      </w:r>
      <w:r w:rsidRPr="0087441D">
        <w:rPr>
          <w:rFonts w:hAnsi="標楷體" w:hint="eastAsia"/>
        </w:rPr>
        <w:t>3</w:t>
      </w:r>
      <w:r w:rsidRPr="0087441D">
        <w:rPr>
          <w:rFonts w:hAnsi="標楷體"/>
        </w:rPr>
        <w:t>人以機車送王氏兄弟返回台北縣汐止鎮住處。旋在上開住處</w:t>
      </w:r>
      <w:proofErr w:type="gramStart"/>
      <w:r w:rsidRPr="0087441D">
        <w:rPr>
          <w:rFonts w:hAnsi="標楷體"/>
        </w:rPr>
        <w:t>一</w:t>
      </w:r>
      <w:proofErr w:type="gramEnd"/>
      <w:r w:rsidRPr="0087441D">
        <w:rPr>
          <w:rFonts w:hAnsi="標楷體"/>
        </w:rPr>
        <w:t>樓前，</w:t>
      </w:r>
      <w:proofErr w:type="gramStart"/>
      <w:r w:rsidRPr="0087441D">
        <w:rPr>
          <w:rFonts w:hAnsi="標楷體"/>
        </w:rPr>
        <w:t>王文孝謂因其</w:t>
      </w:r>
      <w:proofErr w:type="gramEnd"/>
      <w:r w:rsidRPr="0087441D">
        <w:rPr>
          <w:rFonts w:hAnsi="標楷體"/>
        </w:rPr>
        <w:t>積欠不詳電動遊樂場賭債新台幣(下同)</w:t>
      </w:r>
      <w:r w:rsidRPr="0087441D">
        <w:rPr>
          <w:rFonts w:hAnsi="標楷體" w:hint="eastAsia"/>
        </w:rPr>
        <w:t>3</w:t>
      </w:r>
      <w:r w:rsidRPr="0087441D">
        <w:rPr>
          <w:rFonts w:hAnsi="標楷體"/>
        </w:rPr>
        <w:t>萬餘元，遭債主一再催討，餘</w:t>
      </w:r>
      <w:r w:rsidRPr="0087441D">
        <w:rPr>
          <w:rFonts w:hAnsi="標楷體" w:hint="eastAsia"/>
        </w:rPr>
        <w:t>4</w:t>
      </w:r>
      <w:proofErr w:type="gramStart"/>
      <w:r w:rsidRPr="0087441D">
        <w:rPr>
          <w:rFonts w:hAnsi="標楷體"/>
        </w:rPr>
        <w:t>人亦缺錢</w:t>
      </w:r>
      <w:proofErr w:type="gramEnd"/>
      <w:r w:rsidRPr="0087441D">
        <w:rPr>
          <w:rFonts w:hAnsi="標楷體"/>
        </w:rPr>
        <w:t>花用，</w:t>
      </w:r>
      <w:r w:rsidRPr="0087441D">
        <w:rPr>
          <w:rFonts w:hAnsi="標楷體" w:hint="eastAsia"/>
        </w:rPr>
        <w:t>5</w:t>
      </w:r>
      <w:r w:rsidRPr="0087441D">
        <w:rPr>
          <w:rFonts w:hAnsi="標楷體"/>
        </w:rPr>
        <w:t>人竟共同</w:t>
      </w:r>
      <w:proofErr w:type="gramStart"/>
      <w:r w:rsidRPr="0087441D">
        <w:rPr>
          <w:rFonts w:hAnsi="標楷體"/>
        </w:rPr>
        <w:t>意圖為渠等</w:t>
      </w:r>
      <w:proofErr w:type="gramEnd"/>
      <w:r w:rsidRPr="0087441D">
        <w:rPr>
          <w:rFonts w:hAnsi="標楷體"/>
        </w:rPr>
        <w:t>不法之所有，決定以王文孝提議同樓住處對面吳銘漢、葉○○(</w:t>
      </w:r>
      <w:proofErr w:type="gramStart"/>
      <w:r w:rsidRPr="0087441D">
        <w:rPr>
          <w:rFonts w:hAnsi="標楷體"/>
        </w:rPr>
        <w:t>名字詳卷</w:t>
      </w:r>
      <w:proofErr w:type="gramEnd"/>
      <w:r w:rsidRPr="0087441D">
        <w:rPr>
          <w:rFonts w:hAnsi="標楷體"/>
        </w:rPr>
        <w:t>)夫婦之住宅為行竊對象，由王文忠在外把風，王文孝先登樓頂陽台，自吳宅樓頂加蓋未上鎖</w:t>
      </w:r>
      <w:proofErr w:type="gramStart"/>
      <w:r w:rsidRPr="0087441D">
        <w:rPr>
          <w:rFonts w:hAnsi="標楷體"/>
        </w:rPr>
        <w:t>之窗台侵入</w:t>
      </w:r>
      <w:proofErr w:type="gramEnd"/>
      <w:r w:rsidRPr="0087441D">
        <w:rPr>
          <w:rFonts w:hAnsi="標楷體"/>
        </w:rPr>
        <w:t>開啟四樓前門，被告等</w:t>
      </w:r>
      <w:r w:rsidRPr="0087441D">
        <w:rPr>
          <w:rFonts w:hAnsi="標楷體" w:hint="eastAsia"/>
        </w:rPr>
        <w:t>3</w:t>
      </w:r>
      <w:r w:rsidRPr="0087441D">
        <w:rPr>
          <w:rFonts w:hAnsi="標楷體"/>
        </w:rPr>
        <w:t>人即分持王文孝提供之開山刀、警棍、水果刀侵入，王文孝則在吳宅廚房</w:t>
      </w:r>
      <w:proofErr w:type="gramStart"/>
      <w:r w:rsidRPr="0087441D">
        <w:rPr>
          <w:rFonts w:hAnsi="標楷體"/>
        </w:rPr>
        <w:t>內取持菜刀</w:t>
      </w:r>
      <w:proofErr w:type="gramEnd"/>
      <w:r w:rsidRPr="0087441D">
        <w:rPr>
          <w:rFonts w:hAnsi="標楷體" w:hint="eastAsia"/>
        </w:rPr>
        <w:t>1</w:t>
      </w:r>
      <w:r w:rsidRPr="0087441D">
        <w:rPr>
          <w:rFonts w:hAnsi="標楷體"/>
        </w:rPr>
        <w:t>把。</w:t>
      </w:r>
      <w:proofErr w:type="gramStart"/>
      <w:r w:rsidRPr="0087441D">
        <w:rPr>
          <w:rFonts w:hAnsi="標楷體"/>
        </w:rPr>
        <w:t>嗣</w:t>
      </w:r>
      <w:proofErr w:type="gramEnd"/>
      <w:r w:rsidRPr="0087441D">
        <w:rPr>
          <w:rFonts w:hAnsi="標楷體" w:hint="eastAsia"/>
        </w:rPr>
        <w:t>4</w:t>
      </w:r>
      <w:r w:rsidRPr="0087441D">
        <w:rPr>
          <w:rFonts w:hAnsi="標楷體"/>
        </w:rPr>
        <w:t>人在客廳內搜尋財物無果，</w:t>
      </w:r>
      <w:proofErr w:type="gramStart"/>
      <w:r w:rsidRPr="0087441D">
        <w:rPr>
          <w:rFonts w:hAnsi="標楷體"/>
        </w:rPr>
        <w:t>竟謀議</w:t>
      </w:r>
      <w:proofErr w:type="gramEnd"/>
      <w:r w:rsidRPr="0087441D">
        <w:rPr>
          <w:rFonts w:hAnsi="標楷體"/>
        </w:rPr>
        <w:t>侵入吳氏夫婦臥室內強劫財物，侵入臥室後，由王文孝、蘇建和持菜刀、開山刀押住吳銘漢，莊林勳押住葉○○，致使其</w:t>
      </w:r>
      <w:r w:rsidRPr="0087441D">
        <w:rPr>
          <w:rFonts w:hAnsi="標楷體" w:hint="eastAsia"/>
        </w:rPr>
        <w:t>2</w:t>
      </w:r>
      <w:r w:rsidRPr="0087441D">
        <w:rPr>
          <w:rFonts w:hAnsi="標楷體"/>
        </w:rPr>
        <w:t>人不能抗拒，劉秉郎則翻箱倒櫃搜尋財物，</w:t>
      </w:r>
      <w:proofErr w:type="gramStart"/>
      <w:r w:rsidRPr="0087441D">
        <w:rPr>
          <w:rFonts w:hAnsi="標楷體"/>
        </w:rPr>
        <w:t>莊林勳隨亦參與</w:t>
      </w:r>
      <w:proofErr w:type="gramEnd"/>
      <w:r w:rsidRPr="0087441D">
        <w:rPr>
          <w:rFonts w:hAnsi="標楷體"/>
        </w:rPr>
        <w:t>搜刮，由王文孝押住葉○○，劉、莊</w:t>
      </w:r>
      <w:r w:rsidRPr="0087441D">
        <w:rPr>
          <w:rFonts w:hAnsi="標楷體" w:hint="eastAsia"/>
        </w:rPr>
        <w:t>2</w:t>
      </w:r>
      <w:r w:rsidRPr="0087441D">
        <w:rPr>
          <w:rFonts w:hAnsi="標楷體"/>
        </w:rPr>
        <w:t>人共搜得現款</w:t>
      </w:r>
      <w:r w:rsidRPr="0087441D">
        <w:rPr>
          <w:rFonts w:hAnsi="標楷體" w:hint="eastAsia"/>
        </w:rPr>
        <w:t>6</w:t>
      </w:r>
      <w:r w:rsidRPr="0087441D">
        <w:rPr>
          <w:rFonts w:hAnsi="標楷體"/>
        </w:rPr>
        <w:t>千餘元、金戒指</w:t>
      </w:r>
      <w:r w:rsidRPr="0087441D">
        <w:rPr>
          <w:rFonts w:hAnsi="標楷體" w:hint="eastAsia"/>
        </w:rPr>
        <w:t>4</w:t>
      </w:r>
      <w:r w:rsidRPr="0087441D">
        <w:rPr>
          <w:rFonts w:hAnsi="標楷體"/>
        </w:rPr>
        <w:t>枚。劫財得逞後，王文孝見葉○○略具姿色，竟起淫念，與被告等</w:t>
      </w:r>
      <w:r w:rsidRPr="0087441D">
        <w:rPr>
          <w:rFonts w:hAnsi="標楷體" w:hint="eastAsia"/>
        </w:rPr>
        <w:t>3</w:t>
      </w:r>
      <w:r w:rsidRPr="0087441D">
        <w:rPr>
          <w:rFonts w:hAnsi="標楷體"/>
        </w:rPr>
        <w:t>人合謀輪姦，王文孝乃</w:t>
      </w:r>
      <w:proofErr w:type="gramStart"/>
      <w:r w:rsidRPr="0087441D">
        <w:rPr>
          <w:rFonts w:hAnsi="標楷體"/>
        </w:rPr>
        <w:t>強脫葉女</w:t>
      </w:r>
      <w:proofErr w:type="gramEnd"/>
      <w:r w:rsidRPr="0087441D">
        <w:rPr>
          <w:rFonts w:hAnsi="標楷體"/>
        </w:rPr>
        <w:t>睡衣、內褲，吳銘漢見狀欲反抗，王文孝即持菜刀猛砍其頭部一刀，被告等</w:t>
      </w:r>
      <w:r w:rsidRPr="0087441D">
        <w:rPr>
          <w:rFonts w:hAnsi="標楷體" w:hint="eastAsia"/>
        </w:rPr>
        <w:t>3</w:t>
      </w:r>
      <w:r w:rsidRPr="0087441D">
        <w:rPr>
          <w:rFonts w:hAnsi="標楷體"/>
        </w:rPr>
        <w:t>人亦繼</w:t>
      </w:r>
      <w:proofErr w:type="gramStart"/>
      <w:r w:rsidRPr="0087441D">
        <w:rPr>
          <w:rFonts w:hAnsi="標楷體"/>
        </w:rPr>
        <w:t>以棍、刀毆</w:t>
      </w:r>
      <w:proofErr w:type="gramEnd"/>
      <w:r w:rsidRPr="0087441D">
        <w:rPr>
          <w:rFonts w:hAnsi="標楷體"/>
        </w:rPr>
        <w:t>砍吳某致不支倒地。王、劉</w:t>
      </w:r>
      <w:r w:rsidRPr="0087441D">
        <w:rPr>
          <w:rFonts w:hAnsi="標楷體" w:hint="eastAsia"/>
        </w:rPr>
        <w:t>2</w:t>
      </w:r>
      <w:r w:rsidRPr="0087441D">
        <w:rPr>
          <w:rFonts w:hAnsi="標楷體"/>
        </w:rPr>
        <w:t>人先後遂行強姦，於莊林勳施行強姦之際，葉女出聲哀求，王文孝等人亦</w:t>
      </w:r>
      <w:proofErr w:type="gramStart"/>
      <w:r w:rsidRPr="0087441D">
        <w:rPr>
          <w:rFonts w:hAnsi="標楷體"/>
        </w:rPr>
        <w:t>持刀輪砍其</w:t>
      </w:r>
      <w:proofErr w:type="gramEnd"/>
      <w:r w:rsidRPr="0087441D">
        <w:rPr>
          <w:rFonts w:hAnsi="標楷體"/>
        </w:rPr>
        <w:t>頭部制止，</w:t>
      </w:r>
      <w:proofErr w:type="gramStart"/>
      <w:r w:rsidRPr="0087441D">
        <w:rPr>
          <w:rFonts w:hAnsi="標楷體"/>
        </w:rPr>
        <w:t>末於蘇建和甫</w:t>
      </w:r>
      <w:proofErr w:type="gramEnd"/>
      <w:r w:rsidRPr="0087441D">
        <w:rPr>
          <w:rFonts w:hAnsi="標楷體"/>
        </w:rPr>
        <w:t>著手強姦時，因葉女啼哭不止而作罷。王文孝</w:t>
      </w:r>
      <w:proofErr w:type="gramStart"/>
      <w:r w:rsidRPr="0087441D">
        <w:rPr>
          <w:rFonts w:hAnsi="標楷體"/>
        </w:rPr>
        <w:t>恐</w:t>
      </w:r>
      <w:proofErr w:type="gramEnd"/>
      <w:r w:rsidRPr="0087441D">
        <w:rPr>
          <w:rFonts w:hAnsi="標楷體"/>
        </w:rPr>
        <w:t>事後被</w:t>
      </w:r>
      <w:proofErr w:type="gramStart"/>
      <w:r w:rsidRPr="0087441D">
        <w:rPr>
          <w:rFonts w:hAnsi="標楷體"/>
        </w:rPr>
        <w:t>認出致犯行</w:t>
      </w:r>
      <w:proofErr w:type="gramEnd"/>
      <w:r w:rsidRPr="0087441D">
        <w:rPr>
          <w:rFonts w:hAnsi="標楷體"/>
        </w:rPr>
        <w:t>敗露，竟提議殺人滅口，</w:t>
      </w:r>
      <w:r w:rsidRPr="0087441D">
        <w:rPr>
          <w:rFonts w:hAnsi="標楷體" w:hint="eastAsia"/>
        </w:rPr>
        <w:t>4</w:t>
      </w:r>
      <w:r w:rsidRPr="0087441D">
        <w:rPr>
          <w:rFonts w:hAnsi="標楷體"/>
        </w:rPr>
        <w:t>人乃共同基於概括殺人之犯意，分別持刀砍殺吳、葉</w:t>
      </w:r>
      <w:r w:rsidRPr="0087441D">
        <w:rPr>
          <w:rFonts w:hAnsi="標楷體" w:hint="eastAsia"/>
        </w:rPr>
        <w:t>2</w:t>
      </w:r>
      <w:r w:rsidRPr="0087441D">
        <w:rPr>
          <w:rFonts w:hAnsi="標楷體"/>
        </w:rPr>
        <w:t>人頭、胸、四肢等部位，致吳、葉</w:t>
      </w:r>
      <w:r w:rsidRPr="0087441D">
        <w:rPr>
          <w:rFonts w:hAnsi="標楷體" w:hint="eastAsia"/>
        </w:rPr>
        <w:t>2</w:t>
      </w:r>
      <w:r w:rsidRPr="0087441D">
        <w:rPr>
          <w:rFonts w:hAnsi="標楷體"/>
        </w:rPr>
        <w:t>人均斷氣始罷手(吳銘漢共被砍殺42刀、葉○○共被砍殺37刀)。旋</w:t>
      </w:r>
      <w:r w:rsidRPr="0087441D">
        <w:rPr>
          <w:rFonts w:hAnsi="標楷體" w:hint="eastAsia"/>
        </w:rPr>
        <w:t>4</w:t>
      </w:r>
      <w:r w:rsidRPr="0087441D">
        <w:rPr>
          <w:rFonts w:hAnsi="標楷體"/>
        </w:rPr>
        <w:t>人分別在吳宅浴室內清洗身體、刀器，王文孝並在房間內清理指紋等犯罪證據，復將菜刀放回原處，劉秉郎則將葉女之衣褲穿妥以掩飾曾遭姦淫，</w:t>
      </w:r>
      <w:proofErr w:type="gramStart"/>
      <w:r w:rsidRPr="0087441D">
        <w:rPr>
          <w:rFonts w:hAnsi="標楷體"/>
        </w:rPr>
        <w:t>嗣</w:t>
      </w:r>
      <w:proofErr w:type="gramEnd"/>
      <w:r w:rsidRPr="0087441D">
        <w:rPr>
          <w:rFonts w:hAnsi="標楷體"/>
        </w:rPr>
        <w:t>反鎖臥室房門，由吳宅前門離去，開山刀、水果刀由蘇建和持往基隆港丟棄，血衣各自丟棄，所得現款朋分花用，金戒指則由王文孝自行典當得款使用。</w:t>
      </w:r>
      <w:proofErr w:type="gramStart"/>
      <w:r w:rsidRPr="0087441D">
        <w:rPr>
          <w:rFonts w:hAnsi="標楷體"/>
        </w:rPr>
        <w:t>嗣</w:t>
      </w:r>
      <w:proofErr w:type="gramEnd"/>
      <w:r w:rsidRPr="0087441D">
        <w:rPr>
          <w:rFonts w:hAnsi="標楷體"/>
        </w:rPr>
        <w:t>於</w:t>
      </w:r>
      <w:r w:rsidRPr="0087441D">
        <w:rPr>
          <w:rFonts w:hAnsi="標楷體" w:hint="eastAsia"/>
        </w:rPr>
        <w:t>80</w:t>
      </w:r>
      <w:r w:rsidRPr="0087441D">
        <w:rPr>
          <w:rFonts w:hAnsi="標楷體"/>
        </w:rPr>
        <w:t>年</w:t>
      </w:r>
      <w:r w:rsidRPr="0087441D">
        <w:rPr>
          <w:rFonts w:hAnsi="標楷體" w:hint="eastAsia"/>
        </w:rPr>
        <w:t>8</w:t>
      </w:r>
      <w:r w:rsidRPr="0087441D">
        <w:rPr>
          <w:rFonts w:hAnsi="標楷體"/>
        </w:rPr>
        <w:t>月</w:t>
      </w:r>
      <w:r w:rsidRPr="0087441D">
        <w:rPr>
          <w:rFonts w:hAnsi="標楷體" w:hint="eastAsia"/>
        </w:rPr>
        <w:t>13</w:t>
      </w:r>
      <w:r w:rsidRPr="0087441D">
        <w:rPr>
          <w:rFonts w:hAnsi="標楷體"/>
        </w:rPr>
        <w:t>日經警循線查獲，扣得前揭警棍並</w:t>
      </w:r>
      <w:proofErr w:type="gramStart"/>
      <w:r w:rsidRPr="0087441D">
        <w:rPr>
          <w:rFonts w:hAnsi="標楷體"/>
        </w:rPr>
        <w:t>搜獲吳宅</w:t>
      </w:r>
      <w:proofErr w:type="gramEnd"/>
      <w:r w:rsidRPr="0087441D">
        <w:rPr>
          <w:rFonts w:hAnsi="標楷體"/>
        </w:rPr>
        <w:t>鑰匙一串及贓款</w:t>
      </w:r>
      <w:r w:rsidRPr="0087441D">
        <w:rPr>
          <w:rFonts w:hAnsi="標楷體" w:hint="eastAsia"/>
        </w:rPr>
        <w:t>24</w:t>
      </w:r>
      <w:r w:rsidRPr="0087441D">
        <w:rPr>
          <w:rFonts w:hAnsi="標楷體"/>
        </w:rPr>
        <w:t>元等情。因認被告等</w:t>
      </w:r>
      <w:r w:rsidRPr="0087441D">
        <w:rPr>
          <w:rFonts w:hAnsi="標楷體" w:hint="eastAsia"/>
        </w:rPr>
        <w:t>3</w:t>
      </w:r>
      <w:proofErr w:type="gramStart"/>
      <w:r w:rsidRPr="0087441D">
        <w:rPr>
          <w:rFonts w:hAnsi="標楷體"/>
        </w:rPr>
        <w:t>人均涉犯</w:t>
      </w:r>
      <w:proofErr w:type="gramEnd"/>
      <w:r w:rsidRPr="0087441D">
        <w:rPr>
          <w:rFonts w:hAnsi="標楷體"/>
        </w:rPr>
        <w:t>行為時有效施行之懲治盜匪條例第</w:t>
      </w:r>
      <w:r w:rsidRPr="0087441D">
        <w:rPr>
          <w:rFonts w:hAnsi="標楷體" w:hint="eastAsia"/>
        </w:rPr>
        <w:t>2</w:t>
      </w:r>
      <w:r w:rsidRPr="0087441D">
        <w:rPr>
          <w:rFonts w:hAnsi="標楷體"/>
        </w:rPr>
        <w:t>條第</w:t>
      </w:r>
      <w:r w:rsidRPr="0087441D">
        <w:rPr>
          <w:rFonts w:hAnsi="標楷體" w:hint="eastAsia"/>
        </w:rPr>
        <w:t>1</w:t>
      </w:r>
      <w:r w:rsidRPr="0087441D">
        <w:rPr>
          <w:rFonts w:hAnsi="標楷體"/>
        </w:rPr>
        <w:t>項第</w:t>
      </w:r>
      <w:r w:rsidRPr="0087441D">
        <w:rPr>
          <w:rFonts w:hAnsi="標楷體" w:hint="eastAsia"/>
        </w:rPr>
        <w:t>6</w:t>
      </w:r>
      <w:r w:rsidRPr="0087441D">
        <w:rPr>
          <w:rFonts w:hAnsi="標楷體"/>
        </w:rPr>
        <w:t>款、第</w:t>
      </w:r>
      <w:r w:rsidRPr="0087441D">
        <w:rPr>
          <w:rFonts w:hAnsi="標楷體" w:hint="eastAsia"/>
        </w:rPr>
        <w:t>8</w:t>
      </w:r>
      <w:r w:rsidRPr="0087441D">
        <w:rPr>
          <w:rFonts w:hAnsi="標楷體"/>
        </w:rPr>
        <w:t>款之罪嫌云云(懲治盜匪條例已於</w:t>
      </w:r>
      <w:r w:rsidRPr="0087441D">
        <w:rPr>
          <w:rFonts w:hAnsi="標楷體" w:hint="eastAsia"/>
        </w:rPr>
        <w:t>91</w:t>
      </w:r>
      <w:r w:rsidRPr="0087441D">
        <w:rPr>
          <w:rFonts w:hAnsi="標楷體"/>
        </w:rPr>
        <w:t>年</w:t>
      </w:r>
      <w:r w:rsidRPr="0087441D">
        <w:rPr>
          <w:rFonts w:hAnsi="標楷體" w:hint="eastAsia"/>
        </w:rPr>
        <w:t>1</w:t>
      </w:r>
      <w:r w:rsidRPr="0087441D">
        <w:rPr>
          <w:rFonts w:hAnsi="標楷體"/>
        </w:rPr>
        <w:t>月</w:t>
      </w:r>
      <w:r w:rsidRPr="0087441D">
        <w:rPr>
          <w:rFonts w:hAnsi="標楷體" w:hint="eastAsia"/>
        </w:rPr>
        <w:t>30</w:t>
      </w:r>
      <w:r w:rsidRPr="0087441D">
        <w:rPr>
          <w:rFonts w:hAnsi="標楷體"/>
        </w:rPr>
        <w:t>日公告廢止，自同年</w:t>
      </w:r>
      <w:r w:rsidRPr="0087441D">
        <w:rPr>
          <w:rFonts w:hAnsi="標楷體" w:hint="eastAsia"/>
        </w:rPr>
        <w:t>2</w:t>
      </w:r>
      <w:r w:rsidRPr="0087441D">
        <w:rPr>
          <w:rFonts w:hAnsi="標楷體"/>
        </w:rPr>
        <w:t>月</w:t>
      </w:r>
      <w:r w:rsidRPr="0087441D">
        <w:rPr>
          <w:rFonts w:hAnsi="標楷體" w:hint="eastAsia"/>
        </w:rPr>
        <w:t>1</w:t>
      </w:r>
      <w:r w:rsidRPr="0087441D">
        <w:rPr>
          <w:rFonts w:hAnsi="標楷體"/>
        </w:rPr>
        <w:t>日起失效。檢察官論告時，則認被告等</w:t>
      </w:r>
      <w:r w:rsidRPr="0087441D">
        <w:rPr>
          <w:rFonts w:hAnsi="標楷體" w:hint="eastAsia"/>
        </w:rPr>
        <w:t>3</w:t>
      </w:r>
      <w:r w:rsidRPr="0087441D">
        <w:rPr>
          <w:rFonts w:hAnsi="標楷體"/>
        </w:rPr>
        <w:t>人所犯應依與懲治盜匪條例同時修正公布之刑法第</w:t>
      </w:r>
      <w:r w:rsidRPr="0087441D">
        <w:rPr>
          <w:rFonts w:hAnsi="標楷體" w:hint="eastAsia"/>
        </w:rPr>
        <w:t>332</w:t>
      </w:r>
      <w:r w:rsidRPr="0087441D">
        <w:rPr>
          <w:rFonts w:hAnsi="標楷體"/>
        </w:rPr>
        <w:t>條第</w:t>
      </w:r>
      <w:r w:rsidRPr="0087441D">
        <w:rPr>
          <w:rFonts w:hAnsi="標楷體" w:hint="eastAsia"/>
        </w:rPr>
        <w:t>2</w:t>
      </w:r>
      <w:r w:rsidRPr="0087441D">
        <w:rPr>
          <w:rFonts w:hAnsi="標楷體"/>
        </w:rPr>
        <w:t>款強盜、強制性交及第</w:t>
      </w:r>
      <w:r w:rsidRPr="0087441D">
        <w:rPr>
          <w:rFonts w:hAnsi="標楷體" w:hint="eastAsia"/>
        </w:rPr>
        <w:t>271</w:t>
      </w:r>
      <w:r w:rsidRPr="0087441D">
        <w:rPr>
          <w:rFonts w:hAnsi="標楷體"/>
        </w:rPr>
        <w:t>條第</w:t>
      </w:r>
      <w:r w:rsidRPr="0087441D">
        <w:rPr>
          <w:rFonts w:hAnsi="標楷體" w:hint="eastAsia"/>
        </w:rPr>
        <w:t>1</w:t>
      </w:r>
      <w:r w:rsidRPr="0087441D">
        <w:rPr>
          <w:rFonts w:hAnsi="標楷體"/>
        </w:rPr>
        <w:t>項故意殺人罪處斷</w:t>
      </w:r>
      <w:proofErr w:type="gramStart"/>
      <w:r w:rsidRPr="0087441D">
        <w:rPr>
          <w:rFonts w:hAnsi="標楷體"/>
        </w:rPr>
        <w:t>）</w:t>
      </w:r>
      <w:proofErr w:type="gramEnd"/>
      <w:r w:rsidRPr="0087441D">
        <w:rPr>
          <w:rFonts w:hAnsi="標楷體"/>
        </w:rPr>
        <w:t>。</w:t>
      </w:r>
      <w:r w:rsidRPr="0087441D">
        <w:rPr>
          <w:rFonts w:hAnsi="標楷體"/>
          <w:color w:val="FF0000"/>
        </w:rPr>
        <w:t>經審理結果，認為不能證明被告等</w:t>
      </w:r>
      <w:r w:rsidRPr="0087441D">
        <w:rPr>
          <w:rFonts w:hAnsi="標楷體" w:hint="eastAsia"/>
          <w:color w:val="FF0000"/>
        </w:rPr>
        <w:t>3</w:t>
      </w:r>
      <w:r w:rsidRPr="0087441D">
        <w:rPr>
          <w:rFonts w:hAnsi="標楷體"/>
          <w:color w:val="FF0000"/>
        </w:rPr>
        <w:t>人犯罪，因而撤銷第一審之科刑判決，改判</w:t>
      </w:r>
      <w:proofErr w:type="gramStart"/>
      <w:r w:rsidRPr="0087441D">
        <w:rPr>
          <w:rFonts w:hAnsi="標楷體"/>
          <w:color w:val="FF0000"/>
        </w:rPr>
        <w:t>諭</w:t>
      </w:r>
      <w:proofErr w:type="gramEnd"/>
      <w:r w:rsidRPr="0087441D">
        <w:rPr>
          <w:rFonts w:hAnsi="標楷體"/>
          <w:color w:val="FF0000"/>
        </w:rPr>
        <w:t>知被告等</w:t>
      </w:r>
      <w:r w:rsidRPr="0087441D">
        <w:rPr>
          <w:rFonts w:hAnsi="標楷體" w:hint="eastAsia"/>
          <w:color w:val="FF0000"/>
        </w:rPr>
        <w:t>3</w:t>
      </w:r>
      <w:r w:rsidRPr="0087441D">
        <w:rPr>
          <w:rFonts w:hAnsi="標楷體"/>
          <w:color w:val="FF0000"/>
        </w:rPr>
        <w:t>人均無罪</w:t>
      </w:r>
      <w:r w:rsidRPr="0087441D">
        <w:rPr>
          <w:rFonts w:hAnsi="標楷體" w:hint="eastAsia"/>
          <w:color w:val="FF0000"/>
        </w:rPr>
        <w:t>。</w:t>
      </w:r>
    </w:p>
  </w:footnote>
  <w:footnote w:id="11">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係指現行樣本數建立仍有所不足。</w:t>
      </w:r>
    </w:p>
  </w:footnote>
  <w:footnote w:id="12">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台灣法醫學會105年2月19日台法醫字第201602002號函。</w:t>
      </w:r>
    </w:p>
  </w:footnote>
  <w:footnote w:id="13">
    <w:p w:rsidR="00156B94" w:rsidRPr="0087441D" w:rsidRDefault="00156B94" w:rsidP="005573BF">
      <w:pPr>
        <w:pStyle w:val="afc"/>
        <w:ind w:left="209" w:hangingChars="95" w:hanging="209"/>
        <w:rPr>
          <w:rFonts w:hAnsi="標楷體"/>
          <w:lang w:eastAsia="zh-CN"/>
        </w:rPr>
      </w:pPr>
      <w:r w:rsidRPr="0087441D">
        <w:rPr>
          <w:rStyle w:val="afe"/>
        </w:rPr>
        <w:footnoteRef/>
      </w:r>
      <w:r w:rsidRPr="0087441D">
        <w:rPr>
          <w:rFonts w:hAnsi="標楷體" w:cs="Arial"/>
          <w:color w:val="000000"/>
        </w:rPr>
        <w:t>當事人主義</w:t>
      </w:r>
      <w:r w:rsidRPr="0087441D">
        <w:rPr>
          <w:rFonts w:hAnsi="標楷體" w:cs="Arial" w:hint="eastAsia"/>
          <w:color w:val="000000"/>
        </w:rPr>
        <w:t>與職權主義分</w:t>
      </w:r>
      <w:r w:rsidRPr="0087441D">
        <w:rPr>
          <w:rFonts w:hAnsi="標楷體" w:cs="Arial"/>
          <w:color w:val="000000"/>
        </w:rPr>
        <w:t>屬</w:t>
      </w:r>
      <w:r w:rsidRPr="0087441D">
        <w:rPr>
          <w:rFonts w:hAnsi="標楷體" w:cs="Arial" w:hint="eastAsia"/>
          <w:color w:val="000000"/>
        </w:rPr>
        <w:t>訴訟制度的</w:t>
      </w:r>
      <w:r w:rsidRPr="0087441D">
        <w:rPr>
          <w:rFonts w:hAnsi="標楷體" w:cs="Arial"/>
          <w:color w:val="000000"/>
        </w:rPr>
        <w:t>上位概念，</w:t>
      </w:r>
      <w:r w:rsidRPr="0087441D">
        <w:rPr>
          <w:rFonts w:hAnsi="標楷體" w:cs="Arial" w:hint="eastAsia"/>
          <w:color w:val="000000"/>
        </w:rPr>
        <w:t>當事人主義可區</w:t>
      </w:r>
      <w:r w:rsidRPr="0087441D">
        <w:rPr>
          <w:rFonts w:hAnsi="標楷體" w:cs="Arial"/>
          <w:color w:val="000000"/>
        </w:rPr>
        <w:t>分為當事人進行主義、辯論主義與處分權主義。</w:t>
      </w:r>
      <w:r w:rsidRPr="0087441D">
        <w:rPr>
          <w:rFonts w:hAnsi="標楷體" w:cs="Arial" w:hint="eastAsia"/>
          <w:color w:val="000000"/>
        </w:rPr>
        <w:t>而</w:t>
      </w:r>
      <w:r w:rsidRPr="0087441D">
        <w:rPr>
          <w:rFonts w:hAnsi="標楷體" w:cs="Arial"/>
          <w:color w:val="000000"/>
        </w:rPr>
        <w:t>職權主義是指法院在訴訟程序中擁有主導權。該主義</w:t>
      </w:r>
      <w:r w:rsidRPr="0087441D">
        <w:rPr>
          <w:rFonts w:hAnsi="標楷體" w:cs="Arial" w:hint="eastAsia"/>
          <w:color w:val="000000"/>
        </w:rPr>
        <w:t>也</w:t>
      </w:r>
      <w:r w:rsidRPr="0087441D">
        <w:rPr>
          <w:rFonts w:hAnsi="標楷體" w:cs="Arial"/>
          <w:color w:val="000000"/>
        </w:rPr>
        <w:t>可分為職權進行主義和職權探知主義</w:t>
      </w:r>
      <w:proofErr w:type="gramStart"/>
      <w:r w:rsidRPr="0087441D">
        <w:rPr>
          <w:rFonts w:hAnsi="標楷體" w:cs="Arial" w:hint="eastAsia"/>
          <w:color w:val="000000"/>
        </w:rPr>
        <w:t>（</w:t>
      </w:r>
      <w:proofErr w:type="gramEnd"/>
      <w:r w:rsidRPr="0087441D">
        <w:rPr>
          <w:rFonts w:hAnsi="標楷體" w:cs="Arial" w:hint="eastAsia"/>
          <w:color w:val="000000"/>
        </w:rPr>
        <w:t>1.當事人進行主義：職權主義是由法院依據本身職權之發動，依職權進行審判，不受當事人意思決定之影響；而當事人主義是由當事人主導訴訟程序，在過程中原則不許公權力的介入，亦即全部訴訟程序之進行或終止完全交由當事人決定。2.辯論主義：辯論主義係指證據之蒐集或</w:t>
      </w:r>
      <w:proofErr w:type="gramStart"/>
      <w:r w:rsidRPr="0087441D">
        <w:rPr>
          <w:rFonts w:hAnsi="標楷體" w:cs="Arial" w:hint="eastAsia"/>
          <w:color w:val="000000"/>
        </w:rPr>
        <w:t>提出均由當事人</w:t>
      </w:r>
      <w:proofErr w:type="gramEnd"/>
      <w:r w:rsidRPr="0087441D">
        <w:rPr>
          <w:rFonts w:hAnsi="標楷體" w:cs="Arial" w:hint="eastAsia"/>
          <w:color w:val="000000"/>
        </w:rPr>
        <w:t>提出之主義，亦即在事實關係之證明上，屬於當事人之權能與責任，非經任何</w:t>
      </w:r>
      <w:proofErr w:type="gramStart"/>
      <w:r w:rsidRPr="0087441D">
        <w:rPr>
          <w:rFonts w:hAnsi="標楷體" w:cs="Arial" w:hint="eastAsia"/>
          <w:color w:val="000000"/>
        </w:rPr>
        <w:t>一</w:t>
      </w:r>
      <w:proofErr w:type="gramEnd"/>
      <w:r w:rsidRPr="0087441D">
        <w:rPr>
          <w:rFonts w:hAnsi="標楷體" w:cs="Arial" w:hint="eastAsia"/>
          <w:color w:val="000000"/>
        </w:rPr>
        <w:t>造當事人主張之事實，不得</w:t>
      </w:r>
      <w:proofErr w:type="gramStart"/>
      <w:r w:rsidRPr="0087441D">
        <w:rPr>
          <w:rFonts w:hAnsi="標楷體" w:cs="Arial" w:hint="eastAsia"/>
          <w:color w:val="000000"/>
        </w:rPr>
        <w:t>採</w:t>
      </w:r>
      <w:proofErr w:type="gramEnd"/>
      <w:r w:rsidRPr="0087441D">
        <w:rPr>
          <w:rFonts w:hAnsi="標楷體" w:cs="Arial" w:hint="eastAsia"/>
          <w:color w:val="000000"/>
        </w:rPr>
        <w:t>為判決之基礎，為</w:t>
      </w:r>
      <w:proofErr w:type="gramStart"/>
      <w:r w:rsidRPr="0087441D">
        <w:rPr>
          <w:rFonts w:hAnsi="標楷體" w:cs="Arial" w:hint="eastAsia"/>
          <w:color w:val="000000"/>
        </w:rPr>
        <w:t>認定係爭事實</w:t>
      </w:r>
      <w:proofErr w:type="gramEnd"/>
      <w:r w:rsidRPr="0087441D">
        <w:rPr>
          <w:rFonts w:hAnsi="標楷體" w:cs="Arial" w:hint="eastAsia"/>
          <w:color w:val="000000"/>
        </w:rPr>
        <w:t>所需之證據資料，原則上應由當事人所提之證據為限，並且當事人不爭執之事實無庸舉證，法院應</w:t>
      </w:r>
      <w:proofErr w:type="gramStart"/>
      <w:r w:rsidRPr="0087441D">
        <w:rPr>
          <w:rFonts w:hAnsi="標楷體" w:cs="Arial" w:hint="eastAsia"/>
          <w:color w:val="000000"/>
        </w:rPr>
        <w:t>採</w:t>
      </w:r>
      <w:proofErr w:type="gramEnd"/>
      <w:r w:rsidRPr="0087441D">
        <w:rPr>
          <w:rFonts w:hAnsi="標楷體" w:cs="Arial" w:hint="eastAsia"/>
          <w:color w:val="000000"/>
        </w:rPr>
        <w:t>為判決之基礎。3.處分權主義：係將審理對象及其範圍由當事人決定處分，承認當事人對訴訟對象有處分權。）</w:t>
      </w:r>
      <w:r w:rsidRPr="0087441D">
        <w:rPr>
          <w:rFonts w:ascii="新細明體" w:eastAsia="新細明體" w:hAnsi="新細明體" w:cs="Arial" w:hint="eastAsia"/>
          <w:color w:val="000000"/>
        </w:rPr>
        <w:t>，</w:t>
      </w:r>
      <w:r w:rsidRPr="0087441D">
        <w:rPr>
          <w:rFonts w:hAnsi="標楷體"/>
        </w:rPr>
        <w:t>在刑事訴訟</w:t>
      </w:r>
      <w:r w:rsidRPr="0087441D">
        <w:rPr>
          <w:rFonts w:hAnsi="標楷體" w:hint="eastAsia"/>
        </w:rPr>
        <w:t>上職權主義</w:t>
      </w:r>
      <w:r w:rsidRPr="0087441D">
        <w:rPr>
          <w:rFonts w:hAnsi="標楷體"/>
        </w:rPr>
        <w:t>與當事人主義相對</w:t>
      </w:r>
      <w:r w:rsidRPr="0087441D">
        <w:rPr>
          <w:rFonts w:hAnsi="標楷體" w:cs="Helvetica"/>
          <w:color w:val="333333"/>
          <w:lang w:eastAsia="zh-CN"/>
        </w:rPr>
        <w:t>，又稱審問式刑事訴訟模式</w:t>
      </w:r>
      <w:r w:rsidRPr="0087441D">
        <w:rPr>
          <w:rFonts w:hAnsi="標楷體" w:cs="Helvetica" w:hint="eastAsia"/>
          <w:color w:val="333333"/>
        </w:rPr>
        <w:t>而</w:t>
      </w:r>
      <w:r w:rsidRPr="0087441D">
        <w:rPr>
          <w:rFonts w:hAnsi="標楷體" w:cs="Helvetica"/>
          <w:color w:val="333333"/>
          <w:lang w:eastAsia="zh-CN"/>
        </w:rPr>
        <w:t>與對抗式訴訟模式相對，是一種斜三角結構的訴訟模式。</w:t>
      </w:r>
    </w:p>
  </w:footnote>
  <w:footnote w:id="14">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最高法院</w:t>
      </w:r>
      <w:proofErr w:type="gramStart"/>
      <w:r w:rsidRPr="0087441D">
        <w:rPr>
          <w:rFonts w:hAnsi="標楷體" w:hint="eastAsia"/>
        </w:rPr>
        <w:t>101</w:t>
      </w:r>
      <w:proofErr w:type="gramEnd"/>
      <w:r w:rsidRPr="0087441D">
        <w:rPr>
          <w:rFonts w:hAnsi="標楷體"/>
        </w:rPr>
        <w:t>年度第</w:t>
      </w:r>
      <w:r w:rsidRPr="0087441D">
        <w:rPr>
          <w:rFonts w:hAnsi="標楷體" w:hint="eastAsia"/>
        </w:rPr>
        <w:t>2</w:t>
      </w:r>
      <w:r w:rsidRPr="0087441D">
        <w:rPr>
          <w:rFonts w:hAnsi="標楷體"/>
        </w:rPr>
        <w:t>次刑事庭會議</w:t>
      </w:r>
      <w:r w:rsidRPr="0087441D">
        <w:rPr>
          <w:rFonts w:hAnsi="標楷體" w:hint="eastAsia"/>
        </w:rPr>
        <w:t>決議：「</w:t>
      </w:r>
      <w:r w:rsidRPr="0087441D">
        <w:rPr>
          <w:rFonts w:hAnsi="標楷體"/>
        </w:rPr>
        <w:t>無罪推定係世界人權宣言及公民與政治權利國際公約宣示具有普</w:t>
      </w:r>
      <w:proofErr w:type="gramStart"/>
      <w:r w:rsidRPr="0087441D">
        <w:rPr>
          <w:rFonts w:hAnsi="標楷體"/>
        </w:rPr>
        <w:t>世</w:t>
      </w:r>
      <w:proofErr w:type="gramEnd"/>
      <w:r w:rsidRPr="0087441D">
        <w:rPr>
          <w:rFonts w:hAnsi="標楷體"/>
        </w:rPr>
        <w:t>價值，並經司法院解釋為憲法所保障之基本人權。</w:t>
      </w:r>
      <w:r w:rsidRPr="0087441D">
        <w:rPr>
          <w:rFonts w:hAnsi="標楷體" w:hint="eastAsia"/>
        </w:rPr>
        <w:t>91</w:t>
      </w:r>
      <w:r w:rsidRPr="0087441D">
        <w:rPr>
          <w:rFonts w:hAnsi="標楷體"/>
        </w:rPr>
        <w:t>年修正公布之刑事訴訟法第</w:t>
      </w:r>
      <w:r w:rsidRPr="0087441D">
        <w:rPr>
          <w:rFonts w:hAnsi="標楷體" w:hint="eastAsia"/>
        </w:rPr>
        <w:t>163</w:t>
      </w:r>
      <w:r w:rsidRPr="0087441D">
        <w:rPr>
          <w:rFonts w:hAnsi="標楷體"/>
        </w:rPr>
        <w:t>條第</w:t>
      </w:r>
      <w:r w:rsidRPr="0087441D">
        <w:rPr>
          <w:rFonts w:hAnsi="標楷體" w:hint="eastAsia"/>
        </w:rPr>
        <w:t>2</w:t>
      </w:r>
      <w:r w:rsidRPr="0087441D">
        <w:rPr>
          <w:rFonts w:hAnsi="標楷體"/>
        </w:rPr>
        <w:t>項但書，法院於</w:t>
      </w:r>
      <w:r w:rsidRPr="0087441D">
        <w:rPr>
          <w:rFonts w:hAnsi="標楷體" w:hint="eastAsia"/>
        </w:rPr>
        <w:t>『</w:t>
      </w:r>
      <w:r w:rsidRPr="0087441D">
        <w:rPr>
          <w:rFonts w:hAnsi="標楷體"/>
        </w:rPr>
        <w:t>公平正義之維護</w:t>
      </w:r>
      <w:r w:rsidRPr="0087441D">
        <w:rPr>
          <w:rFonts w:hAnsi="標楷體" w:hint="eastAsia"/>
        </w:rPr>
        <w:t>』</w:t>
      </w:r>
      <w:r w:rsidRPr="0087441D">
        <w:rPr>
          <w:rFonts w:hAnsi="標楷體"/>
        </w:rPr>
        <w:t>應依職權調查證據之規定，當與第</w:t>
      </w:r>
      <w:r w:rsidRPr="0087441D">
        <w:rPr>
          <w:rFonts w:hAnsi="標楷體" w:hint="eastAsia"/>
        </w:rPr>
        <w:t>161</w:t>
      </w:r>
      <w:r w:rsidRPr="0087441D">
        <w:rPr>
          <w:rFonts w:hAnsi="標楷體"/>
        </w:rPr>
        <w:t>條關於檢察官負實質舉證責任之規定，及嗣後修正之第</w:t>
      </w:r>
      <w:r w:rsidRPr="0087441D">
        <w:rPr>
          <w:rFonts w:hAnsi="標楷體" w:hint="eastAsia"/>
        </w:rPr>
        <w:t>154</w:t>
      </w:r>
      <w:r w:rsidRPr="0087441D">
        <w:rPr>
          <w:rFonts w:hAnsi="標楷體"/>
        </w:rPr>
        <w:t>條第</w:t>
      </w:r>
      <w:r w:rsidRPr="0087441D">
        <w:rPr>
          <w:rFonts w:hAnsi="標楷體" w:hint="eastAsia"/>
        </w:rPr>
        <w:t>1</w:t>
      </w:r>
      <w:r w:rsidRPr="0087441D">
        <w:rPr>
          <w:rFonts w:hAnsi="標楷體"/>
        </w:rPr>
        <w:t>項，暨新制定之公民與政治權利國際公約及經濟社會文化權利國際公約施行法、</w:t>
      </w:r>
      <w:proofErr w:type="gramStart"/>
      <w:r w:rsidRPr="0087441D">
        <w:rPr>
          <w:rFonts w:hAnsi="標楷體"/>
        </w:rPr>
        <w:t>刑事妥</w:t>
      </w:r>
      <w:proofErr w:type="gramEnd"/>
      <w:r w:rsidRPr="0087441D">
        <w:rPr>
          <w:rFonts w:hAnsi="標楷體"/>
        </w:rPr>
        <w:t>速審判法第</w:t>
      </w:r>
      <w:r w:rsidRPr="0087441D">
        <w:rPr>
          <w:rFonts w:hAnsi="標楷體" w:hint="eastAsia"/>
        </w:rPr>
        <w:t>6</w:t>
      </w:r>
      <w:r w:rsidRPr="0087441D">
        <w:rPr>
          <w:rFonts w:hAnsi="標楷體"/>
        </w:rPr>
        <w:t>、</w:t>
      </w:r>
      <w:r w:rsidRPr="0087441D">
        <w:rPr>
          <w:rFonts w:hAnsi="標楷體" w:hint="eastAsia"/>
        </w:rPr>
        <w:t>8</w:t>
      </w:r>
      <w:r w:rsidRPr="0087441D">
        <w:rPr>
          <w:rFonts w:hAnsi="標楷體"/>
        </w:rPr>
        <w:t>、</w:t>
      </w:r>
      <w:r w:rsidRPr="0087441D">
        <w:rPr>
          <w:rFonts w:hAnsi="標楷體" w:hint="eastAsia"/>
        </w:rPr>
        <w:t>9</w:t>
      </w:r>
      <w:r w:rsidRPr="0087441D">
        <w:rPr>
          <w:rFonts w:hAnsi="標楷體"/>
        </w:rPr>
        <w:t>條所揭示無罪推定之整體法律秩序理念相配合。</w:t>
      </w:r>
      <w:proofErr w:type="gramStart"/>
      <w:r w:rsidRPr="0087441D">
        <w:rPr>
          <w:rFonts w:hAnsi="標楷體"/>
        </w:rPr>
        <w:t>盱</w:t>
      </w:r>
      <w:proofErr w:type="gramEnd"/>
      <w:r w:rsidRPr="0087441D">
        <w:rPr>
          <w:rFonts w:hAnsi="標楷體"/>
        </w:rPr>
        <w:t>衡實務運作及上開公約施行法第</w:t>
      </w:r>
      <w:r w:rsidRPr="0087441D">
        <w:rPr>
          <w:rFonts w:hAnsi="標楷體" w:hint="eastAsia"/>
        </w:rPr>
        <w:t>8</w:t>
      </w:r>
      <w:r w:rsidRPr="0087441D">
        <w:rPr>
          <w:rFonts w:hAnsi="標楷體"/>
        </w:rPr>
        <w:t>條明示各級政府機關應於二年內依公約內容檢討、改進相關法令，再參酌刑事訴訟法第</w:t>
      </w:r>
      <w:r w:rsidRPr="0087441D">
        <w:rPr>
          <w:rFonts w:hAnsi="標楷體" w:hint="eastAsia"/>
        </w:rPr>
        <w:t>163</w:t>
      </w:r>
      <w:r w:rsidRPr="0087441D">
        <w:rPr>
          <w:rFonts w:hAnsi="標楷體"/>
        </w:rPr>
        <w:t>條之立法理由已載明：如何衡量公平正義之維護及其具體範圍則委諸司法實務運作和判例累積形成，暨</w:t>
      </w:r>
      <w:proofErr w:type="gramStart"/>
      <w:r w:rsidRPr="0087441D">
        <w:rPr>
          <w:rFonts w:hAnsi="標楷體"/>
        </w:rPr>
        <w:t>刑事妥</w:t>
      </w:r>
      <w:proofErr w:type="gramEnd"/>
      <w:r w:rsidRPr="0087441D">
        <w:rPr>
          <w:rFonts w:hAnsi="標楷體"/>
        </w:rPr>
        <w:t>速審判法為刑事訴訟法之特別法，證明被告</w:t>
      </w:r>
      <w:proofErr w:type="gramStart"/>
      <w:r w:rsidRPr="0087441D">
        <w:rPr>
          <w:rFonts w:hAnsi="標楷體"/>
        </w:rPr>
        <w:t>有罪既屬</w:t>
      </w:r>
      <w:proofErr w:type="gramEnd"/>
      <w:r w:rsidRPr="0087441D">
        <w:rPr>
          <w:rFonts w:hAnsi="標楷體"/>
        </w:rPr>
        <w:t>檢察官應負之責任，基於公平法院原則，法院自無接續檢察官應盡之責任而依職權調查證據之義務。則刑事訴訟法第</w:t>
      </w:r>
      <w:r w:rsidRPr="0087441D">
        <w:rPr>
          <w:rFonts w:hAnsi="標楷體" w:hint="eastAsia"/>
        </w:rPr>
        <w:t>163</w:t>
      </w:r>
      <w:r w:rsidRPr="0087441D">
        <w:rPr>
          <w:rFonts w:hAnsi="標楷體"/>
        </w:rPr>
        <w:t>條第</w:t>
      </w:r>
      <w:r w:rsidRPr="0087441D">
        <w:rPr>
          <w:rFonts w:hAnsi="標楷體" w:hint="eastAsia"/>
        </w:rPr>
        <w:t>2</w:t>
      </w:r>
      <w:r w:rsidRPr="0087441D">
        <w:rPr>
          <w:rFonts w:hAnsi="標楷體"/>
        </w:rPr>
        <w:t>項但書所指法院應依職權調查之</w:t>
      </w:r>
      <w:r w:rsidRPr="0087441D">
        <w:rPr>
          <w:rFonts w:hAnsi="標楷體" w:hint="eastAsia"/>
        </w:rPr>
        <w:t>『</w:t>
      </w:r>
      <w:r w:rsidRPr="0087441D">
        <w:rPr>
          <w:rFonts w:hAnsi="標楷體"/>
        </w:rPr>
        <w:t>公平正義之維護</w:t>
      </w:r>
      <w:r w:rsidRPr="0087441D">
        <w:rPr>
          <w:rFonts w:hAnsi="標楷體" w:hint="eastAsia"/>
        </w:rPr>
        <w:t>』</w:t>
      </w:r>
      <w:r w:rsidRPr="0087441D">
        <w:rPr>
          <w:rFonts w:hAnsi="標楷體"/>
        </w:rPr>
        <w:t>事項，依目的性限縮之解釋，應以利益被告之事項為限，否則即與檢察官應負實質舉證責任之規定及無罪推定原則相牴觸，無異</w:t>
      </w:r>
      <w:proofErr w:type="gramStart"/>
      <w:r w:rsidRPr="0087441D">
        <w:rPr>
          <w:rFonts w:hAnsi="標楷體"/>
        </w:rPr>
        <w:t>回復糾問制度</w:t>
      </w:r>
      <w:proofErr w:type="gramEnd"/>
      <w:r w:rsidRPr="0087441D">
        <w:rPr>
          <w:rFonts w:hAnsi="標楷體"/>
        </w:rPr>
        <w:t>，而</w:t>
      </w:r>
      <w:proofErr w:type="gramStart"/>
      <w:r w:rsidRPr="0087441D">
        <w:rPr>
          <w:rFonts w:hAnsi="標楷體"/>
        </w:rPr>
        <w:t>悖離</w:t>
      </w:r>
      <w:proofErr w:type="gramEnd"/>
      <w:r w:rsidRPr="0087441D">
        <w:rPr>
          <w:rFonts w:hAnsi="標楷體"/>
        </w:rPr>
        <w:t>整體法律秩序理念。</w:t>
      </w:r>
      <w:r w:rsidRPr="0087441D">
        <w:rPr>
          <w:rFonts w:hAnsi="標楷體" w:hint="eastAsia"/>
        </w:rPr>
        <w:t>」</w:t>
      </w:r>
    </w:p>
  </w:footnote>
  <w:footnote w:id="15">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最高法院87年度台上字4025號判決要旨：「刑事訴訟之目的，固在發現真實，藉以維護社會安全，其手段則應合法</w:t>
      </w:r>
      <w:proofErr w:type="gramStart"/>
      <w:r w:rsidRPr="0087441D">
        <w:rPr>
          <w:rFonts w:hAnsi="標楷體" w:hint="eastAsia"/>
        </w:rPr>
        <w:t>純潔、</w:t>
      </w:r>
      <w:proofErr w:type="gramEnd"/>
      <w:r w:rsidRPr="0087441D">
        <w:rPr>
          <w:rFonts w:hAnsi="標楷體" w:hint="eastAsia"/>
        </w:rPr>
        <w:t>公平公正，以保障人權；倘證據之取得非依法定程序，而法院若容許該項證據作為認定犯罪事實之依據有害公平正義時，因已違背憲法第8條、第16條所示應依正當法律程序保障人身自由、貫徹訴訟基本權之行使及受公平審判權利之保障等旨意（司法院大法官會議釋字第384、396、418號等解釋部分釋示參考），自應排除其證據能力。」</w:t>
      </w:r>
    </w:p>
  </w:footnote>
  <w:footnote w:id="16">
    <w:p w:rsidR="00156B94" w:rsidRPr="0087441D" w:rsidRDefault="00156B94">
      <w:pPr>
        <w:pStyle w:val="afc"/>
        <w:rPr>
          <w:rFonts w:hAnsi="標楷體"/>
        </w:rPr>
      </w:pPr>
      <w:r w:rsidRPr="0087441D">
        <w:rPr>
          <w:rStyle w:val="afe"/>
          <w:rFonts w:hAnsi="標楷體"/>
        </w:rPr>
        <w:footnoteRef/>
      </w:r>
      <w:r w:rsidRPr="0087441D">
        <w:rPr>
          <w:rFonts w:hAnsi="標楷體"/>
        </w:rPr>
        <w:t xml:space="preserve"> 長</w:t>
      </w:r>
      <w:proofErr w:type="gramStart"/>
      <w:r w:rsidRPr="0087441D">
        <w:rPr>
          <w:rFonts w:hAnsi="標楷體"/>
        </w:rPr>
        <w:t>沼</w:t>
      </w:r>
      <w:proofErr w:type="gramEnd"/>
      <w:r w:rsidRPr="0087441D">
        <w:rPr>
          <w:rFonts w:hAnsi="標楷體"/>
        </w:rPr>
        <w:t>範良</w:t>
      </w:r>
      <w:r w:rsidRPr="0087441D">
        <w:rPr>
          <w:rFonts w:hAnsi="標楷體" w:hint="eastAsia"/>
        </w:rPr>
        <w:t>、</w:t>
      </w:r>
      <w:r w:rsidRPr="0087441D">
        <w:rPr>
          <w:rFonts w:hAnsi="標楷體"/>
        </w:rPr>
        <w:t>田中開</w:t>
      </w:r>
      <w:r w:rsidRPr="0087441D">
        <w:rPr>
          <w:rFonts w:hAnsi="標楷體" w:hint="eastAsia"/>
        </w:rPr>
        <w:t>、</w:t>
      </w:r>
      <w:r w:rsidRPr="0087441D">
        <w:rPr>
          <w:rFonts w:hAnsi="標楷體"/>
          <w:color w:val="000000"/>
        </w:rPr>
        <w:t>寺</w:t>
      </w:r>
      <w:proofErr w:type="gramStart"/>
      <w:r w:rsidRPr="0087441D">
        <w:rPr>
          <w:rFonts w:hAnsi="標楷體"/>
          <w:color w:val="000000"/>
        </w:rPr>
        <w:t>崎</w:t>
      </w:r>
      <w:proofErr w:type="gramEnd"/>
      <w:r w:rsidRPr="0087441D">
        <w:rPr>
          <w:rFonts w:hAnsi="標楷體"/>
          <w:color w:val="000000"/>
        </w:rPr>
        <w:t>嘉博</w:t>
      </w:r>
      <w:r w:rsidRPr="0087441D">
        <w:rPr>
          <w:rFonts w:hAnsi="標楷體" w:hint="eastAsia"/>
          <w:color w:val="000000"/>
        </w:rPr>
        <w:t>，</w:t>
      </w:r>
      <w:r w:rsidRPr="0087441D">
        <w:rPr>
          <w:rFonts w:hAnsi="標楷體"/>
        </w:rPr>
        <w:t>刑事訴訟法</w:t>
      </w:r>
      <w:r w:rsidRPr="0087441D">
        <w:rPr>
          <w:rFonts w:hAnsi="標楷體" w:hint="eastAsia"/>
        </w:rPr>
        <w:t>（</w:t>
      </w:r>
      <w:r w:rsidRPr="0087441D">
        <w:rPr>
          <w:rFonts w:hAnsi="標楷體"/>
        </w:rPr>
        <w:t>第2版</w:t>
      </w:r>
      <w:r w:rsidRPr="0087441D">
        <w:rPr>
          <w:rFonts w:hAnsi="標楷體" w:hint="eastAsia"/>
        </w:rPr>
        <w:t>），</w:t>
      </w:r>
      <w:r w:rsidRPr="0087441D">
        <w:rPr>
          <w:rFonts w:hAnsi="標楷體"/>
        </w:rPr>
        <w:t>2005年4月10日</w:t>
      </w:r>
      <w:r w:rsidRPr="0087441D">
        <w:rPr>
          <w:rFonts w:hAnsi="標楷體" w:hint="eastAsia"/>
        </w:rPr>
        <w:t>，</w:t>
      </w:r>
      <w:r w:rsidRPr="0087441D">
        <w:rPr>
          <w:rFonts w:hAnsi="標楷體"/>
        </w:rPr>
        <w:t>有</w:t>
      </w:r>
      <w:proofErr w:type="gramStart"/>
      <w:r w:rsidRPr="0087441D">
        <w:rPr>
          <w:rFonts w:hAnsi="標楷體"/>
        </w:rPr>
        <w:t>斐</w:t>
      </w:r>
      <w:proofErr w:type="gramEnd"/>
      <w:r w:rsidRPr="0087441D">
        <w:rPr>
          <w:rFonts w:hAnsi="標楷體"/>
        </w:rPr>
        <w:t>閣</w:t>
      </w:r>
      <w:r w:rsidRPr="0087441D">
        <w:rPr>
          <w:rFonts w:hAnsi="標楷體" w:hint="eastAsia"/>
        </w:rPr>
        <w:t>，</w:t>
      </w:r>
      <w:r w:rsidRPr="0087441D">
        <w:rPr>
          <w:rFonts w:hAnsi="標楷體"/>
        </w:rPr>
        <w:t>頁5-10</w:t>
      </w:r>
      <w:r w:rsidRPr="0087441D">
        <w:rPr>
          <w:rFonts w:hAnsi="標楷體" w:hint="eastAsia"/>
        </w:rPr>
        <w:t>。</w:t>
      </w:r>
    </w:p>
  </w:footnote>
  <w:footnote w:id="17">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歷年司法院大法官解釋對於正當法律程序與訴訟基本權之描述演進如下，司法院</w:t>
      </w:r>
      <w:r w:rsidRPr="0087441D">
        <w:rPr>
          <w:rFonts w:hAnsi="標楷體"/>
        </w:rPr>
        <w:t>釋字第</w:t>
      </w:r>
      <w:r w:rsidRPr="0087441D">
        <w:rPr>
          <w:rFonts w:hAnsi="標楷體" w:hint="eastAsia"/>
        </w:rPr>
        <w:t>418</w:t>
      </w:r>
      <w:r w:rsidRPr="0087441D">
        <w:rPr>
          <w:rFonts w:hAnsi="標楷體"/>
        </w:rPr>
        <w:t>號以「給予當事人申辯及提出證據之機會」與「法官斟酌事證而為公平之裁判」作為「程序上的正當程序」之內涵。至於在「實質上的正當程序」方面，其雖承認立法者有自由形成空間，但</w:t>
      </w:r>
      <w:proofErr w:type="gramStart"/>
      <w:r w:rsidRPr="0087441D">
        <w:rPr>
          <w:rFonts w:hAnsi="標楷體"/>
        </w:rPr>
        <w:t>仍應衡酌</w:t>
      </w:r>
      <w:proofErr w:type="gramEnd"/>
      <w:r w:rsidRPr="0087441D">
        <w:rPr>
          <w:rFonts w:hAnsi="標楷體"/>
        </w:rPr>
        <w:t>權利之具體內涵、訴訟案件之性質及既有訴訟制度之功能等因素以「法律」妥為合理規定，故於此仍應根據憲法第</w:t>
      </w:r>
      <w:r w:rsidRPr="0087441D">
        <w:rPr>
          <w:rFonts w:hAnsi="標楷體" w:hint="eastAsia"/>
        </w:rPr>
        <w:t>23</w:t>
      </w:r>
      <w:r w:rsidRPr="0087441D">
        <w:rPr>
          <w:rFonts w:hAnsi="標楷體"/>
        </w:rPr>
        <w:t>條規定予以從寬審查。釋字第</w:t>
      </w:r>
      <w:r w:rsidRPr="0087441D">
        <w:rPr>
          <w:rFonts w:hAnsi="標楷體" w:hint="eastAsia"/>
        </w:rPr>
        <w:t>436</w:t>
      </w:r>
      <w:r w:rsidRPr="0087441D">
        <w:rPr>
          <w:rFonts w:hAnsi="標楷體"/>
        </w:rPr>
        <w:t>號在「程序上的正當程序」方面，則將「獨立、公正之審判機關與程序」定位為正當法律程序之最低要求。至於在「實質上的正當程序」方面，其亦指出「規定軍事審判程序之法律涉及軍人權利之限制者，亦應遵守憲法第</w:t>
      </w:r>
      <w:r w:rsidRPr="0087441D">
        <w:rPr>
          <w:rFonts w:hAnsi="標楷體" w:hint="eastAsia"/>
        </w:rPr>
        <w:t>23</w:t>
      </w:r>
      <w:r w:rsidRPr="0087441D">
        <w:rPr>
          <w:rFonts w:hAnsi="標楷體"/>
        </w:rPr>
        <w:t>條之比例原則」。釋字第</w:t>
      </w:r>
      <w:r w:rsidRPr="0087441D">
        <w:rPr>
          <w:rFonts w:hAnsi="標楷體" w:hint="eastAsia"/>
        </w:rPr>
        <w:t>442</w:t>
      </w:r>
      <w:r w:rsidRPr="0087441D">
        <w:rPr>
          <w:rFonts w:hAnsi="標楷體"/>
        </w:rPr>
        <w:t>號將「依法定程序提起訴訟及受公平之審判」定位為「程序上的正當程序」，至於立法機關衡量訴訟性質針對訴訟救濟應循之審級制度及相關程序「以法律為合理之規定」，即可定位為「實質上的正當程序」，而此正是憲法第</w:t>
      </w:r>
      <w:r w:rsidRPr="0087441D">
        <w:rPr>
          <w:rFonts w:hAnsi="標楷體" w:hint="eastAsia"/>
        </w:rPr>
        <w:t>16</w:t>
      </w:r>
      <w:r w:rsidRPr="0087441D">
        <w:rPr>
          <w:rFonts w:hAnsi="標楷體"/>
        </w:rPr>
        <w:t>條訴訟權之核心概念。</w:t>
      </w:r>
      <w:r w:rsidRPr="0087441D">
        <w:rPr>
          <w:rFonts w:hAnsi="標楷體" w:hint="eastAsia"/>
        </w:rPr>
        <w:t>又</w:t>
      </w:r>
      <w:r w:rsidRPr="0087441D">
        <w:rPr>
          <w:rFonts w:hAnsi="標楷體"/>
        </w:rPr>
        <w:t>林永謀大法官於</w:t>
      </w:r>
      <w:r w:rsidRPr="0087441D">
        <w:rPr>
          <w:rFonts w:hAnsi="標楷體" w:hint="eastAsia"/>
        </w:rPr>
        <w:t>同</w:t>
      </w:r>
      <w:r w:rsidRPr="0087441D">
        <w:rPr>
          <w:rFonts w:hAnsi="標楷體"/>
        </w:rPr>
        <w:t>號解釋協同意見書中亦指出，憲法第</w:t>
      </w:r>
      <w:r w:rsidRPr="0087441D">
        <w:rPr>
          <w:rFonts w:hAnsi="標楷體" w:hint="eastAsia"/>
        </w:rPr>
        <w:t>16</w:t>
      </w:r>
      <w:r w:rsidRPr="0087441D">
        <w:rPr>
          <w:rFonts w:hAnsi="標楷體"/>
        </w:rPr>
        <w:t>條所定人民有訴訟之權，此固在使人民為實現其憲法上所保障之自由、權利，得向國家所設之司法機關提起訴訟之制度性保障；惟此人民訴訟權之制度性保障，其本質內容，僅係保障人民有權向此等司法機關提起訴訟，期以「正當程序」獲得公平審判，並不得藉故予以剝奪之權利。自此即可窺出「正當法律程序原則」於訴訟權領域適用之憲法依據，即為憲法第</w:t>
      </w:r>
      <w:r w:rsidRPr="0087441D">
        <w:rPr>
          <w:rFonts w:hAnsi="標楷體" w:hint="eastAsia"/>
        </w:rPr>
        <w:t>16</w:t>
      </w:r>
      <w:r w:rsidRPr="0087441D">
        <w:rPr>
          <w:rFonts w:hAnsi="標楷體"/>
        </w:rPr>
        <w:t>條規定。其他諸如釋字第</w:t>
      </w:r>
      <w:r w:rsidRPr="0087441D">
        <w:rPr>
          <w:rFonts w:hAnsi="標楷體" w:hint="eastAsia"/>
        </w:rPr>
        <w:t>446</w:t>
      </w:r>
      <w:r w:rsidRPr="0087441D">
        <w:rPr>
          <w:rFonts w:hAnsi="標楷體"/>
        </w:rPr>
        <w:t>號之「訴訟上受公正、迅速審判」、釋字第</w:t>
      </w:r>
      <w:r w:rsidRPr="0087441D">
        <w:rPr>
          <w:rFonts w:hAnsi="標楷體" w:hint="eastAsia"/>
        </w:rPr>
        <w:t>482</w:t>
      </w:r>
      <w:r w:rsidRPr="0087441D">
        <w:rPr>
          <w:rFonts w:hAnsi="標楷體"/>
        </w:rPr>
        <w:t>號之「向法院提起適時審判之請求權」、「聽審」、「公正程序」、「公開審判請求權」、「程序上之平等權」</w:t>
      </w:r>
      <w:r w:rsidRPr="0087441D">
        <w:rPr>
          <w:rFonts w:hAnsi="標楷體" w:hint="eastAsia"/>
        </w:rPr>
        <w:t>、</w:t>
      </w:r>
      <w:r w:rsidRPr="0087441D">
        <w:rPr>
          <w:rFonts w:hAnsi="標楷體"/>
        </w:rPr>
        <w:t>釋字第</w:t>
      </w:r>
      <w:r w:rsidRPr="0087441D">
        <w:rPr>
          <w:rFonts w:hAnsi="標楷體" w:hint="eastAsia"/>
        </w:rPr>
        <w:t>512</w:t>
      </w:r>
      <w:r w:rsidRPr="0087441D">
        <w:rPr>
          <w:rFonts w:hAnsi="標楷體"/>
        </w:rPr>
        <w:t>號之「依法定程序提起訴訟及受公平審判之權利」以及釋字第</w:t>
      </w:r>
      <w:r w:rsidRPr="0087441D">
        <w:rPr>
          <w:rFonts w:hAnsi="標楷體" w:hint="eastAsia"/>
        </w:rPr>
        <w:t>574</w:t>
      </w:r>
      <w:r w:rsidRPr="0087441D">
        <w:rPr>
          <w:rFonts w:hAnsi="標楷體"/>
        </w:rPr>
        <w:t>號之「國家應提供有效之制度保障，除立法機關須制定法律，為適當之法院組織及訴訟程序之規定外，法院於適用法律時，亦須以此為目標，</w:t>
      </w:r>
      <w:proofErr w:type="gramStart"/>
      <w:r w:rsidRPr="0087441D">
        <w:rPr>
          <w:rFonts w:hAnsi="標楷體"/>
        </w:rPr>
        <w:t>俾</w:t>
      </w:r>
      <w:proofErr w:type="gramEnd"/>
      <w:r w:rsidRPr="0087441D">
        <w:rPr>
          <w:rFonts w:hAnsi="標楷體"/>
        </w:rPr>
        <w:t>人民於其權利受侵害時，有及時、充分回復並實現其權利之可能」，均可定位為「程序上的正當程序」，而此等本正當法律程序之原則對當事人予以充分之程序保障，即為憲法第</w:t>
      </w:r>
      <w:r w:rsidRPr="0087441D">
        <w:rPr>
          <w:rFonts w:hAnsi="標楷體" w:hint="eastAsia"/>
        </w:rPr>
        <w:t>16</w:t>
      </w:r>
      <w:r w:rsidRPr="0087441D">
        <w:rPr>
          <w:rFonts w:hAnsi="標楷體"/>
        </w:rPr>
        <w:t>條保障人民訴訟權之本旨</w:t>
      </w:r>
      <w:r w:rsidRPr="0087441D">
        <w:rPr>
          <w:rFonts w:hAnsi="標楷體" w:hint="eastAsia"/>
        </w:rPr>
        <w:t>，此亦可從</w:t>
      </w:r>
      <w:r w:rsidRPr="0087441D">
        <w:rPr>
          <w:rFonts w:hAnsi="標楷體"/>
        </w:rPr>
        <w:t>釋字第</w:t>
      </w:r>
      <w:r w:rsidRPr="0087441D">
        <w:rPr>
          <w:rFonts w:hAnsi="標楷體" w:hint="eastAsia"/>
        </w:rPr>
        <w:t>574</w:t>
      </w:r>
      <w:r w:rsidRPr="0087441D">
        <w:rPr>
          <w:rFonts w:hAnsi="標楷體"/>
        </w:rPr>
        <w:t>號</w:t>
      </w:r>
      <w:r w:rsidRPr="0087441D">
        <w:rPr>
          <w:rFonts w:hAnsi="標楷體" w:hint="eastAsia"/>
        </w:rPr>
        <w:t>則就</w:t>
      </w:r>
      <w:r w:rsidRPr="0087441D">
        <w:rPr>
          <w:rFonts w:hAnsi="標楷體"/>
        </w:rPr>
        <w:t>有關「憲法第十六條所規定之訴訟權，係以人民於其權利遭受侵害時，得依正當法律程序請求法院救濟為其核心內容」之強調，亦可得到</w:t>
      </w:r>
      <w:r w:rsidRPr="0087441D">
        <w:rPr>
          <w:rFonts w:hAnsi="標楷體" w:hint="eastAsia"/>
        </w:rPr>
        <w:t>印證</w:t>
      </w:r>
      <w:r w:rsidRPr="0087441D">
        <w:rPr>
          <w:rFonts w:hAnsi="標楷體"/>
        </w:rPr>
        <w:t>。至於諸如釋字第</w:t>
      </w:r>
      <w:r w:rsidRPr="0087441D">
        <w:rPr>
          <w:rFonts w:hAnsi="標楷體" w:hint="eastAsia"/>
        </w:rPr>
        <w:t>512</w:t>
      </w:r>
      <w:r w:rsidRPr="0087441D">
        <w:rPr>
          <w:rFonts w:hAnsi="標楷體"/>
        </w:rPr>
        <w:t>號之「訴訟救濟應循之審級、程序及相關要件，應由立法機關衡量訴訟案件之種類、性質、訴訟政策目的，以及訴訟制度之功能等因素，以法律為正當合理之規定」以及釋字第</w:t>
      </w:r>
      <w:r w:rsidRPr="0087441D">
        <w:rPr>
          <w:rFonts w:hAnsi="標楷體" w:hint="eastAsia"/>
        </w:rPr>
        <w:t>574</w:t>
      </w:r>
      <w:r w:rsidRPr="0087441D">
        <w:rPr>
          <w:rFonts w:hAnsi="標楷體"/>
        </w:rPr>
        <w:t>號之「訴訟</w:t>
      </w:r>
      <w:proofErr w:type="gramStart"/>
      <w:r w:rsidRPr="0087441D">
        <w:rPr>
          <w:rFonts w:hAnsi="標楷體"/>
        </w:rPr>
        <w:t>程序倘未損</w:t>
      </w:r>
      <w:proofErr w:type="gramEnd"/>
      <w:r w:rsidRPr="0087441D">
        <w:rPr>
          <w:rFonts w:hAnsi="標楷體"/>
        </w:rPr>
        <w:t>於訴訟權核心內容，立法者自得斟酌憲法上有效法律保護之要求，衡諸各種案件性質之不同，就其訴訟程序為合理之不同規定」，則可定位為「實質上的正當程序」。至於釋字第</w:t>
      </w:r>
      <w:r w:rsidRPr="0087441D">
        <w:rPr>
          <w:rFonts w:hAnsi="標楷體" w:hint="eastAsia"/>
        </w:rPr>
        <w:t>582</w:t>
      </w:r>
      <w:r w:rsidRPr="0087441D">
        <w:rPr>
          <w:rFonts w:hAnsi="標楷體"/>
        </w:rPr>
        <w:t>號則指出，憲法第</w:t>
      </w:r>
      <w:r w:rsidRPr="0087441D">
        <w:rPr>
          <w:rFonts w:hAnsi="標楷體" w:hint="eastAsia"/>
        </w:rPr>
        <w:t>16</w:t>
      </w:r>
      <w:r w:rsidRPr="0087441D">
        <w:rPr>
          <w:rFonts w:hAnsi="標楷體"/>
        </w:rPr>
        <w:t>條規定人民有訴訟之權，就刑事審判上之被告而言，應使其在對審制度下，依當事人對等原則，享有充分之防禦權，</w:t>
      </w:r>
      <w:proofErr w:type="gramStart"/>
      <w:r w:rsidRPr="0087441D">
        <w:rPr>
          <w:rFonts w:hAnsi="標楷體"/>
        </w:rPr>
        <w:t>俾</w:t>
      </w:r>
      <w:proofErr w:type="gramEnd"/>
      <w:r w:rsidRPr="0087441D">
        <w:rPr>
          <w:rFonts w:hAnsi="標楷體"/>
        </w:rPr>
        <w:t>受公平審判之保障。刑事被告對證人有詰問之權，即屬該等權利之</w:t>
      </w:r>
      <w:proofErr w:type="gramStart"/>
      <w:r w:rsidRPr="0087441D">
        <w:rPr>
          <w:rFonts w:hAnsi="標楷體"/>
        </w:rPr>
        <w:t>一</w:t>
      </w:r>
      <w:proofErr w:type="gramEnd"/>
      <w:r w:rsidRPr="0087441D">
        <w:rPr>
          <w:rFonts w:hAnsi="標楷體"/>
        </w:rPr>
        <w:t>。在我國憲法上，不但為第</w:t>
      </w:r>
      <w:r w:rsidRPr="0087441D">
        <w:rPr>
          <w:rFonts w:hAnsi="標楷體" w:hint="eastAsia"/>
        </w:rPr>
        <w:t>16</w:t>
      </w:r>
      <w:r w:rsidRPr="0087441D">
        <w:rPr>
          <w:rFonts w:hAnsi="標楷體"/>
        </w:rPr>
        <w:t>條之訴訟基本權所保障，且屬第</w:t>
      </w:r>
      <w:r w:rsidRPr="0087441D">
        <w:rPr>
          <w:rFonts w:hAnsi="標楷體" w:hint="eastAsia"/>
        </w:rPr>
        <w:t>8</w:t>
      </w:r>
      <w:r w:rsidRPr="0087441D">
        <w:rPr>
          <w:rFonts w:hAnsi="標楷體"/>
        </w:rPr>
        <w:t>條第</w:t>
      </w:r>
      <w:r w:rsidRPr="0087441D">
        <w:rPr>
          <w:rFonts w:hAnsi="標楷體" w:hint="eastAsia"/>
        </w:rPr>
        <w:t>1</w:t>
      </w:r>
      <w:r w:rsidRPr="0087441D">
        <w:rPr>
          <w:rFonts w:hAnsi="標楷體"/>
        </w:rPr>
        <w:t>項規定「非由法院依法定程序不得審問處罰」、對人民身體自由所保障之正當法律程序之一種權利。換言之，被告詰問證人之權利既係訴訟上之防禦權，又屬憲法正當法律程序所保障之權利，而此等憲法上權利之制度性保障，實有助於公平審判</w:t>
      </w:r>
      <w:proofErr w:type="gramStart"/>
      <w:r w:rsidRPr="0087441D">
        <w:rPr>
          <w:rFonts w:hAnsi="標楷體"/>
        </w:rPr>
        <w:t>及發見真實</w:t>
      </w:r>
      <w:proofErr w:type="gramEnd"/>
      <w:r w:rsidRPr="0087441D">
        <w:rPr>
          <w:rFonts w:hAnsi="標楷體"/>
        </w:rPr>
        <w:t>之實現，以達成刑事訴訟之目的。從而有關「被告詰問證人之權利」實可定位為「程序上的正當程序」，至其憲法依據則又涉及憲法第</w:t>
      </w:r>
      <w:r w:rsidRPr="0087441D">
        <w:rPr>
          <w:rFonts w:hAnsi="標楷體" w:hint="eastAsia"/>
        </w:rPr>
        <w:t>16</w:t>
      </w:r>
      <w:r w:rsidRPr="0087441D">
        <w:rPr>
          <w:rFonts w:hAnsi="標楷體"/>
        </w:rPr>
        <w:t>條及第</w:t>
      </w:r>
      <w:r w:rsidRPr="0087441D">
        <w:rPr>
          <w:rFonts w:hAnsi="標楷體" w:hint="eastAsia"/>
        </w:rPr>
        <w:t>8</w:t>
      </w:r>
      <w:r w:rsidRPr="0087441D">
        <w:rPr>
          <w:rFonts w:hAnsi="標楷體"/>
        </w:rPr>
        <w:t>條。</w:t>
      </w:r>
      <w:r w:rsidRPr="0087441D">
        <w:rPr>
          <w:rFonts w:hAnsi="標楷體" w:hint="eastAsia"/>
        </w:rPr>
        <w:t>是則，</w:t>
      </w:r>
      <w:r w:rsidRPr="0087441D">
        <w:rPr>
          <w:rFonts w:hAnsi="標楷體"/>
        </w:rPr>
        <w:t>憲法第</w:t>
      </w:r>
      <w:r w:rsidRPr="0087441D">
        <w:rPr>
          <w:rFonts w:hAnsi="標楷體" w:hint="eastAsia"/>
        </w:rPr>
        <w:t>16</w:t>
      </w:r>
      <w:r w:rsidRPr="0087441D">
        <w:rPr>
          <w:rFonts w:hAnsi="標楷體"/>
        </w:rPr>
        <w:t>條訴訟</w:t>
      </w:r>
      <w:r w:rsidRPr="0087441D">
        <w:rPr>
          <w:rFonts w:hAnsi="標楷體" w:hint="eastAsia"/>
        </w:rPr>
        <w:t>基本權</w:t>
      </w:r>
      <w:r w:rsidRPr="0087441D">
        <w:rPr>
          <w:rFonts w:hAnsi="標楷體"/>
        </w:rPr>
        <w:t>所呈現之正當法律程序原則，其內涵亦包含「實質上的正當程序」與「程序上的正當程序」二方面。「實質上的正當程序」，即指立法機關衡量訴訟案件之種類、性質、訴訟政策目的，以及訴訟制度之功能等因素，針對訴訟救濟應循之審級、程序及相關要件「以法律為正當合理之規定」。所謂的「程序上的正當程序」，即指：</w:t>
      </w:r>
      <w:r w:rsidRPr="0087441D">
        <w:rPr>
          <w:rFonts w:hAnsi="標楷體" w:hint="eastAsia"/>
        </w:rPr>
        <w:t>1.</w:t>
      </w:r>
      <w:r w:rsidRPr="0087441D">
        <w:rPr>
          <w:rFonts w:hAnsi="標楷體"/>
        </w:rPr>
        <w:t>獨立、公正、公平、公開、迅速之審判機關與程序</w:t>
      </w:r>
      <w:proofErr w:type="gramStart"/>
      <w:r w:rsidRPr="0087441D">
        <w:rPr>
          <w:rFonts w:hAnsi="標楷體"/>
        </w:rPr>
        <w:t>﹔</w:t>
      </w:r>
      <w:proofErr w:type="gramEnd"/>
      <w:r w:rsidRPr="0087441D">
        <w:rPr>
          <w:rFonts w:hAnsi="標楷體" w:hint="eastAsia"/>
        </w:rPr>
        <w:t>2.對質詰問權</w:t>
      </w:r>
      <w:proofErr w:type="gramStart"/>
      <w:r w:rsidRPr="0087441D">
        <w:rPr>
          <w:rFonts w:hAnsi="標楷體"/>
        </w:rPr>
        <w:t>﹔</w:t>
      </w:r>
      <w:proofErr w:type="gramEnd"/>
      <w:r w:rsidRPr="0087441D">
        <w:rPr>
          <w:rFonts w:hAnsi="標楷體" w:hint="eastAsia"/>
        </w:rPr>
        <w:t>3.</w:t>
      </w:r>
      <w:r w:rsidRPr="0087441D">
        <w:rPr>
          <w:rFonts w:hAnsi="標楷體"/>
        </w:rPr>
        <w:t>直接審理</w:t>
      </w:r>
      <w:r w:rsidRPr="0087441D">
        <w:rPr>
          <w:rFonts w:hAnsi="標楷體" w:hint="eastAsia"/>
        </w:rPr>
        <w:t>原則</w:t>
      </w:r>
      <w:proofErr w:type="gramStart"/>
      <w:r w:rsidRPr="0087441D">
        <w:rPr>
          <w:rFonts w:hAnsi="標楷體"/>
        </w:rPr>
        <w:t>﹔</w:t>
      </w:r>
      <w:proofErr w:type="gramEnd"/>
      <w:r w:rsidRPr="0087441D">
        <w:rPr>
          <w:rFonts w:hAnsi="標楷體" w:hint="eastAsia"/>
        </w:rPr>
        <w:t>4.</w:t>
      </w:r>
      <w:r w:rsidRPr="0087441D">
        <w:rPr>
          <w:rFonts w:hAnsi="標楷體"/>
        </w:rPr>
        <w:t>言詞辯論</w:t>
      </w:r>
      <w:r w:rsidRPr="0087441D">
        <w:rPr>
          <w:rFonts w:hAnsi="標楷體" w:hint="eastAsia"/>
        </w:rPr>
        <w:t>原則</w:t>
      </w:r>
      <w:proofErr w:type="gramStart"/>
      <w:r w:rsidRPr="0087441D">
        <w:rPr>
          <w:rFonts w:hAnsi="標楷體"/>
        </w:rPr>
        <w:t>﹔</w:t>
      </w:r>
      <w:proofErr w:type="gramEnd"/>
      <w:r w:rsidRPr="0087441D">
        <w:rPr>
          <w:rFonts w:hAnsi="標楷體" w:hint="eastAsia"/>
        </w:rPr>
        <w:t>5.</w:t>
      </w:r>
      <w:r w:rsidRPr="0087441D">
        <w:rPr>
          <w:rFonts w:hAnsi="標楷體"/>
        </w:rPr>
        <w:t>對審及辯護制度</w:t>
      </w:r>
      <w:proofErr w:type="gramStart"/>
      <w:r w:rsidRPr="0087441D">
        <w:rPr>
          <w:rFonts w:hAnsi="標楷體"/>
        </w:rPr>
        <w:t>﹔</w:t>
      </w:r>
      <w:proofErr w:type="gramEnd"/>
      <w:r w:rsidRPr="0087441D">
        <w:rPr>
          <w:rFonts w:hAnsi="標楷體" w:hint="eastAsia"/>
        </w:rPr>
        <w:t>6.</w:t>
      </w:r>
      <w:r w:rsidRPr="0087441D">
        <w:rPr>
          <w:rFonts w:hAnsi="標楷體"/>
        </w:rPr>
        <w:t>予以當事人最後陳述之機會</w:t>
      </w:r>
      <w:proofErr w:type="gramStart"/>
      <w:r w:rsidRPr="0087441D">
        <w:rPr>
          <w:rFonts w:hAnsi="標楷體"/>
        </w:rPr>
        <w:t>﹔</w:t>
      </w:r>
      <w:proofErr w:type="gramEnd"/>
      <w:r w:rsidRPr="0087441D">
        <w:rPr>
          <w:rFonts w:hAnsi="標楷體" w:hint="eastAsia"/>
        </w:rPr>
        <w:t>7.</w:t>
      </w:r>
      <w:r w:rsidRPr="0087441D">
        <w:rPr>
          <w:rFonts w:hAnsi="標楷體"/>
        </w:rPr>
        <w:t>給予當事人申辯及提出證據之機會</w:t>
      </w:r>
      <w:proofErr w:type="gramStart"/>
      <w:r w:rsidRPr="0087441D">
        <w:rPr>
          <w:rFonts w:hAnsi="標楷體"/>
        </w:rPr>
        <w:t>﹔</w:t>
      </w:r>
      <w:proofErr w:type="gramEnd"/>
      <w:r w:rsidRPr="0087441D">
        <w:rPr>
          <w:rFonts w:hAnsi="標楷體" w:hint="eastAsia"/>
        </w:rPr>
        <w:t>8.</w:t>
      </w:r>
      <w:r w:rsidRPr="0087441D">
        <w:rPr>
          <w:rFonts w:hAnsi="標楷體"/>
        </w:rPr>
        <w:t>公平</w:t>
      </w:r>
      <w:r w:rsidRPr="0087441D">
        <w:rPr>
          <w:rFonts w:hAnsi="標楷體" w:hint="eastAsia"/>
        </w:rPr>
        <w:t>審理原則</w:t>
      </w:r>
      <w:proofErr w:type="gramStart"/>
      <w:r w:rsidRPr="0087441D">
        <w:rPr>
          <w:rFonts w:hAnsi="標楷體"/>
        </w:rPr>
        <w:t>﹔</w:t>
      </w:r>
      <w:proofErr w:type="gramEnd"/>
      <w:r w:rsidRPr="0087441D">
        <w:rPr>
          <w:rFonts w:hAnsi="標楷體" w:hint="eastAsia"/>
        </w:rPr>
        <w:t>9.</w:t>
      </w:r>
      <w:r w:rsidRPr="0087441D">
        <w:rPr>
          <w:rFonts w:hAnsi="標楷體"/>
        </w:rPr>
        <w:t>向法院提起適時審判請求權</w:t>
      </w:r>
      <w:proofErr w:type="gramStart"/>
      <w:r w:rsidRPr="0087441D">
        <w:rPr>
          <w:rFonts w:hAnsi="標楷體"/>
        </w:rPr>
        <w:t>﹔</w:t>
      </w:r>
      <w:proofErr w:type="gramEnd"/>
      <w:r w:rsidRPr="0087441D">
        <w:rPr>
          <w:rFonts w:hAnsi="標楷體" w:hint="eastAsia"/>
        </w:rPr>
        <w:t>10.</w:t>
      </w:r>
      <w:r w:rsidRPr="0087441D">
        <w:rPr>
          <w:rFonts w:hAnsi="標楷體"/>
        </w:rPr>
        <w:t>聽審</w:t>
      </w:r>
      <w:r w:rsidRPr="0087441D">
        <w:rPr>
          <w:rFonts w:hAnsi="標楷體" w:hint="eastAsia"/>
        </w:rPr>
        <w:t>請求權等</w:t>
      </w:r>
      <w:r w:rsidRPr="0087441D">
        <w:rPr>
          <w:rFonts w:hAnsi="標楷體"/>
        </w:rPr>
        <w:t>。</w:t>
      </w:r>
    </w:p>
  </w:footnote>
  <w:footnote w:id="18">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hint="eastAsia"/>
          <w:bCs/>
        </w:rPr>
        <w:t xml:space="preserve"> 立法理由：</w:t>
      </w:r>
      <w:r w:rsidRPr="0087441D">
        <w:rPr>
          <w:rFonts w:hAnsi="標楷體" w:hint="eastAsia"/>
        </w:rPr>
        <w:t>一、凡與公平正義之維護或被告利益有重大關係事項，法院仍應依職權調查之。至於如何衡量及其具體範圍則委諸司法實務運作及判例累積形成。</w:t>
      </w:r>
      <w:proofErr w:type="gramStart"/>
      <w:r w:rsidRPr="0087441D">
        <w:rPr>
          <w:rFonts w:hAnsi="標楷體" w:hint="eastAsia"/>
        </w:rPr>
        <w:t>爰</w:t>
      </w:r>
      <w:proofErr w:type="gramEnd"/>
      <w:r w:rsidRPr="0087441D">
        <w:rPr>
          <w:rFonts w:hAnsi="標楷體" w:hint="eastAsia"/>
        </w:rPr>
        <w:t>將本條原第一項，法院</w:t>
      </w:r>
      <w:proofErr w:type="gramStart"/>
      <w:r w:rsidRPr="0087441D">
        <w:rPr>
          <w:rFonts w:hAnsi="標楷體" w:hint="eastAsia"/>
        </w:rPr>
        <w:t>因發見</w:t>
      </w:r>
      <w:proofErr w:type="gramEnd"/>
      <w:r w:rsidRPr="0087441D">
        <w:rPr>
          <w:rFonts w:hAnsi="標楷體" w:hint="eastAsia"/>
        </w:rPr>
        <w:t>真實之必要，「應」修正為「得」，移列為第二項，並增列但書規定。二、又為充分保障當事人、代理人、辯護人或輔佐人於調查證據時之詢問證人、鑑定人或被告之權利，</w:t>
      </w:r>
      <w:proofErr w:type="gramStart"/>
      <w:r w:rsidRPr="0087441D">
        <w:rPr>
          <w:rFonts w:hAnsi="標楷體" w:hint="eastAsia"/>
        </w:rPr>
        <w:t>爰</w:t>
      </w:r>
      <w:proofErr w:type="gramEnd"/>
      <w:r w:rsidRPr="0087441D">
        <w:rPr>
          <w:rFonts w:hAnsi="標楷體" w:hint="eastAsia"/>
        </w:rPr>
        <w:t>於原條文第一項增列後段文字。三、在強化當事人進行色彩後之刑事訴訟架構中，法院依職權調查證據僅具補充性、輔佐性，因此在例外地依職權進行調查證據之情況下，為確保超然、中立之立場，法院於調查證據前，應先給予當事人陳述意見之機會。增列第三項。</w:t>
      </w:r>
    </w:p>
  </w:footnote>
  <w:footnote w:id="19">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立法理由：刑事被告固無為不利於己陳述之義務，亦不負舉證責任，但有提出證據及指出有利之證明方法以實施防禦之權利，現行法於證據通則內，並未規定被告得就被訴事實主動指出有利之證明方法，雖於第96條規定訊問被告時，就其陳述有利之事實者，應命其指出證明之方法，但此規定對被告而言，僅處於被動地位，尚嫌保護欠</w:t>
      </w:r>
      <w:proofErr w:type="gramStart"/>
      <w:r w:rsidRPr="0087441D">
        <w:rPr>
          <w:rFonts w:hAnsi="標楷體" w:hint="eastAsia"/>
        </w:rPr>
        <w:t>週</w:t>
      </w:r>
      <w:proofErr w:type="gramEnd"/>
      <w:r w:rsidRPr="0087441D">
        <w:rPr>
          <w:rFonts w:hAnsi="標楷體" w:hint="eastAsia"/>
        </w:rPr>
        <w:t>，為配合第161條之修正，及貫徹當事人對等原則，宜於證據通則內增訂本條，賦予被告得就其被訴事實，主動向法院指出有利證明方法之權利，以維護被告之訴訟權益。</w:t>
      </w:r>
    </w:p>
  </w:footnote>
  <w:footnote w:id="20">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本院調查江國慶案於100年03年28日約</w:t>
      </w:r>
      <w:proofErr w:type="gramStart"/>
      <w:r w:rsidRPr="0087441D">
        <w:rPr>
          <w:rFonts w:hAnsi="標楷體" w:hint="eastAsia"/>
        </w:rPr>
        <w:t>詢</w:t>
      </w:r>
      <w:proofErr w:type="gramEnd"/>
      <w:r w:rsidRPr="0087441D">
        <w:rPr>
          <w:rFonts w:hAnsi="標楷體" w:hint="eastAsia"/>
        </w:rPr>
        <w:t>承</w:t>
      </w:r>
      <w:proofErr w:type="gramStart"/>
      <w:r w:rsidRPr="0087441D">
        <w:rPr>
          <w:rFonts w:hAnsi="標楷體" w:hint="eastAsia"/>
        </w:rPr>
        <w:t>審軍法官呂</w:t>
      </w:r>
      <w:r w:rsidR="00425F81" w:rsidRPr="0087441D">
        <w:rPr>
          <w:rFonts w:hAnsi="標楷體" w:hint="eastAsia"/>
        </w:rPr>
        <w:t>0</w:t>
      </w:r>
      <w:r w:rsidRPr="0087441D">
        <w:rPr>
          <w:rFonts w:hAnsi="標楷體" w:hint="eastAsia"/>
        </w:rPr>
        <w:t>義稱</w:t>
      </w:r>
      <w:proofErr w:type="gramEnd"/>
      <w:r w:rsidRPr="0087441D">
        <w:rPr>
          <w:rFonts w:hAnsi="標楷體" w:hint="eastAsia"/>
        </w:rPr>
        <w:t>：「</w:t>
      </w:r>
      <w:r w:rsidRPr="0087441D">
        <w:rPr>
          <w:rFonts w:hAnsi="標楷體"/>
        </w:rPr>
        <w:t>DNA</w:t>
      </w:r>
      <w:r w:rsidRPr="0087441D">
        <w:rPr>
          <w:rFonts w:hAnsi="標楷體" w:hint="eastAsia"/>
        </w:rPr>
        <w:t>衛生紙部分，伊當時有跟曹嘉生討論過廁所衛生紙，</w:t>
      </w:r>
      <w:proofErr w:type="gramStart"/>
      <w:r w:rsidRPr="0087441D">
        <w:rPr>
          <w:rFonts w:hAnsi="標楷體" w:hint="eastAsia"/>
        </w:rPr>
        <w:t>他說沒問題</w:t>
      </w:r>
      <w:proofErr w:type="gramEnd"/>
      <w:r w:rsidRPr="0087441D">
        <w:rPr>
          <w:rFonts w:hAnsi="標楷體" w:hint="eastAsia"/>
        </w:rPr>
        <w:t>，</w:t>
      </w:r>
      <w:r w:rsidRPr="0087441D">
        <w:rPr>
          <w:rFonts w:hAnsi="標楷體"/>
        </w:rPr>
        <w:t>DNA</w:t>
      </w:r>
      <w:proofErr w:type="gramStart"/>
      <w:r w:rsidRPr="0087441D">
        <w:rPr>
          <w:rFonts w:hAnsi="標楷體" w:hint="eastAsia"/>
        </w:rPr>
        <w:t>有驗出</w:t>
      </w:r>
      <w:proofErr w:type="gramEnd"/>
      <w:r w:rsidRPr="0087441D">
        <w:rPr>
          <w:rFonts w:hAnsi="標楷體" w:hint="eastAsia"/>
        </w:rPr>
        <w:t>江國慶的東西就不會有問題。且江國慶褲子裡也沾有血跡，但好像沒有女童</w:t>
      </w:r>
      <w:r w:rsidRPr="0087441D">
        <w:rPr>
          <w:rFonts w:hAnsi="標楷體"/>
        </w:rPr>
        <w:t>DNA</w:t>
      </w:r>
      <w:r w:rsidRPr="0087441D">
        <w:rPr>
          <w:rFonts w:hAnsi="標楷體" w:hint="eastAsia"/>
        </w:rPr>
        <w:t>。｣</w:t>
      </w:r>
    </w:p>
  </w:footnote>
  <w:footnote w:id="21">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鑑定人由審判長、受命法官或檢察官就下列之人選任一人或數人充之。</w:t>
      </w:r>
    </w:p>
  </w:footnote>
  <w:footnote w:id="22">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法院或檢察官得囑託醫院、學校或其他相當之機關、團體為鑑定，或審查他人之鑑定，並</w:t>
      </w:r>
      <w:proofErr w:type="gramStart"/>
      <w:r w:rsidRPr="0087441D">
        <w:rPr>
          <w:rFonts w:hAnsi="標楷體" w:hint="eastAsia"/>
        </w:rPr>
        <w:t>準</w:t>
      </w:r>
      <w:proofErr w:type="gramEnd"/>
      <w:r w:rsidRPr="0087441D">
        <w:rPr>
          <w:rFonts w:hAnsi="標楷體" w:hint="eastAsia"/>
        </w:rPr>
        <w:t>用第203條至第206條之1之規定；其須以言詞報告或說明時，得命實施鑑定或審查之人為之。</w:t>
      </w:r>
    </w:p>
  </w:footnote>
  <w:footnote w:id="23">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見最高法院99年度台上字第4467號刑事判決意旨：「鑑定之證據方法乃藉助於專家在專業領域上之意見，裨益於法院對事實之認定，其性質固與英美法之專家證人相同。</w:t>
      </w:r>
      <w:proofErr w:type="gramStart"/>
      <w:r w:rsidRPr="0087441D">
        <w:rPr>
          <w:rFonts w:hAnsi="標楷體" w:hint="eastAsia"/>
        </w:rPr>
        <w:t>惟</w:t>
      </w:r>
      <w:proofErr w:type="gramEnd"/>
      <w:r w:rsidRPr="0087441D">
        <w:rPr>
          <w:rFonts w:hAnsi="標楷體" w:hint="eastAsia"/>
        </w:rPr>
        <w:t>刑事訴訟法關於鑑定制度仍保留原大陸法系體制，未</w:t>
      </w:r>
      <w:proofErr w:type="gramStart"/>
      <w:r w:rsidRPr="0087441D">
        <w:rPr>
          <w:rFonts w:hAnsi="標楷體" w:hint="eastAsia"/>
        </w:rPr>
        <w:t>採</w:t>
      </w:r>
      <w:proofErr w:type="gramEnd"/>
      <w:r w:rsidRPr="0087441D">
        <w:rPr>
          <w:rFonts w:hAnsi="標楷體" w:hint="eastAsia"/>
        </w:rPr>
        <w:t>絕對直接言詞審理主義。」</w:t>
      </w:r>
    </w:p>
  </w:footnote>
  <w:footnote w:id="24">
    <w:p w:rsidR="00156B94" w:rsidRPr="0087441D" w:rsidRDefault="00156B94" w:rsidP="005573BF">
      <w:pPr>
        <w:pStyle w:val="afc"/>
        <w:ind w:left="209" w:hangingChars="95" w:hanging="209"/>
        <w:rPr>
          <w:rFonts w:hAnsi="標楷體"/>
          <w:bCs/>
        </w:rPr>
      </w:pPr>
      <w:r w:rsidRPr="0087441D">
        <w:rPr>
          <w:rStyle w:val="afe"/>
          <w:rFonts w:hAnsi="標楷體"/>
        </w:rPr>
        <w:footnoteRef/>
      </w:r>
      <w:r w:rsidRPr="0087441D">
        <w:rPr>
          <w:rFonts w:hAnsi="標楷體"/>
        </w:rPr>
        <w:t xml:space="preserve"> </w:t>
      </w:r>
      <w:r w:rsidRPr="0087441D">
        <w:rPr>
          <w:rFonts w:hAnsi="標楷體" w:hint="eastAsia"/>
          <w:bCs/>
        </w:rPr>
        <w:t>最高法院26年滬上字第1號刑事判例：「（一）法院認其所囑託之機關鑑定有欠完備，固不妨另行鑑定，</w:t>
      </w:r>
      <w:r w:rsidRPr="0087441D">
        <w:rPr>
          <w:rFonts w:hAnsi="標楷體" w:hint="eastAsia"/>
          <w:bCs/>
          <w:u w:val="single"/>
        </w:rPr>
        <w:t>但鑑定報告能否採取，係證據之證明力問題</w:t>
      </w:r>
      <w:r w:rsidRPr="0087441D">
        <w:rPr>
          <w:rFonts w:hAnsi="標楷體" w:hint="eastAsia"/>
          <w:bCs/>
        </w:rPr>
        <w:t>，按照刑事訴訟法第269條，既賦予法院以自由判斷之權，則其應否另行鑑定，在審理事實之法院，自屬有權酌定，上訴人縱向原審請求另行鑑定，原審以應行鑑定之事項已</w:t>
      </w:r>
      <w:proofErr w:type="gramStart"/>
      <w:r w:rsidRPr="0087441D">
        <w:rPr>
          <w:rFonts w:hAnsi="標楷體" w:hint="eastAsia"/>
          <w:bCs/>
        </w:rPr>
        <w:t>臻</w:t>
      </w:r>
      <w:proofErr w:type="gramEnd"/>
      <w:r w:rsidRPr="0087441D">
        <w:rPr>
          <w:rFonts w:hAnsi="標楷體" w:hint="eastAsia"/>
          <w:bCs/>
        </w:rPr>
        <w:t>明瞭，無再另行鑑定之必要，經裁定駁回後，即</w:t>
      </w:r>
      <w:proofErr w:type="gramStart"/>
      <w:r w:rsidRPr="0087441D">
        <w:rPr>
          <w:rFonts w:hAnsi="標楷體" w:hint="eastAsia"/>
          <w:bCs/>
        </w:rPr>
        <w:t>採</w:t>
      </w:r>
      <w:proofErr w:type="gramEnd"/>
      <w:r w:rsidRPr="0087441D">
        <w:rPr>
          <w:rFonts w:hAnsi="標楷體" w:hint="eastAsia"/>
          <w:bCs/>
        </w:rPr>
        <w:t>為認定事實之證據，並無違法之可言。（二）刑事訴訟法第185條至第194條，</w:t>
      </w:r>
      <w:proofErr w:type="gramStart"/>
      <w:r w:rsidRPr="0087441D">
        <w:rPr>
          <w:rFonts w:hAnsi="標楷體" w:hint="eastAsia"/>
          <w:bCs/>
        </w:rPr>
        <w:t>均係就</w:t>
      </w:r>
      <w:proofErr w:type="gramEnd"/>
      <w:r w:rsidRPr="0087441D">
        <w:rPr>
          <w:rFonts w:hAnsi="標楷體" w:hint="eastAsia"/>
          <w:bCs/>
        </w:rPr>
        <w:t>選任自然人為鑑定時所設之規定，如法院囑託醫院、學校或其他相當之機關實施鑑定，依同法第195條第2項，除</w:t>
      </w:r>
      <w:proofErr w:type="gramStart"/>
      <w:r w:rsidRPr="0087441D">
        <w:rPr>
          <w:rFonts w:hAnsi="標楷體" w:hint="eastAsia"/>
          <w:bCs/>
        </w:rPr>
        <w:t>準</w:t>
      </w:r>
      <w:proofErr w:type="gramEnd"/>
      <w:r w:rsidRPr="0087441D">
        <w:rPr>
          <w:rFonts w:hAnsi="標楷體" w:hint="eastAsia"/>
          <w:bCs/>
        </w:rPr>
        <w:t>用第190條至第193條各規定外，其他法條並不在</w:t>
      </w:r>
      <w:proofErr w:type="gramStart"/>
      <w:r w:rsidRPr="0087441D">
        <w:rPr>
          <w:rFonts w:hAnsi="標楷體" w:hint="eastAsia"/>
          <w:bCs/>
        </w:rPr>
        <w:t>準</w:t>
      </w:r>
      <w:proofErr w:type="gramEnd"/>
      <w:r w:rsidRPr="0087441D">
        <w:rPr>
          <w:rFonts w:hAnsi="標楷體" w:hint="eastAsia"/>
          <w:bCs/>
        </w:rPr>
        <w:t>用之列，上訴人援用該法第185條第1款及第187條第2項，第194條之規定，為指摘原判決違法之論據，已未免誤會，又法醫研究所鑑定檢驗實施暫行規則第3條第1項載，本所得受理各高等法院送請鑑定檢驗人證、屍體、動物</w:t>
      </w:r>
      <w:proofErr w:type="gramStart"/>
      <w:r w:rsidRPr="0087441D">
        <w:rPr>
          <w:rFonts w:hAnsi="標楷體" w:hint="eastAsia"/>
          <w:bCs/>
        </w:rPr>
        <w:t>死體、文證</w:t>
      </w:r>
      <w:proofErr w:type="gramEnd"/>
      <w:r w:rsidRPr="0087441D">
        <w:rPr>
          <w:rFonts w:hAnsi="標楷體" w:hint="eastAsia"/>
          <w:bCs/>
        </w:rPr>
        <w:t>、物證等法醫事件，其</w:t>
      </w:r>
      <w:proofErr w:type="gramStart"/>
      <w:r w:rsidRPr="0087441D">
        <w:rPr>
          <w:rFonts w:hAnsi="標楷體" w:hint="eastAsia"/>
          <w:bCs/>
        </w:rPr>
        <w:t>第44條辛款關於文證</w:t>
      </w:r>
      <w:proofErr w:type="gramEnd"/>
      <w:r w:rsidRPr="0087441D">
        <w:rPr>
          <w:rFonts w:hAnsi="標楷體" w:hint="eastAsia"/>
          <w:bCs/>
        </w:rPr>
        <w:t>之檢查，</w:t>
      </w:r>
      <w:proofErr w:type="gramStart"/>
      <w:r w:rsidRPr="0087441D">
        <w:rPr>
          <w:rFonts w:hAnsi="標楷體" w:hint="eastAsia"/>
          <w:bCs/>
        </w:rPr>
        <w:t>並揭明</w:t>
      </w:r>
      <w:proofErr w:type="gramEnd"/>
      <w:r w:rsidRPr="0087441D">
        <w:rPr>
          <w:rFonts w:hAnsi="標楷體" w:hint="eastAsia"/>
          <w:bCs/>
        </w:rPr>
        <w:t>包括</w:t>
      </w:r>
      <w:proofErr w:type="gramStart"/>
      <w:r w:rsidRPr="0087441D">
        <w:rPr>
          <w:rFonts w:hAnsi="標楷體" w:hint="eastAsia"/>
          <w:bCs/>
        </w:rPr>
        <w:t>印鑑紋跡</w:t>
      </w:r>
      <w:proofErr w:type="gramEnd"/>
      <w:r w:rsidRPr="0087441D">
        <w:rPr>
          <w:rFonts w:hAnsi="標楷體" w:hint="eastAsia"/>
          <w:bCs/>
        </w:rPr>
        <w:t>、塗改書跡及</w:t>
      </w:r>
      <w:proofErr w:type="gramStart"/>
      <w:r w:rsidRPr="0087441D">
        <w:rPr>
          <w:rFonts w:hAnsi="標楷體" w:hint="eastAsia"/>
          <w:bCs/>
        </w:rPr>
        <w:t>其他文證檢查</w:t>
      </w:r>
      <w:proofErr w:type="gramEnd"/>
      <w:r w:rsidRPr="0087441D">
        <w:rPr>
          <w:rFonts w:hAnsi="標楷體" w:hint="eastAsia"/>
          <w:bCs/>
        </w:rPr>
        <w:t>或審查在內。是筆跡鑑定，原屬於法醫研究所之檢查範圍，</w:t>
      </w:r>
      <w:proofErr w:type="gramStart"/>
      <w:r w:rsidRPr="0087441D">
        <w:rPr>
          <w:rFonts w:hAnsi="標楷體" w:hint="eastAsia"/>
          <w:bCs/>
        </w:rPr>
        <w:t>自係合於</w:t>
      </w:r>
      <w:proofErr w:type="gramEnd"/>
      <w:r w:rsidRPr="0087441D">
        <w:rPr>
          <w:rFonts w:hAnsi="標楷體" w:hint="eastAsia"/>
          <w:bCs/>
        </w:rPr>
        <w:t>刑事訴訟法第195條所謂之相當機關，原審將上訴人所執之借據，囑託該所鑑定，亦非不當。」</w:t>
      </w:r>
    </w:p>
    <w:p w:rsidR="00156B94" w:rsidRPr="0087441D" w:rsidRDefault="00156B94" w:rsidP="005573BF">
      <w:pPr>
        <w:pStyle w:val="afc"/>
        <w:ind w:leftChars="65" w:left="221"/>
        <w:rPr>
          <w:rFonts w:hAnsi="標楷體"/>
          <w:bCs/>
        </w:rPr>
      </w:pPr>
      <w:r w:rsidRPr="0087441D">
        <w:rPr>
          <w:rFonts w:hAnsi="標楷體" w:hint="eastAsia"/>
          <w:bCs/>
        </w:rPr>
        <w:t>最高法院53年台上字第2067號判例：「按證據之證明力如何，雖屬於事實審法院自由判斷之職權，而其所為判斷，仍應受經驗法則與論理法則之支配。</w:t>
      </w:r>
      <w:proofErr w:type="gramStart"/>
      <w:r w:rsidRPr="0087441D">
        <w:rPr>
          <w:rFonts w:hAnsi="標楷體" w:hint="eastAsia"/>
          <w:bCs/>
        </w:rPr>
        <w:t>核閱原卷</w:t>
      </w:r>
      <w:proofErr w:type="gramEnd"/>
      <w:r w:rsidRPr="0087441D">
        <w:rPr>
          <w:rFonts w:hAnsi="標楷體" w:hint="eastAsia"/>
          <w:bCs/>
        </w:rPr>
        <w:t>被害人李茂山受傷情形據賴外科醫院醫師賴雅</w:t>
      </w:r>
      <w:proofErr w:type="gramStart"/>
      <w:r w:rsidRPr="0087441D">
        <w:rPr>
          <w:rFonts w:hAnsi="標楷體" w:hint="eastAsia"/>
          <w:bCs/>
        </w:rPr>
        <w:t>徵診查</w:t>
      </w:r>
      <w:proofErr w:type="gramEnd"/>
      <w:r w:rsidRPr="0087441D">
        <w:rPr>
          <w:rFonts w:hAnsi="標楷體" w:hint="eastAsia"/>
          <w:bCs/>
        </w:rPr>
        <w:t>結果，係頭頂部</w:t>
      </w:r>
      <w:proofErr w:type="gramStart"/>
      <w:r w:rsidRPr="0087441D">
        <w:rPr>
          <w:rFonts w:hAnsi="標楷體" w:hint="eastAsia"/>
          <w:bCs/>
        </w:rPr>
        <w:t>打撲傷及挫創</w:t>
      </w:r>
      <w:proofErr w:type="gramEnd"/>
      <w:r w:rsidRPr="0087441D">
        <w:rPr>
          <w:rFonts w:hAnsi="標楷體" w:hint="eastAsia"/>
          <w:bCs/>
        </w:rPr>
        <w:t>兩前臂</w:t>
      </w:r>
      <w:proofErr w:type="gramStart"/>
      <w:r w:rsidRPr="0087441D">
        <w:rPr>
          <w:rFonts w:hAnsi="標楷體" w:hint="eastAsia"/>
          <w:bCs/>
        </w:rPr>
        <w:t>擦過創與</w:t>
      </w:r>
      <w:proofErr w:type="gramEnd"/>
      <w:r w:rsidRPr="0087441D">
        <w:rPr>
          <w:rFonts w:hAnsi="標楷體" w:hint="eastAsia"/>
          <w:bCs/>
        </w:rPr>
        <w:t>法醫宮可仁鑑定結果，</w:t>
      </w:r>
      <w:proofErr w:type="gramStart"/>
      <w:r w:rsidRPr="0087441D">
        <w:rPr>
          <w:rFonts w:hAnsi="標楷體" w:hint="eastAsia"/>
          <w:bCs/>
        </w:rPr>
        <w:t>為鈍器</w:t>
      </w:r>
      <w:proofErr w:type="gramEnd"/>
      <w:r w:rsidRPr="0087441D">
        <w:rPr>
          <w:rFonts w:hAnsi="標楷體" w:hint="eastAsia"/>
          <w:bCs/>
        </w:rPr>
        <w:t>打傷，是否相符，及原判決既依據法醫宮可仁之鑑定書，為其罪證，而其事實欄則引用第一審判決書所載上訴人係持四</w:t>
      </w:r>
      <w:proofErr w:type="gramStart"/>
      <w:r w:rsidRPr="0087441D">
        <w:rPr>
          <w:rFonts w:hAnsi="標楷體" w:hint="eastAsia"/>
          <w:bCs/>
        </w:rPr>
        <w:t>齒鐵耙將</w:t>
      </w:r>
      <w:proofErr w:type="gramEnd"/>
      <w:r w:rsidRPr="0087441D">
        <w:rPr>
          <w:rFonts w:hAnsi="標楷體" w:hint="eastAsia"/>
          <w:bCs/>
        </w:rPr>
        <w:t>其毆傷暈倒。又未就其如何被鈍器挫傷，引起外傷性腦水腫致死加以說明，自屬證據上之理由不備，依刑事訴訟法第371條第14款，其判決當然為違背法令無可維持，上訴意旨，</w:t>
      </w:r>
      <w:proofErr w:type="gramStart"/>
      <w:r w:rsidRPr="0087441D">
        <w:rPr>
          <w:rFonts w:hAnsi="標楷體" w:hint="eastAsia"/>
          <w:bCs/>
        </w:rPr>
        <w:t>執此指摘</w:t>
      </w:r>
      <w:proofErr w:type="gramEnd"/>
      <w:r w:rsidRPr="0087441D">
        <w:rPr>
          <w:rFonts w:hAnsi="標楷體" w:hint="eastAsia"/>
          <w:bCs/>
        </w:rPr>
        <w:t>原判決不當，非無理由，應認為有發回更審之原因。｣</w:t>
      </w:r>
    </w:p>
    <w:p w:rsidR="00156B94" w:rsidRPr="0087441D" w:rsidRDefault="00156B94" w:rsidP="005573BF">
      <w:pPr>
        <w:pStyle w:val="afc"/>
        <w:ind w:leftChars="65" w:left="221"/>
        <w:rPr>
          <w:rFonts w:hAnsi="標楷體"/>
        </w:rPr>
      </w:pPr>
      <w:r w:rsidRPr="0087441D">
        <w:rPr>
          <w:rFonts w:hAnsi="標楷體" w:hint="eastAsia"/>
          <w:bCs/>
        </w:rPr>
        <w:t>最高法院75年度台上字第243號刑事判決意旨：「刑事訴訟</w:t>
      </w:r>
      <w:proofErr w:type="gramStart"/>
      <w:r w:rsidRPr="0087441D">
        <w:rPr>
          <w:rFonts w:hAnsi="標楷體" w:hint="eastAsia"/>
          <w:bCs/>
        </w:rPr>
        <w:t>採</w:t>
      </w:r>
      <w:proofErr w:type="gramEnd"/>
      <w:r w:rsidRPr="0087441D">
        <w:rPr>
          <w:rFonts w:hAnsi="標楷體" w:hint="eastAsia"/>
          <w:bCs/>
        </w:rPr>
        <w:t>職權調查主義，</w:t>
      </w:r>
      <w:r w:rsidRPr="0087441D">
        <w:rPr>
          <w:rFonts w:hAnsi="標楷體" w:hint="eastAsia"/>
        </w:rPr>
        <w:t>鑑定</w:t>
      </w:r>
      <w:r w:rsidRPr="0087441D">
        <w:rPr>
          <w:rFonts w:hAnsi="標楷體" w:hint="eastAsia"/>
          <w:bCs/>
        </w:rPr>
        <w:t>報告</w:t>
      </w:r>
      <w:proofErr w:type="gramStart"/>
      <w:r w:rsidRPr="0087441D">
        <w:rPr>
          <w:rFonts w:hAnsi="標楷體" w:hint="eastAsia"/>
          <w:bCs/>
        </w:rPr>
        <w:t>祇</w:t>
      </w:r>
      <w:proofErr w:type="gramEnd"/>
      <w:r w:rsidRPr="0087441D">
        <w:rPr>
          <w:rFonts w:hAnsi="標楷體" w:hint="eastAsia"/>
          <w:bCs/>
        </w:rPr>
        <w:t>為形成法院心證之資料，對於法院之審判並無拘束力，</w:t>
      </w:r>
      <w:proofErr w:type="gramStart"/>
      <w:r w:rsidRPr="0087441D">
        <w:rPr>
          <w:rFonts w:hAnsi="標楷體" w:hint="eastAsia"/>
          <w:bCs/>
        </w:rPr>
        <w:t>故待證</w:t>
      </w:r>
      <w:proofErr w:type="gramEnd"/>
      <w:r w:rsidRPr="0087441D">
        <w:rPr>
          <w:rFonts w:hAnsi="標楷體" w:hint="eastAsia"/>
          <w:bCs/>
        </w:rPr>
        <w:t>事項雖經鑑定，惟其證明力如何，事實審法院依刑事訴訟法第155條第1項之規定，本有斟酌取捨之權，其判斷如不違背一般經驗法則，即不得指為違法。」</w:t>
      </w:r>
    </w:p>
  </w:footnote>
  <w:footnote w:id="25">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刑事訴訟法第161條第1項規定：「</w:t>
      </w:r>
      <w:r w:rsidRPr="0087441D">
        <w:rPr>
          <w:rFonts w:hAnsi="標楷體" w:hint="eastAsia"/>
          <w:bCs/>
        </w:rPr>
        <w:t>檢察官</w:t>
      </w:r>
      <w:r w:rsidRPr="0087441D">
        <w:rPr>
          <w:rFonts w:hAnsi="標楷體" w:hint="eastAsia"/>
        </w:rPr>
        <w:t>就被告之犯罪事實，應負</w:t>
      </w:r>
      <w:r w:rsidRPr="0087441D">
        <w:rPr>
          <w:rFonts w:hAnsi="標楷體" w:hint="eastAsia"/>
          <w:bCs/>
        </w:rPr>
        <w:t>舉證責任</w:t>
      </w:r>
      <w:r w:rsidRPr="0087441D">
        <w:rPr>
          <w:rFonts w:hAnsi="標楷體" w:hint="eastAsia"/>
        </w:rPr>
        <w:t>，並指出證明之方法。」</w:t>
      </w:r>
    </w:p>
  </w:footnote>
  <w:footnote w:id="26">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參見最高法院</w:t>
      </w:r>
      <w:proofErr w:type="gramStart"/>
      <w:r w:rsidRPr="0087441D">
        <w:rPr>
          <w:rFonts w:hAnsi="標楷體"/>
        </w:rPr>
        <w:t>100</w:t>
      </w:r>
      <w:proofErr w:type="gramEnd"/>
      <w:r w:rsidRPr="0087441D">
        <w:rPr>
          <w:rFonts w:hAnsi="標楷體"/>
        </w:rPr>
        <w:t>年度台上字第6259號刑事判決</w:t>
      </w:r>
      <w:r w:rsidRPr="0087441D">
        <w:rPr>
          <w:rFonts w:hAnsi="標楷體" w:hint="eastAsia"/>
        </w:rPr>
        <w:t>：「</w:t>
      </w:r>
      <w:proofErr w:type="gramStart"/>
      <w:r w:rsidRPr="0087441D">
        <w:rPr>
          <w:rFonts w:hAnsi="標楷體"/>
        </w:rPr>
        <w:t>按受刑事</w:t>
      </w:r>
      <w:proofErr w:type="gramEnd"/>
      <w:r w:rsidRPr="0087441D">
        <w:rPr>
          <w:rFonts w:hAnsi="標楷體"/>
        </w:rPr>
        <w:t>控告者，在未經依法公開審判證實</w:t>
      </w:r>
      <w:proofErr w:type="gramStart"/>
      <w:r w:rsidRPr="0087441D">
        <w:rPr>
          <w:rFonts w:hAnsi="標楷體"/>
        </w:rPr>
        <w:t>有罪前</w:t>
      </w:r>
      <w:proofErr w:type="gramEnd"/>
      <w:r w:rsidRPr="0087441D">
        <w:rPr>
          <w:rFonts w:hAnsi="標楷體"/>
        </w:rPr>
        <w:t>，應被推定為無罪，此為被告於刑事訴訟上應有之基本權利，聯合國大會於西元</w:t>
      </w:r>
      <w:r w:rsidRPr="0087441D">
        <w:rPr>
          <w:rFonts w:hAnsi="標楷體" w:hint="eastAsia"/>
        </w:rPr>
        <w:t>1948</w:t>
      </w:r>
      <w:r w:rsidRPr="0087441D">
        <w:rPr>
          <w:rFonts w:hAnsi="標楷體"/>
        </w:rPr>
        <w:t>年</w:t>
      </w:r>
      <w:r w:rsidRPr="0087441D">
        <w:rPr>
          <w:rFonts w:hAnsi="標楷體" w:hint="eastAsia"/>
        </w:rPr>
        <w:t>12</w:t>
      </w:r>
      <w:r w:rsidRPr="0087441D">
        <w:rPr>
          <w:rFonts w:hAnsi="標楷體"/>
        </w:rPr>
        <w:t>月</w:t>
      </w:r>
      <w:r w:rsidRPr="0087441D">
        <w:rPr>
          <w:rFonts w:hAnsi="標楷體" w:hint="eastAsia"/>
        </w:rPr>
        <w:t>10</w:t>
      </w:r>
      <w:r w:rsidRPr="0087441D">
        <w:rPr>
          <w:rFonts w:hAnsi="標楷體"/>
        </w:rPr>
        <w:t>日通過之世界人權宣言，即於第</w:t>
      </w:r>
      <w:r w:rsidRPr="0087441D">
        <w:rPr>
          <w:rFonts w:hAnsi="標楷體" w:hint="eastAsia"/>
        </w:rPr>
        <w:t>11</w:t>
      </w:r>
      <w:r w:rsidRPr="0087441D">
        <w:rPr>
          <w:rFonts w:hAnsi="標楷體"/>
        </w:rPr>
        <w:t>條第</w:t>
      </w:r>
      <w:r w:rsidRPr="0087441D">
        <w:rPr>
          <w:rFonts w:hAnsi="標楷體" w:hint="eastAsia"/>
        </w:rPr>
        <w:t>1</w:t>
      </w:r>
      <w:r w:rsidRPr="0087441D">
        <w:rPr>
          <w:rFonts w:hAnsi="標楷體"/>
        </w:rPr>
        <w:t>項為明白宣示，其後於</w:t>
      </w:r>
      <w:r w:rsidRPr="0087441D">
        <w:rPr>
          <w:rFonts w:hAnsi="標楷體" w:hint="eastAsia"/>
        </w:rPr>
        <w:t>1966</w:t>
      </w:r>
      <w:r w:rsidRPr="0087441D">
        <w:rPr>
          <w:rFonts w:hAnsi="標楷體"/>
        </w:rPr>
        <w:t>年</w:t>
      </w:r>
      <w:r w:rsidRPr="0087441D">
        <w:rPr>
          <w:rFonts w:hAnsi="標楷體" w:hint="eastAsia"/>
        </w:rPr>
        <w:t>12</w:t>
      </w:r>
      <w:r w:rsidRPr="0087441D">
        <w:rPr>
          <w:rFonts w:hAnsi="標楷體"/>
        </w:rPr>
        <w:t>月</w:t>
      </w:r>
      <w:r w:rsidRPr="0087441D">
        <w:rPr>
          <w:rFonts w:hAnsi="標楷體" w:hint="eastAsia"/>
        </w:rPr>
        <w:t>16</w:t>
      </w:r>
      <w:r w:rsidRPr="0087441D">
        <w:rPr>
          <w:rFonts w:hAnsi="標楷體"/>
        </w:rPr>
        <w:t>日通過之公民與政治權利國際公約第</w:t>
      </w:r>
      <w:r w:rsidRPr="0087441D">
        <w:rPr>
          <w:rFonts w:hAnsi="標楷體" w:hint="eastAsia"/>
        </w:rPr>
        <w:t>14</w:t>
      </w:r>
      <w:r w:rsidRPr="0087441D">
        <w:rPr>
          <w:rFonts w:hAnsi="標楷體"/>
        </w:rPr>
        <w:t>條第</w:t>
      </w:r>
      <w:r w:rsidRPr="0087441D">
        <w:rPr>
          <w:rFonts w:hAnsi="標楷體" w:hint="eastAsia"/>
        </w:rPr>
        <w:t>2</w:t>
      </w:r>
      <w:r w:rsidRPr="0087441D">
        <w:rPr>
          <w:rFonts w:hAnsi="標楷體"/>
        </w:rPr>
        <w:t>款規定：</w:t>
      </w:r>
      <w:r w:rsidRPr="0087441D">
        <w:rPr>
          <w:rFonts w:ascii="新細明體" w:eastAsia="新細明體" w:hAnsi="新細明體" w:hint="eastAsia"/>
        </w:rPr>
        <w:t>『</w:t>
      </w:r>
      <w:r w:rsidRPr="0087441D">
        <w:rPr>
          <w:rFonts w:hAnsi="標楷體"/>
        </w:rPr>
        <w:t>受刑事控告之人，未經依法確定有罪以前，應假定其無罪。</w:t>
      </w:r>
      <w:r w:rsidRPr="0087441D">
        <w:rPr>
          <w:rFonts w:ascii="新細明體" w:eastAsia="新細明體" w:hAnsi="新細明體" w:hint="eastAsia"/>
        </w:rPr>
        <w:t>』</w:t>
      </w:r>
      <w:r w:rsidRPr="0087441D">
        <w:rPr>
          <w:rFonts w:hAnsi="標楷體"/>
        </w:rPr>
        <w:t>再次揭</w:t>
      </w:r>
      <w:proofErr w:type="gramStart"/>
      <w:r w:rsidRPr="0087441D">
        <w:rPr>
          <w:rFonts w:hAnsi="標楷體"/>
        </w:rPr>
        <w:t>櫫</w:t>
      </w:r>
      <w:proofErr w:type="gramEnd"/>
      <w:r w:rsidRPr="0087441D">
        <w:rPr>
          <w:rFonts w:hAnsi="標楷體"/>
        </w:rPr>
        <w:t>同旨。為彰顯此項人權保障之原則，我國刑事訴訟法於</w:t>
      </w:r>
      <w:r w:rsidRPr="0087441D">
        <w:rPr>
          <w:rFonts w:hAnsi="標楷體" w:hint="eastAsia"/>
        </w:rPr>
        <w:t>92</w:t>
      </w:r>
      <w:r w:rsidRPr="0087441D">
        <w:rPr>
          <w:rFonts w:hAnsi="標楷體"/>
        </w:rPr>
        <w:t>年</w:t>
      </w:r>
      <w:r w:rsidRPr="0087441D">
        <w:rPr>
          <w:rFonts w:hAnsi="標楷體" w:hint="eastAsia"/>
        </w:rPr>
        <w:t>2</w:t>
      </w:r>
      <w:r w:rsidRPr="0087441D">
        <w:rPr>
          <w:rFonts w:hAnsi="標楷體"/>
        </w:rPr>
        <w:t>月</w:t>
      </w:r>
      <w:r w:rsidRPr="0087441D">
        <w:rPr>
          <w:rFonts w:hAnsi="標楷體" w:hint="eastAsia"/>
        </w:rPr>
        <w:t>6</w:t>
      </w:r>
      <w:r w:rsidRPr="0087441D">
        <w:rPr>
          <w:rFonts w:hAnsi="標楷體"/>
        </w:rPr>
        <w:t>日修正時，即於第</w:t>
      </w:r>
      <w:r w:rsidRPr="0087441D">
        <w:rPr>
          <w:rFonts w:hAnsi="標楷體" w:hint="eastAsia"/>
        </w:rPr>
        <w:t>154</w:t>
      </w:r>
      <w:r w:rsidRPr="0087441D">
        <w:rPr>
          <w:rFonts w:hAnsi="標楷體"/>
        </w:rPr>
        <w:t>條第</w:t>
      </w:r>
      <w:r w:rsidRPr="0087441D">
        <w:rPr>
          <w:rFonts w:hAnsi="標楷體" w:hint="eastAsia"/>
        </w:rPr>
        <w:t>1</w:t>
      </w:r>
      <w:r w:rsidRPr="0087441D">
        <w:rPr>
          <w:rFonts w:hAnsi="標楷體"/>
        </w:rPr>
        <w:t>項明定：</w:t>
      </w:r>
      <w:r w:rsidRPr="0087441D">
        <w:rPr>
          <w:rFonts w:hAnsi="標楷體" w:hint="eastAsia"/>
        </w:rPr>
        <w:t>『</w:t>
      </w:r>
      <w:r w:rsidRPr="0087441D">
        <w:rPr>
          <w:rFonts w:hAnsi="標楷體"/>
        </w:rPr>
        <w:t>被告未經審判證明有罪確定前，推定其為無罪。</w:t>
      </w:r>
      <w:r w:rsidRPr="0087441D">
        <w:rPr>
          <w:rFonts w:hAnsi="標楷體" w:hint="eastAsia"/>
        </w:rPr>
        <w:t>』</w:t>
      </w:r>
      <w:r w:rsidRPr="0087441D">
        <w:rPr>
          <w:rFonts w:hAnsi="標楷體"/>
        </w:rPr>
        <w:t>並於</w:t>
      </w:r>
      <w:r w:rsidRPr="0087441D">
        <w:rPr>
          <w:rFonts w:hAnsi="標楷體" w:hint="eastAsia"/>
        </w:rPr>
        <w:t>98</w:t>
      </w:r>
      <w:r w:rsidRPr="0087441D">
        <w:rPr>
          <w:rFonts w:hAnsi="標楷體"/>
        </w:rPr>
        <w:t>年</w:t>
      </w:r>
      <w:r w:rsidRPr="0087441D">
        <w:rPr>
          <w:rFonts w:hAnsi="標楷體" w:hint="eastAsia"/>
        </w:rPr>
        <w:t>4</w:t>
      </w:r>
      <w:r w:rsidRPr="0087441D">
        <w:rPr>
          <w:rFonts w:hAnsi="標楷體"/>
        </w:rPr>
        <w:t>月</w:t>
      </w:r>
      <w:r w:rsidRPr="0087441D">
        <w:rPr>
          <w:rFonts w:hAnsi="標楷體" w:hint="eastAsia"/>
        </w:rPr>
        <w:t>22</w:t>
      </w:r>
      <w:r w:rsidRPr="0087441D">
        <w:rPr>
          <w:rFonts w:hAnsi="標楷體"/>
        </w:rPr>
        <w:t>日制定公民與政治權利國際公約及經濟社會文化權利國際公約施行法，將兩公約所揭示人權保障之規定，明定具有國內法律之效力，更強化無罪推定在我國刑事訴訟上之地位，又司法院大法官迭次於其解釋中，闡明無罪推定乃屬憲法原則，已超越法律之上，為辦理刑事訴訟之公務員同該遵守之理念。依此原則，證明被告有罪之責任，應由控訴之一方承擔，被告不負證明自己無罪之義務。</w:t>
      </w:r>
      <w:proofErr w:type="gramStart"/>
      <w:r w:rsidRPr="0087441D">
        <w:rPr>
          <w:rFonts w:hAnsi="標楷體"/>
        </w:rPr>
        <w:t>從而，</w:t>
      </w:r>
      <w:proofErr w:type="gramEnd"/>
      <w:r w:rsidRPr="0087441D">
        <w:rPr>
          <w:rFonts w:hAnsi="標楷體"/>
        </w:rPr>
        <w:t>檢察官向法院提出對被告追究刑事責任之控訴和主張後，為證明被告有罪，以推翻無罪之推定，應負實質舉證責任即屬其無可迴避之義務。因此，刑事訴訟法第</w:t>
      </w:r>
      <w:r w:rsidRPr="0087441D">
        <w:rPr>
          <w:rFonts w:hAnsi="標楷體" w:hint="eastAsia"/>
        </w:rPr>
        <w:t>161</w:t>
      </w:r>
      <w:r w:rsidRPr="0087441D">
        <w:rPr>
          <w:rFonts w:hAnsi="標楷體"/>
        </w:rPr>
        <w:t>條第</w:t>
      </w:r>
      <w:r w:rsidRPr="0087441D">
        <w:rPr>
          <w:rFonts w:hAnsi="標楷體" w:hint="eastAsia"/>
        </w:rPr>
        <w:t>1</w:t>
      </w:r>
      <w:r w:rsidRPr="0087441D">
        <w:rPr>
          <w:rFonts w:hAnsi="標楷體"/>
        </w:rPr>
        <w:t>項乃明定：</w:t>
      </w:r>
      <w:r w:rsidRPr="0087441D">
        <w:rPr>
          <w:rFonts w:hAnsi="標楷體" w:hint="eastAsia"/>
        </w:rPr>
        <w:t>『</w:t>
      </w:r>
      <w:r w:rsidRPr="0087441D">
        <w:rPr>
          <w:rFonts w:hAnsi="標楷體"/>
        </w:rPr>
        <w:t>檢察官就被告犯罪事實，應負舉證責任，並指出證明之方法。</w:t>
      </w:r>
      <w:r w:rsidRPr="0087441D">
        <w:rPr>
          <w:rFonts w:hAnsi="標楷體" w:hint="eastAsia"/>
        </w:rPr>
        <w:t>』</w:t>
      </w:r>
      <w:r w:rsidRPr="0087441D">
        <w:rPr>
          <w:rFonts w:hAnsi="標楷體"/>
        </w:rPr>
        <w:t>故</w:t>
      </w:r>
      <w:r w:rsidRPr="0087441D">
        <w:rPr>
          <w:rFonts w:hAnsi="標楷體"/>
          <w:bCs/>
        </w:rPr>
        <w:t>檢察官除應盡提出證據之形式舉證責任外，尚應指出其證明之方法，用以說服法院，使法官確信被告犯罪事實之存在</w:t>
      </w:r>
      <w:r w:rsidRPr="0087441D">
        <w:rPr>
          <w:rFonts w:hAnsi="標楷體"/>
        </w:rPr>
        <w:t>。倘檢察官所提出之證據，不足為被告有罪之積極證明，或其指出證明之方法，無法說服法院以形成被告有罪之心證者，為貫徹無罪推定原則，即應為被告無罪之判決。法官基於公平法院之原則，僅立於客觀、公正、超然之地位而為審判，不負擔推翻被告無罪推定之責任，自無接續依職權調查證據之義務。故檢察官如未盡舉證責任，</w:t>
      </w:r>
      <w:proofErr w:type="gramStart"/>
      <w:r w:rsidRPr="0087441D">
        <w:rPr>
          <w:rFonts w:hAnsi="標楷體"/>
        </w:rPr>
        <w:t>雖本法</w:t>
      </w:r>
      <w:proofErr w:type="gramEnd"/>
      <w:r w:rsidRPr="0087441D">
        <w:rPr>
          <w:rFonts w:hAnsi="標楷體"/>
        </w:rPr>
        <w:t>第</w:t>
      </w:r>
      <w:r w:rsidRPr="0087441D">
        <w:rPr>
          <w:rFonts w:hAnsi="標楷體" w:hint="eastAsia"/>
        </w:rPr>
        <w:t>163</w:t>
      </w:r>
      <w:r w:rsidRPr="0087441D">
        <w:rPr>
          <w:rFonts w:hAnsi="標楷體"/>
        </w:rPr>
        <w:t>條第</w:t>
      </w:r>
      <w:r w:rsidRPr="0087441D">
        <w:rPr>
          <w:rFonts w:hAnsi="標楷體" w:hint="eastAsia"/>
        </w:rPr>
        <w:t>2</w:t>
      </w:r>
      <w:r w:rsidRPr="0087441D">
        <w:rPr>
          <w:rFonts w:hAnsi="標楷體"/>
        </w:rPr>
        <w:t>項規定：</w:t>
      </w:r>
      <w:r w:rsidRPr="0087441D">
        <w:rPr>
          <w:rFonts w:hAnsi="標楷體" w:hint="eastAsia"/>
        </w:rPr>
        <w:t>『</w:t>
      </w:r>
      <w:r w:rsidRPr="0087441D">
        <w:rPr>
          <w:rFonts w:hAnsi="標楷體"/>
        </w:rPr>
        <w:t>法院為發現真實，得依職權調查證據。但於公平正義之維護或對被告之利益有重大關係事項，法院應依職權調查之。</w:t>
      </w:r>
      <w:r w:rsidRPr="0087441D">
        <w:rPr>
          <w:rFonts w:hAnsi="標楷體" w:hint="eastAsia"/>
        </w:rPr>
        <w:t>』</w:t>
      </w:r>
      <w:r w:rsidRPr="0087441D">
        <w:rPr>
          <w:rFonts w:hAnsi="標楷體"/>
        </w:rPr>
        <w:t>然所稱</w:t>
      </w:r>
      <w:r w:rsidRPr="0087441D">
        <w:rPr>
          <w:rFonts w:hAnsi="標楷體" w:hint="eastAsia"/>
        </w:rPr>
        <w:t>『</w:t>
      </w:r>
      <w:r w:rsidRPr="0087441D">
        <w:rPr>
          <w:rFonts w:hAnsi="標楷體"/>
        </w:rPr>
        <w:t>法院得依職權調查證據</w:t>
      </w:r>
      <w:r w:rsidRPr="0087441D">
        <w:rPr>
          <w:rFonts w:hAnsi="標楷體" w:hint="eastAsia"/>
        </w:rPr>
        <w:t>』</w:t>
      </w:r>
      <w:r w:rsidRPr="0087441D">
        <w:rPr>
          <w:rFonts w:hAnsi="標楷體"/>
        </w:rPr>
        <w:t>，係指法院於當事人主導之證據調查完畢後，認事實未</w:t>
      </w:r>
      <w:proofErr w:type="gramStart"/>
      <w:r w:rsidRPr="0087441D">
        <w:rPr>
          <w:rFonts w:hAnsi="標楷體"/>
        </w:rPr>
        <w:t>臻</w:t>
      </w:r>
      <w:proofErr w:type="gramEnd"/>
      <w:r w:rsidRPr="0087441D">
        <w:rPr>
          <w:rFonts w:hAnsi="標楷體"/>
        </w:rPr>
        <w:t>明白，而有</w:t>
      </w:r>
      <w:proofErr w:type="gramStart"/>
      <w:r w:rsidRPr="0087441D">
        <w:rPr>
          <w:rFonts w:hAnsi="標楷體"/>
        </w:rPr>
        <w:t>釐</w:t>
      </w:r>
      <w:proofErr w:type="gramEnd"/>
      <w:r w:rsidRPr="0087441D">
        <w:rPr>
          <w:rFonts w:hAnsi="標楷體"/>
        </w:rPr>
        <w:t>清之必要，且有調查之可能時，得斟酌具體個案之情形，依職權為補充性之證據調查而言，非謂法院</w:t>
      </w:r>
      <w:proofErr w:type="gramStart"/>
      <w:r w:rsidRPr="0087441D">
        <w:rPr>
          <w:rFonts w:hAnsi="標楷體"/>
        </w:rPr>
        <w:t>因此即負有</w:t>
      </w:r>
      <w:proofErr w:type="gramEnd"/>
      <w:r w:rsidRPr="0087441D">
        <w:rPr>
          <w:rFonts w:hAnsi="標楷體"/>
        </w:rPr>
        <w:t>主動調查之義務，關於證據之提出及說服之責任，始終仍應由檢察官負擔；至但書中</w:t>
      </w:r>
      <w:r w:rsidRPr="0087441D">
        <w:rPr>
          <w:rFonts w:hAnsi="標楷體" w:hint="eastAsia"/>
        </w:rPr>
        <w:t>『</w:t>
      </w:r>
      <w:r w:rsidRPr="0087441D">
        <w:rPr>
          <w:rFonts w:hAnsi="標楷體"/>
        </w:rPr>
        <w:t>公平正義之維護</w:t>
      </w:r>
      <w:r w:rsidRPr="0087441D">
        <w:rPr>
          <w:rFonts w:hAnsi="標楷體" w:hint="eastAsia"/>
        </w:rPr>
        <w:t>』</w:t>
      </w:r>
      <w:r w:rsidRPr="0087441D">
        <w:rPr>
          <w:rFonts w:hAnsi="標楷體"/>
        </w:rPr>
        <w:t>雖與</w:t>
      </w:r>
      <w:r w:rsidRPr="0087441D">
        <w:rPr>
          <w:rFonts w:hAnsi="標楷體" w:hint="eastAsia"/>
        </w:rPr>
        <w:t>『</w:t>
      </w:r>
      <w:r w:rsidRPr="0087441D">
        <w:rPr>
          <w:rFonts w:hAnsi="標楷體"/>
        </w:rPr>
        <w:t>對被告之利益有重大關係事項</w:t>
      </w:r>
      <w:r w:rsidRPr="0087441D">
        <w:rPr>
          <w:rFonts w:hAnsi="標楷體" w:hint="eastAsia"/>
        </w:rPr>
        <w:t>』</w:t>
      </w:r>
      <w:proofErr w:type="gramStart"/>
      <w:r w:rsidRPr="0087441D">
        <w:rPr>
          <w:rFonts w:hAnsi="標楷體"/>
        </w:rPr>
        <w:t>併</w:t>
      </w:r>
      <w:proofErr w:type="gramEnd"/>
      <w:r w:rsidRPr="0087441D">
        <w:rPr>
          <w:rFonts w:hAnsi="標楷體"/>
        </w:rPr>
        <w:t>列，或有依體系解釋方法誤解</w:t>
      </w:r>
      <w:r w:rsidRPr="0087441D">
        <w:rPr>
          <w:rFonts w:hAnsi="標楷體" w:hint="eastAsia"/>
        </w:rPr>
        <w:t>『</w:t>
      </w:r>
      <w:r w:rsidRPr="0087441D">
        <w:rPr>
          <w:rFonts w:hAnsi="標楷體"/>
        </w:rPr>
        <w:t>公平正義之維護</w:t>
      </w:r>
      <w:r w:rsidRPr="0087441D">
        <w:rPr>
          <w:rFonts w:hAnsi="標楷體" w:hint="eastAsia"/>
        </w:rPr>
        <w:t>』</w:t>
      </w:r>
      <w:r w:rsidRPr="0087441D">
        <w:rPr>
          <w:rFonts w:hAnsi="標楷體"/>
        </w:rPr>
        <w:t>僅指對被告</w:t>
      </w:r>
      <w:proofErr w:type="gramStart"/>
      <w:r w:rsidRPr="0087441D">
        <w:rPr>
          <w:rFonts w:hAnsi="標楷體"/>
        </w:rPr>
        <w:t>不</w:t>
      </w:r>
      <w:proofErr w:type="gramEnd"/>
      <w:r w:rsidRPr="0087441D">
        <w:rPr>
          <w:rFonts w:hAnsi="標楷體"/>
        </w:rPr>
        <w:t>利益之事項，然刑事訴訟規範之目的，除在實現國家刑罰權以維護社會秩序外，尚有貫徹法定程序以保障被告基本權利之機能，此乃公平法院為維護公平正義之審判原則，就</w:t>
      </w:r>
      <w:r w:rsidRPr="0087441D">
        <w:rPr>
          <w:rFonts w:hAnsi="標楷體" w:hint="eastAsia"/>
        </w:rPr>
        <w:t>『</w:t>
      </w:r>
      <w:r w:rsidRPr="0087441D">
        <w:rPr>
          <w:rFonts w:hAnsi="標楷體"/>
        </w:rPr>
        <w:t>公平正義之維護</w:t>
      </w:r>
      <w:r w:rsidRPr="0087441D">
        <w:rPr>
          <w:rFonts w:hAnsi="標楷體" w:hint="eastAsia"/>
        </w:rPr>
        <w:t>』</w:t>
      </w:r>
      <w:r w:rsidRPr="0087441D">
        <w:rPr>
          <w:rFonts w:hAnsi="標楷體"/>
        </w:rPr>
        <w:t>之解釋，本即含</w:t>
      </w:r>
      <w:proofErr w:type="gramStart"/>
      <w:r w:rsidRPr="0087441D">
        <w:rPr>
          <w:rFonts w:hAnsi="標楷體"/>
        </w:rPr>
        <w:t>括不</w:t>
      </w:r>
      <w:proofErr w:type="gramEnd"/>
      <w:r w:rsidRPr="0087441D">
        <w:rPr>
          <w:rFonts w:hAnsi="標楷體"/>
        </w:rPr>
        <w:t>利益及利益被告之事項。且但書為原則之例外，適用上必須嚴格界定，依證據裁判及無罪推定原則，檢察官之舉證責任不因該項但書規定而得以減免，所指公平正義之維護，既未明文排除利益被告之事項，基於法規範目的，仍應以有利被告之立場加以考量，否則，於檢察官未盡實質舉證責任時，竟要求法院接續依職權調查不利被告之證據，豈非形</w:t>
      </w:r>
      <w:proofErr w:type="gramStart"/>
      <w:r w:rsidRPr="0087441D">
        <w:rPr>
          <w:rFonts w:hAnsi="標楷體"/>
        </w:rPr>
        <w:t>同糾問</w:t>
      </w:r>
      <w:proofErr w:type="gramEnd"/>
      <w:r w:rsidRPr="0087441D">
        <w:rPr>
          <w:rFonts w:hAnsi="標楷體"/>
        </w:rPr>
        <w:t>，自與修法之目的有違。基此，為避免牴觸無罪推定之憲法原則及違反檢察官實質舉證責任之規定，</w:t>
      </w:r>
      <w:r w:rsidRPr="0087441D">
        <w:rPr>
          <w:rFonts w:hAnsi="標楷體" w:hint="eastAsia"/>
        </w:rPr>
        <w:t>『</w:t>
      </w:r>
      <w:r w:rsidRPr="0087441D">
        <w:rPr>
          <w:rFonts w:hAnsi="標楷體"/>
          <w:bCs/>
        </w:rPr>
        <w:t>公平正義之維護</w:t>
      </w:r>
      <w:r w:rsidRPr="0087441D">
        <w:rPr>
          <w:rFonts w:hAnsi="標楷體" w:hint="eastAsia"/>
          <w:bCs/>
        </w:rPr>
        <w:t>』</w:t>
      </w:r>
      <w:r w:rsidRPr="0087441D">
        <w:rPr>
          <w:rFonts w:hAnsi="標楷體"/>
          <w:bCs/>
        </w:rPr>
        <w:t>依目的性限縮之解釋方法，自當以利益被告之事項為限</w:t>
      </w:r>
      <w:r w:rsidRPr="0087441D">
        <w:rPr>
          <w:rFonts w:hAnsi="標楷體"/>
        </w:rPr>
        <w:t>。至本法第</w:t>
      </w:r>
      <w:r w:rsidRPr="0087441D">
        <w:rPr>
          <w:rFonts w:hAnsi="標楷體" w:hint="eastAsia"/>
        </w:rPr>
        <w:t>2</w:t>
      </w:r>
      <w:r w:rsidRPr="0087441D">
        <w:rPr>
          <w:rFonts w:hAnsi="標楷體"/>
        </w:rPr>
        <w:t>條第</w:t>
      </w:r>
      <w:r w:rsidRPr="0087441D">
        <w:rPr>
          <w:rFonts w:hAnsi="標楷體" w:hint="eastAsia"/>
        </w:rPr>
        <w:t>1</w:t>
      </w:r>
      <w:r w:rsidRPr="0087441D">
        <w:rPr>
          <w:rFonts w:hAnsi="標楷體"/>
        </w:rPr>
        <w:t>項對於被告有利及不利之情形，應一律注意，僅屬訓示規定，就證據層面而言，乃提示法院於證據取捨判斷時應注意之作用，於舉證責任之歸屬不生影響。檢察官如未於起訴時或審判中提出不利於被告之證據，以證明其起訴事實存在，或未指出調查之途徑，</w:t>
      </w:r>
      <w:proofErr w:type="gramStart"/>
      <w:r w:rsidRPr="0087441D">
        <w:rPr>
          <w:rFonts w:hAnsi="標楷體"/>
        </w:rPr>
        <w:t>與待證事實</w:t>
      </w:r>
      <w:proofErr w:type="gramEnd"/>
      <w:r w:rsidRPr="0087441D">
        <w:rPr>
          <w:rFonts w:hAnsi="標楷體"/>
        </w:rPr>
        <w:t>之關聯及證據之證明力等事項，自不得以法院違背本法第</w:t>
      </w:r>
      <w:r w:rsidRPr="0087441D">
        <w:rPr>
          <w:rFonts w:hAnsi="標楷體" w:hint="eastAsia"/>
        </w:rPr>
        <w:t>163</w:t>
      </w:r>
      <w:r w:rsidRPr="0087441D">
        <w:rPr>
          <w:rFonts w:hAnsi="標楷體"/>
        </w:rPr>
        <w:t>條第</w:t>
      </w:r>
      <w:r w:rsidRPr="0087441D">
        <w:rPr>
          <w:rFonts w:hAnsi="標楷體" w:hint="eastAsia"/>
        </w:rPr>
        <w:t>2</w:t>
      </w:r>
      <w:r w:rsidRPr="0087441D">
        <w:rPr>
          <w:rFonts w:hAnsi="標楷體"/>
        </w:rPr>
        <w:t>項之規定，未依職權調查證據，有應於審判期日調查之證據未予調查之違法，</w:t>
      </w:r>
      <w:proofErr w:type="gramStart"/>
      <w:r w:rsidRPr="0087441D">
        <w:rPr>
          <w:rFonts w:hAnsi="標楷體"/>
        </w:rPr>
        <w:t>執為提起</w:t>
      </w:r>
      <w:proofErr w:type="gramEnd"/>
      <w:r w:rsidRPr="0087441D">
        <w:rPr>
          <w:rFonts w:hAnsi="標楷體"/>
        </w:rPr>
        <w:t>第三審上訴之理由。本件檢察官既未於起訴時或審判中，請求傳喚證人吳○哲，以查明被告之通聯對象是否屬實，有應調查之證據未予調查之違法，依上揭說明，法院並無依職權調查之義務，原審未予調查，自無違法可言。</w:t>
      </w:r>
      <w:r w:rsidRPr="0087441D">
        <w:rPr>
          <w:rFonts w:hAnsi="標楷體" w:hint="eastAsia"/>
        </w:rPr>
        <w:t>」</w:t>
      </w:r>
    </w:p>
  </w:footnote>
  <w:footnote w:id="27">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陳佑治教授主張：證據有無證據能力是</w:t>
      </w:r>
      <w:proofErr w:type="gramStart"/>
      <w:r w:rsidRPr="0087441D">
        <w:rPr>
          <w:rFonts w:hAnsi="標楷體"/>
        </w:rPr>
        <w:t>”</w:t>
      </w:r>
      <w:proofErr w:type="gramEnd"/>
      <w:r w:rsidRPr="0087441D">
        <w:rPr>
          <w:rFonts w:hAnsi="標楷體" w:hint="eastAsia"/>
        </w:rPr>
        <w:t>法律問題</w:t>
      </w:r>
      <w:proofErr w:type="gramStart"/>
      <w:r w:rsidRPr="0087441D">
        <w:rPr>
          <w:rFonts w:hAnsi="標楷體"/>
        </w:rPr>
        <w:t>”</w:t>
      </w:r>
      <w:proofErr w:type="gramEnd"/>
      <w:r w:rsidRPr="0087441D">
        <w:rPr>
          <w:rFonts w:hAnsi="標楷體" w:hint="eastAsia"/>
        </w:rPr>
        <w:t>(matter of law)，證明力則是</w:t>
      </w:r>
      <w:proofErr w:type="gramStart"/>
      <w:r w:rsidRPr="0087441D">
        <w:rPr>
          <w:rFonts w:hAnsi="標楷體"/>
        </w:rPr>
        <w:t>”</w:t>
      </w:r>
      <w:proofErr w:type="gramEnd"/>
      <w:r w:rsidRPr="0087441D">
        <w:rPr>
          <w:rFonts w:hAnsi="標楷體" w:hint="eastAsia"/>
        </w:rPr>
        <w:t>事實問題</w:t>
      </w:r>
      <w:proofErr w:type="gramStart"/>
      <w:r w:rsidRPr="0087441D">
        <w:rPr>
          <w:rFonts w:hAnsi="標楷體"/>
        </w:rPr>
        <w:t>”</w:t>
      </w:r>
      <w:proofErr w:type="gramEnd"/>
      <w:r w:rsidRPr="0087441D">
        <w:rPr>
          <w:rFonts w:hAnsi="標楷體" w:hint="eastAsia"/>
        </w:rPr>
        <w:t>(matter of fact)。在陪審制度下，職業法官與陪審團</w:t>
      </w:r>
      <w:proofErr w:type="gramStart"/>
      <w:r w:rsidRPr="0087441D">
        <w:rPr>
          <w:rFonts w:hAnsi="標楷體" w:hint="eastAsia"/>
        </w:rPr>
        <w:t>採</w:t>
      </w:r>
      <w:proofErr w:type="gramEnd"/>
      <w:r w:rsidRPr="0087441D">
        <w:rPr>
          <w:rFonts w:hAnsi="標楷體" w:hint="eastAsia"/>
        </w:rPr>
        <w:t>職權分工，</w:t>
      </w:r>
      <w:proofErr w:type="gramStart"/>
      <w:r w:rsidRPr="0087441D">
        <w:rPr>
          <w:rFonts w:hAnsi="標楷體" w:hint="eastAsia"/>
        </w:rPr>
        <w:t>，</w:t>
      </w:r>
      <w:proofErr w:type="gramEnd"/>
      <w:r w:rsidRPr="0087441D">
        <w:rPr>
          <w:rFonts w:hAnsi="標楷體" w:hint="eastAsia"/>
        </w:rPr>
        <w:t>法律問題歸法官決定，事實問題則由陪審團定奪。我國現行法雖不</w:t>
      </w:r>
      <w:proofErr w:type="gramStart"/>
      <w:r w:rsidRPr="0087441D">
        <w:rPr>
          <w:rFonts w:hAnsi="標楷體" w:hint="eastAsia"/>
        </w:rPr>
        <w:t>採</w:t>
      </w:r>
      <w:proofErr w:type="gramEnd"/>
      <w:r w:rsidRPr="0087441D">
        <w:rPr>
          <w:rFonts w:hAnsi="標楷體" w:hint="eastAsia"/>
        </w:rPr>
        <w:t>陪審制但兩者在</w:t>
      </w:r>
      <w:r w:rsidRPr="0087441D">
        <w:rPr>
          <w:rFonts w:hAnsi="標楷體"/>
        </w:rPr>
        <w:t>§</w:t>
      </w:r>
      <w:r w:rsidRPr="0087441D">
        <w:rPr>
          <w:rFonts w:hAnsi="標楷體" w:hint="eastAsia"/>
        </w:rPr>
        <w:t>155既有分別規定，自有區別之必要。法官依法應作</w:t>
      </w:r>
      <w:proofErr w:type="gramStart"/>
      <w:r w:rsidRPr="0087441D">
        <w:rPr>
          <w:rFonts w:hAnsi="標楷體"/>
        </w:rPr>
        <w:t>”</w:t>
      </w:r>
      <w:proofErr w:type="gramEnd"/>
      <w:r w:rsidRPr="0087441D">
        <w:rPr>
          <w:rFonts w:hAnsi="標楷體" w:hint="eastAsia"/>
        </w:rPr>
        <w:t>兩層次證據思維</w:t>
      </w:r>
      <w:proofErr w:type="gramStart"/>
      <w:r w:rsidRPr="0087441D">
        <w:rPr>
          <w:rFonts w:hAnsi="標楷體"/>
        </w:rPr>
        <w:t>”</w:t>
      </w:r>
      <w:proofErr w:type="gramEnd"/>
      <w:r w:rsidRPr="0087441D">
        <w:rPr>
          <w:rFonts w:hAnsi="標楷體" w:hint="eastAsia"/>
        </w:rPr>
        <w:t>，否則，無異回復法官自由心證的舊法時代。</w:t>
      </w:r>
    </w:p>
  </w:footnote>
  <w:footnote w:id="28">
    <w:p w:rsidR="00156B94" w:rsidRPr="0087441D" w:rsidRDefault="00156B94" w:rsidP="00606F7E">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第79點：刑訴法第155條所謂無證據能力，係指不得作為證據者而言。茲舉述如次：…(四)證人、鑑定人依法應具結而未具結，其證言或鑑定意見，無證據能力；第86點：證人、鑑定人依法應具結而未具結者，其證言或鑑定意見，不得作為證據。故法官訊問證人、鑑定人時，應注意具結之規定。如應具結者，</w:t>
      </w:r>
      <w:proofErr w:type="gramStart"/>
      <w:r w:rsidRPr="0087441D">
        <w:rPr>
          <w:rFonts w:hAnsi="標楷體" w:hint="eastAsia"/>
        </w:rPr>
        <w:t>應命證人</w:t>
      </w:r>
      <w:proofErr w:type="gramEnd"/>
      <w:r w:rsidRPr="0087441D">
        <w:rPr>
          <w:rFonts w:hAnsi="標楷體" w:hint="eastAsia"/>
        </w:rPr>
        <w:t>或鑑定人自行朗讀結文，必須證人或鑑定人不能自行朗讀者，</w:t>
      </w:r>
      <w:proofErr w:type="gramStart"/>
      <w:r w:rsidRPr="0087441D">
        <w:rPr>
          <w:rFonts w:hAnsi="標楷體" w:hint="eastAsia"/>
        </w:rPr>
        <w:t>始命書記官</w:t>
      </w:r>
      <w:proofErr w:type="gramEnd"/>
      <w:r w:rsidRPr="0087441D">
        <w:rPr>
          <w:rFonts w:hAnsi="標楷體" w:hint="eastAsia"/>
        </w:rPr>
        <w:t>朗讀，於必要時說明結文之意義並記明筆錄；第88點第1段：為保障被告之反對詰問權，並符合直接審理主義之要求，若提出被告以外之人 (含共同被告、共犯、證人、鑑定人、被害人) 於審判外之言詞或書面陳述，作為證據以證明其所敘述之事項為真實者，該被告以外之人於審判外之陳述應屬於傳聞證據，除法律另有規定外，無證據能力，不得作為證據使用；第96點：當事人、代理人、辯護人或輔佐人有聲請調查證據之權利；並得於調查證據時，詢問證人、鑑定人或被告，審判長除認為該詢問係不當者外，不得禁止之。故凡當事人等所聲請調查之證據</w:t>
      </w:r>
      <w:proofErr w:type="gramStart"/>
      <w:r w:rsidRPr="0087441D">
        <w:rPr>
          <w:rFonts w:hAnsi="標楷體" w:hint="eastAsia"/>
        </w:rPr>
        <w:t>與待證事實</w:t>
      </w:r>
      <w:proofErr w:type="gramEnd"/>
      <w:r w:rsidRPr="0087441D">
        <w:rPr>
          <w:rFonts w:hAnsi="標楷體" w:hint="eastAsia"/>
        </w:rPr>
        <w:t>具有關聯性，且有調查之必要與可能，客觀上確為法院認定事實及適用法律之基礎者，</w:t>
      </w:r>
      <w:proofErr w:type="gramStart"/>
      <w:r w:rsidRPr="0087441D">
        <w:rPr>
          <w:rFonts w:hAnsi="標楷體" w:hint="eastAsia"/>
        </w:rPr>
        <w:t>法院均有調查</w:t>
      </w:r>
      <w:proofErr w:type="gramEnd"/>
      <w:r w:rsidRPr="0087441D">
        <w:rPr>
          <w:rFonts w:hAnsi="標楷體" w:hint="eastAsia"/>
        </w:rPr>
        <w:t>之職責，不得駁回調查證據之聲請 (刑訴法第163條之2反面解釋參照)；第115點：受審判長、受命法官或檢察官選任之鑑定人所為之書面鑑定報告，屬傳聞證據排除之例外，具有證據能力。 (刑訴法159、206)</w:t>
      </w:r>
    </w:p>
  </w:footnote>
  <w:footnote w:id="29">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第54點：本法(刑事訴訟法)第155條第2項所謂無證據能力，係指不能作為證據者而言，</w:t>
      </w:r>
      <w:proofErr w:type="gramStart"/>
      <w:r w:rsidRPr="0087441D">
        <w:rPr>
          <w:rFonts w:hAnsi="標楷體" w:hint="eastAsia"/>
        </w:rPr>
        <w:t>茲例示</w:t>
      </w:r>
      <w:proofErr w:type="gramEnd"/>
      <w:r w:rsidRPr="0087441D">
        <w:rPr>
          <w:rFonts w:hAnsi="標楷體" w:hint="eastAsia"/>
        </w:rPr>
        <w:t>如下：…(三)證人、鑑定人依法應具結而未具結者，其證言或鑑定意見，無證據能力。（刑訴法158之3）；第62點：證人、鑑定人依法應具結而未具結者，其證言或鑑定意見，不得作為證據。故檢察官訊問證人、鑑定人時，應注意具結之規定。；第73點：檢察官於審判程序中，有聲請法院調查證據之權利，並得於調查證據時，詢問證人、鑑定人或被告，審判長除認為該詢問係不當者外，不得禁止之。；第77點：受檢察官選任之鑑定人或囑託之鑑定機關、團體所為之書面鑑定報告，屬本法第159條所定傳聞之例外規定，具有證據能力。檢察官對於上開傳聞之例外情形，應予注意並適時主張之。（刑訴法159、198、206、208）；第78點：檢察官行鑑定時，除以專家為鑑定人外，得囑託醫院、學校或其他相當之機關、團體為鑑定或審查他人之鑑定。鑑定之經過及結果，應以言詞或書面報告，其以書面為之者，於必要時得使其以言詞說明。鑑定人或受囑託之醫院、學校、機關、團體實施鑑定或審查之人，為言詞報告或說明時，有具結之義務。（刑訴法202、206、208）。</w:t>
      </w:r>
    </w:p>
  </w:footnote>
  <w:footnote w:id="30">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最高法院92年度台上字第2282號刑事判決意旨稱</w:t>
      </w:r>
      <w:r w:rsidRPr="0087441D">
        <w:rPr>
          <w:rFonts w:ascii="新細明體" w:eastAsia="新細明體" w:hAnsi="新細明體" w:hint="eastAsia"/>
        </w:rPr>
        <w:t>：</w:t>
      </w:r>
      <w:r w:rsidRPr="0087441D">
        <w:rPr>
          <w:rFonts w:hAnsi="標楷體" w:hint="eastAsia"/>
        </w:rPr>
        <w:t>「測謊鑑定，係依一般人若下意識刻意隱瞞事實真相時，會產生微妙之心理變化，例如：憂慮、緊張、恐懼、不安等現象，而因身體內部之心理變化，身體外部之生理狀況亦隨之變化，例如：呼吸急促、血液循環加速、心跳加快、聲音降低、大量流汗等異常現象，惟表現在外之生理變化，往往不易由肉眼觀察，乃</w:t>
      </w:r>
      <w:proofErr w:type="gramStart"/>
      <w:r w:rsidRPr="0087441D">
        <w:rPr>
          <w:rFonts w:hAnsi="標楷體" w:hint="eastAsia"/>
        </w:rPr>
        <w:t>由測謊員</w:t>
      </w:r>
      <w:proofErr w:type="gramEnd"/>
      <w:r w:rsidRPr="0087441D">
        <w:rPr>
          <w:rFonts w:hAnsi="標楷體" w:hint="eastAsia"/>
        </w:rPr>
        <w:t>對受測者提問</w:t>
      </w:r>
      <w:proofErr w:type="gramStart"/>
      <w:r w:rsidRPr="0087441D">
        <w:rPr>
          <w:rFonts w:hAnsi="標楷體" w:hint="eastAsia"/>
        </w:rPr>
        <w:t>與待證事實</w:t>
      </w:r>
      <w:proofErr w:type="gramEnd"/>
      <w:r w:rsidRPr="0087441D">
        <w:rPr>
          <w:rFonts w:hAnsi="標楷體" w:hint="eastAsia"/>
        </w:rPr>
        <w:t>相關之問題，藉由科學儀器(</w:t>
      </w:r>
      <w:proofErr w:type="gramStart"/>
      <w:r w:rsidRPr="0087441D">
        <w:rPr>
          <w:rFonts w:hAnsi="標楷體" w:hint="eastAsia"/>
        </w:rPr>
        <w:t>測謊機</w:t>
      </w:r>
      <w:proofErr w:type="gramEnd"/>
      <w:r w:rsidRPr="0087441D">
        <w:rPr>
          <w:rFonts w:hAnsi="標楷體" w:hint="eastAsia"/>
        </w:rPr>
        <w:t>)紀錄受測者對各個質問所產生細微之生理變化，加以分析受測者是否下意識刻意隱瞞事實真相，並判定其供述是否真實；</w:t>
      </w:r>
      <w:proofErr w:type="gramStart"/>
      <w:r w:rsidRPr="0087441D">
        <w:rPr>
          <w:rFonts w:hAnsi="標楷體" w:hint="eastAsia"/>
        </w:rPr>
        <w:t>測謊機本身</w:t>
      </w:r>
      <w:proofErr w:type="gramEnd"/>
      <w:r w:rsidRPr="0087441D">
        <w:rPr>
          <w:rFonts w:hAnsi="標楷體" w:hint="eastAsia"/>
        </w:rPr>
        <w:t>並不能直接對受測者之供述產生正確與否之訊號，而</w:t>
      </w:r>
      <w:proofErr w:type="gramStart"/>
      <w:r w:rsidRPr="0087441D">
        <w:rPr>
          <w:rFonts w:hAnsi="標楷體" w:hint="eastAsia"/>
        </w:rPr>
        <w:t>係測謊員</w:t>
      </w:r>
      <w:proofErr w:type="gramEnd"/>
      <w:r w:rsidRPr="0087441D">
        <w:rPr>
          <w:rFonts w:hAnsi="標楷體" w:hint="eastAsia"/>
        </w:rPr>
        <w:t>依其專業之學識及經驗，就測謊紀錄，予以客觀之分析解讀，至於測謊鑑定究竟有無證據能力，刑事訴訟法並無明文規定，惟實務上，送</w:t>
      </w:r>
      <w:proofErr w:type="gramStart"/>
      <w:r w:rsidRPr="0087441D">
        <w:rPr>
          <w:rFonts w:hAnsi="標楷體" w:hint="eastAsia"/>
        </w:rPr>
        <w:t>鑑</w:t>
      </w:r>
      <w:proofErr w:type="gramEnd"/>
      <w:r w:rsidRPr="0087441D">
        <w:rPr>
          <w:rFonts w:hAnsi="標楷體" w:hint="eastAsia"/>
        </w:rPr>
        <w:t>單位依刑事訴訟法第208條第1項規定，囑託法務部調查局或內政部警政署刑事</w:t>
      </w:r>
      <w:proofErr w:type="gramStart"/>
      <w:r w:rsidRPr="0087441D">
        <w:rPr>
          <w:rFonts w:hAnsi="標楷體" w:hint="eastAsia"/>
        </w:rPr>
        <w:t>警察局為測謊</w:t>
      </w:r>
      <w:proofErr w:type="gramEnd"/>
      <w:r w:rsidRPr="0087441D">
        <w:rPr>
          <w:rFonts w:hAnsi="標楷體" w:hint="eastAsia"/>
        </w:rPr>
        <w:t>檢查，受囑託機關就檢查結果，以該機關名義函覆原囑託之送</w:t>
      </w:r>
      <w:proofErr w:type="gramStart"/>
      <w:r w:rsidRPr="0087441D">
        <w:rPr>
          <w:rFonts w:hAnsi="標楷體" w:hint="eastAsia"/>
        </w:rPr>
        <w:t>鑑</w:t>
      </w:r>
      <w:proofErr w:type="gramEnd"/>
      <w:r w:rsidRPr="0087441D">
        <w:rPr>
          <w:rFonts w:hAnsi="標楷體" w:hint="eastAsia"/>
        </w:rPr>
        <w:t>單位，該測謊檢查結果之書面報告，即係受囑託機關之鑑定報告，該機關之鑑定報告，形式上若符合測謊基本程式要件，包括：經</w:t>
      </w:r>
      <w:proofErr w:type="gramStart"/>
      <w:r w:rsidRPr="0087441D">
        <w:rPr>
          <w:rFonts w:hAnsi="標楷體" w:hint="eastAsia"/>
        </w:rPr>
        <w:t>受測人同意</w:t>
      </w:r>
      <w:proofErr w:type="gramEnd"/>
      <w:r w:rsidRPr="0087441D">
        <w:rPr>
          <w:rFonts w:hAnsi="標楷體" w:hint="eastAsia"/>
        </w:rPr>
        <w:t>配合，並已告知得拒絕受測，以減輕受測者不必要之壓力。</w:t>
      </w:r>
      <w:proofErr w:type="gramStart"/>
      <w:r w:rsidRPr="0087441D">
        <w:rPr>
          <w:rFonts w:hAnsi="標楷體" w:hint="eastAsia"/>
        </w:rPr>
        <w:t>測謊員須</w:t>
      </w:r>
      <w:proofErr w:type="gramEnd"/>
      <w:r w:rsidRPr="0087441D">
        <w:rPr>
          <w:rFonts w:hAnsi="標楷體" w:hint="eastAsia"/>
        </w:rPr>
        <w:t>經良好之專業訓練與相當之經驗。測謊儀器品質良好且運作正常。</w:t>
      </w:r>
      <w:proofErr w:type="gramStart"/>
      <w:r w:rsidRPr="0087441D">
        <w:rPr>
          <w:rFonts w:hAnsi="標楷體" w:hint="eastAsia"/>
        </w:rPr>
        <w:t>受測人身心</w:t>
      </w:r>
      <w:proofErr w:type="gramEnd"/>
      <w:r w:rsidRPr="0087441D">
        <w:rPr>
          <w:rFonts w:hAnsi="標楷體" w:hint="eastAsia"/>
        </w:rPr>
        <w:t>及意識狀態正常。測謊環境良好，無不當之外力干擾等要件，即賦予證據能力，</w:t>
      </w:r>
      <w:r w:rsidRPr="0087441D">
        <w:rPr>
          <w:rFonts w:hAnsi="標楷體" w:hint="eastAsia"/>
          <w:u w:val="single"/>
        </w:rPr>
        <w:t>非謂機關之鑑定報告書當然有證據能力</w:t>
      </w:r>
      <w:r w:rsidRPr="0087441D">
        <w:rPr>
          <w:rFonts w:hAnsi="標楷體" w:hint="eastAsia"/>
        </w:rPr>
        <w:t>；具上述形式之證據能力者，始予以實質之價值判斷，必</w:t>
      </w:r>
      <w:proofErr w:type="gramStart"/>
      <w:r w:rsidRPr="0087441D">
        <w:rPr>
          <w:rFonts w:hAnsi="標楷體" w:hint="eastAsia"/>
        </w:rPr>
        <w:t>符合待證事實</w:t>
      </w:r>
      <w:proofErr w:type="gramEnd"/>
      <w:r w:rsidRPr="0087441D">
        <w:rPr>
          <w:rFonts w:hAnsi="標楷體" w:hint="eastAsia"/>
        </w:rPr>
        <w:t>需求者，始有證明力；刑事訴訟法就證據之證明力，</w:t>
      </w:r>
      <w:proofErr w:type="gramStart"/>
      <w:r w:rsidRPr="0087441D">
        <w:rPr>
          <w:rFonts w:hAnsi="標楷體" w:hint="eastAsia"/>
        </w:rPr>
        <w:t>採</w:t>
      </w:r>
      <w:proofErr w:type="gramEnd"/>
      <w:r w:rsidRPr="0087441D">
        <w:rPr>
          <w:rFonts w:hAnsi="標楷體" w:hint="eastAsia"/>
        </w:rPr>
        <w:t>自由心證主義，由法院本於確信自由判斷，惟法院之自由判斷，亦非漫無限制，仍不得違背經驗法則及論理法則；測謊檢查之受測者可能因人格特性或對於測謊質問之問題無法真正瞭解，致出現不應有之情緒波動反應，此時若過於相信測謊結果，反而有害於正當之事實認定，</w:t>
      </w:r>
      <w:proofErr w:type="gramStart"/>
      <w:r w:rsidRPr="0087441D">
        <w:rPr>
          <w:rFonts w:hAnsi="標楷體" w:hint="eastAsia"/>
        </w:rPr>
        <w:t>又測謊</w:t>
      </w:r>
      <w:proofErr w:type="gramEnd"/>
      <w:r w:rsidRPr="0087441D">
        <w:rPr>
          <w:rFonts w:hAnsi="標楷體" w:hint="eastAsia"/>
        </w:rPr>
        <w:t>檢查之時間</w:t>
      </w:r>
      <w:proofErr w:type="gramStart"/>
      <w:r w:rsidRPr="0087441D">
        <w:rPr>
          <w:rFonts w:hAnsi="標楷體" w:hint="eastAsia"/>
        </w:rPr>
        <w:t>過遲，攸</w:t>
      </w:r>
      <w:proofErr w:type="gramEnd"/>
      <w:r w:rsidRPr="0087441D">
        <w:rPr>
          <w:rFonts w:hAnsi="標楷體" w:hint="eastAsia"/>
        </w:rPr>
        <w:t>關受測者情緒得否平復，與鑑定之精確性非無影響，此時間因素，事實審法院於取捨時不得不予考量；</w:t>
      </w:r>
      <w:proofErr w:type="gramStart"/>
      <w:r w:rsidRPr="0087441D">
        <w:rPr>
          <w:rFonts w:hAnsi="標楷體" w:hint="eastAsia"/>
        </w:rPr>
        <w:t>惟</w:t>
      </w:r>
      <w:proofErr w:type="gramEnd"/>
      <w:r w:rsidRPr="0087441D">
        <w:rPr>
          <w:rFonts w:hAnsi="標楷體" w:hint="eastAsia"/>
        </w:rPr>
        <w:t>一般而言，受測者否認犯罪之供述呈現不實之情緒波動反應，不得</w:t>
      </w:r>
      <w:proofErr w:type="gramStart"/>
      <w:r w:rsidRPr="0087441D">
        <w:rPr>
          <w:rFonts w:hAnsi="標楷體" w:hint="eastAsia"/>
        </w:rPr>
        <w:t>採</w:t>
      </w:r>
      <w:proofErr w:type="gramEnd"/>
      <w:r w:rsidRPr="0087441D">
        <w:rPr>
          <w:rFonts w:hAnsi="標楷體" w:hint="eastAsia"/>
        </w:rPr>
        <w:t>為有罪判決之唯一證據，若受測者否認犯罪之供述並無不實之情緒波動反應，又無其他積極證據證明其被訴之犯罪事實，自得</w:t>
      </w:r>
      <w:proofErr w:type="gramStart"/>
      <w:r w:rsidRPr="0087441D">
        <w:rPr>
          <w:rFonts w:hAnsi="標楷體" w:hint="eastAsia"/>
        </w:rPr>
        <w:t>採</w:t>
      </w:r>
      <w:proofErr w:type="gramEnd"/>
      <w:r w:rsidRPr="0087441D">
        <w:rPr>
          <w:rFonts w:hAnsi="標楷體" w:hint="eastAsia"/>
        </w:rPr>
        <w:t>為有利於受測者之認定；</w:t>
      </w:r>
      <w:proofErr w:type="gramStart"/>
      <w:r w:rsidRPr="0087441D">
        <w:rPr>
          <w:rFonts w:hAnsi="標楷體" w:hint="eastAsia"/>
        </w:rPr>
        <w:t>復按刑事</w:t>
      </w:r>
      <w:proofErr w:type="gramEnd"/>
      <w:r w:rsidRPr="0087441D">
        <w:rPr>
          <w:rFonts w:hAnsi="標楷體" w:hint="eastAsia"/>
        </w:rPr>
        <w:t>訴訟法第206條第1項規定：『鑑定之經過及其結果，</w:t>
      </w:r>
      <w:proofErr w:type="gramStart"/>
      <w:r w:rsidRPr="0087441D">
        <w:rPr>
          <w:rFonts w:hAnsi="標楷體" w:hint="eastAsia"/>
        </w:rPr>
        <w:t>應命鑑定人</w:t>
      </w:r>
      <w:proofErr w:type="gramEnd"/>
      <w:r w:rsidRPr="0087441D">
        <w:rPr>
          <w:rFonts w:hAnsi="標楷體" w:hint="eastAsia"/>
        </w:rPr>
        <w:t>以言詞或書面報告』，又法院或檢察官囑託相當之機關鑑定，</w:t>
      </w:r>
      <w:proofErr w:type="gramStart"/>
      <w:r w:rsidRPr="0087441D">
        <w:rPr>
          <w:rFonts w:hAnsi="標楷體" w:hint="eastAsia"/>
        </w:rPr>
        <w:t>準</w:t>
      </w:r>
      <w:proofErr w:type="gramEnd"/>
      <w:r w:rsidRPr="0087441D">
        <w:rPr>
          <w:rFonts w:hAnsi="標楷體" w:hint="eastAsia"/>
        </w:rPr>
        <w:t>用第206條第1項之規定，同法第208條亦有明文規定；是鑑定報告書之內容應包括鑑定經過及其結果，法院囑託鑑定</w:t>
      </w:r>
      <w:proofErr w:type="gramStart"/>
      <w:r w:rsidRPr="0087441D">
        <w:rPr>
          <w:rFonts w:hAnsi="標楷體" w:hint="eastAsia"/>
        </w:rPr>
        <w:t>機關為測謊</w:t>
      </w:r>
      <w:proofErr w:type="gramEnd"/>
      <w:r w:rsidRPr="0087441D">
        <w:rPr>
          <w:rFonts w:hAnsi="標楷體" w:hint="eastAsia"/>
        </w:rPr>
        <w:t>檢查時，受囑託之鑑定機關不應僅將鑑定結果函覆，並應將鑑定經過一併載</w:t>
      </w:r>
      <w:proofErr w:type="gramStart"/>
      <w:r w:rsidRPr="0087441D">
        <w:rPr>
          <w:rFonts w:hAnsi="標楷體" w:hint="eastAsia"/>
        </w:rPr>
        <w:t>明於測謊</w:t>
      </w:r>
      <w:proofErr w:type="gramEnd"/>
      <w:r w:rsidRPr="0087441D">
        <w:rPr>
          <w:rFonts w:hAnsi="標楷體" w:hint="eastAsia"/>
        </w:rPr>
        <w:t>之鑑定報告書中，若鑑定報告書僅簡略記載檢查結果而未載明檢查經過，既與法定記載要件不符，法院</w:t>
      </w:r>
      <w:proofErr w:type="gramStart"/>
      <w:r w:rsidRPr="0087441D">
        <w:rPr>
          <w:rFonts w:hAnsi="標楷體" w:hint="eastAsia"/>
        </w:rPr>
        <w:t>自應命受囑託</w:t>
      </w:r>
      <w:proofErr w:type="gramEnd"/>
      <w:r w:rsidRPr="0087441D">
        <w:rPr>
          <w:rFonts w:hAnsi="標楷體" w:hint="eastAsia"/>
        </w:rPr>
        <w:t>機關補正，必要時並得通知實施鑑定之人以言詞報告或說明，否則，此種欠缺法定要件之鑑定報告不具備證據資格，自無證據能力可言。刑事審判，係</w:t>
      </w:r>
      <w:proofErr w:type="gramStart"/>
      <w:r w:rsidRPr="0087441D">
        <w:rPr>
          <w:rFonts w:hAnsi="標楷體" w:hint="eastAsia"/>
        </w:rPr>
        <w:t>採</w:t>
      </w:r>
      <w:proofErr w:type="gramEnd"/>
      <w:r w:rsidRPr="0087441D">
        <w:rPr>
          <w:rFonts w:hAnsi="標楷體" w:hint="eastAsia"/>
        </w:rPr>
        <w:t>直接審理主義及言詞主義，法院憑直接之審理及言詞之陳述，獲得態度證據，形成正確之心證，以為證據證明力之判斷，若證人以書面代替陳述、警察局之查訪報告或意見書，法院均無從依直接及言詞審理方式加以調查，尤不可能使當事人對之行使正當法律程序所保障之詰問權，自不應認具有證據能力。」又同院</w:t>
      </w:r>
      <w:proofErr w:type="gramStart"/>
      <w:r w:rsidRPr="0087441D">
        <w:rPr>
          <w:rFonts w:hAnsi="標楷體" w:hint="eastAsia"/>
        </w:rPr>
        <w:t>103</w:t>
      </w:r>
      <w:proofErr w:type="gramEnd"/>
      <w:r w:rsidRPr="0087441D">
        <w:rPr>
          <w:rFonts w:hAnsi="標楷體" w:hint="eastAsia"/>
        </w:rPr>
        <w:t>年度台上字第2831號刑事判決意旨：「火災原因調查鑑定書，依消防法施行細則第25條之規定，係由直轄市、縣（市）消防機關本於消防法第26條第1項規定製作而移送當地警察機關處理之文書，內容包括現場人證（關係人之訪查、火災出動觀察紀錄）、現場勘驗（現場燃燒及火流痕跡結果之紀錄〔照相、錄影〕、現場平面圖）、證物鑑定（火災證物鑑定）等調查所得資料，及依消防機關火災調查人員之學經驗、專業知識及經驗研判結果所得之火災原因研判，實質上兼具調查與鑑定之內涵。若實際負責鑑定之人已於審判中到庭依法具結並就鑑定內容接受詰問，所出具之火災原因調查報告書與言詞陳述，均具有證據能力。」另臺灣高等法院</w:t>
      </w:r>
      <w:proofErr w:type="gramStart"/>
      <w:r w:rsidRPr="0087441D">
        <w:rPr>
          <w:rFonts w:hAnsi="標楷體" w:hint="eastAsia"/>
        </w:rPr>
        <w:t>100年矚再更</w:t>
      </w:r>
      <w:proofErr w:type="gramEnd"/>
      <w:r w:rsidRPr="0087441D">
        <w:rPr>
          <w:rFonts w:hAnsi="標楷體" w:hint="eastAsia"/>
        </w:rPr>
        <w:t>（三）字第1號刑事裁判</w:t>
      </w:r>
      <w:proofErr w:type="gramStart"/>
      <w:r w:rsidRPr="0087441D">
        <w:rPr>
          <w:rFonts w:hAnsi="標楷體" w:hint="eastAsia"/>
        </w:rPr>
        <w:t>意旨復稱</w:t>
      </w:r>
      <w:proofErr w:type="gramEnd"/>
      <w:r w:rsidRPr="0087441D">
        <w:rPr>
          <w:rFonts w:hAnsi="標楷體" w:hint="eastAsia"/>
        </w:rPr>
        <w:t>：「刑事判決法院依刑事訴訟法第198條規定委託法務部法醫研究所鑑定及中央警察大學審查鑑定，由該等機關鑑定結果提出之報告書，鑑定報告書之內容依刑事訴訟法第206條第1項應包括鑑定經過及其結果，受囑託之鑑定機關不應僅將鑑定結果函覆，並應將鑑定經過一併載明於鑑定報告書中，若鑑定報告書僅簡略記載檢查結果而未載明檢查經過，既與法定記載要件不符，法院</w:t>
      </w:r>
      <w:proofErr w:type="gramStart"/>
      <w:r w:rsidRPr="0087441D">
        <w:rPr>
          <w:rFonts w:hAnsi="標楷體" w:hint="eastAsia"/>
        </w:rPr>
        <w:t>自應命受囑託</w:t>
      </w:r>
      <w:proofErr w:type="gramEnd"/>
      <w:r w:rsidRPr="0087441D">
        <w:rPr>
          <w:rFonts w:hAnsi="標楷體" w:hint="eastAsia"/>
        </w:rPr>
        <w:t>機關補正，必要時並得通知實施鑑定之人以言詞報告或說明，否則，該鑑定報告不具備證據資格，自無證據能力可言。至於鑑定之經過與結果，我國法無明文規定應符合哪些要件，解釋上，自可參酌國外法例，而為科學鑑定證據能力之參考。是</w:t>
      </w:r>
      <w:proofErr w:type="gramStart"/>
      <w:r w:rsidRPr="0087441D">
        <w:rPr>
          <w:rFonts w:hAnsi="標楷體" w:hint="eastAsia"/>
        </w:rPr>
        <w:t>以</w:t>
      </w:r>
      <w:proofErr w:type="gramEnd"/>
      <w:r w:rsidRPr="0087441D">
        <w:rPr>
          <w:rFonts w:hAnsi="標楷體" w:hint="eastAsia"/>
        </w:rPr>
        <w:t>，法務部法醫研究所於受囑託鑑定事項如部分所為鑑定</w:t>
      </w:r>
      <w:proofErr w:type="gramStart"/>
      <w:r w:rsidRPr="0087441D">
        <w:rPr>
          <w:rFonts w:hAnsi="標楷體" w:hint="eastAsia"/>
        </w:rPr>
        <w:t>乏</w:t>
      </w:r>
      <w:proofErr w:type="gramEnd"/>
      <w:r w:rsidRPr="0087441D">
        <w:rPr>
          <w:rFonts w:hAnsi="標楷體" w:hint="eastAsia"/>
        </w:rPr>
        <w:t>學理依據，不具專業領域內之普遍接受性及可信賴性，且鑑定報告所使用統計學上之檢測法亦不符統計學方法及學理，在鑑定之實施上，欠缺得重複實施之精確實驗紀錄，該部分事項結論應認無證據能力。」</w:t>
      </w:r>
    </w:p>
  </w:footnote>
  <w:footnote w:id="31">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美國實務演變如下：</w:t>
      </w:r>
      <w:r w:rsidRPr="0087441D">
        <w:rPr>
          <w:rFonts w:hAnsi="標楷體"/>
        </w:rPr>
        <w:br/>
      </w:r>
      <w:r w:rsidRPr="0087441D">
        <w:rPr>
          <w:rFonts w:hAnsi="標楷體" w:hint="eastAsia"/>
        </w:rPr>
        <w:t>佛萊準則-普遍接受性：1923年Frye v. United States案 中，</w:t>
      </w:r>
      <w:proofErr w:type="gramStart"/>
      <w:r w:rsidRPr="0087441D">
        <w:rPr>
          <w:rFonts w:hAnsi="標楷體" w:hint="eastAsia"/>
        </w:rPr>
        <w:t>法院認就有關</w:t>
      </w:r>
      <w:proofErr w:type="gramEnd"/>
      <w:r w:rsidRPr="0087441D">
        <w:rPr>
          <w:rFonts w:hAnsi="標楷體" w:hint="eastAsia"/>
        </w:rPr>
        <w:t>測謊鑑定，認為專家證人必須有專業科學知識，得以協助發現真實，且必需經專業者認可，並以「普遍接受原則」(the General Acceptance Test)檢視專家證人之</w:t>
      </w:r>
      <w:proofErr w:type="gramStart"/>
      <w:r w:rsidRPr="0087441D">
        <w:rPr>
          <w:rFonts w:hAnsi="標楷體" w:hint="eastAsia"/>
        </w:rPr>
        <w:t>鑑</w:t>
      </w:r>
      <w:proofErr w:type="gramEnd"/>
      <w:r w:rsidRPr="0087441D">
        <w:rPr>
          <w:rFonts w:hAnsi="標楷體" w:hint="eastAsia"/>
        </w:rPr>
        <w:t>識證據。根據該標準，專家證人所依據憑以推論、判斷的科學理論，必須在該特定領域裡已被普遍接受的理論。因為科學換言的理論基礎，既然能受相同專業領域的科學家認同，一旦判決</w:t>
      </w:r>
      <w:proofErr w:type="gramStart"/>
      <w:r w:rsidRPr="0087441D">
        <w:rPr>
          <w:rFonts w:hAnsi="標楷體" w:hint="eastAsia"/>
        </w:rPr>
        <w:t>採</w:t>
      </w:r>
      <w:proofErr w:type="gramEnd"/>
      <w:r w:rsidRPr="0087441D">
        <w:rPr>
          <w:rFonts w:hAnsi="標楷體" w:hint="eastAsia"/>
        </w:rPr>
        <w:t>認作為證據，嗣後也不容易再受挑剔或否定，而該項審查標準提出後在美國司法實務上被普遍運用達數十年。</w:t>
      </w:r>
    </w:p>
    <w:p w:rsidR="00156B94" w:rsidRPr="0087441D" w:rsidRDefault="00156B94" w:rsidP="005573BF">
      <w:pPr>
        <w:pStyle w:val="afc"/>
        <w:ind w:leftChars="65" w:left="221"/>
        <w:rPr>
          <w:rFonts w:hAnsi="標楷體"/>
        </w:rPr>
      </w:pPr>
      <w:r w:rsidRPr="0087441D">
        <w:rPr>
          <w:rFonts w:hAnsi="標楷體" w:hint="eastAsia"/>
        </w:rPr>
        <w:t>道伯</w:t>
      </w:r>
      <w:proofErr w:type="gramStart"/>
      <w:r w:rsidRPr="0087441D">
        <w:rPr>
          <w:rFonts w:hAnsi="標楷體" w:hint="eastAsia"/>
        </w:rPr>
        <w:t>特</w:t>
      </w:r>
      <w:proofErr w:type="gramEnd"/>
      <w:r w:rsidRPr="0087441D">
        <w:rPr>
          <w:rFonts w:hAnsi="標楷體" w:hint="eastAsia"/>
        </w:rPr>
        <w:t>準則-信度</w:t>
      </w:r>
      <w:proofErr w:type="gramStart"/>
      <w:r w:rsidRPr="0087441D">
        <w:rPr>
          <w:rFonts w:hAnsi="標楷體" w:hint="eastAsia"/>
        </w:rPr>
        <w:t>與效度</w:t>
      </w:r>
      <w:proofErr w:type="gramEnd"/>
      <w:r w:rsidRPr="0087441D">
        <w:rPr>
          <w:rFonts w:hAnsi="標楷體" w:hint="eastAsia"/>
        </w:rPr>
        <w:t>：1993年Daubert v. Merrell Dow Pharmaceuticals案中，最高法院不單以Frye案之「普遍接受原則」檢視指紋鑑定證據，而係依美國聯邦證據規則審視證據可信度及有效性。於Daubert案中，最高法院判斷專家證言之證據的五個標準為：</w:t>
      </w:r>
    </w:p>
    <w:p w:rsidR="00156B94" w:rsidRPr="0087441D" w:rsidRDefault="00156B94" w:rsidP="005573BF">
      <w:pPr>
        <w:pStyle w:val="afc"/>
        <w:ind w:leftChars="65" w:left="221"/>
        <w:rPr>
          <w:rFonts w:hAnsi="標楷體"/>
        </w:rPr>
      </w:pPr>
      <w:r w:rsidRPr="0087441D">
        <w:rPr>
          <w:rFonts w:hAnsi="標楷體" w:hint="eastAsia"/>
        </w:rPr>
        <w:t>a.</w:t>
      </w:r>
      <w:r w:rsidRPr="0087441D">
        <w:rPr>
          <w:rFonts w:hAnsi="標楷體" w:hint="eastAsia"/>
        </w:rPr>
        <w:tab/>
        <w:t>Frye案在專業領域能適用普遍接受原則。</w:t>
      </w:r>
    </w:p>
    <w:p w:rsidR="00156B94" w:rsidRPr="0087441D" w:rsidRDefault="00156B94" w:rsidP="005573BF">
      <w:pPr>
        <w:pStyle w:val="afc"/>
        <w:ind w:leftChars="65" w:left="221"/>
        <w:rPr>
          <w:rFonts w:hAnsi="標楷體"/>
        </w:rPr>
      </w:pPr>
      <w:r w:rsidRPr="0087441D">
        <w:rPr>
          <w:rFonts w:hAnsi="標楷體" w:hint="eastAsia"/>
        </w:rPr>
        <w:t>b.</w:t>
      </w:r>
      <w:r w:rsidRPr="0087441D">
        <w:rPr>
          <w:rFonts w:hAnsi="標楷體" w:hint="eastAsia"/>
        </w:rPr>
        <w:tab/>
        <w:t>應檢視理論或技術能否接受實證檢驗或已被試驗。</w:t>
      </w:r>
    </w:p>
    <w:p w:rsidR="00156B94" w:rsidRPr="0087441D" w:rsidRDefault="00156B94" w:rsidP="005573BF">
      <w:pPr>
        <w:pStyle w:val="afc"/>
        <w:ind w:leftChars="65" w:left="221"/>
        <w:rPr>
          <w:rFonts w:hAnsi="標楷體"/>
        </w:rPr>
      </w:pPr>
      <w:r w:rsidRPr="0087441D">
        <w:rPr>
          <w:rFonts w:hAnsi="標楷體" w:hint="eastAsia"/>
        </w:rPr>
        <w:t>c.</w:t>
      </w:r>
      <w:r w:rsidRPr="0087441D">
        <w:rPr>
          <w:rFonts w:hAnsi="標楷體" w:hint="eastAsia"/>
        </w:rPr>
        <w:tab/>
        <w:t>理論或技術曾否為同業檢視或該領域專業期刊發表。</w:t>
      </w:r>
    </w:p>
    <w:p w:rsidR="00156B94" w:rsidRPr="0087441D" w:rsidRDefault="00156B94" w:rsidP="005573BF">
      <w:pPr>
        <w:pStyle w:val="afc"/>
        <w:ind w:leftChars="65" w:left="221"/>
        <w:rPr>
          <w:rFonts w:hAnsi="標楷體"/>
        </w:rPr>
      </w:pPr>
      <w:r w:rsidRPr="0087441D">
        <w:rPr>
          <w:rFonts w:hAnsi="標楷體" w:hint="eastAsia"/>
        </w:rPr>
        <w:t>d.</w:t>
      </w:r>
      <w:r w:rsidRPr="0087441D">
        <w:rPr>
          <w:rFonts w:hAnsi="標楷體" w:hint="eastAsia"/>
        </w:rPr>
        <w:tab/>
        <w:t>特別科學技術，法院應考慮已知或潛在的錯誤比率。</w:t>
      </w:r>
    </w:p>
    <w:p w:rsidR="00156B94" w:rsidRPr="0087441D" w:rsidRDefault="00156B94" w:rsidP="005573BF">
      <w:pPr>
        <w:pStyle w:val="afc"/>
        <w:ind w:leftChars="65" w:left="221"/>
        <w:rPr>
          <w:rFonts w:hAnsi="標楷體"/>
        </w:rPr>
      </w:pPr>
      <w:proofErr w:type="gramStart"/>
      <w:r w:rsidRPr="0087441D">
        <w:rPr>
          <w:rFonts w:hAnsi="標楷體" w:hint="eastAsia"/>
        </w:rPr>
        <w:t>e</w:t>
      </w:r>
      <w:proofErr w:type="gramEnd"/>
      <w:r w:rsidRPr="0087441D">
        <w:rPr>
          <w:rFonts w:hAnsi="標楷體" w:hint="eastAsia"/>
        </w:rPr>
        <w:t>.</w:t>
      </w:r>
      <w:r w:rsidRPr="0087441D">
        <w:rPr>
          <w:rFonts w:hAnsi="標楷體" w:hint="eastAsia"/>
        </w:rPr>
        <w:tab/>
        <w:t>有無建立客觀應用或技術操作標準 。</w:t>
      </w:r>
    </w:p>
    <w:p w:rsidR="00156B94" w:rsidRPr="0087441D" w:rsidRDefault="00156B94" w:rsidP="005573BF">
      <w:pPr>
        <w:pStyle w:val="afc"/>
        <w:ind w:leftChars="65" w:left="221"/>
        <w:rPr>
          <w:rFonts w:hAnsi="標楷體"/>
        </w:rPr>
      </w:pPr>
      <w:r w:rsidRPr="0087441D">
        <w:rPr>
          <w:rFonts w:hAnsi="標楷體" w:hint="eastAsia"/>
        </w:rPr>
        <w:t>昆和輪胎：1999Kumho Tire Co. v. Carmichael案 中，法院指出審查的參考方案，可依照下列方法，分析專家的理論或技術，以決定專家是否適格作為證人：</w:t>
      </w:r>
    </w:p>
    <w:p w:rsidR="00156B94" w:rsidRPr="0087441D" w:rsidRDefault="00156B94" w:rsidP="005573BF">
      <w:pPr>
        <w:pStyle w:val="afc"/>
        <w:ind w:leftChars="65" w:left="221"/>
        <w:rPr>
          <w:rFonts w:hAnsi="標楷體"/>
        </w:rPr>
      </w:pPr>
      <w:r w:rsidRPr="0087441D">
        <w:rPr>
          <w:rFonts w:hAnsi="標楷體" w:hint="eastAsia"/>
        </w:rPr>
        <w:t>a.</w:t>
      </w:r>
      <w:r w:rsidRPr="0087441D">
        <w:rPr>
          <w:rFonts w:hAnsi="標楷體" w:hint="eastAsia"/>
        </w:rPr>
        <w:tab/>
        <w:t>提出的理論或技術，可以實驗嗎？如可實驗，已否實驗過了？</w:t>
      </w:r>
    </w:p>
    <w:p w:rsidR="00156B94" w:rsidRPr="0087441D" w:rsidRDefault="00156B94" w:rsidP="005573BF">
      <w:pPr>
        <w:pStyle w:val="afc"/>
        <w:ind w:leftChars="65" w:left="221"/>
        <w:rPr>
          <w:rFonts w:hAnsi="標楷體"/>
        </w:rPr>
      </w:pPr>
      <w:r w:rsidRPr="0087441D">
        <w:rPr>
          <w:rFonts w:hAnsi="標楷體" w:hint="eastAsia"/>
        </w:rPr>
        <w:t>b.</w:t>
      </w:r>
      <w:r w:rsidRPr="0087441D">
        <w:rPr>
          <w:rFonts w:hAnsi="標楷體" w:hint="eastAsia"/>
        </w:rPr>
        <w:tab/>
        <w:t>有無在可以公開審視下的科學期刊發表？</w:t>
      </w:r>
    </w:p>
    <w:p w:rsidR="00156B94" w:rsidRPr="0087441D" w:rsidRDefault="00156B94" w:rsidP="005573BF">
      <w:pPr>
        <w:pStyle w:val="afc"/>
        <w:ind w:leftChars="65" w:left="221"/>
        <w:rPr>
          <w:rFonts w:hAnsi="標楷體"/>
        </w:rPr>
      </w:pPr>
      <w:r w:rsidRPr="0087441D">
        <w:rPr>
          <w:rFonts w:hAnsi="標楷體" w:hint="eastAsia"/>
        </w:rPr>
        <w:t>c.</w:t>
      </w:r>
      <w:r w:rsidRPr="0087441D">
        <w:rPr>
          <w:rFonts w:hAnsi="標楷體" w:hint="eastAsia"/>
        </w:rPr>
        <w:tab/>
        <w:t>已知或潛在的錯誤比率？</w:t>
      </w:r>
    </w:p>
    <w:p w:rsidR="00156B94" w:rsidRPr="0087441D" w:rsidRDefault="00156B94" w:rsidP="005573BF">
      <w:pPr>
        <w:pStyle w:val="afc"/>
        <w:ind w:leftChars="65" w:left="221"/>
        <w:rPr>
          <w:rFonts w:hAnsi="標楷體"/>
        </w:rPr>
      </w:pPr>
      <w:r w:rsidRPr="0087441D">
        <w:rPr>
          <w:rFonts w:hAnsi="標楷體" w:hint="eastAsia"/>
        </w:rPr>
        <w:t>d.</w:t>
      </w:r>
      <w:r w:rsidRPr="0087441D">
        <w:rPr>
          <w:rFonts w:hAnsi="標楷體" w:hint="eastAsia"/>
        </w:rPr>
        <w:tab/>
        <w:t>有無得以控制運作的標準作業程式？如有，它們是否用來印證專家證言？</w:t>
      </w:r>
    </w:p>
    <w:p w:rsidR="00156B94" w:rsidRPr="0087441D" w:rsidRDefault="00156B94" w:rsidP="005573BF">
      <w:pPr>
        <w:pStyle w:val="afc"/>
        <w:ind w:leftChars="65" w:left="221"/>
        <w:rPr>
          <w:rFonts w:hAnsi="標楷體"/>
        </w:rPr>
      </w:pPr>
      <w:r w:rsidRPr="0087441D">
        <w:rPr>
          <w:rFonts w:hAnsi="標楷體" w:hint="eastAsia"/>
        </w:rPr>
        <w:t>e.</w:t>
      </w:r>
      <w:r w:rsidRPr="0087441D">
        <w:rPr>
          <w:rFonts w:hAnsi="標楷體" w:hint="eastAsia"/>
        </w:rPr>
        <w:tab/>
        <w:t>是否已經獲得相關專業領域所接受？是否達相當程度 ？</w:t>
      </w:r>
    </w:p>
    <w:p w:rsidR="00156B94" w:rsidRPr="0087441D" w:rsidRDefault="00156B94" w:rsidP="005573BF">
      <w:pPr>
        <w:pStyle w:val="afc"/>
        <w:ind w:leftChars="65" w:left="221"/>
        <w:rPr>
          <w:rFonts w:hAnsi="標楷體"/>
        </w:rPr>
      </w:pPr>
      <w:r w:rsidRPr="0087441D">
        <w:rPr>
          <w:rFonts w:hAnsi="標楷體" w:hint="eastAsia"/>
        </w:rPr>
        <w:t>自Daubert案及Kumho</w:t>
      </w:r>
      <w:proofErr w:type="gramStart"/>
      <w:r w:rsidRPr="0087441D">
        <w:rPr>
          <w:rFonts w:hAnsi="標楷體" w:hint="eastAsia"/>
        </w:rPr>
        <w:t>案觀之</w:t>
      </w:r>
      <w:proofErr w:type="gramEnd"/>
      <w:r w:rsidRPr="0087441D">
        <w:rPr>
          <w:rFonts w:hAnsi="標楷體" w:hint="eastAsia"/>
        </w:rPr>
        <w:t>，不只單純適用Frye案之「可普遍接受原則」，更進一步提出具體可行的適用或審查標準。在此種標準建立後，法官更容易成為科學證據的「守門人(gatekeeping)」，以防堵尚未被普遍認同的科學證據被考量。相對的，事實審法院是否有「裁量權濫用(abuse of discretion)」也更加容易判斷 。</w:t>
      </w:r>
    </w:p>
  </w:footnote>
  <w:footnote w:id="32">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bCs/>
        </w:rPr>
        <w:t>楊雲驊教授認為，美國提出來的佛萊基準或道伯</w:t>
      </w:r>
      <w:proofErr w:type="gramStart"/>
      <w:r w:rsidRPr="0087441D">
        <w:rPr>
          <w:rFonts w:hAnsi="標楷體" w:hint="eastAsia"/>
          <w:bCs/>
        </w:rPr>
        <w:t>特</w:t>
      </w:r>
      <w:proofErr w:type="gramEnd"/>
      <w:r w:rsidRPr="0087441D">
        <w:rPr>
          <w:rFonts w:hAnsi="標楷體" w:hint="eastAsia"/>
          <w:bCs/>
        </w:rPr>
        <w:t>基準，在德國的眼中，是很可笑的，因為專家是</w:t>
      </w:r>
      <w:r w:rsidRPr="0087441D">
        <w:rPr>
          <w:rFonts w:hAnsi="標楷體" w:hint="eastAsia"/>
        </w:rPr>
        <w:t>當事</w:t>
      </w:r>
      <w:r w:rsidRPr="0087441D">
        <w:rPr>
          <w:rFonts w:hAnsi="標楷體" w:hint="eastAsia"/>
          <w:bCs/>
        </w:rPr>
        <w:t>人選來的，才要提出這個法則來篩選。</w:t>
      </w:r>
    </w:p>
  </w:footnote>
  <w:footnote w:id="33">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陳運財教授認為：</w:t>
      </w:r>
      <w:r w:rsidRPr="0087441D">
        <w:rPr>
          <w:rFonts w:hAnsi="標楷體" w:hint="eastAsia"/>
          <w:bCs/>
        </w:rPr>
        <w:t>就科學證據之證據能力而言，其性質究係屬於自然關連性問題抑或屬於法律關連性問題，於學理上雖仍有爭議，惟目前多數的見解認為，科學證據於類型上一般尚</w:t>
      </w:r>
      <w:proofErr w:type="gramStart"/>
      <w:r w:rsidRPr="0087441D">
        <w:rPr>
          <w:rFonts w:hAnsi="標楷體" w:hint="eastAsia"/>
          <w:bCs/>
        </w:rPr>
        <w:t>難謂會有</w:t>
      </w:r>
      <w:proofErr w:type="gramEnd"/>
      <w:r w:rsidRPr="0087441D">
        <w:rPr>
          <w:rFonts w:hAnsi="標楷體" w:hint="eastAsia"/>
          <w:bCs/>
        </w:rPr>
        <w:t>產生不當偏見而致使判斷錯誤之危險，故並非屬於法律關連性的問題，而應置於有無自然關連性之範疇內予以討論即可，</w:t>
      </w:r>
      <w:proofErr w:type="gramStart"/>
      <w:r w:rsidRPr="0087441D">
        <w:rPr>
          <w:rFonts w:hAnsi="標楷體" w:hint="eastAsia"/>
          <w:bCs/>
        </w:rPr>
        <w:t>準</w:t>
      </w:r>
      <w:proofErr w:type="gramEnd"/>
      <w:r w:rsidRPr="0087441D">
        <w:rPr>
          <w:rFonts w:hAnsi="標楷體" w:hint="eastAsia"/>
          <w:bCs/>
        </w:rPr>
        <w:t>此，科學證據是否容許提出於法庭作為證據使用，應視其是否具有影響判斷</w:t>
      </w:r>
      <w:proofErr w:type="gramStart"/>
      <w:r w:rsidRPr="0087441D">
        <w:rPr>
          <w:rFonts w:hAnsi="標楷體" w:hint="eastAsia"/>
          <w:bCs/>
        </w:rPr>
        <w:t>待證事實存否</w:t>
      </w:r>
      <w:proofErr w:type="gramEnd"/>
      <w:r w:rsidRPr="0087441D">
        <w:rPr>
          <w:rFonts w:hAnsi="標楷體" w:hint="eastAsia"/>
          <w:bCs/>
        </w:rPr>
        <w:t>之最低限度的證明力而定。進一步言，科學證據要被承認具有自然的關連性，其前提必須是：（</w:t>
      </w:r>
      <w:r w:rsidRPr="0087441D">
        <w:rPr>
          <w:rFonts w:hAnsi="標楷體"/>
          <w:bCs/>
        </w:rPr>
        <w:t>1</w:t>
      </w:r>
      <w:r w:rsidRPr="0087441D">
        <w:rPr>
          <w:rFonts w:hAnsi="標楷體" w:hint="eastAsia"/>
          <w:bCs/>
        </w:rPr>
        <w:t>）作為檢查之依據所憑之科學原理、法則必須確實；（</w:t>
      </w:r>
      <w:r w:rsidRPr="0087441D">
        <w:rPr>
          <w:rFonts w:hAnsi="標楷體"/>
          <w:bCs/>
        </w:rPr>
        <w:t>2</w:t>
      </w:r>
      <w:r w:rsidRPr="0087441D">
        <w:rPr>
          <w:rFonts w:hAnsi="標楷體" w:hint="eastAsia"/>
          <w:bCs/>
        </w:rPr>
        <w:t>）所使用之檢查的方法、技術必須基於科學之原理而認為妥當者，始足當之。</w:t>
      </w:r>
      <w:r w:rsidRPr="0087441D">
        <w:rPr>
          <w:rFonts w:hAnsi="標楷體" w:hint="eastAsia"/>
        </w:rPr>
        <w:t>關於上述兩個前提要件的判斷，係採取嚴格之「</w:t>
      </w:r>
      <w:proofErr w:type="gramStart"/>
      <w:r w:rsidRPr="0087441D">
        <w:rPr>
          <w:rFonts w:hAnsi="標楷體" w:hint="eastAsia"/>
        </w:rPr>
        <w:t>弗萊</w:t>
      </w:r>
      <w:proofErr w:type="gramEnd"/>
      <w:r w:rsidRPr="0087441D">
        <w:rPr>
          <w:rFonts w:hAnsi="標楷體" w:hint="eastAsia"/>
        </w:rPr>
        <w:t>基準（</w:t>
      </w:r>
      <w:r w:rsidRPr="0087441D">
        <w:rPr>
          <w:rFonts w:hAnsi="標楷體"/>
          <w:i/>
        </w:rPr>
        <w:t>Frye</w:t>
      </w:r>
      <w:r w:rsidRPr="0087441D">
        <w:rPr>
          <w:rFonts w:hAnsi="標楷體"/>
        </w:rPr>
        <w:t xml:space="preserve"> Standard</w:t>
      </w:r>
      <w:r w:rsidRPr="0087441D">
        <w:rPr>
          <w:rFonts w:hAnsi="標楷體" w:hint="eastAsia"/>
        </w:rPr>
        <w:t>）」，要求新型之科學證據所依據之理論及檢查之技術必須在其所屬之專門領域中已獲得一般之承認（</w:t>
      </w:r>
      <w:r w:rsidRPr="0087441D">
        <w:rPr>
          <w:rFonts w:hAnsi="標楷體"/>
        </w:rPr>
        <w:t>general acceptance</w:t>
      </w:r>
      <w:r w:rsidRPr="0087441D">
        <w:rPr>
          <w:rFonts w:hAnsi="標楷體" w:hint="eastAsia"/>
        </w:rPr>
        <w:t>）？或是從科學知識的觀點來檢驗專家意見所採取的原理或技術是否相關及可信的「道伯基準（</w:t>
      </w:r>
      <w:r w:rsidRPr="0087441D">
        <w:rPr>
          <w:rFonts w:hAnsi="標楷體"/>
          <w:i/>
          <w:iCs/>
        </w:rPr>
        <w:t>Daubert</w:t>
      </w:r>
      <w:r w:rsidRPr="0087441D">
        <w:rPr>
          <w:rFonts w:hAnsi="標楷體" w:hint="eastAsia"/>
          <w:i/>
          <w:iCs/>
        </w:rPr>
        <w:t xml:space="preserve"> </w:t>
      </w:r>
      <w:r w:rsidRPr="0087441D">
        <w:rPr>
          <w:rFonts w:hAnsi="標楷體" w:hint="eastAsia"/>
          <w:iCs/>
        </w:rPr>
        <w:t>S</w:t>
      </w:r>
      <w:r w:rsidRPr="0087441D">
        <w:rPr>
          <w:rFonts w:hAnsi="標楷體"/>
        </w:rPr>
        <w:t>tandard</w:t>
      </w:r>
      <w:r w:rsidRPr="0087441D">
        <w:rPr>
          <w:rFonts w:hAnsi="標楷體" w:hint="eastAsia"/>
        </w:rPr>
        <w:t>）」？因我國目前刑事審判仍處於職權調查過渡至當事人進行的混合型態，且刑事</w:t>
      </w:r>
      <w:proofErr w:type="gramStart"/>
      <w:r w:rsidRPr="0087441D">
        <w:rPr>
          <w:rFonts w:hAnsi="標楷體" w:hint="eastAsia"/>
        </w:rPr>
        <w:t>鑑</w:t>
      </w:r>
      <w:proofErr w:type="gramEnd"/>
      <w:r w:rsidRPr="0087441D">
        <w:rPr>
          <w:rFonts w:hAnsi="標楷體" w:hint="eastAsia"/>
        </w:rPr>
        <w:t>識科學尚未發達，且參酌比較美國職</w:t>
      </w:r>
      <w:proofErr w:type="gramStart"/>
      <w:r w:rsidRPr="0087441D">
        <w:rPr>
          <w:rFonts w:hAnsi="標楷體" w:hint="eastAsia"/>
        </w:rPr>
        <w:t>邦</w:t>
      </w:r>
      <w:proofErr w:type="gramEnd"/>
      <w:r w:rsidRPr="0087441D">
        <w:rPr>
          <w:rFonts w:hAnsi="標楷體" w:hint="eastAsia"/>
        </w:rPr>
        <w:t>證據規則702條之規定，認為宜由法院在個案中把關（</w:t>
      </w:r>
      <w:r w:rsidRPr="0087441D">
        <w:rPr>
          <w:rFonts w:hAnsi="標楷體"/>
        </w:rPr>
        <w:t>gatekeeper</w:t>
      </w:r>
      <w:r w:rsidRPr="0087441D">
        <w:rPr>
          <w:rFonts w:hAnsi="標楷體" w:hint="eastAsia"/>
        </w:rPr>
        <w:t>），且便於當事人就科學原理或技術之可信性進行攻擊防禦，故採取道伯基準。</w:t>
      </w:r>
    </w:p>
  </w:footnote>
  <w:footnote w:id="34">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林輝煌主任檢察官認為：</w:t>
      </w:r>
      <w:r w:rsidRPr="0087441D">
        <w:rPr>
          <w:rFonts w:hAnsi="標楷體" w:hint="eastAsia"/>
          <w:bCs/>
        </w:rPr>
        <w:t>有關鑑定意見或報告之證據能力，在司法實務運作或</w:t>
      </w:r>
      <w:proofErr w:type="gramStart"/>
      <w:r w:rsidRPr="0087441D">
        <w:rPr>
          <w:rFonts w:hAnsi="標楷體" w:hint="eastAsia"/>
          <w:bCs/>
        </w:rPr>
        <w:t>修法精進</w:t>
      </w:r>
      <w:proofErr w:type="gramEnd"/>
      <w:r w:rsidRPr="0087441D">
        <w:rPr>
          <w:rFonts w:hAnsi="標楷體" w:hint="eastAsia"/>
        </w:rPr>
        <w:t>之道，可</w:t>
      </w:r>
      <w:r w:rsidRPr="0087441D">
        <w:rPr>
          <w:rFonts w:hAnsi="標楷體" w:hint="eastAsia"/>
          <w:bCs/>
        </w:rPr>
        <w:t>效</w:t>
      </w:r>
      <w:r w:rsidRPr="0087441D">
        <w:rPr>
          <w:rFonts w:hAnsi="標楷體" w:hint="eastAsia"/>
        </w:rPr>
        <w:t>法</w:t>
      </w:r>
      <w:r w:rsidRPr="0087441D">
        <w:rPr>
          <w:rFonts w:hAnsi="標楷體" w:hint="eastAsia"/>
          <w:bCs/>
        </w:rPr>
        <w:t>美國實務作法，亦即</w:t>
      </w:r>
      <w:r w:rsidRPr="0087441D">
        <w:rPr>
          <w:rFonts w:hAnsi="標楷體" w:hint="eastAsia"/>
        </w:rPr>
        <w:t>，除</w:t>
      </w:r>
      <w:r w:rsidRPr="0087441D">
        <w:rPr>
          <w:rFonts w:hAnsi="標楷體" w:hint="eastAsia"/>
          <w:bCs/>
        </w:rPr>
        <w:t>得以違反證</w:t>
      </w:r>
      <w:r w:rsidRPr="0087441D">
        <w:rPr>
          <w:rFonts w:hAnsi="標楷體" w:hint="eastAsia"/>
        </w:rPr>
        <w:t>據</w:t>
      </w:r>
      <w:r w:rsidRPr="0087441D">
        <w:rPr>
          <w:rFonts w:hAnsi="標楷體" w:hint="eastAsia"/>
          <w:bCs/>
        </w:rPr>
        <w:t>法則、Daubrert 及Kumho 等判例所揭示之法則，認定鑑定人之鑑定意見欠缺上</w:t>
      </w:r>
      <w:r w:rsidRPr="0087441D">
        <w:rPr>
          <w:rFonts w:hAnsi="標楷體" w:hint="eastAsia"/>
        </w:rPr>
        <w:t>開</w:t>
      </w:r>
      <w:r w:rsidRPr="0087441D">
        <w:rPr>
          <w:rFonts w:hAnsi="標楷體" w:hint="eastAsia"/>
          <w:bCs/>
        </w:rPr>
        <w:t>法則所要求的可信性為由，排除該鑑定意見之證據能力(最常見的事例有：專家證人所陳述之事項非獨立於訴訟所作成之研究所得、專家證人係從一個被接受的前提卻導出一個無據結論、專家證人對於顯然有其他替代解釋無法明確說明、專家證人未用與其平常從事該專業工作相同的注意力做鑑定、專家證人自稱的專業是否被認為足以導出可以信賴的鑑定結果)外，美國司法實尚增添以下列排除鑑定意見之</w:t>
      </w:r>
      <w:r w:rsidRPr="0087441D">
        <w:rPr>
          <w:rFonts w:hAnsi="標楷體" w:hint="eastAsia"/>
        </w:rPr>
        <w:t>證據能力</w:t>
      </w:r>
      <w:r w:rsidRPr="0087441D">
        <w:rPr>
          <w:rFonts w:hAnsi="標楷體" w:hint="eastAsia"/>
          <w:bCs/>
        </w:rPr>
        <w:t>之事由</w:t>
      </w:r>
      <w:r w:rsidRPr="0087441D">
        <w:rPr>
          <w:rFonts w:hAnsi="標楷體" w:hint="eastAsia"/>
        </w:rPr>
        <w:t>：1.</w:t>
      </w:r>
      <w:r w:rsidRPr="0087441D">
        <w:rPr>
          <w:rFonts w:hAnsi="標楷體" w:hint="eastAsia"/>
          <w:bCs/>
        </w:rPr>
        <w:t xml:space="preserve">使用無基礎可據之統計所為之鑑定意見或報告(the use of </w:t>
      </w:r>
      <w:r w:rsidRPr="0087441D">
        <w:rPr>
          <w:rFonts w:hAnsi="標楷體"/>
          <w:bCs/>
        </w:rPr>
        <w:t>unfounded statistics)</w:t>
      </w:r>
      <w:r w:rsidRPr="0087441D">
        <w:rPr>
          <w:rFonts w:hAnsi="標楷體" w:hint="eastAsia"/>
          <w:bCs/>
        </w:rPr>
        <w:t>；</w:t>
      </w:r>
      <w:r w:rsidRPr="0087441D">
        <w:rPr>
          <w:rFonts w:hAnsi="標楷體" w:hint="eastAsia"/>
        </w:rPr>
        <w:t>2.</w:t>
      </w:r>
      <w:r w:rsidRPr="0087441D">
        <w:rPr>
          <w:rFonts w:hAnsi="標楷體" w:hint="eastAsia"/>
          <w:bCs/>
        </w:rPr>
        <w:t>鑑定人使用錯誤比率及不具確定性資料作為作成其鑑定意見或報告之依據(error rates and certainties by the expert)；</w:t>
      </w:r>
      <w:r w:rsidRPr="0087441D">
        <w:rPr>
          <w:rFonts w:hAnsi="標楷體" w:hint="eastAsia"/>
        </w:rPr>
        <w:t>3.</w:t>
      </w:r>
      <w:r w:rsidRPr="0087441D">
        <w:rPr>
          <w:rFonts w:hAnsi="標楷體" w:hint="eastAsia"/>
          <w:bCs/>
        </w:rPr>
        <w:t>未能證實其使用之分析程序的正確或確實</w:t>
      </w:r>
      <w:proofErr w:type="gramStart"/>
      <w:r w:rsidRPr="0087441D">
        <w:rPr>
          <w:rFonts w:hAnsi="標楷體" w:hint="eastAsia"/>
          <w:bCs/>
        </w:rPr>
        <w:t>遵循標車程序</w:t>
      </w:r>
      <w:proofErr w:type="gramEnd"/>
      <w:r w:rsidRPr="0087441D">
        <w:rPr>
          <w:rFonts w:hAnsi="標楷體" w:hint="eastAsia"/>
          <w:bCs/>
        </w:rPr>
        <w:t>作成之鑑定意見(a failure to document the analytical process or follow</w:t>
      </w:r>
      <w:r w:rsidRPr="0087441D">
        <w:rPr>
          <w:rFonts w:hAnsi="標楷體"/>
          <w:bCs/>
        </w:rPr>
        <w:t xml:space="preserve"> standardized procedures)</w:t>
      </w:r>
      <w:r w:rsidRPr="0087441D">
        <w:rPr>
          <w:rFonts w:hAnsi="標楷體" w:hint="eastAsia"/>
          <w:bCs/>
        </w:rPr>
        <w:t>；</w:t>
      </w:r>
      <w:r w:rsidRPr="0087441D">
        <w:rPr>
          <w:rFonts w:hAnsi="標楷體" w:hint="eastAsia"/>
        </w:rPr>
        <w:t>4.</w:t>
      </w:r>
      <w:r w:rsidRPr="0087441D">
        <w:rPr>
          <w:rFonts w:hAnsi="標楷體" w:hint="eastAsia"/>
          <w:bCs/>
        </w:rPr>
        <w:t>存有觀察偏見之鑑定意見或報告(the existence of observer bias)；</w:t>
      </w:r>
      <w:r w:rsidRPr="0087441D">
        <w:rPr>
          <w:rFonts w:hAnsi="標楷體" w:hint="eastAsia"/>
        </w:rPr>
        <w:t>5.</w:t>
      </w:r>
      <w:r w:rsidRPr="0087441D">
        <w:rPr>
          <w:rFonts w:hAnsi="標楷體" w:hint="eastAsia"/>
          <w:bCs/>
        </w:rPr>
        <w:t>無法明確解說達成其鑑定結論所使用之方法( an inability to</w:t>
      </w:r>
      <w:r w:rsidRPr="0087441D">
        <w:rPr>
          <w:rFonts w:hAnsi="標楷體"/>
          <w:bCs/>
        </w:rPr>
        <w:t xml:space="preserve"> clearly explain the methodology used to derive results)</w:t>
      </w:r>
    </w:p>
  </w:footnote>
  <w:footnote w:id="35">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又見</w:t>
      </w:r>
      <w:r w:rsidRPr="00425F81">
        <w:rPr>
          <w:rFonts w:hAnsi="標楷體" w:hint="eastAsia"/>
          <w:color w:val="262626" w:themeColor="text1" w:themeTint="D9"/>
        </w:rPr>
        <w:t>最高法院77年刑事庭第11次決議稱</w:t>
      </w:r>
      <w:r w:rsidRPr="0087441D">
        <w:rPr>
          <w:rFonts w:hAnsi="標楷體" w:hint="eastAsia"/>
        </w:rPr>
        <w:t>，證據與事實間必須具有關連性，即是否適合犯罪事實之認定，不生關連性之證據</w:t>
      </w:r>
      <w:bookmarkStart w:id="5" w:name="_GoBack"/>
      <w:bookmarkEnd w:id="5"/>
      <w:r w:rsidRPr="0087441D">
        <w:rPr>
          <w:rFonts w:hAnsi="標楷體" w:hint="eastAsia"/>
        </w:rPr>
        <w:t>，欠缺適合性，資為認定事實之基礎，有違背論理法則。</w:t>
      </w:r>
    </w:p>
  </w:footnote>
  <w:footnote w:id="36">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參見最高法院</w:t>
      </w:r>
      <w:proofErr w:type="gramStart"/>
      <w:r w:rsidRPr="0087441D">
        <w:rPr>
          <w:rFonts w:hAnsi="標楷體" w:hint="eastAsia"/>
        </w:rPr>
        <w:t>100</w:t>
      </w:r>
      <w:proofErr w:type="gramEnd"/>
      <w:r w:rsidRPr="0087441D">
        <w:rPr>
          <w:rFonts w:hAnsi="標楷體" w:hint="eastAsia"/>
        </w:rPr>
        <w:t>年度台上字第2325號刑事判決、最高法院91年台上字第 7376 號刑事判決均認定鑑定應具有科學性。</w:t>
      </w:r>
    </w:p>
  </w:footnote>
  <w:footnote w:id="37">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在邏輯上P是Q的必要條件，代表「如果P是假，則Q是假」。</w:t>
      </w:r>
    </w:p>
  </w:footnote>
  <w:footnote w:id="38">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參考</w:t>
      </w:r>
      <w:proofErr w:type="gramStart"/>
      <w:r w:rsidRPr="0087441D">
        <w:rPr>
          <w:rFonts w:hAnsi="標楷體" w:hint="eastAsia"/>
        </w:rPr>
        <w:t>維基百</w:t>
      </w:r>
      <w:proofErr w:type="gramEnd"/>
      <w:r w:rsidRPr="0087441D">
        <w:rPr>
          <w:rFonts w:hAnsi="標楷體" w:hint="eastAsia"/>
        </w:rPr>
        <w:t>科科學項目。</w:t>
      </w:r>
    </w:p>
  </w:footnote>
  <w:footnote w:id="39">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謝幸媚教授則認為</w:t>
      </w:r>
      <w:r w:rsidRPr="0087441D">
        <w:rPr>
          <w:rFonts w:hAnsi="標楷體" w:hint="eastAsia"/>
          <w:bCs/>
        </w:rPr>
        <w:t>以自然科學來說，信度較接近於精密度，</w:t>
      </w:r>
      <w:proofErr w:type="gramStart"/>
      <w:r w:rsidRPr="0087441D">
        <w:rPr>
          <w:rFonts w:hAnsi="標楷體" w:hint="eastAsia"/>
          <w:bCs/>
        </w:rPr>
        <w:t>效度較</w:t>
      </w:r>
      <w:proofErr w:type="gramEnd"/>
      <w:r w:rsidRPr="0087441D">
        <w:rPr>
          <w:rFonts w:hAnsi="標楷體" w:hint="eastAsia"/>
          <w:bCs/>
        </w:rPr>
        <w:t>接近於準確度。舉精液鑑定為例，有各種不同的鑑定方法，實務單位在使用這些方法前，都會參考相關文獻或國際的作法，或是採用廠商評估過的方法，這些方法在使用上都有經過某種程度</w:t>
      </w:r>
      <w:proofErr w:type="gramStart"/>
      <w:r w:rsidRPr="0087441D">
        <w:rPr>
          <w:rFonts w:hAnsi="標楷體" w:hint="eastAsia"/>
          <w:bCs/>
        </w:rPr>
        <w:t>的確效，</w:t>
      </w:r>
      <w:proofErr w:type="gramEnd"/>
      <w:r w:rsidRPr="0087441D">
        <w:rPr>
          <w:rFonts w:hAnsi="標楷體" w:hint="eastAsia"/>
          <w:bCs/>
        </w:rPr>
        <w:t>只不過早期方法進行確效的詳細程度，</w:t>
      </w:r>
      <w:proofErr w:type="gramStart"/>
      <w:r w:rsidRPr="0087441D">
        <w:rPr>
          <w:rFonts w:hAnsi="標楷體" w:hint="eastAsia"/>
          <w:bCs/>
        </w:rPr>
        <w:t>不</w:t>
      </w:r>
      <w:proofErr w:type="gramEnd"/>
      <w:r w:rsidRPr="0087441D">
        <w:rPr>
          <w:rFonts w:hAnsi="標楷體" w:hint="eastAsia"/>
          <w:bCs/>
        </w:rPr>
        <w:t>若現今方法要求嚴謹。理論上，不同實驗室用同一方法進行鑑定，鑑定結果應該相同，但如果證物</w:t>
      </w:r>
      <w:proofErr w:type="gramStart"/>
      <w:r w:rsidRPr="0087441D">
        <w:rPr>
          <w:rFonts w:hAnsi="標楷體" w:hint="eastAsia"/>
          <w:bCs/>
        </w:rPr>
        <w:t>採樣為</w:t>
      </w:r>
      <w:proofErr w:type="gramEnd"/>
      <w:r w:rsidRPr="0087441D">
        <w:rPr>
          <w:rFonts w:hAnsi="標楷體" w:hint="eastAsia"/>
          <w:bCs/>
        </w:rPr>
        <w:t>不一樣的區塊時，鑑定結果有差異是有可能的，因為刑案證物檢體的分布是隨機的，不一定是很平均的。另使用不同方法進行精液鑑定，理論上鑑定結果應該也會相同，但是不同方法可能會有靈敏度差異的情形，如一</w:t>
      </w:r>
      <w:proofErr w:type="gramStart"/>
      <w:r w:rsidRPr="0087441D">
        <w:rPr>
          <w:rFonts w:hAnsi="標楷體" w:hint="eastAsia"/>
          <w:bCs/>
        </w:rPr>
        <w:t>個</w:t>
      </w:r>
      <w:proofErr w:type="gramEnd"/>
      <w:r w:rsidRPr="0087441D">
        <w:rPr>
          <w:rFonts w:hAnsi="標楷體" w:hint="eastAsia"/>
          <w:bCs/>
        </w:rPr>
        <w:t>方法靈敏度比較好，可能只需要少量的檢體就能鑑定出來是精液，又另一個方法靈敏度比較差，可能因為檢體量的不足，就可能檢驗不出來是精液。另外也有個體差異的情形，例如</w:t>
      </w:r>
      <w:proofErr w:type="gramStart"/>
      <w:r w:rsidRPr="0087441D">
        <w:rPr>
          <w:rFonts w:hAnsi="標楷體" w:hint="eastAsia"/>
          <w:bCs/>
        </w:rPr>
        <w:t>無精症者</w:t>
      </w:r>
      <w:proofErr w:type="gramEnd"/>
      <w:r w:rsidRPr="0087441D">
        <w:rPr>
          <w:rFonts w:hAnsi="標楷體" w:hint="eastAsia"/>
          <w:bCs/>
        </w:rPr>
        <w:t>的精液內沒有精蟲，所以必須檢測精液中的其他物質來進行精液鑑定。</w:t>
      </w:r>
    </w:p>
  </w:footnote>
  <w:footnote w:id="40">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proofErr w:type="gramStart"/>
      <w:r w:rsidRPr="0087441D">
        <w:rPr>
          <w:rFonts w:hAnsi="標楷體" w:hint="eastAsia"/>
        </w:rPr>
        <w:t>陳樸生</w:t>
      </w:r>
      <w:proofErr w:type="gramEnd"/>
      <w:r w:rsidRPr="0087441D">
        <w:rPr>
          <w:rFonts w:hAnsi="標楷體" w:hint="eastAsia"/>
        </w:rPr>
        <w:t>，刑事訴訟法實務（重訂六版），81年4月，頁223-224。</w:t>
      </w:r>
    </w:p>
  </w:footnote>
  <w:footnote w:id="41">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可能較接近道伯</w:t>
      </w:r>
      <w:proofErr w:type="gramStart"/>
      <w:r w:rsidRPr="0087441D">
        <w:rPr>
          <w:rFonts w:hAnsi="標楷體" w:hint="eastAsia"/>
        </w:rPr>
        <w:t>特</w:t>
      </w:r>
      <w:proofErr w:type="gramEnd"/>
      <w:r w:rsidRPr="0087441D">
        <w:rPr>
          <w:rFonts w:hAnsi="標楷體" w:hint="eastAsia"/>
        </w:rPr>
        <w:t>法則。</w:t>
      </w:r>
    </w:p>
  </w:footnote>
  <w:footnote w:id="42">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最高法院97年台上字第4697號刑事判決意旨：「鑑定，係由選任之鑑定人或囑託之鑑定機構，除憑藉其特別知識經驗，就特定物（書）證加以</w:t>
      </w:r>
      <w:proofErr w:type="gramStart"/>
      <w:r w:rsidRPr="0087441D">
        <w:rPr>
          <w:rFonts w:hAnsi="標楷體" w:hint="eastAsia"/>
        </w:rPr>
        <w:t>鑑</w:t>
      </w:r>
      <w:proofErr w:type="gramEnd"/>
      <w:r w:rsidRPr="0087441D">
        <w:rPr>
          <w:rFonts w:hAnsi="標楷體" w:hint="eastAsia"/>
        </w:rPr>
        <w:t>（檢）</w:t>
      </w:r>
      <w:proofErr w:type="gramStart"/>
      <w:r w:rsidRPr="0087441D">
        <w:rPr>
          <w:rFonts w:hAnsi="標楷體" w:hint="eastAsia"/>
        </w:rPr>
        <w:t>驗外</w:t>
      </w:r>
      <w:proofErr w:type="gramEnd"/>
      <w:r w:rsidRPr="0087441D">
        <w:rPr>
          <w:rFonts w:hAnsi="標楷體" w:hint="eastAsia"/>
        </w:rPr>
        <w:t>，並得就無關親身經歷之待</w:t>
      </w:r>
      <w:proofErr w:type="gramStart"/>
      <w:r w:rsidRPr="0087441D">
        <w:rPr>
          <w:rFonts w:hAnsi="標楷體" w:hint="eastAsia"/>
        </w:rPr>
        <w:t>鑑</w:t>
      </w:r>
      <w:proofErr w:type="gramEnd"/>
      <w:r w:rsidRPr="0087441D">
        <w:rPr>
          <w:rFonts w:hAnsi="標楷體" w:hint="eastAsia"/>
        </w:rPr>
        <w:t>事項，僅依憑其特別知識經驗（包括技術、訓練、教育、能力等專業資格）而陳述或報告其專業意見；人證，則由證人憑據其感官知覺之親身經歷，陳述其所見所聞之過往事實。前者，係就某特定事物依法陳述其專業意見，以供法院審判之參酌依據，具有可替代性；後者，因係陳述自己親身見聞之過往事實，故無替代性。</w:t>
      </w:r>
      <w:r w:rsidRPr="0087441D">
        <w:rPr>
          <w:rFonts w:hAnsi="標楷體" w:hint="eastAsia"/>
          <w:b/>
        </w:rPr>
        <w:t>二者雖同屬人的證據方法，但仍有本質上之差異。而英美</w:t>
      </w:r>
      <w:proofErr w:type="gramStart"/>
      <w:r w:rsidRPr="0087441D">
        <w:rPr>
          <w:rFonts w:hAnsi="標楷體" w:hint="eastAsia"/>
          <w:b/>
        </w:rPr>
        <w:t>法上憑其</w:t>
      </w:r>
      <w:proofErr w:type="gramEnd"/>
      <w:r w:rsidRPr="0087441D">
        <w:rPr>
          <w:rFonts w:hAnsi="標楷體" w:hint="eastAsia"/>
          <w:b/>
        </w:rPr>
        <w:t>專業知識、技術等專家資格</w:t>
      </w:r>
      <w:proofErr w:type="gramStart"/>
      <w:r w:rsidRPr="0087441D">
        <w:rPr>
          <w:rFonts w:hAnsi="標楷體" w:hint="eastAsia"/>
          <w:b/>
        </w:rPr>
        <w:t>就待證事項</w:t>
      </w:r>
      <w:proofErr w:type="gramEnd"/>
      <w:r w:rsidRPr="0087441D">
        <w:rPr>
          <w:rFonts w:hAnsi="標楷體" w:hint="eastAsia"/>
          <w:b/>
        </w:rPr>
        <w:t>陳述證人意見之專家證人，則為我國刑事訴訟法所不</w:t>
      </w:r>
      <w:proofErr w:type="gramStart"/>
      <w:r w:rsidRPr="0087441D">
        <w:rPr>
          <w:rFonts w:hAnsi="標楷體" w:hint="eastAsia"/>
          <w:b/>
        </w:rPr>
        <w:t>採</w:t>
      </w:r>
      <w:proofErr w:type="gramEnd"/>
      <w:r w:rsidRPr="0087441D">
        <w:rPr>
          <w:rFonts w:hAnsi="標楷體" w:hint="eastAsia"/>
          <w:b/>
        </w:rPr>
        <w:t>，析其依憑特別知識經驗而陳述或報告其專業意見之本質以觀，亦屬我國刑事訴訟法上鑑定之範疇，自應適用鑑定之規定。</w:t>
      </w:r>
      <w:r w:rsidRPr="0087441D">
        <w:rPr>
          <w:rFonts w:ascii="新細明體" w:eastAsia="新細明體" w:hAnsi="新細明體" w:hint="eastAsia"/>
          <w:b/>
        </w:rPr>
        <w:t>（</w:t>
      </w:r>
      <w:r w:rsidRPr="0087441D">
        <w:rPr>
          <w:rFonts w:hAnsi="標楷體" w:hint="eastAsia"/>
          <w:b/>
        </w:rPr>
        <w:t>下略）</w:t>
      </w:r>
      <w:r w:rsidRPr="0087441D">
        <w:rPr>
          <w:rFonts w:hAnsi="標楷體" w:hint="eastAsia"/>
        </w:rPr>
        <w:t>」</w:t>
      </w:r>
    </w:p>
    <w:p w:rsidR="00156B94" w:rsidRPr="0087441D" w:rsidRDefault="00156B94" w:rsidP="005573BF">
      <w:pPr>
        <w:pStyle w:val="afc"/>
        <w:ind w:leftChars="65" w:left="221"/>
        <w:rPr>
          <w:rFonts w:hAnsi="標楷體"/>
        </w:rPr>
      </w:pPr>
      <w:r w:rsidRPr="0087441D">
        <w:rPr>
          <w:rFonts w:hAnsi="標楷體" w:hint="eastAsia"/>
        </w:rPr>
        <w:t>最高法院97年度台上字第6755號刑事判決意旨：「刑事訴訟法第158條之3明定『證人、鑑定人依法應具結而未具結者，其證言或鑑定意見，不得作為證據。』所</w:t>
      </w:r>
      <w:r w:rsidRPr="0087441D">
        <w:rPr>
          <w:rFonts w:hAnsi="標楷體" w:hint="eastAsia"/>
          <w:b/>
        </w:rPr>
        <w:t>謂鑑定，係由法院或檢察官選任之鑑定人或囑託之鑑定機構，除憑藉其特別知識經驗，就特定物（書）證加以</w:t>
      </w:r>
      <w:proofErr w:type="gramStart"/>
      <w:r w:rsidRPr="0087441D">
        <w:rPr>
          <w:rFonts w:hAnsi="標楷體" w:hint="eastAsia"/>
          <w:b/>
        </w:rPr>
        <w:t>鑑</w:t>
      </w:r>
      <w:proofErr w:type="gramEnd"/>
      <w:r w:rsidRPr="0087441D">
        <w:rPr>
          <w:rFonts w:hAnsi="標楷體" w:hint="eastAsia"/>
          <w:b/>
        </w:rPr>
        <w:t>（檢）</w:t>
      </w:r>
      <w:proofErr w:type="gramStart"/>
      <w:r w:rsidRPr="0087441D">
        <w:rPr>
          <w:rFonts w:hAnsi="標楷體" w:hint="eastAsia"/>
          <w:b/>
        </w:rPr>
        <w:t>驗外</w:t>
      </w:r>
      <w:proofErr w:type="gramEnd"/>
      <w:r w:rsidRPr="0087441D">
        <w:rPr>
          <w:rFonts w:hAnsi="標楷體" w:hint="eastAsia"/>
          <w:b/>
        </w:rPr>
        <w:t>，並得就無關親身經歷之待</w:t>
      </w:r>
      <w:proofErr w:type="gramStart"/>
      <w:r w:rsidRPr="0087441D">
        <w:rPr>
          <w:rFonts w:hAnsi="標楷體" w:hint="eastAsia"/>
          <w:b/>
        </w:rPr>
        <w:t>鑑</w:t>
      </w:r>
      <w:proofErr w:type="gramEnd"/>
      <w:r w:rsidRPr="0087441D">
        <w:rPr>
          <w:rFonts w:hAnsi="標楷體" w:hint="eastAsia"/>
          <w:b/>
        </w:rPr>
        <w:t>事項，僅依憑其特別知識經驗而陳述或報告其專業意見；人證，則由證人憑據其感官知覺之親身經歷，陳述其所見所聞之過往事實。前者，係就某特定事物依法陳述其專業意見，以供法院審判之參酌依據，具有可替代性；後者，因係陳述自己親身見聞之過往事實，故無替代性。二者雖同屬人的證據方法，但仍有本質上之差異。而英美</w:t>
      </w:r>
      <w:proofErr w:type="gramStart"/>
      <w:r w:rsidRPr="0087441D">
        <w:rPr>
          <w:rFonts w:hAnsi="標楷體" w:hint="eastAsia"/>
          <w:b/>
        </w:rPr>
        <w:t>法上憑其</w:t>
      </w:r>
      <w:proofErr w:type="gramEnd"/>
      <w:r w:rsidRPr="0087441D">
        <w:rPr>
          <w:rFonts w:hAnsi="標楷體" w:hint="eastAsia"/>
          <w:b/>
        </w:rPr>
        <w:t>專業知識、技術等專家資格</w:t>
      </w:r>
      <w:proofErr w:type="gramStart"/>
      <w:r w:rsidRPr="0087441D">
        <w:rPr>
          <w:rFonts w:hAnsi="標楷體" w:hint="eastAsia"/>
          <w:b/>
        </w:rPr>
        <w:t>就待證事項</w:t>
      </w:r>
      <w:proofErr w:type="gramEnd"/>
      <w:r w:rsidRPr="0087441D">
        <w:rPr>
          <w:rFonts w:hAnsi="標楷體" w:hint="eastAsia"/>
          <w:b/>
        </w:rPr>
        <w:t>陳述證人意見之專家證人，則為我國刑事訴訟法所不</w:t>
      </w:r>
      <w:proofErr w:type="gramStart"/>
      <w:r w:rsidRPr="0087441D">
        <w:rPr>
          <w:rFonts w:hAnsi="標楷體" w:hint="eastAsia"/>
          <w:b/>
        </w:rPr>
        <w:t>採</w:t>
      </w:r>
      <w:proofErr w:type="gramEnd"/>
      <w:r w:rsidRPr="0087441D">
        <w:rPr>
          <w:rFonts w:hAnsi="標楷體" w:hint="eastAsia"/>
          <w:b/>
        </w:rPr>
        <w:t>，析其依憑特別知識經驗而陳述或報告其專業意見之本質以觀，亦屬我國刑事訴訟法上鑑定之範疇，自應適用鑑定之規定。</w:t>
      </w:r>
      <w:r w:rsidRPr="0087441D">
        <w:rPr>
          <w:rFonts w:ascii="新細明體" w:eastAsia="新細明體" w:hAnsi="新細明體" w:hint="eastAsia"/>
          <w:b/>
        </w:rPr>
        <w:t>（</w:t>
      </w:r>
      <w:r w:rsidRPr="0087441D">
        <w:rPr>
          <w:rFonts w:hAnsi="標楷體" w:hint="eastAsia"/>
          <w:b/>
        </w:rPr>
        <w:t>下略）</w:t>
      </w:r>
      <w:r w:rsidRPr="0087441D">
        <w:rPr>
          <w:rFonts w:hAnsi="標楷體" w:hint="eastAsia"/>
        </w:rPr>
        <w:t>」</w:t>
      </w:r>
    </w:p>
    <w:p w:rsidR="00156B94" w:rsidRPr="0087441D" w:rsidRDefault="00156B94" w:rsidP="005573BF">
      <w:pPr>
        <w:pStyle w:val="afc"/>
        <w:ind w:leftChars="65" w:left="221"/>
        <w:rPr>
          <w:rFonts w:hAnsi="標楷體"/>
        </w:rPr>
      </w:pPr>
      <w:r w:rsidRPr="0087441D">
        <w:rPr>
          <w:rFonts w:hAnsi="標楷體" w:hint="eastAsia"/>
        </w:rPr>
        <w:t>最高法院99年度台上字第4467號刑事判決意旨：「</w:t>
      </w:r>
      <w:r w:rsidRPr="0087441D">
        <w:rPr>
          <w:rFonts w:hAnsi="標楷體" w:hint="eastAsia"/>
          <w:b/>
        </w:rPr>
        <w:t>鑑定之證據方法乃藉助於專家在專業領域上之意見，裨益於法院對事實之認定，其性質固與英美法之專家證人相同。</w:t>
      </w:r>
      <w:proofErr w:type="gramStart"/>
      <w:r w:rsidRPr="0087441D">
        <w:rPr>
          <w:rFonts w:hAnsi="標楷體" w:hint="eastAsia"/>
          <w:b/>
        </w:rPr>
        <w:t>惟</w:t>
      </w:r>
      <w:proofErr w:type="gramEnd"/>
      <w:r w:rsidRPr="0087441D">
        <w:rPr>
          <w:rFonts w:hAnsi="標楷體" w:hint="eastAsia"/>
          <w:b/>
        </w:rPr>
        <w:t>刑事訴訟法關於鑑定制度仍保留原大陸法系體制，未</w:t>
      </w:r>
      <w:proofErr w:type="gramStart"/>
      <w:r w:rsidRPr="0087441D">
        <w:rPr>
          <w:rFonts w:hAnsi="標楷體" w:hint="eastAsia"/>
          <w:b/>
        </w:rPr>
        <w:t>採</w:t>
      </w:r>
      <w:proofErr w:type="gramEnd"/>
      <w:r w:rsidRPr="0087441D">
        <w:rPr>
          <w:rFonts w:hAnsi="標楷體" w:hint="eastAsia"/>
          <w:b/>
        </w:rPr>
        <w:t>絕對直接言詞審理主義，其第206條第1項係規定：『鑑定之經過及其結果，</w:t>
      </w:r>
      <w:proofErr w:type="gramStart"/>
      <w:r w:rsidRPr="0087441D">
        <w:rPr>
          <w:rFonts w:hAnsi="標楷體" w:hint="eastAsia"/>
          <w:b/>
        </w:rPr>
        <w:t>應命鑑定人</w:t>
      </w:r>
      <w:proofErr w:type="gramEnd"/>
      <w:r w:rsidRPr="0087441D">
        <w:rPr>
          <w:rFonts w:hAnsi="標楷體" w:hint="eastAsia"/>
          <w:b/>
        </w:rPr>
        <w:t>以言詞或書面報告。』換言之，如提出書面報告鑑定之經過及其結果，不能謂無證據能力。而同條第3項規定：『以書面報告者，於必要時得使其以言詞說明。』必也，於有必要時，</w:t>
      </w:r>
      <w:proofErr w:type="gramStart"/>
      <w:r w:rsidRPr="0087441D">
        <w:rPr>
          <w:rFonts w:hAnsi="標楷體" w:hint="eastAsia"/>
          <w:b/>
        </w:rPr>
        <w:t>法院始命其</w:t>
      </w:r>
      <w:proofErr w:type="gramEnd"/>
      <w:r w:rsidRPr="0087441D">
        <w:rPr>
          <w:rFonts w:hAnsi="標楷體" w:hint="eastAsia"/>
          <w:b/>
        </w:rPr>
        <w:t>到庭以言詞說明。原判決</w:t>
      </w:r>
      <w:proofErr w:type="gramStart"/>
      <w:r w:rsidRPr="0087441D">
        <w:rPr>
          <w:rFonts w:hAnsi="標楷體" w:hint="eastAsia"/>
          <w:b/>
        </w:rPr>
        <w:t>逕採</w:t>
      </w:r>
      <w:proofErr w:type="gramEnd"/>
      <w:r w:rsidRPr="0087441D">
        <w:rPr>
          <w:rFonts w:hAnsi="標楷體" w:hint="eastAsia"/>
          <w:b/>
        </w:rPr>
        <w:t>鑑定人之書面報告為判斷依據，於法並無違誤。</w:t>
      </w:r>
      <w:r w:rsidRPr="0087441D">
        <w:rPr>
          <w:rFonts w:hAnsi="標楷體" w:hint="eastAsia"/>
        </w:rPr>
        <w:t>」</w:t>
      </w:r>
    </w:p>
    <w:p w:rsidR="00156B94" w:rsidRPr="0087441D" w:rsidRDefault="00156B94" w:rsidP="005573BF">
      <w:pPr>
        <w:pStyle w:val="afc"/>
        <w:ind w:leftChars="65" w:left="221"/>
        <w:rPr>
          <w:rFonts w:hAnsi="標楷體"/>
        </w:rPr>
      </w:pPr>
      <w:r w:rsidRPr="0087441D">
        <w:rPr>
          <w:rFonts w:hAnsi="標楷體" w:hint="eastAsia"/>
        </w:rPr>
        <w:t>最高法院102年台上字第5010號刑事判決意旨：「性侵害案件具有隱密性，</w:t>
      </w:r>
      <w:proofErr w:type="gramStart"/>
      <w:r w:rsidRPr="0087441D">
        <w:rPr>
          <w:rFonts w:hAnsi="標楷體" w:hint="eastAsia"/>
        </w:rPr>
        <w:t>蒐</w:t>
      </w:r>
      <w:proofErr w:type="gramEnd"/>
      <w:r w:rsidRPr="0087441D">
        <w:rPr>
          <w:rFonts w:hAnsi="標楷體" w:hint="eastAsia"/>
        </w:rPr>
        <w:t>證不易，為保障被害人權益</w:t>
      </w:r>
      <w:r w:rsidRPr="0087441D">
        <w:rPr>
          <w:rFonts w:ascii="新細明體" w:eastAsia="新細明體" w:hAnsi="新細明體" w:hint="eastAsia"/>
        </w:rPr>
        <w:t>（中略</w:t>
      </w:r>
      <w:r w:rsidRPr="0087441D">
        <w:rPr>
          <w:rFonts w:hAnsi="標楷體" w:hint="eastAsia"/>
        </w:rPr>
        <w:t>）鑒於此類型案件其直接證據取得之困難性及被害人之特殊性，同法第15條復明定一定關係之人得於偵查、審判中</w:t>
      </w:r>
      <w:proofErr w:type="gramStart"/>
      <w:r w:rsidRPr="0087441D">
        <w:rPr>
          <w:rFonts w:hAnsi="標楷體" w:hint="eastAsia"/>
        </w:rPr>
        <w:t>陪同在場及</w:t>
      </w:r>
      <w:proofErr w:type="gramEnd"/>
      <w:r w:rsidRPr="0087441D">
        <w:rPr>
          <w:rFonts w:hAnsi="標楷體" w:hint="eastAsia"/>
        </w:rPr>
        <w:t>陳述意見。此</w:t>
      </w:r>
      <w:proofErr w:type="gramStart"/>
      <w:r w:rsidRPr="0087441D">
        <w:rPr>
          <w:rFonts w:hAnsi="標楷體" w:hint="eastAsia"/>
        </w:rPr>
        <w:t>之</w:t>
      </w:r>
      <w:proofErr w:type="gramEnd"/>
      <w:r w:rsidRPr="0087441D">
        <w:rPr>
          <w:rFonts w:hAnsi="標楷體" w:hint="eastAsia"/>
        </w:rPr>
        <w:t>陪同人，除與被害人具有親屬關係者外，尚包括法律社會工作者之社工人員、輔導人員、醫師及心理師等專業人士在內；</w:t>
      </w:r>
      <w:proofErr w:type="gramStart"/>
      <w:r w:rsidRPr="0087441D">
        <w:rPr>
          <w:rFonts w:hAnsi="標楷體" w:hint="eastAsia"/>
        </w:rPr>
        <w:t>陪同在場具有</w:t>
      </w:r>
      <w:proofErr w:type="gramEnd"/>
      <w:r w:rsidRPr="0087441D">
        <w:rPr>
          <w:rFonts w:hAnsi="標楷體" w:hint="eastAsia"/>
        </w:rPr>
        <w:t>穩定及緩和被害人不安與緊張之情緒，避免受到二度傷害，而法律社會工作者機制之介入，</w:t>
      </w:r>
      <w:proofErr w:type="gramStart"/>
      <w:r w:rsidRPr="0087441D">
        <w:rPr>
          <w:rFonts w:hAnsi="標楷體" w:hint="eastAsia"/>
        </w:rPr>
        <w:t>併</w:t>
      </w:r>
      <w:proofErr w:type="gramEnd"/>
      <w:r w:rsidRPr="0087441D">
        <w:rPr>
          <w:rFonts w:hAnsi="標楷體" w:hint="eastAsia"/>
        </w:rPr>
        <w:t>著重在藉由心理諮商或精神醫學等專業以佐證被害人證詞之有效性或憑信性，兼負有協助</w:t>
      </w:r>
      <w:proofErr w:type="gramStart"/>
      <w:r w:rsidRPr="0087441D">
        <w:rPr>
          <w:rFonts w:hAnsi="標楷體" w:hint="eastAsia"/>
        </w:rPr>
        <w:t>偵</w:t>
      </w:r>
      <w:proofErr w:type="gramEnd"/>
      <w:r w:rsidRPr="0087441D">
        <w:rPr>
          <w:rFonts w:hAnsi="標楷體" w:hint="eastAsia"/>
        </w:rPr>
        <w:t>、審</w:t>
      </w:r>
      <w:proofErr w:type="gramStart"/>
      <w:r w:rsidRPr="0087441D">
        <w:rPr>
          <w:rFonts w:hAnsi="標楷體" w:hint="eastAsia"/>
        </w:rPr>
        <w:t>機關發見真實</w:t>
      </w:r>
      <w:proofErr w:type="gramEnd"/>
      <w:r w:rsidRPr="0087441D">
        <w:rPr>
          <w:rFonts w:hAnsi="標楷體" w:hint="eastAsia"/>
        </w:rPr>
        <w:t>之義務與功能，與外國法制之專家證人同其作用。因此，社工或輔導人員就其所介入輔導個案經過之直接觀察及以個人實際經驗為基礎所為之書面或言詞陳述，即屬於見聞經過之證人性質，屬與被害人陳述不具同一性之獨立法定證據方法，而得供為判斷被害人陳述憑信性之補強證據。」</w:t>
      </w:r>
    </w:p>
  </w:footnote>
  <w:footnote w:id="43">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原文為</w:t>
      </w:r>
      <w:r w:rsidRPr="0087441D">
        <w:rPr>
          <w:rFonts w:ascii="Times New Roman"/>
        </w:rPr>
        <w:t>（</w:t>
      </w:r>
      <w:r w:rsidRPr="0087441D">
        <w:rPr>
          <w:rFonts w:ascii="Times New Roman"/>
        </w:rPr>
        <w:t>Court-Appointed Expert Witnesses</w:t>
      </w:r>
      <w:r w:rsidRPr="0087441D">
        <w:rPr>
          <w:rFonts w:ascii="Times New Roman"/>
        </w:rPr>
        <w:t>）：</w:t>
      </w:r>
      <w:r w:rsidRPr="0087441D">
        <w:rPr>
          <w:rFonts w:ascii="Times New Roman"/>
          <w:bCs/>
          <w:lang w:val="en"/>
        </w:rPr>
        <w:t>(a) Appointment Process.</w:t>
      </w:r>
      <w:r w:rsidRPr="0087441D">
        <w:rPr>
          <w:rFonts w:ascii="Times New Roman"/>
          <w:lang w:val="en"/>
        </w:rPr>
        <w:t xml:space="preserve"> On a party’s motion or on its own, the court may order the parties to show </w:t>
      </w:r>
      <w:proofErr w:type="gramStart"/>
      <w:r w:rsidRPr="0087441D">
        <w:rPr>
          <w:rFonts w:ascii="Times New Roman"/>
          <w:lang w:val="en"/>
        </w:rPr>
        <w:t>cause</w:t>
      </w:r>
      <w:proofErr w:type="gramEnd"/>
      <w:r w:rsidRPr="0087441D">
        <w:rPr>
          <w:rFonts w:ascii="Times New Roman"/>
          <w:lang w:val="en"/>
        </w:rPr>
        <w:t xml:space="preserve"> why expert witnesses should not be appointed and may ask the parties to submit nominations. The court may appoint any expert that the parties agree on and any of its own choosing. But the court may only appoint someone who consents to act.</w:t>
      </w:r>
      <w:r w:rsidRPr="0087441D">
        <w:rPr>
          <w:rFonts w:ascii="Times New Roman"/>
          <w:bCs/>
          <w:lang w:val="en"/>
        </w:rPr>
        <w:t xml:space="preserve"> (b) Expert’s Role.</w:t>
      </w:r>
      <w:r w:rsidRPr="0087441D">
        <w:rPr>
          <w:rFonts w:ascii="Times New Roman"/>
          <w:lang w:val="en"/>
        </w:rPr>
        <w:t xml:space="preserve"> The court must inform the expert of the expert’s duties. The court may do so in writing and have a copy filed with the clerk or may do so orally at a conference in which the parties have an opportunity to participate. The expert:</w:t>
      </w:r>
      <w:r w:rsidRPr="0087441D">
        <w:rPr>
          <w:rFonts w:ascii="Times New Roman"/>
          <w:bCs/>
          <w:lang w:val="en"/>
        </w:rPr>
        <w:t xml:space="preserve"> (1)</w:t>
      </w:r>
      <w:r w:rsidRPr="0087441D">
        <w:rPr>
          <w:rFonts w:ascii="Times New Roman"/>
          <w:lang w:val="en"/>
        </w:rPr>
        <w:t xml:space="preserve"> must advise the parties of any findings the expert makes;</w:t>
      </w:r>
      <w:r w:rsidRPr="0087441D">
        <w:rPr>
          <w:rFonts w:ascii="Times New Roman"/>
          <w:bCs/>
          <w:lang w:val="en"/>
        </w:rPr>
        <w:t xml:space="preserve"> (2)</w:t>
      </w:r>
      <w:r w:rsidRPr="0087441D">
        <w:rPr>
          <w:rFonts w:ascii="Times New Roman"/>
          <w:lang w:val="en"/>
        </w:rPr>
        <w:t xml:space="preserve"> may be deposed by any party;</w:t>
      </w:r>
      <w:r w:rsidRPr="0087441D">
        <w:rPr>
          <w:rFonts w:ascii="Times New Roman"/>
          <w:bCs/>
          <w:lang w:val="en"/>
        </w:rPr>
        <w:t xml:space="preserve"> (3)</w:t>
      </w:r>
      <w:r w:rsidRPr="0087441D">
        <w:rPr>
          <w:rFonts w:ascii="Times New Roman"/>
          <w:lang w:val="en"/>
        </w:rPr>
        <w:t xml:space="preserve"> may be called to testify by the court or any party; and</w:t>
      </w:r>
      <w:r w:rsidRPr="0087441D">
        <w:rPr>
          <w:rFonts w:ascii="Times New Roman"/>
          <w:bCs/>
          <w:lang w:val="en"/>
        </w:rPr>
        <w:t xml:space="preserve"> (4)</w:t>
      </w:r>
      <w:r w:rsidRPr="0087441D">
        <w:rPr>
          <w:rFonts w:ascii="Times New Roman"/>
          <w:lang w:val="en"/>
        </w:rPr>
        <w:t xml:space="preserve"> may be cross-examined by any party, including the party that called the expert.</w:t>
      </w:r>
      <w:r w:rsidRPr="0087441D">
        <w:rPr>
          <w:rFonts w:ascii="Times New Roman"/>
          <w:bCs/>
          <w:lang w:val="en"/>
        </w:rPr>
        <w:t xml:space="preserve"> (c) Compensation.</w:t>
      </w:r>
      <w:r w:rsidRPr="0087441D">
        <w:rPr>
          <w:rFonts w:ascii="Times New Roman"/>
          <w:lang w:val="en"/>
        </w:rPr>
        <w:t xml:space="preserve"> The expert is entitled to a reasonable compensation, as set by the court. The compensation is payable as follows:</w:t>
      </w:r>
      <w:r w:rsidRPr="0087441D">
        <w:rPr>
          <w:rFonts w:ascii="Times New Roman"/>
          <w:bCs/>
          <w:lang w:val="en"/>
        </w:rPr>
        <w:t xml:space="preserve"> (1)</w:t>
      </w:r>
      <w:r w:rsidRPr="0087441D">
        <w:rPr>
          <w:rFonts w:ascii="Times New Roman"/>
          <w:lang w:val="en"/>
        </w:rPr>
        <w:t xml:space="preserve"> in a criminal case or in a civil case involving just compensation under the Fifth Amendment, from any funds that are provided by law; and</w:t>
      </w:r>
      <w:r w:rsidRPr="0087441D">
        <w:rPr>
          <w:rFonts w:ascii="Times New Roman"/>
          <w:bCs/>
          <w:lang w:val="en"/>
        </w:rPr>
        <w:t xml:space="preserve"> (2)</w:t>
      </w:r>
      <w:r w:rsidRPr="0087441D">
        <w:rPr>
          <w:rFonts w:ascii="Times New Roman"/>
          <w:lang w:val="en"/>
        </w:rPr>
        <w:t xml:space="preserve"> in any other civil case, by the parties in the proportion and at the time that the court directs — and the compensation is then charged like other costs.</w:t>
      </w:r>
      <w:r w:rsidRPr="0087441D">
        <w:rPr>
          <w:rFonts w:ascii="Times New Roman"/>
          <w:bCs/>
          <w:lang w:val="en"/>
        </w:rPr>
        <w:t xml:space="preserve"> (d) Disclosing the Appointment to the Jury.</w:t>
      </w:r>
      <w:r w:rsidRPr="0087441D">
        <w:rPr>
          <w:rFonts w:ascii="Times New Roman"/>
          <w:lang w:val="en"/>
        </w:rPr>
        <w:t xml:space="preserve"> The court may authorize disclosure to the jury that the court appointed the expert.</w:t>
      </w:r>
      <w:r w:rsidRPr="0087441D">
        <w:rPr>
          <w:rFonts w:ascii="Times New Roman"/>
          <w:bCs/>
          <w:lang w:val="en"/>
        </w:rPr>
        <w:t xml:space="preserve"> (e) Parties’ Choice of Their Own Experts.</w:t>
      </w:r>
      <w:r w:rsidRPr="0087441D">
        <w:rPr>
          <w:rFonts w:ascii="Times New Roman"/>
          <w:lang w:val="en"/>
        </w:rPr>
        <w:t xml:space="preserve"> This rule does not limit a party in calling its own experts.</w:t>
      </w:r>
    </w:p>
  </w:footnote>
  <w:footnote w:id="44">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依據該條規定，證人或鑑定人受檢察官之傳喚者有到場之義務，且應陳訴事實或提出鑑定書，</w:t>
      </w:r>
      <w:proofErr w:type="gramStart"/>
      <w:r w:rsidRPr="0087441D">
        <w:rPr>
          <w:rFonts w:hAnsi="標楷體" w:hint="eastAsia"/>
          <w:bCs/>
          <w:lang w:val="en"/>
        </w:rPr>
        <w:t>準</w:t>
      </w:r>
      <w:proofErr w:type="gramEnd"/>
      <w:r w:rsidRPr="0087441D">
        <w:rPr>
          <w:rFonts w:hAnsi="標楷體" w:hint="eastAsia"/>
          <w:bCs/>
          <w:lang w:val="en"/>
        </w:rPr>
        <w:t>用第1編第6章至</w:t>
      </w:r>
      <w:r w:rsidRPr="0087441D">
        <w:rPr>
          <w:rFonts w:hAnsi="標楷體" w:hint="eastAsia"/>
        </w:rPr>
        <w:t>第7章有關證人與鑑定人之規定，但宣誓訊問僅由法官為之。</w:t>
      </w:r>
    </w:p>
  </w:footnote>
  <w:footnote w:id="45">
    <w:p w:rsidR="00156B94" w:rsidRPr="0087441D" w:rsidRDefault="00156B94" w:rsidP="005573BF">
      <w:pPr>
        <w:pStyle w:val="afc"/>
        <w:ind w:left="141" w:hangingChars="64" w:hanging="141"/>
        <w:rPr>
          <w:rFonts w:hAnsi="標楷體"/>
        </w:rPr>
      </w:pPr>
      <w:r w:rsidRPr="0087441D">
        <w:rPr>
          <w:rStyle w:val="afe"/>
          <w:rFonts w:hAnsi="標楷體"/>
        </w:rPr>
        <w:footnoteRef/>
      </w:r>
      <w:r w:rsidRPr="0087441D">
        <w:rPr>
          <w:rFonts w:hAnsi="標楷體"/>
        </w:rPr>
        <w:t xml:space="preserve"> </w:t>
      </w:r>
      <w:r w:rsidRPr="0087441D">
        <w:rPr>
          <w:rFonts w:hAnsi="標楷體" w:hint="eastAsia"/>
        </w:rPr>
        <w:t>但有下列情形之一，得例外賦予其證據能力。</w:t>
      </w:r>
      <w:r w:rsidRPr="0087441D">
        <w:rPr>
          <w:rFonts w:hAnsi="標楷體" w:hint="eastAsia"/>
          <w:bCs/>
        </w:rPr>
        <w:t>1.依日本刑事訴訟法第326條之同意。2.雖未得同意，但依日本刑事訴訟法第321條第4項，關於鑑定人所寫成之記載及結果之書面材料，</w:t>
      </w:r>
      <w:proofErr w:type="gramStart"/>
      <w:r w:rsidRPr="0087441D">
        <w:rPr>
          <w:rFonts w:hAnsi="標楷體" w:hint="eastAsia"/>
          <w:bCs/>
        </w:rPr>
        <w:t>當供述人</w:t>
      </w:r>
      <w:proofErr w:type="gramEnd"/>
      <w:r w:rsidRPr="0087441D">
        <w:rPr>
          <w:rFonts w:hAnsi="標楷體" w:hint="eastAsia"/>
          <w:bCs/>
        </w:rPr>
        <w:t>在公判期日作為證人而受訊問時，已</w:t>
      </w:r>
      <w:proofErr w:type="gramStart"/>
      <w:r w:rsidRPr="0087441D">
        <w:rPr>
          <w:rFonts w:hAnsi="標楷體" w:hint="eastAsia"/>
          <w:bCs/>
        </w:rPr>
        <w:t>供述該書面</w:t>
      </w:r>
      <w:proofErr w:type="gramEnd"/>
      <w:r w:rsidRPr="0087441D">
        <w:rPr>
          <w:rFonts w:hAnsi="標楷體" w:hint="eastAsia"/>
          <w:bCs/>
        </w:rPr>
        <w:t>材料所寫公正誠實製作時，該書面得做為證據。3.日本實務見解認為，偵查中鑑定受託人（司法警察）製作鑑定書，未得第326條之同意時，亦得</w:t>
      </w:r>
      <w:proofErr w:type="gramStart"/>
      <w:r w:rsidRPr="0087441D">
        <w:rPr>
          <w:rFonts w:hAnsi="標楷體" w:hint="eastAsia"/>
          <w:bCs/>
        </w:rPr>
        <w:t>準</w:t>
      </w:r>
      <w:proofErr w:type="gramEnd"/>
      <w:r w:rsidRPr="0087441D">
        <w:rPr>
          <w:rFonts w:hAnsi="標楷體" w:hint="eastAsia"/>
          <w:bCs/>
        </w:rPr>
        <w:t>用第321條第4項。4.被告或辯護人自行委託大學或民間團體之研究技術人員進行鑑定所為之鑑定書，日本實務見解亦認與偵查中之鑑定書同。</w:t>
      </w:r>
    </w:p>
  </w:footnote>
  <w:footnote w:id="46">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A hostile witness, otherwise known as an adverse witness or an unfavorable witness, is a witness at trial whose testimony on direct examination is either openly antagonistic or appears to be contrary to the legal position of the party who called the witness.指在主詢問中對傳喚本方當事人表現出敵意或偏見、或不願意作證、或已提供對本方當事人不利證據的證人。在英國，本方當事人經法庭許可可以對敵意證人進行反詢問，並可提出證人先前所作的不一致的陳述。在美國，對敵意證人在主詢問中可以誘導</w:t>
      </w:r>
      <w:r w:rsidRPr="0087441D">
        <w:rPr>
          <w:rFonts w:hAnsi="標楷體" w:hint="eastAsia"/>
        </w:rPr>
        <w:t>詢問，資料來源參照元照英美法詞典</w:t>
      </w:r>
      <w:r w:rsidRPr="0087441D">
        <w:rPr>
          <w:rFonts w:hAnsi="標楷體"/>
        </w:rPr>
        <w:t>。</w:t>
      </w:r>
    </w:p>
  </w:footnote>
  <w:footnote w:id="47">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刑事訴訟法第229條：「下列各員，於其管轄區域內為司法警察官，有協助檢察官偵查犯罪之職權：一、警政署署長、警察局局長或警察總隊總隊長。二、憲兵隊長官。三、依法令關於特定事項，得行相當於前2款司法警察官之職權者。前項司法警察官，應將調查之結果，移送該管檢察官；如接受被拘提或逮捕之犯罪嫌疑人，除有特別規定外，應解送該管檢察官。但檢察官命其解送者，應即解送。被告或犯罪嫌疑人未經拘提或逮捕者，不得解送。」</w:t>
      </w:r>
    </w:p>
    <w:p w:rsidR="00156B94" w:rsidRPr="0087441D" w:rsidRDefault="00156B94" w:rsidP="005573BF">
      <w:pPr>
        <w:pStyle w:val="afc"/>
        <w:overflowPunct/>
        <w:autoSpaceDE/>
        <w:autoSpaceDN/>
        <w:ind w:leftChars="65" w:left="221"/>
        <w:rPr>
          <w:rFonts w:hAnsi="標楷體"/>
          <w:bCs/>
        </w:rPr>
      </w:pPr>
      <w:r w:rsidRPr="0087441D">
        <w:rPr>
          <w:rFonts w:hAnsi="標楷體" w:hint="eastAsia"/>
        </w:rPr>
        <w:t>第230條規定</w:t>
      </w:r>
      <w:r w:rsidRPr="0087441D">
        <w:rPr>
          <w:rFonts w:hAnsi="標楷體" w:hint="eastAsia"/>
          <w:bCs/>
        </w:rPr>
        <w:t>：「下列各員為司法警察官，應受檢察官之指揮，偵查犯罪：一、警察官長。二、憲兵隊官長、士官。三、依法令關於特定事項，得行司法警察官之職權者。前項司法</w:t>
      </w:r>
      <w:proofErr w:type="gramStart"/>
      <w:r w:rsidRPr="0087441D">
        <w:rPr>
          <w:rFonts w:hAnsi="標楷體" w:hint="eastAsia"/>
          <w:bCs/>
        </w:rPr>
        <w:t>警察官知有</w:t>
      </w:r>
      <w:proofErr w:type="gramEnd"/>
      <w:r w:rsidRPr="0087441D">
        <w:rPr>
          <w:rFonts w:hAnsi="標楷體" w:hint="eastAsia"/>
          <w:bCs/>
        </w:rPr>
        <w:t>犯罪嫌疑者，應即開始調查，並將調查之情形報告該管檢察官及前條之司法警察官。實施前項調查有必要時，得封鎖犯罪現場，並為即時之勘察。」</w:t>
      </w:r>
    </w:p>
    <w:p w:rsidR="00156B94" w:rsidRPr="0087441D" w:rsidRDefault="00156B94" w:rsidP="005573BF">
      <w:pPr>
        <w:pStyle w:val="afc"/>
        <w:overflowPunct/>
        <w:autoSpaceDE/>
        <w:autoSpaceDN/>
        <w:ind w:leftChars="65" w:left="221"/>
        <w:rPr>
          <w:rFonts w:hAnsi="標楷體"/>
        </w:rPr>
      </w:pPr>
      <w:r w:rsidRPr="0087441D">
        <w:rPr>
          <w:rFonts w:hAnsi="標楷體" w:hint="eastAsia"/>
          <w:bCs/>
        </w:rPr>
        <w:t>第231條規定：「下列各員為司法警察，應受檢察官及司法警察官之命令，偵查犯罪：一、警察。二、憲兵。三、依法令關於特定事項，得行司法警察之職權者。司法警察知有犯罪嫌疑者，應即開始</w:t>
      </w:r>
      <w:r w:rsidRPr="0087441D">
        <w:rPr>
          <w:rFonts w:hAnsi="標楷體" w:hint="eastAsia"/>
        </w:rPr>
        <w:t>調查，並將調查之情形報告該管檢察官及司法警察官。實施前項調查有必要時，得封鎖犯罪現場，並為即時之勘察。」</w:t>
      </w:r>
    </w:p>
  </w:footnote>
  <w:footnote w:id="48">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2007</w:t>
      </w:r>
      <w:r w:rsidRPr="0087441D">
        <w:rPr>
          <w:rFonts w:hAnsi="標楷體" w:hint="eastAsia"/>
        </w:rPr>
        <w:t>年</w:t>
      </w:r>
      <w:r w:rsidRPr="0087441D">
        <w:rPr>
          <w:rFonts w:hAnsi="標楷體"/>
        </w:rPr>
        <w:t>7</w:t>
      </w:r>
      <w:r w:rsidRPr="0087441D">
        <w:rPr>
          <w:rFonts w:hAnsi="標楷體" w:hint="eastAsia"/>
        </w:rPr>
        <w:t>月</w:t>
      </w:r>
      <w:r w:rsidRPr="0087441D">
        <w:rPr>
          <w:rFonts w:hAnsi="標楷體"/>
        </w:rPr>
        <w:t>9</w:t>
      </w:r>
      <w:r w:rsidRPr="0087441D">
        <w:rPr>
          <w:rFonts w:hAnsi="標楷體" w:hint="eastAsia"/>
        </w:rPr>
        <w:t>日至</w:t>
      </w:r>
      <w:r w:rsidRPr="0087441D">
        <w:rPr>
          <w:rFonts w:hAnsi="標楷體"/>
        </w:rPr>
        <w:t>27</w:t>
      </w:r>
      <w:r w:rsidRPr="0087441D">
        <w:rPr>
          <w:rFonts w:hAnsi="標楷體" w:hint="eastAsia"/>
        </w:rPr>
        <w:t>日聯合國人權事務委員會第90屆會議（日內瓦）針對公民與政治權利國際公約提出第32號一般性意見。</w:t>
      </w:r>
    </w:p>
  </w:footnote>
  <w:footnote w:id="49">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聯邦證據規則第706條規定，原文為：</w:t>
      </w:r>
      <w:r w:rsidRPr="0087441D">
        <w:rPr>
          <w:rFonts w:hAnsi="標楷體"/>
          <w:b/>
          <w:bCs/>
          <w:lang w:val="en"/>
        </w:rPr>
        <w:t>(a) Appointment Process.</w:t>
      </w:r>
      <w:r w:rsidRPr="0087441D">
        <w:rPr>
          <w:rFonts w:ascii="Times New Roman"/>
          <w:lang w:val="en"/>
        </w:rPr>
        <w:t xml:space="preserve"> On a party’s</w:t>
      </w:r>
      <w:r w:rsidRPr="0087441D">
        <w:rPr>
          <w:rFonts w:hAnsi="標楷體"/>
          <w:lang w:val="en"/>
        </w:rPr>
        <w:t xml:space="preserve"> motion or on its own, the court may order the parties to show </w:t>
      </w:r>
      <w:proofErr w:type="gramStart"/>
      <w:r w:rsidRPr="0087441D">
        <w:rPr>
          <w:rFonts w:hAnsi="標楷體"/>
          <w:lang w:val="en"/>
        </w:rPr>
        <w:t>cause</w:t>
      </w:r>
      <w:proofErr w:type="gramEnd"/>
      <w:r w:rsidRPr="0087441D">
        <w:rPr>
          <w:rFonts w:hAnsi="標楷體"/>
          <w:lang w:val="en"/>
        </w:rPr>
        <w:t xml:space="preserve"> why expert witnesses should not be appointed and may ask the parties to submit nominations. The court may appoint any expert that the parties agree on and any of its own choosing. But the court may only appoint someone who consents to act.</w:t>
      </w:r>
      <w:r w:rsidRPr="0087441D">
        <w:rPr>
          <w:rFonts w:hAnsi="標楷體"/>
          <w:b/>
          <w:bCs/>
          <w:lang w:val="en"/>
        </w:rPr>
        <w:t xml:space="preserve"> (b) Expert’s Role.</w:t>
      </w:r>
      <w:r w:rsidRPr="0087441D">
        <w:rPr>
          <w:rFonts w:hAnsi="標楷體"/>
          <w:lang w:val="en"/>
        </w:rPr>
        <w:t xml:space="preserve"> The court must inform the expert of the expert’s duties. The court may do so in writing and have a copy filed with the clerk or may do so orally at a conference in which the parties have an opportunity to participate. The expert:</w:t>
      </w:r>
      <w:r w:rsidRPr="0087441D">
        <w:rPr>
          <w:rFonts w:hAnsi="標楷體"/>
          <w:b/>
          <w:bCs/>
          <w:lang w:val="en"/>
        </w:rPr>
        <w:t xml:space="preserve"> (1)</w:t>
      </w:r>
      <w:r w:rsidRPr="0087441D">
        <w:rPr>
          <w:rFonts w:hAnsi="標楷體"/>
          <w:lang w:val="en"/>
        </w:rPr>
        <w:t xml:space="preserve"> must advise the parties of any findings the expert makes;</w:t>
      </w:r>
      <w:r w:rsidRPr="0087441D">
        <w:rPr>
          <w:rFonts w:hAnsi="標楷體"/>
          <w:b/>
          <w:bCs/>
          <w:lang w:val="en"/>
        </w:rPr>
        <w:t xml:space="preserve"> (2)</w:t>
      </w:r>
      <w:r w:rsidRPr="0087441D">
        <w:rPr>
          <w:rFonts w:hAnsi="標楷體"/>
          <w:lang w:val="en"/>
        </w:rPr>
        <w:t xml:space="preserve"> may be deposed by any party;</w:t>
      </w:r>
      <w:r w:rsidRPr="0087441D">
        <w:rPr>
          <w:rFonts w:hAnsi="標楷體"/>
          <w:b/>
          <w:bCs/>
          <w:lang w:val="en"/>
        </w:rPr>
        <w:t xml:space="preserve"> (3)</w:t>
      </w:r>
      <w:r w:rsidRPr="0087441D">
        <w:rPr>
          <w:rFonts w:hAnsi="標楷體"/>
          <w:lang w:val="en"/>
        </w:rPr>
        <w:t xml:space="preserve"> may be called to testify by the court or any party; and</w:t>
      </w:r>
      <w:r w:rsidRPr="0087441D">
        <w:rPr>
          <w:rFonts w:hAnsi="標楷體"/>
          <w:b/>
          <w:bCs/>
          <w:lang w:val="en"/>
        </w:rPr>
        <w:t xml:space="preserve"> (4)</w:t>
      </w:r>
      <w:r w:rsidRPr="0087441D">
        <w:rPr>
          <w:rFonts w:hAnsi="標楷體"/>
          <w:lang w:val="en"/>
        </w:rPr>
        <w:t xml:space="preserve"> may be cross-examined by any party, including the party that called the expert.</w:t>
      </w:r>
      <w:r w:rsidRPr="0087441D">
        <w:rPr>
          <w:rFonts w:hAnsi="標楷體"/>
          <w:b/>
          <w:bCs/>
          <w:lang w:val="en"/>
        </w:rPr>
        <w:t xml:space="preserve"> (c) Compensation.</w:t>
      </w:r>
      <w:r w:rsidRPr="0087441D">
        <w:rPr>
          <w:rFonts w:hAnsi="標楷體"/>
          <w:lang w:val="en"/>
        </w:rPr>
        <w:t xml:space="preserve"> The expert is entitled to a reasonable compensation, as set by the court. The compensation is payable as follows:</w:t>
      </w:r>
      <w:r w:rsidRPr="0087441D">
        <w:rPr>
          <w:rFonts w:hAnsi="標楷體"/>
          <w:b/>
          <w:bCs/>
          <w:lang w:val="en"/>
        </w:rPr>
        <w:t xml:space="preserve"> (1)</w:t>
      </w:r>
      <w:r w:rsidRPr="0087441D">
        <w:rPr>
          <w:rFonts w:hAnsi="標楷體"/>
          <w:lang w:val="en"/>
        </w:rPr>
        <w:t xml:space="preserve"> in a criminal case or in a civil case involving just compensation under the Fifth Amendment, from any funds that are provided by law; and</w:t>
      </w:r>
      <w:r w:rsidRPr="0087441D">
        <w:rPr>
          <w:rFonts w:hAnsi="標楷體"/>
          <w:b/>
          <w:bCs/>
          <w:lang w:val="en"/>
        </w:rPr>
        <w:t xml:space="preserve"> (2)</w:t>
      </w:r>
      <w:r w:rsidRPr="0087441D">
        <w:rPr>
          <w:rFonts w:hAnsi="標楷體"/>
          <w:lang w:val="en"/>
        </w:rPr>
        <w:t xml:space="preserve"> in any other civil case, by the parties in the proportion and at the time that the court directs — and the compensation is then charged like other costs.</w:t>
      </w:r>
      <w:r w:rsidRPr="0087441D">
        <w:rPr>
          <w:rFonts w:hAnsi="標楷體"/>
          <w:b/>
          <w:bCs/>
          <w:lang w:val="en"/>
        </w:rPr>
        <w:t xml:space="preserve"> (d) Disclosing the Appointment to the Jury.</w:t>
      </w:r>
      <w:r w:rsidRPr="0087441D">
        <w:rPr>
          <w:rFonts w:hAnsi="標楷體"/>
          <w:lang w:val="en"/>
        </w:rPr>
        <w:t xml:space="preserve"> The court may authorize disclosure to the jury that the court appointed the expert.</w:t>
      </w:r>
      <w:r w:rsidRPr="0087441D">
        <w:rPr>
          <w:rFonts w:hAnsi="標楷體"/>
          <w:b/>
          <w:bCs/>
          <w:lang w:val="en"/>
        </w:rPr>
        <w:t xml:space="preserve"> (e) Parties’ Choice of Their Own Experts.</w:t>
      </w:r>
      <w:r w:rsidRPr="0087441D">
        <w:rPr>
          <w:rFonts w:hAnsi="標楷體"/>
          <w:lang w:val="en"/>
        </w:rPr>
        <w:t xml:space="preserve"> This rule does not limit a party in calling its own experts.</w:t>
      </w:r>
    </w:p>
  </w:footnote>
  <w:footnote w:id="50">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Amendment V (1791)</w:t>
      </w:r>
      <w:r w:rsidRPr="0087441D">
        <w:rPr>
          <w:rFonts w:hAnsi="標楷體" w:hint="eastAsia"/>
        </w:rPr>
        <w:t>：</w:t>
      </w:r>
      <w:r w:rsidRPr="0087441D">
        <w:rPr>
          <w:rFonts w:hAnsi="標楷體"/>
        </w:rPr>
        <w:t xml:space="preserve">No person shall be held to answer for a capital, or otherwise infamous crime, unless on a presentment or indictment of a grand jury, except in cases arising in the land or naval forces, or in the militia, when in actual service in time of war or public </w:t>
      </w:r>
      <w:r w:rsidRPr="0087441D">
        <w:rPr>
          <w:rFonts w:hAnsi="標楷體"/>
          <w:lang w:val="en"/>
        </w:rPr>
        <w:t>danger</w:t>
      </w:r>
      <w:r w:rsidRPr="0087441D">
        <w:rPr>
          <w:rFonts w:hAnsi="標楷體"/>
        </w:rPr>
        <w:t>; nor shall any person be subject for the same offense to be twice put in jeopardy of life or limb; nor shall be compelled in any criminal case to be a witness against himself, nor be deprived of life, liberty, or property, without due process of law; nor shall private property be taken for public use, without just compensation.</w:t>
      </w:r>
      <w:r w:rsidRPr="0087441D">
        <w:rPr>
          <w:rFonts w:hAnsi="標楷體" w:hint="eastAsia"/>
        </w:rPr>
        <w:t>（</w:t>
      </w:r>
      <w:r w:rsidRPr="0087441D">
        <w:rPr>
          <w:rFonts w:hAnsi="標楷體"/>
        </w:rPr>
        <w:t>非經大陪審團提起公訴，人民不受死罪或其他不名譽罪之審判，但戰時或國難時期服現役之陸海軍或國民兵所發生之案件，不在此限。同一罪案，不得令其受兩次生命或身體上之危險。不得強迫刑事罪犯自證其罪，亦不得未經正當法律手續剝奪其生命、自由或財產。非有公正賠償，不得將私產收為公用。</w:t>
      </w:r>
      <w:r w:rsidRPr="0087441D">
        <w:rPr>
          <w:rFonts w:hAnsi="標楷體" w:hint="eastAsia"/>
        </w:rPr>
        <w:t>）</w:t>
      </w:r>
    </w:p>
  </w:footnote>
  <w:footnote w:id="51">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林裕順教授理由為概括選任鑑定為「點石成金」之術：我國現行實務運作上，考量偵查階段科學</w:t>
      </w:r>
      <w:proofErr w:type="gramStart"/>
      <w:r w:rsidRPr="0087441D">
        <w:rPr>
          <w:rFonts w:hAnsi="標楷體" w:hint="eastAsia"/>
        </w:rPr>
        <w:t>鑑</w:t>
      </w:r>
      <w:proofErr w:type="gramEnd"/>
      <w:r w:rsidRPr="0087441D">
        <w:rPr>
          <w:rFonts w:hAnsi="標楷體" w:hint="eastAsia"/>
        </w:rPr>
        <w:t>驗技術之應用，司法警察機關調查中之案件，為因應實務上或因量大、或有急迫之現實需求，</w:t>
      </w:r>
      <w:proofErr w:type="gramStart"/>
      <w:r w:rsidRPr="0087441D">
        <w:rPr>
          <w:rFonts w:hAnsi="標楷體" w:hint="eastAsia"/>
        </w:rPr>
        <w:t>併</w:t>
      </w:r>
      <w:proofErr w:type="gramEnd"/>
      <w:r w:rsidRPr="0087441D">
        <w:rPr>
          <w:rFonts w:hAnsi="標楷體" w:hint="eastAsia"/>
        </w:rPr>
        <w:t>例行性當然有鑑定之必要者，得由該管檢察長對於轄區內之案件，以事前概括選任鑑定人或囑託鑑定機關、團體之方式，</w:t>
      </w:r>
      <w:proofErr w:type="gramStart"/>
      <w:r w:rsidRPr="0087441D">
        <w:rPr>
          <w:rFonts w:hAnsi="標楷體" w:hint="eastAsia"/>
        </w:rPr>
        <w:t>俾</w:t>
      </w:r>
      <w:proofErr w:type="gramEnd"/>
      <w:r w:rsidRPr="0087441D">
        <w:rPr>
          <w:rFonts w:hAnsi="標楷體" w:hint="eastAsia"/>
        </w:rPr>
        <w:t>便轄區內之司法警察機關對於調查中之此類案件，得即時送請先前已選任之鑑定人或囑託之鑑定機關、團體實施鑑定，以求時效。亦即，概括選任鑑定亦是</w:t>
      </w:r>
      <w:proofErr w:type="gramStart"/>
      <w:r w:rsidRPr="0087441D">
        <w:rPr>
          <w:rFonts w:hAnsi="標楷體" w:hint="eastAsia"/>
        </w:rPr>
        <w:t>典型「</w:t>
      </w:r>
      <w:proofErr w:type="gramEnd"/>
      <w:r w:rsidRPr="0087441D">
        <w:rPr>
          <w:rFonts w:hAnsi="標楷體" w:hint="eastAsia"/>
        </w:rPr>
        <w:t>機關鑑定」之類型，並非直接選任具有學識經驗的「自然人」。又最高法院94年台上字第1998號判例：「刑事訴訟法第</w:t>
      </w:r>
      <w:r>
        <w:rPr>
          <w:rFonts w:hAnsi="標楷體" w:hint="eastAsia"/>
        </w:rPr>
        <w:t>163</w:t>
      </w:r>
      <w:r w:rsidRPr="0087441D">
        <w:rPr>
          <w:rFonts w:hAnsi="標楷體" w:hint="eastAsia"/>
        </w:rPr>
        <w:t>條之</w:t>
      </w:r>
      <w:r>
        <w:rPr>
          <w:rFonts w:hAnsi="標楷體" w:hint="eastAsia"/>
        </w:rPr>
        <w:t>2</w:t>
      </w:r>
      <w:r w:rsidRPr="0087441D">
        <w:rPr>
          <w:rFonts w:hAnsi="標楷體" w:hint="eastAsia"/>
        </w:rPr>
        <w:t>第</w:t>
      </w:r>
      <w:r>
        <w:rPr>
          <w:rFonts w:hAnsi="標楷體" w:hint="eastAsia"/>
        </w:rPr>
        <w:t>1</w:t>
      </w:r>
      <w:r w:rsidRPr="0087441D">
        <w:rPr>
          <w:rFonts w:hAnsi="標楷體" w:hint="eastAsia"/>
        </w:rPr>
        <w:t>項規定：『當事人、代理人、辯護人或輔佐人聲請調查之證據，法院認為不必要者，得以裁定駁回之。』即以證據是否應予調查，</w:t>
      </w:r>
      <w:proofErr w:type="gramStart"/>
      <w:r w:rsidRPr="0087441D">
        <w:rPr>
          <w:rFonts w:hAnsi="標楷體" w:hint="eastAsia"/>
        </w:rPr>
        <w:t>關乎待證事實</w:t>
      </w:r>
      <w:proofErr w:type="gramEnd"/>
      <w:r w:rsidRPr="0087441D">
        <w:rPr>
          <w:rFonts w:hAnsi="標楷體" w:hint="eastAsia"/>
        </w:rPr>
        <w:t>是否於案情具有重要性，甚或影響相關證據之價值判斷，已非純屬審判長調查證據之執行方法或細節及法庭活動之指揮事項，故應由法院以裁定行之，並非審判長所得單獨決定處分。」亦即，刑事鑑定證據亦屬事實認定證據調查重要環節，現行「概括選任鑑定」運作下檢察官鑑定決定、授權，彷彿「魔法棒」決定證據調查或事實證明取向，欠缺嚴謹實顯疏漏。</w:t>
      </w:r>
    </w:p>
  </w:footnote>
  <w:footnote w:id="52">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違背鑑定機關的中立性：我國「概括選任鑑定」(或機關鑑定)從事刑事</w:t>
      </w:r>
      <w:proofErr w:type="gramStart"/>
      <w:r w:rsidRPr="0087441D">
        <w:rPr>
          <w:rFonts w:hAnsi="標楷體" w:hint="eastAsia"/>
        </w:rPr>
        <w:t>鑑</w:t>
      </w:r>
      <w:proofErr w:type="gramEnd"/>
      <w:r w:rsidRPr="0087441D">
        <w:rPr>
          <w:rFonts w:hAnsi="標楷體" w:hint="eastAsia"/>
        </w:rPr>
        <w:t>識實務者，或多屬偵查機關職員並且具有司法警察（官）之身分。雖鑑定人非承辦該案之司法警察，然鑑定實施仍需要參與專案會議接收偵查資訊，或依行政程序須將鑑定結果向其所屬長官報告，上級長官若為負責偵查之司法警察官，不免瓜田李下而有影響中立公平之虞。</w:t>
      </w:r>
    </w:p>
  </w:footnote>
  <w:footnote w:id="53">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bCs/>
        </w:rPr>
        <w:t>違背選任鑑定倫理:偵查機關行使囑託鑑定應屬任意處分，鑑定人接受與否乃專業考量或個人意願 。現今我國鑑定機關多隸屬於職司偵查之行政組織下，即暫不論可能造成鑑定人身分上衝突矛盾，</w:t>
      </w:r>
      <w:r w:rsidRPr="0087441D">
        <w:rPr>
          <w:rFonts w:hAnsi="標楷體" w:hint="eastAsia"/>
        </w:rPr>
        <w:t>但或多</w:t>
      </w:r>
      <w:proofErr w:type="gramStart"/>
      <w:r w:rsidRPr="0087441D">
        <w:rPr>
          <w:rFonts w:hAnsi="標楷體" w:hint="eastAsia"/>
        </w:rPr>
        <w:t>或少因其</w:t>
      </w:r>
      <w:proofErr w:type="gramEnd"/>
      <w:r w:rsidRPr="0087441D">
        <w:rPr>
          <w:rFonts w:hAnsi="標楷體" w:hint="eastAsia"/>
        </w:rPr>
        <w:t>組織屬性須接受檢察官指揮</w:t>
      </w:r>
      <w:r w:rsidRPr="0087441D">
        <w:rPr>
          <w:rFonts w:hAnsi="標楷體" w:hint="eastAsia"/>
          <w:bCs/>
        </w:rPr>
        <w:t>，故鮮少有拒絕鑑定之情形發生，違背鑑定之可替代性及專業尊重制度設計規範本質。</w:t>
      </w:r>
    </w:p>
  </w:footnote>
  <w:footnote w:id="54">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未能呼應刑事司改：現行刑事訴訟程序（改良式）當事人進行主義下，偵查追訴機關與被告辯護人乃屬立場不同之對造當事人，偵查階段證據保全乃追訴一方之訴訟準備活動，審判程序法庭調查乃被告主體參與下審查追訴主張及證據。偵查機關「概括選任鑑定」蒐集保全之證據資料，若等同法庭程序「法官選任鑑定」證據調查之嚴格證明，似乎混淆法官判斷檢察訴追之現代訴訟定位，實難符合「當事人進行主義」司法變革，同時違背「證據裁判主義」無罪推定法理論述。因此，刑事鑑定連結法律審判與科學判斷，鑑定人補助法官審判之角色功能，規範限定法官自由心證合理範圍，應本於審判程序法院獨立判斷自行裁定之選任鑑定，而非受制依憑偵查追訴一方檢察官「概括選任鑑定」。</w:t>
      </w:r>
    </w:p>
  </w:footnote>
  <w:footnote w:id="55">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hint="eastAsia"/>
        </w:rPr>
        <w:t>鑑定人，通譯及翻譯</w:t>
      </w:r>
      <w:proofErr w:type="gramStart"/>
      <w:r w:rsidRPr="0087441D">
        <w:rPr>
          <w:rFonts w:hAnsi="標楷體" w:hint="eastAsia"/>
        </w:rPr>
        <w:t>薪酬暨榮譽</w:t>
      </w:r>
      <w:proofErr w:type="gramEnd"/>
      <w:r w:rsidRPr="0087441D">
        <w:rPr>
          <w:rFonts w:hAnsi="標楷體" w:hint="eastAsia"/>
        </w:rPr>
        <w:t>職法官，證人及第三人補償法</w:t>
      </w:r>
      <w:r w:rsidRPr="0087441D">
        <w:rPr>
          <w:rFonts w:hAnsi="標楷體"/>
        </w:rPr>
        <w:t>(</w:t>
      </w:r>
      <w:r w:rsidRPr="0087441D">
        <w:rPr>
          <w:rFonts w:ascii="Times New Roman"/>
        </w:rPr>
        <w:t>Gesetz über die Vergütung von Sachverständigen, Dolmetscherinnen, Dolmetschern, Übersetzerinnen undÜbersetzern sowie die Entschädigung von ehrenamtlichen Richterinnen, ehrenamtlichen Richtern, Zeuginnen, Zeugen und Dritten</w:t>
      </w:r>
      <w:r w:rsidRPr="0087441D">
        <w:rPr>
          <w:rFonts w:ascii="Times New Roman"/>
        </w:rPr>
        <w:t>，</w:t>
      </w:r>
      <w:r w:rsidRPr="0087441D">
        <w:rPr>
          <w:rFonts w:ascii="Times New Roman"/>
        </w:rPr>
        <w:t>JVEG</w:t>
      </w:r>
      <w:r w:rsidRPr="0087441D">
        <w:rPr>
          <w:rFonts w:hAnsi="標楷體"/>
        </w:rPr>
        <w:t>)</w:t>
      </w:r>
      <w:r>
        <w:rPr>
          <w:rFonts w:ascii="新細明體" w:eastAsia="新細明體" w:hAnsi="新細明體" w:hint="eastAsia"/>
        </w:rPr>
        <w:t>。</w:t>
      </w:r>
    </w:p>
  </w:footnote>
  <w:footnote w:id="56">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林裕順，專家證人VS.鑑定人-概括選任鑑定之誤用與評析，月</w:t>
      </w:r>
      <w:proofErr w:type="gramStart"/>
      <w:r w:rsidRPr="0087441D">
        <w:rPr>
          <w:rFonts w:hAnsi="標楷體" w:hint="eastAsia"/>
        </w:rPr>
        <w:t>旦</w:t>
      </w:r>
      <w:proofErr w:type="gramEnd"/>
      <w:r w:rsidRPr="0087441D">
        <w:rPr>
          <w:rFonts w:hAnsi="標楷體" w:hint="eastAsia"/>
        </w:rPr>
        <w:t>法學雜誌189期，2011年2月，頁266-267。</w:t>
      </w:r>
    </w:p>
  </w:footnote>
  <w:footnote w:id="57">
    <w:p w:rsidR="00156B94" w:rsidRPr="0087441D" w:rsidRDefault="00156B94">
      <w:pPr>
        <w:pStyle w:val="afc"/>
        <w:rPr>
          <w:rFonts w:hAnsi="標楷體"/>
        </w:rPr>
      </w:pPr>
      <w:r w:rsidRPr="0087441D">
        <w:rPr>
          <w:rStyle w:val="afe"/>
          <w:rFonts w:hAnsi="標楷體"/>
        </w:rPr>
        <w:footnoteRef/>
      </w:r>
      <w:r w:rsidRPr="0087441D">
        <w:rPr>
          <w:rFonts w:hAnsi="標楷體"/>
        </w:rPr>
        <w:t xml:space="preserve"> </w:t>
      </w:r>
      <w:r w:rsidRPr="0087441D">
        <w:rPr>
          <w:rFonts w:hAnsi="標楷體" w:hint="eastAsia"/>
        </w:rPr>
        <w:t>綜合李大法官震山於88年全國司法改革會議之建議。</w:t>
      </w:r>
    </w:p>
  </w:footnote>
  <w:footnote w:id="58">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湯瑪斯．達恩史戴特</w:t>
      </w:r>
      <w:r w:rsidRPr="0087441D">
        <w:rPr>
          <w:rFonts w:hAnsi="標楷體" w:hint="eastAsia"/>
        </w:rPr>
        <w:t>（</w:t>
      </w:r>
      <w:r w:rsidRPr="0087441D">
        <w:rPr>
          <w:rFonts w:hAnsi="標楷體"/>
        </w:rPr>
        <w:t>Thomas Darnstädt</w:t>
      </w:r>
      <w:r w:rsidRPr="0087441D">
        <w:rPr>
          <w:rFonts w:hAnsi="標楷體" w:hint="eastAsia"/>
        </w:rPr>
        <w:t>），德國</w:t>
      </w:r>
      <w:r w:rsidRPr="0087441D">
        <w:rPr>
          <w:rFonts w:hAnsi="標楷體"/>
        </w:rPr>
        <w:t>法學博士，專</w:t>
      </w:r>
      <w:proofErr w:type="gramStart"/>
      <w:r w:rsidRPr="0087441D">
        <w:rPr>
          <w:rFonts w:hAnsi="標楷體"/>
        </w:rPr>
        <w:t>研</w:t>
      </w:r>
      <w:proofErr w:type="gramEnd"/>
      <w:r w:rsidRPr="0087441D">
        <w:rPr>
          <w:rFonts w:hAnsi="標楷體"/>
        </w:rPr>
        <w:t>警察法、公民權及國際法，數十年來持續為德國《明鏡週刊》（Der Spiegel）供稿，也曾主編該刊的德國政治版數年。著有</w:t>
      </w:r>
      <w:proofErr w:type="gramStart"/>
      <w:r w:rsidRPr="0087441D">
        <w:rPr>
          <w:rFonts w:hAnsi="標楷體"/>
        </w:rPr>
        <w:t>《</w:t>
      </w:r>
      <w:proofErr w:type="gramEnd"/>
      <w:r w:rsidRPr="0087441D">
        <w:rPr>
          <w:rFonts w:hAnsi="標楷體"/>
        </w:rPr>
        <w:t>空洞的共識：共和該怎麼重上軌道</w:t>
      </w:r>
      <w:proofErr w:type="gramStart"/>
      <w:r w:rsidRPr="0087441D">
        <w:rPr>
          <w:rFonts w:hAnsi="標楷體"/>
        </w:rPr>
        <w:t>》《</w:t>
      </w:r>
      <w:proofErr w:type="gramEnd"/>
      <w:r w:rsidRPr="0087441D">
        <w:rPr>
          <w:rFonts w:hAnsi="標楷體"/>
        </w:rPr>
        <w:t>全球警察國家：</w:t>
      </w:r>
      <w:proofErr w:type="gramStart"/>
      <w:r w:rsidRPr="0087441D">
        <w:rPr>
          <w:rFonts w:hAnsi="標楷體"/>
        </w:rPr>
        <w:t>恐攻焦慮</w:t>
      </w:r>
      <w:proofErr w:type="gramEnd"/>
      <w:r w:rsidRPr="0087441D">
        <w:rPr>
          <w:rFonts w:hAnsi="標楷體"/>
        </w:rPr>
        <w:t>、</w:t>
      </w:r>
      <w:proofErr w:type="gramStart"/>
      <w:r w:rsidRPr="0087441D">
        <w:rPr>
          <w:rFonts w:hAnsi="標楷體"/>
        </w:rPr>
        <w:t>安全執念</w:t>
      </w:r>
      <w:proofErr w:type="gramEnd"/>
      <w:r w:rsidRPr="0087441D">
        <w:rPr>
          <w:rFonts w:hAnsi="標楷體"/>
        </w:rPr>
        <w:t>，以及自由的終結</w:t>
      </w:r>
      <w:proofErr w:type="gramStart"/>
      <w:r w:rsidRPr="0087441D">
        <w:rPr>
          <w:rFonts w:hAnsi="標楷體"/>
        </w:rPr>
        <w:t>》《</w:t>
      </w:r>
      <w:proofErr w:type="gramEnd"/>
      <w:r w:rsidRPr="0087441D">
        <w:rPr>
          <w:rFonts w:hAnsi="標楷體"/>
        </w:rPr>
        <w:t>紐倫堡：一九四五年法庭上的危害人類罪</w:t>
      </w:r>
      <w:proofErr w:type="gramStart"/>
      <w:r w:rsidRPr="0087441D">
        <w:rPr>
          <w:rFonts w:hAnsi="標楷體"/>
        </w:rPr>
        <w:t>》</w:t>
      </w:r>
      <w:proofErr w:type="gramEnd"/>
      <w:r w:rsidRPr="0087441D">
        <w:rPr>
          <w:rFonts w:hAnsi="標楷體"/>
        </w:rPr>
        <w:t>等</w:t>
      </w:r>
      <w:r w:rsidRPr="0087441D">
        <w:rPr>
          <w:rFonts w:hAnsi="標楷體" w:hint="eastAsia"/>
        </w:rPr>
        <w:t>書。</w:t>
      </w:r>
    </w:p>
  </w:footnote>
  <w:footnote w:id="59">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法官的被害人：德國冤案事件簿-</w:t>
      </w:r>
      <w:r w:rsidRPr="0087441D">
        <w:rPr>
          <w:rFonts w:hAnsi="標楷體"/>
        </w:rPr>
        <w:t>Der Richter und sein Opfer: Wenn die Justiz sich irrt</w:t>
      </w:r>
      <w:r w:rsidRPr="0087441D">
        <w:rPr>
          <w:rFonts w:hAnsi="標楷體" w:hint="eastAsia"/>
        </w:rPr>
        <w:t>，原文作者：Thomas Darnstädt，譯者：鄭惠芬，</w:t>
      </w:r>
      <w:proofErr w:type="gramStart"/>
      <w:r w:rsidRPr="0087441D">
        <w:rPr>
          <w:rFonts w:hAnsi="標楷體" w:hint="eastAsia"/>
        </w:rPr>
        <w:t>衛城出版</w:t>
      </w:r>
      <w:proofErr w:type="gramEnd"/>
      <w:r w:rsidRPr="0087441D">
        <w:rPr>
          <w:rFonts w:hAnsi="標楷體" w:hint="eastAsia"/>
        </w:rPr>
        <w:t>，2016/08/31，頁359-365，</w:t>
      </w:r>
      <w:r w:rsidRPr="0087441D">
        <w:rPr>
          <w:rFonts w:hAnsi="標楷體" w:hint="eastAsia"/>
          <w:b/>
        </w:rPr>
        <w:t>事實上我們需要真誠的司法官</w:t>
      </w:r>
      <w:proofErr w:type="gramStart"/>
      <w:r w:rsidRPr="0087441D">
        <w:rPr>
          <w:rFonts w:hAnsi="標楷體"/>
          <w:b/>
        </w:rPr>
        <w:t>—</w:t>
      </w:r>
      <w:proofErr w:type="gramEnd"/>
      <w:r w:rsidRPr="0087441D">
        <w:rPr>
          <w:rFonts w:hAnsi="標楷體" w:hint="eastAsia"/>
          <w:b/>
        </w:rPr>
        <w:t>因為主觀真實的品質完全取決於</w:t>
      </w:r>
      <w:proofErr w:type="gramStart"/>
      <w:r w:rsidRPr="0087441D">
        <w:rPr>
          <w:rFonts w:hAnsi="標楷體" w:hint="eastAsia"/>
          <w:b/>
        </w:rPr>
        <w:t>偵</w:t>
      </w:r>
      <w:proofErr w:type="gramEnd"/>
      <w:r w:rsidRPr="0087441D">
        <w:rPr>
          <w:rFonts w:hAnsi="標楷體" w:hint="eastAsia"/>
          <w:b/>
        </w:rPr>
        <w:t>審主體身上。經由這條道路作出決定的司法官，應該沒有一分鐘可以享受到真正的平靜。真相不是客觀顯現的，不是人們一定要當成「真正事實」去找到的「真正的」真相。如果真正的真實出現了，也沒有任何機器會發出聲響。一切都得由司法官自己負責，誰也幫不了他。他需要的不是感覺，而是他的頭腦，法官如何能符合這個追求精確的科學世界</w:t>
      </w:r>
      <w:proofErr w:type="gramStart"/>
      <w:r w:rsidRPr="0087441D">
        <w:rPr>
          <w:rFonts w:hAnsi="標楷體"/>
          <w:b/>
        </w:rPr>
        <w:t>—</w:t>
      </w:r>
      <w:proofErr w:type="gramEnd"/>
      <w:r w:rsidRPr="0087441D">
        <w:rPr>
          <w:rFonts w:hAnsi="標楷體" w:hint="eastAsia"/>
          <w:b/>
        </w:rPr>
        <w:t>不是司法界</w:t>
      </w:r>
      <w:proofErr w:type="gramStart"/>
      <w:r w:rsidRPr="0087441D">
        <w:rPr>
          <w:rFonts w:hAnsi="標楷體"/>
          <w:b/>
        </w:rPr>
        <w:t>—</w:t>
      </w:r>
      <w:proofErr w:type="gramEnd"/>
      <w:r w:rsidRPr="0087441D">
        <w:rPr>
          <w:rFonts w:hAnsi="標楷體" w:hint="eastAsia"/>
          <w:b/>
        </w:rPr>
        <w:t>的高度要求？他又有什麼權力可以說脫離這種高標準而光憑「直覺」就想</w:t>
      </w:r>
      <w:proofErr w:type="gramStart"/>
      <w:r w:rsidRPr="0087441D">
        <w:rPr>
          <w:rFonts w:hAnsi="標楷體" w:hint="eastAsia"/>
          <w:b/>
        </w:rPr>
        <w:t>掐指算出</w:t>
      </w:r>
      <w:proofErr w:type="gramEnd"/>
      <w:r w:rsidRPr="0087441D">
        <w:rPr>
          <w:rFonts w:hAnsi="標楷體" w:hint="eastAsia"/>
          <w:b/>
        </w:rPr>
        <w:t>所謂的真實？唯有當司法系統性地關心發現真實的主體，發現真實的品質才有可能改善。</w:t>
      </w:r>
    </w:p>
  </w:footnote>
  <w:footnote w:id="60">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同儕審查制度</w:t>
      </w:r>
      <w:r w:rsidRPr="0087441D">
        <w:rPr>
          <w:rFonts w:hAnsi="標楷體"/>
        </w:rPr>
        <w:t>(peer review)</w:t>
      </w:r>
      <w:r w:rsidRPr="0087441D">
        <w:rPr>
          <w:rFonts w:hAnsi="標楷體" w:hint="eastAsia"/>
        </w:rPr>
        <w:t>，亦稱為審閱</w:t>
      </w:r>
      <w:r w:rsidRPr="0087441D">
        <w:rPr>
          <w:rFonts w:hAnsi="標楷體"/>
        </w:rPr>
        <w:t>(refereeing)</w:t>
      </w:r>
      <w:r w:rsidRPr="0087441D">
        <w:rPr>
          <w:rFonts w:hAnsi="標楷體" w:hint="eastAsia"/>
        </w:rPr>
        <w:t>，由一群專家鑑定學術著作是否達到出版標準。</w:t>
      </w:r>
    </w:p>
  </w:footnote>
  <w:footnote w:id="61">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雙盲試驗通常在試驗對象為人類時使用，目的是避免試驗的對象或進行試驗的人員的主觀偏向影響實驗的結果，通常雙盲試驗得出的結果會更為嚴謹。在雙盲試驗中，受試驗的對象及研究人員並不知道哪些對象屬於對照組，哪些屬於實驗組。只有在所有資料都收集及分析過之後，研究人員才會知道實驗對象所屬組別，即解盲（unblind）。</w:t>
      </w:r>
    </w:p>
  </w:footnote>
  <w:footnote w:id="62">
    <w:p w:rsidR="00156B94" w:rsidRPr="0087441D" w:rsidRDefault="00156B94" w:rsidP="005573BF">
      <w:pPr>
        <w:pStyle w:val="afc"/>
        <w:ind w:left="209" w:hangingChars="95" w:hanging="209"/>
        <w:rPr>
          <w:rFonts w:hAnsi="標楷體"/>
        </w:rPr>
      </w:pPr>
      <w:r w:rsidRPr="0087441D">
        <w:rPr>
          <w:rStyle w:val="afe"/>
          <w:rFonts w:hAnsi="標楷體"/>
        </w:rPr>
        <w:footnoteRef/>
      </w:r>
      <w:r w:rsidRPr="0087441D">
        <w:rPr>
          <w:rFonts w:hAnsi="標楷體"/>
        </w:rPr>
        <w:t xml:space="preserve"> </w:t>
      </w:r>
      <w:r w:rsidRPr="0087441D">
        <w:rPr>
          <w:rFonts w:hAnsi="標楷體" w:hint="eastAsia"/>
        </w:rPr>
        <w:t>就德國立法例而言，德國刑事訴訟法第244條第4項規定，當事人聲請調查證據，包含聲請法院以委託鑑定之方式為之。如初</w:t>
      </w:r>
      <w:proofErr w:type="gramStart"/>
      <w:r w:rsidRPr="0087441D">
        <w:rPr>
          <w:rFonts w:hAnsi="標楷體" w:hint="eastAsia"/>
        </w:rPr>
        <w:t>鑑</w:t>
      </w:r>
      <w:proofErr w:type="gramEnd"/>
      <w:r w:rsidRPr="0087441D">
        <w:rPr>
          <w:rFonts w:hAnsi="標楷體" w:hint="eastAsia"/>
        </w:rPr>
        <w:t>已足認定事實，法官可以拒絕重新鑑定(Neues Gutachten，依據該國刑事訴訟法第83條規定，此一重新鑑定包含同一鑑定人繼續鑑定與不同鑑定人之另行鑑定)。但有下列4種情形，法官不得拒絕重新鑑定：</w:t>
      </w:r>
    </w:p>
    <w:p w:rsidR="00156B94" w:rsidRPr="0087441D" w:rsidRDefault="00156B94" w:rsidP="005573BF">
      <w:pPr>
        <w:pStyle w:val="afc"/>
        <w:ind w:leftChars="65" w:left="221"/>
        <w:rPr>
          <w:rFonts w:hAnsi="標楷體"/>
        </w:rPr>
      </w:pPr>
      <w:r w:rsidRPr="0087441D">
        <w:rPr>
          <w:rFonts w:hAnsi="標楷體" w:hint="eastAsia"/>
        </w:rPr>
        <w:t>(１)先前之鑑定報告所</w:t>
      </w:r>
      <w:proofErr w:type="gramStart"/>
      <w:r w:rsidRPr="0087441D">
        <w:rPr>
          <w:rFonts w:hAnsi="標楷體" w:hint="eastAsia"/>
        </w:rPr>
        <w:t>採</w:t>
      </w:r>
      <w:proofErr w:type="gramEnd"/>
      <w:r w:rsidRPr="0087441D">
        <w:rPr>
          <w:rFonts w:hAnsi="標楷體" w:hint="eastAsia"/>
        </w:rPr>
        <w:t>專業意見是可疑的；</w:t>
      </w:r>
    </w:p>
    <w:p w:rsidR="00156B94" w:rsidRPr="0087441D" w:rsidRDefault="00156B94" w:rsidP="005573BF">
      <w:pPr>
        <w:pStyle w:val="afc"/>
        <w:ind w:leftChars="65" w:left="221"/>
        <w:rPr>
          <w:rFonts w:hAnsi="標楷體"/>
        </w:rPr>
      </w:pPr>
      <w:r w:rsidRPr="0087441D">
        <w:rPr>
          <w:rFonts w:hAnsi="標楷體" w:hint="eastAsia"/>
        </w:rPr>
        <w:t>(２)先前的鑑定報告是建立在不恰當或不正確的事實前提之上；</w:t>
      </w:r>
    </w:p>
    <w:p w:rsidR="00156B94" w:rsidRPr="0087441D" w:rsidRDefault="00156B94" w:rsidP="005573BF">
      <w:pPr>
        <w:pStyle w:val="afc"/>
        <w:ind w:leftChars="65" w:left="221"/>
        <w:rPr>
          <w:rFonts w:hAnsi="標楷體"/>
        </w:rPr>
      </w:pPr>
      <w:r w:rsidRPr="0087441D">
        <w:rPr>
          <w:rFonts w:hAnsi="標楷體" w:hint="eastAsia"/>
        </w:rPr>
        <w:t>(３)先前的鑑定報告內容出現矛盾；</w:t>
      </w:r>
    </w:p>
    <w:p w:rsidR="00156B94" w:rsidRPr="0087441D" w:rsidRDefault="00156B94" w:rsidP="005573BF">
      <w:pPr>
        <w:pStyle w:val="afc"/>
        <w:ind w:leftChars="65" w:left="221"/>
        <w:rPr>
          <w:rFonts w:hAnsi="標楷體"/>
        </w:rPr>
      </w:pPr>
      <w:r w:rsidRPr="0087441D">
        <w:rPr>
          <w:rFonts w:hAnsi="標楷體" w:hint="eastAsia"/>
        </w:rPr>
        <w:t>(４)重新鑑定之鑑定人使用的鑑定方式，較先前的鑑定方式更優越。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4A9"/>
    <w:multiLevelType w:val="hybridMultilevel"/>
    <w:tmpl w:val="95F0A9FA"/>
    <w:lvl w:ilvl="0" w:tplc="1A408CA2">
      <w:start w:val="1"/>
      <w:numFmt w:val="taiwaneseCountingThousand"/>
      <w:lvlText w:val="(%1)"/>
      <w:lvlJc w:val="left"/>
      <w:pPr>
        <w:ind w:left="645" w:hanging="495"/>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A71A12"/>
    <w:multiLevelType w:val="hybridMultilevel"/>
    <w:tmpl w:val="1C24ED88"/>
    <w:lvl w:ilvl="0" w:tplc="B2E476DA">
      <w:start w:val="1"/>
      <w:numFmt w:val="decimal"/>
      <w:lvlText w:val="（1%1）"/>
      <w:lvlJc w:val="left"/>
      <w:pPr>
        <w:ind w:left="2080" w:hanging="480"/>
      </w:pPr>
      <w:rPr>
        <w:rFonts w:hint="default"/>
        <w:b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560" w:hanging="480"/>
      </w:p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3" w15:restartNumberingAfterBreak="0">
    <w:nsid w:val="140E010C"/>
    <w:multiLevelType w:val="multilevel"/>
    <w:tmpl w:val="28E8C8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D9727C"/>
    <w:multiLevelType w:val="multilevel"/>
    <w:tmpl w:val="B7142388"/>
    <w:lvl w:ilvl="0">
      <w:start w:val="1"/>
      <w:numFmt w:val="ideographLegalTraditional"/>
      <w:suff w:val="nothing"/>
      <w:lvlText w:val="%1、"/>
      <w:lvlJc w:val="left"/>
      <w:pPr>
        <w:ind w:left="841" w:hanging="699"/>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1187" w:hanging="697"/>
      </w:pPr>
      <w:rPr>
        <w:rFonts w:ascii="標楷體" w:eastAsia="標楷體" w:hint="eastAsia"/>
        <w:b w:val="0"/>
        <w:i w:val="0"/>
        <w:snapToGrid/>
        <w:color w:val="auto"/>
        <w:spacing w:val="0"/>
        <w:w w:val="100"/>
        <w:position w:val="0"/>
        <w:sz w:val="32"/>
        <w:em w:val="none"/>
      </w:rPr>
    </w:lvl>
    <w:lvl w:ilvl="2">
      <w:start w:val="1"/>
      <w:numFmt w:val="taiwaneseCountingThousand"/>
      <w:suff w:val="nothing"/>
      <w:lvlText w:val="(%3)"/>
      <w:lvlJc w:val="left"/>
      <w:pPr>
        <w:ind w:left="1535" w:hanging="697"/>
      </w:pPr>
      <w:rPr>
        <w:rFonts w:ascii="標楷體" w:eastAsia="標楷體" w:hint="eastAsia"/>
        <w:b w:val="0"/>
        <w:i w:val="0"/>
        <w:spacing w:val="0"/>
        <w:w w:val="100"/>
        <w:position w:val="0"/>
        <w:sz w:val="32"/>
      </w:rPr>
    </w:lvl>
    <w:lvl w:ilvl="3">
      <w:start w:val="1"/>
      <w:numFmt w:val="decimalFullWidth"/>
      <w:suff w:val="nothing"/>
      <w:lvlText w:val="%4、"/>
      <w:lvlJc w:val="left"/>
      <w:pPr>
        <w:ind w:left="2541" w:hanging="698"/>
      </w:pPr>
      <w:rPr>
        <w:rFonts w:ascii="標楷體" w:eastAsia="標楷體" w:hint="eastAsia"/>
        <w:b w:val="0"/>
        <w:i w:val="0"/>
        <w:color w:val="auto"/>
        <w:spacing w:val="0"/>
        <w:w w:val="100"/>
        <w:position w:val="0"/>
        <w:sz w:val="32"/>
      </w:rPr>
    </w:lvl>
    <w:lvl w:ilvl="4">
      <w:start w:val="1"/>
      <w:numFmt w:val="decimal"/>
      <w:lvlText w:val="（%5）"/>
      <w:lvlJc w:val="left"/>
      <w:pPr>
        <w:ind w:left="1693" w:hanging="700"/>
      </w:pPr>
      <w:rPr>
        <w:rFonts w:ascii="標楷體" w:eastAsia="標楷體" w:hAnsi="標楷體"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FullWidth"/>
      <w:suff w:val="nothing"/>
      <w:lvlText w:val="&lt;%6&gt;"/>
      <w:lvlJc w:val="left"/>
      <w:pPr>
        <w:ind w:left="2586" w:hanging="71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bullet"/>
      <w:suff w:val="nothing"/>
      <w:lvlText w:val="․"/>
      <w:lvlJc w:val="left"/>
      <w:pPr>
        <w:ind w:left="2586"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932" w:hanging="34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6337"/>
        </w:tabs>
        <w:ind w:left="5157" w:hanging="1700"/>
      </w:pPr>
      <w:rPr>
        <w:rFonts w:hint="eastAsia"/>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95274F"/>
    <w:multiLevelType w:val="hybridMultilevel"/>
    <w:tmpl w:val="AB2A0C9C"/>
    <w:lvl w:ilvl="0" w:tplc="18140120">
      <w:start w:val="1"/>
      <w:numFmt w:val="taiwaneseCountingThousand"/>
      <w:lvlText w:val="%1、"/>
      <w:lvlJc w:val="left"/>
      <w:pPr>
        <w:ind w:left="968"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AD1391"/>
    <w:multiLevelType w:val="hybridMultilevel"/>
    <w:tmpl w:val="CDDCEAEC"/>
    <w:lvl w:ilvl="0" w:tplc="8736BB1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6"/>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0"/>
  </w:num>
  <w:num w:numId="34">
    <w:abstractNumId w:val="12"/>
  </w:num>
  <w:num w:numId="35">
    <w:abstractNumId w:val="7"/>
  </w:num>
  <w:num w:numId="36">
    <w:abstractNumId w:val="7"/>
  </w:num>
  <w:num w:numId="37">
    <w:abstractNumId w:val="7"/>
  </w:num>
  <w:num w:numId="38">
    <w:abstractNumId w:val="5"/>
  </w:num>
  <w:num w:numId="39">
    <w:abstractNumId w:val="8"/>
  </w:num>
  <w:num w:numId="40">
    <w:abstractNumId w:val="2"/>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61D"/>
    <w:rsid w:val="00006961"/>
    <w:rsid w:val="000112BF"/>
    <w:rsid w:val="00012233"/>
    <w:rsid w:val="00013CBB"/>
    <w:rsid w:val="00017318"/>
    <w:rsid w:val="000246F7"/>
    <w:rsid w:val="0002634F"/>
    <w:rsid w:val="00027F73"/>
    <w:rsid w:val="0003114D"/>
    <w:rsid w:val="000352CC"/>
    <w:rsid w:val="00036D76"/>
    <w:rsid w:val="000435F9"/>
    <w:rsid w:val="000562CB"/>
    <w:rsid w:val="00057F32"/>
    <w:rsid w:val="00062A25"/>
    <w:rsid w:val="00062C03"/>
    <w:rsid w:val="000649BA"/>
    <w:rsid w:val="00066293"/>
    <w:rsid w:val="000662D7"/>
    <w:rsid w:val="0007295C"/>
    <w:rsid w:val="00073CB5"/>
    <w:rsid w:val="0007425C"/>
    <w:rsid w:val="00077553"/>
    <w:rsid w:val="0008011B"/>
    <w:rsid w:val="000851A2"/>
    <w:rsid w:val="0009352E"/>
    <w:rsid w:val="00096B96"/>
    <w:rsid w:val="000A2F3F"/>
    <w:rsid w:val="000B0B4A"/>
    <w:rsid w:val="000B279A"/>
    <w:rsid w:val="000B31CE"/>
    <w:rsid w:val="000B61D2"/>
    <w:rsid w:val="000B70A7"/>
    <w:rsid w:val="000B7E64"/>
    <w:rsid w:val="000C034B"/>
    <w:rsid w:val="000C495F"/>
    <w:rsid w:val="000D047C"/>
    <w:rsid w:val="000D3EF4"/>
    <w:rsid w:val="000D625D"/>
    <w:rsid w:val="000E2521"/>
    <w:rsid w:val="000E46C2"/>
    <w:rsid w:val="000E6431"/>
    <w:rsid w:val="000F0918"/>
    <w:rsid w:val="000F21A5"/>
    <w:rsid w:val="000F3733"/>
    <w:rsid w:val="00102B9F"/>
    <w:rsid w:val="00107245"/>
    <w:rsid w:val="00110803"/>
    <w:rsid w:val="00110976"/>
    <w:rsid w:val="00112637"/>
    <w:rsid w:val="00112ABC"/>
    <w:rsid w:val="00115D10"/>
    <w:rsid w:val="0012001E"/>
    <w:rsid w:val="001205E8"/>
    <w:rsid w:val="0012377A"/>
    <w:rsid w:val="00124364"/>
    <w:rsid w:val="001246F7"/>
    <w:rsid w:val="00126A55"/>
    <w:rsid w:val="00133F08"/>
    <w:rsid w:val="001345E6"/>
    <w:rsid w:val="001378B0"/>
    <w:rsid w:val="001400A0"/>
    <w:rsid w:val="00141D5D"/>
    <w:rsid w:val="00142E00"/>
    <w:rsid w:val="00150505"/>
    <w:rsid w:val="00151C13"/>
    <w:rsid w:val="00152793"/>
    <w:rsid w:val="00153B7E"/>
    <w:rsid w:val="001545A9"/>
    <w:rsid w:val="00156B94"/>
    <w:rsid w:val="001611BC"/>
    <w:rsid w:val="001637C7"/>
    <w:rsid w:val="0016480E"/>
    <w:rsid w:val="00164928"/>
    <w:rsid w:val="00174297"/>
    <w:rsid w:val="00180E06"/>
    <w:rsid w:val="001817B3"/>
    <w:rsid w:val="00182068"/>
    <w:rsid w:val="00183014"/>
    <w:rsid w:val="00183A7B"/>
    <w:rsid w:val="00184D27"/>
    <w:rsid w:val="0019344E"/>
    <w:rsid w:val="001959C2"/>
    <w:rsid w:val="001A237D"/>
    <w:rsid w:val="001A4A8F"/>
    <w:rsid w:val="001A51E3"/>
    <w:rsid w:val="001A5B8B"/>
    <w:rsid w:val="001A7968"/>
    <w:rsid w:val="001B2E98"/>
    <w:rsid w:val="001B3483"/>
    <w:rsid w:val="001B367A"/>
    <w:rsid w:val="001B3C1E"/>
    <w:rsid w:val="001B4325"/>
    <w:rsid w:val="001B4494"/>
    <w:rsid w:val="001C0D8B"/>
    <w:rsid w:val="001C0DA8"/>
    <w:rsid w:val="001C1EB3"/>
    <w:rsid w:val="001C4560"/>
    <w:rsid w:val="001C4FB7"/>
    <w:rsid w:val="001D4925"/>
    <w:rsid w:val="001D4AD7"/>
    <w:rsid w:val="001E0D8A"/>
    <w:rsid w:val="001E6031"/>
    <w:rsid w:val="001E67BA"/>
    <w:rsid w:val="001E74C2"/>
    <w:rsid w:val="001F5A48"/>
    <w:rsid w:val="001F6260"/>
    <w:rsid w:val="00200007"/>
    <w:rsid w:val="002030A5"/>
    <w:rsid w:val="00203131"/>
    <w:rsid w:val="002059B9"/>
    <w:rsid w:val="00212AC1"/>
    <w:rsid w:val="00212E88"/>
    <w:rsid w:val="00213C9C"/>
    <w:rsid w:val="002160D5"/>
    <w:rsid w:val="0022009E"/>
    <w:rsid w:val="00220620"/>
    <w:rsid w:val="00223241"/>
    <w:rsid w:val="0022425C"/>
    <w:rsid w:val="002246DE"/>
    <w:rsid w:val="002312B8"/>
    <w:rsid w:val="00231666"/>
    <w:rsid w:val="00233B18"/>
    <w:rsid w:val="002410E4"/>
    <w:rsid w:val="00246B11"/>
    <w:rsid w:val="00251E4C"/>
    <w:rsid w:val="00251F13"/>
    <w:rsid w:val="00252BC4"/>
    <w:rsid w:val="00252CE1"/>
    <w:rsid w:val="00254014"/>
    <w:rsid w:val="0025443F"/>
    <w:rsid w:val="0026504D"/>
    <w:rsid w:val="002667CA"/>
    <w:rsid w:val="00266A60"/>
    <w:rsid w:val="00270975"/>
    <w:rsid w:val="00270A8A"/>
    <w:rsid w:val="00273A2F"/>
    <w:rsid w:val="00275701"/>
    <w:rsid w:val="00277393"/>
    <w:rsid w:val="00280986"/>
    <w:rsid w:val="00281ECE"/>
    <w:rsid w:val="002831C7"/>
    <w:rsid w:val="002840C6"/>
    <w:rsid w:val="00284FD2"/>
    <w:rsid w:val="00286A49"/>
    <w:rsid w:val="00294AE6"/>
    <w:rsid w:val="00295174"/>
    <w:rsid w:val="00296172"/>
    <w:rsid w:val="00296B92"/>
    <w:rsid w:val="00296E12"/>
    <w:rsid w:val="002A0548"/>
    <w:rsid w:val="002A2C22"/>
    <w:rsid w:val="002A552D"/>
    <w:rsid w:val="002B02EB"/>
    <w:rsid w:val="002B0767"/>
    <w:rsid w:val="002B4702"/>
    <w:rsid w:val="002C0602"/>
    <w:rsid w:val="002D3812"/>
    <w:rsid w:val="002D5638"/>
    <w:rsid w:val="002D5C16"/>
    <w:rsid w:val="002E4586"/>
    <w:rsid w:val="002F17C1"/>
    <w:rsid w:val="002F1E36"/>
    <w:rsid w:val="002F1F1F"/>
    <w:rsid w:val="002F2F0B"/>
    <w:rsid w:val="002F3DFF"/>
    <w:rsid w:val="002F46B8"/>
    <w:rsid w:val="002F5E05"/>
    <w:rsid w:val="003112EA"/>
    <w:rsid w:val="00311BE3"/>
    <w:rsid w:val="00315A16"/>
    <w:rsid w:val="0031634B"/>
    <w:rsid w:val="00317053"/>
    <w:rsid w:val="0032109C"/>
    <w:rsid w:val="00322B45"/>
    <w:rsid w:val="00323809"/>
    <w:rsid w:val="00323D41"/>
    <w:rsid w:val="00325414"/>
    <w:rsid w:val="003302F1"/>
    <w:rsid w:val="00333729"/>
    <w:rsid w:val="0034470E"/>
    <w:rsid w:val="00344A6D"/>
    <w:rsid w:val="00346430"/>
    <w:rsid w:val="00346DEF"/>
    <w:rsid w:val="00350C67"/>
    <w:rsid w:val="00352DB0"/>
    <w:rsid w:val="0035639E"/>
    <w:rsid w:val="00356812"/>
    <w:rsid w:val="00361063"/>
    <w:rsid w:val="00363605"/>
    <w:rsid w:val="0036424E"/>
    <w:rsid w:val="00364BD9"/>
    <w:rsid w:val="0037094A"/>
    <w:rsid w:val="00371ED3"/>
    <w:rsid w:val="00372FFC"/>
    <w:rsid w:val="0037728A"/>
    <w:rsid w:val="00377B49"/>
    <w:rsid w:val="003802C8"/>
    <w:rsid w:val="00380B7D"/>
    <w:rsid w:val="00381A99"/>
    <w:rsid w:val="003829C2"/>
    <w:rsid w:val="003830B2"/>
    <w:rsid w:val="00384724"/>
    <w:rsid w:val="0038509B"/>
    <w:rsid w:val="00386A05"/>
    <w:rsid w:val="003919B7"/>
    <w:rsid w:val="00391D57"/>
    <w:rsid w:val="00392207"/>
    <w:rsid w:val="00392292"/>
    <w:rsid w:val="003924E7"/>
    <w:rsid w:val="00392AE0"/>
    <w:rsid w:val="003B1017"/>
    <w:rsid w:val="003B2E03"/>
    <w:rsid w:val="003B3C07"/>
    <w:rsid w:val="003B49E1"/>
    <w:rsid w:val="003B6775"/>
    <w:rsid w:val="003C2088"/>
    <w:rsid w:val="003C5FE2"/>
    <w:rsid w:val="003C69F8"/>
    <w:rsid w:val="003D05DE"/>
    <w:rsid w:val="003D05FB"/>
    <w:rsid w:val="003D0A26"/>
    <w:rsid w:val="003D1B16"/>
    <w:rsid w:val="003D45BF"/>
    <w:rsid w:val="003D508A"/>
    <w:rsid w:val="003D537F"/>
    <w:rsid w:val="003D7B75"/>
    <w:rsid w:val="003D7C72"/>
    <w:rsid w:val="003E0208"/>
    <w:rsid w:val="003E06AF"/>
    <w:rsid w:val="003E1464"/>
    <w:rsid w:val="003E4B57"/>
    <w:rsid w:val="003E6479"/>
    <w:rsid w:val="003F016C"/>
    <w:rsid w:val="003F27E1"/>
    <w:rsid w:val="003F437A"/>
    <w:rsid w:val="003F5C2B"/>
    <w:rsid w:val="004023E9"/>
    <w:rsid w:val="0040454A"/>
    <w:rsid w:val="00411B2C"/>
    <w:rsid w:val="004128C4"/>
    <w:rsid w:val="0041291C"/>
    <w:rsid w:val="00413F83"/>
    <w:rsid w:val="0041490C"/>
    <w:rsid w:val="0041498A"/>
    <w:rsid w:val="00416191"/>
    <w:rsid w:val="00416721"/>
    <w:rsid w:val="004179BA"/>
    <w:rsid w:val="00421EF0"/>
    <w:rsid w:val="004224FA"/>
    <w:rsid w:val="00423D07"/>
    <w:rsid w:val="00425F81"/>
    <w:rsid w:val="00426B93"/>
    <w:rsid w:val="00430FE7"/>
    <w:rsid w:val="0044346F"/>
    <w:rsid w:val="00446158"/>
    <w:rsid w:val="0045342D"/>
    <w:rsid w:val="004544BF"/>
    <w:rsid w:val="00454604"/>
    <w:rsid w:val="00456455"/>
    <w:rsid w:val="00456A4D"/>
    <w:rsid w:val="0046520A"/>
    <w:rsid w:val="004672AB"/>
    <w:rsid w:val="004714FE"/>
    <w:rsid w:val="0047335D"/>
    <w:rsid w:val="0047612F"/>
    <w:rsid w:val="00477BAA"/>
    <w:rsid w:val="00491C6E"/>
    <w:rsid w:val="00491D5A"/>
    <w:rsid w:val="0049224B"/>
    <w:rsid w:val="00495053"/>
    <w:rsid w:val="00496E69"/>
    <w:rsid w:val="004A1F59"/>
    <w:rsid w:val="004A29BE"/>
    <w:rsid w:val="004A2CDB"/>
    <w:rsid w:val="004A3225"/>
    <w:rsid w:val="004A33EE"/>
    <w:rsid w:val="004A3999"/>
    <w:rsid w:val="004A3AA8"/>
    <w:rsid w:val="004A6454"/>
    <w:rsid w:val="004A72A3"/>
    <w:rsid w:val="004B13C7"/>
    <w:rsid w:val="004B717C"/>
    <w:rsid w:val="004B778F"/>
    <w:rsid w:val="004C37C2"/>
    <w:rsid w:val="004C4C05"/>
    <w:rsid w:val="004C63B6"/>
    <w:rsid w:val="004C678B"/>
    <w:rsid w:val="004C7B3E"/>
    <w:rsid w:val="004D1127"/>
    <w:rsid w:val="004D11DC"/>
    <w:rsid w:val="004D141F"/>
    <w:rsid w:val="004D2742"/>
    <w:rsid w:val="004D2915"/>
    <w:rsid w:val="004D6310"/>
    <w:rsid w:val="004E0062"/>
    <w:rsid w:val="004E05A1"/>
    <w:rsid w:val="004E0D35"/>
    <w:rsid w:val="004E7915"/>
    <w:rsid w:val="004F2950"/>
    <w:rsid w:val="004F5E57"/>
    <w:rsid w:val="004F6710"/>
    <w:rsid w:val="00500C3E"/>
    <w:rsid w:val="00502849"/>
    <w:rsid w:val="00504334"/>
    <w:rsid w:val="0050498D"/>
    <w:rsid w:val="00505535"/>
    <w:rsid w:val="00505679"/>
    <w:rsid w:val="00506701"/>
    <w:rsid w:val="005104D7"/>
    <w:rsid w:val="00510B9E"/>
    <w:rsid w:val="00515622"/>
    <w:rsid w:val="00515625"/>
    <w:rsid w:val="00516CBE"/>
    <w:rsid w:val="00516E25"/>
    <w:rsid w:val="0052389F"/>
    <w:rsid w:val="00536BC2"/>
    <w:rsid w:val="00540BED"/>
    <w:rsid w:val="0054111F"/>
    <w:rsid w:val="005425E1"/>
    <w:rsid w:val="005427C5"/>
    <w:rsid w:val="00542C27"/>
    <w:rsid w:val="00542CF6"/>
    <w:rsid w:val="00550F4A"/>
    <w:rsid w:val="00552F7D"/>
    <w:rsid w:val="00553C03"/>
    <w:rsid w:val="005573BF"/>
    <w:rsid w:val="00563692"/>
    <w:rsid w:val="005650EC"/>
    <w:rsid w:val="00565E34"/>
    <w:rsid w:val="00566A02"/>
    <w:rsid w:val="005714D0"/>
    <w:rsid w:val="00571679"/>
    <w:rsid w:val="00572D74"/>
    <w:rsid w:val="00575ACF"/>
    <w:rsid w:val="00580739"/>
    <w:rsid w:val="005844E7"/>
    <w:rsid w:val="005908B8"/>
    <w:rsid w:val="0059512E"/>
    <w:rsid w:val="00597E57"/>
    <w:rsid w:val="005A6DD2"/>
    <w:rsid w:val="005B40C8"/>
    <w:rsid w:val="005B4830"/>
    <w:rsid w:val="005C385D"/>
    <w:rsid w:val="005C78D7"/>
    <w:rsid w:val="005D1857"/>
    <w:rsid w:val="005D3B20"/>
    <w:rsid w:val="005E340B"/>
    <w:rsid w:val="005E4759"/>
    <w:rsid w:val="005E5C68"/>
    <w:rsid w:val="005E65C0"/>
    <w:rsid w:val="005F0390"/>
    <w:rsid w:val="005F141E"/>
    <w:rsid w:val="005F142F"/>
    <w:rsid w:val="005F5B4A"/>
    <w:rsid w:val="006011A9"/>
    <w:rsid w:val="00606F7E"/>
    <w:rsid w:val="006072CD"/>
    <w:rsid w:val="006075A9"/>
    <w:rsid w:val="00607830"/>
    <w:rsid w:val="00607F84"/>
    <w:rsid w:val="00612023"/>
    <w:rsid w:val="00614190"/>
    <w:rsid w:val="00622A99"/>
    <w:rsid w:val="00622E67"/>
    <w:rsid w:val="0062400C"/>
    <w:rsid w:val="00626D12"/>
    <w:rsid w:val="00626EDC"/>
    <w:rsid w:val="00627B6F"/>
    <w:rsid w:val="006339C7"/>
    <w:rsid w:val="00636868"/>
    <w:rsid w:val="00637283"/>
    <w:rsid w:val="0064207F"/>
    <w:rsid w:val="006463F7"/>
    <w:rsid w:val="006468C8"/>
    <w:rsid w:val="006470EC"/>
    <w:rsid w:val="006542D6"/>
    <w:rsid w:val="00654816"/>
    <w:rsid w:val="0065598E"/>
    <w:rsid w:val="00655AF2"/>
    <w:rsid w:val="00655BC5"/>
    <w:rsid w:val="006568BE"/>
    <w:rsid w:val="0066025D"/>
    <w:rsid w:val="0066091A"/>
    <w:rsid w:val="00662000"/>
    <w:rsid w:val="006773EC"/>
    <w:rsid w:val="006801D7"/>
    <w:rsid w:val="00680504"/>
    <w:rsid w:val="00680E22"/>
    <w:rsid w:val="00681CD9"/>
    <w:rsid w:val="006827A7"/>
    <w:rsid w:val="00683E30"/>
    <w:rsid w:val="00687024"/>
    <w:rsid w:val="00692F57"/>
    <w:rsid w:val="00695E22"/>
    <w:rsid w:val="00697219"/>
    <w:rsid w:val="006976A6"/>
    <w:rsid w:val="006A086F"/>
    <w:rsid w:val="006A289A"/>
    <w:rsid w:val="006A6DD7"/>
    <w:rsid w:val="006B0E41"/>
    <w:rsid w:val="006B7093"/>
    <w:rsid w:val="006B7417"/>
    <w:rsid w:val="006C58F4"/>
    <w:rsid w:val="006D10D1"/>
    <w:rsid w:val="006D3691"/>
    <w:rsid w:val="006E36A6"/>
    <w:rsid w:val="006E3877"/>
    <w:rsid w:val="006E5EF0"/>
    <w:rsid w:val="006F0092"/>
    <w:rsid w:val="006F3563"/>
    <w:rsid w:val="006F42B9"/>
    <w:rsid w:val="006F4A3B"/>
    <w:rsid w:val="006F6103"/>
    <w:rsid w:val="00702CD0"/>
    <w:rsid w:val="00704E00"/>
    <w:rsid w:val="00707843"/>
    <w:rsid w:val="007209E7"/>
    <w:rsid w:val="00726182"/>
    <w:rsid w:val="00727635"/>
    <w:rsid w:val="0073193E"/>
    <w:rsid w:val="00732329"/>
    <w:rsid w:val="007337CA"/>
    <w:rsid w:val="00734CE4"/>
    <w:rsid w:val="00735123"/>
    <w:rsid w:val="00741837"/>
    <w:rsid w:val="007453E6"/>
    <w:rsid w:val="0075161B"/>
    <w:rsid w:val="007614D5"/>
    <w:rsid w:val="007642CE"/>
    <w:rsid w:val="007724E3"/>
    <w:rsid w:val="0077309D"/>
    <w:rsid w:val="00773EEB"/>
    <w:rsid w:val="00775345"/>
    <w:rsid w:val="007774EE"/>
    <w:rsid w:val="007776A7"/>
    <w:rsid w:val="00781822"/>
    <w:rsid w:val="00783F21"/>
    <w:rsid w:val="00785C77"/>
    <w:rsid w:val="00786915"/>
    <w:rsid w:val="00787159"/>
    <w:rsid w:val="0079043A"/>
    <w:rsid w:val="00791668"/>
    <w:rsid w:val="00791AA1"/>
    <w:rsid w:val="007A19DA"/>
    <w:rsid w:val="007A3793"/>
    <w:rsid w:val="007A43A9"/>
    <w:rsid w:val="007B2184"/>
    <w:rsid w:val="007B6A16"/>
    <w:rsid w:val="007B7632"/>
    <w:rsid w:val="007C1BA2"/>
    <w:rsid w:val="007C237F"/>
    <w:rsid w:val="007C2B48"/>
    <w:rsid w:val="007C512E"/>
    <w:rsid w:val="007C5D57"/>
    <w:rsid w:val="007D20E9"/>
    <w:rsid w:val="007D4FEB"/>
    <w:rsid w:val="007D7881"/>
    <w:rsid w:val="007D7E3A"/>
    <w:rsid w:val="007D7F3D"/>
    <w:rsid w:val="007E0E10"/>
    <w:rsid w:val="007E4768"/>
    <w:rsid w:val="007E555D"/>
    <w:rsid w:val="007E5CE5"/>
    <w:rsid w:val="007E777B"/>
    <w:rsid w:val="007F072E"/>
    <w:rsid w:val="007F2039"/>
    <w:rsid w:val="007F2070"/>
    <w:rsid w:val="007F4C3B"/>
    <w:rsid w:val="007F5037"/>
    <w:rsid w:val="008017CF"/>
    <w:rsid w:val="0080511A"/>
    <w:rsid w:val="008053F5"/>
    <w:rsid w:val="008074D0"/>
    <w:rsid w:val="00807AF7"/>
    <w:rsid w:val="00810198"/>
    <w:rsid w:val="00813AC2"/>
    <w:rsid w:val="00815DA8"/>
    <w:rsid w:val="008170F3"/>
    <w:rsid w:val="0081785D"/>
    <w:rsid w:val="00820952"/>
    <w:rsid w:val="0082194D"/>
    <w:rsid w:val="008227BE"/>
    <w:rsid w:val="00823DA6"/>
    <w:rsid w:val="0082605C"/>
    <w:rsid w:val="00826EF5"/>
    <w:rsid w:val="00831693"/>
    <w:rsid w:val="00834439"/>
    <w:rsid w:val="008350B8"/>
    <w:rsid w:val="00840104"/>
    <w:rsid w:val="00840C1F"/>
    <w:rsid w:val="00840F33"/>
    <w:rsid w:val="00841FC5"/>
    <w:rsid w:val="00844D3B"/>
    <w:rsid w:val="00845709"/>
    <w:rsid w:val="0084619D"/>
    <w:rsid w:val="00846AF1"/>
    <w:rsid w:val="008470FF"/>
    <w:rsid w:val="00852962"/>
    <w:rsid w:val="008576BD"/>
    <w:rsid w:val="00860463"/>
    <w:rsid w:val="00861EBD"/>
    <w:rsid w:val="0086764E"/>
    <w:rsid w:val="008721B6"/>
    <w:rsid w:val="008733DA"/>
    <w:rsid w:val="0087441D"/>
    <w:rsid w:val="008745CF"/>
    <w:rsid w:val="00883DA8"/>
    <w:rsid w:val="008850E4"/>
    <w:rsid w:val="008859FB"/>
    <w:rsid w:val="00893240"/>
    <w:rsid w:val="008939AB"/>
    <w:rsid w:val="0089638B"/>
    <w:rsid w:val="00897B5D"/>
    <w:rsid w:val="008A12F5"/>
    <w:rsid w:val="008A4036"/>
    <w:rsid w:val="008B1587"/>
    <w:rsid w:val="008B1B01"/>
    <w:rsid w:val="008B3BCD"/>
    <w:rsid w:val="008B5166"/>
    <w:rsid w:val="008B58C3"/>
    <w:rsid w:val="008B5AE5"/>
    <w:rsid w:val="008B6DF8"/>
    <w:rsid w:val="008C106C"/>
    <w:rsid w:val="008C10F1"/>
    <w:rsid w:val="008C1926"/>
    <w:rsid w:val="008C1E99"/>
    <w:rsid w:val="008D2115"/>
    <w:rsid w:val="008D300C"/>
    <w:rsid w:val="008D617E"/>
    <w:rsid w:val="008E0085"/>
    <w:rsid w:val="008E2AA6"/>
    <w:rsid w:val="008E311B"/>
    <w:rsid w:val="008E7651"/>
    <w:rsid w:val="008F0FD8"/>
    <w:rsid w:val="008F46E7"/>
    <w:rsid w:val="008F47EA"/>
    <w:rsid w:val="008F6F0B"/>
    <w:rsid w:val="00904E2E"/>
    <w:rsid w:val="00907BA7"/>
    <w:rsid w:val="0091064E"/>
    <w:rsid w:val="00911FC5"/>
    <w:rsid w:val="00914D05"/>
    <w:rsid w:val="00915FBF"/>
    <w:rsid w:val="00921120"/>
    <w:rsid w:val="00931A10"/>
    <w:rsid w:val="009327E2"/>
    <w:rsid w:val="00936DD5"/>
    <w:rsid w:val="00945EBF"/>
    <w:rsid w:val="00947967"/>
    <w:rsid w:val="00953996"/>
    <w:rsid w:val="00953B7E"/>
    <w:rsid w:val="009542FA"/>
    <w:rsid w:val="00955201"/>
    <w:rsid w:val="00961D3D"/>
    <w:rsid w:val="00965200"/>
    <w:rsid w:val="00965FA2"/>
    <w:rsid w:val="009668B3"/>
    <w:rsid w:val="00970B41"/>
    <w:rsid w:val="00971335"/>
    <w:rsid w:val="00971471"/>
    <w:rsid w:val="00972BA5"/>
    <w:rsid w:val="00974E5D"/>
    <w:rsid w:val="0097595D"/>
    <w:rsid w:val="00980D96"/>
    <w:rsid w:val="009849C2"/>
    <w:rsid w:val="00984D24"/>
    <w:rsid w:val="009858EB"/>
    <w:rsid w:val="00994524"/>
    <w:rsid w:val="009A40DA"/>
    <w:rsid w:val="009B0046"/>
    <w:rsid w:val="009B6D54"/>
    <w:rsid w:val="009C0E22"/>
    <w:rsid w:val="009C1440"/>
    <w:rsid w:val="009C2107"/>
    <w:rsid w:val="009C2996"/>
    <w:rsid w:val="009C47FD"/>
    <w:rsid w:val="009C4D7B"/>
    <w:rsid w:val="009C5D9E"/>
    <w:rsid w:val="009D2C3E"/>
    <w:rsid w:val="009D2CDE"/>
    <w:rsid w:val="009D3C4B"/>
    <w:rsid w:val="009D55E6"/>
    <w:rsid w:val="009D60E4"/>
    <w:rsid w:val="009E0625"/>
    <w:rsid w:val="009E22F2"/>
    <w:rsid w:val="009E24EF"/>
    <w:rsid w:val="009E3034"/>
    <w:rsid w:val="009E549F"/>
    <w:rsid w:val="009F28A8"/>
    <w:rsid w:val="009F473E"/>
    <w:rsid w:val="009F5437"/>
    <w:rsid w:val="009F682A"/>
    <w:rsid w:val="009F7C92"/>
    <w:rsid w:val="00A022BE"/>
    <w:rsid w:val="00A02B8B"/>
    <w:rsid w:val="00A03335"/>
    <w:rsid w:val="00A0603F"/>
    <w:rsid w:val="00A164D6"/>
    <w:rsid w:val="00A16CA0"/>
    <w:rsid w:val="00A2030E"/>
    <w:rsid w:val="00A24C95"/>
    <w:rsid w:val="00A2599A"/>
    <w:rsid w:val="00A26094"/>
    <w:rsid w:val="00A301BF"/>
    <w:rsid w:val="00A302B2"/>
    <w:rsid w:val="00A33117"/>
    <w:rsid w:val="00A331B4"/>
    <w:rsid w:val="00A33E05"/>
    <w:rsid w:val="00A3484E"/>
    <w:rsid w:val="00A356D3"/>
    <w:rsid w:val="00A36ADA"/>
    <w:rsid w:val="00A438D8"/>
    <w:rsid w:val="00A473F5"/>
    <w:rsid w:val="00A478C7"/>
    <w:rsid w:val="00A51F9D"/>
    <w:rsid w:val="00A5416A"/>
    <w:rsid w:val="00A639F4"/>
    <w:rsid w:val="00A74927"/>
    <w:rsid w:val="00A749FD"/>
    <w:rsid w:val="00A813B6"/>
    <w:rsid w:val="00A81A32"/>
    <w:rsid w:val="00A835BD"/>
    <w:rsid w:val="00A97B15"/>
    <w:rsid w:val="00AA0B17"/>
    <w:rsid w:val="00AA2883"/>
    <w:rsid w:val="00AA3F5F"/>
    <w:rsid w:val="00AA42D5"/>
    <w:rsid w:val="00AA55A0"/>
    <w:rsid w:val="00AB2FAB"/>
    <w:rsid w:val="00AB5050"/>
    <w:rsid w:val="00AB5C14"/>
    <w:rsid w:val="00AC1EE7"/>
    <w:rsid w:val="00AC333F"/>
    <w:rsid w:val="00AC43C7"/>
    <w:rsid w:val="00AC51A9"/>
    <w:rsid w:val="00AC585C"/>
    <w:rsid w:val="00AD1925"/>
    <w:rsid w:val="00AD62EA"/>
    <w:rsid w:val="00AE067D"/>
    <w:rsid w:val="00AE2ABD"/>
    <w:rsid w:val="00AE4546"/>
    <w:rsid w:val="00AE6B70"/>
    <w:rsid w:val="00AF1181"/>
    <w:rsid w:val="00AF2F79"/>
    <w:rsid w:val="00AF4653"/>
    <w:rsid w:val="00AF7158"/>
    <w:rsid w:val="00AF7DB7"/>
    <w:rsid w:val="00B046D9"/>
    <w:rsid w:val="00B07464"/>
    <w:rsid w:val="00B16D02"/>
    <w:rsid w:val="00B201E2"/>
    <w:rsid w:val="00B2587A"/>
    <w:rsid w:val="00B31A6D"/>
    <w:rsid w:val="00B34D5E"/>
    <w:rsid w:val="00B37965"/>
    <w:rsid w:val="00B443E4"/>
    <w:rsid w:val="00B473AE"/>
    <w:rsid w:val="00B51FF7"/>
    <w:rsid w:val="00B54082"/>
    <w:rsid w:val="00B563EA"/>
    <w:rsid w:val="00B60E51"/>
    <w:rsid w:val="00B61423"/>
    <w:rsid w:val="00B63A54"/>
    <w:rsid w:val="00B6654F"/>
    <w:rsid w:val="00B706DC"/>
    <w:rsid w:val="00B73F4F"/>
    <w:rsid w:val="00B77D18"/>
    <w:rsid w:val="00B82F75"/>
    <w:rsid w:val="00B82FAA"/>
    <w:rsid w:val="00B8313A"/>
    <w:rsid w:val="00B8438E"/>
    <w:rsid w:val="00B93503"/>
    <w:rsid w:val="00B958EB"/>
    <w:rsid w:val="00BA31E8"/>
    <w:rsid w:val="00BA55E0"/>
    <w:rsid w:val="00BA62CD"/>
    <w:rsid w:val="00BA6BD4"/>
    <w:rsid w:val="00BA6C7A"/>
    <w:rsid w:val="00BB3752"/>
    <w:rsid w:val="00BB6688"/>
    <w:rsid w:val="00BC0AFC"/>
    <w:rsid w:val="00BC26D4"/>
    <w:rsid w:val="00BD3736"/>
    <w:rsid w:val="00BD3D8E"/>
    <w:rsid w:val="00BE0C80"/>
    <w:rsid w:val="00BE13AF"/>
    <w:rsid w:val="00BE1F7E"/>
    <w:rsid w:val="00BE463C"/>
    <w:rsid w:val="00BF2A42"/>
    <w:rsid w:val="00BF3679"/>
    <w:rsid w:val="00BF4DE5"/>
    <w:rsid w:val="00C00C96"/>
    <w:rsid w:val="00C00F8E"/>
    <w:rsid w:val="00C03D8C"/>
    <w:rsid w:val="00C0484F"/>
    <w:rsid w:val="00C04AC2"/>
    <w:rsid w:val="00C055EC"/>
    <w:rsid w:val="00C10DC9"/>
    <w:rsid w:val="00C12FB3"/>
    <w:rsid w:val="00C17341"/>
    <w:rsid w:val="00C20DCE"/>
    <w:rsid w:val="00C24EEF"/>
    <w:rsid w:val="00C25CF6"/>
    <w:rsid w:val="00C26C36"/>
    <w:rsid w:val="00C32768"/>
    <w:rsid w:val="00C34EB0"/>
    <w:rsid w:val="00C35CD1"/>
    <w:rsid w:val="00C36653"/>
    <w:rsid w:val="00C430DA"/>
    <w:rsid w:val="00C431DF"/>
    <w:rsid w:val="00C44EA8"/>
    <w:rsid w:val="00C456BD"/>
    <w:rsid w:val="00C52AFF"/>
    <w:rsid w:val="00C530DC"/>
    <w:rsid w:val="00C5350D"/>
    <w:rsid w:val="00C6123C"/>
    <w:rsid w:val="00C6311A"/>
    <w:rsid w:val="00C63E23"/>
    <w:rsid w:val="00C660A0"/>
    <w:rsid w:val="00C7084D"/>
    <w:rsid w:val="00C7315E"/>
    <w:rsid w:val="00C732C7"/>
    <w:rsid w:val="00C75895"/>
    <w:rsid w:val="00C81729"/>
    <w:rsid w:val="00C83C9F"/>
    <w:rsid w:val="00C83EE9"/>
    <w:rsid w:val="00C9175D"/>
    <w:rsid w:val="00C93329"/>
    <w:rsid w:val="00C94840"/>
    <w:rsid w:val="00CA1F14"/>
    <w:rsid w:val="00CA2697"/>
    <w:rsid w:val="00CA4EE3"/>
    <w:rsid w:val="00CB027F"/>
    <w:rsid w:val="00CB29BE"/>
    <w:rsid w:val="00CB772A"/>
    <w:rsid w:val="00CC0EBB"/>
    <w:rsid w:val="00CC25B9"/>
    <w:rsid w:val="00CC4DFD"/>
    <w:rsid w:val="00CC6297"/>
    <w:rsid w:val="00CC7690"/>
    <w:rsid w:val="00CD0D7A"/>
    <w:rsid w:val="00CD1986"/>
    <w:rsid w:val="00CD54BF"/>
    <w:rsid w:val="00CD7F0E"/>
    <w:rsid w:val="00CE26AC"/>
    <w:rsid w:val="00CE314E"/>
    <w:rsid w:val="00CE4D5C"/>
    <w:rsid w:val="00CF05DA"/>
    <w:rsid w:val="00CF1752"/>
    <w:rsid w:val="00CF2AFF"/>
    <w:rsid w:val="00CF58EB"/>
    <w:rsid w:val="00CF6FEC"/>
    <w:rsid w:val="00D002A4"/>
    <w:rsid w:val="00D0106E"/>
    <w:rsid w:val="00D06383"/>
    <w:rsid w:val="00D12341"/>
    <w:rsid w:val="00D20E85"/>
    <w:rsid w:val="00D24615"/>
    <w:rsid w:val="00D3009D"/>
    <w:rsid w:val="00D3405F"/>
    <w:rsid w:val="00D3461D"/>
    <w:rsid w:val="00D35DEE"/>
    <w:rsid w:val="00D37842"/>
    <w:rsid w:val="00D42DC2"/>
    <w:rsid w:val="00D512B9"/>
    <w:rsid w:val="00D52254"/>
    <w:rsid w:val="00D537E1"/>
    <w:rsid w:val="00D55BB2"/>
    <w:rsid w:val="00D567A3"/>
    <w:rsid w:val="00D6091A"/>
    <w:rsid w:val="00D6287A"/>
    <w:rsid w:val="00D6605A"/>
    <w:rsid w:val="00D6695F"/>
    <w:rsid w:val="00D75644"/>
    <w:rsid w:val="00D81656"/>
    <w:rsid w:val="00D83D87"/>
    <w:rsid w:val="00D84A6D"/>
    <w:rsid w:val="00D858C2"/>
    <w:rsid w:val="00D86A30"/>
    <w:rsid w:val="00D87A90"/>
    <w:rsid w:val="00D97CB4"/>
    <w:rsid w:val="00D97DD4"/>
    <w:rsid w:val="00DA332A"/>
    <w:rsid w:val="00DA5A8A"/>
    <w:rsid w:val="00DB26CD"/>
    <w:rsid w:val="00DB441C"/>
    <w:rsid w:val="00DB44AF"/>
    <w:rsid w:val="00DC10D9"/>
    <w:rsid w:val="00DC1F58"/>
    <w:rsid w:val="00DC339B"/>
    <w:rsid w:val="00DC5D40"/>
    <w:rsid w:val="00DC69A7"/>
    <w:rsid w:val="00DD30E9"/>
    <w:rsid w:val="00DD4F47"/>
    <w:rsid w:val="00DD5C17"/>
    <w:rsid w:val="00DD6E40"/>
    <w:rsid w:val="00DD6FCD"/>
    <w:rsid w:val="00DD7FBB"/>
    <w:rsid w:val="00DE0B9F"/>
    <w:rsid w:val="00DE128D"/>
    <w:rsid w:val="00DE1B79"/>
    <w:rsid w:val="00DE4238"/>
    <w:rsid w:val="00DE657F"/>
    <w:rsid w:val="00DF1218"/>
    <w:rsid w:val="00DF37AE"/>
    <w:rsid w:val="00DF4744"/>
    <w:rsid w:val="00DF6462"/>
    <w:rsid w:val="00E02FA0"/>
    <w:rsid w:val="00E036DC"/>
    <w:rsid w:val="00E07C07"/>
    <w:rsid w:val="00E10454"/>
    <w:rsid w:val="00E112E5"/>
    <w:rsid w:val="00E12CC8"/>
    <w:rsid w:val="00E136A5"/>
    <w:rsid w:val="00E15352"/>
    <w:rsid w:val="00E1786D"/>
    <w:rsid w:val="00E21CC7"/>
    <w:rsid w:val="00E2257B"/>
    <w:rsid w:val="00E24D9E"/>
    <w:rsid w:val="00E25849"/>
    <w:rsid w:val="00E3197E"/>
    <w:rsid w:val="00E342F8"/>
    <w:rsid w:val="00E351ED"/>
    <w:rsid w:val="00E4148F"/>
    <w:rsid w:val="00E42576"/>
    <w:rsid w:val="00E4377F"/>
    <w:rsid w:val="00E56592"/>
    <w:rsid w:val="00E6034B"/>
    <w:rsid w:val="00E60A83"/>
    <w:rsid w:val="00E6549E"/>
    <w:rsid w:val="00E65EDE"/>
    <w:rsid w:val="00E70F81"/>
    <w:rsid w:val="00E75AA4"/>
    <w:rsid w:val="00E77055"/>
    <w:rsid w:val="00E77460"/>
    <w:rsid w:val="00E81ACA"/>
    <w:rsid w:val="00E83ABC"/>
    <w:rsid w:val="00E844F2"/>
    <w:rsid w:val="00E8661E"/>
    <w:rsid w:val="00E90AD0"/>
    <w:rsid w:val="00E91994"/>
    <w:rsid w:val="00E92FCB"/>
    <w:rsid w:val="00EA0F10"/>
    <w:rsid w:val="00EA147F"/>
    <w:rsid w:val="00EA4A27"/>
    <w:rsid w:val="00EA4FA6"/>
    <w:rsid w:val="00EB1A25"/>
    <w:rsid w:val="00EB658C"/>
    <w:rsid w:val="00EC3741"/>
    <w:rsid w:val="00ED03AB"/>
    <w:rsid w:val="00ED1CD4"/>
    <w:rsid w:val="00ED1D2B"/>
    <w:rsid w:val="00ED4CAC"/>
    <w:rsid w:val="00ED64B5"/>
    <w:rsid w:val="00ED6C8E"/>
    <w:rsid w:val="00ED7B57"/>
    <w:rsid w:val="00EE7CCA"/>
    <w:rsid w:val="00EF2FE1"/>
    <w:rsid w:val="00EF47A3"/>
    <w:rsid w:val="00EF5A8E"/>
    <w:rsid w:val="00F016B5"/>
    <w:rsid w:val="00F04D57"/>
    <w:rsid w:val="00F07631"/>
    <w:rsid w:val="00F145A4"/>
    <w:rsid w:val="00F159FF"/>
    <w:rsid w:val="00F15EE2"/>
    <w:rsid w:val="00F16A14"/>
    <w:rsid w:val="00F2687D"/>
    <w:rsid w:val="00F32D3C"/>
    <w:rsid w:val="00F333F2"/>
    <w:rsid w:val="00F33BB6"/>
    <w:rsid w:val="00F34CF3"/>
    <w:rsid w:val="00F362D7"/>
    <w:rsid w:val="00F37D7B"/>
    <w:rsid w:val="00F44CDD"/>
    <w:rsid w:val="00F51CA7"/>
    <w:rsid w:val="00F5314C"/>
    <w:rsid w:val="00F5381A"/>
    <w:rsid w:val="00F5688C"/>
    <w:rsid w:val="00F635DD"/>
    <w:rsid w:val="00F65406"/>
    <w:rsid w:val="00F6627B"/>
    <w:rsid w:val="00F701D7"/>
    <w:rsid w:val="00F707CB"/>
    <w:rsid w:val="00F7336E"/>
    <w:rsid w:val="00F734F2"/>
    <w:rsid w:val="00F75052"/>
    <w:rsid w:val="00F7685C"/>
    <w:rsid w:val="00F77071"/>
    <w:rsid w:val="00F804D3"/>
    <w:rsid w:val="00F81CD2"/>
    <w:rsid w:val="00F8261D"/>
    <w:rsid w:val="00F82641"/>
    <w:rsid w:val="00F84336"/>
    <w:rsid w:val="00F90F18"/>
    <w:rsid w:val="00F937E4"/>
    <w:rsid w:val="00F95EE7"/>
    <w:rsid w:val="00F960FD"/>
    <w:rsid w:val="00FA0BC1"/>
    <w:rsid w:val="00FA39E6"/>
    <w:rsid w:val="00FA7665"/>
    <w:rsid w:val="00FA7BC9"/>
    <w:rsid w:val="00FB378E"/>
    <w:rsid w:val="00FB37F1"/>
    <w:rsid w:val="00FB47C0"/>
    <w:rsid w:val="00FB501B"/>
    <w:rsid w:val="00FB7770"/>
    <w:rsid w:val="00FC2280"/>
    <w:rsid w:val="00FC5123"/>
    <w:rsid w:val="00FC74F7"/>
    <w:rsid w:val="00FD3B91"/>
    <w:rsid w:val="00FD3EE9"/>
    <w:rsid w:val="00FD576B"/>
    <w:rsid w:val="00FD579E"/>
    <w:rsid w:val="00FD6845"/>
    <w:rsid w:val="00FE4516"/>
    <w:rsid w:val="00FE64C8"/>
    <w:rsid w:val="00FE7CE6"/>
    <w:rsid w:val="00FF03BC"/>
    <w:rsid w:val="00FF1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F318D9-6A45-4E90-90B8-B0890F7E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25"/>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25"/>
      </w:numPr>
      <w:ind w:left="1021"/>
      <w:outlineLvl w:val="1"/>
    </w:pPr>
    <w:rPr>
      <w:rFonts w:hAnsi="Arial"/>
      <w:bCs/>
      <w:kern w:val="32"/>
      <w:szCs w:val="48"/>
    </w:rPr>
  </w:style>
  <w:style w:type="paragraph" w:styleId="3">
    <w:name w:val="heading 3"/>
    <w:aliases w:val="(一)"/>
    <w:basedOn w:val="a6"/>
    <w:link w:val="30"/>
    <w:uiPriority w:val="9"/>
    <w:qFormat/>
    <w:rsid w:val="004F5E57"/>
    <w:pPr>
      <w:numPr>
        <w:ilvl w:val="2"/>
        <w:numId w:val="25"/>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aliases w:val="1"/>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25"/>
      </w:numPr>
      <w:outlineLvl w:val="6"/>
    </w:pPr>
    <w:rPr>
      <w:rFonts w:hAnsi="Arial"/>
      <w:bCs/>
      <w:kern w:val="32"/>
      <w:szCs w:val="36"/>
    </w:rPr>
  </w:style>
  <w:style w:type="paragraph" w:styleId="8">
    <w:name w:val="heading 8"/>
    <w:basedOn w:val="a6"/>
    <w:link w:val="80"/>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d"/>
    <w:uiPriority w:val="99"/>
    <w:unhideWhenUsed/>
    <w:rsid w:val="00B82FAA"/>
    <w:pPr>
      <w:snapToGrid w:val="0"/>
      <w:jc w:val="left"/>
    </w:pPr>
    <w:rPr>
      <w:sz w:val="20"/>
    </w:rPr>
  </w:style>
  <w:style w:type="character" w:customStyle="1" w:styleId="afd">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c"/>
    <w:rsid w:val="00B82FAA"/>
    <w:rPr>
      <w:rFonts w:ascii="標楷體" w:eastAsia="標楷體"/>
      <w:kern w:val="2"/>
    </w:rPr>
  </w:style>
  <w:style w:type="character" w:styleId="afe">
    <w:name w:val="footnote reference"/>
    <w:basedOn w:val="a7"/>
    <w:uiPriority w:val="99"/>
    <w:semiHidden/>
    <w:unhideWhenUsed/>
    <w:rsid w:val="00B82FAA"/>
    <w:rPr>
      <w:vertAlign w:val="superscript"/>
    </w:rPr>
  </w:style>
  <w:style w:type="paragraph" w:styleId="aff">
    <w:name w:val="No Spacing"/>
    <w:link w:val="aff0"/>
    <w:uiPriority w:val="1"/>
    <w:qFormat/>
    <w:rsid w:val="000352CC"/>
    <w:rPr>
      <w:rFonts w:ascii="Calibri" w:hAnsi="Calibri"/>
      <w:sz w:val="22"/>
      <w:szCs w:val="22"/>
    </w:rPr>
  </w:style>
  <w:style w:type="character" w:customStyle="1" w:styleId="aff0">
    <w:name w:val="無間距 字元"/>
    <w:link w:val="aff"/>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1">
    <w:name w:val="壹 字元"/>
    <w:basedOn w:val="a7"/>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2">
    <w:name w:val="FollowedHyperlink"/>
    <w:basedOn w:val="a7"/>
    <w:uiPriority w:val="99"/>
    <w:semiHidden/>
    <w:unhideWhenUsed/>
    <w:rsid w:val="00EC3741"/>
    <w:rPr>
      <w:color w:val="800080"/>
      <w:u w:val="single"/>
    </w:rPr>
  </w:style>
  <w:style w:type="paragraph" w:customStyle="1" w:styleId="font5">
    <w:name w:val="font5"/>
    <w:basedOn w:val="a6"/>
    <w:rsid w:val="00EC374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EC3741"/>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EC3741"/>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EC3741"/>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EC3741"/>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EC3741"/>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EC3741"/>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EC3741"/>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EC3741"/>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EC3741"/>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table" w:customStyle="1" w:styleId="15">
    <w:name w:val="表格格線1"/>
    <w:basedOn w:val="a8"/>
    <w:next w:val="af8"/>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EC3741"/>
    <w:rPr>
      <w:rFonts w:ascii="標楷體" w:eastAsia="標楷體"/>
      <w:kern w:val="2"/>
    </w:rPr>
  </w:style>
  <w:style w:type="character" w:customStyle="1" w:styleId="af5">
    <w:name w:val="頁尾 字元"/>
    <w:basedOn w:val="a7"/>
    <w:link w:val="af4"/>
    <w:uiPriority w:val="99"/>
    <w:rsid w:val="00EC374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32D1-34B3-496D-9FFC-6A802459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97</Pages>
  <Words>18768</Words>
  <Characters>31155</Characters>
  <Application>Microsoft Office Word</Application>
  <DocSecurity>0</DocSecurity>
  <Lines>5192</Lines>
  <Paragraphs>4538</Paragraphs>
  <ScaleCrop>false</ScaleCrop>
  <Company>cy</Company>
  <LinksUpToDate>false</LinksUpToDate>
  <CharactersWithSpaces>45385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鄭裕發</cp:lastModifiedBy>
  <cp:revision>2</cp:revision>
  <cp:lastPrinted>2016-11-03T04:01:00Z</cp:lastPrinted>
  <dcterms:created xsi:type="dcterms:W3CDTF">2016-11-10T07:12:00Z</dcterms:created>
  <dcterms:modified xsi:type="dcterms:W3CDTF">2016-11-10T07:12:00Z</dcterms:modified>
</cp:coreProperties>
</file>