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15" w:rsidRDefault="00CC7F15" w:rsidP="002178BB">
      <w:pPr>
        <w:pStyle w:val="1"/>
        <w:numPr>
          <w:ilvl w:val="0"/>
          <w:numId w:val="0"/>
        </w:numPr>
        <w:jc w:val="center"/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r>
        <w:rPr>
          <w:rFonts w:hint="eastAsia"/>
        </w:rPr>
        <w:t>調</w:t>
      </w:r>
      <w:r w:rsidR="002178BB">
        <w:rPr>
          <w:rFonts w:hint="eastAsia"/>
        </w:rPr>
        <w:t xml:space="preserve"> </w:t>
      </w:r>
      <w:r>
        <w:rPr>
          <w:rFonts w:hint="eastAsia"/>
        </w:rPr>
        <w:t>查</w:t>
      </w:r>
      <w:r w:rsidR="002178BB">
        <w:rPr>
          <w:rFonts w:hint="eastAsia"/>
        </w:rPr>
        <w:t xml:space="preserve"> </w:t>
      </w:r>
      <w:r w:rsidR="00823303">
        <w:rPr>
          <w:rFonts w:hint="eastAsia"/>
        </w:rPr>
        <w:t>意</w:t>
      </w:r>
      <w:r w:rsidR="002178BB">
        <w:rPr>
          <w:rFonts w:hint="eastAsia"/>
        </w:rPr>
        <w:t xml:space="preserve"> </w:t>
      </w:r>
      <w:r w:rsidR="00823303">
        <w:rPr>
          <w:rFonts w:hint="eastAsia"/>
        </w:rPr>
        <w:t>見</w:t>
      </w:r>
    </w:p>
    <w:p w:rsidR="00BE5CB8" w:rsidRPr="002178BB" w:rsidRDefault="00BE5CB8" w:rsidP="00C44261">
      <w:pPr>
        <w:pStyle w:val="2"/>
        <w:ind w:left="1020" w:hanging="680"/>
      </w:pPr>
      <w:bookmarkStart w:id="22" w:name="_Toc524902730"/>
      <w:bookmarkStart w:id="23" w:name="_Toc525066147"/>
      <w:bookmarkStart w:id="24" w:name="_Toc525070838"/>
      <w:bookmarkStart w:id="25" w:name="_Toc525938378"/>
      <w:bookmarkStart w:id="26" w:name="_Toc525939226"/>
      <w:bookmarkStart w:id="27" w:name="_Toc525939731"/>
      <w:bookmarkStart w:id="28" w:name="_Toc529218271"/>
      <w:bookmarkStart w:id="29" w:name="_Toc529222688"/>
      <w:bookmarkStart w:id="30" w:name="_Toc529223110"/>
      <w:bookmarkStart w:id="31" w:name="_Toc529223861"/>
      <w:bookmarkStart w:id="32" w:name="_Toc529228264"/>
      <w:bookmarkStart w:id="33" w:name="_Toc2400394"/>
      <w:bookmarkStart w:id="34" w:name="_Toc4316188"/>
      <w:bookmarkStart w:id="35" w:name="_Toc4473329"/>
      <w:bookmarkStart w:id="36" w:name="_Toc69556896"/>
      <w:bookmarkStart w:id="37" w:name="_Toc69556945"/>
      <w:bookmarkStart w:id="38" w:name="_Toc696098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2178BB">
        <w:rPr>
          <w:rFonts w:hint="eastAsia"/>
        </w:rPr>
        <w:t>陳訴人</w:t>
      </w:r>
      <w:r w:rsidR="003C7225" w:rsidRPr="002178BB">
        <w:rPr>
          <w:rFonts w:hint="eastAsia"/>
        </w:rPr>
        <w:t>認</w:t>
      </w:r>
      <w:r w:rsidRPr="002178BB">
        <w:rPr>
          <w:rFonts w:hint="eastAsia"/>
        </w:rPr>
        <w:t>本案</w:t>
      </w:r>
      <w:r w:rsidR="00EB5120" w:rsidRPr="002178BB">
        <w:rPr>
          <w:rFonts w:hint="eastAsia"/>
          <w:bCs w:val="0"/>
        </w:rPr>
        <w:t>92年間向</w:t>
      </w:r>
      <w:r w:rsidR="00EB5120" w:rsidRPr="002178BB">
        <w:rPr>
          <w:rFonts w:hint="eastAsia"/>
        </w:rPr>
        <w:t>法務部調查局臺北市調查處</w:t>
      </w:r>
      <w:r w:rsidR="00EB5120" w:rsidRPr="002178BB">
        <w:rPr>
          <w:rFonts w:hint="eastAsia"/>
          <w:bCs w:val="0"/>
        </w:rPr>
        <w:t>檢舉即屬開始偵查，該處</w:t>
      </w:r>
      <w:r w:rsidR="003C20A4" w:rsidRPr="002178BB">
        <w:rPr>
          <w:rFonts w:hint="eastAsia"/>
        </w:rPr>
        <w:t>調查員疑積壓案件不辦</w:t>
      </w:r>
      <w:r w:rsidR="00EB5120" w:rsidRPr="002178BB">
        <w:rPr>
          <w:rFonts w:hint="eastAsia"/>
        </w:rPr>
        <w:t>及</w:t>
      </w:r>
      <w:r w:rsidRPr="002178BB">
        <w:rPr>
          <w:rFonts w:hint="eastAsia"/>
        </w:rPr>
        <w:t>臺北地檢署未詳查事證，率為不起訴處分一節，</w:t>
      </w:r>
      <w:r w:rsidR="003C20A4" w:rsidRPr="002178BB">
        <w:rPr>
          <w:rFonts w:hint="eastAsia"/>
        </w:rPr>
        <w:t>按偵查權屬於檢察官，司法警察</w:t>
      </w:r>
      <w:r w:rsidR="00A7718F" w:rsidRPr="002178BB">
        <w:rPr>
          <w:rFonts w:hint="eastAsia"/>
        </w:rPr>
        <w:t>（官）</w:t>
      </w:r>
      <w:r w:rsidR="003C20A4" w:rsidRPr="002178BB">
        <w:rPr>
          <w:rFonts w:hint="eastAsia"/>
        </w:rPr>
        <w:t>僅係輔助偵查機關，協助偵查犯罪，本案司法警察（官）於調查時，尚難謂已開始實施偵查，且</w:t>
      </w:r>
      <w:r w:rsidR="003C7225" w:rsidRPr="002178BB">
        <w:rPr>
          <w:rFonts w:hint="eastAsia"/>
        </w:rPr>
        <w:t>已</w:t>
      </w:r>
      <w:r w:rsidR="003C20A4" w:rsidRPr="002178BB">
        <w:rPr>
          <w:rFonts w:hint="eastAsia"/>
        </w:rPr>
        <w:t>告知</w:t>
      </w:r>
      <w:r w:rsidR="004E2E79" w:rsidRPr="002178BB">
        <w:rPr>
          <w:rFonts w:hint="eastAsia"/>
        </w:rPr>
        <w:t>檢舉案</w:t>
      </w:r>
      <w:r w:rsidR="003C20A4" w:rsidRPr="002178BB">
        <w:rPr>
          <w:rFonts w:hint="eastAsia"/>
        </w:rPr>
        <w:t>處理情形，陳訴人</w:t>
      </w:r>
      <w:r w:rsidR="003C20A4" w:rsidRPr="002178BB">
        <w:rPr>
          <w:rFonts w:hint="eastAsia"/>
          <w:bCs w:val="0"/>
        </w:rPr>
        <w:t>容有誤會；復查</w:t>
      </w:r>
      <w:r w:rsidRPr="002178BB">
        <w:rPr>
          <w:rFonts w:hint="eastAsia"/>
        </w:rPr>
        <w:t>本案已逾10年追訴權時效，檢察官予以不起訴處分，核其處置尚難謂有</w:t>
      </w:r>
      <w:r w:rsidR="003C20A4" w:rsidRPr="002178BB">
        <w:rPr>
          <w:rFonts w:hint="eastAsia"/>
        </w:rPr>
        <w:t>違誤</w:t>
      </w:r>
      <w:r w:rsidRPr="002178BB">
        <w:rPr>
          <w:rFonts w:hint="eastAsia"/>
        </w:rPr>
        <w:t>：</w:t>
      </w:r>
    </w:p>
    <w:p w:rsidR="00BE5CB8" w:rsidRDefault="00BE5CB8" w:rsidP="001B58B4">
      <w:pPr>
        <w:pStyle w:val="3"/>
        <w:ind w:left="1360" w:hanging="680"/>
      </w:pPr>
      <w:r w:rsidRPr="00462B45">
        <w:rPr>
          <w:rFonts w:hint="eastAsia"/>
          <w:bCs w:val="0"/>
        </w:rPr>
        <w:t>按</w:t>
      </w:r>
      <w:r w:rsidRPr="005E1717">
        <w:rPr>
          <w:rFonts w:hint="eastAsia"/>
        </w:rPr>
        <w:t>刑事訴訟法第 228條第1項規定：「檢察官因告訴、告發、自首或其他情事知有犯罪嫌疑者，應即開始偵查。」依此規定，偵查權屬於檢察官</w:t>
      </w:r>
      <w:r w:rsidR="00A72A31">
        <w:rPr>
          <w:rFonts w:hint="eastAsia"/>
        </w:rPr>
        <w:t>，而</w:t>
      </w:r>
      <w:r w:rsidRPr="005E1717">
        <w:rPr>
          <w:rFonts w:hint="eastAsia"/>
        </w:rPr>
        <w:t>檢察官指揮司法警察（官）偵查，或因其他情事知有犯罪嫌疑而傳喚嫌疑人著手調查證據，均可謂已開始實施偵查，此觀司法院82年12月20日（82）廳刑一字第20127號函釋之法律問題研究意見自明。</w:t>
      </w:r>
      <w:r>
        <w:rPr>
          <w:rFonts w:hint="eastAsia"/>
        </w:rPr>
        <w:t>故</w:t>
      </w:r>
      <w:r w:rsidR="00A72A31" w:rsidRPr="00077779">
        <w:rPr>
          <w:rFonts w:hint="eastAsia"/>
          <w:bCs w:val="0"/>
        </w:rPr>
        <w:t>所謂「開始偵查」，係指檢察官依刑事訴訟法第228條規定，知有犯罪嫌疑而開始偵查者而言</w:t>
      </w:r>
      <w:r w:rsidR="00A72A31">
        <w:rPr>
          <w:rFonts w:hint="eastAsia"/>
          <w:bCs w:val="0"/>
        </w:rPr>
        <w:t>，</w:t>
      </w:r>
      <w:r w:rsidR="00A72A31" w:rsidRPr="00077779">
        <w:rPr>
          <w:rFonts w:hint="eastAsia"/>
          <w:bCs w:val="0"/>
        </w:rPr>
        <w:t>並不包括司法警察自為蒐證調查或受理報案在內，此有</w:t>
      </w:r>
      <w:r w:rsidR="00AB2B5B">
        <w:rPr>
          <w:rFonts w:hint="eastAsia"/>
          <w:bCs w:val="0"/>
        </w:rPr>
        <w:t>最高法院91年度台上字第6603號、</w:t>
      </w:r>
      <w:r w:rsidR="00A72A31" w:rsidRPr="00077779">
        <w:rPr>
          <w:rFonts w:hint="eastAsia"/>
          <w:bCs w:val="0"/>
        </w:rPr>
        <w:t>臺灣高等法院9</w:t>
      </w:r>
      <w:r w:rsidR="00E75468">
        <w:rPr>
          <w:rFonts w:hint="eastAsia"/>
          <w:bCs w:val="0"/>
        </w:rPr>
        <w:t>1</w:t>
      </w:r>
      <w:r w:rsidR="00A72A31" w:rsidRPr="00077779">
        <w:rPr>
          <w:rFonts w:hint="eastAsia"/>
          <w:bCs w:val="0"/>
        </w:rPr>
        <w:t>年度上</w:t>
      </w:r>
      <w:r w:rsidR="00E75468">
        <w:rPr>
          <w:rFonts w:hint="eastAsia"/>
          <w:bCs w:val="0"/>
        </w:rPr>
        <w:t>訴</w:t>
      </w:r>
      <w:r w:rsidR="00A72A31" w:rsidRPr="00077779">
        <w:rPr>
          <w:rFonts w:hint="eastAsia"/>
          <w:bCs w:val="0"/>
        </w:rPr>
        <w:t>字第20</w:t>
      </w:r>
      <w:r w:rsidR="00E75468">
        <w:rPr>
          <w:rFonts w:hint="eastAsia"/>
          <w:bCs w:val="0"/>
        </w:rPr>
        <w:t>16</w:t>
      </w:r>
      <w:r w:rsidR="00A72A31" w:rsidRPr="00077779">
        <w:rPr>
          <w:rFonts w:hint="eastAsia"/>
          <w:bCs w:val="0"/>
        </w:rPr>
        <w:t>號</w:t>
      </w:r>
      <w:r w:rsidR="00E75468">
        <w:rPr>
          <w:rFonts w:hint="eastAsia"/>
          <w:bCs w:val="0"/>
        </w:rPr>
        <w:t>、臺北地方法院99年度金重易字第2號</w:t>
      </w:r>
      <w:r w:rsidR="00E75468" w:rsidRPr="00077779">
        <w:rPr>
          <w:rFonts w:hint="eastAsia"/>
          <w:bCs w:val="0"/>
        </w:rPr>
        <w:t>判決</w:t>
      </w:r>
      <w:r w:rsidR="00A72A31" w:rsidRPr="00077779">
        <w:rPr>
          <w:rFonts w:hint="eastAsia"/>
          <w:bCs w:val="0"/>
        </w:rPr>
        <w:t>及司法院</w:t>
      </w:r>
      <w:r w:rsidR="00A72A31">
        <w:rPr>
          <w:rFonts w:hint="eastAsia"/>
          <w:bCs w:val="0"/>
        </w:rPr>
        <w:t>上開</w:t>
      </w:r>
      <w:r w:rsidR="00A72A31" w:rsidRPr="00077779">
        <w:rPr>
          <w:rFonts w:hint="eastAsia"/>
          <w:bCs w:val="0"/>
        </w:rPr>
        <w:t>函釋可資參照。</w:t>
      </w:r>
    </w:p>
    <w:p w:rsidR="00BE5CB8" w:rsidRDefault="00BE5CB8" w:rsidP="00BE5CB8">
      <w:pPr>
        <w:pStyle w:val="10"/>
        <w:ind w:leftChars="400" w:left="1361" w:firstLine="680"/>
      </w:pPr>
      <w:r>
        <w:rPr>
          <w:rFonts w:hint="eastAsia"/>
        </w:rPr>
        <w:t>查</w:t>
      </w:r>
      <w:r w:rsidRPr="005E1717">
        <w:rPr>
          <w:rFonts w:hint="eastAsia"/>
        </w:rPr>
        <w:t>陳訴人於92年7月1日向</w:t>
      </w:r>
      <w:r w:rsidR="00EB5120">
        <w:rPr>
          <w:rFonts w:hint="eastAsia"/>
          <w:bCs/>
        </w:rPr>
        <w:t>臺北市調查處</w:t>
      </w:r>
      <w:r w:rsidRPr="005E1717">
        <w:rPr>
          <w:rFonts w:hint="eastAsia"/>
        </w:rPr>
        <w:t>就恒</w:t>
      </w:r>
      <w:r w:rsidR="000517C6">
        <w:rPr>
          <w:rFonts w:ascii="新細明體" w:eastAsia="新細明體" w:hAnsi="新細明體" w:hint="eastAsia"/>
        </w:rPr>
        <w:t>○</w:t>
      </w:r>
      <w:r w:rsidRPr="005E1717">
        <w:rPr>
          <w:rFonts w:hint="eastAsia"/>
        </w:rPr>
        <w:t>公司林</w:t>
      </w:r>
      <w:r w:rsidR="000517C6">
        <w:rPr>
          <w:rFonts w:ascii="新細明體" w:eastAsia="新細明體" w:hAnsi="新細明體" w:hint="eastAsia"/>
        </w:rPr>
        <w:t>○</w:t>
      </w:r>
      <w:r w:rsidRPr="005E1717">
        <w:rPr>
          <w:rFonts w:hint="eastAsia"/>
        </w:rPr>
        <w:t>仁等人涉犯背信、侵占</w:t>
      </w:r>
      <w:r>
        <w:rPr>
          <w:rFonts w:hint="eastAsia"/>
        </w:rPr>
        <w:t>、詐欺</w:t>
      </w:r>
      <w:r w:rsidRPr="005E1717">
        <w:rPr>
          <w:rFonts w:hint="eastAsia"/>
        </w:rPr>
        <w:t>及偽造文書等犯嫌提出檢舉，</w:t>
      </w:r>
      <w:r>
        <w:rPr>
          <w:rFonts w:hint="eastAsia"/>
        </w:rPr>
        <w:t>經該處調查認林德仁等人並無涉嫌侵占等具體不法事證，該處承辦人於93年12月3日將本案處理情形電告陳訴人在案，此有調查局查復書及電話紀錄影本附卷可參</w:t>
      </w:r>
      <w:r w:rsidR="004E2E79">
        <w:rPr>
          <w:rFonts w:hint="eastAsia"/>
        </w:rPr>
        <w:t>。</w:t>
      </w:r>
      <w:r>
        <w:rPr>
          <w:rFonts w:hint="eastAsia"/>
          <w:bCs/>
        </w:rPr>
        <w:t>是以，</w:t>
      </w:r>
      <w:r w:rsidR="00A72A31">
        <w:rPr>
          <w:rFonts w:hint="eastAsia"/>
          <w:bCs/>
        </w:rPr>
        <w:t>司</w:t>
      </w:r>
      <w:r w:rsidR="00A72A31" w:rsidRPr="005E1717">
        <w:rPr>
          <w:rFonts w:hint="eastAsia"/>
        </w:rPr>
        <w:t>法警察官及司法警察僅係輔助偵查機關，</w:t>
      </w:r>
      <w:r w:rsidR="00A72A31">
        <w:rPr>
          <w:rFonts w:hint="eastAsia"/>
        </w:rPr>
        <w:t>協助偵查犯罪，</w:t>
      </w:r>
      <w:r w:rsidR="00A72A31" w:rsidRPr="005E1717">
        <w:rPr>
          <w:rFonts w:hint="eastAsia"/>
        </w:rPr>
        <w:t>司法警察（官）於調查時，尚難謂已開始實施偵</w:t>
      </w:r>
      <w:r w:rsidR="00A72A31" w:rsidRPr="005E1717">
        <w:rPr>
          <w:rFonts w:hint="eastAsia"/>
        </w:rPr>
        <w:lastRenderedPageBreak/>
        <w:t>查</w:t>
      </w:r>
      <w:r w:rsidR="004E2E79">
        <w:rPr>
          <w:rFonts w:hint="eastAsia"/>
        </w:rPr>
        <w:t>，</w:t>
      </w:r>
      <w:r w:rsidRPr="00077779">
        <w:rPr>
          <w:rFonts w:hint="eastAsia"/>
        </w:rPr>
        <w:t>陳訴人</w:t>
      </w:r>
      <w:r w:rsidR="00A72A31">
        <w:rPr>
          <w:rFonts w:hint="eastAsia"/>
        </w:rPr>
        <w:t>認</w:t>
      </w:r>
      <w:r w:rsidRPr="00077779">
        <w:rPr>
          <w:rFonts w:hint="eastAsia"/>
        </w:rPr>
        <w:t>92年間向司法警察提出檢舉</w:t>
      </w:r>
      <w:r w:rsidR="00A72A31">
        <w:rPr>
          <w:rFonts w:hint="eastAsia"/>
        </w:rPr>
        <w:t>即屬開始偵查</w:t>
      </w:r>
      <w:r w:rsidRPr="00077779">
        <w:rPr>
          <w:rFonts w:hint="eastAsia"/>
        </w:rPr>
        <w:t>，</w:t>
      </w:r>
      <w:r w:rsidR="004E2E79">
        <w:rPr>
          <w:rFonts w:hint="eastAsia"/>
        </w:rPr>
        <w:t>洵有誤會</w:t>
      </w:r>
      <w:r w:rsidR="003C7225">
        <w:rPr>
          <w:rFonts w:hint="eastAsia"/>
        </w:rPr>
        <w:t>，</w:t>
      </w:r>
      <w:r w:rsidR="004E2E79">
        <w:rPr>
          <w:rFonts w:hint="eastAsia"/>
        </w:rPr>
        <w:t>且該處業經調查並已告知檢舉案處理情形</w:t>
      </w:r>
      <w:r w:rsidR="003C7225">
        <w:rPr>
          <w:rFonts w:hint="eastAsia"/>
        </w:rPr>
        <w:t>，</w:t>
      </w:r>
      <w:r w:rsidR="003C7225" w:rsidRPr="003C7225">
        <w:rPr>
          <w:rFonts w:hint="eastAsia"/>
        </w:rPr>
        <w:t>其處置尚難謂有不當</w:t>
      </w:r>
      <w:r w:rsidRPr="00077779">
        <w:rPr>
          <w:rFonts w:hint="eastAsia"/>
        </w:rPr>
        <w:t>。</w:t>
      </w:r>
    </w:p>
    <w:p w:rsidR="00BE5CB8" w:rsidRPr="00840765" w:rsidRDefault="00BE5CB8" w:rsidP="001D3CD2">
      <w:pPr>
        <w:pStyle w:val="3"/>
        <w:ind w:left="1360" w:hanging="680"/>
      </w:pPr>
      <w:r>
        <w:rPr>
          <w:rFonts w:hint="eastAsia"/>
        </w:rPr>
        <w:t>又</w:t>
      </w:r>
      <w:r w:rsidRPr="00462B45">
        <w:rPr>
          <w:rFonts w:hint="eastAsia"/>
          <w:bCs w:val="0"/>
        </w:rPr>
        <w:t>案件時效已完成者，應為不起訴之處分，刑事訴訟法第252條第2款定有明文。又行為後法律有變更者，適用行為時之法律，但行為後之法律有利於行為人者，適用最有利於行為人之法律，為95年7月1日修正施行之刑法第2條第1項所明定。而修正後刑法第80條第1項及修正前刑法第80條第1項關於追訴權時效期間之規定不同，修正後刑法所定時效期間較長，表示行為人被追訴之期限較長，自屬對行為人不利，比較結果自以修正前刑法第80條較有利於行為人。從而，刑法第216、210條行使偽造私文書罪、同法第214 條使公務員登載不實、同法第336條第2項之業務侵占及同法第342條之背信等罪嫌，均科處最重本刑5年以下或3年以下有期徒刑之罪，依修正前同法第80條第1項第2款之規定，其追訴權時效為10年，合先敘明。</w:t>
      </w:r>
    </w:p>
    <w:p w:rsidR="00BE5CB8" w:rsidRPr="00EA55A0" w:rsidRDefault="00BE5CB8" w:rsidP="00BE5CB8">
      <w:pPr>
        <w:pStyle w:val="10"/>
        <w:ind w:leftChars="400" w:left="1361" w:firstLine="680"/>
      </w:pPr>
      <w:r>
        <w:rPr>
          <w:rFonts w:hint="eastAsia"/>
        </w:rPr>
        <w:t>經查</w:t>
      </w:r>
      <w:r w:rsidRPr="00EA55A0">
        <w:rPr>
          <w:rFonts w:hint="eastAsia"/>
          <w:bCs/>
        </w:rPr>
        <w:t>陳訴人於94年7月11日向臺北地檢署具狀對</w:t>
      </w:r>
      <w:r w:rsidRPr="007747D9">
        <w:rPr>
          <w:rFonts w:hint="eastAsia"/>
        </w:rPr>
        <w:t>林</w:t>
      </w:r>
      <w:r w:rsidR="000517C6">
        <w:rPr>
          <w:rFonts w:ascii="新細明體" w:eastAsia="新細明體" w:hAnsi="新細明體" w:hint="eastAsia"/>
        </w:rPr>
        <w:t>○</w:t>
      </w:r>
      <w:r w:rsidRPr="007747D9">
        <w:rPr>
          <w:rFonts w:hint="eastAsia"/>
        </w:rPr>
        <w:t>仁、黃</w:t>
      </w:r>
      <w:r w:rsidR="000517C6">
        <w:rPr>
          <w:rFonts w:ascii="新細明體" w:eastAsia="新細明體" w:hAnsi="新細明體" w:hint="eastAsia"/>
        </w:rPr>
        <w:t>○</w:t>
      </w:r>
      <w:r w:rsidRPr="007747D9">
        <w:rPr>
          <w:rFonts w:hint="eastAsia"/>
        </w:rPr>
        <w:t>松等人</w:t>
      </w:r>
      <w:r w:rsidRPr="00EA55A0">
        <w:rPr>
          <w:rFonts w:hint="eastAsia"/>
          <w:bCs/>
        </w:rPr>
        <w:t>提起告訴，</w:t>
      </w:r>
      <w:r>
        <w:rPr>
          <w:rFonts w:hint="eastAsia"/>
        </w:rPr>
        <w:t>旋經檢察官於94年</w:t>
      </w:r>
      <w:r w:rsidRPr="005E1717">
        <w:rPr>
          <w:rFonts w:hint="eastAsia"/>
        </w:rPr>
        <w:t>8月10日北檢大珠94發查2445字第43020號函</w:t>
      </w:r>
      <w:r>
        <w:rPr>
          <w:rFonts w:hint="eastAsia"/>
        </w:rPr>
        <w:t>發交臺北市調查處</w:t>
      </w:r>
      <w:r w:rsidRPr="0063037F">
        <w:rPr>
          <w:rFonts w:hint="eastAsia"/>
        </w:rPr>
        <w:t>偵查</w:t>
      </w:r>
      <w:r>
        <w:rPr>
          <w:rFonts w:hint="eastAsia"/>
        </w:rPr>
        <w:t>，即</w:t>
      </w:r>
      <w:r w:rsidRPr="005E1717">
        <w:rPr>
          <w:rFonts w:hint="eastAsia"/>
        </w:rPr>
        <w:t>通知陳訴人至</w:t>
      </w:r>
      <w:r>
        <w:rPr>
          <w:rFonts w:hint="eastAsia"/>
        </w:rPr>
        <w:t>該</w:t>
      </w:r>
      <w:r w:rsidRPr="005E1717">
        <w:rPr>
          <w:rFonts w:hint="eastAsia"/>
        </w:rPr>
        <w:t>處再行製作調查筆錄，通知相關之被告、證人詢問、調查後，</w:t>
      </w:r>
      <w:r>
        <w:rPr>
          <w:rFonts w:hint="eastAsia"/>
        </w:rPr>
        <w:t>經該處</w:t>
      </w:r>
      <w:r w:rsidRPr="005E1717">
        <w:rPr>
          <w:rFonts w:hint="eastAsia"/>
        </w:rPr>
        <w:t>於95年4月10日以肆字第09500055450號函報臺北地檢署調查結果，</w:t>
      </w:r>
      <w:r>
        <w:rPr>
          <w:rFonts w:hint="eastAsia"/>
        </w:rPr>
        <w:t>此</w:t>
      </w:r>
      <w:r w:rsidRPr="005E1717">
        <w:rPr>
          <w:rFonts w:hint="eastAsia"/>
        </w:rPr>
        <w:t>有前揭筆錄、函文在卷可佐。</w:t>
      </w:r>
      <w:r>
        <w:rPr>
          <w:rFonts w:hint="eastAsia"/>
        </w:rPr>
        <w:t>揆諸前揭說明，本案應自陳訴人於</w:t>
      </w:r>
      <w:r w:rsidRPr="00EA55A0">
        <w:rPr>
          <w:rFonts w:hint="eastAsia"/>
          <w:bCs/>
        </w:rPr>
        <w:t>94年7月11日具狀向臺北地檢署提出告訴之日</w:t>
      </w:r>
      <w:r>
        <w:rPr>
          <w:rFonts w:hint="eastAsia"/>
        </w:rPr>
        <w:t>即已開始偵查，然距</w:t>
      </w:r>
      <w:r w:rsidRPr="00EA55A0">
        <w:rPr>
          <w:rFonts w:hint="eastAsia"/>
          <w:bCs/>
        </w:rPr>
        <w:t>林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仁、</w:t>
      </w:r>
      <w:r>
        <w:rPr>
          <w:rFonts w:hint="eastAsia"/>
        </w:rPr>
        <w:t>黃</w:t>
      </w:r>
      <w:r w:rsidR="000517C6">
        <w:rPr>
          <w:rFonts w:ascii="新細明體" w:eastAsia="新細明體" w:hAnsi="新細明體" w:hint="eastAsia"/>
        </w:rPr>
        <w:t>○</w:t>
      </w:r>
      <w:r>
        <w:rPr>
          <w:rFonts w:hint="eastAsia"/>
        </w:rPr>
        <w:t>松、陳</w:t>
      </w:r>
      <w:r w:rsidR="000517C6">
        <w:rPr>
          <w:rFonts w:ascii="新細明體" w:eastAsia="新細明體" w:hAnsi="新細明體" w:hint="eastAsia"/>
        </w:rPr>
        <w:t>○</w:t>
      </w:r>
      <w:r>
        <w:rPr>
          <w:rFonts w:hint="eastAsia"/>
        </w:rPr>
        <w:t>煌等人被訴背信行為發生之84年6月間，期間</w:t>
      </w:r>
      <w:r w:rsidRPr="00EA55A0">
        <w:rPr>
          <w:rFonts w:hint="eastAsia"/>
          <w:bCs/>
        </w:rPr>
        <w:t>已逾10年，追訴時效業已完成，案經臺北地檢署檢</w:t>
      </w:r>
      <w:r w:rsidRPr="00EA55A0">
        <w:rPr>
          <w:rFonts w:hint="eastAsia"/>
          <w:bCs/>
        </w:rPr>
        <w:lastRenderedPageBreak/>
        <w:t>察官於97年3月31日以96年度偵字第3053號不起訴處分書予以不起訴處分在案，陳訴人不服聲請再議，復經</w:t>
      </w:r>
      <w:r>
        <w:rPr>
          <w:rFonts w:hint="eastAsia"/>
        </w:rPr>
        <w:t>高檢署</w:t>
      </w:r>
      <w:r w:rsidRPr="00EA55A0">
        <w:rPr>
          <w:rFonts w:hint="eastAsia"/>
          <w:bCs/>
        </w:rPr>
        <w:t>於97年8月26日以97年度上聲議字第2364號處分書駁回其聲請在案。</w:t>
      </w:r>
      <w:r>
        <w:rPr>
          <w:rFonts w:hint="eastAsia"/>
          <w:bCs/>
        </w:rPr>
        <w:t>又</w:t>
      </w:r>
      <w:r w:rsidRPr="00EA55A0">
        <w:rPr>
          <w:rFonts w:hint="eastAsia"/>
          <w:bCs/>
        </w:rPr>
        <w:t>依據法務部</w:t>
      </w:r>
      <w:r>
        <w:rPr>
          <w:rFonts w:hint="eastAsia"/>
        </w:rPr>
        <w:t>99年12月24日之</w:t>
      </w:r>
      <w:r w:rsidRPr="00EA55A0">
        <w:rPr>
          <w:rFonts w:hint="eastAsia"/>
          <w:bCs/>
        </w:rPr>
        <w:t>書面報告略以：「本件告訴（發）人陳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欣指訴如臺北地檢署96年度偵字第3053號不起訴處分書所載告訴意旨（一）、（二）、（三）所載之事實，其指訴被告林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仁、陳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標、陳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煌及黃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松等四人最遲於84年6月底完成上開犯罪事實，而告訴（發）人陳</w:t>
      </w:r>
      <w:r w:rsidR="000517C6">
        <w:rPr>
          <w:rFonts w:ascii="新細明體" w:eastAsia="新細明體" w:hAnsi="新細明體" w:hint="eastAsia"/>
          <w:bCs/>
        </w:rPr>
        <w:t>○</w:t>
      </w:r>
      <w:r w:rsidRPr="00EA55A0">
        <w:rPr>
          <w:rFonts w:hint="eastAsia"/>
          <w:bCs/>
        </w:rPr>
        <w:t>欣遲至94年7月11日，始向臺北地檢署具狀提出告訴，此部分所提出告訴或告發時間，顯已逾前揭10年之追訴權時效，依法不得再行追訴。」</w:t>
      </w:r>
    </w:p>
    <w:p w:rsidR="00BE5CB8" w:rsidRDefault="00BE5CB8" w:rsidP="009B4B71">
      <w:pPr>
        <w:pStyle w:val="3"/>
        <w:ind w:left="1360" w:hanging="680"/>
      </w:pPr>
      <w:r>
        <w:rPr>
          <w:rFonts w:hint="eastAsia"/>
          <w:bCs w:val="0"/>
        </w:rPr>
        <w:t>綜上所述</w:t>
      </w:r>
      <w:r w:rsidRPr="00910E02">
        <w:rPr>
          <w:rFonts w:hint="eastAsia"/>
          <w:bCs w:val="0"/>
        </w:rPr>
        <w:t>，</w:t>
      </w:r>
      <w:r w:rsidR="00EB5120" w:rsidRPr="00EB5120">
        <w:rPr>
          <w:rFonts w:hint="eastAsia"/>
        </w:rPr>
        <w:t>陳訴人指稱，本案</w:t>
      </w:r>
      <w:r w:rsidR="00EB5120" w:rsidRPr="00910E02">
        <w:rPr>
          <w:rFonts w:hint="eastAsia"/>
          <w:bCs w:val="0"/>
        </w:rPr>
        <w:t>92年間向</w:t>
      </w:r>
      <w:r w:rsidR="00EB5120">
        <w:rPr>
          <w:rFonts w:hint="eastAsia"/>
        </w:rPr>
        <w:t>臺北市調查處</w:t>
      </w:r>
      <w:r w:rsidR="00EB5120" w:rsidRPr="00910E02">
        <w:rPr>
          <w:rFonts w:hint="eastAsia"/>
          <w:bCs w:val="0"/>
        </w:rPr>
        <w:t>檢舉即屬開始偵查</w:t>
      </w:r>
      <w:r w:rsidR="00EB5120">
        <w:rPr>
          <w:rFonts w:hint="eastAsia"/>
          <w:bCs w:val="0"/>
        </w:rPr>
        <w:t>，該處</w:t>
      </w:r>
      <w:r w:rsidR="00EB5120" w:rsidRPr="00EB5120">
        <w:rPr>
          <w:rFonts w:hint="eastAsia"/>
        </w:rPr>
        <w:t>調查員疑積壓案件不辦</w:t>
      </w:r>
      <w:r w:rsidR="00EB5120">
        <w:rPr>
          <w:rFonts w:hint="eastAsia"/>
        </w:rPr>
        <w:t>及</w:t>
      </w:r>
      <w:r w:rsidR="00EB5120" w:rsidRPr="00EB5120">
        <w:rPr>
          <w:rFonts w:hint="eastAsia"/>
        </w:rPr>
        <w:t>臺北地檢署未詳查事證，率為不起訴處分一節，</w:t>
      </w:r>
      <w:r w:rsidR="00EB5120">
        <w:rPr>
          <w:rFonts w:hint="eastAsia"/>
        </w:rPr>
        <w:t>按</w:t>
      </w:r>
      <w:r w:rsidRPr="005E1717">
        <w:rPr>
          <w:rFonts w:hint="eastAsia"/>
        </w:rPr>
        <w:t>偵查權屬於檢察官</w:t>
      </w:r>
      <w:r>
        <w:rPr>
          <w:rFonts w:hint="eastAsia"/>
        </w:rPr>
        <w:t>，</w:t>
      </w:r>
      <w:r w:rsidRPr="005E1717">
        <w:rPr>
          <w:rFonts w:hint="eastAsia"/>
        </w:rPr>
        <w:t>司法警察官及司法警察僅係輔助偵查機關，</w:t>
      </w:r>
      <w:r>
        <w:rPr>
          <w:rFonts w:hint="eastAsia"/>
        </w:rPr>
        <w:t>協助偵查犯罪，</w:t>
      </w:r>
      <w:r w:rsidRPr="005E1717">
        <w:rPr>
          <w:rFonts w:hint="eastAsia"/>
        </w:rPr>
        <w:t>故司法警察（官）於調查時，尚難謂已開始實施偵查</w:t>
      </w:r>
      <w:r>
        <w:rPr>
          <w:rFonts w:hint="eastAsia"/>
        </w:rPr>
        <w:t>，</w:t>
      </w:r>
      <w:r w:rsidRPr="00910E02">
        <w:rPr>
          <w:rFonts w:hint="eastAsia"/>
          <w:bCs w:val="0"/>
        </w:rPr>
        <w:t>陳訴人認92年間向</w:t>
      </w:r>
      <w:r>
        <w:rPr>
          <w:rFonts w:hint="eastAsia"/>
        </w:rPr>
        <w:t>臺北市調查處</w:t>
      </w:r>
      <w:r w:rsidRPr="00910E02">
        <w:rPr>
          <w:rFonts w:hint="eastAsia"/>
          <w:bCs w:val="0"/>
        </w:rPr>
        <w:t>檢舉即屬開始偵查，洵屬誤會</w:t>
      </w:r>
      <w:r w:rsidR="004E2E79">
        <w:rPr>
          <w:rFonts w:hint="eastAsia"/>
          <w:bCs w:val="0"/>
        </w:rPr>
        <w:t>，且該處業告知檢舉案處理情形</w:t>
      </w:r>
      <w:r w:rsidR="003C7225">
        <w:rPr>
          <w:rFonts w:hint="eastAsia"/>
          <w:bCs w:val="0"/>
        </w:rPr>
        <w:t>，</w:t>
      </w:r>
      <w:r w:rsidR="003C7225" w:rsidRPr="003C7225">
        <w:rPr>
          <w:rFonts w:hint="eastAsia"/>
        </w:rPr>
        <w:t>其處置尚難謂有不當</w:t>
      </w:r>
      <w:r w:rsidRPr="00910E02">
        <w:rPr>
          <w:rFonts w:hint="eastAsia"/>
          <w:bCs w:val="0"/>
        </w:rPr>
        <w:t>；又本件追訴權時效</w:t>
      </w:r>
      <w:r>
        <w:rPr>
          <w:rFonts w:hint="eastAsia"/>
        </w:rPr>
        <w:t>為10年，</w:t>
      </w:r>
      <w:r w:rsidRPr="00910E02">
        <w:rPr>
          <w:rFonts w:hint="eastAsia"/>
          <w:bCs w:val="0"/>
        </w:rPr>
        <w:t>自林</w:t>
      </w:r>
      <w:r w:rsidR="000517C6">
        <w:rPr>
          <w:rFonts w:ascii="新細明體" w:eastAsia="新細明體" w:hAnsi="新細明體" w:hint="eastAsia"/>
          <w:bCs w:val="0"/>
        </w:rPr>
        <w:t>○</w:t>
      </w:r>
      <w:r w:rsidRPr="00910E02">
        <w:rPr>
          <w:rFonts w:hint="eastAsia"/>
          <w:bCs w:val="0"/>
        </w:rPr>
        <w:t>仁等人完成上開犯罪事實之日</w:t>
      </w:r>
      <w:r>
        <w:rPr>
          <w:rFonts w:hint="eastAsia"/>
          <w:bCs w:val="0"/>
        </w:rPr>
        <w:t>，</w:t>
      </w:r>
      <w:r w:rsidRPr="00910E02">
        <w:rPr>
          <w:rFonts w:hint="eastAsia"/>
          <w:bCs w:val="0"/>
        </w:rPr>
        <w:t>即84年6月底起算，已於94年6月底完成，陳訴人於94年7月11日向臺北地檢署具狀提出告訴，已逾10年之追訴權之時效期間，檢察官予以不起訴處分，核其處置尚難謂有</w:t>
      </w:r>
      <w:r>
        <w:rPr>
          <w:rFonts w:hint="eastAsia"/>
          <w:bCs w:val="0"/>
        </w:rPr>
        <w:t>違誤</w:t>
      </w:r>
      <w:r w:rsidRPr="00910E02">
        <w:rPr>
          <w:rFonts w:hint="eastAsia"/>
          <w:bCs w:val="0"/>
        </w:rPr>
        <w:t>。</w:t>
      </w:r>
    </w:p>
    <w:p w:rsidR="00BE5CB8" w:rsidRPr="002178BB" w:rsidRDefault="00131100" w:rsidP="009B4B71">
      <w:pPr>
        <w:pStyle w:val="2"/>
        <w:ind w:left="1020" w:hanging="680"/>
        <w:rPr>
          <w:bCs w:val="0"/>
        </w:rPr>
      </w:pPr>
      <w:r w:rsidRPr="002178BB">
        <w:rPr>
          <w:rFonts w:hint="eastAsia"/>
          <w:bCs w:val="0"/>
        </w:rPr>
        <w:t>本院</w:t>
      </w:r>
      <w:r w:rsidRPr="002178BB">
        <w:rPr>
          <w:rFonts w:hint="eastAsia"/>
        </w:rPr>
        <w:t>於98年6月函請法務部查復本件陳訴案，惟高</w:t>
      </w:r>
      <w:r w:rsidRPr="002178BB">
        <w:rPr>
          <w:rFonts w:hint="eastAsia"/>
          <w:bCs w:val="0"/>
        </w:rPr>
        <w:t>檢署承辦人</w:t>
      </w:r>
      <w:r w:rsidRPr="002178BB">
        <w:rPr>
          <w:bCs w:val="0"/>
        </w:rPr>
        <w:t>擱置延宕</w:t>
      </w:r>
      <w:r w:rsidRPr="002178BB">
        <w:rPr>
          <w:rFonts w:hint="eastAsia"/>
          <w:bCs w:val="0"/>
        </w:rPr>
        <w:t>本案</w:t>
      </w:r>
      <w:r w:rsidRPr="002178BB">
        <w:rPr>
          <w:bCs w:val="0"/>
        </w:rPr>
        <w:t>未</w:t>
      </w:r>
      <w:r w:rsidRPr="002178BB">
        <w:rPr>
          <w:rFonts w:hint="eastAsia"/>
          <w:bCs w:val="0"/>
        </w:rPr>
        <w:t>予</w:t>
      </w:r>
      <w:r w:rsidRPr="002178BB">
        <w:rPr>
          <w:bCs w:val="0"/>
        </w:rPr>
        <w:t>處理</w:t>
      </w:r>
      <w:r w:rsidRPr="002178BB">
        <w:rPr>
          <w:rFonts w:hint="eastAsia"/>
          <w:bCs w:val="0"/>
        </w:rPr>
        <w:t>，</w:t>
      </w:r>
      <w:r w:rsidRPr="002178BB">
        <w:rPr>
          <w:rFonts w:hint="eastAsia"/>
        </w:rPr>
        <w:t>經本院</w:t>
      </w:r>
      <w:r w:rsidRPr="002178BB">
        <w:rPr>
          <w:rFonts w:hint="eastAsia"/>
          <w:bCs w:val="0"/>
        </w:rPr>
        <w:t>4次與法務部6度函催，</w:t>
      </w:r>
      <w:r w:rsidRPr="002178BB">
        <w:rPr>
          <w:rFonts w:ascii="新細明體" w:hAnsi="新細明體" w:hint="eastAsia"/>
          <w:szCs w:val="32"/>
        </w:rPr>
        <w:t>超過公文處理時限</w:t>
      </w:r>
      <w:r w:rsidRPr="002178BB">
        <w:rPr>
          <w:rFonts w:hint="eastAsia"/>
        </w:rPr>
        <w:t>長達475日，該署已坦承有延宕情事，</w:t>
      </w:r>
      <w:r w:rsidRPr="002178BB">
        <w:rPr>
          <w:rFonts w:hint="eastAsia"/>
          <w:bCs w:val="0"/>
        </w:rPr>
        <w:t>顯見法務部及高檢署既未實施公文</w:t>
      </w:r>
      <w:r w:rsidRPr="002178BB">
        <w:rPr>
          <w:rFonts w:hint="eastAsia"/>
          <w:bCs w:val="0"/>
        </w:rPr>
        <w:lastRenderedPageBreak/>
        <w:t>定期檢查亦未切實追蹤查核本案進度，肇致公</w:t>
      </w:r>
      <w:r w:rsidRPr="002178BB">
        <w:rPr>
          <w:rFonts w:hint="eastAsia"/>
        </w:rPr>
        <w:t>文</w:t>
      </w:r>
      <w:r w:rsidRPr="002178BB">
        <w:rPr>
          <w:rFonts w:hint="eastAsia"/>
          <w:bCs w:val="0"/>
        </w:rPr>
        <w:t>檢核規定形同具文，核有嚴重違失</w:t>
      </w:r>
      <w:r w:rsidR="00BE5CB8" w:rsidRPr="002178BB">
        <w:rPr>
          <w:rFonts w:hint="eastAsia"/>
        </w:rPr>
        <w:t>：</w:t>
      </w:r>
      <w:r w:rsidRPr="002178BB">
        <w:rPr>
          <w:rFonts w:hint="eastAsia"/>
          <w:bCs w:val="0"/>
        </w:rPr>
        <w:t xml:space="preserve"> </w:t>
      </w:r>
    </w:p>
    <w:p w:rsidR="00BE5CB8" w:rsidRDefault="00BE5CB8" w:rsidP="00D85504">
      <w:pPr>
        <w:pStyle w:val="3"/>
        <w:ind w:left="1360" w:hanging="680"/>
      </w:pPr>
      <w:r>
        <w:rPr>
          <w:rFonts w:hint="eastAsia"/>
        </w:rPr>
        <w:t>按委託調查案為監察案件，行政部門應依法於2 個月內答復監察院，文書流程管理作業規範第126點載有明文，同規範第135點</w:t>
      </w:r>
      <w:r w:rsidR="00C67B47">
        <w:rPr>
          <w:rFonts w:hint="eastAsia"/>
        </w:rPr>
        <w:t>規定</w:t>
      </w:r>
      <w:r>
        <w:rPr>
          <w:rFonts w:hint="eastAsia"/>
        </w:rPr>
        <w:t>：「逾期超過2 個月尚未辦結函復者，機關</w:t>
      </w:r>
      <w:r w:rsidRPr="00C67B47">
        <w:rPr>
          <w:rFonts w:hint="eastAsia"/>
        </w:rPr>
        <w:t>專責管制單位應調查原因，分析責任，簽報首長核處。」</w:t>
      </w:r>
      <w:r w:rsidR="00C67B47">
        <w:rPr>
          <w:rFonts w:hint="eastAsia"/>
        </w:rPr>
        <w:t>復</w:t>
      </w:r>
      <w:r w:rsidRPr="00C67B47">
        <w:rPr>
          <w:rFonts w:hint="eastAsia"/>
        </w:rPr>
        <w:t>依行政院與立監兩院聯繫注意事項第9點</w:t>
      </w:r>
      <w:r w:rsidR="00C67B47">
        <w:rPr>
          <w:rFonts w:hint="eastAsia"/>
        </w:rPr>
        <w:t>規定</w:t>
      </w:r>
      <w:r w:rsidRPr="00C67B47">
        <w:rPr>
          <w:rFonts w:hint="eastAsia"/>
        </w:rPr>
        <w:t>：「……監察委員所提之糾正或調查案，本院均列管追蹤。各機關對此種案件之處理情形，應定期檢查</w:t>
      </w:r>
      <w:r>
        <w:rPr>
          <w:rFonts w:hint="eastAsia"/>
        </w:rPr>
        <w:t>，務期依限辦理如期答復。」同注意事項第11點</w:t>
      </w:r>
      <w:r w:rsidR="00C67B47">
        <w:rPr>
          <w:rFonts w:hint="eastAsia"/>
        </w:rPr>
        <w:t>規定</w:t>
      </w:r>
      <w:r>
        <w:rPr>
          <w:rFonts w:hint="eastAsia"/>
        </w:rPr>
        <w:t>：「本院所屬機關對立監兩院之報告及答復，有規定之限期者，應注意時限。</w:t>
      </w:r>
      <w:r w:rsidRPr="00C67B47">
        <w:rPr>
          <w:rFonts w:hint="eastAsia"/>
        </w:rPr>
        <w:t>如期送出。</w:t>
      </w:r>
      <w:r>
        <w:rPr>
          <w:rFonts w:hint="eastAsia"/>
        </w:rPr>
        <w:t>」又依</w:t>
      </w:r>
      <w:r w:rsidRPr="00D85504">
        <w:rPr>
          <w:rFonts w:ascii="新細明體" w:hAnsi="新細明體" w:hint="eastAsia"/>
          <w:szCs w:val="32"/>
        </w:rPr>
        <w:t>法務部及所屬各機關公文檢核作業要點第</w:t>
      </w:r>
      <w:r w:rsidRPr="00D85504">
        <w:rPr>
          <w:rFonts w:ascii="新細明體" w:hAnsi="新細明體" w:hint="eastAsia"/>
          <w:szCs w:val="32"/>
        </w:rPr>
        <w:t>7</w:t>
      </w:r>
      <w:r w:rsidRPr="00D85504">
        <w:rPr>
          <w:rFonts w:ascii="新細明體" w:hAnsi="新細明體" w:hint="eastAsia"/>
          <w:szCs w:val="32"/>
        </w:rPr>
        <w:t>點第</w:t>
      </w:r>
      <w:r w:rsidRPr="00D85504">
        <w:rPr>
          <w:rFonts w:ascii="新細明體" w:hAnsi="新細明體" w:hint="eastAsia"/>
          <w:szCs w:val="32"/>
        </w:rPr>
        <w:t>8</w:t>
      </w:r>
      <w:r w:rsidRPr="00D85504">
        <w:rPr>
          <w:rFonts w:ascii="新細明體" w:hAnsi="新細明體" w:hint="eastAsia"/>
          <w:szCs w:val="32"/>
        </w:rPr>
        <w:t>項規定：「對於逾期限尚未答復監察院案件，是否實施下列措施：</w:t>
      </w:r>
      <w:r w:rsidRPr="00D85504">
        <w:rPr>
          <w:rFonts w:ascii="新細明體" w:hAnsi="新細明體" w:hint="eastAsia"/>
          <w:szCs w:val="32"/>
        </w:rPr>
        <w:t>1.</w:t>
      </w:r>
      <w:r w:rsidRPr="00D85504">
        <w:rPr>
          <w:rFonts w:ascii="新細明體" w:hAnsi="新細明體" w:hint="eastAsia"/>
          <w:szCs w:val="32"/>
        </w:rPr>
        <w:t>有無稽催。</w:t>
      </w:r>
      <w:r w:rsidRPr="00D85504">
        <w:rPr>
          <w:rFonts w:ascii="新細明體" w:hAnsi="新細明體" w:hint="eastAsia"/>
          <w:szCs w:val="32"/>
        </w:rPr>
        <w:t>2.</w:t>
      </w:r>
      <w:r w:rsidRPr="00D85504">
        <w:rPr>
          <w:rFonts w:ascii="新細明體" w:hAnsi="新細明體" w:hint="eastAsia"/>
          <w:szCs w:val="32"/>
        </w:rPr>
        <w:t>超過處理時限</w:t>
      </w:r>
      <w:r>
        <w:rPr>
          <w:rFonts w:ascii="新細明體" w:hAnsi="新細明體" w:hint="eastAsia"/>
          <w:szCs w:val="32"/>
        </w:rPr>
        <w:t>30</w:t>
      </w:r>
      <w:r w:rsidRPr="00D85504">
        <w:rPr>
          <w:rFonts w:ascii="新細明體" w:hAnsi="新細明體" w:hint="eastAsia"/>
          <w:szCs w:val="32"/>
        </w:rPr>
        <w:t>日以上未結案件有無個案分析處理。</w:t>
      </w:r>
      <w:r w:rsidRPr="00D85504">
        <w:rPr>
          <w:rFonts w:ascii="新細明體" w:hAnsi="新細明體" w:hint="eastAsia"/>
          <w:szCs w:val="32"/>
        </w:rPr>
        <w:t>3.</w:t>
      </w:r>
      <w:r w:rsidRPr="00D85504">
        <w:rPr>
          <w:rFonts w:ascii="新細明體" w:hAnsi="新細明體" w:hint="eastAsia"/>
          <w:szCs w:val="32"/>
        </w:rPr>
        <w:t>超過處理時限</w:t>
      </w:r>
      <w:r>
        <w:rPr>
          <w:rFonts w:ascii="新細明體" w:hAnsi="新細明體" w:hint="eastAsia"/>
          <w:szCs w:val="32"/>
        </w:rPr>
        <w:t>2</w:t>
      </w:r>
      <w:r w:rsidRPr="00D85504">
        <w:rPr>
          <w:rFonts w:ascii="新細明體" w:hAnsi="新細明體" w:hint="eastAsia"/>
          <w:szCs w:val="32"/>
        </w:rPr>
        <w:t>個月尚未答復監察院者，是否分別調查原因、分析責任，除經簽報准予展期者外，有無簽報核處。</w:t>
      </w:r>
      <w:r w:rsidRPr="00D85504">
        <w:rPr>
          <w:rFonts w:ascii="新細明體" w:hAnsi="新細明體" w:hint="eastAsia"/>
          <w:szCs w:val="32"/>
        </w:rPr>
        <w:t>4.</w:t>
      </w:r>
      <w:r w:rsidRPr="00D85504">
        <w:rPr>
          <w:rFonts w:ascii="新細明體" w:hAnsi="新細明體" w:hint="eastAsia"/>
          <w:szCs w:val="32"/>
        </w:rPr>
        <w:t>有無每月綜合統計分析管制成果，對內公布，視需要提報主管會報、業務會報。」</w:t>
      </w:r>
    </w:p>
    <w:p w:rsidR="00BE5CB8" w:rsidRDefault="00BE5CB8" w:rsidP="00A763E5">
      <w:pPr>
        <w:pStyle w:val="3"/>
        <w:ind w:left="1360" w:hanging="680"/>
      </w:pPr>
      <w:r>
        <w:rPr>
          <w:rFonts w:hint="eastAsia"/>
        </w:rPr>
        <w:t>查</w:t>
      </w:r>
      <w:r w:rsidRPr="00981664">
        <w:rPr>
          <w:rFonts w:hint="eastAsia"/>
          <w:bCs w:val="0"/>
        </w:rPr>
        <w:t>本件陳訴案，本院</w:t>
      </w:r>
      <w:r>
        <w:rPr>
          <w:rFonts w:hint="eastAsia"/>
        </w:rPr>
        <w:t>於98年6月6日函請法務部2個月內查復，該部於</w:t>
      </w:r>
      <w:r w:rsidRPr="001E1CA6">
        <w:rPr>
          <w:rFonts w:hint="eastAsia"/>
        </w:rPr>
        <w:t>98</w:t>
      </w:r>
      <w:r>
        <w:rPr>
          <w:rFonts w:hint="eastAsia"/>
        </w:rPr>
        <w:t>年</w:t>
      </w:r>
      <w:r w:rsidRPr="001E1CA6">
        <w:rPr>
          <w:rFonts w:hint="eastAsia"/>
        </w:rPr>
        <w:t>7</w:t>
      </w:r>
      <w:r>
        <w:rPr>
          <w:rFonts w:hint="eastAsia"/>
        </w:rPr>
        <w:t>月</w:t>
      </w:r>
      <w:r w:rsidRPr="001E1CA6">
        <w:rPr>
          <w:rFonts w:hint="eastAsia"/>
        </w:rPr>
        <w:t>30</w:t>
      </w:r>
      <w:r>
        <w:rPr>
          <w:rFonts w:hint="eastAsia"/>
        </w:rPr>
        <w:t>日函復本案有關</w:t>
      </w:r>
      <w:r w:rsidR="00C67B47">
        <w:rPr>
          <w:rFonts w:hint="eastAsia"/>
        </w:rPr>
        <w:t>法務部</w:t>
      </w:r>
      <w:r>
        <w:rPr>
          <w:rFonts w:hint="eastAsia"/>
        </w:rPr>
        <w:t>調查局之調查結果，惟就委查事項2部分，將俟</w:t>
      </w:r>
      <w:r w:rsidRPr="00981664">
        <w:rPr>
          <w:rFonts w:hint="eastAsia"/>
          <w:bCs w:val="0"/>
        </w:rPr>
        <w:t>高檢署查復後另行函復；嗣本院分別於98年9月24日、12月8日、99年7月13日及8月24日等4次函催法務部查復，該部</w:t>
      </w:r>
      <w:r w:rsidR="00944FCA">
        <w:rPr>
          <w:rFonts w:hint="eastAsia"/>
          <w:bCs w:val="0"/>
        </w:rPr>
        <w:t>雖</w:t>
      </w:r>
      <w:r w:rsidRPr="00981664">
        <w:rPr>
          <w:rFonts w:hint="eastAsia"/>
          <w:bCs w:val="0"/>
        </w:rPr>
        <w:t>先後於98年9月28日、10月5日、12月17日、99年7月21日、8月27日、9月16日6度函催高檢署儘速查復，</w:t>
      </w:r>
      <w:r w:rsidR="00C67B47">
        <w:rPr>
          <w:rFonts w:hint="eastAsia"/>
          <w:bCs w:val="0"/>
        </w:rPr>
        <w:t>直</w:t>
      </w:r>
      <w:r w:rsidRPr="00981664">
        <w:rPr>
          <w:rFonts w:hint="eastAsia"/>
          <w:bCs w:val="0"/>
        </w:rPr>
        <w:t>至</w:t>
      </w:r>
      <w:r w:rsidRPr="00981664">
        <w:rPr>
          <w:rFonts w:hint="eastAsia"/>
        </w:rPr>
        <w:t>99年11月24日</w:t>
      </w:r>
      <w:r>
        <w:rPr>
          <w:rFonts w:hint="eastAsia"/>
        </w:rPr>
        <w:t>法務</w:t>
      </w:r>
      <w:r w:rsidRPr="00981664">
        <w:rPr>
          <w:rFonts w:hint="eastAsia"/>
        </w:rPr>
        <w:t>部</w:t>
      </w:r>
      <w:r>
        <w:rPr>
          <w:rFonts w:hint="eastAsia"/>
        </w:rPr>
        <w:t>始</w:t>
      </w:r>
      <w:r w:rsidRPr="00981664">
        <w:rPr>
          <w:rFonts w:hint="eastAsia"/>
        </w:rPr>
        <w:t>以法檢決字第</w:t>
      </w:r>
      <w:r w:rsidRPr="00981664">
        <w:rPr>
          <w:rFonts w:hint="eastAsia"/>
        </w:rPr>
        <w:lastRenderedPageBreak/>
        <w:t>0999050356號函復有關高檢署調查結果</w:t>
      </w:r>
      <w:r>
        <w:rPr>
          <w:rFonts w:hint="eastAsia"/>
        </w:rPr>
        <w:t>。</w:t>
      </w:r>
      <w:r w:rsidR="00944FCA">
        <w:rPr>
          <w:rFonts w:hint="eastAsia"/>
        </w:rPr>
        <w:t>經</w:t>
      </w:r>
      <w:r>
        <w:rPr>
          <w:rFonts w:hint="eastAsia"/>
        </w:rPr>
        <w:t>查</w:t>
      </w:r>
      <w:r w:rsidRPr="004A2F5F">
        <w:rPr>
          <w:rFonts w:hint="eastAsia"/>
        </w:rPr>
        <w:t>本案</w:t>
      </w:r>
      <w:r>
        <w:rPr>
          <w:rFonts w:hint="eastAsia"/>
        </w:rPr>
        <w:t>法務部應</w:t>
      </w:r>
      <w:r w:rsidRPr="004A2F5F">
        <w:rPr>
          <w:rFonts w:hint="eastAsia"/>
        </w:rPr>
        <w:t>於98年</w:t>
      </w:r>
      <w:r>
        <w:rPr>
          <w:rFonts w:hint="eastAsia"/>
        </w:rPr>
        <w:t>8</w:t>
      </w:r>
      <w:r w:rsidRPr="004A2F5F">
        <w:rPr>
          <w:rFonts w:hint="eastAsia"/>
        </w:rPr>
        <w:t>月</w:t>
      </w:r>
      <w:r>
        <w:rPr>
          <w:rFonts w:hint="eastAsia"/>
        </w:rPr>
        <w:t>7</w:t>
      </w:r>
      <w:r w:rsidRPr="004A2F5F">
        <w:rPr>
          <w:rFonts w:hint="eastAsia"/>
        </w:rPr>
        <w:t>日</w:t>
      </w:r>
      <w:r>
        <w:rPr>
          <w:rFonts w:hint="eastAsia"/>
        </w:rPr>
        <w:t>函復，惟遲至</w:t>
      </w:r>
      <w:r w:rsidRPr="00B112F8">
        <w:rPr>
          <w:rFonts w:hint="eastAsia"/>
          <w:bCs w:val="0"/>
        </w:rPr>
        <w:t>99年</w:t>
      </w:r>
      <w:r>
        <w:rPr>
          <w:rFonts w:hint="eastAsia"/>
          <w:bCs w:val="0"/>
        </w:rPr>
        <w:t>1</w:t>
      </w:r>
      <w:r w:rsidRPr="00B112F8">
        <w:rPr>
          <w:rFonts w:hint="eastAsia"/>
          <w:bCs w:val="0"/>
        </w:rPr>
        <w:t>1月</w:t>
      </w:r>
      <w:r>
        <w:rPr>
          <w:rFonts w:hint="eastAsia"/>
          <w:bCs w:val="0"/>
        </w:rPr>
        <w:t>24</w:t>
      </w:r>
      <w:r w:rsidRPr="00B112F8">
        <w:rPr>
          <w:rFonts w:hint="eastAsia"/>
          <w:bCs w:val="0"/>
        </w:rPr>
        <w:t>日發文</w:t>
      </w:r>
      <w:r w:rsidRPr="00981664">
        <w:rPr>
          <w:rFonts w:hint="eastAsia"/>
        </w:rPr>
        <w:t>函復高檢署調查結果</w:t>
      </w:r>
      <w:r>
        <w:rPr>
          <w:rFonts w:hint="eastAsia"/>
        </w:rPr>
        <w:t>止，本案已</w:t>
      </w:r>
      <w:r w:rsidRPr="00D85504">
        <w:rPr>
          <w:rFonts w:ascii="新細明體" w:hAnsi="新細明體" w:hint="eastAsia"/>
          <w:szCs w:val="32"/>
        </w:rPr>
        <w:t>超過處理時限</w:t>
      </w:r>
      <w:r w:rsidRPr="004A2F5F">
        <w:rPr>
          <w:rFonts w:hint="eastAsia"/>
        </w:rPr>
        <w:t>長達</w:t>
      </w:r>
      <w:r>
        <w:rPr>
          <w:rFonts w:hint="eastAsia"/>
        </w:rPr>
        <w:t>475</w:t>
      </w:r>
      <w:r w:rsidRPr="004A2F5F">
        <w:rPr>
          <w:rFonts w:hint="eastAsia"/>
        </w:rPr>
        <w:t>日</w:t>
      </w:r>
      <w:r>
        <w:rPr>
          <w:rFonts w:hint="eastAsia"/>
        </w:rPr>
        <w:t>。</w:t>
      </w:r>
      <w:r>
        <w:rPr>
          <w:rFonts w:hint="eastAsia"/>
          <w:bCs w:val="0"/>
        </w:rPr>
        <w:t>依據</w:t>
      </w:r>
      <w:r w:rsidRPr="00981664">
        <w:rPr>
          <w:rFonts w:hint="eastAsia"/>
          <w:bCs w:val="0"/>
        </w:rPr>
        <w:t>高檢署99年12月24日書面報告</w:t>
      </w:r>
      <w:r>
        <w:rPr>
          <w:rFonts w:hint="eastAsia"/>
          <w:bCs w:val="0"/>
        </w:rPr>
        <w:t>略以，</w:t>
      </w:r>
      <w:r w:rsidRPr="00981664">
        <w:rPr>
          <w:rFonts w:hint="eastAsia"/>
          <w:bCs w:val="0"/>
        </w:rPr>
        <w:t>本署於98年7月27日收到</w:t>
      </w:r>
      <w:r>
        <w:rPr>
          <w:rFonts w:hint="eastAsia"/>
          <w:bCs w:val="0"/>
        </w:rPr>
        <w:t>臺北地</w:t>
      </w:r>
      <w:r w:rsidRPr="00981664">
        <w:rPr>
          <w:rFonts w:hint="eastAsia"/>
          <w:bCs w:val="0"/>
        </w:rPr>
        <w:t>檢</w:t>
      </w:r>
      <w:r>
        <w:rPr>
          <w:rFonts w:hint="eastAsia"/>
          <w:bCs w:val="0"/>
        </w:rPr>
        <w:t>署</w:t>
      </w:r>
      <w:r w:rsidRPr="00981664">
        <w:rPr>
          <w:rFonts w:hint="eastAsia"/>
          <w:bCs w:val="0"/>
        </w:rPr>
        <w:t>於98年7月2日北檢玲射98調103字第52924號函報調查報告查復書及磁片即送紀錄科，98年7月28日交承辦股收受，</w:t>
      </w:r>
      <w:r w:rsidRPr="00131100">
        <w:rPr>
          <w:rFonts w:hint="eastAsia"/>
          <w:bCs w:val="0"/>
        </w:rPr>
        <w:t>承辦股即予以擱置，嗣經法務部迭次函催，亦未積極儘速處理或將未能及時處理之原因函報法務部</w:t>
      </w:r>
      <w:r w:rsidRPr="00981664">
        <w:rPr>
          <w:rFonts w:hint="eastAsia"/>
          <w:bCs w:val="0"/>
        </w:rPr>
        <w:t>，迨至99年9月21日始檢陳</w:t>
      </w:r>
      <w:r>
        <w:rPr>
          <w:rFonts w:hint="eastAsia"/>
          <w:bCs w:val="0"/>
        </w:rPr>
        <w:t>臺北地</w:t>
      </w:r>
      <w:r w:rsidRPr="00981664">
        <w:rPr>
          <w:rFonts w:hint="eastAsia"/>
          <w:bCs w:val="0"/>
        </w:rPr>
        <w:t>檢</w:t>
      </w:r>
      <w:r>
        <w:rPr>
          <w:rFonts w:hint="eastAsia"/>
          <w:bCs w:val="0"/>
        </w:rPr>
        <w:t>署</w:t>
      </w:r>
      <w:r w:rsidRPr="00981664">
        <w:rPr>
          <w:rFonts w:hint="eastAsia"/>
          <w:bCs w:val="0"/>
        </w:rPr>
        <w:t>查復書報部，顯有延宕情事。</w:t>
      </w:r>
      <w:r>
        <w:rPr>
          <w:rFonts w:hint="eastAsia"/>
          <w:bCs w:val="0"/>
        </w:rPr>
        <w:t>另</w:t>
      </w:r>
      <w:r w:rsidRPr="0052425B">
        <w:rPr>
          <w:rFonts w:hint="eastAsia"/>
          <w:bCs w:val="0"/>
        </w:rPr>
        <w:t>本</w:t>
      </w:r>
      <w:r>
        <w:rPr>
          <w:rFonts w:hint="eastAsia"/>
          <w:bCs w:val="0"/>
        </w:rPr>
        <w:t>案調查委員約詢法務部次長吳陳鐶及</w:t>
      </w:r>
      <w:r w:rsidRPr="00A70492">
        <w:rPr>
          <w:rFonts w:hint="eastAsia"/>
          <w:bCs w:val="0"/>
        </w:rPr>
        <w:t>高檢署</w:t>
      </w:r>
      <w:bookmarkStart w:id="39" w:name="_GoBack"/>
      <w:bookmarkEnd w:id="39"/>
      <w:r>
        <w:rPr>
          <w:rFonts w:hint="eastAsia"/>
          <w:bCs w:val="0"/>
        </w:rPr>
        <w:t>檢察長顏大和均坦承處理本案確有延宕疏失之處。</w:t>
      </w:r>
    </w:p>
    <w:p w:rsidR="00BE5CB8" w:rsidRPr="000A78BD" w:rsidRDefault="00BE5CB8" w:rsidP="00A763E5">
      <w:pPr>
        <w:pStyle w:val="3"/>
        <w:ind w:left="1360" w:hanging="680"/>
      </w:pPr>
      <w:r>
        <w:rPr>
          <w:rFonts w:hint="eastAsia"/>
        </w:rPr>
        <w:t>綜上，</w:t>
      </w:r>
      <w:r w:rsidR="00944FCA">
        <w:rPr>
          <w:rFonts w:hint="eastAsia"/>
        </w:rPr>
        <w:t>本件陳訴案，</w:t>
      </w:r>
      <w:r w:rsidR="00944FCA" w:rsidRPr="00981664">
        <w:rPr>
          <w:rFonts w:hint="eastAsia"/>
          <w:bCs w:val="0"/>
        </w:rPr>
        <w:t>本院</w:t>
      </w:r>
      <w:r w:rsidR="00944FCA">
        <w:rPr>
          <w:rFonts w:hint="eastAsia"/>
        </w:rPr>
        <w:t>於98年6月6日函請法務部</w:t>
      </w:r>
      <w:r w:rsidR="00131100">
        <w:rPr>
          <w:rFonts w:hint="eastAsia"/>
        </w:rPr>
        <w:t>於</w:t>
      </w:r>
      <w:r w:rsidR="00944FCA">
        <w:rPr>
          <w:rFonts w:hint="eastAsia"/>
        </w:rPr>
        <w:t>2個月內查復，惟高</w:t>
      </w:r>
      <w:r w:rsidR="00944FCA" w:rsidRPr="008F7C6E">
        <w:rPr>
          <w:rFonts w:hint="eastAsia"/>
          <w:bCs w:val="0"/>
        </w:rPr>
        <w:t>檢署承辦人</w:t>
      </w:r>
      <w:r w:rsidR="00944FCA" w:rsidRPr="008F7C6E">
        <w:rPr>
          <w:bCs w:val="0"/>
        </w:rPr>
        <w:t>擱置延宕</w:t>
      </w:r>
      <w:r w:rsidR="00944FCA" w:rsidRPr="008F7C6E">
        <w:rPr>
          <w:rFonts w:hint="eastAsia"/>
          <w:bCs w:val="0"/>
        </w:rPr>
        <w:t>本案</w:t>
      </w:r>
      <w:r w:rsidR="00944FCA" w:rsidRPr="008F7C6E">
        <w:rPr>
          <w:bCs w:val="0"/>
        </w:rPr>
        <w:t>未</w:t>
      </w:r>
      <w:r w:rsidR="00944FCA" w:rsidRPr="008F7C6E">
        <w:rPr>
          <w:rFonts w:hint="eastAsia"/>
          <w:bCs w:val="0"/>
        </w:rPr>
        <w:t>予</w:t>
      </w:r>
      <w:r w:rsidR="00944FCA" w:rsidRPr="008F7C6E">
        <w:rPr>
          <w:bCs w:val="0"/>
        </w:rPr>
        <w:t>處理</w:t>
      </w:r>
      <w:r w:rsidR="00944FCA">
        <w:rPr>
          <w:rFonts w:hint="eastAsia"/>
          <w:bCs w:val="0"/>
        </w:rPr>
        <w:t>，</w:t>
      </w:r>
      <w:r w:rsidR="00944FCA">
        <w:rPr>
          <w:rFonts w:hint="eastAsia"/>
        </w:rPr>
        <w:t>經本院</w:t>
      </w:r>
      <w:r w:rsidR="00944FCA" w:rsidRPr="00981664">
        <w:rPr>
          <w:rFonts w:hint="eastAsia"/>
          <w:bCs w:val="0"/>
        </w:rPr>
        <w:t>4次</w:t>
      </w:r>
      <w:r w:rsidR="00944FCA">
        <w:rPr>
          <w:rFonts w:hint="eastAsia"/>
          <w:bCs w:val="0"/>
        </w:rPr>
        <w:t>與法務部</w:t>
      </w:r>
      <w:r w:rsidR="00944FCA" w:rsidRPr="00981664">
        <w:rPr>
          <w:rFonts w:hint="eastAsia"/>
          <w:bCs w:val="0"/>
        </w:rPr>
        <w:t>6度函催</w:t>
      </w:r>
      <w:r w:rsidR="00944FCA">
        <w:rPr>
          <w:rFonts w:hint="eastAsia"/>
          <w:bCs w:val="0"/>
        </w:rPr>
        <w:t>，</w:t>
      </w:r>
      <w:r w:rsidRPr="00D85504">
        <w:rPr>
          <w:rFonts w:ascii="新細明體" w:hAnsi="新細明體" w:hint="eastAsia"/>
          <w:szCs w:val="32"/>
        </w:rPr>
        <w:t>超過處理時限</w:t>
      </w:r>
      <w:r w:rsidRPr="004A2F5F">
        <w:rPr>
          <w:rFonts w:hint="eastAsia"/>
        </w:rPr>
        <w:t>長達</w:t>
      </w:r>
      <w:r>
        <w:rPr>
          <w:rFonts w:hint="eastAsia"/>
        </w:rPr>
        <w:t>475</w:t>
      </w:r>
      <w:r w:rsidRPr="004A2F5F">
        <w:rPr>
          <w:rFonts w:hint="eastAsia"/>
        </w:rPr>
        <w:t>日</w:t>
      </w:r>
      <w:r>
        <w:rPr>
          <w:rFonts w:hint="eastAsia"/>
        </w:rPr>
        <w:t>，</w:t>
      </w:r>
      <w:r w:rsidR="00944FCA">
        <w:rPr>
          <w:rFonts w:hint="eastAsia"/>
        </w:rPr>
        <w:t>該署</w:t>
      </w:r>
      <w:r w:rsidR="00131100">
        <w:rPr>
          <w:rFonts w:hint="eastAsia"/>
        </w:rPr>
        <w:t>已</w:t>
      </w:r>
      <w:r w:rsidR="00944FCA">
        <w:rPr>
          <w:rFonts w:hint="eastAsia"/>
        </w:rPr>
        <w:t>坦承有延宕情事，</w:t>
      </w:r>
      <w:r w:rsidRPr="00872A7A">
        <w:rPr>
          <w:rFonts w:hint="eastAsia"/>
          <w:bCs w:val="0"/>
        </w:rPr>
        <w:t>顯見法務部及高檢署既未依前揭規定實施公文定期檢查亦未切實</w:t>
      </w:r>
      <w:r w:rsidR="00131100">
        <w:rPr>
          <w:rFonts w:hint="eastAsia"/>
          <w:bCs w:val="0"/>
        </w:rPr>
        <w:t>追蹤</w:t>
      </w:r>
      <w:r w:rsidRPr="00872A7A">
        <w:rPr>
          <w:rFonts w:hint="eastAsia"/>
          <w:bCs w:val="0"/>
        </w:rPr>
        <w:t>查核</w:t>
      </w:r>
      <w:r w:rsidR="00131100">
        <w:rPr>
          <w:rFonts w:hint="eastAsia"/>
          <w:bCs w:val="0"/>
        </w:rPr>
        <w:t>本案進度</w:t>
      </w:r>
      <w:r w:rsidRPr="00872A7A">
        <w:rPr>
          <w:rFonts w:hint="eastAsia"/>
          <w:bCs w:val="0"/>
        </w:rPr>
        <w:t>，</w:t>
      </w:r>
      <w:r w:rsidR="00131100">
        <w:rPr>
          <w:rFonts w:hint="eastAsia"/>
          <w:bCs w:val="0"/>
        </w:rPr>
        <w:t>肇致</w:t>
      </w:r>
      <w:r w:rsidRPr="00872A7A">
        <w:rPr>
          <w:rFonts w:hint="eastAsia"/>
          <w:bCs w:val="0"/>
        </w:rPr>
        <w:t>公</w:t>
      </w:r>
      <w:r w:rsidRPr="003C7225">
        <w:rPr>
          <w:rFonts w:hint="eastAsia"/>
        </w:rPr>
        <w:t>文</w:t>
      </w:r>
      <w:r w:rsidRPr="000A78BD">
        <w:rPr>
          <w:rFonts w:hint="eastAsia"/>
          <w:bCs w:val="0"/>
        </w:rPr>
        <w:t>檢核</w:t>
      </w:r>
      <w:r w:rsidR="00131100">
        <w:rPr>
          <w:rFonts w:hint="eastAsia"/>
          <w:bCs w:val="0"/>
        </w:rPr>
        <w:t>規定</w:t>
      </w:r>
      <w:r>
        <w:rPr>
          <w:rFonts w:hint="eastAsia"/>
          <w:bCs w:val="0"/>
        </w:rPr>
        <w:t>形同具文，核有嚴重違失。</w:t>
      </w:r>
    </w:p>
    <w:p w:rsidR="004F742D" w:rsidRPr="002178BB" w:rsidRDefault="00BE5CB8" w:rsidP="002178BB">
      <w:pPr>
        <w:pStyle w:val="1"/>
        <w:ind w:leftChars="1100" w:left="3742" w:firstLineChars="500" w:firstLine="1701"/>
        <w:rPr>
          <w:spacing w:val="12"/>
        </w:rPr>
      </w:pPr>
      <w:bookmarkStart w:id="40" w:name="_Toc524895648"/>
      <w:bookmarkStart w:id="41" w:name="_Toc524896194"/>
      <w:bookmarkStart w:id="42" w:name="_Toc524896224"/>
      <w:bookmarkStart w:id="43" w:name="_Toc524902734"/>
      <w:bookmarkStart w:id="44" w:name="_Toc525066148"/>
      <w:bookmarkStart w:id="45" w:name="_Toc525070839"/>
      <w:bookmarkStart w:id="46" w:name="_Toc525938379"/>
      <w:bookmarkStart w:id="47" w:name="_Toc525939227"/>
      <w:bookmarkStart w:id="48" w:name="_Toc525939732"/>
      <w:bookmarkStart w:id="49" w:name="_Toc52921827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br w:type="page"/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sectPr w:rsidR="004F742D" w:rsidRPr="002178BB" w:rsidSect="00C238C3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A0" w:rsidRDefault="007A49A0">
      <w:r>
        <w:separator/>
      </w:r>
    </w:p>
  </w:endnote>
  <w:endnote w:type="continuationSeparator" w:id="0">
    <w:p w:rsidR="007A49A0" w:rsidRDefault="007A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68" w:rsidRDefault="00C238C3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E7546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0517C6">
      <w:rPr>
        <w:rStyle w:val="a7"/>
        <w:noProof/>
        <w:sz w:val="24"/>
      </w:rPr>
      <w:t>5</w:t>
    </w:r>
    <w:r>
      <w:rPr>
        <w:rStyle w:val="a7"/>
        <w:sz w:val="24"/>
      </w:rPr>
      <w:fldChar w:fldCharType="end"/>
    </w:r>
  </w:p>
  <w:p w:rsidR="00E75468" w:rsidRDefault="00E7546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A0" w:rsidRDefault="007A49A0">
      <w:r>
        <w:separator/>
      </w:r>
    </w:p>
  </w:footnote>
  <w:footnote w:type="continuationSeparator" w:id="0">
    <w:p w:rsidR="007A49A0" w:rsidRDefault="007A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DC2937C"/>
    <w:lvl w:ilvl="0">
      <w:start w:val="1"/>
      <w:numFmt w:val="ideographLegalTraditional"/>
      <w:pStyle w:val="1"/>
      <w:suff w:val="nothing"/>
      <w:lvlText w:val="%1、"/>
      <w:lvlJc w:val="left"/>
      <w:pPr>
        <w:ind w:left="3677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1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7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2794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661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3010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3010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3356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761"/>
        </w:tabs>
        <w:ind w:left="5581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780"/>
        </w:tabs>
        <w:ind w:left="103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4D"/>
    <w:rsid w:val="00017F27"/>
    <w:rsid w:val="00031ACE"/>
    <w:rsid w:val="0003798C"/>
    <w:rsid w:val="000400C3"/>
    <w:rsid w:val="000475EA"/>
    <w:rsid w:val="000517C6"/>
    <w:rsid w:val="00062BFC"/>
    <w:rsid w:val="000672DF"/>
    <w:rsid w:val="00077779"/>
    <w:rsid w:val="000819D3"/>
    <w:rsid w:val="000964FE"/>
    <w:rsid w:val="000A5931"/>
    <w:rsid w:val="000A78BD"/>
    <w:rsid w:val="000B71A3"/>
    <w:rsid w:val="000C0A7C"/>
    <w:rsid w:val="000C2E0F"/>
    <w:rsid w:val="000F17B6"/>
    <w:rsid w:val="000F4318"/>
    <w:rsid w:val="000F4B4F"/>
    <w:rsid w:val="000F5F3D"/>
    <w:rsid w:val="001002B7"/>
    <w:rsid w:val="00131100"/>
    <w:rsid w:val="00137992"/>
    <w:rsid w:val="001469E8"/>
    <w:rsid w:val="00155236"/>
    <w:rsid w:val="001658FC"/>
    <w:rsid w:val="0017580C"/>
    <w:rsid w:val="00180EF9"/>
    <w:rsid w:val="00181808"/>
    <w:rsid w:val="001976AD"/>
    <w:rsid w:val="001A2DAF"/>
    <w:rsid w:val="001B58B4"/>
    <w:rsid w:val="001C561E"/>
    <w:rsid w:val="001D2C51"/>
    <w:rsid w:val="001D3CD2"/>
    <w:rsid w:val="001D63E4"/>
    <w:rsid w:val="001D7023"/>
    <w:rsid w:val="001E15F0"/>
    <w:rsid w:val="001E1CA6"/>
    <w:rsid w:val="001F6CDC"/>
    <w:rsid w:val="002012B6"/>
    <w:rsid w:val="00201AA2"/>
    <w:rsid w:val="00202D0A"/>
    <w:rsid w:val="0021139C"/>
    <w:rsid w:val="002178BB"/>
    <w:rsid w:val="00234208"/>
    <w:rsid w:val="00234CAF"/>
    <w:rsid w:val="002402C4"/>
    <w:rsid w:val="00242859"/>
    <w:rsid w:val="00245430"/>
    <w:rsid w:val="00251BB0"/>
    <w:rsid w:val="00254E3F"/>
    <w:rsid w:val="00256B11"/>
    <w:rsid w:val="002745DF"/>
    <w:rsid w:val="002751D2"/>
    <w:rsid w:val="002755F2"/>
    <w:rsid w:val="0027736E"/>
    <w:rsid w:val="00277DE4"/>
    <w:rsid w:val="0028362A"/>
    <w:rsid w:val="002A29C9"/>
    <w:rsid w:val="002A768B"/>
    <w:rsid w:val="002B37CC"/>
    <w:rsid w:val="002C7A24"/>
    <w:rsid w:val="002C7B3D"/>
    <w:rsid w:val="002D5709"/>
    <w:rsid w:val="002E2B5D"/>
    <w:rsid w:val="002E2CC9"/>
    <w:rsid w:val="002E7A9F"/>
    <w:rsid w:val="002F0766"/>
    <w:rsid w:val="00300AB5"/>
    <w:rsid w:val="00304B60"/>
    <w:rsid w:val="0030534B"/>
    <w:rsid w:val="0031088B"/>
    <w:rsid w:val="00312A7F"/>
    <w:rsid w:val="00333660"/>
    <w:rsid w:val="00344D78"/>
    <w:rsid w:val="003519F2"/>
    <w:rsid w:val="00354A3E"/>
    <w:rsid w:val="00385449"/>
    <w:rsid w:val="00395E9F"/>
    <w:rsid w:val="003A1287"/>
    <w:rsid w:val="003A15C6"/>
    <w:rsid w:val="003A4E1E"/>
    <w:rsid w:val="003B1123"/>
    <w:rsid w:val="003B2E9D"/>
    <w:rsid w:val="003B44AC"/>
    <w:rsid w:val="003C20A4"/>
    <w:rsid w:val="003C7225"/>
    <w:rsid w:val="003D5670"/>
    <w:rsid w:val="003E4732"/>
    <w:rsid w:val="003F06D4"/>
    <w:rsid w:val="003F2823"/>
    <w:rsid w:val="003F702B"/>
    <w:rsid w:val="00401333"/>
    <w:rsid w:val="00412D83"/>
    <w:rsid w:val="00414BCD"/>
    <w:rsid w:val="00416ED8"/>
    <w:rsid w:val="00424D91"/>
    <w:rsid w:val="004259BA"/>
    <w:rsid w:val="00426C32"/>
    <w:rsid w:val="004466CA"/>
    <w:rsid w:val="004531CE"/>
    <w:rsid w:val="004533AE"/>
    <w:rsid w:val="00462B45"/>
    <w:rsid w:val="00464727"/>
    <w:rsid w:val="00467354"/>
    <w:rsid w:val="00494BEC"/>
    <w:rsid w:val="004A03DA"/>
    <w:rsid w:val="004A2F5F"/>
    <w:rsid w:val="004B0BBB"/>
    <w:rsid w:val="004B1191"/>
    <w:rsid w:val="004E19FB"/>
    <w:rsid w:val="004E2E79"/>
    <w:rsid w:val="004E35C5"/>
    <w:rsid w:val="004E519B"/>
    <w:rsid w:val="004E5D29"/>
    <w:rsid w:val="004F3846"/>
    <w:rsid w:val="004F742D"/>
    <w:rsid w:val="00515D78"/>
    <w:rsid w:val="00517A99"/>
    <w:rsid w:val="00520176"/>
    <w:rsid w:val="0052425B"/>
    <w:rsid w:val="005333AB"/>
    <w:rsid w:val="005357D9"/>
    <w:rsid w:val="0053628F"/>
    <w:rsid w:val="00541017"/>
    <w:rsid w:val="00542701"/>
    <w:rsid w:val="0054450A"/>
    <w:rsid w:val="00544679"/>
    <w:rsid w:val="00551C89"/>
    <w:rsid w:val="00577DE5"/>
    <w:rsid w:val="00592EA2"/>
    <w:rsid w:val="005A0D4D"/>
    <w:rsid w:val="005B15D9"/>
    <w:rsid w:val="005C4CAD"/>
    <w:rsid w:val="005D1FF1"/>
    <w:rsid w:val="005D3944"/>
    <w:rsid w:val="005D5B46"/>
    <w:rsid w:val="005D77D5"/>
    <w:rsid w:val="005E1717"/>
    <w:rsid w:val="005E1ED2"/>
    <w:rsid w:val="005F3368"/>
    <w:rsid w:val="0063037F"/>
    <w:rsid w:val="006318FB"/>
    <w:rsid w:val="006374DB"/>
    <w:rsid w:val="006830F6"/>
    <w:rsid w:val="006A2327"/>
    <w:rsid w:val="006C3E8F"/>
    <w:rsid w:val="007036A9"/>
    <w:rsid w:val="00705C88"/>
    <w:rsid w:val="007075A0"/>
    <w:rsid w:val="007253AA"/>
    <w:rsid w:val="00727714"/>
    <w:rsid w:val="0074429B"/>
    <w:rsid w:val="00755588"/>
    <w:rsid w:val="00756A10"/>
    <w:rsid w:val="00761F8E"/>
    <w:rsid w:val="00767831"/>
    <w:rsid w:val="00767F9A"/>
    <w:rsid w:val="00772892"/>
    <w:rsid w:val="007743DD"/>
    <w:rsid w:val="007747D9"/>
    <w:rsid w:val="00791AEB"/>
    <w:rsid w:val="007A2537"/>
    <w:rsid w:val="007A49A0"/>
    <w:rsid w:val="007A5720"/>
    <w:rsid w:val="007A5E00"/>
    <w:rsid w:val="007A6FB6"/>
    <w:rsid w:val="007E0F31"/>
    <w:rsid w:val="007E37B3"/>
    <w:rsid w:val="007F4809"/>
    <w:rsid w:val="00805965"/>
    <w:rsid w:val="00807F44"/>
    <w:rsid w:val="00820762"/>
    <w:rsid w:val="00823303"/>
    <w:rsid w:val="00830F61"/>
    <w:rsid w:val="00832949"/>
    <w:rsid w:val="0083568F"/>
    <w:rsid w:val="00840765"/>
    <w:rsid w:val="00841B98"/>
    <w:rsid w:val="00841DDB"/>
    <w:rsid w:val="00847761"/>
    <w:rsid w:val="00856C47"/>
    <w:rsid w:val="00866338"/>
    <w:rsid w:val="00872A7A"/>
    <w:rsid w:val="00890175"/>
    <w:rsid w:val="008A1434"/>
    <w:rsid w:val="008A33E6"/>
    <w:rsid w:val="008B01D3"/>
    <w:rsid w:val="008B4A04"/>
    <w:rsid w:val="008C3E62"/>
    <w:rsid w:val="008D2D24"/>
    <w:rsid w:val="008E1A6F"/>
    <w:rsid w:val="008E44AC"/>
    <w:rsid w:val="008F2685"/>
    <w:rsid w:val="008F7C6E"/>
    <w:rsid w:val="00900EA9"/>
    <w:rsid w:val="0091048B"/>
    <w:rsid w:val="00910E02"/>
    <w:rsid w:val="0092427E"/>
    <w:rsid w:val="00944FCA"/>
    <w:rsid w:val="00946EFD"/>
    <w:rsid w:val="00951545"/>
    <w:rsid w:val="00963EAA"/>
    <w:rsid w:val="009642C1"/>
    <w:rsid w:val="00966926"/>
    <w:rsid w:val="009675DB"/>
    <w:rsid w:val="009733D3"/>
    <w:rsid w:val="00981664"/>
    <w:rsid w:val="00984E84"/>
    <w:rsid w:val="00986A39"/>
    <w:rsid w:val="009A31ED"/>
    <w:rsid w:val="009B2DCC"/>
    <w:rsid w:val="009B3859"/>
    <w:rsid w:val="009B4B71"/>
    <w:rsid w:val="009B6CAF"/>
    <w:rsid w:val="009B6E21"/>
    <w:rsid w:val="009C4023"/>
    <w:rsid w:val="009C7846"/>
    <w:rsid w:val="009D3418"/>
    <w:rsid w:val="009E428C"/>
    <w:rsid w:val="009E6293"/>
    <w:rsid w:val="009F7A25"/>
    <w:rsid w:val="00A01F5B"/>
    <w:rsid w:val="00A0212F"/>
    <w:rsid w:val="00A07C95"/>
    <w:rsid w:val="00A70492"/>
    <w:rsid w:val="00A72A31"/>
    <w:rsid w:val="00A763E5"/>
    <w:rsid w:val="00A7718F"/>
    <w:rsid w:val="00A9556E"/>
    <w:rsid w:val="00AA0F55"/>
    <w:rsid w:val="00AB2B5B"/>
    <w:rsid w:val="00AC3A61"/>
    <w:rsid w:val="00AD6393"/>
    <w:rsid w:val="00AE2E33"/>
    <w:rsid w:val="00AE353C"/>
    <w:rsid w:val="00AF0D50"/>
    <w:rsid w:val="00AF6A97"/>
    <w:rsid w:val="00B112F8"/>
    <w:rsid w:val="00B20604"/>
    <w:rsid w:val="00B21387"/>
    <w:rsid w:val="00B25860"/>
    <w:rsid w:val="00B4104F"/>
    <w:rsid w:val="00B47CC7"/>
    <w:rsid w:val="00B64D70"/>
    <w:rsid w:val="00B67A79"/>
    <w:rsid w:val="00B74FA5"/>
    <w:rsid w:val="00B840AC"/>
    <w:rsid w:val="00B8783C"/>
    <w:rsid w:val="00B87B4B"/>
    <w:rsid w:val="00B93806"/>
    <w:rsid w:val="00B9606D"/>
    <w:rsid w:val="00BB613E"/>
    <w:rsid w:val="00BD21B3"/>
    <w:rsid w:val="00BE5CB8"/>
    <w:rsid w:val="00BE7293"/>
    <w:rsid w:val="00BF2D94"/>
    <w:rsid w:val="00BF5128"/>
    <w:rsid w:val="00BF6DFD"/>
    <w:rsid w:val="00C238C3"/>
    <w:rsid w:val="00C24359"/>
    <w:rsid w:val="00C24E3D"/>
    <w:rsid w:val="00C30E81"/>
    <w:rsid w:val="00C37673"/>
    <w:rsid w:val="00C4196A"/>
    <w:rsid w:val="00C44261"/>
    <w:rsid w:val="00C5239B"/>
    <w:rsid w:val="00C67B47"/>
    <w:rsid w:val="00C81A9E"/>
    <w:rsid w:val="00C8685F"/>
    <w:rsid w:val="00C8721E"/>
    <w:rsid w:val="00CA48A9"/>
    <w:rsid w:val="00CB03CC"/>
    <w:rsid w:val="00CB6277"/>
    <w:rsid w:val="00CB6458"/>
    <w:rsid w:val="00CC2832"/>
    <w:rsid w:val="00CC43C4"/>
    <w:rsid w:val="00CC7F15"/>
    <w:rsid w:val="00CD316D"/>
    <w:rsid w:val="00CD6B39"/>
    <w:rsid w:val="00CE56A4"/>
    <w:rsid w:val="00CF488B"/>
    <w:rsid w:val="00CF4A83"/>
    <w:rsid w:val="00D10919"/>
    <w:rsid w:val="00D14698"/>
    <w:rsid w:val="00D149A2"/>
    <w:rsid w:val="00D26545"/>
    <w:rsid w:val="00D26F19"/>
    <w:rsid w:val="00D36021"/>
    <w:rsid w:val="00D417CC"/>
    <w:rsid w:val="00D47010"/>
    <w:rsid w:val="00D7637C"/>
    <w:rsid w:val="00D7736E"/>
    <w:rsid w:val="00D85504"/>
    <w:rsid w:val="00D86F58"/>
    <w:rsid w:val="00DD329F"/>
    <w:rsid w:val="00DE29CC"/>
    <w:rsid w:val="00DF3497"/>
    <w:rsid w:val="00DF4009"/>
    <w:rsid w:val="00E02229"/>
    <w:rsid w:val="00E12135"/>
    <w:rsid w:val="00E16A6C"/>
    <w:rsid w:val="00E3289C"/>
    <w:rsid w:val="00E4238B"/>
    <w:rsid w:val="00E52099"/>
    <w:rsid w:val="00E52325"/>
    <w:rsid w:val="00E523DB"/>
    <w:rsid w:val="00E543A4"/>
    <w:rsid w:val="00E55719"/>
    <w:rsid w:val="00E75468"/>
    <w:rsid w:val="00E92A20"/>
    <w:rsid w:val="00E9728F"/>
    <w:rsid w:val="00EA01FF"/>
    <w:rsid w:val="00EA3EDA"/>
    <w:rsid w:val="00EA4010"/>
    <w:rsid w:val="00EA55A0"/>
    <w:rsid w:val="00EB5120"/>
    <w:rsid w:val="00EC2BC9"/>
    <w:rsid w:val="00EC4F9B"/>
    <w:rsid w:val="00ED08D6"/>
    <w:rsid w:val="00ED196B"/>
    <w:rsid w:val="00ED3C56"/>
    <w:rsid w:val="00ED3FE3"/>
    <w:rsid w:val="00EE310B"/>
    <w:rsid w:val="00EF040B"/>
    <w:rsid w:val="00EF238B"/>
    <w:rsid w:val="00EF602F"/>
    <w:rsid w:val="00F05E5B"/>
    <w:rsid w:val="00F2619F"/>
    <w:rsid w:val="00F33CA4"/>
    <w:rsid w:val="00F45E92"/>
    <w:rsid w:val="00F73868"/>
    <w:rsid w:val="00F947E2"/>
    <w:rsid w:val="00FB28A0"/>
    <w:rsid w:val="00FD1A0D"/>
    <w:rsid w:val="00FD7A6A"/>
    <w:rsid w:val="00FE2E35"/>
    <w:rsid w:val="00FE4D75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C5173F-0F2D-49DD-B89C-43B99606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38C3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C238C3"/>
    <w:pPr>
      <w:numPr>
        <w:numId w:val="1"/>
      </w:numPr>
      <w:kinsoku w:val="0"/>
      <w:ind w:left="841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C238C3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C238C3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C238C3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C238C3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C238C3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C238C3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C238C3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C238C3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C238C3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C238C3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C238C3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C238C3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C238C3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C238C3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C238C3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C238C3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C238C3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C238C3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C238C3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C238C3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C238C3"/>
    <w:pPr>
      <w:ind w:leftChars="1600" w:left="3840"/>
    </w:pPr>
  </w:style>
  <w:style w:type="paragraph" w:styleId="a8">
    <w:name w:val="header"/>
    <w:basedOn w:val="a1"/>
    <w:semiHidden/>
    <w:rsid w:val="00C238C3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C238C3"/>
    <w:pPr>
      <w:ind w:leftChars="400" w:left="400"/>
    </w:pPr>
  </w:style>
  <w:style w:type="character" w:styleId="a9">
    <w:name w:val="Hyperlink"/>
    <w:basedOn w:val="a2"/>
    <w:semiHidden/>
    <w:rsid w:val="00C238C3"/>
    <w:rPr>
      <w:color w:val="0000FF"/>
      <w:u w:val="single"/>
    </w:rPr>
  </w:style>
  <w:style w:type="paragraph" w:customStyle="1" w:styleId="aa">
    <w:name w:val="簽名日期"/>
    <w:basedOn w:val="a1"/>
    <w:rsid w:val="00C238C3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C238C3"/>
    <w:pPr>
      <w:ind w:leftChars="200" w:left="200" w:firstLineChars="0" w:firstLine="0"/>
    </w:pPr>
  </w:style>
  <w:style w:type="paragraph" w:customStyle="1" w:styleId="ab">
    <w:name w:val="附件"/>
    <w:basedOn w:val="a6"/>
    <w:rsid w:val="00C238C3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C238C3"/>
    <w:pPr>
      <w:ind w:leftChars="500" w:left="500"/>
    </w:pPr>
  </w:style>
  <w:style w:type="paragraph" w:customStyle="1" w:styleId="51">
    <w:name w:val="段落樣式5"/>
    <w:basedOn w:val="41"/>
    <w:rsid w:val="00C238C3"/>
    <w:pPr>
      <w:ind w:leftChars="600" w:left="600"/>
    </w:pPr>
  </w:style>
  <w:style w:type="paragraph" w:customStyle="1" w:styleId="61">
    <w:name w:val="段落樣式6"/>
    <w:basedOn w:val="51"/>
    <w:rsid w:val="00C238C3"/>
    <w:pPr>
      <w:ind w:leftChars="700" w:left="700"/>
    </w:pPr>
  </w:style>
  <w:style w:type="paragraph" w:customStyle="1" w:styleId="71">
    <w:name w:val="段落樣式7"/>
    <w:basedOn w:val="61"/>
    <w:rsid w:val="00C238C3"/>
  </w:style>
  <w:style w:type="paragraph" w:customStyle="1" w:styleId="81">
    <w:name w:val="段落樣式8"/>
    <w:basedOn w:val="71"/>
    <w:rsid w:val="00C238C3"/>
    <w:pPr>
      <w:ind w:leftChars="800" w:left="800"/>
    </w:pPr>
  </w:style>
  <w:style w:type="paragraph" w:customStyle="1" w:styleId="a0">
    <w:name w:val="表樣式"/>
    <w:basedOn w:val="a1"/>
    <w:next w:val="a1"/>
    <w:rsid w:val="00C238C3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C238C3"/>
    <w:pPr>
      <w:ind w:left="698" w:hangingChars="200" w:hanging="698"/>
    </w:pPr>
  </w:style>
  <w:style w:type="paragraph" w:customStyle="1" w:styleId="ad">
    <w:name w:val="調查報告"/>
    <w:basedOn w:val="a6"/>
    <w:rsid w:val="00C238C3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table" w:styleId="ae">
    <w:name w:val="Table Grid"/>
    <w:basedOn w:val="a3"/>
    <w:uiPriority w:val="59"/>
    <w:rsid w:val="00BE7293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圖樣式"/>
    <w:basedOn w:val="a1"/>
    <w:next w:val="a1"/>
    <w:rsid w:val="00C238C3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C238C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C238C3"/>
    <w:pPr>
      <w:ind w:left="400" w:hangingChars="400" w:hanging="400"/>
    </w:pPr>
  </w:style>
  <w:style w:type="paragraph" w:styleId="af1">
    <w:name w:val="List Paragraph"/>
    <w:basedOn w:val="a1"/>
    <w:uiPriority w:val="34"/>
    <w:qFormat/>
    <w:rsid w:val="00BE7293"/>
    <w:pPr>
      <w:ind w:leftChars="200" w:left="480"/>
    </w:pPr>
    <w:rPr>
      <w:rFonts w:ascii="Calibri" w:eastAsia="新細明體" w:hAnsi="Calibri"/>
      <w:sz w:val="24"/>
      <w:szCs w:val="22"/>
    </w:rPr>
  </w:style>
  <w:style w:type="character" w:styleId="af2">
    <w:name w:val="Emphasis"/>
    <w:basedOn w:val="a2"/>
    <w:uiPriority w:val="20"/>
    <w:qFormat/>
    <w:rsid w:val="000A78B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ua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2627-FE34-4DE8-B0F1-2FF8552F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6</Pages>
  <Words>466</Words>
  <Characters>2660</Characters>
  <Application>Microsoft Office Word</Application>
  <DocSecurity>0</DocSecurity>
  <Lines>22</Lines>
  <Paragraphs>6</Paragraphs>
  <ScaleCrop>false</ScaleCrop>
  <Company>cy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王增華</cp:lastModifiedBy>
  <cp:revision>2</cp:revision>
  <cp:lastPrinted>2011-02-21T03:26:00Z</cp:lastPrinted>
  <dcterms:created xsi:type="dcterms:W3CDTF">2016-11-23T04:16:00Z</dcterms:created>
  <dcterms:modified xsi:type="dcterms:W3CDTF">2016-11-23T04:16:00Z</dcterms:modified>
</cp:coreProperties>
</file>