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44" w:rsidRPr="004D141F" w:rsidRDefault="00D75644" w:rsidP="00F37D7B">
      <w:pPr>
        <w:pStyle w:val="af6"/>
      </w:pPr>
      <w:r w:rsidRPr="004D141F">
        <w:rPr>
          <w:rFonts w:hint="eastAsia"/>
        </w:rPr>
        <w:t>調查報告</w:t>
      </w:r>
    </w:p>
    <w:p w:rsidR="00EC7679" w:rsidRDefault="00E25849" w:rsidP="00EC7679">
      <w:pPr>
        <w:pStyle w:val="10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B31D4E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 w:rsidR="00B31D4E">
        <w:fldChar w:fldCharType="separate"/>
      </w:r>
      <w:bookmarkEnd w:id="11"/>
      <w:r w:rsidR="00E93C12" w:rsidRPr="00665377">
        <w:rPr>
          <w:noProof/>
        </w:rPr>
        <w:t>據訴，最高行政法院審理104年度判字第198號渠等與內政部間撤銷土地徵收事件，該院分案由撤銷發回更審前裁判之同法庭法官審理，經聲請法官迴避，復未停止訴訟程序及以合議裁定等情。究本案聲請法官迴避之處理程序，有無違反行政訴訟法相關規定？其分案方式對當事人審級利益有無影響？有無檢討之必要？與最高法院實務作法有無不同？均有進一步釐清之必要案</w:t>
      </w:r>
      <w:bookmarkEnd w:id="10"/>
      <w:r w:rsidR="00B31D4E"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6B0CD6">
        <w:rPr>
          <w:rFonts w:hint="eastAsia"/>
        </w:rPr>
        <w:t>。</w:t>
      </w: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</w:p>
    <w:p w:rsidR="00E25849" w:rsidRDefault="00E25849" w:rsidP="004E05A1">
      <w:pPr>
        <w:pStyle w:val="10"/>
        <w:ind w:left="2380" w:hanging="2380"/>
      </w:pPr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073CB5" w:rsidRPr="00564C18" w:rsidRDefault="00A64E64" w:rsidP="00DE4238">
      <w:pPr>
        <w:pStyle w:val="2"/>
        <w:rPr>
          <w:b/>
        </w:rPr>
      </w:pPr>
      <w:bookmarkStart w:id="49" w:name="_Toc524902730"/>
      <w:r w:rsidRPr="007E1C24">
        <w:rPr>
          <w:rFonts w:hint="eastAsia"/>
          <w:b/>
        </w:rPr>
        <w:t>最高</w:t>
      </w:r>
      <w:r w:rsidR="00124D19">
        <w:rPr>
          <w:rFonts w:hint="eastAsia"/>
          <w:b/>
        </w:rPr>
        <w:t>行政</w:t>
      </w:r>
      <w:r w:rsidRPr="007E1C24">
        <w:rPr>
          <w:rFonts w:hint="eastAsia"/>
          <w:b/>
        </w:rPr>
        <w:t>法院</w:t>
      </w:r>
      <w:r w:rsidR="00C001BE">
        <w:rPr>
          <w:rFonts w:hint="eastAsia"/>
          <w:b/>
        </w:rPr>
        <w:t>將</w:t>
      </w:r>
      <w:proofErr w:type="gramStart"/>
      <w:r w:rsidRPr="007E1C24">
        <w:rPr>
          <w:b/>
        </w:rPr>
        <w:t>104</w:t>
      </w:r>
      <w:proofErr w:type="gramEnd"/>
      <w:r w:rsidRPr="007E1C24">
        <w:rPr>
          <w:rFonts w:hint="eastAsia"/>
          <w:b/>
        </w:rPr>
        <w:t>年度判字第</w:t>
      </w:r>
      <w:r w:rsidRPr="007E1C24">
        <w:rPr>
          <w:b/>
        </w:rPr>
        <w:t>198</w:t>
      </w:r>
      <w:r w:rsidRPr="007E1C24">
        <w:rPr>
          <w:rFonts w:hint="eastAsia"/>
          <w:b/>
        </w:rPr>
        <w:t>號</w:t>
      </w:r>
      <w:r w:rsidR="0044425A">
        <w:rPr>
          <w:rFonts w:hint="eastAsia"/>
          <w:b/>
        </w:rPr>
        <w:t>更審上訴案</w:t>
      </w:r>
      <w:r w:rsidR="00564C18" w:rsidRPr="00564C18">
        <w:rPr>
          <w:rFonts w:hint="eastAsia"/>
          <w:b/>
        </w:rPr>
        <w:t>，</w:t>
      </w:r>
      <w:r w:rsidR="00C001BE">
        <w:rPr>
          <w:rFonts w:hint="eastAsia"/>
          <w:b/>
        </w:rPr>
        <w:t>分由該院前發回更審</w:t>
      </w:r>
      <w:proofErr w:type="gramStart"/>
      <w:r w:rsidR="00C001BE">
        <w:rPr>
          <w:rFonts w:hint="eastAsia"/>
          <w:b/>
        </w:rPr>
        <w:t>之原庭</w:t>
      </w:r>
      <w:r w:rsidR="00C001BE" w:rsidRPr="00564C18">
        <w:rPr>
          <w:rFonts w:hint="eastAsia"/>
          <w:b/>
        </w:rPr>
        <w:t>法官</w:t>
      </w:r>
      <w:proofErr w:type="gramEnd"/>
      <w:r w:rsidR="00C001BE" w:rsidRPr="00564C18">
        <w:rPr>
          <w:rFonts w:hint="eastAsia"/>
          <w:b/>
        </w:rPr>
        <w:t>承審</w:t>
      </w:r>
      <w:r w:rsidR="00CC7418">
        <w:rPr>
          <w:rFonts w:hint="eastAsia"/>
          <w:b/>
        </w:rPr>
        <w:t>，</w:t>
      </w:r>
      <w:r w:rsidR="00564C18" w:rsidRPr="00564C18">
        <w:rPr>
          <w:rFonts w:hint="eastAsia"/>
          <w:b/>
        </w:rPr>
        <w:t>於現行法制下，尚難</w:t>
      </w:r>
      <w:proofErr w:type="gramStart"/>
      <w:r w:rsidR="00564C18" w:rsidRPr="00564C18">
        <w:rPr>
          <w:rFonts w:hint="eastAsia"/>
          <w:b/>
        </w:rPr>
        <w:t>遽</w:t>
      </w:r>
      <w:proofErr w:type="gramEnd"/>
      <w:r w:rsidR="00564C18" w:rsidRPr="00564C18">
        <w:rPr>
          <w:rFonts w:hint="eastAsia"/>
          <w:b/>
        </w:rPr>
        <w:t>認</w:t>
      </w:r>
      <w:r w:rsidR="00CC7418" w:rsidRPr="00CC7418">
        <w:rPr>
          <w:rFonts w:hint="eastAsia"/>
          <w:b/>
        </w:rPr>
        <w:t>有違法官迴避之規定</w:t>
      </w:r>
      <w:r w:rsidR="00564C18" w:rsidRPr="00564C18">
        <w:rPr>
          <w:rFonts w:hint="eastAsia"/>
          <w:b/>
        </w:rPr>
        <w:t>：</w:t>
      </w:r>
    </w:p>
    <w:p w:rsidR="00073CB5" w:rsidRPr="00AA4563" w:rsidRDefault="003B72ED" w:rsidP="00DE4238">
      <w:pPr>
        <w:pStyle w:val="3"/>
        <w:rPr>
          <w:szCs w:val="32"/>
        </w:rPr>
      </w:pPr>
      <w:r w:rsidRPr="00AA4563">
        <w:rPr>
          <w:rFonts w:hint="eastAsia"/>
          <w:szCs w:val="32"/>
        </w:rPr>
        <w:t>按「法官有下列情形之</w:t>
      </w:r>
      <w:proofErr w:type="gramStart"/>
      <w:r w:rsidRPr="00AA4563">
        <w:rPr>
          <w:rFonts w:hint="eastAsia"/>
          <w:szCs w:val="32"/>
        </w:rPr>
        <w:t>一</w:t>
      </w:r>
      <w:proofErr w:type="gramEnd"/>
      <w:r w:rsidRPr="00AA4563">
        <w:rPr>
          <w:rFonts w:hint="eastAsia"/>
          <w:szCs w:val="32"/>
        </w:rPr>
        <w:t>者，應自行迴避，不得執行職務：</w:t>
      </w:r>
      <w:r w:rsidR="006D52F3">
        <w:rPr>
          <w:rFonts w:hAnsi="標楷體" w:hint="eastAsia"/>
          <w:szCs w:val="32"/>
        </w:rPr>
        <w:t>…</w:t>
      </w:r>
      <w:proofErr w:type="gramStart"/>
      <w:r w:rsidR="006D52F3">
        <w:rPr>
          <w:rFonts w:hAnsi="標楷體" w:hint="eastAsia"/>
          <w:szCs w:val="32"/>
        </w:rPr>
        <w:t>…</w:t>
      </w:r>
      <w:proofErr w:type="gramEnd"/>
      <w:r w:rsidRPr="00AA4563">
        <w:rPr>
          <w:rFonts w:hint="eastAsia"/>
          <w:szCs w:val="32"/>
        </w:rPr>
        <w:t>五、曾參與該訴訟事件之前審裁判。」行政訴訟法第19條</w:t>
      </w:r>
      <w:r w:rsidR="006D52F3">
        <w:rPr>
          <w:rFonts w:hint="eastAsia"/>
          <w:szCs w:val="32"/>
        </w:rPr>
        <w:t>第5款</w:t>
      </w:r>
      <w:r w:rsidRPr="00AA4563">
        <w:rPr>
          <w:rFonts w:hint="eastAsia"/>
          <w:szCs w:val="32"/>
        </w:rPr>
        <w:t>定有明文。同法第20條規定：「民事訴訟法第33條至第38</w:t>
      </w:r>
      <w:r w:rsidR="00EE0AF2">
        <w:rPr>
          <w:rFonts w:hint="eastAsia"/>
          <w:szCs w:val="32"/>
        </w:rPr>
        <w:t>條之規定，於本節</w:t>
      </w:r>
      <w:proofErr w:type="gramStart"/>
      <w:r w:rsidR="00EE0AF2">
        <w:rPr>
          <w:rFonts w:hint="eastAsia"/>
          <w:szCs w:val="32"/>
        </w:rPr>
        <w:t>準</w:t>
      </w:r>
      <w:proofErr w:type="gramEnd"/>
      <w:r w:rsidR="00EE0AF2">
        <w:rPr>
          <w:rFonts w:hint="eastAsia"/>
          <w:szCs w:val="32"/>
        </w:rPr>
        <w:t>用之。」又民事訴訟</w:t>
      </w:r>
      <w:r w:rsidRPr="00AA4563">
        <w:rPr>
          <w:rFonts w:hint="eastAsia"/>
          <w:szCs w:val="32"/>
        </w:rPr>
        <w:t>法第</w:t>
      </w:r>
      <w:r w:rsidR="005B7307" w:rsidRPr="00AA4563">
        <w:rPr>
          <w:rFonts w:hint="eastAsia"/>
          <w:szCs w:val="32"/>
        </w:rPr>
        <w:t>33條第1項規定：「遇有下列各款情形，當事人得聲請法官迴避：一、法官有前條所定之情形而</w:t>
      </w:r>
      <w:proofErr w:type="gramStart"/>
      <w:r w:rsidR="005B7307" w:rsidRPr="00AA4563">
        <w:rPr>
          <w:rFonts w:hint="eastAsia"/>
          <w:szCs w:val="32"/>
        </w:rPr>
        <w:t>不</w:t>
      </w:r>
      <w:proofErr w:type="gramEnd"/>
      <w:r w:rsidR="005B7307" w:rsidRPr="00AA4563">
        <w:rPr>
          <w:rFonts w:hint="eastAsia"/>
          <w:szCs w:val="32"/>
        </w:rPr>
        <w:t>自行迴避者。二、法官有前條所定以外之情形，足認其執行職務有偏頗之虞者。」</w:t>
      </w:r>
    </w:p>
    <w:p w:rsidR="001F714F" w:rsidRPr="001F714F" w:rsidRDefault="00C460DD" w:rsidP="005B7307">
      <w:pPr>
        <w:pStyle w:val="3"/>
        <w:rPr>
          <w:szCs w:val="32"/>
        </w:rPr>
      </w:pPr>
      <w:r>
        <w:rPr>
          <w:rFonts w:hint="eastAsia"/>
          <w:szCs w:val="32"/>
        </w:rPr>
        <w:t>查</w:t>
      </w:r>
      <w:r w:rsidR="005B7307" w:rsidRPr="00AA4563">
        <w:rPr>
          <w:rFonts w:hint="eastAsia"/>
          <w:szCs w:val="32"/>
        </w:rPr>
        <w:t>本案陳訴人</w:t>
      </w:r>
      <w:r>
        <w:rPr>
          <w:rFonts w:hint="eastAsia"/>
          <w:szCs w:val="32"/>
        </w:rPr>
        <w:t>前</w:t>
      </w:r>
      <w:r w:rsidR="005B7307" w:rsidRPr="00AA4563">
        <w:rPr>
          <w:rFonts w:hint="eastAsia"/>
          <w:szCs w:val="32"/>
        </w:rPr>
        <w:t>因申請土地撤銷徵收事件</w:t>
      </w:r>
      <w:r>
        <w:rPr>
          <w:rFonts w:hint="eastAsia"/>
          <w:szCs w:val="32"/>
        </w:rPr>
        <w:t>，</w:t>
      </w:r>
      <w:r w:rsidR="005B7307" w:rsidRPr="00AA4563">
        <w:rPr>
          <w:rFonts w:hint="eastAsia"/>
          <w:szCs w:val="32"/>
        </w:rPr>
        <w:t>經</w:t>
      </w:r>
      <w:proofErr w:type="gramStart"/>
      <w:r w:rsidR="005B7307" w:rsidRPr="00AA4563">
        <w:rPr>
          <w:rFonts w:hint="eastAsia"/>
          <w:szCs w:val="32"/>
        </w:rPr>
        <w:t>臺</w:t>
      </w:r>
      <w:proofErr w:type="gramEnd"/>
      <w:r w:rsidR="005B7307" w:rsidRPr="00AA4563">
        <w:rPr>
          <w:rFonts w:hint="eastAsia"/>
          <w:szCs w:val="32"/>
        </w:rPr>
        <w:t>北高等行政法院</w:t>
      </w:r>
      <w:proofErr w:type="gramStart"/>
      <w:r w:rsidR="005B7307" w:rsidRPr="00247510">
        <w:rPr>
          <w:szCs w:val="32"/>
        </w:rPr>
        <w:t>100</w:t>
      </w:r>
      <w:r w:rsidR="005B7307" w:rsidRPr="00247510">
        <w:rPr>
          <w:rFonts w:hint="eastAsia"/>
          <w:szCs w:val="32"/>
        </w:rPr>
        <w:t>年度訴字第</w:t>
      </w:r>
      <w:r w:rsidR="005B7307" w:rsidRPr="00247510">
        <w:rPr>
          <w:szCs w:val="32"/>
        </w:rPr>
        <w:t>60</w:t>
      </w:r>
      <w:r w:rsidR="005B7307" w:rsidRPr="00247510">
        <w:rPr>
          <w:rFonts w:hint="eastAsia"/>
          <w:szCs w:val="32"/>
        </w:rPr>
        <w:t>號</w:t>
      </w:r>
      <w:proofErr w:type="gramEnd"/>
      <w:r>
        <w:rPr>
          <w:rFonts w:hint="eastAsia"/>
          <w:szCs w:val="32"/>
        </w:rPr>
        <w:t>判決勝訴；</w:t>
      </w:r>
      <w:r w:rsidR="005B7307" w:rsidRPr="00AA4563">
        <w:rPr>
          <w:rFonts w:hint="eastAsia"/>
          <w:szCs w:val="32"/>
        </w:rPr>
        <w:t>敗訴人內政部不服，提起上訴，經最高行政法院</w:t>
      </w:r>
      <w:proofErr w:type="gramStart"/>
      <w:r w:rsidR="005B7307" w:rsidRPr="00247510">
        <w:rPr>
          <w:szCs w:val="32"/>
        </w:rPr>
        <w:t>102</w:t>
      </w:r>
      <w:proofErr w:type="gramEnd"/>
      <w:r w:rsidR="005B7307" w:rsidRPr="00247510">
        <w:rPr>
          <w:rFonts w:hint="eastAsia"/>
          <w:szCs w:val="32"/>
        </w:rPr>
        <w:t>年度判字第</w:t>
      </w:r>
      <w:r w:rsidR="005B7307" w:rsidRPr="00247510">
        <w:rPr>
          <w:szCs w:val="32"/>
        </w:rPr>
        <w:t>587</w:t>
      </w:r>
      <w:r w:rsidR="005B7307" w:rsidRPr="00247510">
        <w:rPr>
          <w:rFonts w:hint="eastAsia"/>
          <w:szCs w:val="32"/>
        </w:rPr>
        <w:t>號</w:t>
      </w:r>
      <w:r>
        <w:rPr>
          <w:rFonts w:hint="eastAsia"/>
          <w:szCs w:val="32"/>
        </w:rPr>
        <w:t>判決將原</w:t>
      </w:r>
      <w:r w:rsidR="00316947">
        <w:rPr>
          <w:rFonts w:hint="eastAsia"/>
          <w:szCs w:val="32"/>
        </w:rPr>
        <w:t>判決廢棄，發回</w:t>
      </w:r>
      <w:proofErr w:type="gramStart"/>
      <w:r w:rsidR="00316947">
        <w:rPr>
          <w:rFonts w:hint="eastAsia"/>
          <w:szCs w:val="32"/>
        </w:rPr>
        <w:t>臺</w:t>
      </w:r>
      <w:proofErr w:type="gramEnd"/>
      <w:r w:rsidR="00316947">
        <w:rPr>
          <w:rFonts w:hint="eastAsia"/>
          <w:szCs w:val="32"/>
        </w:rPr>
        <w:t>北高等行政法院更審；</w:t>
      </w:r>
      <w:proofErr w:type="gramStart"/>
      <w:r w:rsidR="00316947">
        <w:rPr>
          <w:rFonts w:hint="eastAsia"/>
          <w:szCs w:val="32"/>
        </w:rPr>
        <w:t>嗣臺</w:t>
      </w:r>
      <w:proofErr w:type="gramEnd"/>
      <w:r w:rsidR="00316947">
        <w:rPr>
          <w:rFonts w:hint="eastAsia"/>
          <w:szCs w:val="32"/>
        </w:rPr>
        <w:t>北高等行政法院</w:t>
      </w:r>
      <w:r w:rsidR="005B7307" w:rsidRPr="00AA4563">
        <w:rPr>
          <w:rFonts w:hint="eastAsia"/>
          <w:szCs w:val="32"/>
        </w:rPr>
        <w:t>以</w:t>
      </w:r>
      <w:proofErr w:type="gramStart"/>
      <w:r w:rsidR="005B7307" w:rsidRPr="00247510">
        <w:rPr>
          <w:rFonts w:hint="eastAsia"/>
          <w:szCs w:val="32"/>
        </w:rPr>
        <w:t>102</w:t>
      </w:r>
      <w:proofErr w:type="gramEnd"/>
      <w:r w:rsidR="005B7307" w:rsidRPr="00247510">
        <w:rPr>
          <w:rFonts w:hint="eastAsia"/>
          <w:szCs w:val="32"/>
        </w:rPr>
        <w:t>年度訴更一字第122號</w:t>
      </w:r>
      <w:proofErr w:type="gramStart"/>
      <w:r w:rsidR="005B7307" w:rsidRPr="00247510">
        <w:rPr>
          <w:rFonts w:hint="eastAsia"/>
          <w:szCs w:val="32"/>
        </w:rPr>
        <w:t>判決</w:t>
      </w:r>
      <w:r w:rsidR="005B7307" w:rsidRPr="00AA4563">
        <w:rPr>
          <w:rFonts w:hint="eastAsia"/>
          <w:szCs w:val="32"/>
        </w:rPr>
        <w:t>更判</w:t>
      </w:r>
      <w:proofErr w:type="gramEnd"/>
      <w:r w:rsidR="005B7307" w:rsidRPr="00AA4563">
        <w:rPr>
          <w:rFonts w:hint="eastAsia"/>
          <w:szCs w:val="32"/>
        </w:rPr>
        <w:t>，駁回陳訴人之訴；陳訴</w:t>
      </w:r>
      <w:r>
        <w:rPr>
          <w:rFonts w:hint="eastAsia"/>
          <w:szCs w:val="32"/>
        </w:rPr>
        <w:lastRenderedPageBreak/>
        <w:t>人不服提起上訴，並因</w:t>
      </w:r>
      <w:proofErr w:type="gramStart"/>
      <w:r>
        <w:rPr>
          <w:rFonts w:hint="eastAsia"/>
          <w:szCs w:val="32"/>
        </w:rPr>
        <w:t>嗣</w:t>
      </w:r>
      <w:proofErr w:type="gramEnd"/>
      <w:r>
        <w:rPr>
          <w:rFonts w:hint="eastAsia"/>
          <w:szCs w:val="32"/>
        </w:rPr>
        <w:t>發現最高行政法院承審本案之</w:t>
      </w:r>
      <w:r w:rsidR="005B7307" w:rsidRPr="00AA4563">
        <w:rPr>
          <w:rFonts w:hint="eastAsia"/>
          <w:szCs w:val="32"/>
        </w:rPr>
        <w:t>法官鍾耀光(審判長)、汪漢卿、黃淑玲、鄭小康、林樹</w:t>
      </w:r>
      <w:proofErr w:type="gramStart"/>
      <w:r w:rsidR="005B7307" w:rsidRPr="00AA4563">
        <w:rPr>
          <w:rFonts w:hint="eastAsia"/>
          <w:szCs w:val="32"/>
        </w:rPr>
        <w:t>埔</w:t>
      </w:r>
      <w:proofErr w:type="gramEnd"/>
      <w:r w:rsidR="005B7307" w:rsidRPr="00AA4563">
        <w:rPr>
          <w:rFonts w:hint="eastAsia"/>
          <w:szCs w:val="32"/>
        </w:rPr>
        <w:t>等5人，除汪漢卿外，</w:t>
      </w:r>
      <w:proofErr w:type="gramStart"/>
      <w:r w:rsidR="005B7307" w:rsidRPr="00AA4563">
        <w:rPr>
          <w:rFonts w:hint="eastAsia"/>
          <w:szCs w:val="32"/>
        </w:rPr>
        <w:t>其餘均與前</w:t>
      </w:r>
      <w:proofErr w:type="gramEnd"/>
      <w:r w:rsidR="005B7307" w:rsidRPr="00AA4563">
        <w:rPr>
          <w:rFonts w:hint="eastAsia"/>
          <w:szCs w:val="32"/>
        </w:rPr>
        <w:t>作成發回判決之最高行政法院前審法官相同，</w:t>
      </w:r>
      <w:r w:rsidR="00131618">
        <w:rPr>
          <w:rFonts w:hint="eastAsia"/>
          <w:szCs w:val="32"/>
        </w:rPr>
        <w:t>乃</w:t>
      </w:r>
      <w:r w:rsidR="00A4138A">
        <w:rPr>
          <w:rFonts w:hint="eastAsia"/>
          <w:szCs w:val="32"/>
        </w:rPr>
        <w:t>依前揭</w:t>
      </w:r>
      <w:r w:rsidR="00A4138A" w:rsidRPr="00316947">
        <w:rPr>
          <w:rFonts w:hint="eastAsia"/>
          <w:szCs w:val="32"/>
        </w:rPr>
        <w:t>行政訴訟法</w:t>
      </w:r>
      <w:r w:rsidR="00A4138A" w:rsidRPr="00AA4563">
        <w:rPr>
          <w:rFonts w:hint="eastAsia"/>
          <w:szCs w:val="32"/>
        </w:rPr>
        <w:t>第19條第5款及同法第20條</w:t>
      </w:r>
      <w:proofErr w:type="gramStart"/>
      <w:r w:rsidR="00A4138A" w:rsidRPr="00AA4563">
        <w:rPr>
          <w:rFonts w:hint="eastAsia"/>
          <w:szCs w:val="32"/>
        </w:rPr>
        <w:t>準</w:t>
      </w:r>
      <w:proofErr w:type="gramEnd"/>
      <w:r w:rsidR="00A4138A" w:rsidRPr="00AA4563">
        <w:rPr>
          <w:rFonts w:hint="eastAsia"/>
          <w:szCs w:val="32"/>
        </w:rPr>
        <w:t>用民事訴訟法第33條第1項</w:t>
      </w:r>
      <w:r w:rsidR="00A4138A">
        <w:rPr>
          <w:rFonts w:hint="eastAsia"/>
          <w:szCs w:val="32"/>
        </w:rPr>
        <w:t>等</w:t>
      </w:r>
      <w:r w:rsidR="00A4138A" w:rsidRPr="00AA4563">
        <w:rPr>
          <w:rFonts w:hint="eastAsia"/>
          <w:szCs w:val="32"/>
        </w:rPr>
        <w:t>規定，具狀聲請法官迴避</w:t>
      </w:r>
      <w:r w:rsidR="00A4138A">
        <w:rPr>
          <w:rFonts w:hint="eastAsia"/>
          <w:szCs w:val="32"/>
        </w:rPr>
        <w:t>，主張該庭</w:t>
      </w:r>
      <w:r w:rsidR="00A4138A" w:rsidRPr="00AA4563">
        <w:rPr>
          <w:rFonts w:hint="eastAsia"/>
          <w:szCs w:val="32"/>
        </w:rPr>
        <w:t>鍾耀光、黃淑玲、鄭小康、林樹</w:t>
      </w:r>
      <w:proofErr w:type="gramStart"/>
      <w:r w:rsidR="00A4138A" w:rsidRPr="00AA4563">
        <w:rPr>
          <w:rFonts w:hint="eastAsia"/>
          <w:szCs w:val="32"/>
        </w:rPr>
        <w:t>埔</w:t>
      </w:r>
      <w:proofErr w:type="gramEnd"/>
      <w:r w:rsidR="00A4138A" w:rsidRPr="00AA4563">
        <w:rPr>
          <w:rFonts w:hint="eastAsia"/>
          <w:szCs w:val="32"/>
        </w:rPr>
        <w:t>等</w:t>
      </w:r>
      <w:r w:rsidR="00A4138A">
        <w:rPr>
          <w:rFonts w:hint="eastAsia"/>
          <w:szCs w:val="32"/>
        </w:rPr>
        <w:t>4名</w:t>
      </w:r>
      <w:r w:rsidR="00247510">
        <w:rPr>
          <w:rFonts w:hint="eastAsia"/>
          <w:szCs w:val="32"/>
        </w:rPr>
        <w:t>法官</w:t>
      </w:r>
      <w:r w:rsidR="00E66072" w:rsidRPr="00AA4563">
        <w:rPr>
          <w:rFonts w:hint="eastAsia"/>
          <w:szCs w:val="32"/>
        </w:rPr>
        <w:t>既於</w:t>
      </w:r>
      <w:proofErr w:type="gramStart"/>
      <w:r w:rsidR="00E66072" w:rsidRPr="00247510">
        <w:rPr>
          <w:szCs w:val="32"/>
        </w:rPr>
        <w:t>102</w:t>
      </w:r>
      <w:proofErr w:type="gramEnd"/>
      <w:r w:rsidR="00E66072" w:rsidRPr="00247510">
        <w:rPr>
          <w:rFonts w:hint="eastAsia"/>
          <w:szCs w:val="32"/>
        </w:rPr>
        <w:t>年度判字第</w:t>
      </w:r>
      <w:r w:rsidR="00E66072" w:rsidRPr="00247510">
        <w:rPr>
          <w:szCs w:val="32"/>
        </w:rPr>
        <w:t>587</w:t>
      </w:r>
      <w:r w:rsidR="00E66072" w:rsidRPr="00247510">
        <w:rPr>
          <w:rFonts w:hint="eastAsia"/>
          <w:szCs w:val="32"/>
        </w:rPr>
        <w:t>號為對</w:t>
      </w:r>
      <w:r w:rsidR="00E66072" w:rsidRPr="00AA4563">
        <w:rPr>
          <w:rFonts w:hint="eastAsia"/>
          <w:szCs w:val="32"/>
        </w:rPr>
        <w:t>陳訴人不利之判決，</w:t>
      </w:r>
      <w:r w:rsidR="000861FA">
        <w:rPr>
          <w:rFonts w:hint="eastAsia"/>
          <w:szCs w:val="32"/>
        </w:rPr>
        <w:t>其等就本件訴訟已形成既定之法律見解</w:t>
      </w:r>
      <w:r w:rsidR="00F05E60">
        <w:rPr>
          <w:rFonts w:hint="eastAsia"/>
          <w:szCs w:val="32"/>
        </w:rPr>
        <w:t>，已難就陳訴人所提出之事證重新審斷</w:t>
      </w:r>
      <w:r w:rsidR="00136A7B">
        <w:rPr>
          <w:rFonts w:hint="eastAsia"/>
          <w:szCs w:val="32"/>
        </w:rPr>
        <w:t>，足認其等</w:t>
      </w:r>
      <w:r w:rsidR="00E66072" w:rsidRPr="00AA4563">
        <w:rPr>
          <w:rFonts w:hint="eastAsia"/>
          <w:szCs w:val="32"/>
        </w:rPr>
        <w:t>執行職</w:t>
      </w:r>
      <w:r w:rsidR="00862C40">
        <w:rPr>
          <w:rFonts w:hint="eastAsia"/>
          <w:szCs w:val="32"/>
        </w:rPr>
        <w:t>務有偏頗之虞</w:t>
      </w:r>
      <w:r>
        <w:rPr>
          <w:rFonts w:hint="eastAsia"/>
          <w:szCs w:val="32"/>
        </w:rPr>
        <w:t>等語。</w:t>
      </w:r>
      <w:r w:rsidR="00131618">
        <w:rPr>
          <w:rFonts w:hint="eastAsia"/>
          <w:szCs w:val="32"/>
        </w:rPr>
        <w:t>然</w:t>
      </w:r>
      <w:r w:rsidR="00455421">
        <w:rPr>
          <w:rFonts w:hint="eastAsia"/>
          <w:szCs w:val="32"/>
        </w:rPr>
        <w:t>而</w:t>
      </w:r>
      <w:r w:rsidR="001F714F">
        <w:rPr>
          <w:rFonts w:hint="eastAsia"/>
          <w:szCs w:val="32"/>
        </w:rPr>
        <w:t>該聲請</w:t>
      </w:r>
      <w:r w:rsidR="00131618">
        <w:rPr>
          <w:rFonts w:hint="eastAsia"/>
          <w:szCs w:val="32"/>
        </w:rPr>
        <w:t>事由</w:t>
      </w:r>
      <w:r w:rsidR="00A4138A">
        <w:rPr>
          <w:rFonts w:hint="eastAsia"/>
          <w:szCs w:val="32"/>
        </w:rPr>
        <w:t>並未被</w:t>
      </w:r>
      <w:r w:rsidR="00EF777D">
        <w:rPr>
          <w:rFonts w:hint="eastAsia"/>
          <w:szCs w:val="32"/>
        </w:rPr>
        <w:t>最高行政法院所</w:t>
      </w:r>
      <w:proofErr w:type="gramStart"/>
      <w:r w:rsidR="00EF777D">
        <w:rPr>
          <w:rFonts w:hint="eastAsia"/>
          <w:szCs w:val="32"/>
        </w:rPr>
        <w:t>採</w:t>
      </w:r>
      <w:proofErr w:type="gramEnd"/>
      <w:r w:rsidR="00EF777D">
        <w:rPr>
          <w:rFonts w:hint="eastAsia"/>
          <w:szCs w:val="32"/>
        </w:rPr>
        <w:t>，仍</w:t>
      </w:r>
      <w:r w:rsidR="00131618">
        <w:rPr>
          <w:rFonts w:hint="eastAsia"/>
          <w:szCs w:val="32"/>
        </w:rPr>
        <w:t>係</w:t>
      </w:r>
      <w:r w:rsidR="00EF777D">
        <w:rPr>
          <w:rFonts w:hint="eastAsia"/>
          <w:szCs w:val="32"/>
        </w:rPr>
        <w:t>由該庭法官</w:t>
      </w:r>
      <w:proofErr w:type="gramStart"/>
      <w:r w:rsidR="00131618">
        <w:rPr>
          <w:rFonts w:hint="eastAsia"/>
          <w:szCs w:val="32"/>
        </w:rPr>
        <w:t>賡</w:t>
      </w:r>
      <w:proofErr w:type="gramEnd"/>
      <w:r w:rsidR="00131618">
        <w:rPr>
          <w:rFonts w:hint="eastAsia"/>
          <w:szCs w:val="32"/>
        </w:rPr>
        <w:t>續</w:t>
      </w:r>
      <w:r w:rsidR="001F714F">
        <w:rPr>
          <w:rFonts w:hint="eastAsia"/>
          <w:szCs w:val="32"/>
        </w:rPr>
        <w:t>作成本案</w:t>
      </w:r>
      <w:r w:rsidR="00C3765A">
        <w:rPr>
          <w:rFonts w:hint="eastAsia"/>
          <w:szCs w:val="32"/>
        </w:rPr>
        <w:t>之</w:t>
      </w:r>
      <w:r w:rsidR="001F714F">
        <w:rPr>
          <w:rFonts w:hint="eastAsia"/>
          <w:szCs w:val="32"/>
        </w:rPr>
        <w:t>終局確定判決</w:t>
      </w:r>
      <w:r w:rsidR="001F714F">
        <w:rPr>
          <w:rFonts w:hint="eastAsia"/>
        </w:rPr>
        <w:t>，</w:t>
      </w:r>
      <w:r w:rsidR="001F714F" w:rsidRPr="001F714F">
        <w:rPr>
          <w:rFonts w:hint="eastAsia"/>
          <w:szCs w:val="32"/>
        </w:rPr>
        <w:t>即</w:t>
      </w:r>
      <w:proofErr w:type="gramStart"/>
      <w:r w:rsidR="001F714F" w:rsidRPr="001F714F">
        <w:rPr>
          <w:szCs w:val="32"/>
        </w:rPr>
        <w:t>104</w:t>
      </w:r>
      <w:proofErr w:type="gramEnd"/>
      <w:r w:rsidR="001F714F" w:rsidRPr="001F714F">
        <w:rPr>
          <w:rFonts w:hint="eastAsia"/>
          <w:szCs w:val="32"/>
        </w:rPr>
        <w:t>年度判字第</w:t>
      </w:r>
      <w:r w:rsidR="001F714F" w:rsidRPr="001F714F">
        <w:rPr>
          <w:szCs w:val="32"/>
        </w:rPr>
        <w:t>198</w:t>
      </w:r>
      <w:r w:rsidR="00F667B8">
        <w:rPr>
          <w:rFonts w:hint="eastAsia"/>
          <w:szCs w:val="32"/>
        </w:rPr>
        <w:t>號判決；</w:t>
      </w:r>
      <w:r w:rsidR="00131618">
        <w:rPr>
          <w:rFonts w:hint="eastAsia"/>
          <w:szCs w:val="32"/>
        </w:rPr>
        <w:t>陳訴人</w:t>
      </w:r>
      <w:proofErr w:type="gramStart"/>
      <w:r w:rsidR="00131618">
        <w:rPr>
          <w:rFonts w:hint="eastAsia"/>
          <w:szCs w:val="32"/>
        </w:rPr>
        <w:t>爰</w:t>
      </w:r>
      <w:proofErr w:type="gramEnd"/>
      <w:r w:rsidR="00131618">
        <w:rPr>
          <w:rFonts w:hint="eastAsia"/>
          <w:szCs w:val="32"/>
        </w:rPr>
        <w:t>向本院陳訴</w:t>
      </w:r>
      <w:r w:rsidR="001F714F">
        <w:rPr>
          <w:rFonts w:hint="eastAsia"/>
          <w:szCs w:val="32"/>
        </w:rPr>
        <w:t>其</w:t>
      </w:r>
      <w:r w:rsidR="00751C73">
        <w:rPr>
          <w:rFonts w:hint="eastAsia"/>
          <w:szCs w:val="32"/>
        </w:rPr>
        <w:t>等之</w:t>
      </w:r>
      <w:r w:rsidR="001F714F">
        <w:rPr>
          <w:rFonts w:hint="eastAsia"/>
        </w:rPr>
        <w:t>審級利益</w:t>
      </w:r>
      <w:r w:rsidR="00131618">
        <w:rPr>
          <w:rFonts w:hint="eastAsia"/>
          <w:szCs w:val="32"/>
        </w:rPr>
        <w:t>遭受侵害</w:t>
      </w:r>
      <w:r w:rsidR="00862C40">
        <w:rPr>
          <w:rFonts w:hint="eastAsia"/>
        </w:rPr>
        <w:t>。</w:t>
      </w:r>
    </w:p>
    <w:p w:rsidR="00931981" w:rsidRPr="008C211D" w:rsidRDefault="00247510" w:rsidP="005B7307">
      <w:pPr>
        <w:pStyle w:val="3"/>
      </w:pPr>
      <w:proofErr w:type="gramStart"/>
      <w:r>
        <w:rPr>
          <w:rFonts w:hint="eastAsia"/>
        </w:rPr>
        <w:t>惟查</w:t>
      </w:r>
      <w:proofErr w:type="gramEnd"/>
      <w:r w:rsidR="00C3765A">
        <w:rPr>
          <w:rFonts w:hint="eastAsia"/>
        </w:rPr>
        <w:t>，</w:t>
      </w:r>
      <w:r w:rsidR="008849B9" w:rsidRPr="0005407D">
        <w:rPr>
          <w:rFonts w:hAnsi="標楷體" w:hint="eastAsia"/>
        </w:rPr>
        <w:t>行政</w:t>
      </w:r>
      <w:r w:rsidR="008849B9" w:rsidRPr="00931981">
        <w:rPr>
          <w:rFonts w:hAnsi="標楷體" w:hint="eastAsia"/>
        </w:rPr>
        <w:t>訴訟法第</w:t>
      </w:r>
      <w:r w:rsidR="008849B9" w:rsidRPr="00931981">
        <w:rPr>
          <w:rFonts w:hAnsi="標楷體"/>
        </w:rPr>
        <w:t>19</w:t>
      </w:r>
      <w:r w:rsidR="008849B9" w:rsidRPr="00931981">
        <w:rPr>
          <w:rFonts w:hAnsi="標楷體" w:hint="eastAsia"/>
        </w:rPr>
        <w:t>條第</w:t>
      </w:r>
      <w:r w:rsidR="008849B9" w:rsidRPr="00931981">
        <w:rPr>
          <w:rFonts w:hAnsi="標楷體"/>
        </w:rPr>
        <w:t>5</w:t>
      </w:r>
      <w:r w:rsidR="008849B9" w:rsidRPr="00931981">
        <w:rPr>
          <w:rFonts w:hAnsi="標楷體" w:hint="eastAsia"/>
        </w:rPr>
        <w:t>款</w:t>
      </w:r>
      <w:r w:rsidR="00C3765A" w:rsidRPr="00931981">
        <w:rPr>
          <w:rFonts w:hAnsi="標楷體" w:hint="eastAsia"/>
        </w:rPr>
        <w:t>所謂</w:t>
      </w:r>
      <w:r w:rsidR="006D52F3" w:rsidRPr="00931981">
        <w:rPr>
          <w:rFonts w:hAnsi="標楷體" w:hint="eastAsia"/>
        </w:rPr>
        <w:t>法官</w:t>
      </w:r>
      <w:r w:rsidR="008849B9" w:rsidRPr="00931981">
        <w:rPr>
          <w:rFonts w:hAnsi="標楷體" w:hint="eastAsia"/>
        </w:rPr>
        <w:t>曾參與</w:t>
      </w:r>
      <w:r w:rsidR="00C3765A" w:rsidRPr="00931981">
        <w:rPr>
          <w:rFonts w:hAnsi="標楷體" w:hint="eastAsia"/>
        </w:rPr>
        <w:t>「前審」</w:t>
      </w:r>
      <w:r w:rsidR="006D52F3" w:rsidRPr="00931981">
        <w:rPr>
          <w:rFonts w:hAnsi="標楷體" w:hint="eastAsia"/>
        </w:rPr>
        <w:t>裁判</w:t>
      </w:r>
      <w:r w:rsidR="006D52F3" w:rsidRPr="00931981">
        <w:rPr>
          <w:rFonts w:hint="eastAsia"/>
          <w:szCs w:val="32"/>
        </w:rPr>
        <w:t>應自行迴避</w:t>
      </w:r>
      <w:r w:rsidR="00C3765A" w:rsidRPr="00931981">
        <w:rPr>
          <w:rFonts w:hAnsi="標楷體" w:hint="eastAsia"/>
        </w:rPr>
        <w:t>者</w:t>
      </w:r>
      <w:r w:rsidR="008849B9" w:rsidRPr="00931981">
        <w:rPr>
          <w:rFonts w:hAnsi="標楷體" w:hint="eastAsia"/>
        </w:rPr>
        <w:t>，係指曾參與該訴訟事件之</w:t>
      </w:r>
      <w:r w:rsidR="00316947" w:rsidRPr="00931981">
        <w:rPr>
          <w:rFonts w:hAnsi="標楷體" w:hint="eastAsia"/>
        </w:rPr>
        <w:t>「</w:t>
      </w:r>
      <w:r w:rsidR="008849B9" w:rsidRPr="00931981">
        <w:rPr>
          <w:rFonts w:hAnsi="標楷體" w:hint="eastAsia"/>
        </w:rPr>
        <w:t>下級審</w:t>
      </w:r>
      <w:r w:rsidR="00316947" w:rsidRPr="00931981">
        <w:rPr>
          <w:rFonts w:hAnsi="標楷體" w:hint="eastAsia"/>
        </w:rPr>
        <w:t>」</w:t>
      </w:r>
      <w:r w:rsidR="008849B9" w:rsidRPr="00931981">
        <w:rPr>
          <w:rFonts w:hAnsi="標楷體" w:hint="eastAsia"/>
        </w:rPr>
        <w:t>裁判而言，並非謂同級法院之法官參與該訴訟事件之裁判者，於發回更</w:t>
      </w:r>
      <w:r w:rsidR="0015466D" w:rsidRPr="00931981">
        <w:rPr>
          <w:rFonts w:hAnsi="標楷體" w:hint="eastAsia"/>
        </w:rPr>
        <w:t>審後又上訴時，</w:t>
      </w:r>
      <w:r w:rsidR="00931981" w:rsidRPr="00931981">
        <w:rPr>
          <w:rFonts w:hAnsi="標楷體" w:hint="eastAsia"/>
        </w:rPr>
        <w:t>亦</w:t>
      </w:r>
      <w:r w:rsidR="0015466D" w:rsidRPr="00931981">
        <w:rPr>
          <w:rFonts w:hAnsi="標楷體" w:hint="eastAsia"/>
        </w:rPr>
        <w:t>應自行迴避，</w:t>
      </w:r>
      <w:proofErr w:type="gramStart"/>
      <w:r w:rsidR="008849B9" w:rsidRPr="00931981">
        <w:rPr>
          <w:rFonts w:hAnsi="標楷體" w:hint="eastAsia"/>
        </w:rPr>
        <w:t>此</w:t>
      </w:r>
      <w:r w:rsidR="00931981" w:rsidRPr="00931981">
        <w:rPr>
          <w:rFonts w:hAnsi="標楷體" w:hint="eastAsia"/>
        </w:rPr>
        <w:t>觀</w:t>
      </w:r>
      <w:r w:rsidR="0015466D" w:rsidRPr="00931981">
        <w:rPr>
          <w:rFonts w:hint="eastAsia"/>
          <w:szCs w:val="32"/>
        </w:rPr>
        <w:t>司法</w:t>
      </w:r>
      <w:proofErr w:type="gramEnd"/>
      <w:r w:rsidR="0015466D" w:rsidRPr="00931981">
        <w:rPr>
          <w:rFonts w:hint="eastAsia"/>
          <w:szCs w:val="32"/>
        </w:rPr>
        <w:t>院釋字第178號解釋</w:t>
      </w:r>
      <w:r w:rsidR="00751C73">
        <w:rPr>
          <w:rFonts w:hint="eastAsia"/>
          <w:szCs w:val="32"/>
        </w:rPr>
        <w:t>文</w:t>
      </w:r>
      <w:r w:rsidR="0015466D" w:rsidRPr="00931981">
        <w:rPr>
          <w:rFonts w:hint="eastAsia"/>
          <w:szCs w:val="32"/>
        </w:rPr>
        <w:t>「…</w:t>
      </w:r>
      <w:proofErr w:type="gramStart"/>
      <w:r w:rsidR="0015466D" w:rsidRPr="00931981">
        <w:rPr>
          <w:rFonts w:hint="eastAsia"/>
          <w:szCs w:val="32"/>
        </w:rPr>
        <w:t>…</w:t>
      </w:r>
      <w:proofErr w:type="gramEnd"/>
      <w:r w:rsidR="00931981" w:rsidRPr="00931981">
        <w:rPr>
          <w:rFonts w:hint="eastAsia"/>
          <w:szCs w:val="32"/>
        </w:rPr>
        <w:t>所稱</w:t>
      </w:r>
      <w:r w:rsidR="0015466D" w:rsidRPr="00931981">
        <w:rPr>
          <w:rFonts w:hint="eastAsia"/>
          <w:szCs w:val="32"/>
        </w:rPr>
        <w:t>推事曾參與前審之裁判，係指同一推事，就同一案件，曾參與下級審之裁判而言</w:t>
      </w:r>
      <w:r w:rsidR="00751C73">
        <w:rPr>
          <w:rFonts w:hAnsi="標楷體" w:hint="eastAsia"/>
          <w:szCs w:val="32"/>
        </w:rPr>
        <w:t>」</w:t>
      </w:r>
      <w:r w:rsidR="0015466D" w:rsidRPr="00931981">
        <w:rPr>
          <w:rFonts w:hint="eastAsia"/>
          <w:szCs w:val="32"/>
        </w:rPr>
        <w:t>業闡明綦詳。</w:t>
      </w:r>
      <w:r w:rsidR="00D45D06">
        <w:rPr>
          <w:rFonts w:hint="eastAsia"/>
          <w:szCs w:val="32"/>
        </w:rPr>
        <w:t>是</w:t>
      </w:r>
      <w:r w:rsidR="00D45D06">
        <w:rPr>
          <w:rFonts w:hint="eastAsia"/>
        </w:rPr>
        <w:t>本</w:t>
      </w:r>
      <w:r w:rsidR="008517E7">
        <w:rPr>
          <w:rFonts w:hint="eastAsia"/>
        </w:rPr>
        <w:t>案之</w:t>
      </w:r>
      <w:r w:rsidR="008517E7">
        <w:rPr>
          <w:rFonts w:hint="eastAsia"/>
          <w:szCs w:val="32"/>
        </w:rPr>
        <w:t>第一審</w:t>
      </w:r>
      <w:proofErr w:type="gramStart"/>
      <w:r w:rsidR="008517E7" w:rsidRPr="00AA4563">
        <w:rPr>
          <w:rFonts w:hint="eastAsia"/>
          <w:szCs w:val="32"/>
        </w:rPr>
        <w:t>臺</w:t>
      </w:r>
      <w:proofErr w:type="gramEnd"/>
      <w:r w:rsidR="008517E7" w:rsidRPr="00AA4563">
        <w:rPr>
          <w:rFonts w:hint="eastAsia"/>
          <w:szCs w:val="32"/>
        </w:rPr>
        <w:t>北高等行政法院</w:t>
      </w:r>
      <w:proofErr w:type="gramStart"/>
      <w:r w:rsidR="008517E7" w:rsidRPr="00247510">
        <w:rPr>
          <w:szCs w:val="32"/>
        </w:rPr>
        <w:t>100</w:t>
      </w:r>
      <w:r w:rsidR="008517E7" w:rsidRPr="00247510">
        <w:rPr>
          <w:rFonts w:hint="eastAsia"/>
          <w:szCs w:val="32"/>
        </w:rPr>
        <w:t>年度訴字第</w:t>
      </w:r>
      <w:r w:rsidR="008517E7" w:rsidRPr="00247510">
        <w:rPr>
          <w:szCs w:val="32"/>
        </w:rPr>
        <w:t>60</w:t>
      </w:r>
      <w:r w:rsidR="008517E7" w:rsidRPr="00247510">
        <w:rPr>
          <w:rFonts w:hint="eastAsia"/>
          <w:szCs w:val="32"/>
        </w:rPr>
        <w:t>號</w:t>
      </w:r>
      <w:proofErr w:type="gramEnd"/>
      <w:r w:rsidR="008517E7" w:rsidRPr="00AA4563">
        <w:rPr>
          <w:rFonts w:hint="eastAsia"/>
          <w:szCs w:val="32"/>
        </w:rPr>
        <w:t>判決</w:t>
      </w:r>
      <w:r w:rsidR="008517E7">
        <w:rPr>
          <w:rFonts w:hint="eastAsia"/>
          <w:szCs w:val="32"/>
        </w:rPr>
        <w:t>，</w:t>
      </w:r>
      <w:proofErr w:type="gramStart"/>
      <w:r w:rsidR="00D45D06">
        <w:rPr>
          <w:rFonts w:hint="eastAsia"/>
        </w:rPr>
        <w:t>縱經最高</w:t>
      </w:r>
      <w:proofErr w:type="gramEnd"/>
      <w:r w:rsidR="00D45D06">
        <w:rPr>
          <w:rFonts w:hint="eastAsia"/>
        </w:rPr>
        <w:t>行政法院</w:t>
      </w:r>
      <w:proofErr w:type="gramStart"/>
      <w:r w:rsidR="008517E7" w:rsidRPr="00247510">
        <w:rPr>
          <w:szCs w:val="32"/>
        </w:rPr>
        <w:t>102</w:t>
      </w:r>
      <w:proofErr w:type="gramEnd"/>
      <w:r w:rsidR="008517E7" w:rsidRPr="00247510">
        <w:rPr>
          <w:rFonts w:hint="eastAsia"/>
          <w:szCs w:val="32"/>
        </w:rPr>
        <w:t>年度判字第</w:t>
      </w:r>
      <w:r w:rsidR="008517E7" w:rsidRPr="00247510">
        <w:rPr>
          <w:szCs w:val="32"/>
        </w:rPr>
        <w:t>587</w:t>
      </w:r>
      <w:r w:rsidR="008517E7" w:rsidRPr="00247510">
        <w:rPr>
          <w:rFonts w:hint="eastAsia"/>
          <w:szCs w:val="32"/>
        </w:rPr>
        <w:t>號</w:t>
      </w:r>
      <w:r w:rsidR="008517E7" w:rsidRPr="00AA4563">
        <w:rPr>
          <w:rFonts w:hint="eastAsia"/>
          <w:szCs w:val="32"/>
        </w:rPr>
        <w:t>判決</w:t>
      </w:r>
      <w:r w:rsidR="008517E7">
        <w:rPr>
          <w:rFonts w:hint="eastAsia"/>
        </w:rPr>
        <w:t>廢棄</w:t>
      </w:r>
      <w:r w:rsidR="00D45D06">
        <w:rPr>
          <w:rFonts w:hint="eastAsia"/>
        </w:rPr>
        <w:t>發回更審後，又上訴至</w:t>
      </w:r>
      <w:r w:rsidR="008517E7">
        <w:rPr>
          <w:rFonts w:hint="eastAsia"/>
        </w:rPr>
        <w:t>最高行政法院</w:t>
      </w:r>
      <w:r w:rsidR="00D45D06">
        <w:rPr>
          <w:rFonts w:hAnsi="標楷體" w:hint="eastAsia"/>
        </w:rPr>
        <w:t>，</w:t>
      </w:r>
      <w:r w:rsidR="00D45D06" w:rsidRPr="00AA4563">
        <w:rPr>
          <w:rFonts w:hint="eastAsia"/>
          <w:szCs w:val="32"/>
        </w:rPr>
        <w:t>最高行政法院</w:t>
      </w:r>
      <w:r w:rsidR="003B3C55">
        <w:rPr>
          <w:rFonts w:hAnsi="標楷體" w:hint="eastAsia"/>
        </w:rPr>
        <w:t>原</w:t>
      </w:r>
      <w:r w:rsidR="003B3C55">
        <w:rPr>
          <w:rFonts w:hint="eastAsia"/>
          <w:szCs w:val="32"/>
        </w:rPr>
        <w:t>承審法官</w:t>
      </w:r>
      <w:r w:rsidR="00C460DD">
        <w:rPr>
          <w:rFonts w:hint="eastAsia"/>
          <w:szCs w:val="32"/>
        </w:rPr>
        <w:t>既未</w:t>
      </w:r>
      <w:r w:rsidR="008F747A">
        <w:rPr>
          <w:rFonts w:hAnsi="標楷體" w:hint="eastAsia"/>
        </w:rPr>
        <w:t>曾參與該訴訟事件</w:t>
      </w:r>
      <w:r w:rsidR="00C460DD">
        <w:rPr>
          <w:rFonts w:hAnsi="標楷體" w:hint="eastAsia"/>
        </w:rPr>
        <w:t>之</w:t>
      </w:r>
      <w:r w:rsidR="008F747A" w:rsidRPr="00931981">
        <w:rPr>
          <w:rFonts w:hAnsi="標楷體" w:hint="eastAsia"/>
        </w:rPr>
        <w:t>「下級審」裁判</w:t>
      </w:r>
      <w:r w:rsidR="008F747A">
        <w:rPr>
          <w:rFonts w:hAnsi="標楷體" w:hint="eastAsia"/>
        </w:rPr>
        <w:t>，自</w:t>
      </w:r>
      <w:r w:rsidR="008F747A">
        <w:rPr>
          <w:rFonts w:hint="eastAsia"/>
          <w:szCs w:val="32"/>
        </w:rPr>
        <w:t>無</w:t>
      </w:r>
      <w:r w:rsidR="00B210FA" w:rsidRPr="0005407D">
        <w:rPr>
          <w:rFonts w:hAnsi="標楷體" w:hint="eastAsia"/>
        </w:rPr>
        <w:t>行政</w:t>
      </w:r>
      <w:r w:rsidR="00B210FA" w:rsidRPr="00931981">
        <w:rPr>
          <w:rFonts w:hAnsi="標楷體" w:hint="eastAsia"/>
        </w:rPr>
        <w:t>訴訟法第</w:t>
      </w:r>
      <w:r w:rsidR="00B210FA" w:rsidRPr="00931981">
        <w:rPr>
          <w:rFonts w:hAnsi="標楷體"/>
        </w:rPr>
        <w:t>19</w:t>
      </w:r>
      <w:r w:rsidR="00B210FA" w:rsidRPr="00931981">
        <w:rPr>
          <w:rFonts w:hAnsi="標楷體" w:hint="eastAsia"/>
        </w:rPr>
        <w:t>條第</w:t>
      </w:r>
      <w:r w:rsidR="00B210FA" w:rsidRPr="00931981">
        <w:rPr>
          <w:rFonts w:hAnsi="標楷體"/>
        </w:rPr>
        <w:t>5</w:t>
      </w:r>
      <w:r w:rsidR="00B210FA" w:rsidRPr="00931981">
        <w:rPr>
          <w:rFonts w:hAnsi="標楷體" w:hint="eastAsia"/>
        </w:rPr>
        <w:t>款</w:t>
      </w:r>
      <w:r w:rsidR="00B210FA">
        <w:rPr>
          <w:rFonts w:hAnsi="標楷體" w:hint="eastAsia"/>
        </w:rPr>
        <w:t>法官</w:t>
      </w:r>
      <w:r w:rsidR="00B210FA" w:rsidRPr="00931981">
        <w:rPr>
          <w:rFonts w:hint="eastAsia"/>
          <w:szCs w:val="32"/>
        </w:rPr>
        <w:t>迴避</w:t>
      </w:r>
      <w:r w:rsidR="00B210FA">
        <w:rPr>
          <w:rFonts w:hint="eastAsia"/>
          <w:szCs w:val="32"/>
        </w:rPr>
        <w:t>規定</w:t>
      </w:r>
      <w:r w:rsidR="00B210FA">
        <w:rPr>
          <w:rFonts w:hAnsi="標楷體" w:hint="eastAsia"/>
        </w:rPr>
        <w:t>之適用。</w:t>
      </w:r>
    </w:p>
    <w:p w:rsidR="00BB7F49" w:rsidRDefault="00F74765" w:rsidP="00F74765">
      <w:pPr>
        <w:pStyle w:val="3"/>
        <w:rPr>
          <w:rFonts w:hAnsi="標楷體"/>
        </w:rPr>
      </w:pPr>
      <w:r>
        <w:rPr>
          <w:rFonts w:hAnsi="標楷體" w:hint="eastAsia"/>
        </w:rPr>
        <w:t>次查</w:t>
      </w:r>
      <w:r w:rsidR="008C211D">
        <w:rPr>
          <w:rFonts w:hAnsi="標楷體" w:hint="eastAsia"/>
        </w:rPr>
        <w:t>，</w:t>
      </w:r>
      <w:r w:rsidRPr="00F74765">
        <w:rPr>
          <w:rFonts w:hAnsi="標楷體" w:hint="eastAsia"/>
        </w:rPr>
        <w:t>99年1月13日</w:t>
      </w:r>
      <w:r>
        <w:rPr>
          <w:rFonts w:hAnsi="標楷體" w:hint="eastAsia"/>
        </w:rPr>
        <w:t>行政訴訟法</w:t>
      </w:r>
      <w:r w:rsidRPr="00F74765">
        <w:rPr>
          <w:rFonts w:hAnsi="標楷體" w:hint="eastAsia"/>
        </w:rPr>
        <w:t>第19條</w:t>
      </w:r>
      <w:r>
        <w:rPr>
          <w:rFonts w:hAnsi="標楷體" w:hint="eastAsia"/>
        </w:rPr>
        <w:t>第5款修正前</w:t>
      </w:r>
      <w:r>
        <w:rPr>
          <w:rFonts w:hAnsi="標楷體" w:hint="eastAsia"/>
        </w:rPr>
        <w:lastRenderedPageBreak/>
        <w:t>之原條文</w:t>
      </w:r>
      <w:r>
        <w:rPr>
          <w:rStyle w:val="aff0"/>
          <w:rFonts w:hAnsi="標楷體"/>
        </w:rPr>
        <w:footnoteReference w:id="1"/>
      </w:r>
      <w:r>
        <w:rPr>
          <w:rFonts w:hAnsi="標楷體" w:hint="eastAsia"/>
        </w:rPr>
        <w:t>雖</w:t>
      </w:r>
      <w:r w:rsidR="00227A58">
        <w:rPr>
          <w:rFonts w:hAnsi="標楷體" w:hint="eastAsia"/>
        </w:rPr>
        <w:t>將</w:t>
      </w:r>
      <w:r w:rsidR="000072F3">
        <w:rPr>
          <w:rFonts w:hAnsi="標楷體" w:hint="eastAsia"/>
        </w:rPr>
        <w:t>「</w:t>
      </w:r>
      <w:r w:rsidR="00227A58">
        <w:rPr>
          <w:rFonts w:hAnsi="標楷體" w:hint="eastAsia"/>
        </w:rPr>
        <w:t>曾參與該訴訟事件</w:t>
      </w:r>
      <w:r w:rsidRPr="00444AAA">
        <w:rPr>
          <w:rFonts w:hAnsi="標楷體" w:hint="eastAsia"/>
        </w:rPr>
        <w:t>更審前之原裁判</w:t>
      </w:r>
      <w:r w:rsidR="000072F3">
        <w:rPr>
          <w:rFonts w:hAnsi="標楷體" w:hint="eastAsia"/>
        </w:rPr>
        <w:t>者</w:t>
      </w:r>
      <w:r w:rsidRPr="00444AAA">
        <w:rPr>
          <w:rFonts w:hAnsi="標楷體" w:hint="eastAsia"/>
        </w:rPr>
        <w:t>」</w:t>
      </w:r>
      <w:r w:rsidR="004827F4">
        <w:rPr>
          <w:rFonts w:hAnsi="標楷體" w:hint="eastAsia"/>
        </w:rPr>
        <w:t>，</w:t>
      </w:r>
      <w:r w:rsidR="00227A58">
        <w:rPr>
          <w:rFonts w:hAnsi="標楷體" w:hint="eastAsia"/>
        </w:rPr>
        <w:t>列為法定迴避事</w:t>
      </w:r>
      <w:r w:rsidR="00227A58" w:rsidRPr="00F604EC">
        <w:rPr>
          <w:rFonts w:hAnsi="標楷體" w:hint="eastAsia"/>
        </w:rPr>
        <w:t>由，而</w:t>
      </w:r>
      <w:r w:rsidRPr="00F604EC">
        <w:rPr>
          <w:rFonts w:hAnsi="標楷體" w:hint="eastAsia"/>
        </w:rPr>
        <w:t>學理上對於「更審前之原裁判」解釋不一</w:t>
      </w:r>
      <w:r w:rsidR="00FD4120" w:rsidRPr="00F604EC">
        <w:rPr>
          <w:rFonts w:hAnsi="標楷體" w:hint="eastAsia"/>
        </w:rPr>
        <w:t>，</w:t>
      </w:r>
      <w:r w:rsidRPr="00F604EC">
        <w:rPr>
          <w:rFonts w:hAnsi="標楷體" w:hint="eastAsia"/>
        </w:rPr>
        <w:t>或有認為包括上級審廢棄發回</w:t>
      </w:r>
      <w:proofErr w:type="gramStart"/>
      <w:r w:rsidRPr="00F604EC">
        <w:rPr>
          <w:rFonts w:hAnsi="標楷體" w:hint="eastAsia"/>
        </w:rPr>
        <w:t>更審又上訴</w:t>
      </w:r>
      <w:proofErr w:type="gramEnd"/>
      <w:r w:rsidRPr="00F604EC">
        <w:rPr>
          <w:rFonts w:hAnsi="標楷體" w:hint="eastAsia"/>
        </w:rPr>
        <w:t>或抗告時，原發回裁判之法官，亦應自行迴避</w:t>
      </w:r>
      <w:r w:rsidR="0027486E">
        <w:rPr>
          <w:rStyle w:val="aff0"/>
          <w:rFonts w:hAnsi="標楷體"/>
        </w:rPr>
        <w:footnoteReference w:id="2"/>
      </w:r>
      <w:r w:rsidRPr="00F604EC">
        <w:rPr>
          <w:rFonts w:hAnsi="標楷體" w:hint="eastAsia"/>
        </w:rPr>
        <w:t>。惟</w:t>
      </w:r>
      <w:r w:rsidR="00165F1F">
        <w:rPr>
          <w:rFonts w:hAnsi="標楷體" w:hint="eastAsia"/>
        </w:rPr>
        <w:t>因該規定</w:t>
      </w:r>
      <w:r w:rsidR="002B3292">
        <w:rPr>
          <w:rFonts w:hAnsi="標楷體" w:hint="eastAsia"/>
        </w:rPr>
        <w:t>於</w:t>
      </w:r>
      <w:r w:rsidR="00721947">
        <w:rPr>
          <w:rFonts w:hAnsi="標楷體" w:hint="eastAsia"/>
        </w:rPr>
        <w:t>99年間業由立法者</w:t>
      </w:r>
      <w:r w:rsidRPr="00F604EC">
        <w:rPr>
          <w:rFonts w:hAnsi="標楷體" w:hint="eastAsia"/>
        </w:rPr>
        <w:t>配合民事訴訟法第32條第7款（原有相類規定，92年間認為此情形無迴避必要而刪除</w:t>
      </w:r>
      <w:r w:rsidR="00252A61" w:rsidRPr="00421FF7">
        <w:rPr>
          <w:vertAlign w:val="superscript"/>
        </w:rPr>
        <w:footnoteReference w:id="3"/>
      </w:r>
      <w:r w:rsidRPr="00F604EC">
        <w:rPr>
          <w:rFonts w:hAnsi="標楷體" w:hint="eastAsia"/>
        </w:rPr>
        <w:t>），</w:t>
      </w:r>
      <w:r w:rsidR="00721947">
        <w:rPr>
          <w:rFonts w:hAnsi="標楷體" w:hint="eastAsia"/>
        </w:rPr>
        <w:t>而修法予以刪除</w:t>
      </w:r>
      <w:r w:rsidR="00A608A6">
        <w:rPr>
          <w:rFonts w:hAnsi="標楷體" w:hint="eastAsia"/>
        </w:rPr>
        <w:t>，</w:t>
      </w:r>
      <w:r w:rsidR="00721947" w:rsidRPr="00A608A6">
        <w:rPr>
          <w:rFonts w:hAnsi="標楷體" w:hint="eastAsia"/>
        </w:rPr>
        <w:t>秉承</w:t>
      </w:r>
      <w:r w:rsidR="006B6CF1" w:rsidRPr="00A608A6">
        <w:rPr>
          <w:rFonts w:hAnsi="標楷體" w:hint="eastAsia"/>
        </w:rPr>
        <w:t>該</w:t>
      </w:r>
      <w:r w:rsidR="00B75FD1">
        <w:rPr>
          <w:rFonts w:hAnsi="標楷體" w:hint="eastAsia"/>
        </w:rPr>
        <w:t>規定</w:t>
      </w:r>
      <w:r w:rsidR="00B75FD1" w:rsidRPr="00A608A6">
        <w:rPr>
          <w:rFonts w:hAnsi="標楷體" w:hint="eastAsia"/>
        </w:rPr>
        <w:t>之</w:t>
      </w:r>
      <w:r w:rsidR="00721947" w:rsidRPr="00A608A6">
        <w:rPr>
          <w:rFonts w:hAnsi="標楷體" w:hint="eastAsia"/>
        </w:rPr>
        <w:t>修</w:t>
      </w:r>
      <w:r w:rsidR="00B75FD1">
        <w:rPr>
          <w:rFonts w:hAnsi="標楷體" w:hint="eastAsia"/>
        </w:rPr>
        <w:t>法</w:t>
      </w:r>
      <w:r w:rsidR="00721947" w:rsidRPr="00A608A6">
        <w:rPr>
          <w:rFonts w:hAnsi="標楷體" w:hint="eastAsia"/>
        </w:rPr>
        <w:t>意旨</w:t>
      </w:r>
      <w:r w:rsidR="00721947">
        <w:rPr>
          <w:rFonts w:hAnsi="標楷體" w:hint="eastAsia"/>
        </w:rPr>
        <w:t>，</w:t>
      </w:r>
      <w:r w:rsidR="00A608A6" w:rsidRPr="00A608A6">
        <w:rPr>
          <w:rFonts w:hAnsi="標楷體" w:hint="eastAsia"/>
        </w:rPr>
        <w:t>自</w:t>
      </w:r>
      <w:r w:rsidR="00A608A6">
        <w:rPr>
          <w:rFonts w:hAnsi="標楷體" w:hint="eastAsia"/>
        </w:rPr>
        <w:t>不宜</w:t>
      </w:r>
      <w:r w:rsidR="00A608A6" w:rsidRPr="00A608A6">
        <w:rPr>
          <w:rFonts w:hAnsi="標楷體" w:hint="eastAsia"/>
        </w:rPr>
        <w:t>僅</w:t>
      </w:r>
      <w:r w:rsidR="00C309CC" w:rsidRPr="00A608A6">
        <w:rPr>
          <w:rFonts w:hAnsi="標楷體" w:hint="eastAsia"/>
        </w:rPr>
        <w:t>因</w:t>
      </w:r>
      <w:r w:rsidR="00F604EC" w:rsidRPr="00F604EC">
        <w:rPr>
          <w:rFonts w:hAnsi="標楷體" w:hint="eastAsia"/>
        </w:rPr>
        <w:t>承審</w:t>
      </w:r>
      <w:r w:rsidR="00C309CC" w:rsidRPr="00F604EC">
        <w:rPr>
          <w:rFonts w:hAnsi="標楷體" w:hint="eastAsia"/>
        </w:rPr>
        <w:t>法官曾參與「更審前之原裁判」</w:t>
      </w:r>
      <w:r w:rsidR="00F604EC" w:rsidRPr="00F604EC">
        <w:rPr>
          <w:rFonts w:hAnsi="標楷體" w:hint="eastAsia"/>
        </w:rPr>
        <w:t>，即</w:t>
      </w:r>
      <w:proofErr w:type="gramStart"/>
      <w:r w:rsidR="00F604EC" w:rsidRPr="00F604EC">
        <w:rPr>
          <w:rFonts w:hAnsi="標楷體" w:hint="eastAsia"/>
        </w:rPr>
        <w:t>遽</w:t>
      </w:r>
      <w:proofErr w:type="gramEnd"/>
      <w:r w:rsidR="00F604EC" w:rsidRPr="00F604EC">
        <w:rPr>
          <w:rFonts w:hAnsi="標楷體" w:hint="eastAsia"/>
        </w:rPr>
        <w:t>主張</w:t>
      </w:r>
      <w:r w:rsidR="006B6CF1" w:rsidRPr="00A608A6">
        <w:rPr>
          <w:rFonts w:hAnsi="標楷體" w:hint="eastAsia"/>
        </w:rPr>
        <w:t>該法官</w:t>
      </w:r>
      <w:r w:rsidR="00F604EC" w:rsidRPr="00A608A6">
        <w:rPr>
          <w:rFonts w:hAnsi="標楷體"/>
        </w:rPr>
        <w:t>執行職務有偏頗之虞</w:t>
      </w:r>
      <w:r w:rsidR="00F604EC" w:rsidRPr="00A608A6">
        <w:rPr>
          <w:rFonts w:hAnsi="標楷體" w:hint="eastAsia"/>
        </w:rPr>
        <w:t>，</w:t>
      </w:r>
      <w:r w:rsidR="00F423CC">
        <w:rPr>
          <w:rFonts w:hAnsi="標楷體" w:hint="eastAsia"/>
        </w:rPr>
        <w:t>而據</w:t>
      </w:r>
      <w:r w:rsidR="009351F1" w:rsidRPr="00A608A6">
        <w:rPr>
          <w:rFonts w:hAnsi="標楷體" w:hint="eastAsia"/>
        </w:rPr>
        <w:t>以聲請迴避</w:t>
      </w:r>
      <w:r w:rsidR="001D27AE">
        <w:rPr>
          <w:rFonts w:hint="eastAsia"/>
        </w:rPr>
        <w:t>；</w:t>
      </w:r>
      <w:r w:rsidR="00F604EC">
        <w:rPr>
          <w:rFonts w:hint="eastAsia"/>
        </w:rPr>
        <w:t>仍</w:t>
      </w:r>
      <w:r w:rsidR="001D27AE">
        <w:t>應</w:t>
      </w:r>
      <w:r w:rsidR="001D27AE">
        <w:rPr>
          <w:rFonts w:hint="eastAsia"/>
        </w:rPr>
        <w:t>有</w:t>
      </w:r>
      <w:r w:rsidR="00421FF7">
        <w:rPr>
          <w:rFonts w:hAnsi="標楷體" w:hint="eastAsia"/>
        </w:rPr>
        <w:t>「</w:t>
      </w:r>
      <w:r w:rsidR="00F604EC" w:rsidRPr="00A608A6">
        <w:t>法官對於訴訟標的有特別利害關係，或與當事人之</w:t>
      </w:r>
      <w:proofErr w:type="gramStart"/>
      <w:r w:rsidR="00F604EC" w:rsidRPr="00A608A6">
        <w:t>一</w:t>
      </w:r>
      <w:proofErr w:type="gramEnd"/>
      <w:r w:rsidR="00F604EC" w:rsidRPr="00A608A6">
        <w:t>造有密切之交誼或嫌怨，或基於其他情形客觀上足</w:t>
      </w:r>
      <w:proofErr w:type="gramStart"/>
      <w:r w:rsidR="00F604EC" w:rsidRPr="00A608A6">
        <w:t>疑</w:t>
      </w:r>
      <w:proofErr w:type="gramEnd"/>
      <w:r w:rsidR="00F604EC" w:rsidRPr="00A608A6">
        <w:t>其為不公平之審判者</w:t>
      </w:r>
      <w:r w:rsidR="00421FF7">
        <w:rPr>
          <w:rFonts w:hAnsi="標楷體" w:hint="eastAsia"/>
        </w:rPr>
        <w:t>」</w:t>
      </w:r>
      <w:r w:rsidR="001D27AE">
        <w:rPr>
          <w:rFonts w:hint="eastAsia"/>
        </w:rPr>
        <w:t>等</w:t>
      </w:r>
      <w:r w:rsidR="00F604EC" w:rsidRPr="00A608A6">
        <w:t>原因事實</w:t>
      </w:r>
      <w:r w:rsidR="00073189">
        <w:rPr>
          <w:rFonts w:hint="eastAsia"/>
        </w:rPr>
        <w:t>，始為相當</w:t>
      </w:r>
      <w:r w:rsidR="001D27AE">
        <w:rPr>
          <w:rFonts w:hint="eastAsia"/>
        </w:rPr>
        <w:t>。</w:t>
      </w:r>
      <w:r w:rsidR="00F604EC" w:rsidRPr="00A608A6">
        <w:t>如</w:t>
      </w:r>
      <w:r w:rsidR="00E52781">
        <w:rPr>
          <w:rFonts w:hint="eastAsia"/>
        </w:rPr>
        <w:t>僅</w:t>
      </w:r>
      <w:r w:rsidR="00E52781">
        <w:t>係</w:t>
      </w:r>
      <w:r w:rsidR="00F604EC" w:rsidRPr="00A608A6">
        <w:t>個人之主觀臆測，或不滿意法官另案指揮訴訟及判決結果，自不得謂法官執行職務有偏頗之虞</w:t>
      </w:r>
      <w:r w:rsidR="007C4925" w:rsidRPr="00A608A6">
        <w:rPr>
          <w:rFonts w:hint="eastAsia"/>
        </w:rPr>
        <w:t>(</w:t>
      </w:r>
      <w:r w:rsidR="00F604EC" w:rsidRPr="002111C8">
        <w:t>最高行政法院</w:t>
      </w:r>
      <w:proofErr w:type="gramStart"/>
      <w:r w:rsidR="00F604EC">
        <w:t>102</w:t>
      </w:r>
      <w:r w:rsidR="00F604EC" w:rsidRPr="002111C8">
        <w:t>年</w:t>
      </w:r>
      <w:r w:rsidR="00EE0AF2">
        <w:rPr>
          <w:rFonts w:hint="eastAsia"/>
        </w:rPr>
        <w:t>度</w:t>
      </w:r>
      <w:r w:rsidR="00F604EC" w:rsidRPr="002111C8">
        <w:t>裁字第</w:t>
      </w:r>
      <w:r w:rsidR="00F604EC">
        <w:t>323</w:t>
      </w:r>
      <w:r w:rsidR="00F604EC" w:rsidRPr="002111C8">
        <w:t>號</w:t>
      </w:r>
      <w:proofErr w:type="gramEnd"/>
      <w:r w:rsidR="00F604EC" w:rsidRPr="002111C8">
        <w:t>裁</w:t>
      </w:r>
      <w:r w:rsidR="007C4925">
        <w:rPr>
          <w:rFonts w:hint="eastAsia"/>
        </w:rPr>
        <w:t>定意旨</w:t>
      </w:r>
      <w:r w:rsidR="00F604EC">
        <w:rPr>
          <w:rFonts w:hint="eastAsia"/>
        </w:rPr>
        <w:t>參照</w:t>
      </w:r>
      <w:r w:rsidR="007C4925">
        <w:rPr>
          <w:rFonts w:hint="eastAsia"/>
        </w:rPr>
        <w:t>)</w:t>
      </w:r>
      <w:r w:rsidR="00F604EC">
        <w:rPr>
          <w:rFonts w:hint="eastAsia"/>
        </w:rPr>
        <w:t>。</w:t>
      </w:r>
      <w:r w:rsidR="00F423CC">
        <w:rPr>
          <w:rFonts w:hint="eastAsia"/>
        </w:rPr>
        <w:t>基此，</w:t>
      </w:r>
      <w:r w:rsidR="001D27AE">
        <w:rPr>
          <w:rFonts w:hint="eastAsia"/>
        </w:rPr>
        <w:t>於</w:t>
      </w:r>
      <w:r w:rsidR="009B165D">
        <w:rPr>
          <w:rFonts w:hint="eastAsia"/>
        </w:rPr>
        <w:t>現行法制下，</w:t>
      </w:r>
      <w:r w:rsidR="00F423CC">
        <w:rPr>
          <w:rFonts w:hint="eastAsia"/>
        </w:rPr>
        <w:t>本案亦難認定</w:t>
      </w:r>
      <w:r w:rsidR="00165F1F">
        <w:rPr>
          <w:rFonts w:hint="eastAsia"/>
        </w:rPr>
        <w:t>有</w:t>
      </w:r>
      <w:r w:rsidR="00165F1F" w:rsidRPr="00316947">
        <w:rPr>
          <w:rFonts w:hint="eastAsia"/>
          <w:szCs w:val="32"/>
        </w:rPr>
        <w:t>行政訴訟法</w:t>
      </w:r>
      <w:r w:rsidR="00165F1F" w:rsidRPr="00AA4563">
        <w:rPr>
          <w:rFonts w:hint="eastAsia"/>
          <w:szCs w:val="32"/>
        </w:rPr>
        <w:t>第20條</w:t>
      </w:r>
      <w:proofErr w:type="gramStart"/>
      <w:r w:rsidR="00165F1F" w:rsidRPr="00AA4563">
        <w:rPr>
          <w:rFonts w:hint="eastAsia"/>
          <w:szCs w:val="32"/>
        </w:rPr>
        <w:t>準</w:t>
      </w:r>
      <w:proofErr w:type="gramEnd"/>
      <w:r w:rsidR="00165F1F" w:rsidRPr="00AA4563">
        <w:rPr>
          <w:rFonts w:hint="eastAsia"/>
          <w:szCs w:val="32"/>
        </w:rPr>
        <w:t>用民事訴訟法第33條第1項</w:t>
      </w:r>
      <w:r w:rsidR="00165F1F">
        <w:rPr>
          <w:rFonts w:hint="eastAsia"/>
          <w:szCs w:val="32"/>
        </w:rPr>
        <w:t>第2</w:t>
      </w:r>
      <w:r w:rsidR="003B3C55">
        <w:rPr>
          <w:rFonts w:hint="eastAsia"/>
          <w:szCs w:val="32"/>
        </w:rPr>
        <w:t>款之情事</w:t>
      </w:r>
      <w:r w:rsidR="00165F1F">
        <w:rPr>
          <w:rFonts w:hint="eastAsia"/>
          <w:szCs w:val="32"/>
        </w:rPr>
        <w:t>，</w:t>
      </w:r>
      <w:r w:rsidR="00F423CC">
        <w:rPr>
          <w:rFonts w:hint="eastAsia"/>
          <w:szCs w:val="32"/>
        </w:rPr>
        <w:t>而得據以聲請法官迴避。</w:t>
      </w:r>
    </w:p>
    <w:p w:rsidR="00F74765" w:rsidRPr="00F74765" w:rsidRDefault="00D258AA" w:rsidP="00F74765">
      <w:pPr>
        <w:pStyle w:val="3"/>
        <w:rPr>
          <w:rFonts w:hAnsi="標楷體"/>
        </w:rPr>
      </w:pPr>
      <w:r>
        <w:rPr>
          <w:rFonts w:hAnsi="標楷體" w:hint="eastAsia"/>
        </w:rPr>
        <w:t>綜上所述，本案</w:t>
      </w:r>
      <w:r w:rsidR="003B3C55">
        <w:rPr>
          <w:rFonts w:hAnsi="標楷體" w:hint="eastAsia"/>
        </w:rPr>
        <w:t>陳訴人所</w:t>
      </w:r>
      <w:proofErr w:type="gramStart"/>
      <w:r w:rsidR="003B3C55">
        <w:rPr>
          <w:rFonts w:hAnsi="標楷體" w:hint="eastAsia"/>
        </w:rPr>
        <w:t>訴經</w:t>
      </w:r>
      <w:r>
        <w:rPr>
          <w:rFonts w:hAnsi="標楷體" w:hint="eastAsia"/>
        </w:rPr>
        <w:t>核尚</w:t>
      </w:r>
      <w:proofErr w:type="gramEnd"/>
      <w:r>
        <w:rPr>
          <w:rFonts w:hAnsi="標楷體" w:hint="eastAsia"/>
        </w:rPr>
        <w:t>非屬</w:t>
      </w:r>
      <w:r w:rsidRPr="0005407D">
        <w:rPr>
          <w:rFonts w:hAnsi="標楷體" w:hint="eastAsia"/>
        </w:rPr>
        <w:t>行政</w:t>
      </w:r>
      <w:r w:rsidRPr="00931981">
        <w:rPr>
          <w:rFonts w:hAnsi="標楷體" w:hint="eastAsia"/>
        </w:rPr>
        <w:t>訴訟法第</w:t>
      </w:r>
      <w:r w:rsidRPr="00931981">
        <w:rPr>
          <w:rFonts w:hAnsi="標楷體"/>
        </w:rPr>
        <w:t>19</w:t>
      </w:r>
      <w:r w:rsidRPr="00931981">
        <w:rPr>
          <w:rFonts w:hAnsi="標楷體" w:hint="eastAsia"/>
        </w:rPr>
        <w:t>條第</w:t>
      </w:r>
      <w:r w:rsidRPr="00931981">
        <w:rPr>
          <w:rFonts w:hAnsi="標楷體"/>
        </w:rPr>
        <w:t>5</w:t>
      </w:r>
      <w:r w:rsidRPr="00931981">
        <w:rPr>
          <w:rFonts w:hAnsi="標楷體" w:hint="eastAsia"/>
        </w:rPr>
        <w:t>款</w:t>
      </w:r>
      <w:r>
        <w:rPr>
          <w:rFonts w:hAnsi="標楷體" w:hint="eastAsia"/>
        </w:rPr>
        <w:t>之法官</w:t>
      </w:r>
      <w:r w:rsidRPr="00931981">
        <w:rPr>
          <w:rFonts w:hint="eastAsia"/>
          <w:szCs w:val="32"/>
        </w:rPr>
        <w:t>迴避</w:t>
      </w:r>
      <w:r w:rsidR="00432A34">
        <w:rPr>
          <w:rFonts w:hint="eastAsia"/>
          <w:szCs w:val="32"/>
        </w:rPr>
        <w:t>事由</w:t>
      </w:r>
      <w:r w:rsidR="004F749C">
        <w:rPr>
          <w:rFonts w:hint="eastAsia"/>
          <w:szCs w:val="32"/>
        </w:rPr>
        <w:t>；</w:t>
      </w:r>
      <w:r w:rsidR="00862F3C">
        <w:rPr>
          <w:rFonts w:hint="eastAsia"/>
          <w:szCs w:val="32"/>
        </w:rPr>
        <w:t>另</w:t>
      </w:r>
      <w:r>
        <w:rPr>
          <w:rFonts w:hint="eastAsia"/>
          <w:szCs w:val="32"/>
        </w:rPr>
        <w:t>亦未見</w:t>
      </w:r>
      <w:r w:rsidR="00E52781">
        <w:rPr>
          <w:rFonts w:hint="eastAsia"/>
          <w:szCs w:val="32"/>
        </w:rPr>
        <w:t>其他具體</w:t>
      </w:r>
      <w:r w:rsidR="00E52781">
        <w:rPr>
          <w:rFonts w:hint="eastAsia"/>
          <w:szCs w:val="32"/>
        </w:rPr>
        <w:lastRenderedPageBreak/>
        <w:t>事證足資證明</w:t>
      </w:r>
      <w:r>
        <w:rPr>
          <w:rFonts w:hint="eastAsia"/>
          <w:szCs w:val="32"/>
        </w:rPr>
        <w:t>承審法官</w:t>
      </w:r>
      <w:r w:rsidR="00432A34" w:rsidRPr="00AA4563">
        <w:rPr>
          <w:rFonts w:hint="eastAsia"/>
          <w:szCs w:val="32"/>
        </w:rPr>
        <w:t>執行職務有偏頗之虞</w:t>
      </w:r>
      <w:r w:rsidR="00432A34">
        <w:rPr>
          <w:rFonts w:hint="eastAsia"/>
          <w:szCs w:val="32"/>
        </w:rPr>
        <w:t>。是</w:t>
      </w:r>
      <w:r w:rsidR="00432A34" w:rsidRPr="00882BAC">
        <w:rPr>
          <w:rFonts w:hint="eastAsia"/>
        </w:rPr>
        <w:t>於現行法制下，</w:t>
      </w:r>
      <w:r w:rsidR="00882BAC" w:rsidRPr="00882BAC">
        <w:rPr>
          <w:rFonts w:hint="eastAsia"/>
        </w:rPr>
        <w:t>本件更審上訴案，尚難</w:t>
      </w:r>
      <w:proofErr w:type="gramStart"/>
      <w:r w:rsidR="00882BAC" w:rsidRPr="00882BAC">
        <w:rPr>
          <w:rFonts w:hint="eastAsia"/>
        </w:rPr>
        <w:t>遽</w:t>
      </w:r>
      <w:proofErr w:type="gramEnd"/>
      <w:r w:rsidR="00882BAC" w:rsidRPr="00882BAC">
        <w:rPr>
          <w:rFonts w:hint="eastAsia"/>
        </w:rPr>
        <w:t>認分由最高</w:t>
      </w:r>
      <w:r w:rsidR="003B3C55">
        <w:rPr>
          <w:rFonts w:hint="eastAsia"/>
        </w:rPr>
        <w:t>行政</w:t>
      </w:r>
      <w:r w:rsidR="00882BAC" w:rsidRPr="00882BAC">
        <w:rPr>
          <w:rFonts w:hint="eastAsia"/>
        </w:rPr>
        <w:t>法院</w:t>
      </w:r>
      <w:proofErr w:type="gramStart"/>
      <w:r w:rsidR="00882BAC" w:rsidRPr="00882BAC">
        <w:rPr>
          <w:rFonts w:hint="eastAsia"/>
        </w:rPr>
        <w:t>之原庭法官</w:t>
      </w:r>
      <w:proofErr w:type="gramEnd"/>
      <w:r w:rsidR="00882BAC" w:rsidRPr="00882BAC">
        <w:rPr>
          <w:rFonts w:hint="eastAsia"/>
        </w:rPr>
        <w:t>承審，即屬有違法官迴避之規定</w:t>
      </w:r>
      <w:r w:rsidR="00882BAC">
        <w:rPr>
          <w:rFonts w:hint="eastAsia"/>
        </w:rPr>
        <w:t>。</w:t>
      </w:r>
    </w:p>
    <w:p w:rsidR="001D27AE" w:rsidRPr="00C971FB" w:rsidRDefault="001D27AE" w:rsidP="001D27AE">
      <w:pPr>
        <w:pStyle w:val="2"/>
        <w:rPr>
          <w:rFonts w:hAnsi="標楷體"/>
          <w:b/>
        </w:rPr>
      </w:pPr>
      <w:r w:rsidRPr="00C971FB">
        <w:rPr>
          <w:rFonts w:hint="eastAsia"/>
          <w:b/>
        </w:rPr>
        <w:t>最高行政法院與最高法院就發回更審後復上訴之案件，分案方式不盡相同</w:t>
      </w:r>
      <w:r w:rsidRPr="00C971FB">
        <w:rPr>
          <w:rFonts w:hAnsi="標楷體" w:hint="eastAsia"/>
          <w:b/>
        </w:rPr>
        <w:t>，</w:t>
      </w:r>
      <w:r w:rsidRPr="00C971FB">
        <w:rPr>
          <w:rFonts w:hint="eastAsia"/>
          <w:b/>
        </w:rPr>
        <w:t>雖</w:t>
      </w:r>
      <w:r w:rsidRPr="00C971FB">
        <w:rPr>
          <w:rFonts w:hAnsi="標楷體" w:hint="eastAsia"/>
          <w:b/>
        </w:rPr>
        <w:t>依</w:t>
      </w:r>
      <w:r w:rsidRPr="00C971FB">
        <w:rPr>
          <w:rFonts w:hint="eastAsia"/>
          <w:b/>
        </w:rPr>
        <w:t>司法院釋字第665號解釋意旨，要難</w:t>
      </w:r>
      <w:proofErr w:type="gramStart"/>
      <w:r w:rsidRPr="00C971FB">
        <w:rPr>
          <w:rFonts w:hint="eastAsia"/>
          <w:b/>
        </w:rPr>
        <w:t>認定孰</w:t>
      </w:r>
      <w:proofErr w:type="gramEnd"/>
      <w:r w:rsidRPr="00C971FB">
        <w:rPr>
          <w:rFonts w:hint="eastAsia"/>
          <w:b/>
        </w:rPr>
        <w:t>為優劣或</w:t>
      </w:r>
      <w:proofErr w:type="gramStart"/>
      <w:r w:rsidRPr="00C971FB">
        <w:rPr>
          <w:rFonts w:hint="eastAsia"/>
          <w:b/>
        </w:rPr>
        <w:t>遽</w:t>
      </w:r>
      <w:proofErr w:type="gramEnd"/>
      <w:r w:rsidRPr="00C971FB">
        <w:rPr>
          <w:rFonts w:hint="eastAsia"/>
          <w:b/>
        </w:rPr>
        <w:t>指何者為不當</w:t>
      </w:r>
      <w:r>
        <w:rPr>
          <w:rFonts w:hint="eastAsia"/>
          <w:b/>
        </w:rPr>
        <w:t>，</w:t>
      </w:r>
      <w:r w:rsidRPr="00C971FB">
        <w:rPr>
          <w:rFonts w:hint="eastAsia"/>
          <w:b/>
        </w:rPr>
        <w:t>惟</w:t>
      </w:r>
      <w:proofErr w:type="gramStart"/>
      <w:r w:rsidRPr="00C971FB">
        <w:rPr>
          <w:rFonts w:hint="eastAsia"/>
          <w:b/>
        </w:rPr>
        <w:t>嗣</w:t>
      </w:r>
      <w:proofErr w:type="gramEnd"/>
      <w:r w:rsidRPr="00C971FB">
        <w:rPr>
          <w:rFonts w:hint="eastAsia"/>
          <w:b/>
        </w:rPr>
        <w:t>最高行政法院若因情事變更而狀況合宜時，司法院釋字第178</w:t>
      </w:r>
      <w:r>
        <w:rPr>
          <w:rFonts w:hint="eastAsia"/>
          <w:b/>
        </w:rPr>
        <w:t>號解釋</w:t>
      </w:r>
      <w:proofErr w:type="gramStart"/>
      <w:r>
        <w:rPr>
          <w:rFonts w:hint="eastAsia"/>
          <w:b/>
        </w:rPr>
        <w:t>意旨亦</w:t>
      </w:r>
      <w:r w:rsidRPr="00C971FB">
        <w:rPr>
          <w:rFonts w:hint="eastAsia"/>
          <w:b/>
        </w:rPr>
        <w:t>允宜</w:t>
      </w:r>
      <w:proofErr w:type="gramEnd"/>
      <w:r w:rsidRPr="00C971FB">
        <w:rPr>
          <w:rFonts w:hint="eastAsia"/>
          <w:b/>
        </w:rPr>
        <w:t>平衡兼顧。</w:t>
      </w:r>
      <w:proofErr w:type="gramStart"/>
      <w:r w:rsidRPr="00C971FB">
        <w:rPr>
          <w:rFonts w:hint="eastAsia"/>
          <w:b/>
        </w:rPr>
        <w:t>再者，</w:t>
      </w:r>
      <w:proofErr w:type="gramEnd"/>
      <w:r w:rsidRPr="00C971FB">
        <w:rPr>
          <w:rFonts w:hint="eastAsia"/>
          <w:b/>
        </w:rPr>
        <w:t>最高行政法院</w:t>
      </w:r>
      <w:proofErr w:type="gramStart"/>
      <w:r w:rsidRPr="00C971FB">
        <w:rPr>
          <w:rFonts w:hint="eastAsia"/>
          <w:b/>
        </w:rPr>
        <w:t>101</w:t>
      </w:r>
      <w:proofErr w:type="gramEnd"/>
      <w:r w:rsidRPr="00C971FB">
        <w:rPr>
          <w:rFonts w:hint="eastAsia"/>
          <w:b/>
        </w:rPr>
        <w:t>年度7月份第1次庭長法官聯席會議</w:t>
      </w:r>
      <w:r>
        <w:rPr>
          <w:rFonts w:hint="eastAsia"/>
          <w:b/>
        </w:rPr>
        <w:t>之案關決議，並未明定於該院之司法行政規則，</w:t>
      </w:r>
      <w:r w:rsidRPr="00DC5B5D">
        <w:rPr>
          <w:rFonts w:hint="eastAsia"/>
          <w:b/>
        </w:rPr>
        <w:t>其間有無檢討改善必要，司法機關允宜謹慎</w:t>
      </w:r>
      <w:proofErr w:type="gramStart"/>
      <w:r>
        <w:rPr>
          <w:rFonts w:hint="eastAsia"/>
          <w:b/>
        </w:rPr>
        <w:t>研酌</w:t>
      </w:r>
      <w:r w:rsidRPr="00DC5B5D">
        <w:rPr>
          <w:rFonts w:hint="eastAsia"/>
          <w:b/>
        </w:rPr>
        <w:t>妥處</w:t>
      </w:r>
      <w:proofErr w:type="gramEnd"/>
      <w:r>
        <w:rPr>
          <w:rFonts w:hint="eastAsia"/>
          <w:b/>
        </w:rPr>
        <w:t>：</w:t>
      </w:r>
    </w:p>
    <w:p w:rsidR="001D27AE" w:rsidRDefault="001D27AE" w:rsidP="001D27AE">
      <w:pPr>
        <w:pStyle w:val="3"/>
      </w:pPr>
      <w:r>
        <w:rPr>
          <w:rFonts w:hint="eastAsia"/>
        </w:rPr>
        <w:t>有關最高行政法院廢棄下級審裁判發回更審後，該更審裁判復上訴或抗告至該</w:t>
      </w:r>
      <w:r w:rsidRPr="00842905">
        <w:rPr>
          <w:rFonts w:hint="eastAsia"/>
        </w:rPr>
        <w:t>院，</w:t>
      </w:r>
      <w:r>
        <w:rPr>
          <w:rFonts w:hint="eastAsia"/>
        </w:rPr>
        <w:t>應如何分案乙節，最高行政法院現行之作法係依據該院</w:t>
      </w:r>
      <w:proofErr w:type="gramStart"/>
      <w:r w:rsidRPr="00AB095F">
        <w:t>101</w:t>
      </w:r>
      <w:proofErr w:type="gramEnd"/>
      <w:r w:rsidRPr="00AB095F">
        <w:rPr>
          <w:rFonts w:hint="eastAsia"/>
        </w:rPr>
        <w:t>年度</w:t>
      </w:r>
      <w:r w:rsidRPr="00AB095F">
        <w:t>7</w:t>
      </w:r>
      <w:r w:rsidRPr="00AB095F">
        <w:rPr>
          <w:rFonts w:hint="eastAsia"/>
        </w:rPr>
        <w:t>月份第</w:t>
      </w:r>
      <w:r w:rsidRPr="00AB095F">
        <w:t>1</w:t>
      </w:r>
      <w:r w:rsidRPr="00AB095F">
        <w:rPr>
          <w:rFonts w:hint="eastAsia"/>
        </w:rPr>
        <w:t>次庭長法官聯席會議之</w:t>
      </w:r>
      <w:r w:rsidRPr="0005407D">
        <w:rPr>
          <w:rFonts w:hint="eastAsia"/>
        </w:rPr>
        <w:t>討論結</w:t>
      </w:r>
      <w:r w:rsidR="004C6CD6" w:rsidRPr="0005407D">
        <w:rPr>
          <w:rFonts w:hint="eastAsia"/>
        </w:rPr>
        <w:t>果</w:t>
      </w:r>
      <w:r w:rsidR="004C6CD6">
        <w:rPr>
          <w:rStyle w:val="aff0"/>
        </w:rPr>
        <w:footnoteReference w:id="4"/>
      </w:r>
      <w:r>
        <w:rPr>
          <w:rFonts w:hint="eastAsia"/>
        </w:rPr>
        <w:t>，</w:t>
      </w:r>
      <w:r w:rsidRPr="0005407D">
        <w:rPr>
          <w:rFonts w:hint="eastAsia"/>
        </w:rPr>
        <w:t>分</w:t>
      </w:r>
      <w:proofErr w:type="gramStart"/>
      <w:r w:rsidRPr="0005407D">
        <w:rPr>
          <w:rFonts w:hint="eastAsia"/>
        </w:rPr>
        <w:t>由原庭</w:t>
      </w:r>
      <w:proofErr w:type="gramEnd"/>
      <w:r w:rsidRPr="0005407D">
        <w:t>(</w:t>
      </w:r>
      <w:r w:rsidRPr="0005407D">
        <w:rPr>
          <w:rFonts w:hint="eastAsia"/>
        </w:rPr>
        <w:t>原股</w:t>
      </w:r>
      <w:r w:rsidRPr="0005407D">
        <w:t>)</w:t>
      </w:r>
      <w:r w:rsidRPr="0005407D">
        <w:rPr>
          <w:rFonts w:hint="eastAsia"/>
        </w:rPr>
        <w:t>承辦</w:t>
      </w:r>
      <w:r>
        <w:rPr>
          <w:rFonts w:hint="eastAsia"/>
        </w:rPr>
        <w:t>。此分案方式雖與</w:t>
      </w:r>
      <w:r w:rsidR="00ED292A">
        <w:rPr>
          <w:rFonts w:hint="eastAsia"/>
        </w:rPr>
        <w:t>法官迴避規定</w:t>
      </w:r>
      <w:r>
        <w:rPr>
          <w:rFonts w:hint="eastAsia"/>
        </w:rPr>
        <w:t>不相違背(</w:t>
      </w:r>
      <w:proofErr w:type="gramStart"/>
      <w:r>
        <w:rPr>
          <w:rFonts w:hint="eastAsia"/>
        </w:rPr>
        <w:t>詳參調查</w:t>
      </w:r>
      <w:proofErr w:type="gramEnd"/>
      <w:r>
        <w:rPr>
          <w:rFonts w:hint="eastAsia"/>
        </w:rPr>
        <w:t>意見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)，惟此相較於與最高行政法院屬同一審級之最高法院民事庭與刑事庭，依</w:t>
      </w:r>
      <w:r>
        <w:rPr>
          <w:rFonts w:hAnsi="標楷體" w:hint="eastAsia"/>
        </w:rPr>
        <w:t>「</w:t>
      </w:r>
      <w:r w:rsidRPr="00644285">
        <w:rPr>
          <w:rFonts w:hint="eastAsia"/>
        </w:rPr>
        <w:t>最高法院民、刑事案件編號、計數、分案、</w:t>
      </w:r>
      <w:proofErr w:type="gramStart"/>
      <w:r w:rsidRPr="00644285">
        <w:rPr>
          <w:rFonts w:hint="eastAsia"/>
        </w:rPr>
        <w:t>報結要點</w:t>
      </w:r>
      <w:proofErr w:type="gramEnd"/>
      <w:r w:rsidRPr="00644285">
        <w:rPr>
          <w:rFonts w:hint="eastAsia"/>
        </w:rPr>
        <w:t>」第10點</w:t>
      </w:r>
      <w:r w:rsidRPr="00644285">
        <w:rPr>
          <w:rStyle w:val="aff0"/>
        </w:rPr>
        <w:footnoteReference w:id="5"/>
      </w:r>
      <w:r w:rsidRPr="00644285">
        <w:rPr>
          <w:rFonts w:hint="eastAsia"/>
        </w:rPr>
        <w:t>及「最高法院第二次發回更審以後之民、刑</w:t>
      </w:r>
      <w:r w:rsidRPr="00644285">
        <w:rPr>
          <w:rFonts w:hint="eastAsia"/>
        </w:rPr>
        <w:lastRenderedPageBreak/>
        <w:t>事上訴案件分案實施要點</w:t>
      </w:r>
      <w:r w:rsidRPr="00644285">
        <w:rPr>
          <w:rFonts w:hAnsi="標楷體" w:hint="eastAsia"/>
        </w:rPr>
        <w:t>」第2、3點</w:t>
      </w:r>
      <w:r w:rsidRPr="00644285">
        <w:rPr>
          <w:rStyle w:val="aff0"/>
          <w:rFonts w:hAnsi="標楷體"/>
        </w:rPr>
        <w:footnoteReference w:id="6"/>
      </w:r>
      <w:r w:rsidRPr="00644285">
        <w:rPr>
          <w:rFonts w:hAnsi="標楷體" w:hint="eastAsia"/>
        </w:rPr>
        <w:t>規定</w:t>
      </w:r>
      <w:r w:rsidRPr="00644285">
        <w:rPr>
          <w:rFonts w:hint="eastAsia"/>
        </w:rPr>
        <w:t>，</w:t>
      </w:r>
      <w:proofErr w:type="gramStart"/>
      <w:r w:rsidRPr="00644285">
        <w:rPr>
          <w:rFonts w:hint="eastAsia"/>
        </w:rPr>
        <w:t>係至更</w:t>
      </w:r>
      <w:proofErr w:type="gramEnd"/>
      <w:r>
        <w:rPr>
          <w:rFonts w:hint="eastAsia"/>
        </w:rPr>
        <w:t>三審上訴之案件始提前分案並</w:t>
      </w:r>
      <w:proofErr w:type="gramStart"/>
      <w:r>
        <w:rPr>
          <w:rFonts w:hint="eastAsia"/>
        </w:rPr>
        <w:t>交原庭</w:t>
      </w:r>
      <w:proofErr w:type="gramEnd"/>
      <w:r>
        <w:rPr>
          <w:rFonts w:hint="eastAsia"/>
        </w:rPr>
        <w:t>(</w:t>
      </w:r>
      <w:r w:rsidRPr="007331CA">
        <w:rPr>
          <w:rFonts w:hint="eastAsia"/>
        </w:rPr>
        <w:t>原股</w:t>
      </w:r>
      <w:r>
        <w:rPr>
          <w:rFonts w:hint="eastAsia"/>
        </w:rPr>
        <w:t>)審理；陳訴人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據以指摘司法體系</w:t>
      </w:r>
      <w:r w:rsidRPr="007331CA">
        <w:rPr>
          <w:rFonts w:hint="eastAsia"/>
        </w:rPr>
        <w:t>中</w:t>
      </w:r>
      <w:r>
        <w:rPr>
          <w:rFonts w:hint="eastAsia"/>
        </w:rPr>
        <w:t>同屬法律審之最高法院及最高行政法院，對於更審後上訴或抗告之相同性質案件，竟存有制度不一之處理方式為不當。</w:t>
      </w:r>
    </w:p>
    <w:p w:rsidR="001D27AE" w:rsidRPr="00F62B95" w:rsidRDefault="00ED292A" w:rsidP="001D27AE">
      <w:pPr>
        <w:pStyle w:val="3"/>
      </w:pPr>
      <w:r>
        <w:rPr>
          <w:rFonts w:hint="eastAsia"/>
        </w:rPr>
        <w:t>經核</w:t>
      </w:r>
      <w:r w:rsidR="001D27AE">
        <w:rPr>
          <w:rFonts w:hint="eastAsia"/>
        </w:rPr>
        <w:t>：</w:t>
      </w:r>
      <w:r w:rsidR="001D27AE" w:rsidRPr="00B237E6">
        <w:rPr>
          <w:rFonts w:hint="eastAsia"/>
        </w:rPr>
        <w:t>為維護法官公平獨立審判，並增進審判效率，法院案件分配，</w:t>
      </w:r>
      <w:r w:rsidR="001D27AE" w:rsidRPr="00F62B95">
        <w:rPr>
          <w:rFonts w:hint="eastAsia"/>
        </w:rPr>
        <w:t>如依事先訂定之一般抽象規範</w:t>
      </w:r>
      <w:r w:rsidR="001D27AE" w:rsidRPr="00B237E6">
        <w:rPr>
          <w:rFonts w:hint="eastAsia"/>
        </w:rPr>
        <w:t>，</w:t>
      </w:r>
      <w:r w:rsidR="001D27AE" w:rsidRPr="00F62B95">
        <w:rPr>
          <w:rFonts w:hint="eastAsia"/>
        </w:rPr>
        <w:t>將案件客觀公平合理分配</w:t>
      </w:r>
      <w:r w:rsidR="001D27AE" w:rsidRPr="00B237E6">
        <w:rPr>
          <w:rFonts w:hint="eastAsia"/>
        </w:rPr>
        <w:t>於法官，足以摒除恣意或</w:t>
      </w:r>
      <w:r w:rsidR="001D27AE">
        <w:rPr>
          <w:rFonts w:hint="eastAsia"/>
        </w:rPr>
        <w:t>其他不當干涉案件分配作業者，即與保障人民訴訟權之憲法意旨，並無不符；</w:t>
      </w:r>
      <w:r w:rsidR="001D27AE" w:rsidRPr="00F62B95">
        <w:t>法官就受理之案件，負有合法、公正、妥速處理之職責，</w:t>
      </w:r>
      <w:r w:rsidR="001D27AE" w:rsidRPr="00B237E6">
        <w:rPr>
          <w:rFonts w:hint="eastAsia"/>
        </w:rPr>
        <w:t>而</w:t>
      </w:r>
      <w:r w:rsidR="001D27AE" w:rsidRPr="00F62B95">
        <w:rPr>
          <w:rFonts w:hint="eastAsia"/>
        </w:rPr>
        <w:t>各法院之組織規模、案件負擔、法官人數等情況各異</w:t>
      </w:r>
      <w:r w:rsidR="001D27AE" w:rsidRPr="00F62B95">
        <w:t>，且案件分配涉及法官之獨立審判職責及工作之公平負荷</w:t>
      </w:r>
      <w:r w:rsidR="001D27AE" w:rsidRPr="00B237E6">
        <w:rPr>
          <w:rFonts w:hint="eastAsia"/>
        </w:rPr>
        <w:t>，</w:t>
      </w:r>
      <w:r w:rsidR="001D27AE" w:rsidRPr="00F62B95">
        <w:rPr>
          <w:rFonts w:hint="eastAsia"/>
        </w:rPr>
        <w:t>於</w:t>
      </w:r>
      <w:proofErr w:type="gramStart"/>
      <w:r w:rsidR="001D27AE" w:rsidRPr="00F62B95">
        <w:rPr>
          <w:rFonts w:hint="eastAsia"/>
        </w:rPr>
        <w:t>不</w:t>
      </w:r>
      <w:proofErr w:type="gramEnd"/>
      <w:r w:rsidR="001D27AE" w:rsidRPr="00F62B95">
        <w:rPr>
          <w:rFonts w:hint="eastAsia"/>
        </w:rPr>
        <w:t>牴觸法律</w:t>
      </w:r>
      <w:r w:rsidR="001D27AE" w:rsidRPr="00F62B95">
        <w:t>、司法院訂定之法規命令及行政規則</w:t>
      </w:r>
      <w:r w:rsidR="001D27AE" w:rsidRPr="00F62B95">
        <w:rPr>
          <w:rFonts w:hint="eastAsia"/>
        </w:rPr>
        <w:t>時</w:t>
      </w:r>
      <w:r w:rsidR="001D27AE" w:rsidRPr="00B237E6">
        <w:rPr>
          <w:rFonts w:hint="eastAsia"/>
        </w:rPr>
        <w:t>，法院就受理案件分配之事務，自得於合理及必要之範圍內，訂定補充規範，</w:t>
      </w:r>
      <w:proofErr w:type="gramStart"/>
      <w:r w:rsidR="001D27AE" w:rsidRPr="00B237E6">
        <w:rPr>
          <w:rFonts w:hint="eastAsia"/>
        </w:rPr>
        <w:t>俾符各</w:t>
      </w:r>
      <w:proofErr w:type="gramEnd"/>
      <w:r w:rsidR="001D27AE" w:rsidRPr="00B237E6">
        <w:rPr>
          <w:rFonts w:hint="eastAsia"/>
        </w:rPr>
        <w:t>法院現況需求，司法院</w:t>
      </w:r>
      <w:r w:rsidR="001D27AE" w:rsidRPr="00F62B95">
        <w:rPr>
          <w:rFonts w:hint="eastAsia"/>
        </w:rPr>
        <w:t>釋字第665號</w:t>
      </w:r>
      <w:r w:rsidR="001D27AE" w:rsidRPr="00B237E6">
        <w:rPr>
          <w:rFonts w:hint="eastAsia"/>
        </w:rPr>
        <w:t>解釋</w:t>
      </w:r>
      <w:r w:rsidR="001D27AE">
        <w:rPr>
          <w:rFonts w:hint="eastAsia"/>
        </w:rPr>
        <w:t>理由書業闡明綦詳</w:t>
      </w:r>
      <w:r w:rsidR="001D27AE" w:rsidRPr="00B237E6">
        <w:rPr>
          <w:rFonts w:hint="eastAsia"/>
        </w:rPr>
        <w:t>。</w:t>
      </w:r>
      <w:r w:rsidR="001D27AE" w:rsidRPr="005F6323">
        <w:rPr>
          <w:rFonts w:hint="eastAsia"/>
        </w:rPr>
        <w:t>又</w:t>
      </w:r>
      <w:r w:rsidR="001D27AE" w:rsidRPr="00F62B95">
        <w:rPr>
          <w:rFonts w:hint="eastAsia"/>
        </w:rPr>
        <w:t>行政法院組織法第31條第1項</w:t>
      </w:r>
      <w:r w:rsidR="001D27AE" w:rsidRPr="005F6323">
        <w:rPr>
          <w:rFonts w:hint="eastAsia"/>
        </w:rPr>
        <w:t>規定：「各級行政法院於每年度終結前，由院長、庭長、法官舉行會議，按照處</w:t>
      </w:r>
      <w:proofErr w:type="gramStart"/>
      <w:r w:rsidR="001D27AE" w:rsidRPr="005F6323">
        <w:rPr>
          <w:rFonts w:hint="eastAsia"/>
        </w:rPr>
        <w:t>務</w:t>
      </w:r>
      <w:proofErr w:type="gramEnd"/>
      <w:r w:rsidR="001D27AE" w:rsidRPr="005F6323">
        <w:rPr>
          <w:rFonts w:hint="eastAsia"/>
        </w:rPr>
        <w:t>規程及其他法令規定，預定次年度司法事務之分配及代理次序。」</w:t>
      </w:r>
      <w:r w:rsidR="001D27AE">
        <w:rPr>
          <w:rFonts w:hint="eastAsia"/>
        </w:rPr>
        <w:t>，本件</w:t>
      </w:r>
      <w:r w:rsidR="001D27AE" w:rsidRPr="00F62B95">
        <w:rPr>
          <w:rFonts w:hint="eastAsia"/>
        </w:rPr>
        <w:t>最高行政法院</w:t>
      </w:r>
      <w:proofErr w:type="gramStart"/>
      <w:r w:rsidR="001D27AE" w:rsidRPr="00F62B95">
        <w:rPr>
          <w:rFonts w:hint="eastAsia"/>
        </w:rPr>
        <w:t>101</w:t>
      </w:r>
      <w:proofErr w:type="gramEnd"/>
      <w:r w:rsidR="001D27AE" w:rsidRPr="00F62B95">
        <w:rPr>
          <w:rFonts w:hint="eastAsia"/>
        </w:rPr>
        <w:t>年度7月份第1次庭長法官聯席會議</w:t>
      </w:r>
      <w:r w:rsidR="001D27AE">
        <w:rPr>
          <w:rFonts w:hint="eastAsia"/>
        </w:rPr>
        <w:t>之案關</w:t>
      </w:r>
      <w:r w:rsidR="001D27AE" w:rsidRPr="00F62B95">
        <w:rPr>
          <w:rFonts w:hint="eastAsia"/>
        </w:rPr>
        <w:t>決議</w:t>
      </w:r>
      <w:r w:rsidR="001D27AE" w:rsidRPr="0091281B">
        <w:rPr>
          <w:rFonts w:hint="eastAsia"/>
        </w:rPr>
        <w:t>，</w:t>
      </w:r>
      <w:r w:rsidR="001D27AE">
        <w:rPr>
          <w:rFonts w:hint="eastAsia"/>
        </w:rPr>
        <w:t>即</w:t>
      </w:r>
      <w:r w:rsidR="001D27AE" w:rsidRPr="00F62B95">
        <w:rPr>
          <w:rFonts w:hint="eastAsia"/>
        </w:rPr>
        <w:t>係本諸上開法規意旨，</w:t>
      </w:r>
      <w:r w:rsidR="001D27AE">
        <w:rPr>
          <w:rFonts w:hint="eastAsia"/>
        </w:rPr>
        <w:t>就</w:t>
      </w:r>
      <w:r w:rsidR="001D27AE" w:rsidRPr="0091281B">
        <w:rPr>
          <w:rFonts w:hint="eastAsia"/>
        </w:rPr>
        <w:t>發回更審後上訴事件之分案方式</w:t>
      </w:r>
      <w:r w:rsidR="001D27AE">
        <w:rPr>
          <w:rFonts w:hint="eastAsia"/>
        </w:rPr>
        <w:t>，</w:t>
      </w:r>
      <w:r w:rsidR="001D27AE" w:rsidRPr="00F62B95">
        <w:rPr>
          <w:rFonts w:hint="eastAsia"/>
        </w:rPr>
        <w:t>所為</w:t>
      </w:r>
      <w:r w:rsidR="001D27AE">
        <w:rPr>
          <w:rFonts w:hint="eastAsia"/>
        </w:rPr>
        <w:t>之抽象</w:t>
      </w:r>
      <w:r w:rsidR="001D27AE" w:rsidRPr="00B237E6">
        <w:rPr>
          <w:rFonts w:hint="eastAsia"/>
        </w:rPr>
        <w:t>補充規範</w:t>
      </w:r>
      <w:r w:rsidR="001D27AE">
        <w:rPr>
          <w:rFonts w:hint="eastAsia"/>
        </w:rPr>
        <w:t>；則於未</w:t>
      </w:r>
      <w:r w:rsidR="001D27AE" w:rsidRPr="00F62B95">
        <w:rPr>
          <w:rFonts w:hint="eastAsia"/>
        </w:rPr>
        <w:t>牴觸上位法規</w:t>
      </w:r>
      <w:r w:rsidR="001D27AE">
        <w:rPr>
          <w:rFonts w:hint="eastAsia"/>
        </w:rPr>
        <w:t>之情況下，最高行政法院經盱</w:t>
      </w:r>
      <w:r w:rsidR="001D27AE" w:rsidRPr="00BA0623">
        <w:rPr>
          <w:rFonts w:hAnsi="標楷體" w:hint="eastAsia"/>
        </w:rPr>
        <w:t>衡</w:t>
      </w:r>
      <w:r w:rsidR="001D27AE" w:rsidRPr="00F62B95">
        <w:rPr>
          <w:rFonts w:hint="eastAsia"/>
        </w:rPr>
        <w:t>該</w:t>
      </w:r>
      <w:r w:rsidR="001D27AE">
        <w:rPr>
          <w:rFonts w:hint="eastAsia"/>
        </w:rPr>
        <w:t>院組織規模、案件</w:t>
      </w:r>
      <w:r w:rsidR="001D27AE">
        <w:rPr>
          <w:rFonts w:hint="eastAsia"/>
        </w:rPr>
        <w:lastRenderedPageBreak/>
        <w:t>負擔、法官人數等實際狀</w:t>
      </w:r>
      <w:r w:rsidR="001D27AE" w:rsidRPr="00F62B95">
        <w:rPr>
          <w:rFonts w:hint="eastAsia"/>
        </w:rPr>
        <w:t>況，</w:t>
      </w:r>
      <w:r w:rsidR="001D27AE">
        <w:rPr>
          <w:rFonts w:hint="eastAsia"/>
        </w:rPr>
        <w:t>擇</w:t>
      </w:r>
      <w:r w:rsidR="001D27AE" w:rsidRPr="00F62B95">
        <w:rPr>
          <w:rFonts w:hint="eastAsia"/>
        </w:rPr>
        <w:t>定</w:t>
      </w:r>
      <w:r w:rsidR="001D27AE">
        <w:rPr>
          <w:rFonts w:hint="eastAsia"/>
        </w:rPr>
        <w:t>較符合該院需求之分案方式，</w:t>
      </w:r>
      <w:r w:rsidR="001D27AE" w:rsidRPr="00F62B95">
        <w:rPr>
          <w:rFonts w:hint="eastAsia"/>
        </w:rPr>
        <w:t>縱</w:t>
      </w:r>
      <w:r w:rsidR="001D27AE">
        <w:rPr>
          <w:rFonts w:hint="eastAsia"/>
        </w:rPr>
        <w:t>使該</w:t>
      </w:r>
      <w:r w:rsidR="001D27AE" w:rsidRPr="00F62B95">
        <w:rPr>
          <w:rFonts w:hint="eastAsia"/>
        </w:rPr>
        <w:t>方式與最高法院</w:t>
      </w:r>
      <w:r w:rsidR="001D27AE">
        <w:rPr>
          <w:rFonts w:hint="eastAsia"/>
        </w:rPr>
        <w:t>之作法不</w:t>
      </w:r>
      <w:r w:rsidR="001D27AE" w:rsidRPr="00F62B95">
        <w:rPr>
          <w:rFonts w:hint="eastAsia"/>
        </w:rPr>
        <w:t>盡相同，要難</w:t>
      </w:r>
      <w:proofErr w:type="gramStart"/>
      <w:r w:rsidR="001D27AE" w:rsidRPr="00F62B95">
        <w:rPr>
          <w:rFonts w:hint="eastAsia"/>
        </w:rPr>
        <w:t>認定孰</w:t>
      </w:r>
      <w:proofErr w:type="gramEnd"/>
      <w:r w:rsidR="001D27AE" w:rsidRPr="00F62B95">
        <w:rPr>
          <w:rFonts w:hint="eastAsia"/>
        </w:rPr>
        <w:t>為優劣或</w:t>
      </w:r>
      <w:proofErr w:type="gramStart"/>
      <w:r w:rsidR="001D27AE" w:rsidRPr="00F62B95">
        <w:rPr>
          <w:rFonts w:hint="eastAsia"/>
        </w:rPr>
        <w:t>遽</w:t>
      </w:r>
      <w:proofErr w:type="gramEnd"/>
      <w:r w:rsidR="001D27AE" w:rsidRPr="00F62B95">
        <w:rPr>
          <w:rFonts w:hint="eastAsia"/>
        </w:rPr>
        <w:t>指何者為不當。</w:t>
      </w:r>
      <w:proofErr w:type="gramStart"/>
      <w:r w:rsidR="001D27AE">
        <w:rPr>
          <w:rFonts w:hint="eastAsia"/>
        </w:rPr>
        <w:t>惟</w:t>
      </w:r>
      <w:proofErr w:type="gramEnd"/>
      <w:r w:rsidR="001D27AE" w:rsidRPr="00FC5B2F">
        <w:rPr>
          <w:rFonts w:hint="eastAsia"/>
        </w:rPr>
        <w:t>司法院釋字第178號解釋理由</w:t>
      </w:r>
      <w:proofErr w:type="gramStart"/>
      <w:r w:rsidR="001D27AE" w:rsidRPr="00FC5B2F">
        <w:rPr>
          <w:rFonts w:hint="eastAsia"/>
        </w:rPr>
        <w:t>書既指稱</w:t>
      </w:r>
      <w:proofErr w:type="gramEnd"/>
      <w:r w:rsidR="001D27AE" w:rsidRPr="00FC5B2F">
        <w:rPr>
          <w:rFonts w:hint="eastAsia"/>
        </w:rPr>
        <w:t>「如無事實上困難，該案件仍應改分其他推事辦理」，未來最高行政法院若因情事變更而狀況合宜時，現時</w:t>
      </w:r>
      <w:r w:rsidR="001D27AE">
        <w:rPr>
          <w:rFonts w:hint="eastAsia"/>
        </w:rPr>
        <w:t>最高法院民事庭與刑事庭之作業方式容或</w:t>
      </w:r>
      <w:r w:rsidR="001D27AE" w:rsidRPr="00FC5B2F">
        <w:rPr>
          <w:rFonts w:hint="eastAsia"/>
        </w:rPr>
        <w:t>可參</w:t>
      </w:r>
      <w:r w:rsidR="001D27AE">
        <w:rPr>
          <w:rFonts w:hint="eastAsia"/>
        </w:rPr>
        <w:t>，當更能兼顧</w:t>
      </w:r>
      <w:r w:rsidR="001D27AE" w:rsidRPr="00B237E6">
        <w:rPr>
          <w:rFonts w:hint="eastAsia"/>
        </w:rPr>
        <w:t>司法院</w:t>
      </w:r>
      <w:r w:rsidR="001D27AE" w:rsidRPr="00F62B95">
        <w:rPr>
          <w:rFonts w:hint="eastAsia"/>
        </w:rPr>
        <w:t>釋字</w:t>
      </w:r>
      <w:r w:rsidR="001D27AE">
        <w:rPr>
          <w:rFonts w:hint="eastAsia"/>
        </w:rPr>
        <w:t>第178號及</w:t>
      </w:r>
      <w:r w:rsidR="001D27AE" w:rsidRPr="00F62B95">
        <w:rPr>
          <w:rFonts w:hint="eastAsia"/>
        </w:rPr>
        <w:t>第665號</w:t>
      </w:r>
      <w:r w:rsidR="001D27AE" w:rsidRPr="00B237E6">
        <w:rPr>
          <w:rFonts w:hint="eastAsia"/>
        </w:rPr>
        <w:t>解釋</w:t>
      </w:r>
      <w:r w:rsidR="001D27AE">
        <w:rPr>
          <w:rFonts w:hint="eastAsia"/>
        </w:rPr>
        <w:t>之意旨</w:t>
      </w:r>
      <w:r w:rsidR="001D27AE" w:rsidRPr="00FC5B2F">
        <w:rPr>
          <w:rFonts w:hint="eastAsia"/>
        </w:rPr>
        <w:t>。</w:t>
      </w:r>
    </w:p>
    <w:p w:rsidR="001D27AE" w:rsidRDefault="001D27AE" w:rsidP="00AF4C38">
      <w:pPr>
        <w:pStyle w:val="3"/>
      </w:pPr>
      <w:proofErr w:type="gramStart"/>
      <w:r>
        <w:rPr>
          <w:rFonts w:hint="eastAsia"/>
        </w:rPr>
        <w:t>再者，</w:t>
      </w:r>
      <w:proofErr w:type="gramEnd"/>
      <w:r>
        <w:rPr>
          <w:rFonts w:hint="eastAsia"/>
        </w:rPr>
        <w:t>最高</w:t>
      </w:r>
      <w:r w:rsidRPr="00F62B95">
        <w:rPr>
          <w:rFonts w:hint="eastAsia"/>
        </w:rPr>
        <w:t>行政法院</w:t>
      </w:r>
      <w:r>
        <w:rPr>
          <w:rFonts w:hint="eastAsia"/>
        </w:rPr>
        <w:t>雖於</w:t>
      </w:r>
      <w:proofErr w:type="gramStart"/>
      <w:r w:rsidRPr="00F62B95">
        <w:rPr>
          <w:rFonts w:hint="eastAsia"/>
        </w:rPr>
        <w:t>101</w:t>
      </w:r>
      <w:proofErr w:type="gramEnd"/>
      <w:r w:rsidRPr="00F62B95">
        <w:rPr>
          <w:rFonts w:hint="eastAsia"/>
        </w:rPr>
        <w:t>年度7月份第1次庭長法官聯席會議</w:t>
      </w:r>
      <w:r>
        <w:rPr>
          <w:rFonts w:hint="eastAsia"/>
        </w:rPr>
        <w:t>對</w:t>
      </w:r>
      <w:r w:rsidRPr="0091281B">
        <w:rPr>
          <w:rFonts w:hint="eastAsia"/>
        </w:rPr>
        <w:t>更審後上訴事件之分案方式</w:t>
      </w:r>
      <w:r>
        <w:rPr>
          <w:rFonts w:hint="eastAsia"/>
        </w:rPr>
        <w:t>做出決議，惟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並未依該次決議後段</w:t>
      </w:r>
      <w:r>
        <w:rPr>
          <w:rFonts w:hAnsi="標楷體" w:hint="eastAsia"/>
        </w:rPr>
        <w:t>「</w:t>
      </w:r>
      <w:r w:rsidRPr="00511FC5">
        <w:rPr>
          <w:rFonts w:hint="eastAsia"/>
        </w:rPr>
        <w:t>如須</w:t>
      </w:r>
      <w:r>
        <w:rPr>
          <w:rFonts w:hint="eastAsia"/>
        </w:rPr>
        <w:t>修正本院訴訟事件編號、計數、分案、</w:t>
      </w:r>
      <w:proofErr w:type="gramStart"/>
      <w:r>
        <w:rPr>
          <w:rFonts w:hint="eastAsia"/>
        </w:rPr>
        <w:t>報結要點</w:t>
      </w:r>
      <w:proofErr w:type="gramEnd"/>
      <w:r>
        <w:rPr>
          <w:rFonts w:hint="eastAsia"/>
        </w:rPr>
        <w:t>，會後再行提案</w:t>
      </w:r>
      <w:r>
        <w:rPr>
          <w:rFonts w:hAnsi="標楷體" w:hint="eastAsia"/>
        </w:rPr>
        <w:t>」之內容，為相應之法制作業。考量</w:t>
      </w:r>
      <w:r>
        <w:rPr>
          <w:rFonts w:hint="eastAsia"/>
        </w:rPr>
        <w:t>該</w:t>
      </w:r>
      <w:r w:rsidRPr="00F62B95">
        <w:rPr>
          <w:rFonts w:hint="eastAsia"/>
        </w:rPr>
        <w:t>院庭長法官聯席會議</w:t>
      </w:r>
      <w:r>
        <w:rPr>
          <w:rFonts w:hint="eastAsia"/>
        </w:rPr>
        <w:t>之各決議事項</w:t>
      </w:r>
      <w:r w:rsidR="00AF4C38" w:rsidRPr="00AF4C38">
        <w:rPr>
          <w:rFonts w:hint="eastAsia"/>
        </w:rPr>
        <w:t>為數益增</w:t>
      </w:r>
      <w:r>
        <w:rPr>
          <w:rFonts w:hint="eastAsia"/>
        </w:rPr>
        <w:t>，即使具法律專業之律師，亦恐難以完全掌握；</w:t>
      </w:r>
      <w:proofErr w:type="gramStart"/>
      <w:r>
        <w:rPr>
          <w:rFonts w:hint="eastAsia"/>
        </w:rPr>
        <w:t>故相較</w:t>
      </w:r>
      <w:proofErr w:type="gramEnd"/>
      <w:r>
        <w:rPr>
          <w:rFonts w:hint="eastAsia"/>
        </w:rPr>
        <w:t>於最高法院</w:t>
      </w:r>
      <w:proofErr w:type="gramStart"/>
      <w:r>
        <w:rPr>
          <w:rFonts w:hint="eastAsia"/>
        </w:rPr>
        <w:t>將此明定</w:t>
      </w:r>
      <w:proofErr w:type="gramEnd"/>
      <w:r>
        <w:rPr>
          <w:rFonts w:hint="eastAsia"/>
        </w:rPr>
        <w:t>於</w:t>
      </w:r>
      <w:r>
        <w:rPr>
          <w:rFonts w:hAnsi="標楷體" w:hint="eastAsia"/>
        </w:rPr>
        <w:t>「</w:t>
      </w:r>
      <w:r w:rsidRPr="00644285">
        <w:rPr>
          <w:rFonts w:hint="eastAsia"/>
        </w:rPr>
        <w:t>最高法院民、刑事案件編號、計數、分案、</w:t>
      </w:r>
      <w:proofErr w:type="gramStart"/>
      <w:r w:rsidRPr="00644285">
        <w:rPr>
          <w:rFonts w:hint="eastAsia"/>
        </w:rPr>
        <w:t>報結要點</w:t>
      </w:r>
      <w:proofErr w:type="gramEnd"/>
      <w:r w:rsidRPr="00644285">
        <w:rPr>
          <w:rFonts w:hint="eastAsia"/>
        </w:rPr>
        <w:t>」及「最高法院第二次發回更審以後之民、刑事上訴案件分案實施要點</w:t>
      </w:r>
      <w:r w:rsidRPr="00644285">
        <w:rPr>
          <w:rFonts w:hAnsi="標楷體" w:hint="eastAsia"/>
        </w:rPr>
        <w:t>」</w:t>
      </w:r>
      <w:r>
        <w:rPr>
          <w:rFonts w:hAnsi="標楷體" w:hint="eastAsia"/>
        </w:rPr>
        <w:t>等</w:t>
      </w:r>
      <w:r>
        <w:rPr>
          <w:rFonts w:hint="eastAsia"/>
        </w:rPr>
        <w:t>行政規則</w:t>
      </w:r>
      <w:r w:rsidR="00AF4C38">
        <w:rPr>
          <w:rFonts w:hint="eastAsia"/>
        </w:rPr>
        <w:t>中</w:t>
      </w:r>
      <w:r>
        <w:rPr>
          <w:rFonts w:hint="eastAsia"/>
        </w:rPr>
        <w:t>，最高行政法院僅以</w:t>
      </w:r>
      <w:r w:rsidRPr="00F62B95">
        <w:rPr>
          <w:rFonts w:hint="eastAsia"/>
        </w:rPr>
        <w:t>庭長法官聯席會議</w:t>
      </w:r>
      <w:r>
        <w:rPr>
          <w:rFonts w:hint="eastAsia"/>
        </w:rPr>
        <w:t>決議作為分案依據之方式，其間有無檢討改善必要，司法機關允宜謹慎</w:t>
      </w:r>
      <w:proofErr w:type="gramStart"/>
      <w:r w:rsidRPr="004B0D73">
        <w:rPr>
          <w:rFonts w:hint="eastAsia"/>
        </w:rPr>
        <w:t>研酌</w:t>
      </w:r>
      <w:r>
        <w:rPr>
          <w:rFonts w:hint="eastAsia"/>
        </w:rPr>
        <w:t>妥處</w:t>
      </w:r>
      <w:proofErr w:type="gramEnd"/>
      <w:r>
        <w:rPr>
          <w:rFonts w:hint="eastAsia"/>
        </w:rPr>
        <w:t>。</w:t>
      </w:r>
    </w:p>
    <w:p w:rsidR="00931981" w:rsidRPr="00F15D4A" w:rsidRDefault="00893B75" w:rsidP="00564C18">
      <w:pPr>
        <w:pStyle w:val="2"/>
        <w:rPr>
          <w:rFonts w:hAnsi="標楷體"/>
          <w:b/>
        </w:rPr>
      </w:pPr>
      <w:r w:rsidRPr="00F15D4A">
        <w:rPr>
          <w:rFonts w:hAnsi="標楷體" w:hint="eastAsia"/>
          <w:b/>
        </w:rPr>
        <w:t>最高行政法院受理本件法官迴避聲請案，並未另組</w:t>
      </w:r>
      <w:r w:rsidR="003518A0" w:rsidRPr="00F15D4A">
        <w:rPr>
          <w:rFonts w:hAnsi="標楷體" w:hint="eastAsia"/>
          <w:b/>
        </w:rPr>
        <w:t>成</w:t>
      </w:r>
      <w:r w:rsidRPr="00F15D4A">
        <w:rPr>
          <w:rFonts w:hAnsi="標楷體" w:hint="eastAsia"/>
          <w:b/>
        </w:rPr>
        <w:t>合議庭</w:t>
      </w:r>
      <w:r w:rsidR="003518A0" w:rsidRPr="00F15D4A">
        <w:rPr>
          <w:rFonts w:hAnsi="標楷體" w:hint="eastAsia"/>
          <w:b/>
        </w:rPr>
        <w:t>為准駁</w:t>
      </w:r>
      <w:r w:rsidRPr="00F15D4A">
        <w:rPr>
          <w:rFonts w:hAnsi="標楷體" w:hint="eastAsia"/>
          <w:b/>
        </w:rPr>
        <w:t>裁定，而係交由該更審上訴案之承審法庭</w:t>
      </w:r>
      <w:proofErr w:type="gramStart"/>
      <w:r w:rsidRPr="00F15D4A">
        <w:rPr>
          <w:rFonts w:hAnsi="標楷體" w:hint="eastAsia"/>
          <w:b/>
        </w:rPr>
        <w:t>逕</w:t>
      </w:r>
      <w:proofErr w:type="gramEnd"/>
      <w:r w:rsidRPr="00F15D4A">
        <w:rPr>
          <w:rFonts w:hAnsi="標楷體" w:hint="eastAsia"/>
          <w:b/>
        </w:rPr>
        <w:t>合併於本案上訴程序中審理，違反行政訴訟法第20條</w:t>
      </w:r>
      <w:proofErr w:type="gramStart"/>
      <w:r w:rsidRPr="00F15D4A">
        <w:rPr>
          <w:rFonts w:hAnsi="標楷體" w:hint="eastAsia"/>
          <w:b/>
        </w:rPr>
        <w:t>準</w:t>
      </w:r>
      <w:proofErr w:type="gramEnd"/>
      <w:r w:rsidRPr="00F15D4A">
        <w:rPr>
          <w:rFonts w:hAnsi="標楷體" w:hint="eastAsia"/>
          <w:b/>
        </w:rPr>
        <w:t>用民事訴訟法第35條</w:t>
      </w:r>
      <w:r w:rsidR="002F6663" w:rsidRPr="00F15D4A">
        <w:rPr>
          <w:rFonts w:hAnsi="標楷體" w:hint="eastAsia"/>
          <w:b/>
        </w:rPr>
        <w:t>、</w:t>
      </w:r>
      <w:r w:rsidRPr="00F15D4A">
        <w:rPr>
          <w:rFonts w:hAnsi="標楷體" w:hint="eastAsia"/>
          <w:b/>
        </w:rPr>
        <w:t>第36</w:t>
      </w:r>
      <w:r w:rsidR="003518A0" w:rsidRPr="00F15D4A">
        <w:rPr>
          <w:rFonts w:hAnsi="標楷體" w:hint="eastAsia"/>
          <w:b/>
        </w:rPr>
        <w:t>條等</w:t>
      </w:r>
      <w:r w:rsidRPr="00F15D4A">
        <w:rPr>
          <w:rFonts w:hAnsi="標楷體" w:hint="eastAsia"/>
          <w:b/>
        </w:rPr>
        <w:t>規定</w:t>
      </w:r>
      <w:r w:rsidR="002F6663" w:rsidRPr="000711AD">
        <w:rPr>
          <w:rFonts w:hAnsi="標楷體" w:hint="eastAsia"/>
          <w:b/>
        </w:rPr>
        <w:t>；</w:t>
      </w:r>
      <w:r w:rsidR="003518A0" w:rsidRPr="000711AD">
        <w:rPr>
          <w:rFonts w:hAnsi="標楷體" w:hint="eastAsia"/>
          <w:b/>
        </w:rPr>
        <w:t>另</w:t>
      </w:r>
      <w:r w:rsidR="00E93C12" w:rsidRPr="000711AD">
        <w:rPr>
          <w:rFonts w:hAnsi="標楷體" w:hint="eastAsia"/>
          <w:b/>
        </w:rPr>
        <w:t>本案</w:t>
      </w:r>
      <w:r w:rsidR="00E93C12">
        <w:rPr>
          <w:rFonts w:hAnsi="標楷體" w:hint="eastAsia"/>
          <w:b/>
        </w:rPr>
        <w:t>之</w:t>
      </w:r>
      <w:r w:rsidR="00E93C12" w:rsidRPr="000711AD">
        <w:rPr>
          <w:rFonts w:hAnsi="標楷體" w:hint="eastAsia"/>
          <w:b/>
        </w:rPr>
        <w:t>訴訟程序未先行停止</w:t>
      </w:r>
      <w:r w:rsidR="00E93C12">
        <w:rPr>
          <w:rFonts w:hAnsi="標楷體" w:hint="eastAsia"/>
          <w:b/>
        </w:rPr>
        <w:t>，卻未於</w:t>
      </w:r>
      <w:r w:rsidR="00E93C12" w:rsidRPr="000711AD">
        <w:rPr>
          <w:rFonts w:hAnsi="標楷體" w:hint="eastAsia"/>
          <w:b/>
        </w:rPr>
        <w:t>裁判理由中敘明</w:t>
      </w:r>
      <w:r w:rsidR="00E93C12">
        <w:rPr>
          <w:rFonts w:hAnsi="標楷體" w:hint="eastAsia"/>
          <w:b/>
        </w:rPr>
        <w:t>其</w:t>
      </w:r>
      <w:r w:rsidR="00E93C12" w:rsidRPr="000711AD">
        <w:rPr>
          <w:rFonts w:hAnsi="標楷體" w:hint="eastAsia"/>
          <w:b/>
        </w:rPr>
        <w:t>依行政訴訟法第20條</w:t>
      </w:r>
      <w:proofErr w:type="gramStart"/>
      <w:r w:rsidR="00E93C12" w:rsidRPr="000711AD">
        <w:rPr>
          <w:rFonts w:hAnsi="標楷體" w:hint="eastAsia"/>
          <w:b/>
        </w:rPr>
        <w:t>準</w:t>
      </w:r>
      <w:proofErr w:type="gramEnd"/>
      <w:r w:rsidR="00E93C12" w:rsidRPr="000711AD">
        <w:rPr>
          <w:rFonts w:hAnsi="標楷體" w:hint="eastAsia"/>
          <w:b/>
        </w:rPr>
        <w:t>用民事訴訟法第37條第1項但書</w:t>
      </w:r>
      <w:r w:rsidR="00E93C12">
        <w:rPr>
          <w:rFonts w:hAnsi="標楷體" w:hint="eastAsia"/>
          <w:b/>
        </w:rPr>
        <w:t>規定得不停止訴訟之理由</w:t>
      </w:r>
      <w:r w:rsidRPr="000711AD">
        <w:rPr>
          <w:rFonts w:hAnsi="標楷體" w:hint="eastAsia"/>
          <w:b/>
        </w:rPr>
        <w:t>，</w:t>
      </w:r>
      <w:proofErr w:type="gramStart"/>
      <w:r w:rsidR="003518A0" w:rsidRPr="000711AD">
        <w:rPr>
          <w:rFonts w:hAnsi="標楷體" w:hint="eastAsia"/>
          <w:b/>
        </w:rPr>
        <w:t>亦有未洽</w:t>
      </w:r>
      <w:proofErr w:type="gramEnd"/>
      <w:r w:rsidR="003518A0" w:rsidRPr="00F15D4A">
        <w:rPr>
          <w:rFonts w:hAnsi="標楷體" w:hint="eastAsia"/>
          <w:b/>
        </w:rPr>
        <w:t>；</w:t>
      </w:r>
      <w:r w:rsidR="00A7159F" w:rsidRPr="00F15D4A">
        <w:rPr>
          <w:rFonts w:hAnsi="標楷體" w:hint="eastAsia"/>
          <w:b/>
        </w:rPr>
        <w:t>該院</w:t>
      </w:r>
      <w:proofErr w:type="gramStart"/>
      <w:r w:rsidR="002F6663" w:rsidRPr="00F15D4A">
        <w:rPr>
          <w:rFonts w:hAnsi="標楷體" w:hint="eastAsia"/>
          <w:b/>
        </w:rPr>
        <w:t>嗣</w:t>
      </w:r>
      <w:proofErr w:type="gramEnd"/>
      <w:r w:rsidR="002F6663" w:rsidRPr="00F15D4A">
        <w:rPr>
          <w:rFonts w:hAnsi="標楷體" w:hint="eastAsia"/>
          <w:b/>
        </w:rPr>
        <w:t>雖已</w:t>
      </w:r>
      <w:proofErr w:type="gramStart"/>
      <w:r w:rsidR="002F6663" w:rsidRPr="00F15D4A">
        <w:rPr>
          <w:rFonts w:hAnsi="標楷體" w:hint="eastAsia"/>
          <w:b/>
        </w:rPr>
        <w:t>研</w:t>
      </w:r>
      <w:proofErr w:type="gramEnd"/>
      <w:r w:rsidR="002F6663" w:rsidRPr="00F15D4A">
        <w:rPr>
          <w:rFonts w:hAnsi="標楷體" w:hint="eastAsia"/>
          <w:b/>
        </w:rPr>
        <w:t>提</w:t>
      </w:r>
      <w:r w:rsidR="00A7159F" w:rsidRPr="00F15D4A">
        <w:rPr>
          <w:rFonts w:hAnsi="標楷體" w:hint="eastAsia"/>
          <w:b/>
        </w:rPr>
        <w:t>檢討</w:t>
      </w:r>
      <w:r w:rsidR="002F6663" w:rsidRPr="00F15D4A">
        <w:rPr>
          <w:rFonts w:hAnsi="標楷體" w:hint="eastAsia"/>
          <w:b/>
        </w:rPr>
        <w:t>相關</w:t>
      </w:r>
      <w:r w:rsidR="00A7159F" w:rsidRPr="00F15D4A">
        <w:rPr>
          <w:rFonts w:hAnsi="標楷體" w:hint="eastAsia"/>
          <w:b/>
        </w:rPr>
        <w:t>改善措施</w:t>
      </w:r>
      <w:r w:rsidR="002F6663" w:rsidRPr="00F15D4A">
        <w:rPr>
          <w:rFonts w:hAnsi="標楷體" w:hint="eastAsia"/>
          <w:b/>
        </w:rPr>
        <w:t>，惟該院處</w:t>
      </w:r>
      <w:proofErr w:type="gramStart"/>
      <w:r w:rsidR="002F6663" w:rsidRPr="00F15D4A">
        <w:rPr>
          <w:rFonts w:hAnsi="標楷體" w:hint="eastAsia"/>
          <w:b/>
        </w:rPr>
        <w:t>務</w:t>
      </w:r>
      <w:proofErr w:type="gramEnd"/>
      <w:r w:rsidR="002F6663" w:rsidRPr="00F15D4A">
        <w:rPr>
          <w:rFonts w:hAnsi="標楷體" w:hint="eastAsia"/>
          <w:b/>
        </w:rPr>
        <w:t>規程第</w:t>
      </w:r>
      <w:r w:rsidR="002F6663" w:rsidRPr="00F15D4A">
        <w:rPr>
          <w:rFonts w:hAnsi="標楷體"/>
          <w:b/>
        </w:rPr>
        <w:t>57</w:t>
      </w:r>
      <w:r w:rsidR="002F6663" w:rsidRPr="00F15D4A">
        <w:rPr>
          <w:rFonts w:hAnsi="標楷體" w:hint="eastAsia"/>
          <w:b/>
        </w:rPr>
        <w:t>條並未配合修正，恐將造成各規範內容不一致之情。以上各</w:t>
      </w:r>
      <w:r w:rsidR="002F6663" w:rsidRPr="00F15D4A">
        <w:rPr>
          <w:rFonts w:hAnsi="標楷體" w:hint="eastAsia"/>
          <w:b/>
        </w:rPr>
        <w:lastRenderedPageBreak/>
        <w:t>節，</w:t>
      </w:r>
      <w:proofErr w:type="gramStart"/>
      <w:r w:rsidR="002F6663" w:rsidRPr="00F15D4A">
        <w:rPr>
          <w:rFonts w:hAnsi="標楷體" w:hint="eastAsia"/>
          <w:b/>
        </w:rPr>
        <w:t>均允應</w:t>
      </w:r>
      <w:proofErr w:type="gramEnd"/>
      <w:r w:rsidR="002F6663" w:rsidRPr="00F15D4A">
        <w:rPr>
          <w:rFonts w:hAnsi="標楷體" w:hint="eastAsia"/>
          <w:b/>
        </w:rPr>
        <w:t>確實檢討改善：</w:t>
      </w:r>
    </w:p>
    <w:p w:rsidR="00931981" w:rsidRDefault="007B47D2" w:rsidP="00564C18">
      <w:pPr>
        <w:pStyle w:val="3"/>
        <w:rPr>
          <w:szCs w:val="32"/>
        </w:rPr>
      </w:pPr>
      <w:r w:rsidRPr="007B47D2">
        <w:rPr>
          <w:rFonts w:hint="eastAsia"/>
          <w:szCs w:val="32"/>
        </w:rPr>
        <w:t>按「</w:t>
      </w:r>
      <w:proofErr w:type="gramStart"/>
      <w:r w:rsidRPr="007B47D2">
        <w:rPr>
          <w:rFonts w:hint="eastAsia"/>
          <w:szCs w:val="32"/>
        </w:rPr>
        <w:t>法官被聲請</w:t>
      </w:r>
      <w:proofErr w:type="gramEnd"/>
      <w:r w:rsidRPr="007B47D2">
        <w:rPr>
          <w:rFonts w:hint="eastAsia"/>
          <w:szCs w:val="32"/>
        </w:rPr>
        <w:t>迴避者，在該聲請事件終結前，應停止訴訟程序。但其</w:t>
      </w:r>
      <w:proofErr w:type="gramStart"/>
      <w:r w:rsidRPr="007B47D2">
        <w:rPr>
          <w:rFonts w:hint="eastAsia"/>
          <w:szCs w:val="32"/>
        </w:rPr>
        <w:t>聲請因違背</w:t>
      </w:r>
      <w:proofErr w:type="gramEnd"/>
      <w:r w:rsidRPr="007B47D2">
        <w:rPr>
          <w:rFonts w:hint="eastAsia"/>
          <w:szCs w:val="32"/>
        </w:rPr>
        <w:t>第33條第2項，或第34條第1項或第2項之規定，或顯係意圖延滯訴訟而為者，不在此限。」、「法官迴避之聲請，由該法官所屬法院以合議裁定之…</w:t>
      </w:r>
      <w:proofErr w:type="gramStart"/>
      <w:r w:rsidRPr="007B47D2">
        <w:rPr>
          <w:rFonts w:hint="eastAsia"/>
          <w:szCs w:val="32"/>
        </w:rPr>
        <w:t>…</w:t>
      </w:r>
      <w:proofErr w:type="gramEnd"/>
      <w:r w:rsidR="00E86E57">
        <w:rPr>
          <w:rFonts w:hint="eastAsia"/>
          <w:szCs w:val="32"/>
        </w:rPr>
        <w:t>前項裁定</w:t>
      </w:r>
      <w:r w:rsidR="00E86E57" w:rsidRPr="00E86E57">
        <w:rPr>
          <w:rFonts w:hint="eastAsia"/>
          <w:szCs w:val="32"/>
        </w:rPr>
        <w:t>，</w:t>
      </w:r>
      <w:proofErr w:type="gramStart"/>
      <w:r w:rsidR="00E86E57" w:rsidRPr="00E86E57">
        <w:rPr>
          <w:rFonts w:hint="eastAsia"/>
          <w:szCs w:val="32"/>
        </w:rPr>
        <w:t>被聲請</w:t>
      </w:r>
      <w:proofErr w:type="gramEnd"/>
      <w:r w:rsidR="00E86E57" w:rsidRPr="00E86E57">
        <w:rPr>
          <w:rFonts w:hint="eastAsia"/>
          <w:szCs w:val="32"/>
        </w:rPr>
        <w:t>迴避之法官，不得參與</w:t>
      </w:r>
      <w:r w:rsidR="00E86E57">
        <w:rPr>
          <w:rFonts w:hint="eastAsia"/>
          <w:szCs w:val="32"/>
        </w:rPr>
        <w:t>。</w:t>
      </w:r>
      <w:r w:rsidRPr="007B47D2">
        <w:rPr>
          <w:rFonts w:hint="eastAsia"/>
          <w:szCs w:val="32"/>
        </w:rPr>
        <w:t>」、「聲請法官迴避經裁定駁回者，得為抗告</w:t>
      </w:r>
      <w:r w:rsidR="00AA40D5" w:rsidRPr="007B47D2">
        <w:rPr>
          <w:rFonts w:hint="eastAsia"/>
          <w:szCs w:val="32"/>
        </w:rPr>
        <w:t>…</w:t>
      </w:r>
      <w:proofErr w:type="gramStart"/>
      <w:r w:rsidR="00AA40D5" w:rsidRPr="007B47D2">
        <w:rPr>
          <w:rFonts w:hint="eastAsia"/>
          <w:szCs w:val="32"/>
        </w:rPr>
        <w:t>…</w:t>
      </w:r>
      <w:proofErr w:type="gramEnd"/>
      <w:r w:rsidRPr="007B47D2">
        <w:rPr>
          <w:rFonts w:hint="eastAsia"/>
          <w:szCs w:val="32"/>
        </w:rPr>
        <w:t>」行政訴訟法第20條</w:t>
      </w:r>
      <w:proofErr w:type="gramStart"/>
      <w:r w:rsidRPr="007B47D2">
        <w:rPr>
          <w:rFonts w:hint="eastAsia"/>
          <w:szCs w:val="32"/>
        </w:rPr>
        <w:t>準</w:t>
      </w:r>
      <w:proofErr w:type="gramEnd"/>
      <w:r w:rsidRPr="007B47D2">
        <w:rPr>
          <w:rFonts w:hint="eastAsia"/>
          <w:szCs w:val="32"/>
        </w:rPr>
        <w:t>用民事訴訟法第37條第1項、第35條第1</w:t>
      </w:r>
      <w:r w:rsidR="00E86E57">
        <w:rPr>
          <w:rFonts w:hint="eastAsia"/>
          <w:szCs w:val="32"/>
        </w:rPr>
        <w:t>、2</w:t>
      </w:r>
      <w:r w:rsidRPr="007B47D2">
        <w:rPr>
          <w:rFonts w:hint="eastAsia"/>
          <w:szCs w:val="32"/>
        </w:rPr>
        <w:t>項及第36條分別定有明文。</w:t>
      </w:r>
    </w:p>
    <w:p w:rsidR="0044425A" w:rsidRPr="002A0F5D" w:rsidRDefault="007B47D2" w:rsidP="00564C18">
      <w:pPr>
        <w:pStyle w:val="3"/>
        <w:rPr>
          <w:szCs w:val="32"/>
        </w:rPr>
      </w:pPr>
      <w:r>
        <w:rPr>
          <w:rFonts w:hint="eastAsia"/>
          <w:szCs w:val="32"/>
        </w:rPr>
        <w:t>查</w:t>
      </w:r>
      <w:r w:rsidR="00313DA7">
        <w:rPr>
          <w:rFonts w:hint="eastAsia"/>
          <w:szCs w:val="32"/>
        </w:rPr>
        <w:t>本案陳訴人於</w:t>
      </w:r>
      <w:proofErr w:type="gramStart"/>
      <w:r w:rsidR="00313DA7">
        <w:rPr>
          <w:rFonts w:hint="eastAsia"/>
          <w:szCs w:val="32"/>
        </w:rPr>
        <w:t>臺</w:t>
      </w:r>
      <w:proofErr w:type="gramEnd"/>
      <w:r w:rsidR="00313DA7">
        <w:rPr>
          <w:rFonts w:hint="eastAsia"/>
          <w:szCs w:val="32"/>
        </w:rPr>
        <w:t>北高等行政法院</w:t>
      </w:r>
      <w:proofErr w:type="gramStart"/>
      <w:r w:rsidR="00313DA7" w:rsidRPr="00247510">
        <w:rPr>
          <w:rFonts w:hint="eastAsia"/>
          <w:szCs w:val="32"/>
        </w:rPr>
        <w:t>102</w:t>
      </w:r>
      <w:proofErr w:type="gramEnd"/>
      <w:r w:rsidR="00313DA7" w:rsidRPr="00247510">
        <w:rPr>
          <w:rFonts w:hint="eastAsia"/>
          <w:szCs w:val="32"/>
        </w:rPr>
        <w:t>年度訴更一字第122號</w:t>
      </w:r>
      <w:r w:rsidR="00313DA7">
        <w:rPr>
          <w:rFonts w:hint="eastAsia"/>
          <w:szCs w:val="32"/>
        </w:rPr>
        <w:t>更審</w:t>
      </w:r>
      <w:r w:rsidR="00313DA7" w:rsidRPr="00247510">
        <w:rPr>
          <w:rFonts w:hint="eastAsia"/>
          <w:szCs w:val="32"/>
        </w:rPr>
        <w:t>判決</w:t>
      </w:r>
      <w:r w:rsidR="00313DA7">
        <w:rPr>
          <w:rFonts w:hint="eastAsia"/>
          <w:szCs w:val="32"/>
        </w:rPr>
        <w:t>後，</w:t>
      </w:r>
      <w:r w:rsidR="002C6419">
        <w:rPr>
          <w:rFonts w:hint="eastAsia"/>
        </w:rPr>
        <w:t>復上訴至</w:t>
      </w:r>
      <w:r>
        <w:rPr>
          <w:rFonts w:hint="eastAsia"/>
          <w:szCs w:val="32"/>
        </w:rPr>
        <w:t>最高行政法院</w:t>
      </w:r>
      <w:r w:rsidR="00313DA7">
        <w:rPr>
          <w:rFonts w:hint="eastAsia"/>
          <w:szCs w:val="32"/>
        </w:rPr>
        <w:t>，</w:t>
      </w:r>
      <w:r w:rsidR="002C6419">
        <w:rPr>
          <w:rFonts w:hint="eastAsia"/>
          <w:szCs w:val="32"/>
        </w:rPr>
        <w:t>最高行政法院</w:t>
      </w:r>
      <w:r w:rsidR="00313DA7">
        <w:rPr>
          <w:rFonts w:hint="eastAsia"/>
          <w:szCs w:val="32"/>
        </w:rPr>
        <w:t>依</w:t>
      </w:r>
      <w:r w:rsidR="002C6419">
        <w:rPr>
          <w:rFonts w:hint="eastAsia"/>
          <w:szCs w:val="32"/>
        </w:rPr>
        <w:t>該院</w:t>
      </w:r>
      <w:proofErr w:type="gramStart"/>
      <w:r w:rsidR="002C6419" w:rsidRPr="00AB095F">
        <w:t>101</w:t>
      </w:r>
      <w:proofErr w:type="gramEnd"/>
      <w:r w:rsidR="002C6419" w:rsidRPr="00AB095F">
        <w:rPr>
          <w:rFonts w:hint="eastAsia"/>
        </w:rPr>
        <w:t>年度</w:t>
      </w:r>
      <w:r w:rsidR="002C6419" w:rsidRPr="00AB095F">
        <w:t>7</w:t>
      </w:r>
      <w:r w:rsidR="002C6419" w:rsidRPr="00AB095F">
        <w:rPr>
          <w:rFonts w:hint="eastAsia"/>
        </w:rPr>
        <w:t>月份第</w:t>
      </w:r>
      <w:r w:rsidR="002C6419" w:rsidRPr="00AB095F">
        <w:t>1</w:t>
      </w:r>
      <w:r w:rsidR="002C6419" w:rsidRPr="00AB095F">
        <w:rPr>
          <w:rFonts w:hint="eastAsia"/>
        </w:rPr>
        <w:t>次庭長法官聯席會議之</w:t>
      </w:r>
      <w:r w:rsidR="002C6419" w:rsidRPr="0005407D">
        <w:rPr>
          <w:rFonts w:hint="eastAsia"/>
        </w:rPr>
        <w:t>討論結果，</w:t>
      </w:r>
      <w:proofErr w:type="gramStart"/>
      <w:r w:rsidR="002F12A1">
        <w:rPr>
          <w:rFonts w:hint="eastAsia"/>
        </w:rPr>
        <w:t>逕</w:t>
      </w:r>
      <w:proofErr w:type="gramEnd"/>
      <w:r w:rsidR="002C6419" w:rsidRPr="0005407D">
        <w:rPr>
          <w:rFonts w:hint="eastAsia"/>
        </w:rPr>
        <w:t>分</w:t>
      </w:r>
      <w:proofErr w:type="gramStart"/>
      <w:r w:rsidR="002C6419" w:rsidRPr="0005407D">
        <w:rPr>
          <w:rFonts w:hint="eastAsia"/>
        </w:rPr>
        <w:t>由原庭</w:t>
      </w:r>
      <w:proofErr w:type="gramEnd"/>
      <w:r w:rsidR="002C6419" w:rsidRPr="0005407D">
        <w:t>(</w:t>
      </w:r>
      <w:r w:rsidR="002C6419" w:rsidRPr="0005407D">
        <w:rPr>
          <w:rFonts w:hint="eastAsia"/>
        </w:rPr>
        <w:t>原股</w:t>
      </w:r>
      <w:r w:rsidR="002C6419" w:rsidRPr="0005407D">
        <w:t>)</w:t>
      </w:r>
      <w:r w:rsidR="002C6419" w:rsidRPr="0005407D">
        <w:rPr>
          <w:rFonts w:hint="eastAsia"/>
        </w:rPr>
        <w:t>承辦</w:t>
      </w:r>
      <w:r w:rsidR="002F12A1">
        <w:rPr>
          <w:rFonts w:hint="eastAsia"/>
        </w:rPr>
        <w:t>，</w:t>
      </w:r>
      <w:r w:rsidR="00120972">
        <w:rPr>
          <w:rFonts w:hint="eastAsia"/>
        </w:rPr>
        <w:t>陳訴人乃</w:t>
      </w:r>
      <w:r w:rsidR="002C6419" w:rsidRPr="0005407D">
        <w:rPr>
          <w:rFonts w:hint="eastAsia"/>
        </w:rPr>
        <w:t>以</w:t>
      </w:r>
      <w:r w:rsidR="002C6419">
        <w:rPr>
          <w:rFonts w:hint="eastAsia"/>
        </w:rPr>
        <w:t>該庭法官</w:t>
      </w:r>
      <w:r w:rsidR="002C6419" w:rsidRPr="0005407D">
        <w:rPr>
          <w:rFonts w:hint="eastAsia"/>
        </w:rPr>
        <w:t>曾參與該訴訟事件之前審裁判及執行職務有偏頗之虞為</w:t>
      </w:r>
      <w:r w:rsidR="002C6419">
        <w:rPr>
          <w:rFonts w:hint="eastAsia"/>
        </w:rPr>
        <w:t>由</w:t>
      </w:r>
      <w:r w:rsidR="00AB095F">
        <w:rPr>
          <w:rFonts w:hint="eastAsia"/>
        </w:rPr>
        <w:t>，</w:t>
      </w:r>
      <w:r w:rsidR="002C6419">
        <w:rPr>
          <w:rFonts w:hint="eastAsia"/>
        </w:rPr>
        <w:t>聲</w:t>
      </w:r>
      <w:proofErr w:type="gramStart"/>
      <w:r w:rsidR="002C6419">
        <w:rPr>
          <w:rFonts w:hint="eastAsia"/>
        </w:rPr>
        <w:t>請原庭法官</w:t>
      </w:r>
      <w:proofErr w:type="gramEnd"/>
      <w:r w:rsidR="002C6419">
        <w:rPr>
          <w:rFonts w:hint="eastAsia"/>
        </w:rPr>
        <w:t>迴</w:t>
      </w:r>
      <w:r w:rsidR="00120972">
        <w:rPr>
          <w:rFonts w:hint="eastAsia"/>
        </w:rPr>
        <w:t>避；</w:t>
      </w:r>
      <w:proofErr w:type="gramStart"/>
      <w:r w:rsidR="00AB095F">
        <w:rPr>
          <w:rFonts w:hint="eastAsia"/>
        </w:rPr>
        <w:t>詎</w:t>
      </w:r>
      <w:proofErr w:type="gramEnd"/>
      <w:r w:rsidR="002C6419" w:rsidRPr="0005407D">
        <w:rPr>
          <w:rFonts w:hint="eastAsia"/>
        </w:rPr>
        <w:t>最高行政法院</w:t>
      </w:r>
      <w:r w:rsidR="00650092">
        <w:rPr>
          <w:rFonts w:hint="eastAsia"/>
        </w:rPr>
        <w:t>收受該迴避聲請狀後，並未依</w:t>
      </w:r>
      <w:r w:rsidR="002F12A1">
        <w:rPr>
          <w:rFonts w:hint="eastAsia"/>
        </w:rPr>
        <w:t>前揭</w:t>
      </w:r>
      <w:r w:rsidR="00AB095F">
        <w:rPr>
          <w:rFonts w:hint="eastAsia"/>
        </w:rPr>
        <w:t>法律明定之程序，</w:t>
      </w:r>
      <w:r w:rsidR="00AB095F" w:rsidRPr="002A0F5D">
        <w:rPr>
          <w:rFonts w:hint="eastAsia"/>
        </w:rPr>
        <w:t>另組織合議庭審理該迴避聲請案，</w:t>
      </w:r>
      <w:r w:rsidR="00DD40B8" w:rsidRPr="002A0F5D">
        <w:rPr>
          <w:rFonts w:hint="eastAsia"/>
        </w:rPr>
        <w:t>仍</w:t>
      </w:r>
      <w:r w:rsidR="00AB095F" w:rsidRPr="002A0F5D">
        <w:rPr>
          <w:rFonts w:hint="eastAsia"/>
        </w:rPr>
        <w:t>係交由該更審上訴案之承審法庭</w:t>
      </w:r>
      <w:proofErr w:type="gramStart"/>
      <w:r w:rsidR="00AB095F" w:rsidRPr="002A0F5D">
        <w:rPr>
          <w:rFonts w:hint="eastAsia"/>
        </w:rPr>
        <w:t>逕</w:t>
      </w:r>
      <w:proofErr w:type="gramEnd"/>
      <w:r w:rsidR="00AB095F" w:rsidRPr="002A0F5D">
        <w:rPr>
          <w:rFonts w:hint="eastAsia"/>
        </w:rPr>
        <w:t>合併於本案上訴程序中審理</w:t>
      </w:r>
      <w:r w:rsidR="00650092" w:rsidRPr="002A0F5D">
        <w:rPr>
          <w:rFonts w:hint="eastAsia"/>
        </w:rPr>
        <w:t>而未停止訴訟程序；</w:t>
      </w:r>
      <w:r w:rsidR="0044425A" w:rsidRPr="002A0F5D">
        <w:rPr>
          <w:rFonts w:hint="eastAsia"/>
        </w:rPr>
        <w:t>且</w:t>
      </w:r>
      <w:r w:rsidR="001743FA">
        <w:rPr>
          <w:rFonts w:hint="eastAsia"/>
        </w:rPr>
        <w:t>並</w:t>
      </w:r>
      <w:r w:rsidR="0044425A" w:rsidRPr="002A0F5D">
        <w:rPr>
          <w:rFonts w:hint="eastAsia"/>
        </w:rPr>
        <w:t>未以</w:t>
      </w:r>
      <w:r w:rsidR="00120972">
        <w:rPr>
          <w:rFonts w:hAnsi="標楷體" w:hint="eastAsia"/>
        </w:rPr>
        <w:t>「</w:t>
      </w:r>
      <w:r w:rsidR="0044425A" w:rsidRPr="002A0F5D">
        <w:rPr>
          <w:rFonts w:hint="eastAsia"/>
        </w:rPr>
        <w:t>裁定</w:t>
      </w:r>
      <w:r w:rsidR="00120972">
        <w:rPr>
          <w:rFonts w:hAnsi="標楷體" w:hint="eastAsia"/>
        </w:rPr>
        <w:t>」</w:t>
      </w:r>
      <w:r w:rsidR="0044425A" w:rsidRPr="002A0F5D">
        <w:rPr>
          <w:rFonts w:hint="eastAsia"/>
        </w:rPr>
        <w:t>之合法程序，駁回陳訴人所提出之聲請，僅直接於</w:t>
      </w:r>
      <w:proofErr w:type="gramStart"/>
      <w:r w:rsidR="0044425A" w:rsidRPr="002A0F5D">
        <w:t>104</w:t>
      </w:r>
      <w:proofErr w:type="gramEnd"/>
      <w:r w:rsidR="0044425A" w:rsidRPr="002A0F5D">
        <w:rPr>
          <w:rFonts w:hint="eastAsia"/>
        </w:rPr>
        <w:t>年度判字第</w:t>
      </w:r>
      <w:r w:rsidR="0044425A" w:rsidRPr="002A0F5D">
        <w:t>198</w:t>
      </w:r>
      <w:r w:rsidR="0044425A" w:rsidRPr="002A0F5D">
        <w:rPr>
          <w:rFonts w:hint="eastAsia"/>
        </w:rPr>
        <w:t>號</w:t>
      </w:r>
      <w:r w:rsidR="002F12A1">
        <w:rPr>
          <w:rFonts w:hint="eastAsia"/>
        </w:rPr>
        <w:t>之本案</w:t>
      </w:r>
      <w:r w:rsidR="0044425A" w:rsidRPr="002A0F5D">
        <w:rPr>
          <w:rFonts w:hint="eastAsia"/>
        </w:rPr>
        <w:t>判決</w:t>
      </w:r>
      <w:r w:rsidR="004F24F8" w:rsidRPr="002A0F5D">
        <w:rPr>
          <w:rFonts w:hint="eastAsia"/>
        </w:rPr>
        <w:t>理由</w:t>
      </w:r>
      <w:r w:rsidR="002A0F5D" w:rsidRPr="002A0F5D">
        <w:rPr>
          <w:rFonts w:hint="eastAsia"/>
        </w:rPr>
        <w:t>七(六)</w:t>
      </w:r>
      <w:r w:rsidR="0044425A" w:rsidRPr="002A0F5D">
        <w:rPr>
          <w:rFonts w:hint="eastAsia"/>
        </w:rPr>
        <w:t>中敘明不</w:t>
      </w:r>
      <w:proofErr w:type="gramStart"/>
      <w:r w:rsidR="0044425A" w:rsidRPr="002A0F5D">
        <w:rPr>
          <w:rFonts w:hint="eastAsia"/>
        </w:rPr>
        <w:t>採</w:t>
      </w:r>
      <w:proofErr w:type="gramEnd"/>
      <w:r w:rsidR="0044425A" w:rsidRPr="002A0F5D">
        <w:rPr>
          <w:rFonts w:hint="eastAsia"/>
        </w:rPr>
        <w:t>之</w:t>
      </w:r>
      <w:r w:rsidR="00816B8A" w:rsidRPr="002A0F5D">
        <w:rPr>
          <w:rFonts w:hint="eastAsia"/>
        </w:rPr>
        <w:t>理由</w:t>
      </w:r>
      <w:r w:rsidR="00120972">
        <w:rPr>
          <w:rFonts w:hint="eastAsia"/>
        </w:rPr>
        <w:t>，</w:t>
      </w:r>
      <w:r w:rsidR="002A0F5D">
        <w:rPr>
          <w:rFonts w:hint="eastAsia"/>
        </w:rPr>
        <w:t>最高行政法院</w:t>
      </w:r>
      <w:r w:rsidR="002F12A1">
        <w:rPr>
          <w:rFonts w:hint="eastAsia"/>
        </w:rPr>
        <w:t>上開之</w:t>
      </w:r>
      <w:r w:rsidR="002A0F5D">
        <w:rPr>
          <w:rFonts w:hint="eastAsia"/>
        </w:rPr>
        <w:t>處理程序，</w:t>
      </w:r>
      <w:proofErr w:type="gramStart"/>
      <w:r w:rsidR="002A0F5D">
        <w:rPr>
          <w:rFonts w:hint="eastAsia"/>
        </w:rPr>
        <w:t>顯非適法</w:t>
      </w:r>
      <w:proofErr w:type="gramEnd"/>
      <w:r w:rsidR="002A0F5D">
        <w:rPr>
          <w:rFonts w:hint="eastAsia"/>
        </w:rPr>
        <w:t>。</w:t>
      </w:r>
    </w:p>
    <w:p w:rsidR="00F20D99" w:rsidRPr="00F20D99" w:rsidRDefault="002D5F3E" w:rsidP="00564C18">
      <w:pPr>
        <w:pStyle w:val="3"/>
        <w:rPr>
          <w:szCs w:val="32"/>
        </w:rPr>
      </w:pPr>
      <w:r>
        <w:rPr>
          <w:rFonts w:hint="eastAsia"/>
        </w:rPr>
        <w:t>就此，</w:t>
      </w:r>
      <w:r w:rsidR="00AB514A">
        <w:rPr>
          <w:rFonts w:hint="eastAsia"/>
        </w:rPr>
        <w:t>司法</w:t>
      </w:r>
      <w:proofErr w:type="gramStart"/>
      <w:r w:rsidR="00AB514A">
        <w:rPr>
          <w:rFonts w:hint="eastAsia"/>
        </w:rPr>
        <w:t>院行懲廳</w:t>
      </w:r>
      <w:proofErr w:type="gramEnd"/>
      <w:r w:rsidR="00AB514A">
        <w:rPr>
          <w:rFonts w:hint="eastAsia"/>
        </w:rPr>
        <w:t>之說明略</w:t>
      </w:r>
      <w:proofErr w:type="gramStart"/>
      <w:r w:rsidR="00AB514A">
        <w:rPr>
          <w:rFonts w:hint="eastAsia"/>
        </w:rPr>
        <w:t>以</w:t>
      </w:r>
      <w:proofErr w:type="gramEnd"/>
      <w:r w:rsidR="00AB514A">
        <w:rPr>
          <w:rFonts w:hint="eastAsia"/>
        </w:rPr>
        <w:t>：</w:t>
      </w:r>
    </w:p>
    <w:p w:rsidR="00F20D99" w:rsidRPr="00F20D99" w:rsidRDefault="002D5F3E" w:rsidP="00F20D99">
      <w:pPr>
        <w:pStyle w:val="4"/>
        <w:rPr>
          <w:szCs w:val="32"/>
        </w:rPr>
      </w:pPr>
      <w:r>
        <w:rPr>
          <w:rFonts w:hint="eastAsia"/>
        </w:rPr>
        <w:t>最高行政法院收受該迴避聲請案</w:t>
      </w:r>
      <w:r w:rsidR="0091418A">
        <w:rPr>
          <w:rFonts w:hint="eastAsia"/>
        </w:rPr>
        <w:t>而</w:t>
      </w:r>
      <w:proofErr w:type="gramStart"/>
      <w:r w:rsidR="005F6BCA">
        <w:rPr>
          <w:rFonts w:hint="eastAsia"/>
        </w:rPr>
        <w:t>分</w:t>
      </w:r>
      <w:r w:rsidR="005F6BCA" w:rsidRPr="0005407D">
        <w:rPr>
          <w:rFonts w:hint="eastAsia"/>
        </w:rPr>
        <w:t>送原庭</w:t>
      </w:r>
      <w:proofErr w:type="gramEnd"/>
      <w:r w:rsidR="005F6BCA" w:rsidRPr="0005407D">
        <w:t>(</w:t>
      </w:r>
      <w:r w:rsidR="005F6BCA" w:rsidRPr="0005407D">
        <w:rPr>
          <w:rFonts w:hint="eastAsia"/>
        </w:rPr>
        <w:t>原股</w:t>
      </w:r>
      <w:r w:rsidR="005F6BCA" w:rsidRPr="0005407D">
        <w:t>)</w:t>
      </w:r>
      <w:r w:rsidR="005F6BCA" w:rsidRPr="0005407D">
        <w:rPr>
          <w:rFonts w:hint="eastAsia"/>
        </w:rPr>
        <w:t>處理</w:t>
      </w:r>
      <w:r w:rsidR="005F6BCA">
        <w:rPr>
          <w:rFonts w:hint="eastAsia"/>
        </w:rPr>
        <w:t>，係</w:t>
      </w:r>
      <w:r w:rsidR="002C6419" w:rsidRPr="0005407D">
        <w:rPr>
          <w:rFonts w:hint="eastAsia"/>
        </w:rPr>
        <w:t>依</w:t>
      </w:r>
      <w:r w:rsidR="00F20D99">
        <w:rPr>
          <w:rFonts w:hint="eastAsia"/>
        </w:rPr>
        <w:t>據</w:t>
      </w:r>
      <w:r w:rsidR="002C6419" w:rsidRPr="002D5F3E">
        <w:rPr>
          <w:rFonts w:hint="eastAsia"/>
        </w:rPr>
        <w:t>該院處</w:t>
      </w:r>
      <w:proofErr w:type="gramStart"/>
      <w:r w:rsidR="002C6419" w:rsidRPr="002D5F3E">
        <w:rPr>
          <w:rFonts w:hint="eastAsia"/>
        </w:rPr>
        <w:t>務</w:t>
      </w:r>
      <w:proofErr w:type="gramEnd"/>
      <w:r w:rsidR="002C6419" w:rsidRPr="002D5F3E">
        <w:rPr>
          <w:rFonts w:hint="eastAsia"/>
        </w:rPr>
        <w:t>規程第</w:t>
      </w:r>
      <w:r w:rsidR="002C6419" w:rsidRPr="002D5F3E">
        <w:t>57</w:t>
      </w:r>
      <w:r w:rsidR="002C6419" w:rsidRPr="002D5F3E">
        <w:rPr>
          <w:rFonts w:hint="eastAsia"/>
        </w:rPr>
        <w:t>條第</w:t>
      </w:r>
      <w:r w:rsidR="002C6419" w:rsidRPr="002D5F3E">
        <w:t>2</w:t>
      </w:r>
      <w:r w:rsidR="002C6419" w:rsidRPr="002D5F3E">
        <w:rPr>
          <w:rFonts w:hint="eastAsia"/>
        </w:rPr>
        <w:t>項</w:t>
      </w:r>
      <w:r w:rsidR="002C6419" w:rsidRPr="0080011E">
        <w:rPr>
          <w:rStyle w:val="aff0"/>
        </w:rPr>
        <w:footnoteReference w:id="7"/>
      </w:r>
      <w:r w:rsidR="00900706">
        <w:rPr>
          <w:rFonts w:hint="eastAsia"/>
        </w:rPr>
        <w:t>，及</w:t>
      </w:r>
      <w:r w:rsidR="00900706">
        <w:rPr>
          <w:rFonts w:hAnsi="標楷體" w:hint="eastAsia"/>
        </w:rPr>
        <w:lastRenderedPageBreak/>
        <w:t>該</w:t>
      </w:r>
      <w:r w:rsidR="00900706" w:rsidRPr="003D5BBB">
        <w:rPr>
          <w:rFonts w:hAnsi="標楷體" w:hint="eastAsia"/>
        </w:rPr>
        <w:t>院訴訟事件編號計數分</w:t>
      </w:r>
      <w:proofErr w:type="gramStart"/>
      <w:r w:rsidR="00900706" w:rsidRPr="003D5BBB">
        <w:rPr>
          <w:rFonts w:hAnsi="標楷體" w:hint="eastAsia"/>
        </w:rPr>
        <w:t>案報結要點</w:t>
      </w:r>
      <w:proofErr w:type="gramEnd"/>
      <w:r w:rsidR="00900706" w:rsidRPr="003D5BBB">
        <w:rPr>
          <w:rFonts w:hAnsi="標楷體" w:hint="eastAsia"/>
        </w:rPr>
        <w:t>第12點</w:t>
      </w:r>
      <w:r w:rsidR="00900706" w:rsidRPr="003D5BBB">
        <w:rPr>
          <w:rStyle w:val="aff0"/>
          <w:rFonts w:hAnsi="標楷體"/>
        </w:rPr>
        <w:footnoteReference w:id="8"/>
      </w:r>
      <w:r w:rsidR="00900706">
        <w:rPr>
          <w:rFonts w:hint="eastAsia"/>
        </w:rPr>
        <w:t>等</w:t>
      </w:r>
      <w:r w:rsidR="002C6419" w:rsidRPr="0005407D">
        <w:rPr>
          <w:rFonts w:hint="eastAsia"/>
        </w:rPr>
        <w:t>規定</w:t>
      </w:r>
      <w:r w:rsidR="005F6BCA">
        <w:rPr>
          <w:rFonts w:hint="eastAsia"/>
        </w:rPr>
        <w:t>辦理</w:t>
      </w:r>
      <w:r w:rsidR="002C6419" w:rsidRPr="0005407D">
        <w:rPr>
          <w:rFonts w:hint="eastAsia"/>
        </w:rPr>
        <w:t>。</w:t>
      </w:r>
      <w:r w:rsidR="00CB02C4" w:rsidRPr="00E86E57">
        <w:rPr>
          <w:rFonts w:hint="eastAsia"/>
        </w:rPr>
        <w:t>又</w:t>
      </w:r>
      <w:r w:rsidRPr="00E86E57">
        <w:rPr>
          <w:rFonts w:hint="eastAsia"/>
        </w:rPr>
        <w:t>依行政訴訟法第20條</w:t>
      </w:r>
      <w:proofErr w:type="gramStart"/>
      <w:r w:rsidRPr="00E86E57">
        <w:rPr>
          <w:rFonts w:hint="eastAsia"/>
        </w:rPr>
        <w:t>準</w:t>
      </w:r>
      <w:proofErr w:type="gramEnd"/>
      <w:r w:rsidRPr="00E86E57">
        <w:rPr>
          <w:rFonts w:hint="eastAsia"/>
        </w:rPr>
        <w:t>用民事訴訟法第37條第1</w:t>
      </w:r>
      <w:r w:rsidR="0096773D">
        <w:rPr>
          <w:rFonts w:hint="eastAsia"/>
        </w:rPr>
        <w:t>項但書規定，並非一經聲請法官迴避，訴訟程序即行停止；</w:t>
      </w:r>
      <w:r w:rsidRPr="00E86E57">
        <w:rPr>
          <w:rFonts w:hint="eastAsia"/>
        </w:rPr>
        <w:t>本件並不符合法定迴</w:t>
      </w:r>
      <w:r w:rsidR="00E86E57" w:rsidRPr="00E86E57">
        <w:rPr>
          <w:rFonts w:hint="eastAsia"/>
        </w:rPr>
        <w:t>避原因，</w:t>
      </w:r>
      <w:r w:rsidRPr="00E86E57">
        <w:rPr>
          <w:rFonts w:hint="eastAsia"/>
        </w:rPr>
        <w:t>原承辦庭（股）</w:t>
      </w:r>
      <w:r w:rsidR="0096773D">
        <w:rPr>
          <w:rFonts w:hint="eastAsia"/>
        </w:rPr>
        <w:t>因而</w:t>
      </w:r>
      <w:r w:rsidRPr="00E86E57">
        <w:rPr>
          <w:rFonts w:hint="eastAsia"/>
        </w:rPr>
        <w:t>於本案判決理由中說明不合迴避要件而結案。</w:t>
      </w:r>
    </w:p>
    <w:p w:rsidR="00EF4654" w:rsidRPr="003D5BBB" w:rsidRDefault="00900706" w:rsidP="00F20D99">
      <w:pPr>
        <w:pStyle w:val="4"/>
        <w:rPr>
          <w:szCs w:val="32"/>
        </w:rPr>
      </w:pPr>
      <w:proofErr w:type="gramStart"/>
      <w:r>
        <w:rPr>
          <w:rFonts w:hint="eastAsia"/>
        </w:rPr>
        <w:t>惟</w:t>
      </w:r>
      <w:proofErr w:type="gramEnd"/>
      <w:r w:rsidR="004C3E1B">
        <w:rPr>
          <w:rFonts w:hint="eastAsia"/>
        </w:rPr>
        <w:t>鑒</w:t>
      </w:r>
      <w:r w:rsidR="004C3E1B" w:rsidRPr="003D5BBB">
        <w:rPr>
          <w:rFonts w:hint="eastAsia"/>
        </w:rPr>
        <w:t>於上述作業方式易致誤會，最高行政法院遂於104年4月份第2次</w:t>
      </w:r>
      <w:r w:rsidR="004C3E1B" w:rsidRPr="003D5BBB">
        <w:rPr>
          <w:rStyle w:val="aff0"/>
        </w:rPr>
        <w:footnoteReference w:id="9"/>
      </w:r>
      <w:r w:rsidR="004C3E1B" w:rsidRPr="003D5BBB">
        <w:rPr>
          <w:rFonts w:hint="eastAsia"/>
        </w:rPr>
        <w:t>及5月份</w:t>
      </w:r>
      <w:r w:rsidR="004C3E1B" w:rsidRPr="003D5BBB">
        <w:rPr>
          <w:rStyle w:val="aff0"/>
        </w:rPr>
        <w:footnoteReference w:id="10"/>
      </w:r>
      <w:r w:rsidR="004C3E1B" w:rsidRPr="003D5BBB">
        <w:rPr>
          <w:rFonts w:hint="eastAsia"/>
        </w:rPr>
        <w:t>庭長法官聯席會議決議，</w:t>
      </w:r>
      <w:proofErr w:type="gramStart"/>
      <w:r w:rsidR="004C3E1B" w:rsidRPr="003D5BBB">
        <w:rPr>
          <w:rFonts w:hint="eastAsia"/>
        </w:rPr>
        <w:t>是類聲請</w:t>
      </w:r>
      <w:proofErr w:type="gramEnd"/>
      <w:r w:rsidR="004C3E1B" w:rsidRPr="003D5BBB">
        <w:rPr>
          <w:rFonts w:hint="eastAsia"/>
        </w:rPr>
        <w:t>法官迴避狀，</w:t>
      </w:r>
      <w:proofErr w:type="gramStart"/>
      <w:r w:rsidR="004C3E1B" w:rsidRPr="003D5BBB">
        <w:rPr>
          <w:rFonts w:hint="eastAsia"/>
        </w:rPr>
        <w:t>收狀後</w:t>
      </w:r>
      <w:proofErr w:type="gramEnd"/>
      <w:r w:rsidR="004C3E1B" w:rsidRPr="003D5BBB">
        <w:rPr>
          <w:rFonts w:hint="eastAsia"/>
        </w:rPr>
        <w:t>即送審查科分案(由他庭裁定)，並影印聲請狀送原承辦</w:t>
      </w:r>
      <w:r w:rsidR="003D5BBB" w:rsidRPr="003D5BBB">
        <w:rPr>
          <w:rFonts w:hint="eastAsia"/>
        </w:rPr>
        <w:t>股參考</w:t>
      </w:r>
      <w:r>
        <w:rPr>
          <w:rFonts w:hint="eastAsia"/>
        </w:rPr>
        <w:t>，審酌是否停止本案訴訟程序</w:t>
      </w:r>
      <w:r w:rsidR="003D5BBB" w:rsidRPr="003D5BBB">
        <w:rPr>
          <w:rFonts w:hint="eastAsia"/>
        </w:rPr>
        <w:t>；</w:t>
      </w:r>
      <w:r w:rsidR="004C3E1B" w:rsidRPr="003D5BBB">
        <w:rPr>
          <w:rFonts w:hint="eastAsia"/>
        </w:rPr>
        <w:t>另</w:t>
      </w:r>
      <w:r w:rsidR="004C3E1B" w:rsidRPr="003D5BBB">
        <w:rPr>
          <w:rFonts w:hAnsi="標楷體" w:hint="eastAsia"/>
        </w:rPr>
        <w:t>並著手</w:t>
      </w:r>
      <w:proofErr w:type="gramStart"/>
      <w:r w:rsidR="004C3E1B" w:rsidRPr="003D5BBB">
        <w:rPr>
          <w:rFonts w:hAnsi="標楷體" w:hint="eastAsia"/>
        </w:rPr>
        <w:t>研</w:t>
      </w:r>
      <w:proofErr w:type="gramEnd"/>
      <w:r w:rsidR="004C3E1B" w:rsidRPr="003D5BBB">
        <w:rPr>
          <w:rFonts w:hAnsi="標楷體" w:hint="eastAsia"/>
        </w:rPr>
        <w:t>修</w:t>
      </w:r>
      <w:r>
        <w:rPr>
          <w:rFonts w:hAnsi="標楷體" w:hint="eastAsia"/>
        </w:rPr>
        <w:t>該</w:t>
      </w:r>
      <w:r w:rsidR="004C3E1B" w:rsidRPr="003D5BBB">
        <w:rPr>
          <w:rFonts w:hAnsi="標楷體" w:hint="eastAsia"/>
        </w:rPr>
        <w:t>院訴訟事件編號計數分</w:t>
      </w:r>
      <w:proofErr w:type="gramStart"/>
      <w:r w:rsidR="004C3E1B" w:rsidRPr="003D5BBB">
        <w:rPr>
          <w:rFonts w:hAnsi="標楷體" w:hint="eastAsia"/>
        </w:rPr>
        <w:t>案報結要點</w:t>
      </w:r>
      <w:proofErr w:type="gramEnd"/>
      <w:r w:rsidR="004C3E1B" w:rsidRPr="003D5BBB">
        <w:rPr>
          <w:rFonts w:hAnsi="標楷體" w:hint="eastAsia"/>
        </w:rPr>
        <w:t>第12點規定，草案內容為：「已分未結訴訟事件</w:t>
      </w:r>
      <w:proofErr w:type="gramStart"/>
      <w:r w:rsidR="004C3E1B" w:rsidRPr="003D5BBB">
        <w:rPr>
          <w:rFonts w:hAnsi="標楷體" w:hint="eastAsia"/>
        </w:rPr>
        <w:t>文狀之併</w:t>
      </w:r>
      <w:proofErr w:type="gramEnd"/>
      <w:r w:rsidR="004C3E1B" w:rsidRPr="003D5BBB">
        <w:rPr>
          <w:rFonts w:hAnsi="標楷體" w:hint="eastAsia"/>
        </w:rPr>
        <w:t>案，除聲請法官迴避</w:t>
      </w:r>
      <w:proofErr w:type="gramStart"/>
      <w:r w:rsidR="004C3E1B" w:rsidRPr="003D5BBB">
        <w:rPr>
          <w:rFonts w:hAnsi="標楷體" w:hint="eastAsia"/>
        </w:rPr>
        <w:t>逕</w:t>
      </w:r>
      <w:proofErr w:type="gramEnd"/>
      <w:r w:rsidR="004C3E1B" w:rsidRPr="003D5BBB">
        <w:rPr>
          <w:rFonts w:hAnsi="標楷體" w:hint="eastAsia"/>
        </w:rPr>
        <w:t>由審查科分案外，餘由文書科</w:t>
      </w:r>
      <w:proofErr w:type="gramStart"/>
      <w:r w:rsidR="004C3E1B" w:rsidRPr="003D5BBB">
        <w:rPr>
          <w:rFonts w:hAnsi="標楷體" w:hint="eastAsia"/>
        </w:rPr>
        <w:t>逕</w:t>
      </w:r>
      <w:proofErr w:type="gramEnd"/>
      <w:r w:rsidR="004C3E1B" w:rsidRPr="003D5BBB">
        <w:rPr>
          <w:rFonts w:hAnsi="標楷體" w:hint="eastAsia"/>
        </w:rPr>
        <w:t>送承辦書記官簽收辦理。如遇有非本股承辦之訴訟事件時，應即加附字條說明退還改</w:t>
      </w:r>
      <w:proofErr w:type="gramStart"/>
      <w:r w:rsidR="004C3E1B" w:rsidRPr="003D5BBB">
        <w:rPr>
          <w:rFonts w:hAnsi="標楷體" w:hint="eastAsia"/>
        </w:rPr>
        <w:t>併</w:t>
      </w:r>
      <w:proofErr w:type="gramEnd"/>
      <w:r w:rsidR="004C3E1B" w:rsidRPr="003D5BBB">
        <w:rPr>
          <w:rFonts w:hAnsi="標楷體" w:hint="eastAsia"/>
        </w:rPr>
        <w:t>。」以</w:t>
      </w:r>
      <w:proofErr w:type="gramStart"/>
      <w:r w:rsidR="004C3E1B" w:rsidRPr="003D5BBB">
        <w:rPr>
          <w:rFonts w:hAnsi="標楷體" w:hint="eastAsia"/>
        </w:rPr>
        <w:t>臻</w:t>
      </w:r>
      <w:proofErr w:type="gramEnd"/>
      <w:r w:rsidR="004C3E1B" w:rsidRPr="003D5BBB">
        <w:rPr>
          <w:rFonts w:hAnsi="標楷體" w:hint="eastAsia"/>
        </w:rPr>
        <w:t>明確。</w:t>
      </w:r>
    </w:p>
    <w:p w:rsidR="007B47D2" w:rsidRPr="007B47D2" w:rsidRDefault="00CB02C4" w:rsidP="00F20D99">
      <w:pPr>
        <w:pStyle w:val="4"/>
        <w:rPr>
          <w:szCs w:val="32"/>
        </w:rPr>
      </w:pPr>
      <w:r w:rsidRPr="00E86E57">
        <w:rPr>
          <w:rFonts w:hint="eastAsia"/>
        </w:rPr>
        <w:t>最高行政法院係終審法院，無論以判決或裁定作成駁回法官迴避聲請之意思表示，聲請人如認裁判有再審事由，得提起再審</w:t>
      </w:r>
      <w:proofErr w:type="gramStart"/>
      <w:r w:rsidRPr="00E86E57">
        <w:rPr>
          <w:rFonts w:hint="eastAsia"/>
        </w:rPr>
        <w:t>之訴或聲</w:t>
      </w:r>
      <w:proofErr w:type="gramEnd"/>
      <w:r w:rsidRPr="00E86E57">
        <w:rPr>
          <w:rFonts w:hint="eastAsia"/>
        </w:rPr>
        <w:t>請再審救濟</w:t>
      </w:r>
      <w:r w:rsidR="00595639">
        <w:rPr>
          <w:rFonts w:hint="eastAsia"/>
        </w:rPr>
        <w:t>，</w:t>
      </w:r>
      <w:r w:rsidRPr="00E86E57">
        <w:rPr>
          <w:rFonts w:hint="eastAsia"/>
        </w:rPr>
        <w:t>是本件陳訴</w:t>
      </w:r>
      <w:proofErr w:type="gramStart"/>
      <w:r w:rsidRPr="00E86E57">
        <w:rPr>
          <w:rFonts w:hint="eastAsia"/>
        </w:rPr>
        <w:t>人倘認</w:t>
      </w:r>
      <w:proofErr w:type="gramEnd"/>
      <w:r w:rsidRPr="00E86E57">
        <w:rPr>
          <w:rFonts w:hint="eastAsia"/>
        </w:rPr>
        <w:t>原裁判適用法規顯有錯</w:t>
      </w:r>
      <w:r w:rsidRPr="00E86E57">
        <w:rPr>
          <w:rFonts w:hint="eastAsia"/>
        </w:rPr>
        <w:lastRenderedPageBreak/>
        <w:t>誤，非不可依再審程序尋求救濟。查陳訴人於104年4月23日收受最高行政法院上開判決書，</w:t>
      </w:r>
      <w:proofErr w:type="gramStart"/>
      <w:r w:rsidRPr="00E86E57">
        <w:rPr>
          <w:rFonts w:hint="eastAsia"/>
        </w:rPr>
        <w:t>嗣</w:t>
      </w:r>
      <w:proofErr w:type="gramEnd"/>
      <w:r w:rsidRPr="00E86E57">
        <w:rPr>
          <w:rFonts w:hint="eastAsia"/>
        </w:rPr>
        <w:t>於104年5月5日向監察院陳訴，已指出該確定判決有不適用行政訴訟法第20條</w:t>
      </w:r>
      <w:proofErr w:type="gramStart"/>
      <w:r w:rsidRPr="00E86E57">
        <w:rPr>
          <w:rFonts w:hint="eastAsia"/>
        </w:rPr>
        <w:t>準</w:t>
      </w:r>
      <w:proofErr w:type="gramEnd"/>
      <w:r w:rsidRPr="00E86E57">
        <w:rPr>
          <w:rFonts w:hint="eastAsia"/>
        </w:rPr>
        <w:t>用民事訴訟法第35條第1項、第2項、第37條第1項之程序違法情事，當時仍在再審期間內，自應</w:t>
      </w:r>
      <w:proofErr w:type="gramStart"/>
      <w:r w:rsidRPr="00E86E57">
        <w:rPr>
          <w:rFonts w:hint="eastAsia"/>
        </w:rPr>
        <w:t>循</w:t>
      </w:r>
      <w:proofErr w:type="gramEnd"/>
      <w:r w:rsidRPr="00E86E57">
        <w:rPr>
          <w:rFonts w:hint="eastAsia"/>
        </w:rPr>
        <w:t>法定救濟程序提起再審之訴，惟</w:t>
      </w:r>
      <w:r w:rsidR="00920597">
        <w:rPr>
          <w:rFonts w:hint="eastAsia"/>
        </w:rPr>
        <w:t>該</w:t>
      </w:r>
      <w:r w:rsidR="00900706">
        <w:rPr>
          <w:rFonts w:hint="eastAsia"/>
        </w:rPr>
        <w:t>院</w:t>
      </w:r>
      <w:r w:rsidR="00250EAE">
        <w:rPr>
          <w:rFonts w:hint="eastAsia"/>
        </w:rPr>
        <w:t>未</w:t>
      </w:r>
      <w:r w:rsidR="00900706">
        <w:rPr>
          <w:rFonts w:hint="eastAsia"/>
        </w:rPr>
        <w:t>曾</w:t>
      </w:r>
      <w:r w:rsidR="00250EAE">
        <w:rPr>
          <w:rFonts w:hint="eastAsia"/>
        </w:rPr>
        <w:t>受理陳訴人提起之再審訴訟</w:t>
      </w:r>
      <w:r w:rsidRPr="00E86E57">
        <w:rPr>
          <w:rFonts w:hint="eastAsia"/>
        </w:rPr>
        <w:t>。</w:t>
      </w:r>
    </w:p>
    <w:p w:rsidR="00931981" w:rsidRDefault="00595639" w:rsidP="00E86E57">
      <w:pPr>
        <w:pStyle w:val="3"/>
      </w:pPr>
      <w:r>
        <w:rPr>
          <w:rFonts w:hint="eastAsia"/>
        </w:rPr>
        <w:t>惟</w:t>
      </w:r>
      <w:r w:rsidR="00F23258">
        <w:rPr>
          <w:rFonts w:hint="eastAsia"/>
        </w:rPr>
        <w:t>核</w:t>
      </w:r>
      <w:r>
        <w:rPr>
          <w:rFonts w:hint="eastAsia"/>
        </w:rPr>
        <w:t>，最高行政法院</w:t>
      </w:r>
      <w:r w:rsidR="00C751C6">
        <w:rPr>
          <w:rFonts w:hint="eastAsia"/>
        </w:rPr>
        <w:t>依</w:t>
      </w:r>
      <w:r w:rsidR="00722241">
        <w:rPr>
          <w:rFonts w:hint="eastAsia"/>
        </w:rPr>
        <w:t>該院</w:t>
      </w:r>
      <w:r w:rsidR="00722241" w:rsidRPr="002D5F3E">
        <w:rPr>
          <w:rFonts w:hint="eastAsia"/>
        </w:rPr>
        <w:t>處務規程第</w:t>
      </w:r>
      <w:r w:rsidR="00722241" w:rsidRPr="002D5F3E">
        <w:t>57</w:t>
      </w:r>
      <w:r w:rsidR="00722241" w:rsidRPr="002D5F3E">
        <w:rPr>
          <w:rFonts w:hint="eastAsia"/>
        </w:rPr>
        <w:t>條第</w:t>
      </w:r>
      <w:r w:rsidR="00722241" w:rsidRPr="002D5F3E">
        <w:t>2</w:t>
      </w:r>
      <w:r w:rsidR="00722241" w:rsidRPr="002D5F3E">
        <w:rPr>
          <w:rFonts w:hint="eastAsia"/>
        </w:rPr>
        <w:t>項</w:t>
      </w:r>
      <w:r w:rsidR="00C751C6">
        <w:rPr>
          <w:rFonts w:hint="eastAsia"/>
        </w:rPr>
        <w:t>，及</w:t>
      </w:r>
      <w:r w:rsidR="00C751C6">
        <w:rPr>
          <w:rFonts w:hAnsi="標楷體" w:hint="eastAsia"/>
        </w:rPr>
        <w:t>該</w:t>
      </w:r>
      <w:r w:rsidR="00C751C6" w:rsidRPr="003D5BBB">
        <w:rPr>
          <w:rFonts w:hAnsi="標楷體" w:hint="eastAsia"/>
        </w:rPr>
        <w:t>院訴訟事件編號計數分案報結要點第12點</w:t>
      </w:r>
      <w:r w:rsidR="00C751C6">
        <w:rPr>
          <w:rFonts w:hAnsi="標楷體" w:hint="eastAsia"/>
        </w:rPr>
        <w:t>等</w:t>
      </w:r>
      <w:r w:rsidR="00C751C6">
        <w:rPr>
          <w:rFonts w:hint="eastAsia"/>
        </w:rPr>
        <w:t>規定，將案關</w:t>
      </w:r>
      <w:r w:rsidR="0091418A">
        <w:rPr>
          <w:rFonts w:hint="eastAsia"/>
        </w:rPr>
        <w:t>之法官迴避聲請案，</w:t>
      </w:r>
      <w:r w:rsidR="00722241">
        <w:rPr>
          <w:rFonts w:hint="eastAsia"/>
        </w:rPr>
        <w:t>逕分</w:t>
      </w:r>
      <w:r w:rsidR="00722241" w:rsidRPr="0005407D">
        <w:rPr>
          <w:rFonts w:hint="eastAsia"/>
        </w:rPr>
        <w:t>送原庭</w:t>
      </w:r>
      <w:r w:rsidR="00722241" w:rsidRPr="0005407D">
        <w:t>(</w:t>
      </w:r>
      <w:r w:rsidR="00722241" w:rsidRPr="0005407D">
        <w:rPr>
          <w:rFonts w:hint="eastAsia"/>
        </w:rPr>
        <w:t>原股</w:t>
      </w:r>
      <w:r w:rsidR="00722241" w:rsidRPr="0005407D">
        <w:t>)</w:t>
      </w:r>
      <w:r w:rsidR="00F23258">
        <w:rPr>
          <w:rFonts w:hint="eastAsia"/>
        </w:rPr>
        <w:t>處</w:t>
      </w:r>
      <w:r w:rsidR="00722241" w:rsidRPr="0005407D">
        <w:rPr>
          <w:rFonts w:hint="eastAsia"/>
        </w:rPr>
        <w:t>理</w:t>
      </w:r>
      <w:r w:rsidR="00722241">
        <w:rPr>
          <w:rFonts w:hint="eastAsia"/>
        </w:rPr>
        <w:t>，</w:t>
      </w:r>
      <w:r w:rsidR="00C751C6">
        <w:rPr>
          <w:rFonts w:hint="eastAsia"/>
        </w:rPr>
        <w:t>此</w:t>
      </w:r>
      <w:r w:rsidR="00722241">
        <w:rPr>
          <w:rFonts w:hint="eastAsia"/>
        </w:rPr>
        <w:t>與</w:t>
      </w:r>
      <w:r w:rsidR="00722241" w:rsidRPr="007B47D2">
        <w:rPr>
          <w:rFonts w:hint="eastAsia"/>
          <w:szCs w:val="32"/>
        </w:rPr>
        <w:t>行政訴訟法第20條準用民事訴訟法第35條第1</w:t>
      </w:r>
      <w:r w:rsidR="00722241">
        <w:rPr>
          <w:rFonts w:hint="eastAsia"/>
          <w:szCs w:val="32"/>
        </w:rPr>
        <w:t>、2</w:t>
      </w:r>
      <w:r w:rsidR="00722241" w:rsidRPr="007B47D2">
        <w:rPr>
          <w:rFonts w:hint="eastAsia"/>
          <w:szCs w:val="32"/>
        </w:rPr>
        <w:t>項</w:t>
      </w:r>
      <w:r w:rsidR="00544D5D">
        <w:rPr>
          <w:rFonts w:hint="eastAsia"/>
          <w:szCs w:val="32"/>
        </w:rPr>
        <w:t>：</w:t>
      </w:r>
      <w:r w:rsidR="00722241">
        <w:rPr>
          <w:rFonts w:hAnsi="標楷體" w:hint="eastAsia"/>
          <w:szCs w:val="32"/>
        </w:rPr>
        <w:t>「</w:t>
      </w:r>
      <w:r w:rsidR="00722241" w:rsidRPr="007B47D2">
        <w:rPr>
          <w:rFonts w:hint="eastAsia"/>
          <w:szCs w:val="32"/>
        </w:rPr>
        <w:t>由該法官所屬法院以合議裁定之……</w:t>
      </w:r>
      <w:r w:rsidR="00722241">
        <w:rPr>
          <w:rFonts w:hint="eastAsia"/>
          <w:szCs w:val="32"/>
        </w:rPr>
        <w:t>前項裁定</w:t>
      </w:r>
      <w:r w:rsidR="00722241" w:rsidRPr="00E86E57">
        <w:rPr>
          <w:rFonts w:hint="eastAsia"/>
          <w:szCs w:val="32"/>
        </w:rPr>
        <w:t>，被聲請迴避之法官，不得參與</w:t>
      </w:r>
      <w:r w:rsidR="00722241">
        <w:rPr>
          <w:rFonts w:hAnsi="標楷體" w:hint="eastAsia"/>
          <w:szCs w:val="32"/>
        </w:rPr>
        <w:t>」</w:t>
      </w:r>
      <w:r w:rsidR="0091418A">
        <w:rPr>
          <w:rFonts w:hint="eastAsia"/>
          <w:szCs w:val="32"/>
        </w:rPr>
        <w:t>之</w:t>
      </w:r>
      <w:r w:rsidR="00C751C6">
        <w:rPr>
          <w:rFonts w:hint="eastAsia"/>
          <w:szCs w:val="32"/>
        </w:rPr>
        <w:t>法</w:t>
      </w:r>
      <w:r w:rsidR="000F227E">
        <w:rPr>
          <w:rFonts w:hint="eastAsia"/>
          <w:szCs w:val="32"/>
        </w:rPr>
        <w:t>定</w:t>
      </w:r>
      <w:r w:rsidR="00067767">
        <w:rPr>
          <w:rFonts w:hint="eastAsia"/>
          <w:szCs w:val="32"/>
        </w:rPr>
        <w:t>程序</w:t>
      </w:r>
      <w:r w:rsidR="00C751C6">
        <w:rPr>
          <w:rFonts w:hint="eastAsia"/>
        </w:rPr>
        <w:t>並</w:t>
      </w:r>
      <w:r w:rsidR="00722241">
        <w:rPr>
          <w:rFonts w:hint="eastAsia"/>
          <w:szCs w:val="32"/>
        </w:rPr>
        <w:t>不相合，</w:t>
      </w:r>
      <w:bookmarkStart w:id="50" w:name="_GoBack"/>
      <w:bookmarkEnd w:id="50"/>
      <w:r w:rsidR="000F227E">
        <w:rPr>
          <w:rFonts w:hint="eastAsia"/>
        </w:rPr>
        <w:t>顯已</w:t>
      </w:r>
      <w:r w:rsidR="000861FA">
        <w:rPr>
          <w:rFonts w:hint="eastAsia"/>
          <w:szCs w:val="32"/>
        </w:rPr>
        <w:t>牴觸</w:t>
      </w:r>
      <w:r w:rsidR="00544D5D">
        <w:rPr>
          <w:rFonts w:hint="eastAsia"/>
          <w:szCs w:val="32"/>
        </w:rPr>
        <w:t>上位之</w:t>
      </w:r>
      <w:r w:rsidR="000861FA">
        <w:rPr>
          <w:rFonts w:hint="eastAsia"/>
          <w:szCs w:val="32"/>
        </w:rPr>
        <w:t>法律規定</w:t>
      </w:r>
      <w:r w:rsidR="00544D5D">
        <w:rPr>
          <w:rStyle w:val="aff0"/>
          <w:szCs w:val="32"/>
        </w:rPr>
        <w:footnoteReference w:id="11"/>
      </w:r>
      <w:r w:rsidR="00722241">
        <w:rPr>
          <w:rFonts w:hint="eastAsia"/>
          <w:szCs w:val="32"/>
        </w:rPr>
        <w:t>。</w:t>
      </w:r>
      <w:r w:rsidR="00250EAE" w:rsidRPr="001B400B">
        <w:rPr>
          <w:rFonts w:hint="eastAsia"/>
          <w:szCs w:val="32"/>
        </w:rPr>
        <w:t>又該院現雖經</w:t>
      </w:r>
      <w:r w:rsidR="00250EAE" w:rsidRPr="001B400B">
        <w:rPr>
          <w:rFonts w:hint="eastAsia"/>
        </w:rPr>
        <w:t>104年4月份第2次及5月份庭長法官聯席會議決議，</w:t>
      </w:r>
      <w:r w:rsidR="001B400B">
        <w:rPr>
          <w:rFonts w:hint="eastAsia"/>
        </w:rPr>
        <w:t>將迴避聲請案</w:t>
      </w:r>
      <w:r w:rsidR="00955BE4" w:rsidRPr="001B400B">
        <w:rPr>
          <w:rFonts w:hint="eastAsia"/>
        </w:rPr>
        <w:t>改為先送審查科分案，再由審查科影印聲請狀送原承辦庭(股)參考，</w:t>
      </w:r>
      <w:r w:rsidR="00250EAE" w:rsidRPr="001B400B">
        <w:rPr>
          <w:rFonts w:hint="eastAsia"/>
        </w:rPr>
        <w:t>另</w:t>
      </w:r>
      <w:r w:rsidR="00250EAE" w:rsidRPr="001B400B">
        <w:rPr>
          <w:rFonts w:hAnsi="標楷體" w:hint="eastAsia"/>
        </w:rPr>
        <w:t>並著手</w:t>
      </w:r>
      <w:proofErr w:type="gramStart"/>
      <w:r w:rsidR="00250EAE" w:rsidRPr="001B400B">
        <w:rPr>
          <w:rFonts w:hAnsi="標楷體" w:hint="eastAsia"/>
        </w:rPr>
        <w:t>研</w:t>
      </w:r>
      <w:proofErr w:type="gramEnd"/>
      <w:r w:rsidR="00250EAE" w:rsidRPr="001B400B">
        <w:rPr>
          <w:rFonts w:hAnsi="標楷體" w:hint="eastAsia"/>
        </w:rPr>
        <w:t>修最高行政法院訴訟事件編號計數分</w:t>
      </w:r>
      <w:proofErr w:type="gramStart"/>
      <w:r w:rsidR="00250EAE" w:rsidRPr="001B400B">
        <w:rPr>
          <w:rFonts w:hAnsi="標楷體" w:hint="eastAsia"/>
        </w:rPr>
        <w:t>案報結要點</w:t>
      </w:r>
      <w:proofErr w:type="gramEnd"/>
      <w:r w:rsidR="00250EAE" w:rsidRPr="001B400B">
        <w:rPr>
          <w:rFonts w:hAnsi="標楷體" w:hint="eastAsia"/>
        </w:rPr>
        <w:t>第12點</w:t>
      </w:r>
      <w:r w:rsidR="00E84F6A" w:rsidRPr="001B400B">
        <w:rPr>
          <w:rFonts w:hAnsi="標楷體" w:hint="eastAsia"/>
        </w:rPr>
        <w:t>之規定；</w:t>
      </w:r>
      <w:r w:rsidR="00955BE4" w:rsidRPr="001B400B">
        <w:rPr>
          <w:rFonts w:hAnsi="標楷體" w:hint="eastAsia"/>
        </w:rPr>
        <w:t>惟</w:t>
      </w:r>
      <w:r w:rsidR="00E84F6A" w:rsidRPr="001B400B">
        <w:rPr>
          <w:rFonts w:hAnsi="標楷體" w:hint="eastAsia"/>
        </w:rPr>
        <w:t>就</w:t>
      </w:r>
      <w:r w:rsidR="00955BE4" w:rsidRPr="001B400B">
        <w:rPr>
          <w:rFonts w:hAnsi="標楷體" w:hint="eastAsia"/>
        </w:rPr>
        <w:t>原作為</w:t>
      </w:r>
      <w:r w:rsidR="00183E0D" w:rsidRPr="001B400B">
        <w:rPr>
          <w:rFonts w:hAnsi="標楷體" w:hint="eastAsia"/>
        </w:rPr>
        <w:t>是類迴避案分案</w:t>
      </w:r>
      <w:r w:rsidR="00955BE4" w:rsidRPr="001B400B">
        <w:rPr>
          <w:rFonts w:hAnsi="標楷體" w:hint="eastAsia"/>
        </w:rPr>
        <w:t>依據之</w:t>
      </w:r>
      <w:r w:rsidR="00955BE4" w:rsidRPr="001B400B">
        <w:rPr>
          <w:rFonts w:hint="eastAsia"/>
        </w:rPr>
        <w:t>該院處</w:t>
      </w:r>
      <w:proofErr w:type="gramStart"/>
      <w:r w:rsidR="00955BE4" w:rsidRPr="001B400B">
        <w:rPr>
          <w:rFonts w:hint="eastAsia"/>
        </w:rPr>
        <w:t>務</w:t>
      </w:r>
      <w:proofErr w:type="gramEnd"/>
      <w:r w:rsidR="00955BE4" w:rsidRPr="001B400B">
        <w:rPr>
          <w:rFonts w:hint="eastAsia"/>
        </w:rPr>
        <w:t>規程第</w:t>
      </w:r>
      <w:r w:rsidR="00955BE4" w:rsidRPr="001B400B">
        <w:t>57</w:t>
      </w:r>
      <w:r w:rsidR="00955BE4" w:rsidRPr="001B400B">
        <w:rPr>
          <w:rFonts w:hint="eastAsia"/>
        </w:rPr>
        <w:t>條</w:t>
      </w:r>
      <w:r w:rsidR="008D05E1" w:rsidRPr="001B400B">
        <w:rPr>
          <w:rFonts w:hint="eastAsia"/>
        </w:rPr>
        <w:t>則</w:t>
      </w:r>
      <w:r w:rsidR="00955BE4" w:rsidRPr="001B400B">
        <w:rPr>
          <w:rFonts w:hint="eastAsia"/>
        </w:rPr>
        <w:t>未配合修正</w:t>
      </w:r>
      <w:r w:rsidR="00E84F6A" w:rsidRPr="001B400B">
        <w:rPr>
          <w:rFonts w:hint="eastAsia"/>
        </w:rPr>
        <w:t>，</w:t>
      </w:r>
      <w:r w:rsidR="001B400B">
        <w:rPr>
          <w:rFonts w:hint="eastAsia"/>
        </w:rPr>
        <w:t>恐</w:t>
      </w:r>
      <w:r w:rsidR="00C11B9D">
        <w:rPr>
          <w:rFonts w:hint="eastAsia"/>
        </w:rPr>
        <w:t>將</w:t>
      </w:r>
      <w:r w:rsidR="001B400B">
        <w:rPr>
          <w:rFonts w:hint="eastAsia"/>
        </w:rPr>
        <w:t>造</w:t>
      </w:r>
      <w:r w:rsidR="000F227E">
        <w:rPr>
          <w:rFonts w:hint="eastAsia"/>
        </w:rPr>
        <w:t>成各規範內容不一致之情</w:t>
      </w:r>
      <w:r w:rsidR="00064054">
        <w:rPr>
          <w:rFonts w:hint="eastAsia"/>
        </w:rPr>
        <w:t>；</w:t>
      </w:r>
      <w:r w:rsidR="008B62E9">
        <w:rPr>
          <w:rFonts w:hint="eastAsia"/>
        </w:rPr>
        <w:t>為期</w:t>
      </w:r>
      <w:r w:rsidR="00C11B9D">
        <w:rPr>
          <w:rFonts w:hint="eastAsia"/>
        </w:rPr>
        <w:t>法規</w:t>
      </w:r>
      <w:r w:rsidR="008B62E9">
        <w:rPr>
          <w:rFonts w:hint="eastAsia"/>
        </w:rPr>
        <w:t>明確</w:t>
      </w:r>
      <w:r w:rsidR="00E84F6A">
        <w:rPr>
          <w:rFonts w:hint="eastAsia"/>
        </w:rPr>
        <w:t>，允宜一併</w:t>
      </w:r>
      <w:proofErr w:type="gramStart"/>
      <w:r w:rsidR="00E84F6A">
        <w:rPr>
          <w:rFonts w:hint="eastAsia"/>
        </w:rPr>
        <w:t>檢討妥處</w:t>
      </w:r>
      <w:proofErr w:type="gramEnd"/>
      <w:r w:rsidR="00E84F6A">
        <w:rPr>
          <w:rFonts w:hint="eastAsia"/>
        </w:rPr>
        <w:t>。</w:t>
      </w:r>
      <w:proofErr w:type="gramStart"/>
      <w:r w:rsidR="000861FA">
        <w:rPr>
          <w:rFonts w:hint="eastAsia"/>
          <w:szCs w:val="32"/>
        </w:rPr>
        <w:t>再者，</w:t>
      </w:r>
      <w:proofErr w:type="gramEnd"/>
      <w:r w:rsidR="00380FBD">
        <w:rPr>
          <w:rFonts w:hint="eastAsia"/>
          <w:szCs w:val="32"/>
        </w:rPr>
        <w:t>上開說明</w:t>
      </w:r>
      <w:proofErr w:type="gramStart"/>
      <w:r w:rsidR="00967BC5">
        <w:rPr>
          <w:rFonts w:hint="eastAsia"/>
          <w:szCs w:val="32"/>
        </w:rPr>
        <w:t>雖復稱</w:t>
      </w:r>
      <w:proofErr w:type="gramEnd"/>
      <w:r w:rsidR="00967BC5">
        <w:rPr>
          <w:rFonts w:hint="eastAsia"/>
          <w:szCs w:val="32"/>
        </w:rPr>
        <w:t>：</w:t>
      </w:r>
      <w:r w:rsidR="00967BC5" w:rsidRPr="00E86E57">
        <w:rPr>
          <w:rFonts w:hint="eastAsia"/>
        </w:rPr>
        <w:t>依行政訴訟法第20條</w:t>
      </w:r>
      <w:proofErr w:type="gramStart"/>
      <w:r w:rsidR="00967BC5" w:rsidRPr="00E86E57">
        <w:rPr>
          <w:rFonts w:hint="eastAsia"/>
        </w:rPr>
        <w:t>準</w:t>
      </w:r>
      <w:proofErr w:type="gramEnd"/>
      <w:r w:rsidR="00967BC5" w:rsidRPr="00E86E57">
        <w:rPr>
          <w:rFonts w:hint="eastAsia"/>
        </w:rPr>
        <w:t>用民事訴訟法第37條第1</w:t>
      </w:r>
      <w:r w:rsidR="00967BC5">
        <w:rPr>
          <w:rFonts w:hint="eastAsia"/>
        </w:rPr>
        <w:t>項但書規定，並非一經聲請法官迴避，訴訟程序即行停止</w:t>
      </w:r>
      <w:r w:rsidR="008B62E9">
        <w:rPr>
          <w:rFonts w:hint="eastAsia"/>
        </w:rPr>
        <w:t>等語</w:t>
      </w:r>
      <w:r w:rsidR="00FA23A9">
        <w:rPr>
          <w:rFonts w:hint="eastAsia"/>
        </w:rPr>
        <w:t>；</w:t>
      </w:r>
      <w:r w:rsidR="00380FBD">
        <w:rPr>
          <w:rFonts w:hint="eastAsia"/>
        </w:rPr>
        <w:t>惟</w:t>
      </w:r>
      <w:r w:rsidR="00B23AEC">
        <w:rPr>
          <w:rFonts w:hint="eastAsia"/>
        </w:rPr>
        <w:t>本件迴避聲請案究</w:t>
      </w:r>
      <w:r w:rsidR="00F90F6D">
        <w:rPr>
          <w:rFonts w:hint="eastAsia"/>
        </w:rPr>
        <w:t>係</w:t>
      </w:r>
      <w:r w:rsidR="00B23AEC">
        <w:rPr>
          <w:rFonts w:hint="eastAsia"/>
        </w:rPr>
        <w:t>屬該但書</w:t>
      </w:r>
      <w:r w:rsidR="00FA23A9">
        <w:rPr>
          <w:rFonts w:hint="eastAsia"/>
        </w:rPr>
        <w:t>所定</w:t>
      </w:r>
      <w:r w:rsidR="00B23AEC">
        <w:rPr>
          <w:rFonts w:hint="eastAsia"/>
        </w:rPr>
        <w:t>之何</w:t>
      </w:r>
      <w:r w:rsidR="003B18C7">
        <w:rPr>
          <w:rFonts w:hint="eastAsia"/>
        </w:rPr>
        <w:t>情</w:t>
      </w:r>
      <w:r w:rsidR="00FA23A9">
        <w:rPr>
          <w:rFonts w:hint="eastAsia"/>
        </w:rPr>
        <w:t>事</w:t>
      </w:r>
      <w:r w:rsidR="00B23AEC">
        <w:rPr>
          <w:rFonts w:hint="eastAsia"/>
        </w:rPr>
        <w:t>而得不停止原訴訟程序，最高行政法院</w:t>
      </w:r>
      <w:r w:rsidR="005776D1">
        <w:rPr>
          <w:rFonts w:hint="eastAsia"/>
        </w:rPr>
        <w:t>於</w:t>
      </w:r>
      <w:proofErr w:type="gramStart"/>
      <w:r w:rsidR="005776D1" w:rsidRPr="002A0F5D">
        <w:t>104</w:t>
      </w:r>
      <w:proofErr w:type="gramEnd"/>
      <w:r w:rsidR="005776D1" w:rsidRPr="002A0F5D">
        <w:rPr>
          <w:rFonts w:hint="eastAsia"/>
        </w:rPr>
        <w:t>年度判字第</w:t>
      </w:r>
      <w:r w:rsidR="005776D1" w:rsidRPr="002A0F5D">
        <w:t>198</w:t>
      </w:r>
      <w:r w:rsidR="005776D1" w:rsidRPr="002A0F5D">
        <w:rPr>
          <w:rFonts w:hint="eastAsia"/>
        </w:rPr>
        <w:t>號</w:t>
      </w:r>
      <w:r w:rsidR="005776D1">
        <w:rPr>
          <w:rFonts w:hint="eastAsia"/>
        </w:rPr>
        <w:t>判決中並未敘明，不但造成民眾</w:t>
      </w:r>
      <w:proofErr w:type="gramStart"/>
      <w:r w:rsidR="005776D1">
        <w:rPr>
          <w:rFonts w:hint="eastAsia"/>
        </w:rPr>
        <w:t>難以</w:t>
      </w:r>
      <w:r w:rsidR="005776D1">
        <w:rPr>
          <w:rFonts w:hint="eastAsia"/>
        </w:rPr>
        <w:lastRenderedPageBreak/>
        <w:t>甘服</w:t>
      </w:r>
      <w:proofErr w:type="gramEnd"/>
      <w:r w:rsidR="005776D1">
        <w:rPr>
          <w:rFonts w:hint="eastAsia"/>
        </w:rPr>
        <w:t>，</w:t>
      </w:r>
      <w:r w:rsidR="003B18C7">
        <w:rPr>
          <w:rFonts w:hint="eastAsia"/>
        </w:rPr>
        <w:t>更</w:t>
      </w:r>
      <w:r w:rsidR="005776D1">
        <w:rPr>
          <w:rFonts w:hint="eastAsia"/>
        </w:rPr>
        <w:t>將</w:t>
      </w:r>
      <w:r w:rsidR="00471FA5">
        <w:rPr>
          <w:rFonts w:hint="eastAsia"/>
        </w:rPr>
        <w:t>使</w:t>
      </w:r>
      <w:r w:rsidR="005776D1">
        <w:rPr>
          <w:rFonts w:hint="eastAsia"/>
        </w:rPr>
        <w:t>後續之救濟程序無從審視</w:t>
      </w:r>
      <w:r w:rsidR="00703B6E">
        <w:rPr>
          <w:rFonts w:hint="eastAsia"/>
        </w:rPr>
        <w:t>其</w:t>
      </w:r>
      <w:r w:rsidR="005776D1">
        <w:rPr>
          <w:rFonts w:hint="eastAsia"/>
        </w:rPr>
        <w:t>是否適法</w:t>
      </w:r>
      <w:r w:rsidR="008B62E9">
        <w:rPr>
          <w:rFonts w:hint="eastAsia"/>
        </w:rPr>
        <w:t>，</w:t>
      </w:r>
      <w:proofErr w:type="gramStart"/>
      <w:r w:rsidR="003B18C7">
        <w:rPr>
          <w:rFonts w:hint="eastAsia"/>
        </w:rPr>
        <w:t>亦</w:t>
      </w:r>
      <w:r w:rsidR="008B62E9">
        <w:rPr>
          <w:rFonts w:hint="eastAsia"/>
        </w:rPr>
        <w:t>有未洽</w:t>
      </w:r>
      <w:proofErr w:type="gramEnd"/>
      <w:r w:rsidR="005776D1">
        <w:rPr>
          <w:rFonts w:hint="eastAsia"/>
        </w:rPr>
        <w:t>。</w:t>
      </w:r>
      <w:r w:rsidR="00703B6E">
        <w:rPr>
          <w:rFonts w:hint="eastAsia"/>
        </w:rPr>
        <w:t>至陳訴人</w:t>
      </w:r>
      <w:r w:rsidR="00181065">
        <w:rPr>
          <w:rFonts w:hint="eastAsia"/>
        </w:rPr>
        <w:t>有無</w:t>
      </w:r>
      <w:r w:rsidR="005775B4">
        <w:rPr>
          <w:rFonts w:hint="eastAsia"/>
        </w:rPr>
        <w:t>就</w:t>
      </w:r>
      <w:r w:rsidR="00181065">
        <w:rPr>
          <w:rFonts w:hint="eastAsia"/>
        </w:rPr>
        <w:t>本件</w:t>
      </w:r>
      <w:r w:rsidR="005775B4">
        <w:rPr>
          <w:rFonts w:hint="eastAsia"/>
        </w:rPr>
        <w:t>最高行政法院之相關違誤，於法定期間內提起再審，</w:t>
      </w:r>
      <w:r w:rsidR="00936D79">
        <w:rPr>
          <w:rFonts w:hint="eastAsia"/>
        </w:rPr>
        <w:t>雖將對其等之訴訟權益造成影響，惟此並不改變</w:t>
      </w:r>
      <w:r w:rsidR="00821C2E">
        <w:rPr>
          <w:rFonts w:hint="eastAsia"/>
        </w:rPr>
        <w:t>該院相關程序</w:t>
      </w:r>
      <w:r w:rsidR="00064054">
        <w:rPr>
          <w:rFonts w:hint="eastAsia"/>
        </w:rPr>
        <w:t>有所</w:t>
      </w:r>
      <w:r w:rsidR="00821C2E">
        <w:rPr>
          <w:rFonts w:hint="eastAsia"/>
        </w:rPr>
        <w:t>違誤之</w:t>
      </w:r>
      <w:r w:rsidR="00064054">
        <w:rPr>
          <w:rFonts w:hint="eastAsia"/>
        </w:rPr>
        <w:t>客觀</w:t>
      </w:r>
      <w:r w:rsidR="00821C2E">
        <w:rPr>
          <w:rFonts w:hint="eastAsia"/>
        </w:rPr>
        <w:t>事實，</w:t>
      </w:r>
      <w:r w:rsidR="00064054" w:rsidRPr="00064054">
        <w:rPr>
          <w:rFonts w:hint="eastAsia"/>
        </w:rPr>
        <w:t>自不得據為卸責之論據；</w:t>
      </w:r>
      <w:proofErr w:type="gramStart"/>
      <w:r w:rsidR="00821C2E">
        <w:rPr>
          <w:rFonts w:hint="eastAsia"/>
        </w:rPr>
        <w:t>司法院允應</w:t>
      </w:r>
      <w:proofErr w:type="gramEnd"/>
      <w:r w:rsidR="00821C2E">
        <w:rPr>
          <w:rFonts w:hint="eastAsia"/>
        </w:rPr>
        <w:t>督促最高行政法院</w:t>
      </w:r>
      <w:r w:rsidR="00AF4C38">
        <w:rPr>
          <w:rFonts w:hint="eastAsia"/>
        </w:rPr>
        <w:t>檢討</w:t>
      </w:r>
      <w:r w:rsidR="00821C2E">
        <w:rPr>
          <w:rFonts w:hint="eastAsia"/>
        </w:rPr>
        <w:t>落實相關改善措施，</w:t>
      </w:r>
      <w:proofErr w:type="gramStart"/>
      <w:r w:rsidR="00821C2E">
        <w:rPr>
          <w:rFonts w:hint="eastAsia"/>
        </w:rPr>
        <w:t>俾</w:t>
      </w:r>
      <w:proofErr w:type="gramEnd"/>
      <w:r w:rsidR="00AF4C38">
        <w:rPr>
          <w:rFonts w:hint="eastAsia"/>
        </w:rPr>
        <w:t>行政訴訟</w:t>
      </w:r>
      <w:r w:rsidR="001E28EA">
        <w:rPr>
          <w:rFonts w:hint="eastAsia"/>
        </w:rPr>
        <w:t>制度更</w:t>
      </w:r>
      <w:proofErr w:type="gramStart"/>
      <w:r w:rsidR="001E28EA">
        <w:rPr>
          <w:rFonts w:hint="eastAsia"/>
        </w:rPr>
        <w:t>臻健全</w:t>
      </w:r>
      <w:r w:rsidR="00064054">
        <w:rPr>
          <w:rFonts w:hint="eastAsia"/>
        </w:rPr>
        <w:t>、</w:t>
      </w:r>
      <w:r w:rsidR="001E28EA">
        <w:rPr>
          <w:rFonts w:hint="eastAsia"/>
        </w:rPr>
        <w:t>完善</w:t>
      </w:r>
      <w:proofErr w:type="gramEnd"/>
      <w:r w:rsidR="001E28EA">
        <w:rPr>
          <w:rFonts w:hint="eastAsia"/>
        </w:rPr>
        <w:t>，</w:t>
      </w:r>
      <w:r w:rsidR="00AF4C38">
        <w:rPr>
          <w:rFonts w:hint="eastAsia"/>
        </w:rPr>
        <w:t>提升</w:t>
      </w:r>
      <w:r w:rsidR="00821C2E">
        <w:rPr>
          <w:rFonts w:hint="eastAsia"/>
        </w:rPr>
        <w:t>民眾對司法之信賴。</w:t>
      </w:r>
    </w:p>
    <w:p w:rsidR="00E25849" w:rsidRDefault="00E25849" w:rsidP="004E05A1">
      <w:pPr>
        <w:pStyle w:val="10"/>
        <w:ind w:left="2380" w:hanging="2380"/>
      </w:pPr>
      <w:bookmarkStart w:id="51" w:name="_Toc524895648"/>
      <w:bookmarkStart w:id="52" w:name="_Toc524896194"/>
      <w:bookmarkStart w:id="53" w:name="_Toc524896224"/>
      <w:bookmarkStart w:id="54" w:name="_Toc524902734"/>
      <w:bookmarkStart w:id="55" w:name="_Toc525066148"/>
      <w:bookmarkStart w:id="56" w:name="_Toc525070839"/>
      <w:bookmarkStart w:id="57" w:name="_Toc525938379"/>
      <w:bookmarkStart w:id="58" w:name="_Toc525939227"/>
      <w:bookmarkStart w:id="59" w:name="_Toc525939732"/>
      <w:bookmarkStart w:id="60" w:name="_Toc529218272"/>
      <w:bookmarkStart w:id="61" w:name="_Toc529222689"/>
      <w:bookmarkStart w:id="62" w:name="_Toc529223111"/>
      <w:bookmarkStart w:id="63" w:name="_Toc529223862"/>
      <w:bookmarkStart w:id="64" w:name="_Toc529228265"/>
      <w:bookmarkStart w:id="65" w:name="_Toc2400395"/>
      <w:bookmarkStart w:id="66" w:name="_Toc4316189"/>
      <w:bookmarkStart w:id="67" w:name="_Toc4473330"/>
      <w:bookmarkStart w:id="68" w:name="_Toc69556897"/>
      <w:bookmarkStart w:id="69" w:name="_Toc69556946"/>
      <w:bookmarkStart w:id="70" w:name="_Toc69609820"/>
      <w:bookmarkStart w:id="71" w:name="_Toc70241816"/>
      <w:bookmarkStart w:id="72" w:name="_Toc70242205"/>
      <w:bookmarkStart w:id="73" w:name="_Toc421794875"/>
      <w:bookmarkStart w:id="74" w:name="_Toc422834160"/>
      <w:bookmarkEnd w:id="49"/>
      <w:r>
        <w:rPr>
          <w:rFonts w:hint="eastAsia"/>
        </w:rPr>
        <w:t>處理辦法：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E25849" w:rsidRDefault="0010140B">
      <w:pPr>
        <w:pStyle w:val="2"/>
      </w:pPr>
      <w:bookmarkStart w:id="75" w:name="_Toc524895649"/>
      <w:bookmarkStart w:id="76" w:name="_Toc524896195"/>
      <w:bookmarkStart w:id="77" w:name="_Toc524896225"/>
      <w:bookmarkStart w:id="78" w:name="_Toc2400396"/>
      <w:bookmarkStart w:id="79" w:name="_Toc4316190"/>
      <w:bookmarkStart w:id="80" w:name="_Toc4473331"/>
      <w:bookmarkStart w:id="81" w:name="_Toc69556898"/>
      <w:bookmarkStart w:id="82" w:name="_Toc69556947"/>
      <w:bookmarkStart w:id="83" w:name="_Toc69609821"/>
      <w:bookmarkStart w:id="84" w:name="_Toc70241817"/>
      <w:bookmarkStart w:id="85" w:name="_Toc70242206"/>
      <w:bookmarkStart w:id="86" w:name="_Toc421794877"/>
      <w:bookmarkStart w:id="87" w:name="_Toc421795443"/>
      <w:bookmarkStart w:id="88" w:name="_Toc421796024"/>
      <w:bookmarkStart w:id="89" w:name="_Toc422728959"/>
      <w:bookmarkStart w:id="90" w:name="_Toc422834162"/>
      <w:bookmarkStart w:id="91" w:name="_Toc524902735"/>
      <w:bookmarkStart w:id="92" w:name="_Toc525066149"/>
      <w:bookmarkStart w:id="93" w:name="_Toc525070840"/>
      <w:bookmarkStart w:id="94" w:name="_Toc525938380"/>
      <w:bookmarkStart w:id="95" w:name="_Toc525939228"/>
      <w:bookmarkStart w:id="96" w:name="_Toc525939733"/>
      <w:bookmarkStart w:id="97" w:name="_Toc529218273"/>
      <w:bookmarkStart w:id="98" w:name="_Toc529222690"/>
      <w:bookmarkStart w:id="99" w:name="_Toc529223112"/>
      <w:bookmarkStart w:id="100" w:name="_Toc529223863"/>
      <w:bookmarkStart w:id="101" w:name="_Toc529228266"/>
      <w:bookmarkEnd w:id="75"/>
      <w:bookmarkEnd w:id="76"/>
      <w:bookmarkEnd w:id="77"/>
      <w:r>
        <w:rPr>
          <w:rFonts w:hint="eastAsia"/>
        </w:rPr>
        <w:t>調查意見</w:t>
      </w:r>
      <w:r w:rsidR="00DC5B5D">
        <w:rPr>
          <w:rFonts w:hint="eastAsia"/>
        </w:rPr>
        <w:t>函送司法院，並請該院就調查意見二、三</w:t>
      </w:r>
      <w:r>
        <w:rPr>
          <w:rFonts w:hint="eastAsia"/>
        </w:rPr>
        <w:t>督促最高行政法院檢討</w:t>
      </w:r>
      <w:r w:rsidR="00DC5B5D">
        <w:rPr>
          <w:rFonts w:hint="eastAsia"/>
        </w:rPr>
        <w:t>改善</w:t>
      </w:r>
      <w:proofErr w:type="gramStart"/>
      <w:r w:rsidR="00DC5B5D">
        <w:rPr>
          <w:rFonts w:hint="eastAsia"/>
        </w:rPr>
        <w:t>見復</w:t>
      </w:r>
      <w:r w:rsidR="00E25849">
        <w:rPr>
          <w:rFonts w:hint="eastAsia"/>
        </w:rPr>
        <w:t>。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proofErr w:type="gramEnd"/>
    </w:p>
    <w:p w:rsidR="00FB7770" w:rsidRDefault="0010140B" w:rsidP="00F804D3">
      <w:pPr>
        <w:pStyle w:val="2"/>
      </w:pPr>
      <w:bookmarkStart w:id="102" w:name="_Toc70241819"/>
      <w:bookmarkStart w:id="103" w:name="_Toc70242208"/>
      <w:bookmarkStart w:id="104" w:name="_Toc421794878"/>
      <w:bookmarkStart w:id="105" w:name="_Toc421795444"/>
      <w:bookmarkStart w:id="106" w:name="_Toc421796025"/>
      <w:bookmarkStart w:id="107" w:name="_Toc422728960"/>
      <w:bookmarkStart w:id="108" w:name="_Toc422834163"/>
      <w:bookmarkStart w:id="109" w:name="_Toc70241818"/>
      <w:bookmarkStart w:id="110" w:name="_Toc70242207"/>
      <w:bookmarkStart w:id="111" w:name="_Toc69556899"/>
      <w:bookmarkStart w:id="112" w:name="_Toc69556948"/>
      <w:bookmarkStart w:id="113" w:name="_Toc69609822"/>
      <w:r>
        <w:rPr>
          <w:rFonts w:hint="eastAsia"/>
        </w:rPr>
        <w:t>調查意見</w:t>
      </w:r>
      <w:r w:rsidR="00FB7770">
        <w:rPr>
          <w:rFonts w:hint="eastAsia"/>
        </w:rPr>
        <w:t>函復陳訴人。</w:t>
      </w:r>
      <w:bookmarkEnd w:id="102"/>
      <w:bookmarkEnd w:id="103"/>
      <w:bookmarkEnd w:id="104"/>
      <w:bookmarkEnd w:id="105"/>
      <w:bookmarkEnd w:id="106"/>
      <w:bookmarkEnd w:id="107"/>
      <w:bookmarkEnd w:id="108"/>
    </w:p>
    <w:p w:rsidR="00EC7679" w:rsidRPr="00EC7679" w:rsidRDefault="00E25849" w:rsidP="00EC7679">
      <w:pPr>
        <w:pStyle w:val="2"/>
        <w:rPr>
          <w:rFonts w:ascii="Times New Roman"/>
          <w:b/>
          <w:bCs w:val="0"/>
          <w:kern w:val="0"/>
          <w:sz w:val="40"/>
        </w:rPr>
      </w:pPr>
      <w:bookmarkStart w:id="114" w:name="_Toc421794879"/>
      <w:bookmarkStart w:id="115" w:name="_Toc421795445"/>
      <w:bookmarkStart w:id="116" w:name="_Toc421796026"/>
      <w:bookmarkStart w:id="117" w:name="_Toc422728961"/>
      <w:bookmarkStart w:id="118" w:name="_Toc422834164"/>
      <w:r>
        <w:rPr>
          <w:rFonts w:hint="eastAsia"/>
        </w:rPr>
        <w:t>調查意見</w:t>
      </w:r>
      <w:r w:rsidR="00DC5B5D">
        <w:rPr>
          <w:rFonts w:hint="eastAsia"/>
        </w:rPr>
        <w:t>上網公布</w:t>
      </w:r>
      <w:r>
        <w:rPr>
          <w:rFonts w:hint="eastAsia"/>
        </w:rPr>
        <w:t>。</w:t>
      </w:r>
      <w:bookmarkEnd w:id="109"/>
      <w:bookmarkEnd w:id="110"/>
      <w:bookmarkEnd w:id="114"/>
      <w:bookmarkEnd w:id="115"/>
      <w:bookmarkEnd w:id="116"/>
      <w:bookmarkEnd w:id="117"/>
      <w:bookmarkEnd w:id="118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11"/>
      <w:bookmarkEnd w:id="112"/>
      <w:bookmarkEnd w:id="113"/>
    </w:p>
    <w:p w:rsidR="00E25849" w:rsidRDefault="00E25849" w:rsidP="000F76D3">
      <w:pPr>
        <w:pStyle w:val="2"/>
        <w:numPr>
          <w:ilvl w:val="0"/>
          <w:numId w:val="0"/>
        </w:numPr>
        <w:spacing w:line="500" w:lineRule="exact"/>
        <w:ind w:left="1021" w:firstLineChars="650" w:firstLine="2627"/>
        <w:rPr>
          <w:spacing w:val="12"/>
          <w:kern w:val="0"/>
          <w:sz w:val="36"/>
          <w:szCs w:val="36"/>
        </w:rPr>
      </w:pPr>
      <w:r w:rsidRPr="00EC7679">
        <w:rPr>
          <w:rFonts w:hint="eastAsia"/>
          <w:spacing w:val="12"/>
          <w:kern w:val="0"/>
          <w:sz w:val="36"/>
          <w:szCs w:val="36"/>
        </w:rPr>
        <w:t>調查委員：</w:t>
      </w:r>
      <w:r w:rsidR="00EC7679" w:rsidRPr="00EC7679">
        <w:rPr>
          <w:rFonts w:hint="eastAsia"/>
          <w:spacing w:val="12"/>
          <w:kern w:val="0"/>
          <w:sz w:val="36"/>
          <w:szCs w:val="36"/>
        </w:rPr>
        <w:t>李月德</w:t>
      </w:r>
    </w:p>
    <w:p w:rsidR="000F76D3" w:rsidRPr="000F76D3" w:rsidRDefault="00376824" w:rsidP="00376824">
      <w:pPr>
        <w:pStyle w:val="2"/>
        <w:numPr>
          <w:ilvl w:val="0"/>
          <w:numId w:val="0"/>
        </w:numPr>
        <w:spacing w:line="500" w:lineRule="exact"/>
        <w:ind w:left="1021" w:firstLineChars="650" w:firstLine="2627"/>
        <w:rPr>
          <w:rFonts w:ascii="Times New Roman"/>
          <w:bCs w:val="0"/>
          <w:kern w:val="0"/>
          <w:sz w:val="36"/>
          <w:szCs w:val="36"/>
        </w:rPr>
      </w:pPr>
      <w:r>
        <w:rPr>
          <w:rFonts w:hint="eastAsia"/>
          <w:spacing w:val="12"/>
          <w:kern w:val="0"/>
          <w:sz w:val="36"/>
          <w:szCs w:val="36"/>
        </w:rPr>
        <w:t xml:space="preserve">         </w:t>
      </w:r>
      <w:r w:rsidR="000F76D3">
        <w:rPr>
          <w:rFonts w:ascii="Times New Roman" w:hint="eastAsia"/>
          <w:b/>
          <w:bCs w:val="0"/>
          <w:kern w:val="0"/>
          <w:sz w:val="36"/>
          <w:szCs w:val="36"/>
        </w:rPr>
        <w:t xml:space="preserve"> </w:t>
      </w:r>
      <w:r w:rsidR="000F76D3" w:rsidRPr="000F76D3">
        <w:rPr>
          <w:rFonts w:ascii="Times New Roman" w:hint="eastAsia"/>
          <w:bCs w:val="0"/>
          <w:kern w:val="0"/>
          <w:sz w:val="36"/>
          <w:szCs w:val="36"/>
        </w:rPr>
        <w:t>江明蒼</w:t>
      </w:r>
    </w:p>
    <w:sectPr w:rsidR="000F76D3" w:rsidRPr="000F76D3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8EF" w:rsidRDefault="003A78EF">
      <w:r>
        <w:separator/>
      </w:r>
    </w:p>
  </w:endnote>
  <w:endnote w:type="continuationSeparator" w:id="0">
    <w:p w:rsidR="003A78EF" w:rsidRDefault="003A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EF" w:rsidRDefault="00B31D4E">
    <w:pPr>
      <w:pStyle w:val="af7"/>
      <w:framePr w:wrap="around" w:vAnchor="text" w:hAnchor="margin" w:xAlign="center" w:y="1"/>
      <w:rPr>
        <w:rStyle w:val="af0"/>
        <w:sz w:val="24"/>
      </w:rPr>
    </w:pPr>
    <w:r>
      <w:rPr>
        <w:rStyle w:val="af0"/>
        <w:sz w:val="24"/>
      </w:rPr>
      <w:fldChar w:fldCharType="begin"/>
    </w:r>
    <w:r w:rsidR="003A78EF">
      <w:rPr>
        <w:rStyle w:val="af0"/>
        <w:sz w:val="24"/>
      </w:rPr>
      <w:instrText xml:space="preserve">PAGE  </w:instrText>
    </w:r>
    <w:r>
      <w:rPr>
        <w:rStyle w:val="af0"/>
        <w:sz w:val="24"/>
      </w:rPr>
      <w:fldChar w:fldCharType="separate"/>
    </w:r>
    <w:r w:rsidR="0037643D">
      <w:rPr>
        <w:rStyle w:val="af0"/>
        <w:noProof/>
        <w:sz w:val="24"/>
      </w:rPr>
      <w:t>9</w:t>
    </w:r>
    <w:r>
      <w:rPr>
        <w:rStyle w:val="af0"/>
        <w:sz w:val="24"/>
      </w:rPr>
      <w:fldChar w:fldCharType="end"/>
    </w:r>
  </w:p>
  <w:p w:rsidR="003A78EF" w:rsidRDefault="003A78E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8EF" w:rsidRDefault="003A78EF">
      <w:r>
        <w:separator/>
      </w:r>
    </w:p>
  </w:footnote>
  <w:footnote w:type="continuationSeparator" w:id="0">
    <w:p w:rsidR="003A78EF" w:rsidRDefault="003A78EF">
      <w:r>
        <w:continuationSeparator/>
      </w:r>
    </w:p>
  </w:footnote>
  <w:footnote w:id="1">
    <w:p w:rsidR="00D76423" w:rsidRPr="00EC7679" w:rsidRDefault="00D76423" w:rsidP="00EC7679">
      <w:pPr>
        <w:pStyle w:val="afe"/>
        <w:ind w:leftChars="-7" w:left="198" w:hangingChars="101" w:hanging="222"/>
      </w:pPr>
      <w:r>
        <w:rPr>
          <w:rStyle w:val="aff0"/>
        </w:rPr>
        <w:footnoteRef/>
      </w:r>
      <w:r>
        <w:rPr>
          <w:rFonts w:hAnsi="標楷體" w:hint="eastAsia"/>
        </w:rPr>
        <w:t xml:space="preserve"> </w:t>
      </w:r>
      <w:r w:rsidRPr="00F74765">
        <w:rPr>
          <w:rFonts w:hAnsi="標楷體" w:hint="eastAsia"/>
        </w:rPr>
        <w:t>99年1月13日修正前之</w:t>
      </w:r>
      <w:r w:rsidRPr="00444AAA">
        <w:rPr>
          <w:rFonts w:hAnsi="標楷體" w:hint="eastAsia"/>
        </w:rPr>
        <w:t>行政訴訟法</w:t>
      </w:r>
      <w:r>
        <w:rPr>
          <w:rFonts w:hAnsi="標楷體" w:hint="eastAsia"/>
        </w:rPr>
        <w:t>§</w:t>
      </w:r>
      <w:r w:rsidRPr="00444AAA">
        <w:rPr>
          <w:rFonts w:hAnsi="標楷體" w:hint="eastAsia"/>
        </w:rPr>
        <w:t>19：「法官有左列情形之</w:t>
      </w:r>
      <w:proofErr w:type="gramStart"/>
      <w:r w:rsidRPr="00444AAA">
        <w:rPr>
          <w:rFonts w:hAnsi="標楷體" w:hint="eastAsia"/>
        </w:rPr>
        <w:t>一</w:t>
      </w:r>
      <w:proofErr w:type="gramEnd"/>
      <w:r w:rsidRPr="00444AAA">
        <w:rPr>
          <w:rFonts w:hAnsi="標楷體" w:hint="eastAsia"/>
        </w:rPr>
        <w:t>者，應自行迴避，不得執行職務：</w:t>
      </w:r>
      <w:r>
        <w:rPr>
          <w:rFonts w:hAnsi="標楷體" w:hint="eastAsia"/>
        </w:rPr>
        <w:t>…</w:t>
      </w:r>
      <w:proofErr w:type="gramStart"/>
      <w:r>
        <w:rPr>
          <w:rFonts w:hAnsi="標楷體" w:hint="eastAsia"/>
        </w:rPr>
        <w:t>…</w:t>
      </w:r>
      <w:proofErr w:type="gramEnd"/>
      <w:r w:rsidRPr="00444AAA">
        <w:rPr>
          <w:rFonts w:hAnsi="標楷體" w:hint="eastAsia"/>
        </w:rPr>
        <w:t>五、曾參與該訴訟事件之前審裁判</w:t>
      </w:r>
      <w:r w:rsidRPr="00EC7679">
        <w:rPr>
          <w:rFonts w:hint="eastAsia"/>
          <w:b/>
        </w:rPr>
        <w:t>或更審前之原裁判者</w:t>
      </w:r>
      <w:r w:rsidRPr="00EC7679">
        <w:rPr>
          <w:rFonts w:hAnsi="標楷體" w:hint="eastAsia"/>
        </w:rPr>
        <w:t>。六、…</w:t>
      </w:r>
      <w:proofErr w:type="gramStart"/>
      <w:r w:rsidRPr="00EC7679">
        <w:rPr>
          <w:rFonts w:hAnsi="標楷體" w:hint="eastAsia"/>
        </w:rPr>
        <w:t>…</w:t>
      </w:r>
      <w:proofErr w:type="gramEnd"/>
      <w:r w:rsidRPr="00EC7679">
        <w:rPr>
          <w:rFonts w:hAnsi="標楷體" w:hint="eastAsia"/>
        </w:rPr>
        <w:t>」</w:t>
      </w:r>
    </w:p>
  </w:footnote>
  <w:footnote w:id="2">
    <w:p w:rsidR="00D76423" w:rsidRPr="0027486E" w:rsidRDefault="00D76423" w:rsidP="00B676EB">
      <w:pPr>
        <w:pStyle w:val="afe"/>
        <w:ind w:leftChars="-7" w:left="198" w:hangingChars="101" w:hanging="222"/>
      </w:pPr>
      <w:r w:rsidRPr="00EC7679">
        <w:rPr>
          <w:rStyle w:val="aff0"/>
        </w:rPr>
        <w:footnoteRef/>
      </w:r>
      <w:r w:rsidRPr="00EC7679">
        <w:t xml:space="preserve"> </w:t>
      </w:r>
      <w:proofErr w:type="gramStart"/>
      <w:r w:rsidRPr="00EC7679">
        <w:rPr>
          <w:rFonts w:hint="eastAsia"/>
        </w:rPr>
        <w:t>惟</w:t>
      </w:r>
      <w:proofErr w:type="gramEnd"/>
      <w:r w:rsidRPr="00EC7679">
        <w:rPr>
          <w:rFonts w:hint="eastAsia"/>
        </w:rPr>
        <w:t>實務見解則認：</w:t>
      </w:r>
      <w:r w:rsidRPr="00EC7679">
        <w:rPr>
          <w:rFonts w:hAnsi="標楷體" w:hint="eastAsia"/>
        </w:rPr>
        <w:t>「</w:t>
      </w:r>
      <w:r w:rsidRPr="00EC7679">
        <w:t>所謂曾參與更審前之原判決，係指下級審之裁判，經上級審廢棄發回更審時，法官曾參與</w:t>
      </w:r>
      <w:r w:rsidRPr="00EC7679">
        <w:rPr>
          <w:b/>
        </w:rPr>
        <w:t>該次更審前最後一次之下級審裁判</w:t>
      </w:r>
      <w:r w:rsidRPr="00EC7679">
        <w:t>而言</w:t>
      </w:r>
      <w:r w:rsidRPr="00EC7679">
        <w:rPr>
          <w:rFonts w:hint="eastAsia"/>
        </w:rPr>
        <w:t>。」（</w:t>
      </w:r>
      <w:r w:rsidRPr="00EC7679">
        <w:t>最高行政法院</w:t>
      </w:r>
      <w:r w:rsidRPr="00EC7679">
        <w:rPr>
          <w:rFonts w:hint="eastAsia"/>
        </w:rPr>
        <w:t>98</w:t>
      </w:r>
      <w:r w:rsidRPr="00EC7679">
        <w:t>年</w:t>
      </w:r>
      <w:r w:rsidRPr="00EC7679">
        <w:rPr>
          <w:rFonts w:hint="eastAsia"/>
        </w:rPr>
        <w:t>度</w:t>
      </w:r>
      <w:r w:rsidRPr="00EC7679">
        <w:t>裁字第</w:t>
      </w:r>
      <w:r w:rsidRPr="00EC7679">
        <w:rPr>
          <w:rFonts w:hint="eastAsia"/>
        </w:rPr>
        <w:t>220</w:t>
      </w:r>
      <w:r w:rsidRPr="00EC7679">
        <w:t>號裁</w:t>
      </w:r>
      <w:r w:rsidRPr="00EC7679">
        <w:rPr>
          <w:rFonts w:hint="eastAsia"/>
        </w:rPr>
        <w:t>定、最高法院74年度台抗字第20號判例參照）；</w:t>
      </w:r>
      <w:r w:rsidRPr="00EC7679">
        <w:rPr>
          <w:rFonts w:hAnsi="標楷體" w:hint="eastAsia"/>
        </w:rPr>
        <w:t>「</w:t>
      </w:r>
      <w:r w:rsidRPr="00EC7679">
        <w:rPr>
          <w:b/>
        </w:rPr>
        <w:t>法官曾參與上級審之裁判，將原判決廢棄發回更審</w:t>
      </w:r>
      <w:r w:rsidRPr="00EC7679">
        <w:rPr>
          <w:rFonts w:hAnsi="標楷體" w:cs="細明體"/>
          <w:kern w:val="0"/>
          <w:szCs w:val="24"/>
        </w:rPr>
        <w:t>，</w:t>
      </w:r>
      <w:r w:rsidRPr="00EC7679">
        <w:rPr>
          <w:b/>
        </w:rPr>
        <w:t>雖嗣後再行上訴</w:t>
      </w:r>
      <w:r w:rsidRPr="00EC7679">
        <w:rPr>
          <w:rFonts w:hAnsi="標楷體" w:cs="細明體"/>
          <w:kern w:val="0"/>
          <w:szCs w:val="24"/>
        </w:rPr>
        <w:t>，</w:t>
      </w:r>
      <w:r w:rsidRPr="00EC7679">
        <w:rPr>
          <w:b/>
        </w:rPr>
        <w:t>上級審曾參與裁判之法官，既未參與下級審之裁判，對之無須自行迴避</w:t>
      </w:r>
      <w:r w:rsidRPr="00EC7679">
        <w:rPr>
          <w:rFonts w:hint="eastAsia"/>
        </w:rPr>
        <w:t>」（最高法院</w:t>
      </w:r>
      <w:hyperlink r:id="rId1" w:history="1">
        <w:r w:rsidRPr="00EC7679">
          <w:t>85年</w:t>
        </w:r>
        <w:r w:rsidRPr="00EC7679">
          <w:rPr>
            <w:rFonts w:hint="eastAsia"/>
          </w:rPr>
          <w:t>度</w:t>
        </w:r>
        <w:r w:rsidRPr="00EC7679">
          <w:t>台再字第71號</w:t>
        </w:r>
      </w:hyperlink>
      <w:r w:rsidRPr="00EC7679">
        <w:rPr>
          <w:rFonts w:hint="eastAsia"/>
        </w:rPr>
        <w:t>裁判、</w:t>
      </w:r>
      <w:proofErr w:type="gramStart"/>
      <w:r w:rsidRPr="00EC7679">
        <w:rPr>
          <w:rFonts w:hint="eastAsia"/>
        </w:rPr>
        <w:t>64</w:t>
      </w:r>
      <w:proofErr w:type="gramEnd"/>
      <w:r w:rsidRPr="00EC7679">
        <w:t>年度台再字</w:t>
      </w:r>
      <w:r w:rsidRPr="00EC7679">
        <w:rPr>
          <w:rFonts w:hint="eastAsia"/>
        </w:rPr>
        <w:t>120</w:t>
      </w:r>
      <w:r w:rsidRPr="00EC7679">
        <w:t>號判例</w:t>
      </w:r>
      <w:r w:rsidRPr="00EC7679">
        <w:rPr>
          <w:rFonts w:hint="eastAsia"/>
        </w:rPr>
        <w:t>參照）。</w:t>
      </w:r>
    </w:p>
  </w:footnote>
  <w:footnote w:id="3">
    <w:p w:rsidR="00D76423" w:rsidRDefault="00D76423" w:rsidP="00B676EB">
      <w:pPr>
        <w:pStyle w:val="afe"/>
        <w:ind w:leftChars="-7" w:left="198" w:hangingChars="101" w:hanging="222"/>
      </w:pPr>
      <w:r>
        <w:rPr>
          <w:rStyle w:val="aff0"/>
        </w:rPr>
        <w:footnoteRef/>
      </w:r>
      <w:r>
        <w:rPr>
          <w:rFonts w:hAnsi="標楷體" w:hint="eastAsia"/>
        </w:rPr>
        <w:t xml:space="preserve"> 修法理由略</w:t>
      </w:r>
      <w:proofErr w:type="gramStart"/>
      <w:r>
        <w:rPr>
          <w:rFonts w:hAnsi="標楷體" w:hint="eastAsia"/>
        </w:rPr>
        <w:t>以</w:t>
      </w:r>
      <w:proofErr w:type="gramEnd"/>
      <w:r>
        <w:rPr>
          <w:rFonts w:hAnsi="標楷體" w:hint="eastAsia"/>
        </w:rPr>
        <w:t>：</w:t>
      </w:r>
      <w:r w:rsidRPr="00252A61">
        <w:rPr>
          <w:rFonts w:hAnsi="標楷體" w:hint="eastAsia"/>
        </w:rPr>
        <w:t>法官曾參與該訴訟事件</w:t>
      </w:r>
      <w:r>
        <w:rPr>
          <w:rFonts w:hAnsi="標楷體" w:hint="eastAsia"/>
        </w:rPr>
        <w:t>「</w:t>
      </w:r>
      <w:r w:rsidRPr="00252A61">
        <w:rPr>
          <w:rFonts w:hAnsi="標楷體" w:hint="eastAsia"/>
        </w:rPr>
        <w:t>更審前之裁判」，依其文義解釋，凡在更審前曾參與該訴訟事件裁判之法官，不問係</w:t>
      </w:r>
      <w:proofErr w:type="gramStart"/>
      <w:r w:rsidRPr="00252A61">
        <w:rPr>
          <w:rFonts w:hAnsi="標楷體" w:hint="eastAsia"/>
        </w:rPr>
        <w:t>在何審級</w:t>
      </w:r>
      <w:proofErr w:type="gramEnd"/>
      <w:r w:rsidRPr="00252A61">
        <w:rPr>
          <w:rFonts w:hAnsi="標楷體" w:hint="eastAsia"/>
        </w:rPr>
        <w:t>，均包括在內。若該訴訟事件發回多次，而原審法院法官員額較少，勢必發生無法官可執行職務之情形。又依修正後第478條第4項規定，</w:t>
      </w:r>
      <w:proofErr w:type="gramStart"/>
      <w:r w:rsidRPr="00252A61">
        <w:rPr>
          <w:rFonts w:hAnsi="標楷體" w:hint="eastAsia"/>
        </w:rPr>
        <w:t>受發回</w:t>
      </w:r>
      <w:proofErr w:type="gramEnd"/>
      <w:r w:rsidRPr="00252A61">
        <w:rPr>
          <w:rFonts w:hAnsi="標楷體" w:hint="eastAsia"/>
        </w:rPr>
        <w:t>或發交之法院，應以第三審法院所為廢棄理由之法律上判斷為其判斷基礎，故該訴訟事件於發回或發</w:t>
      </w:r>
      <w:proofErr w:type="gramStart"/>
      <w:r w:rsidRPr="00252A61">
        <w:rPr>
          <w:rFonts w:hAnsi="標楷體" w:hint="eastAsia"/>
        </w:rPr>
        <w:t>交後縱仍</w:t>
      </w:r>
      <w:proofErr w:type="gramEnd"/>
      <w:r w:rsidRPr="00252A61">
        <w:rPr>
          <w:rFonts w:hAnsi="標楷體" w:hint="eastAsia"/>
        </w:rPr>
        <w:t>由參與更審前裁判之法官審理，亦不致有所偏頗，而有迴避之必要，</w:t>
      </w:r>
      <w:proofErr w:type="gramStart"/>
      <w:r w:rsidRPr="00252A61">
        <w:rPr>
          <w:rFonts w:hAnsi="標楷體" w:hint="eastAsia"/>
        </w:rPr>
        <w:t>爰</w:t>
      </w:r>
      <w:proofErr w:type="gramEnd"/>
      <w:r w:rsidRPr="00252A61">
        <w:rPr>
          <w:rFonts w:hAnsi="標楷體" w:hint="eastAsia"/>
        </w:rPr>
        <w:t>修正第7款，將此部分規定刪除。</w:t>
      </w:r>
    </w:p>
  </w:footnote>
  <w:footnote w:id="4">
    <w:p w:rsidR="00D76423" w:rsidRDefault="00D76423" w:rsidP="004C6CD6">
      <w:pPr>
        <w:pStyle w:val="afe"/>
        <w:rPr>
          <w:rFonts w:hAnsi="標楷體"/>
          <w:b/>
          <w:u w:val="single"/>
        </w:rPr>
      </w:pPr>
      <w:r>
        <w:rPr>
          <w:rStyle w:val="aff0"/>
        </w:rPr>
        <w:footnoteRef/>
      </w:r>
      <w:r>
        <w:rPr>
          <w:rFonts w:hint="eastAsia"/>
        </w:rPr>
        <w:t xml:space="preserve"> 最高行政法院</w:t>
      </w:r>
      <w:proofErr w:type="gramStart"/>
      <w:r w:rsidRPr="00842905">
        <w:t>101</w:t>
      </w:r>
      <w:proofErr w:type="gramEnd"/>
      <w:r w:rsidRPr="00842905">
        <w:rPr>
          <w:rFonts w:hint="eastAsia"/>
        </w:rPr>
        <w:t>年度</w:t>
      </w:r>
      <w:r w:rsidRPr="00842905">
        <w:t>7</w:t>
      </w:r>
      <w:r w:rsidRPr="00842905">
        <w:rPr>
          <w:rFonts w:hint="eastAsia"/>
        </w:rPr>
        <w:t>月份第</w:t>
      </w:r>
      <w:r w:rsidRPr="00842905">
        <w:t>1</w:t>
      </w:r>
      <w:r w:rsidRPr="00842905">
        <w:rPr>
          <w:rFonts w:hint="eastAsia"/>
        </w:rPr>
        <w:t>次庭長法官聯席會議：</w:t>
      </w:r>
    </w:p>
    <w:p w:rsidR="00D76423" w:rsidRDefault="00D76423" w:rsidP="00B676EB">
      <w:pPr>
        <w:pStyle w:val="afe"/>
        <w:ind w:leftChars="84" w:left="2270" w:hangingChars="901" w:hanging="1984"/>
      </w:pPr>
      <w:r>
        <w:rPr>
          <w:rFonts w:hint="eastAsia"/>
        </w:rPr>
        <w:t>主席報告事項(三)</w:t>
      </w:r>
      <w:r w:rsidRPr="00842905">
        <w:rPr>
          <w:rFonts w:hint="eastAsia"/>
        </w:rPr>
        <w:t>：關於本院廢棄下級審裁判，發回更審後，</w:t>
      </w:r>
      <w:r>
        <w:rPr>
          <w:rFonts w:hint="eastAsia"/>
        </w:rPr>
        <w:t>又上訴或抗告至本院，是否由原發回那一股繼續承辦，或可減少裁判歧異</w:t>
      </w:r>
      <w:r w:rsidRPr="00842905">
        <w:rPr>
          <w:rFonts w:hint="eastAsia"/>
        </w:rPr>
        <w:t>情形</w:t>
      </w:r>
      <w:r w:rsidRPr="00842905">
        <w:t>?</w:t>
      </w:r>
    </w:p>
    <w:p w:rsidR="00D76423" w:rsidRPr="00EC7679" w:rsidRDefault="00D76423" w:rsidP="00B676EB">
      <w:pPr>
        <w:pStyle w:val="afe"/>
        <w:ind w:leftChars="90" w:left="1259" w:hangingChars="433" w:hanging="953"/>
      </w:pPr>
      <w:r>
        <w:rPr>
          <w:rFonts w:hint="eastAsia"/>
        </w:rPr>
        <w:t>討論結果</w:t>
      </w:r>
      <w:r w:rsidRPr="00842905">
        <w:t>:</w:t>
      </w:r>
      <w:r w:rsidRPr="00842905">
        <w:rPr>
          <w:rFonts w:hint="eastAsia"/>
        </w:rPr>
        <w:t>本院廢棄下級審裁判，發回更審後，又上訴或抗告至本院，由原、發回那一股法官繼續承辦，如該股法官因故調離本院時，則以抽籤方式決定續辦之法官。</w:t>
      </w:r>
      <w:r w:rsidRPr="00EC7679">
        <w:rPr>
          <w:rFonts w:hint="eastAsia"/>
          <w:b/>
        </w:rPr>
        <w:t>如須</w:t>
      </w:r>
      <w:r w:rsidRPr="00EC7679">
        <w:rPr>
          <w:rFonts w:hint="eastAsia"/>
        </w:rPr>
        <w:t>修正本院訴訟事件編號、計數、分案、</w:t>
      </w:r>
      <w:proofErr w:type="gramStart"/>
      <w:r w:rsidRPr="00EC7679">
        <w:rPr>
          <w:rFonts w:hint="eastAsia"/>
        </w:rPr>
        <w:t>報結要點</w:t>
      </w:r>
      <w:proofErr w:type="gramEnd"/>
      <w:r w:rsidRPr="00EC7679">
        <w:rPr>
          <w:rFonts w:hint="eastAsia"/>
        </w:rPr>
        <w:t>，會後再行提案。</w:t>
      </w:r>
    </w:p>
  </w:footnote>
  <w:footnote w:id="5">
    <w:p w:rsidR="00D76423" w:rsidRPr="00EC7679" w:rsidRDefault="00D76423" w:rsidP="001D27AE">
      <w:pPr>
        <w:pStyle w:val="afe"/>
      </w:pPr>
      <w:r w:rsidRPr="00EC7679">
        <w:rPr>
          <w:rStyle w:val="aff0"/>
        </w:rPr>
        <w:footnoteRef/>
      </w:r>
      <w:r w:rsidRPr="00EC7679">
        <w:t xml:space="preserve"> </w:t>
      </w:r>
      <w:r w:rsidRPr="00EC7679">
        <w:rPr>
          <w:rFonts w:hint="eastAsia"/>
        </w:rPr>
        <w:t>最高法院民、刑事案件編號、計數、分案、</w:t>
      </w:r>
      <w:proofErr w:type="gramStart"/>
      <w:r w:rsidRPr="00EC7679">
        <w:rPr>
          <w:rFonts w:hint="eastAsia"/>
        </w:rPr>
        <w:t>報結要點</w:t>
      </w:r>
      <w:proofErr w:type="gramEnd"/>
      <w:r w:rsidRPr="00EC7679">
        <w:rPr>
          <w:rFonts w:hint="eastAsia"/>
        </w:rPr>
        <w:t>§10：</w:t>
      </w:r>
    </w:p>
    <w:p w:rsidR="00D76423" w:rsidRPr="00EC7679" w:rsidRDefault="00D76423" w:rsidP="00B676EB">
      <w:pPr>
        <w:pStyle w:val="afe"/>
        <w:ind w:firstLineChars="129" w:firstLine="284"/>
      </w:pPr>
      <w:r w:rsidRPr="00EC7679">
        <w:rPr>
          <w:rFonts w:hAnsi="標楷體" w:hint="eastAsia"/>
        </w:rPr>
        <w:t>「</w:t>
      </w:r>
      <w:r w:rsidRPr="00EC7679">
        <w:rPr>
          <w:rFonts w:hint="eastAsia"/>
        </w:rPr>
        <w:t>提前分案：</w:t>
      </w:r>
    </w:p>
    <w:p w:rsidR="00D76423" w:rsidRPr="00EC7679" w:rsidRDefault="00D76423" w:rsidP="00B676EB">
      <w:pPr>
        <w:pStyle w:val="afe"/>
        <w:ind w:firstLineChars="257" w:firstLine="566"/>
      </w:pPr>
      <w:r w:rsidRPr="00EC7679">
        <w:rPr>
          <w:rFonts w:hint="eastAsia"/>
        </w:rPr>
        <w:t>(</w:t>
      </w:r>
      <w:proofErr w:type="gramStart"/>
      <w:r w:rsidRPr="00EC7679">
        <w:rPr>
          <w:rFonts w:hint="eastAsia"/>
        </w:rPr>
        <w:t>一</w:t>
      </w:r>
      <w:proofErr w:type="gramEnd"/>
      <w:r w:rsidRPr="00EC7679">
        <w:rPr>
          <w:rFonts w:hint="eastAsia"/>
        </w:rPr>
        <w:t>)民事事件有下列情形者，應提前分案：</w:t>
      </w:r>
    </w:p>
    <w:p w:rsidR="00D76423" w:rsidRPr="00EC7679" w:rsidRDefault="00D76423" w:rsidP="00B676EB">
      <w:pPr>
        <w:pStyle w:val="afe"/>
        <w:ind w:firstLineChars="356" w:firstLine="784"/>
      </w:pPr>
      <w:r w:rsidRPr="00EC7679">
        <w:rPr>
          <w:rFonts w:hint="eastAsia"/>
        </w:rPr>
        <w:t>1.</w:t>
      </w:r>
      <w:r w:rsidRPr="00EC7679">
        <w:rPr>
          <w:rFonts w:hint="eastAsia"/>
          <w:b/>
        </w:rPr>
        <w:t>更二以後</w:t>
      </w:r>
      <w:r w:rsidRPr="00EC7679">
        <w:rPr>
          <w:rFonts w:hint="eastAsia"/>
        </w:rPr>
        <w:t>事件（經本院第二次發回，原審字號為更三）。</w:t>
      </w:r>
    </w:p>
    <w:p w:rsidR="00D76423" w:rsidRPr="00EC7679" w:rsidRDefault="00D76423" w:rsidP="00B676EB">
      <w:pPr>
        <w:pStyle w:val="afe"/>
        <w:ind w:firstLineChars="458" w:firstLine="1008"/>
      </w:pPr>
      <w:r w:rsidRPr="00EC7679">
        <w:rPr>
          <w:rFonts w:hAnsi="標楷體" w:hint="eastAsia"/>
        </w:rPr>
        <w:t>…</w:t>
      </w:r>
      <w:proofErr w:type="gramStart"/>
      <w:r w:rsidRPr="00EC7679">
        <w:rPr>
          <w:rFonts w:hAnsi="標楷體" w:hint="eastAsia"/>
        </w:rPr>
        <w:t>…</w:t>
      </w:r>
      <w:proofErr w:type="gramEnd"/>
      <w:r w:rsidRPr="00EC7679">
        <w:rPr>
          <w:rFonts w:hint="eastAsia"/>
        </w:rPr>
        <w:t>（以下第2~7款略）</w:t>
      </w:r>
    </w:p>
    <w:p w:rsidR="00D76423" w:rsidRPr="00EC7679" w:rsidRDefault="00D76423" w:rsidP="00B676EB">
      <w:pPr>
        <w:pStyle w:val="afe"/>
        <w:ind w:firstLineChars="257" w:firstLine="566"/>
      </w:pPr>
      <w:r w:rsidRPr="00EC7679">
        <w:rPr>
          <w:rFonts w:hint="eastAsia"/>
        </w:rPr>
        <w:t>(二)刑事案件有下列情形者，應提前分案：</w:t>
      </w:r>
    </w:p>
    <w:p w:rsidR="00D76423" w:rsidRPr="00D63B21" w:rsidRDefault="00D76423" w:rsidP="00B676EB">
      <w:pPr>
        <w:pStyle w:val="afe"/>
        <w:ind w:firstLineChars="356" w:firstLine="784"/>
      </w:pPr>
      <w:r w:rsidRPr="00EC7679">
        <w:rPr>
          <w:rFonts w:hint="eastAsia"/>
        </w:rPr>
        <w:t>1.</w:t>
      </w:r>
      <w:r w:rsidRPr="00EC7679">
        <w:rPr>
          <w:rFonts w:hint="eastAsia"/>
          <w:b/>
        </w:rPr>
        <w:t>更二以後</w:t>
      </w:r>
      <w:r w:rsidRPr="00EC7679">
        <w:rPr>
          <w:rFonts w:hint="eastAsia"/>
        </w:rPr>
        <w:t>之案件</w:t>
      </w:r>
      <w:r w:rsidRPr="00D63B21">
        <w:rPr>
          <w:rFonts w:hint="eastAsia"/>
        </w:rPr>
        <w:t>（經本院第二次發回，原審字號為更三）。</w:t>
      </w:r>
    </w:p>
    <w:p w:rsidR="00D76423" w:rsidRDefault="00D76423" w:rsidP="00B676EB">
      <w:pPr>
        <w:pStyle w:val="afe"/>
        <w:ind w:firstLineChars="458" w:firstLine="1008"/>
      </w:pPr>
      <w:r>
        <w:rPr>
          <w:rFonts w:hAnsi="標楷體" w:hint="eastAsia"/>
        </w:rPr>
        <w:t>…</w:t>
      </w:r>
      <w:proofErr w:type="gramStart"/>
      <w:r>
        <w:rPr>
          <w:rFonts w:hAnsi="標楷體" w:hint="eastAsia"/>
        </w:rPr>
        <w:t>…</w:t>
      </w:r>
      <w:proofErr w:type="gramEnd"/>
      <w:r w:rsidRPr="00D63B21">
        <w:rPr>
          <w:rFonts w:hint="eastAsia"/>
        </w:rPr>
        <w:t>（以下</w:t>
      </w:r>
      <w:r>
        <w:rPr>
          <w:rFonts w:hint="eastAsia"/>
        </w:rPr>
        <w:t>第</w:t>
      </w:r>
      <w:r w:rsidRPr="00D63B21">
        <w:rPr>
          <w:rFonts w:hint="eastAsia"/>
        </w:rPr>
        <w:t>2~23款略）</w:t>
      </w:r>
      <w:r>
        <w:rPr>
          <w:rFonts w:hAnsi="標楷體" w:hint="eastAsia"/>
        </w:rPr>
        <w:t>」</w:t>
      </w:r>
    </w:p>
  </w:footnote>
  <w:footnote w:id="6">
    <w:p w:rsidR="00D76423" w:rsidRDefault="00D76423" w:rsidP="001D27AE">
      <w:pPr>
        <w:pStyle w:val="afe"/>
      </w:pPr>
      <w:r>
        <w:rPr>
          <w:rStyle w:val="aff0"/>
        </w:rPr>
        <w:footnoteRef/>
      </w:r>
      <w:r>
        <w:t xml:space="preserve"> </w:t>
      </w:r>
      <w:r w:rsidRPr="00D63B21">
        <w:rPr>
          <w:rFonts w:hint="eastAsia"/>
        </w:rPr>
        <w:t>「最高法院第二次發回更審以後之民、刑事上訴案件分案實施要點」：</w:t>
      </w:r>
    </w:p>
    <w:p w:rsidR="00D76423" w:rsidRPr="00EC7679" w:rsidRDefault="00D76423" w:rsidP="00B676EB">
      <w:pPr>
        <w:pStyle w:val="afe"/>
        <w:ind w:leftChars="124" w:left="935" w:hangingChars="233" w:hanging="513"/>
        <w:rPr>
          <w:rFonts w:hAnsi="標楷體"/>
        </w:rPr>
      </w:pPr>
      <w:r w:rsidRPr="00D63B21">
        <w:rPr>
          <w:rFonts w:hint="eastAsia"/>
        </w:rPr>
        <w:t>§2</w:t>
      </w:r>
      <w:r>
        <w:rPr>
          <w:rFonts w:hAnsi="標楷體" w:hint="eastAsia"/>
        </w:rPr>
        <w:t>：「</w:t>
      </w:r>
      <w:r w:rsidRPr="00EC7679">
        <w:rPr>
          <w:rFonts w:hint="eastAsia"/>
          <w:b/>
        </w:rPr>
        <w:t>更二以後</w:t>
      </w:r>
      <w:r w:rsidRPr="00EC7679">
        <w:rPr>
          <w:rFonts w:hAnsi="標楷體" w:hint="eastAsia"/>
        </w:rPr>
        <w:t>之案件，按民、刑事科製作之一般分案送案清單</w:t>
      </w:r>
      <w:proofErr w:type="gramStart"/>
      <w:r w:rsidRPr="00EC7679">
        <w:rPr>
          <w:rFonts w:hAnsi="標楷體" w:hint="eastAsia"/>
        </w:rPr>
        <w:t>所列原主辦</w:t>
      </w:r>
      <w:proofErr w:type="gramEnd"/>
      <w:r w:rsidRPr="00EC7679">
        <w:rPr>
          <w:rFonts w:hAnsi="標楷體" w:hint="eastAsia"/>
        </w:rPr>
        <w:t>股法官，循一般分案程序，分由該法官辦理；並依最高法院民、刑事案件編號、計數、分案、</w:t>
      </w:r>
      <w:proofErr w:type="gramStart"/>
      <w:r w:rsidRPr="00EC7679">
        <w:rPr>
          <w:rFonts w:hAnsi="標楷體" w:hint="eastAsia"/>
        </w:rPr>
        <w:t>報結要點</w:t>
      </w:r>
      <w:proofErr w:type="gramEnd"/>
      <w:r w:rsidRPr="00EC7679">
        <w:rPr>
          <w:rFonts w:hAnsi="標楷體" w:hint="eastAsia"/>
        </w:rPr>
        <w:t>第10點規定，辦理</w:t>
      </w:r>
      <w:r w:rsidRPr="00EC7679">
        <w:rPr>
          <w:rFonts w:hint="eastAsia"/>
          <w:b/>
        </w:rPr>
        <w:t>提前分案</w:t>
      </w:r>
      <w:r w:rsidRPr="00EC7679">
        <w:rPr>
          <w:rFonts w:hAnsi="標楷體" w:hint="eastAsia"/>
        </w:rPr>
        <w:t>。」</w:t>
      </w:r>
    </w:p>
    <w:p w:rsidR="00D76423" w:rsidRPr="00EC7679" w:rsidRDefault="00D76423" w:rsidP="00B676EB">
      <w:pPr>
        <w:pStyle w:val="afe"/>
        <w:ind w:leftChars="124" w:left="935" w:hangingChars="233" w:hanging="513"/>
        <w:rPr>
          <w:rFonts w:hAnsi="標楷體"/>
        </w:rPr>
      </w:pPr>
      <w:r w:rsidRPr="00EC7679">
        <w:rPr>
          <w:rFonts w:hint="eastAsia"/>
        </w:rPr>
        <w:t>§3</w:t>
      </w:r>
      <w:r w:rsidRPr="00EC7679">
        <w:rPr>
          <w:rFonts w:hAnsi="標楷體" w:hint="eastAsia"/>
        </w:rPr>
        <w:t>：「前點案件之相關案件，一併</w:t>
      </w:r>
      <w:r w:rsidRPr="00EC7679">
        <w:rPr>
          <w:rFonts w:hint="eastAsia"/>
          <w:b/>
        </w:rPr>
        <w:t>分</w:t>
      </w:r>
      <w:proofErr w:type="gramStart"/>
      <w:r w:rsidRPr="00EC7679">
        <w:rPr>
          <w:rFonts w:hint="eastAsia"/>
          <w:b/>
        </w:rPr>
        <w:t>由該原主辦</w:t>
      </w:r>
      <w:proofErr w:type="gramEnd"/>
      <w:r w:rsidRPr="00EC7679">
        <w:rPr>
          <w:rFonts w:hint="eastAsia"/>
          <w:b/>
        </w:rPr>
        <w:t>股法官辦理</w:t>
      </w:r>
      <w:r w:rsidRPr="00EC7679">
        <w:rPr>
          <w:rFonts w:hAnsi="標楷體" w:hint="eastAsia"/>
        </w:rPr>
        <w:t>。」</w:t>
      </w:r>
    </w:p>
  </w:footnote>
  <w:footnote w:id="7">
    <w:p w:rsidR="00D76423" w:rsidRPr="0080011E" w:rsidRDefault="00D76423" w:rsidP="002C6419">
      <w:pPr>
        <w:pStyle w:val="afe"/>
      </w:pPr>
      <w:r>
        <w:rPr>
          <w:rStyle w:val="aff0"/>
        </w:rPr>
        <w:footnoteRef/>
      </w:r>
      <w:r>
        <w:t xml:space="preserve"> </w:t>
      </w:r>
      <w:r>
        <w:rPr>
          <w:rFonts w:hint="eastAsia"/>
        </w:rPr>
        <w:t>最高行政</w:t>
      </w:r>
      <w:r w:rsidRPr="0080011E">
        <w:rPr>
          <w:rFonts w:hint="eastAsia"/>
        </w:rPr>
        <w:t>法院處</w:t>
      </w:r>
      <w:proofErr w:type="gramStart"/>
      <w:r w:rsidRPr="0080011E">
        <w:rPr>
          <w:rFonts w:hint="eastAsia"/>
        </w:rPr>
        <w:t>務</w:t>
      </w:r>
      <w:proofErr w:type="gramEnd"/>
      <w:r w:rsidRPr="0080011E">
        <w:rPr>
          <w:rFonts w:hint="eastAsia"/>
        </w:rPr>
        <w:t>規程§57：</w:t>
      </w:r>
    </w:p>
    <w:p w:rsidR="00D76423" w:rsidRPr="0080011E" w:rsidRDefault="00D76423" w:rsidP="002C6419">
      <w:pPr>
        <w:pStyle w:val="afe"/>
      </w:pPr>
      <w:r w:rsidRPr="0080011E">
        <w:rPr>
          <w:rFonts w:hint="eastAsia"/>
        </w:rPr>
        <w:t>「</w:t>
      </w:r>
      <w:r w:rsidRPr="0080011E">
        <w:rPr>
          <w:rFonts w:hAnsi="標楷體" w:hint="eastAsia"/>
        </w:rPr>
        <w:t>Ⅰ</w:t>
      </w:r>
      <w:r w:rsidRPr="0080011E">
        <w:rPr>
          <w:rFonts w:hint="eastAsia"/>
        </w:rPr>
        <w:t>.分案</w:t>
      </w:r>
      <w:proofErr w:type="gramStart"/>
      <w:r w:rsidRPr="0080011E">
        <w:rPr>
          <w:rFonts w:hint="eastAsia"/>
        </w:rPr>
        <w:t>前續收</w:t>
      </w:r>
      <w:proofErr w:type="gramEnd"/>
      <w:r w:rsidRPr="0080011E">
        <w:rPr>
          <w:rFonts w:hint="eastAsia"/>
        </w:rPr>
        <w:t>之訴訟文件，審查科應併入原卷。</w:t>
      </w:r>
    </w:p>
    <w:p w:rsidR="00D76423" w:rsidRDefault="00D76423" w:rsidP="00B676EB">
      <w:pPr>
        <w:pStyle w:val="afe"/>
        <w:ind w:firstLineChars="95" w:firstLine="209"/>
      </w:pPr>
      <w:r w:rsidRPr="0080011E">
        <w:rPr>
          <w:rFonts w:hint="eastAsia"/>
        </w:rPr>
        <w:t>Ⅱ</w:t>
      </w:r>
      <w:r>
        <w:rPr>
          <w:rFonts w:hint="eastAsia"/>
        </w:rPr>
        <w:t>.</w:t>
      </w:r>
      <w:r w:rsidRPr="0080011E">
        <w:rPr>
          <w:rFonts w:hint="eastAsia"/>
        </w:rPr>
        <w:t>分庭未結</w:t>
      </w:r>
      <w:proofErr w:type="gramStart"/>
      <w:r w:rsidRPr="0080011E">
        <w:rPr>
          <w:rFonts w:hint="eastAsia"/>
        </w:rPr>
        <w:t>事件續收文件</w:t>
      </w:r>
      <w:proofErr w:type="gramEnd"/>
      <w:r w:rsidRPr="0080011E">
        <w:rPr>
          <w:rFonts w:hint="eastAsia"/>
        </w:rPr>
        <w:t>，隨時分送各主辦法官處理。</w:t>
      </w:r>
    </w:p>
    <w:p w:rsidR="00D76423" w:rsidRDefault="00D76423" w:rsidP="00B676EB">
      <w:pPr>
        <w:pStyle w:val="afe"/>
        <w:ind w:firstLineChars="95" w:firstLine="209"/>
      </w:pPr>
      <w:r>
        <w:rPr>
          <w:rFonts w:hAnsi="標楷體" w:hint="eastAsia"/>
        </w:rPr>
        <w:t>…</w:t>
      </w:r>
      <w:proofErr w:type="gramStart"/>
      <w:r>
        <w:rPr>
          <w:rFonts w:hAnsi="標楷體" w:hint="eastAsia"/>
        </w:rPr>
        <w:t>…</w:t>
      </w:r>
      <w:proofErr w:type="gramEnd"/>
      <w:r w:rsidRPr="00D63B21">
        <w:rPr>
          <w:rFonts w:hint="eastAsia"/>
        </w:rPr>
        <w:t>（以下</w:t>
      </w:r>
      <w:r>
        <w:rPr>
          <w:rFonts w:hint="eastAsia"/>
        </w:rPr>
        <w:t>第3</w:t>
      </w:r>
      <w:r w:rsidRPr="00D63B21">
        <w:rPr>
          <w:rFonts w:hint="eastAsia"/>
        </w:rPr>
        <w:t>~</w:t>
      </w:r>
      <w:r>
        <w:rPr>
          <w:rFonts w:hint="eastAsia"/>
        </w:rPr>
        <w:t>4項</w:t>
      </w:r>
      <w:r w:rsidRPr="00D63B21">
        <w:rPr>
          <w:rFonts w:hint="eastAsia"/>
        </w:rPr>
        <w:t>略）</w:t>
      </w:r>
      <w:r w:rsidRPr="0080011E">
        <w:rPr>
          <w:rFonts w:hAnsi="標楷體" w:hint="eastAsia"/>
        </w:rPr>
        <w:t>」</w:t>
      </w:r>
    </w:p>
  </w:footnote>
  <w:footnote w:id="8">
    <w:p w:rsidR="00D76423" w:rsidRDefault="00D76423" w:rsidP="00B676EB">
      <w:pPr>
        <w:pStyle w:val="afe"/>
        <w:ind w:left="209" w:hangingChars="95" w:hanging="209"/>
      </w:pPr>
      <w:r>
        <w:rPr>
          <w:rStyle w:val="aff0"/>
        </w:rPr>
        <w:footnoteRef/>
      </w:r>
      <w:r>
        <w:rPr>
          <w:rFonts w:hAnsi="標楷體" w:hint="eastAsia"/>
        </w:rPr>
        <w:t xml:space="preserve"> </w:t>
      </w:r>
      <w:r w:rsidRPr="003D5BBB">
        <w:rPr>
          <w:rFonts w:hAnsi="標楷體" w:hint="eastAsia"/>
        </w:rPr>
        <w:t>最高行政法院訴訟事件編號計數分</w:t>
      </w:r>
      <w:proofErr w:type="gramStart"/>
      <w:r w:rsidRPr="003D5BBB">
        <w:rPr>
          <w:rFonts w:hAnsi="標楷體" w:hint="eastAsia"/>
        </w:rPr>
        <w:t>案報結要點</w:t>
      </w:r>
      <w:proofErr w:type="gramEnd"/>
      <w:r w:rsidRPr="0080011E">
        <w:rPr>
          <w:rFonts w:hint="eastAsia"/>
        </w:rPr>
        <w:t>§</w:t>
      </w:r>
      <w:r w:rsidRPr="003D5BBB">
        <w:rPr>
          <w:rFonts w:hAnsi="標楷體" w:hint="eastAsia"/>
        </w:rPr>
        <w:t>12</w:t>
      </w:r>
      <w:r>
        <w:rPr>
          <w:rFonts w:hint="eastAsia"/>
        </w:rPr>
        <w:t>：</w:t>
      </w:r>
    </w:p>
    <w:p w:rsidR="00D76423" w:rsidRDefault="00D76423" w:rsidP="00B676EB">
      <w:pPr>
        <w:pStyle w:val="afe"/>
        <w:ind w:left="209" w:hangingChars="95" w:hanging="209"/>
      </w:pPr>
      <w:r>
        <w:rPr>
          <w:rFonts w:hAnsi="標楷體" w:hint="eastAsia"/>
        </w:rPr>
        <w:t>「</w:t>
      </w:r>
      <w:r>
        <w:rPr>
          <w:rFonts w:hint="eastAsia"/>
        </w:rPr>
        <w:t>已分未結訴訟事件</w:t>
      </w:r>
      <w:proofErr w:type="gramStart"/>
      <w:r>
        <w:rPr>
          <w:rFonts w:hint="eastAsia"/>
        </w:rPr>
        <w:t>文狀之併</w:t>
      </w:r>
      <w:proofErr w:type="gramEnd"/>
      <w:r>
        <w:rPr>
          <w:rFonts w:hint="eastAsia"/>
        </w:rPr>
        <w:t>案，由文書科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送承辦書記官簽收辦理。如遇有非本股承辦之訴訟事件時，應即加附字條說明退還改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。</w:t>
      </w:r>
      <w:r>
        <w:rPr>
          <w:rFonts w:hAnsi="標楷體" w:hint="eastAsia"/>
        </w:rPr>
        <w:t>」</w:t>
      </w:r>
    </w:p>
  </w:footnote>
  <w:footnote w:id="9">
    <w:p w:rsidR="00D76423" w:rsidRDefault="00D76423" w:rsidP="004C3E1B">
      <w:pPr>
        <w:pStyle w:val="afe"/>
        <w:rPr>
          <w:rFonts w:hAnsi="標楷體"/>
          <w:b/>
          <w:u w:val="single"/>
        </w:rPr>
      </w:pPr>
      <w:r>
        <w:rPr>
          <w:rStyle w:val="aff0"/>
        </w:rPr>
        <w:footnoteRef/>
      </w:r>
      <w:r>
        <w:rPr>
          <w:rFonts w:hint="eastAsia"/>
        </w:rPr>
        <w:t xml:space="preserve"> 最高行政法院</w:t>
      </w:r>
      <w:proofErr w:type="gramStart"/>
      <w:r>
        <w:t>10</w:t>
      </w:r>
      <w:r>
        <w:rPr>
          <w:rFonts w:hint="eastAsia"/>
        </w:rPr>
        <w:t>4</w:t>
      </w:r>
      <w:proofErr w:type="gramEnd"/>
      <w:r w:rsidRPr="00842905">
        <w:rPr>
          <w:rFonts w:hint="eastAsia"/>
        </w:rPr>
        <w:t>年度</w:t>
      </w:r>
      <w:r>
        <w:rPr>
          <w:rFonts w:hint="eastAsia"/>
        </w:rPr>
        <w:t>4</w:t>
      </w:r>
      <w:r w:rsidRPr="00842905">
        <w:rPr>
          <w:rFonts w:hint="eastAsia"/>
        </w:rPr>
        <w:t>月份第</w:t>
      </w:r>
      <w:r>
        <w:rPr>
          <w:rFonts w:hint="eastAsia"/>
        </w:rPr>
        <w:t>2</w:t>
      </w:r>
      <w:r w:rsidRPr="00842905">
        <w:rPr>
          <w:rFonts w:hint="eastAsia"/>
        </w:rPr>
        <w:t>次庭長法官聯席會議：</w:t>
      </w:r>
    </w:p>
    <w:p w:rsidR="00D76423" w:rsidRPr="00EC7679" w:rsidRDefault="00D76423" w:rsidP="00B676EB">
      <w:pPr>
        <w:pStyle w:val="afe"/>
        <w:ind w:leftChars="84" w:left="2270" w:hangingChars="901" w:hanging="1984"/>
      </w:pPr>
      <w:r>
        <w:rPr>
          <w:rFonts w:hint="eastAsia"/>
        </w:rPr>
        <w:t>主席報告事項(二)</w:t>
      </w:r>
      <w:r w:rsidRPr="00842905">
        <w:rPr>
          <w:rFonts w:hint="eastAsia"/>
        </w:rPr>
        <w:t>：</w:t>
      </w:r>
      <w:r w:rsidRPr="0062252C">
        <w:rPr>
          <w:rFonts w:hint="eastAsia"/>
        </w:rPr>
        <w:t>案件分庭後聲請該庭法官迴避，</w:t>
      </w:r>
      <w:r w:rsidRPr="00EC7679">
        <w:rPr>
          <w:rFonts w:hint="eastAsia"/>
        </w:rPr>
        <w:t>聲請狀</w:t>
      </w:r>
      <w:r w:rsidRPr="00EC7679">
        <w:rPr>
          <w:rFonts w:hint="eastAsia"/>
          <w:b/>
        </w:rPr>
        <w:t>向來</w:t>
      </w:r>
      <w:r w:rsidRPr="00EC7679">
        <w:rPr>
          <w:rFonts w:hint="eastAsia"/>
        </w:rPr>
        <w:t>都送承辦股，</w:t>
      </w:r>
      <w:r w:rsidRPr="00EC7679">
        <w:rPr>
          <w:rFonts w:hint="eastAsia"/>
          <w:b/>
        </w:rPr>
        <w:t>或是為了讓承辦庭決定是否停止本案訴訟程序</w:t>
      </w:r>
      <w:r w:rsidRPr="00EC7679">
        <w:rPr>
          <w:rFonts w:hint="eastAsia"/>
        </w:rPr>
        <w:t>。</w:t>
      </w:r>
      <w:proofErr w:type="gramStart"/>
      <w:r w:rsidRPr="00EC7679">
        <w:rPr>
          <w:rFonts w:hint="eastAsia"/>
        </w:rPr>
        <w:t>此類聲請</w:t>
      </w:r>
      <w:proofErr w:type="gramEnd"/>
      <w:r w:rsidRPr="00EC7679">
        <w:rPr>
          <w:rFonts w:hint="eastAsia"/>
        </w:rPr>
        <w:t>大多數</w:t>
      </w:r>
      <w:r w:rsidRPr="00EC7679">
        <w:rPr>
          <w:rFonts w:hint="eastAsia"/>
          <w:b/>
        </w:rPr>
        <w:t>應分案由他庭裁定，請承辦股儘速批示</w:t>
      </w:r>
      <w:r w:rsidRPr="00EC7679">
        <w:rPr>
          <w:rFonts w:hint="eastAsia"/>
        </w:rPr>
        <w:t>，送</w:t>
      </w:r>
      <w:proofErr w:type="gramStart"/>
      <w:r w:rsidRPr="00EC7679">
        <w:rPr>
          <w:rFonts w:hint="eastAsia"/>
        </w:rPr>
        <w:t>審查料分案</w:t>
      </w:r>
      <w:proofErr w:type="gramEnd"/>
      <w:r w:rsidRPr="00EC7679">
        <w:rPr>
          <w:rFonts w:hint="eastAsia"/>
        </w:rPr>
        <w:t>。</w:t>
      </w:r>
    </w:p>
  </w:footnote>
  <w:footnote w:id="10">
    <w:p w:rsidR="00D76423" w:rsidRPr="00EC7679" w:rsidRDefault="00D76423" w:rsidP="004C3E1B">
      <w:pPr>
        <w:pStyle w:val="afe"/>
        <w:rPr>
          <w:rFonts w:hAnsi="標楷體"/>
          <w:b/>
          <w:u w:val="single"/>
        </w:rPr>
      </w:pPr>
      <w:r w:rsidRPr="00EC7679">
        <w:rPr>
          <w:rStyle w:val="aff0"/>
        </w:rPr>
        <w:footnoteRef/>
      </w:r>
      <w:r w:rsidRPr="00EC7679">
        <w:rPr>
          <w:rFonts w:hint="eastAsia"/>
        </w:rPr>
        <w:t xml:space="preserve"> 最高行政法院</w:t>
      </w:r>
      <w:proofErr w:type="gramStart"/>
      <w:r w:rsidRPr="00EC7679">
        <w:t>10</w:t>
      </w:r>
      <w:r w:rsidRPr="00EC7679">
        <w:rPr>
          <w:rFonts w:hint="eastAsia"/>
        </w:rPr>
        <w:t>4</w:t>
      </w:r>
      <w:proofErr w:type="gramEnd"/>
      <w:r w:rsidRPr="00EC7679">
        <w:rPr>
          <w:rFonts w:hint="eastAsia"/>
        </w:rPr>
        <w:t>年度5月份庭長法官聯席會議：</w:t>
      </w:r>
    </w:p>
    <w:p w:rsidR="00D76423" w:rsidRPr="00EC7679" w:rsidRDefault="00D76423" w:rsidP="00B676EB">
      <w:pPr>
        <w:pStyle w:val="afe"/>
        <w:ind w:leftChars="84" w:left="2270" w:hangingChars="901" w:hanging="1984"/>
      </w:pPr>
      <w:r w:rsidRPr="00EC7679">
        <w:rPr>
          <w:rFonts w:hint="eastAsia"/>
        </w:rPr>
        <w:t>主席報告事項</w:t>
      </w:r>
      <w:r w:rsidRPr="00EC7679">
        <w:t>(</w:t>
      </w:r>
      <w:proofErr w:type="gramStart"/>
      <w:r w:rsidRPr="00EC7679">
        <w:rPr>
          <w:rFonts w:hint="eastAsia"/>
        </w:rPr>
        <w:t>一</w:t>
      </w:r>
      <w:proofErr w:type="gramEnd"/>
      <w:r w:rsidRPr="00EC7679">
        <w:t>)</w:t>
      </w:r>
      <w:r w:rsidRPr="00EC7679">
        <w:rPr>
          <w:rFonts w:hint="eastAsia"/>
        </w:rPr>
        <w:t>：最近有當事人抗議聲請法官迴避狀未分案由他庭裁定，而</w:t>
      </w:r>
      <w:proofErr w:type="gramStart"/>
      <w:r w:rsidRPr="00EC7679">
        <w:rPr>
          <w:rFonts w:hint="eastAsia"/>
        </w:rPr>
        <w:t>由被聲請</w:t>
      </w:r>
      <w:proofErr w:type="gramEnd"/>
      <w:r w:rsidRPr="00EC7679">
        <w:rPr>
          <w:rFonts w:hint="eastAsia"/>
        </w:rPr>
        <w:t>迴避該庭逕行於原案</w:t>
      </w:r>
      <w:proofErr w:type="gramStart"/>
      <w:r w:rsidRPr="00EC7679">
        <w:rPr>
          <w:rFonts w:hint="eastAsia"/>
        </w:rPr>
        <w:t>併</w:t>
      </w:r>
      <w:proofErr w:type="gramEnd"/>
      <w:r w:rsidRPr="00EC7679">
        <w:rPr>
          <w:rFonts w:hint="eastAsia"/>
        </w:rPr>
        <w:t>予駁回。是否改變現行將聲請狀送原承辦股作法，</w:t>
      </w:r>
      <w:proofErr w:type="gramStart"/>
      <w:r w:rsidRPr="00EC7679">
        <w:rPr>
          <w:rFonts w:hint="eastAsia"/>
          <w:b/>
        </w:rPr>
        <w:t>收狀後</w:t>
      </w:r>
      <w:proofErr w:type="gramEnd"/>
      <w:r w:rsidRPr="00EC7679">
        <w:rPr>
          <w:rFonts w:hint="eastAsia"/>
          <w:b/>
        </w:rPr>
        <w:t>即送</w:t>
      </w:r>
      <w:proofErr w:type="gramStart"/>
      <w:r w:rsidRPr="00EC7679">
        <w:rPr>
          <w:rFonts w:hint="eastAsia"/>
          <w:b/>
        </w:rPr>
        <w:t>審查料分案由</w:t>
      </w:r>
      <w:proofErr w:type="gramEnd"/>
      <w:r w:rsidRPr="00EC7679">
        <w:rPr>
          <w:rFonts w:hint="eastAsia"/>
          <w:b/>
        </w:rPr>
        <w:t>他庭裁定</w:t>
      </w:r>
      <w:r w:rsidRPr="00EC7679">
        <w:rPr>
          <w:rFonts w:hint="eastAsia"/>
        </w:rPr>
        <w:t>，</w:t>
      </w:r>
      <w:r w:rsidRPr="00EC7679">
        <w:rPr>
          <w:rFonts w:hint="eastAsia"/>
          <w:b/>
        </w:rPr>
        <w:t>並由審查科影印聲請狀送原承辦股參考</w:t>
      </w:r>
      <w:r w:rsidRPr="00EC7679">
        <w:rPr>
          <w:rFonts w:hint="eastAsia"/>
        </w:rPr>
        <w:t>。</w:t>
      </w:r>
    </w:p>
    <w:p w:rsidR="00D76423" w:rsidRPr="00C46228" w:rsidRDefault="00D76423" w:rsidP="00B676EB">
      <w:pPr>
        <w:pStyle w:val="afe"/>
        <w:ind w:leftChars="481" w:left="2263" w:hangingChars="285" w:hanging="627"/>
      </w:pPr>
      <w:r w:rsidRPr="00EC7679">
        <w:t>(</w:t>
      </w:r>
      <w:r w:rsidRPr="00EC7679">
        <w:rPr>
          <w:rFonts w:hint="eastAsia"/>
        </w:rPr>
        <w:t>二</w:t>
      </w:r>
      <w:r w:rsidRPr="00EC7679">
        <w:t>)</w:t>
      </w:r>
      <w:r w:rsidRPr="00EC7679">
        <w:rPr>
          <w:rFonts w:hint="eastAsia"/>
        </w:rPr>
        <w:t>：聲請法官</w:t>
      </w:r>
      <w:r w:rsidRPr="00EC7679">
        <w:t>1</w:t>
      </w:r>
      <w:r w:rsidRPr="00EC7679">
        <w:rPr>
          <w:rFonts w:hint="eastAsia"/>
        </w:rPr>
        <w:t>人迴避，原則上同庭其他成員也</w:t>
      </w:r>
      <w:proofErr w:type="gramStart"/>
      <w:r w:rsidRPr="00EC7679">
        <w:rPr>
          <w:rFonts w:hint="eastAsia"/>
        </w:rPr>
        <w:t>不分受聲</w:t>
      </w:r>
      <w:r w:rsidRPr="00C46228">
        <w:rPr>
          <w:rFonts w:hint="eastAsia"/>
        </w:rPr>
        <w:t>請</w:t>
      </w:r>
      <w:proofErr w:type="gramEnd"/>
      <w:r w:rsidRPr="00C46228">
        <w:rPr>
          <w:rFonts w:hint="eastAsia"/>
        </w:rPr>
        <w:t>迴避案。</w:t>
      </w:r>
    </w:p>
  </w:footnote>
  <w:footnote w:id="11">
    <w:p w:rsidR="00D76423" w:rsidRPr="00D33B95" w:rsidRDefault="00D76423" w:rsidP="00544D5D">
      <w:pPr>
        <w:pStyle w:val="afe"/>
        <w:ind w:left="209" w:hangingChars="95" w:hanging="209"/>
        <w:rPr>
          <w:szCs w:val="32"/>
        </w:rPr>
      </w:pPr>
      <w:r>
        <w:rPr>
          <w:rStyle w:val="aff0"/>
        </w:rPr>
        <w:footnoteRef/>
      </w:r>
      <w:r>
        <w:t xml:space="preserve"> </w:t>
      </w:r>
      <w:r>
        <w:rPr>
          <w:rFonts w:hint="eastAsia"/>
        </w:rPr>
        <w:t>憲法</w:t>
      </w:r>
      <w:r>
        <w:rPr>
          <w:rFonts w:hAnsi="標楷體" w:hint="eastAsia"/>
        </w:rPr>
        <w:t>§</w:t>
      </w:r>
      <w:r>
        <w:rPr>
          <w:rFonts w:hint="eastAsia"/>
        </w:rPr>
        <w:t>172：</w:t>
      </w:r>
      <w:r>
        <w:rPr>
          <w:rFonts w:hAnsi="標楷體" w:hint="eastAsia"/>
          <w:szCs w:val="32"/>
        </w:rPr>
        <w:t>「</w:t>
      </w:r>
      <w:r>
        <w:rPr>
          <w:rFonts w:hint="eastAsia"/>
          <w:szCs w:val="32"/>
        </w:rPr>
        <w:t>命令與憲法或法律牴觸者無效。</w:t>
      </w:r>
      <w:r w:rsidRPr="00D33B95">
        <w:rPr>
          <w:rFonts w:hint="eastAsia"/>
          <w:szCs w:val="32"/>
        </w:rPr>
        <w:t>」、</w:t>
      </w:r>
      <w:r w:rsidRPr="00D33B95">
        <w:rPr>
          <w:szCs w:val="32"/>
        </w:rPr>
        <w:t>行政程序法</w:t>
      </w:r>
      <w:r w:rsidRPr="00D33B95">
        <w:rPr>
          <w:szCs w:val="32"/>
        </w:rPr>
        <w:t>§</w:t>
      </w:r>
      <w:r w:rsidRPr="00D33B95">
        <w:rPr>
          <w:szCs w:val="32"/>
        </w:rPr>
        <w:t>158</w:t>
      </w:r>
      <w:r w:rsidRPr="0080011E">
        <w:rPr>
          <w:rFonts w:hAnsi="標楷體" w:hint="eastAsia"/>
        </w:rPr>
        <w:t>Ⅰ</w:t>
      </w:r>
      <w:r>
        <w:rPr>
          <w:rFonts w:hint="eastAsia"/>
          <w:szCs w:val="32"/>
        </w:rPr>
        <w:t>：</w:t>
      </w:r>
      <w:r w:rsidRPr="00D33B95">
        <w:rPr>
          <w:szCs w:val="32"/>
        </w:rPr>
        <w:t>「法規命令，有下列情形之</w:t>
      </w:r>
      <w:proofErr w:type="gramStart"/>
      <w:r w:rsidRPr="00D33B95">
        <w:rPr>
          <w:szCs w:val="32"/>
        </w:rPr>
        <w:t>一</w:t>
      </w:r>
      <w:proofErr w:type="gramEnd"/>
      <w:r w:rsidRPr="00D33B95">
        <w:rPr>
          <w:szCs w:val="32"/>
        </w:rPr>
        <w:t>者，無效：一、牴觸憲法、法律或上級機關之命令者。</w:t>
      </w:r>
      <w:r>
        <w:rPr>
          <w:rFonts w:hAnsi="標楷體" w:hint="eastAsia"/>
          <w:szCs w:val="32"/>
        </w:rPr>
        <w:t>…</w:t>
      </w:r>
      <w:proofErr w:type="gramStart"/>
      <w:r>
        <w:rPr>
          <w:rFonts w:hAnsi="標楷體" w:hint="eastAsia"/>
          <w:szCs w:val="32"/>
        </w:rPr>
        <w:t>…</w:t>
      </w:r>
      <w:proofErr w:type="gramEnd"/>
      <w:r>
        <w:rPr>
          <w:rFonts w:hAnsi="標楷體" w:hint="eastAsia"/>
          <w:szCs w:val="32"/>
        </w:rPr>
        <w:t>」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9B5C52"/>
    <w:multiLevelType w:val="multilevel"/>
    <w:tmpl w:val="9A0E7DB6"/>
    <w:lvl w:ilvl="0">
      <w:start w:val="1"/>
      <w:numFmt w:val="ideographTraditional"/>
      <w:pStyle w:val="a0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LegalTraditional"/>
      <w:pStyle w:val="a1"/>
      <w:suff w:val="nothing"/>
      <w:lvlText w:val="%2、"/>
      <w:lvlJc w:val="left"/>
      <w:pPr>
        <w:ind w:left="454" w:hanging="454"/>
      </w:pPr>
      <w:rPr>
        <w:rFonts w:hint="eastAsia"/>
        <w:color w:val="auto"/>
      </w:rPr>
    </w:lvl>
    <w:lvl w:ilvl="2">
      <w:start w:val="1"/>
      <w:numFmt w:val="taiwaneseCountingThousand"/>
      <w:pStyle w:val="a2"/>
      <w:suff w:val="nothing"/>
      <w:lvlText w:val="%3、"/>
      <w:lvlJc w:val="left"/>
      <w:pPr>
        <w:ind w:left="1658" w:hanging="1418"/>
      </w:pPr>
      <w:rPr>
        <w:rFonts w:hint="eastAsia"/>
        <w:lang w:val="en-US"/>
      </w:rPr>
    </w:lvl>
    <w:lvl w:ilvl="3">
      <w:start w:val="1"/>
      <w:numFmt w:val="taiwaneseCountingThousand"/>
      <w:pStyle w:val="a3"/>
      <w:suff w:val="nothing"/>
      <w:lvlText w:val="(%4)"/>
      <w:lvlJc w:val="left"/>
      <w:pPr>
        <w:ind w:left="1985" w:hanging="1985"/>
      </w:pPr>
      <w:rPr>
        <w:rFonts w:hint="eastAsia"/>
      </w:rPr>
    </w:lvl>
    <w:lvl w:ilvl="4">
      <w:start w:val="1"/>
      <w:numFmt w:val="decimal"/>
      <w:pStyle w:val="1"/>
      <w:lvlText w:val="%5."/>
      <w:lvlJc w:val="left"/>
      <w:pPr>
        <w:tabs>
          <w:tab w:val="num" w:pos="426"/>
        </w:tabs>
        <w:ind w:left="2411" w:hanging="851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140E010C"/>
    <w:multiLevelType w:val="multilevel"/>
    <w:tmpl w:val="01D0DB0C"/>
    <w:lvl w:ilvl="0">
      <w:start w:val="1"/>
      <w:numFmt w:val="ideographLegalTraditional"/>
      <w:pStyle w:val="10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39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3">
    <w:nsid w:val="19532EFC"/>
    <w:multiLevelType w:val="hybridMultilevel"/>
    <w:tmpl w:val="7CBA69F8"/>
    <w:lvl w:ilvl="0" w:tplc="178A5CEA">
      <w:start w:val="1"/>
      <w:numFmt w:val="taiwaneseCountingThousand"/>
      <w:pStyle w:val="a4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5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05AE3BB2"/>
    <w:lvl w:ilvl="0" w:tplc="6DE67236">
      <w:start w:val="1"/>
      <w:numFmt w:val="taiwaneseCountingThousand"/>
      <w:pStyle w:val="a6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15E8C1C8"/>
    <w:lvl w:ilvl="0" w:tplc="93F24858">
      <w:start w:val="1"/>
      <w:numFmt w:val="decimal"/>
      <w:pStyle w:val="a7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8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9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bordersDoNotSurroundHeader/>
  <w:bordersDoNotSurroundFooter/>
  <w:proofState w:spelling="clean" w:grammar="clean"/>
  <w:attachedTemplate r:id="rId1"/>
  <w:stylePaneFormatFilter w:val="1028"/>
  <w:mailMerge>
    <w:mainDocumentType w:val="formLetters"/>
    <w:linkToQuery/>
    <w:dataType w:val="textFile"/>
    <w:connectString w:val=""/>
    <w:query w:val="SELECT * FROM D:\派查資料.doc"/>
    <w:activeRecord w:val="98"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302B2"/>
    <w:rsid w:val="00006961"/>
    <w:rsid w:val="000072F3"/>
    <w:rsid w:val="000112BF"/>
    <w:rsid w:val="00012233"/>
    <w:rsid w:val="00013ACD"/>
    <w:rsid w:val="00017318"/>
    <w:rsid w:val="00021B2B"/>
    <w:rsid w:val="00021CC5"/>
    <w:rsid w:val="000246F7"/>
    <w:rsid w:val="0003114D"/>
    <w:rsid w:val="000333DC"/>
    <w:rsid w:val="0003602F"/>
    <w:rsid w:val="00036D76"/>
    <w:rsid w:val="00040555"/>
    <w:rsid w:val="000450D1"/>
    <w:rsid w:val="000516D4"/>
    <w:rsid w:val="00056A5E"/>
    <w:rsid w:val="00057F32"/>
    <w:rsid w:val="00062A25"/>
    <w:rsid w:val="00064054"/>
    <w:rsid w:val="00067767"/>
    <w:rsid w:val="000711AD"/>
    <w:rsid w:val="00072F59"/>
    <w:rsid w:val="00073189"/>
    <w:rsid w:val="00073CB5"/>
    <w:rsid w:val="0007425C"/>
    <w:rsid w:val="00077553"/>
    <w:rsid w:val="000851A2"/>
    <w:rsid w:val="000853D1"/>
    <w:rsid w:val="000861FA"/>
    <w:rsid w:val="0009352E"/>
    <w:rsid w:val="00096770"/>
    <w:rsid w:val="00096B96"/>
    <w:rsid w:val="000A1406"/>
    <w:rsid w:val="000A2F3F"/>
    <w:rsid w:val="000A5BD0"/>
    <w:rsid w:val="000B0579"/>
    <w:rsid w:val="000B0B4A"/>
    <w:rsid w:val="000B18BE"/>
    <w:rsid w:val="000B279A"/>
    <w:rsid w:val="000B2A01"/>
    <w:rsid w:val="000B61D2"/>
    <w:rsid w:val="000B70A7"/>
    <w:rsid w:val="000B73DD"/>
    <w:rsid w:val="000C142C"/>
    <w:rsid w:val="000C14D9"/>
    <w:rsid w:val="000C495F"/>
    <w:rsid w:val="000D6A4A"/>
    <w:rsid w:val="000D7FAD"/>
    <w:rsid w:val="000E02B7"/>
    <w:rsid w:val="000E3991"/>
    <w:rsid w:val="000E6431"/>
    <w:rsid w:val="000F21A5"/>
    <w:rsid w:val="000F227E"/>
    <w:rsid w:val="000F76D3"/>
    <w:rsid w:val="0010140B"/>
    <w:rsid w:val="00102B9F"/>
    <w:rsid w:val="001036F6"/>
    <w:rsid w:val="0010536C"/>
    <w:rsid w:val="00111CDE"/>
    <w:rsid w:val="00111D9B"/>
    <w:rsid w:val="00112637"/>
    <w:rsid w:val="00112ABC"/>
    <w:rsid w:val="0011521C"/>
    <w:rsid w:val="0012001E"/>
    <w:rsid w:val="00120972"/>
    <w:rsid w:val="00124D19"/>
    <w:rsid w:val="00126A55"/>
    <w:rsid w:val="00131618"/>
    <w:rsid w:val="001331DA"/>
    <w:rsid w:val="00133F08"/>
    <w:rsid w:val="001345E6"/>
    <w:rsid w:val="00136A7B"/>
    <w:rsid w:val="00137219"/>
    <w:rsid w:val="001378B0"/>
    <w:rsid w:val="00142E00"/>
    <w:rsid w:val="001454A1"/>
    <w:rsid w:val="00152793"/>
    <w:rsid w:val="00152FBF"/>
    <w:rsid w:val="00153B7E"/>
    <w:rsid w:val="001545A9"/>
    <w:rsid w:val="0015466D"/>
    <w:rsid w:val="001637C7"/>
    <w:rsid w:val="00163CDE"/>
    <w:rsid w:val="0016480E"/>
    <w:rsid w:val="0016485C"/>
    <w:rsid w:val="00165F1F"/>
    <w:rsid w:val="00166813"/>
    <w:rsid w:val="00172126"/>
    <w:rsid w:val="00174297"/>
    <w:rsid w:val="001743FA"/>
    <w:rsid w:val="00180E06"/>
    <w:rsid w:val="00181065"/>
    <w:rsid w:val="001817B3"/>
    <w:rsid w:val="00183014"/>
    <w:rsid w:val="00183E0D"/>
    <w:rsid w:val="001959C2"/>
    <w:rsid w:val="001A51E3"/>
    <w:rsid w:val="001A7968"/>
    <w:rsid w:val="001B2E98"/>
    <w:rsid w:val="001B3483"/>
    <w:rsid w:val="001B3C1E"/>
    <w:rsid w:val="001B400B"/>
    <w:rsid w:val="001B4494"/>
    <w:rsid w:val="001C0D8B"/>
    <w:rsid w:val="001C0DA8"/>
    <w:rsid w:val="001C3EBB"/>
    <w:rsid w:val="001D27AE"/>
    <w:rsid w:val="001D4AD7"/>
    <w:rsid w:val="001D63F6"/>
    <w:rsid w:val="001E0D8A"/>
    <w:rsid w:val="001E28EA"/>
    <w:rsid w:val="001E67BA"/>
    <w:rsid w:val="001E6E01"/>
    <w:rsid w:val="001E74C2"/>
    <w:rsid w:val="001F5A48"/>
    <w:rsid w:val="001F6260"/>
    <w:rsid w:val="001F714F"/>
    <w:rsid w:val="00200007"/>
    <w:rsid w:val="00200E4D"/>
    <w:rsid w:val="00203021"/>
    <w:rsid w:val="002030A5"/>
    <w:rsid w:val="00203131"/>
    <w:rsid w:val="002111C8"/>
    <w:rsid w:val="002125CF"/>
    <w:rsid w:val="00212E88"/>
    <w:rsid w:val="00213C9C"/>
    <w:rsid w:val="0022009E"/>
    <w:rsid w:val="00223241"/>
    <w:rsid w:val="00223290"/>
    <w:rsid w:val="0022425C"/>
    <w:rsid w:val="002246DE"/>
    <w:rsid w:val="00227A58"/>
    <w:rsid w:val="00231EB3"/>
    <w:rsid w:val="00247510"/>
    <w:rsid w:val="00250EAE"/>
    <w:rsid w:val="00252A61"/>
    <w:rsid w:val="00252BC4"/>
    <w:rsid w:val="00254014"/>
    <w:rsid w:val="0026504D"/>
    <w:rsid w:val="00266F70"/>
    <w:rsid w:val="002704A5"/>
    <w:rsid w:val="00273A2F"/>
    <w:rsid w:val="0027486E"/>
    <w:rsid w:val="002763A1"/>
    <w:rsid w:val="00280986"/>
    <w:rsid w:val="00281ECE"/>
    <w:rsid w:val="002831C7"/>
    <w:rsid w:val="002834C5"/>
    <w:rsid w:val="002840C6"/>
    <w:rsid w:val="00286F08"/>
    <w:rsid w:val="00295174"/>
    <w:rsid w:val="00296172"/>
    <w:rsid w:val="00296B92"/>
    <w:rsid w:val="00296C2C"/>
    <w:rsid w:val="00296CD8"/>
    <w:rsid w:val="002A050E"/>
    <w:rsid w:val="002A0F5D"/>
    <w:rsid w:val="002A2C22"/>
    <w:rsid w:val="002A552C"/>
    <w:rsid w:val="002B0151"/>
    <w:rsid w:val="002B02EB"/>
    <w:rsid w:val="002B3292"/>
    <w:rsid w:val="002C0602"/>
    <w:rsid w:val="002C0960"/>
    <w:rsid w:val="002C6419"/>
    <w:rsid w:val="002D4DD0"/>
    <w:rsid w:val="002D5C16"/>
    <w:rsid w:val="002D5F3E"/>
    <w:rsid w:val="002D774E"/>
    <w:rsid w:val="002E4DC4"/>
    <w:rsid w:val="002F12A1"/>
    <w:rsid w:val="002F1F4D"/>
    <w:rsid w:val="002F3DFF"/>
    <w:rsid w:val="002F4423"/>
    <w:rsid w:val="002F5E05"/>
    <w:rsid w:val="002F6663"/>
    <w:rsid w:val="003038E2"/>
    <w:rsid w:val="003053E8"/>
    <w:rsid w:val="003114F3"/>
    <w:rsid w:val="00313DA7"/>
    <w:rsid w:val="00315A16"/>
    <w:rsid w:val="00316947"/>
    <w:rsid w:val="00317053"/>
    <w:rsid w:val="00320A6D"/>
    <w:rsid w:val="0032109C"/>
    <w:rsid w:val="0032155E"/>
    <w:rsid w:val="00322B45"/>
    <w:rsid w:val="00323809"/>
    <w:rsid w:val="00323D41"/>
    <w:rsid w:val="00325414"/>
    <w:rsid w:val="003302F1"/>
    <w:rsid w:val="00330A2F"/>
    <w:rsid w:val="00337D35"/>
    <w:rsid w:val="0034470E"/>
    <w:rsid w:val="003518A0"/>
    <w:rsid w:val="00352DB0"/>
    <w:rsid w:val="00353D8A"/>
    <w:rsid w:val="00356284"/>
    <w:rsid w:val="00361063"/>
    <w:rsid w:val="00362468"/>
    <w:rsid w:val="00362489"/>
    <w:rsid w:val="00363B9F"/>
    <w:rsid w:val="0037094A"/>
    <w:rsid w:val="00371ED3"/>
    <w:rsid w:val="00372FFC"/>
    <w:rsid w:val="0037643D"/>
    <w:rsid w:val="00376824"/>
    <w:rsid w:val="0037728A"/>
    <w:rsid w:val="00380B7D"/>
    <w:rsid w:val="00380FBD"/>
    <w:rsid w:val="00381438"/>
    <w:rsid w:val="00381A99"/>
    <w:rsid w:val="003829C2"/>
    <w:rsid w:val="003830B2"/>
    <w:rsid w:val="00384724"/>
    <w:rsid w:val="0038538C"/>
    <w:rsid w:val="00390014"/>
    <w:rsid w:val="0039090F"/>
    <w:rsid w:val="003919B7"/>
    <w:rsid w:val="00391D57"/>
    <w:rsid w:val="00392292"/>
    <w:rsid w:val="003A2240"/>
    <w:rsid w:val="003A4A91"/>
    <w:rsid w:val="003A5927"/>
    <w:rsid w:val="003A78EF"/>
    <w:rsid w:val="003A7B2C"/>
    <w:rsid w:val="003B1017"/>
    <w:rsid w:val="003B18C7"/>
    <w:rsid w:val="003B3C07"/>
    <w:rsid w:val="003B3C55"/>
    <w:rsid w:val="003B535D"/>
    <w:rsid w:val="003B6775"/>
    <w:rsid w:val="003B72ED"/>
    <w:rsid w:val="003C1801"/>
    <w:rsid w:val="003C3236"/>
    <w:rsid w:val="003C5C11"/>
    <w:rsid w:val="003C5FE2"/>
    <w:rsid w:val="003D05FB"/>
    <w:rsid w:val="003D1B16"/>
    <w:rsid w:val="003D45BF"/>
    <w:rsid w:val="003D508A"/>
    <w:rsid w:val="003D537F"/>
    <w:rsid w:val="003D5BBB"/>
    <w:rsid w:val="003D5E7B"/>
    <w:rsid w:val="003D7B75"/>
    <w:rsid w:val="003E0208"/>
    <w:rsid w:val="003E4B57"/>
    <w:rsid w:val="003F27E1"/>
    <w:rsid w:val="003F34AE"/>
    <w:rsid w:val="003F437A"/>
    <w:rsid w:val="003F5C2B"/>
    <w:rsid w:val="003F7776"/>
    <w:rsid w:val="004023E9"/>
    <w:rsid w:val="0040454A"/>
    <w:rsid w:val="0040469C"/>
    <w:rsid w:val="0041308F"/>
    <w:rsid w:val="00413F83"/>
    <w:rsid w:val="0041490C"/>
    <w:rsid w:val="00414AAA"/>
    <w:rsid w:val="00416191"/>
    <w:rsid w:val="00416721"/>
    <w:rsid w:val="00417560"/>
    <w:rsid w:val="00421EF0"/>
    <w:rsid w:val="00421FF7"/>
    <w:rsid w:val="004220D3"/>
    <w:rsid w:val="004224FA"/>
    <w:rsid w:val="00423D07"/>
    <w:rsid w:val="00432A34"/>
    <w:rsid w:val="00432A4F"/>
    <w:rsid w:val="004412A5"/>
    <w:rsid w:val="0044346F"/>
    <w:rsid w:val="0044425A"/>
    <w:rsid w:val="00454BB3"/>
    <w:rsid w:val="00455421"/>
    <w:rsid w:val="0046520A"/>
    <w:rsid w:val="004661BF"/>
    <w:rsid w:val="004672AB"/>
    <w:rsid w:val="004714FE"/>
    <w:rsid w:val="0047177C"/>
    <w:rsid w:val="00471FA5"/>
    <w:rsid w:val="00477BAA"/>
    <w:rsid w:val="004827F4"/>
    <w:rsid w:val="00484E15"/>
    <w:rsid w:val="00486EF4"/>
    <w:rsid w:val="00492CCA"/>
    <w:rsid w:val="0049346A"/>
    <w:rsid w:val="00495053"/>
    <w:rsid w:val="004A1F59"/>
    <w:rsid w:val="004A29BE"/>
    <w:rsid w:val="004A3225"/>
    <w:rsid w:val="004A33EE"/>
    <w:rsid w:val="004A3AA8"/>
    <w:rsid w:val="004A4DC0"/>
    <w:rsid w:val="004A625E"/>
    <w:rsid w:val="004A6755"/>
    <w:rsid w:val="004B0D73"/>
    <w:rsid w:val="004B13C7"/>
    <w:rsid w:val="004B3C40"/>
    <w:rsid w:val="004B778F"/>
    <w:rsid w:val="004C3456"/>
    <w:rsid w:val="004C3E1B"/>
    <w:rsid w:val="004C6CD6"/>
    <w:rsid w:val="004D141F"/>
    <w:rsid w:val="004D2742"/>
    <w:rsid w:val="004D4B57"/>
    <w:rsid w:val="004D5902"/>
    <w:rsid w:val="004D6310"/>
    <w:rsid w:val="004E0062"/>
    <w:rsid w:val="004E05A1"/>
    <w:rsid w:val="004E5166"/>
    <w:rsid w:val="004F24F8"/>
    <w:rsid w:val="004F5E57"/>
    <w:rsid w:val="004F6710"/>
    <w:rsid w:val="004F749C"/>
    <w:rsid w:val="00500C3E"/>
    <w:rsid w:val="00502849"/>
    <w:rsid w:val="0050396C"/>
    <w:rsid w:val="00504334"/>
    <w:rsid w:val="0050498D"/>
    <w:rsid w:val="005104D7"/>
    <w:rsid w:val="00510B9E"/>
    <w:rsid w:val="00511FC5"/>
    <w:rsid w:val="00512C0C"/>
    <w:rsid w:val="00513831"/>
    <w:rsid w:val="00514EBE"/>
    <w:rsid w:val="00531AD5"/>
    <w:rsid w:val="00531FA4"/>
    <w:rsid w:val="005344F3"/>
    <w:rsid w:val="00536BC2"/>
    <w:rsid w:val="005425E1"/>
    <w:rsid w:val="005427C5"/>
    <w:rsid w:val="00542CF6"/>
    <w:rsid w:val="00544D5D"/>
    <w:rsid w:val="005472FB"/>
    <w:rsid w:val="00547969"/>
    <w:rsid w:val="00547F04"/>
    <w:rsid w:val="00552223"/>
    <w:rsid w:val="00552E03"/>
    <w:rsid w:val="00553C03"/>
    <w:rsid w:val="00553EBC"/>
    <w:rsid w:val="00560FA0"/>
    <w:rsid w:val="005635C7"/>
    <w:rsid w:val="00563692"/>
    <w:rsid w:val="00564C18"/>
    <w:rsid w:val="005666DF"/>
    <w:rsid w:val="005669F2"/>
    <w:rsid w:val="00571679"/>
    <w:rsid w:val="00571AB8"/>
    <w:rsid w:val="00571CD7"/>
    <w:rsid w:val="00574D20"/>
    <w:rsid w:val="00576D08"/>
    <w:rsid w:val="005775B4"/>
    <w:rsid w:val="005776D1"/>
    <w:rsid w:val="00577C52"/>
    <w:rsid w:val="00582809"/>
    <w:rsid w:val="005844E7"/>
    <w:rsid w:val="005908B8"/>
    <w:rsid w:val="0059512E"/>
    <w:rsid w:val="00595639"/>
    <w:rsid w:val="005959F7"/>
    <w:rsid w:val="00597D55"/>
    <w:rsid w:val="005A4C0D"/>
    <w:rsid w:val="005A6DD2"/>
    <w:rsid w:val="005A75F2"/>
    <w:rsid w:val="005B3521"/>
    <w:rsid w:val="005B7307"/>
    <w:rsid w:val="005C0476"/>
    <w:rsid w:val="005C385D"/>
    <w:rsid w:val="005C7B0E"/>
    <w:rsid w:val="005D20BF"/>
    <w:rsid w:val="005D3B20"/>
    <w:rsid w:val="005D492E"/>
    <w:rsid w:val="005D4A07"/>
    <w:rsid w:val="005E3B27"/>
    <w:rsid w:val="005E4759"/>
    <w:rsid w:val="005E5C68"/>
    <w:rsid w:val="005E65C0"/>
    <w:rsid w:val="005F0390"/>
    <w:rsid w:val="005F6BCA"/>
    <w:rsid w:val="00603029"/>
    <w:rsid w:val="00603F04"/>
    <w:rsid w:val="006072CD"/>
    <w:rsid w:val="00612023"/>
    <w:rsid w:val="00614190"/>
    <w:rsid w:val="00617996"/>
    <w:rsid w:val="0062252C"/>
    <w:rsid w:val="00622A99"/>
    <w:rsid w:val="00622E67"/>
    <w:rsid w:val="006263BB"/>
    <w:rsid w:val="00626EDC"/>
    <w:rsid w:val="00627F5F"/>
    <w:rsid w:val="00632904"/>
    <w:rsid w:val="00644285"/>
    <w:rsid w:val="006470EC"/>
    <w:rsid w:val="00650092"/>
    <w:rsid w:val="006505D8"/>
    <w:rsid w:val="00653034"/>
    <w:rsid w:val="006542D6"/>
    <w:rsid w:val="006557FD"/>
    <w:rsid w:val="0065598E"/>
    <w:rsid w:val="00655AF2"/>
    <w:rsid w:val="00655BC5"/>
    <w:rsid w:val="006568BE"/>
    <w:rsid w:val="0066025D"/>
    <w:rsid w:val="0066091A"/>
    <w:rsid w:val="00674197"/>
    <w:rsid w:val="006773EC"/>
    <w:rsid w:val="00680504"/>
    <w:rsid w:val="00681CD9"/>
    <w:rsid w:val="00683E30"/>
    <w:rsid w:val="00687024"/>
    <w:rsid w:val="00695244"/>
    <w:rsid w:val="00695E22"/>
    <w:rsid w:val="006A6775"/>
    <w:rsid w:val="006A711E"/>
    <w:rsid w:val="006B0CD6"/>
    <w:rsid w:val="006B63A3"/>
    <w:rsid w:val="006B6CF1"/>
    <w:rsid w:val="006B7093"/>
    <w:rsid w:val="006B7417"/>
    <w:rsid w:val="006B767C"/>
    <w:rsid w:val="006D3691"/>
    <w:rsid w:val="006D52F3"/>
    <w:rsid w:val="006E1EB0"/>
    <w:rsid w:val="006E2BC5"/>
    <w:rsid w:val="006E5EF0"/>
    <w:rsid w:val="006F0250"/>
    <w:rsid w:val="006F269B"/>
    <w:rsid w:val="006F3563"/>
    <w:rsid w:val="006F42B9"/>
    <w:rsid w:val="006F6103"/>
    <w:rsid w:val="00703B6E"/>
    <w:rsid w:val="00704E00"/>
    <w:rsid w:val="007209E7"/>
    <w:rsid w:val="00721947"/>
    <w:rsid w:val="00722241"/>
    <w:rsid w:val="007254DA"/>
    <w:rsid w:val="00725BA3"/>
    <w:rsid w:val="00726182"/>
    <w:rsid w:val="00727635"/>
    <w:rsid w:val="00732329"/>
    <w:rsid w:val="007331CA"/>
    <w:rsid w:val="007337CA"/>
    <w:rsid w:val="00734CE4"/>
    <w:rsid w:val="00735123"/>
    <w:rsid w:val="00741837"/>
    <w:rsid w:val="00742B5C"/>
    <w:rsid w:val="007453E6"/>
    <w:rsid w:val="00751C73"/>
    <w:rsid w:val="00752325"/>
    <w:rsid w:val="007618B0"/>
    <w:rsid w:val="00766636"/>
    <w:rsid w:val="0076702C"/>
    <w:rsid w:val="00772B46"/>
    <w:rsid w:val="0077309D"/>
    <w:rsid w:val="007774EE"/>
    <w:rsid w:val="00781822"/>
    <w:rsid w:val="00783F21"/>
    <w:rsid w:val="0078687B"/>
    <w:rsid w:val="00787159"/>
    <w:rsid w:val="0079043A"/>
    <w:rsid w:val="00791019"/>
    <w:rsid w:val="00791668"/>
    <w:rsid w:val="00791AA1"/>
    <w:rsid w:val="0079374C"/>
    <w:rsid w:val="007967F7"/>
    <w:rsid w:val="007A3793"/>
    <w:rsid w:val="007A509B"/>
    <w:rsid w:val="007B0F48"/>
    <w:rsid w:val="007B47D2"/>
    <w:rsid w:val="007C1BA2"/>
    <w:rsid w:val="007C2B48"/>
    <w:rsid w:val="007C4925"/>
    <w:rsid w:val="007D117B"/>
    <w:rsid w:val="007D20E9"/>
    <w:rsid w:val="007D7881"/>
    <w:rsid w:val="007D7E3A"/>
    <w:rsid w:val="007E0E10"/>
    <w:rsid w:val="007E1C24"/>
    <w:rsid w:val="007E4768"/>
    <w:rsid w:val="007E592B"/>
    <w:rsid w:val="007E777B"/>
    <w:rsid w:val="007F2070"/>
    <w:rsid w:val="007F70D4"/>
    <w:rsid w:val="0080011E"/>
    <w:rsid w:val="008053F5"/>
    <w:rsid w:val="00806B55"/>
    <w:rsid w:val="00807AF7"/>
    <w:rsid w:val="00810198"/>
    <w:rsid w:val="00811974"/>
    <w:rsid w:val="00813E05"/>
    <w:rsid w:val="00815DA8"/>
    <w:rsid w:val="00816B8A"/>
    <w:rsid w:val="0082194D"/>
    <w:rsid w:val="00821C2E"/>
    <w:rsid w:val="008221F9"/>
    <w:rsid w:val="00822FE7"/>
    <w:rsid w:val="008233E9"/>
    <w:rsid w:val="008247FF"/>
    <w:rsid w:val="00826EF5"/>
    <w:rsid w:val="00831693"/>
    <w:rsid w:val="00831D5C"/>
    <w:rsid w:val="00832E28"/>
    <w:rsid w:val="00840104"/>
    <w:rsid w:val="00840C1F"/>
    <w:rsid w:val="00841FC5"/>
    <w:rsid w:val="00842905"/>
    <w:rsid w:val="00845709"/>
    <w:rsid w:val="008517E7"/>
    <w:rsid w:val="00853045"/>
    <w:rsid w:val="008576BD"/>
    <w:rsid w:val="00860463"/>
    <w:rsid w:val="00862C40"/>
    <w:rsid w:val="00862F3C"/>
    <w:rsid w:val="008704F2"/>
    <w:rsid w:val="008733DA"/>
    <w:rsid w:val="00882BAC"/>
    <w:rsid w:val="008849B9"/>
    <w:rsid w:val="008850E4"/>
    <w:rsid w:val="008939AB"/>
    <w:rsid w:val="00893B75"/>
    <w:rsid w:val="008A12F5"/>
    <w:rsid w:val="008A4C7A"/>
    <w:rsid w:val="008B1587"/>
    <w:rsid w:val="008B1B01"/>
    <w:rsid w:val="008B3BCD"/>
    <w:rsid w:val="008B62E9"/>
    <w:rsid w:val="008B6DF8"/>
    <w:rsid w:val="008C106C"/>
    <w:rsid w:val="008C10F1"/>
    <w:rsid w:val="008C1926"/>
    <w:rsid w:val="008C1D93"/>
    <w:rsid w:val="008C1E99"/>
    <w:rsid w:val="008C211D"/>
    <w:rsid w:val="008C6CA2"/>
    <w:rsid w:val="008D05E1"/>
    <w:rsid w:val="008D0F39"/>
    <w:rsid w:val="008D1E35"/>
    <w:rsid w:val="008D55E9"/>
    <w:rsid w:val="008E0085"/>
    <w:rsid w:val="008E2A15"/>
    <w:rsid w:val="008E2AA6"/>
    <w:rsid w:val="008E311B"/>
    <w:rsid w:val="008E4B3A"/>
    <w:rsid w:val="008E7250"/>
    <w:rsid w:val="008F1DEB"/>
    <w:rsid w:val="008F46E7"/>
    <w:rsid w:val="008F6F0B"/>
    <w:rsid w:val="008F747A"/>
    <w:rsid w:val="00900706"/>
    <w:rsid w:val="0090344C"/>
    <w:rsid w:val="009057D9"/>
    <w:rsid w:val="00907BA7"/>
    <w:rsid w:val="0091064E"/>
    <w:rsid w:val="00911FC5"/>
    <w:rsid w:val="009123E8"/>
    <w:rsid w:val="0091418A"/>
    <w:rsid w:val="00920597"/>
    <w:rsid w:val="00922FB2"/>
    <w:rsid w:val="00926835"/>
    <w:rsid w:val="00931409"/>
    <w:rsid w:val="00931981"/>
    <w:rsid w:val="00931A10"/>
    <w:rsid w:val="009351F1"/>
    <w:rsid w:val="00936D79"/>
    <w:rsid w:val="00947967"/>
    <w:rsid w:val="00955201"/>
    <w:rsid w:val="00955BE4"/>
    <w:rsid w:val="00960917"/>
    <w:rsid w:val="00965200"/>
    <w:rsid w:val="009668B3"/>
    <w:rsid w:val="0096773D"/>
    <w:rsid w:val="00967BC5"/>
    <w:rsid w:val="00971471"/>
    <w:rsid w:val="009800DA"/>
    <w:rsid w:val="009849C2"/>
    <w:rsid w:val="00984D24"/>
    <w:rsid w:val="009858EB"/>
    <w:rsid w:val="00994049"/>
    <w:rsid w:val="009950B1"/>
    <w:rsid w:val="009975D0"/>
    <w:rsid w:val="009A3723"/>
    <w:rsid w:val="009A3906"/>
    <w:rsid w:val="009A3F47"/>
    <w:rsid w:val="009B0046"/>
    <w:rsid w:val="009B165D"/>
    <w:rsid w:val="009C1440"/>
    <w:rsid w:val="009C1CAD"/>
    <w:rsid w:val="009C2107"/>
    <w:rsid w:val="009C4076"/>
    <w:rsid w:val="009C5D9E"/>
    <w:rsid w:val="009D01C3"/>
    <w:rsid w:val="009D1A1D"/>
    <w:rsid w:val="009D1DE7"/>
    <w:rsid w:val="009D2C3E"/>
    <w:rsid w:val="009E0522"/>
    <w:rsid w:val="009E0625"/>
    <w:rsid w:val="009E1FE1"/>
    <w:rsid w:val="009E3034"/>
    <w:rsid w:val="009E549F"/>
    <w:rsid w:val="009F0792"/>
    <w:rsid w:val="009F28A8"/>
    <w:rsid w:val="009F473E"/>
    <w:rsid w:val="009F682A"/>
    <w:rsid w:val="009F6FFF"/>
    <w:rsid w:val="00A022BE"/>
    <w:rsid w:val="00A176FB"/>
    <w:rsid w:val="00A232CD"/>
    <w:rsid w:val="00A24C95"/>
    <w:rsid w:val="00A24E3F"/>
    <w:rsid w:val="00A2599A"/>
    <w:rsid w:val="00A26094"/>
    <w:rsid w:val="00A301BF"/>
    <w:rsid w:val="00A302B2"/>
    <w:rsid w:val="00A331B4"/>
    <w:rsid w:val="00A33B3F"/>
    <w:rsid w:val="00A3484E"/>
    <w:rsid w:val="00A356D3"/>
    <w:rsid w:val="00A36ADA"/>
    <w:rsid w:val="00A4138A"/>
    <w:rsid w:val="00A438D8"/>
    <w:rsid w:val="00A469DB"/>
    <w:rsid w:val="00A473F5"/>
    <w:rsid w:val="00A51F9D"/>
    <w:rsid w:val="00A5416A"/>
    <w:rsid w:val="00A605AD"/>
    <w:rsid w:val="00A608A6"/>
    <w:rsid w:val="00A61470"/>
    <w:rsid w:val="00A61FCF"/>
    <w:rsid w:val="00A639F4"/>
    <w:rsid w:val="00A64E64"/>
    <w:rsid w:val="00A66DED"/>
    <w:rsid w:val="00A7159F"/>
    <w:rsid w:val="00A81A32"/>
    <w:rsid w:val="00A835BD"/>
    <w:rsid w:val="00A91967"/>
    <w:rsid w:val="00A94CF1"/>
    <w:rsid w:val="00A97B15"/>
    <w:rsid w:val="00AA40D5"/>
    <w:rsid w:val="00AA42D5"/>
    <w:rsid w:val="00AA4563"/>
    <w:rsid w:val="00AA6AF1"/>
    <w:rsid w:val="00AB095F"/>
    <w:rsid w:val="00AB2FAB"/>
    <w:rsid w:val="00AB514A"/>
    <w:rsid w:val="00AB5C14"/>
    <w:rsid w:val="00AC0A53"/>
    <w:rsid w:val="00AC1EE7"/>
    <w:rsid w:val="00AC333F"/>
    <w:rsid w:val="00AC53D4"/>
    <w:rsid w:val="00AC585C"/>
    <w:rsid w:val="00AC7A1C"/>
    <w:rsid w:val="00AD1925"/>
    <w:rsid w:val="00AD2C86"/>
    <w:rsid w:val="00AD3346"/>
    <w:rsid w:val="00AD376F"/>
    <w:rsid w:val="00AE067D"/>
    <w:rsid w:val="00AF1181"/>
    <w:rsid w:val="00AF2F79"/>
    <w:rsid w:val="00AF4653"/>
    <w:rsid w:val="00AF4C38"/>
    <w:rsid w:val="00AF7DB7"/>
    <w:rsid w:val="00B00765"/>
    <w:rsid w:val="00B02737"/>
    <w:rsid w:val="00B201E2"/>
    <w:rsid w:val="00B2037E"/>
    <w:rsid w:val="00B210FA"/>
    <w:rsid w:val="00B23AEC"/>
    <w:rsid w:val="00B24E95"/>
    <w:rsid w:val="00B31D4E"/>
    <w:rsid w:val="00B33CDE"/>
    <w:rsid w:val="00B443E4"/>
    <w:rsid w:val="00B50198"/>
    <w:rsid w:val="00B5484D"/>
    <w:rsid w:val="00B55F55"/>
    <w:rsid w:val="00B563EA"/>
    <w:rsid w:val="00B56CDF"/>
    <w:rsid w:val="00B60517"/>
    <w:rsid w:val="00B60ADF"/>
    <w:rsid w:val="00B60E51"/>
    <w:rsid w:val="00B63A54"/>
    <w:rsid w:val="00B65782"/>
    <w:rsid w:val="00B676EB"/>
    <w:rsid w:val="00B71C8D"/>
    <w:rsid w:val="00B73890"/>
    <w:rsid w:val="00B73AD8"/>
    <w:rsid w:val="00B75FD1"/>
    <w:rsid w:val="00B77D18"/>
    <w:rsid w:val="00B83019"/>
    <w:rsid w:val="00B8313A"/>
    <w:rsid w:val="00B83CF5"/>
    <w:rsid w:val="00B84E69"/>
    <w:rsid w:val="00B8586B"/>
    <w:rsid w:val="00B90B0C"/>
    <w:rsid w:val="00B93503"/>
    <w:rsid w:val="00BA0623"/>
    <w:rsid w:val="00BA068F"/>
    <w:rsid w:val="00BA2354"/>
    <w:rsid w:val="00BA31E8"/>
    <w:rsid w:val="00BA55E0"/>
    <w:rsid w:val="00BA6BD4"/>
    <w:rsid w:val="00BA6C69"/>
    <w:rsid w:val="00BA6C7A"/>
    <w:rsid w:val="00BB17D1"/>
    <w:rsid w:val="00BB3752"/>
    <w:rsid w:val="00BB3FDF"/>
    <w:rsid w:val="00BB6688"/>
    <w:rsid w:val="00BB7F49"/>
    <w:rsid w:val="00BC0F7F"/>
    <w:rsid w:val="00BC2223"/>
    <w:rsid w:val="00BC26D4"/>
    <w:rsid w:val="00BE0C80"/>
    <w:rsid w:val="00BE684A"/>
    <w:rsid w:val="00BF1DF3"/>
    <w:rsid w:val="00BF2A42"/>
    <w:rsid w:val="00C001BE"/>
    <w:rsid w:val="00C01AEF"/>
    <w:rsid w:val="00C03D8C"/>
    <w:rsid w:val="00C055EC"/>
    <w:rsid w:val="00C10DC9"/>
    <w:rsid w:val="00C11B9D"/>
    <w:rsid w:val="00C12FB3"/>
    <w:rsid w:val="00C17341"/>
    <w:rsid w:val="00C24EEF"/>
    <w:rsid w:val="00C25CF6"/>
    <w:rsid w:val="00C26C36"/>
    <w:rsid w:val="00C271CA"/>
    <w:rsid w:val="00C309CC"/>
    <w:rsid w:val="00C32768"/>
    <w:rsid w:val="00C3765A"/>
    <w:rsid w:val="00C4286D"/>
    <w:rsid w:val="00C431DF"/>
    <w:rsid w:val="00C456BD"/>
    <w:rsid w:val="00C460DD"/>
    <w:rsid w:val="00C46228"/>
    <w:rsid w:val="00C5026C"/>
    <w:rsid w:val="00C530DC"/>
    <w:rsid w:val="00C53388"/>
    <w:rsid w:val="00C5350D"/>
    <w:rsid w:val="00C56030"/>
    <w:rsid w:val="00C6123C"/>
    <w:rsid w:val="00C630C4"/>
    <w:rsid w:val="00C6311A"/>
    <w:rsid w:val="00C7084D"/>
    <w:rsid w:val="00C71D57"/>
    <w:rsid w:val="00C7315E"/>
    <w:rsid w:val="00C751C6"/>
    <w:rsid w:val="00C75895"/>
    <w:rsid w:val="00C75E84"/>
    <w:rsid w:val="00C83C9F"/>
    <w:rsid w:val="00C94840"/>
    <w:rsid w:val="00C95BAC"/>
    <w:rsid w:val="00C971FB"/>
    <w:rsid w:val="00CA4EE3"/>
    <w:rsid w:val="00CA6304"/>
    <w:rsid w:val="00CB027F"/>
    <w:rsid w:val="00CB02C4"/>
    <w:rsid w:val="00CB103D"/>
    <w:rsid w:val="00CC0EBB"/>
    <w:rsid w:val="00CC6297"/>
    <w:rsid w:val="00CC7418"/>
    <w:rsid w:val="00CC7690"/>
    <w:rsid w:val="00CD1986"/>
    <w:rsid w:val="00CD1F91"/>
    <w:rsid w:val="00CD3FB4"/>
    <w:rsid w:val="00CD54BF"/>
    <w:rsid w:val="00CE3A0D"/>
    <w:rsid w:val="00CE4D5C"/>
    <w:rsid w:val="00CF05DA"/>
    <w:rsid w:val="00CF23E1"/>
    <w:rsid w:val="00CF58EB"/>
    <w:rsid w:val="00CF59F4"/>
    <w:rsid w:val="00CF6FEC"/>
    <w:rsid w:val="00D0106E"/>
    <w:rsid w:val="00D06383"/>
    <w:rsid w:val="00D20E85"/>
    <w:rsid w:val="00D228B8"/>
    <w:rsid w:val="00D2448F"/>
    <w:rsid w:val="00D24615"/>
    <w:rsid w:val="00D25052"/>
    <w:rsid w:val="00D258AA"/>
    <w:rsid w:val="00D33B95"/>
    <w:rsid w:val="00D34849"/>
    <w:rsid w:val="00D37842"/>
    <w:rsid w:val="00D42DC2"/>
    <w:rsid w:val="00D45D06"/>
    <w:rsid w:val="00D51D0F"/>
    <w:rsid w:val="00D537E1"/>
    <w:rsid w:val="00D55BB2"/>
    <w:rsid w:val="00D5742C"/>
    <w:rsid w:val="00D6091A"/>
    <w:rsid w:val="00D63B21"/>
    <w:rsid w:val="00D64477"/>
    <w:rsid w:val="00D6605A"/>
    <w:rsid w:val="00D6695F"/>
    <w:rsid w:val="00D716D3"/>
    <w:rsid w:val="00D75644"/>
    <w:rsid w:val="00D76423"/>
    <w:rsid w:val="00D81656"/>
    <w:rsid w:val="00D831AC"/>
    <w:rsid w:val="00D83D87"/>
    <w:rsid w:val="00D84A6D"/>
    <w:rsid w:val="00D85BEB"/>
    <w:rsid w:val="00D86A30"/>
    <w:rsid w:val="00D905A1"/>
    <w:rsid w:val="00D92E2E"/>
    <w:rsid w:val="00D9614E"/>
    <w:rsid w:val="00D97CB4"/>
    <w:rsid w:val="00D97DD4"/>
    <w:rsid w:val="00DA00BC"/>
    <w:rsid w:val="00DA2756"/>
    <w:rsid w:val="00DA3A8D"/>
    <w:rsid w:val="00DA5A8A"/>
    <w:rsid w:val="00DA6D79"/>
    <w:rsid w:val="00DB26CD"/>
    <w:rsid w:val="00DB35E5"/>
    <w:rsid w:val="00DB441C"/>
    <w:rsid w:val="00DB44AF"/>
    <w:rsid w:val="00DC1F58"/>
    <w:rsid w:val="00DC3393"/>
    <w:rsid w:val="00DC339B"/>
    <w:rsid w:val="00DC5B5D"/>
    <w:rsid w:val="00DC5D40"/>
    <w:rsid w:val="00DC69A7"/>
    <w:rsid w:val="00DD30E9"/>
    <w:rsid w:val="00DD40B8"/>
    <w:rsid w:val="00DD4F47"/>
    <w:rsid w:val="00DD7FBB"/>
    <w:rsid w:val="00DE0B9F"/>
    <w:rsid w:val="00DE2A9E"/>
    <w:rsid w:val="00DE4238"/>
    <w:rsid w:val="00DE5F99"/>
    <w:rsid w:val="00DE657F"/>
    <w:rsid w:val="00DE674C"/>
    <w:rsid w:val="00DF1218"/>
    <w:rsid w:val="00DF3309"/>
    <w:rsid w:val="00DF48F2"/>
    <w:rsid w:val="00DF6462"/>
    <w:rsid w:val="00E02FA0"/>
    <w:rsid w:val="00E036DC"/>
    <w:rsid w:val="00E10454"/>
    <w:rsid w:val="00E112E5"/>
    <w:rsid w:val="00E12CC8"/>
    <w:rsid w:val="00E15352"/>
    <w:rsid w:val="00E21CC7"/>
    <w:rsid w:val="00E23497"/>
    <w:rsid w:val="00E24D9E"/>
    <w:rsid w:val="00E25849"/>
    <w:rsid w:val="00E3197E"/>
    <w:rsid w:val="00E342F8"/>
    <w:rsid w:val="00E351ED"/>
    <w:rsid w:val="00E42F4A"/>
    <w:rsid w:val="00E45AF6"/>
    <w:rsid w:val="00E52781"/>
    <w:rsid w:val="00E530DE"/>
    <w:rsid w:val="00E53B55"/>
    <w:rsid w:val="00E6034B"/>
    <w:rsid w:val="00E60F1D"/>
    <w:rsid w:val="00E6549E"/>
    <w:rsid w:val="00E65EDE"/>
    <w:rsid w:val="00E66072"/>
    <w:rsid w:val="00E70F81"/>
    <w:rsid w:val="00E77055"/>
    <w:rsid w:val="00E77460"/>
    <w:rsid w:val="00E83ABC"/>
    <w:rsid w:val="00E844F2"/>
    <w:rsid w:val="00E84F6A"/>
    <w:rsid w:val="00E86E57"/>
    <w:rsid w:val="00E90AD0"/>
    <w:rsid w:val="00E92FCB"/>
    <w:rsid w:val="00E93C12"/>
    <w:rsid w:val="00E94EB9"/>
    <w:rsid w:val="00E950DF"/>
    <w:rsid w:val="00EA0987"/>
    <w:rsid w:val="00EA147F"/>
    <w:rsid w:val="00EA412D"/>
    <w:rsid w:val="00EA4642"/>
    <w:rsid w:val="00EA4A27"/>
    <w:rsid w:val="00EA4FA6"/>
    <w:rsid w:val="00EB1A25"/>
    <w:rsid w:val="00EB4C66"/>
    <w:rsid w:val="00EC7679"/>
    <w:rsid w:val="00ED03AB"/>
    <w:rsid w:val="00ED1CD4"/>
    <w:rsid w:val="00ED1D2B"/>
    <w:rsid w:val="00ED292A"/>
    <w:rsid w:val="00ED64B5"/>
    <w:rsid w:val="00EE0AF2"/>
    <w:rsid w:val="00EE3661"/>
    <w:rsid w:val="00EE7CCA"/>
    <w:rsid w:val="00EF2EFD"/>
    <w:rsid w:val="00EF4654"/>
    <w:rsid w:val="00EF777D"/>
    <w:rsid w:val="00F01818"/>
    <w:rsid w:val="00F05E60"/>
    <w:rsid w:val="00F11846"/>
    <w:rsid w:val="00F12327"/>
    <w:rsid w:val="00F15D4A"/>
    <w:rsid w:val="00F16A14"/>
    <w:rsid w:val="00F20D99"/>
    <w:rsid w:val="00F23258"/>
    <w:rsid w:val="00F24F07"/>
    <w:rsid w:val="00F30F24"/>
    <w:rsid w:val="00F362D7"/>
    <w:rsid w:val="00F37D7B"/>
    <w:rsid w:val="00F423CC"/>
    <w:rsid w:val="00F43A33"/>
    <w:rsid w:val="00F52F8F"/>
    <w:rsid w:val="00F5314C"/>
    <w:rsid w:val="00F55D24"/>
    <w:rsid w:val="00F564CF"/>
    <w:rsid w:val="00F5688C"/>
    <w:rsid w:val="00F60048"/>
    <w:rsid w:val="00F604EC"/>
    <w:rsid w:val="00F62B95"/>
    <w:rsid w:val="00F635DD"/>
    <w:rsid w:val="00F6627B"/>
    <w:rsid w:val="00F667B8"/>
    <w:rsid w:val="00F70794"/>
    <w:rsid w:val="00F70FA4"/>
    <w:rsid w:val="00F73116"/>
    <w:rsid w:val="00F7336E"/>
    <w:rsid w:val="00F734F2"/>
    <w:rsid w:val="00F74765"/>
    <w:rsid w:val="00F75052"/>
    <w:rsid w:val="00F76AE8"/>
    <w:rsid w:val="00F804D3"/>
    <w:rsid w:val="00F81CD2"/>
    <w:rsid w:val="00F82641"/>
    <w:rsid w:val="00F90F18"/>
    <w:rsid w:val="00F90F6D"/>
    <w:rsid w:val="00F916D2"/>
    <w:rsid w:val="00F937E4"/>
    <w:rsid w:val="00F93A99"/>
    <w:rsid w:val="00F95EE7"/>
    <w:rsid w:val="00FA044C"/>
    <w:rsid w:val="00FA23A9"/>
    <w:rsid w:val="00FA32E6"/>
    <w:rsid w:val="00FA39E6"/>
    <w:rsid w:val="00FA5E33"/>
    <w:rsid w:val="00FA68EE"/>
    <w:rsid w:val="00FA7BC9"/>
    <w:rsid w:val="00FB378E"/>
    <w:rsid w:val="00FB37F1"/>
    <w:rsid w:val="00FB47C0"/>
    <w:rsid w:val="00FB501B"/>
    <w:rsid w:val="00FB5A8C"/>
    <w:rsid w:val="00FB7770"/>
    <w:rsid w:val="00FB7C2C"/>
    <w:rsid w:val="00FC5B2F"/>
    <w:rsid w:val="00FD3B91"/>
    <w:rsid w:val="00FD4120"/>
    <w:rsid w:val="00FD576B"/>
    <w:rsid w:val="00FD579E"/>
    <w:rsid w:val="00FD5EF2"/>
    <w:rsid w:val="00FD6845"/>
    <w:rsid w:val="00FE161D"/>
    <w:rsid w:val="00FE4516"/>
    <w:rsid w:val="00FE64C8"/>
    <w:rsid w:val="00FE6AFE"/>
    <w:rsid w:val="00FE7236"/>
    <w:rsid w:val="00FF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0">
    <w:name w:val="heading 1"/>
    <w:basedOn w:val="aa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"/>
    <w:basedOn w:val="aa"/>
    <w:qFormat/>
    <w:rsid w:val="004F5E57"/>
    <w:pPr>
      <w:numPr>
        <w:ilvl w:val="1"/>
        <w:numId w:val="6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a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a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a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a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a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a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a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Signature"/>
    <w:basedOn w:val="aa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f">
    <w:name w:val="endnote text"/>
    <w:basedOn w:val="aa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a"/>
    <w:next w:val="aa"/>
    <w:autoRedefine/>
    <w:semiHidden/>
    <w:rsid w:val="004E0062"/>
    <w:pPr>
      <w:ind w:leftChars="400" w:left="600" w:rightChars="200" w:right="200" w:hangingChars="200" w:hanging="200"/>
    </w:pPr>
  </w:style>
  <w:style w:type="character" w:styleId="af0">
    <w:name w:val="page number"/>
    <w:basedOn w:val="ab"/>
    <w:semiHidden/>
    <w:rsid w:val="004E0062"/>
    <w:rPr>
      <w:rFonts w:ascii="標楷體" w:eastAsia="標楷體"/>
      <w:sz w:val="20"/>
    </w:rPr>
  </w:style>
  <w:style w:type="paragraph" w:styleId="60">
    <w:name w:val="toc 6"/>
    <w:basedOn w:val="aa"/>
    <w:next w:val="aa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a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a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a"/>
    <w:next w:val="aa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a"/>
    <w:next w:val="aa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a"/>
    <w:next w:val="aa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a"/>
    <w:next w:val="aa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a"/>
    <w:next w:val="aa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a"/>
    <w:next w:val="aa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a"/>
    <w:next w:val="aa"/>
    <w:autoRedefine/>
    <w:semiHidden/>
    <w:rsid w:val="004E0062"/>
    <w:pPr>
      <w:ind w:leftChars="1600" w:left="3840"/>
    </w:pPr>
  </w:style>
  <w:style w:type="paragraph" w:styleId="af1">
    <w:name w:val="header"/>
    <w:basedOn w:val="aa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2">
    <w:name w:val="Hyperlink"/>
    <w:basedOn w:val="ab"/>
    <w:uiPriority w:val="99"/>
    <w:rsid w:val="004E0062"/>
    <w:rPr>
      <w:color w:val="0000FF"/>
      <w:u w:val="single"/>
    </w:rPr>
  </w:style>
  <w:style w:type="paragraph" w:customStyle="1" w:styleId="af3">
    <w:name w:val="簽名日期"/>
    <w:basedOn w:val="aa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4">
    <w:name w:val="附件"/>
    <w:basedOn w:val="af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4">
    <w:name w:val="附表樣式"/>
    <w:basedOn w:val="aa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Body Text Indent"/>
    <w:basedOn w:val="aa"/>
    <w:semiHidden/>
    <w:rsid w:val="004E0062"/>
    <w:pPr>
      <w:ind w:left="698" w:hangingChars="200" w:hanging="698"/>
    </w:pPr>
  </w:style>
  <w:style w:type="paragraph" w:customStyle="1" w:styleId="af6">
    <w:name w:val="調查報告"/>
    <w:basedOn w:val="af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a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a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7">
    <w:name w:val="footer"/>
    <w:basedOn w:val="aa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table of figures"/>
    <w:basedOn w:val="aa"/>
    <w:next w:val="aa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a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7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9">
    <w:name w:val="資料來源"/>
    <w:basedOn w:val="aa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5">
    <w:name w:val="圖標題"/>
    <w:basedOn w:val="aa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a">
    <w:name w:val="Table Grid"/>
    <w:basedOn w:val="ac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8">
    <w:name w:val="附錄"/>
    <w:basedOn w:val="aa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b">
    <w:name w:val="List Paragraph"/>
    <w:basedOn w:val="aa"/>
    <w:uiPriority w:val="34"/>
    <w:qFormat/>
    <w:rsid w:val="00687024"/>
    <w:pPr>
      <w:ind w:leftChars="200" w:left="480"/>
    </w:pPr>
  </w:style>
  <w:style w:type="paragraph" w:styleId="afc">
    <w:name w:val="Balloon Text"/>
    <w:basedOn w:val="aa"/>
    <w:link w:val="afd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註解方塊文字 字元"/>
    <w:basedOn w:val="ab"/>
    <w:link w:val="afc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6">
    <w:name w:val="附件樣式"/>
    <w:basedOn w:val="aa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b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e">
    <w:name w:val="footnote text"/>
    <w:basedOn w:val="aa"/>
    <w:link w:val="aff"/>
    <w:uiPriority w:val="99"/>
    <w:unhideWhenUsed/>
    <w:rsid w:val="00096770"/>
    <w:pPr>
      <w:snapToGrid w:val="0"/>
      <w:jc w:val="left"/>
    </w:pPr>
    <w:rPr>
      <w:sz w:val="20"/>
    </w:rPr>
  </w:style>
  <w:style w:type="character" w:customStyle="1" w:styleId="aff">
    <w:name w:val="註腳文字 字元"/>
    <w:basedOn w:val="ab"/>
    <w:link w:val="afe"/>
    <w:uiPriority w:val="99"/>
    <w:rsid w:val="00096770"/>
    <w:rPr>
      <w:rFonts w:ascii="標楷體" w:eastAsia="標楷體"/>
      <w:kern w:val="2"/>
    </w:rPr>
  </w:style>
  <w:style w:type="character" w:styleId="aff0">
    <w:name w:val="footnote reference"/>
    <w:basedOn w:val="ab"/>
    <w:uiPriority w:val="99"/>
    <w:semiHidden/>
    <w:unhideWhenUsed/>
    <w:rsid w:val="00096770"/>
    <w:rPr>
      <w:vertAlign w:val="superscript"/>
    </w:rPr>
  </w:style>
  <w:style w:type="paragraph" w:customStyle="1" w:styleId="a0">
    <w:name w:val="審核通知甲層"/>
    <w:basedOn w:val="10"/>
    <w:rsid w:val="00F01818"/>
    <w:pPr>
      <w:keepNext/>
      <w:numPr>
        <w:numId w:val="9"/>
      </w:numPr>
      <w:overflowPunct/>
      <w:autoSpaceDE/>
      <w:autoSpaceDN/>
      <w:snapToGrid w:val="0"/>
      <w:spacing w:beforeLines="50"/>
      <w:jc w:val="center"/>
    </w:pPr>
    <w:rPr>
      <w:rFonts w:hAnsi="標楷體"/>
      <w:b/>
      <w:kern w:val="52"/>
      <w:sz w:val="36"/>
    </w:rPr>
  </w:style>
  <w:style w:type="paragraph" w:customStyle="1" w:styleId="a1">
    <w:name w:val="審核通知壹層"/>
    <w:basedOn w:val="2"/>
    <w:next w:val="aa"/>
    <w:rsid w:val="00F01818"/>
    <w:pPr>
      <w:keepNext/>
      <w:numPr>
        <w:numId w:val="9"/>
      </w:numPr>
      <w:overflowPunct/>
      <w:autoSpaceDE/>
      <w:autoSpaceDN/>
      <w:snapToGrid w:val="0"/>
      <w:spacing w:line="560" w:lineRule="atLeast"/>
    </w:pPr>
    <w:rPr>
      <w:rFonts w:ascii="Arial"/>
      <w:b/>
      <w:kern w:val="2"/>
      <w:szCs w:val="32"/>
    </w:rPr>
  </w:style>
  <w:style w:type="paragraph" w:customStyle="1" w:styleId="a2">
    <w:name w:val="審核通知一層"/>
    <w:basedOn w:val="aa"/>
    <w:next w:val="aa"/>
    <w:rsid w:val="00F01818"/>
    <w:pPr>
      <w:numPr>
        <w:ilvl w:val="2"/>
        <w:numId w:val="9"/>
      </w:numPr>
      <w:overflowPunct/>
      <w:autoSpaceDE/>
      <w:autoSpaceDN/>
      <w:snapToGrid w:val="0"/>
      <w:spacing w:line="560" w:lineRule="atLeast"/>
    </w:pPr>
    <w:rPr>
      <w:rFonts w:ascii="Times New Roman"/>
    </w:rPr>
  </w:style>
  <w:style w:type="paragraph" w:customStyle="1" w:styleId="1">
    <w:name w:val="審核通知1層"/>
    <w:basedOn w:val="aa"/>
    <w:next w:val="aa"/>
    <w:rsid w:val="00F01818"/>
    <w:pPr>
      <w:numPr>
        <w:ilvl w:val="4"/>
        <w:numId w:val="9"/>
      </w:numPr>
      <w:overflowPunct/>
      <w:autoSpaceDE/>
      <w:autoSpaceDN/>
      <w:snapToGrid w:val="0"/>
      <w:spacing w:line="560" w:lineRule="atLeast"/>
    </w:pPr>
    <w:rPr>
      <w:rFonts w:ascii="Times New Roman"/>
    </w:rPr>
  </w:style>
  <w:style w:type="paragraph" w:customStyle="1" w:styleId="a3">
    <w:name w:val="樣式 樣式 審核通知(一)層 + 粗體 + 標楷體"/>
    <w:basedOn w:val="aa"/>
    <w:rsid w:val="00F01818"/>
    <w:pPr>
      <w:numPr>
        <w:ilvl w:val="3"/>
        <w:numId w:val="9"/>
      </w:numPr>
      <w:overflowPunct/>
      <w:autoSpaceDE/>
      <w:autoSpaceDN/>
      <w:snapToGrid w:val="0"/>
      <w:spacing w:line="560" w:lineRule="atLeast"/>
    </w:pPr>
    <w:rPr>
      <w:rFonts w:hAnsi="標楷體"/>
      <w:bCs/>
    </w:rPr>
  </w:style>
  <w:style w:type="character" w:styleId="aff1">
    <w:name w:val="Placeholder Text"/>
    <w:basedOn w:val="ab"/>
    <w:uiPriority w:val="99"/>
    <w:semiHidden/>
    <w:rsid w:val="007331CA"/>
    <w:rPr>
      <w:color w:val="808080"/>
    </w:rPr>
  </w:style>
  <w:style w:type="paragraph" w:styleId="HTML">
    <w:name w:val="HTML Preformatted"/>
    <w:basedOn w:val="aa"/>
    <w:link w:val="HTML0"/>
    <w:uiPriority w:val="99"/>
    <w:unhideWhenUsed/>
    <w:rsid w:val="007E59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b"/>
    <w:link w:val="HTML"/>
    <w:uiPriority w:val="99"/>
    <w:rsid w:val="007E592B"/>
    <w:rPr>
      <w:rFonts w:ascii="細明體" w:eastAsia="細明體" w:hAnsi="細明體" w:cs="細明體"/>
      <w:sz w:val="24"/>
      <w:szCs w:val="24"/>
    </w:rPr>
  </w:style>
  <w:style w:type="character" w:styleId="aff2">
    <w:name w:val="Emphasis"/>
    <w:basedOn w:val="ab"/>
    <w:uiPriority w:val="20"/>
    <w:qFormat/>
    <w:rsid w:val="00D33B95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b"/>
    <w:rsid w:val="00D33B95"/>
  </w:style>
  <w:style w:type="character" w:customStyle="1" w:styleId="40">
    <w:name w:val="標題 4 字元"/>
    <w:aliases w:val="表格 字元"/>
    <w:basedOn w:val="ab"/>
    <w:link w:val="4"/>
    <w:rsid w:val="004C3E1B"/>
    <w:rPr>
      <w:rFonts w:ascii="標楷體" w:eastAsia="標楷體" w:hAnsi="Arial"/>
      <w:kern w:val="32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pPr>
      <w:widowControl w:val="0"/>
    </w:p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23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9186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957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  <w:divsChild>
                            <w:div w:id="158742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0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2542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95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  <w:divsChild>
                            <w:div w:id="206937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25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5051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9349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  <w:divsChild>
                            <w:div w:id="19140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ywoojdb.appspot.com/j9m/j9m?id=764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7DDD-AF29-43B4-9697-B7FE1138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10</Pages>
  <Words>5070</Words>
  <Characters>140</Characters>
  <Application>Microsoft Office Word</Application>
  <DocSecurity>0</DocSecurity>
  <Lines>35</Lines>
  <Paragraphs>744</Paragraphs>
  <ScaleCrop>false</ScaleCrop>
  <Company>cy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鄭裕發</dc:creator>
  <cp:lastModifiedBy>Administrator</cp:lastModifiedBy>
  <cp:revision>2</cp:revision>
  <cp:lastPrinted>2016-08-02T08:27:00Z</cp:lastPrinted>
  <dcterms:created xsi:type="dcterms:W3CDTF">2016-08-11T07:27:00Z</dcterms:created>
  <dcterms:modified xsi:type="dcterms:W3CDTF">2016-08-11T07:27:00Z</dcterms:modified>
</cp:coreProperties>
</file>