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714BF6" w:rsidRDefault="0031048C" w:rsidP="000B2F2E">
      <w:pPr>
        <w:pStyle w:val="af3"/>
        <w:spacing w:line="480" w:lineRule="exact"/>
        <w:rPr>
          <w:rFonts w:hAnsi="標楷體"/>
        </w:rPr>
      </w:pPr>
      <w:r w:rsidRPr="00714BF6">
        <w:rPr>
          <w:rFonts w:hAnsi="標楷體" w:hint="eastAsia"/>
        </w:rPr>
        <w:t>調查</w:t>
      </w:r>
      <w:r w:rsidR="00EC5FB2" w:rsidRPr="00714BF6">
        <w:rPr>
          <w:rFonts w:hAnsi="標楷體" w:hint="eastAsia"/>
        </w:rPr>
        <w:t>報告</w:t>
      </w:r>
    </w:p>
    <w:p w:rsidR="00E25849" w:rsidRPr="00714BF6" w:rsidRDefault="00E25849" w:rsidP="000F79AA">
      <w:pPr>
        <w:pStyle w:val="1"/>
        <w:spacing w:line="480" w:lineRule="exact"/>
        <w:ind w:left="2268" w:hanging="2268"/>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57658066"/>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714BF6">
        <w:rPr>
          <w:rFonts w:hAnsi="標楷體" w:hint="eastAsia"/>
          <w:b/>
        </w:rPr>
        <w:t>案　　由</w:t>
      </w:r>
      <w:r w:rsidRPr="00714BF6">
        <w:rPr>
          <w:rFonts w:hAnsi="標楷體" w:hint="eastAsia"/>
        </w:rPr>
        <w:t>：</w:t>
      </w:r>
      <w:bookmarkEnd w:id="0"/>
      <w:bookmarkEnd w:id="1"/>
      <w:bookmarkEnd w:id="2"/>
      <w:bookmarkEnd w:id="3"/>
      <w:bookmarkEnd w:id="4"/>
      <w:bookmarkEnd w:id="5"/>
      <w:bookmarkEnd w:id="6"/>
      <w:bookmarkEnd w:id="7"/>
      <w:bookmarkEnd w:id="8"/>
      <w:bookmarkEnd w:id="9"/>
      <w:r w:rsidR="005C20D5" w:rsidRPr="00714BF6">
        <w:rPr>
          <w:rFonts w:hAnsi="標楷體"/>
        </w:rPr>
        <w:fldChar w:fldCharType="begin"/>
      </w:r>
      <w:r w:rsidRPr="00714BF6">
        <w:rPr>
          <w:rFonts w:hAnsi="標楷體"/>
        </w:rPr>
        <w:instrText xml:space="preserve"> MERGEFIELD </w:instrText>
      </w:r>
      <w:r w:rsidRPr="00714BF6">
        <w:rPr>
          <w:rFonts w:hAnsi="標楷體" w:hint="eastAsia"/>
        </w:rPr>
        <w:instrText>案由</w:instrText>
      </w:r>
      <w:r w:rsidRPr="00714BF6">
        <w:rPr>
          <w:rFonts w:hAnsi="標楷體"/>
        </w:rPr>
        <w:instrText xml:space="preserve"> </w:instrText>
      </w:r>
      <w:r w:rsidR="005C20D5" w:rsidRPr="00714BF6">
        <w:rPr>
          <w:rFonts w:hAnsi="標楷體"/>
        </w:rPr>
        <w:fldChar w:fldCharType="separate"/>
      </w:r>
      <w:bookmarkEnd w:id="11"/>
      <w:r w:rsidR="00CE5817" w:rsidRPr="00714BF6">
        <w:rPr>
          <w:rFonts w:hAnsi="標楷體" w:hint="eastAsia"/>
          <w:noProof/>
        </w:rPr>
        <w:t>據審計部103年度中央政府總決算審核報告，教育部「教學卓越計畫」獲獎勵大學教學相關制度建制、預算執行、校際教學資源共享之協調、整合成效落實現況之檢討案。</w:t>
      </w:r>
      <w:bookmarkEnd w:id="10"/>
      <w:r w:rsidR="005C20D5" w:rsidRPr="00714BF6">
        <w:rPr>
          <w:rFonts w:hAnsi="標楷體"/>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2A6D57" w:rsidRPr="00714BF6" w:rsidRDefault="002A6D57" w:rsidP="000B2F2E">
      <w:pPr>
        <w:pStyle w:val="1"/>
        <w:spacing w:line="480" w:lineRule="exact"/>
        <w:rPr>
          <w:rFonts w:hAnsi="標楷體"/>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57658100"/>
      <w:r w:rsidRPr="00714BF6">
        <w:rPr>
          <w:rFonts w:hAnsi="標楷體" w:hint="eastAsia"/>
          <w:b/>
        </w:rPr>
        <w:t>調查意見</w:t>
      </w:r>
      <w:r w:rsidRPr="00714BF6">
        <w:rPr>
          <w:rFonts w:hAnsi="標楷體" w:hint="eastAsia"/>
        </w:rPr>
        <w:t>：</w:t>
      </w:r>
      <w:bookmarkStart w:id="49" w:name="_Toc524902730"/>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211DD5" w:rsidRPr="00714BF6" w:rsidRDefault="00211DD5" w:rsidP="000B2F2E">
      <w:pPr>
        <w:pStyle w:val="1"/>
        <w:numPr>
          <w:ilvl w:val="0"/>
          <w:numId w:val="0"/>
        </w:numPr>
        <w:spacing w:line="480" w:lineRule="exact"/>
        <w:ind w:leftChars="134" w:left="666" w:hangingChars="74" w:hanging="237"/>
        <w:rPr>
          <w:rFonts w:hAnsi="標楷體"/>
          <w:szCs w:val="20"/>
        </w:rPr>
      </w:pPr>
      <w:r w:rsidRPr="00714BF6">
        <w:rPr>
          <w:rFonts w:hAnsi="標楷體" w:hint="eastAsia"/>
          <w:szCs w:val="20"/>
        </w:rPr>
        <w:t xml:space="preserve">    </w:t>
      </w:r>
      <w:bookmarkStart w:id="50" w:name="_Toc455416281"/>
      <w:bookmarkStart w:id="51" w:name="_Toc455484531"/>
      <w:bookmarkStart w:id="52" w:name="_Toc455557955"/>
      <w:bookmarkStart w:id="53" w:name="_Toc457658101"/>
      <w:r w:rsidRPr="00714BF6">
        <w:rPr>
          <w:rFonts w:hAnsi="標楷體" w:hint="eastAsia"/>
          <w:szCs w:val="20"/>
        </w:rPr>
        <w:t>「</w:t>
      </w:r>
      <w:r w:rsidRPr="00714BF6">
        <w:rPr>
          <w:rFonts w:hAnsi="標楷體" w:hint="eastAsia"/>
          <w:szCs w:val="32"/>
        </w:rPr>
        <w:t>高等教育的發展，就是國勢，與國家發展息息相關。」</w:t>
      </w:r>
      <w:proofErr w:type="gramStart"/>
      <w:r w:rsidRPr="00714BF6">
        <w:rPr>
          <w:rFonts w:hAnsi="標楷體" w:hint="eastAsia"/>
          <w:szCs w:val="32"/>
        </w:rPr>
        <w:t>─</w:t>
      </w:r>
      <w:proofErr w:type="gramEnd"/>
      <w:r w:rsidRPr="00714BF6">
        <w:rPr>
          <w:rFonts w:hAnsi="標楷體" w:hint="eastAsia"/>
          <w:szCs w:val="32"/>
        </w:rPr>
        <w:t>本案諮詢學者如是說</w:t>
      </w:r>
      <w:r w:rsidRPr="00714BF6">
        <w:rPr>
          <w:rStyle w:val="aff2"/>
          <w:rFonts w:hAnsi="標楷體"/>
          <w:szCs w:val="32"/>
        </w:rPr>
        <w:footnoteReference w:id="1"/>
      </w:r>
      <w:r w:rsidRPr="00714BF6">
        <w:rPr>
          <w:rFonts w:hAnsi="標楷體" w:hint="eastAsia"/>
          <w:szCs w:val="32"/>
        </w:rPr>
        <w:t>。</w:t>
      </w:r>
      <w:r w:rsidRPr="00714BF6">
        <w:rPr>
          <w:rFonts w:hAnsi="標楷體" w:hint="eastAsia"/>
          <w:szCs w:val="20"/>
        </w:rPr>
        <w:t>大</w:t>
      </w:r>
      <w:proofErr w:type="gramStart"/>
      <w:r w:rsidRPr="00714BF6">
        <w:rPr>
          <w:rFonts w:hAnsi="標楷體" w:hint="eastAsia"/>
          <w:szCs w:val="20"/>
        </w:rPr>
        <w:t>學藉</w:t>
      </w:r>
      <w:proofErr w:type="gramEnd"/>
      <w:r w:rsidRPr="00714BF6">
        <w:rPr>
          <w:rFonts w:hAnsi="標楷體" w:hint="eastAsia"/>
          <w:szCs w:val="20"/>
        </w:rPr>
        <w:t>由研究與教學，創造並傳播知識，肩負為國育才</w:t>
      </w:r>
      <w:r w:rsidR="00997A51" w:rsidRPr="00714BF6">
        <w:rPr>
          <w:rFonts w:hAnsi="標楷體" w:hint="eastAsia"/>
          <w:szCs w:val="20"/>
        </w:rPr>
        <w:t>及帶動國家競爭力</w:t>
      </w:r>
      <w:r w:rsidRPr="00714BF6">
        <w:rPr>
          <w:rFonts w:hAnsi="標楷體" w:hint="eastAsia"/>
          <w:szCs w:val="20"/>
        </w:rPr>
        <w:t>之重責大任</w:t>
      </w:r>
      <w:r w:rsidR="004A37B6" w:rsidRPr="00714BF6">
        <w:rPr>
          <w:rFonts w:hAnsi="標楷體" w:hint="eastAsia"/>
          <w:szCs w:val="20"/>
        </w:rPr>
        <w:t>，</w:t>
      </w:r>
      <w:r w:rsidR="00E71CC2" w:rsidRPr="00714BF6">
        <w:rPr>
          <w:rFonts w:hAnsi="標楷體" w:hint="eastAsia"/>
          <w:szCs w:val="20"/>
        </w:rPr>
        <w:t>世界各國</w:t>
      </w:r>
      <w:r w:rsidR="00CF5DF3" w:rsidRPr="00714BF6">
        <w:rPr>
          <w:rFonts w:hAnsi="標楷體" w:hint="eastAsia"/>
          <w:szCs w:val="20"/>
        </w:rPr>
        <w:t>高等教育在規模擴張以及國際化等趨勢之衝擊</w:t>
      </w:r>
      <w:r w:rsidRPr="00714BF6">
        <w:rPr>
          <w:rFonts w:hAnsi="標楷體" w:hint="eastAsia"/>
          <w:szCs w:val="20"/>
        </w:rPr>
        <w:t>下，</w:t>
      </w:r>
      <w:r w:rsidR="00E71CC2" w:rsidRPr="00714BF6">
        <w:rPr>
          <w:rFonts w:hAnsi="標楷體" w:hint="eastAsia"/>
          <w:szCs w:val="20"/>
        </w:rPr>
        <w:t>莫</w:t>
      </w:r>
      <w:r w:rsidRPr="00714BF6">
        <w:rPr>
          <w:rFonts w:hAnsi="標楷體" w:hint="eastAsia"/>
          <w:szCs w:val="20"/>
        </w:rPr>
        <w:t>不積極投注資源</w:t>
      </w:r>
      <w:r w:rsidR="00997A51" w:rsidRPr="00714BF6">
        <w:rPr>
          <w:rFonts w:hAnsi="標楷體" w:hint="eastAsia"/>
          <w:szCs w:val="20"/>
        </w:rPr>
        <w:t>，以追求</w:t>
      </w:r>
      <w:r w:rsidRPr="00714BF6">
        <w:rPr>
          <w:rFonts w:hAnsi="標楷體" w:hint="eastAsia"/>
          <w:szCs w:val="20"/>
        </w:rPr>
        <w:t>卓越發展，</w:t>
      </w:r>
      <w:r w:rsidR="00B404BC" w:rsidRPr="00714BF6">
        <w:rPr>
          <w:rFonts w:hAnsi="標楷體" w:hint="eastAsia"/>
          <w:szCs w:val="20"/>
        </w:rPr>
        <w:t>蓋</w:t>
      </w:r>
      <w:r w:rsidR="00CF5DF3" w:rsidRPr="00714BF6">
        <w:rPr>
          <w:rFonts w:hAnsi="標楷體" w:hint="eastAsia"/>
          <w:szCs w:val="20"/>
        </w:rPr>
        <w:t>因追求高等教育</w:t>
      </w:r>
      <w:r w:rsidR="000F2056">
        <w:rPr>
          <w:rFonts w:hAnsi="標楷體" w:hint="eastAsia"/>
          <w:szCs w:val="20"/>
        </w:rPr>
        <w:t>的</w:t>
      </w:r>
      <w:r w:rsidR="00CF5DF3" w:rsidRPr="00714BF6">
        <w:rPr>
          <w:rFonts w:hAnsi="標楷體" w:hint="eastAsia"/>
          <w:szCs w:val="20"/>
        </w:rPr>
        <w:t>卓越，即等同增強</w:t>
      </w:r>
      <w:r w:rsidRPr="00714BF6">
        <w:rPr>
          <w:rFonts w:hAnsi="標楷體" w:hint="eastAsia"/>
          <w:szCs w:val="20"/>
        </w:rPr>
        <w:t>國力。</w:t>
      </w:r>
      <w:bookmarkEnd w:id="50"/>
      <w:bookmarkEnd w:id="51"/>
      <w:bookmarkEnd w:id="52"/>
      <w:bookmarkEnd w:id="53"/>
    </w:p>
    <w:p w:rsidR="009933ED" w:rsidRPr="00714BF6" w:rsidRDefault="009933ED" w:rsidP="000B2F2E">
      <w:pPr>
        <w:pStyle w:val="1"/>
        <w:numPr>
          <w:ilvl w:val="0"/>
          <w:numId w:val="0"/>
        </w:numPr>
        <w:spacing w:line="480" w:lineRule="exact"/>
        <w:ind w:leftChars="134" w:left="666" w:hangingChars="74" w:hanging="237"/>
        <w:rPr>
          <w:rFonts w:hAnsi="標楷體"/>
        </w:rPr>
      </w:pPr>
      <w:r w:rsidRPr="00714BF6">
        <w:rPr>
          <w:rFonts w:hAnsi="標楷體" w:hint="eastAsia"/>
          <w:szCs w:val="20"/>
        </w:rPr>
        <w:t xml:space="preserve">     </w:t>
      </w:r>
      <w:bookmarkStart w:id="54" w:name="_Toc455416282"/>
      <w:bookmarkStart w:id="55" w:name="_Toc455484532"/>
      <w:bookmarkStart w:id="56" w:name="_Toc455557956"/>
      <w:bookmarkStart w:id="57" w:name="_Toc457658102"/>
      <w:r w:rsidR="00C27089" w:rsidRPr="00714BF6">
        <w:rPr>
          <w:rFonts w:hint="eastAsia"/>
        </w:rPr>
        <w:t>審計部查核</w:t>
      </w:r>
      <w:r w:rsidR="006F33A8" w:rsidRPr="00714BF6">
        <w:rPr>
          <w:rStyle w:val="aff2"/>
        </w:rPr>
        <w:footnoteReference w:id="2"/>
      </w:r>
      <w:r w:rsidR="00C27089" w:rsidRPr="00714BF6">
        <w:rPr>
          <w:rFonts w:hint="eastAsia"/>
        </w:rPr>
        <w:t>「教學卓越計畫」一案之相關審核意見</w:t>
      </w:r>
      <w:r w:rsidR="00CF5DF3" w:rsidRPr="00714BF6">
        <w:rPr>
          <w:rFonts w:hint="eastAsia"/>
        </w:rPr>
        <w:t>指出</w:t>
      </w:r>
      <w:r w:rsidR="00C27089" w:rsidRPr="00714BF6">
        <w:rPr>
          <w:rFonts w:hint="eastAsia"/>
        </w:rPr>
        <w:t>：</w:t>
      </w:r>
      <w:r w:rsidR="00CF5DF3" w:rsidRPr="00714BF6">
        <w:rPr>
          <w:rFonts w:hint="eastAsia"/>
        </w:rPr>
        <w:t>「</w:t>
      </w:r>
      <w:r w:rsidR="00C27089" w:rsidRPr="00714BF6">
        <w:rPr>
          <w:rFonts w:hint="eastAsia"/>
        </w:rPr>
        <w:t>計畫執行迄今已達10年，學校師生對於教學品質滿意程度，仍有相當</w:t>
      </w:r>
      <w:r w:rsidR="00E71CC2" w:rsidRPr="00714BF6">
        <w:rPr>
          <w:rFonts w:hint="eastAsia"/>
        </w:rPr>
        <w:t>待</w:t>
      </w:r>
      <w:r w:rsidR="00C27089" w:rsidRPr="00714BF6">
        <w:rPr>
          <w:rFonts w:hint="eastAsia"/>
        </w:rPr>
        <w:t>改進空間、教育部未深入調查學校師生對於區域教學資源中心之相關建制與使用情形、受補助學校於教學制度面之執行上，出現部分學校未通過教師評鑑之教師比率增加、教學評量不佳教師未予輔導、教學助理之素質及管考待強化、跨領域學習成效待提升......</w:t>
      </w:r>
      <w:r w:rsidR="00CF5DF3" w:rsidRPr="00714BF6">
        <w:rPr>
          <w:rFonts w:hint="eastAsia"/>
        </w:rPr>
        <w:t>」</w:t>
      </w:r>
      <w:r w:rsidR="00C27089" w:rsidRPr="00714BF6">
        <w:rPr>
          <w:rFonts w:hint="eastAsia"/>
        </w:rPr>
        <w:t>等情</w:t>
      </w:r>
      <w:r w:rsidRPr="00714BF6">
        <w:rPr>
          <w:rFonts w:hAnsi="標楷體" w:hint="eastAsia"/>
          <w:noProof/>
        </w:rPr>
        <w:t>，</w:t>
      </w:r>
      <w:r w:rsidR="00C27089" w:rsidRPr="00714BF6">
        <w:rPr>
          <w:rFonts w:hAnsi="標楷體" w:hint="eastAsia"/>
          <w:noProof/>
        </w:rPr>
        <w:t>顯示此計畫容有檢討空間；</w:t>
      </w:r>
      <w:r w:rsidR="00095106" w:rsidRPr="00714BF6">
        <w:rPr>
          <w:rFonts w:hAnsi="標楷體" w:hint="eastAsia"/>
          <w:noProof/>
        </w:rPr>
        <w:t>復以此計畫將於105年底結束，時值計畫檢討轉型之際，為深入瞭解我國促進</w:t>
      </w:r>
      <w:r w:rsidRPr="00714BF6">
        <w:rPr>
          <w:rFonts w:hAnsi="標楷體" w:hint="eastAsia"/>
          <w:noProof/>
        </w:rPr>
        <w:t>高等教育教學卓越之</w:t>
      </w:r>
      <w:r w:rsidR="00095106" w:rsidRPr="00714BF6">
        <w:rPr>
          <w:rFonts w:hAnsi="標楷體" w:hint="eastAsia"/>
          <w:noProof/>
        </w:rPr>
        <w:t>實情、</w:t>
      </w:r>
      <w:r w:rsidRPr="00714BF6">
        <w:rPr>
          <w:rFonts w:hAnsi="標楷體" w:hint="eastAsia"/>
          <w:noProof/>
        </w:rPr>
        <w:t>效益與未來發展</w:t>
      </w:r>
      <w:r w:rsidR="00E71CC2" w:rsidRPr="00714BF6">
        <w:rPr>
          <w:rFonts w:hAnsi="標楷體" w:hint="eastAsia"/>
          <w:noProof/>
        </w:rPr>
        <w:t>方向</w:t>
      </w:r>
      <w:r w:rsidRPr="00714BF6">
        <w:rPr>
          <w:rFonts w:hAnsi="標楷體" w:hint="eastAsia"/>
          <w:noProof/>
        </w:rPr>
        <w:t>，本院特予立案，並推請陳小紅委員與仉桂美委員調查；</w:t>
      </w:r>
      <w:r w:rsidRPr="00714BF6">
        <w:rPr>
          <w:rFonts w:hAnsi="標楷體" w:hint="eastAsia"/>
          <w:szCs w:val="20"/>
        </w:rPr>
        <w:t>經向</w:t>
      </w:r>
      <w:proofErr w:type="gramStart"/>
      <w:r w:rsidRPr="00714BF6">
        <w:rPr>
          <w:rFonts w:hAnsi="標楷體" w:hint="eastAsia"/>
          <w:szCs w:val="20"/>
        </w:rPr>
        <w:t>審計部與教育部</w:t>
      </w:r>
      <w:proofErr w:type="gramEnd"/>
      <w:r w:rsidRPr="00714BF6">
        <w:rPr>
          <w:rFonts w:hAnsi="標楷體" w:hint="eastAsia"/>
          <w:szCs w:val="20"/>
        </w:rPr>
        <w:t>函</w:t>
      </w:r>
      <w:proofErr w:type="gramStart"/>
      <w:r w:rsidRPr="00714BF6">
        <w:rPr>
          <w:rFonts w:hAnsi="標楷體" w:hint="eastAsia"/>
          <w:szCs w:val="20"/>
        </w:rPr>
        <w:t>詢</w:t>
      </w:r>
      <w:proofErr w:type="gramEnd"/>
      <w:r w:rsidRPr="00714BF6">
        <w:rPr>
          <w:rFonts w:hAnsi="標楷體" w:hint="eastAsia"/>
          <w:szCs w:val="20"/>
        </w:rPr>
        <w:t>調閱相關卷證資料，</w:t>
      </w:r>
      <w:r w:rsidR="000B2F2E" w:rsidRPr="00714BF6">
        <w:rPr>
          <w:rFonts w:hAnsi="標楷體" w:hint="eastAsia"/>
          <w:szCs w:val="20"/>
        </w:rPr>
        <w:t>並</w:t>
      </w:r>
      <w:r w:rsidRPr="00714BF6">
        <w:rPr>
          <w:rFonts w:hAnsi="標楷體" w:hint="eastAsia"/>
          <w:szCs w:val="20"/>
        </w:rPr>
        <w:t>於本（105）年3月7日詢問</w:t>
      </w:r>
      <w:r w:rsidR="003A17DF" w:rsidRPr="00714BF6">
        <w:rPr>
          <w:rFonts w:hAnsi="標楷體" w:hint="eastAsia"/>
          <w:szCs w:val="20"/>
        </w:rPr>
        <w:t>教育部前政務次長陳德華、王明源副司長、朱俊彰副司長等主管人員；</w:t>
      </w:r>
      <w:r w:rsidRPr="00714BF6">
        <w:rPr>
          <w:rFonts w:hAnsi="標楷體" w:hint="eastAsia"/>
          <w:szCs w:val="20"/>
        </w:rPr>
        <w:t>同年月8日邀請高等教育領域專家學者高希均教授、張光正</w:t>
      </w:r>
      <w:r w:rsidR="002557E4" w:rsidRPr="00714BF6">
        <w:rPr>
          <w:rFonts w:hAnsi="標楷體" w:hint="eastAsia"/>
          <w:szCs w:val="20"/>
        </w:rPr>
        <w:t>校長、</w:t>
      </w:r>
      <w:r w:rsidR="002557E4" w:rsidRPr="00714BF6">
        <w:rPr>
          <w:rFonts w:hAnsi="標楷體" w:hint="eastAsia"/>
          <w:szCs w:val="20"/>
        </w:rPr>
        <w:lastRenderedPageBreak/>
        <w:t>黃榮村前部長</w:t>
      </w:r>
      <w:r w:rsidRPr="00714BF6">
        <w:rPr>
          <w:rFonts w:hAnsi="標楷體" w:hint="eastAsia"/>
          <w:szCs w:val="20"/>
        </w:rPr>
        <w:t>、楊瑩教授及徐澤志教授等人到院提供諮詢意見；及於同年4月11日、25</w:t>
      </w:r>
      <w:r w:rsidR="00E71CC2" w:rsidRPr="00714BF6">
        <w:rPr>
          <w:rFonts w:hAnsi="標楷體" w:hint="eastAsia"/>
          <w:szCs w:val="20"/>
        </w:rPr>
        <w:t>日與</w:t>
      </w:r>
      <w:r w:rsidRPr="00714BF6">
        <w:rPr>
          <w:rFonts w:hAnsi="標楷體" w:hint="eastAsia"/>
          <w:szCs w:val="20"/>
        </w:rPr>
        <w:t>6月4日分別赴北、中、南區</w:t>
      </w:r>
      <w:r w:rsidR="00332991" w:rsidRPr="00714BF6">
        <w:rPr>
          <w:rFonts w:hAnsi="標楷體" w:hint="eastAsia"/>
          <w:szCs w:val="20"/>
        </w:rPr>
        <w:t>各1所</w:t>
      </w:r>
      <w:r w:rsidRPr="00714BF6">
        <w:rPr>
          <w:rFonts w:hAnsi="標楷體" w:hint="eastAsia"/>
          <w:szCs w:val="20"/>
        </w:rPr>
        <w:t>區域教學資源中心</w:t>
      </w:r>
      <w:r w:rsidR="00254971" w:rsidRPr="00714BF6">
        <w:rPr>
          <w:rFonts w:hAnsi="標楷體" w:hint="eastAsia"/>
          <w:szCs w:val="20"/>
        </w:rPr>
        <w:t>學校</w:t>
      </w:r>
      <w:r w:rsidR="00997A51" w:rsidRPr="00714BF6">
        <w:rPr>
          <w:rFonts w:hAnsi="標楷體" w:hint="eastAsia"/>
          <w:szCs w:val="20"/>
        </w:rPr>
        <w:t>(國立</w:t>
      </w:r>
      <w:proofErr w:type="gramStart"/>
      <w:r w:rsidR="00997A51" w:rsidRPr="00714BF6">
        <w:rPr>
          <w:rFonts w:hAnsi="標楷體" w:hint="eastAsia"/>
          <w:szCs w:val="20"/>
        </w:rPr>
        <w:t>臺</w:t>
      </w:r>
      <w:proofErr w:type="gramEnd"/>
      <w:r w:rsidR="00997A51" w:rsidRPr="00714BF6">
        <w:rPr>
          <w:rFonts w:hAnsi="標楷體" w:hint="eastAsia"/>
          <w:szCs w:val="20"/>
        </w:rPr>
        <w:t>北科技大學、逢甲大學、國立高雄應用科技大學)</w:t>
      </w:r>
      <w:r w:rsidRPr="00714BF6">
        <w:rPr>
          <w:rFonts w:hAnsi="標楷體" w:hint="eastAsia"/>
          <w:szCs w:val="20"/>
        </w:rPr>
        <w:t>實地履</w:t>
      </w:r>
      <w:proofErr w:type="gramStart"/>
      <w:r w:rsidRPr="00714BF6">
        <w:rPr>
          <w:rFonts w:hAnsi="標楷體" w:hint="eastAsia"/>
          <w:szCs w:val="20"/>
        </w:rPr>
        <w:t>勘</w:t>
      </w:r>
      <w:proofErr w:type="gramEnd"/>
      <w:r w:rsidR="00254971" w:rsidRPr="00714BF6">
        <w:rPr>
          <w:rFonts w:hAnsi="標楷體" w:hint="eastAsia"/>
          <w:szCs w:val="20"/>
        </w:rPr>
        <w:t>，</w:t>
      </w:r>
      <w:r w:rsidR="00997A51" w:rsidRPr="00714BF6">
        <w:rPr>
          <w:rFonts w:hAnsi="標楷體" w:hint="eastAsia"/>
          <w:szCs w:val="20"/>
        </w:rPr>
        <w:t>並邀請</w:t>
      </w:r>
      <w:r w:rsidR="00CF5DF3" w:rsidRPr="00714BF6">
        <w:rPr>
          <w:rFonts w:hAnsi="標楷體" w:hint="eastAsia"/>
          <w:szCs w:val="20"/>
        </w:rPr>
        <w:t>各</w:t>
      </w:r>
      <w:r w:rsidR="00E71CC2" w:rsidRPr="00714BF6">
        <w:rPr>
          <w:rFonts w:hAnsi="標楷體" w:hint="eastAsia"/>
          <w:szCs w:val="20"/>
        </w:rPr>
        <w:t>該</w:t>
      </w:r>
      <w:r w:rsidR="00CF5DF3" w:rsidRPr="00714BF6">
        <w:rPr>
          <w:rFonts w:hAnsi="標楷體" w:hint="eastAsia"/>
          <w:szCs w:val="20"/>
        </w:rPr>
        <w:t>區</w:t>
      </w:r>
      <w:r w:rsidR="00997A51" w:rsidRPr="00714BF6">
        <w:rPr>
          <w:rFonts w:hAnsi="標楷體" w:hint="eastAsia"/>
          <w:szCs w:val="20"/>
        </w:rPr>
        <w:t>相關學校</w:t>
      </w:r>
      <w:r w:rsidRPr="00714BF6">
        <w:rPr>
          <w:rFonts w:hAnsi="標楷體" w:hint="eastAsia"/>
          <w:szCs w:val="20"/>
        </w:rPr>
        <w:t>代表</w:t>
      </w:r>
      <w:r w:rsidR="000F2056">
        <w:rPr>
          <w:rFonts w:hAnsi="標楷體" w:hint="eastAsia"/>
          <w:szCs w:val="20"/>
        </w:rPr>
        <w:t>計31校91人次</w:t>
      </w:r>
      <w:r w:rsidRPr="00714BF6">
        <w:rPr>
          <w:rFonts w:hAnsi="標楷體" w:hint="eastAsia"/>
          <w:szCs w:val="20"/>
        </w:rPr>
        <w:t>座談，已</w:t>
      </w:r>
      <w:proofErr w:type="gramStart"/>
      <w:r w:rsidRPr="00714BF6">
        <w:rPr>
          <w:rFonts w:hAnsi="標楷體" w:hint="eastAsia"/>
          <w:szCs w:val="20"/>
        </w:rPr>
        <w:t>調查竣事</w:t>
      </w:r>
      <w:proofErr w:type="gramEnd"/>
      <w:r w:rsidRPr="00714BF6">
        <w:rPr>
          <w:rFonts w:hAnsi="標楷體" w:hint="eastAsia"/>
          <w:szCs w:val="20"/>
        </w:rPr>
        <w:t>，茲提出調查意見如</w:t>
      </w:r>
      <w:r w:rsidR="008C1D81" w:rsidRPr="00714BF6">
        <w:rPr>
          <w:rFonts w:hAnsi="標楷體" w:hint="eastAsia"/>
          <w:szCs w:val="20"/>
        </w:rPr>
        <w:t>次</w:t>
      </w:r>
      <w:r w:rsidRPr="00714BF6">
        <w:rPr>
          <w:rFonts w:hAnsi="標楷體" w:hint="eastAsia"/>
          <w:szCs w:val="20"/>
        </w:rPr>
        <w:t>：</w:t>
      </w:r>
      <w:bookmarkEnd w:id="54"/>
      <w:bookmarkEnd w:id="55"/>
      <w:bookmarkEnd w:id="56"/>
      <w:bookmarkEnd w:id="57"/>
    </w:p>
    <w:p w:rsidR="0077749B" w:rsidRPr="00714BF6" w:rsidRDefault="00C82DA2" w:rsidP="000B2F2E">
      <w:pPr>
        <w:pStyle w:val="2"/>
        <w:spacing w:line="480" w:lineRule="exact"/>
        <w:ind w:left="993" w:hanging="709"/>
        <w:rPr>
          <w:rFonts w:hAnsi="標楷體"/>
          <w:b/>
        </w:rPr>
      </w:pPr>
      <w:bookmarkStart w:id="58" w:name="_Toc457658103"/>
      <w:r w:rsidRPr="00714BF6">
        <w:rPr>
          <w:rFonts w:hAnsi="標楷體" w:hint="eastAsia"/>
          <w:b/>
        </w:rPr>
        <w:t>在全球化競爭</w:t>
      </w:r>
      <w:r w:rsidR="006F23D4" w:rsidRPr="00714BF6">
        <w:rPr>
          <w:rFonts w:hAnsi="標楷體" w:hint="eastAsia"/>
          <w:b/>
        </w:rPr>
        <w:t>日</w:t>
      </w:r>
      <w:proofErr w:type="gramStart"/>
      <w:r w:rsidR="006F23D4" w:rsidRPr="00714BF6">
        <w:rPr>
          <w:rFonts w:hAnsi="標楷體" w:hint="eastAsia"/>
          <w:b/>
        </w:rPr>
        <w:t>熾</w:t>
      </w:r>
      <w:proofErr w:type="gramEnd"/>
      <w:r w:rsidR="006F23D4" w:rsidRPr="00714BF6">
        <w:rPr>
          <w:rFonts w:hAnsi="標楷體" w:hint="eastAsia"/>
          <w:b/>
        </w:rPr>
        <w:t>而</w:t>
      </w:r>
      <w:r w:rsidRPr="00714BF6">
        <w:rPr>
          <w:rFonts w:hAnsi="標楷體" w:hint="eastAsia"/>
          <w:b/>
        </w:rPr>
        <w:t>高教發展總體藍圖</w:t>
      </w:r>
      <w:r w:rsidR="006F23D4" w:rsidRPr="00714BF6">
        <w:rPr>
          <w:rFonts w:hAnsi="標楷體" w:hint="eastAsia"/>
          <w:b/>
        </w:rPr>
        <w:t>欠缺氛圍下，</w:t>
      </w:r>
      <w:proofErr w:type="gramStart"/>
      <w:r w:rsidR="006F23D4" w:rsidRPr="00714BF6">
        <w:rPr>
          <w:rFonts w:hAnsi="標楷體" w:hint="eastAsia"/>
          <w:b/>
        </w:rPr>
        <w:t>近</w:t>
      </w:r>
      <w:r w:rsidR="00277D46" w:rsidRPr="00714BF6">
        <w:rPr>
          <w:rFonts w:hAnsi="標楷體" w:hint="eastAsia"/>
          <w:b/>
        </w:rPr>
        <w:t>廿餘</w:t>
      </w:r>
      <w:proofErr w:type="gramEnd"/>
      <w:r w:rsidR="00277D46" w:rsidRPr="00714BF6">
        <w:rPr>
          <w:rFonts w:hAnsi="標楷體" w:hint="eastAsia"/>
          <w:b/>
        </w:rPr>
        <w:t>載重視研究論文發表而輕忽大學</w:t>
      </w:r>
      <w:r w:rsidR="007D6FF3" w:rsidRPr="00714BF6">
        <w:rPr>
          <w:rFonts w:hAnsi="標楷體" w:hint="eastAsia"/>
          <w:b/>
        </w:rPr>
        <w:t>傳道授業</w:t>
      </w:r>
      <w:r w:rsidRPr="00714BF6">
        <w:rPr>
          <w:rFonts w:hAnsi="標楷體" w:hint="eastAsia"/>
          <w:b/>
        </w:rPr>
        <w:t>基本職責態勢</w:t>
      </w:r>
      <w:r w:rsidR="00277D46" w:rsidRPr="00714BF6">
        <w:rPr>
          <w:rFonts w:hAnsi="標楷體" w:hint="eastAsia"/>
          <w:b/>
        </w:rPr>
        <w:t>下，</w:t>
      </w:r>
      <w:r w:rsidR="00251378" w:rsidRPr="00714BF6">
        <w:rPr>
          <w:rFonts w:hAnsi="標楷體" w:hint="eastAsia"/>
          <w:b/>
        </w:rPr>
        <w:t>我</w:t>
      </w:r>
      <w:r w:rsidR="00B20B04" w:rsidRPr="00714BF6">
        <w:rPr>
          <w:rFonts w:hAnsi="標楷體" w:hint="eastAsia"/>
          <w:b/>
        </w:rPr>
        <w:t>國</w:t>
      </w:r>
      <w:r w:rsidR="00E71CC2" w:rsidRPr="00714BF6">
        <w:rPr>
          <w:rFonts w:hAnsi="標楷體" w:hint="eastAsia"/>
          <w:b/>
        </w:rPr>
        <w:t>早</w:t>
      </w:r>
      <w:r w:rsidR="002557E4" w:rsidRPr="00714BF6">
        <w:rPr>
          <w:rFonts w:hAnsi="標楷體" w:hint="eastAsia"/>
          <w:b/>
        </w:rPr>
        <w:t>於87年起推動</w:t>
      </w:r>
      <w:r w:rsidR="007D6FF3" w:rsidRPr="00714BF6">
        <w:rPr>
          <w:rFonts w:hAnsi="標楷體" w:hint="eastAsia"/>
          <w:b/>
        </w:rPr>
        <w:t>一</w:t>
      </w:r>
      <w:r w:rsidR="002557E4" w:rsidRPr="00714BF6">
        <w:rPr>
          <w:rFonts w:hAnsi="標楷體" w:hint="eastAsia"/>
          <w:b/>
        </w:rPr>
        <w:t>系列追求</w:t>
      </w:r>
      <w:r w:rsidRPr="00714BF6">
        <w:rPr>
          <w:rFonts w:hAnsi="標楷體" w:hint="eastAsia"/>
          <w:b/>
        </w:rPr>
        <w:t>高教</w:t>
      </w:r>
      <w:r w:rsidR="002557E4" w:rsidRPr="00714BF6">
        <w:rPr>
          <w:rFonts w:hAnsi="標楷體" w:hint="eastAsia"/>
          <w:b/>
        </w:rPr>
        <w:t>學術</w:t>
      </w:r>
      <w:r w:rsidRPr="00714BF6">
        <w:rPr>
          <w:rFonts w:hAnsi="標楷體" w:hint="eastAsia"/>
          <w:b/>
        </w:rPr>
        <w:t>研究</w:t>
      </w:r>
      <w:r w:rsidR="002557E4" w:rsidRPr="00714BF6">
        <w:rPr>
          <w:rFonts w:hAnsi="標楷體" w:hint="eastAsia"/>
          <w:b/>
        </w:rPr>
        <w:t>卓越之計畫</w:t>
      </w:r>
      <w:r w:rsidR="00251378" w:rsidRPr="00714BF6">
        <w:rPr>
          <w:rFonts w:hAnsi="標楷體" w:hint="eastAsia"/>
          <w:b/>
        </w:rPr>
        <w:t>，</w:t>
      </w:r>
      <w:proofErr w:type="gramStart"/>
      <w:r w:rsidR="00E71CC2" w:rsidRPr="00714BF6">
        <w:rPr>
          <w:rFonts w:hAnsi="標楷體" w:hint="eastAsia"/>
          <w:b/>
        </w:rPr>
        <w:t>然</w:t>
      </w:r>
      <w:r w:rsidR="002557E4" w:rsidRPr="00714BF6">
        <w:rPr>
          <w:rFonts w:hAnsi="標楷體" w:hint="eastAsia"/>
          <w:b/>
        </w:rPr>
        <w:t>直</w:t>
      </w:r>
      <w:r w:rsidR="00815A93" w:rsidRPr="00714BF6">
        <w:rPr>
          <w:rFonts w:hAnsi="標楷體" w:hint="eastAsia"/>
          <w:b/>
        </w:rPr>
        <w:t>至</w:t>
      </w:r>
      <w:proofErr w:type="gramEnd"/>
      <w:r w:rsidR="00815A93" w:rsidRPr="00714BF6">
        <w:rPr>
          <w:rFonts w:hAnsi="標楷體" w:hint="eastAsia"/>
          <w:b/>
        </w:rPr>
        <w:t>94年</w:t>
      </w:r>
      <w:r w:rsidR="00894438" w:rsidRPr="00714BF6">
        <w:rPr>
          <w:rFonts w:hAnsi="標楷體" w:hint="eastAsia"/>
          <w:b/>
        </w:rPr>
        <w:t>方</w:t>
      </w:r>
      <w:r w:rsidR="002557E4" w:rsidRPr="00714BF6">
        <w:rPr>
          <w:rFonts w:hAnsi="標楷體" w:hint="eastAsia"/>
          <w:b/>
        </w:rPr>
        <w:t>啟</w:t>
      </w:r>
      <w:r w:rsidR="00F76E49" w:rsidRPr="00714BF6">
        <w:rPr>
          <w:rFonts w:hAnsi="標楷體" w:hint="eastAsia"/>
          <w:b/>
        </w:rPr>
        <w:t>動</w:t>
      </w:r>
      <w:r w:rsidR="005013D4" w:rsidRPr="00714BF6">
        <w:rPr>
          <w:rFonts w:hAnsi="標楷體" w:hint="eastAsia"/>
          <w:b/>
        </w:rPr>
        <w:t>獎勵大學教學卓越計畫</w:t>
      </w:r>
      <w:r w:rsidR="00890AB3" w:rsidRPr="00714BF6">
        <w:rPr>
          <w:rFonts w:hAnsi="標楷體" w:hint="eastAsia"/>
          <w:b/>
        </w:rPr>
        <w:t>；</w:t>
      </w:r>
      <w:proofErr w:type="gramStart"/>
      <w:r w:rsidR="00894438" w:rsidRPr="00714BF6">
        <w:rPr>
          <w:rFonts w:hAnsi="標楷體" w:hint="eastAsia"/>
          <w:b/>
        </w:rPr>
        <w:t>惟</w:t>
      </w:r>
      <w:proofErr w:type="gramEnd"/>
      <w:r w:rsidR="008E319B" w:rsidRPr="00714BF6">
        <w:rPr>
          <w:rFonts w:hAnsi="標楷體" w:hint="eastAsia"/>
          <w:b/>
        </w:rPr>
        <w:t>針對</w:t>
      </w:r>
      <w:r w:rsidR="00894438" w:rsidRPr="00714BF6">
        <w:rPr>
          <w:rFonts w:hAnsi="標楷體" w:hint="eastAsia"/>
          <w:b/>
        </w:rPr>
        <w:t>教學</w:t>
      </w:r>
      <w:r w:rsidR="008E319B" w:rsidRPr="00714BF6">
        <w:rPr>
          <w:rFonts w:hAnsi="標楷體" w:hint="eastAsia"/>
          <w:b/>
        </w:rPr>
        <w:t>所投入</w:t>
      </w:r>
      <w:r w:rsidR="00894438" w:rsidRPr="00714BF6">
        <w:rPr>
          <w:rFonts w:hAnsi="標楷體" w:hint="eastAsia"/>
          <w:b/>
        </w:rPr>
        <w:t>之資源</w:t>
      </w:r>
      <w:r w:rsidRPr="00714BF6">
        <w:rPr>
          <w:rFonts w:hAnsi="標楷體" w:hint="eastAsia"/>
          <w:b/>
        </w:rPr>
        <w:t>暨</w:t>
      </w:r>
      <w:r w:rsidR="008E319B" w:rsidRPr="00714BF6">
        <w:rPr>
          <w:rFonts w:hAnsi="標楷體" w:hint="eastAsia"/>
          <w:b/>
        </w:rPr>
        <w:t>資源分配方式</w:t>
      </w:r>
      <w:r w:rsidR="00894438" w:rsidRPr="00714BF6">
        <w:rPr>
          <w:rFonts w:hAnsi="標楷體" w:hint="eastAsia"/>
          <w:b/>
        </w:rPr>
        <w:t>，</w:t>
      </w:r>
      <w:r w:rsidR="008E319B" w:rsidRPr="00714BF6">
        <w:rPr>
          <w:rFonts w:hAnsi="標楷體" w:hint="eastAsia"/>
          <w:b/>
        </w:rPr>
        <w:t>難</w:t>
      </w:r>
      <w:r w:rsidRPr="00714BF6">
        <w:rPr>
          <w:rFonts w:hAnsi="標楷體" w:hint="eastAsia"/>
          <w:b/>
        </w:rPr>
        <w:t>謂</w:t>
      </w:r>
      <w:r w:rsidR="002557E4" w:rsidRPr="00714BF6">
        <w:rPr>
          <w:rFonts w:hAnsi="標楷體" w:hint="eastAsia"/>
          <w:b/>
        </w:rPr>
        <w:t>充分</w:t>
      </w:r>
      <w:r w:rsidRPr="00714BF6">
        <w:rPr>
          <w:rFonts w:hAnsi="標楷體" w:hint="eastAsia"/>
          <w:b/>
        </w:rPr>
        <w:t>反映重視教學價值之政策理念，</w:t>
      </w:r>
      <w:proofErr w:type="gramStart"/>
      <w:r w:rsidRPr="00714BF6">
        <w:rPr>
          <w:rFonts w:hAnsi="標楷體" w:hint="eastAsia"/>
          <w:b/>
        </w:rPr>
        <w:t>洵</w:t>
      </w:r>
      <w:proofErr w:type="gramEnd"/>
      <w:r w:rsidRPr="00714BF6">
        <w:rPr>
          <w:rFonts w:hAnsi="標楷體" w:hint="eastAsia"/>
          <w:b/>
        </w:rPr>
        <w:t>有</w:t>
      </w:r>
      <w:r w:rsidR="008E319B" w:rsidRPr="00714BF6">
        <w:rPr>
          <w:rFonts w:hAnsi="標楷體" w:hint="eastAsia"/>
          <w:b/>
        </w:rPr>
        <w:t>檢討之必要</w:t>
      </w:r>
      <w:r w:rsidR="005D6110" w:rsidRPr="00714BF6">
        <w:rPr>
          <w:rFonts w:hAnsi="標楷體" w:hint="eastAsia"/>
          <w:b/>
        </w:rPr>
        <w:t>。</w:t>
      </w:r>
      <w:bookmarkEnd w:id="58"/>
    </w:p>
    <w:p w:rsidR="001F0ADD" w:rsidRPr="00714BF6" w:rsidRDefault="00E43785" w:rsidP="000B2F2E">
      <w:pPr>
        <w:pStyle w:val="3"/>
        <w:spacing w:line="480" w:lineRule="exact"/>
      </w:pPr>
      <w:r w:rsidRPr="00714BF6">
        <w:rPr>
          <w:rFonts w:hAnsi="標楷體" w:hint="eastAsia"/>
        </w:rPr>
        <w:t>教育部組織法第2條規定</w:t>
      </w:r>
      <w:r w:rsidRPr="00714BF6">
        <w:rPr>
          <w:rFonts w:hint="eastAsia"/>
        </w:rPr>
        <w:t>，教育部掌理事項包含</w:t>
      </w:r>
      <w:r w:rsidRPr="00714BF6">
        <w:rPr>
          <w:rFonts w:hAnsi="標楷體" w:hint="eastAsia"/>
        </w:rPr>
        <w:t>「</w:t>
      </w:r>
      <w:r w:rsidRPr="00714BF6">
        <w:rPr>
          <w:rFonts w:hint="eastAsia"/>
        </w:rPr>
        <w:t>高等教育、技術職業教育政策之規劃，大專校院發展、師資、招生、資源分配、品質提升、產學合作之輔導及行政監督</w:t>
      </w:r>
      <w:r w:rsidRPr="00714BF6">
        <w:rPr>
          <w:rFonts w:hAnsi="標楷體" w:hint="eastAsia"/>
        </w:rPr>
        <w:t>」等，該部針對高等教育整體政策，負</w:t>
      </w:r>
      <w:proofErr w:type="gramStart"/>
      <w:r w:rsidRPr="00714BF6">
        <w:rPr>
          <w:rFonts w:hAnsi="標楷體" w:hint="eastAsia"/>
        </w:rPr>
        <w:t>有妥盡規劃</w:t>
      </w:r>
      <w:proofErr w:type="gramEnd"/>
      <w:r w:rsidRPr="00714BF6">
        <w:rPr>
          <w:rFonts w:hAnsi="標楷體" w:hint="eastAsia"/>
        </w:rPr>
        <w:t>及前瞻引導之權限職責，</w:t>
      </w:r>
      <w:proofErr w:type="gramStart"/>
      <w:r w:rsidR="00E71CC2" w:rsidRPr="00714BF6">
        <w:rPr>
          <w:rFonts w:hAnsi="標楷體" w:hint="eastAsia"/>
        </w:rPr>
        <w:t>合先</w:t>
      </w:r>
      <w:r w:rsidR="0089093B" w:rsidRPr="00714BF6">
        <w:rPr>
          <w:rFonts w:hAnsi="標楷體" w:hint="eastAsia"/>
        </w:rPr>
        <w:t>敘</w:t>
      </w:r>
      <w:proofErr w:type="gramEnd"/>
      <w:r w:rsidRPr="00714BF6">
        <w:rPr>
          <w:rFonts w:hAnsi="標楷體" w:hint="eastAsia"/>
        </w:rPr>
        <w:t>明</w:t>
      </w:r>
      <w:r w:rsidRPr="00714BF6">
        <w:rPr>
          <w:rFonts w:hint="eastAsia"/>
        </w:rPr>
        <w:t>。</w:t>
      </w:r>
    </w:p>
    <w:p w:rsidR="00E43785" w:rsidRPr="00714BF6" w:rsidRDefault="00E43785" w:rsidP="000B2F2E">
      <w:pPr>
        <w:pStyle w:val="3"/>
        <w:spacing w:line="480" w:lineRule="exact"/>
      </w:pPr>
      <w:r w:rsidRPr="00714BF6">
        <w:rPr>
          <w:rFonts w:hint="eastAsia"/>
        </w:rPr>
        <w:t>教育部</w:t>
      </w:r>
      <w:r w:rsidRPr="00714BF6">
        <w:t>為落實《教育改革總諮議報告書》之建議，</w:t>
      </w:r>
      <w:r w:rsidRPr="00714BF6">
        <w:rPr>
          <w:rFonts w:hAnsi="標楷體"/>
        </w:rPr>
        <w:t>於87年擬定</w:t>
      </w:r>
      <w:r w:rsidRPr="00714BF6">
        <w:rPr>
          <w:rFonts w:hAnsi="標楷體" w:hint="eastAsia"/>
        </w:rPr>
        <w:t>「</w:t>
      </w:r>
      <w:r w:rsidRPr="00714BF6">
        <w:rPr>
          <w:rFonts w:hAnsi="標楷體"/>
        </w:rPr>
        <w:t>教育改革行動方案</w:t>
      </w:r>
      <w:r w:rsidRPr="00714BF6">
        <w:rPr>
          <w:rFonts w:hAnsi="標楷體" w:hint="eastAsia"/>
        </w:rPr>
        <w:t>」</w:t>
      </w:r>
      <w:r w:rsidRPr="00714BF6">
        <w:rPr>
          <w:rFonts w:hAnsi="標楷體"/>
        </w:rPr>
        <w:t>，經行政院教育</w:t>
      </w:r>
      <w:r w:rsidRPr="00714BF6">
        <w:t>改革推動小組審議通過，以5年時程，</w:t>
      </w:r>
      <w:r w:rsidR="00E71CC2" w:rsidRPr="00714BF6">
        <w:rPr>
          <w:rFonts w:hint="eastAsia"/>
        </w:rPr>
        <w:t>即</w:t>
      </w:r>
      <w:r w:rsidRPr="00714BF6">
        <w:t>自87年7月至92年，編列</w:t>
      </w:r>
      <w:r w:rsidR="00E738E5" w:rsidRPr="00714BF6">
        <w:rPr>
          <w:rFonts w:hint="eastAsia"/>
        </w:rPr>
        <w:t>新臺幣(下同)</w:t>
      </w:r>
      <w:r w:rsidRPr="00714BF6">
        <w:t>1,570餘億元</w:t>
      </w:r>
      <w:r w:rsidR="00E71CC2" w:rsidRPr="00714BF6">
        <w:t>經費</w:t>
      </w:r>
      <w:r w:rsidRPr="00714BF6">
        <w:t>，實施12項工作計畫</w:t>
      </w:r>
      <w:r w:rsidRPr="00714BF6">
        <w:rPr>
          <w:rFonts w:hint="eastAsia"/>
        </w:rPr>
        <w:t>，其中包含「</w:t>
      </w:r>
      <w:r w:rsidRPr="00714BF6">
        <w:t>追求高等教育卓越發展</w:t>
      </w:r>
      <w:r w:rsidRPr="00714BF6">
        <w:rPr>
          <w:rFonts w:hint="eastAsia"/>
        </w:rPr>
        <w:t>」</w:t>
      </w:r>
      <w:r w:rsidRPr="00714BF6">
        <w:rPr>
          <w:rStyle w:val="aff2"/>
        </w:rPr>
        <w:footnoteReference w:id="3"/>
      </w:r>
      <w:r w:rsidRPr="00714BF6">
        <w:rPr>
          <w:rFonts w:hint="eastAsia"/>
        </w:rPr>
        <w:t>。其後，教育部與行政院國家科學委員會(下稱國科會，103年3月改制為科技部)合作，</w:t>
      </w:r>
      <w:r w:rsidR="00EA46E5" w:rsidRPr="00714BF6">
        <w:rPr>
          <w:rFonts w:hint="eastAsia"/>
        </w:rPr>
        <w:t>自</w:t>
      </w:r>
      <w:r w:rsidRPr="00714BF6">
        <w:rPr>
          <w:rFonts w:hint="eastAsia"/>
        </w:rPr>
        <w:t>87年起推動「大學學術卓越發展方案」，以4年為期，至93年3月底結束，</w:t>
      </w:r>
      <w:proofErr w:type="gramStart"/>
      <w:r w:rsidRPr="00714BF6">
        <w:rPr>
          <w:rFonts w:hint="eastAsia"/>
        </w:rPr>
        <w:t>提撥</w:t>
      </w:r>
      <w:proofErr w:type="gramEnd"/>
      <w:r w:rsidRPr="00714BF6">
        <w:rPr>
          <w:rFonts w:hint="eastAsia"/>
        </w:rPr>
        <w:t>130億</w:t>
      </w:r>
      <w:r w:rsidR="00E738E5" w:rsidRPr="00714BF6">
        <w:rPr>
          <w:rFonts w:hint="eastAsia"/>
        </w:rPr>
        <w:t>元</w:t>
      </w:r>
      <w:r w:rsidRPr="00714BF6">
        <w:rPr>
          <w:rFonts w:hint="eastAsia"/>
        </w:rPr>
        <w:t>經費，供各校提出競爭性發展計劃，以</w:t>
      </w:r>
      <w:r w:rsidRPr="00714BF6">
        <w:rPr>
          <w:rFonts w:hint="eastAsia"/>
        </w:rPr>
        <w:lastRenderedPageBreak/>
        <w:t>提升大學學術水準</w:t>
      </w:r>
      <w:r w:rsidRPr="00714BF6">
        <w:rPr>
          <w:rStyle w:val="aff2"/>
        </w:rPr>
        <w:footnoteReference w:id="4"/>
      </w:r>
      <w:r w:rsidRPr="00714BF6">
        <w:rPr>
          <w:rFonts w:hint="eastAsia"/>
        </w:rPr>
        <w:t>。93年後，為延續前開方案成果，</w:t>
      </w:r>
      <w:r w:rsidR="00F5058F" w:rsidRPr="00714BF6">
        <w:rPr>
          <w:rFonts w:hint="eastAsia"/>
        </w:rPr>
        <w:t>國科會</w:t>
      </w:r>
      <w:r w:rsidRPr="00714BF6">
        <w:rPr>
          <w:rFonts w:hint="eastAsia"/>
        </w:rPr>
        <w:t>訂定「大學學術追求卓越發展延續計畫補助作業要點」</w:t>
      </w:r>
      <w:r w:rsidR="00946B90" w:rsidRPr="00714BF6">
        <w:rPr>
          <w:rFonts w:hint="eastAsia"/>
        </w:rPr>
        <w:t>，持續編列經費推動</w:t>
      </w:r>
      <w:r w:rsidRPr="00714BF6">
        <w:rPr>
          <w:rFonts w:hint="eastAsia"/>
        </w:rPr>
        <w:t>優勢學術領域</w:t>
      </w:r>
      <w:r w:rsidR="00F5058F">
        <w:rPr>
          <w:rFonts w:hint="eastAsia"/>
        </w:rPr>
        <w:t>發展</w:t>
      </w:r>
      <w:r w:rsidRPr="00714BF6">
        <w:rPr>
          <w:rFonts w:hint="eastAsia"/>
        </w:rPr>
        <w:t>；大學學術追求卓越發展延續計畫補助作業要點至103年8月1日方停止適用</w:t>
      </w:r>
      <w:r w:rsidRPr="00714BF6">
        <w:rPr>
          <w:rStyle w:val="aff2"/>
          <w:rFonts w:hAnsi="標楷體"/>
        </w:rPr>
        <w:footnoteReference w:id="5"/>
      </w:r>
      <w:r w:rsidRPr="00714BF6">
        <w:rPr>
          <w:rFonts w:hint="eastAsia"/>
        </w:rPr>
        <w:t>。教育部方面，則自94年</w:t>
      </w:r>
      <w:r w:rsidRPr="00714BF6">
        <w:t>推動</w:t>
      </w:r>
      <w:r w:rsidRPr="00714BF6">
        <w:rPr>
          <w:rFonts w:hint="eastAsia"/>
        </w:rPr>
        <w:t>「</w:t>
      </w:r>
      <w:r w:rsidRPr="00714BF6">
        <w:t>發展國際一流大學及頂尖研究中心計畫</w:t>
      </w:r>
      <w:r w:rsidRPr="00714BF6">
        <w:rPr>
          <w:rFonts w:hint="eastAsia"/>
        </w:rPr>
        <w:t>」</w:t>
      </w:r>
      <w:r w:rsidRPr="00714BF6">
        <w:t>（第2期更名為</w:t>
      </w:r>
      <w:r w:rsidRPr="00714BF6">
        <w:rPr>
          <w:rFonts w:hint="eastAsia"/>
        </w:rPr>
        <w:t>「</w:t>
      </w:r>
      <w:r w:rsidRPr="00714BF6">
        <w:t>邁向頂尖大學計畫</w:t>
      </w:r>
      <w:r w:rsidRPr="00714BF6">
        <w:rPr>
          <w:rFonts w:hint="eastAsia"/>
        </w:rPr>
        <w:t>」</w:t>
      </w:r>
      <w:r w:rsidRPr="00714BF6">
        <w:t>）</w:t>
      </w:r>
      <w:r w:rsidRPr="00714BF6">
        <w:rPr>
          <w:rStyle w:val="aff2"/>
          <w:rFonts w:hAnsi="標楷體"/>
        </w:rPr>
        <w:footnoteReference w:id="6"/>
      </w:r>
      <w:r w:rsidRPr="00714BF6">
        <w:t>，以各領域優異大學為基礎，藉由學術競爭環境之建置，發展國際一流大學及設置以優異領域為導向之頂尖研究中心</w:t>
      </w:r>
      <w:r w:rsidRPr="00714BF6">
        <w:rPr>
          <w:rStyle w:val="aff2"/>
          <w:rFonts w:hAnsi="標楷體"/>
        </w:rPr>
        <w:footnoteReference w:id="7"/>
      </w:r>
      <w:r w:rsidRPr="00714BF6">
        <w:rPr>
          <w:rFonts w:hint="eastAsia"/>
        </w:rPr>
        <w:t>。頂尖大學計畫以</w:t>
      </w:r>
      <w:r w:rsidRPr="00714BF6">
        <w:t>每年100億元</w:t>
      </w:r>
      <w:r w:rsidRPr="00714BF6">
        <w:rPr>
          <w:rFonts w:hint="eastAsia"/>
        </w:rPr>
        <w:t>之經費規模，</w:t>
      </w:r>
      <w:r w:rsidRPr="00714BF6">
        <w:t>引導大學</w:t>
      </w:r>
      <w:r w:rsidR="00A4154F" w:rsidRPr="00714BF6">
        <w:rPr>
          <w:rFonts w:hint="eastAsia"/>
        </w:rPr>
        <w:t>朝向</w:t>
      </w:r>
      <w:r w:rsidR="00946B90" w:rsidRPr="00714BF6">
        <w:rPr>
          <w:rFonts w:hint="eastAsia"/>
        </w:rPr>
        <w:t>追求研究</w:t>
      </w:r>
      <w:r w:rsidR="00A4154F" w:rsidRPr="00714BF6">
        <w:rPr>
          <w:rFonts w:hint="eastAsia"/>
        </w:rPr>
        <w:t>卓越，歷年累計補助學校計</w:t>
      </w:r>
      <w:r w:rsidRPr="00714BF6">
        <w:rPr>
          <w:rFonts w:hint="eastAsia"/>
        </w:rPr>
        <w:t>13</w:t>
      </w:r>
      <w:r w:rsidR="00946B90" w:rsidRPr="00714BF6">
        <w:rPr>
          <w:rFonts w:hint="eastAsia"/>
        </w:rPr>
        <w:t>所，投入經費達</w:t>
      </w:r>
      <w:r w:rsidRPr="00714BF6">
        <w:rPr>
          <w:rFonts w:hint="eastAsia"/>
        </w:rPr>
        <w:t>963.1億元。</w:t>
      </w:r>
      <w:proofErr w:type="gramStart"/>
      <w:r w:rsidRPr="00714BF6">
        <w:rPr>
          <w:rFonts w:hint="eastAsia"/>
        </w:rPr>
        <w:t>茲列</w:t>
      </w:r>
      <w:r w:rsidRPr="00714BF6">
        <w:t>邁向</w:t>
      </w:r>
      <w:proofErr w:type="gramEnd"/>
      <w:r w:rsidRPr="00714BF6">
        <w:t>頂尖大學計畫</w:t>
      </w:r>
      <w:r w:rsidRPr="00714BF6">
        <w:rPr>
          <w:rFonts w:hint="eastAsia"/>
        </w:rPr>
        <w:t>歷年補助學校名單及經費資料如下：</w:t>
      </w:r>
    </w:p>
    <w:p w:rsidR="00504CC7" w:rsidRPr="00714BF6" w:rsidRDefault="003C42EA" w:rsidP="000B2F2E">
      <w:pPr>
        <w:pStyle w:val="a1"/>
        <w:spacing w:line="480" w:lineRule="exact"/>
        <w:ind w:left="1985" w:hanging="284"/>
        <w:jc w:val="center"/>
        <w:rPr>
          <w:b/>
        </w:rPr>
      </w:pPr>
      <w:r w:rsidRPr="00714BF6">
        <w:rPr>
          <w:rFonts w:hint="eastAsia"/>
          <w:b/>
        </w:rPr>
        <w:t>歷年補助</w:t>
      </w:r>
      <w:r w:rsidR="001602C8" w:rsidRPr="00714BF6">
        <w:rPr>
          <w:b/>
        </w:rPr>
        <w:t>邁向頂尖大學計畫</w:t>
      </w:r>
      <w:r w:rsidR="001602C8" w:rsidRPr="00714BF6">
        <w:rPr>
          <w:rFonts w:hint="eastAsia"/>
          <w:b/>
        </w:rPr>
        <w:t>學校名單及經費資料</w:t>
      </w:r>
    </w:p>
    <w:tbl>
      <w:tblPr>
        <w:tblStyle w:val="af7"/>
        <w:tblW w:w="9214" w:type="dxa"/>
        <w:tblInd w:w="392" w:type="dxa"/>
        <w:tblLayout w:type="fixed"/>
        <w:tblLook w:val="04A0" w:firstRow="1" w:lastRow="0" w:firstColumn="1" w:lastColumn="0" w:noHBand="0" w:noVBand="1"/>
      </w:tblPr>
      <w:tblGrid>
        <w:gridCol w:w="1843"/>
        <w:gridCol w:w="567"/>
        <w:gridCol w:w="567"/>
        <w:gridCol w:w="708"/>
        <w:gridCol w:w="709"/>
        <w:gridCol w:w="709"/>
        <w:gridCol w:w="709"/>
        <w:gridCol w:w="708"/>
        <w:gridCol w:w="709"/>
        <w:gridCol w:w="851"/>
        <w:gridCol w:w="1134"/>
      </w:tblGrid>
      <w:tr w:rsidR="00714BF6" w:rsidRPr="00714BF6" w:rsidTr="00F053E1">
        <w:trPr>
          <w:trHeight w:val="317"/>
          <w:tblHeader/>
        </w:trPr>
        <w:tc>
          <w:tcPr>
            <w:tcW w:w="9214" w:type="dxa"/>
            <w:gridSpan w:val="11"/>
            <w:tcBorders>
              <w:top w:val="single" w:sz="4" w:space="0" w:color="FFFFFF"/>
              <w:left w:val="single" w:sz="4" w:space="0" w:color="FFFFFF"/>
              <w:right w:val="single" w:sz="4" w:space="0" w:color="FFFFFF"/>
            </w:tcBorders>
            <w:vAlign w:val="center"/>
          </w:tcPr>
          <w:p w:rsidR="00E43785" w:rsidRPr="00714BF6" w:rsidRDefault="00E43785" w:rsidP="003A17DF">
            <w:pPr>
              <w:pStyle w:val="3"/>
              <w:numPr>
                <w:ilvl w:val="0"/>
                <w:numId w:val="0"/>
              </w:numPr>
              <w:spacing w:line="280" w:lineRule="exact"/>
              <w:ind w:leftChars="100" w:left="320"/>
              <w:jc w:val="right"/>
              <w:rPr>
                <w:rFonts w:hAnsi="標楷體"/>
                <w:b/>
                <w:sz w:val="20"/>
                <w:szCs w:val="20"/>
              </w:rPr>
            </w:pPr>
            <w:r w:rsidRPr="00714BF6">
              <w:rPr>
                <w:rFonts w:hAnsi="標楷體" w:hint="eastAsia"/>
                <w:b/>
                <w:sz w:val="20"/>
                <w:szCs w:val="20"/>
              </w:rPr>
              <w:t>單位：新台幣/億元</w:t>
            </w:r>
          </w:p>
        </w:tc>
      </w:tr>
      <w:tr w:rsidR="00714BF6" w:rsidRPr="00714BF6" w:rsidTr="00F053E1">
        <w:trPr>
          <w:trHeight w:val="317"/>
          <w:tblHeader/>
        </w:trPr>
        <w:tc>
          <w:tcPr>
            <w:tcW w:w="1843" w:type="dxa"/>
            <w:vMerge w:val="restart"/>
            <w:vAlign w:val="center"/>
          </w:tcPr>
          <w:p w:rsidR="00E43785" w:rsidRPr="00714BF6" w:rsidRDefault="00E43785" w:rsidP="003A17DF">
            <w:pPr>
              <w:pStyle w:val="3"/>
              <w:numPr>
                <w:ilvl w:val="0"/>
                <w:numId w:val="0"/>
              </w:numPr>
              <w:spacing w:line="280" w:lineRule="exact"/>
              <w:jc w:val="center"/>
              <w:rPr>
                <w:rFonts w:hAnsi="標楷體"/>
                <w:b/>
                <w:sz w:val="24"/>
                <w:szCs w:val="24"/>
              </w:rPr>
            </w:pPr>
            <w:r w:rsidRPr="00714BF6">
              <w:rPr>
                <w:rFonts w:hAnsi="標楷體" w:hint="eastAsia"/>
                <w:b/>
                <w:sz w:val="24"/>
                <w:szCs w:val="24"/>
              </w:rPr>
              <w:t>學校名稱</w:t>
            </w:r>
          </w:p>
        </w:tc>
        <w:tc>
          <w:tcPr>
            <w:tcW w:w="3260" w:type="dxa"/>
            <w:gridSpan w:val="5"/>
            <w:vAlign w:val="center"/>
          </w:tcPr>
          <w:p w:rsidR="00E43785" w:rsidRPr="00714BF6" w:rsidRDefault="00E43785" w:rsidP="003A17DF">
            <w:pPr>
              <w:pStyle w:val="3"/>
              <w:numPr>
                <w:ilvl w:val="0"/>
                <w:numId w:val="0"/>
              </w:numPr>
              <w:spacing w:line="280" w:lineRule="exact"/>
              <w:jc w:val="center"/>
              <w:rPr>
                <w:rFonts w:hAnsi="標楷體"/>
                <w:b/>
                <w:sz w:val="24"/>
                <w:szCs w:val="24"/>
              </w:rPr>
            </w:pPr>
            <w:r w:rsidRPr="00714BF6">
              <w:rPr>
                <w:rFonts w:hAnsi="標楷體" w:hint="eastAsia"/>
                <w:b/>
                <w:sz w:val="24"/>
                <w:szCs w:val="24"/>
              </w:rPr>
              <w:t>第1期</w:t>
            </w:r>
          </w:p>
        </w:tc>
        <w:tc>
          <w:tcPr>
            <w:tcW w:w="4111" w:type="dxa"/>
            <w:gridSpan w:val="5"/>
            <w:vMerge w:val="restart"/>
            <w:vAlign w:val="center"/>
          </w:tcPr>
          <w:p w:rsidR="00E43785" w:rsidRPr="00714BF6" w:rsidRDefault="00E43785" w:rsidP="003A17DF">
            <w:pPr>
              <w:pStyle w:val="3"/>
              <w:numPr>
                <w:ilvl w:val="0"/>
                <w:numId w:val="0"/>
              </w:numPr>
              <w:spacing w:line="280" w:lineRule="exact"/>
              <w:jc w:val="center"/>
              <w:rPr>
                <w:rFonts w:hAnsi="標楷體"/>
                <w:b/>
                <w:sz w:val="24"/>
                <w:szCs w:val="24"/>
              </w:rPr>
            </w:pPr>
            <w:r w:rsidRPr="00714BF6">
              <w:rPr>
                <w:rFonts w:hAnsi="標楷體" w:hint="eastAsia"/>
                <w:b/>
                <w:sz w:val="24"/>
                <w:szCs w:val="24"/>
              </w:rPr>
              <w:t>第2期</w:t>
            </w:r>
          </w:p>
        </w:tc>
      </w:tr>
      <w:tr w:rsidR="00714BF6" w:rsidRPr="00714BF6" w:rsidTr="00F053E1">
        <w:trPr>
          <w:trHeight w:val="150"/>
          <w:tblHeader/>
        </w:trPr>
        <w:tc>
          <w:tcPr>
            <w:tcW w:w="1843" w:type="dxa"/>
            <w:vMerge/>
            <w:vAlign w:val="center"/>
          </w:tcPr>
          <w:p w:rsidR="00E43785" w:rsidRPr="00714BF6" w:rsidRDefault="00E43785" w:rsidP="003A17DF">
            <w:pPr>
              <w:pStyle w:val="3"/>
              <w:numPr>
                <w:ilvl w:val="0"/>
                <w:numId w:val="0"/>
              </w:numPr>
              <w:spacing w:line="280" w:lineRule="exact"/>
              <w:jc w:val="center"/>
              <w:rPr>
                <w:rFonts w:hAnsi="標楷體"/>
                <w:b/>
                <w:sz w:val="24"/>
                <w:szCs w:val="24"/>
              </w:rPr>
            </w:pPr>
          </w:p>
        </w:tc>
        <w:tc>
          <w:tcPr>
            <w:tcW w:w="1134" w:type="dxa"/>
            <w:gridSpan w:val="2"/>
            <w:vAlign w:val="center"/>
          </w:tcPr>
          <w:p w:rsidR="00E43785" w:rsidRPr="00714BF6" w:rsidRDefault="00E43785" w:rsidP="003A17DF">
            <w:pPr>
              <w:pStyle w:val="3"/>
              <w:numPr>
                <w:ilvl w:val="0"/>
                <w:numId w:val="0"/>
              </w:numPr>
              <w:spacing w:line="280" w:lineRule="exact"/>
              <w:jc w:val="center"/>
              <w:rPr>
                <w:rFonts w:hAnsi="標楷體"/>
                <w:b/>
                <w:sz w:val="24"/>
                <w:szCs w:val="24"/>
              </w:rPr>
            </w:pPr>
            <w:r w:rsidRPr="00714BF6">
              <w:rPr>
                <w:rFonts w:hAnsi="標楷體" w:hint="eastAsia"/>
                <w:b/>
                <w:sz w:val="24"/>
                <w:szCs w:val="24"/>
              </w:rPr>
              <w:t>第1梯次</w:t>
            </w:r>
          </w:p>
        </w:tc>
        <w:tc>
          <w:tcPr>
            <w:tcW w:w="2126" w:type="dxa"/>
            <w:gridSpan w:val="3"/>
            <w:vAlign w:val="center"/>
          </w:tcPr>
          <w:p w:rsidR="00E43785" w:rsidRPr="00714BF6" w:rsidRDefault="00E43785" w:rsidP="003A17DF">
            <w:pPr>
              <w:pStyle w:val="3"/>
              <w:numPr>
                <w:ilvl w:val="0"/>
                <w:numId w:val="0"/>
              </w:numPr>
              <w:spacing w:line="280" w:lineRule="exact"/>
              <w:jc w:val="center"/>
              <w:rPr>
                <w:rFonts w:hAnsi="標楷體"/>
                <w:b/>
                <w:sz w:val="24"/>
                <w:szCs w:val="24"/>
              </w:rPr>
            </w:pPr>
            <w:r w:rsidRPr="00714BF6">
              <w:rPr>
                <w:rFonts w:hAnsi="標楷體" w:hint="eastAsia"/>
                <w:b/>
                <w:sz w:val="24"/>
                <w:szCs w:val="24"/>
              </w:rPr>
              <w:t>第2梯次</w:t>
            </w:r>
          </w:p>
        </w:tc>
        <w:tc>
          <w:tcPr>
            <w:tcW w:w="4111" w:type="dxa"/>
            <w:gridSpan w:val="5"/>
            <w:vMerge/>
            <w:vAlign w:val="center"/>
          </w:tcPr>
          <w:p w:rsidR="00E43785" w:rsidRPr="00714BF6" w:rsidRDefault="00E43785" w:rsidP="003A17DF">
            <w:pPr>
              <w:pStyle w:val="3"/>
              <w:numPr>
                <w:ilvl w:val="0"/>
                <w:numId w:val="0"/>
              </w:numPr>
              <w:spacing w:line="280" w:lineRule="exact"/>
              <w:jc w:val="center"/>
              <w:rPr>
                <w:rFonts w:hAnsi="標楷體"/>
                <w:b/>
                <w:sz w:val="24"/>
                <w:szCs w:val="24"/>
              </w:rPr>
            </w:pPr>
          </w:p>
        </w:tc>
      </w:tr>
      <w:tr w:rsidR="00714BF6" w:rsidRPr="00714BF6" w:rsidTr="00F053E1">
        <w:trPr>
          <w:trHeight w:val="317"/>
          <w:tblHeader/>
        </w:trPr>
        <w:tc>
          <w:tcPr>
            <w:tcW w:w="1843" w:type="dxa"/>
            <w:vMerge/>
            <w:vAlign w:val="center"/>
          </w:tcPr>
          <w:p w:rsidR="00E43785" w:rsidRPr="00714BF6" w:rsidRDefault="00E43785" w:rsidP="003A17DF">
            <w:pPr>
              <w:pStyle w:val="3"/>
              <w:numPr>
                <w:ilvl w:val="0"/>
                <w:numId w:val="0"/>
              </w:numPr>
              <w:spacing w:line="280" w:lineRule="exact"/>
              <w:jc w:val="center"/>
              <w:rPr>
                <w:rFonts w:hAnsi="標楷體"/>
                <w:b/>
                <w:sz w:val="24"/>
                <w:szCs w:val="24"/>
              </w:rPr>
            </w:pPr>
          </w:p>
        </w:tc>
        <w:tc>
          <w:tcPr>
            <w:tcW w:w="567" w:type="dxa"/>
            <w:vAlign w:val="center"/>
          </w:tcPr>
          <w:p w:rsidR="00E43785" w:rsidRPr="00714BF6" w:rsidRDefault="00E43785" w:rsidP="003A17DF">
            <w:pPr>
              <w:pStyle w:val="3"/>
              <w:numPr>
                <w:ilvl w:val="0"/>
                <w:numId w:val="0"/>
              </w:numPr>
              <w:spacing w:line="280" w:lineRule="exact"/>
              <w:jc w:val="center"/>
              <w:rPr>
                <w:rFonts w:hAnsi="標楷體"/>
                <w:b/>
                <w:sz w:val="24"/>
                <w:szCs w:val="24"/>
              </w:rPr>
            </w:pPr>
            <w:r w:rsidRPr="00714BF6">
              <w:rPr>
                <w:rFonts w:hAnsi="標楷體" w:hint="eastAsia"/>
                <w:b/>
                <w:sz w:val="24"/>
                <w:szCs w:val="24"/>
              </w:rPr>
              <w:t>95</w:t>
            </w:r>
          </w:p>
        </w:tc>
        <w:tc>
          <w:tcPr>
            <w:tcW w:w="567" w:type="dxa"/>
            <w:vAlign w:val="center"/>
          </w:tcPr>
          <w:p w:rsidR="00E43785" w:rsidRPr="00714BF6" w:rsidRDefault="00E43785" w:rsidP="003A17DF">
            <w:pPr>
              <w:pStyle w:val="3"/>
              <w:numPr>
                <w:ilvl w:val="0"/>
                <w:numId w:val="0"/>
              </w:numPr>
              <w:spacing w:line="280" w:lineRule="exact"/>
              <w:jc w:val="center"/>
              <w:rPr>
                <w:rFonts w:hAnsi="標楷體"/>
                <w:b/>
                <w:sz w:val="24"/>
                <w:szCs w:val="24"/>
              </w:rPr>
            </w:pPr>
            <w:r w:rsidRPr="00714BF6">
              <w:rPr>
                <w:rFonts w:hAnsi="標楷體" w:hint="eastAsia"/>
                <w:b/>
                <w:sz w:val="24"/>
                <w:szCs w:val="24"/>
              </w:rPr>
              <w:t>96</w:t>
            </w:r>
          </w:p>
        </w:tc>
        <w:tc>
          <w:tcPr>
            <w:tcW w:w="708" w:type="dxa"/>
            <w:vAlign w:val="center"/>
          </w:tcPr>
          <w:p w:rsidR="00E43785" w:rsidRPr="00714BF6" w:rsidRDefault="00E43785" w:rsidP="003A17DF">
            <w:pPr>
              <w:pStyle w:val="3"/>
              <w:numPr>
                <w:ilvl w:val="0"/>
                <w:numId w:val="0"/>
              </w:numPr>
              <w:spacing w:line="280" w:lineRule="exact"/>
              <w:jc w:val="center"/>
              <w:rPr>
                <w:rFonts w:hAnsi="標楷體"/>
                <w:b/>
                <w:sz w:val="24"/>
                <w:szCs w:val="24"/>
              </w:rPr>
            </w:pPr>
            <w:r w:rsidRPr="00714BF6">
              <w:rPr>
                <w:rFonts w:hAnsi="標楷體" w:hint="eastAsia"/>
                <w:b/>
                <w:sz w:val="24"/>
                <w:szCs w:val="24"/>
              </w:rPr>
              <w:t>97</w:t>
            </w:r>
          </w:p>
        </w:tc>
        <w:tc>
          <w:tcPr>
            <w:tcW w:w="709" w:type="dxa"/>
            <w:vAlign w:val="center"/>
          </w:tcPr>
          <w:p w:rsidR="00E43785" w:rsidRPr="00714BF6" w:rsidRDefault="00E43785" w:rsidP="003A17DF">
            <w:pPr>
              <w:pStyle w:val="3"/>
              <w:numPr>
                <w:ilvl w:val="0"/>
                <w:numId w:val="0"/>
              </w:numPr>
              <w:spacing w:line="280" w:lineRule="exact"/>
              <w:jc w:val="center"/>
              <w:rPr>
                <w:rFonts w:hAnsi="標楷體"/>
                <w:b/>
                <w:sz w:val="24"/>
                <w:szCs w:val="24"/>
              </w:rPr>
            </w:pPr>
            <w:r w:rsidRPr="00714BF6">
              <w:rPr>
                <w:rFonts w:hAnsi="標楷體" w:hint="eastAsia"/>
                <w:b/>
                <w:sz w:val="24"/>
                <w:szCs w:val="24"/>
              </w:rPr>
              <w:t>98</w:t>
            </w:r>
          </w:p>
        </w:tc>
        <w:tc>
          <w:tcPr>
            <w:tcW w:w="709" w:type="dxa"/>
            <w:vAlign w:val="center"/>
          </w:tcPr>
          <w:p w:rsidR="00E43785" w:rsidRPr="00714BF6" w:rsidRDefault="00E43785" w:rsidP="003A17DF">
            <w:pPr>
              <w:pStyle w:val="3"/>
              <w:numPr>
                <w:ilvl w:val="0"/>
                <w:numId w:val="0"/>
              </w:numPr>
              <w:spacing w:line="280" w:lineRule="exact"/>
              <w:jc w:val="center"/>
              <w:rPr>
                <w:rFonts w:hAnsi="標楷體"/>
                <w:b/>
                <w:sz w:val="24"/>
                <w:szCs w:val="24"/>
              </w:rPr>
            </w:pPr>
            <w:r w:rsidRPr="00714BF6">
              <w:rPr>
                <w:rFonts w:hAnsi="標楷體" w:hint="eastAsia"/>
                <w:b/>
                <w:sz w:val="24"/>
                <w:szCs w:val="24"/>
              </w:rPr>
              <w:t>99</w:t>
            </w:r>
          </w:p>
        </w:tc>
        <w:tc>
          <w:tcPr>
            <w:tcW w:w="709" w:type="dxa"/>
            <w:vAlign w:val="center"/>
          </w:tcPr>
          <w:p w:rsidR="00E43785" w:rsidRPr="00714BF6" w:rsidRDefault="00E43785" w:rsidP="003A17DF">
            <w:pPr>
              <w:pStyle w:val="3"/>
              <w:numPr>
                <w:ilvl w:val="0"/>
                <w:numId w:val="0"/>
              </w:numPr>
              <w:spacing w:line="280" w:lineRule="exact"/>
              <w:jc w:val="center"/>
              <w:rPr>
                <w:rFonts w:hAnsi="標楷體"/>
                <w:b/>
                <w:sz w:val="24"/>
                <w:szCs w:val="24"/>
              </w:rPr>
            </w:pPr>
            <w:r w:rsidRPr="00714BF6">
              <w:rPr>
                <w:rFonts w:hAnsi="標楷體" w:hint="eastAsia"/>
                <w:b/>
                <w:sz w:val="24"/>
                <w:szCs w:val="24"/>
              </w:rPr>
              <w:t>100</w:t>
            </w:r>
          </w:p>
        </w:tc>
        <w:tc>
          <w:tcPr>
            <w:tcW w:w="708" w:type="dxa"/>
            <w:vAlign w:val="center"/>
          </w:tcPr>
          <w:p w:rsidR="00E43785" w:rsidRPr="00714BF6" w:rsidRDefault="00E43785" w:rsidP="003A17DF">
            <w:pPr>
              <w:pStyle w:val="3"/>
              <w:numPr>
                <w:ilvl w:val="0"/>
                <w:numId w:val="0"/>
              </w:numPr>
              <w:spacing w:line="280" w:lineRule="exact"/>
              <w:jc w:val="center"/>
              <w:rPr>
                <w:rFonts w:hAnsi="標楷體"/>
                <w:b/>
                <w:sz w:val="24"/>
                <w:szCs w:val="24"/>
              </w:rPr>
            </w:pPr>
            <w:r w:rsidRPr="00714BF6">
              <w:rPr>
                <w:rFonts w:hAnsi="標楷體" w:hint="eastAsia"/>
                <w:b/>
                <w:sz w:val="24"/>
                <w:szCs w:val="24"/>
              </w:rPr>
              <w:t>101</w:t>
            </w:r>
          </w:p>
        </w:tc>
        <w:tc>
          <w:tcPr>
            <w:tcW w:w="709" w:type="dxa"/>
            <w:vAlign w:val="center"/>
          </w:tcPr>
          <w:p w:rsidR="00E43785" w:rsidRPr="00714BF6" w:rsidRDefault="00E43785" w:rsidP="003A17DF">
            <w:pPr>
              <w:pStyle w:val="3"/>
              <w:numPr>
                <w:ilvl w:val="0"/>
                <w:numId w:val="0"/>
              </w:numPr>
              <w:spacing w:line="280" w:lineRule="exact"/>
              <w:jc w:val="center"/>
              <w:rPr>
                <w:rFonts w:hAnsi="標楷體"/>
                <w:b/>
                <w:sz w:val="24"/>
                <w:szCs w:val="24"/>
              </w:rPr>
            </w:pPr>
            <w:r w:rsidRPr="00714BF6">
              <w:rPr>
                <w:rFonts w:hAnsi="標楷體" w:hint="eastAsia"/>
                <w:b/>
                <w:sz w:val="24"/>
                <w:szCs w:val="24"/>
              </w:rPr>
              <w:t>102</w:t>
            </w:r>
          </w:p>
        </w:tc>
        <w:tc>
          <w:tcPr>
            <w:tcW w:w="851" w:type="dxa"/>
            <w:vAlign w:val="center"/>
          </w:tcPr>
          <w:p w:rsidR="00E43785" w:rsidRPr="00714BF6" w:rsidRDefault="00E43785" w:rsidP="003A17DF">
            <w:pPr>
              <w:pStyle w:val="3"/>
              <w:numPr>
                <w:ilvl w:val="0"/>
                <w:numId w:val="0"/>
              </w:numPr>
              <w:spacing w:line="280" w:lineRule="exact"/>
              <w:jc w:val="center"/>
              <w:rPr>
                <w:rFonts w:hAnsi="標楷體"/>
                <w:b/>
                <w:sz w:val="24"/>
                <w:szCs w:val="24"/>
              </w:rPr>
            </w:pPr>
            <w:r w:rsidRPr="00714BF6">
              <w:rPr>
                <w:rFonts w:hAnsi="標楷體" w:hint="eastAsia"/>
                <w:b/>
                <w:sz w:val="24"/>
                <w:szCs w:val="24"/>
              </w:rPr>
              <w:t>103</w:t>
            </w:r>
          </w:p>
        </w:tc>
        <w:tc>
          <w:tcPr>
            <w:tcW w:w="1134" w:type="dxa"/>
            <w:vAlign w:val="center"/>
          </w:tcPr>
          <w:p w:rsidR="00E43785" w:rsidRPr="00714BF6" w:rsidRDefault="00E43785" w:rsidP="003A17DF">
            <w:pPr>
              <w:pStyle w:val="3"/>
              <w:numPr>
                <w:ilvl w:val="0"/>
                <w:numId w:val="0"/>
              </w:numPr>
              <w:spacing w:line="280" w:lineRule="exact"/>
              <w:jc w:val="center"/>
              <w:rPr>
                <w:rFonts w:hAnsi="標楷體"/>
                <w:b/>
                <w:sz w:val="24"/>
                <w:szCs w:val="24"/>
              </w:rPr>
            </w:pPr>
            <w:r w:rsidRPr="00714BF6">
              <w:rPr>
                <w:rFonts w:hAnsi="標楷體" w:hint="eastAsia"/>
                <w:b/>
                <w:sz w:val="24"/>
                <w:szCs w:val="24"/>
              </w:rPr>
              <w:t>104-105</w:t>
            </w:r>
          </w:p>
        </w:tc>
      </w:tr>
      <w:tr w:rsidR="00714BF6" w:rsidRPr="00714BF6" w:rsidTr="00F053E1">
        <w:trPr>
          <w:trHeight w:val="295"/>
        </w:trPr>
        <w:tc>
          <w:tcPr>
            <w:tcW w:w="1843" w:type="dxa"/>
            <w:vAlign w:val="center"/>
          </w:tcPr>
          <w:p w:rsidR="00E43785" w:rsidRPr="00714BF6" w:rsidRDefault="00E43785" w:rsidP="003A17DF">
            <w:pPr>
              <w:pStyle w:val="3"/>
              <w:numPr>
                <w:ilvl w:val="0"/>
                <w:numId w:val="0"/>
              </w:numPr>
              <w:spacing w:line="280" w:lineRule="exact"/>
              <w:rPr>
                <w:rFonts w:hAnsi="標楷體"/>
                <w:b/>
                <w:sz w:val="24"/>
                <w:szCs w:val="24"/>
              </w:rPr>
            </w:pPr>
            <w:r w:rsidRPr="00714BF6">
              <w:rPr>
                <w:rFonts w:hAnsi="標楷體" w:hint="eastAsia"/>
                <w:b/>
                <w:sz w:val="24"/>
                <w:szCs w:val="24"/>
              </w:rPr>
              <w:t>臺灣大學</w:t>
            </w:r>
          </w:p>
        </w:tc>
        <w:tc>
          <w:tcPr>
            <w:tcW w:w="567"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30</w:t>
            </w:r>
          </w:p>
        </w:tc>
        <w:tc>
          <w:tcPr>
            <w:tcW w:w="567"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30</w:t>
            </w:r>
          </w:p>
        </w:tc>
        <w:tc>
          <w:tcPr>
            <w:tcW w:w="708"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30</w:t>
            </w:r>
          </w:p>
        </w:tc>
        <w:tc>
          <w:tcPr>
            <w:tcW w:w="709"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30</w:t>
            </w:r>
          </w:p>
        </w:tc>
        <w:tc>
          <w:tcPr>
            <w:tcW w:w="709"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30</w:t>
            </w:r>
          </w:p>
        </w:tc>
        <w:tc>
          <w:tcPr>
            <w:tcW w:w="709"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31</w:t>
            </w:r>
          </w:p>
        </w:tc>
        <w:tc>
          <w:tcPr>
            <w:tcW w:w="708"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31</w:t>
            </w:r>
          </w:p>
        </w:tc>
        <w:tc>
          <w:tcPr>
            <w:tcW w:w="709"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31</w:t>
            </w:r>
          </w:p>
        </w:tc>
        <w:tc>
          <w:tcPr>
            <w:tcW w:w="851"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30</w:t>
            </w:r>
          </w:p>
        </w:tc>
        <w:tc>
          <w:tcPr>
            <w:tcW w:w="1134"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30</w:t>
            </w:r>
          </w:p>
        </w:tc>
      </w:tr>
      <w:tr w:rsidR="00714BF6" w:rsidRPr="00714BF6" w:rsidTr="00F053E1">
        <w:trPr>
          <w:trHeight w:val="295"/>
        </w:trPr>
        <w:tc>
          <w:tcPr>
            <w:tcW w:w="1843" w:type="dxa"/>
            <w:vAlign w:val="center"/>
          </w:tcPr>
          <w:p w:rsidR="00E43785" w:rsidRPr="00714BF6" w:rsidRDefault="00E43785" w:rsidP="003A17DF">
            <w:pPr>
              <w:pStyle w:val="3"/>
              <w:numPr>
                <w:ilvl w:val="0"/>
                <w:numId w:val="0"/>
              </w:numPr>
              <w:spacing w:line="280" w:lineRule="exact"/>
              <w:rPr>
                <w:rFonts w:hAnsi="標楷體"/>
                <w:b/>
                <w:sz w:val="24"/>
                <w:szCs w:val="24"/>
              </w:rPr>
            </w:pPr>
            <w:r w:rsidRPr="00714BF6">
              <w:rPr>
                <w:rFonts w:hAnsi="標楷體" w:hint="eastAsia"/>
                <w:b/>
                <w:sz w:val="24"/>
                <w:szCs w:val="24"/>
              </w:rPr>
              <w:t>成功大學</w:t>
            </w:r>
          </w:p>
        </w:tc>
        <w:tc>
          <w:tcPr>
            <w:tcW w:w="567"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17</w:t>
            </w:r>
          </w:p>
        </w:tc>
        <w:tc>
          <w:tcPr>
            <w:tcW w:w="567"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17</w:t>
            </w:r>
          </w:p>
        </w:tc>
        <w:tc>
          <w:tcPr>
            <w:tcW w:w="708"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17</w:t>
            </w:r>
          </w:p>
        </w:tc>
        <w:tc>
          <w:tcPr>
            <w:tcW w:w="709"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17</w:t>
            </w:r>
          </w:p>
        </w:tc>
        <w:tc>
          <w:tcPr>
            <w:tcW w:w="709"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17</w:t>
            </w:r>
          </w:p>
        </w:tc>
        <w:tc>
          <w:tcPr>
            <w:tcW w:w="709"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16</w:t>
            </w:r>
          </w:p>
        </w:tc>
        <w:tc>
          <w:tcPr>
            <w:tcW w:w="708"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16</w:t>
            </w:r>
          </w:p>
        </w:tc>
        <w:tc>
          <w:tcPr>
            <w:tcW w:w="709"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16</w:t>
            </w:r>
          </w:p>
        </w:tc>
        <w:tc>
          <w:tcPr>
            <w:tcW w:w="851"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15.5</w:t>
            </w:r>
          </w:p>
        </w:tc>
        <w:tc>
          <w:tcPr>
            <w:tcW w:w="1134"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15.5</w:t>
            </w:r>
          </w:p>
        </w:tc>
      </w:tr>
      <w:tr w:rsidR="00714BF6" w:rsidRPr="00714BF6" w:rsidTr="00F053E1">
        <w:trPr>
          <w:trHeight w:val="317"/>
        </w:trPr>
        <w:tc>
          <w:tcPr>
            <w:tcW w:w="1843" w:type="dxa"/>
            <w:vAlign w:val="center"/>
          </w:tcPr>
          <w:p w:rsidR="00E43785" w:rsidRPr="00714BF6" w:rsidRDefault="00E43785" w:rsidP="003A17DF">
            <w:pPr>
              <w:pStyle w:val="3"/>
              <w:numPr>
                <w:ilvl w:val="0"/>
                <w:numId w:val="0"/>
              </w:numPr>
              <w:spacing w:line="280" w:lineRule="exact"/>
              <w:rPr>
                <w:rFonts w:hAnsi="標楷體"/>
                <w:b/>
                <w:sz w:val="24"/>
                <w:szCs w:val="24"/>
              </w:rPr>
            </w:pPr>
            <w:r w:rsidRPr="00714BF6">
              <w:rPr>
                <w:rFonts w:hAnsi="標楷體" w:hint="eastAsia"/>
                <w:b/>
                <w:sz w:val="24"/>
                <w:szCs w:val="24"/>
              </w:rPr>
              <w:t>清華大學</w:t>
            </w:r>
          </w:p>
        </w:tc>
        <w:tc>
          <w:tcPr>
            <w:tcW w:w="567"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10</w:t>
            </w:r>
          </w:p>
        </w:tc>
        <w:tc>
          <w:tcPr>
            <w:tcW w:w="567"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10</w:t>
            </w:r>
          </w:p>
        </w:tc>
        <w:tc>
          <w:tcPr>
            <w:tcW w:w="708"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12</w:t>
            </w:r>
          </w:p>
        </w:tc>
        <w:tc>
          <w:tcPr>
            <w:tcW w:w="709"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12</w:t>
            </w:r>
          </w:p>
        </w:tc>
        <w:tc>
          <w:tcPr>
            <w:tcW w:w="709"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12</w:t>
            </w:r>
          </w:p>
        </w:tc>
        <w:tc>
          <w:tcPr>
            <w:tcW w:w="709"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12</w:t>
            </w:r>
          </w:p>
        </w:tc>
        <w:tc>
          <w:tcPr>
            <w:tcW w:w="708"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12</w:t>
            </w:r>
          </w:p>
        </w:tc>
        <w:tc>
          <w:tcPr>
            <w:tcW w:w="709"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12</w:t>
            </w:r>
          </w:p>
        </w:tc>
        <w:tc>
          <w:tcPr>
            <w:tcW w:w="851"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12.3</w:t>
            </w:r>
          </w:p>
        </w:tc>
        <w:tc>
          <w:tcPr>
            <w:tcW w:w="1134"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12.3</w:t>
            </w:r>
          </w:p>
        </w:tc>
      </w:tr>
      <w:tr w:rsidR="00714BF6" w:rsidRPr="00714BF6" w:rsidTr="00F053E1">
        <w:trPr>
          <w:trHeight w:val="317"/>
        </w:trPr>
        <w:tc>
          <w:tcPr>
            <w:tcW w:w="1843" w:type="dxa"/>
            <w:vAlign w:val="center"/>
          </w:tcPr>
          <w:p w:rsidR="00E43785" w:rsidRPr="00714BF6" w:rsidRDefault="00E43785" w:rsidP="003A17DF">
            <w:pPr>
              <w:pStyle w:val="3"/>
              <w:numPr>
                <w:ilvl w:val="0"/>
                <w:numId w:val="0"/>
              </w:numPr>
              <w:spacing w:line="280" w:lineRule="exact"/>
              <w:rPr>
                <w:rFonts w:hAnsi="標楷體"/>
                <w:b/>
                <w:sz w:val="24"/>
                <w:szCs w:val="24"/>
              </w:rPr>
            </w:pPr>
            <w:r w:rsidRPr="00714BF6">
              <w:rPr>
                <w:rFonts w:hAnsi="標楷體" w:hint="eastAsia"/>
                <w:b/>
                <w:sz w:val="24"/>
                <w:szCs w:val="24"/>
              </w:rPr>
              <w:t>交通大學</w:t>
            </w:r>
          </w:p>
        </w:tc>
        <w:tc>
          <w:tcPr>
            <w:tcW w:w="567"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8</w:t>
            </w:r>
          </w:p>
        </w:tc>
        <w:tc>
          <w:tcPr>
            <w:tcW w:w="567"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8</w:t>
            </w:r>
          </w:p>
        </w:tc>
        <w:tc>
          <w:tcPr>
            <w:tcW w:w="708"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9</w:t>
            </w:r>
          </w:p>
        </w:tc>
        <w:tc>
          <w:tcPr>
            <w:tcW w:w="709"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9</w:t>
            </w:r>
          </w:p>
        </w:tc>
        <w:tc>
          <w:tcPr>
            <w:tcW w:w="709"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9</w:t>
            </w:r>
          </w:p>
        </w:tc>
        <w:tc>
          <w:tcPr>
            <w:tcW w:w="709"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10</w:t>
            </w:r>
          </w:p>
        </w:tc>
        <w:tc>
          <w:tcPr>
            <w:tcW w:w="708"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10</w:t>
            </w:r>
          </w:p>
        </w:tc>
        <w:tc>
          <w:tcPr>
            <w:tcW w:w="709"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10</w:t>
            </w:r>
          </w:p>
        </w:tc>
        <w:tc>
          <w:tcPr>
            <w:tcW w:w="851"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10.3</w:t>
            </w:r>
          </w:p>
        </w:tc>
        <w:tc>
          <w:tcPr>
            <w:tcW w:w="1134"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10.3</w:t>
            </w:r>
          </w:p>
        </w:tc>
      </w:tr>
      <w:tr w:rsidR="00714BF6" w:rsidRPr="00714BF6" w:rsidTr="00F053E1">
        <w:trPr>
          <w:trHeight w:val="295"/>
        </w:trPr>
        <w:tc>
          <w:tcPr>
            <w:tcW w:w="1843" w:type="dxa"/>
            <w:vAlign w:val="center"/>
          </w:tcPr>
          <w:p w:rsidR="00E43785" w:rsidRPr="00714BF6" w:rsidRDefault="00E43785" w:rsidP="003A17DF">
            <w:pPr>
              <w:pStyle w:val="3"/>
              <w:numPr>
                <w:ilvl w:val="0"/>
                <w:numId w:val="0"/>
              </w:numPr>
              <w:spacing w:line="280" w:lineRule="exact"/>
              <w:rPr>
                <w:rFonts w:hAnsi="標楷體"/>
                <w:b/>
                <w:sz w:val="24"/>
                <w:szCs w:val="24"/>
              </w:rPr>
            </w:pPr>
            <w:r w:rsidRPr="00714BF6">
              <w:rPr>
                <w:rFonts w:hAnsi="標楷體" w:hint="eastAsia"/>
                <w:b/>
                <w:sz w:val="24"/>
                <w:szCs w:val="24"/>
              </w:rPr>
              <w:t>中央大學</w:t>
            </w:r>
          </w:p>
        </w:tc>
        <w:tc>
          <w:tcPr>
            <w:tcW w:w="567"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6</w:t>
            </w:r>
          </w:p>
        </w:tc>
        <w:tc>
          <w:tcPr>
            <w:tcW w:w="567"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6</w:t>
            </w:r>
          </w:p>
        </w:tc>
        <w:tc>
          <w:tcPr>
            <w:tcW w:w="708"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7</w:t>
            </w:r>
          </w:p>
        </w:tc>
        <w:tc>
          <w:tcPr>
            <w:tcW w:w="709"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7</w:t>
            </w:r>
          </w:p>
        </w:tc>
        <w:tc>
          <w:tcPr>
            <w:tcW w:w="709"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7</w:t>
            </w:r>
          </w:p>
        </w:tc>
        <w:tc>
          <w:tcPr>
            <w:tcW w:w="709"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7</w:t>
            </w:r>
          </w:p>
        </w:tc>
        <w:tc>
          <w:tcPr>
            <w:tcW w:w="708"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7</w:t>
            </w:r>
          </w:p>
        </w:tc>
        <w:tc>
          <w:tcPr>
            <w:tcW w:w="709"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7</w:t>
            </w:r>
          </w:p>
        </w:tc>
        <w:tc>
          <w:tcPr>
            <w:tcW w:w="851"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7.1</w:t>
            </w:r>
          </w:p>
        </w:tc>
        <w:tc>
          <w:tcPr>
            <w:tcW w:w="1134"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7.1</w:t>
            </w:r>
          </w:p>
        </w:tc>
      </w:tr>
      <w:tr w:rsidR="00714BF6" w:rsidRPr="00714BF6" w:rsidTr="00F053E1">
        <w:trPr>
          <w:trHeight w:val="295"/>
        </w:trPr>
        <w:tc>
          <w:tcPr>
            <w:tcW w:w="1843" w:type="dxa"/>
            <w:vAlign w:val="center"/>
          </w:tcPr>
          <w:p w:rsidR="00E43785" w:rsidRPr="00714BF6" w:rsidRDefault="00E43785" w:rsidP="003A17DF">
            <w:pPr>
              <w:pStyle w:val="3"/>
              <w:numPr>
                <w:ilvl w:val="0"/>
                <w:numId w:val="0"/>
              </w:numPr>
              <w:spacing w:line="280" w:lineRule="exact"/>
              <w:rPr>
                <w:rFonts w:hAnsi="標楷體"/>
                <w:b/>
                <w:sz w:val="24"/>
                <w:szCs w:val="24"/>
              </w:rPr>
            </w:pPr>
            <w:r w:rsidRPr="00714BF6">
              <w:rPr>
                <w:rFonts w:hAnsi="標楷體" w:hint="eastAsia"/>
                <w:b/>
                <w:sz w:val="24"/>
                <w:szCs w:val="24"/>
              </w:rPr>
              <w:t>中</w:t>
            </w:r>
            <w:r w:rsidR="0051366F" w:rsidRPr="00714BF6">
              <w:rPr>
                <w:rFonts w:hAnsi="標楷體" w:hint="eastAsia"/>
                <w:b/>
                <w:sz w:val="24"/>
                <w:szCs w:val="24"/>
              </w:rPr>
              <w:t>山</w:t>
            </w:r>
            <w:r w:rsidRPr="00714BF6">
              <w:rPr>
                <w:rFonts w:hAnsi="標楷體" w:hint="eastAsia"/>
                <w:b/>
                <w:sz w:val="24"/>
                <w:szCs w:val="24"/>
              </w:rPr>
              <w:t>大學</w:t>
            </w:r>
          </w:p>
        </w:tc>
        <w:tc>
          <w:tcPr>
            <w:tcW w:w="567"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6</w:t>
            </w:r>
          </w:p>
        </w:tc>
        <w:tc>
          <w:tcPr>
            <w:tcW w:w="567"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6</w:t>
            </w:r>
          </w:p>
        </w:tc>
        <w:tc>
          <w:tcPr>
            <w:tcW w:w="708"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6</w:t>
            </w:r>
          </w:p>
        </w:tc>
        <w:tc>
          <w:tcPr>
            <w:tcW w:w="709"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6</w:t>
            </w:r>
          </w:p>
        </w:tc>
        <w:tc>
          <w:tcPr>
            <w:tcW w:w="709"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6</w:t>
            </w:r>
          </w:p>
        </w:tc>
        <w:tc>
          <w:tcPr>
            <w:tcW w:w="709"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4</w:t>
            </w:r>
          </w:p>
        </w:tc>
        <w:tc>
          <w:tcPr>
            <w:tcW w:w="708"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4</w:t>
            </w:r>
          </w:p>
        </w:tc>
        <w:tc>
          <w:tcPr>
            <w:tcW w:w="709"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4</w:t>
            </w:r>
          </w:p>
        </w:tc>
        <w:tc>
          <w:tcPr>
            <w:tcW w:w="851"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4</w:t>
            </w:r>
          </w:p>
        </w:tc>
        <w:tc>
          <w:tcPr>
            <w:tcW w:w="1134"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4</w:t>
            </w:r>
          </w:p>
        </w:tc>
      </w:tr>
      <w:tr w:rsidR="00714BF6" w:rsidRPr="00714BF6" w:rsidTr="00F053E1">
        <w:trPr>
          <w:trHeight w:val="317"/>
        </w:trPr>
        <w:tc>
          <w:tcPr>
            <w:tcW w:w="1843" w:type="dxa"/>
            <w:vAlign w:val="center"/>
          </w:tcPr>
          <w:p w:rsidR="00E43785" w:rsidRPr="00714BF6" w:rsidRDefault="00E43785" w:rsidP="003A17DF">
            <w:pPr>
              <w:pStyle w:val="3"/>
              <w:numPr>
                <w:ilvl w:val="0"/>
                <w:numId w:val="0"/>
              </w:numPr>
              <w:spacing w:line="280" w:lineRule="exact"/>
              <w:rPr>
                <w:rFonts w:hAnsi="標楷體"/>
                <w:b/>
                <w:sz w:val="24"/>
                <w:szCs w:val="24"/>
              </w:rPr>
            </w:pPr>
            <w:r w:rsidRPr="00714BF6">
              <w:rPr>
                <w:rFonts w:hAnsi="標楷體" w:hint="eastAsia"/>
                <w:b/>
                <w:sz w:val="24"/>
                <w:szCs w:val="24"/>
              </w:rPr>
              <w:t>陽明大學</w:t>
            </w:r>
          </w:p>
        </w:tc>
        <w:tc>
          <w:tcPr>
            <w:tcW w:w="567"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5</w:t>
            </w:r>
          </w:p>
        </w:tc>
        <w:tc>
          <w:tcPr>
            <w:tcW w:w="567"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5</w:t>
            </w:r>
          </w:p>
        </w:tc>
        <w:tc>
          <w:tcPr>
            <w:tcW w:w="708"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5</w:t>
            </w:r>
          </w:p>
        </w:tc>
        <w:tc>
          <w:tcPr>
            <w:tcW w:w="709"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5</w:t>
            </w:r>
          </w:p>
        </w:tc>
        <w:tc>
          <w:tcPr>
            <w:tcW w:w="709"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5</w:t>
            </w:r>
          </w:p>
        </w:tc>
        <w:tc>
          <w:tcPr>
            <w:tcW w:w="709"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5</w:t>
            </w:r>
          </w:p>
        </w:tc>
        <w:tc>
          <w:tcPr>
            <w:tcW w:w="708"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5</w:t>
            </w:r>
          </w:p>
        </w:tc>
        <w:tc>
          <w:tcPr>
            <w:tcW w:w="709"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5</w:t>
            </w:r>
          </w:p>
        </w:tc>
        <w:tc>
          <w:tcPr>
            <w:tcW w:w="851"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5</w:t>
            </w:r>
          </w:p>
        </w:tc>
        <w:tc>
          <w:tcPr>
            <w:tcW w:w="1134"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5</w:t>
            </w:r>
          </w:p>
        </w:tc>
      </w:tr>
      <w:tr w:rsidR="00714BF6" w:rsidRPr="00714BF6" w:rsidTr="00F053E1">
        <w:trPr>
          <w:trHeight w:val="295"/>
        </w:trPr>
        <w:tc>
          <w:tcPr>
            <w:tcW w:w="1843" w:type="dxa"/>
            <w:vAlign w:val="center"/>
          </w:tcPr>
          <w:p w:rsidR="00E43785" w:rsidRPr="00714BF6" w:rsidRDefault="00E43785" w:rsidP="003A17DF">
            <w:pPr>
              <w:pStyle w:val="3"/>
              <w:numPr>
                <w:ilvl w:val="0"/>
                <w:numId w:val="0"/>
              </w:numPr>
              <w:spacing w:line="280" w:lineRule="exact"/>
              <w:rPr>
                <w:rFonts w:hAnsi="標楷體"/>
                <w:b/>
                <w:sz w:val="24"/>
                <w:szCs w:val="24"/>
              </w:rPr>
            </w:pPr>
            <w:r w:rsidRPr="00714BF6">
              <w:rPr>
                <w:rFonts w:hAnsi="標楷體" w:hint="eastAsia"/>
                <w:b/>
                <w:sz w:val="24"/>
                <w:szCs w:val="24"/>
              </w:rPr>
              <w:t>中興大學</w:t>
            </w:r>
          </w:p>
        </w:tc>
        <w:tc>
          <w:tcPr>
            <w:tcW w:w="567"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4</w:t>
            </w:r>
          </w:p>
        </w:tc>
        <w:tc>
          <w:tcPr>
            <w:tcW w:w="567"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4</w:t>
            </w:r>
          </w:p>
        </w:tc>
        <w:tc>
          <w:tcPr>
            <w:tcW w:w="708"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4.5</w:t>
            </w:r>
          </w:p>
        </w:tc>
        <w:tc>
          <w:tcPr>
            <w:tcW w:w="709"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4.5</w:t>
            </w:r>
          </w:p>
        </w:tc>
        <w:tc>
          <w:tcPr>
            <w:tcW w:w="709"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4.5</w:t>
            </w:r>
          </w:p>
        </w:tc>
        <w:tc>
          <w:tcPr>
            <w:tcW w:w="709"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3</w:t>
            </w:r>
          </w:p>
        </w:tc>
        <w:tc>
          <w:tcPr>
            <w:tcW w:w="708"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3</w:t>
            </w:r>
          </w:p>
        </w:tc>
        <w:tc>
          <w:tcPr>
            <w:tcW w:w="709"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3</w:t>
            </w:r>
          </w:p>
        </w:tc>
        <w:tc>
          <w:tcPr>
            <w:tcW w:w="851"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3</w:t>
            </w:r>
          </w:p>
        </w:tc>
        <w:tc>
          <w:tcPr>
            <w:tcW w:w="1134"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3</w:t>
            </w:r>
          </w:p>
        </w:tc>
      </w:tr>
      <w:tr w:rsidR="00714BF6" w:rsidRPr="00714BF6" w:rsidTr="00F053E1">
        <w:trPr>
          <w:trHeight w:val="317"/>
        </w:trPr>
        <w:tc>
          <w:tcPr>
            <w:tcW w:w="1843" w:type="dxa"/>
            <w:vAlign w:val="center"/>
          </w:tcPr>
          <w:p w:rsidR="00E43785" w:rsidRPr="00714BF6" w:rsidRDefault="00E43785" w:rsidP="003A17DF">
            <w:pPr>
              <w:pStyle w:val="3"/>
              <w:numPr>
                <w:ilvl w:val="0"/>
                <w:numId w:val="0"/>
              </w:numPr>
              <w:spacing w:line="280" w:lineRule="exact"/>
              <w:rPr>
                <w:rFonts w:hAnsi="標楷體"/>
                <w:b/>
                <w:sz w:val="24"/>
                <w:szCs w:val="24"/>
              </w:rPr>
            </w:pPr>
            <w:r w:rsidRPr="00714BF6">
              <w:rPr>
                <w:rFonts w:hAnsi="標楷體" w:hint="eastAsia"/>
                <w:b/>
                <w:sz w:val="24"/>
                <w:szCs w:val="24"/>
              </w:rPr>
              <w:lastRenderedPageBreak/>
              <w:t>臺灣科技大學</w:t>
            </w:r>
          </w:p>
        </w:tc>
        <w:tc>
          <w:tcPr>
            <w:tcW w:w="567"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3</w:t>
            </w:r>
          </w:p>
        </w:tc>
        <w:tc>
          <w:tcPr>
            <w:tcW w:w="567"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3</w:t>
            </w:r>
          </w:p>
        </w:tc>
        <w:tc>
          <w:tcPr>
            <w:tcW w:w="708"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2</w:t>
            </w:r>
          </w:p>
        </w:tc>
        <w:tc>
          <w:tcPr>
            <w:tcW w:w="709"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2</w:t>
            </w:r>
          </w:p>
        </w:tc>
        <w:tc>
          <w:tcPr>
            <w:tcW w:w="709"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2.2</w:t>
            </w:r>
          </w:p>
        </w:tc>
        <w:tc>
          <w:tcPr>
            <w:tcW w:w="709"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2</w:t>
            </w:r>
          </w:p>
        </w:tc>
        <w:tc>
          <w:tcPr>
            <w:tcW w:w="708"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2</w:t>
            </w:r>
          </w:p>
        </w:tc>
        <w:tc>
          <w:tcPr>
            <w:tcW w:w="709"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2</w:t>
            </w:r>
          </w:p>
        </w:tc>
        <w:tc>
          <w:tcPr>
            <w:tcW w:w="851"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1.7</w:t>
            </w:r>
          </w:p>
        </w:tc>
        <w:tc>
          <w:tcPr>
            <w:tcW w:w="1134"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1.7</w:t>
            </w:r>
          </w:p>
        </w:tc>
      </w:tr>
      <w:tr w:rsidR="00714BF6" w:rsidRPr="00714BF6" w:rsidTr="00F053E1">
        <w:trPr>
          <w:trHeight w:val="317"/>
        </w:trPr>
        <w:tc>
          <w:tcPr>
            <w:tcW w:w="1843" w:type="dxa"/>
            <w:vAlign w:val="center"/>
          </w:tcPr>
          <w:p w:rsidR="00E43785" w:rsidRPr="00714BF6" w:rsidRDefault="00E43785" w:rsidP="003A17DF">
            <w:pPr>
              <w:pStyle w:val="3"/>
              <w:numPr>
                <w:ilvl w:val="0"/>
                <w:numId w:val="0"/>
              </w:numPr>
              <w:spacing w:line="280" w:lineRule="exact"/>
              <w:rPr>
                <w:rFonts w:hAnsi="標楷體"/>
                <w:b/>
                <w:sz w:val="24"/>
                <w:szCs w:val="24"/>
              </w:rPr>
            </w:pPr>
            <w:r w:rsidRPr="00714BF6">
              <w:rPr>
                <w:rFonts w:hAnsi="標楷體" w:hint="eastAsia"/>
                <w:b/>
                <w:sz w:val="24"/>
                <w:szCs w:val="24"/>
              </w:rPr>
              <w:t>政治大學</w:t>
            </w:r>
          </w:p>
        </w:tc>
        <w:tc>
          <w:tcPr>
            <w:tcW w:w="567"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3</w:t>
            </w:r>
          </w:p>
        </w:tc>
        <w:tc>
          <w:tcPr>
            <w:tcW w:w="567"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3</w:t>
            </w:r>
          </w:p>
        </w:tc>
        <w:tc>
          <w:tcPr>
            <w:tcW w:w="708"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2</w:t>
            </w:r>
          </w:p>
        </w:tc>
        <w:tc>
          <w:tcPr>
            <w:tcW w:w="709"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2</w:t>
            </w:r>
          </w:p>
        </w:tc>
        <w:tc>
          <w:tcPr>
            <w:tcW w:w="709"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2</w:t>
            </w:r>
          </w:p>
        </w:tc>
        <w:tc>
          <w:tcPr>
            <w:tcW w:w="709"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2</w:t>
            </w:r>
          </w:p>
        </w:tc>
        <w:tc>
          <w:tcPr>
            <w:tcW w:w="708"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2</w:t>
            </w:r>
          </w:p>
        </w:tc>
        <w:tc>
          <w:tcPr>
            <w:tcW w:w="709"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2</w:t>
            </w:r>
          </w:p>
        </w:tc>
        <w:tc>
          <w:tcPr>
            <w:tcW w:w="851"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1.9</w:t>
            </w:r>
          </w:p>
        </w:tc>
        <w:tc>
          <w:tcPr>
            <w:tcW w:w="1134"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1.9</w:t>
            </w:r>
          </w:p>
        </w:tc>
      </w:tr>
      <w:tr w:rsidR="00714BF6" w:rsidRPr="00714BF6" w:rsidTr="00F053E1">
        <w:trPr>
          <w:trHeight w:val="317"/>
        </w:trPr>
        <w:tc>
          <w:tcPr>
            <w:tcW w:w="1843" w:type="dxa"/>
            <w:vAlign w:val="center"/>
          </w:tcPr>
          <w:p w:rsidR="00E43785" w:rsidRPr="00714BF6" w:rsidRDefault="00E43785" w:rsidP="003A17DF">
            <w:pPr>
              <w:pStyle w:val="3"/>
              <w:numPr>
                <w:ilvl w:val="0"/>
                <w:numId w:val="0"/>
              </w:numPr>
              <w:spacing w:line="280" w:lineRule="exact"/>
              <w:rPr>
                <w:rFonts w:hAnsi="標楷體"/>
                <w:b/>
                <w:sz w:val="24"/>
                <w:szCs w:val="24"/>
              </w:rPr>
            </w:pPr>
            <w:r w:rsidRPr="00714BF6">
              <w:rPr>
                <w:rFonts w:hAnsi="標楷體" w:hint="eastAsia"/>
                <w:b/>
                <w:sz w:val="24"/>
                <w:szCs w:val="24"/>
              </w:rPr>
              <w:t>長庚大學</w:t>
            </w:r>
          </w:p>
        </w:tc>
        <w:tc>
          <w:tcPr>
            <w:tcW w:w="567"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3</w:t>
            </w:r>
          </w:p>
        </w:tc>
        <w:tc>
          <w:tcPr>
            <w:tcW w:w="567"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3</w:t>
            </w:r>
          </w:p>
        </w:tc>
        <w:tc>
          <w:tcPr>
            <w:tcW w:w="708"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2</w:t>
            </w:r>
          </w:p>
        </w:tc>
        <w:tc>
          <w:tcPr>
            <w:tcW w:w="709"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2</w:t>
            </w:r>
          </w:p>
        </w:tc>
        <w:tc>
          <w:tcPr>
            <w:tcW w:w="709"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2</w:t>
            </w:r>
          </w:p>
        </w:tc>
        <w:tc>
          <w:tcPr>
            <w:tcW w:w="709"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2</w:t>
            </w:r>
          </w:p>
        </w:tc>
        <w:tc>
          <w:tcPr>
            <w:tcW w:w="708"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2</w:t>
            </w:r>
          </w:p>
        </w:tc>
        <w:tc>
          <w:tcPr>
            <w:tcW w:w="709"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2</w:t>
            </w:r>
          </w:p>
        </w:tc>
        <w:tc>
          <w:tcPr>
            <w:tcW w:w="851"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1.9</w:t>
            </w:r>
          </w:p>
        </w:tc>
        <w:tc>
          <w:tcPr>
            <w:tcW w:w="1134"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1.9</w:t>
            </w:r>
          </w:p>
        </w:tc>
      </w:tr>
      <w:tr w:rsidR="00714BF6" w:rsidRPr="00714BF6" w:rsidTr="00F053E1">
        <w:trPr>
          <w:trHeight w:val="317"/>
        </w:trPr>
        <w:tc>
          <w:tcPr>
            <w:tcW w:w="1843" w:type="dxa"/>
            <w:vAlign w:val="center"/>
          </w:tcPr>
          <w:p w:rsidR="00E43785" w:rsidRPr="00714BF6" w:rsidRDefault="00E43785" w:rsidP="003A17DF">
            <w:pPr>
              <w:pStyle w:val="3"/>
              <w:numPr>
                <w:ilvl w:val="0"/>
                <w:numId w:val="0"/>
              </w:numPr>
              <w:spacing w:line="280" w:lineRule="exact"/>
              <w:rPr>
                <w:rFonts w:hAnsi="標楷體"/>
                <w:b/>
                <w:sz w:val="24"/>
                <w:szCs w:val="24"/>
              </w:rPr>
            </w:pPr>
            <w:r w:rsidRPr="00714BF6">
              <w:rPr>
                <w:rFonts w:hAnsi="標楷體" w:hint="eastAsia"/>
                <w:b/>
                <w:sz w:val="24"/>
                <w:szCs w:val="24"/>
              </w:rPr>
              <w:t>元智大學</w:t>
            </w:r>
          </w:p>
        </w:tc>
        <w:tc>
          <w:tcPr>
            <w:tcW w:w="567"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3</w:t>
            </w:r>
          </w:p>
        </w:tc>
        <w:tc>
          <w:tcPr>
            <w:tcW w:w="567"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3</w:t>
            </w:r>
          </w:p>
        </w:tc>
        <w:tc>
          <w:tcPr>
            <w:tcW w:w="708"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w:t>
            </w:r>
          </w:p>
        </w:tc>
        <w:tc>
          <w:tcPr>
            <w:tcW w:w="709"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w:t>
            </w:r>
          </w:p>
        </w:tc>
        <w:tc>
          <w:tcPr>
            <w:tcW w:w="709"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w:t>
            </w:r>
          </w:p>
        </w:tc>
        <w:tc>
          <w:tcPr>
            <w:tcW w:w="709"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w:t>
            </w:r>
          </w:p>
        </w:tc>
        <w:tc>
          <w:tcPr>
            <w:tcW w:w="708"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w:t>
            </w:r>
          </w:p>
        </w:tc>
        <w:tc>
          <w:tcPr>
            <w:tcW w:w="709"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w:t>
            </w:r>
          </w:p>
        </w:tc>
        <w:tc>
          <w:tcPr>
            <w:tcW w:w="851"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w:t>
            </w:r>
          </w:p>
        </w:tc>
        <w:tc>
          <w:tcPr>
            <w:tcW w:w="1134"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w:t>
            </w:r>
          </w:p>
        </w:tc>
      </w:tr>
      <w:tr w:rsidR="00714BF6" w:rsidRPr="00714BF6" w:rsidTr="00F053E1">
        <w:trPr>
          <w:trHeight w:val="317"/>
        </w:trPr>
        <w:tc>
          <w:tcPr>
            <w:tcW w:w="1843" w:type="dxa"/>
            <w:vAlign w:val="center"/>
          </w:tcPr>
          <w:p w:rsidR="00E43785" w:rsidRPr="00714BF6" w:rsidRDefault="00E43785" w:rsidP="003A17DF">
            <w:pPr>
              <w:pStyle w:val="3"/>
              <w:numPr>
                <w:ilvl w:val="0"/>
                <w:numId w:val="0"/>
              </w:numPr>
              <w:spacing w:line="280" w:lineRule="exact"/>
              <w:rPr>
                <w:rFonts w:hAnsi="標楷體"/>
                <w:b/>
                <w:sz w:val="24"/>
                <w:szCs w:val="24"/>
              </w:rPr>
            </w:pPr>
            <w:r w:rsidRPr="00714BF6">
              <w:rPr>
                <w:rFonts w:hAnsi="標楷體" w:hint="eastAsia"/>
                <w:b/>
                <w:sz w:val="24"/>
                <w:szCs w:val="24"/>
              </w:rPr>
              <w:t>臺灣師範大學</w:t>
            </w:r>
          </w:p>
        </w:tc>
        <w:tc>
          <w:tcPr>
            <w:tcW w:w="567"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w:t>
            </w:r>
          </w:p>
        </w:tc>
        <w:tc>
          <w:tcPr>
            <w:tcW w:w="567"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w:t>
            </w:r>
          </w:p>
        </w:tc>
        <w:tc>
          <w:tcPr>
            <w:tcW w:w="708"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w:t>
            </w:r>
          </w:p>
        </w:tc>
        <w:tc>
          <w:tcPr>
            <w:tcW w:w="709"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w:t>
            </w:r>
          </w:p>
        </w:tc>
        <w:tc>
          <w:tcPr>
            <w:tcW w:w="709"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w:t>
            </w:r>
          </w:p>
        </w:tc>
        <w:tc>
          <w:tcPr>
            <w:tcW w:w="709"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2</w:t>
            </w:r>
          </w:p>
        </w:tc>
        <w:tc>
          <w:tcPr>
            <w:tcW w:w="708"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2</w:t>
            </w:r>
          </w:p>
        </w:tc>
        <w:tc>
          <w:tcPr>
            <w:tcW w:w="709"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2</w:t>
            </w:r>
          </w:p>
        </w:tc>
        <w:tc>
          <w:tcPr>
            <w:tcW w:w="851"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2</w:t>
            </w:r>
          </w:p>
        </w:tc>
        <w:tc>
          <w:tcPr>
            <w:tcW w:w="1134"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2</w:t>
            </w:r>
          </w:p>
        </w:tc>
      </w:tr>
      <w:tr w:rsidR="00714BF6" w:rsidRPr="00714BF6" w:rsidTr="00F053E1">
        <w:trPr>
          <w:trHeight w:val="317"/>
        </w:trPr>
        <w:tc>
          <w:tcPr>
            <w:tcW w:w="1843" w:type="dxa"/>
            <w:vAlign w:val="center"/>
          </w:tcPr>
          <w:p w:rsidR="00E43785" w:rsidRPr="00714BF6" w:rsidRDefault="00E43785" w:rsidP="003A17DF">
            <w:pPr>
              <w:pStyle w:val="3"/>
              <w:numPr>
                <w:ilvl w:val="0"/>
                <w:numId w:val="0"/>
              </w:numPr>
              <w:spacing w:line="280" w:lineRule="exact"/>
              <w:jc w:val="center"/>
              <w:rPr>
                <w:rFonts w:hAnsi="標楷體"/>
                <w:b/>
                <w:sz w:val="24"/>
                <w:szCs w:val="24"/>
              </w:rPr>
            </w:pPr>
            <w:r w:rsidRPr="00714BF6">
              <w:rPr>
                <w:rFonts w:hAnsi="標楷體" w:hint="eastAsia"/>
                <w:b/>
                <w:sz w:val="24"/>
                <w:szCs w:val="24"/>
              </w:rPr>
              <w:t>年度小計</w:t>
            </w:r>
          </w:p>
        </w:tc>
        <w:tc>
          <w:tcPr>
            <w:tcW w:w="567"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98</w:t>
            </w:r>
          </w:p>
        </w:tc>
        <w:tc>
          <w:tcPr>
            <w:tcW w:w="567"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98</w:t>
            </w:r>
          </w:p>
        </w:tc>
        <w:tc>
          <w:tcPr>
            <w:tcW w:w="708" w:type="dxa"/>
            <w:vAlign w:val="center"/>
          </w:tcPr>
          <w:p w:rsidR="00E43785" w:rsidRPr="00714BF6" w:rsidRDefault="00E43785" w:rsidP="003A17DF">
            <w:pPr>
              <w:spacing w:line="280" w:lineRule="exact"/>
              <w:jc w:val="right"/>
              <w:rPr>
                <w:rFonts w:hAnsi="標楷體"/>
                <w:bCs/>
                <w:kern w:val="32"/>
                <w:sz w:val="24"/>
                <w:szCs w:val="24"/>
              </w:rPr>
            </w:pPr>
            <w:r w:rsidRPr="00714BF6">
              <w:rPr>
                <w:rFonts w:hAnsi="標楷體" w:hint="eastAsia"/>
                <w:bCs/>
                <w:kern w:val="32"/>
                <w:sz w:val="24"/>
                <w:szCs w:val="24"/>
              </w:rPr>
              <w:t>96.5</w:t>
            </w:r>
          </w:p>
        </w:tc>
        <w:tc>
          <w:tcPr>
            <w:tcW w:w="709" w:type="dxa"/>
            <w:vAlign w:val="center"/>
          </w:tcPr>
          <w:p w:rsidR="00E43785" w:rsidRPr="00714BF6" w:rsidRDefault="00E43785" w:rsidP="003A17DF">
            <w:pPr>
              <w:spacing w:line="280" w:lineRule="exact"/>
              <w:jc w:val="right"/>
              <w:rPr>
                <w:rFonts w:hAnsi="標楷體"/>
                <w:bCs/>
                <w:kern w:val="32"/>
                <w:sz w:val="24"/>
                <w:szCs w:val="24"/>
              </w:rPr>
            </w:pPr>
            <w:r w:rsidRPr="00714BF6">
              <w:rPr>
                <w:rFonts w:hAnsi="標楷體" w:hint="eastAsia"/>
                <w:bCs/>
                <w:kern w:val="32"/>
                <w:sz w:val="24"/>
                <w:szCs w:val="24"/>
              </w:rPr>
              <w:t>96.5</w:t>
            </w:r>
          </w:p>
        </w:tc>
        <w:tc>
          <w:tcPr>
            <w:tcW w:w="709" w:type="dxa"/>
            <w:vAlign w:val="center"/>
          </w:tcPr>
          <w:p w:rsidR="00E43785" w:rsidRPr="00714BF6" w:rsidRDefault="00E43785" w:rsidP="003A17DF">
            <w:pPr>
              <w:spacing w:line="280" w:lineRule="exact"/>
              <w:jc w:val="right"/>
              <w:rPr>
                <w:rFonts w:hAnsi="標楷體"/>
                <w:bCs/>
                <w:kern w:val="32"/>
                <w:sz w:val="24"/>
                <w:szCs w:val="24"/>
              </w:rPr>
            </w:pPr>
            <w:r w:rsidRPr="00714BF6">
              <w:rPr>
                <w:rFonts w:hAnsi="標楷體" w:hint="eastAsia"/>
                <w:bCs/>
                <w:kern w:val="32"/>
                <w:sz w:val="24"/>
                <w:szCs w:val="24"/>
              </w:rPr>
              <w:t>96.7</w:t>
            </w:r>
          </w:p>
        </w:tc>
        <w:tc>
          <w:tcPr>
            <w:tcW w:w="709" w:type="dxa"/>
            <w:vAlign w:val="center"/>
          </w:tcPr>
          <w:p w:rsidR="00E43785" w:rsidRPr="00714BF6" w:rsidRDefault="00E43785" w:rsidP="003A17DF">
            <w:pPr>
              <w:spacing w:line="280" w:lineRule="exact"/>
              <w:jc w:val="right"/>
              <w:rPr>
                <w:rFonts w:hAnsi="標楷體"/>
                <w:bCs/>
                <w:kern w:val="32"/>
                <w:sz w:val="24"/>
                <w:szCs w:val="24"/>
              </w:rPr>
            </w:pPr>
            <w:r w:rsidRPr="00714BF6">
              <w:rPr>
                <w:rFonts w:hAnsi="標楷體" w:hint="eastAsia"/>
                <w:bCs/>
                <w:kern w:val="32"/>
                <w:sz w:val="24"/>
                <w:szCs w:val="24"/>
              </w:rPr>
              <w:t>96</w:t>
            </w:r>
          </w:p>
        </w:tc>
        <w:tc>
          <w:tcPr>
            <w:tcW w:w="708" w:type="dxa"/>
            <w:vAlign w:val="center"/>
          </w:tcPr>
          <w:p w:rsidR="00E43785" w:rsidRPr="00714BF6" w:rsidRDefault="00E43785" w:rsidP="003A17DF">
            <w:pPr>
              <w:spacing w:line="280" w:lineRule="exact"/>
              <w:jc w:val="right"/>
              <w:rPr>
                <w:rFonts w:hAnsi="標楷體"/>
                <w:bCs/>
                <w:kern w:val="32"/>
                <w:sz w:val="24"/>
                <w:szCs w:val="24"/>
              </w:rPr>
            </w:pPr>
            <w:r w:rsidRPr="00714BF6">
              <w:rPr>
                <w:rFonts w:hAnsi="標楷體" w:hint="eastAsia"/>
                <w:bCs/>
                <w:kern w:val="32"/>
                <w:sz w:val="24"/>
                <w:szCs w:val="24"/>
              </w:rPr>
              <w:t>96</w:t>
            </w:r>
          </w:p>
        </w:tc>
        <w:tc>
          <w:tcPr>
            <w:tcW w:w="709" w:type="dxa"/>
            <w:vAlign w:val="center"/>
          </w:tcPr>
          <w:p w:rsidR="00E43785" w:rsidRPr="00714BF6" w:rsidRDefault="00E43785" w:rsidP="003A17DF">
            <w:pPr>
              <w:spacing w:line="280" w:lineRule="exact"/>
              <w:jc w:val="right"/>
              <w:rPr>
                <w:rFonts w:hAnsi="標楷體"/>
                <w:bCs/>
                <w:kern w:val="32"/>
                <w:sz w:val="24"/>
                <w:szCs w:val="24"/>
              </w:rPr>
            </w:pPr>
            <w:r w:rsidRPr="00714BF6">
              <w:rPr>
                <w:rFonts w:hAnsi="標楷體" w:hint="eastAsia"/>
                <w:bCs/>
                <w:kern w:val="32"/>
                <w:sz w:val="24"/>
                <w:szCs w:val="24"/>
              </w:rPr>
              <w:t>96</w:t>
            </w:r>
          </w:p>
        </w:tc>
        <w:tc>
          <w:tcPr>
            <w:tcW w:w="851"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94.7</w:t>
            </w:r>
          </w:p>
        </w:tc>
        <w:tc>
          <w:tcPr>
            <w:tcW w:w="1134" w:type="dxa"/>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94.7</w:t>
            </w:r>
          </w:p>
        </w:tc>
      </w:tr>
      <w:tr w:rsidR="00714BF6" w:rsidRPr="00714BF6" w:rsidTr="00F053E1">
        <w:trPr>
          <w:trHeight w:val="317"/>
        </w:trPr>
        <w:tc>
          <w:tcPr>
            <w:tcW w:w="1843" w:type="dxa"/>
            <w:vAlign w:val="center"/>
          </w:tcPr>
          <w:p w:rsidR="00E43785" w:rsidRPr="00714BF6" w:rsidRDefault="00E43785" w:rsidP="003A17DF">
            <w:pPr>
              <w:pStyle w:val="3"/>
              <w:numPr>
                <w:ilvl w:val="0"/>
                <w:numId w:val="0"/>
              </w:numPr>
              <w:spacing w:line="280" w:lineRule="exact"/>
              <w:jc w:val="center"/>
              <w:rPr>
                <w:rFonts w:hAnsi="標楷體"/>
                <w:b/>
                <w:sz w:val="24"/>
                <w:szCs w:val="24"/>
              </w:rPr>
            </w:pPr>
            <w:r w:rsidRPr="00714BF6">
              <w:rPr>
                <w:rFonts w:hAnsi="標楷體" w:hint="eastAsia"/>
                <w:b/>
                <w:sz w:val="24"/>
                <w:szCs w:val="24"/>
              </w:rPr>
              <w:t>總計</w:t>
            </w:r>
          </w:p>
        </w:tc>
        <w:tc>
          <w:tcPr>
            <w:tcW w:w="7371" w:type="dxa"/>
            <w:gridSpan w:val="10"/>
            <w:vAlign w:val="center"/>
          </w:tcPr>
          <w:p w:rsidR="00E43785" w:rsidRPr="00714BF6" w:rsidRDefault="00E43785" w:rsidP="003A17DF">
            <w:pPr>
              <w:pStyle w:val="3"/>
              <w:numPr>
                <w:ilvl w:val="0"/>
                <w:numId w:val="0"/>
              </w:numPr>
              <w:spacing w:line="280" w:lineRule="exact"/>
              <w:jc w:val="center"/>
              <w:rPr>
                <w:rFonts w:hAnsi="標楷體"/>
                <w:sz w:val="24"/>
                <w:szCs w:val="24"/>
              </w:rPr>
            </w:pPr>
            <w:r w:rsidRPr="00714BF6">
              <w:rPr>
                <w:rFonts w:hAnsi="標楷體" w:hint="eastAsia"/>
                <w:sz w:val="24"/>
                <w:szCs w:val="24"/>
              </w:rPr>
              <w:t>963.1</w:t>
            </w:r>
          </w:p>
        </w:tc>
      </w:tr>
    </w:tbl>
    <w:p w:rsidR="00E43785" w:rsidRPr="00714BF6" w:rsidRDefault="00E43785" w:rsidP="003A17DF">
      <w:pPr>
        <w:pStyle w:val="3"/>
        <w:numPr>
          <w:ilvl w:val="0"/>
          <w:numId w:val="0"/>
        </w:numPr>
        <w:spacing w:line="240" w:lineRule="exact"/>
        <w:rPr>
          <w:rFonts w:hAnsi="標楷體"/>
          <w:sz w:val="24"/>
          <w:szCs w:val="24"/>
        </w:rPr>
      </w:pPr>
      <w:r w:rsidRPr="00714BF6">
        <w:rPr>
          <w:rFonts w:hAnsi="標楷體" w:hint="eastAsia"/>
        </w:rPr>
        <w:t xml:space="preserve">  </w:t>
      </w:r>
      <w:r w:rsidRPr="00714BF6">
        <w:rPr>
          <w:rFonts w:hAnsi="標楷體" w:hint="eastAsia"/>
          <w:sz w:val="24"/>
          <w:szCs w:val="24"/>
        </w:rPr>
        <w:t>資料來源：教育部。</w:t>
      </w:r>
    </w:p>
    <w:p w:rsidR="00087A69" w:rsidRPr="00714BF6" w:rsidRDefault="00242EA4" w:rsidP="000B2F2E">
      <w:pPr>
        <w:pStyle w:val="3"/>
        <w:spacing w:line="480" w:lineRule="exact"/>
      </w:pPr>
      <w:r w:rsidRPr="00714BF6">
        <w:rPr>
          <w:rFonts w:hAnsi="標楷體" w:hint="eastAsia"/>
        </w:rPr>
        <w:t>本案諮詢專家學者</w:t>
      </w:r>
      <w:r w:rsidRPr="00714BF6">
        <w:rPr>
          <w:rFonts w:hint="eastAsia"/>
        </w:rPr>
        <w:t>指出，該部推動</w:t>
      </w:r>
      <w:r w:rsidRPr="00714BF6">
        <w:rPr>
          <w:rFonts w:hAnsi="標楷體" w:hint="eastAsia"/>
          <w:szCs w:val="32"/>
        </w:rPr>
        <w:t>頂大、教學卓越、典範科大等競爭型經費計畫</w:t>
      </w:r>
      <w:r w:rsidRPr="00714BF6">
        <w:rPr>
          <w:rFonts w:hint="eastAsia"/>
        </w:rPr>
        <w:t>之背景，起源於大學分</w:t>
      </w:r>
      <w:r w:rsidR="00EA46E5" w:rsidRPr="00714BF6">
        <w:rPr>
          <w:rFonts w:hint="eastAsia"/>
        </w:rPr>
        <w:t>流</w:t>
      </w:r>
      <w:r w:rsidRPr="00714BF6">
        <w:rPr>
          <w:rFonts w:hint="eastAsia"/>
        </w:rPr>
        <w:t>，先分出7個研究型大學，再規劃邁向世界一流大學等語。復</w:t>
      </w:r>
      <w:proofErr w:type="gramStart"/>
      <w:r w:rsidRPr="00714BF6">
        <w:rPr>
          <w:rFonts w:hint="eastAsia"/>
        </w:rPr>
        <w:t>以</w:t>
      </w:r>
      <w:proofErr w:type="gramEnd"/>
      <w:r w:rsidRPr="00714BF6">
        <w:rPr>
          <w:rFonts w:hint="eastAsia"/>
        </w:rPr>
        <w:t>，</w:t>
      </w:r>
      <w:r w:rsidR="00E87792" w:rsidRPr="00714BF6">
        <w:rPr>
          <w:rFonts w:hint="eastAsia"/>
        </w:rPr>
        <w:t>本案調查</w:t>
      </w:r>
      <w:proofErr w:type="gramStart"/>
      <w:r w:rsidR="00E87792" w:rsidRPr="00714BF6">
        <w:rPr>
          <w:rFonts w:hint="eastAsia"/>
        </w:rPr>
        <w:t>詢</w:t>
      </w:r>
      <w:proofErr w:type="gramEnd"/>
      <w:r w:rsidR="00E87792" w:rsidRPr="00714BF6">
        <w:rPr>
          <w:rFonts w:hint="eastAsia"/>
        </w:rPr>
        <w:t>據教育部主管人員到院時表示</w:t>
      </w:r>
      <w:r w:rsidR="002D0855" w:rsidRPr="00714BF6">
        <w:rPr>
          <w:rFonts w:hint="eastAsia"/>
        </w:rPr>
        <w:t>：</w:t>
      </w:r>
      <w:r w:rsidR="00E87792" w:rsidRPr="00714BF6">
        <w:rPr>
          <w:rFonts w:hint="eastAsia"/>
        </w:rPr>
        <w:t>「</w:t>
      </w:r>
      <w:r w:rsidR="0039577B" w:rsidRPr="00714BF6">
        <w:rPr>
          <w:rFonts w:hint="eastAsia"/>
          <w:bCs w:val="0"/>
        </w:rPr>
        <w:t>92年，行政院針對高等教育從傳統菁英</w:t>
      </w:r>
      <w:r w:rsidR="002D0855" w:rsidRPr="00714BF6">
        <w:rPr>
          <w:rFonts w:hint="eastAsia"/>
          <w:bCs w:val="0"/>
        </w:rPr>
        <w:t>式轉變成普及式</w:t>
      </w:r>
      <w:r w:rsidR="007A2F7D" w:rsidRPr="00714BF6">
        <w:rPr>
          <w:rFonts w:hint="eastAsia"/>
          <w:bCs w:val="0"/>
        </w:rPr>
        <w:t>發展</w:t>
      </w:r>
      <w:r w:rsidR="0039577B" w:rsidRPr="00714BF6">
        <w:rPr>
          <w:rFonts w:hint="eastAsia"/>
          <w:bCs w:val="0"/>
        </w:rPr>
        <w:t>後，成立</w:t>
      </w:r>
      <w:r w:rsidR="00081E1A" w:rsidRPr="00714BF6">
        <w:rPr>
          <w:rFonts w:hint="eastAsia"/>
          <w:bCs w:val="0"/>
        </w:rPr>
        <w:t>『</w:t>
      </w:r>
      <w:r w:rsidR="0039577B" w:rsidRPr="00714BF6">
        <w:rPr>
          <w:rFonts w:hint="eastAsia"/>
          <w:bCs w:val="0"/>
        </w:rPr>
        <w:t>高等教育宏觀委員會</w:t>
      </w:r>
      <w:r w:rsidR="00081E1A" w:rsidRPr="00714BF6">
        <w:rPr>
          <w:rFonts w:hint="eastAsia"/>
          <w:bCs w:val="0"/>
        </w:rPr>
        <w:t>』</w:t>
      </w:r>
      <w:r w:rsidR="0039577B" w:rsidRPr="00714BF6">
        <w:rPr>
          <w:rFonts w:hint="eastAsia"/>
          <w:bCs w:val="0"/>
        </w:rPr>
        <w:t>，認為</w:t>
      </w:r>
      <w:r w:rsidR="002D0855" w:rsidRPr="00714BF6">
        <w:rPr>
          <w:rFonts w:hint="eastAsia"/>
          <w:bCs w:val="0"/>
        </w:rPr>
        <w:t>高教數量膨脹，應分流</w:t>
      </w:r>
      <w:r w:rsidR="0039577B" w:rsidRPr="00714BF6">
        <w:rPr>
          <w:rFonts w:hint="eastAsia"/>
          <w:bCs w:val="0"/>
        </w:rPr>
        <w:t>發展。於此概念下，行政院</w:t>
      </w:r>
      <w:r w:rsidR="00081E1A" w:rsidRPr="00714BF6">
        <w:rPr>
          <w:rFonts w:hint="eastAsia"/>
          <w:bCs w:val="0"/>
        </w:rPr>
        <w:t>『</w:t>
      </w:r>
      <w:r w:rsidR="0039577B" w:rsidRPr="00714BF6">
        <w:rPr>
          <w:rFonts w:hint="eastAsia"/>
          <w:bCs w:val="0"/>
        </w:rPr>
        <w:t>新十大建設</w:t>
      </w:r>
      <w:r w:rsidR="00081E1A" w:rsidRPr="00714BF6">
        <w:rPr>
          <w:rFonts w:hint="eastAsia"/>
          <w:bCs w:val="0"/>
        </w:rPr>
        <w:t>』</w:t>
      </w:r>
      <w:r w:rsidR="0039577B" w:rsidRPr="00714BF6">
        <w:rPr>
          <w:rFonts w:hint="eastAsia"/>
          <w:bCs w:val="0"/>
        </w:rPr>
        <w:t>中之人才培育計畫，便納入相關</w:t>
      </w:r>
      <w:r w:rsidR="003C42EA" w:rsidRPr="00714BF6">
        <w:rPr>
          <w:rFonts w:hint="eastAsia"/>
          <w:bCs w:val="0"/>
        </w:rPr>
        <w:t>構想</w:t>
      </w:r>
      <w:r w:rsidR="002D0855" w:rsidRPr="00714BF6">
        <w:rPr>
          <w:rFonts w:hint="eastAsia"/>
          <w:bCs w:val="0"/>
        </w:rPr>
        <w:t>，</w:t>
      </w:r>
      <w:r w:rsidR="0039577B" w:rsidRPr="00714BF6">
        <w:rPr>
          <w:rFonts w:hint="eastAsia"/>
          <w:bCs w:val="0"/>
        </w:rPr>
        <w:t>冀能培育我國大學成為國際一流大學，惟適時係以研究型大學為主要對象</w:t>
      </w:r>
      <w:r w:rsidR="00894438" w:rsidRPr="00714BF6">
        <w:rPr>
          <w:rFonts w:hint="eastAsia"/>
        </w:rPr>
        <w:t>」等語，益證</w:t>
      </w:r>
      <w:r w:rsidR="00E87792" w:rsidRPr="00714BF6">
        <w:rPr>
          <w:rFonts w:hAnsi="標楷體" w:hint="eastAsia"/>
          <w:szCs w:val="32"/>
        </w:rPr>
        <w:t>該部</w:t>
      </w:r>
      <w:r w:rsidR="00E87792" w:rsidRPr="00714BF6">
        <w:rPr>
          <w:rFonts w:hAnsi="標楷體" w:hint="eastAsia"/>
        </w:rPr>
        <w:t>獎勵大學</w:t>
      </w:r>
      <w:r w:rsidR="0039577B" w:rsidRPr="00714BF6">
        <w:rPr>
          <w:rFonts w:hAnsi="標楷體" w:hint="eastAsia"/>
        </w:rPr>
        <w:t>之</w:t>
      </w:r>
      <w:r w:rsidR="00E87792" w:rsidRPr="00714BF6">
        <w:rPr>
          <w:rFonts w:hAnsi="標楷體" w:hint="eastAsia"/>
        </w:rPr>
        <w:t>教學卓越計畫</w:t>
      </w:r>
      <w:r w:rsidR="0039577B" w:rsidRPr="00714BF6">
        <w:rPr>
          <w:rFonts w:hAnsi="標楷體" w:hint="eastAsia"/>
          <w:szCs w:val="32"/>
        </w:rPr>
        <w:t>，實與適</w:t>
      </w:r>
      <w:r w:rsidRPr="00714BF6">
        <w:rPr>
          <w:rFonts w:hAnsi="標楷體" w:hint="eastAsia"/>
          <w:szCs w:val="32"/>
        </w:rPr>
        <w:t>時我國高等教育</w:t>
      </w:r>
      <w:r w:rsidR="00E87792" w:rsidRPr="00714BF6">
        <w:rPr>
          <w:rFonts w:hAnsi="標楷體" w:hint="eastAsia"/>
          <w:szCs w:val="32"/>
        </w:rPr>
        <w:t>資源</w:t>
      </w:r>
      <w:r w:rsidRPr="00714BF6">
        <w:rPr>
          <w:rFonts w:hAnsi="標楷體" w:hint="eastAsia"/>
          <w:szCs w:val="32"/>
        </w:rPr>
        <w:t>大量</w:t>
      </w:r>
      <w:r w:rsidR="00E87792" w:rsidRPr="00714BF6">
        <w:rPr>
          <w:rFonts w:hAnsi="標楷體" w:hint="eastAsia"/>
          <w:szCs w:val="32"/>
        </w:rPr>
        <w:t>配置</w:t>
      </w:r>
      <w:r w:rsidRPr="00714BF6">
        <w:rPr>
          <w:rFonts w:hAnsi="標楷體" w:hint="eastAsia"/>
          <w:szCs w:val="32"/>
        </w:rPr>
        <w:t>於</w:t>
      </w:r>
      <w:r w:rsidR="00E87792" w:rsidRPr="00714BF6">
        <w:rPr>
          <w:rFonts w:hAnsi="標楷體" w:hint="eastAsia"/>
          <w:szCs w:val="32"/>
        </w:rPr>
        <w:t>推動</w:t>
      </w:r>
      <w:r w:rsidRPr="00714BF6">
        <w:rPr>
          <w:rFonts w:hAnsi="標楷體" w:hint="eastAsia"/>
          <w:szCs w:val="32"/>
        </w:rPr>
        <w:t>學術研究工作，導致</w:t>
      </w:r>
      <w:r w:rsidR="00F37BCC" w:rsidRPr="00714BF6">
        <w:rPr>
          <w:rFonts w:hAnsi="標楷體" w:hint="eastAsia"/>
          <w:szCs w:val="32"/>
        </w:rPr>
        <w:t>高等教育過於側重研究、偏廢教學之背景有關</w:t>
      </w:r>
      <w:r w:rsidR="00087A69" w:rsidRPr="00714BF6">
        <w:rPr>
          <w:rFonts w:hAnsi="標楷體" w:hint="eastAsia"/>
          <w:szCs w:val="32"/>
        </w:rPr>
        <w:t>。</w:t>
      </w:r>
    </w:p>
    <w:p w:rsidR="00BD7E9C" w:rsidRPr="00714BF6" w:rsidRDefault="00087A69" w:rsidP="000B2F2E">
      <w:pPr>
        <w:pStyle w:val="3"/>
        <w:spacing w:line="480" w:lineRule="exact"/>
      </w:pPr>
      <w:r w:rsidRPr="00714BF6">
        <w:rPr>
          <w:rFonts w:hint="eastAsia"/>
        </w:rPr>
        <w:t>基於前述</w:t>
      </w:r>
      <w:r w:rsidR="0039577B" w:rsidRPr="00714BF6">
        <w:rPr>
          <w:rFonts w:hint="eastAsia"/>
        </w:rPr>
        <w:t>，</w:t>
      </w:r>
      <w:r w:rsidRPr="00714BF6">
        <w:rPr>
          <w:rFonts w:hint="eastAsia"/>
        </w:rPr>
        <w:t>外界</w:t>
      </w:r>
      <w:r w:rsidR="0039577B" w:rsidRPr="00714BF6">
        <w:rPr>
          <w:rFonts w:hint="eastAsia"/>
        </w:rPr>
        <w:t>乃有</w:t>
      </w:r>
      <w:r w:rsidRPr="00714BF6">
        <w:rPr>
          <w:rFonts w:hint="eastAsia"/>
        </w:rPr>
        <w:t>我國高等教育政策「重研究、輕教學」</w:t>
      </w:r>
      <w:r w:rsidR="0039577B" w:rsidRPr="00714BF6">
        <w:rPr>
          <w:rFonts w:hint="eastAsia"/>
        </w:rPr>
        <w:t>之批評</w:t>
      </w:r>
      <w:r w:rsidRPr="00714BF6">
        <w:rPr>
          <w:rFonts w:hint="eastAsia"/>
        </w:rPr>
        <w:t>，且人才培育實無法不經由教學而</w:t>
      </w:r>
      <w:r w:rsidR="008D154E" w:rsidRPr="00714BF6">
        <w:rPr>
          <w:rFonts w:hint="eastAsia"/>
        </w:rPr>
        <w:t>體現</w:t>
      </w:r>
      <w:r w:rsidRPr="00714BF6">
        <w:rPr>
          <w:rFonts w:hint="eastAsia"/>
        </w:rPr>
        <w:t>，教學當為大學之核心任務之一，教育部遂於</w:t>
      </w:r>
      <w:r w:rsidRPr="00714BF6">
        <w:t>94</w:t>
      </w:r>
      <w:r w:rsidRPr="00714BF6">
        <w:rPr>
          <w:rFonts w:hint="eastAsia"/>
        </w:rPr>
        <w:t>年訂頒</w:t>
      </w:r>
      <w:r w:rsidR="0039577B" w:rsidRPr="00714BF6">
        <w:rPr>
          <w:rFonts w:hint="eastAsia"/>
        </w:rPr>
        <w:t>「</w:t>
      </w:r>
      <w:r w:rsidRPr="00714BF6">
        <w:rPr>
          <w:rFonts w:hAnsi="標楷體" w:hint="eastAsia"/>
        </w:rPr>
        <w:t>教學卓越計畫</w:t>
      </w:r>
      <w:r w:rsidR="0039577B" w:rsidRPr="00714BF6">
        <w:rPr>
          <w:rFonts w:hAnsi="標楷體" w:hint="eastAsia"/>
        </w:rPr>
        <w:t>」</w:t>
      </w:r>
      <w:r w:rsidRPr="00714BF6">
        <w:rPr>
          <w:rFonts w:hint="eastAsia"/>
        </w:rPr>
        <w:t>並編列</w:t>
      </w:r>
      <w:r w:rsidRPr="00714BF6">
        <w:t>10</w:t>
      </w:r>
      <w:r w:rsidRPr="00714BF6">
        <w:rPr>
          <w:rFonts w:hint="eastAsia"/>
        </w:rPr>
        <w:t>億元競爭性預算，獎勵國立東華大學、國立政治大學、國立暨南國際大學、國立</w:t>
      </w:r>
      <w:proofErr w:type="gramStart"/>
      <w:r w:rsidRPr="00714BF6">
        <w:rPr>
          <w:rFonts w:hint="eastAsia"/>
        </w:rPr>
        <w:t>臺</w:t>
      </w:r>
      <w:proofErr w:type="gramEnd"/>
      <w:r w:rsidRPr="00714BF6">
        <w:rPr>
          <w:rFonts w:hint="eastAsia"/>
        </w:rPr>
        <w:t>北藝術大學、國立臺灣海洋大學、中原大學、元智大學、</w:t>
      </w:r>
      <w:proofErr w:type="gramStart"/>
      <w:r w:rsidRPr="00714BF6">
        <w:rPr>
          <w:rFonts w:hint="eastAsia"/>
        </w:rPr>
        <w:t>世</w:t>
      </w:r>
      <w:proofErr w:type="gramEnd"/>
      <w:r w:rsidRPr="00714BF6">
        <w:rPr>
          <w:rFonts w:hint="eastAsia"/>
        </w:rPr>
        <w:t>新大學、東吳大學、東海大學、高</w:t>
      </w:r>
      <w:r w:rsidRPr="00714BF6">
        <w:rPr>
          <w:rFonts w:hint="eastAsia"/>
        </w:rPr>
        <w:lastRenderedPageBreak/>
        <w:t>雄醫學大學、逢甲大學、輔仁大學13所大學校院提升教學品質，獲得迴響，進而</w:t>
      </w:r>
      <w:proofErr w:type="gramStart"/>
      <w:r w:rsidRPr="00714BF6">
        <w:rPr>
          <w:rFonts w:hint="eastAsia"/>
        </w:rPr>
        <w:t>賡</w:t>
      </w:r>
      <w:proofErr w:type="gramEnd"/>
      <w:r w:rsidRPr="00714BF6">
        <w:rPr>
          <w:rFonts w:hint="eastAsia"/>
        </w:rPr>
        <w:t>續</w:t>
      </w:r>
      <w:r w:rsidRPr="00714BF6">
        <w:rPr>
          <w:rFonts w:hAnsi="標楷體" w:hint="eastAsia"/>
        </w:rPr>
        <w:t>依據行政院</w:t>
      </w:r>
      <w:r w:rsidRPr="00714BF6">
        <w:rPr>
          <w:rFonts w:hint="eastAsia"/>
        </w:rPr>
        <w:t>「新十大建設計畫」、「愛</w:t>
      </w:r>
      <w:proofErr w:type="gramStart"/>
      <w:r w:rsidRPr="00714BF6">
        <w:rPr>
          <w:rFonts w:hint="eastAsia"/>
        </w:rPr>
        <w:t>臺</w:t>
      </w:r>
      <w:proofErr w:type="gramEnd"/>
      <w:r w:rsidRPr="00714BF6">
        <w:rPr>
          <w:rFonts w:hint="eastAsia"/>
        </w:rPr>
        <w:t>十二</w:t>
      </w:r>
      <w:r w:rsidR="0039577B" w:rsidRPr="00714BF6">
        <w:rPr>
          <w:rFonts w:hint="eastAsia"/>
        </w:rPr>
        <w:t>項</w:t>
      </w:r>
      <w:r w:rsidRPr="00714BF6">
        <w:rPr>
          <w:rFonts w:hint="eastAsia"/>
        </w:rPr>
        <w:t>建設計畫」、</w:t>
      </w:r>
      <w:r w:rsidRPr="00714BF6">
        <w:rPr>
          <w:rFonts w:hAnsi="標楷體" w:hint="eastAsia"/>
        </w:rPr>
        <w:t>「黃金十年國家願景」等計畫，核定並執行3期11年之教學卓越計畫。</w:t>
      </w:r>
    </w:p>
    <w:p w:rsidR="00724B59" w:rsidRPr="00714BF6" w:rsidRDefault="000E6865" w:rsidP="000B2F2E">
      <w:pPr>
        <w:pStyle w:val="3"/>
        <w:spacing w:line="480" w:lineRule="exact"/>
      </w:pPr>
      <w:r w:rsidRPr="00714BF6">
        <w:rPr>
          <w:rFonts w:hAnsi="標楷體" w:hint="eastAsia"/>
          <w:bCs w:val="0"/>
        </w:rPr>
        <w:t>查</w:t>
      </w:r>
      <w:r w:rsidR="00487ED9" w:rsidRPr="00714BF6">
        <w:rPr>
          <w:rFonts w:hint="eastAsia"/>
        </w:rPr>
        <w:t>歷年核定補助教學卓越計畫學校</w:t>
      </w:r>
      <w:r w:rsidR="007E158B" w:rsidRPr="00714BF6">
        <w:rPr>
          <w:rFonts w:hint="eastAsia"/>
        </w:rPr>
        <w:t>經費</w:t>
      </w:r>
      <w:r w:rsidR="00487ED9" w:rsidRPr="00714BF6">
        <w:rPr>
          <w:rFonts w:hint="eastAsia"/>
        </w:rPr>
        <w:t>詳如</w:t>
      </w:r>
      <w:r w:rsidR="00BD7E9C" w:rsidRPr="00714BF6">
        <w:rPr>
          <w:rFonts w:hint="eastAsia"/>
        </w:rPr>
        <w:t>表</w:t>
      </w:r>
      <w:r w:rsidR="00C27C97" w:rsidRPr="00714BF6">
        <w:rPr>
          <w:rFonts w:hint="eastAsia"/>
        </w:rPr>
        <w:t>16、表17；另分析各期補助學校</w:t>
      </w:r>
      <w:r w:rsidR="0051366F" w:rsidRPr="00714BF6">
        <w:rPr>
          <w:rFonts w:hint="eastAsia"/>
        </w:rPr>
        <w:t>清單</w:t>
      </w:r>
      <w:r w:rsidR="00C27C97" w:rsidRPr="00714BF6">
        <w:rPr>
          <w:rFonts w:hint="eastAsia"/>
        </w:rPr>
        <w:t>如表18：</w:t>
      </w:r>
    </w:p>
    <w:p w:rsidR="00BD7E9C" w:rsidRPr="00714BF6" w:rsidRDefault="00BD7E9C">
      <w:pPr>
        <w:widowControl/>
        <w:overflowPunct/>
        <w:autoSpaceDE/>
        <w:autoSpaceDN/>
        <w:jc w:val="left"/>
        <w:sectPr w:rsidR="00BD7E9C" w:rsidRPr="00714BF6" w:rsidSect="00801291">
          <w:footerReference w:type="default" r:id="rId10"/>
          <w:pgSz w:w="11907" w:h="16840" w:code="9"/>
          <w:pgMar w:top="1701" w:right="1418" w:bottom="1418" w:left="1418" w:header="851" w:footer="851" w:gutter="227"/>
          <w:pgNumType w:start="1"/>
          <w:cols w:space="425"/>
          <w:docGrid w:linePitch="457" w:charSpace="4127"/>
        </w:sectPr>
      </w:pPr>
    </w:p>
    <w:p w:rsidR="00BD7E9C" w:rsidRPr="00714BF6" w:rsidRDefault="00BD7E9C" w:rsidP="00BD7E9C">
      <w:pPr>
        <w:pStyle w:val="a1"/>
        <w:spacing w:line="480" w:lineRule="exact"/>
        <w:ind w:left="1985" w:hanging="284"/>
        <w:jc w:val="center"/>
        <w:rPr>
          <w:b/>
        </w:rPr>
      </w:pPr>
      <w:r w:rsidRPr="00714BF6">
        <w:rPr>
          <w:rFonts w:hint="eastAsia"/>
          <w:b/>
        </w:rPr>
        <w:lastRenderedPageBreak/>
        <w:t>教學卓越計畫歷年經費分配結果-一般大學部分</w:t>
      </w:r>
    </w:p>
    <w:p w:rsidR="00BD7E9C" w:rsidRPr="00714BF6" w:rsidRDefault="00BD7E9C" w:rsidP="00BD7E9C">
      <w:pPr>
        <w:widowControl/>
        <w:tabs>
          <w:tab w:val="left" w:pos="13153"/>
          <w:tab w:val="right" w:pos="14798"/>
        </w:tabs>
        <w:overflowPunct/>
        <w:autoSpaceDE/>
        <w:autoSpaceDN/>
        <w:spacing w:line="320" w:lineRule="exact"/>
        <w:jc w:val="left"/>
        <w:rPr>
          <w:rFonts w:hAnsi="標楷體"/>
          <w:b/>
          <w:sz w:val="24"/>
          <w:szCs w:val="24"/>
        </w:rPr>
      </w:pPr>
      <w:r w:rsidRPr="00714BF6">
        <w:rPr>
          <w:rFonts w:hAnsi="標楷體"/>
          <w:b/>
          <w:sz w:val="24"/>
          <w:szCs w:val="24"/>
        </w:rPr>
        <w:tab/>
      </w:r>
      <w:r w:rsidRPr="00714BF6">
        <w:rPr>
          <w:rFonts w:hAnsi="標楷體"/>
          <w:b/>
          <w:sz w:val="24"/>
          <w:szCs w:val="24"/>
        </w:rPr>
        <w:tab/>
      </w:r>
      <w:r w:rsidR="008D154E" w:rsidRPr="00714BF6">
        <w:rPr>
          <w:rFonts w:hAnsi="標楷體" w:hint="eastAsia"/>
          <w:b/>
          <w:sz w:val="24"/>
          <w:szCs w:val="24"/>
        </w:rPr>
        <w:t>單位：萬元</w:t>
      </w:r>
    </w:p>
    <w:tbl>
      <w:tblPr>
        <w:tblW w:w="1501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02"/>
        <w:gridCol w:w="1095"/>
        <w:gridCol w:w="1096"/>
        <w:gridCol w:w="1096"/>
        <w:gridCol w:w="1096"/>
        <w:gridCol w:w="1096"/>
        <w:gridCol w:w="1095"/>
        <w:gridCol w:w="1096"/>
        <w:gridCol w:w="1096"/>
        <w:gridCol w:w="1096"/>
        <w:gridCol w:w="1096"/>
        <w:gridCol w:w="1559"/>
      </w:tblGrid>
      <w:tr w:rsidR="00714BF6" w:rsidRPr="00714BF6" w:rsidTr="009B5DC2">
        <w:trPr>
          <w:trHeight w:val="330"/>
          <w:tblHeader/>
        </w:trPr>
        <w:tc>
          <w:tcPr>
            <w:tcW w:w="2502" w:type="dxa"/>
            <w:tcBorders>
              <w:tl2br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b/>
                <w:kern w:val="0"/>
                <w:sz w:val="24"/>
                <w:szCs w:val="24"/>
              </w:rPr>
            </w:pPr>
            <w:r w:rsidRPr="00714BF6">
              <w:rPr>
                <w:rFonts w:hAnsi="標楷體" w:cs="新細明體" w:hint="eastAsia"/>
                <w:b/>
                <w:kern w:val="0"/>
                <w:sz w:val="24"/>
                <w:szCs w:val="24"/>
              </w:rPr>
              <w:t>學校         年度</w:t>
            </w:r>
          </w:p>
        </w:tc>
        <w:tc>
          <w:tcPr>
            <w:tcW w:w="1095" w:type="dxa"/>
            <w:shd w:val="clear" w:color="auto" w:fill="auto"/>
            <w:noWrap/>
            <w:vAlign w:val="center"/>
            <w:hideMark/>
          </w:tcPr>
          <w:p w:rsidR="00BD7E9C" w:rsidRPr="00714BF6" w:rsidRDefault="00BD7E9C" w:rsidP="009B5DC2">
            <w:pPr>
              <w:widowControl/>
              <w:spacing w:line="240" w:lineRule="exact"/>
              <w:jc w:val="center"/>
              <w:rPr>
                <w:rFonts w:hAnsi="標楷體" w:cs="新細明體"/>
                <w:b/>
                <w:kern w:val="0"/>
                <w:sz w:val="24"/>
                <w:szCs w:val="24"/>
              </w:rPr>
            </w:pPr>
            <w:r w:rsidRPr="00714BF6">
              <w:rPr>
                <w:rFonts w:hAnsi="標楷體" w:cs="新細明體" w:hint="eastAsia"/>
                <w:b/>
                <w:kern w:val="0"/>
                <w:sz w:val="24"/>
                <w:szCs w:val="24"/>
              </w:rPr>
              <w:t>94</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b/>
                <w:kern w:val="0"/>
                <w:sz w:val="24"/>
                <w:szCs w:val="24"/>
              </w:rPr>
            </w:pPr>
            <w:r w:rsidRPr="00714BF6">
              <w:rPr>
                <w:rFonts w:hAnsi="標楷體" w:cs="新細明體" w:hint="eastAsia"/>
                <w:b/>
                <w:kern w:val="0"/>
                <w:sz w:val="24"/>
                <w:szCs w:val="24"/>
              </w:rPr>
              <w:t>95</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b/>
                <w:kern w:val="0"/>
                <w:sz w:val="24"/>
                <w:szCs w:val="24"/>
              </w:rPr>
            </w:pPr>
            <w:r w:rsidRPr="00714BF6">
              <w:rPr>
                <w:rFonts w:hAnsi="標楷體" w:cs="新細明體" w:hint="eastAsia"/>
                <w:b/>
                <w:kern w:val="0"/>
                <w:sz w:val="24"/>
                <w:szCs w:val="24"/>
              </w:rPr>
              <w:t>96</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b/>
                <w:kern w:val="0"/>
                <w:sz w:val="24"/>
                <w:szCs w:val="24"/>
              </w:rPr>
            </w:pPr>
            <w:r w:rsidRPr="00714BF6">
              <w:rPr>
                <w:rFonts w:hAnsi="標楷體" w:cs="新細明體" w:hint="eastAsia"/>
                <w:b/>
                <w:kern w:val="0"/>
                <w:sz w:val="24"/>
                <w:szCs w:val="24"/>
              </w:rPr>
              <w:t>97</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b/>
                <w:kern w:val="0"/>
                <w:sz w:val="24"/>
                <w:szCs w:val="24"/>
              </w:rPr>
            </w:pPr>
            <w:r w:rsidRPr="00714BF6">
              <w:rPr>
                <w:rFonts w:hAnsi="標楷體" w:cs="新細明體" w:hint="eastAsia"/>
                <w:b/>
                <w:kern w:val="0"/>
                <w:sz w:val="24"/>
                <w:szCs w:val="24"/>
              </w:rPr>
              <w:t>98-99</w:t>
            </w:r>
          </w:p>
        </w:tc>
        <w:tc>
          <w:tcPr>
            <w:tcW w:w="1095" w:type="dxa"/>
            <w:shd w:val="clear" w:color="auto" w:fill="auto"/>
            <w:noWrap/>
            <w:vAlign w:val="center"/>
            <w:hideMark/>
          </w:tcPr>
          <w:p w:rsidR="00BD7E9C" w:rsidRPr="00714BF6" w:rsidRDefault="00BD7E9C" w:rsidP="009B5DC2">
            <w:pPr>
              <w:widowControl/>
              <w:spacing w:line="240" w:lineRule="exact"/>
              <w:jc w:val="center"/>
              <w:rPr>
                <w:rFonts w:hAnsi="標楷體" w:cs="新細明體"/>
                <w:b/>
                <w:kern w:val="0"/>
                <w:sz w:val="24"/>
                <w:szCs w:val="24"/>
              </w:rPr>
            </w:pPr>
            <w:r w:rsidRPr="00714BF6">
              <w:rPr>
                <w:rFonts w:hAnsi="標楷體" w:cs="新細明體" w:hint="eastAsia"/>
                <w:b/>
                <w:kern w:val="0"/>
                <w:sz w:val="24"/>
                <w:szCs w:val="24"/>
              </w:rPr>
              <w:t>100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b/>
                <w:kern w:val="0"/>
                <w:sz w:val="24"/>
                <w:szCs w:val="24"/>
              </w:rPr>
            </w:pPr>
            <w:r w:rsidRPr="00714BF6">
              <w:rPr>
                <w:rFonts w:hAnsi="標楷體" w:cs="新細明體" w:hint="eastAsia"/>
                <w:b/>
                <w:kern w:val="0"/>
                <w:sz w:val="24"/>
                <w:szCs w:val="24"/>
              </w:rPr>
              <w:t>101</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b/>
                <w:kern w:val="0"/>
                <w:sz w:val="24"/>
                <w:szCs w:val="24"/>
              </w:rPr>
            </w:pPr>
            <w:r w:rsidRPr="00714BF6">
              <w:rPr>
                <w:rFonts w:hAnsi="標楷體" w:cs="新細明體" w:hint="eastAsia"/>
                <w:b/>
                <w:kern w:val="0"/>
                <w:sz w:val="24"/>
                <w:szCs w:val="24"/>
              </w:rPr>
              <w:t>102</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b/>
                <w:kern w:val="0"/>
                <w:sz w:val="24"/>
                <w:szCs w:val="24"/>
              </w:rPr>
            </w:pPr>
            <w:r w:rsidRPr="00714BF6">
              <w:rPr>
                <w:rFonts w:hAnsi="標楷體" w:cs="新細明體" w:hint="eastAsia"/>
                <w:b/>
                <w:kern w:val="0"/>
                <w:sz w:val="24"/>
                <w:szCs w:val="24"/>
              </w:rPr>
              <w:t>103</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b/>
                <w:kern w:val="0"/>
                <w:sz w:val="24"/>
                <w:szCs w:val="24"/>
              </w:rPr>
            </w:pPr>
            <w:r w:rsidRPr="00714BF6">
              <w:rPr>
                <w:rFonts w:hAnsi="標楷體" w:cs="新細明體" w:hint="eastAsia"/>
                <w:b/>
                <w:kern w:val="0"/>
                <w:sz w:val="24"/>
                <w:szCs w:val="24"/>
              </w:rPr>
              <w:t>104</w:t>
            </w:r>
          </w:p>
        </w:tc>
        <w:tc>
          <w:tcPr>
            <w:tcW w:w="1559" w:type="dxa"/>
            <w:shd w:val="clear" w:color="auto" w:fill="auto"/>
            <w:noWrap/>
            <w:vAlign w:val="center"/>
            <w:hideMark/>
          </w:tcPr>
          <w:p w:rsidR="00BD7E9C" w:rsidRPr="00714BF6" w:rsidRDefault="00BD7E9C" w:rsidP="009B5DC2">
            <w:pPr>
              <w:widowControl/>
              <w:spacing w:line="240" w:lineRule="exact"/>
              <w:jc w:val="center"/>
              <w:rPr>
                <w:rFonts w:hAnsi="標楷體" w:cs="新細明體"/>
                <w:b/>
                <w:kern w:val="0"/>
                <w:sz w:val="24"/>
                <w:szCs w:val="24"/>
              </w:rPr>
            </w:pPr>
            <w:r w:rsidRPr="00714BF6">
              <w:rPr>
                <w:rFonts w:hAnsi="標楷體" w:cs="新細明體" w:hint="eastAsia"/>
                <w:b/>
                <w:kern w:val="0"/>
                <w:sz w:val="24"/>
                <w:szCs w:val="24"/>
              </w:rPr>
              <w:t>合計</w:t>
            </w:r>
          </w:p>
        </w:tc>
      </w:tr>
      <w:tr w:rsidR="00714BF6" w:rsidRPr="00714BF6" w:rsidTr="009B5DC2">
        <w:trPr>
          <w:trHeight w:val="330"/>
        </w:trPr>
        <w:tc>
          <w:tcPr>
            <w:tcW w:w="2502" w:type="dxa"/>
            <w:shd w:val="clear" w:color="auto" w:fill="auto"/>
            <w:noWrap/>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逢甲大學</w:t>
            </w:r>
          </w:p>
        </w:tc>
        <w:tc>
          <w:tcPr>
            <w:tcW w:w="1095"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10</w:t>
            </w:r>
            <w:r w:rsidRPr="00714BF6">
              <w:rPr>
                <w:rFonts w:hAnsi="標楷體" w:cs="新細明體" w:hint="eastAsia"/>
                <w:kern w:val="0"/>
                <w:sz w:val="24"/>
                <w:szCs w:val="24"/>
              </w:rPr>
              <w:t>,</w:t>
            </w:r>
            <w:r w:rsidRPr="00714BF6">
              <w:rPr>
                <w:rFonts w:hAnsi="標楷體" w:cs="新細明體"/>
                <w:kern w:val="0"/>
                <w:sz w:val="24"/>
                <w:szCs w:val="24"/>
              </w:rPr>
              <w:t>400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11</w:t>
            </w:r>
            <w:r w:rsidRPr="00714BF6">
              <w:rPr>
                <w:rFonts w:hAnsi="標楷體" w:cs="新細明體" w:hint="eastAsia"/>
                <w:kern w:val="0"/>
                <w:sz w:val="24"/>
                <w:szCs w:val="24"/>
              </w:rPr>
              <w:t>,</w:t>
            </w:r>
            <w:r w:rsidRPr="00714BF6">
              <w:rPr>
                <w:rFonts w:hAnsi="標楷體" w:cs="新細明體"/>
                <w:kern w:val="0"/>
                <w:sz w:val="24"/>
                <w:szCs w:val="24"/>
              </w:rPr>
              <w:t>300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11</w:t>
            </w:r>
            <w:r w:rsidRPr="00714BF6">
              <w:rPr>
                <w:rFonts w:hAnsi="標楷體" w:cs="新細明體" w:hint="eastAsia"/>
                <w:kern w:val="0"/>
                <w:sz w:val="24"/>
                <w:szCs w:val="24"/>
              </w:rPr>
              <w:t>,</w:t>
            </w:r>
            <w:r w:rsidRPr="00714BF6">
              <w:rPr>
                <w:rFonts w:hAnsi="標楷體" w:cs="新細明體"/>
                <w:kern w:val="0"/>
                <w:sz w:val="24"/>
                <w:szCs w:val="24"/>
              </w:rPr>
              <w:t>865</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12</w:t>
            </w:r>
            <w:r w:rsidRPr="00714BF6">
              <w:rPr>
                <w:rFonts w:hAnsi="標楷體" w:cs="新細明體" w:hint="eastAsia"/>
                <w:kern w:val="0"/>
                <w:sz w:val="24"/>
                <w:szCs w:val="24"/>
              </w:rPr>
              <w:t>,</w:t>
            </w:r>
            <w:r w:rsidRPr="00714BF6">
              <w:rPr>
                <w:rFonts w:hAnsi="標楷體" w:cs="新細明體"/>
                <w:kern w:val="0"/>
                <w:sz w:val="24"/>
                <w:szCs w:val="24"/>
              </w:rPr>
              <w:t>458</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13</w:t>
            </w:r>
            <w:r w:rsidRPr="00714BF6">
              <w:rPr>
                <w:rFonts w:hAnsi="標楷體" w:cs="新細明體" w:hint="eastAsia"/>
                <w:kern w:val="0"/>
                <w:sz w:val="24"/>
                <w:szCs w:val="24"/>
              </w:rPr>
              <w:t>,</w:t>
            </w:r>
            <w:r w:rsidRPr="00714BF6">
              <w:rPr>
                <w:rFonts w:hAnsi="標楷體" w:cs="新細明體"/>
                <w:kern w:val="0"/>
                <w:sz w:val="24"/>
                <w:szCs w:val="24"/>
              </w:rPr>
              <w:t>500</w:t>
            </w:r>
          </w:p>
        </w:tc>
        <w:tc>
          <w:tcPr>
            <w:tcW w:w="1095"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9</w:t>
            </w:r>
            <w:r w:rsidRPr="00714BF6">
              <w:rPr>
                <w:rFonts w:hAnsi="標楷體" w:cs="新細明體" w:hint="eastAsia"/>
                <w:kern w:val="0"/>
                <w:sz w:val="24"/>
                <w:szCs w:val="24"/>
              </w:rPr>
              <w:t>,</w:t>
            </w:r>
            <w:r w:rsidRPr="00714BF6">
              <w:rPr>
                <w:rFonts w:hAnsi="標楷體" w:cs="新細明體"/>
                <w:kern w:val="0"/>
                <w:sz w:val="24"/>
                <w:szCs w:val="24"/>
              </w:rPr>
              <w:t>500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9</w:t>
            </w:r>
            <w:r w:rsidRPr="00714BF6">
              <w:rPr>
                <w:rFonts w:hAnsi="標楷體" w:cs="新細明體" w:hint="eastAsia"/>
                <w:kern w:val="0"/>
                <w:sz w:val="24"/>
                <w:szCs w:val="24"/>
              </w:rPr>
              <w:t>,</w:t>
            </w:r>
            <w:r w:rsidRPr="00714BF6">
              <w:rPr>
                <w:rFonts w:hAnsi="標楷體" w:cs="新細明體"/>
                <w:kern w:val="0"/>
                <w:sz w:val="24"/>
                <w:szCs w:val="24"/>
              </w:rPr>
              <w:t>500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9</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9</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8</w:t>
            </w:r>
            <w:r w:rsidRPr="00714BF6">
              <w:rPr>
                <w:rFonts w:hAnsi="標楷體" w:cs="新細明體" w:hint="eastAsia"/>
                <w:kern w:val="0"/>
                <w:sz w:val="24"/>
                <w:szCs w:val="24"/>
              </w:rPr>
              <w:t>,</w:t>
            </w:r>
            <w:r w:rsidRPr="00714BF6">
              <w:rPr>
                <w:rFonts w:hAnsi="標楷體" w:cs="新細明體"/>
                <w:kern w:val="0"/>
                <w:sz w:val="24"/>
                <w:szCs w:val="24"/>
              </w:rPr>
              <w:t>000</w:t>
            </w:r>
          </w:p>
        </w:tc>
        <w:tc>
          <w:tcPr>
            <w:tcW w:w="1559"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104,523</w:t>
            </w:r>
          </w:p>
        </w:tc>
      </w:tr>
      <w:tr w:rsidR="00714BF6" w:rsidRPr="00714BF6" w:rsidTr="009B5DC2">
        <w:trPr>
          <w:trHeight w:val="330"/>
        </w:trPr>
        <w:tc>
          <w:tcPr>
            <w:tcW w:w="2502" w:type="dxa"/>
            <w:shd w:val="clear" w:color="auto" w:fill="auto"/>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中國醫藥大學</w:t>
            </w:r>
          </w:p>
        </w:tc>
        <w:tc>
          <w:tcPr>
            <w:tcW w:w="1095" w:type="dxa"/>
            <w:shd w:val="clear" w:color="auto" w:fill="auto"/>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7</w:t>
            </w:r>
            <w:r w:rsidRPr="00714BF6">
              <w:rPr>
                <w:rFonts w:hAnsi="標楷體" w:cs="新細明體" w:hint="eastAsia"/>
                <w:kern w:val="0"/>
                <w:sz w:val="24"/>
                <w:szCs w:val="24"/>
              </w:rPr>
              <w:t>,</w:t>
            </w:r>
            <w:r w:rsidRPr="00714BF6">
              <w:rPr>
                <w:rFonts w:hAnsi="標楷體" w:cs="新細明體"/>
                <w:kern w:val="0"/>
                <w:sz w:val="24"/>
                <w:szCs w:val="24"/>
              </w:rPr>
              <w:t>800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8</w:t>
            </w:r>
            <w:r w:rsidRPr="00714BF6">
              <w:rPr>
                <w:rFonts w:hAnsi="標楷體" w:cs="新細明體" w:hint="eastAsia"/>
                <w:kern w:val="0"/>
                <w:sz w:val="24"/>
                <w:szCs w:val="24"/>
              </w:rPr>
              <w:t>,</w:t>
            </w:r>
            <w:r w:rsidRPr="00714BF6">
              <w:rPr>
                <w:rFonts w:hAnsi="標楷體" w:cs="新細明體"/>
                <w:kern w:val="0"/>
                <w:sz w:val="24"/>
                <w:szCs w:val="24"/>
              </w:rPr>
              <w:t>470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8</w:t>
            </w:r>
            <w:r w:rsidRPr="00714BF6">
              <w:rPr>
                <w:rFonts w:hAnsi="標楷體" w:cs="新細明體" w:hint="eastAsia"/>
                <w:kern w:val="0"/>
                <w:sz w:val="24"/>
                <w:szCs w:val="24"/>
              </w:rPr>
              <w:t>,</w:t>
            </w:r>
            <w:r w:rsidRPr="00714BF6">
              <w:rPr>
                <w:rFonts w:hAnsi="標楷體" w:cs="新細明體"/>
                <w:kern w:val="0"/>
                <w:sz w:val="24"/>
                <w:szCs w:val="24"/>
              </w:rPr>
              <w:t>034</w:t>
            </w:r>
          </w:p>
        </w:tc>
        <w:tc>
          <w:tcPr>
            <w:tcW w:w="1096" w:type="dxa"/>
            <w:shd w:val="clear" w:color="auto" w:fill="auto"/>
            <w:noWrap/>
            <w:vAlign w:val="center"/>
            <w:hideMark/>
          </w:tcPr>
          <w:p w:rsidR="00BD7E9C" w:rsidRPr="00714BF6" w:rsidRDefault="00BD7E9C" w:rsidP="009B5DC2">
            <w:pPr>
              <w:spacing w:line="240" w:lineRule="exact"/>
              <w:ind w:firstLineChars="50" w:firstLine="120"/>
              <w:rPr>
                <w:rFonts w:hAnsi="標楷體" w:cs="新細明體"/>
                <w:kern w:val="0"/>
                <w:sz w:val="24"/>
                <w:szCs w:val="24"/>
              </w:rPr>
            </w:pPr>
            <w:r w:rsidRPr="00714BF6">
              <w:rPr>
                <w:rFonts w:hAnsi="標楷體" w:cs="新細明體"/>
                <w:kern w:val="0"/>
                <w:sz w:val="24"/>
                <w:szCs w:val="24"/>
              </w:rPr>
              <w:t>12</w:t>
            </w:r>
            <w:r w:rsidRPr="00714BF6">
              <w:rPr>
                <w:rFonts w:hAnsi="標楷體" w:cs="新細明體" w:hint="eastAsia"/>
                <w:kern w:val="0"/>
                <w:sz w:val="24"/>
                <w:szCs w:val="24"/>
              </w:rPr>
              <w:t>,</w:t>
            </w:r>
            <w:r w:rsidRPr="00714BF6">
              <w:rPr>
                <w:rFonts w:hAnsi="標楷體" w:cs="新細明體"/>
                <w:kern w:val="0"/>
                <w:sz w:val="24"/>
                <w:szCs w:val="24"/>
              </w:rPr>
              <w:t>000</w:t>
            </w:r>
          </w:p>
        </w:tc>
        <w:tc>
          <w:tcPr>
            <w:tcW w:w="1095"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12</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12</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9</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9</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7</w:t>
            </w:r>
            <w:r w:rsidRPr="00714BF6">
              <w:rPr>
                <w:rFonts w:hAnsi="標楷體" w:cs="新細明體" w:hint="eastAsia"/>
                <w:kern w:val="0"/>
                <w:sz w:val="24"/>
                <w:szCs w:val="24"/>
              </w:rPr>
              <w:t>,</w:t>
            </w:r>
            <w:r w:rsidRPr="00714BF6">
              <w:rPr>
                <w:rFonts w:hAnsi="標楷體" w:cs="新細明體"/>
                <w:kern w:val="0"/>
                <w:sz w:val="24"/>
                <w:szCs w:val="24"/>
              </w:rPr>
              <w:t>000</w:t>
            </w:r>
          </w:p>
        </w:tc>
        <w:tc>
          <w:tcPr>
            <w:tcW w:w="1559"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85,304</w:t>
            </w:r>
          </w:p>
        </w:tc>
      </w:tr>
      <w:tr w:rsidR="00714BF6" w:rsidRPr="00714BF6" w:rsidTr="009B5DC2">
        <w:trPr>
          <w:trHeight w:val="330"/>
        </w:trPr>
        <w:tc>
          <w:tcPr>
            <w:tcW w:w="2502" w:type="dxa"/>
            <w:shd w:val="clear" w:color="auto" w:fill="auto"/>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東吳大學</w:t>
            </w:r>
          </w:p>
        </w:tc>
        <w:tc>
          <w:tcPr>
            <w:tcW w:w="1095" w:type="dxa"/>
            <w:shd w:val="clear" w:color="auto" w:fill="auto"/>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13</w:t>
            </w:r>
            <w:r w:rsidRPr="00714BF6">
              <w:rPr>
                <w:rFonts w:hAnsi="標楷體" w:cs="新細明體" w:hint="eastAsia"/>
                <w:kern w:val="0"/>
                <w:sz w:val="24"/>
                <w:szCs w:val="24"/>
              </w:rPr>
              <w:t>,</w:t>
            </w:r>
            <w:r w:rsidRPr="00714BF6">
              <w:rPr>
                <w:rFonts w:hAnsi="標楷體" w:cs="新細明體"/>
                <w:kern w:val="0"/>
                <w:sz w:val="24"/>
                <w:szCs w:val="24"/>
              </w:rPr>
              <w:t>100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10</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10</w:t>
            </w:r>
            <w:r w:rsidRPr="00714BF6">
              <w:rPr>
                <w:rFonts w:hAnsi="標楷體" w:cs="新細明體" w:hint="eastAsia"/>
                <w:kern w:val="0"/>
                <w:sz w:val="24"/>
                <w:szCs w:val="24"/>
              </w:rPr>
              <w:t>,</w:t>
            </w:r>
            <w:r w:rsidRPr="00714BF6">
              <w:rPr>
                <w:rFonts w:hAnsi="標楷體" w:cs="新細明體"/>
                <w:kern w:val="0"/>
                <w:sz w:val="24"/>
                <w:szCs w:val="24"/>
              </w:rPr>
              <w:t>300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10</w:t>
            </w:r>
            <w:r w:rsidRPr="00714BF6">
              <w:rPr>
                <w:rFonts w:hAnsi="標楷體" w:cs="新細明體" w:hint="eastAsia"/>
                <w:kern w:val="0"/>
                <w:sz w:val="24"/>
                <w:szCs w:val="24"/>
              </w:rPr>
              <w:t>,</w:t>
            </w:r>
            <w:r w:rsidRPr="00714BF6">
              <w:rPr>
                <w:rFonts w:hAnsi="標楷體" w:cs="新細明體"/>
                <w:kern w:val="0"/>
                <w:sz w:val="24"/>
                <w:szCs w:val="24"/>
              </w:rPr>
              <w:t>815</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11</w:t>
            </w:r>
            <w:r w:rsidRPr="00714BF6">
              <w:rPr>
                <w:rFonts w:hAnsi="標楷體" w:cs="新細明體" w:hint="eastAsia"/>
                <w:kern w:val="0"/>
                <w:sz w:val="24"/>
                <w:szCs w:val="24"/>
              </w:rPr>
              <w:t>,</w:t>
            </w:r>
            <w:r w:rsidRPr="00714BF6">
              <w:rPr>
                <w:rFonts w:hAnsi="標楷體" w:cs="新細明體"/>
                <w:kern w:val="0"/>
                <w:sz w:val="24"/>
                <w:szCs w:val="24"/>
              </w:rPr>
              <w:t>000</w:t>
            </w:r>
          </w:p>
        </w:tc>
        <w:tc>
          <w:tcPr>
            <w:tcW w:w="1095"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8</w:t>
            </w:r>
            <w:r w:rsidRPr="00714BF6">
              <w:rPr>
                <w:rFonts w:hAnsi="標楷體" w:cs="新細明體" w:hint="eastAsia"/>
                <w:kern w:val="0"/>
                <w:sz w:val="24"/>
                <w:szCs w:val="24"/>
              </w:rPr>
              <w:t>,</w:t>
            </w:r>
            <w:r w:rsidRPr="00714BF6">
              <w:rPr>
                <w:rFonts w:hAnsi="標楷體" w:cs="新細明體"/>
                <w:kern w:val="0"/>
                <w:sz w:val="24"/>
                <w:szCs w:val="24"/>
              </w:rPr>
              <w:t>500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8</w:t>
            </w:r>
            <w:r w:rsidRPr="00714BF6">
              <w:rPr>
                <w:rFonts w:hAnsi="標楷體" w:cs="新細明體" w:hint="eastAsia"/>
                <w:kern w:val="0"/>
                <w:sz w:val="24"/>
                <w:szCs w:val="24"/>
              </w:rPr>
              <w:t>,</w:t>
            </w:r>
            <w:r w:rsidRPr="00714BF6">
              <w:rPr>
                <w:rFonts w:hAnsi="標楷體" w:cs="新細明體"/>
                <w:kern w:val="0"/>
                <w:sz w:val="24"/>
                <w:szCs w:val="24"/>
              </w:rPr>
              <w:t>500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4</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1</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5</w:t>
            </w:r>
            <w:r w:rsidRPr="00714BF6">
              <w:rPr>
                <w:rFonts w:hAnsi="標楷體" w:cs="新細明體" w:hint="eastAsia"/>
                <w:kern w:val="0"/>
                <w:sz w:val="24"/>
                <w:szCs w:val="24"/>
              </w:rPr>
              <w:t>,</w:t>
            </w:r>
            <w:r w:rsidRPr="00714BF6">
              <w:rPr>
                <w:rFonts w:hAnsi="標楷體" w:cs="新細明體"/>
                <w:kern w:val="0"/>
                <w:sz w:val="24"/>
                <w:szCs w:val="24"/>
              </w:rPr>
              <w:t>000</w:t>
            </w:r>
          </w:p>
        </w:tc>
        <w:tc>
          <w:tcPr>
            <w:tcW w:w="1559"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82,215</w:t>
            </w:r>
          </w:p>
        </w:tc>
      </w:tr>
      <w:tr w:rsidR="00714BF6" w:rsidRPr="00714BF6" w:rsidTr="009B5DC2">
        <w:trPr>
          <w:trHeight w:val="330"/>
        </w:trPr>
        <w:tc>
          <w:tcPr>
            <w:tcW w:w="2502" w:type="dxa"/>
            <w:shd w:val="clear" w:color="auto" w:fill="auto"/>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中原大學</w:t>
            </w:r>
          </w:p>
        </w:tc>
        <w:tc>
          <w:tcPr>
            <w:tcW w:w="1095" w:type="dxa"/>
            <w:shd w:val="clear" w:color="auto" w:fill="auto"/>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10</w:t>
            </w:r>
            <w:r w:rsidRPr="00714BF6">
              <w:rPr>
                <w:rFonts w:hAnsi="標楷體" w:cs="新細明體" w:hint="eastAsia"/>
                <w:kern w:val="0"/>
                <w:sz w:val="24"/>
                <w:szCs w:val="24"/>
              </w:rPr>
              <w:t>,</w:t>
            </w:r>
            <w:r w:rsidRPr="00714BF6">
              <w:rPr>
                <w:rFonts w:hAnsi="標楷體" w:cs="新細明體"/>
                <w:kern w:val="0"/>
                <w:sz w:val="24"/>
                <w:szCs w:val="24"/>
              </w:rPr>
              <w:t>400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8</w:t>
            </w:r>
            <w:r w:rsidRPr="00714BF6">
              <w:rPr>
                <w:rFonts w:hAnsi="標楷體" w:cs="新細明體" w:hint="eastAsia"/>
                <w:kern w:val="0"/>
                <w:sz w:val="24"/>
                <w:szCs w:val="24"/>
              </w:rPr>
              <w:t>,</w:t>
            </w:r>
            <w:r w:rsidRPr="00714BF6">
              <w:rPr>
                <w:rFonts w:hAnsi="標楷體" w:cs="新細明體"/>
                <w:kern w:val="0"/>
                <w:sz w:val="24"/>
                <w:szCs w:val="24"/>
              </w:rPr>
              <w:t>200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8</w:t>
            </w:r>
            <w:r w:rsidRPr="00714BF6">
              <w:rPr>
                <w:rFonts w:hAnsi="標楷體" w:cs="新細明體" w:hint="eastAsia"/>
                <w:kern w:val="0"/>
                <w:sz w:val="24"/>
                <w:szCs w:val="24"/>
              </w:rPr>
              <w:t>,</w:t>
            </w:r>
            <w:r w:rsidRPr="00714BF6">
              <w:rPr>
                <w:rFonts w:hAnsi="標楷體" w:cs="新細明體"/>
                <w:kern w:val="0"/>
                <w:sz w:val="24"/>
                <w:szCs w:val="24"/>
              </w:rPr>
              <w:t>610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9</w:t>
            </w:r>
            <w:r w:rsidRPr="00714BF6">
              <w:rPr>
                <w:rFonts w:hAnsi="標楷體" w:cs="新細明體" w:hint="eastAsia"/>
                <w:kern w:val="0"/>
                <w:sz w:val="24"/>
                <w:szCs w:val="24"/>
              </w:rPr>
              <w:t>,</w:t>
            </w:r>
            <w:r w:rsidRPr="00714BF6">
              <w:rPr>
                <w:rFonts w:hAnsi="標楷體" w:cs="新細明體"/>
                <w:kern w:val="0"/>
                <w:sz w:val="24"/>
                <w:szCs w:val="24"/>
              </w:rPr>
              <w:t>04</w:t>
            </w:r>
            <w:r w:rsidRPr="00714BF6">
              <w:rPr>
                <w:rFonts w:hAnsi="標楷體" w:cs="新細明體" w:hint="eastAsia"/>
                <w:kern w:val="0"/>
                <w:sz w:val="24"/>
                <w:szCs w:val="24"/>
              </w:rPr>
              <w:t>1</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11</w:t>
            </w:r>
            <w:r w:rsidRPr="00714BF6">
              <w:rPr>
                <w:rFonts w:hAnsi="標楷體" w:cs="新細明體" w:hint="eastAsia"/>
                <w:kern w:val="0"/>
                <w:sz w:val="24"/>
                <w:szCs w:val="24"/>
              </w:rPr>
              <w:t>,</w:t>
            </w:r>
            <w:r w:rsidRPr="00714BF6">
              <w:rPr>
                <w:rFonts w:hAnsi="標楷體" w:cs="新細明體"/>
                <w:kern w:val="0"/>
                <w:sz w:val="24"/>
                <w:szCs w:val="24"/>
              </w:rPr>
              <w:t>900</w:t>
            </w:r>
          </w:p>
        </w:tc>
        <w:tc>
          <w:tcPr>
            <w:tcW w:w="1095"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760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760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7</w:t>
            </w:r>
            <w:r w:rsidRPr="00714BF6">
              <w:rPr>
                <w:rFonts w:hAnsi="標楷體" w:cs="新細明體" w:hint="eastAsia"/>
                <w:kern w:val="0"/>
                <w:sz w:val="24"/>
                <w:szCs w:val="24"/>
              </w:rPr>
              <w:t>,</w:t>
            </w:r>
            <w:r w:rsidRPr="00714BF6">
              <w:rPr>
                <w:rFonts w:hAnsi="標楷體" w:cs="新細明體"/>
                <w:kern w:val="0"/>
                <w:sz w:val="24"/>
                <w:szCs w:val="24"/>
              </w:rPr>
              <w:t>500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7</w:t>
            </w:r>
            <w:r w:rsidRPr="00714BF6">
              <w:rPr>
                <w:rFonts w:hAnsi="標楷體" w:cs="新細明體" w:hint="eastAsia"/>
                <w:kern w:val="0"/>
                <w:sz w:val="24"/>
                <w:szCs w:val="24"/>
              </w:rPr>
              <w:t>,</w:t>
            </w:r>
            <w:r w:rsidRPr="00714BF6">
              <w:rPr>
                <w:rFonts w:hAnsi="標楷體" w:cs="新細明體"/>
                <w:kern w:val="0"/>
                <w:sz w:val="24"/>
                <w:szCs w:val="24"/>
              </w:rPr>
              <w:t>500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8</w:t>
            </w:r>
            <w:r w:rsidRPr="00714BF6">
              <w:rPr>
                <w:rFonts w:hAnsi="標楷體" w:cs="新細明體" w:hint="eastAsia"/>
                <w:kern w:val="0"/>
                <w:sz w:val="24"/>
                <w:szCs w:val="24"/>
              </w:rPr>
              <w:t>,</w:t>
            </w:r>
            <w:r w:rsidRPr="00714BF6">
              <w:rPr>
                <w:rFonts w:hAnsi="標楷體" w:cs="新細明體"/>
                <w:kern w:val="0"/>
                <w:sz w:val="24"/>
                <w:szCs w:val="24"/>
              </w:rPr>
              <w:t>000</w:t>
            </w:r>
          </w:p>
        </w:tc>
        <w:tc>
          <w:tcPr>
            <w:tcW w:w="1559"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78,671</w:t>
            </w:r>
          </w:p>
        </w:tc>
      </w:tr>
      <w:tr w:rsidR="00714BF6" w:rsidRPr="00714BF6" w:rsidTr="009B5DC2">
        <w:trPr>
          <w:trHeight w:val="330"/>
        </w:trPr>
        <w:tc>
          <w:tcPr>
            <w:tcW w:w="2502" w:type="dxa"/>
            <w:shd w:val="clear" w:color="auto" w:fill="auto"/>
            <w:vAlign w:val="center"/>
            <w:hideMark/>
          </w:tcPr>
          <w:p w:rsidR="00BD7E9C" w:rsidRPr="00714BF6" w:rsidRDefault="00BD7E9C" w:rsidP="009B5DC2">
            <w:pPr>
              <w:widowControl/>
              <w:spacing w:line="240" w:lineRule="exact"/>
              <w:rPr>
                <w:rFonts w:hAnsi="標楷體" w:cs="新細明體"/>
                <w:b/>
                <w:kern w:val="0"/>
                <w:sz w:val="24"/>
                <w:szCs w:val="24"/>
              </w:rPr>
            </w:pPr>
            <w:proofErr w:type="gramStart"/>
            <w:r w:rsidRPr="00714BF6">
              <w:rPr>
                <w:rFonts w:hAnsi="標楷體" w:cs="新細明體" w:hint="eastAsia"/>
                <w:b/>
                <w:kern w:val="0"/>
                <w:sz w:val="24"/>
                <w:szCs w:val="24"/>
              </w:rPr>
              <w:t>世</w:t>
            </w:r>
            <w:proofErr w:type="gramEnd"/>
            <w:r w:rsidRPr="00714BF6">
              <w:rPr>
                <w:rFonts w:hAnsi="標楷體" w:cs="新細明體" w:hint="eastAsia"/>
                <w:b/>
                <w:kern w:val="0"/>
                <w:sz w:val="24"/>
                <w:szCs w:val="24"/>
              </w:rPr>
              <w:t xml:space="preserve">新大學    </w:t>
            </w:r>
          </w:p>
        </w:tc>
        <w:tc>
          <w:tcPr>
            <w:tcW w:w="1095" w:type="dxa"/>
            <w:shd w:val="clear" w:color="auto" w:fill="auto"/>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10</w:t>
            </w:r>
            <w:r w:rsidRPr="00714BF6">
              <w:rPr>
                <w:rFonts w:hAnsi="標楷體" w:cs="新細明體" w:hint="eastAsia"/>
                <w:kern w:val="0"/>
                <w:sz w:val="24"/>
                <w:szCs w:val="24"/>
              </w:rPr>
              <w:t>,</w:t>
            </w:r>
            <w:r w:rsidRPr="00714BF6">
              <w:rPr>
                <w:rFonts w:hAnsi="標楷體" w:cs="新細明體"/>
                <w:kern w:val="0"/>
                <w:sz w:val="24"/>
                <w:szCs w:val="24"/>
              </w:rPr>
              <w:t>400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7</w:t>
            </w:r>
            <w:r w:rsidRPr="00714BF6">
              <w:rPr>
                <w:rFonts w:hAnsi="標楷體" w:cs="新細明體" w:hint="eastAsia"/>
                <w:kern w:val="0"/>
                <w:sz w:val="24"/>
                <w:szCs w:val="24"/>
              </w:rPr>
              <w:t>,</w:t>
            </w:r>
            <w:r w:rsidRPr="00714BF6">
              <w:rPr>
                <w:rFonts w:hAnsi="標楷體" w:cs="新細明體"/>
                <w:kern w:val="0"/>
                <w:sz w:val="24"/>
                <w:szCs w:val="24"/>
              </w:rPr>
              <w:t>900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8</w:t>
            </w:r>
            <w:r w:rsidRPr="00714BF6">
              <w:rPr>
                <w:rFonts w:hAnsi="標楷體" w:cs="新細明體" w:hint="eastAsia"/>
                <w:kern w:val="0"/>
                <w:sz w:val="24"/>
                <w:szCs w:val="24"/>
              </w:rPr>
              <w:t>,</w:t>
            </w:r>
            <w:r w:rsidRPr="00714BF6">
              <w:rPr>
                <w:rFonts w:hAnsi="標楷體" w:cs="新細明體"/>
                <w:kern w:val="0"/>
                <w:sz w:val="24"/>
                <w:szCs w:val="24"/>
              </w:rPr>
              <w:t>137</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8</w:t>
            </w:r>
            <w:r w:rsidRPr="00714BF6">
              <w:rPr>
                <w:rFonts w:hAnsi="標楷體" w:cs="新細明體" w:hint="eastAsia"/>
                <w:kern w:val="0"/>
                <w:sz w:val="24"/>
                <w:szCs w:val="24"/>
              </w:rPr>
              <w:t>,</w:t>
            </w:r>
            <w:r w:rsidRPr="00714BF6">
              <w:rPr>
                <w:rFonts w:hAnsi="標楷體" w:cs="新細明體"/>
                <w:kern w:val="0"/>
                <w:sz w:val="24"/>
                <w:szCs w:val="24"/>
              </w:rPr>
              <w:t>381</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11</w:t>
            </w:r>
            <w:r w:rsidRPr="00714BF6">
              <w:rPr>
                <w:rFonts w:hAnsi="標楷體" w:cs="新細明體" w:hint="eastAsia"/>
                <w:kern w:val="0"/>
                <w:sz w:val="24"/>
                <w:szCs w:val="24"/>
              </w:rPr>
              <w:t>,</w:t>
            </w:r>
            <w:r w:rsidRPr="00714BF6">
              <w:rPr>
                <w:rFonts w:hAnsi="標楷體" w:cs="新細明體"/>
                <w:kern w:val="0"/>
                <w:sz w:val="24"/>
                <w:szCs w:val="24"/>
              </w:rPr>
              <w:t>000</w:t>
            </w:r>
          </w:p>
        </w:tc>
        <w:tc>
          <w:tcPr>
            <w:tcW w:w="1095"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4</w:t>
            </w:r>
            <w:r w:rsidRPr="00714BF6">
              <w:rPr>
                <w:rFonts w:hAnsi="標楷體" w:cs="新細明體" w:hint="eastAsia"/>
                <w:kern w:val="0"/>
                <w:sz w:val="24"/>
                <w:szCs w:val="24"/>
              </w:rPr>
              <w:t>,</w:t>
            </w:r>
            <w:r w:rsidRPr="00714BF6">
              <w:rPr>
                <w:rFonts w:hAnsi="標楷體" w:cs="新細明體"/>
                <w:kern w:val="0"/>
                <w:sz w:val="24"/>
                <w:szCs w:val="24"/>
              </w:rPr>
              <w:t>488</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4</w:t>
            </w:r>
            <w:r w:rsidRPr="00714BF6">
              <w:rPr>
                <w:rFonts w:hAnsi="標楷體" w:cs="新細明體" w:hint="eastAsia"/>
                <w:kern w:val="0"/>
                <w:sz w:val="24"/>
                <w:szCs w:val="24"/>
              </w:rPr>
              <w:t>,</w:t>
            </w:r>
            <w:r w:rsidRPr="00714BF6">
              <w:rPr>
                <w:rFonts w:hAnsi="標楷體" w:cs="新細明體"/>
                <w:kern w:val="0"/>
                <w:sz w:val="24"/>
                <w:szCs w:val="24"/>
              </w:rPr>
              <w:t>488</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6</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6</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5</w:t>
            </w:r>
            <w:r w:rsidRPr="00714BF6">
              <w:rPr>
                <w:rFonts w:hAnsi="標楷體" w:cs="新細明體" w:hint="eastAsia"/>
                <w:kern w:val="0"/>
                <w:sz w:val="24"/>
                <w:szCs w:val="24"/>
              </w:rPr>
              <w:t>,</w:t>
            </w:r>
            <w:r w:rsidRPr="00714BF6">
              <w:rPr>
                <w:rFonts w:hAnsi="標楷體" w:cs="新細明體"/>
                <w:kern w:val="0"/>
                <w:sz w:val="24"/>
                <w:szCs w:val="24"/>
              </w:rPr>
              <w:t>000</w:t>
            </w:r>
          </w:p>
        </w:tc>
        <w:tc>
          <w:tcPr>
            <w:tcW w:w="1559"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71,794</w:t>
            </w:r>
          </w:p>
        </w:tc>
      </w:tr>
      <w:tr w:rsidR="00714BF6" w:rsidRPr="00714BF6" w:rsidTr="009B5DC2">
        <w:trPr>
          <w:trHeight w:val="330"/>
        </w:trPr>
        <w:tc>
          <w:tcPr>
            <w:tcW w:w="2502" w:type="dxa"/>
            <w:shd w:val="clear" w:color="auto" w:fill="auto"/>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東海大學</w:t>
            </w:r>
          </w:p>
        </w:tc>
        <w:tc>
          <w:tcPr>
            <w:tcW w:w="1095" w:type="dxa"/>
            <w:shd w:val="clear" w:color="auto" w:fill="auto"/>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9</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6</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6</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5</w:t>
            </w:r>
            <w:r w:rsidRPr="00714BF6">
              <w:rPr>
                <w:rFonts w:hAnsi="標楷體" w:cs="新細明體" w:hint="eastAsia"/>
                <w:kern w:val="0"/>
                <w:sz w:val="24"/>
                <w:szCs w:val="24"/>
              </w:rPr>
              <w:t>,</w:t>
            </w:r>
            <w:r w:rsidRPr="00714BF6">
              <w:rPr>
                <w:rFonts w:hAnsi="標楷體" w:cs="新細明體"/>
                <w:kern w:val="0"/>
                <w:sz w:val="24"/>
                <w:szCs w:val="24"/>
              </w:rPr>
              <w:t>700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11</w:t>
            </w:r>
            <w:r w:rsidRPr="00714BF6">
              <w:rPr>
                <w:rFonts w:hAnsi="標楷體" w:cs="新細明體" w:hint="eastAsia"/>
                <w:kern w:val="0"/>
                <w:sz w:val="24"/>
                <w:szCs w:val="24"/>
              </w:rPr>
              <w:t>,</w:t>
            </w:r>
            <w:r w:rsidRPr="00714BF6">
              <w:rPr>
                <w:rFonts w:hAnsi="標楷體" w:cs="新細明體"/>
                <w:kern w:val="0"/>
                <w:sz w:val="24"/>
                <w:szCs w:val="24"/>
              </w:rPr>
              <w:t>400</w:t>
            </w:r>
          </w:p>
        </w:tc>
        <w:tc>
          <w:tcPr>
            <w:tcW w:w="1095"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7</w:t>
            </w:r>
            <w:r w:rsidRPr="00714BF6">
              <w:rPr>
                <w:rFonts w:hAnsi="標楷體" w:cs="新細明體" w:hint="eastAsia"/>
                <w:kern w:val="0"/>
                <w:sz w:val="24"/>
                <w:szCs w:val="24"/>
              </w:rPr>
              <w:t>,</w:t>
            </w:r>
            <w:r w:rsidRPr="00714BF6">
              <w:rPr>
                <w:rFonts w:hAnsi="標楷體" w:cs="新細明體"/>
                <w:kern w:val="0"/>
                <w:sz w:val="24"/>
                <w:szCs w:val="24"/>
              </w:rPr>
              <w:t>500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7</w:t>
            </w:r>
            <w:r w:rsidRPr="00714BF6">
              <w:rPr>
                <w:rFonts w:hAnsi="標楷體" w:cs="新細明體" w:hint="eastAsia"/>
                <w:kern w:val="0"/>
                <w:sz w:val="24"/>
                <w:szCs w:val="24"/>
              </w:rPr>
              <w:t>,</w:t>
            </w:r>
            <w:r w:rsidRPr="00714BF6">
              <w:rPr>
                <w:rFonts w:hAnsi="標楷體" w:cs="新細明體"/>
                <w:kern w:val="0"/>
                <w:sz w:val="24"/>
                <w:szCs w:val="24"/>
              </w:rPr>
              <w:t>500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6</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6</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5</w:t>
            </w:r>
            <w:r w:rsidRPr="00714BF6">
              <w:rPr>
                <w:rFonts w:hAnsi="標楷體" w:cs="新細明體" w:hint="eastAsia"/>
                <w:kern w:val="0"/>
                <w:sz w:val="24"/>
                <w:szCs w:val="24"/>
              </w:rPr>
              <w:t>,</w:t>
            </w:r>
            <w:r w:rsidRPr="00714BF6">
              <w:rPr>
                <w:rFonts w:hAnsi="標楷體" w:cs="新細明體"/>
                <w:kern w:val="0"/>
                <w:sz w:val="24"/>
                <w:szCs w:val="24"/>
              </w:rPr>
              <w:t>000</w:t>
            </w:r>
          </w:p>
        </w:tc>
        <w:tc>
          <w:tcPr>
            <w:tcW w:w="1559"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70,100</w:t>
            </w:r>
          </w:p>
        </w:tc>
      </w:tr>
      <w:tr w:rsidR="00714BF6" w:rsidRPr="00714BF6" w:rsidTr="009B5DC2">
        <w:trPr>
          <w:trHeight w:val="330"/>
        </w:trPr>
        <w:tc>
          <w:tcPr>
            <w:tcW w:w="2502" w:type="dxa"/>
            <w:shd w:val="clear" w:color="auto" w:fill="auto"/>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元智大學</w:t>
            </w:r>
          </w:p>
        </w:tc>
        <w:tc>
          <w:tcPr>
            <w:tcW w:w="1095" w:type="dxa"/>
            <w:shd w:val="clear" w:color="auto" w:fill="auto"/>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6</w:t>
            </w:r>
            <w:r w:rsidRPr="00714BF6">
              <w:rPr>
                <w:rFonts w:hAnsi="標楷體" w:cs="新細明體" w:hint="eastAsia"/>
                <w:kern w:val="0"/>
                <w:sz w:val="24"/>
                <w:szCs w:val="24"/>
              </w:rPr>
              <w:t>,</w:t>
            </w:r>
            <w:r w:rsidRPr="00714BF6">
              <w:rPr>
                <w:rFonts w:hAnsi="標楷體" w:cs="新細明體"/>
                <w:kern w:val="0"/>
                <w:sz w:val="24"/>
                <w:szCs w:val="24"/>
              </w:rPr>
              <w:t>800</w:t>
            </w:r>
          </w:p>
        </w:tc>
        <w:tc>
          <w:tcPr>
            <w:tcW w:w="1096" w:type="dxa"/>
            <w:shd w:val="clear" w:color="auto" w:fill="auto"/>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7</w:t>
            </w:r>
            <w:r w:rsidRPr="00714BF6">
              <w:rPr>
                <w:rFonts w:hAnsi="標楷體" w:cs="新細明體" w:hint="eastAsia"/>
                <w:kern w:val="0"/>
                <w:sz w:val="24"/>
                <w:szCs w:val="24"/>
              </w:rPr>
              <w:t>,</w:t>
            </w:r>
            <w:r w:rsidRPr="00714BF6">
              <w:rPr>
                <w:rFonts w:hAnsi="標楷體" w:cs="新細明體"/>
                <w:kern w:val="0"/>
                <w:sz w:val="24"/>
                <w:szCs w:val="24"/>
              </w:rPr>
              <w:t>500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12</w:t>
            </w:r>
            <w:r w:rsidRPr="00714BF6">
              <w:rPr>
                <w:rFonts w:hAnsi="標楷體" w:cs="新細明體" w:hint="eastAsia"/>
                <w:kern w:val="0"/>
                <w:sz w:val="24"/>
                <w:szCs w:val="24"/>
              </w:rPr>
              <w:t>,</w:t>
            </w:r>
            <w:r w:rsidRPr="00714BF6">
              <w:rPr>
                <w:rFonts w:hAnsi="標楷體" w:cs="新細明體"/>
                <w:kern w:val="0"/>
                <w:sz w:val="24"/>
                <w:szCs w:val="24"/>
              </w:rPr>
              <w:t>800</w:t>
            </w:r>
          </w:p>
        </w:tc>
        <w:tc>
          <w:tcPr>
            <w:tcW w:w="1095"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10</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10</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7</w:t>
            </w:r>
            <w:r w:rsidRPr="00714BF6">
              <w:rPr>
                <w:rFonts w:hAnsi="標楷體" w:cs="新細明體" w:hint="eastAsia"/>
                <w:kern w:val="0"/>
                <w:sz w:val="24"/>
                <w:szCs w:val="24"/>
              </w:rPr>
              <w:t>,</w:t>
            </w:r>
            <w:r w:rsidRPr="00714BF6">
              <w:rPr>
                <w:rFonts w:hAnsi="標楷體" w:cs="新細明體"/>
                <w:kern w:val="0"/>
                <w:sz w:val="24"/>
                <w:szCs w:val="24"/>
              </w:rPr>
              <w:t>500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7</w:t>
            </w:r>
            <w:r w:rsidRPr="00714BF6">
              <w:rPr>
                <w:rFonts w:hAnsi="標楷體" w:cs="新細明體" w:hint="eastAsia"/>
                <w:kern w:val="0"/>
                <w:sz w:val="24"/>
                <w:szCs w:val="24"/>
              </w:rPr>
              <w:t>,</w:t>
            </w:r>
            <w:r w:rsidRPr="00714BF6">
              <w:rPr>
                <w:rFonts w:hAnsi="標楷體" w:cs="新細明體"/>
                <w:kern w:val="0"/>
                <w:sz w:val="24"/>
                <w:szCs w:val="24"/>
              </w:rPr>
              <w:t>500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7</w:t>
            </w:r>
            <w:r w:rsidRPr="00714BF6">
              <w:rPr>
                <w:rFonts w:hAnsi="標楷體" w:cs="新細明體" w:hint="eastAsia"/>
                <w:kern w:val="0"/>
                <w:sz w:val="24"/>
                <w:szCs w:val="24"/>
              </w:rPr>
              <w:t>,</w:t>
            </w:r>
            <w:r w:rsidRPr="00714BF6">
              <w:rPr>
                <w:rFonts w:hAnsi="標楷體" w:cs="新細明體"/>
                <w:kern w:val="0"/>
                <w:sz w:val="24"/>
                <w:szCs w:val="24"/>
              </w:rPr>
              <w:t>000</w:t>
            </w:r>
          </w:p>
        </w:tc>
        <w:tc>
          <w:tcPr>
            <w:tcW w:w="1559"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69,100</w:t>
            </w:r>
          </w:p>
        </w:tc>
      </w:tr>
      <w:tr w:rsidR="00714BF6" w:rsidRPr="00714BF6" w:rsidTr="009B5DC2">
        <w:trPr>
          <w:trHeight w:val="330"/>
        </w:trPr>
        <w:tc>
          <w:tcPr>
            <w:tcW w:w="2502" w:type="dxa"/>
            <w:shd w:val="clear" w:color="auto" w:fill="auto"/>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輔仁大學</w:t>
            </w:r>
          </w:p>
        </w:tc>
        <w:tc>
          <w:tcPr>
            <w:tcW w:w="1095" w:type="dxa"/>
            <w:shd w:val="clear" w:color="auto" w:fill="auto"/>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7</w:t>
            </w:r>
            <w:r w:rsidRPr="00714BF6">
              <w:rPr>
                <w:rFonts w:hAnsi="標楷體" w:cs="新細明體" w:hint="eastAsia"/>
                <w:kern w:val="0"/>
                <w:sz w:val="24"/>
                <w:szCs w:val="24"/>
              </w:rPr>
              <w:t>,</w:t>
            </w:r>
            <w:r w:rsidRPr="00714BF6">
              <w:rPr>
                <w:rFonts w:hAnsi="標楷體" w:cs="新細明體"/>
                <w:kern w:val="0"/>
                <w:sz w:val="24"/>
                <w:szCs w:val="24"/>
              </w:rPr>
              <w:t>200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8</w:t>
            </w:r>
            <w:r w:rsidRPr="00714BF6">
              <w:rPr>
                <w:rFonts w:hAnsi="標楷體" w:cs="新細明體" w:hint="eastAsia"/>
                <w:kern w:val="0"/>
                <w:sz w:val="24"/>
                <w:szCs w:val="24"/>
              </w:rPr>
              <w:t>,</w:t>
            </w:r>
            <w:r w:rsidRPr="00714BF6">
              <w:rPr>
                <w:rFonts w:hAnsi="標楷體" w:cs="新細明體"/>
                <w:kern w:val="0"/>
                <w:sz w:val="24"/>
                <w:szCs w:val="24"/>
              </w:rPr>
              <w:t>700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9</w:t>
            </w:r>
            <w:r w:rsidRPr="00714BF6">
              <w:rPr>
                <w:rFonts w:hAnsi="標楷體" w:cs="新細明體" w:hint="eastAsia"/>
                <w:kern w:val="0"/>
                <w:sz w:val="24"/>
                <w:szCs w:val="24"/>
              </w:rPr>
              <w:t>,</w:t>
            </w:r>
            <w:r w:rsidRPr="00714BF6">
              <w:rPr>
                <w:rFonts w:hAnsi="標楷體" w:cs="新細明體"/>
                <w:kern w:val="0"/>
                <w:sz w:val="24"/>
                <w:szCs w:val="24"/>
              </w:rPr>
              <w:t>43</w:t>
            </w:r>
            <w:r w:rsidRPr="00714BF6">
              <w:rPr>
                <w:rFonts w:hAnsi="標楷體" w:cs="新細明體" w:hint="eastAsia"/>
                <w:kern w:val="0"/>
                <w:sz w:val="24"/>
                <w:szCs w:val="24"/>
              </w:rPr>
              <w:t>3</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9</w:t>
            </w:r>
            <w:r w:rsidRPr="00714BF6">
              <w:rPr>
                <w:rFonts w:hAnsi="標楷體" w:cs="新細明體" w:hint="eastAsia"/>
                <w:kern w:val="0"/>
                <w:sz w:val="24"/>
                <w:szCs w:val="24"/>
              </w:rPr>
              <w:t>,</w:t>
            </w:r>
            <w:r w:rsidRPr="00714BF6">
              <w:rPr>
                <w:rFonts w:hAnsi="標楷體" w:cs="新細明體"/>
                <w:kern w:val="0"/>
                <w:sz w:val="24"/>
                <w:szCs w:val="24"/>
              </w:rPr>
              <w:t>2</w:t>
            </w:r>
            <w:r w:rsidRPr="00714BF6">
              <w:rPr>
                <w:rFonts w:hAnsi="標楷體" w:cs="新細明體" w:hint="eastAsia"/>
                <w:kern w:val="0"/>
                <w:sz w:val="24"/>
                <w:szCs w:val="24"/>
              </w:rPr>
              <w:t>30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8</w:t>
            </w:r>
            <w:r w:rsidRPr="00714BF6">
              <w:rPr>
                <w:rFonts w:hAnsi="標楷體" w:cs="新細明體" w:hint="eastAsia"/>
                <w:kern w:val="0"/>
                <w:sz w:val="24"/>
                <w:szCs w:val="24"/>
              </w:rPr>
              <w:t>,</w:t>
            </w:r>
            <w:r w:rsidRPr="00714BF6">
              <w:rPr>
                <w:rFonts w:hAnsi="標楷體" w:cs="新細明體"/>
                <w:kern w:val="0"/>
                <w:sz w:val="24"/>
                <w:szCs w:val="24"/>
              </w:rPr>
              <w:t>000</w:t>
            </w:r>
          </w:p>
        </w:tc>
        <w:tc>
          <w:tcPr>
            <w:tcW w:w="1095"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6</w:t>
            </w:r>
            <w:r w:rsidRPr="00714BF6">
              <w:rPr>
                <w:rFonts w:hAnsi="標楷體" w:cs="新細明體" w:hint="eastAsia"/>
                <w:kern w:val="0"/>
                <w:sz w:val="24"/>
                <w:szCs w:val="24"/>
              </w:rPr>
              <w:t>,</w:t>
            </w:r>
            <w:r w:rsidRPr="00714BF6">
              <w:rPr>
                <w:rFonts w:hAnsi="標楷體" w:cs="新細明體"/>
                <w:kern w:val="0"/>
                <w:sz w:val="24"/>
                <w:szCs w:val="24"/>
              </w:rPr>
              <w:t>212</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6</w:t>
            </w:r>
            <w:r w:rsidRPr="00714BF6">
              <w:rPr>
                <w:rFonts w:hAnsi="標楷體" w:cs="新細明體" w:hint="eastAsia"/>
                <w:kern w:val="0"/>
                <w:sz w:val="24"/>
                <w:szCs w:val="24"/>
              </w:rPr>
              <w:t>,</w:t>
            </w:r>
            <w:r w:rsidRPr="00714BF6">
              <w:rPr>
                <w:rFonts w:hAnsi="標楷體" w:cs="新細明體"/>
                <w:kern w:val="0"/>
                <w:sz w:val="24"/>
                <w:szCs w:val="24"/>
              </w:rPr>
              <w:t>212</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5</w:t>
            </w:r>
            <w:r w:rsidRPr="00714BF6">
              <w:rPr>
                <w:rFonts w:hAnsi="標楷體" w:cs="新細明體" w:hint="eastAsia"/>
                <w:kern w:val="0"/>
                <w:sz w:val="24"/>
                <w:szCs w:val="24"/>
              </w:rPr>
              <w:t>,</w:t>
            </w:r>
            <w:r w:rsidRPr="00714BF6">
              <w:rPr>
                <w:rFonts w:hAnsi="標楷體" w:cs="新細明體"/>
                <w:kern w:val="0"/>
                <w:sz w:val="24"/>
                <w:szCs w:val="24"/>
              </w:rPr>
              <w:t>000</w:t>
            </w:r>
          </w:p>
        </w:tc>
        <w:tc>
          <w:tcPr>
            <w:tcW w:w="1559"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65,987</w:t>
            </w:r>
          </w:p>
        </w:tc>
      </w:tr>
      <w:tr w:rsidR="00714BF6" w:rsidRPr="00714BF6" w:rsidTr="009B5DC2">
        <w:trPr>
          <w:trHeight w:val="330"/>
        </w:trPr>
        <w:tc>
          <w:tcPr>
            <w:tcW w:w="2502" w:type="dxa"/>
            <w:shd w:val="clear" w:color="auto" w:fill="auto"/>
            <w:vAlign w:val="center"/>
            <w:hideMark/>
          </w:tcPr>
          <w:p w:rsidR="00BD7E9C" w:rsidRPr="00714BF6" w:rsidRDefault="00BD7E9C" w:rsidP="009B5DC2">
            <w:pPr>
              <w:widowControl/>
              <w:spacing w:line="240" w:lineRule="exact"/>
              <w:rPr>
                <w:rFonts w:hAnsi="標楷體" w:cs="新細明體"/>
                <w:b/>
                <w:kern w:val="0"/>
                <w:sz w:val="24"/>
                <w:szCs w:val="24"/>
              </w:rPr>
            </w:pPr>
            <w:proofErr w:type="gramStart"/>
            <w:r w:rsidRPr="00714BF6">
              <w:rPr>
                <w:rFonts w:hAnsi="標楷體" w:cs="新細明體" w:hint="eastAsia"/>
                <w:b/>
                <w:kern w:val="0"/>
                <w:sz w:val="24"/>
                <w:szCs w:val="24"/>
              </w:rPr>
              <w:t>臺</w:t>
            </w:r>
            <w:proofErr w:type="gramEnd"/>
            <w:r w:rsidRPr="00714BF6">
              <w:rPr>
                <w:rFonts w:hAnsi="標楷體" w:cs="新細明體" w:hint="eastAsia"/>
                <w:b/>
                <w:kern w:val="0"/>
                <w:sz w:val="24"/>
                <w:szCs w:val="24"/>
              </w:rPr>
              <w:t>北醫學大學</w:t>
            </w:r>
          </w:p>
        </w:tc>
        <w:tc>
          <w:tcPr>
            <w:tcW w:w="1095" w:type="dxa"/>
            <w:shd w:val="clear" w:color="auto" w:fill="auto"/>
            <w:vAlign w:val="center"/>
            <w:hideMark/>
          </w:tcPr>
          <w:p w:rsidR="00BD7E9C" w:rsidRPr="00714BF6" w:rsidRDefault="00BD7E9C" w:rsidP="009B5DC2">
            <w:pPr>
              <w:widowControl/>
              <w:spacing w:line="240" w:lineRule="exact"/>
              <w:jc w:val="center"/>
              <w:rPr>
                <w:rFonts w:hAnsi="標楷體" w:cs="新細明體"/>
                <w:kern w:val="0"/>
                <w:sz w:val="24"/>
                <w:szCs w:val="24"/>
              </w:rPr>
            </w:pP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6</w:t>
            </w:r>
            <w:r w:rsidRPr="00714BF6">
              <w:rPr>
                <w:rFonts w:hAnsi="標楷體" w:cs="新細明體" w:hint="eastAsia"/>
                <w:kern w:val="0"/>
                <w:sz w:val="24"/>
                <w:szCs w:val="24"/>
              </w:rPr>
              <w:t>,</w:t>
            </w:r>
            <w:r w:rsidRPr="00714BF6">
              <w:rPr>
                <w:rFonts w:hAnsi="標楷體" w:cs="新細明體"/>
                <w:kern w:val="0"/>
                <w:sz w:val="24"/>
                <w:szCs w:val="24"/>
              </w:rPr>
              <w:t>400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7</w:t>
            </w:r>
            <w:r w:rsidRPr="00714BF6">
              <w:rPr>
                <w:rFonts w:hAnsi="標楷體" w:cs="新細明體" w:hint="eastAsia"/>
                <w:kern w:val="0"/>
                <w:sz w:val="24"/>
                <w:szCs w:val="24"/>
              </w:rPr>
              <w:t>,</w:t>
            </w:r>
            <w:r w:rsidRPr="00714BF6">
              <w:rPr>
                <w:rFonts w:hAnsi="標楷體" w:cs="新細明體"/>
                <w:kern w:val="0"/>
                <w:sz w:val="24"/>
                <w:szCs w:val="24"/>
              </w:rPr>
              <w:t>07</w:t>
            </w:r>
            <w:r w:rsidRPr="00714BF6">
              <w:rPr>
                <w:rFonts w:hAnsi="標楷體" w:cs="新細明體" w:hint="eastAsia"/>
                <w:kern w:val="0"/>
                <w:sz w:val="24"/>
                <w:szCs w:val="24"/>
              </w:rPr>
              <w:t>7</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6</w:t>
            </w:r>
            <w:r w:rsidRPr="00714BF6">
              <w:rPr>
                <w:rFonts w:hAnsi="標楷體" w:cs="新細明體" w:hint="eastAsia"/>
                <w:kern w:val="0"/>
                <w:sz w:val="24"/>
                <w:szCs w:val="24"/>
              </w:rPr>
              <w:t>,</w:t>
            </w:r>
            <w:r w:rsidRPr="00714BF6">
              <w:rPr>
                <w:rFonts w:hAnsi="標楷體" w:cs="新細明體"/>
                <w:kern w:val="0"/>
                <w:sz w:val="24"/>
                <w:szCs w:val="24"/>
              </w:rPr>
              <w:t>592</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9</w:t>
            </w:r>
            <w:r w:rsidRPr="00714BF6">
              <w:rPr>
                <w:rFonts w:hAnsi="標楷體" w:cs="新細明體" w:hint="eastAsia"/>
                <w:kern w:val="0"/>
                <w:sz w:val="24"/>
                <w:szCs w:val="24"/>
              </w:rPr>
              <w:t>,</w:t>
            </w:r>
            <w:r w:rsidRPr="00714BF6">
              <w:rPr>
                <w:rFonts w:hAnsi="標楷體" w:cs="新細明體"/>
                <w:kern w:val="0"/>
                <w:sz w:val="24"/>
                <w:szCs w:val="24"/>
              </w:rPr>
              <w:t>900</w:t>
            </w:r>
          </w:p>
        </w:tc>
        <w:tc>
          <w:tcPr>
            <w:tcW w:w="1095"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6</w:t>
            </w:r>
            <w:r w:rsidRPr="00714BF6">
              <w:rPr>
                <w:rFonts w:hAnsi="標楷體" w:cs="新細明體" w:hint="eastAsia"/>
                <w:kern w:val="0"/>
                <w:sz w:val="24"/>
                <w:szCs w:val="24"/>
              </w:rPr>
              <w:t>,</w:t>
            </w:r>
            <w:r w:rsidRPr="00714BF6">
              <w:rPr>
                <w:rFonts w:hAnsi="標楷體" w:cs="新細明體"/>
                <w:kern w:val="0"/>
                <w:sz w:val="24"/>
                <w:szCs w:val="24"/>
              </w:rPr>
              <w:t>5000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6</w:t>
            </w:r>
            <w:r w:rsidRPr="00714BF6">
              <w:rPr>
                <w:rFonts w:hAnsi="標楷體" w:cs="新細明體" w:hint="eastAsia"/>
                <w:kern w:val="0"/>
                <w:sz w:val="24"/>
                <w:szCs w:val="24"/>
              </w:rPr>
              <w:t>,</w:t>
            </w:r>
            <w:r w:rsidRPr="00714BF6">
              <w:rPr>
                <w:rFonts w:hAnsi="標楷體" w:cs="新細明體"/>
                <w:kern w:val="0"/>
                <w:sz w:val="24"/>
                <w:szCs w:val="24"/>
              </w:rPr>
              <w:t>500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6</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6</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7</w:t>
            </w:r>
            <w:r w:rsidRPr="00714BF6">
              <w:rPr>
                <w:rFonts w:hAnsi="標楷體" w:cs="新細明體" w:hint="eastAsia"/>
                <w:kern w:val="0"/>
                <w:sz w:val="24"/>
                <w:szCs w:val="24"/>
              </w:rPr>
              <w:t>,</w:t>
            </w:r>
            <w:r w:rsidRPr="00714BF6">
              <w:rPr>
                <w:rFonts w:hAnsi="標楷體" w:cs="新細明體"/>
                <w:kern w:val="0"/>
                <w:sz w:val="24"/>
                <w:szCs w:val="24"/>
              </w:rPr>
              <w:t>000</w:t>
            </w:r>
          </w:p>
        </w:tc>
        <w:tc>
          <w:tcPr>
            <w:tcW w:w="1559"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61,969</w:t>
            </w:r>
          </w:p>
        </w:tc>
      </w:tr>
      <w:tr w:rsidR="00714BF6" w:rsidRPr="00714BF6" w:rsidTr="009B5DC2">
        <w:trPr>
          <w:trHeight w:val="320"/>
        </w:trPr>
        <w:tc>
          <w:tcPr>
            <w:tcW w:w="2502" w:type="dxa"/>
            <w:shd w:val="clear" w:color="auto" w:fill="auto"/>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國立</w:t>
            </w:r>
            <w:proofErr w:type="gramStart"/>
            <w:r w:rsidRPr="00714BF6">
              <w:rPr>
                <w:rFonts w:hAnsi="標楷體" w:cs="新細明體" w:hint="eastAsia"/>
                <w:b/>
                <w:kern w:val="0"/>
                <w:sz w:val="24"/>
                <w:szCs w:val="24"/>
              </w:rPr>
              <w:t>臺</w:t>
            </w:r>
            <w:proofErr w:type="gramEnd"/>
            <w:r w:rsidRPr="00714BF6">
              <w:rPr>
                <w:rFonts w:hAnsi="標楷體" w:cs="新細明體" w:hint="eastAsia"/>
                <w:b/>
                <w:kern w:val="0"/>
                <w:sz w:val="24"/>
                <w:szCs w:val="24"/>
              </w:rPr>
              <w:t>北藝術大學</w:t>
            </w:r>
          </w:p>
        </w:tc>
        <w:tc>
          <w:tcPr>
            <w:tcW w:w="1095" w:type="dxa"/>
            <w:shd w:val="clear" w:color="auto" w:fill="auto"/>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5</w:t>
            </w:r>
            <w:r w:rsidRPr="00714BF6">
              <w:rPr>
                <w:rFonts w:hAnsi="標楷體" w:cs="新細明體" w:hint="eastAsia"/>
                <w:kern w:val="0"/>
                <w:sz w:val="24"/>
                <w:szCs w:val="24"/>
              </w:rPr>
              <w:t>,</w:t>
            </w:r>
            <w:r w:rsidRPr="00714BF6">
              <w:rPr>
                <w:rFonts w:hAnsi="標楷體" w:cs="新細明體"/>
                <w:kern w:val="0"/>
                <w:sz w:val="24"/>
                <w:szCs w:val="24"/>
              </w:rPr>
              <w:t>800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5</w:t>
            </w:r>
            <w:r w:rsidRPr="00714BF6">
              <w:rPr>
                <w:rFonts w:hAnsi="標楷體" w:cs="新細明體" w:hint="eastAsia"/>
                <w:kern w:val="0"/>
                <w:sz w:val="24"/>
                <w:szCs w:val="24"/>
              </w:rPr>
              <w:t>,</w:t>
            </w:r>
            <w:r w:rsidRPr="00714BF6">
              <w:rPr>
                <w:rFonts w:hAnsi="標楷體" w:cs="新細明體"/>
                <w:kern w:val="0"/>
                <w:sz w:val="24"/>
                <w:szCs w:val="24"/>
              </w:rPr>
              <w:t>900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6</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6</w:t>
            </w:r>
            <w:r w:rsidRPr="00714BF6">
              <w:rPr>
                <w:rFonts w:hAnsi="標楷體" w:cs="新細明體" w:hint="eastAsia"/>
                <w:kern w:val="0"/>
                <w:sz w:val="24"/>
                <w:szCs w:val="24"/>
              </w:rPr>
              <w:t>,</w:t>
            </w:r>
            <w:r w:rsidRPr="00714BF6">
              <w:rPr>
                <w:rFonts w:hAnsi="標楷體" w:cs="新細明體"/>
                <w:kern w:val="0"/>
                <w:sz w:val="24"/>
                <w:szCs w:val="24"/>
              </w:rPr>
              <w:t>250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11</w:t>
            </w:r>
            <w:r w:rsidRPr="00714BF6">
              <w:rPr>
                <w:rFonts w:hAnsi="標楷體" w:cs="新細明體" w:hint="eastAsia"/>
                <w:kern w:val="0"/>
                <w:sz w:val="24"/>
                <w:szCs w:val="24"/>
              </w:rPr>
              <w:t>,</w:t>
            </w:r>
            <w:r w:rsidRPr="00714BF6">
              <w:rPr>
                <w:rFonts w:hAnsi="標楷體" w:cs="新細明體"/>
                <w:kern w:val="0"/>
                <w:sz w:val="24"/>
                <w:szCs w:val="24"/>
              </w:rPr>
              <w:t>400</w:t>
            </w:r>
          </w:p>
        </w:tc>
        <w:tc>
          <w:tcPr>
            <w:tcW w:w="1095"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6</w:t>
            </w:r>
            <w:r w:rsidRPr="00714BF6">
              <w:rPr>
                <w:rFonts w:hAnsi="標楷體" w:cs="新細明體" w:hint="eastAsia"/>
                <w:kern w:val="0"/>
                <w:sz w:val="24"/>
                <w:szCs w:val="24"/>
              </w:rPr>
              <w:t>,</w:t>
            </w:r>
            <w:r w:rsidRPr="00714BF6">
              <w:rPr>
                <w:rFonts w:hAnsi="標楷體" w:cs="新細明體"/>
                <w:kern w:val="0"/>
                <w:sz w:val="24"/>
                <w:szCs w:val="24"/>
              </w:rPr>
              <w:t>599</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6</w:t>
            </w:r>
            <w:r w:rsidRPr="00714BF6">
              <w:rPr>
                <w:rFonts w:hAnsi="標楷體" w:cs="新細明體" w:hint="eastAsia"/>
                <w:kern w:val="0"/>
                <w:sz w:val="24"/>
                <w:szCs w:val="24"/>
              </w:rPr>
              <w:t>,</w:t>
            </w:r>
            <w:r w:rsidRPr="00714BF6">
              <w:rPr>
                <w:rFonts w:hAnsi="標楷體" w:cs="新細明體"/>
                <w:kern w:val="0"/>
                <w:sz w:val="24"/>
                <w:szCs w:val="24"/>
              </w:rPr>
              <w:t>599</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5</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5</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559"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58,548</w:t>
            </w:r>
          </w:p>
        </w:tc>
      </w:tr>
      <w:tr w:rsidR="00714BF6" w:rsidRPr="00714BF6" w:rsidTr="009B5DC2">
        <w:trPr>
          <w:trHeight w:val="330"/>
        </w:trPr>
        <w:tc>
          <w:tcPr>
            <w:tcW w:w="2502" w:type="dxa"/>
            <w:shd w:val="clear" w:color="auto" w:fill="auto"/>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高雄醫學大學</w:t>
            </w:r>
          </w:p>
        </w:tc>
        <w:tc>
          <w:tcPr>
            <w:tcW w:w="1095" w:type="dxa"/>
            <w:shd w:val="clear" w:color="auto" w:fill="auto"/>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6</w:t>
            </w:r>
            <w:r w:rsidRPr="00714BF6">
              <w:rPr>
                <w:rFonts w:hAnsi="標楷體" w:cs="新細明體" w:hint="eastAsia"/>
                <w:kern w:val="0"/>
                <w:sz w:val="24"/>
                <w:szCs w:val="24"/>
              </w:rPr>
              <w:t>,</w:t>
            </w:r>
            <w:r w:rsidRPr="00714BF6">
              <w:rPr>
                <w:rFonts w:hAnsi="標楷體" w:cs="新細明體"/>
                <w:kern w:val="0"/>
                <w:sz w:val="24"/>
                <w:szCs w:val="24"/>
              </w:rPr>
              <w:t>800</w:t>
            </w:r>
          </w:p>
        </w:tc>
        <w:tc>
          <w:tcPr>
            <w:tcW w:w="1096" w:type="dxa"/>
            <w:shd w:val="clear" w:color="auto" w:fill="auto"/>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5</w:t>
            </w:r>
            <w:r w:rsidRPr="00714BF6">
              <w:rPr>
                <w:rFonts w:hAnsi="標楷體" w:cs="新細明體" w:hint="eastAsia"/>
                <w:kern w:val="0"/>
                <w:sz w:val="24"/>
                <w:szCs w:val="24"/>
              </w:rPr>
              <w:t>,</w:t>
            </w:r>
            <w:r w:rsidRPr="00714BF6">
              <w:rPr>
                <w:rFonts w:hAnsi="標楷體" w:cs="新細明體"/>
                <w:kern w:val="0"/>
                <w:sz w:val="24"/>
                <w:szCs w:val="24"/>
              </w:rPr>
              <w:t>910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5</w:t>
            </w:r>
            <w:r w:rsidRPr="00714BF6">
              <w:rPr>
                <w:rFonts w:hAnsi="標楷體" w:cs="新細明體" w:hint="eastAsia"/>
                <w:kern w:val="0"/>
                <w:sz w:val="24"/>
                <w:szCs w:val="24"/>
              </w:rPr>
              <w:t>,</w:t>
            </w:r>
            <w:r w:rsidRPr="00714BF6">
              <w:rPr>
                <w:rFonts w:hAnsi="標楷體" w:cs="新細明體"/>
                <w:kern w:val="0"/>
                <w:sz w:val="24"/>
                <w:szCs w:val="24"/>
              </w:rPr>
              <w:t>910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8</w:t>
            </w:r>
            <w:r w:rsidRPr="00714BF6">
              <w:rPr>
                <w:rFonts w:hAnsi="標楷體" w:cs="新細明體" w:hint="eastAsia"/>
                <w:kern w:val="0"/>
                <w:sz w:val="24"/>
                <w:szCs w:val="24"/>
              </w:rPr>
              <w:t>,</w:t>
            </w:r>
            <w:r w:rsidRPr="00714BF6">
              <w:rPr>
                <w:rFonts w:hAnsi="標楷體" w:cs="新細明體"/>
                <w:kern w:val="0"/>
                <w:sz w:val="24"/>
                <w:szCs w:val="24"/>
              </w:rPr>
              <w:t>000</w:t>
            </w:r>
          </w:p>
        </w:tc>
        <w:tc>
          <w:tcPr>
            <w:tcW w:w="1095"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4</w:t>
            </w:r>
            <w:r w:rsidRPr="00714BF6">
              <w:rPr>
                <w:rFonts w:hAnsi="標楷體" w:cs="新細明體" w:hint="eastAsia"/>
                <w:kern w:val="0"/>
                <w:sz w:val="24"/>
                <w:szCs w:val="24"/>
              </w:rPr>
              <w:t>,</w:t>
            </w:r>
            <w:r w:rsidRPr="00714BF6">
              <w:rPr>
                <w:rFonts w:hAnsi="標楷體" w:cs="新細明體"/>
                <w:kern w:val="0"/>
                <w:sz w:val="24"/>
                <w:szCs w:val="24"/>
              </w:rPr>
              <w:t>668</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4</w:t>
            </w:r>
            <w:r w:rsidRPr="00714BF6">
              <w:rPr>
                <w:rFonts w:hAnsi="標楷體" w:cs="新細明體" w:hint="eastAsia"/>
                <w:kern w:val="0"/>
                <w:sz w:val="24"/>
                <w:szCs w:val="24"/>
              </w:rPr>
              <w:t>,</w:t>
            </w:r>
            <w:r w:rsidRPr="00714BF6">
              <w:rPr>
                <w:rFonts w:hAnsi="標楷體" w:cs="新細明體"/>
                <w:kern w:val="0"/>
                <w:sz w:val="24"/>
                <w:szCs w:val="24"/>
              </w:rPr>
              <w:t>668</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7</w:t>
            </w:r>
            <w:r w:rsidRPr="00714BF6">
              <w:rPr>
                <w:rFonts w:hAnsi="標楷體" w:cs="新細明體" w:hint="eastAsia"/>
                <w:kern w:val="0"/>
                <w:sz w:val="24"/>
                <w:szCs w:val="24"/>
              </w:rPr>
              <w:t>,</w:t>
            </w:r>
            <w:r w:rsidRPr="00714BF6">
              <w:rPr>
                <w:rFonts w:hAnsi="標楷體" w:cs="新細明體"/>
                <w:kern w:val="0"/>
                <w:sz w:val="24"/>
                <w:szCs w:val="24"/>
              </w:rPr>
              <w:t>500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7</w:t>
            </w:r>
            <w:r w:rsidRPr="00714BF6">
              <w:rPr>
                <w:rFonts w:hAnsi="標楷體" w:cs="新細明體" w:hint="eastAsia"/>
                <w:kern w:val="0"/>
                <w:sz w:val="24"/>
                <w:szCs w:val="24"/>
              </w:rPr>
              <w:t>,</w:t>
            </w:r>
            <w:r w:rsidRPr="00714BF6">
              <w:rPr>
                <w:rFonts w:hAnsi="標楷體" w:cs="新細明體"/>
                <w:kern w:val="0"/>
                <w:sz w:val="24"/>
                <w:szCs w:val="24"/>
              </w:rPr>
              <w:t>500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5</w:t>
            </w:r>
            <w:r w:rsidRPr="00714BF6">
              <w:rPr>
                <w:rFonts w:hAnsi="標楷體" w:cs="新細明體" w:hint="eastAsia"/>
                <w:kern w:val="0"/>
                <w:sz w:val="24"/>
                <w:szCs w:val="24"/>
              </w:rPr>
              <w:t>,</w:t>
            </w:r>
            <w:r w:rsidRPr="00714BF6">
              <w:rPr>
                <w:rFonts w:hAnsi="標楷體" w:cs="新細明體"/>
                <w:kern w:val="0"/>
                <w:sz w:val="24"/>
                <w:szCs w:val="24"/>
              </w:rPr>
              <w:t>000</w:t>
            </w:r>
          </w:p>
        </w:tc>
        <w:tc>
          <w:tcPr>
            <w:tcW w:w="1559"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55,956</w:t>
            </w:r>
          </w:p>
        </w:tc>
      </w:tr>
      <w:tr w:rsidR="00714BF6" w:rsidRPr="00714BF6" w:rsidTr="009B5DC2">
        <w:trPr>
          <w:trHeight w:val="330"/>
        </w:trPr>
        <w:tc>
          <w:tcPr>
            <w:tcW w:w="2502" w:type="dxa"/>
            <w:shd w:val="clear" w:color="auto" w:fill="auto"/>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銘傳大學</w:t>
            </w:r>
          </w:p>
        </w:tc>
        <w:tc>
          <w:tcPr>
            <w:tcW w:w="1095" w:type="dxa"/>
            <w:shd w:val="clear" w:color="auto" w:fill="auto"/>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7</w:t>
            </w:r>
            <w:r w:rsidRPr="00714BF6">
              <w:rPr>
                <w:rFonts w:hAnsi="標楷體" w:cs="新細明體" w:hint="eastAsia"/>
                <w:kern w:val="0"/>
                <w:sz w:val="24"/>
                <w:szCs w:val="24"/>
              </w:rPr>
              <w:t>,</w:t>
            </w:r>
            <w:r w:rsidRPr="00714BF6">
              <w:rPr>
                <w:rFonts w:hAnsi="標楷體" w:cs="新細明體"/>
                <w:kern w:val="0"/>
                <w:sz w:val="24"/>
                <w:szCs w:val="24"/>
              </w:rPr>
              <w:t>500</w:t>
            </w:r>
          </w:p>
        </w:tc>
        <w:tc>
          <w:tcPr>
            <w:tcW w:w="1096" w:type="dxa"/>
            <w:shd w:val="clear" w:color="auto" w:fill="auto"/>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5</w:t>
            </w:r>
            <w:r w:rsidRPr="00714BF6">
              <w:rPr>
                <w:rFonts w:hAnsi="標楷體" w:cs="新細明體" w:hint="eastAsia"/>
                <w:kern w:val="0"/>
                <w:sz w:val="24"/>
                <w:szCs w:val="24"/>
              </w:rPr>
              <w:t>,</w:t>
            </w:r>
            <w:r w:rsidRPr="00714BF6">
              <w:rPr>
                <w:rFonts w:hAnsi="標楷體" w:cs="新細明體"/>
                <w:kern w:val="0"/>
                <w:sz w:val="24"/>
                <w:szCs w:val="24"/>
              </w:rPr>
              <w:t>450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7</w:t>
            </w:r>
            <w:r w:rsidRPr="00714BF6">
              <w:rPr>
                <w:rFonts w:hAnsi="標楷體" w:cs="新細明體" w:hint="eastAsia"/>
                <w:kern w:val="0"/>
                <w:sz w:val="24"/>
                <w:szCs w:val="24"/>
              </w:rPr>
              <w:t>,</w:t>
            </w:r>
            <w:r w:rsidRPr="00714BF6">
              <w:rPr>
                <w:rFonts w:hAnsi="標楷體" w:cs="新細明體"/>
                <w:kern w:val="0"/>
                <w:sz w:val="24"/>
                <w:szCs w:val="24"/>
              </w:rPr>
              <w:t>200</w:t>
            </w:r>
          </w:p>
        </w:tc>
        <w:tc>
          <w:tcPr>
            <w:tcW w:w="1095"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7</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7</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6</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6</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5</w:t>
            </w:r>
            <w:r w:rsidRPr="00714BF6">
              <w:rPr>
                <w:rFonts w:hAnsi="標楷體" w:cs="新細明體" w:hint="eastAsia"/>
                <w:kern w:val="0"/>
                <w:sz w:val="24"/>
                <w:szCs w:val="24"/>
              </w:rPr>
              <w:t>,</w:t>
            </w:r>
            <w:r w:rsidRPr="00714BF6">
              <w:rPr>
                <w:rFonts w:hAnsi="標楷體" w:cs="新細明體"/>
                <w:kern w:val="0"/>
                <w:sz w:val="24"/>
                <w:szCs w:val="24"/>
              </w:rPr>
              <w:t>000</w:t>
            </w:r>
          </w:p>
        </w:tc>
        <w:tc>
          <w:tcPr>
            <w:tcW w:w="1559"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51,150</w:t>
            </w:r>
          </w:p>
        </w:tc>
      </w:tr>
      <w:tr w:rsidR="00714BF6" w:rsidRPr="00714BF6" w:rsidTr="009B5DC2">
        <w:trPr>
          <w:trHeight w:val="330"/>
        </w:trPr>
        <w:tc>
          <w:tcPr>
            <w:tcW w:w="2502" w:type="dxa"/>
            <w:shd w:val="clear" w:color="auto" w:fill="auto"/>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亞洲大學</w:t>
            </w:r>
          </w:p>
        </w:tc>
        <w:tc>
          <w:tcPr>
            <w:tcW w:w="1095"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5</w:t>
            </w:r>
            <w:r w:rsidRPr="00714BF6">
              <w:rPr>
                <w:rFonts w:hAnsi="標楷體" w:cs="新細明體" w:hint="eastAsia"/>
                <w:kern w:val="0"/>
                <w:sz w:val="24"/>
                <w:szCs w:val="24"/>
              </w:rPr>
              <w:t>,</w:t>
            </w:r>
            <w:r w:rsidRPr="00714BF6">
              <w:rPr>
                <w:rFonts w:hAnsi="標楷體" w:cs="新細明體"/>
                <w:kern w:val="0"/>
                <w:sz w:val="24"/>
                <w:szCs w:val="24"/>
              </w:rPr>
              <w:t>500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5</w:t>
            </w:r>
            <w:r w:rsidRPr="00714BF6">
              <w:rPr>
                <w:rFonts w:hAnsi="標楷體" w:cs="新細明體" w:hint="eastAsia"/>
                <w:kern w:val="0"/>
                <w:sz w:val="24"/>
                <w:szCs w:val="24"/>
              </w:rPr>
              <w:t>,</w:t>
            </w:r>
            <w:r w:rsidRPr="00714BF6">
              <w:rPr>
                <w:rFonts w:hAnsi="標楷體" w:cs="新細明體"/>
                <w:kern w:val="0"/>
                <w:sz w:val="24"/>
                <w:szCs w:val="24"/>
              </w:rPr>
              <w:t>665</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5</w:t>
            </w:r>
            <w:r w:rsidRPr="00714BF6">
              <w:rPr>
                <w:rFonts w:hAnsi="標楷體" w:cs="新細明體" w:hint="eastAsia"/>
                <w:kern w:val="0"/>
                <w:sz w:val="24"/>
                <w:szCs w:val="24"/>
              </w:rPr>
              <w:t>,</w:t>
            </w:r>
            <w:r w:rsidRPr="00714BF6">
              <w:rPr>
                <w:rFonts w:hAnsi="標楷體" w:cs="新細明體"/>
                <w:kern w:val="0"/>
                <w:sz w:val="24"/>
                <w:szCs w:val="24"/>
              </w:rPr>
              <w:t>948</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8</w:t>
            </w:r>
            <w:r w:rsidRPr="00714BF6">
              <w:rPr>
                <w:rFonts w:hAnsi="標楷體" w:cs="新細明體" w:hint="eastAsia"/>
                <w:kern w:val="0"/>
                <w:sz w:val="24"/>
                <w:szCs w:val="24"/>
              </w:rPr>
              <w:t>,</w:t>
            </w:r>
            <w:r w:rsidRPr="00714BF6">
              <w:rPr>
                <w:rFonts w:hAnsi="標楷體" w:cs="新細明體"/>
                <w:kern w:val="0"/>
                <w:sz w:val="24"/>
                <w:szCs w:val="24"/>
              </w:rPr>
              <w:t>300</w:t>
            </w:r>
          </w:p>
        </w:tc>
        <w:tc>
          <w:tcPr>
            <w:tcW w:w="1095"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4</w:t>
            </w:r>
            <w:r w:rsidRPr="00714BF6">
              <w:rPr>
                <w:rFonts w:hAnsi="標楷體" w:cs="新細明體" w:hint="eastAsia"/>
                <w:kern w:val="0"/>
                <w:sz w:val="24"/>
                <w:szCs w:val="24"/>
              </w:rPr>
              <w:t>,</w:t>
            </w:r>
            <w:r w:rsidRPr="00714BF6">
              <w:rPr>
                <w:rFonts w:hAnsi="標楷體" w:cs="新細明體"/>
                <w:kern w:val="0"/>
                <w:sz w:val="24"/>
                <w:szCs w:val="24"/>
              </w:rPr>
              <w:t>668</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4</w:t>
            </w:r>
            <w:r w:rsidRPr="00714BF6">
              <w:rPr>
                <w:rFonts w:hAnsi="標楷體" w:cs="新細明體" w:hint="eastAsia"/>
                <w:kern w:val="0"/>
                <w:sz w:val="24"/>
                <w:szCs w:val="24"/>
              </w:rPr>
              <w:t>,</w:t>
            </w:r>
            <w:r w:rsidRPr="00714BF6">
              <w:rPr>
                <w:rFonts w:hAnsi="標楷體" w:cs="新細明體"/>
                <w:kern w:val="0"/>
                <w:sz w:val="24"/>
                <w:szCs w:val="24"/>
              </w:rPr>
              <w:t>668</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4</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4</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6</w:t>
            </w:r>
            <w:r w:rsidRPr="00714BF6">
              <w:rPr>
                <w:rFonts w:hAnsi="標楷體" w:cs="新細明體" w:hint="eastAsia"/>
                <w:kern w:val="0"/>
                <w:sz w:val="24"/>
                <w:szCs w:val="24"/>
              </w:rPr>
              <w:t>,</w:t>
            </w:r>
            <w:r w:rsidRPr="00714BF6">
              <w:rPr>
                <w:rFonts w:hAnsi="標楷體" w:cs="新細明體"/>
                <w:kern w:val="0"/>
                <w:sz w:val="24"/>
                <w:szCs w:val="24"/>
              </w:rPr>
              <w:t>000</w:t>
            </w:r>
          </w:p>
        </w:tc>
        <w:tc>
          <w:tcPr>
            <w:tcW w:w="1559"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48,749</w:t>
            </w:r>
          </w:p>
        </w:tc>
      </w:tr>
      <w:tr w:rsidR="00714BF6" w:rsidRPr="00714BF6" w:rsidTr="009B5DC2">
        <w:trPr>
          <w:trHeight w:val="385"/>
        </w:trPr>
        <w:tc>
          <w:tcPr>
            <w:tcW w:w="2502" w:type="dxa"/>
            <w:shd w:val="clear" w:color="auto" w:fill="auto"/>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國立臺灣海洋大學</w:t>
            </w:r>
          </w:p>
        </w:tc>
        <w:tc>
          <w:tcPr>
            <w:tcW w:w="1095" w:type="dxa"/>
            <w:shd w:val="clear" w:color="auto" w:fill="auto"/>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9</w:t>
            </w:r>
            <w:r w:rsidRPr="00714BF6">
              <w:rPr>
                <w:rFonts w:hAnsi="標楷體" w:cs="新細明體" w:hint="eastAsia"/>
                <w:kern w:val="0"/>
                <w:sz w:val="24"/>
                <w:szCs w:val="24"/>
              </w:rPr>
              <w:t>,</w:t>
            </w:r>
            <w:r w:rsidRPr="00714BF6">
              <w:rPr>
                <w:rFonts w:hAnsi="標楷體" w:cs="新細明體"/>
                <w:kern w:val="0"/>
                <w:sz w:val="24"/>
                <w:szCs w:val="24"/>
              </w:rPr>
              <w:t>100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6</w:t>
            </w:r>
            <w:r w:rsidRPr="00714BF6">
              <w:rPr>
                <w:rFonts w:hAnsi="標楷體" w:cs="新細明體" w:hint="eastAsia"/>
                <w:kern w:val="0"/>
                <w:sz w:val="24"/>
                <w:szCs w:val="24"/>
              </w:rPr>
              <w:t>,</w:t>
            </w:r>
            <w:r w:rsidRPr="00714BF6">
              <w:rPr>
                <w:rFonts w:hAnsi="標楷體" w:cs="新細明體"/>
                <w:kern w:val="0"/>
                <w:sz w:val="24"/>
                <w:szCs w:val="24"/>
              </w:rPr>
              <w:t>100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4</w:t>
            </w:r>
            <w:r w:rsidRPr="00714BF6">
              <w:rPr>
                <w:rFonts w:hAnsi="標楷體" w:cs="新細明體" w:hint="eastAsia"/>
                <w:kern w:val="0"/>
                <w:sz w:val="24"/>
                <w:szCs w:val="24"/>
              </w:rPr>
              <w:t>,</w:t>
            </w:r>
            <w:r w:rsidRPr="00714BF6">
              <w:rPr>
                <w:rFonts w:hAnsi="標楷體" w:cs="新細明體"/>
                <w:kern w:val="0"/>
                <w:sz w:val="24"/>
                <w:szCs w:val="24"/>
              </w:rPr>
              <w:t>935</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904</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600</w:t>
            </w:r>
          </w:p>
        </w:tc>
        <w:tc>
          <w:tcPr>
            <w:tcW w:w="1095"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4</w:t>
            </w:r>
            <w:r w:rsidRPr="00714BF6">
              <w:rPr>
                <w:rFonts w:hAnsi="標楷體" w:cs="新細明體" w:hint="eastAsia"/>
                <w:kern w:val="0"/>
                <w:sz w:val="24"/>
                <w:szCs w:val="24"/>
              </w:rPr>
              <w:t>,</w:t>
            </w:r>
            <w:r w:rsidRPr="00714BF6">
              <w:rPr>
                <w:rFonts w:hAnsi="標楷體" w:cs="新細明體"/>
                <w:kern w:val="0"/>
                <w:sz w:val="24"/>
                <w:szCs w:val="24"/>
              </w:rPr>
              <w:t>532</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4</w:t>
            </w:r>
            <w:r w:rsidRPr="00714BF6">
              <w:rPr>
                <w:rFonts w:hAnsi="標楷體" w:cs="新細明體" w:hint="eastAsia"/>
                <w:kern w:val="0"/>
                <w:sz w:val="24"/>
                <w:szCs w:val="24"/>
              </w:rPr>
              <w:t>,</w:t>
            </w:r>
            <w:r w:rsidRPr="00714BF6">
              <w:rPr>
                <w:rFonts w:hAnsi="標楷體" w:cs="新細明體"/>
                <w:kern w:val="0"/>
                <w:sz w:val="24"/>
                <w:szCs w:val="24"/>
              </w:rPr>
              <w:t>532</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4</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4</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4</w:t>
            </w:r>
            <w:r w:rsidRPr="00714BF6">
              <w:rPr>
                <w:rFonts w:hAnsi="標楷體" w:cs="新細明體" w:hint="eastAsia"/>
                <w:kern w:val="0"/>
                <w:sz w:val="24"/>
                <w:szCs w:val="24"/>
              </w:rPr>
              <w:t>,</w:t>
            </w:r>
            <w:r w:rsidRPr="00714BF6">
              <w:rPr>
                <w:rFonts w:hAnsi="標楷體" w:cs="新細明體"/>
                <w:kern w:val="0"/>
                <w:sz w:val="24"/>
                <w:szCs w:val="24"/>
              </w:rPr>
              <w:t>000</w:t>
            </w:r>
          </w:p>
        </w:tc>
        <w:tc>
          <w:tcPr>
            <w:tcW w:w="1559"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48,703</w:t>
            </w:r>
          </w:p>
        </w:tc>
      </w:tr>
      <w:tr w:rsidR="00714BF6" w:rsidRPr="00714BF6" w:rsidTr="009B5DC2">
        <w:trPr>
          <w:trHeight w:val="330"/>
        </w:trPr>
        <w:tc>
          <w:tcPr>
            <w:tcW w:w="2502" w:type="dxa"/>
            <w:shd w:val="clear" w:color="auto" w:fill="auto"/>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靜宜大學</w:t>
            </w:r>
          </w:p>
        </w:tc>
        <w:tc>
          <w:tcPr>
            <w:tcW w:w="1095"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5</w:t>
            </w:r>
            <w:r w:rsidRPr="00714BF6">
              <w:rPr>
                <w:rFonts w:hAnsi="標楷體" w:cs="新細明體" w:hint="eastAsia"/>
                <w:kern w:val="0"/>
                <w:sz w:val="24"/>
                <w:szCs w:val="24"/>
              </w:rPr>
              <w:t>,</w:t>
            </w:r>
            <w:r w:rsidRPr="00714BF6">
              <w:rPr>
                <w:rFonts w:hAnsi="標楷體" w:cs="新細明體"/>
                <w:kern w:val="0"/>
                <w:sz w:val="24"/>
                <w:szCs w:val="24"/>
              </w:rPr>
              <w:t>800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6</w:t>
            </w:r>
            <w:r w:rsidRPr="00714BF6">
              <w:rPr>
                <w:rFonts w:hAnsi="標楷體" w:cs="新細明體" w:hint="eastAsia"/>
                <w:kern w:val="0"/>
                <w:sz w:val="24"/>
                <w:szCs w:val="24"/>
              </w:rPr>
              <w:t>,</w:t>
            </w:r>
            <w:r w:rsidRPr="00714BF6">
              <w:rPr>
                <w:rFonts w:hAnsi="標楷體" w:cs="新細明體"/>
                <w:kern w:val="0"/>
                <w:sz w:val="24"/>
                <w:szCs w:val="24"/>
              </w:rPr>
              <w:t>250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5</w:t>
            </w:r>
            <w:r w:rsidRPr="00714BF6">
              <w:rPr>
                <w:rFonts w:hAnsi="標楷體" w:cs="新細明體" w:hint="eastAsia"/>
                <w:kern w:val="0"/>
                <w:sz w:val="24"/>
                <w:szCs w:val="24"/>
              </w:rPr>
              <w:t>,</w:t>
            </w:r>
            <w:r w:rsidRPr="00714BF6">
              <w:rPr>
                <w:rFonts w:hAnsi="標楷體" w:cs="新細明體"/>
                <w:kern w:val="0"/>
                <w:sz w:val="24"/>
                <w:szCs w:val="24"/>
              </w:rPr>
              <w:t>974</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10</w:t>
            </w:r>
            <w:r w:rsidRPr="00714BF6">
              <w:rPr>
                <w:rFonts w:hAnsi="標楷體" w:cs="新細明體" w:hint="eastAsia"/>
                <w:kern w:val="0"/>
                <w:sz w:val="24"/>
                <w:szCs w:val="24"/>
              </w:rPr>
              <w:t>,</w:t>
            </w:r>
            <w:r w:rsidRPr="00714BF6">
              <w:rPr>
                <w:rFonts w:hAnsi="標楷體" w:cs="新細明體"/>
                <w:kern w:val="0"/>
                <w:sz w:val="24"/>
                <w:szCs w:val="24"/>
              </w:rPr>
              <w:t>500</w:t>
            </w:r>
          </w:p>
        </w:tc>
        <w:tc>
          <w:tcPr>
            <w:tcW w:w="1095"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903</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903</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5</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5</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5</w:t>
            </w:r>
            <w:r w:rsidRPr="00714BF6">
              <w:rPr>
                <w:rFonts w:hAnsi="標楷體" w:cs="新細明體" w:hint="eastAsia"/>
                <w:kern w:val="0"/>
                <w:sz w:val="24"/>
                <w:szCs w:val="24"/>
              </w:rPr>
              <w:t>,</w:t>
            </w:r>
            <w:r w:rsidRPr="00714BF6">
              <w:rPr>
                <w:rFonts w:hAnsi="標楷體" w:cs="新細明體"/>
                <w:kern w:val="0"/>
                <w:sz w:val="24"/>
                <w:szCs w:val="24"/>
              </w:rPr>
              <w:t>000</w:t>
            </w:r>
          </w:p>
        </w:tc>
        <w:tc>
          <w:tcPr>
            <w:tcW w:w="1559"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51,330</w:t>
            </w:r>
          </w:p>
        </w:tc>
      </w:tr>
      <w:tr w:rsidR="00714BF6" w:rsidRPr="00714BF6" w:rsidTr="009B5DC2">
        <w:trPr>
          <w:trHeight w:val="330"/>
        </w:trPr>
        <w:tc>
          <w:tcPr>
            <w:tcW w:w="2502" w:type="dxa"/>
            <w:shd w:val="clear" w:color="auto" w:fill="auto"/>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國立中正大學</w:t>
            </w:r>
          </w:p>
        </w:tc>
        <w:tc>
          <w:tcPr>
            <w:tcW w:w="1095"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5</w:t>
            </w:r>
            <w:r w:rsidRPr="00714BF6">
              <w:rPr>
                <w:rFonts w:hAnsi="標楷體" w:cs="新細明體" w:hint="eastAsia"/>
                <w:kern w:val="0"/>
                <w:sz w:val="24"/>
                <w:szCs w:val="24"/>
              </w:rPr>
              <w:t>,</w:t>
            </w:r>
            <w:r w:rsidRPr="00714BF6">
              <w:rPr>
                <w:rFonts w:hAnsi="標楷體" w:cs="新細明體"/>
                <w:kern w:val="0"/>
                <w:sz w:val="24"/>
                <w:szCs w:val="24"/>
              </w:rPr>
              <w:t>800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6</w:t>
            </w:r>
            <w:r w:rsidRPr="00714BF6">
              <w:rPr>
                <w:rFonts w:hAnsi="標楷體" w:cs="新細明體" w:hint="eastAsia"/>
                <w:kern w:val="0"/>
                <w:sz w:val="24"/>
                <w:szCs w:val="24"/>
              </w:rPr>
              <w:t>,</w:t>
            </w:r>
            <w:r w:rsidRPr="00714BF6">
              <w:rPr>
                <w:rFonts w:hAnsi="標楷體" w:cs="新細明體"/>
                <w:kern w:val="0"/>
                <w:sz w:val="24"/>
                <w:szCs w:val="24"/>
              </w:rPr>
              <w:t>0</w:t>
            </w:r>
            <w:r w:rsidRPr="00714BF6">
              <w:rPr>
                <w:rFonts w:hAnsi="標楷體" w:cs="新細明體" w:hint="eastAsia"/>
                <w:kern w:val="0"/>
                <w:sz w:val="24"/>
                <w:szCs w:val="24"/>
              </w:rPr>
              <w:t>70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4</w:t>
            </w:r>
            <w:r w:rsidRPr="00714BF6">
              <w:rPr>
                <w:rFonts w:hAnsi="標楷體" w:cs="新細明體" w:hint="eastAsia"/>
                <w:kern w:val="0"/>
                <w:sz w:val="24"/>
                <w:szCs w:val="24"/>
              </w:rPr>
              <w:t>,</w:t>
            </w:r>
            <w:r w:rsidRPr="00714BF6">
              <w:rPr>
                <w:rFonts w:hAnsi="標楷體" w:cs="新細明體"/>
                <w:kern w:val="0"/>
                <w:sz w:val="24"/>
                <w:szCs w:val="24"/>
              </w:rPr>
              <w:t>640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8</w:t>
            </w:r>
            <w:r w:rsidRPr="00714BF6">
              <w:rPr>
                <w:rFonts w:hAnsi="標楷體" w:cs="新細明體" w:hint="eastAsia"/>
                <w:kern w:val="0"/>
                <w:sz w:val="24"/>
                <w:szCs w:val="24"/>
              </w:rPr>
              <w:t>,</w:t>
            </w:r>
            <w:r w:rsidRPr="00714BF6">
              <w:rPr>
                <w:rFonts w:hAnsi="標楷體" w:cs="新細明體"/>
                <w:kern w:val="0"/>
                <w:sz w:val="24"/>
                <w:szCs w:val="24"/>
              </w:rPr>
              <w:t>100</w:t>
            </w:r>
          </w:p>
        </w:tc>
        <w:tc>
          <w:tcPr>
            <w:tcW w:w="1095"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773</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773</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5</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5</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4</w:t>
            </w:r>
            <w:r w:rsidRPr="00714BF6">
              <w:rPr>
                <w:rFonts w:hAnsi="標楷體" w:cs="新細明體" w:hint="eastAsia"/>
                <w:kern w:val="0"/>
                <w:sz w:val="24"/>
                <w:szCs w:val="24"/>
              </w:rPr>
              <w:t>,</w:t>
            </w:r>
            <w:r w:rsidRPr="00714BF6">
              <w:rPr>
                <w:rFonts w:hAnsi="標楷體" w:cs="新細明體"/>
                <w:kern w:val="0"/>
                <w:sz w:val="24"/>
                <w:szCs w:val="24"/>
              </w:rPr>
              <w:t>000</w:t>
            </w:r>
          </w:p>
        </w:tc>
        <w:tc>
          <w:tcPr>
            <w:tcW w:w="1559"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46,156</w:t>
            </w:r>
          </w:p>
        </w:tc>
      </w:tr>
      <w:tr w:rsidR="00714BF6" w:rsidRPr="00714BF6" w:rsidTr="009B5DC2">
        <w:trPr>
          <w:trHeight w:val="330"/>
        </w:trPr>
        <w:tc>
          <w:tcPr>
            <w:tcW w:w="2502" w:type="dxa"/>
            <w:shd w:val="clear" w:color="auto" w:fill="auto"/>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淡江大學</w:t>
            </w:r>
          </w:p>
        </w:tc>
        <w:tc>
          <w:tcPr>
            <w:tcW w:w="1095" w:type="dxa"/>
            <w:shd w:val="clear" w:color="auto" w:fill="auto"/>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8</w:t>
            </w:r>
            <w:r w:rsidRPr="00714BF6">
              <w:rPr>
                <w:rFonts w:hAnsi="標楷體" w:cs="新細明體" w:hint="eastAsia"/>
                <w:kern w:val="0"/>
                <w:sz w:val="24"/>
                <w:szCs w:val="24"/>
              </w:rPr>
              <w:t>,</w:t>
            </w:r>
            <w:r w:rsidRPr="00714BF6">
              <w:rPr>
                <w:rFonts w:hAnsi="標楷體" w:cs="新細明體"/>
                <w:kern w:val="0"/>
                <w:sz w:val="24"/>
                <w:szCs w:val="24"/>
              </w:rPr>
              <w:t>400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8</w:t>
            </w:r>
            <w:r w:rsidRPr="00714BF6">
              <w:rPr>
                <w:rFonts w:hAnsi="標楷體" w:cs="新細明體" w:hint="eastAsia"/>
                <w:kern w:val="0"/>
                <w:sz w:val="24"/>
                <w:szCs w:val="24"/>
              </w:rPr>
              <w:t>,</w:t>
            </w:r>
            <w:r w:rsidRPr="00714BF6">
              <w:rPr>
                <w:rFonts w:hAnsi="標楷體" w:cs="新細明體"/>
                <w:kern w:val="0"/>
                <w:sz w:val="24"/>
                <w:szCs w:val="24"/>
              </w:rPr>
              <w:t>825</w:t>
            </w:r>
          </w:p>
        </w:tc>
        <w:tc>
          <w:tcPr>
            <w:tcW w:w="1096" w:type="dxa"/>
            <w:shd w:val="clear" w:color="auto" w:fill="auto"/>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600</w:t>
            </w:r>
          </w:p>
        </w:tc>
        <w:tc>
          <w:tcPr>
            <w:tcW w:w="1095"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4</w:t>
            </w:r>
            <w:r w:rsidRPr="00714BF6">
              <w:rPr>
                <w:rFonts w:hAnsi="標楷體" w:cs="新細明體" w:hint="eastAsia"/>
                <w:kern w:val="0"/>
                <w:sz w:val="24"/>
                <w:szCs w:val="24"/>
              </w:rPr>
              <w:t>,</w:t>
            </w:r>
            <w:r w:rsidRPr="00714BF6">
              <w:rPr>
                <w:rFonts w:hAnsi="標楷體" w:cs="新細明體"/>
                <w:kern w:val="0"/>
                <w:sz w:val="24"/>
                <w:szCs w:val="24"/>
              </w:rPr>
              <w:t>510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4</w:t>
            </w:r>
            <w:r w:rsidRPr="00714BF6">
              <w:rPr>
                <w:rFonts w:hAnsi="標楷體" w:cs="新細明體" w:hint="eastAsia"/>
                <w:kern w:val="0"/>
                <w:sz w:val="24"/>
                <w:szCs w:val="24"/>
              </w:rPr>
              <w:t>,</w:t>
            </w:r>
            <w:r w:rsidRPr="00714BF6">
              <w:rPr>
                <w:rFonts w:hAnsi="標楷體" w:cs="新細明體"/>
                <w:kern w:val="0"/>
                <w:sz w:val="24"/>
                <w:szCs w:val="24"/>
              </w:rPr>
              <w:t>510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5</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5</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5</w:t>
            </w:r>
            <w:r w:rsidRPr="00714BF6">
              <w:rPr>
                <w:rFonts w:hAnsi="標楷體" w:cs="新細明體" w:hint="eastAsia"/>
                <w:kern w:val="0"/>
                <w:sz w:val="24"/>
                <w:szCs w:val="24"/>
              </w:rPr>
              <w:t>,</w:t>
            </w:r>
            <w:r w:rsidRPr="00714BF6">
              <w:rPr>
                <w:rFonts w:hAnsi="標楷體" w:cs="新細明體"/>
                <w:kern w:val="0"/>
                <w:sz w:val="24"/>
                <w:szCs w:val="24"/>
              </w:rPr>
              <w:t>000</w:t>
            </w:r>
          </w:p>
        </w:tc>
        <w:tc>
          <w:tcPr>
            <w:tcW w:w="1559"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44,845</w:t>
            </w:r>
          </w:p>
        </w:tc>
      </w:tr>
      <w:tr w:rsidR="00714BF6" w:rsidRPr="00714BF6" w:rsidTr="009B5DC2">
        <w:trPr>
          <w:trHeight w:val="330"/>
        </w:trPr>
        <w:tc>
          <w:tcPr>
            <w:tcW w:w="2502" w:type="dxa"/>
            <w:shd w:val="clear" w:color="auto" w:fill="auto"/>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國立東華大學</w:t>
            </w:r>
          </w:p>
        </w:tc>
        <w:tc>
          <w:tcPr>
            <w:tcW w:w="1095" w:type="dxa"/>
            <w:shd w:val="clear" w:color="auto" w:fill="auto"/>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4</w:t>
            </w:r>
            <w:r w:rsidRPr="00714BF6">
              <w:rPr>
                <w:rFonts w:hAnsi="標楷體" w:cs="新細明體" w:hint="eastAsia"/>
                <w:kern w:val="0"/>
                <w:sz w:val="24"/>
                <w:szCs w:val="24"/>
              </w:rPr>
              <w:t>,</w:t>
            </w:r>
            <w:r w:rsidRPr="00714BF6">
              <w:rPr>
                <w:rFonts w:hAnsi="標楷體" w:cs="新細明體"/>
                <w:kern w:val="0"/>
                <w:sz w:val="24"/>
                <w:szCs w:val="24"/>
              </w:rPr>
              <w:t>500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7</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6</w:t>
            </w:r>
            <w:r w:rsidRPr="00714BF6">
              <w:rPr>
                <w:rFonts w:hAnsi="標楷體" w:cs="新細明體" w:hint="eastAsia"/>
                <w:kern w:val="0"/>
                <w:sz w:val="24"/>
                <w:szCs w:val="24"/>
              </w:rPr>
              <w:t>,</w:t>
            </w:r>
            <w:r w:rsidRPr="00714BF6">
              <w:rPr>
                <w:rFonts w:hAnsi="標楷體" w:cs="新細明體"/>
                <w:kern w:val="0"/>
                <w:sz w:val="24"/>
                <w:szCs w:val="24"/>
              </w:rPr>
              <w:t>41</w:t>
            </w:r>
            <w:r w:rsidRPr="00714BF6">
              <w:rPr>
                <w:rFonts w:hAnsi="標楷體" w:cs="新細明體" w:hint="eastAsia"/>
                <w:kern w:val="0"/>
                <w:sz w:val="24"/>
                <w:szCs w:val="24"/>
              </w:rPr>
              <w:t>2</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6</w:t>
            </w:r>
            <w:r w:rsidRPr="00714BF6">
              <w:rPr>
                <w:rFonts w:hAnsi="標楷體" w:cs="新細明體" w:hint="eastAsia"/>
                <w:kern w:val="0"/>
                <w:sz w:val="24"/>
                <w:szCs w:val="24"/>
              </w:rPr>
              <w:t>,</w:t>
            </w:r>
            <w:r w:rsidRPr="00714BF6">
              <w:rPr>
                <w:rFonts w:hAnsi="標楷體" w:cs="新細明體"/>
                <w:kern w:val="0"/>
                <w:sz w:val="24"/>
                <w:szCs w:val="24"/>
              </w:rPr>
              <w:t>855</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600</w:t>
            </w:r>
          </w:p>
        </w:tc>
        <w:tc>
          <w:tcPr>
            <w:tcW w:w="1095"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761</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761</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4</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4</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559"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43,889</w:t>
            </w:r>
          </w:p>
        </w:tc>
      </w:tr>
      <w:tr w:rsidR="00714BF6" w:rsidRPr="00714BF6" w:rsidTr="009B5DC2">
        <w:trPr>
          <w:trHeight w:val="330"/>
        </w:trPr>
        <w:tc>
          <w:tcPr>
            <w:tcW w:w="2502" w:type="dxa"/>
            <w:shd w:val="clear" w:color="auto" w:fill="auto"/>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華</w:t>
            </w:r>
            <w:proofErr w:type="gramStart"/>
            <w:r w:rsidRPr="00714BF6">
              <w:rPr>
                <w:rFonts w:hAnsi="標楷體" w:cs="新細明體" w:hint="eastAsia"/>
                <w:b/>
                <w:kern w:val="0"/>
                <w:sz w:val="24"/>
                <w:szCs w:val="24"/>
              </w:rPr>
              <w:t>梵</w:t>
            </w:r>
            <w:proofErr w:type="gramEnd"/>
            <w:r w:rsidRPr="00714BF6">
              <w:rPr>
                <w:rFonts w:hAnsi="標楷體" w:cs="新細明體" w:hint="eastAsia"/>
                <w:b/>
                <w:kern w:val="0"/>
                <w:sz w:val="24"/>
                <w:szCs w:val="24"/>
              </w:rPr>
              <w:t>大學</w:t>
            </w:r>
          </w:p>
        </w:tc>
        <w:tc>
          <w:tcPr>
            <w:tcW w:w="1095"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5</w:t>
            </w:r>
            <w:r w:rsidRPr="00714BF6">
              <w:rPr>
                <w:rFonts w:hAnsi="標楷體" w:cs="新細明體" w:hint="eastAsia"/>
                <w:kern w:val="0"/>
                <w:sz w:val="24"/>
                <w:szCs w:val="24"/>
              </w:rPr>
              <w:t>,</w:t>
            </w:r>
            <w:r w:rsidRPr="00714BF6">
              <w:rPr>
                <w:rFonts w:hAnsi="標楷體" w:cs="新細明體"/>
                <w:kern w:val="0"/>
                <w:sz w:val="24"/>
                <w:szCs w:val="24"/>
              </w:rPr>
              <w:t>500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4</w:t>
            </w:r>
            <w:r w:rsidRPr="00714BF6">
              <w:rPr>
                <w:rFonts w:hAnsi="標楷體" w:cs="新細明體" w:hint="eastAsia"/>
                <w:kern w:val="0"/>
                <w:sz w:val="24"/>
                <w:szCs w:val="24"/>
              </w:rPr>
              <w:t>,</w:t>
            </w:r>
            <w:r w:rsidRPr="00714BF6">
              <w:rPr>
                <w:rFonts w:hAnsi="標楷體" w:cs="新細明體"/>
                <w:kern w:val="0"/>
                <w:sz w:val="24"/>
                <w:szCs w:val="24"/>
              </w:rPr>
              <w:t>950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5</w:t>
            </w:r>
            <w:r w:rsidRPr="00714BF6">
              <w:rPr>
                <w:rFonts w:hAnsi="標楷體" w:cs="新細明體" w:hint="eastAsia"/>
                <w:kern w:val="0"/>
                <w:sz w:val="24"/>
                <w:szCs w:val="24"/>
              </w:rPr>
              <w:t>,</w:t>
            </w:r>
            <w:r w:rsidRPr="00714BF6">
              <w:rPr>
                <w:rFonts w:hAnsi="標楷體" w:cs="新細明體"/>
                <w:kern w:val="0"/>
                <w:sz w:val="24"/>
                <w:szCs w:val="24"/>
              </w:rPr>
              <w:t>09</w:t>
            </w:r>
            <w:r w:rsidRPr="00714BF6">
              <w:rPr>
                <w:rFonts w:hAnsi="標楷體" w:cs="新細明體" w:hint="eastAsia"/>
                <w:kern w:val="0"/>
                <w:sz w:val="24"/>
                <w:szCs w:val="24"/>
              </w:rPr>
              <w:t>9</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500</w:t>
            </w:r>
          </w:p>
        </w:tc>
        <w:tc>
          <w:tcPr>
            <w:tcW w:w="1095"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761</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761</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4</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4</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559"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34,571</w:t>
            </w:r>
          </w:p>
        </w:tc>
      </w:tr>
      <w:tr w:rsidR="00714BF6" w:rsidRPr="00714BF6" w:rsidTr="009B5DC2">
        <w:trPr>
          <w:trHeight w:val="330"/>
        </w:trPr>
        <w:tc>
          <w:tcPr>
            <w:tcW w:w="2502" w:type="dxa"/>
            <w:shd w:val="clear" w:color="auto" w:fill="auto"/>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慈濟大學</w:t>
            </w:r>
          </w:p>
        </w:tc>
        <w:tc>
          <w:tcPr>
            <w:tcW w:w="1095"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4</w:t>
            </w:r>
            <w:r w:rsidRPr="00714BF6">
              <w:rPr>
                <w:rFonts w:hAnsi="標楷體" w:cs="新細明體" w:hint="eastAsia"/>
                <w:kern w:val="0"/>
                <w:sz w:val="24"/>
                <w:szCs w:val="24"/>
              </w:rPr>
              <w:t>,</w:t>
            </w:r>
            <w:r w:rsidRPr="00714BF6">
              <w:rPr>
                <w:rFonts w:hAnsi="標楷體" w:cs="新細明體"/>
                <w:kern w:val="0"/>
                <w:sz w:val="24"/>
                <w:szCs w:val="24"/>
              </w:rPr>
              <w:t>195</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7</w:t>
            </w:r>
            <w:r w:rsidRPr="00714BF6">
              <w:rPr>
                <w:rFonts w:hAnsi="標楷體" w:cs="新細明體" w:hint="eastAsia"/>
                <w:kern w:val="0"/>
                <w:sz w:val="24"/>
                <w:szCs w:val="24"/>
              </w:rPr>
              <w:t>,</w:t>
            </w:r>
            <w:r w:rsidRPr="00714BF6">
              <w:rPr>
                <w:rFonts w:hAnsi="標楷體" w:cs="新細明體"/>
                <w:kern w:val="0"/>
                <w:sz w:val="24"/>
                <w:szCs w:val="24"/>
              </w:rPr>
              <w:t>700</w:t>
            </w:r>
          </w:p>
        </w:tc>
        <w:tc>
          <w:tcPr>
            <w:tcW w:w="1095"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793</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793</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5</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5</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4</w:t>
            </w:r>
            <w:r w:rsidRPr="00714BF6">
              <w:rPr>
                <w:rFonts w:hAnsi="標楷體" w:cs="新細明體" w:hint="eastAsia"/>
                <w:kern w:val="0"/>
                <w:sz w:val="24"/>
                <w:szCs w:val="24"/>
              </w:rPr>
              <w:t>,</w:t>
            </w:r>
            <w:r w:rsidRPr="00714BF6">
              <w:rPr>
                <w:rFonts w:hAnsi="標楷體" w:cs="新細明體"/>
                <w:kern w:val="0"/>
                <w:sz w:val="24"/>
                <w:szCs w:val="24"/>
              </w:rPr>
              <w:t>000</w:t>
            </w:r>
          </w:p>
        </w:tc>
        <w:tc>
          <w:tcPr>
            <w:tcW w:w="1559"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33,481</w:t>
            </w:r>
          </w:p>
        </w:tc>
      </w:tr>
      <w:tr w:rsidR="00714BF6" w:rsidRPr="00714BF6" w:rsidTr="009B5DC2">
        <w:trPr>
          <w:trHeight w:val="330"/>
        </w:trPr>
        <w:tc>
          <w:tcPr>
            <w:tcW w:w="2502" w:type="dxa"/>
            <w:shd w:val="clear" w:color="auto" w:fill="auto"/>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大葉大學</w:t>
            </w:r>
          </w:p>
        </w:tc>
        <w:tc>
          <w:tcPr>
            <w:tcW w:w="1095"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5</w:t>
            </w:r>
            <w:r w:rsidRPr="00714BF6">
              <w:rPr>
                <w:rFonts w:hAnsi="標楷體" w:cs="新細明體" w:hint="eastAsia"/>
                <w:kern w:val="0"/>
                <w:sz w:val="24"/>
                <w:szCs w:val="24"/>
              </w:rPr>
              <w:t>,</w:t>
            </w:r>
            <w:r w:rsidRPr="00714BF6">
              <w:rPr>
                <w:rFonts w:hAnsi="標楷體" w:cs="新細明體"/>
                <w:kern w:val="0"/>
                <w:sz w:val="24"/>
                <w:szCs w:val="24"/>
              </w:rPr>
              <w:t>500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500</w:t>
            </w:r>
          </w:p>
        </w:tc>
        <w:tc>
          <w:tcPr>
            <w:tcW w:w="1095"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293</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293</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5</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5</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6</w:t>
            </w:r>
            <w:r w:rsidRPr="00714BF6">
              <w:rPr>
                <w:rFonts w:hAnsi="標楷體" w:cs="新細明體" w:hint="eastAsia"/>
                <w:kern w:val="0"/>
                <w:sz w:val="24"/>
                <w:szCs w:val="24"/>
              </w:rPr>
              <w:t>,</w:t>
            </w:r>
            <w:r w:rsidRPr="00714BF6">
              <w:rPr>
                <w:rFonts w:hAnsi="標楷體" w:cs="新細明體"/>
                <w:kern w:val="0"/>
                <w:sz w:val="24"/>
                <w:szCs w:val="24"/>
              </w:rPr>
              <w:t>000</w:t>
            </w:r>
          </w:p>
        </w:tc>
        <w:tc>
          <w:tcPr>
            <w:tcW w:w="1559"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31,586</w:t>
            </w:r>
          </w:p>
        </w:tc>
      </w:tr>
      <w:tr w:rsidR="00714BF6" w:rsidRPr="00714BF6" w:rsidTr="009B5DC2">
        <w:trPr>
          <w:trHeight w:val="314"/>
        </w:trPr>
        <w:tc>
          <w:tcPr>
            <w:tcW w:w="2502" w:type="dxa"/>
            <w:shd w:val="clear" w:color="auto" w:fill="auto"/>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國立高雄師範大學</w:t>
            </w:r>
          </w:p>
        </w:tc>
        <w:tc>
          <w:tcPr>
            <w:tcW w:w="1095"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4</w:t>
            </w:r>
            <w:r w:rsidRPr="00714BF6">
              <w:rPr>
                <w:rFonts w:hAnsi="標楷體" w:cs="新細明體" w:hint="eastAsia"/>
                <w:kern w:val="0"/>
                <w:sz w:val="24"/>
                <w:szCs w:val="24"/>
              </w:rPr>
              <w:t>,</w:t>
            </w:r>
            <w:r w:rsidRPr="00714BF6">
              <w:rPr>
                <w:rFonts w:hAnsi="標楷體" w:cs="新細明體"/>
                <w:kern w:val="0"/>
                <w:sz w:val="24"/>
                <w:szCs w:val="24"/>
              </w:rPr>
              <w:t>800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5</w:t>
            </w:r>
            <w:r w:rsidRPr="00714BF6">
              <w:rPr>
                <w:rFonts w:hAnsi="標楷體" w:cs="新細明體" w:hint="eastAsia"/>
                <w:kern w:val="0"/>
                <w:sz w:val="24"/>
                <w:szCs w:val="24"/>
              </w:rPr>
              <w:t>,</w:t>
            </w:r>
            <w:r w:rsidRPr="00714BF6">
              <w:rPr>
                <w:rFonts w:hAnsi="標楷體" w:cs="新細明體"/>
                <w:kern w:val="0"/>
                <w:sz w:val="24"/>
                <w:szCs w:val="24"/>
              </w:rPr>
              <w:t>10</w:t>
            </w:r>
            <w:r w:rsidRPr="00714BF6">
              <w:rPr>
                <w:rFonts w:hAnsi="標楷體" w:cs="新細明體" w:hint="eastAsia"/>
                <w:kern w:val="0"/>
                <w:sz w:val="24"/>
                <w:szCs w:val="24"/>
              </w:rPr>
              <w:t>7</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4</w:t>
            </w:r>
            <w:r w:rsidRPr="00714BF6">
              <w:rPr>
                <w:rFonts w:hAnsi="標楷體" w:cs="新細明體" w:hint="eastAsia"/>
                <w:kern w:val="0"/>
                <w:sz w:val="24"/>
                <w:szCs w:val="24"/>
              </w:rPr>
              <w:t>,</w:t>
            </w:r>
            <w:r w:rsidRPr="00714BF6">
              <w:rPr>
                <w:rFonts w:hAnsi="標楷體" w:cs="新細明體"/>
                <w:kern w:val="0"/>
                <w:sz w:val="24"/>
                <w:szCs w:val="24"/>
              </w:rPr>
              <w:t>4</w:t>
            </w:r>
            <w:r w:rsidRPr="00714BF6">
              <w:rPr>
                <w:rFonts w:hAnsi="標楷體" w:cs="新細明體" w:hint="eastAsia"/>
                <w:kern w:val="0"/>
                <w:sz w:val="24"/>
                <w:szCs w:val="24"/>
              </w:rPr>
              <w:t>50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400</w:t>
            </w:r>
          </w:p>
        </w:tc>
        <w:tc>
          <w:tcPr>
            <w:tcW w:w="1095"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380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380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559"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30,516</w:t>
            </w:r>
          </w:p>
        </w:tc>
      </w:tr>
      <w:tr w:rsidR="00714BF6" w:rsidRPr="00714BF6" w:rsidTr="009B5DC2">
        <w:trPr>
          <w:trHeight w:val="330"/>
        </w:trPr>
        <w:tc>
          <w:tcPr>
            <w:tcW w:w="2502" w:type="dxa"/>
            <w:shd w:val="clear" w:color="auto" w:fill="auto"/>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義守大學</w:t>
            </w:r>
          </w:p>
        </w:tc>
        <w:tc>
          <w:tcPr>
            <w:tcW w:w="1095"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5</w:t>
            </w:r>
            <w:r w:rsidRPr="00714BF6">
              <w:rPr>
                <w:rFonts w:hAnsi="標楷體" w:cs="新細明體" w:hint="eastAsia"/>
                <w:kern w:val="0"/>
                <w:sz w:val="24"/>
                <w:szCs w:val="24"/>
              </w:rPr>
              <w:t>,</w:t>
            </w:r>
            <w:r w:rsidRPr="00714BF6">
              <w:rPr>
                <w:rFonts w:hAnsi="標楷體" w:cs="新細明體"/>
                <w:kern w:val="0"/>
                <w:sz w:val="24"/>
                <w:szCs w:val="24"/>
              </w:rPr>
              <w:t>630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5</w:t>
            </w:r>
            <w:r w:rsidRPr="00714BF6">
              <w:rPr>
                <w:rFonts w:hAnsi="標楷體" w:cs="新細明體" w:hint="eastAsia"/>
                <w:kern w:val="0"/>
                <w:sz w:val="24"/>
                <w:szCs w:val="24"/>
              </w:rPr>
              <w:t>,</w:t>
            </w:r>
            <w:r w:rsidRPr="00714BF6">
              <w:rPr>
                <w:rFonts w:hAnsi="標楷體" w:cs="新細明體"/>
                <w:kern w:val="0"/>
                <w:sz w:val="24"/>
                <w:szCs w:val="24"/>
              </w:rPr>
              <w:t>800</w:t>
            </w:r>
          </w:p>
        </w:tc>
        <w:tc>
          <w:tcPr>
            <w:tcW w:w="1095"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272</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272</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4</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4</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4</w:t>
            </w:r>
            <w:r w:rsidRPr="00714BF6">
              <w:rPr>
                <w:rFonts w:hAnsi="標楷體" w:cs="新細明體" w:hint="eastAsia"/>
                <w:kern w:val="0"/>
                <w:sz w:val="24"/>
                <w:szCs w:val="24"/>
              </w:rPr>
              <w:t>,</w:t>
            </w:r>
            <w:r w:rsidRPr="00714BF6">
              <w:rPr>
                <w:rFonts w:hAnsi="標楷體" w:cs="新細明體"/>
                <w:kern w:val="0"/>
                <w:sz w:val="24"/>
                <w:szCs w:val="24"/>
              </w:rPr>
              <w:t>000</w:t>
            </w:r>
          </w:p>
        </w:tc>
        <w:tc>
          <w:tcPr>
            <w:tcW w:w="1559"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29,974</w:t>
            </w:r>
          </w:p>
        </w:tc>
      </w:tr>
      <w:tr w:rsidR="00714BF6" w:rsidRPr="00714BF6" w:rsidTr="009B5DC2">
        <w:trPr>
          <w:trHeight w:val="357"/>
        </w:trPr>
        <w:tc>
          <w:tcPr>
            <w:tcW w:w="2502" w:type="dxa"/>
            <w:shd w:val="clear" w:color="auto" w:fill="auto"/>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國立彰化師範大學</w:t>
            </w:r>
          </w:p>
        </w:tc>
        <w:tc>
          <w:tcPr>
            <w:tcW w:w="1095"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4</w:t>
            </w:r>
            <w:r w:rsidRPr="00714BF6">
              <w:rPr>
                <w:rFonts w:hAnsi="標楷體" w:cs="新細明體" w:hint="eastAsia"/>
                <w:kern w:val="0"/>
                <w:sz w:val="24"/>
                <w:szCs w:val="24"/>
              </w:rPr>
              <w:t>,</w:t>
            </w:r>
            <w:r w:rsidRPr="00714BF6">
              <w:rPr>
                <w:rFonts w:hAnsi="標楷體" w:cs="新細明體"/>
                <w:kern w:val="0"/>
                <w:sz w:val="24"/>
                <w:szCs w:val="24"/>
              </w:rPr>
              <w:t>410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74</w:t>
            </w:r>
            <w:r w:rsidRPr="00714BF6">
              <w:rPr>
                <w:rFonts w:hAnsi="標楷體" w:cs="新細明體" w:hint="eastAsia"/>
                <w:kern w:val="0"/>
                <w:sz w:val="24"/>
                <w:szCs w:val="24"/>
              </w:rPr>
              <w:t>9</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4</w:t>
            </w:r>
            <w:r w:rsidRPr="00714BF6">
              <w:rPr>
                <w:rFonts w:hAnsi="標楷體" w:cs="新細明體" w:hint="eastAsia"/>
                <w:kern w:val="0"/>
                <w:sz w:val="24"/>
                <w:szCs w:val="24"/>
              </w:rPr>
              <w:t>,</w:t>
            </w:r>
            <w:r w:rsidRPr="00714BF6">
              <w:rPr>
                <w:rFonts w:hAnsi="標楷體" w:cs="新細明體"/>
                <w:kern w:val="0"/>
                <w:sz w:val="24"/>
                <w:szCs w:val="24"/>
              </w:rPr>
              <w:t>400</w:t>
            </w:r>
          </w:p>
        </w:tc>
        <w:tc>
          <w:tcPr>
            <w:tcW w:w="1095"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861</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861</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000</w:t>
            </w:r>
          </w:p>
        </w:tc>
        <w:tc>
          <w:tcPr>
            <w:tcW w:w="1559"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29,281</w:t>
            </w:r>
          </w:p>
        </w:tc>
      </w:tr>
      <w:tr w:rsidR="00714BF6" w:rsidRPr="00714BF6" w:rsidTr="009B5DC2">
        <w:trPr>
          <w:trHeight w:val="278"/>
        </w:trPr>
        <w:tc>
          <w:tcPr>
            <w:tcW w:w="2502" w:type="dxa"/>
            <w:shd w:val="clear" w:color="auto" w:fill="auto"/>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國立暨南國際大學</w:t>
            </w:r>
          </w:p>
        </w:tc>
        <w:tc>
          <w:tcPr>
            <w:tcW w:w="1095" w:type="dxa"/>
            <w:shd w:val="clear" w:color="auto" w:fill="auto"/>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9</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6</w:t>
            </w:r>
            <w:r w:rsidRPr="00714BF6">
              <w:rPr>
                <w:rFonts w:hAnsi="標楷體" w:cs="新細明體" w:hint="eastAsia"/>
                <w:kern w:val="0"/>
                <w:sz w:val="24"/>
                <w:szCs w:val="24"/>
              </w:rPr>
              <w:t>,</w:t>
            </w:r>
            <w:r w:rsidRPr="00714BF6">
              <w:rPr>
                <w:rFonts w:hAnsi="標楷體" w:cs="新細明體"/>
                <w:kern w:val="0"/>
                <w:sz w:val="24"/>
                <w:szCs w:val="24"/>
              </w:rPr>
              <w:t>200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4</w:t>
            </w:r>
            <w:r w:rsidRPr="00714BF6">
              <w:rPr>
                <w:rFonts w:hAnsi="標楷體" w:cs="新細明體" w:hint="eastAsia"/>
                <w:kern w:val="0"/>
                <w:sz w:val="24"/>
                <w:szCs w:val="24"/>
              </w:rPr>
              <w:t>,</w:t>
            </w:r>
            <w:r w:rsidRPr="00714BF6">
              <w:rPr>
                <w:rFonts w:hAnsi="標楷體" w:cs="新細明體"/>
                <w:kern w:val="0"/>
                <w:sz w:val="24"/>
                <w:szCs w:val="24"/>
              </w:rPr>
              <w:t>960</w:t>
            </w:r>
          </w:p>
        </w:tc>
        <w:tc>
          <w:tcPr>
            <w:tcW w:w="1096" w:type="dxa"/>
            <w:shd w:val="clear" w:color="auto" w:fill="auto"/>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5"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559"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26,160</w:t>
            </w:r>
          </w:p>
        </w:tc>
      </w:tr>
      <w:tr w:rsidR="00714BF6" w:rsidRPr="00714BF6" w:rsidTr="009B5DC2">
        <w:trPr>
          <w:trHeight w:val="330"/>
        </w:trPr>
        <w:tc>
          <w:tcPr>
            <w:tcW w:w="2502" w:type="dxa"/>
            <w:shd w:val="clear" w:color="auto" w:fill="auto"/>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lastRenderedPageBreak/>
              <w:t>國立</w:t>
            </w:r>
            <w:proofErr w:type="gramStart"/>
            <w:r w:rsidRPr="00714BF6">
              <w:rPr>
                <w:rFonts w:hAnsi="標楷體" w:cs="新細明體" w:hint="eastAsia"/>
                <w:b/>
                <w:kern w:val="0"/>
                <w:sz w:val="24"/>
                <w:szCs w:val="24"/>
              </w:rPr>
              <w:t>臺</w:t>
            </w:r>
            <w:proofErr w:type="gramEnd"/>
            <w:r w:rsidRPr="00714BF6">
              <w:rPr>
                <w:rFonts w:hAnsi="標楷體" w:cs="新細明體" w:hint="eastAsia"/>
                <w:b/>
                <w:kern w:val="0"/>
                <w:sz w:val="24"/>
                <w:szCs w:val="24"/>
              </w:rPr>
              <w:t>北大學</w:t>
            </w:r>
          </w:p>
        </w:tc>
        <w:tc>
          <w:tcPr>
            <w:tcW w:w="1095" w:type="dxa"/>
            <w:shd w:val="clear" w:color="auto" w:fill="auto"/>
            <w:noWrap/>
            <w:vAlign w:val="center"/>
            <w:hideMark/>
          </w:tcPr>
          <w:p w:rsidR="00BD7E9C" w:rsidRPr="00714BF6" w:rsidRDefault="00BD7E9C" w:rsidP="009B5DC2">
            <w:pPr>
              <w:spacing w:line="240" w:lineRule="exact"/>
              <w:jc w:val="center"/>
              <w:rPr>
                <w:rFonts w:hAnsi="標楷體"/>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2</w:t>
            </w:r>
            <w:r w:rsidRPr="00714BF6">
              <w:rPr>
                <w:rFonts w:hAnsi="標楷體" w:cs="新細明體" w:hint="eastAsia"/>
                <w:kern w:val="0"/>
                <w:sz w:val="24"/>
                <w:szCs w:val="24"/>
              </w:rPr>
              <w:t>,</w:t>
            </w:r>
            <w:r w:rsidRPr="00714BF6">
              <w:rPr>
                <w:rFonts w:hAnsi="標楷體" w:cs="新細明體"/>
                <w:kern w:val="0"/>
                <w:sz w:val="24"/>
                <w:szCs w:val="24"/>
              </w:rPr>
              <w:t>800</w:t>
            </w:r>
          </w:p>
        </w:tc>
        <w:tc>
          <w:tcPr>
            <w:tcW w:w="1095"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500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500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5</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5</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6</w:t>
            </w:r>
            <w:r w:rsidRPr="00714BF6">
              <w:rPr>
                <w:rFonts w:hAnsi="標楷體" w:cs="新細明體" w:hint="eastAsia"/>
                <w:kern w:val="0"/>
                <w:sz w:val="24"/>
                <w:szCs w:val="24"/>
              </w:rPr>
              <w:t>,</w:t>
            </w:r>
            <w:r w:rsidRPr="00714BF6">
              <w:rPr>
                <w:rFonts w:hAnsi="標楷體" w:cs="新細明體"/>
                <w:kern w:val="0"/>
                <w:sz w:val="24"/>
                <w:szCs w:val="24"/>
              </w:rPr>
              <w:t>000</w:t>
            </w:r>
          </w:p>
        </w:tc>
        <w:tc>
          <w:tcPr>
            <w:tcW w:w="1559"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25,800</w:t>
            </w:r>
          </w:p>
        </w:tc>
      </w:tr>
      <w:tr w:rsidR="00714BF6" w:rsidRPr="00714BF6" w:rsidTr="009B5DC2">
        <w:trPr>
          <w:trHeight w:val="330"/>
        </w:trPr>
        <w:tc>
          <w:tcPr>
            <w:tcW w:w="2502" w:type="dxa"/>
            <w:shd w:val="clear" w:color="auto" w:fill="auto"/>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國立嘉義大學</w:t>
            </w:r>
          </w:p>
        </w:tc>
        <w:tc>
          <w:tcPr>
            <w:tcW w:w="1095" w:type="dxa"/>
            <w:shd w:val="clear" w:color="auto" w:fill="auto"/>
            <w:noWrap/>
            <w:vAlign w:val="center"/>
            <w:hideMark/>
          </w:tcPr>
          <w:p w:rsidR="00BD7E9C" w:rsidRPr="00714BF6" w:rsidRDefault="00BD7E9C" w:rsidP="009B5DC2">
            <w:pPr>
              <w:spacing w:line="240" w:lineRule="exact"/>
              <w:jc w:val="center"/>
              <w:rPr>
                <w:rFonts w:hAnsi="標楷體"/>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5</w:t>
            </w:r>
            <w:r w:rsidRPr="00714BF6">
              <w:rPr>
                <w:rFonts w:hAnsi="標楷體" w:cs="新細明體" w:hint="eastAsia"/>
                <w:kern w:val="0"/>
                <w:sz w:val="24"/>
                <w:szCs w:val="24"/>
              </w:rPr>
              <w:t>,</w:t>
            </w:r>
            <w:r w:rsidRPr="00714BF6">
              <w:rPr>
                <w:rFonts w:hAnsi="標楷體" w:cs="新細明體"/>
                <w:kern w:val="0"/>
                <w:sz w:val="24"/>
                <w:szCs w:val="24"/>
              </w:rPr>
              <w:t>800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6</w:t>
            </w:r>
            <w:r w:rsidRPr="00714BF6">
              <w:rPr>
                <w:rFonts w:hAnsi="標楷體" w:cs="新細明體" w:hint="eastAsia"/>
                <w:kern w:val="0"/>
                <w:sz w:val="24"/>
                <w:szCs w:val="24"/>
              </w:rPr>
              <w:t>,</w:t>
            </w:r>
            <w:r w:rsidRPr="00714BF6">
              <w:rPr>
                <w:rFonts w:hAnsi="標楷體" w:cs="新細明體"/>
                <w:kern w:val="0"/>
                <w:sz w:val="24"/>
                <w:szCs w:val="24"/>
              </w:rPr>
              <w:t>900</w:t>
            </w:r>
          </w:p>
        </w:tc>
        <w:tc>
          <w:tcPr>
            <w:tcW w:w="1095"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59"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24,700</w:t>
            </w:r>
          </w:p>
        </w:tc>
      </w:tr>
      <w:tr w:rsidR="00714BF6" w:rsidRPr="00714BF6" w:rsidTr="009B5DC2">
        <w:trPr>
          <w:trHeight w:val="375"/>
        </w:trPr>
        <w:tc>
          <w:tcPr>
            <w:tcW w:w="2502" w:type="dxa"/>
            <w:shd w:val="clear" w:color="auto" w:fill="auto"/>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國立聯合大學</w:t>
            </w:r>
          </w:p>
        </w:tc>
        <w:tc>
          <w:tcPr>
            <w:tcW w:w="1095" w:type="dxa"/>
            <w:shd w:val="clear" w:color="auto" w:fill="auto"/>
            <w:noWrap/>
            <w:vAlign w:val="center"/>
            <w:hideMark/>
          </w:tcPr>
          <w:p w:rsidR="00BD7E9C" w:rsidRPr="00714BF6" w:rsidRDefault="00BD7E9C" w:rsidP="009B5DC2">
            <w:pPr>
              <w:spacing w:line="240" w:lineRule="exact"/>
              <w:jc w:val="center"/>
              <w:rPr>
                <w:rFonts w:hAnsi="標楷體"/>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5</w:t>
            </w:r>
            <w:r w:rsidRPr="00714BF6">
              <w:rPr>
                <w:rFonts w:hAnsi="標楷體" w:cs="新細明體" w:hint="eastAsia"/>
                <w:kern w:val="0"/>
                <w:sz w:val="24"/>
                <w:szCs w:val="24"/>
              </w:rPr>
              <w:t>,</w:t>
            </w:r>
            <w:r w:rsidRPr="00714BF6">
              <w:rPr>
                <w:rFonts w:hAnsi="標楷體" w:cs="新細明體"/>
                <w:kern w:val="0"/>
                <w:sz w:val="24"/>
                <w:szCs w:val="24"/>
              </w:rPr>
              <w:t>500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5</w:t>
            </w:r>
            <w:r w:rsidRPr="00714BF6">
              <w:rPr>
                <w:rFonts w:hAnsi="標楷體" w:cs="新細明體" w:hint="eastAsia"/>
                <w:kern w:val="0"/>
                <w:sz w:val="24"/>
                <w:szCs w:val="24"/>
              </w:rPr>
              <w:t>,</w:t>
            </w:r>
            <w:r w:rsidRPr="00714BF6">
              <w:rPr>
                <w:rFonts w:hAnsi="標楷體" w:cs="新細明體"/>
                <w:kern w:val="0"/>
                <w:sz w:val="24"/>
                <w:szCs w:val="24"/>
              </w:rPr>
              <w:t>28</w:t>
            </w:r>
            <w:r w:rsidRPr="00714BF6">
              <w:rPr>
                <w:rFonts w:hAnsi="標楷體" w:cs="新細明體" w:hint="eastAsia"/>
                <w:kern w:val="0"/>
                <w:sz w:val="24"/>
                <w:szCs w:val="24"/>
              </w:rPr>
              <w:t>2</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4</w:t>
            </w:r>
            <w:r w:rsidRPr="00714BF6">
              <w:rPr>
                <w:rFonts w:hAnsi="標楷體" w:cs="新細明體" w:hint="eastAsia"/>
                <w:kern w:val="0"/>
                <w:sz w:val="24"/>
                <w:szCs w:val="24"/>
              </w:rPr>
              <w:t>,</w:t>
            </w:r>
            <w:r w:rsidRPr="00714BF6">
              <w:rPr>
                <w:rFonts w:hAnsi="標楷體" w:cs="新細明體"/>
                <w:kern w:val="0"/>
                <w:sz w:val="24"/>
                <w:szCs w:val="24"/>
              </w:rPr>
              <w:t>70</w:t>
            </w:r>
            <w:r w:rsidRPr="00714BF6">
              <w:rPr>
                <w:rFonts w:hAnsi="標楷體" w:cs="新細明體" w:hint="eastAsia"/>
                <w:kern w:val="0"/>
                <w:sz w:val="24"/>
                <w:szCs w:val="24"/>
              </w:rPr>
              <w:t>3</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400</w:t>
            </w:r>
          </w:p>
        </w:tc>
        <w:tc>
          <w:tcPr>
            <w:tcW w:w="1095"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2</w:t>
            </w:r>
            <w:r w:rsidRPr="00714BF6">
              <w:rPr>
                <w:rFonts w:hAnsi="標楷體" w:cs="新細明體" w:hint="eastAsia"/>
                <w:kern w:val="0"/>
                <w:sz w:val="24"/>
                <w:szCs w:val="24"/>
              </w:rPr>
              <w:t>,</w:t>
            </w:r>
            <w:r w:rsidRPr="00714BF6">
              <w:rPr>
                <w:rFonts w:hAnsi="標楷體" w:cs="新細明體"/>
                <w:kern w:val="0"/>
                <w:sz w:val="24"/>
                <w:szCs w:val="24"/>
              </w:rPr>
              <w:t>218</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2</w:t>
            </w:r>
            <w:r w:rsidRPr="00714BF6">
              <w:rPr>
                <w:rFonts w:hAnsi="標楷體" w:cs="新細明體" w:hint="eastAsia"/>
                <w:kern w:val="0"/>
                <w:sz w:val="24"/>
                <w:szCs w:val="24"/>
              </w:rPr>
              <w:t>,</w:t>
            </w:r>
            <w:r w:rsidRPr="00714BF6">
              <w:rPr>
                <w:rFonts w:hAnsi="標楷體" w:cs="新細明體"/>
                <w:kern w:val="0"/>
                <w:sz w:val="24"/>
                <w:szCs w:val="24"/>
              </w:rPr>
              <w:t>958</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59"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24,060</w:t>
            </w:r>
          </w:p>
        </w:tc>
      </w:tr>
      <w:tr w:rsidR="00714BF6" w:rsidRPr="00714BF6" w:rsidTr="009B5DC2">
        <w:trPr>
          <w:trHeight w:val="480"/>
        </w:trPr>
        <w:tc>
          <w:tcPr>
            <w:tcW w:w="2502" w:type="dxa"/>
            <w:shd w:val="clear" w:color="auto" w:fill="auto"/>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國立新竹教育大學</w:t>
            </w:r>
          </w:p>
        </w:tc>
        <w:tc>
          <w:tcPr>
            <w:tcW w:w="1095" w:type="dxa"/>
            <w:shd w:val="clear" w:color="auto" w:fill="auto"/>
            <w:vAlign w:val="center"/>
            <w:hideMark/>
          </w:tcPr>
          <w:p w:rsidR="00BD7E9C" w:rsidRPr="00714BF6" w:rsidRDefault="00BD7E9C" w:rsidP="009B5DC2">
            <w:pPr>
              <w:spacing w:line="240" w:lineRule="exact"/>
              <w:jc w:val="center"/>
              <w:rPr>
                <w:rFonts w:hAnsi="標楷體"/>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7</w:t>
            </w:r>
            <w:r w:rsidRPr="00714BF6">
              <w:rPr>
                <w:rFonts w:hAnsi="標楷體" w:cs="新細明體" w:hint="eastAsia"/>
                <w:kern w:val="0"/>
                <w:sz w:val="24"/>
                <w:szCs w:val="24"/>
              </w:rPr>
              <w:t>,</w:t>
            </w:r>
            <w:r w:rsidRPr="00714BF6">
              <w:rPr>
                <w:rFonts w:hAnsi="標楷體" w:cs="新細明體"/>
                <w:kern w:val="0"/>
                <w:sz w:val="24"/>
                <w:szCs w:val="24"/>
              </w:rPr>
              <w:t>100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5</w:t>
            </w:r>
            <w:r w:rsidRPr="00714BF6">
              <w:rPr>
                <w:rFonts w:hAnsi="標楷體" w:cs="新細明體" w:hint="eastAsia"/>
                <w:kern w:val="0"/>
                <w:sz w:val="24"/>
                <w:szCs w:val="24"/>
              </w:rPr>
              <w:t>,</w:t>
            </w:r>
            <w:r w:rsidRPr="00714BF6">
              <w:rPr>
                <w:rFonts w:hAnsi="標楷體" w:cs="新細明體"/>
                <w:kern w:val="0"/>
                <w:sz w:val="24"/>
                <w:szCs w:val="24"/>
              </w:rPr>
              <w:t>597</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4</w:t>
            </w:r>
            <w:r w:rsidRPr="00714BF6">
              <w:rPr>
                <w:rFonts w:hAnsi="標楷體" w:cs="新細明體" w:hint="eastAsia"/>
                <w:kern w:val="0"/>
                <w:sz w:val="24"/>
                <w:szCs w:val="24"/>
              </w:rPr>
              <w:t>,</w:t>
            </w:r>
            <w:r w:rsidRPr="00714BF6">
              <w:rPr>
                <w:rFonts w:hAnsi="標楷體" w:cs="新細明體"/>
                <w:kern w:val="0"/>
                <w:sz w:val="24"/>
                <w:szCs w:val="24"/>
              </w:rPr>
              <w:t>22</w:t>
            </w:r>
            <w:r w:rsidRPr="00714BF6">
              <w:rPr>
                <w:rFonts w:hAnsi="標楷體" w:cs="新細明體" w:hint="eastAsia"/>
                <w:kern w:val="0"/>
                <w:sz w:val="24"/>
                <w:szCs w:val="24"/>
              </w:rPr>
              <w:t>5</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5</w:t>
            </w:r>
            <w:r w:rsidRPr="00714BF6">
              <w:rPr>
                <w:rFonts w:hAnsi="標楷體" w:cs="新細明體" w:hint="eastAsia"/>
                <w:kern w:val="0"/>
                <w:sz w:val="24"/>
                <w:szCs w:val="24"/>
              </w:rPr>
              <w:t>,</w:t>
            </w:r>
            <w:r w:rsidRPr="00714BF6">
              <w:rPr>
                <w:rFonts w:hAnsi="標楷體" w:cs="新細明體"/>
                <w:kern w:val="0"/>
                <w:sz w:val="24"/>
                <w:szCs w:val="24"/>
              </w:rPr>
              <w:t>500</w:t>
            </w:r>
          </w:p>
        </w:tc>
        <w:tc>
          <w:tcPr>
            <w:tcW w:w="1095" w:type="dxa"/>
            <w:shd w:val="clear" w:color="auto" w:fill="auto"/>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59"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22,422</w:t>
            </w:r>
          </w:p>
        </w:tc>
      </w:tr>
      <w:tr w:rsidR="00714BF6" w:rsidRPr="00714BF6" w:rsidTr="009B5DC2">
        <w:trPr>
          <w:trHeight w:val="330"/>
        </w:trPr>
        <w:tc>
          <w:tcPr>
            <w:tcW w:w="2502" w:type="dxa"/>
            <w:shd w:val="clear" w:color="auto" w:fill="auto"/>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國立宜蘭大學</w:t>
            </w:r>
          </w:p>
        </w:tc>
        <w:tc>
          <w:tcPr>
            <w:tcW w:w="1095" w:type="dxa"/>
            <w:shd w:val="clear" w:color="auto" w:fill="auto"/>
            <w:noWrap/>
            <w:vAlign w:val="center"/>
            <w:hideMark/>
          </w:tcPr>
          <w:p w:rsidR="00BD7E9C" w:rsidRPr="00714BF6" w:rsidRDefault="00BD7E9C" w:rsidP="009B5DC2">
            <w:pPr>
              <w:spacing w:line="240" w:lineRule="exact"/>
              <w:jc w:val="center"/>
              <w:rPr>
                <w:rFonts w:hAnsi="標楷體"/>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300</w:t>
            </w:r>
          </w:p>
        </w:tc>
        <w:tc>
          <w:tcPr>
            <w:tcW w:w="1095"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042</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042</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4</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4</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5</w:t>
            </w:r>
            <w:r w:rsidRPr="00714BF6">
              <w:rPr>
                <w:rFonts w:hAnsi="標楷體" w:cs="新細明體" w:hint="eastAsia"/>
                <w:kern w:val="0"/>
                <w:sz w:val="24"/>
                <w:szCs w:val="24"/>
              </w:rPr>
              <w:t>,</w:t>
            </w:r>
            <w:r w:rsidRPr="00714BF6">
              <w:rPr>
                <w:rFonts w:hAnsi="標楷體" w:cs="新細明體"/>
                <w:kern w:val="0"/>
                <w:sz w:val="24"/>
                <w:szCs w:val="24"/>
              </w:rPr>
              <w:t>000</w:t>
            </w:r>
          </w:p>
        </w:tc>
        <w:tc>
          <w:tcPr>
            <w:tcW w:w="1559"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22,384</w:t>
            </w:r>
          </w:p>
        </w:tc>
      </w:tr>
      <w:tr w:rsidR="00714BF6" w:rsidRPr="00714BF6" w:rsidTr="009B5DC2">
        <w:trPr>
          <w:trHeight w:val="364"/>
        </w:trPr>
        <w:tc>
          <w:tcPr>
            <w:tcW w:w="2502" w:type="dxa"/>
            <w:shd w:val="clear" w:color="auto" w:fill="auto"/>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國立臺灣藝術大學</w:t>
            </w:r>
          </w:p>
        </w:tc>
        <w:tc>
          <w:tcPr>
            <w:tcW w:w="1095" w:type="dxa"/>
            <w:shd w:val="clear" w:color="auto" w:fill="auto"/>
            <w:noWrap/>
            <w:vAlign w:val="center"/>
            <w:hideMark/>
          </w:tcPr>
          <w:p w:rsidR="00BD7E9C" w:rsidRPr="00714BF6" w:rsidRDefault="00BD7E9C" w:rsidP="009B5DC2">
            <w:pPr>
              <w:spacing w:line="240" w:lineRule="exact"/>
              <w:jc w:val="center"/>
              <w:rPr>
                <w:rFonts w:hAnsi="標楷體"/>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4</w:t>
            </w:r>
            <w:r w:rsidRPr="00714BF6">
              <w:rPr>
                <w:rFonts w:hAnsi="標楷體" w:cs="新細明體" w:hint="eastAsia"/>
                <w:kern w:val="0"/>
                <w:sz w:val="24"/>
                <w:szCs w:val="24"/>
              </w:rPr>
              <w:t>,</w:t>
            </w:r>
            <w:r w:rsidRPr="00714BF6">
              <w:rPr>
                <w:rFonts w:hAnsi="標楷體" w:cs="新細明體"/>
                <w:kern w:val="0"/>
                <w:sz w:val="24"/>
                <w:szCs w:val="24"/>
              </w:rPr>
              <w:t>500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4</w:t>
            </w:r>
            <w:r w:rsidRPr="00714BF6">
              <w:rPr>
                <w:rFonts w:hAnsi="標楷體" w:cs="新細明體" w:hint="eastAsia"/>
                <w:kern w:val="0"/>
                <w:sz w:val="24"/>
                <w:szCs w:val="24"/>
              </w:rPr>
              <w:t>,</w:t>
            </w:r>
            <w:r w:rsidRPr="00714BF6">
              <w:rPr>
                <w:rFonts w:hAnsi="標楷體" w:cs="新細明體"/>
                <w:kern w:val="0"/>
                <w:sz w:val="24"/>
                <w:szCs w:val="24"/>
              </w:rPr>
              <w:t>500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5"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125</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000</w:t>
            </w:r>
          </w:p>
        </w:tc>
        <w:tc>
          <w:tcPr>
            <w:tcW w:w="1559"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21,125</w:t>
            </w:r>
          </w:p>
        </w:tc>
      </w:tr>
      <w:tr w:rsidR="00714BF6" w:rsidRPr="00714BF6" w:rsidTr="009B5DC2">
        <w:trPr>
          <w:trHeight w:val="330"/>
        </w:trPr>
        <w:tc>
          <w:tcPr>
            <w:tcW w:w="2502" w:type="dxa"/>
            <w:shd w:val="clear" w:color="auto" w:fill="auto"/>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大同大學</w:t>
            </w:r>
          </w:p>
        </w:tc>
        <w:tc>
          <w:tcPr>
            <w:tcW w:w="1095" w:type="dxa"/>
            <w:shd w:val="clear" w:color="auto" w:fill="auto"/>
            <w:noWrap/>
            <w:vAlign w:val="center"/>
            <w:hideMark/>
          </w:tcPr>
          <w:p w:rsidR="00BD7E9C" w:rsidRPr="00714BF6" w:rsidRDefault="00BD7E9C" w:rsidP="009B5DC2">
            <w:pPr>
              <w:spacing w:line="240" w:lineRule="exact"/>
              <w:jc w:val="center"/>
              <w:rPr>
                <w:rFonts w:hAnsi="標楷體"/>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810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429</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600</w:t>
            </w:r>
          </w:p>
        </w:tc>
        <w:tc>
          <w:tcPr>
            <w:tcW w:w="1095"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4</w:t>
            </w:r>
            <w:r w:rsidRPr="00714BF6">
              <w:rPr>
                <w:rFonts w:hAnsi="標楷體" w:cs="新細明體" w:hint="eastAsia"/>
                <w:kern w:val="0"/>
                <w:sz w:val="24"/>
                <w:szCs w:val="24"/>
              </w:rPr>
              <w:t>,</w:t>
            </w:r>
            <w:r w:rsidRPr="00714BF6">
              <w:rPr>
                <w:rFonts w:hAnsi="標楷體" w:cs="新細明體"/>
                <w:kern w:val="0"/>
                <w:sz w:val="24"/>
                <w:szCs w:val="24"/>
              </w:rPr>
              <w:t>000</w:t>
            </w:r>
          </w:p>
        </w:tc>
        <w:tc>
          <w:tcPr>
            <w:tcW w:w="1559"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20,839</w:t>
            </w:r>
          </w:p>
        </w:tc>
      </w:tr>
      <w:tr w:rsidR="00714BF6" w:rsidRPr="00714BF6" w:rsidTr="009B5DC2">
        <w:trPr>
          <w:trHeight w:val="361"/>
        </w:trPr>
        <w:tc>
          <w:tcPr>
            <w:tcW w:w="2502" w:type="dxa"/>
            <w:shd w:val="clear" w:color="auto" w:fill="auto"/>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國立臺灣師範大學</w:t>
            </w:r>
          </w:p>
        </w:tc>
        <w:tc>
          <w:tcPr>
            <w:tcW w:w="1095" w:type="dxa"/>
            <w:shd w:val="clear" w:color="auto" w:fill="auto"/>
            <w:vAlign w:val="center"/>
            <w:hideMark/>
          </w:tcPr>
          <w:p w:rsidR="00BD7E9C" w:rsidRPr="00714BF6" w:rsidRDefault="00BD7E9C" w:rsidP="009B5DC2">
            <w:pPr>
              <w:spacing w:line="240" w:lineRule="exact"/>
              <w:jc w:val="center"/>
              <w:rPr>
                <w:rFonts w:hAnsi="標楷體"/>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8</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5</w:t>
            </w:r>
            <w:r w:rsidRPr="00714BF6">
              <w:rPr>
                <w:rFonts w:hAnsi="標楷體" w:cs="新細明體" w:hint="eastAsia"/>
                <w:kern w:val="0"/>
                <w:sz w:val="24"/>
                <w:szCs w:val="24"/>
              </w:rPr>
              <w:t>,</w:t>
            </w:r>
            <w:r w:rsidRPr="00714BF6">
              <w:rPr>
                <w:rFonts w:hAnsi="標楷體" w:cs="新細明體"/>
                <w:kern w:val="0"/>
                <w:sz w:val="24"/>
                <w:szCs w:val="24"/>
              </w:rPr>
              <w:t>85</w:t>
            </w:r>
            <w:r w:rsidRPr="00714BF6">
              <w:rPr>
                <w:rFonts w:hAnsi="標楷體" w:cs="新細明體" w:hint="eastAsia"/>
                <w:kern w:val="0"/>
                <w:sz w:val="24"/>
                <w:szCs w:val="24"/>
              </w:rPr>
              <w:t>5</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4</w:t>
            </w:r>
            <w:r w:rsidRPr="00714BF6">
              <w:rPr>
                <w:rFonts w:hAnsi="標楷體" w:cs="新細明體" w:hint="eastAsia"/>
                <w:kern w:val="0"/>
                <w:sz w:val="24"/>
                <w:szCs w:val="24"/>
              </w:rPr>
              <w:t>,</w:t>
            </w:r>
            <w:r w:rsidRPr="00714BF6">
              <w:rPr>
                <w:rFonts w:hAnsi="標楷體" w:cs="新細明體"/>
                <w:kern w:val="0"/>
                <w:sz w:val="24"/>
                <w:szCs w:val="24"/>
              </w:rPr>
              <w:t>480</w:t>
            </w:r>
          </w:p>
        </w:tc>
        <w:tc>
          <w:tcPr>
            <w:tcW w:w="1096" w:type="dxa"/>
            <w:shd w:val="clear" w:color="auto" w:fill="auto"/>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5" w:type="dxa"/>
            <w:shd w:val="clear" w:color="auto" w:fill="auto"/>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559"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18,335</w:t>
            </w:r>
          </w:p>
        </w:tc>
      </w:tr>
      <w:tr w:rsidR="00714BF6" w:rsidRPr="00714BF6" w:rsidTr="009B5DC2">
        <w:trPr>
          <w:trHeight w:val="330"/>
        </w:trPr>
        <w:tc>
          <w:tcPr>
            <w:tcW w:w="2502" w:type="dxa"/>
            <w:shd w:val="clear" w:color="auto" w:fill="auto"/>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中國文化大學</w:t>
            </w:r>
          </w:p>
        </w:tc>
        <w:tc>
          <w:tcPr>
            <w:tcW w:w="1095" w:type="dxa"/>
            <w:shd w:val="clear" w:color="auto" w:fill="auto"/>
            <w:noWrap/>
            <w:vAlign w:val="center"/>
            <w:hideMark/>
          </w:tcPr>
          <w:p w:rsidR="00BD7E9C" w:rsidRPr="00714BF6" w:rsidRDefault="00BD7E9C" w:rsidP="009B5DC2">
            <w:pPr>
              <w:spacing w:line="240" w:lineRule="exact"/>
              <w:jc w:val="center"/>
              <w:rPr>
                <w:rFonts w:hAnsi="標楷體"/>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5"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083</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083</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000</w:t>
            </w:r>
          </w:p>
        </w:tc>
        <w:tc>
          <w:tcPr>
            <w:tcW w:w="1559"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15,166</w:t>
            </w:r>
          </w:p>
        </w:tc>
      </w:tr>
      <w:tr w:rsidR="00714BF6" w:rsidRPr="00714BF6" w:rsidTr="009B5DC2">
        <w:trPr>
          <w:trHeight w:val="330"/>
        </w:trPr>
        <w:tc>
          <w:tcPr>
            <w:tcW w:w="2502" w:type="dxa"/>
            <w:shd w:val="clear" w:color="auto" w:fill="auto"/>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玄奘大學</w:t>
            </w:r>
          </w:p>
        </w:tc>
        <w:tc>
          <w:tcPr>
            <w:tcW w:w="1095" w:type="dxa"/>
            <w:shd w:val="clear" w:color="auto" w:fill="auto"/>
            <w:noWrap/>
            <w:vAlign w:val="center"/>
            <w:hideMark/>
          </w:tcPr>
          <w:p w:rsidR="00BD7E9C" w:rsidRPr="00714BF6" w:rsidRDefault="00BD7E9C" w:rsidP="009B5DC2">
            <w:pPr>
              <w:spacing w:line="240" w:lineRule="exact"/>
              <w:jc w:val="center"/>
              <w:rPr>
                <w:rFonts w:hAnsi="標楷體"/>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5,800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4,553</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857</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467</w:t>
            </w:r>
          </w:p>
        </w:tc>
        <w:tc>
          <w:tcPr>
            <w:tcW w:w="1095" w:type="dxa"/>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spacing w:line="240" w:lineRule="exact"/>
              <w:jc w:val="cente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000</w:t>
            </w:r>
          </w:p>
        </w:tc>
        <w:tc>
          <w:tcPr>
            <w:tcW w:w="1559"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20,677</w:t>
            </w:r>
          </w:p>
        </w:tc>
      </w:tr>
      <w:tr w:rsidR="00714BF6" w:rsidRPr="00714BF6" w:rsidTr="009B5DC2">
        <w:trPr>
          <w:trHeight w:val="330"/>
        </w:trPr>
        <w:tc>
          <w:tcPr>
            <w:tcW w:w="2502" w:type="dxa"/>
            <w:shd w:val="clear" w:color="auto" w:fill="auto"/>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國立高雄大學</w:t>
            </w:r>
          </w:p>
        </w:tc>
        <w:tc>
          <w:tcPr>
            <w:tcW w:w="1095" w:type="dxa"/>
            <w:shd w:val="clear" w:color="auto" w:fill="auto"/>
            <w:noWrap/>
            <w:vAlign w:val="center"/>
            <w:hideMark/>
          </w:tcPr>
          <w:p w:rsidR="00BD7E9C" w:rsidRPr="00714BF6" w:rsidRDefault="00BD7E9C" w:rsidP="009B5DC2">
            <w:pPr>
              <w:spacing w:line="240" w:lineRule="exact"/>
              <w:jc w:val="center"/>
              <w:rPr>
                <w:rFonts w:hAnsi="標楷體"/>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5</w:t>
            </w:r>
            <w:r w:rsidRPr="00714BF6">
              <w:rPr>
                <w:rFonts w:hAnsi="標楷體" w:cs="新細明體" w:hint="eastAsia"/>
                <w:kern w:val="0"/>
                <w:sz w:val="24"/>
                <w:szCs w:val="24"/>
              </w:rPr>
              <w:t>,</w:t>
            </w:r>
            <w:r w:rsidRPr="00714BF6">
              <w:rPr>
                <w:rFonts w:hAnsi="標楷體" w:cs="新細明體"/>
                <w:kern w:val="0"/>
                <w:sz w:val="24"/>
                <w:szCs w:val="24"/>
              </w:rPr>
              <w:t>100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4</w:t>
            </w:r>
            <w:r w:rsidRPr="00714BF6">
              <w:rPr>
                <w:rFonts w:hAnsi="標楷體" w:cs="新細明體" w:hint="eastAsia"/>
                <w:kern w:val="0"/>
                <w:sz w:val="24"/>
                <w:szCs w:val="24"/>
              </w:rPr>
              <w:t>,</w:t>
            </w:r>
            <w:r w:rsidRPr="00714BF6">
              <w:rPr>
                <w:rFonts w:hAnsi="標楷體" w:cs="新細明體"/>
                <w:kern w:val="0"/>
                <w:sz w:val="24"/>
                <w:szCs w:val="24"/>
              </w:rPr>
              <w:t>590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5" w:type="dxa"/>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spacing w:line="240" w:lineRule="exact"/>
              <w:jc w:val="cente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000</w:t>
            </w:r>
          </w:p>
        </w:tc>
        <w:tc>
          <w:tcPr>
            <w:tcW w:w="1559"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12,690</w:t>
            </w:r>
          </w:p>
        </w:tc>
      </w:tr>
      <w:tr w:rsidR="00714BF6" w:rsidRPr="00714BF6" w:rsidTr="009B5DC2">
        <w:trPr>
          <w:trHeight w:val="330"/>
        </w:trPr>
        <w:tc>
          <w:tcPr>
            <w:tcW w:w="2502" w:type="dxa"/>
            <w:shd w:val="clear" w:color="auto" w:fill="auto"/>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南華大學</w:t>
            </w:r>
          </w:p>
        </w:tc>
        <w:tc>
          <w:tcPr>
            <w:tcW w:w="1095" w:type="dxa"/>
            <w:shd w:val="clear" w:color="auto" w:fill="auto"/>
            <w:noWrap/>
            <w:vAlign w:val="center"/>
            <w:hideMark/>
          </w:tcPr>
          <w:p w:rsidR="00BD7E9C" w:rsidRPr="00714BF6" w:rsidRDefault="00BD7E9C" w:rsidP="009B5DC2">
            <w:pPr>
              <w:spacing w:line="240" w:lineRule="exact"/>
              <w:jc w:val="center"/>
              <w:rPr>
                <w:rFonts w:hAnsi="標楷體"/>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095" w:type="dxa"/>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5</w:t>
            </w:r>
            <w:r w:rsidRPr="00714BF6">
              <w:rPr>
                <w:rFonts w:hAnsi="標楷體" w:cs="新細明體" w:hint="eastAsia"/>
                <w:kern w:val="0"/>
                <w:sz w:val="24"/>
                <w:szCs w:val="24"/>
              </w:rPr>
              <w:t>,</w:t>
            </w:r>
            <w:r w:rsidRPr="00714BF6">
              <w:rPr>
                <w:rFonts w:hAnsi="標楷體" w:cs="新細明體"/>
                <w:kern w:val="0"/>
                <w:sz w:val="24"/>
                <w:szCs w:val="24"/>
              </w:rPr>
              <w:t>000</w:t>
            </w:r>
          </w:p>
        </w:tc>
        <w:tc>
          <w:tcPr>
            <w:tcW w:w="1559"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11,000</w:t>
            </w:r>
          </w:p>
        </w:tc>
      </w:tr>
      <w:tr w:rsidR="00714BF6" w:rsidRPr="00714BF6" w:rsidTr="009B5DC2">
        <w:trPr>
          <w:trHeight w:val="330"/>
        </w:trPr>
        <w:tc>
          <w:tcPr>
            <w:tcW w:w="2502" w:type="dxa"/>
            <w:shd w:val="clear" w:color="auto" w:fill="auto"/>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國立政治大學</w:t>
            </w:r>
          </w:p>
        </w:tc>
        <w:tc>
          <w:tcPr>
            <w:tcW w:w="1095" w:type="dxa"/>
            <w:shd w:val="clear" w:color="auto" w:fill="auto"/>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9</w:t>
            </w:r>
            <w:r w:rsidRPr="00714BF6">
              <w:rPr>
                <w:rFonts w:hAnsi="標楷體" w:cs="新細明體" w:hint="eastAsia"/>
                <w:kern w:val="0"/>
                <w:sz w:val="24"/>
                <w:szCs w:val="24"/>
              </w:rPr>
              <w:t>,</w:t>
            </w:r>
            <w:r w:rsidRPr="00714BF6">
              <w:rPr>
                <w:rFonts w:hAnsi="標楷體" w:cs="新細明體"/>
                <w:kern w:val="0"/>
                <w:sz w:val="24"/>
                <w:szCs w:val="24"/>
              </w:rPr>
              <w:t>500</w:t>
            </w:r>
          </w:p>
        </w:tc>
        <w:tc>
          <w:tcPr>
            <w:tcW w:w="1096" w:type="dxa"/>
            <w:shd w:val="clear" w:color="auto" w:fill="auto"/>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095" w:type="dxa"/>
            <w:shd w:val="clear" w:color="auto" w:fill="auto"/>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559"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9,500</w:t>
            </w:r>
          </w:p>
        </w:tc>
      </w:tr>
      <w:tr w:rsidR="00714BF6" w:rsidRPr="00714BF6" w:rsidTr="009B5DC2">
        <w:trPr>
          <w:trHeight w:val="330"/>
        </w:trPr>
        <w:tc>
          <w:tcPr>
            <w:tcW w:w="2502" w:type="dxa"/>
            <w:shd w:val="clear" w:color="auto" w:fill="auto"/>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佛光大學</w:t>
            </w:r>
          </w:p>
        </w:tc>
        <w:tc>
          <w:tcPr>
            <w:tcW w:w="1095" w:type="dxa"/>
            <w:shd w:val="clear" w:color="auto" w:fill="auto"/>
            <w:noWrap/>
            <w:vAlign w:val="center"/>
            <w:hideMark/>
          </w:tcPr>
          <w:p w:rsidR="00BD7E9C" w:rsidRPr="00714BF6" w:rsidRDefault="00BD7E9C" w:rsidP="009B5DC2">
            <w:pPr>
              <w:spacing w:line="240" w:lineRule="exact"/>
              <w:jc w:val="center"/>
              <w:rPr>
                <w:rFonts w:hAnsi="標楷體"/>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095"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000</w:t>
            </w:r>
          </w:p>
        </w:tc>
        <w:tc>
          <w:tcPr>
            <w:tcW w:w="1559"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9,000</w:t>
            </w:r>
          </w:p>
        </w:tc>
      </w:tr>
      <w:tr w:rsidR="00714BF6" w:rsidRPr="00714BF6" w:rsidTr="009B5DC2">
        <w:trPr>
          <w:trHeight w:val="330"/>
        </w:trPr>
        <w:tc>
          <w:tcPr>
            <w:tcW w:w="2502" w:type="dxa"/>
            <w:shd w:val="clear" w:color="auto" w:fill="auto"/>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國立體育大學</w:t>
            </w:r>
          </w:p>
        </w:tc>
        <w:tc>
          <w:tcPr>
            <w:tcW w:w="1095" w:type="dxa"/>
            <w:shd w:val="clear" w:color="auto" w:fill="auto"/>
            <w:noWrap/>
            <w:vAlign w:val="center"/>
            <w:hideMark/>
          </w:tcPr>
          <w:p w:rsidR="00BD7E9C" w:rsidRPr="00714BF6" w:rsidRDefault="00BD7E9C" w:rsidP="009B5DC2">
            <w:pPr>
              <w:spacing w:line="240" w:lineRule="exact"/>
              <w:jc w:val="center"/>
              <w:rPr>
                <w:rFonts w:hAnsi="標楷體"/>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150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4</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095"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p>
        </w:tc>
        <w:tc>
          <w:tcPr>
            <w:tcW w:w="1559"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7,150</w:t>
            </w:r>
          </w:p>
        </w:tc>
      </w:tr>
      <w:tr w:rsidR="00714BF6" w:rsidRPr="00714BF6" w:rsidTr="009B5DC2">
        <w:trPr>
          <w:trHeight w:val="432"/>
        </w:trPr>
        <w:tc>
          <w:tcPr>
            <w:tcW w:w="2502" w:type="dxa"/>
            <w:shd w:val="clear" w:color="auto" w:fill="auto"/>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國立</w:t>
            </w:r>
            <w:proofErr w:type="gramStart"/>
            <w:r w:rsidRPr="00714BF6">
              <w:rPr>
                <w:rFonts w:hAnsi="標楷體" w:cs="新細明體" w:hint="eastAsia"/>
                <w:b/>
                <w:kern w:val="0"/>
                <w:sz w:val="24"/>
                <w:szCs w:val="24"/>
              </w:rPr>
              <w:t>臺</w:t>
            </w:r>
            <w:proofErr w:type="gramEnd"/>
            <w:r w:rsidRPr="00714BF6">
              <w:rPr>
                <w:rFonts w:hAnsi="標楷體" w:cs="新細明體" w:hint="eastAsia"/>
                <w:b/>
                <w:kern w:val="0"/>
                <w:sz w:val="24"/>
                <w:szCs w:val="24"/>
              </w:rPr>
              <w:t>南藝術大學</w:t>
            </w:r>
          </w:p>
        </w:tc>
        <w:tc>
          <w:tcPr>
            <w:tcW w:w="1095" w:type="dxa"/>
            <w:shd w:val="clear" w:color="auto" w:fill="auto"/>
            <w:noWrap/>
            <w:vAlign w:val="center"/>
            <w:hideMark/>
          </w:tcPr>
          <w:p w:rsidR="00BD7E9C" w:rsidRPr="00714BF6" w:rsidRDefault="00BD7E9C" w:rsidP="009B5DC2">
            <w:pPr>
              <w:spacing w:line="240" w:lineRule="exact"/>
              <w:jc w:val="center"/>
              <w:rPr>
                <w:rFonts w:hAnsi="標楷體"/>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600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095"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125</w:t>
            </w:r>
          </w:p>
        </w:tc>
        <w:tc>
          <w:tcPr>
            <w:tcW w:w="1096" w:type="dxa"/>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p>
        </w:tc>
        <w:tc>
          <w:tcPr>
            <w:tcW w:w="1559"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6,725</w:t>
            </w:r>
          </w:p>
        </w:tc>
      </w:tr>
      <w:tr w:rsidR="00714BF6" w:rsidRPr="00714BF6" w:rsidTr="009B5DC2">
        <w:trPr>
          <w:trHeight w:val="330"/>
        </w:trPr>
        <w:tc>
          <w:tcPr>
            <w:tcW w:w="2502" w:type="dxa"/>
            <w:shd w:val="clear" w:color="auto" w:fill="auto"/>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實踐大學</w:t>
            </w:r>
          </w:p>
        </w:tc>
        <w:tc>
          <w:tcPr>
            <w:tcW w:w="1095" w:type="dxa"/>
            <w:shd w:val="clear" w:color="auto" w:fill="auto"/>
            <w:noWrap/>
            <w:vAlign w:val="center"/>
            <w:hideMark/>
          </w:tcPr>
          <w:p w:rsidR="00BD7E9C" w:rsidRPr="00714BF6" w:rsidRDefault="00BD7E9C" w:rsidP="009B5DC2">
            <w:pPr>
              <w:spacing w:line="240" w:lineRule="exact"/>
              <w:jc w:val="center"/>
              <w:rPr>
                <w:rFonts w:hAnsi="標楷體"/>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095"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5,000</w:t>
            </w:r>
          </w:p>
        </w:tc>
        <w:tc>
          <w:tcPr>
            <w:tcW w:w="1559"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11,000</w:t>
            </w:r>
          </w:p>
        </w:tc>
      </w:tr>
      <w:tr w:rsidR="00714BF6" w:rsidRPr="00714BF6" w:rsidTr="009B5DC2">
        <w:trPr>
          <w:trHeight w:val="369"/>
        </w:trPr>
        <w:tc>
          <w:tcPr>
            <w:tcW w:w="2502" w:type="dxa"/>
            <w:shd w:val="clear" w:color="auto" w:fill="auto"/>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國立臺灣體育運動大學</w:t>
            </w:r>
          </w:p>
        </w:tc>
        <w:tc>
          <w:tcPr>
            <w:tcW w:w="1095" w:type="dxa"/>
            <w:shd w:val="clear" w:color="auto" w:fill="auto"/>
            <w:noWrap/>
            <w:vAlign w:val="center"/>
            <w:hideMark/>
          </w:tcPr>
          <w:p w:rsidR="00BD7E9C" w:rsidRPr="00714BF6" w:rsidRDefault="00BD7E9C" w:rsidP="009B5DC2">
            <w:pPr>
              <w:spacing w:line="240" w:lineRule="exact"/>
              <w:jc w:val="center"/>
              <w:rPr>
                <w:rFonts w:hAnsi="標楷體"/>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2</w:t>
            </w:r>
            <w:r w:rsidRPr="00714BF6">
              <w:rPr>
                <w:rFonts w:hAnsi="標楷體" w:cs="新細明體" w:hint="eastAsia"/>
                <w:kern w:val="0"/>
                <w:sz w:val="24"/>
                <w:szCs w:val="24"/>
              </w:rPr>
              <w:t>,</w:t>
            </w:r>
            <w:r w:rsidRPr="00714BF6">
              <w:rPr>
                <w:rFonts w:hAnsi="標楷體" w:cs="新細明體"/>
                <w:kern w:val="0"/>
                <w:sz w:val="24"/>
                <w:szCs w:val="24"/>
              </w:rPr>
              <w:t>450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000</w:t>
            </w:r>
          </w:p>
        </w:tc>
        <w:tc>
          <w:tcPr>
            <w:tcW w:w="1096" w:type="dxa"/>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095" w:type="dxa"/>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559"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5,450</w:t>
            </w:r>
          </w:p>
        </w:tc>
      </w:tr>
      <w:tr w:rsidR="00714BF6" w:rsidRPr="00714BF6" w:rsidTr="009B5DC2">
        <w:trPr>
          <w:trHeight w:val="330"/>
        </w:trPr>
        <w:tc>
          <w:tcPr>
            <w:tcW w:w="2502" w:type="dxa"/>
            <w:shd w:val="clear" w:color="auto" w:fill="auto"/>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國立</w:t>
            </w:r>
            <w:proofErr w:type="gramStart"/>
            <w:r w:rsidRPr="00714BF6">
              <w:rPr>
                <w:rFonts w:hAnsi="標楷體" w:cs="新細明體" w:hint="eastAsia"/>
                <w:b/>
                <w:kern w:val="0"/>
                <w:sz w:val="24"/>
                <w:szCs w:val="24"/>
              </w:rPr>
              <w:t>臺</w:t>
            </w:r>
            <w:proofErr w:type="gramEnd"/>
            <w:r w:rsidRPr="00714BF6">
              <w:rPr>
                <w:rFonts w:hAnsi="標楷體" w:cs="新細明體" w:hint="eastAsia"/>
                <w:b/>
                <w:kern w:val="0"/>
                <w:sz w:val="24"/>
                <w:szCs w:val="24"/>
              </w:rPr>
              <w:t>南大學</w:t>
            </w:r>
          </w:p>
        </w:tc>
        <w:tc>
          <w:tcPr>
            <w:tcW w:w="1095" w:type="dxa"/>
            <w:shd w:val="clear" w:color="auto" w:fill="auto"/>
            <w:noWrap/>
            <w:vAlign w:val="center"/>
            <w:hideMark/>
          </w:tcPr>
          <w:p w:rsidR="00BD7E9C" w:rsidRPr="00714BF6" w:rsidRDefault="00BD7E9C" w:rsidP="009B5DC2">
            <w:pPr>
              <w:spacing w:line="240" w:lineRule="exact"/>
              <w:jc w:val="center"/>
              <w:rPr>
                <w:rFonts w:hAnsi="標楷體"/>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800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095" w:type="dxa"/>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559"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3,800</w:t>
            </w:r>
          </w:p>
        </w:tc>
      </w:tr>
      <w:tr w:rsidR="00714BF6" w:rsidRPr="00714BF6" w:rsidTr="009B5DC2">
        <w:trPr>
          <w:trHeight w:val="330"/>
        </w:trPr>
        <w:tc>
          <w:tcPr>
            <w:tcW w:w="2502" w:type="dxa"/>
            <w:shd w:val="clear" w:color="auto" w:fill="auto"/>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國立</w:t>
            </w:r>
            <w:proofErr w:type="gramStart"/>
            <w:r w:rsidRPr="00714BF6">
              <w:rPr>
                <w:rFonts w:hAnsi="標楷體" w:cs="新細明體" w:hint="eastAsia"/>
                <w:b/>
                <w:kern w:val="0"/>
                <w:sz w:val="24"/>
                <w:szCs w:val="24"/>
              </w:rPr>
              <w:t>臺</w:t>
            </w:r>
            <w:proofErr w:type="gramEnd"/>
            <w:r w:rsidRPr="00714BF6">
              <w:rPr>
                <w:rFonts w:hAnsi="標楷體" w:cs="新細明體" w:hint="eastAsia"/>
                <w:b/>
                <w:kern w:val="0"/>
                <w:sz w:val="24"/>
                <w:szCs w:val="24"/>
              </w:rPr>
              <w:t>東大學</w:t>
            </w:r>
          </w:p>
        </w:tc>
        <w:tc>
          <w:tcPr>
            <w:tcW w:w="1095" w:type="dxa"/>
            <w:shd w:val="clear" w:color="auto" w:fill="auto"/>
            <w:noWrap/>
            <w:vAlign w:val="center"/>
            <w:hideMark/>
          </w:tcPr>
          <w:p w:rsidR="00BD7E9C" w:rsidRPr="00714BF6" w:rsidRDefault="00BD7E9C" w:rsidP="009B5DC2">
            <w:pPr>
              <w:spacing w:line="240" w:lineRule="exact"/>
              <w:jc w:val="center"/>
              <w:rPr>
                <w:rFonts w:hAnsi="標楷體"/>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705</w:t>
            </w:r>
          </w:p>
        </w:tc>
        <w:tc>
          <w:tcPr>
            <w:tcW w:w="1096" w:type="dxa"/>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095" w:type="dxa"/>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559"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3,705</w:t>
            </w:r>
          </w:p>
        </w:tc>
      </w:tr>
      <w:tr w:rsidR="00714BF6" w:rsidRPr="00714BF6" w:rsidTr="009B5DC2">
        <w:trPr>
          <w:trHeight w:val="357"/>
        </w:trPr>
        <w:tc>
          <w:tcPr>
            <w:tcW w:w="2502" w:type="dxa"/>
            <w:shd w:val="clear" w:color="auto" w:fill="auto"/>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國立</w:t>
            </w:r>
            <w:proofErr w:type="gramStart"/>
            <w:r w:rsidRPr="00714BF6">
              <w:rPr>
                <w:rFonts w:hAnsi="標楷體" w:cs="新細明體" w:hint="eastAsia"/>
                <w:b/>
                <w:kern w:val="0"/>
                <w:sz w:val="24"/>
                <w:szCs w:val="24"/>
              </w:rPr>
              <w:t>臺</w:t>
            </w:r>
            <w:proofErr w:type="gramEnd"/>
            <w:r w:rsidRPr="00714BF6">
              <w:rPr>
                <w:rFonts w:hAnsi="標楷體" w:cs="新細明體" w:hint="eastAsia"/>
                <w:b/>
                <w:kern w:val="0"/>
                <w:sz w:val="24"/>
                <w:szCs w:val="24"/>
              </w:rPr>
              <w:t>北教育大學</w:t>
            </w:r>
          </w:p>
        </w:tc>
        <w:tc>
          <w:tcPr>
            <w:tcW w:w="1095" w:type="dxa"/>
            <w:shd w:val="clear" w:color="auto" w:fill="auto"/>
            <w:noWrap/>
            <w:vAlign w:val="center"/>
            <w:hideMark/>
          </w:tcPr>
          <w:p w:rsidR="00BD7E9C" w:rsidRPr="00714BF6" w:rsidRDefault="00BD7E9C" w:rsidP="009B5DC2">
            <w:pPr>
              <w:spacing w:line="240" w:lineRule="exact"/>
              <w:jc w:val="center"/>
              <w:rPr>
                <w:rFonts w:hAnsi="標楷體"/>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095" w:type="dxa"/>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000</w:t>
            </w:r>
          </w:p>
        </w:tc>
        <w:tc>
          <w:tcPr>
            <w:tcW w:w="1559"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3,000</w:t>
            </w:r>
          </w:p>
        </w:tc>
      </w:tr>
      <w:tr w:rsidR="00714BF6" w:rsidRPr="00714BF6" w:rsidTr="009B5DC2">
        <w:trPr>
          <w:trHeight w:val="330"/>
        </w:trPr>
        <w:tc>
          <w:tcPr>
            <w:tcW w:w="2502" w:type="dxa"/>
            <w:shd w:val="clear" w:color="auto" w:fill="auto"/>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中華大學</w:t>
            </w:r>
          </w:p>
        </w:tc>
        <w:tc>
          <w:tcPr>
            <w:tcW w:w="1095" w:type="dxa"/>
            <w:shd w:val="clear" w:color="auto" w:fill="auto"/>
            <w:noWrap/>
            <w:vAlign w:val="center"/>
            <w:hideMark/>
          </w:tcPr>
          <w:p w:rsidR="00BD7E9C" w:rsidRPr="00714BF6" w:rsidRDefault="00BD7E9C" w:rsidP="009B5DC2">
            <w:pPr>
              <w:spacing w:line="240" w:lineRule="exact"/>
              <w:jc w:val="center"/>
              <w:rPr>
                <w:rFonts w:hAnsi="標楷體"/>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095" w:type="dxa"/>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3</w:t>
            </w:r>
            <w:r w:rsidRPr="00714BF6">
              <w:rPr>
                <w:rFonts w:hAnsi="標楷體" w:cs="新細明體" w:hint="eastAsia"/>
                <w:kern w:val="0"/>
                <w:sz w:val="24"/>
                <w:szCs w:val="24"/>
              </w:rPr>
              <w:t>,</w:t>
            </w:r>
            <w:r w:rsidRPr="00714BF6">
              <w:rPr>
                <w:rFonts w:hAnsi="標楷體" w:cs="新細明體"/>
                <w:kern w:val="0"/>
                <w:sz w:val="24"/>
                <w:szCs w:val="24"/>
              </w:rPr>
              <w:t>000</w:t>
            </w:r>
          </w:p>
        </w:tc>
        <w:tc>
          <w:tcPr>
            <w:tcW w:w="1559"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3,000</w:t>
            </w:r>
          </w:p>
        </w:tc>
      </w:tr>
      <w:tr w:rsidR="00714BF6" w:rsidRPr="00714BF6" w:rsidTr="009B5DC2">
        <w:trPr>
          <w:trHeight w:val="330"/>
        </w:trPr>
        <w:tc>
          <w:tcPr>
            <w:tcW w:w="2502" w:type="dxa"/>
            <w:shd w:val="clear" w:color="auto" w:fill="auto"/>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國防醫學院</w:t>
            </w:r>
          </w:p>
        </w:tc>
        <w:tc>
          <w:tcPr>
            <w:tcW w:w="1095" w:type="dxa"/>
            <w:shd w:val="clear" w:color="auto" w:fill="auto"/>
            <w:noWrap/>
            <w:vAlign w:val="center"/>
            <w:hideMark/>
          </w:tcPr>
          <w:p w:rsidR="00BD7E9C" w:rsidRPr="00714BF6" w:rsidRDefault="00BD7E9C" w:rsidP="009B5DC2">
            <w:pPr>
              <w:spacing w:line="240" w:lineRule="exact"/>
              <w:jc w:val="center"/>
              <w:rPr>
                <w:rFonts w:hAnsi="標楷體"/>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095" w:type="dxa"/>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kern w:val="0"/>
                <w:sz w:val="24"/>
                <w:szCs w:val="24"/>
              </w:rPr>
              <w:t>2</w:t>
            </w:r>
            <w:r w:rsidRPr="00714BF6">
              <w:rPr>
                <w:rFonts w:hAnsi="標楷體" w:cs="新細明體" w:hint="eastAsia"/>
                <w:kern w:val="0"/>
                <w:sz w:val="24"/>
                <w:szCs w:val="24"/>
              </w:rPr>
              <w:t>,</w:t>
            </w:r>
            <w:r w:rsidRPr="00714BF6">
              <w:rPr>
                <w:rFonts w:hAnsi="標楷體" w:cs="新細明體"/>
                <w:kern w:val="0"/>
                <w:sz w:val="24"/>
                <w:szCs w:val="24"/>
              </w:rPr>
              <w:t>800</w:t>
            </w:r>
          </w:p>
        </w:tc>
        <w:tc>
          <w:tcPr>
            <w:tcW w:w="1559"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2,800</w:t>
            </w:r>
          </w:p>
        </w:tc>
      </w:tr>
      <w:tr w:rsidR="00714BF6" w:rsidRPr="00714BF6" w:rsidTr="009B5DC2">
        <w:trPr>
          <w:trHeight w:val="404"/>
        </w:trPr>
        <w:tc>
          <w:tcPr>
            <w:tcW w:w="2502" w:type="dxa"/>
            <w:shd w:val="clear" w:color="auto" w:fill="auto"/>
            <w:noWrap/>
            <w:vAlign w:val="center"/>
            <w:hideMark/>
          </w:tcPr>
          <w:p w:rsidR="00BD7E9C" w:rsidRPr="00714BF6" w:rsidRDefault="00BD7E9C" w:rsidP="009B5DC2">
            <w:pPr>
              <w:widowControl/>
              <w:spacing w:line="240" w:lineRule="exact"/>
              <w:jc w:val="center"/>
              <w:rPr>
                <w:rFonts w:hAnsi="標楷體" w:cs="新細明體"/>
                <w:b/>
                <w:kern w:val="0"/>
                <w:sz w:val="24"/>
                <w:szCs w:val="24"/>
              </w:rPr>
            </w:pPr>
            <w:r w:rsidRPr="00714BF6">
              <w:rPr>
                <w:rFonts w:hAnsi="標楷體" w:cs="新細明體" w:hint="eastAsia"/>
                <w:b/>
                <w:kern w:val="0"/>
                <w:sz w:val="24"/>
                <w:szCs w:val="24"/>
              </w:rPr>
              <w:t xml:space="preserve">　總計</w:t>
            </w:r>
          </w:p>
        </w:tc>
        <w:tc>
          <w:tcPr>
            <w:tcW w:w="1095"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112,000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185,000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184,803</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176,072</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223,067</w:t>
            </w:r>
          </w:p>
        </w:tc>
        <w:tc>
          <w:tcPr>
            <w:tcW w:w="1095"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154,202</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154,942</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157,500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154,500</w:t>
            </w:r>
          </w:p>
        </w:tc>
        <w:tc>
          <w:tcPr>
            <w:tcW w:w="1096"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156,800</w:t>
            </w:r>
          </w:p>
        </w:tc>
        <w:tc>
          <w:tcPr>
            <w:tcW w:w="1559" w:type="dxa"/>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1,658,886</w:t>
            </w:r>
          </w:p>
        </w:tc>
      </w:tr>
    </w:tbl>
    <w:p w:rsidR="00BA18D8" w:rsidRDefault="00BA18D8" w:rsidP="005D53AC">
      <w:pPr>
        <w:widowControl/>
        <w:overflowPunct/>
        <w:autoSpaceDE/>
        <w:autoSpaceDN/>
        <w:spacing w:line="240" w:lineRule="exact"/>
        <w:jc w:val="left"/>
        <w:rPr>
          <w:rFonts w:hAnsi="標楷體" w:cs="新細明體"/>
          <w:kern w:val="0"/>
          <w:sz w:val="24"/>
          <w:szCs w:val="24"/>
        </w:rPr>
      </w:pPr>
      <w:proofErr w:type="gramStart"/>
      <w:r>
        <w:rPr>
          <w:rFonts w:hAnsi="標楷體" w:hint="eastAsia"/>
          <w:sz w:val="24"/>
          <w:szCs w:val="24"/>
        </w:rPr>
        <w:t>註</w:t>
      </w:r>
      <w:proofErr w:type="gramEnd"/>
      <w:r>
        <w:rPr>
          <w:rFonts w:hAnsi="標楷體" w:hint="eastAsia"/>
          <w:sz w:val="24"/>
          <w:szCs w:val="24"/>
        </w:rPr>
        <w:t>：</w:t>
      </w:r>
      <w:r w:rsidR="005D53AC">
        <w:rPr>
          <w:rFonts w:hAnsi="標楷體" w:cs="新細明體" w:hint="eastAsia"/>
          <w:kern w:val="0"/>
          <w:sz w:val="24"/>
          <w:szCs w:val="24"/>
        </w:rPr>
        <w:t>94年為教學卓越計畫之試辦階段</w:t>
      </w:r>
      <w:r>
        <w:rPr>
          <w:rFonts w:hAnsi="標楷體" w:cs="新細明體" w:hint="eastAsia"/>
          <w:kern w:val="0"/>
          <w:sz w:val="24"/>
          <w:szCs w:val="24"/>
        </w:rPr>
        <w:t>，自試辦階段</w:t>
      </w:r>
      <w:proofErr w:type="gramStart"/>
      <w:r>
        <w:rPr>
          <w:rFonts w:hAnsi="標楷體" w:cs="新細明體" w:hint="eastAsia"/>
          <w:kern w:val="0"/>
          <w:sz w:val="24"/>
          <w:szCs w:val="24"/>
        </w:rPr>
        <w:t>採</w:t>
      </w:r>
      <w:proofErr w:type="gramEnd"/>
      <w:r>
        <w:rPr>
          <w:rFonts w:hAnsi="標楷體" w:cs="新細明體" w:hint="eastAsia"/>
          <w:kern w:val="0"/>
          <w:sz w:val="24"/>
          <w:szCs w:val="24"/>
        </w:rPr>
        <w:t>計，歷年累計補助學校共48所</w:t>
      </w:r>
      <w:r w:rsidR="005D53AC">
        <w:rPr>
          <w:rFonts w:hAnsi="標楷體" w:cs="新細明體" w:hint="eastAsia"/>
          <w:kern w:val="0"/>
          <w:sz w:val="24"/>
          <w:szCs w:val="24"/>
        </w:rPr>
        <w:t>；</w:t>
      </w:r>
      <w:r>
        <w:rPr>
          <w:rFonts w:hAnsi="標楷體" w:cs="新細明體" w:hint="eastAsia"/>
          <w:kern w:val="0"/>
          <w:sz w:val="24"/>
          <w:szCs w:val="24"/>
        </w:rPr>
        <w:t>95年教學卓越</w:t>
      </w:r>
      <w:r w:rsidR="005D53AC" w:rsidRPr="00714BF6">
        <w:rPr>
          <w:rFonts w:hAnsi="標楷體" w:cs="新細明體" w:hint="eastAsia"/>
          <w:kern w:val="0"/>
          <w:sz w:val="24"/>
          <w:szCs w:val="24"/>
        </w:rPr>
        <w:t>計畫</w:t>
      </w:r>
      <w:r>
        <w:rPr>
          <w:rFonts w:hAnsi="標楷體" w:cs="新細明體" w:hint="eastAsia"/>
          <w:kern w:val="0"/>
          <w:sz w:val="24"/>
          <w:szCs w:val="24"/>
        </w:rPr>
        <w:t>正式辦理，</w:t>
      </w:r>
      <w:r w:rsidR="005D53AC" w:rsidRPr="00714BF6">
        <w:rPr>
          <w:rFonts w:hAnsi="標楷體" w:cs="新細明體" w:hint="eastAsia"/>
          <w:kern w:val="0"/>
          <w:sz w:val="24"/>
          <w:szCs w:val="24"/>
        </w:rPr>
        <w:t>計分3期，第1期為95-97</w:t>
      </w:r>
    </w:p>
    <w:p w:rsidR="005D53AC" w:rsidRDefault="00BA18D8" w:rsidP="005D53AC">
      <w:pPr>
        <w:widowControl/>
        <w:overflowPunct/>
        <w:autoSpaceDE/>
        <w:autoSpaceDN/>
        <w:spacing w:line="240" w:lineRule="exact"/>
        <w:jc w:val="left"/>
        <w:rPr>
          <w:rFonts w:hAnsi="標楷體"/>
          <w:sz w:val="24"/>
          <w:szCs w:val="24"/>
        </w:rPr>
      </w:pPr>
      <w:r>
        <w:rPr>
          <w:rFonts w:hAnsi="標楷體" w:cs="新細明體" w:hint="eastAsia"/>
          <w:kern w:val="0"/>
          <w:sz w:val="24"/>
          <w:szCs w:val="24"/>
        </w:rPr>
        <w:t xml:space="preserve">    </w:t>
      </w:r>
      <w:r w:rsidR="005D53AC" w:rsidRPr="00714BF6">
        <w:rPr>
          <w:rFonts w:hAnsi="標楷體" w:cs="新細明體" w:hint="eastAsia"/>
          <w:kern w:val="0"/>
          <w:sz w:val="24"/>
          <w:szCs w:val="24"/>
        </w:rPr>
        <w:t>年、第2期為98-101年、第3期為102-105年</w:t>
      </w:r>
      <w:r w:rsidR="005D53AC">
        <w:rPr>
          <w:rFonts w:hAnsi="標楷體" w:cs="新細明體" w:hint="eastAsia"/>
          <w:kern w:val="0"/>
          <w:sz w:val="24"/>
          <w:szCs w:val="24"/>
        </w:rPr>
        <w:t>；本表數據為</w:t>
      </w:r>
      <w:r w:rsidR="005D53AC" w:rsidRPr="00714BF6">
        <w:rPr>
          <w:rFonts w:hAnsi="標楷體" w:hint="eastAsia"/>
          <w:sz w:val="24"/>
          <w:szCs w:val="24"/>
        </w:rPr>
        <w:t>教育部</w:t>
      </w:r>
      <w:r w:rsidR="005D53AC">
        <w:rPr>
          <w:rFonts w:hAnsi="標楷體" w:hint="eastAsia"/>
          <w:sz w:val="24"/>
          <w:szCs w:val="24"/>
        </w:rPr>
        <w:t>提供，僅統計</w:t>
      </w:r>
      <w:r w:rsidR="005D53AC" w:rsidRPr="00714BF6">
        <w:rPr>
          <w:rFonts w:hAnsi="標楷體" w:hint="eastAsia"/>
          <w:sz w:val="24"/>
          <w:szCs w:val="24"/>
        </w:rPr>
        <w:t>至104年止</w:t>
      </w:r>
      <w:r w:rsidR="005D53AC">
        <w:rPr>
          <w:rFonts w:hAnsi="標楷體" w:hint="eastAsia"/>
          <w:sz w:val="24"/>
          <w:szCs w:val="24"/>
        </w:rPr>
        <w:t>。</w:t>
      </w:r>
    </w:p>
    <w:p w:rsidR="00C27C97" w:rsidRPr="00714BF6" w:rsidRDefault="00C27C97" w:rsidP="005D53AC">
      <w:pPr>
        <w:widowControl/>
        <w:overflowPunct/>
        <w:autoSpaceDE/>
        <w:autoSpaceDN/>
        <w:spacing w:line="240" w:lineRule="exact"/>
        <w:jc w:val="left"/>
        <w:rPr>
          <w:rFonts w:hAnsi="標楷體"/>
          <w:sz w:val="24"/>
          <w:szCs w:val="24"/>
        </w:rPr>
      </w:pPr>
      <w:r w:rsidRPr="00714BF6">
        <w:rPr>
          <w:rFonts w:hAnsi="標楷體" w:hint="eastAsia"/>
          <w:sz w:val="24"/>
          <w:szCs w:val="24"/>
        </w:rPr>
        <w:t>資料來源：本院依據教育部查復資料</w:t>
      </w:r>
      <w:proofErr w:type="gramStart"/>
      <w:r w:rsidRPr="00714BF6">
        <w:rPr>
          <w:rFonts w:hAnsi="標楷體" w:hint="eastAsia"/>
          <w:sz w:val="24"/>
          <w:szCs w:val="24"/>
        </w:rPr>
        <w:t>彙整製表</w:t>
      </w:r>
      <w:proofErr w:type="gramEnd"/>
      <w:r w:rsidRPr="00714BF6">
        <w:rPr>
          <w:rFonts w:hAnsi="標楷體" w:hint="eastAsia"/>
          <w:sz w:val="24"/>
          <w:szCs w:val="24"/>
        </w:rPr>
        <w:t>。</w:t>
      </w:r>
    </w:p>
    <w:p w:rsidR="00BD7E9C" w:rsidRPr="00714BF6" w:rsidRDefault="00BD7E9C" w:rsidP="005D53AC">
      <w:pPr>
        <w:pStyle w:val="a1"/>
        <w:spacing w:line="240" w:lineRule="exact"/>
        <w:ind w:left="1985" w:hanging="284"/>
        <w:jc w:val="center"/>
        <w:rPr>
          <w:rFonts w:hAnsi="標楷體"/>
          <w:b/>
          <w:szCs w:val="32"/>
        </w:rPr>
      </w:pPr>
      <w:r w:rsidRPr="00714BF6">
        <w:rPr>
          <w:rFonts w:hAnsi="Arial"/>
          <w:b/>
          <w:bCs w:val="0"/>
          <w:szCs w:val="36"/>
        </w:rPr>
        <w:br w:type="page"/>
      </w:r>
      <w:bookmarkStart w:id="59" w:name="_Toc455416296"/>
      <w:bookmarkStart w:id="60" w:name="_Toc455484544"/>
      <w:bookmarkStart w:id="61" w:name="_Toc455557970"/>
      <w:bookmarkStart w:id="62" w:name="_Toc457658118"/>
      <w:r w:rsidRPr="00714BF6">
        <w:rPr>
          <w:rFonts w:hAnsi="標楷體" w:hint="eastAsia"/>
          <w:b/>
          <w:szCs w:val="32"/>
        </w:rPr>
        <w:lastRenderedPageBreak/>
        <w:t>教學卓越計畫歷年經費分配結果-科技校院部分</w:t>
      </w:r>
      <w:bookmarkEnd w:id="59"/>
      <w:bookmarkEnd w:id="60"/>
      <w:bookmarkEnd w:id="61"/>
      <w:bookmarkEnd w:id="62"/>
    </w:p>
    <w:p w:rsidR="00BD7E9C" w:rsidRPr="00714BF6" w:rsidRDefault="00AB28F3" w:rsidP="00AB28F3">
      <w:pPr>
        <w:widowControl/>
        <w:overflowPunct/>
        <w:autoSpaceDE/>
        <w:autoSpaceDN/>
        <w:spacing w:line="320" w:lineRule="exact"/>
        <w:ind w:right="240"/>
        <w:jc w:val="right"/>
        <w:rPr>
          <w:rFonts w:hAnsi="標楷體"/>
          <w:b/>
          <w:szCs w:val="32"/>
        </w:rPr>
      </w:pPr>
      <w:r>
        <w:rPr>
          <w:rFonts w:hAnsi="標楷體" w:hint="eastAsia"/>
          <w:b/>
          <w:sz w:val="24"/>
          <w:szCs w:val="24"/>
        </w:rPr>
        <w:t>單位：萬元</w:t>
      </w:r>
    </w:p>
    <w:tbl>
      <w:tblPr>
        <w:tblW w:w="15041" w:type="dxa"/>
        <w:tblInd w:w="13" w:type="dxa"/>
        <w:tblLayout w:type="fixed"/>
        <w:tblCellMar>
          <w:left w:w="28" w:type="dxa"/>
          <w:right w:w="28" w:type="dxa"/>
        </w:tblCellMar>
        <w:tblLook w:val="04A0" w:firstRow="1" w:lastRow="0" w:firstColumn="1" w:lastColumn="0" w:noHBand="0" w:noVBand="1"/>
      </w:tblPr>
      <w:tblGrid>
        <w:gridCol w:w="2567"/>
        <w:gridCol w:w="1559"/>
        <w:gridCol w:w="1559"/>
        <w:gridCol w:w="1559"/>
        <w:gridCol w:w="1560"/>
        <w:gridCol w:w="1559"/>
        <w:gridCol w:w="1559"/>
        <w:gridCol w:w="1560"/>
        <w:gridCol w:w="1559"/>
      </w:tblGrid>
      <w:tr w:rsidR="00714BF6" w:rsidRPr="00714BF6" w:rsidTr="009B5DC2">
        <w:trPr>
          <w:trHeight w:val="357"/>
          <w:tblHeader/>
        </w:trPr>
        <w:tc>
          <w:tcPr>
            <w:tcW w:w="2567"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hideMark/>
          </w:tcPr>
          <w:p w:rsidR="00BD7E9C" w:rsidRPr="00714BF6" w:rsidRDefault="00BD7E9C" w:rsidP="009B5DC2">
            <w:pPr>
              <w:widowControl/>
              <w:spacing w:line="240" w:lineRule="exact"/>
              <w:rPr>
                <w:rFonts w:hAnsi="標楷體" w:cs="新細明體"/>
                <w:kern w:val="0"/>
                <w:sz w:val="24"/>
                <w:szCs w:val="24"/>
              </w:rPr>
            </w:pPr>
            <w:r w:rsidRPr="00714BF6">
              <w:rPr>
                <w:rFonts w:hAnsi="標楷體" w:cs="新細明體" w:hint="eastAsia"/>
                <w:kern w:val="0"/>
                <w:sz w:val="24"/>
                <w:szCs w:val="24"/>
              </w:rPr>
              <w:t xml:space="preserve">　</w:t>
            </w:r>
            <w:r w:rsidRPr="00714BF6">
              <w:rPr>
                <w:rFonts w:hAnsi="標楷體" w:cs="新細明體" w:hint="eastAsia"/>
                <w:b/>
                <w:kern w:val="0"/>
                <w:sz w:val="24"/>
                <w:szCs w:val="24"/>
              </w:rPr>
              <w:t>學校         年度</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b/>
                <w:kern w:val="0"/>
                <w:sz w:val="24"/>
                <w:szCs w:val="24"/>
              </w:rPr>
            </w:pPr>
            <w:r w:rsidRPr="00714BF6">
              <w:rPr>
                <w:rFonts w:hAnsi="標楷體" w:cs="新細明體" w:hint="eastAsia"/>
                <w:b/>
                <w:kern w:val="0"/>
                <w:sz w:val="24"/>
                <w:szCs w:val="24"/>
              </w:rPr>
              <w:t>95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b/>
                <w:kern w:val="0"/>
                <w:sz w:val="24"/>
                <w:szCs w:val="24"/>
              </w:rPr>
            </w:pPr>
            <w:r w:rsidRPr="00714BF6">
              <w:rPr>
                <w:rFonts w:hAnsi="標楷體" w:cs="新細明體" w:hint="eastAsia"/>
                <w:b/>
                <w:kern w:val="0"/>
                <w:sz w:val="24"/>
                <w:szCs w:val="24"/>
              </w:rPr>
              <w:t>96</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b/>
                <w:kern w:val="0"/>
                <w:sz w:val="24"/>
                <w:szCs w:val="24"/>
              </w:rPr>
            </w:pPr>
            <w:r w:rsidRPr="00714BF6">
              <w:rPr>
                <w:rFonts w:hAnsi="標楷體" w:cs="新細明體" w:hint="eastAsia"/>
                <w:b/>
                <w:kern w:val="0"/>
                <w:sz w:val="24"/>
                <w:szCs w:val="24"/>
              </w:rPr>
              <w:t>97</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b/>
                <w:kern w:val="0"/>
                <w:sz w:val="24"/>
                <w:szCs w:val="24"/>
              </w:rPr>
            </w:pPr>
            <w:r w:rsidRPr="00714BF6">
              <w:rPr>
                <w:rFonts w:hAnsi="標楷體" w:cs="新細明體" w:hint="eastAsia"/>
                <w:b/>
                <w:kern w:val="0"/>
                <w:sz w:val="24"/>
                <w:szCs w:val="24"/>
              </w:rPr>
              <w:t>98-99</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b/>
                <w:kern w:val="0"/>
                <w:sz w:val="24"/>
                <w:szCs w:val="24"/>
              </w:rPr>
            </w:pPr>
            <w:r w:rsidRPr="00714BF6">
              <w:rPr>
                <w:rFonts w:hAnsi="標楷體" w:cs="新細明體" w:hint="eastAsia"/>
                <w:b/>
                <w:kern w:val="0"/>
                <w:sz w:val="24"/>
                <w:szCs w:val="24"/>
              </w:rPr>
              <w:t>100-101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b/>
                <w:kern w:val="0"/>
                <w:sz w:val="24"/>
                <w:szCs w:val="24"/>
              </w:rPr>
            </w:pPr>
            <w:r w:rsidRPr="00714BF6">
              <w:rPr>
                <w:rFonts w:hAnsi="標楷體" w:cs="新細明體" w:hint="eastAsia"/>
                <w:b/>
                <w:kern w:val="0"/>
                <w:sz w:val="24"/>
                <w:szCs w:val="24"/>
              </w:rPr>
              <w:t>102-103</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b/>
                <w:kern w:val="0"/>
                <w:sz w:val="24"/>
                <w:szCs w:val="24"/>
              </w:rPr>
            </w:pPr>
            <w:r w:rsidRPr="00714BF6">
              <w:rPr>
                <w:rFonts w:hAnsi="標楷體" w:cs="新細明體" w:hint="eastAsia"/>
                <w:b/>
                <w:kern w:val="0"/>
                <w:sz w:val="24"/>
                <w:szCs w:val="24"/>
              </w:rPr>
              <w:t>104</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b/>
                <w:kern w:val="0"/>
                <w:sz w:val="24"/>
                <w:szCs w:val="24"/>
              </w:rPr>
            </w:pPr>
            <w:r w:rsidRPr="00714BF6">
              <w:rPr>
                <w:rFonts w:hAnsi="標楷體" w:cs="新細明體" w:hint="eastAsia"/>
                <w:b/>
                <w:kern w:val="0"/>
                <w:sz w:val="24"/>
                <w:szCs w:val="24"/>
              </w:rPr>
              <w:t>合計</w:t>
            </w:r>
          </w:p>
        </w:tc>
      </w:tr>
      <w:tr w:rsidR="00714BF6" w:rsidRPr="00714BF6" w:rsidTr="009B5DC2">
        <w:trPr>
          <w:trHeight w:val="377"/>
        </w:trPr>
        <w:tc>
          <w:tcPr>
            <w:tcW w:w="2567" w:type="dxa"/>
            <w:tcBorders>
              <w:top w:val="nil"/>
              <w:left w:val="single" w:sz="4" w:space="0" w:color="auto"/>
              <w:bottom w:val="single" w:sz="4" w:space="0" w:color="auto"/>
              <w:right w:val="single" w:sz="4" w:space="0" w:color="auto"/>
            </w:tcBorders>
            <w:shd w:val="clear" w:color="auto" w:fill="auto"/>
            <w:noWrap/>
            <w:vAlign w:val="center"/>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國立雲林科技大學</w:t>
            </w:r>
          </w:p>
        </w:tc>
        <w:tc>
          <w:tcPr>
            <w:tcW w:w="1559" w:type="dxa"/>
            <w:tcBorders>
              <w:top w:val="nil"/>
              <w:left w:val="nil"/>
              <w:bottom w:val="single" w:sz="4" w:space="0" w:color="auto"/>
              <w:right w:val="single" w:sz="4" w:space="0" w:color="auto"/>
            </w:tcBorders>
            <w:shd w:val="clear" w:color="auto" w:fill="auto"/>
            <w:noWrap/>
            <w:vAlign w:val="center"/>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8,500</w:t>
            </w:r>
          </w:p>
        </w:tc>
        <w:tc>
          <w:tcPr>
            <w:tcW w:w="1559" w:type="dxa"/>
            <w:tcBorders>
              <w:top w:val="nil"/>
              <w:left w:val="nil"/>
              <w:bottom w:val="single" w:sz="4" w:space="0" w:color="auto"/>
              <w:right w:val="single" w:sz="4" w:space="0" w:color="auto"/>
            </w:tcBorders>
            <w:shd w:val="clear" w:color="auto" w:fill="auto"/>
            <w:noWrap/>
            <w:vAlign w:val="center"/>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8,500</w:t>
            </w:r>
          </w:p>
        </w:tc>
        <w:tc>
          <w:tcPr>
            <w:tcW w:w="1559" w:type="dxa"/>
            <w:tcBorders>
              <w:top w:val="nil"/>
              <w:left w:val="nil"/>
              <w:bottom w:val="single" w:sz="4" w:space="0" w:color="auto"/>
              <w:right w:val="single" w:sz="4" w:space="0" w:color="auto"/>
            </w:tcBorders>
            <w:shd w:val="clear" w:color="auto" w:fill="auto"/>
            <w:noWrap/>
            <w:vAlign w:val="center"/>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8,500</w:t>
            </w:r>
          </w:p>
        </w:tc>
        <w:tc>
          <w:tcPr>
            <w:tcW w:w="1560" w:type="dxa"/>
            <w:tcBorders>
              <w:top w:val="nil"/>
              <w:left w:val="nil"/>
              <w:bottom w:val="single" w:sz="4" w:space="0" w:color="auto"/>
              <w:right w:val="single" w:sz="4" w:space="0" w:color="auto"/>
            </w:tcBorders>
            <w:shd w:val="clear" w:color="auto" w:fill="auto"/>
            <w:noWrap/>
            <w:vAlign w:val="center"/>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6,438</w:t>
            </w:r>
          </w:p>
        </w:tc>
        <w:tc>
          <w:tcPr>
            <w:tcW w:w="1559" w:type="dxa"/>
            <w:tcBorders>
              <w:top w:val="nil"/>
              <w:left w:val="nil"/>
              <w:bottom w:val="single" w:sz="4" w:space="0" w:color="auto"/>
              <w:right w:val="single" w:sz="4" w:space="0" w:color="auto"/>
            </w:tcBorders>
            <w:shd w:val="clear" w:color="auto" w:fill="auto"/>
            <w:noWrap/>
            <w:vAlign w:val="center"/>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17,000</w:t>
            </w:r>
          </w:p>
        </w:tc>
        <w:tc>
          <w:tcPr>
            <w:tcW w:w="1559" w:type="dxa"/>
            <w:tcBorders>
              <w:top w:val="nil"/>
              <w:left w:val="nil"/>
              <w:bottom w:val="single" w:sz="4" w:space="0" w:color="auto"/>
              <w:right w:val="single" w:sz="4" w:space="0" w:color="auto"/>
            </w:tcBorders>
            <w:shd w:val="clear" w:color="auto" w:fill="auto"/>
            <w:noWrap/>
            <w:vAlign w:val="center"/>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14,000</w:t>
            </w:r>
          </w:p>
        </w:tc>
        <w:tc>
          <w:tcPr>
            <w:tcW w:w="1560" w:type="dxa"/>
            <w:tcBorders>
              <w:top w:val="nil"/>
              <w:left w:val="nil"/>
              <w:bottom w:val="single" w:sz="4" w:space="0" w:color="auto"/>
              <w:right w:val="single" w:sz="4" w:space="0" w:color="auto"/>
            </w:tcBorders>
            <w:shd w:val="clear" w:color="auto" w:fill="auto"/>
            <w:noWrap/>
            <w:vAlign w:val="center"/>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7,000</w:t>
            </w:r>
          </w:p>
        </w:tc>
        <w:tc>
          <w:tcPr>
            <w:tcW w:w="1559" w:type="dxa"/>
            <w:tcBorders>
              <w:top w:val="nil"/>
              <w:left w:val="nil"/>
              <w:bottom w:val="single" w:sz="4" w:space="0" w:color="auto"/>
              <w:right w:val="single" w:sz="4" w:space="0" w:color="auto"/>
            </w:tcBorders>
            <w:shd w:val="clear" w:color="auto" w:fill="auto"/>
            <w:noWrap/>
            <w:vAlign w:val="center"/>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69,938</w:t>
            </w:r>
          </w:p>
        </w:tc>
      </w:tr>
      <w:tr w:rsidR="00714BF6" w:rsidRPr="00714BF6" w:rsidTr="009B5DC2">
        <w:trPr>
          <w:trHeight w:val="377"/>
        </w:trPr>
        <w:tc>
          <w:tcPr>
            <w:tcW w:w="2567" w:type="dxa"/>
            <w:tcBorders>
              <w:top w:val="nil"/>
              <w:left w:val="single" w:sz="4" w:space="0" w:color="auto"/>
              <w:bottom w:val="single" w:sz="4" w:space="0" w:color="auto"/>
              <w:right w:val="single" w:sz="4" w:space="0" w:color="auto"/>
            </w:tcBorders>
            <w:shd w:val="clear" w:color="auto" w:fill="auto"/>
            <w:noWrap/>
            <w:vAlign w:val="center"/>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南</w:t>
            </w:r>
            <w:proofErr w:type="gramStart"/>
            <w:r w:rsidRPr="00714BF6">
              <w:rPr>
                <w:rFonts w:hAnsi="標楷體" w:cs="新細明體" w:hint="eastAsia"/>
                <w:b/>
                <w:kern w:val="0"/>
                <w:sz w:val="24"/>
                <w:szCs w:val="24"/>
              </w:rPr>
              <w:t>臺</w:t>
            </w:r>
            <w:proofErr w:type="gramEnd"/>
            <w:r w:rsidRPr="00714BF6">
              <w:rPr>
                <w:rFonts w:hAnsi="標楷體" w:cs="新細明體" w:hint="eastAsia"/>
                <w:b/>
                <w:kern w:val="0"/>
                <w:sz w:val="24"/>
                <w:szCs w:val="24"/>
              </w:rPr>
              <w:t>科技大學</w:t>
            </w:r>
          </w:p>
        </w:tc>
        <w:tc>
          <w:tcPr>
            <w:tcW w:w="1559" w:type="dxa"/>
            <w:tcBorders>
              <w:top w:val="nil"/>
              <w:left w:val="nil"/>
              <w:bottom w:val="single" w:sz="4" w:space="0" w:color="auto"/>
              <w:right w:val="single" w:sz="4" w:space="0" w:color="auto"/>
            </w:tcBorders>
            <w:shd w:val="clear" w:color="auto" w:fill="auto"/>
            <w:noWrap/>
            <w:vAlign w:val="center"/>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7,000</w:t>
            </w:r>
          </w:p>
        </w:tc>
        <w:tc>
          <w:tcPr>
            <w:tcW w:w="1559" w:type="dxa"/>
            <w:tcBorders>
              <w:top w:val="nil"/>
              <w:left w:val="nil"/>
              <w:bottom w:val="single" w:sz="4" w:space="0" w:color="auto"/>
              <w:right w:val="single" w:sz="4" w:space="0" w:color="auto"/>
            </w:tcBorders>
            <w:shd w:val="clear" w:color="auto" w:fill="auto"/>
            <w:noWrap/>
            <w:vAlign w:val="center"/>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8,500</w:t>
            </w:r>
          </w:p>
        </w:tc>
        <w:tc>
          <w:tcPr>
            <w:tcW w:w="1559" w:type="dxa"/>
            <w:tcBorders>
              <w:top w:val="nil"/>
              <w:left w:val="nil"/>
              <w:bottom w:val="single" w:sz="4" w:space="0" w:color="auto"/>
              <w:right w:val="single" w:sz="4" w:space="0" w:color="auto"/>
            </w:tcBorders>
            <w:shd w:val="clear" w:color="auto" w:fill="auto"/>
            <w:noWrap/>
            <w:vAlign w:val="center"/>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8,943</w:t>
            </w:r>
          </w:p>
        </w:tc>
        <w:tc>
          <w:tcPr>
            <w:tcW w:w="1560" w:type="dxa"/>
            <w:tcBorders>
              <w:top w:val="nil"/>
              <w:left w:val="nil"/>
              <w:bottom w:val="single" w:sz="4" w:space="0" w:color="auto"/>
              <w:right w:val="single" w:sz="4" w:space="0" w:color="auto"/>
            </w:tcBorders>
            <w:shd w:val="clear" w:color="auto" w:fill="auto"/>
            <w:noWrap/>
            <w:vAlign w:val="center"/>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6,438</w:t>
            </w:r>
          </w:p>
        </w:tc>
        <w:tc>
          <w:tcPr>
            <w:tcW w:w="1559" w:type="dxa"/>
            <w:tcBorders>
              <w:top w:val="nil"/>
              <w:left w:val="nil"/>
              <w:bottom w:val="single" w:sz="4" w:space="0" w:color="auto"/>
              <w:right w:val="single" w:sz="4" w:space="0" w:color="auto"/>
            </w:tcBorders>
            <w:shd w:val="clear" w:color="auto" w:fill="auto"/>
            <w:noWrap/>
            <w:vAlign w:val="center"/>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17,000</w:t>
            </w:r>
          </w:p>
        </w:tc>
        <w:tc>
          <w:tcPr>
            <w:tcW w:w="1559" w:type="dxa"/>
            <w:tcBorders>
              <w:top w:val="nil"/>
              <w:left w:val="nil"/>
              <w:bottom w:val="single" w:sz="4" w:space="0" w:color="auto"/>
              <w:right w:val="single" w:sz="4" w:space="0" w:color="auto"/>
            </w:tcBorders>
            <w:shd w:val="clear" w:color="auto" w:fill="auto"/>
            <w:noWrap/>
            <w:vAlign w:val="center"/>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14,000</w:t>
            </w:r>
          </w:p>
        </w:tc>
        <w:tc>
          <w:tcPr>
            <w:tcW w:w="1560" w:type="dxa"/>
            <w:tcBorders>
              <w:top w:val="nil"/>
              <w:left w:val="nil"/>
              <w:bottom w:val="single" w:sz="4" w:space="0" w:color="auto"/>
              <w:right w:val="single" w:sz="4" w:space="0" w:color="auto"/>
            </w:tcBorders>
            <w:shd w:val="clear" w:color="auto" w:fill="auto"/>
            <w:noWrap/>
            <w:vAlign w:val="center"/>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6,500</w:t>
            </w:r>
          </w:p>
        </w:tc>
        <w:tc>
          <w:tcPr>
            <w:tcW w:w="1559" w:type="dxa"/>
            <w:tcBorders>
              <w:top w:val="nil"/>
              <w:left w:val="nil"/>
              <w:bottom w:val="single" w:sz="4" w:space="0" w:color="auto"/>
              <w:right w:val="single" w:sz="4" w:space="0" w:color="auto"/>
            </w:tcBorders>
            <w:shd w:val="clear" w:color="auto" w:fill="auto"/>
            <w:noWrap/>
            <w:vAlign w:val="center"/>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68,381</w:t>
            </w:r>
          </w:p>
        </w:tc>
      </w:tr>
      <w:tr w:rsidR="00714BF6" w:rsidRPr="00714BF6" w:rsidTr="009B5DC2">
        <w:trPr>
          <w:trHeight w:val="357"/>
        </w:trPr>
        <w:tc>
          <w:tcPr>
            <w:tcW w:w="2567" w:type="dxa"/>
            <w:tcBorders>
              <w:top w:val="nil"/>
              <w:left w:val="single" w:sz="4" w:space="0" w:color="auto"/>
              <w:bottom w:val="single" w:sz="4" w:space="0" w:color="auto"/>
              <w:right w:val="single" w:sz="4" w:space="0" w:color="auto"/>
            </w:tcBorders>
            <w:shd w:val="clear" w:color="auto" w:fill="auto"/>
            <w:noWrap/>
            <w:vAlign w:val="center"/>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國立</w:t>
            </w:r>
            <w:proofErr w:type="gramStart"/>
            <w:r w:rsidRPr="00714BF6">
              <w:rPr>
                <w:rFonts w:hAnsi="標楷體" w:cs="新細明體" w:hint="eastAsia"/>
                <w:b/>
                <w:kern w:val="0"/>
                <w:sz w:val="24"/>
                <w:szCs w:val="24"/>
              </w:rPr>
              <w:t>臺</w:t>
            </w:r>
            <w:proofErr w:type="gramEnd"/>
            <w:r w:rsidRPr="00714BF6">
              <w:rPr>
                <w:rFonts w:hAnsi="標楷體" w:cs="新細明體" w:hint="eastAsia"/>
                <w:b/>
                <w:kern w:val="0"/>
                <w:sz w:val="24"/>
                <w:szCs w:val="24"/>
              </w:rPr>
              <w:t>北科技大學</w:t>
            </w:r>
          </w:p>
        </w:tc>
        <w:tc>
          <w:tcPr>
            <w:tcW w:w="1559" w:type="dxa"/>
            <w:tcBorders>
              <w:top w:val="nil"/>
              <w:left w:val="nil"/>
              <w:bottom w:val="single" w:sz="4" w:space="0" w:color="auto"/>
              <w:right w:val="single" w:sz="4" w:space="0" w:color="auto"/>
            </w:tcBorders>
            <w:shd w:val="clear" w:color="auto" w:fill="auto"/>
            <w:noWrap/>
            <w:vAlign w:val="center"/>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7,000</w:t>
            </w:r>
          </w:p>
        </w:tc>
        <w:tc>
          <w:tcPr>
            <w:tcW w:w="1559" w:type="dxa"/>
            <w:tcBorders>
              <w:top w:val="nil"/>
              <w:left w:val="nil"/>
              <w:bottom w:val="single" w:sz="4" w:space="0" w:color="auto"/>
              <w:right w:val="single" w:sz="4" w:space="0" w:color="auto"/>
            </w:tcBorders>
            <w:shd w:val="clear" w:color="auto" w:fill="auto"/>
            <w:noWrap/>
            <w:vAlign w:val="center"/>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7,000</w:t>
            </w:r>
          </w:p>
        </w:tc>
        <w:tc>
          <w:tcPr>
            <w:tcW w:w="1559" w:type="dxa"/>
            <w:tcBorders>
              <w:top w:val="nil"/>
              <w:left w:val="nil"/>
              <w:bottom w:val="single" w:sz="4" w:space="0" w:color="auto"/>
              <w:right w:val="single" w:sz="4" w:space="0" w:color="auto"/>
            </w:tcBorders>
            <w:shd w:val="clear" w:color="auto" w:fill="auto"/>
            <w:noWrap/>
            <w:vAlign w:val="center"/>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7,000</w:t>
            </w:r>
          </w:p>
        </w:tc>
        <w:tc>
          <w:tcPr>
            <w:tcW w:w="1560" w:type="dxa"/>
            <w:tcBorders>
              <w:top w:val="nil"/>
              <w:left w:val="nil"/>
              <w:bottom w:val="single" w:sz="4" w:space="0" w:color="auto"/>
              <w:right w:val="single" w:sz="4" w:space="0" w:color="auto"/>
            </w:tcBorders>
            <w:shd w:val="clear" w:color="auto" w:fill="auto"/>
            <w:noWrap/>
            <w:vAlign w:val="center"/>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8,006</w:t>
            </w:r>
          </w:p>
        </w:tc>
        <w:tc>
          <w:tcPr>
            <w:tcW w:w="1559" w:type="dxa"/>
            <w:tcBorders>
              <w:top w:val="nil"/>
              <w:left w:val="nil"/>
              <w:bottom w:val="single" w:sz="4" w:space="0" w:color="auto"/>
              <w:right w:val="single" w:sz="4" w:space="0" w:color="auto"/>
            </w:tcBorders>
            <w:shd w:val="clear" w:color="auto" w:fill="auto"/>
            <w:noWrap/>
            <w:vAlign w:val="center"/>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14,000</w:t>
            </w:r>
          </w:p>
        </w:tc>
        <w:tc>
          <w:tcPr>
            <w:tcW w:w="1559" w:type="dxa"/>
            <w:tcBorders>
              <w:top w:val="nil"/>
              <w:left w:val="nil"/>
              <w:bottom w:val="single" w:sz="4" w:space="0" w:color="auto"/>
              <w:right w:val="single" w:sz="4" w:space="0" w:color="auto"/>
            </w:tcBorders>
            <w:shd w:val="clear" w:color="auto" w:fill="auto"/>
            <w:noWrap/>
            <w:vAlign w:val="center"/>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14,000</w:t>
            </w:r>
          </w:p>
        </w:tc>
        <w:tc>
          <w:tcPr>
            <w:tcW w:w="1560" w:type="dxa"/>
            <w:tcBorders>
              <w:top w:val="nil"/>
              <w:left w:val="nil"/>
              <w:bottom w:val="single" w:sz="4" w:space="0" w:color="auto"/>
              <w:right w:val="single" w:sz="4" w:space="0" w:color="auto"/>
            </w:tcBorders>
            <w:shd w:val="clear" w:color="auto" w:fill="auto"/>
            <w:noWrap/>
            <w:vAlign w:val="center"/>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7,000</w:t>
            </w:r>
          </w:p>
        </w:tc>
        <w:tc>
          <w:tcPr>
            <w:tcW w:w="1559" w:type="dxa"/>
            <w:tcBorders>
              <w:top w:val="nil"/>
              <w:left w:val="nil"/>
              <w:bottom w:val="single" w:sz="4" w:space="0" w:color="auto"/>
              <w:right w:val="single" w:sz="4" w:space="0" w:color="auto"/>
            </w:tcBorders>
            <w:shd w:val="clear" w:color="auto" w:fill="auto"/>
            <w:noWrap/>
            <w:vAlign w:val="center"/>
          </w:tcPr>
          <w:p w:rsidR="00BD7E9C" w:rsidRPr="00714BF6" w:rsidRDefault="00BD7E9C" w:rsidP="009B5DC2">
            <w:pPr>
              <w:spacing w:line="240" w:lineRule="exact"/>
              <w:ind w:firstLineChars="150" w:firstLine="360"/>
              <w:rPr>
                <w:rFonts w:hAnsi="標楷體" w:cs="新細明體"/>
                <w:kern w:val="0"/>
                <w:sz w:val="24"/>
                <w:szCs w:val="24"/>
              </w:rPr>
            </w:pPr>
            <w:r w:rsidRPr="00714BF6">
              <w:rPr>
                <w:rFonts w:hAnsi="標楷體" w:cs="新細明體" w:hint="eastAsia"/>
                <w:kern w:val="0"/>
                <w:sz w:val="24"/>
                <w:szCs w:val="24"/>
              </w:rPr>
              <w:t>64,006</w:t>
            </w:r>
          </w:p>
        </w:tc>
      </w:tr>
      <w:tr w:rsidR="00714BF6" w:rsidRPr="00714BF6" w:rsidTr="009B5DC2">
        <w:trPr>
          <w:trHeight w:val="357"/>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朝陽科技大學</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5,500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5,500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6,720</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5,850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17,000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11,000</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5,495</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57,065</w:t>
            </w:r>
          </w:p>
        </w:tc>
      </w:tr>
      <w:tr w:rsidR="00714BF6" w:rsidRPr="00714BF6" w:rsidTr="009B5DC2">
        <w:trPr>
          <w:trHeight w:val="357"/>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國立高雄應用科技大學</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7,000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6,500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4,845</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6,438</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14,000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11,000</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5,500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55,283</w:t>
            </w:r>
          </w:p>
        </w:tc>
      </w:tr>
      <w:tr w:rsidR="00714BF6" w:rsidRPr="00714BF6" w:rsidTr="009B5DC2">
        <w:trPr>
          <w:trHeight w:val="357"/>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龍華科技大學</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7,000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5,500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6,335</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5,850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14,000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11,000</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5,500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55,185</w:t>
            </w:r>
          </w:p>
        </w:tc>
      </w:tr>
      <w:tr w:rsidR="00714BF6" w:rsidRPr="00714BF6" w:rsidTr="009B5DC2">
        <w:trPr>
          <w:trHeight w:val="357"/>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崑山科技大學</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5,500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5,500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5,500</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4,870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11,000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11,000</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5,500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48,870</w:t>
            </w:r>
          </w:p>
        </w:tc>
      </w:tr>
      <w:tr w:rsidR="00714BF6" w:rsidRPr="00714BF6" w:rsidTr="009B5DC2">
        <w:trPr>
          <w:trHeight w:val="357"/>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正修科技大學</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2,500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4,000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3,270</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4,870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17,000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11,000</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5,500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48,140</w:t>
            </w:r>
          </w:p>
        </w:tc>
      </w:tr>
      <w:tr w:rsidR="00714BF6" w:rsidRPr="00714BF6" w:rsidTr="009B5DC2">
        <w:trPr>
          <w:trHeight w:val="357"/>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明志科技大學</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7,000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5,500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4,215</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5,850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110,00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11,000</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3,500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48,065</w:t>
            </w:r>
          </w:p>
        </w:tc>
      </w:tr>
      <w:tr w:rsidR="00714BF6" w:rsidRPr="00714BF6" w:rsidTr="009B5DC2">
        <w:trPr>
          <w:trHeight w:val="357"/>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國立虎尾科技大學</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7,000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7,000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7,490</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5,850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8,600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8,000</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4,000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47,940</w:t>
            </w:r>
          </w:p>
        </w:tc>
      </w:tr>
      <w:tr w:rsidR="00714BF6" w:rsidRPr="00714BF6" w:rsidTr="009B5DC2">
        <w:trPr>
          <w:trHeight w:val="357"/>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文藻外語大學</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7,000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7,000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7,000</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5,262</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8,600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8,000</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4,000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46,862</w:t>
            </w:r>
          </w:p>
        </w:tc>
      </w:tr>
      <w:tr w:rsidR="00714BF6" w:rsidRPr="00714BF6" w:rsidTr="009B5DC2">
        <w:trPr>
          <w:trHeight w:val="357"/>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遠東科技大學</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5,581</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5,500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4,215</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4,870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8,600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11,000</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5,500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45,266</w:t>
            </w:r>
          </w:p>
        </w:tc>
      </w:tr>
      <w:tr w:rsidR="00714BF6" w:rsidRPr="00714BF6" w:rsidTr="009B5DC2">
        <w:trPr>
          <w:trHeight w:val="357"/>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國立高雄第一科技大學</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5,500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5,500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4,215</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4,478</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8,600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11,000</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5,500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44,793</w:t>
            </w:r>
          </w:p>
        </w:tc>
      </w:tr>
      <w:tr w:rsidR="00714BF6" w:rsidRPr="00714BF6" w:rsidTr="009B5DC2">
        <w:trPr>
          <w:trHeight w:val="357"/>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國立高雄餐旅大學</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2,500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2,500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4,200</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4,478</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11,000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11,000</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5,500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41,178</w:t>
            </w:r>
          </w:p>
        </w:tc>
      </w:tr>
      <w:tr w:rsidR="00714BF6" w:rsidRPr="00714BF6" w:rsidTr="009B5DC2">
        <w:trPr>
          <w:trHeight w:val="357"/>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弘光科技大學</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1,500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1,500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4,125</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6,438</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13,930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8,000</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4,000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39,493</w:t>
            </w:r>
          </w:p>
        </w:tc>
      </w:tr>
      <w:tr w:rsidR="00714BF6" w:rsidRPr="00714BF6" w:rsidTr="009B5DC2">
        <w:trPr>
          <w:trHeight w:val="357"/>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國立屏東科技大學</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5,500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2,500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4,200</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5,262</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8,600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8,000</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3,500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37,562</w:t>
            </w:r>
          </w:p>
        </w:tc>
      </w:tr>
      <w:tr w:rsidR="00714BF6" w:rsidRPr="00714BF6" w:rsidTr="009B5DC2">
        <w:trPr>
          <w:trHeight w:val="357"/>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南開科技大學</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4,000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5,500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6,335</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5,262</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6,000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6,000</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36,097</w:t>
            </w:r>
          </w:p>
        </w:tc>
      </w:tr>
      <w:tr w:rsidR="00714BF6" w:rsidRPr="00714BF6" w:rsidTr="009B5DC2">
        <w:trPr>
          <w:trHeight w:val="357"/>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聖約翰科技大學</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4,000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4,000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5,180</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4,086</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7,600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8,000</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2,500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35,366</w:t>
            </w:r>
          </w:p>
        </w:tc>
      </w:tr>
      <w:tr w:rsidR="00714BF6" w:rsidRPr="00714BF6" w:rsidTr="009B5DC2">
        <w:trPr>
          <w:trHeight w:val="357"/>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中國科技大學</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2,500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2,000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3,640</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4,870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8,600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8,000</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4,000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33,610</w:t>
            </w:r>
          </w:p>
        </w:tc>
      </w:tr>
      <w:tr w:rsidR="00714BF6" w:rsidRPr="00714BF6" w:rsidTr="009B5DC2">
        <w:trPr>
          <w:trHeight w:val="357"/>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建國科技大學</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5,500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5,500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5,500</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4,478</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6,000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6,000</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32,978</w:t>
            </w:r>
          </w:p>
        </w:tc>
      </w:tr>
      <w:tr w:rsidR="00714BF6" w:rsidRPr="00714BF6" w:rsidTr="009B5DC2">
        <w:trPr>
          <w:trHeight w:val="357"/>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國立勤益科技大學</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2,500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2,500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4,025</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3,694</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6,501</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8,000</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4,000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31,220</w:t>
            </w:r>
          </w:p>
        </w:tc>
      </w:tr>
      <w:tr w:rsidR="00714BF6" w:rsidRPr="00714BF6" w:rsidTr="009B5DC2">
        <w:trPr>
          <w:trHeight w:val="357"/>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致理技術學院</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1,500</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5,262</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11,000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8,000</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4,000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29,762</w:t>
            </w:r>
          </w:p>
        </w:tc>
      </w:tr>
      <w:tr w:rsidR="00714BF6" w:rsidRPr="00714BF6" w:rsidTr="009B5DC2">
        <w:trPr>
          <w:trHeight w:val="357"/>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樹德科技大學</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4,000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2,500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2,500</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3,302</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76,00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6,000</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28,902</w:t>
            </w:r>
          </w:p>
        </w:tc>
      </w:tr>
      <w:tr w:rsidR="00714BF6" w:rsidRPr="00714BF6" w:rsidTr="009B5DC2">
        <w:trPr>
          <w:trHeight w:val="357"/>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lastRenderedPageBreak/>
              <w:t>中</w:t>
            </w:r>
            <w:proofErr w:type="gramStart"/>
            <w:r w:rsidRPr="00714BF6">
              <w:rPr>
                <w:rFonts w:hAnsi="標楷體" w:cs="新細明體" w:hint="eastAsia"/>
                <w:b/>
                <w:kern w:val="0"/>
                <w:sz w:val="24"/>
                <w:szCs w:val="24"/>
              </w:rPr>
              <w:t>臺</w:t>
            </w:r>
            <w:proofErr w:type="gramEnd"/>
            <w:r w:rsidRPr="00714BF6">
              <w:rPr>
                <w:rFonts w:hAnsi="標楷體" w:cs="新細明體" w:hint="eastAsia"/>
                <w:b/>
                <w:kern w:val="0"/>
                <w:sz w:val="24"/>
                <w:szCs w:val="24"/>
              </w:rPr>
              <w:t>科技大學</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4,000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3,700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3,700</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6,000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8,000</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28,400</w:t>
            </w:r>
          </w:p>
        </w:tc>
      </w:tr>
      <w:tr w:rsidR="00714BF6" w:rsidRPr="00714BF6" w:rsidTr="009B5DC2">
        <w:trPr>
          <w:trHeight w:val="357"/>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長庚科技大學</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4,000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2,500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2,150</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6,600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8,000</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3,500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26,750</w:t>
            </w:r>
          </w:p>
        </w:tc>
      </w:tr>
      <w:tr w:rsidR="00714BF6" w:rsidRPr="00714BF6" w:rsidTr="009B5DC2">
        <w:trPr>
          <w:trHeight w:val="357"/>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健行科技大學</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5,500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4,000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2,130</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4,478</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6,000</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3,500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25,608</w:t>
            </w:r>
          </w:p>
        </w:tc>
      </w:tr>
      <w:tr w:rsidR="00714BF6" w:rsidRPr="00714BF6" w:rsidTr="009B5DC2">
        <w:trPr>
          <w:trHeight w:val="357"/>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萬能科技大學</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4,000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4,000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2,410</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6,600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6,000</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23,010</w:t>
            </w:r>
          </w:p>
        </w:tc>
      </w:tr>
      <w:tr w:rsidR="00714BF6" w:rsidRPr="00714BF6" w:rsidTr="009B5DC2">
        <w:trPr>
          <w:trHeight w:val="357"/>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國立</w:t>
            </w:r>
            <w:proofErr w:type="gramStart"/>
            <w:r w:rsidRPr="00714BF6">
              <w:rPr>
                <w:rFonts w:hAnsi="標楷體" w:cs="新細明體" w:hint="eastAsia"/>
                <w:b/>
                <w:kern w:val="0"/>
                <w:sz w:val="24"/>
                <w:szCs w:val="24"/>
              </w:rPr>
              <w:t>臺</w:t>
            </w:r>
            <w:proofErr w:type="gramEnd"/>
            <w:r w:rsidRPr="00714BF6">
              <w:rPr>
                <w:rFonts w:hAnsi="標楷體" w:cs="新細明體" w:hint="eastAsia"/>
                <w:b/>
                <w:kern w:val="0"/>
                <w:sz w:val="24"/>
                <w:szCs w:val="24"/>
              </w:rPr>
              <w:t>北護理健康大學</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2,500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2,000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2,000</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7,600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8,000</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22,100</w:t>
            </w:r>
          </w:p>
        </w:tc>
      </w:tr>
      <w:tr w:rsidR="00714BF6" w:rsidRPr="00714BF6" w:rsidTr="009B5DC2">
        <w:trPr>
          <w:trHeight w:val="357"/>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育達科技大學</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4,000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3,302</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6,600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6,000</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19,902</w:t>
            </w:r>
          </w:p>
        </w:tc>
      </w:tr>
      <w:tr w:rsidR="00714BF6" w:rsidRPr="00714BF6" w:rsidTr="009B5DC2">
        <w:trPr>
          <w:trHeight w:val="357"/>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嘉南藥理大學</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3,302</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6,600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6,000</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3,500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19,402</w:t>
            </w:r>
          </w:p>
        </w:tc>
      </w:tr>
      <w:tr w:rsidR="00714BF6" w:rsidRPr="00714BF6" w:rsidTr="009B5DC2">
        <w:trPr>
          <w:trHeight w:val="357"/>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華夏科技大學</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3,694</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6,000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4,500</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17,194</w:t>
            </w:r>
          </w:p>
        </w:tc>
      </w:tr>
      <w:tr w:rsidR="00714BF6" w:rsidRPr="00714BF6" w:rsidTr="009B5DC2">
        <w:trPr>
          <w:trHeight w:val="357"/>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景文科技大學</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3,945</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5,266</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6,000</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15,211</w:t>
            </w:r>
          </w:p>
        </w:tc>
      </w:tr>
      <w:tr w:rsidR="00714BF6" w:rsidRPr="00714BF6" w:rsidTr="009B5DC2">
        <w:trPr>
          <w:trHeight w:val="357"/>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嶺東科技大學</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6,600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4,500</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2,500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13,600</w:t>
            </w:r>
          </w:p>
        </w:tc>
      </w:tr>
      <w:tr w:rsidR="00714BF6" w:rsidRPr="00714BF6" w:rsidTr="009B5DC2">
        <w:trPr>
          <w:trHeight w:val="357"/>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高苑科技大學</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8,000</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3,500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11,500</w:t>
            </w:r>
          </w:p>
        </w:tc>
      </w:tr>
      <w:tr w:rsidR="00714BF6" w:rsidRPr="00714BF6" w:rsidTr="009B5DC2">
        <w:trPr>
          <w:trHeight w:val="357"/>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環球科技大學</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6,000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4,500</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10,500</w:t>
            </w:r>
          </w:p>
        </w:tc>
      </w:tr>
      <w:tr w:rsidR="00714BF6" w:rsidRPr="00714BF6" w:rsidTr="009B5DC2">
        <w:trPr>
          <w:trHeight w:val="357"/>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慈濟科技大學</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6,000</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3,500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9,500</w:t>
            </w:r>
          </w:p>
        </w:tc>
      </w:tr>
      <w:tr w:rsidR="00714BF6" w:rsidRPr="00714BF6" w:rsidTr="009B5DC2">
        <w:trPr>
          <w:trHeight w:val="357"/>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亞東技術學院</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4,000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1,500</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3,694</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9,194</w:t>
            </w:r>
          </w:p>
        </w:tc>
      </w:tr>
      <w:tr w:rsidR="00714BF6" w:rsidRPr="00714BF6" w:rsidTr="009B5DC2">
        <w:trPr>
          <w:trHeight w:val="357"/>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rPr>
                <w:rFonts w:hAnsi="標楷體" w:cs="新細明體"/>
                <w:b/>
                <w:kern w:val="0"/>
                <w:sz w:val="24"/>
                <w:szCs w:val="24"/>
              </w:rPr>
            </w:pPr>
            <w:proofErr w:type="gramStart"/>
            <w:r w:rsidRPr="00714BF6">
              <w:rPr>
                <w:rFonts w:hAnsi="標楷體" w:cs="新細明體" w:hint="eastAsia"/>
                <w:b/>
                <w:kern w:val="0"/>
                <w:sz w:val="24"/>
                <w:szCs w:val="24"/>
              </w:rPr>
              <w:t>臺</w:t>
            </w:r>
            <w:proofErr w:type="gramEnd"/>
            <w:r w:rsidRPr="00714BF6">
              <w:rPr>
                <w:rFonts w:hAnsi="標楷體" w:cs="新細明體" w:hint="eastAsia"/>
                <w:b/>
                <w:kern w:val="0"/>
                <w:sz w:val="24"/>
                <w:szCs w:val="24"/>
              </w:rPr>
              <w:t>南應用科技大學</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6,000</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9,000</w:t>
            </w:r>
          </w:p>
        </w:tc>
      </w:tr>
      <w:tr w:rsidR="00714BF6" w:rsidRPr="00714BF6" w:rsidTr="009B5DC2">
        <w:trPr>
          <w:trHeight w:val="357"/>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東南科技大學</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4,000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2,990</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6,990</w:t>
            </w:r>
          </w:p>
        </w:tc>
      </w:tr>
      <w:tr w:rsidR="00714BF6" w:rsidRPr="00714BF6" w:rsidTr="009B5DC2">
        <w:trPr>
          <w:trHeight w:val="357"/>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輔英科技大學</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4,086</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2,500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6,586</w:t>
            </w:r>
          </w:p>
        </w:tc>
      </w:tr>
      <w:tr w:rsidR="00714BF6" w:rsidRPr="00714BF6" w:rsidTr="009B5DC2">
        <w:trPr>
          <w:trHeight w:val="357"/>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大仁科技大學</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1,500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1,500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1,500</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4,500</w:t>
            </w:r>
          </w:p>
        </w:tc>
      </w:tr>
      <w:tr w:rsidR="00714BF6" w:rsidRPr="00714BF6" w:rsidTr="009B5DC2">
        <w:trPr>
          <w:trHeight w:val="357"/>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德明財經科技大學</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4,500</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4,500</w:t>
            </w:r>
          </w:p>
        </w:tc>
      </w:tr>
      <w:tr w:rsidR="00714BF6" w:rsidRPr="00714BF6" w:rsidTr="009B5DC2">
        <w:trPr>
          <w:trHeight w:val="357"/>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德</w:t>
            </w:r>
            <w:proofErr w:type="gramStart"/>
            <w:r w:rsidRPr="00714BF6">
              <w:rPr>
                <w:rFonts w:hAnsi="標楷體" w:cs="新細明體" w:hint="eastAsia"/>
                <w:b/>
                <w:kern w:val="0"/>
                <w:sz w:val="24"/>
                <w:szCs w:val="24"/>
              </w:rPr>
              <w:t>霖</w:t>
            </w:r>
            <w:proofErr w:type="gramEnd"/>
            <w:r w:rsidRPr="00714BF6">
              <w:rPr>
                <w:rFonts w:hAnsi="標楷體" w:cs="新細明體" w:hint="eastAsia"/>
                <w:b/>
                <w:kern w:val="0"/>
                <w:sz w:val="24"/>
                <w:szCs w:val="24"/>
              </w:rPr>
              <w:t>技術學院</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4,086</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4,086</w:t>
            </w:r>
          </w:p>
        </w:tc>
      </w:tr>
      <w:tr w:rsidR="00714BF6" w:rsidRPr="00714BF6" w:rsidTr="009B5DC2">
        <w:trPr>
          <w:trHeight w:val="357"/>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中州科技大學</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3,302</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3,302</w:t>
            </w:r>
          </w:p>
        </w:tc>
      </w:tr>
      <w:tr w:rsidR="00714BF6" w:rsidRPr="00714BF6" w:rsidTr="009B5DC2">
        <w:trPr>
          <w:trHeight w:val="357"/>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中華</w:t>
            </w:r>
            <w:proofErr w:type="gramStart"/>
            <w:r w:rsidRPr="00714BF6">
              <w:rPr>
                <w:rFonts w:hAnsi="標楷體" w:cs="新細明體" w:hint="eastAsia"/>
                <w:b/>
                <w:kern w:val="0"/>
                <w:sz w:val="24"/>
                <w:szCs w:val="24"/>
              </w:rPr>
              <w:t>醫</w:t>
            </w:r>
            <w:proofErr w:type="gramEnd"/>
            <w:r w:rsidRPr="00714BF6">
              <w:rPr>
                <w:rFonts w:hAnsi="標楷體" w:cs="新細明體" w:hint="eastAsia"/>
                <w:b/>
                <w:kern w:val="0"/>
                <w:sz w:val="24"/>
                <w:szCs w:val="24"/>
              </w:rPr>
              <w:t>事科技大學</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3,000</w:t>
            </w:r>
          </w:p>
        </w:tc>
      </w:tr>
      <w:tr w:rsidR="00714BF6" w:rsidRPr="00714BF6" w:rsidTr="009B5DC2">
        <w:trPr>
          <w:trHeight w:val="357"/>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僑光科技大學</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3,000</w:t>
            </w:r>
          </w:p>
        </w:tc>
      </w:tr>
      <w:tr w:rsidR="00714BF6" w:rsidRPr="00714BF6" w:rsidTr="009B5DC2">
        <w:trPr>
          <w:trHeight w:val="357"/>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醒吾科技大學</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3,000</w:t>
            </w:r>
          </w:p>
        </w:tc>
      </w:tr>
      <w:tr w:rsidR="00714BF6" w:rsidRPr="00714BF6" w:rsidTr="009B5DC2">
        <w:trPr>
          <w:trHeight w:val="357"/>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元培</w:t>
            </w:r>
            <w:proofErr w:type="gramStart"/>
            <w:r w:rsidRPr="00714BF6">
              <w:rPr>
                <w:rFonts w:hAnsi="標楷體" w:cs="新細明體" w:hint="eastAsia"/>
                <w:b/>
                <w:kern w:val="0"/>
                <w:sz w:val="24"/>
                <w:szCs w:val="24"/>
              </w:rPr>
              <w:t>醫</w:t>
            </w:r>
            <w:proofErr w:type="gramEnd"/>
            <w:r w:rsidRPr="00714BF6">
              <w:rPr>
                <w:rFonts w:hAnsi="標楷體" w:cs="新細明體" w:hint="eastAsia"/>
                <w:b/>
                <w:kern w:val="0"/>
                <w:sz w:val="24"/>
                <w:szCs w:val="24"/>
              </w:rPr>
              <w:t>事科技大學</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2,500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2,500</w:t>
            </w:r>
          </w:p>
        </w:tc>
      </w:tr>
      <w:tr w:rsidR="00714BF6" w:rsidRPr="00714BF6" w:rsidTr="009B5DC2">
        <w:trPr>
          <w:trHeight w:val="357"/>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美和科技大學</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2,500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2,500</w:t>
            </w:r>
          </w:p>
        </w:tc>
      </w:tr>
      <w:tr w:rsidR="00714BF6" w:rsidRPr="00714BF6" w:rsidTr="009B5DC2">
        <w:trPr>
          <w:trHeight w:val="357"/>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lastRenderedPageBreak/>
              <w:t>修平科技大學</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2,500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2,500</w:t>
            </w:r>
          </w:p>
        </w:tc>
      </w:tr>
      <w:tr w:rsidR="00714BF6" w:rsidRPr="00714BF6" w:rsidTr="009B5DC2">
        <w:trPr>
          <w:trHeight w:val="357"/>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rPr>
                <w:rFonts w:hAnsi="標楷體" w:cs="新細明體"/>
                <w:b/>
                <w:kern w:val="0"/>
                <w:sz w:val="24"/>
                <w:szCs w:val="24"/>
              </w:rPr>
            </w:pPr>
            <w:r w:rsidRPr="00714BF6">
              <w:rPr>
                <w:rFonts w:hAnsi="標楷體" w:cs="新細明體" w:hint="eastAsia"/>
                <w:b/>
                <w:kern w:val="0"/>
                <w:sz w:val="24"/>
                <w:szCs w:val="24"/>
              </w:rPr>
              <w:t>國立高雄海洋科技大學</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spacing w:line="240" w:lineRule="exact"/>
              <w:jc w:val="center"/>
            </w:pPr>
            <w:r w:rsidRPr="00714BF6">
              <w:rPr>
                <w:rFonts w:hAnsi="標楷體" w:cs="新細明體" w:hint="eastAsia"/>
                <w:kern w:val="0"/>
                <w:sz w:val="24"/>
                <w:szCs w:val="24"/>
              </w:rPr>
              <w:t>-</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2,500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2,500</w:t>
            </w:r>
          </w:p>
        </w:tc>
      </w:tr>
      <w:tr w:rsidR="00714BF6" w:rsidRPr="00714BF6" w:rsidTr="009B5DC2">
        <w:trPr>
          <w:trHeight w:val="357"/>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b/>
                <w:kern w:val="0"/>
                <w:sz w:val="24"/>
                <w:szCs w:val="24"/>
              </w:rPr>
            </w:pPr>
            <w:r w:rsidRPr="00714BF6">
              <w:rPr>
                <w:rFonts w:hAnsi="標楷體" w:cs="新細明體" w:hint="eastAsia"/>
                <w:b/>
                <w:kern w:val="0"/>
                <w:sz w:val="24"/>
                <w:szCs w:val="24"/>
              </w:rPr>
              <w:t>總計</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142,081</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135,700</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137,833</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156,091</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317,097</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315,000</w:t>
            </w:r>
          </w:p>
        </w:tc>
        <w:tc>
          <w:tcPr>
            <w:tcW w:w="1560"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151,995</w:t>
            </w:r>
          </w:p>
        </w:tc>
        <w:tc>
          <w:tcPr>
            <w:tcW w:w="1559" w:type="dxa"/>
            <w:tcBorders>
              <w:top w:val="nil"/>
              <w:left w:val="nil"/>
              <w:bottom w:val="single" w:sz="4" w:space="0" w:color="auto"/>
              <w:right w:val="single" w:sz="4" w:space="0" w:color="auto"/>
            </w:tcBorders>
            <w:shd w:val="clear" w:color="auto" w:fill="auto"/>
            <w:noWrap/>
            <w:vAlign w:val="center"/>
            <w:hideMark/>
          </w:tcPr>
          <w:p w:rsidR="00BD7E9C" w:rsidRPr="00714BF6" w:rsidRDefault="00BD7E9C" w:rsidP="009B5DC2">
            <w:pPr>
              <w:widowControl/>
              <w:spacing w:line="240" w:lineRule="exact"/>
              <w:jc w:val="center"/>
              <w:rPr>
                <w:rFonts w:hAnsi="標楷體" w:cs="新細明體"/>
                <w:kern w:val="0"/>
                <w:sz w:val="24"/>
                <w:szCs w:val="24"/>
              </w:rPr>
            </w:pPr>
            <w:r w:rsidRPr="00714BF6">
              <w:rPr>
                <w:rFonts w:hAnsi="標楷體" w:cs="新細明體" w:hint="eastAsia"/>
                <w:kern w:val="0"/>
                <w:sz w:val="24"/>
                <w:szCs w:val="24"/>
              </w:rPr>
              <w:t>1,355,797</w:t>
            </w:r>
          </w:p>
        </w:tc>
      </w:tr>
    </w:tbl>
    <w:p w:rsidR="00C27C97" w:rsidRPr="00714BF6" w:rsidRDefault="00C27C97">
      <w:pPr>
        <w:widowControl/>
        <w:overflowPunct/>
        <w:autoSpaceDE/>
        <w:autoSpaceDN/>
        <w:jc w:val="left"/>
        <w:rPr>
          <w:rFonts w:hAnsi="標楷體"/>
          <w:sz w:val="24"/>
          <w:szCs w:val="24"/>
        </w:rPr>
      </w:pPr>
      <w:r w:rsidRPr="00714BF6">
        <w:rPr>
          <w:rFonts w:hAnsi="標楷體" w:hint="eastAsia"/>
          <w:sz w:val="24"/>
          <w:szCs w:val="24"/>
        </w:rPr>
        <w:t>資料來源：本院依據教育部查復資料</w:t>
      </w:r>
      <w:proofErr w:type="gramStart"/>
      <w:r w:rsidRPr="00714BF6">
        <w:rPr>
          <w:rFonts w:hAnsi="標楷體" w:hint="eastAsia"/>
          <w:sz w:val="24"/>
          <w:szCs w:val="24"/>
        </w:rPr>
        <w:t>彙整製表</w:t>
      </w:r>
      <w:proofErr w:type="gramEnd"/>
      <w:r w:rsidR="005F2DC8" w:rsidRPr="00714BF6">
        <w:rPr>
          <w:rFonts w:hAnsi="標楷體" w:hint="eastAsia"/>
          <w:sz w:val="24"/>
          <w:szCs w:val="24"/>
        </w:rPr>
        <w:t>；教育部提供之數據</w:t>
      </w:r>
      <w:r w:rsidR="00BA18D8">
        <w:rPr>
          <w:rFonts w:hAnsi="標楷體" w:hint="eastAsia"/>
          <w:sz w:val="24"/>
          <w:szCs w:val="24"/>
        </w:rPr>
        <w:t>，</w:t>
      </w:r>
      <w:r w:rsidR="005F2DC8" w:rsidRPr="00714BF6">
        <w:rPr>
          <w:rFonts w:hAnsi="標楷體" w:hint="eastAsia"/>
          <w:sz w:val="24"/>
          <w:szCs w:val="24"/>
        </w:rPr>
        <w:t>統計截至104年止</w:t>
      </w:r>
      <w:r w:rsidRPr="00714BF6">
        <w:rPr>
          <w:rFonts w:hAnsi="標楷體" w:hint="eastAsia"/>
          <w:sz w:val="24"/>
          <w:szCs w:val="24"/>
        </w:rPr>
        <w:t>。</w:t>
      </w:r>
    </w:p>
    <w:p w:rsidR="00C27C97" w:rsidRPr="00714BF6" w:rsidRDefault="00C27C97" w:rsidP="00BA18D8">
      <w:pPr>
        <w:widowControl/>
        <w:overflowPunct/>
        <w:autoSpaceDE/>
        <w:autoSpaceDN/>
        <w:spacing w:line="220" w:lineRule="exact"/>
        <w:jc w:val="left"/>
        <w:rPr>
          <w:rFonts w:hAnsi="標楷體"/>
          <w:sz w:val="24"/>
          <w:szCs w:val="24"/>
        </w:rPr>
      </w:pPr>
    </w:p>
    <w:p w:rsidR="00016A2F" w:rsidRPr="00714BF6" w:rsidRDefault="00C27C97" w:rsidP="00016A2F">
      <w:pPr>
        <w:pStyle w:val="a1"/>
        <w:spacing w:line="480" w:lineRule="exact"/>
        <w:ind w:left="1985" w:hanging="284"/>
        <w:jc w:val="center"/>
        <w:rPr>
          <w:rFonts w:hAnsi="標楷體"/>
          <w:b/>
          <w:szCs w:val="32"/>
        </w:rPr>
      </w:pPr>
      <w:r w:rsidRPr="00714BF6">
        <w:rPr>
          <w:rFonts w:hAnsi="標楷體" w:hint="eastAsia"/>
          <w:b/>
          <w:szCs w:val="32"/>
        </w:rPr>
        <w:t>教學卓越計畫各期</w:t>
      </w:r>
      <w:r w:rsidR="00EF7B9D" w:rsidRPr="00714BF6">
        <w:rPr>
          <w:rFonts w:hAnsi="標楷體" w:hint="eastAsia"/>
          <w:b/>
          <w:szCs w:val="32"/>
        </w:rPr>
        <w:t>受</w:t>
      </w:r>
      <w:r w:rsidRPr="00714BF6">
        <w:rPr>
          <w:rFonts w:hAnsi="標楷體" w:hint="eastAsia"/>
          <w:b/>
          <w:szCs w:val="32"/>
        </w:rPr>
        <w:t>補助學校</w:t>
      </w:r>
      <w:r w:rsidR="00EA46E5" w:rsidRPr="00714BF6">
        <w:rPr>
          <w:rFonts w:hAnsi="標楷體" w:hint="eastAsia"/>
          <w:b/>
          <w:szCs w:val="32"/>
        </w:rPr>
        <w:t>情形</w:t>
      </w:r>
    </w:p>
    <w:tbl>
      <w:tblPr>
        <w:tblStyle w:val="af7"/>
        <w:tblW w:w="0" w:type="auto"/>
        <w:tblInd w:w="108" w:type="dxa"/>
        <w:tblLook w:val="04A0" w:firstRow="1" w:lastRow="0" w:firstColumn="1" w:lastColumn="0" w:noHBand="0" w:noVBand="1"/>
      </w:tblPr>
      <w:tblGrid>
        <w:gridCol w:w="993"/>
        <w:gridCol w:w="850"/>
        <w:gridCol w:w="5528"/>
        <w:gridCol w:w="709"/>
        <w:gridCol w:w="7166"/>
      </w:tblGrid>
      <w:tr w:rsidR="00714BF6" w:rsidRPr="00714BF6" w:rsidTr="00EF7B9D">
        <w:trPr>
          <w:trHeight w:val="175"/>
        </w:trPr>
        <w:tc>
          <w:tcPr>
            <w:tcW w:w="993" w:type="dxa"/>
            <w:vMerge w:val="restart"/>
            <w:vAlign w:val="center"/>
          </w:tcPr>
          <w:p w:rsidR="00016A2F" w:rsidRPr="00714BF6" w:rsidRDefault="00016A2F" w:rsidP="00DC4844">
            <w:pPr>
              <w:jc w:val="center"/>
              <w:rPr>
                <w:rFonts w:hAnsi="標楷體" w:cs="新細明體"/>
                <w:b/>
                <w:kern w:val="0"/>
                <w:sz w:val="24"/>
                <w:szCs w:val="24"/>
                <w:vertAlign w:val="superscript"/>
              </w:rPr>
            </w:pPr>
            <w:r w:rsidRPr="00714BF6">
              <w:rPr>
                <w:rFonts w:hAnsi="標楷體" w:cs="新細明體" w:hint="eastAsia"/>
                <w:b/>
                <w:kern w:val="0"/>
                <w:sz w:val="24"/>
                <w:szCs w:val="24"/>
              </w:rPr>
              <w:t>受補助期數</w:t>
            </w:r>
            <w:r w:rsidR="00973CA0" w:rsidRPr="00714BF6">
              <w:rPr>
                <w:rFonts w:hAnsi="標楷體" w:cs="新細明體" w:hint="eastAsia"/>
                <w:b/>
                <w:kern w:val="0"/>
                <w:sz w:val="24"/>
                <w:szCs w:val="24"/>
                <w:vertAlign w:val="superscript"/>
              </w:rPr>
              <w:t>a</w:t>
            </w:r>
          </w:p>
        </w:tc>
        <w:tc>
          <w:tcPr>
            <w:tcW w:w="6378" w:type="dxa"/>
            <w:gridSpan w:val="2"/>
            <w:tcBorders>
              <w:right w:val="double" w:sz="4" w:space="0" w:color="auto"/>
            </w:tcBorders>
            <w:vAlign w:val="center"/>
          </w:tcPr>
          <w:p w:rsidR="00016A2F" w:rsidRPr="00714BF6" w:rsidRDefault="00016A2F" w:rsidP="00DC4844">
            <w:pPr>
              <w:jc w:val="center"/>
              <w:rPr>
                <w:rFonts w:hAnsi="標楷體" w:cs="新細明體"/>
                <w:b/>
                <w:kern w:val="0"/>
                <w:sz w:val="24"/>
                <w:szCs w:val="24"/>
              </w:rPr>
            </w:pPr>
            <w:r w:rsidRPr="00714BF6">
              <w:rPr>
                <w:rFonts w:hAnsi="標楷體" w:cs="新細明體" w:hint="eastAsia"/>
                <w:b/>
                <w:kern w:val="0"/>
                <w:sz w:val="24"/>
                <w:szCs w:val="24"/>
              </w:rPr>
              <w:t>一般大學</w:t>
            </w:r>
          </w:p>
        </w:tc>
        <w:tc>
          <w:tcPr>
            <w:tcW w:w="7875" w:type="dxa"/>
            <w:gridSpan w:val="2"/>
            <w:tcBorders>
              <w:left w:val="double" w:sz="4" w:space="0" w:color="auto"/>
            </w:tcBorders>
            <w:vAlign w:val="center"/>
          </w:tcPr>
          <w:p w:rsidR="00016A2F" w:rsidRPr="00714BF6" w:rsidRDefault="00016A2F" w:rsidP="00DC4844">
            <w:pPr>
              <w:jc w:val="center"/>
              <w:rPr>
                <w:rFonts w:hAnsi="標楷體" w:cs="新細明體"/>
                <w:b/>
                <w:kern w:val="0"/>
                <w:sz w:val="24"/>
                <w:szCs w:val="24"/>
              </w:rPr>
            </w:pPr>
            <w:r w:rsidRPr="00714BF6">
              <w:rPr>
                <w:rFonts w:hAnsi="標楷體" w:cs="新細明體" w:hint="eastAsia"/>
                <w:b/>
                <w:kern w:val="0"/>
                <w:sz w:val="24"/>
                <w:szCs w:val="24"/>
              </w:rPr>
              <w:t>科技校院</w:t>
            </w:r>
          </w:p>
        </w:tc>
      </w:tr>
      <w:tr w:rsidR="00714BF6" w:rsidRPr="00714BF6" w:rsidTr="00BA18D8">
        <w:trPr>
          <w:trHeight w:val="218"/>
        </w:trPr>
        <w:tc>
          <w:tcPr>
            <w:tcW w:w="993" w:type="dxa"/>
            <w:vMerge/>
            <w:vAlign w:val="center"/>
          </w:tcPr>
          <w:p w:rsidR="00016A2F" w:rsidRPr="00714BF6" w:rsidRDefault="00016A2F" w:rsidP="00DC4844">
            <w:pPr>
              <w:jc w:val="center"/>
              <w:rPr>
                <w:rFonts w:hAnsi="標楷體" w:cs="新細明體"/>
                <w:b/>
                <w:kern w:val="0"/>
                <w:sz w:val="24"/>
                <w:szCs w:val="24"/>
              </w:rPr>
            </w:pPr>
          </w:p>
        </w:tc>
        <w:tc>
          <w:tcPr>
            <w:tcW w:w="850" w:type="dxa"/>
            <w:vAlign w:val="center"/>
          </w:tcPr>
          <w:p w:rsidR="00016A2F" w:rsidRPr="00BA18D8" w:rsidRDefault="00016A2F" w:rsidP="00DC4844">
            <w:pPr>
              <w:jc w:val="center"/>
              <w:rPr>
                <w:rFonts w:hAnsi="標楷體" w:cs="新細明體"/>
                <w:b/>
                <w:kern w:val="0"/>
                <w:sz w:val="24"/>
                <w:szCs w:val="24"/>
                <w:vertAlign w:val="superscript"/>
              </w:rPr>
            </w:pPr>
            <w:r w:rsidRPr="00714BF6">
              <w:rPr>
                <w:rFonts w:hAnsi="標楷體" w:cs="新細明體" w:hint="eastAsia"/>
                <w:b/>
                <w:kern w:val="0"/>
                <w:sz w:val="24"/>
                <w:szCs w:val="24"/>
              </w:rPr>
              <w:t>校數</w:t>
            </w:r>
            <w:r w:rsidR="00BA18D8">
              <w:rPr>
                <w:rFonts w:hAnsi="標楷體" w:cs="新細明體" w:hint="eastAsia"/>
                <w:b/>
                <w:kern w:val="0"/>
                <w:sz w:val="24"/>
                <w:szCs w:val="24"/>
                <w:vertAlign w:val="superscript"/>
              </w:rPr>
              <w:t>b</w:t>
            </w:r>
          </w:p>
        </w:tc>
        <w:tc>
          <w:tcPr>
            <w:tcW w:w="5528" w:type="dxa"/>
            <w:tcBorders>
              <w:right w:val="double" w:sz="4" w:space="0" w:color="auto"/>
            </w:tcBorders>
            <w:vAlign w:val="center"/>
          </w:tcPr>
          <w:p w:rsidR="00016A2F" w:rsidRPr="00714BF6" w:rsidRDefault="00016A2F" w:rsidP="00DC4844">
            <w:pPr>
              <w:jc w:val="center"/>
              <w:rPr>
                <w:rFonts w:hAnsi="標楷體" w:cs="新細明體"/>
                <w:b/>
                <w:kern w:val="0"/>
                <w:sz w:val="24"/>
                <w:szCs w:val="24"/>
              </w:rPr>
            </w:pPr>
            <w:r w:rsidRPr="00714BF6">
              <w:rPr>
                <w:rFonts w:hAnsi="標楷體" w:cs="新細明體" w:hint="eastAsia"/>
                <w:b/>
                <w:kern w:val="0"/>
                <w:sz w:val="24"/>
                <w:szCs w:val="24"/>
              </w:rPr>
              <w:t>學校名單</w:t>
            </w:r>
          </w:p>
        </w:tc>
        <w:tc>
          <w:tcPr>
            <w:tcW w:w="709" w:type="dxa"/>
            <w:tcBorders>
              <w:left w:val="double" w:sz="4" w:space="0" w:color="auto"/>
            </w:tcBorders>
            <w:vAlign w:val="center"/>
          </w:tcPr>
          <w:p w:rsidR="00016A2F" w:rsidRPr="00714BF6" w:rsidRDefault="00016A2F" w:rsidP="00DC4844">
            <w:pPr>
              <w:jc w:val="center"/>
              <w:rPr>
                <w:rFonts w:hAnsi="標楷體" w:cs="新細明體"/>
                <w:b/>
                <w:kern w:val="0"/>
                <w:sz w:val="24"/>
                <w:szCs w:val="24"/>
              </w:rPr>
            </w:pPr>
            <w:r w:rsidRPr="00714BF6">
              <w:rPr>
                <w:rFonts w:hAnsi="標楷體" w:cs="新細明體" w:hint="eastAsia"/>
                <w:b/>
                <w:kern w:val="0"/>
                <w:sz w:val="24"/>
                <w:szCs w:val="24"/>
              </w:rPr>
              <w:t>校數</w:t>
            </w:r>
          </w:p>
        </w:tc>
        <w:tc>
          <w:tcPr>
            <w:tcW w:w="7166" w:type="dxa"/>
            <w:vAlign w:val="center"/>
          </w:tcPr>
          <w:p w:rsidR="00016A2F" w:rsidRPr="00714BF6" w:rsidRDefault="00016A2F" w:rsidP="00DC4844">
            <w:pPr>
              <w:jc w:val="center"/>
              <w:rPr>
                <w:rFonts w:hAnsi="標楷體" w:cs="新細明體"/>
                <w:b/>
                <w:kern w:val="0"/>
                <w:sz w:val="24"/>
                <w:szCs w:val="24"/>
              </w:rPr>
            </w:pPr>
            <w:r w:rsidRPr="00714BF6">
              <w:rPr>
                <w:rFonts w:hAnsi="標楷體" w:cs="新細明體" w:hint="eastAsia"/>
                <w:b/>
                <w:kern w:val="0"/>
                <w:sz w:val="24"/>
                <w:szCs w:val="24"/>
              </w:rPr>
              <w:t>學校名單</w:t>
            </w:r>
          </w:p>
        </w:tc>
      </w:tr>
      <w:tr w:rsidR="00714BF6" w:rsidRPr="00714BF6" w:rsidTr="00BA18D8">
        <w:tc>
          <w:tcPr>
            <w:tcW w:w="993" w:type="dxa"/>
            <w:vAlign w:val="center"/>
          </w:tcPr>
          <w:p w:rsidR="00016A2F" w:rsidRPr="00714BF6" w:rsidRDefault="00016A2F" w:rsidP="00FF2850">
            <w:pPr>
              <w:spacing w:line="280" w:lineRule="exact"/>
              <w:jc w:val="center"/>
              <w:rPr>
                <w:rFonts w:hAnsi="標楷體" w:cs="新細明體"/>
                <w:b/>
                <w:kern w:val="0"/>
                <w:sz w:val="28"/>
                <w:szCs w:val="28"/>
              </w:rPr>
            </w:pPr>
            <w:r w:rsidRPr="00714BF6">
              <w:rPr>
                <w:rFonts w:hAnsi="標楷體" w:cs="新細明體" w:hint="eastAsia"/>
                <w:b/>
                <w:kern w:val="0"/>
                <w:sz w:val="28"/>
                <w:szCs w:val="28"/>
              </w:rPr>
              <w:t>3</w:t>
            </w:r>
          </w:p>
        </w:tc>
        <w:tc>
          <w:tcPr>
            <w:tcW w:w="850" w:type="dxa"/>
            <w:vAlign w:val="center"/>
          </w:tcPr>
          <w:p w:rsidR="00016A2F" w:rsidRPr="00714BF6" w:rsidRDefault="00016A2F" w:rsidP="00FF2850">
            <w:pPr>
              <w:spacing w:line="280" w:lineRule="exact"/>
              <w:jc w:val="center"/>
              <w:rPr>
                <w:sz w:val="28"/>
                <w:szCs w:val="28"/>
              </w:rPr>
            </w:pPr>
            <w:r w:rsidRPr="00714BF6">
              <w:rPr>
                <w:rFonts w:hint="eastAsia"/>
                <w:sz w:val="28"/>
                <w:szCs w:val="28"/>
              </w:rPr>
              <w:t>28</w:t>
            </w:r>
          </w:p>
        </w:tc>
        <w:tc>
          <w:tcPr>
            <w:tcW w:w="5528" w:type="dxa"/>
            <w:tcBorders>
              <w:right w:val="double" w:sz="4" w:space="0" w:color="auto"/>
            </w:tcBorders>
          </w:tcPr>
          <w:p w:rsidR="00016A2F" w:rsidRPr="00714BF6" w:rsidRDefault="00A032F2" w:rsidP="00FF2850">
            <w:pPr>
              <w:spacing w:line="280" w:lineRule="exact"/>
              <w:rPr>
                <w:rFonts w:hAnsi="標楷體" w:cs="新細明體"/>
                <w:kern w:val="0"/>
                <w:sz w:val="28"/>
                <w:szCs w:val="28"/>
              </w:rPr>
            </w:pPr>
            <w:r w:rsidRPr="00714BF6">
              <w:rPr>
                <w:rFonts w:hAnsi="標楷體" w:cs="新細明體" w:hint="eastAsia"/>
                <w:kern w:val="0"/>
                <w:sz w:val="28"/>
                <w:szCs w:val="28"/>
              </w:rPr>
              <w:t>逢甲大學、中國醫藥大學、東吳大學、中原大學、</w:t>
            </w:r>
            <w:proofErr w:type="gramStart"/>
            <w:r w:rsidRPr="00714BF6">
              <w:rPr>
                <w:rFonts w:hAnsi="標楷體" w:cs="新細明體" w:hint="eastAsia"/>
                <w:kern w:val="0"/>
                <w:sz w:val="28"/>
                <w:szCs w:val="28"/>
              </w:rPr>
              <w:t>世</w:t>
            </w:r>
            <w:proofErr w:type="gramEnd"/>
            <w:r w:rsidRPr="00714BF6">
              <w:rPr>
                <w:rFonts w:hAnsi="標楷體" w:cs="新細明體" w:hint="eastAsia"/>
                <w:kern w:val="0"/>
                <w:sz w:val="28"/>
                <w:szCs w:val="28"/>
              </w:rPr>
              <w:t>新大學、東海大學、元智大學、輔仁大學、</w:t>
            </w:r>
            <w:proofErr w:type="gramStart"/>
            <w:r w:rsidRPr="00714BF6">
              <w:rPr>
                <w:rFonts w:hAnsi="標楷體" w:cs="新細明體" w:hint="eastAsia"/>
                <w:kern w:val="0"/>
                <w:sz w:val="28"/>
                <w:szCs w:val="28"/>
              </w:rPr>
              <w:t>臺</w:t>
            </w:r>
            <w:proofErr w:type="gramEnd"/>
            <w:r w:rsidRPr="00714BF6">
              <w:rPr>
                <w:rFonts w:hAnsi="標楷體" w:cs="新細明體" w:hint="eastAsia"/>
                <w:kern w:val="0"/>
                <w:sz w:val="28"/>
                <w:szCs w:val="28"/>
              </w:rPr>
              <w:t>北醫學大學、國立</w:t>
            </w:r>
            <w:proofErr w:type="gramStart"/>
            <w:r w:rsidRPr="00714BF6">
              <w:rPr>
                <w:rFonts w:hAnsi="標楷體" w:cs="新細明體" w:hint="eastAsia"/>
                <w:kern w:val="0"/>
                <w:sz w:val="28"/>
                <w:szCs w:val="28"/>
              </w:rPr>
              <w:t>臺</w:t>
            </w:r>
            <w:proofErr w:type="gramEnd"/>
            <w:r w:rsidRPr="00714BF6">
              <w:rPr>
                <w:rFonts w:hAnsi="標楷體" w:cs="新細明體" w:hint="eastAsia"/>
                <w:kern w:val="0"/>
                <w:sz w:val="28"/>
                <w:szCs w:val="28"/>
              </w:rPr>
              <w:t>北藝術大學、高雄醫學大學、銘傳大學、亞洲大學、國立臺灣海洋大學、靜宜大學、國立中正大學、淡江大學、國立東華大學、華</w:t>
            </w:r>
            <w:proofErr w:type="gramStart"/>
            <w:r w:rsidRPr="00714BF6">
              <w:rPr>
                <w:rFonts w:hAnsi="標楷體" w:cs="新細明體" w:hint="eastAsia"/>
                <w:kern w:val="0"/>
                <w:sz w:val="28"/>
                <w:szCs w:val="28"/>
              </w:rPr>
              <w:t>梵</w:t>
            </w:r>
            <w:proofErr w:type="gramEnd"/>
            <w:r w:rsidRPr="00714BF6">
              <w:rPr>
                <w:rFonts w:hAnsi="標楷體" w:cs="新細明體" w:hint="eastAsia"/>
                <w:kern w:val="0"/>
                <w:sz w:val="28"/>
                <w:szCs w:val="28"/>
              </w:rPr>
              <w:t>大學、慈濟大學、大葉大學、國立高雄師範大學、義守大學、國立彰化師範大學、國立嘉義大學、國立臺灣藝術大學、大同大學、玄奘大學</w:t>
            </w:r>
          </w:p>
        </w:tc>
        <w:tc>
          <w:tcPr>
            <w:tcW w:w="709" w:type="dxa"/>
            <w:tcBorders>
              <w:left w:val="double" w:sz="4" w:space="0" w:color="auto"/>
            </w:tcBorders>
            <w:vAlign w:val="center"/>
          </w:tcPr>
          <w:p w:rsidR="00016A2F" w:rsidRPr="00714BF6" w:rsidRDefault="00016A2F" w:rsidP="00FF2850">
            <w:pPr>
              <w:spacing w:line="280" w:lineRule="exact"/>
              <w:jc w:val="center"/>
              <w:rPr>
                <w:sz w:val="28"/>
                <w:szCs w:val="28"/>
              </w:rPr>
            </w:pPr>
            <w:r w:rsidRPr="00714BF6">
              <w:rPr>
                <w:rFonts w:hint="eastAsia"/>
                <w:sz w:val="28"/>
                <w:szCs w:val="28"/>
              </w:rPr>
              <w:t>29</w:t>
            </w:r>
          </w:p>
        </w:tc>
        <w:tc>
          <w:tcPr>
            <w:tcW w:w="7166" w:type="dxa"/>
          </w:tcPr>
          <w:p w:rsidR="00016A2F" w:rsidRPr="00714BF6" w:rsidRDefault="00DC4844" w:rsidP="00FF2850">
            <w:pPr>
              <w:widowControl/>
              <w:spacing w:line="280" w:lineRule="exact"/>
              <w:rPr>
                <w:sz w:val="28"/>
                <w:szCs w:val="28"/>
              </w:rPr>
            </w:pPr>
            <w:r w:rsidRPr="00714BF6">
              <w:rPr>
                <w:rFonts w:hAnsi="標楷體" w:cs="新細明體" w:hint="eastAsia"/>
                <w:kern w:val="0"/>
                <w:sz w:val="28"/>
                <w:szCs w:val="28"/>
              </w:rPr>
              <w:t>國立雲林科技大學、南</w:t>
            </w:r>
            <w:proofErr w:type="gramStart"/>
            <w:r w:rsidRPr="00714BF6">
              <w:rPr>
                <w:rFonts w:hAnsi="標楷體" w:cs="新細明體" w:hint="eastAsia"/>
                <w:kern w:val="0"/>
                <w:sz w:val="28"/>
                <w:szCs w:val="28"/>
              </w:rPr>
              <w:t>臺</w:t>
            </w:r>
            <w:proofErr w:type="gramEnd"/>
            <w:r w:rsidRPr="00714BF6">
              <w:rPr>
                <w:rFonts w:hAnsi="標楷體" w:cs="新細明體" w:hint="eastAsia"/>
                <w:kern w:val="0"/>
                <w:sz w:val="28"/>
                <w:szCs w:val="28"/>
              </w:rPr>
              <w:t>科技大學、國立</w:t>
            </w:r>
            <w:proofErr w:type="gramStart"/>
            <w:r w:rsidRPr="00714BF6">
              <w:rPr>
                <w:rFonts w:hAnsi="標楷體" w:cs="新細明體" w:hint="eastAsia"/>
                <w:kern w:val="0"/>
                <w:sz w:val="28"/>
                <w:szCs w:val="28"/>
              </w:rPr>
              <w:t>臺</w:t>
            </w:r>
            <w:proofErr w:type="gramEnd"/>
            <w:r w:rsidRPr="00714BF6">
              <w:rPr>
                <w:rFonts w:hAnsi="標楷體" w:cs="新細明體" w:hint="eastAsia"/>
                <w:kern w:val="0"/>
                <w:sz w:val="28"/>
                <w:szCs w:val="28"/>
              </w:rPr>
              <w:t>北科技大學、朝陽科技大學、國立高雄應用科技大學、龍華科技大學、崑山科技大學、正修科技大學、明志科技大學、國立虎尾科技大學、文藻外語大學、遠東科技大學、國立高雄第一科技大學、國立高雄餐旅大學、弘光科技大學、國立屏東科技大學、南開科技大學、聖約翰科技大學、</w:t>
            </w:r>
            <w:proofErr w:type="gramStart"/>
            <w:r w:rsidRPr="00714BF6">
              <w:rPr>
                <w:rFonts w:hAnsi="標楷體" w:cs="新細明體" w:hint="eastAsia"/>
                <w:kern w:val="0"/>
                <w:sz w:val="28"/>
                <w:szCs w:val="28"/>
              </w:rPr>
              <w:t>、</w:t>
            </w:r>
            <w:proofErr w:type="gramEnd"/>
            <w:r w:rsidRPr="00714BF6">
              <w:rPr>
                <w:rFonts w:hAnsi="標楷體" w:cs="新細明體" w:hint="eastAsia"/>
                <w:kern w:val="0"/>
                <w:sz w:val="28"/>
                <w:szCs w:val="28"/>
              </w:rPr>
              <w:t>中國科技大學、建國科技大學、國立勤益科技大學、致理技術學院、樹德科技大學、中</w:t>
            </w:r>
            <w:proofErr w:type="gramStart"/>
            <w:r w:rsidRPr="00714BF6">
              <w:rPr>
                <w:rFonts w:hAnsi="標楷體" w:cs="新細明體" w:hint="eastAsia"/>
                <w:kern w:val="0"/>
                <w:sz w:val="28"/>
                <w:szCs w:val="28"/>
              </w:rPr>
              <w:t>臺</w:t>
            </w:r>
            <w:proofErr w:type="gramEnd"/>
            <w:r w:rsidRPr="00714BF6">
              <w:rPr>
                <w:rFonts w:hAnsi="標楷體" w:cs="新細明體" w:hint="eastAsia"/>
                <w:kern w:val="0"/>
                <w:sz w:val="28"/>
                <w:szCs w:val="28"/>
              </w:rPr>
              <w:t>科技大學、長庚科技大學、健行科技大學、萬能科技大學、國立</w:t>
            </w:r>
            <w:proofErr w:type="gramStart"/>
            <w:r w:rsidRPr="00714BF6">
              <w:rPr>
                <w:rFonts w:hAnsi="標楷體" w:cs="新細明體" w:hint="eastAsia"/>
                <w:kern w:val="0"/>
                <w:sz w:val="28"/>
                <w:szCs w:val="28"/>
              </w:rPr>
              <w:t>臺</w:t>
            </w:r>
            <w:proofErr w:type="gramEnd"/>
            <w:r w:rsidRPr="00714BF6">
              <w:rPr>
                <w:rFonts w:hAnsi="標楷體" w:cs="新細明體" w:hint="eastAsia"/>
                <w:kern w:val="0"/>
                <w:sz w:val="28"/>
                <w:szCs w:val="28"/>
              </w:rPr>
              <w:t>北護理健康大學、育達科技大學</w:t>
            </w:r>
          </w:p>
        </w:tc>
      </w:tr>
      <w:tr w:rsidR="00714BF6" w:rsidRPr="00714BF6" w:rsidTr="00BA18D8">
        <w:tc>
          <w:tcPr>
            <w:tcW w:w="993" w:type="dxa"/>
            <w:vAlign w:val="center"/>
          </w:tcPr>
          <w:p w:rsidR="00016A2F" w:rsidRPr="00714BF6" w:rsidRDefault="00016A2F" w:rsidP="00FF2850">
            <w:pPr>
              <w:spacing w:line="280" w:lineRule="exact"/>
              <w:jc w:val="center"/>
              <w:rPr>
                <w:rFonts w:hAnsi="標楷體" w:cs="新細明體"/>
                <w:b/>
                <w:kern w:val="0"/>
                <w:sz w:val="28"/>
                <w:szCs w:val="28"/>
              </w:rPr>
            </w:pPr>
            <w:r w:rsidRPr="00714BF6">
              <w:rPr>
                <w:rFonts w:hAnsi="標楷體" w:cs="新細明體" w:hint="eastAsia"/>
                <w:b/>
                <w:kern w:val="0"/>
                <w:sz w:val="28"/>
                <w:szCs w:val="28"/>
              </w:rPr>
              <w:t>2</w:t>
            </w:r>
          </w:p>
        </w:tc>
        <w:tc>
          <w:tcPr>
            <w:tcW w:w="850" w:type="dxa"/>
            <w:vAlign w:val="center"/>
          </w:tcPr>
          <w:p w:rsidR="00016A2F" w:rsidRPr="00714BF6" w:rsidRDefault="00016A2F" w:rsidP="00FF2850">
            <w:pPr>
              <w:spacing w:line="280" w:lineRule="exact"/>
              <w:jc w:val="center"/>
              <w:rPr>
                <w:rFonts w:hAnsi="標楷體" w:cs="新細明體"/>
                <w:kern w:val="0"/>
                <w:sz w:val="28"/>
                <w:szCs w:val="28"/>
              </w:rPr>
            </w:pPr>
            <w:r w:rsidRPr="00714BF6">
              <w:rPr>
                <w:rFonts w:hAnsi="標楷體" w:cs="新細明體" w:hint="eastAsia"/>
                <w:kern w:val="0"/>
                <w:sz w:val="28"/>
                <w:szCs w:val="28"/>
              </w:rPr>
              <w:t>9</w:t>
            </w:r>
          </w:p>
        </w:tc>
        <w:tc>
          <w:tcPr>
            <w:tcW w:w="5528" w:type="dxa"/>
            <w:tcBorders>
              <w:right w:val="double" w:sz="4" w:space="0" w:color="auto"/>
            </w:tcBorders>
          </w:tcPr>
          <w:p w:rsidR="00016A2F" w:rsidRPr="00714BF6" w:rsidRDefault="00A032F2" w:rsidP="00FF2850">
            <w:pPr>
              <w:spacing w:line="280" w:lineRule="exact"/>
              <w:rPr>
                <w:rFonts w:hAnsi="標楷體" w:cs="新細明體"/>
                <w:kern w:val="0"/>
                <w:sz w:val="28"/>
                <w:szCs w:val="28"/>
              </w:rPr>
            </w:pPr>
            <w:r w:rsidRPr="00714BF6">
              <w:rPr>
                <w:rFonts w:hAnsi="標楷體" w:cs="新細明體" w:hint="eastAsia"/>
                <w:kern w:val="0"/>
                <w:sz w:val="28"/>
                <w:szCs w:val="28"/>
              </w:rPr>
              <w:t>國立暨南國際大學、國立</w:t>
            </w:r>
            <w:proofErr w:type="gramStart"/>
            <w:r w:rsidRPr="00714BF6">
              <w:rPr>
                <w:rFonts w:hAnsi="標楷體" w:cs="新細明體" w:hint="eastAsia"/>
                <w:kern w:val="0"/>
                <w:sz w:val="28"/>
                <w:szCs w:val="28"/>
              </w:rPr>
              <w:t>臺</w:t>
            </w:r>
            <w:proofErr w:type="gramEnd"/>
            <w:r w:rsidRPr="00714BF6">
              <w:rPr>
                <w:rFonts w:hAnsi="標楷體" w:cs="新細明體" w:hint="eastAsia"/>
                <w:kern w:val="0"/>
                <w:sz w:val="28"/>
                <w:szCs w:val="28"/>
              </w:rPr>
              <w:t>北大學、國立聯合大學、國立新竹教育大學、國立宜蘭大學、中國文化大學、國立高雄大學、佛光大學、國立</w:t>
            </w:r>
            <w:proofErr w:type="gramStart"/>
            <w:r w:rsidRPr="00714BF6">
              <w:rPr>
                <w:rFonts w:hAnsi="標楷體" w:cs="新細明體" w:hint="eastAsia"/>
                <w:kern w:val="0"/>
                <w:sz w:val="28"/>
                <w:szCs w:val="28"/>
              </w:rPr>
              <w:t>臺</w:t>
            </w:r>
            <w:proofErr w:type="gramEnd"/>
            <w:r w:rsidRPr="00714BF6">
              <w:rPr>
                <w:rFonts w:hAnsi="標楷體" w:cs="新細明體" w:hint="eastAsia"/>
                <w:kern w:val="0"/>
                <w:sz w:val="28"/>
                <w:szCs w:val="28"/>
              </w:rPr>
              <w:t>南藝術大學</w:t>
            </w:r>
          </w:p>
        </w:tc>
        <w:tc>
          <w:tcPr>
            <w:tcW w:w="709" w:type="dxa"/>
            <w:tcBorders>
              <w:left w:val="double" w:sz="4" w:space="0" w:color="auto"/>
            </w:tcBorders>
            <w:vAlign w:val="center"/>
          </w:tcPr>
          <w:p w:rsidR="00016A2F" w:rsidRPr="00714BF6" w:rsidRDefault="00016A2F" w:rsidP="00FF2850">
            <w:pPr>
              <w:spacing w:line="280" w:lineRule="exact"/>
              <w:jc w:val="center"/>
              <w:rPr>
                <w:rFonts w:hAnsi="標楷體" w:cs="新細明體"/>
                <w:kern w:val="0"/>
                <w:sz w:val="28"/>
                <w:szCs w:val="28"/>
              </w:rPr>
            </w:pPr>
            <w:r w:rsidRPr="00714BF6">
              <w:rPr>
                <w:rFonts w:hAnsi="標楷體" w:cs="新細明體" w:hint="eastAsia"/>
                <w:kern w:val="0"/>
                <w:sz w:val="28"/>
                <w:szCs w:val="28"/>
              </w:rPr>
              <w:t>7</w:t>
            </w:r>
          </w:p>
        </w:tc>
        <w:tc>
          <w:tcPr>
            <w:tcW w:w="7166" w:type="dxa"/>
          </w:tcPr>
          <w:p w:rsidR="00016A2F" w:rsidRPr="00714BF6" w:rsidRDefault="00973CA0" w:rsidP="00FF2850">
            <w:pPr>
              <w:spacing w:line="280" w:lineRule="exact"/>
              <w:rPr>
                <w:rFonts w:hAnsi="標楷體" w:cs="新細明體"/>
                <w:kern w:val="0"/>
                <w:sz w:val="28"/>
                <w:szCs w:val="28"/>
              </w:rPr>
            </w:pPr>
            <w:r w:rsidRPr="00714BF6">
              <w:rPr>
                <w:rFonts w:hAnsi="標楷體" w:cs="新細明體" w:hint="eastAsia"/>
                <w:kern w:val="0"/>
                <w:sz w:val="28"/>
                <w:szCs w:val="28"/>
              </w:rPr>
              <w:t>嘉南藥理大學、華夏科技大學、景文科技大學、嶺東科技大學、環球科技大學、亞東技術學院、輔英科技大學</w:t>
            </w:r>
          </w:p>
        </w:tc>
      </w:tr>
      <w:tr w:rsidR="00714BF6" w:rsidRPr="00714BF6" w:rsidTr="00BA18D8">
        <w:tc>
          <w:tcPr>
            <w:tcW w:w="993" w:type="dxa"/>
            <w:vAlign w:val="center"/>
          </w:tcPr>
          <w:p w:rsidR="00016A2F" w:rsidRPr="00714BF6" w:rsidRDefault="00016A2F" w:rsidP="00FF2850">
            <w:pPr>
              <w:spacing w:line="280" w:lineRule="exact"/>
              <w:jc w:val="center"/>
              <w:rPr>
                <w:rFonts w:hAnsi="標楷體" w:cs="新細明體"/>
                <w:b/>
                <w:kern w:val="0"/>
                <w:sz w:val="28"/>
                <w:szCs w:val="28"/>
              </w:rPr>
            </w:pPr>
            <w:r w:rsidRPr="00714BF6">
              <w:rPr>
                <w:rFonts w:hAnsi="標楷體" w:cs="新細明體" w:hint="eastAsia"/>
                <w:b/>
                <w:kern w:val="0"/>
                <w:sz w:val="28"/>
                <w:szCs w:val="28"/>
              </w:rPr>
              <w:t>1</w:t>
            </w:r>
          </w:p>
        </w:tc>
        <w:tc>
          <w:tcPr>
            <w:tcW w:w="850" w:type="dxa"/>
            <w:vAlign w:val="center"/>
          </w:tcPr>
          <w:p w:rsidR="00016A2F" w:rsidRPr="00714BF6" w:rsidRDefault="00016A2F" w:rsidP="00FF2850">
            <w:pPr>
              <w:spacing w:line="280" w:lineRule="exact"/>
              <w:jc w:val="center"/>
              <w:rPr>
                <w:rFonts w:hAnsi="標楷體" w:cs="新細明體"/>
                <w:kern w:val="0"/>
                <w:sz w:val="28"/>
                <w:szCs w:val="28"/>
              </w:rPr>
            </w:pPr>
            <w:r w:rsidRPr="00714BF6">
              <w:rPr>
                <w:rFonts w:hAnsi="標楷體" w:cs="新細明體" w:hint="eastAsia"/>
                <w:kern w:val="0"/>
                <w:sz w:val="28"/>
                <w:szCs w:val="28"/>
              </w:rPr>
              <w:t>10</w:t>
            </w:r>
          </w:p>
        </w:tc>
        <w:tc>
          <w:tcPr>
            <w:tcW w:w="5528" w:type="dxa"/>
            <w:tcBorders>
              <w:right w:val="double" w:sz="4" w:space="0" w:color="auto"/>
            </w:tcBorders>
          </w:tcPr>
          <w:p w:rsidR="00016A2F" w:rsidRPr="00714BF6" w:rsidRDefault="00A032F2" w:rsidP="00FF2850">
            <w:pPr>
              <w:widowControl/>
              <w:spacing w:line="280" w:lineRule="exact"/>
              <w:rPr>
                <w:rFonts w:hAnsi="標楷體" w:cs="新細明體"/>
                <w:kern w:val="0"/>
                <w:sz w:val="28"/>
                <w:szCs w:val="28"/>
              </w:rPr>
            </w:pPr>
            <w:r w:rsidRPr="00714BF6">
              <w:rPr>
                <w:rFonts w:hAnsi="標楷體" w:cs="新細明體" w:hint="eastAsia"/>
                <w:kern w:val="0"/>
                <w:sz w:val="28"/>
                <w:szCs w:val="28"/>
              </w:rPr>
              <w:t>國立臺灣師範大學、南華大學、國立體育大學、實踐大學、國立臺灣體育運動大學、國立</w:t>
            </w:r>
            <w:proofErr w:type="gramStart"/>
            <w:r w:rsidRPr="00714BF6">
              <w:rPr>
                <w:rFonts w:hAnsi="標楷體" w:cs="新細明體" w:hint="eastAsia"/>
                <w:kern w:val="0"/>
                <w:sz w:val="28"/>
                <w:szCs w:val="28"/>
              </w:rPr>
              <w:t>臺</w:t>
            </w:r>
            <w:proofErr w:type="gramEnd"/>
            <w:r w:rsidRPr="00714BF6">
              <w:rPr>
                <w:rFonts w:hAnsi="標楷體" w:cs="新細明體" w:hint="eastAsia"/>
                <w:kern w:val="0"/>
                <w:sz w:val="28"/>
                <w:szCs w:val="28"/>
              </w:rPr>
              <w:t>南大學、國立</w:t>
            </w:r>
            <w:proofErr w:type="gramStart"/>
            <w:r w:rsidRPr="00714BF6">
              <w:rPr>
                <w:rFonts w:hAnsi="標楷體" w:cs="新細明體" w:hint="eastAsia"/>
                <w:kern w:val="0"/>
                <w:sz w:val="28"/>
                <w:szCs w:val="28"/>
              </w:rPr>
              <w:t>臺</w:t>
            </w:r>
            <w:proofErr w:type="gramEnd"/>
            <w:r w:rsidRPr="00714BF6">
              <w:rPr>
                <w:rFonts w:hAnsi="標楷體" w:cs="新細明體" w:hint="eastAsia"/>
                <w:kern w:val="0"/>
                <w:sz w:val="28"/>
                <w:szCs w:val="28"/>
              </w:rPr>
              <w:t>東大學、國立</w:t>
            </w:r>
            <w:proofErr w:type="gramStart"/>
            <w:r w:rsidRPr="00714BF6">
              <w:rPr>
                <w:rFonts w:hAnsi="標楷體" w:cs="新細明體" w:hint="eastAsia"/>
                <w:kern w:val="0"/>
                <w:sz w:val="28"/>
                <w:szCs w:val="28"/>
              </w:rPr>
              <w:t>臺</w:t>
            </w:r>
            <w:proofErr w:type="gramEnd"/>
            <w:r w:rsidRPr="00714BF6">
              <w:rPr>
                <w:rFonts w:hAnsi="標楷體" w:cs="新細明體" w:hint="eastAsia"/>
                <w:kern w:val="0"/>
                <w:sz w:val="28"/>
                <w:szCs w:val="28"/>
              </w:rPr>
              <w:t>北教育大學、中華大學、國防醫學院</w:t>
            </w:r>
          </w:p>
        </w:tc>
        <w:tc>
          <w:tcPr>
            <w:tcW w:w="709" w:type="dxa"/>
            <w:tcBorders>
              <w:left w:val="double" w:sz="4" w:space="0" w:color="auto"/>
            </w:tcBorders>
            <w:vAlign w:val="center"/>
          </w:tcPr>
          <w:p w:rsidR="00016A2F" w:rsidRPr="00714BF6" w:rsidRDefault="00016A2F" w:rsidP="00FF2850">
            <w:pPr>
              <w:spacing w:line="280" w:lineRule="exact"/>
              <w:jc w:val="center"/>
              <w:rPr>
                <w:rFonts w:hAnsi="標楷體" w:cs="新細明體"/>
                <w:kern w:val="0"/>
                <w:sz w:val="28"/>
                <w:szCs w:val="28"/>
              </w:rPr>
            </w:pPr>
            <w:r w:rsidRPr="00714BF6">
              <w:rPr>
                <w:rFonts w:hAnsi="標楷體" w:cs="新細明體" w:hint="eastAsia"/>
                <w:kern w:val="0"/>
                <w:sz w:val="28"/>
                <w:szCs w:val="28"/>
              </w:rPr>
              <w:t>15</w:t>
            </w:r>
          </w:p>
        </w:tc>
        <w:tc>
          <w:tcPr>
            <w:tcW w:w="7166" w:type="dxa"/>
          </w:tcPr>
          <w:p w:rsidR="00016A2F" w:rsidRPr="00714BF6" w:rsidRDefault="00973CA0" w:rsidP="00FF2850">
            <w:pPr>
              <w:spacing w:line="280" w:lineRule="exact"/>
              <w:rPr>
                <w:rFonts w:hAnsi="標楷體" w:cs="新細明體"/>
                <w:kern w:val="0"/>
                <w:sz w:val="28"/>
                <w:szCs w:val="28"/>
              </w:rPr>
            </w:pPr>
            <w:r w:rsidRPr="00714BF6">
              <w:rPr>
                <w:rFonts w:hAnsi="標楷體" w:cs="新細明體" w:hint="eastAsia"/>
                <w:kern w:val="0"/>
                <w:sz w:val="28"/>
                <w:szCs w:val="28"/>
              </w:rPr>
              <w:t>高苑科技大學、慈濟科技大學、</w:t>
            </w:r>
            <w:proofErr w:type="gramStart"/>
            <w:r w:rsidR="00073183" w:rsidRPr="00714BF6">
              <w:rPr>
                <w:rFonts w:hAnsi="標楷體" w:cs="新細明體" w:hint="eastAsia"/>
                <w:kern w:val="0"/>
                <w:sz w:val="28"/>
                <w:szCs w:val="28"/>
              </w:rPr>
              <w:t>臺</w:t>
            </w:r>
            <w:proofErr w:type="gramEnd"/>
            <w:r w:rsidR="00073183" w:rsidRPr="00714BF6">
              <w:rPr>
                <w:rFonts w:hAnsi="標楷體" w:cs="新細明體" w:hint="eastAsia"/>
                <w:kern w:val="0"/>
                <w:sz w:val="28"/>
                <w:szCs w:val="28"/>
              </w:rPr>
              <w:t>南</w:t>
            </w:r>
            <w:r w:rsidRPr="00714BF6">
              <w:rPr>
                <w:rFonts w:hAnsi="標楷體" w:cs="新細明體" w:hint="eastAsia"/>
                <w:kern w:val="0"/>
                <w:sz w:val="28"/>
                <w:szCs w:val="28"/>
              </w:rPr>
              <w:t>應用科技大學、東南科技大學、大仁科技大學、德明財經科技大學、德</w:t>
            </w:r>
            <w:proofErr w:type="gramStart"/>
            <w:r w:rsidRPr="00714BF6">
              <w:rPr>
                <w:rFonts w:hAnsi="標楷體" w:cs="新細明體" w:hint="eastAsia"/>
                <w:kern w:val="0"/>
                <w:sz w:val="28"/>
                <w:szCs w:val="28"/>
              </w:rPr>
              <w:t>霖</w:t>
            </w:r>
            <w:proofErr w:type="gramEnd"/>
            <w:r w:rsidRPr="00714BF6">
              <w:rPr>
                <w:rFonts w:hAnsi="標楷體" w:cs="新細明體" w:hint="eastAsia"/>
                <w:kern w:val="0"/>
                <w:sz w:val="28"/>
                <w:szCs w:val="28"/>
              </w:rPr>
              <w:t>技術學院、中州科技大學、中華</w:t>
            </w:r>
            <w:proofErr w:type="gramStart"/>
            <w:r w:rsidRPr="00714BF6">
              <w:rPr>
                <w:rFonts w:hAnsi="標楷體" w:cs="新細明體" w:hint="eastAsia"/>
                <w:kern w:val="0"/>
                <w:sz w:val="28"/>
                <w:szCs w:val="28"/>
              </w:rPr>
              <w:t>醫</w:t>
            </w:r>
            <w:proofErr w:type="gramEnd"/>
            <w:r w:rsidRPr="00714BF6">
              <w:rPr>
                <w:rFonts w:hAnsi="標楷體" w:cs="新細明體" w:hint="eastAsia"/>
                <w:kern w:val="0"/>
                <w:sz w:val="28"/>
                <w:szCs w:val="28"/>
              </w:rPr>
              <w:t>事科技大學、僑光科技大學、醒吾科技大學、元培</w:t>
            </w:r>
            <w:proofErr w:type="gramStart"/>
            <w:r w:rsidRPr="00714BF6">
              <w:rPr>
                <w:rFonts w:hAnsi="標楷體" w:cs="新細明體" w:hint="eastAsia"/>
                <w:kern w:val="0"/>
                <w:sz w:val="28"/>
                <w:szCs w:val="28"/>
              </w:rPr>
              <w:t>醫</w:t>
            </w:r>
            <w:proofErr w:type="gramEnd"/>
            <w:r w:rsidRPr="00714BF6">
              <w:rPr>
                <w:rFonts w:hAnsi="標楷體" w:cs="新細明體" w:hint="eastAsia"/>
                <w:kern w:val="0"/>
                <w:sz w:val="28"/>
                <w:szCs w:val="28"/>
              </w:rPr>
              <w:t>事科技大學、美和科技大學、修平科技大學、國立高雄海洋科技大學</w:t>
            </w:r>
          </w:p>
        </w:tc>
      </w:tr>
    </w:tbl>
    <w:p w:rsidR="00EF7B9D" w:rsidRPr="00714BF6" w:rsidRDefault="00973CA0" w:rsidP="00973CA0">
      <w:pPr>
        <w:widowControl/>
        <w:overflowPunct/>
        <w:autoSpaceDE/>
        <w:autoSpaceDN/>
        <w:spacing w:line="240" w:lineRule="exact"/>
        <w:jc w:val="left"/>
        <w:rPr>
          <w:rFonts w:hAnsi="標楷體" w:cs="新細明體"/>
          <w:kern w:val="0"/>
          <w:sz w:val="24"/>
          <w:szCs w:val="24"/>
        </w:rPr>
      </w:pPr>
      <w:proofErr w:type="gramStart"/>
      <w:r w:rsidRPr="00714BF6">
        <w:rPr>
          <w:rFonts w:hAnsi="標楷體" w:cs="新細明體" w:hint="eastAsia"/>
          <w:kern w:val="0"/>
          <w:sz w:val="24"/>
          <w:szCs w:val="24"/>
        </w:rPr>
        <w:t>註</w:t>
      </w:r>
      <w:proofErr w:type="gramEnd"/>
      <w:r w:rsidRPr="00714BF6">
        <w:rPr>
          <w:rFonts w:hAnsi="標楷體" w:cs="新細明體" w:hint="eastAsia"/>
          <w:kern w:val="0"/>
          <w:sz w:val="24"/>
          <w:szCs w:val="24"/>
        </w:rPr>
        <w:t>：a.教學卓越計畫計分3期，第1期為95-97年、第2期為98-101年、第3期為102-10</w:t>
      </w:r>
      <w:r w:rsidR="005F2DC8" w:rsidRPr="00714BF6">
        <w:rPr>
          <w:rFonts w:hAnsi="標楷體" w:cs="新細明體" w:hint="eastAsia"/>
          <w:kern w:val="0"/>
          <w:sz w:val="24"/>
          <w:szCs w:val="24"/>
        </w:rPr>
        <w:t>5</w:t>
      </w:r>
      <w:r w:rsidRPr="00714BF6">
        <w:rPr>
          <w:rFonts w:hAnsi="標楷體" w:cs="新細明體" w:hint="eastAsia"/>
          <w:kern w:val="0"/>
          <w:sz w:val="24"/>
          <w:szCs w:val="24"/>
        </w:rPr>
        <w:t>年；學校於各期獲得補助之年限未盡相同，以一般大</w:t>
      </w:r>
    </w:p>
    <w:p w:rsidR="00EF7B9D" w:rsidRPr="00714BF6" w:rsidRDefault="00EF7B9D" w:rsidP="00973CA0">
      <w:pPr>
        <w:widowControl/>
        <w:overflowPunct/>
        <w:autoSpaceDE/>
        <w:autoSpaceDN/>
        <w:spacing w:line="240" w:lineRule="exact"/>
        <w:jc w:val="left"/>
        <w:rPr>
          <w:rFonts w:hAnsi="標楷體" w:cs="新細明體"/>
          <w:kern w:val="0"/>
          <w:sz w:val="24"/>
          <w:szCs w:val="24"/>
        </w:rPr>
      </w:pPr>
      <w:r w:rsidRPr="00714BF6">
        <w:rPr>
          <w:rFonts w:hAnsi="標楷體" w:cs="新細明體" w:hint="eastAsia"/>
          <w:kern w:val="0"/>
          <w:sz w:val="24"/>
          <w:szCs w:val="24"/>
        </w:rPr>
        <w:t xml:space="preserve">    </w:t>
      </w:r>
      <w:r w:rsidR="00973CA0" w:rsidRPr="00714BF6">
        <w:rPr>
          <w:rFonts w:hAnsi="標楷體" w:cs="新細明體" w:hint="eastAsia"/>
          <w:kern w:val="0"/>
          <w:sz w:val="24"/>
          <w:szCs w:val="24"/>
        </w:rPr>
        <w:t>學之玄奘大學為例，該校3期均獲得補助，惟第2期僅98-99年獲補助、第3期僅104年獲補助；</w:t>
      </w:r>
      <w:r w:rsidRPr="00714BF6">
        <w:rPr>
          <w:rFonts w:hAnsi="標楷體" w:cs="新細明體" w:hint="eastAsia"/>
          <w:kern w:val="0"/>
          <w:sz w:val="24"/>
          <w:szCs w:val="24"/>
        </w:rPr>
        <w:t>依</w:t>
      </w:r>
      <w:r w:rsidR="00973CA0" w:rsidRPr="00714BF6">
        <w:rPr>
          <w:rFonts w:hAnsi="標楷體" w:cs="新細明體" w:hint="eastAsia"/>
          <w:kern w:val="0"/>
          <w:sz w:val="24"/>
          <w:szCs w:val="24"/>
        </w:rPr>
        <w:t>此類推。是</w:t>
      </w:r>
      <w:proofErr w:type="gramStart"/>
      <w:r w:rsidR="00973CA0" w:rsidRPr="00714BF6">
        <w:rPr>
          <w:rFonts w:hAnsi="標楷體" w:cs="新細明體" w:hint="eastAsia"/>
          <w:kern w:val="0"/>
          <w:sz w:val="24"/>
          <w:szCs w:val="24"/>
        </w:rPr>
        <w:t>以</w:t>
      </w:r>
      <w:proofErr w:type="gramEnd"/>
      <w:r w:rsidR="00973CA0" w:rsidRPr="00714BF6">
        <w:rPr>
          <w:rFonts w:hAnsi="標楷體" w:cs="新細明體" w:hint="eastAsia"/>
          <w:kern w:val="0"/>
          <w:sz w:val="24"/>
          <w:szCs w:val="24"/>
        </w:rPr>
        <w:t>，受補助之期數原則上反</w:t>
      </w:r>
    </w:p>
    <w:p w:rsidR="00973CA0" w:rsidRDefault="00EF7B9D" w:rsidP="00973CA0">
      <w:pPr>
        <w:widowControl/>
        <w:overflowPunct/>
        <w:autoSpaceDE/>
        <w:autoSpaceDN/>
        <w:spacing w:line="240" w:lineRule="exact"/>
        <w:jc w:val="left"/>
        <w:rPr>
          <w:rFonts w:hAnsi="標楷體" w:cs="新細明體"/>
          <w:kern w:val="0"/>
          <w:sz w:val="24"/>
          <w:szCs w:val="24"/>
        </w:rPr>
      </w:pPr>
      <w:r w:rsidRPr="00714BF6">
        <w:rPr>
          <w:rFonts w:hAnsi="標楷體" w:cs="新細明體" w:hint="eastAsia"/>
          <w:kern w:val="0"/>
          <w:sz w:val="24"/>
          <w:szCs w:val="24"/>
        </w:rPr>
        <w:t xml:space="preserve">    </w:t>
      </w:r>
      <w:r w:rsidR="00973CA0" w:rsidRPr="00714BF6">
        <w:rPr>
          <w:rFonts w:hAnsi="標楷體" w:cs="新細明體" w:hint="eastAsia"/>
          <w:kern w:val="0"/>
          <w:sz w:val="24"/>
          <w:szCs w:val="24"/>
        </w:rPr>
        <w:t>映學校參與該計畫之時間長短。</w:t>
      </w:r>
    </w:p>
    <w:p w:rsidR="00BA18D8" w:rsidRPr="00714BF6" w:rsidRDefault="00BA18D8" w:rsidP="00973CA0">
      <w:pPr>
        <w:widowControl/>
        <w:overflowPunct/>
        <w:autoSpaceDE/>
        <w:autoSpaceDN/>
        <w:spacing w:line="240" w:lineRule="exact"/>
        <w:jc w:val="left"/>
        <w:rPr>
          <w:rFonts w:hAnsi="標楷體" w:cs="新細明體"/>
          <w:kern w:val="0"/>
          <w:sz w:val="24"/>
          <w:szCs w:val="24"/>
        </w:rPr>
      </w:pPr>
      <w:r>
        <w:rPr>
          <w:rFonts w:hAnsi="標楷體" w:cs="新細明體" w:hint="eastAsia"/>
          <w:kern w:val="0"/>
          <w:sz w:val="24"/>
          <w:szCs w:val="24"/>
        </w:rPr>
        <w:t xml:space="preserve">    b.未包含試辦階段學校名單，故歷年累計補助校數47所。</w:t>
      </w:r>
    </w:p>
    <w:p w:rsidR="00016A2F" w:rsidRPr="00714BF6" w:rsidRDefault="00016A2F" w:rsidP="00973CA0">
      <w:pPr>
        <w:widowControl/>
        <w:overflowPunct/>
        <w:autoSpaceDE/>
        <w:autoSpaceDN/>
        <w:spacing w:line="240" w:lineRule="exact"/>
        <w:jc w:val="left"/>
      </w:pPr>
      <w:r w:rsidRPr="00714BF6">
        <w:rPr>
          <w:rFonts w:hAnsi="標楷體" w:cs="新細明體" w:hint="eastAsia"/>
          <w:kern w:val="0"/>
          <w:sz w:val="24"/>
          <w:szCs w:val="24"/>
        </w:rPr>
        <w:t>資料來源：本院依據教育部查復資料</w:t>
      </w:r>
      <w:proofErr w:type="gramStart"/>
      <w:r w:rsidRPr="00714BF6">
        <w:rPr>
          <w:rFonts w:hAnsi="標楷體" w:cs="新細明體" w:hint="eastAsia"/>
          <w:kern w:val="0"/>
          <w:sz w:val="24"/>
          <w:szCs w:val="24"/>
        </w:rPr>
        <w:t>彙整製表</w:t>
      </w:r>
      <w:proofErr w:type="gramEnd"/>
      <w:r w:rsidR="005F2DC8" w:rsidRPr="00714BF6">
        <w:rPr>
          <w:rFonts w:hAnsi="標楷體" w:hint="eastAsia"/>
          <w:sz w:val="24"/>
          <w:szCs w:val="24"/>
        </w:rPr>
        <w:t>；教育部提供之數據</w:t>
      </w:r>
      <w:r w:rsidR="00BA18D8">
        <w:rPr>
          <w:rFonts w:hAnsi="標楷體" w:hint="eastAsia"/>
          <w:sz w:val="24"/>
          <w:szCs w:val="24"/>
        </w:rPr>
        <w:t>，</w:t>
      </w:r>
      <w:r w:rsidR="005F2DC8" w:rsidRPr="00714BF6">
        <w:rPr>
          <w:rFonts w:hAnsi="標楷體" w:hint="eastAsia"/>
          <w:sz w:val="24"/>
          <w:szCs w:val="24"/>
        </w:rPr>
        <w:t>統計截至104年止</w:t>
      </w:r>
      <w:r w:rsidRPr="00714BF6">
        <w:rPr>
          <w:rFonts w:hAnsi="標楷體" w:cs="新細明體" w:hint="eastAsia"/>
          <w:kern w:val="0"/>
          <w:sz w:val="24"/>
          <w:szCs w:val="24"/>
        </w:rPr>
        <w:t>。</w:t>
      </w:r>
    </w:p>
    <w:p w:rsidR="00016A2F" w:rsidRPr="00714BF6" w:rsidRDefault="00016A2F" w:rsidP="00AA0936">
      <w:pPr>
        <w:pStyle w:val="a1"/>
        <w:numPr>
          <w:ilvl w:val="0"/>
          <w:numId w:val="0"/>
        </w:numPr>
        <w:spacing w:line="480" w:lineRule="exact"/>
        <w:ind w:left="1985"/>
        <w:rPr>
          <w:rFonts w:hAnsi="標楷體"/>
          <w:b/>
          <w:szCs w:val="32"/>
        </w:rPr>
        <w:sectPr w:rsidR="00016A2F" w:rsidRPr="00714BF6" w:rsidSect="00C27C97">
          <w:pgSz w:w="16840" w:h="11907" w:orient="landscape" w:code="9"/>
          <w:pgMar w:top="851" w:right="851" w:bottom="851" w:left="851" w:header="851" w:footer="851" w:gutter="227"/>
          <w:cols w:space="425"/>
          <w:docGrid w:linePitch="457" w:charSpace="4127"/>
        </w:sectPr>
      </w:pPr>
    </w:p>
    <w:p w:rsidR="00C27C97" w:rsidRPr="00714BF6" w:rsidRDefault="00C27C97" w:rsidP="000B2F2E">
      <w:pPr>
        <w:pStyle w:val="3"/>
        <w:spacing w:line="480" w:lineRule="exact"/>
      </w:pPr>
      <w:r w:rsidRPr="00714BF6">
        <w:rPr>
          <w:rFonts w:hAnsi="標楷體" w:hint="eastAsia"/>
          <w:bCs w:val="0"/>
        </w:rPr>
        <w:lastRenderedPageBreak/>
        <w:t>整體而言，</w:t>
      </w:r>
      <w:proofErr w:type="gramStart"/>
      <w:r w:rsidRPr="00714BF6">
        <w:rPr>
          <w:rFonts w:hAnsi="標楷體" w:hint="eastAsia"/>
          <w:bCs w:val="0"/>
        </w:rPr>
        <w:t>ㄧ</w:t>
      </w:r>
      <w:proofErr w:type="gramEnd"/>
      <w:r w:rsidRPr="00714BF6">
        <w:rPr>
          <w:rFonts w:hAnsi="標楷體" w:hint="eastAsia"/>
          <w:bCs w:val="0"/>
        </w:rPr>
        <w:t>般大學部分，94年至104年，累計補</w:t>
      </w:r>
      <w:r w:rsidRPr="00714BF6">
        <w:rPr>
          <w:rFonts w:hint="eastAsia"/>
        </w:rPr>
        <w:t>助48所學校</w:t>
      </w:r>
      <w:r w:rsidR="005D53AC">
        <w:rPr>
          <w:rStyle w:val="aff2"/>
        </w:rPr>
        <w:footnoteReference w:id="8"/>
      </w:r>
      <w:r w:rsidRPr="00714BF6">
        <w:rPr>
          <w:rFonts w:hint="eastAsia"/>
        </w:rPr>
        <w:t>，經費計165億8千萬餘元；科技校院部分，95年迄今，累計補助51所學校，經費達</w:t>
      </w:r>
      <w:r w:rsidRPr="00714BF6">
        <w:t>135</w:t>
      </w:r>
      <w:r w:rsidRPr="00714BF6">
        <w:rPr>
          <w:rFonts w:hint="eastAsia"/>
        </w:rPr>
        <w:t>億5千萬餘元。較之邁向頂尖大學計畫，歷年補助學校金額達963.1億，每年約維持補助12所學校，平均每校每年約7億元而言，教學卓越計畫自95年推動迄今，補助學校金額共約為301.5</w:t>
      </w:r>
      <w:r w:rsidR="00F5058F">
        <w:rPr>
          <w:rFonts w:hint="eastAsia"/>
        </w:rPr>
        <w:t>億，每年補助學校近</w:t>
      </w:r>
      <w:r w:rsidRPr="00714BF6">
        <w:rPr>
          <w:rFonts w:hint="eastAsia"/>
        </w:rPr>
        <w:t>70所</w:t>
      </w:r>
      <w:r w:rsidR="00F5058F">
        <w:rPr>
          <w:rStyle w:val="aff2"/>
        </w:rPr>
        <w:footnoteReference w:id="9"/>
      </w:r>
      <w:r w:rsidRPr="00714BF6">
        <w:rPr>
          <w:rFonts w:hint="eastAsia"/>
        </w:rPr>
        <w:t>，每校每年平均不及5</w:t>
      </w:r>
      <w:proofErr w:type="gramStart"/>
      <w:r w:rsidRPr="00714BF6">
        <w:rPr>
          <w:rFonts w:hint="eastAsia"/>
        </w:rPr>
        <w:t>千萬</w:t>
      </w:r>
      <w:proofErr w:type="gramEnd"/>
      <w:r w:rsidRPr="00714BF6">
        <w:rPr>
          <w:rFonts w:hint="eastAsia"/>
        </w:rPr>
        <w:t>元，兩</w:t>
      </w:r>
      <w:r w:rsidRPr="00714BF6">
        <w:rPr>
          <w:rFonts w:hAnsi="標楷體" w:hint="eastAsia"/>
          <w:bCs w:val="0"/>
        </w:rPr>
        <w:t>者顯有差距，且</w:t>
      </w:r>
      <w:r w:rsidRPr="00714BF6">
        <w:rPr>
          <w:rFonts w:hint="eastAsia"/>
        </w:rPr>
        <w:t>教學卓越計畫參與學校數量，遠較邁向頂尖計畫大學為多，大學為提升教學品質所獲得之經費，</w:t>
      </w:r>
      <w:r w:rsidR="00BD341A" w:rsidRPr="00714BF6">
        <w:rPr>
          <w:rFonts w:hint="eastAsia"/>
        </w:rPr>
        <w:t>顯</w:t>
      </w:r>
      <w:r w:rsidRPr="00714BF6">
        <w:rPr>
          <w:rFonts w:hint="eastAsia"/>
        </w:rPr>
        <w:t>屬稀薄</w:t>
      </w:r>
      <w:r w:rsidRPr="00714BF6">
        <w:rPr>
          <w:rFonts w:hAnsi="標楷體" w:hint="eastAsia"/>
          <w:bCs w:val="0"/>
        </w:rPr>
        <w:t>。</w:t>
      </w:r>
    </w:p>
    <w:p w:rsidR="00815A93" w:rsidRPr="00714BF6" w:rsidRDefault="00C30A93" w:rsidP="000B2F2E">
      <w:pPr>
        <w:pStyle w:val="3"/>
        <w:spacing w:line="480" w:lineRule="exact"/>
      </w:pPr>
      <w:r w:rsidRPr="00714BF6">
        <w:rPr>
          <w:rFonts w:hint="eastAsia"/>
        </w:rPr>
        <w:t>研究與教學之資源配置比例</w:t>
      </w:r>
      <w:r w:rsidR="00EE3EDF" w:rsidRPr="00714BF6">
        <w:rPr>
          <w:rFonts w:hint="eastAsia"/>
        </w:rPr>
        <w:t>，</w:t>
      </w:r>
      <w:r w:rsidRPr="00714BF6">
        <w:rPr>
          <w:rFonts w:hint="eastAsia"/>
        </w:rPr>
        <w:t>應反映我國高等教育整體長期願景，惟以前開</w:t>
      </w:r>
      <w:r w:rsidR="00A05C3A" w:rsidRPr="00714BF6">
        <w:rPr>
          <w:rFonts w:hint="eastAsia"/>
        </w:rPr>
        <w:t>研究與教學</w:t>
      </w:r>
      <w:r w:rsidR="009C454A" w:rsidRPr="00714BF6">
        <w:rPr>
          <w:rFonts w:hint="eastAsia"/>
        </w:rPr>
        <w:t>資源配置經費</w:t>
      </w:r>
      <w:r w:rsidR="00A05C3A" w:rsidRPr="00714BF6">
        <w:rPr>
          <w:rFonts w:hint="eastAsia"/>
        </w:rPr>
        <w:t>如此懸殊</w:t>
      </w:r>
      <w:r w:rsidRPr="00714BF6">
        <w:rPr>
          <w:rFonts w:hint="eastAsia"/>
        </w:rPr>
        <w:t>，</w:t>
      </w:r>
      <w:r w:rsidR="00A668F5" w:rsidRPr="00714BF6">
        <w:rPr>
          <w:rFonts w:hint="eastAsia"/>
        </w:rPr>
        <w:t>實難反映高等教育重視教學之政策理念；</w:t>
      </w:r>
      <w:r w:rsidR="009C43CE" w:rsidRPr="00714BF6">
        <w:rPr>
          <w:rFonts w:hint="eastAsia"/>
        </w:rPr>
        <w:t>何況</w:t>
      </w:r>
      <w:r w:rsidRPr="00714BF6">
        <w:rPr>
          <w:rFonts w:hint="eastAsia"/>
        </w:rPr>
        <w:t>我國推動教學卓越計畫</w:t>
      </w:r>
      <w:r w:rsidR="009C454A" w:rsidRPr="00714BF6">
        <w:rPr>
          <w:rFonts w:hint="eastAsia"/>
        </w:rPr>
        <w:t>之</w:t>
      </w:r>
      <w:r w:rsidR="00BB0E86" w:rsidRPr="00714BF6">
        <w:rPr>
          <w:rFonts w:hint="eastAsia"/>
        </w:rPr>
        <w:t>初衷</w:t>
      </w:r>
      <w:r w:rsidR="00BD341A" w:rsidRPr="00714BF6">
        <w:rPr>
          <w:rFonts w:hint="eastAsia"/>
        </w:rPr>
        <w:t>，乃</w:t>
      </w:r>
      <w:r w:rsidR="009C454A" w:rsidRPr="00714BF6">
        <w:rPr>
          <w:rFonts w:hint="eastAsia"/>
        </w:rPr>
        <w:t>為匡正「重研究、輕教學」</w:t>
      </w:r>
      <w:r w:rsidR="009C43CE" w:rsidRPr="00714BF6">
        <w:rPr>
          <w:rFonts w:hint="eastAsia"/>
        </w:rPr>
        <w:t>事實</w:t>
      </w:r>
      <w:r w:rsidRPr="00714BF6">
        <w:rPr>
          <w:rFonts w:hint="eastAsia"/>
        </w:rPr>
        <w:t>。</w:t>
      </w:r>
      <w:proofErr w:type="gramStart"/>
      <w:r w:rsidR="00962F75" w:rsidRPr="00714BF6">
        <w:rPr>
          <w:rFonts w:hint="eastAsia"/>
        </w:rPr>
        <w:t>此外，</w:t>
      </w:r>
      <w:proofErr w:type="gramEnd"/>
      <w:r w:rsidR="009C43CE" w:rsidRPr="00714BF6">
        <w:rPr>
          <w:rFonts w:hint="eastAsia"/>
        </w:rPr>
        <w:t>本案諮詢專家學者</w:t>
      </w:r>
      <w:r w:rsidR="00653062" w:rsidRPr="00714BF6">
        <w:rPr>
          <w:rFonts w:hint="eastAsia"/>
        </w:rPr>
        <w:t>指出</w:t>
      </w:r>
      <w:r w:rsidR="009C43CE" w:rsidRPr="00714BF6">
        <w:rPr>
          <w:rFonts w:hint="eastAsia"/>
        </w:rPr>
        <w:t>：</w:t>
      </w:r>
      <w:r w:rsidR="00653062" w:rsidRPr="00714BF6">
        <w:rPr>
          <w:rFonts w:hint="eastAsia"/>
        </w:rPr>
        <w:t>「</w:t>
      </w:r>
      <w:r w:rsidR="009C43CE" w:rsidRPr="00714BF6">
        <w:rPr>
          <w:rFonts w:hAnsi="標楷體" w:hint="eastAsia"/>
          <w:szCs w:val="32"/>
        </w:rPr>
        <w:t>好多頂尖大學，包括成大、中央等，反映</w:t>
      </w:r>
      <w:r w:rsidR="00BB0E86" w:rsidRPr="00714BF6">
        <w:rPr>
          <w:rFonts w:hAnsi="標楷體" w:hint="eastAsia"/>
          <w:szCs w:val="32"/>
        </w:rPr>
        <w:t>頂大的錢太多花不完。也就是，頂大計畫之外，任其他不少學校嗷嗷待哺，非常不合理</w:t>
      </w:r>
      <w:r w:rsidR="008E319B" w:rsidRPr="00714BF6">
        <w:rPr>
          <w:rFonts w:hAnsi="標楷體" w:hint="eastAsia"/>
          <w:szCs w:val="32"/>
        </w:rPr>
        <w:t>。......</w:t>
      </w:r>
      <w:r w:rsidR="00653062" w:rsidRPr="00714BF6">
        <w:rPr>
          <w:rFonts w:hAnsi="標楷體" w:hint="eastAsia"/>
          <w:szCs w:val="32"/>
        </w:rPr>
        <w:t>大學就是大學，不</w:t>
      </w:r>
      <w:r w:rsidR="00653062" w:rsidRPr="00714BF6">
        <w:rPr>
          <w:rFonts w:hint="eastAsia"/>
        </w:rPr>
        <w:t>是中央研究院，學校應該有教育理念，要以教學為優先。每一所大學都應重視教學，但很多校長</w:t>
      </w:r>
      <w:proofErr w:type="gramStart"/>
      <w:r w:rsidR="00653062" w:rsidRPr="00714BF6">
        <w:rPr>
          <w:rFonts w:hint="eastAsia"/>
        </w:rPr>
        <w:t>不敢說這種</w:t>
      </w:r>
      <w:proofErr w:type="gramEnd"/>
      <w:r w:rsidR="00653062" w:rsidRPr="00714BF6">
        <w:rPr>
          <w:rFonts w:hint="eastAsia"/>
        </w:rPr>
        <w:t>話，</w:t>
      </w:r>
      <w:proofErr w:type="gramStart"/>
      <w:r w:rsidR="00653062" w:rsidRPr="00714BF6">
        <w:rPr>
          <w:rFonts w:hint="eastAsia"/>
        </w:rPr>
        <w:t>說了似乎</w:t>
      </w:r>
      <w:proofErr w:type="gramEnd"/>
      <w:r w:rsidR="00653062" w:rsidRPr="00714BF6">
        <w:rPr>
          <w:rFonts w:hint="eastAsia"/>
        </w:rPr>
        <w:t>不重視研究</w:t>
      </w:r>
      <w:r w:rsidR="009C43CE" w:rsidRPr="00714BF6">
        <w:rPr>
          <w:rFonts w:hint="eastAsia"/>
        </w:rPr>
        <w:t>。</w:t>
      </w:r>
      <w:r w:rsidR="00653062" w:rsidRPr="00714BF6">
        <w:rPr>
          <w:rFonts w:hint="eastAsia"/>
        </w:rPr>
        <w:t>」、「教學工作穩固，再轉軌(追求卓越)，在此脈絡下，才可能卓越；且排名只是自然的結果，不該一開始就談</w:t>
      </w:r>
      <w:r w:rsidR="009C43CE" w:rsidRPr="00714BF6">
        <w:rPr>
          <w:rFonts w:hint="eastAsia"/>
        </w:rPr>
        <w:t>。</w:t>
      </w:r>
      <w:r w:rsidR="00653062" w:rsidRPr="00714BF6">
        <w:rPr>
          <w:rFonts w:hint="eastAsia"/>
        </w:rPr>
        <w:t>」等語，顯示，</w:t>
      </w:r>
      <w:r w:rsidR="00403600" w:rsidRPr="00714BF6">
        <w:rPr>
          <w:rFonts w:hint="eastAsia"/>
        </w:rPr>
        <w:t>縱追求「研究卓越」所費不</w:t>
      </w:r>
      <w:proofErr w:type="gramStart"/>
      <w:r w:rsidR="00403600" w:rsidRPr="00714BF6">
        <w:rPr>
          <w:rFonts w:hint="eastAsia"/>
        </w:rPr>
        <w:t>貲</w:t>
      </w:r>
      <w:proofErr w:type="gramEnd"/>
      <w:r w:rsidR="00403600" w:rsidRPr="00714BF6">
        <w:rPr>
          <w:rFonts w:hint="eastAsia"/>
        </w:rPr>
        <w:t>，然追求「教學卓越」是各校基礎核心工作，無論學校類型與定位，</w:t>
      </w:r>
      <w:proofErr w:type="gramStart"/>
      <w:r w:rsidR="00403600" w:rsidRPr="00714BF6">
        <w:rPr>
          <w:rFonts w:hint="eastAsia"/>
        </w:rPr>
        <w:t>均應</w:t>
      </w:r>
      <w:r w:rsidR="00BB0E86" w:rsidRPr="00714BF6">
        <w:rPr>
          <w:rFonts w:hint="eastAsia"/>
        </w:rPr>
        <w:t>強調</w:t>
      </w:r>
      <w:proofErr w:type="gramEnd"/>
      <w:r w:rsidR="00403600" w:rsidRPr="00714BF6">
        <w:rPr>
          <w:rFonts w:hint="eastAsia"/>
        </w:rPr>
        <w:t>教學品質</w:t>
      </w:r>
      <w:r w:rsidR="00F37BCC" w:rsidRPr="00714BF6">
        <w:rPr>
          <w:rFonts w:hint="eastAsia"/>
        </w:rPr>
        <w:t>，方有邁向頂尖之可能</w:t>
      </w:r>
      <w:r w:rsidR="00403600" w:rsidRPr="00714BF6">
        <w:rPr>
          <w:rFonts w:hint="eastAsia"/>
        </w:rPr>
        <w:t>；</w:t>
      </w:r>
      <w:proofErr w:type="gramStart"/>
      <w:r w:rsidR="00403600" w:rsidRPr="00714BF6">
        <w:rPr>
          <w:rFonts w:hint="eastAsia"/>
        </w:rPr>
        <w:t>況</w:t>
      </w:r>
      <w:proofErr w:type="gramEnd"/>
      <w:r w:rsidR="00962F75" w:rsidRPr="00714BF6">
        <w:rPr>
          <w:rFonts w:hint="eastAsia"/>
        </w:rPr>
        <w:t>學術研究工作，尚</w:t>
      </w:r>
      <w:proofErr w:type="gramStart"/>
      <w:r w:rsidR="00962F75" w:rsidRPr="00714BF6">
        <w:rPr>
          <w:rFonts w:hint="eastAsia"/>
        </w:rPr>
        <w:t>有</w:t>
      </w:r>
      <w:r w:rsidR="00FF15D0" w:rsidRPr="00714BF6">
        <w:rPr>
          <w:rFonts w:hint="eastAsia"/>
        </w:rPr>
        <w:t>共</w:t>
      </w:r>
      <w:r w:rsidR="00962F75" w:rsidRPr="00714BF6">
        <w:rPr>
          <w:rFonts w:hint="eastAsia"/>
        </w:rPr>
        <w:t>屬研究</w:t>
      </w:r>
      <w:proofErr w:type="gramEnd"/>
      <w:r w:rsidR="00962F75" w:rsidRPr="00714BF6">
        <w:rPr>
          <w:rFonts w:hint="eastAsia"/>
        </w:rPr>
        <w:t>機構與各事業單位權責部分</w:t>
      </w:r>
      <w:r w:rsidR="00C50B65" w:rsidRPr="00714BF6">
        <w:rPr>
          <w:rFonts w:hint="eastAsia"/>
        </w:rPr>
        <w:t>(</w:t>
      </w:r>
      <w:r w:rsidR="00BB0E86" w:rsidRPr="00714BF6">
        <w:rPr>
          <w:rFonts w:hint="eastAsia"/>
        </w:rPr>
        <w:t>「</w:t>
      </w:r>
      <w:r w:rsidR="00C50B65" w:rsidRPr="00714BF6">
        <w:rPr>
          <w:rFonts w:hint="eastAsia"/>
        </w:rPr>
        <w:t>科學技術基本法</w:t>
      </w:r>
      <w:r w:rsidR="00BB0E86" w:rsidRPr="00714BF6">
        <w:rPr>
          <w:rFonts w:hint="eastAsia"/>
        </w:rPr>
        <w:t>」</w:t>
      </w:r>
      <w:r w:rsidR="00C50B65" w:rsidRPr="00714BF6">
        <w:rPr>
          <w:rFonts w:hint="eastAsia"/>
        </w:rPr>
        <w:t>參照)</w:t>
      </w:r>
      <w:r w:rsidR="00403600" w:rsidRPr="00714BF6">
        <w:rPr>
          <w:rFonts w:hint="eastAsia"/>
        </w:rPr>
        <w:t>，究國家整體之學術研究資源配置</w:t>
      </w:r>
      <w:r w:rsidR="007E158B" w:rsidRPr="00714BF6">
        <w:rPr>
          <w:rFonts w:hint="eastAsia"/>
        </w:rPr>
        <w:t>，有無</w:t>
      </w:r>
      <w:r w:rsidR="009C454A" w:rsidRPr="00714BF6">
        <w:rPr>
          <w:rFonts w:hint="eastAsia"/>
        </w:rPr>
        <w:t>合理配置</w:t>
      </w:r>
      <w:r w:rsidR="00403600" w:rsidRPr="00714BF6">
        <w:rPr>
          <w:rFonts w:hint="eastAsia"/>
        </w:rPr>
        <w:t>？</w:t>
      </w:r>
      <w:r w:rsidR="00894438" w:rsidRPr="00714BF6">
        <w:rPr>
          <w:rFonts w:hint="eastAsia"/>
        </w:rPr>
        <w:t>又，高等教育經費中</w:t>
      </w:r>
      <w:r w:rsidR="00BB0E86" w:rsidRPr="00714BF6">
        <w:rPr>
          <w:rFonts w:hint="eastAsia"/>
        </w:rPr>
        <w:t>，</w:t>
      </w:r>
      <w:r w:rsidR="009C43CE" w:rsidRPr="00714BF6">
        <w:rPr>
          <w:rFonts w:hint="eastAsia"/>
        </w:rPr>
        <w:t>「</w:t>
      </w:r>
      <w:r w:rsidR="00894438" w:rsidRPr="00714BF6">
        <w:rPr>
          <w:rFonts w:hint="eastAsia"/>
        </w:rPr>
        <w:t>研究</w:t>
      </w:r>
      <w:r w:rsidR="009C43CE" w:rsidRPr="00714BF6">
        <w:rPr>
          <w:rFonts w:hint="eastAsia"/>
        </w:rPr>
        <w:t>」</w:t>
      </w:r>
      <w:r w:rsidR="00894438" w:rsidRPr="00714BF6">
        <w:rPr>
          <w:rFonts w:hint="eastAsia"/>
        </w:rPr>
        <w:t>與</w:t>
      </w:r>
      <w:r w:rsidR="009C43CE" w:rsidRPr="00714BF6">
        <w:rPr>
          <w:rFonts w:hint="eastAsia"/>
        </w:rPr>
        <w:t>「</w:t>
      </w:r>
      <w:r w:rsidR="00894438" w:rsidRPr="00714BF6">
        <w:rPr>
          <w:rFonts w:hint="eastAsia"/>
        </w:rPr>
        <w:t>教學</w:t>
      </w:r>
      <w:r w:rsidR="009C43CE" w:rsidRPr="00714BF6">
        <w:rPr>
          <w:rFonts w:hint="eastAsia"/>
        </w:rPr>
        <w:t>」</w:t>
      </w:r>
      <w:r w:rsidR="00894438" w:rsidRPr="00714BF6">
        <w:rPr>
          <w:rFonts w:hint="eastAsia"/>
        </w:rPr>
        <w:t>兩者之資源配置妥適性如何？均有待</w:t>
      </w:r>
      <w:proofErr w:type="gramStart"/>
      <w:r w:rsidR="00894438" w:rsidRPr="00714BF6">
        <w:rPr>
          <w:rFonts w:hint="eastAsia"/>
        </w:rPr>
        <w:t>釐</w:t>
      </w:r>
      <w:proofErr w:type="gramEnd"/>
      <w:r w:rsidR="00894438" w:rsidRPr="00714BF6">
        <w:rPr>
          <w:rFonts w:hint="eastAsia"/>
        </w:rPr>
        <w:t>清</w:t>
      </w:r>
      <w:r w:rsidR="00403600" w:rsidRPr="00714BF6">
        <w:rPr>
          <w:rFonts w:hint="eastAsia"/>
        </w:rPr>
        <w:t>。</w:t>
      </w:r>
    </w:p>
    <w:p w:rsidR="00815A93" w:rsidRPr="00714BF6" w:rsidRDefault="00815A93" w:rsidP="000B2F2E">
      <w:pPr>
        <w:pStyle w:val="3"/>
        <w:spacing w:line="480" w:lineRule="exact"/>
      </w:pPr>
      <w:r w:rsidRPr="00714BF6">
        <w:rPr>
          <w:rFonts w:hAnsi="標楷體" w:hint="eastAsia"/>
          <w:szCs w:val="32"/>
        </w:rPr>
        <w:lastRenderedPageBreak/>
        <w:t>綜上，</w:t>
      </w:r>
      <w:r w:rsidR="00DD4F9A" w:rsidRPr="00714BF6">
        <w:rPr>
          <w:rFonts w:hAnsi="標楷體" w:hint="eastAsia"/>
          <w:szCs w:val="32"/>
        </w:rPr>
        <w:t>我國過去</w:t>
      </w:r>
      <w:r w:rsidR="00BB319F" w:rsidRPr="00714BF6">
        <w:rPr>
          <w:rFonts w:hAnsi="標楷體" w:hint="eastAsia"/>
          <w:szCs w:val="32"/>
        </w:rPr>
        <w:t>長期</w:t>
      </w:r>
      <w:r w:rsidR="00DD4F9A" w:rsidRPr="00714BF6">
        <w:rPr>
          <w:rFonts w:hAnsi="標楷體" w:hint="eastAsia"/>
          <w:szCs w:val="32"/>
        </w:rPr>
        <w:t>以大量資源</w:t>
      </w:r>
      <w:proofErr w:type="gramStart"/>
      <w:r w:rsidR="00BB0E86" w:rsidRPr="00714BF6">
        <w:rPr>
          <w:rFonts w:hAnsi="標楷體" w:hint="eastAsia"/>
          <w:szCs w:val="32"/>
        </w:rPr>
        <w:t>挹</w:t>
      </w:r>
      <w:proofErr w:type="gramEnd"/>
      <w:r w:rsidR="00BB0E86" w:rsidRPr="00714BF6">
        <w:rPr>
          <w:rFonts w:hAnsi="標楷體" w:hint="eastAsia"/>
          <w:szCs w:val="32"/>
        </w:rPr>
        <w:t>注</w:t>
      </w:r>
      <w:r w:rsidRPr="00714BF6">
        <w:rPr>
          <w:rFonts w:hAnsi="標楷體" w:hint="eastAsia"/>
          <w:szCs w:val="32"/>
        </w:rPr>
        <w:t>高等教育</w:t>
      </w:r>
      <w:r w:rsidR="00DD4F9A" w:rsidRPr="00714BF6">
        <w:rPr>
          <w:rFonts w:hAnsi="標楷體" w:hint="eastAsia"/>
          <w:szCs w:val="32"/>
        </w:rPr>
        <w:t>追求</w:t>
      </w:r>
      <w:r w:rsidR="009C43CE" w:rsidRPr="00714BF6">
        <w:rPr>
          <w:rFonts w:hAnsi="標楷體" w:hint="eastAsia"/>
          <w:szCs w:val="32"/>
        </w:rPr>
        <w:t>「研究卓越」，導致大學發展輕忽</w:t>
      </w:r>
      <w:r w:rsidRPr="00714BF6">
        <w:rPr>
          <w:rFonts w:hAnsi="標楷體" w:hint="eastAsia"/>
          <w:szCs w:val="32"/>
        </w:rPr>
        <w:t>教學</w:t>
      </w:r>
      <w:r w:rsidR="00BB0E86" w:rsidRPr="00714BF6">
        <w:rPr>
          <w:rFonts w:hAnsi="標楷體" w:hint="eastAsia"/>
          <w:szCs w:val="32"/>
        </w:rPr>
        <w:t>基本</w:t>
      </w:r>
      <w:r w:rsidRPr="00714BF6">
        <w:rPr>
          <w:rFonts w:hAnsi="標楷體" w:hint="eastAsia"/>
          <w:szCs w:val="32"/>
        </w:rPr>
        <w:t>任務，惟人才培育的具體工作仍須落實於學生學習成效中，為引導大學重視教學品質，遂有教學卓越計畫</w:t>
      </w:r>
      <w:r w:rsidR="00BB0E86" w:rsidRPr="00714BF6">
        <w:rPr>
          <w:rFonts w:hAnsi="標楷體" w:hint="eastAsia"/>
          <w:szCs w:val="32"/>
        </w:rPr>
        <w:t>之</w:t>
      </w:r>
      <w:r w:rsidRPr="00714BF6">
        <w:rPr>
          <w:rFonts w:hAnsi="標楷體" w:hint="eastAsia"/>
          <w:szCs w:val="32"/>
        </w:rPr>
        <w:t>推動，</w:t>
      </w:r>
      <w:r w:rsidR="00491A4A" w:rsidRPr="00714BF6">
        <w:rPr>
          <w:rFonts w:hAnsi="標楷體" w:hint="eastAsia"/>
          <w:szCs w:val="32"/>
        </w:rPr>
        <w:t>然</w:t>
      </w:r>
      <w:r w:rsidR="00BB319F" w:rsidRPr="00714BF6">
        <w:rPr>
          <w:rFonts w:hAnsi="標楷體" w:hint="eastAsia"/>
          <w:szCs w:val="32"/>
        </w:rPr>
        <w:t>整體而言，投入學術研究工作之相關資源</w:t>
      </w:r>
      <w:r w:rsidR="009C43CE" w:rsidRPr="00714BF6">
        <w:rPr>
          <w:rFonts w:hAnsi="標楷體" w:hint="eastAsia"/>
          <w:szCs w:val="32"/>
        </w:rPr>
        <w:t>，來源多端</w:t>
      </w:r>
      <w:r w:rsidR="00851537" w:rsidRPr="00714BF6">
        <w:rPr>
          <w:rFonts w:hAnsi="標楷體" w:hint="eastAsia"/>
          <w:szCs w:val="32"/>
        </w:rPr>
        <w:t>，已明顯高於投入教學工作者；</w:t>
      </w:r>
      <w:r w:rsidR="008E4AF9" w:rsidRPr="00714BF6">
        <w:rPr>
          <w:rFonts w:hAnsi="標楷體" w:hint="eastAsia"/>
          <w:szCs w:val="32"/>
        </w:rPr>
        <w:t>又，</w:t>
      </w:r>
      <w:r w:rsidR="00C36944" w:rsidRPr="00714BF6">
        <w:rPr>
          <w:rFonts w:hAnsi="標楷體" w:hint="eastAsia"/>
          <w:szCs w:val="32"/>
        </w:rPr>
        <w:t>無論</w:t>
      </w:r>
      <w:r w:rsidR="00550FF3" w:rsidRPr="00714BF6">
        <w:rPr>
          <w:rFonts w:hAnsi="標楷體" w:hint="eastAsia"/>
          <w:szCs w:val="32"/>
        </w:rPr>
        <w:t>學校類型或定位為何，</w:t>
      </w:r>
      <w:r w:rsidR="00BB0E86" w:rsidRPr="00714BF6">
        <w:rPr>
          <w:rFonts w:hAnsi="標楷體" w:hint="eastAsia"/>
          <w:szCs w:val="32"/>
        </w:rPr>
        <w:t>大學校</w:t>
      </w:r>
      <w:proofErr w:type="gramStart"/>
      <w:r w:rsidR="00BB0E86" w:rsidRPr="00714BF6">
        <w:rPr>
          <w:rFonts w:hAnsi="標楷體" w:hint="eastAsia"/>
          <w:szCs w:val="32"/>
        </w:rPr>
        <w:t>院</w:t>
      </w:r>
      <w:r w:rsidR="00550FF3" w:rsidRPr="00714BF6">
        <w:rPr>
          <w:rFonts w:hAnsi="標楷體" w:hint="eastAsia"/>
          <w:szCs w:val="32"/>
        </w:rPr>
        <w:t>均有維持</w:t>
      </w:r>
      <w:proofErr w:type="gramEnd"/>
      <w:r w:rsidR="00550FF3" w:rsidRPr="00714BF6">
        <w:rPr>
          <w:rFonts w:hAnsi="標楷體" w:hint="eastAsia"/>
          <w:szCs w:val="32"/>
        </w:rPr>
        <w:t>、提升教學品質之責任</w:t>
      </w:r>
      <w:r w:rsidR="00851537" w:rsidRPr="00714BF6">
        <w:rPr>
          <w:rFonts w:hAnsi="標楷體" w:hint="eastAsia"/>
          <w:szCs w:val="32"/>
        </w:rPr>
        <w:t>，是</w:t>
      </w:r>
      <w:proofErr w:type="gramStart"/>
      <w:r w:rsidR="00851537" w:rsidRPr="00714BF6">
        <w:rPr>
          <w:rFonts w:hAnsi="標楷體" w:hint="eastAsia"/>
          <w:szCs w:val="32"/>
        </w:rPr>
        <w:t>以</w:t>
      </w:r>
      <w:proofErr w:type="gramEnd"/>
      <w:r w:rsidR="00851537" w:rsidRPr="00714BF6">
        <w:rPr>
          <w:rFonts w:hAnsi="標楷體" w:hint="eastAsia"/>
          <w:szCs w:val="32"/>
        </w:rPr>
        <w:t>，基於我國</w:t>
      </w:r>
      <w:r w:rsidR="00851537" w:rsidRPr="00714BF6">
        <w:rPr>
          <w:rFonts w:hint="eastAsia"/>
        </w:rPr>
        <w:t>高等教育整體長期之</w:t>
      </w:r>
      <w:r w:rsidR="00BB0E86" w:rsidRPr="00714BF6">
        <w:rPr>
          <w:rFonts w:hint="eastAsia"/>
        </w:rPr>
        <w:t>發展</w:t>
      </w:r>
      <w:r w:rsidR="00851537" w:rsidRPr="00714BF6">
        <w:rPr>
          <w:rFonts w:hint="eastAsia"/>
        </w:rPr>
        <w:t>，</w:t>
      </w:r>
      <w:proofErr w:type="gramStart"/>
      <w:r w:rsidR="00851537" w:rsidRPr="00714BF6">
        <w:rPr>
          <w:rFonts w:hint="eastAsia"/>
        </w:rPr>
        <w:t>洵</w:t>
      </w:r>
      <w:proofErr w:type="gramEnd"/>
      <w:r w:rsidR="00851537" w:rsidRPr="00714BF6">
        <w:rPr>
          <w:rFonts w:hint="eastAsia"/>
        </w:rPr>
        <w:t>有通盤檢視相關資源分配妥適性之必要</w:t>
      </w:r>
      <w:r w:rsidRPr="00714BF6">
        <w:rPr>
          <w:rFonts w:hAnsi="標楷體" w:hint="eastAsia"/>
          <w:szCs w:val="32"/>
        </w:rPr>
        <w:t>。</w:t>
      </w:r>
    </w:p>
    <w:p w:rsidR="004F0A1F" w:rsidRPr="00714BF6" w:rsidRDefault="004F0A1F" w:rsidP="000B2F2E">
      <w:pPr>
        <w:pStyle w:val="3"/>
        <w:numPr>
          <w:ilvl w:val="0"/>
          <w:numId w:val="0"/>
        </w:numPr>
        <w:spacing w:line="480" w:lineRule="exact"/>
        <w:ind w:left="1532"/>
      </w:pPr>
    </w:p>
    <w:p w:rsidR="00BF2E00" w:rsidRPr="00714BF6" w:rsidRDefault="00BF2E00" w:rsidP="000B2F2E">
      <w:pPr>
        <w:pStyle w:val="2"/>
        <w:spacing w:line="480" w:lineRule="exact"/>
        <w:ind w:left="993" w:hanging="709"/>
        <w:rPr>
          <w:b/>
          <w:bCs w:val="0"/>
          <w:kern w:val="0"/>
        </w:rPr>
      </w:pPr>
      <w:bookmarkStart w:id="63" w:name="_Toc457658104"/>
      <w:r w:rsidRPr="00714BF6">
        <w:rPr>
          <w:rFonts w:hAnsi="標楷體" w:hint="eastAsia"/>
          <w:b/>
          <w:bCs w:val="0"/>
          <w:kern w:val="0"/>
          <w:szCs w:val="32"/>
        </w:rPr>
        <w:t>大學教學卓越</w:t>
      </w:r>
      <w:r w:rsidR="004A6CF4" w:rsidRPr="00714BF6">
        <w:rPr>
          <w:rFonts w:hAnsi="標楷體" w:hint="eastAsia"/>
          <w:b/>
          <w:bCs w:val="0"/>
          <w:kern w:val="0"/>
          <w:szCs w:val="32"/>
        </w:rPr>
        <w:t>計畫</w:t>
      </w:r>
      <w:r w:rsidR="00602AC4" w:rsidRPr="00714BF6">
        <w:rPr>
          <w:rFonts w:hAnsi="標楷體" w:hint="eastAsia"/>
          <w:b/>
          <w:bCs w:val="0"/>
          <w:kern w:val="0"/>
          <w:szCs w:val="32"/>
        </w:rPr>
        <w:t>補助全國逾半之大學校院，難符</w:t>
      </w:r>
      <w:r w:rsidR="004A6CF4" w:rsidRPr="00714BF6">
        <w:rPr>
          <w:rFonts w:hAnsi="標楷體" w:hint="eastAsia"/>
          <w:b/>
          <w:bCs w:val="0"/>
          <w:kern w:val="0"/>
          <w:szCs w:val="32"/>
        </w:rPr>
        <w:t>「</w:t>
      </w:r>
      <w:r w:rsidRPr="00714BF6">
        <w:rPr>
          <w:rFonts w:hAnsi="標楷體" w:hint="eastAsia"/>
          <w:b/>
          <w:bCs w:val="0"/>
          <w:kern w:val="0"/>
          <w:szCs w:val="32"/>
        </w:rPr>
        <w:t>卓越</w:t>
      </w:r>
      <w:r w:rsidR="004A6CF4" w:rsidRPr="00714BF6">
        <w:rPr>
          <w:rFonts w:hAnsi="標楷體" w:hint="eastAsia"/>
          <w:b/>
          <w:bCs w:val="0"/>
          <w:kern w:val="0"/>
          <w:szCs w:val="32"/>
        </w:rPr>
        <w:t>」</w:t>
      </w:r>
      <w:r w:rsidRPr="00714BF6">
        <w:rPr>
          <w:rFonts w:hAnsi="標楷體" w:hint="eastAsia"/>
          <w:b/>
          <w:bCs w:val="0"/>
          <w:kern w:val="0"/>
          <w:szCs w:val="32"/>
        </w:rPr>
        <w:t>導向政策之</w:t>
      </w:r>
      <w:r w:rsidR="004A6CF4" w:rsidRPr="00714BF6">
        <w:rPr>
          <w:rFonts w:hAnsi="標楷體" w:hint="eastAsia"/>
          <w:b/>
          <w:bCs w:val="0"/>
          <w:kern w:val="0"/>
          <w:szCs w:val="32"/>
        </w:rPr>
        <w:t>資源</w:t>
      </w:r>
      <w:r w:rsidRPr="00714BF6">
        <w:rPr>
          <w:rFonts w:hAnsi="標楷體" w:hint="eastAsia"/>
          <w:b/>
          <w:bCs w:val="0"/>
          <w:kern w:val="0"/>
          <w:szCs w:val="32"/>
        </w:rPr>
        <w:t>集中原則，</w:t>
      </w:r>
      <w:proofErr w:type="gramStart"/>
      <w:r w:rsidRPr="00714BF6">
        <w:rPr>
          <w:rFonts w:hAnsi="標楷體" w:hint="eastAsia"/>
          <w:b/>
          <w:bCs w:val="0"/>
          <w:kern w:val="0"/>
          <w:szCs w:val="32"/>
        </w:rPr>
        <w:t>允有檢討</w:t>
      </w:r>
      <w:proofErr w:type="gramEnd"/>
      <w:r w:rsidR="004A6CF4" w:rsidRPr="00714BF6">
        <w:rPr>
          <w:rFonts w:hAnsi="標楷體" w:hint="eastAsia"/>
          <w:b/>
          <w:bCs w:val="0"/>
          <w:kern w:val="0"/>
          <w:szCs w:val="32"/>
        </w:rPr>
        <w:t>空間</w:t>
      </w:r>
      <w:r w:rsidRPr="00714BF6">
        <w:rPr>
          <w:rFonts w:hAnsi="標楷體" w:hint="eastAsia"/>
          <w:b/>
          <w:bCs w:val="0"/>
          <w:kern w:val="0"/>
          <w:szCs w:val="32"/>
        </w:rPr>
        <w:t>；</w:t>
      </w:r>
      <w:r w:rsidR="004A6CF4" w:rsidRPr="00714BF6">
        <w:rPr>
          <w:rFonts w:hAnsi="標楷體" w:hint="eastAsia"/>
          <w:b/>
          <w:bCs w:val="0"/>
          <w:kern w:val="0"/>
          <w:szCs w:val="32"/>
        </w:rPr>
        <w:t>而「</w:t>
      </w:r>
      <w:r w:rsidRPr="00714BF6">
        <w:rPr>
          <w:rFonts w:hAnsi="標楷體" w:hint="eastAsia"/>
          <w:b/>
          <w:bCs w:val="0"/>
          <w:kern w:val="0"/>
          <w:szCs w:val="32"/>
        </w:rPr>
        <w:t>教學</w:t>
      </w:r>
      <w:r w:rsidR="004A6CF4" w:rsidRPr="00714BF6">
        <w:rPr>
          <w:rFonts w:hAnsi="標楷體" w:hint="eastAsia"/>
          <w:b/>
          <w:bCs w:val="0"/>
          <w:kern w:val="0"/>
          <w:szCs w:val="32"/>
        </w:rPr>
        <w:t>」</w:t>
      </w:r>
      <w:r w:rsidRPr="00714BF6">
        <w:rPr>
          <w:rFonts w:hAnsi="標楷體" w:hint="eastAsia"/>
          <w:b/>
          <w:bCs w:val="0"/>
          <w:kern w:val="0"/>
          <w:szCs w:val="32"/>
        </w:rPr>
        <w:t>既為高等教育核心價值之一，</w:t>
      </w:r>
      <w:r w:rsidR="00602AC4" w:rsidRPr="00714BF6">
        <w:rPr>
          <w:rFonts w:hAnsi="標楷體" w:hint="eastAsia"/>
          <w:b/>
          <w:bCs w:val="0"/>
          <w:kern w:val="0"/>
          <w:szCs w:val="32"/>
        </w:rPr>
        <w:t>為維護學生權益，</w:t>
      </w:r>
      <w:r w:rsidR="004A6CF4" w:rsidRPr="00714BF6">
        <w:rPr>
          <w:rFonts w:hAnsi="標楷體" w:hint="eastAsia"/>
          <w:b/>
          <w:bCs w:val="0"/>
          <w:kern w:val="0"/>
          <w:szCs w:val="32"/>
        </w:rPr>
        <w:t>對</w:t>
      </w:r>
      <w:r w:rsidRPr="00714BF6">
        <w:rPr>
          <w:rFonts w:hAnsi="標楷體" w:hint="eastAsia"/>
          <w:b/>
          <w:bCs w:val="0"/>
          <w:kern w:val="0"/>
          <w:szCs w:val="32"/>
        </w:rPr>
        <w:t>未獲得補助之學校</w:t>
      </w:r>
      <w:r w:rsidR="004A6CF4" w:rsidRPr="00714BF6">
        <w:rPr>
          <w:rFonts w:hAnsi="標楷體" w:hint="eastAsia"/>
          <w:b/>
          <w:bCs w:val="0"/>
          <w:kern w:val="0"/>
          <w:szCs w:val="32"/>
        </w:rPr>
        <w:t>，教育部</w:t>
      </w:r>
      <w:r w:rsidR="009C43CE" w:rsidRPr="00714BF6">
        <w:rPr>
          <w:rFonts w:hAnsi="標楷體" w:hint="eastAsia"/>
          <w:b/>
          <w:bCs w:val="0"/>
          <w:kern w:val="0"/>
          <w:szCs w:val="32"/>
        </w:rPr>
        <w:t>理</w:t>
      </w:r>
      <w:r w:rsidRPr="00714BF6">
        <w:rPr>
          <w:rFonts w:hAnsi="標楷體" w:hint="eastAsia"/>
          <w:b/>
          <w:bCs w:val="0"/>
          <w:kern w:val="0"/>
          <w:szCs w:val="32"/>
        </w:rPr>
        <w:t>應</w:t>
      </w:r>
      <w:r w:rsidR="004A6CF4" w:rsidRPr="00714BF6">
        <w:rPr>
          <w:rFonts w:hAnsi="標楷體" w:hint="eastAsia"/>
          <w:b/>
          <w:bCs w:val="0"/>
          <w:kern w:val="0"/>
          <w:szCs w:val="32"/>
        </w:rPr>
        <w:t>配合大學退場機制</w:t>
      </w:r>
      <w:r w:rsidRPr="00714BF6">
        <w:rPr>
          <w:rFonts w:hAnsi="標楷體" w:hint="eastAsia"/>
          <w:b/>
          <w:bCs w:val="0"/>
          <w:kern w:val="0"/>
          <w:szCs w:val="32"/>
        </w:rPr>
        <w:t>，</w:t>
      </w:r>
      <w:r w:rsidR="00602AC4" w:rsidRPr="00714BF6">
        <w:rPr>
          <w:rFonts w:hAnsi="標楷體" w:hint="eastAsia"/>
          <w:b/>
          <w:bCs w:val="0"/>
          <w:kern w:val="0"/>
          <w:szCs w:val="32"/>
        </w:rPr>
        <w:t>通盤審慎規劃以</w:t>
      </w:r>
      <w:r w:rsidR="004A6CF4" w:rsidRPr="00714BF6">
        <w:rPr>
          <w:rFonts w:hAnsi="標楷體" w:hint="eastAsia"/>
          <w:b/>
          <w:bCs w:val="0"/>
          <w:kern w:val="0"/>
          <w:szCs w:val="32"/>
        </w:rPr>
        <w:t>提升其教學品質</w:t>
      </w:r>
      <w:r w:rsidRPr="00714BF6">
        <w:rPr>
          <w:rFonts w:hint="eastAsia"/>
          <w:b/>
          <w:bCs w:val="0"/>
          <w:kern w:val="0"/>
        </w:rPr>
        <w:t>。</w:t>
      </w:r>
      <w:bookmarkEnd w:id="63"/>
    </w:p>
    <w:p w:rsidR="00BF2E00" w:rsidRPr="00714BF6" w:rsidRDefault="00094145" w:rsidP="000B2F2E">
      <w:pPr>
        <w:pStyle w:val="3"/>
        <w:spacing w:line="480" w:lineRule="exact"/>
      </w:pPr>
      <w:r w:rsidRPr="00714BF6">
        <w:rPr>
          <w:rFonts w:hint="eastAsia"/>
        </w:rPr>
        <w:t>「</w:t>
      </w:r>
      <w:r w:rsidR="00BF2E00" w:rsidRPr="00714BF6">
        <w:rPr>
          <w:rFonts w:hint="eastAsia"/>
        </w:rPr>
        <w:t>教育部補助獎勵大學教學卓越計畫及區域教學資源中心計畫實施要點</w:t>
      </w:r>
      <w:r w:rsidRPr="00714BF6">
        <w:rPr>
          <w:rFonts w:hint="eastAsia"/>
        </w:rPr>
        <w:t>」</w:t>
      </w:r>
      <w:r w:rsidR="00BF2E00" w:rsidRPr="00714BF6">
        <w:rPr>
          <w:rFonts w:hint="eastAsia"/>
        </w:rPr>
        <w:t>第4</w:t>
      </w:r>
      <w:r w:rsidR="004649F8" w:rsidRPr="00714BF6">
        <w:rPr>
          <w:rFonts w:hint="eastAsia"/>
        </w:rPr>
        <w:t>條</w:t>
      </w:r>
      <w:r w:rsidR="00BF2E00" w:rsidRPr="00714BF6">
        <w:rPr>
          <w:rFonts w:hint="eastAsia"/>
        </w:rPr>
        <w:t>規定略</w:t>
      </w:r>
      <w:proofErr w:type="gramStart"/>
      <w:r w:rsidR="00BF2E00" w:rsidRPr="00714BF6">
        <w:rPr>
          <w:rFonts w:hint="eastAsia"/>
        </w:rPr>
        <w:t>以</w:t>
      </w:r>
      <w:proofErr w:type="gramEnd"/>
      <w:r w:rsidR="00BF2E00" w:rsidRPr="00714BF6">
        <w:rPr>
          <w:rFonts w:hint="eastAsia"/>
        </w:rPr>
        <w:t>，</w:t>
      </w:r>
      <w:r w:rsidR="004649F8" w:rsidRPr="00714BF6">
        <w:rPr>
          <w:rFonts w:hint="eastAsia"/>
        </w:rPr>
        <w:t>「</w:t>
      </w:r>
      <w:r w:rsidR="00BF2E00" w:rsidRPr="00714BF6">
        <w:rPr>
          <w:rFonts w:hint="eastAsia"/>
        </w:rPr>
        <w:t>此計畫以總經費之80%補助全國30~40%之大學校院辦理(含其他子計畫)，以總經費之20%推動區域教學資源中心計畫</w:t>
      </w:r>
      <w:r w:rsidR="004649F8" w:rsidRPr="00714BF6">
        <w:rPr>
          <w:rFonts w:hint="eastAsia"/>
        </w:rPr>
        <w:t>」</w:t>
      </w:r>
      <w:r w:rsidR="00BF2E00" w:rsidRPr="00714BF6">
        <w:rPr>
          <w:rFonts w:hint="eastAsia"/>
        </w:rPr>
        <w:t>；科技校院部分</w:t>
      </w:r>
      <w:r w:rsidR="00784D57" w:rsidRPr="00714BF6">
        <w:rPr>
          <w:rFonts w:hint="eastAsia"/>
        </w:rPr>
        <w:t>(「教育部獎勵科技大學及技術學院教學卓越計畫要點」參照)，則</w:t>
      </w:r>
      <w:r w:rsidR="00BF2E00" w:rsidRPr="00714BF6">
        <w:rPr>
          <w:rFonts w:hint="eastAsia"/>
        </w:rPr>
        <w:t>未規範教學卓越計畫與區域教學資源中心計畫補助經費比率，</w:t>
      </w:r>
      <w:proofErr w:type="gramStart"/>
      <w:r w:rsidR="00BF2E00" w:rsidRPr="00714BF6">
        <w:rPr>
          <w:rFonts w:hint="eastAsia"/>
        </w:rPr>
        <w:t>合先敘</w:t>
      </w:r>
      <w:proofErr w:type="gramEnd"/>
      <w:r w:rsidR="00BF2E00" w:rsidRPr="00714BF6">
        <w:rPr>
          <w:rFonts w:hint="eastAsia"/>
        </w:rPr>
        <w:t>明。</w:t>
      </w:r>
    </w:p>
    <w:p w:rsidR="00BF2E00" w:rsidRPr="00714BF6" w:rsidRDefault="00BF2E00" w:rsidP="000B2F2E">
      <w:pPr>
        <w:pStyle w:val="3"/>
        <w:spacing w:line="480" w:lineRule="exact"/>
      </w:pPr>
      <w:r w:rsidRPr="00714BF6">
        <w:rPr>
          <w:rFonts w:hint="eastAsia"/>
        </w:rPr>
        <w:t>學者戴曉霞</w:t>
      </w:r>
      <w:r w:rsidR="00784D57" w:rsidRPr="00714BF6">
        <w:rPr>
          <w:rFonts w:hint="eastAsia"/>
        </w:rPr>
        <w:t>曾</w:t>
      </w:r>
      <w:proofErr w:type="gramStart"/>
      <w:r w:rsidR="00784D57" w:rsidRPr="00714BF6">
        <w:rPr>
          <w:rFonts w:hint="eastAsia"/>
        </w:rPr>
        <w:t>云</w:t>
      </w:r>
      <w:proofErr w:type="gramEnd"/>
      <w:r w:rsidRPr="00714BF6">
        <w:rPr>
          <w:rStyle w:val="aff2"/>
        </w:rPr>
        <w:footnoteReference w:id="10"/>
      </w:r>
      <w:r w:rsidR="00784D57" w:rsidRPr="00714BF6">
        <w:rPr>
          <w:rFonts w:hint="eastAsia"/>
        </w:rPr>
        <w:t>：</w:t>
      </w:r>
      <w:r w:rsidRPr="00714BF6">
        <w:rPr>
          <w:rFonts w:hint="eastAsia"/>
        </w:rPr>
        <w:t>「各國在學術卓越政策上，多採取『選擇和集中原則』，將額外經費集中在少數已進入世界</w:t>
      </w:r>
      <w:r w:rsidR="00784D57" w:rsidRPr="00714BF6">
        <w:rPr>
          <w:rFonts w:hint="eastAsia"/>
        </w:rPr>
        <w:t>級</w:t>
      </w:r>
      <w:r w:rsidR="0045360F" w:rsidRPr="00714BF6">
        <w:rPr>
          <w:rFonts w:hint="eastAsia"/>
        </w:rPr>
        <w:t>排名或具有成為世界級</w:t>
      </w:r>
      <w:r w:rsidRPr="00714BF6">
        <w:rPr>
          <w:rFonts w:hint="eastAsia"/>
        </w:rPr>
        <w:t>潛力的大學，而非以均等的方式平分給為數眾多的所有大學」等語。本院諮詢專家學者</w:t>
      </w:r>
      <w:r w:rsidR="00784D57" w:rsidRPr="00714BF6">
        <w:rPr>
          <w:rFonts w:hint="eastAsia"/>
        </w:rPr>
        <w:t>亦</w:t>
      </w:r>
      <w:r w:rsidRPr="00714BF6">
        <w:rPr>
          <w:rFonts w:hint="eastAsia"/>
        </w:rPr>
        <w:t>指出</w:t>
      </w:r>
      <w:r w:rsidR="00784D57" w:rsidRPr="00714BF6">
        <w:rPr>
          <w:rFonts w:hint="eastAsia"/>
        </w:rPr>
        <w:t>：</w:t>
      </w:r>
      <w:r w:rsidRPr="00714BF6">
        <w:rPr>
          <w:rFonts w:hint="eastAsia"/>
        </w:rPr>
        <w:t>「</w:t>
      </w:r>
      <w:r w:rsidRPr="00714BF6">
        <w:rPr>
          <w:rFonts w:hAnsi="標楷體" w:hint="eastAsia"/>
          <w:szCs w:val="32"/>
        </w:rPr>
        <w:t>分配這件事情最可怕的地方，就是平均主義，那會導致平庸。現在的160所大學，分不出來誰</w:t>
      </w:r>
      <w:proofErr w:type="gramStart"/>
      <w:r w:rsidRPr="00714BF6">
        <w:rPr>
          <w:rFonts w:hAnsi="標楷體" w:hint="eastAsia"/>
          <w:szCs w:val="32"/>
        </w:rPr>
        <w:t>好誰壞</w:t>
      </w:r>
      <w:proofErr w:type="gramEnd"/>
      <w:r w:rsidRPr="00714BF6">
        <w:rPr>
          <w:rFonts w:hAnsi="標楷體" w:hint="eastAsia"/>
          <w:szCs w:val="32"/>
        </w:rPr>
        <w:t>，那就是平庸</w:t>
      </w:r>
      <w:r w:rsidR="00BD341A" w:rsidRPr="00714BF6">
        <w:rPr>
          <w:rFonts w:hAnsi="標楷體" w:hint="eastAsia"/>
          <w:szCs w:val="32"/>
        </w:rPr>
        <w:t>。</w:t>
      </w:r>
      <w:r w:rsidRPr="00714BF6">
        <w:rPr>
          <w:rFonts w:hint="eastAsia"/>
        </w:rPr>
        <w:t>」、「</w:t>
      </w:r>
      <w:r w:rsidRPr="00714BF6">
        <w:rPr>
          <w:rFonts w:hAnsi="標楷體" w:hint="eastAsia"/>
          <w:szCs w:val="32"/>
        </w:rPr>
        <w:t>民</w:t>
      </w:r>
      <w:proofErr w:type="gramStart"/>
      <w:r w:rsidRPr="00714BF6">
        <w:rPr>
          <w:rFonts w:hAnsi="標楷體" w:hint="eastAsia"/>
          <w:szCs w:val="32"/>
        </w:rPr>
        <w:t>粹</w:t>
      </w:r>
      <w:proofErr w:type="gramEnd"/>
      <w:r w:rsidRPr="00714BF6">
        <w:rPr>
          <w:rFonts w:hAnsi="標楷體" w:hint="eastAsia"/>
          <w:szCs w:val="32"/>
        </w:rPr>
        <w:t>要公平正義，那沒錯，但是重點要放在中小學、放在計畫中，而不是在整個高等教育中要求</w:t>
      </w:r>
      <w:r w:rsidR="00784D57" w:rsidRPr="00714BF6">
        <w:rPr>
          <w:rFonts w:hAnsi="標楷體" w:hint="eastAsia"/>
          <w:szCs w:val="32"/>
        </w:rPr>
        <w:t>齊</w:t>
      </w:r>
      <w:r w:rsidRPr="00714BF6">
        <w:rPr>
          <w:rFonts w:hAnsi="標楷體" w:hint="eastAsia"/>
          <w:szCs w:val="32"/>
        </w:rPr>
        <w:t>頭式平等</w:t>
      </w:r>
      <w:r w:rsidR="00BD341A" w:rsidRPr="00714BF6">
        <w:rPr>
          <w:rFonts w:hAnsi="標楷體" w:hint="eastAsia"/>
          <w:szCs w:val="32"/>
        </w:rPr>
        <w:t>。</w:t>
      </w:r>
      <w:r w:rsidRPr="00714BF6">
        <w:rPr>
          <w:rFonts w:hint="eastAsia"/>
        </w:rPr>
        <w:t>」等相</w:t>
      </w:r>
      <w:r w:rsidRPr="00714BF6">
        <w:rPr>
          <w:rFonts w:hint="eastAsia"/>
        </w:rPr>
        <w:lastRenderedPageBreak/>
        <w:t>關意見，揭示競爭型經費</w:t>
      </w:r>
      <w:r w:rsidR="00BD341A" w:rsidRPr="00714BF6">
        <w:rPr>
          <w:rFonts w:hint="eastAsia"/>
        </w:rPr>
        <w:t>乃</w:t>
      </w:r>
      <w:r w:rsidRPr="00714BF6">
        <w:rPr>
          <w:rFonts w:hint="eastAsia"/>
        </w:rPr>
        <w:t>促進高等教育卓越之政策，如</w:t>
      </w:r>
      <w:proofErr w:type="gramStart"/>
      <w:r w:rsidRPr="00714BF6">
        <w:rPr>
          <w:rFonts w:hint="eastAsia"/>
        </w:rPr>
        <w:t>採</w:t>
      </w:r>
      <w:proofErr w:type="gramEnd"/>
      <w:r w:rsidRPr="00714BF6">
        <w:rPr>
          <w:rFonts w:hint="eastAsia"/>
        </w:rPr>
        <w:t>「雨露均</w:t>
      </w:r>
      <w:proofErr w:type="gramStart"/>
      <w:r w:rsidRPr="00714BF6">
        <w:rPr>
          <w:rFonts w:hint="eastAsia"/>
        </w:rPr>
        <w:t>霑</w:t>
      </w:r>
      <w:proofErr w:type="gramEnd"/>
      <w:r w:rsidRPr="00714BF6">
        <w:rPr>
          <w:rFonts w:hint="eastAsia"/>
        </w:rPr>
        <w:t>」式之分配，</w:t>
      </w:r>
      <w:r w:rsidR="0045360F" w:rsidRPr="00714BF6">
        <w:rPr>
          <w:rFonts w:hint="eastAsia"/>
        </w:rPr>
        <w:t>資源過於分散</w:t>
      </w:r>
      <w:r w:rsidRPr="00714BF6">
        <w:rPr>
          <w:rFonts w:hint="eastAsia"/>
        </w:rPr>
        <w:t>，恐難</w:t>
      </w:r>
      <w:proofErr w:type="gramStart"/>
      <w:r w:rsidR="00784D57" w:rsidRPr="00714BF6">
        <w:rPr>
          <w:rFonts w:hint="eastAsia"/>
        </w:rPr>
        <w:t>臻</w:t>
      </w:r>
      <w:proofErr w:type="gramEnd"/>
      <w:r w:rsidR="00784D57" w:rsidRPr="00714BF6">
        <w:rPr>
          <w:rFonts w:hint="eastAsia"/>
        </w:rPr>
        <w:t>「</w:t>
      </w:r>
      <w:r w:rsidRPr="00714BF6">
        <w:rPr>
          <w:rFonts w:hint="eastAsia"/>
        </w:rPr>
        <w:t>卓越</w:t>
      </w:r>
      <w:r w:rsidR="00784D57" w:rsidRPr="00714BF6">
        <w:rPr>
          <w:rFonts w:hint="eastAsia"/>
        </w:rPr>
        <w:t>」</w:t>
      </w:r>
      <w:r w:rsidRPr="00714BF6">
        <w:rPr>
          <w:rFonts w:hint="eastAsia"/>
        </w:rPr>
        <w:t>。</w:t>
      </w:r>
    </w:p>
    <w:p w:rsidR="00BF2E00" w:rsidRPr="00714BF6" w:rsidRDefault="00BF2E00" w:rsidP="000B2F2E">
      <w:pPr>
        <w:pStyle w:val="3"/>
        <w:spacing w:line="480" w:lineRule="exact"/>
      </w:pPr>
      <w:proofErr w:type="gramStart"/>
      <w:r w:rsidRPr="00714BF6">
        <w:rPr>
          <w:rFonts w:hint="eastAsia"/>
        </w:rPr>
        <w:t>惟查據</w:t>
      </w:r>
      <w:proofErr w:type="gramEnd"/>
      <w:r w:rsidRPr="00714BF6">
        <w:rPr>
          <w:rFonts w:hint="eastAsia"/>
        </w:rPr>
        <w:t>教育部資料顯示，歷年核定學校參與比率，實高於前開要點所訂原則，且有逐期增加趨勢(詳如表</w:t>
      </w:r>
      <w:r w:rsidR="00BD341A" w:rsidRPr="00714BF6">
        <w:rPr>
          <w:rFonts w:hint="eastAsia"/>
        </w:rPr>
        <w:t>19</w:t>
      </w:r>
      <w:r w:rsidRPr="00714BF6">
        <w:rPr>
          <w:rFonts w:hint="eastAsia"/>
        </w:rPr>
        <w:t>)；至第3期教學卓越計畫(102至105年)，補助校數提升為：一般大學共補助33校，占全國大學校院71校之46%；科技校院共補助38校，占全國科技校院74校之51%</w:t>
      </w:r>
      <w:r w:rsidR="00784D57" w:rsidRPr="00714BF6">
        <w:rPr>
          <w:rFonts w:hint="eastAsia"/>
        </w:rPr>
        <w:t>，實與上開實施</w:t>
      </w:r>
      <w:proofErr w:type="gramStart"/>
      <w:r w:rsidR="00784D57" w:rsidRPr="00714BF6">
        <w:rPr>
          <w:rFonts w:hint="eastAsia"/>
        </w:rPr>
        <w:t>要點未洽</w:t>
      </w:r>
      <w:proofErr w:type="gramEnd"/>
      <w:r w:rsidR="00784D57" w:rsidRPr="00714BF6">
        <w:rPr>
          <w:rFonts w:hint="eastAsia"/>
        </w:rPr>
        <w:t>。對此，教育部表示</w:t>
      </w:r>
      <w:r w:rsidR="00BD341A" w:rsidRPr="00714BF6">
        <w:rPr>
          <w:rFonts w:hint="eastAsia"/>
        </w:rPr>
        <w:t>提供相關經費</w:t>
      </w:r>
      <w:proofErr w:type="gramStart"/>
      <w:r w:rsidR="00BD341A" w:rsidRPr="00714BF6">
        <w:rPr>
          <w:rFonts w:hint="eastAsia"/>
        </w:rPr>
        <w:t>挹</w:t>
      </w:r>
      <w:proofErr w:type="gramEnd"/>
      <w:r w:rsidR="00BD341A" w:rsidRPr="00714BF6">
        <w:rPr>
          <w:rFonts w:hint="eastAsia"/>
        </w:rPr>
        <w:t>注，</w:t>
      </w:r>
      <w:r w:rsidR="00784D57" w:rsidRPr="00714BF6">
        <w:rPr>
          <w:rFonts w:hint="eastAsia"/>
        </w:rPr>
        <w:t>係為鼓勵更多大學邁</w:t>
      </w:r>
      <w:r w:rsidR="0045360F" w:rsidRPr="00714BF6">
        <w:rPr>
          <w:rFonts w:hint="eastAsia"/>
        </w:rPr>
        <w:t>向</w:t>
      </w:r>
      <w:r w:rsidR="00BD341A" w:rsidRPr="00714BF6">
        <w:rPr>
          <w:rFonts w:hint="eastAsia"/>
        </w:rPr>
        <w:t>教學卓越</w:t>
      </w:r>
      <w:r w:rsidRPr="00714BF6">
        <w:rPr>
          <w:rFonts w:hint="eastAsia"/>
        </w:rPr>
        <w:t>；該部主管人員到院接受詢問時並稱「</w:t>
      </w:r>
      <w:r w:rsidR="00DF358D" w:rsidRPr="00714BF6">
        <w:rPr>
          <w:rFonts w:hAnsi="標楷體" w:hint="eastAsia"/>
          <w:szCs w:val="32"/>
        </w:rPr>
        <w:t>第3期則有大幅改變，明定1/5受補助學校</w:t>
      </w:r>
      <w:r w:rsidR="00BD341A" w:rsidRPr="00714BF6">
        <w:rPr>
          <w:rFonts w:hAnsi="標楷體" w:hint="eastAsia"/>
          <w:szCs w:val="32"/>
        </w:rPr>
        <w:t>應</w:t>
      </w:r>
      <w:r w:rsidR="00DF358D" w:rsidRPr="00714BF6">
        <w:rPr>
          <w:rFonts w:hAnsi="標楷體" w:hint="eastAsia"/>
          <w:szCs w:val="32"/>
        </w:rPr>
        <w:t>有異動。</w:t>
      </w:r>
      <w:r w:rsidR="005077F2" w:rsidRPr="00714BF6">
        <w:rPr>
          <w:rFonts w:hAnsi="標楷體" w:hint="eastAsia"/>
          <w:szCs w:val="32"/>
        </w:rPr>
        <w:t>總體</w:t>
      </w:r>
      <w:r w:rsidR="00DF358D" w:rsidRPr="00714BF6">
        <w:rPr>
          <w:rFonts w:hAnsi="標楷體" w:hint="eastAsia"/>
          <w:szCs w:val="32"/>
        </w:rPr>
        <w:t>作法上自然還有改進空間。迄今能拿到教學卓越計畫的學校約占50%，應該都還不錯</w:t>
      </w:r>
      <w:r w:rsidR="00BD341A" w:rsidRPr="00714BF6">
        <w:rPr>
          <w:rFonts w:hAnsi="標楷體" w:hint="eastAsia"/>
          <w:szCs w:val="32"/>
        </w:rPr>
        <w:t>。</w:t>
      </w:r>
      <w:r w:rsidR="00DF358D" w:rsidRPr="00714BF6">
        <w:rPr>
          <w:rFonts w:hint="eastAsia"/>
        </w:rPr>
        <w:t>」顯示此計畫相當程度為求公平，致資源擴及逾半大</w:t>
      </w:r>
      <w:r w:rsidRPr="00714BF6">
        <w:rPr>
          <w:rFonts w:hint="eastAsia"/>
        </w:rPr>
        <w:t>學校</w:t>
      </w:r>
      <w:r w:rsidR="00DF358D" w:rsidRPr="00714BF6">
        <w:rPr>
          <w:rFonts w:hint="eastAsia"/>
        </w:rPr>
        <w:t>院</w:t>
      </w:r>
      <w:r w:rsidRPr="00714BF6">
        <w:rPr>
          <w:rFonts w:hint="eastAsia"/>
        </w:rPr>
        <w:t>，</w:t>
      </w:r>
      <w:r w:rsidRPr="00714BF6">
        <w:rPr>
          <w:rFonts w:hAnsi="標楷體" w:hint="eastAsia"/>
          <w:bCs w:val="0"/>
        </w:rPr>
        <w:t>政策</w:t>
      </w:r>
      <w:r w:rsidRPr="00714BF6">
        <w:rPr>
          <w:rFonts w:hint="eastAsia"/>
        </w:rPr>
        <w:t>導向尚與</w:t>
      </w:r>
      <w:r w:rsidRPr="00714BF6">
        <w:rPr>
          <w:rFonts w:hAnsi="標楷體" w:hint="eastAsia"/>
          <w:bCs w:val="0"/>
        </w:rPr>
        <w:t>「追求卓越」</w:t>
      </w:r>
      <w:proofErr w:type="gramStart"/>
      <w:r w:rsidRPr="00714BF6">
        <w:rPr>
          <w:rFonts w:hAnsi="標楷體" w:hint="eastAsia"/>
          <w:bCs w:val="0"/>
        </w:rPr>
        <w:t>─</w:t>
      </w:r>
      <w:proofErr w:type="gramEnd"/>
      <w:r w:rsidRPr="00714BF6">
        <w:rPr>
          <w:rFonts w:hAnsi="標楷體" w:hint="eastAsia"/>
          <w:bCs w:val="0"/>
        </w:rPr>
        <w:t>重點選擇、資源集</w:t>
      </w:r>
      <w:r w:rsidR="0045360F" w:rsidRPr="00714BF6">
        <w:rPr>
          <w:rFonts w:hAnsi="標楷體" w:hint="eastAsia"/>
          <w:bCs w:val="0"/>
        </w:rPr>
        <w:t>中之目標</w:t>
      </w:r>
      <w:r w:rsidRPr="00714BF6">
        <w:rPr>
          <w:rFonts w:hAnsi="標楷體" w:hint="eastAsia"/>
          <w:bCs w:val="0"/>
        </w:rPr>
        <w:t>有</w:t>
      </w:r>
      <w:r w:rsidR="00DF358D" w:rsidRPr="00714BF6">
        <w:rPr>
          <w:rFonts w:hAnsi="標楷體" w:hint="eastAsia"/>
          <w:bCs w:val="0"/>
        </w:rPr>
        <w:t>間</w:t>
      </w:r>
      <w:r w:rsidRPr="00714BF6">
        <w:rPr>
          <w:rFonts w:hAnsi="標楷體" w:hint="eastAsia"/>
          <w:bCs w:val="0"/>
        </w:rPr>
        <w:t>；</w:t>
      </w:r>
      <w:r w:rsidRPr="00714BF6">
        <w:rPr>
          <w:rFonts w:hint="eastAsia"/>
        </w:rPr>
        <w:t>換言之，教育部</w:t>
      </w:r>
      <w:r w:rsidRPr="00714BF6">
        <w:rPr>
          <w:rFonts w:hAnsi="標楷體" w:hint="eastAsia"/>
          <w:bCs w:val="0"/>
        </w:rPr>
        <w:t>所訂計畫實施要點，</w:t>
      </w:r>
      <w:r w:rsidRPr="00714BF6">
        <w:rPr>
          <w:rFonts w:hint="eastAsia"/>
        </w:rPr>
        <w:t>雖設有補助比率原則，</w:t>
      </w:r>
      <w:proofErr w:type="gramStart"/>
      <w:r w:rsidRPr="00714BF6">
        <w:rPr>
          <w:rFonts w:hint="eastAsia"/>
        </w:rPr>
        <w:t>堪認尚</w:t>
      </w:r>
      <w:proofErr w:type="gramEnd"/>
      <w:r w:rsidRPr="00714BF6">
        <w:rPr>
          <w:rFonts w:hint="eastAsia"/>
        </w:rPr>
        <w:t>有資源集中以促進卓越之理想，然實際核定分配結果，</w:t>
      </w:r>
      <w:r w:rsidR="00BD341A" w:rsidRPr="00714BF6">
        <w:rPr>
          <w:rFonts w:hint="eastAsia"/>
        </w:rPr>
        <w:t>似</w:t>
      </w:r>
      <w:r w:rsidRPr="00714BF6">
        <w:rPr>
          <w:rFonts w:hint="eastAsia"/>
        </w:rPr>
        <w:t>已棄守自設原則，又該部「鼓勵參與」之</w:t>
      </w:r>
      <w:r w:rsidR="00DF358D" w:rsidRPr="00714BF6">
        <w:rPr>
          <w:rFonts w:hint="eastAsia"/>
        </w:rPr>
        <w:t>立場</w:t>
      </w:r>
      <w:r w:rsidRPr="00714BF6">
        <w:rPr>
          <w:rFonts w:hint="eastAsia"/>
        </w:rPr>
        <w:t>，</w:t>
      </w:r>
      <w:r w:rsidR="00DF358D" w:rsidRPr="00714BF6">
        <w:rPr>
          <w:rFonts w:hint="eastAsia"/>
        </w:rPr>
        <w:t>顯</w:t>
      </w:r>
      <w:r w:rsidR="0045360F" w:rsidRPr="00714BF6">
        <w:rPr>
          <w:rFonts w:hint="eastAsia"/>
        </w:rPr>
        <w:t>與</w:t>
      </w:r>
      <w:r w:rsidR="00D5407B">
        <w:rPr>
          <w:rFonts w:hint="eastAsia"/>
        </w:rPr>
        <w:t>「</w:t>
      </w:r>
      <w:r w:rsidR="0045360F" w:rsidRPr="00714BF6">
        <w:rPr>
          <w:rFonts w:hint="eastAsia"/>
        </w:rPr>
        <w:t>競爭型計畫</w:t>
      </w:r>
      <w:r w:rsidR="00D5407B">
        <w:rPr>
          <w:rFonts w:hint="eastAsia"/>
        </w:rPr>
        <w:t>」</w:t>
      </w:r>
      <w:r w:rsidRPr="00714BF6">
        <w:rPr>
          <w:rFonts w:hint="eastAsia"/>
        </w:rPr>
        <w:t>精神相</w:t>
      </w:r>
      <w:r w:rsidR="00DF358D" w:rsidRPr="00714BF6">
        <w:rPr>
          <w:rFonts w:hint="eastAsia"/>
        </w:rPr>
        <w:t>悖</w:t>
      </w:r>
      <w:r w:rsidRPr="00714BF6">
        <w:rPr>
          <w:rFonts w:hint="eastAsia"/>
        </w:rPr>
        <w:t>。</w:t>
      </w:r>
    </w:p>
    <w:p w:rsidR="00BF2E00" w:rsidRPr="00714BF6" w:rsidRDefault="00B40ACD" w:rsidP="000B2F2E">
      <w:pPr>
        <w:pStyle w:val="a1"/>
        <w:spacing w:line="480" w:lineRule="exact"/>
        <w:ind w:left="1985" w:hanging="284"/>
        <w:jc w:val="center"/>
        <w:rPr>
          <w:b/>
        </w:rPr>
      </w:pPr>
      <w:r w:rsidRPr="00714BF6">
        <w:rPr>
          <w:rFonts w:hint="eastAsia"/>
          <w:b/>
        </w:rPr>
        <w:t>歷年核定</w:t>
      </w:r>
      <w:r w:rsidR="009F0333" w:rsidRPr="00714BF6">
        <w:rPr>
          <w:rFonts w:hint="eastAsia"/>
          <w:b/>
        </w:rPr>
        <w:t>教學卓越計畫學校數量</w:t>
      </w:r>
    </w:p>
    <w:tbl>
      <w:tblPr>
        <w:tblStyle w:val="af7"/>
        <w:tblW w:w="8364" w:type="dxa"/>
        <w:tblInd w:w="1242" w:type="dxa"/>
        <w:tblLayout w:type="fixed"/>
        <w:tblLook w:val="04A0" w:firstRow="1" w:lastRow="0" w:firstColumn="1" w:lastColumn="0" w:noHBand="0" w:noVBand="1"/>
      </w:tblPr>
      <w:tblGrid>
        <w:gridCol w:w="426"/>
        <w:gridCol w:w="992"/>
        <w:gridCol w:w="1134"/>
        <w:gridCol w:w="1417"/>
        <w:gridCol w:w="993"/>
        <w:gridCol w:w="1134"/>
        <w:gridCol w:w="1417"/>
        <w:gridCol w:w="851"/>
      </w:tblGrid>
      <w:tr w:rsidR="00714BF6" w:rsidRPr="00714BF6" w:rsidTr="00DF358D">
        <w:trPr>
          <w:trHeight w:val="93"/>
          <w:tblHeader/>
        </w:trPr>
        <w:tc>
          <w:tcPr>
            <w:tcW w:w="426" w:type="dxa"/>
            <w:vMerge w:val="restart"/>
            <w:tcBorders>
              <w:tl2br w:val="single" w:sz="4" w:space="0" w:color="auto"/>
            </w:tcBorders>
            <w:vAlign w:val="center"/>
          </w:tcPr>
          <w:p w:rsidR="00BF2E00" w:rsidRPr="00714BF6" w:rsidRDefault="00BF2E00" w:rsidP="00B51BD3">
            <w:pPr>
              <w:spacing w:line="280" w:lineRule="exact"/>
              <w:jc w:val="center"/>
              <w:rPr>
                <w:b/>
                <w:sz w:val="28"/>
                <w:szCs w:val="28"/>
              </w:rPr>
            </w:pPr>
          </w:p>
        </w:tc>
        <w:tc>
          <w:tcPr>
            <w:tcW w:w="992" w:type="dxa"/>
            <w:vMerge w:val="restart"/>
            <w:vAlign w:val="center"/>
          </w:tcPr>
          <w:p w:rsidR="00BF2E00" w:rsidRPr="00714BF6" w:rsidRDefault="00BF2E00" w:rsidP="00B51BD3">
            <w:pPr>
              <w:spacing w:line="280" w:lineRule="exact"/>
              <w:jc w:val="center"/>
              <w:rPr>
                <w:b/>
                <w:sz w:val="28"/>
                <w:szCs w:val="28"/>
              </w:rPr>
            </w:pPr>
            <w:r w:rsidRPr="00714BF6">
              <w:rPr>
                <w:rFonts w:hint="eastAsia"/>
                <w:b/>
                <w:sz w:val="28"/>
                <w:szCs w:val="28"/>
              </w:rPr>
              <w:t>年度</w:t>
            </w:r>
          </w:p>
        </w:tc>
        <w:tc>
          <w:tcPr>
            <w:tcW w:w="3544" w:type="dxa"/>
            <w:gridSpan w:val="3"/>
            <w:tcBorders>
              <w:right w:val="double" w:sz="4" w:space="0" w:color="auto"/>
            </w:tcBorders>
            <w:vAlign w:val="center"/>
          </w:tcPr>
          <w:p w:rsidR="00BF2E00" w:rsidRPr="00714BF6" w:rsidRDefault="00BF2E00" w:rsidP="00B51BD3">
            <w:pPr>
              <w:spacing w:line="280" w:lineRule="exact"/>
              <w:jc w:val="center"/>
              <w:rPr>
                <w:b/>
                <w:sz w:val="28"/>
                <w:szCs w:val="28"/>
              </w:rPr>
            </w:pPr>
            <w:r w:rsidRPr="00714BF6">
              <w:rPr>
                <w:rFonts w:hint="eastAsia"/>
                <w:b/>
                <w:sz w:val="28"/>
                <w:szCs w:val="28"/>
              </w:rPr>
              <w:t>一般大學</w:t>
            </w:r>
          </w:p>
        </w:tc>
        <w:tc>
          <w:tcPr>
            <w:tcW w:w="3402" w:type="dxa"/>
            <w:gridSpan w:val="3"/>
            <w:tcBorders>
              <w:left w:val="double" w:sz="4" w:space="0" w:color="auto"/>
            </w:tcBorders>
            <w:vAlign w:val="center"/>
          </w:tcPr>
          <w:p w:rsidR="00BF2E00" w:rsidRPr="00714BF6" w:rsidRDefault="00BF2E00" w:rsidP="00B51BD3">
            <w:pPr>
              <w:spacing w:line="280" w:lineRule="exact"/>
              <w:jc w:val="center"/>
              <w:rPr>
                <w:b/>
                <w:sz w:val="28"/>
                <w:szCs w:val="28"/>
              </w:rPr>
            </w:pPr>
            <w:r w:rsidRPr="00714BF6">
              <w:rPr>
                <w:rFonts w:hint="eastAsia"/>
                <w:b/>
                <w:sz w:val="28"/>
                <w:szCs w:val="28"/>
              </w:rPr>
              <w:t>科技校院</w:t>
            </w:r>
          </w:p>
        </w:tc>
      </w:tr>
      <w:tr w:rsidR="00714BF6" w:rsidRPr="00714BF6" w:rsidTr="00DF358D">
        <w:trPr>
          <w:trHeight w:val="168"/>
          <w:tblHeader/>
        </w:trPr>
        <w:tc>
          <w:tcPr>
            <w:tcW w:w="426" w:type="dxa"/>
            <w:vMerge/>
            <w:tcBorders>
              <w:tl2br w:val="single" w:sz="4" w:space="0" w:color="auto"/>
            </w:tcBorders>
            <w:vAlign w:val="center"/>
          </w:tcPr>
          <w:p w:rsidR="00BF2E00" w:rsidRPr="00714BF6" w:rsidRDefault="00BF2E00" w:rsidP="00B51BD3">
            <w:pPr>
              <w:spacing w:line="280" w:lineRule="exact"/>
              <w:jc w:val="center"/>
              <w:rPr>
                <w:b/>
                <w:sz w:val="28"/>
                <w:szCs w:val="28"/>
              </w:rPr>
            </w:pPr>
          </w:p>
        </w:tc>
        <w:tc>
          <w:tcPr>
            <w:tcW w:w="992" w:type="dxa"/>
            <w:vMerge/>
            <w:vAlign w:val="center"/>
          </w:tcPr>
          <w:p w:rsidR="00BF2E00" w:rsidRPr="00714BF6" w:rsidRDefault="00BF2E00" w:rsidP="00B51BD3">
            <w:pPr>
              <w:spacing w:line="280" w:lineRule="exact"/>
              <w:jc w:val="center"/>
              <w:rPr>
                <w:b/>
                <w:sz w:val="28"/>
                <w:szCs w:val="28"/>
              </w:rPr>
            </w:pPr>
          </w:p>
        </w:tc>
        <w:tc>
          <w:tcPr>
            <w:tcW w:w="1134" w:type="dxa"/>
            <w:vAlign w:val="center"/>
          </w:tcPr>
          <w:p w:rsidR="00BF2E00" w:rsidRPr="00714BF6" w:rsidRDefault="00BF2E00" w:rsidP="00B51BD3">
            <w:pPr>
              <w:spacing w:line="280" w:lineRule="exact"/>
              <w:jc w:val="center"/>
              <w:rPr>
                <w:b/>
                <w:sz w:val="28"/>
                <w:szCs w:val="28"/>
              </w:rPr>
            </w:pPr>
            <w:r w:rsidRPr="00714BF6">
              <w:rPr>
                <w:rFonts w:hint="eastAsia"/>
                <w:b/>
                <w:sz w:val="28"/>
                <w:szCs w:val="28"/>
              </w:rPr>
              <w:t>總校數</w:t>
            </w:r>
          </w:p>
        </w:tc>
        <w:tc>
          <w:tcPr>
            <w:tcW w:w="1417" w:type="dxa"/>
            <w:vAlign w:val="center"/>
          </w:tcPr>
          <w:p w:rsidR="00BF2E00" w:rsidRPr="00714BF6" w:rsidRDefault="00BF2E00" w:rsidP="00B51BD3">
            <w:pPr>
              <w:spacing w:line="280" w:lineRule="exact"/>
              <w:jc w:val="center"/>
              <w:rPr>
                <w:rFonts w:ascii="Times New Roman" w:eastAsia="新細明體"/>
                <w:b/>
                <w:kern w:val="0"/>
                <w:sz w:val="28"/>
                <w:szCs w:val="28"/>
              </w:rPr>
            </w:pPr>
            <w:r w:rsidRPr="00714BF6">
              <w:rPr>
                <w:rFonts w:hint="eastAsia"/>
                <w:b/>
                <w:sz w:val="28"/>
                <w:szCs w:val="28"/>
              </w:rPr>
              <w:t>核定校數</w:t>
            </w:r>
          </w:p>
        </w:tc>
        <w:tc>
          <w:tcPr>
            <w:tcW w:w="993" w:type="dxa"/>
            <w:tcBorders>
              <w:right w:val="double" w:sz="4" w:space="0" w:color="auto"/>
            </w:tcBorders>
            <w:vAlign w:val="center"/>
          </w:tcPr>
          <w:p w:rsidR="00BF2E00" w:rsidRPr="00714BF6" w:rsidRDefault="00BF2E00" w:rsidP="00B51BD3">
            <w:pPr>
              <w:spacing w:line="280" w:lineRule="exact"/>
              <w:jc w:val="center"/>
              <w:rPr>
                <w:b/>
                <w:sz w:val="28"/>
                <w:szCs w:val="28"/>
              </w:rPr>
            </w:pPr>
            <w:r w:rsidRPr="00714BF6">
              <w:rPr>
                <w:rFonts w:hint="eastAsia"/>
                <w:b/>
                <w:sz w:val="28"/>
                <w:szCs w:val="28"/>
              </w:rPr>
              <w:t>占比</w:t>
            </w:r>
          </w:p>
        </w:tc>
        <w:tc>
          <w:tcPr>
            <w:tcW w:w="1134" w:type="dxa"/>
            <w:tcBorders>
              <w:left w:val="double" w:sz="4" w:space="0" w:color="auto"/>
            </w:tcBorders>
            <w:vAlign w:val="center"/>
          </w:tcPr>
          <w:p w:rsidR="00BF2E00" w:rsidRPr="00714BF6" w:rsidRDefault="00BF2E00" w:rsidP="00B51BD3">
            <w:pPr>
              <w:spacing w:line="280" w:lineRule="exact"/>
              <w:jc w:val="center"/>
              <w:rPr>
                <w:b/>
                <w:sz w:val="28"/>
                <w:szCs w:val="28"/>
              </w:rPr>
            </w:pPr>
            <w:r w:rsidRPr="00714BF6">
              <w:rPr>
                <w:rFonts w:hint="eastAsia"/>
                <w:b/>
                <w:sz w:val="28"/>
                <w:szCs w:val="28"/>
              </w:rPr>
              <w:t>總校數</w:t>
            </w:r>
          </w:p>
        </w:tc>
        <w:tc>
          <w:tcPr>
            <w:tcW w:w="1417" w:type="dxa"/>
            <w:vAlign w:val="center"/>
          </w:tcPr>
          <w:p w:rsidR="00BF2E00" w:rsidRPr="00714BF6" w:rsidRDefault="00BF2E00" w:rsidP="00B51BD3">
            <w:pPr>
              <w:spacing w:line="280" w:lineRule="exact"/>
              <w:jc w:val="center"/>
              <w:rPr>
                <w:rFonts w:ascii="Times New Roman" w:eastAsia="新細明體"/>
                <w:b/>
                <w:kern w:val="0"/>
                <w:sz w:val="28"/>
                <w:szCs w:val="28"/>
              </w:rPr>
            </w:pPr>
            <w:r w:rsidRPr="00714BF6">
              <w:rPr>
                <w:rFonts w:hint="eastAsia"/>
                <w:b/>
                <w:sz w:val="28"/>
                <w:szCs w:val="28"/>
              </w:rPr>
              <w:t>核定校數</w:t>
            </w:r>
          </w:p>
        </w:tc>
        <w:tc>
          <w:tcPr>
            <w:tcW w:w="851" w:type="dxa"/>
            <w:vAlign w:val="center"/>
          </w:tcPr>
          <w:p w:rsidR="00BF2E00" w:rsidRPr="00714BF6" w:rsidRDefault="00BF2E00" w:rsidP="00B51BD3">
            <w:pPr>
              <w:spacing w:line="280" w:lineRule="exact"/>
              <w:jc w:val="center"/>
              <w:rPr>
                <w:b/>
                <w:sz w:val="28"/>
                <w:szCs w:val="28"/>
              </w:rPr>
            </w:pPr>
            <w:r w:rsidRPr="00714BF6">
              <w:rPr>
                <w:rFonts w:hint="eastAsia"/>
                <w:b/>
                <w:sz w:val="28"/>
                <w:szCs w:val="28"/>
              </w:rPr>
              <w:t>占比</w:t>
            </w:r>
          </w:p>
        </w:tc>
      </w:tr>
      <w:tr w:rsidR="00714BF6" w:rsidRPr="00714BF6" w:rsidTr="00DF358D">
        <w:trPr>
          <w:cantSplit/>
          <w:trHeight w:val="236"/>
        </w:trPr>
        <w:tc>
          <w:tcPr>
            <w:tcW w:w="426" w:type="dxa"/>
            <w:vMerge w:val="restart"/>
            <w:vAlign w:val="center"/>
          </w:tcPr>
          <w:p w:rsidR="00BF2E00" w:rsidRPr="00714BF6" w:rsidRDefault="00BF2E00" w:rsidP="00B51BD3">
            <w:pPr>
              <w:spacing w:line="280" w:lineRule="exact"/>
              <w:jc w:val="center"/>
              <w:rPr>
                <w:b/>
                <w:sz w:val="28"/>
                <w:szCs w:val="28"/>
              </w:rPr>
            </w:pPr>
            <w:r w:rsidRPr="00714BF6">
              <w:rPr>
                <w:rFonts w:hint="eastAsia"/>
                <w:b/>
                <w:sz w:val="28"/>
                <w:szCs w:val="28"/>
              </w:rPr>
              <w:t>第1期</w:t>
            </w:r>
          </w:p>
        </w:tc>
        <w:tc>
          <w:tcPr>
            <w:tcW w:w="992" w:type="dxa"/>
            <w:vAlign w:val="center"/>
          </w:tcPr>
          <w:p w:rsidR="00BF2E00" w:rsidRPr="00714BF6" w:rsidRDefault="00BF2E00" w:rsidP="00B51BD3">
            <w:pPr>
              <w:spacing w:line="280" w:lineRule="exact"/>
              <w:jc w:val="center"/>
              <w:rPr>
                <w:b/>
                <w:sz w:val="28"/>
                <w:szCs w:val="28"/>
              </w:rPr>
            </w:pPr>
            <w:r w:rsidRPr="00714BF6">
              <w:rPr>
                <w:rFonts w:hint="eastAsia"/>
                <w:b/>
                <w:sz w:val="28"/>
                <w:szCs w:val="28"/>
              </w:rPr>
              <w:t>95</w:t>
            </w:r>
          </w:p>
        </w:tc>
        <w:tc>
          <w:tcPr>
            <w:tcW w:w="1134" w:type="dxa"/>
            <w:vAlign w:val="center"/>
          </w:tcPr>
          <w:p w:rsidR="00BF2E00" w:rsidRPr="00714BF6" w:rsidRDefault="00BF2E00" w:rsidP="00B51BD3">
            <w:pPr>
              <w:spacing w:line="280" w:lineRule="exact"/>
              <w:jc w:val="center"/>
              <w:rPr>
                <w:sz w:val="28"/>
                <w:szCs w:val="28"/>
              </w:rPr>
            </w:pPr>
            <w:r w:rsidRPr="00714BF6">
              <w:rPr>
                <w:rFonts w:hint="eastAsia"/>
                <w:sz w:val="28"/>
                <w:szCs w:val="28"/>
              </w:rPr>
              <w:t>-</w:t>
            </w:r>
          </w:p>
        </w:tc>
        <w:tc>
          <w:tcPr>
            <w:tcW w:w="1417" w:type="dxa"/>
            <w:vAlign w:val="center"/>
          </w:tcPr>
          <w:p w:rsidR="00BF2E00" w:rsidRPr="00714BF6" w:rsidRDefault="00BF2E00" w:rsidP="00B51BD3">
            <w:pPr>
              <w:spacing w:line="280" w:lineRule="exact"/>
              <w:jc w:val="center"/>
              <w:rPr>
                <w:rFonts w:ascii="Times New Roman" w:eastAsia="新細明體"/>
                <w:kern w:val="0"/>
                <w:sz w:val="28"/>
                <w:szCs w:val="28"/>
              </w:rPr>
            </w:pPr>
            <w:r w:rsidRPr="00714BF6">
              <w:rPr>
                <w:rFonts w:hint="eastAsia"/>
                <w:sz w:val="28"/>
                <w:szCs w:val="28"/>
              </w:rPr>
              <w:t>28</w:t>
            </w:r>
          </w:p>
        </w:tc>
        <w:tc>
          <w:tcPr>
            <w:tcW w:w="993" w:type="dxa"/>
            <w:tcBorders>
              <w:right w:val="double" w:sz="4" w:space="0" w:color="auto"/>
            </w:tcBorders>
            <w:vAlign w:val="center"/>
          </w:tcPr>
          <w:p w:rsidR="00BF2E00" w:rsidRPr="00714BF6" w:rsidRDefault="00BF2E00" w:rsidP="00B51BD3">
            <w:pPr>
              <w:spacing w:line="280" w:lineRule="exact"/>
              <w:jc w:val="center"/>
              <w:rPr>
                <w:sz w:val="28"/>
                <w:szCs w:val="28"/>
              </w:rPr>
            </w:pPr>
            <w:r w:rsidRPr="00714BF6">
              <w:rPr>
                <w:rFonts w:hint="eastAsia"/>
                <w:sz w:val="28"/>
                <w:szCs w:val="28"/>
              </w:rPr>
              <w:t>-</w:t>
            </w:r>
          </w:p>
        </w:tc>
        <w:tc>
          <w:tcPr>
            <w:tcW w:w="1134" w:type="dxa"/>
            <w:tcBorders>
              <w:left w:val="double" w:sz="4" w:space="0" w:color="auto"/>
            </w:tcBorders>
            <w:vAlign w:val="center"/>
          </w:tcPr>
          <w:p w:rsidR="00BF2E00" w:rsidRPr="00714BF6" w:rsidRDefault="00BF2E00" w:rsidP="00B51BD3">
            <w:pPr>
              <w:spacing w:line="280" w:lineRule="exact"/>
              <w:jc w:val="center"/>
              <w:rPr>
                <w:sz w:val="28"/>
                <w:szCs w:val="28"/>
              </w:rPr>
            </w:pPr>
            <w:r w:rsidRPr="00714BF6">
              <w:rPr>
                <w:rFonts w:hint="eastAsia"/>
                <w:sz w:val="28"/>
                <w:szCs w:val="28"/>
              </w:rPr>
              <w:t>-</w:t>
            </w:r>
          </w:p>
        </w:tc>
        <w:tc>
          <w:tcPr>
            <w:tcW w:w="1417" w:type="dxa"/>
            <w:vAlign w:val="center"/>
          </w:tcPr>
          <w:p w:rsidR="00BF2E00" w:rsidRPr="00714BF6" w:rsidRDefault="00BF2E00" w:rsidP="00B51BD3">
            <w:pPr>
              <w:spacing w:line="280" w:lineRule="exact"/>
              <w:jc w:val="center"/>
              <w:rPr>
                <w:rFonts w:ascii="Times New Roman" w:eastAsia="新細明體"/>
                <w:kern w:val="0"/>
                <w:sz w:val="28"/>
                <w:szCs w:val="28"/>
              </w:rPr>
            </w:pPr>
            <w:r w:rsidRPr="00714BF6">
              <w:rPr>
                <w:rFonts w:hint="eastAsia"/>
                <w:sz w:val="28"/>
                <w:szCs w:val="28"/>
              </w:rPr>
              <w:t>30</w:t>
            </w:r>
          </w:p>
        </w:tc>
        <w:tc>
          <w:tcPr>
            <w:tcW w:w="851" w:type="dxa"/>
            <w:vAlign w:val="center"/>
          </w:tcPr>
          <w:p w:rsidR="00BF2E00" w:rsidRPr="00714BF6" w:rsidRDefault="00BF2E00" w:rsidP="00B51BD3">
            <w:pPr>
              <w:spacing w:line="280" w:lineRule="exact"/>
              <w:jc w:val="center"/>
              <w:rPr>
                <w:sz w:val="28"/>
                <w:szCs w:val="28"/>
              </w:rPr>
            </w:pPr>
            <w:r w:rsidRPr="00714BF6">
              <w:rPr>
                <w:rFonts w:hint="eastAsia"/>
                <w:sz w:val="28"/>
                <w:szCs w:val="28"/>
              </w:rPr>
              <w:t>-</w:t>
            </w:r>
          </w:p>
        </w:tc>
      </w:tr>
      <w:tr w:rsidR="00714BF6" w:rsidRPr="00714BF6" w:rsidTr="00DF358D">
        <w:trPr>
          <w:cantSplit/>
          <w:trHeight w:val="430"/>
        </w:trPr>
        <w:tc>
          <w:tcPr>
            <w:tcW w:w="426" w:type="dxa"/>
            <w:vMerge/>
            <w:vAlign w:val="center"/>
          </w:tcPr>
          <w:p w:rsidR="00BF2E00" w:rsidRPr="00714BF6" w:rsidRDefault="00BF2E00" w:rsidP="00B51BD3">
            <w:pPr>
              <w:spacing w:line="280" w:lineRule="exact"/>
              <w:jc w:val="center"/>
              <w:rPr>
                <w:b/>
                <w:sz w:val="28"/>
                <w:szCs w:val="28"/>
              </w:rPr>
            </w:pPr>
          </w:p>
        </w:tc>
        <w:tc>
          <w:tcPr>
            <w:tcW w:w="992" w:type="dxa"/>
            <w:vAlign w:val="center"/>
          </w:tcPr>
          <w:p w:rsidR="00BF2E00" w:rsidRPr="00714BF6" w:rsidRDefault="00BF2E00" w:rsidP="00B51BD3">
            <w:pPr>
              <w:spacing w:line="280" w:lineRule="exact"/>
              <w:jc w:val="center"/>
              <w:rPr>
                <w:b/>
                <w:sz w:val="28"/>
                <w:szCs w:val="28"/>
              </w:rPr>
            </w:pPr>
            <w:r w:rsidRPr="00714BF6">
              <w:rPr>
                <w:rFonts w:hint="eastAsia"/>
                <w:b/>
                <w:sz w:val="28"/>
                <w:szCs w:val="28"/>
              </w:rPr>
              <w:t>96</w:t>
            </w:r>
          </w:p>
        </w:tc>
        <w:tc>
          <w:tcPr>
            <w:tcW w:w="1134" w:type="dxa"/>
            <w:vAlign w:val="center"/>
          </w:tcPr>
          <w:p w:rsidR="00BF2E00" w:rsidRPr="00714BF6" w:rsidRDefault="00BF2E00" w:rsidP="00B51BD3">
            <w:pPr>
              <w:spacing w:line="280" w:lineRule="exact"/>
              <w:jc w:val="center"/>
              <w:rPr>
                <w:sz w:val="28"/>
                <w:szCs w:val="28"/>
              </w:rPr>
            </w:pPr>
            <w:r w:rsidRPr="00714BF6">
              <w:rPr>
                <w:rFonts w:hint="eastAsia"/>
                <w:sz w:val="28"/>
                <w:szCs w:val="28"/>
              </w:rPr>
              <w:t>-</w:t>
            </w:r>
          </w:p>
        </w:tc>
        <w:tc>
          <w:tcPr>
            <w:tcW w:w="1417" w:type="dxa"/>
            <w:vAlign w:val="center"/>
          </w:tcPr>
          <w:p w:rsidR="00BF2E00" w:rsidRPr="00714BF6" w:rsidRDefault="00BF2E00" w:rsidP="00B51BD3">
            <w:pPr>
              <w:spacing w:line="280" w:lineRule="exact"/>
              <w:jc w:val="center"/>
              <w:rPr>
                <w:rFonts w:ascii="Times New Roman" w:eastAsia="新細明體"/>
                <w:kern w:val="0"/>
                <w:sz w:val="28"/>
                <w:szCs w:val="28"/>
              </w:rPr>
            </w:pPr>
            <w:r w:rsidRPr="00714BF6">
              <w:rPr>
                <w:rFonts w:hint="eastAsia"/>
                <w:sz w:val="28"/>
                <w:szCs w:val="28"/>
              </w:rPr>
              <w:t>30</w:t>
            </w:r>
          </w:p>
        </w:tc>
        <w:tc>
          <w:tcPr>
            <w:tcW w:w="993" w:type="dxa"/>
            <w:tcBorders>
              <w:right w:val="double" w:sz="4" w:space="0" w:color="auto"/>
            </w:tcBorders>
            <w:vAlign w:val="center"/>
          </w:tcPr>
          <w:p w:rsidR="00BF2E00" w:rsidRPr="00714BF6" w:rsidRDefault="00BF2E00" w:rsidP="00B51BD3">
            <w:pPr>
              <w:spacing w:line="280" w:lineRule="exact"/>
              <w:jc w:val="center"/>
              <w:rPr>
                <w:sz w:val="28"/>
                <w:szCs w:val="28"/>
              </w:rPr>
            </w:pPr>
            <w:r w:rsidRPr="00714BF6">
              <w:rPr>
                <w:rFonts w:hint="eastAsia"/>
                <w:sz w:val="28"/>
                <w:szCs w:val="28"/>
              </w:rPr>
              <w:t>-</w:t>
            </w:r>
          </w:p>
        </w:tc>
        <w:tc>
          <w:tcPr>
            <w:tcW w:w="1134" w:type="dxa"/>
            <w:tcBorders>
              <w:left w:val="double" w:sz="4" w:space="0" w:color="auto"/>
            </w:tcBorders>
            <w:vAlign w:val="center"/>
          </w:tcPr>
          <w:p w:rsidR="00BF2E00" w:rsidRPr="00714BF6" w:rsidRDefault="00BF2E00" w:rsidP="00B51BD3">
            <w:pPr>
              <w:spacing w:line="280" w:lineRule="exact"/>
              <w:jc w:val="center"/>
              <w:rPr>
                <w:sz w:val="28"/>
                <w:szCs w:val="28"/>
              </w:rPr>
            </w:pPr>
            <w:r w:rsidRPr="00714BF6">
              <w:rPr>
                <w:rFonts w:hint="eastAsia"/>
                <w:sz w:val="28"/>
                <w:szCs w:val="28"/>
              </w:rPr>
              <w:t>-</w:t>
            </w:r>
          </w:p>
        </w:tc>
        <w:tc>
          <w:tcPr>
            <w:tcW w:w="1417" w:type="dxa"/>
            <w:vAlign w:val="center"/>
          </w:tcPr>
          <w:p w:rsidR="00BF2E00" w:rsidRPr="00714BF6" w:rsidRDefault="00BF2E00" w:rsidP="00B51BD3">
            <w:pPr>
              <w:spacing w:line="280" w:lineRule="exact"/>
              <w:jc w:val="center"/>
              <w:rPr>
                <w:rFonts w:ascii="Times New Roman" w:eastAsia="新細明體"/>
                <w:kern w:val="0"/>
                <w:sz w:val="28"/>
                <w:szCs w:val="28"/>
              </w:rPr>
            </w:pPr>
            <w:r w:rsidRPr="00714BF6">
              <w:rPr>
                <w:rFonts w:hint="eastAsia"/>
                <w:sz w:val="28"/>
                <w:szCs w:val="28"/>
              </w:rPr>
              <w:t>30</w:t>
            </w:r>
          </w:p>
        </w:tc>
        <w:tc>
          <w:tcPr>
            <w:tcW w:w="851" w:type="dxa"/>
            <w:vAlign w:val="center"/>
          </w:tcPr>
          <w:p w:rsidR="00BF2E00" w:rsidRPr="00714BF6" w:rsidRDefault="00BF2E00" w:rsidP="00B51BD3">
            <w:pPr>
              <w:spacing w:line="280" w:lineRule="exact"/>
              <w:jc w:val="center"/>
              <w:rPr>
                <w:sz w:val="28"/>
                <w:szCs w:val="28"/>
              </w:rPr>
            </w:pPr>
            <w:r w:rsidRPr="00714BF6">
              <w:rPr>
                <w:rFonts w:hint="eastAsia"/>
                <w:sz w:val="28"/>
                <w:szCs w:val="28"/>
              </w:rPr>
              <w:t>-</w:t>
            </w:r>
          </w:p>
        </w:tc>
      </w:tr>
      <w:tr w:rsidR="00714BF6" w:rsidRPr="00714BF6" w:rsidTr="00DF358D">
        <w:trPr>
          <w:cantSplit/>
          <w:trHeight w:val="430"/>
        </w:trPr>
        <w:tc>
          <w:tcPr>
            <w:tcW w:w="426" w:type="dxa"/>
            <w:vMerge/>
            <w:vAlign w:val="center"/>
          </w:tcPr>
          <w:p w:rsidR="00BF2E00" w:rsidRPr="00714BF6" w:rsidRDefault="00BF2E00" w:rsidP="00B51BD3">
            <w:pPr>
              <w:spacing w:line="280" w:lineRule="exact"/>
              <w:jc w:val="center"/>
              <w:rPr>
                <w:b/>
                <w:sz w:val="28"/>
                <w:szCs w:val="28"/>
              </w:rPr>
            </w:pPr>
          </w:p>
        </w:tc>
        <w:tc>
          <w:tcPr>
            <w:tcW w:w="992" w:type="dxa"/>
            <w:vAlign w:val="center"/>
          </w:tcPr>
          <w:p w:rsidR="00BF2E00" w:rsidRPr="00714BF6" w:rsidRDefault="00BF2E00" w:rsidP="00B51BD3">
            <w:pPr>
              <w:spacing w:line="280" w:lineRule="exact"/>
              <w:jc w:val="center"/>
              <w:rPr>
                <w:b/>
                <w:sz w:val="28"/>
                <w:szCs w:val="28"/>
              </w:rPr>
            </w:pPr>
            <w:r w:rsidRPr="00714BF6">
              <w:rPr>
                <w:rFonts w:hint="eastAsia"/>
                <w:b/>
                <w:sz w:val="28"/>
                <w:szCs w:val="28"/>
              </w:rPr>
              <w:t>97</w:t>
            </w:r>
          </w:p>
        </w:tc>
        <w:tc>
          <w:tcPr>
            <w:tcW w:w="1134" w:type="dxa"/>
            <w:vAlign w:val="center"/>
          </w:tcPr>
          <w:p w:rsidR="00BF2E00" w:rsidRPr="00714BF6" w:rsidRDefault="00BF2E00" w:rsidP="00B51BD3">
            <w:pPr>
              <w:spacing w:line="280" w:lineRule="exact"/>
              <w:jc w:val="center"/>
              <w:rPr>
                <w:sz w:val="28"/>
                <w:szCs w:val="28"/>
              </w:rPr>
            </w:pPr>
            <w:r w:rsidRPr="00714BF6">
              <w:rPr>
                <w:rFonts w:hint="eastAsia"/>
                <w:sz w:val="28"/>
                <w:szCs w:val="28"/>
              </w:rPr>
              <w:t>69</w:t>
            </w:r>
          </w:p>
        </w:tc>
        <w:tc>
          <w:tcPr>
            <w:tcW w:w="1417" w:type="dxa"/>
            <w:vAlign w:val="center"/>
          </w:tcPr>
          <w:p w:rsidR="00BF2E00" w:rsidRPr="00714BF6" w:rsidRDefault="00BF2E00" w:rsidP="00B51BD3">
            <w:pPr>
              <w:spacing w:line="280" w:lineRule="exact"/>
              <w:jc w:val="center"/>
              <w:rPr>
                <w:rFonts w:ascii="Times New Roman" w:eastAsia="新細明體"/>
                <w:kern w:val="0"/>
                <w:sz w:val="28"/>
                <w:szCs w:val="28"/>
              </w:rPr>
            </w:pPr>
            <w:r w:rsidRPr="00714BF6">
              <w:rPr>
                <w:rFonts w:hint="eastAsia"/>
                <w:sz w:val="28"/>
                <w:szCs w:val="28"/>
              </w:rPr>
              <w:t>30</w:t>
            </w:r>
          </w:p>
        </w:tc>
        <w:tc>
          <w:tcPr>
            <w:tcW w:w="993" w:type="dxa"/>
            <w:tcBorders>
              <w:right w:val="double" w:sz="4" w:space="0" w:color="auto"/>
            </w:tcBorders>
            <w:vAlign w:val="center"/>
          </w:tcPr>
          <w:p w:rsidR="00BF2E00" w:rsidRPr="00714BF6" w:rsidRDefault="00BF2E00" w:rsidP="00B51BD3">
            <w:pPr>
              <w:spacing w:line="280" w:lineRule="exact"/>
              <w:jc w:val="center"/>
              <w:rPr>
                <w:sz w:val="28"/>
                <w:szCs w:val="28"/>
              </w:rPr>
            </w:pPr>
            <w:r w:rsidRPr="00714BF6">
              <w:rPr>
                <w:rFonts w:hint="eastAsia"/>
                <w:sz w:val="28"/>
                <w:szCs w:val="28"/>
              </w:rPr>
              <w:t>43%</w:t>
            </w:r>
          </w:p>
        </w:tc>
        <w:tc>
          <w:tcPr>
            <w:tcW w:w="1134" w:type="dxa"/>
            <w:tcBorders>
              <w:left w:val="double" w:sz="4" w:space="0" w:color="auto"/>
            </w:tcBorders>
            <w:vAlign w:val="center"/>
          </w:tcPr>
          <w:p w:rsidR="00BF2E00" w:rsidRPr="00714BF6" w:rsidRDefault="00BF2E00" w:rsidP="00B51BD3">
            <w:pPr>
              <w:spacing w:line="280" w:lineRule="exact"/>
              <w:jc w:val="center"/>
              <w:rPr>
                <w:sz w:val="28"/>
                <w:szCs w:val="28"/>
              </w:rPr>
            </w:pPr>
            <w:r w:rsidRPr="00714BF6">
              <w:rPr>
                <w:rFonts w:hint="eastAsia"/>
                <w:sz w:val="28"/>
                <w:szCs w:val="28"/>
              </w:rPr>
              <w:t>78</w:t>
            </w:r>
          </w:p>
        </w:tc>
        <w:tc>
          <w:tcPr>
            <w:tcW w:w="1417" w:type="dxa"/>
            <w:vAlign w:val="center"/>
          </w:tcPr>
          <w:p w:rsidR="00BF2E00" w:rsidRPr="00714BF6" w:rsidRDefault="00BF2E00" w:rsidP="00B51BD3">
            <w:pPr>
              <w:spacing w:line="280" w:lineRule="exact"/>
              <w:jc w:val="center"/>
              <w:rPr>
                <w:rFonts w:ascii="Times New Roman" w:eastAsia="新細明體"/>
                <w:kern w:val="0"/>
                <w:sz w:val="28"/>
                <w:szCs w:val="28"/>
              </w:rPr>
            </w:pPr>
            <w:r w:rsidRPr="00714BF6">
              <w:rPr>
                <w:rFonts w:hint="eastAsia"/>
                <w:sz w:val="28"/>
                <w:szCs w:val="28"/>
              </w:rPr>
              <w:t>31</w:t>
            </w:r>
          </w:p>
        </w:tc>
        <w:tc>
          <w:tcPr>
            <w:tcW w:w="851" w:type="dxa"/>
            <w:vAlign w:val="center"/>
          </w:tcPr>
          <w:p w:rsidR="00BF2E00" w:rsidRPr="00714BF6" w:rsidRDefault="00BF2E00" w:rsidP="00B51BD3">
            <w:pPr>
              <w:spacing w:line="280" w:lineRule="exact"/>
              <w:jc w:val="center"/>
              <w:rPr>
                <w:sz w:val="28"/>
                <w:szCs w:val="28"/>
              </w:rPr>
            </w:pPr>
            <w:r w:rsidRPr="00714BF6">
              <w:rPr>
                <w:rFonts w:hint="eastAsia"/>
                <w:sz w:val="28"/>
                <w:szCs w:val="28"/>
              </w:rPr>
              <w:t>40%</w:t>
            </w:r>
          </w:p>
        </w:tc>
      </w:tr>
      <w:tr w:rsidR="00714BF6" w:rsidRPr="00714BF6" w:rsidTr="00DF358D">
        <w:trPr>
          <w:cantSplit/>
          <w:trHeight w:val="386"/>
        </w:trPr>
        <w:tc>
          <w:tcPr>
            <w:tcW w:w="426" w:type="dxa"/>
            <w:vMerge w:val="restart"/>
            <w:vAlign w:val="center"/>
          </w:tcPr>
          <w:p w:rsidR="00BF2E00" w:rsidRPr="00714BF6" w:rsidRDefault="00BF2E00" w:rsidP="00B51BD3">
            <w:pPr>
              <w:spacing w:line="280" w:lineRule="exact"/>
              <w:jc w:val="center"/>
              <w:rPr>
                <w:b/>
                <w:sz w:val="28"/>
                <w:szCs w:val="28"/>
              </w:rPr>
            </w:pPr>
            <w:r w:rsidRPr="00714BF6">
              <w:rPr>
                <w:rFonts w:hint="eastAsia"/>
                <w:b/>
                <w:sz w:val="28"/>
                <w:szCs w:val="28"/>
              </w:rPr>
              <w:t>第2期</w:t>
            </w:r>
          </w:p>
        </w:tc>
        <w:tc>
          <w:tcPr>
            <w:tcW w:w="992" w:type="dxa"/>
            <w:vAlign w:val="center"/>
          </w:tcPr>
          <w:p w:rsidR="00BF2E00" w:rsidRPr="00714BF6" w:rsidRDefault="00BF2E00" w:rsidP="00B51BD3">
            <w:pPr>
              <w:spacing w:line="280" w:lineRule="exact"/>
              <w:jc w:val="center"/>
              <w:rPr>
                <w:b/>
                <w:sz w:val="28"/>
                <w:szCs w:val="28"/>
              </w:rPr>
            </w:pPr>
            <w:r w:rsidRPr="00714BF6">
              <w:rPr>
                <w:rFonts w:hint="eastAsia"/>
                <w:b/>
                <w:sz w:val="28"/>
                <w:szCs w:val="28"/>
              </w:rPr>
              <w:t>98-99</w:t>
            </w:r>
          </w:p>
        </w:tc>
        <w:tc>
          <w:tcPr>
            <w:tcW w:w="1134" w:type="dxa"/>
            <w:vAlign w:val="center"/>
          </w:tcPr>
          <w:p w:rsidR="00BF2E00" w:rsidRPr="00714BF6" w:rsidRDefault="00BF2E00" w:rsidP="00B51BD3">
            <w:pPr>
              <w:spacing w:line="280" w:lineRule="exact"/>
              <w:jc w:val="center"/>
              <w:rPr>
                <w:sz w:val="28"/>
                <w:szCs w:val="28"/>
              </w:rPr>
            </w:pPr>
            <w:r w:rsidRPr="00714BF6">
              <w:rPr>
                <w:rFonts w:hint="eastAsia"/>
                <w:sz w:val="28"/>
                <w:szCs w:val="28"/>
              </w:rPr>
              <w:t>71</w:t>
            </w:r>
          </w:p>
        </w:tc>
        <w:tc>
          <w:tcPr>
            <w:tcW w:w="1417" w:type="dxa"/>
            <w:vAlign w:val="center"/>
          </w:tcPr>
          <w:p w:rsidR="00BF2E00" w:rsidRPr="00714BF6" w:rsidRDefault="00BF2E00" w:rsidP="00B51BD3">
            <w:pPr>
              <w:spacing w:line="280" w:lineRule="exact"/>
              <w:jc w:val="center"/>
              <w:rPr>
                <w:rFonts w:ascii="Times New Roman" w:eastAsia="新細明體"/>
                <w:kern w:val="0"/>
                <w:sz w:val="28"/>
                <w:szCs w:val="28"/>
              </w:rPr>
            </w:pPr>
            <w:r w:rsidRPr="00714BF6">
              <w:rPr>
                <w:rFonts w:hint="eastAsia"/>
                <w:sz w:val="28"/>
                <w:szCs w:val="28"/>
              </w:rPr>
              <w:t>31</w:t>
            </w:r>
          </w:p>
        </w:tc>
        <w:tc>
          <w:tcPr>
            <w:tcW w:w="993" w:type="dxa"/>
            <w:tcBorders>
              <w:right w:val="double" w:sz="4" w:space="0" w:color="auto"/>
            </w:tcBorders>
            <w:vAlign w:val="center"/>
          </w:tcPr>
          <w:p w:rsidR="00BF2E00" w:rsidRPr="00714BF6" w:rsidRDefault="00BF2E00" w:rsidP="00B51BD3">
            <w:pPr>
              <w:spacing w:line="280" w:lineRule="exact"/>
              <w:jc w:val="center"/>
              <w:rPr>
                <w:sz w:val="28"/>
                <w:szCs w:val="28"/>
              </w:rPr>
            </w:pPr>
            <w:r w:rsidRPr="00714BF6">
              <w:rPr>
                <w:rFonts w:hint="eastAsia"/>
                <w:sz w:val="28"/>
                <w:szCs w:val="28"/>
              </w:rPr>
              <w:t>44%</w:t>
            </w:r>
          </w:p>
        </w:tc>
        <w:tc>
          <w:tcPr>
            <w:tcW w:w="1134" w:type="dxa"/>
            <w:tcBorders>
              <w:left w:val="double" w:sz="4" w:space="0" w:color="auto"/>
            </w:tcBorders>
            <w:vAlign w:val="center"/>
          </w:tcPr>
          <w:p w:rsidR="00BF2E00" w:rsidRPr="00714BF6" w:rsidRDefault="00BF2E00" w:rsidP="00B51BD3">
            <w:pPr>
              <w:spacing w:line="280" w:lineRule="exact"/>
              <w:jc w:val="center"/>
              <w:rPr>
                <w:sz w:val="28"/>
                <w:szCs w:val="28"/>
              </w:rPr>
            </w:pPr>
            <w:r w:rsidRPr="00714BF6">
              <w:rPr>
                <w:rFonts w:hint="eastAsia"/>
                <w:sz w:val="28"/>
                <w:szCs w:val="28"/>
              </w:rPr>
              <w:t>78</w:t>
            </w:r>
          </w:p>
        </w:tc>
        <w:tc>
          <w:tcPr>
            <w:tcW w:w="1417" w:type="dxa"/>
            <w:vAlign w:val="center"/>
          </w:tcPr>
          <w:p w:rsidR="00BF2E00" w:rsidRPr="00714BF6" w:rsidRDefault="00BF2E00" w:rsidP="00B51BD3">
            <w:pPr>
              <w:spacing w:line="280" w:lineRule="exact"/>
              <w:jc w:val="center"/>
              <w:rPr>
                <w:rFonts w:ascii="Times New Roman" w:eastAsia="新細明體"/>
                <w:kern w:val="0"/>
                <w:sz w:val="28"/>
                <w:szCs w:val="28"/>
              </w:rPr>
            </w:pPr>
            <w:r w:rsidRPr="00714BF6">
              <w:rPr>
                <w:rFonts w:hint="eastAsia"/>
                <w:sz w:val="28"/>
                <w:szCs w:val="28"/>
              </w:rPr>
              <w:t>32</w:t>
            </w:r>
          </w:p>
        </w:tc>
        <w:tc>
          <w:tcPr>
            <w:tcW w:w="851" w:type="dxa"/>
            <w:vAlign w:val="center"/>
          </w:tcPr>
          <w:p w:rsidR="00BF2E00" w:rsidRPr="00714BF6" w:rsidRDefault="00BF2E00" w:rsidP="00B51BD3">
            <w:pPr>
              <w:spacing w:line="280" w:lineRule="exact"/>
              <w:jc w:val="center"/>
              <w:rPr>
                <w:sz w:val="28"/>
                <w:szCs w:val="28"/>
              </w:rPr>
            </w:pPr>
            <w:r w:rsidRPr="00714BF6">
              <w:rPr>
                <w:rFonts w:hint="eastAsia"/>
                <w:sz w:val="28"/>
                <w:szCs w:val="28"/>
              </w:rPr>
              <w:t>41%</w:t>
            </w:r>
          </w:p>
        </w:tc>
      </w:tr>
      <w:tr w:rsidR="00714BF6" w:rsidRPr="00714BF6" w:rsidTr="00DF358D">
        <w:trPr>
          <w:cantSplit/>
          <w:trHeight w:val="321"/>
        </w:trPr>
        <w:tc>
          <w:tcPr>
            <w:tcW w:w="426" w:type="dxa"/>
            <w:vMerge/>
            <w:vAlign w:val="center"/>
          </w:tcPr>
          <w:p w:rsidR="00BF2E00" w:rsidRPr="00714BF6" w:rsidRDefault="00BF2E00" w:rsidP="00B51BD3">
            <w:pPr>
              <w:spacing w:line="280" w:lineRule="exact"/>
              <w:jc w:val="center"/>
              <w:rPr>
                <w:b/>
                <w:sz w:val="28"/>
                <w:szCs w:val="28"/>
              </w:rPr>
            </w:pPr>
          </w:p>
        </w:tc>
        <w:tc>
          <w:tcPr>
            <w:tcW w:w="992" w:type="dxa"/>
            <w:vAlign w:val="center"/>
          </w:tcPr>
          <w:p w:rsidR="00BF2E00" w:rsidRPr="00714BF6" w:rsidRDefault="00BF2E00" w:rsidP="00B51BD3">
            <w:pPr>
              <w:spacing w:line="280" w:lineRule="exact"/>
              <w:jc w:val="center"/>
              <w:rPr>
                <w:b/>
                <w:sz w:val="28"/>
                <w:szCs w:val="28"/>
              </w:rPr>
            </w:pPr>
            <w:r w:rsidRPr="00714BF6">
              <w:rPr>
                <w:rFonts w:hint="eastAsia"/>
                <w:b/>
                <w:sz w:val="28"/>
                <w:szCs w:val="28"/>
              </w:rPr>
              <w:t>100</w:t>
            </w:r>
          </w:p>
        </w:tc>
        <w:tc>
          <w:tcPr>
            <w:tcW w:w="1134" w:type="dxa"/>
            <w:vAlign w:val="center"/>
          </w:tcPr>
          <w:p w:rsidR="00BF2E00" w:rsidRPr="00714BF6" w:rsidRDefault="00BF2E00" w:rsidP="00B51BD3">
            <w:pPr>
              <w:spacing w:line="280" w:lineRule="exact"/>
              <w:jc w:val="center"/>
              <w:rPr>
                <w:sz w:val="28"/>
                <w:szCs w:val="28"/>
              </w:rPr>
            </w:pPr>
            <w:r w:rsidRPr="00714BF6">
              <w:rPr>
                <w:rFonts w:hint="eastAsia"/>
                <w:sz w:val="28"/>
                <w:szCs w:val="28"/>
              </w:rPr>
              <w:t>71</w:t>
            </w:r>
          </w:p>
        </w:tc>
        <w:tc>
          <w:tcPr>
            <w:tcW w:w="1417" w:type="dxa"/>
            <w:vAlign w:val="center"/>
          </w:tcPr>
          <w:p w:rsidR="00BF2E00" w:rsidRPr="00714BF6" w:rsidRDefault="00BF2E00" w:rsidP="00B51BD3">
            <w:pPr>
              <w:spacing w:line="280" w:lineRule="exact"/>
              <w:jc w:val="center"/>
              <w:rPr>
                <w:rFonts w:ascii="Times New Roman" w:eastAsia="新細明體"/>
                <w:kern w:val="0"/>
                <w:sz w:val="28"/>
                <w:szCs w:val="28"/>
              </w:rPr>
            </w:pPr>
            <w:r w:rsidRPr="00714BF6">
              <w:rPr>
                <w:rFonts w:hint="eastAsia"/>
                <w:sz w:val="28"/>
                <w:szCs w:val="28"/>
              </w:rPr>
              <w:t>31</w:t>
            </w:r>
          </w:p>
        </w:tc>
        <w:tc>
          <w:tcPr>
            <w:tcW w:w="993" w:type="dxa"/>
            <w:tcBorders>
              <w:right w:val="double" w:sz="4" w:space="0" w:color="auto"/>
            </w:tcBorders>
            <w:vAlign w:val="center"/>
          </w:tcPr>
          <w:p w:rsidR="00BF2E00" w:rsidRPr="00714BF6" w:rsidRDefault="00BF2E00" w:rsidP="00B51BD3">
            <w:pPr>
              <w:spacing w:line="280" w:lineRule="exact"/>
              <w:jc w:val="center"/>
              <w:rPr>
                <w:sz w:val="28"/>
                <w:szCs w:val="28"/>
              </w:rPr>
            </w:pPr>
            <w:r w:rsidRPr="00714BF6">
              <w:rPr>
                <w:rFonts w:hint="eastAsia"/>
                <w:sz w:val="28"/>
                <w:szCs w:val="28"/>
              </w:rPr>
              <w:t>44%</w:t>
            </w:r>
          </w:p>
        </w:tc>
        <w:tc>
          <w:tcPr>
            <w:tcW w:w="1134" w:type="dxa"/>
            <w:tcBorders>
              <w:left w:val="double" w:sz="4" w:space="0" w:color="auto"/>
            </w:tcBorders>
            <w:vAlign w:val="center"/>
          </w:tcPr>
          <w:p w:rsidR="00BF2E00" w:rsidRPr="00714BF6" w:rsidRDefault="00BF2E00" w:rsidP="00B51BD3">
            <w:pPr>
              <w:spacing w:line="280" w:lineRule="exact"/>
              <w:jc w:val="center"/>
              <w:rPr>
                <w:sz w:val="28"/>
                <w:szCs w:val="28"/>
              </w:rPr>
            </w:pPr>
            <w:r w:rsidRPr="00714BF6">
              <w:rPr>
                <w:rFonts w:hint="eastAsia"/>
                <w:sz w:val="28"/>
                <w:szCs w:val="28"/>
              </w:rPr>
              <w:t>77</w:t>
            </w:r>
          </w:p>
        </w:tc>
        <w:tc>
          <w:tcPr>
            <w:tcW w:w="1417" w:type="dxa"/>
            <w:vMerge w:val="restart"/>
            <w:vAlign w:val="center"/>
          </w:tcPr>
          <w:p w:rsidR="00BF2E00" w:rsidRPr="00714BF6" w:rsidRDefault="00BF2E00" w:rsidP="00B51BD3">
            <w:pPr>
              <w:spacing w:line="280" w:lineRule="exact"/>
              <w:jc w:val="center"/>
              <w:rPr>
                <w:rFonts w:ascii="Times New Roman" w:eastAsia="新細明體"/>
                <w:kern w:val="0"/>
                <w:sz w:val="28"/>
                <w:szCs w:val="28"/>
              </w:rPr>
            </w:pPr>
            <w:r w:rsidRPr="00714BF6">
              <w:rPr>
                <w:rFonts w:hint="eastAsia"/>
                <w:sz w:val="28"/>
                <w:szCs w:val="28"/>
              </w:rPr>
              <w:t>33</w:t>
            </w:r>
          </w:p>
        </w:tc>
        <w:tc>
          <w:tcPr>
            <w:tcW w:w="851" w:type="dxa"/>
            <w:vMerge w:val="restart"/>
            <w:vAlign w:val="center"/>
          </w:tcPr>
          <w:p w:rsidR="00BF2E00" w:rsidRPr="00714BF6" w:rsidRDefault="00BF2E00" w:rsidP="00B51BD3">
            <w:pPr>
              <w:spacing w:line="280" w:lineRule="exact"/>
              <w:jc w:val="center"/>
              <w:rPr>
                <w:sz w:val="28"/>
                <w:szCs w:val="28"/>
              </w:rPr>
            </w:pPr>
            <w:r w:rsidRPr="00714BF6">
              <w:rPr>
                <w:rFonts w:hint="eastAsia"/>
                <w:sz w:val="28"/>
                <w:szCs w:val="28"/>
              </w:rPr>
              <w:t>43%</w:t>
            </w:r>
          </w:p>
        </w:tc>
      </w:tr>
      <w:tr w:rsidR="00714BF6" w:rsidRPr="00714BF6" w:rsidTr="00DF358D">
        <w:trPr>
          <w:cantSplit/>
          <w:trHeight w:val="383"/>
        </w:trPr>
        <w:tc>
          <w:tcPr>
            <w:tcW w:w="426" w:type="dxa"/>
            <w:vMerge/>
            <w:vAlign w:val="center"/>
          </w:tcPr>
          <w:p w:rsidR="00BF2E00" w:rsidRPr="00714BF6" w:rsidRDefault="00BF2E00" w:rsidP="00B51BD3">
            <w:pPr>
              <w:spacing w:line="280" w:lineRule="exact"/>
              <w:jc w:val="center"/>
              <w:rPr>
                <w:b/>
                <w:sz w:val="28"/>
                <w:szCs w:val="28"/>
              </w:rPr>
            </w:pPr>
          </w:p>
        </w:tc>
        <w:tc>
          <w:tcPr>
            <w:tcW w:w="992" w:type="dxa"/>
            <w:vAlign w:val="center"/>
          </w:tcPr>
          <w:p w:rsidR="00BF2E00" w:rsidRPr="00714BF6" w:rsidRDefault="00BF2E00" w:rsidP="00B51BD3">
            <w:pPr>
              <w:spacing w:line="280" w:lineRule="exact"/>
              <w:jc w:val="center"/>
              <w:rPr>
                <w:b/>
                <w:sz w:val="28"/>
                <w:szCs w:val="28"/>
              </w:rPr>
            </w:pPr>
            <w:r w:rsidRPr="00714BF6">
              <w:rPr>
                <w:rFonts w:hint="eastAsia"/>
                <w:b/>
                <w:sz w:val="28"/>
                <w:szCs w:val="28"/>
              </w:rPr>
              <w:t>101</w:t>
            </w:r>
          </w:p>
        </w:tc>
        <w:tc>
          <w:tcPr>
            <w:tcW w:w="1134" w:type="dxa"/>
            <w:vAlign w:val="center"/>
          </w:tcPr>
          <w:p w:rsidR="00BF2E00" w:rsidRPr="00714BF6" w:rsidRDefault="00BF2E00" w:rsidP="00B51BD3">
            <w:pPr>
              <w:spacing w:line="280" w:lineRule="exact"/>
              <w:jc w:val="center"/>
              <w:rPr>
                <w:sz w:val="28"/>
                <w:szCs w:val="28"/>
              </w:rPr>
            </w:pPr>
            <w:r w:rsidRPr="00714BF6">
              <w:rPr>
                <w:rFonts w:hint="eastAsia"/>
                <w:sz w:val="28"/>
                <w:szCs w:val="28"/>
              </w:rPr>
              <w:t>71</w:t>
            </w:r>
          </w:p>
        </w:tc>
        <w:tc>
          <w:tcPr>
            <w:tcW w:w="1417" w:type="dxa"/>
            <w:vAlign w:val="center"/>
          </w:tcPr>
          <w:p w:rsidR="00BF2E00" w:rsidRPr="00714BF6" w:rsidRDefault="00BF2E00" w:rsidP="00B51BD3">
            <w:pPr>
              <w:spacing w:line="280" w:lineRule="exact"/>
              <w:jc w:val="center"/>
              <w:rPr>
                <w:rFonts w:ascii="Times New Roman" w:eastAsia="新細明體"/>
                <w:kern w:val="0"/>
                <w:sz w:val="28"/>
                <w:szCs w:val="28"/>
              </w:rPr>
            </w:pPr>
            <w:r w:rsidRPr="00714BF6">
              <w:rPr>
                <w:rFonts w:hint="eastAsia"/>
                <w:sz w:val="28"/>
                <w:szCs w:val="28"/>
              </w:rPr>
              <w:t>31</w:t>
            </w:r>
          </w:p>
        </w:tc>
        <w:tc>
          <w:tcPr>
            <w:tcW w:w="993" w:type="dxa"/>
            <w:tcBorders>
              <w:right w:val="double" w:sz="4" w:space="0" w:color="auto"/>
            </w:tcBorders>
            <w:vAlign w:val="center"/>
          </w:tcPr>
          <w:p w:rsidR="00BF2E00" w:rsidRPr="00714BF6" w:rsidRDefault="00BF2E00" w:rsidP="00B51BD3">
            <w:pPr>
              <w:spacing w:line="280" w:lineRule="exact"/>
              <w:jc w:val="center"/>
              <w:rPr>
                <w:sz w:val="28"/>
                <w:szCs w:val="28"/>
              </w:rPr>
            </w:pPr>
            <w:r w:rsidRPr="00714BF6">
              <w:rPr>
                <w:rFonts w:hint="eastAsia"/>
                <w:sz w:val="28"/>
                <w:szCs w:val="28"/>
              </w:rPr>
              <w:t>44%</w:t>
            </w:r>
          </w:p>
        </w:tc>
        <w:tc>
          <w:tcPr>
            <w:tcW w:w="1134" w:type="dxa"/>
            <w:tcBorders>
              <w:left w:val="double" w:sz="4" w:space="0" w:color="auto"/>
            </w:tcBorders>
            <w:vAlign w:val="center"/>
          </w:tcPr>
          <w:p w:rsidR="00BF2E00" w:rsidRPr="00714BF6" w:rsidRDefault="00BF2E00" w:rsidP="00B51BD3">
            <w:pPr>
              <w:spacing w:line="280" w:lineRule="exact"/>
              <w:jc w:val="center"/>
              <w:rPr>
                <w:sz w:val="28"/>
                <w:szCs w:val="28"/>
              </w:rPr>
            </w:pPr>
            <w:r w:rsidRPr="00714BF6">
              <w:rPr>
                <w:rFonts w:hint="eastAsia"/>
                <w:sz w:val="28"/>
                <w:szCs w:val="28"/>
              </w:rPr>
              <w:t>77</w:t>
            </w:r>
          </w:p>
        </w:tc>
        <w:tc>
          <w:tcPr>
            <w:tcW w:w="1417" w:type="dxa"/>
            <w:vMerge/>
            <w:vAlign w:val="center"/>
          </w:tcPr>
          <w:p w:rsidR="00BF2E00" w:rsidRPr="00714BF6" w:rsidRDefault="00BF2E00" w:rsidP="00B51BD3">
            <w:pPr>
              <w:spacing w:line="280" w:lineRule="exact"/>
              <w:jc w:val="center"/>
              <w:rPr>
                <w:rFonts w:ascii="Times New Roman" w:eastAsia="新細明體"/>
                <w:kern w:val="0"/>
                <w:sz w:val="28"/>
                <w:szCs w:val="28"/>
              </w:rPr>
            </w:pPr>
          </w:p>
        </w:tc>
        <w:tc>
          <w:tcPr>
            <w:tcW w:w="851" w:type="dxa"/>
            <w:vMerge/>
            <w:vAlign w:val="center"/>
          </w:tcPr>
          <w:p w:rsidR="00BF2E00" w:rsidRPr="00714BF6" w:rsidRDefault="00BF2E00" w:rsidP="00B51BD3">
            <w:pPr>
              <w:spacing w:line="280" w:lineRule="exact"/>
              <w:jc w:val="center"/>
              <w:rPr>
                <w:sz w:val="28"/>
                <w:szCs w:val="28"/>
              </w:rPr>
            </w:pPr>
          </w:p>
        </w:tc>
      </w:tr>
      <w:tr w:rsidR="00714BF6" w:rsidRPr="00714BF6" w:rsidTr="00DF358D">
        <w:trPr>
          <w:cantSplit/>
          <w:trHeight w:val="423"/>
        </w:trPr>
        <w:tc>
          <w:tcPr>
            <w:tcW w:w="426" w:type="dxa"/>
            <w:vMerge w:val="restart"/>
            <w:vAlign w:val="center"/>
          </w:tcPr>
          <w:p w:rsidR="00BF2E00" w:rsidRPr="00714BF6" w:rsidRDefault="00BF2E00" w:rsidP="00B51BD3">
            <w:pPr>
              <w:spacing w:line="280" w:lineRule="exact"/>
              <w:jc w:val="center"/>
              <w:rPr>
                <w:b/>
                <w:sz w:val="28"/>
                <w:szCs w:val="28"/>
              </w:rPr>
            </w:pPr>
            <w:r w:rsidRPr="00714BF6">
              <w:rPr>
                <w:rFonts w:hint="eastAsia"/>
                <w:b/>
                <w:sz w:val="28"/>
                <w:szCs w:val="28"/>
              </w:rPr>
              <w:t>第3期</w:t>
            </w:r>
          </w:p>
        </w:tc>
        <w:tc>
          <w:tcPr>
            <w:tcW w:w="992" w:type="dxa"/>
            <w:vAlign w:val="center"/>
          </w:tcPr>
          <w:p w:rsidR="00BF2E00" w:rsidRPr="00714BF6" w:rsidRDefault="00BF2E00" w:rsidP="00B51BD3">
            <w:pPr>
              <w:spacing w:line="280" w:lineRule="exact"/>
              <w:jc w:val="center"/>
              <w:rPr>
                <w:b/>
                <w:sz w:val="28"/>
                <w:szCs w:val="28"/>
              </w:rPr>
            </w:pPr>
            <w:r w:rsidRPr="00714BF6">
              <w:rPr>
                <w:rFonts w:hint="eastAsia"/>
                <w:b/>
                <w:sz w:val="28"/>
                <w:szCs w:val="28"/>
              </w:rPr>
              <w:t>102</w:t>
            </w:r>
          </w:p>
        </w:tc>
        <w:tc>
          <w:tcPr>
            <w:tcW w:w="1134" w:type="dxa"/>
            <w:vAlign w:val="center"/>
          </w:tcPr>
          <w:p w:rsidR="00BF2E00" w:rsidRPr="00714BF6" w:rsidRDefault="00BF2E00" w:rsidP="00B51BD3">
            <w:pPr>
              <w:spacing w:line="280" w:lineRule="exact"/>
              <w:jc w:val="center"/>
              <w:rPr>
                <w:sz w:val="28"/>
                <w:szCs w:val="28"/>
              </w:rPr>
            </w:pPr>
            <w:r w:rsidRPr="00714BF6">
              <w:rPr>
                <w:rFonts w:hint="eastAsia"/>
                <w:sz w:val="28"/>
                <w:szCs w:val="28"/>
              </w:rPr>
              <w:t>70</w:t>
            </w:r>
          </w:p>
        </w:tc>
        <w:tc>
          <w:tcPr>
            <w:tcW w:w="1417" w:type="dxa"/>
            <w:vAlign w:val="center"/>
          </w:tcPr>
          <w:p w:rsidR="00BF2E00" w:rsidRPr="00714BF6" w:rsidRDefault="00BF2E00" w:rsidP="00B51BD3">
            <w:pPr>
              <w:spacing w:line="280" w:lineRule="exact"/>
              <w:jc w:val="center"/>
              <w:rPr>
                <w:rFonts w:ascii="Times New Roman" w:eastAsia="新細明體"/>
                <w:kern w:val="0"/>
                <w:sz w:val="28"/>
                <w:szCs w:val="28"/>
              </w:rPr>
            </w:pPr>
            <w:r w:rsidRPr="00714BF6">
              <w:rPr>
                <w:rFonts w:hint="eastAsia"/>
                <w:sz w:val="28"/>
                <w:szCs w:val="28"/>
              </w:rPr>
              <w:t>33</w:t>
            </w:r>
          </w:p>
        </w:tc>
        <w:tc>
          <w:tcPr>
            <w:tcW w:w="993" w:type="dxa"/>
            <w:tcBorders>
              <w:right w:val="double" w:sz="4" w:space="0" w:color="auto"/>
            </w:tcBorders>
            <w:vAlign w:val="center"/>
          </w:tcPr>
          <w:p w:rsidR="00BF2E00" w:rsidRPr="00714BF6" w:rsidRDefault="00BF2E00" w:rsidP="00B51BD3">
            <w:pPr>
              <w:spacing w:line="280" w:lineRule="exact"/>
              <w:jc w:val="center"/>
              <w:rPr>
                <w:sz w:val="28"/>
                <w:szCs w:val="28"/>
              </w:rPr>
            </w:pPr>
            <w:r w:rsidRPr="00714BF6">
              <w:rPr>
                <w:rFonts w:hint="eastAsia"/>
                <w:sz w:val="28"/>
                <w:szCs w:val="28"/>
              </w:rPr>
              <w:t>47%</w:t>
            </w:r>
          </w:p>
        </w:tc>
        <w:tc>
          <w:tcPr>
            <w:tcW w:w="1134" w:type="dxa"/>
            <w:tcBorders>
              <w:left w:val="double" w:sz="4" w:space="0" w:color="auto"/>
            </w:tcBorders>
            <w:vAlign w:val="center"/>
          </w:tcPr>
          <w:p w:rsidR="00BF2E00" w:rsidRPr="00714BF6" w:rsidRDefault="00BF2E00" w:rsidP="00B51BD3">
            <w:pPr>
              <w:spacing w:line="280" w:lineRule="exact"/>
              <w:jc w:val="center"/>
              <w:rPr>
                <w:sz w:val="28"/>
                <w:szCs w:val="28"/>
              </w:rPr>
            </w:pPr>
            <w:r w:rsidRPr="00714BF6">
              <w:rPr>
                <w:rFonts w:hint="eastAsia"/>
                <w:sz w:val="28"/>
                <w:szCs w:val="28"/>
              </w:rPr>
              <w:t>77</w:t>
            </w:r>
          </w:p>
        </w:tc>
        <w:tc>
          <w:tcPr>
            <w:tcW w:w="1417" w:type="dxa"/>
            <w:vMerge w:val="restart"/>
            <w:vAlign w:val="center"/>
          </w:tcPr>
          <w:p w:rsidR="00BF2E00" w:rsidRPr="00714BF6" w:rsidRDefault="00BF2E00" w:rsidP="00B51BD3">
            <w:pPr>
              <w:spacing w:line="280" w:lineRule="exact"/>
              <w:jc w:val="center"/>
              <w:rPr>
                <w:rFonts w:ascii="Times New Roman" w:eastAsia="新細明體"/>
                <w:kern w:val="0"/>
                <w:sz w:val="28"/>
                <w:szCs w:val="28"/>
              </w:rPr>
            </w:pPr>
            <w:r w:rsidRPr="00714BF6">
              <w:rPr>
                <w:rFonts w:hint="eastAsia"/>
                <w:sz w:val="28"/>
                <w:szCs w:val="28"/>
              </w:rPr>
              <w:t>38</w:t>
            </w:r>
          </w:p>
        </w:tc>
        <w:tc>
          <w:tcPr>
            <w:tcW w:w="851" w:type="dxa"/>
            <w:vMerge w:val="restart"/>
            <w:vAlign w:val="center"/>
          </w:tcPr>
          <w:p w:rsidR="00BF2E00" w:rsidRPr="00714BF6" w:rsidRDefault="00BF2E00" w:rsidP="00B51BD3">
            <w:pPr>
              <w:spacing w:line="280" w:lineRule="exact"/>
              <w:jc w:val="center"/>
              <w:rPr>
                <w:sz w:val="28"/>
                <w:szCs w:val="28"/>
              </w:rPr>
            </w:pPr>
            <w:r w:rsidRPr="00714BF6">
              <w:rPr>
                <w:rFonts w:hint="eastAsia"/>
                <w:sz w:val="28"/>
                <w:szCs w:val="28"/>
              </w:rPr>
              <w:t>51%</w:t>
            </w:r>
          </w:p>
        </w:tc>
      </w:tr>
      <w:tr w:rsidR="00714BF6" w:rsidRPr="00714BF6" w:rsidTr="00DF358D">
        <w:trPr>
          <w:cantSplit/>
          <w:trHeight w:val="374"/>
        </w:trPr>
        <w:tc>
          <w:tcPr>
            <w:tcW w:w="426" w:type="dxa"/>
            <w:vMerge/>
            <w:vAlign w:val="center"/>
          </w:tcPr>
          <w:p w:rsidR="00BF2E00" w:rsidRPr="00714BF6" w:rsidRDefault="00BF2E00" w:rsidP="00B51BD3">
            <w:pPr>
              <w:spacing w:line="280" w:lineRule="exact"/>
              <w:jc w:val="center"/>
              <w:rPr>
                <w:b/>
                <w:sz w:val="28"/>
                <w:szCs w:val="28"/>
              </w:rPr>
            </w:pPr>
          </w:p>
        </w:tc>
        <w:tc>
          <w:tcPr>
            <w:tcW w:w="992" w:type="dxa"/>
            <w:vAlign w:val="center"/>
          </w:tcPr>
          <w:p w:rsidR="00BF2E00" w:rsidRPr="00714BF6" w:rsidRDefault="00BF2E00" w:rsidP="00B51BD3">
            <w:pPr>
              <w:spacing w:line="280" w:lineRule="exact"/>
              <w:jc w:val="center"/>
              <w:rPr>
                <w:b/>
                <w:sz w:val="28"/>
                <w:szCs w:val="28"/>
              </w:rPr>
            </w:pPr>
            <w:r w:rsidRPr="00714BF6">
              <w:rPr>
                <w:rFonts w:hint="eastAsia"/>
                <w:b/>
                <w:sz w:val="28"/>
                <w:szCs w:val="28"/>
              </w:rPr>
              <w:t>103</w:t>
            </w:r>
          </w:p>
        </w:tc>
        <w:tc>
          <w:tcPr>
            <w:tcW w:w="1134" w:type="dxa"/>
            <w:vAlign w:val="center"/>
          </w:tcPr>
          <w:p w:rsidR="00BF2E00" w:rsidRPr="00714BF6" w:rsidRDefault="00BF2E00" w:rsidP="00B51BD3">
            <w:pPr>
              <w:spacing w:line="280" w:lineRule="exact"/>
              <w:jc w:val="center"/>
              <w:rPr>
                <w:sz w:val="28"/>
                <w:szCs w:val="28"/>
              </w:rPr>
            </w:pPr>
            <w:r w:rsidRPr="00714BF6">
              <w:rPr>
                <w:rFonts w:hint="eastAsia"/>
                <w:sz w:val="28"/>
                <w:szCs w:val="28"/>
              </w:rPr>
              <w:t>71</w:t>
            </w:r>
          </w:p>
        </w:tc>
        <w:tc>
          <w:tcPr>
            <w:tcW w:w="1417" w:type="dxa"/>
            <w:vAlign w:val="center"/>
          </w:tcPr>
          <w:p w:rsidR="00BF2E00" w:rsidRPr="00714BF6" w:rsidRDefault="00BF2E00" w:rsidP="00B51BD3">
            <w:pPr>
              <w:spacing w:line="280" w:lineRule="exact"/>
              <w:jc w:val="center"/>
              <w:rPr>
                <w:rFonts w:ascii="Times New Roman" w:eastAsia="新細明體"/>
                <w:kern w:val="0"/>
                <w:sz w:val="28"/>
                <w:szCs w:val="28"/>
              </w:rPr>
            </w:pPr>
            <w:r w:rsidRPr="00714BF6">
              <w:rPr>
                <w:rFonts w:hint="eastAsia"/>
                <w:sz w:val="28"/>
                <w:szCs w:val="28"/>
              </w:rPr>
              <w:t>33</w:t>
            </w:r>
          </w:p>
        </w:tc>
        <w:tc>
          <w:tcPr>
            <w:tcW w:w="993" w:type="dxa"/>
            <w:tcBorders>
              <w:right w:val="double" w:sz="4" w:space="0" w:color="auto"/>
            </w:tcBorders>
            <w:vAlign w:val="center"/>
          </w:tcPr>
          <w:p w:rsidR="00BF2E00" w:rsidRPr="00714BF6" w:rsidRDefault="00BF2E00" w:rsidP="00B51BD3">
            <w:pPr>
              <w:spacing w:line="280" w:lineRule="exact"/>
              <w:jc w:val="center"/>
              <w:rPr>
                <w:sz w:val="28"/>
                <w:szCs w:val="28"/>
              </w:rPr>
            </w:pPr>
            <w:r w:rsidRPr="00714BF6">
              <w:rPr>
                <w:rFonts w:hint="eastAsia"/>
                <w:sz w:val="28"/>
                <w:szCs w:val="28"/>
              </w:rPr>
              <w:t>46%</w:t>
            </w:r>
          </w:p>
        </w:tc>
        <w:tc>
          <w:tcPr>
            <w:tcW w:w="1134" w:type="dxa"/>
            <w:tcBorders>
              <w:left w:val="double" w:sz="4" w:space="0" w:color="auto"/>
            </w:tcBorders>
            <w:vAlign w:val="center"/>
          </w:tcPr>
          <w:p w:rsidR="00BF2E00" w:rsidRPr="00714BF6" w:rsidRDefault="00BF2E00" w:rsidP="00B51BD3">
            <w:pPr>
              <w:spacing w:line="280" w:lineRule="exact"/>
              <w:jc w:val="center"/>
              <w:rPr>
                <w:sz w:val="28"/>
                <w:szCs w:val="28"/>
              </w:rPr>
            </w:pPr>
            <w:r w:rsidRPr="00714BF6">
              <w:rPr>
                <w:rFonts w:hint="eastAsia"/>
                <w:sz w:val="28"/>
                <w:szCs w:val="28"/>
              </w:rPr>
              <w:t>74</w:t>
            </w:r>
          </w:p>
        </w:tc>
        <w:tc>
          <w:tcPr>
            <w:tcW w:w="1417" w:type="dxa"/>
            <w:vMerge/>
            <w:vAlign w:val="center"/>
          </w:tcPr>
          <w:p w:rsidR="00BF2E00" w:rsidRPr="00714BF6" w:rsidRDefault="00BF2E00" w:rsidP="00B51BD3">
            <w:pPr>
              <w:spacing w:line="280" w:lineRule="exact"/>
              <w:jc w:val="center"/>
              <w:rPr>
                <w:rFonts w:ascii="Times New Roman" w:eastAsia="新細明體"/>
                <w:kern w:val="0"/>
                <w:sz w:val="28"/>
                <w:szCs w:val="28"/>
              </w:rPr>
            </w:pPr>
          </w:p>
        </w:tc>
        <w:tc>
          <w:tcPr>
            <w:tcW w:w="851" w:type="dxa"/>
            <w:vMerge/>
            <w:vAlign w:val="center"/>
          </w:tcPr>
          <w:p w:rsidR="00BF2E00" w:rsidRPr="00714BF6" w:rsidRDefault="00BF2E00" w:rsidP="00B51BD3">
            <w:pPr>
              <w:spacing w:line="280" w:lineRule="exact"/>
              <w:jc w:val="center"/>
              <w:rPr>
                <w:sz w:val="28"/>
                <w:szCs w:val="28"/>
              </w:rPr>
            </w:pPr>
          </w:p>
        </w:tc>
      </w:tr>
      <w:tr w:rsidR="00714BF6" w:rsidRPr="00714BF6" w:rsidTr="00DF358D">
        <w:trPr>
          <w:cantSplit/>
          <w:trHeight w:val="443"/>
        </w:trPr>
        <w:tc>
          <w:tcPr>
            <w:tcW w:w="426" w:type="dxa"/>
            <w:vMerge/>
            <w:vAlign w:val="center"/>
          </w:tcPr>
          <w:p w:rsidR="00BF2E00" w:rsidRPr="00714BF6" w:rsidRDefault="00BF2E00" w:rsidP="00B51BD3">
            <w:pPr>
              <w:spacing w:line="280" w:lineRule="exact"/>
              <w:jc w:val="center"/>
              <w:rPr>
                <w:b/>
                <w:sz w:val="28"/>
                <w:szCs w:val="28"/>
              </w:rPr>
            </w:pPr>
          </w:p>
        </w:tc>
        <w:tc>
          <w:tcPr>
            <w:tcW w:w="992" w:type="dxa"/>
            <w:vAlign w:val="center"/>
          </w:tcPr>
          <w:p w:rsidR="00BF2E00" w:rsidRPr="00714BF6" w:rsidRDefault="00BF2E00" w:rsidP="00B51BD3">
            <w:pPr>
              <w:spacing w:line="280" w:lineRule="exact"/>
              <w:jc w:val="center"/>
              <w:rPr>
                <w:b/>
                <w:sz w:val="28"/>
                <w:szCs w:val="28"/>
              </w:rPr>
            </w:pPr>
            <w:r w:rsidRPr="00714BF6">
              <w:rPr>
                <w:rFonts w:hint="eastAsia"/>
                <w:b/>
                <w:sz w:val="28"/>
                <w:szCs w:val="28"/>
              </w:rPr>
              <w:t>104</w:t>
            </w:r>
          </w:p>
        </w:tc>
        <w:tc>
          <w:tcPr>
            <w:tcW w:w="1134" w:type="dxa"/>
            <w:vAlign w:val="center"/>
          </w:tcPr>
          <w:p w:rsidR="00BF2E00" w:rsidRPr="00714BF6" w:rsidRDefault="00BF2E00" w:rsidP="00B51BD3">
            <w:pPr>
              <w:spacing w:line="280" w:lineRule="exact"/>
              <w:jc w:val="center"/>
              <w:rPr>
                <w:sz w:val="28"/>
                <w:szCs w:val="28"/>
              </w:rPr>
            </w:pPr>
            <w:r w:rsidRPr="00714BF6">
              <w:rPr>
                <w:rFonts w:hint="eastAsia"/>
                <w:sz w:val="28"/>
                <w:szCs w:val="28"/>
              </w:rPr>
              <w:t>71</w:t>
            </w:r>
          </w:p>
        </w:tc>
        <w:tc>
          <w:tcPr>
            <w:tcW w:w="1417" w:type="dxa"/>
            <w:vAlign w:val="center"/>
          </w:tcPr>
          <w:p w:rsidR="00BF2E00" w:rsidRPr="00714BF6" w:rsidRDefault="00BF2E00" w:rsidP="00B51BD3">
            <w:pPr>
              <w:spacing w:line="280" w:lineRule="exact"/>
              <w:jc w:val="center"/>
              <w:rPr>
                <w:rFonts w:ascii="Times New Roman" w:eastAsia="新細明體"/>
                <w:kern w:val="0"/>
                <w:sz w:val="28"/>
                <w:szCs w:val="28"/>
              </w:rPr>
            </w:pPr>
            <w:r w:rsidRPr="00714BF6">
              <w:rPr>
                <w:rFonts w:hint="eastAsia"/>
                <w:sz w:val="28"/>
                <w:szCs w:val="28"/>
              </w:rPr>
              <w:t>33</w:t>
            </w:r>
          </w:p>
        </w:tc>
        <w:tc>
          <w:tcPr>
            <w:tcW w:w="993" w:type="dxa"/>
            <w:tcBorders>
              <w:right w:val="double" w:sz="4" w:space="0" w:color="auto"/>
            </w:tcBorders>
            <w:vAlign w:val="center"/>
          </w:tcPr>
          <w:p w:rsidR="00BF2E00" w:rsidRPr="00714BF6" w:rsidRDefault="00BF2E00" w:rsidP="00B51BD3">
            <w:pPr>
              <w:spacing w:line="280" w:lineRule="exact"/>
              <w:jc w:val="center"/>
              <w:rPr>
                <w:sz w:val="28"/>
                <w:szCs w:val="28"/>
              </w:rPr>
            </w:pPr>
            <w:r w:rsidRPr="00714BF6">
              <w:rPr>
                <w:rFonts w:hint="eastAsia"/>
                <w:sz w:val="28"/>
                <w:szCs w:val="28"/>
              </w:rPr>
              <w:t>46%</w:t>
            </w:r>
          </w:p>
        </w:tc>
        <w:tc>
          <w:tcPr>
            <w:tcW w:w="1134" w:type="dxa"/>
            <w:tcBorders>
              <w:left w:val="double" w:sz="4" w:space="0" w:color="auto"/>
              <w:bottom w:val="single" w:sz="4" w:space="0" w:color="auto"/>
            </w:tcBorders>
            <w:vAlign w:val="center"/>
          </w:tcPr>
          <w:p w:rsidR="00BF2E00" w:rsidRPr="00714BF6" w:rsidRDefault="00BF2E00" w:rsidP="00B51BD3">
            <w:pPr>
              <w:spacing w:line="280" w:lineRule="exact"/>
              <w:jc w:val="center"/>
              <w:rPr>
                <w:sz w:val="28"/>
                <w:szCs w:val="28"/>
              </w:rPr>
            </w:pPr>
            <w:r w:rsidRPr="00714BF6">
              <w:rPr>
                <w:rFonts w:hint="eastAsia"/>
                <w:sz w:val="28"/>
                <w:szCs w:val="28"/>
              </w:rPr>
              <w:t>74</w:t>
            </w:r>
          </w:p>
        </w:tc>
        <w:tc>
          <w:tcPr>
            <w:tcW w:w="1417" w:type="dxa"/>
            <w:tcBorders>
              <w:bottom w:val="single" w:sz="4" w:space="0" w:color="auto"/>
            </w:tcBorders>
            <w:vAlign w:val="center"/>
          </w:tcPr>
          <w:p w:rsidR="00BF2E00" w:rsidRPr="00714BF6" w:rsidRDefault="00BF2E00" w:rsidP="00B51BD3">
            <w:pPr>
              <w:spacing w:line="280" w:lineRule="exact"/>
              <w:jc w:val="center"/>
              <w:rPr>
                <w:rFonts w:ascii="Times New Roman" w:eastAsia="新細明體"/>
                <w:kern w:val="0"/>
                <w:sz w:val="28"/>
                <w:szCs w:val="28"/>
              </w:rPr>
            </w:pPr>
            <w:r w:rsidRPr="00714BF6">
              <w:rPr>
                <w:rFonts w:hint="eastAsia"/>
                <w:sz w:val="28"/>
                <w:szCs w:val="28"/>
              </w:rPr>
              <w:t>38</w:t>
            </w:r>
          </w:p>
        </w:tc>
        <w:tc>
          <w:tcPr>
            <w:tcW w:w="851" w:type="dxa"/>
            <w:vAlign w:val="center"/>
          </w:tcPr>
          <w:p w:rsidR="00BF2E00" w:rsidRPr="00714BF6" w:rsidRDefault="00BF2E00" w:rsidP="00B51BD3">
            <w:pPr>
              <w:spacing w:line="280" w:lineRule="exact"/>
              <w:jc w:val="center"/>
              <w:rPr>
                <w:sz w:val="28"/>
                <w:szCs w:val="28"/>
              </w:rPr>
            </w:pPr>
            <w:r w:rsidRPr="00714BF6">
              <w:rPr>
                <w:rFonts w:hint="eastAsia"/>
                <w:sz w:val="28"/>
                <w:szCs w:val="28"/>
              </w:rPr>
              <w:t>51%</w:t>
            </w:r>
          </w:p>
        </w:tc>
      </w:tr>
    </w:tbl>
    <w:p w:rsidR="007A2F7D" w:rsidRPr="00714BF6" w:rsidRDefault="00BF2E00" w:rsidP="007A2F7D">
      <w:pPr>
        <w:pStyle w:val="3"/>
        <w:numPr>
          <w:ilvl w:val="0"/>
          <w:numId w:val="0"/>
        </w:numPr>
        <w:spacing w:line="240" w:lineRule="exact"/>
        <w:ind w:left="1532" w:hanging="681"/>
        <w:rPr>
          <w:sz w:val="24"/>
          <w:szCs w:val="24"/>
        </w:rPr>
      </w:pPr>
      <w:r w:rsidRPr="00714BF6">
        <w:rPr>
          <w:rFonts w:hint="eastAsia"/>
          <w:sz w:val="24"/>
          <w:szCs w:val="24"/>
        </w:rPr>
        <w:t xml:space="preserve">  </w:t>
      </w:r>
      <w:proofErr w:type="gramStart"/>
      <w:r w:rsidRPr="00714BF6">
        <w:rPr>
          <w:rFonts w:hint="eastAsia"/>
          <w:sz w:val="24"/>
          <w:szCs w:val="24"/>
        </w:rPr>
        <w:t>註</w:t>
      </w:r>
      <w:proofErr w:type="gramEnd"/>
      <w:r w:rsidRPr="00714BF6">
        <w:rPr>
          <w:rFonts w:hint="eastAsia"/>
          <w:sz w:val="24"/>
          <w:szCs w:val="24"/>
        </w:rPr>
        <w:t>：</w:t>
      </w:r>
      <w:r w:rsidR="007A2F7D" w:rsidRPr="00714BF6">
        <w:rPr>
          <w:rFonts w:hint="eastAsia"/>
          <w:sz w:val="24"/>
          <w:szCs w:val="24"/>
        </w:rPr>
        <w:t>1.</w:t>
      </w:r>
      <w:r w:rsidRPr="00714BF6">
        <w:rPr>
          <w:rFonts w:hint="eastAsia"/>
          <w:sz w:val="24"/>
          <w:szCs w:val="24"/>
        </w:rPr>
        <w:t>各年度大專校院校數資料，</w:t>
      </w:r>
      <w:proofErr w:type="gramStart"/>
      <w:r w:rsidRPr="00714BF6">
        <w:rPr>
          <w:rFonts w:hint="eastAsia"/>
          <w:sz w:val="24"/>
          <w:szCs w:val="24"/>
        </w:rPr>
        <w:t>查據教育部</w:t>
      </w:r>
      <w:proofErr w:type="gramEnd"/>
      <w:r w:rsidRPr="00714BF6">
        <w:rPr>
          <w:rFonts w:hint="eastAsia"/>
          <w:sz w:val="24"/>
          <w:szCs w:val="24"/>
        </w:rPr>
        <w:t>統計處「教育統計查詢網：</w:t>
      </w:r>
    </w:p>
    <w:p w:rsidR="007A2F7D" w:rsidRPr="00714BF6" w:rsidRDefault="007A2F7D" w:rsidP="007A2F7D">
      <w:pPr>
        <w:pStyle w:val="3"/>
        <w:numPr>
          <w:ilvl w:val="0"/>
          <w:numId w:val="0"/>
        </w:numPr>
        <w:spacing w:line="240" w:lineRule="exact"/>
        <w:ind w:left="1532" w:hanging="681"/>
        <w:rPr>
          <w:sz w:val="24"/>
          <w:szCs w:val="24"/>
        </w:rPr>
      </w:pPr>
      <w:r w:rsidRPr="00714BF6">
        <w:rPr>
          <w:rFonts w:hint="eastAsia"/>
          <w:sz w:val="24"/>
          <w:szCs w:val="24"/>
        </w:rPr>
        <w:t xml:space="preserve">        </w:t>
      </w:r>
      <w:r w:rsidR="00BF2E00" w:rsidRPr="00714BF6">
        <w:rPr>
          <w:rFonts w:hint="eastAsia"/>
          <w:sz w:val="24"/>
          <w:szCs w:val="24"/>
        </w:rPr>
        <w:t>統計分類項目/大專校院/校數」(</w:t>
      </w:r>
      <w:r w:rsidR="00BF2E00" w:rsidRPr="00714BF6">
        <w:rPr>
          <w:sz w:val="24"/>
          <w:szCs w:val="24"/>
        </w:rPr>
        <w:t>https://stats.moe.gov.tw/</w:t>
      </w:r>
      <w:r w:rsidR="00BF2E00" w:rsidRPr="00714BF6">
        <w:rPr>
          <w:rFonts w:hint="eastAsia"/>
          <w:sz w:val="24"/>
          <w:szCs w:val="24"/>
        </w:rPr>
        <w:t>)；該</w:t>
      </w:r>
      <w:r w:rsidRPr="00714BF6">
        <w:rPr>
          <w:rFonts w:hint="eastAsia"/>
          <w:sz w:val="24"/>
          <w:szCs w:val="24"/>
        </w:rPr>
        <w:t xml:space="preserve"> </w:t>
      </w:r>
    </w:p>
    <w:p w:rsidR="00BF2E00" w:rsidRPr="00714BF6" w:rsidRDefault="007A2F7D" w:rsidP="007A2F7D">
      <w:pPr>
        <w:pStyle w:val="3"/>
        <w:numPr>
          <w:ilvl w:val="0"/>
          <w:numId w:val="0"/>
        </w:numPr>
        <w:spacing w:line="240" w:lineRule="exact"/>
        <w:ind w:left="1532" w:hanging="681"/>
        <w:rPr>
          <w:sz w:val="24"/>
          <w:szCs w:val="24"/>
        </w:rPr>
      </w:pPr>
      <w:r w:rsidRPr="00714BF6">
        <w:rPr>
          <w:rFonts w:hint="eastAsia"/>
          <w:sz w:val="24"/>
          <w:szCs w:val="24"/>
        </w:rPr>
        <w:t xml:space="preserve">        </w:t>
      </w:r>
      <w:r w:rsidR="00BF2E00" w:rsidRPr="00714BF6">
        <w:rPr>
          <w:rFonts w:hint="eastAsia"/>
          <w:sz w:val="24"/>
          <w:szCs w:val="24"/>
        </w:rPr>
        <w:t>網站範圍未包含96學年度以前</w:t>
      </w:r>
      <w:r w:rsidR="006E36C2" w:rsidRPr="00714BF6">
        <w:rPr>
          <w:rFonts w:hint="eastAsia"/>
          <w:sz w:val="24"/>
          <w:szCs w:val="24"/>
        </w:rPr>
        <w:t>資料</w:t>
      </w:r>
      <w:r w:rsidR="00BF2E00" w:rsidRPr="00714BF6">
        <w:rPr>
          <w:rFonts w:hint="eastAsia"/>
          <w:sz w:val="24"/>
          <w:szCs w:val="24"/>
        </w:rPr>
        <w:t>。</w:t>
      </w:r>
    </w:p>
    <w:p w:rsidR="005F2DC8" w:rsidRPr="00714BF6" w:rsidRDefault="007A2F7D" w:rsidP="007A2F7D">
      <w:pPr>
        <w:pStyle w:val="3"/>
        <w:numPr>
          <w:ilvl w:val="0"/>
          <w:numId w:val="0"/>
        </w:numPr>
        <w:spacing w:line="240" w:lineRule="exact"/>
        <w:ind w:left="1532" w:hanging="681"/>
        <w:rPr>
          <w:rFonts w:hAnsi="標楷體"/>
          <w:sz w:val="24"/>
          <w:szCs w:val="24"/>
        </w:rPr>
      </w:pPr>
      <w:r w:rsidRPr="00714BF6">
        <w:rPr>
          <w:rFonts w:hint="eastAsia"/>
          <w:sz w:val="24"/>
          <w:szCs w:val="24"/>
        </w:rPr>
        <w:t xml:space="preserve">      2.</w:t>
      </w:r>
      <w:r w:rsidR="00BF2E00" w:rsidRPr="00714BF6">
        <w:rPr>
          <w:rFonts w:hint="eastAsia"/>
          <w:sz w:val="24"/>
          <w:szCs w:val="24"/>
        </w:rPr>
        <w:t>核定校數之數據係教育部查復提供</w:t>
      </w:r>
      <w:r w:rsidR="005F2DC8" w:rsidRPr="00714BF6">
        <w:rPr>
          <w:rFonts w:hAnsi="標楷體" w:hint="eastAsia"/>
          <w:sz w:val="24"/>
          <w:szCs w:val="24"/>
        </w:rPr>
        <w:t>；教育部提供之數據統計截至104</w:t>
      </w:r>
    </w:p>
    <w:p w:rsidR="00BF2E00" w:rsidRPr="00714BF6" w:rsidRDefault="005F2DC8" w:rsidP="007A2F7D">
      <w:pPr>
        <w:pStyle w:val="3"/>
        <w:numPr>
          <w:ilvl w:val="0"/>
          <w:numId w:val="0"/>
        </w:numPr>
        <w:spacing w:line="240" w:lineRule="exact"/>
        <w:ind w:left="1532" w:hanging="681"/>
        <w:rPr>
          <w:sz w:val="24"/>
          <w:szCs w:val="24"/>
        </w:rPr>
      </w:pPr>
      <w:r w:rsidRPr="00714BF6">
        <w:rPr>
          <w:rFonts w:hAnsi="標楷體" w:hint="eastAsia"/>
          <w:sz w:val="24"/>
          <w:szCs w:val="24"/>
        </w:rPr>
        <w:t xml:space="preserve">        年止</w:t>
      </w:r>
      <w:r w:rsidR="00BF2E00" w:rsidRPr="00714BF6">
        <w:rPr>
          <w:rFonts w:hint="eastAsia"/>
          <w:sz w:val="24"/>
          <w:szCs w:val="24"/>
        </w:rPr>
        <w:t>。</w:t>
      </w:r>
    </w:p>
    <w:p w:rsidR="00BF2E00" w:rsidRPr="00714BF6" w:rsidRDefault="007A2F7D" w:rsidP="007A2F7D">
      <w:pPr>
        <w:pStyle w:val="3"/>
        <w:numPr>
          <w:ilvl w:val="0"/>
          <w:numId w:val="0"/>
        </w:numPr>
        <w:spacing w:line="240" w:lineRule="exact"/>
        <w:ind w:left="1532" w:hanging="681"/>
        <w:rPr>
          <w:sz w:val="24"/>
          <w:szCs w:val="24"/>
        </w:rPr>
      </w:pPr>
      <w:r w:rsidRPr="00714BF6">
        <w:rPr>
          <w:rFonts w:hint="eastAsia"/>
          <w:sz w:val="24"/>
          <w:szCs w:val="24"/>
        </w:rPr>
        <w:lastRenderedPageBreak/>
        <w:t xml:space="preserve">      3.</w:t>
      </w:r>
      <w:r w:rsidR="00BF2E00" w:rsidRPr="00714BF6">
        <w:rPr>
          <w:rFonts w:hint="eastAsia"/>
          <w:sz w:val="24"/>
          <w:szCs w:val="24"/>
        </w:rPr>
        <w:t>本表係本院自行彙整。</w:t>
      </w:r>
    </w:p>
    <w:p w:rsidR="00BF2E00" w:rsidRPr="00714BF6" w:rsidRDefault="00BF2E00" w:rsidP="0094744B">
      <w:pPr>
        <w:pStyle w:val="3"/>
        <w:numPr>
          <w:ilvl w:val="0"/>
          <w:numId w:val="0"/>
        </w:numPr>
        <w:spacing w:line="240" w:lineRule="exact"/>
        <w:ind w:left="1701"/>
        <w:rPr>
          <w:sz w:val="24"/>
          <w:szCs w:val="24"/>
        </w:rPr>
      </w:pPr>
    </w:p>
    <w:p w:rsidR="00BF2E00" w:rsidRPr="00714BF6" w:rsidRDefault="00BF2E00" w:rsidP="000B2F2E">
      <w:pPr>
        <w:pStyle w:val="3"/>
        <w:spacing w:line="480" w:lineRule="exact"/>
      </w:pPr>
      <w:r w:rsidRPr="00714BF6">
        <w:rPr>
          <w:rFonts w:hint="eastAsia"/>
        </w:rPr>
        <w:t>另有相關研究</w:t>
      </w:r>
      <w:r w:rsidRPr="00714BF6">
        <w:rPr>
          <w:rStyle w:val="aff2"/>
        </w:rPr>
        <w:footnoteReference w:id="11"/>
      </w:r>
      <w:r w:rsidR="006E36C2" w:rsidRPr="00714BF6">
        <w:rPr>
          <w:rFonts w:hint="eastAsia"/>
        </w:rPr>
        <w:t>強調</w:t>
      </w:r>
      <w:r w:rsidR="003E0D6C" w:rsidRPr="00714BF6">
        <w:rPr>
          <w:rFonts w:hint="eastAsia"/>
        </w:rPr>
        <w:t>：</w:t>
      </w:r>
      <w:r w:rsidRPr="00714BF6">
        <w:rPr>
          <w:rFonts w:hint="eastAsia"/>
        </w:rPr>
        <w:t>「教育部並未明確說明敎卓計畫經費分配之依據，例如：經費分配公式、審核指標比重等，且計畫審查過程不夠公開透明，也導致經費分配</w:t>
      </w:r>
      <w:r w:rsidR="003E0D6C" w:rsidRPr="00714BF6">
        <w:rPr>
          <w:rFonts w:hint="eastAsia"/>
        </w:rPr>
        <w:t>公平</w:t>
      </w:r>
      <w:r w:rsidRPr="00714BF6">
        <w:rPr>
          <w:rFonts w:hint="eastAsia"/>
        </w:rPr>
        <w:t>性受到質疑」；復有本案訪談學校實務人員之相關意見提及</w:t>
      </w:r>
      <w:r w:rsidR="003E0D6C" w:rsidRPr="00714BF6">
        <w:rPr>
          <w:rFonts w:hint="eastAsia"/>
        </w:rPr>
        <w:t>：</w:t>
      </w:r>
      <w:r w:rsidRPr="00714BF6">
        <w:rPr>
          <w:rFonts w:hint="eastAsia"/>
        </w:rPr>
        <w:t>「</w:t>
      </w:r>
      <w:proofErr w:type="gramStart"/>
      <w:r w:rsidRPr="00714BF6">
        <w:rPr>
          <w:rFonts w:hint="eastAsia"/>
        </w:rPr>
        <w:t>教卓有點</w:t>
      </w:r>
      <w:proofErr w:type="gramEnd"/>
      <w:r w:rsidRPr="00714BF6">
        <w:rPr>
          <w:rFonts w:hint="eastAsia"/>
        </w:rPr>
        <w:t>雪中送炭的意義，肯定教育部美意。但審查機制令人質疑，104</w:t>
      </w:r>
      <w:r w:rsidR="00B879B1">
        <w:rPr>
          <w:rFonts w:hint="eastAsia"/>
        </w:rPr>
        <w:t>年核定</w:t>
      </w:r>
      <w:r w:rsidR="001D0045">
        <w:rPr>
          <w:rFonts w:hint="eastAsia"/>
        </w:rPr>
        <w:t>補助</w:t>
      </w:r>
      <w:r w:rsidRPr="00714BF6">
        <w:rPr>
          <w:rFonts w:hint="eastAsia"/>
        </w:rPr>
        <w:t>68所</w:t>
      </w:r>
      <w:r w:rsidR="00B879B1">
        <w:rPr>
          <w:rFonts w:hint="eastAsia"/>
        </w:rPr>
        <w:t>學校</w:t>
      </w:r>
      <w:r w:rsidRPr="00714BF6">
        <w:rPr>
          <w:rFonts w:hint="eastAsia"/>
        </w:rPr>
        <w:t>，有30所私立學校沒有拿到計畫，與註冊率不合，社會觀點與感受為何？有3所註冊率90%以上卻沒有拿到教</w:t>
      </w:r>
      <w:proofErr w:type="gramStart"/>
      <w:r w:rsidRPr="00714BF6">
        <w:rPr>
          <w:rFonts w:hint="eastAsia"/>
        </w:rPr>
        <w:t>卓</w:t>
      </w:r>
      <w:proofErr w:type="gramEnd"/>
      <w:r w:rsidRPr="00714BF6">
        <w:rPr>
          <w:rFonts w:hint="eastAsia"/>
        </w:rPr>
        <w:t>。怪不得有很多傳言。機制如何更透明公開？」等語，顯示資源分配之公平性應以建置明確客觀之審核分配標準</w:t>
      </w:r>
      <w:r w:rsidR="006E36C2" w:rsidRPr="00714BF6">
        <w:rPr>
          <w:rFonts w:hint="eastAsia"/>
        </w:rPr>
        <w:t>以</w:t>
      </w:r>
      <w:r w:rsidRPr="00714BF6">
        <w:rPr>
          <w:rFonts w:hint="eastAsia"/>
        </w:rPr>
        <w:t>達成，如僅為增加學校參與率，事先設定異動學校比率，縱擴充</w:t>
      </w:r>
      <w:r w:rsidR="006E36C2" w:rsidRPr="00714BF6">
        <w:rPr>
          <w:rFonts w:hint="eastAsia"/>
        </w:rPr>
        <w:t>了</w:t>
      </w:r>
      <w:r w:rsidRPr="00714BF6">
        <w:rPr>
          <w:rFonts w:hint="eastAsia"/>
        </w:rPr>
        <w:t>學校獲得資源之機會，實質公平性</w:t>
      </w:r>
      <w:proofErr w:type="gramStart"/>
      <w:r w:rsidR="00BD341A" w:rsidRPr="00714BF6">
        <w:rPr>
          <w:rFonts w:hint="eastAsia"/>
        </w:rPr>
        <w:t>卻</w:t>
      </w:r>
      <w:r w:rsidR="003E0D6C" w:rsidRPr="00714BF6">
        <w:rPr>
          <w:rFonts w:hint="eastAsia"/>
        </w:rPr>
        <w:t>仍</w:t>
      </w:r>
      <w:r w:rsidR="006E36C2" w:rsidRPr="00714BF6">
        <w:rPr>
          <w:rFonts w:hint="eastAsia"/>
        </w:rPr>
        <w:t>易</w:t>
      </w:r>
      <w:r w:rsidRPr="00714BF6">
        <w:rPr>
          <w:rFonts w:hint="eastAsia"/>
        </w:rPr>
        <w:t>遭</w:t>
      </w:r>
      <w:proofErr w:type="gramEnd"/>
      <w:r w:rsidRPr="00714BF6">
        <w:rPr>
          <w:rFonts w:hint="eastAsia"/>
        </w:rPr>
        <w:t>外界質疑。</w:t>
      </w:r>
    </w:p>
    <w:p w:rsidR="00BF2E00" w:rsidRPr="00714BF6" w:rsidRDefault="00BF2E00" w:rsidP="000B2F2E">
      <w:pPr>
        <w:pStyle w:val="3"/>
        <w:spacing w:line="480" w:lineRule="exact"/>
      </w:pPr>
      <w:proofErr w:type="gramStart"/>
      <w:r w:rsidRPr="00714BF6">
        <w:rPr>
          <w:rFonts w:hint="eastAsia"/>
        </w:rPr>
        <w:t>再者，</w:t>
      </w:r>
      <w:proofErr w:type="gramEnd"/>
      <w:r w:rsidRPr="00714BF6">
        <w:rPr>
          <w:rFonts w:hint="eastAsia"/>
        </w:rPr>
        <w:t>觀察教學卓越計畫歷年核定學校名單及其經費</w:t>
      </w:r>
      <w:r w:rsidR="006E36C2" w:rsidRPr="00714BF6">
        <w:rPr>
          <w:rFonts w:hint="eastAsia"/>
        </w:rPr>
        <w:t>配置</w:t>
      </w:r>
      <w:r w:rsidRPr="00714BF6">
        <w:rPr>
          <w:rFonts w:hint="eastAsia"/>
        </w:rPr>
        <w:t>（如</w:t>
      </w:r>
      <w:r w:rsidR="00652E2E" w:rsidRPr="00714BF6">
        <w:rPr>
          <w:rFonts w:hint="eastAsia"/>
        </w:rPr>
        <w:t>表16、表17</w:t>
      </w:r>
      <w:r w:rsidRPr="00714BF6">
        <w:rPr>
          <w:rFonts w:hint="eastAsia"/>
        </w:rPr>
        <w:t>），一般大學部分，歷年核定補助學校累計48校，其中有</w:t>
      </w:r>
      <w:r w:rsidR="009B5DC2" w:rsidRPr="00714BF6">
        <w:rPr>
          <w:rFonts w:hint="eastAsia"/>
        </w:rPr>
        <w:t>7</w:t>
      </w:r>
      <w:r w:rsidRPr="00714BF6">
        <w:rPr>
          <w:rFonts w:hint="eastAsia"/>
        </w:rPr>
        <w:t>校年年皆獲得補助、6</w:t>
      </w:r>
      <w:proofErr w:type="gramStart"/>
      <w:r w:rsidRPr="00714BF6">
        <w:rPr>
          <w:rFonts w:hint="eastAsia"/>
        </w:rPr>
        <w:t>校僅獲得</w:t>
      </w:r>
      <w:proofErr w:type="gramEnd"/>
      <w:r w:rsidRPr="00714BF6">
        <w:rPr>
          <w:rFonts w:hint="eastAsia"/>
        </w:rPr>
        <w:t>1年之補助，校際間歷年累積獲得之補助經費，差距自2千8百萬餘至10億4千5百萬餘</w:t>
      </w:r>
      <w:r w:rsidR="006E36C2" w:rsidRPr="00714BF6">
        <w:rPr>
          <w:rFonts w:hint="eastAsia"/>
        </w:rPr>
        <w:t>不等</w:t>
      </w:r>
      <w:r w:rsidRPr="00714BF6">
        <w:rPr>
          <w:rFonts w:hint="eastAsia"/>
        </w:rPr>
        <w:t>；科技校院部分，歷年核定補助學校累計51校，其中有21校</w:t>
      </w:r>
      <w:proofErr w:type="gramStart"/>
      <w:r w:rsidRPr="00714BF6">
        <w:rPr>
          <w:rFonts w:hint="eastAsia"/>
        </w:rPr>
        <w:t>歷年均獲補助</w:t>
      </w:r>
      <w:proofErr w:type="gramEnd"/>
      <w:r w:rsidRPr="00714BF6">
        <w:rPr>
          <w:rFonts w:hint="eastAsia"/>
        </w:rPr>
        <w:t>、10</w:t>
      </w:r>
      <w:proofErr w:type="gramStart"/>
      <w:r w:rsidRPr="00714BF6">
        <w:rPr>
          <w:rFonts w:hint="eastAsia"/>
        </w:rPr>
        <w:t>校僅獲得</w:t>
      </w:r>
      <w:proofErr w:type="gramEnd"/>
      <w:r w:rsidRPr="00714BF6">
        <w:rPr>
          <w:rFonts w:hint="eastAsia"/>
        </w:rPr>
        <w:t>1年之補助，校際間歷年累積獲得之補助經費，差距自2千5百萬餘至6億4千萬餘，此</w:t>
      </w:r>
      <w:r w:rsidR="006E36C2" w:rsidRPr="00714BF6">
        <w:rPr>
          <w:rFonts w:hint="eastAsia"/>
        </w:rPr>
        <w:t>雖符合競爭型</w:t>
      </w:r>
      <w:r w:rsidRPr="00714BF6">
        <w:rPr>
          <w:rFonts w:hint="eastAsia"/>
        </w:rPr>
        <w:t>經費的分配理念，然加劇學校</w:t>
      </w:r>
      <w:r w:rsidR="003E0D6C" w:rsidRPr="00714BF6">
        <w:rPr>
          <w:rFonts w:hint="eastAsia"/>
        </w:rPr>
        <w:t>間</w:t>
      </w:r>
      <w:r w:rsidRPr="00714BF6">
        <w:rPr>
          <w:rFonts w:hint="eastAsia"/>
        </w:rPr>
        <w:t>M</w:t>
      </w:r>
      <w:r w:rsidR="006E36C2" w:rsidRPr="00714BF6">
        <w:rPr>
          <w:rFonts w:hint="eastAsia"/>
        </w:rPr>
        <w:t>型化發展現象，殊值重視。本案實地訪談學校實務人員，相關意見提及：</w:t>
      </w:r>
      <w:r w:rsidRPr="00714BF6">
        <w:rPr>
          <w:rFonts w:hint="eastAsia"/>
        </w:rPr>
        <w:t>「教學卓越變成標記，拉大學校差距，又使學校趨向同質化，可以公開討論與檢討，做為下一階段的</w:t>
      </w:r>
      <w:r w:rsidR="006E36C2" w:rsidRPr="00714BF6">
        <w:rPr>
          <w:rFonts w:hint="eastAsia"/>
        </w:rPr>
        <w:t>參考。」、「政策上的引導對於提升教學基礎水準品質，是有正面意義的，</w:t>
      </w:r>
      <w:r w:rsidRPr="00714BF6">
        <w:rPr>
          <w:rFonts w:hint="eastAsia"/>
        </w:rPr>
        <w:t>但對於沒有拿到經費的學校來說，幫助是間接而微小的</w:t>
      </w:r>
      <w:r w:rsidR="006E36C2" w:rsidRPr="00714BF6">
        <w:rPr>
          <w:rFonts w:hint="eastAsia"/>
        </w:rPr>
        <w:t>。</w:t>
      </w:r>
      <w:r w:rsidRPr="00714BF6">
        <w:rPr>
          <w:rFonts w:hint="eastAsia"/>
        </w:rPr>
        <w:t>」</w:t>
      </w:r>
      <w:r w:rsidR="006E36C2" w:rsidRPr="00714BF6">
        <w:rPr>
          <w:rFonts w:hint="eastAsia"/>
        </w:rPr>
        <w:t>、</w:t>
      </w:r>
      <w:r w:rsidRPr="00714BF6">
        <w:rPr>
          <w:rFonts w:hint="eastAsia"/>
        </w:rPr>
        <w:t>「競爭型計畫有其理念，但氛圍變成戰國時代了，要思考是否反而製造明星化的教育氛圍？經</w:t>
      </w:r>
      <w:r w:rsidRPr="00714BF6">
        <w:rPr>
          <w:rFonts w:hint="eastAsia"/>
        </w:rPr>
        <w:lastRenderedPageBreak/>
        <w:t>費的差距是否要這麼大？」等，顯示教學卓越計畫經費亦有標籤化學校之作用；然而，</w:t>
      </w:r>
      <w:r w:rsidR="00BD341A" w:rsidRPr="00714BF6">
        <w:rPr>
          <w:rFonts w:hint="eastAsia"/>
        </w:rPr>
        <w:t>為維護學生權益，</w:t>
      </w:r>
      <w:r w:rsidR="006E36C2" w:rsidRPr="00714BF6">
        <w:rPr>
          <w:rFonts w:hint="eastAsia"/>
        </w:rPr>
        <w:t>對未獲得補助之學校，教育部</w:t>
      </w:r>
      <w:r w:rsidR="003E0D6C" w:rsidRPr="00714BF6">
        <w:rPr>
          <w:rFonts w:hint="eastAsia"/>
        </w:rPr>
        <w:t>理</w:t>
      </w:r>
      <w:r w:rsidR="006E36C2" w:rsidRPr="00714BF6">
        <w:rPr>
          <w:rFonts w:hint="eastAsia"/>
        </w:rPr>
        <w:t>應配合大學退場機制，</w:t>
      </w:r>
      <w:r w:rsidR="00BD341A" w:rsidRPr="00714BF6">
        <w:rPr>
          <w:rFonts w:hint="eastAsia"/>
        </w:rPr>
        <w:t>通盤審慎規劃</w:t>
      </w:r>
      <w:r w:rsidR="00072C50" w:rsidRPr="00714BF6">
        <w:rPr>
          <w:rFonts w:hint="eastAsia"/>
        </w:rPr>
        <w:t>，以兼顧教學基本品質與拔尖發展學校教學特色</w:t>
      </w:r>
      <w:r w:rsidRPr="00714BF6">
        <w:rPr>
          <w:rFonts w:hint="eastAsia"/>
        </w:rPr>
        <w:t>。</w:t>
      </w:r>
    </w:p>
    <w:p w:rsidR="00BF2E00" w:rsidRPr="00714BF6" w:rsidRDefault="00BF2E00" w:rsidP="000B2F2E">
      <w:pPr>
        <w:pStyle w:val="3"/>
        <w:spacing w:line="480" w:lineRule="exact"/>
      </w:pPr>
      <w:proofErr w:type="gramStart"/>
      <w:r w:rsidRPr="00714BF6">
        <w:rPr>
          <w:rFonts w:hint="eastAsia"/>
        </w:rPr>
        <w:t>此外，</w:t>
      </w:r>
      <w:proofErr w:type="gramEnd"/>
      <w:r w:rsidRPr="00714BF6">
        <w:rPr>
          <w:rFonts w:hint="eastAsia"/>
        </w:rPr>
        <w:t>我國高等教育之特殊現象之一，在於大學過度擴充，以104學年度大專校院之新生註冊率而言(</w:t>
      </w:r>
      <w:r w:rsidR="00BD341A" w:rsidRPr="00714BF6">
        <w:rPr>
          <w:rFonts w:hint="eastAsia"/>
        </w:rPr>
        <w:t>詳如</w:t>
      </w:r>
      <w:r w:rsidRPr="00714BF6">
        <w:rPr>
          <w:rFonts w:hint="eastAsia"/>
        </w:rPr>
        <w:t>表</w:t>
      </w:r>
      <w:r w:rsidR="00BD341A" w:rsidRPr="00714BF6">
        <w:rPr>
          <w:rFonts w:hint="eastAsia"/>
        </w:rPr>
        <w:t>20</w:t>
      </w:r>
      <w:r w:rsidRPr="00714BF6">
        <w:rPr>
          <w:rFonts w:hint="eastAsia"/>
        </w:rPr>
        <w:t>)，私立學校1,977科系所中，新生註冊率未達80%者，計有585</w:t>
      </w:r>
      <w:r w:rsidR="003E0D6C" w:rsidRPr="00714BF6">
        <w:rPr>
          <w:rFonts w:hint="eastAsia"/>
        </w:rPr>
        <w:t>科系所，</w:t>
      </w:r>
      <w:r w:rsidR="00072C50" w:rsidRPr="00714BF6">
        <w:rPr>
          <w:rFonts w:hint="eastAsia"/>
        </w:rPr>
        <w:t>占</w:t>
      </w:r>
      <w:r w:rsidR="003E0D6C" w:rsidRPr="00714BF6">
        <w:rPr>
          <w:rFonts w:hint="eastAsia"/>
        </w:rPr>
        <w:t>比</w:t>
      </w:r>
      <w:r w:rsidRPr="00714BF6">
        <w:rPr>
          <w:rFonts w:hint="eastAsia"/>
        </w:rPr>
        <w:t>29.59%，將近</w:t>
      </w:r>
      <w:proofErr w:type="gramStart"/>
      <w:r w:rsidRPr="00714BF6">
        <w:rPr>
          <w:rFonts w:hint="eastAsia"/>
        </w:rPr>
        <w:t>3</w:t>
      </w:r>
      <w:r w:rsidR="003E0D6C" w:rsidRPr="00714BF6">
        <w:rPr>
          <w:rFonts w:hint="eastAsia"/>
        </w:rPr>
        <w:t>成</w:t>
      </w:r>
      <w:proofErr w:type="gramEnd"/>
      <w:r w:rsidR="003E0D6C" w:rsidRPr="00714BF6">
        <w:rPr>
          <w:rFonts w:hint="eastAsia"/>
        </w:rPr>
        <w:t>，顯示我國高等教育</w:t>
      </w:r>
      <w:proofErr w:type="gramStart"/>
      <w:r w:rsidR="003E0D6C" w:rsidRPr="00714BF6">
        <w:rPr>
          <w:rFonts w:hint="eastAsia"/>
        </w:rPr>
        <w:t>在少子化</w:t>
      </w:r>
      <w:proofErr w:type="gramEnd"/>
      <w:r w:rsidR="003E0D6C" w:rsidRPr="00714BF6">
        <w:rPr>
          <w:rFonts w:hint="eastAsia"/>
        </w:rPr>
        <w:t>衝擊下，供需已嚴重失衡，此一態勢將引發</w:t>
      </w:r>
      <w:r w:rsidR="000D634C" w:rsidRPr="00714BF6">
        <w:rPr>
          <w:rFonts w:hint="eastAsia"/>
        </w:rPr>
        <w:t>學校惡性競爭、教育資源浪費及人力供需失衡等負面衝擊，而</w:t>
      </w:r>
      <w:r w:rsidR="00072C50" w:rsidRPr="00714BF6">
        <w:rPr>
          <w:rFonts w:hint="eastAsia"/>
        </w:rPr>
        <w:t>在積極</w:t>
      </w:r>
      <w:r w:rsidR="000D634C" w:rsidRPr="00714BF6">
        <w:rPr>
          <w:rFonts w:hint="eastAsia"/>
        </w:rPr>
        <w:t>推動大學邁向教學卓越</w:t>
      </w:r>
      <w:r w:rsidR="00072C50" w:rsidRPr="00714BF6">
        <w:rPr>
          <w:rFonts w:hint="eastAsia"/>
        </w:rPr>
        <w:t>的同時，</w:t>
      </w:r>
      <w:r w:rsidR="003E0D6C" w:rsidRPr="00714BF6">
        <w:rPr>
          <w:rFonts w:hint="eastAsia"/>
        </w:rPr>
        <w:t>理</w:t>
      </w:r>
      <w:r w:rsidR="00072C50" w:rsidRPr="00714BF6">
        <w:rPr>
          <w:rFonts w:hint="eastAsia"/>
        </w:rPr>
        <w:t>應</w:t>
      </w:r>
      <w:proofErr w:type="gramStart"/>
      <w:r w:rsidR="003E0D6C" w:rsidRPr="00714BF6">
        <w:rPr>
          <w:rFonts w:hint="eastAsia"/>
        </w:rPr>
        <w:t>併</w:t>
      </w:r>
      <w:proofErr w:type="gramEnd"/>
      <w:r w:rsidR="003E0D6C" w:rsidRPr="00714BF6">
        <w:rPr>
          <w:rFonts w:hint="eastAsia"/>
        </w:rPr>
        <w:t>同</w:t>
      </w:r>
      <w:r w:rsidR="000D634C" w:rsidRPr="00714BF6">
        <w:rPr>
          <w:rFonts w:hint="eastAsia"/>
        </w:rPr>
        <w:t>大學</w:t>
      </w:r>
      <w:r w:rsidR="00072C50" w:rsidRPr="00714BF6">
        <w:rPr>
          <w:rFonts w:hint="eastAsia"/>
        </w:rPr>
        <w:t>退場機制做通盤考量</w:t>
      </w:r>
      <w:r w:rsidRPr="00714BF6">
        <w:rPr>
          <w:rFonts w:hint="eastAsia"/>
        </w:rPr>
        <w:t>。</w:t>
      </w:r>
    </w:p>
    <w:p w:rsidR="009F0333" w:rsidRPr="00714BF6" w:rsidRDefault="009F0333" w:rsidP="000B2F2E">
      <w:pPr>
        <w:pStyle w:val="a1"/>
        <w:spacing w:line="480" w:lineRule="exact"/>
        <w:ind w:left="1985" w:hanging="284"/>
        <w:jc w:val="center"/>
        <w:rPr>
          <w:b/>
        </w:rPr>
      </w:pPr>
      <w:r w:rsidRPr="00714BF6">
        <w:rPr>
          <w:rFonts w:hint="eastAsia"/>
          <w:b/>
        </w:rPr>
        <w:t>104學年度大專校院新生註冊率</w:t>
      </w:r>
    </w:p>
    <w:tbl>
      <w:tblPr>
        <w:tblW w:w="949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709"/>
        <w:gridCol w:w="709"/>
        <w:gridCol w:w="709"/>
        <w:gridCol w:w="708"/>
        <w:gridCol w:w="709"/>
        <w:gridCol w:w="709"/>
        <w:gridCol w:w="709"/>
        <w:gridCol w:w="708"/>
        <w:gridCol w:w="682"/>
        <w:gridCol w:w="594"/>
        <w:gridCol w:w="709"/>
        <w:gridCol w:w="709"/>
      </w:tblGrid>
      <w:tr w:rsidR="00714BF6" w:rsidRPr="00714BF6" w:rsidTr="00F053E1">
        <w:trPr>
          <w:trHeight w:val="340"/>
        </w:trPr>
        <w:tc>
          <w:tcPr>
            <w:tcW w:w="1134" w:type="dxa"/>
            <w:vMerge w:val="restart"/>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b/>
                <w:kern w:val="0"/>
                <w:sz w:val="24"/>
                <w:szCs w:val="24"/>
              </w:rPr>
            </w:pPr>
            <w:r w:rsidRPr="00714BF6">
              <w:rPr>
                <w:rFonts w:hAnsi="標楷體" w:cs="新細明體" w:hint="eastAsia"/>
                <w:b/>
                <w:kern w:val="0"/>
                <w:sz w:val="24"/>
                <w:szCs w:val="24"/>
              </w:rPr>
              <w:t>註冊率</w:t>
            </w:r>
          </w:p>
        </w:tc>
        <w:tc>
          <w:tcPr>
            <w:tcW w:w="2127" w:type="dxa"/>
            <w:gridSpan w:val="3"/>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b/>
                <w:kern w:val="0"/>
                <w:sz w:val="24"/>
                <w:szCs w:val="24"/>
              </w:rPr>
            </w:pPr>
            <w:r w:rsidRPr="00714BF6">
              <w:rPr>
                <w:rFonts w:hAnsi="標楷體" w:cs="新細明體" w:hint="eastAsia"/>
                <w:b/>
                <w:kern w:val="0"/>
                <w:sz w:val="24"/>
                <w:szCs w:val="24"/>
              </w:rPr>
              <w:t>學士班</w:t>
            </w:r>
          </w:p>
          <w:p w:rsidR="00BF2E00" w:rsidRPr="00714BF6" w:rsidRDefault="00BF2E00" w:rsidP="003A17DF">
            <w:pPr>
              <w:widowControl/>
              <w:overflowPunct/>
              <w:autoSpaceDE/>
              <w:autoSpaceDN/>
              <w:spacing w:line="280" w:lineRule="exact"/>
              <w:jc w:val="center"/>
              <w:rPr>
                <w:rFonts w:hAnsi="標楷體" w:cs="新細明體"/>
                <w:b/>
                <w:kern w:val="0"/>
                <w:sz w:val="24"/>
                <w:szCs w:val="24"/>
              </w:rPr>
            </w:pPr>
            <w:r w:rsidRPr="00714BF6">
              <w:rPr>
                <w:rFonts w:hAnsi="標楷體" w:cs="新細明體" w:hint="eastAsia"/>
                <w:b/>
                <w:kern w:val="0"/>
                <w:sz w:val="24"/>
                <w:szCs w:val="24"/>
              </w:rPr>
              <w:t>(含四技)</w:t>
            </w:r>
          </w:p>
        </w:tc>
        <w:tc>
          <w:tcPr>
            <w:tcW w:w="2126" w:type="dxa"/>
            <w:gridSpan w:val="3"/>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b/>
                <w:kern w:val="0"/>
                <w:sz w:val="24"/>
                <w:szCs w:val="24"/>
              </w:rPr>
            </w:pPr>
            <w:r w:rsidRPr="00714BF6">
              <w:rPr>
                <w:rFonts w:hAnsi="標楷體" w:cs="新細明體" w:hint="eastAsia"/>
                <w:b/>
                <w:kern w:val="0"/>
                <w:sz w:val="24"/>
                <w:szCs w:val="24"/>
              </w:rPr>
              <w:t>二年制大學</w:t>
            </w:r>
          </w:p>
          <w:p w:rsidR="00BF2E00" w:rsidRPr="00714BF6" w:rsidRDefault="00BF2E00" w:rsidP="003A17DF">
            <w:pPr>
              <w:widowControl/>
              <w:overflowPunct/>
              <w:autoSpaceDE/>
              <w:autoSpaceDN/>
              <w:spacing w:line="280" w:lineRule="exact"/>
              <w:jc w:val="center"/>
              <w:rPr>
                <w:rFonts w:hAnsi="標楷體" w:cs="新細明體"/>
                <w:b/>
                <w:kern w:val="0"/>
                <w:sz w:val="24"/>
                <w:szCs w:val="24"/>
              </w:rPr>
            </w:pPr>
            <w:r w:rsidRPr="00714BF6">
              <w:rPr>
                <w:rFonts w:hAnsi="標楷體" w:cs="新細明體" w:hint="eastAsia"/>
                <w:b/>
                <w:kern w:val="0"/>
                <w:sz w:val="24"/>
                <w:szCs w:val="24"/>
              </w:rPr>
              <w:t>(二技)</w:t>
            </w:r>
          </w:p>
        </w:tc>
        <w:tc>
          <w:tcPr>
            <w:tcW w:w="2099" w:type="dxa"/>
            <w:gridSpan w:val="3"/>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b/>
                <w:kern w:val="0"/>
                <w:sz w:val="24"/>
                <w:szCs w:val="24"/>
              </w:rPr>
            </w:pPr>
            <w:r w:rsidRPr="00714BF6">
              <w:rPr>
                <w:rFonts w:hAnsi="標楷體" w:cs="新細明體" w:hint="eastAsia"/>
                <w:b/>
                <w:kern w:val="0"/>
                <w:sz w:val="24"/>
                <w:szCs w:val="24"/>
              </w:rPr>
              <w:t>二專</w:t>
            </w:r>
          </w:p>
        </w:tc>
        <w:tc>
          <w:tcPr>
            <w:tcW w:w="2012" w:type="dxa"/>
            <w:gridSpan w:val="3"/>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b/>
                <w:kern w:val="0"/>
                <w:sz w:val="24"/>
                <w:szCs w:val="24"/>
              </w:rPr>
            </w:pPr>
            <w:r w:rsidRPr="00714BF6">
              <w:rPr>
                <w:rFonts w:hAnsi="標楷體" w:cs="新細明體" w:hint="eastAsia"/>
                <w:b/>
                <w:kern w:val="0"/>
                <w:sz w:val="24"/>
                <w:szCs w:val="24"/>
              </w:rPr>
              <w:t>五專</w:t>
            </w:r>
          </w:p>
        </w:tc>
      </w:tr>
      <w:tr w:rsidR="00714BF6" w:rsidRPr="00714BF6" w:rsidTr="00F053E1">
        <w:trPr>
          <w:trHeight w:val="340"/>
        </w:trPr>
        <w:tc>
          <w:tcPr>
            <w:tcW w:w="1134" w:type="dxa"/>
            <w:vMerge/>
            <w:shd w:val="clear" w:color="auto" w:fill="auto"/>
            <w:vAlign w:val="center"/>
            <w:hideMark/>
          </w:tcPr>
          <w:p w:rsidR="00BF2E00" w:rsidRPr="00714BF6" w:rsidRDefault="00BF2E00" w:rsidP="003A17DF">
            <w:pPr>
              <w:widowControl/>
              <w:overflowPunct/>
              <w:autoSpaceDE/>
              <w:autoSpaceDN/>
              <w:spacing w:line="280" w:lineRule="exact"/>
              <w:jc w:val="center"/>
              <w:rPr>
                <w:rFonts w:hAnsi="標楷體" w:cs="新細明體"/>
                <w:b/>
                <w:kern w:val="0"/>
                <w:sz w:val="24"/>
                <w:szCs w:val="24"/>
              </w:rPr>
            </w:pP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b/>
                <w:kern w:val="0"/>
                <w:sz w:val="24"/>
                <w:szCs w:val="24"/>
              </w:rPr>
            </w:pPr>
            <w:r w:rsidRPr="00714BF6">
              <w:rPr>
                <w:rFonts w:hAnsi="標楷體" w:cs="新細明體" w:hint="eastAsia"/>
                <w:b/>
                <w:kern w:val="0"/>
                <w:sz w:val="24"/>
                <w:szCs w:val="24"/>
              </w:rPr>
              <w:t>總計</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b/>
                <w:kern w:val="0"/>
                <w:sz w:val="24"/>
                <w:szCs w:val="24"/>
              </w:rPr>
            </w:pPr>
            <w:r w:rsidRPr="00714BF6">
              <w:rPr>
                <w:rFonts w:hAnsi="標楷體" w:cs="新細明體" w:hint="eastAsia"/>
                <w:b/>
                <w:kern w:val="0"/>
                <w:sz w:val="24"/>
                <w:szCs w:val="24"/>
              </w:rPr>
              <w:t>公立</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b/>
                <w:kern w:val="0"/>
                <w:sz w:val="24"/>
                <w:szCs w:val="24"/>
              </w:rPr>
            </w:pPr>
            <w:r w:rsidRPr="00714BF6">
              <w:rPr>
                <w:rFonts w:hAnsi="標楷體" w:cs="新細明體" w:hint="eastAsia"/>
                <w:b/>
                <w:kern w:val="0"/>
                <w:sz w:val="24"/>
                <w:szCs w:val="24"/>
              </w:rPr>
              <w:t>私立</w:t>
            </w:r>
          </w:p>
        </w:tc>
        <w:tc>
          <w:tcPr>
            <w:tcW w:w="708"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b/>
                <w:kern w:val="0"/>
                <w:sz w:val="24"/>
                <w:szCs w:val="24"/>
              </w:rPr>
            </w:pPr>
            <w:r w:rsidRPr="00714BF6">
              <w:rPr>
                <w:rFonts w:hAnsi="標楷體" w:cs="新細明體" w:hint="eastAsia"/>
                <w:b/>
                <w:kern w:val="0"/>
                <w:sz w:val="24"/>
                <w:szCs w:val="24"/>
              </w:rPr>
              <w:t>總計</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b/>
                <w:kern w:val="0"/>
                <w:sz w:val="24"/>
                <w:szCs w:val="24"/>
              </w:rPr>
            </w:pPr>
            <w:r w:rsidRPr="00714BF6">
              <w:rPr>
                <w:rFonts w:hAnsi="標楷體" w:cs="新細明體" w:hint="eastAsia"/>
                <w:b/>
                <w:kern w:val="0"/>
                <w:sz w:val="24"/>
                <w:szCs w:val="24"/>
              </w:rPr>
              <w:t>公立</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b/>
                <w:kern w:val="0"/>
                <w:sz w:val="24"/>
                <w:szCs w:val="24"/>
              </w:rPr>
            </w:pPr>
            <w:r w:rsidRPr="00714BF6">
              <w:rPr>
                <w:rFonts w:hAnsi="標楷體" w:cs="新細明體" w:hint="eastAsia"/>
                <w:b/>
                <w:kern w:val="0"/>
                <w:sz w:val="24"/>
                <w:szCs w:val="24"/>
              </w:rPr>
              <w:t>私立</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b/>
                <w:kern w:val="0"/>
                <w:sz w:val="24"/>
                <w:szCs w:val="24"/>
              </w:rPr>
            </w:pPr>
            <w:r w:rsidRPr="00714BF6">
              <w:rPr>
                <w:rFonts w:hAnsi="標楷體" w:cs="新細明體" w:hint="eastAsia"/>
                <w:b/>
                <w:kern w:val="0"/>
                <w:sz w:val="24"/>
                <w:szCs w:val="24"/>
              </w:rPr>
              <w:t>總計</w:t>
            </w:r>
          </w:p>
        </w:tc>
        <w:tc>
          <w:tcPr>
            <w:tcW w:w="708"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b/>
                <w:kern w:val="0"/>
                <w:sz w:val="24"/>
                <w:szCs w:val="24"/>
              </w:rPr>
            </w:pPr>
            <w:r w:rsidRPr="00714BF6">
              <w:rPr>
                <w:rFonts w:hAnsi="標楷體" w:cs="新細明體" w:hint="eastAsia"/>
                <w:b/>
                <w:kern w:val="0"/>
                <w:sz w:val="24"/>
                <w:szCs w:val="24"/>
              </w:rPr>
              <w:t>公立</w:t>
            </w:r>
          </w:p>
        </w:tc>
        <w:tc>
          <w:tcPr>
            <w:tcW w:w="682"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b/>
                <w:kern w:val="0"/>
                <w:sz w:val="24"/>
                <w:szCs w:val="24"/>
              </w:rPr>
            </w:pPr>
            <w:r w:rsidRPr="00714BF6">
              <w:rPr>
                <w:rFonts w:hAnsi="標楷體" w:cs="新細明體" w:hint="eastAsia"/>
                <w:b/>
                <w:kern w:val="0"/>
                <w:sz w:val="24"/>
                <w:szCs w:val="24"/>
              </w:rPr>
              <w:t>私立</w:t>
            </w:r>
          </w:p>
        </w:tc>
        <w:tc>
          <w:tcPr>
            <w:tcW w:w="594"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b/>
                <w:kern w:val="0"/>
                <w:sz w:val="24"/>
                <w:szCs w:val="24"/>
              </w:rPr>
            </w:pPr>
            <w:r w:rsidRPr="00714BF6">
              <w:rPr>
                <w:rFonts w:hAnsi="標楷體" w:cs="新細明體" w:hint="eastAsia"/>
                <w:b/>
                <w:kern w:val="0"/>
                <w:sz w:val="24"/>
                <w:szCs w:val="24"/>
              </w:rPr>
              <w:t>總計</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b/>
                <w:kern w:val="0"/>
                <w:sz w:val="24"/>
                <w:szCs w:val="24"/>
              </w:rPr>
            </w:pPr>
            <w:r w:rsidRPr="00714BF6">
              <w:rPr>
                <w:rFonts w:hAnsi="標楷體" w:cs="新細明體" w:hint="eastAsia"/>
                <w:b/>
                <w:kern w:val="0"/>
                <w:sz w:val="24"/>
                <w:szCs w:val="24"/>
              </w:rPr>
              <w:t>公立</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b/>
                <w:kern w:val="0"/>
                <w:sz w:val="24"/>
                <w:szCs w:val="24"/>
              </w:rPr>
            </w:pPr>
            <w:r w:rsidRPr="00714BF6">
              <w:rPr>
                <w:rFonts w:hAnsi="標楷體" w:cs="新細明體" w:hint="eastAsia"/>
                <w:b/>
                <w:kern w:val="0"/>
                <w:sz w:val="24"/>
                <w:szCs w:val="24"/>
              </w:rPr>
              <w:t>私立</w:t>
            </w:r>
          </w:p>
        </w:tc>
      </w:tr>
      <w:tr w:rsidR="00714BF6" w:rsidRPr="00714BF6" w:rsidTr="00F053E1">
        <w:trPr>
          <w:trHeight w:val="340"/>
        </w:trPr>
        <w:tc>
          <w:tcPr>
            <w:tcW w:w="1134"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b/>
                <w:kern w:val="0"/>
                <w:sz w:val="24"/>
                <w:szCs w:val="24"/>
              </w:rPr>
            </w:pPr>
            <w:r w:rsidRPr="00714BF6">
              <w:rPr>
                <w:rFonts w:hAnsi="標楷體" w:cs="新細明體" w:hint="eastAsia"/>
                <w:b/>
                <w:kern w:val="0"/>
                <w:sz w:val="24"/>
                <w:szCs w:val="24"/>
              </w:rPr>
              <w:t>80%以上</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2199</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973</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1226</w:t>
            </w:r>
          </w:p>
        </w:tc>
        <w:tc>
          <w:tcPr>
            <w:tcW w:w="708"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71</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38</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33</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7</w:t>
            </w:r>
          </w:p>
        </w:tc>
        <w:tc>
          <w:tcPr>
            <w:tcW w:w="708"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5</w:t>
            </w:r>
          </w:p>
        </w:tc>
        <w:tc>
          <w:tcPr>
            <w:tcW w:w="682"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2</w:t>
            </w:r>
          </w:p>
        </w:tc>
        <w:tc>
          <w:tcPr>
            <w:tcW w:w="594"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156</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25</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131</w:t>
            </w:r>
          </w:p>
        </w:tc>
      </w:tr>
      <w:tr w:rsidR="00714BF6" w:rsidRPr="00714BF6" w:rsidTr="00F053E1">
        <w:trPr>
          <w:trHeight w:val="340"/>
        </w:trPr>
        <w:tc>
          <w:tcPr>
            <w:tcW w:w="1134"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b/>
                <w:kern w:val="0"/>
                <w:sz w:val="24"/>
                <w:szCs w:val="24"/>
              </w:rPr>
            </w:pPr>
            <w:r w:rsidRPr="00714BF6">
              <w:rPr>
                <w:rFonts w:hAnsi="標楷體" w:cs="新細明體" w:hint="eastAsia"/>
                <w:b/>
                <w:kern w:val="0"/>
                <w:sz w:val="24"/>
                <w:szCs w:val="24"/>
              </w:rPr>
              <w:t>70%-</w:t>
            </w:r>
          </w:p>
          <w:p w:rsidR="00BF2E00" w:rsidRPr="00714BF6" w:rsidRDefault="00BF2E00" w:rsidP="003A17DF">
            <w:pPr>
              <w:widowControl/>
              <w:overflowPunct/>
              <w:autoSpaceDE/>
              <w:autoSpaceDN/>
              <w:spacing w:line="280" w:lineRule="exact"/>
              <w:jc w:val="center"/>
              <w:rPr>
                <w:rFonts w:hAnsi="標楷體" w:cs="新細明體"/>
                <w:b/>
                <w:kern w:val="0"/>
                <w:sz w:val="24"/>
                <w:szCs w:val="24"/>
              </w:rPr>
            </w:pPr>
            <w:r w:rsidRPr="00714BF6">
              <w:rPr>
                <w:rFonts w:hAnsi="標楷體" w:cs="新細明體" w:hint="eastAsia"/>
                <w:b/>
                <w:kern w:val="0"/>
                <w:sz w:val="24"/>
                <w:szCs w:val="24"/>
              </w:rPr>
              <w:t>未滿80%</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142</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11</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131</w:t>
            </w:r>
          </w:p>
        </w:tc>
        <w:tc>
          <w:tcPr>
            <w:tcW w:w="708"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8</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1</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7</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3</w:t>
            </w:r>
          </w:p>
        </w:tc>
        <w:tc>
          <w:tcPr>
            <w:tcW w:w="708"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1</w:t>
            </w:r>
          </w:p>
        </w:tc>
        <w:tc>
          <w:tcPr>
            <w:tcW w:w="682"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2</w:t>
            </w:r>
          </w:p>
        </w:tc>
        <w:tc>
          <w:tcPr>
            <w:tcW w:w="594"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13</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0</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13</w:t>
            </w:r>
          </w:p>
        </w:tc>
      </w:tr>
      <w:tr w:rsidR="00714BF6" w:rsidRPr="00714BF6" w:rsidTr="00F053E1">
        <w:trPr>
          <w:trHeight w:val="340"/>
        </w:trPr>
        <w:tc>
          <w:tcPr>
            <w:tcW w:w="1134"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b/>
                <w:kern w:val="0"/>
                <w:sz w:val="24"/>
                <w:szCs w:val="24"/>
              </w:rPr>
            </w:pPr>
            <w:r w:rsidRPr="00714BF6">
              <w:rPr>
                <w:rFonts w:hAnsi="標楷體" w:cs="新細明體" w:hint="eastAsia"/>
                <w:b/>
                <w:kern w:val="0"/>
                <w:sz w:val="24"/>
                <w:szCs w:val="24"/>
              </w:rPr>
              <w:t>60%-</w:t>
            </w:r>
          </w:p>
          <w:p w:rsidR="00BF2E00" w:rsidRPr="00714BF6" w:rsidRDefault="00BF2E00" w:rsidP="003A17DF">
            <w:pPr>
              <w:widowControl/>
              <w:overflowPunct/>
              <w:autoSpaceDE/>
              <w:autoSpaceDN/>
              <w:spacing w:line="280" w:lineRule="exact"/>
              <w:jc w:val="center"/>
              <w:rPr>
                <w:rFonts w:hAnsi="標楷體" w:cs="新細明體"/>
                <w:b/>
                <w:kern w:val="0"/>
                <w:sz w:val="24"/>
                <w:szCs w:val="24"/>
              </w:rPr>
            </w:pPr>
            <w:r w:rsidRPr="00714BF6">
              <w:rPr>
                <w:rFonts w:hAnsi="標楷體" w:cs="新細明體" w:hint="eastAsia"/>
                <w:b/>
                <w:kern w:val="0"/>
                <w:sz w:val="24"/>
                <w:szCs w:val="24"/>
              </w:rPr>
              <w:t>未滿70%</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108</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0</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108</w:t>
            </w:r>
          </w:p>
        </w:tc>
        <w:tc>
          <w:tcPr>
            <w:tcW w:w="708"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9</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0</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9</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2</w:t>
            </w:r>
          </w:p>
        </w:tc>
        <w:tc>
          <w:tcPr>
            <w:tcW w:w="708"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0</w:t>
            </w:r>
          </w:p>
        </w:tc>
        <w:tc>
          <w:tcPr>
            <w:tcW w:w="682"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2</w:t>
            </w:r>
          </w:p>
        </w:tc>
        <w:tc>
          <w:tcPr>
            <w:tcW w:w="594"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17</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1</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16</w:t>
            </w:r>
          </w:p>
        </w:tc>
      </w:tr>
      <w:tr w:rsidR="00714BF6" w:rsidRPr="00714BF6" w:rsidTr="00F053E1">
        <w:trPr>
          <w:trHeight w:val="340"/>
        </w:trPr>
        <w:tc>
          <w:tcPr>
            <w:tcW w:w="1134"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b/>
                <w:kern w:val="0"/>
                <w:sz w:val="24"/>
                <w:szCs w:val="24"/>
              </w:rPr>
            </w:pPr>
            <w:r w:rsidRPr="00714BF6">
              <w:rPr>
                <w:rFonts w:hAnsi="標楷體" w:cs="新細明體" w:hint="eastAsia"/>
                <w:b/>
                <w:kern w:val="0"/>
                <w:sz w:val="24"/>
                <w:szCs w:val="24"/>
              </w:rPr>
              <w:t>50%-</w:t>
            </w:r>
          </w:p>
          <w:p w:rsidR="00BF2E00" w:rsidRPr="00714BF6" w:rsidRDefault="00BF2E00" w:rsidP="003A17DF">
            <w:pPr>
              <w:widowControl/>
              <w:overflowPunct/>
              <w:autoSpaceDE/>
              <w:autoSpaceDN/>
              <w:spacing w:line="280" w:lineRule="exact"/>
              <w:jc w:val="center"/>
              <w:rPr>
                <w:rFonts w:hAnsi="標楷體" w:cs="新細明體"/>
                <w:b/>
                <w:kern w:val="0"/>
                <w:sz w:val="24"/>
                <w:szCs w:val="24"/>
              </w:rPr>
            </w:pPr>
            <w:r w:rsidRPr="00714BF6">
              <w:rPr>
                <w:rFonts w:hAnsi="標楷體" w:cs="新細明體" w:hint="eastAsia"/>
                <w:b/>
                <w:kern w:val="0"/>
                <w:sz w:val="24"/>
                <w:szCs w:val="24"/>
              </w:rPr>
              <w:t>未滿60%</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76</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0</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76</w:t>
            </w:r>
          </w:p>
        </w:tc>
        <w:tc>
          <w:tcPr>
            <w:tcW w:w="708"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8</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2</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6</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0</w:t>
            </w:r>
          </w:p>
        </w:tc>
        <w:tc>
          <w:tcPr>
            <w:tcW w:w="708"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0</w:t>
            </w:r>
          </w:p>
        </w:tc>
        <w:tc>
          <w:tcPr>
            <w:tcW w:w="682"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0</w:t>
            </w:r>
          </w:p>
        </w:tc>
        <w:tc>
          <w:tcPr>
            <w:tcW w:w="594"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11</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1</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10</w:t>
            </w:r>
          </w:p>
        </w:tc>
      </w:tr>
      <w:tr w:rsidR="00714BF6" w:rsidRPr="00714BF6" w:rsidTr="00F053E1">
        <w:trPr>
          <w:trHeight w:val="340"/>
        </w:trPr>
        <w:tc>
          <w:tcPr>
            <w:tcW w:w="1134"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b/>
                <w:kern w:val="0"/>
                <w:sz w:val="24"/>
                <w:szCs w:val="24"/>
              </w:rPr>
            </w:pPr>
            <w:r w:rsidRPr="00714BF6">
              <w:rPr>
                <w:rFonts w:hAnsi="標楷體" w:cs="新細明體" w:hint="eastAsia"/>
                <w:b/>
                <w:kern w:val="0"/>
                <w:sz w:val="24"/>
                <w:szCs w:val="24"/>
              </w:rPr>
              <w:t>40%-</w:t>
            </w:r>
          </w:p>
          <w:p w:rsidR="00BF2E00" w:rsidRPr="00714BF6" w:rsidRDefault="00BF2E00" w:rsidP="003A17DF">
            <w:pPr>
              <w:widowControl/>
              <w:overflowPunct/>
              <w:autoSpaceDE/>
              <w:autoSpaceDN/>
              <w:spacing w:line="280" w:lineRule="exact"/>
              <w:jc w:val="center"/>
              <w:rPr>
                <w:rFonts w:hAnsi="標楷體" w:cs="新細明體"/>
                <w:b/>
                <w:kern w:val="0"/>
                <w:sz w:val="24"/>
                <w:szCs w:val="24"/>
              </w:rPr>
            </w:pPr>
            <w:r w:rsidRPr="00714BF6">
              <w:rPr>
                <w:rFonts w:hAnsi="標楷體" w:cs="新細明體" w:hint="eastAsia"/>
                <w:b/>
                <w:kern w:val="0"/>
                <w:sz w:val="24"/>
                <w:szCs w:val="24"/>
              </w:rPr>
              <w:t>未滿50%</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71</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0</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71</w:t>
            </w:r>
          </w:p>
        </w:tc>
        <w:tc>
          <w:tcPr>
            <w:tcW w:w="708"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8</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0</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8</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2</w:t>
            </w:r>
          </w:p>
        </w:tc>
        <w:tc>
          <w:tcPr>
            <w:tcW w:w="708"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0</w:t>
            </w:r>
          </w:p>
        </w:tc>
        <w:tc>
          <w:tcPr>
            <w:tcW w:w="682"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2</w:t>
            </w:r>
          </w:p>
        </w:tc>
        <w:tc>
          <w:tcPr>
            <w:tcW w:w="594"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8</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0</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8</w:t>
            </w:r>
          </w:p>
        </w:tc>
      </w:tr>
      <w:tr w:rsidR="00714BF6" w:rsidRPr="00714BF6" w:rsidTr="00F053E1">
        <w:trPr>
          <w:trHeight w:val="340"/>
        </w:trPr>
        <w:tc>
          <w:tcPr>
            <w:tcW w:w="1134"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b/>
                <w:kern w:val="0"/>
                <w:sz w:val="24"/>
                <w:szCs w:val="24"/>
              </w:rPr>
            </w:pPr>
            <w:r w:rsidRPr="00714BF6">
              <w:rPr>
                <w:rFonts w:hAnsi="標楷體" w:cs="新細明體" w:hint="eastAsia"/>
                <w:b/>
                <w:kern w:val="0"/>
                <w:sz w:val="24"/>
                <w:szCs w:val="24"/>
              </w:rPr>
              <w:t>30%-</w:t>
            </w:r>
          </w:p>
          <w:p w:rsidR="00BF2E00" w:rsidRPr="00714BF6" w:rsidRDefault="00BF2E00" w:rsidP="003A17DF">
            <w:pPr>
              <w:widowControl/>
              <w:overflowPunct/>
              <w:autoSpaceDE/>
              <w:autoSpaceDN/>
              <w:spacing w:line="280" w:lineRule="exact"/>
              <w:jc w:val="center"/>
              <w:rPr>
                <w:rFonts w:hAnsi="標楷體" w:cs="新細明體"/>
                <w:b/>
                <w:kern w:val="0"/>
                <w:sz w:val="24"/>
                <w:szCs w:val="24"/>
              </w:rPr>
            </w:pPr>
            <w:r w:rsidRPr="00714BF6">
              <w:rPr>
                <w:rFonts w:hAnsi="標楷體" w:cs="新細明體" w:hint="eastAsia"/>
                <w:b/>
                <w:kern w:val="0"/>
                <w:sz w:val="24"/>
                <w:szCs w:val="24"/>
              </w:rPr>
              <w:t>未滿40%</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32</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0</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32</w:t>
            </w:r>
          </w:p>
        </w:tc>
        <w:tc>
          <w:tcPr>
            <w:tcW w:w="708"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11</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0</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11</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0</w:t>
            </w:r>
          </w:p>
        </w:tc>
        <w:tc>
          <w:tcPr>
            <w:tcW w:w="708"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0</w:t>
            </w:r>
          </w:p>
        </w:tc>
        <w:tc>
          <w:tcPr>
            <w:tcW w:w="682"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0</w:t>
            </w:r>
          </w:p>
        </w:tc>
        <w:tc>
          <w:tcPr>
            <w:tcW w:w="594"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9</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0</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9</w:t>
            </w:r>
          </w:p>
        </w:tc>
      </w:tr>
      <w:tr w:rsidR="00714BF6" w:rsidRPr="00714BF6" w:rsidTr="00F053E1">
        <w:trPr>
          <w:trHeight w:val="340"/>
        </w:trPr>
        <w:tc>
          <w:tcPr>
            <w:tcW w:w="1134"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b/>
                <w:kern w:val="0"/>
                <w:sz w:val="24"/>
                <w:szCs w:val="24"/>
              </w:rPr>
            </w:pPr>
            <w:r w:rsidRPr="00714BF6">
              <w:rPr>
                <w:rFonts w:hAnsi="標楷體" w:cs="新細明體" w:hint="eastAsia"/>
                <w:b/>
                <w:kern w:val="0"/>
                <w:sz w:val="24"/>
                <w:szCs w:val="24"/>
              </w:rPr>
              <w:t>未滿30%</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44</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0</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44</w:t>
            </w:r>
          </w:p>
        </w:tc>
        <w:tc>
          <w:tcPr>
            <w:tcW w:w="708"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12</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3</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9</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2</w:t>
            </w:r>
          </w:p>
        </w:tc>
        <w:tc>
          <w:tcPr>
            <w:tcW w:w="708"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0</w:t>
            </w:r>
          </w:p>
        </w:tc>
        <w:tc>
          <w:tcPr>
            <w:tcW w:w="682"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2</w:t>
            </w:r>
          </w:p>
        </w:tc>
        <w:tc>
          <w:tcPr>
            <w:tcW w:w="594"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9</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0</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9</w:t>
            </w:r>
          </w:p>
        </w:tc>
      </w:tr>
      <w:tr w:rsidR="00714BF6" w:rsidRPr="00714BF6" w:rsidTr="00F053E1">
        <w:trPr>
          <w:trHeight w:val="340"/>
        </w:trPr>
        <w:tc>
          <w:tcPr>
            <w:tcW w:w="1134"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b/>
                <w:bCs/>
                <w:kern w:val="0"/>
                <w:sz w:val="24"/>
                <w:szCs w:val="24"/>
              </w:rPr>
            </w:pPr>
            <w:r w:rsidRPr="00714BF6">
              <w:rPr>
                <w:rFonts w:hAnsi="標楷體" w:cs="新細明體" w:hint="eastAsia"/>
                <w:b/>
                <w:bCs/>
                <w:kern w:val="0"/>
                <w:sz w:val="24"/>
                <w:szCs w:val="24"/>
              </w:rPr>
              <w:t>總科系所數量</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2672</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984</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1688</w:t>
            </w:r>
          </w:p>
        </w:tc>
        <w:tc>
          <w:tcPr>
            <w:tcW w:w="708"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127</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44</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83</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16</w:t>
            </w:r>
          </w:p>
        </w:tc>
        <w:tc>
          <w:tcPr>
            <w:tcW w:w="708"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6</w:t>
            </w:r>
          </w:p>
        </w:tc>
        <w:tc>
          <w:tcPr>
            <w:tcW w:w="682"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10</w:t>
            </w:r>
          </w:p>
        </w:tc>
        <w:tc>
          <w:tcPr>
            <w:tcW w:w="594"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223</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27</w:t>
            </w:r>
          </w:p>
        </w:tc>
        <w:tc>
          <w:tcPr>
            <w:tcW w:w="709" w:type="dxa"/>
            <w:shd w:val="clear" w:color="auto" w:fill="auto"/>
            <w:noWrap/>
            <w:vAlign w:val="center"/>
            <w:hideMark/>
          </w:tcPr>
          <w:p w:rsidR="00BF2E00" w:rsidRPr="00714BF6" w:rsidRDefault="00BF2E00" w:rsidP="003A17DF">
            <w:pPr>
              <w:widowControl/>
              <w:overflowPunct/>
              <w:autoSpaceDE/>
              <w:autoSpaceDN/>
              <w:spacing w:line="280" w:lineRule="exact"/>
              <w:jc w:val="center"/>
              <w:rPr>
                <w:rFonts w:hAnsi="標楷體" w:cs="新細明體"/>
                <w:kern w:val="0"/>
                <w:sz w:val="24"/>
                <w:szCs w:val="24"/>
              </w:rPr>
            </w:pPr>
            <w:r w:rsidRPr="00714BF6">
              <w:rPr>
                <w:rFonts w:hAnsi="標楷體" w:cs="新細明體" w:hint="eastAsia"/>
                <w:kern w:val="0"/>
                <w:sz w:val="24"/>
                <w:szCs w:val="24"/>
              </w:rPr>
              <w:t>196</w:t>
            </w:r>
          </w:p>
        </w:tc>
      </w:tr>
    </w:tbl>
    <w:p w:rsidR="003E0D6C" w:rsidRPr="00714BF6" w:rsidRDefault="00BF2E00" w:rsidP="003E0D6C">
      <w:pPr>
        <w:widowControl/>
        <w:spacing w:line="240" w:lineRule="exact"/>
        <w:ind w:left="480" w:hangingChars="218" w:hanging="480"/>
        <w:rPr>
          <w:rFonts w:hAnsi="標楷體" w:cs="新細明體"/>
          <w:kern w:val="0"/>
          <w:sz w:val="22"/>
          <w:szCs w:val="22"/>
        </w:rPr>
      </w:pPr>
      <w:proofErr w:type="gramStart"/>
      <w:r w:rsidRPr="00714BF6">
        <w:rPr>
          <w:rFonts w:hAnsi="標楷體" w:cs="新細明體" w:hint="eastAsia"/>
          <w:kern w:val="0"/>
          <w:sz w:val="22"/>
          <w:szCs w:val="22"/>
        </w:rPr>
        <w:t>註</w:t>
      </w:r>
      <w:proofErr w:type="gramEnd"/>
      <w:r w:rsidRPr="00714BF6">
        <w:rPr>
          <w:rFonts w:hAnsi="標楷體" w:cs="新細明體" w:hint="eastAsia"/>
          <w:kern w:val="0"/>
          <w:sz w:val="22"/>
          <w:szCs w:val="22"/>
        </w:rPr>
        <w:t>：</w:t>
      </w:r>
      <w:r w:rsidR="003E0D6C" w:rsidRPr="00714BF6">
        <w:rPr>
          <w:rFonts w:hAnsi="標楷體" w:cs="新細明體" w:hint="eastAsia"/>
          <w:kern w:val="0"/>
          <w:sz w:val="22"/>
          <w:szCs w:val="22"/>
        </w:rPr>
        <w:t>1.</w:t>
      </w:r>
      <w:r w:rsidRPr="00714BF6">
        <w:rPr>
          <w:rFonts w:hAnsi="標楷體" w:cs="新細明體" w:hint="eastAsia"/>
          <w:kern w:val="0"/>
          <w:sz w:val="22"/>
          <w:szCs w:val="22"/>
        </w:rPr>
        <w:t>本表係158所大專校院(不含宗教</w:t>
      </w:r>
      <w:proofErr w:type="gramStart"/>
      <w:r w:rsidRPr="00714BF6">
        <w:rPr>
          <w:rFonts w:hAnsi="標楷體" w:cs="新細明體" w:hint="eastAsia"/>
          <w:kern w:val="0"/>
          <w:sz w:val="22"/>
          <w:szCs w:val="22"/>
        </w:rPr>
        <w:t>研</w:t>
      </w:r>
      <w:proofErr w:type="gramEnd"/>
      <w:r w:rsidRPr="00714BF6">
        <w:rPr>
          <w:rFonts w:hAnsi="標楷體" w:cs="新細明體" w:hint="eastAsia"/>
          <w:kern w:val="0"/>
          <w:sz w:val="22"/>
          <w:szCs w:val="22"/>
        </w:rPr>
        <w:t>修學院)新生註冊率之分布，且統計</w:t>
      </w:r>
      <w:proofErr w:type="gramStart"/>
      <w:r w:rsidRPr="00714BF6">
        <w:rPr>
          <w:rFonts w:hAnsi="標楷體" w:cs="新細明體" w:hint="eastAsia"/>
          <w:kern w:val="0"/>
          <w:sz w:val="22"/>
          <w:szCs w:val="22"/>
        </w:rPr>
        <w:t>範圍僅含日間</w:t>
      </w:r>
      <w:proofErr w:type="gramEnd"/>
      <w:r w:rsidRPr="00714BF6">
        <w:rPr>
          <w:rFonts w:hAnsi="標楷體" w:cs="新細明體" w:hint="eastAsia"/>
          <w:kern w:val="0"/>
          <w:sz w:val="22"/>
          <w:szCs w:val="22"/>
        </w:rPr>
        <w:t>學</w:t>
      </w:r>
      <w:r w:rsidR="003E0D6C" w:rsidRPr="00714BF6">
        <w:rPr>
          <w:rFonts w:hAnsi="標楷體" w:cs="新細明體" w:hint="eastAsia"/>
          <w:kern w:val="0"/>
          <w:sz w:val="22"/>
          <w:szCs w:val="22"/>
        </w:rPr>
        <w:t xml:space="preserve">  </w:t>
      </w:r>
    </w:p>
    <w:p w:rsidR="003E0D6C" w:rsidRPr="00714BF6" w:rsidRDefault="003E0D6C" w:rsidP="003E0D6C">
      <w:pPr>
        <w:widowControl/>
        <w:spacing w:line="240" w:lineRule="exact"/>
        <w:ind w:left="480" w:hangingChars="218" w:hanging="480"/>
        <w:rPr>
          <w:rFonts w:hAnsi="標楷體" w:cs="新細明體"/>
          <w:kern w:val="0"/>
          <w:sz w:val="22"/>
          <w:szCs w:val="22"/>
        </w:rPr>
      </w:pPr>
      <w:r w:rsidRPr="00714BF6">
        <w:rPr>
          <w:rFonts w:hAnsi="標楷體" w:cs="新細明體" w:hint="eastAsia"/>
          <w:kern w:val="0"/>
          <w:sz w:val="22"/>
          <w:szCs w:val="22"/>
        </w:rPr>
        <w:t xml:space="preserve">      </w:t>
      </w:r>
      <w:r w:rsidR="00BF2E00" w:rsidRPr="00714BF6">
        <w:rPr>
          <w:rFonts w:hAnsi="標楷體" w:cs="新細明體" w:hint="eastAsia"/>
          <w:kern w:val="0"/>
          <w:sz w:val="22"/>
          <w:szCs w:val="22"/>
        </w:rPr>
        <w:t>制，不含進修學制，另宗教</w:t>
      </w:r>
      <w:proofErr w:type="gramStart"/>
      <w:r w:rsidR="00BF2E00" w:rsidRPr="00714BF6">
        <w:rPr>
          <w:rFonts w:hAnsi="標楷體" w:cs="新細明體" w:hint="eastAsia"/>
          <w:kern w:val="0"/>
          <w:sz w:val="22"/>
          <w:szCs w:val="22"/>
        </w:rPr>
        <w:t>研</w:t>
      </w:r>
      <w:proofErr w:type="gramEnd"/>
      <w:r w:rsidR="00BF2E00" w:rsidRPr="00714BF6">
        <w:rPr>
          <w:rFonts w:hAnsi="標楷體" w:cs="新細明體" w:hint="eastAsia"/>
          <w:kern w:val="0"/>
          <w:sz w:val="22"/>
          <w:szCs w:val="22"/>
        </w:rPr>
        <w:t>修類系科所，因就讀對象主要為神職人員，亦不包括在</w:t>
      </w:r>
    </w:p>
    <w:p w:rsidR="003E0D6C" w:rsidRPr="00714BF6" w:rsidRDefault="003E0D6C" w:rsidP="003E0D6C">
      <w:pPr>
        <w:widowControl/>
        <w:spacing w:line="240" w:lineRule="exact"/>
        <w:ind w:left="480" w:hangingChars="218" w:hanging="480"/>
        <w:rPr>
          <w:rFonts w:hAnsi="標楷體" w:cs="新細明體"/>
          <w:kern w:val="0"/>
          <w:sz w:val="22"/>
        </w:rPr>
      </w:pPr>
      <w:r w:rsidRPr="00714BF6">
        <w:rPr>
          <w:rFonts w:hAnsi="標楷體" w:cs="新細明體" w:hint="eastAsia"/>
          <w:kern w:val="0"/>
          <w:sz w:val="22"/>
          <w:szCs w:val="22"/>
        </w:rPr>
        <w:t xml:space="preserve">      </w:t>
      </w:r>
      <w:r w:rsidR="00BF2E00" w:rsidRPr="00714BF6">
        <w:rPr>
          <w:rFonts w:hAnsi="標楷體" w:cs="新細明體" w:hint="eastAsia"/>
          <w:kern w:val="0"/>
          <w:sz w:val="22"/>
          <w:szCs w:val="22"/>
        </w:rPr>
        <w:t>內。</w:t>
      </w:r>
    </w:p>
    <w:p w:rsidR="003E0D6C" w:rsidRPr="00714BF6" w:rsidRDefault="003E0D6C" w:rsidP="003E0D6C">
      <w:pPr>
        <w:widowControl/>
        <w:spacing w:line="240" w:lineRule="exact"/>
        <w:ind w:left="480" w:hangingChars="218" w:hanging="480"/>
        <w:rPr>
          <w:rFonts w:hAnsi="標楷體" w:cs="新細明體"/>
          <w:kern w:val="0"/>
          <w:sz w:val="22"/>
          <w:szCs w:val="22"/>
        </w:rPr>
      </w:pPr>
      <w:r w:rsidRPr="00714BF6">
        <w:rPr>
          <w:rFonts w:hAnsi="標楷體" w:cs="新細明體" w:hint="eastAsia"/>
          <w:kern w:val="0"/>
          <w:sz w:val="22"/>
        </w:rPr>
        <w:t xml:space="preserve">    2.</w:t>
      </w:r>
      <w:r w:rsidR="00BF2E00" w:rsidRPr="00714BF6">
        <w:rPr>
          <w:rFonts w:hAnsi="標楷體" w:cs="新細明體" w:hint="eastAsia"/>
          <w:kern w:val="0"/>
          <w:sz w:val="22"/>
          <w:szCs w:val="22"/>
        </w:rPr>
        <w:t>技專校院之學士班(四技)部分學系開放高中生申請入學，遇有此種情形，查詢系統分</w:t>
      </w:r>
      <w:r w:rsidRPr="00714BF6">
        <w:rPr>
          <w:rFonts w:hAnsi="標楷體" w:cs="新細明體" w:hint="eastAsia"/>
          <w:kern w:val="0"/>
          <w:sz w:val="22"/>
          <w:szCs w:val="22"/>
        </w:rPr>
        <w:t xml:space="preserve"> </w:t>
      </w:r>
    </w:p>
    <w:p w:rsidR="003E0D6C" w:rsidRPr="00714BF6" w:rsidRDefault="003E0D6C" w:rsidP="003E0D6C">
      <w:pPr>
        <w:widowControl/>
        <w:spacing w:line="240" w:lineRule="exact"/>
        <w:ind w:left="480" w:hangingChars="218" w:hanging="480"/>
        <w:rPr>
          <w:rFonts w:hAnsi="標楷體" w:cs="新細明體"/>
          <w:kern w:val="0"/>
          <w:sz w:val="22"/>
          <w:szCs w:val="22"/>
        </w:rPr>
      </w:pPr>
      <w:r w:rsidRPr="00714BF6">
        <w:rPr>
          <w:rFonts w:hAnsi="標楷體" w:cs="新細明體" w:hint="eastAsia"/>
          <w:kern w:val="0"/>
          <w:sz w:val="22"/>
          <w:szCs w:val="22"/>
        </w:rPr>
        <w:t xml:space="preserve">      </w:t>
      </w:r>
      <w:r w:rsidR="00BF2E00" w:rsidRPr="00714BF6">
        <w:rPr>
          <w:rFonts w:hAnsi="標楷體" w:cs="新細明體" w:hint="eastAsia"/>
          <w:kern w:val="0"/>
          <w:sz w:val="22"/>
          <w:szCs w:val="22"/>
        </w:rPr>
        <w:t>別計算「高中生申請入學」及「不含高中生申請入學」2種註冊率，</w:t>
      </w:r>
      <w:proofErr w:type="gramStart"/>
      <w:r w:rsidR="00BF2E00" w:rsidRPr="00714BF6">
        <w:rPr>
          <w:rFonts w:hAnsi="標楷體" w:cs="新細明體" w:hint="eastAsia"/>
          <w:kern w:val="0"/>
          <w:sz w:val="22"/>
          <w:szCs w:val="22"/>
        </w:rPr>
        <w:t>惟本彙總</w:t>
      </w:r>
      <w:proofErr w:type="gramEnd"/>
      <w:r w:rsidR="00BF2E00" w:rsidRPr="00714BF6">
        <w:rPr>
          <w:rFonts w:hAnsi="標楷體" w:cs="新細明體" w:hint="eastAsia"/>
          <w:kern w:val="0"/>
          <w:sz w:val="22"/>
          <w:szCs w:val="22"/>
        </w:rPr>
        <w:t>表係以科</w:t>
      </w:r>
    </w:p>
    <w:p w:rsidR="00BF2E00" w:rsidRPr="00714BF6" w:rsidRDefault="003E0D6C" w:rsidP="003E0D6C">
      <w:pPr>
        <w:widowControl/>
        <w:spacing w:line="240" w:lineRule="exact"/>
        <w:ind w:left="480" w:hangingChars="218" w:hanging="480"/>
        <w:rPr>
          <w:rFonts w:hAnsi="標楷體" w:cs="新細明體"/>
          <w:kern w:val="0"/>
          <w:sz w:val="22"/>
        </w:rPr>
      </w:pPr>
      <w:r w:rsidRPr="00714BF6">
        <w:rPr>
          <w:rFonts w:hAnsi="標楷體" w:cs="新細明體" w:hint="eastAsia"/>
          <w:kern w:val="0"/>
          <w:sz w:val="22"/>
          <w:szCs w:val="22"/>
        </w:rPr>
        <w:t xml:space="preserve">      </w:t>
      </w:r>
      <w:r w:rsidR="00BF2E00" w:rsidRPr="00714BF6">
        <w:rPr>
          <w:rFonts w:hAnsi="標楷體" w:cs="新細明體" w:hint="eastAsia"/>
          <w:kern w:val="0"/>
          <w:sz w:val="22"/>
          <w:szCs w:val="22"/>
        </w:rPr>
        <w:t>系所為單位，</w:t>
      </w:r>
      <w:proofErr w:type="gramStart"/>
      <w:r w:rsidR="00BF2E00" w:rsidRPr="00714BF6">
        <w:rPr>
          <w:rFonts w:hAnsi="標楷體" w:cs="新細明體" w:hint="eastAsia"/>
          <w:kern w:val="0"/>
          <w:sz w:val="22"/>
          <w:szCs w:val="22"/>
        </w:rPr>
        <w:t>故略有</w:t>
      </w:r>
      <w:proofErr w:type="gramEnd"/>
      <w:r w:rsidR="00BF2E00" w:rsidRPr="00714BF6">
        <w:rPr>
          <w:rFonts w:hAnsi="標楷體" w:cs="新細明體" w:hint="eastAsia"/>
          <w:kern w:val="0"/>
          <w:sz w:val="22"/>
          <w:szCs w:val="22"/>
        </w:rPr>
        <w:t>差異。</w:t>
      </w:r>
    </w:p>
    <w:p w:rsidR="00BF2E00" w:rsidRPr="00714BF6" w:rsidRDefault="00BF2E00" w:rsidP="00DB7D1F">
      <w:pPr>
        <w:widowControl/>
        <w:spacing w:line="240" w:lineRule="exact"/>
        <w:rPr>
          <w:rFonts w:hAnsi="標楷體" w:cs="新細明體"/>
          <w:kern w:val="0"/>
          <w:sz w:val="22"/>
        </w:rPr>
      </w:pPr>
      <w:r w:rsidRPr="00714BF6">
        <w:rPr>
          <w:rFonts w:hAnsi="標楷體" w:cs="新細明體" w:hint="eastAsia"/>
          <w:kern w:val="0"/>
          <w:sz w:val="22"/>
          <w:szCs w:val="22"/>
        </w:rPr>
        <w:t>資料來源：教育部大專校院系所特色及新生註冊率查詢系統。(</w:t>
      </w:r>
      <w:hyperlink r:id="rId11" w:history="1">
        <w:r w:rsidRPr="00714BF6">
          <w:rPr>
            <w:rFonts w:hAnsi="標楷體" w:cs="新細明體"/>
            <w:kern w:val="0"/>
            <w:sz w:val="22"/>
            <w:szCs w:val="22"/>
          </w:rPr>
          <w:t>https://stats.moe.gov.tw/enrollweb/</w:t>
        </w:r>
      </w:hyperlink>
      <w:r w:rsidRPr="00714BF6">
        <w:rPr>
          <w:rFonts w:hAnsi="標楷體" w:cs="新細明體" w:hint="eastAsia"/>
          <w:kern w:val="0"/>
          <w:sz w:val="22"/>
          <w:szCs w:val="22"/>
        </w:rPr>
        <w:t>)</w:t>
      </w:r>
    </w:p>
    <w:p w:rsidR="00BF2E00" w:rsidRPr="00714BF6" w:rsidRDefault="00BF2E00" w:rsidP="003A17DF">
      <w:pPr>
        <w:pStyle w:val="3"/>
        <w:numPr>
          <w:ilvl w:val="0"/>
          <w:numId w:val="0"/>
        </w:numPr>
        <w:spacing w:line="240" w:lineRule="exact"/>
        <w:ind w:left="1532"/>
      </w:pPr>
    </w:p>
    <w:p w:rsidR="00BF2E00" w:rsidRPr="00714BF6" w:rsidRDefault="00BF2E00" w:rsidP="000B2F2E">
      <w:pPr>
        <w:pStyle w:val="3"/>
        <w:spacing w:line="480" w:lineRule="exact"/>
      </w:pPr>
      <w:r w:rsidRPr="00714BF6">
        <w:rPr>
          <w:rFonts w:hint="eastAsia"/>
        </w:rPr>
        <w:t>惟據教育部主管人員到院接受詢問時</w:t>
      </w:r>
      <w:r w:rsidR="000D634C" w:rsidRPr="00714BF6">
        <w:rPr>
          <w:rFonts w:hint="eastAsia"/>
        </w:rPr>
        <w:t>稱：</w:t>
      </w:r>
      <w:r w:rsidRPr="00714BF6">
        <w:rPr>
          <w:rFonts w:hint="eastAsia"/>
        </w:rPr>
        <w:t>「本部</w:t>
      </w:r>
      <w:r w:rsidR="000D634C" w:rsidRPr="00714BF6">
        <w:rPr>
          <w:rFonts w:hAnsi="標楷體" w:hint="eastAsia"/>
          <w:szCs w:val="32"/>
        </w:rPr>
        <w:t>自去年開始就著手規劃整合相關計畫。外界對頂大的批評在於，資源</w:t>
      </w:r>
      <w:r w:rsidR="000D634C" w:rsidRPr="00714BF6">
        <w:rPr>
          <w:rFonts w:hAnsi="標楷體" w:hint="eastAsia"/>
          <w:szCs w:val="32"/>
        </w:rPr>
        <w:lastRenderedPageBreak/>
        <w:t>過度集中以及過度重視研究，故『高等教育新世紀藍圖』計畫中『國際卓越特色』大學部分，希望接續頂大計畫，且改善前開不公平現象；教學卓越計畫的部分，也有重複領取的情況，可得到經費補助的學校</w:t>
      </w:r>
      <w:proofErr w:type="gramStart"/>
      <w:r w:rsidR="000D634C" w:rsidRPr="00714BF6">
        <w:rPr>
          <w:rFonts w:hAnsi="標楷體" w:hint="eastAsia"/>
          <w:szCs w:val="32"/>
        </w:rPr>
        <w:t>恆</w:t>
      </w:r>
      <w:proofErr w:type="gramEnd"/>
      <w:r w:rsidR="000D634C" w:rsidRPr="00714BF6">
        <w:rPr>
          <w:rFonts w:hAnsi="標楷體" w:hint="eastAsia"/>
          <w:szCs w:val="32"/>
        </w:rPr>
        <w:t>得到，有些學校卻一直拿不到相關經費。</w:t>
      </w:r>
      <w:r w:rsidRPr="00714BF6">
        <w:rPr>
          <w:rFonts w:hAnsi="標楷體" w:hint="eastAsia"/>
          <w:szCs w:val="32"/>
        </w:rPr>
        <w:t xml:space="preserve">...... </w:t>
      </w:r>
      <w:r w:rsidR="000D634C" w:rsidRPr="00714BF6">
        <w:rPr>
          <w:rFonts w:hAnsi="標楷體" w:hint="eastAsia"/>
          <w:szCs w:val="32"/>
        </w:rPr>
        <w:t>『新世紀高教發展藍圖計畫』已將退場事宜納入考量。該計畫規範，國立學校兩年拿不到經費者，就予合併。私立學校部分，教育部籌碼不多，『私校法』的方向是朝向開放，老實說『私校法』限制多，對於限期不改善者，沒有甚麼具體對策，應該是透過市場機制加以淘汰。換言之，某種程度未拿到補助的學校名單與退場、合併政策</w:t>
      </w:r>
      <w:r w:rsidR="005933B7" w:rsidRPr="00714BF6">
        <w:rPr>
          <w:rFonts w:hAnsi="標楷體" w:hint="eastAsia"/>
          <w:szCs w:val="32"/>
        </w:rPr>
        <w:t>鏈</w:t>
      </w:r>
      <w:r w:rsidR="000D634C" w:rsidRPr="00714BF6">
        <w:rPr>
          <w:rFonts w:hAnsi="標楷體" w:hint="eastAsia"/>
          <w:szCs w:val="32"/>
        </w:rPr>
        <w:t>結</w:t>
      </w:r>
      <w:r w:rsidR="007A2F7D" w:rsidRPr="00714BF6">
        <w:rPr>
          <w:rFonts w:hAnsi="標楷體" w:hint="eastAsia"/>
          <w:szCs w:val="32"/>
        </w:rPr>
        <w:t>。</w:t>
      </w:r>
      <w:r w:rsidRPr="00714BF6">
        <w:rPr>
          <w:rFonts w:hAnsi="標楷體" w:hint="eastAsia"/>
          <w:szCs w:val="32"/>
        </w:rPr>
        <w:t>」等語，顯示過去該部分配教學卓越計畫經費，</w:t>
      </w:r>
      <w:proofErr w:type="gramStart"/>
      <w:r w:rsidRPr="00714BF6">
        <w:rPr>
          <w:rFonts w:hAnsi="標楷體" w:hint="eastAsia"/>
          <w:szCs w:val="32"/>
        </w:rPr>
        <w:t>既令經費</w:t>
      </w:r>
      <w:proofErr w:type="gramEnd"/>
      <w:r w:rsidRPr="00714BF6">
        <w:rPr>
          <w:rFonts w:hAnsi="標楷體" w:hint="eastAsia"/>
          <w:szCs w:val="32"/>
        </w:rPr>
        <w:t>分配過程之公平性有</w:t>
      </w:r>
      <w:proofErr w:type="gramStart"/>
      <w:r w:rsidRPr="00714BF6">
        <w:rPr>
          <w:rFonts w:hAnsi="標楷體" w:hint="eastAsia"/>
          <w:szCs w:val="32"/>
        </w:rPr>
        <w:t>疑</w:t>
      </w:r>
      <w:proofErr w:type="gramEnd"/>
      <w:r w:rsidRPr="00714BF6">
        <w:rPr>
          <w:rFonts w:hAnsi="標楷體" w:hint="eastAsia"/>
          <w:szCs w:val="32"/>
        </w:rPr>
        <w:t>、經費分配結果加劇校際差異，</w:t>
      </w:r>
      <w:r w:rsidR="000D634C" w:rsidRPr="00714BF6">
        <w:rPr>
          <w:rFonts w:hAnsi="標楷體" w:hint="eastAsia"/>
          <w:szCs w:val="32"/>
        </w:rPr>
        <w:t>而</w:t>
      </w:r>
      <w:r w:rsidR="00AB16B5" w:rsidRPr="00714BF6">
        <w:rPr>
          <w:rFonts w:hAnsi="標楷體" w:hint="eastAsia"/>
          <w:szCs w:val="32"/>
        </w:rPr>
        <w:t>整個</w:t>
      </w:r>
      <w:r w:rsidRPr="00714BF6">
        <w:rPr>
          <w:rFonts w:hAnsi="標楷體" w:hint="eastAsia"/>
          <w:szCs w:val="32"/>
        </w:rPr>
        <w:t>政策</w:t>
      </w:r>
      <w:r w:rsidR="000D634C" w:rsidRPr="00714BF6">
        <w:rPr>
          <w:rFonts w:hAnsi="標楷體" w:hint="eastAsia"/>
          <w:szCs w:val="32"/>
        </w:rPr>
        <w:t>又</w:t>
      </w:r>
      <w:r w:rsidRPr="00714BF6">
        <w:rPr>
          <w:rFonts w:hAnsi="標楷體" w:hint="eastAsia"/>
          <w:szCs w:val="32"/>
        </w:rPr>
        <w:t>未</w:t>
      </w:r>
      <w:r w:rsidR="005933B7" w:rsidRPr="00714BF6">
        <w:rPr>
          <w:rFonts w:hAnsi="標楷體" w:hint="eastAsia"/>
          <w:szCs w:val="32"/>
        </w:rPr>
        <w:t>綜合考量</w:t>
      </w:r>
      <w:r w:rsidRPr="00714BF6">
        <w:rPr>
          <w:rFonts w:hAnsi="標楷體" w:hint="eastAsia"/>
          <w:szCs w:val="32"/>
        </w:rPr>
        <w:t>高等教育</w:t>
      </w:r>
      <w:r w:rsidR="00AB16B5" w:rsidRPr="00714BF6">
        <w:rPr>
          <w:rFonts w:hAnsi="標楷體" w:hint="eastAsia"/>
          <w:szCs w:val="32"/>
        </w:rPr>
        <w:t>之總體</w:t>
      </w:r>
      <w:r w:rsidR="005933B7" w:rsidRPr="00714BF6">
        <w:rPr>
          <w:rFonts w:hAnsi="標楷體" w:hint="eastAsia"/>
          <w:szCs w:val="32"/>
        </w:rPr>
        <w:t>生態及未來發展趨勢，顯有</w:t>
      </w:r>
      <w:r w:rsidRPr="00714BF6">
        <w:rPr>
          <w:rFonts w:hAnsi="標楷體" w:hint="eastAsia"/>
          <w:szCs w:val="32"/>
        </w:rPr>
        <w:t>未當。</w:t>
      </w:r>
    </w:p>
    <w:p w:rsidR="00BF2E00" w:rsidRPr="00714BF6" w:rsidRDefault="00BF2E00" w:rsidP="000B2F2E">
      <w:pPr>
        <w:pStyle w:val="3"/>
        <w:spacing w:line="480" w:lineRule="exact"/>
        <w:rPr>
          <w:szCs w:val="48"/>
        </w:rPr>
      </w:pPr>
      <w:r w:rsidRPr="00714BF6">
        <w:rPr>
          <w:rFonts w:hint="eastAsia"/>
        </w:rPr>
        <w:t>綜上，教育部</w:t>
      </w:r>
      <w:r w:rsidRPr="00714BF6">
        <w:rPr>
          <w:rFonts w:hAnsi="標楷體" w:hint="eastAsia"/>
          <w:bCs w:val="0"/>
        </w:rPr>
        <w:t>所訂教學卓越計畫實施要點，</w:t>
      </w:r>
      <w:r w:rsidRPr="00714BF6">
        <w:rPr>
          <w:rFonts w:hint="eastAsia"/>
        </w:rPr>
        <w:t>雖設有補助比率原則，</w:t>
      </w:r>
      <w:proofErr w:type="gramStart"/>
      <w:r w:rsidRPr="00714BF6">
        <w:rPr>
          <w:rFonts w:hint="eastAsia"/>
        </w:rPr>
        <w:t>堪認尚</w:t>
      </w:r>
      <w:proofErr w:type="gramEnd"/>
      <w:r w:rsidRPr="00714BF6">
        <w:rPr>
          <w:rFonts w:hint="eastAsia"/>
        </w:rPr>
        <w:t>有資源集中以促進卓越之理想，然實際</w:t>
      </w:r>
      <w:r w:rsidR="005933B7" w:rsidRPr="00714BF6">
        <w:rPr>
          <w:rFonts w:hint="eastAsia"/>
        </w:rPr>
        <w:t>分配</w:t>
      </w:r>
      <w:r w:rsidRPr="00714BF6">
        <w:rPr>
          <w:rFonts w:hint="eastAsia"/>
        </w:rPr>
        <w:t>核定結果，卻</w:t>
      </w:r>
      <w:r w:rsidR="005933B7" w:rsidRPr="00714BF6">
        <w:rPr>
          <w:rFonts w:hint="eastAsia"/>
        </w:rPr>
        <w:t>往往為鼓勵學校參與，增加</w:t>
      </w:r>
      <w:r w:rsidRPr="00714BF6">
        <w:rPr>
          <w:rFonts w:hint="eastAsia"/>
        </w:rPr>
        <w:t>補助學校數量，此種「雨露均</w:t>
      </w:r>
      <w:proofErr w:type="gramStart"/>
      <w:r w:rsidRPr="00714BF6">
        <w:rPr>
          <w:rFonts w:hint="eastAsia"/>
        </w:rPr>
        <w:t>霑</w:t>
      </w:r>
      <w:proofErr w:type="gramEnd"/>
      <w:r w:rsidRPr="00714BF6">
        <w:rPr>
          <w:rFonts w:hint="eastAsia"/>
        </w:rPr>
        <w:t>」式之分配，難謂符合卓越導向政策之學理及實務需求。其次，教學卓越計畫經費分配過程</w:t>
      </w:r>
      <w:r w:rsidR="00560E65" w:rsidRPr="00714BF6">
        <w:rPr>
          <w:rFonts w:hint="eastAsia"/>
        </w:rPr>
        <w:t>之</w:t>
      </w:r>
      <w:r w:rsidRPr="00714BF6">
        <w:rPr>
          <w:rFonts w:hint="eastAsia"/>
        </w:rPr>
        <w:t>公平性，外界</w:t>
      </w:r>
      <w:r w:rsidR="00560E65" w:rsidRPr="00714BF6">
        <w:rPr>
          <w:rFonts w:hint="eastAsia"/>
        </w:rPr>
        <w:t>屢</w:t>
      </w:r>
      <w:r w:rsidRPr="00714BF6">
        <w:rPr>
          <w:rFonts w:hint="eastAsia"/>
        </w:rPr>
        <w:t>有</w:t>
      </w:r>
      <w:r w:rsidR="005933B7" w:rsidRPr="00714BF6">
        <w:rPr>
          <w:rFonts w:hint="eastAsia"/>
        </w:rPr>
        <w:t>質疑</w:t>
      </w:r>
      <w:r w:rsidRPr="00714BF6">
        <w:rPr>
          <w:rFonts w:hint="eastAsia"/>
        </w:rPr>
        <w:t>，對於未獲得補助之學校而言，應如何確保基</w:t>
      </w:r>
      <w:r w:rsidR="005933B7" w:rsidRPr="00714BF6">
        <w:rPr>
          <w:rFonts w:hint="eastAsia"/>
        </w:rPr>
        <w:t>本教學品質，且該部經費分配方式是否搭配高等教育退場機制等，</w:t>
      </w:r>
      <w:proofErr w:type="gramStart"/>
      <w:r w:rsidR="005933B7" w:rsidRPr="00714BF6">
        <w:rPr>
          <w:rFonts w:hint="eastAsia"/>
        </w:rPr>
        <w:t>均將</w:t>
      </w:r>
      <w:r w:rsidRPr="00714BF6">
        <w:rPr>
          <w:rFonts w:hint="eastAsia"/>
        </w:rPr>
        <w:t>牽動</w:t>
      </w:r>
      <w:proofErr w:type="gramEnd"/>
      <w:r w:rsidRPr="00714BF6">
        <w:rPr>
          <w:rFonts w:hint="eastAsia"/>
        </w:rPr>
        <w:t>高等教育品質與未來發展</w:t>
      </w:r>
      <w:r w:rsidR="00560E65" w:rsidRPr="00714BF6">
        <w:rPr>
          <w:rFonts w:hint="eastAsia"/>
        </w:rPr>
        <w:t>走</w:t>
      </w:r>
      <w:r w:rsidRPr="00714BF6">
        <w:rPr>
          <w:rFonts w:hint="eastAsia"/>
        </w:rPr>
        <w:t>向，</w:t>
      </w:r>
      <w:r w:rsidR="00560E65" w:rsidRPr="00714BF6">
        <w:rPr>
          <w:rFonts w:hAnsi="標楷體" w:hint="eastAsia"/>
          <w:szCs w:val="32"/>
        </w:rPr>
        <w:t>允宜</w:t>
      </w:r>
      <w:r w:rsidR="005933B7" w:rsidRPr="00714BF6">
        <w:rPr>
          <w:rFonts w:hAnsi="標楷體" w:hint="eastAsia"/>
          <w:szCs w:val="32"/>
        </w:rPr>
        <w:t>全盤</w:t>
      </w:r>
      <w:r w:rsidR="00560E65" w:rsidRPr="00714BF6">
        <w:rPr>
          <w:rFonts w:hAnsi="標楷體" w:hint="eastAsia"/>
          <w:szCs w:val="32"/>
        </w:rPr>
        <w:t>考量</w:t>
      </w:r>
      <w:r w:rsidR="005933B7" w:rsidRPr="00714BF6">
        <w:rPr>
          <w:rFonts w:hAnsi="標楷體" w:hint="eastAsia"/>
          <w:szCs w:val="32"/>
        </w:rPr>
        <w:t>、</w:t>
      </w:r>
      <w:r w:rsidR="00560E65" w:rsidRPr="00714BF6">
        <w:rPr>
          <w:rFonts w:hAnsi="標楷體" w:hint="eastAsia"/>
          <w:szCs w:val="32"/>
        </w:rPr>
        <w:t>審慎規劃</w:t>
      </w:r>
      <w:r w:rsidRPr="00714BF6">
        <w:rPr>
          <w:rFonts w:hint="eastAsia"/>
        </w:rPr>
        <w:t>。</w:t>
      </w:r>
    </w:p>
    <w:p w:rsidR="004F0A1F" w:rsidRPr="00714BF6" w:rsidRDefault="004F0A1F" w:rsidP="000B2F2E">
      <w:pPr>
        <w:pStyle w:val="3"/>
        <w:numPr>
          <w:ilvl w:val="0"/>
          <w:numId w:val="0"/>
        </w:numPr>
        <w:spacing w:line="480" w:lineRule="exact"/>
        <w:ind w:left="1532"/>
        <w:rPr>
          <w:szCs w:val="48"/>
        </w:rPr>
      </w:pPr>
    </w:p>
    <w:p w:rsidR="003A7063" w:rsidRPr="00714BF6" w:rsidRDefault="003D05CF" w:rsidP="000B2F2E">
      <w:pPr>
        <w:pStyle w:val="2"/>
        <w:spacing w:line="480" w:lineRule="exact"/>
      </w:pPr>
      <w:bookmarkStart w:id="64" w:name="_Toc457658105"/>
      <w:r w:rsidRPr="00714BF6">
        <w:rPr>
          <w:rFonts w:hAnsi="標楷體" w:hint="eastAsia"/>
          <w:b/>
          <w:kern w:val="0"/>
          <w:szCs w:val="32"/>
        </w:rPr>
        <w:t>教學卓越計畫</w:t>
      </w:r>
      <w:r w:rsidR="00766549" w:rsidRPr="00714BF6">
        <w:rPr>
          <w:rFonts w:hAnsi="標楷體" w:hint="eastAsia"/>
          <w:b/>
          <w:kern w:val="0"/>
          <w:szCs w:val="32"/>
        </w:rPr>
        <w:t>之實施似有誘</w:t>
      </w:r>
      <w:r w:rsidR="00F46B8B" w:rsidRPr="00714BF6">
        <w:rPr>
          <w:rFonts w:hAnsi="標楷體" w:hint="eastAsia"/>
          <w:b/>
          <w:kern w:val="0"/>
          <w:szCs w:val="32"/>
        </w:rPr>
        <w:t>導</w:t>
      </w:r>
      <w:r w:rsidR="003A7063" w:rsidRPr="00714BF6">
        <w:rPr>
          <w:rFonts w:hAnsi="標楷體" w:hint="eastAsia"/>
          <w:b/>
          <w:kern w:val="0"/>
          <w:szCs w:val="32"/>
        </w:rPr>
        <w:t>高等教育</w:t>
      </w:r>
      <w:r w:rsidR="00766549" w:rsidRPr="00714BF6">
        <w:rPr>
          <w:rFonts w:hAnsi="標楷體" w:hint="eastAsia"/>
          <w:b/>
          <w:kern w:val="0"/>
          <w:szCs w:val="32"/>
        </w:rPr>
        <w:t>朝</w:t>
      </w:r>
      <w:r w:rsidR="003A7063" w:rsidRPr="00714BF6">
        <w:rPr>
          <w:rFonts w:hAnsi="標楷體" w:hint="eastAsia"/>
          <w:b/>
          <w:kern w:val="0"/>
          <w:szCs w:val="32"/>
        </w:rPr>
        <w:t>共通性教學制度</w:t>
      </w:r>
      <w:r w:rsidR="00766549" w:rsidRPr="00714BF6">
        <w:rPr>
          <w:rFonts w:hAnsi="標楷體" w:hint="eastAsia"/>
          <w:b/>
          <w:kern w:val="0"/>
          <w:szCs w:val="32"/>
        </w:rPr>
        <w:t>發展</w:t>
      </w:r>
      <w:r w:rsidR="00602AC4" w:rsidRPr="00714BF6">
        <w:rPr>
          <w:rFonts w:hAnsi="標楷體" w:hint="eastAsia"/>
          <w:b/>
          <w:kern w:val="0"/>
          <w:szCs w:val="32"/>
        </w:rPr>
        <w:t>走</w:t>
      </w:r>
      <w:r w:rsidR="00766549" w:rsidRPr="00714BF6">
        <w:rPr>
          <w:rFonts w:hAnsi="標楷體" w:hint="eastAsia"/>
          <w:b/>
          <w:kern w:val="0"/>
          <w:szCs w:val="32"/>
        </w:rPr>
        <w:t>勢</w:t>
      </w:r>
      <w:r w:rsidR="003A7063" w:rsidRPr="00714BF6">
        <w:rPr>
          <w:rFonts w:hAnsi="標楷體" w:hint="eastAsia"/>
          <w:b/>
          <w:kern w:val="0"/>
          <w:szCs w:val="32"/>
        </w:rPr>
        <w:t>，</w:t>
      </w:r>
      <w:r w:rsidR="00766549" w:rsidRPr="00714BF6">
        <w:rPr>
          <w:rFonts w:hAnsi="標楷體" w:hint="eastAsia"/>
          <w:b/>
          <w:kern w:val="0"/>
          <w:szCs w:val="32"/>
        </w:rPr>
        <w:t>不無</w:t>
      </w:r>
      <w:r w:rsidR="00602AC4" w:rsidRPr="00714BF6">
        <w:rPr>
          <w:rFonts w:hAnsi="標楷體" w:hint="eastAsia"/>
          <w:b/>
          <w:kern w:val="0"/>
          <w:szCs w:val="32"/>
        </w:rPr>
        <w:t>各</w:t>
      </w:r>
      <w:r w:rsidR="00755859" w:rsidRPr="00714BF6">
        <w:rPr>
          <w:rFonts w:hAnsi="標楷體" w:hint="eastAsia"/>
          <w:b/>
          <w:kern w:val="0"/>
          <w:szCs w:val="32"/>
        </w:rPr>
        <w:t>校發展日趨同質化之</w:t>
      </w:r>
      <w:r w:rsidR="00766549" w:rsidRPr="00714BF6">
        <w:rPr>
          <w:rFonts w:hAnsi="標楷體" w:hint="eastAsia"/>
          <w:b/>
          <w:kern w:val="0"/>
          <w:szCs w:val="32"/>
        </w:rPr>
        <w:t>虞</w:t>
      </w:r>
      <w:r w:rsidR="00755859" w:rsidRPr="00714BF6">
        <w:rPr>
          <w:rFonts w:hAnsi="標楷體" w:hint="eastAsia"/>
          <w:b/>
          <w:kern w:val="0"/>
          <w:szCs w:val="32"/>
        </w:rPr>
        <w:t>，</w:t>
      </w:r>
      <w:r w:rsidR="00602AC4" w:rsidRPr="00714BF6">
        <w:rPr>
          <w:rFonts w:hAnsi="標楷體" w:hint="eastAsia"/>
          <w:b/>
          <w:kern w:val="0"/>
          <w:szCs w:val="32"/>
        </w:rPr>
        <w:t>致</w:t>
      </w:r>
      <w:r w:rsidR="003A7063" w:rsidRPr="00714BF6">
        <w:rPr>
          <w:rFonts w:hAnsi="標楷體" w:hint="eastAsia"/>
          <w:b/>
          <w:kern w:val="0"/>
          <w:szCs w:val="32"/>
        </w:rPr>
        <w:t>相關教學措施實質效益</w:t>
      </w:r>
      <w:r w:rsidR="00602AC4" w:rsidRPr="00714BF6">
        <w:rPr>
          <w:rFonts w:hAnsi="標楷體" w:hint="eastAsia"/>
          <w:b/>
          <w:kern w:val="0"/>
          <w:szCs w:val="32"/>
        </w:rPr>
        <w:t>與教學品質</w:t>
      </w:r>
      <w:r w:rsidR="00815A93" w:rsidRPr="00714BF6">
        <w:rPr>
          <w:rFonts w:hAnsi="標楷體" w:hint="eastAsia"/>
          <w:b/>
          <w:kern w:val="0"/>
          <w:szCs w:val="32"/>
        </w:rPr>
        <w:t>仍</w:t>
      </w:r>
      <w:r w:rsidR="00602AC4" w:rsidRPr="00714BF6">
        <w:rPr>
          <w:rFonts w:hAnsi="標楷體" w:hint="eastAsia"/>
          <w:b/>
          <w:kern w:val="0"/>
          <w:szCs w:val="32"/>
        </w:rPr>
        <w:t>受質疑，宜加</w:t>
      </w:r>
      <w:r w:rsidR="003A7063" w:rsidRPr="00714BF6">
        <w:rPr>
          <w:rFonts w:hAnsi="標楷體" w:hint="eastAsia"/>
          <w:b/>
          <w:kern w:val="0"/>
          <w:szCs w:val="32"/>
        </w:rPr>
        <w:t>盤</w:t>
      </w:r>
      <w:r w:rsidR="00AB16B5" w:rsidRPr="00714BF6">
        <w:rPr>
          <w:rFonts w:hAnsi="標楷體" w:hint="eastAsia"/>
          <w:b/>
        </w:rPr>
        <w:t>點檢視以確實</w:t>
      </w:r>
      <w:proofErr w:type="gramStart"/>
      <w:r w:rsidR="003A7063" w:rsidRPr="00714BF6">
        <w:rPr>
          <w:rFonts w:hAnsi="標楷體" w:hint="eastAsia"/>
          <w:b/>
        </w:rPr>
        <w:t>釐</w:t>
      </w:r>
      <w:proofErr w:type="gramEnd"/>
      <w:r w:rsidR="003A7063" w:rsidRPr="00714BF6">
        <w:rPr>
          <w:rFonts w:hAnsi="標楷體" w:hint="eastAsia"/>
          <w:b/>
        </w:rPr>
        <w:t>清</w:t>
      </w:r>
      <w:r w:rsidR="00766549" w:rsidRPr="00714BF6">
        <w:rPr>
          <w:rFonts w:hAnsi="標楷體" w:hint="eastAsia"/>
          <w:b/>
        </w:rPr>
        <w:t>提升</w:t>
      </w:r>
      <w:r w:rsidR="003A7063" w:rsidRPr="00714BF6">
        <w:rPr>
          <w:rFonts w:hAnsi="標楷體" w:hint="eastAsia"/>
          <w:b/>
        </w:rPr>
        <w:t>高等教育教學品質之有效策略</w:t>
      </w:r>
      <w:r w:rsidR="00815A93" w:rsidRPr="00714BF6">
        <w:rPr>
          <w:rFonts w:hAnsi="標楷體" w:hint="eastAsia"/>
          <w:b/>
        </w:rPr>
        <w:t>。</w:t>
      </w:r>
      <w:bookmarkEnd w:id="64"/>
    </w:p>
    <w:p w:rsidR="004D1619" w:rsidRPr="00714BF6" w:rsidRDefault="00851537" w:rsidP="000B2F2E">
      <w:pPr>
        <w:pStyle w:val="3"/>
        <w:spacing w:line="480" w:lineRule="exact"/>
      </w:pPr>
      <w:r w:rsidRPr="00714BF6">
        <w:rPr>
          <w:rFonts w:hAnsi="標楷體" w:hint="eastAsia"/>
        </w:rPr>
        <w:t>依據教育部</w:t>
      </w:r>
      <w:r w:rsidR="004D1619" w:rsidRPr="00714BF6">
        <w:rPr>
          <w:rFonts w:hAnsi="標楷體" w:hint="eastAsia"/>
        </w:rPr>
        <w:t>說明，教學卓越計畫各期推動重點有別：</w:t>
      </w:r>
      <w:r w:rsidR="00097F05" w:rsidRPr="00714BF6">
        <w:rPr>
          <w:rFonts w:hAnsi="標楷體" w:hint="eastAsia"/>
        </w:rPr>
        <w:t>第1期</w:t>
      </w:r>
      <w:r w:rsidR="00724B59" w:rsidRPr="00714BF6">
        <w:rPr>
          <w:rFonts w:hAnsi="標楷體" w:hint="eastAsia"/>
        </w:rPr>
        <w:t>計畫</w:t>
      </w:r>
      <w:r w:rsidR="00097F05" w:rsidRPr="00714BF6">
        <w:rPr>
          <w:rFonts w:hAnsi="標楷體" w:hint="eastAsia"/>
        </w:rPr>
        <w:t xml:space="preserve"> </w:t>
      </w:r>
      <w:r w:rsidR="00724B59" w:rsidRPr="00714BF6">
        <w:rPr>
          <w:rFonts w:hAnsi="標楷體" w:hint="eastAsia"/>
        </w:rPr>
        <w:t>(95至97年)係</w:t>
      </w:r>
      <w:r w:rsidR="00724B59" w:rsidRPr="00714BF6">
        <w:rPr>
          <w:rFonts w:hint="eastAsia"/>
        </w:rPr>
        <w:t>以</w:t>
      </w:r>
      <w:r w:rsidR="00724B59" w:rsidRPr="00714BF6">
        <w:t>3</w:t>
      </w:r>
      <w:r w:rsidR="00724B59" w:rsidRPr="00714BF6">
        <w:rPr>
          <w:rFonts w:hint="eastAsia"/>
        </w:rPr>
        <w:t>年</w:t>
      </w:r>
      <w:r w:rsidR="00724B59" w:rsidRPr="00714BF6">
        <w:t>150</w:t>
      </w:r>
      <w:r w:rsidR="00724B59" w:rsidRPr="00714BF6">
        <w:rPr>
          <w:rFonts w:hint="eastAsia"/>
        </w:rPr>
        <w:t>億元之特別預算推動，執行重</w:t>
      </w:r>
      <w:r w:rsidR="00724B59" w:rsidRPr="00714BF6">
        <w:rPr>
          <w:rFonts w:hint="eastAsia"/>
        </w:rPr>
        <w:lastRenderedPageBreak/>
        <w:t>點</w:t>
      </w:r>
      <w:r w:rsidR="00097F05" w:rsidRPr="00714BF6">
        <w:rPr>
          <w:rFonts w:hint="eastAsia"/>
        </w:rPr>
        <w:t>在</w:t>
      </w:r>
      <w:r w:rsidR="00AB16B5" w:rsidRPr="00714BF6">
        <w:rPr>
          <w:rFonts w:hint="eastAsia"/>
        </w:rPr>
        <w:t>於</w:t>
      </w:r>
      <w:r w:rsidR="00724B59" w:rsidRPr="00714BF6">
        <w:rPr>
          <w:rFonts w:hint="eastAsia"/>
        </w:rPr>
        <w:t>引導學校重視教學並</w:t>
      </w:r>
      <w:r w:rsidR="00097F05" w:rsidRPr="00714BF6">
        <w:rPr>
          <w:rFonts w:hint="eastAsia"/>
        </w:rPr>
        <w:t>為</w:t>
      </w:r>
      <w:r w:rsidR="00724B59" w:rsidRPr="00714BF6">
        <w:rPr>
          <w:rFonts w:hint="eastAsia"/>
        </w:rPr>
        <w:t>制度面</w:t>
      </w:r>
      <w:r w:rsidR="00097F05" w:rsidRPr="00714BF6">
        <w:rPr>
          <w:rFonts w:hint="eastAsia"/>
        </w:rPr>
        <w:t>之</w:t>
      </w:r>
      <w:r w:rsidR="00724B59" w:rsidRPr="00714BF6">
        <w:rPr>
          <w:rFonts w:hint="eastAsia"/>
        </w:rPr>
        <w:t>整體調整；</w:t>
      </w:r>
      <w:r w:rsidR="00097F05" w:rsidRPr="00714BF6">
        <w:rPr>
          <w:rFonts w:hAnsi="標楷體" w:hint="eastAsia"/>
        </w:rPr>
        <w:t>第2期</w:t>
      </w:r>
      <w:r w:rsidR="004D1619" w:rsidRPr="00714BF6">
        <w:rPr>
          <w:rFonts w:hint="eastAsia"/>
        </w:rPr>
        <w:t>計畫</w:t>
      </w:r>
      <w:r w:rsidR="00097F05" w:rsidRPr="00714BF6">
        <w:rPr>
          <w:rFonts w:hAnsi="標楷體" w:hint="eastAsia"/>
        </w:rPr>
        <w:t xml:space="preserve"> </w:t>
      </w:r>
      <w:r w:rsidR="00724B59" w:rsidRPr="00714BF6">
        <w:rPr>
          <w:rFonts w:hAnsi="標楷體" w:hint="eastAsia"/>
        </w:rPr>
        <w:t>(98至101年) 始以該部公務預算支應，此期</w:t>
      </w:r>
      <w:r w:rsidR="00724B59" w:rsidRPr="00714BF6">
        <w:rPr>
          <w:rFonts w:hint="eastAsia"/>
        </w:rPr>
        <w:t>著重學生</w:t>
      </w:r>
      <w:r w:rsidR="00AB16B5" w:rsidRPr="00714BF6">
        <w:rPr>
          <w:rFonts w:hint="eastAsia"/>
        </w:rPr>
        <w:t>之</w:t>
      </w:r>
      <w:r w:rsidR="00724B59" w:rsidRPr="00714BF6">
        <w:rPr>
          <w:rFonts w:hint="eastAsia"/>
        </w:rPr>
        <w:t>學習成效，並強化區域教學資源中心之功能；</w:t>
      </w:r>
      <w:r w:rsidR="00097F05" w:rsidRPr="00714BF6">
        <w:rPr>
          <w:rFonts w:hAnsi="標楷體" w:hint="eastAsia"/>
        </w:rPr>
        <w:t>第3期</w:t>
      </w:r>
      <w:r w:rsidR="00097F05" w:rsidRPr="00714BF6">
        <w:rPr>
          <w:rFonts w:hint="eastAsia"/>
        </w:rPr>
        <w:t>計畫</w:t>
      </w:r>
      <w:r w:rsidR="00097F05" w:rsidRPr="00714BF6">
        <w:rPr>
          <w:rFonts w:hAnsi="標楷體" w:hint="eastAsia"/>
        </w:rPr>
        <w:t xml:space="preserve"> </w:t>
      </w:r>
      <w:r w:rsidR="00724B59" w:rsidRPr="00714BF6">
        <w:rPr>
          <w:rFonts w:hAnsi="標楷體" w:hint="eastAsia"/>
        </w:rPr>
        <w:t>(102至105年) 持續協助各大學深化教學品質改善之成果，並發展特色。</w:t>
      </w:r>
      <w:proofErr w:type="gramStart"/>
      <w:r w:rsidR="004D1619" w:rsidRPr="00714BF6">
        <w:rPr>
          <w:rFonts w:hAnsi="標楷體" w:hint="eastAsia"/>
        </w:rPr>
        <w:t>此外，</w:t>
      </w:r>
      <w:proofErr w:type="gramEnd"/>
      <w:r w:rsidR="00BD2459" w:rsidRPr="00714BF6">
        <w:rPr>
          <w:rFonts w:hint="eastAsia"/>
        </w:rPr>
        <w:t>教學卓越</w:t>
      </w:r>
      <w:r w:rsidR="000246AB" w:rsidRPr="00714BF6">
        <w:rPr>
          <w:rFonts w:hint="eastAsia"/>
        </w:rPr>
        <w:t>計畫</w:t>
      </w:r>
      <w:r w:rsidR="003B43D0" w:rsidRPr="00714BF6">
        <w:rPr>
          <w:rFonts w:hint="eastAsia"/>
        </w:rPr>
        <w:t>係以</w:t>
      </w:r>
      <w:r w:rsidR="008E753A" w:rsidRPr="00714BF6">
        <w:rPr>
          <w:rFonts w:hint="eastAsia"/>
        </w:rPr>
        <w:t>設定共同性重點</w:t>
      </w:r>
      <w:r w:rsidR="000246AB" w:rsidRPr="00714BF6">
        <w:rPr>
          <w:rFonts w:hint="eastAsia"/>
        </w:rPr>
        <w:t>並據以納入審核補助基準，逐步引導學校於教學環境、教師教學、學生學習輔導與就業競爭力等面向，發展教學共同制度</w:t>
      </w:r>
      <w:r w:rsidR="008E753A" w:rsidRPr="00714BF6">
        <w:rPr>
          <w:rFonts w:hint="eastAsia"/>
        </w:rPr>
        <w:t>，</w:t>
      </w:r>
      <w:r w:rsidR="000058ED" w:rsidRPr="00714BF6">
        <w:rPr>
          <w:rFonts w:hint="eastAsia"/>
        </w:rPr>
        <w:t>無論一般大學或科技校院，</w:t>
      </w:r>
      <w:r w:rsidR="00D41A86" w:rsidRPr="00714BF6">
        <w:rPr>
          <w:rFonts w:hint="eastAsia"/>
        </w:rPr>
        <w:t>執行重點</w:t>
      </w:r>
      <w:r w:rsidR="000058ED" w:rsidRPr="00714BF6">
        <w:rPr>
          <w:rFonts w:hint="eastAsia"/>
        </w:rPr>
        <w:t>均包含師資、學生與課程3大面向</w:t>
      </w:r>
      <w:r w:rsidR="004D1619" w:rsidRPr="00714BF6">
        <w:rPr>
          <w:rFonts w:hint="eastAsia"/>
        </w:rPr>
        <w:t>。</w:t>
      </w:r>
    </w:p>
    <w:p w:rsidR="00AC700C" w:rsidRPr="00714BF6" w:rsidRDefault="004D1619" w:rsidP="000B2F2E">
      <w:pPr>
        <w:pStyle w:val="3"/>
        <w:spacing w:line="480" w:lineRule="exact"/>
      </w:pPr>
      <w:r w:rsidRPr="00714BF6">
        <w:rPr>
          <w:rFonts w:hint="eastAsia"/>
        </w:rPr>
        <w:t>按</w:t>
      </w:r>
      <w:r w:rsidR="00AC700C" w:rsidRPr="00714BF6">
        <w:rPr>
          <w:rFonts w:hint="eastAsia"/>
        </w:rPr>
        <w:t>教學卓越第3</w:t>
      </w:r>
      <w:r w:rsidRPr="00714BF6">
        <w:rPr>
          <w:rFonts w:hint="eastAsia"/>
        </w:rPr>
        <w:t>期計畫學校績效填報項目</w:t>
      </w:r>
      <w:r w:rsidR="00AC700C" w:rsidRPr="00714BF6">
        <w:rPr>
          <w:rFonts w:hint="eastAsia"/>
        </w:rPr>
        <w:t>，獲得經費補助學校需依計畫設定之共同性指標，發展推動教學措施</w:t>
      </w:r>
      <w:r w:rsidR="00B03BB4" w:rsidRPr="00714BF6">
        <w:rPr>
          <w:rFonts w:hint="eastAsia"/>
        </w:rPr>
        <w:t>，</w:t>
      </w:r>
      <w:r w:rsidR="00B03BB4" w:rsidRPr="00714BF6">
        <w:rPr>
          <w:rFonts w:hAnsi="標楷體" w:hint="eastAsia"/>
        </w:rPr>
        <w:t>諸如：建構大</w:t>
      </w:r>
      <w:proofErr w:type="gramStart"/>
      <w:r w:rsidR="00B03BB4" w:rsidRPr="00714BF6">
        <w:rPr>
          <w:rFonts w:hAnsi="標楷體" w:hint="eastAsia"/>
        </w:rPr>
        <w:t>一</w:t>
      </w:r>
      <w:proofErr w:type="gramEnd"/>
      <w:r w:rsidR="00B03BB4" w:rsidRPr="00714BF6">
        <w:rPr>
          <w:rFonts w:hAnsi="標楷體" w:hint="eastAsia"/>
        </w:rPr>
        <w:t>新生輔導機制、學習成效不佳學生預警機制、全校性基本能力指標、畢業生資料庫及流向追蹤機制、教師教學專業成長之專責單位、新進教師輔導機制、校內外教學社群及績優教師獎勵制度、教師彈性薪資制度、選課機制、課程教材</w:t>
      </w:r>
      <w:r w:rsidR="00AB16B5" w:rsidRPr="00714BF6">
        <w:rPr>
          <w:rFonts w:hAnsi="標楷體" w:hint="eastAsia"/>
        </w:rPr>
        <w:t>上網</w:t>
      </w:r>
      <w:r w:rsidR="00B03BB4" w:rsidRPr="00714BF6">
        <w:rPr>
          <w:rFonts w:hAnsi="標楷體" w:hint="eastAsia"/>
        </w:rPr>
        <w:t>公布、校院系課程評估(外審)改善機制、全英語授課學程、校務專業管理機制、......等</w:t>
      </w:r>
      <w:r w:rsidR="00AC700C" w:rsidRPr="00714BF6">
        <w:rPr>
          <w:rFonts w:hint="eastAsia"/>
        </w:rPr>
        <w:t>。共同性績效目標及其指標</w:t>
      </w:r>
      <w:proofErr w:type="gramStart"/>
      <w:r w:rsidR="00097F05" w:rsidRPr="00714BF6">
        <w:rPr>
          <w:rFonts w:hint="eastAsia"/>
        </w:rPr>
        <w:t>詳</w:t>
      </w:r>
      <w:proofErr w:type="gramEnd"/>
      <w:r w:rsidR="00AC700C" w:rsidRPr="00714BF6">
        <w:rPr>
          <w:rFonts w:hint="eastAsia"/>
        </w:rPr>
        <w:t>如下表：</w:t>
      </w:r>
    </w:p>
    <w:p w:rsidR="00CE4AB1" w:rsidRPr="00714BF6" w:rsidRDefault="009F0333" w:rsidP="000B2F2E">
      <w:pPr>
        <w:pStyle w:val="a1"/>
        <w:spacing w:line="480" w:lineRule="exact"/>
        <w:ind w:left="1985" w:hanging="284"/>
        <w:jc w:val="center"/>
        <w:rPr>
          <w:b/>
        </w:rPr>
      </w:pPr>
      <w:r w:rsidRPr="00714BF6">
        <w:rPr>
          <w:rFonts w:hint="eastAsia"/>
          <w:b/>
        </w:rPr>
        <w:t>教學卓越第3期計畫共同性績效目標及其指標</w:t>
      </w:r>
    </w:p>
    <w:tbl>
      <w:tblPr>
        <w:tblStyle w:val="af7"/>
        <w:tblW w:w="9356" w:type="dxa"/>
        <w:tblInd w:w="108" w:type="dxa"/>
        <w:tblLook w:val="04A0" w:firstRow="1" w:lastRow="0" w:firstColumn="1" w:lastColumn="0" w:noHBand="0" w:noVBand="1"/>
      </w:tblPr>
      <w:tblGrid>
        <w:gridCol w:w="1560"/>
        <w:gridCol w:w="7796"/>
      </w:tblGrid>
      <w:tr w:rsidR="00714BF6" w:rsidRPr="00714BF6" w:rsidTr="004429DB">
        <w:trPr>
          <w:tblHeader/>
        </w:trPr>
        <w:tc>
          <w:tcPr>
            <w:tcW w:w="1560" w:type="dxa"/>
          </w:tcPr>
          <w:p w:rsidR="00AC700C" w:rsidRPr="00714BF6" w:rsidRDefault="00AC700C" w:rsidP="004429DB">
            <w:pPr>
              <w:pStyle w:val="3"/>
              <w:numPr>
                <w:ilvl w:val="0"/>
                <w:numId w:val="0"/>
              </w:numPr>
              <w:spacing w:line="280" w:lineRule="exact"/>
              <w:jc w:val="center"/>
              <w:rPr>
                <w:rFonts w:hAnsi="標楷體"/>
                <w:b/>
                <w:sz w:val="24"/>
                <w:szCs w:val="24"/>
              </w:rPr>
            </w:pPr>
            <w:r w:rsidRPr="00714BF6">
              <w:rPr>
                <w:rFonts w:hAnsi="標楷體" w:hint="eastAsia"/>
                <w:b/>
                <w:sz w:val="24"/>
                <w:szCs w:val="24"/>
              </w:rPr>
              <w:t>共同性績效目標</w:t>
            </w:r>
          </w:p>
        </w:tc>
        <w:tc>
          <w:tcPr>
            <w:tcW w:w="7796" w:type="dxa"/>
          </w:tcPr>
          <w:p w:rsidR="00AC700C" w:rsidRPr="00714BF6" w:rsidRDefault="00AC700C" w:rsidP="003A17DF">
            <w:pPr>
              <w:pStyle w:val="3"/>
              <w:numPr>
                <w:ilvl w:val="0"/>
                <w:numId w:val="0"/>
              </w:numPr>
              <w:spacing w:line="280" w:lineRule="exact"/>
              <w:jc w:val="center"/>
              <w:rPr>
                <w:rFonts w:hAnsi="標楷體"/>
                <w:b/>
                <w:sz w:val="24"/>
                <w:szCs w:val="24"/>
              </w:rPr>
            </w:pPr>
            <w:r w:rsidRPr="00714BF6">
              <w:rPr>
                <w:rFonts w:hAnsi="標楷體" w:hint="eastAsia"/>
                <w:b/>
                <w:sz w:val="24"/>
                <w:szCs w:val="24"/>
              </w:rPr>
              <w:t>指標細項</w:t>
            </w:r>
          </w:p>
        </w:tc>
      </w:tr>
      <w:tr w:rsidR="00714BF6" w:rsidRPr="00714BF6" w:rsidTr="004429DB">
        <w:tc>
          <w:tcPr>
            <w:tcW w:w="1560" w:type="dxa"/>
          </w:tcPr>
          <w:p w:rsidR="00AC700C" w:rsidRPr="00714BF6" w:rsidRDefault="00AC700C" w:rsidP="00317A70">
            <w:pPr>
              <w:pStyle w:val="3"/>
              <w:numPr>
                <w:ilvl w:val="0"/>
                <w:numId w:val="86"/>
              </w:numPr>
              <w:spacing w:line="280" w:lineRule="exact"/>
              <w:ind w:left="176" w:hanging="284"/>
              <w:rPr>
                <w:rFonts w:hAnsi="標楷體"/>
                <w:b/>
                <w:sz w:val="24"/>
                <w:szCs w:val="24"/>
              </w:rPr>
            </w:pPr>
            <w:r w:rsidRPr="00714BF6">
              <w:rPr>
                <w:rFonts w:hAnsi="標楷體" w:hint="eastAsia"/>
                <w:b/>
                <w:sz w:val="24"/>
                <w:szCs w:val="24"/>
              </w:rPr>
              <w:t>建立學生學習輔導機制、提升學生學習成效及就業競爭力</w:t>
            </w:r>
          </w:p>
        </w:tc>
        <w:tc>
          <w:tcPr>
            <w:tcW w:w="7796" w:type="dxa"/>
          </w:tcPr>
          <w:p w:rsidR="00AC700C" w:rsidRPr="00714BF6" w:rsidRDefault="00AC700C" w:rsidP="00317A70">
            <w:pPr>
              <w:pStyle w:val="3"/>
              <w:numPr>
                <w:ilvl w:val="0"/>
                <w:numId w:val="66"/>
              </w:numPr>
              <w:spacing w:line="280" w:lineRule="exact"/>
              <w:rPr>
                <w:rFonts w:hAnsi="標楷體"/>
                <w:sz w:val="24"/>
                <w:szCs w:val="24"/>
              </w:rPr>
            </w:pPr>
            <w:r w:rsidRPr="00714BF6">
              <w:rPr>
                <w:rFonts w:hAnsi="標楷體" w:hint="eastAsia"/>
                <w:sz w:val="24"/>
                <w:szCs w:val="24"/>
              </w:rPr>
              <w:t>建立全校學生(含大</w:t>
            </w:r>
            <w:proofErr w:type="gramStart"/>
            <w:r w:rsidRPr="00714BF6">
              <w:rPr>
                <w:rFonts w:hAnsi="標楷體" w:hint="eastAsia"/>
                <w:sz w:val="24"/>
                <w:szCs w:val="24"/>
              </w:rPr>
              <w:t>一</w:t>
            </w:r>
            <w:proofErr w:type="gramEnd"/>
            <w:r w:rsidRPr="00714BF6">
              <w:rPr>
                <w:rFonts w:hAnsi="標楷體" w:hint="eastAsia"/>
                <w:sz w:val="24"/>
                <w:szCs w:val="24"/>
              </w:rPr>
              <w:t>新生)</w:t>
            </w:r>
            <w:r w:rsidR="006E3969" w:rsidRPr="00714BF6">
              <w:rPr>
                <w:rFonts w:hAnsi="標楷體" w:hint="eastAsia"/>
                <w:sz w:val="24"/>
                <w:szCs w:val="24"/>
              </w:rPr>
              <w:t>輔導機制（含課業學習、生活適應、職</w:t>
            </w:r>
            <w:proofErr w:type="gramStart"/>
            <w:r w:rsidR="006E3969" w:rsidRPr="00714BF6">
              <w:rPr>
                <w:rFonts w:hAnsi="標楷體" w:hint="eastAsia"/>
                <w:sz w:val="24"/>
                <w:szCs w:val="24"/>
              </w:rPr>
              <w:t>涯</w:t>
            </w:r>
            <w:proofErr w:type="gramEnd"/>
            <w:r w:rsidR="006E3969" w:rsidRPr="00714BF6">
              <w:rPr>
                <w:rFonts w:hAnsi="標楷體" w:hint="eastAsia"/>
                <w:sz w:val="24"/>
                <w:szCs w:val="24"/>
              </w:rPr>
              <w:t>探索等面向）；</w:t>
            </w:r>
            <w:r w:rsidRPr="00714BF6">
              <w:rPr>
                <w:rFonts w:hAnsi="標楷體" w:hint="eastAsia"/>
                <w:sz w:val="24"/>
                <w:szCs w:val="24"/>
              </w:rPr>
              <w:t>大</w:t>
            </w:r>
            <w:proofErr w:type="gramStart"/>
            <w:r w:rsidRPr="00714BF6">
              <w:rPr>
                <w:rFonts w:hAnsi="標楷體" w:hint="eastAsia"/>
                <w:sz w:val="24"/>
                <w:szCs w:val="24"/>
              </w:rPr>
              <w:t>一</w:t>
            </w:r>
            <w:proofErr w:type="gramEnd"/>
            <w:r w:rsidRPr="00714BF6">
              <w:rPr>
                <w:rFonts w:hAnsi="標楷體" w:hint="eastAsia"/>
                <w:sz w:val="24"/>
                <w:szCs w:val="24"/>
              </w:rPr>
              <w:t>新生接受輔導比率應達99%以上。</w:t>
            </w:r>
          </w:p>
          <w:p w:rsidR="00AC700C" w:rsidRPr="00714BF6" w:rsidRDefault="00AC700C" w:rsidP="00317A70">
            <w:pPr>
              <w:pStyle w:val="3"/>
              <w:numPr>
                <w:ilvl w:val="0"/>
                <w:numId w:val="66"/>
              </w:numPr>
              <w:spacing w:line="280" w:lineRule="exact"/>
              <w:rPr>
                <w:rFonts w:hAnsi="標楷體"/>
                <w:sz w:val="24"/>
                <w:szCs w:val="24"/>
              </w:rPr>
            </w:pPr>
            <w:r w:rsidRPr="00714BF6">
              <w:rPr>
                <w:rFonts w:hAnsi="標楷體" w:hint="eastAsia"/>
                <w:sz w:val="24"/>
                <w:szCs w:val="24"/>
              </w:rPr>
              <w:t>建置學習成效不佳學生預警、輔導及追蹤措施，其中受到預警學生接受輔導比率應達85%以上，接受輔導後有效提升學習成效者應達90%以上。</w:t>
            </w:r>
          </w:p>
          <w:p w:rsidR="00AC700C" w:rsidRPr="00714BF6" w:rsidRDefault="00AC700C" w:rsidP="00317A70">
            <w:pPr>
              <w:pStyle w:val="3"/>
              <w:numPr>
                <w:ilvl w:val="0"/>
                <w:numId w:val="66"/>
              </w:numPr>
              <w:spacing w:line="280" w:lineRule="exact"/>
              <w:rPr>
                <w:rFonts w:hAnsi="標楷體"/>
                <w:sz w:val="24"/>
                <w:szCs w:val="24"/>
              </w:rPr>
            </w:pPr>
            <w:r w:rsidRPr="00714BF6">
              <w:rPr>
                <w:rFonts w:hAnsi="標楷體" w:hint="eastAsia"/>
                <w:sz w:val="24"/>
                <w:szCs w:val="24"/>
              </w:rPr>
              <w:t>建立整合學習及生(職)</w:t>
            </w:r>
            <w:proofErr w:type="gramStart"/>
            <w:r w:rsidRPr="00714BF6">
              <w:rPr>
                <w:rFonts w:hAnsi="標楷體" w:hint="eastAsia"/>
                <w:sz w:val="24"/>
                <w:szCs w:val="24"/>
              </w:rPr>
              <w:t>涯</w:t>
            </w:r>
            <w:proofErr w:type="gramEnd"/>
            <w:r w:rsidRPr="00714BF6">
              <w:rPr>
                <w:rFonts w:hAnsi="標楷體" w:hint="eastAsia"/>
                <w:sz w:val="24"/>
                <w:szCs w:val="24"/>
              </w:rPr>
              <w:t>輔導制度，如:建立學生學習歷程檔案、生涯發展帳戶、學生學習成效資料庫、生涯輔導諮詢或專業成長制度等。</w:t>
            </w:r>
          </w:p>
          <w:p w:rsidR="00AC700C" w:rsidRPr="00714BF6" w:rsidRDefault="00AC700C" w:rsidP="00317A70">
            <w:pPr>
              <w:pStyle w:val="3"/>
              <w:numPr>
                <w:ilvl w:val="0"/>
                <w:numId w:val="66"/>
              </w:numPr>
              <w:spacing w:line="280" w:lineRule="exact"/>
              <w:rPr>
                <w:rFonts w:hAnsi="標楷體"/>
                <w:sz w:val="24"/>
                <w:szCs w:val="24"/>
              </w:rPr>
            </w:pPr>
            <w:r w:rsidRPr="00714BF6">
              <w:rPr>
                <w:rFonts w:hAnsi="標楷體" w:hint="eastAsia"/>
                <w:sz w:val="24"/>
                <w:szCs w:val="24"/>
              </w:rPr>
              <w:t>提升校</w:t>
            </w:r>
            <w:proofErr w:type="gramStart"/>
            <w:r w:rsidRPr="00714BF6">
              <w:rPr>
                <w:rFonts w:hAnsi="標楷體" w:hint="eastAsia"/>
                <w:sz w:val="24"/>
                <w:szCs w:val="24"/>
              </w:rPr>
              <w:t>內職輔單位</w:t>
            </w:r>
            <w:proofErr w:type="gramEnd"/>
            <w:r w:rsidRPr="00714BF6">
              <w:rPr>
                <w:rFonts w:hAnsi="標楷體" w:hint="eastAsia"/>
                <w:sz w:val="24"/>
                <w:szCs w:val="24"/>
              </w:rPr>
              <w:t>之功能與成效。</w:t>
            </w:r>
          </w:p>
          <w:p w:rsidR="00AC700C" w:rsidRPr="00714BF6" w:rsidRDefault="00AC700C" w:rsidP="00317A70">
            <w:pPr>
              <w:pStyle w:val="3"/>
              <w:numPr>
                <w:ilvl w:val="0"/>
                <w:numId w:val="66"/>
              </w:numPr>
              <w:spacing w:line="280" w:lineRule="exact"/>
              <w:rPr>
                <w:rFonts w:hAnsi="標楷體"/>
                <w:sz w:val="24"/>
                <w:szCs w:val="24"/>
              </w:rPr>
            </w:pPr>
            <w:r w:rsidRPr="00714BF6">
              <w:rPr>
                <w:rFonts w:hAnsi="標楷體" w:hint="eastAsia"/>
                <w:sz w:val="24"/>
                <w:szCs w:val="24"/>
              </w:rPr>
              <w:t>協助學生至業界(見)實習並建立全校性實習輔導機制。</w:t>
            </w:r>
          </w:p>
        </w:tc>
      </w:tr>
      <w:tr w:rsidR="00714BF6" w:rsidRPr="00714BF6" w:rsidTr="004429DB">
        <w:tc>
          <w:tcPr>
            <w:tcW w:w="1560" w:type="dxa"/>
          </w:tcPr>
          <w:p w:rsidR="00AC700C" w:rsidRPr="00714BF6" w:rsidRDefault="00AC700C" w:rsidP="00317A70">
            <w:pPr>
              <w:pStyle w:val="3"/>
              <w:numPr>
                <w:ilvl w:val="0"/>
                <w:numId w:val="86"/>
              </w:numPr>
              <w:spacing w:line="280" w:lineRule="exact"/>
              <w:ind w:left="176" w:hanging="284"/>
              <w:rPr>
                <w:rFonts w:hAnsi="標楷體"/>
                <w:b/>
                <w:sz w:val="24"/>
                <w:szCs w:val="24"/>
              </w:rPr>
            </w:pPr>
            <w:r w:rsidRPr="00714BF6">
              <w:rPr>
                <w:rFonts w:hAnsi="標楷體" w:hint="eastAsia"/>
                <w:b/>
                <w:sz w:val="24"/>
                <w:szCs w:val="24"/>
              </w:rPr>
              <w:t>訂定學生核心能力指標、畢業門檻之檢核機制</w:t>
            </w:r>
          </w:p>
        </w:tc>
        <w:tc>
          <w:tcPr>
            <w:tcW w:w="7796" w:type="dxa"/>
          </w:tcPr>
          <w:p w:rsidR="00AC700C" w:rsidRPr="00714BF6" w:rsidRDefault="006E3969" w:rsidP="00317A70">
            <w:pPr>
              <w:pStyle w:val="3"/>
              <w:numPr>
                <w:ilvl w:val="0"/>
                <w:numId w:val="67"/>
              </w:numPr>
              <w:spacing w:line="280" w:lineRule="exact"/>
              <w:rPr>
                <w:rFonts w:hAnsi="標楷體"/>
                <w:sz w:val="24"/>
                <w:szCs w:val="24"/>
              </w:rPr>
            </w:pPr>
            <w:r w:rsidRPr="00714BF6">
              <w:rPr>
                <w:rFonts w:hAnsi="標楷體" w:hint="eastAsia"/>
                <w:sz w:val="24"/>
                <w:szCs w:val="24"/>
              </w:rPr>
              <w:t>訂定學生英語基本能力指標並逐年提高檢定通過率；</w:t>
            </w:r>
            <w:r w:rsidR="00AC700C" w:rsidRPr="00714BF6">
              <w:rPr>
                <w:rFonts w:hAnsi="標楷體" w:hint="eastAsia"/>
                <w:sz w:val="24"/>
                <w:szCs w:val="24"/>
              </w:rPr>
              <w:t>建立未通過英語檢測學生之輔導機制。</w:t>
            </w:r>
          </w:p>
          <w:p w:rsidR="00AC700C" w:rsidRPr="00714BF6" w:rsidRDefault="00AC700C" w:rsidP="00317A70">
            <w:pPr>
              <w:pStyle w:val="3"/>
              <w:numPr>
                <w:ilvl w:val="0"/>
                <w:numId w:val="67"/>
              </w:numPr>
              <w:spacing w:line="280" w:lineRule="exact"/>
              <w:rPr>
                <w:rFonts w:hAnsi="標楷體"/>
                <w:sz w:val="24"/>
                <w:szCs w:val="24"/>
              </w:rPr>
            </w:pPr>
            <w:r w:rsidRPr="00714BF6">
              <w:rPr>
                <w:rFonts w:hAnsi="標楷體" w:hint="eastAsia"/>
                <w:sz w:val="24"/>
                <w:szCs w:val="24"/>
              </w:rPr>
              <w:t>建立全校性基本能力指標（如語言能力、資訊能力等）及輔導措施。</w:t>
            </w:r>
          </w:p>
          <w:p w:rsidR="00AC700C" w:rsidRPr="00714BF6" w:rsidRDefault="00AC700C" w:rsidP="00317A70">
            <w:pPr>
              <w:pStyle w:val="3"/>
              <w:numPr>
                <w:ilvl w:val="0"/>
                <w:numId w:val="67"/>
              </w:numPr>
              <w:spacing w:line="280" w:lineRule="exact"/>
              <w:rPr>
                <w:rFonts w:hAnsi="標楷體"/>
                <w:sz w:val="24"/>
                <w:szCs w:val="24"/>
              </w:rPr>
            </w:pPr>
            <w:r w:rsidRPr="00714BF6">
              <w:rPr>
                <w:rFonts w:hAnsi="標楷體" w:hint="eastAsia"/>
                <w:sz w:val="24"/>
                <w:szCs w:val="24"/>
              </w:rPr>
              <w:t>提升學生取得專業證照之比例或其他提升就業競爭力之措施。</w:t>
            </w:r>
          </w:p>
          <w:p w:rsidR="00AC700C" w:rsidRPr="00714BF6" w:rsidRDefault="00AC700C" w:rsidP="00317A70">
            <w:pPr>
              <w:pStyle w:val="3"/>
              <w:numPr>
                <w:ilvl w:val="0"/>
                <w:numId w:val="67"/>
              </w:numPr>
              <w:spacing w:line="280" w:lineRule="exact"/>
              <w:rPr>
                <w:rFonts w:hAnsi="標楷體"/>
                <w:sz w:val="24"/>
                <w:szCs w:val="24"/>
              </w:rPr>
            </w:pPr>
            <w:r w:rsidRPr="00714BF6">
              <w:rPr>
                <w:rFonts w:hAnsi="標楷體" w:hint="eastAsia"/>
                <w:sz w:val="24"/>
                <w:szCs w:val="24"/>
              </w:rPr>
              <w:t>訂定全校性畢業條件及各系所畢業門檻。</w:t>
            </w:r>
          </w:p>
        </w:tc>
      </w:tr>
      <w:tr w:rsidR="00714BF6" w:rsidRPr="00714BF6" w:rsidTr="004429DB">
        <w:tc>
          <w:tcPr>
            <w:tcW w:w="1560" w:type="dxa"/>
          </w:tcPr>
          <w:p w:rsidR="00AC700C" w:rsidRPr="00714BF6" w:rsidRDefault="00AC700C" w:rsidP="00317A70">
            <w:pPr>
              <w:pStyle w:val="3"/>
              <w:numPr>
                <w:ilvl w:val="0"/>
                <w:numId w:val="86"/>
              </w:numPr>
              <w:spacing w:line="280" w:lineRule="exact"/>
              <w:ind w:left="176" w:hanging="284"/>
              <w:rPr>
                <w:rFonts w:hAnsi="標楷體"/>
                <w:b/>
                <w:sz w:val="24"/>
                <w:szCs w:val="24"/>
              </w:rPr>
            </w:pPr>
            <w:r w:rsidRPr="00714BF6">
              <w:rPr>
                <w:rFonts w:hAnsi="標楷體" w:hint="eastAsia"/>
                <w:b/>
                <w:sz w:val="24"/>
                <w:szCs w:val="24"/>
              </w:rPr>
              <w:t>建立畢業生資料庫及流向追</w:t>
            </w:r>
            <w:r w:rsidRPr="00714BF6">
              <w:rPr>
                <w:rFonts w:hAnsi="標楷體" w:hint="eastAsia"/>
                <w:b/>
                <w:sz w:val="24"/>
                <w:szCs w:val="24"/>
              </w:rPr>
              <w:lastRenderedPageBreak/>
              <w:t>蹤機制</w:t>
            </w:r>
          </w:p>
        </w:tc>
        <w:tc>
          <w:tcPr>
            <w:tcW w:w="7796" w:type="dxa"/>
          </w:tcPr>
          <w:p w:rsidR="00AC700C" w:rsidRPr="00714BF6" w:rsidRDefault="00AC700C" w:rsidP="00317A70">
            <w:pPr>
              <w:pStyle w:val="3"/>
              <w:numPr>
                <w:ilvl w:val="0"/>
                <w:numId w:val="68"/>
              </w:numPr>
              <w:spacing w:line="280" w:lineRule="exact"/>
              <w:rPr>
                <w:rFonts w:hAnsi="標楷體"/>
                <w:sz w:val="24"/>
                <w:szCs w:val="24"/>
              </w:rPr>
            </w:pPr>
            <w:r w:rsidRPr="00714BF6">
              <w:rPr>
                <w:rFonts w:hAnsi="標楷體" w:hint="eastAsia"/>
                <w:sz w:val="24"/>
                <w:szCs w:val="24"/>
              </w:rPr>
              <w:lastRenderedPageBreak/>
              <w:t>建立全校畢業生資料庫及流向追蹤機制，應至少辦理最近3個學年度畢業生畢業後3年流向資料之更新(至少應回溯至100學年度畢業生) 。</w:t>
            </w:r>
          </w:p>
          <w:p w:rsidR="00AC700C" w:rsidRPr="00714BF6" w:rsidRDefault="00AC700C" w:rsidP="00317A70">
            <w:pPr>
              <w:pStyle w:val="3"/>
              <w:numPr>
                <w:ilvl w:val="0"/>
                <w:numId w:val="68"/>
              </w:numPr>
              <w:spacing w:line="280" w:lineRule="exact"/>
              <w:rPr>
                <w:rFonts w:hAnsi="標楷體"/>
                <w:sz w:val="24"/>
                <w:szCs w:val="24"/>
              </w:rPr>
            </w:pPr>
            <w:r w:rsidRPr="00714BF6">
              <w:rPr>
                <w:rFonts w:hAnsi="標楷體" w:hint="eastAsia"/>
                <w:sz w:val="24"/>
                <w:szCs w:val="24"/>
              </w:rPr>
              <w:lastRenderedPageBreak/>
              <w:t>落實畢業生長期追蹤機制及畢業生表現、就業情形分析，據調整人才培育目標、課程及教學之措施。</w:t>
            </w:r>
          </w:p>
        </w:tc>
      </w:tr>
      <w:tr w:rsidR="00714BF6" w:rsidRPr="00714BF6" w:rsidTr="004429DB">
        <w:tc>
          <w:tcPr>
            <w:tcW w:w="1560" w:type="dxa"/>
          </w:tcPr>
          <w:p w:rsidR="00AC700C" w:rsidRPr="00714BF6" w:rsidRDefault="00AC700C" w:rsidP="00317A70">
            <w:pPr>
              <w:pStyle w:val="3"/>
              <w:numPr>
                <w:ilvl w:val="0"/>
                <w:numId w:val="86"/>
              </w:numPr>
              <w:spacing w:line="280" w:lineRule="exact"/>
              <w:ind w:left="176" w:hanging="284"/>
              <w:rPr>
                <w:rFonts w:hAnsi="標楷體"/>
                <w:b/>
                <w:sz w:val="24"/>
                <w:szCs w:val="24"/>
              </w:rPr>
            </w:pPr>
            <w:r w:rsidRPr="00714BF6">
              <w:rPr>
                <w:rFonts w:hAnsi="標楷體" w:hint="eastAsia"/>
                <w:b/>
                <w:sz w:val="24"/>
                <w:szCs w:val="24"/>
              </w:rPr>
              <w:lastRenderedPageBreak/>
              <w:t>協助教師改善教學方法、提升教學成效之機制</w:t>
            </w:r>
          </w:p>
        </w:tc>
        <w:tc>
          <w:tcPr>
            <w:tcW w:w="7796" w:type="dxa"/>
          </w:tcPr>
          <w:p w:rsidR="00AC700C" w:rsidRPr="00714BF6" w:rsidRDefault="00AC700C" w:rsidP="00317A70">
            <w:pPr>
              <w:pStyle w:val="3"/>
              <w:numPr>
                <w:ilvl w:val="0"/>
                <w:numId w:val="69"/>
              </w:numPr>
              <w:spacing w:line="280" w:lineRule="exact"/>
              <w:rPr>
                <w:rFonts w:hAnsi="標楷體"/>
                <w:sz w:val="24"/>
                <w:szCs w:val="24"/>
              </w:rPr>
            </w:pPr>
            <w:r w:rsidRPr="00714BF6">
              <w:rPr>
                <w:rFonts w:hAnsi="標楷體" w:hint="eastAsia"/>
                <w:sz w:val="24"/>
                <w:szCs w:val="24"/>
              </w:rPr>
              <w:t>成立協助教師教學專業成長之專責單位。</w:t>
            </w:r>
          </w:p>
          <w:p w:rsidR="00AC700C" w:rsidRPr="00714BF6" w:rsidRDefault="00AC700C" w:rsidP="00317A70">
            <w:pPr>
              <w:pStyle w:val="3"/>
              <w:numPr>
                <w:ilvl w:val="0"/>
                <w:numId w:val="69"/>
              </w:numPr>
              <w:spacing w:line="280" w:lineRule="exact"/>
              <w:rPr>
                <w:rFonts w:hAnsi="標楷體"/>
                <w:sz w:val="24"/>
                <w:szCs w:val="24"/>
              </w:rPr>
            </w:pPr>
            <w:r w:rsidRPr="00714BF6">
              <w:rPr>
                <w:rFonts w:hAnsi="標楷體" w:hint="eastAsia"/>
                <w:sz w:val="24"/>
                <w:szCs w:val="24"/>
              </w:rPr>
              <w:t>建立全校性協助教師教學改進與提升教學品質機制及策略。</w:t>
            </w:r>
          </w:p>
          <w:p w:rsidR="00AC700C" w:rsidRPr="00714BF6" w:rsidRDefault="00AC700C" w:rsidP="00317A70">
            <w:pPr>
              <w:pStyle w:val="3"/>
              <w:numPr>
                <w:ilvl w:val="0"/>
                <w:numId w:val="69"/>
              </w:numPr>
              <w:spacing w:line="280" w:lineRule="exact"/>
              <w:rPr>
                <w:rFonts w:hAnsi="標楷體"/>
                <w:sz w:val="24"/>
                <w:szCs w:val="24"/>
              </w:rPr>
            </w:pPr>
            <w:r w:rsidRPr="00714BF6">
              <w:rPr>
                <w:rFonts w:hAnsi="標楷體" w:hint="eastAsia"/>
                <w:sz w:val="24"/>
                <w:szCs w:val="24"/>
              </w:rPr>
              <w:t>協助教師開發數位教材並獲得認證之措施。</w:t>
            </w:r>
          </w:p>
          <w:p w:rsidR="00AC700C" w:rsidRPr="00714BF6" w:rsidRDefault="00AC700C" w:rsidP="00317A70">
            <w:pPr>
              <w:pStyle w:val="3"/>
              <w:numPr>
                <w:ilvl w:val="0"/>
                <w:numId w:val="69"/>
              </w:numPr>
              <w:spacing w:line="280" w:lineRule="exact"/>
              <w:rPr>
                <w:rFonts w:hAnsi="標楷體"/>
                <w:sz w:val="24"/>
                <w:szCs w:val="24"/>
              </w:rPr>
            </w:pPr>
            <w:r w:rsidRPr="00714BF6">
              <w:rPr>
                <w:rFonts w:hAnsi="標楷體" w:hint="eastAsia"/>
                <w:sz w:val="24"/>
                <w:szCs w:val="24"/>
              </w:rPr>
              <w:t>建立新進教師輔導機制，以提升其教學知能並融入校園環境。</w:t>
            </w:r>
          </w:p>
          <w:p w:rsidR="00AC700C" w:rsidRPr="00714BF6" w:rsidRDefault="00AC700C" w:rsidP="00317A70">
            <w:pPr>
              <w:pStyle w:val="3"/>
              <w:numPr>
                <w:ilvl w:val="0"/>
                <w:numId w:val="69"/>
              </w:numPr>
              <w:spacing w:line="280" w:lineRule="exact"/>
              <w:rPr>
                <w:rFonts w:hAnsi="標楷體"/>
                <w:sz w:val="24"/>
                <w:szCs w:val="24"/>
              </w:rPr>
            </w:pPr>
            <w:r w:rsidRPr="00714BF6">
              <w:rPr>
                <w:rFonts w:hAnsi="標楷體" w:hint="eastAsia"/>
                <w:sz w:val="24"/>
                <w:szCs w:val="24"/>
              </w:rPr>
              <w:t>建立鼓勵教師教學研究貼近產業及社會發展趨勢之制度。</w:t>
            </w:r>
          </w:p>
          <w:p w:rsidR="00AC700C" w:rsidRPr="00714BF6" w:rsidRDefault="00AC700C" w:rsidP="00317A70">
            <w:pPr>
              <w:pStyle w:val="3"/>
              <w:numPr>
                <w:ilvl w:val="0"/>
                <w:numId w:val="69"/>
              </w:numPr>
              <w:spacing w:line="280" w:lineRule="exact"/>
              <w:rPr>
                <w:rFonts w:hAnsi="標楷體"/>
                <w:sz w:val="24"/>
                <w:szCs w:val="24"/>
              </w:rPr>
            </w:pPr>
            <w:r w:rsidRPr="00714BF6">
              <w:rPr>
                <w:rFonts w:hAnsi="標楷體" w:hint="eastAsia"/>
                <w:sz w:val="24"/>
                <w:szCs w:val="24"/>
              </w:rPr>
              <w:t>成立校內外教學社群及規劃績優教師獎勵制度。</w:t>
            </w:r>
          </w:p>
          <w:p w:rsidR="00AC700C" w:rsidRPr="00714BF6" w:rsidRDefault="00AC700C" w:rsidP="00317A70">
            <w:pPr>
              <w:pStyle w:val="3"/>
              <w:numPr>
                <w:ilvl w:val="0"/>
                <w:numId w:val="69"/>
              </w:numPr>
              <w:spacing w:line="280" w:lineRule="exact"/>
              <w:rPr>
                <w:rFonts w:hAnsi="標楷體"/>
                <w:sz w:val="24"/>
                <w:szCs w:val="24"/>
              </w:rPr>
            </w:pPr>
            <w:r w:rsidRPr="00714BF6">
              <w:rPr>
                <w:rFonts w:hAnsi="標楷體" w:hint="eastAsia"/>
                <w:sz w:val="24"/>
                <w:szCs w:val="24"/>
              </w:rPr>
              <w:t>訂定教師彈性薪資規定，並定期檢討其評估機制。</w:t>
            </w:r>
          </w:p>
        </w:tc>
      </w:tr>
      <w:tr w:rsidR="00714BF6" w:rsidRPr="00714BF6" w:rsidTr="004429DB">
        <w:tc>
          <w:tcPr>
            <w:tcW w:w="1560" w:type="dxa"/>
          </w:tcPr>
          <w:p w:rsidR="00AC700C" w:rsidRPr="00714BF6" w:rsidRDefault="00AC700C" w:rsidP="00317A70">
            <w:pPr>
              <w:pStyle w:val="3"/>
              <w:numPr>
                <w:ilvl w:val="0"/>
                <w:numId w:val="86"/>
              </w:numPr>
              <w:spacing w:line="280" w:lineRule="exact"/>
              <w:ind w:left="176" w:hanging="284"/>
              <w:rPr>
                <w:rFonts w:hAnsi="標楷體"/>
                <w:b/>
                <w:sz w:val="24"/>
                <w:szCs w:val="24"/>
              </w:rPr>
            </w:pPr>
            <w:r w:rsidRPr="00714BF6">
              <w:rPr>
                <w:rFonts w:hAnsi="標楷體" w:hint="eastAsia"/>
                <w:b/>
                <w:sz w:val="24"/>
                <w:szCs w:val="24"/>
              </w:rPr>
              <w:t>改進教師升等、教學</w:t>
            </w:r>
            <w:r w:rsidRPr="00F346D9">
              <w:rPr>
                <w:rFonts w:hAnsi="標楷體" w:hint="eastAsia"/>
                <w:b/>
                <w:spacing w:val="17"/>
                <w:w w:val="89"/>
                <w:kern w:val="0"/>
                <w:sz w:val="24"/>
                <w:szCs w:val="24"/>
                <w:fitText w:val="909" w:id="1210764547"/>
              </w:rPr>
              <w:t>評鑑</w:t>
            </w:r>
            <w:r w:rsidR="004429DB" w:rsidRPr="00F346D9">
              <w:rPr>
                <w:rFonts w:hAnsi="標楷體" w:hint="eastAsia"/>
                <w:b/>
                <w:spacing w:val="17"/>
                <w:w w:val="89"/>
                <w:kern w:val="0"/>
                <w:sz w:val="24"/>
                <w:szCs w:val="24"/>
                <w:fitText w:val="909" w:id="1210764547"/>
              </w:rPr>
              <w:t>制</w:t>
            </w:r>
            <w:r w:rsidRPr="00F346D9">
              <w:rPr>
                <w:rFonts w:hAnsi="標楷體" w:hint="eastAsia"/>
                <w:b/>
                <w:spacing w:val="-24"/>
                <w:w w:val="89"/>
                <w:kern w:val="0"/>
                <w:sz w:val="24"/>
                <w:szCs w:val="24"/>
                <w:fitText w:val="909" w:id="1210764547"/>
              </w:rPr>
              <w:t>度</w:t>
            </w:r>
            <w:r w:rsidRPr="00714BF6">
              <w:rPr>
                <w:rFonts w:hAnsi="標楷體" w:hint="eastAsia"/>
                <w:b/>
                <w:sz w:val="24"/>
                <w:szCs w:val="24"/>
              </w:rPr>
              <w:t>，落實並鼓勵教師投入教學</w:t>
            </w:r>
          </w:p>
        </w:tc>
        <w:tc>
          <w:tcPr>
            <w:tcW w:w="7796" w:type="dxa"/>
          </w:tcPr>
          <w:p w:rsidR="00AC700C" w:rsidRPr="00714BF6" w:rsidRDefault="00AC700C" w:rsidP="00317A70">
            <w:pPr>
              <w:pStyle w:val="3"/>
              <w:numPr>
                <w:ilvl w:val="0"/>
                <w:numId w:val="73"/>
              </w:numPr>
              <w:spacing w:line="280" w:lineRule="exact"/>
              <w:rPr>
                <w:rFonts w:hAnsi="標楷體"/>
                <w:sz w:val="24"/>
                <w:szCs w:val="24"/>
              </w:rPr>
            </w:pPr>
            <w:r w:rsidRPr="00714BF6">
              <w:rPr>
                <w:rFonts w:hAnsi="標楷體" w:hint="eastAsia"/>
                <w:sz w:val="24"/>
                <w:szCs w:val="24"/>
              </w:rPr>
              <w:t>發展多元教師升等、評鑑制度，據以訂定教師升等、評鑑辦法，評鑑成果應具體反映於教師獎</w:t>
            </w:r>
            <w:proofErr w:type="gramStart"/>
            <w:r w:rsidRPr="00714BF6">
              <w:rPr>
                <w:rFonts w:hAnsi="標楷體" w:hint="eastAsia"/>
                <w:sz w:val="24"/>
                <w:szCs w:val="24"/>
              </w:rPr>
              <w:t>汰</w:t>
            </w:r>
            <w:proofErr w:type="gramEnd"/>
            <w:r w:rsidRPr="00714BF6">
              <w:rPr>
                <w:rFonts w:hAnsi="標楷體" w:hint="eastAsia"/>
                <w:sz w:val="24"/>
                <w:szCs w:val="24"/>
              </w:rPr>
              <w:t>升等。</w:t>
            </w:r>
          </w:p>
          <w:p w:rsidR="00AC700C" w:rsidRPr="00714BF6" w:rsidRDefault="00AC700C" w:rsidP="00317A70">
            <w:pPr>
              <w:pStyle w:val="3"/>
              <w:numPr>
                <w:ilvl w:val="0"/>
                <w:numId w:val="73"/>
              </w:numPr>
              <w:spacing w:line="280" w:lineRule="exact"/>
              <w:rPr>
                <w:rFonts w:hAnsi="標楷體"/>
                <w:sz w:val="24"/>
                <w:szCs w:val="24"/>
              </w:rPr>
            </w:pPr>
            <w:r w:rsidRPr="00714BF6">
              <w:rPr>
                <w:rFonts w:hAnsi="標楷體" w:hint="eastAsia"/>
                <w:sz w:val="24"/>
                <w:szCs w:val="24"/>
              </w:rPr>
              <w:t>訂定教學、課程評鑑辦法並提供激勵措施。</w:t>
            </w:r>
          </w:p>
          <w:p w:rsidR="00AC700C" w:rsidRPr="00714BF6" w:rsidRDefault="00AC700C" w:rsidP="00317A70">
            <w:pPr>
              <w:pStyle w:val="3"/>
              <w:numPr>
                <w:ilvl w:val="0"/>
                <w:numId w:val="73"/>
              </w:numPr>
              <w:spacing w:line="280" w:lineRule="exact"/>
              <w:rPr>
                <w:rFonts w:hAnsi="標楷體"/>
                <w:sz w:val="24"/>
                <w:szCs w:val="24"/>
              </w:rPr>
            </w:pPr>
            <w:r w:rsidRPr="00714BF6">
              <w:rPr>
                <w:rFonts w:hAnsi="標楷體" w:hint="eastAsia"/>
                <w:sz w:val="24"/>
                <w:szCs w:val="24"/>
              </w:rPr>
              <w:t>建立教師評鑑未通過或教學評鑑不佳之教師後續追蹤與輔導機制(評鑑結果不佳及評量結果不佳之教師接受追蹤輔導比率應達100%以上，並有具體之處理改善機制) 。</w:t>
            </w:r>
          </w:p>
        </w:tc>
      </w:tr>
      <w:tr w:rsidR="00714BF6" w:rsidRPr="00714BF6" w:rsidTr="004429DB">
        <w:tc>
          <w:tcPr>
            <w:tcW w:w="1560" w:type="dxa"/>
          </w:tcPr>
          <w:p w:rsidR="00AC700C" w:rsidRPr="00714BF6" w:rsidRDefault="00AC700C" w:rsidP="00317A70">
            <w:pPr>
              <w:pStyle w:val="3"/>
              <w:numPr>
                <w:ilvl w:val="0"/>
                <w:numId w:val="86"/>
              </w:numPr>
              <w:spacing w:line="280" w:lineRule="exact"/>
              <w:ind w:left="176" w:hanging="284"/>
              <w:rPr>
                <w:rFonts w:hAnsi="標楷體"/>
                <w:b/>
                <w:sz w:val="24"/>
                <w:szCs w:val="24"/>
              </w:rPr>
            </w:pPr>
            <w:r w:rsidRPr="00714BF6">
              <w:rPr>
                <w:rFonts w:hAnsi="標楷體" w:hint="eastAsia"/>
                <w:b/>
                <w:sz w:val="24"/>
                <w:szCs w:val="24"/>
              </w:rPr>
              <w:t>建立課程評估、檢討及改善機制</w:t>
            </w:r>
          </w:p>
        </w:tc>
        <w:tc>
          <w:tcPr>
            <w:tcW w:w="7796" w:type="dxa"/>
          </w:tcPr>
          <w:p w:rsidR="00AC700C" w:rsidRPr="00714BF6" w:rsidRDefault="00AC700C" w:rsidP="00317A70">
            <w:pPr>
              <w:pStyle w:val="3"/>
              <w:numPr>
                <w:ilvl w:val="0"/>
                <w:numId w:val="70"/>
              </w:numPr>
              <w:spacing w:line="280" w:lineRule="exact"/>
              <w:rPr>
                <w:rFonts w:hAnsi="標楷體"/>
                <w:sz w:val="24"/>
                <w:szCs w:val="24"/>
              </w:rPr>
            </w:pPr>
            <w:r w:rsidRPr="00714BF6">
              <w:rPr>
                <w:rFonts w:hAnsi="標楷體" w:hint="eastAsia"/>
                <w:sz w:val="24"/>
                <w:szCs w:val="24"/>
              </w:rPr>
              <w:t>建立完善選課機制，協助學生選課及學習規劃。</w:t>
            </w:r>
          </w:p>
          <w:p w:rsidR="00AC700C" w:rsidRPr="00714BF6" w:rsidRDefault="00AC700C" w:rsidP="00317A70">
            <w:pPr>
              <w:pStyle w:val="3"/>
              <w:numPr>
                <w:ilvl w:val="0"/>
                <w:numId w:val="70"/>
              </w:numPr>
              <w:spacing w:line="280" w:lineRule="exact"/>
              <w:rPr>
                <w:rFonts w:hAnsi="標楷體"/>
                <w:sz w:val="24"/>
                <w:szCs w:val="24"/>
              </w:rPr>
            </w:pPr>
            <w:r w:rsidRPr="00714BF6">
              <w:rPr>
                <w:rFonts w:hAnsi="標楷體" w:hint="eastAsia"/>
                <w:sz w:val="24"/>
                <w:szCs w:val="24"/>
              </w:rPr>
              <w:t>全校課程教材應於選課前公布上網，提供學生選課之參考，並提升全校課程教材上網率（</w:t>
            </w:r>
            <w:r w:rsidR="00582225" w:rsidRPr="00714BF6">
              <w:rPr>
                <w:rFonts w:hAnsi="標楷體" w:hint="eastAsia"/>
                <w:sz w:val="24"/>
                <w:szCs w:val="24"/>
              </w:rPr>
              <w:t>每學年</w:t>
            </w:r>
            <w:r w:rsidRPr="00714BF6">
              <w:rPr>
                <w:rFonts w:hAnsi="標楷體" w:hint="eastAsia"/>
                <w:sz w:val="24"/>
                <w:szCs w:val="24"/>
              </w:rPr>
              <w:t>目標值應達80％以上）。</w:t>
            </w:r>
          </w:p>
          <w:p w:rsidR="00AC700C" w:rsidRPr="00714BF6" w:rsidRDefault="00AC700C" w:rsidP="00317A70">
            <w:pPr>
              <w:pStyle w:val="3"/>
              <w:numPr>
                <w:ilvl w:val="0"/>
                <w:numId w:val="70"/>
              </w:numPr>
              <w:spacing w:line="280" w:lineRule="exact"/>
              <w:rPr>
                <w:rFonts w:hAnsi="標楷體"/>
                <w:sz w:val="24"/>
                <w:szCs w:val="24"/>
              </w:rPr>
            </w:pPr>
            <w:r w:rsidRPr="00714BF6">
              <w:rPr>
                <w:rFonts w:hAnsi="標楷體" w:hint="eastAsia"/>
                <w:sz w:val="24"/>
                <w:szCs w:val="24"/>
              </w:rPr>
              <w:t>建立校院系課程評估(外審)改善機制，完善課程教材品質。</w:t>
            </w:r>
          </w:p>
          <w:p w:rsidR="00AC700C" w:rsidRPr="00714BF6" w:rsidRDefault="00AC700C" w:rsidP="00317A70">
            <w:pPr>
              <w:pStyle w:val="3"/>
              <w:numPr>
                <w:ilvl w:val="0"/>
                <w:numId w:val="70"/>
              </w:numPr>
              <w:spacing w:line="280" w:lineRule="exact"/>
              <w:rPr>
                <w:rFonts w:hAnsi="標楷體"/>
                <w:sz w:val="24"/>
                <w:szCs w:val="24"/>
              </w:rPr>
            </w:pPr>
            <w:r w:rsidRPr="00714BF6">
              <w:rPr>
                <w:rFonts w:hAnsi="標楷體" w:hint="eastAsia"/>
                <w:sz w:val="24"/>
                <w:szCs w:val="24"/>
              </w:rPr>
              <w:t>跨領域</w:t>
            </w:r>
            <w:r w:rsidR="006E3969" w:rsidRPr="00714BF6">
              <w:rPr>
                <w:rFonts w:hAnsi="標楷體" w:hint="eastAsia"/>
                <w:sz w:val="24"/>
                <w:szCs w:val="24"/>
              </w:rPr>
              <w:t>學程應有相當修課人數，並有相當比例跨系、院修課學生；選修學生應有相當比例</w:t>
            </w:r>
            <w:r w:rsidRPr="00714BF6">
              <w:rPr>
                <w:rFonts w:hAnsi="標楷體" w:hint="eastAsia"/>
                <w:sz w:val="24"/>
                <w:szCs w:val="24"/>
              </w:rPr>
              <w:t>完成完整學程，取得學位證書；同時定期檢討並訂定明確退場機制。</w:t>
            </w:r>
          </w:p>
          <w:p w:rsidR="00AC700C" w:rsidRPr="00714BF6" w:rsidRDefault="00AC700C" w:rsidP="00317A70">
            <w:pPr>
              <w:pStyle w:val="3"/>
              <w:numPr>
                <w:ilvl w:val="0"/>
                <w:numId w:val="70"/>
              </w:numPr>
              <w:spacing w:line="280" w:lineRule="exact"/>
              <w:rPr>
                <w:rFonts w:hAnsi="標楷體"/>
                <w:sz w:val="24"/>
                <w:szCs w:val="24"/>
              </w:rPr>
            </w:pPr>
            <w:r w:rsidRPr="00714BF6">
              <w:rPr>
                <w:rFonts w:hAnsi="標楷體" w:hint="eastAsia"/>
                <w:sz w:val="24"/>
                <w:szCs w:val="24"/>
              </w:rPr>
              <w:t>落實課程、教學內容與實務、產業、社會發展連結之具體措施。</w:t>
            </w:r>
          </w:p>
        </w:tc>
      </w:tr>
      <w:tr w:rsidR="00714BF6" w:rsidRPr="00714BF6" w:rsidTr="004429DB">
        <w:tc>
          <w:tcPr>
            <w:tcW w:w="1560" w:type="dxa"/>
          </w:tcPr>
          <w:p w:rsidR="00AC700C" w:rsidRPr="00714BF6" w:rsidRDefault="00AC700C" w:rsidP="00317A70">
            <w:pPr>
              <w:pStyle w:val="3"/>
              <w:numPr>
                <w:ilvl w:val="0"/>
                <w:numId w:val="86"/>
              </w:numPr>
              <w:spacing w:line="280" w:lineRule="exact"/>
              <w:ind w:left="176" w:hanging="284"/>
              <w:rPr>
                <w:rFonts w:hAnsi="標楷體"/>
                <w:b/>
                <w:sz w:val="24"/>
                <w:szCs w:val="24"/>
              </w:rPr>
            </w:pPr>
            <w:r w:rsidRPr="00714BF6">
              <w:rPr>
                <w:rFonts w:hAnsi="標楷體" w:hint="eastAsia"/>
                <w:b/>
                <w:sz w:val="24"/>
                <w:szCs w:val="24"/>
              </w:rPr>
              <w:t>國際化課程及加強國際交流</w:t>
            </w:r>
          </w:p>
        </w:tc>
        <w:tc>
          <w:tcPr>
            <w:tcW w:w="7796" w:type="dxa"/>
          </w:tcPr>
          <w:p w:rsidR="00AC700C" w:rsidRPr="00714BF6" w:rsidRDefault="00AC700C" w:rsidP="00317A70">
            <w:pPr>
              <w:pStyle w:val="3"/>
              <w:numPr>
                <w:ilvl w:val="0"/>
                <w:numId w:val="71"/>
              </w:numPr>
              <w:spacing w:line="280" w:lineRule="exact"/>
              <w:rPr>
                <w:rFonts w:hAnsi="標楷體"/>
                <w:sz w:val="24"/>
                <w:szCs w:val="24"/>
              </w:rPr>
            </w:pPr>
            <w:r w:rsidRPr="00714BF6">
              <w:rPr>
                <w:rFonts w:hAnsi="標楷體" w:hint="eastAsia"/>
                <w:sz w:val="24"/>
                <w:szCs w:val="24"/>
              </w:rPr>
              <w:t>全英語授課學程數或課程數較上年度增加。</w:t>
            </w:r>
          </w:p>
          <w:p w:rsidR="00AC700C" w:rsidRPr="00714BF6" w:rsidRDefault="00AC700C" w:rsidP="00317A70">
            <w:pPr>
              <w:pStyle w:val="3"/>
              <w:numPr>
                <w:ilvl w:val="0"/>
                <w:numId w:val="71"/>
              </w:numPr>
              <w:spacing w:line="280" w:lineRule="exact"/>
              <w:rPr>
                <w:rFonts w:hAnsi="標楷體"/>
                <w:sz w:val="24"/>
                <w:szCs w:val="24"/>
              </w:rPr>
            </w:pPr>
            <w:r w:rsidRPr="00714BF6">
              <w:rPr>
                <w:rFonts w:hAnsi="標楷體" w:hint="eastAsia"/>
                <w:sz w:val="24"/>
                <w:szCs w:val="24"/>
              </w:rPr>
              <w:t>招收國際學生人數逐年增加，並充分利用境外生資源。</w:t>
            </w:r>
          </w:p>
          <w:p w:rsidR="00AC700C" w:rsidRPr="00714BF6" w:rsidRDefault="00AC700C" w:rsidP="00317A70">
            <w:pPr>
              <w:pStyle w:val="3"/>
              <w:numPr>
                <w:ilvl w:val="0"/>
                <w:numId w:val="71"/>
              </w:numPr>
              <w:spacing w:line="280" w:lineRule="exact"/>
              <w:rPr>
                <w:rFonts w:hAnsi="標楷體"/>
                <w:sz w:val="24"/>
                <w:szCs w:val="24"/>
              </w:rPr>
            </w:pPr>
            <w:r w:rsidRPr="00714BF6">
              <w:rPr>
                <w:rFonts w:hAnsi="標楷體" w:hint="eastAsia"/>
                <w:sz w:val="24"/>
                <w:szCs w:val="24"/>
              </w:rPr>
              <w:t>與國外大學建立姊妹校或跨國學位合作(雙聯學制) 。</w:t>
            </w:r>
          </w:p>
          <w:p w:rsidR="00AC700C" w:rsidRPr="00714BF6" w:rsidRDefault="00AC700C" w:rsidP="00317A70">
            <w:pPr>
              <w:pStyle w:val="3"/>
              <w:numPr>
                <w:ilvl w:val="0"/>
                <w:numId w:val="71"/>
              </w:numPr>
              <w:spacing w:line="280" w:lineRule="exact"/>
              <w:rPr>
                <w:rFonts w:hAnsi="標楷體"/>
                <w:sz w:val="24"/>
                <w:szCs w:val="24"/>
              </w:rPr>
            </w:pPr>
            <w:r w:rsidRPr="00714BF6">
              <w:rPr>
                <w:rFonts w:hAnsi="標楷體" w:hint="eastAsia"/>
                <w:sz w:val="24"/>
                <w:szCs w:val="24"/>
              </w:rPr>
              <w:t>學生出國進修交流、出席國際會議人數或參加國際競賽獲獎人數逐年增加。</w:t>
            </w:r>
          </w:p>
          <w:p w:rsidR="00AC700C" w:rsidRPr="00714BF6" w:rsidRDefault="00AC700C" w:rsidP="00317A70">
            <w:pPr>
              <w:pStyle w:val="3"/>
              <w:numPr>
                <w:ilvl w:val="0"/>
                <w:numId w:val="71"/>
              </w:numPr>
              <w:spacing w:line="280" w:lineRule="exact"/>
              <w:rPr>
                <w:rFonts w:hAnsi="標楷體"/>
                <w:sz w:val="24"/>
                <w:szCs w:val="24"/>
              </w:rPr>
            </w:pPr>
            <w:r w:rsidRPr="00714BF6">
              <w:rPr>
                <w:rFonts w:hAnsi="標楷體" w:hint="eastAsia"/>
                <w:sz w:val="24"/>
                <w:szCs w:val="24"/>
              </w:rPr>
              <w:t>建置整合英語文學習成效診斷與教學輔導系統，並訂定學生英語能力加值目標並達成設定目標。</w:t>
            </w:r>
          </w:p>
          <w:p w:rsidR="00AC700C" w:rsidRPr="00714BF6" w:rsidRDefault="00AC700C" w:rsidP="00317A70">
            <w:pPr>
              <w:pStyle w:val="3"/>
              <w:numPr>
                <w:ilvl w:val="0"/>
                <w:numId w:val="71"/>
              </w:numPr>
              <w:spacing w:line="280" w:lineRule="exact"/>
              <w:rPr>
                <w:rFonts w:hAnsi="標楷體"/>
                <w:sz w:val="24"/>
                <w:szCs w:val="24"/>
              </w:rPr>
            </w:pPr>
            <w:r w:rsidRPr="00714BF6">
              <w:rPr>
                <w:rFonts w:hAnsi="標楷體" w:hint="eastAsia"/>
                <w:sz w:val="24"/>
                <w:szCs w:val="24"/>
              </w:rPr>
              <w:t>開設英語密集加強班(針對大三及大四學生)。</w:t>
            </w:r>
          </w:p>
          <w:p w:rsidR="00AC700C" w:rsidRPr="00714BF6" w:rsidRDefault="00582225" w:rsidP="00317A70">
            <w:pPr>
              <w:pStyle w:val="3"/>
              <w:numPr>
                <w:ilvl w:val="0"/>
                <w:numId w:val="71"/>
              </w:numPr>
              <w:spacing w:line="280" w:lineRule="exact"/>
              <w:rPr>
                <w:rFonts w:hAnsi="標楷體"/>
                <w:sz w:val="24"/>
                <w:szCs w:val="24"/>
              </w:rPr>
            </w:pPr>
            <w:r w:rsidRPr="00714BF6">
              <w:rPr>
                <w:rFonts w:hAnsi="標楷體" w:hint="eastAsia"/>
                <w:sz w:val="24"/>
                <w:szCs w:val="24"/>
              </w:rPr>
              <w:t>辦理各類語文演講競賽</w:t>
            </w:r>
            <w:r w:rsidR="00AC700C" w:rsidRPr="00714BF6">
              <w:rPr>
                <w:rFonts w:hAnsi="標楷體" w:hint="eastAsia"/>
                <w:sz w:val="24"/>
                <w:szCs w:val="24"/>
              </w:rPr>
              <w:t>及國際校際異國文化體驗活動逐年增加</w:t>
            </w:r>
            <w:r w:rsidR="006E3969" w:rsidRPr="00714BF6">
              <w:rPr>
                <w:rFonts w:hAnsi="標楷體" w:hint="eastAsia"/>
                <w:sz w:val="24"/>
                <w:szCs w:val="24"/>
              </w:rPr>
              <w:t>。</w:t>
            </w:r>
          </w:p>
          <w:p w:rsidR="00AC700C" w:rsidRPr="00714BF6" w:rsidRDefault="00AC700C" w:rsidP="00317A70">
            <w:pPr>
              <w:pStyle w:val="3"/>
              <w:numPr>
                <w:ilvl w:val="0"/>
                <w:numId w:val="71"/>
              </w:numPr>
              <w:spacing w:line="280" w:lineRule="exact"/>
              <w:rPr>
                <w:rFonts w:hAnsi="標楷體"/>
                <w:sz w:val="24"/>
                <w:szCs w:val="24"/>
              </w:rPr>
            </w:pPr>
            <w:r w:rsidRPr="00714BF6">
              <w:rPr>
                <w:rFonts w:hAnsi="標楷體" w:hint="eastAsia"/>
                <w:sz w:val="24"/>
                <w:szCs w:val="24"/>
              </w:rPr>
              <w:t>通識課程中開設國際視野課程數逐年增加。</w:t>
            </w:r>
          </w:p>
          <w:p w:rsidR="00AC700C" w:rsidRPr="00714BF6" w:rsidRDefault="00AC700C" w:rsidP="00317A70">
            <w:pPr>
              <w:pStyle w:val="3"/>
              <w:numPr>
                <w:ilvl w:val="0"/>
                <w:numId w:val="71"/>
              </w:numPr>
              <w:spacing w:line="280" w:lineRule="exact"/>
              <w:rPr>
                <w:rFonts w:hAnsi="標楷體"/>
                <w:sz w:val="24"/>
                <w:szCs w:val="24"/>
              </w:rPr>
            </w:pPr>
            <w:r w:rsidRPr="00714BF6">
              <w:rPr>
                <w:rFonts w:hAnsi="標楷體" w:hint="eastAsia"/>
                <w:sz w:val="24"/>
                <w:szCs w:val="24"/>
              </w:rPr>
              <w:t>鼓勵教師國際視野之養成，且教師使用原文書比例增加。</w:t>
            </w:r>
          </w:p>
          <w:p w:rsidR="00AC700C" w:rsidRPr="00714BF6" w:rsidRDefault="00AC700C" w:rsidP="00317A70">
            <w:pPr>
              <w:pStyle w:val="3"/>
              <w:numPr>
                <w:ilvl w:val="0"/>
                <w:numId w:val="71"/>
              </w:numPr>
              <w:spacing w:line="280" w:lineRule="exact"/>
              <w:rPr>
                <w:rFonts w:hAnsi="標楷體"/>
                <w:sz w:val="24"/>
                <w:szCs w:val="24"/>
              </w:rPr>
            </w:pPr>
            <w:r w:rsidRPr="00714BF6">
              <w:rPr>
                <w:rFonts w:hAnsi="標楷體" w:hint="eastAsia"/>
                <w:sz w:val="24"/>
                <w:szCs w:val="24"/>
              </w:rPr>
              <w:t>實施分級分班教學。</w:t>
            </w:r>
          </w:p>
          <w:p w:rsidR="00AC700C" w:rsidRPr="00714BF6" w:rsidRDefault="00AC700C" w:rsidP="00317A70">
            <w:pPr>
              <w:pStyle w:val="3"/>
              <w:numPr>
                <w:ilvl w:val="0"/>
                <w:numId w:val="71"/>
              </w:numPr>
              <w:spacing w:line="280" w:lineRule="exact"/>
              <w:rPr>
                <w:rFonts w:hAnsi="標楷體"/>
                <w:sz w:val="24"/>
                <w:szCs w:val="24"/>
              </w:rPr>
            </w:pPr>
            <w:r w:rsidRPr="00714BF6">
              <w:rPr>
                <w:rFonts w:hAnsi="標楷體" w:hint="eastAsia"/>
                <w:sz w:val="24"/>
                <w:szCs w:val="24"/>
              </w:rPr>
              <w:t>辦理境內體驗(在地國際化)之學習活動。</w:t>
            </w:r>
          </w:p>
        </w:tc>
      </w:tr>
      <w:tr w:rsidR="00714BF6" w:rsidRPr="00714BF6" w:rsidTr="004429DB">
        <w:tc>
          <w:tcPr>
            <w:tcW w:w="1560" w:type="dxa"/>
          </w:tcPr>
          <w:p w:rsidR="00AC700C" w:rsidRPr="00714BF6" w:rsidRDefault="00AC700C" w:rsidP="00317A70">
            <w:pPr>
              <w:pStyle w:val="3"/>
              <w:numPr>
                <w:ilvl w:val="0"/>
                <w:numId w:val="86"/>
              </w:numPr>
              <w:spacing w:line="280" w:lineRule="exact"/>
              <w:ind w:left="176" w:hanging="284"/>
              <w:rPr>
                <w:rFonts w:hAnsi="標楷體"/>
                <w:b/>
                <w:sz w:val="24"/>
                <w:szCs w:val="24"/>
              </w:rPr>
            </w:pPr>
            <w:r w:rsidRPr="00714BF6">
              <w:rPr>
                <w:rFonts w:hAnsi="標楷體" w:hint="eastAsia"/>
                <w:b/>
                <w:sz w:val="24"/>
                <w:szCs w:val="24"/>
              </w:rPr>
              <w:t>配合政策開設相關課程、教材及轉變教學型態</w:t>
            </w:r>
          </w:p>
        </w:tc>
        <w:tc>
          <w:tcPr>
            <w:tcW w:w="7796" w:type="dxa"/>
          </w:tcPr>
          <w:p w:rsidR="00AC700C" w:rsidRPr="00714BF6" w:rsidRDefault="00AC700C" w:rsidP="00317A70">
            <w:pPr>
              <w:pStyle w:val="3"/>
              <w:numPr>
                <w:ilvl w:val="0"/>
                <w:numId w:val="72"/>
              </w:numPr>
              <w:spacing w:line="280" w:lineRule="exact"/>
              <w:rPr>
                <w:rFonts w:hAnsi="標楷體"/>
                <w:sz w:val="24"/>
                <w:szCs w:val="24"/>
              </w:rPr>
            </w:pPr>
            <w:r w:rsidRPr="00714BF6">
              <w:rPr>
                <w:rFonts w:hAnsi="標楷體" w:hint="eastAsia"/>
                <w:sz w:val="24"/>
                <w:szCs w:val="24"/>
              </w:rPr>
              <w:t>規劃推動工業基礎技術人才培育課程及教材。</w:t>
            </w:r>
          </w:p>
          <w:p w:rsidR="00AC700C" w:rsidRPr="00714BF6" w:rsidRDefault="00AC700C" w:rsidP="00317A70">
            <w:pPr>
              <w:pStyle w:val="3"/>
              <w:numPr>
                <w:ilvl w:val="0"/>
                <w:numId w:val="72"/>
              </w:numPr>
              <w:spacing w:line="280" w:lineRule="exact"/>
              <w:rPr>
                <w:rFonts w:hAnsi="標楷體"/>
                <w:sz w:val="24"/>
                <w:szCs w:val="24"/>
              </w:rPr>
            </w:pPr>
            <w:r w:rsidRPr="00714BF6">
              <w:rPr>
                <w:rFonts w:hAnsi="標楷體" w:hint="eastAsia"/>
                <w:sz w:val="24"/>
                <w:szCs w:val="24"/>
              </w:rPr>
              <w:t>推動專業實務為導向之課程內容及教學型態變革。</w:t>
            </w:r>
          </w:p>
          <w:p w:rsidR="00AC700C" w:rsidRPr="00714BF6" w:rsidRDefault="00AC700C" w:rsidP="00317A70">
            <w:pPr>
              <w:pStyle w:val="3"/>
              <w:numPr>
                <w:ilvl w:val="0"/>
                <w:numId w:val="72"/>
              </w:numPr>
              <w:spacing w:line="280" w:lineRule="exact"/>
              <w:rPr>
                <w:rFonts w:hAnsi="標楷體"/>
                <w:sz w:val="24"/>
                <w:szCs w:val="24"/>
              </w:rPr>
            </w:pPr>
            <w:r w:rsidRPr="00714BF6">
              <w:rPr>
                <w:rFonts w:hAnsi="標楷體" w:hint="eastAsia"/>
                <w:sz w:val="24"/>
                <w:szCs w:val="24"/>
              </w:rPr>
              <w:t>建置校務專業管理機制。</w:t>
            </w:r>
          </w:p>
          <w:p w:rsidR="00AC700C" w:rsidRPr="00714BF6" w:rsidRDefault="00AC700C" w:rsidP="00317A70">
            <w:pPr>
              <w:pStyle w:val="3"/>
              <w:numPr>
                <w:ilvl w:val="0"/>
                <w:numId w:val="72"/>
              </w:numPr>
              <w:spacing w:line="280" w:lineRule="exact"/>
              <w:rPr>
                <w:rFonts w:hAnsi="標楷體"/>
                <w:sz w:val="24"/>
                <w:szCs w:val="24"/>
              </w:rPr>
            </w:pPr>
            <w:r w:rsidRPr="00714BF6">
              <w:rPr>
                <w:rFonts w:hAnsi="標楷體" w:hint="eastAsia"/>
                <w:sz w:val="24"/>
                <w:szCs w:val="24"/>
              </w:rPr>
              <w:t>配合學習型態改變，設計教學創新模式。</w:t>
            </w:r>
          </w:p>
          <w:p w:rsidR="00AC700C" w:rsidRPr="00714BF6" w:rsidRDefault="00AC700C" w:rsidP="00317A70">
            <w:pPr>
              <w:pStyle w:val="3"/>
              <w:numPr>
                <w:ilvl w:val="0"/>
                <w:numId w:val="72"/>
              </w:numPr>
              <w:spacing w:line="280" w:lineRule="exact"/>
              <w:rPr>
                <w:rFonts w:hAnsi="標楷體"/>
                <w:sz w:val="24"/>
                <w:szCs w:val="24"/>
              </w:rPr>
            </w:pPr>
            <w:r w:rsidRPr="00714BF6">
              <w:rPr>
                <w:rFonts w:hAnsi="標楷體" w:hint="eastAsia"/>
                <w:sz w:val="24"/>
                <w:szCs w:val="24"/>
              </w:rPr>
              <w:t>開設配合政策推動之重點議題課程，如性別平等教育、法治教育、人權教育、服務學習、品德教育、藝術與美感教育等相關課程及教材研發。</w:t>
            </w:r>
          </w:p>
        </w:tc>
      </w:tr>
    </w:tbl>
    <w:p w:rsidR="00AC700C" w:rsidRPr="00714BF6" w:rsidRDefault="004D1619" w:rsidP="003A17DF">
      <w:pPr>
        <w:pStyle w:val="3"/>
        <w:numPr>
          <w:ilvl w:val="0"/>
          <w:numId w:val="0"/>
        </w:numPr>
        <w:spacing w:line="240" w:lineRule="exact"/>
        <w:rPr>
          <w:sz w:val="24"/>
          <w:szCs w:val="24"/>
        </w:rPr>
      </w:pPr>
      <w:r w:rsidRPr="00714BF6">
        <w:rPr>
          <w:rFonts w:hint="eastAsia"/>
          <w:sz w:val="24"/>
          <w:szCs w:val="24"/>
        </w:rPr>
        <w:t>資料來源：本院依據教育部查復資料</w:t>
      </w:r>
      <w:proofErr w:type="gramStart"/>
      <w:r w:rsidRPr="00714BF6">
        <w:rPr>
          <w:rFonts w:hint="eastAsia"/>
          <w:sz w:val="24"/>
          <w:szCs w:val="24"/>
        </w:rPr>
        <w:t>彙</w:t>
      </w:r>
      <w:r w:rsidR="00AC700C" w:rsidRPr="00714BF6">
        <w:rPr>
          <w:rFonts w:hint="eastAsia"/>
          <w:sz w:val="24"/>
          <w:szCs w:val="24"/>
        </w:rPr>
        <w:t>整製表</w:t>
      </w:r>
      <w:proofErr w:type="gramEnd"/>
      <w:r w:rsidR="00AC700C" w:rsidRPr="00714BF6">
        <w:rPr>
          <w:rFonts w:hint="eastAsia"/>
          <w:sz w:val="24"/>
          <w:szCs w:val="24"/>
        </w:rPr>
        <w:t>。</w:t>
      </w:r>
    </w:p>
    <w:p w:rsidR="0023237E" w:rsidRPr="00714BF6" w:rsidRDefault="0023237E" w:rsidP="003A17DF">
      <w:pPr>
        <w:pStyle w:val="3"/>
        <w:numPr>
          <w:ilvl w:val="0"/>
          <w:numId w:val="0"/>
        </w:numPr>
        <w:spacing w:line="240" w:lineRule="exact"/>
        <w:rPr>
          <w:sz w:val="24"/>
          <w:szCs w:val="24"/>
        </w:rPr>
      </w:pPr>
    </w:p>
    <w:p w:rsidR="00582225" w:rsidRPr="00714BF6" w:rsidRDefault="00451563" w:rsidP="000B2F2E">
      <w:pPr>
        <w:pStyle w:val="3"/>
        <w:spacing w:line="480" w:lineRule="exact"/>
        <w:rPr>
          <w:rFonts w:hAnsi="標楷體"/>
        </w:rPr>
      </w:pPr>
      <w:proofErr w:type="gramStart"/>
      <w:r w:rsidRPr="00714BF6">
        <w:rPr>
          <w:rFonts w:hAnsi="標楷體" w:hint="eastAsia"/>
          <w:szCs w:val="32"/>
        </w:rPr>
        <w:t>惟</w:t>
      </w:r>
      <w:proofErr w:type="gramEnd"/>
      <w:r w:rsidRPr="00714BF6">
        <w:rPr>
          <w:rFonts w:hAnsi="標楷體" w:hint="eastAsia"/>
        </w:rPr>
        <w:t>審視上述共同性績效目標及其指標，實</w:t>
      </w:r>
      <w:r w:rsidR="00C22FD3" w:rsidRPr="00714BF6">
        <w:rPr>
          <w:rFonts w:hAnsi="標楷體" w:hint="eastAsia"/>
        </w:rPr>
        <w:t>屬</w:t>
      </w:r>
      <w:r w:rsidRPr="00714BF6">
        <w:rPr>
          <w:rFonts w:hAnsi="標楷體" w:hint="eastAsia"/>
        </w:rPr>
        <w:t>學校教學工作之技術性內容</w:t>
      </w:r>
      <w:r w:rsidR="00C22FD3" w:rsidRPr="00714BF6">
        <w:rPr>
          <w:rFonts w:hAnsi="標楷體" w:hint="eastAsia"/>
        </w:rPr>
        <w:t>，</w:t>
      </w:r>
      <w:r w:rsidR="005938D4" w:rsidRPr="00714BF6">
        <w:rPr>
          <w:rFonts w:hAnsi="標楷體" w:hint="eastAsia"/>
        </w:rPr>
        <w:t>復有本院諮詢專家學者</w:t>
      </w:r>
      <w:r w:rsidR="00DC7913" w:rsidRPr="00714BF6">
        <w:rPr>
          <w:rFonts w:hAnsi="標楷體" w:hint="eastAsia"/>
        </w:rPr>
        <w:t>表示：</w:t>
      </w:r>
      <w:r w:rsidR="005938D4" w:rsidRPr="00714BF6">
        <w:rPr>
          <w:rFonts w:hAnsi="標楷體" w:hint="eastAsia"/>
        </w:rPr>
        <w:t>「拿</w:t>
      </w:r>
      <w:proofErr w:type="gramStart"/>
      <w:r w:rsidR="005938D4" w:rsidRPr="00714BF6">
        <w:rPr>
          <w:rFonts w:hAnsi="標楷體" w:hint="eastAsia"/>
        </w:rPr>
        <w:t>到教卓經費</w:t>
      </w:r>
      <w:proofErr w:type="gramEnd"/>
      <w:r w:rsidR="005938D4" w:rsidRPr="00714BF6">
        <w:rPr>
          <w:rFonts w:hAnsi="標楷體" w:hint="eastAsia"/>
        </w:rPr>
        <w:t>的學校，幾乎都是把教學卓越當作最高指導與目標</w:t>
      </w:r>
      <w:r w:rsidR="006809D4">
        <w:rPr>
          <w:rFonts w:hAnsi="標楷體" w:hint="eastAsia"/>
        </w:rPr>
        <w:t>。</w:t>
      </w:r>
      <w:r w:rsidR="005938D4" w:rsidRPr="00714BF6">
        <w:rPr>
          <w:rFonts w:hAnsi="標楷體" w:hint="eastAsia"/>
        </w:rPr>
        <w:t>」</w:t>
      </w:r>
      <w:r w:rsidR="001F27AF" w:rsidRPr="00714BF6">
        <w:rPr>
          <w:rFonts w:hAnsi="標楷體" w:hint="eastAsia"/>
        </w:rPr>
        <w:t>、</w:t>
      </w:r>
      <w:r w:rsidR="001F27AF" w:rsidRPr="00714BF6">
        <w:rPr>
          <w:rFonts w:hAnsi="標楷體" w:hint="eastAsia"/>
        </w:rPr>
        <w:lastRenderedPageBreak/>
        <w:t>「</w:t>
      </w:r>
      <w:r w:rsidR="001F27AF" w:rsidRPr="00714BF6">
        <w:rPr>
          <w:rFonts w:hAnsi="標楷體" w:hint="eastAsia"/>
          <w:szCs w:val="32"/>
        </w:rPr>
        <w:t>只有學校有意願、有動力時，做的事情才會更有想像力。很多好的事情，變成一種要求時，導致所有學校像穿制服般，好事都要變成壞事了。教育部對學校放鬆管制的概念仍不足，這不會使學校變得卓越。教學卓越計畫常因為審查委員的一句話，修改技術性做法，結果變成框</w:t>
      </w:r>
      <w:r w:rsidR="00DC7913" w:rsidRPr="00714BF6">
        <w:rPr>
          <w:rFonts w:hAnsi="標楷體" w:hint="eastAsia"/>
          <w:szCs w:val="32"/>
        </w:rPr>
        <w:t>框</w:t>
      </w:r>
      <w:r w:rsidR="001F27AF" w:rsidRPr="00714BF6">
        <w:rPr>
          <w:rFonts w:hAnsi="標楷體" w:hint="eastAsia"/>
          <w:szCs w:val="32"/>
        </w:rPr>
        <w:t>很多。教學沒有內化，動力沒有產生的話，</w:t>
      </w:r>
      <w:proofErr w:type="gramStart"/>
      <w:r w:rsidR="001F27AF" w:rsidRPr="00714BF6">
        <w:rPr>
          <w:rFonts w:hAnsi="標楷體" w:hint="eastAsia"/>
          <w:szCs w:val="32"/>
        </w:rPr>
        <w:t>教卓的</w:t>
      </w:r>
      <w:proofErr w:type="gramEnd"/>
      <w:r w:rsidR="001F27AF" w:rsidRPr="00714BF6">
        <w:rPr>
          <w:rFonts w:hAnsi="標楷體" w:hint="eastAsia"/>
          <w:szCs w:val="32"/>
        </w:rPr>
        <w:t>錢就等於沒花在刀口上</w:t>
      </w:r>
      <w:r w:rsidR="004429DB" w:rsidRPr="00714BF6">
        <w:rPr>
          <w:rFonts w:hAnsi="標楷體" w:hint="eastAsia"/>
          <w:szCs w:val="32"/>
        </w:rPr>
        <w:t>。</w:t>
      </w:r>
      <w:r w:rsidR="001F27AF" w:rsidRPr="00714BF6">
        <w:rPr>
          <w:rFonts w:hAnsi="標楷體" w:hint="eastAsia"/>
        </w:rPr>
        <w:t>」</w:t>
      </w:r>
      <w:r w:rsidR="00B10B5C" w:rsidRPr="00714BF6">
        <w:rPr>
          <w:rFonts w:hAnsi="標楷體" w:hint="eastAsia"/>
        </w:rPr>
        <w:t>等語</w:t>
      </w:r>
      <w:r w:rsidR="005723CA" w:rsidRPr="00714BF6">
        <w:rPr>
          <w:rFonts w:hAnsi="標楷體" w:hint="eastAsia"/>
        </w:rPr>
        <w:t>；以及，赴南區教學資源中心座談時，與會者稱</w:t>
      </w:r>
      <w:r w:rsidR="006809D4">
        <w:rPr>
          <w:rFonts w:hAnsi="標楷體" w:hint="eastAsia"/>
        </w:rPr>
        <w:t>：</w:t>
      </w:r>
      <w:r w:rsidR="005723CA" w:rsidRPr="00714BF6">
        <w:rPr>
          <w:rFonts w:hAnsi="標楷體" w:hint="eastAsia"/>
        </w:rPr>
        <w:t>「</w:t>
      </w:r>
      <w:r w:rsidR="004429DB" w:rsidRPr="00714BF6">
        <w:rPr>
          <w:rFonts w:hint="eastAsia"/>
        </w:rPr>
        <w:t>學校都是加法概念，愈做愈多，最後造成學校負擔且</w:t>
      </w:r>
      <w:r w:rsidR="005723CA" w:rsidRPr="00714BF6">
        <w:rPr>
          <w:rFonts w:hint="eastAsia"/>
        </w:rPr>
        <w:t>難以聚焦，所以應以形成特色為重</w:t>
      </w:r>
      <w:r w:rsidR="004429DB" w:rsidRPr="00714BF6">
        <w:rPr>
          <w:rFonts w:hint="eastAsia"/>
        </w:rPr>
        <w:t>。</w:t>
      </w:r>
      <w:r w:rsidR="005723CA" w:rsidRPr="00714BF6">
        <w:rPr>
          <w:rFonts w:hint="eastAsia"/>
        </w:rPr>
        <w:t>」等語，</w:t>
      </w:r>
      <w:r w:rsidR="00B10B5C" w:rsidRPr="00714BF6">
        <w:rPr>
          <w:rFonts w:hAnsi="標楷體" w:hint="eastAsia"/>
        </w:rPr>
        <w:t>均</w:t>
      </w:r>
      <w:r w:rsidR="00DC7913" w:rsidRPr="00714BF6">
        <w:rPr>
          <w:rFonts w:hAnsi="標楷體" w:hint="eastAsia"/>
        </w:rPr>
        <w:t>透露</w:t>
      </w:r>
      <w:r w:rsidR="005938D4" w:rsidRPr="00714BF6">
        <w:rPr>
          <w:rFonts w:hAnsi="標楷體" w:hint="eastAsia"/>
        </w:rPr>
        <w:t>教學卓越</w:t>
      </w:r>
      <w:r w:rsidR="00582225" w:rsidRPr="00714BF6">
        <w:rPr>
          <w:rFonts w:hAnsi="標楷體" w:hint="eastAsia"/>
        </w:rPr>
        <w:t>計畫雖訂有學校發展教學特色空間，然實務上，學校深受計畫指標引導</w:t>
      </w:r>
      <w:r w:rsidR="00AB16B5" w:rsidRPr="00714BF6">
        <w:rPr>
          <w:rFonts w:hAnsi="標楷體" w:hint="eastAsia"/>
        </w:rPr>
        <w:t>，為爭取補助經費，彼此仿</w:t>
      </w:r>
      <w:proofErr w:type="gramStart"/>
      <w:r w:rsidR="00AB16B5" w:rsidRPr="00714BF6">
        <w:rPr>
          <w:rFonts w:hAnsi="標楷體" w:hint="eastAsia"/>
        </w:rPr>
        <w:t>傚</w:t>
      </w:r>
      <w:proofErr w:type="gramEnd"/>
      <w:r w:rsidR="001F27AF" w:rsidRPr="00714BF6">
        <w:rPr>
          <w:rFonts w:hAnsi="標楷體" w:hint="eastAsia"/>
        </w:rPr>
        <w:t>教學措施，致學校間</w:t>
      </w:r>
      <w:proofErr w:type="gramStart"/>
      <w:r w:rsidR="001F27AF" w:rsidRPr="00714BF6">
        <w:rPr>
          <w:rFonts w:hAnsi="標楷體" w:hint="eastAsia"/>
        </w:rPr>
        <w:t>日益趨同</w:t>
      </w:r>
      <w:proofErr w:type="gramEnd"/>
      <w:r w:rsidR="00755859" w:rsidRPr="00714BF6">
        <w:rPr>
          <w:rFonts w:hAnsi="標楷體" w:hint="eastAsia"/>
        </w:rPr>
        <w:t>，</w:t>
      </w:r>
      <w:r w:rsidR="009D3E3C" w:rsidRPr="00714BF6">
        <w:rPr>
          <w:rFonts w:hAnsi="標楷體" w:hint="eastAsia"/>
        </w:rPr>
        <w:t>教學特色難</w:t>
      </w:r>
      <w:r w:rsidR="00A816D0" w:rsidRPr="00714BF6">
        <w:rPr>
          <w:rFonts w:hAnsi="標楷體" w:hint="eastAsia"/>
        </w:rPr>
        <w:t>以</w:t>
      </w:r>
      <w:r w:rsidR="009D3E3C" w:rsidRPr="00714BF6">
        <w:rPr>
          <w:rFonts w:hAnsi="標楷體" w:hint="eastAsia"/>
        </w:rPr>
        <w:t>彰顯</w:t>
      </w:r>
      <w:r w:rsidR="00A816D0" w:rsidRPr="00714BF6">
        <w:rPr>
          <w:rFonts w:hAnsi="標楷體" w:hint="eastAsia"/>
        </w:rPr>
        <w:t>，實非</w:t>
      </w:r>
      <w:r w:rsidR="00DC7913" w:rsidRPr="00714BF6">
        <w:rPr>
          <w:rFonts w:hAnsi="標楷體" w:hint="eastAsia"/>
        </w:rPr>
        <w:t>計畫推動初衷，自亦不為</w:t>
      </w:r>
      <w:r w:rsidR="00A816D0" w:rsidRPr="00714BF6">
        <w:rPr>
          <w:rFonts w:hAnsi="標楷體" w:hint="eastAsia"/>
        </w:rPr>
        <w:t>各界</w:t>
      </w:r>
      <w:r w:rsidR="00DC7913" w:rsidRPr="00714BF6">
        <w:rPr>
          <w:rFonts w:hAnsi="標楷體" w:hint="eastAsia"/>
        </w:rPr>
        <w:t>所</w:t>
      </w:r>
      <w:r w:rsidR="00A816D0" w:rsidRPr="00714BF6">
        <w:rPr>
          <w:rFonts w:hAnsi="標楷體" w:hint="eastAsia"/>
        </w:rPr>
        <w:t>樂見</w:t>
      </w:r>
      <w:r w:rsidR="009D3E3C" w:rsidRPr="00714BF6">
        <w:rPr>
          <w:rFonts w:hAnsi="標楷體" w:hint="eastAsia"/>
        </w:rPr>
        <w:t>。</w:t>
      </w:r>
    </w:p>
    <w:p w:rsidR="0055058D" w:rsidRPr="00714BF6" w:rsidRDefault="0055058D" w:rsidP="000B2F2E">
      <w:pPr>
        <w:pStyle w:val="3"/>
        <w:spacing w:line="480" w:lineRule="exact"/>
        <w:rPr>
          <w:rFonts w:hAnsi="標楷體"/>
        </w:rPr>
      </w:pPr>
      <w:proofErr w:type="gramStart"/>
      <w:r w:rsidRPr="00714BF6">
        <w:rPr>
          <w:rFonts w:hAnsi="標楷體" w:hint="eastAsia"/>
        </w:rPr>
        <w:t>況</w:t>
      </w:r>
      <w:proofErr w:type="gramEnd"/>
      <w:r w:rsidRPr="00714BF6">
        <w:rPr>
          <w:rFonts w:hAnsi="標楷體" w:hint="eastAsia"/>
        </w:rPr>
        <w:t>以教學卓越計畫所設計之共同性指標，引導發展之教學建制，仍有實質效益不佳之情況，允宜</w:t>
      </w:r>
      <w:proofErr w:type="gramStart"/>
      <w:r w:rsidRPr="00714BF6">
        <w:rPr>
          <w:rFonts w:hAnsi="標楷體" w:hint="eastAsia"/>
        </w:rPr>
        <w:t>併</w:t>
      </w:r>
      <w:proofErr w:type="gramEnd"/>
      <w:r w:rsidRPr="00714BF6">
        <w:rPr>
          <w:rFonts w:hAnsi="標楷體" w:hint="eastAsia"/>
        </w:rPr>
        <w:t>同檢討改善。茲</w:t>
      </w:r>
      <w:r w:rsidR="009973A8" w:rsidRPr="00714BF6">
        <w:rPr>
          <w:rFonts w:hAnsi="標楷體" w:hint="eastAsia"/>
        </w:rPr>
        <w:t>以此計畫推動之基本原則之</w:t>
      </w:r>
      <w:proofErr w:type="gramStart"/>
      <w:r w:rsidR="009973A8" w:rsidRPr="00714BF6">
        <w:rPr>
          <w:rFonts w:hAnsi="標楷體" w:hint="eastAsia"/>
        </w:rPr>
        <w:t>一</w:t>
      </w:r>
      <w:proofErr w:type="gramEnd"/>
      <w:r w:rsidR="009973A8" w:rsidRPr="00714BF6">
        <w:rPr>
          <w:rFonts w:hAnsi="標楷體" w:hint="eastAsia"/>
        </w:rPr>
        <w:t>「強化國際化」為</w:t>
      </w:r>
      <w:r w:rsidRPr="00714BF6">
        <w:rPr>
          <w:rFonts w:hAnsi="標楷體" w:hint="eastAsia"/>
        </w:rPr>
        <w:t>例</w:t>
      </w:r>
      <w:r w:rsidR="009973A8" w:rsidRPr="00714BF6">
        <w:rPr>
          <w:rFonts w:hAnsi="標楷體" w:hint="eastAsia"/>
        </w:rPr>
        <w:t>，</w:t>
      </w:r>
      <w:r w:rsidRPr="00714BF6">
        <w:rPr>
          <w:rFonts w:hAnsi="標楷體" w:hint="eastAsia"/>
        </w:rPr>
        <w:t>說明如下：</w:t>
      </w:r>
    </w:p>
    <w:p w:rsidR="009973A8" w:rsidRPr="00714BF6" w:rsidRDefault="00A52345" w:rsidP="000B2F2E">
      <w:pPr>
        <w:pStyle w:val="4"/>
        <w:spacing w:line="480" w:lineRule="exact"/>
      </w:pPr>
      <w:r w:rsidRPr="00714BF6">
        <w:rPr>
          <w:rFonts w:hint="eastAsia"/>
        </w:rPr>
        <w:t>關於</w:t>
      </w:r>
      <w:r w:rsidR="009973A8" w:rsidRPr="00714BF6">
        <w:rPr>
          <w:rFonts w:hint="eastAsia"/>
        </w:rPr>
        <w:t>學校措施</w:t>
      </w:r>
      <w:r w:rsidR="009973A8" w:rsidRPr="00714BF6">
        <w:rPr>
          <w:rFonts w:hAnsi="標楷體" w:hint="eastAsia"/>
        </w:rPr>
        <w:t>「全英語授課學程數或課程數較上年度增加」、「開設英語密集加強班」</w:t>
      </w:r>
      <w:r w:rsidR="00995C0E" w:rsidRPr="00714BF6">
        <w:rPr>
          <w:rFonts w:hint="eastAsia"/>
        </w:rPr>
        <w:t>部分，</w:t>
      </w:r>
      <w:r w:rsidR="009973A8" w:rsidRPr="00714BF6">
        <w:rPr>
          <w:rFonts w:hAnsi="標楷體" w:hint="eastAsia"/>
        </w:rPr>
        <w:t>據教育部歷年來針對</w:t>
      </w:r>
      <w:r w:rsidR="009973A8" w:rsidRPr="00714BF6">
        <w:rPr>
          <w:rFonts w:hint="eastAsia"/>
        </w:rPr>
        <w:t>獲計畫補助學校師生進行</w:t>
      </w:r>
      <w:r w:rsidR="009973A8" w:rsidRPr="00714BF6">
        <w:rPr>
          <w:rFonts w:hAnsi="標楷體" w:hint="eastAsia"/>
        </w:rPr>
        <w:t>教學滿意度調查結果，</w:t>
      </w:r>
      <w:r w:rsidR="009973A8" w:rsidRPr="00714BF6">
        <w:rPr>
          <w:rFonts w:hint="eastAsia"/>
        </w:rPr>
        <w:t>將近</w:t>
      </w:r>
      <w:proofErr w:type="gramStart"/>
      <w:r w:rsidR="009973A8" w:rsidRPr="00714BF6">
        <w:rPr>
          <w:rFonts w:hint="eastAsia"/>
        </w:rPr>
        <w:t>7成</w:t>
      </w:r>
      <w:proofErr w:type="gramEnd"/>
      <w:r w:rsidR="009973A8" w:rsidRPr="00714BF6">
        <w:rPr>
          <w:rFonts w:hint="eastAsia"/>
        </w:rPr>
        <w:t>學生對於學校全英語授課課程之教學配套措施之滿意度較低，該部</w:t>
      </w:r>
      <w:r w:rsidR="009973A8" w:rsidRPr="00714BF6">
        <w:rPr>
          <w:rFonts w:hAnsi="標楷體" w:hint="eastAsia"/>
        </w:rPr>
        <w:t>表示主要係因學校在教材與教法的選擇上未考量學生不同程度之能力，提供分級授課，導致學習成效不佳</w:t>
      </w:r>
      <w:r w:rsidR="009973A8" w:rsidRPr="00714BF6">
        <w:rPr>
          <w:rStyle w:val="aff2"/>
        </w:rPr>
        <w:footnoteReference w:id="12"/>
      </w:r>
      <w:r w:rsidR="001120ED" w:rsidRPr="00714BF6">
        <w:rPr>
          <w:rFonts w:hAnsi="標楷體" w:hint="eastAsia"/>
        </w:rPr>
        <w:t>，顯示目前英語教學</w:t>
      </w:r>
      <w:r w:rsidR="004429DB" w:rsidRPr="00714BF6">
        <w:rPr>
          <w:rFonts w:hAnsi="標楷體" w:hint="eastAsia"/>
        </w:rPr>
        <w:t>環境暨</w:t>
      </w:r>
      <w:r w:rsidR="001120ED" w:rsidRPr="00714BF6">
        <w:rPr>
          <w:rFonts w:hAnsi="標楷體" w:hint="eastAsia"/>
        </w:rPr>
        <w:t>品質仍待提升</w:t>
      </w:r>
      <w:r w:rsidR="009973A8" w:rsidRPr="00714BF6">
        <w:rPr>
          <w:rFonts w:hAnsi="標楷體" w:hint="eastAsia"/>
        </w:rPr>
        <w:t>。</w:t>
      </w:r>
    </w:p>
    <w:p w:rsidR="009973A8" w:rsidRPr="00714BF6" w:rsidRDefault="009973A8" w:rsidP="000B2F2E">
      <w:pPr>
        <w:pStyle w:val="4"/>
        <w:spacing w:line="480" w:lineRule="exact"/>
      </w:pPr>
      <w:r w:rsidRPr="00714BF6">
        <w:rPr>
          <w:rFonts w:hAnsi="標楷體" w:hint="eastAsia"/>
        </w:rPr>
        <w:t>關於「提升學生國際移動能力」、「選送學生於境外大學修讀(含交換學生、雙聯學制等)及招收境外學生」</w:t>
      </w:r>
      <w:r w:rsidR="005657F6" w:rsidRPr="00714BF6">
        <w:rPr>
          <w:rFonts w:hAnsi="標楷體" w:hint="eastAsia"/>
        </w:rPr>
        <w:t>、「招收國際學生人數逐年增加」、「與國外大學建立姊妹校或跨國學位合作(雙聯學制)」</w:t>
      </w:r>
      <w:r w:rsidR="00A52345" w:rsidRPr="00714BF6">
        <w:rPr>
          <w:rFonts w:hAnsi="標楷體" w:hint="eastAsia"/>
        </w:rPr>
        <w:t>部分：</w:t>
      </w:r>
      <w:r w:rsidR="00A21F44" w:rsidRPr="00714BF6">
        <w:rPr>
          <w:rFonts w:hAnsi="標楷體" w:hint="eastAsia"/>
        </w:rPr>
        <w:t>教育</w:t>
      </w:r>
      <w:r w:rsidRPr="00714BF6">
        <w:rPr>
          <w:rFonts w:hAnsi="標楷體" w:hint="eastAsia"/>
        </w:rPr>
        <w:t>部提出</w:t>
      </w:r>
      <w:proofErr w:type="gramStart"/>
      <w:r w:rsidRPr="00714BF6">
        <w:rPr>
          <w:rFonts w:hAnsi="標楷體" w:hint="eastAsia"/>
        </w:rPr>
        <w:t>104</w:t>
      </w:r>
      <w:proofErr w:type="gramEnd"/>
      <w:r w:rsidRPr="00714BF6">
        <w:rPr>
          <w:rFonts w:hAnsi="標楷體" w:hint="eastAsia"/>
        </w:rPr>
        <w:t>年度技職校院部分之教學卓越計畫期中報告資料</w:t>
      </w:r>
      <w:r w:rsidR="00995C0E" w:rsidRPr="00714BF6">
        <w:rPr>
          <w:rFonts w:hAnsi="標楷體" w:hint="eastAsia"/>
        </w:rPr>
        <w:t>雖提及</w:t>
      </w:r>
      <w:r w:rsidRPr="00714BF6">
        <w:rPr>
          <w:rFonts w:hAnsi="標楷體" w:hint="eastAsia"/>
        </w:rPr>
        <w:t>：「經由教育部</w:t>
      </w:r>
      <w:r w:rsidRPr="00714BF6">
        <w:rPr>
          <w:rFonts w:hAnsi="標楷體" w:hint="eastAsia"/>
        </w:rPr>
        <w:lastRenderedPageBreak/>
        <w:t>推行學術國際化......來</w:t>
      </w:r>
      <w:proofErr w:type="gramStart"/>
      <w:r w:rsidRPr="00714BF6">
        <w:rPr>
          <w:rFonts w:hAnsi="標楷體" w:hint="eastAsia"/>
        </w:rPr>
        <w:t>臺</w:t>
      </w:r>
      <w:proofErr w:type="gramEnd"/>
      <w:r w:rsidRPr="00714BF6">
        <w:rPr>
          <w:rFonts w:hAnsi="標楷體" w:hint="eastAsia"/>
        </w:rPr>
        <w:t>修讀學位學生</w:t>
      </w:r>
      <w:r w:rsidR="004429DB" w:rsidRPr="00714BF6">
        <w:rPr>
          <w:rFonts w:hAnsi="標楷體" w:hint="eastAsia"/>
        </w:rPr>
        <w:t>，</w:t>
      </w:r>
      <w:r w:rsidRPr="00714BF6">
        <w:rPr>
          <w:rFonts w:hAnsi="標楷體" w:hint="eastAsia"/>
        </w:rPr>
        <w:t>95學年度有673人、96學年度965人，直至101學年度共有3</w:t>
      </w:r>
      <w:r w:rsidR="00995C0E" w:rsidRPr="00714BF6">
        <w:rPr>
          <w:rFonts w:hAnsi="標楷體" w:hint="eastAsia"/>
        </w:rPr>
        <w:t>,</w:t>
      </w:r>
      <w:r w:rsidRPr="00714BF6">
        <w:rPr>
          <w:rFonts w:hAnsi="標楷體" w:hint="eastAsia"/>
        </w:rPr>
        <w:t>560人，成長81%；參與國際交流人數</w:t>
      </w:r>
      <w:r w:rsidR="004429DB" w:rsidRPr="00714BF6">
        <w:rPr>
          <w:rFonts w:hAnsi="標楷體" w:hint="eastAsia"/>
        </w:rPr>
        <w:t>，</w:t>
      </w:r>
      <w:r w:rsidRPr="00714BF6">
        <w:rPr>
          <w:rFonts w:hAnsi="標楷體" w:hint="eastAsia"/>
        </w:rPr>
        <w:t>95學年774人、96學年度1</w:t>
      </w:r>
      <w:r w:rsidR="00995C0E" w:rsidRPr="00714BF6">
        <w:rPr>
          <w:rFonts w:hAnsi="標楷體" w:hint="eastAsia"/>
        </w:rPr>
        <w:t>,</w:t>
      </w:r>
      <w:r w:rsidRPr="00714BF6">
        <w:rPr>
          <w:rFonts w:hAnsi="標楷體" w:hint="eastAsia"/>
        </w:rPr>
        <w:t>217人，至100學年</w:t>
      </w:r>
      <w:proofErr w:type="gramStart"/>
      <w:r w:rsidRPr="00714BF6">
        <w:rPr>
          <w:rFonts w:hAnsi="標楷體" w:hint="eastAsia"/>
        </w:rPr>
        <w:t>度均有</w:t>
      </w:r>
      <w:proofErr w:type="gramEnd"/>
      <w:r w:rsidRPr="00714BF6">
        <w:rPr>
          <w:rFonts w:hAnsi="標楷體" w:hint="eastAsia"/>
        </w:rPr>
        <w:t>3</w:t>
      </w:r>
      <w:r w:rsidR="00995C0E" w:rsidRPr="00714BF6">
        <w:rPr>
          <w:rFonts w:hAnsi="標楷體" w:hint="eastAsia"/>
        </w:rPr>
        <w:t>,</w:t>
      </w:r>
      <w:r w:rsidRPr="00714BF6">
        <w:rPr>
          <w:rFonts w:hAnsi="標楷體" w:hint="eastAsia"/>
        </w:rPr>
        <w:t>000人以上參與。......95學年度建立姊妹校及雙聯學制共488校、96學年度460校、97學年度525校，至103學年度已有1</w:t>
      </w:r>
      <w:proofErr w:type="gramStart"/>
      <w:r w:rsidRPr="00714BF6">
        <w:rPr>
          <w:rFonts w:hAnsi="標楷體" w:hint="eastAsia"/>
        </w:rPr>
        <w:t>,706校</w:t>
      </w:r>
      <w:proofErr w:type="gramEnd"/>
      <w:r w:rsidRPr="00714BF6">
        <w:rPr>
          <w:rFonts w:hAnsi="標楷體" w:hint="eastAsia"/>
        </w:rPr>
        <w:t>，成長幅度達324.95%。」等，惟</w:t>
      </w:r>
      <w:r w:rsidR="00A21F44" w:rsidRPr="00714BF6">
        <w:rPr>
          <w:rFonts w:hAnsi="標楷體" w:hint="eastAsia"/>
        </w:rPr>
        <w:t>該</w:t>
      </w:r>
      <w:r w:rsidRPr="00714BF6">
        <w:rPr>
          <w:rFonts w:hAnsi="標楷體" w:hint="eastAsia"/>
        </w:rPr>
        <w:t>部主管人員到院接受詢問時</w:t>
      </w:r>
      <w:r w:rsidR="00A21F44" w:rsidRPr="00714BF6">
        <w:rPr>
          <w:rFonts w:hAnsi="標楷體" w:hint="eastAsia"/>
        </w:rPr>
        <w:t>亦</w:t>
      </w:r>
      <w:r w:rsidRPr="00714BF6">
        <w:rPr>
          <w:rFonts w:hAnsi="標楷體" w:hint="eastAsia"/>
        </w:rPr>
        <w:t>稱</w:t>
      </w:r>
      <w:r w:rsidR="007E3CF5" w:rsidRPr="00714BF6">
        <w:rPr>
          <w:rFonts w:hAnsi="標楷體" w:hint="eastAsia"/>
        </w:rPr>
        <w:t>：</w:t>
      </w:r>
      <w:r w:rsidRPr="00714BF6">
        <w:rPr>
          <w:rFonts w:hAnsi="標楷體" w:hint="eastAsia"/>
        </w:rPr>
        <w:t>「</w:t>
      </w:r>
      <w:r w:rsidRPr="00714BF6">
        <w:rPr>
          <w:rFonts w:hAnsi="標楷體" w:hint="eastAsia"/>
          <w:szCs w:val="32"/>
        </w:rPr>
        <w:t>國內的年輕人不想出去，臺大</w:t>
      </w:r>
      <w:r w:rsidR="00995C0E" w:rsidRPr="00714BF6">
        <w:rPr>
          <w:rFonts w:hAnsi="標楷體" w:hint="eastAsia"/>
          <w:szCs w:val="32"/>
        </w:rPr>
        <w:t>、</w:t>
      </w:r>
      <w:r w:rsidRPr="00714BF6">
        <w:rPr>
          <w:rFonts w:hAnsi="標楷體" w:hint="eastAsia"/>
          <w:szCs w:val="32"/>
        </w:rPr>
        <w:t>成大等優秀學校的學生亦同，經費夠，但學生沒興趣。...... 另外國外頂尖大學接受臺灣學生的比例降低，也是導致學生出不去的</w:t>
      </w:r>
      <w:r w:rsidR="007E3CF5" w:rsidRPr="00714BF6">
        <w:rPr>
          <w:rFonts w:hAnsi="標楷體" w:hint="eastAsia"/>
          <w:szCs w:val="32"/>
        </w:rPr>
        <w:t>原因</w:t>
      </w:r>
      <w:r w:rsidRPr="00714BF6">
        <w:rPr>
          <w:rFonts w:hAnsi="標楷體" w:hint="eastAsia"/>
          <w:szCs w:val="32"/>
        </w:rPr>
        <w:t>。</w:t>
      </w:r>
      <w:r w:rsidRPr="00714BF6">
        <w:rPr>
          <w:rFonts w:hAnsi="標楷體" w:hint="eastAsia"/>
        </w:rPr>
        <w:t>」等語，顯示外籍學生來</w:t>
      </w:r>
      <w:proofErr w:type="gramStart"/>
      <w:r w:rsidRPr="00714BF6">
        <w:rPr>
          <w:rFonts w:hAnsi="標楷體" w:hint="eastAsia"/>
        </w:rPr>
        <w:t>臺</w:t>
      </w:r>
      <w:proofErr w:type="gramEnd"/>
      <w:r w:rsidRPr="00714BF6">
        <w:rPr>
          <w:rFonts w:hAnsi="標楷體" w:hint="eastAsia"/>
        </w:rPr>
        <w:t>修讀人數</w:t>
      </w:r>
      <w:r w:rsidR="005657F6" w:rsidRPr="00714BF6">
        <w:rPr>
          <w:rFonts w:hAnsi="標楷體" w:hint="eastAsia"/>
        </w:rPr>
        <w:t>雖</w:t>
      </w:r>
      <w:r w:rsidRPr="00714BF6">
        <w:rPr>
          <w:rFonts w:hAnsi="標楷體" w:hint="eastAsia"/>
        </w:rPr>
        <w:t>有成長，本國學生國際移動力</w:t>
      </w:r>
      <w:r w:rsidR="007E3CF5" w:rsidRPr="00714BF6">
        <w:rPr>
          <w:rFonts w:hAnsi="標楷體" w:hint="eastAsia"/>
        </w:rPr>
        <w:t>仍</w:t>
      </w:r>
      <w:r w:rsidRPr="00714BF6">
        <w:rPr>
          <w:rFonts w:hAnsi="標楷體" w:hint="eastAsia"/>
        </w:rPr>
        <w:t>顯不足</w:t>
      </w:r>
      <w:r w:rsidR="005657F6" w:rsidRPr="00714BF6">
        <w:rPr>
          <w:rFonts w:hAnsi="標楷體" w:hint="eastAsia"/>
        </w:rPr>
        <w:t>。</w:t>
      </w:r>
      <w:r w:rsidRPr="00714BF6">
        <w:rPr>
          <w:rFonts w:hint="eastAsia"/>
        </w:rPr>
        <w:t xml:space="preserve"> </w:t>
      </w:r>
    </w:p>
    <w:p w:rsidR="0055058D" w:rsidRPr="00714BF6" w:rsidRDefault="0055058D" w:rsidP="000B2F2E">
      <w:pPr>
        <w:pStyle w:val="4"/>
        <w:spacing w:line="480" w:lineRule="exact"/>
      </w:pPr>
      <w:r w:rsidRPr="00714BF6">
        <w:rPr>
          <w:rFonts w:hAnsi="標楷體" w:hint="eastAsia"/>
        </w:rPr>
        <w:t>「辦理境內體驗(在地國際化)之學習活動」</w:t>
      </w:r>
      <w:r w:rsidR="005657F6" w:rsidRPr="00714BF6">
        <w:rPr>
          <w:rFonts w:hAnsi="標楷體" w:hint="eastAsia"/>
        </w:rPr>
        <w:t>部分，</w:t>
      </w:r>
      <w:r w:rsidR="00A52345" w:rsidRPr="00714BF6">
        <w:rPr>
          <w:rFonts w:hAnsi="標楷體" w:hint="eastAsia"/>
        </w:rPr>
        <w:t>本院實地訪談相關學校實務人員，渠等</w:t>
      </w:r>
      <w:r w:rsidRPr="00714BF6">
        <w:rPr>
          <w:rFonts w:hAnsi="標楷體" w:hint="eastAsia"/>
        </w:rPr>
        <w:t>指出</w:t>
      </w:r>
      <w:r w:rsidR="007E3CF5" w:rsidRPr="00714BF6">
        <w:rPr>
          <w:rFonts w:hAnsi="標楷體" w:hint="eastAsia"/>
        </w:rPr>
        <w:t>：</w:t>
      </w:r>
      <w:r w:rsidRPr="00714BF6">
        <w:rPr>
          <w:rFonts w:hAnsi="標楷體" w:hint="eastAsia"/>
        </w:rPr>
        <w:t>「不要為國際學生國際化，而是要使臺灣學生國際化；</w:t>
      </w:r>
      <w:r w:rsidR="007E3CF5" w:rsidRPr="00714BF6">
        <w:rPr>
          <w:rFonts w:hAnsi="標楷體" w:hint="eastAsia"/>
        </w:rPr>
        <w:t>『</w:t>
      </w:r>
      <w:r w:rsidRPr="00714BF6">
        <w:rPr>
          <w:rFonts w:hAnsi="標楷體" w:hint="eastAsia"/>
        </w:rPr>
        <w:t>國際</w:t>
      </w:r>
      <w:r w:rsidR="00A52345" w:rsidRPr="00714BF6">
        <w:rPr>
          <w:rFonts w:hAnsi="標楷體" w:hint="eastAsia"/>
        </w:rPr>
        <w:t>化</w:t>
      </w:r>
      <w:r w:rsidR="007E3CF5" w:rsidRPr="00714BF6">
        <w:rPr>
          <w:rFonts w:hAnsi="標楷體" w:hint="eastAsia"/>
        </w:rPr>
        <w:t>』</w:t>
      </w:r>
      <w:r w:rsidR="00A52345" w:rsidRPr="00714BF6">
        <w:rPr>
          <w:rFonts w:hAnsi="標楷體" w:hint="eastAsia"/>
        </w:rPr>
        <w:t>不是給外籍生參加活動，是要給本國學生參與的</w:t>
      </w:r>
      <w:r w:rsidRPr="00714BF6">
        <w:rPr>
          <w:rFonts w:hAnsi="標楷體" w:hint="eastAsia"/>
        </w:rPr>
        <w:t>」</w:t>
      </w:r>
      <w:r w:rsidR="00A21F44" w:rsidRPr="00714BF6">
        <w:rPr>
          <w:rFonts w:hAnsi="標楷體" w:hint="eastAsia"/>
        </w:rPr>
        <w:t>、「措施要考慮延續性，如果沒有錢了，哪些機制還可</w:t>
      </w:r>
      <w:r w:rsidR="004429DB" w:rsidRPr="00714BF6">
        <w:rPr>
          <w:rFonts w:hAnsi="標楷體" w:hint="eastAsia"/>
        </w:rPr>
        <w:t>不可</w:t>
      </w:r>
      <w:r w:rsidR="00A21F44" w:rsidRPr="00714BF6">
        <w:rPr>
          <w:rFonts w:hAnsi="標楷體" w:hint="eastAsia"/>
        </w:rPr>
        <w:t>以留下來？而不是把重點放在辦活動</w:t>
      </w:r>
      <w:r w:rsidR="007E3CF5" w:rsidRPr="00714BF6">
        <w:rPr>
          <w:rFonts w:hAnsi="標楷體" w:hint="eastAsia"/>
        </w:rPr>
        <w:t>。</w:t>
      </w:r>
      <w:r w:rsidR="00A21F44" w:rsidRPr="00714BF6">
        <w:rPr>
          <w:rFonts w:hAnsi="標楷體" w:hint="eastAsia"/>
        </w:rPr>
        <w:t>」</w:t>
      </w:r>
      <w:r w:rsidRPr="00714BF6">
        <w:rPr>
          <w:rFonts w:hAnsi="標楷體" w:hint="eastAsia"/>
        </w:rPr>
        <w:t>等</w:t>
      </w:r>
      <w:r w:rsidR="005657F6" w:rsidRPr="00714BF6">
        <w:rPr>
          <w:rFonts w:hAnsi="標楷體" w:hint="eastAsia"/>
        </w:rPr>
        <w:t>語，顯示相關教學活動仍侷限</w:t>
      </w:r>
      <w:r w:rsidR="00995C0E" w:rsidRPr="00714BF6">
        <w:rPr>
          <w:rFonts w:hAnsi="標楷體" w:hint="eastAsia"/>
        </w:rPr>
        <w:t>於</w:t>
      </w:r>
      <w:r w:rsidR="005657F6" w:rsidRPr="00714BF6">
        <w:rPr>
          <w:rFonts w:hAnsi="標楷體" w:hint="eastAsia"/>
        </w:rPr>
        <w:t>短期交流型式，且本國學生參與恐有不足，</w:t>
      </w:r>
      <w:r w:rsidR="00995C0E" w:rsidRPr="00714BF6">
        <w:rPr>
          <w:rFonts w:hAnsi="標楷體" w:hint="eastAsia"/>
        </w:rPr>
        <w:t>該</w:t>
      </w:r>
      <w:r w:rsidR="005657F6" w:rsidRPr="00714BF6">
        <w:rPr>
          <w:rFonts w:hAnsi="標楷體" w:hint="eastAsia"/>
        </w:rPr>
        <w:t>計畫</w:t>
      </w:r>
      <w:r w:rsidR="00995C0E" w:rsidRPr="00714BF6">
        <w:rPr>
          <w:rFonts w:hAnsi="標楷體" w:hint="eastAsia"/>
        </w:rPr>
        <w:t>所謂國際化之理念與實質效益，仍</w:t>
      </w:r>
      <w:r w:rsidRPr="00714BF6">
        <w:rPr>
          <w:rFonts w:hAnsi="標楷體" w:hint="eastAsia"/>
        </w:rPr>
        <w:t>待檢討</w:t>
      </w:r>
      <w:proofErr w:type="gramStart"/>
      <w:r w:rsidRPr="00714BF6">
        <w:rPr>
          <w:rFonts w:hAnsi="標楷體" w:hint="eastAsia"/>
        </w:rPr>
        <w:t>釐</w:t>
      </w:r>
      <w:proofErr w:type="gramEnd"/>
      <w:r w:rsidRPr="00714BF6">
        <w:rPr>
          <w:rFonts w:hAnsi="標楷體" w:hint="eastAsia"/>
        </w:rPr>
        <w:t>清。</w:t>
      </w:r>
    </w:p>
    <w:p w:rsidR="009D3E3C" w:rsidRPr="00714BF6" w:rsidRDefault="00E378AC" w:rsidP="000B2F2E">
      <w:pPr>
        <w:pStyle w:val="3"/>
        <w:spacing w:line="480" w:lineRule="exact"/>
        <w:rPr>
          <w:rFonts w:hAnsi="標楷體"/>
        </w:rPr>
      </w:pPr>
      <w:r w:rsidRPr="00714BF6">
        <w:rPr>
          <w:rFonts w:hAnsi="標楷體" w:hint="eastAsia"/>
        </w:rPr>
        <w:t>本案</w:t>
      </w:r>
      <w:r w:rsidR="00995C0E" w:rsidRPr="00714BF6">
        <w:rPr>
          <w:rFonts w:hAnsi="標楷體" w:hint="eastAsia"/>
        </w:rPr>
        <w:t>實地訪談受補助</w:t>
      </w:r>
      <w:r w:rsidR="00A816D0" w:rsidRPr="00714BF6">
        <w:rPr>
          <w:rFonts w:hAnsi="標楷體" w:hint="eastAsia"/>
        </w:rPr>
        <w:t>學校實務工作人員</w:t>
      </w:r>
      <w:r w:rsidR="00995C0E" w:rsidRPr="00714BF6">
        <w:rPr>
          <w:rFonts w:hAnsi="標楷體" w:hint="eastAsia"/>
        </w:rPr>
        <w:t>時</w:t>
      </w:r>
      <w:r w:rsidR="00A816D0" w:rsidRPr="00714BF6">
        <w:rPr>
          <w:rFonts w:hAnsi="標楷體" w:hint="eastAsia"/>
        </w:rPr>
        <w:t>，</w:t>
      </w:r>
      <w:r w:rsidR="00995C0E" w:rsidRPr="00714BF6">
        <w:rPr>
          <w:rFonts w:hAnsi="標楷體" w:hint="eastAsia"/>
        </w:rPr>
        <w:t>發現</w:t>
      </w:r>
      <w:r w:rsidR="00A816D0" w:rsidRPr="00714BF6">
        <w:rPr>
          <w:rFonts w:hAnsi="標楷體" w:hint="eastAsia"/>
        </w:rPr>
        <w:t>尚有針對教學卓越計畫指標與執行方式之</w:t>
      </w:r>
      <w:r w:rsidR="00995C0E" w:rsidRPr="00714BF6">
        <w:rPr>
          <w:rFonts w:hAnsi="標楷體" w:hint="eastAsia"/>
        </w:rPr>
        <w:t>其他相關</w:t>
      </w:r>
      <w:r w:rsidR="00A816D0" w:rsidRPr="00714BF6">
        <w:rPr>
          <w:rFonts w:hAnsi="標楷體" w:hint="eastAsia"/>
        </w:rPr>
        <w:t>建議</w:t>
      </w:r>
      <w:r w:rsidR="008272A2" w:rsidRPr="00714BF6">
        <w:rPr>
          <w:rFonts w:hAnsi="標楷體" w:hint="eastAsia"/>
        </w:rPr>
        <w:t>，</w:t>
      </w:r>
      <w:proofErr w:type="gramStart"/>
      <w:r w:rsidR="008272A2" w:rsidRPr="00714BF6">
        <w:rPr>
          <w:rFonts w:hAnsi="標楷體" w:hint="eastAsia"/>
        </w:rPr>
        <w:t>併</w:t>
      </w:r>
      <w:proofErr w:type="gramEnd"/>
      <w:r w:rsidR="008272A2" w:rsidRPr="00714BF6">
        <w:rPr>
          <w:rFonts w:hAnsi="標楷體" w:hint="eastAsia"/>
        </w:rPr>
        <w:t>供教育部參酌</w:t>
      </w:r>
      <w:proofErr w:type="gramStart"/>
      <w:r w:rsidR="008272A2" w:rsidRPr="00714BF6">
        <w:rPr>
          <w:rFonts w:hAnsi="標楷體" w:hint="eastAsia"/>
        </w:rPr>
        <w:t>研</w:t>
      </w:r>
      <w:proofErr w:type="gramEnd"/>
      <w:r w:rsidR="008272A2" w:rsidRPr="00714BF6">
        <w:rPr>
          <w:rFonts w:hAnsi="標楷體" w:hint="eastAsia"/>
        </w:rPr>
        <w:t>議改善：</w:t>
      </w:r>
    </w:p>
    <w:p w:rsidR="005723CA" w:rsidRPr="00714BF6" w:rsidRDefault="005723CA" w:rsidP="000B2F2E">
      <w:pPr>
        <w:pStyle w:val="4"/>
        <w:spacing w:line="480" w:lineRule="exact"/>
      </w:pPr>
      <w:r w:rsidRPr="00714BF6">
        <w:rPr>
          <w:rFonts w:hint="eastAsia"/>
        </w:rPr>
        <w:t>關於</w:t>
      </w:r>
      <w:r w:rsidR="00EA1F56" w:rsidRPr="00714BF6">
        <w:rPr>
          <w:rFonts w:hint="eastAsia"/>
        </w:rPr>
        <w:t>「</w:t>
      </w:r>
      <w:r w:rsidRPr="00714BF6">
        <w:rPr>
          <w:rFonts w:hint="eastAsia"/>
        </w:rPr>
        <w:t>教學實習</w:t>
      </w:r>
      <w:r w:rsidR="00EA1F56" w:rsidRPr="00714BF6">
        <w:rPr>
          <w:rFonts w:hint="eastAsia"/>
        </w:rPr>
        <w:t>」</w:t>
      </w:r>
      <w:r w:rsidRPr="00714BF6">
        <w:rPr>
          <w:rFonts w:hint="eastAsia"/>
        </w:rPr>
        <w:t>一</w:t>
      </w:r>
      <w:r w:rsidR="00995C0E" w:rsidRPr="00714BF6">
        <w:rPr>
          <w:rFonts w:hint="eastAsia"/>
        </w:rPr>
        <w:t>節，相關意見略</w:t>
      </w:r>
      <w:proofErr w:type="gramStart"/>
      <w:r w:rsidR="00995C0E" w:rsidRPr="00714BF6">
        <w:rPr>
          <w:rFonts w:hint="eastAsia"/>
        </w:rPr>
        <w:t>以</w:t>
      </w:r>
      <w:proofErr w:type="gramEnd"/>
      <w:r w:rsidRPr="00714BF6">
        <w:rPr>
          <w:rFonts w:hint="eastAsia"/>
        </w:rPr>
        <w:t>：「</w:t>
      </w:r>
      <w:proofErr w:type="gramStart"/>
      <w:r w:rsidRPr="00714BF6">
        <w:rPr>
          <w:rFonts w:hint="eastAsia"/>
        </w:rPr>
        <w:t>透過教卓開始</w:t>
      </w:r>
      <w:proofErr w:type="gramEnd"/>
      <w:r w:rsidRPr="00714BF6">
        <w:rPr>
          <w:rFonts w:hint="eastAsia"/>
        </w:rPr>
        <w:t>招收外籍生，學生來了有實習問題，科技大學是很需要實習的。但勞動</w:t>
      </w:r>
      <w:proofErr w:type="gramStart"/>
      <w:r w:rsidRPr="00714BF6">
        <w:rPr>
          <w:rFonts w:hint="eastAsia"/>
        </w:rPr>
        <w:t>部說不可以</w:t>
      </w:r>
      <w:proofErr w:type="gramEnd"/>
      <w:r w:rsidRPr="00714BF6">
        <w:rPr>
          <w:rFonts w:hint="eastAsia"/>
        </w:rPr>
        <w:t>，造成問題。」、「實習部分，每</w:t>
      </w:r>
      <w:proofErr w:type="gramStart"/>
      <w:r w:rsidRPr="00714BF6">
        <w:rPr>
          <w:rFonts w:hint="eastAsia"/>
        </w:rPr>
        <w:t>個</w:t>
      </w:r>
      <w:proofErr w:type="gramEnd"/>
      <w:r w:rsidRPr="00714BF6">
        <w:rPr>
          <w:rFonts w:hint="eastAsia"/>
        </w:rPr>
        <w:t>學生都要。教師也要實習，但人文學科部分，要去哪裡實習？」、「關於</w:t>
      </w:r>
      <w:r w:rsidR="007C5968" w:rsidRPr="00714BF6">
        <w:rPr>
          <w:rFonts w:hint="eastAsia"/>
        </w:rPr>
        <w:t>『</w:t>
      </w:r>
      <w:r w:rsidRPr="00714BF6">
        <w:rPr>
          <w:rFonts w:hint="eastAsia"/>
        </w:rPr>
        <w:t>就業</w:t>
      </w:r>
      <w:r w:rsidR="007C5968" w:rsidRPr="00714BF6">
        <w:rPr>
          <w:rFonts w:hint="eastAsia"/>
        </w:rPr>
        <w:t>』</w:t>
      </w:r>
      <w:r w:rsidRPr="00714BF6">
        <w:rPr>
          <w:rFonts w:hint="eastAsia"/>
        </w:rPr>
        <w:t>，證照與實習兩件事情最重要，可以</w:t>
      </w:r>
      <w:r w:rsidR="00995C0E" w:rsidRPr="00714BF6">
        <w:rPr>
          <w:rFonts w:hint="eastAsia"/>
        </w:rPr>
        <w:t>鏈</w:t>
      </w:r>
      <w:r w:rsidRPr="00714BF6">
        <w:rPr>
          <w:rFonts w:hint="eastAsia"/>
        </w:rPr>
        <w:t>結外界，但不是找很多廠商，而是找有相同理念的，這樣學校與廠商可以打造學習品質優良的環境。證照不是</w:t>
      </w:r>
      <w:r w:rsidRPr="00714BF6">
        <w:rPr>
          <w:rFonts w:hint="eastAsia"/>
        </w:rPr>
        <w:lastRenderedPageBreak/>
        <w:t>愈</w:t>
      </w:r>
      <w:proofErr w:type="gramStart"/>
      <w:r w:rsidRPr="00714BF6">
        <w:rPr>
          <w:rFonts w:hint="eastAsia"/>
        </w:rPr>
        <w:t>多張愈好</w:t>
      </w:r>
      <w:proofErr w:type="gramEnd"/>
      <w:r w:rsidRPr="00714BF6">
        <w:rPr>
          <w:rFonts w:hint="eastAsia"/>
        </w:rPr>
        <w:t>，(本校)做法是：專精的一、兩張就好。確保課程能拿證照、證照有公信力，在精不在多。」等。</w:t>
      </w:r>
    </w:p>
    <w:p w:rsidR="005723CA" w:rsidRPr="00714BF6" w:rsidRDefault="007E3CF5" w:rsidP="000B2F2E">
      <w:pPr>
        <w:pStyle w:val="4"/>
        <w:spacing w:line="480" w:lineRule="exact"/>
        <w:rPr>
          <w:rFonts w:hAnsi="標楷體"/>
          <w:bCs/>
        </w:rPr>
      </w:pPr>
      <w:r w:rsidRPr="00714BF6">
        <w:rPr>
          <w:rFonts w:hint="eastAsia"/>
        </w:rPr>
        <w:t>「</w:t>
      </w:r>
      <w:r w:rsidR="005723CA" w:rsidRPr="00714BF6">
        <w:rPr>
          <w:rFonts w:hint="eastAsia"/>
        </w:rPr>
        <w:t>計畫審核指標</w:t>
      </w:r>
      <w:r w:rsidRPr="00714BF6">
        <w:rPr>
          <w:rFonts w:hint="eastAsia"/>
        </w:rPr>
        <w:t>」</w:t>
      </w:r>
      <w:r w:rsidR="00872B0D" w:rsidRPr="00714BF6">
        <w:rPr>
          <w:rFonts w:hint="eastAsia"/>
        </w:rPr>
        <w:t>一體適用各類型學校衍生</w:t>
      </w:r>
      <w:proofErr w:type="gramStart"/>
      <w:r w:rsidR="00872B0D" w:rsidRPr="00714BF6">
        <w:rPr>
          <w:rFonts w:hint="eastAsia"/>
        </w:rPr>
        <w:t>扞</w:t>
      </w:r>
      <w:proofErr w:type="gramEnd"/>
      <w:r w:rsidR="00872B0D" w:rsidRPr="00714BF6">
        <w:rPr>
          <w:rFonts w:hint="eastAsia"/>
        </w:rPr>
        <w:t>格，相關意見略</w:t>
      </w:r>
      <w:proofErr w:type="gramStart"/>
      <w:r w:rsidR="00995C0E" w:rsidRPr="00714BF6">
        <w:rPr>
          <w:rFonts w:hint="eastAsia"/>
        </w:rPr>
        <w:t>以</w:t>
      </w:r>
      <w:proofErr w:type="gramEnd"/>
      <w:r w:rsidR="00872B0D" w:rsidRPr="00714BF6">
        <w:rPr>
          <w:rFonts w:hint="eastAsia"/>
        </w:rPr>
        <w:t>：「學生學習成效才是重點，但委員只重視就業率。」、「</w:t>
      </w:r>
      <w:r w:rsidR="00995C0E" w:rsidRPr="00714BF6">
        <w:rPr>
          <w:rFonts w:hint="eastAsia"/>
        </w:rPr>
        <w:t>KPI素來有其核心精神，但南區有很多經濟弱勢學生，教學輔導措施沒有考量到</w:t>
      </w:r>
      <w:r w:rsidR="00872B0D" w:rsidRPr="00714BF6">
        <w:rPr>
          <w:rFonts w:hint="eastAsia"/>
        </w:rPr>
        <w:t>。」、「工科易取得證照，以量取勝</w:t>
      </w:r>
      <w:r w:rsidR="00872B0D" w:rsidRPr="00714BF6">
        <w:rPr>
          <w:rFonts w:hAnsi="標楷體" w:hint="eastAsia"/>
          <w:bCs/>
        </w:rPr>
        <w:t>，產生數</w:t>
      </w:r>
      <w:proofErr w:type="gramStart"/>
      <w:r w:rsidR="00872B0D" w:rsidRPr="00714BF6">
        <w:rPr>
          <w:rFonts w:hAnsi="標楷體" w:hint="eastAsia"/>
          <w:bCs/>
        </w:rPr>
        <w:t>字迷思跟形式主義</w:t>
      </w:r>
      <w:proofErr w:type="gramEnd"/>
      <w:r w:rsidR="00872B0D" w:rsidRPr="00714BF6">
        <w:rPr>
          <w:rFonts w:hAnsi="標楷體" w:hint="eastAsia"/>
          <w:bCs/>
        </w:rPr>
        <w:t>，但</w:t>
      </w:r>
      <w:r w:rsidR="00995C0E" w:rsidRPr="00714BF6">
        <w:rPr>
          <w:rFonts w:hAnsi="標楷體" w:hint="eastAsia"/>
          <w:bCs/>
        </w:rPr>
        <w:t>就醫護類科系來說，國考證照才有幫助；</w:t>
      </w:r>
      <w:r w:rsidR="00872B0D" w:rsidRPr="00714BF6">
        <w:rPr>
          <w:rFonts w:hAnsi="標楷體" w:hint="eastAsia"/>
          <w:bCs/>
        </w:rPr>
        <w:t>質性的評鑑，像是瞭解雇主對畢業學生</w:t>
      </w:r>
      <w:r w:rsidR="00B15F06" w:rsidRPr="00714BF6">
        <w:rPr>
          <w:rFonts w:hAnsi="標楷體" w:hint="eastAsia"/>
          <w:bCs/>
        </w:rPr>
        <w:t>的</w:t>
      </w:r>
      <w:r w:rsidR="00872B0D" w:rsidRPr="00714BF6">
        <w:rPr>
          <w:rFonts w:hAnsi="標楷體" w:hint="eastAsia"/>
          <w:bCs/>
        </w:rPr>
        <w:t>職場表現，才是更重要的；統一的KPI反而不利學校</w:t>
      </w:r>
      <w:r w:rsidR="00995C0E" w:rsidRPr="00714BF6">
        <w:rPr>
          <w:rFonts w:hAnsi="標楷體" w:hint="eastAsia"/>
          <w:bCs/>
        </w:rPr>
        <w:t>發展</w:t>
      </w:r>
      <w:r w:rsidR="00872B0D" w:rsidRPr="00714BF6">
        <w:rPr>
          <w:rFonts w:hAnsi="標楷體" w:hint="eastAsia"/>
          <w:bCs/>
        </w:rPr>
        <w:t>特色</w:t>
      </w:r>
      <w:r w:rsidR="00EA2C7C" w:rsidRPr="00714BF6">
        <w:rPr>
          <w:rFonts w:hAnsi="標楷體" w:hint="eastAsia"/>
          <w:bCs/>
        </w:rPr>
        <w:t>。</w:t>
      </w:r>
      <w:r w:rsidR="00872B0D" w:rsidRPr="00714BF6">
        <w:rPr>
          <w:rFonts w:hAnsi="標楷體" w:hint="eastAsia"/>
          <w:bCs/>
        </w:rPr>
        <w:t>」</w:t>
      </w:r>
      <w:r w:rsidR="00EE405F" w:rsidRPr="00714BF6">
        <w:rPr>
          <w:rFonts w:hAnsi="標楷體" w:hint="eastAsia"/>
          <w:bCs/>
        </w:rPr>
        <w:t>、「教育部KPI的趨向是要求學校逐年成長，但我們認為需要更關心品質與學生需求</w:t>
      </w:r>
      <w:r w:rsidR="00EA1F56" w:rsidRPr="00714BF6">
        <w:rPr>
          <w:rFonts w:hAnsi="標楷體" w:hint="eastAsia"/>
          <w:bCs/>
        </w:rPr>
        <w:t>。</w:t>
      </w:r>
      <w:r w:rsidR="00EE405F" w:rsidRPr="00714BF6">
        <w:rPr>
          <w:rFonts w:hAnsi="標楷體" w:hint="eastAsia"/>
          <w:bCs/>
        </w:rPr>
        <w:t>」</w:t>
      </w:r>
      <w:r w:rsidR="001120ED" w:rsidRPr="00714BF6">
        <w:rPr>
          <w:rFonts w:hAnsi="標楷體" w:hint="eastAsia"/>
          <w:bCs/>
        </w:rPr>
        <w:t>等</w:t>
      </w:r>
      <w:r w:rsidR="00872B0D" w:rsidRPr="00714BF6">
        <w:rPr>
          <w:rFonts w:hAnsi="標楷體" w:hint="eastAsia"/>
          <w:bCs/>
        </w:rPr>
        <w:t>。</w:t>
      </w:r>
    </w:p>
    <w:p w:rsidR="00A21F44" w:rsidRPr="00714BF6" w:rsidRDefault="008272A2" w:rsidP="000B2F2E">
      <w:pPr>
        <w:pStyle w:val="4"/>
        <w:spacing w:line="480" w:lineRule="exact"/>
      </w:pPr>
      <w:r w:rsidRPr="00714BF6">
        <w:rPr>
          <w:rFonts w:hint="eastAsia"/>
        </w:rPr>
        <w:t>教學評量與教師評鑑</w:t>
      </w:r>
      <w:r w:rsidR="00677B27" w:rsidRPr="00714BF6">
        <w:rPr>
          <w:rFonts w:hint="eastAsia"/>
        </w:rPr>
        <w:t>部分</w:t>
      </w:r>
      <w:r w:rsidRPr="00714BF6">
        <w:rPr>
          <w:rFonts w:hint="eastAsia"/>
        </w:rPr>
        <w:t>，</w:t>
      </w:r>
      <w:r w:rsidR="00677B27" w:rsidRPr="00714BF6">
        <w:rPr>
          <w:rFonts w:hint="eastAsia"/>
        </w:rPr>
        <w:t>相關意見略</w:t>
      </w:r>
      <w:proofErr w:type="gramStart"/>
      <w:r w:rsidR="00995C0E" w:rsidRPr="00714BF6">
        <w:rPr>
          <w:rFonts w:hint="eastAsia"/>
        </w:rPr>
        <w:t>以</w:t>
      </w:r>
      <w:proofErr w:type="gramEnd"/>
      <w:r w:rsidR="00677B27" w:rsidRPr="00714BF6">
        <w:rPr>
          <w:rFonts w:hint="eastAsia"/>
        </w:rPr>
        <w:t>：「</w:t>
      </w:r>
      <w:r w:rsidRPr="00714BF6">
        <w:rPr>
          <w:rFonts w:hint="eastAsia"/>
        </w:rPr>
        <w:t>本校非常困擾，因為委員說</w:t>
      </w:r>
      <w:r w:rsidR="00677B27" w:rsidRPr="00714BF6">
        <w:rPr>
          <w:rFonts w:hint="eastAsia"/>
        </w:rPr>
        <w:t>(教師評鑑)</w:t>
      </w:r>
      <w:r w:rsidRPr="00714BF6">
        <w:rPr>
          <w:rFonts w:hint="eastAsia"/>
        </w:rPr>
        <w:t>全部通過沒有鑑別力。另外也造成教師極大壓力，校方左右為難。教學、升等、科大評鑑，各式評鑑過度重疊，負擔重。教育百年樹人，不要太追求短期績效。</w:t>
      </w:r>
      <w:r w:rsidR="00677B27" w:rsidRPr="00714BF6">
        <w:rPr>
          <w:rFonts w:hint="eastAsia"/>
        </w:rPr>
        <w:t>」、「</w:t>
      </w:r>
      <w:r w:rsidR="00995C0E" w:rsidRPr="00714BF6">
        <w:rPr>
          <w:rFonts w:hint="eastAsia"/>
        </w:rPr>
        <w:t>教師</w:t>
      </w:r>
      <w:r w:rsidR="00EA2C7C" w:rsidRPr="00714BF6">
        <w:rPr>
          <w:rFonts w:hint="eastAsia"/>
        </w:rPr>
        <w:t>『</w:t>
      </w:r>
      <w:r w:rsidR="00995C0E" w:rsidRPr="00714BF6">
        <w:rPr>
          <w:rFonts w:hint="eastAsia"/>
        </w:rPr>
        <w:t>多元升等</w:t>
      </w:r>
      <w:r w:rsidR="00EA2C7C" w:rsidRPr="00714BF6">
        <w:rPr>
          <w:rFonts w:hint="eastAsia"/>
        </w:rPr>
        <w:t>』</w:t>
      </w:r>
      <w:r w:rsidR="00995C0E" w:rsidRPr="00714BF6">
        <w:rPr>
          <w:rFonts w:hint="eastAsia"/>
        </w:rPr>
        <w:t>方面，這兩、三年教育部有鼓勵，</w:t>
      </w:r>
      <w:r w:rsidRPr="00714BF6">
        <w:rPr>
          <w:rFonts w:hint="eastAsia"/>
        </w:rPr>
        <w:t>強</w:t>
      </w:r>
      <w:r w:rsidR="00995C0E" w:rsidRPr="00714BF6">
        <w:rPr>
          <w:rFonts w:hint="eastAsia"/>
        </w:rPr>
        <w:t>化</w:t>
      </w:r>
      <w:r w:rsidRPr="00714BF6">
        <w:rPr>
          <w:rFonts w:hint="eastAsia"/>
        </w:rPr>
        <w:t>重視教師教學成果，結果很多</w:t>
      </w:r>
      <w:r w:rsidR="00995C0E" w:rsidRPr="00714BF6">
        <w:rPr>
          <w:rFonts w:hint="eastAsia"/>
        </w:rPr>
        <w:t>學校把教學成果再用書面呈現，又變成學術性質論文，失去多元升等意義</w:t>
      </w:r>
      <w:r w:rsidR="00677B27" w:rsidRPr="00714BF6">
        <w:rPr>
          <w:rFonts w:hint="eastAsia"/>
        </w:rPr>
        <w:t>。」、「此計畫的評量機制要求數字化，要愈清楚愈好，而且週期要短。然而設一個系也要4</w:t>
      </w:r>
      <w:r w:rsidR="00995C0E" w:rsidRPr="00714BF6">
        <w:rPr>
          <w:rFonts w:hint="eastAsia"/>
        </w:rPr>
        <w:t>年才有畢業生，教學卓越卻要半年就</w:t>
      </w:r>
      <w:r w:rsidR="00677B27" w:rsidRPr="00714BF6">
        <w:rPr>
          <w:rFonts w:hint="eastAsia"/>
        </w:rPr>
        <w:t>看到效果，1年就要非常顯著；教學卓越真正的價值應該是在潛移默化</w:t>
      </w:r>
      <w:r w:rsidR="00EA2C7C" w:rsidRPr="00714BF6">
        <w:rPr>
          <w:rFonts w:hint="eastAsia"/>
        </w:rPr>
        <w:t>。</w:t>
      </w:r>
      <w:r w:rsidR="00677B27" w:rsidRPr="00714BF6">
        <w:rPr>
          <w:rFonts w:hint="eastAsia"/>
        </w:rPr>
        <w:t>」、「教學應該給學生最多的，還是最好的？</w:t>
      </w:r>
      <w:r w:rsidR="00EA2C7C" w:rsidRPr="00714BF6">
        <w:rPr>
          <w:rFonts w:hint="eastAsia"/>
        </w:rPr>
        <w:t>『</w:t>
      </w:r>
      <w:r w:rsidR="00677B27" w:rsidRPr="00714BF6">
        <w:rPr>
          <w:rFonts w:hint="eastAsia"/>
        </w:rPr>
        <w:t>跨領域學程</w:t>
      </w:r>
      <w:r w:rsidR="00EA2C7C" w:rsidRPr="00714BF6">
        <w:rPr>
          <w:rFonts w:hint="eastAsia"/>
        </w:rPr>
        <w:t>』</w:t>
      </w:r>
      <w:r w:rsidR="00677B27" w:rsidRPr="00714BF6">
        <w:rPr>
          <w:rFonts w:hint="eastAsia"/>
        </w:rPr>
        <w:t>愈多愈好嗎？應該給精華的學程就好。」等。</w:t>
      </w:r>
    </w:p>
    <w:p w:rsidR="00B024C0" w:rsidRPr="00714BF6" w:rsidRDefault="002F16BC" w:rsidP="000B2F2E">
      <w:pPr>
        <w:pStyle w:val="3"/>
        <w:spacing w:line="480" w:lineRule="exact"/>
        <w:rPr>
          <w:rFonts w:hAnsi="標楷體"/>
        </w:rPr>
      </w:pPr>
      <w:proofErr w:type="gramStart"/>
      <w:r w:rsidRPr="00714BF6">
        <w:rPr>
          <w:rFonts w:hAnsi="標楷體" w:hint="eastAsia"/>
        </w:rPr>
        <w:t>此外，</w:t>
      </w:r>
      <w:proofErr w:type="gramEnd"/>
      <w:r w:rsidR="00653062" w:rsidRPr="00714BF6">
        <w:rPr>
          <w:rFonts w:hAnsi="標楷體" w:hint="eastAsia"/>
        </w:rPr>
        <w:t>專家學者亦表示</w:t>
      </w:r>
      <w:r w:rsidR="00995C0E" w:rsidRPr="00714BF6">
        <w:rPr>
          <w:rFonts w:hAnsi="標楷體" w:hint="eastAsia"/>
        </w:rPr>
        <w:t>：</w:t>
      </w:r>
      <w:r w:rsidR="00653062" w:rsidRPr="00714BF6">
        <w:rPr>
          <w:rFonts w:hAnsi="標楷體" w:hint="eastAsia"/>
        </w:rPr>
        <w:t>「</w:t>
      </w:r>
      <w:r w:rsidR="00653062" w:rsidRPr="00714BF6">
        <w:rPr>
          <w:rFonts w:hAnsi="標楷體" w:hint="eastAsia"/>
          <w:szCs w:val="32"/>
        </w:rPr>
        <w:t>基本上教育部訂的是大方向，其餘給學校去思考，學校領導者還是有空間發揮。如果有想辦法、有思考，未必會做成每</w:t>
      </w:r>
      <w:proofErr w:type="gramStart"/>
      <w:r w:rsidR="00653062" w:rsidRPr="00714BF6">
        <w:rPr>
          <w:rFonts w:hAnsi="標楷體" w:hint="eastAsia"/>
          <w:szCs w:val="32"/>
        </w:rPr>
        <w:t>個</w:t>
      </w:r>
      <w:proofErr w:type="gramEnd"/>
      <w:r w:rsidR="00653062" w:rsidRPr="00714BF6">
        <w:rPr>
          <w:rFonts w:hAnsi="標楷體" w:hint="eastAsia"/>
          <w:szCs w:val="32"/>
        </w:rPr>
        <w:t>學校都一樣，學校也有責任</w:t>
      </w:r>
      <w:r w:rsidR="00E634B3" w:rsidRPr="00714BF6">
        <w:rPr>
          <w:rFonts w:hAnsi="標楷體" w:hint="eastAsia"/>
          <w:szCs w:val="32"/>
        </w:rPr>
        <w:t>。</w:t>
      </w:r>
      <w:r w:rsidRPr="00714BF6">
        <w:rPr>
          <w:rFonts w:hAnsi="標楷體" w:hint="eastAsia"/>
        </w:rPr>
        <w:t>」等語，</w:t>
      </w:r>
      <w:r w:rsidR="00A52345" w:rsidRPr="00714BF6">
        <w:rPr>
          <w:rFonts w:hAnsi="標楷體" w:hint="eastAsia"/>
        </w:rPr>
        <w:t>建議教學實體內容實屬學術自主範疇，宜尊重大學自主</w:t>
      </w:r>
      <w:r w:rsidR="00653062" w:rsidRPr="00714BF6">
        <w:rPr>
          <w:rFonts w:hAnsi="標楷體" w:hint="eastAsia"/>
        </w:rPr>
        <w:t>空間，</w:t>
      </w:r>
      <w:r w:rsidR="00A52345" w:rsidRPr="00714BF6">
        <w:rPr>
          <w:rFonts w:hAnsi="標楷體" w:hint="eastAsia"/>
        </w:rPr>
        <w:t>而</w:t>
      </w:r>
      <w:r w:rsidR="00653062" w:rsidRPr="00714BF6">
        <w:rPr>
          <w:rFonts w:hAnsi="標楷體" w:hint="eastAsia"/>
        </w:rPr>
        <w:t>屬學校權責</w:t>
      </w:r>
      <w:r w:rsidR="00A52345" w:rsidRPr="00714BF6">
        <w:rPr>
          <w:rFonts w:hAnsi="標楷體" w:hint="eastAsia"/>
        </w:rPr>
        <w:t>部分</w:t>
      </w:r>
      <w:r w:rsidR="00653062" w:rsidRPr="00714BF6">
        <w:rPr>
          <w:rFonts w:hAnsi="標楷體" w:hint="eastAsia"/>
        </w:rPr>
        <w:t>，後續政策之審查標的、實施過程規範與成效評估，允宜</w:t>
      </w:r>
      <w:proofErr w:type="gramStart"/>
      <w:r w:rsidR="00653062" w:rsidRPr="00714BF6">
        <w:rPr>
          <w:rFonts w:hAnsi="標楷體" w:hint="eastAsia"/>
        </w:rPr>
        <w:t>落實課責機制</w:t>
      </w:r>
      <w:proofErr w:type="gramEnd"/>
      <w:r w:rsidRPr="00714BF6">
        <w:rPr>
          <w:rFonts w:hAnsi="標楷體" w:hint="eastAsia"/>
        </w:rPr>
        <w:t>，</w:t>
      </w:r>
      <w:proofErr w:type="gramStart"/>
      <w:r w:rsidRPr="00714BF6">
        <w:rPr>
          <w:rFonts w:hAnsi="標楷體" w:hint="eastAsia"/>
        </w:rPr>
        <w:t>亦允</w:t>
      </w:r>
      <w:r w:rsidRPr="00714BF6">
        <w:rPr>
          <w:rFonts w:hAnsi="標楷體" w:hint="eastAsia"/>
        </w:rPr>
        <w:lastRenderedPageBreak/>
        <w:t>由</w:t>
      </w:r>
      <w:proofErr w:type="gramEnd"/>
      <w:r w:rsidRPr="00714BF6">
        <w:rPr>
          <w:rFonts w:hAnsi="標楷體" w:hint="eastAsia"/>
        </w:rPr>
        <w:t>教育部日後推動學校提升教學品質工作時納入參</w:t>
      </w:r>
      <w:r w:rsidR="00995C0E" w:rsidRPr="00714BF6">
        <w:rPr>
          <w:rFonts w:hAnsi="標楷體" w:hint="eastAsia"/>
        </w:rPr>
        <w:t>考</w:t>
      </w:r>
      <w:r w:rsidR="00653062" w:rsidRPr="00714BF6">
        <w:rPr>
          <w:rFonts w:hAnsi="標楷體" w:hint="eastAsia"/>
        </w:rPr>
        <w:t>。</w:t>
      </w:r>
    </w:p>
    <w:p w:rsidR="00F37BCC" w:rsidRPr="00714BF6" w:rsidRDefault="002F16BC" w:rsidP="000B2F2E">
      <w:pPr>
        <w:pStyle w:val="3"/>
        <w:spacing w:line="480" w:lineRule="exact"/>
        <w:rPr>
          <w:rFonts w:hAnsi="標楷體"/>
        </w:rPr>
      </w:pPr>
      <w:r w:rsidRPr="00714BF6">
        <w:rPr>
          <w:rFonts w:hAnsi="標楷體" w:hint="eastAsia"/>
        </w:rPr>
        <w:t>綜上，教育部居於主管機關高</w:t>
      </w:r>
      <w:r w:rsidR="00995C0E" w:rsidRPr="00714BF6">
        <w:rPr>
          <w:rFonts w:hAnsi="標楷體" w:hint="eastAsia"/>
        </w:rPr>
        <w:t>度</w:t>
      </w:r>
      <w:r w:rsidRPr="00714BF6">
        <w:rPr>
          <w:rFonts w:hAnsi="標楷體" w:hint="eastAsia"/>
        </w:rPr>
        <w:t>，所設之教學卓越計畫指標與管制措施確</w:t>
      </w:r>
      <w:r w:rsidR="00995C0E" w:rsidRPr="00714BF6">
        <w:rPr>
          <w:rFonts w:hAnsi="標楷體" w:hint="eastAsia"/>
        </w:rPr>
        <w:t>已發揮</w:t>
      </w:r>
      <w:r w:rsidRPr="00714BF6">
        <w:rPr>
          <w:rFonts w:hAnsi="標楷體" w:hint="eastAsia"/>
        </w:rPr>
        <w:t>影響高等教育發展走向之功能，惟學術傳承與人才培育既為大學之</w:t>
      </w:r>
      <w:r w:rsidR="00995C0E" w:rsidRPr="00714BF6">
        <w:rPr>
          <w:rFonts w:hAnsi="標楷體" w:hint="eastAsia"/>
        </w:rPr>
        <w:t>基本</w:t>
      </w:r>
      <w:r w:rsidRPr="00714BF6">
        <w:rPr>
          <w:rFonts w:hAnsi="標楷體" w:hint="eastAsia"/>
        </w:rPr>
        <w:t>使命，該部之立場，宜聚焦型塑校園學習氛圍</w:t>
      </w:r>
      <w:r w:rsidR="00972527" w:rsidRPr="00714BF6">
        <w:rPr>
          <w:rFonts w:hAnsi="標楷體" w:hint="eastAsia"/>
        </w:rPr>
        <w:t>之</w:t>
      </w:r>
      <w:r w:rsidRPr="00714BF6">
        <w:rPr>
          <w:rFonts w:hAnsi="標楷體" w:hint="eastAsia"/>
        </w:rPr>
        <w:t>核心價值，至</w:t>
      </w:r>
      <w:r w:rsidR="001120ED" w:rsidRPr="00714BF6">
        <w:rPr>
          <w:rFonts w:hAnsi="標楷體" w:hint="eastAsia"/>
        </w:rPr>
        <w:t>教學實質內涵與</w:t>
      </w:r>
      <w:r w:rsidRPr="00714BF6">
        <w:rPr>
          <w:rFonts w:hAnsi="標楷體" w:hint="eastAsia"/>
        </w:rPr>
        <w:t>教學技術層次</w:t>
      </w:r>
      <w:r w:rsidR="001120ED" w:rsidRPr="00714BF6">
        <w:rPr>
          <w:rFonts w:hAnsi="標楷體" w:hint="eastAsia"/>
        </w:rPr>
        <w:t>部分</w:t>
      </w:r>
      <w:r w:rsidRPr="00714BF6">
        <w:rPr>
          <w:rFonts w:hAnsi="標楷體" w:hint="eastAsia"/>
        </w:rPr>
        <w:t>，</w:t>
      </w:r>
      <w:proofErr w:type="gramStart"/>
      <w:r w:rsidR="00786814" w:rsidRPr="00714BF6">
        <w:rPr>
          <w:rFonts w:hAnsi="標楷體" w:hint="eastAsia"/>
        </w:rPr>
        <w:t>宜允由</w:t>
      </w:r>
      <w:proofErr w:type="gramEnd"/>
      <w:r w:rsidR="00786814" w:rsidRPr="00714BF6">
        <w:rPr>
          <w:rFonts w:hAnsi="標楷體" w:hint="eastAsia"/>
        </w:rPr>
        <w:t>各</w:t>
      </w:r>
      <w:r w:rsidRPr="00714BF6">
        <w:rPr>
          <w:rFonts w:hAnsi="標楷體" w:hint="eastAsia"/>
        </w:rPr>
        <w:t>校基於優勢領域發展</w:t>
      </w:r>
      <w:r w:rsidR="00786814" w:rsidRPr="00714BF6">
        <w:rPr>
          <w:rFonts w:hAnsi="標楷體" w:hint="eastAsia"/>
        </w:rPr>
        <w:t>特色</w:t>
      </w:r>
      <w:r w:rsidRPr="00714BF6">
        <w:rPr>
          <w:rFonts w:hAnsi="標楷體" w:hint="eastAsia"/>
        </w:rPr>
        <w:t>，並應</w:t>
      </w:r>
      <w:proofErr w:type="gramStart"/>
      <w:r w:rsidRPr="00714BF6">
        <w:rPr>
          <w:rFonts w:hAnsi="標楷體" w:hint="eastAsia"/>
        </w:rPr>
        <w:t>落實課責機制</w:t>
      </w:r>
      <w:proofErr w:type="gramEnd"/>
      <w:r w:rsidRPr="00714BF6">
        <w:rPr>
          <w:rFonts w:hAnsi="標楷體" w:hint="eastAsia"/>
        </w:rPr>
        <w:t>；</w:t>
      </w:r>
      <w:proofErr w:type="gramStart"/>
      <w:r w:rsidRPr="00714BF6">
        <w:rPr>
          <w:rFonts w:hAnsi="標楷體" w:hint="eastAsia"/>
        </w:rPr>
        <w:t>另</w:t>
      </w:r>
      <w:proofErr w:type="gramEnd"/>
      <w:r w:rsidRPr="00714BF6">
        <w:rPr>
          <w:rFonts w:hAnsi="標楷體" w:hint="eastAsia"/>
        </w:rPr>
        <w:t>，檢視教學卓越計畫審核原則與績效指標內涵，並經蒐羅學校實務</w:t>
      </w:r>
      <w:r w:rsidR="00786814" w:rsidRPr="00714BF6">
        <w:rPr>
          <w:rFonts w:hAnsi="標楷體" w:hint="eastAsia"/>
        </w:rPr>
        <w:t>運作經驗</w:t>
      </w:r>
      <w:r w:rsidRPr="00714BF6">
        <w:rPr>
          <w:rFonts w:hAnsi="標楷體" w:hint="eastAsia"/>
        </w:rPr>
        <w:t>，對於</w:t>
      </w:r>
      <w:r w:rsidR="00786814" w:rsidRPr="00714BF6">
        <w:rPr>
          <w:rFonts w:hAnsi="標楷體" w:hint="eastAsia"/>
        </w:rPr>
        <w:t>該計畫似</w:t>
      </w:r>
      <w:r w:rsidR="00F37BCC" w:rsidRPr="00714BF6">
        <w:rPr>
          <w:rFonts w:hAnsi="標楷體" w:hint="eastAsia"/>
        </w:rPr>
        <w:t>有過於著重教學技術與硬體</w:t>
      </w:r>
      <w:r w:rsidR="002C6486" w:rsidRPr="00714BF6">
        <w:rPr>
          <w:rFonts w:hAnsi="標楷體" w:hint="eastAsia"/>
        </w:rPr>
        <w:t>建設</w:t>
      </w:r>
      <w:r w:rsidR="00F37BCC" w:rsidRPr="00714BF6">
        <w:rPr>
          <w:rFonts w:hAnsi="標楷體" w:hint="eastAsia"/>
        </w:rPr>
        <w:t>之批評</w:t>
      </w:r>
      <w:r w:rsidRPr="00714BF6">
        <w:rPr>
          <w:rFonts w:hAnsi="標楷體" w:hint="eastAsia"/>
        </w:rPr>
        <w:t>聲</w:t>
      </w:r>
      <w:r w:rsidR="00EA1F56" w:rsidRPr="00714BF6">
        <w:rPr>
          <w:rFonts w:hAnsi="標楷體" w:hint="eastAsia"/>
        </w:rPr>
        <w:t>浪</w:t>
      </w:r>
      <w:r w:rsidR="00F37BCC" w:rsidRPr="00714BF6">
        <w:rPr>
          <w:rFonts w:hAnsi="標楷體" w:hint="eastAsia"/>
        </w:rPr>
        <w:t>，且部分計畫成果尚難對應計畫目標，</w:t>
      </w:r>
      <w:r w:rsidRPr="00714BF6">
        <w:rPr>
          <w:rFonts w:hAnsi="標楷體" w:hint="eastAsia"/>
        </w:rPr>
        <w:t>允應儘速盤點檢視已發展之教學建制，以</w:t>
      </w:r>
      <w:proofErr w:type="gramStart"/>
      <w:r w:rsidRPr="00714BF6">
        <w:rPr>
          <w:rFonts w:hAnsi="標楷體" w:hint="eastAsia"/>
        </w:rPr>
        <w:t>釐</w:t>
      </w:r>
      <w:proofErr w:type="gramEnd"/>
      <w:r w:rsidRPr="00714BF6">
        <w:rPr>
          <w:rFonts w:hAnsi="標楷體" w:hint="eastAsia"/>
        </w:rPr>
        <w:t>清</w:t>
      </w:r>
      <w:r w:rsidR="00F37BCC" w:rsidRPr="00714BF6">
        <w:rPr>
          <w:rFonts w:hAnsi="標楷體" w:hint="eastAsia"/>
        </w:rPr>
        <w:t>促進高等教育教學品質之有效策略</w:t>
      </w:r>
      <w:r w:rsidRPr="00714BF6">
        <w:rPr>
          <w:rFonts w:hAnsi="標楷體" w:hint="eastAsia"/>
        </w:rPr>
        <w:t>。</w:t>
      </w:r>
      <w:r w:rsidRPr="00714BF6">
        <w:rPr>
          <w:rFonts w:hAnsi="標楷體"/>
        </w:rPr>
        <w:t xml:space="preserve"> </w:t>
      </w:r>
    </w:p>
    <w:p w:rsidR="004F0A1F" w:rsidRPr="00714BF6" w:rsidRDefault="004F0A1F" w:rsidP="000B2F2E">
      <w:pPr>
        <w:pStyle w:val="3"/>
        <w:numPr>
          <w:ilvl w:val="0"/>
          <w:numId w:val="0"/>
        </w:numPr>
        <w:spacing w:line="480" w:lineRule="exact"/>
        <w:ind w:left="1532"/>
        <w:rPr>
          <w:rFonts w:hAnsi="標楷體"/>
        </w:rPr>
      </w:pPr>
    </w:p>
    <w:p w:rsidR="001629FA" w:rsidRPr="00714BF6" w:rsidRDefault="001629FA" w:rsidP="000B2F2E">
      <w:pPr>
        <w:pStyle w:val="2"/>
        <w:spacing w:line="480" w:lineRule="exact"/>
        <w:ind w:left="993" w:hanging="709"/>
        <w:rPr>
          <w:b/>
          <w:bCs w:val="0"/>
          <w:kern w:val="0"/>
        </w:rPr>
      </w:pPr>
      <w:bookmarkStart w:id="65" w:name="_Toc457658106"/>
      <w:r w:rsidRPr="00714BF6">
        <w:rPr>
          <w:rFonts w:hAnsi="標楷體" w:hint="eastAsia"/>
          <w:b/>
          <w:bCs w:val="0"/>
          <w:kern w:val="0"/>
          <w:szCs w:val="32"/>
        </w:rPr>
        <w:t>大學教學卓越</w:t>
      </w:r>
      <w:r w:rsidRPr="00714BF6">
        <w:rPr>
          <w:rFonts w:hAnsi="標楷體" w:hint="eastAsia"/>
          <w:b/>
          <w:kern w:val="0"/>
          <w:szCs w:val="32"/>
        </w:rPr>
        <w:t>計畫藉成立</w:t>
      </w:r>
      <w:r w:rsidR="00E634B3" w:rsidRPr="00714BF6">
        <w:rPr>
          <w:rFonts w:hAnsi="標楷體" w:hint="eastAsia"/>
          <w:b/>
          <w:kern w:val="0"/>
          <w:szCs w:val="32"/>
        </w:rPr>
        <w:t>「</w:t>
      </w:r>
      <w:r w:rsidRPr="00714BF6">
        <w:rPr>
          <w:rFonts w:hAnsi="標楷體" w:hint="eastAsia"/>
          <w:b/>
          <w:bCs w:val="0"/>
          <w:kern w:val="0"/>
          <w:szCs w:val="32"/>
        </w:rPr>
        <w:t>區域教學資源中心</w:t>
      </w:r>
      <w:r w:rsidR="00E634B3" w:rsidRPr="00714BF6">
        <w:rPr>
          <w:rFonts w:hAnsi="標楷體" w:hint="eastAsia"/>
          <w:b/>
          <w:bCs w:val="0"/>
          <w:kern w:val="0"/>
          <w:szCs w:val="32"/>
        </w:rPr>
        <w:t>」</w:t>
      </w:r>
      <w:r w:rsidRPr="00714BF6">
        <w:rPr>
          <w:rFonts w:hAnsi="標楷體" w:hint="eastAsia"/>
          <w:b/>
          <w:bCs w:val="0"/>
          <w:kern w:val="0"/>
          <w:szCs w:val="32"/>
        </w:rPr>
        <w:t>促進資源共享，為多數學校</w:t>
      </w:r>
      <w:r w:rsidR="00BF69AF" w:rsidRPr="00714BF6">
        <w:rPr>
          <w:rFonts w:hAnsi="標楷體" w:hint="eastAsia"/>
          <w:b/>
          <w:bCs w:val="0"/>
          <w:kern w:val="0"/>
          <w:szCs w:val="32"/>
        </w:rPr>
        <w:t>所</w:t>
      </w:r>
      <w:r w:rsidRPr="00714BF6">
        <w:rPr>
          <w:rFonts w:hAnsi="標楷體" w:hint="eastAsia"/>
          <w:b/>
          <w:bCs w:val="0"/>
          <w:kern w:val="0"/>
          <w:szCs w:val="32"/>
        </w:rPr>
        <w:t>肯定，然計畫設</w:t>
      </w:r>
      <w:r w:rsidR="00E13C4F" w:rsidRPr="00714BF6">
        <w:rPr>
          <w:rFonts w:hAnsi="標楷體" w:hint="eastAsia"/>
          <w:b/>
          <w:bCs w:val="0"/>
          <w:kern w:val="0"/>
          <w:szCs w:val="32"/>
        </w:rPr>
        <w:t>立</w:t>
      </w:r>
      <w:r w:rsidRPr="00714BF6">
        <w:rPr>
          <w:rFonts w:hAnsi="標楷體" w:hint="eastAsia"/>
          <w:b/>
          <w:bCs w:val="0"/>
          <w:kern w:val="0"/>
          <w:szCs w:val="32"/>
        </w:rPr>
        <w:t>之</w:t>
      </w:r>
      <w:proofErr w:type="gramStart"/>
      <w:r w:rsidRPr="00714BF6">
        <w:rPr>
          <w:rFonts w:hAnsi="標楷體" w:hint="eastAsia"/>
          <w:b/>
          <w:kern w:val="0"/>
          <w:szCs w:val="32"/>
        </w:rPr>
        <w:t>ㄧ</w:t>
      </w:r>
      <w:proofErr w:type="gramEnd"/>
      <w:r w:rsidRPr="00714BF6">
        <w:rPr>
          <w:rFonts w:hAnsi="標楷體" w:hint="eastAsia"/>
          <w:b/>
          <w:kern w:val="0"/>
          <w:szCs w:val="32"/>
        </w:rPr>
        <w:t>致</w:t>
      </w:r>
      <w:r w:rsidRPr="00714BF6">
        <w:rPr>
          <w:rFonts w:hAnsi="標楷體" w:hint="eastAsia"/>
          <w:b/>
          <w:bCs w:val="0"/>
          <w:kern w:val="0"/>
          <w:szCs w:val="32"/>
        </w:rPr>
        <w:t>性指標與區域教學資源中心典範移轉之作法，</w:t>
      </w:r>
      <w:r w:rsidR="00D96295" w:rsidRPr="00714BF6">
        <w:rPr>
          <w:rFonts w:hAnsi="標楷體" w:hint="eastAsia"/>
          <w:b/>
          <w:bCs w:val="0"/>
          <w:kern w:val="0"/>
          <w:szCs w:val="32"/>
        </w:rPr>
        <w:t>同</w:t>
      </w:r>
      <w:r w:rsidR="00584505" w:rsidRPr="00714BF6">
        <w:rPr>
          <w:rFonts w:hAnsi="標楷體" w:hint="eastAsia"/>
          <w:b/>
          <w:bCs w:val="0"/>
          <w:kern w:val="0"/>
          <w:szCs w:val="32"/>
        </w:rPr>
        <w:t>有</w:t>
      </w:r>
      <w:r w:rsidR="00E13C4F" w:rsidRPr="00714BF6">
        <w:rPr>
          <w:rFonts w:hAnsi="標楷體" w:hint="eastAsia"/>
          <w:b/>
          <w:bCs w:val="0"/>
          <w:kern w:val="0"/>
          <w:szCs w:val="32"/>
        </w:rPr>
        <w:t>誘</w:t>
      </w:r>
      <w:r w:rsidR="00584505" w:rsidRPr="00714BF6">
        <w:rPr>
          <w:rFonts w:hAnsi="標楷體" w:hint="eastAsia"/>
          <w:b/>
          <w:bCs w:val="0"/>
          <w:kern w:val="0"/>
          <w:szCs w:val="32"/>
        </w:rPr>
        <w:t>導</w:t>
      </w:r>
      <w:proofErr w:type="gramStart"/>
      <w:r w:rsidR="00E634B3" w:rsidRPr="00714BF6">
        <w:rPr>
          <w:rFonts w:hAnsi="標楷體" w:hint="eastAsia"/>
          <w:b/>
          <w:bCs w:val="0"/>
          <w:kern w:val="0"/>
          <w:szCs w:val="32"/>
        </w:rPr>
        <w:t>各</w:t>
      </w:r>
      <w:r w:rsidR="00584505" w:rsidRPr="00714BF6">
        <w:rPr>
          <w:rFonts w:hAnsi="標楷體" w:hint="eastAsia"/>
          <w:b/>
          <w:bCs w:val="0"/>
          <w:kern w:val="0"/>
          <w:szCs w:val="32"/>
        </w:rPr>
        <w:t>校</w:t>
      </w:r>
      <w:r w:rsidR="00BF69AF" w:rsidRPr="00714BF6">
        <w:rPr>
          <w:rFonts w:hAnsi="標楷體" w:hint="eastAsia"/>
          <w:b/>
          <w:bCs w:val="0"/>
          <w:kern w:val="0"/>
          <w:szCs w:val="32"/>
        </w:rPr>
        <w:t>朝</w:t>
      </w:r>
      <w:r w:rsidR="00E13C4F" w:rsidRPr="00714BF6">
        <w:rPr>
          <w:rFonts w:hAnsi="標楷體" w:hint="eastAsia"/>
          <w:b/>
          <w:bCs w:val="0"/>
          <w:kern w:val="0"/>
          <w:szCs w:val="32"/>
        </w:rPr>
        <w:t>同</w:t>
      </w:r>
      <w:proofErr w:type="gramEnd"/>
      <w:r w:rsidR="00E13C4F" w:rsidRPr="00714BF6">
        <w:rPr>
          <w:rFonts w:hAnsi="標楷體" w:hint="eastAsia"/>
          <w:b/>
          <w:bCs w:val="0"/>
          <w:kern w:val="0"/>
          <w:szCs w:val="32"/>
        </w:rPr>
        <w:t>質</w:t>
      </w:r>
      <w:r w:rsidR="00584505" w:rsidRPr="00714BF6">
        <w:rPr>
          <w:rFonts w:hAnsi="標楷體" w:hint="eastAsia"/>
          <w:b/>
          <w:bCs w:val="0"/>
          <w:kern w:val="0"/>
          <w:szCs w:val="32"/>
        </w:rPr>
        <w:t>發展</w:t>
      </w:r>
      <w:r w:rsidRPr="00714BF6">
        <w:rPr>
          <w:rFonts w:hAnsi="標楷體" w:hint="eastAsia"/>
          <w:b/>
          <w:bCs w:val="0"/>
          <w:kern w:val="0"/>
          <w:szCs w:val="32"/>
        </w:rPr>
        <w:t>之隱憂</w:t>
      </w:r>
      <w:r w:rsidR="00B95298" w:rsidRPr="00714BF6">
        <w:rPr>
          <w:rFonts w:hAnsi="標楷體" w:hint="eastAsia"/>
          <w:b/>
          <w:bCs w:val="0"/>
          <w:kern w:val="0"/>
          <w:szCs w:val="32"/>
        </w:rPr>
        <w:t>，</w:t>
      </w:r>
      <w:r w:rsidR="003D05CF" w:rsidRPr="00714BF6">
        <w:rPr>
          <w:rFonts w:hAnsi="標楷體" w:hint="eastAsia"/>
          <w:b/>
          <w:kern w:val="0"/>
          <w:szCs w:val="32"/>
        </w:rPr>
        <w:t>容</w:t>
      </w:r>
      <w:r w:rsidR="003D05CF" w:rsidRPr="00714BF6">
        <w:rPr>
          <w:rFonts w:hAnsi="標楷體" w:hint="eastAsia"/>
          <w:b/>
          <w:bCs w:val="0"/>
          <w:kern w:val="0"/>
          <w:szCs w:val="32"/>
        </w:rPr>
        <w:t>有檢討空間</w:t>
      </w:r>
      <w:r w:rsidR="00D96295" w:rsidRPr="00714BF6">
        <w:rPr>
          <w:rFonts w:hAnsi="標楷體" w:hint="eastAsia"/>
          <w:b/>
          <w:bCs w:val="0"/>
          <w:kern w:val="0"/>
          <w:szCs w:val="32"/>
        </w:rPr>
        <w:t>；</w:t>
      </w:r>
      <w:proofErr w:type="gramStart"/>
      <w:r w:rsidR="00D96295" w:rsidRPr="00714BF6">
        <w:rPr>
          <w:rFonts w:hAnsi="標楷體" w:hint="eastAsia"/>
          <w:b/>
          <w:bCs w:val="0"/>
          <w:kern w:val="0"/>
          <w:szCs w:val="32"/>
        </w:rPr>
        <w:t>此外</w:t>
      </w:r>
      <w:r w:rsidRPr="00714BF6">
        <w:rPr>
          <w:rFonts w:hAnsi="標楷體" w:hint="eastAsia"/>
          <w:b/>
          <w:kern w:val="0"/>
          <w:szCs w:val="32"/>
        </w:rPr>
        <w:t>，</w:t>
      </w:r>
      <w:proofErr w:type="gramEnd"/>
      <w:r w:rsidR="003D05CF" w:rsidRPr="00714BF6">
        <w:rPr>
          <w:rFonts w:hAnsi="標楷體" w:hint="eastAsia"/>
          <w:b/>
          <w:kern w:val="0"/>
          <w:szCs w:val="32"/>
        </w:rPr>
        <w:t>教學卓越計畫結束後，</w:t>
      </w:r>
      <w:r w:rsidR="00102645" w:rsidRPr="00714BF6">
        <w:rPr>
          <w:rFonts w:hAnsi="標楷體" w:hint="eastAsia"/>
          <w:b/>
          <w:kern w:val="0"/>
          <w:szCs w:val="32"/>
        </w:rPr>
        <w:t>相關子計畫</w:t>
      </w:r>
      <w:r w:rsidR="00B95298" w:rsidRPr="00714BF6">
        <w:rPr>
          <w:rFonts w:hAnsi="標楷體" w:hint="eastAsia"/>
          <w:b/>
          <w:kern w:val="0"/>
          <w:szCs w:val="32"/>
        </w:rPr>
        <w:t>與其建制措施</w:t>
      </w:r>
      <w:r w:rsidR="00102645" w:rsidRPr="00714BF6">
        <w:rPr>
          <w:rFonts w:hAnsi="標楷體" w:hint="eastAsia"/>
          <w:b/>
          <w:kern w:val="0"/>
          <w:szCs w:val="32"/>
        </w:rPr>
        <w:t>之</w:t>
      </w:r>
      <w:r w:rsidR="00E13C4F" w:rsidRPr="00714BF6">
        <w:rPr>
          <w:rFonts w:hAnsi="標楷體" w:hint="eastAsia"/>
          <w:b/>
          <w:kern w:val="0"/>
          <w:szCs w:val="32"/>
        </w:rPr>
        <w:t>後續</w:t>
      </w:r>
      <w:r w:rsidR="003D05CF" w:rsidRPr="00714BF6">
        <w:rPr>
          <w:rFonts w:hAnsi="標楷體" w:hint="eastAsia"/>
          <w:b/>
          <w:kern w:val="0"/>
          <w:szCs w:val="32"/>
        </w:rPr>
        <w:t>整合</w:t>
      </w:r>
      <w:r w:rsidR="00BF69AF" w:rsidRPr="00714BF6">
        <w:rPr>
          <w:rFonts w:hAnsi="標楷體" w:hint="eastAsia"/>
          <w:b/>
          <w:kern w:val="0"/>
          <w:szCs w:val="32"/>
        </w:rPr>
        <w:t>、</w:t>
      </w:r>
      <w:r w:rsidR="00B95298" w:rsidRPr="00714BF6">
        <w:rPr>
          <w:rFonts w:hAnsi="標楷體" w:hint="eastAsia"/>
          <w:b/>
          <w:kern w:val="0"/>
          <w:szCs w:val="32"/>
        </w:rPr>
        <w:t>存廢</w:t>
      </w:r>
      <w:r w:rsidR="00E13C4F" w:rsidRPr="00714BF6">
        <w:rPr>
          <w:rFonts w:hAnsi="標楷體" w:hint="eastAsia"/>
          <w:b/>
          <w:kern w:val="0"/>
          <w:szCs w:val="32"/>
        </w:rPr>
        <w:t>等</w:t>
      </w:r>
      <w:r w:rsidR="003D05CF" w:rsidRPr="00714BF6">
        <w:rPr>
          <w:rFonts w:hAnsi="標楷體" w:hint="eastAsia"/>
          <w:b/>
          <w:kern w:val="0"/>
          <w:szCs w:val="32"/>
        </w:rPr>
        <w:t>問題</w:t>
      </w:r>
      <w:r w:rsidR="00B95298" w:rsidRPr="00714BF6">
        <w:rPr>
          <w:rFonts w:hAnsi="標楷體" w:hint="eastAsia"/>
          <w:b/>
          <w:kern w:val="0"/>
          <w:szCs w:val="32"/>
        </w:rPr>
        <w:t>，</w:t>
      </w:r>
      <w:r w:rsidR="00E13C4F" w:rsidRPr="00714BF6">
        <w:rPr>
          <w:rFonts w:hAnsi="標楷體" w:hint="eastAsia"/>
          <w:b/>
          <w:kern w:val="0"/>
          <w:szCs w:val="32"/>
        </w:rPr>
        <w:t>允宜及早</w:t>
      </w:r>
      <w:r w:rsidR="00BF69AF" w:rsidRPr="00714BF6">
        <w:rPr>
          <w:rFonts w:hAnsi="標楷體" w:hint="eastAsia"/>
          <w:b/>
          <w:kern w:val="0"/>
          <w:szCs w:val="32"/>
        </w:rPr>
        <w:t>綢繆</w:t>
      </w:r>
      <w:r w:rsidRPr="00714BF6">
        <w:rPr>
          <w:rFonts w:hint="eastAsia"/>
          <w:b/>
          <w:bCs w:val="0"/>
          <w:kern w:val="0"/>
        </w:rPr>
        <w:t>。</w:t>
      </w:r>
      <w:bookmarkEnd w:id="65"/>
    </w:p>
    <w:p w:rsidR="001629FA" w:rsidRDefault="000A2185" w:rsidP="000B2F2E">
      <w:pPr>
        <w:pStyle w:val="3"/>
        <w:spacing w:line="480" w:lineRule="exact"/>
        <w:rPr>
          <w:rFonts w:hAnsi="標楷體" w:hint="eastAsia"/>
          <w:szCs w:val="32"/>
        </w:rPr>
      </w:pPr>
      <w:proofErr w:type="gramStart"/>
      <w:r w:rsidRPr="00714BF6">
        <w:rPr>
          <w:rFonts w:hAnsi="標楷體" w:hint="eastAsia"/>
          <w:bCs w:val="0"/>
          <w:szCs w:val="32"/>
        </w:rPr>
        <w:t>學校間因規模</w:t>
      </w:r>
      <w:proofErr w:type="gramEnd"/>
      <w:r w:rsidRPr="00714BF6">
        <w:rPr>
          <w:rFonts w:hAnsi="標楷體" w:hint="eastAsia"/>
          <w:bCs w:val="0"/>
          <w:szCs w:val="32"/>
        </w:rPr>
        <w:t>、系所結構及地理環境等條件不一</w:t>
      </w:r>
      <w:r w:rsidR="001629FA" w:rsidRPr="00714BF6">
        <w:rPr>
          <w:rFonts w:hAnsi="標楷體" w:hint="eastAsia"/>
          <w:bCs w:val="0"/>
          <w:szCs w:val="32"/>
        </w:rPr>
        <w:t>，教學資源不盡相同，</w:t>
      </w:r>
      <w:r w:rsidRPr="00714BF6">
        <w:rPr>
          <w:rFonts w:hAnsi="標楷體" w:hint="eastAsia"/>
          <w:bCs w:val="0"/>
          <w:szCs w:val="32"/>
        </w:rPr>
        <w:t>教育部</w:t>
      </w:r>
      <w:r w:rsidR="001629FA" w:rsidRPr="00714BF6">
        <w:rPr>
          <w:rFonts w:hAnsi="標楷體" w:hint="eastAsia"/>
          <w:bCs w:val="0"/>
          <w:szCs w:val="32"/>
        </w:rPr>
        <w:t>為降低</w:t>
      </w:r>
      <w:r w:rsidRPr="00714BF6">
        <w:rPr>
          <w:rFonts w:hAnsi="標楷體" w:hint="eastAsia"/>
          <w:bCs w:val="0"/>
          <w:szCs w:val="32"/>
        </w:rPr>
        <w:t>校際間</w:t>
      </w:r>
      <w:r w:rsidR="001629FA" w:rsidRPr="00714BF6">
        <w:rPr>
          <w:rFonts w:hAnsi="標楷體" w:hint="eastAsia"/>
          <w:bCs w:val="0"/>
          <w:szCs w:val="32"/>
        </w:rPr>
        <w:t>差異，</w:t>
      </w:r>
      <w:r w:rsidRPr="00714BF6">
        <w:rPr>
          <w:rFonts w:hAnsi="標楷體" w:hint="eastAsia"/>
          <w:bCs w:val="0"/>
          <w:szCs w:val="32"/>
        </w:rPr>
        <w:t>於教學卓越</w:t>
      </w:r>
      <w:r w:rsidR="001629FA" w:rsidRPr="00714BF6">
        <w:rPr>
          <w:rFonts w:hAnsi="標楷體" w:hint="eastAsia"/>
          <w:bCs w:val="0"/>
          <w:szCs w:val="32"/>
        </w:rPr>
        <w:t>計畫</w:t>
      </w:r>
      <w:r w:rsidRPr="00714BF6">
        <w:rPr>
          <w:rFonts w:hAnsi="標楷體" w:hint="eastAsia"/>
          <w:bCs w:val="0"/>
          <w:szCs w:val="32"/>
        </w:rPr>
        <w:t>中</w:t>
      </w:r>
      <w:r w:rsidR="001629FA" w:rsidRPr="00714BF6">
        <w:rPr>
          <w:rFonts w:hAnsi="標楷體" w:hint="eastAsia"/>
          <w:bCs w:val="0"/>
          <w:szCs w:val="32"/>
        </w:rPr>
        <w:t>另訂子計畫</w:t>
      </w:r>
      <w:proofErr w:type="gramStart"/>
      <w:r w:rsidR="001629FA" w:rsidRPr="00714BF6">
        <w:rPr>
          <w:rFonts w:hAnsi="標楷體" w:hint="eastAsia"/>
          <w:bCs w:val="0"/>
          <w:szCs w:val="32"/>
        </w:rPr>
        <w:t>─</w:t>
      </w:r>
      <w:proofErr w:type="gramEnd"/>
      <w:r w:rsidR="001629FA" w:rsidRPr="00714BF6">
        <w:rPr>
          <w:rFonts w:hAnsi="標楷體" w:hint="eastAsia"/>
          <w:bCs w:val="0"/>
          <w:szCs w:val="32"/>
        </w:rPr>
        <w:t>「區域教學資源中心計畫」</w:t>
      </w:r>
      <w:proofErr w:type="gramStart"/>
      <w:r w:rsidR="001629FA" w:rsidRPr="00714BF6">
        <w:rPr>
          <w:rFonts w:hAnsi="標楷體" w:hint="eastAsia"/>
          <w:bCs w:val="0"/>
          <w:szCs w:val="32"/>
        </w:rPr>
        <w:t>─</w:t>
      </w:r>
      <w:proofErr w:type="gramEnd"/>
      <w:r w:rsidRPr="00714BF6">
        <w:rPr>
          <w:rFonts w:hAnsi="標楷體" w:hint="eastAsia"/>
          <w:bCs w:val="0"/>
          <w:szCs w:val="32"/>
        </w:rPr>
        <w:t>該</w:t>
      </w:r>
      <w:r w:rsidR="00EB69B9" w:rsidRPr="00714BF6">
        <w:rPr>
          <w:rFonts w:hAnsi="標楷體" w:hint="eastAsia"/>
          <w:bCs w:val="0"/>
          <w:szCs w:val="32"/>
        </w:rPr>
        <w:t>部表示，</w:t>
      </w:r>
      <w:r w:rsidRPr="00714BF6">
        <w:rPr>
          <w:rFonts w:hAnsi="標楷體" w:hint="eastAsia"/>
          <w:bCs w:val="0"/>
          <w:szCs w:val="32"/>
        </w:rPr>
        <w:t>此</w:t>
      </w:r>
      <w:r w:rsidR="0082116C" w:rsidRPr="00714BF6">
        <w:rPr>
          <w:rFonts w:hAnsi="標楷體" w:hint="eastAsia"/>
          <w:bCs w:val="0"/>
          <w:szCs w:val="32"/>
        </w:rPr>
        <w:t>係</w:t>
      </w:r>
      <w:r w:rsidR="004C16A4" w:rsidRPr="00714BF6">
        <w:rPr>
          <w:rFonts w:hAnsi="標楷體" w:hint="eastAsia"/>
          <w:bCs w:val="0"/>
          <w:szCs w:val="32"/>
        </w:rPr>
        <w:t>考量</w:t>
      </w:r>
      <w:r w:rsidR="0082116C" w:rsidRPr="00714BF6">
        <w:rPr>
          <w:rFonts w:hAnsi="標楷體" w:hint="eastAsia"/>
          <w:bCs w:val="0"/>
          <w:szCs w:val="32"/>
        </w:rPr>
        <w:t>以資源較豐富、教學能量較</w:t>
      </w:r>
      <w:r w:rsidR="004C16A4" w:rsidRPr="00714BF6">
        <w:rPr>
          <w:rFonts w:hAnsi="標楷體" w:hint="eastAsia"/>
          <w:bCs w:val="0"/>
          <w:szCs w:val="32"/>
        </w:rPr>
        <w:t>佳</w:t>
      </w:r>
      <w:r w:rsidR="0082116C" w:rsidRPr="00714BF6">
        <w:rPr>
          <w:rFonts w:hAnsi="標楷體" w:hint="eastAsia"/>
          <w:bCs w:val="0"/>
          <w:szCs w:val="32"/>
        </w:rPr>
        <w:t>之學校，帶</w:t>
      </w:r>
      <w:r w:rsidR="004C16A4" w:rsidRPr="00714BF6">
        <w:rPr>
          <w:rFonts w:hAnsi="標楷體" w:hint="eastAsia"/>
          <w:szCs w:val="32"/>
        </w:rPr>
        <w:t>動區域內各校教學品質之提升，並進一步共享資源，進而轉移</w:t>
      </w:r>
      <w:r w:rsidR="0082116C" w:rsidRPr="00714BF6">
        <w:rPr>
          <w:rFonts w:hAnsi="標楷體" w:hint="eastAsia"/>
          <w:szCs w:val="32"/>
        </w:rPr>
        <w:t>典範。</w:t>
      </w:r>
      <w:r w:rsidR="00AF36F5" w:rsidRPr="00714BF6">
        <w:rPr>
          <w:rFonts w:hAnsi="標楷體" w:hint="eastAsia"/>
          <w:szCs w:val="32"/>
        </w:rPr>
        <w:t>依據</w:t>
      </w:r>
      <w:r w:rsidR="00693F5E" w:rsidRPr="00714BF6">
        <w:rPr>
          <w:rFonts w:hAnsi="標楷體" w:hint="eastAsia"/>
          <w:szCs w:val="32"/>
        </w:rPr>
        <w:t>「</w:t>
      </w:r>
      <w:r w:rsidR="008F2C41" w:rsidRPr="00714BF6">
        <w:rPr>
          <w:rFonts w:hAnsi="標楷體" w:hint="eastAsia"/>
          <w:szCs w:val="32"/>
        </w:rPr>
        <w:t>教育部補助獎勵大學教學卓越計畫及區域教學資源中心計畫實施要點</w:t>
      </w:r>
      <w:r w:rsidR="00693F5E" w:rsidRPr="00714BF6">
        <w:rPr>
          <w:rFonts w:hAnsi="標楷體" w:hint="eastAsia"/>
          <w:szCs w:val="32"/>
        </w:rPr>
        <w:t>」</w:t>
      </w:r>
      <w:r w:rsidR="008F2C41" w:rsidRPr="00714BF6">
        <w:rPr>
          <w:rFonts w:hAnsi="標楷體" w:hint="eastAsia"/>
          <w:szCs w:val="32"/>
        </w:rPr>
        <w:t>規定，區域教育資源中心計畫補助對象包括邁向頂尖大學計畫補助之學校，</w:t>
      </w:r>
      <w:r w:rsidR="001629FA" w:rsidRPr="00714BF6">
        <w:rPr>
          <w:rFonts w:hAnsi="標楷體" w:hint="eastAsia"/>
          <w:szCs w:val="32"/>
        </w:rPr>
        <w:t>目前計有9個區域教學資源中心；</w:t>
      </w:r>
      <w:r w:rsidR="00972527" w:rsidRPr="00714BF6">
        <w:rPr>
          <w:rFonts w:hAnsi="標楷體" w:hint="eastAsia"/>
          <w:szCs w:val="32"/>
        </w:rPr>
        <w:t>歷年</w:t>
      </w:r>
      <w:r w:rsidR="004C16A4" w:rsidRPr="00714BF6">
        <w:rPr>
          <w:rFonts w:hAnsi="標楷體" w:hint="eastAsia"/>
          <w:szCs w:val="32"/>
        </w:rPr>
        <w:t>執行</w:t>
      </w:r>
      <w:r w:rsidR="00972527" w:rsidRPr="00714BF6">
        <w:rPr>
          <w:rFonts w:hAnsi="標楷體" w:hint="eastAsia"/>
          <w:szCs w:val="32"/>
        </w:rPr>
        <w:t>「區域教學資源中心計畫」</w:t>
      </w:r>
      <w:r w:rsidR="004C16A4" w:rsidRPr="00714BF6">
        <w:rPr>
          <w:rFonts w:hAnsi="標楷體" w:hint="eastAsia"/>
          <w:szCs w:val="32"/>
        </w:rPr>
        <w:t>之校院名單</w:t>
      </w:r>
      <w:r w:rsidR="00972527" w:rsidRPr="00714BF6">
        <w:rPr>
          <w:rFonts w:hAnsi="標楷體" w:hint="eastAsia"/>
          <w:szCs w:val="32"/>
        </w:rPr>
        <w:t>如下</w:t>
      </w:r>
      <w:r w:rsidR="006C128E" w:rsidRPr="00714BF6">
        <w:rPr>
          <w:rFonts w:hAnsi="標楷體" w:hint="eastAsia"/>
          <w:szCs w:val="32"/>
        </w:rPr>
        <w:t>：</w:t>
      </w:r>
    </w:p>
    <w:p w:rsidR="00AA0936" w:rsidRPr="00714BF6" w:rsidRDefault="00AA0936" w:rsidP="00AA0936">
      <w:pPr>
        <w:pStyle w:val="1"/>
        <w:numPr>
          <w:ilvl w:val="0"/>
          <w:numId w:val="0"/>
        </w:numPr>
        <w:ind w:left="2381" w:hanging="2381"/>
      </w:pPr>
    </w:p>
    <w:p w:rsidR="00BF2E00" w:rsidRPr="00714BF6" w:rsidRDefault="009F0333" w:rsidP="00E634B3">
      <w:pPr>
        <w:pStyle w:val="a1"/>
        <w:tabs>
          <w:tab w:val="left" w:pos="1134"/>
        </w:tabs>
        <w:spacing w:line="240" w:lineRule="auto"/>
        <w:ind w:leftChars="265" w:left="1559" w:hangingChars="273" w:hanging="711"/>
        <w:jc w:val="center"/>
        <w:rPr>
          <w:rFonts w:hAnsi="標楷體"/>
          <w:b/>
          <w:szCs w:val="32"/>
        </w:rPr>
      </w:pPr>
      <w:r w:rsidRPr="00714BF6">
        <w:rPr>
          <w:rFonts w:hAnsi="標楷體" w:hint="eastAsia"/>
          <w:b/>
          <w:szCs w:val="32"/>
        </w:rPr>
        <w:lastRenderedPageBreak/>
        <w:t>教學卓越計畫</w:t>
      </w:r>
      <w:r w:rsidR="004C16A4" w:rsidRPr="00714BF6">
        <w:rPr>
          <w:rFonts w:hAnsi="標楷體" w:hint="eastAsia"/>
          <w:b/>
          <w:szCs w:val="32"/>
        </w:rPr>
        <w:t>項下執行</w:t>
      </w:r>
      <w:r w:rsidRPr="00714BF6">
        <w:rPr>
          <w:rFonts w:hAnsi="標楷體" w:hint="eastAsia"/>
          <w:b/>
          <w:szCs w:val="32"/>
        </w:rPr>
        <w:t>「區域教學資源中心計畫」</w:t>
      </w:r>
      <w:r w:rsidR="00EA1F56" w:rsidRPr="00714BF6">
        <w:rPr>
          <w:rFonts w:hAnsi="標楷體" w:hint="eastAsia"/>
          <w:b/>
          <w:szCs w:val="32"/>
        </w:rPr>
        <w:t xml:space="preserve">         </w:t>
      </w:r>
      <w:r w:rsidR="00E634B3" w:rsidRPr="00714BF6">
        <w:rPr>
          <w:rFonts w:hAnsi="標楷體" w:hint="eastAsia"/>
          <w:b/>
          <w:szCs w:val="32"/>
        </w:rPr>
        <w:t xml:space="preserve">      </w:t>
      </w:r>
      <w:r w:rsidR="00EA1F56" w:rsidRPr="00714BF6">
        <w:rPr>
          <w:rFonts w:hAnsi="標楷體" w:hint="eastAsia"/>
          <w:b/>
          <w:szCs w:val="32"/>
        </w:rPr>
        <w:t xml:space="preserve">  </w:t>
      </w:r>
      <w:r w:rsidR="004C16A4" w:rsidRPr="00714BF6">
        <w:rPr>
          <w:rFonts w:hAnsi="標楷體" w:hint="eastAsia"/>
          <w:b/>
          <w:szCs w:val="32"/>
        </w:rPr>
        <w:t>之校院名單(96-105年)</w:t>
      </w:r>
    </w:p>
    <w:tbl>
      <w:tblPr>
        <w:tblStyle w:val="af7"/>
        <w:tblW w:w="7832" w:type="dxa"/>
        <w:tblInd w:w="1384" w:type="dxa"/>
        <w:tblLook w:val="04A0" w:firstRow="1" w:lastRow="0" w:firstColumn="1" w:lastColumn="0" w:noHBand="0" w:noVBand="1"/>
      </w:tblPr>
      <w:tblGrid>
        <w:gridCol w:w="1559"/>
        <w:gridCol w:w="3261"/>
        <w:gridCol w:w="3012"/>
      </w:tblGrid>
      <w:tr w:rsidR="00714BF6" w:rsidRPr="00714BF6" w:rsidTr="003C667B">
        <w:trPr>
          <w:trHeight w:val="307"/>
          <w:tblHeader/>
        </w:trPr>
        <w:tc>
          <w:tcPr>
            <w:tcW w:w="1559" w:type="dxa"/>
            <w:tcBorders>
              <w:tl2br w:val="single" w:sz="4" w:space="0" w:color="auto"/>
            </w:tcBorders>
          </w:tcPr>
          <w:p w:rsidR="001629FA" w:rsidRPr="00714BF6" w:rsidRDefault="001629FA" w:rsidP="003C667B">
            <w:pPr>
              <w:pStyle w:val="3"/>
              <w:numPr>
                <w:ilvl w:val="0"/>
                <w:numId w:val="0"/>
              </w:numPr>
              <w:spacing w:line="240" w:lineRule="exact"/>
              <w:jc w:val="center"/>
              <w:rPr>
                <w:rFonts w:hAnsi="標楷體"/>
                <w:b/>
                <w:sz w:val="24"/>
                <w:szCs w:val="24"/>
              </w:rPr>
            </w:pPr>
            <w:r w:rsidRPr="00714BF6">
              <w:rPr>
                <w:rFonts w:hAnsi="標楷體" w:hint="eastAsia"/>
                <w:b/>
                <w:sz w:val="24"/>
                <w:szCs w:val="24"/>
              </w:rPr>
              <w:t xml:space="preserve">      類型</w:t>
            </w:r>
          </w:p>
          <w:p w:rsidR="001629FA" w:rsidRPr="00714BF6" w:rsidRDefault="001629FA" w:rsidP="003C667B">
            <w:pPr>
              <w:pStyle w:val="3"/>
              <w:numPr>
                <w:ilvl w:val="0"/>
                <w:numId w:val="0"/>
              </w:numPr>
              <w:spacing w:line="240" w:lineRule="exact"/>
              <w:rPr>
                <w:rFonts w:hAnsi="標楷體"/>
                <w:b/>
                <w:sz w:val="24"/>
                <w:szCs w:val="24"/>
              </w:rPr>
            </w:pPr>
            <w:r w:rsidRPr="00714BF6">
              <w:rPr>
                <w:rFonts w:hAnsi="標楷體" w:hint="eastAsia"/>
                <w:b/>
                <w:sz w:val="24"/>
                <w:szCs w:val="24"/>
              </w:rPr>
              <w:t>期別</w:t>
            </w:r>
          </w:p>
        </w:tc>
        <w:tc>
          <w:tcPr>
            <w:tcW w:w="3261" w:type="dxa"/>
            <w:vAlign w:val="center"/>
          </w:tcPr>
          <w:p w:rsidR="001629FA" w:rsidRPr="00714BF6" w:rsidRDefault="001629FA" w:rsidP="003C667B">
            <w:pPr>
              <w:pStyle w:val="3"/>
              <w:numPr>
                <w:ilvl w:val="0"/>
                <w:numId w:val="0"/>
              </w:numPr>
              <w:spacing w:line="240" w:lineRule="exact"/>
              <w:jc w:val="center"/>
              <w:rPr>
                <w:rFonts w:hAnsi="標楷體"/>
                <w:b/>
                <w:sz w:val="24"/>
                <w:szCs w:val="24"/>
              </w:rPr>
            </w:pPr>
            <w:r w:rsidRPr="00714BF6">
              <w:rPr>
                <w:rFonts w:hAnsi="標楷體" w:hint="eastAsia"/>
                <w:b/>
                <w:sz w:val="24"/>
                <w:szCs w:val="24"/>
              </w:rPr>
              <w:t>一般大學</w:t>
            </w:r>
          </w:p>
        </w:tc>
        <w:tc>
          <w:tcPr>
            <w:tcW w:w="3012" w:type="dxa"/>
            <w:vAlign w:val="center"/>
          </w:tcPr>
          <w:p w:rsidR="001629FA" w:rsidRPr="00714BF6" w:rsidRDefault="001629FA" w:rsidP="003C667B">
            <w:pPr>
              <w:pStyle w:val="3"/>
              <w:numPr>
                <w:ilvl w:val="0"/>
                <w:numId w:val="0"/>
              </w:numPr>
              <w:spacing w:line="240" w:lineRule="exact"/>
              <w:jc w:val="center"/>
              <w:rPr>
                <w:rFonts w:hAnsi="標楷體"/>
                <w:b/>
                <w:sz w:val="24"/>
                <w:szCs w:val="24"/>
              </w:rPr>
            </w:pPr>
            <w:r w:rsidRPr="00714BF6">
              <w:rPr>
                <w:rFonts w:hAnsi="標楷體" w:hint="eastAsia"/>
                <w:b/>
                <w:sz w:val="24"/>
                <w:szCs w:val="24"/>
              </w:rPr>
              <w:t>科技校院</w:t>
            </w:r>
          </w:p>
        </w:tc>
      </w:tr>
      <w:tr w:rsidR="00714BF6" w:rsidRPr="00714BF6" w:rsidTr="006C128E">
        <w:trPr>
          <w:trHeight w:val="345"/>
        </w:trPr>
        <w:tc>
          <w:tcPr>
            <w:tcW w:w="1559" w:type="dxa"/>
            <w:vAlign w:val="center"/>
          </w:tcPr>
          <w:p w:rsidR="001629FA" w:rsidRPr="00714BF6" w:rsidRDefault="001629FA" w:rsidP="003A17DF">
            <w:pPr>
              <w:pStyle w:val="3"/>
              <w:numPr>
                <w:ilvl w:val="0"/>
                <w:numId w:val="0"/>
              </w:numPr>
              <w:spacing w:line="280" w:lineRule="exact"/>
              <w:rPr>
                <w:rFonts w:hAnsi="標楷體"/>
                <w:b/>
                <w:sz w:val="24"/>
                <w:szCs w:val="24"/>
              </w:rPr>
            </w:pPr>
            <w:r w:rsidRPr="00714BF6">
              <w:rPr>
                <w:rFonts w:hAnsi="標楷體" w:hint="eastAsia"/>
                <w:b/>
                <w:sz w:val="24"/>
                <w:szCs w:val="24"/>
              </w:rPr>
              <w:t>第1期計畫</w:t>
            </w:r>
          </w:p>
          <w:p w:rsidR="001629FA" w:rsidRPr="00714BF6" w:rsidRDefault="001629FA" w:rsidP="003A17DF">
            <w:pPr>
              <w:pStyle w:val="3"/>
              <w:numPr>
                <w:ilvl w:val="0"/>
                <w:numId w:val="0"/>
              </w:numPr>
              <w:spacing w:line="280" w:lineRule="exact"/>
              <w:rPr>
                <w:rFonts w:hAnsi="標楷體"/>
                <w:b/>
                <w:sz w:val="24"/>
                <w:szCs w:val="24"/>
              </w:rPr>
            </w:pPr>
            <w:r w:rsidRPr="00714BF6">
              <w:rPr>
                <w:rFonts w:hAnsi="標楷體" w:hint="eastAsia"/>
                <w:b/>
                <w:sz w:val="24"/>
                <w:szCs w:val="24"/>
              </w:rPr>
              <w:t>(一般大學為96年至98年；科技校院為95年至98年)</w:t>
            </w:r>
          </w:p>
        </w:tc>
        <w:tc>
          <w:tcPr>
            <w:tcW w:w="3261" w:type="dxa"/>
            <w:vAlign w:val="center"/>
          </w:tcPr>
          <w:p w:rsidR="001629FA" w:rsidRPr="00714BF6" w:rsidRDefault="001629FA" w:rsidP="009020DB">
            <w:pPr>
              <w:pStyle w:val="3"/>
              <w:numPr>
                <w:ilvl w:val="0"/>
                <w:numId w:val="0"/>
              </w:numPr>
              <w:spacing w:line="280" w:lineRule="exact"/>
              <w:rPr>
                <w:rFonts w:hAnsi="標楷體"/>
                <w:sz w:val="24"/>
                <w:szCs w:val="24"/>
              </w:rPr>
            </w:pPr>
            <w:r w:rsidRPr="00714BF6">
              <w:rPr>
                <w:rFonts w:hAnsi="標楷體" w:hint="eastAsia"/>
                <w:sz w:val="24"/>
                <w:szCs w:val="24"/>
              </w:rPr>
              <w:t>逢甲大學、國立東華大學、國立成功大學</w:t>
            </w:r>
            <w:r w:rsidR="006C128E" w:rsidRPr="00714BF6">
              <w:rPr>
                <w:rFonts w:hAnsi="標楷體" w:hint="eastAsia"/>
                <w:sz w:val="24"/>
                <w:szCs w:val="24"/>
              </w:rPr>
              <w:t>*</w:t>
            </w:r>
            <w:r w:rsidR="009020DB" w:rsidRPr="00714BF6">
              <w:rPr>
                <w:rFonts w:hAnsi="標楷體" w:hint="eastAsia"/>
                <w:sz w:val="24"/>
                <w:szCs w:val="24"/>
              </w:rPr>
              <w:t>、義守大學、東吳大學、中原大學</w:t>
            </w:r>
            <w:r w:rsidRPr="00714BF6">
              <w:rPr>
                <w:rFonts w:hAnsi="標楷體" w:hint="eastAsia"/>
                <w:sz w:val="24"/>
                <w:szCs w:val="24"/>
              </w:rPr>
              <w:t>及國立高雄師範大學</w:t>
            </w:r>
            <w:r w:rsidR="009020DB" w:rsidRPr="00714BF6">
              <w:rPr>
                <w:rFonts w:hAnsi="標楷體" w:hint="eastAsia"/>
                <w:sz w:val="24"/>
                <w:szCs w:val="24"/>
              </w:rPr>
              <w:t>7</w:t>
            </w:r>
            <w:r w:rsidRPr="00714BF6">
              <w:rPr>
                <w:rFonts w:hAnsi="標楷體" w:hint="eastAsia"/>
                <w:sz w:val="24"/>
                <w:szCs w:val="24"/>
              </w:rPr>
              <w:t>校</w:t>
            </w:r>
          </w:p>
        </w:tc>
        <w:tc>
          <w:tcPr>
            <w:tcW w:w="3012" w:type="dxa"/>
            <w:vAlign w:val="center"/>
          </w:tcPr>
          <w:p w:rsidR="001629FA" w:rsidRPr="00714BF6" w:rsidRDefault="001629FA" w:rsidP="003A17DF">
            <w:pPr>
              <w:pStyle w:val="3"/>
              <w:numPr>
                <w:ilvl w:val="0"/>
                <w:numId w:val="0"/>
              </w:numPr>
              <w:spacing w:line="280" w:lineRule="exact"/>
              <w:rPr>
                <w:rFonts w:hAnsi="標楷體"/>
                <w:sz w:val="24"/>
                <w:szCs w:val="24"/>
              </w:rPr>
            </w:pPr>
            <w:r w:rsidRPr="00714BF6">
              <w:rPr>
                <w:rFonts w:hAnsi="標楷體" w:hint="eastAsia"/>
                <w:sz w:val="24"/>
                <w:szCs w:val="24"/>
              </w:rPr>
              <w:t>國立</w:t>
            </w:r>
            <w:proofErr w:type="gramStart"/>
            <w:r w:rsidRPr="00714BF6">
              <w:rPr>
                <w:rFonts w:hAnsi="標楷體" w:hint="eastAsia"/>
                <w:sz w:val="24"/>
                <w:szCs w:val="24"/>
              </w:rPr>
              <w:t>臺</w:t>
            </w:r>
            <w:proofErr w:type="gramEnd"/>
            <w:r w:rsidRPr="00714BF6">
              <w:rPr>
                <w:rFonts w:hAnsi="標楷體" w:hint="eastAsia"/>
                <w:sz w:val="24"/>
                <w:szCs w:val="24"/>
              </w:rPr>
              <w:t>北科技大學、國立雲林科技大學及國立高雄應用科技大學3校</w:t>
            </w:r>
          </w:p>
        </w:tc>
      </w:tr>
      <w:tr w:rsidR="00714BF6" w:rsidRPr="00714BF6" w:rsidTr="003F61D6">
        <w:trPr>
          <w:trHeight w:val="1298"/>
        </w:trPr>
        <w:tc>
          <w:tcPr>
            <w:tcW w:w="1559" w:type="dxa"/>
            <w:vAlign w:val="center"/>
          </w:tcPr>
          <w:p w:rsidR="001629FA" w:rsidRPr="00714BF6" w:rsidRDefault="001629FA" w:rsidP="003A17DF">
            <w:pPr>
              <w:pStyle w:val="3"/>
              <w:numPr>
                <w:ilvl w:val="0"/>
                <w:numId w:val="0"/>
              </w:numPr>
              <w:spacing w:line="280" w:lineRule="exact"/>
              <w:rPr>
                <w:rFonts w:hAnsi="標楷體"/>
                <w:b/>
                <w:sz w:val="24"/>
                <w:szCs w:val="24"/>
              </w:rPr>
            </w:pPr>
            <w:r w:rsidRPr="00714BF6">
              <w:rPr>
                <w:rFonts w:hAnsi="標楷體" w:hint="eastAsia"/>
                <w:b/>
                <w:sz w:val="24"/>
                <w:szCs w:val="24"/>
              </w:rPr>
              <w:t>第2期計畫</w:t>
            </w:r>
          </w:p>
          <w:p w:rsidR="001629FA" w:rsidRPr="00714BF6" w:rsidRDefault="001629FA" w:rsidP="003A17DF">
            <w:pPr>
              <w:pStyle w:val="3"/>
              <w:numPr>
                <w:ilvl w:val="0"/>
                <w:numId w:val="0"/>
              </w:numPr>
              <w:spacing w:line="280" w:lineRule="exact"/>
              <w:rPr>
                <w:rFonts w:hAnsi="標楷體"/>
                <w:b/>
                <w:sz w:val="24"/>
                <w:szCs w:val="24"/>
              </w:rPr>
            </w:pPr>
            <w:r w:rsidRPr="00714BF6">
              <w:rPr>
                <w:rFonts w:hAnsi="標楷體" w:hint="eastAsia"/>
                <w:b/>
                <w:sz w:val="24"/>
                <w:szCs w:val="24"/>
              </w:rPr>
              <w:t>(99年至101年)</w:t>
            </w:r>
          </w:p>
        </w:tc>
        <w:tc>
          <w:tcPr>
            <w:tcW w:w="3261" w:type="dxa"/>
            <w:vAlign w:val="center"/>
          </w:tcPr>
          <w:p w:rsidR="001629FA" w:rsidRPr="00714BF6" w:rsidRDefault="001629FA" w:rsidP="003A17DF">
            <w:pPr>
              <w:pStyle w:val="3"/>
              <w:numPr>
                <w:ilvl w:val="0"/>
                <w:numId w:val="0"/>
              </w:numPr>
              <w:spacing w:line="280" w:lineRule="exact"/>
              <w:rPr>
                <w:rFonts w:hAnsi="標楷體"/>
                <w:sz w:val="24"/>
                <w:szCs w:val="24"/>
              </w:rPr>
            </w:pPr>
            <w:r w:rsidRPr="00714BF6">
              <w:rPr>
                <w:rFonts w:hAnsi="標楷體" w:hint="eastAsia"/>
                <w:sz w:val="24"/>
                <w:szCs w:val="24"/>
              </w:rPr>
              <w:t>東吳大學、國立臺灣大學</w:t>
            </w:r>
            <w:r w:rsidR="006C128E" w:rsidRPr="00714BF6">
              <w:rPr>
                <w:rFonts w:hAnsi="標楷體" w:hint="eastAsia"/>
                <w:sz w:val="24"/>
                <w:szCs w:val="24"/>
              </w:rPr>
              <w:t>*</w:t>
            </w:r>
            <w:r w:rsidRPr="00714BF6">
              <w:rPr>
                <w:rFonts w:hAnsi="標楷體" w:hint="eastAsia"/>
                <w:sz w:val="24"/>
                <w:szCs w:val="24"/>
              </w:rPr>
              <w:t>、中原大學、國立中央大學</w:t>
            </w:r>
            <w:r w:rsidR="006C128E" w:rsidRPr="00714BF6">
              <w:rPr>
                <w:rFonts w:hAnsi="標楷體" w:hint="eastAsia"/>
                <w:sz w:val="24"/>
                <w:szCs w:val="24"/>
              </w:rPr>
              <w:t>*</w:t>
            </w:r>
            <w:r w:rsidRPr="00714BF6">
              <w:rPr>
                <w:rFonts w:hAnsi="標楷體" w:hint="eastAsia"/>
                <w:sz w:val="24"/>
                <w:szCs w:val="24"/>
              </w:rPr>
              <w:t>、逢甲大學、國立成功大學</w:t>
            </w:r>
            <w:r w:rsidR="006C128E" w:rsidRPr="00714BF6">
              <w:rPr>
                <w:rFonts w:hAnsi="標楷體" w:hint="eastAsia"/>
                <w:sz w:val="24"/>
                <w:szCs w:val="24"/>
              </w:rPr>
              <w:t>*</w:t>
            </w:r>
            <w:r w:rsidRPr="00714BF6">
              <w:rPr>
                <w:rFonts w:hAnsi="標楷體" w:hint="eastAsia"/>
                <w:sz w:val="24"/>
                <w:szCs w:val="24"/>
              </w:rPr>
              <w:t>及國立中山大學</w:t>
            </w:r>
            <w:r w:rsidR="006C128E" w:rsidRPr="00714BF6">
              <w:rPr>
                <w:rFonts w:hAnsi="標楷體" w:hint="eastAsia"/>
                <w:sz w:val="24"/>
                <w:szCs w:val="24"/>
              </w:rPr>
              <w:t>*</w:t>
            </w:r>
            <w:r w:rsidRPr="00714BF6">
              <w:rPr>
                <w:rFonts w:hAnsi="標楷體" w:hint="eastAsia"/>
                <w:sz w:val="24"/>
                <w:szCs w:val="24"/>
              </w:rPr>
              <w:t>等</w:t>
            </w:r>
            <w:r w:rsidR="00817076" w:rsidRPr="00714BF6">
              <w:rPr>
                <w:rFonts w:hAnsi="標楷體" w:hint="eastAsia"/>
                <w:sz w:val="24"/>
                <w:szCs w:val="24"/>
              </w:rPr>
              <w:t>7</w:t>
            </w:r>
            <w:r w:rsidRPr="00714BF6">
              <w:rPr>
                <w:rFonts w:hAnsi="標楷體" w:hint="eastAsia"/>
                <w:sz w:val="24"/>
                <w:szCs w:val="24"/>
              </w:rPr>
              <w:t>校</w:t>
            </w:r>
          </w:p>
        </w:tc>
        <w:tc>
          <w:tcPr>
            <w:tcW w:w="3012" w:type="dxa"/>
            <w:vAlign w:val="center"/>
          </w:tcPr>
          <w:p w:rsidR="001629FA" w:rsidRPr="00714BF6" w:rsidRDefault="001629FA" w:rsidP="003A17DF">
            <w:pPr>
              <w:pStyle w:val="3"/>
              <w:numPr>
                <w:ilvl w:val="0"/>
                <w:numId w:val="0"/>
              </w:numPr>
              <w:spacing w:line="280" w:lineRule="exact"/>
              <w:rPr>
                <w:rFonts w:hAnsi="標楷體"/>
                <w:sz w:val="24"/>
                <w:szCs w:val="24"/>
              </w:rPr>
            </w:pPr>
            <w:r w:rsidRPr="00714BF6">
              <w:rPr>
                <w:rFonts w:hAnsi="標楷體" w:hint="eastAsia"/>
                <w:sz w:val="24"/>
                <w:szCs w:val="24"/>
              </w:rPr>
              <w:t>國立</w:t>
            </w:r>
            <w:proofErr w:type="gramStart"/>
            <w:r w:rsidRPr="00714BF6">
              <w:rPr>
                <w:rFonts w:hAnsi="標楷體" w:hint="eastAsia"/>
                <w:sz w:val="24"/>
                <w:szCs w:val="24"/>
              </w:rPr>
              <w:t>臺</w:t>
            </w:r>
            <w:proofErr w:type="gramEnd"/>
            <w:r w:rsidRPr="00714BF6">
              <w:rPr>
                <w:rFonts w:hAnsi="標楷體" w:hint="eastAsia"/>
                <w:sz w:val="24"/>
                <w:szCs w:val="24"/>
              </w:rPr>
              <w:t>北科技大學、國立雲林科技大學及國立高雄應用科技大學3校</w:t>
            </w:r>
          </w:p>
        </w:tc>
      </w:tr>
      <w:tr w:rsidR="00714BF6" w:rsidRPr="00714BF6" w:rsidTr="003F61D6">
        <w:trPr>
          <w:trHeight w:val="1260"/>
        </w:trPr>
        <w:tc>
          <w:tcPr>
            <w:tcW w:w="1559" w:type="dxa"/>
            <w:vAlign w:val="center"/>
          </w:tcPr>
          <w:p w:rsidR="001629FA" w:rsidRPr="00714BF6" w:rsidRDefault="001629FA" w:rsidP="003A17DF">
            <w:pPr>
              <w:pStyle w:val="3"/>
              <w:numPr>
                <w:ilvl w:val="0"/>
                <w:numId w:val="0"/>
              </w:numPr>
              <w:spacing w:line="280" w:lineRule="exact"/>
              <w:rPr>
                <w:rFonts w:hAnsi="標楷體"/>
                <w:b/>
                <w:sz w:val="24"/>
                <w:szCs w:val="24"/>
              </w:rPr>
            </w:pPr>
            <w:r w:rsidRPr="00714BF6">
              <w:rPr>
                <w:rFonts w:hAnsi="標楷體" w:hint="eastAsia"/>
                <w:b/>
                <w:sz w:val="24"/>
                <w:szCs w:val="24"/>
              </w:rPr>
              <w:t>第3期計畫</w:t>
            </w:r>
          </w:p>
          <w:p w:rsidR="001629FA" w:rsidRPr="00714BF6" w:rsidRDefault="001629FA" w:rsidP="003A17DF">
            <w:pPr>
              <w:pStyle w:val="3"/>
              <w:numPr>
                <w:ilvl w:val="0"/>
                <w:numId w:val="0"/>
              </w:numPr>
              <w:spacing w:line="280" w:lineRule="exact"/>
              <w:rPr>
                <w:rFonts w:hAnsi="標楷體"/>
                <w:b/>
                <w:sz w:val="24"/>
                <w:szCs w:val="24"/>
              </w:rPr>
            </w:pPr>
            <w:r w:rsidRPr="00714BF6">
              <w:rPr>
                <w:rFonts w:hAnsi="標楷體" w:hint="eastAsia"/>
                <w:b/>
                <w:sz w:val="24"/>
                <w:szCs w:val="24"/>
              </w:rPr>
              <w:t>(102年至105年)</w:t>
            </w:r>
          </w:p>
        </w:tc>
        <w:tc>
          <w:tcPr>
            <w:tcW w:w="3261" w:type="dxa"/>
            <w:vAlign w:val="center"/>
          </w:tcPr>
          <w:p w:rsidR="001629FA" w:rsidRPr="00714BF6" w:rsidRDefault="001629FA" w:rsidP="003A17DF">
            <w:pPr>
              <w:pStyle w:val="3"/>
              <w:numPr>
                <w:ilvl w:val="0"/>
                <w:numId w:val="0"/>
              </w:numPr>
              <w:spacing w:line="280" w:lineRule="exact"/>
              <w:rPr>
                <w:rFonts w:hAnsi="標楷體"/>
                <w:sz w:val="24"/>
                <w:szCs w:val="24"/>
              </w:rPr>
            </w:pPr>
            <w:r w:rsidRPr="00714BF6">
              <w:rPr>
                <w:rFonts w:hAnsi="標楷體" w:hint="eastAsia"/>
                <w:sz w:val="24"/>
                <w:szCs w:val="24"/>
              </w:rPr>
              <w:t>東吳大學、</w:t>
            </w:r>
            <w:r w:rsidRPr="00714BF6">
              <w:rPr>
                <w:rFonts w:hAnsi="標楷體" w:hint="eastAsia"/>
                <w:b/>
                <w:sz w:val="24"/>
                <w:szCs w:val="24"/>
              </w:rPr>
              <w:t>國立臺灣大學</w:t>
            </w:r>
            <w:r w:rsidR="006C128E" w:rsidRPr="00714BF6">
              <w:rPr>
                <w:rFonts w:hAnsi="標楷體" w:hint="eastAsia"/>
                <w:b/>
                <w:sz w:val="24"/>
                <w:szCs w:val="24"/>
              </w:rPr>
              <w:t>*</w:t>
            </w:r>
            <w:r w:rsidRPr="00714BF6">
              <w:rPr>
                <w:rFonts w:hAnsi="標楷體" w:hint="eastAsia"/>
                <w:sz w:val="24"/>
                <w:szCs w:val="24"/>
              </w:rPr>
              <w:t>、</w:t>
            </w:r>
            <w:r w:rsidRPr="00714BF6">
              <w:rPr>
                <w:rFonts w:hAnsi="標楷體" w:hint="eastAsia"/>
                <w:b/>
                <w:sz w:val="24"/>
                <w:szCs w:val="24"/>
              </w:rPr>
              <w:t>國立中央大學</w:t>
            </w:r>
            <w:r w:rsidR="006C128E" w:rsidRPr="00714BF6">
              <w:rPr>
                <w:rFonts w:hAnsi="標楷體" w:hint="eastAsia"/>
                <w:b/>
                <w:sz w:val="24"/>
                <w:szCs w:val="24"/>
              </w:rPr>
              <w:t>*</w:t>
            </w:r>
            <w:r w:rsidRPr="00714BF6">
              <w:rPr>
                <w:rFonts w:hAnsi="標楷體" w:hint="eastAsia"/>
                <w:sz w:val="24"/>
                <w:szCs w:val="24"/>
              </w:rPr>
              <w:t>、逢甲大學、</w:t>
            </w:r>
            <w:r w:rsidRPr="00714BF6">
              <w:rPr>
                <w:rFonts w:hAnsi="標楷體" w:hint="eastAsia"/>
                <w:b/>
                <w:sz w:val="24"/>
                <w:szCs w:val="24"/>
              </w:rPr>
              <w:t>國立成功大學</w:t>
            </w:r>
            <w:r w:rsidR="006C128E" w:rsidRPr="00714BF6">
              <w:rPr>
                <w:rFonts w:hAnsi="標楷體" w:hint="eastAsia"/>
                <w:b/>
                <w:sz w:val="24"/>
                <w:szCs w:val="24"/>
              </w:rPr>
              <w:t>*</w:t>
            </w:r>
            <w:r w:rsidRPr="00714BF6">
              <w:rPr>
                <w:rFonts w:hAnsi="標楷體" w:hint="eastAsia"/>
                <w:sz w:val="24"/>
                <w:szCs w:val="24"/>
              </w:rPr>
              <w:t>及</w:t>
            </w:r>
            <w:r w:rsidRPr="00714BF6">
              <w:rPr>
                <w:rFonts w:hAnsi="標楷體" w:hint="eastAsia"/>
                <w:b/>
                <w:sz w:val="24"/>
                <w:szCs w:val="24"/>
              </w:rPr>
              <w:t>國立中山大學</w:t>
            </w:r>
            <w:r w:rsidR="006C128E" w:rsidRPr="00714BF6">
              <w:rPr>
                <w:rFonts w:hAnsi="標楷體" w:hint="eastAsia"/>
                <w:b/>
                <w:sz w:val="24"/>
                <w:szCs w:val="24"/>
              </w:rPr>
              <w:t>*</w:t>
            </w:r>
            <w:r w:rsidRPr="00714BF6">
              <w:rPr>
                <w:rFonts w:hAnsi="標楷體" w:hint="eastAsia"/>
                <w:sz w:val="24"/>
                <w:szCs w:val="24"/>
              </w:rPr>
              <w:t>6校</w:t>
            </w:r>
          </w:p>
        </w:tc>
        <w:tc>
          <w:tcPr>
            <w:tcW w:w="3012" w:type="dxa"/>
            <w:vAlign w:val="center"/>
          </w:tcPr>
          <w:p w:rsidR="001629FA" w:rsidRPr="00714BF6" w:rsidRDefault="001629FA" w:rsidP="003A17DF">
            <w:pPr>
              <w:pStyle w:val="3"/>
              <w:numPr>
                <w:ilvl w:val="0"/>
                <w:numId w:val="0"/>
              </w:numPr>
              <w:spacing w:line="280" w:lineRule="exact"/>
              <w:rPr>
                <w:rFonts w:hAnsi="標楷體"/>
                <w:sz w:val="24"/>
                <w:szCs w:val="24"/>
              </w:rPr>
            </w:pPr>
            <w:r w:rsidRPr="00714BF6">
              <w:rPr>
                <w:rFonts w:hAnsi="標楷體" w:hint="eastAsia"/>
                <w:sz w:val="24"/>
                <w:szCs w:val="24"/>
              </w:rPr>
              <w:t>國立</w:t>
            </w:r>
            <w:proofErr w:type="gramStart"/>
            <w:r w:rsidRPr="00714BF6">
              <w:rPr>
                <w:rFonts w:hAnsi="標楷體" w:hint="eastAsia"/>
                <w:sz w:val="24"/>
                <w:szCs w:val="24"/>
              </w:rPr>
              <w:t>臺</w:t>
            </w:r>
            <w:proofErr w:type="gramEnd"/>
            <w:r w:rsidRPr="00714BF6">
              <w:rPr>
                <w:rFonts w:hAnsi="標楷體" w:hint="eastAsia"/>
                <w:sz w:val="24"/>
                <w:szCs w:val="24"/>
              </w:rPr>
              <w:t>北科技大學、國立雲林科技大學及國立高雄應用科技大學3校</w:t>
            </w:r>
          </w:p>
        </w:tc>
      </w:tr>
    </w:tbl>
    <w:p w:rsidR="006C128E" w:rsidRPr="00714BF6" w:rsidRDefault="001629FA" w:rsidP="003A17DF">
      <w:pPr>
        <w:pStyle w:val="3"/>
        <w:numPr>
          <w:ilvl w:val="0"/>
          <w:numId w:val="0"/>
        </w:numPr>
        <w:spacing w:line="240" w:lineRule="exact"/>
        <w:ind w:left="1531" w:hanging="680"/>
        <w:rPr>
          <w:rFonts w:hAnsi="標楷體"/>
          <w:sz w:val="24"/>
          <w:szCs w:val="24"/>
        </w:rPr>
      </w:pPr>
      <w:r w:rsidRPr="00714BF6">
        <w:rPr>
          <w:rFonts w:hAnsi="標楷體" w:hint="eastAsia"/>
          <w:sz w:val="24"/>
          <w:szCs w:val="24"/>
        </w:rPr>
        <w:t xml:space="preserve">   </w:t>
      </w:r>
      <w:proofErr w:type="gramStart"/>
      <w:r w:rsidR="006C128E" w:rsidRPr="00714BF6">
        <w:rPr>
          <w:rFonts w:hAnsi="標楷體" w:hint="eastAsia"/>
          <w:sz w:val="24"/>
          <w:szCs w:val="24"/>
        </w:rPr>
        <w:t>註</w:t>
      </w:r>
      <w:proofErr w:type="gramEnd"/>
      <w:r w:rsidR="006C128E" w:rsidRPr="00714BF6">
        <w:rPr>
          <w:rFonts w:hAnsi="標楷體" w:hint="eastAsia"/>
          <w:sz w:val="24"/>
          <w:szCs w:val="24"/>
        </w:rPr>
        <w:t>：</w:t>
      </w:r>
      <w:r w:rsidR="007F1BD2" w:rsidRPr="00714BF6">
        <w:rPr>
          <w:rFonts w:hAnsi="標楷體" w:hint="eastAsia"/>
          <w:sz w:val="24"/>
          <w:szCs w:val="24"/>
        </w:rPr>
        <w:t>1.</w:t>
      </w:r>
      <w:r w:rsidR="006C128E" w:rsidRPr="00714BF6">
        <w:rPr>
          <w:rFonts w:hAnsi="標楷體" w:hint="eastAsia"/>
          <w:sz w:val="24"/>
          <w:szCs w:val="24"/>
        </w:rPr>
        <w:t>*表示該校同時為邁向頂尖大學計畫補助學校。</w:t>
      </w:r>
    </w:p>
    <w:p w:rsidR="003C667B" w:rsidRPr="00714BF6" w:rsidRDefault="003C667B" w:rsidP="003C667B">
      <w:pPr>
        <w:pStyle w:val="3"/>
        <w:numPr>
          <w:ilvl w:val="0"/>
          <w:numId w:val="0"/>
        </w:numPr>
        <w:spacing w:line="240" w:lineRule="exact"/>
        <w:ind w:left="1532" w:hanging="681"/>
        <w:rPr>
          <w:rFonts w:hAnsi="標楷體"/>
          <w:sz w:val="24"/>
          <w:szCs w:val="24"/>
        </w:rPr>
      </w:pPr>
      <w:r w:rsidRPr="00714BF6">
        <w:rPr>
          <w:rFonts w:hAnsi="標楷體" w:hint="eastAsia"/>
          <w:sz w:val="24"/>
          <w:szCs w:val="24"/>
        </w:rPr>
        <w:t xml:space="preserve">      </w:t>
      </w:r>
      <w:r w:rsidR="007F1BD2" w:rsidRPr="00714BF6">
        <w:rPr>
          <w:rFonts w:hAnsi="標楷體" w:hint="eastAsia"/>
          <w:sz w:val="24"/>
          <w:szCs w:val="24"/>
        </w:rPr>
        <w:t xml:space="preserve"> </w:t>
      </w:r>
      <w:r w:rsidRPr="00714BF6">
        <w:rPr>
          <w:rFonts w:hAnsi="標楷體" w:hint="eastAsia"/>
          <w:sz w:val="24"/>
          <w:szCs w:val="24"/>
        </w:rPr>
        <w:t>2.</w:t>
      </w:r>
      <w:r w:rsidR="009020DB" w:rsidRPr="00714BF6">
        <w:rPr>
          <w:rFonts w:hAnsi="標楷體" w:hint="eastAsia"/>
          <w:sz w:val="24"/>
          <w:szCs w:val="24"/>
        </w:rPr>
        <w:t>一般大學3期均擔任區域教學資源中心者包括：逢甲大學、國立成</w:t>
      </w:r>
    </w:p>
    <w:p w:rsidR="003C667B" w:rsidRPr="00714BF6" w:rsidRDefault="003C667B" w:rsidP="003C667B">
      <w:pPr>
        <w:pStyle w:val="3"/>
        <w:numPr>
          <w:ilvl w:val="0"/>
          <w:numId w:val="0"/>
        </w:numPr>
        <w:spacing w:line="240" w:lineRule="exact"/>
        <w:ind w:left="1532" w:hanging="681"/>
        <w:rPr>
          <w:rFonts w:hAnsi="標楷體"/>
          <w:sz w:val="24"/>
          <w:szCs w:val="24"/>
        </w:rPr>
      </w:pPr>
      <w:r w:rsidRPr="00714BF6">
        <w:rPr>
          <w:rFonts w:hAnsi="標楷體" w:hint="eastAsia"/>
          <w:sz w:val="24"/>
          <w:szCs w:val="24"/>
        </w:rPr>
        <w:t xml:space="preserve">         </w:t>
      </w:r>
      <w:r w:rsidR="009020DB" w:rsidRPr="00714BF6">
        <w:rPr>
          <w:rFonts w:hAnsi="標楷體" w:hint="eastAsia"/>
          <w:sz w:val="24"/>
          <w:szCs w:val="24"/>
        </w:rPr>
        <w:t>功大學、東吳大學等3校；科技校院3期</w:t>
      </w:r>
      <w:proofErr w:type="gramStart"/>
      <w:r w:rsidR="009020DB" w:rsidRPr="00714BF6">
        <w:rPr>
          <w:rFonts w:hAnsi="標楷體" w:hint="eastAsia"/>
          <w:sz w:val="24"/>
          <w:szCs w:val="24"/>
        </w:rPr>
        <w:t>均由</w:t>
      </w:r>
      <w:r w:rsidR="00000EA9" w:rsidRPr="00714BF6">
        <w:rPr>
          <w:rFonts w:hAnsi="標楷體" w:hint="eastAsia"/>
          <w:sz w:val="24"/>
          <w:szCs w:val="24"/>
        </w:rPr>
        <w:t>國立臺</w:t>
      </w:r>
      <w:proofErr w:type="gramEnd"/>
      <w:r w:rsidR="00000EA9" w:rsidRPr="00714BF6">
        <w:rPr>
          <w:rFonts w:hAnsi="標楷體" w:hint="eastAsia"/>
          <w:sz w:val="24"/>
          <w:szCs w:val="24"/>
        </w:rPr>
        <w:t>北科技大學、國</w:t>
      </w:r>
    </w:p>
    <w:p w:rsidR="009020DB" w:rsidRPr="00714BF6" w:rsidRDefault="003C667B" w:rsidP="003C667B">
      <w:pPr>
        <w:pStyle w:val="3"/>
        <w:numPr>
          <w:ilvl w:val="0"/>
          <w:numId w:val="0"/>
        </w:numPr>
        <w:spacing w:line="240" w:lineRule="exact"/>
        <w:ind w:left="1532" w:hanging="681"/>
        <w:rPr>
          <w:rFonts w:hAnsi="標楷體"/>
          <w:sz w:val="24"/>
          <w:szCs w:val="24"/>
        </w:rPr>
      </w:pPr>
      <w:r w:rsidRPr="00714BF6">
        <w:rPr>
          <w:rFonts w:hAnsi="標楷體" w:hint="eastAsia"/>
          <w:sz w:val="24"/>
          <w:szCs w:val="24"/>
        </w:rPr>
        <w:t xml:space="preserve">         </w:t>
      </w:r>
      <w:r w:rsidR="00000EA9" w:rsidRPr="00714BF6">
        <w:rPr>
          <w:rFonts w:hAnsi="標楷體" w:hint="eastAsia"/>
          <w:sz w:val="24"/>
          <w:szCs w:val="24"/>
        </w:rPr>
        <w:t>立雲林科技大學及國立高雄應用科技大學</w:t>
      </w:r>
      <w:r w:rsidR="009020DB" w:rsidRPr="00714BF6">
        <w:rPr>
          <w:rFonts w:hAnsi="標楷體" w:hint="eastAsia"/>
          <w:sz w:val="24"/>
          <w:szCs w:val="24"/>
        </w:rPr>
        <w:t>擔任區域教學資源中心。</w:t>
      </w:r>
    </w:p>
    <w:p w:rsidR="001629FA" w:rsidRPr="00714BF6" w:rsidRDefault="006C128E" w:rsidP="0094744B">
      <w:pPr>
        <w:pStyle w:val="3"/>
        <w:numPr>
          <w:ilvl w:val="0"/>
          <w:numId w:val="0"/>
        </w:numPr>
        <w:spacing w:line="240" w:lineRule="exact"/>
        <w:ind w:left="1531" w:hanging="680"/>
        <w:rPr>
          <w:rFonts w:hAnsi="標楷體"/>
          <w:sz w:val="24"/>
          <w:szCs w:val="24"/>
        </w:rPr>
      </w:pPr>
      <w:r w:rsidRPr="00714BF6">
        <w:rPr>
          <w:rFonts w:hAnsi="標楷體" w:hint="eastAsia"/>
          <w:sz w:val="24"/>
          <w:szCs w:val="24"/>
        </w:rPr>
        <w:t xml:space="preserve">   </w:t>
      </w:r>
      <w:r w:rsidR="001629FA" w:rsidRPr="00714BF6">
        <w:rPr>
          <w:rFonts w:hAnsi="標楷體" w:hint="eastAsia"/>
          <w:sz w:val="24"/>
          <w:szCs w:val="24"/>
        </w:rPr>
        <w:t>資料來源：彙整自教育部查復資料。</w:t>
      </w:r>
    </w:p>
    <w:p w:rsidR="00972527" w:rsidRPr="00714BF6" w:rsidRDefault="00972527" w:rsidP="0094744B">
      <w:pPr>
        <w:pStyle w:val="3"/>
        <w:numPr>
          <w:ilvl w:val="0"/>
          <w:numId w:val="0"/>
        </w:numPr>
        <w:spacing w:line="240" w:lineRule="exact"/>
        <w:ind w:left="1531" w:hanging="680"/>
      </w:pPr>
    </w:p>
    <w:p w:rsidR="009803FD" w:rsidRPr="00714BF6" w:rsidRDefault="009803FD" w:rsidP="000B2F2E">
      <w:pPr>
        <w:pStyle w:val="3"/>
        <w:spacing w:line="480" w:lineRule="exact"/>
      </w:pPr>
      <w:proofErr w:type="gramStart"/>
      <w:r w:rsidRPr="00714BF6">
        <w:rPr>
          <w:rFonts w:hint="eastAsia"/>
        </w:rPr>
        <w:t>詢</w:t>
      </w:r>
      <w:proofErr w:type="gramEnd"/>
      <w:r w:rsidRPr="00714BF6">
        <w:rPr>
          <w:rFonts w:hint="eastAsia"/>
        </w:rPr>
        <w:t>據教育部關於</w:t>
      </w:r>
      <w:r w:rsidR="007A06BB">
        <w:rPr>
          <w:rFonts w:hint="eastAsia"/>
        </w:rPr>
        <w:t>「</w:t>
      </w:r>
      <w:r w:rsidRPr="00714BF6">
        <w:rPr>
          <w:rFonts w:hint="eastAsia"/>
        </w:rPr>
        <w:t>區域教學資源中心</w:t>
      </w:r>
      <w:r w:rsidR="007A06BB">
        <w:rPr>
          <w:rFonts w:hint="eastAsia"/>
        </w:rPr>
        <w:t>」</w:t>
      </w:r>
      <w:r w:rsidR="004866DD" w:rsidRPr="00714BF6">
        <w:rPr>
          <w:rFonts w:hint="eastAsia"/>
        </w:rPr>
        <w:t>執行工作最有績效之項目，</w:t>
      </w:r>
      <w:r w:rsidRPr="00714BF6">
        <w:rPr>
          <w:rFonts w:hint="eastAsia"/>
        </w:rPr>
        <w:t>該部</w:t>
      </w:r>
      <w:r w:rsidR="004866DD" w:rsidRPr="00714BF6">
        <w:rPr>
          <w:rFonts w:hint="eastAsia"/>
        </w:rPr>
        <w:t>表示，以第3期為例：</w:t>
      </w:r>
    </w:p>
    <w:p w:rsidR="009803FD" w:rsidRPr="00714BF6" w:rsidRDefault="009803FD" w:rsidP="000B2F2E">
      <w:pPr>
        <w:pStyle w:val="4"/>
        <w:spacing w:line="480" w:lineRule="exact"/>
      </w:pPr>
      <w:r w:rsidRPr="00714BF6">
        <w:rPr>
          <w:rFonts w:hint="eastAsia"/>
        </w:rPr>
        <w:t>一般大學部分，各區域教學資源中心之重點任務除推動架構及運作機制(含輔助夥伴學校機制)</w:t>
      </w:r>
      <w:proofErr w:type="gramStart"/>
      <w:r w:rsidRPr="00714BF6">
        <w:rPr>
          <w:rFonts w:hint="eastAsia"/>
        </w:rPr>
        <w:t>以外，</w:t>
      </w:r>
      <w:proofErr w:type="gramEnd"/>
      <w:r w:rsidRPr="00714BF6">
        <w:rPr>
          <w:rFonts w:hint="eastAsia"/>
        </w:rPr>
        <w:t>尚包括基礎能力檢測機制之建立、通識教育課程之整合與分享、特色及典範轉移、區域性教學和行政訓練與自我評鑑中心、整合性</w:t>
      </w:r>
      <w:r w:rsidR="00BF2E00" w:rsidRPr="00714BF6">
        <w:rPr>
          <w:rFonts w:hint="eastAsia"/>
        </w:rPr>
        <w:t>平台</w:t>
      </w:r>
      <w:r w:rsidRPr="00714BF6">
        <w:rPr>
          <w:rFonts w:hint="eastAsia"/>
        </w:rPr>
        <w:t>之建立與公共財之提供、國際化相關措施資源共享及其他區域教學資源共享措施等項目。</w:t>
      </w:r>
    </w:p>
    <w:p w:rsidR="009803FD" w:rsidRPr="00714BF6" w:rsidRDefault="009803FD" w:rsidP="000B2F2E">
      <w:pPr>
        <w:pStyle w:val="4"/>
        <w:spacing w:line="480" w:lineRule="exact"/>
      </w:pPr>
      <w:r w:rsidRPr="00714BF6">
        <w:rPr>
          <w:rFonts w:hint="eastAsia"/>
        </w:rPr>
        <w:t>科技校院部分，</w:t>
      </w:r>
      <w:r w:rsidR="006D6B1C" w:rsidRPr="00714BF6">
        <w:rPr>
          <w:rFonts w:hint="eastAsia"/>
          <w:szCs w:val="28"/>
        </w:rPr>
        <w:t>成效顯著之前3項為「</w:t>
      </w:r>
      <w:r w:rsidRPr="00714BF6">
        <w:rPr>
          <w:rFonts w:hint="eastAsia"/>
        </w:rPr>
        <w:t>建置學習成效評估題庫</w:t>
      </w:r>
      <w:r w:rsidR="006D6B1C" w:rsidRPr="00714BF6">
        <w:rPr>
          <w:rFonts w:hint="eastAsia"/>
        </w:rPr>
        <w:t>」</w:t>
      </w:r>
      <w:r w:rsidRPr="00714BF6">
        <w:rPr>
          <w:rFonts w:hint="eastAsia"/>
        </w:rPr>
        <w:t>、</w:t>
      </w:r>
      <w:r w:rsidR="006D6B1C" w:rsidRPr="00714BF6">
        <w:rPr>
          <w:rFonts w:hint="eastAsia"/>
        </w:rPr>
        <w:t>「</w:t>
      </w:r>
      <w:r w:rsidRPr="00714BF6">
        <w:rPr>
          <w:rFonts w:hint="eastAsia"/>
          <w:szCs w:val="28"/>
        </w:rPr>
        <w:t>圖書設備儀器共享機制</w:t>
      </w:r>
      <w:r w:rsidR="006D6B1C" w:rsidRPr="00714BF6">
        <w:rPr>
          <w:rFonts w:hint="eastAsia"/>
          <w:szCs w:val="28"/>
        </w:rPr>
        <w:t>」和「</w:t>
      </w:r>
      <w:r w:rsidRPr="00714BF6">
        <w:rPr>
          <w:rFonts w:hint="eastAsia"/>
          <w:szCs w:val="28"/>
        </w:rPr>
        <w:t>跨校選課機制</w:t>
      </w:r>
      <w:r w:rsidR="006D6B1C" w:rsidRPr="00714BF6">
        <w:rPr>
          <w:rFonts w:hint="eastAsia"/>
          <w:szCs w:val="28"/>
        </w:rPr>
        <w:t>」等</w:t>
      </w:r>
      <w:r w:rsidRPr="00714BF6">
        <w:rPr>
          <w:rFonts w:hint="eastAsia"/>
          <w:szCs w:val="28"/>
        </w:rPr>
        <w:t>：</w:t>
      </w:r>
    </w:p>
    <w:p w:rsidR="009803FD" w:rsidRPr="00714BF6" w:rsidRDefault="009803FD" w:rsidP="000B2F2E">
      <w:pPr>
        <w:pStyle w:val="5"/>
        <w:spacing w:line="480" w:lineRule="exact"/>
        <w:ind w:left="2127" w:hanging="851"/>
      </w:pPr>
      <w:r w:rsidRPr="00714BF6">
        <w:rPr>
          <w:rFonts w:hint="eastAsia"/>
        </w:rPr>
        <w:t>建置學習成效評估題庫：102年起推動建置學習成效評估題庫，供夥伴學校結合教學評量、畢業門檻等機制</w:t>
      </w:r>
      <w:r w:rsidR="00743B63" w:rsidRPr="00714BF6">
        <w:rPr>
          <w:rFonts w:hint="eastAsia"/>
        </w:rPr>
        <w:t>以</w:t>
      </w:r>
      <w:r w:rsidRPr="00714BF6">
        <w:rPr>
          <w:rFonts w:hint="eastAsia"/>
        </w:rPr>
        <w:t>檢核學生學習成效，截至103年已建置9門共同科目題庫如計算機概論、國文類科、英文類科、其他語文能力類科、</w:t>
      </w:r>
      <w:r w:rsidR="00743B63" w:rsidRPr="00714BF6">
        <w:rPr>
          <w:rFonts w:hint="eastAsia"/>
        </w:rPr>
        <w:t>統計學類科、微積分類科、物理類科、化學類科、資訊基本能力類科等。另亦建置</w:t>
      </w:r>
      <w:r w:rsidRPr="00714BF6">
        <w:rPr>
          <w:rFonts w:hint="eastAsia"/>
        </w:rPr>
        <w:t>13門專業科</w:t>
      </w:r>
      <w:r w:rsidRPr="00714BF6">
        <w:rPr>
          <w:rFonts w:hint="eastAsia"/>
        </w:rPr>
        <w:lastRenderedPageBreak/>
        <w:t>目</w:t>
      </w:r>
      <w:r w:rsidR="00743B63" w:rsidRPr="00714BF6">
        <w:rPr>
          <w:rFonts w:hint="eastAsia"/>
        </w:rPr>
        <w:t>題庫，</w:t>
      </w:r>
      <w:r w:rsidRPr="00714BF6">
        <w:rPr>
          <w:rFonts w:hint="eastAsia"/>
        </w:rPr>
        <w:t>如基本護理學、觀光餐旅概論、初級會計學、設計、語文類科、物理化學類科、</w:t>
      </w:r>
      <w:proofErr w:type="gramStart"/>
      <w:r w:rsidRPr="00714BF6">
        <w:rPr>
          <w:rFonts w:hint="eastAsia"/>
        </w:rPr>
        <w:t>餐旅類科</w:t>
      </w:r>
      <w:proofErr w:type="gramEnd"/>
      <w:r w:rsidRPr="00714BF6">
        <w:rPr>
          <w:rFonts w:hint="eastAsia"/>
        </w:rPr>
        <w:t>、微積分及統計學類科、財經類科、醫護類科、生物類科、藥學類科、管理類科等。103年使用人次達25萬4,278人次。</w:t>
      </w:r>
    </w:p>
    <w:p w:rsidR="009803FD" w:rsidRPr="00714BF6" w:rsidRDefault="009803FD" w:rsidP="000B2F2E">
      <w:pPr>
        <w:pStyle w:val="5"/>
        <w:spacing w:line="480" w:lineRule="exact"/>
        <w:ind w:left="2127" w:hanging="851"/>
      </w:pPr>
      <w:r w:rsidRPr="00714BF6">
        <w:rPr>
          <w:rFonts w:hint="eastAsia"/>
          <w:szCs w:val="28"/>
        </w:rPr>
        <w:t>圖書設備儀器共享機制：如圖書</w:t>
      </w:r>
      <w:proofErr w:type="gramStart"/>
      <w:r w:rsidRPr="00714BF6">
        <w:rPr>
          <w:rFonts w:hint="eastAsia"/>
          <w:szCs w:val="28"/>
        </w:rPr>
        <w:t>代借還</w:t>
      </w:r>
      <w:proofErr w:type="gramEnd"/>
      <w:r w:rsidRPr="00714BF6">
        <w:rPr>
          <w:rFonts w:hint="eastAsia"/>
          <w:szCs w:val="28"/>
        </w:rPr>
        <w:t>、雲端</w:t>
      </w:r>
      <w:proofErr w:type="gramStart"/>
      <w:r w:rsidRPr="00714BF6">
        <w:rPr>
          <w:rFonts w:hint="eastAsia"/>
          <w:szCs w:val="28"/>
        </w:rPr>
        <w:t>電子書借閱</w:t>
      </w:r>
      <w:proofErr w:type="gramEnd"/>
      <w:r w:rsidRPr="00714BF6">
        <w:rPr>
          <w:rFonts w:hint="eastAsia"/>
          <w:szCs w:val="28"/>
        </w:rPr>
        <w:t>、二手書服務、學位</w:t>
      </w:r>
      <w:r w:rsidRPr="00714BF6">
        <w:rPr>
          <w:rFonts w:hint="eastAsia"/>
        </w:rPr>
        <w:t>論文</w:t>
      </w:r>
      <w:r w:rsidRPr="00714BF6">
        <w:rPr>
          <w:rFonts w:hint="eastAsia"/>
          <w:szCs w:val="28"/>
        </w:rPr>
        <w:t>、機構典藏及電子期刊，有助</w:t>
      </w:r>
      <w:r w:rsidR="007D76DC" w:rsidRPr="00714BF6">
        <w:rPr>
          <w:rFonts w:hint="eastAsia"/>
          <w:szCs w:val="28"/>
        </w:rPr>
        <w:t>於</w:t>
      </w:r>
      <w:r w:rsidRPr="00714BF6">
        <w:rPr>
          <w:rFonts w:hint="eastAsia"/>
          <w:szCs w:val="28"/>
        </w:rPr>
        <w:t>各校</w:t>
      </w:r>
      <w:r w:rsidR="007D76DC" w:rsidRPr="00714BF6">
        <w:rPr>
          <w:rFonts w:hint="eastAsia"/>
          <w:szCs w:val="28"/>
        </w:rPr>
        <w:t>減少</w:t>
      </w:r>
      <w:r w:rsidRPr="00714BF6">
        <w:rPr>
          <w:rFonts w:hint="eastAsia"/>
          <w:szCs w:val="28"/>
        </w:rPr>
        <w:t>重複購置圖書</w:t>
      </w:r>
      <w:r w:rsidR="007D76DC" w:rsidRPr="00714BF6">
        <w:rPr>
          <w:rFonts w:hint="eastAsia"/>
          <w:szCs w:val="28"/>
        </w:rPr>
        <w:t>及刊物</w:t>
      </w:r>
      <w:r w:rsidRPr="00714BF6">
        <w:rPr>
          <w:rFonts w:hint="eastAsia"/>
          <w:szCs w:val="28"/>
        </w:rPr>
        <w:t>；結合各校設備儀器中心推廣資源分享</w:t>
      </w:r>
      <w:r w:rsidR="00BF2E00" w:rsidRPr="00714BF6">
        <w:rPr>
          <w:rFonts w:hint="eastAsia"/>
          <w:szCs w:val="28"/>
        </w:rPr>
        <w:t>平台</w:t>
      </w:r>
      <w:r w:rsidRPr="00714BF6">
        <w:rPr>
          <w:rFonts w:hint="eastAsia"/>
          <w:szCs w:val="28"/>
        </w:rPr>
        <w:t>，並具接受學術界和產業界預約借用之功能，</w:t>
      </w:r>
      <w:r w:rsidR="0075269F" w:rsidRPr="00714BF6">
        <w:rPr>
          <w:rFonts w:hint="eastAsia"/>
          <w:szCs w:val="28"/>
        </w:rPr>
        <w:t>以</w:t>
      </w:r>
      <w:r w:rsidRPr="00714BF6">
        <w:rPr>
          <w:rFonts w:hint="eastAsia"/>
          <w:szCs w:val="28"/>
        </w:rPr>
        <w:t>提升資源分享綜效。資源跨校使用次數由102學年度1</w:t>
      </w:r>
      <w:r w:rsidR="009E023D" w:rsidRPr="00714BF6">
        <w:rPr>
          <w:rFonts w:hint="eastAsia"/>
          <w:szCs w:val="28"/>
        </w:rPr>
        <w:t>萬</w:t>
      </w:r>
      <w:r w:rsidRPr="00714BF6">
        <w:rPr>
          <w:rFonts w:hint="eastAsia"/>
          <w:szCs w:val="28"/>
        </w:rPr>
        <w:t>2,475次提升至103學年度1</w:t>
      </w:r>
      <w:r w:rsidR="009E023D" w:rsidRPr="00714BF6">
        <w:rPr>
          <w:rFonts w:hint="eastAsia"/>
          <w:szCs w:val="28"/>
        </w:rPr>
        <w:t>萬</w:t>
      </w:r>
      <w:r w:rsidRPr="00714BF6">
        <w:rPr>
          <w:rFonts w:hint="eastAsia"/>
          <w:szCs w:val="28"/>
        </w:rPr>
        <w:t>6,295次，成長</w:t>
      </w:r>
      <w:r w:rsidR="0075269F" w:rsidRPr="00714BF6">
        <w:rPr>
          <w:rFonts w:hint="eastAsia"/>
          <w:szCs w:val="28"/>
        </w:rPr>
        <w:t>了</w:t>
      </w:r>
      <w:r w:rsidRPr="00714BF6">
        <w:rPr>
          <w:rFonts w:hint="eastAsia"/>
          <w:szCs w:val="28"/>
        </w:rPr>
        <w:t>30.62%。</w:t>
      </w:r>
    </w:p>
    <w:p w:rsidR="004E73CF" w:rsidRPr="00714BF6" w:rsidRDefault="009803FD" w:rsidP="000B2F2E">
      <w:pPr>
        <w:pStyle w:val="5"/>
        <w:spacing w:line="480" w:lineRule="exact"/>
        <w:ind w:left="2127" w:hanging="851"/>
        <w:rPr>
          <w:szCs w:val="28"/>
        </w:rPr>
      </w:pPr>
      <w:r w:rsidRPr="00714BF6">
        <w:rPr>
          <w:rFonts w:hint="eastAsia"/>
          <w:szCs w:val="28"/>
        </w:rPr>
        <w:t>建立跨校選課機制：各夥伴</w:t>
      </w:r>
      <w:proofErr w:type="gramStart"/>
      <w:r w:rsidRPr="00714BF6">
        <w:rPr>
          <w:rFonts w:hint="eastAsia"/>
          <w:szCs w:val="28"/>
        </w:rPr>
        <w:t>學校均已建立</w:t>
      </w:r>
      <w:proofErr w:type="gramEnd"/>
      <w:r w:rsidRPr="00714BF6">
        <w:rPr>
          <w:rFonts w:hint="eastAsia"/>
          <w:szCs w:val="28"/>
        </w:rPr>
        <w:t>跨校學分</w:t>
      </w:r>
      <w:proofErr w:type="gramStart"/>
      <w:r w:rsidRPr="00714BF6">
        <w:rPr>
          <w:rFonts w:hint="eastAsia"/>
          <w:szCs w:val="28"/>
        </w:rPr>
        <w:t>採</w:t>
      </w:r>
      <w:proofErr w:type="gramEnd"/>
      <w:r w:rsidRPr="00714BF6">
        <w:rPr>
          <w:rFonts w:hint="eastAsia"/>
          <w:szCs w:val="28"/>
        </w:rPr>
        <w:t>認機制，並透過跨校選課擴散課程資源並提升課程選擇多樣化，103</w:t>
      </w:r>
      <w:proofErr w:type="gramStart"/>
      <w:r w:rsidRPr="00714BF6">
        <w:rPr>
          <w:rFonts w:hint="eastAsia"/>
          <w:szCs w:val="28"/>
        </w:rPr>
        <w:t>學年度跨校</w:t>
      </w:r>
      <w:proofErr w:type="gramEnd"/>
      <w:r w:rsidRPr="00714BF6">
        <w:rPr>
          <w:rFonts w:hint="eastAsia"/>
          <w:szCs w:val="28"/>
        </w:rPr>
        <w:t>選課人次達227人次。</w:t>
      </w:r>
    </w:p>
    <w:p w:rsidR="001629FA" w:rsidRPr="00714BF6" w:rsidRDefault="00C85EBC" w:rsidP="000B2F2E">
      <w:pPr>
        <w:pStyle w:val="3"/>
        <w:spacing w:line="480" w:lineRule="exact"/>
      </w:pPr>
      <w:r w:rsidRPr="00714BF6">
        <w:rPr>
          <w:rFonts w:hint="eastAsia"/>
          <w:bCs w:val="0"/>
          <w:szCs w:val="28"/>
        </w:rPr>
        <w:t>本案調查期間</w:t>
      </w:r>
      <w:r w:rsidR="00F66677" w:rsidRPr="00714BF6">
        <w:rPr>
          <w:rFonts w:hint="eastAsia"/>
          <w:bCs w:val="0"/>
          <w:szCs w:val="28"/>
        </w:rPr>
        <w:t>抽訪</w:t>
      </w:r>
      <w:r w:rsidR="004C2761" w:rsidRPr="00714BF6">
        <w:rPr>
          <w:rFonts w:hint="eastAsia"/>
          <w:bCs w:val="0"/>
          <w:szCs w:val="28"/>
        </w:rPr>
        <w:t>國立</w:t>
      </w:r>
      <w:proofErr w:type="gramStart"/>
      <w:r w:rsidR="004C2761" w:rsidRPr="00714BF6">
        <w:rPr>
          <w:rFonts w:hint="eastAsia"/>
          <w:bCs w:val="0"/>
          <w:szCs w:val="28"/>
        </w:rPr>
        <w:t>臺</w:t>
      </w:r>
      <w:proofErr w:type="gramEnd"/>
      <w:r w:rsidR="004C2761" w:rsidRPr="00714BF6">
        <w:rPr>
          <w:rFonts w:hint="eastAsia"/>
          <w:bCs w:val="0"/>
          <w:szCs w:val="28"/>
        </w:rPr>
        <w:t>北科技大學、逢甲大學與國立高雄應用科技大學</w:t>
      </w:r>
      <w:r w:rsidR="00F66677" w:rsidRPr="00714BF6">
        <w:rPr>
          <w:rFonts w:hint="eastAsia"/>
          <w:bCs w:val="0"/>
          <w:szCs w:val="28"/>
        </w:rPr>
        <w:t>3所區域教學資源中心</w:t>
      </w:r>
      <w:r w:rsidR="004C2761" w:rsidRPr="00714BF6">
        <w:rPr>
          <w:rFonts w:hint="eastAsia"/>
          <w:bCs w:val="0"/>
          <w:szCs w:val="28"/>
        </w:rPr>
        <w:t>，</w:t>
      </w:r>
      <w:r w:rsidRPr="00714BF6">
        <w:rPr>
          <w:rFonts w:hint="eastAsia"/>
          <w:bCs w:val="0"/>
          <w:szCs w:val="28"/>
        </w:rPr>
        <w:t>並</w:t>
      </w:r>
      <w:r w:rsidR="004C2761" w:rsidRPr="00714BF6">
        <w:rPr>
          <w:rFonts w:hint="eastAsia"/>
          <w:bCs w:val="0"/>
          <w:szCs w:val="28"/>
        </w:rPr>
        <w:t>同時</w:t>
      </w:r>
      <w:r w:rsidR="00163DDF" w:rsidRPr="00714BF6">
        <w:rPr>
          <w:rFonts w:hint="eastAsia"/>
          <w:bCs w:val="0"/>
          <w:szCs w:val="28"/>
        </w:rPr>
        <w:t>邀集</w:t>
      </w:r>
      <w:r w:rsidR="00000EA9" w:rsidRPr="00714BF6">
        <w:rPr>
          <w:rFonts w:hint="eastAsia"/>
          <w:bCs w:val="0"/>
          <w:szCs w:val="28"/>
        </w:rPr>
        <w:t>各</w:t>
      </w:r>
      <w:r w:rsidR="0075269F" w:rsidRPr="00714BF6">
        <w:rPr>
          <w:rFonts w:hint="eastAsia"/>
          <w:bCs w:val="0"/>
          <w:szCs w:val="28"/>
        </w:rPr>
        <w:t>該</w:t>
      </w:r>
      <w:r w:rsidR="00000EA9" w:rsidRPr="00714BF6">
        <w:rPr>
          <w:rFonts w:hint="eastAsia"/>
          <w:bCs w:val="0"/>
          <w:szCs w:val="28"/>
        </w:rPr>
        <w:t>區</w:t>
      </w:r>
      <w:r w:rsidR="00163DDF" w:rsidRPr="00714BF6">
        <w:rPr>
          <w:rFonts w:hint="eastAsia"/>
          <w:bCs w:val="0"/>
          <w:szCs w:val="28"/>
        </w:rPr>
        <w:t>相關學校</w:t>
      </w:r>
      <w:r w:rsidRPr="00714BF6">
        <w:rPr>
          <w:rFonts w:hint="eastAsia"/>
          <w:bCs w:val="0"/>
          <w:szCs w:val="28"/>
        </w:rPr>
        <w:t>人員</w:t>
      </w:r>
      <w:r w:rsidR="004C2761" w:rsidRPr="00714BF6">
        <w:rPr>
          <w:rFonts w:hint="eastAsia"/>
          <w:bCs w:val="0"/>
          <w:szCs w:val="28"/>
        </w:rPr>
        <w:t>進行</w:t>
      </w:r>
      <w:r w:rsidR="00C025B5" w:rsidRPr="00714BF6">
        <w:rPr>
          <w:rFonts w:hint="eastAsia"/>
          <w:bCs w:val="0"/>
          <w:szCs w:val="28"/>
        </w:rPr>
        <w:t>3場</w:t>
      </w:r>
      <w:r w:rsidRPr="00714BF6">
        <w:rPr>
          <w:rFonts w:hint="eastAsia"/>
          <w:bCs w:val="0"/>
          <w:szCs w:val="28"/>
        </w:rPr>
        <w:t>座談</w:t>
      </w:r>
      <w:r w:rsidR="009E023D" w:rsidRPr="00714BF6">
        <w:rPr>
          <w:rFonts w:hint="eastAsia"/>
          <w:bCs w:val="0"/>
          <w:szCs w:val="28"/>
        </w:rPr>
        <w:t>，以瞭解區域教學資源中心角色、發展重點以及學校</w:t>
      </w:r>
      <w:r w:rsidR="00163DDF" w:rsidRPr="00714BF6">
        <w:rPr>
          <w:rFonts w:hint="eastAsia"/>
          <w:bCs w:val="0"/>
          <w:szCs w:val="28"/>
        </w:rPr>
        <w:t>實務經驗與</w:t>
      </w:r>
      <w:r w:rsidR="009E023D" w:rsidRPr="00714BF6">
        <w:rPr>
          <w:rFonts w:hint="eastAsia"/>
          <w:bCs w:val="0"/>
          <w:szCs w:val="28"/>
        </w:rPr>
        <w:t>意見；</w:t>
      </w:r>
      <w:r w:rsidR="004C2761" w:rsidRPr="00714BF6">
        <w:rPr>
          <w:rFonts w:hint="eastAsia"/>
          <w:bCs w:val="0"/>
          <w:szCs w:val="28"/>
        </w:rPr>
        <w:t>此3所區域教學資源中心</w:t>
      </w:r>
      <w:r w:rsidR="00944936" w:rsidRPr="00714BF6">
        <w:rPr>
          <w:rFonts w:hint="eastAsia"/>
          <w:bCs w:val="0"/>
          <w:szCs w:val="28"/>
        </w:rPr>
        <w:t>於本院訪查時，</w:t>
      </w:r>
      <w:r w:rsidR="007D76DC" w:rsidRPr="00714BF6">
        <w:rPr>
          <w:rFonts w:hint="eastAsia"/>
          <w:bCs w:val="0"/>
          <w:szCs w:val="28"/>
        </w:rPr>
        <w:t>均</w:t>
      </w:r>
      <w:r w:rsidR="00944936" w:rsidRPr="00714BF6">
        <w:rPr>
          <w:rFonts w:hint="eastAsia"/>
          <w:bCs w:val="0"/>
          <w:szCs w:val="28"/>
        </w:rPr>
        <w:t>強調建置學科題庫與辦理會考，以及圖書資源共享平台等績效，此與教育部說法相符。</w:t>
      </w:r>
      <w:r w:rsidR="00207E80" w:rsidRPr="00714BF6">
        <w:rPr>
          <w:rFonts w:hAnsi="標楷體" w:hint="eastAsia"/>
          <w:bCs w:val="0"/>
        </w:rPr>
        <w:t>茲</w:t>
      </w:r>
      <w:proofErr w:type="gramStart"/>
      <w:r w:rsidR="00207E80" w:rsidRPr="00714BF6">
        <w:rPr>
          <w:rFonts w:hAnsi="標楷體" w:hint="eastAsia"/>
          <w:bCs w:val="0"/>
        </w:rPr>
        <w:t>臚</w:t>
      </w:r>
      <w:r w:rsidRPr="00714BF6">
        <w:rPr>
          <w:rFonts w:hAnsi="標楷體" w:hint="eastAsia"/>
          <w:bCs w:val="0"/>
        </w:rPr>
        <w:t>列</w:t>
      </w:r>
      <w:r w:rsidR="00AF36F5" w:rsidRPr="00714BF6">
        <w:rPr>
          <w:rFonts w:hAnsi="標楷體" w:hint="eastAsia"/>
          <w:bCs w:val="0"/>
        </w:rPr>
        <w:t>此3所</w:t>
      </w:r>
      <w:proofErr w:type="gramEnd"/>
      <w:r w:rsidR="00AF36F5" w:rsidRPr="00714BF6">
        <w:rPr>
          <w:rFonts w:hAnsi="標楷體" w:hint="eastAsia"/>
          <w:bCs w:val="0"/>
        </w:rPr>
        <w:t>區域教學資源中心</w:t>
      </w:r>
      <w:r w:rsidRPr="00714BF6">
        <w:rPr>
          <w:rFonts w:hAnsi="標楷體" w:hint="eastAsia"/>
          <w:bCs w:val="0"/>
        </w:rPr>
        <w:t>基本資料</w:t>
      </w:r>
      <w:r w:rsidR="00944936" w:rsidRPr="00714BF6">
        <w:rPr>
          <w:rFonts w:hAnsi="標楷體" w:hint="eastAsia"/>
          <w:bCs w:val="0"/>
        </w:rPr>
        <w:t>與重點工作績效</w:t>
      </w:r>
      <w:r w:rsidRPr="00714BF6">
        <w:rPr>
          <w:rFonts w:hAnsi="標楷體" w:hint="eastAsia"/>
          <w:bCs w:val="0"/>
        </w:rPr>
        <w:t>如下：</w:t>
      </w:r>
    </w:p>
    <w:p w:rsidR="009F0333" w:rsidRPr="00714BF6" w:rsidRDefault="009F0333" w:rsidP="000B2F2E">
      <w:pPr>
        <w:pStyle w:val="a1"/>
        <w:tabs>
          <w:tab w:val="left" w:pos="284"/>
        </w:tabs>
        <w:spacing w:line="480" w:lineRule="exact"/>
        <w:ind w:left="-1645" w:firstLine="3205"/>
        <w:jc w:val="center"/>
        <w:rPr>
          <w:b/>
        </w:rPr>
      </w:pPr>
      <w:r w:rsidRPr="00714BF6">
        <w:rPr>
          <w:rFonts w:hint="eastAsia"/>
          <w:b/>
        </w:rPr>
        <w:t>本案實地履</w:t>
      </w:r>
      <w:proofErr w:type="gramStart"/>
      <w:r w:rsidRPr="00714BF6">
        <w:rPr>
          <w:rFonts w:hint="eastAsia"/>
          <w:b/>
        </w:rPr>
        <w:t>勘</w:t>
      </w:r>
      <w:proofErr w:type="gramEnd"/>
      <w:r w:rsidRPr="00714BF6">
        <w:rPr>
          <w:rFonts w:hint="eastAsia"/>
          <w:b/>
        </w:rPr>
        <w:t>3所區域教學資源中心</w:t>
      </w:r>
      <w:r w:rsidR="007D76DC" w:rsidRPr="00714BF6">
        <w:rPr>
          <w:rFonts w:hint="eastAsia"/>
          <w:b/>
        </w:rPr>
        <w:t>主要建制工作項目</w:t>
      </w:r>
    </w:p>
    <w:tbl>
      <w:tblPr>
        <w:tblStyle w:val="af7"/>
        <w:tblW w:w="9356" w:type="dxa"/>
        <w:tblInd w:w="108" w:type="dxa"/>
        <w:tblLayout w:type="fixed"/>
        <w:tblLook w:val="04A0" w:firstRow="1" w:lastRow="0" w:firstColumn="1" w:lastColumn="0" w:noHBand="0" w:noVBand="1"/>
      </w:tblPr>
      <w:tblGrid>
        <w:gridCol w:w="424"/>
        <w:gridCol w:w="427"/>
        <w:gridCol w:w="1417"/>
        <w:gridCol w:w="567"/>
        <w:gridCol w:w="2268"/>
        <w:gridCol w:w="1985"/>
        <w:gridCol w:w="2268"/>
      </w:tblGrid>
      <w:tr w:rsidR="00714BF6" w:rsidRPr="00714BF6" w:rsidTr="00B36BE6">
        <w:trPr>
          <w:tblHeader/>
        </w:trPr>
        <w:tc>
          <w:tcPr>
            <w:tcW w:w="2835" w:type="dxa"/>
            <w:gridSpan w:val="4"/>
            <w:tcBorders>
              <w:tl2br w:val="single" w:sz="4" w:space="0" w:color="auto"/>
            </w:tcBorders>
            <w:vAlign w:val="center"/>
          </w:tcPr>
          <w:p w:rsidR="00944936" w:rsidRPr="00714BF6" w:rsidRDefault="00E230C6" w:rsidP="003A17DF">
            <w:pPr>
              <w:pStyle w:val="3"/>
              <w:numPr>
                <w:ilvl w:val="0"/>
                <w:numId w:val="0"/>
              </w:numPr>
              <w:spacing w:line="280" w:lineRule="exact"/>
              <w:jc w:val="center"/>
              <w:rPr>
                <w:b/>
                <w:sz w:val="27"/>
                <w:szCs w:val="27"/>
              </w:rPr>
            </w:pPr>
            <w:r w:rsidRPr="00714BF6">
              <w:rPr>
                <w:rFonts w:hint="eastAsia"/>
                <w:b/>
                <w:sz w:val="27"/>
                <w:szCs w:val="27"/>
              </w:rPr>
              <w:t xml:space="preserve">   區域中心學校</w:t>
            </w:r>
          </w:p>
          <w:p w:rsidR="00E230C6" w:rsidRPr="00714BF6" w:rsidRDefault="00E230C6" w:rsidP="003A17DF">
            <w:pPr>
              <w:pStyle w:val="3"/>
              <w:numPr>
                <w:ilvl w:val="0"/>
                <w:numId w:val="0"/>
              </w:numPr>
              <w:spacing w:line="280" w:lineRule="exact"/>
              <w:rPr>
                <w:b/>
                <w:sz w:val="27"/>
                <w:szCs w:val="27"/>
              </w:rPr>
            </w:pPr>
            <w:r w:rsidRPr="00714BF6">
              <w:rPr>
                <w:rFonts w:hint="eastAsia"/>
                <w:b/>
                <w:sz w:val="27"/>
                <w:szCs w:val="27"/>
              </w:rPr>
              <w:t>內容項目</w:t>
            </w:r>
          </w:p>
        </w:tc>
        <w:tc>
          <w:tcPr>
            <w:tcW w:w="2268" w:type="dxa"/>
            <w:vAlign w:val="center"/>
          </w:tcPr>
          <w:p w:rsidR="00944936" w:rsidRPr="00714BF6" w:rsidRDefault="00944936" w:rsidP="003A17DF">
            <w:pPr>
              <w:pStyle w:val="3"/>
              <w:numPr>
                <w:ilvl w:val="0"/>
                <w:numId w:val="0"/>
              </w:numPr>
              <w:spacing w:line="280" w:lineRule="exact"/>
              <w:jc w:val="center"/>
              <w:rPr>
                <w:b/>
                <w:sz w:val="27"/>
                <w:szCs w:val="27"/>
              </w:rPr>
            </w:pPr>
            <w:r w:rsidRPr="00714BF6">
              <w:rPr>
                <w:rFonts w:hint="eastAsia"/>
                <w:b/>
                <w:sz w:val="27"/>
                <w:szCs w:val="27"/>
              </w:rPr>
              <w:t>國立</w:t>
            </w:r>
            <w:proofErr w:type="gramStart"/>
            <w:r w:rsidRPr="00714BF6">
              <w:rPr>
                <w:rFonts w:hint="eastAsia"/>
                <w:b/>
                <w:sz w:val="27"/>
                <w:szCs w:val="27"/>
              </w:rPr>
              <w:t>臺</w:t>
            </w:r>
            <w:proofErr w:type="gramEnd"/>
            <w:r w:rsidRPr="00714BF6">
              <w:rPr>
                <w:rFonts w:hint="eastAsia"/>
                <w:b/>
                <w:sz w:val="27"/>
                <w:szCs w:val="27"/>
              </w:rPr>
              <w:t>北</w:t>
            </w:r>
          </w:p>
          <w:p w:rsidR="00944936" w:rsidRPr="00714BF6" w:rsidRDefault="00944936" w:rsidP="003A17DF">
            <w:pPr>
              <w:pStyle w:val="3"/>
              <w:numPr>
                <w:ilvl w:val="0"/>
                <w:numId w:val="0"/>
              </w:numPr>
              <w:spacing w:line="280" w:lineRule="exact"/>
              <w:jc w:val="center"/>
              <w:rPr>
                <w:b/>
                <w:sz w:val="27"/>
                <w:szCs w:val="27"/>
              </w:rPr>
            </w:pPr>
            <w:r w:rsidRPr="00714BF6">
              <w:rPr>
                <w:rFonts w:hint="eastAsia"/>
                <w:b/>
                <w:sz w:val="27"/>
                <w:szCs w:val="27"/>
              </w:rPr>
              <w:t>科技大學</w:t>
            </w:r>
          </w:p>
        </w:tc>
        <w:tc>
          <w:tcPr>
            <w:tcW w:w="1985" w:type="dxa"/>
            <w:vAlign w:val="center"/>
          </w:tcPr>
          <w:p w:rsidR="00944936" w:rsidRPr="00714BF6" w:rsidRDefault="00944936" w:rsidP="003A17DF">
            <w:pPr>
              <w:pStyle w:val="3"/>
              <w:numPr>
                <w:ilvl w:val="0"/>
                <w:numId w:val="0"/>
              </w:numPr>
              <w:spacing w:line="280" w:lineRule="exact"/>
              <w:jc w:val="center"/>
              <w:rPr>
                <w:b/>
                <w:sz w:val="27"/>
                <w:szCs w:val="27"/>
              </w:rPr>
            </w:pPr>
            <w:r w:rsidRPr="00714BF6">
              <w:rPr>
                <w:rFonts w:hint="eastAsia"/>
                <w:b/>
                <w:sz w:val="27"/>
                <w:szCs w:val="27"/>
              </w:rPr>
              <w:t>逢甲大學</w:t>
            </w:r>
          </w:p>
        </w:tc>
        <w:tc>
          <w:tcPr>
            <w:tcW w:w="2268" w:type="dxa"/>
            <w:vAlign w:val="center"/>
          </w:tcPr>
          <w:p w:rsidR="008C79E5" w:rsidRPr="00714BF6" w:rsidRDefault="00944936" w:rsidP="003A17DF">
            <w:pPr>
              <w:pStyle w:val="3"/>
              <w:numPr>
                <w:ilvl w:val="0"/>
                <w:numId w:val="0"/>
              </w:numPr>
              <w:spacing w:line="280" w:lineRule="exact"/>
              <w:jc w:val="center"/>
              <w:rPr>
                <w:b/>
                <w:sz w:val="27"/>
                <w:szCs w:val="27"/>
              </w:rPr>
            </w:pPr>
            <w:r w:rsidRPr="00714BF6">
              <w:rPr>
                <w:rFonts w:hint="eastAsia"/>
                <w:b/>
                <w:sz w:val="27"/>
                <w:szCs w:val="27"/>
              </w:rPr>
              <w:t>國立高雄應用</w:t>
            </w:r>
          </w:p>
          <w:p w:rsidR="00944936" w:rsidRPr="00714BF6" w:rsidRDefault="00944936" w:rsidP="003A17DF">
            <w:pPr>
              <w:pStyle w:val="3"/>
              <w:numPr>
                <w:ilvl w:val="0"/>
                <w:numId w:val="0"/>
              </w:numPr>
              <w:spacing w:line="280" w:lineRule="exact"/>
              <w:jc w:val="center"/>
              <w:rPr>
                <w:b/>
                <w:sz w:val="27"/>
                <w:szCs w:val="27"/>
              </w:rPr>
            </w:pPr>
            <w:r w:rsidRPr="00714BF6">
              <w:rPr>
                <w:rFonts w:hint="eastAsia"/>
                <w:b/>
                <w:sz w:val="27"/>
                <w:szCs w:val="27"/>
              </w:rPr>
              <w:t>科技大學</w:t>
            </w:r>
          </w:p>
        </w:tc>
      </w:tr>
      <w:tr w:rsidR="00714BF6" w:rsidRPr="00714BF6" w:rsidTr="00B36BE6">
        <w:tc>
          <w:tcPr>
            <w:tcW w:w="2835" w:type="dxa"/>
            <w:gridSpan w:val="4"/>
            <w:vAlign w:val="center"/>
          </w:tcPr>
          <w:p w:rsidR="00944936" w:rsidRPr="00714BF6" w:rsidRDefault="00944936" w:rsidP="003A17DF">
            <w:pPr>
              <w:pStyle w:val="3"/>
              <w:numPr>
                <w:ilvl w:val="0"/>
                <w:numId w:val="0"/>
              </w:numPr>
              <w:spacing w:line="280" w:lineRule="exact"/>
              <w:jc w:val="center"/>
              <w:rPr>
                <w:b/>
                <w:sz w:val="27"/>
                <w:szCs w:val="27"/>
              </w:rPr>
            </w:pPr>
            <w:r w:rsidRPr="00714BF6">
              <w:rPr>
                <w:rFonts w:hint="eastAsia"/>
                <w:b/>
                <w:sz w:val="27"/>
                <w:szCs w:val="27"/>
              </w:rPr>
              <w:t>區域</w:t>
            </w:r>
          </w:p>
        </w:tc>
        <w:tc>
          <w:tcPr>
            <w:tcW w:w="2268" w:type="dxa"/>
            <w:vAlign w:val="center"/>
          </w:tcPr>
          <w:p w:rsidR="00944936" w:rsidRPr="00714BF6" w:rsidRDefault="00944936" w:rsidP="003A17DF">
            <w:pPr>
              <w:pStyle w:val="3"/>
              <w:numPr>
                <w:ilvl w:val="0"/>
                <w:numId w:val="0"/>
              </w:numPr>
              <w:spacing w:line="280" w:lineRule="exact"/>
              <w:jc w:val="center"/>
              <w:rPr>
                <w:sz w:val="27"/>
                <w:szCs w:val="27"/>
              </w:rPr>
            </w:pPr>
            <w:r w:rsidRPr="00714BF6">
              <w:rPr>
                <w:rFonts w:hint="eastAsia"/>
                <w:sz w:val="27"/>
                <w:szCs w:val="27"/>
              </w:rPr>
              <w:t>北</w:t>
            </w:r>
          </w:p>
        </w:tc>
        <w:tc>
          <w:tcPr>
            <w:tcW w:w="1985" w:type="dxa"/>
            <w:vAlign w:val="center"/>
          </w:tcPr>
          <w:p w:rsidR="00944936" w:rsidRPr="00714BF6" w:rsidRDefault="00944936" w:rsidP="003A17DF">
            <w:pPr>
              <w:pStyle w:val="3"/>
              <w:numPr>
                <w:ilvl w:val="0"/>
                <w:numId w:val="0"/>
              </w:numPr>
              <w:spacing w:line="280" w:lineRule="exact"/>
              <w:jc w:val="center"/>
              <w:rPr>
                <w:sz w:val="27"/>
                <w:szCs w:val="27"/>
              </w:rPr>
            </w:pPr>
            <w:r w:rsidRPr="00714BF6">
              <w:rPr>
                <w:rFonts w:hint="eastAsia"/>
                <w:sz w:val="27"/>
                <w:szCs w:val="27"/>
              </w:rPr>
              <w:t>中</w:t>
            </w:r>
          </w:p>
        </w:tc>
        <w:tc>
          <w:tcPr>
            <w:tcW w:w="2268" w:type="dxa"/>
            <w:vAlign w:val="center"/>
          </w:tcPr>
          <w:p w:rsidR="00944936" w:rsidRPr="00714BF6" w:rsidRDefault="00944936" w:rsidP="003A17DF">
            <w:pPr>
              <w:pStyle w:val="3"/>
              <w:numPr>
                <w:ilvl w:val="0"/>
                <w:numId w:val="0"/>
              </w:numPr>
              <w:spacing w:line="280" w:lineRule="exact"/>
              <w:jc w:val="center"/>
              <w:rPr>
                <w:sz w:val="27"/>
                <w:szCs w:val="27"/>
              </w:rPr>
            </w:pPr>
            <w:r w:rsidRPr="00714BF6">
              <w:rPr>
                <w:rFonts w:hint="eastAsia"/>
                <w:sz w:val="27"/>
                <w:szCs w:val="27"/>
              </w:rPr>
              <w:t>南</w:t>
            </w:r>
          </w:p>
        </w:tc>
      </w:tr>
      <w:tr w:rsidR="00714BF6" w:rsidRPr="00714BF6" w:rsidTr="00B36BE6">
        <w:tc>
          <w:tcPr>
            <w:tcW w:w="2835" w:type="dxa"/>
            <w:gridSpan w:val="4"/>
            <w:vAlign w:val="center"/>
          </w:tcPr>
          <w:p w:rsidR="00944936" w:rsidRPr="00714BF6" w:rsidRDefault="00944936" w:rsidP="003A17DF">
            <w:pPr>
              <w:pStyle w:val="3"/>
              <w:numPr>
                <w:ilvl w:val="0"/>
                <w:numId w:val="0"/>
              </w:numPr>
              <w:spacing w:line="280" w:lineRule="exact"/>
              <w:jc w:val="center"/>
              <w:rPr>
                <w:b/>
                <w:sz w:val="27"/>
                <w:szCs w:val="27"/>
              </w:rPr>
            </w:pPr>
            <w:r w:rsidRPr="00714BF6">
              <w:rPr>
                <w:rFonts w:hint="eastAsia"/>
                <w:b/>
                <w:sz w:val="27"/>
                <w:szCs w:val="27"/>
              </w:rPr>
              <w:t>屬性</w:t>
            </w:r>
          </w:p>
        </w:tc>
        <w:tc>
          <w:tcPr>
            <w:tcW w:w="2268" w:type="dxa"/>
            <w:tcBorders>
              <w:bottom w:val="single" w:sz="4" w:space="0" w:color="auto"/>
            </w:tcBorders>
            <w:vAlign w:val="center"/>
          </w:tcPr>
          <w:p w:rsidR="00944936" w:rsidRPr="00714BF6" w:rsidRDefault="00944936" w:rsidP="003A17DF">
            <w:pPr>
              <w:pStyle w:val="3"/>
              <w:numPr>
                <w:ilvl w:val="0"/>
                <w:numId w:val="0"/>
              </w:numPr>
              <w:spacing w:line="280" w:lineRule="exact"/>
              <w:jc w:val="center"/>
              <w:rPr>
                <w:sz w:val="27"/>
                <w:szCs w:val="27"/>
              </w:rPr>
            </w:pPr>
            <w:r w:rsidRPr="00714BF6">
              <w:rPr>
                <w:rFonts w:hint="eastAsia"/>
                <w:sz w:val="27"/>
                <w:szCs w:val="27"/>
              </w:rPr>
              <w:t>技職</w:t>
            </w:r>
          </w:p>
        </w:tc>
        <w:tc>
          <w:tcPr>
            <w:tcW w:w="1985" w:type="dxa"/>
            <w:tcBorders>
              <w:bottom w:val="single" w:sz="4" w:space="0" w:color="auto"/>
            </w:tcBorders>
            <w:vAlign w:val="center"/>
          </w:tcPr>
          <w:p w:rsidR="00944936" w:rsidRPr="00714BF6" w:rsidRDefault="00944936" w:rsidP="003A17DF">
            <w:pPr>
              <w:pStyle w:val="3"/>
              <w:numPr>
                <w:ilvl w:val="0"/>
                <w:numId w:val="0"/>
              </w:numPr>
              <w:spacing w:line="280" w:lineRule="exact"/>
              <w:jc w:val="center"/>
              <w:rPr>
                <w:sz w:val="27"/>
                <w:szCs w:val="27"/>
              </w:rPr>
            </w:pPr>
            <w:r w:rsidRPr="00714BF6">
              <w:rPr>
                <w:rFonts w:hint="eastAsia"/>
                <w:sz w:val="27"/>
                <w:szCs w:val="27"/>
              </w:rPr>
              <w:t>一般</w:t>
            </w:r>
          </w:p>
        </w:tc>
        <w:tc>
          <w:tcPr>
            <w:tcW w:w="2268" w:type="dxa"/>
            <w:tcBorders>
              <w:bottom w:val="single" w:sz="4" w:space="0" w:color="auto"/>
            </w:tcBorders>
            <w:vAlign w:val="center"/>
          </w:tcPr>
          <w:p w:rsidR="00944936" w:rsidRPr="00714BF6" w:rsidRDefault="00944936" w:rsidP="003A17DF">
            <w:pPr>
              <w:pStyle w:val="3"/>
              <w:numPr>
                <w:ilvl w:val="0"/>
                <w:numId w:val="0"/>
              </w:numPr>
              <w:spacing w:line="280" w:lineRule="exact"/>
              <w:jc w:val="center"/>
              <w:rPr>
                <w:sz w:val="27"/>
                <w:szCs w:val="27"/>
              </w:rPr>
            </w:pPr>
            <w:r w:rsidRPr="00714BF6">
              <w:rPr>
                <w:rFonts w:hint="eastAsia"/>
                <w:sz w:val="27"/>
                <w:szCs w:val="27"/>
              </w:rPr>
              <w:t>技職</w:t>
            </w:r>
          </w:p>
        </w:tc>
      </w:tr>
      <w:tr w:rsidR="00B50022" w:rsidRPr="00386E87" w:rsidTr="00B50022">
        <w:trPr>
          <w:trHeight w:val="376"/>
        </w:trPr>
        <w:tc>
          <w:tcPr>
            <w:tcW w:w="424" w:type="dxa"/>
            <w:vMerge w:val="restart"/>
            <w:vAlign w:val="center"/>
          </w:tcPr>
          <w:p w:rsidR="00B50022" w:rsidRPr="00714BF6" w:rsidRDefault="00B50022" w:rsidP="00386E87">
            <w:pPr>
              <w:pStyle w:val="3"/>
              <w:numPr>
                <w:ilvl w:val="0"/>
                <w:numId w:val="0"/>
              </w:numPr>
              <w:spacing w:line="280" w:lineRule="exact"/>
              <w:jc w:val="center"/>
              <w:rPr>
                <w:b/>
                <w:sz w:val="27"/>
                <w:szCs w:val="27"/>
              </w:rPr>
            </w:pPr>
            <w:r w:rsidRPr="00714BF6">
              <w:rPr>
                <w:rFonts w:hint="eastAsia"/>
                <w:b/>
                <w:sz w:val="27"/>
                <w:szCs w:val="27"/>
              </w:rPr>
              <w:t>夥伴學校</w:t>
            </w:r>
          </w:p>
        </w:tc>
        <w:tc>
          <w:tcPr>
            <w:tcW w:w="2411" w:type="dxa"/>
            <w:gridSpan w:val="3"/>
            <w:tcBorders>
              <w:tl2br w:val="single" w:sz="4" w:space="0" w:color="auto"/>
            </w:tcBorders>
            <w:vAlign w:val="center"/>
          </w:tcPr>
          <w:p w:rsidR="00B50022" w:rsidRPr="002A58E0" w:rsidRDefault="00B50022" w:rsidP="00386E87">
            <w:pPr>
              <w:spacing w:line="280" w:lineRule="exact"/>
              <w:jc w:val="center"/>
              <w:rPr>
                <w:b/>
                <w:sz w:val="20"/>
              </w:rPr>
            </w:pPr>
            <w:r w:rsidRPr="002A58E0">
              <w:rPr>
                <w:rFonts w:hint="eastAsia"/>
                <w:b/>
                <w:sz w:val="20"/>
              </w:rPr>
              <w:t xml:space="preserve">   </w:t>
            </w:r>
            <w:r w:rsidRPr="002A58E0">
              <w:rPr>
                <w:rFonts w:hint="eastAsia"/>
                <w:b/>
                <w:sz w:val="24"/>
                <w:szCs w:val="24"/>
              </w:rPr>
              <w:t xml:space="preserve"> </w:t>
            </w:r>
            <w:r>
              <w:rPr>
                <w:rFonts w:hint="eastAsia"/>
                <w:b/>
                <w:sz w:val="24"/>
                <w:szCs w:val="24"/>
              </w:rPr>
              <w:t xml:space="preserve">   </w:t>
            </w:r>
            <w:r w:rsidRPr="002A58E0">
              <w:rPr>
                <w:rFonts w:hint="eastAsia"/>
                <w:b/>
                <w:sz w:val="24"/>
                <w:szCs w:val="24"/>
              </w:rPr>
              <w:t>校數</w:t>
            </w:r>
            <w:r w:rsidRPr="002A58E0">
              <w:rPr>
                <w:rFonts w:hint="eastAsia"/>
                <w:sz w:val="20"/>
              </w:rPr>
              <w:t>(單位：所)</w:t>
            </w:r>
          </w:p>
          <w:p w:rsidR="00B50022" w:rsidRPr="002A58E0" w:rsidRDefault="00B50022" w:rsidP="002E7178">
            <w:pPr>
              <w:spacing w:line="280" w:lineRule="exact"/>
              <w:rPr>
                <w:b/>
                <w:sz w:val="24"/>
                <w:szCs w:val="24"/>
              </w:rPr>
            </w:pPr>
            <w:r w:rsidRPr="002A58E0">
              <w:rPr>
                <w:rFonts w:hint="eastAsia"/>
                <w:b/>
                <w:sz w:val="24"/>
                <w:szCs w:val="24"/>
              </w:rPr>
              <w:t>類別</w:t>
            </w:r>
          </w:p>
        </w:tc>
        <w:tc>
          <w:tcPr>
            <w:tcW w:w="6521" w:type="dxa"/>
            <w:gridSpan w:val="3"/>
            <w:shd w:val="clear" w:color="auto" w:fill="B6DDE8" w:themeFill="accent5" w:themeFillTint="66"/>
            <w:vAlign w:val="center"/>
          </w:tcPr>
          <w:p w:rsidR="00B50022" w:rsidRPr="002E7178" w:rsidRDefault="00B50022" w:rsidP="00B50022">
            <w:pPr>
              <w:spacing w:line="280" w:lineRule="exact"/>
              <w:jc w:val="center"/>
              <w:rPr>
                <w:b/>
                <w:sz w:val="27"/>
                <w:szCs w:val="27"/>
              </w:rPr>
            </w:pPr>
            <w:r w:rsidRPr="00C27062">
              <w:rPr>
                <w:rFonts w:hint="eastAsia"/>
                <w:b/>
                <w:sz w:val="27"/>
                <w:szCs w:val="27"/>
              </w:rPr>
              <w:t>總計</w:t>
            </w:r>
            <w:r>
              <w:rPr>
                <w:rFonts w:hint="eastAsia"/>
                <w:b/>
                <w:sz w:val="27"/>
                <w:szCs w:val="27"/>
              </w:rPr>
              <w:t>80</w:t>
            </w:r>
          </w:p>
        </w:tc>
      </w:tr>
      <w:tr w:rsidR="002E7178" w:rsidRPr="00386E87" w:rsidTr="00B36BE6">
        <w:trPr>
          <w:trHeight w:val="143"/>
        </w:trPr>
        <w:tc>
          <w:tcPr>
            <w:tcW w:w="424" w:type="dxa"/>
            <w:vMerge/>
            <w:vAlign w:val="center"/>
          </w:tcPr>
          <w:p w:rsidR="002E7178" w:rsidRPr="00714BF6" w:rsidRDefault="002E7178" w:rsidP="00386E87">
            <w:pPr>
              <w:pStyle w:val="3"/>
              <w:numPr>
                <w:ilvl w:val="0"/>
                <w:numId w:val="0"/>
              </w:numPr>
              <w:spacing w:line="280" w:lineRule="exact"/>
              <w:jc w:val="center"/>
              <w:rPr>
                <w:b/>
                <w:sz w:val="27"/>
                <w:szCs w:val="27"/>
              </w:rPr>
            </w:pPr>
          </w:p>
        </w:tc>
        <w:tc>
          <w:tcPr>
            <w:tcW w:w="427" w:type="dxa"/>
            <w:vMerge w:val="restart"/>
            <w:vAlign w:val="center"/>
          </w:tcPr>
          <w:p w:rsidR="002E7178" w:rsidRPr="00386E87" w:rsidRDefault="002E7178" w:rsidP="00386E87">
            <w:pPr>
              <w:spacing w:line="280" w:lineRule="exact"/>
              <w:jc w:val="center"/>
              <w:rPr>
                <w:b/>
                <w:sz w:val="24"/>
                <w:szCs w:val="24"/>
              </w:rPr>
            </w:pPr>
            <w:r>
              <w:rPr>
                <w:rFonts w:hint="eastAsia"/>
                <w:b/>
                <w:sz w:val="24"/>
                <w:szCs w:val="24"/>
              </w:rPr>
              <w:t>小計</w:t>
            </w:r>
          </w:p>
        </w:tc>
        <w:tc>
          <w:tcPr>
            <w:tcW w:w="1417" w:type="dxa"/>
            <w:vAlign w:val="center"/>
          </w:tcPr>
          <w:p w:rsidR="002E7178" w:rsidRDefault="002E7178" w:rsidP="00F81CE6">
            <w:pPr>
              <w:spacing w:line="280" w:lineRule="exact"/>
              <w:jc w:val="center"/>
              <w:rPr>
                <w:b/>
                <w:sz w:val="27"/>
                <w:szCs w:val="27"/>
              </w:rPr>
            </w:pPr>
            <w:r w:rsidRPr="00714BF6">
              <w:rPr>
                <w:rFonts w:hint="eastAsia"/>
                <w:b/>
                <w:sz w:val="27"/>
                <w:szCs w:val="27"/>
              </w:rPr>
              <w:t>教學卓越</w:t>
            </w:r>
          </w:p>
        </w:tc>
        <w:tc>
          <w:tcPr>
            <w:tcW w:w="567" w:type="dxa"/>
            <w:shd w:val="clear" w:color="auto" w:fill="B6DDE8" w:themeFill="accent5" w:themeFillTint="66"/>
            <w:vAlign w:val="center"/>
          </w:tcPr>
          <w:p w:rsidR="002E7178" w:rsidRPr="002E7178" w:rsidRDefault="002E7178" w:rsidP="00F81CE6">
            <w:pPr>
              <w:spacing w:line="280" w:lineRule="exact"/>
              <w:jc w:val="center"/>
              <w:rPr>
                <w:b/>
                <w:sz w:val="24"/>
                <w:szCs w:val="24"/>
              </w:rPr>
            </w:pPr>
            <w:r w:rsidRPr="002E7178">
              <w:rPr>
                <w:rFonts w:hint="eastAsia"/>
                <w:b/>
                <w:sz w:val="24"/>
                <w:szCs w:val="24"/>
              </w:rPr>
              <w:t>36</w:t>
            </w:r>
          </w:p>
        </w:tc>
        <w:tc>
          <w:tcPr>
            <w:tcW w:w="2268" w:type="dxa"/>
            <w:vAlign w:val="center"/>
          </w:tcPr>
          <w:p w:rsidR="002E7178" w:rsidRPr="00714BF6" w:rsidRDefault="002E7178" w:rsidP="00F81CE6">
            <w:pPr>
              <w:spacing w:line="280" w:lineRule="exact"/>
              <w:jc w:val="center"/>
              <w:rPr>
                <w:sz w:val="27"/>
                <w:szCs w:val="27"/>
              </w:rPr>
            </w:pPr>
            <w:r w:rsidRPr="00714BF6">
              <w:rPr>
                <w:rFonts w:hint="eastAsia"/>
                <w:sz w:val="27"/>
                <w:szCs w:val="27"/>
              </w:rPr>
              <w:t>11</w:t>
            </w:r>
          </w:p>
        </w:tc>
        <w:tc>
          <w:tcPr>
            <w:tcW w:w="1985" w:type="dxa"/>
            <w:vAlign w:val="center"/>
          </w:tcPr>
          <w:p w:rsidR="002E7178" w:rsidRPr="00714BF6" w:rsidRDefault="002E7178" w:rsidP="00F81CE6">
            <w:pPr>
              <w:spacing w:line="280" w:lineRule="exact"/>
              <w:jc w:val="center"/>
              <w:rPr>
                <w:sz w:val="27"/>
                <w:szCs w:val="27"/>
              </w:rPr>
            </w:pPr>
            <w:r w:rsidRPr="00714BF6">
              <w:rPr>
                <w:rFonts w:hint="eastAsia"/>
                <w:sz w:val="27"/>
                <w:szCs w:val="27"/>
              </w:rPr>
              <w:t>8</w:t>
            </w:r>
          </w:p>
        </w:tc>
        <w:tc>
          <w:tcPr>
            <w:tcW w:w="2268" w:type="dxa"/>
            <w:vAlign w:val="center"/>
          </w:tcPr>
          <w:p w:rsidR="002E7178" w:rsidRPr="00714BF6" w:rsidRDefault="002E7178" w:rsidP="00F81CE6">
            <w:pPr>
              <w:spacing w:line="280" w:lineRule="exact"/>
              <w:jc w:val="center"/>
              <w:rPr>
                <w:sz w:val="27"/>
                <w:szCs w:val="27"/>
              </w:rPr>
            </w:pPr>
            <w:r w:rsidRPr="00714BF6">
              <w:rPr>
                <w:rFonts w:hint="eastAsia"/>
                <w:sz w:val="27"/>
                <w:szCs w:val="27"/>
              </w:rPr>
              <w:t>17</w:t>
            </w:r>
          </w:p>
        </w:tc>
      </w:tr>
      <w:tr w:rsidR="002E7178" w:rsidRPr="00386E87" w:rsidTr="00B36BE6">
        <w:trPr>
          <w:trHeight w:val="137"/>
        </w:trPr>
        <w:tc>
          <w:tcPr>
            <w:tcW w:w="424" w:type="dxa"/>
            <w:vMerge/>
            <w:vAlign w:val="center"/>
          </w:tcPr>
          <w:p w:rsidR="002E7178" w:rsidRPr="00714BF6" w:rsidRDefault="002E7178" w:rsidP="00386E87">
            <w:pPr>
              <w:pStyle w:val="3"/>
              <w:numPr>
                <w:ilvl w:val="0"/>
                <w:numId w:val="0"/>
              </w:numPr>
              <w:spacing w:line="280" w:lineRule="exact"/>
              <w:jc w:val="center"/>
              <w:rPr>
                <w:b/>
                <w:sz w:val="27"/>
                <w:szCs w:val="27"/>
              </w:rPr>
            </w:pPr>
          </w:p>
        </w:tc>
        <w:tc>
          <w:tcPr>
            <w:tcW w:w="427" w:type="dxa"/>
            <w:vMerge/>
            <w:vAlign w:val="center"/>
          </w:tcPr>
          <w:p w:rsidR="002E7178" w:rsidRPr="00386E87" w:rsidRDefault="002E7178" w:rsidP="00386E87">
            <w:pPr>
              <w:spacing w:line="280" w:lineRule="exact"/>
              <w:jc w:val="center"/>
              <w:rPr>
                <w:b/>
                <w:sz w:val="24"/>
                <w:szCs w:val="24"/>
              </w:rPr>
            </w:pPr>
          </w:p>
        </w:tc>
        <w:tc>
          <w:tcPr>
            <w:tcW w:w="1417" w:type="dxa"/>
            <w:vAlign w:val="center"/>
          </w:tcPr>
          <w:p w:rsidR="002E7178" w:rsidRPr="00714BF6" w:rsidRDefault="002E7178" w:rsidP="00F81CE6">
            <w:pPr>
              <w:spacing w:line="280" w:lineRule="exact"/>
              <w:jc w:val="center"/>
              <w:rPr>
                <w:b/>
                <w:sz w:val="27"/>
                <w:szCs w:val="27"/>
              </w:rPr>
            </w:pPr>
            <w:r w:rsidRPr="00714BF6">
              <w:rPr>
                <w:rFonts w:hint="eastAsia"/>
                <w:b/>
                <w:sz w:val="27"/>
                <w:szCs w:val="27"/>
              </w:rPr>
              <w:t>教學增能</w:t>
            </w:r>
          </w:p>
        </w:tc>
        <w:tc>
          <w:tcPr>
            <w:tcW w:w="567" w:type="dxa"/>
            <w:shd w:val="clear" w:color="auto" w:fill="B6DDE8" w:themeFill="accent5" w:themeFillTint="66"/>
            <w:vAlign w:val="center"/>
          </w:tcPr>
          <w:p w:rsidR="002E7178" w:rsidRPr="002E7178" w:rsidRDefault="002E7178" w:rsidP="00F81CE6">
            <w:pPr>
              <w:spacing w:line="280" w:lineRule="exact"/>
              <w:jc w:val="center"/>
              <w:rPr>
                <w:b/>
                <w:sz w:val="24"/>
                <w:szCs w:val="24"/>
              </w:rPr>
            </w:pPr>
            <w:r w:rsidRPr="002E7178">
              <w:rPr>
                <w:rFonts w:hint="eastAsia"/>
                <w:b/>
                <w:sz w:val="24"/>
                <w:szCs w:val="24"/>
              </w:rPr>
              <w:t>32</w:t>
            </w:r>
          </w:p>
        </w:tc>
        <w:tc>
          <w:tcPr>
            <w:tcW w:w="2268" w:type="dxa"/>
            <w:vAlign w:val="center"/>
          </w:tcPr>
          <w:p w:rsidR="002E7178" w:rsidRPr="00714BF6" w:rsidRDefault="002E7178" w:rsidP="00F81CE6">
            <w:pPr>
              <w:spacing w:line="280" w:lineRule="exact"/>
              <w:jc w:val="center"/>
              <w:rPr>
                <w:sz w:val="27"/>
                <w:szCs w:val="27"/>
              </w:rPr>
            </w:pPr>
            <w:r w:rsidRPr="00714BF6">
              <w:rPr>
                <w:rFonts w:hint="eastAsia"/>
                <w:sz w:val="27"/>
                <w:szCs w:val="27"/>
              </w:rPr>
              <w:t>22</w:t>
            </w:r>
          </w:p>
        </w:tc>
        <w:tc>
          <w:tcPr>
            <w:tcW w:w="1985" w:type="dxa"/>
            <w:vAlign w:val="center"/>
          </w:tcPr>
          <w:p w:rsidR="002E7178" w:rsidRPr="00714BF6" w:rsidRDefault="002E7178" w:rsidP="00F81CE6">
            <w:pPr>
              <w:spacing w:line="280" w:lineRule="exact"/>
              <w:jc w:val="center"/>
              <w:rPr>
                <w:sz w:val="27"/>
                <w:szCs w:val="27"/>
              </w:rPr>
            </w:pPr>
            <w:r w:rsidRPr="00714BF6">
              <w:rPr>
                <w:rFonts w:hint="eastAsia"/>
                <w:sz w:val="27"/>
                <w:szCs w:val="27"/>
              </w:rPr>
              <w:t>5</w:t>
            </w:r>
          </w:p>
        </w:tc>
        <w:tc>
          <w:tcPr>
            <w:tcW w:w="2268" w:type="dxa"/>
            <w:vAlign w:val="center"/>
          </w:tcPr>
          <w:p w:rsidR="002E7178" w:rsidRPr="00714BF6" w:rsidRDefault="002E7178" w:rsidP="00F81CE6">
            <w:pPr>
              <w:spacing w:line="280" w:lineRule="exact"/>
              <w:jc w:val="center"/>
              <w:rPr>
                <w:sz w:val="27"/>
                <w:szCs w:val="27"/>
              </w:rPr>
            </w:pPr>
            <w:r w:rsidRPr="00714BF6">
              <w:rPr>
                <w:rFonts w:hint="eastAsia"/>
                <w:sz w:val="27"/>
                <w:szCs w:val="27"/>
              </w:rPr>
              <w:t>5</w:t>
            </w:r>
          </w:p>
        </w:tc>
      </w:tr>
      <w:tr w:rsidR="002E7178" w:rsidRPr="00386E87" w:rsidTr="00B36BE6">
        <w:trPr>
          <w:trHeight w:val="124"/>
        </w:trPr>
        <w:tc>
          <w:tcPr>
            <w:tcW w:w="424" w:type="dxa"/>
            <w:vMerge/>
            <w:vAlign w:val="center"/>
          </w:tcPr>
          <w:p w:rsidR="002E7178" w:rsidRPr="00714BF6" w:rsidRDefault="002E7178" w:rsidP="00386E87">
            <w:pPr>
              <w:pStyle w:val="3"/>
              <w:numPr>
                <w:ilvl w:val="0"/>
                <w:numId w:val="0"/>
              </w:numPr>
              <w:spacing w:line="280" w:lineRule="exact"/>
              <w:jc w:val="center"/>
              <w:rPr>
                <w:b/>
                <w:sz w:val="27"/>
                <w:szCs w:val="27"/>
              </w:rPr>
            </w:pPr>
          </w:p>
        </w:tc>
        <w:tc>
          <w:tcPr>
            <w:tcW w:w="427" w:type="dxa"/>
            <w:vMerge/>
            <w:vAlign w:val="center"/>
          </w:tcPr>
          <w:p w:rsidR="002E7178" w:rsidRPr="00386E87" w:rsidRDefault="002E7178" w:rsidP="00386E87">
            <w:pPr>
              <w:spacing w:line="280" w:lineRule="exact"/>
              <w:jc w:val="center"/>
              <w:rPr>
                <w:b/>
                <w:sz w:val="24"/>
                <w:szCs w:val="24"/>
              </w:rPr>
            </w:pPr>
          </w:p>
        </w:tc>
        <w:tc>
          <w:tcPr>
            <w:tcW w:w="1417" w:type="dxa"/>
            <w:vAlign w:val="center"/>
          </w:tcPr>
          <w:p w:rsidR="002E7178" w:rsidRPr="00714BF6" w:rsidRDefault="002E7178" w:rsidP="00F81CE6">
            <w:pPr>
              <w:spacing w:line="280" w:lineRule="exact"/>
              <w:jc w:val="center"/>
              <w:rPr>
                <w:b/>
                <w:sz w:val="27"/>
                <w:szCs w:val="27"/>
              </w:rPr>
            </w:pPr>
            <w:r w:rsidRPr="00714BF6">
              <w:rPr>
                <w:rFonts w:hint="eastAsia"/>
                <w:b/>
                <w:sz w:val="27"/>
                <w:szCs w:val="27"/>
              </w:rPr>
              <w:t>專科學校</w:t>
            </w:r>
          </w:p>
        </w:tc>
        <w:tc>
          <w:tcPr>
            <w:tcW w:w="567" w:type="dxa"/>
            <w:shd w:val="clear" w:color="auto" w:fill="B6DDE8" w:themeFill="accent5" w:themeFillTint="66"/>
            <w:vAlign w:val="center"/>
          </w:tcPr>
          <w:p w:rsidR="002E7178" w:rsidRPr="002E7178" w:rsidRDefault="002E7178" w:rsidP="00F81CE6">
            <w:pPr>
              <w:spacing w:line="280" w:lineRule="exact"/>
              <w:jc w:val="center"/>
              <w:rPr>
                <w:b/>
                <w:sz w:val="24"/>
                <w:szCs w:val="24"/>
              </w:rPr>
            </w:pPr>
            <w:r w:rsidRPr="002E7178">
              <w:rPr>
                <w:rFonts w:hint="eastAsia"/>
                <w:b/>
                <w:sz w:val="24"/>
                <w:szCs w:val="24"/>
              </w:rPr>
              <w:t>12</w:t>
            </w:r>
          </w:p>
        </w:tc>
        <w:tc>
          <w:tcPr>
            <w:tcW w:w="2268" w:type="dxa"/>
            <w:vAlign w:val="center"/>
          </w:tcPr>
          <w:p w:rsidR="002E7178" w:rsidRPr="00714BF6" w:rsidRDefault="002E7178" w:rsidP="00F81CE6">
            <w:pPr>
              <w:spacing w:line="280" w:lineRule="exact"/>
              <w:jc w:val="center"/>
              <w:rPr>
                <w:sz w:val="27"/>
                <w:szCs w:val="27"/>
              </w:rPr>
            </w:pPr>
            <w:r w:rsidRPr="00714BF6">
              <w:rPr>
                <w:rFonts w:hint="eastAsia"/>
                <w:sz w:val="27"/>
                <w:szCs w:val="27"/>
              </w:rPr>
              <w:t>5</w:t>
            </w:r>
          </w:p>
        </w:tc>
        <w:tc>
          <w:tcPr>
            <w:tcW w:w="1985" w:type="dxa"/>
            <w:vAlign w:val="center"/>
          </w:tcPr>
          <w:p w:rsidR="002E7178" w:rsidRPr="00714BF6" w:rsidRDefault="002E7178" w:rsidP="00F81CE6">
            <w:pPr>
              <w:spacing w:line="280" w:lineRule="exact"/>
              <w:jc w:val="center"/>
              <w:rPr>
                <w:sz w:val="27"/>
                <w:szCs w:val="27"/>
              </w:rPr>
            </w:pPr>
            <w:r w:rsidRPr="00714BF6">
              <w:rPr>
                <w:rFonts w:hint="eastAsia"/>
                <w:sz w:val="27"/>
                <w:szCs w:val="27"/>
              </w:rPr>
              <w:t>0</w:t>
            </w:r>
          </w:p>
        </w:tc>
        <w:tc>
          <w:tcPr>
            <w:tcW w:w="2268" w:type="dxa"/>
            <w:vAlign w:val="center"/>
          </w:tcPr>
          <w:p w:rsidR="002E7178" w:rsidRPr="00714BF6" w:rsidRDefault="002E7178" w:rsidP="00F81CE6">
            <w:pPr>
              <w:spacing w:line="280" w:lineRule="exact"/>
              <w:jc w:val="center"/>
              <w:rPr>
                <w:sz w:val="27"/>
                <w:szCs w:val="27"/>
              </w:rPr>
            </w:pPr>
            <w:r w:rsidRPr="00714BF6">
              <w:rPr>
                <w:rFonts w:hint="eastAsia"/>
                <w:sz w:val="27"/>
                <w:szCs w:val="27"/>
              </w:rPr>
              <w:t>7</w:t>
            </w:r>
          </w:p>
        </w:tc>
      </w:tr>
      <w:tr w:rsidR="00714BF6" w:rsidRPr="00714BF6" w:rsidTr="00B36BE6">
        <w:tc>
          <w:tcPr>
            <w:tcW w:w="2835" w:type="dxa"/>
            <w:gridSpan w:val="4"/>
            <w:vAlign w:val="center"/>
          </w:tcPr>
          <w:p w:rsidR="002E7178" w:rsidRDefault="00457511" w:rsidP="003A17DF">
            <w:pPr>
              <w:pStyle w:val="3"/>
              <w:numPr>
                <w:ilvl w:val="0"/>
                <w:numId w:val="0"/>
              </w:numPr>
              <w:spacing w:line="280" w:lineRule="exact"/>
              <w:jc w:val="center"/>
              <w:rPr>
                <w:b/>
                <w:bCs w:val="0"/>
                <w:sz w:val="28"/>
                <w:szCs w:val="28"/>
              </w:rPr>
            </w:pPr>
            <w:r w:rsidRPr="00714BF6">
              <w:rPr>
                <w:rFonts w:hint="eastAsia"/>
                <w:b/>
                <w:bCs w:val="0"/>
                <w:sz w:val="28"/>
                <w:szCs w:val="28"/>
              </w:rPr>
              <w:t>學習成效評估機制</w:t>
            </w:r>
          </w:p>
          <w:p w:rsidR="00944936" w:rsidRPr="00714BF6" w:rsidRDefault="00457511" w:rsidP="003A17DF">
            <w:pPr>
              <w:pStyle w:val="3"/>
              <w:numPr>
                <w:ilvl w:val="0"/>
                <w:numId w:val="0"/>
              </w:numPr>
              <w:spacing w:line="280" w:lineRule="exact"/>
              <w:jc w:val="center"/>
              <w:rPr>
                <w:sz w:val="27"/>
                <w:szCs w:val="27"/>
              </w:rPr>
            </w:pPr>
            <w:r w:rsidRPr="00714BF6">
              <w:rPr>
                <w:rFonts w:hint="eastAsia"/>
                <w:b/>
                <w:bCs w:val="0"/>
                <w:sz w:val="28"/>
                <w:szCs w:val="28"/>
              </w:rPr>
              <w:lastRenderedPageBreak/>
              <w:t>-題庫與會考</w:t>
            </w:r>
          </w:p>
        </w:tc>
        <w:tc>
          <w:tcPr>
            <w:tcW w:w="2268" w:type="dxa"/>
            <w:vAlign w:val="center"/>
          </w:tcPr>
          <w:p w:rsidR="00457511" w:rsidRPr="00714BF6" w:rsidRDefault="00457511" w:rsidP="00317A70">
            <w:pPr>
              <w:pStyle w:val="af8"/>
              <w:numPr>
                <w:ilvl w:val="0"/>
                <w:numId w:val="79"/>
              </w:numPr>
              <w:spacing w:line="280" w:lineRule="exact"/>
              <w:ind w:leftChars="0"/>
              <w:rPr>
                <w:sz w:val="24"/>
                <w:szCs w:val="24"/>
              </w:rPr>
            </w:pPr>
            <w:r w:rsidRPr="00714BF6">
              <w:rPr>
                <w:rFonts w:hint="eastAsia"/>
                <w:sz w:val="24"/>
                <w:szCs w:val="24"/>
              </w:rPr>
              <w:lastRenderedPageBreak/>
              <w:t>建置計算機概</w:t>
            </w:r>
            <w:r w:rsidRPr="00714BF6">
              <w:rPr>
                <w:rFonts w:hint="eastAsia"/>
                <w:sz w:val="24"/>
                <w:szCs w:val="24"/>
              </w:rPr>
              <w:lastRenderedPageBreak/>
              <w:t>論、一般英文、基本護理、觀光餐旅概論及初級會計題庫。</w:t>
            </w:r>
          </w:p>
          <w:p w:rsidR="00944936" w:rsidRPr="00714BF6" w:rsidRDefault="00457511" w:rsidP="00317A70">
            <w:pPr>
              <w:pStyle w:val="af8"/>
              <w:numPr>
                <w:ilvl w:val="0"/>
                <w:numId w:val="79"/>
              </w:numPr>
              <w:spacing w:line="280" w:lineRule="exact"/>
              <w:ind w:leftChars="0"/>
              <w:rPr>
                <w:sz w:val="24"/>
                <w:szCs w:val="24"/>
              </w:rPr>
            </w:pPr>
            <w:r w:rsidRPr="00714BF6">
              <w:rPr>
                <w:rFonts w:hint="eastAsia"/>
                <w:sz w:val="24"/>
                <w:szCs w:val="24"/>
              </w:rPr>
              <w:t>計算機概論已辦理5次會考；第5次會考計29校參與，5,145人報名4,666人應試。其他學科亦分別辦理2~4次會考。</w:t>
            </w:r>
          </w:p>
        </w:tc>
        <w:tc>
          <w:tcPr>
            <w:tcW w:w="1985" w:type="dxa"/>
            <w:vAlign w:val="center"/>
          </w:tcPr>
          <w:p w:rsidR="00944936" w:rsidRPr="00714BF6" w:rsidRDefault="00457511" w:rsidP="003A17DF">
            <w:pPr>
              <w:pStyle w:val="3"/>
              <w:numPr>
                <w:ilvl w:val="0"/>
                <w:numId w:val="0"/>
              </w:numPr>
              <w:spacing w:line="280" w:lineRule="exact"/>
              <w:jc w:val="center"/>
              <w:rPr>
                <w:sz w:val="27"/>
                <w:szCs w:val="27"/>
              </w:rPr>
            </w:pPr>
            <w:r w:rsidRPr="00714BF6">
              <w:rPr>
                <w:rFonts w:hint="eastAsia"/>
                <w:bCs w:val="0"/>
                <w:sz w:val="24"/>
                <w:szCs w:val="24"/>
              </w:rPr>
              <w:lastRenderedPageBreak/>
              <w:t>整合中區全國大</w:t>
            </w:r>
            <w:r w:rsidRPr="00714BF6">
              <w:rPr>
                <w:rFonts w:hint="eastAsia"/>
                <w:bCs w:val="0"/>
                <w:sz w:val="24"/>
                <w:szCs w:val="24"/>
              </w:rPr>
              <w:lastRenderedPageBreak/>
              <w:t>專生</w:t>
            </w:r>
            <w:r w:rsidR="007D76DC" w:rsidRPr="00714BF6">
              <w:rPr>
                <w:rFonts w:hint="eastAsia"/>
                <w:bCs w:val="0"/>
                <w:sz w:val="24"/>
                <w:szCs w:val="24"/>
              </w:rPr>
              <w:t>語</w:t>
            </w:r>
            <w:r w:rsidRPr="00714BF6">
              <w:rPr>
                <w:rFonts w:hint="eastAsia"/>
                <w:bCs w:val="0"/>
                <w:sz w:val="24"/>
                <w:szCs w:val="24"/>
              </w:rPr>
              <w:t>文素養檢測及北一區中文素養檢測</w:t>
            </w:r>
            <w:r w:rsidR="00BF2E00" w:rsidRPr="00714BF6">
              <w:rPr>
                <w:rFonts w:hint="eastAsia"/>
                <w:bCs w:val="0"/>
                <w:sz w:val="24"/>
                <w:szCs w:val="24"/>
              </w:rPr>
              <w:t>平台</w:t>
            </w:r>
            <w:r w:rsidRPr="00714BF6">
              <w:rPr>
                <w:rFonts w:hint="eastAsia"/>
                <w:bCs w:val="0"/>
                <w:sz w:val="24"/>
                <w:szCs w:val="24"/>
              </w:rPr>
              <w:t>，完成「全國語文素養與能力檢測平台」共同入口介面。</w:t>
            </w:r>
          </w:p>
        </w:tc>
        <w:tc>
          <w:tcPr>
            <w:tcW w:w="2268" w:type="dxa"/>
            <w:vAlign w:val="center"/>
          </w:tcPr>
          <w:p w:rsidR="00953F93" w:rsidRPr="00714BF6" w:rsidRDefault="00457511" w:rsidP="00317A70">
            <w:pPr>
              <w:pStyle w:val="af8"/>
              <w:numPr>
                <w:ilvl w:val="0"/>
                <w:numId w:val="82"/>
              </w:numPr>
              <w:spacing w:line="280" w:lineRule="exact"/>
              <w:ind w:leftChars="0"/>
              <w:rPr>
                <w:sz w:val="24"/>
                <w:szCs w:val="24"/>
              </w:rPr>
            </w:pPr>
            <w:r w:rsidRPr="00714BF6">
              <w:rPr>
                <w:rFonts w:hint="eastAsia"/>
                <w:sz w:val="24"/>
                <w:szCs w:val="24"/>
              </w:rPr>
              <w:lastRenderedPageBreak/>
              <w:t>推廣統計學、微</w:t>
            </w:r>
            <w:r w:rsidRPr="00714BF6">
              <w:rPr>
                <w:rFonts w:hint="eastAsia"/>
                <w:sz w:val="24"/>
                <w:szCs w:val="24"/>
              </w:rPr>
              <w:lastRenderedPageBreak/>
              <w:t>積分、生物、資訊、物理與化學6基礎科目題庫。</w:t>
            </w:r>
          </w:p>
          <w:p w:rsidR="00944936" w:rsidRPr="00714BF6" w:rsidRDefault="00457511" w:rsidP="00317A70">
            <w:pPr>
              <w:pStyle w:val="af8"/>
              <w:numPr>
                <w:ilvl w:val="0"/>
                <w:numId w:val="82"/>
              </w:numPr>
              <w:spacing w:line="280" w:lineRule="exact"/>
              <w:ind w:leftChars="0"/>
              <w:rPr>
                <w:sz w:val="24"/>
                <w:szCs w:val="24"/>
              </w:rPr>
            </w:pPr>
            <w:r w:rsidRPr="00714BF6">
              <w:rPr>
                <w:rFonts w:hint="eastAsia"/>
                <w:sz w:val="24"/>
                <w:szCs w:val="24"/>
              </w:rPr>
              <w:t>累計至104年，題庫使用人次為2萬912人次，題數為1萬2,700題。</w:t>
            </w:r>
          </w:p>
        </w:tc>
      </w:tr>
      <w:tr w:rsidR="00714BF6" w:rsidRPr="00714BF6" w:rsidTr="00B36BE6">
        <w:tc>
          <w:tcPr>
            <w:tcW w:w="2835" w:type="dxa"/>
            <w:gridSpan w:val="4"/>
            <w:vAlign w:val="center"/>
          </w:tcPr>
          <w:p w:rsidR="002E7178" w:rsidRDefault="00457511" w:rsidP="003A17DF">
            <w:pPr>
              <w:pStyle w:val="3"/>
              <w:numPr>
                <w:ilvl w:val="0"/>
                <w:numId w:val="0"/>
              </w:numPr>
              <w:spacing w:line="280" w:lineRule="exact"/>
              <w:jc w:val="center"/>
              <w:rPr>
                <w:b/>
                <w:bCs w:val="0"/>
                <w:sz w:val="28"/>
                <w:szCs w:val="28"/>
              </w:rPr>
            </w:pPr>
            <w:r w:rsidRPr="00714BF6">
              <w:rPr>
                <w:rFonts w:hint="eastAsia"/>
                <w:b/>
                <w:bCs w:val="0"/>
                <w:sz w:val="28"/>
                <w:szCs w:val="28"/>
              </w:rPr>
              <w:lastRenderedPageBreak/>
              <w:t>圖書設備儀器共享</w:t>
            </w:r>
          </w:p>
          <w:p w:rsidR="00944936" w:rsidRPr="00714BF6" w:rsidRDefault="00457511" w:rsidP="003A17DF">
            <w:pPr>
              <w:pStyle w:val="3"/>
              <w:numPr>
                <w:ilvl w:val="0"/>
                <w:numId w:val="0"/>
              </w:numPr>
              <w:spacing w:line="280" w:lineRule="exact"/>
              <w:jc w:val="center"/>
              <w:rPr>
                <w:sz w:val="27"/>
                <w:szCs w:val="27"/>
              </w:rPr>
            </w:pPr>
            <w:r w:rsidRPr="00714BF6">
              <w:rPr>
                <w:rFonts w:hint="eastAsia"/>
                <w:b/>
                <w:bCs w:val="0"/>
                <w:sz w:val="28"/>
                <w:szCs w:val="28"/>
              </w:rPr>
              <w:t>機制</w:t>
            </w:r>
          </w:p>
        </w:tc>
        <w:tc>
          <w:tcPr>
            <w:tcW w:w="2268" w:type="dxa"/>
            <w:vAlign w:val="center"/>
          </w:tcPr>
          <w:p w:rsidR="00457511" w:rsidRPr="00714BF6" w:rsidRDefault="00457511" w:rsidP="00317A70">
            <w:pPr>
              <w:pStyle w:val="af8"/>
              <w:numPr>
                <w:ilvl w:val="0"/>
                <w:numId w:val="80"/>
              </w:numPr>
              <w:spacing w:line="280" w:lineRule="exact"/>
              <w:ind w:leftChars="0"/>
              <w:rPr>
                <w:sz w:val="24"/>
                <w:szCs w:val="24"/>
              </w:rPr>
            </w:pPr>
            <w:r w:rsidRPr="00714BF6">
              <w:rPr>
                <w:rFonts w:hint="eastAsia"/>
                <w:sz w:val="24"/>
                <w:szCs w:val="24"/>
              </w:rPr>
              <w:t>由39所夥伴學校(含國立</w:t>
            </w:r>
            <w:proofErr w:type="gramStart"/>
            <w:r w:rsidRPr="00714BF6">
              <w:rPr>
                <w:rFonts w:hint="eastAsia"/>
                <w:sz w:val="24"/>
                <w:szCs w:val="24"/>
              </w:rPr>
              <w:t>臺</w:t>
            </w:r>
            <w:proofErr w:type="gramEnd"/>
            <w:r w:rsidRPr="00714BF6">
              <w:rPr>
                <w:rFonts w:hint="eastAsia"/>
                <w:sz w:val="24"/>
                <w:szCs w:val="24"/>
              </w:rPr>
              <w:t>北科技大學)與</w:t>
            </w:r>
            <w:proofErr w:type="gramStart"/>
            <w:r w:rsidRPr="00714BF6">
              <w:rPr>
                <w:rFonts w:hint="eastAsia"/>
                <w:sz w:val="24"/>
                <w:szCs w:val="24"/>
                <w:u w:val="single"/>
              </w:rPr>
              <w:t>臺</w:t>
            </w:r>
            <w:proofErr w:type="gramEnd"/>
            <w:r w:rsidRPr="00714BF6">
              <w:rPr>
                <w:rFonts w:hint="eastAsia"/>
                <w:sz w:val="24"/>
                <w:szCs w:val="24"/>
                <w:u w:val="single"/>
              </w:rPr>
              <w:t>北大學</w:t>
            </w:r>
            <w:r w:rsidRPr="00714BF6">
              <w:rPr>
                <w:rFonts w:hint="eastAsia"/>
                <w:sz w:val="24"/>
                <w:szCs w:val="24"/>
              </w:rPr>
              <w:t>共同組成「北區技專校院教學資源中心圖</w:t>
            </w:r>
            <w:r w:rsidR="007D76DC" w:rsidRPr="00714BF6">
              <w:rPr>
                <w:rFonts w:hint="eastAsia"/>
                <w:sz w:val="24"/>
                <w:szCs w:val="24"/>
              </w:rPr>
              <w:t>書</w:t>
            </w:r>
            <w:r w:rsidRPr="00714BF6">
              <w:rPr>
                <w:rFonts w:hint="eastAsia"/>
                <w:sz w:val="24"/>
                <w:szCs w:val="24"/>
              </w:rPr>
              <w:t>資源共享聯盟」。</w:t>
            </w:r>
          </w:p>
          <w:p w:rsidR="00457511" w:rsidRPr="00714BF6" w:rsidRDefault="00457511" w:rsidP="00317A70">
            <w:pPr>
              <w:pStyle w:val="af8"/>
              <w:numPr>
                <w:ilvl w:val="0"/>
                <w:numId w:val="80"/>
              </w:numPr>
              <w:spacing w:line="280" w:lineRule="exact"/>
              <w:ind w:leftChars="0"/>
              <w:rPr>
                <w:sz w:val="24"/>
                <w:szCs w:val="24"/>
              </w:rPr>
            </w:pPr>
            <w:r w:rsidRPr="00714BF6">
              <w:rPr>
                <w:rFonts w:hint="eastAsia"/>
                <w:sz w:val="24"/>
                <w:szCs w:val="24"/>
              </w:rPr>
              <w:t>102-105年圖書</w:t>
            </w:r>
            <w:proofErr w:type="gramStart"/>
            <w:r w:rsidRPr="00714BF6">
              <w:rPr>
                <w:rFonts w:hint="eastAsia"/>
                <w:sz w:val="24"/>
                <w:szCs w:val="24"/>
              </w:rPr>
              <w:t>代借代</w:t>
            </w:r>
            <w:proofErr w:type="gramEnd"/>
            <w:r w:rsidRPr="00714BF6">
              <w:rPr>
                <w:rFonts w:hint="eastAsia"/>
                <w:sz w:val="24"/>
                <w:szCs w:val="24"/>
              </w:rPr>
              <w:t>還總冊數為3萬4,847冊。</w:t>
            </w:r>
          </w:p>
          <w:p w:rsidR="00944936" w:rsidRPr="00714BF6" w:rsidRDefault="00457511" w:rsidP="00317A70">
            <w:pPr>
              <w:pStyle w:val="af8"/>
              <w:numPr>
                <w:ilvl w:val="0"/>
                <w:numId w:val="80"/>
              </w:numPr>
              <w:spacing w:line="280" w:lineRule="exact"/>
              <w:ind w:leftChars="0"/>
              <w:rPr>
                <w:sz w:val="24"/>
                <w:szCs w:val="24"/>
              </w:rPr>
            </w:pPr>
            <w:r w:rsidRPr="00714BF6">
              <w:rPr>
                <w:rFonts w:hint="eastAsia"/>
                <w:sz w:val="24"/>
                <w:szCs w:val="24"/>
              </w:rPr>
              <w:t>102-105年雲端電子</w:t>
            </w:r>
            <w:proofErr w:type="gramStart"/>
            <w:r w:rsidRPr="00714BF6">
              <w:rPr>
                <w:rFonts w:hint="eastAsia"/>
                <w:sz w:val="24"/>
                <w:szCs w:val="24"/>
              </w:rPr>
              <w:t>書總借閱冊</w:t>
            </w:r>
            <w:proofErr w:type="gramEnd"/>
            <w:r w:rsidRPr="00714BF6">
              <w:rPr>
                <w:rFonts w:hint="eastAsia"/>
                <w:sz w:val="24"/>
                <w:szCs w:val="24"/>
              </w:rPr>
              <w:t>數為26萬4,236冊。</w:t>
            </w:r>
          </w:p>
        </w:tc>
        <w:tc>
          <w:tcPr>
            <w:tcW w:w="1985" w:type="dxa"/>
            <w:vAlign w:val="center"/>
          </w:tcPr>
          <w:p w:rsidR="00953F93" w:rsidRPr="00714BF6" w:rsidRDefault="00457511" w:rsidP="00317A70">
            <w:pPr>
              <w:pStyle w:val="af8"/>
              <w:numPr>
                <w:ilvl w:val="0"/>
                <w:numId w:val="81"/>
              </w:numPr>
              <w:spacing w:line="280" w:lineRule="exact"/>
              <w:ind w:leftChars="0"/>
              <w:rPr>
                <w:rFonts w:hAnsi="Arial"/>
                <w:bCs/>
                <w:kern w:val="32"/>
                <w:sz w:val="24"/>
                <w:szCs w:val="24"/>
              </w:rPr>
            </w:pPr>
            <w:r w:rsidRPr="00714BF6">
              <w:rPr>
                <w:rFonts w:hAnsi="Arial" w:hint="eastAsia"/>
                <w:bCs/>
                <w:kern w:val="32"/>
                <w:sz w:val="24"/>
                <w:szCs w:val="24"/>
              </w:rPr>
              <w:t>推動共構共享，以擴增校際圖書資源；已提供6種電子資料庫;跨校檢</w:t>
            </w:r>
            <w:r w:rsidR="007D76DC" w:rsidRPr="00714BF6">
              <w:rPr>
                <w:rFonts w:hAnsi="Arial" w:hint="eastAsia"/>
                <w:bCs/>
                <w:kern w:val="32"/>
                <w:sz w:val="24"/>
                <w:szCs w:val="24"/>
              </w:rPr>
              <w:t>索</w:t>
            </w:r>
            <w:r w:rsidRPr="00714BF6">
              <w:rPr>
                <w:rFonts w:hAnsi="Arial" w:hint="eastAsia"/>
                <w:bCs/>
                <w:kern w:val="32"/>
                <w:sz w:val="24"/>
                <w:szCs w:val="24"/>
              </w:rPr>
              <w:t>使用人次達34萬9,038人次。</w:t>
            </w:r>
          </w:p>
          <w:p w:rsidR="00944936" w:rsidRPr="00714BF6" w:rsidRDefault="00457511" w:rsidP="00317A70">
            <w:pPr>
              <w:pStyle w:val="af8"/>
              <w:numPr>
                <w:ilvl w:val="0"/>
                <w:numId w:val="81"/>
              </w:numPr>
              <w:spacing w:line="280" w:lineRule="exact"/>
              <w:ind w:leftChars="0"/>
              <w:rPr>
                <w:rFonts w:hAnsi="Arial"/>
                <w:bCs/>
                <w:kern w:val="32"/>
                <w:sz w:val="24"/>
                <w:szCs w:val="24"/>
              </w:rPr>
            </w:pPr>
            <w:r w:rsidRPr="00714BF6">
              <w:rPr>
                <w:rFonts w:hint="eastAsia"/>
                <w:sz w:val="24"/>
                <w:szCs w:val="24"/>
              </w:rPr>
              <w:t>整合13所圖書資源，連結至</w:t>
            </w:r>
            <w:proofErr w:type="gramStart"/>
            <w:r w:rsidRPr="00714BF6">
              <w:rPr>
                <w:rFonts w:hint="eastAsia"/>
                <w:sz w:val="24"/>
                <w:szCs w:val="24"/>
              </w:rPr>
              <w:t>各校館藏</w:t>
            </w:r>
            <w:proofErr w:type="gramEnd"/>
            <w:r w:rsidRPr="00714BF6">
              <w:rPr>
                <w:rFonts w:hint="eastAsia"/>
                <w:sz w:val="24"/>
                <w:szCs w:val="24"/>
              </w:rPr>
              <w:t>查詢；跨校聯合目錄檢索使用達137萬次。</w:t>
            </w:r>
          </w:p>
        </w:tc>
        <w:tc>
          <w:tcPr>
            <w:tcW w:w="2268" w:type="dxa"/>
            <w:vAlign w:val="center"/>
          </w:tcPr>
          <w:p w:rsidR="00457511" w:rsidRPr="00714BF6" w:rsidRDefault="00457511" w:rsidP="00317A70">
            <w:pPr>
              <w:pStyle w:val="af8"/>
              <w:numPr>
                <w:ilvl w:val="0"/>
                <w:numId w:val="83"/>
              </w:numPr>
              <w:spacing w:line="280" w:lineRule="exact"/>
              <w:ind w:leftChars="0"/>
              <w:rPr>
                <w:sz w:val="24"/>
                <w:szCs w:val="24"/>
              </w:rPr>
            </w:pPr>
            <w:r w:rsidRPr="00714BF6">
              <w:rPr>
                <w:rFonts w:hint="eastAsia"/>
                <w:sz w:val="24"/>
                <w:szCs w:val="24"/>
              </w:rPr>
              <w:t>102年起建置區域圖書資源共享服務平台；服務學校已擴及32校。</w:t>
            </w:r>
          </w:p>
          <w:p w:rsidR="00457511" w:rsidRPr="00714BF6" w:rsidRDefault="00457511" w:rsidP="00317A70">
            <w:pPr>
              <w:pStyle w:val="af8"/>
              <w:numPr>
                <w:ilvl w:val="0"/>
                <w:numId w:val="83"/>
              </w:numPr>
              <w:spacing w:line="280" w:lineRule="exact"/>
              <w:ind w:leftChars="0"/>
              <w:rPr>
                <w:sz w:val="24"/>
                <w:szCs w:val="24"/>
              </w:rPr>
            </w:pPr>
            <w:r w:rsidRPr="00714BF6">
              <w:rPr>
                <w:rFonts w:hint="eastAsia"/>
                <w:sz w:val="24"/>
                <w:szCs w:val="24"/>
              </w:rPr>
              <w:t>圖書</w:t>
            </w:r>
            <w:proofErr w:type="gramStart"/>
            <w:r w:rsidRPr="00714BF6">
              <w:rPr>
                <w:rFonts w:hint="eastAsia"/>
                <w:sz w:val="24"/>
                <w:szCs w:val="24"/>
              </w:rPr>
              <w:t>代借代</w:t>
            </w:r>
            <w:proofErr w:type="gramEnd"/>
            <w:r w:rsidRPr="00714BF6">
              <w:rPr>
                <w:rFonts w:hint="eastAsia"/>
                <w:sz w:val="24"/>
                <w:szCs w:val="24"/>
              </w:rPr>
              <w:t>還服務迄至本(105)年累計總冊數為12萬6,312冊</w:t>
            </w:r>
          </w:p>
          <w:p w:rsidR="00944936" w:rsidRPr="00714BF6" w:rsidRDefault="00457511" w:rsidP="00317A70">
            <w:pPr>
              <w:pStyle w:val="af8"/>
              <w:numPr>
                <w:ilvl w:val="0"/>
                <w:numId w:val="83"/>
              </w:numPr>
              <w:spacing w:line="280" w:lineRule="exact"/>
              <w:ind w:leftChars="0"/>
              <w:rPr>
                <w:sz w:val="24"/>
                <w:szCs w:val="24"/>
              </w:rPr>
            </w:pPr>
            <w:r w:rsidRPr="00714BF6">
              <w:rPr>
                <w:rFonts w:hint="eastAsia"/>
                <w:sz w:val="24"/>
                <w:szCs w:val="24"/>
              </w:rPr>
              <w:t>雲端</w:t>
            </w:r>
            <w:proofErr w:type="gramStart"/>
            <w:r w:rsidRPr="00714BF6">
              <w:rPr>
                <w:rFonts w:hint="eastAsia"/>
                <w:sz w:val="24"/>
                <w:szCs w:val="24"/>
              </w:rPr>
              <w:t>電子書迄至</w:t>
            </w:r>
            <w:proofErr w:type="gramEnd"/>
            <w:r w:rsidRPr="00714BF6">
              <w:rPr>
                <w:rFonts w:hint="eastAsia"/>
                <w:sz w:val="24"/>
                <w:szCs w:val="24"/>
              </w:rPr>
              <w:t>本(105)年累計閱讀人次為1萬2,464次；103-104年增購445種(2,890冊)電子書，各夥伴學校永久閱讀使用。</w:t>
            </w:r>
          </w:p>
        </w:tc>
      </w:tr>
    </w:tbl>
    <w:p w:rsidR="00944936" w:rsidRPr="00714BF6" w:rsidRDefault="00457511" w:rsidP="0094744B">
      <w:pPr>
        <w:pStyle w:val="3"/>
        <w:numPr>
          <w:ilvl w:val="0"/>
          <w:numId w:val="0"/>
        </w:numPr>
        <w:spacing w:line="240" w:lineRule="exact"/>
        <w:rPr>
          <w:rFonts w:hAnsi="標楷體"/>
          <w:sz w:val="24"/>
          <w:szCs w:val="24"/>
        </w:rPr>
      </w:pPr>
      <w:r w:rsidRPr="00714BF6">
        <w:rPr>
          <w:rFonts w:hAnsi="標楷體" w:hint="eastAsia"/>
          <w:sz w:val="24"/>
          <w:szCs w:val="24"/>
        </w:rPr>
        <w:t>資料來源：彙整自教育部查復資料。</w:t>
      </w:r>
    </w:p>
    <w:p w:rsidR="0094744B" w:rsidRDefault="0094744B" w:rsidP="0094744B">
      <w:pPr>
        <w:pStyle w:val="3"/>
        <w:numPr>
          <w:ilvl w:val="0"/>
          <w:numId w:val="0"/>
        </w:numPr>
        <w:spacing w:line="240" w:lineRule="exact"/>
      </w:pPr>
    </w:p>
    <w:p w:rsidR="00944936" w:rsidRPr="00714BF6" w:rsidRDefault="002E24C0" w:rsidP="000B2F2E">
      <w:pPr>
        <w:pStyle w:val="3"/>
        <w:spacing w:line="480" w:lineRule="exact"/>
      </w:pPr>
      <w:proofErr w:type="gramStart"/>
      <w:r w:rsidRPr="00714BF6">
        <w:rPr>
          <w:rFonts w:hint="eastAsia"/>
          <w:bCs w:val="0"/>
          <w:szCs w:val="28"/>
        </w:rPr>
        <w:t>揆</w:t>
      </w:r>
      <w:proofErr w:type="gramEnd"/>
      <w:r w:rsidR="00944936" w:rsidRPr="00714BF6">
        <w:rPr>
          <w:rFonts w:hint="eastAsia"/>
          <w:bCs w:val="0"/>
          <w:szCs w:val="28"/>
        </w:rPr>
        <w:t>諸該3</w:t>
      </w:r>
      <w:r w:rsidR="004F6757" w:rsidRPr="00714BF6">
        <w:rPr>
          <w:rFonts w:hint="eastAsia"/>
          <w:bCs w:val="0"/>
          <w:szCs w:val="28"/>
        </w:rPr>
        <w:t>所區域教學資源中心所提供之計畫</w:t>
      </w:r>
      <w:r w:rsidR="00944936" w:rsidRPr="00714BF6">
        <w:rPr>
          <w:rFonts w:hint="eastAsia"/>
          <w:bCs w:val="0"/>
          <w:szCs w:val="28"/>
        </w:rPr>
        <w:t>執行主軸與指標</w:t>
      </w:r>
      <w:r w:rsidR="005E4E4B">
        <w:rPr>
          <w:rFonts w:hint="eastAsia"/>
          <w:bCs w:val="0"/>
          <w:szCs w:val="28"/>
        </w:rPr>
        <w:t>，</w:t>
      </w:r>
      <w:r w:rsidR="004F6757" w:rsidRPr="00714BF6">
        <w:rPr>
          <w:rFonts w:hint="eastAsia"/>
          <w:bCs w:val="0"/>
          <w:szCs w:val="28"/>
        </w:rPr>
        <w:t>以及</w:t>
      </w:r>
      <w:r w:rsidR="00457511" w:rsidRPr="00714BF6">
        <w:rPr>
          <w:rFonts w:hint="eastAsia"/>
          <w:bCs w:val="0"/>
          <w:szCs w:val="28"/>
        </w:rPr>
        <w:t>上開</w:t>
      </w:r>
      <w:r w:rsidR="00944936" w:rsidRPr="00714BF6">
        <w:rPr>
          <w:rFonts w:hint="eastAsia"/>
          <w:bCs w:val="0"/>
          <w:szCs w:val="28"/>
        </w:rPr>
        <w:t>相關資料，</w:t>
      </w:r>
      <w:r w:rsidR="00207E80" w:rsidRPr="00714BF6">
        <w:rPr>
          <w:rFonts w:hint="eastAsia"/>
          <w:bCs w:val="0"/>
          <w:szCs w:val="28"/>
        </w:rPr>
        <w:t>「</w:t>
      </w:r>
      <w:r w:rsidR="00944936" w:rsidRPr="00714BF6">
        <w:rPr>
          <w:rFonts w:hint="eastAsia"/>
          <w:bCs w:val="0"/>
          <w:szCs w:val="28"/>
        </w:rPr>
        <w:t>區域教學資源中心</w:t>
      </w:r>
      <w:r w:rsidR="00207E80" w:rsidRPr="00714BF6">
        <w:rPr>
          <w:rFonts w:hint="eastAsia"/>
          <w:bCs w:val="0"/>
          <w:szCs w:val="28"/>
        </w:rPr>
        <w:t>」</w:t>
      </w:r>
      <w:r w:rsidR="00944936" w:rsidRPr="00714BF6">
        <w:rPr>
          <w:rFonts w:hint="eastAsia"/>
          <w:bCs w:val="0"/>
          <w:szCs w:val="28"/>
        </w:rPr>
        <w:t>扮演協助</w:t>
      </w:r>
      <w:r w:rsidR="007D76DC" w:rsidRPr="00714BF6">
        <w:rPr>
          <w:rFonts w:hint="eastAsia"/>
          <w:bCs w:val="0"/>
          <w:szCs w:val="28"/>
        </w:rPr>
        <w:t>各</w:t>
      </w:r>
      <w:r w:rsidR="00944936" w:rsidRPr="00714BF6">
        <w:rPr>
          <w:rFonts w:hint="eastAsia"/>
          <w:bCs w:val="0"/>
          <w:szCs w:val="28"/>
        </w:rPr>
        <w:t>該區域內其他學校提升教學品質、推展教學卓越計畫核心教學措施之角色，諸如畢業生追蹤、英語教學、教師教學成長......等</w:t>
      </w:r>
      <w:r w:rsidRPr="00714BF6">
        <w:rPr>
          <w:rFonts w:hint="eastAsia"/>
          <w:bCs w:val="0"/>
          <w:szCs w:val="28"/>
        </w:rPr>
        <w:t>，</w:t>
      </w:r>
      <w:proofErr w:type="gramStart"/>
      <w:r w:rsidR="00944936" w:rsidRPr="00714BF6">
        <w:rPr>
          <w:rFonts w:hint="eastAsia"/>
          <w:bCs w:val="0"/>
          <w:szCs w:val="28"/>
        </w:rPr>
        <w:t>另負有</w:t>
      </w:r>
      <w:proofErr w:type="gramEnd"/>
      <w:r w:rsidR="00944936" w:rsidRPr="00714BF6">
        <w:rPr>
          <w:rFonts w:hint="eastAsia"/>
          <w:bCs w:val="0"/>
          <w:szCs w:val="28"/>
        </w:rPr>
        <w:t>資源整合分享</w:t>
      </w:r>
      <w:r w:rsidR="00457511" w:rsidRPr="00714BF6">
        <w:rPr>
          <w:rFonts w:hint="eastAsia"/>
          <w:bCs w:val="0"/>
          <w:szCs w:val="28"/>
        </w:rPr>
        <w:t>、協助區域高中職優化</w:t>
      </w:r>
      <w:r w:rsidRPr="00714BF6">
        <w:rPr>
          <w:rFonts w:hint="eastAsia"/>
          <w:bCs w:val="0"/>
          <w:szCs w:val="28"/>
        </w:rPr>
        <w:t>等任務。</w:t>
      </w:r>
      <w:r w:rsidR="00944936" w:rsidRPr="00714BF6">
        <w:rPr>
          <w:rFonts w:hint="eastAsia"/>
          <w:bCs w:val="0"/>
          <w:szCs w:val="28"/>
        </w:rPr>
        <w:t>座談會時，與會者表示「(北區)區域教學資源中心提供資源共享及互補，本校(長庚科技大學)數位化很弱，但因為中心學校(北科大)的資訊工程很強，提供很多協助；另外在學校專案中，</w:t>
      </w:r>
      <w:r w:rsidR="007D76DC" w:rsidRPr="00714BF6">
        <w:rPr>
          <w:rFonts w:hint="eastAsia"/>
          <w:bCs w:val="0"/>
          <w:szCs w:val="28"/>
        </w:rPr>
        <w:t>例</w:t>
      </w:r>
      <w:r w:rsidR="00944936" w:rsidRPr="00714BF6">
        <w:rPr>
          <w:rFonts w:hint="eastAsia"/>
          <w:bCs w:val="0"/>
          <w:szCs w:val="28"/>
        </w:rPr>
        <w:t>如實習很耗經費，我們預算才5億，不可能每逢專案就去買相關圖書或期刊，此時區域中心就發揮很大功能。」、「</w:t>
      </w:r>
      <w:r w:rsidR="00207E80" w:rsidRPr="00714BF6">
        <w:rPr>
          <w:rFonts w:hint="eastAsia"/>
          <w:bCs w:val="0"/>
          <w:szCs w:val="28"/>
        </w:rPr>
        <w:t>『</w:t>
      </w:r>
      <w:r w:rsidR="00944936" w:rsidRPr="00714BF6">
        <w:rPr>
          <w:rFonts w:hint="eastAsia"/>
          <w:bCs w:val="0"/>
          <w:szCs w:val="28"/>
        </w:rPr>
        <w:t>區域教學資源中心</w:t>
      </w:r>
      <w:r w:rsidR="00207E80" w:rsidRPr="00714BF6">
        <w:rPr>
          <w:rFonts w:hint="eastAsia"/>
          <w:bCs w:val="0"/>
          <w:szCs w:val="28"/>
        </w:rPr>
        <w:t>』</w:t>
      </w:r>
      <w:r w:rsidR="00944936" w:rsidRPr="00714BF6">
        <w:rPr>
          <w:rFonts w:hint="eastAsia"/>
          <w:bCs w:val="0"/>
          <w:szCs w:val="28"/>
        </w:rPr>
        <w:t>努力將大</w:t>
      </w:r>
      <w:r w:rsidR="00944936" w:rsidRPr="00714BF6">
        <w:rPr>
          <w:rFonts w:hint="eastAsia"/>
          <w:bCs w:val="0"/>
          <w:szCs w:val="28"/>
        </w:rPr>
        <w:lastRenderedPageBreak/>
        <w:t>家的資源擺在一起，尤其是學校個別無法做到的事情，這是很好的。如同企業改革不可能只改零件，而是要做系列性改變，本區透過20個學校7個產業鏈，企業廠商4百多所，營業額1千多億，接辦40餘件政府部門計畫，即為合作的成果。」</w:t>
      </w:r>
      <w:r w:rsidR="00C01240" w:rsidRPr="00714BF6">
        <w:rPr>
          <w:rFonts w:hint="eastAsia"/>
          <w:bCs w:val="0"/>
          <w:szCs w:val="28"/>
        </w:rPr>
        <w:t>、「藉由此計畫</w:t>
      </w:r>
      <w:r w:rsidR="00000EA9" w:rsidRPr="00714BF6">
        <w:rPr>
          <w:rFonts w:hint="eastAsia"/>
          <w:bCs w:val="0"/>
          <w:szCs w:val="28"/>
        </w:rPr>
        <w:t>，</w:t>
      </w:r>
      <w:proofErr w:type="gramStart"/>
      <w:r w:rsidR="00C01240" w:rsidRPr="00714BF6">
        <w:rPr>
          <w:rFonts w:hint="eastAsia"/>
          <w:bCs w:val="0"/>
          <w:szCs w:val="28"/>
        </w:rPr>
        <w:t>學校間已形成</w:t>
      </w:r>
      <w:proofErr w:type="gramEnd"/>
      <w:r w:rsidR="00C01240" w:rsidRPr="00714BF6">
        <w:rPr>
          <w:rFonts w:hint="eastAsia"/>
          <w:bCs w:val="0"/>
          <w:szCs w:val="28"/>
        </w:rPr>
        <w:t>夥伴學習關係，成功大學雖然是頂大，但非每樣都好，制度方面，私校比較有制度，</w:t>
      </w:r>
      <w:proofErr w:type="gramStart"/>
      <w:r w:rsidR="00C01240" w:rsidRPr="00714BF6">
        <w:rPr>
          <w:rFonts w:hint="eastAsia"/>
          <w:bCs w:val="0"/>
          <w:szCs w:val="28"/>
        </w:rPr>
        <w:t>可以向私校</w:t>
      </w:r>
      <w:proofErr w:type="gramEnd"/>
      <w:r w:rsidR="00C01240" w:rsidRPr="00714BF6">
        <w:rPr>
          <w:rFonts w:hint="eastAsia"/>
          <w:bCs w:val="0"/>
          <w:szCs w:val="28"/>
        </w:rPr>
        <w:t>學習</w:t>
      </w:r>
      <w:r w:rsidR="00000EA9" w:rsidRPr="00714BF6">
        <w:rPr>
          <w:rFonts w:hint="eastAsia"/>
          <w:bCs w:val="0"/>
          <w:szCs w:val="28"/>
        </w:rPr>
        <w:t>。</w:t>
      </w:r>
      <w:r w:rsidR="00C01240" w:rsidRPr="00714BF6">
        <w:rPr>
          <w:rFonts w:hint="eastAsia"/>
          <w:bCs w:val="0"/>
          <w:szCs w:val="28"/>
        </w:rPr>
        <w:t>」</w:t>
      </w:r>
      <w:r w:rsidR="00944936" w:rsidRPr="00714BF6">
        <w:rPr>
          <w:rFonts w:hint="eastAsia"/>
          <w:bCs w:val="0"/>
          <w:szCs w:val="28"/>
        </w:rPr>
        <w:t>等語</w:t>
      </w:r>
      <w:r w:rsidR="009A72AB" w:rsidRPr="00714BF6">
        <w:rPr>
          <w:rFonts w:hint="eastAsia"/>
          <w:bCs w:val="0"/>
          <w:szCs w:val="28"/>
        </w:rPr>
        <w:t>，</w:t>
      </w:r>
      <w:r w:rsidR="007D76DC" w:rsidRPr="00714BF6">
        <w:rPr>
          <w:rFonts w:hint="eastAsia"/>
          <w:bCs w:val="0"/>
          <w:szCs w:val="28"/>
        </w:rPr>
        <w:t>足證</w:t>
      </w:r>
      <w:r w:rsidR="00A617F4" w:rsidRPr="00714BF6">
        <w:rPr>
          <w:rFonts w:hint="eastAsia"/>
          <w:bCs w:val="0"/>
          <w:szCs w:val="28"/>
        </w:rPr>
        <w:t>「</w:t>
      </w:r>
      <w:r w:rsidR="00457511" w:rsidRPr="00714BF6">
        <w:rPr>
          <w:rFonts w:hint="eastAsia"/>
          <w:bCs w:val="0"/>
          <w:szCs w:val="28"/>
        </w:rPr>
        <w:t>區域教學資源中心</w:t>
      </w:r>
      <w:r w:rsidR="00A617F4" w:rsidRPr="00714BF6">
        <w:rPr>
          <w:rFonts w:hint="eastAsia"/>
          <w:bCs w:val="0"/>
          <w:szCs w:val="28"/>
        </w:rPr>
        <w:t>」</w:t>
      </w:r>
      <w:r w:rsidR="00C51D5E" w:rsidRPr="00714BF6">
        <w:rPr>
          <w:rFonts w:hint="eastAsia"/>
          <w:bCs w:val="0"/>
          <w:szCs w:val="28"/>
        </w:rPr>
        <w:t>促進資源分享與經驗交流，</w:t>
      </w:r>
      <w:r w:rsidR="00A617F4" w:rsidRPr="00714BF6">
        <w:rPr>
          <w:rFonts w:hint="eastAsia"/>
          <w:bCs w:val="0"/>
          <w:szCs w:val="28"/>
        </w:rPr>
        <w:t>橫向聯繫大專校院、縱向</w:t>
      </w:r>
      <w:proofErr w:type="gramStart"/>
      <w:r w:rsidR="00A617F4" w:rsidRPr="00714BF6">
        <w:rPr>
          <w:rFonts w:hint="eastAsia"/>
          <w:bCs w:val="0"/>
          <w:szCs w:val="28"/>
        </w:rPr>
        <w:t>札</w:t>
      </w:r>
      <w:proofErr w:type="gramEnd"/>
      <w:r w:rsidR="00A617F4" w:rsidRPr="00714BF6">
        <w:rPr>
          <w:rFonts w:hint="eastAsia"/>
          <w:bCs w:val="0"/>
          <w:szCs w:val="28"/>
        </w:rPr>
        <w:t>根高中職，發揮</w:t>
      </w:r>
      <w:r w:rsidR="00C01240" w:rsidRPr="00714BF6">
        <w:rPr>
          <w:rFonts w:hint="eastAsia"/>
          <w:bCs w:val="0"/>
          <w:szCs w:val="28"/>
        </w:rPr>
        <w:t>區域教學網絡</w:t>
      </w:r>
      <w:r w:rsidR="005269C0" w:rsidRPr="00714BF6">
        <w:rPr>
          <w:rFonts w:hint="eastAsia"/>
          <w:bCs w:val="0"/>
          <w:szCs w:val="28"/>
        </w:rPr>
        <w:t>之功能</w:t>
      </w:r>
      <w:r w:rsidR="00C01240" w:rsidRPr="00714BF6">
        <w:rPr>
          <w:rFonts w:hint="eastAsia"/>
          <w:bCs w:val="0"/>
          <w:szCs w:val="28"/>
        </w:rPr>
        <w:t>，</w:t>
      </w:r>
      <w:r w:rsidR="009A72AB" w:rsidRPr="00714BF6">
        <w:rPr>
          <w:rFonts w:hint="eastAsia"/>
          <w:bCs w:val="0"/>
          <w:szCs w:val="28"/>
        </w:rPr>
        <w:t>殊值肯定</w:t>
      </w:r>
      <w:r w:rsidR="00C01240" w:rsidRPr="00714BF6">
        <w:rPr>
          <w:rFonts w:hint="eastAsia"/>
          <w:bCs w:val="0"/>
          <w:szCs w:val="28"/>
        </w:rPr>
        <w:t>。</w:t>
      </w:r>
    </w:p>
    <w:p w:rsidR="00A272E9" w:rsidRPr="00714BF6" w:rsidRDefault="002D6AF9" w:rsidP="000B2F2E">
      <w:pPr>
        <w:pStyle w:val="3"/>
        <w:spacing w:line="480" w:lineRule="exact"/>
      </w:pPr>
      <w:r w:rsidRPr="00714BF6">
        <w:rPr>
          <w:rFonts w:hint="eastAsia"/>
        </w:rPr>
        <w:t>然而，</w:t>
      </w:r>
      <w:r w:rsidR="00A617F4" w:rsidRPr="00714BF6">
        <w:rPr>
          <w:rFonts w:hint="eastAsia"/>
        </w:rPr>
        <w:t>「</w:t>
      </w:r>
      <w:r w:rsidR="00C01240" w:rsidRPr="00714BF6">
        <w:rPr>
          <w:rFonts w:hint="eastAsia"/>
        </w:rPr>
        <w:t>區域教學資源中心</w:t>
      </w:r>
      <w:r w:rsidR="00A617F4" w:rsidRPr="00714BF6">
        <w:rPr>
          <w:rFonts w:hint="eastAsia"/>
        </w:rPr>
        <w:t>」</w:t>
      </w:r>
      <w:r w:rsidR="00C01240" w:rsidRPr="00714BF6">
        <w:rPr>
          <w:rFonts w:hint="eastAsia"/>
        </w:rPr>
        <w:t>推展</w:t>
      </w:r>
      <w:r w:rsidR="00F562DD" w:rsidRPr="00714BF6">
        <w:rPr>
          <w:rFonts w:hint="eastAsia"/>
          <w:bCs w:val="0"/>
          <w:szCs w:val="28"/>
        </w:rPr>
        <w:t>教學卓越計畫</w:t>
      </w:r>
      <w:r w:rsidR="00C01240" w:rsidRPr="00714BF6">
        <w:rPr>
          <w:rFonts w:hint="eastAsia"/>
        </w:rPr>
        <w:t>之教學措施，其作法與內涵既如前述</w:t>
      </w:r>
      <w:r w:rsidR="00C36944" w:rsidRPr="00714BF6">
        <w:rPr>
          <w:rFonts w:hint="eastAsia"/>
        </w:rPr>
        <w:t>，部分</w:t>
      </w:r>
      <w:r w:rsidR="00C01240" w:rsidRPr="00714BF6">
        <w:rPr>
          <w:rFonts w:hint="eastAsia"/>
        </w:rPr>
        <w:t>仍著重技術層次</w:t>
      </w:r>
      <w:r w:rsidR="00C36944" w:rsidRPr="00714BF6">
        <w:rPr>
          <w:rFonts w:hint="eastAsia"/>
        </w:rPr>
        <w:t>且</w:t>
      </w:r>
      <w:r w:rsidR="00641D53" w:rsidRPr="00714BF6">
        <w:rPr>
          <w:rFonts w:hint="eastAsia"/>
        </w:rPr>
        <w:t>其</w:t>
      </w:r>
      <w:r w:rsidR="00C36944" w:rsidRPr="00714BF6">
        <w:rPr>
          <w:rFonts w:hint="eastAsia"/>
        </w:rPr>
        <w:t>實質提升教學品質之效益</w:t>
      </w:r>
      <w:r w:rsidR="00C01240" w:rsidRPr="00714BF6">
        <w:rPr>
          <w:rFonts w:hint="eastAsia"/>
        </w:rPr>
        <w:t>，仍有</w:t>
      </w:r>
      <w:r w:rsidR="00C36944" w:rsidRPr="00714BF6">
        <w:rPr>
          <w:rFonts w:hint="eastAsia"/>
        </w:rPr>
        <w:t>疑慮。</w:t>
      </w:r>
      <w:r w:rsidR="00A272E9" w:rsidRPr="00714BF6">
        <w:rPr>
          <w:rFonts w:hint="eastAsia"/>
        </w:rPr>
        <w:t>以</w:t>
      </w:r>
      <w:r w:rsidR="00020086" w:rsidRPr="00714BF6">
        <w:rPr>
          <w:rFonts w:hint="eastAsia"/>
        </w:rPr>
        <w:t>各</w:t>
      </w:r>
      <w:r w:rsidR="00A617F4" w:rsidRPr="00714BF6">
        <w:rPr>
          <w:rFonts w:hint="eastAsia"/>
        </w:rPr>
        <w:t>「</w:t>
      </w:r>
      <w:r w:rsidR="00020086" w:rsidRPr="00714BF6">
        <w:rPr>
          <w:rFonts w:hint="eastAsia"/>
        </w:rPr>
        <w:t>區域教學資源中心</w:t>
      </w:r>
      <w:r w:rsidR="00A617F4" w:rsidRPr="00714BF6">
        <w:rPr>
          <w:rFonts w:hint="eastAsia"/>
        </w:rPr>
        <w:t>」</w:t>
      </w:r>
      <w:r w:rsidR="00020086" w:rsidRPr="00714BF6">
        <w:rPr>
          <w:rFonts w:hint="eastAsia"/>
        </w:rPr>
        <w:t>發展基礎學科題庫</w:t>
      </w:r>
      <w:r w:rsidR="00A272E9" w:rsidRPr="00714BF6">
        <w:rPr>
          <w:rFonts w:hint="eastAsia"/>
        </w:rPr>
        <w:t>一事為例</w:t>
      </w:r>
      <w:r w:rsidR="00020086" w:rsidRPr="00714BF6">
        <w:rPr>
          <w:rFonts w:hint="eastAsia"/>
        </w:rPr>
        <w:t>，</w:t>
      </w:r>
      <w:r w:rsidR="00A272E9" w:rsidRPr="00714BF6">
        <w:rPr>
          <w:rFonts w:hint="eastAsia"/>
        </w:rPr>
        <w:t>本案訪談</w:t>
      </w:r>
      <w:r w:rsidR="00A272E9" w:rsidRPr="00714BF6">
        <w:rPr>
          <w:rFonts w:hint="eastAsia"/>
          <w:bCs w:val="0"/>
          <w:szCs w:val="28"/>
        </w:rPr>
        <w:t>學校實務人員</w:t>
      </w:r>
      <w:r w:rsidR="007D76DC" w:rsidRPr="00714BF6">
        <w:rPr>
          <w:rFonts w:hint="eastAsia"/>
          <w:bCs w:val="0"/>
          <w:szCs w:val="28"/>
        </w:rPr>
        <w:t>時發現：</w:t>
      </w:r>
      <w:r w:rsidR="00A272E9" w:rsidRPr="00714BF6">
        <w:rPr>
          <w:rFonts w:hint="eastAsia"/>
          <w:bCs w:val="0"/>
          <w:szCs w:val="28"/>
        </w:rPr>
        <w:t>「平台是計畫中最花錢的，整合非常困難。未來要努力提高使用率」，顯示部分數位化資源之使用率有待盤點改善；其次，</w:t>
      </w:r>
      <w:r w:rsidR="00A272E9" w:rsidRPr="00714BF6">
        <w:rPr>
          <w:rFonts w:hint="eastAsia"/>
        </w:rPr>
        <w:t>學校實務人員指出</w:t>
      </w:r>
      <w:r w:rsidR="00000EA9" w:rsidRPr="00714BF6">
        <w:rPr>
          <w:rFonts w:hint="eastAsia"/>
        </w:rPr>
        <w:t>，</w:t>
      </w:r>
      <w:r w:rsidR="00A272E9" w:rsidRPr="00714BF6">
        <w:rPr>
          <w:rFonts w:hint="eastAsia"/>
        </w:rPr>
        <w:t>隨入學制度</w:t>
      </w:r>
      <w:r w:rsidR="007D76DC" w:rsidRPr="00714BF6">
        <w:rPr>
          <w:rFonts w:hint="eastAsia"/>
        </w:rPr>
        <w:t>之</w:t>
      </w:r>
      <w:r w:rsidR="00A272E9" w:rsidRPr="00714BF6">
        <w:rPr>
          <w:rFonts w:hint="eastAsia"/>
        </w:rPr>
        <w:t>改變，較之以往，</w:t>
      </w:r>
      <w:r w:rsidR="006C51B3" w:rsidRPr="00714BF6">
        <w:rPr>
          <w:rFonts w:hint="eastAsia"/>
        </w:rPr>
        <w:t>公私立學校間或</w:t>
      </w:r>
      <w:r w:rsidR="00A272E9" w:rsidRPr="00714BF6">
        <w:rPr>
          <w:rFonts w:hint="eastAsia"/>
        </w:rPr>
        <w:t>學校班級內學生程度落差</w:t>
      </w:r>
      <w:r w:rsidR="007A4668" w:rsidRPr="00714BF6">
        <w:rPr>
          <w:rFonts w:hint="eastAsia"/>
        </w:rPr>
        <w:t>變</w:t>
      </w:r>
      <w:r w:rsidR="00A272E9" w:rsidRPr="00714BF6">
        <w:rPr>
          <w:rFonts w:hint="eastAsia"/>
        </w:rPr>
        <w:t>大，</w:t>
      </w:r>
      <w:r w:rsidR="006C51B3" w:rsidRPr="00714BF6">
        <w:rPr>
          <w:rFonts w:hint="eastAsia"/>
        </w:rPr>
        <w:t>實有補強其</w:t>
      </w:r>
      <w:r w:rsidR="00A272E9" w:rsidRPr="00714BF6">
        <w:rPr>
          <w:rFonts w:hint="eastAsia"/>
        </w:rPr>
        <w:t>基礎能力之</w:t>
      </w:r>
      <w:r w:rsidR="006C51B3" w:rsidRPr="00714BF6">
        <w:rPr>
          <w:rFonts w:hint="eastAsia"/>
        </w:rPr>
        <w:t>必要</w:t>
      </w:r>
      <w:r w:rsidR="00A272E9" w:rsidRPr="00714BF6">
        <w:rPr>
          <w:rFonts w:hint="eastAsia"/>
        </w:rPr>
        <w:t>等情，基礎學科題庫或可作為補救</w:t>
      </w:r>
      <w:proofErr w:type="gramStart"/>
      <w:r w:rsidR="00A272E9" w:rsidRPr="00714BF6">
        <w:rPr>
          <w:rFonts w:hint="eastAsia"/>
        </w:rPr>
        <w:t>措</w:t>
      </w:r>
      <w:proofErr w:type="gramEnd"/>
      <w:r w:rsidR="00A272E9" w:rsidRPr="00714BF6">
        <w:rPr>
          <w:rFonts w:hint="eastAsia"/>
        </w:rPr>
        <w:t>施之一，然各區域教學資源中心之網路資源分享，未能普及至全國，</w:t>
      </w:r>
      <w:r w:rsidR="007D76DC" w:rsidRPr="00714BF6">
        <w:rPr>
          <w:rFonts w:hint="eastAsia"/>
        </w:rPr>
        <w:t>實有損</w:t>
      </w:r>
      <w:r w:rsidR="006C51B3" w:rsidRPr="00714BF6">
        <w:rPr>
          <w:rFonts w:hint="eastAsia"/>
        </w:rPr>
        <w:t>經費</w:t>
      </w:r>
      <w:r w:rsidR="007A4668" w:rsidRPr="00714BF6">
        <w:rPr>
          <w:rFonts w:hint="eastAsia"/>
        </w:rPr>
        <w:t>效益</w:t>
      </w:r>
      <w:r w:rsidR="00CF2481" w:rsidRPr="00714BF6">
        <w:rPr>
          <w:rFonts w:hint="eastAsia"/>
        </w:rPr>
        <w:t>；另</w:t>
      </w:r>
      <w:r w:rsidR="00A272E9" w:rsidRPr="00714BF6">
        <w:rPr>
          <w:rFonts w:hint="eastAsia"/>
          <w:bCs w:val="0"/>
          <w:szCs w:val="28"/>
        </w:rPr>
        <w:t>教育部表示「</w:t>
      </w:r>
      <w:r w:rsidR="00A617F4" w:rsidRPr="00714BF6">
        <w:rPr>
          <w:rFonts w:hint="eastAsia"/>
          <w:bCs w:val="0"/>
          <w:szCs w:val="28"/>
        </w:rPr>
        <w:t>『</w:t>
      </w:r>
      <w:r w:rsidR="00A272E9" w:rsidRPr="00714BF6">
        <w:rPr>
          <w:rFonts w:hint="eastAsia"/>
          <w:bCs w:val="0"/>
          <w:szCs w:val="28"/>
        </w:rPr>
        <w:t>區域教學資</w:t>
      </w:r>
      <w:r w:rsidR="007D76DC" w:rsidRPr="00714BF6">
        <w:rPr>
          <w:rFonts w:hint="eastAsia"/>
          <w:bCs w:val="0"/>
          <w:szCs w:val="28"/>
        </w:rPr>
        <w:t>源</w:t>
      </w:r>
      <w:r w:rsidR="00A272E9" w:rsidRPr="00714BF6">
        <w:rPr>
          <w:rFonts w:hint="eastAsia"/>
          <w:bCs w:val="0"/>
          <w:szCs w:val="28"/>
        </w:rPr>
        <w:t>中心</w:t>
      </w:r>
      <w:r w:rsidR="00A617F4" w:rsidRPr="00714BF6">
        <w:rPr>
          <w:rFonts w:hint="eastAsia"/>
          <w:bCs w:val="0"/>
          <w:szCs w:val="28"/>
        </w:rPr>
        <w:t>』</w:t>
      </w:r>
      <w:r w:rsidR="00A272E9" w:rsidRPr="00714BF6">
        <w:rPr>
          <w:rFonts w:hint="eastAsia"/>
          <w:bCs w:val="0"/>
          <w:szCs w:val="28"/>
        </w:rPr>
        <w:t>亦建置有數量豐碩之網路資源分享</w:t>
      </w:r>
      <w:r w:rsidR="00BF2E00" w:rsidRPr="00714BF6">
        <w:rPr>
          <w:rFonts w:hint="eastAsia"/>
          <w:bCs w:val="0"/>
          <w:szCs w:val="28"/>
        </w:rPr>
        <w:t>平台</w:t>
      </w:r>
      <w:r w:rsidR="00A272E9" w:rsidRPr="00714BF6">
        <w:rPr>
          <w:rFonts w:hint="eastAsia"/>
          <w:bCs w:val="0"/>
          <w:szCs w:val="28"/>
        </w:rPr>
        <w:t>，惟大多僅限部分學校使用或不具推廣至全國之能力，</w:t>
      </w:r>
      <w:r w:rsidR="00BF2E00" w:rsidRPr="00714BF6">
        <w:rPr>
          <w:rFonts w:hint="eastAsia"/>
          <w:bCs w:val="0"/>
          <w:szCs w:val="28"/>
        </w:rPr>
        <w:t>平台</w:t>
      </w:r>
      <w:r w:rsidR="00A272E9" w:rsidRPr="00714BF6">
        <w:rPr>
          <w:rFonts w:hint="eastAsia"/>
          <w:bCs w:val="0"/>
          <w:szCs w:val="28"/>
        </w:rPr>
        <w:t>之整合亦有軟硬體之限制，尚待克服</w:t>
      </w:r>
      <w:r w:rsidR="00000EA9" w:rsidRPr="00714BF6">
        <w:rPr>
          <w:rFonts w:hint="eastAsia"/>
          <w:bCs w:val="0"/>
          <w:szCs w:val="28"/>
        </w:rPr>
        <w:t>。</w:t>
      </w:r>
      <w:r w:rsidR="00A272E9" w:rsidRPr="00714BF6">
        <w:rPr>
          <w:rFonts w:hint="eastAsia"/>
          <w:bCs w:val="0"/>
          <w:szCs w:val="28"/>
        </w:rPr>
        <w:t>」等語</w:t>
      </w:r>
      <w:r w:rsidR="007D76DC" w:rsidRPr="00714BF6">
        <w:rPr>
          <w:rFonts w:hint="eastAsia"/>
          <w:bCs w:val="0"/>
          <w:szCs w:val="28"/>
        </w:rPr>
        <w:t>可</w:t>
      </w:r>
      <w:r w:rsidR="00CF2481" w:rsidRPr="00714BF6">
        <w:rPr>
          <w:rFonts w:hint="eastAsia"/>
          <w:bCs w:val="0"/>
          <w:szCs w:val="28"/>
        </w:rPr>
        <w:t>證</w:t>
      </w:r>
      <w:r w:rsidR="00020086" w:rsidRPr="00714BF6">
        <w:rPr>
          <w:rFonts w:hint="eastAsia"/>
          <w:bCs w:val="0"/>
          <w:szCs w:val="28"/>
        </w:rPr>
        <w:t>。</w:t>
      </w:r>
    </w:p>
    <w:p w:rsidR="001629FA" w:rsidRPr="00714BF6" w:rsidRDefault="00A272E9" w:rsidP="000B2F2E">
      <w:pPr>
        <w:pStyle w:val="3"/>
        <w:spacing w:line="480" w:lineRule="exact"/>
      </w:pPr>
      <w:r w:rsidRPr="00714BF6">
        <w:rPr>
          <w:rFonts w:hint="eastAsia"/>
          <w:bCs w:val="0"/>
          <w:szCs w:val="28"/>
        </w:rPr>
        <w:t>又，</w:t>
      </w:r>
      <w:r w:rsidRPr="00714BF6">
        <w:rPr>
          <w:rFonts w:hint="eastAsia"/>
        </w:rPr>
        <w:t>本</w:t>
      </w:r>
      <w:r w:rsidR="007D76DC" w:rsidRPr="00714BF6">
        <w:rPr>
          <w:rFonts w:hint="eastAsia"/>
        </w:rPr>
        <w:t>調查</w:t>
      </w:r>
      <w:r w:rsidRPr="00714BF6">
        <w:rPr>
          <w:rFonts w:hint="eastAsia"/>
        </w:rPr>
        <w:t>案</w:t>
      </w:r>
      <w:r w:rsidR="006560B8" w:rsidRPr="00714BF6">
        <w:rPr>
          <w:rFonts w:hint="eastAsia"/>
        </w:rPr>
        <w:t>召開座談會議時，與會之一般大學代表表示</w:t>
      </w:r>
      <w:r w:rsidR="00E00257">
        <w:rPr>
          <w:rFonts w:hint="eastAsia"/>
        </w:rPr>
        <w:t>：</w:t>
      </w:r>
      <w:r w:rsidR="006560B8" w:rsidRPr="00714BF6">
        <w:rPr>
          <w:rFonts w:hint="eastAsia"/>
        </w:rPr>
        <w:t>「○○大學(一般大學)竟與北科大(科技校院)做得一模一樣；計畫中的學校會一直做，還愈做愈好，變成教育部大學；同質性高是隱憂。高等教育不應該同質化</w:t>
      </w:r>
      <w:r w:rsidR="00E00257">
        <w:rPr>
          <w:rFonts w:hint="eastAsia"/>
        </w:rPr>
        <w:t>。</w:t>
      </w:r>
      <w:r w:rsidR="006560B8" w:rsidRPr="00714BF6">
        <w:rPr>
          <w:rFonts w:hint="eastAsia"/>
        </w:rPr>
        <w:t>」等語</w:t>
      </w:r>
      <w:r w:rsidR="00C36944" w:rsidRPr="00714BF6">
        <w:rPr>
          <w:rFonts w:hint="eastAsia"/>
        </w:rPr>
        <w:t>，顯示</w:t>
      </w:r>
      <w:r w:rsidR="00A617F4" w:rsidRPr="00714BF6">
        <w:rPr>
          <w:rFonts w:hint="eastAsia"/>
        </w:rPr>
        <w:t>校際間複製仿</w:t>
      </w:r>
      <w:proofErr w:type="gramStart"/>
      <w:r w:rsidR="00A617F4" w:rsidRPr="00714BF6">
        <w:rPr>
          <w:rFonts w:hint="eastAsia"/>
        </w:rPr>
        <w:t>傚</w:t>
      </w:r>
      <w:proofErr w:type="gramEnd"/>
      <w:r w:rsidR="00641D53" w:rsidRPr="00714BF6">
        <w:rPr>
          <w:rFonts w:hint="eastAsia"/>
        </w:rPr>
        <w:t>教學措施之過程中，可能忽略學校優勢領域、教學特色與學生特質，</w:t>
      </w:r>
      <w:r w:rsidR="00FC525E" w:rsidRPr="00714BF6">
        <w:rPr>
          <w:rFonts w:hint="eastAsia"/>
        </w:rPr>
        <w:t>甚有模糊一般大學與科技校院界線與定位之情形；</w:t>
      </w:r>
      <w:r w:rsidR="0014265F" w:rsidRPr="00714BF6">
        <w:rPr>
          <w:rFonts w:hint="eastAsia"/>
        </w:rPr>
        <w:t>況且</w:t>
      </w:r>
      <w:r w:rsidR="00641D53" w:rsidRPr="00714BF6">
        <w:rPr>
          <w:rFonts w:hint="eastAsia"/>
        </w:rPr>
        <w:t>經由</w:t>
      </w:r>
      <w:r w:rsidR="00C36944" w:rsidRPr="00714BF6">
        <w:rPr>
          <w:rFonts w:hint="eastAsia"/>
        </w:rPr>
        <w:t>區域教學資源中心配置</w:t>
      </w:r>
      <w:r w:rsidR="00C36944" w:rsidRPr="00714BF6">
        <w:rPr>
          <w:rFonts w:hint="eastAsia"/>
        </w:rPr>
        <w:lastRenderedPageBreak/>
        <w:t>經費之制度，同樣之教學措施</w:t>
      </w:r>
      <w:r w:rsidR="00A617F4" w:rsidRPr="00714BF6">
        <w:rPr>
          <w:rFonts w:hint="eastAsia"/>
        </w:rPr>
        <w:t>甚至</w:t>
      </w:r>
      <w:r w:rsidR="00C36944" w:rsidRPr="00714BF6">
        <w:rPr>
          <w:rFonts w:hint="eastAsia"/>
        </w:rPr>
        <w:t>推展</w:t>
      </w:r>
      <w:r w:rsidR="00A617F4" w:rsidRPr="00714BF6">
        <w:rPr>
          <w:rFonts w:hint="eastAsia"/>
        </w:rPr>
        <w:t>到</w:t>
      </w:r>
      <w:r w:rsidR="00C36944" w:rsidRPr="00714BF6">
        <w:rPr>
          <w:rFonts w:hint="eastAsia"/>
        </w:rPr>
        <w:t>非計畫範圍之學校，如未能審慎</w:t>
      </w:r>
      <w:r w:rsidR="007D76DC" w:rsidRPr="00714BF6">
        <w:rPr>
          <w:rFonts w:hint="eastAsia"/>
        </w:rPr>
        <w:t>評</w:t>
      </w:r>
      <w:r w:rsidR="00C36944" w:rsidRPr="00714BF6">
        <w:rPr>
          <w:rFonts w:hint="eastAsia"/>
        </w:rPr>
        <w:t>估教學措施之有效性</w:t>
      </w:r>
      <w:r w:rsidR="0014265F" w:rsidRPr="00714BF6">
        <w:rPr>
          <w:rFonts w:hint="eastAsia"/>
        </w:rPr>
        <w:t>以及對應學校特性之適當程度</w:t>
      </w:r>
      <w:r w:rsidR="00C36944" w:rsidRPr="00714BF6">
        <w:rPr>
          <w:rFonts w:hint="eastAsia"/>
        </w:rPr>
        <w:t>，</w:t>
      </w:r>
      <w:r w:rsidR="0014265F" w:rsidRPr="00714BF6">
        <w:rPr>
          <w:rFonts w:hint="eastAsia"/>
        </w:rPr>
        <w:t>則在缺乏教育理念之基礎</w:t>
      </w:r>
      <w:r w:rsidR="00641D53" w:rsidRPr="00714BF6">
        <w:rPr>
          <w:rFonts w:hint="eastAsia"/>
        </w:rPr>
        <w:t>上，各校</w:t>
      </w:r>
      <w:r w:rsidR="007D76DC" w:rsidRPr="00714BF6">
        <w:rPr>
          <w:rFonts w:hint="eastAsia"/>
        </w:rPr>
        <w:t>可能會</w:t>
      </w:r>
      <w:r w:rsidR="00641D53" w:rsidRPr="00714BF6">
        <w:rPr>
          <w:rFonts w:hint="eastAsia"/>
        </w:rPr>
        <w:t>為</w:t>
      </w:r>
      <w:r w:rsidR="0014265F" w:rsidRPr="00714BF6">
        <w:rPr>
          <w:rFonts w:hint="eastAsia"/>
        </w:rPr>
        <w:t>爭取經費</w:t>
      </w:r>
      <w:r w:rsidR="00641D53" w:rsidRPr="00714BF6">
        <w:rPr>
          <w:rFonts w:hint="eastAsia"/>
        </w:rPr>
        <w:t>，一味</w:t>
      </w:r>
      <w:r w:rsidR="0014265F" w:rsidRPr="00714BF6">
        <w:rPr>
          <w:rFonts w:hint="eastAsia"/>
        </w:rPr>
        <w:t>複製</w:t>
      </w:r>
      <w:r w:rsidR="00641D53" w:rsidRPr="00714BF6">
        <w:rPr>
          <w:rFonts w:hint="eastAsia"/>
        </w:rPr>
        <w:t>他校</w:t>
      </w:r>
      <w:r w:rsidR="0014265F" w:rsidRPr="00714BF6">
        <w:rPr>
          <w:rFonts w:hint="eastAsia"/>
        </w:rPr>
        <w:t>教學措施，</w:t>
      </w:r>
      <w:r w:rsidR="0013648D" w:rsidRPr="00714BF6">
        <w:rPr>
          <w:rFonts w:hint="eastAsia"/>
        </w:rPr>
        <w:t>導致</w:t>
      </w:r>
      <w:r w:rsidR="00641D53" w:rsidRPr="00714BF6">
        <w:rPr>
          <w:rFonts w:hint="eastAsia"/>
        </w:rPr>
        <w:t>「</w:t>
      </w:r>
      <w:proofErr w:type="gramStart"/>
      <w:r w:rsidR="00641D53" w:rsidRPr="00714BF6">
        <w:rPr>
          <w:rFonts w:hint="eastAsia"/>
          <w:bCs w:val="0"/>
          <w:szCs w:val="28"/>
        </w:rPr>
        <w:t>橘</w:t>
      </w:r>
      <w:proofErr w:type="gramEnd"/>
      <w:r w:rsidR="00641D53" w:rsidRPr="00714BF6">
        <w:rPr>
          <w:rFonts w:hint="eastAsia"/>
          <w:bCs w:val="0"/>
          <w:szCs w:val="28"/>
        </w:rPr>
        <w:t>逾淮為</w:t>
      </w:r>
      <w:proofErr w:type="gramStart"/>
      <w:r w:rsidR="00641D53" w:rsidRPr="00714BF6">
        <w:rPr>
          <w:rFonts w:hint="eastAsia"/>
          <w:bCs w:val="0"/>
          <w:szCs w:val="28"/>
        </w:rPr>
        <w:t>枳</w:t>
      </w:r>
      <w:proofErr w:type="gramEnd"/>
      <w:r w:rsidR="00641D53" w:rsidRPr="00714BF6">
        <w:rPr>
          <w:rFonts w:hint="eastAsia"/>
        </w:rPr>
        <w:t>」</w:t>
      </w:r>
      <w:r w:rsidR="007D76DC" w:rsidRPr="00714BF6">
        <w:rPr>
          <w:rFonts w:hint="eastAsia"/>
        </w:rPr>
        <w:t>，</w:t>
      </w:r>
      <w:r w:rsidR="0013648D" w:rsidRPr="00714BF6">
        <w:rPr>
          <w:rFonts w:hint="eastAsia"/>
        </w:rPr>
        <w:t>反而形成</w:t>
      </w:r>
      <w:r w:rsidR="0014265F" w:rsidRPr="00714BF6">
        <w:rPr>
          <w:rFonts w:hint="eastAsia"/>
        </w:rPr>
        <w:t>教育資源</w:t>
      </w:r>
      <w:r w:rsidR="00000EA9" w:rsidRPr="00714BF6">
        <w:rPr>
          <w:rFonts w:hint="eastAsia"/>
        </w:rPr>
        <w:t>的</w:t>
      </w:r>
      <w:r w:rsidR="0014265F" w:rsidRPr="00714BF6">
        <w:rPr>
          <w:rFonts w:hint="eastAsia"/>
        </w:rPr>
        <w:t>浪費</w:t>
      </w:r>
      <w:r w:rsidR="00735A89" w:rsidRPr="00714BF6">
        <w:rPr>
          <w:rFonts w:hint="eastAsia"/>
        </w:rPr>
        <w:t>。</w:t>
      </w:r>
    </w:p>
    <w:p w:rsidR="002F70A6" w:rsidRPr="00714BF6" w:rsidRDefault="005269C0" w:rsidP="000B2F2E">
      <w:pPr>
        <w:pStyle w:val="3"/>
        <w:spacing w:line="480" w:lineRule="exact"/>
        <w:rPr>
          <w:szCs w:val="28"/>
        </w:rPr>
      </w:pPr>
      <w:proofErr w:type="gramStart"/>
      <w:r w:rsidRPr="00714BF6">
        <w:rPr>
          <w:rFonts w:hint="eastAsia"/>
        </w:rPr>
        <w:t>此外，</w:t>
      </w:r>
      <w:proofErr w:type="gramEnd"/>
      <w:r w:rsidR="006F33A8" w:rsidRPr="00714BF6">
        <w:rPr>
          <w:rFonts w:hint="eastAsia"/>
        </w:rPr>
        <w:t>審計部、</w:t>
      </w:r>
      <w:r w:rsidR="00735A89" w:rsidRPr="00714BF6">
        <w:rPr>
          <w:rFonts w:hint="eastAsia"/>
        </w:rPr>
        <w:t>教育部</w:t>
      </w:r>
      <w:r w:rsidR="00EE405F" w:rsidRPr="00714BF6">
        <w:rPr>
          <w:rFonts w:hint="eastAsia"/>
        </w:rPr>
        <w:t>業</w:t>
      </w:r>
      <w:r w:rsidR="004866DD" w:rsidRPr="00714BF6">
        <w:rPr>
          <w:rFonts w:hint="eastAsia"/>
        </w:rPr>
        <w:t>針對</w:t>
      </w:r>
      <w:r w:rsidR="00A617F4" w:rsidRPr="00714BF6">
        <w:rPr>
          <w:rFonts w:hint="eastAsia"/>
        </w:rPr>
        <w:t>「</w:t>
      </w:r>
      <w:r w:rsidR="004866DD" w:rsidRPr="00714BF6">
        <w:rPr>
          <w:rFonts w:hint="eastAsia"/>
        </w:rPr>
        <w:t>區域教學資源中心</w:t>
      </w:r>
      <w:r w:rsidR="00A617F4" w:rsidRPr="00714BF6">
        <w:rPr>
          <w:rFonts w:hint="eastAsia"/>
        </w:rPr>
        <w:t>」</w:t>
      </w:r>
      <w:r w:rsidR="004866DD" w:rsidRPr="00714BF6">
        <w:rPr>
          <w:rFonts w:hint="eastAsia"/>
        </w:rPr>
        <w:t>進行檢討，</w:t>
      </w:r>
      <w:r w:rsidR="004C2248" w:rsidRPr="00714BF6">
        <w:rPr>
          <w:rFonts w:hint="eastAsia"/>
        </w:rPr>
        <w:t>及本案訪談學校人員相關意見</w:t>
      </w:r>
      <w:proofErr w:type="gramStart"/>
      <w:r w:rsidR="004C2248" w:rsidRPr="00714BF6">
        <w:rPr>
          <w:rFonts w:hint="eastAsia"/>
        </w:rPr>
        <w:t>併</w:t>
      </w:r>
      <w:proofErr w:type="gramEnd"/>
      <w:r w:rsidR="004C2248" w:rsidRPr="00714BF6">
        <w:rPr>
          <w:rFonts w:hint="eastAsia"/>
        </w:rPr>
        <w:t>陳如下，後續應積極</w:t>
      </w:r>
      <w:proofErr w:type="gramStart"/>
      <w:r w:rsidR="007D76DC" w:rsidRPr="00714BF6">
        <w:rPr>
          <w:rFonts w:hint="eastAsia"/>
        </w:rPr>
        <w:t>研</w:t>
      </w:r>
      <w:proofErr w:type="gramEnd"/>
      <w:r w:rsidR="007D76DC" w:rsidRPr="00714BF6">
        <w:rPr>
          <w:rFonts w:hint="eastAsia"/>
        </w:rPr>
        <w:t>謀改善對策</w:t>
      </w:r>
      <w:r w:rsidR="004C2248" w:rsidRPr="00714BF6">
        <w:rPr>
          <w:rFonts w:hint="eastAsia"/>
        </w:rPr>
        <w:t>：</w:t>
      </w:r>
    </w:p>
    <w:p w:rsidR="006F33A8" w:rsidRPr="00714BF6" w:rsidRDefault="006F33A8" w:rsidP="000B2F2E">
      <w:pPr>
        <w:pStyle w:val="4"/>
        <w:spacing w:line="480" w:lineRule="exact"/>
        <w:rPr>
          <w:bCs/>
          <w:szCs w:val="28"/>
        </w:rPr>
      </w:pPr>
      <w:r w:rsidRPr="00714BF6">
        <w:rPr>
          <w:rFonts w:hAnsi="標楷體" w:hint="eastAsia"/>
        </w:rPr>
        <w:t>教育部尚未就學校師生對</w:t>
      </w:r>
      <w:r w:rsidR="00A617F4" w:rsidRPr="00714BF6">
        <w:rPr>
          <w:rFonts w:hAnsi="標楷體" w:hint="eastAsia"/>
        </w:rPr>
        <w:t>「</w:t>
      </w:r>
      <w:r w:rsidRPr="00714BF6">
        <w:rPr>
          <w:rFonts w:hAnsi="標楷體" w:hint="eastAsia"/>
        </w:rPr>
        <w:t>區域教學資源中心</w:t>
      </w:r>
      <w:r w:rsidR="00A617F4" w:rsidRPr="00714BF6">
        <w:rPr>
          <w:rFonts w:hAnsi="標楷體" w:hint="eastAsia"/>
        </w:rPr>
        <w:t>」</w:t>
      </w:r>
      <w:r w:rsidRPr="00714BF6">
        <w:rPr>
          <w:rFonts w:hAnsi="標楷體" w:hint="eastAsia"/>
        </w:rPr>
        <w:t>各項資源分享</w:t>
      </w:r>
      <w:r w:rsidR="00BF2E00" w:rsidRPr="00714BF6">
        <w:rPr>
          <w:rFonts w:hAnsi="標楷體" w:hint="eastAsia"/>
        </w:rPr>
        <w:t>平台</w:t>
      </w:r>
      <w:r w:rsidRPr="00714BF6">
        <w:rPr>
          <w:rFonts w:hAnsi="標楷體" w:hint="eastAsia"/>
        </w:rPr>
        <w:t>及相關機制之設置、使用情形及滿意程度等進行調查。</w:t>
      </w:r>
    </w:p>
    <w:p w:rsidR="004C2248" w:rsidRPr="00714BF6" w:rsidRDefault="00000EA9" w:rsidP="000B2F2E">
      <w:pPr>
        <w:pStyle w:val="4"/>
        <w:spacing w:line="480" w:lineRule="exact"/>
        <w:rPr>
          <w:bCs/>
          <w:szCs w:val="28"/>
        </w:rPr>
      </w:pPr>
      <w:r w:rsidRPr="00714BF6">
        <w:rPr>
          <w:rFonts w:hint="eastAsia"/>
          <w:bCs/>
          <w:szCs w:val="28"/>
        </w:rPr>
        <w:t>「區域教學中心計劃」</w:t>
      </w:r>
      <w:proofErr w:type="gramStart"/>
      <w:r w:rsidR="004C2248" w:rsidRPr="00714BF6">
        <w:rPr>
          <w:rFonts w:hint="eastAsia"/>
          <w:bCs/>
          <w:szCs w:val="28"/>
        </w:rPr>
        <w:t>採</w:t>
      </w:r>
      <w:proofErr w:type="gramEnd"/>
      <w:r w:rsidR="004C2248" w:rsidRPr="00714BF6">
        <w:rPr>
          <w:rFonts w:hint="eastAsia"/>
          <w:bCs/>
          <w:szCs w:val="28"/>
        </w:rPr>
        <w:t>學校自由意願參與，召集學校對於夥伴學校執行成效並無實質約束力</w:t>
      </w:r>
      <w:r w:rsidR="006F33A8" w:rsidRPr="00714BF6">
        <w:rPr>
          <w:rFonts w:hint="eastAsia"/>
          <w:bCs/>
          <w:szCs w:val="28"/>
        </w:rPr>
        <w:t>；另據審計部，</w:t>
      </w:r>
      <w:r w:rsidR="00A617F4" w:rsidRPr="00714BF6">
        <w:rPr>
          <w:rFonts w:hint="eastAsia"/>
        </w:rPr>
        <w:t>「區域教學資源中心」</w:t>
      </w:r>
      <w:r w:rsidR="002F70A6" w:rsidRPr="00714BF6">
        <w:rPr>
          <w:rFonts w:hint="eastAsia"/>
        </w:rPr>
        <w:t>有協助高中職優質化任務，惟迄103學年度逾</w:t>
      </w:r>
      <w:proofErr w:type="gramStart"/>
      <w:r w:rsidR="002F70A6" w:rsidRPr="00714BF6">
        <w:rPr>
          <w:rFonts w:hint="eastAsia"/>
        </w:rPr>
        <w:t>3成</w:t>
      </w:r>
      <w:proofErr w:type="gramEnd"/>
      <w:r w:rsidR="002F70A6" w:rsidRPr="00714BF6">
        <w:rPr>
          <w:rFonts w:hint="eastAsia"/>
        </w:rPr>
        <w:t>高中職學校未參與建立合作平台。</w:t>
      </w:r>
    </w:p>
    <w:p w:rsidR="002F70A6" w:rsidRPr="00714BF6" w:rsidRDefault="00A617F4" w:rsidP="000B2F2E">
      <w:pPr>
        <w:pStyle w:val="4"/>
        <w:spacing w:line="480" w:lineRule="exact"/>
        <w:rPr>
          <w:bCs/>
          <w:szCs w:val="28"/>
        </w:rPr>
      </w:pPr>
      <w:r w:rsidRPr="00714BF6">
        <w:rPr>
          <w:rFonts w:hint="eastAsia"/>
        </w:rPr>
        <w:t>「區域教學資源中心」</w:t>
      </w:r>
      <w:r w:rsidR="002F70A6" w:rsidRPr="00714BF6">
        <w:rPr>
          <w:rFonts w:hint="eastAsia"/>
        </w:rPr>
        <w:t>學校或夥伴學校除互相擔任區域資源分享角色外，</w:t>
      </w:r>
      <w:r w:rsidRPr="00714BF6">
        <w:rPr>
          <w:rFonts w:hint="eastAsia"/>
        </w:rPr>
        <w:t>近年</w:t>
      </w:r>
      <w:proofErr w:type="gramStart"/>
      <w:r w:rsidR="002F70A6" w:rsidRPr="00714BF6">
        <w:rPr>
          <w:rFonts w:hint="eastAsia"/>
        </w:rPr>
        <w:t>因少子化</w:t>
      </w:r>
      <w:proofErr w:type="gramEnd"/>
      <w:r w:rsidR="002F70A6" w:rsidRPr="00714BF6">
        <w:rPr>
          <w:rFonts w:hint="eastAsia"/>
        </w:rPr>
        <w:t>趨勢，各校招生壓力漸增，鄰近學校彼此間存在招生等競爭關係，導致</w:t>
      </w:r>
      <w:r w:rsidR="007D76DC" w:rsidRPr="00714BF6">
        <w:rPr>
          <w:rFonts w:hint="eastAsia"/>
        </w:rPr>
        <w:t>難有</w:t>
      </w:r>
      <w:r w:rsidR="002F70A6" w:rsidRPr="00714BF6">
        <w:rPr>
          <w:rFonts w:hint="eastAsia"/>
        </w:rPr>
        <w:t>全然提供資源共享之意願。</w:t>
      </w:r>
    </w:p>
    <w:p w:rsidR="004866DD" w:rsidRPr="00714BF6" w:rsidRDefault="004866DD" w:rsidP="000B2F2E">
      <w:pPr>
        <w:pStyle w:val="4"/>
        <w:spacing w:line="480" w:lineRule="exact"/>
        <w:rPr>
          <w:bCs/>
          <w:szCs w:val="28"/>
        </w:rPr>
      </w:pPr>
      <w:r w:rsidRPr="00714BF6">
        <w:rPr>
          <w:rFonts w:hint="eastAsia"/>
          <w:bCs/>
          <w:szCs w:val="28"/>
        </w:rPr>
        <w:t>受地域限制，區域幅員廣大，學校間彼此聯繫困難，交通不便致共享之成效不佳，</w:t>
      </w:r>
      <w:r w:rsidR="007D76DC" w:rsidRPr="00714BF6">
        <w:rPr>
          <w:rFonts w:hint="eastAsia"/>
          <w:bCs/>
          <w:szCs w:val="28"/>
        </w:rPr>
        <w:t>亦有</w:t>
      </w:r>
      <w:r w:rsidRPr="00714BF6">
        <w:rPr>
          <w:rFonts w:hint="eastAsia"/>
          <w:bCs/>
          <w:szCs w:val="28"/>
        </w:rPr>
        <w:t>辦理活動上的限制，夥伴學校師生的參加意願</w:t>
      </w:r>
      <w:r w:rsidR="000952B6" w:rsidRPr="00714BF6">
        <w:rPr>
          <w:rFonts w:hint="eastAsia"/>
          <w:bCs/>
          <w:szCs w:val="28"/>
        </w:rPr>
        <w:t>難免</w:t>
      </w:r>
      <w:r w:rsidRPr="00714BF6">
        <w:rPr>
          <w:rFonts w:hint="eastAsia"/>
          <w:bCs/>
          <w:szCs w:val="28"/>
        </w:rPr>
        <w:t>較低。</w:t>
      </w:r>
    </w:p>
    <w:p w:rsidR="004866DD" w:rsidRPr="00714BF6" w:rsidRDefault="004866DD" w:rsidP="000B2F2E">
      <w:pPr>
        <w:pStyle w:val="4"/>
        <w:spacing w:line="480" w:lineRule="exact"/>
        <w:rPr>
          <w:bCs/>
          <w:szCs w:val="28"/>
        </w:rPr>
      </w:pPr>
      <w:r w:rsidRPr="00714BF6">
        <w:rPr>
          <w:rFonts w:hint="eastAsia"/>
          <w:bCs/>
          <w:szCs w:val="28"/>
        </w:rPr>
        <w:t>區域內</w:t>
      </w:r>
      <w:r w:rsidR="00D14CD4" w:rsidRPr="00714BF6">
        <w:rPr>
          <w:rFonts w:hint="eastAsia"/>
          <w:bCs/>
          <w:szCs w:val="28"/>
        </w:rPr>
        <w:t>未有明確之重點指標</w:t>
      </w:r>
      <w:r w:rsidR="007D76DC" w:rsidRPr="00714BF6">
        <w:rPr>
          <w:rFonts w:hint="eastAsia"/>
          <w:bCs/>
          <w:szCs w:val="28"/>
        </w:rPr>
        <w:t>以</w:t>
      </w:r>
      <w:r w:rsidR="00D14CD4" w:rsidRPr="00714BF6">
        <w:rPr>
          <w:rFonts w:hint="eastAsia"/>
          <w:bCs/>
          <w:szCs w:val="28"/>
        </w:rPr>
        <w:t>檢核執行成效，致</w:t>
      </w:r>
      <w:r w:rsidR="007D76DC" w:rsidRPr="00714BF6">
        <w:rPr>
          <w:rFonts w:hint="eastAsia"/>
          <w:bCs/>
          <w:szCs w:val="28"/>
        </w:rPr>
        <w:t>不易有</w:t>
      </w:r>
      <w:r w:rsidR="00D14CD4" w:rsidRPr="00714BF6">
        <w:rPr>
          <w:rFonts w:hint="eastAsia"/>
          <w:bCs/>
          <w:szCs w:val="28"/>
        </w:rPr>
        <w:t>跨區域</w:t>
      </w:r>
      <w:r w:rsidR="007D76DC" w:rsidRPr="00714BF6">
        <w:rPr>
          <w:rFonts w:hint="eastAsia"/>
          <w:bCs/>
          <w:szCs w:val="28"/>
        </w:rPr>
        <w:t>之</w:t>
      </w:r>
      <w:r w:rsidR="00D14CD4" w:rsidRPr="00714BF6">
        <w:rPr>
          <w:rFonts w:hint="eastAsia"/>
          <w:bCs/>
          <w:szCs w:val="28"/>
        </w:rPr>
        <w:t>典範轉移，</w:t>
      </w:r>
      <w:r w:rsidR="000952B6" w:rsidRPr="00714BF6">
        <w:rPr>
          <w:rFonts w:hint="eastAsia"/>
          <w:bCs/>
          <w:szCs w:val="28"/>
        </w:rPr>
        <w:t>而</w:t>
      </w:r>
      <w:r w:rsidR="00D14CD4" w:rsidRPr="00714BF6">
        <w:rPr>
          <w:rFonts w:hint="eastAsia"/>
          <w:bCs/>
          <w:szCs w:val="28"/>
        </w:rPr>
        <w:t>檢視</w:t>
      </w:r>
      <w:r w:rsidRPr="00714BF6">
        <w:rPr>
          <w:rFonts w:hint="eastAsia"/>
          <w:bCs/>
          <w:szCs w:val="28"/>
        </w:rPr>
        <w:t>整合分享成效</w:t>
      </w:r>
      <w:r w:rsidR="000952B6" w:rsidRPr="00714BF6">
        <w:rPr>
          <w:rFonts w:hint="eastAsia"/>
          <w:bCs/>
          <w:szCs w:val="28"/>
        </w:rPr>
        <w:t>亦有</w:t>
      </w:r>
      <w:r w:rsidR="007D76DC" w:rsidRPr="00714BF6">
        <w:rPr>
          <w:rFonts w:hint="eastAsia"/>
          <w:bCs/>
          <w:szCs w:val="28"/>
        </w:rPr>
        <w:t>困難</w:t>
      </w:r>
      <w:r w:rsidRPr="00714BF6">
        <w:rPr>
          <w:rFonts w:hint="eastAsia"/>
          <w:bCs/>
          <w:szCs w:val="28"/>
        </w:rPr>
        <w:t>。</w:t>
      </w:r>
    </w:p>
    <w:p w:rsidR="005269C0" w:rsidRPr="00714BF6" w:rsidRDefault="00BC4DBF" w:rsidP="000B2F2E">
      <w:pPr>
        <w:pStyle w:val="4"/>
        <w:spacing w:line="480" w:lineRule="exact"/>
        <w:rPr>
          <w:bCs/>
          <w:szCs w:val="28"/>
        </w:rPr>
      </w:pPr>
      <w:r w:rsidRPr="00714BF6">
        <w:rPr>
          <w:rFonts w:hint="eastAsia"/>
          <w:bCs/>
          <w:szCs w:val="28"/>
        </w:rPr>
        <w:t>目前</w:t>
      </w:r>
      <w:proofErr w:type="gramStart"/>
      <w:r w:rsidR="004866DD" w:rsidRPr="00714BF6">
        <w:rPr>
          <w:rFonts w:hint="eastAsia"/>
          <w:bCs/>
          <w:szCs w:val="28"/>
        </w:rPr>
        <w:t>各校僅著重</w:t>
      </w:r>
      <w:proofErr w:type="gramEnd"/>
      <w:r w:rsidR="004866DD" w:rsidRPr="00714BF6">
        <w:rPr>
          <w:rFonts w:hint="eastAsia"/>
          <w:bCs/>
          <w:szCs w:val="28"/>
        </w:rPr>
        <w:t>於區域內教育資源之整合分享，未能與區域內之產業產生互動，缺乏產學合作共同培育人才之動能。</w:t>
      </w:r>
    </w:p>
    <w:p w:rsidR="00D97E32" w:rsidRPr="00714BF6" w:rsidRDefault="007A7A06" w:rsidP="000B2F2E">
      <w:pPr>
        <w:pStyle w:val="3"/>
        <w:spacing w:line="480" w:lineRule="exact"/>
        <w:rPr>
          <w:bCs w:val="0"/>
          <w:szCs w:val="28"/>
        </w:rPr>
      </w:pPr>
      <w:r w:rsidRPr="00714BF6">
        <w:rPr>
          <w:rFonts w:hint="eastAsia"/>
          <w:bCs w:val="0"/>
          <w:szCs w:val="28"/>
        </w:rPr>
        <w:t>綜上，</w:t>
      </w:r>
      <w:r w:rsidR="00A617F4" w:rsidRPr="00714BF6">
        <w:rPr>
          <w:rFonts w:hint="eastAsia"/>
        </w:rPr>
        <w:t>「區域教學資源中心」</w:t>
      </w:r>
      <w:r w:rsidR="00CF2481" w:rsidRPr="00714BF6">
        <w:rPr>
          <w:rFonts w:hint="eastAsia"/>
          <w:bCs w:val="0"/>
          <w:szCs w:val="28"/>
        </w:rPr>
        <w:t>扮演協助該區域內其他學校提升教學品質、推展教學卓越計畫核心教學措施之角色，</w:t>
      </w:r>
      <w:proofErr w:type="gramStart"/>
      <w:r w:rsidR="00CF2481" w:rsidRPr="00714BF6">
        <w:rPr>
          <w:rFonts w:hint="eastAsia"/>
          <w:bCs w:val="0"/>
          <w:szCs w:val="28"/>
        </w:rPr>
        <w:t>另負有</w:t>
      </w:r>
      <w:proofErr w:type="gramEnd"/>
      <w:r w:rsidR="00CF2481" w:rsidRPr="00714BF6">
        <w:rPr>
          <w:rFonts w:hint="eastAsia"/>
          <w:bCs w:val="0"/>
          <w:szCs w:val="28"/>
        </w:rPr>
        <w:t>資源整合分享、協助區域高中職優化等任務，</w:t>
      </w:r>
      <w:r w:rsidR="00BC4DBF" w:rsidRPr="00714BF6">
        <w:rPr>
          <w:rFonts w:hint="eastAsia"/>
          <w:bCs w:val="0"/>
          <w:szCs w:val="28"/>
        </w:rPr>
        <w:t>然</w:t>
      </w:r>
      <w:r w:rsidR="00CF2481" w:rsidRPr="00714BF6">
        <w:rPr>
          <w:rFonts w:hint="eastAsia"/>
          <w:bCs w:val="0"/>
          <w:szCs w:val="28"/>
        </w:rPr>
        <w:t>經本</w:t>
      </w:r>
      <w:r w:rsidR="00CF2481" w:rsidRPr="00714BF6">
        <w:rPr>
          <w:rFonts w:hint="eastAsia"/>
          <w:bCs w:val="0"/>
          <w:szCs w:val="28"/>
        </w:rPr>
        <w:lastRenderedPageBreak/>
        <w:t>案實地訪談，區域學校夥伴關係</w:t>
      </w:r>
      <w:r w:rsidR="00BC4DBF" w:rsidRPr="00714BF6">
        <w:rPr>
          <w:rFonts w:hint="eastAsia"/>
          <w:bCs w:val="0"/>
          <w:szCs w:val="28"/>
        </w:rPr>
        <w:t>固</w:t>
      </w:r>
      <w:r w:rsidR="00CF2481" w:rsidRPr="00714BF6">
        <w:rPr>
          <w:rFonts w:hint="eastAsia"/>
          <w:bCs w:val="0"/>
          <w:szCs w:val="28"/>
        </w:rPr>
        <w:t>已然形成，</w:t>
      </w:r>
      <w:proofErr w:type="gramStart"/>
      <w:r w:rsidR="00CF2481" w:rsidRPr="00714BF6">
        <w:rPr>
          <w:rFonts w:hint="eastAsia"/>
          <w:bCs w:val="0"/>
          <w:szCs w:val="28"/>
        </w:rPr>
        <w:t>足堪</w:t>
      </w:r>
      <w:r w:rsidR="00BC4DBF" w:rsidRPr="00714BF6">
        <w:rPr>
          <w:rFonts w:hint="eastAsia"/>
          <w:bCs w:val="0"/>
          <w:szCs w:val="28"/>
        </w:rPr>
        <w:t>肯認</w:t>
      </w:r>
      <w:proofErr w:type="gramEnd"/>
      <w:r w:rsidR="00BC4DBF" w:rsidRPr="00714BF6">
        <w:rPr>
          <w:rFonts w:hint="eastAsia"/>
          <w:bCs w:val="0"/>
          <w:szCs w:val="28"/>
        </w:rPr>
        <w:t>；</w:t>
      </w:r>
      <w:proofErr w:type="gramStart"/>
      <w:r w:rsidR="00BC4DBF" w:rsidRPr="00714BF6">
        <w:rPr>
          <w:rFonts w:hint="eastAsia"/>
          <w:bCs w:val="0"/>
          <w:szCs w:val="28"/>
        </w:rPr>
        <w:t>惟</w:t>
      </w:r>
      <w:proofErr w:type="gramEnd"/>
      <w:r w:rsidR="00BC4DBF" w:rsidRPr="00714BF6">
        <w:rPr>
          <w:rFonts w:hint="eastAsia"/>
          <w:bCs w:val="0"/>
          <w:szCs w:val="28"/>
        </w:rPr>
        <w:t>部分教學措施與資源運用機制，仍有加深學校同質化發展之虞</w:t>
      </w:r>
      <w:r w:rsidR="00CF2481" w:rsidRPr="00714BF6">
        <w:rPr>
          <w:rFonts w:hint="eastAsia"/>
          <w:bCs w:val="0"/>
          <w:szCs w:val="28"/>
        </w:rPr>
        <w:t>，且實質效益</w:t>
      </w:r>
      <w:r w:rsidR="00CE4AB1" w:rsidRPr="00714BF6">
        <w:rPr>
          <w:rFonts w:hint="eastAsia"/>
          <w:bCs w:val="0"/>
          <w:szCs w:val="28"/>
        </w:rPr>
        <w:t>亦</w:t>
      </w:r>
      <w:r w:rsidR="00D14CD4" w:rsidRPr="00714BF6">
        <w:rPr>
          <w:rFonts w:hint="eastAsia"/>
          <w:bCs w:val="0"/>
          <w:szCs w:val="28"/>
        </w:rPr>
        <w:t>待</w:t>
      </w:r>
      <w:r w:rsidR="00A617F4" w:rsidRPr="00714BF6">
        <w:rPr>
          <w:rFonts w:hint="eastAsia"/>
          <w:bCs w:val="0"/>
          <w:szCs w:val="28"/>
        </w:rPr>
        <w:t>評估</w:t>
      </w:r>
      <w:r w:rsidR="00D14CD4" w:rsidRPr="00714BF6">
        <w:rPr>
          <w:rFonts w:hint="eastAsia"/>
          <w:bCs w:val="0"/>
          <w:szCs w:val="28"/>
        </w:rPr>
        <w:t>。</w:t>
      </w:r>
    </w:p>
    <w:p w:rsidR="004F0A1F" w:rsidRPr="00714BF6" w:rsidRDefault="004F0A1F" w:rsidP="000B2F2E">
      <w:pPr>
        <w:pStyle w:val="3"/>
        <w:numPr>
          <w:ilvl w:val="0"/>
          <w:numId w:val="0"/>
        </w:numPr>
        <w:spacing w:line="480" w:lineRule="exact"/>
        <w:ind w:left="1532"/>
        <w:rPr>
          <w:bCs w:val="0"/>
          <w:szCs w:val="28"/>
        </w:rPr>
      </w:pPr>
    </w:p>
    <w:p w:rsidR="00E13C4F" w:rsidRPr="00714BF6" w:rsidRDefault="00E13C4F" w:rsidP="00E13C4F">
      <w:pPr>
        <w:pStyle w:val="2"/>
        <w:spacing w:line="480" w:lineRule="exact"/>
        <w:rPr>
          <w:b/>
        </w:rPr>
      </w:pPr>
      <w:bookmarkStart w:id="66" w:name="_Toc457658107"/>
      <w:r w:rsidRPr="00714BF6">
        <w:rPr>
          <w:rFonts w:hint="eastAsia"/>
          <w:b/>
        </w:rPr>
        <w:t>教學卓越計畫喚起大學校</w:t>
      </w:r>
      <w:r w:rsidR="00BF69AF" w:rsidRPr="00714BF6">
        <w:rPr>
          <w:rFonts w:hint="eastAsia"/>
          <w:b/>
        </w:rPr>
        <w:t>院對</w:t>
      </w:r>
      <w:r w:rsidRPr="00714BF6">
        <w:rPr>
          <w:rFonts w:hint="eastAsia"/>
          <w:b/>
        </w:rPr>
        <w:t>教學理想、目標與品質之重視，固值肯定，惟其永</w:t>
      </w:r>
      <w:proofErr w:type="gramStart"/>
      <w:r w:rsidRPr="00714BF6">
        <w:rPr>
          <w:rFonts w:hint="eastAsia"/>
          <w:b/>
        </w:rPr>
        <w:t>續尤賴</w:t>
      </w:r>
      <w:proofErr w:type="gramEnd"/>
      <w:r w:rsidRPr="00714BF6">
        <w:rPr>
          <w:rFonts w:hint="eastAsia"/>
          <w:b/>
        </w:rPr>
        <w:t>學習風氣與動機之提升和轉換，未來政策思維</w:t>
      </w:r>
      <w:r w:rsidR="00BF69AF" w:rsidRPr="00714BF6">
        <w:rPr>
          <w:rFonts w:hint="eastAsia"/>
          <w:b/>
        </w:rPr>
        <w:t>與重點方向</w:t>
      </w:r>
      <w:proofErr w:type="gramStart"/>
      <w:r w:rsidR="00714BF6">
        <w:rPr>
          <w:rFonts w:hint="eastAsia"/>
          <w:b/>
        </w:rPr>
        <w:t>繫</w:t>
      </w:r>
      <w:proofErr w:type="gramEnd"/>
      <w:r w:rsidR="00BF69AF" w:rsidRPr="00714BF6">
        <w:rPr>
          <w:rFonts w:hint="eastAsia"/>
          <w:b/>
        </w:rPr>
        <w:t>於</w:t>
      </w:r>
      <w:r w:rsidRPr="00714BF6">
        <w:rPr>
          <w:rFonts w:hint="eastAsia"/>
          <w:b/>
        </w:rPr>
        <w:t>如何內化教學價值及學生學習動機方面，允應及早思忖、規劃。</w:t>
      </w:r>
      <w:bookmarkEnd w:id="66"/>
    </w:p>
    <w:p w:rsidR="00E13C4F" w:rsidRPr="00714BF6" w:rsidRDefault="00E13C4F" w:rsidP="00E13C4F">
      <w:pPr>
        <w:pStyle w:val="3"/>
        <w:spacing w:line="480" w:lineRule="exact"/>
        <w:rPr>
          <w:bCs w:val="0"/>
        </w:rPr>
      </w:pPr>
      <w:r w:rsidRPr="00714BF6">
        <w:rPr>
          <w:rFonts w:hAnsi="標楷體" w:hint="eastAsia"/>
          <w:szCs w:val="32"/>
        </w:rPr>
        <w:t>本</w:t>
      </w:r>
      <w:r w:rsidR="00F40E05" w:rsidRPr="00714BF6">
        <w:rPr>
          <w:rFonts w:hAnsi="標楷體" w:hint="eastAsia"/>
          <w:szCs w:val="32"/>
        </w:rPr>
        <w:t>調查</w:t>
      </w:r>
      <w:r w:rsidRPr="00714BF6">
        <w:rPr>
          <w:rFonts w:hAnsi="標楷體" w:hint="eastAsia"/>
          <w:szCs w:val="32"/>
        </w:rPr>
        <w:t>案約請教育部主管人員到院接受詢問，渠等表示，推動教學卓越計畫對於大學生態有正面影響；本院諮詢專家學者亦指出：「教學卓越，要求學校以教學為top priority，這是提醒學校身為教</w:t>
      </w:r>
      <w:r w:rsidR="00E66BB3" w:rsidRPr="00714BF6">
        <w:rPr>
          <w:rFonts w:hAnsi="標楷體" w:hint="eastAsia"/>
          <w:szCs w:val="32"/>
        </w:rPr>
        <w:t>育</w:t>
      </w:r>
      <w:r w:rsidRPr="00714BF6">
        <w:rPr>
          <w:rFonts w:hAnsi="標楷體" w:hint="eastAsia"/>
          <w:szCs w:val="32"/>
        </w:rPr>
        <w:t>機構的職責。當一所大學把教學放在第一位的時候，教學的動機產生，自然會有很多創新、富想像力的做法發展出來。」等語，對於此計畫促使大學校院內部文化正向質變，</w:t>
      </w:r>
      <w:proofErr w:type="gramStart"/>
      <w:r w:rsidRPr="00714BF6">
        <w:rPr>
          <w:rFonts w:hAnsi="標楷體" w:hint="eastAsia"/>
          <w:szCs w:val="32"/>
        </w:rPr>
        <w:t>均持相當</w:t>
      </w:r>
      <w:proofErr w:type="gramEnd"/>
      <w:r w:rsidRPr="00714BF6">
        <w:rPr>
          <w:rFonts w:hAnsi="標楷體" w:hint="eastAsia"/>
          <w:szCs w:val="32"/>
        </w:rPr>
        <w:t>程度肯定。本</w:t>
      </w:r>
      <w:r w:rsidR="00F40E05" w:rsidRPr="00714BF6">
        <w:rPr>
          <w:rFonts w:hAnsi="標楷體" w:hint="eastAsia"/>
          <w:szCs w:val="32"/>
        </w:rPr>
        <w:t>調查</w:t>
      </w:r>
      <w:r w:rsidRPr="00714BF6">
        <w:rPr>
          <w:rFonts w:hAnsi="標楷體" w:hint="eastAsia"/>
          <w:szCs w:val="32"/>
        </w:rPr>
        <w:t>案期間3度赴實地訪談計畫相關學校人員，整體而言，與會者</w:t>
      </w:r>
      <w:proofErr w:type="gramStart"/>
      <w:r w:rsidRPr="00714BF6">
        <w:rPr>
          <w:rFonts w:hAnsi="標楷體" w:hint="eastAsia"/>
          <w:szCs w:val="32"/>
        </w:rPr>
        <w:t>亦均肯認</w:t>
      </w:r>
      <w:proofErr w:type="gramEnd"/>
      <w:r w:rsidRPr="00714BF6">
        <w:rPr>
          <w:rFonts w:hAnsi="標楷體" w:hint="eastAsia"/>
          <w:szCs w:val="32"/>
        </w:rPr>
        <w:t>教學卓越計畫帶動高等教育校園對教學活動之重視，並表示在有形的教學制度</w:t>
      </w:r>
      <w:r w:rsidR="00E66BB3" w:rsidRPr="00714BF6">
        <w:rPr>
          <w:rFonts w:hAnsi="標楷體" w:hint="eastAsia"/>
          <w:szCs w:val="32"/>
        </w:rPr>
        <w:t>之外，此計畫促進校內教師對話，以及在校際間產生激盪學習效果，尤其</w:t>
      </w:r>
      <w:r w:rsidRPr="00714BF6">
        <w:rPr>
          <w:rFonts w:hAnsi="標楷體" w:hint="eastAsia"/>
          <w:szCs w:val="32"/>
        </w:rPr>
        <w:t>可貴；相關之</w:t>
      </w:r>
      <w:r w:rsidR="00F40E05" w:rsidRPr="00714BF6">
        <w:rPr>
          <w:rFonts w:hAnsi="標楷體" w:hint="eastAsia"/>
          <w:szCs w:val="32"/>
        </w:rPr>
        <w:t>具體</w:t>
      </w:r>
      <w:r w:rsidRPr="00714BF6">
        <w:rPr>
          <w:rFonts w:hAnsi="標楷體" w:hint="eastAsia"/>
          <w:szCs w:val="32"/>
        </w:rPr>
        <w:t>意見略</w:t>
      </w:r>
      <w:proofErr w:type="gramStart"/>
      <w:r w:rsidR="000952B6" w:rsidRPr="00714BF6">
        <w:rPr>
          <w:rFonts w:hAnsi="標楷體" w:hint="eastAsia"/>
          <w:szCs w:val="32"/>
        </w:rPr>
        <w:t>以</w:t>
      </w:r>
      <w:proofErr w:type="gramEnd"/>
      <w:r w:rsidRPr="00714BF6">
        <w:rPr>
          <w:rFonts w:hAnsi="標楷體" w:hint="eastAsia"/>
          <w:szCs w:val="32"/>
        </w:rPr>
        <w:t>：「學校可以借力使力，可以要求老師、給老師資源。使教學有大幅度改善」、「教學卓越計畫是近年教育部有成效的計畫之一，帶動學校執行提升教學活動。」、「此計畫最重要的價值，在於對校園文化帶來質變，只要長期經營教學卓越計畫的學校，都看得到改變」。是</w:t>
      </w:r>
      <w:proofErr w:type="gramStart"/>
      <w:r w:rsidRPr="00714BF6">
        <w:rPr>
          <w:rFonts w:hAnsi="標楷體" w:hint="eastAsia"/>
          <w:szCs w:val="32"/>
        </w:rPr>
        <w:t>以</w:t>
      </w:r>
      <w:proofErr w:type="gramEnd"/>
      <w:r w:rsidRPr="00714BF6">
        <w:rPr>
          <w:rFonts w:hAnsi="標楷體" w:hint="eastAsia"/>
          <w:szCs w:val="32"/>
        </w:rPr>
        <w:t>，教學卓越計畫具有喚起大學校園重視教學任務之價值一事，</w:t>
      </w:r>
      <w:proofErr w:type="gramStart"/>
      <w:r w:rsidR="00137046">
        <w:rPr>
          <w:rFonts w:hAnsi="標楷體" w:hint="eastAsia"/>
          <w:szCs w:val="32"/>
        </w:rPr>
        <w:t>殆</w:t>
      </w:r>
      <w:proofErr w:type="gramEnd"/>
      <w:r w:rsidR="00137046">
        <w:rPr>
          <w:rFonts w:hAnsi="標楷體" w:hint="eastAsia"/>
          <w:szCs w:val="32"/>
        </w:rPr>
        <w:t>無疑義</w:t>
      </w:r>
      <w:r w:rsidRPr="00714BF6">
        <w:rPr>
          <w:rFonts w:hAnsi="標楷體" w:hint="eastAsia"/>
          <w:szCs w:val="32"/>
        </w:rPr>
        <w:t>。</w:t>
      </w:r>
    </w:p>
    <w:p w:rsidR="00E13C4F" w:rsidRPr="00714BF6" w:rsidRDefault="00E13C4F" w:rsidP="00E13C4F">
      <w:pPr>
        <w:pStyle w:val="3"/>
        <w:spacing w:line="480" w:lineRule="exact"/>
      </w:pPr>
      <w:r w:rsidRPr="00714BF6">
        <w:rPr>
          <w:rFonts w:hint="eastAsia"/>
        </w:rPr>
        <w:t>調閱教育部獎勵大學教學卓越計畫第23</w:t>
      </w:r>
      <w:r w:rsidR="00E66BB3" w:rsidRPr="00714BF6">
        <w:rPr>
          <w:rFonts w:hint="eastAsia"/>
        </w:rPr>
        <w:t>次專案辦公室會議資料，</w:t>
      </w:r>
      <w:r w:rsidRPr="00714BF6">
        <w:rPr>
          <w:rFonts w:hint="eastAsia"/>
        </w:rPr>
        <w:t>議決事項之</w:t>
      </w:r>
      <w:proofErr w:type="gramStart"/>
      <w:r w:rsidRPr="00714BF6">
        <w:rPr>
          <w:rFonts w:hint="eastAsia"/>
        </w:rPr>
        <w:t>一</w:t>
      </w:r>
      <w:proofErr w:type="gramEnd"/>
      <w:r w:rsidRPr="00714BF6">
        <w:rPr>
          <w:rFonts w:hint="eastAsia"/>
        </w:rPr>
        <w:t>：「『學校強化學生學習動機，提升學習風氣之作法』為重點項目，宜請各校加強說明列舉相關投入資源」。然而，經多年努力，各方評估調查結果均顯示，</w:t>
      </w:r>
      <w:r w:rsidRPr="00714BF6">
        <w:rPr>
          <w:rFonts w:hint="eastAsia"/>
        </w:rPr>
        <w:lastRenderedPageBreak/>
        <w:t>大學校園中學習風氣仍待提升；以教</w:t>
      </w:r>
      <w:r w:rsidRPr="00714BF6">
        <w:rPr>
          <w:rFonts w:hAnsi="標楷體" w:hint="eastAsia"/>
        </w:rPr>
        <w:t>育部針對教學卓</w:t>
      </w:r>
      <w:r w:rsidRPr="00714BF6">
        <w:rPr>
          <w:rFonts w:hint="eastAsia"/>
        </w:rPr>
        <w:t>越計畫科技校院38所獲補助學校師生抽樣進行問卷調查之結果為例，受測教師填答結果，認為最需優先改善的部分為</w:t>
      </w:r>
      <w:r w:rsidR="00F40E05" w:rsidRPr="00714BF6">
        <w:rPr>
          <w:rFonts w:hint="eastAsia"/>
        </w:rPr>
        <w:t>「</w:t>
      </w:r>
      <w:r w:rsidRPr="00714BF6">
        <w:rPr>
          <w:rFonts w:hint="eastAsia"/>
        </w:rPr>
        <w:t>學生讀書風氣</w:t>
      </w:r>
      <w:r w:rsidR="00F40E05" w:rsidRPr="00714BF6">
        <w:rPr>
          <w:rFonts w:hint="eastAsia"/>
        </w:rPr>
        <w:t>」</w:t>
      </w:r>
      <w:r w:rsidRPr="00714BF6">
        <w:rPr>
          <w:rFonts w:hint="eastAsia"/>
        </w:rPr>
        <w:t>；學生填答</w:t>
      </w:r>
      <w:r w:rsidR="00F40E05" w:rsidRPr="00714BF6">
        <w:rPr>
          <w:rFonts w:hint="eastAsia"/>
        </w:rPr>
        <w:t>指認學校最優先須改善或加強的部分，「學生讀書風氣」亦</w:t>
      </w:r>
      <w:r w:rsidRPr="00714BF6">
        <w:rPr>
          <w:rFonts w:hint="eastAsia"/>
        </w:rPr>
        <w:t>居第2位；</w:t>
      </w:r>
      <w:proofErr w:type="gramStart"/>
      <w:r w:rsidRPr="00714BF6">
        <w:rPr>
          <w:rFonts w:hint="eastAsia"/>
        </w:rPr>
        <w:t>另</w:t>
      </w:r>
      <w:proofErr w:type="gramEnd"/>
      <w:r w:rsidRPr="00714BF6">
        <w:rPr>
          <w:rFonts w:hint="eastAsia"/>
        </w:rPr>
        <w:t>，教育部主管人員於本院接受詢問時亦稱</w:t>
      </w:r>
      <w:r w:rsidR="00E66BB3" w:rsidRPr="00714BF6">
        <w:rPr>
          <w:rFonts w:hint="eastAsia"/>
        </w:rPr>
        <w:t>：</w:t>
      </w:r>
      <w:r w:rsidRPr="00714BF6">
        <w:rPr>
          <w:rFonts w:hint="eastAsia"/>
        </w:rPr>
        <w:t>「學生學習風氣是最難改變及提升的，</w:t>
      </w:r>
      <w:proofErr w:type="gramStart"/>
      <w:r w:rsidRPr="00714BF6">
        <w:rPr>
          <w:rFonts w:hint="eastAsia"/>
        </w:rPr>
        <w:t>教卓第2</w:t>
      </w:r>
      <w:r w:rsidR="00F40E05" w:rsidRPr="00714BF6">
        <w:rPr>
          <w:rFonts w:hint="eastAsia"/>
        </w:rPr>
        <w:t>期</w:t>
      </w:r>
      <w:proofErr w:type="gramEnd"/>
      <w:r w:rsidRPr="00714BF6">
        <w:rPr>
          <w:rFonts w:hint="eastAsia"/>
        </w:rPr>
        <w:t>便開始透過社群來引導教師跟學生。」等語，</w:t>
      </w:r>
      <w:proofErr w:type="gramStart"/>
      <w:r w:rsidRPr="00714BF6">
        <w:rPr>
          <w:rFonts w:hint="eastAsia"/>
        </w:rPr>
        <w:t>均足證</w:t>
      </w:r>
      <w:proofErr w:type="gramEnd"/>
      <w:r w:rsidRPr="00714BF6">
        <w:rPr>
          <w:rFonts w:hint="eastAsia"/>
        </w:rPr>
        <w:t>之。</w:t>
      </w:r>
    </w:p>
    <w:p w:rsidR="00E13C4F" w:rsidRPr="00714BF6" w:rsidRDefault="007B500C" w:rsidP="00E13C4F">
      <w:pPr>
        <w:pStyle w:val="3"/>
        <w:spacing w:line="480" w:lineRule="exact"/>
      </w:pPr>
      <w:r w:rsidRPr="00714BF6">
        <w:rPr>
          <w:rFonts w:hint="eastAsia"/>
        </w:rPr>
        <w:t>激發、影響及轉換學生學習動機之因素，尚難客觀實驗證明並以一言概括</w:t>
      </w:r>
      <w:r w:rsidR="00E13C4F" w:rsidRPr="00714BF6">
        <w:rPr>
          <w:rFonts w:hint="eastAsia"/>
        </w:rPr>
        <w:t>，惟本案調查確認，教師為活化教學之靈魂人物，教育品質之良</w:t>
      </w:r>
      <w:proofErr w:type="gramStart"/>
      <w:r w:rsidR="00E13C4F" w:rsidRPr="00714BF6">
        <w:rPr>
          <w:rFonts w:hint="eastAsia"/>
        </w:rPr>
        <w:t>莠</w:t>
      </w:r>
      <w:proofErr w:type="gramEnd"/>
      <w:r w:rsidR="00E13C4F" w:rsidRPr="00714BF6">
        <w:rPr>
          <w:rFonts w:hint="eastAsia"/>
        </w:rPr>
        <w:t>，與教師素質密不可分，如何喚起並維持教師熱情，實應納入</w:t>
      </w:r>
      <w:r w:rsidR="00F40E05" w:rsidRPr="00714BF6">
        <w:rPr>
          <w:rFonts w:hint="eastAsia"/>
        </w:rPr>
        <w:t>相關</w:t>
      </w:r>
      <w:r w:rsidR="00E13C4F" w:rsidRPr="00714BF6">
        <w:rPr>
          <w:rFonts w:hint="eastAsia"/>
        </w:rPr>
        <w:t>政策思維中。依據本</w:t>
      </w:r>
      <w:r w:rsidR="000952B6" w:rsidRPr="00714BF6">
        <w:rPr>
          <w:rFonts w:hint="eastAsia"/>
        </w:rPr>
        <w:t>調查</w:t>
      </w:r>
      <w:r w:rsidR="00E13C4F" w:rsidRPr="00714BF6">
        <w:rPr>
          <w:rFonts w:hint="eastAsia"/>
        </w:rPr>
        <w:t>案</w:t>
      </w:r>
      <w:r w:rsidR="000952B6" w:rsidRPr="00714BF6">
        <w:rPr>
          <w:rFonts w:hint="eastAsia"/>
        </w:rPr>
        <w:t>座談會</w:t>
      </w:r>
      <w:r w:rsidR="00E13C4F" w:rsidRPr="00714BF6">
        <w:rPr>
          <w:rFonts w:hint="eastAsia"/>
        </w:rPr>
        <w:t>之</w:t>
      </w:r>
      <w:r w:rsidR="000952B6" w:rsidRPr="00714BF6">
        <w:rPr>
          <w:rFonts w:hint="eastAsia"/>
        </w:rPr>
        <w:t>相關</w:t>
      </w:r>
      <w:r w:rsidR="00E13C4F" w:rsidRPr="00714BF6">
        <w:rPr>
          <w:rFonts w:hint="eastAsia"/>
        </w:rPr>
        <w:t>意見</w:t>
      </w:r>
      <w:r w:rsidR="000952B6" w:rsidRPr="00714BF6">
        <w:rPr>
          <w:rFonts w:hint="eastAsia"/>
        </w:rPr>
        <w:t>稱</w:t>
      </w:r>
      <w:r w:rsidR="00F40E05" w:rsidRPr="00714BF6">
        <w:rPr>
          <w:rFonts w:hint="eastAsia"/>
        </w:rPr>
        <w:t>：</w:t>
      </w:r>
      <w:r w:rsidR="00E13C4F" w:rsidRPr="00714BF6">
        <w:rPr>
          <w:rFonts w:hint="eastAsia"/>
        </w:rPr>
        <w:t>「學校軟硬體已改善很多，學生動機</w:t>
      </w:r>
      <w:r w:rsidR="000952B6" w:rsidRPr="00714BF6">
        <w:rPr>
          <w:rFonts w:hint="eastAsia"/>
        </w:rPr>
        <w:t>有</w:t>
      </w:r>
      <w:r w:rsidR="00E13C4F" w:rsidRPr="00714BF6">
        <w:rPr>
          <w:rFonts w:hint="eastAsia"/>
        </w:rPr>
        <w:t>待慢慢引導</w:t>
      </w:r>
      <w:r w:rsidR="001637D1" w:rsidRPr="00714BF6">
        <w:rPr>
          <w:rFonts w:hint="eastAsia"/>
        </w:rPr>
        <w:t>。</w:t>
      </w:r>
      <w:r w:rsidR="00E13C4F" w:rsidRPr="00714BF6">
        <w:rPr>
          <w:rFonts w:hint="eastAsia"/>
        </w:rPr>
        <w:t>」</w:t>
      </w:r>
      <w:r w:rsidR="000952B6" w:rsidRPr="00714BF6">
        <w:rPr>
          <w:rFonts w:hint="eastAsia"/>
        </w:rPr>
        <w:t>、</w:t>
      </w:r>
      <w:r w:rsidR="00E13C4F" w:rsidRPr="00714BF6">
        <w:rPr>
          <w:rFonts w:hint="eastAsia"/>
        </w:rPr>
        <w:t>「學生學習動機常與對教師的喜愛有關，所以為了促進學生學習動機，本校特別加強教師教學成長。</w:t>
      </w:r>
      <w:proofErr w:type="gramStart"/>
      <w:r w:rsidR="00E13C4F" w:rsidRPr="00714BF6">
        <w:rPr>
          <w:rFonts w:hint="eastAsia"/>
        </w:rPr>
        <w:t>教卓就是</w:t>
      </w:r>
      <w:proofErr w:type="gramEnd"/>
      <w:r w:rsidR="00E13C4F" w:rsidRPr="00714BF6">
        <w:rPr>
          <w:rFonts w:hint="eastAsia"/>
        </w:rPr>
        <w:t>為學生的成長做教學及體制設計。」、「(學校的)作戰部隊在系所，系所不動，學校就沒有能量，校長只是橋梁或平台，教師如果不深</w:t>
      </w:r>
      <w:r w:rsidR="000952B6" w:rsidRPr="00714BF6">
        <w:rPr>
          <w:rFonts w:hint="eastAsia"/>
        </w:rPr>
        <w:t>化推動教學工作，相關的措施不會有績效。」等語，實與「大學者，非</w:t>
      </w:r>
      <w:r w:rsidR="00E13C4F" w:rsidRPr="00714BF6">
        <w:rPr>
          <w:rFonts w:hint="eastAsia"/>
        </w:rPr>
        <w:t>有大樓之謂也，有大師之謂也</w:t>
      </w:r>
      <w:r w:rsidR="000952B6" w:rsidRPr="00714BF6">
        <w:rPr>
          <w:rFonts w:hint="eastAsia"/>
        </w:rPr>
        <w:t>。</w:t>
      </w:r>
      <w:r w:rsidR="00E13C4F" w:rsidRPr="00714BF6">
        <w:rPr>
          <w:rFonts w:hint="eastAsia"/>
        </w:rPr>
        <w:t>」同理，</w:t>
      </w:r>
      <w:proofErr w:type="gramStart"/>
      <w:r w:rsidR="00E13C4F" w:rsidRPr="00714BF6">
        <w:rPr>
          <w:rFonts w:hint="eastAsia"/>
        </w:rPr>
        <w:t>併</w:t>
      </w:r>
      <w:proofErr w:type="gramEnd"/>
      <w:r w:rsidR="00E13C4F" w:rsidRPr="00714BF6">
        <w:rPr>
          <w:rFonts w:hint="eastAsia"/>
        </w:rPr>
        <w:t>供教育主管機關與學校參酌。</w:t>
      </w:r>
    </w:p>
    <w:p w:rsidR="00E13C4F" w:rsidRPr="00714BF6" w:rsidRDefault="00E13C4F" w:rsidP="00E13C4F">
      <w:pPr>
        <w:pStyle w:val="3"/>
        <w:spacing w:line="480" w:lineRule="exact"/>
        <w:rPr>
          <w:bCs w:val="0"/>
        </w:rPr>
      </w:pPr>
      <w:r w:rsidRPr="00714BF6">
        <w:rPr>
          <w:rFonts w:hint="eastAsia"/>
        </w:rPr>
        <w:t>綜上，教學卓越計畫歷經10餘年之努力，基礎教學建設已</w:t>
      </w:r>
      <w:proofErr w:type="gramStart"/>
      <w:r w:rsidR="00F40E05" w:rsidRPr="00714BF6">
        <w:rPr>
          <w:rFonts w:hint="eastAsia"/>
        </w:rPr>
        <w:t>見</w:t>
      </w:r>
      <w:r w:rsidR="003F390B" w:rsidRPr="00714BF6">
        <w:rPr>
          <w:rFonts w:hint="eastAsia"/>
        </w:rPr>
        <w:t>初</w:t>
      </w:r>
      <w:r w:rsidRPr="00714BF6">
        <w:rPr>
          <w:rFonts w:hint="eastAsia"/>
        </w:rPr>
        <w:t>效，</w:t>
      </w:r>
      <w:proofErr w:type="gramEnd"/>
      <w:r w:rsidRPr="00714BF6">
        <w:rPr>
          <w:rFonts w:hint="eastAsia"/>
        </w:rPr>
        <w:t>然學習風氣與動機卻無法有效提升，令人擔憂；鑒於高等教育具有學術及就業</w:t>
      </w:r>
      <w:r w:rsidR="00E66BB3" w:rsidRPr="00714BF6">
        <w:rPr>
          <w:rFonts w:hint="eastAsia"/>
        </w:rPr>
        <w:t>雙重</w:t>
      </w:r>
      <w:r w:rsidRPr="00714BF6">
        <w:rPr>
          <w:rFonts w:hint="eastAsia"/>
        </w:rPr>
        <w:t>取向特性，教育對象之智識與自主性，亦較其他階段學生成熟，是</w:t>
      </w:r>
      <w:proofErr w:type="gramStart"/>
      <w:r w:rsidRPr="00714BF6">
        <w:rPr>
          <w:rFonts w:hint="eastAsia"/>
        </w:rPr>
        <w:t>以</w:t>
      </w:r>
      <w:proofErr w:type="gramEnd"/>
      <w:r w:rsidRPr="00714BF6">
        <w:rPr>
          <w:rFonts w:hint="eastAsia"/>
        </w:rPr>
        <w:t>，教學工作亦應重視喚起學生內在學習動機，而此重責大任，亦</w:t>
      </w:r>
      <w:proofErr w:type="gramStart"/>
      <w:r w:rsidRPr="00714BF6">
        <w:rPr>
          <w:rFonts w:hint="eastAsia"/>
        </w:rPr>
        <w:t>繫</w:t>
      </w:r>
      <w:proofErr w:type="gramEnd"/>
      <w:r w:rsidRPr="00714BF6">
        <w:rPr>
          <w:rFonts w:hint="eastAsia"/>
        </w:rPr>
        <w:t>於人師，</w:t>
      </w:r>
      <w:proofErr w:type="gramStart"/>
      <w:r w:rsidRPr="00714BF6">
        <w:rPr>
          <w:rFonts w:hint="eastAsia"/>
        </w:rPr>
        <w:t>爰</w:t>
      </w:r>
      <w:proofErr w:type="gramEnd"/>
      <w:r w:rsidR="009E29BE" w:rsidRPr="00714BF6">
        <w:rPr>
          <w:rFonts w:hint="eastAsia"/>
        </w:rPr>
        <w:t>未來政策思維與重點方向</w:t>
      </w:r>
      <w:proofErr w:type="gramStart"/>
      <w:r w:rsidR="00E66BB3" w:rsidRPr="00714BF6">
        <w:rPr>
          <w:rFonts w:hint="eastAsia"/>
        </w:rPr>
        <w:t>繫</w:t>
      </w:r>
      <w:proofErr w:type="gramEnd"/>
      <w:r w:rsidR="003F390B" w:rsidRPr="00714BF6">
        <w:rPr>
          <w:rFonts w:hint="eastAsia"/>
        </w:rPr>
        <w:t>於</w:t>
      </w:r>
      <w:r w:rsidR="009E29BE" w:rsidRPr="00714BF6">
        <w:rPr>
          <w:rFonts w:hint="eastAsia"/>
        </w:rPr>
        <w:t>如何內化教學價值及學生學習動機方面，允應及早思忖、規劃</w:t>
      </w:r>
      <w:r w:rsidRPr="00714BF6">
        <w:rPr>
          <w:rFonts w:hint="eastAsia"/>
        </w:rPr>
        <w:t>。</w:t>
      </w:r>
    </w:p>
    <w:p w:rsidR="00B30371" w:rsidRPr="00714BF6" w:rsidRDefault="009352E8" w:rsidP="000B2F2E">
      <w:pPr>
        <w:pStyle w:val="2"/>
        <w:spacing w:line="480" w:lineRule="exact"/>
        <w:ind w:left="993" w:hanging="709"/>
        <w:rPr>
          <w:b/>
          <w:bCs w:val="0"/>
          <w:kern w:val="0"/>
        </w:rPr>
      </w:pPr>
      <w:bookmarkStart w:id="67" w:name="_Toc457658108"/>
      <w:r w:rsidRPr="00714BF6">
        <w:rPr>
          <w:rFonts w:hAnsi="標楷體" w:hint="eastAsia"/>
          <w:b/>
          <w:kern w:val="0"/>
          <w:szCs w:val="32"/>
        </w:rPr>
        <w:t>受</w:t>
      </w:r>
      <w:r w:rsidR="00381773" w:rsidRPr="00714BF6">
        <w:rPr>
          <w:rFonts w:hAnsi="標楷體" w:hint="eastAsia"/>
          <w:b/>
          <w:kern w:val="0"/>
          <w:szCs w:val="32"/>
        </w:rPr>
        <w:t>教學卓越計畫</w:t>
      </w:r>
      <w:r w:rsidRPr="00714BF6">
        <w:rPr>
          <w:rFonts w:hAnsi="標楷體" w:hint="eastAsia"/>
          <w:b/>
          <w:kern w:val="0"/>
          <w:szCs w:val="32"/>
        </w:rPr>
        <w:t>補助</w:t>
      </w:r>
      <w:r w:rsidR="00381773" w:rsidRPr="00714BF6">
        <w:rPr>
          <w:rFonts w:hAnsi="標楷體" w:hint="eastAsia"/>
          <w:b/>
          <w:kern w:val="0"/>
          <w:szCs w:val="32"/>
        </w:rPr>
        <w:t>學校反映</w:t>
      </w:r>
      <w:r w:rsidR="00BF69AF" w:rsidRPr="00714BF6">
        <w:rPr>
          <w:rFonts w:hAnsi="標楷體" w:hint="eastAsia"/>
          <w:b/>
          <w:kern w:val="0"/>
          <w:szCs w:val="32"/>
        </w:rPr>
        <w:t>，</w:t>
      </w:r>
      <w:r w:rsidR="003010C8" w:rsidRPr="00714BF6">
        <w:rPr>
          <w:rFonts w:hAnsi="標楷體" w:hint="eastAsia"/>
          <w:b/>
          <w:kern w:val="0"/>
          <w:szCs w:val="32"/>
        </w:rPr>
        <w:t>相關教學</w:t>
      </w:r>
      <w:r w:rsidR="00381773" w:rsidRPr="00714BF6">
        <w:rPr>
          <w:rFonts w:hAnsi="標楷體" w:hint="eastAsia"/>
          <w:b/>
          <w:kern w:val="0"/>
          <w:szCs w:val="32"/>
        </w:rPr>
        <w:t>機制</w:t>
      </w:r>
      <w:r w:rsidR="003010C8" w:rsidRPr="00714BF6">
        <w:rPr>
          <w:rFonts w:hAnsi="標楷體" w:hint="eastAsia"/>
          <w:b/>
          <w:kern w:val="0"/>
          <w:szCs w:val="32"/>
        </w:rPr>
        <w:t>之</w:t>
      </w:r>
      <w:r w:rsidR="00BF69AF" w:rsidRPr="00714BF6">
        <w:rPr>
          <w:rFonts w:hAnsi="標楷體" w:hint="eastAsia"/>
          <w:b/>
          <w:kern w:val="0"/>
          <w:szCs w:val="32"/>
        </w:rPr>
        <w:t>生根</w:t>
      </w:r>
      <w:r w:rsidRPr="00714BF6">
        <w:rPr>
          <w:rFonts w:hAnsi="標楷體" w:hint="eastAsia"/>
          <w:b/>
          <w:kern w:val="0"/>
          <w:szCs w:val="32"/>
        </w:rPr>
        <w:t>有</w:t>
      </w:r>
      <w:r w:rsidR="003010C8" w:rsidRPr="00714BF6">
        <w:rPr>
          <w:rFonts w:hAnsi="標楷體" w:hint="eastAsia"/>
          <w:b/>
          <w:kern w:val="0"/>
          <w:szCs w:val="32"/>
        </w:rPr>
        <w:t>賴教育部經費</w:t>
      </w:r>
      <w:r w:rsidRPr="00714BF6">
        <w:rPr>
          <w:rFonts w:hAnsi="標楷體" w:hint="eastAsia"/>
          <w:b/>
          <w:kern w:val="0"/>
          <w:szCs w:val="32"/>
        </w:rPr>
        <w:t>之持續</w:t>
      </w:r>
      <w:proofErr w:type="gramStart"/>
      <w:r w:rsidR="003010C8" w:rsidRPr="00714BF6">
        <w:rPr>
          <w:rFonts w:hAnsi="標楷體" w:hint="eastAsia"/>
          <w:b/>
          <w:kern w:val="0"/>
          <w:szCs w:val="32"/>
        </w:rPr>
        <w:t>挹</w:t>
      </w:r>
      <w:proofErr w:type="gramEnd"/>
      <w:r w:rsidR="003010C8" w:rsidRPr="00714BF6">
        <w:rPr>
          <w:rFonts w:hAnsi="標楷體" w:hint="eastAsia"/>
          <w:b/>
          <w:kern w:val="0"/>
          <w:szCs w:val="32"/>
        </w:rPr>
        <w:t>注，</w:t>
      </w:r>
      <w:r w:rsidR="00381773" w:rsidRPr="00714BF6">
        <w:rPr>
          <w:rFonts w:hAnsi="標楷體" w:hint="eastAsia"/>
          <w:b/>
          <w:kern w:val="0"/>
          <w:szCs w:val="32"/>
        </w:rPr>
        <w:t>顯示</w:t>
      </w:r>
      <w:r w:rsidRPr="00714BF6">
        <w:rPr>
          <w:rFonts w:hAnsi="標楷體" w:hint="eastAsia"/>
          <w:b/>
          <w:kern w:val="0"/>
          <w:szCs w:val="32"/>
        </w:rPr>
        <w:t>教學</w:t>
      </w:r>
      <w:r w:rsidR="00B30371" w:rsidRPr="00714BF6">
        <w:rPr>
          <w:rFonts w:hAnsi="標楷體" w:hint="eastAsia"/>
          <w:b/>
          <w:kern w:val="0"/>
          <w:szCs w:val="32"/>
        </w:rPr>
        <w:t>卓越計畫</w:t>
      </w:r>
      <w:r w:rsidRPr="00714BF6">
        <w:rPr>
          <w:rFonts w:hAnsi="標楷體" w:hint="eastAsia"/>
          <w:b/>
          <w:kern w:val="0"/>
          <w:szCs w:val="32"/>
        </w:rPr>
        <w:t>之永續落實不無疑慮</w:t>
      </w:r>
      <w:r w:rsidR="00091DC4" w:rsidRPr="00714BF6">
        <w:rPr>
          <w:rFonts w:hAnsi="標楷體" w:hint="eastAsia"/>
          <w:b/>
          <w:kern w:val="0"/>
          <w:szCs w:val="32"/>
        </w:rPr>
        <w:t>，</w:t>
      </w:r>
      <w:r w:rsidR="00AC1DF5" w:rsidRPr="00714BF6">
        <w:rPr>
          <w:rFonts w:hAnsi="標楷體" w:hint="eastAsia"/>
          <w:b/>
          <w:kern w:val="0"/>
          <w:szCs w:val="32"/>
        </w:rPr>
        <w:lastRenderedPageBreak/>
        <w:t>允</w:t>
      </w:r>
      <w:r w:rsidR="00E66BB3" w:rsidRPr="00714BF6">
        <w:rPr>
          <w:rFonts w:hAnsi="標楷體" w:hint="eastAsia"/>
          <w:b/>
          <w:kern w:val="0"/>
          <w:szCs w:val="32"/>
        </w:rPr>
        <w:t>宜</w:t>
      </w:r>
      <w:r w:rsidR="00EC09A8" w:rsidRPr="00714BF6">
        <w:rPr>
          <w:rFonts w:hAnsi="標楷體" w:hint="eastAsia"/>
          <w:b/>
          <w:kern w:val="0"/>
          <w:szCs w:val="32"/>
        </w:rPr>
        <w:t>由</w:t>
      </w:r>
      <w:r w:rsidR="00AC1DF5" w:rsidRPr="00714BF6">
        <w:rPr>
          <w:rFonts w:hAnsi="標楷體" w:hint="eastAsia"/>
          <w:b/>
          <w:kern w:val="0"/>
          <w:szCs w:val="32"/>
        </w:rPr>
        <w:t>教育部會同學校</w:t>
      </w:r>
      <w:proofErr w:type="gramStart"/>
      <w:r w:rsidR="00AC1DF5" w:rsidRPr="00714BF6">
        <w:rPr>
          <w:rFonts w:hAnsi="標楷體" w:hint="eastAsia"/>
          <w:b/>
          <w:kern w:val="0"/>
          <w:szCs w:val="32"/>
        </w:rPr>
        <w:t>研</w:t>
      </w:r>
      <w:proofErr w:type="gramEnd"/>
      <w:r w:rsidR="00AC1DF5" w:rsidRPr="00714BF6">
        <w:rPr>
          <w:rFonts w:hAnsi="標楷體" w:hint="eastAsia"/>
          <w:b/>
          <w:kern w:val="0"/>
          <w:szCs w:val="32"/>
        </w:rPr>
        <w:t>議</w:t>
      </w:r>
      <w:r w:rsidR="00BF69AF" w:rsidRPr="00714BF6">
        <w:rPr>
          <w:rFonts w:hAnsi="標楷體" w:hint="eastAsia"/>
          <w:b/>
          <w:kern w:val="0"/>
          <w:szCs w:val="32"/>
        </w:rPr>
        <w:t>、</w:t>
      </w:r>
      <w:r w:rsidR="00AC1DF5" w:rsidRPr="00714BF6">
        <w:rPr>
          <w:rFonts w:hAnsi="標楷體" w:hint="eastAsia"/>
          <w:b/>
          <w:kern w:val="0"/>
          <w:szCs w:val="32"/>
        </w:rPr>
        <w:t>評估</w:t>
      </w:r>
      <w:r w:rsidR="00BF69AF" w:rsidRPr="00714BF6">
        <w:rPr>
          <w:rFonts w:hAnsi="標楷體" w:hint="eastAsia"/>
          <w:b/>
          <w:kern w:val="0"/>
          <w:szCs w:val="32"/>
        </w:rPr>
        <w:t>；</w:t>
      </w:r>
      <w:proofErr w:type="gramStart"/>
      <w:r w:rsidR="00BF69AF" w:rsidRPr="00714BF6">
        <w:rPr>
          <w:rFonts w:hAnsi="標楷體" w:hint="eastAsia"/>
          <w:b/>
          <w:kern w:val="0"/>
          <w:szCs w:val="32"/>
        </w:rPr>
        <w:t>另</w:t>
      </w:r>
      <w:proofErr w:type="gramEnd"/>
      <w:r w:rsidR="00091DC4" w:rsidRPr="00714BF6">
        <w:rPr>
          <w:rFonts w:hAnsi="標楷體" w:hint="eastAsia"/>
          <w:b/>
          <w:kern w:val="0"/>
          <w:szCs w:val="32"/>
        </w:rPr>
        <w:t>，</w:t>
      </w:r>
      <w:r w:rsidR="00AA754A" w:rsidRPr="00714BF6">
        <w:rPr>
          <w:rFonts w:hAnsi="標楷體" w:hint="eastAsia"/>
          <w:b/>
          <w:kern w:val="0"/>
          <w:szCs w:val="32"/>
        </w:rPr>
        <w:t>該計畫之定位，</w:t>
      </w:r>
      <w:r w:rsidR="00EC09A8" w:rsidRPr="00714BF6">
        <w:rPr>
          <w:rFonts w:hAnsi="標楷體" w:hint="eastAsia"/>
          <w:b/>
          <w:kern w:val="0"/>
          <w:szCs w:val="32"/>
        </w:rPr>
        <w:t>在</w:t>
      </w:r>
      <w:r w:rsidR="00AA754A" w:rsidRPr="00714BF6">
        <w:rPr>
          <w:rFonts w:hAnsi="標楷體" w:hint="eastAsia"/>
          <w:b/>
          <w:kern w:val="0"/>
          <w:szCs w:val="32"/>
        </w:rPr>
        <w:t>「基礎」與「拔尖」</w:t>
      </w:r>
      <w:r w:rsidR="00EC09A8" w:rsidRPr="00714BF6">
        <w:rPr>
          <w:rFonts w:hAnsi="標楷體" w:hint="eastAsia"/>
          <w:b/>
          <w:kern w:val="0"/>
          <w:szCs w:val="32"/>
        </w:rPr>
        <w:t>間如何做出區隔</w:t>
      </w:r>
      <w:r w:rsidR="00AA754A" w:rsidRPr="00714BF6">
        <w:rPr>
          <w:rFonts w:hAnsi="標楷體" w:hint="eastAsia"/>
          <w:b/>
          <w:kern w:val="0"/>
          <w:szCs w:val="32"/>
        </w:rPr>
        <w:t>，允應</w:t>
      </w:r>
      <w:proofErr w:type="gramStart"/>
      <w:r w:rsidR="00EC09A8" w:rsidRPr="00714BF6">
        <w:rPr>
          <w:rFonts w:hAnsi="標楷體" w:hint="eastAsia"/>
          <w:b/>
          <w:kern w:val="0"/>
          <w:szCs w:val="32"/>
        </w:rPr>
        <w:t>併</w:t>
      </w:r>
      <w:proofErr w:type="gramEnd"/>
      <w:r w:rsidR="00EC09A8" w:rsidRPr="00714BF6">
        <w:rPr>
          <w:rFonts w:hAnsi="標楷體" w:hint="eastAsia"/>
          <w:b/>
          <w:kern w:val="0"/>
          <w:szCs w:val="32"/>
        </w:rPr>
        <w:t>同</w:t>
      </w:r>
      <w:r w:rsidR="00AA754A" w:rsidRPr="00714BF6">
        <w:rPr>
          <w:rFonts w:hAnsi="標楷體" w:hint="eastAsia"/>
          <w:b/>
          <w:kern w:val="0"/>
          <w:szCs w:val="32"/>
        </w:rPr>
        <w:t>檢討</w:t>
      </w:r>
      <w:r w:rsidR="00091DC4" w:rsidRPr="00714BF6">
        <w:rPr>
          <w:rFonts w:hAnsi="標楷體" w:hint="eastAsia"/>
          <w:b/>
          <w:kern w:val="0"/>
          <w:szCs w:val="32"/>
        </w:rPr>
        <w:t>。</w:t>
      </w:r>
      <w:bookmarkEnd w:id="67"/>
      <w:r w:rsidR="00091DC4" w:rsidRPr="00714BF6">
        <w:rPr>
          <w:rFonts w:hAnsi="標楷體"/>
          <w:b/>
          <w:kern w:val="0"/>
          <w:szCs w:val="32"/>
        </w:rPr>
        <w:t xml:space="preserve"> </w:t>
      </w:r>
    </w:p>
    <w:p w:rsidR="0013520F" w:rsidRPr="00714BF6" w:rsidRDefault="00F77C1B" w:rsidP="000B2F2E">
      <w:pPr>
        <w:pStyle w:val="3"/>
        <w:spacing w:line="480" w:lineRule="exact"/>
        <w:rPr>
          <w:rFonts w:hAnsi="標楷體"/>
        </w:rPr>
      </w:pPr>
      <w:proofErr w:type="gramStart"/>
      <w:r w:rsidRPr="00714BF6">
        <w:rPr>
          <w:rFonts w:hAnsi="標楷體" w:hint="eastAsia"/>
        </w:rPr>
        <w:t>詢</w:t>
      </w:r>
      <w:proofErr w:type="gramEnd"/>
      <w:r w:rsidRPr="00714BF6">
        <w:rPr>
          <w:rFonts w:hAnsi="標楷體" w:hint="eastAsia"/>
        </w:rPr>
        <w:t>據教育部，教學卓越計畫對補助經費設有</w:t>
      </w:r>
      <w:r w:rsidRPr="00714BF6">
        <w:rPr>
          <w:rFonts w:hint="eastAsia"/>
        </w:rPr>
        <w:t>經常門與資本門經費比率規範，一般大學部分，</w:t>
      </w:r>
      <w:r w:rsidRPr="00714BF6">
        <w:rPr>
          <w:rFonts w:hAnsi="標楷體" w:hint="eastAsia"/>
        </w:rPr>
        <w:t>補助學校之經常門與資本門經費比例</w:t>
      </w:r>
      <w:r w:rsidR="001864DD" w:rsidRPr="00714BF6">
        <w:rPr>
          <w:rFonts w:hAnsi="標楷體" w:hint="eastAsia"/>
        </w:rPr>
        <w:t>以</w:t>
      </w:r>
      <w:r w:rsidRPr="00714BF6">
        <w:rPr>
          <w:rFonts w:hAnsi="標楷體" w:hint="eastAsia"/>
        </w:rPr>
        <w:t>8：2為原則，惟考量新申請學校與長期獲得計畫經費補助學校對於經常門與資本門有不同之需求，現</w:t>
      </w:r>
      <w:proofErr w:type="gramStart"/>
      <w:r w:rsidR="00C800E0" w:rsidRPr="00714BF6">
        <w:rPr>
          <w:rFonts w:hAnsi="標楷體" w:hint="eastAsia"/>
        </w:rPr>
        <w:t>該部</w:t>
      </w:r>
      <w:r w:rsidRPr="00714BF6">
        <w:rPr>
          <w:rFonts w:hAnsi="標楷體" w:hint="eastAsia"/>
        </w:rPr>
        <w:t>已同意</w:t>
      </w:r>
      <w:proofErr w:type="gramEnd"/>
      <w:r w:rsidRPr="00714BF6">
        <w:rPr>
          <w:rFonts w:hAnsi="標楷體" w:hint="eastAsia"/>
        </w:rPr>
        <w:t>學校得依需求，調整</w:t>
      </w:r>
      <w:r w:rsidR="00C800E0" w:rsidRPr="00714BF6">
        <w:rPr>
          <w:rFonts w:hAnsi="標楷體" w:hint="eastAsia"/>
        </w:rPr>
        <w:t>兩者</w:t>
      </w:r>
      <w:r w:rsidRPr="00714BF6">
        <w:rPr>
          <w:rFonts w:hAnsi="標楷體" w:hint="eastAsia"/>
        </w:rPr>
        <w:t>比例；科技校院部分，考量技職教育以務實致用為核心理念，為強化學生實作能力</w:t>
      </w:r>
      <w:r w:rsidR="00C800E0" w:rsidRPr="00714BF6">
        <w:rPr>
          <w:rFonts w:hAnsi="標楷體" w:hint="eastAsia"/>
        </w:rPr>
        <w:t>，</w:t>
      </w:r>
      <w:r w:rsidRPr="00714BF6">
        <w:rPr>
          <w:rFonts w:hAnsi="標楷體" w:hint="eastAsia"/>
        </w:rPr>
        <w:t>且科技校院教學、實作與實習相關硬體設備、設</w:t>
      </w:r>
      <w:r w:rsidRPr="00714BF6">
        <w:rPr>
          <w:rFonts w:hint="eastAsia"/>
        </w:rPr>
        <w:t>施亟待更新與購置，</w:t>
      </w:r>
      <w:proofErr w:type="gramStart"/>
      <w:r w:rsidRPr="00714BF6">
        <w:rPr>
          <w:rFonts w:hint="eastAsia"/>
        </w:rPr>
        <w:t>爰</w:t>
      </w:r>
      <w:proofErr w:type="gramEnd"/>
      <w:r w:rsidRPr="00714BF6">
        <w:rPr>
          <w:rFonts w:hint="eastAsia"/>
        </w:rPr>
        <w:t>設定</w:t>
      </w:r>
      <w:r w:rsidR="001864DD" w:rsidRPr="00714BF6">
        <w:rPr>
          <w:rFonts w:hint="eastAsia"/>
        </w:rPr>
        <w:t>較高</w:t>
      </w:r>
      <w:r w:rsidRPr="00714BF6">
        <w:rPr>
          <w:rFonts w:hint="eastAsia"/>
        </w:rPr>
        <w:t>資本門比率，95年經常門與資本門經費比率約為5.5：4.5，96-99年則調整至7：3，100年</w:t>
      </w:r>
      <w:r w:rsidRPr="00714BF6">
        <w:rPr>
          <w:rFonts w:hAnsi="標楷體" w:hint="eastAsia"/>
        </w:rPr>
        <w:t>起考量獲補助學校多已逐步完成教學相關硬體設備、設施之更新與購置，故經常門與資本門經費比率調整為7.5：2.5。</w:t>
      </w:r>
      <w:r w:rsidR="001864DD" w:rsidRPr="00714BF6">
        <w:rPr>
          <w:rFonts w:hAnsi="標楷體" w:hint="eastAsia"/>
        </w:rPr>
        <w:t>可見</w:t>
      </w:r>
      <w:r w:rsidRPr="00714BF6">
        <w:rPr>
          <w:rFonts w:hAnsi="標楷體" w:hint="eastAsia"/>
        </w:rPr>
        <w:t>，</w:t>
      </w:r>
      <w:r w:rsidR="001864DD" w:rsidRPr="00714BF6">
        <w:rPr>
          <w:rFonts w:hAnsi="標楷體" w:hint="eastAsia"/>
        </w:rPr>
        <w:t>獲得</w:t>
      </w:r>
      <w:r w:rsidRPr="00714BF6">
        <w:rPr>
          <w:rFonts w:hAnsi="標楷體" w:hint="eastAsia"/>
        </w:rPr>
        <w:t>多年教學卓越計畫補助之學校，應隨計畫進程而有執行重點之別。</w:t>
      </w:r>
    </w:p>
    <w:p w:rsidR="0013520F" w:rsidRPr="00714BF6" w:rsidRDefault="00F77C1B" w:rsidP="000B2F2E">
      <w:pPr>
        <w:pStyle w:val="3"/>
        <w:spacing w:line="480" w:lineRule="exact"/>
        <w:rPr>
          <w:rFonts w:hAnsi="標楷體"/>
        </w:rPr>
      </w:pPr>
      <w:proofErr w:type="gramStart"/>
      <w:r w:rsidRPr="00714BF6">
        <w:rPr>
          <w:rFonts w:hAnsi="標楷體" w:hint="eastAsia"/>
          <w:bCs w:val="0"/>
        </w:rPr>
        <w:t>此外，</w:t>
      </w:r>
      <w:proofErr w:type="gramEnd"/>
      <w:r w:rsidR="00543B30" w:rsidRPr="00714BF6">
        <w:rPr>
          <w:rFonts w:hAnsi="標楷體" w:hint="eastAsia"/>
          <w:bCs w:val="0"/>
        </w:rPr>
        <w:t>獲</w:t>
      </w:r>
      <w:r w:rsidR="004E3DE6" w:rsidRPr="00714BF6">
        <w:rPr>
          <w:rFonts w:hAnsi="標楷體" w:hint="eastAsia"/>
          <w:bCs w:val="0"/>
        </w:rPr>
        <w:t>得</w:t>
      </w:r>
      <w:r w:rsidR="00543B30" w:rsidRPr="00714BF6">
        <w:rPr>
          <w:rFonts w:hAnsi="標楷體" w:hint="eastAsia"/>
          <w:bCs w:val="0"/>
        </w:rPr>
        <w:t>核</w:t>
      </w:r>
      <w:r w:rsidR="004E3DE6" w:rsidRPr="00714BF6">
        <w:rPr>
          <w:rFonts w:hAnsi="標楷體" w:hint="eastAsia"/>
          <w:bCs w:val="0"/>
        </w:rPr>
        <w:t>定</w:t>
      </w:r>
      <w:r w:rsidR="00543B30" w:rsidRPr="00714BF6">
        <w:rPr>
          <w:rFonts w:hAnsi="標楷體" w:hint="eastAsia"/>
          <w:bCs w:val="0"/>
        </w:rPr>
        <w:t>教學卓越計畫經費之學校</w:t>
      </w:r>
      <w:r w:rsidR="004E3DE6" w:rsidRPr="00714BF6">
        <w:rPr>
          <w:rFonts w:hAnsi="標楷體" w:hint="eastAsia"/>
          <w:bCs w:val="0"/>
        </w:rPr>
        <w:t>，</w:t>
      </w:r>
      <w:r w:rsidR="00543B30" w:rsidRPr="00714BF6">
        <w:rPr>
          <w:rFonts w:hAnsi="標楷體" w:hint="eastAsia"/>
          <w:bCs w:val="0"/>
        </w:rPr>
        <w:t>應提出相對應之自籌款支應，並不得低於該部核定補助額度之10%</w:t>
      </w:r>
      <w:r w:rsidRPr="00714BF6">
        <w:rPr>
          <w:rFonts w:hAnsi="標楷體" w:hint="eastAsia"/>
        </w:rPr>
        <w:t>；</w:t>
      </w:r>
      <w:proofErr w:type="gramStart"/>
      <w:r w:rsidR="006C7537" w:rsidRPr="00714BF6">
        <w:rPr>
          <w:rFonts w:hAnsi="標楷體" w:hint="eastAsia"/>
          <w:bCs w:val="0"/>
        </w:rPr>
        <w:t>查據教育部</w:t>
      </w:r>
      <w:proofErr w:type="gramEnd"/>
      <w:r w:rsidR="006C7537" w:rsidRPr="00714BF6">
        <w:rPr>
          <w:rFonts w:hAnsi="標楷體" w:hint="eastAsia"/>
          <w:bCs w:val="0"/>
        </w:rPr>
        <w:t>，一般大學部分，</w:t>
      </w:r>
      <w:r w:rsidR="006C7537" w:rsidRPr="00714BF6">
        <w:rPr>
          <w:rFonts w:hint="eastAsia"/>
        </w:rPr>
        <w:t>學校自籌款歷年累計28億3,438萬餘元；科技校院部分，學校自籌款歷年累計</w:t>
      </w:r>
      <w:r w:rsidR="006C7537" w:rsidRPr="00714BF6">
        <w:t>28</w:t>
      </w:r>
      <w:r w:rsidR="006C7537" w:rsidRPr="00714BF6">
        <w:rPr>
          <w:rFonts w:hint="eastAsia"/>
        </w:rPr>
        <w:t>億3,347萬餘元</w:t>
      </w:r>
      <w:r w:rsidR="0013520F" w:rsidRPr="00714BF6">
        <w:rPr>
          <w:rFonts w:hAnsi="標楷體" w:hint="eastAsia"/>
        </w:rPr>
        <w:t>。且</w:t>
      </w:r>
      <w:r w:rsidRPr="00714BF6">
        <w:rPr>
          <w:rFonts w:hAnsi="標楷體" w:hint="eastAsia"/>
          <w:bCs w:val="0"/>
        </w:rPr>
        <w:t>按教學卓越計畫申</w:t>
      </w:r>
      <w:r w:rsidR="0051166C" w:rsidRPr="00714BF6">
        <w:rPr>
          <w:rFonts w:hAnsi="標楷體" w:hint="eastAsia"/>
          <w:bCs w:val="0"/>
        </w:rPr>
        <w:t>請作業相關規範，該部將學校教學建制之永續發展機制納入審核原則，各</w:t>
      </w:r>
      <w:r w:rsidRPr="00714BF6">
        <w:rPr>
          <w:rFonts w:hAnsi="標楷體" w:hint="eastAsia"/>
          <w:bCs w:val="0"/>
        </w:rPr>
        <w:t>校需於</w:t>
      </w:r>
      <w:r w:rsidRPr="00714BF6">
        <w:rPr>
          <w:rFonts w:hAnsi="標楷體" w:hint="eastAsia"/>
        </w:rPr>
        <w:t>申請計畫書中說明「學校『各項教學品質改善計畫』及『所需人力及經費』在該部經費補助結束後，如何持續推動」等</w:t>
      </w:r>
      <w:r w:rsidR="00C800E0" w:rsidRPr="00714BF6">
        <w:rPr>
          <w:rFonts w:hAnsi="標楷體" w:hint="eastAsia"/>
        </w:rPr>
        <w:t>(</w:t>
      </w:r>
      <w:r w:rsidR="00C800E0" w:rsidRPr="00714BF6">
        <w:rPr>
          <w:rFonts w:hint="eastAsia"/>
        </w:rPr>
        <w:t>「</w:t>
      </w:r>
      <w:r w:rsidR="00C800E0" w:rsidRPr="00714BF6">
        <w:rPr>
          <w:rFonts w:hAnsi="標楷體"/>
          <w:bCs w:val="0"/>
        </w:rPr>
        <w:t>教育部補助獎勵大學教學卓越計畫及區域教學資源中心計畫實施要點</w:t>
      </w:r>
      <w:r w:rsidR="00C800E0" w:rsidRPr="00714BF6">
        <w:rPr>
          <w:rFonts w:hAnsi="標楷體" w:hint="eastAsia"/>
          <w:bCs w:val="0"/>
        </w:rPr>
        <w:t>」以及「</w:t>
      </w:r>
      <w:r w:rsidR="00C800E0" w:rsidRPr="00714BF6">
        <w:rPr>
          <w:rFonts w:hAnsi="標楷體"/>
          <w:bCs w:val="0"/>
        </w:rPr>
        <w:t>教育部獎勵科技大學及技術學院教學卓越計畫要點</w:t>
      </w:r>
      <w:r w:rsidR="00C800E0" w:rsidRPr="00714BF6">
        <w:rPr>
          <w:rFonts w:hAnsi="標楷體" w:hint="eastAsia"/>
          <w:bCs w:val="0"/>
        </w:rPr>
        <w:t>」參照</w:t>
      </w:r>
      <w:r w:rsidR="00C800E0" w:rsidRPr="00714BF6">
        <w:rPr>
          <w:rFonts w:hAnsi="標楷體" w:hint="eastAsia"/>
        </w:rPr>
        <w:t>)</w:t>
      </w:r>
      <w:r w:rsidRPr="00714BF6">
        <w:rPr>
          <w:rFonts w:hAnsi="標楷體" w:hint="eastAsia"/>
        </w:rPr>
        <w:t>，更顯示</w:t>
      </w:r>
      <w:r w:rsidR="00BA1464" w:rsidRPr="00714BF6">
        <w:rPr>
          <w:rFonts w:hAnsi="標楷體" w:hint="eastAsia"/>
        </w:rPr>
        <w:t>教育</w:t>
      </w:r>
      <w:r w:rsidRPr="00714BF6">
        <w:rPr>
          <w:rFonts w:hAnsi="標楷體" w:hint="eastAsia"/>
        </w:rPr>
        <w:t>部欲藉事前</w:t>
      </w:r>
      <w:r w:rsidR="00BA1464" w:rsidRPr="00714BF6">
        <w:rPr>
          <w:rFonts w:hAnsi="標楷體" w:hint="eastAsia"/>
        </w:rPr>
        <w:t>要求學校</w:t>
      </w:r>
      <w:r w:rsidR="00C800E0" w:rsidRPr="00714BF6">
        <w:rPr>
          <w:rFonts w:hAnsi="標楷體" w:hint="eastAsia"/>
        </w:rPr>
        <w:t>自籌經費並</w:t>
      </w:r>
      <w:proofErr w:type="gramStart"/>
      <w:r w:rsidR="00C800E0" w:rsidRPr="00714BF6">
        <w:rPr>
          <w:rFonts w:hAnsi="標楷體" w:hint="eastAsia"/>
        </w:rPr>
        <w:t>研謀</w:t>
      </w:r>
      <w:r w:rsidRPr="00714BF6">
        <w:rPr>
          <w:rFonts w:hAnsi="標楷體" w:hint="eastAsia"/>
        </w:rPr>
        <w:t>永</w:t>
      </w:r>
      <w:proofErr w:type="gramEnd"/>
      <w:r w:rsidRPr="00714BF6">
        <w:rPr>
          <w:rFonts w:hAnsi="標楷體" w:hint="eastAsia"/>
        </w:rPr>
        <w:t>續機制之作法，引導</w:t>
      </w:r>
      <w:proofErr w:type="gramStart"/>
      <w:r w:rsidR="0051166C" w:rsidRPr="00714BF6">
        <w:rPr>
          <w:rFonts w:hAnsi="標楷體" w:hint="eastAsia"/>
        </w:rPr>
        <w:t>各</w:t>
      </w:r>
      <w:r w:rsidRPr="00714BF6">
        <w:rPr>
          <w:rFonts w:hAnsi="標楷體" w:hint="eastAsia"/>
        </w:rPr>
        <w:t>校</w:t>
      </w:r>
      <w:r w:rsidR="00C800E0" w:rsidRPr="00714BF6">
        <w:rPr>
          <w:rFonts w:hAnsi="標楷體" w:hint="eastAsia"/>
        </w:rPr>
        <w:t>得於</w:t>
      </w:r>
      <w:proofErr w:type="gramEnd"/>
      <w:r w:rsidR="00C800E0" w:rsidRPr="00714BF6">
        <w:rPr>
          <w:rFonts w:hAnsi="標楷體" w:hint="eastAsia"/>
        </w:rPr>
        <w:t>計畫</w:t>
      </w:r>
      <w:r w:rsidRPr="00714BF6">
        <w:rPr>
          <w:rFonts w:hAnsi="標楷體" w:hint="eastAsia"/>
        </w:rPr>
        <w:t>結束後持續</w:t>
      </w:r>
      <w:r w:rsidR="00C800E0" w:rsidRPr="00714BF6">
        <w:rPr>
          <w:rFonts w:hAnsi="標楷體" w:hint="eastAsia"/>
        </w:rPr>
        <w:t>自行推動相關</w:t>
      </w:r>
      <w:r w:rsidRPr="00714BF6">
        <w:rPr>
          <w:rFonts w:hAnsi="標楷體" w:hint="eastAsia"/>
        </w:rPr>
        <w:t>措施；</w:t>
      </w:r>
      <w:r w:rsidR="00BA1464" w:rsidRPr="00714BF6">
        <w:rPr>
          <w:rFonts w:hAnsi="標楷體" w:hint="eastAsia"/>
        </w:rPr>
        <w:t>換言之，</w:t>
      </w:r>
      <w:r w:rsidRPr="00714BF6">
        <w:rPr>
          <w:rFonts w:hAnsi="標楷體" w:hint="eastAsia"/>
        </w:rPr>
        <w:t>教學卓越計畫</w:t>
      </w:r>
      <w:r w:rsidR="00BA1464" w:rsidRPr="00714BF6">
        <w:rPr>
          <w:rFonts w:hAnsi="標楷體" w:hint="eastAsia"/>
        </w:rPr>
        <w:t>之理想，係</w:t>
      </w:r>
      <w:r w:rsidRPr="00714BF6">
        <w:rPr>
          <w:rFonts w:hAnsi="標楷體" w:hint="eastAsia"/>
        </w:rPr>
        <w:t>以改善教學硬體環境為基礎，逐步引導學校於行政支援、教師教學、學生學習輔導面向分別發展長期因應對策。</w:t>
      </w:r>
    </w:p>
    <w:p w:rsidR="00BD2AAC" w:rsidRPr="00714BF6" w:rsidRDefault="0013520F" w:rsidP="009B5DC2">
      <w:pPr>
        <w:pStyle w:val="3"/>
        <w:spacing w:line="480" w:lineRule="exact"/>
        <w:rPr>
          <w:rFonts w:hAnsi="標楷體"/>
        </w:rPr>
      </w:pPr>
      <w:r w:rsidRPr="00714BF6">
        <w:rPr>
          <w:rFonts w:hAnsi="標楷體" w:hint="eastAsia"/>
        </w:rPr>
        <w:lastRenderedPageBreak/>
        <w:t>惟據本案調查實地訪談學校實務工作人員之意見，</w:t>
      </w:r>
      <w:r w:rsidR="001864DD" w:rsidRPr="00714BF6">
        <w:rPr>
          <w:rFonts w:hAnsi="標楷體" w:hint="eastAsia"/>
        </w:rPr>
        <w:t>均</w:t>
      </w:r>
      <w:r w:rsidR="005A6C09" w:rsidRPr="00714BF6">
        <w:rPr>
          <w:rFonts w:hAnsi="標楷體" w:hint="eastAsia"/>
        </w:rPr>
        <w:t>表</w:t>
      </w:r>
      <w:r w:rsidR="005A6C09" w:rsidRPr="00714BF6">
        <w:rPr>
          <w:rFonts w:hAnsi="標楷體" w:hint="eastAsia"/>
          <w:szCs w:val="32"/>
        </w:rPr>
        <w:t>示</w:t>
      </w:r>
      <w:r w:rsidR="0051166C" w:rsidRPr="00714BF6">
        <w:rPr>
          <w:rFonts w:hAnsi="標楷體" w:hint="eastAsia"/>
          <w:szCs w:val="32"/>
        </w:rPr>
        <w:t>：</w:t>
      </w:r>
      <w:r w:rsidR="005A6C09" w:rsidRPr="00714BF6">
        <w:rPr>
          <w:rFonts w:hAnsi="標楷體" w:hint="eastAsia"/>
          <w:szCs w:val="32"/>
        </w:rPr>
        <w:t>「</w:t>
      </w:r>
      <w:r w:rsidR="001864DD" w:rsidRPr="00714BF6">
        <w:rPr>
          <w:rFonts w:hAnsi="標楷體" w:hint="eastAsia"/>
          <w:szCs w:val="32"/>
        </w:rPr>
        <w:t>教學卓越計畫促成很多過去難以想像的制度變革，未來應該思考制度如何延伸跟進步問題</w:t>
      </w:r>
      <w:r w:rsidR="007B500C" w:rsidRPr="00714BF6">
        <w:rPr>
          <w:rFonts w:hAnsi="標楷體" w:hint="eastAsia"/>
          <w:szCs w:val="32"/>
        </w:rPr>
        <w:t>。</w:t>
      </w:r>
      <w:r w:rsidR="005A6C09" w:rsidRPr="00714BF6">
        <w:rPr>
          <w:rFonts w:hAnsi="標楷體" w:hint="eastAsia"/>
          <w:szCs w:val="32"/>
        </w:rPr>
        <w:t>」</w:t>
      </w:r>
      <w:r w:rsidR="005A6C09" w:rsidRPr="00714BF6">
        <w:rPr>
          <w:rFonts w:hAnsi="標楷體" w:hint="eastAsia"/>
        </w:rPr>
        <w:t>、「大家都擔心</w:t>
      </w:r>
      <w:proofErr w:type="gramStart"/>
      <w:r w:rsidR="005A6C09" w:rsidRPr="00714BF6">
        <w:rPr>
          <w:rFonts w:hAnsi="標楷體" w:hint="eastAsia"/>
        </w:rPr>
        <w:t>後教卓</w:t>
      </w:r>
      <w:proofErr w:type="gramEnd"/>
      <w:r w:rsidR="005A6C09" w:rsidRPr="00714BF6">
        <w:rPr>
          <w:rFonts w:hAnsi="標楷體" w:hint="eastAsia"/>
        </w:rPr>
        <w:t>的問題，近半年很多風吹草動，在座很多學校有共同擔憂，中區很多私立學校，相較國立大學，衝擊會更大。今天談的</w:t>
      </w:r>
      <w:r w:rsidR="003F390B" w:rsidRPr="00714BF6">
        <w:rPr>
          <w:rFonts w:hAnsi="標楷體" w:hint="eastAsia"/>
        </w:rPr>
        <w:t>，</w:t>
      </w:r>
      <w:r w:rsidR="005A6C09" w:rsidRPr="00714BF6">
        <w:rPr>
          <w:rFonts w:hAnsi="標楷體" w:hint="eastAsia"/>
        </w:rPr>
        <w:t>過去已做完，更重要的是想知道未來的遊戲規則</w:t>
      </w:r>
      <w:r w:rsidR="003F390B" w:rsidRPr="00714BF6">
        <w:rPr>
          <w:rFonts w:hAnsi="標楷體" w:hint="eastAsia"/>
        </w:rPr>
        <w:t>。</w:t>
      </w:r>
      <w:r w:rsidR="005A6C09" w:rsidRPr="00714BF6">
        <w:rPr>
          <w:rFonts w:hAnsi="標楷體" w:hint="eastAsia"/>
        </w:rPr>
        <w:t>」等語，強烈反映對於未來政策不</w:t>
      </w:r>
      <w:r w:rsidR="001864DD" w:rsidRPr="00714BF6">
        <w:rPr>
          <w:rFonts w:hAnsi="標楷體" w:hint="eastAsia"/>
        </w:rPr>
        <w:t>確</w:t>
      </w:r>
      <w:r w:rsidR="005A6C09" w:rsidRPr="00714BF6">
        <w:rPr>
          <w:rFonts w:hAnsi="標楷體" w:hint="eastAsia"/>
        </w:rPr>
        <w:t>定之忐忑情緒</w:t>
      </w:r>
      <w:r w:rsidR="002268E1" w:rsidRPr="00714BF6">
        <w:rPr>
          <w:rFonts w:hAnsi="標楷體" w:hint="eastAsia"/>
        </w:rPr>
        <w:t>。</w:t>
      </w:r>
      <w:r w:rsidR="00BD2AAC" w:rsidRPr="00714BF6">
        <w:rPr>
          <w:rFonts w:hAnsi="標楷體" w:hint="eastAsia"/>
        </w:rPr>
        <w:t>顯示，</w:t>
      </w:r>
      <w:r w:rsidR="005A6C09" w:rsidRPr="00714BF6">
        <w:rPr>
          <w:rFonts w:hAnsi="標楷體" w:hint="eastAsia"/>
        </w:rPr>
        <w:t>教育部雖已藉事前審核學校永續機制之作法，引導學校於計畫經費補助結束後持續推動相關教學措施，然學校爭取補助經費時以書面提出之永續機制，</w:t>
      </w:r>
      <w:r w:rsidR="00CE4AB1" w:rsidRPr="00714BF6">
        <w:rPr>
          <w:rFonts w:hAnsi="標楷體" w:hint="eastAsia"/>
        </w:rPr>
        <w:t>實際上</w:t>
      </w:r>
      <w:r w:rsidR="005A6C09" w:rsidRPr="00714BF6">
        <w:rPr>
          <w:rFonts w:hAnsi="標楷體" w:hint="eastAsia"/>
        </w:rPr>
        <w:t>恐難真正</w:t>
      </w:r>
      <w:r w:rsidR="001864DD" w:rsidRPr="00714BF6">
        <w:rPr>
          <w:rFonts w:hAnsi="標楷體" w:hint="eastAsia"/>
        </w:rPr>
        <w:t>落實</w:t>
      </w:r>
      <w:r w:rsidR="00BD2AAC" w:rsidRPr="00714BF6">
        <w:rPr>
          <w:rFonts w:hAnsi="標楷體" w:hint="eastAsia"/>
        </w:rPr>
        <w:t>。</w:t>
      </w:r>
    </w:p>
    <w:p w:rsidR="002268E1" w:rsidRPr="00714BF6" w:rsidRDefault="00BD2AAC" w:rsidP="000B2F2E">
      <w:pPr>
        <w:pStyle w:val="3"/>
        <w:spacing w:line="480" w:lineRule="exact"/>
        <w:rPr>
          <w:rFonts w:hAnsi="標楷體"/>
        </w:rPr>
      </w:pPr>
      <w:r w:rsidRPr="00714BF6">
        <w:rPr>
          <w:rFonts w:hAnsi="標楷體" w:hint="eastAsia"/>
        </w:rPr>
        <w:t>教學卓越計畫</w:t>
      </w:r>
      <w:proofErr w:type="gramStart"/>
      <w:r w:rsidRPr="00714BF6">
        <w:rPr>
          <w:rFonts w:hAnsi="標楷體" w:hint="eastAsia"/>
        </w:rPr>
        <w:t>中</w:t>
      </w:r>
      <w:r w:rsidR="002268E1" w:rsidRPr="00714BF6">
        <w:rPr>
          <w:rFonts w:hAnsi="標楷體" w:hint="eastAsia"/>
        </w:rPr>
        <w:t>涉屬人</w:t>
      </w:r>
      <w:r w:rsidRPr="00714BF6">
        <w:rPr>
          <w:rFonts w:hAnsi="標楷體" w:hint="eastAsia"/>
        </w:rPr>
        <w:t>事</w:t>
      </w:r>
      <w:proofErr w:type="gramEnd"/>
      <w:r w:rsidRPr="00714BF6">
        <w:rPr>
          <w:rFonts w:hAnsi="標楷體" w:hint="eastAsia"/>
        </w:rPr>
        <w:t>之相關制度</w:t>
      </w:r>
      <w:r w:rsidR="002268E1" w:rsidRPr="00714BF6">
        <w:rPr>
          <w:rFonts w:hAnsi="標楷體" w:hint="eastAsia"/>
        </w:rPr>
        <w:t>，</w:t>
      </w:r>
      <w:r w:rsidRPr="00714BF6">
        <w:rPr>
          <w:rFonts w:hAnsi="標楷體" w:hint="eastAsia"/>
        </w:rPr>
        <w:t>由學校自行持續推動之困難程度，尤為顯著，</w:t>
      </w:r>
      <w:r w:rsidR="002268E1" w:rsidRPr="00714BF6">
        <w:rPr>
          <w:rFonts w:hAnsi="標楷體" w:hint="eastAsia"/>
        </w:rPr>
        <w:t>除因</w:t>
      </w:r>
      <w:r w:rsidR="00AC1DF5" w:rsidRPr="00714BF6">
        <w:rPr>
          <w:rFonts w:hAnsi="標楷體" w:hint="eastAsia"/>
        </w:rPr>
        <w:t>支出經費</w:t>
      </w:r>
      <w:r w:rsidR="0051166C" w:rsidRPr="00714BF6">
        <w:rPr>
          <w:rFonts w:hAnsi="標楷體" w:hint="eastAsia"/>
        </w:rPr>
        <w:t>較高，部分學校難以負荷外，相關人力歷年累積之經驗，實屬</w:t>
      </w:r>
      <w:r w:rsidR="002268E1" w:rsidRPr="00714BF6">
        <w:rPr>
          <w:rFonts w:hAnsi="標楷體" w:hint="eastAsia"/>
        </w:rPr>
        <w:t>高等教育</w:t>
      </w:r>
      <w:r w:rsidR="0051166C" w:rsidRPr="00714BF6">
        <w:rPr>
          <w:rFonts w:hAnsi="標楷體" w:hint="eastAsia"/>
        </w:rPr>
        <w:t>之</w:t>
      </w:r>
      <w:r w:rsidR="002268E1" w:rsidRPr="00714BF6">
        <w:rPr>
          <w:rFonts w:hAnsi="標楷體" w:hint="eastAsia"/>
        </w:rPr>
        <w:t>「軟實力」，倘無法延續，衝擊教學品質之力道恐更</w:t>
      </w:r>
      <w:r w:rsidR="001864DD" w:rsidRPr="00714BF6">
        <w:rPr>
          <w:rFonts w:hAnsi="標楷體" w:hint="eastAsia"/>
        </w:rPr>
        <w:t>形</w:t>
      </w:r>
      <w:r w:rsidR="002268E1" w:rsidRPr="00714BF6">
        <w:rPr>
          <w:rFonts w:hAnsi="標楷體" w:hint="eastAsia"/>
        </w:rPr>
        <w:t>劇烈</w:t>
      </w:r>
      <w:r w:rsidR="005A6C09" w:rsidRPr="00714BF6">
        <w:rPr>
          <w:rFonts w:hAnsi="標楷體" w:hint="eastAsia"/>
        </w:rPr>
        <w:t>。</w:t>
      </w:r>
      <w:r w:rsidR="000A496E" w:rsidRPr="00714BF6">
        <w:rPr>
          <w:rFonts w:hAnsi="標楷體" w:hint="eastAsia"/>
        </w:rPr>
        <w:t>茲擇</w:t>
      </w:r>
      <w:r w:rsidR="002268E1" w:rsidRPr="00714BF6">
        <w:rPr>
          <w:rFonts w:hAnsi="標楷體" w:hint="eastAsia"/>
        </w:rPr>
        <w:t>要</w:t>
      </w:r>
      <w:r w:rsidR="000A496E" w:rsidRPr="00714BF6">
        <w:rPr>
          <w:rFonts w:hAnsi="標楷體" w:hint="eastAsia"/>
        </w:rPr>
        <w:t>簡述如下</w:t>
      </w:r>
      <w:r w:rsidR="002268E1" w:rsidRPr="00714BF6">
        <w:rPr>
          <w:rFonts w:hAnsi="標楷體" w:hint="eastAsia"/>
        </w:rPr>
        <w:t>：</w:t>
      </w:r>
    </w:p>
    <w:p w:rsidR="00BD2AAC" w:rsidRDefault="0051166C" w:rsidP="000B2F2E">
      <w:pPr>
        <w:pStyle w:val="4"/>
        <w:spacing w:line="480" w:lineRule="exact"/>
        <w:rPr>
          <w:rFonts w:hAnsi="標楷體" w:hint="eastAsia"/>
          <w:szCs w:val="32"/>
        </w:rPr>
      </w:pPr>
      <w:r w:rsidRPr="00714BF6">
        <w:rPr>
          <w:rFonts w:hAnsi="標楷體" w:hint="eastAsia"/>
          <w:szCs w:val="32"/>
        </w:rPr>
        <w:t>「</w:t>
      </w:r>
      <w:r w:rsidR="00BD2AAC" w:rsidRPr="00714BF6">
        <w:rPr>
          <w:rFonts w:hAnsi="標楷體" w:hint="eastAsia"/>
          <w:szCs w:val="32"/>
        </w:rPr>
        <w:t>彈性薪資</w:t>
      </w:r>
      <w:r w:rsidRPr="00714BF6">
        <w:rPr>
          <w:rFonts w:hAnsi="標楷體" w:hint="eastAsia"/>
          <w:szCs w:val="32"/>
        </w:rPr>
        <w:t>」</w:t>
      </w:r>
      <w:r w:rsidR="00BD2AAC" w:rsidRPr="00714BF6">
        <w:rPr>
          <w:rFonts w:hAnsi="標楷體" w:hint="eastAsia"/>
          <w:szCs w:val="32"/>
        </w:rPr>
        <w:t>部分，獲教學卓越計畫經費補助之學校，得於該計畫</w:t>
      </w:r>
      <w:proofErr w:type="gramStart"/>
      <w:r w:rsidR="00BD2AAC" w:rsidRPr="00714BF6">
        <w:rPr>
          <w:rFonts w:hAnsi="標楷體" w:hint="eastAsia"/>
          <w:szCs w:val="32"/>
        </w:rPr>
        <w:t>經費控留</w:t>
      </w:r>
      <w:proofErr w:type="gramEnd"/>
      <w:r w:rsidR="00BD2AAC" w:rsidRPr="00714BF6">
        <w:rPr>
          <w:rFonts w:hAnsi="標楷體"/>
          <w:szCs w:val="32"/>
        </w:rPr>
        <w:t>10%之經費，用於發給國內</w:t>
      </w:r>
      <w:proofErr w:type="gramStart"/>
      <w:r w:rsidR="00BD2AAC" w:rsidRPr="00714BF6">
        <w:rPr>
          <w:rFonts w:hAnsi="標楷體" w:hint="eastAsia"/>
          <w:szCs w:val="32"/>
        </w:rPr>
        <w:t>新聘及現職</w:t>
      </w:r>
      <w:proofErr w:type="gramEnd"/>
      <w:r w:rsidR="00BD2AAC" w:rsidRPr="00714BF6">
        <w:rPr>
          <w:rFonts w:hAnsi="標楷體" w:hint="eastAsia"/>
          <w:szCs w:val="32"/>
        </w:rPr>
        <w:t>之特殊優秀教研人員及編制外經營管理人才彈性薪資，且未獲上開計畫補助之學校亦可另外提出申請補助上開彈性薪資人才</w:t>
      </w:r>
      <w:r w:rsidR="00E521E0" w:rsidRPr="00714BF6">
        <w:rPr>
          <w:rFonts w:hAnsi="標楷體" w:hint="eastAsia"/>
          <w:szCs w:val="32"/>
        </w:rPr>
        <w:t>；據教育部提供之資料顯示，近年在教學卓越計畫經費之支持下，高等教育用人制度之彈性確已有成長。另據</w:t>
      </w:r>
      <w:r w:rsidR="00BD2AAC" w:rsidRPr="00714BF6">
        <w:rPr>
          <w:rFonts w:hAnsi="標楷體" w:hint="eastAsia"/>
          <w:szCs w:val="32"/>
        </w:rPr>
        <w:t>本</w:t>
      </w:r>
      <w:r w:rsidR="001864DD" w:rsidRPr="00714BF6">
        <w:rPr>
          <w:rFonts w:hAnsi="標楷體" w:hint="eastAsia"/>
          <w:szCs w:val="32"/>
        </w:rPr>
        <w:t>調查</w:t>
      </w:r>
      <w:r w:rsidR="00BD2AAC" w:rsidRPr="00714BF6">
        <w:rPr>
          <w:rFonts w:hAnsi="標楷體" w:hint="eastAsia"/>
          <w:szCs w:val="32"/>
        </w:rPr>
        <w:t>案座談會收集之意見：「私校中很多教師，考量國立學校有</w:t>
      </w:r>
      <w:r w:rsidR="001864DD" w:rsidRPr="00714BF6">
        <w:rPr>
          <w:rFonts w:hAnsi="標楷體" w:hint="eastAsia"/>
          <w:szCs w:val="32"/>
        </w:rPr>
        <w:t>退休</w:t>
      </w:r>
      <w:r w:rsidR="00BD2AAC" w:rsidRPr="00714BF6">
        <w:rPr>
          <w:rFonts w:hAnsi="標楷體" w:hint="eastAsia"/>
          <w:szCs w:val="32"/>
        </w:rPr>
        <w:t>保障，而想要離開，這些教師往往是</w:t>
      </w:r>
      <w:proofErr w:type="gramStart"/>
      <w:r w:rsidR="00BD2AAC" w:rsidRPr="00714BF6">
        <w:rPr>
          <w:rFonts w:hAnsi="標楷體" w:hint="eastAsia"/>
          <w:szCs w:val="32"/>
        </w:rPr>
        <w:t>產學很強</w:t>
      </w:r>
      <w:proofErr w:type="gramEnd"/>
      <w:r w:rsidR="00BD2AAC" w:rsidRPr="00714BF6">
        <w:rPr>
          <w:rFonts w:hAnsi="標楷體" w:hint="eastAsia"/>
          <w:szCs w:val="32"/>
        </w:rPr>
        <w:t>的教師，在此背景下，教學卓越經費建立</w:t>
      </w:r>
      <w:r w:rsidRPr="00714BF6">
        <w:rPr>
          <w:rFonts w:hAnsi="標楷體" w:hint="eastAsia"/>
          <w:szCs w:val="32"/>
        </w:rPr>
        <w:t>『</w:t>
      </w:r>
      <w:proofErr w:type="gramStart"/>
      <w:r w:rsidR="00BD2AAC" w:rsidRPr="00714BF6">
        <w:rPr>
          <w:rFonts w:hAnsi="標楷體" w:hint="eastAsia"/>
          <w:szCs w:val="32"/>
        </w:rPr>
        <w:t>彈薪制度</w:t>
      </w:r>
      <w:proofErr w:type="gramEnd"/>
      <w:r w:rsidRPr="00714BF6">
        <w:rPr>
          <w:rFonts w:hAnsi="標楷體" w:hint="eastAsia"/>
          <w:szCs w:val="32"/>
        </w:rPr>
        <w:t>』</w:t>
      </w:r>
      <w:r w:rsidR="00BD2AAC" w:rsidRPr="00714BF6">
        <w:rPr>
          <w:rFonts w:hAnsi="標楷體" w:hint="eastAsia"/>
          <w:szCs w:val="32"/>
        </w:rPr>
        <w:t>，</w:t>
      </w:r>
      <w:proofErr w:type="gramStart"/>
      <w:r w:rsidR="00BD2AAC" w:rsidRPr="00714BF6">
        <w:rPr>
          <w:rFonts w:hAnsi="標楷體" w:hint="eastAsia"/>
          <w:szCs w:val="32"/>
        </w:rPr>
        <w:t>確實幫私校</w:t>
      </w:r>
      <w:proofErr w:type="gramEnd"/>
      <w:r w:rsidR="00BD2AAC" w:rsidRPr="00714BF6">
        <w:rPr>
          <w:rFonts w:hAnsi="標楷體" w:hint="eastAsia"/>
          <w:szCs w:val="32"/>
        </w:rPr>
        <w:t>留住一部分的教師。」</w:t>
      </w:r>
      <w:r w:rsidR="00E521E0" w:rsidRPr="00714BF6">
        <w:rPr>
          <w:rFonts w:hAnsi="標楷體" w:hint="eastAsia"/>
          <w:szCs w:val="32"/>
        </w:rPr>
        <w:t>等，益證</w:t>
      </w:r>
      <w:r w:rsidR="00B93832" w:rsidRPr="00714BF6">
        <w:rPr>
          <w:rFonts w:hAnsi="標楷體" w:hint="eastAsia"/>
          <w:szCs w:val="32"/>
        </w:rPr>
        <w:t>「</w:t>
      </w:r>
      <w:proofErr w:type="gramStart"/>
      <w:r w:rsidR="00C901E8" w:rsidRPr="00714BF6">
        <w:rPr>
          <w:rFonts w:hAnsi="標楷體" w:hint="eastAsia"/>
          <w:szCs w:val="32"/>
        </w:rPr>
        <w:t>彈薪制度</w:t>
      </w:r>
      <w:proofErr w:type="gramEnd"/>
      <w:r w:rsidR="00B93832" w:rsidRPr="00714BF6">
        <w:rPr>
          <w:rFonts w:hAnsi="標楷體" w:hint="eastAsia"/>
          <w:szCs w:val="32"/>
        </w:rPr>
        <w:t>」</w:t>
      </w:r>
      <w:r w:rsidR="000A496E" w:rsidRPr="00714BF6">
        <w:rPr>
          <w:rFonts w:hAnsi="標楷體" w:hint="eastAsia"/>
          <w:szCs w:val="32"/>
        </w:rPr>
        <w:t>對於教師有激勵作用，</w:t>
      </w:r>
      <w:r w:rsidR="00C901E8" w:rsidRPr="00714BF6">
        <w:rPr>
          <w:rFonts w:hAnsi="標楷體" w:hint="eastAsia"/>
          <w:szCs w:val="32"/>
        </w:rPr>
        <w:t>亦</w:t>
      </w:r>
      <w:r w:rsidR="000A496E" w:rsidRPr="00714BF6">
        <w:rPr>
          <w:rFonts w:hAnsi="標楷體" w:hint="eastAsia"/>
          <w:szCs w:val="32"/>
        </w:rPr>
        <w:t>提升學校</w:t>
      </w:r>
      <w:r w:rsidR="00C901E8" w:rsidRPr="00714BF6">
        <w:rPr>
          <w:rFonts w:hAnsi="標楷體" w:hint="eastAsia"/>
          <w:szCs w:val="32"/>
        </w:rPr>
        <w:t>師</w:t>
      </w:r>
      <w:r w:rsidR="000A496E" w:rsidRPr="00714BF6">
        <w:rPr>
          <w:rFonts w:hAnsi="標楷體" w:hint="eastAsia"/>
          <w:szCs w:val="32"/>
        </w:rPr>
        <w:t>資素</w:t>
      </w:r>
      <w:r w:rsidR="00C901E8" w:rsidRPr="00714BF6">
        <w:rPr>
          <w:rFonts w:hAnsi="標楷體" w:hint="eastAsia"/>
          <w:szCs w:val="32"/>
        </w:rPr>
        <w:t>質</w:t>
      </w:r>
      <w:r w:rsidR="000A496E" w:rsidRPr="00714BF6">
        <w:rPr>
          <w:rFonts w:hAnsi="標楷體" w:hint="eastAsia"/>
          <w:szCs w:val="32"/>
        </w:rPr>
        <w:t>，如無法延續，恐</w:t>
      </w:r>
      <w:r w:rsidR="001864DD" w:rsidRPr="00714BF6">
        <w:rPr>
          <w:rFonts w:hAnsi="標楷體" w:hint="eastAsia"/>
          <w:szCs w:val="32"/>
        </w:rPr>
        <w:t>造成不小</w:t>
      </w:r>
      <w:r w:rsidR="000A496E" w:rsidRPr="00714BF6">
        <w:rPr>
          <w:rFonts w:hAnsi="標楷體" w:hint="eastAsia"/>
          <w:szCs w:val="32"/>
        </w:rPr>
        <w:t>衝擊</w:t>
      </w:r>
      <w:r w:rsidR="00E521E0" w:rsidRPr="00714BF6">
        <w:rPr>
          <w:rFonts w:hAnsi="標楷體" w:hint="eastAsia"/>
          <w:szCs w:val="32"/>
        </w:rPr>
        <w:t>。</w:t>
      </w:r>
    </w:p>
    <w:p w:rsidR="00AA0936" w:rsidRPr="00714BF6" w:rsidRDefault="00AA0936" w:rsidP="00AA0936">
      <w:pPr>
        <w:pStyle w:val="1"/>
        <w:numPr>
          <w:ilvl w:val="0"/>
          <w:numId w:val="0"/>
        </w:numPr>
        <w:ind w:left="2381" w:hanging="2381"/>
      </w:pPr>
    </w:p>
    <w:p w:rsidR="00281CD8" w:rsidRPr="00714BF6" w:rsidRDefault="00DC44F3" w:rsidP="000B2F2E">
      <w:pPr>
        <w:pStyle w:val="a1"/>
        <w:spacing w:line="480" w:lineRule="exact"/>
        <w:ind w:firstLine="513"/>
        <w:jc w:val="center"/>
      </w:pPr>
      <w:r w:rsidRPr="00714BF6">
        <w:rPr>
          <w:rFonts w:hAnsi="標楷體" w:hint="eastAsia"/>
          <w:b/>
        </w:rPr>
        <w:lastRenderedPageBreak/>
        <w:t>教學卓越計畫經費補助學校辦理彈性薪資情形</w:t>
      </w:r>
    </w:p>
    <w:tbl>
      <w:tblPr>
        <w:tblStyle w:val="af7"/>
        <w:tblW w:w="7938" w:type="dxa"/>
        <w:tblInd w:w="1242" w:type="dxa"/>
        <w:tblLook w:val="04A0" w:firstRow="1" w:lastRow="0" w:firstColumn="1" w:lastColumn="0" w:noHBand="0" w:noVBand="1"/>
      </w:tblPr>
      <w:tblGrid>
        <w:gridCol w:w="1843"/>
        <w:gridCol w:w="2977"/>
        <w:gridCol w:w="3118"/>
      </w:tblGrid>
      <w:tr w:rsidR="00714BF6" w:rsidRPr="00714BF6" w:rsidTr="002A58E0">
        <w:trPr>
          <w:tblHeader/>
        </w:trPr>
        <w:tc>
          <w:tcPr>
            <w:tcW w:w="1843" w:type="dxa"/>
            <w:tcBorders>
              <w:tl2br w:val="single" w:sz="4" w:space="0" w:color="auto"/>
            </w:tcBorders>
          </w:tcPr>
          <w:p w:rsidR="00BD2AAC" w:rsidRPr="00714BF6" w:rsidRDefault="002A58E0" w:rsidP="003A17DF">
            <w:pPr>
              <w:pStyle w:val="4"/>
              <w:numPr>
                <w:ilvl w:val="0"/>
                <w:numId w:val="0"/>
              </w:numPr>
              <w:spacing w:line="280" w:lineRule="exact"/>
              <w:rPr>
                <w:b/>
                <w:sz w:val="20"/>
                <w:szCs w:val="20"/>
              </w:rPr>
            </w:pPr>
            <w:r>
              <w:rPr>
                <w:rFonts w:hint="eastAsia"/>
                <w:b/>
                <w:sz w:val="20"/>
                <w:szCs w:val="20"/>
              </w:rPr>
              <w:t xml:space="preserve">        </w:t>
            </w:r>
            <w:r w:rsidR="00BD2AAC" w:rsidRPr="00714BF6">
              <w:rPr>
                <w:rFonts w:hint="eastAsia"/>
                <w:b/>
                <w:sz w:val="20"/>
                <w:szCs w:val="20"/>
              </w:rPr>
              <w:t>辦理項目</w:t>
            </w:r>
          </w:p>
          <w:p w:rsidR="00BD2AAC" w:rsidRPr="00714BF6" w:rsidRDefault="00BD2AAC" w:rsidP="003A17DF">
            <w:pPr>
              <w:pStyle w:val="4"/>
              <w:numPr>
                <w:ilvl w:val="0"/>
                <w:numId w:val="0"/>
              </w:numPr>
              <w:spacing w:line="280" w:lineRule="exact"/>
              <w:rPr>
                <w:b/>
                <w:sz w:val="28"/>
                <w:szCs w:val="28"/>
              </w:rPr>
            </w:pPr>
            <w:r w:rsidRPr="00714BF6">
              <w:rPr>
                <w:rFonts w:hint="eastAsia"/>
                <w:b/>
                <w:sz w:val="20"/>
                <w:szCs w:val="20"/>
              </w:rPr>
              <w:t>學校類別</w:t>
            </w:r>
          </w:p>
        </w:tc>
        <w:tc>
          <w:tcPr>
            <w:tcW w:w="2977" w:type="dxa"/>
            <w:vAlign w:val="center"/>
          </w:tcPr>
          <w:p w:rsidR="00BD2AAC" w:rsidRPr="00714BF6" w:rsidRDefault="00BD2AAC" w:rsidP="003A17DF">
            <w:pPr>
              <w:pStyle w:val="4"/>
              <w:numPr>
                <w:ilvl w:val="0"/>
                <w:numId w:val="0"/>
              </w:numPr>
              <w:spacing w:line="280" w:lineRule="exact"/>
              <w:jc w:val="center"/>
              <w:rPr>
                <w:b/>
                <w:sz w:val="28"/>
                <w:szCs w:val="28"/>
              </w:rPr>
            </w:pPr>
            <w:proofErr w:type="gramStart"/>
            <w:r w:rsidRPr="00714BF6">
              <w:rPr>
                <w:rFonts w:hint="eastAsia"/>
                <w:b/>
                <w:sz w:val="28"/>
                <w:szCs w:val="28"/>
              </w:rPr>
              <w:t>彈薪核</w:t>
            </w:r>
            <w:proofErr w:type="gramEnd"/>
            <w:r w:rsidRPr="00714BF6">
              <w:rPr>
                <w:rFonts w:hint="eastAsia"/>
                <w:b/>
                <w:sz w:val="28"/>
                <w:szCs w:val="28"/>
              </w:rPr>
              <w:t>給人</w:t>
            </w:r>
            <w:r w:rsidRPr="00714BF6">
              <w:rPr>
                <w:rFonts w:hAnsi="標楷體" w:hint="eastAsia"/>
                <w:b/>
                <w:sz w:val="28"/>
                <w:szCs w:val="28"/>
              </w:rPr>
              <w:t>數</w:t>
            </w:r>
          </w:p>
        </w:tc>
        <w:tc>
          <w:tcPr>
            <w:tcW w:w="3118" w:type="dxa"/>
            <w:vAlign w:val="center"/>
          </w:tcPr>
          <w:p w:rsidR="00BD2AAC" w:rsidRPr="00714BF6" w:rsidRDefault="00BD2AAC" w:rsidP="003A17DF">
            <w:pPr>
              <w:pStyle w:val="4"/>
              <w:numPr>
                <w:ilvl w:val="0"/>
                <w:numId w:val="0"/>
              </w:numPr>
              <w:spacing w:line="280" w:lineRule="exact"/>
              <w:jc w:val="center"/>
              <w:rPr>
                <w:b/>
                <w:sz w:val="28"/>
                <w:szCs w:val="28"/>
              </w:rPr>
            </w:pPr>
            <w:r w:rsidRPr="00714BF6">
              <w:rPr>
                <w:rFonts w:hAnsi="標楷體" w:hint="eastAsia"/>
                <w:b/>
                <w:sz w:val="28"/>
                <w:szCs w:val="28"/>
              </w:rPr>
              <w:t>國際人才延攬</w:t>
            </w:r>
          </w:p>
        </w:tc>
      </w:tr>
      <w:tr w:rsidR="00714BF6" w:rsidRPr="00714BF6" w:rsidTr="002A58E0">
        <w:tc>
          <w:tcPr>
            <w:tcW w:w="1843" w:type="dxa"/>
            <w:vAlign w:val="center"/>
          </w:tcPr>
          <w:p w:rsidR="00BD2AAC" w:rsidRPr="00714BF6" w:rsidRDefault="00BD2AAC" w:rsidP="003A17DF">
            <w:pPr>
              <w:pStyle w:val="4"/>
              <w:numPr>
                <w:ilvl w:val="0"/>
                <w:numId w:val="0"/>
              </w:numPr>
              <w:spacing w:line="280" w:lineRule="exact"/>
              <w:jc w:val="center"/>
              <w:rPr>
                <w:b/>
                <w:sz w:val="28"/>
                <w:szCs w:val="28"/>
              </w:rPr>
            </w:pPr>
            <w:r w:rsidRPr="00714BF6">
              <w:rPr>
                <w:rFonts w:hint="eastAsia"/>
                <w:b/>
                <w:sz w:val="28"/>
                <w:szCs w:val="28"/>
              </w:rPr>
              <w:t>一般大學</w:t>
            </w:r>
          </w:p>
        </w:tc>
        <w:tc>
          <w:tcPr>
            <w:tcW w:w="2977" w:type="dxa"/>
          </w:tcPr>
          <w:p w:rsidR="00BD2AAC" w:rsidRPr="00714BF6" w:rsidRDefault="00BD2AAC" w:rsidP="003A17DF">
            <w:pPr>
              <w:pStyle w:val="4"/>
              <w:numPr>
                <w:ilvl w:val="0"/>
                <w:numId w:val="0"/>
              </w:numPr>
              <w:spacing w:line="280" w:lineRule="exact"/>
              <w:rPr>
                <w:sz w:val="28"/>
                <w:szCs w:val="28"/>
              </w:rPr>
            </w:pPr>
            <w:r w:rsidRPr="00714BF6">
              <w:rPr>
                <w:rFonts w:hAnsi="標楷體" w:hint="eastAsia"/>
                <w:sz w:val="28"/>
                <w:szCs w:val="28"/>
              </w:rPr>
              <w:t>自100學年度9,043人成長至102學年度9,881人；成長幅度約為9%。</w:t>
            </w:r>
          </w:p>
        </w:tc>
        <w:tc>
          <w:tcPr>
            <w:tcW w:w="3118" w:type="dxa"/>
          </w:tcPr>
          <w:p w:rsidR="00BD2AAC" w:rsidRPr="00714BF6" w:rsidRDefault="00BD2AAC" w:rsidP="003A17DF">
            <w:pPr>
              <w:pStyle w:val="4"/>
              <w:numPr>
                <w:ilvl w:val="0"/>
                <w:numId w:val="0"/>
              </w:numPr>
              <w:spacing w:line="280" w:lineRule="exact"/>
              <w:rPr>
                <w:sz w:val="28"/>
                <w:szCs w:val="28"/>
              </w:rPr>
            </w:pPr>
            <w:r w:rsidRPr="00714BF6">
              <w:rPr>
                <w:rFonts w:hAnsi="標楷體" w:hint="eastAsia"/>
                <w:sz w:val="28"/>
                <w:szCs w:val="28"/>
              </w:rPr>
              <w:t>由100學年度219人成長至102學年度752人，成長幅度為3.4倍。</w:t>
            </w:r>
          </w:p>
        </w:tc>
      </w:tr>
      <w:tr w:rsidR="00714BF6" w:rsidRPr="00714BF6" w:rsidTr="002A58E0">
        <w:tc>
          <w:tcPr>
            <w:tcW w:w="1843" w:type="dxa"/>
            <w:vAlign w:val="center"/>
          </w:tcPr>
          <w:p w:rsidR="00BD2AAC" w:rsidRPr="00714BF6" w:rsidRDefault="00BD2AAC" w:rsidP="003A17DF">
            <w:pPr>
              <w:pStyle w:val="4"/>
              <w:numPr>
                <w:ilvl w:val="0"/>
                <w:numId w:val="0"/>
              </w:numPr>
              <w:spacing w:line="280" w:lineRule="exact"/>
              <w:jc w:val="center"/>
              <w:rPr>
                <w:b/>
                <w:sz w:val="28"/>
                <w:szCs w:val="28"/>
              </w:rPr>
            </w:pPr>
            <w:r w:rsidRPr="00714BF6">
              <w:rPr>
                <w:rFonts w:hint="eastAsia"/>
                <w:b/>
                <w:sz w:val="28"/>
                <w:szCs w:val="28"/>
              </w:rPr>
              <w:t>科技校院</w:t>
            </w:r>
          </w:p>
        </w:tc>
        <w:tc>
          <w:tcPr>
            <w:tcW w:w="2977" w:type="dxa"/>
          </w:tcPr>
          <w:p w:rsidR="00BD2AAC" w:rsidRPr="00714BF6" w:rsidRDefault="00BD2AAC" w:rsidP="003A17DF">
            <w:pPr>
              <w:pStyle w:val="4"/>
              <w:numPr>
                <w:ilvl w:val="0"/>
                <w:numId w:val="0"/>
              </w:numPr>
              <w:spacing w:line="280" w:lineRule="exact"/>
              <w:rPr>
                <w:sz w:val="28"/>
                <w:szCs w:val="28"/>
              </w:rPr>
            </w:pPr>
            <w:r w:rsidRPr="00714BF6">
              <w:rPr>
                <w:rFonts w:hint="eastAsia"/>
                <w:sz w:val="28"/>
                <w:szCs w:val="28"/>
              </w:rPr>
              <w:t>自100學年度129人成長至103學年度</w:t>
            </w:r>
            <w:r w:rsidRPr="00714BF6">
              <w:rPr>
                <w:sz w:val="28"/>
                <w:szCs w:val="28"/>
              </w:rPr>
              <w:t>322</w:t>
            </w:r>
            <w:r w:rsidRPr="00714BF6">
              <w:rPr>
                <w:rFonts w:hint="eastAsia"/>
                <w:sz w:val="28"/>
                <w:szCs w:val="28"/>
              </w:rPr>
              <w:t>人；成長幅度約為150%。</w:t>
            </w:r>
          </w:p>
        </w:tc>
        <w:tc>
          <w:tcPr>
            <w:tcW w:w="3118" w:type="dxa"/>
          </w:tcPr>
          <w:p w:rsidR="00BD2AAC" w:rsidRPr="00714BF6" w:rsidRDefault="00BD2AAC" w:rsidP="00317A70">
            <w:pPr>
              <w:pStyle w:val="4"/>
              <w:numPr>
                <w:ilvl w:val="0"/>
                <w:numId w:val="84"/>
              </w:numPr>
              <w:spacing w:line="280" w:lineRule="exact"/>
              <w:rPr>
                <w:sz w:val="28"/>
                <w:szCs w:val="28"/>
              </w:rPr>
            </w:pPr>
            <w:r w:rsidRPr="00714BF6">
              <w:rPr>
                <w:rFonts w:hint="eastAsia"/>
                <w:sz w:val="28"/>
                <w:szCs w:val="28"/>
              </w:rPr>
              <w:t>102年17位、103年19位。</w:t>
            </w:r>
          </w:p>
          <w:p w:rsidR="00BD2AAC" w:rsidRPr="00714BF6" w:rsidRDefault="00BD2AAC" w:rsidP="00317A70">
            <w:pPr>
              <w:pStyle w:val="4"/>
              <w:numPr>
                <w:ilvl w:val="0"/>
                <w:numId w:val="84"/>
              </w:numPr>
              <w:spacing w:line="280" w:lineRule="exact"/>
              <w:rPr>
                <w:sz w:val="28"/>
                <w:szCs w:val="28"/>
              </w:rPr>
            </w:pPr>
            <w:r w:rsidRPr="00714BF6">
              <w:rPr>
                <w:rFonts w:hint="eastAsia"/>
                <w:sz w:val="28"/>
                <w:szCs w:val="28"/>
              </w:rPr>
              <w:t>補助款支應彈性薪資金額，由102年</w:t>
            </w:r>
            <w:r w:rsidRPr="00714BF6">
              <w:rPr>
                <w:sz w:val="28"/>
                <w:szCs w:val="28"/>
              </w:rPr>
              <w:t>361</w:t>
            </w:r>
            <w:r w:rsidRPr="00714BF6">
              <w:rPr>
                <w:rFonts w:hint="eastAsia"/>
                <w:sz w:val="28"/>
                <w:szCs w:val="28"/>
              </w:rPr>
              <w:t>萬</w:t>
            </w:r>
            <w:r w:rsidRPr="00714BF6">
              <w:rPr>
                <w:sz w:val="28"/>
                <w:szCs w:val="28"/>
              </w:rPr>
              <w:t>2,185</w:t>
            </w:r>
            <w:r w:rsidRPr="00714BF6">
              <w:rPr>
                <w:rFonts w:hint="eastAsia"/>
                <w:sz w:val="28"/>
                <w:szCs w:val="28"/>
              </w:rPr>
              <w:t>元，至103年提升至</w:t>
            </w:r>
            <w:r w:rsidRPr="00714BF6">
              <w:rPr>
                <w:sz w:val="28"/>
                <w:szCs w:val="28"/>
              </w:rPr>
              <w:t>482</w:t>
            </w:r>
            <w:r w:rsidRPr="00714BF6">
              <w:rPr>
                <w:rFonts w:hint="eastAsia"/>
                <w:sz w:val="28"/>
                <w:szCs w:val="28"/>
              </w:rPr>
              <w:t>萬</w:t>
            </w:r>
            <w:r w:rsidRPr="00714BF6">
              <w:rPr>
                <w:sz w:val="28"/>
                <w:szCs w:val="28"/>
              </w:rPr>
              <w:t>6,970</w:t>
            </w:r>
            <w:r w:rsidRPr="00714BF6">
              <w:rPr>
                <w:rFonts w:hint="eastAsia"/>
                <w:sz w:val="28"/>
                <w:szCs w:val="28"/>
              </w:rPr>
              <w:t>元。</w:t>
            </w:r>
          </w:p>
        </w:tc>
      </w:tr>
    </w:tbl>
    <w:p w:rsidR="00BD2AAC" w:rsidRPr="00714BF6" w:rsidRDefault="00BD2AAC" w:rsidP="003A17DF">
      <w:pPr>
        <w:pStyle w:val="4"/>
        <w:numPr>
          <w:ilvl w:val="0"/>
          <w:numId w:val="0"/>
        </w:numPr>
        <w:spacing w:line="240" w:lineRule="exact"/>
        <w:ind w:left="1644" w:hanging="510"/>
        <w:rPr>
          <w:sz w:val="24"/>
          <w:szCs w:val="24"/>
        </w:rPr>
      </w:pPr>
      <w:r w:rsidRPr="00714BF6">
        <w:rPr>
          <w:rFonts w:hint="eastAsia"/>
          <w:sz w:val="24"/>
          <w:szCs w:val="24"/>
        </w:rPr>
        <w:t>資料來源：依據教育部查復資料彙整。</w:t>
      </w:r>
    </w:p>
    <w:p w:rsidR="00BD2AAC" w:rsidRPr="00714BF6" w:rsidRDefault="003A17DF" w:rsidP="003A17DF">
      <w:pPr>
        <w:pStyle w:val="4"/>
        <w:numPr>
          <w:ilvl w:val="0"/>
          <w:numId w:val="0"/>
        </w:numPr>
        <w:tabs>
          <w:tab w:val="left" w:pos="2072"/>
        </w:tabs>
        <w:spacing w:line="240" w:lineRule="exact"/>
        <w:ind w:left="1644" w:hanging="510"/>
        <w:rPr>
          <w:rFonts w:hAnsi="標楷體"/>
        </w:rPr>
      </w:pPr>
      <w:r w:rsidRPr="00714BF6">
        <w:rPr>
          <w:rFonts w:hAnsi="標楷體"/>
        </w:rPr>
        <w:tab/>
      </w:r>
    </w:p>
    <w:p w:rsidR="00A73E73" w:rsidRPr="00714BF6" w:rsidRDefault="00B93832" w:rsidP="000B2F2E">
      <w:pPr>
        <w:pStyle w:val="4"/>
        <w:spacing w:line="480" w:lineRule="exact"/>
      </w:pPr>
      <w:proofErr w:type="gramStart"/>
      <w:r w:rsidRPr="00714BF6">
        <w:rPr>
          <w:rFonts w:hint="eastAsia"/>
        </w:rPr>
        <w:t>此外，</w:t>
      </w:r>
      <w:proofErr w:type="gramEnd"/>
      <w:r w:rsidR="00AC4745" w:rsidRPr="00714BF6">
        <w:rPr>
          <w:rFonts w:hint="eastAsia"/>
        </w:rPr>
        <w:t>為確保學生學習品質並協助教師教學工作，</w:t>
      </w:r>
      <w:r w:rsidR="000A496E" w:rsidRPr="00714BF6">
        <w:rPr>
          <w:rFonts w:hint="eastAsia"/>
        </w:rPr>
        <w:t>獲得教學卓越計畫補助學校紛紛將</w:t>
      </w:r>
      <w:r w:rsidRPr="00714BF6">
        <w:rPr>
          <w:rFonts w:hint="eastAsia"/>
        </w:rPr>
        <w:t>「</w:t>
      </w:r>
      <w:r w:rsidR="00AC4745" w:rsidRPr="00714BF6">
        <w:rPr>
          <w:rFonts w:hint="eastAsia"/>
        </w:rPr>
        <w:t>教學助理</w:t>
      </w:r>
      <w:r w:rsidRPr="00714BF6">
        <w:rPr>
          <w:rFonts w:hint="eastAsia"/>
        </w:rPr>
        <w:t>」</w:t>
      </w:r>
      <w:r w:rsidR="00AC4745" w:rsidRPr="00714BF6">
        <w:rPr>
          <w:rFonts w:hint="eastAsia"/>
        </w:rPr>
        <w:t>(T</w:t>
      </w:r>
      <w:r w:rsidR="00AC4745" w:rsidRPr="00714BF6">
        <w:t xml:space="preserve">eaching </w:t>
      </w:r>
      <w:r w:rsidR="00AC4745" w:rsidRPr="00714BF6">
        <w:rPr>
          <w:rFonts w:hint="eastAsia"/>
        </w:rPr>
        <w:t>A</w:t>
      </w:r>
      <w:r w:rsidR="00AC4745" w:rsidRPr="00714BF6">
        <w:t>ssistant</w:t>
      </w:r>
      <w:r w:rsidR="00AC4745" w:rsidRPr="00714BF6">
        <w:rPr>
          <w:rFonts w:hint="eastAsia"/>
        </w:rPr>
        <w:t>，簡稱TA)</w:t>
      </w:r>
      <w:r w:rsidR="000A496E" w:rsidRPr="00714BF6">
        <w:rPr>
          <w:rFonts w:hint="eastAsia"/>
        </w:rPr>
        <w:t>納入教學</w:t>
      </w:r>
      <w:r w:rsidR="00AC4745" w:rsidRPr="00714BF6">
        <w:rPr>
          <w:rFonts w:hint="eastAsia"/>
        </w:rPr>
        <w:t>制度</w:t>
      </w:r>
      <w:r w:rsidR="000A496E" w:rsidRPr="00714BF6">
        <w:rPr>
          <w:rFonts w:hint="eastAsia"/>
        </w:rPr>
        <w:t>中，</w:t>
      </w:r>
      <w:proofErr w:type="gramStart"/>
      <w:r w:rsidR="00AC4745" w:rsidRPr="00714BF6">
        <w:rPr>
          <w:rFonts w:hint="eastAsia"/>
        </w:rPr>
        <w:t>詢</w:t>
      </w:r>
      <w:proofErr w:type="gramEnd"/>
      <w:r w:rsidR="00AC4745" w:rsidRPr="00714BF6">
        <w:rPr>
          <w:rFonts w:hint="eastAsia"/>
        </w:rPr>
        <w:t>據學校實務人員</w:t>
      </w:r>
      <w:r w:rsidR="00D976FD" w:rsidRPr="00714BF6">
        <w:rPr>
          <w:rFonts w:hint="eastAsia"/>
        </w:rPr>
        <w:t>表示「以TA為例，剛開始時是用了很多教學卓越的經費，但後</w:t>
      </w:r>
      <w:r w:rsidR="00594782" w:rsidRPr="00714BF6">
        <w:rPr>
          <w:rFonts w:hint="eastAsia"/>
        </w:rPr>
        <w:t>來發現是永續經營措施，</w:t>
      </w:r>
      <w:r w:rsidR="00D976FD" w:rsidRPr="00714BF6">
        <w:rPr>
          <w:rFonts w:hint="eastAsia"/>
        </w:rPr>
        <w:t>轉為</w:t>
      </w:r>
      <w:r w:rsidR="00594782" w:rsidRPr="00714BF6">
        <w:rPr>
          <w:rFonts w:hint="eastAsia"/>
        </w:rPr>
        <w:t>運用</w:t>
      </w:r>
      <w:r w:rsidR="00D976FD" w:rsidRPr="00714BF6">
        <w:rPr>
          <w:rFonts w:hint="eastAsia"/>
        </w:rPr>
        <w:t>校務基金，提高到30%的配合款。本校課程已經有一半有TA，教師發現班級經營的問題少很多，可以更致力於教學內容</w:t>
      </w:r>
      <w:r w:rsidR="003F390B" w:rsidRPr="00714BF6">
        <w:rPr>
          <w:rFonts w:hint="eastAsia"/>
        </w:rPr>
        <w:t>。</w:t>
      </w:r>
      <w:r w:rsidR="00D976FD" w:rsidRPr="00714BF6">
        <w:rPr>
          <w:rFonts w:hint="eastAsia"/>
        </w:rPr>
        <w:t>」</w:t>
      </w:r>
      <w:r w:rsidR="000A496E" w:rsidRPr="00714BF6">
        <w:rPr>
          <w:rFonts w:hint="eastAsia"/>
        </w:rPr>
        <w:t>、「</w:t>
      </w:r>
      <w:proofErr w:type="gramStart"/>
      <w:r w:rsidR="000A496E" w:rsidRPr="00714BF6">
        <w:rPr>
          <w:rFonts w:hint="eastAsia"/>
        </w:rPr>
        <w:t>因為少子化</w:t>
      </w:r>
      <w:proofErr w:type="gramEnd"/>
      <w:r w:rsidR="000A496E" w:rsidRPr="00714BF6">
        <w:rPr>
          <w:rFonts w:hint="eastAsia"/>
        </w:rPr>
        <w:t>趨勢，私立學校學生學力跟國立學校差距愈來愈大，</w:t>
      </w:r>
      <w:proofErr w:type="gramStart"/>
      <w:r w:rsidR="000A496E" w:rsidRPr="00714BF6">
        <w:rPr>
          <w:rFonts w:hint="eastAsia"/>
        </w:rPr>
        <w:t>透過教卓</w:t>
      </w:r>
      <w:proofErr w:type="gramEnd"/>
      <w:r w:rsidR="000A496E" w:rsidRPr="00714BF6">
        <w:rPr>
          <w:rFonts w:hint="eastAsia"/>
        </w:rPr>
        <w:t>TA來協助，幫助很大</w:t>
      </w:r>
      <w:r w:rsidR="003F390B" w:rsidRPr="00714BF6">
        <w:rPr>
          <w:rFonts w:hint="eastAsia"/>
        </w:rPr>
        <w:t>。</w:t>
      </w:r>
      <w:r w:rsidR="000A496E" w:rsidRPr="00714BF6">
        <w:rPr>
          <w:rFonts w:hint="eastAsia"/>
        </w:rPr>
        <w:t>」</w:t>
      </w:r>
      <w:r w:rsidR="00D976FD" w:rsidRPr="00714BF6">
        <w:rPr>
          <w:rFonts w:hint="eastAsia"/>
        </w:rPr>
        <w:t>等語，</w:t>
      </w:r>
      <w:r w:rsidR="001F0ADD" w:rsidRPr="00714BF6">
        <w:rPr>
          <w:rFonts w:hint="eastAsia"/>
        </w:rPr>
        <w:t>普遍</w:t>
      </w:r>
      <w:r w:rsidR="000A496E" w:rsidRPr="00714BF6">
        <w:rPr>
          <w:rFonts w:hint="eastAsia"/>
        </w:rPr>
        <w:t>認</w:t>
      </w:r>
      <w:r w:rsidR="001F0ADD" w:rsidRPr="00714BF6">
        <w:rPr>
          <w:rFonts w:hint="eastAsia"/>
        </w:rPr>
        <w:t>同</w:t>
      </w:r>
      <w:r w:rsidR="000A496E" w:rsidRPr="00714BF6">
        <w:rPr>
          <w:rFonts w:hint="eastAsia"/>
        </w:rPr>
        <w:t>此制度有助於提</w:t>
      </w:r>
      <w:r w:rsidR="004105E8" w:rsidRPr="00714BF6">
        <w:rPr>
          <w:rFonts w:hint="eastAsia"/>
        </w:rPr>
        <w:t>升</w:t>
      </w:r>
      <w:r w:rsidR="000A496E" w:rsidRPr="00714BF6">
        <w:rPr>
          <w:rFonts w:hint="eastAsia"/>
        </w:rPr>
        <w:t>教學品質；</w:t>
      </w:r>
      <w:proofErr w:type="gramStart"/>
      <w:r w:rsidR="000A496E" w:rsidRPr="00714BF6">
        <w:rPr>
          <w:rFonts w:hint="eastAsia"/>
        </w:rPr>
        <w:t>惟</w:t>
      </w:r>
      <w:proofErr w:type="gramEnd"/>
      <w:r w:rsidR="000A496E" w:rsidRPr="00714BF6">
        <w:rPr>
          <w:rFonts w:hint="eastAsia"/>
        </w:rPr>
        <w:t>相關座談意見指出</w:t>
      </w:r>
      <w:r w:rsidR="003F390B" w:rsidRPr="00714BF6">
        <w:rPr>
          <w:rFonts w:hint="eastAsia"/>
        </w:rPr>
        <w:t>，</w:t>
      </w:r>
      <w:r w:rsidR="000A496E" w:rsidRPr="00714BF6">
        <w:rPr>
          <w:rFonts w:hint="eastAsia"/>
        </w:rPr>
        <w:t>「關於此計畫延續與否，除了助理飯碗保不保的問題，如果讓教學卓越計畫中已訓練</w:t>
      </w:r>
      <w:r w:rsidR="00594782" w:rsidRPr="00714BF6">
        <w:rPr>
          <w:rFonts w:hint="eastAsia"/>
        </w:rPr>
        <w:t>出的</w:t>
      </w:r>
      <w:r w:rsidR="000A496E" w:rsidRPr="00714BF6">
        <w:rPr>
          <w:rFonts w:hint="eastAsia"/>
        </w:rPr>
        <w:t>純熟人力崩解，重新訓練新手，是種浪費，政策結束就</w:t>
      </w:r>
      <w:r w:rsidRPr="00714BF6">
        <w:rPr>
          <w:rFonts w:hint="eastAsia"/>
        </w:rPr>
        <w:t>將</w:t>
      </w:r>
      <w:r w:rsidR="000A496E" w:rsidRPr="00714BF6">
        <w:rPr>
          <w:rFonts w:hint="eastAsia"/>
        </w:rPr>
        <w:t>他們拋棄，情何以堪，也是</w:t>
      </w:r>
      <w:r w:rsidR="00594782" w:rsidRPr="00714BF6">
        <w:rPr>
          <w:rFonts w:hint="eastAsia"/>
        </w:rPr>
        <w:t>另一種</w:t>
      </w:r>
      <w:r w:rsidR="000A496E" w:rsidRPr="00714BF6">
        <w:rPr>
          <w:rFonts w:hint="eastAsia"/>
        </w:rPr>
        <w:t>錯誤</w:t>
      </w:r>
      <w:r w:rsidR="00594782" w:rsidRPr="00714BF6">
        <w:rPr>
          <w:rFonts w:hint="eastAsia"/>
        </w:rPr>
        <w:t>決策</w:t>
      </w:r>
      <w:r w:rsidR="00195BCA" w:rsidRPr="00714BF6">
        <w:rPr>
          <w:rFonts w:hint="eastAsia"/>
        </w:rPr>
        <w:t>。</w:t>
      </w:r>
      <w:r w:rsidR="000A496E" w:rsidRPr="00714BF6">
        <w:rPr>
          <w:rFonts w:hint="eastAsia"/>
        </w:rPr>
        <w:t>」等，</w:t>
      </w:r>
      <w:r w:rsidR="004105E8" w:rsidRPr="00714BF6">
        <w:rPr>
          <w:rFonts w:hint="eastAsia"/>
        </w:rPr>
        <w:t>指出此計畫</w:t>
      </w:r>
      <w:r w:rsidR="001B3D4F" w:rsidRPr="00714BF6">
        <w:rPr>
          <w:rFonts w:hint="eastAsia"/>
        </w:rPr>
        <w:t>中</w:t>
      </w:r>
      <w:r w:rsidR="004105E8" w:rsidRPr="00714BF6">
        <w:rPr>
          <w:rFonts w:hint="eastAsia"/>
        </w:rPr>
        <w:t>人力資源</w:t>
      </w:r>
      <w:r w:rsidR="001B3D4F" w:rsidRPr="00714BF6">
        <w:rPr>
          <w:rFonts w:hint="eastAsia"/>
        </w:rPr>
        <w:t>的</w:t>
      </w:r>
      <w:r w:rsidR="004105E8" w:rsidRPr="00714BF6">
        <w:rPr>
          <w:rFonts w:hint="eastAsia"/>
        </w:rPr>
        <w:t>培育</w:t>
      </w:r>
      <w:r w:rsidR="001B3D4F" w:rsidRPr="00714BF6">
        <w:rPr>
          <w:rFonts w:hint="eastAsia"/>
        </w:rPr>
        <w:t>成本</w:t>
      </w:r>
      <w:r w:rsidR="004105E8" w:rsidRPr="00714BF6">
        <w:rPr>
          <w:rFonts w:hint="eastAsia"/>
        </w:rPr>
        <w:t>，</w:t>
      </w:r>
      <w:r w:rsidR="001B3D4F" w:rsidRPr="00714BF6">
        <w:rPr>
          <w:rFonts w:hint="eastAsia"/>
        </w:rPr>
        <w:t>不容忽視</w:t>
      </w:r>
      <w:r w:rsidR="00594782" w:rsidRPr="00714BF6">
        <w:rPr>
          <w:rFonts w:hint="eastAsia"/>
        </w:rPr>
        <w:t>。另有關助理納保致各校因經費考量酌減助理人力</w:t>
      </w:r>
      <w:r w:rsidR="00594782" w:rsidRPr="00714BF6">
        <w:rPr>
          <w:rStyle w:val="aff2"/>
        </w:rPr>
        <w:footnoteReference w:id="13"/>
      </w:r>
      <w:r w:rsidR="00594782" w:rsidRPr="00714BF6">
        <w:rPr>
          <w:rFonts w:hint="eastAsia"/>
        </w:rPr>
        <w:t>，</w:t>
      </w:r>
      <w:proofErr w:type="gramStart"/>
      <w:r w:rsidR="00B679A9" w:rsidRPr="00714BF6">
        <w:rPr>
          <w:rFonts w:hint="eastAsia"/>
        </w:rPr>
        <w:t>併</w:t>
      </w:r>
      <w:proofErr w:type="gramEnd"/>
      <w:r w:rsidR="00B679A9" w:rsidRPr="00714BF6">
        <w:rPr>
          <w:rFonts w:hint="eastAsia"/>
        </w:rPr>
        <w:t>有</w:t>
      </w:r>
      <w:proofErr w:type="gramStart"/>
      <w:r w:rsidR="00B679A9" w:rsidRPr="00714BF6">
        <w:rPr>
          <w:rFonts w:hint="eastAsia"/>
        </w:rPr>
        <w:t>斲</w:t>
      </w:r>
      <w:proofErr w:type="gramEnd"/>
      <w:r w:rsidR="00B679A9" w:rsidRPr="00714BF6">
        <w:rPr>
          <w:rFonts w:hint="eastAsia"/>
        </w:rPr>
        <w:t>傷</w:t>
      </w:r>
      <w:r w:rsidR="00594782" w:rsidRPr="00714BF6">
        <w:rPr>
          <w:rFonts w:hint="eastAsia"/>
        </w:rPr>
        <w:t>大學提升教學與研究</w:t>
      </w:r>
      <w:r w:rsidR="00B679A9" w:rsidRPr="00714BF6">
        <w:rPr>
          <w:rFonts w:hint="eastAsia"/>
        </w:rPr>
        <w:t>能量之虞，</w:t>
      </w:r>
      <w:r w:rsidR="00927583">
        <w:rPr>
          <w:rFonts w:hint="eastAsia"/>
        </w:rPr>
        <w:t>均</w:t>
      </w:r>
      <w:r w:rsidR="006B1DFE" w:rsidRPr="00714BF6">
        <w:rPr>
          <w:rFonts w:hint="eastAsia"/>
        </w:rPr>
        <w:t>應</w:t>
      </w:r>
      <w:r w:rsidRPr="00714BF6">
        <w:rPr>
          <w:rFonts w:hint="eastAsia"/>
        </w:rPr>
        <w:t>予</w:t>
      </w:r>
      <w:r w:rsidR="006B1DFE" w:rsidRPr="00714BF6">
        <w:rPr>
          <w:rFonts w:hint="eastAsia"/>
        </w:rPr>
        <w:t>正視</w:t>
      </w:r>
      <w:r w:rsidR="004105E8" w:rsidRPr="00714BF6">
        <w:rPr>
          <w:rFonts w:hint="eastAsia"/>
        </w:rPr>
        <w:t>。</w:t>
      </w:r>
    </w:p>
    <w:p w:rsidR="00AC1DF5" w:rsidRPr="00714BF6" w:rsidRDefault="0097576D" w:rsidP="000B2F2E">
      <w:pPr>
        <w:pStyle w:val="3"/>
        <w:spacing w:line="480" w:lineRule="exact"/>
        <w:rPr>
          <w:bCs w:val="0"/>
        </w:rPr>
      </w:pPr>
      <w:r w:rsidRPr="00714BF6">
        <w:rPr>
          <w:rFonts w:hint="eastAsia"/>
          <w:bCs w:val="0"/>
        </w:rPr>
        <w:t>本</w:t>
      </w:r>
      <w:r w:rsidR="0063235D" w:rsidRPr="00714BF6">
        <w:rPr>
          <w:rFonts w:hint="eastAsia"/>
          <w:bCs w:val="0"/>
        </w:rPr>
        <w:t>調查</w:t>
      </w:r>
      <w:r w:rsidRPr="00714BF6">
        <w:rPr>
          <w:rFonts w:hint="eastAsia"/>
          <w:bCs w:val="0"/>
        </w:rPr>
        <w:t>案座談會議上，未獲得教學卓越計畫經費之學校人員</w:t>
      </w:r>
      <w:r w:rsidR="0085046C" w:rsidRPr="00714BF6">
        <w:rPr>
          <w:rFonts w:hint="eastAsia"/>
          <w:bCs w:val="0"/>
        </w:rPr>
        <w:t>曾</w:t>
      </w:r>
      <w:r w:rsidRPr="00714BF6">
        <w:rPr>
          <w:rFonts w:hint="eastAsia"/>
          <w:bCs w:val="0"/>
        </w:rPr>
        <w:t>表示</w:t>
      </w:r>
      <w:r w:rsidR="0063235D" w:rsidRPr="00714BF6">
        <w:rPr>
          <w:rFonts w:hint="eastAsia"/>
          <w:bCs w:val="0"/>
        </w:rPr>
        <w:t>：</w:t>
      </w:r>
      <w:r w:rsidRPr="00714BF6">
        <w:rPr>
          <w:rFonts w:hint="eastAsia"/>
          <w:bCs w:val="0"/>
        </w:rPr>
        <w:t>「聽取敎卓學校的分享後，有一感想：</w:t>
      </w:r>
      <w:r w:rsidR="0063235D" w:rsidRPr="00714BF6">
        <w:rPr>
          <w:rFonts w:hint="eastAsia"/>
          <w:bCs w:val="0"/>
        </w:rPr>
        <w:t>『</w:t>
      </w:r>
      <w:r w:rsidRPr="00714BF6">
        <w:rPr>
          <w:rFonts w:hint="eastAsia"/>
          <w:bCs w:val="0"/>
        </w:rPr>
        <w:t>讓學校</w:t>
      </w:r>
      <w:r w:rsidRPr="00714BF6">
        <w:rPr>
          <w:rFonts w:hint="eastAsia"/>
          <w:bCs w:val="0"/>
        </w:rPr>
        <w:lastRenderedPageBreak/>
        <w:t>脫穎而出的，原來並非基礎工作，而是亮點。本校為何沒</w:t>
      </w:r>
      <w:r w:rsidR="00841DC9" w:rsidRPr="00714BF6">
        <w:rPr>
          <w:rFonts w:hint="eastAsia"/>
          <w:bCs w:val="0"/>
        </w:rPr>
        <w:t>拿到經費，可能是在基礎上的考量太多了，沒有思考亮點</w:t>
      </w:r>
      <w:r w:rsidR="0063235D" w:rsidRPr="00714BF6">
        <w:rPr>
          <w:rFonts w:hint="eastAsia"/>
          <w:bCs w:val="0"/>
        </w:rPr>
        <w:t>』</w:t>
      </w:r>
      <w:r w:rsidR="00841DC9" w:rsidRPr="00714BF6">
        <w:rPr>
          <w:rFonts w:hint="eastAsia"/>
          <w:bCs w:val="0"/>
        </w:rPr>
        <w:t>」等語，顯示</w:t>
      </w:r>
      <w:r w:rsidRPr="00714BF6">
        <w:rPr>
          <w:rFonts w:hint="eastAsia"/>
          <w:bCs w:val="0"/>
        </w:rPr>
        <w:t>補助型計畫之審查機制，恐偏重「拔尖」</w:t>
      </w:r>
      <w:r w:rsidR="00841DC9" w:rsidRPr="00714BF6">
        <w:rPr>
          <w:rFonts w:hint="eastAsia"/>
          <w:bCs w:val="0"/>
        </w:rPr>
        <w:t>取向</w:t>
      </w:r>
      <w:r w:rsidRPr="00714BF6">
        <w:rPr>
          <w:rFonts w:hint="eastAsia"/>
          <w:bCs w:val="0"/>
        </w:rPr>
        <w:t>，忽略</w:t>
      </w:r>
      <w:r w:rsidR="00B004CA" w:rsidRPr="00714BF6">
        <w:rPr>
          <w:rFonts w:hint="eastAsia"/>
          <w:bCs w:val="0"/>
        </w:rPr>
        <w:t>部分</w:t>
      </w:r>
      <w:r w:rsidRPr="00714BF6">
        <w:rPr>
          <w:rFonts w:hint="eastAsia"/>
          <w:bCs w:val="0"/>
        </w:rPr>
        <w:t>學校教學</w:t>
      </w:r>
      <w:r w:rsidR="0063235D" w:rsidRPr="00714BF6">
        <w:rPr>
          <w:rFonts w:hint="eastAsia"/>
          <w:bCs w:val="0"/>
        </w:rPr>
        <w:t>之</w:t>
      </w:r>
      <w:r w:rsidRPr="00714BF6">
        <w:rPr>
          <w:rFonts w:hint="eastAsia"/>
          <w:bCs w:val="0"/>
        </w:rPr>
        <w:t>基礎建設實際需求</w:t>
      </w:r>
      <w:r w:rsidR="003E1DEF" w:rsidRPr="00714BF6">
        <w:rPr>
          <w:rFonts w:hint="eastAsia"/>
          <w:bCs w:val="0"/>
        </w:rPr>
        <w:t>；</w:t>
      </w:r>
      <w:r w:rsidRPr="00714BF6">
        <w:rPr>
          <w:rFonts w:hint="eastAsia"/>
          <w:bCs w:val="0"/>
        </w:rPr>
        <w:t>本案諮詢專家學者意見亦指出</w:t>
      </w:r>
      <w:r w:rsidR="0063235D" w:rsidRPr="00714BF6">
        <w:rPr>
          <w:rFonts w:hint="eastAsia"/>
          <w:bCs w:val="0"/>
        </w:rPr>
        <w:t>：</w:t>
      </w:r>
      <w:r w:rsidRPr="00714BF6">
        <w:rPr>
          <w:rFonts w:hint="eastAsia"/>
          <w:bCs w:val="0"/>
        </w:rPr>
        <w:t>「基本上教學卓越應該走下去，但階段</w:t>
      </w:r>
      <w:r w:rsidRPr="00714BF6">
        <w:rPr>
          <w:rFonts w:hAnsi="標楷體" w:hint="eastAsia"/>
          <w:szCs w:val="32"/>
        </w:rPr>
        <w:t>性目標跟做法必須改，很多打底的事情怎麼變成卓越</w:t>
      </w:r>
      <w:r w:rsidR="002B68B1" w:rsidRPr="00714BF6">
        <w:rPr>
          <w:rFonts w:hAnsi="標楷體" w:hint="eastAsia"/>
          <w:szCs w:val="32"/>
        </w:rPr>
        <w:t>了</w:t>
      </w:r>
      <w:r w:rsidRPr="00714BF6">
        <w:rPr>
          <w:rFonts w:hAnsi="標楷體" w:hint="eastAsia"/>
          <w:szCs w:val="32"/>
        </w:rPr>
        <w:t>呢？這說出來是很慚愧的事情。</w:t>
      </w:r>
      <w:r w:rsidR="0063235D" w:rsidRPr="00714BF6">
        <w:rPr>
          <w:rFonts w:hAnsi="標楷體" w:hint="eastAsia"/>
          <w:szCs w:val="32"/>
        </w:rPr>
        <w:t>『</w:t>
      </w:r>
      <w:r w:rsidRPr="00714BF6">
        <w:rPr>
          <w:rFonts w:hAnsi="標楷體" w:hint="eastAsia"/>
          <w:szCs w:val="32"/>
        </w:rPr>
        <w:t>卓越</w:t>
      </w:r>
      <w:r w:rsidR="0063235D" w:rsidRPr="00714BF6">
        <w:rPr>
          <w:rFonts w:hAnsi="標楷體" w:hint="eastAsia"/>
          <w:szCs w:val="32"/>
        </w:rPr>
        <w:t>』</w:t>
      </w:r>
      <w:r w:rsidRPr="00714BF6">
        <w:rPr>
          <w:rFonts w:hAnsi="標楷體" w:hint="eastAsia"/>
          <w:szCs w:val="32"/>
        </w:rPr>
        <w:t>這二字的</w:t>
      </w:r>
      <w:r w:rsidR="0063235D" w:rsidRPr="00714BF6">
        <w:rPr>
          <w:rFonts w:hAnsi="標楷體" w:hint="eastAsia"/>
          <w:szCs w:val="32"/>
        </w:rPr>
        <w:t>定義</w:t>
      </w:r>
      <w:r w:rsidRPr="00714BF6">
        <w:rPr>
          <w:rFonts w:hAnsi="標楷體" w:hint="eastAsia"/>
          <w:szCs w:val="32"/>
        </w:rPr>
        <w:t>很模糊，作法上應該調整。」等語，亦顯示</w:t>
      </w:r>
      <w:r w:rsidRPr="00714BF6">
        <w:rPr>
          <w:rFonts w:hint="eastAsia"/>
          <w:bCs w:val="0"/>
        </w:rPr>
        <w:t>教學「卓越」計畫之定位，容有「基礎」與「拔尖」取向混為一談，以致學校與</w:t>
      </w:r>
      <w:proofErr w:type="gramStart"/>
      <w:r w:rsidRPr="00714BF6">
        <w:rPr>
          <w:rFonts w:hint="eastAsia"/>
          <w:bCs w:val="0"/>
        </w:rPr>
        <w:t>外界均</w:t>
      </w:r>
      <w:r w:rsidR="0063235D" w:rsidRPr="00714BF6">
        <w:rPr>
          <w:rFonts w:hint="eastAsia"/>
          <w:bCs w:val="0"/>
        </w:rPr>
        <w:t>生</w:t>
      </w:r>
      <w:r w:rsidR="003E1DEF" w:rsidRPr="00714BF6">
        <w:rPr>
          <w:rFonts w:hint="eastAsia"/>
          <w:bCs w:val="0"/>
        </w:rPr>
        <w:t>質疑</w:t>
      </w:r>
      <w:proofErr w:type="gramEnd"/>
      <w:r w:rsidR="003E1DEF" w:rsidRPr="00714BF6">
        <w:rPr>
          <w:rFonts w:hint="eastAsia"/>
          <w:bCs w:val="0"/>
        </w:rPr>
        <w:t>。且</w:t>
      </w:r>
      <w:r w:rsidR="00AC1DF5" w:rsidRPr="00714BF6">
        <w:rPr>
          <w:rFonts w:hint="eastAsia"/>
          <w:bCs w:val="0"/>
        </w:rPr>
        <w:t>以上述「</w:t>
      </w:r>
      <w:proofErr w:type="gramStart"/>
      <w:r w:rsidR="00AC1DF5" w:rsidRPr="00714BF6">
        <w:rPr>
          <w:rFonts w:hint="eastAsia"/>
          <w:bCs w:val="0"/>
        </w:rPr>
        <w:t>彈薪機制</w:t>
      </w:r>
      <w:proofErr w:type="gramEnd"/>
      <w:r w:rsidR="00AC1DF5" w:rsidRPr="00714BF6">
        <w:rPr>
          <w:rFonts w:hint="eastAsia"/>
          <w:bCs w:val="0"/>
        </w:rPr>
        <w:t>」與「教學助理制度」而言，實為國外行之有年</w:t>
      </w:r>
      <w:r w:rsidR="00B93832" w:rsidRPr="00714BF6">
        <w:rPr>
          <w:rFonts w:hint="eastAsia"/>
          <w:bCs w:val="0"/>
        </w:rPr>
        <w:t>的</w:t>
      </w:r>
      <w:r w:rsidR="00AC1DF5" w:rsidRPr="00714BF6">
        <w:rPr>
          <w:rFonts w:hint="eastAsia"/>
          <w:bCs w:val="0"/>
        </w:rPr>
        <w:t>措施，惟我國高等教育制度卻係因教學卓越計畫經費引導，方才實施，</w:t>
      </w:r>
      <w:r w:rsidR="0085046C" w:rsidRPr="00714BF6">
        <w:rPr>
          <w:rFonts w:hint="eastAsia"/>
          <w:bCs w:val="0"/>
        </w:rPr>
        <w:t>目前</w:t>
      </w:r>
      <w:r w:rsidR="00AC1DF5" w:rsidRPr="00714BF6">
        <w:rPr>
          <w:rFonts w:hint="eastAsia"/>
          <w:bCs w:val="0"/>
        </w:rPr>
        <w:t>學校</w:t>
      </w:r>
      <w:r w:rsidR="0085046C" w:rsidRPr="00714BF6">
        <w:rPr>
          <w:rFonts w:hint="eastAsia"/>
          <w:bCs w:val="0"/>
        </w:rPr>
        <w:t>又恐</w:t>
      </w:r>
      <w:r w:rsidR="00AC1DF5" w:rsidRPr="00714BF6">
        <w:rPr>
          <w:rFonts w:hint="eastAsia"/>
          <w:bCs w:val="0"/>
        </w:rPr>
        <w:t>因經</w:t>
      </w:r>
      <w:r w:rsidR="0063235D" w:rsidRPr="00714BF6">
        <w:rPr>
          <w:rFonts w:hint="eastAsia"/>
          <w:bCs w:val="0"/>
        </w:rPr>
        <w:t>費</w:t>
      </w:r>
      <w:r w:rsidR="00AC1DF5" w:rsidRPr="00714BF6">
        <w:rPr>
          <w:rFonts w:hint="eastAsia"/>
          <w:bCs w:val="0"/>
        </w:rPr>
        <w:t>因素</w:t>
      </w:r>
      <w:r w:rsidR="0085046C" w:rsidRPr="00714BF6">
        <w:rPr>
          <w:rFonts w:hint="eastAsia"/>
          <w:bCs w:val="0"/>
        </w:rPr>
        <w:t>，難以續行此類教學基礎建制，</w:t>
      </w:r>
      <w:r w:rsidR="003E1DEF" w:rsidRPr="00714BF6">
        <w:rPr>
          <w:rFonts w:hint="eastAsia"/>
          <w:bCs w:val="0"/>
        </w:rPr>
        <w:t>同樣</w:t>
      </w:r>
      <w:r w:rsidR="00AC1DF5" w:rsidRPr="00714BF6">
        <w:rPr>
          <w:rFonts w:hint="eastAsia"/>
          <w:bCs w:val="0"/>
        </w:rPr>
        <w:t>顯示</w:t>
      </w:r>
      <w:r w:rsidR="003E1DEF" w:rsidRPr="00714BF6">
        <w:rPr>
          <w:rFonts w:hint="eastAsia"/>
          <w:bCs w:val="0"/>
        </w:rPr>
        <w:t>教學卓越計畫宗旨定位之模糊不清，後續實有必要</w:t>
      </w:r>
      <w:proofErr w:type="gramStart"/>
      <w:r w:rsidR="003E1DEF" w:rsidRPr="00714BF6">
        <w:rPr>
          <w:rFonts w:hint="eastAsia"/>
          <w:bCs w:val="0"/>
        </w:rPr>
        <w:t>釐</w:t>
      </w:r>
      <w:proofErr w:type="gramEnd"/>
      <w:r w:rsidR="003E1DEF" w:rsidRPr="00714BF6">
        <w:rPr>
          <w:rFonts w:hint="eastAsia"/>
          <w:bCs w:val="0"/>
        </w:rPr>
        <w:t>清各項教學措施之取向及效益，</w:t>
      </w:r>
      <w:proofErr w:type="gramStart"/>
      <w:r w:rsidR="003E1DEF" w:rsidRPr="00714BF6">
        <w:rPr>
          <w:rFonts w:hint="eastAsia"/>
          <w:bCs w:val="0"/>
        </w:rPr>
        <w:t>俾</w:t>
      </w:r>
      <w:proofErr w:type="gramEnd"/>
      <w:r w:rsidR="0063235D" w:rsidRPr="00714BF6">
        <w:rPr>
          <w:rFonts w:hint="eastAsia"/>
          <w:bCs w:val="0"/>
        </w:rPr>
        <w:t>確</w:t>
      </w:r>
      <w:r w:rsidR="003E1DEF" w:rsidRPr="00714BF6">
        <w:rPr>
          <w:rFonts w:hint="eastAsia"/>
          <w:bCs w:val="0"/>
        </w:rPr>
        <w:t>實改善教學品質。</w:t>
      </w:r>
    </w:p>
    <w:p w:rsidR="00914F70" w:rsidRPr="00AA0936" w:rsidRDefault="002D26FE" w:rsidP="009E6375">
      <w:pPr>
        <w:pStyle w:val="3"/>
        <w:spacing w:line="480" w:lineRule="exact"/>
        <w:rPr>
          <w:rFonts w:hint="eastAsia"/>
          <w:b/>
          <w:bCs w:val="0"/>
          <w:kern w:val="0"/>
        </w:rPr>
      </w:pPr>
      <w:r w:rsidRPr="00714BF6">
        <w:rPr>
          <w:rFonts w:hint="eastAsia"/>
          <w:bCs w:val="0"/>
        </w:rPr>
        <w:t>綜上，</w:t>
      </w:r>
      <w:r w:rsidR="00175899" w:rsidRPr="00714BF6">
        <w:rPr>
          <w:rFonts w:hAnsi="標楷體" w:hint="eastAsia"/>
        </w:rPr>
        <w:t>教學卓越計畫之設計，雖已藉規範學校以自籌款項執行相關教學措施，並以事前審核學校永續機制之作法，引導學校於計畫經費補助結束後持續推動相關教學措施，然實際上，</w:t>
      </w:r>
      <w:r w:rsidR="006C4A72" w:rsidRPr="00714BF6">
        <w:rPr>
          <w:rFonts w:hAnsi="標楷體" w:hint="eastAsia"/>
        </w:rPr>
        <w:t>該計劃經數年推動，</w:t>
      </w:r>
      <w:r w:rsidR="004102FD" w:rsidRPr="00714BF6">
        <w:rPr>
          <w:rFonts w:hAnsi="標楷體" w:hint="eastAsia"/>
        </w:rPr>
        <w:t>經費中源自</w:t>
      </w:r>
      <w:r w:rsidR="006C4A72" w:rsidRPr="00714BF6">
        <w:rPr>
          <w:rFonts w:hAnsi="標楷體" w:hint="eastAsia"/>
        </w:rPr>
        <w:t>學校校務基金</w:t>
      </w:r>
      <w:r w:rsidR="004102FD" w:rsidRPr="00714BF6">
        <w:rPr>
          <w:rFonts w:hAnsi="標楷體" w:hint="eastAsia"/>
        </w:rPr>
        <w:t>之</w:t>
      </w:r>
      <w:r w:rsidR="006C4A72" w:rsidRPr="00714BF6">
        <w:rPr>
          <w:rFonts w:hAnsi="標楷體" w:hint="eastAsia"/>
        </w:rPr>
        <w:t>自籌款實無顯著成長，</w:t>
      </w:r>
      <w:proofErr w:type="gramStart"/>
      <w:r w:rsidR="006F1F4C" w:rsidRPr="00714BF6">
        <w:rPr>
          <w:rFonts w:hAnsi="標楷體" w:hint="eastAsia"/>
        </w:rPr>
        <w:t>況</w:t>
      </w:r>
      <w:proofErr w:type="gramEnd"/>
      <w:r w:rsidR="006F1F4C" w:rsidRPr="00714BF6">
        <w:rPr>
          <w:rFonts w:hAnsi="標楷體" w:hint="eastAsia"/>
        </w:rPr>
        <w:t>以審計部近年</w:t>
      </w:r>
      <w:r w:rsidR="006F1F4C" w:rsidRPr="00714BF6">
        <w:rPr>
          <w:rFonts w:hAnsi="標楷體"/>
        </w:rPr>
        <w:t>中央政府總決算審核報告均指出，逾七成國立大學之預算執行未達收支平衡</w:t>
      </w:r>
      <w:r w:rsidR="006F1F4C" w:rsidRPr="00714BF6">
        <w:rPr>
          <w:rFonts w:hAnsi="標楷體" w:hint="eastAsia"/>
        </w:rPr>
        <w:t>，</w:t>
      </w:r>
      <w:r w:rsidR="006F1F4C" w:rsidRPr="00714BF6">
        <w:rPr>
          <w:rFonts w:hAnsi="標楷體"/>
        </w:rPr>
        <w:t>實施校務基金校院仍仰賴政府補助經費</w:t>
      </w:r>
      <w:proofErr w:type="gramStart"/>
      <w:r w:rsidR="006F1F4C" w:rsidRPr="00714BF6">
        <w:rPr>
          <w:rFonts w:hAnsi="標楷體"/>
        </w:rPr>
        <w:t>挹</w:t>
      </w:r>
      <w:proofErr w:type="gramEnd"/>
      <w:r w:rsidR="006F1F4C" w:rsidRPr="00714BF6">
        <w:rPr>
          <w:rFonts w:hAnsi="標楷體"/>
        </w:rPr>
        <w:t>注其營運</w:t>
      </w:r>
      <w:r w:rsidR="00DC76D2" w:rsidRPr="00714BF6">
        <w:rPr>
          <w:rStyle w:val="aff2"/>
          <w:rFonts w:hAnsi="標楷體"/>
        </w:rPr>
        <w:footnoteReference w:id="14"/>
      </w:r>
      <w:r w:rsidR="00DC76D2" w:rsidRPr="00714BF6">
        <w:rPr>
          <w:rFonts w:hAnsi="標楷體" w:hint="eastAsia"/>
        </w:rPr>
        <w:t>，益證</w:t>
      </w:r>
      <w:r w:rsidR="00175899" w:rsidRPr="00714BF6">
        <w:rPr>
          <w:rFonts w:hAnsi="標楷體" w:hint="eastAsia"/>
        </w:rPr>
        <w:t>部分教學</w:t>
      </w:r>
      <w:r w:rsidR="0063235D" w:rsidRPr="00714BF6">
        <w:rPr>
          <w:rFonts w:hAnsi="標楷體" w:hint="eastAsia"/>
        </w:rPr>
        <w:t>之相關</w:t>
      </w:r>
      <w:r w:rsidR="00175899" w:rsidRPr="00714BF6">
        <w:rPr>
          <w:rFonts w:hAnsi="標楷體" w:hint="eastAsia"/>
        </w:rPr>
        <w:t>建制於經費中斷後</w:t>
      </w:r>
      <w:r w:rsidR="0063235D" w:rsidRPr="00714BF6">
        <w:rPr>
          <w:rFonts w:hAnsi="標楷體" w:hint="eastAsia"/>
        </w:rPr>
        <w:t>恐</w:t>
      </w:r>
      <w:r w:rsidR="00175899" w:rsidRPr="00714BF6">
        <w:rPr>
          <w:rFonts w:hAnsi="標楷體" w:hint="eastAsia"/>
        </w:rPr>
        <w:t>無以為繼，「永續機制」</w:t>
      </w:r>
      <w:r w:rsidR="0063235D" w:rsidRPr="00714BF6">
        <w:rPr>
          <w:rFonts w:hAnsi="標楷體" w:hint="eastAsia"/>
          <w:kern w:val="0"/>
          <w:szCs w:val="32"/>
        </w:rPr>
        <w:t>不無疑慮</w:t>
      </w:r>
      <w:r w:rsidR="00DC76D2" w:rsidRPr="00714BF6">
        <w:rPr>
          <w:rFonts w:hAnsi="標楷體" w:hint="eastAsia"/>
        </w:rPr>
        <w:t>；</w:t>
      </w:r>
      <w:proofErr w:type="gramStart"/>
      <w:r w:rsidR="00DC76D2" w:rsidRPr="00714BF6">
        <w:rPr>
          <w:rFonts w:hAnsi="標楷體" w:hint="eastAsia"/>
        </w:rPr>
        <w:t>再者，</w:t>
      </w:r>
      <w:proofErr w:type="gramEnd"/>
      <w:r w:rsidR="00175899" w:rsidRPr="00714BF6">
        <w:rPr>
          <w:rFonts w:hAnsi="標楷體" w:hint="eastAsia"/>
        </w:rPr>
        <w:t>部分教學建制實為教學基礎建設，</w:t>
      </w:r>
      <w:r w:rsidR="00B07332" w:rsidRPr="00714BF6">
        <w:rPr>
          <w:rFonts w:hAnsi="標楷體" w:hint="eastAsia"/>
        </w:rPr>
        <w:t>後續教育部</w:t>
      </w:r>
      <w:r w:rsidR="004102FD" w:rsidRPr="00714BF6">
        <w:rPr>
          <w:rFonts w:hAnsi="標楷體" w:hint="eastAsia"/>
        </w:rPr>
        <w:t>允應</w:t>
      </w:r>
      <w:proofErr w:type="gramStart"/>
      <w:r w:rsidR="004102FD" w:rsidRPr="00714BF6">
        <w:rPr>
          <w:rFonts w:hAnsi="標楷體" w:hint="eastAsia"/>
        </w:rPr>
        <w:t>併</w:t>
      </w:r>
      <w:proofErr w:type="gramEnd"/>
      <w:r w:rsidR="004102FD" w:rsidRPr="00714BF6">
        <w:rPr>
          <w:rFonts w:hAnsi="標楷體" w:hint="eastAsia"/>
        </w:rPr>
        <w:t>同檢討如何</w:t>
      </w:r>
      <w:r w:rsidR="0063235D" w:rsidRPr="00714BF6">
        <w:rPr>
          <w:rFonts w:hAnsi="標楷體" w:hint="eastAsia"/>
        </w:rPr>
        <w:t>在「基礎」與「拔尖」間做出區隔，</w:t>
      </w:r>
      <w:r w:rsidR="004102FD" w:rsidRPr="00714BF6">
        <w:rPr>
          <w:rFonts w:hAnsi="標楷體" w:hint="eastAsia"/>
        </w:rPr>
        <w:t>以</w:t>
      </w:r>
      <w:proofErr w:type="gramStart"/>
      <w:r w:rsidR="004102FD" w:rsidRPr="00714BF6">
        <w:rPr>
          <w:rFonts w:hAnsi="標楷體" w:hint="eastAsia"/>
        </w:rPr>
        <w:t>釐</w:t>
      </w:r>
      <w:proofErr w:type="gramEnd"/>
      <w:r w:rsidR="004102FD" w:rsidRPr="00714BF6">
        <w:rPr>
          <w:rFonts w:hAnsi="標楷體" w:hint="eastAsia"/>
        </w:rPr>
        <w:t>清政策宗旨與定位。</w:t>
      </w:r>
      <w:r w:rsidR="00914F70" w:rsidRPr="00714BF6">
        <w:rPr>
          <w:rFonts w:hint="eastAsia"/>
        </w:rPr>
        <w:t>第3期獎勵大學教學卓越計畫預計於本(105)年12月31日結束，本年因新舊政府交</w:t>
      </w:r>
      <w:r w:rsidR="007D6A0B" w:rsidRPr="00714BF6">
        <w:rPr>
          <w:rFonts w:hint="eastAsia"/>
        </w:rPr>
        <w:lastRenderedPageBreak/>
        <w:t>替，教育部原</w:t>
      </w:r>
      <w:r w:rsidR="00914F70" w:rsidRPr="00714BF6">
        <w:rPr>
          <w:rFonts w:hint="eastAsia"/>
        </w:rPr>
        <w:t>規劃之「新世代高教藍圖與發展方案」無法於106年1月1日</w:t>
      </w:r>
      <w:r w:rsidR="007D6A0B" w:rsidRPr="00714BF6">
        <w:rPr>
          <w:rFonts w:hint="eastAsia"/>
        </w:rPr>
        <w:t>如期</w:t>
      </w:r>
      <w:r w:rsidR="00B93832" w:rsidRPr="00714BF6">
        <w:rPr>
          <w:rFonts w:hint="eastAsia"/>
        </w:rPr>
        <w:t>上路</w:t>
      </w:r>
      <w:r w:rsidR="00914F70" w:rsidRPr="00714BF6">
        <w:rPr>
          <w:rFonts w:hint="eastAsia"/>
        </w:rPr>
        <w:t>，是以該部規劃</w:t>
      </w:r>
      <w:r w:rsidR="007D6A0B" w:rsidRPr="00714BF6">
        <w:rPr>
          <w:rFonts w:hint="eastAsia"/>
        </w:rPr>
        <w:t>先以</w:t>
      </w:r>
      <w:r w:rsidR="00914F70" w:rsidRPr="00714BF6">
        <w:rPr>
          <w:rFonts w:hint="eastAsia"/>
        </w:rPr>
        <w:t>延續補助學校1年經</w:t>
      </w:r>
      <w:r w:rsidR="00914F70" w:rsidRPr="00714BF6">
        <w:rPr>
          <w:rFonts w:hint="eastAsia"/>
          <w:bCs w:val="0"/>
        </w:rPr>
        <w:t>費因應之，於本案調查期間座談會上，</w:t>
      </w:r>
      <w:proofErr w:type="gramStart"/>
      <w:r w:rsidR="00914F70" w:rsidRPr="00714BF6">
        <w:rPr>
          <w:rFonts w:hint="eastAsia"/>
          <w:bCs w:val="0"/>
        </w:rPr>
        <w:t>該部並稱</w:t>
      </w:r>
      <w:proofErr w:type="gramEnd"/>
      <w:r w:rsidR="00914F70" w:rsidRPr="00714BF6">
        <w:rPr>
          <w:rFonts w:hint="eastAsia"/>
          <w:bCs w:val="0"/>
        </w:rPr>
        <w:t>106年延續計畫已報行政院；然而，教學卓越計畫及其子計畫結束後，後續具體變革尚不</w:t>
      </w:r>
      <w:r w:rsidR="007D6A0B" w:rsidRPr="00714BF6">
        <w:rPr>
          <w:rFonts w:hint="eastAsia"/>
          <w:bCs w:val="0"/>
        </w:rPr>
        <w:t>確定</w:t>
      </w:r>
      <w:r w:rsidR="00914F70" w:rsidRPr="00714BF6">
        <w:rPr>
          <w:rFonts w:hint="eastAsia"/>
          <w:bCs w:val="0"/>
        </w:rPr>
        <w:t>，</w:t>
      </w:r>
      <w:r w:rsidR="009E6375" w:rsidRPr="00714BF6">
        <w:rPr>
          <w:rFonts w:hint="eastAsia"/>
          <w:bCs w:val="0"/>
        </w:rPr>
        <w:t>造成大學校院校園不安，後續允</w:t>
      </w:r>
      <w:r w:rsidR="007D6A0B" w:rsidRPr="00714BF6">
        <w:rPr>
          <w:rFonts w:hint="eastAsia"/>
          <w:bCs w:val="0"/>
        </w:rPr>
        <w:t>應</w:t>
      </w:r>
      <w:r w:rsidR="009E6375" w:rsidRPr="00714BF6">
        <w:rPr>
          <w:rFonts w:hint="eastAsia"/>
          <w:bCs w:val="0"/>
        </w:rPr>
        <w:t>由教育部參酌</w:t>
      </w:r>
      <w:r w:rsidR="00B93832" w:rsidRPr="00714BF6">
        <w:rPr>
          <w:rFonts w:hint="eastAsia"/>
          <w:bCs w:val="0"/>
        </w:rPr>
        <w:t>上情</w:t>
      </w:r>
      <w:r w:rsidR="007D6A0B" w:rsidRPr="00714BF6">
        <w:rPr>
          <w:rFonts w:hint="eastAsia"/>
          <w:bCs w:val="0"/>
        </w:rPr>
        <w:t>儘速</w:t>
      </w:r>
      <w:r w:rsidR="009E6375" w:rsidRPr="00714BF6">
        <w:rPr>
          <w:rFonts w:hint="eastAsia"/>
          <w:bCs w:val="0"/>
        </w:rPr>
        <w:t>定案</w:t>
      </w:r>
      <w:r w:rsidR="00914F70" w:rsidRPr="00714BF6">
        <w:rPr>
          <w:rFonts w:hint="eastAsia"/>
          <w:bCs w:val="0"/>
        </w:rPr>
        <w:t>。</w:t>
      </w:r>
    </w:p>
    <w:bookmarkEnd w:id="49"/>
    <w:p w:rsidR="00AA0936" w:rsidRDefault="00AA0936" w:rsidP="00AA0936">
      <w:pPr>
        <w:pStyle w:val="1"/>
        <w:numPr>
          <w:ilvl w:val="0"/>
          <w:numId w:val="0"/>
        </w:numPr>
        <w:spacing w:line="480" w:lineRule="exact"/>
        <w:rPr>
          <w:rFonts w:hAnsi="標楷體" w:hint="eastAsia"/>
          <w:spacing w:val="12"/>
          <w:kern w:val="0"/>
          <w:sz w:val="40"/>
        </w:rPr>
      </w:pPr>
    </w:p>
    <w:p w:rsidR="00AA0936" w:rsidRDefault="00AA0936" w:rsidP="00AA0936">
      <w:pPr>
        <w:pStyle w:val="1"/>
        <w:numPr>
          <w:ilvl w:val="0"/>
          <w:numId w:val="0"/>
        </w:numPr>
        <w:spacing w:line="480" w:lineRule="exact"/>
        <w:rPr>
          <w:rFonts w:hAnsi="標楷體" w:hint="eastAsia"/>
          <w:spacing w:val="12"/>
          <w:kern w:val="0"/>
          <w:sz w:val="40"/>
        </w:rPr>
      </w:pPr>
    </w:p>
    <w:p w:rsidR="00AA0936" w:rsidRDefault="00AA0936" w:rsidP="00AA0936">
      <w:pPr>
        <w:pStyle w:val="1"/>
        <w:numPr>
          <w:ilvl w:val="0"/>
          <w:numId w:val="0"/>
        </w:numPr>
        <w:spacing w:line="480" w:lineRule="exact"/>
        <w:rPr>
          <w:rFonts w:hAnsi="標楷體" w:hint="eastAsia"/>
          <w:spacing w:val="12"/>
          <w:kern w:val="0"/>
          <w:sz w:val="40"/>
        </w:rPr>
      </w:pPr>
    </w:p>
    <w:p w:rsidR="005E4E4B" w:rsidRPr="005E4E4B" w:rsidRDefault="005E4E4B" w:rsidP="00AA0936">
      <w:pPr>
        <w:pStyle w:val="1"/>
        <w:numPr>
          <w:ilvl w:val="0"/>
          <w:numId w:val="0"/>
        </w:numPr>
        <w:spacing w:line="480" w:lineRule="exact"/>
        <w:ind w:leftChars="1500" w:left="4800"/>
        <w:jc w:val="center"/>
        <w:rPr>
          <w:rFonts w:hAnsi="標楷體"/>
          <w:b/>
          <w:bCs w:val="0"/>
          <w:kern w:val="0"/>
          <w:sz w:val="40"/>
          <w:szCs w:val="40"/>
        </w:rPr>
      </w:pPr>
      <w:r w:rsidRPr="005E4E4B">
        <w:rPr>
          <w:rFonts w:hAnsi="標楷體" w:hint="eastAsia"/>
          <w:spacing w:val="12"/>
          <w:kern w:val="0"/>
          <w:sz w:val="40"/>
          <w:szCs w:val="40"/>
        </w:rPr>
        <w:t>調查委員：陳小紅</w:t>
      </w:r>
      <w:bookmarkStart w:id="68" w:name="_GoBack"/>
      <w:bookmarkEnd w:id="68"/>
    </w:p>
    <w:p w:rsidR="00BF5FCF" w:rsidRDefault="005E4E4B" w:rsidP="00AA0936">
      <w:pPr>
        <w:pStyle w:val="1"/>
        <w:numPr>
          <w:ilvl w:val="0"/>
          <w:numId w:val="0"/>
        </w:numPr>
        <w:spacing w:line="480" w:lineRule="exact"/>
        <w:ind w:leftChars="425" w:left="4195" w:hanging="2835"/>
        <w:jc w:val="left"/>
        <w:rPr>
          <w:rFonts w:hAnsi="標楷體"/>
          <w:bCs w:val="0"/>
        </w:rPr>
      </w:pPr>
      <w:r w:rsidRPr="005E4E4B">
        <w:rPr>
          <w:rFonts w:hAnsi="標楷體" w:hint="eastAsia"/>
          <w:b/>
          <w:bCs w:val="0"/>
          <w:spacing w:val="12"/>
          <w:kern w:val="0"/>
          <w:sz w:val="40"/>
          <w:szCs w:val="40"/>
        </w:rPr>
        <w:t xml:space="preserve"> </w:t>
      </w:r>
      <w:r w:rsidR="00AA0936">
        <w:rPr>
          <w:rFonts w:hAnsi="標楷體" w:hint="eastAsia"/>
          <w:b/>
          <w:bCs w:val="0"/>
          <w:spacing w:val="12"/>
          <w:kern w:val="0"/>
          <w:sz w:val="40"/>
          <w:szCs w:val="40"/>
        </w:rPr>
        <w:t xml:space="preserve">   </w:t>
      </w:r>
      <w:r w:rsidR="00B630DD">
        <w:rPr>
          <w:rFonts w:hAnsi="標楷體" w:hint="eastAsia"/>
          <w:spacing w:val="12"/>
          <w:kern w:val="0"/>
          <w:sz w:val="40"/>
          <w:szCs w:val="40"/>
        </w:rPr>
        <w:t xml:space="preserve">                        </w:t>
      </w:r>
      <w:r w:rsidRPr="005E4E4B">
        <w:rPr>
          <w:rFonts w:hAnsi="標楷體" w:hint="eastAsia"/>
          <w:spacing w:val="12"/>
          <w:kern w:val="0"/>
          <w:sz w:val="40"/>
          <w:szCs w:val="40"/>
        </w:rPr>
        <w:t>仉桂美</w:t>
      </w:r>
    </w:p>
    <w:sectPr w:rsidR="00BF5FCF" w:rsidSect="00AA0936">
      <w:pgSz w:w="11907" w:h="16840" w:code="9"/>
      <w:pgMar w:top="1021" w:right="1021" w:bottom="1021" w:left="1021" w:header="851" w:footer="851" w:gutter="227"/>
      <w:cols w:space="425"/>
      <w:docGrid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6D9" w:rsidRDefault="00F346D9">
      <w:r>
        <w:separator/>
      </w:r>
    </w:p>
  </w:endnote>
  <w:endnote w:type="continuationSeparator" w:id="0">
    <w:p w:rsidR="00F346D9" w:rsidRDefault="00F34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panose1 w:val="03000500000000000000"/>
    <w:charset w:val="88"/>
    <w:family w:val="script"/>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dobeMingStd-Ligh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E87" w:rsidRDefault="00386E87">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AA0936">
      <w:rPr>
        <w:rStyle w:val="ad"/>
        <w:noProof/>
        <w:sz w:val="24"/>
      </w:rPr>
      <w:t>34</w:t>
    </w:r>
    <w:r>
      <w:rPr>
        <w:rStyle w:val="ad"/>
        <w:sz w:val="24"/>
      </w:rPr>
      <w:fldChar w:fldCharType="end"/>
    </w:r>
  </w:p>
  <w:p w:rsidR="00386E87" w:rsidRDefault="00386E8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6D9" w:rsidRDefault="00F346D9">
      <w:r>
        <w:separator/>
      </w:r>
    </w:p>
  </w:footnote>
  <w:footnote w:type="continuationSeparator" w:id="0">
    <w:p w:rsidR="00F346D9" w:rsidRDefault="00F346D9">
      <w:r>
        <w:continuationSeparator/>
      </w:r>
    </w:p>
  </w:footnote>
  <w:footnote w:id="1">
    <w:p w:rsidR="00386E87" w:rsidRDefault="00386E87" w:rsidP="00211DD5">
      <w:pPr>
        <w:pStyle w:val="aff0"/>
      </w:pPr>
      <w:r>
        <w:rPr>
          <w:rStyle w:val="aff2"/>
        </w:rPr>
        <w:footnoteRef/>
      </w:r>
      <w:r>
        <w:t xml:space="preserve"> </w:t>
      </w:r>
      <w:r>
        <w:rPr>
          <w:rFonts w:hint="eastAsia"/>
        </w:rPr>
        <w:t>本院於105年3月8日召開專家學者諮詢會議研討案關議題。</w:t>
      </w:r>
    </w:p>
  </w:footnote>
  <w:footnote w:id="2">
    <w:p w:rsidR="00386E87" w:rsidRPr="006F33A8" w:rsidRDefault="00386E87">
      <w:pPr>
        <w:pStyle w:val="aff0"/>
      </w:pPr>
      <w:r>
        <w:rPr>
          <w:rStyle w:val="aff2"/>
        </w:rPr>
        <w:footnoteRef/>
      </w:r>
      <w:r>
        <w:t xml:space="preserve"> </w:t>
      </w:r>
      <w:r>
        <w:rPr>
          <w:rFonts w:hint="eastAsia"/>
        </w:rPr>
        <w:t>資料來源：審計部</w:t>
      </w:r>
      <w:proofErr w:type="gramStart"/>
      <w:r>
        <w:rPr>
          <w:rFonts w:hint="eastAsia"/>
        </w:rPr>
        <w:t>103</w:t>
      </w:r>
      <w:proofErr w:type="gramEnd"/>
      <w:r>
        <w:rPr>
          <w:rFonts w:hint="eastAsia"/>
        </w:rPr>
        <w:t>年度中央政府總決算審核報告。</w:t>
      </w:r>
    </w:p>
  </w:footnote>
  <w:footnote w:id="3">
    <w:p w:rsidR="00386E87" w:rsidRDefault="00386E87" w:rsidP="00E43785">
      <w:pPr>
        <w:pStyle w:val="aff0"/>
      </w:pPr>
      <w:r>
        <w:rPr>
          <w:rStyle w:val="aff2"/>
        </w:rPr>
        <w:footnoteRef/>
      </w:r>
      <w:r>
        <w:t xml:space="preserve"> </w:t>
      </w:r>
      <w:r>
        <w:rPr>
          <w:rFonts w:hint="eastAsia"/>
        </w:rPr>
        <w:t>資料來源：</w:t>
      </w:r>
      <w:proofErr w:type="gramStart"/>
      <w:r>
        <w:rPr>
          <w:rFonts w:hint="eastAsia"/>
        </w:rPr>
        <w:t>教育部部史網站</w:t>
      </w:r>
      <w:proofErr w:type="gramEnd"/>
      <w:r>
        <w:rPr>
          <w:rFonts w:hint="eastAsia"/>
        </w:rPr>
        <w:t>(</w:t>
      </w:r>
      <w:hyperlink r:id="rId1" w:history="1">
        <w:r w:rsidRPr="00077863">
          <w:rPr>
            <w:rStyle w:val="af"/>
          </w:rPr>
          <w:t>http://history.moe.gov.tw/policy.asp?id=7)</w:t>
        </w:r>
        <w:r w:rsidRPr="00077863">
          <w:rPr>
            <w:rStyle w:val="af"/>
            <w:rFonts w:hint="eastAsia"/>
          </w:rPr>
          <w:t>：重大教育發</w:t>
        </w:r>
      </w:hyperlink>
      <w:r>
        <w:rPr>
          <w:rFonts w:hint="eastAsia"/>
        </w:rPr>
        <w:t xml:space="preserve"> </w:t>
      </w:r>
    </w:p>
    <w:p w:rsidR="00386E87" w:rsidRDefault="00386E87" w:rsidP="00E43785">
      <w:pPr>
        <w:pStyle w:val="aff0"/>
      </w:pPr>
      <w:r>
        <w:rPr>
          <w:rFonts w:hint="eastAsia"/>
        </w:rPr>
        <w:t xml:space="preserve">  展</w:t>
      </w:r>
      <w:r w:rsidRPr="002D0855">
        <w:rPr>
          <w:rFonts w:hint="eastAsia"/>
        </w:rPr>
        <w:t>歷程</w:t>
      </w:r>
      <w:r>
        <w:rPr>
          <w:rFonts w:hint="eastAsia"/>
        </w:rPr>
        <w:t>/教育改革。</w:t>
      </w:r>
    </w:p>
  </w:footnote>
  <w:footnote w:id="4">
    <w:p w:rsidR="00386E87" w:rsidRDefault="00386E87" w:rsidP="00E43785">
      <w:pPr>
        <w:pStyle w:val="aff0"/>
      </w:pPr>
      <w:r>
        <w:rPr>
          <w:rStyle w:val="aff2"/>
        </w:rPr>
        <w:footnoteRef/>
      </w:r>
      <w:r>
        <w:t xml:space="preserve"> </w:t>
      </w:r>
      <w:r>
        <w:rPr>
          <w:rFonts w:hint="eastAsia"/>
        </w:rPr>
        <w:t>資料來源：科技年鑑網(</w:t>
      </w:r>
      <w:hyperlink r:id="rId2" w:history="1">
        <w:r w:rsidRPr="00077863">
          <w:rPr>
            <w:rStyle w:val="af"/>
          </w:rPr>
          <w:t>http://yearbook.stpi.org.tw/94bookbrowse/0-IV.htm</w:t>
        </w:r>
      </w:hyperlink>
      <w:r>
        <w:rPr>
          <w:rFonts w:hint="eastAsia"/>
        </w:rPr>
        <w:t>)</w:t>
      </w:r>
      <w:r>
        <w:rPr>
          <w:rFonts w:hint="eastAsia"/>
        </w:rPr>
        <w:t>，暨教育</w:t>
      </w:r>
    </w:p>
    <w:p w:rsidR="00386E87" w:rsidRDefault="00386E87" w:rsidP="00E43785">
      <w:pPr>
        <w:pStyle w:val="aff0"/>
      </w:pPr>
      <w:r>
        <w:rPr>
          <w:rFonts w:hint="eastAsia"/>
        </w:rPr>
        <w:t xml:space="preserve">  部(民102)。大學政策白皮書。取自</w:t>
      </w:r>
      <w:proofErr w:type="gramStart"/>
      <w:r>
        <w:rPr>
          <w:rFonts w:hint="eastAsia"/>
        </w:rPr>
        <w:t>教育部部史網站</w:t>
      </w:r>
      <w:proofErr w:type="gramEnd"/>
    </w:p>
    <w:p w:rsidR="00386E87" w:rsidRPr="009176AF" w:rsidRDefault="00386E87" w:rsidP="00E43785">
      <w:pPr>
        <w:pStyle w:val="aff0"/>
      </w:pPr>
      <w:r>
        <w:rPr>
          <w:rFonts w:hint="eastAsia"/>
        </w:rPr>
        <w:t>(</w:t>
      </w:r>
      <w:hyperlink r:id="rId3" w:history="1">
        <w:r w:rsidRPr="00077863">
          <w:rPr>
            <w:rStyle w:val="af"/>
          </w:rPr>
          <w:t>http://ws.moe.edu.tw/001/Upload/3/RelFile/6315/6936/90.07%E5%A4%A7%E5%AD%B8%E6%95%99%E8%82%B2%E6%94%BF%E7%AD%96%E7%99%BD%E7%9A%AE%E6%9B%B8.pdf</w:t>
        </w:r>
      </w:hyperlink>
      <w:r>
        <w:rPr>
          <w:rFonts w:hint="eastAsia"/>
        </w:rPr>
        <w:t>)。</w:t>
      </w:r>
    </w:p>
  </w:footnote>
  <w:footnote w:id="5">
    <w:p w:rsidR="00386E87" w:rsidRPr="00242EA4" w:rsidRDefault="00386E87" w:rsidP="00E43785">
      <w:pPr>
        <w:overflowPunct/>
        <w:adjustRightInd w:val="0"/>
        <w:jc w:val="left"/>
        <w:rPr>
          <w:rFonts w:ascii="AdobeMingStd-Light" w:eastAsia="AdobeMingStd-Light" w:cs="AdobeMingStd-Light"/>
          <w:kern w:val="0"/>
          <w:sz w:val="24"/>
          <w:szCs w:val="24"/>
        </w:rPr>
      </w:pPr>
      <w:r w:rsidRPr="003C42EA">
        <w:rPr>
          <w:rStyle w:val="aff2"/>
          <w:sz w:val="20"/>
        </w:rPr>
        <w:footnoteRef/>
      </w:r>
      <w:r w:rsidRPr="003C42EA">
        <w:rPr>
          <w:rStyle w:val="aff2"/>
        </w:rPr>
        <w:t xml:space="preserve"> </w:t>
      </w:r>
      <w:r w:rsidRPr="00242EA4">
        <w:rPr>
          <w:rFonts w:hint="eastAsia"/>
          <w:sz w:val="20"/>
        </w:rPr>
        <w:t>科技部103</w:t>
      </w:r>
      <w:r w:rsidRPr="00242EA4">
        <w:rPr>
          <w:rFonts w:hint="eastAsia"/>
          <w:sz w:val="20"/>
        </w:rPr>
        <w:t>年8月1日科</w:t>
      </w:r>
      <w:proofErr w:type="gramStart"/>
      <w:r w:rsidRPr="00242EA4">
        <w:rPr>
          <w:rFonts w:hint="eastAsia"/>
          <w:sz w:val="20"/>
        </w:rPr>
        <w:t>部綜字</w:t>
      </w:r>
      <w:proofErr w:type="gramEnd"/>
      <w:r w:rsidRPr="00242EA4">
        <w:rPr>
          <w:rFonts w:hint="eastAsia"/>
          <w:sz w:val="20"/>
        </w:rPr>
        <w:t>第</w:t>
      </w:r>
      <w:r w:rsidRPr="00242EA4">
        <w:rPr>
          <w:sz w:val="20"/>
        </w:rPr>
        <w:t>1030057602</w:t>
      </w:r>
      <w:r w:rsidRPr="00242EA4">
        <w:rPr>
          <w:rFonts w:hint="eastAsia"/>
          <w:sz w:val="20"/>
        </w:rPr>
        <w:t>號函參照。</w:t>
      </w:r>
    </w:p>
  </w:footnote>
  <w:footnote w:id="6">
    <w:p w:rsidR="00386E87" w:rsidRDefault="00386E87" w:rsidP="00E43785">
      <w:pPr>
        <w:pStyle w:val="aff0"/>
        <w:rPr>
          <w:rFonts w:ascii="Arial" w:hAnsi="Arial" w:cs="Arial"/>
          <w:color w:val="343434"/>
        </w:rPr>
      </w:pPr>
      <w:r>
        <w:rPr>
          <w:rStyle w:val="aff2"/>
        </w:rPr>
        <w:footnoteRef/>
      </w:r>
      <w:r>
        <w:rPr>
          <w:rFonts w:hint="eastAsia"/>
        </w:rPr>
        <w:t xml:space="preserve"> </w:t>
      </w:r>
      <w:r w:rsidRPr="00C420C3">
        <w:rPr>
          <w:rFonts w:hint="eastAsia"/>
        </w:rPr>
        <w:t>第1</w:t>
      </w:r>
      <w:r w:rsidRPr="00C420C3">
        <w:rPr>
          <w:rFonts w:hint="eastAsia"/>
        </w:rPr>
        <w:t>期計畫名為「</w:t>
      </w:r>
      <w:r w:rsidRPr="00C420C3">
        <w:rPr>
          <w:rFonts w:hAnsi="Arial"/>
        </w:rPr>
        <w:t>發展國際一流大學及頂尖研究中心計畫」自95年至100年3月</w:t>
      </w:r>
      <w:r>
        <w:rPr>
          <w:rFonts w:hAnsi="Arial" w:hint="eastAsia"/>
        </w:rPr>
        <w:t>；</w:t>
      </w:r>
      <w:r>
        <w:rPr>
          <w:rFonts w:ascii="Arial" w:hAnsi="Arial" w:cs="Arial"/>
          <w:color w:val="343434"/>
        </w:rPr>
        <w:t>第</w:t>
      </w:r>
      <w:r>
        <w:rPr>
          <w:rFonts w:ascii="Arial" w:hAnsi="Arial" w:cs="Arial"/>
          <w:color w:val="343434"/>
        </w:rPr>
        <w:t>2</w:t>
      </w:r>
      <w:r>
        <w:rPr>
          <w:rFonts w:ascii="Arial" w:hAnsi="Arial" w:cs="Arial"/>
          <w:color w:val="343434"/>
        </w:rPr>
        <w:t>期更名為「邁向</w:t>
      </w:r>
    </w:p>
    <w:p w:rsidR="00386E87" w:rsidRPr="002341DC" w:rsidRDefault="00386E87" w:rsidP="00AA0936">
      <w:pPr>
        <w:pStyle w:val="aff0"/>
        <w:ind w:firstLineChars="100" w:firstLine="200"/>
      </w:pPr>
      <w:r>
        <w:rPr>
          <w:rFonts w:ascii="Arial" w:hAnsi="Arial" w:cs="Arial"/>
          <w:color w:val="343434"/>
        </w:rPr>
        <w:t>頂尖大學計畫」，自</w:t>
      </w:r>
      <w:r>
        <w:rPr>
          <w:rFonts w:ascii="Arial" w:hAnsi="Arial" w:cs="Arial"/>
          <w:color w:val="343434"/>
        </w:rPr>
        <w:t>100</w:t>
      </w:r>
      <w:r>
        <w:rPr>
          <w:rFonts w:ascii="Arial" w:hAnsi="Arial" w:cs="Arial"/>
          <w:color w:val="343434"/>
        </w:rPr>
        <w:t>年</w:t>
      </w:r>
      <w:r>
        <w:rPr>
          <w:rFonts w:ascii="Arial" w:hAnsi="Arial" w:cs="Arial"/>
          <w:color w:val="343434"/>
        </w:rPr>
        <w:t>4</w:t>
      </w:r>
      <w:r>
        <w:rPr>
          <w:rFonts w:ascii="Arial" w:hAnsi="Arial" w:cs="Arial"/>
          <w:color w:val="343434"/>
        </w:rPr>
        <w:t>月至</w:t>
      </w:r>
      <w:r>
        <w:rPr>
          <w:rFonts w:ascii="Arial" w:hAnsi="Arial" w:cs="Arial"/>
          <w:color w:val="343434"/>
        </w:rPr>
        <w:t>105</w:t>
      </w:r>
      <w:r>
        <w:rPr>
          <w:rFonts w:ascii="Arial" w:hAnsi="Arial" w:cs="Arial"/>
          <w:color w:val="343434"/>
        </w:rPr>
        <w:t>年</w:t>
      </w:r>
      <w:r>
        <w:rPr>
          <w:rFonts w:ascii="Arial" w:hAnsi="Arial" w:cs="Arial"/>
          <w:color w:val="343434"/>
        </w:rPr>
        <w:t>3</w:t>
      </w:r>
      <w:r>
        <w:rPr>
          <w:rFonts w:ascii="Arial" w:hAnsi="Arial" w:cs="Arial"/>
          <w:color w:val="343434"/>
        </w:rPr>
        <w:t>月</w:t>
      </w:r>
      <w:r>
        <w:rPr>
          <w:rFonts w:ascii="Arial" w:hAnsi="Arial" w:cs="Arial" w:hint="eastAsia"/>
          <w:color w:val="343434"/>
        </w:rPr>
        <w:t>。</w:t>
      </w:r>
    </w:p>
  </w:footnote>
  <w:footnote w:id="7">
    <w:p w:rsidR="00386E87" w:rsidRPr="00242EA4" w:rsidRDefault="00386E87" w:rsidP="00AA0936">
      <w:pPr>
        <w:pStyle w:val="aff0"/>
        <w:ind w:leftChars="-1" w:left="257" w:hangingChars="130" w:hanging="260"/>
      </w:pPr>
      <w:r>
        <w:rPr>
          <w:rStyle w:val="aff2"/>
        </w:rPr>
        <w:footnoteRef/>
      </w:r>
      <w:r>
        <w:rPr>
          <w:rFonts w:hint="eastAsia"/>
        </w:rPr>
        <w:t xml:space="preserve"> </w:t>
      </w:r>
      <w:r>
        <w:rPr>
          <w:rFonts w:hint="eastAsia"/>
        </w:rPr>
        <w:t>資料來源：</w:t>
      </w:r>
      <w:proofErr w:type="gramStart"/>
      <w:r>
        <w:rPr>
          <w:rFonts w:hint="eastAsia"/>
        </w:rPr>
        <w:t>教育部部史網站</w:t>
      </w:r>
      <w:proofErr w:type="gramEnd"/>
      <w:r>
        <w:rPr>
          <w:rFonts w:hint="eastAsia"/>
        </w:rPr>
        <w:t>(</w:t>
      </w:r>
      <w:hyperlink r:id="rId4" w:history="1">
        <w:r w:rsidRPr="00077863">
          <w:rPr>
            <w:rStyle w:val="af"/>
          </w:rPr>
          <w:t>http://history.moe.gov.tw/policy.asp?id=6)</w:t>
        </w:r>
        <w:r w:rsidRPr="00077863">
          <w:rPr>
            <w:rStyle w:val="af"/>
            <w:rFonts w:hint="eastAsia"/>
          </w:rPr>
          <w:t>：重大教育發展歷成/</w:t>
        </w:r>
      </w:hyperlink>
      <w:r>
        <w:rPr>
          <w:rFonts w:hint="eastAsia"/>
        </w:rPr>
        <w:t>高等教育。</w:t>
      </w:r>
    </w:p>
  </w:footnote>
  <w:footnote w:id="8">
    <w:p w:rsidR="00537FEC" w:rsidRDefault="00386E87">
      <w:pPr>
        <w:pStyle w:val="aff0"/>
      </w:pPr>
      <w:r>
        <w:rPr>
          <w:rStyle w:val="aff2"/>
        </w:rPr>
        <w:footnoteRef/>
      </w:r>
      <w:r>
        <w:t xml:space="preserve"> </w:t>
      </w:r>
      <w:r w:rsidR="00537FEC">
        <w:rPr>
          <w:rFonts w:hint="eastAsia"/>
        </w:rPr>
        <w:t>此數據</w:t>
      </w:r>
      <w:r>
        <w:rPr>
          <w:rFonts w:hint="eastAsia"/>
        </w:rPr>
        <w:t>包含</w:t>
      </w:r>
      <w:r w:rsidR="00537FEC">
        <w:rPr>
          <w:rFonts w:hint="eastAsia"/>
        </w:rPr>
        <w:t>94年</w:t>
      </w:r>
      <w:r>
        <w:rPr>
          <w:rFonts w:hint="eastAsia"/>
        </w:rPr>
        <w:t>教學卓越計畫試辦階段</w:t>
      </w:r>
      <w:r w:rsidR="00537FEC">
        <w:rPr>
          <w:rFonts w:hint="eastAsia"/>
        </w:rPr>
        <w:t>獲補助學校數</w:t>
      </w:r>
      <w:r>
        <w:rPr>
          <w:rFonts w:hint="eastAsia"/>
        </w:rPr>
        <w:t>，故</w:t>
      </w:r>
      <w:r w:rsidR="00537FEC">
        <w:rPr>
          <w:rFonts w:hint="eastAsia"/>
        </w:rPr>
        <w:t>合計為</w:t>
      </w:r>
      <w:r>
        <w:rPr>
          <w:rFonts w:hint="eastAsia"/>
        </w:rPr>
        <w:t>48校；歷年核定一般大學受教學</w:t>
      </w:r>
      <w:proofErr w:type="gramStart"/>
      <w:r>
        <w:rPr>
          <w:rFonts w:hint="eastAsia"/>
        </w:rPr>
        <w:t>卓</w:t>
      </w:r>
      <w:proofErr w:type="gramEnd"/>
    </w:p>
    <w:p w:rsidR="00386E87" w:rsidRPr="005D53AC" w:rsidRDefault="00537FEC">
      <w:pPr>
        <w:pStyle w:val="aff0"/>
      </w:pPr>
      <w:r>
        <w:rPr>
          <w:rFonts w:hint="eastAsia"/>
        </w:rPr>
        <w:t xml:space="preserve">  </w:t>
      </w:r>
      <w:r w:rsidR="00386E87">
        <w:rPr>
          <w:rFonts w:hint="eastAsia"/>
        </w:rPr>
        <w:t>越計畫補</w:t>
      </w:r>
      <w:r>
        <w:rPr>
          <w:rFonts w:hint="eastAsia"/>
        </w:rPr>
        <w:t>助之學校名單，</w:t>
      </w:r>
      <w:proofErr w:type="gramStart"/>
      <w:r w:rsidR="00386E87">
        <w:rPr>
          <w:rFonts w:hint="eastAsia"/>
        </w:rPr>
        <w:t>詳</w:t>
      </w:r>
      <w:r>
        <w:rPr>
          <w:rFonts w:hint="eastAsia"/>
        </w:rPr>
        <w:t>請</w:t>
      </w:r>
      <w:r w:rsidR="00386E87">
        <w:rPr>
          <w:rFonts w:hint="eastAsia"/>
        </w:rPr>
        <w:t>參</w:t>
      </w:r>
      <w:r>
        <w:rPr>
          <w:rFonts w:hint="eastAsia"/>
        </w:rPr>
        <w:t>閱</w:t>
      </w:r>
      <w:proofErr w:type="gramEnd"/>
      <w:r w:rsidR="00386E87">
        <w:rPr>
          <w:rFonts w:hint="eastAsia"/>
        </w:rPr>
        <w:t>表16。</w:t>
      </w:r>
    </w:p>
  </w:footnote>
  <w:footnote w:id="9">
    <w:p w:rsidR="00386E87" w:rsidRPr="00F5058F" w:rsidRDefault="00386E87">
      <w:pPr>
        <w:pStyle w:val="aff0"/>
      </w:pPr>
      <w:r>
        <w:rPr>
          <w:rStyle w:val="aff2"/>
        </w:rPr>
        <w:footnoteRef/>
      </w:r>
      <w:r>
        <w:t xml:space="preserve"> </w:t>
      </w:r>
      <w:proofErr w:type="gramStart"/>
      <w:r>
        <w:rPr>
          <w:rFonts w:hint="eastAsia"/>
        </w:rPr>
        <w:t>詳</w:t>
      </w:r>
      <w:r w:rsidR="00537FEC">
        <w:rPr>
          <w:rFonts w:hint="eastAsia"/>
        </w:rPr>
        <w:t>請</w:t>
      </w:r>
      <w:r>
        <w:rPr>
          <w:rFonts w:hint="eastAsia"/>
        </w:rPr>
        <w:t>參</w:t>
      </w:r>
      <w:r w:rsidR="00537FEC">
        <w:rPr>
          <w:rFonts w:hint="eastAsia"/>
        </w:rPr>
        <w:t>閱</w:t>
      </w:r>
      <w:proofErr w:type="gramEnd"/>
      <w:r w:rsidR="00537FEC">
        <w:rPr>
          <w:rFonts w:hint="eastAsia"/>
        </w:rPr>
        <w:t>表</w:t>
      </w:r>
      <w:r>
        <w:rPr>
          <w:rFonts w:hint="eastAsia"/>
        </w:rPr>
        <w:t>16</w:t>
      </w:r>
      <w:r>
        <w:rPr>
          <w:rFonts w:hint="eastAsia"/>
        </w:rPr>
        <w:t>、表17。</w:t>
      </w:r>
    </w:p>
  </w:footnote>
  <w:footnote w:id="10">
    <w:p w:rsidR="00386E87" w:rsidRDefault="00386E87" w:rsidP="00BF2E00">
      <w:pPr>
        <w:pStyle w:val="aff0"/>
      </w:pPr>
      <w:r>
        <w:rPr>
          <w:rStyle w:val="aff2"/>
        </w:rPr>
        <w:footnoteRef/>
      </w:r>
      <w:r>
        <w:t xml:space="preserve"> </w:t>
      </w:r>
      <w:r>
        <w:rPr>
          <w:rFonts w:hint="eastAsia"/>
        </w:rPr>
        <w:t>戴曉霞（</w:t>
      </w:r>
      <w:r>
        <w:t>200</w:t>
      </w:r>
      <w:r>
        <w:rPr>
          <w:rFonts w:hint="eastAsia"/>
        </w:rPr>
        <w:t>6），</w:t>
      </w:r>
      <w:r w:rsidRPr="00DF358D">
        <w:rPr>
          <w:rFonts w:hint="eastAsia"/>
          <w:b/>
          <w:i/>
        </w:rPr>
        <w:t>世界一流大學之卓越與創新</w:t>
      </w:r>
      <w:r>
        <w:rPr>
          <w:rFonts w:hint="eastAsia"/>
        </w:rPr>
        <w:t>，</w:t>
      </w:r>
      <w:proofErr w:type="gramStart"/>
      <w:r>
        <w:rPr>
          <w:rFonts w:hint="eastAsia"/>
        </w:rPr>
        <w:t>臺</w:t>
      </w:r>
      <w:proofErr w:type="gramEnd"/>
      <w:r>
        <w:rPr>
          <w:rFonts w:hint="eastAsia"/>
        </w:rPr>
        <w:t>北：高等教育。</w:t>
      </w:r>
    </w:p>
  </w:footnote>
  <w:footnote w:id="11">
    <w:p w:rsidR="00386E87" w:rsidRDefault="00386E87" w:rsidP="00BF2E00">
      <w:pPr>
        <w:pStyle w:val="aff0"/>
      </w:pPr>
      <w:r>
        <w:rPr>
          <w:rStyle w:val="aff2"/>
        </w:rPr>
        <w:footnoteRef/>
      </w:r>
      <w:r>
        <w:rPr>
          <w:rFonts w:hint="eastAsia"/>
        </w:rPr>
        <w:t>陳盈宏(民10</w:t>
      </w:r>
      <w:proofErr w:type="gramStart"/>
      <w:r>
        <w:rPr>
          <w:rFonts w:hint="eastAsia"/>
        </w:rPr>
        <w:t>３</w:t>
      </w:r>
      <w:proofErr w:type="gramEnd"/>
      <w:r>
        <w:rPr>
          <w:rFonts w:hint="eastAsia"/>
        </w:rPr>
        <w:t>)，競爭性經費分配機制之探討</w:t>
      </w:r>
      <w:proofErr w:type="gramStart"/>
      <w:r>
        <w:rPr>
          <w:rFonts w:hint="eastAsia"/>
        </w:rPr>
        <w:t>─</w:t>
      </w:r>
      <w:proofErr w:type="gramEnd"/>
      <w:r>
        <w:rPr>
          <w:rFonts w:hint="eastAsia"/>
        </w:rPr>
        <w:t>以獎勵大學教學卓越計畫為例，</w:t>
      </w:r>
      <w:r w:rsidRPr="006E36C2">
        <w:rPr>
          <w:rFonts w:hAnsi="標楷體" w:hint="eastAsia"/>
          <w:b/>
          <w:i/>
        </w:rPr>
        <w:t>學校行政雙月刊</w:t>
      </w:r>
      <w:r w:rsidRPr="006E36C2">
        <w:rPr>
          <w:rFonts w:hAnsi="標楷體" w:hint="eastAsia"/>
        </w:rPr>
        <w:t>，93</w:t>
      </w:r>
      <w:r>
        <w:rPr>
          <w:rFonts w:hint="eastAsia"/>
        </w:rPr>
        <w:t xml:space="preserve">， </w:t>
      </w:r>
    </w:p>
    <w:p w:rsidR="00386E87" w:rsidRDefault="00386E87" w:rsidP="00BF2E00">
      <w:pPr>
        <w:pStyle w:val="aff0"/>
      </w:pPr>
      <w:r>
        <w:rPr>
          <w:rFonts w:hint="eastAsia"/>
        </w:rPr>
        <w:t xml:space="preserve"> </w:t>
      </w:r>
      <w:r>
        <w:rPr>
          <w:rFonts w:hAnsi="標楷體" w:hint="eastAsia"/>
        </w:rPr>
        <w:t>頁170~184。</w:t>
      </w:r>
    </w:p>
  </w:footnote>
  <w:footnote w:id="12">
    <w:p w:rsidR="00386E87" w:rsidRDefault="00386E87" w:rsidP="009973A8">
      <w:pPr>
        <w:pStyle w:val="aff0"/>
      </w:pPr>
      <w:r>
        <w:rPr>
          <w:rStyle w:val="aff2"/>
        </w:rPr>
        <w:footnoteRef/>
      </w:r>
      <w:r>
        <w:t xml:space="preserve"> </w:t>
      </w:r>
      <w:r>
        <w:rPr>
          <w:rFonts w:hint="eastAsia"/>
        </w:rPr>
        <w:t>資料來源：教育部105</w:t>
      </w:r>
      <w:r>
        <w:rPr>
          <w:rFonts w:hint="eastAsia"/>
        </w:rPr>
        <w:t>年1</w:t>
      </w:r>
      <w:r w:rsidRPr="007A2F7D">
        <w:rPr>
          <w:rFonts w:hint="eastAsia"/>
        </w:rPr>
        <w:t>月</w:t>
      </w:r>
      <w:r>
        <w:rPr>
          <w:rFonts w:hint="eastAsia"/>
        </w:rPr>
        <w:t>12日</w:t>
      </w:r>
      <w:proofErr w:type="gramStart"/>
      <w:r>
        <w:rPr>
          <w:rFonts w:hint="eastAsia"/>
        </w:rPr>
        <w:t>臺教技</w:t>
      </w:r>
      <w:proofErr w:type="gramEnd"/>
      <w:r>
        <w:rPr>
          <w:rFonts w:hint="eastAsia"/>
        </w:rPr>
        <w:t>(四)字第1050002330號函。</w:t>
      </w:r>
    </w:p>
  </w:footnote>
  <w:footnote w:id="13">
    <w:p w:rsidR="00386E87" w:rsidRDefault="00386E87" w:rsidP="00714BF6">
      <w:pPr>
        <w:pStyle w:val="aff0"/>
        <w:ind w:left="140" w:hangingChars="70" w:hanging="140"/>
      </w:pPr>
      <w:r w:rsidRPr="003A28C3">
        <w:rPr>
          <w:rStyle w:val="aff2"/>
        </w:rPr>
        <w:footnoteRef/>
      </w:r>
      <w:r w:rsidRPr="003A28C3">
        <w:rPr>
          <w:rFonts w:hint="eastAsia"/>
        </w:rPr>
        <w:t>本院調查「</w:t>
      </w:r>
      <w:r w:rsidRPr="003A28C3">
        <w:rPr>
          <w:b/>
        </w:rPr>
        <w:t>104</w:t>
      </w:r>
      <w:r w:rsidRPr="003A28C3">
        <w:rPr>
          <w:rFonts w:hint="eastAsia"/>
          <w:b/>
        </w:rPr>
        <w:t>年</w:t>
      </w:r>
      <w:r w:rsidRPr="003A28C3">
        <w:rPr>
          <w:b/>
        </w:rPr>
        <w:t>6</w:t>
      </w:r>
      <w:r w:rsidRPr="003A28C3">
        <w:rPr>
          <w:rFonts w:hint="eastAsia"/>
          <w:b/>
        </w:rPr>
        <w:t>月</w:t>
      </w:r>
      <w:r w:rsidRPr="003A28C3">
        <w:rPr>
          <w:b/>
        </w:rPr>
        <w:t>17</w:t>
      </w:r>
      <w:r w:rsidRPr="003A28C3">
        <w:rPr>
          <w:rFonts w:hint="eastAsia"/>
          <w:b/>
        </w:rPr>
        <w:t>日</w:t>
      </w:r>
      <w:proofErr w:type="gramStart"/>
      <w:r w:rsidRPr="003A28C3">
        <w:rPr>
          <w:rFonts w:hint="eastAsia"/>
          <w:b/>
        </w:rPr>
        <w:t>勞動部與教育部</w:t>
      </w:r>
      <w:proofErr w:type="gramEnd"/>
      <w:r w:rsidRPr="003A28C3">
        <w:rPr>
          <w:rFonts w:hint="eastAsia"/>
          <w:b/>
        </w:rPr>
        <w:t>分別發布『專科以上學校兼任助理勞動權益保障指導原則』 及『專科以上學校強化學生兼任助理學習與勞動權益保障處理原則』，對國內各大學師生關係、學習與受雇間身分之分野、校務基金之健全運作暨學生工讀權益之維護等</w:t>
      </w:r>
      <w:proofErr w:type="gramStart"/>
      <w:r w:rsidRPr="003A28C3">
        <w:rPr>
          <w:rFonts w:hint="eastAsia"/>
          <w:b/>
        </w:rPr>
        <w:t>情均將造成</w:t>
      </w:r>
      <w:proofErr w:type="gramEnd"/>
      <w:r w:rsidRPr="003A28C3">
        <w:rPr>
          <w:rFonts w:hint="eastAsia"/>
          <w:b/>
        </w:rPr>
        <w:t>深遠衝擊，實有深入瞭解必要</w:t>
      </w:r>
      <w:r w:rsidRPr="003A28C3">
        <w:rPr>
          <w:rFonts w:hint="eastAsia"/>
        </w:rPr>
        <w:t>」一案(調查案號：</w:t>
      </w:r>
      <w:r w:rsidRPr="003A28C3">
        <w:t>104</w:t>
      </w:r>
      <w:proofErr w:type="gramStart"/>
      <w:r w:rsidRPr="003A28C3">
        <w:t>財調</w:t>
      </w:r>
      <w:proofErr w:type="gramEnd"/>
      <w:r w:rsidRPr="003A28C3">
        <w:t>0037</w:t>
      </w:r>
      <w:r w:rsidRPr="003A28C3">
        <w:rPr>
          <w:rFonts w:hint="eastAsia"/>
        </w:rPr>
        <w:t>)；調查委員為監察委員陳小紅以及監察委員仉桂美。可</w:t>
      </w:r>
      <w:proofErr w:type="gramStart"/>
      <w:r w:rsidRPr="003A28C3">
        <w:rPr>
          <w:rFonts w:hint="eastAsia"/>
        </w:rPr>
        <w:t>詳參本</w:t>
      </w:r>
      <w:proofErr w:type="gramEnd"/>
      <w:r w:rsidRPr="003A28C3">
        <w:rPr>
          <w:rFonts w:hint="eastAsia"/>
        </w:rPr>
        <w:t>院全球資訊網/監察成果/調查報告。(</w:t>
      </w:r>
      <w:r w:rsidRPr="003A28C3">
        <w:t>http://www.cy.gov.tw/sp.asp?xdurl=./CyBsBox/CyBsR1.asp&amp;ctNode=910&amp;mp=1</w:t>
      </w:r>
      <w:r w:rsidRPr="003A28C3">
        <w:rPr>
          <w:rFonts w:hint="eastAsia"/>
        </w:rPr>
        <w:t>)</w:t>
      </w:r>
    </w:p>
  </w:footnote>
  <w:footnote w:id="14">
    <w:p w:rsidR="00386E87" w:rsidRDefault="00386E87">
      <w:pPr>
        <w:pStyle w:val="aff0"/>
      </w:pPr>
      <w:r w:rsidRPr="00DC76D2">
        <w:footnoteRef/>
      </w:r>
      <w:r w:rsidRPr="00DC76D2">
        <w:rPr>
          <w:rFonts w:hint="eastAsia"/>
        </w:rPr>
        <w:t>關於「</w:t>
      </w:r>
      <w:r w:rsidRPr="00DC76D2">
        <w:t>逾七成國立大學校務基金未達收支平衡</w:t>
      </w:r>
      <w:r>
        <w:rPr>
          <w:rFonts w:hint="eastAsia"/>
        </w:rPr>
        <w:t>等情</w:t>
      </w:r>
      <w:r w:rsidRPr="00DC76D2">
        <w:rPr>
          <w:rFonts w:hint="eastAsia"/>
        </w:rPr>
        <w:t>」一案，刻正由本院</w:t>
      </w:r>
      <w:r w:rsidRPr="00DC76D2">
        <w:t>監察委員陳小紅調查</w:t>
      </w:r>
      <w:r w:rsidRPr="00DC76D2">
        <w:rPr>
          <w:rFonts w:hint="eastAsia"/>
        </w:rPr>
        <w:t>中；</w:t>
      </w:r>
      <w:r>
        <w:rPr>
          <w:rFonts w:hint="eastAsia"/>
        </w:rPr>
        <w:t>資</w:t>
      </w:r>
    </w:p>
    <w:p w:rsidR="00386E87" w:rsidRDefault="00386E87">
      <w:pPr>
        <w:pStyle w:val="aff0"/>
      </w:pPr>
      <w:r>
        <w:rPr>
          <w:rFonts w:hint="eastAsia"/>
        </w:rPr>
        <w:t xml:space="preserve">  料來源：本院全球資訊網 </w:t>
      </w:r>
    </w:p>
    <w:p w:rsidR="00386E87" w:rsidRDefault="00386E87" w:rsidP="00F346D9">
      <w:pPr>
        <w:pStyle w:val="aff0"/>
        <w:ind w:leftChars="44" w:left="142" w:hanging="1"/>
      </w:pPr>
      <w:r>
        <w:rPr>
          <w:rFonts w:hint="eastAsia"/>
        </w:rPr>
        <w:t>(</w:t>
      </w:r>
      <w:hyperlink r:id="rId5" w:history="1">
        <w:r w:rsidRPr="00EC0A45">
          <w:rPr>
            <w:rStyle w:val="af"/>
          </w:rPr>
          <w:t>http://www.cy.gov.tw/sp.asp?xdURL=./di/Message/message_1.asp&amp;ctNode=903&amp;mp=1&amp;msg_id=5633</w:t>
        </w:r>
      </w:hyperlink>
      <w:r>
        <w:rPr>
          <w:rFonts w:hint="eastAsia"/>
        </w:rPr>
        <w:t>)；另關於大學校院校務基金審計部全球資訊網：審計報告/總決算審核報告(</w:t>
      </w:r>
      <w:hyperlink r:id="rId6" w:history="1">
        <w:r w:rsidRPr="00EC0A45">
          <w:rPr>
            <w:rStyle w:val="af"/>
          </w:rPr>
          <w:t>http://www.audit.gov.tw/files/11-1000-90.php</w:t>
        </w:r>
      </w:hyperlink>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E8C48B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1A5391A"/>
    <w:multiLevelType w:val="hybridMultilevel"/>
    <w:tmpl w:val="1ADCB9C4"/>
    <w:lvl w:ilvl="0" w:tplc="F5428E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209529E"/>
    <w:multiLevelType w:val="hybridMultilevel"/>
    <w:tmpl w:val="5B903648"/>
    <w:lvl w:ilvl="0" w:tplc="E00E276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2FA6DFF"/>
    <w:multiLevelType w:val="hybridMultilevel"/>
    <w:tmpl w:val="DFB4AEF4"/>
    <w:lvl w:ilvl="0" w:tplc="374A83E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36B5889"/>
    <w:multiLevelType w:val="hybridMultilevel"/>
    <w:tmpl w:val="6C5C9E76"/>
    <w:lvl w:ilvl="0" w:tplc="FF143DA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44910C7"/>
    <w:multiLevelType w:val="hybridMultilevel"/>
    <w:tmpl w:val="99F61D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0DD67ACA"/>
    <w:multiLevelType w:val="hybridMultilevel"/>
    <w:tmpl w:val="08B0ACE4"/>
    <w:lvl w:ilvl="0" w:tplc="1C3C8190">
      <w:start w:val="1"/>
      <w:numFmt w:val="decimal"/>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E0874D8"/>
    <w:multiLevelType w:val="hybridMultilevel"/>
    <w:tmpl w:val="B824C77C"/>
    <w:lvl w:ilvl="0" w:tplc="4CA0FC10">
      <w:start w:val="1"/>
      <w:numFmt w:val="decim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0FC93B44"/>
    <w:multiLevelType w:val="hybridMultilevel"/>
    <w:tmpl w:val="3B685596"/>
    <w:lvl w:ilvl="0" w:tplc="374A83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0FFE3764"/>
    <w:multiLevelType w:val="hybridMultilevel"/>
    <w:tmpl w:val="EB1AE400"/>
    <w:lvl w:ilvl="0" w:tplc="C0A074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0B46DDE"/>
    <w:multiLevelType w:val="hybridMultilevel"/>
    <w:tmpl w:val="4A680982"/>
    <w:lvl w:ilvl="0" w:tplc="1E062864">
      <w:start w:val="1"/>
      <w:numFmt w:val="decimal"/>
      <w:pStyle w:val="a1"/>
      <w:lvlText w:val="表%1."/>
      <w:lvlJc w:val="left"/>
      <w:pPr>
        <w:ind w:left="119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0E84BEE"/>
    <w:multiLevelType w:val="hybridMultilevel"/>
    <w:tmpl w:val="C0FAAA70"/>
    <w:lvl w:ilvl="0" w:tplc="D460E542">
      <w:start w:val="1"/>
      <w:numFmt w:val="decimal"/>
      <w:lvlText w:val="(%1)"/>
      <w:lvlJc w:val="left"/>
      <w:pPr>
        <w:ind w:left="1112" w:hanging="720"/>
      </w:pPr>
      <w:rPr>
        <w:rFonts w:hint="default"/>
      </w:rPr>
    </w:lvl>
    <w:lvl w:ilvl="1" w:tplc="04090019" w:tentative="1">
      <w:start w:val="1"/>
      <w:numFmt w:val="ideographTraditional"/>
      <w:lvlText w:val="%2、"/>
      <w:lvlJc w:val="left"/>
      <w:pPr>
        <w:ind w:left="1352" w:hanging="480"/>
      </w:pPr>
    </w:lvl>
    <w:lvl w:ilvl="2" w:tplc="0409001B" w:tentative="1">
      <w:start w:val="1"/>
      <w:numFmt w:val="lowerRoman"/>
      <w:lvlText w:val="%3."/>
      <w:lvlJc w:val="right"/>
      <w:pPr>
        <w:ind w:left="1832" w:hanging="480"/>
      </w:pPr>
    </w:lvl>
    <w:lvl w:ilvl="3" w:tplc="0409000F" w:tentative="1">
      <w:start w:val="1"/>
      <w:numFmt w:val="decimal"/>
      <w:lvlText w:val="%4."/>
      <w:lvlJc w:val="left"/>
      <w:pPr>
        <w:ind w:left="2312" w:hanging="480"/>
      </w:pPr>
    </w:lvl>
    <w:lvl w:ilvl="4" w:tplc="04090019" w:tentative="1">
      <w:start w:val="1"/>
      <w:numFmt w:val="ideographTraditional"/>
      <w:lvlText w:val="%5、"/>
      <w:lvlJc w:val="left"/>
      <w:pPr>
        <w:ind w:left="2792" w:hanging="480"/>
      </w:pPr>
    </w:lvl>
    <w:lvl w:ilvl="5" w:tplc="0409001B" w:tentative="1">
      <w:start w:val="1"/>
      <w:numFmt w:val="lowerRoman"/>
      <w:lvlText w:val="%6."/>
      <w:lvlJc w:val="right"/>
      <w:pPr>
        <w:ind w:left="3272" w:hanging="480"/>
      </w:pPr>
    </w:lvl>
    <w:lvl w:ilvl="6" w:tplc="0409000F" w:tentative="1">
      <w:start w:val="1"/>
      <w:numFmt w:val="decimal"/>
      <w:lvlText w:val="%7."/>
      <w:lvlJc w:val="left"/>
      <w:pPr>
        <w:ind w:left="3752" w:hanging="480"/>
      </w:pPr>
    </w:lvl>
    <w:lvl w:ilvl="7" w:tplc="04090019" w:tentative="1">
      <w:start w:val="1"/>
      <w:numFmt w:val="ideographTraditional"/>
      <w:lvlText w:val="%8、"/>
      <w:lvlJc w:val="left"/>
      <w:pPr>
        <w:ind w:left="4232" w:hanging="480"/>
      </w:pPr>
    </w:lvl>
    <w:lvl w:ilvl="8" w:tplc="0409001B" w:tentative="1">
      <w:start w:val="1"/>
      <w:numFmt w:val="lowerRoman"/>
      <w:lvlText w:val="%9."/>
      <w:lvlJc w:val="right"/>
      <w:pPr>
        <w:ind w:left="4712" w:hanging="480"/>
      </w:pPr>
    </w:lvl>
  </w:abstractNum>
  <w:abstractNum w:abstractNumId="13">
    <w:nsid w:val="13CB03C2"/>
    <w:multiLevelType w:val="hybridMultilevel"/>
    <w:tmpl w:val="1038A3C4"/>
    <w:lvl w:ilvl="0" w:tplc="C0D2ED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140E010C"/>
    <w:multiLevelType w:val="multilevel"/>
    <w:tmpl w:val="26B43E9A"/>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965"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532" w:hanging="681"/>
      </w:pPr>
      <w:rPr>
        <w:rFonts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suff w:val="nothing"/>
      <w:lvlText w:val="%4、"/>
      <w:lvlJc w:val="left"/>
      <w:pPr>
        <w:ind w:left="1644" w:hanging="510"/>
      </w:pPr>
      <w:rPr>
        <w:rFonts w:cs="Times New Roman"/>
        <w:b w:val="0"/>
        <w:i w:val="0"/>
        <w:iCs w:val="0"/>
        <w:caps w:val="0"/>
        <w:smallCaps w:val="0"/>
        <w:strike w:val="0"/>
        <w:dstrike w:val="0"/>
        <w:noProof w:val="0"/>
        <w:vanish w:val="0"/>
        <w:color w:val="auto"/>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suff w:val="nothing"/>
      <w:lvlText w:val="（%5）"/>
      <w:lvlJc w:val="left"/>
      <w:pPr>
        <w:ind w:left="326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694" w:hanging="850"/>
      </w:pPr>
      <w:rPr>
        <w:rFonts w:ascii="標楷體" w:eastAsia="標楷體" w:hint="eastAsia"/>
        <w:b w:val="0"/>
        <w:i w:val="0"/>
        <w:snapToGrid/>
        <w:spacing w:val="0"/>
        <w:w w:val="100"/>
        <w:kern w:val="32"/>
        <w:position w:val="0"/>
        <w:sz w:val="32"/>
        <w:szCs w:val="32"/>
      </w:rPr>
    </w:lvl>
    <w:lvl w:ilvl="6">
      <w:start w:val="1"/>
      <w:numFmt w:val="decimal"/>
      <w:pStyle w:val="7"/>
      <w:suff w:val="nothing"/>
      <w:lvlText w:val="《%7》"/>
      <w:lvlJc w:val="left"/>
      <w:pPr>
        <w:ind w:left="2411"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15">
    <w:nsid w:val="172F08A4"/>
    <w:multiLevelType w:val="hybridMultilevel"/>
    <w:tmpl w:val="3B685596"/>
    <w:lvl w:ilvl="0" w:tplc="374A83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1820272C"/>
    <w:multiLevelType w:val="hybridMultilevel"/>
    <w:tmpl w:val="3124A126"/>
    <w:lvl w:ilvl="0" w:tplc="ACEE97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19532EFC"/>
    <w:multiLevelType w:val="hybridMultilevel"/>
    <w:tmpl w:val="7CBA69F8"/>
    <w:lvl w:ilvl="0" w:tplc="178A5CEA">
      <w:start w:val="1"/>
      <w:numFmt w:val="taiwaneseCountingThousand"/>
      <w:pStyle w:val="a2"/>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1B56640B"/>
    <w:multiLevelType w:val="hybridMultilevel"/>
    <w:tmpl w:val="61C2D05A"/>
    <w:lvl w:ilvl="0" w:tplc="EF7C061A">
      <w:start w:val="1"/>
      <w:numFmt w:val="decimal"/>
      <w:lvlText w:val="%1."/>
      <w:lvlJc w:val="left"/>
      <w:pPr>
        <w:ind w:left="525" w:hanging="5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1C017B8C"/>
    <w:multiLevelType w:val="hybridMultilevel"/>
    <w:tmpl w:val="C0FAAA70"/>
    <w:lvl w:ilvl="0" w:tplc="D460E542">
      <w:start w:val="1"/>
      <w:numFmt w:val="decimal"/>
      <w:lvlText w:val="(%1)"/>
      <w:lvlJc w:val="left"/>
      <w:pPr>
        <w:ind w:left="1112" w:hanging="720"/>
      </w:pPr>
      <w:rPr>
        <w:rFonts w:hint="default"/>
      </w:rPr>
    </w:lvl>
    <w:lvl w:ilvl="1" w:tplc="04090019" w:tentative="1">
      <w:start w:val="1"/>
      <w:numFmt w:val="ideographTraditional"/>
      <w:lvlText w:val="%2、"/>
      <w:lvlJc w:val="left"/>
      <w:pPr>
        <w:ind w:left="1352" w:hanging="480"/>
      </w:pPr>
    </w:lvl>
    <w:lvl w:ilvl="2" w:tplc="0409001B" w:tentative="1">
      <w:start w:val="1"/>
      <w:numFmt w:val="lowerRoman"/>
      <w:lvlText w:val="%3."/>
      <w:lvlJc w:val="right"/>
      <w:pPr>
        <w:ind w:left="1832" w:hanging="480"/>
      </w:pPr>
    </w:lvl>
    <w:lvl w:ilvl="3" w:tplc="0409000F" w:tentative="1">
      <w:start w:val="1"/>
      <w:numFmt w:val="decimal"/>
      <w:lvlText w:val="%4."/>
      <w:lvlJc w:val="left"/>
      <w:pPr>
        <w:ind w:left="2312" w:hanging="480"/>
      </w:pPr>
    </w:lvl>
    <w:lvl w:ilvl="4" w:tplc="04090019" w:tentative="1">
      <w:start w:val="1"/>
      <w:numFmt w:val="ideographTraditional"/>
      <w:lvlText w:val="%5、"/>
      <w:lvlJc w:val="left"/>
      <w:pPr>
        <w:ind w:left="2792" w:hanging="480"/>
      </w:pPr>
    </w:lvl>
    <w:lvl w:ilvl="5" w:tplc="0409001B" w:tentative="1">
      <w:start w:val="1"/>
      <w:numFmt w:val="lowerRoman"/>
      <w:lvlText w:val="%6."/>
      <w:lvlJc w:val="right"/>
      <w:pPr>
        <w:ind w:left="3272" w:hanging="480"/>
      </w:pPr>
    </w:lvl>
    <w:lvl w:ilvl="6" w:tplc="0409000F" w:tentative="1">
      <w:start w:val="1"/>
      <w:numFmt w:val="decimal"/>
      <w:lvlText w:val="%7."/>
      <w:lvlJc w:val="left"/>
      <w:pPr>
        <w:ind w:left="3752" w:hanging="480"/>
      </w:pPr>
    </w:lvl>
    <w:lvl w:ilvl="7" w:tplc="04090019" w:tentative="1">
      <w:start w:val="1"/>
      <w:numFmt w:val="ideographTraditional"/>
      <w:lvlText w:val="%8、"/>
      <w:lvlJc w:val="left"/>
      <w:pPr>
        <w:ind w:left="4232" w:hanging="480"/>
      </w:pPr>
    </w:lvl>
    <w:lvl w:ilvl="8" w:tplc="0409001B" w:tentative="1">
      <w:start w:val="1"/>
      <w:numFmt w:val="lowerRoman"/>
      <w:lvlText w:val="%9."/>
      <w:lvlJc w:val="right"/>
      <w:pPr>
        <w:ind w:left="4712" w:hanging="480"/>
      </w:pPr>
    </w:lvl>
  </w:abstractNum>
  <w:abstractNum w:abstractNumId="20">
    <w:nsid w:val="1F31518B"/>
    <w:multiLevelType w:val="hybridMultilevel"/>
    <w:tmpl w:val="9B3CEB26"/>
    <w:lvl w:ilvl="0" w:tplc="A1F6E52E">
      <w:start w:val="1"/>
      <w:numFmt w:val="decimal"/>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232328C8"/>
    <w:multiLevelType w:val="hybridMultilevel"/>
    <w:tmpl w:val="298C525E"/>
    <w:lvl w:ilvl="0" w:tplc="D460E542">
      <w:start w:val="1"/>
      <w:numFmt w:val="decimal"/>
      <w:lvlText w:val="(%1)"/>
      <w:lvlJc w:val="left"/>
      <w:pPr>
        <w:ind w:left="1112" w:hanging="720"/>
      </w:pPr>
      <w:rPr>
        <w:rFonts w:hint="default"/>
      </w:rPr>
    </w:lvl>
    <w:lvl w:ilvl="1" w:tplc="04090019" w:tentative="1">
      <w:start w:val="1"/>
      <w:numFmt w:val="ideographTraditional"/>
      <w:lvlText w:val="%2、"/>
      <w:lvlJc w:val="left"/>
      <w:pPr>
        <w:ind w:left="1352" w:hanging="480"/>
      </w:pPr>
    </w:lvl>
    <w:lvl w:ilvl="2" w:tplc="0409001B" w:tentative="1">
      <w:start w:val="1"/>
      <w:numFmt w:val="lowerRoman"/>
      <w:lvlText w:val="%3."/>
      <w:lvlJc w:val="right"/>
      <w:pPr>
        <w:ind w:left="1832" w:hanging="480"/>
      </w:pPr>
    </w:lvl>
    <w:lvl w:ilvl="3" w:tplc="0409000F" w:tentative="1">
      <w:start w:val="1"/>
      <w:numFmt w:val="decimal"/>
      <w:lvlText w:val="%4."/>
      <w:lvlJc w:val="left"/>
      <w:pPr>
        <w:ind w:left="2312" w:hanging="480"/>
      </w:pPr>
    </w:lvl>
    <w:lvl w:ilvl="4" w:tplc="04090019" w:tentative="1">
      <w:start w:val="1"/>
      <w:numFmt w:val="ideographTraditional"/>
      <w:lvlText w:val="%5、"/>
      <w:lvlJc w:val="left"/>
      <w:pPr>
        <w:ind w:left="2792" w:hanging="480"/>
      </w:pPr>
    </w:lvl>
    <w:lvl w:ilvl="5" w:tplc="0409001B" w:tentative="1">
      <w:start w:val="1"/>
      <w:numFmt w:val="lowerRoman"/>
      <w:lvlText w:val="%6."/>
      <w:lvlJc w:val="right"/>
      <w:pPr>
        <w:ind w:left="3272" w:hanging="480"/>
      </w:pPr>
    </w:lvl>
    <w:lvl w:ilvl="6" w:tplc="0409000F" w:tentative="1">
      <w:start w:val="1"/>
      <w:numFmt w:val="decimal"/>
      <w:lvlText w:val="%7."/>
      <w:lvlJc w:val="left"/>
      <w:pPr>
        <w:ind w:left="3752" w:hanging="480"/>
      </w:pPr>
    </w:lvl>
    <w:lvl w:ilvl="7" w:tplc="04090019" w:tentative="1">
      <w:start w:val="1"/>
      <w:numFmt w:val="ideographTraditional"/>
      <w:lvlText w:val="%8、"/>
      <w:lvlJc w:val="left"/>
      <w:pPr>
        <w:ind w:left="4232" w:hanging="480"/>
      </w:pPr>
    </w:lvl>
    <w:lvl w:ilvl="8" w:tplc="0409001B" w:tentative="1">
      <w:start w:val="1"/>
      <w:numFmt w:val="lowerRoman"/>
      <w:lvlText w:val="%9."/>
      <w:lvlJc w:val="right"/>
      <w:pPr>
        <w:ind w:left="4712" w:hanging="480"/>
      </w:pPr>
    </w:lvl>
  </w:abstractNum>
  <w:abstractNum w:abstractNumId="22">
    <w:nsid w:val="235E7DFC"/>
    <w:multiLevelType w:val="hybridMultilevel"/>
    <w:tmpl w:val="5B903648"/>
    <w:lvl w:ilvl="0" w:tplc="E00E276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25E751C5"/>
    <w:multiLevelType w:val="hybridMultilevel"/>
    <w:tmpl w:val="1ADCB9C4"/>
    <w:lvl w:ilvl="0" w:tplc="F5428E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273724D5"/>
    <w:multiLevelType w:val="hybridMultilevel"/>
    <w:tmpl w:val="2E34DB20"/>
    <w:lvl w:ilvl="0" w:tplc="CA3E3A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2756574E"/>
    <w:multiLevelType w:val="hybridMultilevel"/>
    <w:tmpl w:val="C0FAAA70"/>
    <w:lvl w:ilvl="0" w:tplc="D460E542">
      <w:start w:val="1"/>
      <w:numFmt w:val="decimal"/>
      <w:lvlText w:val="(%1)"/>
      <w:lvlJc w:val="left"/>
      <w:pPr>
        <w:ind w:left="1112" w:hanging="720"/>
      </w:pPr>
      <w:rPr>
        <w:rFonts w:hint="default"/>
      </w:rPr>
    </w:lvl>
    <w:lvl w:ilvl="1" w:tplc="04090019" w:tentative="1">
      <w:start w:val="1"/>
      <w:numFmt w:val="ideographTraditional"/>
      <w:lvlText w:val="%2、"/>
      <w:lvlJc w:val="left"/>
      <w:pPr>
        <w:ind w:left="1352" w:hanging="480"/>
      </w:pPr>
    </w:lvl>
    <w:lvl w:ilvl="2" w:tplc="0409001B" w:tentative="1">
      <w:start w:val="1"/>
      <w:numFmt w:val="lowerRoman"/>
      <w:lvlText w:val="%3."/>
      <w:lvlJc w:val="right"/>
      <w:pPr>
        <w:ind w:left="1832" w:hanging="480"/>
      </w:pPr>
    </w:lvl>
    <w:lvl w:ilvl="3" w:tplc="0409000F" w:tentative="1">
      <w:start w:val="1"/>
      <w:numFmt w:val="decimal"/>
      <w:lvlText w:val="%4."/>
      <w:lvlJc w:val="left"/>
      <w:pPr>
        <w:ind w:left="2312" w:hanging="480"/>
      </w:pPr>
    </w:lvl>
    <w:lvl w:ilvl="4" w:tplc="04090019" w:tentative="1">
      <w:start w:val="1"/>
      <w:numFmt w:val="ideographTraditional"/>
      <w:lvlText w:val="%5、"/>
      <w:lvlJc w:val="left"/>
      <w:pPr>
        <w:ind w:left="2792" w:hanging="480"/>
      </w:pPr>
    </w:lvl>
    <w:lvl w:ilvl="5" w:tplc="0409001B" w:tentative="1">
      <w:start w:val="1"/>
      <w:numFmt w:val="lowerRoman"/>
      <w:lvlText w:val="%6."/>
      <w:lvlJc w:val="right"/>
      <w:pPr>
        <w:ind w:left="3272" w:hanging="480"/>
      </w:pPr>
    </w:lvl>
    <w:lvl w:ilvl="6" w:tplc="0409000F" w:tentative="1">
      <w:start w:val="1"/>
      <w:numFmt w:val="decimal"/>
      <w:lvlText w:val="%7."/>
      <w:lvlJc w:val="left"/>
      <w:pPr>
        <w:ind w:left="3752" w:hanging="480"/>
      </w:pPr>
    </w:lvl>
    <w:lvl w:ilvl="7" w:tplc="04090019" w:tentative="1">
      <w:start w:val="1"/>
      <w:numFmt w:val="ideographTraditional"/>
      <w:lvlText w:val="%8、"/>
      <w:lvlJc w:val="left"/>
      <w:pPr>
        <w:ind w:left="4232" w:hanging="480"/>
      </w:pPr>
    </w:lvl>
    <w:lvl w:ilvl="8" w:tplc="0409001B" w:tentative="1">
      <w:start w:val="1"/>
      <w:numFmt w:val="lowerRoman"/>
      <w:lvlText w:val="%9."/>
      <w:lvlJc w:val="right"/>
      <w:pPr>
        <w:ind w:left="4712" w:hanging="480"/>
      </w:pPr>
    </w:lvl>
  </w:abstractNum>
  <w:abstractNum w:abstractNumId="26">
    <w:nsid w:val="279D5AA1"/>
    <w:multiLevelType w:val="hybridMultilevel"/>
    <w:tmpl w:val="4D7E4D00"/>
    <w:lvl w:ilvl="0" w:tplc="4EDCB500">
      <w:start w:val="1"/>
      <w:numFmt w:val="decimal"/>
      <w:lvlText w:val="%1."/>
      <w:lvlJc w:val="left"/>
      <w:pPr>
        <w:ind w:left="480" w:hanging="480"/>
      </w:pPr>
      <w:rPr>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27CD2D9D"/>
    <w:multiLevelType w:val="hybridMultilevel"/>
    <w:tmpl w:val="3B685596"/>
    <w:lvl w:ilvl="0" w:tplc="374A83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296A0C64"/>
    <w:multiLevelType w:val="hybridMultilevel"/>
    <w:tmpl w:val="4EDA8EFA"/>
    <w:lvl w:ilvl="0" w:tplc="87ECE4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296A705A"/>
    <w:multiLevelType w:val="hybridMultilevel"/>
    <w:tmpl w:val="C0FAAA70"/>
    <w:lvl w:ilvl="0" w:tplc="D460E542">
      <w:start w:val="1"/>
      <w:numFmt w:val="decimal"/>
      <w:lvlText w:val="(%1)"/>
      <w:lvlJc w:val="left"/>
      <w:pPr>
        <w:ind w:left="1112" w:hanging="720"/>
      </w:pPr>
      <w:rPr>
        <w:rFonts w:hint="default"/>
      </w:rPr>
    </w:lvl>
    <w:lvl w:ilvl="1" w:tplc="04090019" w:tentative="1">
      <w:start w:val="1"/>
      <w:numFmt w:val="ideographTraditional"/>
      <w:lvlText w:val="%2、"/>
      <w:lvlJc w:val="left"/>
      <w:pPr>
        <w:ind w:left="1352" w:hanging="480"/>
      </w:pPr>
    </w:lvl>
    <w:lvl w:ilvl="2" w:tplc="0409001B" w:tentative="1">
      <w:start w:val="1"/>
      <w:numFmt w:val="lowerRoman"/>
      <w:lvlText w:val="%3."/>
      <w:lvlJc w:val="right"/>
      <w:pPr>
        <w:ind w:left="1832" w:hanging="480"/>
      </w:pPr>
    </w:lvl>
    <w:lvl w:ilvl="3" w:tplc="0409000F" w:tentative="1">
      <w:start w:val="1"/>
      <w:numFmt w:val="decimal"/>
      <w:lvlText w:val="%4."/>
      <w:lvlJc w:val="left"/>
      <w:pPr>
        <w:ind w:left="2312" w:hanging="480"/>
      </w:pPr>
    </w:lvl>
    <w:lvl w:ilvl="4" w:tplc="04090019" w:tentative="1">
      <w:start w:val="1"/>
      <w:numFmt w:val="ideographTraditional"/>
      <w:lvlText w:val="%5、"/>
      <w:lvlJc w:val="left"/>
      <w:pPr>
        <w:ind w:left="2792" w:hanging="480"/>
      </w:pPr>
    </w:lvl>
    <w:lvl w:ilvl="5" w:tplc="0409001B" w:tentative="1">
      <w:start w:val="1"/>
      <w:numFmt w:val="lowerRoman"/>
      <w:lvlText w:val="%6."/>
      <w:lvlJc w:val="right"/>
      <w:pPr>
        <w:ind w:left="3272" w:hanging="480"/>
      </w:pPr>
    </w:lvl>
    <w:lvl w:ilvl="6" w:tplc="0409000F" w:tentative="1">
      <w:start w:val="1"/>
      <w:numFmt w:val="decimal"/>
      <w:lvlText w:val="%7."/>
      <w:lvlJc w:val="left"/>
      <w:pPr>
        <w:ind w:left="3752" w:hanging="480"/>
      </w:pPr>
    </w:lvl>
    <w:lvl w:ilvl="7" w:tplc="04090019" w:tentative="1">
      <w:start w:val="1"/>
      <w:numFmt w:val="ideographTraditional"/>
      <w:lvlText w:val="%8、"/>
      <w:lvlJc w:val="left"/>
      <w:pPr>
        <w:ind w:left="4232" w:hanging="480"/>
      </w:pPr>
    </w:lvl>
    <w:lvl w:ilvl="8" w:tplc="0409001B" w:tentative="1">
      <w:start w:val="1"/>
      <w:numFmt w:val="lowerRoman"/>
      <w:lvlText w:val="%9."/>
      <w:lvlJc w:val="right"/>
      <w:pPr>
        <w:ind w:left="4712" w:hanging="480"/>
      </w:pPr>
    </w:lvl>
  </w:abstractNum>
  <w:abstractNum w:abstractNumId="30">
    <w:nsid w:val="2A524786"/>
    <w:multiLevelType w:val="hybridMultilevel"/>
    <w:tmpl w:val="C73CF90A"/>
    <w:lvl w:ilvl="0" w:tplc="837244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2B396005"/>
    <w:multiLevelType w:val="hybridMultilevel"/>
    <w:tmpl w:val="5B903648"/>
    <w:lvl w:ilvl="0" w:tplc="E00E276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2B884557"/>
    <w:multiLevelType w:val="hybridMultilevel"/>
    <w:tmpl w:val="D6228D80"/>
    <w:lvl w:ilvl="0" w:tplc="374A83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2BA63093"/>
    <w:multiLevelType w:val="hybridMultilevel"/>
    <w:tmpl w:val="C0FAAA70"/>
    <w:lvl w:ilvl="0" w:tplc="D460E542">
      <w:start w:val="1"/>
      <w:numFmt w:val="decimal"/>
      <w:lvlText w:val="(%1)"/>
      <w:lvlJc w:val="left"/>
      <w:pPr>
        <w:ind w:left="1112" w:hanging="720"/>
      </w:pPr>
      <w:rPr>
        <w:rFonts w:hint="default"/>
      </w:rPr>
    </w:lvl>
    <w:lvl w:ilvl="1" w:tplc="04090019" w:tentative="1">
      <w:start w:val="1"/>
      <w:numFmt w:val="ideographTraditional"/>
      <w:lvlText w:val="%2、"/>
      <w:lvlJc w:val="left"/>
      <w:pPr>
        <w:ind w:left="1352" w:hanging="480"/>
      </w:pPr>
    </w:lvl>
    <w:lvl w:ilvl="2" w:tplc="0409001B" w:tentative="1">
      <w:start w:val="1"/>
      <w:numFmt w:val="lowerRoman"/>
      <w:lvlText w:val="%3."/>
      <w:lvlJc w:val="right"/>
      <w:pPr>
        <w:ind w:left="1832" w:hanging="480"/>
      </w:pPr>
    </w:lvl>
    <w:lvl w:ilvl="3" w:tplc="0409000F" w:tentative="1">
      <w:start w:val="1"/>
      <w:numFmt w:val="decimal"/>
      <w:lvlText w:val="%4."/>
      <w:lvlJc w:val="left"/>
      <w:pPr>
        <w:ind w:left="2312" w:hanging="480"/>
      </w:pPr>
    </w:lvl>
    <w:lvl w:ilvl="4" w:tplc="04090019" w:tentative="1">
      <w:start w:val="1"/>
      <w:numFmt w:val="ideographTraditional"/>
      <w:lvlText w:val="%5、"/>
      <w:lvlJc w:val="left"/>
      <w:pPr>
        <w:ind w:left="2792" w:hanging="480"/>
      </w:pPr>
    </w:lvl>
    <w:lvl w:ilvl="5" w:tplc="0409001B" w:tentative="1">
      <w:start w:val="1"/>
      <w:numFmt w:val="lowerRoman"/>
      <w:lvlText w:val="%6."/>
      <w:lvlJc w:val="right"/>
      <w:pPr>
        <w:ind w:left="3272" w:hanging="480"/>
      </w:pPr>
    </w:lvl>
    <w:lvl w:ilvl="6" w:tplc="0409000F" w:tentative="1">
      <w:start w:val="1"/>
      <w:numFmt w:val="decimal"/>
      <w:lvlText w:val="%7."/>
      <w:lvlJc w:val="left"/>
      <w:pPr>
        <w:ind w:left="3752" w:hanging="480"/>
      </w:pPr>
    </w:lvl>
    <w:lvl w:ilvl="7" w:tplc="04090019" w:tentative="1">
      <w:start w:val="1"/>
      <w:numFmt w:val="ideographTraditional"/>
      <w:lvlText w:val="%8、"/>
      <w:lvlJc w:val="left"/>
      <w:pPr>
        <w:ind w:left="4232" w:hanging="480"/>
      </w:pPr>
    </w:lvl>
    <w:lvl w:ilvl="8" w:tplc="0409001B" w:tentative="1">
      <w:start w:val="1"/>
      <w:numFmt w:val="lowerRoman"/>
      <w:lvlText w:val="%9."/>
      <w:lvlJc w:val="right"/>
      <w:pPr>
        <w:ind w:left="4712" w:hanging="480"/>
      </w:pPr>
    </w:lvl>
  </w:abstractNum>
  <w:abstractNum w:abstractNumId="34">
    <w:nsid w:val="2F690296"/>
    <w:multiLevelType w:val="hybridMultilevel"/>
    <w:tmpl w:val="19D2D1B8"/>
    <w:lvl w:ilvl="0" w:tplc="66AA0F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3187495E"/>
    <w:multiLevelType w:val="hybridMultilevel"/>
    <w:tmpl w:val="00807A10"/>
    <w:lvl w:ilvl="0" w:tplc="BC6E42CC">
      <w:start w:val="1"/>
      <w:numFmt w:val="decimal"/>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3281378F"/>
    <w:multiLevelType w:val="multilevel"/>
    <w:tmpl w:val="322ABB88"/>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7">
    <w:nsid w:val="3482106C"/>
    <w:multiLevelType w:val="hybridMultilevel"/>
    <w:tmpl w:val="6C5C9E76"/>
    <w:lvl w:ilvl="0" w:tplc="FF143DA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34D06063"/>
    <w:multiLevelType w:val="hybridMultilevel"/>
    <w:tmpl w:val="C0FAAA70"/>
    <w:lvl w:ilvl="0" w:tplc="D460E542">
      <w:start w:val="1"/>
      <w:numFmt w:val="decimal"/>
      <w:lvlText w:val="(%1)"/>
      <w:lvlJc w:val="left"/>
      <w:pPr>
        <w:ind w:left="1112" w:hanging="720"/>
      </w:pPr>
      <w:rPr>
        <w:rFonts w:hint="default"/>
      </w:rPr>
    </w:lvl>
    <w:lvl w:ilvl="1" w:tplc="04090019" w:tentative="1">
      <w:start w:val="1"/>
      <w:numFmt w:val="ideographTraditional"/>
      <w:lvlText w:val="%2、"/>
      <w:lvlJc w:val="left"/>
      <w:pPr>
        <w:ind w:left="1352" w:hanging="480"/>
      </w:pPr>
    </w:lvl>
    <w:lvl w:ilvl="2" w:tplc="0409001B" w:tentative="1">
      <w:start w:val="1"/>
      <w:numFmt w:val="lowerRoman"/>
      <w:lvlText w:val="%3."/>
      <w:lvlJc w:val="right"/>
      <w:pPr>
        <w:ind w:left="1832" w:hanging="480"/>
      </w:pPr>
    </w:lvl>
    <w:lvl w:ilvl="3" w:tplc="0409000F" w:tentative="1">
      <w:start w:val="1"/>
      <w:numFmt w:val="decimal"/>
      <w:lvlText w:val="%4."/>
      <w:lvlJc w:val="left"/>
      <w:pPr>
        <w:ind w:left="2312" w:hanging="480"/>
      </w:pPr>
    </w:lvl>
    <w:lvl w:ilvl="4" w:tplc="04090019" w:tentative="1">
      <w:start w:val="1"/>
      <w:numFmt w:val="ideographTraditional"/>
      <w:lvlText w:val="%5、"/>
      <w:lvlJc w:val="left"/>
      <w:pPr>
        <w:ind w:left="2792" w:hanging="480"/>
      </w:pPr>
    </w:lvl>
    <w:lvl w:ilvl="5" w:tplc="0409001B" w:tentative="1">
      <w:start w:val="1"/>
      <w:numFmt w:val="lowerRoman"/>
      <w:lvlText w:val="%6."/>
      <w:lvlJc w:val="right"/>
      <w:pPr>
        <w:ind w:left="3272" w:hanging="480"/>
      </w:pPr>
    </w:lvl>
    <w:lvl w:ilvl="6" w:tplc="0409000F" w:tentative="1">
      <w:start w:val="1"/>
      <w:numFmt w:val="decimal"/>
      <w:lvlText w:val="%7."/>
      <w:lvlJc w:val="left"/>
      <w:pPr>
        <w:ind w:left="3752" w:hanging="480"/>
      </w:pPr>
    </w:lvl>
    <w:lvl w:ilvl="7" w:tplc="04090019" w:tentative="1">
      <w:start w:val="1"/>
      <w:numFmt w:val="ideographTraditional"/>
      <w:lvlText w:val="%8、"/>
      <w:lvlJc w:val="left"/>
      <w:pPr>
        <w:ind w:left="4232" w:hanging="480"/>
      </w:pPr>
    </w:lvl>
    <w:lvl w:ilvl="8" w:tplc="0409001B" w:tentative="1">
      <w:start w:val="1"/>
      <w:numFmt w:val="lowerRoman"/>
      <w:lvlText w:val="%9."/>
      <w:lvlJc w:val="right"/>
      <w:pPr>
        <w:ind w:left="4712" w:hanging="480"/>
      </w:pPr>
    </w:lvl>
  </w:abstractNum>
  <w:abstractNum w:abstractNumId="39">
    <w:nsid w:val="36F21EC6"/>
    <w:multiLevelType w:val="hybridMultilevel"/>
    <w:tmpl w:val="0D3ABD62"/>
    <w:lvl w:ilvl="0" w:tplc="2B9668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3832033D"/>
    <w:multiLevelType w:val="hybridMultilevel"/>
    <w:tmpl w:val="B824C77C"/>
    <w:lvl w:ilvl="0" w:tplc="4CA0FC10">
      <w:start w:val="1"/>
      <w:numFmt w:val="decim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38DA3609"/>
    <w:multiLevelType w:val="hybridMultilevel"/>
    <w:tmpl w:val="D6228D80"/>
    <w:lvl w:ilvl="0" w:tplc="374A83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391776D8"/>
    <w:multiLevelType w:val="hybridMultilevel"/>
    <w:tmpl w:val="5B5ADF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3A2A12C0"/>
    <w:multiLevelType w:val="hybridMultilevel"/>
    <w:tmpl w:val="5B903648"/>
    <w:lvl w:ilvl="0" w:tplc="E00E276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3BBE1CB6"/>
    <w:multiLevelType w:val="hybridMultilevel"/>
    <w:tmpl w:val="5B903648"/>
    <w:lvl w:ilvl="0" w:tplc="E00E276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3CFE143F"/>
    <w:multiLevelType w:val="hybridMultilevel"/>
    <w:tmpl w:val="59847926"/>
    <w:lvl w:ilvl="0" w:tplc="A1A269AC">
      <w:start w:val="1"/>
      <w:numFmt w:val="decimal"/>
      <w:pStyle w:val="a3"/>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3D6D38CD"/>
    <w:multiLevelType w:val="hybridMultilevel"/>
    <w:tmpl w:val="61C2D05A"/>
    <w:lvl w:ilvl="0" w:tplc="EF7C061A">
      <w:start w:val="1"/>
      <w:numFmt w:val="decimal"/>
      <w:lvlText w:val="%1."/>
      <w:lvlJc w:val="left"/>
      <w:pPr>
        <w:ind w:left="525" w:hanging="5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441523EB"/>
    <w:multiLevelType w:val="hybridMultilevel"/>
    <w:tmpl w:val="B9962B32"/>
    <w:lvl w:ilvl="0" w:tplc="8946A8E8">
      <w:start w:val="1"/>
      <w:numFmt w:val="decimal"/>
      <w:pStyle w:val="a4"/>
      <w:lvlText w:val="附件%1、"/>
      <w:lvlJc w:val="left"/>
      <w:pPr>
        <w:ind w:left="7002" w:hanging="480"/>
      </w:pPr>
      <w:rPr>
        <w:rFonts w:hAnsi="Times New Roman" w:cs="Times New Roman" w:hint="eastAsia"/>
        <w:b/>
        <w:bCs w:val="0"/>
        <w:i w:val="0"/>
        <w:iCs w:val="0"/>
        <w:caps w:val="0"/>
        <w:smallCaps w:val="0"/>
        <w:strike w:val="0"/>
        <w:dstrike w:val="0"/>
        <w:outline w:val="0"/>
        <w:shadow w:val="0"/>
        <w:emboss w:val="0"/>
        <w:imprint w:val="0"/>
        <w:noProof w:val="0"/>
        <w:vanish w:val="0"/>
        <w:spacing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3370" w:hanging="480"/>
      </w:pPr>
    </w:lvl>
    <w:lvl w:ilvl="2" w:tplc="0409001B" w:tentative="1">
      <w:start w:val="1"/>
      <w:numFmt w:val="lowerRoman"/>
      <w:lvlText w:val="%3."/>
      <w:lvlJc w:val="right"/>
      <w:pPr>
        <w:ind w:left="3850" w:hanging="480"/>
      </w:pPr>
    </w:lvl>
    <w:lvl w:ilvl="3" w:tplc="0409000F" w:tentative="1">
      <w:start w:val="1"/>
      <w:numFmt w:val="decimal"/>
      <w:lvlText w:val="%4."/>
      <w:lvlJc w:val="left"/>
      <w:pPr>
        <w:ind w:left="4330" w:hanging="480"/>
      </w:pPr>
    </w:lvl>
    <w:lvl w:ilvl="4" w:tplc="04090019" w:tentative="1">
      <w:start w:val="1"/>
      <w:numFmt w:val="ideographTraditional"/>
      <w:lvlText w:val="%5、"/>
      <w:lvlJc w:val="left"/>
      <w:pPr>
        <w:ind w:left="4810" w:hanging="480"/>
      </w:pPr>
    </w:lvl>
    <w:lvl w:ilvl="5" w:tplc="0409001B" w:tentative="1">
      <w:start w:val="1"/>
      <w:numFmt w:val="lowerRoman"/>
      <w:lvlText w:val="%6."/>
      <w:lvlJc w:val="right"/>
      <w:pPr>
        <w:ind w:left="5290" w:hanging="480"/>
      </w:pPr>
    </w:lvl>
    <w:lvl w:ilvl="6" w:tplc="0409000F" w:tentative="1">
      <w:start w:val="1"/>
      <w:numFmt w:val="decimal"/>
      <w:lvlText w:val="%7."/>
      <w:lvlJc w:val="left"/>
      <w:pPr>
        <w:ind w:left="5770" w:hanging="480"/>
      </w:pPr>
    </w:lvl>
    <w:lvl w:ilvl="7" w:tplc="04090019" w:tentative="1">
      <w:start w:val="1"/>
      <w:numFmt w:val="ideographTraditional"/>
      <w:lvlText w:val="%8、"/>
      <w:lvlJc w:val="left"/>
      <w:pPr>
        <w:ind w:left="6250" w:hanging="480"/>
      </w:pPr>
    </w:lvl>
    <w:lvl w:ilvl="8" w:tplc="0409001B" w:tentative="1">
      <w:start w:val="1"/>
      <w:numFmt w:val="lowerRoman"/>
      <w:lvlText w:val="%9."/>
      <w:lvlJc w:val="right"/>
      <w:pPr>
        <w:ind w:left="6730" w:hanging="480"/>
      </w:pPr>
    </w:lvl>
  </w:abstractNum>
  <w:abstractNum w:abstractNumId="48">
    <w:nsid w:val="4439040C"/>
    <w:multiLevelType w:val="hybridMultilevel"/>
    <w:tmpl w:val="C0FAAA70"/>
    <w:lvl w:ilvl="0" w:tplc="D460E542">
      <w:start w:val="1"/>
      <w:numFmt w:val="decimal"/>
      <w:lvlText w:val="(%1)"/>
      <w:lvlJc w:val="left"/>
      <w:pPr>
        <w:ind w:left="1112" w:hanging="720"/>
      </w:pPr>
      <w:rPr>
        <w:rFonts w:hint="default"/>
      </w:rPr>
    </w:lvl>
    <w:lvl w:ilvl="1" w:tplc="04090019" w:tentative="1">
      <w:start w:val="1"/>
      <w:numFmt w:val="ideographTraditional"/>
      <w:lvlText w:val="%2、"/>
      <w:lvlJc w:val="left"/>
      <w:pPr>
        <w:ind w:left="1352" w:hanging="480"/>
      </w:pPr>
    </w:lvl>
    <w:lvl w:ilvl="2" w:tplc="0409001B" w:tentative="1">
      <w:start w:val="1"/>
      <w:numFmt w:val="lowerRoman"/>
      <w:lvlText w:val="%3."/>
      <w:lvlJc w:val="right"/>
      <w:pPr>
        <w:ind w:left="1832" w:hanging="480"/>
      </w:pPr>
    </w:lvl>
    <w:lvl w:ilvl="3" w:tplc="0409000F" w:tentative="1">
      <w:start w:val="1"/>
      <w:numFmt w:val="decimal"/>
      <w:lvlText w:val="%4."/>
      <w:lvlJc w:val="left"/>
      <w:pPr>
        <w:ind w:left="2312" w:hanging="480"/>
      </w:pPr>
    </w:lvl>
    <w:lvl w:ilvl="4" w:tplc="04090019" w:tentative="1">
      <w:start w:val="1"/>
      <w:numFmt w:val="ideographTraditional"/>
      <w:lvlText w:val="%5、"/>
      <w:lvlJc w:val="left"/>
      <w:pPr>
        <w:ind w:left="2792" w:hanging="480"/>
      </w:pPr>
    </w:lvl>
    <w:lvl w:ilvl="5" w:tplc="0409001B" w:tentative="1">
      <w:start w:val="1"/>
      <w:numFmt w:val="lowerRoman"/>
      <w:lvlText w:val="%6."/>
      <w:lvlJc w:val="right"/>
      <w:pPr>
        <w:ind w:left="3272" w:hanging="480"/>
      </w:pPr>
    </w:lvl>
    <w:lvl w:ilvl="6" w:tplc="0409000F" w:tentative="1">
      <w:start w:val="1"/>
      <w:numFmt w:val="decimal"/>
      <w:lvlText w:val="%7."/>
      <w:lvlJc w:val="left"/>
      <w:pPr>
        <w:ind w:left="3752" w:hanging="480"/>
      </w:pPr>
    </w:lvl>
    <w:lvl w:ilvl="7" w:tplc="04090019" w:tentative="1">
      <w:start w:val="1"/>
      <w:numFmt w:val="ideographTraditional"/>
      <w:lvlText w:val="%8、"/>
      <w:lvlJc w:val="left"/>
      <w:pPr>
        <w:ind w:left="4232" w:hanging="480"/>
      </w:pPr>
    </w:lvl>
    <w:lvl w:ilvl="8" w:tplc="0409001B" w:tentative="1">
      <w:start w:val="1"/>
      <w:numFmt w:val="lowerRoman"/>
      <w:lvlText w:val="%9."/>
      <w:lvlJc w:val="right"/>
      <w:pPr>
        <w:ind w:left="4712" w:hanging="480"/>
      </w:pPr>
    </w:lvl>
  </w:abstractNum>
  <w:abstractNum w:abstractNumId="49">
    <w:nsid w:val="481506AB"/>
    <w:multiLevelType w:val="hybridMultilevel"/>
    <w:tmpl w:val="D6228D80"/>
    <w:lvl w:ilvl="0" w:tplc="374A83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nsid w:val="4A7410AB"/>
    <w:multiLevelType w:val="hybridMultilevel"/>
    <w:tmpl w:val="3B685596"/>
    <w:lvl w:ilvl="0" w:tplc="374A83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nsid w:val="4AD1725E"/>
    <w:multiLevelType w:val="multilevel"/>
    <w:tmpl w:val="9F980D3A"/>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2">
    <w:nsid w:val="4D9A4D76"/>
    <w:multiLevelType w:val="hybridMultilevel"/>
    <w:tmpl w:val="4D7E4D00"/>
    <w:lvl w:ilvl="0" w:tplc="4EDCB500">
      <w:start w:val="1"/>
      <w:numFmt w:val="decimal"/>
      <w:lvlText w:val="%1."/>
      <w:lvlJc w:val="left"/>
      <w:pPr>
        <w:ind w:left="480" w:hanging="480"/>
      </w:pPr>
      <w:rPr>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50423737"/>
    <w:multiLevelType w:val="hybridMultilevel"/>
    <w:tmpl w:val="5B903648"/>
    <w:lvl w:ilvl="0" w:tplc="E00E276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nsid w:val="52804769"/>
    <w:multiLevelType w:val="hybridMultilevel"/>
    <w:tmpl w:val="08B0ACE4"/>
    <w:lvl w:ilvl="0" w:tplc="1C3C8190">
      <w:start w:val="1"/>
      <w:numFmt w:val="decimal"/>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nsid w:val="53215B8B"/>
    <w:multiLevelType w:val="hybridMultilevel"/>
    <w:tmpl w:val="B824C77C"/>
    <w:lvl w:ilvl="0" w:tplc="4CA0FC10">
      <w:start w:val="1"/>
      <w:numFmt w:val="decim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nsid w:val="5366301E"/>
    <w:multiLevelType w:val="hybridMultilevel"/>
    <w:tmpl w:val="B652EC32"/>
    <w:lvl w:ilvl="0" w:tplc="A8844C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nsid w:val="568D3636"/>
    <w:multiLevelType w:val="hybridMultilevel"/>
    <w:tmpl w:val="08B0ACE4"/>
    <w:lvl w:ilvl="0" w:tplc="1C3C8190">
      <w:start w:val="1"/>
      <w:numFmt w:val="decimal"/>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nsid w:val="572E47D3"/>
    <w:multiLevelType w:val="hybridMultilevel"/>
    <w:tmpl w:val="0B703EF2"/>
    <w:lvl w:ilvl="0" w:tplc="DFF66DD6">
      <w:start w:val="1"/>
      <w:numFmt w:val="decimal"/>
      <w:lvlText w:val="%1."/>
      <w:lvlJc w:val="left"/>
      <w:pPr>
        <w:ind w:left="525" w:hanging="5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nsid w:val="573969AC"/>
    <w:multiLevelType w:val="hybridMultilevel"/>
    <w:tmpl w:val="DC6E0B62"/>
    <w:lvl w:ilvl="0" w:tplc="940E47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nsid w:val="57534137"/>
    <w:multiLevelType w:val="hybridMultilevel"/>
    <w:tmpl w:val="5B903648"/>
    <w:lvl w:ilvl="0" w:tplc="E00E276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nsid w:val="5A181660"/>
    <w:multiLevelType w:val="hybridMultilevel"/>
    <w:tmpl w:val="D0D4048E"/>
    <w:lvl w:ilvl="0" w:tplc="FC6A0B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nsid w:val="5A27602A"/>
    <w:multiLevelType w:val="hybridMultilevel"/>
    <w:tmpl w:val="C0FAAA70"/>
    <w:lvl w:ilvl="0" w:tplc="D460E542">
      <w:start w:val="1"/>
      <w:numFmt w:val="decimal"/>
      <w:lvlText w:val="(%1)"/>
      <w:lvlJc w:val="left"/>
      <w:pPr>
        <w:ind w:left="1112" w:hanging="720"/>
      </w:pPr>
      <w:rPr>
        <w:rFonts w:hint="default"/>
      </w:rPr>
    </w:lvl>
    <w:lvl w:ilvl="1" w:tplc="04090019" w:tentative="1">
      <w:start w:val="1"/>
      <w:numFmt w:val="ideographTraditional"/>
      <w:lvlText w:val="%2、"/>
      <w:lvlJc w:val="left"/>
      <w:pPr>
        <w:ind w:left="1352" w:hanging="480"/>
      </w:pPr>
    </w:lvl>
    <w:lvl w:ilvl="2" w:tplc="0409001B" w:tentative="1">
      <w:start w:val="1"/>
      <w:numFmt w:val="lowerRoman"/>
      <w:lvlText w:val="%3."/>
      <w:lvlJc w:val="right"/>
      <w:pPr>
        <w:ind w:left="1832" w:hanging="480"/>
      </w:pPr>
    </w:lvl>
    <w:lvl w:ilvl="3" w:tplc="0409000F" w:tentative="1">
      <w:start w:val="1"/>
      <w:numFmt w:val="decimal"/>
      <w:lvlText w:val="%4."/>
      <w:lvlJc w:val="left"/>
      <w:pPr>
        <w:ind w:left="2312" w:hanging="480"/>
      </w:pPr>
    </w:lvl>
    <w:lvl w:ilvl="4" w:tplc="04090019" w:tentative="1">
      <w:start w:val="1"/>
      <w:numFmt w:val="ideographTraditional"/>
      <w:lvlText w:val="%5、"/>
      <w:lvlJc w:val="left"/>
      <w:pPr>
        <w:ind w:left="2792" w:hanging="480"/>
      </w:pPr>
    </w:lvl>
    <w:lvl w:ilvl="5" w:tplc="0409001B" w:tentative="1">
      <w:start w:val="1"/>
      <w:numFmt w:val="lowerRoman"/>
      <w:lvlText w:val="%6."/>
      <w:lvlJc w:val="right"/>
      <w:pPr>
        <w:ind w:left="3272" w:hanging="480"/>
      </w:pPr>
    </w:lvl>
    <w:lvl w:ilvl="6" w:tplc="0409000F" w:tentative="1">
      <w:start w:val="1"/>
      <w:numFmt w:val="decimal"/>
      <w:lvlText w:val="%7."/>
      <w:lvlJc w:val="left"/>
      <w:pPr>
        <w:ind w:left="3752" w:hanging="480"/>
      </w:pPr>
    </w:lvl>
    <w:lvl w:ilvl="7" w:tplc="04090019" w:tentative="1">
      <w:start w:val="1"/>
      <w:numFmt w:val="ideographTraditional"/>
      <w:lvlText w:val="%8、"/>
      <w:lvlJc w:val="left"/>
      <w:pPr>
        <w:ind w:left="4232" w:hanging="480"/>
      </w:pPr>
    </w:lvl>
    <w:lvl w:ilvl="8" w:tplc="0409001B" w:tentative="1">
      <w:start w:val="1"/>
      <w:numFmt w:val="lowerRoman"/>
      <w:lvlText w:val="%9."/>
      <w:lvlJc w:val="right"/>
      <w:pPr>
        <w:ind w:left="4712" w:hanging="480"/>
      </w:pPr>
    </w:lvl>
  </w:abstractNum>
  <w:abstractNum w:abstractNumId="65">
    <w:nsid w:val="5B2735F5"/>
    <w:multiLevelType w:val="hybridMultilevel"/>
    <w:tmpl w:val="D250D56A"/>
    <w:lvl w:ilvl="0" w:tplc="96107C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nsid w:val="5B547FCF"/>
    <w:multiLevelType w:val="hybridMultilevel"/>
    <w:tmpl w:val="9D20805C"/>
    <w:lvl w:ilvl="0" w:tplc="D6727052">
      <w:start w:val="1"/>
      <w:numFmt w:val="decim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nsid w:val="5CCB265C"/>
    <w:multiLevelType w:val="hybridMultilevel"/>
    <w:tmpl w:val="08B0ACE4"/>
    <w:lvl w:ilvl="0" w:tplc="1C3C8190">
      <w:start w:val="1"/>
      <w:numFmt w:val="decimal"/>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nsid w:val="5D0F5AAD"/>
    <w:multiLevelType w:val="hybridMultilevel"/>
    <w:tmpl w:val="CA14DDBA"/>
    <w:lvl w:ilvl="0" w:tplc="23A48E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nsid w:val="5D4314DF"/>
    <w:multiLevelType w:val="hybridMultilevel"/>
    <w:tmpl w:val="5B5ADF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nsid w:val="604F091D"/>
    <w:multiLevelType w:val="hybridMultilevel"/>
    <w:tmpl w:val="7CF2E9C2"/>
    <w:lvl w:ilvl="0" w:tplc="374A83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nsid w:val="62720764"/>
    <w:multiLevelType w:val="hybridMultilevel"/>
    <w:tmpl w:val="D6228D80"/>
    <w:lvl w:ilvl="0" w:tplc="374A83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nsid w:val="62937881"/>
    <w:multiLevelType w:val="hybridMultilevel"/>
    <w:tmpl w:val="C0FAAA70"/>
    <w:lvl w:ilvl="0" w:tplc="D460E542">
      <w:start w:val="1"/>
      <w:numFmt w:val="decimal"/>
      <w:lvlText w:val="(%1)"/>
      <w:lvlJc w:val="left"/>
      <w:pPr>
        <w:ind w:left="1112" w:hanging="720"/>
      </w:pPr>
      <w:rPr>
        <w:rFonts w:hint="default"/>
      </w:rPr>
    </w:lvl>
    <w:lvl w:ilvl="1" w:tplc="04090019" w:tentative="1">
      <w:start w:val="1"/>
      <w:numFmt w:val="ideographTraditional"/>
      <w:lvlText w:val="%2、"/>
      <w:lvlJc w:val="left"/>
      <w:pPr>
        <w:ind w:left="1352" w:hanging="480"/>
      </w:pPr>
    </w:lvl>
    <w:lvl w:ilvl="2" w:tplc="0409001B" w:tentative="1">
      <w:start w:val="1"/>
      <w:numFmt w:val="lowerRoman"/>
      <w:lvlText w:val="%3."/>
      <w:lvlJc w:val="right"/>
      <w:pPr>
        <w:ind w:left="1832" w:hanging="480"/>
      </w:pPr>
    </w:lvl>
    <w:lvl w:ilvl="3" w:tplc="0409000F" w:tentative="1">
      <w:start w:val="1"/>
      <w:numFmt w:val="decimal"/>
      <w:lvlText w:val="%4."/>
      <w:lvlJc w:val="left"/>
      <w:pPr>
        <w:ind w:left="2312" w:hanging="480"/>
      </w:pPr>
    </w:lvl>
    <w:lvl w:ilvl="4" w:tplc="04090019" w:tentative="1">
      <w:start w:val="1"/>
      <w:numFmt w:val="ideographTraditional"/>
      <w:lvlText w:val="%5、"/>
      <w:lvlJc w:val="left"/>
      <w:pPr>
        <w:ind w:left="2792" w:hanging="480"/>
      </w:pPr>
    </w:lvl>
    <w:lvl w:ilvl="5" w:tplc="0409001B" w:tentative="1">
      <w:start w:val="1"/>
      <w:numFmt w:val="lowerRoman"/>
      <w:lvlText w:val="%6."/>
      <w:lvlJc w:val="right"/>
      <w:pPr>
        <w:ind w:left="3272" w:hanging="480"/>
      </w:pPr>
    </w:lvl>
    <w:lvl w:ilvl="6" w:tplc="0409000F" w:tentative="1">
      <w:start w:val="1"/>
      <w:numFmt w:val="decimal"/>
      <w:lvlText w:val="%7."/>
      <w:lvlJc w:val="left"/>
      <w:pPr>
        <w:ind w:left="3752" w:hanging="480"/>
      </w:pPr>
    </w:lvl>
    <w:lvl w:ilvl="7" w:tplc="04090019" w:tentative="1">
      <w:start w:val="1"/>
      <w:numFmt w:val="ideographTraditional"/>
      <w:lvlText w:val="%8、"/>
      <w:lvlJc w:val="left"/>
      <w:pPr>
        <w:ind w:left="4232" w:hanging="480"/>
      </w:pPr>
    </w:lvl>
    <w:lvl w:ilvl="8" w:tplc="0409001B" w:tentative="1">
      <w:start w:val="1"/>
      <w:numFmt w:val="lowerRoman"/>
      <w:lvlText w:val="%9."/>
      <w:lvlJc w:val="right"/>
      <w:pPr>
        <w:ind w:left="4712" w:hanging="480"/>
      </w:pPr>
    </w:lvl>
  </w:abstractNum>
  <w:abstractNum w:abstractNumId="73">
    <w:nsid w:val="65373DE2"/>
    <w:multiLevelType w:val="hybridMultilevel"/>
    <w:tmpl w:val="08B0ACE4"/>
    <w:lvl w:ilvl="0" w:tplc="1C3C8190">
      <w:start w:val="1"/>
      <w:numFmt w:val="decimal"/>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nsid w:val="65BD50E4"/>
    <w:multiLevelType w:val="hybridMultilevel"/>
    <w:tmpl w:val="B824C77C"/>
    <w:lvl w:ilvl="0" w:tplc="4CA0FC10">
      <w:start w:val="1"/>
      <w:numFmt w:val="decim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nsid w:val="67236C81"/>
    <w:multiLevelType w:val="hybridMultilevel"/>
    <w:tmpl w:val="3B685596"/>
    <w:lvl w:ilvl="0" w:tplc="374A83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nsid w:val="67433BCD"/>
    <w:multiLevelType w:val="hybridMultilevel"/>
    <w:tmpl w:val="5B5ADF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nsid w:val="687E764C"/>
    <w:multiLevelType w:val="hybridMultilevel"/>
    <w:tmpl w:val="D6228D80"/>
    <w:lvl w:ilvl="0" w:tplc="374A83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nsid w:val="68C33C5A"/>
    <w:multiLevelType w:val="hybridMultilevel"/>
    <w:tmpl w:val="D250D56A"/>
    <w:lvl w:ilvl="0" w:tplc="96107C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nsid w:val="690D6DF8"/>
    <w:multiLevelType w:val="hybridMultilevel"/>
    <w:tmpl w:val="99F61D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nsid w:val="6C507D11"/>
    <w:multiLevelType w:val="hybridMultilevel"/>
    <w:tmpl w:val="6B063F7C"/>
    <w:lvl w:ilvl="0" w:tplc="0BD656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nsid w:val="6EC708C6"/>
    <w:multiLevelType w:val="hybridMultilevel"/>
    <w:tmpl w:val="08B0ACE4"/>
    <w:lvl w:ilvl="0" w:tplc="1C3C8190">
      <w:start w:val="1"/>
      <w:numFmt w:val="decimal"/>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nsid w:val="6FA8553E"/>
    <w:multiLevelType w:val="hybridMultilevel"/>
    <w:tmpl w:val="26921C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nsid w:val="70830FF2"/>
    <w:multiLevelType w:val="hybridMultilevel"/>
    <w:tmpl w:val="57E66E58"/>
    <w:lvl w:ilvl="0" w:tplc="D820EFE8">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nsid w:val="71DA0ACC"/>
    <w:multiLevelType w:val="hybridMultilevel"/>
    <w:tmpl w:val="4D7E4D00"/>
    <w:lvl w:ilvl="0" w:tplc="4EDCB500">
      <w:start w:val="1"/>
      <w:numFmt w:val="decimal"/>
      <w:lvlText w:val="%1."/>
      <w:lvlJc w:val="left"/>
      <w:pPr>
        <w:ind w:left="764" w:hanging="480"/>
      </w:pPr>
      <w:rPr>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nsid w:val="72C54693"/>
    <w:multiLevelType w:val="hybridMultilevel"/>
    <w:tmpl w:val="4EDA8EFA"/>
    <w:lvl w:ilvl="0" w:tplc="87ECE4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nsid w:val="735A04B2"/>
    <w:multiLevelType w:val="hybridMultilevel"/>
    <w:tmpl w:val="DFB4AEF4"/>
    <w:lvl w:ilvl="0" w:tplc="374A83E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nsid w:val="75686635"/>
    <w:multiLevelType w:val="hybridMultilevel"/>
    <w:tmpl w:val="298C525E"/>
    <w:lvl w:ilvl="0" w:tplc="D460E542">
      <w:start w:val="1"/>
      <w:numFmt w:val="decimal"/>
      <w:lvlText w:val="(%1)"/>
      <w:lvlJc w:val="left"/>
      <w:pPr>
        <w:ind w:left="1112" w:hanging="720"/>
      </w:pPr>
      <w:rPr>
        <w:rFonts w:hint="default"/>
      </w:rPr>
    </w:lvl>
    <w:lvl w:ilvl="1" w:tplc="04090019" w:tentative="1">
      <w:start w:val="1"/>
      <w:numFmt w:val="ideographTraditional"/>
      <w:lvlText w:val="%2、"/>
      <w:lvlJc w:val="left"/>
      <w:pPr>
        <w:ind w:left="1352" w:hanging="480"/>
      </w:pPr>
    </w:lvl>
    <w:lvl w:ilvl="2" w:tplc="0409001B" w:tentative="1">
      <w:start w:val="1"/>
      <w:numFmt w:val="lowerRoman"/>
      <w:lvlText w:val="%3."/>
      <w:lvlJc w:val="right"/>
      <w:pPr>
        <w:ind w:left="1832" w:hanging="480"/>
      </w:pPr>
    </w:lvl>
    <w:lvl w:ilvl="3" w:tplc="0409000F" w:tentative="1">
      <w:start w:val="1"/>
      <w:numFmt w:val="decimal"/>
      <w:lvlText w:val="%4."/>
      <w:lvlJc w:val="left"/>
      <w:pPr>
        <w:ind w:left="2312" w:hanging="480"/>
      </w:pPr>
    </w:lvl>
    <w:lvl w:ilvl="4" w:tplc="04090019" w:tentative="1">
      <w:start w:val="1"/>
      <w:numFmt w:val="ideographTraditional"/>
      <w:lvlText w:val="%5、"/>
      <w:lvlJc w:val="left"/>
      <w:pPr>
        <w:ind w:left="2792" w:hanging="480"/>
      </w:pPr>
    </w:lvl>
    <w:lvl w:ilvl="5" w:tplc="0409001B" w:tentative="1">
      <w:start w:val="1"/>
      <w:numFmt w:val="lowerRoman"/>
      <w:lvlText w:val="%6."/>
      <w:lvlJc w:val="right"/>
      <w:pPr>
        <w:ind w:left="3272" w:hanging="480"/>
      </w:pPr>
    </w:lvl>
    <w:lvl w:ilvl="6" w:tplc="0409000F" w:tentative="1">
      <w:start w:val="1"/>
      <w:numFmt w:val="decimal"/>
      <w:lvlText w:val="%7."/>
      <w:lvlJc w:val="left"/>
      <w:pPr>
        <w:ind w:left="3752" w:hanging="480"/>
      </w:pPr>
    </w:lvl>
    <w:lvl w:ilvl="7" w:tplc="04090019" w:tentative="1">
      <w:start w:val="1"/>
      <w:numFmt w:val="ideographTraditional"/>
      <w:lvlText w:val="%8、"/>
      <w:lvlJc w:val="left"/>
      <w:pPr>
        <w:ind w:left="4232" w:hanging="480"/>
      </w:pPr>
    </w:lvl>
    <w:lvl w:ilvl="8" w:tplc="0409001B" w:tentative="1">
      <w:start w:val="1"/>
      <w:numFmt w:val="lowerRoman"/>
      <w:lvlText w:val="%9."/>
      <w:lvlJc w:val="right"/>
      <w:pPr>
        <w:ind w:left="4712" w:hanging="480"/>
      </w:pPr>
    </w:lvl>
  </w:abstractNum>
  <w:abstractNum w:abstractNumId="88">
    <w:nsid w:val="759A7015"/>
    <w:multiLevelType w:val="hybridMultilevel"/>
    <w:tmpl w:val="C0FAAA70"/>
    <w:lvl w:ilvl="0" w:tplc="D460E542">
      <w:start w:val="1"/>
      <w:numFmt w:val="decimal"/>
      <w:lvlText w:val="(%1)"/>
      <w:lvlJc w:val="left"/>
      <w:pPr>
        <w:ind w:left="1112" w:hanging="720"/>
      </w:pPr>
      <w:rPr>
        <w:rFonts w:hint="default"/>
      </w:rPr>
    </w:lvl>
    <w:lvl w:ilvl="1" w:tplc="04090019" w:tentative="1">
      <w:start w:val="1"/>
      <w:numFmt w:val="ideographTraditional"/>
      <w:lvlText w:val="%2、"/>
      <w:lvlJc w:val="left"/>
      <w:pPr>
        <w:ind w:left="1352" w:hanging="480"/>
      </w:pPr>
    </w:lvl>
    <w:lvl w:ilvl="2" w:tplc="0409001B" w:tentative="1">
      <w:start w:val="1"/>
      <w:numFmt w:val="lowerRoman"/>
      <w:lvlText w:val="%3."/>
      <w:lvlJc w:val="right"/>
      <w:pPr>
        <w:ind w:left="1832" w:hanging="480"/>
      </w:pPr>
    </w:lvl>
    <w:lvl w:ilvl="3" w:tplc="0409000F" w:tentative="1">
      <w:start w:val="1"/>
      <w:numFmt w:val="decimal"/>
      <w:lvlText w:val="%4."/>
      <w:lvlJc w:val="left"/>
      <w:pPr>
        <w:ind w:left="2312" w:hanging="480"/>
      </w:pPr>
    </w:lvl>
    <w:lvl w:ilvl="4" w:tplc="04090019" w:tentative="1">
      <w:start w:val="1"/>
      <w:numFmt w:val="ideographTraditional"/>
      <w:lvlText w:val="%5、"/>
      <w:lvlJc w:val="left"/>
      <w:pPr>
        <w:ind w:left="2792" w:hanging="480"/>
      </w:pPr>
    </w:lvl>
    <w:lvl w:ilvl="5" w:tplc="0409001B" w:tentative="1">
      <w:start w:val="1"/>
      <w:numFmt w:val="lowerRoman"/>
      <w:lvlText w:val="%6."/>
      <w:lvlJc w:val="right"/>
      <w:pPr>
        <w:ind w:left="3272" w:hanging="480"/>
      </w:pPr>
    </w:lvl>
    <w:lvl w:ilvl="6" w:tplc="0409000F" w:tentative="1">
      <w:start w:val="1"/>
      <w:numFmt w:val="decimal"/>
      <w:lvlText w:val="%7."/>
      <w:lvlJc w:val="left"/>
      <w:pPr>
        <w:ind w:left="3752" w:hanging="480"/>
      </w:pPr>
    </w:lvl>
    <w:lvl w:ilvl="7" w:tplc="04090019" w:tentative="1">
      <w:start w:val="1"/>
      <w:numFmt w:val="ideographTraditional"/>
      <w:lvlText w:val="%8、"/>
      <w:lvlJc w:val="left"/>
      <w:pPr>
        <w:ind w:left="4232" w:hanging="480"/>
      </w:pPr>
    </w:lvl>
    <w:lvl w:ilvl="8" w:tplc="0409001B" w:tentative="1">
      <w:start w:val="1"/>
      <w:numFmt w:val="lowerRoman"/>
      <w:lvlText w:val="%9."/>
      <w:lvlJc w:val="right"/>
      <w:pPr>
        <w:ind w:left="4712" w:hanging="480"/>
      </w:pPr>
    </w:lvl>
  </w:abstractNum>
  <w:abstractNum w:abstractNumId="89">
    <w:nsid w:val="765C6D66"/>
    <w:multiLevelType w:val="hybridMultilevel"/>
    <w:tmpl w:val="5B903648"/>
    <w:lvl w:ilvl="0" w:tplc="E00E276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nsid w:val="79644126"/>
    <w:multiLevelType w:val="hybridMultilevel"/>
    <w:tmpl w:val="99F61D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nsid w:val="7A3E60B4"/>
    <w:multiLevelType w:val="hybridMultilevel"/>
    <w:tmpl w:val="DC6E0B62"/>
    <w:lvl w:ilvl="0" w:tplc="940E47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nsid w:val="7A612DFB"/>
    <w:multiLevelType w:val="hybridMultilevel"/>
    <w:tmpl w:val="B824C77C"/>
    <w:lvl w:ilvl="0" w:tplc="4CA0FC10">
      <w:start w:val="1"/>
      <w:numFmt w:val="decim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nsid w:val="7BB35028"/>
    <w:multiLevelType w:val="hybridMultilevel"/>
    <w:tmpl w:val="99F61D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nsid w:val="7F8863E8"/>
    <w:multiLevelType w:val="hybridMultilevel"/>
    <w:tmpl w:val="D6228D80"/>
    <w:lvl w:ilvl="0" w:tplc="374A83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7"/>
  </w:num>
  <w:num w:numId="2">
    <w:abstractNumId w:val="6"/>
  </w:num>
  <w:num w:numId="3">
    <w:abstractNumId w:val="45"/>
  </w:num>
  <w:num w:numId="4">
    <w:abstractNumId w:val="55"/>
  </w:num>
  <w:num w:numId="5">
    <w:abstractNumId w:val="14"/>
  </w:num>
  <w:num w:numId="6">
    <w:abstractNumId w:val="59"/>
  </w:num>
  <w:num w:numId="7">
    <w:abstractNumId w:val="47"/>
  </w:num>
  <w:num w:numId="8">
    <w:abstractNumId w:val="0"/>
  </w:num>
  <w:num w:numId="9">
    <w:abstractNumId w:val="24"/>
  </w:num>
  <w:num w:numId="10">
    <w:abstractNumId w:val="60"/>
  </w:num>
  <w:num w:numId="11">
    <w:abstractNumId w:val="35"/>
  </w:num>
  <w:num w:numId="12">
    <w:abstractNumId w:val="20"/>
  </w:num>
  <w:num w:numId="13">
    <w:abstractNumId w:val="18"/>
  </w:num>
  <w:num w:numId="14">
    <w:abstractNumId w:val="8"/>
  </w:num>
  <w:num w:numId="15">
    <w:abstractNumId w:val="30"/>
  </w:num>
  <w:num w:numId="16">
    <w:abstractNumId w:val="46"/>
  </w:num>
  <w:num w:numId="17">
    <w:abstractNumId w:val="66"/>
  </w:num>
  <w:num w:numId="18">
    <w:abstractNumId w:val="37"/>
  </w:num>
  <w:num w:numId="19">
    <w:abstractNumId w:val="4"/>
  </w:num>
  <w:num w:numId="20">
    <w:abstractNumId w:val="92"/>
  </w:num>
  <w:num w:numId="21">
    <w:abstractNumId w:val="56"/>
  </w:num>
  <w:num w:numId="22">
    <w:abstractNumId w:val="74"/>
  </w:num>
  <w:num w:numId="23">
    <w:abstractNumId w:val="40"/>
  </w:num>
  <w:num w:numId="24">
    <w:abstractNumId w:val="41"/>
  </w:num>
  <w:num w:numId="25">
    <w:abstractNumId w:val="71"/>
  </w:num>
  <w:num w:numId="26">
    <w:abstractNumId w:val="77"/>
  </w:num>
  <w:num w:numId="27">
    <w:abstractNumId w:val="94"/>
  </w:num>
  <w:num w:numId="28">
    <w:abstractNumId w:val="32"/>
  </w:num>
  <w:num w:numId="29">
    <w:abstractNumId w:val="49"/>
  </w:num>
  <w:num w:numId="30">
    <w:abstractNumId w:val="83"/>
  </w:num>
  <w:num w:numId="31">
    <w:abstractNumId w:val="70"/>
  </w:num>
  <w:num w:numId="32">
    <w:abstractNumId w:val="9"/>
  </w:num>
  <w:num w:numId="33">
    <w:abstractNumId w:val="75"/>
  </w:num>
  <w:num w:numId="34">
    <w:abstractNumId w:val="50"/>
  </w:num>
  <w:num w:numId="35">
    <w:abstractNumId w:val="15"/>
  </w:num>
  <w:num w:numId="36">
    <w:abstractNumId w:val="27"/>
  </w:num>
  <w:num w:numId="37">
    <w:abstractNumId w:val="3"/>
  </w:num>
  <w:num w:numId="38">
    <w:abstractNumId w:val="67"/>
  </w:num>
  <w:num w:numId="39">
    <w:abstractNumId w:val="86"/>
  </w:num>
  <w:num w:numId="40">
    <w:abstractNumId w:val="73"/>
  </w:num>
  <w:num w:numId="41">
    <w:abstractNumId w:val="81"/>
  </w:num>
  <w:num w:numId="42">
    <w:abstractNumId w:val="58"/>
  </w:num>
  <w:num w:numId="43">
    <w:abstractNumId w:val="54"/>
  </w:num>
  <w:num w:numId="44">
    <w:abstractNumId w:val="7"/>
  </w:num>
  <w:num w:numId="45">
    <w:abstractNumId w:val="13"/>
  </w:num>
  <w:num w:numId="46">
    <w:abstractNumId w:val="10"/>
  </w:num>
  <w:num w:numId="47">
    <w:abstractNumId w:val="5"/>
  </w:num>
  <w:num w:numId="48">
    <w:abstractNumId w:val="25"/>
  </w:num>
  <w:num w:numId="49">
    <w:abstractNumId w:val="72"/>
  </w:num>
  <w:num w:numId="50">
    <w:abstractNumId w:val="19"/>
  </w:num>
  <w:num w:numId="51">
    <w:abstractNumId w:val="93"/>
  </w:num>
  <w:num w:numId="52">
    <w:abstractNumId w:val="12"/>
  </w:num>
  <w:num w:numId="53">
    <w:abstractNumId w:val="69"/>
  </w:num>
  <w:num w:numId="54">
    <w:abstractNumId w:val="48"/>
  </w:num>
  <w:num w:numId="55">
    <w:abstractNumId w:val="88"/>
  </w:num>
  <w:num w:numId="56">
    <w:abstractNumId w:val="84"/>
  </w:num>
  <w:num w:numId="57">
    <w:abstractNumId w:val="52"/>
  </w:num>
  <w:num w:numId="58">
    <w:abstractNumId w:val="85"/>
  </w:num>
  <w:num w:numId="59">
    <w:abstractNumId w:val="26"/>
  </w:num>
  <w:num w:numId="60">
    <w:abstractNumId w:val="16"/>
  </w:num>
  <w:num w:numId="61">
    <w:abstractNumId w:val="34"/>
  </w:num>
  <w:num w:numId="62">
    <w:abstractNumId w:val="57"/>
  </w:num>
  <w:num w:numId="63">
    <w:abstractNumId w:val="39"/>
  </w:num>
  <w:num w:numId="64">
    <w:abstractNumId w:val="68"/>
  </w:num>
  <w:num w:numId="65">
    <w:abstractNumId w:val="63"/>
  </w:num>
  <w:num w:numId="66">
    <w:abstractNumId w:val="89"/>
  </w:num>
  <w:num w:numId="67">
    <w:abstractNumId w:val="44"/>
  </w:num>
  <w:num w:numId="68">
    <w:abstractNumId w:val="31"/>
  </w:num>
  <w:num w:numId="69">
    <w:abstractNumId w:val="53"/>
  </w:num>
  <w:num w:numId="70">
    <w:abstractNumId w:val="62"/>
  </w:num>
  <w:num w:numId="71">
    <w:abstractNumId w:val="22"/>
  </w:num>
  <w:num w:numId="72">
    <w:abstractNumId w:val="2"/>
  </w:num>
  <w:num w:numId="73">
    <w:abstractNumId w:val="43"/>
  </w:num>
  <w:num w:numId="74">
    <w:abstractNumId w:val="36"/>
  </w:num>
  <w:num w:numId="75">
    <w:abstractNumId w:val="82"/>
  </w:num>
  <w:num w:numId="76">
    <w:abstractNumId w:val="61"/>
  </w:num>
  <w:num w:numId="77">
    <w:abstractNumId w:val="51"/>
  </w:num>
  <w:num w:numId="78">
    <w:abstractNumId w:val="91"/>
  </w:num>
  <w:num w:numId="79">
    <w:abstractNumId w:val="78"/>
  </w:num>
  <w:num w:numId="80">
    <w:abstractNumId w:val="80"/>
  </w:num>
  <w:num w:numId="81">
    <w:abstractNumId w:val="1"/>
  </w:num>
  <w:num w:numId="82">
    <w:abstractNumId w:val="65"/>
  </w:num>
  <w:num w:numId="83">
    <w:abstractNumId w:val="23"/>
  </w:num>
  <w:num w:numId="84">
    <w:abstractNumId w:val="28"/>
  </w:num>
  <w:num w:numId="85">
    <w:abstractNumId w:val="11"/>
  </w:num>
  <w:num w:numId="86">
    <w:abstractNumId w:val="76"/>
  </w:num>
  <w:num w:numId="87">
    <w:abstractNumId w:val="90"/>
  </w:num>
  <w:num w:numId="88">
    <w:abstractNumId w:val="33"/>
  </w:num>
  <w:num w:numId="89">
    <w:abstractNumId w:val="29"/>
  </w:num>
  <w:num w:numId="90">
    <w:abstractNumId w:val="79"/>
  </w:num>
  <w:num w:numId="91">
    <w:abstractNumId w:val="64"/>
  </w:num>
  <w:num w:numId="92">
    <w:abstractNumId w:val="42"/>
  </w:num>
  <w:num w:numId="93">
    <w:abstractNumId w:val="38"/>
  </w:num>
  <w:num w:numId="94">
    <w:abstractNumId w:val="87"/>
  </w:num>
  <w:num w:numId="95">
    <w:abstractNumId w:val="21"/>
  </w:num>
  <w:num w:numId="96">
    <w:abstractNumId w:val="14"/>
  </w:num>
  <w:num w:numId="97">
    <w:abstractNumId w:val="14"/>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E0A"/>
    <w:rsid w:val="00000EA9"/>
    <w:rsid w:val="00001EF3"/>
    <w:rsid w:val="00003CF2"/>
    <w:rsid w:val="00004204"/>
    <w:rsid w:val="0000465D"/>
    <w:rsid w:val="000049D1"/>
    <w:rsid w:val="000058ED"/>
    <w:rsid w:val="00005C35"/>
    <w:rsid w:val="00005DCD"/>
    <w:rsid w:val="00006871"/>
    <w:rsid w:val="00006961"/>
    <w:rsid w:val="00007956"/>
    <w:rsid w:val="0001075E"/>
    <w:rsid w:val="000112BF"/>
    <w:rsid w:val="00011438"/>
    <w:rsid w:val="00011981"/>
    <w:rsid w:val="00011AE3"/>
    <w:rsid w:val="00011EE8"/>
    <w:rsid w:val="00012233"/>
    <w:rsid w:val="000131E9"/>
    <w:rsid w:val="00013DF9"/>
    <w:rsid w:val="000155B7"/>
    <w:rsid w:val="00015937"/>
    <w:rsid w:val="00016A2F"/>
    <w:rsid w:val="00016B27"/>
    <w:rsid w:val="00016C4A"/>
    <w:rsid w:val="00017043"/>
    <w:rsid w:val="00017318"/>
    <w:rsid w:val="000178DA"/>
    <w:rsid w:val="00020086"/>
    <w:rsid w:val="000201B7"/>
    <w:rsid w:val="000204E0"/>
    <w:rsid w:val="000209CF"/>
    <w:rsid w:val="0002179B"/>
    <w:rsid w:val="00022542"/>
    <w:rsid w:val="0002356A"/>
    <w:rsid w:val="00023B5D"/>
    <w:rsid w:val="000246AB"/>
    <w:rsid w:val="000246F7"/>
    <w:rsid w:val="00025497"/>
    <w:rsid w:val="0002583A"/>
    <w:rsid w:val="0002602B"/>
    <w:rsid w:val="000303E7"/>
    <w:rsid w:val="0003077C"/>
    <w:rsid w:val="0003114D"/>
    <w:rsid w:val="000318A7"/>
    <w:rsid w:val="00031FCD"/>
    <w:rsid w:val="000329D4"/>
    <w:rsid w:val="00036484"/>
    <w:rsid w:val="00036D76"/>
    <w:rsid w:val="0003798A"/>
    <w:rsid w:val="00037AE6"/>
    <w:rsid w:val="00042364"/>
    <w:rsid w:val="000425CE"/>
    <w:rsid w:val="00043662"/>
    <w:rsid w:val="000452B1"/>
    <w:rsid w:val="000463A6"/>
    <w:rsid w:val="000468D9"/>
    <w:rsid w:val="0005092B"/>
    <w:rsid w:val="00052847"/>
    <w:rsid w:val="00053227"/>
    <w:rsid w:val="00053267"/>
    <w:rsid w:val="00055056"/>
    <w:rsid w:val="0005676D"/>
    <w:rsid w:val="00056B43"/>
    <w:rsid w:val="00057523"/>
    <w:rsid w:val="00057F32"/>
    <w:rsid w:val="00061A34"/>
    <w:rsid w:val="0006202E"/>
    <w:rsid w:val="00062A25"/>
    <w:rsid w:val="00065A1B"/>
    <w:rsid w:val="00066D5C"/>
    <w:rsid w:val="000670C6"/>
    <w:rsid w:val="000702D4"/>
    <w:rsid w:val="000704AB"/>
    <w:rsid w:val="000705D8"/>
    <w:rsid w:val="00070E73"/>
    <w:rsid w:val="00071323"/>
    <w:rsid w:val="00071FAB"/>
    <w:rsid w:val="00072408"/>
    <w:rsid w:val="000727FB"/>
    <w:rsid w:val="00072C50"/>
    <w:rsid w:val="00073183"/>
    <w:rsid w:val="00073CB5"/>
    <w:rsid w:val="0007425C"/>
    <w:rsid w:val="00075279"/>
    <w:rsid w:val="000753BD"/>
    <w:rsid w:val="00075BAE"/>
    <w:rsid w:val="00076C86"/>
    <w:rsid w:val="00076DD7"/>
    <w:rsid w:val="00077553"/>
    <w:rsid w:val="00077675"/>
    <w:rsid w:val="00077C1C"/>
    <w:rsid w:val="00080958"/>
    <w:rsid w:val="00080ED5"/>
    <w:rsid w:val="000811EB"/>
    <w:rsid w:val="00081E1A"/>
    <w:rsid w:val="0008259D"/>
    <w:rsid w:val="00083F6B"/>
    <w:rsid w:val="0008472E"/>
    <w:rsid w:val="000851A2"/>
    <w:rsid w:val="00085BA6"/>
    <w:rsid w:val="00086551"/>
    <w:rsid w:val="00086999"/>
    <w:rsid w:val="00087A69"/>
    <w:rsid w:val="00087B02"/>
    <w:rsid w:val="00087C1A"/>
    <w:rsid w:val="000909DA"/>
    <w:rsid w:val="00090AE7"/>
    <w:rsid w:val="00091DC4"/>
    <w:rsid w:val="00092774"/>
    <w:rsid w:val="00092783"/>
    <w:rsid w:val="00093161"/>
    <w:rsid w:val="0009352E"/>
    <w:rsid w:val="00094145"/>
    <w:rsid w:val="00094B03"/>
    <w:rsid w:val="00094BD6"/>
    <w:rsid w:val="00095106"/>
    <w:rsid w:val="000952B6"/>
    <w:rsid w:val="00095EAD"/>
    <w:rsid w:val="00096B96"/>
    <w:rsid w:val="00097A29"/>
    <w:rsid w:val="00097AED"/>
    <w:rsid w:val="00097F05"/>
    <w:rsid w:val="000A1C1D"/>
    <w:rsid w:val="000A2185"/>
    <w:rsid w:val="000A25BA"/>
    <w:rsid w:val="000A292C"/>
    <w:rsid w:val="000A2F3F"/>
    <w:rsid w:val="000A404E"/>
    <w:rsid w:val="000A415A"/>
    <w:rsid w:val="000A496E"/>
    <w:rsid w:val="000A4E34"/>
    <w:rsid w:val="000A4E76"/>
    <w:rsid w:val="000A52D2"/>
    <w:rsid w:val="000A65FC"/>
    <w:rsid w:val="000A6A4C"/>
    <w:rsid w:val="000A72CE"/>
    <w:rsid w:val="000B0AA0"/>
    <w:rsid w:val="000B0B4A"/>
    <w:rsid w:val="000B117B"/>
    <w:rsid w:val="000B279A"/>
    <w:rsid w:val="000B2F2E"/>
    <w:rsid w:val="000B3E59"/>
    <w:rsid w:val="000B4D33"/>
    <w:rsid w:val="000B5A6A"/>
    <w:rsid w:val="000B61D2"/>
    <w:rsid w:val="000B67A5"/>
    <w:rsid w:val="000B70A7"/>
    <w:rsid w:val="000C2FB9"/>
    <w:rsid w:val="000C31EA"/>
    <w:rsid w:val="000C3239"/>
    <w:rsid w:val="000C495F"/>
    <w:rsid w:val="000C4EEF"/>
    <w:rsid w:val="000C5623"/>
    <w:rsid w:val="000C5860"/>
    <w:rsid w:val="000C7B05"/>
    <w:rsid w:val="000C7BB4"/>
    <w:rsid w:val="000D0879"/>
    <w:rsid w:val="000D0A1C"/>
    <w:rsid w:val="000D0F1E"/>
    <w:rsid w:val="000D137A"/>
    <w:rsid w:val="000D2553"/>
    <w:rsid w:val="000D44EC"/>
    <w:rsid w:val="000D5B46"/>
    <w:rsid w:val="000D634C"/>
    <w:rsid w:val="000D635D"/>
    <w:rsid w:val="000D67A8"/>
    <w:rsid w:val="000D686E"/>
    <w:rsid w:val="000D7373"/>
    <w:rsid w:val="000D78AD"/>
    <w:rsid w:val="000E2136"/>
    <w:rsid w:val="000E23D6"/>
    <w:rsid w:val="000E4ED8"/>
    <w:rsid w:val="000E502B"/>
    <w:rsid w:val="000E6431"/>
    <w:rsid w:val="000E6865"/>
    <w:rsid w:val="000E6C88"/>
    <w:rsid w:val="000F0AA9"/>
    <w:rsid w:val="000F2056"/>
    <w:rsid w:val="000F21A5"/>
    <w:rsid w:val="000F3285"/>
    <w:rsid w:val="000F455A"/>
    <w:rsid w:val="000F57CE"/>
    <w:rsid w:val="000F5914"/>
    <w:rsid w:val="000F79AA"/>
    <w:rsid w:val="0010164D"/>
    <w:rsid w:val="001017EF"/>
    <w:rsid w:val="001021C2"/>
    <w:rsid w:val="00102305"/>
    <w:rsid w:val="00102645"/>
    <w:rsid w:val="00102B9F"/>
    <w:rsid w:val="001037EA"/>
    <w:rsid w:val="0010420C"/>
    <w:rsid w:val="001063AC"/>
    <w:rsid w:val="00106D63"/>
    <w:rsid w:val="00110D97"/>
    <w:rsid w:val="001112E8"/>
    <w:rsid w:val="001117AC"/>
    <w:rsid w:val="001120ED"/>
    <w:rsid w:val="00112408"/>
    <w:rsid w:val="00112637"/>
    <w:rsid w:val="00112ABC"/>
    <w:rsid w:val="001134C2"/>
    <w:rsid w:val="001154BB"/>
    <w:rsid w:val="00116073"/>
    <w:rsid w:val="001160E7"/>
    <w:rsid w:val="001161C3"/>
    <w:rsid w:val="00116BAB"/>
    <w:rsid w:val="00116CC6"/>
    <w:rsid w:val="0012001E"/>
    <w:rsid w:val="0012080F"/>
    <w:rsid w:val="00121162"/>
    <w:rsid w:val="00125C16"/>
    <w:rsid w:val="00125CBD"/>
    <w:rsid w:val="00126580"/>
    <w:rsid w:val="00126A55"/>
    <w:rsid w:val="001302C6"/>
    <w:rsid w:val="00131E6B"/>
    <w:rsid w:val="00132DD6"/>
    <w:rsid w:val="001330A6"/>
    <w:rsid w:val="00133F08"/>
    <w:rsid w:val="001345E6"/>
    <w:rsid w:val="0013520F"/>
    <w:rsid w:val="00135CF3"/>
    <w:rsid w:val="0013648D"/>
    <w:rsid w:val="00136891"/>
    <w:rsid w:val="00137046"/>
    <w:rsid w:val="00137265"/>
    <w:rsid w:val="001377F3"/>
    <w:rsid w:val="001378B0"/>
    <w:rsid w:val="00137CB5"/>
    <w:rsid w:val="00140334"/>
    <w:rsid w:val="00140A54"/>
    <w:rsid w:val="00141448"/>
    <w:rsid w:val="0014265F"/>
    <w:rsid w:val="0014270C"/>
    <w:rsid w:val="00142E00"/>
    <w:rsid w:val="00143266"/>
    <w:rsid w:val="00143933"/>
    <w:rsid w:val="00147353"/>
    <w:rsid w:val="0014740A"/>
    <w:rsid w:val="001474BF"/>
    <w:rsid w:val="00150445"/>
    <w:rsid w:val="0015083F"/>
    <w:rsid w:val="00150B91"/>
    <w:rsid w:val="00152793"/>
    <w:rsid w:val="00153B7E"/>
    <w:rsid w:val="001545A9"/>
    <w:rsid w:val="00154E81"/>
    <w:rsid w:val="00155427"/>
    <w:rsid w:val="0015755A"/>
    <w:rsid w:val="001602C8"/>
    <w:rsid w:val="00160669"/>
    <w:rsid w:val="001612E6"/>
    <w:rsid w:val="001616C9"/>
    <w:rsid w:val="00161D20"/>
    <w:rsid w:val="00161FD9"/>
    <w:rsid w:val="0016245D"/>
    <w:rsid w:val="001629FA"/>
    <w:rsid w:val="001637C7"/>
    <w:rsid w:val="001637D1"/>
    <w:rsid w:val="00163DDF"/>
    <w:rsid w:val="0016480E"/>
    <w:rsid w:val="0016491F"/>
    <w:rsid w:val="00164A4D"/>
    <w:rsid w:val="0016679B"/>
    <w:rsid w:val="00167BF6"/>
    <w:rsid w:val="00167C97"/>
    <w:rsid w:val="001701A2"/>
    <w:rsid w:val="00171DBC"/>
    <w:rsid w:val="001725E6"/>
    <w:rsid w:val="00172D8E"/>
    <w:rsid w:val="00173077"/>
    <w:rsid w:val="00173516"/>
    <w:rsid w:val="00174297"/>
    <w:rsid w:val="001746E0"/>
    <w:rsid w:val="0017476E"/>
    <w:rsid w:val="0017522D"/>
    <w:rsid w:val="001754DF"/>
    <w:rsid w:val="00175899"/>
    <w:rsid w:val="00175F7C"/>
    <w:rsid w:val="001768DA"/>
    <w:rsid w:val="00177487"/>
    <w:rsid w:val="00177D2F"/>
    <w:rsid w:val="0018051D"/>
    <w:rsid w:val="00180E06"/>
    <w:rsid w:val="001817B3"/>
    <w:rsid w:val="00181868"/>
    <w:rsid w:val="00181B84"/>
    <w:rsid w:val="00183014"/>
    <w:rsid w:val="00184141"/>
    <w:rsid w:val="00185556"/>
    <w:rsid w:val="001864DD"/>
    <w:rsid w:val="00187029"/>
    <w:rsid w:val="0018760A"/>
    <w:rsid w:val="001924C5"/>
    <w:rsid w:val="001959C2"/>
    <w:rsid w:val="00195BCA"/>
    <w:rsid w:val="001A089C"/>
    <w:rsid w:val="001A0D4A"/>
    <w:rsid w:val="001A1955"/>
    <w:rsid w:val="001A2550"/>
    <w:rsid w:val="001A2B2C"/>
    <w:rsid w:val="001A4B59"/>
    <w:rsid w:val="001A51E3"/>
    <w:rsid w:val="001A690A"/>
    <w:rsid w:val="001A7968"/>
    <w:rsid w:val="001B0915"/>
    <w:rsid w:val="001B2E98"/>
    <w:rsid w:val="001B3483"/>
    <w:rsid w:val="001B34CA"/>
    <w:rsid w:val="001B3C1E"/>
    <w:rsid w:val="001B3D4F"/>
    <w:rsid w:val="001B3FA2"/>
    <w:rsid w:val="001B3FA4"/>
    <w:rsid w:val="001B4494"/>
    <w:rsid w:val="001B4642"/>
    <w:rsid w:val="001B618F"/>
    <w:rsid w:val="001C0604"/>
    <w:rsid w:val="001C0D8B"/>
    <w:rsid w:val="001C0DA8"/>
    <w:rsid w:val="001C14E2"/>
    <w:rsid w:val="001C1F3A"/>
    <w:rsid w:val="001C33BB"/>
    <w:rsid w:val="001C33E8"/>
    <w:rsid w:val="001C39AF"/>
    <w:rsid w:val="001C3B83"/>
    <w:rsid w:val="001C6248"/>
    <w:rsid w:val="001C6C42"/>
    <w:rsid w:val="001C71B2"/>
    <w:rsid w:val="001C7D5A"/>
    <w:rsid w:val="001D0045"/>
    <w:rsid w:val="001D0A09"/>
    <w:rsid w:val="001D2F3D"/>
    <w:rsid w:val="001D31A5"/>
    <w:rsid w:val="001D4AD7"/>
    <w:rsid w:val="001D4FAA"/>
    <w:rsid w:val="001D5F77"/>
    <w:rsid w:val="001E0D8A"/>
    <w:rsid w:val="001E213A"/>
    <w:rsid w:val="001E221F"/>
    <w:rsid w:val="001E4209"/>
    <w:rsid w:val="001E4B25"/>
    <w:rsid w:val="001E52E5"/>
    <w:rsid w:val="001E57BA"/>
    <w:rsid w:val="001E67BA"/>
    <w:rsid w:val="001E6DD1"/>
    <w:rsid w:val="001E739D"/>
    <w:rsid w:val="001E74C2"/>
    <w:rsid w:val="001E7F30"/>
    <w:rsid w:val="001F023D"/>
    <w:rsid w:val="001F0294"/>
    <w:rsid w:val="001F0ADD"/>
    <w:rsid w:val="001F27AF"/>
    <w:rsid w:val="001F313C"/>
    <w:rsid w:val="001F416D"/>
    <w:rsid w:val="001F4173"/>
    <w:rsid w:val="001F4C3A"/>
    <w:rsid w:val="001F5A48"/>
    <w:rsid w:val="001F6260"/>
    <w:rsid w:val="001F66BD"/>
    <w:rsid w:val="001F6BBD"/>
    <w:rsid w:val="001F761B"/>
    <w:rsid w:val="001F7C1A"/>
    <w:rsid w:val="00200007"/>
    <w:rsid w:val="00200258"/>
    <w:rsid w:val="002030A5"/>
    <w:rsid w:val="00203131"/>
    <w:rsid w:val="0020337A"/>
    <w:rsid w:val="0020421A"/>
    <w:rsid w:val="0020456A"/>
    <w:rsid w:val="00205332"/>
    <w:rsid w:val="002058CC"/>
    <w:rsid w:val="00205BAA"/>
    <w:rsid w:val="00205EA9"/>
    <w:rsid w:val="00206944"/>
    <w:rsid w:val="00207E80"/>
    <w:rsid w:val="00210E3E"/>
    <w:rsid w:val="00211171"/>
    <w:rsid w:val="0021133D"/>
    <w:rsid w:val="00211DD5"/>
    <w:rsid w:val="00212132"/>
    <w:rsid w:val="00212BAE"/>
    <w:rsid w:val="00212E88"/>
    <w:rsid w:val="00213C9C"/>
    <w:rsid w:val="0021430E"/>
    <w:rsid w:val="00214C71"/>
    <w:rsid w:val="002168FE"/>
    <w:rsid w:val="00217639"/>
    <w:rsid w:val="0022009E"/>
    <w:rsid w:val="00220494"/>
    <w:rsid w:val="00220CDE"/>
    <w:rsid w:val="00220CE4"/>
    <w:rsid w:val="00222315"/>
    <w:rsid w:val="0022243D"/>
    <w:rsid w:val="002228D7"/>
    <w:rsid w:val="00223241"/>
    <w:rsid w:val="00223F86"/>
    <w:rsid w:val="002241A4"/>
    <w:rsid w:val="0022425C"/>
    <w:rsid w:val="002246DE"/>
    <w:rsid w:val="002247F9"/>
    <w:rsid w:val="002251A5"/>
    <w:rsid w:val="002268E1"/>
    <w:rsid w:val="002309A4"/>
    <w:rsid w:val="00230EC1"/>
    <w:rsid w:val="002319AA"/>
    <w:rsid w:val="00231C3B"/>
    <w:rsid w:val="00231FE6"/>
    <w:rsid w:val="0023237E"/>
    <w:rsid w:val="00232EC9"/>
    <w:rsid w:val="002335E0"/>
    <w:rsid w:val="0023371E"/>
    <w:rsid w:val="002341DC"/>
    <w:rsid w:val="0023432B"/>
    <w:rsid w:val="002344A0"/>
    <w:rsid w:val="00235EE0"/>
    <w:rsid w:val="0023629D"/>
    <w:rsid w:val="0023680A"/>
    <w:rsid w:val="002369CE"/>
    <w:rsid w:val="00236C83"/>
    <w:rsid w:val="00240D26"/>
    <w:rsid w:val="00241D3E"/>
    <w:rsid w:val="0024214B"/>
    <w:rsid w:val="00242CE1"/>
    <w:rsid w:val="00242EA4"/>
    <w:rsid w:val="00242FF1"/>
    <w:rsid w:val="00243A64"/>
    <w:rsid w:val="00246471"/>
    <w:rsid w:val="0024686F"/>
    <w:rsid w:val="00247507"/>
    <w:rsid w:val="00247610"/>
    <w:rsid w:val="00247C4C"/>
    <w:rsid w:val="00250800"/>
    <w:rsid w:val="00251378"/>
    <w:rsid w:val="00252BC4"/>
    <w:rsid w:val="00253619"/>
    <w:rsid w:val="00254014"/>
    <w:rsid w:val="00254936"/>
    <w:rsid w:val="00254971"/>
    <w:rsid w:val="002557E4"/>
    <w:rsid w:val="00260104"/>
    <w:rsid w:val="00261FE7"/>
    <w:rsid w:val="0026271E"/>
    <w:rsid w:val="00262A2D"/>
    <w:rsid w:val="00262B63"/>
    <w:rsid w:val="00262CDA"/>
    <w:rsid w:val="00262D93"/>
    <w:rsid w:val="002648AC"/>
    <w:rsid w:val="00264E28"/>
    <w:rsid w:val="0026504D"/>
    <w:rsid w:val="00265367"/>
    <w:rsid w:val="00265528"/>
    <w:rsid w:val="0026567D"/>
    <w:rsid w:val="00265A71"/>
    <w:rsid w:val="00266F24"/>
    <w:rsid w:val="002671E6"/>
    <w:rsid w:val="00270413"/>
    <w:rsid w:val="00270B09"/>
    <w:rsid w:val="00270C2B"/>
    <w:rsid w:val="00272C2F"/>
    <w:rsid w:val="00272DD8"/>
    <w:rsid w:val="00272FE9"/>
    <w:rsid w:val="00273A2F"/>
    <w:rsid w:val="00276002"/>
    <w:rsid w:val="00276A7A"/>
    <w:rsid w:val="002773F9"/>
    <w:rsid w:val="002774DE"/>
    <w:rsid w:val="00277D46"/>
    <w:rsid w:val="00280986"/>
    <w:rsid w:val="00281CD8"/>
    <w:rsid w:val="00281ECE"/>
    <w:rsid w:val="00282CD1"/>
    <w:rsid w:val="0028309A"/>
    <w:rsid w:val="002831C7"/>
    <w:rsid w:val="0028372F"/>
    <w:rsid w:val="002840C6"/>
    <w:rsid w:val="002847BE"/>
    <w:rsid w:val="00287387"/>
    <w:rsid w:val="00290DE6"/>
    <w:rsid w:val="00291406"/>
    <w:rsid w:val="00291A06"/>
    <w:rsid w:val="00291DB3"/>
    <w:rsid w:val="00292296"/>
    <w:rsid w:val="002941BE"/>
    <w:rsid w:val="002942CF"/>
    <w:rsid w:val="00295174"/>
    <w:rsid w:val="0029548F"/>
    <w:rsid w:val="00295706"/>
    <w:rsid w:val="00296172"/>
    <w:rsid w:val="0029686F"/>
    <w:rsid w:val="00296B92"/>
    <w:rsid w:val="0029709E"/>
    <w:rsid w:val="00297B92"/>
    <w:rsid w:val="00297C2D"/>
    <w:rsid w:val="002A0079"/>
    <w:rsid w:val="002A0A0A"/>
    <w:rsid w:val="002A1300"/>
    <w:rsid w:val="002A148B"/>
    <w:rsid w:val="002A15EB"/>
    <w:rsid w:val="002A192A"/>
    <w:rsid w:val="002A2C22"/>
    <w:rsid w:val="002A458F"/>
    <w:rsid w:val="002A4ACA"/>
    <w:rsid w:val="002A58E0"/>
    <w:rsid w:val="002A5E06"/>
    <w:rsid w:val="002A6D57"/>
    <w:rsid w:val="002A79F5"/>
    <w:rsid w:val="002A7D39"/>
    <w:rsid w:val="002B02EB"/>
    <w:rsid w:val="002B06A8"/>
    <w:rsid w:val="002B1C33"/>
    <w:rsid w:val="002B26FB"/>
    <w:rsid w:val="002B2B8D"/>
    <w:rsid w:val="002B3C3B"/>
    <w:rsid w:val="002B4A62"/>
    <w:rsid w:val="002B623C"/>
    <w:rsid w:val="002B68B1"/>
    <w:rsid w:val="002C0602"/>
    <w:rsid w:val="002C0632"/>
    <w:rsid w:val="002C1CB0"/>
    <w:rsid w:val="002C2F08"/>
    <w:rsid w:val="002C6486"/>
    <w:rsid w:val="002C6678"/>
    <w:rsid w:val="002C77C8"/>
    <w:rsid w:val="002D05E6"/>
    <w:rsid w:val="002D0855"/>
    <w:rsid w:val="002D0FA3"/>
    <w:rsid w:val="002D2498"/>
    <w:rsid w:val="002D26FE"/>
    <w:rsid w:val="002D2CAC"/>
    <w:rsid w:val="002D47BE"/>
    <w:rsid w:val="002D485F"/>
    <w:rsid w:val="002D4AC8"/>
    <w:rsid w:val="002D4F99"/>
    <w:rsid w:val="002D5C16"/>
    <w:rsid w:val="002D63FF"/>
    <w:rsid w:val="002D6AF9"/>
    <w:rsid w:val="002D6CCC"/>
    <w:rsid w:val="002D6F91"/>
    <w:rsid w:val="002E0410"/>
    <w:rsid w:val="002E0680"/>
    <w:rsid w:val="002E1333"/>
    <w:rsid w:val="002E24C0"/>
    <w:rsid w:val="002E5989"/>
    <w:rsid w:val="002E5B8D"/>
    <w:rsid w:val="002E7178"/>
    <w:rsid w:val="002E78F9"/>
    <w:rsid w:val="002F097E"/>
    <w:rsid w:val="002F16BC"/>
    <w:rsid w:val="002F183D"/>
    <w:rsid w:val="002F1EFC"/>
    <w:rsid w:val="002F20FC"/>
    <w:rsid w:val="002F212C"/>
    <w:rsid w:val="002F3451"/>
    <w:rsid w:val="002F3DFF"/>
    <w:rsid w:val="002F3FBF"/>
    <w:rsid w:val="002F5E05"/>
    <w:rsid w:val="002F65E9"/>
    <w:rsid w:val="002F70A6"/>
    <w:rsid w:val="002F7315"/>
    <w:rsid w:val="002F760C"/>
    <w:rsid w:val="002F7657"/>
    <w:rsid w:val="00300645"/>
    <w:rsid w:val="00300AFF"/>
    <w:rsid w:val="003010C8"/>
    <w:rsid w:val="003025BC"/>
    <w:rsid w:val="003037FA"/>
    <w:rsid w:val="00305666"/>
    <w:rsid w:val="003061EC"/>
    <w:rsid w:val="00306758"/>
    <w:rsid w:val="003073CB"/>
    <w:rsid w:val="0031048C"/>
    <w:rsid w:val="00310C6B"/>
    <w:rsid w:val="00311466"/>
    <w:rsid w:val="003118FC"/>
    <w:rsid w:val="0031299D"/>
    <w:rsid w:val="00312B7D"/>
    <w:rsid w:val="003139D3"/>
    <w:rsid w:val="0031489F"/>
    <w:rsid w:val="00315A16"/>
    <w:rsid w:val="00317053"/>
    <w:rsid w:val="00317488"/>
    <w:rsid w:val="00317A70"/>
    <w:rsid w:val="00320489"/>
    <w:rsid w:val="0032109C"/>
    <w:rsid w:val="00321828"/>
    <w:rsid w:val="00321DFF"/>
    <w:rsid w:val="00322B45"/>
    <w:rsid w:val="00323809"/>
    <w:rsid w:val="003239E2"/>
    <w:rsid w:val="00323D41"/>
    <w:rsid w:val="00325414"/>
    <w:rsid w:val="003259F3"/>
    <w:rsid w:val="003302F1"/>
    <w:rsid w:val="003309C9"/>
    <w:rsid w:val="00332991"/>
    <w:rsid w:val="00332DC6"/>
    <w:rsid w:val="00332E17"/>
    <w:rsid w:val="00333852"/>
    <w:rsid w:val="0033567B"/>
    <w:rsid w:val="00335B94"/>
    <w:rsid w:val="00337D9E"/>
    <w:rsid w:val="00337DF7"/>
    <w:rsid w:val="003400FE"/>
    <w:rsid w:val="00340D4D"/>
    <w:rsid w:val="00343E4C"/>
    <w:rsid w:val="00344436"/>
    <w:rsid w:val="0034470E"/>
    <w:rsid w:val="00344724"/>
    <w:rsid w:val="00345045"/>
    <w:rsid w:val="003456C8"/>
    <w:rsid w:val="00347A61"/>
    <w:rsid w:val="003503C4"/>
    <w:rsid w:val="003513A4"/>
    <w:rsid w:val="003522F2"/>
    <w:rsid w:val="00352DB0"/>
    <w:rsid w:val="003541FE"/>
    <w:rsid w:val="0035526A"/>
    <w:rsid w:val="00355458"/>
    <w:rsid w:val="003572DD"/>
    <w:rsid w:val="003579D9"/>
    <w:rsid w:val="00361063"/>
    <w:rsid w:val="00362514"/>
    <w:rsid w:val="003630B3"/>
    <w:rsid w:val="00363171"/>
    <w:rsid w:val="00364F38"/>
    <w:rsid w:val="00366040"/>
    <w:rsid w:val="00366B5E"/>
    <w:rsid w:val="00366E56"/>
    <w:rsid w:val="003673A8"/>
    <w:rsid w:val="003677D3"/>
    <w:rsid w:val="00367E34"/>
    <w:rsid w:val="00370692"/>
    <w:rsid w:val="0037094A"/>
    <w:rsid w:val="00371ED3"/>
    <w:rsid w:val="00372FFC"/>
    <w:rsid w:val="00373D20"/>
    <w:rsid w:val="00374BAF"/>
    <w:rsid w:val="00374EC5"/>
    <w:rsid w:val="0037555B"/>
    <w:rsid w:val="00375DE5"/>
    <w:rsid w:val="00376253"/>
    <w:rsid w:val="003767CE"/>
    <w:rsid w:val="00376E0A"/>
    <w:rsid w:val="0037728A"/>
    <w:rsid w:val="00377EB2"/>
    <w:rsid w:val="00380B7D"/>
    <w:rsid w:val="00381773"/>
    <w:rsid w:val="00381A0D"/>
    <w:rsid w:val="00381A99"/>
    <w:rsid w:val="003829C2"/>
    <w:rsid w:val="00382D4E"/>
    <w:rsid w:val="003830B2"/>
    <w:rsid w:val="00384724"/>
    <w:rsid w:val="003859C1"/>
    <w:rsid w:val="003862E6"/>
    <w:rsid w:val="00386E87"/>
    <w:rsid w:val="00386F2D"/>
    <w:rsid w:val="00390F04"/>
    <w:rsid w:val="003910BF"/>
    <w:rsid w:val="00391401"/>
    <w:rsid w:val="003919B7"/>
    <w:rsid w:val="00391D57"/>
    <w:rsid w:val="00392292"/>
    <w:rsid w:val="0039420D"/>
    <w:rsid w:val="0039526E"/>
    <w:rsid w:val="0039577B"/>
    <w:rsid w:val="00396D38"/>
    <w:rsid w:val="00397B1C"/>
    <w:rsid w:val="003A07A6"/>
    <w:rsid w:val="003A0DEE"/>
    <w:rsid w:val="003A17DF"/>
    <w:rsid w:val="003A17FA"/>
    <w:rsid w:val="003A2359"/>
    <w:rsid w:val="003A28C3"/>
    <w:rsid w:val="003A2A2E"/>
    <w:rsid w:val="003A31AE"/>
    <w:rsid w:val="003A643A"/>
    <w:rsid w:val="003A678E"/>
    <w:rsid w:val="003A6AF0"/>
    <w:rsid w:val="003A7063"/>
    <w:rsid w:val="003A7750"/>
    <w:rsid w:val="003A7D27"/>
    <w:rsid w:val="003B04F4"/>
    <w:rsid w:val="003B1017"/>
    <w:rsid w:val="003B175E"/>
    <w:rsid w:val="003B18E9"/>
    <w:rsid w:val="003B241D"/>
    <w:rsid w:val="003B3C07"/>
    <w:rsid w:val="003B3C2B"/>
    <w:rsid w:val="003B3D0E"/>
    <w:rsid w:val="003B43D0"/>
    <w:rsid w:val="003B45AB"/>
    <w:rsid w:val="003B46CB"/>
    <w:rsid w:val="003B6775"/>
    <w:rsid w:val="003B7AE8"/>
    <w:rsid w:val="003C0617"/>
    <w:rsid w:val="003C08E7"/>
    <w:rsid w:val="003C0AD7"/>
    <w:rsid w:val="003C1847"/>
    <w:rsid w:val="003C42EA"/>
    <w:rsid w:val="003C453C"/>
    <w:rsid w:val="003C5BB9"/>
    <w:rsid w:val="003C5FE2"/>
    <w:rsid w:val="003C64BC"/>
    <w:rsid w:val="003C667B"/>
    <w:rsid w:val="003C6A6C"/>
    <w:rsid w:val="003C78B7"/>
    <w:rsid w:val="003C7DA9"/>
    <w:rsid w:val="003D05CF"/>
    <w:rsid w:val="003D05FB"/>
    <w:rsid w:val="003D0D4E"/>
    <w:rsid w:val="003D18D7"/>
    <w:rsid w:val="003D1B16"/>
    <w:rsid w:val="003D1E03"/>
    <w:rsid w:val="003D2545"/>
    <w:rsid w:val="003D45BF"/>
    <w:rsid w:val="003D508A"/>
    <w:rsid w:val="003D537F"/>
    <w:rsid w:val="003D57DD"/>
    <w:rsid w:val="003D64FC"/>
    <w:rsid w:val="003D7B75"/>
    <w:rsid w:val="003D7BCB"/>
    <w:rsid w:val="003E0208"/>
    <w:rsid w:val="003E0905"/>
    <w:rsid w:val="003E0D6C"/>
    <w:rsid w:val="003E1B2B"/>
    <w:rsid w:val="003E1DEF"/>
    <w:rsid w:val="003E1F45"/>
    <w:rsid w:val="003E2F8E"/>
    <w:rsid w:val="003E4B57"/>
    <w:rsid w:val="003E6B0C"/>
    <w:rsid w:val="003E7135"/>
    <w:rsid w:val="003E7D13"/>
    <w:rsid w:val="003F0FE4"/>
    <w:rsid w:val="003F27E1"/>
    <w:rsid w:val="003F390B"/>
    <w:rsid w:val="003F437A"/>
    <w:rsid w:val="003F4DCE"/>
    <w:rsid w:val="003F5C2B"/>
    <w:rsid w:val="003F61D6"/>
    <w:rsid w:val="003F65FC"/>
    <w:rsid w:val="003F70DD"/>
    <w:rsid w:val="003F73A0"/>
    <w:rsid w:val="003F74B8"/>
    <w:rsid w:val="003F78CF"/>
    <w:rsid w:val="00400C66"/>
    <w:rsid w:val="00401B69"/>
    <w:rsid w:val="004023E9"/>
    <w:rsid w:val="00403600"/>
    <w:rsid w:val="00403704"/>
    <w:rsid w:val="00403E14"/>
    <w:rsid w:val="00403FB7"/>
    <w:rsid w:val="0040454A"/>
    <w:rsid w:val="00404BAA"/>
    <w:rsid w:val="004059FB"/>
    <w:rsid w:val="004071FC"/>
    <w:rsid w:val="004102FD"/>
    <w:rsid w:val="00410319"/>
    <w:rsid w:val="004105E8"/>
    <w:rsid w:val="00410BB3"/>
    <w:rsid w:val="00411B02"/>
    <w:rsid w:val="004121A2"/>
    <w:rsid w:val="004121EB"/>
    <w:rsid w:val="004124E0"/>
    <w:rsid w:val="0041325A"/>
    <w:rsid w:val="00413597"/>
    <w:rsid w:val="00413D55"/>
    <w:rsid w:val="00413F83"/>
    <w:rsid w:val="0041490C"/>
    <w:rsid w:val="00415B70"/>
    <w:rsid w:val="00416191"/>
    <w:rsid w:val="00416721"/>
    <w:rsid w:val="00421ECB"/>
    <w:rsid w:val="00421EF0"/>
    <w:rsid w:val="004224FA"/>
    <w:rsid w:val="0042311D"/>
    <w:rsid w:val="00423D07"/>
    <w:rsid w:val="00423D6B"/>
    <w:rsid w:val="00424E62"/>
    <w:rsid w:val="0042502D"/>
    <w:rsid w:val="00426B49"/>
    <w:rsid w:val="00430574"/>
    <w:rsid w:val="0043065F"/>
    <w:rsid w:val="004313B7"/>
    <w:rsid w:val="00433167"/>
    <w:rsid w:val="00433EFD"/>
    <w:rsid w:val="00434346"/>
    <w:rsid w:val="004368F0"/>
    <w:rsid w:val="0043786E"/>
    <w:rsid w:val="00437F1B"/>
    <w:rsid w:val="004405BF"/>
    <w:rsid w:val="00440D21"/>
    <w:rsid w:val="0044144C"/>
    <w:rsid w:val="004421D7"/>
    <w:rsid w:val="004429DB"/>
    <w:rsid w:val="0044346F"/>
    <w:rsid w:val="00443A65"/>
    <w:rsid w:val="00444D78"/>
    <w:rsid w:val="0044511F"/>
    <w:rsid w:val="00445698"/>
    <w:rsid w:val="00446BC1"/>
    <w:rsid w:val="004500F1"/>
    <w:rsid w:val="0045016A"/>
    <w:rsid w:val="004513DE"/>
    <w:rsid w:val="00451563"/>
    <w:rsid w:val="00452262"/>
    <w:rsid w:val="0045360F"/>
    <w:rsid w:val="00454AD8"/>
    <w:rsid w:val="00456A2D"/>
    <w:rsid w:val="00457511"/>
    <w:rsid w:val="00457A38"/>
    <w:rsid w:val="0046385B"/>
    <w:rsid w:val="00464242"/>
    <w:rsid w:val="00464934"/>
    <w:rsid w:val="004649A5"/>
    <w:rsid w:val="004649F8"/>
    <w:rsid w:val="0046520A"/>
    <w:rsid w:val="004672AB"/>
    <w:rsid w:val="00467804"/>
    <w:rsid w:val="004714FE"/>
    <w:rsid w:val="00471617"/>
    <w:rsid w:val="0047226E"/>
    <w:rsid w:val="004722E0"/>
    <w:rsid w:val="00473174"/>
    <w:rsid w:val="004736E9"/>
    <w:rsid w:val="004736F2"/>
    <w:rsid w:val="004737AC"/>
    <w:rsid w:val="00473A9D"/>
    <w:rsid w:val="00476969"/>
    <w:rsid w:val="00476F77"/>
    <w:rsid w:val="004775F5"/>
    <w:rsid w:val="00477BAA"/>
    <w:rsid w:val="004806FE"/>
    <w:rsid w:val="00480C6D"/>
    <w:rsid w:val="004816A5"/>
    <w:rsid w:val="0048231A"/>
    <w:rsid w:val="00482B92"/>
    <w:rsid w:val="00485723"/>
    <w:rsid w:val="004866DD"/>
    <w:rsid w:val="004874B6"/>
    <w:rsid w:val="004874DB"/>
    <w:rsid w:val="00487ED9"/>
    <w:rsid w:val="00491798"/>
    <w:rsid w:val="004917A7"/>
    <w:rsid w:val="00491A4A"/>
    <w:rsid w:val="0049276F"/>
    <w:rsid w:val="00493664"/>
    <w:rsid w:val="00493736"/>
    <w:rsid w:val="004938DF"/>
    <w:rsid w:val="00493A94"/>
    <w:rsid w:val="00494BE6"/>
    <w:rsid w:val="00494ECC"/>
    <w:rsid w:val="00495053"/>
    <w:rsid w:val="0049515A"/>
    <w:rsid w:val="0049688F"/>
    <w:rsid w:val="004968AA"/>
    <w:rsid w:val="004A1A32"/>
    <w:rsid w:val="004A1F59"/>
    <w:rsid w:val="004A29BE"/>
    <w:rsid w:val="004A3225"/>
    <w:rsid w:val="004A33EE"/>
    <w:rsid w:val="004A37B6"/>
    <w:rsid w:val="004A3AA8"/>
    <w:rsid w:val="004A5A58"/>
    <w:rsid w:val="004A6CF4"/>
    <w:rsid w:val="004A76BE"/>
    <w:rsid w:val="004A7CDB"/>
    <w:rsid w:val="004A7ED9"/>
    <w:rsid w:val="004B13C7"/>
    <w:rsid w:val="004B185D"/>
    <w:rsid w:val="004B1961"/>
    <w:rsid w:val="004B1F65"/>
    <w:rsid w:val="004B27B7"/>
    <w:rsid w:val="004B2A6A"/>
    <w:rsid w:val="004B2F28"/>
    <w:rsid w:val="004B36AE"/>
    <w:rsid w:val="004B3EF6"/>
    <w:rsid w:val="004B4619"/>
    <w:rsid w:val="004B778F"/>
    <w:rsid w:val="004B7E4A"/>
    <w:rsid w:val="004C16A4"/>
    <w:rsid w:val="004C2248"/>
    <w:rsid w:val="004C2761"/>
    <w:rsid w:val="004C296E"/>
    <w:rsid w:val="004C3228"/>
    <w:rsid w:val="004C366D"/>
    <w:rsid w:val="004C401F"/>
    <w:rsid w:val="004C5338"/>
    <w:rsid w:val="004C6412"/>
    <w:rsid w:val="004C6D81"/>
    <w:rsid w:val="004C7768"/>
    <w:rsid w:val="004D141F"/>
    <w:rsid w:val="004D1619"/>
    <w:rsid w:val="004D1E28"/>
    <w:rsid w:val="004D2742"/>
    <w:rsid w:val="004D2AFC"/>
    <w:rsid w:val="004D3153"/>
    <w:rsid w:val="004D3DD0"/>
    <w:rsid w:val="004D41AB"/>
    <w:rsid w:val="004D4C28"/>
    <w:rsid w:val="004D5F2C"/>
    <w:rsid w:val="004D6310"/>
    <w:rsid w:val="004D74B6"/>
    <w:rsid w:val="004D7D95"/>
    <w:rsid w:val="004E0062"/>
    <w:rsid w:val="004E05A1"/>
    <w:rsid w:val="004E3293"/>
    <w:rsid w:val="004E3DE6"/>
    <w:rsid w:val="004E54D8"/>
    <w:rsid w:val="004E6CBB"/>
    <w:rsid w:val="004E73CF"/>
    <w:rsid w:val="004E74EA"/>
    <w:rsid w:val="004F0A1F"/>
    <w:rsid w:val="004F2057"/>
    <w:rsid w:val="004F3338"/>
    <w:rsid w:val="004F5E57"/>
    <w:rsid w:val="004F6710"/>
    <w:rsid w:val="004F6757"/>
    <w:rsid w:val="004F6C09"/>
    <w:rsid w:val="004F717D"/>
    <w:rsid w:val="004F7789"/>
    <w:rsid w:val="005001B4"/>
    <w:rsid w:val="005006D7"/>
    <w:rsid w:val="00500C3E"/>
    <w:rsid w:val="00500DFC"/>
    <w:rsid w:val="005013D4"/>
    <w:rsid w:val="00501491"/>
    <w:rsid w:val="00501859"/>
    <w:rsid w:val="005023BB"/>
    <w:rsid w:val="00502849"/>
    <w:rsid w:val="00502C73"/>
    <w:rsid w:val="0050346B"/>
    <w:rsid w:val="00503572"/>
    <w:rsid w:val="00503655"/>
    <w:rsid w:val="00503777"/>
    <w:rsid w:val="00504334"/>
    <w:rsid w:val="0050498D"/>
    <w:rsid w:val="00504BC0"/>
    <w:rsid w:val="00504CC7"/>
    <w:rsid w:val="00505465"/>
    <w:rsid w:val="005058E4"/>
    <w:rsid w:val="00506148"/>
    <w:rsid w:val="0050740C"/>
    <w:rsid w:val="005077F2"/>
    <w:rsid w:val="00510420"/>
    <w:rsid w:val="005104D7"/>
    <w:rsid w:val="00510757"/>
    <w:rsid w:val="00510A3F"/>
    <w:rsid w:val="00510B9E"/>
    <w:rsid w:val="00510FF9"/>
    <w:rsid w:val="0051166C"/>
    <w:rsid w:val="0051366F"/>
    <w:rsid w:val="00513AA0"/>
    <w:rsid w:val="005143D9"/>
    <w:rsid w:val="00515AAB"/>
    <w:rsid w:val="00516DB7"/>
    <w:rsid w:val="00517631"/>
    <w:rsid w:val="0052026D"/>
    <w:rsid w:val="0052043B"/>
    <w:rsid w:val="00520CEA"/>
    <w:rsid w:val="00522862"/>
    <w:rsid w:val="0052316A"/>
    <w:rsid w:val="00523285"/>
    <w:rsid w:val="00523ACC"/>
    <w:rsid w:val="0052421F"/>
    <w:rsid w:val="00524B29"/>
    <w:rsid w:val="00524DD2"/>
    <w:rsid w:val="00525BB1"/>
    <w:rsid w:val="005267E8"/>
    <w:rsid w:val="005269C0"/>
    <w:rsid w:val="00526B25"/>
    <w:rsid w:val="005278EA"/>
    <w:rsid w:val="00527921"/>
    <w:rsid w:val="0053172C"/>
    <w:rsid w:val="00531F80"/>
    <w:rsid w:val="00532C73"/>
    <w:rsid w:val="00534FE7"/>
    <w:rsid w:val="005351AF"/>
    <w:rsid w:val="0053520C"/>
    <w:rsid w:val="00535B73"/>
    <w:rsid w:val="00536407"/>
    <w:rsid w:val="005369EF"/>
    <w:rsid w:val="00536BC2"/>
    <w:rsid w:val="00536BFB"/>
    <w:rsid w:val="00537FEC"/>
    <w:rsid w:val="0054001E"/>
    <w:rsid w:val="00541E0D"/>
    <w:rsid w:val="005420C7"/>
    <w:rsid w:val="0054214D"/>
    <w:rsid w:val="0054228E"/>
    <w:rsid w:val="005425E1"/>
    <w:rsid w:val="005427C5"/>
    <w:rsid w:val="00542CF6"/>
    <w:rsid w:val="00543B30"/>
    <w:rsid w:val="00543D4C"/>
    <w:rsid w:val="0055058D"/>
    <w:rsid w:val="00550669"/>
    <w:rsid w:val="00550FF3"/>
    <w:rsid w:val="005515DC"/>
    <w:rsid w:val="00551F22"/>
    <w:rsid w:val="00553C03"/>
    <w:rsid w:val="00554ABF"/>
    <w:rsid w:val="00554D59"/>
    <w:rsid w:val="00555A58"/>
    <w:rsid w:val="00560E65"/>
    <w:rsid w:val="00561142"/>
    <w:rsid w:val="00563692"/>
    <w:rsid w:val="005657F6"/>
    <w:rsid w:val="00565832"/>
    <w:rsid w:val="00567065"/>
    <w:rsid w:val="005673C0"/>
    <w:rsid w:val="00567808"/>
    <w:rsid w:val="00567EC2"/>
    <w:rsid w:val="005707D4"/>
    <w:rsid w:val="00570B6B"/>
    <w:rsid w:val="00571679"/>
    <w:rsid w:val="005723CA"/>
    <w:rsid w:val="00573C09"/>
    <w:rsid w:val="00573CC2"/>
    <w:rsid w:val="005748E2"/>
    <w:rsid w:val="005762E5"/>
    <w:rsid w:val="005767FE"/>
    <w:rsid w:val="00580CFE"/>
    <w:rsid w:val="00581A58"/>
    <w:rsid w:val="00581BB3"/>
    <w:rsid w:val="00582225"/>
    <w:rsid w:val="00582C4C"/>
    <w:rsid w:val="0058417F"/>
    <w:rsid w:val="005844E7"/>
    <w:rsid w:val="00584505"/>
    <w:rsid w:val="005854DC"/>
    <w:rsid w:val="00585BBC"/>
    <w:rsid w:val="00586087"/>
    <w:rsid w:val="00586F9A"/>
    <w:rsid w:val="0058754A"/>
    <w:rsid w:val="00587583"/>
    <w:rsid w:val="005878B5"/>
    <w:rsid w:val="00587B42"/>
    <w:rsid w:val="005908B8"/>
    <w:rsid w:val="0059127F"/>
    <w:rsid w:val="005912AF"/>
    <w:rsid w:val="00591AD6"/>
    <w:rsid w:val="005933B7"/>
    <w:rsid w:val="005938AF"/>
    <w:rsid w:val="005938D4"/>
    <w:rsid w:val="00593C35"/>
    <w:rsid w:val="00593F21"/>
    <w:rsid w:val="00594782"/>
    <w:rsid w:val="00594876"/>
    <w:rsid w:val="00594B0F"/>
    <w:rsid w:val="00594F3D"/>
    <w:rsid w:val="0059512E"/>
    <w:rsid w:val="00596BA3"/>
    <w:rsid w:val="005976C1"/>
    <w:rsid w:val="005A0511"/>
    <w:rsid w:val="005A1081"/>
    <w:rsid w:val="005A1730"/>
    <w:rsid w:val="005A22ED"/>
    <w:rsid w:val="005A34F3"/>
    <w:rsid w:val="005A37E9"/>
    <w:rsid w:val="005A3AC3"/>
    <w:rsid w:val="005A488A"/>
    <w:rsid w:val="005A4F41"/>
    <w:rsid w:val="005A568A"/>
    <w:rsid w:val="005A6177"/>
    <w:rsid w:val="005A6506"/>
    <w:rsid w:val="005A6C09"/>
    <w:rsid w:val="005A6DD2"/>
    <w:rsid w:val="005A77A4"/>
    <w:rsid w:val="005A7E82"/>
    <w:rsid w:val="005B08C7"/>
    <w:rsid w:val="005B1D87"/>
    <w:rsid w:val="005B2292"/>
    <w:rsid w:val="005B3DE3"/>
    <w:rsid w:val="005B41CD"/>
    <w:rsid w:val="005B4FDB"/>
    <w:rsid w:val="005B5704"/>
    <w:rsid w:val="005B5A90"/>
    <w:rsid w:val="005B668D"/>
    <w:rsid w:val="005B73BC"/>
    <w:rsid w:val="005B7A3F"/>
    <w:rsid w:val="005C028C"/>
    <w:rsid w:val="005C0C98"/>
    <w:rsid w:val="005C15F2"/>
    <w:rsid w:val="005C1C08"/>
    <w:rsid w:val="005C1FC1"/>
    <w:rsid w:val="005C20D5"/>
    <w:rsid w:val="005C2D41"/>
    <w:rsid w:val="005C2E41"/>
    <w:rsid w:val="005C3656"/>
    <w:rsid w:val="005C385D"/>
    <w:rsid w:val="005C6FCF"/>
    <w:rsid w:val="005D0A73"/>
    <w:rsid w:val="005D3089"/>
    <w:rsid w:val="005D3ABC"/>
    <w:rsid w:val="005D3B20"/>
    <w:rsid w:val="005D406E"/>
    <w:rsid w:val="005D414D"/>
    <w:rsid w:val="005D49FC"/>
    <w:rsid w:val="005D4BB3"/>
    <w:rsid w:val="005D52A6"/>
    <w:rsid w:val="005D53AC"/>
    <w:rsid w:val="005D5FC0"/>
    <w:rsid w:val="005D6110"/>
    <w:rsid w:val="005E0F5B"/>
    <w:rsid w:val="005E3643"/>
    <w:rsid w:val="005E37C9"/>
    <w:rsid w:val="005E4759"/>
    <w:rsid w:val="005E49DA"/>
    <w:rsid w:val="005E4C1A"/>
    <w:rsid w:val="005E4CB4"/>
    <w:rsid w:val="005E4E4B"/>
    <w:rsid w:val="005E57E4"/>
    <w:rsid w:val="005E590B"/>
    <w:rsid w:val="005E5C68"/>
    <w:rsid w:val="005E5DCB"/>
    <w:rsid w:val="005E65C0"/>
    <w:rsid w:val="005E6FD7"/>
    <w:rsid w:val="005E7D81"/>
    <w:rsid w:val="005F0390"/>
    <w:rsid w:val="005F2DC8"/>
    <w:rsid w:val="005F5C79"/>
    <w:rsid w:val="005F73D4"/>
    <w:rsid w:val="005F76BF"/>
    <w:rsid w:val="00602568"/>
    <w:rsid w:val="00602709"/>
    <w:rsid w:val="00602AC4"/>
    <w:rsid w:val="00603985"/>
    <w:rsid w:val="00604018"/>
    <w:rsid w:val="00606DA9"/>
    <w:rsid w:val="006072CD"/>
    <w:rsid w:val="00607D55"/>
    <w:rsid w:val="00607FE8"/>
    <w:rsid w:val="00610989"/>
    <w:rsid w:val="00612023"/>
    <w:rsid w:val="006122D3"/>
    <w:rsid w:val="00614190"/>
    <w:rsid w:val="00614544"/>
    <w:rsid w:val="00615BC1"/>
    <w:rsid w:val="00620330"/>
    <w:rsid w:val="00620550"/>
    <w:rsid w:val="00620630"/>
    <w:rsid w:val="00621E97"/>
    <w:rsid w:val="00622093"/>
    <w:rsid w:val="006222D3"/>
    <w:rsid w:val="00622A99"/>
    <w:rsid w:val="00622E67"/>
    <w:rsid w:val="00622F48"/>
    <w:rsid w:val="00623029"/>
    <w:rsid w:val="00623789"/>
    <w:rsid w:val="006240A6"/>
    <w:rsid w:val="006258DA"/>
    <w:rsid w:val="00626EDC"/>
    <w:rsid w:val="00627ECF"/>
    <w:rsid w:val="0063012A"/>
    <w:rsid w:val="0063164A"/>
    <w:rsid w:val="00631781"/>
    <w:rsid w:val="00631915"/>
    <w:rsid w:val="0063235D"/>
    <w:rsid w:val="0063388E"/>
    <w:rsid w:val="0063447D"/>
    <w:rsid w:val="00635A35"/>
    <w:rsid w:val="00635FA0"/>
    <w:rsid w:val="006361A6"/>
    <w:rsid w:val="0063793C"/>
    <w:rsid w:val="00637C5E"/>
    <w:rsid w:val="00640C26"/>
    <w:rsid w:val="00641D53"/>
    <w:rsid w:val="006429E2"/>
    <w:rsid w:val="00642B68"/>
    <w:rsid w:val="0064312D"/>
    <w:rsid w:val="006437B1"/>
    <w:rsid w:val="00644670"/>
    <w:rsid w:val="00644C43"/>
    <w:rsid w:val="0064547C"/>
    <w:rsid w:val="00645BAD"/>
    <w:rsid w:val="00645CE1"/>
    <w:rsid w:val="00645F34"/>
    <w:rsid w:val="006465D9"/>
    <w:rsid w:val="006470EC"/>
    <w:rsid w:val="00647850"/>
    <w:rsid w:val="006478B6"/>
    <w:rsid w:val="0065085C"/>
    <w:rsid w:val="00651A99"/>
    <w:rsid w:val="0065279F"/>
    <w:rsid w:val="00652B2A"/>
    <w:rsid w:val="00652E2E"/>
    <w:rsid w:val="00653062"/>
    <w:rsid w:val="006542D6"/>
    <w:rsid w:val="00654A9D"/>
    <w:rsid w:val="0065598E"/>
    <w:rsid w:val="00655AF2"/>
    <w:rsid w:val="00655BC5"/>
    <w:rsid w:val="00655D05"/>
    <w:rsid w:val="006560B8"/>
    <w:rsid w:val="00656703"/>
    <w:rsid w:val="006568BE"/>
    <w:rsid w:val="00656ADB"/>
    <w:rsid w:val="0066025D"/>
    <w:rsid w:val="00660307"/>
    <w:rsid w:val="006604E3"/>
    <w:rsid w:val="00660512"/>
    <w:rsid w:val="0066091A"/>
    <w:rsid w:val="00660A36"/>
    <w:rsid w:val="00662A23"/>
    <w:rsid w:val="00663956"/>
    <w:rsid w:val="00665633"/>
    <w:rsid w:val="006666EC"/>
    <w:rsid w:val="006667FD"/>
    <w:rsid w:val="00666A94"/>
    <w:rsid w:val="00667A2E"/>
    <w:rsid w:val="00667AA8"/>
    <w:rsid w:val="00670129"/>
    <w:rsid w:val="0067111D"/>
    <w:rsid w:val="00671382"/>
    <w:rsid w:val="00671E10"/>
    <w:rsid w:val="00672160"/>
    <w:rsid w:val="006724E9"/>
    <w:rsid w:val="006731AE"/>
    <w:rsid w:val="00674885"/>
    <w:rsid w:val="00674928"/>
    <w:rsid w:val="00674C76"/>
    <w:rsid w:val="00675052"/>
    <w:rsid w:val="0067524E"/>
    <w:rsid w:val="006754E3"/>
    <w:rsid w:val="00675646"/>
    <w:rsid w:val="00676FFB"/>
    <w:rsid w:val="006773EC"/>
    <w:rsid w:val="00677B27"/>
    <w:rsid w:val="00680504"/>
    <w:rsid w:val="006806E3"/>
    <w:rsid w:val="006809D4"/>
    <w:rsid w:val="00681631"/>
    <w:rsid w:val="00681C43"/>
    <w:rsid w:val="00681CD9"/>
    <w:rsid w:val="00683933"/>
    <w:rsid w:val="00683CC6"/>
    <w:rsid w:val="00683E30"/>
    <w:rsid w:val="00686BCC"/>
    <w:rsid w:val="00687012"/>
    <w:rsid w:val="00687024"/>
    <w:rsid w:val="006900BD"/>
    <w:rsid w:val="00690D47"/>
    <w:rsid w:val="00691BA1"/>
    <w:rsid w:val="00691DA6"/>
    <w:rsid w:val="00691E0A"/>
    <w:rsid w:val="00692BAC"/>
    <w:rsid w:val="0069389C"/>
    <w:rsid w:val="00693EBB"/>
    <w:rsid w:val="00693F5E"/>
    <w:rsid w:val="00695C9E"/>
    <w:rsid w:val="00695E22"/>
    <w:rsid w:val="00696630"/>
    <w:rsid w:val="00696CB9"/>
    <w:rsid w:val="006A2CCE"/>
    <w:rsid w:val="006A2F5E"/>
    <w:rsid w:val="006A3130"/>
    <w:rsid w:val="006A32F8"/>
    <w:rsid w:val="006A4A7C"/>
    <w:rsid w:val="006A5D40"/>
    <w:rsid w:val="006A74EE"/>
    <w:rsid w:val="006B1159"/>
    <w:rsid w:val="006B16D1"/>
    <w:rsid w:val="006B1DFE"/>
    <w:rsid w:val="006B1EA8"/>
    <w:rsid w:val="006B289F"/>
    <w:rsid w:val="006B36DF"/>
    <w:rsid w:val="006B388F"/>
    <w:rsid w:val="006B48A3"/>
    <w:rsid w:val="006B7093"/>
    <w:rsid w:val="006B7417"/>
    <w:rsid w:val="006C128E"/>
    <w:rsid w:val="006C12D0"/>
    <w:rsid w:val="006C1357"/>
    <w:rsid w:val="006C1805"/>
    <w:rsid w:val="006C2D59"/>
    <w:rsid w:val="006C317A"/>
    <w:rsid w:val="006C40AB"/>
    <w:rsid w:val="006C451C"/>
    <w:rsid w:val="006C4A72"/>
    <w:rsid w:val="006C4BF9"/>
    <w:rsid w:val="006C4E1C"/>
    <w:rsid w:val="006C51B3"/>
    <w:rsid w:val="006C52F6"/>
    <w:rsid w:val="006C7537"/>
    <w:rsid w:val="006C7976"/>
    <w:rsid w:val="006C7C4A"/>
    <w:rsid w:val="006D31DE"/>
    <w:rsid w:val="006D3691"/>
    <w:rsid w:val="006D4404"/>
    <w:rsid w:val="006D4C64"/>
    <w:rsid w:val="006D60F0"/>
    <w:rsid w:val="006D685D"/>
    <w:rsid w:val="006D6B1C"/>
    <w:rsid w:val="006D6B8E"/>
    <w:rsid w:val="006D72D7"/>
    <w:rsid w:val="006E077D"/>
    <w:rsid w:val="006E0CCF"/>
    <w:rsid w:val="006E163F"/>
    <w:rsid w:val="006E1BCC"/>
    <w:rsid w:val="006E264B"/>
    <w:rsid w:val="006E3112"/>
    <w:rsid w:val="006E36C2"/>
    <w:rsid w:val="006E3969"/>
    <w:rsid w:val="006E4153"/>
    <w:rsid w:val="006E5EF0"/>
    <w:rsid w:val="006E69EB"/>
    <w:rsid w:val="006E6B7E"/>
    <w:rsid w:val="006E6C45"/>
    <w:rsid w:val="006E7D30"/>
    <w:rsid w:val="006F0F2A"/>
    <w:rsid w:val="006F1075"/>
    <w:rsid w:val="006F1357"/>
    <w:rsid w:val="006F1F4C"/>
    <w:rsid w:val="006F23D4"/>
    <w:rsid w:val="006F33A8"/>
    <w:rsid w:val="006F3563"/>
    <w:rsid w:val="006F3768"/>
    <w:rsid w:val="006F42B9"/>
    <w:rsid w:val="006F43BC"/>
    <w:rsid w:val="006F5A24"/>
    <w:rsid w:val="006F5AA8"/>
    <w:rsid w:val="006F5DF3"/>
    <w:rsid w:val="006F6103"/>
    <w:rsid w:val="006F6234"/>
    <w:rsid w:val="006F7455"/>
    <w:rsid w:val="006F74F9"/>
    <w:rsid w:val="006F7586"/>
    <w:rsid w:val="00700067"/>
    <w:rsid w:val="007004F9"/>
    <w:rsid w:val="00700BD7"/>
    <w:rsid w:val="007010AA"/>
    <w:rsid w:val="00701329"/>
    <w:rsid w:val="00701DD1"/>
    <w:rsid w:val="0070361F"/>
    <w:rsid w:val="00704183"/>
    <w:rsid w:val="00704E00"/>
    <w:rsid w:val="007050B2"/>
    <w:rsid w:val="00705898"/>
    <w:rsid w:val="007060D6"/>
    <w:rsid w:val="00706D3D"/>
    <w:rsid w:val="00710A86"/>
    <w:rsid w:val="007118E2"/>
    <w:rsid w:val="00712A27"/>
    <w:rsid w:val="00714109"/>
    <w:rsid w:val="007145C0"/>
    <w:rsid w:val="00714BF6"/>
    <w:rsid w:val="00714E91"/>
    <w:rsid w:val="00715EBA"/>
    <w:rsid w:val="007164B5"/>
    <w:rsid w:val="00716932"/>
    <w:rsid w:val="007178F0"/>
    <w:rsid w:val="00717F66"/>
    <w:rsid w:val="0072024B"/>
    <w:rsid w:val="007209E7"/>
    <w:rsid w:val="00721D82"/>
    <w:rsid w:val="00722017"/>
    <w:rsid w:val="0072214B"/>
    <w:rsid w:val="00724258"/>
    <w:rsid w:val="007247A8"/>
    <w:rsid w:val="00724972"/>
    <w:rsid w:val="00724B59"/>
    <w:rsid w:val="00724B9D"/>
    <w:rsid w:val="00724BC9"/>
    <w:rsid w:val="007259BC"/>
    <w:rsid w:val="00726182"/>
    <w:rsid w:val="00726297"/>
    <w:rsid w:val="0072694B"/>
    <w:rsid w:val="00727635"/>
    <w:rsid w:val="00732329"/>
    <w:rsid w:val="0073331A"/>
    <w:rsid w:val="007337CA"/>
    <w:rsid w:val="00734847"/>
    <w:rsid w:val="00734C64"/>
    <w:rsid w:val="00734CE4"/>
    <w:rsid w:val="00735123"/>
    <w:rsid w:val="00735A89"/>
    <w:rsid w:val="0073784E"/>
    <w:rsid w:val="00737D62"/>
    <w:rsid w:val="00740050"/>
    <w:rsid w:val="00740F35"/>
    <w:rsid w:val="00741837"/>
    <w:rsid w:val="00741DA3"/>
    <w:rsid w:val="00743B63"/>
    <w:rsid w:val="007453E6"/>
    <w:rsid w:val="00745755"/>
    <w:rsid w:val="00746CFA"/>
    <w:rsid w:val="007477F1"/>
    <w:rsid w:val="00747B47"/>
    <w:rsid w:val="007518F6"/>
    <w:rsid w:val="00751EDF"/>
    <w:rsid w:val="007521D4"/>
    <w:rsid w:val="0075269F"/>
    <w:rsid w:val="0075299D"/>
    <w:rsid w:val="0075578D"/>
    <w:rsid w:val="00755859"/>
    <w:rsid w:val="0075620D"/>
    <w:rsid w:val="00756C12"/>
    <w:rsid w:val="0076097D"/>
    <w:rsid w:val="00760AD1"/>
    <w:rsid w:val="007611B7"/>
    <w:rsid w:val="007626FE"/>
    <w:rsid w:val="00763DFE"/>
    <w:rsid w:val="007648F7"/>
    <w:rsid w:val="007656B3"/>
    <w:rsid w:val="007660EB"/>
    <w:rsid w:val="007661C3"/>
    <w:rsid w:val="00766549"/>
    <w:rsid w:val="00767341"/>
    <w:rsid w:val="007700AB"/>
    <w:rsid w:val="007718C9"/>
    <w:rsid w:val="00772C30"/>
    <w:rsid w:val="0077309D"/>
    <w:rsid w:val="00773189"/>
    <w:rsid w:val="0077329B"/>
    <w:rsid w:val="00773FD9"/>
    <w:rsid w:val="007749E9"/>
    <w:rsid w:val="00774F06"/>
    <w:rsid w:val="00775347"/>
    <w:rsid w:val="0077749B"/>
    <w:rsid w:val="007774EE"/>
    <w:rsid w:val="00777F02"/>
    <w:rsid w:val="0078086A"/>
    <w:rsid w:val="00780992"/>
    <w:rsid w:val="00780E2D"/>
    <w:rsid w:val="00781822"/>
    <w:rsid w:val="00782F63"/>
    <w:rsid w:val="00783F21"/>
    <w:rsid w:val="007840C0"/>
    <w:rsid w:val="00784D57"/>
    <w:rsid w:val="00785390"/>
    <w:rsid w:val="007853E8"/>
    <w:rsid w:val="00786814"/>
    <w:rsid w:val="00787159"/>
    <w:rsid w:val="0078732A"/>
    <w:rsid w:val="007878A7"/>
    <w:rsid w:val="00787C63"/>
    <w:rsid w:val="0079043A"/>
    <w:rsid w:val="007909F2"/>
    <w:rsid w:val="00790E35"/>
    <w:rsid w:val="007912F2"/>
    <w:rsid w:val="0079141B"/>
    <w:rsid w:val="00791668"/>
    <w:rsid w:val="00791AA1"/>
    <w:rsid w:val="00791E22"/>
    <w:rsid w:val="00792F84"/>
    <w:rsid w:val="00794466"/>
    <w:rsid w:val="0079526D"/>
    <w:rsid w:val="00795C0F"/>
    <w:rsid w:val="007A06BB"/>
    <w:rsid w:val="007A095D"/>
    <w:rsid w:val="007A0C2A"/>
    <w:rsid w:val="007A1503"/>
    <w:rsid w:val="007A179D"/>
    <w:rsid w:val="007A189B"/>
    <w:rsid w:val="007A2F7D"/>
    <w:rsid w:val="007A2FD8"/>
    <w:rsid w:val="007A3793"/>
    <w:rsid w:val="007A3A32"/>
    <w:rsid w:val="007A3F0A"/>
    <w:rsid w:val="007A42CE"/>
    <w:rsid w:val="007A4637"/>
    <w:rsid w:val="007A4668"/>
    <w:rsid w:val="007A483B"/>
    <w:rsid w:val="007A52AA"/>
    <w:rsid w:val="007A66B5"/>
    <w:rsid w:val="007A6F6E"/>
    <w:rsid w:val="007A7A06"/>
    <w:rsid w:val="007B0914"/>
    <w:rsid w:val="007B23D9"/>
    <w:rsid w:val="007B500C"/>
    <w:rsid w:val="007B58BA"/>
    <w:rsid w:val="007C0239"/>
    <w:rsid w:val="007C1061"/>
    <w:rsid w:val="007C1BA2"/>
    <w:rsid w:val="007C2B48"/>
    <w:rsid w:val="007C2EC2"/>
    <w:rsid w:val="007C2F4D"/>
    <w:rsid w:val="007C34A1"/>
    <w:rsid w:val="007C461B"/>
    <w:rsid w:val="007C4872"/>
    <w:rsid w:val="007C4F9E"/>
    <w:rsid w:val="007C551F"/>
    <w:rsid w:val="007C57EF"/>
    <w:rsid w:val="007C5968"/>
    <w:rsid w:val="007D0A92"/>
    <w:rsid w:val="007D1ADD"/>
    <w:rsid w:val="007D20E9"/>
    <w:rsid w:val="007D2395"/>
    <w:rsid w:val="007D2657"/>
    <w:rsid w:val="007D5C08"/>
    <w:rsid w:val="007D614F"/>
    <w:rsid w:val="007D6A0B"/>
    <w:rsid w:val="007D6FF3"/>
    <w:rsid w:val="007D76DC"/>
    <w:rsid w:val="007D7881"/>
    <w:rsid w:val="007D7E3A"/>
    <w:rsid w:val="007E04A0"/>
    <w:rsid w:val="007E0693"/>
    <w:rsid w:val="007E0E10"/>
    <w:rsid w:val="007E158B"/>
    <w:rsid w:val="007E15BA"/>
    <w:rsid w:val="007E1D01"/>
    <w:rsid w:val="007E25B2"/>
    <w:rsid w:val="007E2BCA"/>
    <w:rsid w:val="007E3AE4"/>
    <w:rsid w:val="007E3CF5"/>
    <w:rsid w:val="007E4358"/>
    <w:rsid w:val="007E4768"/>
    <w:rsid w:val="007E5033"/>
    <w:rsid w:val="007E5B43"/>
    <w:rsid w:val="007E72DC"/>
    <w:rsid w:val="007E777B"/>
    <w:rsid w:val="007E7B92"/>
    <w:rsid w:val="007E7D16"/>
    <w:rsid w:val="007F03F4"/>
    <w:rsid w:val="007F1BD2"/>
    <w:rsid w:val="007F2070"/>
    <w:rsid w:val="007F479E"/>
    <w:rsid w:val="007F5828"/>
    <w:rsid w:val="007F5A57"/>
    <w:rsid w:val="007F5CF2"/>
    <w:rsid w:val="007F6BF3"/>
    <w:rsid w:val="00801291"/>
    <w:rsid w:val="00801BCB"/>
    <w:rsid w:val="00801E66"/>
    <w:rsid w:val="00802221"/>
    <w:rsid w:val="008026E6"/>
    <w:rsid w:val="00802CAE"/>
    <w:rsid w:val="0080356A"/>
    <w:rsid w:val="00803D2C"/>
    <w:rsid w:val="008053F5"/>
    <w:rsid w:val="00806582"/>
    <w:rsid w:val="00806D7D"/>
    <w:rsid w:val="00807803"/>
    <w:rsid w:val="00807AF7"/>
    <w:rsid w:val="00810198"/>
    <w:rsid w:val="00812F0C"/>
    <w:rsid w:val="00813566"/>
    <w:rsid w:val="00815167"/>
    <w:rsid w:val="00815A93"/>
    <w:rsid w:val="00815C88"/>
    <w:rsid w:val="00815DA8"/>
    <w:rsid w:val="00816413"/>
    <w:rsid w:val="008167D6"/>
    <w:rsid w:val="00817076"/>
    <w:rsid w:val="008177DD"/>
    <w:rsid w:val="00820D87"/>
    <w:rsid w:val="0082116C"/>
    <w:rsid w:val="0082154B"/>
    <w:rsid w:val="0082194D"/>
    <w:rsid w:val="008227C6"/>
    <w:rsid w:val="00823401"/>
    <w:rsid w:val="00823963"/>
    <w:rsid w:val="00823ABF"/>
    <w:rsid w:val="0082566E"/>
    <w:rsid w:val="00825A94"/>
    <w:rsid w:val="00826018"/>
    <w:rsid w:val="00826923"/>
    <w:rsid w:val="00826EF5"/>
    <w:rsid w:val="008272A2"/>
    <w:rsid w:val="008273B5"/>
    <w:rsid w:val="00830CA1"/>
    <w:rsid w:val="00831693"/>
    <w:rsid w:val="0083179B"/>
    <w:rsid w:val="00833337"/>
    <w:rsid w:val="00833CB5"/>
    <w:rsid w:val="008347BC"/>
    <w:rsid w:val="00834B03"/>
    <w:rsid w:val="00836555"/>
    <w:rsid w:val="00840104"/>
    <w:rsid w:val="00840C1F"/>
    <w:rsid w:val="00841DC9"/>
    <w:rsid w:val="00841FC5"/>
    <w:rsid w:val="008449F7"/>
    <w:rsid w:val="00844BD8"/>
    <w:rsid w:val="00844BE2"/>
    <w:rsid w:val="00845709"/>
    <w:rsid w:val="0084575D"/>
    <w:rsid w:val="00845C21"/>
    <w:rsid w:val="00845CB9"/>
    <w:rsid w:val="008460D4"/>
    <w:rsid w:val="0084668C"/>
    <w:rsid w:val="00846885"/>
    <w:rsid w:val="008468C3"/>
    <w:rsid w:val="0084776E"/>
    <w:rsid w:val="0085046C"/>
    <w:rsid w:val="0085087E"/>
    <w:rsid w:val="00851029"/>
    <w:rsid w:val="00851537"/>
    <w:rsid w:val="00851EF3"/>
    <w:rsid w:val="00852C1B"/>
    <w:rsid w:val="00853FC0"/>
    <w:rsid w:val="00854233"/>
    <w:rsid w:val="00854515"/>
    <w:rsid w:val="008545B7"/>
    <w:rsid w:val="00854AEE"/>
    <w:rsid w:val="00856222"/>
    <w:rsid w:val="00856C50"/>
    <w:rsid w:val="00856C7B"/>
    <w:rsid w:val="008571FD"/>
    <w:rsid w:val="00857230"/>
    <w:rsid w:val="008576BD"/>
    <w:rsid w:val="00860463"/>
    <w:rsid w:val="008604AB"/>
    <w:rsid w:val="00863AF8"/>
    <w:rsid w:val="0086478D"/>
    <w:rsid w:val="00864DBD"/>
    <w:rsid w:val="00867984"/>
    <w:rsid w:val="00870CFE"/>
    <w:rsid w:val="00871F29"/>
    <w:rsid w:val="00872B0D"/>
    <w:rsid w:val="008733DA"/>
    <w:rsid w:val="0087403D"/>
    <w:rsid w:val="00874D6A"/>
    <w:rsid w:val="008770FC"/>
    <w:rsid w:val="00877AEC"/>
    <w:rsid w:val="0088085A"/>
    <w:rsid w:val="008809D3"/>
    <w:rsid w:val="00881944"/>
    <w:rsid w:val="00881ED0"/>
    <w:rsid w:val="0088255C"/>
    <w:rsid w:val="00882C88"/>
    <w:rsid w:val="0088319C"/>
    <w:rsid w:val="00883558"/>
    <w:rsid w:val="00883E84"/>
    <w:rsid w:val="008850E4"/>
    <w:rsid w:val="00885366"/>
    <w:rsid w:val="008858E8"/>
    <w:rsid w:val="00885920"/>
    <w:rsid w:val="008874F0"/>
    <w:rsid w:val="0089093B"/>
    <w:rsid w:val="00890AB3"/>
    <w:rsid w:val="008926C5"/>
    <w:rsid w:val="008939AB"/>
    <w:rsid w:val="0089424E"/>
    <w:rsid w:val="00894438"/>
    <w:rsid w:val="008953A2"/>
    <w:rsid w:val="00895CBF"/>
    <w:rsid w:val="0089610B"/>
    <w:rsid w:val="008961BC"/>
    <w:rsid w:val="00896B46"/>
    <w:rsid w:val="00897535"/>
    <w:rsid w:val="0089763E"/>
    <w:rsid w:val="00897AF7"/>
    <w:rsid w:val="00897B0F"/>
    <w:rsid w:val="00897E59"/>
    <w:rsid w:val="008A1057"/>
    <w:rsid w:val="008A12F5"/>
    <w:rsid w:val="008A28DA"/>
    <w:rsid w:val="008A323F"/>
    <w:rsid w:val="008A3E59"/>
    <w:rsid w:val="008A4321"/>
    <w:rsid w:val="008A5B50"/>
    <w:rsid w:val="008A5CED"/>
    <w:rsid w:val="008A5D45"/>
    <w:rsid w:val="008B0279"/>
    <w:rsid w:val="008B0737"/>
    <w:rsid w:val="008B1587"/>
    <w:rsid w:val="008B15E5"/>
    <w:rsid w:val="008B1B01"/>
    <w:rsid w:val="008B1CBB"/>
    <w:rsid w:val="008B2490"/>
    <w:rsid w:val="008B36E9"/>
    <w:rsid w:val="008B3BCD"/>
    <w:rsid w:val="008B3E99"/>
    <w:rsid w:val="008B3F3D"/>
    <w:rsid w:val="008B50A4"/>
    <w:rsid w:val="008B59B8"/>
    <w:rsid w:val="008B6776"/>
    <w:rsid w:val="008B6DF8"/>
    <w:rsid w:val="008B7689"/>
    <w:rsid w:val="008C0D07"/>
    <w:rsid w:val="008C106C"/>
    <w:rsid w:val="008C10F1"/>
    <w:rsid w:val="008C1926"/>
    <w:rsid w:val="008C1D81"/>
    <w:rsid w:val="008C1E99"/>
    <w:rsid w:val="008C24D1"/>
    <w:rsid w:val="008C31BB"/>
    <w:rsid w:val="008C35E2"/>
    <w:rsid w:val="008C39C2"/>
    <w:rsid w:val="008C3FAD"/>
    <w:rsid w:val="008C41C8"/>
    <w:rsid w:val="008C5684"/>
    <w:rsid w:val="008C5BA7"/>
    <w:rsid w:val="008C65D1"/>
    <w:rsid w:val="008C67C4"/>
    <w:rsid w:val="008C79E5"/>
    <w:rsid w:val="008D0264"/>
    <w:rsid w:val="008D0E42"/>
    <w:rsid w:val="008D154E"/>
    <w:rsid w:val="008D3C92"/>
    <w:rsid w:val="008D401B"/>
    <w:rsid w:val="008D5025"/>
    <w:rsid w:val="008D5647"/>
    <w:rsid w:val="008D6729"/>
    <w:rsid w:val="008D7EAB"/>
    <w:rsid w:val="008E0085"/>
    <w:rsid w:val="008E1B8A"/>
    <w:rsid w:val="008E2AA6"/>
    <w:rsid w:val="008E2B7B"/>
    <w:rsid w:val="008E311B"/>
    <w:rsid w:val="008E319B"/>
    <w:rsid w:val="008E4AF9"/>
    <w:rsid w:val="008E556D"/>
    <w:rsid w:val="008E5A0D"/>
    <w:rsid w:val="008E5A77"/>
    <w:rsid w:val="008E753A"/>
    <w:rsid w:val="008F0116"/>
    <w:rsid w:val="008F0256"/>
    <w:rsid w:val="008F1156"/>
    <w:rsid w:val="008F1DC3"/>
    <w:rsid w:val="008F2592"/>
    <w:rsid w:val="008F2C41"/>
    <w:rsid w:val="008F46E7"/>
    <w:rsid w:val="008F66E5"/>
    <w:rsid w:val="008F66EC"/>
    <w:rsid w:val="008F6F0B"/>
    <w:rsid w:val="0090080C"/>
    <w:rsid w:val="00901C02"/>
    <w:rsid w:val="009020DB"/>
    <w:rsid w:val="0090286A"/>
    <w:rsid w:val="00903AF9"/>
    <w:rsid w:val="0090464A"/>
    <w:rsid w:val="009046C0"/>
    <w:rsid w:val="00904905"/>
    <w:rsid w:val="00904C60"/>
    <w:rsid w:val="00907BA7"/>
    <w:rsid w:val="00907BAE"/>
    <w:rsid w:val="0091064E"/>
    <w:rsid w:val="00910D5B"/>
    <w:rsid w:val="00911FC5"/>
    <w:rsid w:val="00912603"/>
    <w:rsid w:val="0091349C"/>
    <w:rsid w:val="00914F70"/>
    <w:rsid w:val="00916A75"/>
    <w:rsid w:val="009176AF"/>
    <w:rsid w:val="00920350"/>
    <w:rsid w:val="009207E6"/>
    <w:rsid w:val="00921652"/>
    <w:rsid w:val="00922144"/>
    <w:rsid w:val="009238DC"/>
    <w:rsid w:val="00923CAE"/>
    <w:rsid w:val="009246C9"/>
    <w:rsid w:val="00924E5D"/>
    <w:rsid w:val="00927583"/>
    <w:rsid w:val="0093168F"/>
    <w:rsid w:val="00931A10"/>
    <w:rsid w:val="009352E8"/>
    <w:rsid w:val="00935E90"/>
    <w:rsid w:val="00935F85"/>
    <w:rsid w:val="00936336"/>
    <w:rsid w:val="00936AD3"/>
    <w:rsid w:val="009375D3"/>
    <w:rsid w:val="00940621"/>
    <w:rsid w:val="0094134A"/>
    <w:rsid w:val="00941E0F"/>
    <w:rsid w:val="00941EA1"/>
    <w:rsid w:val="00942D51"/>
    <w:rsid w:val="0094395D"/>
    <w:rsid w:val="009444FB"/>
    <w:rsid w:val="00944936"/>
    <w:rsid w:val="00944D05"/>
    <w:rsid w:val="00946B90"/>
    <w:rsid w:val="00946E6E"/>
    <w:rsid w:val="0094744B"/>
    <w:rsid w:val="00947967"/>
    <w:rsid w:val="009532FE"/>
    <w:rsid w:val="0095397D"/>
    <w:rsid w:val="00953DC7"/>
    <w:rsid w:val="00953F93"/>
    <w:rsid w:val="00954568"/>
    <w:rsid w:val="00954E6B"/>
    <w:rsid w:val="00955201"/>
    <w:rsid w:val="00956285"/>
    <w:rsid w:val="009602B8"/>
    <w:rsid w:val="009624C3"/>
    <w:rsid w:val="00962F75"/>
    <w:rsid w:val="00964687"/>
    <w:rsid w:val="00965200"/>
    <w:rsid w:val="00965584"/>
    <w:rsid w:val="00965795"/>
    <w:rsid w:val="00966749"/>
    <w:rsid w:val="009668B3"/>
    <w:rsid w:val="00966FD8"/>
    <w:rsid w:val="00971471"/>
    <w:rsid w:val="00971609"/>
    <w:rsid w:val="0097210A"/>
    <w:rsid w:val="009724EC"/>
    <w:rsid w:val="00972527"/>
    <w:rsid w:val="009736EA"/>
    <w:rsid w:val="00973716"/>
    <w:rsid w:val="00973CA0"/>
    <w:rsid w:val="009742AF"/>
    <w:rsid w:val="00974880"/>
    <w:rsid w:val="00974BEB"/>
    <w:rsid w:val="0097576D"/>
    <w:rsid w:val="00975F39"/>
    <w:rsid w:val="009763FE"/>
    <w:rsid w:val="00976E92"/>
    <w:rsid w:val="0097704A"/>
    <w:rsid w:val="009773F3"/>
    <w:rsid w:val="00977E9F"/>
    <w:rsid w:val="009803FD"/>
    <w:rsid w:val="009812D8"/>
    <w:rsid w:val="00982BF2"/>
    <w:rsid w:val="00983FF5"/>
    <w:rsid w:val="009849C2"/>
    <w:rsid w:val="00984D24"/>
    <w:rsid w:val="009858EB"/>
    <w:rsid w:val="0098620C"/>
    <w:rsid w:val="00986322"/>
    <w:rsid w:val="00986E1C"/>
    <w:rsid w:val="00990E7A"/>
    <w:rsid w:val="0099183C"/>
    <w:rsid w:val="0099237A"/>
    <w:rsid w:val="00992F46"/>
    <w:rsid w:val="009933ED"/>
    <w:rsid w:val="00993F84"/>
    <w:rsid w:val="00994E46"/>
    <w:rsid w:val="009955AA"/>
    <w:rsid w:val="00995C0E"/>
    <w:rsid w:val="009963E3"/>
    <w:rsid w:val="009973A8"/>
    <w:rsid w:val="00997A51"/>
    <w:rsid w:val="009A00C1"/>
    <w:rsid w:val="009A1B36"/>
    <w:rsid w:val="009A2375"/>
    <w:rsid w:val="009A27D3"/>
    <w:rsid w:val="009A72AB"/>
    <w:rsid w:val="009B0046"/>
    <w:rsid w:val="009B0446"/>
    <w:rsid w:val="009B1A9B"/>
    <w:rsid w:val="009B2185"/>
    <w:rsid w:val="009B25BF"/>
    <w:rsid w:val="009B2AA0"/>
    <w:rsid w:val="009B4836"/>
    <w:rsid w:val="009B4C96"/>
    <w:rsid w:val="009B5DC2"/>
    <w:rsid w:val="009B6EAC"/>
    <w:rsid w:val="009C0012"/>
    <w:rsid w:val="009C088E"/>
    <w:rsid w:val="009C1440"/>
    <w:rsid w:val="009C2107"/>
    <w:rsid w:val="009C27C3"/>
    <w:rsid w:val="009C43CE"/>
    <w:rsid w:val="009C454A"/>
    <w:rsid w:val="009C481B"/>
    <w:rsid w:val="009C48C4"/>
    <w:rsid w:val="009C52C3"/>
    <w:rsid w:val="009C5D9E"/>
    <w:rsid w:val="009C73CD"/>
    <w:rsid w:val="009D15BE"/>
    <w:rsid w:val="009D2C3E"/>
    <w:rsid w:val="009D348D"/>
    <w:rsid w:val="009D3E3C"/>
    <w:rsid w:val="009D5288"/>
    <w:rsid w:val="009D62C8"/>
    <w:rsid w:val="009D7729"/>
    <w:rsid w:val="009D7B81"/>
    <w:rsid w:val="009D7F1E"/>
    <w:rsid w:val="009E023D"/>
    <w:rsid w:val="009E0625"/>
    <w:rsid w:val="009E0AA9"/>
    <w:rsid w:val="009E10A6"/>
    <w:rsid w:val="009E155B"/>
    <w:rsid w:val="009E29BE"/>
    <w:rsid w:val="009E3034"/>
    <w:rsid w:val="009E3BEE"/>
    <w:rsid w:val="009E4339"/>
    <w:rsid w:val="009E48D9"/>
    <w:rsid w:val="009E4A41"/>
    <w:rsid w:val="009E5152"/>
    <w:rsid w:val="009E549F"/>
    <w:rsid w:val="009E5B47"/>
    <w:rsid w:val="009E6375"/>
    <w:rsid w:val="009E64D1"/>
    <w:rsid w:val="009E6A8F"/>
    <w:rsid w:val="009E7A9D"/>
    <w:rsid w:val="009F0333"/>
    <w:rsid w:val="009F1802"/>
    <w:rsid w:val="009F260D"/>
    <w:rsid w:val="009F28A8"/>
    <w:rsid w:val="009F2C57"/>
    <w:rsid w:val="009F473E"/>
    <w:rsid w:val="009F682A"/>
    <w:rsid w:val="009F7740"/>
    <w:rsid w:val="00A000DE"/>
    <w:rsid w:val="00A001A7"/>
    <w:rsid w:val="00A00978"/>
    <w:rsid w:val="00A01D42"/>
    <w:rsid w:val="00A022BE"/>
    <w:rsid w:val="00A032F2"/>
    <w:rsid w:val="00A03961"/>
    <w:rsid w:val="00A05C3A"/>
    <w:rsid w:val="00A065C2"/>
    <w:rsid w:val="00A078ED"/>
    <w:rsid w:val="00A100B1"/>
    <w:rsid w:val="00A104BE"/>
    <w:rsid w:val="00A111ED"/>
    <w:rsid w:val="00A11C90"/>
    <w:rsid w:val="00A120CD"/>
    <w:rsid w:val="00A123EC"/>
    <w:rsid w:val="00A12635"/>
    <w:rsid w:val="00A12B99"/>
    <w:rsid w:val="00A1410B"/>
    <w:rsid w:val="00A1615F"/>
    <w:rsid w:val="00A16EEA"/>
    <w:rsid w:val="00A20262"/>
    <w:rsid w:val="00A2172C"/>
    <w:rsid w:val="00A218B1"/>
    <w:rsid w:val="00A21F44"/>
    <w:rsid w:val="00A22E27"/>
    <w:rsid w:val="00A22FDC"/>
    <w:rsid w:val="00A232B6"/>
    <w:rsid w:val="00A24C95"/>
    <w:rsid w:val="00A24CBC"/>
    <w:rsid w:val="00A25791"/>
    <w:rsid w:val="00A2599A"/>
    <w:rsid w:val="00A26094"/>
    <w:rsid w:val="00A272E9"/>
    <w:rsid w:val="00A301BF"/>
    <w:rsid w:val="00A302B2"/>
    <w:rsid w:val="00A305DA"/>
    <w:rsid w:val="00A30AB5"/>
    <w:rsid w:val="00A30E12"/>
    <w:rsid w:val="00A331B4"/>
    <w:rsid w:val="00A3325D"/>
    <w:rsid w:val="00A33ABB"/>
    <w:rsid w:val="00A34020"/>
    <w:rsid w:val="00A3484E"/>
    <w:rsid w:val="00A3508B"/>
    <w:rsid w:val="00A356D3"/>
    <w:rsid w:val="00A366D0"/>
    <w:rsid w:val="00A36ADA"/>
    <w:rsid w:val="00A40C8E"/>
    <w:rsid w:val="00A412A1"/>
    <w:rsid w:val="00A4154F"/>
    <w:rsid w:val="00A416A5"/>
    <w:rsid w:val="00A438D8"/>
    <w:rsid w:val="00A43AEA"/>
    <w:rsid w:val="00A44576"/>
    <w:rsid w:val="00A446A3"/>
    <w:rsid w:val="00A45E14"/>
    <w:rsid w:val="00A473F5"/>
    <w:rsid w:val="00A476FB"/>
    <w:rsid w:val="00A47E91"/>
    <w:rsid w:val="00A51F9D"/>
    <w:rsid w:val="00A52345"/>
    <w:rsid w:val="00A52E1C"/>
    <w:rsid w:val="00A530DD"/>
    <w:rsid w:val="00A53685"/>
    <w:rsid w:val="00A53762"/>
    <w:rsid w:val="00A53FBA"/>
    <w:rsid w:val="00A5416A"/>
    <w:rsid w:val="00A55D45"/>
    <w:rsid w:val="00A577C7"/>
    <w:rsid w:val="00A60621"/>
    <w:rsid w:val="00A617F4"/>
    <w:rsid w:val="00A61D78"/>
    <w:rsid w:val="00A639F4"/>
    <w:rsid w:val="00A64345"/>
    <w:rsid w:val="00A6628C"/>
    <w:rsid w:val="00A667BA"/>
    <w:rsid w:val="00A668F5"/>
    <w:rsid w:val="00A70DAE"/>
    <w:rsid w:val="00A71C1B"/>
    <w:rsid w:val="00A728B9"/>
    <w:rsid w:val="00A737FA"/>
    <w:rsid w:val="00A73CE1"/>
    <w:rsid w:val="00A73E73"/>
    <w:rsid w:val="00A75356"/>
    <w:rsid w:val="00A768CE"/>
    <w:rsid w:val="00A76C7C"/>
    <w:rsid w:val="00A76F4A"/>
    <w:rsid w:val="00A772C6"/>
    <w:rsid w:val="00A77B66"/>
    <w:rsid w:val="00A77DCE"/>
    <w:rsid w:val="00A816D0"/>
    <w:rsid w:val="00A81A32"/>
    <w:rsid w:val="00A81A40"/>
    <w:rsid w:val="00A8235A"/>
    <w:rsid w:val="00A82909"/>
    <w:rsid w:val="00A835BD"/>
    <w:rsid w:val="00A853B2"/>
    <w:rsid w:val="00A9116C"/>
    <w:rsid w:val="00A91B71"/>
    <w:rsid w:val="00A93348"/>
    <w:rsid w:val="00A97B15"/>
    <w:rsid w:val="00AA0936"/>
    <w:rsid w:val="00AA0CE1"/>
    <w:rsid w:val="00AA0DB1"/>
    <w:rsid w:val="00AA152D"/>
    <w:rsid w:val="00AA28EE"/>
    <w:rsid w:val="00AA413D"/>
    <w:rsid w:val="00AA42D5"/>
    <w:rsid w:val="00AA460B"/>
    <w:rsid w:val="00AA4EF4"/>
    <w:rsid w:val="00AA5C52"/>
    <w:rsid w:val="00AA754A"/>
    <w:rsid w:val="00AA7CBC"/>
    <w:rsid w:val="00AB01C6"/>
    <w:rsid w:val="00AB16B5"/>
    <w:rsid w:val="00AB24FF"/>
    <w:rsid w:val="00AB28F3"/>
    <w:rsid w:val="00AB2FAB"/>
    <w:rsid w:val="00AB30DF"/>
    <w:rsid w:val="00AB4ADB"/>
    <w:rsid w:val="00AB4B67"/>
    <w:rsid w:val="00AB4EB5"/>
    <w:rsid w:val="00AB55B1"/>
    <w:rsid w:val="00AB5C14"/>
    <w:rsid w:val="00AB5E66"/>
    <w:rsid w:val="00AB69A2"/>
    <w:rsid w:val="00AC17CF"/>
    <w:rsid w:val="00AC1BAE"/>
    <w:rsid w:val="00AC1DB7"/>
    <w:rsid w:val="00AC1DF5"/>
    <w:rsid w:val="00AC1EE7"/>
    <w:rsid w:val="00AC2438"/>
    <w:rsid w:val="00AC2A15"/>
    <w:rsid w:val="00AC2E5F"/>
    <w:rsid w:val="00AC333F"/>
    <w:rsid w:val="00AC36AC"/>
    <w:rsid w:val="00AC3BC9"/>
    <w:rsid w:val="00AC4745"/>
    <w:rsid w:val="00AC4940"/>
    <w:rsid w:val="00AC49FB"/>
    <w:rsid w:val="00AC585C"/>
    <w:rsid w:val="00AC631C"/>
    <w:rsid w:val="00AC6763"/>
    <w:rsid w:val="00AC700C"/>
    <w:rsid w:val="00AD1925"/>
    <w:rsid w:val="00AD213B"/>
    <w:rsid w:val="00AD22EF"/>
    <w:rsid w:val="00AD39DE"/>
    <w:rsid w:val="00AD3E34"/>
    <w:rsid w:val="00AD4B8D"/>
    <w:rsid w:val="00AD608E"/>
    <w:rsid w:val="00AD63D4"/>
    <w:rsid w:val="00AE02E8"/>
    <w:rsid w:val="00AE067D"/>
    <w:rsid w:val="00AE0D83"/>
    <w:rsid w:val="00AE2C34"/>
    <w:rsid w:val="00AE3025"/>
    <w:rsid w:val="00AE36FF"/>
    <w:rsid w:val="00AE4BB6"/>
    <w:rsid w:val="00AE548F"/>
    <w:rsid w:val="00AE5520"/>
    <w:rsid w:val="00AE5ABB"/>
    <w:rsid w:val="00AE5E1D"/>
    <w:rsid w:val="00AE6504"/>
    <w:rsid w:val="00AF037C"/>
    <w:rsid w:val="00AF1181"/>
    <w:rsid w:val="00AF15BF"/>
    <w:rsid w:val="00AF193D"/>
    <w:rsid w:val="00AF2F79"/>
    <w:rsid w:val="00AF36F5"/>
    <w:rsid w:val="00AF4653"/>
    <w:rsid w:val="00AF70C3"/>
    <w:rsid w:val="00AF7DB7"/>
    <w:rsid w:val="00B0028C"/>
    <w:rsid w:val="00B00339"/>
    <w:rsid w:val="00B004CA"/>
    <w:rsid w:val="00B014AA"/>
    <w:rsid w:val="00B015D5"/>
    <w:rsid w:val="00B024C0"/>
    <w:rsid w:val="00B03BB4"/>
    <w:rsid w:val="00B05C42"/>
    <w:rsid w:val="00B064DE"/>
    <w:rsid w:val="00B067BB"/>
    <w:rsid w:val="00B07332"/>
    <w:rsid w:val="00B07D8D"/>
    <w:rsid w:val="00B10B5C"/>
    <w:rsid w:val="00B10CAC"/>
    <w:rsid w:val="00B110DD"/>
    <w:rsid w:val="00B1116A"/>
    <w:rsid w:val="00B11C76"/>
    <w:rsid w:val="00B11F30"/>
    <w:rsid w:val="00B12156"/>
    <w:rsid w:val="00B121E4"/>
    <w:rsid w:val="00B14355"/>
    <w:rsid w:val="00B14F66"/>
    <w:rsid w:val="00B15F06"/>
    <w:rsid w:val="00B16FB0"/>
    <w:rsid w:val="00B17ED8"/>
    <w:rsid w:val="00B201E2"/>
    <w:rsid w:val="00B20395"/>
    <w:rsid w:val="00B20455"/>
    <w:rsid w:val="00B20B04"/>
    <w:rsid w:val="00B20CE2"/>
    <w:rsid w:val="00B21AC7"/>
    <w:rsid w:val="00B21EAF"/>
    <w:rsid w:val="00B230C3"/>
    <w:rsid w:val="00B240E7"/>
    <w:rsid w:val="00B27B1E"/>
    <w:rsid w:val="00B30371"/>
    <w:rsid w:val="00B31699"/>
    <w:rsid w:val="00B32473"/>
    <w:rsid w:val="00B338D4"/>
    <w:rsid w:val="00B33E6A"/>
    <w:rsid w:val="00B3440F"/>
    <w:rsid w:val="00B3495B"/>
    <w:rsid w:val="00B367E0"/>
    <w:rsid w:val="00B36829"/>
    <w:rsid w:val="00B36BE6"/>
    <w:rsid w:val="00B40298"/>
    <w:rsid w:val="00B404BC"/>
    <w:rsid w:val="00B40ACD"/>
    <w:rsid w:val="00B40F70"/>
    <w:rsid w:val="00B416B4"/>
    <w:rsid w:val="00B41CD5"/>
    <w:rsid w:val="00B41EC4"/>
    <w:rsid w:val="00B4243E"/>
    <w:rsid w:val="00B42AE3"/>
    <w:rsid w:val="00B443E4"/>
    <w:rsid w:val="00B46FB2"/>
    <w:rsid w:val="00B479E7"/>
    <w:rsid w:val="00B47B4E"/>
    <w:rsid w:val="00B50022"/>
    <w:rsid w:val="00B51BD3"/>
    <w:rsid w:val="00B51FF6"/>
    <w:rsid w:val="00B54290"/>
    <w:rsid w:val="00B550E9"/>
    <w:rsid w:val="00B55CB5"/>
    <w:rsid w:val="00B5612A"/>
    <w:rsid w:val="00B563EA"/>
    <w:rsid w:val="00B56CB1"/>
    <w:rsid w:val="00B57C56"/>
    <w:rsid w:val="00B60E51"/>
    <w:rsid w:val="00B6158A"/>
    <w:rsid w:val="00B61F41"/>
    <w:rsid w:val="00B630DD"/>
    <w:rsid w:val="00B63A54"/>
    <w:rsid w:val="00B63B7D"/>
    <w:rsid w:val="00B64852"/>
    <w:rsid w:val="00B64D0D"/>
    <w:rsid w:val="00B67557"/>
    <w:rsid w:val="00B679A9"/>
    <w:rsid w:val="00B7060E"/>
    <w:rsid w:val="00B71DB9"/>
    <w:rsid w:val="00B72301"/>
    <w:rsid w:val="00B734F8"/>
    <w:rsid w:val="00B73553"/>
    <w:rsid w:val="00B73CA3"/>
    <w:rsid w:val="00B74CEC"/>
    <w:rsid w:val="00B75E7C"/>
    <w:rsid w:val="00B76B86"/>
    <w:rsid w:val="00B76C40"/>
    <w:rsid w:val="00B76D03"/>
    <w:rsid w:val="00B77740"/>
    <w:rsid w:val="00B77D18"/>
    <w:rsid w:val="00B80161"/>
    <w:rsid w:val="00B81BB7"/>
    <w:rsid w:val="00B8313A"/>
    <w:rsid w:val="00B834DE"/>
    <w:rsid w:val="00B83F3C"/>
    <w:rsid w:val="00B846F1"/>
    <w:rsid w:val="00B8477B"/>
    <w:rsid w:val="00B84E1F"/>
    <w:rsid w:val="00B85C87"/>
    <w:rsid w:val="00B862D5"/>
    <w:rsid w:val="00B86460"/>
    <w:rsid w:val="00B871C3"/>
    <w:rsid w:val="00B875FE"/>
    <w:rsid w:val="00B879B1"/>
    <w:rsid w:val="00B90356"/>
    <w:rsid w:val="00B9089E"/>
    <w:rsid w:val="00B91923"/>
    <w:rsid w:val="00B926F9"/>
    <w:rsid w:val="00B92C4F"/>
    <w:rsid w:val="00B93503"/>
    <w:rsid w:val="00B93832"/>
    <w:rsid w:val="00B93936"/>
    <w:rsid w:val="00B93A3F"/>
    <w:rsid w:val="00B94432"/>
    <w:rsid w:val="00B9469C"/>
    <w:rsid w:val="00B94FC4"/>
    <w:rsid w:val="00B95298"/>
    <w:rsid w:val="00B9639A"/>
    <w:rsid w:val="00B96E58"/>
    <w:rsid w:val="00B97F35"/>
    <w:rsid w:val="00BA0867"/>
    <w:rsid w:val="00BA1464"/>
    <w:rsid w:val="00BA18D8"/>
    <w:rsid w:val="00BA19A3"/>
    <w:rsid w:val="00BA1BE1"/>
    <w:rsid w:val="00BA2A37"/>
    <w:rsid w:val="00BA3036"/>
    <w:rsid w:val="00BA31E8"/>
    <w:rsid w:val="00BA330F"/>
    <w:rsid w:val="00BA43C7"/>
    <w:rsid w:val="00BA4F8D"/>
    <w:rsid w:val="00BA55E0"/>
    <w:rsid w:val="00BA6BD4"/>
    <w:rsid w:val="00BA6C7A"/>
    <w:rsid w:val="00BA76F4"/>
    <w:rsid w:val="00BA7E09"/>
    <w:rsid w:val="00BB0727"/>
    <w:rsid w:val="00BB0E86"/>
    <w:rsid w:val="00BB1119"/>
    <w:rsid w:val="00BB19C0"/>
    <w:rsid w:val="00BB2CD8"/>
    <w:rsid w:val="00BB319F"/>
    <w:rsid w:val="00BB3752"/>
    <w:rsid w:val="00BB3F31"/>
    <w:rsid w:val="00BB4D49"/>
    <w:rsid w:val="00BB5D4E"/>
    <w:rsid w:val="00BB6213"/>
    <w:rsid w:val="00BB64F0"/>
    <w:rsid w:val="00BB6688"/>
    <w:rsid w:val="00BB7B8F"/>
    <w:rsid w:val="00BC1763"/>
    <w:rsid w:val="00BC1DE2"/>
    <w:rsid w:val="00BC26D4"/>
    <w:rsid w:val="00BC2DA7"/>
    <w:rsid w:val="00BC3C85"/>
    <w:rsid w:val="00BC4195"/>
    <w:rsid w:val="00BC4255"/>
    <w:rsid w:val="00BC4861"/>
    <w:rsid w:val="00BC4DBF"/>
    <w:rsid w:val="00BC741B"/>
    <w:rsid w:val="00BC74C1"/>
    <w:rsid w:val="00BD073A"/>
    <w:rsid w:val="00BD0815"/>
    <w:rsid w:val="00BD1342"/>
    <w:rsid w:val="00BD22F5"/>
    <w:rsid w:val="00BD2459"/>
    <w:rsid w:val="00BD2AA6"/>
    <w:rsid w:val="00BD2AAC"/>
    <w:rsid w:val="00BD2C52"/>
    <w:rsid w:val="00BD341A"/>
    <w:rsid w:val="00BD44CE"/>
    <w:rsid w:val="00BD44D3"/>
    <w:rsid w:val="00BD5D6A"/>
    <w:rsid w:val="00BD7576"/>
    <w:rsid w:val="00BD7E9C"/>
    <w:rsid w:val="00BE0C80"/>
    <w:rsid w:val="00BE0DB7"/>
    <w:rsid w:val="00BE0F23"/>
    <w:rsid w:val="00BE120B"/>
    <w:rsid w:val="00BE1240"/>
    <w:rsid w:val="00BE155A"/>
    <w:rsid w:val="00BE155C"/>
    <w:rsid w:val="00BE1DC8"/>
    <w:rsid w:val="00BE240B"/>
    <w:rsid w:val="00BE4570"/>
    <w:rsid w:val="00BE5440"/>
    <w:rsid w:val="00BE6604"/>
    <w:rsid w:val="00BE6AF2"/>
    <w:rsid w:val="00BF0924"/>
    <w:rsid w:val="00BF1180"/>
    <w:rsid w:val="00BF156C"/>
    <w:rsid w:val="00BF1692"/>
    <w:rsid w:val="00BF1988"/>
    <w:rsid w:val="00BF2135"/>
    <w:rsid w:val="00BF2A42"/>
    <w:rsid w:val="00BF2E00"/>
    <w:rsid w:val="00BF3683"/>
    <w:rsid w:val="00BF3D70"/>
    <w:rsid w:val="00BF3D73"/>
    <w:rsid w:val="00BF5FCF"/>
    <w:rsid w:val="00BF6325"/>
    <w:rsid w:val="00BF69AF"/>
    <w:rsid w:val="00C0011E"/>
    <w:rsid w:val="00C00BD8"/>
    <w:rsid w:val="00C01240"/>
    <w:rsid w:val="00C01302"/>
    <w:rsid w:val="00C02262"/>
    <w:rsid w:val="00C025B5"/>
    <w:rsid w:val="00C02774"/>
    <w:rsid w:val="00C02E9E"/>
    <w:rsid w:val="00C02F54"/>
    <w:rsid w:val="00C033D4"/>
    <w:rsid w:val="00C03D8C"/>
    <w:rsid w:val="00C046AD"/>
    <w:rsid w:val="00C055EC"/>
    <w:rsid w:val="00C056CD"/>
    <w:rsid w:val="00C1001B"/>
    <w:rsid w:val="00C10818"/>
    <w:rsid w:val="00C10973"/>
    <w:rsid w:val="00C10CD5"/>
    <w:rsid w:val="00C10DC9"/>
    <w:rsid w:val="00C12613"/>
    <w:rsid w:val="00C12FB3"/>
    <w:rsid w:val="00C135F8"/>
    <w:rsid w:val="00C13A9E"/>
    <w:rsid w:val="00C1402C"/>
    <w:rsid w:val="00C1495A"/>
    <w:rsid w:val="00C14960"/>
    <w:rsid w:val="00C14D90"/>
    <w:rsid w:val="00C15047"/>
    <w:rsid w:val="00C172A6"/>
    <w:rsid w:val="00C17341"/>
    <w:rsid w:val="00C20866"/>
    <w:rsid w:val="00C217F9"/>
    <w:rsid w:val="00C21882"/>
    <w:rsid w:val="00C21B52"/>
    <w:rsid w:val="00C21DDA"/>
    <w:rsid w:val="00C226AD"/>
    <w:rsid w:val="00C22FD3"/>
    <w:rsid w:val="00C23B90"/>
    <w:rsid w:val="00C245CE"/>
    <w:rsid w:val="00C24EEF"/>
    <w:rsid w:val="00C25CF6"/>
    <w:rsid w:val="00C2622E"/>
    <w:rsid w:val="00C26C36"/>
    <w:rsid w:val="00C27062"/>
    <w:rsid w:val="00C27089"/>
    <w:rsid w:val="00C27342"/>
    <w:rsid w:val="00C27C97"/>
    <w:rsid w:val="00C30A93"/>
    <w:rsid w:val="00C31F06"/>
    <w:rsid w:val="00C32768"/>
    <w:rsid w:val="00C346F3"/>
    <w:rsid w:val="00C34FD8"/>
    <w:rsid w:val="00C352CA"/>
    <w:rsid w:val="00C36944"/>
    <w:rsid w:val="00C41010"/>
    <w:rsid w:val="00C41C8F"/>
    <w:rsid w:val="00C420C3"/>
    <w:rsid w:val="00C431DF"/>
    <w:rsid w:val="00C43FCA"/>
    <w:rsid w:val="00C44921"/>
    <w:rsid w:val="00C450A0"/>
    <w:rsid w:val="00C456BD"/>
    <w:rsid w:val="00C465C4"/>
    <w:rsid w:val="00C466B0"/>
    <w:rsid w:val="00C46702"/>
    <w:rsid w:val="00C46A42"/>
    <w:rsid w:val="00C46A44"/>
    <w:rsid w:val="00C47293"/>
    <w:rsid w:val="00C4745F"/>
    <w:rsid w:val="00C475E3"/>
    <w:rsid w:val="00C47725"/>
    <w:rsid w:val="00C47881"/>
    <w:rsid w:val="00C50B65"/>
    <w:rsid w:val="00C50E54"/>
    <w:rsid w:val="00C51D5E"/>
    <w:rsid w:val="00C52597"/>
    <w:rsid w:val="00C52F9B"/>
    <w:rsid w:val="00C530DC"/>
    <w:rsid w:val="00C53151"/>
    <w:rsid w:val="00C5350D"/>
    <w:rsid w:val="00C53B04"/>
    <w:rsid w:val="00C557B6"/>
    <w:rsid w:val="00C55F54"/>
    <w:rsid w:val="00C564AA"/>
    <w:rsid w:val="00C56B87"/>
    <w:rsid w:val="00C57073"/>
    <w:rsid w:val="00C60A63"/>
    <w:rsid w:val="00C6123C"/>
    <w:rsid w:val="00C61C3B"/>
    <w:rsid w:val="00C61D60"/>
    <w:rsid w:val="00C6311A"/>
    <w:rsid w:val="00C6351D"/>
    <w:rsid w:val="00C64E9A"/>
    <w:rsid w:val="00C65875"/>
    <w:rsid w:val="00C65BF7"/>
    <w:rsid w:val="00C661D9"/>
    <w:rsid w:val="00C667DC"/>
    <w:rsid w:val="00C70537"/>
    <w:rsid w:val="00C7084D"/>
    <w:rsid w:val="00C7138C"/>
    <w:rsid w:val="00C72113"/>
    <w:rsid w:val="00C7315E"/>
    <w:rsid w:val="00C73A54"/>
    <w:rsid w:val="00C73FBF"/>
    <w:rsid w:val="00C75895"/>
    <w:rsid w:val="00C760CF"/>
    <w:rsid w:val="00C76B07"/>
    <w:rsid w:val="00C77180"/>
    <w:rsid w:val="00C778A8"/>
    <w:rsid w:val="00C800E0"/>
    <w:rsid w:val="00C80226"/>
    <w:rsid w:val="00C80629"/>
    <w:rsid w:val="00C810DE"/>
    <w:rsid w:val="00C82196"/>
    <w:rsid w:val="00C821B6"/>
    <w:rsid w:val="00C8227A"/>
    <w:rsid w:val="00C82395"/>
    <w:rsid w:val="00C82DA2"/>
    <w:rsid w:val="00C82DF7"/>
    <w:rsid w:val="00C8318A"/>
    <w:rsid w:val="00C83C9F"/>
    <w:rsid w:val="00C83EF6"/>
    <w:rsid w:val="00C84035"/>
    <w:rsid w:val="00C848EF"/>
    <w:rsid w:val="00C85EBC"/>
    <w:rsid w:val="00C87AE6"/>
    <w:rsid w:val="00C901E8"/>
    <w:rsid w:val="00C902A5"/>
    <w:rsid w:val="00C927B7"/>
    <w:rsid w:val="00C935FC"/>
    <w:rsid w:val="00C94840"/>
    <w:rsid w:val="00C94A72"/>
    <w:rsid w:val="00C9504D"/>
    <w:rsid w:val="00C96846"/>
    <w:rsid w:val="00C969AB"/>
    <w:rsid w:val="00C97A7B"/>
    <w:rsid w:val="00CA087B"/>
    <w:rsid w:val="00CA1017"/>
    <w:rsid w:val="00CA2A3B"/>
    <w:rsid w:val="00CA2BED"/>
    <w:rsid w:val="00CA2C04"/>
    <w:rsid w:val="00CA3223"/>
    <w:rsid w:val="00CA4EE3"/>
    <w:rsid w:val="00CA59CE"/>
    <w:rsid w:val="00CA5B54"/>
    <w:rsid w:val="00CA6F3F"/>
    <w:rsid w:val="00CA7EE3"/>
    <w:rsid w:val="00CB006A"/>
    <w:rsid w:val="00CB00F3"/>
    <w:rsid w:val="00CB027F"/>
    <w:rsid w:val="00CB0625"/>
    <w:rsid w:val="00CB269F"/>
    <w:rsid w:val="00CB2CE4"/>
    <w:rsid w:val="00CB3D2A"/>
    <w:rsid w:val="00CB421A"/>
    <w:rsid w:val="00CB5C99"/>
    <w:rsid w:val="00CB66B1"/>
    <w:rsid w:val="00CB7376"/>
    <w:rsid w:val="00CB76F8"/>
    <w:rsid w:val="00CC0EBB"/>
    <w:rsid w:val="00CC12EB"/>
    <w:rsid w:val="00CC1C3C"/>
    <w:rsid w:val="00CC26DE"/>
    <w:rsid w:val="00CC2B6B"/>
    <w:rsid w:val="00CC334D"/>
    <w:rsid w:val="00CC3850"/>
    <w:rsid w:val="00CC3CEB"/>
    <w:rsid w:val="00CC3F66"/>
    <w:rsid w:val="00CC595F"/>
    <w:rsid w:val="00CC6297"/>
    <w:rsid w:val="00CC6F1F"/>
    <w:rsid w:val="00CC7690"/>
    <w:rsid w:val="00CD04A4"/>
    <w:rsid w:val="00CD1234"/>
    <w:rsid w:val="00CD17F6"/>
    <w:rsid w:val="00CD1986"/>
    <w:rsid w:val="00CD19E8"/>
    <w:rsid w:val="00CD286C"/>
    <w:rsid w:val="00CD3104"/>
    <w:rsid w:val="00CD37FA"/>
    <w:rsid w:val="00CD3AA5"/>
    <w:rsid w:val="00CD3F43"/>
    <w:rsid w:val="00CD3FE0"/>
    <w:rsid w:val="00CD448E"/>
    <w:rsid w:val="00CD4807"/>
    <w:rsid w:val="00CD4B3F"/>
    <w:rsid w:val="00CD547F"/>
    <w:rsid w:val="00CD54BF"/>
    <w:rsid w:val="00CD566D"/>
    <w:rsid w:val="00CD7486"/>
    <w:rsid w:val="00CE12A5"/>
    <w:rsid w:val="00CE19C6"/>
    <w:rsid w:val="00CE1E45"/>
    <w:rsid w:val="00CE3156"/>
    <w:rsid w:val="00CE3329"/>
    <w:rsid w:val="00CE34C9"/>
    <w:rsid w:val="00CE3E34"/>
    <w:rsid w:val="00CE4AB1"/>
    <w:rsid w:val="00CE4B2B"/>
    <w:rsid w:val="00CE4D5C"/>
    <w:rsid w:val="00CE5817"/>
    <w:rsid w:val="00CE6D54"/>
    <w:rsid w:val="00CF05DA"/>
    <w:rsid w:val="00CF0C0C"/>
    <w:rsid w:val="00CF0F30"/>
    <w:rsid w:val="00CF1EF3"/>
    <w:rsid w:val="00CF2481"/>
    <w:rsid w:val="00CF2D00"/>
    <w:rsid w:val="00CF3602"/>
    <w:rsid w:val="00CF4F18"/>
    <w:rsid w:val="00CF58EB"/>
    <w:rsid w:val="00CF5DF3"/>
    <w:rsid w:val="00CF6570"/>
    <w:rsid w:val="00CF6A1F"/>
    <w:rsid w:val="00CF6E7B"/>
    <w:rsid w:val="00CF6FEC"/>
    <w:rsid w:val="00CF7681"/>
    <w:rsid w:val="00CF7D0B"/>
    <w:rsid w:val="00D00086"/>
    <w:rsid w:val="00D0035F"/>
    <w:rsid w:val="00D006F8"/>
    <w:rsid w:val="00D00B42"/>
    <w:rsid w:val="00D0106E"/>
    <w:rsid w:val="00D0113E"/>
    <w:rsid w:val="00D01F74"/>
    <w:rsid w:val="00D04133"/>
    <w:rsid w:val="00D04F46"/>
    <w:rsid w:val="00D06383"/>
    <w:rsid w:val="00D063A1"/>
    <w:rsid w:val="00D06774"/>
    <w:rsid w:val="00D078E0"/>
    <w:rsid w:val="00D11A25"/>
    <w:rsid w:val="00D12B62"/>
    <w:rsid w:val="00D144A0"/>
    <w:rsid w:val="00D14CD4"/>
    <w:rsid w:val="00D15EB4"/>
    <w:rsid w:val="00D17799"/>
    <w:rsid w:val="00D20E85"/>
    <w:rsid w:val="00D20F4A"/>
    <w:rsid w:val="00D21081"/>
    <w:rsid w:val="00D21C43"/>
    <w:rsid w:val="00D22412"/>
    <w:rsid w:val="00D22B4D"/>
    <w:rsid w:val="00D235E9"/>
    <w:rsid w:val="00D239CF"/>
    <w:rsid w:val="00D23DB4"/>
    <w:rsid w:val="00D240EE"/>
    <w:rsid w:val="00D24599"/>
    <w:rsid w:val="00D24615"/>
    <w:rsid w:val="00D248BB"/>
    <w:rsid w:val="00D251C5"/>
    <w:rsid w:val="00D258ED"/>
    <w:rsid w:val="00D25AA0"/>
    <w:rsid w:val="00D25DFE"/>
    <w:rsid w:val="00D25E13"/>
    <w:rsid w:val="00D26A08"/>
    <w:rsid w:val="00D27A54"/>
    <w:rsid w:val="00D32087"/>
    <w:rsid w:val="00D333F2"/>
    <w:rsid w:val="00D37842"/>
    <w:rsid w:val="00D37DA4"/>
    <w:rsid w:val="00D40113"/>
    <w:rsid w:val="00D4185A"/>
    <w:rsid w:val="00D41A86"/>
    <w:rsid w:val="00D42531"/>
    <w:rsid w:val="00D42C6C"/>
    <w:rsid w:val="00D42DC2"/>
    <w:rsid w:val="00D42F32"/>
    <w:rsid w:val="00D43D94"/>
    <w:rsid w:val="00D4633A"/>
    <w:rsid w:val="00D476EA"/>
    <w:rsid w:val="00D47BDB"/>
    <w:rsid w:val="00D5023F"/>
    <w:rsid w:val="00D537E1"/>
    <w:rsid w:val="00D54001"/>
    <w:rsid w:val="00D5407B"/>
    <w:rsid w:val="00D55317"/>
    <w:rsid w:val="00D55BB2"/>
    <w:rsid w:val="00D55E54"/>
    <w:rsid w:val="00D56D44"/>
    <w:rsid w:val="00D57747"/>
    <w:rsid w:val="00D57DA7"/>
    <w:rsid w:val="00D6091A"/>
    <w:rsid w:val="00D615C1"/>
    <w:rsid w:val="00D6168E"/>
    <w:rsid w:val="00D6250B"/>
    <w:rsid w:val="00D62BAB"/>
    <w:rsid w:val="00D62CC1"/>
    <w:rsid w:val="00D63114"/>
    <w:rsid w:val="00D63EAF"/>
    <w:rsid w:val="00D64A07"/>
    <w:rsid w:val="00D65F10"/>
    <w:rsid w:val="00D6605A"/>
    <w:rsid w:val="00D6695F"/>
    <w:rsid w:val="00D66BF7"/>
    <w:rsid w:val="00D71FCA"/>
    <w:rsid w:val="00D72C64"/>
    <w:rsid w:val="00D739AA"/>
    <w:rsid w:val="00D739AD"/>
    <w:rsid w:val="00D73A3D"/>
    <w:rsid w:val="00D74581"/>
    <w:rsid w:val="00D75644"/>
    <w:rsid w:val="00D766E1"/>
    <w:rsid w:val="00D777E5"/>
    <w:rsid w:val="00D7798C"/>
    <w:rsid w:val="00D77D3A"/>
    <w:rsid w:val="00D8046F"/>
    <w:rsid w:val="00D8069B"/>
    <w:rsid w:val="00D813C9"/>
    <w:rsid w:val="00D81656"/>
    <w:rsid w:val="00D828EF"/>
    <w:rsid w:val="00D832A0"/>
    <w:rsid w:val="00D83544"/>
    <w:rsid w:val="00D83D87"/>
    <w:rsid w:val="00D84241"/>
    <w:rsid w:val="00D84324"/>
    <w:rsid w:val="00D84A6D"/>
    <w:rsid w:val="00D86A30"/>
    <w:rsid w:val="00D86FEE"/>
    <w:rsid w:val="00D90CD1"/>
    <w:rsid w:val="00D9218F"/>
    <w:rsid w:val="00D925FC"/>
    <w:rsid w:val="00D92816"/>
    <w:rsid w:val="00D93E61"/>
    <w:rsid w:val="00D94329"/>
    <w:rsid w:val="00D95517"/>
    <w:rsid w:val="00D96295"/>
    <w:rsid w:val="00D970A6"/>
    <w:rsid w:val="00D97174"/>
    <w:rsid w:val="00D976FD"/>
    <w:rsid w:val="00D978B5"/>
    <w:rsid w:val="00D97CB4"/>
    <w:rsid w:val="00D97DD4"/>
    <w:rsid w:val="00D97E32"/>
    <w:rsid w:val="00D97EC8"/>
    <w:rsid w:val="00DA0489"/>
    <w:rsid w:val="00DA097D"/>
    <w:rsid w:val="00DA2866"/>
    <w:rsid w:val="00DA3A87"/>
    <w:rsid w:val="00DA3C60"/>
    <w:rsid w:val="00DA409E"/>
    <w:rsid w:val="00DA45C2"/>
    <w:rsid w:val="00DA488E"/>
    <w:rsid w:val="00DA5A8A"/>
    <w:rsid w:val="00DA658C"/>
    <w:rsid w:val="00DA6FCE"/>
    <w:rsid w:val="00DB0029"/>
    <w:rsid w:val="00DB12B5"/>
    <w:rsid w:val="00DB26CD"/>
    <w:rsid w:val="00DB3143"/>
    <w:rsid w:val="00DB375C"/>
    <w:rsid w:val="00DB3F1A"/>
    <w:rsid w:val="00DB441C"/>
    <w:rsid w:val="00DB44AF"/>
    <w:rsid w:val="00DB7D1F"/>
    <w:rsid w:val="00DC1743"/>
    <w:rsid w:val="00DC1F58"/>
    <w:rsid w:val="00DC339B"/>
    <w:rsid w:val="00DC3815"/>
    <w:rsid w:val="00DC44F3"/>
    <w:rsid w:val="00DC4844"/>
    <w:rsid w:val="00DC51D2"/>
    <w:rsid w:val="00DC5419"/>
    <w:rsid w:val="00DC5D40"/>
    <w:rsid w:val="00DC638F"/>
    <w:rsid w:val="00DC6393"/>
    <w:rsid w:val="00DC69A7"/>
    <w:rsid w:val="00DC6D1A"/>
    <w:rsid w:val="00DC72C9"/>
    <w:rsid w:val="00DC76D2"/>
    <w:rsid w:val="00DC77B5"/>
    <w:rsid w:val="00DC7913"/>
    <w:rsid w:val="00DD005A"/>
    <w:rsid w:val="00DD200C"/>
    <w:rsid w:val="00DD25E6"/>
    <w:rsid w:val="00DD2C28"/>
    <w:rsid w:val="00DD30E9"/>
    <w:rsid w:val="00DD37A6"/>
    <w:rsid w:val="00DD4F47"/>
    <w:rsid w:val="00DD4F9A"/>
    <w:rsid w:val="00DD50A5"/>
    <w:rsid w:val="00DD5642"/>
    <w:rsid w:val="00DD5E0F"/>
    <w:rsid w:val="00DD67CC"/>
    <w:rsid w:val="00DD75C2"/>
    <w:rsid w:val="00DD7FBB"/>
    <w:rsid w:val="00DE0B9F"/>
    <w:rsid w:val="00DE1D30"/>
    <w:rsid w:val="00DE2A4B"/>
    <w:rsid w:val="00DE4238"/>
    <w:rsid w:val="00DE4A43"/>
    <w:rsid w:val="00DE4D94"/>
    <w:rsid w:val="00DE5256"/>
    <w:rsid w:val="00DE5BD6"/>
    <w:rsid w:val="00DE5F34"/>
    <w:rsid w:val="00DE657F"/>
    <w:rsid w:val="00DE6C52"/>
    <w:rsid w:val="00DE74C3"/>
    <w:rsid w:val="00DE7964"/>
    <w:rsid w:val="00DE7F51"/>
    <w:rsid w:val="00DF03D9"/>
    <w:rsid w:val="00DF1218"/>
    <w:rsid w:val="00DF1DA2"/>
    <w:rsid w:val="00DF23A9"/>
    <w:rsid w:val="00DF358D"/>
    <w:rsid w:val="00DF5784"/>
    <w:rsid w:val="00DF6462"/>
    <w:rsid w:val="00DF691D"/>
    <w:rsid w:val="00DF7340"/>
    <w:rsid w:val="00DF74DC"/>
    <w:rsid w:val="00DF7848"/>
    <w:rsid w:val="00E00257"/>
    <w:rsid w:val="00E026FD"/>
    <w:rsid w:val="00E02D1D"/>
    <w:rsid w:val="00E02FA0"/>
    <w:rsid w:val="00E036DC"/>
    <w:rsid w:val="00E04095"/>
    <w:rsid w:val="00E0780B"/>
    <w:rsid w:val="00E10454"/>
    <w:rsid w:val="00E1050E"/>
    <w:rsid w:val="00E112E5"/>
    <w:rsid w:val="00E11741"/>
    <w:rsid w:val="00E11E2C"/>
    <w:rsid w:val="00E11E4A"/>
    <w:rsid w:val="00E12CC8"/>
    <w:rsid w:val="00E13A3A"/>
    <w:rsid w:val="00E13C4F"/>
    <w:rsid w:val="00E1419A"/>
    <w:rsid w:val="00E14BB6"/>
    <w:rsid w:val="00E15352"/>
    <w:rsid w:val="00E1580F"/>
    <w:rsid w:val="00E15AD7"/>
    <w:rsid w:val="00E15B3A"/>
    <w:rsid w:val="00E1683A"/>
    <w:rsid w:val="00E177D1"/>
    <w:rsid w:val="00E178FB"/>
    <w:rsid w:val="00E206FB"/>
    <w:rsid w:val="00E21CC7"/>
    <w:rsid w:val="00E230C6"/>
    <w:rsid w:val="00E2333F"/>
    <w:rsid w:val="00E24D9E"/>
    <w:rsid w:val="00E25849"/>
    <w:rsid w:val="00E26574"/>
    <w:rsid w:val="00E27229"/>
    <w:rsid w:val="00E27781"/>
    <w:rsid w:val="00E30414"/>
    <w:rsid w:val="00E3171F"/>
    <w:rsid w:val="00E3197E"/>
    <w:rsid w:val="00E342F8"/>
    <w:rsid w:val="00E351ED"/>
    <w:rsid w:val="00E3639C"/>
    <w:rsid w:val="00E3667F"/>
    <w:rsid w:val="00E378AC"/>
    <w:rsid w:val="00E37AC4"/>
    <w:rsid w:val="00E40464"/>
    <w:rsid w:val="00E40F50"/>
    <w:rsid w:val="00E41151"/>
    <w:rsid w:val="00E421C3"/>
    <w:rsid w:val="00E427C8"/>
    <w:rsid w:val="00E42878"/>
    <w:rsid w:val="00E43785"/>
    <w:rsid w:val="00E45C4C"/>
    <w:rsid w:val="00E46B31"/>
    <w:rsid w:val="00E47E59"/>
    <w:rsid w:val="00E50CD9"/>
    <w:rsid w:val="00E5177E"/>
    <w:rsid w:val="00E5215D"/>
    <w:rsid w:val="00E521E0"/>
    <w:rsid w:val="00E5407B"/>
    <w:rsid w:val="00E54B95"/>
    <w:rsid w:val="00E5749E"/>
    <w:rsid w:val="00E57D33"/>
    <w:rsid w:val="00E6034B"/>
    <w:rsid w:val="00E60B36"/>
    <w:rsid w:val="00E60DFE"/>
    <w:rsid w:val="00E61A7B"/>
    <w:rsid w:val="00E623F8"/>
    <w:rsid w:val="00E624A8"/>
    <w:rsid w:val="00E624D5"/>
    <w:rsid w:val="00E62AF7"/>
    <w:rsid w:val="00E634A8"/>
    <w:rsid w:val="00E634B3"/>
    <w:rsid w:val="00E64E9C"/>
    <w:rsid w:val="00E6549E"/>
    <w:rsid w:val="00E657EB"/>
    <w:rsid w:val="00E65EDE"/>
    <w:rsid w:val="00E66846"/>
    <w:rsid w:val="00E6685F"/>
    <w:rsid w:val="00E669EC"/>
    <w:rsid w:val="00E66BB3"/>
    <w:rsid w:val="00E703FF"/>
    <w:rsid w:val="00E70506"/>
    <w:rsid w:val="00E70F81"/>
    <w:rsid w:val="00E71015"/>
    <w:rsid w:val="00E71CC2"/>
    <w:rsid w:val="00E738E5"/>
    <w:rsid w:val="00E73C7D"/>
    <w:rsid w:val="00E73DF3"/>
    <w:rsid w:val="00E741CA"/>
    <w:rsid w:val="00E76080"/>
    <w:rsid w:val="00E77055"/>
    <w:rsid w:val="00E77460"/>
    <w:rsid w:val="00E77F5F"/>
    <w:rsid w:val="00E81326"/>
    <w:rsid w:val="00E81562"/>
    <w:rsid w:val="00E818BC"/>
    <w:rsid w:val="00E8256A"/>
    <w:rsid w:val="00E826F7"/>
    <w:rsid w:val="00E83ABC"/>
    <w:rsid w:val="00E844F2"/>
    <w:rsid w:val="00E85355"/>
    <w:rsid w:val="00E85CAD"/>
    <w:rsid w:val="00E861BE"/>
    <w:rsid w:val="00E8629A"/>
    <w:rsid w:val="00E86661"/>
    <w:rsid w:val="00E870B1"/>
    <w:rsid w:val="00E87792"/>
    <w:rsid w:val="00E87A3C"/>
    <w:rsid w:val="00E87A55"/>
    <w:rsid w:val="00E90AD0"/>
    <w:rsid w:val="00E92FCB"/>
    <w:rsid w:val="00E9460B"/>
    <w:rsid w:val="00E9475B"/>
    <w:rsid w:val="00E9558E"/>
    <w:rsid w:val="00E9683D"/>
    <w:rsid w:val="00E968AB"/>
    <w:rsid w:val="00E968B5"/>
    <w:rsid w:val="00E96F1E"/>
    <w:rsid w:val="00E974AC"/>
    <w:rsid w:val="00EA147F"/>
    <w:rsid w:val="00EA1677"/>
    <w:rsid w:val="00EA1F56"/>
    <w:rsid w:val="00EA2C7C"/>
    <w:rsid w:val="00EA3A97"/>
    <w:rsid w:val="00EA4115"/>
    <w:rsid w:val="00EA4183"/>
    <w:rsid w:val="00EA46E5"/>
    <w:rsid w:val="00EA4A27"/>
    <w:rsid w:val="00EA4C01"/>
    <w:rsid w:val="00EA4FA6"/>
    <w:rsid w:val="00EA56D0"/>
    <w:rsid w:val="00EB0075"/>
    <w:rsid w:val="00EB0E77"/>
    <w:rsid w:val="00EB1A25"/>
    <w:rsid w:val="00EB246F"/>
    <w:rsid w:val="00EB2762"/>
    <w:rsid w:val="00EB34C3"/>
    <w:rsid w:val="00EB43EE"/>
    <w:rsid w:val="00EB4DC1"/>
    <w:rsid w:val="00EB5C79"/>
    <w:rsid w:val="00EB6156"/>
    <w:rsid w:val="00EB6997"/>
    <w:rsid w:val="00EB69B9"/>
    <w:rsid w:val="00EC09A8"/>
    <w:rsid w:val="00EC2AF3"/>
    <w:rsid w:val="00EC30EB"/>
    <w:rsid w:val="00EC4A94"/>
    <w:rsid w:val="00EC5FB2"/>
    <w:rsid w:val="00ED03AB"/>
    <w:rsid w:val="00ED1BF7"/>
    <w:rsid w:val="00ED1CD4"/>
    <w:rsid w:val="00ED1D2B"/>
    <w:rsid w:val="00ED394F"/>
    <w:rsid w:val="00ED3FA2"/>
    <w:rsid w:val="00ED4D3F"/>
    <w:rsid w:val="00ED6009"/>
    <w:rsid w:val="00ED64B5"/>
    <w:rsid w:val="00ED6732"/>
    <w:rsid w:val="00ED7822"/>
    <w:rsid w:val="00EE1121"/>
    <w:rsid w:val="00EE1582"/>
    <w:rsid w:val="00EE16FD"/>
    <w:rsid w:val="00EE2576"/>
    <w:rsid w:val="00EE3EDF"/>
    <w:rsid w:val="00EE3F86"/>
    <w:rsid w:val="00EE405F"/>
    <w:rsid w:val="00EE6634"/>
    <w:rsid w:val="00EE7CCA"/>
    <w:rsid w:val="00EF30EC"/>
    <w:rsid w:val="00EF4A52"/>
    <w:rsid w:val="00EF52E3"/>
    <w:rsid w:val="00EF537A"/>
    <w:rsid w:val="00EF5432"/>
    <w:rsid w:val="00EF5470"/>
    <w:rsid w:val="00EF5493"/>
    <w:rsid w:val="00EF69CA"/>
    <w:rsid w:val="00EF7B9D"/>
    <w:rsid w:val="00F011B5"/>
    <w:rsid w:val="00F01AE3"/>
    <w:rsid w:val="00F0334B"/>
    <w:rsid w:val="00F03959"/>
    <w:rsid w:val="00F048D9"/>
    <w:rsid w:val="00F053E1"/>
    <w:rsid w:val="00F058F3"/>
    <w:rsid w:val="00F05EB8"/>
    <w:rsid w:val="00F05F1E"/>
    <w:rsid w:val="00F11930"/>
    <w:rsid w:val="00F11C0F"/>
    <w:rsid w:val="00F125C5"/>
    <w:rsid w:val="00F126EA"/>
    <w:rsid w:val="00F12AAB"/>
    <w:rsid w:val="00F13FED"/>
    <w:rsid w:val="00F162DD"/>
    <w:rsid w:val="00F16A14"/>
    <w:rsid w:val="00F16DCD"/>
    <w:rsid w:val="00F17C4E"/>
    <w:rsid w:val="00F206F4"/>
    <w:rsid w:val="00F20856"/>
    <w:rsid w:val="00F21631"/>
    <w:rsid w:val="00F21A89"/>
    <w:rsid w:val="00F22864"/>
    <w:rsid w:val="00F22F6B"/>
    <w:rsid w:val="00F25059"/>
    <w:rsid w:val="00F258D4"/>
    <w:rsid w:val="00F25FA1"/>
    <w:rsid w:val="00F2656C"/>
    <w:rsid w:val="00F267F3"/>
    <w:rsid w:val="00F27734"/>
    <w:rsid w:val="00F300EA"/>
    <w:rsid w:val="00F30E0B"/>
    <w:rsid w:val="00F31AD1"/>
    <w:rsid w:val="00F31D21"/>
    <w:rsid w:val="00F31E5D"/>
    <w:rsid w:val="00F33237"/>
    <w:rsid w:val="00F3415A"/>
    <w:rsid w:val="00F3428A"/>
    <w:rsid w:val="00F34662"/>
    <w:rsid w:val="00F346D9"/>
    <w:rsid w:val="00F34A5B"/>
    <w:rsid w:val="00F34EF8"/>
    <w:rsid w:val="00F355E7"/>
    <w:rsid w:val="00F362D7"/>
    <w:rsid w:val="00F376B1"/>
    <w:rsid w:val="00F37B61"/>
    <w:rsid w:val="00F37BCC"/>
    <w:rsid w:val="00F37D7B"/>
    <w:rsid w:val="00F40910"/>
    <w:rsid w:val="00F40E05"/>
    <w:rsid w:val="00F4256E"/>
    <w:rsid w:val="00F433BB"/>
    <w:rsid w:val="00F45ED8"/>
    <w:rsid w:val="00F46B8B"/>
    <w:rsid w:val="00F471EE"/>
    <w:rsid w:val="00F47F0C"/>
    <w:rsid w:val="00F5031B"/>
    <w:rsid w:val="00F503DB"/>
    <w:rsid w:val="00F5043A"/>
    <w:rsid w:val="00F5058F"/>
    <w:rsid w:val="00F52852"/>
    <w:rsid w:val="00F52F61"/>
    <w:rsid w:val="00F5314C"/>
    <w:rsid w:val="00F540B8"/>
    <w:rsid w:val="00F54B40"/>
    <w:rsid w:val="00F55938"/>
    <w:rsid w:val="00F55E4A"/>
    <w:rsid w:val="00F562DD"/>
    <w:rsid w:val="00F5688C"/>
    <w:rsid w:val="00F57999"/>
    <w:rsid w:val="00F6231B"/>
    <w:rsid w:val="00F62679"/>
    <w:rsid w:val="00F63418"/>
    <w:rsid w:val="00F635DD"/>
    <w:rsid w:val="00F64515"/>
    <w:rsid w:val="00F6608C"/>
    <w:rsid w:val="00F6627B"/>
    <w:rsid w:val="00F66677"/>
    <w:rsid w:val="00F66A13"/>
    <w:rsid w:val="00F66ACA"/>
    <w:rsid w:val="00F67117"/>
    <w:rsid w:val="00F70497"/>
    <w:rsid w:val="00F71198"/>
    <w:rsid w:val="00F71F3A"/>
    <w:rsid w:val="00F72652"/>
    <w:rsid w:val="00F72CDD"/>
    <w:rsid w:val="00F7336E"/>
    <w:rsid w:val="00F734F2"/>
    <w:rsid w:val="00F74B5C"/>
    <w:rsid w:val="00F75052"/>
    <w:rsid w:val="00F75C61"/>
    <w:rsid w:val="00F76426"/>
    <w:rsid w:val="00F76E49"/>
    <w:rsid w:val="00F777C5"/>
    <w:rsid w:val="00F77C1B"/>
    <w:rsid w:val="00F804D3"/>
    <w:rsid w:val="00F804D5"/>
    <w:rsid w:val="00F809AC"/>
    <w:rsid w:val="00F81CD2"/>
    <w:rsid w:val="00F81F28"/>
    <w:rsid w:val="00F82641"/>
    <w:rsid w:val="00F83F8C"/>
    <w:rsid w:val="00F83FC2"/>
    <w:rsid w:val="00F84BBF"/>
    <w:rsid w:val="00F84DB0"/>
    <w:rsid w:val="00F87690"/>
    <w:rsid w:val="00F90F18"/>
    <w:rsid w:val="00F937E4"/>
    <w:rsid w:val="00F9408A"/>
    <w:rsid w:val="00F94B5E"/>
    <w:rsid w:val="00F959DD"/>
    <w:rsid w:val="00F95EE7"/>
    <w:rsid w:val="00F969EF"/>
    <w:rsid w:val="00FA0046"/>
    <w:rsid w:val="00FA0B13"/>
    <w:rsid w:val="00FA2AB9"/>
    <w:rsid w:val="00FA321F"/>
    <w:rsid w:val="00FA39E6"/>
    <w:rsid w:val="00FA41DE"/>
    <w:rsid w:val="00FA598A"/>
    <w:rsid w:val="00FA69CE"/>
    <w:rsid w:val="00FA70D7"/>
    <w:rsid w:val="00FA7207"/>
    <w:rsid w:val="00FA7785"/>
    <w:rsid w:val="00FA7BC9"/>
    <w:rsid w:val="00FB1A02"/>
    <w:rsid w:val="00FB3207"/>
    <w:rsid w:val="00FB378E"/>
    <w:rsid w:val="00FB37F1"/>
    <w:rsid w:val="00FB4743"/>
    <w:rsid w:val="00FB476D"/>
    <w:rsid w:val="00FB47C0"/>
    <w:rsid w:val="00FB501B"/>
    <w:rsid w:val="00FB63E4"/>
    <w:rsid w:val="00FB6454"/>
    <w:rsid w:val="00FB6882"/>
    <w:rsid w:val="00FB75B1"/>
    <w:rsid w:val="00FB7770"/>
    <w:rsid w:val="00FB7B10"/>
    <w:rsid w:val="00FB7C8F"/>
    <w:rsid w:val="00FC0780"/>
    <w:rsid w:val="00FC1B3F"/>
    <w:rsid w:val="00FC30E8"/>
    <w:rsid w:val="00FC4467"/>
    <w:rsid w:val="00FC4A92"/>
    <w:rsid w:val="00FC4AA5"/>
    <w:rsid w:val="00FC525E"/>
    <w:rsid w:val="00FC5653"/>
    <w:rsid w:val="00FC56C6"/>
    <w:rsid w:val="00FC6C7E"/>
    <w:rsid w:val="00FC74F5"/>
    <w:rsid w:val="00FD02B9"/>
    <w:rsid w:val="00FD1138"/>
    <w:rsid w:val="00FD12B2"/>
    <w:rsid w:val="00FD1563"/>
    <w:rsid w:val="00FD1805"/>
    <w:rsid w:val="00FD1D51"/>
    <w:rsid w:val="00FD3B91"/>
    <w:rsid w:val="00FD4068"/>
    <w:rsid w:val="00FD494C"/>
    <w:rsid w:val="00FD576B"/>
    <w:rsid w:val="00FD579E"/>
    <w:rsid w:val="00FD5FEB"/>
    <w:rsid w:val="00FD6845"/>
    <w:rsid w:val="00FD7AA3"/>
    <w:rsid w:val="00FE0A32"/>
    <w:rsid w:val="00FE1BEE"/>
    <w:rsid w:val="00FE2796"/>
    <w:rsid w:val="00FE27B0"/>
    <w:rsid w:val="00FE3447"/>
    <w:rsid w:val="00FE3645"/>
    <w:rsid w:val="00FE37DC"/>
    <w:rsid w:val="00FE4516"/>
    <w:rsid w:val="00FE492C"/>
    <w:rsid w:val="00FE590D"/>
    <w:rsid w:val="00FE594E"/>
    <w:rsid w:val="00FE629F"/>
    <w:rsid w:val="00FE64C8"/>
    <w:rsid w:val="00FE73DA"/>
    <w:rsid w:val="00FE7668"/>
    <w:rsid w:val="00FE7828"/>
    <w:rsid w:val="00FF15D0"/>
    <w:rsid w:val="00FF2850"/>
    <w:rsid w:val="00FF2A11"/>
    <w:rsid w:val="00FF35B5"/>
    <w:rsid w:val="00FF3892"/>
    <w:rsid w:val="00FF5E5A"/>
    <w:rsid w:val="00FF6B80"/>
    <w:rsid w:val="00FF6F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5"/>
      </w:numPr>
      <w:outlineLvl w:val="0"/>
    </w:pPr>
    <w:rPr>
      <w:rFonts w:hAnsi="Arial"/>
      <w:bCs/>
      <w:kern w:val="32"/>
      <w:szCs w:val="52"/>
    </w:rPr>
  </w:style>
  <w:style w:type="paragraph" w:styleId="2">
    <w:name w:val="heading 2"/>
    <w:aliases w:val="標題110/111"/>
    <w:basedOn w:val="a7"/>
    <w:qFormat/>
    <w:rsid w:val="004F5E57"/>
    <w:pPr>
      <w:numPr>
        <w:ilvl w:val="1"/>
        <w:numId w:val="5"/>
      </w:numPr>
      <w:outlineLvl w:val="1"/>
    </w:pPr>
    <w:rPr>
      <w:rFonts w:hAnsi="Arial"/>
      <w:bCs/>
      <w:kern w:val="32"/>
      <w:szCs w:val="48"/>
    </w:rPr>
  </w:style>
  <w:style w:type="paragraph" w:styleId="3">
    <w:name w:val="heading 3"/>
    <w:aliases w:val="(一)"/>
    <w:basedOn w:val="a7"/>
    <w:qFormat/>
    <w:rsid w:val="004F5E57"/>
    <w:pPr>
      <w:numPr>
        <w:ilvl w:val="2"/>
        <w:numId w:val="5"/>
      </w:numPr>
      <w:outlineLvl w:val="2"/>
    </w:pPr>
    <w:rPr>
      <w:rFonts w:hAnsi="Arial"/>
      <w:bCs/>
      <w:kern w:val="32"/>
      <w:szCs w:val="36"/>
    </w:rPr>
  </w:style>
  <w:style w:type="paragraph" w:styleId="4">
    <w:name w:val="heading 4"/>
    <w:aliases w:val="表格"/>
    <w:basedOn w:val="a7"/>
    <w:link w:val="40"/>
    <w:qFormat/>
    <w:rsid w:val="004F5E57"/>
    <w:pPr>
      <w:numPr>
        <w:ilvl w:val="3"/>
        <w:numId w:val="5"/>
      </w:numPr>
      <w:outlineLvl w:val="3"/>
    </w:pPr>
    <w:rPr>
      <w:rFonts w:hAnsi="Arial"/>
      <w:kern w:val="32"/>
      <w:szCs w:val="36"/>
    </w:rPr>
  </w:style>
  <w:style w:type="paragraph" w:styleId="5">
    <w:name w:val="heading 5"/>
    <w:basedOn w:val="a7"/>
    <w:qFormat/>
    <w:rsid w:val="004F5E57"/>
    <w:pPr>
      <w:numPr>
        <w:ilvl w:val="4"/>
        <w:numId w:val="5"/>
      </w:numPr>
      <w:outlineLvl w:val="4"/>
    </w:pPr>
    <w:rPr>
      <w:rFonts w:hAnsi="Arial"/>
      <w:bCs/>
      <w:kern w:val="32"/>
      <w:szCs w:val="36"/>
    </w:rPr>
  </w:style>
  <w:style w:type="paragraph" w:styleId="6">
    <w:name w:val="heading 6"/>
    <w:basedOn w:val="a7"/>
    <w:qFormat/>
    <w:rsid w:val="004F5E57"/>
    <w:pPr>
      <w:numPr>
        <w:ilvl w:val="5"/>
        <w:numId w:val="5"/>
      </w:numPr>
      <w:tabs>
        <w:tab w:val="left" w:pos="2094"/>
      </w:tabs>
      <w:outlineLvl w:val="5"/>
    </w:pPr>
    <w:rPr>
      <w:rFonts w:hAnsi="Arial"/>
      <w:kern w:val="32"/>
      <w:szCs w:val="36"/>
    </w:rPr>
  </w:style>
  <w:style w:type="paragraph" w:styleId="7">
    <w:name w:val="heading 7"/>
    <w:basedOn w:val="a7"/>
    <w:qFormat/>
    <w:rsid w:val="004F5E57"/>
    <w:pPr>
      <w:numPr>
        <w:ilvl w:val="6"/>
        <w:numId w:val="5"/>
      </w:numPr>
      <w:outlineLvl w:val="6"/>
    </w:pPr>
    <w:rPr>
      <w:rFonts w:hAnsi="Arial"/>
      <w:bCs/>
      <w:kern w:val="32"/>
      <w:szCs w:val="36"/>
    </w:rPr>
  </w:style>
  <w:style w:type="paragraph" w:styleId="8">
    <w:name w:val="heading 8"/>
    <w:basedOn w:val="a7"/>
    <w:qFormat/>
    <w:rsid w:val="004F5E57"/>
    <w:pPr>
      <w:numPr>
        <w:ilvl w:val="7"/>
        <w:numId w:val="5"/>
      </w:numPr>
      <w:outlineLvl w:val="7"/>
    </w:pPr>
    <w:rPr>
      <w:rFonts w:hAnsi="Arial"/>
      <w:kern w:val="32"/>
      <w:szCs w:val="36"/>
    </w:rPr>
  </w:style>
  <w:style w:type="paragraph" w:styleId="9">
    <w:name w:val="heading 9"/>
    <w:basedOn w:val="a7"/>
    <w:link w:val="90"/>
    <w:uiPriority w:val="9"/>
    <w:unhideWhenUsed/>
    <w:qFormat/>
    <w:rsid w:val="00C055EC"/>
    <w:pPr>
      <w:numPr>
        <w:ilvl w:val="8"/>
        <w:numId w:val="5"/>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916A75"/>
    <w:pPr>
      <w:tabs>
        <w:tab w:val="right" w:leader="hyphen" w:pos="8789"/>
      </w:tabs>
      <w:kinsoku w:val="0"/>
      <w:ind w:left="1362" w:rightChars="-25" w:right="-85" w:hangingChars="400" w:hanging="1362"/>
      <w:jc w:val="distribute"/>
    </w:pPr>
    <w:rPr>
      <w:noProof/>
      <w:szCs w:val="32"/>
    </w:rPr>
  </w:style>
  <w:style w:type="paragraph" w:styleId="21">
    <w:name w:val="toc 2"/>
    <w:basedOn w:val="a7"/>
    <w:next w:val="a7"/>
    <w:autoRedefine/>
    <w:uiPriority w:val="39"/>
    <w:rsid w:val="00094BD6"/>
    <w:pPr>
      <w:tabs>
        <w:tab w:val="right" w:leader="hyphen" w:pos="8834"/>
      </w:tabs>
      <w:kinsoku w:val="0"/>
      <w:spacing w:line="480" w:lineRule="exact"/>
      <w:ind w:leftChars="89" w:left="848" w:rightChars="100" w:right="320" w:hangingChars="176" w:hanging="563"/>
    </w:pPr>
    <w:rPr>
      <w:noProof/>
    </w:rPr>
  </w:style>
  <w:style w:type="paragraph" w:styleId="30">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2">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1">
    <w:name w:val="表標題"/>
    <w:qFormat/>
    <w:rsid w:val="001602C8"/>
    <w:pPr>
      <w:keepNext/>
      <w:widowControl w:val="0"/>
      <w:numPr>
        <w:numId w:val="85"/>
      </w:numPr>
      <w:kinsoku w:val="0"/>
      <w:overflowPunct w:val="0"/>
      <w:autoSpaceDE w:val="0"/>
      <w:autoSpaceDN w:val="0"/>
      <w:adjustRightInd w:val="0"/>
      <w:snapToGrid w:val="0"/>
      <w:spacing w:before="240" w:after="40" w:line="360" w:lineRule="exact"/>
      <w:ind w:left="480"/>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3">
    <w:name w:val="圖標題"/>
    <w:basedOn w:val="a7"/>
    <w:qFormat/>
    <w:rsid w:val="00860463"/>
    <w:pPr>
      <w:numPr>
        <w:numId w:val="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4"/>
      </w:numPr>
      <w:ind w:left="350" w:hangingChars="350" w:hanging="350"/>
      <w:outlineLvl w:val="0"/>
    </w:pPr>
    <w:rPr>
      <w:kern w:val="32"/>
    </w:rPr>
  </w:style>
  <w:style w:type="paragraph" w:styleId="af8">
    <w:name w:val="List Paragraph"/>
    <w:basedOn w:val="a7"/>
    <w:link w:val="af9"/>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4">
    <w:name w:val="附件樣式"/>
    <w:basedOn w:val="a7"/>
    <w:qFormat/>
    <w:rsid w:val="00210E3E"/>
    <w:pPr>
      <w:keepNext/>
      <w:numPr>
        <w:numId w:val="7"/>
      </w:numPr>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Default">
    <w:name w:val="Default"/>
    <w:rsid w:val="00A52E1C"/>
    <w:pPr>
      <w:widowControl w:val="0"/>
      <w:autoSpaceDE w:val="0"/>
      <w:autoSpaceDN w:val="0"/>
      <w:adjustRightInd w:val="0"/>
    </w:pPr>
    <w:rPr>
      <w:rFonts w:ascii="標楷體" w:eastAsiaTheme="minorEastAsia" w:hAnsi="標楷體" w:cs="標楷體"/>
      <w:color w:val="000000"/>
      <w:sz w:val="24"/>
      <w:szCs w:val="24"/>
    </w:rPr>
  </w:style>
  <w:style w:type="paragraph" w:styleId="a">
    <w:name w:val="List Bullet"/>
    <w:basedOn w:val="a7"/>
    <w:uiPriority w:val="99"/>
    <w:unhideWhenUsed/>
    <w:rsid w:val="00885366"/>
    <w:pPr>
      <w:numPr>
        <w:numId w:val="8"/>
      </w:numPr>
      <w:contextualSpacing/>
    </w:pPr>
  </w:style>
  <w:style w:type="paragraph" w:styleId="afc">
    <w:name w:val="No Spacing"/>
    <w:uiPriority w:val="1"/>
    <w:qFormat/>
    <w:rsid w:val="004F6C09"/>
    <w:pPr>
      <w:widowControl w:val="0"/>
    </w:pPr>
    <w:rPr>
      <w:rFonts w:asciiTheme="minorHAnsi" w:eastAsiaTheme="minorEastAsia" w:hAnsiTheme="minorHAnsi" w:cstheme="minorBidi"/>
      <w:kern w:val="2"/>
      <w:sz w:val="24"/>
      <w:szCs w:val="22"/>
    </w:rPr>
  </w:style>
  <w:style w:type="paragraph" w:customStyle="1" w:styleId="TableParagraph">
    <w:name w:val="Table Paragraph"/>
    <w:basedOn w:val="a7"/>
    <w:uiPriority w:val="1"/>
    <w:qFormat/>
    <w:rsid w:val="008926C5"/>
    <w:pPr>
      <w:overflowPunct/>
      <w:autoSpaceDE/>
      <w:autoSpaceDN/>
      <w:jc w:val="left"/>
    </w:pPr>
    <w:rPr>
      <w:rFonts w:asciiTheme="minorHAnsi" w:eastAsiaTheme="minorEastAsia" w:hAnsiTheme="minorHAnsi" w:cstheme="minorBidi"/>
      <w:kern w:val="0"/>
      <w:sz w:val="22"/>
      <w:szCs w:val="22"/>
      <w:lang w:eastAsia="en-US"/>
    </w:rPr>
  </w:style>
  <w:style w:type="table" w:customStyle="1" w:styleId="13">
    <w:name w:val="表格格線1"/>
    <w:basedOn w:val="a9"/>
    <w:next w:val="af7"/>
    <w:uiPriority w:val="59"/>
    <w:rsid w:val="00B05C4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7"/>
    <w:link w:val="HTML0"/>
    <w:uiPriority w:val="99"/>
    <w:unhideWhenUsed/>
    <w:rsid w:val="00C022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8"/>
    <w:link w:val="HTML"/>
    <w:uiPriority w:val="99"/>
    <w:rsid w:val="00C02262"/>
    <w:rPr>
      <w:rFonts w:ascii="細明體" w:eastAsia="細明體" w:hAnsi="細明體" w:cs="細明體"/>
      <w:sz w:val="22"/>
      <w:szCs w:val="22"/>
    </w:rPr>
  </w:style>
  <w:style w:type="paragraph" w:styleId="afd">
    <w:name w:val="TOC Heading"/>
    <w:basedOn w:val="1"/>
    <w:next w:val="a7"/>
    <w:uiPriority w:val="39"/>
    <w:semiHidden/>
    <w:unhideWhenUsed/>
    <w:qFormat/>
    <w:rsid w:val="00513AA0"/>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customStyle="1" w:styleId="afe">
    <w:name w:val="表樣式"/>
    <w:basedOn w:val="a7"/>
    <w:next w:val="a7"/>
    <w:rsid w:val="005C2E41"/>
    <w:pPr>
      <w:tabs>
        <w:tab w:val="num" w:pos="1440"/>
      </w:tabs>
      <w:overflowPunct/>
      <w:autoSpaceDE/>
      <w:autoSpaceDN/>
      <w:ind w:left="695" w:hanging="695"/>
    </w:pPr>
    <w:rPr>
      <w:kern w:val="0"/>
    </w:rPr>
  </w:style>
  <w:style w:type="character" w:styleId="aff">
    <w:name w:val="annotation reference"/>
    <w:basedOn w:val="a8"/>
    <w:uiPriority w:val="99"/>
    <w:semiHidden/>
    <w:unhideWhenUsed/>
    <w:rsid w:val="005C2E41"/>
    <w:rPr>
      <w:sz w:val="18"/>
      <w:szCs w:val="18"/>
    </w:rPr>
  </w:style>
  <w:style w:type="paragraph" w:styleId="aff0">
    <w:name w:val="footnote text"/>
    <w:basedOn w:val="a7"/>
    <w:link w:val="aff1"/>
    <w:uiPriority w:val="99"/>
    <w:semiHidden/>
    <w:unhideWhenUsed/>
    <w:rsid w:val="00A16EEA"/>
    <w:pPr>
      <w:snapToGrid w:val="0"/>
      <w:jc w:val="left"/>
    </w:pPr>
    <w:rPr>
      <w:sz w:val="20"/>
    </w:rPr>
  </w:style>
  <w:style w:type="character" w:customStyle="1" w:styleId="aff1">
    <w:name w:val="註腳文字 字元"/>
    <w:basedOn w:val="a8"/>
    <w:link w:val="aff0"/>
    <w:uiPriority w:val="99"/>
    <w:semiHidden/>
    <w:rsid w:val="00A16EEA"/>
    <w:rPr>
      <w:rFonts w:ascii="標楷體" w:eastAsia="標楷體"/>
      <w:kern w:val="2"/>
    </w:rPr>
  </w:style>
  <w:style w:type="character" w:styleId="aff2">
    <w:name w:val="footnote reference"/>
    <w:basedOn w:val="a8"/>
    <w:uiPriority w:val="99"/>
    <w:semiHidden/>
    <w:unhideWhenUsed/>
    <w:rsid w:val="00A16EEA"/>
    <w:rPr>
      <w:vertAlign w:val="superscript"/>
    </w:rPr>
  </w:style>
  <w:style w:type="paragraph" w:styleId="aff3">
    <w:name w:val="annotation text"/>
    <w:basedOn w:val="a7"/>
    <w:link w:val="aff4"/>
    <w:uiPriority w:val="99"/>
    <w:semiHidden/>
    <w:unhideWhenUsed/>
    <w:rsid w:val="00EE16FD"/>
    <w:pPr>
      <w:jc w:val="left"/>
    </w:pPr>
  </w:style>
  <w:style w:type="character" w:customStyle="1" w:styleId="aff4">
    <w:name w:val="註解文字 字元"/>
    <w:basedOn w:val="a8"/>
    <w:link w:val="aff3"/>
    <w:uiPriority w:val="99"/>
    <w:semiHidden/>
    <w:rsid w:val="00EE16FD"/>
    <w:rPr>
      <w:rFonts w:ascii="標楷體" w:eastAsia="標楷體"/>
      <w:kern w:val="2"/>
      <w:sz w:val="32"/>
    </w:rPr>
  </w:style>
  <w:style w:type="paragraph" w:styleId="aff5">
    <w:name w:val="annotation subject"/>
    <w:basedOn w:val="aff3"/>
    <w:next w:val="aff3"/>
    <w:link w:val="aff6"/>
    <w:uiPriority w:val="99"/>
    <w:semiHidden/>
    <w:unhideWhenUsed/>
    <w:rsid w:val="00EE16FD"/>
    <w:rPr>
      <w:b/>
      <w:bCs/>
    </w:rPr>
  </w:style>
  <w:style w:type="character" w:customStyle="1" w:styleId="aff6">
    <w:name w:val="註解主旨 字元"/>
    <w:basedOn w:val="aff4"/>
    <w:link w:val="aff5"/>
    <w:uiPriority w:val="99"/>
    <w:semiHidden/>
    <w:rsid w:val="00EE16FD"/>
    <w:rPr>
      <w:rFonts w:ascii="標楷體" w:eastAsia="標楷體"/>
      <w:b/>
      <w:bCs/>
      <w:kern w:val="2"/>
      <w:sz w:val="32"/>
    </w:rPr>
  </w:style>
  <w:style w:type="paragraph" w:customStyle="1" w:styleId="aff7">
    <w:name w:val="表頭"/>
    <w:basedOn w:val="a7"/>
    <w:rsid w:val="00F57999"/>
    <w:pPr>
      <w:overflowPunct/>
      <w:autoSpaceDE/>
      <w:autoSpaceDN/>
      <w:jc w:val="center"/>
    </w:pPr>
    <w:rPr>
      <w:rFonts w:ascii="Times New Roman"/>
      <w:b/>
      <w:bCs/>
      <w:sz w:val="28"/>
    </w:rPr>
  </w:style>
  <w:style w:type="paragraph" w:styleId="Web">
    <w:name w:val="Normal (Web)"/>
    <w:basedOn w:val="a7"/>
    <w:uiPriority w:val="99"/>
    <w:semiHidden/>
    <w:unhideWhenUsed/>
    <w:rsid w:val="003259F3"/>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f9">
    <w:name w:val="清單段落 字元"/>
    <w:link w:val="af8"/>
    <w:uiPriority w:val="34"/>
    <w:locked/>
    <w:rsid w:val="00A218B1"/>
    <w:rPr>
      <w:rFonts w:ascii="標楷體" w:eastAsia="標楷體"/>
      <w:kern w:val="2"/>
      <w:sz w:val="32"/>
    </w:rPr>
  </w:style>
  <w:style w:type="character" w:customStyle="1" w:styleId="40">
    <w:name w:val="標題 4 字元"/>
    <w:aliases w:val="表格 字元"/>
    <w:basedOn w:val="a8"/>
    <w:link w:val="4"/>
    <w:rsid w:val="00F27734"/>
    <w:rPr>
      <w:rFonts w:ascii="標楷體" w:eastAsia="標楷體" w:hAnsi="Arial"/>
      <w:kern w:val="32"/>
      <w:sz w:val="32"/>
      <w:szCs w:val="36"/>
    </w:rPr>
  </w:style>
  <w:style w:type="character" w:styleId="aff8">
    <w:name w:val="FollowedHyperlink"/>
    <w:basedOn w:val="a8"/>
    <w:uiPriority w:val="99"/>
    <w:semiHidden/>
    <w:unhideWhenUsed/>
    <w:rsid w:val="00890AB3"/>
    <w:rPr>
      <w:color w:val="800080" w:themeColor="followedHyperlink"/>
      <w:u w:val="single"/>
    </w:rPr>
  </w:style>
  <w:style w:type="paragraph" w:customStyle="1" w:styleId="93">
    <w:name w:val="標題9"/>
    <w:basedOn w:val="a7"/>
    <w:rsid w:val="004E73CF"/>
    <w:pPr>
      <w:tabs>
        <w:tab w:val="num" w:pos="6195"/>
      </w:tabs>
      <w:overflowPunct/>
      <w:autoSpaceDE/>
      <w:autoSpaceDN/>
      <w:ind w:left="5015" w:hanging="1700"/>
      <w:jc w:val="left"/>
    </w:pPr>
    <w:rPr>
      <w:rFonts w:ascii="Times New Roman"/>
    </w:rPr>
  </w:style>
  <w:style w:type="character" w:styleId="aff9">
    <w:name w:val="Placeholder Text"/>
    <w:basedOn w:val="a8"/>
    <w:uiPriority w:val="99"/>
    <w:semiHidden/>
    <w:rsid w:val="002309A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5"/>
      </w:numPr>
      <w:outlineLvl w:val="0"/>
    </w:pPr>
    <w:rPr>
      <w:rFonts w:hAnsi="Arial"/>
      <w:bCs/>
      <w:kern w:val="32"/>
      <w:szCs w:val="52"/>
    </w:rPr>
  </w:style>
  <w:style w:type="paragraph" w:styleId="2">
    <w:name w:val="heading 2"/>
    <w:aliases w:val="標題110/111"/>
    <w:basedOn w:val="a7"/>
    <w:qFormat/>
    <w:rsid w:val="004F5E57"/>
    <w:pPr>
      <w:numPr>
        <w:ilvl w:val="1"/>
        <w:numId w:val="5"/>
      </w:numPr>
      <w:outlineLvl w:val="1"/>
    </w:pPr>
    <w:rPr>
      <w:rFonts w:hAnsi="Arial"/>
      <w:bCs/>
      <w:kern w:val="32"/>
      <w:szCs w:val="48"/>
    </w:rPr>
  </w:style>
  <w:style w:type="paragraph" w:styleId="3">
    <w:name w:val="heading 3"/>
    <w:aliases w:val="(一)"/>
    <w:basedOn w:val="a7"/>
    <w:qFormat/>
    <w:rsid w:val="004F5E57"/>
    <w:pPr>
      <w:numPr>
        <w:ilvl w:val="2"/>
        <w:numId w:val="5"/>
      </w:numPr>
      <w:outlineLvl w:val="2"/>
    </w:pPr>
    <w:rPr>
      <w:rFonts w:hAnsi="Arial"/>
      <w:bCs/>
      <w:kern w:val="32"/>
      <w:szCs w:val="36"/>
    </w:rPr>
  </w:style>
  <w:style w:type="paragraph" w:styleId="4">
    <w:name w:val="heading 4"/>
    <w:aliases w:val="表格"/>
    <w:basedOn w:val="a7"/>
    <w:link w:val="40"/>
    <w:qFormat/>
    <w:rsid w:val="004F5E57"/>
    <w:pPr>
      <w:numPr>
        <w:ilvl w:val="3"/>
        <w:numId w:val="5"/>
      </w:numPr>
      <w:outlineLvl w:val="3"/>
    </w:pPr>
    <w:rPr>
      <w:rFonts w:hAnsi="Arial"/>
      <w:kern w:val="32"/>
      <w:szCs w:val="36"/>
    </w:rPr>
  </w:style>
  <w:style w:type="paragraph" w:styleId="5">
    <w:name w:val="heading 5"/>
    <w:basedOn w:val="a7"/>
    <w:qFormat/>
    <w:rsid w:val="004F5E57"/>
    <w:pPr>
      <w:numPr>
        <w:ilvl w:val="4"/>
        <w:numId w:val="5"/>
      </w:numPr>
      <w:outlineLvl w:val="4"/>
    </w:pPr>
    <w:rPr>
      <w:rFonts w:hAnsi="Arial"/>
      <w:bCs/>
      <w:kern w:val="32"/>
      <w:szCs w:val="36"/>
    </w:rPr>
  </w:style>
  <w:style w:type="paragraph" w:styleId="6">
    <w:name w:val="heading 6"/>
    <w:basedOn w:val="a7"/>
    <w:qFormat/>
    <w:rsid w:val="004F5E57"/>
    <w:pPr>
      <w:numPr>
        <w:ilvl w:val="5"/>
        <w:numId w:val="5"/>
      </w:numPr>
      <w:tabs>
        <w:tab w:val="left" w:pos="2094"/>
      </w:tabs>
      <w:outlineLvl w:val="5"/>
    </w:pPr>
    <w:rPr>
      <w:rFonts w:hAnsi="Arial"/>
      <w:kern w:val="32"/>
      <w:szCs w:val="36"/>
    </w:rPr>
  </w:style>
  <w:style w:type="paragraph" w:styleId="7">
    <w:name w:val="heading 7"/>
    <w:basedOn w:val="a7"/>
    <w:qFormat/>
    <w:rsid w:val="004F5E57"/>
    <w:pPr>
      <w:numPr>
        <w:ilvl w:val="6"/>
        <w:numId w:val="5"/>
      </w:numPr>
      <w:outlineLvl w:val="6"/>
    </w:pPr>
    <w:rPr>
      <w:rFonts w:hAnsi="Arial"/>
      <w:bCs/>
      <w:kern w:val="32"/>
      <w:szCs w:val="36"/>
    </w:rPr>
  </w:style>
  <w:style w:type="paragraph" w:styleId="8">
    <w:name w:val="heading 8"/>
    <w:basedOn w:val="a7"/>
    <w:qFormat/>
    <w:rsid w:val="004F5E57"/>
    <w:pPr>
      <w:numPr>
        <w:ilvl w:val="7"/>
        <w:numId w:val="5"/>
      </w:numPr>
      <w:outlineLvl w:val="7"/>
    </w:pPr>
    <w:rPr>
      <w:rFonts w:hAnsi="Arial"/>
      <w:kern w:val="32"/>
      <w:szCs w:val="36"/>
    </w:rPr>
  </w:style>
  <w:style w:type="paragraph" w:styleId="9">
    <w:name w:val="heading 9"/>
    <w:basedOn w:val="a7"/>
    <w:link w:val="90"/>
    <w:uiPriority w:val="9"/>
    <w:unhideWhenUsed/>
    <w:qFormat/>
    <w:rsid w:val="00C055EC"/>
    <w:pPr>
      <w:numPr>
        <w:ilvl w:val="8"/>
        <w:numId w:val="5"/>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916A75"/>
    <w:pPr>
      <w:tabs>
        <w:tab w:val="right" w:leader="hyphen" w:pos="8789"/>
      </w:tabs>
      <w:kinsoku w:val="0"/>
      <w:ind w:left="1362" w:rightChars="-25" w:right="-85" w:hangingChars="400" w:hanging="1362"/>
      <w:jc w:val="distribute"/>
    </w:pPr>
    <w:rPr>
      <w:noProof/>
      <w:szCs w:val="32"/>
    </w:rPr>
  </w:style>
  <w:style w:type="paragraph" w:styleId="21">
    <w:name w:val="toc 2"/>
    <w:basedOn w:val="a7"/>
    <w:next w:val="a7"/>
    <w:autoRedefine/>
    <w:uiPriority w:val="39"/>
    <w:rsid w:val="00094BD6"/>
    <w:pPr>
      <w:tabs>
        <w:tab w:val="right" w:leader="hyphen" w:pos="8834"/>
      </w:tabs>
      <w:kinsoku w:val="0"/>
      <w:spacing w:line="480" w:lineRule="exact"/>
      <w:ind w:leftChars="89" w:left="848" w:rightChars="100" w:right="320" w:hangingChars="176" w:hanging="563"/>
    </w:pPr>
    <w:rPr>
      <w:noProof/>
    </w:rPr>
  </w:style>
  <w:style w:type="paragraph" w:styleId="30">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2">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1">
    <w:name w:val="表標題"/>
    <w:qFormat/>
    <w:rsid w:val="001602C8"/>
    <w:pPr>
      <w:keepNext/>
      <w:widowControl w:val="0"/>
      <w:numPr>
        <w:numId w:val="85"/>
      </w:numPr>
      <w:kinsoku w:val="0"/>
      <w:overflowPunct w:val="0"/>
      <w:autoSpaceDE w:val="0"/>
      <w:autoSpaceDN w:val="0"/>
      <w:adjustRightInd w:val="0"/>
      <w:snapToGrid w:val="0"/>
      <w:spacing w:before="240" w:after="40" w:line="360" w:lineRule="exact"/>
      <w:ind w:left="480"/>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3">
    <w:name w:val="圖標題"/>
    <w:basedOn w:val="a7"/>
    <w:qFormat/>
    <w:rsid w:val="00860463"/>
    <w:pPr>
      <w:numPr>
        <w:numId w:val="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4"/>
      </w:numPr>
      <w:ind w:left="350" w:hangingChars="350" w:hanging="350"/>
      <w:outlineLvl w:val="0"/>
    </w:pPr>
    <w:rPr>
      <w:kern w:val="32"/>
    </w:rPr>
  </w:style>
  <w:style w:type="paragraph" w:styleId="af8">
    <w:name w:val="List Paragraph"/>
    <w:basedOn w:val="a7"/>
    <w:link w:val="af9"/>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4">
    <w:name w:val="附件樣式"/>
    <w:basedOn w:val="a7"/>
    <w:qFormat/>
    <w:rsid w:val="00210E3E"/>
    <w:pPr>
      <w:keepNext/>
      <w:numPr>
        <w:numId w:val="7"/>
      </w:numPr>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Default">
    <w:name w:val="Default"/>
    <w:rsid w:val="00A52E1C"/>
    <w:pPr>
      <w:widowControl w:val="0"/>
      <w:autoSpaceDE w:val="0"/>
      <w:autoSpaceDN w:val="0"/>
      <w:adjustRightInd w:val="0"/>
    </w:pPr>
    <w:rPr>
      <w:rFonts w:ascii="標楷體" w:eastAsiaTheme="minorEastAsia" w:hAnsi="標楷體" w:cs="標楷體"/>
      <w:color w:val="000000"/>
      <w:sz w:val="24"/>
      <w:szCs w:val="24"/>
    </w:rPr>
  </w:style>
  <w:style w:type="paragraph" w:styleId="a">
    <w:name w:val="List Bullet"/>
    <w:basedOn w:val="a7"/>
    <w:uiPriority w:val="99"/>
    <w:unhideWhenUsed/>
    <w:rsid w:val="00885366"/>
    <w:pPr>
      <w:numPr>
        <w:numId w:val="8"/>
      </w:numPr>
      <w:contextualSpacing/>
    </w:pPr>
  </w:style>
  <w:style w:type="paragraph" w:styleId="afc">
    <w:name w:val="No Spacing"/>
    <w:uiPriority w:val="1"/>
    <w:qFormat/>
    <w:rsid w:val="004F6C09"/>
    <w:pPr>
      <w:widowControl w:val="0"/>
    </w:pPr>
    <w:rPr>
      <w:rFonts w:asciiTheme="minorHAnsi" w:eastAsiaTheme="minorEastAsia" w:hAnsiTheme="minorHAnsi" w:cstheme="minorBidi"/>
      <w:kern w:val="2"/>
      <w:sz w:val="24"/>
      <w:szCs w:val="22"/>
    </w:rPr>
  </w:style>
  <w:style w:type="paragraph" w:customStyle="1" w:styleId="TableParagraph">
    <w:name w:val="Table Paragraph"/>
    <w:basedOn w:val="a7"/>
    <w:uiPriority w:val="1"/>
    <w:qFormat/>
    <w:rsid w:val="008926C5"/>
    <w:pPr>
      <w:overflowPunct/>
      <w:autoSpaceDE/>
      <w:autoSpaceDN/>
      <w:jc w:val="left"/>
    </w:pPr>
    <w:rPr>
      <w:rFonts w:asciiTheme="minorHAnsi" w:eastAsiaTheme="minorEastAsia" w:hAnsiTheme="minorHAnsi" w:cstheme="minorBidi"/>
      <w:kern w:val="0"/>
      <w:sz w:val="22"/>
      <w:szCs w:val="22"/>
      <w:lang w:eastAsia="en-US"/>
    </w:rPr>
  </w:style>
  <w:style w:type="table" w:customStyle="1" w:styleId="13">
    <w:name w:val="表格格線1"/>
    <w:basedOn w:val="a9"/>
    <w:next w:val="af7"/>
    <w:uiPriority w:val="59"/>
    <w:rsid w:val="00B05C4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7"/>
    <w:link w:val="HTML0"/>
    <w:uiPriority w:val="99"/>
    <w:unhideWhenUsed/>
    <w:rsid w:val="00C022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8"/>
    <w:link w:val="HTML"/>
    <w:uiPriority w:val="99"/>
    <w:rsid w:val="00C02262"/>
    <w:rPr>
      <w:rFonts w:ascii="細明體" w:eastAsia="細明體" w:hAnsi="細明體" w:cs="細明體"/>
      <w:sz w:val="22"/>
      <w:szCs w:val="22"/>
    </w:rPr>
  </w:style>
  <w:style w:type="paragraph" w:styleId="afd">
    <w:name w:val="TOC Heading"/>
    <w:basedOn w:val="1"/>
    <w:next w:val="a7"/>
    <w:uiPriority w:val="39"/>
    <w:semiHidden/>
    <w:unhideWhenUsed/>
    <w:qFormat/>
    <w:rsid w:val="00513AA0"/>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customStyle="1" w:styleId="afe">
    <w:name w:val="表樣式"/>
    <w:basedOn w:val="a7"/>
    <w:next w:val="a7"/>
    <w:rsid w:val="005C2E41"/>
    <w:pPr>
      <w:tabs>
        <w:tab w:val="num" w:pos="1440"/>
      </w:tabs>
      <w:overflowPunct/>
      <w:autoSpaceDE/>
      <w:autoSpaceDN/>
      <w:ind w:left="695" w:hanging="695"/>
    </w:pPr>
    <w:rPr>
      <w:kern w:val="0"/>
    </w:rPr>
  </w:style>
  <w:style w:type="character" w:styleId="aff">
    <w:name w:val="annotation reference"/>
    <w:basedOn w:val="a8"/>
    <w:uiPriority w:val="99"/>
    <w:semiHidden/>
    <w:unhideWhenUsed/>
    <w:rsid w:val="005C2E41"/>
    <w:rPr>
      <w:sz w:val="18"/>
      <w:szCs w:val="18"/>
    </w:rPr>
  </w:style>
  <w:style w:type="paragraph" w:styleId="aff0">
    <w:name w:val="footnote text"/>
    <w:basedOn w:val="a7"/>
    <w:link w:val="aff1"/>
    <w:uiPriority w:val="99"/>
    <w:semiHidden/>
    <w:unhideWhenUsed/>
    <w:rsid w:val="00A16EEA"/>
    <w:pPr>
      <w:snapToGrid w:val="0"/>
      <w:jc w:val="left"/>
    </w:pPr>
    <w:rPr>
      <w:sz w:val="20"/>
    </w:rPr>
  </w:style>
  <w:style w:type="character" w:customStyle="1" w:styleId="aff1">
    <w:name w:val="註腳文字 字元"/>
    <w:basedOn w:val="a8"/>
    <w:link w:val="aff0"/>
    <w:uiPriority w:val="99"/>
    <w:semiHidden/>
    <w:rsid w:val="00A16EEA"/>
    <w:rPr>
      <w:rFonts w:ascii="標楷體" w:eastAsia="標楷體"/>
      <w:kern w:val="2"/>
    </w:rPr>
  </w:style>
  <w:style w:type="character" w:styleId="aff2">
    <w:name w:val="footnote reference"/>
    <w:basedOn w:val="a8"/>
    <w:uiPriority w:val="99"/>
    <w:semiHidden/>
    <w:unhideWhenUsed/>
    <w:rsid w:val="00A16EEA"/>
    <w:rPr>
      <w:vertAlign w:val="superscript"/>
    </w:rPr>
  </w:style>
  <w:style w:type="paragraph" w:styleId="aff3">
    <w:name w:val="annotation text"/>
    <w:basedOn w:val="a7"/>
    <w:link w:val="aff4"/>
    <w:uiPriority w:val="99"/>
    <w:semiHidden/>
    <w:unhideWhenUsed/>
    <w:rsid w:val="00EE16FD"/>
    <w:pPr>
      <w:jc w:val="left"/>
    </w:pPr>
  </w:style>
  <w:style w:type="character" w:customStyle="1" w:styleId="aff4">
    <w:name w:val="註解文字 字元"/>
    <w:basedOn w:val="a8"/>
    <w:link w:val="aff3"/>
    <w:uiPriority w:val="99"/>
    <w:semiHidden/>
    <w:rsid w:val="00EE16FD"/>
    <w:rPr>
      <w:rFonts w:ascii="標楷體" w:eastAsia="標楷體"/>
      <w:kern w:val="2"/>
      <w:sz w:val="32"/>
    </w:rPr>
  </w:style>
  <w:style w:type="paragraph" w:styleId="aff5">
    <w:name w:val="annotation subject"/>
    <w:basedOn w:val="aff3"/>
    <w:next w:val="aff3"/>
    <w:link w:val="aff6"/>
    <w:uiPriority w:val="99"/>
    <w:semiHidden/>
    <w:unhideWhenUsed/>
    <w:rsid w:val="00EE16FD"/>
    <w:rPr>
      <w:b/>
      <w:bCs/>
    </w:rPr>
  </w:style>
  <w:style w:type="character" w:customStyle="1" w:styleId="aff6">
    <w:name w:val="註解主旨 字元"/>
    <w:basedOn w:val="aff4"/>
    <w:link w:val="aff5"/>
    <w:uiPriority w:val="99"/>
    <w:semiHidden/>
    <w:rsid w:val="00EE16FD"/>
    <w:rPr>
      <w:rFonts w:ascii="標楷體" w:eastAsia="標楷體"/>
      <w:b/>
      <w:bCs/>
      <w:kern w:val="2"/>
      <w:sz w:val="32"/>
    </w:rPr>
  </w:style>
  <w:style w:type="paragraph" w:customStyle="1" w:styleId="aff7">
    <w:name w:val="表頭"/>
    <w:basedOn w:val="a7"/>
    <w:rsid w:val="00F57999"/>
    <w:pPr>
      <w:overflowPunct/>
      <w:autoSpaceDE/>
      <w:autoSpaceDN/>
      <w:jc w:val="center"/>
    </w:pPr>
    <w:rPr>
      <w:rFonts w:ascii="Times New Roman"/>
      <w:b/>
      <w:bCs/>
      <w:sz w:val="28"/>
    </w:rPr>
  </w:style>
  <w:style w:type="paragraph" w:styleId="Web">
    <w:name w:val="Normal (Web)"/>
    <w:basedOn w:val="a7"/>
    <w:uiPriority w:val="99"/>
    <w:semiHidden/>
    <w:unhideWhenUsed/>
    <w:rsid w:val="003259F3"/>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f9">
    <w:name w:val="清單段落 字元"/>
    <w:link w:val="af8"/>
    <w:uiPriority w:val="34"/>
    <w:locked/>
    <w:rsid w:val="00A218B1"/>
    <w:rPr>
      <w:rFonts w:ascii="標楷體" w:eastAsia="標楷體"/>
      <w:kern w:val="2"/>
      <w:sz w:val="32"/>
    </w:rPr>
  </w:style>
  <w:style w:type="character" w:customStyle="1" w:styleId="40">
    <w:name w:val="標題 4 字元"/>
    <w:aliases w:val="表格 字元"/>
    <w:basedOn w:val="a8"/>
    <w:link w:val="4"/>
    <w:rsid w:val="00F27734"/>
    <w:rPr>
      <w:rFonts w:ascii="標楷體" w:eastAsia="標楷體" w:hAnsi="Arial"/>
      <w:kern w:val="32"/>
      <w:sz w:val="32"/>
      <w:szCs w:val="36"/>
    </w:rPr>
  </w:style>
  <w:style w:type="character" w:styleId="aff8">
    <w:name w:val="FollowedHyperlink"/>
    <w:basedOn w:val="a8"/>
    <w:uiPriority w:val="99"/>
    <w:semiHidden/>
    <w:unhideWhenUsed/>
    <w:rsid w:val="00890AB3"/>
    <w:rPr>
      <w:color w:val="800080" w:themeColor="followedHyperlink"/>
      <w:u w:val="single"/>
    </w:rPr>
  </w:style>
  <w:style w:type="paragraph" w:customStyle="1" w:styleId="93">
    <w:name w:val="標題9"/>
    <w:basedOn w:val="a7"/>
    <w:rsid w:val="004E73CF"/>
    <w:pPr>
      <w:tabs>
        <w:tab w:val="num" w:pos="6195"/>
      </w:tabs>
      <w:overflowPunct/>
      <w:autoSpaceDE/>
      <w:autoSpaceDN/>
      <w:ind w:left="5015" w:hanging="1700"/>
      <w:jc w:val="left"/>
    </w:pPr>
    <w:rPr>
      <w:rFonts w:ascii="Times New Roman"/>
    </w:rPr>
  </w:style>
  <w:style w:type="character" w:styleId="aff9">
    <w:name w:val="Placeholder Text"/>
    <w:basedOn w:val="a8"/>
    <w:uiPriority w:val="99"/>
    <w:semiHidden/>
    <w:rsid w:val="002309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05741">
      <w:bodyDiv w:val="1"/>
      <w:marLeft w:val="0"/>
      <w:marRight w:val="0"/>
      <w:marTop w:val="0"/>
      <w:marBottom w:val="0"/>
      <w:divBdr>
        <w:top w:val="none" w:sz="0" w:space="0" w:color="auto"/>
        <w:left w:val="none" w:sz="0" w:space="0" w:color="auto"/>
        <w:bottom w:val="none" w:sz="0" w:space="0" w:color="auto"/>
        <w:right w:val="none" w:sz="0" w:space="0" w:color="auto"/>
      </w:divBdr>
    </w:div>
    <w:div w:id="118032786">
      <w:bodyDiv w:val="1"/>
      <w:marLeft w:val="0"/>
      <w:marRight w:val="0"/>
      <w:marTop w:val="0"/>
      <w:marBottom w:val="0"/>
      <w:divBdr>
        <w:top w:val="none" w:sz="0" w:space="0" w:color="auto"/>
        <w:left w:val="none" w:sz="0" w:space="0" w:color="auto"/>
        <w:bottom w:val="none" w:sz="0" w:space="0" w:color="auto"/>
        <w:right w:val="none" w:sz="0" w:space="0" w:color="auto"/>
      </w:divBdr>
    </w:div>
    <w:div w:id="357856375">
      <w:bodyDiv w:val="1"/>
      <w:marLeft w:val="0"/>
      <w:marRight w:val="0"/>
      <w:marTop w:val="0"/>
      <w:marBottom w:val="0"/>
      <w:divBdr>
        <w:top w:val="none" w:sz="0" w:space="0" w:color="auto"/>
        <w:left w:val="none" w:sz="0" w:space="0" w:color="auto"/>
        <w:bottom w:val="none" w:sz="0" w:space="0" w:color="auto"/>
        <w:right w:val="none" w:sz="0" w:space="0" w:color="auto"/>
      </w:divBdr>
    </w:div>
    <w:div w:id="386222219">
      <w:bodyDiv w:val="1"/>
      <w:marLeft w:val="0"/>
      <w:marRight w:val="0"/>
      <w:marTop w:val="0"/>
      <w:marBottom w:val="0"/>
      <w:divBdr>
        <w:top w:val="none" w:sz="0" w:space="0" w:color="auto"/>
        <w:left w:val="none" w:sz="0" w:space="0" w:color="auto"/>
        <w:bottom w:val="none" w:sz="0" w:space="0" w:color="auto"/>
        <w:right w:val="none" w:sz="0" w:space="0" w:color="auto"/>
      </w:divBdr>
    </w:div>
    <w:div w:id="505362591">
      <w:bodyDiv w:val="1"/>
      <w:marLeft w:val="0"/>
      <w:marRight w:val="0"/>
      <w:marTop w:val="0"/>
      <w:marBottom w:val="0"/>
      <w:divBdr>
        <w:top w:val="none" w:sz="0" w:space="0" w:color="auto"/>
        <w:left w:val="none" w:sz="0" w:space="0" w:color="auto"/>
        <w:bottom w:val="none" w:sz="0" w:space="0" w:color="auto"/>
        <w:right w:val="none" w:sz="0" w:space="0" w:color="auto"/>
      </w:divBdr>
    </w:div>
    <w:div w:id="512375318">
      <w:bodyDiv w:val="1"/>
      <w:marLeft w:val="0"/>
      <w:marRight w:val="0"/>
      <w:marTop w:val="0"/>
      <w:marBottom w:val="0"/>
      <w:divBdr>
        <w:top w:val="none" w:sz="0" w:space="0" w:color="auto"/>
        <w:left w:val="none" w:sz="0" w:space="0" w:color="auto"/>
        <w:bottom w:val="none" w:sz="0" w:space="0" w:color="auto"/>
        <w:right w:val="none" w:sz="0" w:space="0" w:color="auto"/>
      </w:divBdr>
    </w:div>
    <w:div w:id="584531729">
      <w:bodyDiv w:val="1"/>
      <w:marLeft w:val="0"/>
      <w:marRight w:val="0"/>
      <w:marTop w:val="0"/>
      <w:marBottom w:val="0"/>
      <w:divBdr>
        <w:top w:val="none" w:sz="0" w:space="0" w:color="auto"/>
        <w:left w:val="none" w:sz="0" w:space="0" w:color="auto"/>
        <w:bottom w:val="none" w:sz="0" w:space="0" w:color="auto"/>
        <w:right w:val="none" w:sz="0" w:space="0" w:color="auto"/>
      </w:divBdr>
    </w:div>
    <w:div w:id="606818174">
      <w:bodyDiv w:val="1"/>
      <w:marLeft w:val="0"/>
      <w:marRight w:val="0"/>
      <w:marTop w:val="0"/>
      <w:marBottom w:val="0"/>
      <w:divBdr>
        <w:top w:val="none" w:sz="0" w:space="0" w:color="auto"/>
        <w:left w:val="none" w:sz="0" w:space="0" w:color="auto"/>
        <w:bottom w:val="none" w:sz="0" w:space="0" w:color="auto"/>
        <w:right w:val="none" w:sz="0" w:space="0" w:color="auto"/>
      </w:divBdr>
    </w:div>
    <w:div w:id="609892331">
      <w:bodyDiv w:val="1"/>
      <w:marLeft w:val="0"/>
      <w:marRight w:val="0"/>
      <w:marTop w:val="0"/>
      <w:marBottom w:val="0"/>
      <w:divBdr>
        <w:top w:val="none" w:sz="0" w:space="0" w:color="auto"/>
        <w:left w:val="none" w:sz="0" w:space="0" w:color="auto"/>
        <w:bottom w:val="none" w:sz="0" w:space="0" w:color="auto"/>
        <w:right w:val="none" w:sz="0" w:space="0" w:color="auto"/>
      </w:divBdr>
    </w:div>
    <w:div w:id="630985898">
      <w:bodyDiv w:val="1"/>
      <w:marLeft w:val="0"/>
      <w:marRight w:val="0"/>
      <w:marTop w:val="0"/>
      <w:marBottom w:val="0"/>
      <w:divBdr>
        <w:top w:val="none" w:sz="0" w:space="0" w:color="auto"/>
        <w:left w:val="none" w:sz="0" w:space="0" w:color="auto"/>
        <w:bottom w:val="none" w:sz="0" w:space="0" w:color="auto"/>
        <w:right w:val="none" w:sz="0" w:space="0" w:color="auto"/>
      </w:divBdr>
    </w:div>
    <w:div w:id="695615514">
      <w:bodyDiv w:val="1"/>
      <w:marLeft w:val="0"/>
      <w:marRight w:val="0"/>
      <w:marTop w:val="0"/>
      <w:marBottom w:val="0"/>
      <w:divBdr>
        <w:top w:val="none" w:sz="0" w:space="0" w:color="auto"/>
        <w:left w:val="none" w:sz="0" w:space="0" w:color="auto"/>
        <w:bottom w:val="none" w:sz="0" w:space="0" w:color="auto"/>
        <w:right w:val="none" w:sz="0" w:space="0" w:color="auto"/>
      </w:divBdr>
    </w:div>
    <w:div w:id="698622152">
      <w:bodyDiv w:val="1"/>
      <w:marLeft w:val="0"/>
      <w:marRight w:val="0"/>
      <w:marTop w:val="0"/>
      <w:marBottom w:val="0"/>
      <w:divBdr>
        <w:top w:val="none" w:sz="0" w:space="0" w:color="auto"/>
        <w:left w:val="none" w:sz="0" w:space="0" w:color="auto"/>
        <w:bottom w:val="none" w:sz="0" w:space="0" w:color="auto"/>
        <w:right w:val="none" w:sz="0" w:space="0" w:color="auto"/>
      </w:divBdr>
    </w:div>
    <w:div w:id="917792082">
      <w:bodyDiv w:val="1"/>
      <w:marLeft w:val="0"/>
      <w:marRight w:val="0"/>
      <w:marTop w:val="0"/>
      <w:marBottom w:val="0"/>
      <w:divBdr>
        <w:top w:val="none" w:sz="0" w:space="0" w:color="auto"/>
        <w:left w:val="none" w:sz="0" w:space="0" w:color="auto"/>
        <w:bottom w:val="none" w:sz="0" w:space="0" w:color="auto"/>
        <w:right w:val="none" w:sz="0" w:space="0" w:color="auto"/>
      </w:divBdr>
    </w:div>
    <w:div w:id="987590161">
      <w:bodyDiv w:val="1"/>
      <w:marLeft w:val="0"/>
      <w:marRight w:val="0"/>
      <w:marTop w:val="0"/>
      <w:marBottom w:val="0"/>
      <w:divBdr>
        <w:top w:val="none" w:sz="0" w:space="0" w:color="auto"/>
        <w:left w:val="none" w:sz="0" w:space="0" w:color="auto"/>
        <w:bottom w:val="none" w:sz="0" w:space="0" w:color="auto"/>
        <w:right w:val="none" w:sz="0" w:space="0" w:color="auto"/>
      </w:divBdr>
    </w:div>
    <w:div w:id="987710345">
      <w:bodyDiv w:val="1"/>
      <w:marLeft w:val="0"/>
      <w:marRight w:val="0"/>
      <w:marTop w:val="0"/>
      <w:marBottom w:val="0"/>
      <w:divBdr>
        <w:top w:val="none" w:sz="0" w:space="0" w:color="auto"/>
        <w:left w:val="none" w:sz="0" w:space="0" w:color="auto"/>
        <w:bottom w:val="none" w:sz="0" w:space="0" w:color="auto"/>
        <w:right w:val="none" w:sz="0" w:space="0" w:color="auto"/>
      </w:divBdr>
    </w:div>
    <w:div w:id="1010915961">
      <w:bodyDiv w:val="1"/>
      <w:marLeft w:val="0"/>
      <w:marRight w:val="0"/>
      <w:marTop w:val="0"/>
      <w:marBottom w:val="0"/>
      <w:divBdr>
        <w:top w:val="none" w:sz="0" w:space="0" w:color="auto"/>
        <w:left w:val="none" w:sz="0" w:space="0" w:color="auto"/>
        <w:bottom w:val="none" w:sz="0" w:space="0" w:color="auto"/>
        <w:right w:val="none" w:sz="0" w:space="0" w:color="auto"/>
      </w:divBdr>
    </w:div>
    <w:div w:id="1026294254">
      <w:bodyDiv w:val="1"/>
      <w:marLeft w:val="0"/>
      <w:marRight w:val="0"/>
      <w:marTop w:val="0"/>
      <w:marBottom w:val="0"/>
      <w:divBdr>
        <w:top w:val="none" w:sz="0" w:space="0" w:color="auto"/>
        <w:left w:val="none" w:sz="0" w:space="0" w:color="auto"/>
        <w:bottom w:val="none" w:sz="0" w:space="0" w:color="auto"/>
        <w:right w:val="none" w:sz="0" w:space="0" w:color="auto"/>
      </w:divBdr>
    </w:div>
    <w:div w:id="1096945580">
      <w:bodyDiv w:val="1"/>
      <w:marLeft w:val="0"/>
      <w:marRight w:val="0"/>
      <w:marTop w:val="0"/>
      <w:marBottom w:val="0"/>
      <w:divBdr>
        <w:top w:val="none" w:sz="0" w:space="0" w:color="auto"/>
        <w:left w:val="none" w:sz="0" w:space="0" w:color="auto"/>
        <w:bottom w:val="none" w:sz="0" w:space="0" w:color="auto"/>
        <w:right w:val="none" w:sz="0" w:space="0" w:color="auto"/>
      </w:divBdr>
    </w:div>
    <w:div w:id="1302538263">
      <w:bodyDiv w:val="1"/>
      <w:marLeft w:val="0"/>
      <w:marRight w:val="0"/>
      <w:marTop w:val="0"/>
      <w:marBottom w:val="0"/>
      <w:divBdr>
        <w:top w:val="none" w:sz="0" w:space="0" w:color="auto"/>
        <w:left w:val="none" w:sz="0" w:space="0" w:color="auto"/>
        <w:bottom w:val="none" w:sz="0" w:space="0" w:color="auto"/>
        <w:right w:val="none" w:sz="0" w:space="0" w:color="auto"/>
      </w:divBdr>
    </w:div>
    <w:div w:id="1518886599">
      <w:bodyDiv w:val="1"/>
      <w:marLeft w:val="0"/>
      <w:marRight w:val="0"/>
      <w:marTop w:val="0"/>
      <w:marBottom w:val="0"/>
      <w:divBdr>
        <w:top w:val="none" w:sz="0" w:space="0" w:color="auto"/>
        <w:left w:val="none" w:sz="0" w:space="0" w:color="auto"/>
        <w:bottom w:val="none" w:sz="0" w:space="0" w:color="auto"/>
        <w:right w:val="none" w:sz="0" w:space="0" w:color="auto"/>
      </w:divBdr>
    </w:div>
    <w:div w:id="1534853319">
      <w:bodyDiv w:val="1"/>
      <w:marLeft w:val="0"/>
      <w:marRight w:val="0"/>
      <w:marTop w:val="0"/>
      <w:marBottom w:val="0"/>
      <w:divBdr>
        <w:top w:val="none" w:sz="0" w:space="0" w:color="auto"/>
        <w:left w:val="none" w:sz="0" w:space="0" w:color="auto"/>
        <w:bottom w:val="none" w:sz="0" w:space="0" w:color="auto"/>
        <w:right w:val="none" w:sz="0" w:space="0" w:color="auto"/>
      </w:divBdr>
    </w:div>
    <w:div w:id="1652054885">
      <w:bodyDiv w:val="1"/>
      <w:marLeft w:val="0"/>
      <w:marRight w:val="0"/>
      <w:marTop w:val="0"/>
      <w:marBottom w:val="0"/>
      <w:divBdr>
        <w:top w:val="none" w:sz="0" w:space="0" w:color="auto"/>
        <w:left w:val="none" w:sz="0" w:space="0" w:color="auto"/>
        <w:bottom w:val="none" w:sz="0" w:space="0" w:color="auto"/>
        <w:right w:val="none" w:sz="0" w:space="0" w:color="auto"/>
      </w:divBdr>
    </w:div>
    <w:div w:id="1660429001">
      <w:bodyDiv w:val="1"/>
      <w:marLeft w:val="0"/>
      <w:marRight w:val="0"/>
      <w:marTop w:val="0"/>
      <w:marBottom w:val="0"/>
      <w:divBdr>
        <w:top w:val="none" w:sz="0" w:space="0" w:color="auto"/>
        <w:left w:val="none" w:sz="0" w:space="0" w:color="auto"/>
        <w:bottom w:val="none" w:sz="0" w:space="0" w:color="auto"/>
        <w:right w:val="none" w:sz="0" w:space="0" w:color="auto"/>
      </w:divBdr>
    </w:div>
    <w:div w:id="1698309132">
      <w:bodyDiv w:val="1"/>
      <w:marLeft w:val="0"/>
      <w:marRight w:val="0"/>
      <w:marTop w:val="0"/>
      <w:marBottom w:val="0"/>
      <w:divBdr>
        <w:top w:val="none" w:sz="0" w:space="0" w:color="auto"/>
        <w:left w:val="none" w:sz="0" w:space="0" w:color="auto"/>
        <w:bottom w:val="none" w:sz="0" w:space="0" w:color="auto"/>
        <w:right w:val="none" w:sz="0" w:space="0" w:color="auto"/>
      </w:divBdr>
    </w:div>
    <w:div w:id="1770659854">
      <w:bodyDiv w:val="1"/>
      <w:marLeft w:val="0"/>
      <w:marRight w:val="0"/>
      <w:marTop w:val="0"/>
      <w:marBottom w:val="0"/>
      <w:divBdr>
        <w:top w:val="none" w:sz="0" w:space="0" w:color="auto"/>
        <w:left w:val="none" w:sz="0" w:space="0" w:color="auto"/>
        <w:bottom w:val="none" w:sz="0" w:space="0" w:color="auto"/>
        <w:right w:val="none" w:sz="0" w:space="0" w:color="auto"/>
      </w:divBdr>
    </w:div>
    <w:div w:id="1773041648">
      <w:bodyDiv w:val="1"/>
      <w:marLeft w:val="0"/>
      <w:marRight w:val="0"/>
      <w:marTop w:val="0"/>
      <w:marBottom w:val="0"/>
      <w:divBdr>
        <w:top w:val="none" w:sz="0" w:space="0" w:color="auto"/>
        <w:left w:val="none" w:sz="0" w:space="0" w:color="auto"/>
        <w:bottom w:val="none" w:sz="0" w:space="0" w:color="auto"/>
        <w:right w:val="none" w:sz="0" w:space="0" w:color="auto"/>
      </w:divBdr>
    </w:div>
    <w:div w:id="1812870145">
      <w:bodyDiv w:val="1"/>
      <w:marLeft w:val="0"/>
      <w:marRight w:val="0"/>
      <w:marTop w:val="0"/>
      <w:marBottom w:val="0"/>
      <w:divBdr>
        <w:top w:val="none" w:sz="0" w:space="0" w:color="auto"/>
        <w:left w:val="none" w:sz="0" w:space="0" w:color="auto"/>
        <w:bottom w:val="none" w:sz="0" w:space="0" w:color="auto"/>
        <w:right w:val="none" w:sz="0" w:space="0" w:color="auto"/>
      </w:divBdr>
    </w:div>
    <w:div w:id="1883592727">
      <w:bodyDiv w:val="1"/>
      <w:marLeft w:val="0"/>
      <w:marRight w:val="0"/>
      <w:marTop w:val="0"/>
      <w:marBottom w:val="0"/>
      <w:divBdr>
        <w:top w:val="none" w:sz="0" w:space="0" w:color="auto"/>
        <w:left w:val="none" w:sz="0" w:space="0" w:color="auto"/>
        <w:bottom w:val="none" w:sz="0" w:space="0" w:color="auto"/>
        <w:right w:val="none" w:sz="0" w:space="0" w:color="auto"/>
      </w:divBdr>
    </w:div>
    <w:div w:id="1898785845">
      <w:bodyDiv w:val="1"/>
      <w:marLeft w:val="0"/>
      <w:marRight w:val="0"/>
      <w:marTop w:val="0"/>
      <w:marBottom w:val="0"/>
      <w:divBdr>
        <w:top w:val="none" w:sz="0" w:space="0" w:color="auto"/>
        <w:left w:val="none" w:sz="0" w:space="0" w:color="auto"/>
        <w:bottom w:val="none" w:sz="0" w:space="0" w:color="auto"/>
        <w:right w:val="none" w:sz="0" w:space="0" w:color="auto"/>
      </w:divBdr>
    </w:div>
    <w:div w:id="2080250469">
      <w:bodyDiv w:val="1"/>
      <w:marLeft w:val="0"/>
      <w:marRight w:val="0"/>
      <w:marTop w:val="0"/>
      <w:marBottom w:val="0"/>
      <w:divBdr>
        <w:top w:val="none" w:sz="0" w:space="0" w:color="auto"/>
        <w:left w:val="none" w:sz="0" w:space="0" w:color="auto"/>
        <w:bottom w:val="none" w:sz="0" w:space="0" w:color="auto"/>
        <w:right w:val="none" w:sz="0" w:space="0" w:color="auto"/>
      </w:divBdr>
    </w:div>
    <w:div w:id="2090497260">
      <w:bodyDiv w:val="1"/>
      <w:marLeft w:val="0"/>
      <w:marRight w:val="0"/>
      <w:marTop w:val="0"/>
      <w:marBottom w:val="0"/>
      <w:divBdr>
        <w:top w:val="none" w:sz="0" w:space="0" w:color="auto"/>
        <w:left w:val="none" w:sz="0" w:space="0" w:color="auto"/>
        <w:bottom w:val="none" w:sz="0" w:space="0" w:color="auto"/>
        <w:right w:val="none" w:sz="0" w:space="0" w:color="auto"/>
      </w:divBdr>
    </w:div>
    <w:div w:id="210838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stats.moe.gov.tw/enrollweb/" TargetMode="Externa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ws.moe.edu.tw/001/Upload/3/RelFile/6315/6936/90.07%E5%A4%A7%E5%AD%B8%E6%95%99%E8%82%B2%E6%94%BF%E7%AD%96%E7%99%BD%E7%9A%AE%E6%9B%B8.pdf" TargetMode="External"/><Relationship Id="rId2" Type="http://schemas.openxmlformats.org/officeDocument/2006/relationships/hyperlink" Target="http://yearbook.stpi.org.tw/94bookbrowse/0-IV.htm" TargetMode="External"/><Relationship Id="rId1" Type="http://schemas.openxmlformats.org/officeDocument/2006/relationships/hyperlink" Target="http://history.moe.gov.tw/policy.asp?id=7)&#65306;&#37325;&#22823;&#25945;&#32946;&#30332;" TargetMode="External"/><Relationship Id="rId6" Type="http://schemas.openxmlformats.org/officeDocument/2006/relationships/hyperlink" Target="http://www.audit.gov.tw/files/11-1000-90.php" TargetMode="External"/><Relationship Id="rId5" Type="http://schemas.openxmlformats.org/officeDocument/2006/relationships/hyperlink" Target="http://www.cy.gov.tw/sp.asp?xdURL=./di/Message/message_1.asp&amp;ctNode=903&amp;mp=1&amp;msg_id=5633" TargetMode="External"/><Relationship Id="rId4" Type="http://schemas.openxmlformats.org/officeDocument/2006/relationships/hyperlink" Target="http://history.moe.gov.tw/policy.asp?id=6)&#65306;&#37325;&#22823;&#25945;&#32946;&#30332;&#23637;&#27511;&#251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8824E-58FA-40E1-84E8-00616C5FB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5</TotalTime>
  <Pages>34</Pages>
  <Words>4138</Words>
  <Characters>23588</Characters>
  <Application>Microsoft Office Word</Application>
  <DocSecurity>0</DocSecurity>
  <Lines>196</Lines>
  <Paragraphs>55</Paragraphs>
  <ScaleCrop>false</ScaleCrop>
  <Company>cy</Company>
  <LinksUpToDate>false</LinksUpToDate>
  <CharactersWithSpaces>27671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廖芳慶</dc:creator>
  <cp:lastModifiedBy>stud01</cp:lastModifiedBy>
  <cp:revision>3</cp:revision>
  <cp:lastPrinted>2016-08-11T06:26:00Z</cp:lastPrinted>
  <dcterms:created xsi:type="dcterms:W3CDTF">2016-08-17T03:11:00Z</dcterms:created>
  <dcterms:modified xsi:type="dcterms:W3CDTF">2016-08-17T03:16:00Z</dcterms:modified>
</cp:coreProperties>
</file>